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58"/>
        <w:ind w:left="75" w:right="162" w:firstLine="0"/>
        <w:jc w:val="center"/>
        <w:rPr>
          <w:b/>
          <w:sz w:val="28"/>
        </w:rPr>
      </w:pPr>
      <w:bookmarkStart w:name="Cover" w:id="1"/>
      <w:bookmarkEnd w:id="1"/>
      <w:r>
        <w:rPr/>
      </w:r>
      <w:r>
        <w:rPr>
          <w:b/>
          <w:sz w:val="28"/>
        </w:rPr>
        <w:t>UNITED</w:t>
      </w:r>
      <w:r>
        <w:rPr>
          <w:b/>
          <w:spacing w:val="-4"/>
          <w:sz w:val="28"/>
        </w:rPr>
        <w:t> </w:t>
      </w:r>
      <w:r>
        <w:rPr>
          <w:b/>
          <w:spacing w:val="-2"/>
          <w:sz w:val="28"/>
        </w:rPr>
        <w:t>STATES</w:t>
      </w:r>
    </w:p>
    <w:p>
      <w:pPr>
        <w:spacing w:before="14"/>
        <w:ind w:left="75" w:right="160" w:firstLine="0"/>
        <w:jc w:val="center"/>
        <w:rPr>
          <w:b/>
          <w:sz w:val="28"/>
        </w:rPr>
      </w:pPr>
      <w:r>
        <w:rPr>
          <w:b/>
          <w:sz w:val="28"/>
        </w:rPr>
        <w:t>SECURITIES</w:t>
      </w:r>
      <w:r>
        <w:rPr>
          <w:b/>
          <w:spacing w:val="65"/>
          <w:sz w:val="28"/>
        </w:rPr>
        <w:t> </w:t>
      </w:r>
      <w:r>
        <w:rPr>
          <w:b/>
          <w:sz w:val="28"/>
        </w:rPr>
        <w:t>AND</w:t>
      </w:r>
      <w:r>
        <w:rPr>
          <w:b/>
          <w:spacing w:val="65"/>
          <w:sz w:val="28"/>
        </w:rPr>
        <w:t> </w:t>
      </w:r>
      <w:r>
        <w:rPr>
          <w:b/>
          <w:sz w:val="28"/>
        </w:rPr>
        <w:t>EXCHANGE</w:t>
      </w:r>
      <w:r>
        <w:rPr>
          <w:b/>
          <w:spacing w:val="66"/>
          <w:sz w:val="28"/>
        </w:rPr>
        <w:t> </w:t>
      </w:r>
      <w:r>
        <w:rPr>
          <w:b/>
          <w:spacing w:val="-2"/>
          <w:sz w:val="28"/>
        </w:rPr>
        <w:t>COMMISSION</w:t>
      </w:r>
    </w:p>
    <w:p>
      <w:pPr>
        <w:pStyle w:val="BodyText"/>
        <w:spacing w:before="38"/>
        <w:ind w:left="75" w:right="163"/>
        <w:jc w:val="center"/>
      </w:pPr>
      <w:r>
        <w:rPr/>
        <w:t>Washington,</w:t>
      </w:r>
      <w:r>
        <w:rPr>
          <w:spacing w:val="-3"/>
        </w:rPr>
        <w:t> </w:t>
      </w:r>
      <w:r>
        <w:rPr/>
        <w:t>D.C.</w:t>
      </w:r>
      <w:r>
        <w:rPr>
          <w:spacing w:val="46"/>
        </w:rPr>
        <w:t> </w:t>
      </w:r>
      <w:r>
        <w:rPr>
          <w:spacing w:val="-2"/>
        </w:rPr>
        <w:t>20549</w:t>
      </w:r>
    </w:p>
    <w:p>
      <w:pPr>
        <w:pStyle w:val="Title"/>
        <w:spacing w:before="216"/>
        <w:ind w:right="162"/>
      </w:pPr>
      <w:r>
        <w:rPr/>
        <w:t>FORM</w:t>
      </w:r>
      <w:r>
        <w:rPr>
          <w:spacing w:val="-2"/>
        </w:rPr>
        <w:t> </w:t>
      </w:r>
      <w:r>
        <w:rPr/>
        <w:t>10-</w:t>
      </w:r>
      <w:r>
        <w:rPr>
          <w:spacing w:val="-10"/>
        </w:rPr>
        <w:t>Q</w:t>
      </w:r>
    </w:p>
    <w:p>
      <w:pPr>
        <w:pStyle w:val="Heading2"/>
        <w:spacing w:line="197" w:lineRule="exact" w:before="73"/>
        <w:ind w:left="972"/>
      </w:pPr>
      <w:r>
        <w:rPr/>
        <w:t>QUARTERLY</w:t>
      </w:r>
      <w:r>
        <w:rPr>
          <w:spacing w:val="-7"/>
        </w:rPr>
        <w:t> </w:t>
      </w:r>
      <w:r>
        <w:rPr/>
        <w:t>REPORT</w:t>
      </w:r>
      <w:r>
        <w:rPr>
          <w:spacing w:val="-5"/>
        </w:rPr>
        <w:t> </w:t>
      </w:r>
      <w:r>
        <w:rPr/>
        <w:t>PURSUANT</w:t>
      </w:r>
      <w:r>
        <w:rPr>
          <w:spacing w:val="-5"/>
        </w:rPr>
        <w:t> </w:t>
      </w:r>
      <w:r>
        <w:rPr/>
        <w:t>TO</w:t>
      </w:r>
      <w:r>
        <w:rPr>
          <w:spacing w:val="-5"/>
        </w:rPr>
        <w:t> </w:t>
      </w:r>
      <w:r>
        <w:rPr/>
        <w:t>SECTION</w:t>
      </w:r>
      <w:r>
        <w:rPr>
          <w:spacing w:val="-5"/>
        </w:rPr>
        <w:t> </w:t>
      </w:r>
      <w:r>
        <w:rPr/>
        <w:t>13</w:t>
      </w:r>
      <w:r>
        <w:rPr>
          <w:spacing w:val="-4"/>
        </w:rPr>
        <w:t> </w:t>
      </w:r>
      <w:r>
        <w:rPr/>
        <w:t>OR</w:t>
      </w:r>
      <w:r>
        <w:rPr>
          <w:spacing w:val="-5"/>
        </w:rPr>
        <w:t> </w:t>
      </w:r>
      <w:r>
        <w:rPr/>
        <w:t>15(d)</w:t>
      </w:r>
      <w:r>
        <w:rPr>
          <w:spacing w:val="-5"/>
        </w:rPr>
        <w:t> </w:t>
      </w:r>
      <w:r>
        <w:rPr/>
        <w:t>OF</w:t>
      </w:r>
      <w:r>
        <w:rPr>
          <w:spacing w:val="-5"/>
        </w:rPr>
        <w:t> </w:t>
      </w:r>
      <w:r>
        <w:rPr/>
        <w:t>THE</w:t>
      </w:r>
      <w:r>
        <w:rPr>
          <w:spacing w:val="-5"/>
        </w:rPr>
        <w:t> </w:t>
      </w:r>
      <w:r>
        <w:rPr/>
        <w:t>SECURITIES</w:t>
      </w:r>
      <w:r>
        <w:rPr>
          <w:spacing w:val="-5"/>
        </w:rPr>
        <w:t> </w:t>
      </w:r>
      <w:r>
        <w:rPr/>
        <w:t>EXCHANGE</w:t>
      </w:r>
      <w:r>
        <w:rPr>
          <w:spacing w:val="-4"/>
        </w:rPr>
        <w:t> </w:t>
      </w:r>
      <w:r>
        <w:rPr>
          <w:spacing w:val="-5"/>
        </w:rPr>
        <w:t>ACT</w:t>
      </w:r>
    </w:p>
    <w:p>
      <w:pPr>
        <w:tabs>
          <w:tab w:pos="972" w:val="left" w:leader="none"/>
        </w:tabs>
        <w:spacing w:line="297" w:lineRule="exact" w:before="0"/>
        <w:ind w:left="549" w:right="0" w:firstLine="0"/>
        <w:jc w:val="left"/>
        <w:rPr>
          <w:b/>
          <w:sz w:val="20"/>
        </w:rPr>
      </w:pPr>
      <w:r>
        <w:rPr>
          <w:rFonts w:ascii="VL PGothic" w:hAnsi="VL PGothic"/>
          <w:spacing w:val="-10"/>
          <w:sz w:val="20"/>
        </w:rPr>
        <w:t>☒</w:t>
      </w:r>
      <w:r>
        <w:rPr>
          <w:rFonts w:ascii="VL PGothic" w:hAnsi="VL PGothic"/>
          <w:sz w:val="20"/>
        </w:rPr>
        <w:tab/>
      </w:r>
      <w:r>
        <w:rPr>
          <w:b/>
          <w:sz w:val="20"/>
        </w:rPr>
        <w:t>OF</w:t>
      </w:r>
      <w:r>
        <w:rPr>
          <w:b/>
          <w:spacing w:val="-2"/>
          <w:sz w:val="20"/>
        </w:rPr>
        <w:t> </w:t>
      </w:r>
      <w:r>
        <w:rPr>
          <w:b/>
          <w:spacing w:val="-4"/>
          <w:sz w:val="20"/>
        </w:rPr>
        <w:t>1934</w:t>
      </w:r>
    </w:p>
    <w:p>
      <w:pPr>
        <w:pStyle w:val="Heading2"/>
        <w:spacing w:before="14"/>
        <w:ind w:left="380"/>
      </w:pPr>
      <w:r>
        <w:rPr/>
        <w:t>For</w:t>
      </w:r>
      <w:r>
        <w:rPr>
          <w:spacing w:val="-7"/>
        </w:rPr>
        <w:t> </w:t>
      </w:r>
      <w:r>
        <w:rPr/>
        <w:t>the</w:t>
      </w:r>
      <w:r>
        <w:rPr>
          <w:spacing w:val="-4"/>
        </w:rPr>
        <w:t> </w:t>
      </w:r>
      <w:r>
        <w:rPr/>
        <w:t>quarterly</w:t>
      </w:r>
      <w:r>
        <w:rPr>
          <w:spacing w:val="-3"/>
        </w:rPr>
        <w:t> </w:t>
      </w:r>
      <w:r>
        <w:rPr/>
        <w:t>period</w:t>
      </w:r>
      <w:r>
        <w:rPr>
          <w:spacing w:val="-4"/>
        </w:rPr>
        <w:t> </w:t>
      </w:r>
      <w:r>
        <w:rPr/>
        <w:t>ended</w:t>
      </w:r>
      <w:r>
        <w:rPr>
          <w:spacing w:val="-4"/>
        </w:rPr>
        <w:t> </w:t>
      </w:r>
      <w:r>
        <w:rPr/>
        <w:t>September</w:t>
      </w:r>
      <w:r>
        <w:rPr>
          <w:spacing w:val="-4"/>
        </w:rPr>
        <w:t> </w:t>
      </w:r>
      <w:r>
        <w:rPr/>
        <w:t>30,</w:t>
      </w:r>
      <w:r>
        <w:rPr>
          <w:spacing w:val="-3"/>
        </w:rPr>
        <w:t> </w:t>
      </w:r>
      <w:r>
        <w:rPr>
          <w:spacing w:val="-4"/>
        </w:rPr>
        <w:t>2023</w:t>
      </w:r>
    </w:p>
    <w:p>
      <w:pPr>
        <w:spacing w:before="0"/>
        <w:ind w:left="75" w:right="163" w:firstLine="0"/>
        <w:jc w:val="center"/>
        <w:rPr>
          <w:b/>
          <w:sz w:val="16"/>
        </w:rPr>
      </w:pPr>
      <w:r>
        <w:rPr>
          <w:b/>
          <w:spacing w:val="-5"/>
          <w:sz w:val="16"/>
        </w:rPr>
        <w:t>or</w:t>
      </w:r>
    </w:p>
    <w:p>
      <w:pPr>
        <w:spacing w:line="198" w:lineRule="exact" w:before="163"/>
        <w:ind w:left="972" w:right="0" w:firstLine="0"/>
        <w:jc w:val="left"/>
        <w:rPr>
          <w:b/>
          <w:sz w:val="20"/>
        </w:rPr>
      </w:pPr>
      <w:r>
        <w:rPr>
          <w:b/>
          <w:sz w:val="20"/>
        </w:rPr>
        <w:t>TRANSITION</w:t>
      </w:r>
      <w:r>
        <w:rPr>
          <w:b/>
          <w:spacing w:val="-8"/>
          <w:sz w:val="20"/>
        </w:rPr>
        <w:t> </w:t>
      </w:r>
      <w:r>
        <w:rPr>
          <w:b/>
          <w:sz w:val="20"/>
        </w:rPr>
        <w:t>REPORT</w:t>
      </w:r>
      <w:r>
        <w:rPr>
          <w:b/>
          <w:spacing w:val="-5"/>
          <w:sz w:val="20"/>
        </w:rPr>
        <w:t> </w:t>
      </w:r>
      <w:r>
        <w:rPr>
          <w:b/>
          <w:sz w:val="20"/>
        </w:rPr>
        <w:t>PURSUANT</w:t>
      </w:r>
      <w:r>
        <w:rPr>
          <w:b/>
          <w:spacing w:val="-5"/>
          <w:sz w:val="20"/>
        </w:rPr>
        <w:t> </w:t>
      </w:r>
      <w:r>
        <w:rPr>
          <w:b/>
          <w:sz w:val="20"/>
        </w:rPr>
        <w:t>TO</w:t>
      </w:r>
      <w:r>
        <w:rPr>
          <w:b/>
          <w:spacing w:val="-5"/>
          <w:sz w:val="20"/>
        </w:rPr>
        <w:t> </w:t>
      </w:r>
      <w:r>
        <w:rPr>
          <w:b/>
          <w:sz w:val="20"/>
        </w:rPr>
        <w:t>SECTION</w:t>
      </w:r>
      <w:r>
        <w:rPr>
          <w:b/>
          <w:spacing w:val="-5"/>
          <w:sz w:val="20"/>
        </w:rPr>
        <w:t> </w:t>
      </w:r>
      <w:r>
        <w:rPr>
          <w:b/>
          <w:sz w:val="20"/>
        </w:rPr>
        <w:t>13</w:t>
      </w:r>
      <w:r>
        <w:rPr>
          <w:b/>
          <w:spacing w:val="-4"/>
          <w:sz w:val="20"/>
        </w:rPr>
        <w:t> </w:t>
      </w:r>
      <w:r>
        <w:rPr>
          <w:b/>
          <w:sz w:val="20"/>
        </w:rPr>
        <w:t>OR</w:t>
      </w:r>
      <w:r>
        <w:rPr>
          <w:b/>
          <w:spacing w:val="-5"/>
          <w:sz w:val="20"/>
        </w:rPr>
        <w:t> </w:t>
      </w:r>
      <w:r>
        <w:rPr>
          <w:b/>
          <w:sz w:val="20"/>
        </w:rPr>
        <w:t>15(d)</w:t>
      </w:r>
      <w:r>
        <w:rPr>
          <w:b/>
          <w:spacing w:val="-4"/>
          <w:sz w:val="20"/>
        </w:rPr>
        <w:t> </w:t>
      </w:r>
      <w:r>
        <w:rPr>
          <w:b/>
          <w:sz w:val="20"/>
        </w:rPr>
        <w:t>OF</w:t>
      </w:r>
      <w:r>
        <w:rPr>
          <w:b/>
          <w:spacing w:val="-5"/>
          <w:sz w:val="20"/>
        </w:rPr>
        <w:t> </w:t>
      </w:r>
      <w:r>
        <w:rPr>
          <w:b/>
          <w:sz w:val="20"/>
        </w:rPr>
        <w:t>THE</w:t>
      </w:r>
      <w:r>
        <w:rPr>
          <w:b/>
          <w:spacing w:val="-5"/>
          <w:sz w:val="20"/>
        </w:rPr>
        <w:t> </w:t>
      </w:r>
      <w:r>
        <w:rPr>
          <w:b/>
          <w:sz w:val="20"/>
        </w:rPr>
        <w:t>SECURITIES</w:t>
      </w:r>
      <w:r>
        <w:rPr>
          <w:b/>
          <w:spacing w:val="-5"/>
          <w:sz w:val="20"/>
        </w:rPr>
        <w:t> </w:t>
      </w:r>
      <w:r>
        <w:rPr>
          <w:b/>
          <w:sz w:val="20"/>
        </w:rPr>
        <w:t>EXCHANGE</w:t>
      </w:r>
      <w:r>
        <w:rPr>
          <w:b/>
          <w:spacing w:val="-5"/>
          <w:sz w:val="20"/>
        </w:rPr>
        <w:t> ACT</w:t>
      </w:r>
    </w:p>
    <w:p>
      <w:pPr>
        <w:pStyle w:val="Heading1"/>
        <w:numPr>
          <w:ilvl w:val="0"/>
          <w:numId w:val="1"/>
        </w:numPr>
        <w:tabs>
          <w:tab w:pos="972" w:val="left" w:leader="none"/>
        </w:tabs>
        <w:spacing w:line="298" w:lineRule="exact" w:before="0" w:after="0"/>
        <w:ind w:left="972" w:right="0" w:hanging="423"/>
        <w:jc w:val="left"/>
      </w:pPr>
      <w:r>
        <w:rPr/>
        <w:t>OF</w:t>
      </w:r>
      <w:r>
        <w:rPr>
          <w:spacing w:val="-2"/>
        </w:rPr>
        <w:t> </w:t>
      </w:r>
      <w:r>
        <w:rPr>
          <w:spacing w:val="-4"/>
        </w:rPr>
        <w:t>1934</w:t>
      </w:r>
    </w:p>
    <w:p>
      <w:pPr>
        <w:pStyle w:val="Heading2"/>
        <w:tabs>
          <w:tab w:pos="3861" w:val="left" w:leader="none"/>
          <w:tab w:pos="4928" w:val="left" w:leader="none"/>
        </w:tabs>
        <w:spacing w:before="12"/>
        <w:ind w:left="380"/>
        <w:rPr>
          <w:b w:val="0"/>
        </w:rPr>
      </w:pPr>
      <w:r>
        <w:rPr/>
        <w:t>For</w:t>
      </w:r>
      <w:r>
        <w:rPr>
          <w:spacing w:val="-2"/>
        </w:rPr>
        <w:t> </w:t>
      </w:r>
      <w:r>
        <w:rPr/>
        <w:t>the</w:t>
      </w:r>
      <w:r>
        <w:rPr>
          <w:spacing w:val="-2"/>
        </w:rPr>
        <w:t> </w:t>
      </w:r>
      <w:r>
        <w:rPr/>
        <w:t>transition</w:t>
      </w:r>
      <w:r>
        <w:rPr>
          <w:spacing w:val="-2"/>
        </w:rPr>
        <w:t> </w:t>
      </w:r>
      <w:r>
        <w:rPr/>
        <w:t>period</w:t>
      </w:r>
      <w:r>
        <w:rPr>
          <w:spacing w:val="-2"/>
        </w:rPr>
        <w:t> </w:t>
      </w:r>
      <w:r>
        <w:rPr/>
        <w:t>from</w:t>
      </w:r>
      <w:r>
        <w:rPr>
          <w:spacing w:val="-1"/>
        </w:rPr>
        <w:t> </w:t>
      </w:r>
      <w:r>
        <w:rPr>
          <w:b w:val="0"/>
          <w:u w:val="single"/>
        </w:rPr>
        <w:tab/>
      </w:r>
      <w:r>
        <w:rPr>
          <w:u w:val="none"/>
        </w:rPr>
        <w:t>to </w:t>
      </w:r>
      <w:r>
        <w:rPr>
          <w:b w:val="0"/>
          <w:u w:val="single"/>
        </w:rPr>
        <w:tab/>
      </w:r>
    </w:p>
    <w:p>
      <w:pPr>
        <w:pStyle w:val="BodyText"/>
        <w:spacing w:before="116"/>
      </w:pPr>
    </w:p>
    <w:p>
      <w:pPr>
        <w:spacing w:before="1"/>
        <w:ind w:left="75" w:right="164" w:firstLine="0"/>
        <w:jc w:val="center"/>
        <w:rPr>
          <w:b/>
          <w:sz w:val="20"/>
        </w:rPr>
      </w:pPr>
      <w:r>
        <w:rPr>
          <w:b/>
          <w:sz w:val="20"/>
        </w:rPr>
        <w:t>Commission</w:t>
      </w:r>
      <w:r>
        <w:rPr>
          <w:b/>
          <w:spacing w:val="-6"/>
          <w:sz w:val="20"/>
        </w:rPr>
        <w:t> </w:t>
      </w:r>
      <w:r>
        <w:rPr>
          <w:b/>
          <w:sz w:val="20"/>
        </w:rPr>
        <w:t>File</w:t>
      </w:r>
      <w:r>
        <w:rPr>
          <w:b/>
          <w:spacing w:val="-5"/>
          <w:sz w:val="20"/>
        </w:rPr>
        <w:t> </w:t>
      </w:r>
      <w:r>
        <w:rPr>
          <w:b/>
          <w:sz w:val="20"/>
        </w:rPr>
        <w:t>Number:</w:t>
      </w:r>
      <w:r>
        <w:rPr>
          <w:b/>
          <w:spacing w:val="-4"/>
          <w:sz w:val="20"/>
        </w:rPr>
        <w:t> </w:t>
      </w:r>
      <w:r>
        <w:rPr>
          <w:b/>
          <w:sz w:val="20"/>
        </w:rPr>
        <w:t>1-</w:t>
      </w:r>
      <w:r>
        <w:rPr>
          <w:b/>
          <w:spacing w:val="-4"/>
          <w:sz w:val="20"/>
        </w:rPr>
        <w:t>9700</w:t>
      </w:r>
    </w:p>
    <w:p>
      <w:pPr>
        <w:pStyle w:val="BodyText"/>
        <w:spacing w:before="37"/>
        <w:rPr>
          <w:b/>
        </w:rPr>
      </w:pPr>
    </w:p>
    <w:p>
      <w:pPr>
        <w:pStyle w:val="Title"/>
      </w:pPr>
      <w:r>
        <w:rPr/>
        <w:t>THE</w:t>
      </w:r>
      <w:r>
        <w:rPr>
          <w:spacing w:val="76"/>
        </w:rPr>
        <w:t> </w:t>
      </w:r>
      <w:r>
        <w:rPr/>
        <w:t>CHARLES</w:t>
      </w:r>
      <w:r>
        <w:rPr>
          <w:spacing w:val="77"/>
        </w:rPr>
        <w:t> </w:t>
      </w:r>
      <w:r>
        <w:rPr/>
        <w:t>SCHWAB</w:t>
      </w:r>
      <w:r>
        <w:rPr>
          <w:spacing w:val="78"/>
        </w:rPr>
        <w:t> </w:t>
      </w:r>
      <w:r>
        <w:rPr>
          <w:spacing w:val="-2"/>
        </w:rPr>
        <w:t>CORPORATION</w:t>
      </w:r>
    </w:p>
    <w:p>
      <w:pPr>
        <w:spacing w:before="119"/>
        <w:ind w:left="75" w:right="162" w:firstLine="0"/>
        <w:jc w:val="center"/>
        <w:rPr>
          <w:sz w:val="16"/>
        </w:rPr>
      </w:pPr>
      <w:r>
        <w:rPr>
          <w:sz w:val="16"/>
        </w:rPr>
        <w:t>(Exact</w:t>
      </w:r>
      <w:r>
        <w:rPr>
          <w:spacing w:val="-1"/>
          <w:sz w:val="16"/>
        </w:rPr>
        <w:t> </w:t>
      </w:r>
      <w:r>
        <w:rPr>
          <w:sz w:val="16"/>
        </w:rPr>
        <w:t>name of</w:t>
      </w:r>
      <w:r>
        <w:rPr>
          <w:spacing w:val="-1"/>
          <w:sz w:val="16"/>
        </w:rPr>
        <w:t> </w:t>
      </w:r>
      <w:r>
        <w:rPr>
          <w:sz w:val="16"/>
        </w:rPr>
        <w:t>registrant as</w:t>
      </w:r>
      <w:r>
        <w:rPr>
          <w:spacing w:val="-1"/>
          <w:sz w:val="16"/>
        </w:rPr>
        <w:t> </w:t>
      </w:r>
      <w:r>
        <w:rPr>
          <w:sz w:val="16"/>
        </w:rPr>
        <w:t>specified</w:t>
      </w:r>
      <w:r>
        <w:rPr>
          <w:spacing w:val="-1"/>
          <w:sz w:val="16"/>
        </w:rPr>
        <w:t> </w:t>
      </w:r>
      <w:r>
        <w:rPr>
          <w:sz w:val="16"/>
        </w:rPr>
        <w:t>in its</w:t>
      </w:r>
      <w:r>
        <w:rPr>
          <w:spacing w:val="-1"/>
          <w:sz w:val="16"/>
        </w:rPr>
        <w:t> </w:t>
      </w:r>
      <w:r>
        <w:rPr>
          <w:spacing w:val="-2"/>
          <w:sz w:val="16"/>
        </w:rPr>
        <w:t>charter)</w:t>
      </w:r>
    </w:p>
    <w:p>
      <w:pPr>
        <w:pStyle w:val="BodyText"/>
        <w:spacing w:before="71"/>
        <w:rPr>
          <w:sz w:val="16"/>
        </w:rPr>
      </w:pPr>
    </w:p>
    <w:p>
      <w:pPr>
        <w:tabs>
          <w:tab w:pos="7962" w:val="left" w:leader="none"/>
        </w:tabs>
        <w:spacing w:before="0"/>
        <w:ind w:left="1733" w:right="0" w:firstLine="0"/>
        <w:jc w:val="left"/>
        <w:rPr>
          <w:b/>
          <w:sz w:val="18"/>
        </w:rPr>
      </w:pPr>
      <w:r>
        <w:rPr>
          <w:b/>
          <w:spacing w:val="-2"/>
          <w:sz w:val="18"/>
        </w:rPr>
        <w:t>Delaware</w:t>
      </w:r>
      <w:r>
        <w:rPr>
          <w:sz w:val="18"/>
        </w:rPr>
        <w:tab/>
      </w:r>
      <w:r>
        <w:rPr>
          <w:b/>
          <w:sz w:val="18"/>
        </w:rPr>
        <w:t>94-</w:t>
      </w:r>
      <w:r>
        <w:rPr>
          <w:b/>
          <w:spacing w:val="-2"/>
          <w:sz w:val="18"/>
        </w:rPr>
        <w:t>3025021</w:t>
      </w:r>
    </w:p>
    <w:p>
      <w:pPr>
        <w:spacing w:after="0"/>
        <w:jc w:val="left"/>
        <w:rPr>
          <w:sz w:val="18"/>
        </w:rPr>
        <w:sectPr>
          <w:type w:val="continuous"/>
          <w:pgSz w:w="12240" w:h="15840"/>
          <w:pgMar w:top="320" w:bottom="280" w:left="520" w:right="520"/>
        </w:sectPr>
      </w:pPr>
    </w:p>
    <w:p>
      <w:pPr>
        <w:spacing w:line="208" w:lineRule="auto" w:before="100"/>
        <w:ind w:left="1520" w:right="38" w:hanging="975"/>
        <w:jc w:val="left"/>
        <w:rPr>
          <w:sz w:val="18"/>
        </w:rPr>
      </w:pPr>
      <w:r>
        <w:rPr>
          <w:sz w:val="18"/>
        </w:rPr>
        <w:t>(State</w:t>
      </w:r>
      <w:r>
        <w:rPr>
          <w:spacing w:val="-8"/>
          <w:sz w:val="18"/>
        </w:rPr>
        <w:t> </w:t>
      </w:r>
      <w:r>
        <w:rPr>
          <w:sz w:val="18"/>
        </w:rPr>
        <w:t>or</w:t>
      </w:r>
      <w:r>
        <w:rPr>
          <w:spacing w:val="-8"/>
          <w:sz w:val="18"/>
        </w:rPr>
        <w:t> </w:t>
      </w:r>
      <w:r>
        <w:rPr>
          <w:sz w:val="18"/>
        </w:rPr>
        <w:t>other</w:t>
      </w:r>
      <w:r>
        <w:rPr>
          <w:spacing w:val="-8"/>
          <w:sz w:val="18"/>
        </w:rPr>
        <w:t> </w:t>
      </w:r>
      <w:r>
        <w:rPr>
          <w:sz w:val="18"/>
        </w:rPr>
        <w:t>jurisdiction</w:t>
      </w:r>
      <w:r>
        <w:rPr>
          <w:spacing w:val="-8"/>
          <w:sz w:val="18"/>
        </w:rPr>
        <w:t> </w:t>
      </w:r>
      <w:r>
        <w:rPr>
          <w:sz w:val="18"/>
        </w:rPr>
        <w:t>of</w:t>
      </w:r>
      <w:r>
        <w:rPr>
          <w:spacing w:val="-8"/>
          <w:sz w:val="18"/>
        </w:rPr>
        <w:t> </w:t>
      </w:r>
      <w:r>
        <w:rPr>
          <w:sz w:val="18"/>
        </w:rPr>
        <w:t>incorporation or organization)</w:t>
      </w:r>
    </w:p>
    <w:p>
      <w:pPr>
        <w:spacing w:before="39"/>
        <w:ind w:left="546" w:right="0" w:firstLine="0"/>
        <w:jc w:val="left"/>
        <w:rPr>
          <w:sz w:val="18"/>
        </w:rPr>
      </w:pPr>
      <w:r>
        <w:rPr/>
        <w:br w:type="column"/>
      </w:r>
      <w:r>
        <w:rPr>
          <w:sz w:val="18"/>
        </w:rPr>
        <w:t>(I.R.S.</w:t>
      </w:r>
      <w:r>
        <w:rPr>
          <w:spacing w:val="-3"/>
          <w:sz w:val="18"/>
        </w:rPr>
        <w:t> </w:t>
      </w:r>
      <w:r>
        <w:rPr>
          <w:sz w:val="18"/>
        </w:rPr>
        <w:t>Employer Identification </w:t>
      </w:r>
      <w:r>
        <w:rPr>
          <w:spacing w:val="-4"/>
          <w:sz w:val="18"/>
        </w:rPr>
        <w:t>No.)</w:t>
      </w:r>
    </w:p>
    <w:p>
      <w:pPr>
        <w:spacing w:after="0"/>
        <w:jc w:val="left"/>
        <w:rPr>
          <w:sz w:val="18"/>
        </w:rPr>
        <w:sectPr>
          <w:type w:val="continuous"/>
          <w:pgSz w:w="12240" w:h="15840"/>
          <w:pgMar w:top="320" w:bottom="280" w:left="520" w:right="520"/>
          <w:cols w:num="2" w:equalWidth="0">
            <w:col w:w="3691" w:space="2854"/>
            <w:col w:w="4655"/>
          </w:cols>
        </w:sectPr>
      </w:pPr>
    </w:p>
    <w:p>
      <w:pPr>
        <w:pStyle w:val="BodyText"/>
        <w:spacing w:before="93"/>
      </w:pPr>
    </w:p>
    <w:p>
      <w:pPr>
        <w:pStyle w:val="Heading2"/>
        <w:spacing w:before="1"/>
        <w:ind w:left="3838"/>
      </w:pPr>
      <w:r>
        <w:rPr/>
        <w:t>3000</w:t>
      </w:r>
      <w:r>
        <w:rPr>
          <w:spacing w:val="-4"/>
        </w:rPr>
        <w:t> </w:t>
      </w:r>
      <w:r>
        <w:rPr/>
        <w:t>Schwab</w:t>
      </w:r>
      <w:r>
        <w:rPr>
          <w:spacing w:val="-3"/>
        </w:rPr>
        <w:t> </w:t>
      </w:r>
      <w:r>
        <w:rPr/>
        <w:t>Way,</w:t>
      </w:r>
      <w:r>
        <w:rPr>
          <w:spacing w:val="-1"/>
        </w:rPr>
        <w:t> </w:t>
      </w:r>
      <w:r>
        <w:rPr/>
        <w:t>Westlake,</w:t>
      </w:r>
      <w:r>
        <w:rPr>
          <w:spacing w:val="-2"/>
        </w:rPr>
        <w:t> </w:t>
      </w:r>
      <w:r>
        <w:rPr/>
        <w:t>TX</w:t>
      </w:r>
      <w:r>
        <w:rPr>
          <w:spacing w:val="46"/>
        </w:rPr>
        <w:t> </w:t>
      </w:r>
      <w:r>
        <w:rPr>
          <w:spacing w:val="-2"/>
        </w:rPr>
        <w:t>76262</w:t>
      </w:r>
    </w:p>
    <w:p>
      <w:pPr>
        <w:spacing w:line="528" w:lineRule="auto" w:before="18"/>
        <w:ind w:left="3069" w:right="3052" w:firstLine="580"/>
        <w:jc w:val="left"/>
        <w:rPr>
          <w:sz w:val="18"/>
        </w:rPr>
      </w:pPr>
      <w:r>
        <w:rPr>
          <w:sz w:val="18"/>
        </w:rPr>
        <w:t>(Address of principal executive offices and zip code) Registrant’s</w:t>
      </w:r>
      <w:r>
        <w:rPr>
          <w:spacing w:val="-6"/>
          <w:sz w:val="18"/>
        </w:rPr>
        <w:t> </w:t>
      </w:r>
      <w:r>
        <w:rPr>
          <w:sz w:val="18"/>
        </w:rPr>
        <w:t>telephone</w:t>
      </w:r>
      <w:r>
        <w:rPr>
          <w:spacing w:val="-5"/>
          <w:sz w:val="18"/>
        </w:rPr>
        <w:t> </w:t>
      </w:r>
      <w:r>
        <w:rPr>
          <w:sz w:val="18"/>
        </w:rPr>
        <w:t>number,</w:t>
      </w:r>
      <w:r>
        <w:rPr>
          <w:spacing w:val="-5"/>
          <w:sz w:val="18"/>
        </w:rPr>
        <w:t> </w:t>
      </w:r>
      <w:r>
        <w:rPr>
          <w:sz w:val="18"/>
        </w:rPr>
        <w:t>including</w:t>
      </w:r>
      <w:r>
        <w:rPr>
          <w:spacing w:val="-5"/>
          <w:sz w:val="18"/>
        </w:rPr>
        <w:t> </w:t>
      </w:r>
      <w:r>
        <w:rPr>
          <w:sz w:val="18"/>
        </w:rPr>
        <w:t>area</w:t>
      </w:r>
      <w:r>
        <w:rPr>
          <w:spacing w:val="-5"/>
          <w:sz w:val="18"/>
        </w:rPr>
        <w:t> </w:t>
      </w:r>
      <w:r>
        <w:rPr>
          <w:sz w:val="18"/>
        </w:rPr>
        <w:t>code:</w:t>
      </w:r>
      <w:r>
        <w:rPr>
          <w:spacing w:val="35"/>
          <w:sz w:val="18"/>
        </w:rPr>
        <w:t> </w:t>
      </w:r>
      <w:r>
        <w:rPr>
          <w:sz w:val="18"/>
        </w:rPr>
        <w:t>(817)</w:t>
      </w:r>
      <w:r>
        <w:rPr>
          <w:spacing w:val="-6"/>
          <w:sz w:val="18"/>
        </w:rPr>
        <w:t> </w:t>
      </w:r>
      <w:r>
        <w:rPr>
          <w:sz w:val="18"/>
        </w:rPr>
        <w:t>859-5000</w:t>
      </w:r>
    </w:p>
    <w:p>
      <w:pPr>
        <w:spacing w:line="184" w:lineRule="exact" w:before="0"/>
        <w:ind w:left="380" w:right="0" w:firstLine="0"/>
        <w:jc w:val="both"/>
        <w:rPr>
          <w:sz w:val="18"/>
        </w:rPr>
      </w:pPr>
      <w:r>
        <w:rPr>
          <w:sz w:val="18"/>
        </w:rPr>
        <w:t>Securities</w:t>
      </w:r>
      <w:r>
        <w:rPr>
          <w:spacing w:val="-2"/>
          <w:sz w:val="18"/>
        </w:rPr>
        <w:t> </w:t>
      </w:r>
      <w:r>
        <w:rPr>
          <w:sz w:val="18"/>
        </w:rPr>
        <w:t>registered pursuant</w:t>
      </w:r>
      <w:r>
        <w:rPr>
          <w:spacing w:val="-1"/>
          <w:sz w:val="18"/>
        </w:rPr>
        <w:t> </w:t>
      </w:r>
      <w:r>
        <w:rPr>
          <w:sz w:val="18"/>
        </w:rPr>
        <w:t>to Section</w:t>
      </w:r>
      <w:r>
        <w:rPr>
          <w:spacing w:val="-1"/>
          <w:sz w:val="18"/>
        </w:rPr>
        <w:t> </w:t>
      </w:r>
      <w:r>
        <w:rPr>
          <w:sz w:val="18"/>
        </w:rPr>
        <w:t>12(b) of</w:t>
      </w:r>
      <w:r>
        <w:rPr>
          <w:spacing w:val="-1"/>
          <w:sz w:val="18"/>
        </w:rPr>
        <w:t> </w:t>
      </w:r>
      <w:r>
        <w:rPr>
          <w:sz w:val="18"/>
        </w:rPr>
        <w:t>the </w:t>
      </w:r>
      <w:r>
        <w:rPr>
          <w:spacing w:val="-4"/>
          <w:sz w:val="18"/>
        </w:rPr>
        <w:t>Act:</w:t>
      </w:r>
    </w:p>
    <w:p>
      <w:pPr>
        <w:pStyle w:val="BodyText"/>
        <w:spacing w:before="8"/>
        <w:rPr>
          <w:sz w:val="14"/>
        </w:rPr>
      </w:pPr>
    </w:p>
    <w:tbl>
      <w:tblPr>
        <w:tblW w:w="0" w:type="auto"/>
        <w:jc w:val="left"/>
        <w:tblInd w:w="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1"/>
        <w:gridCol w:w="1619"/>
        <w:gridCol w:w="3391"/>
      </w:tblGrid>
      <w:tr>
        <w:trPr>
          <w:trHeight w:val="269" w:hRule="atLeast"/>
        </w:trPr>
        <w:tc>
          <w:tcPr>
            <w:tcW w:w="5131" w:type="dxa"/>
          </w:tcPr>
          <w:p>
            <w:pPr>
              <w:pStyle w:val="TableParagraph"/>
              <w:spacing w:line="199" w:lineRule="exact"/>
              <w:ind w:left="40"/>
              <w:jc w:val="center"/>
              <w:rPr>
                <w:sz w:val="18"/>
              </w:rPr>
            </w:pPr>
            <w:r>
              <w:rPr>
                <w:sz w:val="18"/>
                <w:u w:val="single"/>
              </w:rPr>
              <w:t>Title of each </w:t>
            </w:r>
            <w:r>
              <w:rPr>
                <w:spacing w:val="-2"/>
                <w:sz w:val="18"/>
                <w:u w:val="single"/>
              </w:rPr>
              <w:t>class</w:t>
            </w:r>
          </w:p>
        </w:tc>
        <w:tc>
          <w:tcPr>
            <w:tcW w:w="1619" w:type="dxa"/>
          </w:tcPr>
          <w:p>
            <w:pPr>
              <w:pStyle w:val="TableParagraph"/>
              <w:spacing w:line="199" w:lineRule="exact"/>
              <w:ind w:left="1" w:right="49"/>
              <w:jc w:val="center"/>
              <w:rPr>
                <w:sz w:val="18"/>
              </w:rPr>
            </w:pPr>
            <w:r>
              <w:rPr>
                <w:sz w:val="18"/>
                <w:u w:val="single"/>
              </w:rPr>
              <w:t>Trading </w:t>
            </w:r>
            <w:r>
              <w:rPr>
                <w:spacing w:val="-2"/>
                <w:sz w:val="18"/>
                <w:u w:val="single"/>
              </w:rPr>
              <w:t>Symbol(s)</w:t>
            </w:r>
          </w:p>
        </w:tc>
        <w:tc>
          <w:tcPr>
            <w:tcW w:w="3391" w:type="dxa"/>
          </w:tcPr>
          <w:p>
            <w:pPr>
              <w:pStyle w:val="TableParagraph"/>
              <w:spacing w:line="199" w:lineRule="exact"/>
              <w:ind w:left="101"/>
              <w:jc w:val="center"/>
              <w:rPr>
                <w:sz w:val="18"/>
              </w:rPr>
            </w:pPr>
            <w:r>
              <w:rPr>
                <w:sz w:val="18"/>
                <w:u w:val="single"/>
              </w:rPr>
              <w:t>Name</w:t>
            </w:r>
            <w:r>
              <w:rPr>
                <w:spacing w:val="-1"/>
                <w:sz w:val="18"/>
                <w:u w:val="single"/>
              </w:rPr>
              <w:t> </w:t>
            </w:r>
            <w:r>
              <w:rPr>
                <w:sz w:val="18"/>
                <w:u w:val="single"/>
              </w:rPr>
              <w:t>of each exchange</w:t>
            </w:r>
            <w:r>
              <w:rPr>
                <w:spacing w:val="-1"/>
                <w:sz w:val="18"/>
                <w:u w:val="single"/>
              </w:rPr>
              <w:t> </w:t>
            </w:r>
            <w:r>
              <w:rPr>
                <w:sz w:val="18"/>
                <w:u w:val="single"/>
              </w:rPr>
              <w:t>on which </w:t>
            </w:r>
            <w:r>
              <w:rPr>
                <w:spacing w:val="-2"/>
                <w:sz w:val="18"/>
                <w:u w:val="single"/>
              </w:rPr>
              <w:t>registered</w:t>
            </w:r>
          </w:p>
        </w:tc>
      </w:tr>
      <w:tr>
        <w:trPr>
          <w:trHeight w:val="311" w:hRule="atLeast"/>
        </w:trPr>
        <w:tc>
          <w:tcPr>
            <w:tcW w:w="5131" w:type="dxa"/>
          </w:tcPr>
          <w:p>
            <w:pPr>
              <w:pStyle w:val="TableParagraph"/>
              <w:spacing w:before="62"/>
              <w:ind w:left="50"/>
              <w:rPr>
                <w:sz w:val="18"/>
              </w:rPr>
            </w:pPr>
            <w:r>
              <w:rPr>
                <w:sz w:val="18"/>
              </w:rPr>
              <w:t>Common</w:t>
            </w:r>
            <w:r>
              <w:rPr>
                <w:spacing w:val="-1"/>
                <w:sz w:val="18"/>
              </w:rPr>
              <w:t> </w:t>
            </w:r>
            <w:r>
              <w:rPr>
                <w:sz w:val="18"/>
              </w:rPr>
              <w:t>Stock – $.01 par value per </w:t>
            </w:r>
            <w:r>
              <w:rPr>
                <w:spacing w:val="-2"/>
                <w:sz w:val="18"/>
              </w:rPr>
              <w:t>share</w:t>
            </w:r>
          </w:p>
        </w:tc>
        <w:tc>
          <w:tcPr>
            <w:tcW w:w="1619" w:type="dxa"/>
          </w:tcPr>
          <w:p>
            <w:pPr>
              <w:pStyle w:val="TableParagraph"/>
              <w:spacing w:before="62"/>
              <w:ind w:right="49"/>
              <w:jc w:val="center"/>
              <w:rPr>
                <w:sz w:val="18"/>
              </w:rPr>
            </w:pPr>
            <w:r>
              <w:rPr>
                <w:spacing w:val="-4"/>
                <w:sz w:val="18"/>
              </w:rPr>
              <w:t>SCHW</w:t>
            </w:r>
          </w:p>
        </w:tc>
        <w:tc>
          <w:tcPr>
            <w:tcW w:w="3391" w:type="dxa"/>
          </w:tcPr>
          <w:p>
            <w:pPr>
              <w:pStyle w:val="TableParagraph"/>
              <w:spacing w:before="62"/>
              <w:ind w:left="101" w:right="1"/>
              <w:jc w:val="center"/>
              <w:rPr>
                <w:sz w:val="18"/>
              </w:rPr>
            </w:pPr>
            <w:r>
              <w:rPr>
                <w:sz w:val="18"/>
              </w:rPr>
              <w:t>New</w:t>
            </w:r>
            <w:r>
              <w:rPr>
                <w:spacing w:val="-4"/>
                <w:sz w:val="18"/>
              </w:rPr>
              <w:t> </w:t>
            </w:r>
            <w:r>
              <w:rPr>
                <w:sz w:val="18"/>
              </w:rPr>
              <w:t>York</w:t>
            </w:r>
            <w:r>
              <w:rPr>
                <w:spacing w:val="-1"/>
                <w:sz w:val="18"/>
              </w:rPr>
              <w:t> </w:t>
            </w:r>
            <w:r>
              <w:rPr>
                <w:sz w:val="18"/>
              </w:rPr>
              <w:t>Stock</w:t>
            </w:r>
            <w:r>
              <w:rPr>
                <w:spacing w:val="-1"/>
                <w:sz w:val="18"/>
              </w:rPr>
              <w:t> </w:t>
            </w:r>
            <w:r>
              <w:rPr>
                <w:spacing w:val="-2"/>
                <w:sz w:val="18"/>
              </w:rPr>
              <w:t>Exchange</w:t>
            </w:r>
          </w:p>
        </w:tc>
      </w:tr>
      <w:tr>
        <w:trPr>
          <w:trHeight w:val="465" w:hRule="atLeast"/>
        </w:trPr>
        <w:tc>
          <w:tcPr>
            <w:tcW w:w="5131" w:type="dxa"/>
          </w:tcPr>
          <w:p>
            <w:pPr>
              <w:pStyle w:val="TableParagraph"/>
              <w:spacing w:line="208" w:lineRule="auto" w:before="57"/>
              <w:ind w:left="50"/>
              <w:rPr>
                <w:sz w:val="18"/>
              </w:rPr>
            </w:pPr>
            <w:r>
              <w:rPr>
                <w:sz w:val="18"/>
              </w:rPr>
              <w:t>Depositary</w:t>
            </w:r>
            <w:r>
              <w:rPr>
                <w:spacing w:val="-5"/>
                <w:sz w:val="18"/>
              </w:rPr>
              <w:t> </w:t>
            </w:r>
            <w:r>
              <w:rPr>
                <w:sz w:val="18"/>
              </w:rPr>
              <w:t>Shares,</w:t>
            </w:r>
            <w:r>
              <w:rPr>
                <w:spacing w:val="-5"/>
                <w:sz w:val="18"/>
              </w:rPr>
              <w:t> </w:t>
            </w:r>
            <w:r>
              <w:rPr>
                <w:sz w:val="18"/>
              </w:rPr>
              <w:t>each</w:t>
            </w:r>
            <w:r>
              <w:rPr>
                <w:spacing w:val="-5"/>
                <w:sz w:val="18"/>
              </w:rPr>
              <w:t> </w:t>
            </w:r>
            <w:r>
              <w:rPr>
                <w:sz w:val="18"/>
              </w:rPr>
              <w:t>representing</w:t>
            </w:r>
            <w:r>
              <w:rPr>
                <w:spacing w:val="-5"/>
                <w:sz w:val="18"/>
              </w:rPr>
              <w:t> </w:t>
            </w:r>
            <w:r>
              <w:rPr>
                <w:sz w:val="18"/>
              </w:rPr>
              <w:t>a</w:t>
            </w:r>
            <w:r>
              <w:rPr>
                <w:spacing w:val="-5"/>
                <w:sz w:val="18"/>
              </w:rPr>
              <w:t> </w:t>
            </w:r>
            <w:r>
              <w:rPr>
                <w:sz w:val="18"/>
              </w:rPr>
              <w:t>1/40th</w:t>
            </w:r>
            <w:r>
              <w:rPr>
                <w:spacing w:val="-5"/>
                <w:sz w:val="18"/>
              </w:rPr>
              <w:t> </w:t>
            </w:r>
            <w:r>
              <w:rPr>
                <w:sz w:val="18"/>
              </w:rPr>
              <w:t>ownership</w:t>
            </w:r>
            <w:r>
              <w:rPr>
                <w:spacing w:val="-5"/>
                <w:sz w:val="18"/>
              </w:rPr>
              <w:t> </w:t>
            </w:r>
            <w:r>
              <w:rPr>
                <w:sz w:val="18"/>
              </w:rPr>
              <w:t>interest</w:t>
            </w:r>
            <w:r>
              <w:rPr>
                <w:spacing w:val="-5"/>
                <w:sz w:val="18"/>
              </w:rPr>
              <w:t> </w:t>
            </w:r>
            <w:r>
              <w:rPr>
                <w:sz w:val="18"/>
              </w:rPr>
              <w:t>in</w:t>
            </w:r>
            <w:r>
              <w:rPr>
                <w:spacing w:val="-5"/>
                <w:sz w:val="18"/>
              </w:rPr>
              <w:t> </w:t>
            </w:r>
            <w:r>
              <w:rPr>
                <w:sz w:val="18"/>
              </w:rPr>
              <w:t>a share of 5.95% Non-Cumulative Preferred Stock, Series D</w:t>
            </w:r>
          </w:p>
        </w:tc>
        <w:tc>
          <w:tcPr>
            <w:tcW w:w="1619" w:type="dxa"/>
          </w:tcPr>
          <w:p>
            <w:pPr>
              <w:pStyle w:val="TableParagraph"/>
              <w:spacing w:before="8"/>
              <w:rPr>
                <w:sz w:val="18"/>
              </w:rPr>
            </w:pPr>
          </w:p>
          <w:p>
            <w:pPr>
              <w:pStyle w:val="TableParagraph"/>
              <w:ind w:left="1" w:right="49"/>
              <w:jc w:val="center"/>
              <w:rPr>
                <w:sz w:val="18"/>
              </w:rPr>
            </w:pPr>
            <w:r>
              <w:rPr>
                <w:sz w:val="18"/>
              </w:rPr>
              <w:t>SCHW</w:t>
            </w:r>
            <w:r>
              <w:rPr>
                <w:spacing w:val="-2"/>
                <w:sz w:val="18"/>
              </w:rPr>
              <w:t> </w:t>
            </w:r>
            <w:r>
              <w:rPr>
                <w:spacing w:val="-5"/>
                <w:sz w:val="18"/>
              </w:rPr>
              <w:t>PrD</w:t>
            </w:r>
          </w:p>
        </w:tc>
        <w:tc>
          <w:tcPr>
            <w:tcW w:w="3391" w:type="dxa"/>
          </w:tcPr>
          <w:p>
            <w:pPr>
              <w:pStyle w:val="TableParagraph"/>
              <w:spacing w:before="8"/>
              <w:rPr>
                <w:sz w:val="18"/>
              </w:rPr>
            </w:pPr>
          </w:p>
          <w:p>
            <w:pPr>
              <w:pStyle w:val="TableParagraph"/>
              <w:ind w:left="101" w:right="1"/>
              <w:jc w:val="center"/>
              <w:rPr>
                <w:sz w:val="18"/>
              </w:rPr>
            </w:pPr>
            <w:r>
              <w:rPr>
                <w:sz w:val="18"/>
              </w:rPr>
              <w:t>New</w:t>
            </w:r>
            <w:r>
              <w:rPr>
                <w:spacing w:val="-4"/>
                <w:sz w:val="18"/>
              </w:rPr>
              <w:t> </w:t>
            </w:r>
            <w:r>
              <w:rPr>
                <w:sz w:val="18"/>
              </w:rPr>
              <w:t>York</w:t>
            </w:r>
            <w:r>
              <w:rPr>
                <w:spacing w:val="-1"/>
                <w:sz w:val="18"/>
              </w:rPr>
              <w:t> </w:t>
            </w:r>
            <w:r>
              <w:rPr>
                <w:sz w:val="18"/>
              </w:rPr>
              <w:t>Stock</w:t>
            </w:r>
            <w:r>
              <w:rPr>
                <w:spacing w:val="-1"/>
                <w:sz w:val="18"/>
              </w:rPr>
              <w:t> </w:t>
            </w:r>
            <w:r>
              <w:rPr>
                <w:spacing w:val="-2"/>
                <w:sz w:val="18"/>
              </w:rPr>
              <w:t>Exchange</w:t>
            </w:r>
          </w:p>
        </w:tc>
      </w:tr>
      <w:tr>
        <w:trPr>
          <w:trHeight w:val="422" w:hRule="atLeast"/>
        </w:trPr>
        <w:tc>
          <w:tcPr>
            <w:tcW w:w="5131" w:type="dxa"/>
          </w:tcPr>
          <w:p>
            <w:pPr>
              <w:pStyle w:val="TableParagraph"/>
              <w:spacing w:line="180" w:lineRule="exact" w:before="42"/>
              <w:ind w:left="50"/>
              <w:rPr>
                <w:sz w:val="18"/>
              </w:rPr>
            </w:pPr>
            <w:r>
              <w:rPr>
                <w:sz w:val="18"/>
              </w:rPr>
              <w:t>Depositary</w:t>
            </w:r>
            <w:r>
              <w:rPr>
                <w:spacing w:val="-5"/>
                <w:sz w:val="18"/>
              </w:rPr>
              <w:t> </w:t>
            </w:r>
            <w:r>
              <w:rPr>
                <w:sz w:val="18"/>
              </w:rPr>
              <w:t>Shares,</w:t>
            </w:r>
            <w:r>
              <w:rPr>
                <w:spacing w:val="-5"/>
                <w:sz w:val="18"/>
              </w:rPr>
              <w:t> </w:t>
            </w:r>
            <w:r>
              <w:rPr>
                <w:sz w:val="18"/>
              </w:rPr>
              <w:t>each</w:t>
            </w:r>
            <w:r>
              <w:rPr>
                <w:spacing w:val="-5"/>
                <w:sz w:val="18"/>
              </w:rPr>
              <w:t> </w:t>
            </w:r>
            <w:r>
              <w:rPr>
                <w:sz w:val="18"/>
              </w:rPr>
              <w:t>representing</w:t>
            </w:r>
            <w:r>
              <w:rPr>
                <w:spacing w:val="-5"/>
                <w:sz w:val="18"/>
              </w:rPr>
              <w:t> </w:t>
            </w:r>
            <w:r>
              <w:rPr>
                <w:sz w:val="18"/>
              </w:rPr>
              <w:t>a</w:t>
            </w:r>
            <w:r>
              <w:rPr>
                <w:spacing w:val="-5"/>
                <w:sz w:val="18"/>
              </w:rPr>
              <w:t> </w:t>
            </w:r>
            <w:r>
              <w:rPr>
                <w:sz w:val="18"/>
              </w:rPr>
              <w:t>1/40th</w:t>
            </w:r>
            <w:r>
              <w:rPr>
                <w:spacing w:val="-5"/>
                <w:sz w:val="18"/>
              </w:rPr>
              <w:t> </w:t>
            </w:r>
            <w:r>
              <w:rPr>
                <w:sz w:val="18"/>
              </w:rPr>
              <w:t>ownership</w:t>
            </w:r>
            <w:r>
              <w:rPr>
                <w:spacing w:val="-5"/>
                <w:sz w:val="18"/>
              </w:rPr>
              <w:t> </w:t>
            </w:r>
            <w:r>
              <w:rPr>
                <w:sz w:val="18"/>
              </w:rPr>
              <w:t>interest</w:t>
            </w:r>
            <w:r>
              <w:rPr>
                <w:spacing w:val="-5"/>
                <w:sz w:val="18"/>
              </w:rPr>
              <w:t> </w:t>
            </w:r>
            <w:r>
              <w:rPr>
                <w:sz w:val="18"/>
              </w:rPr>
              <w:t>in</w:t>
            </w:r>
            <w:r>
              <w:rPr>
                <w:spacing w:val="-5"/>
                <w:sz w:val="18"/>
              </w:rPr>
              <w:t> </w:t>
            </w:r>
            <w:r>
              <w:rPr>
                <w:sz w:val="18"/>
              </w:rPr>
              <w:t>a share of 4.450% Non-Cumulative Preferred Stock, Series J</w:t>
            </w:r>
          </w:p>
        </w:tc>
        <w:tc>
          <w:tcPr>
            <w:tcW w:w="1619" w:type="dxa"/>
          </w:tcPr>
          <w:p>
            <w:pPr>
              <w:pStyle w:val="TableParagraph"/>
              <w:spacing w:before="8"/>
              <w:rPr>
                <w:sz w:val="18"/>
              </w:rPr>
            </w:pPr>
          </w:p>
          <w:p>
            <w:pPr>
              <w:pStyle w:val="TableParagraph"/>
              <w:spacing w:line="187" w:lineRule="exact"/>
              <w:ind w:left="1" w:right="49"/>
              <w:jc w:val="center"/>
              <w:rPr>
                <w:sz w:val="18"/>
              </w:rPr>
            </w:pPr>
            <w:r>
              <w:rPr>
                <w:sz w:val="18"/>
              </w:rPr>
              <w:t>SCHW</w:t>
            </w:r>
            <w:r>
              <w:rPr>
                <w:spacing w:val="-2"/>
                <w:sz w:val="18"/>
              </w:rPr>
              <w:t> </w:t>
            </w:r>
            <w:r>
              <w:rPr>
                <w:spacing w:val="-5"/>
                <w:sz w:val="18"/>
              </w:rPr>
              <w:t>PrJ</w:t>
            </w:r>
          </w:p>
        </w:tc>
        <w:tc>
          <w:tcPr>
            <w:tcW w:w="3391" w:type="dxa"/>
          </w:tcPr>
          <w:p>
            <w:pPr>
              <w:pStyle w:val="TableParagraph"/>
              <w:spacing w:before="8"/>
              <w:rPr>
                <w:sz w:val="18"/>
              </w:rPr>
            </w:pPr>
          </w:p>
          <w:p>
            <w:pPr>
              <w:pStyle w:val="TableParagraph"/>
              <w:spacing w:line="187" w:lineRule="exact"/>
              <w:ind w:left="101" w:right="1"/>
              <w:jc w:val="center"/>
              <w:rPr>
                <w:sz w:val="18"/>
              </w:rPr>
            </w:pPr>
            <w:r>
              <w:rPr>
                <w:sz w:val="18"/>
              </w:rPr>
              <w:t>New</w:t>
            </w:r>
            <w:r>
              <w:rPr>
                <w:spacing w:val="-4"/>
                <w:sz w:val="18"/>
              </w:rPr>
              <w:t> </w:t>
            </w:r>
            <w:r>
              <w:rPr>
                <w:sz w:val="18"/>
              </w:rPr>
              <w:t>York</w:t>
            </w:r>
            <w:r>
              <w:rPr>
                <w:spacing w:val="-1"/>
                <w:sz w:val="18"/>
              </w:rPr>
              <w:t> </w:t>
            </w:r>
            <w:r>
              <w:rPr>
                <w:sz w:val="18"/>
              </w:rPr>
              <w:t>Stock</w:t>
            </w:r>
            <w:r>
              <w:rPr>
                <w:spacing w:val="-1"/>
                <w:sz w:val="18"/>
              </w:rPr>
              <w:t> </w:t>
            </w:r>
            <w:r>
              <w:rPr>
                <w:spacing w:val="-2"/>
                <w:sz w:val="18"/>
              </w:rPr>
              <w:t>Exchange</w:t>
            </w:r>
          </w:p>
        </w:tc>
      </w:tr>
    </w:tbl>
    <w:p>
      <w:pPr>
        <w:pStyle w:val="BodyText"/>
        <w:spacing w:before="105"/>
        <w:rPr>
          <w:sz w:val="18"/>
        </w:rPr>
      </w:pPr>
    </w:p>
    <w:p>
      <w:pPr>
        <w:spacing w:line="232" w:lineRule="auto" w:before="1"/>
        <w:ind w:left="380" w:right="597" w:firstLine="0"/>
        <w:jc w:val="both"/>
        <w:rPr>
          <w:rFonts w:ascii="VL PGothic" w:hAnsi="VL PGothic"/>
          <w:sz w:val="16"/>
        </w:rPr>
      </w:pPr>
      <w:r>
        <w:rPr>
          <w:sz w:val="16"/>
        </w:rPr>
        <w:t>Indicate by check mark whether the registrant (1) has</w:t>
      </w:r>
      <w:r>
        <w:rPr>
          <w:spacing w:val="-1"/>
          <w:sz w:val="16"/>
        </w:rPr>
        <w:t> </w:t>
      </w:r>
      <w:r>
        <w:rPr>
          <w:sz w:val="16"/>
        </w:rPr>
        <w:t>filed all reports</w:t>
      </w:r>
      <w:r>
        <w:rPr>
          <w:spacing w:val="-1"/>
          <w:sz w:val="16"/>
        </w:rPr>
        <w:t> </w:t>
      </w:r>
      <w:r>
        <w:rPr>
          <w:sz w:val="16"/>
        </w:rPr>
        <w:t>required to be filed by Section 13 or 15(d) of the Securities</w:t>
      </w:r>
      <w:r>
        <w:rPr>
          <w:spacing w:val="-1"/>
          <w:sz w:val="16"/>
        </w:rPr>
        <w:t> </w:t>
      </w:r>
      <w:r>
        <w:rPr>
          <w:sz w:val="16"/>
        </w:rPr>
        <w:t>Exchange Act of 1934 during</w:t>
      </w:r>
      <w:r>
        <w:rPr>
          <w:spacing w:val="40"/>
          <w:sz w:val="16"/>
        </w:rPr>
        <w:t> </w:t>
      </w:r>
      <w:r>
        <w:rPr>
          <w:sz w:val="16"/>
        </w:rPr>
        <w:t>the</w:t>
      </w:r>
      <w:r>
        <w:rPr>
          <w:spacing w:val="-2"/>
          <w:sz w:val="16"/>
        </w:rPr>
        <w:t> </w:t>
      </w:r>
      <w:r>
        <w:rPr>
          <w:sz w:val="16"/>
        </w:rPr>
        <w:t>preceding</w:t>
      </w:r>
      <w:r>
        <w:rPr>
          <w:spacing w:val="-2"/>
          <w:sz w:val="16"/>
        </w:rPr>
        <w:t> </w:t>
      </w:r>
      <w:r>
        <w:rPr>
          <w:sz w:val="16"/>
        </w:rPr>
        <w:t>12</w:t>
      </w:r>
      <w:r>
        <w:rPr>
          <w:spacing w:val="-2"/>
          <w:sz w:val="16"/>
        </w:rPr>
        <w:t> </w:t>
      </w:r>
      <w:r>
        <w:rPr>
          <w:sz w:val="16"/>
        </w:rPr>
        <w:t>months</w:t>
      </w:r>
      <w:r>
        <w:rPr>
          <w:spacing w:val="-3"/>
          <w:sz w:val="16"/>
        </w:rPr>
        <w:t> </w:t>
      </w:r>
      <w:r>
        <w:rPr>
          <w:sz w:val="16"/>
        </w:rPr>
        <w:t>(or</w:t>
      </w:r>
      <w:r>
        <w:rPr>
          <w:spacing w:val="-2"/>
          <w:sz w:val="16"/>
        </w:rPr>
        <w:t> </w:t>
      </w:r>
      <w:r>
        <w:rPr>
          <w:sz w:val="16"/>
        </w:rPr>
        <w:t>for</w:t>
      </w:r>
      <w:r>
        <w:rPr>
          <w:spacing w:val="-2"/>
          <w:sz w:val="16"/>
        </w:rPr>
        <w:t> </w:t>
      </w:r>
      <w:r>
        <w:rPr>
          <w:sz w:val="16"/>
        </w:rPr>
        <w:t>such</w:t>
      </w:r>
      <w:r>
        <w:rPr>
          <w:spacing w:val="-2"/>
          <w:sz w:val="16"/>
        </w:rPr>
        <w:t> </w:t>
      </w:r>
      <w:r>
        <w:rPr>
          <w:sz w:val="16"/>
        </w:rPr>
        <w:t>shorter</w:t>
      </w:r>
      <w:r>
        <w:rPr>
          <w:spacing w:val="-2"/>
          <w:sz w:val="16"/>
        </w:rPr>
        <w:t> </w:t>
      </w:r>
      <w:r>
        <w:rPr>
          <w:sz w:val="16"/>
        </w:rPr>
        <w:t>period</w:t>
      </w:r>
      <w:r>
        <w:rPr>
          <w:spacing w:val="-2"/>
          <w:sz w:val="16"/>
        </w:rPr>
        <w:t> </w:t>
      </w:r>
      <w:r>
        <w:rPr>
          <w:sz w:val="16"/>
        </w:rPr>
        <w:t>that</w:t>
      </w:r>
      <w:r>
        <w:rPr>
          <w:spacing w:val="-2"/>
          <w:sz w:val="16"/>
        </w:rPr>
        <w:t> </w:t>
      </w:r>
      <w:r>
        <w:rPr>
          <w:sz w:val="16"/>
        </w:rPr>
        <w:t>the</w:t>
      </w:r>
      <w:r>
        <w:rPr>
          <w:spacing w:val="-2"/>
          <w:sz w:val="16"/>
        </w:rPr>
        <w:t> </w:t>
      </w:r>
      <w:r>
        <w:rPr>
          <w:sz w:val="16"/>
        </w:rPr>
        <w:t>registrant</w:t>
      </w:r>
      <w:r>
        <w:rPr>
          <w:spacing w:val="-2"/>
          <w:sz w:val="16"/>
        </w:rPr>
        <w:t> </w:t>
      </w:r>
      <w:r>
        <w:rPr>
          <w:sz w:val="16"/>
        </w:rPr>
        <w:t>was</w:t>
      </w:r>
      <w:r>
        <w:rPr>
          <w:spacing w:val="-3"/>
          <w:sz w:val="16"/>
        </w:rPr>
        <w:t> </w:t>
      </w:r>
      <w:r>
        <w:rPr>
          <w:sz w:val="16"/>
        </w:rPr>
        <w:t>required</w:t>
      </w:r>
      <w:r>
        <w:rPr>
          <w:spacing w:val="-2"/>
          <w:sz w:val="16"/>
        </w:rPr>
        <w:t> </w:t>
      </w:r>
      <w:r>
        <w:rPr>
          <w:sz w:val="16"/>
        </w:rPr>
        <w:t>to</w:t>
      </w:r>
      <w:r>
        <w:rPr>
          <w:spacing w:val="-2"/>
          <w:sz w:val="16"/>
        </w:rPr>
        <w:t> </w:t>
      </w:r>
      <w:r>
        <w:rPr>
          <w:sz w:val="16"/>
        </w:rPr>
        <w:t>file</w:t>
      </w:r>
      <w:r>
        <w:rPr>
          <w:spacing w:val="-2"/>
          <w:sz w:val="16"/>
        </w:rPr>
        <w:t> </w:t>
      </w:r>
      <w:r>
        <w:rPr>
          <w:sz w:val="16"/>
        </w:rPr>
        <w:t>such</w:t>
      </w:r>
      <w:r>
        <w:rPr>
          <w:spacing w:val="-2"/>
          <w:sz w:val="16"/>
        </w:rPr>
        <w:t> </w:t>
      </w:r>
      <w:r>
        <w:rPr>
          <w:sz w:val="16"/>
        </w:rPr>
        <w:t>reports),</w:t>
      </w:r>
      <w:r>
        <w:rPr>
          <w:spacing w:val="-2"/>
          <w:sz w:val="16"/>
        </w:rPr>
        <w:t> </w:t>
      </w:r>
      <w:r>
        <w:rPr>
          <w:sz w:val="16"/>
        </w:rPr>
        <w:t>and</w:t>
      </w:r>
      <w:r>
        <w:rPr>
          <w:spacing w:val="-2"/>
          <w:sz w:val="16"/>
        </w:rPr>
        <w:t> </w:t>
      </w:r>
      <w:r>
        <w:rPr>
          <w:sz w:val="16"/>
        </w:rPr>
        <w:t>(2)</w:t>
      </w:r>
      <w:r>
        <w:rPr>
          <w:spacing w:val="-2"/>
          <w:sz w:val="16"/>
        </w:rPr>
        <w:t> </w:t>
      </w:r>
      <w:r>
        <w:rPr>
          <w:sz w:val="16"/>
        </w:rPr>
        <w:t>has</w:t>
      </w:r>
      <w:r>
        <w:rPr>
          <w:spacing w:val="-3"/>
          <w:sz w:val="16"/>
        </w:rPr>
        <w:t> </w:t>
      </w:r>
      <w:r>
        <w:rPr>
          <w:sz w:val="16"/>
        </w:rPr>
        <w:t>been</w:t>
      </w:r>
      <w:r>
        <w:rPr>
          <w:spacing w:val="-2"/>
          <w:sz w:val="16"/>
        </w:rPr>
        <w:t> </w:t>
      </w:r>
      <w:r>
        <w:rPr>
          <w:sz w:val="16"/>
        </w:rPr>
        <w:t>subject</w:t>
      </w:r>
      <w:r>
        <w:rPr>
          <w:spacing w:val="-2"/>
          <w:sz w:val="16"/>
        </w:rPr>
        <w:t> </w:t>
      </w:r>
      <w:r>
        <w:rPr>
          <w:sz w:val="16"/>
        </w:rPr>
        <w:t>to</w:t>
      </w:r>
      <w:r>
        <w:rPr>
          <w:spacing w:val="-2"/>
          <w:sz w:val="16"/>
        </w:rPr>
        <w:t> </w:t>
      </w:r>
      <w:r>
        <w:rPr>
          <w:sz w:val="16"/>
        </w:rPr>
        <w:t>such</w:t>
      </w:r>
      <w:r>
        <w:rPr>
          <w:spacing w:val="-2"/>
          <w:sz w:val="16"/>
        </w:rPr>
        <w:t> </w:t>
      </w:r>
      <w:r>
        <w:rPr>
          <w:sz w:val="16"/>
        </w:rPr>
        <w:t>filing</w:t>
      </w:r>
      <w:r>
        <w:rPr>
          <w:spacing w:val="-2"/>
          <w:sz w:val="16"/>
        </w:rPr>
        <w:t> </w:t>
      </w:r>
      <w:r>
        <w:rPr>
          <w:sz w:val="16"/>
        </w:rPr>
        <w:t>requirements</w:t>
      </w:r>
      <w:r>
        <w:rPr>
          <w:spacing w:val="-3"/>
          <w:sz w:val="16"/>
        </w:rPr>
        <w:t> </w:t>
      </w:r>
      <w:r>
        <w:rPr>
          <w:sz w:val="16"/>
        </w:rPr>
        <w:t>for</w:t>
      </w:r>
      <w:r>
        <w:rPr>
          <w:spacing w:val="40"/>
          <w:sz w:val="16"/>
        </w:rPr>
        <w:t> </w:t>
      </w:r>
      <w:r>
        <w:rPr>
          <w:sz w:val="16"/>
        </w:rPr>
        <w:t>the past 90 days. Yes </w:t>
      </w:r>
      <w:r>
        <w:rPr>
          <w:rFonts w:ascii="VL PGothic" w:hAnsi="VL PGothic"/>
          <w:sz w:val="16"/>
        </w:rPr>
        <w:t>☒</w:t>
      </w:r>
      <w:r>
        <w:rPr>
          <w:rFonts w:ascii="VL PGothic" w:hAnsi="VL PGothic"/>
          <w:spacing w:val="40"/>
          <w:sz w:val="16"/>
        </w:rPr>
        <w:t> </w:t>
      </w:r>
      <w:r>
        <w:rPr>
          <w:sz w:val="16"/>
        </w:rPr>
        <w:t>No </w:t>
      </w:r>
      <w:r>
        <w:rPr>
          <w:rFonts w:ascii="VL PGothic" w:hAnsi="VL PGothic"/>
          <w:sz w:val="16"/>
        </w:rPr>
        <w:t>☐</w:t>
      </w:r>
    </w:p>
    <w:p>
      <w:pPr>
        <w:spacing w:line="232" w:lineRule="auto" w:before="154"/>
        <w:ind w:left="380" w:right="761" w:firstLine="0"/>
        <w:jc w:val="left"/>
        <w:rPr>
          <w:rFonts w:ascii="VL PGothic" w:hAnsi="VL PGothic"/>
          <w:sz w:val="16"/>
        </w:rPr>
      </w:pPr>
      <w:r>
        <w:rPr>
          <w:sz w:val="16"/>
        </w:rPr>
        <w:t>Indicate by check mark whether the registrant has submitted electronically every Interactive Data File required to be submitted pursuant to Rule 405 of</w:t>
      </w:r>
      <w:r>
        <w:rPr>
          <w:spacing w:val="40"/>
          <w:sz w:val="16"/>
        </w:rPr>
        <w:t> </w:t>
      </w:r>
      <w:r>
        <w:rPr>
          <w:sz w:val="16"/>
        </w:rPr>
        <w:t>Regulation</w:t>
      </w:r>
      <w:r>
        <w:rPr>
          <w:spacing w:val="-2"/>
          <w:sz w:val="16"/>
        </w:rPr>
        <w:t> </w:t>
      </w:r>
      <w:r>
        <w:rPr>
          <w:sz w:val="16"/>
        </w:rPr>
        <w:t>S-T</w:t>
      </w:r>
      <w:r>
        <w:rPr>
          <w:spacing w:val="-3"/>
          <w:sz w:val="16"/>
        </w:rPr>
        <w:t> </w:t>
      </w:r>
      <w:r>
        <w:rPr>
          <w:sz w:val="16"/>
        </w:rPr>
        <w:t>(§232.405</w:t>
      </w:r>
      <w:r>
        <w:rPr>
          <w:spacing w:val="-2"/>
          <w:sz w:val="16"/>
        </w:rPr>
        <w:t> </w:t>
      </w:r>
      <w:r>
        <w:rPr>
          <w:sz w:val="16"/>
        </w:rPr>
        <w:t>of</w:t>
      </w:r>
      <w:r>
        <w:rPr>
          <w:spacing w:val="-2"/>
          <w:sz w:val="16"/>
        </w:rPr>
        <w:t> </w:t>
      </w:r>
      <w:r>
        <w:rPr>
          <w:sz w:val="16"/>
        </w:rPr>
        <w:t>this</w:t>
      </w:r>
      <w:r>
        <w:rPr>
          <w:spacing w:val="-3"/>
          <w:sz w:val="16"/>
        </w:rPr>
        <w:t> </w:t>
      </w:r>
      <w:r>
        <w:rPr>
          <w:sz w:val="16"/>
        </w:rPr>
        <w:t>chapter)</w:t>
      </w:r>
      <w:r>
        <w:rPr>
          <w:spacing w:val="-2"/>
          <w:sz w:val="16"/>
        </w:rPr>
        <w:t> </w:t>
      </w:r>
      <w:r>
        <w:rPr>
          <w:sz w:val="16"/>
        </w:rPr>
        <w:t>during</w:t>
      </w:r>
      <w:r>
        <w:rPr>
          <w:spacing w:val="-2"/>
          <w:sz w:val="16"/>
        </w:rPr>
        <w:t> </w:t>
      </w:r>
      <w:r>
        <w:rPr>
          <w:sz w:val="16"/>
        </w:rPr>
        <w:t>the</w:t>
      </w:r>
      <w:r>
        <w:rPr>
          <w:spacing w:val="-2"/>
          <w:sz w:val="16"/>
        </w:rPr>
        <w:t> </w:t>
      </w:r>
      <w:r>
        <w:rPr>
          <w:sz w:val="16"/>
        </w:rPr>
        <w:t>preceding</w:t>
      </w:r>
      <w:r>
        <w:rPr>
          <w:spacing w:val="-2"/>
          <w:sz w:val="16"/>
        </w:rPr>
        <w:t> </w:t>
      </w:r>
      <w:r>
        <w:rPr>
          <w:sz w:val="16"/>
        </w:rPr>
        <w:t>12</w:t>
      </w:r>
      <w:r>
        <w:rPr>
          <w:spacing w:val="-2"/>
          <w:sz w:val="16"/>
        </w:rPr>
        <w:t> </w:t>
      </w:r>
      <w:r>
        <w:rPr>
          <w:sz w:val="16"/>
        </w:rPr>
        <w:t>months</w:t>
      </w:r>
      <w:r>
        <w:rPr>
          <w:spacing w:val="-3"/>
          <w:sz w:val="16"/>
        </w:rPr>
        <w:t> </w:t>
      </w:r>
      <w:r>
        <w:rPr>
          <w:sz w:val="16"/>
        </w:rPr>
        <w:t>(or</w:t>
      </w:r>
      <w:r>
        <w:rPr>
          <w:spacing w:val="-2"/>
          <w:sz w:val="16"/>
        </w:rPr>
        <w:t> </w:t>
      </w:r>
      <w:r>
        <w:rPr>
          <w:sz w:val="16"/>
        </w:rPr>
        <w:t>for</w:t>
      </w:r>
      <w:r>
        <w:rPr>
          <w:spacing w:val="-2"/>
          <w:sz w:val="16"/>
        </w:rPr>
        <w:t> </w:t>
      </w:r>
      <w:r>
        <w:rPr>
          <w:sz w:val="16"/>
        </w:rPr>
        <w:t>such</w:t>
      </w:r>
      <w:r>
        <w:rPr>
          <w:spacing w:val="-2"/>
          <w:sz w:val="16"/>
        </w:rPr>
        <w:t> </w:t>
      </w:r>
      <w:r>
        <w:rPr>
          <w:sz w:val="16"/>
        </w:rPr>
        <w:t>shorter</w:t>
      </w:r>
      <w:r>
        <w:rPr>
          <w:spacing w:val="-2"/>
          <w:sz w:val="16"/>
        </w:rPr>
        <w:t> </w:t>
      </w:r>
      <w:r>
        <w:rPr>
          <w:sz w:val="16"/>
        </w:rPr>
        <w:t>period</w:t>
      </w:r>
      <w:r>
        <w:rPr>
          <w:spacing w:val="-2"/>
          <w:sz w:val="16"/>
        </w:rPr>
        <w:t> </w:t>
      </w:r>
      <w:r>
        <w:rPr>
          <w:sz w:val="16"/>
        </w:rPr>
        <w:t>that</w:t>
      </w:r>
      <w:r>
        <w:rPr>
          <w:spacing w:val="-2"/>
          <w:sz w:val="16"/>
        </w:rPr>
        <w:t> </w:t>
      </w:r>
      <w:r>
        <w:rPr>
          <w:sz w:val="16"/>
        </w:rPr>
        <w:t>the</w:t>
      </w:r>
      <w:r>
        <w:rPr>
          <w:spacing w:val="-2"/>
          <w:sz w:val="16"/>
        </w:rPr>
        <w:t> </w:t>
      </w:r>
      <w:r>
        <w:rPr>
          <w:sz w:val="16"/>
        </w:rPr>
        <w:t>registrant</w:t>
      </w:r>
      <w:r>
        <w:rPr>
          <w:spacing w:val="-2"/>
          <w:sz w:val="16"/>
        </w:rPr>
        <w:t> </w:t>
      </w:r>
      <w:r>
        <w:rPr>
          <w:sz w:val="16"/>
        </w:rPr>
        <w:t>was</w:t>
      </w:r>
      <w:r>
        <w:rPr>
          <w:spacing w:val="-3"/>
          <w:sz w:val="16"/>
        </w:rPr>
        <w:t> </w:t>
      </w:r>
      <w:r>
        <w:rPr>
          <w:sz w:val="16"/>
        </w:rPr>
        <w:t>required</w:t>
      </w:r>
      <w:r>
        <w:rPr>
          <w:spacing w:val="-2"/>
          <w:sz w:val="16"/>
        </w:rPr>
        <w:t> </w:t>
      </w:r>
      <w:r>
        <w:rPr>
          <w:sz w:val="16"/>
        </w:rPr>
        <w:t>to</w:t>
      </w:r>
      <w:r>
        <w:rPr>
          <w:spacing w:val="-2"/>
          <w:sz w:val="16"/>
        </w:rPr>
        <w:t> </w:t>
      </w:r>
      <w:r>
        <w:rPr>
          <w:sz w:val="16"/>
        </w:rPr>
        <w:t>submit</w:t>
      </w:r>
      <w:r>
        <w:rPr>
          <w:spacing w:val="-2"/>
          <w:sz w:val="16"/>
        </w:rPr>
        <w:t> </w:t>
      </w:r>
      <w:r>
        <w:rPr>
          <w:sz w:val="16"/>
        </w:rPr>
        <w:t>such</w:t>
      </w:r>
      <w:r>
        <w:rPr>
          <w:spacing w:val="-2"/>
          <w:sz w:val="16"/>
        </w:rPr>
        <w:t> </w:t>
      </w:r>
      <w:r>
        <w:rPr>
          <w:sz w:val="16"/>
        </w:rPr>
        <w:t>files).</w:t>
      </w:r>
      <w:r>
        <w:rPr>
          <w:spacing w:val="40"/>
          <w:sz w:val="16"/>
        </w:rPr>
        <w:t> </w:t>
      </w:r>
      <w:r>
        <w:rPr>
          <w:sz w:val="16"/>
        </w:rPr>
        <w:t>Yes </w:t>
      </w:r>
      <w:r>
        <w:rPr>
          <w:rFonts w:ascii="VL PGothic" w:hAnsi="VL PGothic"/>
          <w:sz w:val="16"/>
        </w:rPr>
        <w:t>☒</w:t>
      </w:r>
      <w:r>
        <w:rPr>
          <w:rFonts w:ascii="VL PGothic" w:hAnsi="VL PGothic"/>
          <w:spacing w:val="40"/>
          <w:sz w:val="16"/>
        </w:rPr>
        <w:t> </w:t>
      </w:r>
      <w:r>
        <w:rPr>
          <w:sz w:val="16"/>
        </w:rPr>
        <w:t>No </w:t>
      </w:r>
      <w:r>
        <w:rPr>
          <w:rFonts w:ascii="VL PGothic" w:hAnsi="VL PGothic"/>
          <w:sz w:val="16"/>
        </w:rPr>
        <w:t>☐</w:t>
      </w:r>
    </w:p>
    <w:p>
      <w:pPr>
        <w:spacing w:line="249" w:lineRule="auto" w:before="151"/>
        <w:ind w:left="380" w:right="500" w:firstLine="0"/>
        <w:jc w:val="left"/>
        <w:rPr>
          <w:sz w:val="16"/>
        </w:rPr>
      </w:pPr>
      <w:r>
        <w:rPr>
          <w:sz w:val="16"/>
        </w:rPr>
        <w:t>Indicate by check mark whether the registrant is a large accelerated filer, an accelerated filer, a non-accelerated filer, a smaller reporting company, or an</w:t>
      </w:r>
      <w:r>
        <w:rPr>
          <w:spacing w:val="40"/>
          <w:sz w:val="16"/>
        </w:rPr>
        <w:t> </w:t>
      </w:r>
      <w:r>
        <w:rPr>
          <w:sz w:val="16"/>
        </w:rPr>
        <w:t>emerging</w:t>
      </w:r>
      <w:r>
        <w:rPr>
          <w:spacing w:val="-2"/>
          <w:sz w:val="16"/>
        </w:rPr>
        <w:t> </w:t>
      </w:r>
      <w:r>
        <w:rPr>
          <w:sz w:val="16"/>
        </w:rPr>
        <w:t>growth</w:t>
      </w:r>
      <w:r>
        <w:rPr>
          <w:spacing w:val="-2"/>
          <w:sz w:val="16"/>
        </w:rPr>
        <w:t> </w:t>
      </w:r>
      <w:r>
        <w:rPr>
          <w:sz w:val="16"/>
        </w:rPr>
        <w:t>company.</w:t>
      </w:r>
      <w:r>
        <w:rPr>
          <w:spacing w:val="-2"/>
          <w:sz w:val="16"/>
        </w:rPr>
        <w:t> </w:t>
      </w:r>
      <w:r>
        <w:rPr>
          <w:sz w:val="16"/>
        </w:rPr>
        <w:t>See</w:t>
      </w:r>
      <w:r>
        <w:rPr>
          <w:spacing w:val="-2"/>
          <w:sz w:val="16"/>
        </w:rPr>
        <w:t> </w:t>
      </w:r>
      <w:r>
        <w:rPr>
          <w:sz w:val="16"/>
        </w:rPr>
        <w:t>the</w:t>
      </w:r>
      <w:r>
        <w:rPr>
          <w:spacing w:val="-2"/>
          <w:sz w:val="16"/>
        </w:rPr>
        <w:t> </w:t>
      </w:r>
      <w:r>
        <w:rPr>
          <w:sz w:val="16"/>
        </w:rPr>
        <w:t>definitions</w:t>
      </w:r>
      <w:r>
        <w:rPr>
          <w:spacing w:val="-3"/>
          <w:sz w:val="16"/>
        </w:rPr>
        <w:t> </w:t>
      </w:r>
      <w:r>
        <w:rPr>
          <w:sz w:val="16"/>
        </w:rPr>
        <w:t>of</w:t>
      </w:r>
      <w:r>
        <w:rPr>
          <w:spacing w:val="-2"/>
          <w:sz w:val="16"/>
        </w:rPr>
        <w:t> </w:t>
      </w:r>
      <w:r>
        <w:rPr>
          <w:sz w:val="16"/>
        </w:rPr>
        <w:t>“large</w:t>
      </w:r>
      <w:r>
        <w:rPr>
          <w:spacing w:val="-2"/>
          <w:sz w:val="16"/>
        </w:rPr>
        <w:t> </w:t>
      </w:r>
      <w:r>
        <w:rPr>
          <w:sz w:val="16"/>
        </w:rPr>
        <w:t>accelerated</w:t>
      </w:r>
      <w:r>
        <w:rPr>
          <w:spacing w:val="-2"/>
          <w:sz w:val="16"/>
        </w:rPr>
        <w:t> </w:t>
      </w:r>
      <w:r>
        <w:rPr>
          <w:sz w:val="16"/>
        </w:rPr>
        <w:t>filer,”</w:t>
      </w:r>
      <w:r>
        <w:rPr>
          <w:spacing w:val="-2"/>
          <w:sz w:val="16"/>
        </w:rPr>
        <w:t> </w:t>
      </w:r>
      <w:r>
        <w:rPr>
          <w:sz w:val="16"/>
        </w:rPr>
        <w:t>“accelerated</w:t>
      </w:r>
      <w:r>
        <w:rPr>
          <w:spacing w:val="-2"/>
          <w:sz w:val="16"/>
        </w:rPr>
        <w:t> </w:t>
      </w:r>
      <w:r>
        <w:rPr>
          <w:sz w:val="16"/>
        </w:rPr>
        <w:t>filer,”</w:t>
      </w:r>
      <w:r>
        <w:rPr>
          <w:spacing w:val="-2"/>
          <w:sz w:val="16"/>
        </w:rPr>
        <w:t> </w:t>
      </w:r>
      <w:r>
        <w:rPr>
          <w:sz w:val="16"/>
        </w:rPr>
        <w:t>“smaller</w:t>
      </w:r>
      <w:r>
        <w:rPr>
          <w:spacing w:val="-2"/>
          <w:sz w:val="16"/>
        </w:rPr>
        <w:t> </w:t>
      </w:r>
      <w:r>
        <w:rPr>
          <w:sz w:val="16"/>
        </w:rPr>
        <w:t>reporting</w:t>
      </w:r>
      <w:r>
        <w:rPr>
          <w:spacing w:val="-2"/>
          <w:sz w:val="16"/>
        </w:rPr>
        <w:t> </w:t>
      </w:r>
      <w:r>
        <w:rPr>
          <w:sz w:val="16"/>
        </w:rPr>
        <w:t>company,”</w:t>
      </w:r>
      <w:r>
        <w:rPr>
          <w:spacing w:val="-2"/>
          <w:sz w:val="16"/>
        </w:rPr>
        <w:t> </w:t>
      </w:r>
      <w:r>
        <w:rPr>
          <w:sz w:val="16"/>
        </w:rPr>
        <w:t>and</w:t>
      </w:r>
      <w:r>
        <w:rPr>
          <w:spacing w:val="-2"/>
          <w:sz w:val="16"/>
        </w:rPr>
        <w:t> </w:t>
      </w:r>
      <w:r>
        <w:rPr>
          <w:sz w:val="16"/>
        </w:rPr>
        <w:t>“emerging</w:t>
      </w:r>
      <w:r>
        <w:rPr>
          <w:spacing w:val="-2"/>
          <w:sz w:val="16"/>
        </w:rPr>
        <w:t> </w:t>
      </w:r>
      <w:r>
        <w:rPr>
          <w:sz w:val="16"/>
        </w:rPr>
        <w:t>growth</w:t>
      </w:r>
      <w:r>
        <w:rPr>
          <w:spacing w:val="-2"/>
          <w:sz w:val="16"/>
        </w:rPr>
        <w:t> </w:t>
      </w:r>
      <w:r>
        <w:rPr>
          <w:sz w:val="16"/>
        </w:rPr>
        <w:t>company”</w:t>
      </w:r>
      <w:r>
        <w:rPr>
          <w:spacing w:val="-2"/>
          <w:sz w:val="16"/>
        </w:rPr>
        <w:t> </w:t>
      </w:r>
      <w:r>
        <w:rPr>
          <w:sz w:val="16"/>
        </w:rPr>
        <w:t>in</w:t>
      </w:r>
      <w:r>
        <w:rPr>
          <w:spacing w:val="40"/>
          <w:sz w:val="16"/>
        </w:rPr>
        <w:t> </w:t>
      </w:r>
      <w:r>
        <w:rPr>
          <w:sz w:val="16"/>
        </w:rPr>
        <w:t>Rule 12b-2 of the Exchange Act. (Check one):</w:t>
      </w:r>
    </w:p>
    <w:p>
      <w:pPr>
        <w:tabs>
          <w:tab w:pos="6139" w:val="left" w:leader="none"/>
        </w:tabs>
        <w:spacing w:line="228" w:lineRule="exact" w:before="165"/>
        <w:ind w:left="380" w:right="0" w:firstLine="0"/>
        <w:jc w:val="left"/>
        <w:rPr>
          <w:rFonts w:ascii="VL PGothic" w:hAnsi="VL PGothic"/>
          <w:sz w:val="16"/>
        </w:rPr>
      </w:pPr>
      <w:r>
        <w:rPr>
          <w:sz w:val="16"/>
        </w:rPr>
        <w:t>Large</w:t>
      </w:r>
      <w:r>
        <w:rPr>
          <w:spacing w:val="-1"/>
          <w:sz w:val="16"/>
        </w:rPr>
        <w:t> </w:t>
      </w:r>
      <w:r>
        <w:rPr>
          <w:sz w:val="16"/>
        </w:rPr>
        <w:t>accelerated filer</w:t>
      </w:r>
      <w:r>
        <w:rPr>
          <w:spacing w:val="-2"/>
          <w:sz w:val="16"/>
        </w:rPr>
        <w:t> </w:t>
      </w:r>
      <w:r>
        <w:rPr>
          <w:rFonts w:ascii="VL PGothic" w:hAnsi="VL PGothic"/>
          <w:spacing w:val="-10"/>
          <w:sz w:val="16"/>
        </w:rPr>
        <w:t>☒</w:t>
      </w:r>
      <w:r>
        <w:rPr>
          <w:rFonts w:ascii="VL PGothic" w:hAnsi="VL PGothic"/>
          <w:sz w:val="16"/>
        </w:rPr>
        <w:tab/>
      </w:r>
      <w:r>
        <w:rPr>
          <w:sz w:val="16"/>
        </w:rPr>
        <w:t>Accelerated</w:t>
      </w:r>
      <w:r>
        <w:rPr>
          <w:spacing w:val="-8"/>
          <w:sz w:val="16"/>
        </w:rPr>
        <w:t> </w:t>
      </w:r>
      <w:r>
        <w:rPr>
          <w:sz w:val="16"/>
        </w:rPr>
        <w:t>filer</w:t>
      </w:r>
      <w:r>
        <w:rPr>
          <w:spacing w:val="-7"/>
          <w:sz w:val="16"/>
        </w:rPr>
        <w:t> </w:t>
      </w:r>
      <w:r>
        <w:rPr>
          <w:rFonts w:ascii="VL PGothic" w:hAnsi="VL PGothic"/>
          <w:spacing w:val="-10"/>
          <w:sz w:val="16"/>
        </w:rPr>
        <w:t>☐</w:t>
      </w:r>
    </w:p>
    <w:p>
      <w:pPr>
        <w:tabs>
          <w:tab w:pos="6139" w:val="left" w:leader="none"/>
        </w:tabs>
        <w:spacing w:line="192" w:lineRule="exact" w:before="0"/>
        <w:ind w:left="380" w:right="0" w:firstLine="0"/>
        <w:jc w:val="left"/>
        <w:rPr>
          <w:rFonts w:ascii="VL PGothic" w:hAnsi="VL PGothic"/>
          <w:sz w:val="16"/>
        </w:rPr>
      </w:pPr>
      <w:r>
        <w:rPr>
          <w:sz w:val="16"/>
        </w:rPr>
        <w:t>Non-accelerated</w:t>
      </w:r>
      <w:r>
        <w:rPr>
          <w:spacing w:val="-9"/>
          <w:sz w:val="16"/>
        </w:rPr>
        <w:t> </w:t>
      </w:r>
      <w:r>
        <w:rPr>
          <w:sz w:val="16"/>
        </w:rPr>
        <w:t>filer</w:t>
      </w:r>
      <w:r>
        <w:rPr>
          <w:spacing w:val="-8"/>
          <w:sz w:val="16"/>
        </w:rPr>
        <w:t> </w:t>
      </w:r>
      <w:r>
        <w:rPr>
          <w:rFonts w:ascii="VL PGothic" w:hAnsi="VL PGothic"/>
          <w:spacing w:val="-10"/>
          <w:sz w:val="16"/>
        </w:rPr>
        <w:t>☐</w:t>
      </w:r>
      <w:r>
        <w:rPr>
          <w:rFonts w:ascii="VL PGothic" w:hAnsi="VL PGothic"/>
          <w:sz w:val="16"/>
        </w:rPr>
        <w:tab/>
      </w:r>
      <w:r>
        <w:rPr>
          <w:sz w:val="16"/>
        </w:rPr>
        <w:t>Smaller</w:t>
      </w:r>
      <w:r>
        <w:rPr>
          <w:spacing w:val="-8"/>
          <w:sz w:val="16"/>
        </w:rPr>
        <w:t> </w:t>
      </w:r>
      <w:r>
        <w:rPr>
          <w:sz w:val="16"/>
        </w:rPr>
        <w:t>reporting</w:t>
      </w:r>
      <w:r>
        <w:rPr>
          <w:spacing w:val="-5"/>
          <w:sz w:val="16"/>
        </w:rPr>
        <w:t> </w:t>
      </w:r>
      <w:r>
        <w:rPr>
          <w:sz w:val="16"/>
        </w:rPr>
        <w:t>company</w:t>
      </w:r>
      <w:r>
        <w:rPr>
          <w:spacing w:val="-4"/>
          <w:sz w:val="16"/>
        </w:rPr>
        <w:t> </w:t>
      </w:r>
      <w:r>
        <w:rPr>
          <w:rFonts w:ascii="VL PGothic" w:hAnsi="VL PGothic"/>
          <w:spacing w:val="-10"/>
          <w:sz w:val="16"/>
        </w:rPr>
        <w:t>☐</w:t>
      </w:r>
    </w:p>
    <w:p>
      <w:pPr>
        <w:spacing w:line="228" w:lineRule="exact" w:before="0"/>
        <w:ind w:left="380" w:right="0" w:firstLine="0"/>
        <w:jc w:val="left"/>
        <w:rPr>
          <w:rFonts w:ascii="VL PGothic" w:hAnsi="VL PGothic"/>
          <w:sz w:val="16"/>
        </w:rPr>
      </w:pPr>
      <w:r>
        <w:rPr>
          <w:sz w:val="16"/>
        </w:rPr>
        <w:t>Emerging</w:t>
      </w:r>
      <w:r>
        <w:rPr>
          <w:spacing w:val="-1"/>
          <w:sz w:val="16"/>
        </w:rPr>
        <w:t> </w:t>
      </w:r>
      <w:r>
        <w:rPr>
          <w:sz w:val="16"/>
        </w:rPr>
        <w:t>growth</w:t>
      </w:r>
      <w:r>
        <w:rPr>
          <w:spacing w:val="-1"/>
          <w:sz w:val="16"/>
        </w:rPr>
        <w:t> </w:t>
      </w:r>
      <w:r>
        <w:rPr>
          <w:sz w:val="16"/>
        </w:rPr>
        <w:t>company</w:t>
      </w:r>
      <w:r>
        <w:rPr>
          <w:spacing w:val="-1"/>
          <w:sz w:val="16"/>
        </w:rPr>
        <w:t> </w:t>
      </w:r>
      <w:r>
        <w:rPr>
          <w:rFonts w:ascii="VL PGothic" w:hAnsi="VL PGothic"/>
          <w:spacing w:val="-10"/>
          <w:sz w:val="16"/>
        </w:rPr>
        <w:t>☐</w:t>
      </w:r>
    </w:p>
    <w:p>
      <w:pPr>
        <w:spacing w:line="216" w:lineRule="auto" w:before="164"/>
        <w:ind w:left="380" w:right="761" w:firstLine="0"/>
        <w:jc w:val="left"/>
        <w:rPr>
          <w:rFonts w:ascii="VL PGothic" w:hAnsi="VL PGothic"/>
          <w:sz w:val="16"/>
        </w:rPr>
      </w:pPr>
      <w:r>
        <w:rPr>
          <w:sz w:val="16"/>
        </w:rPr>
        <w:t>If</w:t>
      </w:r>
      <w:r>
        <w:rPr>
          <w:spacing w:val="-2"/>
          <w:sz w:val="16"/>
        </w:rPr>
        <w:t> </w:t>
      </w:r>
      <w:r>
        <w:rPr>
          <w:sz w:val="16"/>
        </w:rPr>
        <w:t>an</w:t>
      </w:r>
      <w:r>
        <w:rPr>
          <w:spacing w:val="-2"/>
          <w:sz w:val="16"/>
        </w:rPr>
        <w:t> </w:t>
      </w:r>
      <w:r>
        <w:rPr>
          <w:sz w:val="16"/>
        </w:rPr>
        <w:t>emerging</w:t>
      </w:r>
      <w:r>
        <w:rPr>
          <w:spacing w:val="-2"/>
          <w:sz w:val="16"/>
        </w:rPr>
        <w:t> </w:t>
      </w:r>
      <w:r>
        <w:rPr>
          <w:sz w:val="16"/>
        </w:rPr>
        <w:t>growth</w:t>
      </w:r>
      <w:r>
        <w:rPr>
          <w:spacing w:val="-2"/>
          <w:sz w:val="16"/>
        </w:rPr>
        <w:t> </w:t>
      </w:r>
      <w:r>
        <w:rPr>
          <w:sz w:val="16"/>
        </w:rPr>
        <w:t>company,</w:t>
      </w:r>
      <w:r>
        <w:rPr>
          <w:spacing w:val="-2"/>
          <w:sz w:val="16"/>
        </w:rPr>
        <w:t> </w:t>
      </w:r>
      <w:r>
        <w:rPr>
          <w:sz w:val="16"/>
        </w:rPr>
        <w:t>indicate</w:t>
      </w:r>
      <w:r>
        <w:rPr>
          <w:spacing w:val="-2"/>
          <w:sz w:val="16"/>
        </w:rPr>
        <w:t> </w:t>
      </w:r>
      <w:r>
        <w:rPr>
          <w:sz w:val="16"/>
        </w:rPr>
        <w:t>by</w:t>
      </w:r>
      <w:r>
        <w:rPr>
          <w:spacing w:val="-2"/>
          <w:sz w:val="16"/>
        </w:rPr>
        <w:t> </w:t>
      </w:r>
      <w:r>
        <w:rPr>
          <w:sz w:val="16"/>
        </w:rPr>
        <w:t>check</w:t>
      </w:r>
      <w:r>
        <w:rPr>
          <w:spacing w:val="-2"/>
          <w:sz w:val="16"/>
        </w:rPr>
        <w:t> </w:t>
      </w:r>
      <w:r>
        <w:rPr>
          <w:sz w:val="16"/>
        </w:rPr>
        <w:t>mark</w:t>
      </w:r>
      <w:r>
        <w:rPr>
          <w:spacing w:val="-2"/>
          <w:sz w:val="16"/>
        </w:rPr>
        <w:t> </w:t>
      </w:r>
      <w:r>
        <w:rPr>
          <w:sz w:val="16"/>
        </w:rPr>
        <w:t>if</w:t>
      </w:r>
      <w:r>
        <w:rPr>
          <w:spacing w:val="-2"/>
          <w:sz w:val="16"/>
        </w:rPr>
        <w:t> </w:t>
      </w:r>
      <w:r>
        <w:rPr>
          <w:sz w:val="16"/>
        </w:rPr>
        <w:t>the</w:t>
      </w:r>
      <w:r>
        <w:rPr>
          <w:spacing w:val="-2"/>
          <w:sz w:val="16"/>
        </w:rPr>
        <w:t> </w:t>
      </w:r>
      <w:r>
        <w:rPr>
          <w:sz w:val="16"/>
        </w:rPr>
        <w:t>registrant</w:t>
      </w:r>
      <w:r>
        <w:rPr>
          <w:spacing w:val="-2"/>
          <w:sz w:val="16"/>
        </w:rPr>
        <w:t> </w:t>
      </w:r>
      <w:r>
        <w:rPr>
          <w:sz w:val="16"/>
        </w:rPr>
        <w:t>has</w:t>
      </w:r>
      <w:r>
        <w:rPr>
          <w:spacing w:val="-3"/>
          <w:sz w:val="16"/>
        </w:rPr>
        <w:t> </w:t>
      </w:r>
      <w:r>
        <w:rPr>
          <w:sz w:val="16"/>
        </w:rPr>
        <w:t>elected</w:t>
      </w:r>
      <w:r>
        <w:rPr>
          <w:spacing w:val="-2"/>
          <w:sz w:val="16"/>
        </w:rPr>
        <w:t> </w:t>
      </w:r>
      <w:r>
        <w:rPr>
          <w:sz w:val="16"/>
        </w:rPr>
        <w:t>not</w:t>
      </w:r>
      <w:r>
        <w:rPr>
          <w:spacing w:val="-2"/>
          <w:sz w:val="16"/>
        </w:rPr>
        <w:t> </w:t>
      </w:r>
      <w:r>
        <w:rPr>
          <w:sz w:val="16"/>
        </w:rPr>
        <w:t>to</w:t>
      </w:r>
      <w:r>
        <w:rPr>
          <w:spacing w:val="-2"/>
          <w:sz w:val="16"/>
        </w:rPr>
        <w:t> </w:t>
      </w:r>
      <w:r>
        <w:rPr>
          <w:sz w:val="16"/>
        </w:rPr>
        <w:t>use</w:t>
      </w:r>
      <w:r>
        <w:rPr>
          <w:spacing w:val="-2"/>
          <w:sz w:val="16"/>
        </w:rPr>
        <w:t> </w:t>
      </w:r>
      <w:r>
        <w:rPr>
          <w:sz w:val="16"/>
        </w:rPr>
        <w:t>the</w:t>
      </w:r>
      <w:r>
        <w:rPr>
          <w:spacing w:val="-2"/>
          <w:sz w:val="16"/>
        </w:rPr>
        <w:t> </w:t>
      </w:r>
      <w:r>
        <w:rPr>
          <w:sz w:val="16"/>
        </w:rPr>
        <w:t>extended</w:t>
      </w:r>
      <w:r>
        <w:rPr>
          <w:spacing w:val="-2"/>
          <w:sz w:val="16"/>
        </w:rPr>
        <w:t> </w:t>
      </w:r>
      <w:r>
        <w:rPr>
          <w:sz w:val="16"/>
        </w:rPr>
        <w:t>transition</w:t>
      </w:r>
      <w:r>
        <w:rPr>
          <w:spacing w:val="-2"/>
          <w:sz w:val="16"/>
        </w:rPr>
        <w:t> </w:t>
      </w:r>
      <w:r>
        <w:rPr>
          <w:sz w:val="16"/>
        </w:rPr>
        <w:t>period</w:t>
      </w:r>
      <w:r>
        <w:rPr>
          <w:spacing w:val="-2"/>
          <w:sz w:val="16"/>
        </w:rPr>
        <w:t> </w:t>
      </w:r>
      <w:r>
        <w:rPr>
          <w:sz w:val="16"/>
        </w:rPr>
        <w:t>for</w:t>
      </w:r>
      <w:r>
        <w:rPr>
          <w:spacing w:val="-2"/>
          <w:sz w:val="16"/>
        </w:rPr>
        <w:t> </w:t>
      </w:r>
      <w:r>
        <w:rPr>
          <w:sz w:val="16"/>
        </w:rPr>
        <w:t>complying</w:t>
      </w:r>
      <w:r>
        <w:rPr>
          <w:spacing w:val="-2"/>
          <w:sz w:val="16"/>
        </w:rPr>
        <w:t> </w:t>
      </w:r>
      <w:r>
        <w:rPr>
          <w:sz w:val="16"/>
        </w:rPr>
        <w:t>with</w:t>
      </w:r>
      <w:r>
        <w:rPr>
          <w:spacing w:val="-2"/>
          <w:sz w:val="16"/>
        </w:rPr>
        <w:t> </w:t>
      </w:r>
      <w:r>
        <w:rPr>
          <w:sz w:val="16"/>
        </w:rPr>
        <w:t>any</w:t>
      </w:r>
      <w:r>
        <w:rPr>
          <w:spacing w:val="-2"/>
          <w:sz w:val="16"/>
        </w:rPr>
        <w:t> </w:t>
      </w:r>
      <w:r>
        <w:rPr>
          <w:sz w:val="16"/>
        </w:rPr>
        <w:t>new</w:t>
      </w:r>
      <w:r>
        <w:rPr>
          <w:spacing w:val="-3"/>
          <w:sz w:val="16"/>
        </w:rPr>
        <w:t> </w:t>
      </w:r>
      <w:r>
        <w:rPr>
          <w:sz w:val="16"/>
        </w:rPr>
        <w:t>or</w:t>
      </w:r>
      <w:r>
        <w:rPr>
          <w:spacing w:val="40"/>
          <w:sz w:val="16"/>
        </w:rPr>
        <w:t> </w:t>
      </w:r>
      <w:r>
        <w:rPr>
          <w:sz w:val="16"/>
        </w:rPr>
        <w:t>revised financial accounting standards provided pursuant to Section 13(a) of the Exchange Act. </w:t>
      </w:r>
      <w:r>
        <w:rPr>
          <w:rFonts w:ascii="VL PGothic" w:hAnsi="VL PGothic"/>
          <w:sz w:val="16"/>
        </w:rPr>
        <w:t>☐</w:t>
      </w:r>
    </w:p>
    <w:p>
      <w:pPr>
        <w:spacing w:before="129"/>
        <w:ind w:left="380" w:right="0" w:firstLine="0"/>
        <w:jc w:val="left"/>
        <w:rPr>
          <w:rFonts w:ascii="VL PGothic" w:hAnsi="VL PGothic"/>
          <w:sz w:val="16"/>
        </w:rPr>
      </w:pPr>
      <w:r>
        <w:rPr>
          <w:sz w:val="16"/>
        </w:rPr>
        <w:t>Indicate</w:t>
      </w:r>
      <w:r>
        <w:rPr>
          <w:spacing w:val="-5"/>
          <w:sz w:val="16"/>
        </w:rPr>
        <w:t> </w:t>
      </w:r>
      <w:r>
        <w:rPr>
          <w:sz w:val="16"/>
        </w:rPr>
        <w:t>by</w:t>
      </w:r>
      <w:r>
        <w:rPr>
          <w:spacing w:val="-4"/>
          <w:sz w:val="16"/>
        </w:rPr>
        <w:t> </w:t>
      </w:r>
      <w:r>
        <w:rPr>
          <w:sz w:val="16"/>
        </w:rPr>
        <w:t>check</w:t>
      </w:r>
      <w:r>
        <w:rPr>
          <w:spacing w:val="-4"/>
          <w:sz w:val="16"/>
        </w:rPr>
        <w:t> </w:t>
      </w:r>
      <w:r>
        <w:rPr>
          <w:sz w:val="16"/>
        </w:rPr>
        <w:t>mark</w:t>
      </w:r>
      <w:r>
        <w:rPr>
          <w:spacing w:val="-4"/>
          <w:sz w:val="16"/>
        </w:rPr>
        <w:t> </w:t>
      </w:r>
      <w:r>
        <w:rPr>
          <w:sz w:val="16"/>
        </w:rPr>
        <w:t>whether</w:t>
      </w:r>
      <w:r>
        <w:rPr>
          <w:spacing w:val="-4"/>
          <w:sz w:val="16"/>
        </w:rPr>
        <w:t> </w:t>
      </w:r>
      <w:r>
        <w:rPr>
          <w:sz w:val="16"/>
        </w:rPr>
        <w:t>the</w:t>
      </w:r>
      <w:r>
        <w:rPr>
          <w:spacing w:val="-5"/>
          <w:sz w:val="16"/>
        </w:rPr>
        <w:t> </w:t>
      </w:r>
      <w:r>
        <w:rPr>
          <w:sz w:val="16"/>
        </w:rPr>
        <w:t>registrant</w:t>
      </w:r>
      <w:r>
        <w:rPr>
          <w:spacing w:val="-5"/>
          <w:sz w:val="16"/>
        </w:rPr>
        <w:t> </w:t>
      </w:r>
      <w:r>
        <w:rPr>
          <w:sz w:val="16"/>
        </w:rPr>
        <w:t>is</w:t>
      </w:r>
      <w:r>
        <w:rPr>
          <w:spacing w:val="-4"/>
          <w:sz w:val="16"/>
        </w:rPr>
        <w:t> </w:t>
      </w:r>
      <w:r>
        <w:rPr>
          <w:sz w:val="16"/>
        </w:rPr>
        <w:t>a</w:t>
      </w:r>
      <w:r>
        <w:rPr>
          <w:spacing w:val="-5"/>
          <w:sz w:val="16"/>
        </w:rPr>
        <w:t> </w:t>
      </w:r>
      <w:r>
        <w:rPr>
          <w:sz w:val="16"/>
        </w:rPr>
        <w:t>shell</w:t>
      </w:r>
      <w:r>
        <w:rPr>
          <w:spacing w:val="-5"/>
          <w:sz w:val="16"/>
        </w:rPr>
        <w:t> </w:t>
      </w:r>
      <w:r>
        <w:rPr>
          <w:sz w:val="16"/>
        </w:rPr>
        <w:t>company</w:t>
      </w:r>
      <w:r>
        <w:rPr>
          <w:spacing w:val="-4"/>
          <w:sz w:val="16"/>
        </w:rPr>
        <w:t> </w:t>
      </w:r>
      <w:r>
        <w:rPr>
          <w:sz w:val="16"/>
        </w:rPr>
        <w:t>(as</w:t>
      </w:r>
      <w:r>
        <w:rPr>
          <w:spacing w:val="-4"/>
          <w:sz w:val="16"/>
        </w:rPr>
        <w:t> </w:t>
      </w:r>
      <w:r>
        <w:rPr>
          <w:sz w:val="16"/>
        </w:rPr>
        <w:t>defined</w:t>
      </w:r>
      <w:r>
        <w:rPr>
          <w:spacing w:val="-4"/>
          <w:sz w:val="16"/>
        </w:rPr>
        <w:t> </w:t>
      </w:r>
      <w:r>
        <w:rPr>
          <w:sz w:val="16"/>
        </w:rPr>
        <w:t>in</w:t>
      </w:r>
      <w:r>
        <w:rPr>
          <w:spacing w:val="-4"/>
          <w:sz w:val="16"/>
        </w:rPr>
        <w:t> </w:t>
      </w:r>
      <w:r>
        <w:rPr>
          <w:sz w:val="16"/>
        </w:rPr>
        <w:t>Rule</w:t>
      </w:r>
      <w:r>
        <w:rPr>
          <w:spacing w:val="-5"/>
          <w:sz w:val="16"/>
        </w:rPr>
        <w:t> </w:t>
      </w:r>
      <w:r>
        <w:rPr>
          <w:sz w:val="16"/>
        </w:rPr>
        <w:t>12b-2</w:t>
      </w:r>
      <w:r>
        <w:rPr>
          <w:spacing w:val="-3"/>
          <w:sz w:val="16"/>
        </w:rPr>
        <w:t> </w:t>
      </w:r>
      <w:r>
        <w:rPr>
          <w:sz w:val="16"/>
        </w:rPr>
        <w:t>of</w:t>
      </w:r>
      <w:r>
        <w:rPr>
          <w:spacing w:val="-5"/>
          <w:sz w:val="16"/>
        </w:rPr>
        <w:t> </w:t>
      </w:r>
      <w:r>
        <w:rPr>
          <w:sz w:val="16"/>
        </w:rPr>
        <w:t>the</w:t>
      </w:r>
      <w:r>
        <w:rPr>
          <w:spacing w:val="-5"/>
          <w:sz w:val="16"/>
        </w:rPr>
        <w:t> </w:t>
      </w:r>
      <w:r>
        <w:rPr>
          <w:sz w:val="16"/>
        </w:rPr>
        <w:t>Exchange</w:t>
      </w:r>
      <w:r>
        <w:rPr>
          <w:spacing w:val="-5"/>
          <w:sz w:val="16"/>
        </w:rPr>
        <w:t> </w:t>
      </w:r>
      <w:r>
        <w:rPr>
          <w:sz w:val="16"/>
        </w:rPr>
        <w:t>Act).</w:t>
      </w:r>
      <w:r>
        <w:rPr>
          <w:spacing w:val="-3"/>
          <w:sz w:val="16"/>
        </w:rPr>
        <w:t> </w:t>
      </w:r>
      <w:r>
        <w:rPr>
          <w:sz w:val="16"/>
        </w:rPr>
        <w:t>Yes</w:t>
      </w:r>
      <w:r>
        <w:rPr>
          <w:spacing w:val="-5"/>
          <w:sz w:val="16"/>
        </w:rPr>
        <w:t> </w:t>
      </w:r>
      <w:r>
        <w:rPr>
          <w:rFonts w:ascii="VL PGothic" w:hAnsi="VL PGothic"/>
          <w:sz w:val="16"/>
        </w:rPr>
        <w:t>☐</w:t>
      </w:r>
      <w:r>
        <w:rPr>
          <w:rFonts w:ascii="VL PGothic" w:hAnsi="VL PGothic"/>
          <w:spacing w:val="-7"/>
          <w:sz w:val="16"/>
        </w:rPr>
        <w:t> </w:t>
      </w:r>
      <w:r>
        <w:rPr>
          <w:sz w:val="16"/>
        </w:rPr>
        <w:t>No</w:t>
      </w:r>
      <w:r>
        <w:rPr>
          <w:spacing w:val="-4"/>
          <w:sz w:val="16"/>
        </w:rPr>
        <w:t> </w:t>
      </w:r>
      <w:r>
        <w:rPr>
          <w:rFonts w:ascii="VL PGothic" w:hAnsi="VL PGothic"/>
          <w:spacing w:val="-10"/>
          <w:sz w:val="16"/>
        </w:rPr>
        <w:t>☒</w:t>
      </w:r>
    </w:p>
    <w:p>
      <w:pPr>
        <w:spacing w:before="148"/>
        <w:ind w:left="75" w:right="160" w:firstLine="0"/>
        <w:jc w:val="center"/>
        <w:rPr>
          <w:sz w:val="16"/>
        </w:rPr>
      </w:pPr>
      <w:r>
        <w:rPr>
          <w:sz w:val="16"/>
        </w:rPr>
        <w:t>Indicate</w:t>
      </w:r>
      <w:r>
        <w:rPr>
          <w:spacing w:val="-1"/>
          <w:sz w:val="16"/>
        </w:rPr>
        <w:t> </w:t>
      </w:r>
      <w:r>
        <w:rPr>
          <w:sz w:val="16"/>
        </w:rPr>
        <w:t>the number</w:t>
      </w:r>
      <w:r>
        <w:rPr>
          <w:spacing w:val="-1"/>
          <w:sz w:val="16"/>
        </w:rPr>
        <w:t> </w:t>
      </w:r>
      <w:r>
        <w:rPr>
          <w:sz w:val="16"/>
        </w:rPr>
        <w:t>of shares</w:t>
      </w:r>
      <w:r>
        <w:rPr>
          <w:spacing w:val="-1"/>
          <w:sz w:val="16"/>
        </w:rPr>
        <w:t> </w:t>
      </w:r>
      <w:r>
        <w:rPr>
          <w:sz w:val="16"/>
        </w:rPr>
        <w:t>outstanding</w:t>
      </w:r>
      <w:r>
        <w:rPr>
          <w:spacing w:val="-1"/>
          <w:sz w:val="16"/>
        </w:rPr>
        <w:t> </w:t>
      </w:r>
      <w:r>
        <w:rPr>
          <w:sz w:val="16"/>
        </w:rPr>
        <w:t>of each</w:t>
      </w:r>
      <w:r>
        <w:rPr>
          <w:spacing w:val="-1"/>
          <w:sz w:val="16"/>
        </w:rPr>
        <w:t> </w:t>
      </w:r>
      <w:r>
        <w:rPr>
          <w:sz w:val="16"/>
        </w:rPr>
        <w:t>of the</w:t>
      </w:r>
      <w:r>
        <w:rPr>
          <w:spacing w:val="-1"/>
          <w:sz w:val="16"/>
        </w:rPr>
        <w:t> </w:t>
      </w:r>
      <w:r>
        <w:rPr>
          <w:sz w:val="16"/>
        </w:rPr>
        <w:t>issuer’s</w:t>
      </w:r>
      <w:r>
        <w:rPr>
          <w:spacing w:val="-1"/>
          <w:sz w:val="16"/>
        </w:rPr>
        <w:t> </w:t>
      </w:r>
      <w:r>
        <w:rPr>
          <w:sz w:val="16"/>
        </w:rPr>
        <w:t>classes</w:t>
      </w:r>
      <w:r>
        <w:rPr>
          <w:spacing w:val="-1"/>
          <w:sz w:val="16"/>
        </w:rPr>
        <w:t> </w:t>
      </w:r>
      <w:r>
        <w:rPr>
          <w:sz w:val="16"/>
        </w:rPr>
        <w:t>of</w:t>
      </w:r>
      <w:r>
        <w:rPr>
          <w:spacing w:val="-1"/>
          <w:sz w:val="16"/>
        </w:rPr>
        <w:t> </w:t>
      </w:r>
      <w:r>
        <w:rPr>
          <w:sz w:val="16"/>
        </w:rPr>
        <w:t>common stock, as</w:t>
      </w:r>
      <w:r>
        <w:rPr>
          <w:spacing w:val="-2"/>
          <w:sz w:val="16"/>
        </w:rPr>
        <w:t> </w:t>
      </w:r>
      <w:r>
        <w:rPr>
          <w:sz w:val="16"/>
        </w:rPr>
        <w:t>of the</w:t>
      </w:r>
      <w:r>
        <w:rPr>
          <w:spacing w:val="-1"/>
          <w:sz w:val="16"/>
        </w:rPr>
        <w:t> </w:t>
      </w:r>
      <w:r>
        <w:rPr>
          <w:sz w:val="16"/>
        </w:rPr>
        <w:t>latest practicable </w:t>
      </w:r>
      <w:r>
        <w:rPr>
          <w:spacing w:val="-2"/>
          <w:sz w:val="16"/>
        </w:rPr>
        <w:t>date.</w:t>
      </w:r>
    </w:p>
    <w:p>
      <w:pPr>
        <w:spacing w:before="36"/>
        <w:ind w:left="75" w:right="162" w:firstLine="0"/>
        <w:jc w:val="center"/>
        <w:rPr>
          <w:sz w:val="16"/>
        </w:rPr>
      </w:pPr>
      <w:r>
        <w:rPr>
          <w:sz w:val="16"/>
        </w:rPr>
        <w:t>1,771,681,659</w:t>
      </w:r>
      <w:r>
        <w:rPr>
          <w:spacing w:val="-3"/>
          <w:sz w:val="16"/>
        </w:rPr>
        <w:t> </w:t>
      </w:r>
      <w:r>
        <w:rPr>
          <w:sz w:val="16"/>
        </w:rPr>
        <w:t>shares</w:t>
      </w:r>
      <w:r>
        <w:rPr>
          <w:spacing w:val="-1"/>
          <w:sz w:val="16"/>
        </w:rPr>
        <w:t> </w:t>
      </w:r>
      <w:r>
        <w:rPr>
          <w:sz w:val="16"/>
        </w:rPr>
        <w:t>of $.01</w:t>
      </w:r>
      <w:r>
        <w:rPr>
          <w:spacing w:val="-1"/>
          <w:sz w:val="16"/>
        </w:rPr>
        <w:t> </w:t>
      </w:r>
      <w:r>
        <w:rPr>
          <w:sz w:val="16"/>
        </w:rPr>
        <w:t>par value Common</w:t>
      </w:r>
      <w:r>
        <w:rPr>
          <w:spacing w:val="-1"/>
          <w:sz w:val="16"/>
        </w:rPr>
        <w:t> </w:t>
      </w:r>
      <w:r>
        <w:rPr>
          <w:sz w:val="16"/>
        </w:rPr>
        <w:t>Stock and</w:t>
      </w:r>
      <w:r>
        <w:rPr>
          <w:spacing w:val="-2"/>
          <w:sz w:val="16"/>
        </w:rPr>
        <w:t> </w:t>
      </w:r>
      <w:r>
        <w:rPr>
          <w:sz w:val="16"/>
        </w:rPr>
        <w:t>50,893,695</w:t>
      </w:r>
      <w:r>
        <w:rPr>
          <w:spacing w:val="9"/>
          <w:sz w:val="16"/>
        </w:rPr>
        <w:t> </w:t>
      </w:r>
      <w:r>
        <w:rPr>
          <w:sz w:val="16"/>
        </w:rPr>
        <w:t>shares</w:t>
      </w:r>
      <w:r>
        <w:rPr>
          <w:spacing w:val="-1"/>
          <w:sz w:val="16"/>
        </w:rPr>
        <w:t> </w:t>
      </w:r>
      <w:r>
        <w:rPr>
          <w:sz w:val="16"/>
        </w:rPr>
        <w:t>of $.01</w:t>
      </w:r>
      <w:r>
        <w:rPr>
          <w:spacing w:val="-1"/>
          <w:sz w:val="16"/>
        </w:rPr>
        <w:t> </w:t>
      </w:r>
      <w:r>
        <w:rPr>
          <w:sz w:val="16"/>
        </w:rPr>
        <w:t>par value Nonvoting</w:t>
      </w:r>
      <w:r>
        <w:rPr>
          <w:spacing w:val="-1"/>
          <w:sz w:val="16"/>
        </w:rPr>
        <w:t> </w:t>
      </w:r>
      <w:r>
        <w:rPr>
          <w:sz w:val="16"/>
        </w:rPr>
        <w:t>Common Stock outstanding</w:t>
      </w:r>
      <w:r>
        <w:rPr>
          <w:spacing w:val="-1"/>
          <w:sz w:val="16"/>
        </w:rPr>
        <w:t> </w:t>
      </w:r>
      <w:r>
        <w:rPr>
          <w:sz w:val="16"/>
        </w:rPr>
        <w:t>on</w:t>
      </w:r>
      <w:r>
        <w:rPr>
          <w:spacing w:val="-2"/>
          <w:sz w:val="16"/>
        </w:rPr>
        <w:t> </w:t>
      </w:r>
      <w:r>
        <w:rPr>
          <w:sz w:val="16"/>
        </w:rPr>
        <w:t>October 31, </w:t>
      </w:r>
      <w:r>
        <w:rPr>
          <w:spacing w:val="-4"/>
          <w:sz w:val="16"/>
        </w:rPr>
        <w:t>2023</w:t>
      </w:r>
    </w:p>
    <w:p>
      <w:pPr>
        <w:spacing w:after="0"/>
        <w:jc w:val="center"/>
        <w:rPr>
          <w:sz w:val="16"/>
        </w:rPr>
        <w:sectPr>
          <w:type w:val="continuous"/>
          <w:pgSz w:w="12240" w:h="15840"/>
          <w:pgMar w:top="320" w:bottom="280" w:left="520" w:right="520"/>
        </w:sectPr>
      </w:pPr>
    </w:p>
    <w:p>
      <w:pPr>
        <w:pStyle w:val="Heading1"/>
        <w:spacing w:before="78"/>
        <w:ind w:left="89" w:right="89"/>
        <w:jc w:val="center"/>
      </w:pPr>
      <w:r>
        <w:rPr/>
        <w:t>THE</w:t>
      </w:r>
      <w:r>
        <w:rPr>
          <w:spacing w:val="-5"/>
        </w:rPr>
        <w:t> </w:t>
      </w:r>
      <w:r>
        <w:rPr/>
        <w:t>CHARLES</w:t>
      </w:r>
      <w:r>
        <w:rPr>
          <w:spacing w:val="-5"/>
        </w:rPr>
        <w:t> </w:t>
      </w:r>
      <w:r>
        <w:rPr/>
        <w:t>SCHWAB</w:t>
      </w:r>
      <w:r>
        <w:rPr>
          <w:spacing w:val="-5"/>
        </w:rPr>
        <w:t> </w:t>
      </w:r>
      <w:r>
        <w:rPr>
          <w:spacing w:val="-2"/>
        </w:rPr>
        <w:t>CORPORATION</w:t>
      </w:r>
    </w:p>
    <w:p>
      <w:pPr>
        <w:spacing w:before="202"/>
        <w:ind w:left="89" w:right="89" w:firstLine="0"/>
        <w:jc w:val="center"/>
        <w:rPr>
          <w:b/>
          <w:sz w:val="20"/>
        </w:rPr>
      </w:pPr>
      <w:r>
        <w:rPr>
          <w:b/>
          <w:sz w:val="20"/>
        </w:rPr>
        <w:t>Quarterly</w:t>
      </w:r>
      <w:r>
        <w:rPr>
          <w:b/>
          <w:spacing w:val="-4"/>
          <w:sz w:val="20"/>
        </w:rPr>
        <w:t> </w:t>
      </w:r>
      <w:r>
        <w:rPr>
          <w:b/>
          <w:sz w:val="20"/>
        </w:rPr>
        <w:t>Report</w:t>
      </w:r>
      <w:r>
        <w:rPr>
          <w:b/>
          <w:spacing w:val="-3"/>
          <w:sz w:val="20"/>
        </w:rPr>
        <w:t> </w:t>
      </w:r>
      <w:r>
        <w:rPr>
          <w:b/>
          <w:sz w:val="20"/>
        </w:rPr>
        <w:t>on</w:t>
      </w:r>
      <w:r>
        <w:rPr>
          <w:b/>
          <w:spacing w:val="-3"/>
          <w:sz w:val="20"/>
        </w:rPr>
        <w:t> </w:t>
      </w:r>
      <w:r>
        <w:rPr>
          <w:b/>
          <w:sz w:val="20"/>
        </w:rPr>
        <w:t>Form</w:t>
      </w:r>
      <w:r>
        <w:rPr>
          <w:b/>
          <w:spacing w:val="-3"/>
          <w:sz w:val="20"/>
        </w:rPr>
        <w:t> </w:t>
      </w:r>
      <w:r>
        <w:rPr>
          <w:b/>
          <w:sz w:val="20"/>
        </w:rPr>
        <w:t>10-</w:t>
      </w:r>
      <w:r>
        <w:rPr>
          <w:b/>
          <w:spacing w:val="-10"/>
          <w:sz w:val="20"/>
        </w:rPr>
        <w:t>Q</w:t>
      </w:r>
    </w:p>
    <w:p>
      <w:pPr>
        <w:spacing w:before="14"/>
        <w:ind w:left="89" w:right="89" w:firstLine="0"/>
        <w:jc w:val="center"/>
        <w:rPr>
          <w:b/>
          <w:sz w:val="20"/>
        </w:rPr>
      </w:pPr>
      <w:r>
        <w:rPr>
          <w:b/>
          <w:sz w:val="20"/>
        </w:rPr>
        <w:t>For</w:t>
      </w:r>
      <w:r>
        <w:rPr>
          <w:b/>
          <w:spacing w:val="-4"/>
          <w:sz w:val="20"/>
        </w:rPr>
        <w:t> </w:t>
      </w:r>
      <w:r>
        <w:rPr>
          <w:b/>
          <w:sz w:val="20"/>
        </w:rPr>
        <w:t>the</w:t>
      </w:r>
      <w:r>
        <w:rPr>
          <w:b/>
          <w:spacing w:val="-4"/>
          <w:sz w:val="20"/>
        </w:rPr>
        <w:t> </w:t>
      </w:r>
      <w:r>
        <w:rPr>
          <w:b/>
          <w:sz w:val="20"/>
        </w:rPr>
        <w:t>Quarter</w:t>
      </w:r>
      <w:r>
        <w:rPr>
          <w:b/>
          <w:spacing w:val="-3"/>
          <w:sz w:val="20"/>
        </w:rPr>
        <w:t> </w:t>
      </w:r>
      <w:r>
        <w:rPr>
          <w:b/>
          <w:sz w:val="20"/>
        </w:rPr>
        <w:t>Ended</w:t>
      </w:r>
      <w:r>
        <w:rPr>
          <w:b/>
          <w:spacing w:val="-4"/>
          <w:sz w:val="20"/>
        </w:rPr>
        <w:t> </w:t>
      </w:r>
      <w:r>
        <w:rPr>
          <w:b/>
          <w:sz w:val="20"/>
        </w:rPr>
        <w:t>September</w:t>
      </w:r>
      <w:r>
        <w:rPr>
          <w:b/>
          <w:spacing w:val="-4"/>
          <w:sz w:val="20"/>
        </w:rPr>
        <w:t> </w:t>
      </w:r>
      <w:r>
        <w:rPr>
          <w:b/>
          <w:sz w:val="20"/>
        </w:rPr>
        <w:t>30,</w:t>
      </w:r>
      <w:r>
        <w:rPr>
          <w:b/>
          <w:spacing w:val="-2"/>
          <w:sz w:val="20"/>
        </w:rPr>
        <w:t> </w:t>
      </w:r>
      <w:r>
        <w:rPr>
          <w:b/>
          <w:spacing w:val="-4"/>
          <w:sz w:val="20"/>
        </w:rPr>
        <w:t>2023</w:t>
      </w:r>
    </w:p>
    <w:p>
      <w:pPr>
        <w:pStyle w:val="BodyText"/>
        <w:spacing w:before="37"/>
        <w:rPr>
          <w:b/>
        </w:rPr>
      </w:pPr>
    </w:p>
    <w:p>
      <w:pPr>
        <w:spacing w:before="1"/>
        <w:ind w:left="75" w:right="114" w:firstLine="0"/>
        <w:jc w:val="center"/>
        <w:rPr>
          <w:b/>
          <w:sz w:val="20"/>
        </w:rPr>
      </w:pPr>
      <w:bookmarkStart w:name="Table of Contents" w:id="2"/>
      <w:bookmarkEnd w:id="2"/>
      <w:r>
        <w:rPr/>
      </w:r>
      <w:r>
        <w:rPr>
          <w:b/>
          <w:spacing w:val="-2"/>
          <w:sz w:val="20"/>
        </w:rPr>
        <w:t>Index</w:t>
      </w:r>
    </w:p>
    <w:p>
      <w:pPr>
        <w:spacing w:before="71"/>
        <w:ind w:left="75" w:right="7662" w:firstLine="0"/>
        <w:jc w:val="center"/>
        <w:rPr>
          <w:b/>
          <w:sz w:val="20"/>
        </w:rPr>
      </w:pPr>
      <w:hyperlink w:history="true" w:anchor="_bookmark2">
        <w:r>
          <w:rPr>
            <w:b/>
            <w:sz w:val="20"/>
            <w:u w:val="single"/>
          </w:rPr>
          <w:t>Part</w:t>
        </w:r>
        <w:r>
          <w:rPr>
            <w:b/>
            <w:spacing w:val="-3"/>
            <w:sz w:val="20"/>
            <w:u w:val="single"/>
          </w:rPr>
          <w:t> </w:t>
        </w:r>
        <w:r>
          <w:rPr>
            <w:b/>
            <w:sz w:val="20"/>
            <w:u w:val="single"/>
          </w:rPr>
          <w:t>I</w:t>
        </w:r>
        <w:r>
          <w:rPr>
            <w:b/>
            <w:spacing w:val="-2"/>
            <w:sz w:val="20"/>
            <w:u w:val="single"/>
          </w:rPr>
          <w:t> </w:t>
        </w:r>
        <w:r>
          <w:rPr>
            <w:b/>
            <w:sz w:val="20"/>
            <w:u w:val="single"/>
          </w:rPr>
          <w:t>-</w:t>
        </w:r>
        <w:r>
          <w:rPr>
            <w:b/>
            <w:spacing w:val="-3"/>
            <w:sz w:val="20"/>
            <w:u w:val="single"/>
          </w:rPr>
          <w:t> </w:t>
        </w:r>
        <w:r>
          <w:rPr>
            <w:b/>
            <w:sz w:val="20"/>
            <w:u w:val="single"/>
          </w:rPr>
          <w:t>Financial</w:t>
        </w:r>
        <w:r>
          <w:rPr>
            <w:b/>
            <w:spacing w:val="-2"/>
            <w:sz w:val="20"/>
            <w:u w:val="single"/>
          </w:rPr>
          <w:t> Information</w:t>
        </w:r>
      </w:hyperlink>
    </w:p>
    <w:p>
      <w:pPr>
        <w:pStyle w:val="BodyText"/>
        <w:rPr>
          <w:b/>
        </w:rPr>
      </w:pPr>
    </w:p>
    <w:p>
      <w:pPr>
        <w:pStyle w:val="BodyText"/>
        <w:spacing w:before="167"/>
        <w:rPr>
          <w:b/>
        </w:rPr>
      </w:pPr>
    </w:p>
    <w:p>
      <w:pPr>
        <w:pStyle w:val="BodyText"/>
        <w:tabs>
          <w:tab w:pos="2712" w:val="left" w:leader="none"/>
        </w:tabs>
        <w:ind w:left="1047"/>
      </w:pPr>
      <w:r>
        <w:rPr>
          <w:b/>
        </w:rPr>
        <w:t>Item</w:t>
      </w:r>
      <w:r>
        <w:rPr>
          <w:b/>
          <w:spacing w:val="-2"/>
        </w:rPr>
        <w:t> </w:t>
      </w:r>
      <w:r>
        <w:rPr>
          <w:b/>
          <w:spacing w:val="-5"/>
        </w:rPr>
        <w:t>1.</w:t>
      </w:r>
      <w:r>
        <w:rPr>
          <w:b/>
        </w:rPr>
        <w:tab/>
      </w:r>
      <w:hyperlink w:history="true" w:anchor="_bookmark2">
        <w:r>
          <w:rPr>
            <w:u w:val="single"/>
          </w:rPr>
          <w:t>Condensed</w:t>
        </w:r>
        <w:r>
          <w:rPr>
            <w:spacing w:val="-9"/>
            <w:u w:val="single"/>
          </w:rPr>
          <w:t> </w:t>
        </w:r>
        <w:r>
          <w:rPr>
            <w:u w:val="single"/>
          </w:rPr>
          <w:t>Consolidated</w:t>
        </w:r>
        <w:r>
          <w:rPr>
            <w:spacing w:val="-6"/>
            <w:u w:val="single"/>
          </w:rPr>
          <w:t> </w:t>
        </w:r>
        <w:r>
          <w:rPr>
            <w:u w:val="single"/>
          </w:rPr>
          <w:t>Financial</w:t>
        </w:r>
        <w:r>
          <w:rPr>
            <w:spacing w:val="-7"/>
            <w:u w:val="single"/>
          </w:rPr>
          <w:t> </w:t>
        </w:r>
        <w:r>
          <w:rPr>
            <w:u w:val="single"/>
          </w:rPr>
          <w:t>Statements</w:t>
        </w:r>
        <w:r>
          <w:rPr>
            <w:spacing w:val="-7"/>
            <w:u w:val="single"/>
          </w:rPr>
          <w:t> </w:t>
        </w:r>
        <w:r>
          <w:rPr>
            <w:spacing w:val="-2"/>
            <w:u w:val="single"/>
          </w:rPr>
          <w:t>(Unaudited):</w:t>
        </w:r>
      </w:hyperlink>
    </w:p>
    <w:p>
      <w:pPr>
        <w:pStyle w:val="BodyText"/>
        <w:tabs>
          <w:tab w:pos="10102" w:val="right" w:leader="none"/>
        </w:tabs>
        <w:spacing w:before="340"/>
        <w:ind w:left="2712"/>
      </w:pPr>
      <w:hyperlink w:history="true" w:anchor="_bookmark2">
        <w:r>
          <w:rPr>
            <w:position w:val="1"/>
            <w:u w:val="single"/>
          </w:rPr>
          <w:t>Statements</w:t>
        </w:r>
        <w:r>
          <w:rPr>
            <w:spacing w:val="-5"/>
            <w:position w:val="1"/>
            <w:u w:val="single"/>
          </w:rPr>
          <w:t> </w:t>
        </w:r>
        <w:r>
          <w:rPr>
            <w:position w:val="1"/>
            <w:u w:val="single"/>
          </w:rPr>
          <w:t>of</w:t>
        </w:r>
        <w:r>
          <w:rPr>
            <w:spacing w:val="-4"/>
            <w:position w:val="1"/>
            <w:u w:val="single"/>
          </w:rPr>
          <w:t> </w:t>
        </w:r>
        <w:r>
          <w:rPr>
            <w:spacing w:val="-2"/>
            <w:position w:val="1"/>
            <w:u w:val="single"/>
          </w:rPr>
          <w:t>Income</w:t>
        </w:r>
      </w:hyperlink>
      <w:r>
        <w:rPr>
          <w:position w:val="1"/>
          <w:u w:val="none"/>
        </w:rPr>
        <w:tab/>
      </w:r>
      <w:hyperlink w:history="true" w:anchor="_bookmark2">
        <w:r>
          <w:rPr>
            <w:spacing w:val="-5"/>
            <w:u w:val="none"/>
          </w:rPr>
          <w:t>30</w:t>
        </w:r>
      </w:hyperlink>
    </w:p>
    <w:p>
      <w:pPr>
        <w:pStyle w:val="BodyText"/>
        <w:tabs>
          <w:tab w:pos="10102" w:val="right" w:leader="none"/>
        </w:tabs>
        <w:spacing w:before="45"/>
        <w:ind w:left="2712"/>
      </w:pPr>
      <w:hyperlink w:history="true" w:anchor="_bookmark3">
        <w:r>
          <w:rPr>
            <w:position w:val="1"/>
            <w:u w:val="single"/>
          </w:rPr>
          <w:t>Statements</w:t>
        </w:r>
        <w:r>
          <w:rPr>
            <w:spacing w:val="-6"/>
            <w:position w:val="1"/>
            <w:u w:val="single"/>
          </w:rPr>
          <w:t> </w:t>
        </w:r>
        <w:r>
          <w:rPr>
            <w:position w:val="1"/>
            <w:u w:val="single"/>
          </w:rPr>
          <w:t>of</w:t>
        </w:r>
        <w:r>
          <w:rPr>
            <w:spacing w:val="-5"/>
            <w:position w:val="1"/>
            <w:u w:val="single"/>
          </w:rPr>
          <w:t> </w:t>
        </w:r>
        <w:r>
          <w:rPr>
            <w:position w:val="1"/>
            <w:u w:val="single"/>
          </w:rPr>
          <w:t>Comprehensive</w:t>
        </w:r>
        <w:r>
          <w:rPr>
            <w:spacing w:val="-5"/>
            <w:position w:val="1"/>
            <w:u w:val="single"/>
          </w:rPr>
          <w:t> </w:t>
        </w:r>
        <w:r>
          <w:rPr>
            <w:spacing w:val="-2"/>
            <w:position w:val="1"/>
            <w:u w:val="single"/>
          </w:rPr>
          <w:t>Income</w:t>
        </w:r>
      </w:hyperlink>
      <w:r>
        <w:rPr>
          <w:position w:val="1"/>
          <w:u w:val="none"/>
        </w:rPr>
        <w:tab/>
      </w:r>
      <w:hyperlink w:history="true" w:anchor="_bookmark3">
        <w:r>
          <w:rPr>
            <w:spacing w:val="-5"/>
            <w:u w:val="none"/>
          </w:rPr>
          <w:t>31</w:t>
        </w:r>
      </w:hyperlink>
    </w:p>
    <w:p>
      <w:pPr>
        <w:pStyle w:val="BodyText"/>
        <w:tabs>
          <w:tab w:pos="10102" w:val="right" w:leader="none"/>
        </w:tabs>
        <w:spacing w:before="45"/>
        <w:ind w:left="2712"/>
      </w:pPr>
      <w:hyperlink w:history="true" w:anchor="_bookmark4">
        <w:r>
          <w:rPr>
            <w:position w:val="1"/>
            <w:u w:val="single"/>
          </w:rPr>
          <w:t>Balance</w:t>
        </w:r>
        <w:r>
          <w:rPr>
            <w:spacing w:val="-6"/>
            <w:position w:val="1"/>
            <w:u w:val="single"/>
          </w:rPr>
          <w:t> </w:t>
        </w:r>
        <w:r>
          <w:rPr>
            <w:spacing w:val="-2"/>
            <w:position w:val="1"/>
            <w:u w:val="single"/>
          </w:rPr>
          <w:t>Sheets</w:t>
        </w:r>
      </w:hyperlink>
      <w:r>
        <w:rPr>
          <w:position w:val="1"/>
          <w:u w:val="none"/>
        </w:rPr>
        <w:tab/>
      </w:r>
      <w:hyperlink w:history="true" w:anchor="_bookmark4">
        <w:r>
          <w:rPr>
            <w:spacing w:val="-5"/>
            <w:u w:val="none"/>
          </w:rPr>
          <w:t>32</w:t>
        </w:r>
      </w:hyperlink>
    </w:p>
    <w:p>
      <w:pPr>
        <w:pStyle w:val="BodyText"/>
        <w:tabs>
          <w:tab w:pos="10235" w:val="right" w:leader="none"/>
        </w:tabs>
        <w:spacing w:before="45"/>
        <w:ind w:left="2712"/>
      </w:pPr>
      <w:hyperlink w:history="true" w:anchor="_bookmark5">
        <w:r>
          <w:rPr>
            <w:position w:val="1"/>
            <w:u w:val="single"/>
          </w:rPr>
          <w:t>Statements</w:t>
        </w:r>
        <w:r>
          <w:rPr>
            <w:spacing w:val="-6"/>
            <w:position w:val="1"/>
            <w:u w:val="single"/>
          </w:rPr>
          <w:t> </w:t>
        </w:r>
        <w:r>
          <w:rPr>
            <w:position w:val="1"/>
            <w:u w:val="single"/>
          </w:rPr>
          <w:t>of</w:t>
        </w:r>
        <w:r>
          <w:rPr>
            <w:spacing w:val="-5"/>
            <w:position w:val="1"/>
            <w:u w:val="single"/>
          </w:rPr>
          <w:t> </w:t>
        </w:r>
        <w:r>
          <w:rPr>
            <w:position w:val="1"/>
            <w:u w:val="single"/>
          </w:rPr>
          <w:t>Stockholders’</w:t>
        </w:r>
        <w:r>
          <w:rPr>
            <w:spacing w:val="-4"/>
            <w:position w:val="1"/>
            <w:u w:val="single"/>
          </w:rPr>
          <w:t> </w:t>
        </w:r>
        <w:r>
          <w:rPr>
            <w:spacing w:val="-2"/>
            <w:position w:val="1"/>
            <w:u w:val="single"/>
          </w:rPr>
          <w:t>Equity</w:t>
        </w:r>
      </w:hyperlink>
      <w:r>
        <w:rPr>
          <w:position w:val="1"/>
          <w:u w:val="none"/>
        </w:rPr>
        <w:tab/>
      </w:r>
      <w:hyperlink w:history="true" w:anchor="_bookmark5">
        <w:r>
          <w:rPr>
            <w:spacing w:val="-5"/>
            <w:u w:val="none"/>
          </w:rPr>
          <w:t>33</w:t>
        </w:r>
      </w:hyperlink>
      <w:r>
        <w:rPr>
          <w:spacing w:val="-5"/>
          <w:u w:val="none"/>
        </w:rPr>
        <w:t>-</w:t>
      </w:r>
      <w:r>
        <w:rPr>
          <w:u w:val="none"/>
        </w:rPr>
        <w:t>34</w:t>
      </w:r>
    </w:p>
    <w:p>
      <w:pPr>
        <w:pStyle w:val="BodyText"/>
        <w:tabs>
          <w:tab w:pos="10235" w:val="right" w:leader="none"/>
        </w:tabs>
        <w:spacing w:before="45"/>
        <w:ind w:left="2712"/>
      </w:pPr>
      <w:hyperlink w:history="true" w:anchor="_bookmark6">
        <w:r>
          <w:rPr>
            <w:position w:val="1"/>
            <w:u w:val="single"/>
          </w:rPr>
          <w:t>Statements</w:t>
        </w:r>
        <w:r>
          <w:rPr>
            <w:spacing w:val="-5"/>
            <w:position w:val="1"/>
            <w:u w:val="single"/>
          </w:rPr>
          <w:t> </w:t>
        </w:r>
        <w:r>
          <w:rPr>
            <w:position w:val="1"/>
            <w:u w:val="single"/>
          </w:rPr>
          <w:t>of</w:t>
        </w:r>
        <w:r>
          <w:rPr>
            <w:spacing w:val="-4"/>
            <w:position w:val="1"/>
            <w:u w:val="single"/>
          </w:rPr>
          <w:t> </w:t>
        </w:r>
        <w:r>
          <w:rPr>
            <w:position w:val="1"/>
            <w:u w:val="single"/>
          </w:rPr>
          <w:t>Cash</w:t>
        </w:r>
        <w:r>
          <w:rPr>
            <w:spacing w:val="-3"/>
            <w:position w:val="1"/>
            <w:u w:val="single"/>
          </w:rPr>
          <w:t> </w:t>
        </w:r>
        <w:r>
          <w:rPr>
            <w:spacing w:val="-4"/>
            <w:position w:val="1"/>
            <w:u w:val="single"/>
          </w:rPr>
          <w:t>Flows</w:t>
        </w:r>
      </w:hyperlink>
      <w:r>
        <w:rPr>
          <w:position w:val="1"/>
          <w:u w:val="none"/>
        </w:rPr>
        <w:tab/>
      </w:r>
      <w:r>
        <w:rPr>
          <w:spacing w:val="-5"/>
          <w:u w:val="none"/>
        </w:rPr>
        <w:t>35-</w:t>
      </w:r>
      <w:r>
        <w:rPr>
          <w:u w:val="none"/>
        </w:rPr>
        <w:t>36</w:t>
      </w:r>
    </w:p>
    <w:p>
      <w:pPr>
        <w:pStyle w:val="BodyText"/>
        <w:tabs>
          <w:tab w:pos="10235" w:val="right" w:leader="none"/>
        </w:tabs>
        <w:spacing w:before="45"/>
        <w:ind w:left="2712"/>
      </w:pPr>
      <w:hyperlink w:history="true" w:anchor="_bookmark7">
        <w:r>
          <w:rPr>
            <w:spacing w:val="-2"/>
            <w:position w:val="1"/>
            <w:u w:val="single"/>
          </w:rPr>
          <w:t>Notes</w:t>
        </w:r>
      </w:hyperlink>
      <w:r>
        <w:rPr>
          <w:position w:val="1"/>
          <w:u w:val="none"/>
        </w:rPr>
        <w:tab/>
      </w:r>
      <w:r>
        <w:rPr>
          <w:spacing w:val="-5"/>
          <w:u w:val="none"/>
        </w:rPr>
        <w:t>37-</w:t>
      </w:r>
      <w:r>
        <w:rPr>
          <w:u w:val="none"/>
        </w:rPr>
        <w:t>69</w:t>
      </w:r>
    </w:p>
    <w:p>
      <w:pPr>
        <w:spacing w:after="0"/>
        <w:sectPr>
          <w:pgSz w:w="12240" w:h="15840"/>
          <w:pgMar w:top="380" w:bottom="280" w:left="520" w:right="520"/>
        </w:sectPr>
      </w:pPr>
    </w:p>
    <w:p>
      <w:pPr>
        <w:pStyle w:val="BodyText"/>
        <w:tabs>
          <w:tab w:pos="2712" w:val="left" w:leader="none"/>
        </w:tabs>
        <w:spacing w:line="208" w:lineRule="auto" w:before="339"/>
        <w:ind w:left="2712" w:right="38" w:hanging="1665"/>
      </w:pPr>
      <w:r>
        <w:rPr>
          <w:b/>
          <w:position w:val="2"/>
        </w:rPr>
        <w:t>Item 2.</w:t>
        <w:tab/>
      </w:r>
      <w:hyperlink w:history="true" w:anchor="_bookmark0">
        <w:r>
          <w:rPr>
            <w:u w:val="single"/>
          </w:rPr>
          <w:t>Management’s</w:t>
        </w:r>
        <w:r>
          <w:rPr>
            <w:spacing w:val="-7"/>
            <w:u w:val="single"/>
          </w:rPr>
          <w:t> </w:t>
        </w:r>
        <w:r>
          <w:rPr>
            <w:u w:val="single"/>
          </w:rPr>
          <w:t>Discussion</w:t>
        </w:r>
        <w:r>
          <w:rPr>
            <w:spacing w:val="-6"/>
            <w:u w:val="single"/>
          </w:rPr>
          <w:t> </w:t>
        </w:r>
        <w:r>
          <w:rPr>
            <w:u w:val="single"/>
          </w:rPr>
          <w:t>and</w:t>
        </w:r>
        <w:r>
          <w:rPr>
            <w:spacing w:val="-6"/>
            <w:u w:val="single"/>
          </w:rPr>
          <w:t> </w:t>
        </w:r>
        <w:r>
          <w:rPr>
            <w:u w:val="single"/>
          </w:rPr>
          <w:t>Analysis</w:t>
        </w:r>
        <w:r>
          <w:rPr>
            <w:spacing w:val="-7"/>
            <w:u w:val="single"/>
          </w:rPr>
          <w:t> </w:t>
        </w:r>
        <w:r>
          <w:rPr>
            <w:u w:val="single"/>
          </w:rPr>
          <w:t>of</w:t>
        </w:r>
        <w:r>
          <w:rPr>
            <w:spacing w:val="-6"/>
            <w:u w:val="single"/>
          </w:rPr>
          <w:t> </w:t>
        </w:r>
        <w:r>
          <w:rPr>
            <w:u w:val="single"/>
          </w:rPr>
          <w:t>Financial</w:t>
        </w:r>
        <w:r>
          <w:rPr>
            <w:spacing w:val="-7"/>
            <w:u w:val="single"/>
          </w:rPr>
          <w:t> </w:t>
        </w:r>
        <w:r>
          <w:rPr>
            <w:u w:val="single"/>
          </w:rPr>
          <w:t>Condition</w:t>
        </w:r>
        <w:r>
          <w:rPr>
            <w:spacing w:val="-6"/>
            <w:u w:val="single"/>
          </w:rPr>
          <w:t> </w:t>
        </w:r>
        <w:r>
          <w:rPr>
            <w:u w:val="single"/>
          </w:rPr>
          <w:t>and</w:t>
        </w:r>
      </w:hyperlink>
      <w:r>
        <w:rPr>
          <w:u w:val="none"/>
        </w:rPr>
        <w:t> </w:t>
      </w:r>
      <w:hyperlink w:history="true" w:anchor="_bookmark0">
        <w:r>
          <w:rPr>
            <w:u w:val="single"/>
          </w:rPr>
          <w:t>Results of Operations</w:t>
        </w:r>
      </w:hyperlink>
    </w:p>
    <w:p>
      <w:pPr>
        <w:pStyle w:val="BodyText"/>
        <w:spacing w:before="435"/>
        <w:ind w:left="33"/>
        <w:jc w:val="center"/>
      </w:pPr>
      <w:r>
        <w:rPr/>
        <w:br w:type="column"/>
      </w:r>
      <w:r>
        <w:rPr/>
        <w:t>1-</w:t>
      </w:r>
      <w:r>
        <w:rPr>
          <w:spacing w:val="-5"/>
        </w:rPr>
        <w:t>29</w:t>
      </w:r>
    </w:p>
    <w:p>
      <w:pPr>
        <w:spacing w:after="0"/>
        <w:jc w:val="center"/>
        <w:sectPr>
          <w:type w:val="continuous"/>
          <w:pgSz w:w="12240" w:h="15840"/>
          <w:pgMar w:top="320" w:bottom="280" w:left="520" w:right="520"/>
          <w:cols w:num="2" w:equalWidth="0">
            <w:col w:w="8154" w:space="618"/>
            <w:col w:w="2428"/>
          </w:cols>
        </w:sectPr>
      </w:pPr>
    </w:p>
    <w:p>
      <w:pPr>
        <w:pStyle w:val="BodyText"/>
        <w:spacing w:before="121"/>
      </w:pPr>
    </w:p>
    <w:p>
      <w:pPr>
        <w:pStyle w:val="BodyText"/>
        <w:tabs>
          <w:tab w:pos="2712" w:val="left" w:leader="none"/>
          <w:tab w:pos="9902" w:val="left" w:leader="none"/>
        </w:tabs>
        <w:ind w:left="1047"/>
      </w:pPr>
      <w:r>
        <w:rPr>
          <w:b/>
          <w:position w:val="1"/>
        </w:rPr>
        <w:t>Item</w:t>
      </w:r>
      <w:r>
        <w:rPr>
          <w:b/>
          <w:spacing w:val="-2"/>
          <w:position w:val="1"/>
        </w:rPr>
        <w:t> </w:t>
      </w:r>
      <w:r>
        <w:rPr>
          <w:b/>
          <w:spacing w:val="-5"/>
          <w:position w:val="1"/>
        </w:rPr>
        <w:t>3.</w:t>
      </w:r>
      <w:r>
        <w:rPr>
          <w:b/>
          <w:position w:val="1"/>
        </w:rPr>
        <w:tab/>
      </w:r>
      <w:hyperlink w:history="true" w:anchor="_bookmark1">
        <w:r>
          <w:rPr>
            <w:position w:val="1"/>
            <w:u w:val="single"/>
          </w:rPr>
          <w:t>Quantitative</w:t>
        </w:r>
        <w:r>
          <w:rPr>
            <w:spacing w:val="-8"/>
            <w:position w:val="1"/>
            <w:u w:val="single"/>
          </w:rPr>
          <w:t> </w:t>
        </w:r>
        <w:r>
          <w:rPr>
            <w:position w:val="1"/>
            <w:u w:val="single"/>
          </w:rPr>
          <w:t>and</w:t>
        </w:r>
        <w:r>
          <w:rPr>
            <w:spacing w:val="-5"/>
            <w:position w:val="1"/>
            <w:u w:val="single"/>
          </w:rPr>
          <w:t> </w:t>
        </w:r>
        <w:r>
          <w:rPr>
            <w:position w:val="1"/>
            <w:u w:val="single"/>
          </w:rPr>
          <w:t>Qualitative</w:t>
        </w:r>
        <w:r>
          <w:rPr>
            <w:spacing w:val="-6"/>
            <w:position w:val="1"/>
            <w:u w:val="single"/>
          </w:rPr>
          <w:t> </w:t>
        </w:r>
        <w:r>
          <w:rPr>
            <w:position w:val="1"/>
            <w:u w:val="single"/>
          </w:rPr>
          <w:t>Disclosures</w:t>
        </w:r>
        <w:r>
          <w:rPr>
            <w:spacing w:val="-5"/>
            <w:position w:val="1"/>
            <w:u w:val="single"/>
          </w:rPr>
          <w:t> </w:t>
        </w:r>
        <w:r>
          <w:rPr>
            <w:position w:val="1"/>
            <w:u w:val="single"/>
          </w:rPr>
          <w:t>About</w:t>
        </w:r>
        <w:r>
          <w:rPr>
            <w:spacing w:val="-6"/>
            <w:position w:val="1"/>
            <w:u w:val="single"/>
          </w:rPr>
          <w:t> </w:t>
        </w:r>
        <w:r>
          <w:rPr>
            <w:position w:val="1"/>
            <w:u w:val="single"/>
          </w:rPr>
          <w:t>Market</w:t>
        </w:r>
        <w:r>
          <w:rPr>
            <w:spacing w:val="-5"/>
            <w:position w:val="1"/>
            <w:u w:val="single"/>
          </w:rPr>
          <w:t> </w:t>
        </w:r>
        <w:r>
          <w:rPr>
            <w:spacing w:val="-4"/>
            <w:position w:val="1"/>
            <w:u w:val="single"/>
          </w:rPr>
          <w:t>Risk</w:t>
        </w:r>
      </w:hyperlink>
      <w:r>
        <w:rPr>
          <w:position w:val="1"/>
          <w:u w:val="none"/>
        </w:rPr>
        <w:tab/>
      </w:r>
      <w:hyperlink w:history="true" w:anchor="_bookmark1">
        <w:r>
          <w:rPr>
            <w:spacing w:val="-5"/>
            <w:u w:val="none"/>
          </w:rPr>
          <w:t>29</w:t>
        </w:r>
      </w:hyperlink>
    </w:p>
    <w:p>
      <w:pPr>
        <w:pStyle w:val="BodyText"/>
        <w:spacing w:before="100"/>
      </w:pPr>
    </w:p>
    <w:p>
      <w:pPr>
        <w:tabs>
          <w:tab w:pos="2712" w:val="left" w:leader="none"/>
          <w:tab w:pos="9902" w:val="left" w:leader="none"/>
        </w:tabs>
        <w:spacing w:before="0"/>
        <w:ind w:left="1047" w:right="0" w:firstLine="0"/>
        <w:jc w:val="left"/>
        <w:rPr>
          <w:sz w:val="20"/>
        </w:rPr>
      </w:pPr>
      <w:r>
        <w:rPr>
          <w:b/>
          <w:sz w:val="20"/>
        </w:rPr>
        <w:t>Item</w:t>
      </w:r>
      <w:r>
        <w:rPr>
          <w:b/>
          <w:spacing w:val="-2"/>
          <w:sz w:val="20"/>
        </w:rPr>
        <w:t> </w:t>
      </w:r>
      <w:r>
        <w:rPr>
          <w:b/>
          <w:spacing w:val="-5"/>
          <w:sz w:val="20"/>
        </w:rPr>
        <w:t>4.</w:t>
      </w:r>
      <w:r>
        <w:rPr>
          <w:b/>
          <w:sz w:val="20"/>
        </w:rPr>
        <w:tab/>
      </w:r>
      <w:hyperlink w:history="true" w:anchor="_bookmark8">
        <w:r>
          <w:rPr>
            <w:sz w:val="20"/>
            <w:u w:val="single"/>
          </w:rPr>
          <w:t>Controls</w:t>
        </w:r>
        <w:r>
          <w:rPr>
            <w:spacing w:val="-3"/>
            <w:sz w:val="20"/>
            <w:u w:val="single"/>
          </w:rPr>
          <w:t> </w:t>
        </w:r>
        <w:r>
          <w:rPr>
            <w:sz w:val="20"/>
            <w:u w:val="single"/>
          </w:rPr>
          <w:t>and</w:t>
        </w:r>
        <w:r>
          <w:rPr>
            <w:spacing w:val="-2"/>
            <w:sz w:val="20"/>
            <w:u w:val="single"/>
          </w:rPr>
          <w:t> Procedures</w:t>
        </w:r>
      </w:hyperlink>
      <w:r>
        <w:rPr>
          <w:sz w:val="20"/>
          <w:u w:val="none"/>
        </w:rPr>
        <w:tab/>
      </w:r>
      <w:hyperlink w:history="true" w:anchor="_bookmark8">
        <w:r>
          <w:rPr>
            <w:spacing w:val="-5"/>
            <w:sz w:val="20"/>
            <w:u w:val="none"/>
          </w:rPr>
          <w:t>70</w:t>
        </w:r>
      </w:hyperlink>
    </w:p>
    <w:p>
      <w:pPr>
        <w:pStyle w:val="BodyText"/>
        <w:spacing w:before="108"/>
      </w:pPr>
    </w:p>
    <w:p>
      <w:pPr>
        <w:spacing w:before="0"/>
        <w:ind w:left="522" w:right="0" w:firstLine="0"/>
        <w:jc w:val="left"/>
        <w:rPr>
          <w:b/>
          <w:sz w:val="20"/>
        </w:rPr>
      </w:pPr>
      <w:hyperlink w:history="true" w:anchor="_bookmark9">
        <w:r>
          <w:rPr>
            <w:b/>
            <w:sz w:val="20"/>
            <w:u w:val="single"/>
          </w:rPr>
          <w:t>Part</w:t>
        </w:r>
        <w:r>
          <w:rPr>
            <w:b/>
            <w:spacing w:val="-2"/>
            <w:sz w:val="20"/>
            <w:u w:val="single"/>
          </w:rPr>
          <w:t> </w:t>
        </w:r>
        <w:r>
          <w:rPr>
            <w:b/>
            <w:sz w:val="20"/>
            <w:u w:val="single"/>
          </w:rPr>
          <w:t>II</w:t>
        </w:r>
        <w:r>
          <w:rPr>
            <w:b/>
            <w:spacing w:val="-2"/>
            <w:sz w:val="20"/>
            <w:u w:val="single"/>
          </w:rPr>
          <w:t> </w:t>
        </w:r>
        <w:r>
          <w:rPr>
            <w:b/>
            <w:sz w:val="20"/>
            <w:u w:val="single"/>
          </w:rPr>
          <w:t>-</w:t>
        </w:r>
        <w:r>
          <w:rPr>
            <w:b/>
            <w:spacing w:val="-2"/>
            <w:sz w:val="20"/>
            <w:u w:val="single"/>
          </w:rPr>
          <w:t> </w:t>
        </w:r>
        <w:r>
          <w:rPr>
            <w:b/>
            <w:sz w:val="20"/>
            <w:u w:val="single"/>
          </w:rPr>
          <w:t>Other</w:t>
        </w:r>
        <w:r>
          <w:rPr>
            <w:b/>
            <w:spacing w:val="-2"/>
            <w:sz w:val="20"/>
            <w:u w:val="single"/>
          </w:rPr>
          <w:t> Information</w:t>
        </w:r>
      </w:hyperlink>
    </w:p>
    <w:p>
      <w:pPr>
        <w:pStyle w:val="BodyText"/>
        <w:spacing w:before="119"/>
        <w:rPr>
          <w:b/>
        </w:rPr>
      </w:pPr>
    </w:p>
    <w:tbl>
      <w:tblPr>
        <w:tblW w:w="0" w:type="auto"/>
        <w:jc w:val="left"/>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0"/>
        <w:gridCol w:w="6470"/>
        <w:gridCol w:w="1431"/>
      </w:tblGrid>
      <w:tr>
        <w:trPr>
          <w:trHeight w:val="401" w:hRule="atLeast"/>
        </w:trPr>
        <w:tc>
          <w:tcPr>
            <w:tcW w:w="1780" w:type="dxa"/>
          </w:tcPr>
          <w:p>
            <w:pPr>
              <w:pStyle w:val="TableParagraph"/>
              <w:spacing w:line="221" w:lineRule="exact"/>
              <w:ind w:left="574"/>
              <w:rPr>
                <w:b/>
                <w:sz w:val="20"/>
              </w:rPr>
            </w:pPr>
            <w:r>
              <w:rPr>
                <w:b/>
                <w:sz w:val="20"/>
              </w:rPr>
              <w:t>Item</w:t>
            </w:r>
            <w:r>
              <w:rPr>
                <w:b/>
                <w:spacing w:val="-2"/>
                <w:sz w:val="20"/>
              </w:rPr>
              <w:t> </w:t>
            </w:r>
            <w:r>
              <w:rPr>
                <w:b/>
                <w:spacing w:val="-5"/>
                <w:sz w:val="20"/>
              </w:rPr>
              <w:t>1.</w:t>
            </w:r>
          </w:p>
        </w:tc>
        <w:tc>
          <w:tcPr>
            <w:tcW w:w="6470" w:type="dxa"/>
          </w:tcPr>
          <w:p>
            <w:pPr>
              <w:pStyle w:val="TableParagraph"/>
              <w:spacing w:line="223" w:lineRule="exact"/>
              <w:ind w:left="460"/>
              <w:rPr>
                <w:sz w:val="20"/>
              </w:rPr>
            </w:pPr>
            <w:hyperlink w:history="true" w:anchor="_bookmark10">
              <w:r>
                <w:rPr>
                  <w:sz w:val="20"/>
                  <w:u w:val="single"/>
                </w:rPr>
                <w:t>Legal</w:t>
              </w:r>
              <w:r>
                <w:rPr>
                  <w:spacing w:val="-4"/>
                  <w:sz w:val="20"/>
                  <w:u w:val="single"/>
                </w:rPr>
                <w:t> </w:t>
              </w:r>
              <w:r>
                <w:rPr>
                  <w:spacing w:val="-2"/>
                  <w:sz w:val="20"/>
                  <w:u w:val="single"/>
                </w:rPr>
                <w:t>Proceedings</w:t>
              </w:r>
            </w:hyperlink>
          </w:p>
        </w:tc>
        <w:tc>
          <w:tcPr>
            <w:tcW w:w="1431" w:type="dxa"/>
          </w:tcPr>
          <w:p>
            <w:pPr>
              <w:pStyle w:val="TableParagraph"/>
              <w:spacing w:before="3"/>
              <w:ind w:right="49"/>
              <w:jc w:val="right"/>
              <w:rPr>
                <w:sz w:val="20"/>
              </w:rPr>
            </w:pPr>
            <w:hyperlink w:history="true" w:anchor="_bookmark10">
              <w:r>
                <w:rPr>
                  <w:spacing w:val="-5"/>
                  <w:sz w:val="20"/>
                </w:rPr>
                <w:t>70</w:t>
              </w:r>
            </w:hyperlink>
          </w:p>
        </w:tc>
      </w:tr>
      <w:tr>
        <w:trPr>
          <w:trHeight w:val="570" w:hRule="atLeast"/>
        </w:trPr>
        <w:tc>
          <w:tcPr>
            <w:tcW w:w="1780" w:type="dxa"/>
          </w:tcPr>
          <w:p>
            <w:pPr>
              <w:pStyle w:val="TableParagraph"/>
              <w:spacing w:before="159"/>
              <w:ind w:left="574"/>
              <w:rPr>
                <w:b/>
                <w:sz w:val="20"/>
              </w:rPr>
            </w:pPr>
            <w:r>
              <w:rPr>
                <w:b/>
                <w:sz w:val="20"/>
              </w:rPr>
              <w:t>Item</w:t>
            </w:r>
            <w:r>
              <w:rPr>
                <w:b/>
                <w:spacing w:val="-2"/>
                <w:sz w:val="20"/>
              </w:rPr>
              <w:t> </w:t>
            </w:r>
            <w:r>
              <w:rPr>
                <w:b/>
                <w:spacing w:val="-5"/>
                <w:sz w:val="20"/>
              </w:rPr>
              <w:t>1A.</w:t>
            </w:r>
          </w:p>
        </w:tc>
        <w:tc>
          <w:tcPr>
            <w:tcW w:w="6470" w:type="dxa"/>
          </w:tcPr>
          <w:p>
            <w:pPr>
              <w:pStyle w:val="TableParagraph"/>
              <w:spacing w:before="161"/>
              <w:ind w:left="460"/>
              <w:rPr>
                <w:sz w:val="20"/>
              </w:rPr>
            </w:pPr>
            <w:hyperlink w:history="true" w:anchor="_bookmark11">
              <w:r>
                <w:rPr>
                  <w:sz w:val="20"/>
                  <w:u w:val="single"/>
                </w:rPr>
                <w:t>Risk</w:t>
              </w:r>
              <w:r>
                <w:rPr>
                  <w:spacing w:val="-3"/>
                  <w:sz w:val="20"/>
                  <w:u w:val="single"/>
                </w:rPr>
                <w:t> </w:t>
              </w:r>
              <w:r>
                <w:rPr>
                  <w:spacing w:val="-2"/>
                  <w:sz w:val="20"/>
                  <w:u w:val="single"/>
                </w:rPr>
                <w:t>Factors</w:t>
              </w:r>
            </w:hyperlink>
          </w:p>
        </w:tc>
        <w:tc>
          <w:tcPr>
            <w:tcW w:w="1431" w:type="dxa"/>
          </w:tcPr>
          <w:p>
            <w:pPr>
              <w:pStyle w:val="TableParagraph"/>
              <w:spacing w:before="171"/>
              <w:ind w:right="49"/>
              <w:jc w:val="right"/>
              <w:rPr>
                <w:sz w:val="20"/>
              </w:rPr>
            </w:pPr>
            <w:hyperlink w:history="true" w:anchor="_bookmark11">
              <w:r>
                <w:rPr>
                  <w:spacing w:val="-5"/>
                  <w:sz w:val="20"/>
                </w:rPr>
                <w:t>70</w:t>
              </w:r>
            </w:hyperlink>
          </w:p>
        </w:tc>
      </w:tr>
      <w:tr>
        <w:trPr>
          <w:trHeight w:val="570" w:hRule="atLeast"/>
        </w:trPr>
        <w:tc>
          <w:tcPr>
            <w:tcW w:w="1780" w:type="dxa"/>
          </w:tcPr>
          <w:p>
            <w:pPr>
              <w:pStyle w:val="TableParagraph"/>
              <w:spacing w:before="159"/>
              <w:ind w:left="574"/>
              <w:rPr>
                <w:b/>
                <w:sz w:val="20"/>
              </w:rPr>
            </w:pPr>
            <w:r>
              <w:rPr>
                <w:b/>
                <w:sz w:val="20"/>
              </w:rPr>
              <w:t>Item</w:t>
            </w:r>
            <w:r>
              <w:rPr>
                <w:b/>
                <w:spacing w:val="-2"/>
                <w:sz w:val="20"/>
              </w:rPr>
              <w:t> </w:t>
            </w:r>
            <w:r>
              <w:rPr>
                <w:b/>
                <w:spacing w:val="-5"/>
                <w:sz w:val="20"/>
              </w:rPr>
              <w:t>2.</w:t>
            </w:r>
          </w:p>
        </w:tc>
        <w:tc>
          <w:tcPr>
            <w:tcW w:w="6470" w:type="dxa"/>
          </w:tcPr>
          <w:p>
            <w:pPr>
              <w:pStyle w:val="TableParagraph"/>
              <w:spacing w:before="161"/>
              <w:ind w:left="460"/>
              <w:rPr>
                <w:sz w:val="20"/>
              </w:rPr>
            </w:pPr>
            <w:hyperlink w:history="true" w:anchor="_bookmark12">
              <w:r>
                <w:rPr>
                  <w:sz w:val="20"/>
                  <w:u w:val="single"/>
                </w:rPr>
                <w:t>Unregistered</w:t>
              </w:r>
              <w:r>
                <w:rPr>
                  <w:spacing w:val="-4"/>
                  <w:sz w:val="20"/>
                  <w:u w:val="single"/>
                </w:rPr>
                <w:t> </w:t>
              </w:r>
              <w:r>
                <w:rPr>
                  <w:sz w:val="20"/>
                  <w:u w:val="single"/>
                </w:rPr>
                <w:t>Sales</w:t>
              </w:r>
              <w:r>
                <w:rPr>
                  <w:spacing w:val="-3"/>
                  <w:sz w:val="20"/>
                  <w:u w:val="single"/>
                </w:rPr>
                <w:t> </w:t>
              </w:r>
              <w:r>
                <w:rPr>
                  <w:sz w:val="20"/>
                  <w:u w:val="single"/>
                </w:rPr>
                <w:t>of</w:t>
              </w:r>
              <w:r>
                <w:rPr>
                  <w:spacing w:val="-3"/>
                  <w:sz w:val="20"/>
                  <w:u w:val="single"/>
                </w:rPr>
                <w:t> </w:t>
              </w:r>
              <w:r>
                <w:rPr>
                  <w:sz w:val="20"/>
                  <w:u w:val="single"/>
                </w:rPr>
                <w:t>Equity</w:t>
              </w:r>
              <w:r>
                <w:rPr>
                  <w:spacing w:val="-4"/>
                  <w:sz w:val="20"/>
                  <w:u w:val="single"/>
                </w:rPr>
                <w:t> </w:t>
              </w:r>
              <w:r>
                <w:rPr>
                  <w:sz w:val="20"/>
                  <w:u w:val="single"/>
                </w:rPr>
                <w:t>Securities</w:t>
              </w:r>
              <w:r>
                <w:rPr>
                  <w:spacing w:val="-3"/>
                  <w:sz w:val="20"/>
                  <w:u w:val="single"/>
                </w:rPr>
                <w:t> </w:t>
              </w:r>
              <w:r>
                <w:rPr>
                  <w:sz w:val="20"/>
                  <w:u w:val="single"/>
                </w:rPr>
                <w:t>and</w:t>
              </w:r>
              <w:r>
                <w:rPr>
                  <w:spacing w:val="-4"/>
                  <w:sz w:val="20"/>
                  <w:u w:val="single"/>
                </w:rPr>
                <w:t> </w:t>
              </w:r>
              <w:r>
                <w:rPr>
                  <w:sz w:val="20"/>
                  <w:u w:val="single"/>
                </w:rPr>
                <w:t>Use</w:t>
              </w:r>
              <w:r>
                <w:rPr>
                  <w:spacing w:val="-3"/>
                  <w:sz w:val="20"/>
                  <w:u w:val="single"/>
                </w:rPr>
                <w:t> </w:t>
              </w:r>
              <w:r>
                <w:rPr>
                  <w:sz w:val="20"/>
                  <w:u w:val="single"/>
                </w:rPr>
                <w:t>of</w:t>
              </w:r>
              <w:r>
                <w:rPr>
                  <w:spacing w:val="-3"/>
                  <w:sz w:val="20"/>
                  <w:u w:val="single"/>
                </w:rPr>
                <w:t> </w:t>
              </w:r>
              <w:r>
                <w:rPr>
                  <w:spacing w:val="-2"/>
                  <w:sz w:val="20"/>
                  <w:u w:val="single"/>
                </w:rPr>
                <w:t>Proceeds</w:t>
              </w:r>
            </w:hyperlink>
          </w:p>
        </w:tc>
        <w:tc>
          <w:tcPr>
            <w:tcW w:w="1431" w:type="dxa"/>
          </w:tcPr>
          <w:p>
            <w:pPr>
              <w:pStyle w:val="TableParagraph"/>
              <w:spacing w:before="171"/>
              <w:ind w:right="49"/>
              <w:jc w:val="right"/>
              <w:rPr>
                <w:sz w:val="20"/>
              </w:rPr>
            </w:pPr>
            <w:hyperlink w:history="true" w:anchor="_bookmark12">
              <w:r>
                <w:rPr>
                  <w:spacing w:val="-5"/>
                  <w:sz w:val="20"/>
                </w:rPr>
                <w:t>70</w:t>
              </w:r>
            </w:hyperlink>
          </w:p>
        </w:tc>
      </w:tr>
      <w:tr>
        <w:trPr>
          <w:trHeight w:val="570" w:hRule="atLeast"/>
        </w:trPr>
        <w:tc>
          <w:tcPr>
            <w:tcW w:w="1780" w:type="dxa"/>
          </w:tcPr>
          <w:p>
            <w:pPr>
              <w:pStyle w:val="TableParagraph"/>
              <w:spacing w:before="159"/>
              <w:ind w:left="574"/>
              <w:rPr>
                <w:b/>
                <w:sz w:val="20"/>
              </w:rPr>
            </w:pPr>
            <w:r>
              <w:rPr>
                <w:b/>
                <w:sz w:val="20"/>
              </w:rPr>
              <w:t>Item</w:t>
            </w:r>
            <w:r>
              <w:rPr>
                <w:b/>
                <w:spacing w:val="-2"/>
                <w:sz w:val="20"/>
              </w:rPr>
              <w:t> </w:t>
            </w:r>
            <w:r>
              <w:rPr>
                <w:b/>
                <w:spacing w:val="-5"/>
                <w:sz w:val="20"/>
              </w:rPr>
              <w:t>3.</w:t>
            </w:r>
          </w:p>
        </w:tc>
        <w:tc>
          <w:tcPr>
            <w:tcW w:w="6470" w:type="dxa"/>
          </w:tcPr>
          <w:p>
            <w:pPr>
              <w:pStyle w:val="TableParagraph"/>
              <w:spacing w:before="161"/>
              <w:ind w:left="460"/>
              <w:rPr>
                <w:sz w:val="20"/>
              </w:rPr>
            </w:pPr>
            <w:hyperlink w:history="true" w:anchor="_bookmark13">
              <w:r>
                <w:rPr>
                  <w:sz w:val="20"/>
                  <w:u w:val="single"/>
                </w:rPr>
                <w:t>Defaults</w:t>
              </w:r>
              <w:r>
                <w:rPr>
                  <w:spacing w:val="-4"/>
                  <w:sz w:val="20"/>
                  <w:u w:val="single"/>
                </w:rPr>
                <w:t> </w:t>
              </w:r>
              <w:r>
                <w:rPr>
                  <w:sz w:val="20"/>
                  <w:u w:val="single"/>
                </w:rPr>
                <w:t>Upon</w:t>
              </w:r>
              <w:r>
                <w:rPr>
                  <w:spacing w:val="-3"/>
                  <w:sz w:val="20"/>
                  <w:u w:val="single"/>
                </w:rPr>
                <w:t> </w:t>
              </w:r>
              <w:r>
                <w:rPr>
                  <w:sz w:val="20"/>
                  <w:u w:val="single"/>
                </w:rPr>
                <w:t>Senior</w:t>
              </w:r>
              <w:r>
                <w:rPr>
                  <w:spacing w:val="-3"/>
                  <w:sz w:val="20"/>
                  <w:u w:val="single"/>
                </w:rPr>
                <w:t> </w:t>
              </w:r>
              <w:r>
                <w:rPr>
                  <w:spacing w:val="-2"/>
                  <w:sz w:val="20"/>
                  <w:u w:val="single"/>
                </w:rPr>
                <w:t>Securities</w:t>
              </w:r>
            </w:hyperlink>
          </w:p>
        </w:tc>
        <w:tc>
          <w:tcPr>
            <w:tcW w:w="1431" w:type="dxa"/>
          </w:tcPr>
          <w:p>
            <w:pPr>
              <w:pStyle w:val="TableParagraph"/>
              <w:spacing w:before="171"/>
              <w:ind w:right="49"/>
              <w:jc w:val="right"/>
              <w:rPr>
                <w:sz w:val="20"/>
              </w:rPr>
            </w:pPr>
            <w:hyperlink w:history="true" w:anchor="_bookmark13">
              <w:r>
                <w:rPr>
                  <w:spacing w:val="-5"/>
                  <w:sz w:val="20"/>
                </w:rPr>
                <w:t>71</w:t>
              </w:r>
            </w:hyperlink>
          </w:p>
        </w:tc>
      </w:tr>
      <w:tr>
        <w:trPr>
          <w:trHeight w:val="570" w:hRule="atLeast"/>
        </w:trPr>
        <w:tc>
          <w:tcPr>
            <w:tcW w:w="1780" w:type="dxa"/>
          </w:tcPr>
          <w:p>
            <w:pPr>
              <w:pStyle w:val="TableParagraph"/>
              <w:spacing w:before="159"/>
              <w:ind w:left="574"/>
              <w:rPr>
                <w:b/>
                <w:sz w:val="20"/>
              </w:rPr>
            </w:pPr>
            <w:r>
              <w:rPr>
                <w:b/>
                <w:sz w:val="20"/>
              </w:rPr>
              <w:t>Item</w:t>
            </w:r>
            <w:r>
              <w:rPr>
                <w:b/>
                <w:spacing w:val="-2"/>
                <w:sz w:val="20"/>
              </w:rPr>
              <w:t> </w:t>
            </w:r>
            <w:r>
              <w:rPr>
                <w:b/>
                <w:spacing w:val="-5"/>
                <w:sz w:val="20"/>
              </w:rPr>
              <w:t>4.</w:t>
            </w:r>
          </w:p>
        </w:tc>
        <w:tc>
          <w:tcPr>
            <w:tcW w:w="6470" w:type="dxa"/>
          </w:tcPr>
          <w:p>
            <w:pPr>
              <w:pStyle w:val="TableParagraph"/>
              <w:spacing w:before="161"/>
              <w:ind w:left="460"/>
              <w:rPr>
                <w:sz w:val="20"/>
              </w:rPr>
            </w:pPr>
            <w:hyperlink w:history="true" w:anchor="_bookmark14">
              <w:r>
                <w:rPr>
                  <w:sz w:val="20"/>
                  <w:u w:val="single"/>
                </w:rPr>
                <w:t>Mine</w:t>
              </w:r>
              <w:r>
                <w:rPr>
                  <w:spacing w:val="-4"/>
                  <w:sz w:val="20"/>
                  <w:u w:val="single"/>
                </w:rPr>
                <w:t> </w:t>
              </w:r>
              <w:r>
                <w:rPr>
                  <w:sz w:val="20"/>
                  <w:u w:val="single"/>
                </w:rPr>
                <w:t>Safety</w:t>
              </w:r>
              <w:r>
                <w:rPr>
                  <w:spacing w:val="-3"/>
                  <w:sz w:val="20"/>
                  <w:u w:val="single"/>
                </w:rPr>
                <w:t> </w:t>
              </w:r>
              <w:r>
                <w:rPr>
                  <w:spacing w:val="-2"/>
                  <w:sz w:val="20"/>
                  <w:u w:val="single"/>
                </w:rPr>
                <w:t>Disclosures</w:t>
              </w:r>
            </w:hyperlink>
          </w:p>
        </w:tc>
        <w:tc>
          <w:tcPr>
            <w:tcW w:w="1431" w:type="dxa"/>
          </w:tcPr>
          <w:p>
            <w:pPr>
              <w:pStyle w:val="TableParagraph"/>
              <w:spacing w:before="171"/>
              <w:ind w:right="49"/>
              <w:jc w:val="right"/>
              <w:rPr>
                <w:sz w:val="20"/>
              </w:rPr>
            </w:pPr>
            <w:hyperlink w:history="true" w:anchor="_bookmark14">
              <w:r>
                <w:rPr>
                  <w:spacing w:val="-5"/>
                  <w:sz w:val="20"/>
                </w:rPr>
                <w:t>71</w:t>
              </w:r>
            </w:hyperlink>
          </w:p>
        </w:tc>
      </w:tr>
      <w:tr>
        <w:trPr>
          <w:trHeight w:val="570" w:hRule="atLeast"/>
        </w:trPr>
        <w:tc>
          <w:tcPr>
            <w:tcW w:w="1780" w:type="dxa"/>
          </w:tcPr>
          <w:p>
            <w:pPr>
              <w:pStyle w:val="TableParagraph"/>
              <w:spacing w:before="159"/>
              <w:ind w:left="574"/>
              <w:rPr>
                <w:b/>
                <w:sz w:val="20"/>
              </w:rPr>
            </w:pPr>
            <w:r>
              <w:rPr>
                <w:b/>
                <w:sz w:val="20"/>
              </w:rPr>
              <w:t>Item</w:t>
            </w:r>
            <w:r>
              <w:rPr>
                <w:b/>
                <w:spacing w:val="-2"/>
                <w:sz w:val="20"/>
              </w:rPr>
              <w:t> </w:t>
            </w:r>
            <w:r>
              <w:rPr>
                <w:b/>
                <w:spacing w:val="-5"/>
                <w:sz w:val="20"/>
              </w:rPr>
              <w:t>5.</w:t>
            </w:r>
          </w:p>
        </w:tc>
        <w:tc>
          <w:tcPr>
            <w:tcW w:w="6470" w:type="dxa"/>
          </w:tcPr>
          <w:p>
            <w:pPr>
              <w:pStyle w:val="TableParagraph"/>
              <w:spacing w:before="161"/>
              <w:ind w:left="460"/>
              <w:rPr>
                <w:sz w:val="20"/>
              </w:rPr>
            </w:pPr>
            <w:hyperlink w:history="true" w:anchor="_bookmark15">
              <w:r>
                <w:rPr>
                  <w:sz w:val="20"/>
                  <w:u w:val="single"/>
                </w:rPr>
                <w:t>Other</w:t>
              </w:r>
              <w:r>
                <w:rPr>
                  <w:spacing w:val="-3"/>
                  <w:sz w:val="20"/>
                  <w:u w:val="single"/>
                </w:rPr>
                <w:t> </w:t>
              </w:r>
              <w:r>
                <w:rPr>
                  <w:spacing w:val="-2"/>
                  <w:sz w:val="20"/>
                  <w:u w:val="single"/>
                </w:rPr>
                <w:t>Information</w:t>
              </w:r>
            </w:hyperlink>
          </w:p>
        </w:tc>
        <w:tc>
          <w:tcPr>
            <w:tcW w:w="1431" w:type="dxa"/>
          </w:tcPr>
          <w:p>
            <w:pPr>
              <w:pStyle w:val="TableParagraph"/>
              <w:spacing w:before="171"/>
              <w:ind w:right="49"/>
              <w:jc w:val="right"/>
              <w:rPr>
                <w:sz w:val="20"/>
              </w:rPr>
            </w:pPr>
            <w:hyperlink w:history="true" w:anchor="_bookmark15">
              <w:r>
                <w:rPr>
                  <w:spacing w:val="-5"/>
                  <w:sz w:val="20"/>
                </w:rPr>
                <w:t>71</w:t>
              </w:r>
            </w:hyperlink>
          </w:p>
        </w:tc>
      </w:tr>
      <w:tr>
        <w:trPr>
          <w:trHeight w:val="570" w:hRule="atLeast"/>
        </w:trPr>
        <w:tc>
          <w:tcPr>
            <w:tcW w:w="1780" w:type="dxa"/>
          </w:tcPr>
          <w:p>
            <w:pPr>
              <w:pStyle w:val="TableParagraph"/>
              <w:spacing w:before="159"/>
              <w:ind w:left="574"/>
              <w:rPr>
                <w:b/>
                <w:sz w:val="20"/>
              </w:rPr>
            </w:pPr>
            <w:r>
              <w:rPr>
                <w:b/>
                <w:sz w:val="20"/>
              </w:rPr>
              <w:t>Item</w:t>
            </w:r>
            <w:r>
              <w:rPr>
                <w:b/>
                <w:spacing w:val="-2"/>
                <w:sz w:val="20"/>
              </w:rPr>
              <w:t> </w:t>
            </w:r>
            <w:r>
              <w:rPr>
                <w:b/>
                <w:spacing w:val="-5"/>
                <w:sz w:val="20"/>
              </w:rPr>
              <w:t>6.</w:t>
            </w:r>
          </w:p>
        </w:tc>
        <w:tc>
          <w:tcPr>
            <w:tcW w:w="6470" w:type="dxa"/>
          </w:tcPr>
          <w:p>
            <w:pPr>
              <w:pStyle w:val="TableParagraph"/>
              <w:spacing w:before="161"/>
              <w:ind w:left="460"/>
              <w:rPr>
                <w:sz w:val="20"/>
              </w:rPr>
            </w:pPr>
            <w:hyperlink w:history="true" w:anchor="_bookmark16">
              <w:r>
                <w:rPr>
                  <w:spacing w:val="-2"/>
                  <w:sz w:val="20"/>
                  <w:u w:val="single"/>
                </w:rPr>
                <w:t>Exhibits</w:t>
              </w:r>
            </w:hyperlink>
          </w:p>
        </w:tc>
        <w:tc>
          <w:tcPr>
            <w:tcW w:w="1431" w:type="dxa"/>
          </w:tcPr>
          <w:p>
            <w:pPr>
              <w:pStyle w:val="TableParagraph"/>
              <w:spacing w:before="171"/>
              <w:ind w:right="49"/>
              <w:jc w:val="right"/>
              <w:rPr>
                <w:sz w:val="20"/>
              </w:rPr>
            </w:pPr>
            <w:hyperlink w:history="true" w:anchor="_bookmark16">
              <w:r>
                <w:rPr>
                  <w:spacing w:val="-5"/>
                  <w:sz w:val="20"/>
                </w:rPr>
                <w:t>72</w:t>
              </w:r>
            </w:hyperlink>
          </w:p>
        </w:tc>
      </w:tr>
      <w:tr>
        <w:trPr>
          <w:trHeight w:val="401" w:hRule="atLeast"/>
        </w:trPr>
        <w:tc>
          <w:tcPr>
            <w:tcW w:w="1780" w:type="dxa"/>
          </w:tcPr>
          <w:p>
            <w:pPr>
              <w:pStyle w:val="TableParagraph"/>
              <w:spacing w:line="222" w:lineRule="exact" w:before="159"/>
              <w:ind w:left="50"/>
              <w:rPr>
                <w:b/>
                <w:sz w:val="20"/>
              </w:rPr>
            </w:pPr>
            <w:hyperlink w:history="true" w:anchor="_bookmark17">
              <w:r>
                <w:rPr>
                  <w:b/>
                  <w:spacing w:val="-2"/>
                  <w:sz w:val="20"/>
                  <w:u w:val="single"/>
                </w:rPr>
                <w:t>Signature</w:t>
              </w:r>
            </w:hyperlink>
          </w:p>
        </w:tc>
        <w:tc>
          <w:tcPr>
            <w:tcW w:w="6470" w:type="dxa"/>
          </w:tcPr>
          <w:p>
            <w:pPr>
              <w:pStyle w:val="TableParagraph"/>
              <w:rPr>
                <w:sz w:val="20"/>
              </w:rPr>
            </w:pPr>
          </w:p>
        </w:tc>
        <w:tc>
          <w:tcPr>
            <w:tcW w:w="1431" w:type="dxa"/>
          </w:tcPr>
          <w:p>
            <w:pPr>
              <w:pStyle w:val="TableParagraph"/>
              <w:spacing w:line="210" w:lineRule="exact" w:before="171"/>
              <w:ind w:right="49"/>
              <w:jc w:val="right"/>
              <w:rPr>
                <w:sz w:val="20"/>
              </w:rPr>
            </w:pPr>
            <w:hyperlink w:history="true" w:anchor="_bookmark17">
              <w:r>
                <w:rPr>
                  <w:spacing w:val="-5"/>
                  <w:sz w:val="20"/>
                </w:rPr>
                <w:t>73</w:t>
              </w:r>
            </w:hyperlink>
          </w:p>
        </w:tc>
      </w:tr>
    </w:tbl>
    <w:p>
      <w:pPr>
        <w:spacing w:after="0" w:line="210" w:lineRule="exact"/>
        <w:jc w:val="right"/>
        <w:rPr>
          <w:sz w:val="20"/>
        </w:rPr>
        <w:sectPr>
          <w:type w:val="continuous"/>
          <w:pgSz w:w="12240" w:h="15840"/>
          <w:pgMar w:top="320" w:bottom="280" w:left="520" w:right="520"/>
        </w:sectPr>
      </w:pPr>
    </w:p>
    <w:p>
      <w:pPr>
        <w:spacing w:before="78"/>
        <w:ind w:left="470" w:right="0" w:firstLine="0"/>
        <w:jc w:val="left"/>
        <w:rPr>
          <w:b/>
          <w:sz w:val="20"/>
        </w:rPr>
      </w:pPr>
      <w:r>
        <w:rPr>
          <w:b/>
          <w:color w:val="231F20"/>
          <w:sz w:val="20"/>
        </w:rPr>
        <w:t>Part</w:t>
      </w:r>
      <w:r>
        <w:rPr>
          <w:b/>
          <w:color w:val="231F20"/>
          <w:spacing w:val="-4"/>
          <w:sz w:val="20"/>
        </w:rPr>
        <w:t> </w:t>
      </w:r>
      <w:r>
        <w:rPr>
          <w:b/>
          <w:color w:val="231F20"/>
          <w:sz w:val="20"/>
        </w:rPr>
        <w:t>I</w:t>
      </w:r>
      <w:r>
        <w:rPr>
          <w:b/>
          <w:color w:val="231F20"/>
          <w:spacing w:val="-4"/>
          <w:sz w:val="20"/>
        </w:rPr>
        <w:t> </w:t>
      </w:r>
      <w:r>
        <w:rPr>
          <w:b/>
          <w:color w:val="231F20"/>
          <w:sz w:val="20"/>
        </w:rPr>
        <w:t>–</w:t>
      </w:r>
      <w:r>
        <w:rPr>
          <w:b/>
          <w:color w:val="231F20"/>
          <w:spacing w:val="-4"/>
          <w:sz w:val="20"/>
        </w:rPr>
        <w:t> </w:t>
      </w:r>
      <w:r>
        <w:rPr>
          <w:b/>
          <w:color w:val="231F20"/>
          <w:sz w:val="20"/>
        </w:rPr>
        <w:t>FINANCIAL</w:t>
      </w:r>
      <w:r>
        <w:rPr>
          <w:b/>
          <w:color w:val="231F20"/>
          <w:spacing w:val="-3"/>
          <w:sz w:val="20"/>
        </w:rPr>
        <w:t> </w:t>
      </w:r>
      <w:r>
        <w:rPr>
          <w:b/>
          <w:color w:val="231F20"/>
          <w:spacing w:val="-2"/>
          <w:sz w:val="20"/>
        </w:rPr>
        <w:t>INFORMATION</w:t>
      </w:r>
    </w:p>
    <w:p>
      <w:pPr>
        <w:pStyle w:val="BodyText"/>
        <w:spacing w:before="20"/>
        <w:rPr>
          <w:b/>
        </w:rPr>
      </w:pPr>
    </w:p>
    <w:p>
      <w:pPr>
        <w:spacing w:before="0"/>
        <w:ind w:left="89" w:right="89" w:firstLine="0"/>
        <w:jc w:val="center"/>
        <w:rPr>
          <w:b/>
          <w:sz w:val="20"/>
        </w:rPr>
      </w:pPr>
      <w:r>
        <w:rPr>
          <w:b/>
          <w:color w:val="231F20"/>
          <w:sz w:val="20"/>
        </w:rPr>
        <w:t>THE</w:t>
      </w:r>
      <w:r>
        <w:rPr>
          <w:b/>
          <w:color w:val="231F20"/>
          <w:spacing w:val="-6"/>
          <w:sz w:val="20"/>
        </w:rPr>
        <w:t> </w:t>
      </w:r>
      <w:r>
        <w:rPr>
          <w:b/>
          <w:color w:val="231F20"/>
          <w:sz w:val="20"/>
        </w:rPr>
        <w:t>CHARLES</w:t>
      </w:r>
      <w:r>
        <w:rPr>
          <w:b/>
          <w:color w:val="231F20"/>
          <w:spacing w:val="-5"/>
          <w:sz w:val="20"/>
        </w:rPr>
        <w:t> </w:t>
      </w:r>
      <w:r>
        <w:rPr>
          <w:b/>
          <w:color w:val="231F20"/>
          <w:sz w:val="20"/>
        </w:rPr>
        <w:t>SCHWAB</w:t>
      </w:r>
      <w:r>
        <w:rPr>
          <w:b/>
          <w:color w:val="231F20"/>
          <w:spacing w:val="-5"/>
          <w:sz w:val="20"/>
        </w:rPr>
        <w:t> </w:t>
      </w:r>
      <w:r>
        <w:rPr>
          <w:b/>
          <w:color w:val="231F20"/>
          <w:spacing w:val="-2"/>
          <w:sz w:val="20"/>
        </w:rPr>
        <w:t>CORPORATION</w:t>
      </w:r>
    </w:p>
    <w:p>
      <w:pPr>
        <w:spacing w:before="10"/>
        <w:ind w:left="89" w:right="89" w:firstLine="0"/>
        <w:jc w:val="center"/>
        <w:rPr>
          <w:b/>
          <w:sz w:val="20"/>
        </w:rPr>
      </w:pPr>
      <w:r>
        <w:rPr>
          <w:b/>
          <w:color w:val="231F20"/>
          <w:sz w:val="20"/>
        </w:rPr>
        <w:t>Management’s</w:t>
      </w:r>
      <w:r>
        <w:rPr>
          <w:b/>
          <w:color w:val="231F20"/>
          <w:spacing w:val="-9"/>
          <w:sz w:val="20"/>
        </w:rPr>
        <w:t> </w:t>
      </w:r>
      <w:r>
        <w:rPr>
          <w:b/>
          <w:color w:val="231F20"/>
          <w:sz w:val="20"/>
        </w:rPr>
        <w:t>Discussion</w:t>
      </w:r>
      <w:r>
        <w:rPr>
          <w:b/>
          <w:color w:val="231F20"/>
          <w:spacing w:val="-6"/>
          <w:sz w:val="20"/>
        </w:rPr>
        <w:t> </w:t>
      </w:r>
      <w:r>
        <w:rPr>
          <w:b/>
          <w:color w:val="231F20"/>
          <w:sz w:val="20"/>
        </w:rPr>
        <w:t>and</w:t>
      </w:r>
      <w:r>
        <w:rPr>
          <w:b/>
          <w:color w:val="231F20"/>
          <w:spacing w:val="-7"/>
          <w:sz w:val="20"/>
        </w:rPr>
        <w:t> </w:t>
      </w:r>
      <w:r>
        <w:rPr>
          <w:b/>
          <w:color w:val="231F20"/>
          <w:sz w:val="20"/>
        </w:rPr>
        <w:t>Analysis</w:t>
      </w:r>
      <w:r>
        <w:rPr>
          <w:b/>
          <w:color w:val="231F20"/>
          <w:spacing w:val="-6"/>
          <w:sz w:val="20"/>
        </w:rPr>
        <w:t> </w:t>
      </w:r>
      <w:r>
        <w:rPr>
          <w:b/>
          <w:color w:val="231F20"/>
          <w:sz w:val="20"/>
        </w:rPr>
        <w:t>of</w:t>
      </w:r>
      <w:r>
        <w:rPr>
          <w:b/>
          <w:color w:val="231F20"/>
          <w:spacing w:val="-7"/>
          <w:sz w:val="20"/>
        </w:rPr>
        <w:t> </w:t>
      </w:r>
      <w:r>
        <w:rPr>
          <w:b/>
          <w:color w:val="231F20"/>
          <w:sz w:val="20"/>
        </w:rPr>
        <w:t>Financial</w:t>
      </w:r>
      <w:r>
        <w:rPr>
          <w:b/>
          <w:color w:val="231F20"/>
          <w:spacing w:val="-6"/>
          <w:sz w:val="20"/>
        </w:rPr>
        <w:t> </w:t>
      </w:r>
      <w:r>
        <w:rPr>
          <w:b/>
          <w:color w:val="231F20"/>
          <w:sz w:val="20"/>
        </w:rPr>
        <w:t>Condition</w:t>
      </w:r>
      <w:r>
        <w:rPr>
          <w:b/>
          <w:color w:val="231F20"/>
          <w:spacing w:val="-7"/>
          <w:sz w:val="20"/>
        </w:rPr>
        <w:t> </w:t>
      </w:r>
      <w:r>
        <w:rPr>
          <w:b/>
          <w:color w:val="231F20"/>
          <w:sz w:val="20"/>
        </w:rPr>
        <w:t>and</w:t>
      </w:r>
      <w:r>
        <w:rPr>
          <w:b/>
          <w:color w:val="231F20"/>
          <w:spacing w:val="-5"/>
          <w:sz w:val="20"/>
        </w:rPr>
        <w:t> </w:t>
      </w:r>
      <w:r>
        <w:rPr>
          <w:b/>
          <w:color w:val="231F20"/>
          <w:sz w:val="20"/>
        </w:rPr>
        <w:t>Results</w:t>
      </w:r>
      <w:r>
        <w:rPr>
          <w:b/>
          <w:color w:val="231F20"/>
          <w:spacing w:val="-6"/>
          <w:sz w:val="20"/>
        </w:rPr>
        <w:t> </w:t>
      </w:r>
      <w:r>
        <w:rPr>
          <w:b/>
          <w:color w:val="231F20"/>
          <w:sz w:val="20"/>
        </w:rPr>
        <w:t>of</w:t>
      </w:r>
      <w:r>
        <w:rPr>
          <w:b/>
          <w:color w:val="231F20"/>
          <w:spacing w:val="-6"/>
          <w:sz w:val="20"/>
        </w:rPr>
        <w:t> </w:t>
      </w:r>
      <w:r>
        <w:rPr>
          <w:b/>
          <w:color w:val="231F20"/>
          <w:spacing w:val="-2"/>
          <w:sz w:val="20"/>
        </w:rPr>
        <w:t>Operations</w:t>
      </w:r>
    </w:p>
    <w:p>
      <w:pPr>
        <w:spacing w:before="23"/>
        <w:ind w:left="90" w:right="89" w:firstLine="0"/>
        <w:jc w:val="center"/>
        <w:rPr>
          <w:sz w:val="16"/>
        </w:rPr>
      </w:pPr>
      <w:r>
        <w:rPr>
          <w:color w:val="231F20"/>
          <w:sz w:val="16"/>
        </w:rPr>
        <w:t>(Tabular</w:t>
      </w:r>
      <w:r>
        <w:rPr>
          <w:color w:val="231F20"/>
          <w:spacing w:val="-1"/>
          <w:sz w:val="16"/>
        </w:rPr>
        <w:t> </w:t>
      </w:r>
      <w:r>
        <w:rPr>
          <w:color w:val="231F20"/>
          <w:sz w:val="16"/>
        </w:rPr>
        <w:t>Amounts</w:t>
      </w:r>
      <w:r>
        <w:rPr>
          <w:color w:val="231F20"/>
          <w:spacing w:val="-2"/>
          <w:sz w:val="16"/>
        </w:rPr>
        <w:t> </w:t>
      </w:r>
      <w:r>
        <w:rPr>
          <w:color w:val="231F20"/>
          <w:sz w:val="16"/>
        </w:rPr>
        <w:t>in</w:t>
      </w:r>
      <w:r>
        <w:rPr>
          <w:color w:val="231F20"/>
          <w:spacing w:val="-1"/>
          <w:sz w:val="16"/>
        </w:rPr>
        <w:t> </w:t>
      </w:r>
      <w:r>
        <w:rPr>
          <w:color w:val="231F20"/>
          <w:sz w:val="16"/>
        </w:rPr>
        <w:t>Millions,</w:t>
      </w:r>
      <w:r>
        <w:rPr>
          <w:color w:val="231F20"/>
          <w:spacing w:val="-1"/>
          <w:sz w:val="16"/>
        </w:rPr>
        <w:t> </w:t>
      </w:r>
      <w:r>
        <w:rPr>
          <w:color w:val="231F20"/>
          <w:sz w:val="16"/>
        </w:rPr>
        <w:t>Except</w:t>
      </w:r>
      <w:r>
        <w:rPr>
          <w:color w:val="231F20"/>
          <w:spacing w:val="-1"/>
          <w:sz w:val="16"/>
        </w:rPr>
        <w:t> </w:t>
      </w:r>
      <w:r>
        <w:rPr>
          <w:color w:val="231F20"/>
          <w:sz w:val="16"/>
        </w:rPr>
        <w:t>Ratios,</w:t>
      </w:r>
      <w:r>
        <w:rPr>
          <w:color w:val="231F20"/>
          <w:spacing w:val="-1"/>
          <w:sz w:val="16"/>
        </w:rPr>
        <w:t> </w:t>
      </w:r>
      <w:r>
        <w:rPr>
          <w:color w:val="231F20"/>
          <w:sz w:val="16"/>
        </w:rPr>
        <w:t>or</w:t>
      </w:r>
      <w:r>
        <w:rPr>
          <w:color w:val="231F20"/>
          <w:spacing w:val="-1"/>
          <w:sz w:val="16"/>
        </w:rPr>
        <w:t> </w:t>
      </w:r>
      <w:r>
        <w:rPr>
          <w:color w:val="231F20"/>
          <w:sz w:val="16"/>
        </w:rPr>
        <w:t>as</w:t>
      </w:r>
      <w:r>
        <w:rPr>
          <w:color w:val="231F20"/>
          <w:spacing w:val="-1"/>
          <w:sz w:val="16"/>
        </w:rPr>
        <w:t> </w:t>
      </w:r>
      <w:r>
        <w:rPr>
          <w:color w:val="231F20"/>
          <w:spacing w:val="-2"/>
          <w:sz w:val="16"/>
        </w:rPr>
        <w:t>Noted)</w:t>
      </w:r>
    </w:p>
    <w:p>
      <w:pPr>
        <w:tabs>
          <w:tab w:pos="1319" w:val="left" w:leader="none"/>
        </w:tabs>
        <w:spacing w:line="560" w:lineRule="exact" w:before="37"/>
        <w:ind w:left="470" w:right="2283" w:firstLine="0"/>
        <w:jc w:val="left"/>
        <w:rPr>
          <w:b/>
          <w:sz w:val="20"/>
        </w:rPr>
      </w:pPr>
      <w:bookmarkStart w:name="Item 2. Management’s Discussion and Anal" w:id="3"/>
      <w:bookmarkEnd w:id="3"/>
      <w:r>
        <w:rPr/>
      </w:r>
      <w:bookmarkStart w:name="_bookmark0" w:id="4"/>
      <w:bookmarkEnd w:id="4"/>
      <w:r>
        <w:rPr/>
      </w:r>
      <w:r>
        <w:rPr>
          <w:b/>
          <w:color w:val="231F20"/>
          <w:sz w:val="20"/>
        </w:rPr>
        <w:t>Item 2.</w:t>
        <w:tab/>
        <w:t>Management’s</w:t>
      </w:r>
      <w:r>
        <w:rPr>
          <w:b/>
          <w:color w:val="231F20"/>
          <w:spacing w:val="-5"/>
          <w:sz w:val="20"/>
        </w:rPr>
        <w:t> </w:t>
      </w:r>
      <w:r>
        <w:rPr>
          <w:b/>
          <w:color w:val="231F20"/>
          <w:sz w:val="20"/>
        </w:rPr>
        <w:t>Discussion</w:t>
      </w:r>
      <w:r>
        <w:rPr>
          <w:b/>
          <w:color w:val="231F20"/>
          <w:spacing w:val="-5"/>
          <w:sz w:val="20"/>
        </w:rPr>
        <w:t> </w:t>
      </w:r>
      <w:r>
        <w:rPr>
          <w:b/>
          <w:color w:val="231F20"/>
          <w:sz w:val="20"/>
        </w:rPr>
        <w:t>and</w:t>
      </w:r>
      <w:r>
        <w:rPr>
          <w:b/>
          <w:color w:val="231F20"/>
          <w:spacing w:val="-5"/>
          <w:sz w:val="20"/>
        </w:rPr>
        <w:t> </w:t>
      </w:r>
      <w:r>
        <w:rPr>
          <w:b/>
          <w:color w:val="231F20"/>
          <w:sz w:val="20"/>
        </w:rPr>
        <w:t>Analysis</w:t>
      </w:r>
      <w:r>
        <w:rPr>
          <w:b/>
          <w:color w:val="231F20"/>
          <w:spacing w:val="-5"/>
          <w:sz w:val="20"/>
        </w:rPr>
        <w:t> </w:t>
      </w:r>
      <w:r>
        <w:rPr>
          <w:b/>
          <w:color w:val="231F20"/>
          <w:sz w:val="20"/>
        </w:rPr>
        <w:t>of</w:t>
      </w:r>
      <w:r>
        <w:rPr>
          <w:b/>
          <w:color w:val="231F20"/>
          <w:spacing w:val="-5"/>
          <w:sz w:val="20"/>
        </w:rPr>
        <w:t> </w:t>
      </w:r>
      <w:r>
        <w:rPr>
          <w:b/>
          <w:color w:val="231F20"/>
          <w:sz w:val="20"/>
        </w:rPr>
        <w:t>Financial</w:t>
      </w:r>
      <w:r>
        <w:rPr>
          <w:b/>
          <w:color w:val="231F20"/>
          <w:spacing w:val="-5"/>
          <w:sz w:val="20"/>
        </w:rPr>
        <w:t> </w:t>
      </w:r>
      <w:r>
        <w:rPr>
          <w:b/>
          <w:color w:val="231F20"/>
          <w:sz w:val="20"/>
        </w:rPr>
        <w:t>Condition</w:t>
      </w:r>
      <w:r>
        <w:rPr>
          <w:b/>
          <w:color w:val="231F20"/>
          <w:spacing w:val="-5"/>
          <w:sz w:val="20"/>
        </w:rPr>
        <w:t> </w:t>
      </w:r>
      <w:r>
        <w:rPr>
          <w:b/>
          <w:color w:val="231F20"/>
          <w:sz w:val="20"/>
        </w:rPr>
        <w:t>and</w:t>
      </w:r>
      <w:r>
        <w:rPr>
          <w:b/>
          <w:color w:val="231F20"/>
          <w:spacing w:val="-5"/>
          <w:sz w:val="20"/>
        </w:rPr>
        <w:t> </w:t>
      </w:r>
      <w:r>
        <w:rPr>
          <w:b/>
          <w:color w:val="231F20"/>
          <w:sz w:val="20"/>
        </w:rPr>
        <w:t>Results</w:t>
      </w:r>
      <w:r>
        <w:rPr>
          <w:b/>
          <w:color w:val="231F20"/>
          <w:spacing w:val="-5"/>
          <w:sz w:val="20"/>
        </w:rPr>
        <w:t> </w:t>
      </w:r>
      <w:r>
        <w:rPr>
          <w:b/>
          <w:color w:val="231F20"/>
          <w:sz w:val="20"/>
        </w:rPr>
        <w:t>of</w:t>
      </w:r>
      <w:r>
        <w:rPr>
          <w:b/>
          <w:color w:val="231F20"/>
          <w:spacing w:val="-5"/>
          <w:sz w:val="20"/>
        </w:rPr>
        <w:t> </w:t>
      </w:r>
      <w:r>
        <w:rPr>
          <w:b/>
          <w:color w:val="231F20"/>
          <w:sz w:val="20"/>
        </w:rPr>
        <w:t>Operations </w:t>
      </w:r>
      <w:bookmarkStart w:name="Introduction" w:id="5"/>
      <w:bookmarkEnd w:id="5"/>
      <w:r>
        <w:rPr>
          <w:b/>
          <w:color w:val="231F20"/>
          <w:spacing w:val="-1"/>
          <w:sz w:val="20"/>
        </w:rPr>
      </w:r>
      <w:r>
        <w:rPr>
          <w:b/>
          <w:color w:val="231F20"/>
          <w:spacing w:val="-2"/>
          <w:sz w:val="20"/>
          <w:u w:val="single" w:color="231F20"/>
        </w:rPr>
        <w:t>INTRODUCTION</w:t>
      </w:r>
    </w:p>
    <w:p>
      <w:pPr>
        <w:pStyle w:val="BodyText"/>
        <w:spacing w:line="249" w:lineRule="auto" w:before="185"/>
        <w:ind w:left="470" w:right="500"/>
      </w:pPr>
      <w:r>
        <w:rPr>
          <w:color w:val="231F20"/>
        </w:rPr>
        <w:t>The Charles Schwab Corporation (CSC) is a savings and loan holding company. CSC engages, through its subsidiaries (collectively</w:t>
      </w:r>
      <w:r>
        <w:rPr>
          <w:color w:val="231F20"/>
          <w:spacing w:val="-4"/>
        </w:rPr>
        <w:t> </w:t>
      </w:r>
      <w:r>
        <w:rPr>
          <w:color w:val="231F20"/>
        </w:rPr>
        <w:t>referred</w:t>
      </w:r>
      <w:r>
        <w:rPr>
          <w:color w:val="231F20"/>
          <w:spacing w:val="-4"/>
        </w:rPr>
        <w:t> </w:t>
      </w:r>
      <w:r>
        <w:rPr>
          <w:color w:val="231F20"/>
        </w:rPr>
        <w:t>to</w:t>
      </w:r>
      <w:r>
        <w:rPr>
          <w:color w:val="231F20"/>
          <w:spacing w:val="-4"/>
        </w:rPr>
        <w:t> </w:t>
      </w:r>
      <w:r>
        <w:rPr>
          <w:color w:val="231F20"/>
        </w:rPr>
        <w:t>as</w:t>
      </w:r>
      <w:r>
        <w:rPr>
          <w:color w:val="231F20"/>
          <w:spacing w:val="-4"/>
        </w:rPr>
        <w:t> </w:t>
      </w:r>
      <w:r>
        <w:rPr>
          <w:color w:val="231F20"/>
        </w:rPr>
        <w:t>Schwab</w:t>
      </w:r>
      <w:r>
        <w:rPr>
          <w:color w:val="231F20"/>
          <w:spacing w:val="-4"/>
        </w:rPr>
        <w:t> </w:t>
      </w:r>
      <w:r>
        <w:rPr>
          <w:color w:val="231F20"/>
        </w:rPr>
        <w:t>or</w:t>
      </w:r>
      <w:r>
        <w:rPr>
          <w:color w:val="231F20"/>
          <w:spacing w:val="-4"/>
        </w:rPr>
        <w:t> </w:t>
      </w:r>
      <w:r>
        <w:rPr>
          <w:color w:val="231F20"/>
        </w:rPr>
        <w:t>the</w:t>
      </w:r>
      <w:r>
        <w:rPr>
          <w:color w:val="231F20"/>
          <w:spacing w:val="-4"/>
        </w:rPr>
        <w:t> </w:t>
      </w:r>
      <w:r>
        <w:rPr>
          <w:color w:val="231F20"/>
        </w:rPr>
        <w:t>Company),</w:t>
      </w:r>
      <w:r>
        <w:rPr>
          <w:color w:val="231F20"/>
          <w:spacing w:val="-4"/>
        </w:rPr>
        <w:t> </w:t>
      </w:r>
      <w:r>
        <w:rPr>
          <w:color w:val="231F20"/>
        </w:rPr>
        <w:t>in</w:t>
      </w:r>
      <w:r>
        <w:rPr>
          <w:color w:val="231F20"/>
          <w:spacing w:val="-4"/>
        </w:rPr>
        <w:t> </w:t>
      </w:r>
      <w:r>
        <w:rPr>
          <w:color w:val="231F20"/>
        </w:rPr>
        <w:t>wealth</w:t>
      </w:r>
      <w:r>
        <w:rPr>
          <w:color w:val="231F20"/>
          <w:spacing w:val="-4"/>
        </w:rPr>
        <w:t> </w:t>
      </w:r>
      <w:r>
        <w:rPr>
          <w:color w:val="231F20"/>
        </w:rPr>
        <w:t>management,</w:t>
      </w:r>
      <w:r>
        <w:rPr>
          <w:color w:val="231F20"/>
          <w:spacing w:val="-4"/>
        </w:rPr>
        <w:t> </w:t>
      </w:r>
      <w:r>
        <w:rPr>
          <w:color w:val="231F20"/>
        </w:rPr>
        <w:t>securities</w:t>
      </w:r>
      <w:r>
        <w:rPr>
          <w:color w:val="231F20"/>
          <w:spacing w:val="-4"/>
        </w:rPr>
        <w:t> </w:t>
      </w:r>
      <w:r>
        <w:rPr>
          <w:color w:val="231F20"/>
        </w:rPr>
        <w:t>brokerage,</w:t>
      </w:r>
      <w:r>
        <w:rPr>
          <w:color w:val="231F20"/>
          <w:spacing w:val="-4"/>
        </w:rPr>
        <w:t> </w:t>
      </w:r>
      <w:r>
        <w:rPr>
          <w:color w:val="231F20"/>
        </w:rPr>
        <w:t>banking,</w:t>
      </w:r>
      <w:r>
        <w:rPr>
          <w:color w:val="231F20"/>
          <w:spacing w:val="-4"/>
        </w:rPr>
        <w:t> </w:t>
      </w:r>
      <w:r>
        <w:rPr>
          <w:color w:val="231F20"/>
        </w:rPr>
        <w:t>asset</w:t>
      </w:r>
      <w:r>
        <w:rPr>
          <w:color w:val="231F20"/>
          <w:spacing w:val="-4"/>
        </w:rPr>
        <w:t> </w:t>
      </w:r>
      <w:r>
        <w:rPr>
          <w:color w:val="231F20"/>
        </w:rPr>
        <w:t>management, custody, and financial advisory services.</w:t>
      </w:r>
    </w:p>
    <w:p>
      <w:pPr>
        <w:pStyle w:val="BodyText"/>
        <w:spacing w:before="12"/>
      </w:pPr>
    </w:p>
    <w:p>
      <w:pPr>
        <w:pStyle w:val="BodyText"/>
        <w:ind w:left="470"/>
      </w:pPr>
      <w:r>
        <w:rPr>
          <w:color w:val="231F20"/>
        </w:rPr>
        <w:t>Principal</w:t>
      </w:r>
      <w:r>
        <w:rPr>
          <w:color w:val="231F20"/>
          <w:spacing w:val="-7"/>
        </w:rPr>
        <w:t> </w:t>
      </w:r>
      <w:r>
        <w:rPr>
          <w:color w:val="231F20"/>
        </w:rPr>
        <w:t>business</w:t>
      </w:r>
      <w:r>
        <w:rPr>
          <w:color w:val="231F20"/>
          <w:spacing w:val="-6"/>
        </w:rPr>
        <w:t> </w:t>
      </w:r>
      <w:r>
        <w:rPr>
          <w:color w:val="231F20"/>
        </w:rPr>
        <w:t>subsidiaries</w:t>
      </w:r>
      <w:r>
        <w:rPr>
          <w:color w:val="231F20"/>
          <w:spacing w:val="-6"/>
        </w:rPr>
        <w:t> </w:t>
      </w:r>
      <w:r>
        <w:rPr>
          <w:color w:val="231F20"/>
        </w:rPr>
        <w:t>of</w:t>
      </w:r>
      <w:r>
        <w:rPr>
          <w:color w:val="231F20"/>
          <w:spacing w:val="-7"/>
        </w:rPr>
        <w:t> </w:t>
      </w:r>
      <w:r>
        <w:rPr>
          <w:color w:val="231F20"/>
        </w:rPr>
        <w:t>CSC</w:t>
      </w:r>
      <w:r>
        <w:rPr>
          <w:color w:val="231F20"/>
          <w:spacing w:val="-6"/>
        </w:rPr>
        <w:t> </w:t>
      </w:r>
      <w:r>
        <w:rPr>
          <w:color w:val="231F20"/>
        </w:rPr>
        <w:t>include</w:t>
      </w:r>
      <w:r>
        <w:rPr>
          <w:color w:val="231F20"/>
          <w:spacing w:val="-6"/>
        </w:rPr>
        <w:t> </w:t>
      </w:r>
      <w:r>
        <w:rPr>
          <w:color w:val="231F20"/>
        </w:rPr>
        <w:t>the</w:t>
      </w:r>
      <w:r>
        <w:rPr>
          <w:color w:val="231F20"/>
          <w:spacing w:val="-6"/>
        </w:rPr>
        <w:t> </w:t>
      </w:r>
      <w:r>
        <w:rPr>
          <w:color w:val="231F20"/>
          <w:spacing w:val="-2"/>
        </w:rPr>
        <w:t>following:</w:t>
      </w:r>
    </w:p>
    <w:p>
      <w:pPr>
        <w:pStyle w:val="BodyText"/>
        <w:spacing w:before="20"/>
      </w:pPr>
    </w:p>
    <w:p>
      <w:pPr>
        <w:pStyle w:val="ListParagraph"/>
        <w:numPr>
          <w:ilvl w:val="1"/>
          <w:numId w:val="1"/>
        </w:numPr>
        <w:tabs>
          <w:tab w:pos="1189" w:val="left" w:leader="none"/>
        </w:tabs>
        <w:spacing w:line="240" w:lineRule="auto" w:before="0" w:after="0"/>
        <w:ind w:left="1189" w:right="0" w:hanging="269"/>
        <w:jc w:val="left"/>
        <w:rPr>
          <w:sz w:val="20"/>
        </w:rPr>
      </w:pPr>
      <w:r>
        <w:rPr>
          <w:color w:val="231F20"/>
          <w:sz w:val="20"/>
        </w:rPr>
        <w:t>Charles</w:t>
      </w:r>
      <w:r>
        <w:rPr>
          <w:color w:val="231F20"/>
          <w:spacing w:val="-8"/>
          <w:sz w:val="20"/>
        </w:rPr>
        <w:t> </w:t>
      </w:r>
      <w:r>
        <w:rPr>
          <w:color w:val="231F20"/>
          <w:sz w:val="20"/>
        </w:rPr>
        <w:t>Schwab</w:t>
      </w:r>
      <w:r>
        <w:rPr>
          <w:color w:val="231F20"/>
          <w:spacing w:val="-6"/>
          <w:sz w:val="20"/>
        </w:rPr>
        <w:t> </w:t>
      </w:r>
      <w:r>
        <w:rPr>
          <w:color w:val="231F20"/>
          <w:sz w:val="20"/>
        </w:rPr>
        <w:t>&amp;</w:t>
      </w:r>
      <w:r>
        <w:rPr>
          <w:color w:val="231F20"/>
          <w:spacing w:val="-6"/>
          <w:sz w:val="20"/>
        </w:rPr>
        <w:t> </w:t>
      </w:r>
      <w:r>
        <w:rPr>
          <w:color w:val="231F20"/>
          <w:sz w:val="20"/>
        </w:rPr>
        <w:t>Co.,</w:t>
      </w:r>
      <w:r>
        <w:rPr>
          <w:color w:val="231F20"/>
          <w:spacing w:val="-6"/>
          <w:sz w:val="20"/>
        </w:rPr>
        <w:t> </w:t>
      </w:r>
      <w:r>
        <w:rPr>
          <w:color w:val="231F20"/>
          <w:sz w:val="20"/>
        </w:rPr>
        <w:t>Inc.</w:t>
      </w:r>
      <w:r>
        <w:rPr>
          <w:color w:val="231F20"/>
          <w:spacing w:val="-6"/>
          <w:sz w:val="20"/>
        </w:rPr>
        <w:t> </w:t>
      </w:r>
      <w:r>
        <w:rPr>
          <w:color w:val="231F20"/>
          <w:sz w:val="20"/>
        </w:rPr>
        <w:t>(CS&amp;Co),</w:t>
      </w:r>
      <w:r>
        <w:rPr>
          <w:color w:val="231F20"/>
          <w:spacing w:val="-6"/>
          <w:sz w:val="20"/>
        </w:rPr>
        <w:t> </w:t>
      </w:r>
      <w:r>
        <w:rPr>
          <w:color w:val="231F20"/>
          <w:sz w:val="20"/>
        </w:rPr>
        <w:t>incorporated</w:t>
      </w:r>
      <w:r>
        <w:rPr>
          <w:color w:val="231F20"/>
          <w:spacing w:val="-6"/>
          <w:sz w:val="20"/>
        </w:rPr>
        <w:t> </w:t>
      </w:r>
      <w:r>
        <w:rPr>
          <w:color w:val="231F20"/>
          <w:sz w:val="20"/>
        </w:rPr>
        <w:t>in</w:t>
      </w:r>
      <w:r>
        <w:rPr>
          <w:color w:val="231F20"/>
          <w:spacing w:val="-6"/>
          <w:sz w:val="20"/>
        </w:rPr>
        <w:t> </w:t>
      </w:r>
      <w:r>
        <w:rPr>
          <w:color w:val="231F20"/>
          <w:sz w:val="20"/>
        </w:rPr>
        <w:t>1971,</w:t>
      </w:r>
      <w:r>
        <w:rPr>
          <w:color w:val="231F20"/>
          <w:spacing w:val="-6"/>
          <w:sz w:val="20"/>
        </w:rPr>
        <w:t> </w:t>
      </w:r>
      <w:r>
        <w:rPr>
          <w:color w:val="231F20"/>
          <w:sz w:val="20"/>
        </w:rPr>
        <w:t>a</w:t>
      </w:r>
      <w:r>
        <w:rPr>
          <w:color w:val="231F20"/>
          <w:spacing w:val="-6"/>
          <w:sz w:val="20"/>
        </w:rPr>
        <w:t> </w:t>
      </w:r>
      <w:r>
        <w:rPr>
          <w:color w:val="231F20"/>
          <w:sz w:val="20"/>
        </w:rPr>
        <w:t>securities</w:t>
      </w:r>
      <w:r>
        <w:rPr>
          <w:color w:val="231F20"/>
          <w:spacing w:val="-6"/>
          <w:sz w:val="20"/>
        </w:rPr>
        <w:t> </w:t>
      </w:r>
      <w:r>
        <w:rPr>
          <w:color w:val="231F20"/>
          <w:sz w:val="20"/>
        </w:rPr>
        <w:t>broker-</w:t>
      </w:r>
      <w:r>
        <w:rPr>
          <w:color w:val="231F20"/>
          <w:spacing w:val="-2"/>
          <w:sz w:val="20"/>
        </w:rPr>
        <w:t>dealer;</w:t>
      </w:r>
    </w:p>
    <w:p>
      <w:pPr>
        <w:pStyle w:val="ListParagraph"/>
        <w:numPr>
          <w:ilvl w:val="1"/>
          <w:numId w:val="1"/>
        </w:numPr>
        <w:tabs>
          <w:tab w:pos="1189" w:val="left" w:leader="none"/>
        </w:tabs>
        <w:spacing w:line="240" w:lineRule="auto" w:before="10" w:after="0"/>
        <w:ind w:left="1189" w:right="0" w:hanging="269"/>
        <w:jc w:val="left"/>
        <w:rPr>
          <w:sz w:val="20"/>
        </w:rPr>
      </w:pPr>
      <w:r>
        <w:rPr>
          <w:color w:val="231F20"/>
          <w:sz w:val="20"/>
        </w:rPr>
        <w:t>TD</w:t>
      </w:r>
      <w:r>
        <w:rPr>
          <w:color w:val="231F20"/>
          <w:spacing w:val="-8"/>
          <w:sz w:val="20"/>
        </w:rPr>
        <w:t> </w:t>
      </w:r>
      <w:r>
        <w:rPr>
          <w:color w:val="231F20"/>
          <w:sz w:val="20"/>
        </w:rPr>
        <w:t>Ameritrade,</w:t>
      </w:r>
      <w:r>
        <w:rPr>
          <w:color w:val="231F20"/>
          <w:spacing w:val="-8"/>
          <w:sz w:val="20"/>
        </w:rPr>
        <w:t> </w:t>
      </w:r>
      <w:r>
        <w:rPr>
          <w:color w:val="231F20"/>
          <w:sz w:val="20"/>
        </w:rPr>
        <w:t>Inc.,</w:t>
      </w:r>
      <w:r>
        <w:rPr>
          <w:color w:val="231F20"/>
          <w:spacing w:val="-8"/>
          <w:sz w:val="20"/>
        </w:rPr>
        <w:t> </w:t>
      </w:r>
      <w:r>
        <w:rPr>
          <w:color w:val="231F20"/>
          <w:sz w:val="20"/>
        </w:rPr>
        <w:t>an</w:t>
      </w:r>
      <w:r>
        <w:rPr>
          <w:color w:val="231F20"/>
          <w:spacing w:val="-8"/>
          <w:sz w:val="20"/>
        </w:rPr>
        <w:t> </w:t>
      </w:r>
      <w:r>
        <w:rPr>
          <w:color w:val="231F20"/>
          <w:sz w:val="20"/>
        </w:rPr>
        <w:t>introducing</w:t>
      </w:r>
      <w:r>
        <w:rPr>
          <w:color w:val="231F20"/>
          <w:spacing w:val="-8"/>
          <w:sz w:val="20"/>
        </w:rPr>
        <w:t> </w:t>
      </w:r>
      <w:r>
        <w:rPr>
          <w:color w:val="231F20"/>
          <w:sz w:val="20"/>
        </w:rPr>
        <w:t>securities</w:t>
      </w:r>
      <w:r>
        <w:rPr>
          <w:color w:val="231F20"/>
          <w:spacing w:val="-8"/>
          <w:sz w:val="20"/>
        </w:rPr>
        <w:t> </w:t>
      </w:r>
      <w:r>
        <w:rPr>
          <w:color w:val="231F20"/>
          <w:sz w:val="20"/>
        </w:rPr>
        <w:t>broker-</w:t>
      </w:r>
      <w:r>
        <w:rPr>
          <w:color w:val="231F20"/>
          <w:spacing w:val="-2"/>
          <w:sz w:val="20"/>
        </w:rPr>
        <w:t>dealer;</w:t>
      </w:r>
    </w:p>
    <w:p>
      <w:pPr>
        <w:pStyle w:val="ListParagraph"/>
        <w:numPr>
          <w:ilvl w:val="1"/>
          <w:numId w:val="1"/>
        </w:numPr>
        <w:tabs>
          <w:tab w:pos="1190" w:val="left" w:leader="none"/>
        </w:tabs>
        <w:spacing w:line="249" w:lineRule="auto" w:before="10" w:after="0"/>
        <w:ind w:left="1190" w:right="498" w:hanging="270"/>
        <w:jc w:val="left"/>
        <w:rPr>
          <w:sz w:val="20"/>
        </w:rPr>
      </w:pPr>
      <w:r>
        <w:rPr>
          <w:color w:val="231F20"/>
          <w:sz w:val="20"/>
        </w:rPr>
        <w:t>TD</w:t>
      </w:r>
      <w:r>
        <w:rPr>
          <w:color w:val="231F20"/>
          <w:spacing w:val="-4"/>
          <w:sz w:val="20"/>
        </w:rPr>
        <w:t> </w:t>
      </w:r>
      <w:r>
        <w:rPr>
          <w:color w:val="231F20"/>
          <w:sz w:val="20"/>
        </w:rPr>
        <w:t>Ameritrade</w:t>
      </w:r>
      <w:r>
        <w:rPr>
          <w:color w:val="231F20"/>
          <w:spacing w:val="-4"/>
          <w:sz w:val="20"/>
        </w:rPr>
        <w:t> </w:t>
      </w:r>
      <w:r>
        <w:rPr>
          <w:color w:val="231F20"/>
          <w:sz w:val="20"/>
        </w:rPr>
        <w:t>Clearing,</w:t>
      </w:r>
      <w:r>
        <w:rPr>
          <w:color w:val="231F20"/>
          <w:spacing w:val="-4"/>
          <w:sz w:val="20"/>
        </w:rPr>
        <w:t> </w:t>
      </w:r>
      <w:r>
        <w:rPr>
          <w:color w:val="231F20"/>
          <w:sz w:val="20"/>
        </w:rPr>
        <w:t>Inc.</w:t>
      </w:r>
      <w:r>
        <w:rPr>
          <w:color w:val="231F20"/>
          <w:spacing w:val="-4"/>
          <w:sz w:val="20"/>
        </w:rPr>
        <w:t> </w:t>
      </w:r>
      <w:r>
        <w:rPr>
          <w:color w:val="231F20"/>
          <w:sz w:val="20"/>
        </w:rPr>
        <w:t>(TDAC),</w:t>
      </w:r>
      <w:r>
        <w:rPr>
          <w:color w:val="231F20"/>
          <w:spacing w:val="-4"/>
          <w:sz w:val="20"/>
        </w:rPr>
        <w:t> </w:t>
      </w:r>
      <w:r>
        <w:rPr>
          <w:color w:val="231F20"/>
          <w:sz w:val="20"/>
        </w:rPr>
        <w:t>a</w:t>
      </w:r>
      <w:r>
        <w:rPr>
          <w:color w:val="231F20"/>
          <w:spacing w:val="-4"/>
          <w:sz w:val="20"/>
        </w:rPr>
        <w:t> </w:t>
      </w:r>
      <w:r>
        <w:rPr>
          <w:color w:val="231F20"/>
          <w:sz w:val="20"/>
        </w:rPr>
        <w:t>securities</w:t>
      </w:r>
      <w:r>
        <w:rPr>
          <w:color w:val="231F20"/>
          <w:spacing w:val="-4"/>
          <w:sz w:val="20"/>
        </w:rPr>
        <w:t> </w:t>
      </w:r>
      <w:r>
        <w:rPr>
          <w:color w:val="231F20"/>
          <w:sz w:val="20"/>
        </w:rPr>
        <w:t>broker-dealer</w:t>
      </w:r>
      <w:r>
        <w:rPr>
          <w:color w:val="231F20"/>
          <w:spacing w:val="-4"/>
          <w:sz w:val="20"/>
        </w:rPr>
        <w:t> </w:t>
      </w:r>
      <w:r>
        <w:rPr>
          <w:color w:val="231F20"/>
          <w:sz w:val="20"/>
        </w:rPr>
        <w:t>that</w:t>
      </w:r>
      <w:r>
        <w:rPr>
          <w:color w:val="231F20"/>
          <w:spacing w:val="-4"/>
          <w:sz w:val="20"/>
        </w:rPr>
        <w:t> </w:t>
      </w:r>
      <w:r>
        <w:rPr>
          <w:color w:val="231F20"/>
          <w:sz w:val="20"/>
        </w:rPr>
        <w:t>provides</w:t>
      </w:r>
      <w:r>
        <w:rPr>
          <w:color w:val="231F20"/>
          <w:spacing w:val="-4"/>
          <w:sz w:val="20"/>
        </w:rPr>
        <w:t> </w:t>
      </w:r>
      <w:r>
        <w:rPr>
          <w:color w:val="231F20"/>
          <w:sz w:val="20"/>
        </w:rPr>
        <w:t>trade</w:t>
      </w:r>
      <w:r>
        <w:rPr>
          <w:color w:val="231F20"/>
          <w:spacing w:val="-4"/>
          <w:sz w:val="20"/>
        </w:rPr>
        <w:t> </w:t>
      </w:r>
      <w:r>
        <w:rPr>
          <w:color w:val="231F20"/>
          <w:sz w:val="20"/>
        </w:rPr>
        <w:t>execution</w:t>
      </w:r>
      <w:r>
        <w:rPr>
          <w:color w:val="231F20"/>
          <w:spacing w:val="-4"/>
          <w:sz w:val="20"/>
        </w:rPr>
        <w:t> </w:t>
      </w:r>
      <w:r>
        <w:rPr>
          <w:color w:val="231F20"/>
          <w:sz w:val="20"/>
        </w:rPr>
        <w:t>and</w:t>
      </w:r>
      <w:r>
        <w:rPr>
          <w:color w:val="231F20"/>
          <w:spacing w:val="-4"/>
          <w:sz w:val="20"/>
        </w:rPr>
        <w:t> </w:t>
      </w:r>
      <w:r>
        <w:rPr>
          <w:color w:val="231F20"/>
          <w:sz w:val="20"/>
        </w:rPr>
        <w:t>clearing</w:t>
      </w:r>
      <w:r>
        <w:rPr>
          <w:color w:val="231F20"/>
          <w:spacing w:val="-4"/>
          <w:sz w:val="20"/>
        </w:rPr>
        <w:t> </w:t>
      </w:r>
      <w:r>
        <w:rPr>
          <w:color w:val="231F20"/>
          <w:sz w:val="20"/>
        </w:rPr>
        <w:t>services</w:t>
      </w:r>
      <w:r>
        <w:rPr>
          <w:color w:val="231F20"/>
          <w:spacing w:val="-4"/>
          <w:sz w:val="20"/>
        </w:rPr>
        <w:t> </w:t>
      </w:r>
      <w:r>
        <w:rPr>
          <w:color w:val="231F20"/>
          <w:sz w:val="20"/>
        </w:rPr>
        <w:t>to TD Ameritrade, Inc.;</w:t>
      </w:r>
    </w:p>
    <w:p>
      <w:pPr>
        <w:pStyle w:val="ListParagraph"/>
        <w:numPr>
          <w:ilvl w:val="1"/>
          <w:numId w:val="1"/>
        </w:numPr>
        <w:tabs>
          <w:tab w:pos="1189" w:val="left" w:leader="none"/>
        </w:tabs>
        <w:spacing w:line="240" w:lineRule="auto" w:before="2" w:after="0"/>
        <w:ind w:left="1189" w:right="0" w:hanging="269"/>
        <w:jc w:val="left"/>
        <w:rPr>
          <w:sz w:val="20"/>
        </w:rPr>
      </w:pPr>
      <w:r>
        <w:rPr>
          <w:color w:val="231F20"/>
          <w:sz w:val="20"/>
        </w:rPr>
        <w:t>Charles</w:t>
      </w:r>
      <w:r>
        <w:rPr>
          <w:color w:val="231F20"/>
          <w:spacing w:val="-6"/>
          <w:sz w:val="20"/>
        </w:rPr>
        <w:t> </w:t>
      </w:r>
      <w:r>
        <w:rPr>
          <w:color w:val="231F20"/>
          <w:sz w:val="20"/>
        </w:rPr>
        <w:t>Schwab</w:t>
      </w:r>
      <w:r>
        <w:rPr>
          <w:color w:val="231F20"/>
          <w:spacing w:val="-6"/>
          <w:sz w:val="20"/>
        </w:rPr>
        <w:t> </w:t>
      </w:r>
      <w:r>
        <w:rPr>
          <w:color w:val="231F20"/>
          <w:sz w:val="20"/>
        </w:rPr>
        <w:t>Bank,</w:t>
      </w:r>
      <w:r>
        <w:rPr>
          <w:color w:val="231F20"/>
          <w:spacing w:val="-6"/>
          <w:sz w:val="20"/>
        </w:rPr>
        <w:t> </w:t>
      </w:r>
      <w:r>
        <w:rPr>
          <w:color w:val="231F20"/>
          <w:sz w:val="20"/>
        </w:rPr>
        <w:t>SSB</w:t>
      </w:r>
      <w:r>
        <w:rPr>
          <w:color w:val="231F20"/>
          <w:spacing w:val="-6"/>
          <w:sz w:val="20"/>
        </w:rPr>
        <w:t> </w:t>
      </w:r>
      <w:r>
        <w:rPr>
          <w:color w:val="231F20"/>
          <w:sz w:val="20"/>
        </w:rPr>
        <w:t>(CSB),</w:t>
      </w:r>
      <w:r>
        <w:rPr>
          <w:color w:val="231F20"/>
          <w:spacing w:val="-6"/>
          <w:sz w:val="20"/>
        </w:rPr>
        <w:t> </w:t>
      </w:r>
      <w:r>
        <w:rPr>
          <w:color w:val="231F20"/>
          <w:sz w:val="20"/>
        </w:rPr>
        <w:t>our</w:t>
      </w:r>
      <w:r>
        <w:rPr>
          <w:color w:val="231F20"/>
          <w:spacing w:val="-6"/>
          <w:sz w:val="20"/>
        </w:rPr>
        <w:t> </w:t>
      </w:r>
      <w:r>
        <w:rPr>
          <w:color w:val="231F20"/>
          <w:sz w:val="20"/>
        </w:rPr>
        <w:t>principal</w:t>
      </w:r>
      <w:r>
        <w:rPr>
          <w:color w:val="231F20"/>
          <w:spacing w:val="-6"/>
          <w:sz w:val="20"/>
        </w:rPr>
        <w:t> </w:t>
      </w:r>
      <w:r>
        <w:rPr>
          <w:color w:val="231F20"/>
          <w:sz w:val="20"/>
        </w:rPr>
        <w:t>banking</w:t>
      </w:r>
      <w:r>
        <w:rPr>
          <w:color w:val="231F20"/>
          <w:spacing w:val="-6"/>
          <w:sz w:val="20"/>
        </w:rPr>
        <w:t> </w:t>
      </w:r>
      <w:r>
        <w:rPr>
          <w:color w:val="231F20"/>
          <w:sz w:val="20"/>
        </w:rPr>
        <w:t>entity;</w:t>
      </w:r>
      <w:r>
        <w:rPr>
          <w:color w:val="231F20"/>
          <w:spacing w:val="-5"/>
          <w:sz w:val="20"/>
        </w:rPr>
        <w:t> and</w:t>
      </w:r>
    </w:p>
    <w:p>
      <w:pPr>
        <w:pStyle w:val="ListParagraph"/>
        <w:numPr>
          <w:ilvl w:val="1"/>
          <w:numId w:val="1"/>
        </w:numPr>
        <w:tabs>
          <w:tab w:pos="1190" w:val="left" w:leader="none"/>
        </w:tabs>
        <w:spacing w:line="249" w:lineRule="auto" w:before="10" w:after="0"/>
        <w:ind w:left="1190" w:right="552" w:hanging="270"/>
        <w:jc w:val="left"/>
        <w:rPr>
          <w:sz w:val="20"/>
        </w:rPr>
      </w:pPr>
      <w:r>
        <w:rPr>
          <w:color w:val="231F20"/>
          <w:sz w:val="20"/>
        </w:rPr>
        <w:t>Charles</w:t>
      </w:r>
      <w:r>
        <w:rPr>
          <w:color w:val="231F20"/>
          <w:spacing w:val="-2"/>
          <w:sz w:val="20"/>
        </w:rPr>
        <w:t> </w:t>
      </w:r>
      <w:r>
        <w:rPr>
          <w:color w:val="231F20"/>
          <w:sz w:val="20"/>
        </w:rPr>
        <w:t>Schwab</w:t>
      </w:r>
      <w:r>
        <w:rPr>
          <w:color w:val="231F20"/>
          <w:spacing w:val="-2"/>
          <w:sz w:val="20"/>
        </w:rPr>
        <w:t> </w:t>
      </w:r>
      <w:r>
        <w:rPr>
          <w:color w:val="231F20"/>
          <w:sz w:val="20"/>
        </w:rPr>
        <w:t>Investment</w:t>
      </w:r>
      <w:r>
        <w:rPr>
          <w:color w:val="231F20"/>
          <w:spacing w:val="-2"/>
          <w:sz w:val="20"/>
        </w:rPr>
        <w:t> </w:t>
      </w:r>
      <w:r>
        <w:rPr>
          <w:color w:val="231F20"/>
          <w:sz w:val="20"/>
        </w:rPr>
        <w:t>Management,</w:t>
      </w:r>
      <w:r>
        <w:rPr>
          <w:color w:val="231F20"/>
          <w:spacing w:val="-2"/>
          <w:sz w:val="20"/>
        </w:rPr>
        <w:t> </w:t>
      </w:r>
      <w:r>
        <w:rPr>
          <w:color w:val="231F20"/>
          <w:sz w:val="20"/>
        </w:rPr>
        <w:t>Inc.</w:t>
      </w:r>
      <w:r>
        <w:rPr>
          <w:color w:val="231F20"/>
          <w:spacing w:val="-2"/>
          <w:sz w:val="20"/>
        </w:rPr>
        <w:t> </w:t>
      </w:r>
      <w:r>
        <w:rPr>
          <w:color w:val="231F20"/>
          <w:sz w:val="20"/>
        </w:rPr>
        <w:t>(CSIM),</w:t>
      </w:r>
      <w:r>
        <w:rPr>
          <w:color w:val="231F20"/>
          <w:spacing w:val="-2"/>
          <w:sz w:val="20"/>
        </w:rPr>
        <w:t> </w:t>
      </w:r>
      <w:r>
        <w:rPr>
          <w:color w:val="231F20"/>
          <w:sz w:val="20"/>
        </w:rPr>
        <w:t>the</w:t>
      </w:r>
      <w:r>
        <w:rPr>
          <w:color w:val="231F20"/>
          <w:spacing w:val="-2"/>
          <w:sz w:val="20"/>
        </w:rPr>
        <w:t> </w:t>
      </w:r>
      <w:r>
        <w:rPr>
          <w:color w:val="231F20"/>
          <w:sz w:val="20"/>
        </w:rPr>
        <w:t>investment</w:t>
      </w:r>
      <w:r>
        <w:rPr>
          <w:color w:val="231F20"/>
          <w:spacing w:val="-2"/>
          <w:sz w:val="20"/>
        </w:rPr>
        <w:t> </w:t>
      </w:r>
      <w:r>
        <w:rPr>
          <w:color w:val="231F20"/>
          <w:sz w:val="20"/>
        </w:rPr>
        <w:t>advisor</w:t>
      </w:r>
      <w:r>
        <w:rPr>
          <w:color w:val="231F20"/>
          <w:spacing w:val="-2"/>
          <w:sz w:val="20"/>
        </w:rPr>
        <w:t> </w:t>
      </w:r>
      <w:r>
        <w:rPr>
          <w:color w:val="231F20"/>
          <w:sz w:val="20"/>
        </w:rPr>
        <w:t>for</w:t>
      </w:r>
      <w:r>
        <w:rPr>
          <w:color w:val="231F20"/>
          <w:spacing w:val="-2"/>
          <w:sz w:val="20"/>
        </w:rPr>
        <w:t> </w:t>
      </w:r>
      <w:r>
        <w:rPr>
          <w:color w:val="231F20"/>
          <w:sz w:val="20"/>
        </w:rPr>
        <w:t>Schwab's</w:t>
      </w:r>
      <w:r>
        <w:rPr>
          <w:color w:val="231F20"/>
          <w:spacing w:val="-2"/>
          <w:sz w:val="20"/>
        </w:rPr>
        <w:t> </w:t>
      </w:r>
      <w:r>
        <w:rPr>
          <w:color w:val="231F20"/>
          <w:sz w:val="20"/>
        </w:rPr>
        <w:t>proprietary</w:t>
      </w:r>
      <w:r>
        <w:rPr>
          <w:color w:val="231F20"/>
          <w:spacing w:val="-2"/>
          <w:sz w:val="20"/>
        </w:rPr>
        <w:t> </w:t>
      </w:r>
      <w:r>
        <w:rPr>
          <w:color w:val="231F20"/>
          <w:sz w:val="20"/>
        </w:rPr>
        <w:t>mutual</w:t>
      </w:r>
      <w:r>
        <w:rPr>
          <w:color w:val="231F20"/>
          <w:spacing w:val="-2"/>
          <w:sz w:val="20"/>
        </w:rPr>
        <w:t> </w:t>
      </w:r>
      <w:r>
        <w:rPr>
          <w:color w:val="231F20"/>
          <w:sz w:val="20"/>
        </w:rPr>
        <w:t>funds (Schwab Funds</w:t>
      </w:r>
      <w:r>
        <w:rPr>
          <w:color w:val="231F20"/>
          <w:sz w:val="20"/>
          <w:vertAlign w:val="superscript"/>
        </w:rPr>
        <w:t>®</w:t>
      </w:r>
      <w:r>
        <w:rPr>
          <w:color w:val="231F20"/>
          <w:sz w:val="20"/>
          <w:vertAlign w:val="baseline"/>
        </w:rPr>
        <w:t>) and for Schwab's exchange-traded funds (Schwab ETFs™).</w:t>
      </w:r>
    </w:p>
    <w:p>
      <w:pPr>
        <w:pStyle w:val="BodyText"/>
        <w:spacing w:before="11"/>
      </w:pPr>
    </w:p>
    <w:p>
      <w:pPr>
        <w:pStyle w:val="BodyText"/>
        <w:spacing w:line="249" w:lineRule="auto" w:before="1"/>
        <w:ind w:left="470"/>
      </w:pPr>
      <w:r>
        <w:rPr>
          <w:color w:val="231F20"/>
        </w:rPr>
        <w:t>Unless</w:t>
      </w:r>
      <w:r>
        <w:rPr>
          <w:color w:val="231F20"/>
          <w:spacing w:val="-3"/>
        </w:rPr>
        <w:t> </w:t>
      </w:r>
      <w:r>
        <w:rPr>
          <w:color w:val="231F20"/>
        </w:rPr>
        <w:t>otherwise</w:t>
      </w:r>
      <w:r>
        <w:rPr>
          <w:color w:val="231F20"/>
          <w:spacing w:val="-3"/>
        </w:rPr>
        <w:t> </w:t>
      </w:r>
      <w:r>
        <w:rPr>
          <w:color w:val="231F20"/>
        </w:rPr>
        <w:t>indicated,</w:t>
      </w:r>
      <w:r>
        <w:rPr>
          <w:color w:val="231F20"/>
          <w:spacing w:val="-3"/>
        </w:rPr>
        <w:t> </w:t>
      </w:r>
      <w:r>
        <w:rPr>
          <w:color w:val="231F20"/>
        </w:rPr>
        <w:t>the</w:t>
      </w:r>
      <w:r>
        <w:rPr>
          <w:color w:val="231F20"/>
          <w:spacing w:val="-3"/>
        </w:rPr>
        <w:t> </w:t>
      </w:r>
      <w:r>
        <w:rPr>
          <w:color w:val="231F20"/>
        </w:rPr>
        <w:t>terms</w:t>
      </w:r>
      <w:r>
        <w:rPr>
          <w:color w:val="231F20"/>
          <w:spacing w:val="-3"/>
        </w:rPr>
        <w:t> </w:t>
      </w:r>
      <w:r>
        <w:rPr>
          <w:color w:val="231F20"/>
        </w:rPr>
        <w:t>“Schwab,”</w:t>
      </w:r>
      <w:r>
        <w:rPr>
          <w:color w:val="231F20"/>
          <w:spacing w:val="-3"/>
        </w:rPr>
        <w:t> </w:t>
      </w:r>
      <w:r>
        <w:rPr>
          <w:color w:val="231F20"/>
        </w:rPr>
        <w:t>“the</w:t>
      </w:r>
      <w:r>
        <w:rPr>
          <w:color w:val="231F20"/>
          <w:spacing w:val="-3"/>
        </w:rPr>
        <w:t> </w:t>
      </w:r>
      <w:r>
        <w:rPr>
          <w:color w:val="231F20"/>
        </w:rPr>
        <w:t>Company,”</w:t>
      </w:r>
      <w:r>
        <w:rPr>
          <w:color w:val="231F20"/>
          <w:spacing w:val="-5"/>
        </w:rPr>
        <w:t> </w:t>
      </w:r>
      <w:r>
        <w:rPr>
          <w:color w:val="231F20"/>
        </w:rPr>
        <w:t>“we,”</w:t>
      </w:r>
      <w:r>
        <w:rPr>
          <w:color w:val="231F20"/>
          <w:spacing w:val="-3"/>
        </w:rPr>
        <w:t> </w:t>
      </w:r>
      <w:r>
        <w:rPr>
          <w:color w:val="231F20"/>
        </w:rPr>
        <w:t>“us,”</w:t>
      </w:r>
      <w:r>
        <w:rPr>
          <w:color w:val="231F20"/>
          <w:spacing w:val="-3"/>
        </w:rPr>
        <w:t> </w:t>
      </w:r>
      <w:r>
        <w:rPr>
          <w:color w:val="231F20"/>
        </w:rPr>
        <w:t>or</w:t>
      </w:r>
      <w:r>
        <w:rPr>
          <w:color w:val="231F20"/>
          <w:spacing w:val="-3"/>
        </w:rPr>
        <w:t> </w:t>
      </w:r>
      <w:r>
        <w:rPr>
          <w:color w:val="231F20"/>
        </w:rPr>
        <w:t>“our”</w:t>
      </w:r>
      <w:r>
        <w:rPr>
          <w:color w:val="231F20"/>
          <w:spacing w:val="-3"/>
        </w:rPr>
        <w:t> </w:t>
      </w:r>
      <w:r>
        <w:rPr>
          <w:color w:val="231F20"/>
        </w:rPr>
        <w:t>mean</w:t>
      </w:r>
      <w:r>
        <w:rPr>
          <w:color w:val="231F20"/>
          <w:spacing w:val="-3"/>
        </w:rPr>
        <w:t> </w:t>
      </w:r>
      <w:r>
        <w:rPr>
          <w:color w:val="231F20"/>
        </w:rPr>
        <w:t>CSC</w:t>
      </w:r>
      <w:r>
        <w:rPr>
          <w:color w:val="231F20"/>
          <w:spacing w:val="-3"/>
        </w:rPr>
        <w:t> </w:t>
      </w:r>
      <w:r>
        <w:rPr>
          <w:color w:val="231F20"/>
        </w:rPr>
        <w:t>together</w:t>
      </w:r>
      <w:r>
        <w:rPr>
          <w:color w:val="231F20"/>
          <w:spacing w:val="-3"/>
        </w:rPr>
        <w:t> </w:t>
      </w:r>
      <w:r>
        <w:rPr>
          <w:color w:val="231F20"/>
        </w:rPr>
        <w:t>with</w:t>
      </w:r>
      <w:r>
        <w:rPr>
          <w:color w:val="231F20"/>
          <w:spacing w:val="-3"/>
        </w:rPr>
        <w:t> </w:t>
      </w:r>
      <w:r>
        <w:rPr>
          <w:color w:val="231F20"/>
        </w:rPr>
        <w:t>its</w:t>
      </w:r>
      <w:r>
        <w:rPr>
          <w:color w:val="231F20"/>
          <w:spacing w:val="-3"/>
        </w:rPr>
        <w:t> </w:t>
      </w:r>
      <w:r>
        <w:rPr>
          <w:color w:val="231F20"/>
        </w:rPr>
        <w:t>consolidated </w:t>
      </w:r>
      <w:r>
        <w:rPr>
          <w:color w:val="231F20"/>
          <w:spacing w:val="-2"/>
        </w:rPr>
        <w:t>subsidiaries.</w:t>
      </w:r>
    </w:p>
    <w:p>
      <w:pPr>
        <w:pStyle w:val="BodyText"/>
        <w:spacing w:before="11"/>
      </w:pPr>
    </w:p>
    <w:p>
      <w:pPr>
        <w:pStyle w:val="BodyText"/>
        <w:spacing w:line="249" w:lineRule="auto"/>
        <w:ind w:left="470" w:right="500"/>
      </w:pPr>
      <w:r>
        <w:rPr>
          <w:color w:val="231F20"/>
        </w:rPr>
        <w:t>Schwab provides financial services to individuals and institutional clients through two segments – Investor Services and</w:t>
      </w:r>
      <w:r>
        <w:rPr>
          <w:color w:val="231F20"/>
        </w:rPr>
        <w:t> Advisor</w:t>
      </w:r>
      <w:r>
        <w:rPr>
          <w:color w:val="231F20"/>
          <w:spacing w:val="-4"/>
        </w:rPr>
        <w:t> </w:t>
      </w:r>
      <w:r>
        <w:rPr>
          <w:color w:val="231F20"/>
        </w:rPr>
        <w:t>Services.</w:t>
      </w:r>
      <w:r>
        <w:rPr>
          <w:color w:val="231F20"/>
          <w:spacing w:val="-4"/>
        </w:rPr>
        <w:t> </w:t>
      </w:r>
      <w:r>
        <w:rPr>
          <w:color w:val="231F20"/>
        </w:rPr>
        <w:t>The</w:t>
      </w:r>
      <w:r>
        <w:rPr>
          <w:color w:val="231F20"/>
          <w:spacing w:val="-4"/>
        </w:rPr>
        <w:t> </w:t>
      </w:r>
      <w:r>
        <w:rPr>
          <w:color w:val="231F20"/>
        </w:rPr>
        <w:t>Investor</w:t>
      </w:r>
      <w:r>
        <w:rPr>
          <w:color w:val="231F20"/>
          <w:spacing w:val="-4"/>
        </w:rPr>
        <w:t> </w:t>
      </w:r>
      <w:r>
        <w:rPr>
          <w:color w:val="231F20"/>
        </w:rPr>
        <w:t>Services</w:t>
      </w:r>
      <w:r>
        <w:rPr>
          <w:color w:val="231F20"/>
          <w:spacing w:val="-4"/>
        </w:rPr>
        <w:t> </w:t>
      </w:r>
      <w:r>
        <w:rPr>
          <w:color w:val="231F20"/>
        </w:rPr>
        <w:t>segment</w:t>
      </w:r>
      <w:r>
        <w:rPr>
          <w:color w:val="231F20"/>
          <w:spacing w:val="-4"/>
        </w:rPr>
        <w:t> </w:t>
      </w:r>
      <w:r>
        <w:rPr>
          <w:color w:val="231F20"/>
        </w:rPr>
        <w:t>provides</w:t>
      </w:r>
      <w:r>
        <w:rPr>
          <w:color w:val="231F20"/>
          <w:spacing w:val="-4"/>
        </w:rPr>
        <w:t> </w:t>
      </w:r>
      <w:r>
        <w:rPr>
          <w:color w:val="231F20"/>
        </w:rPr>
        <w:t>retail</w:t>
      </w:r>
      <w:r>
        <w:rPr>
          <w:color w:val="231F20"/>
          <w:spacing w:val="-4"/>
        </w:rPr>
        <w:t> </w:t>
      </w:r>
      <w:r>
        <w:rPr>
          <w:color w:val="231F20"/>
        </w:rPr>
        <w:t>brokerage,</w:t>
      </w:r>
      <w:r>
        <w:rPr>
          <w:color w:val="231F20"/>
          <w:spacing w:val="-4"/>
        </w:rPr>
        <w:t> </w:t>
      </w:r>
      <w:r>
        <w:rPr>
          <w:color w:val="231F20"/>
        </w:rPr>
        <w:t>investment</w:t>
      </w:r>
      <w:r>
        <w:rPr>
          <w:color w:val="231F20"/>
          <w:spacing w:val="-4"/>
        </w:rPr>
        <w:t> </w:t>
      </w:r>
      <w:r>
        <w:rPr>
          <w:color w:val="231F20"/>
        </w:rPr>
        <w:t>advisory,</w:t>
      </w:r>
      <w:r>
        <w:rPr>
          <w:color w:val="231F20"/>
          <w:spacing w:val="-4"/>
        </w:rPr>
        <w:t> </w:t>
      </w:r>
      <w:r>
        <w:rPr>
          <w:color w:val="231F20"/>
        </w:rPr>
        <w:t>and</w:t>
      </w:r>
      <w:r>
        <w:rPr>
          <w:color w:val="231F20"/>
          <w:spacing w:val="-4"/>
        </w:rPr>
        <w:t> </w:t>
      </w:r>
      <w:r>
        <w:rPr>
          <w:color w:val="231F20"/>
        </w:rPr>
        <w:t>banking</w:t>
      </w:r>
      <w:r>
        <w:rPr>
          <w:color w:val="231F20"/>
          <w:spacing w:val="-4"/>
        </w:rPr>
        <w:t> </w:t>
      </w:r>
      <w:r>
        <w:rPr>
          <w:color w:val="231F20"/>
        </w:rPr>
        <w:t>and</w:t>
      </w:r>
      <w:r>
        <w:rPr>
          <w:color w:val="231F20"/>
          <w:spacing w:val="-4"/>
        </w:rPr>
        <w:t> </w:t>
      </w:r>
      <w:r>
        <w:rPr>
          <w:color w:val="231F20"/>
        </w:rPr>
        <w:t>trust</w:t>
      </w:r>
      <w:r>
        <w:rPr>
          <w:color w:val="231F20"/>
          <w:spacing w:val="-4"/>
        </w:rPr>
        <w:t> </w:t>
      </w:r>
      <w:r>
        <w:rPr>
          <w:color w:val="231F20"/>
        </w:rPr>
        <w:t>services to individual investors, and retirement plan services, as well as other corporate brokerage services, to businesses and their employees. The Advisor Services segment provides custodial, trading, banking and trust, and support services, as well as retirement business services, to independent registered investment advisors (RIAs), independent retirement advisors, and </w:t>
      </w:r>
      <w:r>
        <w:rPr>
          <w:color w:val="231F20"/>
          <w:spacing w:val="-2"/>
        </w:rPr>
        <w:t>recordkeepers.</w:t>
      </w:r>
    </w:p>
    <w:p>
      <w:pPr>
        <w:pStyle w:val="BodyText"/>
        <w:spacing w:before="15"/>
      </w:pPr>
    </w:p>
    <w:p>
      <w:pPr>
        <w:pStyle w:val="BodyText"/>
        <w:spacing w:line="249" w:lineRule="auto"/>
        <w:ind w:left="469" w:right="761"/>
      </w:pPr>
      <w:r>
        <w:rPr>
          <w:color w:val="231F20"/>
        </w:rPr>
        <w:t>Schwab was founded on the belief that all Americans deserve access to a better investing experience. Although much has changed in the intervening years, our purpose remains clear – to champion every client's goals with passion and integrity. Guided</w:t>
      </w:r>
      <w:r>
        <w:rPr>
          <w:color w:val="231F20"/>
          <w:spacing w:val="-3"/>
        </w:rPr>
        <w:t> </w:t>
      </w:r>
      <w:r>
        <w:rPr>
          <w:color w:val="231F20"/>
        </w:rPr>
        <w:t>by</w:t>
      </w:r>
      <w:r>
        <w:rPr>
          <w:color w:val="231F20"/>
          <w:spacing w:val="-3"/>
        </w:rPr>
        <w:t> </w:t>
      </w:r>
      <w:r>
        <w:rPr>
          <w:color w:val="231F20"/>
        </w:rPr>
        <w:t>this</w:t>
      </w:r>
      <w:r>
        <w:rPr>
          <w:color w:val="231F20"/>
          <w:spacing w:val="-3"/>
        </w:rPr>
        <w:t> </w:t>
      </w:r>
      <w:r>
        <w:rPr>
          <w:color w:val="231F20"/>
        </w:rPr>
        <w:t>purpose</w:t>
      </w:r>
      <w:r>
        <w:rPr>
          <w:color w:val="231F20"/>
          <w:spacing w:val="-3"/>
        </w:rPr>
        <w:t> </w:t>
      </w:r>
      <w:r>
        <w:rPr>
          <w:color w:val="231F20"/>
        </w:rPr>
        <w:t>and</w:t>
      </w:r>
      <w:r>
        <w:rPr>
          <w:color w:val="231F20"/>
          <w:spacing w:val="-3"/>
        </w:rPr>
        <w:t> </w:t>
      </w:r>
      <w:r>
        <w:rPr>
          <w:color w:val="231F20"/>
        </w:rPr>
        <w:t>our</w:t>
      </w:r>
      <w:r>
        <w:rPr>
          <w:color w:val="231F20"/>
          <w:spacing w:val="-3"/>
        </w:rPr>
        <w:t> </w:t>
      </w:r>
      <w:r>
        <w:rPr>
          <w:color w:val="231F20"/>
        </w:rPr>
        <w:t>vision</w:t>
      </w:r>
      <w:r>
        <w:rPr>
          <w:color w:val="231F20"/>
          <w:spacing w:val="-3"/>
        </w:rPr>
        <w:t> </w:t>
      </w:r>
      <w:r>
        <w:rPr>
          <w:color w:val="231F20"/>
        </w:rPr>
        <w:t>of</w:t>
      </w:r>
      <w:r>
        <w:rPr>
          <w:color w:val="231F20"/>
          <w:spacing w:val="-3"/>
        </w:rPr>
        <w:t> </w:t>
      </w:r>
      <w:r>
        <w:rPr>
          <w:color w:val="231F20"/>
        </w:rPr>
        <w:t>creating</w:t>
      </w:r>
      <w:r>
        <w:rPr>
          <w:color w:val="231F20"/>
          <w:spacing w:val="-3"/>
        </w:rPr>
        <w:t> </w:t>
      </w:r>
      <w:r>
        <w:rPr>
          <w:color w:val="231F20"/>
        </w:rPr>
        <w:t>the</w:t>
      </w:r>
      <w:r>
        <w:rPr>
          <w:color w:val="231F20"/>
          <w:spacing w:val="-3"/>
        </w:rPr>
        <w:t> </w:t>
      </w:r>
      <w:r>
        <w:rPr>
          <w:color w:val="231F20"/>
        </w:rPr>
        <w:t>most</w:t>
      </w:r>
      <w:r>
        <w:rPr>
          <w:color w:val="231F20"/>
          <w:spacing w:val="-3"/>
        </w:rPr>
        <w:t> </w:t>
      </w:r>
      <w:r>
        <w:rPr>
          <w:color w:val="231F20"/>
        </w:rPr>
        <w:t>trusted</w:t>
      </w:r>
      <w:r>
        <w:rPr>
          <w:color w:val="231F20"/>
          <w:spacing w:val="-3"/>
        </w:rPr>
        <w:t> </w:t>
      </w:r>
      <w:r>
        <w:rPr>
          <w:color w:val="231F20"/>
        </w:rPr>
        <w:t>leader</w:t>
      </w:r>
      <w:r>
        <w:rPr>
          <w:color w:val="231F20"/>
          <w:spacing w:val="-3"/>
        </w:rPr>
        <w:t> </w:t>
      </w:r>
      <w:r>
        <w:rPr>
          <w:color w:val="231F20"/>
        </w:rPr>
        <w:t>in</w:t>
      </w:r>
      <w:r>
        <w:rPr>
          <w:color w:val="231F20"/>
          <w:spacing w:val="-3"/>
        </w:rPr>
        <w:t> </w:t>
      </w:r>
      <w:r>
        <w:rPr>
          <w:color w:val="231F20"/>
        </w:rPr>
        <w:t>investment</w:t>
      </w:r>
      <w:r>
        <w:rPr>
          <w:color w:val="231F20"/>
          <w:spacing w:val="-3"/>
        </w:rPr>
        <w:t> </w:t>
      </w:r>
      <w:r>
        <w:rPr>
          <w:color w:val="231F20"/>
        </w:rPr>
        <w:t>services,</w:t>
      </w:r>
      <w:r>
        <w:rPr>
          <w:color w:val="231F20"/>
          <w:spacing w:val="-3"/>
        </w:rPr>
        <w:t> </w:t>
      </w:r>
      <w:r>
        <w:rPr>
          <w:color w:val="231F20"/>
        </w:rPr>
        <w:t>management</w:t>
      </w:r>
      <w:r>
        <w:rPr>
          <w:color w:val="231F20"/>
          <w:spacing w:val="-3"/>
        </w:rPr>
        <w:t> </w:t>
      </w:r>
      <w:r>
        <w:rPr>
          <w:color w:val="231F20"/>
        </w:rPr>
        <w:t>has</w:t>
      </w:r>
      <w:r>
        <w:rPr>
          <w:color w:val="231F20"/>
          <w:spacing w:val="-3"/>
        </w:rPr>
        <w:t> </w:t>
      </w:r>
      <w:r>
        <w:rPr>
          <w:color w:val="231F20"/>
        </w:rPr>
        <w:t>adopted</w:t>
      </w:r>
      <w:r>
        <w:rPr>
          <w:color w:val="231F20"/>
          <w:spacing w:val="-3"/>
        </w:rPr>
        <w:t> </w:t>
      </w:r>
      <w:r>
        <w:rPr>
          <w:color w:val="231F20"/>
        </w:rPr>
        <w:t>a strategy described as “Through Clients' Eyes.”</w:t>
      </w:r>
    </w:p>
    <w:p>
      <w:pPr>
        <w:pStyle w:val="BodyText"/>
        <w:spacing w:before="13"/>
      </w:pPr>
    </w:p>
    <w:p>
      <w:pPr>
        <w:pStyle w:val="BodyText"/>
        <w:spacing w:line="249" w:lineRule="auto"/>
        <w:ind w:left="469" w:right="500"/>
      </w:pPr>
      <w:r>
        <w:rPr>
          <w:color w:val="231F20"/>
        </w:rPr>
        <w:t>This strategy emphasizes placing clients' perspectives, needs, and desires at the forefront. Because investing plays a fundamental role in building financial security, we strive to deliver a better investing experience for our clients – individual investors and the people and institutions who serve them – by disrupting longstanding industry practices on their behalf and providing</w:t>
      </w:r>
      <w:r>
        <w:rPr>
          <w:color w:val="231F20"/>
          <w:spacing w:val="-1"/>
        </w:rPr>
        <w:t> </w:t>
      </w:r>
      <w:r>
        <w:rPr>
          <w:color w:val="231F20"/>
        </w:rPr>
        <w:t>superior</w:t>
      </w:r>
      <w:r>
        <w:rPr>
          <w:color w:val="231F20"/>
          <w:spacing w:val="-1"/>
        </w:rPr>
        <w:t> </w:t>
      </w:r>
      <w:r>
        <w:rPr>
          <w:color w:val="231F20"/>
        </w:rPr>
        <w:t>service.</w:t>
      </w:r>
      <w:r>
        <w:rPr>
          <w:color w:val="231F20"/>
          <w:spacing w:val="-1"/>
        </w:rPr>
        <w:t> </w:t>
      </w:r>
      <w:r>
        <w:rPr>
          <w:color w:val="231F20"/>
        </w:rPr>
        <w:t>We</w:t>
      </w:r>
      <w:r>
        <w:rPr>
          <w:color w:val="231F20"/>
          <w:spacing w:val="-1"/>
        </w:rPr>
        <w:t> </w:t>
      </w:r>
      <w:r>
        <w:rPr>
          <w:color w:val="231F20"/>
        </w:rPr>
        <w:t>also</w:t>
      </w:r>
      <w:r>
        <w:rPr>
          <w:color w:val="231F20"/>
          <w:spacing w:val="-1"/>
        </w:rPr>
        <w:t> </w:t>
      </w:r>
      <w:r>
        <w:rPr>
          <w:color w:val="231F20"/>
        </w:rPr>
        <w:t>aim</w:t>
      </w:r>
      <w:r>
        <w:rPr>
          <w:color w:val="231F20"/>
          <w:spacing w:val="-1"/>
        </w:rPr>
        <w:t> </w:t>
      </w:r>
      <w:r>
        <w:rPr>
          <w:color w:val="231F20"/>
        </w:rPr>
        <w:t>to</w:t>
      </w:r>
      <w:r>
        <w:rPr>
          <w:color w:val="231F20"/>
          <w:spacing w:val="-1"/>
        </w:rPr>
        <w:t> </w:t>
      </w:r>
      <w:r>
        <w:rPr>
          <w:color w:val="231F20"/>
        </w:rPr>
        <w:t>offer</w:t>
      </w:r>
      <w:r>
        <w:rPr>
          <w:color w:val="231F20"/>
          <w:spacing w:val="-1"/>
        </w:rPr>
        <w:t> </w:t>
      </w:r>
      <w:r>
        <w:rPr>
          <w:color w:val="231F20"/>
        </w:rPr>
        <w:t>a</w:t>
      </w:r>
      <w:r>
        <w:rPr>
          <w:color w:val="231F20"/>
          <w:spacing w:val="-1"/>
        </w:rPr>
        <w:t> </w:t>
      </w:r>
      <w:r>
        <w:rPr>
          <w:color w:val="231F20"/>
        </w:rPr>
        <w:t>broad</w:t>
      </w:r>
      <w:r>
        <w:rPr>
          <w:color w:val="231F20"/>
          <w:spacing w:val="-1"/>
        </w:rPr>
        <w:t> </w:t>
      </w:r>
      <w:r>
        <w:rPr>
          <w:color w:val="231F20"/>
        </w:rPr>
        <w:t>range</w:t>
      </w:r>
      <w:r>
        <w:rPr>
          <w:color w:val="231F20"/>
          <w:spacing w:val="-1"/>
        </w:rPr>
        <w:t> </w:t>
      </w:r>
      <w:r>
        <w:rPr>
          <w:color w:val="231F20"/>
        </w:rPr>
        <w:t>of</w:t>
      </w:r>
      <w:r>
        <w:rPr>
          <w:color w:val="231F20"/>
          <w:spacing w:val="-1"/>
        </w:rPr>
        <w:t> </w:t>
      </w:r>
      <w:r>
        <w:rPr>
          <w:color w:val="231F20"/>
        </w:rPr>
        <w:t>products</w:t>
      </w:r>
      <w:r>
        <w:rPr>
          <w:color w:val="231F20"/>
          <w:spacing w:val="-1"/>
        </w:rPr>
        <w:t> </w:t>
      </w:r>
      <w:r>
        <w:rPr>
          <w:color w:val="231F20"/>
        </w:rPr>
        <w:t>and</w:t>
      </w:r>
      <w:r>
        <w:rPr>
          <w:color w:val="231F20"/>
          <w:spacing w:val="-1"/>
        </w:rPr>
        <w:t> </w:t>
      </w:r>
      <w:r>
        <w:rPr>
          <w:color w:val="231F20"/>
        </w:rPr>
        <w:t>solutions</w:t>
      </w:r>
      <w:r>
        <w:rPr>
          <w:color w:val="231F20"/>
          <w:spacing w:val="-1"/>
        </w:rPr>
        <w:t> </w:t>
      </w:r>
      <w:r>
        <w:rPr>
          <w:color w:val="231F20"/>
        </w:rPr>
        <w:t>to</w:t>
      </w:r>
      <w:r>
        <w:rPr>
          <w:color w:val="231F20"/>
          <w:spacing w:val="-1"/>
        </w:rPr>
        <w:t> </w:t>
      </w:r>
      <w:r>
        <w:rPr>
          <w:color w:val="231F20"/>
        </w:rPr>
        <w:t>meet</w:t>
      </w:r>
      <w:r>
        <w:rPr>
          <w:color w:val="231F20"/>
          <w:spacing w:val="-1"/>
        </w:rPr>
        <w:t> </w:t>
      </w:r>
      <w:r>
        <w:rPr>
          <w:color w:val="231F20"/>
        </w:rPr>
        <w:t>client</w:t>
      </w:r>
      <w:r>
        <w:rPr>
          <w:color w:val="231F20"/>
          <w:spacing w:val="-1"/>
        </w:rPr>
        <w:t> </w:t>
      </w:r>
      <w:r>
        <w:rPr>
          <w:color w:val="231F20"/>
        </w:rPr>
        <w:t>needs</w:t>
      </w:r>
      <w:r>
        <w:rPr>
          <w:color w:val="231F20"/>
          <w:spacing w:val="-1"/>
        </w:rPr>
        <w:t> </w:t>
      </w:r>
      <w:r>
        <w:rPr>
          <w:color w:val="231F20"/>
        </w:rPr>
        <w:t>with</w:t>
      </w:r>
      <w:r>
        <w:rPr>
          <w:color w:val="231F20"/>
          <w:spacing w:val="-1"/>
        </w:rPr>
        <w:t> </w:t>
      </w:r>
      <w:r>
        <w:rPr>
          <w:color w:val="231F20"/>
        </w:rPr>
        <w:t>a</w:t>
      </w:r>
      <w:r>
        <w:rPr>
          <w:color w:val="231F20"/>
          <w:spacing w:val="-1"/>
        </w:rPr>
        <w:t> </w:t>
      </w:r>
      <w:r>
        <w:rPr>
          <w:color w:val="231F20"/>
        </w:rPr>
        <w:t>focus</w:t>
      </w:r>
      <w:r>
        <w:rPr>
          <w:color w:val="231F20"/>
          <w:spacing w:val="-1"/>
        </w:rPr>
        <w:t> </w:t>
      </w:r>
      <w:r>
        <w:rPr>
          <w:color w:val="231F20"/>
        </w:rPr>
        <w:t>on transparency,</w:t>
      </w:r>
      <w:r>
        <w:rPr>
          <w:color w:val="231F20"/>
          <w:spacing w:val="-1"/>
        </w:rPr>
        <w:t> </w:t>
      </w:r>
      <w:r>
        <w:rPr>
          <w:color w:val="231F20"/>
        </w:rPr>
        <w:t>value,</w:t>
      </w:r>
      <w:r>
        <w:rPr>
          <w:color w:val="231F20"/>
          <w:spacing w:val="-1"/>
        </w:rPr>
        <w:t> </w:t>
      </w:r>
      <w:r>
        <w:rPr>
          <w:color w:val="231F20"/>
        </w:rPr>
        <w:t>and</w:t>
      </w:r>
      <w:r>
        <w:rPr>
          <w:color w:val="231F20"/>
          <w:spacing w:val="-1"/>
        </w:rPr>
        <w:t> </w:t>
      </w:r>
      <w:r>
        <w:rPr>
          <w:color w:val="231F20"/>
        </w:rPr>
        <w:t>trust.</w:t>
      </w:r>
      <w:r>
        <w:rPr>
          <w:color w:val="231F20"/>
          <w:spacing w:val="-1"/>
        </w:rPr>
        <w:t> </w:t>
      </w:r>
      <w:r>
        <w:rPr>
          <w:color w:val="231F20"/>
        </w:rPr>
        <w:t>In</w:t>
      </w:r>
      <w:r>
        <w:rPr>
          <w:color w:val="231F20"/>
          <w:spacing w:val="-1"/>
        </w:rPr>
        <w:t> </w:t>
      </w:r>
      <w:r>
        <w:rPr>
          <w:color w:val="231F20"/>
        </w:rPr>
        <w:t>addition,</w:t>
      </w:r>
      <w:r>
        <w:rPr>
          <w:color w:val="231F20"/>
          <w:spacing w:val="-1"/>
        </w:rPr>
        <w:t> </w:t>
      </w:r>
      <w:r>
        <w:rPr>
          <w:color w:val="231F20"/>
        </w:rPr>
        <w:t>management</w:t>
      </w:r>
      <w:r>
        <w:rPr>
          <w:color w:val="231F20"/>
          <w:spacing w:val="-1"/>
        </w:rPr>
        <w:t> </w:t>
      </w:r>
      <w:r>
        <w:rPr>
          <w:color w:val="231F20"/>
        </w:rPr>
        <w:t>works</w:t>
      </w:r>
      <w:r>
        <w:rPr>
          <w:color w:val="231F20"/>
          <w:spacing w:val="-1"/>
        </w:rPr>
        <w:t> </w:t>
      </w:r>
      <w:r>
        <w:rPr>
          <w:color w:val="231F20"/>
        </w:rPr>
        <w:t>to</w:t>
      </w:r>
      <w:r>
        <w:rPr>
          <w:color w:val="231F20"/>
          <w:spacing w:val="-1"/>
        </w:rPr>
        <w:t> </w:t>
      </w:r>
      <w:r>
        <w:rPr>
          <w:color w:val="231F20"/>
        </w:rPr>
        <w:t>couple</w:t>
      </w:r>
      <w:r>
        <w:rPr>
          <w:color w:val="231F20"/>
          <w:spacing w:val="-1"/>
        </w:rPr>
        <w:t> </w:t>
      </w:r>
      <w:r>
        <w:rPr>
          <w:color w:val="231F20"/>
        </w:rPr>
        <w:t>Schwab's</w:t>
      </w:r>
      <w:r>
        <w:rPr>
          <w:color w:val="231F20"/>
          <w:spacing w:val="-1"/>
        </w:rPr>
        <w:t> </w:t>
      </w:r>
      <w:r>
        <w:rPr>
          <w:color w:val="231F20"/>
        </w:rPr>
        <w:t>scale</w:t>
      </w:r>
      <w:r>
        <w:rPr>
          <w:color w:val="231F20"/>
          <w:spacing w:val="-1"/>
        </w:rPr>
        <w:t> </w:t>
      </w:r>
      <w:r>
        <w:rPr>
          <w:color w:val="231F20"/>
        </w:rPr>
        <w:t>and</w:t>
      </w:r>
      <w:r>
        <w:rPr>
          <w:color w:val="231F20"/>
          <w:spacing w:val="-1"/>
        </w:rPr>
        <w:t> </w:t>
      </w:r>
      <w:r>
        <w:rPr>
          <w:color w:val="231F20"/>
        </w:rPr>
        <w:t>resources</w:t>
      </w:r>
      <w:r>
        <w:rPr>
          <w:color w:val="231F20"/>
          <w:spacing w:val="-1"/>
        </w:rPr>
        <w:t> </w:t>
      </w:r>
      <w:r>
        <w:rPr>
          <w:color w:val="231F20"/>
        </w:rPr>
        <w:t>with</w:t>
      </w:r>
      <w:r>
        <w:rPr>
          <w:color w:val="231F20"/>
          <w:spacing w:val="-1"/>
        </w:rPr>
        <w:t> </w:t>
      </w:r>
      <w:r>
        <w:rPr>
          <w:color w:val="231F20"/>
        </w:rPr>
        <w:t>ongoing</w:t>
      </w:r>
      <w:r>
        <w:rPr>
          <w:color w:val="231F20"/>
          <w:spacing w:val="-1"/>
        </w:rPr>
        <w:t> </w:t>
      </w:r>
      <w:r>
        <w:rPr>
          <w:color w:val="231F20"/>
        </w:rPr>
        <w:t>expense discipline to keep costs low and ensure that products and solutions are affordable as well as responsive to client needs. In combination, these are the key elements of our “no trade-offs” approach to serving investors. We believe that following this strategy is the best way to maximize our market valuation and stockholder returns over time.</w:t>
      </w:r>
    </w:p>
    <w:p>
      <w:pPr>
        <w:pStyle w:val="BodyText"/>
        <w:spacing w:before="17"/>
      </w:pPr>
    </w:p>
    <w:p>
      <w:pPr>
        <w:pStyle w:val="BodyText"/>
        <w:spacing w:line="249" w:lineRule="auto"/>
        <w:ind w:left="470" w:right="761"/>
      </w:pPr>
      <w:r>
        <w:rPr>
          <w:color w:val="231F20"/>
        </w:rPr>
        <w:t>Management estimates that investable wealth in the United States (U.S.) (consisting of assets in defined contribution, retail wealth</w:t>
      </w:r>
      <w:r>
        <w:rPr>
          <w:color w:val="231F20"/>
          <w:spacing w:val="-4"/>
        </w:rPr>
        <w:t> </w:t>
      </w:r>
      <w:r>
        <w:rPr>
          <w:color w:val="231F20"/>
        </w:rPr>
        <w:t>management</w:t>
      </w:r>
      <w:r>
        <w:rPr>
          <w:color w:val="231F20"/>
          <w:spacing w:val="-4"/>
        </w:rPr>
        <w:t> </w:t>
      </w:r>
      <w:r>
        <w:rPr>
          <w:color w:val="231F20"/>
        </w:rPr>
        <w:t>and</w:t>
      </w:r>
      <w:r>
        <w:rPr>
          <w:color w:val="231F20"/>
          <w:spacing w:val="-4"/>
        </w:rPr>
        <w:t> </w:t>
      </w:r>
      <w:r>
        <w:rPr>
          <w:color w:val="231F20"/>
        </w:rPr>
        <w:t>brokerage,</w:t>
      </w:r>
      <w:r>
        <w:rPr>
          <w:color w:val="231F20"/>
          <w:spacing w:val="-4"/>
        </w:rPr>
        <w:t> </w:t>
      </w:r>
      <w:r>
        <w:rPr>
          <w:color w:val="231F20"/>
        </w:rPr>
        <w:t>and</w:t>
      </w:r>
      <w:r>
        <w:rPr>
          <w:color w:val="231F20"/>
          <w:spacing w:val="-4"/>
        </w:rPr>
        <w:t> </w:t>
      </w:r>
      <w:r>
        <w:rPr>
          <w:color w:val="231F20"/>
        </w:rPr>
        <w:t>registered</w:t>
      </w:r>
      <w:r>
        <w:rPr>
          <w:color w:val="231F20"/>
          <w:spacing w:val="-4"/>
        </w:rPr>
        <w:t> </w:t>
      </w:r>
      <w:r>
        <w:rPr>
          <w:color w:val="231F20"/>
        </w:rPr>
        <w:t>investment</w:t>
      </w:r>
      <w:r>
        <w:rPr>
          <w:color w:val="231F20"/>
          <w:spacing w:val="-4"/>
        </w:rPr>
        <w:t> </w:t>
      </w:r>
      <w:r>
        <w:rPr>
          <w:color w:val="231F20"/>
        </w:rPr>
        <w:t>advisor</w:t>
      </w:r>
      <w:r>
        <w:rPr>
          <w:color w:val="231F20"/>
          <w:spacing w:val="-4"/>
        </w:rPr>
        <w:t> </w:t>
      </w:r>
      <w:r>
        <w:rPr>
          <w:color w:val="231F20"/>
        </w:rPr>
        <w:t>channels,</w:t>
      </w:r>
      <w:r>
        <w:rPr>
          <w:color w:val="231F20"/>
          <w:spacing w:val="-4"/>
        </w:rPr>
        <w:t> </w:t>
      </w:r>
      <w:r>
        <w:rPr>
          <w:color w:val="231F20"/>
        </w:rPr>
        <w:t>along</w:t>
      </w:r>
      <w:r>
        <w:rPr>
          <w:color w:val="231F20"/>
          <w:spacing w:val="-4"/>
        </w:rPr>
        <w:t> </w:t>
      </w:r>
      <w:r>
        <w:rPr>
          <w:color w:val="231F20"/>
        </w:rPr>
        <w:t>with</w:t>
      </w:r>
      <w:r>
        <w:rPr>
          <w:color w:val="231F20"/>
          <w:spacing w:val="-4"/>
        </w:rPr>
        <w:t> </w:t>
      </w:r>
      <w:r>
        <w:rPr>
          <w:color w:val="231F20"/>
        </w:rPr>
        <w:t>bank</w:t>
      </w:r>
      <w:r>
        <w:rPr>
          <w:color w:val="231F20"/>
          <w:spacing w:val="-4"/>
        </w:rPr>
        <w:t> </w:t>
      </w:r>
      <w:r>
        <w:rPr>
          <w:color w:val="231F20"/>
        </w:rPr>
        <w:t>deposits)</w:t>
      </w:r>
      <w:r>
        <w:rPr>
          <w:color w:val="231F20"/>
          <w:spacing w:val="-4"/>
        </w:rPr>
        <w:t> </w:t>
      </w:r>
      <w:r>
        <w:rPr>
          <w:color w:val="231F20"/>
        </w:rPr>
        <w:t>currently</w:t>
      </w:r>
      <w:r>
        <w:rPr>
          <w:color w:val="231F20"/>
          <w:spacing w:val="-4"/>
        </w:rPr>
        <w:t> </w:t>
      </w:r>
      <w:r>
        <w:rPr>
          <w:color w:val="231F20"/>
        </w:rPr>
        <w:t>exceeds</w:t>
      </w:r>
    </w:p>
    <w:p>
      <w:pPr>
        <w:pStyle w:val="BodyText"/>
        <w:spacing w:line="249" w:lineRule="auto" w:before="2"/>
        <w:ind w:left="470" w:right="500" w:hanging="1"/>
      </w:pPr>
      <w:r>
        <w:rPr>
          <w:color w:val="231F20"/>
        </w:rPr>
        <w:t>$65</w:t>
      </w:r>
      <w:r>
        <w:rPr>
          <w:color w:val="231F20"/>
          <w:spacing w:val="-1"/>
        </w:rPr>
        <w:t> </w:t>
      </w:r>
      <w:r>
        <w:rPr>
          <w:color w:val="231F20"/>
        </w:rPr>
        <w:t>trillion,</w:t>
      </w:r>
      <w:r>
        <w:rPr>
          <w:color w:val="231F20"/>
          <w:spacing w:val="-1"/>
        </w:rPr>
        <w:t> </w:t>
      </w:r>
      <w:r>
        <w:rPr>
          <w:color w:val="231F20"/>
        </w:rPr>
        <w:t>which</w:t>
      </w:r>
      <w:r>
        <w:rPr>
          <w:color w:val="231F20"/>
          <w:spacing w:val="-1"/>
        </w:rPr>
        <w:t> </w:t>
      </w:r>
      <w:r>
        <w:rPr>
          <w:color w:val="231F20"/>
        </w:rPr>
        <w:t>means</w:t>
      </w:r>
      <w:r>
        <w:rPr>
          <w:color w:val="231F20"/>
          <w:spacing w:val="-1"/>
        </w:rPr>
        <w:t> </w:t>
      </w:r>
      <w:r>
        <w:rPr>
          <w:color w:val="231F20"/>
        </w:rPr>
        <w:t>the</w:t>
      </w:r>
      <w:r>
        <w:rPr>
          <w:color w:val="231F20"/>
          <w:spacing w:val="-1"/>
        </w:rPr>
        <w:t> </w:t>
      </w:r>
      <w:r>
        <w:rPr>
          <w:color w:val="231F20"/>
        </w:rPr>
        <w:t>Company's</w:t>
      </w:r>
      <w:r>
        <w:rPr>
          <w:color w:val="231F20"/>
          <w:spacing w:val="-1"/>
        </w:rPr>
        <w:t> </w:t>
      </w:r>
      <w:r>
        <w:rPr>
          <w:color w:val="231F20"/>
        </w:rPr>
        <w:t>$7.82</w:t>
      </w:r>
      <w:r>
        <w:rPr>
          <w:color w:val="231F20"/>
          <w:spacing w:val="-1"/>
        </w:rPr>
        <w:t> </w:t>
      </w:r>
      <w:r>
        <w:rPr>
          <w:color w:val="231F20"/>
        </w:rPr>
        <w:t>trillion</w:t>
      </w:r>
      <w:r>
        <w:rPr>
          <w:color w:val="231F20"/>
          <w:spacing w:val="-1"/>
        </w:rPr>
        <w:t> </w:t>
      </w:r>
      <w:r>
        <w:rPr>
          <w:color w:val="231F20"/>
        </w:rPr>
        <w:t>in</w:t>
      </w:r>
      <w:r>
        <w:rPr>
          <w:color w:val="231F20"/>
          <w:spacing w:val="-1"/>
        </w:rPr>
        <w:t> </w:t>
      </w:r>
      <w:r>
        <w:rPr>
          <w:color w:val="231F20"/>
        </w:rPr>
        <w:t>client</w:t>
      </w:r>
      <w:r>
        <w:rPr>
          <w:color w:val="231F20"/>
          <w:spacing w:val="-1"/>
        </w:rPr>
        <w:t> </w:t>
      </w:r>
      <w:r>
        <w:rPr>
          <w:color w:val="231F20"/>
        </w:rPr>
        <w:t>assets</w:t>
      </w:r>
      <w:r>
        <w:rPr>
          <w:color w:val="231F20"/>
          <w:spacing w:val="-1"/>
        </w:rPr>
        <w:t> </w:t>
      </w:r>
      <w:r>
        <w:rPr>
          <w:color w:val="231F20"/>
        </w:rPr>
        <w:t>leaves</w:t>
      </w:r>
      <w:r>
        <w:rPr>
          <w:color w:val="231F20"/>
          <w:spacing w:val="-1"/>
        </w:rPr>
        <w:t> </w:t>
      </w:r>
      <w:r>
        <w:rPr>
          <w:color w:val="231F20"/>
        </w:rPr>
        <w:t>substantial</w:t>
      </w:r>
      <w:r>
        <w:rPr>
          <w:color w:val="231F20"/>
          <w:spacing w:val="-1"/>
        </w:rPr>
        <w:t> </w:t>
      </w:r>
      <w:r>
        <w:rPr>
          <w:color w:val="231F20"/>
        </w:rPr>
        <w:t>opportunity</w:t>
      </w:r>
      <w:r>
        <w:rPr>
          <w:color w:val="231F20"/>
          <w:spacing w:val="-1"/>
        </w:rPr>
        <w:t> </w:t>
      </w:r>
      <w:r>
        <w:rPr>
          <w:color w:val="231F20"/>
        </w:rPr>
        <w:t>for</w:t>
      </w:r>
      <w:r>
        <w:rPr>
          <w:color w:val="231F20"/>
          <w:spacing w:val="-1"/>
        </w:rPr>
        <w:t> </w:t>
      </w:r>
      <w:r>
        <w:rPr>
          <w:color w:val="231F20"/>
        </w:rPr>
        <w:t>growth.</w:t>
      </w:r>
      <w:r>
        <w:rPr>
          <w:color w:val="231F20"/>
          <w:spacing w:val="-1"/>
        </w:rPr>
        <w:t> </w:t>
      </w:r>
      <w:r>
        <w:rPr>
          <w:color w:val="231F20"/>
        </w:rPr>
        <w:t>Our</w:t>
      </w:r>
      <w:r>
        <w:rPr>
          <w:color w:val="231F20"/>
          <w:spacing w:val="-1"/>
        </w:rPr>
        <w:t> </w:t>
      </w:r>
      <w:r>
        <w:rPr>
          <w:color w:val="231F20"/>
        </w:rPr>
        <w:t>strategy</w:t>
      </w:r>
      <w:r>
        <w:rPr>
          <w:color w:val="231F20"/>
          <w:spacing w:val="-1"/>
        </w:rPr>
        <w:t> </w:t>
      </w:r>
      <w:r>
        <w:rPr>
          <w:color w:val="231F20"/>
        </w:rPr>
        <w:t>is based on the principle that developing trusted relationships will translate into more assets from both new and existing clients, ultimately driving more revenue, and along with expense discipline and thoughtful capital management, will generate earnings growth and build long-term stockholder value.</w:t>
      </w:r>
    </w:p>
    <w:p>
      <w:pPr>
        <w:pStyle w:val="BodyText"/>
        <w:spacing w:before="13"/>
      </w:pPr>
    </w:p>
    <w:p>
      <w:pPr>
        <w:pStyle w:val="BodyText"/>
        <w:spacing w:line="249" w:lineRule="auto"/>
        <w:ind w:left="470" w:right="500"/>
      </w:pPr>
      <w:r>
        <w:rPr>
          <w:color w:val="231F20"/>
        </w:rPr>
        <w:t>This</w:t>
      </w:r>
      <w:r>
        <w:rPr>
          <w:color w:val="231F20"/>
          <w:spacing w:val="-1"/>
        </w:rPr>
        <w:t> </w:t>
      </w:r>
      <w:r>
        <w:rPr>
          <w:color w:val="231F20"/>
        </w:rPr>
        <w:t>Management's</w:t>
      </w:r>
      <w:r>
        <w:rPr>
          <w:color w:val="231F20"/>
          <w:spacing w:val="-1"/>
        </w:rPr>
        <w:t> </w:t>
      </w:r>
      <w:r>
        <w:rPr>
          <w:color w:val="231F20"/>
        </w:rPr>
        <w:t>Discussion</w:t>
      </w:r>
      <w:r>
        <w:rPr>
          <w:color w:val="231F20"/>
          <w:spacing w:val="-1"/>
        </w:rPr>
        <w:t> </w:t>
      </w:r>
      <w:r>
        <w:rPr>
          <w:color w:val="231F20"/>
        </w:rPr>
        <w:t>and</w:t>
      </w:r>
      <w:r>
        <w:rPr>
          <w:color w:val="231F20"/>
          <w:spacing w:val="-1"/>
        </w:rPr>
        <w:t> </w:t>
      </w:r>
      <w:r>
        <w:rPr>
          <w:color w:val="231F20"/>
        </w:rPr>
        <w:t>Analysis</w:t>
      </w:r>
      <w:r>
        <w:rPr>
          <w:color w:val="231F20"/>
          <w:spacing w:val="-1"/>
        </w:rPr>
        <w:t> </w:t>
      </w:r>
      <w:r>
        <w:rPr>
          <w:color w:val="231F20"/>
        </w:rPr>
        <w:t>should</w:t>
      </w:r>
      <w:r>
        <w:rPr>
          <w:color w:val="231F20"/>
          <w:spacing w:val="-1"/>
        </w:rPr>
        <w:t> </w:t>
      </w:r>
      <w:r>
        <w:rPr>
          <w:color w:val="231F20"/>
        </w:rPr>
        <w:t>be</w:t>
      </w:r>
      <w:r>
        <w:rPr>
          <w:color w:val="231F20"/>
          <w:spacing w:val="-1"/>
        </w:rPr>
        <w:t> </w:t>
      </w:r>
      <w:r>
        <w:rPr>
          <w:color w:val="231F20"/>
        </w:rPr>
        <w:t>read</w:t>
      </w:r>
      <w:r>
        <w:rPr>
          <w:color w:val="231F20"/>
          <w:spacing w:val="-1"/>
        </w:rPr>
        <w:t> </w:t>
      </w:r>
      <w:r>
        <w:rPr>
          <w:color w:val="231F20"/>
        </w:rPr>
        <w:t>in</w:t>
      </w:r>
      <w:r>
        <w:rPr>
          <w:color w:val="231F20"/>
          <w:spacing w:val="-1"/>
        </w:rPr>
        <w:t> </w:t>
      </w:r>
      <w:r>
        <w:rPr>
          <w:color w:val="231F20"/>
        </w:rPr>
        <w:t>conjunction</w:t>
      </w:r>
      <w:r>
        <w:rPr>
          <w:color w:val="231F20"/>
          <w:spacing w:val="-1"/>
        </w:rPr>
        <w:t> </w:t>
      </w:r>
      <w:r>
        <w:rPr>
          <w:color w:val="231F20"/>
        </w:rPr>
        <w:t>with</w:t>
      </w:r>
      <w:r>
        <w:rPr>
          <w:color w:val="231F20"/>
          <w:spacing w:val="-1"/>
        </w:rPr>
        <w:t> </w:t>
      </w:r>
      <w:r>
        <w:rPr>
          <w:color w:val="231F20"/>
        </w:rPr>
        <w:t>our</w:t>
      </w:r>
      <w:r>
        <w:rPr>
          <w:color w:val="231F20"/>
          <w:spacing w:val="-1"/>
        </w:rPr>
        <w:t> </w:t>
      </w:r>
      <w:r>
        <w:rPr>
          <w:color w:val="231F20"/>
        </w:rPr>
        <w:t>Annual</w:t>
      </w:r>
      <w:r>
        <w:rPr>
          <w:color w:val="231F20"/>
          <w:spacing w:val="-1"/>
        </w:rPr>
        <w:t> </w:t>
      </w:r>
      <w:r>
        <w:rPr>
          <w:color w:val="231F20"/>
        </w:rPr>
        <w:t>Report</w:t>
      </w:r>
      <w:r>
        <w:rPr>
          <w:color w:val="231F20"/>
          <w:spacing w:val="-1"/>
        </w:rPr>
        <w:t> </w:t>
      </w:r>
      <w:r>
        <w:rPr>
          <w:color w:val="231F20"/>
        </w:rPr>
        <w:t>on</w:t>
      </w:r>
      <w:r>
        <w:rPr>
          <w:color w:val="231F20"/>
          <w:spacing w:val="-1"/>
        </w:rPr>
        <w:t> </w:t>
      </w:r>
      <w:r>
        <w:rPr>
          <w:color w:val="231F20"/>
        </w:rPr>
        <w:t>Form</w:t>
      </w:r>
      <w:r>
        <w:rPr>
          <w:color w:val="231F20"/>
          <w:spacing w:val="-1"/>
        </w:rPr>
        <w:t> </w:t>
      </w:r>
      <w:r>
        <w:rPr>
          <w:color w:val="231F20"/>
        </w:rPr>
        <w:t>10-K</w:t>
      </w:r>
      <w:r>
        <w:rPr>
          <w:color w:val="231F20"/>
          <w:spacing w:val="-1"/>
        </w:rPr>
        <w:t> </w:t>
      </w:r>
      <w:r>
        <w:rPr>
          <w:color w:val="231F20"/>
        </w:rPr>
        <w:t>for</w:t>
      </w:r>
      <w:r>
        <w:rPr>
          <w:color w:val="231F20"/>
          <w:spacing w:val="-1"/>
        </w:rPr>
        <w:t> </w:t>
      </w:r>
      <w:r>
        <w:rPr>
          <w:color w:val="231F20"/>
        </w:rPr>
        <w:t>the</w:t>
      </w:r>
      <w:r>
        <w:rPr>
          <w:color w:val="231F20"/>
          <w:spacing w:val="-1"/>
        </w:rPr>
        <w:t> </w:t>
      </w:r>
      <w:r>
        <w:rPr>
          <w:color w:val="231F20"/>
        </w:rPr>
        <w:t>fiscal year ended December 31, 2022 (2022 Form 10-K).</w:t>
      </w:r>
    </w:p>
    <w:p>
      <w:pPr>
        <w:pStyle w:val="BodyText"/>
        <w:spacing w:before="11"/>
      </w:pPr>
    </w:p>
    <w:p>
      <w:pPr>
        <w:pStyle w:val="BodyText"/>
        <w:spacing w:line="249" w:lineRule="auto" w:before="1"/>
        <w:ind w:left="470" w:right="566"/>
      </w:pPr>
      <w:r>
        <w:rPr>
          <w:color w:val="231F20"/>
        </w:rPr>
        <w:t>On our website, </w:t>
      </w:r>
      <w:hyperlink r:id="rId6">
        <w:r>
          <w:rPr>
            <w:color w:val="231F20"/>
            <w:u w:val="single" w:color="231F20"/>
          </w:rPr>
          <w:t>https://www.aboutschwab.com</w:t>
        </w:r>
        <w:r>
          <w:rPr>
            <w:color w:val="231F20"/>
            <w:u w:val="none"/>
          </w:rPr>
          <w:t>,</w:t>
        </w:r>
      </w:hyperlink>
      <w:r>
        <w:rPr>
          <w:color w:val="231F20"/>
          <w:u w:val="none"/>
        </w:rPr>
        <w:t> we post the following filings after they are electronically filed with or furnished to the Securities and Exchange Commission (SEC or Commission): annual reports on Form 10-K, quarterly reports on</w:t>
      </w:r>
      <w:r>
        <w:rPr>
          <w:color w:val="231F20"/>
          <w:spacing w:val="-3"/>
          <w:u w:val="none"/>
        </w:rPr>
        <w:t> </w:t>
      </w:r>
      <w:r>
        <w:rPr>
          <w:color w:val="231F20"/>
          <w:u w:val="none"/>
        </w:rPr>
        <w:t>Form</w:t>
      </w:r>
      <w:r>
        <w:rPr>
          <w:color w:val="231F20"/>
          <w:spacing w:val="-3"/>
          <w:u w:val="none"/>
        </w:rPr>
        <w:t> </w:t>
      </w:r>
      <w:r>
        <w:rPr>
          <w:color w:val="231F20"/>
          <w:u w:val="none"/>
        </w:rPr>
        <w:t>10-Q,</w:t>
      </w:r>
      <w:r>
        <w:rPr>
          <w:color w:val="231F20"/>
          <w:spacing w:val="-3"/>
          <w:u w:val="none"/>
        </w:rPr>
        <w:t> </w:t>
      </w:r>
      <w:r>
        <w:rPr>
          <w:color w:val="231F20"/>
          <w:u w:val="none"/>
        </w:rPr>
        <w:t>current</w:t>
      </w:r>
      <w:r>
        <w:rPr>
          <w:color w:val="231F20"/>
          <w:spacing w:val="-3"/>
          <w:u w:val="none"/>
        </w:rPr>
        <w:t> </w:t>
      </w:r>
      <w:r>
        <w:rPr>
          <w:color w:val="231F20"/>
          <w:u w:val="none"/>
        </w:rPr>
        <w:t>reports</w:t>
      </w:r>
      <w:r>
        <w:rPr>
          <w:color w:val="231F20"/>
          <w:spacing w:val="-3"/>
          <w:u w:val="none"/>
        </w:rPr>
        <w:t> </w:t>
      </w:r>
      <w:r>
        <w:rPr>
          <w:color w:val="231F20"/>
          <w:u w:val="none"/>
        </w:rPr>
        <w:t>on</w:t>
      </w:r>
      <w:r>
        <w:rPr>
          <w:color w:val="231F20"/>
          <w:spacing w:val="-3"/>
          <w:u w:val="none"/>
        </w:rPr>
        <w:t> </w:t>
      </w:r>
      <w:r>
        <w:rPr>
          <w:color w:val="231F20"/>
          <w:u w:val="none"/>
        </w:rPr>
        <w:t>Form</w:t>
      </w:r>
      <w:r>
        <w:rPr>
          <w:color w:val="231F20"/>
          <w:spacing w:val="-3"/>
          <w:u w:val="none"/>
        </w:rPr>
        <w:t> </w:t>
      </w:r>
      <w:r>
        <w:rPr>
          <w:color w:val="231F20"/>
          <w:u w:val="none"/>
        </w:rPr>
        <w:t>8-K,</w:t>
      </w:r>
      <w:r>
        <w:rPr>
          <w:color w:val="231F20"/>
          <w:spacing w:val="-3"/>
          <w:u w:val="none"/>
        </w:rPr>
        <w:t> </w:t>
      </w:r>
      <w:r>
        <w:rPr>
          <w:color w:val="231F20"/>
          <w:u w:val="none"/>
        </w:rPr>
        <w:t>and</w:t>
      </w:r>
      <w:r>
        <w:rPr>
          <w:color w:val="231F20"/>
          <w:spacing w:val="-3"/>
          <w:u w:val="none"/>
        </w:rPr>
        <w:t> </w:t>
      </w:r>
      <w:r>
        <w:rPr>
          <w:color w:val="231F20"/>
          <w:u w:val="none"/>
        </w:rPr>
        <w:t>any</w:t>
      </w:r>
      <w:r>
        <w:rPr>
          <w:color w:val="231F20"/>
          <w:spacing w:val="-3"/>
          <w:u w:val="none"/>
        </w:rPr>
        <w:t> </w:t>
      </w:r>
      <w:r>
        <w:rPr>
          <w:color w:val="231F20"/>
          <w:u w:val="none"/>
        </w:rPr>
        <w:t>amendments</w:t>
      </w:r>
      <w:r>
        <w:rPr>
          <w:color w:val="231F20"/>
          <w:spacing w:val="-3"/>
          <w:u w:val="none"/>
        </w:rPr>
        <w:t> </w:t>
      </w:r>
      <w:r>
        <w:rPr>
          <w:color w:val="231F20"/>
          <w:u w:val="none"/>
        </w:rPr>
        <w:t>to</w:t>
      </w:r>
      <w:r>
        <w:rPr>
          <w:color w:val="231F20"/>
          <w:spacing w:val="-3"/>
          <w:u w:val="none"/>
        </w:rPr>
        <w:t> </w:t>
      </w:r>
      <w:r>
        <w:rPr>
          <w:color w:val="231F20"/>
          <w:u w:val="none"/>
        </w:rPr>
        <w:t>those</w:t>
      </w:r>
      <w:r>
        <w:rPr>
          <w:color w:val="231F20"/>
          <w:spacing w:val="-3"/>
          <w:u w:val="none"/>
        </w:rPr>
        <w:t> </w:t>
      </w:r>
      <w:r>
        <w:rPr>
          <w:color w:val="231F20"/>
          <w:u w:val="none"/>
        </w:rPr>
        <w:t>reports</w:t>
      </w:r>
      <w:r>
        <w:rPr>
          <w:color w:val="231F20"/>
          <w:spacing w:val="-3"/>
          <w:u w:val="none"/>
        </w:rPr>
        <w:t> </w:t>
      </w:r>
      <w:r>
        <w:rPr>
          <w:color w:val="231F20"/>
          <w:u w:val="none"/>
        </w:rPr>
        <w:t>filed</w:t>
      </w:r>
      <w:r>
        <w:rPr>
          <w:color w:val="231F20"/>
          <w:spacing w:val="-3"/>
          <w:u w:val="none"/>
        </w:rPr>
        <w:t> </w:t>
      </w:r>
      <w:r>
        <w:rPr>
          <w:color w:val="231F20"/>
          <w:u w:val="none"/>
        </w:rPr>
        <w:t>or</w:t>
      </w:r>
      <w:r>
        <w:rPr>
          <w:color w:val="231F20"/>
          <w:spacing w:val="-3"/>
          <w:u w:val="none"/>
        </w:rPr>
        <w:t> </w:t>
      </w:r>
      <w:r>
        <w:rPr>
          <w:color w:val="231F20"/>
          <w:u w:val="none"/>
        </w:rPr>
        <w:t>furnished</w:t>
      </w:r>
      <w:r>
        <w:rPr>
          <w:color w:val="231F20"/>
          <w:spacing w:val="-3"/>
          <w:u w:val="none"/>
        </w:rPr>
        <w:t> </w:t>
      </w:r>
      <w:r>
        <w:rPr>
          <w:color w:val="231F20"/>
          <w:u w:val="none"/>
        </w:rPr>
        <w:t>pursuant</w:t>
      </w:r>
      <w:r>
        <w:rPr>
          <w:color w:val="231F20"/>
          <w:spacing w:val="-3"/>
          <w:u w:val="none"/>
        </w:rPr>
        <w:t> </w:t>
      </w:r>
      <w:r>
        <w:rPr>
          <w:color w:val="231F20"/>
          <w:u w:val="none"/>
        </w:rPr>
        <w:t>to</w:t>
      </w:r>
      <w:r>
        <w:rPr>
          <w:color w:val="231F20"/>
          <w:spacing w:val="-3"/>
          <w:u w:val="none"/>
        </w:rPr>
        <w:t> </w:t>
      </w:r>
      <w:r>
        <w:rPr>
          <w:color w:val="231F20"/>
          <w:u w:val="none"/>
        </w:rPr>
        <w:t>Section</w:t>
      </w:r>
      <w:r>
        <w:rPr>
          <w:color w:val="231F20"/>
          <w:spacing w:val="-3"/>
          <w:u w:val="none"/>
        </w:rPr>
        <w:t> </w:t>
      </w:r>
      <w:r>
        <w:rPr>
          <w:color w:val="231F20"/>
          <w:u w:val="none"/>
        </w:rPr>
        <w:t>13(a) or 15(d) of the Securities Exchange Act of 1934. In addition, we post to the website the Dodd-Frank stress test results, our</w:t>
      </w:r>
    </w:p>
    <w:p>
      <w:pPr>
        <w:spacing w:after="0" w:line="249" w:lineRule="auto"/>
        <w:sectPr>
          <w:footerReference w:type="default" r:id="rId5"/>
          <w:pgSz w:w="12240" w:h="15840"/>
          <w:pgMar w:header="0" w:footer="336" w:top="140" w:bottom="520" w:left="520" w:right="520"/>
          <w:pgNumType w:start="1"/>
        </w:sectPr>
      </w:pPr>
    </w:p>
    <w:p>
      <w:pPr>
        <w:pStyle w:val="BodyText"/>
        <w:spacing w:before="26"/>
      </w:pPr>
    </w:p>
    <w:p>
      <w:pPr>
        <w:pStyle w:val="BodyText"/>
        <w:spacing w:line="249" w:lineRule="auto"/>
        <w:ind w:left="470" w:right="500"/>
      </w:pPr>
      <w:r>
        <w:rPr>
          <w:color w:val="231F20"/>
        </w:rPr>
        <w:t>regulatory</w:t>
      </w:r>
      <w:r>
        <w:rPr>
          <w:color w:val="231F20"/>
          <w:spacing w:val="-3"/>
        </w:rPr>
        <w:t> </w:t>
      </w:r>
      <w:r>
        <w:rPr>
          <w:color w:val="231F20"/>
        </w:rPr>
        <w:t>capital</w:t>
      </w:r>
      <w:r>
        <w:rPr>
          <w:color w:val="231F20"/>
          <w:spacing w:val="-3"/>
        </w:rPr>
        <w:t> </w:t>
      </w:r>
      <w:r>
        <w:rPr>
          <w:color w:val="231F20"/>
        </w:rPr>
        <w:t>disclosures</w:t>
      </w:r>
      <w:r>
        <w:rPr>
          <w:color w:val="231F20"/>
          <w:spacing w:val="-3"/>
        </w:rPr>
        <w:t> </w:t>
      </w:r>
      <w:r>
        <w:rPr>
          <w:color w:val="231F20"/>
        </w:rPr>
        <w:t>based</w:t>
      </w:r>
      <w:r>
        <w:rPr>
          <w:color w:val="231F20"/>
          <w:spacing w:val="-3"/>
        </w:rPr>
        <w:t> </w:t>
      </w:r>
      <w:r>
        <w:rPr>
          <w:color w:val="231F20"/>
        </w:rPr>
        <w:t>on</w:t>
      </w:r>
      <w:r>
        <w:rPr>
          <w:color w:val="231F20"/>
          <w:spacing w:val="-3"/>
        </w:rPr>
        <w:t> </w:t>
      </w:r>
      <w:r>
        <w:rPr>
          <w:color w:val="231F20"/>
        </w:rPr>
        <w:t>Basel</w:t>
      </w:r>
      <w:r>
        <w:rPr>
          <w:color w:val="231F20"/>
          <w:spacing w:val="-3"/>
        </w:rPr>
        <w:t> </w:t>
      </w:r>
      <w:r>
        <w:rPr>
          <w:color w:val="231F20"/>
        </w:rPr>
        <w:t>III,</w:t>
      </w:r>
      <w:r>
        <w:rPr>
          <w:color w:val="231F20"/>
          <w:spacing w:val="-3"/>
        </w:rPr>
        <w:t> </w:t>
      </w:r>
      <w:r>
        <w:rPr>
          <w:color w:val="231F20"/>
        </w:rPr>
        <w:t>our</w:t>
      </w:r>
      <w:r>
        <w:rPr>
          <w:color w:val="231F20"/>
          <w:spacing w:val="-3"/>
        </w:rPr>
        <w:t> </w:t>
      </w:r>
      <w:r>
        <w:rPr>
          <w:color w:val="231F20"/>
        </w:rPr>
        <w:t>average</w:t>
      </w:r>
      <w:r>
        <w:rPr>
          <w:color w:val="231F20"/>
          <w:spacing w:val="-2"/>
        </w:rPr>
        <w:t> </w:t>
      </w:r>
      <w:r>
        <w:rPr>
          <w:color w:val="231F20"/>
        </w:rPr>
        <w:t>liquidity</w:t>
      </w:r>
      <w:r>
        <w:rPr>
          <w:color w:val="231F20"/>
          <w:spacing w:val="-3"/>
        </w:rPr>
        <w:t> </w:t>
      </w:r>
      <w:r>
        <w:rPr>
          <w:color w:val="231F20"/>
        </w:rPr>
        <w:t>coverage</w:t>
      </w:r>
      <w:r>
        <w:rPr>
          <w:color w:val="231F20"/>
          <w:spacing w:val="-3"/>
        </w:rPr>
        <w:t> </w:t>
      </w:r>
      <w:r>
        <w:rPr>
          <w:color w:val="231F20"/>
        </w:rPr>
        <w:t>ratio</w:t>
      </w:r>
      <w:r>
        <w:rPr>
          <w:color w:val="231F20"/>
          <w:spacing w:val="-3"/>
        </w:rPr>
        <w:t> </w:t>
      </w:r>
      <w:r>
        <w:rPr>
          <w:color w:val="231F20"/>
        </w:rPr>
        <w:t>(LCR),</w:t>
      </w:r>
      <w:r>
        <w:rPr>
          <w:color w:val="231F20"/>
          <w:spacing w:val="-3"/>
        </w:rPr>
        <w:t> </w:t>
      </w:r>
      <w:r>
        <w:rPr>
          <w:color w:val="231F20"/>
        </w:rPr>
        <w:t>and</w:t>
      </w:r>
      <w:r>
        <w:rPr>
          <w:color w:val="231F20"/>
          <w:spacing w:val="-3"/>
        </w:rPr>
        <w:t> </w:t>
      </w:r>
      <w:r>
        <w:rPr>
          <w:color w:val="231F20"/>
        </w:rPr>
        <w:t>our</w:t>
      </w:r>
      <w:r>
        <w:rPr>
          <w:color w:val="231F20"/>
          <w:spacing w:val="-3"/>
        </w:rPr>
        <w:t> </w:t>
      </w:r>
      <w:r>
        <w:rPr>
          <w:color w:val="231F20"/>
        </w:rPr>
        <w:t>average</w:t>
      </w:r>
      <w:r>
        <w:rPr>
          <w:color w:val="231F20"/>
          <w:spacing w:val="-3"/>
        </w:rPr>
        <w:t> </w:t>
      </w:r>
      <w:r>
        <w:rPr>
          <w:color w:val="231F20"/>
        </w:rPr>
        <w:t>net</w:t>
      </w:r>
      <w:r>
        <w:rPr>
          <w:color w:val="231F20"/>
          <w:spacing w:val="-3"/>
        </w:rPr>
        <w:t> </w:t>
      </w:r>
      <w:r>
        <w:rPr>
          <w:color w:val="231F20"/>
        </w:rPr>
        <w:t>stable</w:t>
      </w:r>
      <w:r>
        <w:rPr>
          <w:color w:val="231F20"/>
          <w:spacing w:val="-3"/>
        </w:rPr>
        <w:t> </w:t>
      </w:r>
      <w:r>
        <w:rPr>
          <w:color w:val="231F20"/>
        </w:rPr>
        <w:t>funding ratio (NSFR). The SEC maintains a website at </w:t>
      </w:r>
      <w:hyperlink r:id="rId9">
        <w:r>
          <w:rPr>
            <w:color w:val="231F20"/>
            <w:u w:val="single" w:color="231F20"/>
          </w:rPr>
          <w:t>https://www.sec.gov</w:t>
        </w:r>
      </w:hyperlink>
      <w:r>
        <w:rPr>
          <w:color w:val="231F20"/>
          <w:u w:val="none"/>
        </w:rPr>
        <w:t> that contains reports, proxy statements, and other information that we file electronically with them.</w:t>
      </w:r>
    </w:p>
    <w:p>
      <w:pPr>
        <w:pStyle w:val="BodyText"/>
        <w:spacing w:before="9"/>
      </w:pPr>
    </w:p>
    <w:p>
      <w:pPr>
        <w:spacing w:before="0"/>
        <w:ind w:left="470" w:right="0" w:firstLine="0"/>
        <w:jc w:val="left"/>
        <w:rPr>
          <w:b/>
          <w:sz w:val="20"/>
        </w:rPr>
      </w:pPr>
      <w:bookmarkStart w:name="Forward-Looking Statements" w:id="6"/>
      <w:bookmarkEnd w:id="6"/>
      <w:r>
        <w:rPr/>
      </w:r>
      <w:r>
        <w:rPr>
          <w:b/>
          <w:color w:val="231F20"/>
          <w:spacing w:val="-2"/>
          <w:sz w:val="20"/>
          <w:u w:val="single" w:color="231F20"/>
        </w:rPr>
        <w:t>FORWARD-LOOKING</w:t>
      </w:r>
      <w:r>
        <w:rPr>
          <w:b/>
          <w:color w:val="231F20"/>
          <w:spacing w:val="15"/>
          <w:sz w:val="20"/>
          <w:u w:val="single" w:color="231F20"/>
        </w:rPr>
        <w:t> </w:t>
      </w:r>
      <w:r>
        <w:rPr>
          <w:b/>
          <w:color w:val="231F20"/>
          <w:spacing w:val="-2"/>
          <w:sz w:val="20"/>
          <w:u w:val="single" w:color="231F20"/>
        </w:rPr>
        <w:t>STATEMENTS</w:t>
      </w:r>
    </w:p>
    <w:p>
      <w:pPr>
        <w:pStyle w:val="BodyText"/>
        <w:spacing w:before="24"/>
        <w:rPr>
          <w:b/>
        </w:rPr>
      </w:pPr>
    </w:p>
    <w:p>
      <w:pPr>
        <w:pStyle w:val="BodyText"/>
        <w:spacing w:line="249" w:lineRule="auto"/>
        <w:ind w:left="470" w:right="500"/>
      </w:pPr>
      <w:r>
        <w:rPr>
          <w:color w:val="231F20"/>
        </w:rPr>
        <w:t>In addition to historical information, this Quarterly Report on Form 10-Q contains “forward-looking statements” within the meaning of Section 27A of the Securities Act, and Section 21E of the Securities Exchange Act of 1934. Forward-looking statements are identified by words such as “believe,” “anticipate,” “expect,” “intend,” “plan,” “will,” “may,” “estimate,” “appear,”</w:t>
      </w:r>
      <w:r>
        <w:rPr>
          <w:color w:val="231F20"/>
          <w:spacing w:val="-4"/>
        </w:rPr>
        <w:t> </w:t>
      </w:r>
      <w:r>
        <w:rPr>
          <w:color w:val="231F20"/>
        </w:rPr>
        <w:t>“could,”</w:t>
      </w:r>
      <w:r>
        <w:rPr>
          <w:color w:val="231F20"/>
          <w:spacing w:val="-4"/>
        </w:rPr>
        <w:t> </w:t>
      </w:r>
      <w:r>
        <w:rPr>
          <w:color w:val="231F20"/>
        </w:rPr>
        <w:t>“would,”</w:t>
      </w:r>
      <w:r>
        <w:rPr>
          <w:color w:val="231F20"/>
          <w:spacing w:val="-4"/>
        </w:rPr>
        <w:t> </w:t>
      </w:r>
      <w:r>
        <w:rPr>
          <w:color w:val="231F20"/>
        </w:rPr>
        <w:t>“expand,”</w:t>
      </w:r>
      <w:r>
        <w:rPr>
          <w:color w:val="231F20"/>
          <w:spacing w:val="-4"/>
        </w:rPr>
        <w:t> </w:t>
      </w:r>
      <w:r>
        <w:rPr>
          <w:color w:val="231F20"/>
        </w:rPr>
        <w:t>“aim,”</w:t>
      </w:r>
      <w:r>
        <w:rPr>
          <w:color w:val="231F20"/>
          <w:spacing w:val="-4"/>
        </w:rPr>
        <w:t> </w:t>
      </w:r>
      <w:r>
        <w:rPr>
          <w:color w:val="231F20"/>
        </w:rPr>
        <w:t>“maintain,”</w:t>
      </w:r>
      <w:r>
        <w:rPr>
          <w:color w:val="231F20"/>
          <w:spacing w:val="-4"/>
        </w:rPr>
        <w:t> </w:t>
      </w:r>
      <w:r>
        <w:rPr>
          <w:color w:val="231F20"/>
        </w:rPr>
        <w:t>“continue,”</w:t>
      </w:r>
      <w:r>
        <w:rPr>
          <w:color w:val="231F20"/>
          <w:spacing w:val="-4"/>
        </w:rPr>
        <w:t> </w:t>
      </w:r>
      <w:r>
        <w:rPr>
          <w:color w:val="231F20"/>
        </w:rPr>
        <w:t>“seek,”</w:t>
      </w:r>
      <w:r>
        <w:rPr>
          <w:color w:val="231F20"/>
          <w:spacing w:val="-4"/>
        </w:rPr>
        <w:t> </w:t>
      </w:r>
      <w:r>
        <w:rPr>
          <w:color w:val="231F20"/>
        </w:rPr>
        <w:t>and</w:t>
      </w:r>
      <w:r>
        <w:rPr>
          <w:color w:val="231F20"/>
          <w:spacing w:val="-4"/>
        </w:rPr>
        <w:t> </w:t>
      </w:r>
      <w:r>
        <w:rPr>
          <w:color w:val="231F20"/>
        </w:rPr>
        <w:t>other</w:t>
      </w:r>
      <w:r>
        <w:rPr>
          <w:color w:val="231F20"/>
          <w:spacing w:val="-4"/>
        </w:rPr>
        <w:t> </w:t>
      </w:r>
      <w:r>
        <w:rPr>
          <w:color w:val="231F20"/>
        </w:rPr>
        <w:t>similar</w:t>
      </w:r>
      <w:r>
        <w:rPr>
          <w:color w:val="231F20"/>
          <w:spacing w:val="-4"/>
        </w:rPr>
        <w:t> </w:t>
      </w:r>
      <w:r>
        <w:rPr>
          <w:color w:val="231F20"/>
        </w:rPr>
        <w:t>expressions.</w:t>
      </w:r>
      <w:r>
        <w:rPr>
          <w:color w:val="231F20"/>
          <w:spacing w:val="-4"/>
        </w:rPr>
        <w:t> </w:t>
      </w:r>
      <w:r>
        <w:rPr>
          <w:color w:val="231F20"/>
        </w:rPr>
        <w:t>In</w:t>
      </w:r>
      <w:r>
        <w:rPr>
          <w:color w:val="231F20"/>
          <w:spacing w:val="-4"/>
        </w:rPr>
        <w:t> </w:t>
      </w:r>
      <w:r>
        <w:rPr>
          <w:color w:val="231F20"/>
        </w:rPr>
        <w:t>addition,</w:t>
      </w:r>
      <w:r>
        <w:rPr>
          <w:color w:val="231F20"/>
          <w:spacing w:val="-4"/>
        </w:rPr>
        <w:t> </w:t>
      </w:r>
      <w:r>
        <w:rPr>
          <w:color w:val="231F20"/>
        </w:rPr>
        <w:t>any statements that refer to expectations, projections, or other characterizations of future events or circumstances are forward- looking statements.</w:t>
      </w:r>
    </w:p>
    <w:p>
      <w:pPr>
        <w:pStyle w:val="BodyText"/>
        <w:spacing w:before="14"/>
      </w:pPr>
    </w:p>
    <w:p>
      <w:pPr>
        <w:pStyle w:val="BodyText"/>
        <w:spacing w:line="249" w:lineRule="auto" w:before="1"/>
        <w:ind w:left="470" w:right="500"/>
      </w:pPr>
      <w:r>
        <w:rPr>
          <w:color w:val="231F20"/>
        </w:rPr>
        <w:t>These</w:t>
      </w:r>
      <w:r>
        <w:rPr>
          <w:color w:val="231F20"/>
          <w:spacing w:val="-2"/>
        </w:rPr>
        <w:t> </w:t>
      </w:r>
      <w:r>
        <w:rPr>
          <w:color w:val="231F20"/>
        </w:rPr>
        <w:t>forward-looking</w:t>
      </w:r>
      <w:r>
        <w:rPr>
          <w:color w:val="231F20"/>
          <w:spacing w:val="-2"/>
        </w:rPr>
        <w:t> </w:t>
      </w:r>
      <w:r>
        <w:rPr>
          <w:color w:val="231F20"/>
        </w:rPr>
        <w:t>statements,</w:t>
      </w:r>
      <w:r>
        <w:rPr>
          <w:color w:val="231F20"/>
          <w:spacing w:val="-2"/>
        </w:rPr>
        <w:t> </w:t>
      </w:r>
      <w:r>
        <w:rPr>
          <w:color w:val="231F20"/>
        </w:rPr>
        <w:t>which</w:t>
      </w:r>
      <w:r>
        <w:rPr>
          <w:color w:val="231F20"/>
          <w:spacing w:val="-2"/>
        </w:rPr>
        <w:t> </w:t>
      </w:r>
      <w:r>
        <w:rPr>
          <w:color w:val="231F20"/>
        </w:rPr>
        <w:t>reflect</w:t>
      </w:r>
      <w:r>
        <w:rPr>
          <w:color w:val="231F20"/>
          <w:spacing w:val="-2"/>
        </w:rPr>
        <w:t> </w:t>
      </w:r>
      <w:r>
        <w:rPr>
          <w:color w:val="231F20"/>
        </w:rPr>
        <w:t>management's</w:t>
      </w:r>
      <w:r>
        <w:rPr>
          <w:color w:val="231F20"/>
          <w:spacing w:val="-2"/>
        </w:rPr>
        <w:t> </w:t>
      </w:r>
      <w:r>
        <w:rPr>
          <w:color w:val="231F20"/>
        </w:rPr>
        <w:t>beliefs,</w:t>
      </w:r>
      <w:r>
        <w:rPr>
          <w:color w:val="231F20"/>
          <w:spacing w:val="-2"/>
        </w:rPr>
        <w:t> </w:t>
      </w:r>
      <w:r>
        <w:rPr>
          <w:color w:val="231F20"/>
        </w:rPr>
        <w:t>objectives,</w:t>
      </w:r>
      <w:r>
        <w:rPr>
          <w:color w:val="231F20"/>
          <w:spacing w:val="-2"/>
        </w:rPr>
        <w:t> </w:t>
      </w:r>
      <w:r>
        <w:rPr>
          <w:color w:val="231F20"/>
        </w:rPr>
        <w:t>and</w:t>
      </w:r>
      <w:r>
        <w:rPr>
          <w:color w:val="231F20"/>
          <w:spacing w:val="-2"/>
        </w:rPr>
        <w:t> </w:t>
      </w:r>
      <w:r>
        <w:rPr>
          <w:color w:val="231F20"/>
        </w:rPr>
        <w:t>expectations</w:t>
      </w:r>
      <w:r>
        <w:rPr>
          <w:color w:val="231F20"/>
          <w:spacing w:val="-2"/>
        </w:rPr>
        <w:t> </w:t>
      </w:r>
      <w:r>
        <w:rPr>
          <w:color w:val="231F20"/>
        </w:rPr>
        <w:t>as</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date</w:t>
      </w:r>
      <w:r>
        <w:rPr>
          <w:color w:val="231F20"/>
          <w:spacing w:val="-2"/>
        </w:rPr>
        <w:t> </w:t>
      </w:r>
      <w:r>
        <w:rPr>
          <w:color w:val="231F20"/>
        </w:rPr>
        <w:t>hereof,</w:t>
      </w:r>
      <w:r>
        <w:rPr>
          <w:color w:val="231F20"/>
          <w:spacing w:val="-2"/>
        </w:rPr>
        <w:t> </w:t>
      </w:r>
      <w:r>
        <w:rPr>
          <w:color w:val="231F20"/>
        </w:rPr>
        <w:t>are estimates based on the best judgment of Schwab's senior management. These statements relate to, among other things:</w:t>
      </w:r>
    </w:p>
    <w:p>
      <w:pPr>
        <w:pStyle w:val="BodyText"/>
        <w:spacing w:before="11"/>
      </w:pPr>
    </w:p>
    <w:p>
      <w:pPr>
        <w:pStyle w:val="ListParagraph"/>
        <w:numPr>
          <w:ilvl w:val="0"/>
          <w:numId w:val="2"/>
        </w:numPr>
        <w:tabs>
          <w:tab w:pos="1190" w:val="left" w:leader="none"/>
        </w:tabs>
        <w:spacing w:line="249" w:lineRule="auto" w:before="0" w:after="0"/>
        <w:ind w:left="1190" w:right="751" w:hanging="360"/>
        <w:jc w:val="both"/>
        <w:rPr>
          <w:color w:val="231F20"/>
          <w:sz w:val="20"/>
        </w:rPr>
      </w:pPr>
      <w:r>
        <w:rPr>
          <w:color w:val="231F20"/>
          <w:sz w:val="20"/>
        </w:rPr>
        <w:t>Maximizing</w:t>
      </w:r>
      <w:r>
        <w:rPr>
          <w:color w:val="231F20"/>
          <w:spacing w:val="-4"/>
          <w:sz w:val="20"/>
        </w:rPr>
        <w:t> </w:t>
      </w:r>
      <w:r>
        <w:rPr>
          <w:color w:val="231F20"/>
          <w:sz w:val="20"/>
        </w:rPr>
        <w:t>our</w:t>
      </w:r>
      <w:r>
        <w:rPr>
          <w:color w:val="231F20"/>
          <w:spacing w:val="-4"/>
          <w:sz w:val="20"/>
        </w:rPr>
        <w:t> </w:t>
      </w:r>
      <w:r>
        <w:rPr>
          <w:color w:val="231F20"/>
          <w:sz w:val="20"/>
        </w:rPr>
        <w:t>market</w:t>
      </w:r>
      <w:r>
        <w:rPr>
          <w:color w:val="231F20"/>
          <w:spacing w:val="-4"/>
          <w:sz w:val="20"/>
        </w:rPr>
        <w:t> </w:t>
      </w:r>
      <w:r>
        <w:rPr>
          <w:color w:val="231F20"/>
          <w:sz w:val="20"/>
        </w:rPr>
        <w:t>valuation</w:t>
      </w:r>
      <w:r>
        <w:rPr>
          <w:color w:val="231F20"/>
          <w:spacing w:val="-4"/>
          <w:sz w:val="20"/>
        </w:rPr>
        <w:t> </w:t>
      </w:r>
      <w:r>
        <w:rPr>
          <w:color w:val="231F20"/>
          <w:sz w:val="20"/>
        </w:rPr>
        <w:t>and</w:t>
      </w:r>
      <w:r>
        <w:rPr>
          <w:color w:val="231F20"/>
          <w:spacing w:val="-4"/>
          <w:sz w:val="20"/>
        </w:rPr>
        <w:t> </w:t>
      </w:r>
      <w:r>
        <w:rPr>
          <w:color w:val="231F20"/>
          <w:sz w:val="20"/>
        </w:rPr>
        <w:t>stockholder</w:t>
      </w:r>
      <w:r>
        <w:rPr>
          <w:color w:val="231F20"/>
          <w:spacing w:val="-4"/>
          <w:sz w:val="20"/>
        </w:rPr>
        <w:t> </w:t>
      </w:r>
      <w:r>
        <w:rPr>
          <w:color w:val="231F20"/>
          <w:sz w:val="20"/>
        </w:rPr>
        <w:t>returns</w:t>
      </w:r>
      <w:r>
        <w:rPr>
          <w:color w:val="231F20"/>
          <w:spacing w:val="-4"/>
          <w:sz w:val="20"/>
        </w:rPr>
        <w:t> </w:t>
      </w:r>
      <w:r>
        <w:rPr>
          <w:color w:val="231F20"/>
          <w:sz w:val="20"/>
        </w:rPr>
        <w:t>over</w:t>
      </w:r>
      <w:r>
        <w:rPr>
          <w:color w:val="231F20"/>
          <w:spacing w:val="-4"/>
          <w:sz w:val="20"/>
        </w:rPr>
        <w:t> </w:t>
      </w:r>
      <w:r>
        <w:rPr>
          <w:color w:val="231F20"/>
          <w:sz w:val="20"/>
        </w:rPr>
        <w:t>time;</w:t>
      </w:r>
      <w:r>
        <w:rPr>
          <w:color w:val="231F20"/>
          <w:spacing w:val="-4"/>
          <w:sz w:val="20"/>
        </w:rPr>
        <w:t> </w:t>
      </w:r>
      <w:r>
        <w:rPr>
          <w:color w:val="231F20"/>
          <w:sz w:val="20"/>
        </w:rPr>
        <w:t>our</w:t>
      </w:r>
      <w:r>
        <w:rPr>
          <w:color w:val="231F20"/>
          <w:spacing w:val="-4"/>
          <w:sz w:val="20"/>
        </w:rPr>
        <w:t> </w:t>
      </w:r>
      <w:r>
        <w:rPr>
          <w:color w:val="231F20"/>
          <w:sz w:val="20"/>
        </w:rPr>
        <w:t>belief</w:t>
      </w:r>
      <w:r>
        <w:rPr>
          <w:color w:val="231F20"/>
          <w:spacing w:val="-4"/>
          <w:sz w:val="20"/>
        </w:rPr>
        <w:t> </w:t>
      </w:r>
      <w:r>
        <w:rPr>
          <w:color w:val="231F20"/>
          <w:sz w:val="20"/>
        </w:rPr>
        <w:t>that</w:t>
      </w:r>
      <w:r>
        <w:rPr>
          <w:color w:val="231F20"/>
          <w:spacing w:val="-4"/>
          <w:sz w:val="20"/>
        </w:rPr>
        <w:t> </w:t>
      </w:r>
      <w:r>
        <w:rPr>
          <w:color w:val="231F20"/>
          <w:sz w:val="20"/>
        </w:rPr>
        <w:t>developing</w:t>
      </w:r>
      <w:r>
        <w:rPr>
          <w:color w:val="231F20"/>
          <w:spacing w:val="-4"/>
          <w:sz w:val="20"/>
        </w:rPr>
        <w:t> </w:t>
      </w:r>
      <w:r>
        <w:rPr>
          <w:color w:val="231F20"/>
          <w:sz w:val="20"/>
        </w:rPr>
        <w:t>trusted</w:t>
      </w:r>
      <w:r>
        <w:rPr>
          <w:color w:val="231F20"/>
          <w:spacing w:val="-4"/>
          <w:sz w:val="20"/>
        </w:rPr>
        <w:t> </w:t>
      </w:r>
      <w:r>
        <w:rPr>
          <w:color w:val="231F20"/>
          <w:sz w:val="20"/>
        </w:rPr>
        <w:t>relationships will</w:t>
      </w:r>
      <w:r>
        <w:rPr>
          <w:color w:val="231F20"/>
          <w:spacing w:val="-2"/>
          <w:sz w:val="20"/>
        </w:rPr>
        <w:t> </w:t>
      </w:r>
      <w:r>
        <w:rPr>
          <w:color w:val="231F20"/>
          <w:sz w:val="20"/>
        </w:rPr>
        <w:t>translate</w:t>
      </w:r>
      <w:r>
        <w:rPr>
          <w:color w:val="231F20"/>
          <w:spacing w:val="-2"/>
          <w:sz w:val="20"/>
        </w:rPr>
        <w:t> </w:t>
      </w:r>
      <w:r>
        <w:rPr>
          <w:color w:val="231F20"/>
          <w:sz w:val="20"/>
        </w:rPr>
        <w:t>into</w:t>
      </w:r>
      <w:r>
        <w:rPr>
          <w:color w:val="231F20"/>
          <w:spacing w:val="-2"/>
          <w:sz w:val="20"/>
        </w:rPr>
        <w:t> </w:t>
      </w:r>
      <w:r>
        <w:rPr>
          <w:color w:val="231F20"/>
          <w:sz w:val="20"/>
        </w:rPr>
        <w:t>more</w:t>
      </w:r>
      <w:r>
        <w:rPr>
          <w:color w:val="231F20"/>
          <w:spacing w:val="-2"/>
          <w:sz w:val="20"/>
        </w:rPr>
        <w:t> </w:t>
      </w:r>
      <w:r>
        <w:rPr>
          <w:color w:val="231F20"/>
          <w:sz w:val="20"/>
        </w:rPr>
        <w:t>client</w:t>
      </w:r>
      <w:r>
        <w:rPr>
          <w:color w:val="231F20"/>
          <w:spacing w:val="-2"/>
          <w:sz w:val="20"/>
        </w:rPr>
        <w:t> </w:t>
      </w:r>
      <w:r>
        <w:rPr>
          <w:color w:val="231F20"/>
          <w:sz w:val="20"/>
        </w:rPr>
        <w:t>assets</w:t>
      </w:r>
      <w:r>
        <w:rPr>
          <w:color w:val="231F20"/>
          <w:spacing w:val="-2"/>
          <w:sz w:val="20"/>
        </w:rPr>
        <w:t> </w:t>
      </w:r>
      <w:r>
        <w:rPr>
          <w:color w:val="231F20"/>
          <w:sz w:val="20"/>
        </w:rPr>
        <w:t>which</w:t>
      </w:r>
      <w:r>
        <w:rPr>
          <w:color w:val="231F20"/>
          <w:spacing w:val="-2"/>
          <w:sz w:val="20"/>
        </w:rPr>
        <w:t> </w:t>
      </w:r>
      <w:r>
        <w:rPr>
          <w:color w:val="231F20"/>
          <w:sz w:val="20"/>
        </w:rPr>
        <w:t>drives</w:t>
      </w:r>
      <w:r>
        <w:rPr>
          <w:color w:val="231F20"/>
          <w:spacing w:val="-2"/>
          <w:sz w:val="20"/>
        </w:rPr>
        <w:t> </w:t>
      </w:r>
      <w:r>
        <w:rPr>
          <w:color w:val="231F20"/>
          <w:sz w:val="20"/>
        </w:rPr>
        <w:t>revenue</w:t>
      </w:r>
      <w:r>
        <w:rPr>
          <w:color w:val="231F20"/>
          <w:spacing w:val="-2"/>
          <w:sz w:val="20"/>
        </w:rPr>
        <w:t> </w:t>
      </w:r>
      <w:r>
        <w:rPr>
          <w:color w:val="231F20"/>
          <w:sz w:val="20"/>
        </w:rPr>
        <w:t>and,</w:t>
      </w:r>
      <w:r>
        <w:rPr>
          <w:color w:val="231F20"/>
          <w:spacing w:val="-2"/>
          <w:sz w:val="20"/>
        </w:rPr>
        <w:t> </w:t>
      </w:r>
      <w:r>
        <w:rPr>
          <w:color w:val="231F20"/>
          <w:sz w:val="20"/>
        </w:rPr>
        <w:t>along</w:t>
      </w:r>
      <w:r>
        <w:rPr>
          <w:color w:val="231F20"/>
          <w:spacing w:val="-2"/>
          <w:sz w:val="20"/>
        </w:rPr>
        <w:t> </w:t>
      </w:r>
      <w:r>
        <w:rPr>
          <w:color w:val="231F20"/>
          <w:sz w:val="20"/>
        </w:rPr>
        <w:t>with</w:t>
      </w:r>
      <w:r>
        <w:rPr>
          <w:color w:val="231F20"/>
          <w:spacing w:val="-2"/>
          <w:sz w:val="20"/>
        </w:rPr>
        <w:t> </w:t>
      </w:r>
      <w:r>
        <w:rPr>
          <w:color w:val="231F20"/>
          <w:sz w:val="20"/>
        </w:rPr>
        <w:t>expense</w:t>
      </w:r>
      <w:r>
        <w:rPr>
          <w:color w:val="231F20"/>
          <w:spacing w:val="-2"/>
          <w:sz w:val="20"/>
        </w:rPr>
        <w:t> </w:t>
      </w:r>
      <w:r>
        <w:rPr>
          <w:color w:val="231F20"/>
          <w:sz w:val="20"/>
        </w:rPr>
        <w:t>discipline</w:t>
      </w:r>
      <w:r>
        <w:rPr>
          <w:color w:val="231F20"/>
          <w:spacing w:val="-2"/>
          <w:sz w:val="20"/>
        </w:rPr>
        <w:t> </w:t>
      </w:r>
      <w:r>
        <w:rPr>
          <w:color w:val="231F20"/>
          <w:sz w:val="20"/>
        </w:rPr>
        <w:t>and</w:t>
      </w:r>
      <w:r>
        <w:rPr>
          <w:color w:val="231F20"/>
          <w:spacing w:val="-2"/>
          <w:sz w:val="20"/>
        </w:rPr>
        <w:t> </w:t>
      </w:r>
      <w:r>
        <w:rPr>
          <w:color w:val="231F20"/>
          <w:sz w:val="20"/>
        </w:rPr>
        <w:t>thoughtful</w:t>
      </w:r>
      <w:r>
        <w:rPr>
          <w:color w:val="231F20"/>
          <w:spacing w:val="-2"/>
          <w:sz w:val="20"/>
        </w:rPr>
        <w:t> </w:t>
      </w:r>
      <w:r>
        <w:rPr>
          <w:color w:val="231F20"/>
          <w:sz w:val="20"/>
        </w:rPr>
        <w:t>capital management, generates earnings growth and builds stockholder value (see Introduction in Part I – Item 2);</w:t>
      </w:r>
    </w:p>
    <w:p>
      <w:pPr>
        <w:pStyle w:val="ListParagraph"/>
        <w:numPr>
          <w:ilvl w:val="0"/>
          <w:numId w:val="2"/>
        </w:numPr>
        <w:tabs>
          <w:tab w:pos="1189" w:val="left" w:leader="none"/>
        </w:tabs>
        <w:spacing w:line="249" w:lineRule="auto" w:before="3" w:after="0"/>
        <w:ind w:left="1189" w:right="572" w:hanging="360"/>
        <w:jc w:val="left"/>
        <w:rPr>
          <w:color w:val="231F20"/>
          <w:sz w:val="20"/>
        </w:rPr>
      </w:pPr>
      <w:r>
        <w:rPr>
          <w:color w:val="231F20"/>
          <w:sz w:val="20"/>
        </w:rPr>
        <w:t>Expected</w:t>
      </w:r>
      <w:r>
        <w:rPr>
          <w:color w:val="231F20"/>
          <w:spacing w:val="-4"/>
          <w:sz w:val="20"/>
        </w:rPr>
        <w:t> </w:t>
      </w:r>
      <w:r>
        <w:rPr>
          <w:color w:val="231F20"/>
          <w:sz w:val="20"/>
        </w:rPr>
        <w:t>timing</w:t>
      </w:r>
      <w:r>
        <w:rPr>
          <w:color w:val="231F20"/>
          <w:spacing w:val="-4"/>
          <w:sz w:val="20"/>
        </w:rPr>
        <w:t> </w:t>
      </w:r>
      <w:r>
        <w:rPr>
          <w:color w:val="231F20"/>
          <w:sz w:val="20"/>
        </w:rPr>
        <w:t>for</w:t>
      </w:r>
      <w:r>
        <w:rPr>
          <w:color w:val="231F20"/>
          <w:spacing w:val="-4"/>
          <w:sz w:val="20"/>
        </w:rPr>
        <w:t> </w:t>
      </w:r>
      <w:r>
        <w:rPr>
          <w:color w:val="231F20"/>
          <w:sz w:val="20"/>
        </w:rPr>
        <w:t>the</w:t>
      </w:r>
      <w:r>
        <w:rPr>
          <w:color w:val="231F20"/>
          <w:spacing w:val="-4"/>
          <w:sz w:val="20"/>
        </w:rPr>
        <w:t> </w:t>
      </w:r>
      <w:r>
        <w:rPr>
          <w:color w:val="231F20"/>
          <w:sz w:val="20"/>
        </w:rPr>
        <w:t>TD</w:t>
      </w:r>
      <w:r>
        <w:rPr>
          <w:color w:val="231F20"/>
          <w:spacing w:val="-4"/>
          <w:sz w:val="20"/>
        </w:rPr>
        <w:t> </w:t>
      </w:r>
      <w:r>
        <w:rPr>
          <w:color w:val="231F20"/>
          <w:sz w:val="20"/>
        </w:rPr>
        <w:t>Ameritrade</w:t>
      </w:r>
      <w:r>
        <w:rPr>
          <w:color w:val="231F20"/>
          <w:spacing w:val="-4"/>
          <w:sz w:val="20"/>
        </w:rPr>
        <w:t> </w:t>
      </w:r>
      <w:r>
        <w:rPr>
          <w:color w:val="231F20"/>
          <w:sz w:val="20"/>
        </w:rPr>
        <w:t>client</w:t>
      </w:r>
      <w:r>
        <w:rPr>
          <w:color w:val="231F20"/>
          <w:spacing w:val="-4"/>
          <w:sz w:val="20"/>
        </w:rPr>
        <w:t> </w:t>
      </w:r>
      <w:r>
        <w:rPr>
          <w:color w:val="231F20"/>
          <w:sz w:val="20"/>
        </w:rPr>
        <w:t>transitions;</w:t>
      </w:r>
      <w:r>
        <w:rPr>
          <w:color w:val="231F20"/>
          <w:spacing w:val="-4"/>
          <w:sz w:val="20"/>
        </w:rPr>
        <w:t> </w:t>
      </w:r>
      <w:r>
        <w:rPr>
          <w:color w:val="231F20"/>
          <w:sz w:val="20"/>
        </w:rPr>
        <w:t>deal-related</w:t>
      </w:r>
      <w:r>
        <w:rPr>
          <w:color w:val="231F20"/>
          <w:spacing w:val="-4"/>
          <w:sz w:val="20"/>
        </w:rPr>
        <w:t> </w:t>
      </w:r>
      <w:r>
        <w:rPr>
          <w:color w:val="231F20"/>
          <w:sz w:val="20"/>
        </w:rPr>
        <w:t>asset</w:t>
      </w:r>
      <w:r>
        <w:rPr>
          <w:color w:val="231F20"/>
          <w:spacing w:val="-4"/>
          <w:sz w:val="20"/>
        </w:rPr>
        <w:t> </w:t>
      </w:r>
      <w:r>
        <w:rPr>
          <w:color w:val="231F20"/>
          <w:sz w:val="20"/>
        </w:rPr>
        <w:t>attrition;</w:t>
      </w:r>
      <w:r>
        <w:rPr>
          <w:color w:val="231F20"/>
          <w:spacing w:val="-4"/>
          <w:sz w:val="20"/>
        </w:rPr>
        <w:t> </w:t>
      </w:r>
      <w:r>
        <w:rPr>
          <w:color w:val="231F20"/>
          <w:sz w:val="20"/>
        </w:rPr>
        <w:t>cost</w:t>
      </w:r>
      <w:r>
        <w:rPr>
          <w:color w:val="231F20"/>
          <w:spacing w:val="-4"/>
          <w:sz w:val="20"/>
        </w:rPr>
        <w:t> </w:t>
      </w:r>
      <w:r>
        <w:rPr>
          <w:color w:val="231F20"/>
          <w:sz w:val="20"/>
        </w:rPr>
        <w:t>estimates</w:t>
      </w:r>
      <w:r>
        <w:rPr>
          <w:color w:val="231F20"/>
          <w:spacing w:val="-4"/>
          <w:sz w:val="20"/>
        </w:rPr>
        <w:t> </w:t>
      </w:r>
      <w:r>
        <w:rPr>
          <w:color w:val="231F20"/>
          <w:sz w:val="20"/>
        </w:rPr>
        <w:t>and</w:t>
      </w:r>
      <w:r>
        <w:rPr>
          <w:color w:val="231F20"/>
          <w:spacing w:val="-4"/>
          <w:sz w:val="20"/>
        </w:rPr>
        <w:t> </w:t>
      </w:r>
      <w:r>
        <w:rPr>
          <w:color w:val="231F20"/>
          <w:sz w:val="20"/>
        </w:rPr>
        <w:t>timing</w:t>
      </w:r>
      <w:r>
        <w:rPr>
          <w:color w:val="231F20"/>
          <w:spacing w:val="-4"/>
          <w:sz w:val="20"/>
        </w:rPr>
        <w:t> </w:t>
      </w:r>
      <w:r>
        <w:rPr>
          <w:color w:val="231F20"/>
          <w:sz w:val="20"/>
        </w:rPr>
        <w:t>related to the TD Ameritrade integration, including acquisition and integration-related costs and capital expenditures, cost synergies, and exit and other related costs (see Overview and Exit and Other Related Liabilities in Part I – Item 1 – Financial Information – Notes to Condensed Consolidated Financial Statements (Item 1) – Note 10);</w:t>
      </w:r>
    </w:p>
    <w:p>
      <w:pPr>
        <w:pStyle w:val="ListParagraph"/>
        <w:numPr>
          <w:ilvl w:val="0"/>
          <w:numId w:val="2"/>
        </w:numPr>
        <w:tabs>
          <w:tab w:pos="1189" w:val="left" w:leader="none"/>
        </w:tabs>
        <w:spacing w:line="240" w:lineRule="auto" w:before="3" w:after="0"/>
        <w:ind w:left="1189" w:right="0" w:hanging="360"/>
        <w:jc w:val="left"/>
        <w:rPr>
          <w:color w:val="231F20"/>
          <w:sz w:val="20"/>
        </w:rPr>
      </w:pPr>
      <w:r>
        <w:rPr>
          <w:color w:val="231F20"/>
          <w:sz w:val="20"/>
        </w:rPr>
        <w:t>Investments</w:t>
      </w:r>
      <w:r>
        <w:rPr>
          <w:color w:val="231F20"/>
          <w:spacing w:val="-5"/>
          <w:sz w:val="20"/>
        </w:rPr>
        <w:t> </w:t>
      </w:r>
      <w:r>
        <w:rPr>
          <w:color w:val="231F20"/>
          <w:sz w:val="20"/>
        </w:rPr>
        <w:t>to</w:t>
      </w:r>
      <w:r>
        <w:rPr>
          <w:color w:val="231F20"/>
          <w:spacing w:val="-5"/>
          <w:sz w:val="20"/>
        </w:rPr>
        <w:t> </w:t>
      </w:r>
      <w:r>
        <w:rPr>
          <w:color w:val="231F20"/>
          <w:sz w:val="20"/>
        </w:rPr>
        <w:t>support</w:t>
      </w:r>
      <w:r>
        <w:rPr>
          <w:color w:val="231F20"/>
          <w:spacing w:val="-5"/>
          <w:sz w:val="20"/>
        </w:rPr>
        <w:t> </w:t>
      </w:r>
      <w:r>
        <w:rPr>
          <w:color w:val="231F20"/>
          <w:sz w:val="20"/>
        </w:rPr>
        <w:t>growth</w:t>
      </w:r>
      <w:r>
        <w:rPr>
          <w:color w:val="231F20"/>
          <w:spacing w:val="-5"/>
          <w:sz w:val="20"/>
        </w:rPr>
        <w:t> </w:t>
      </w:r>
      <w:r>
        <w:rPr>
          <w:color w:val="231F20"/>
          <w:sz w:val="20"/>
        </w:rPr>
        <w:t>in</w:t>
      </w:r>
      <w:r>
        <w:rPr>
          <w:color w:val="231F20"/>
          <w:spacing w:val="-5"/>
          <w:sz w:val="20"/>
        </w:rPr>
        <w:t> </w:t>
      </w:r>
      <w:r>
        <w:rPr>
          <w:color w:val="231F20"/>
          <w:sz w:val="20"/>
        </w:rPr>
        <w:t>our</w:t>
      </w:r>
      <w:r>
        <w:rPr>
          <w:color w:val="231F20"/>
          <w:spacing w:val="-5"/>
          <w:sz w:val="20"/>
        </w:rPr>
        <w:t> </w:t>
      </w:r>
      <w:r>
        <w:rPr>
          <w:color w:val="231F20"/>
          <w:sz w:val="20"/>
        </w:rPr>
        <w:t>client</w:t>
      </w:r>
      <w:r>
        <w:rPr>
          <w:color w:val="231F20"/>
          <w:spacing w:val="-5"/>
          <w:sz w:val="20"/>
        </w:rPr>
        <w:t> </w:t>
      </w:r>
      <w:r>
        <w:rPr>
          <w:color w:val="231F20"/>
          <w:sz w:val="20"/>
        </w:rPr>
        <w:t>base</w:t>
      </w:r>
      <w:r>
        <w:rPr>
          <w:color w:val="231F20"/>
          <w:spacing w:val="-5"/>
          <w:sz w:val="20"/>
        </w:rPr>
        <w:t> </w:t>
      </w:r>
      <w:r>
        <w:rPr>
          <w:color w:val="231F20"/>
          <w:sz w:val="20"/>
        </w:rPr>
        <w:t>(see</w:t>
      </w:r>
      <w:r>
        <w:rPr>
          <w:color w:val="231F20"/>
          <w:spacing w:val="-5"/>
          <w:sz w:val="20"/>
        </w:rPr>
        <w:t> </w:t>
      </w:r>
      <w:r>
        <w:rPr>
          <w:color w:val="231F20"/>
          <w:spacing w:val="-2"/>
          <w:sz w:val="20"/>
        </w:rPr>
        <w:t>Overview);</w:t>
      </w:r>
    </w:p>
    <w:p>
      <w:pPr>
        <w:pStyle w:val="ListParagraph"/>
        <w:numPr>
          <w:ilvl w:val="0"/>
          <w:numId w:val="2"/>
        </w:numPr>
        <w:tabs>
          <w:tab w:pos="1189" w:val="left" w:leader="none"/>
        </w:tabs>
        <w:spacing w:line="249" w:lineRule="auto" w:before="10" w:after="0"/>
        <w:ind w:left="1189" w:right="747" w:hanging="360"/>
        <w:jc w:val="left"/>
        <w:rPr>
          <w:color w:val="231F20"/>
          <w:sz w:val="20"/>
        </w:rPr>
      </w:pPr>
      <w:r>
        <w:rPr>
          <w:color w:val="231F20"/>
          <w:sz w:val="20"/>
        </w:rPr>
        <w:t>Our</w:t>
      </w:r>
      <w:r>
        <w:rPr>
          <w:color w:val="231F20"/>
          <w:spacing w:val="-3"/>
          <w:sz w:val="20"/>
        </w:rPr>
        <w:t> </w:t>
      </w:r>
      <w:r>
        <w:rPr>
          <w:color w:val="231F20"/>
          <w:sz w:val="20"/>
        </w:rPr>
        <w:t>actions</w:t>
      </w:r>
      <w:r>
        <w:rPr>
          <w:color w:val="231F20"/>
          <w:spacing w:val="-3"/>
          <w:sz w:val="20"/>
        </w:rPr>
        <w:t> </w:t>
      </w:r>
      <w:r>
        <w:rPr>
          <w:color w:val="231F20"/>
          <w:sz w:val="20"/>
        </w:rPr>
        <w:t>to</w:t>
      </w:r>
      <w:r>
        <w:rPr>
          <w:color w:val="231F20"/>
          <w:spacing w:val="-3"/>
          <w:sz w:val="20"/>
        </w:rPr>
        <w:t> </w:t>
      </w:r>
      <w:r>
        <w:rPr>
          <w:color w:val="231F20"/>
          <w:sz w:val="20"/>
        </w:rPr>
        <w:t>streamline</w:t>
      </w:r>
      <w:r>
        <w:rPr>
          <w:color w:val="231F20"/>
          <w:spacing w:val="-3"/>
          <w:sz w:val="20"/>
        </w:rPr>
        <w:t> </w:t>
      </w:r>
      <w:r>
        <w:rPr>
          <w:color w:val="231F20"/>
          <w:sz w:val="20"/>
        </w:rPr>
        <w:t>our</w:t>
      </w:r>
      <w:r>
        <w:rPr>
          <w:color w:val="231F20"/>
          <w:spacing w:val="-3"/>
          <w:sz w:val="20"/>
        </w:rPr>
        <w:t> </w:t>
      </w:r>
      <w:r>
        <w:rPr>
          <w:color w:val="231F20"/>
          <w:sz w:val="20"/>
        </w:rPr>
        <w:t>operations</w:t>
      </w:r>
      <w:r>
        <w:rPr>
          <w:color w:val="231F20"/>
          <w:spacing w:val="-3"/>
          <w:sz w:val="20"/>
        </w:rPr>
        <w:t> </w:t>
      </w:r>
      <w:r>
        <w:rPr>
          <w:color w:val="231F20"/>
          <w:sz w:val="20"/>
        </w:rPr>
        <w:t>and</w:t>
      </w:r>
      <w:r>
        <w:rPr>
          <w:color w:val="231F20"/>
          <w:spacing w:val="-3"/>
          <w:sz w:val="20"/>
        </w:rPr>
        <w:t> </w:t>
      </w:r>
      <w:r>
        <w:rPr>
          <w:color w:val="231F20"/>
          <w:sz w:val="20"/>
        </w:rPr>
        <w:t>expectation</w:t>
      </w:r>
      <w:r>
        <w:rPr>
          <w:color w:val="231F20"/>
          <w:spacing w:val="-3"/>
          <w:sz w:val="20"/>
        </w:rPr>
        <w:t> </w:t>
      </w:r>
      <w:r>
        <w:rPr>
          <w:color w:val="231F20"/>
          <w:sz w:val="20"/>
        </w:rPr>
        <w:t>to</w:t>
      </w:r>
      <w:r>
        <w:rPr>
          <w:color w:val="231F20"/>
          <w:spacing w:val="-3"/>
          <w:sz w:val="20"/>
        </w:rPr>
        <w:t> </w:t>
      </w:r>
      <w:r>
        <w:rPr>
          <w:color w:val="231F20"/>
          <w:sz w:val="20"/>
        </w:rPr>
        <w:t>realize</w:t>
      </w:r>
      <w:r>
        <w:rPr>
          <w:color w:val="231F20"/>
          <w:spacing w:val="-3"/>
          <w:sz w:val="20"/>
        </w:rPr>
        <w:t> </w:t>
      </w:r>
      <w:r>
        <w:rPr>
          <w:color w:val="231F20"/>
          <w:sz w:val="20"/>
        </w:rPr>
        <w:t>at</w:t>
      </w:r>
      <w:r>
        <w:rPr>
          <w:color w:val="231F20"/>
          <w:spacing w:val="-3"/>
          <w:sz w:val="20"/>
        </w:rPr>
        <w:t> </w:t>
      </w:r>
      <w:r>
        <w:rPr>
          <w:color w:val="231F20"/>
          <w:sz w:val="20"/>
        </w:rPr>
        <w:t>least</w:t>
      </w:r>
      <w:r>
        <w:rPr>
          <w:color w:val="231F20"/>
          <w:spacing w:val="-3"/>
          <w:sz w:val="20"/>
        </w:rPr>
        <w:t> </w:t>
      </w:r>
      <w:r>
        <w:rPr>
          <w:color w:val="231F20"/>
          <w:sz w:val="20"/>
        </w:rPr>
        <w:t>$500</w:t>
      </w:r>
      <w:r>
        <w:rPr>
          <w:color w:val="231F20"/>
          <w:spacing w:val="-3"/>
          <w:sz w:val="20"/>
        </w:rPr>
        <w:t> </w:t>
      </w:r>
      <w:r>
        <w:rPr>
          <w:color w:val="231F20"/>
          <w:sz w:val="20"/>
        </w:rPr>
        <w:t>million</w:t>
      </w:r>
      <w:r>
        <w:rPr>
          <w:color w:val="231F20"/>
          <w:spacing w:val="-3"/>
          <w:sz w:val="20"/>
        </w:rPr>
        <w:t> </w:t>
      </w:r>
      <w:r>
        <w:rPr>
          <w:color w:val="231F20"/>
          <w:sz w:val="20"/>
        </w:rPr>
        <w:t>of</w:t>
      </w:r>
      <w:r>
        <w:rPr>
          <w:color w:val="231F20"/>
          <w:spacing w:val="-3"/>
          <w:sz w:val="20"/>
        </w:rPr>
        <w:t> </w:t>
      </w:r>
      <w:r>
        <w:rPr>
          <w:color w:val="231F20"/>
          <w:sz w:val="20"/>
        </w:rPr>
        <w:t>incremental</w:t>
      </w:r>
      <w:r>
        <w:rPr>
          <w:color w:val="231F20"/>
          <w:spacing w:val="-3"/>
          <w:sz w:val="20"/>
        </w:rPr>
        <w:t> </w:t>
      </w:r>
      <w:r>
        <w:rPr>
          <w:color w:val="231F20"/>
          <w:sz w:val="20"/>
        </w:rPr>
        <w:t>run-rate</w:t>
      </w:r>
      <w:r>
        <w:rPr>
          <w:color w:val="231F20"/>
          <w:spacing w:val="-3"/>
          <w:sz w:val="20"/>
        </w:rPr>
        <w:t> </w:t>
      </w:r>
      <w:r>
        <w:rPr>
          <w:color w:val="231F20"/>
          <w:sz w:val="20"/>
        </w:rPr>
        <w:t>cost savings and the timing and amount of associated exit and related costs that we will incur (see Overview, Results of Operations, and Exit and Other Related Liabilities in Item 1 – Note 10);</w:t>
      </w:r>
    </w:p>
    <w:p>
      <w:pPr>
        <w:pStyle w:val="ListParagraph"/>
        <w:numPr>
          <w:ilvl w:val="0"/>
          <w:numId w:val="2"/>
        </w:numPr>
        <w:tabs>
          <w:tab w:pos="1189" w:val="left" w:leader="none"/>
        </w:tabs>
        <w:spacing w:line="240" w:lineRule="auto" w:before="3" w:after="0"/>
        <w:ind w:left="1189" w:right="0" w:hanging="360"/>
        <w:jc w:val="left"/>
        <w:rPr>
          <w:color w:val="231F20"/>
          <w:sz w:val="20"/>
        </w:rPr>
      </w:pPr>
      <w:r>
        <w:rPr>
          <w:color w:val="231F20"/>
          <w:sz w:val="20"/>
        </w:rPr>
        <w:t>The</w:t>
      </w:r>
      <w:r>
        <w:rPr>
          <w:color w:val="231F20"/>
          <w:spacing w:val="-6"/>
          <w:sz w:val="20"/>
        </w:rPr>
        <w:t> </w:t>
      </w:r>
      <w:r>
        <w:rPr>
          <w:color w:val="231F20"/>
          <w:sz w:val="20"/>
        </w:rPr>
        <w:t>expected</w:t>
      </w:r>
      <w:r>
        <w:rPr>
          <w:color w:val="231F20"/>
          <w:spacing w:val="-5"/>
          <w:sz w:val="20"/>
        </w:rPr>
        <w:t> </w:t>
      </w:r>
      <w:r>
        <w:rPr>
          <w:color w:val="231F20"/>
          <w:sz w:val="20"/>
        </w:rPr>
        <w:t>impact</w:t>
      </w:r>
      <w:r>
        <w:rPr>
          <w:color w:val="231F20"/>
          <w:spacing w:val="-6"/>
          <w:sz w:val="20"/>
        </w:rPr>
        <w:t> </w:t>
      </w:r>
      <w:r>
        <w:rPr>
          <w:color w:val="231F20"/>
          <w:sz w:val="20"/>
        </w:rPr>
        <w:t>of</w:t>
      </w:r>
      <w:r>
        <w:rPr>
          <w:color w:val="231F20"/>
          <w:spacing w:val="-5"/>
          <w:sz w:val="20"/>
        </w:rPr>
        <w:t> </w:t>
      </w:r>
      <w:r>
        <w:rPr>
          <w:color w:val="231F20"/>
          <w:sz w:val="20"/>
        </w:rPr>
        <w:t>proposed</w:t>
      </w:r>
      <w:r>
        <w:rPr>
          <w:color w:val="231F20"/>
          <w:spacing w:val="-5"/>
          <w:sz w:val="20"/>
        </w:rPr>
        <w:t> </w:t>
      </w:r>
      <w:r>
        <w:rPr>
          <w:color w:val="231F20"/>
          <w:sz w:val="20"/>
        </w:rPr>
        <w:t>and</w:t>
      </w:r>
      <w:r>
        <w:rPr>
          <w:color w:val="231F20"/>
          <w:spacing w:val="-6"/>
          <w:sz w:val="20"/>
        </w:rPr>
        <w:t> </w:t>
      </w:r>
      <w:r>
        <w:rPr>
          <w:color w:val="231F20"/>
          <w:sz w:val="20"/>
        </w:rPr>
        <w:t>final</w:t>
      </w:r>
      <w:r>
        <w:rPr>
          <w:color w:val="231F20"/>
          <w:spacing w:val="-5"/>
          <w:sz w:val="20"/>
        </w:rPr>
        <w:t> </w:t>
      </w:r>
      <w:r>
        <w:rPr>
          <w:color w:val="231F20"/>
          <w:sz w:val="20"/>
        </w:rPr>
        <w:t>rules</w:t>
      </w:r>
      <w:r>
        <w:rPr>
          <w:color w:val="231F20"/>
          <w:spacing w:val="-6"/>
          <w:sz w:val="20"/>
        </w:rPr>
        <w:t> </w:t>
      </w:r>
      <w:r>
        <w:rPr>
          <w:color w:val="231F20"/>
          <w:sz w:val="20"/>
        </w:rPr>
        <w:t>(see</w:t>
      </w:r>
      <w:r>
        <w:rPr>
          <w:color w:val="231F20"/>
          <w:spacing w:val="-5"/>
          <w:sz w:val="20"/>
        </w:rPr>
        <w:t> </w:t>
      </w:r>
      <w:r>
        <w:rPr>
          <w:color w:val="231F20"/>
          <w:sz w:val="20"/>
        </w:rPr>
        <w:t>Current</w:t>
      </w:r>
      <w:r>
        <w:rPr>
          <w:color w:val="231F20"/>
          <w:spacing w:val="-5"/>
          <w:sz w:val="20"/>
        </w:rPr>
        <w:t> </w:t>
      </w:r>
      <w:r>
        <w:rPr>
          <w:color w:val="231F20"/>
          <w:sz w:val="20"/>
        </w:rPr>
        <w:t>Regulatory</w:t>
      </w:r>
      <w:r>
        <w:rPr>
          <w:color w:val="231F20"/>
          <w:spacing w:val="-6"/>
          <w:sz w:val="20"/>
        </w:rPr>
        <w:t> </w:t>
      </w:r>
      <w:r>
        <w:rPr>
          <w:color w:val="231F20"/>
          <w:sz w:val="20"/>
        </w:rPr>
        <w:t>and</w:t>
      </w:r>
      <w:r>
        <w:rPr>
          <w:color w:val="231F20"/>
          <w:spacing w:val="-5"/>
          <w:sz w:val="20"/>
        </w:rPr>
        <w:t> </w:t>
      </w:r>
      <w:r>
        <w:rPr>
          <w:color w:val="231F20"/>
          <w:sz w:val="20"/>
        </w:rPr>
        <w:t>Other</w:t>
      </w:r>
      <w:r>
        <w:rPr>
          <w:color w:val="231F20"/>
          <w:spacing w:val="-5"/>
          <w:sz w:val="20"/>
        </w:rPr>
        <w:t> </w:t>
      </w:r>
      <w:r>
        <w:rPr>
          <w:color w:val="231F20"/>
          <w:spacing w:val="-2"/>
          <w:sz w:val="20"/>
        </w:rPr>
        <w:t>Developments);</w:t>
      </w:r>
    </w:p>
    <w:p>
      <w:pPr>
        <w:pStyle w:val="ListParagraph"/>
        <w:numPr>
          <w:ilvl w:val="0"/>
          <w:numId w:val="2"/>
        </w:numPr>
        <w:tabs>
          <w:tab w:pos="1190" w:val="left" w:leader="none"/>
        </w:tabs>
        <w:spacing w:line="249" w:lineRule="auto" w:before="10" w:after="0"/>
        <w:ind w:left="1190" w:right="509" w:hanging="360"/>
        <w:jc w:val="left"/>
        <w:rPr>
          <w:color w:val="231F20"/>
          <w:sz w:val="20"/>
        </w:rPr>
      </w:pPr>
      <w:r>
        <w:rPr>
          <w:color w:val="231F20"/>
          <w:sz w:val="20"/>
        </w:rPr>
        <w:t>The</w:t>
      </w:r>
      <w:r>
        <w:rPr>
          <w:color w:val="231F20"/>
          <w:spacing w:val="-3"/>
          <w:sz w:val="20"/>
        </w:rPr>
        <w:t> </w:t>
      </w:r>
      <w:r>
        <w:rPr>
          <w:color w:val="231F20"/>
          <w:sz w:val="20"/>
        </w:rPr>
        <w:t>adjustment</w:t>
      </w:r>
      <w:r>
        <w:rPr>
          <w:color w:val="231F20"/>
          <w:spacing w:val="-3"/>
          <w:sz w:val="20"/>
        </w:rPr>
        <w:t> </w:t>
      </w:r>
      <w:r>
        <w:rPr>
          <w:color w:val="231F20"/>
          <w:sz w:val="20"/>
        </w:rPr>
        <w:t>of</w:t>
      </w:r>
      <w:r>
        <w:rPr>
          <w:color w:val="231F20"/>
          <w:spacing w:val="-3"/>
          <w:sz w:val="20"/>
        </w:rPr>
        <w:t> </w:t>
      </w:r>
      <w:r>
        <w:rPr>
          <w:color w:val="231F20"/>
          <w:sz w:val="20"/>
        </w:rPr>
        <w:t>rates</w:t>
      </w:r>
      <w:r>
        <w:rPr>
          <w:color w:val="231F20"/>
          <w:spacing w:val="-3"/>
          <w:sz w:val="20"/>
        </w:rPr>
        <w:t> </w:t>
      </w:r>
      <w:r>
        <w:rPr>
          <w:color w:val="231F20"/>
          <w:sz w:val="20"/>
        </w:rPr>
        <w:t>paid</w:t>
      </w:r>
      <w:r>
        <w:rPr>
          <w:color w:val="231F20"/>
          <w:spacing w:val="-3"/>
          <w:sz w:val="20"/>
        </w:rPr>
        <w:t> </w:t>
      </w:r>
      <w:r>
        <w:rPr>
          <w:color w:val="231F20"/>
          <w:sz w:val="20"/>
        </w:rPr>
        <w:t>on</w:t>
      </w:r>
      <w:r>
        <w:rPr>
          <w:color w:val="231F20"/>
          <w:spacing w:val="-3"/>
          <w:sz w:val="20"/>
        </w:rPr>
        <w:t> </w:t>
      </w:r>
      <w:r>
        <w:rPr>
          <w:color w:val="231F20"/>
          <w:sz w:val="20"/>
        </w:rPr>
        <w:t>client-related</w:t>
      </w:r>
      <w:r>
        <w:rPr>
          <w:color w:val="231F20"/>
          <w:spacing w:val="-3"/>
          <w:sz w:val="20"/>
        </w:rPr>
        <w:t> </w:t>
      </w:r>
      <w:r>
        <w:rPr>
          <w:color w:val="231F20"/>
          <w:sz w:val="20"/>
        </w:rPr>
        <w:t>liabilities;</w:t>
      </w:r>
      <w:r>
        <w:rPr>
          <w:color w:val="231F20"/>
          <w:spacing w:val="-3"/>
          <w:sz w:val="20"/>
        </w:rPr>
        <w:t> </w:t>
      </w:r>
      <w:r>
        <w:rPr>
          <w:color w:val="231F20"/>
          <w:sz w:val="20"/>
        </w:rPr>
        <w:t>outstanding</w:t>
      </w:r>
      <w:r>
        <w:rPr>
          <w:color w:val="231F20"/>
          <w:spacing w:val="-3"/>
          <w:sz w:val="20"/>
        </w:rPr>
        <w:t> </w:t>
      </w:r>
      <w:r>
        <w:rPr>
          <w:color w:val="231F20"/>
          <w:sz w:val="20"/>
        </w:rPr>
        <w:t>balances</w:t>
      </w:r>
      <w:r>
        <w:rPr>
          <w:color w:val="231F20"/>
          <w:spacing w:val="-3"/>
          <w:sz w:val="20"/>
        </w:rPr>
        <w:t> </w:t>
      </w:r>
      <w:r>
        <w:rPr>
          <w:color w:val="231F20"/>
          <w:sz w:val="20"/>
        </w:rPr>
        <w:t>and</w:t>
      </w:r>
      <w:r>
        <w:rPr>
          <w:color w:val="231F20"/>
          <w:spacing w:val="-3"/>
          <w:sz w:val="20"/>
        </w:rPr>
        <w:t> </w:t>
      </w:r>
      <w:r>
        <w:rPr>
          <w:color w:val="231F20"/>
          <w:sz w:val="20"/>
        </w:rPr>
        <w:t>the</w:t>
      </w:r>
      <w:r>
        <w:rPr>
          <w:color w:val="231F20"/>
          <w:spacing w:val="-3"/>
          <w:sz w:val="20"/>
        </w:rPr>
        <w:t> </w:t>
      </w:r>
      <w:r>
        <w:rPr>
          <w:color w:val="231F20"/>
          <w:sz w:val="20"/>
        </w:rPr>
        <w:t>use</w:t>
      </w:r>
      <w:r>
        <w:rPr>
          <w:color w:val="231F20"/>
          <w:spacing w:val="-3"/>
          <w:sz w:val="20"/>
        </w:rPr>
        <w:t> </w:t>
      </w:r>
      <w:r>
        <w:rPr>
          <w:color w:val="231F20"/>
          <w:sz w:val="20"/>
        </w:rPr>
        <w:t>of</w:t>
      </w:r>
      <w:r>
        <w:rPr>
          <w:color w:val="231F20"/>
          <w:spacing w:val="-3"/>
          <w:sz w:val="20"/>
        </w:rPr>
        <w:t> </w:t>
      </w:r>
      <w:r>
        <w:rPr>
          <w:color w:val="231F20"/>
          <w:sz w:val="20"/>
        </w:rPr>
        <w:t>supplemental</w:t>
      </w:r>
      <w:r>
        <w:rPr>
          <w:color w:val="231F20"/>
          <w:spacing w:val="-3"/>
          <w:sz w:val="20"/>
        </w:rPr>
        <w:t> </w:t>
      </w:r>
      <w:r>
        <w:rPr>
          <w:color w:val="231F20"/>
          <w:sz w:val="20"/>
        </w:rPr>
        <w:t>funding;</w:t>
      </w:r>
      <w:r>
        <w:rPr>
          <w:color w:val="231F20"/>
          <w:spacing w:val="-3"/>
          <w:sz w:val="20"/>
        </w:rPr>
        <w:t> </w:t>
      </w:r>
      <w:r>
        <w:rPr>
          <w:color w:val="231F20"/>
          <w:sz w:val="20"/>
        </w:rPr>
        <w:t>net interest revenue (see Results of Operations);</w:t>
      </w:r>
    </w:p>
    <w:p>
      <w:pPr>
        <w:pStyle w:val="ListParagraph"/>
        <w:numPr>
          <w:ilvl w:val="0"/>
          <w:numId w:val="2"/>
        </w:numPr>
        <w:tabs>
          <w:tab w:pos="1189" w:val="left" w:leader="none"/>
        </w:tabs>
        <w:spacing w:line="240" w:lineRule="auto" w:before="1" w:after="0"/>
        <w:ind w:left="1189" w:right="0" w:hanging="359"/>
        <w:jc w:val="left"/>
        <w:rPr>
          <w:color w:val="231F20"/>
          <w:sz w:val="20"/>
        </w:rPr>
      </w:pPr>
      <w:r>
        <w:rPr>
          <w:color w:val="231F20"/>
          <w:sz w:val="20"/>
        </w:rPr>
        <w:t>Capital</w:t>
      </w:r>
      <w:r>
        <w:rPr>
          <w:color w:val="231F20"/>
          <w:spacing w:val="-7"/>
          <w:sz w:val="20"/>
        </w:rPr>
        <w:t> </w:t>
      </w:r>
      <w:r>
        <w:rPr>
          <w:color w:val="231F20"/>
          <w:sz w:val="20"/>
        </w:rPr>
        <w:t>expenditures</w:t>
      </w:r>
      <w:r>
        <w:rPr>
          <w:color w:val="231F20"/>
          <w:spacing w:val="-6"/>
          <w:sz w:val="20"/>
        </w:rPr>
        <w:t> </w:t>
      </w:r>
      <w:r>
        <w:rPr>
          <w:color w:val="231F20"/>
          <w:sz w:val="20"/>
        </w:rPr>
        <w:t>(see</w:t>
      </w:r>
      <w:r>
        <w:rPr>
          <w:color w:val="231F20"/>
          <w:spacing w:val="-7"/>
          <w:sz w:val="20"/>
        </w:rPr>
        <w:t> </w:t>
      </w:r>
      <w:r>
        <w:rPr>
          <w:color w:val="231F20"/>
          <w:sz w:val="20"/>
        </w:rPr>
        <w:t>Results</w:t>
      </w:r>
      <w:r>
        <w:rPr>
          <w:color w:val="231F20"/>
          <w:spacing w:val="-6"/>
          <w:sz w:val="20"/>
        </w:rPr>
        <w:t> </w:t>
      </w:r>
      <w:r>
        <w:rPr>
          <w:color w:val="231F20"/>
          <w:sz w:val="20"/>
        </w:rPr>
        <w:t>of</w:t>
      </w:r>
      <w:r>
        <w:rPr>
          <w:color w:val="231F20"/>
          <w:spacing w:val="-6"/>
          <w:sz w:val="20"/>
        </w:rPr>
        <w:t> </w:t>
      </w:r>
      <w:r>
        <w:rPr>
          <w:color w:val="231F20"/>
          <w:spacing w:val="-2"/>
          <w:sz w:val="20"/>
        </w:rPr>
        <w:t>Operations);</w:t>
      </w:r>
    </w:p>
    <w:p>
      <w:pPr>
        <w:pStyle w:val="ListParagraph"/>
        <w:numPr>
          <w:ilvl w:val="0"/>
          <w:numId w:val="2"/>
        </w:numPr>
        <w:tabs>
          <w:tab w:pos="1190" w:val="left" w:leader="none"/>
        </w:tabs>
        <w:spacing w:line="232" w:lineRule="auto" w:before="16" w:after="0"/>
        <w:ind w:left="1190" w:right="981" w:hanging="360"/>
        <w:jc w:val="left"/>
        <w:rPr>
          <w:color w:val="231F20"/>
          <w:sz w:val="20"/>
        </w:rPr>
      </w:pPr>
      <w:r>
        <w:rPr>
          <w:color w:val="231F20"/>
          <w:sz w:val="20"/>
        </w:rPr>
        <w:t>Management</w:t>
      </w:r>
      <w:r>
        <w:rPr>
          <w:color w:val="231F20"/>
          <w:spacing w:val="-3"/>
          <w:sz w:val="20"/>
        </w:rPr>
        <w:t> </w:t>
      </w:r>
      <w:r>
        <w:rPr>
          <w:color w:val="231F20"/>
          <w:sz w:val="20"/>
        </w:rPr>
        <w:t>of</w:t>
      </w:r>
      <w:r>
        <w:rPr>
          <w:color w:val="231F20"/>
          <w:spacing w:val="-3"/>
          <w:sz w:val="20"/>
        </w:rPr>
        <w:t> </w:t>
      </w:r>
      <w:r>
        <w:rPr>
          <w:color w:val="231F20"/>
          <w:sz w:val="20"/>
        </w:rPr>
        <w:t>interest</w:t>
      </w:r>
      <w:r>
        <w:rPr>
          <w:color w:val="231F20"/>
          <w:spacing w:val="-3"/>
          <w:sz w:val="20"/>
        </w:rPr>
        <w:t> </w:t>
      </w:r>
      <w:r>
        <w:rPr>
          <w:color w:val="231F20"/>
          <w:sz w:val="20"/>
        </w:rPr>
        <w:t>rate</w:t>
      </w:r>
      <w:r>
        <w:rPr>
          <w:color w:val="231F20"/>
          <w:spacing w:val="-3"/>
          <w:sz w:val="20"/>
        </w:rPr>
        <w:t> </w:t>
      </w:r>
      <w:r>
        <w:rPr>
          <w:color w:val="231F20"/>
          <w:sz w:val="20"/>
        </w:rPr>
        <w:t>risk;</w:t>
      </w:r>
      <w:r>
        <w:rPr>
          <w:color w:val="231F20"/>
          <w:spacing w:val="-3"/>
          <w:sz w:val="20"/>
        </w:rPr>
        <w:t> </w:t>
      </w:r>
      <w:r>
        <w:rPr>
          <w:color w:val="231F20"/>
          <w:sz w:val="20"/>
        </w:rPr>
        <w:t>the</w:t>
      </w:r>
      <w:r>
        <w:rPr>
          <w:color w:val="231F20"/>
          <w:spacing w:val="-3"/>
          <w:sz w:val="20"/>
        </w:rPr>
        <w:t> </w:t>
      </w:r>
      <w:r>
        <w:rPr>
          <w:color w:val="231F20"/>
          <w:sz w:val="20"/>
        </w:rPr>
        <w:t>impact</w:t>
      </w:r>
      <w:r>
        <w:rPr>
          <w:color w:val="231F20"/>
          <w:spacing w:val="-3"/>
          <w:sz w:val="20"/>
        </w:rPr>
        <w:t> </w:t>
      </w:r>
      <w:r>
        <w:rPr>
          <w:color w:val="231F20"/>
          <w:sz w:val="20"/>
        </w:rPr>
        <w:t>of</w:t>
      </w:r>
      <w:r>
        <w:rPr>
          <w:color w:val="231F20"/>
          <w:spacing w:val="-3"/>
          <w:sz w:val="20"/>
        </w:rPr>
        <w:t> </w:t>
      </w:r>
      <w:r>
        <w:rPr>
          <w:color w:val="231F20"/>
          <w:sz w:val="20"/>
        </w:rPr>
        <w:t>changes</w:t>
      </w:r>
      <w:r>
        <w:rPr>
          <w:color w:val="231F20"/>
          <w:spacing w:val="-3"/>
          <w:sz w:val="20"/>
        </w:rPr>
        <w:t> </w:t>
      </w:r>
      <w:r>
        <w:rPr>
          <w:color w:val="231F20"/>
          <w:sz w:val="20"/>
        </w:rPr>
        <w:t>in</w:t>
      </w:r>
      <w:r>
        <w:rPr>
          <w:color w:val="231F20"/>
          <w:spacing w:val="-3"/>
          <w:sz w:val="20"/>
        </w:rPr>
        <w:t> </w:t>
      </w:r>
      <w:r>
        <w:rPr>
          <w:color w:val="231F20"/>
          <w:sz w:val="20"/>
        </w:rPr>
        <w:t>interest</w:t>
      </w:r>
      <w:r>
        <w:rPr>
          <w:color w:val="231F20"/>
          <w:spacing w:val="-3"/>
          <w:sz w:val="20"/>
        </w:rPr>
        <w:t> </w:t>
      </w:r>
      <w:r>
        <w:rPr>
          <w:color w:val="231F20"/>
          <w:sz w:val="20"/>
        </w:rPr>
        <w:t>rates</w:t>
      </w:r>
      <w:r>
        <w:rPr>
          <w:color w:val="231F20"/>
          <w:spacing w:val="-3"/>
          <w:sz w:val="20"/>
        </w:rPr>
        <w:t> </w:t>
      </w:r>
      <w:r>
        <w:rPr>
          <w:color w:val="231F20"/>
          <w:sz w:val="20"/>
        </w:rPr>
        <w:t>on</w:t>
      </w:r>
      <w:r>
        <w:rPr>
          <w:color w:val="231F20"/>
          <w:spacing w:val="-3"/>
          <w:sz w:val="20"/>
        </w:rPr>
        <w:t> </w:t>
      </w:r>
      <w:r>
        <w:rPr>
          <w:color w:val="231F20"/>
          <w:sz w:val="20"/>
        </w:rPr>
        <w:t>net</w:t>
      </w:r>
      <w:r>
        <w:rPr>
          <w:color w:val="231F20"/>
          <w:spacing w:val="-3"/>
          <w:sz w:val="20"/>
        </w:rPr>
        <w:t> </w:t>
      </w:r>
      <w:r>
        <w:rPr>
          <w:color w:val="231F20"/>
          <w:sz w:val="20"/>
        </w:rPr>
        <w:t>interest</w:t>
      </w:r>
      <w:r>
        <w:rPr>
          <w:color w:val="231F20"/>
          <w:spacing w:val="-3"/>
          <w:sz w:val="20"/>
        </w:rPr>
        <w:t> </w:t>
      </w:r>
      <w:r>
        <w:rPr>
          <w:color w:val="231F20"/>
          <w:sz w:val="20"/>
        </w:rPr>
        <w:t>margin</w:t>
      </w:r>
      <w:r>
        <w:rPr>
          <w:color w:val="231F20"/>
          <w:spacing w:val="-3"/>
          <w:sz w:val="20"/>
        </w:rPr>
        <w:t> </w:t>
      </w:r>
      <w:r>
        <w:rPr>
          <w:color w:val="231F20"/>
          <w:sz w:val="20"/>
        </w:rPr>
        <w:t>and</w:t>
      </w:r>
      <w:r>
        <w:rPr>
          <w:color w:val="231F20"/>
          <w:spacing w:val="-3"/>
          <w:sz w:val="20"/>
        </w:rPr>
        <w:t> </w:t>
      </w:r>
      <w:r>
        <w:rPr>
          <w:color w:val="231F20"/>
          <w:sz w:val="20"/>
        </w:rPr>
        <w:t>revenue,</w:t>
      </w:r>
      <w:r>
        <w:rPr>
          <w:color w:val="231F20"/>
          <w:spacing w:val="-3"/>
          <w:sz w:val="20"/>
        </w:rPr>
        <w:t> </w:t>
      </w:r>
      <w:r>
        <w:rPr>
          <w:color w:val="231F20"/>
          <w:sz w:val="20"/>
        </w:rPr>
        <w:t>bank deposit account fee revenue, economic value of equity, and liability and asset duration (see Risk Management);</w:t>
      </w:r>
    </w:p>
    <w:p>
      <w:pPr>
        <w:pStyle w:val="ListParagraph"/>
        <w:numPr>
          <w:ilvl w:val="0"/>
          <w:numId w:val="2"/>
        </w:numPr>
        <w:tabs>
          <w:tab w:pos="1189" w:val="left" w:leader="none"/>
        </w:tabs>
        <w:spacing w:line="226" w:lineRule="exact" w:before="0" w:after="0"/>
        <w:ind w:left="1189" w:right="0" w:hanging="359"/>
        <w:jc w:val="left"/>
        <w:rPr>
          <w:color w:val="231F20"/>
          <w:sz w:val="20"/>
        </w:rPr>
      </w:pPr>
      <w:r>
        <w:rPr>
          <w:color w:val="231F20"/>
          <w:sz w:val="20"/>
        </w:rPr>
        <w:t>The</w:t>
      </w:r>
      <w:r>
        <w:rPr>
          <w:color w:val="231F20"/>
          <w:spacing w:val="-4"/>
          <w:sz w:val="20"/>
        </w:rPr>
        <w:t> </w:t>
      </w:r>
      <w:r>
        <w:rPr>
          <w:color w:val="231F20"/>
          <w:sz w:val="20"/>
        </w:rPr>
        <w:t>phase-out</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use</w:t>
      </w:r>
      <w:r>
        <w:rPr>
          <w:color w:val="231F20"/>
          <w:spacing w:val="-4"/>
          <w:sz w:val="20"/>
        </w:rPr>
        <w:t> </w:t>
      </w:r>
      <w:r>
        <w:rPr>
          <w:color w:val="231F20"/>
          <w:sz w:val="20"/>
        </w:rPr>
        <w:t>of</w:t>
      </w:r>
      <w:r>
        <w:rPr>
          <w:color w:val="231F20"/>
          <w:spacing w:val="-4"/>
          <w:sz w:val="20"/>
        </w:rPr>
        <w:t> </w:t>
      </w:r>
      <w:r>
        <w:rPr>
          <w:color w:val="231F20"/>
          <w:sz w:val="20"/>
        </w:rPr>
        <w:t>LIBOR</w:t>
      </w:r>
      <w:r>
        <w:rPr>
          <w:color w:val="231F20"/>
          <w:spacing w:val="-4"/>
          <w:sz w:val="20"/>
        </w:rPr>
        <w:t> </w:t>
      </w:r>
      <w:r>
        <w:rPr>
          <w:color w:val="231F20"/>
          <w:sz w:val="20"/>
        </w:rPr>
        <w:t>(see</w:t>
      </w:r>
      <w:r>
        <w:rPr>
          <w:color w:val="231F20"/>
          <w:spacing w:val="-4"/>
          <w:sz w:val="20"/>
        </w:rPr>
        <w:t> </w:t>
      </w:r>
      <w:r>
        <w:rPr>
          <w:color w:val="231F20"/>
          <w:sz w:val="20"/>
        </w:rPr>
        <w:t>Risk</w:t>
      </w:r>
      <w:r>
        <w:rPr>
          <w:color w:val="231F20"/>
          <w:spacing w:val="-3"/>
          <w:sz w:val="20"/>
        </w:rPr>
        <w:t> </w:t>
      </w:r>
      <w:r>
        <w:rPr>
          <w:color w:val="231F20"/>
          <w:spacing w:val="-2"/>
          <w:sz w:val="20"/>
        </w:rPr>
        <w:t>Management);</w:t>
      </w:r>
    </w:p>
    <w:p>
      <w:pPr>
        <w:pStyle w:val="ListParagraph"/>
        <w:numPr>
          <w:ilvl w:val="0"/>
          <w:numId w:val="2"/>
        </w:numPr>
        <w:tabs>
          <w:tab w:pos="1189" w:val="left" w:leader="none"/>
        </w:tabs>
        <w:spacing w:line="240" w:lineRule="auto" w:before="10" w:after="0"/>
        <w:ind w:left="1189" w:right="0" w:hanging="359"/>
        <w:jc w:val="left"/>
        <w:rPr>
          <w:color w:val="231F20"/>
          <w:sz w:val="20"/>
        </w:rPr>
      </w:pPr>
      <w:r>
        <w:rPr>
          <w:color w:val="231F20"/>
          <w:sz w:val="20"/>
        </w:rPr>
        <w:t>Sources</w:t>
      </w:r>
      <w:r>
        <w:rPr>
          <w:color w:val="231F20"/>
          <w:spacing w:val="-8"/>
          <w:sz w:val="20"/>
        </w:rPr>
        <w:t> </w:t>
      </w:r>
      <w:r>
        <w:rPr>
          <w:color w:val="231F20"/>
          <w:sz w:val="20"/>
        </w:rPr>
        <w:t>and</w:t>
      </w:r>
      <w:r>
        <w:rPr>
          <w:color w:val="231F20"/>
          <w:spacing w:val="-5"/>
          <w:sz w:val="20"/>
        </w:rPr>
        <w:t> </w:t>
      </w:r>
      <w:r>
        <w:rPr>
          <w:color w:val="231F20"/>
          <w:sz w:val="20"/>
        </w:rPr>
        <w:t>uses</w:t>
      </w:r>
      <w:r>
        <w:rPr>
          <w:color w:val="231F20"/>
          <w:spacing w:val="-5"/>
          <w:sz w:val="20"/>
        </w:rPr>
        <w:t> </w:t>
      </w:r>
      <w:r>
        <w:rPr>
          <w:color w:val="231F20"/>
          <w:sz w:val="20"/>
        </w:rPr>
        <w:t>of</w:t>
      </w:r>
      <w:r>
        <w:rPr>
          <w:color w:val="231F20"/>
          <w:spacing w:val="-5"/>
          <w:sz w:val="20"/>
        </w:rPr>
        <w:t> </w:t>
      </w:r>
      <w:r>
        <w:rPr>
          <w:color w:val="231F20"/>
          <w:sz w:val="20"/>
        </w:rPr>
        <w:t>liquidity</w:t>
      </w:r>
      <w:r>
        <w:rPr>
          <w:color w:val="231F20"/>
          <w:spacing w:val="-5"/>
          <w:sz w:val="20"/>
        </w:rPr>
        <w:t> </w:t>
      </w:r>
      <w:r>
        <w:rPr>
          <w:color w:val="231F20"/>
          <w:sz w:val="20"/>
        </w:rPr>
        <w:t>and</w:t>
      </w:r>
      <w:r>
        <w:rPr>
          <w:color w:val="231F20"/>
          <w:spacing w:val="-5"/>
          <w:sz w:val="20"/>
        </w:rPr>
        <w:t> </w:t>
      </w:r>
      <w:r>
        <w:rPr>
          <w:color w:val="231F20"/>
          <w:sz w:val="20"/>
        </w:rPr>
        <w:t>capital</w:t>
      </w:r>
      <w:r>
        <w:rPr>
          <w:color w:val="231F20"/>
          <w:spacing w:val="-6"/>
          <w:sz w:val="20"/>
        </w:rPr>
        <w:t> </w:t>
      </w:r>
      <w:r>
        <w:rPr>
          <w:color w:val="231F20"/>
          <w:sz w:val="20"/>
        </w:rPr>
        <w:t>(see</w:t>
      </w:r>
      <w:r>
        <w:rPr>
          <w:color w:val="231F20"/>
          <w:spacing w:val="-5"/>
          <w:sz w:val="20"/>
        </w:rPr>
        <w:t> </w:t>
      </w:r>
      <w:r>
        <w:rPr>
          <w:color w:val="231F20"/>
          <w:sz w:val="20"/>
        </w:rPr>
        <w:t>Liquidity</w:t>
      </w:r>
      <w:r>
        <w:rPr>
          <w:color w:val="231F20"/>
          <w:spacing w:val="-5"/>
          <w:sz w:val="20"/>
        </w:rPr>
        <w:t> </w:t>
      </w:r>
      <w:r>
        <w:rPr>
          <w:color w:val="231F20"/>
          <w:sz w:val="20"/>
        </w:rPr>
        <w:t>Risk</w:t>
      </w:r>
      <w:r>
        <w:rPr>
          <w:color w:val="231F20"/>
          <w:spacing w:val="-4"/>
          <w:sz w:val="20"/>
        </w:rPr>
        <w:t> </w:t>
      </w:r>
      <w:r>
        <w:rPr>
          <w:color w:val="231F20"/>
          <w:sz w:val="20"/>
        </w:rPr>
        <w:t>and</w:t>
      </w:r>
      <w:r>
        <w:rPr>
          <w:color w:val="231F20"/>
          <w:spacing w:val="-5"/>
          <w:sz w:val="20"/>
        </w:rPr>
        <w:t> </w:t>
      </w:r>
      <w:r>
        <w:rPr>
          <w:color w:val="231F20"/>
          <w:sz w:val="20"/>
        </w:rPr>
        <w:t>Capital</w:t>
      </w:r>
      <w:r>
        <w:rPr>
          <w:color w:val="231F20"/>
          <w:spacing w:val="-5"/>
          <w:sz w:val="20"/>
        </w:rPr>
        <w:t> </w:t>
      </w:r>
      <w:r>
        <w:rPr>
          <w:color w:val="231F20"/>
          <w:spacing w:val="-2"/>
          <w:sz w:val="20"/>
        </w:rPr>
        <w:t>Management);</w:t>
      </w:r>
    </w:p>
    <w:p>
      <w:pPr>
        <w:pStyle w:val="ListParagraph"/>
        <w:numPr>
          <w:ilvl w:val="0"/>
          <w:numId w:val="2"/>
        </w:numPr>
        <w:tabs>
          <w:tab w:pos="1190" w:val="left" w:leader="none"/>
        </w:tabs>
        <w:spacing w:line="232" w:lineRule="auto" w:before="15" w:after="0"/>
        <w:ind w:left="1190" w:right="570" w:hanging="360"/>
        <w:jc w:val="left"/>
        <w:rPr>
          <w:color w:val="231F20"/>
          <w:sz w:val="20"/>
        </w:rPr>
      </w:pPr>
      <w:r>
        <w:rPr>
          <w:color w:val="231F20"/>
          <w:sz w:val="20"/>
        </w:rPr>
        <w:t>Capital</w:t>
      </w:r>
      <w:r>
        <w:rPr>
          <w:color w:val="231F20"/>
          <w:spacing w:val="-4"/>
          <w:sz w:val="20"/>
        </w:rPr>
        <w:t> </w:t>
      </w:r>
      <w:r>
        <w:rPr>
          <w:color w:val="231F20"/>
          <w:sz w:val="20"/>
        </w:rPr>
        <w:t>management;</w:t>
      </w:r>
      <w:r>
        <w:rPr>
          <w:color w:val="231F20"/>
          <w:spacing w:val="-4"/>
          <w:sz w:val="20"/>
        </w:rPr>
        <w:t> </w:t>
      </w:r>
      <w:r>
        <w:rPr>
          <w:color w:val="231F20"/>
          <w:sz w:val="20"/>
        </w:rPr>
        <w:t>the</w:t>
      </w:r>
      <w:r>
        <w:rPr>
          <w:color w:val="231F20"/>
          <w:spacing w:val="-4"/>
          <w:sz w:val="20"/>
        </w:rPr>
        <w:t> </w:t>
      </w:r>
      <w:r>
        <w:rPr>
          <w:color w:val="231F20"/>
          <w:sz w:val="20"/>
        </w:rPr>
        <w:t>potential</w:t>
      </w:r>
      <w:r>
        <w:rPr>
          <w:color w:val="231F20"/>
          <w:spacing w:val="-4"/>
          <w:sz w:val="20"/>
        </w:rPr>
        <w:t> </w:t>
      </w:r>
      <w:r>
        <w:rPr>
          <w:color w:val="231F20"/>
          <w:sz w:val="20"/>
        </w:rPr>
        <w:t>migration</w:t>
      </w:r>
      <w:r>
        <w:rPr>
          <w:color w:val="231F20"/>
          <w:spacing w:val="-4"/>
          <w:sz w:val="20"/>
        </w:rPr>
        <w:t> </w:t>
      </w:r>
      <w:r>
        <w:rPr>
          <w:color w:val="231F20"/>
          <w:sz w:val="20"/>
        </w:rPr>
        <w:t>of</w:t>
      </w:r>
      <w:r>
        <w:rPr>
          <w:color w:val="231F20"/>
          <w:spacing w:val="-4"/>
          <w:sz w:val="20"/>
        </w:rPr>
        <w:t> </w:t>
      </w:r>
      <w:r>
        <w:rPr>
          <w:color w:val="231F20"/>
          <w:sz w:val="20"/>
        </w:rPr>
        <w:t>insured</w:t>
      </w:r>
      <w:r>
        <w:rPr>
          <w:color w:val="231F20"/>
          <w:spacing w:val="-4"/>
          <w:sz w:val="20"/>
        </w:rPr>
        <w:t> </w:t>
      </w:r>
      <w:r>
        <w:rPr>
          <w:color w:val="231F20"/>
          <w:sz w:val="20"/>
        </w:rPr>
        <w:t>deposit</w:t>
      </w:r>
      <w:r>
        <w:rPr>
          <w:color w:val="231F20"/>
          <w:spacing w:val="-5"/>
          <w:sz w:val="20"/>
        </w:rPr>
        <w:t> </w:t>
      </w:r>
      <w:r>
        <w:rPr>
          <w:color w:val="231F20"/>
          <w:sz w:val="20"/>
        </w:rPr>
        <w:t>account</w:t>
      </w:r>
      <w:r>
        <w:rPr>
          <w:color w:val="231F20"/>
          <w:spacing w:val="-4"/>
          <w:sz w:val="20"/>
        </w:rPr>
        <w:t> </w:t>
      </w:r>
      <w:r>
        <w:rPr>
          <w:color w:val="231F20"/>
          <w:sz w:val="20"/>
        </w:rPr>
        <w:t>balances</w:t>
      </w:r>
      <w:r>
        <w:rPr>
          <w:color w:val="231F20"/>
          <w:spacing w:val="-4"/>
          <w:sz w:val="20"/>
        </w:rPr>
        <w:t> </w:t>
      </w:r>
      <w:r>
        <w:rPr>
          <w:color w:val="231F20"/>
          <w:sz w:val="20"/>
        </w:rPr>
        <w:t>(IDA</w:t>
      </w:r>
      <w:r>
        <w:rPr>
          <w:color w:val="231F20"/>
          <w:spacing w:val="-4"/>
          <w:sz w:val="20"/>
        </w:rPr>
        <w:t> </w:t>
      </w:r>
      <w:r>
        <w:rPr>
          <w:color w:val="231F20"/>
          <w:sz w:val="20"/>
        </w:rPr>
        <w:t>balances)</w:t>
      </w:r>
      <w:r>
        <w:rPr>
          <w:color w:val="231F20"/>
          <w:spacing w:val="-4"/>
          <w:sz w:val="20"/>
        </w:rPr>
        <w:t> </w:t>
      </w:r>
      <w:r>
        <w:rPr>
          <w:color w:val="231F20"/>
          <w:sz w:val="20"/>
        </w:rPr>
        <w:t>to</w:t>
      </w:r>
      <w:r>
        <w:rPr>
          <w:color w:val="231F20"/>
          <w:spacing w:val="-4"/>
          <w:sz w:val="20"/>
        </w:rPr>
        <w:t> </w:t>
      </w:r>
      <w:r>
        <w:rPr>
          <w:color w:val="231F20"/>
          <w:sz w:val="20"/>
        </w:rPr>
        <w:t>our</w:t>
      </w:r>
      <w:r>
        <w:rPr>
          <w:color w:val="231F20"/>
          <w:spacing w:val="-4"/>
          <w:sz w:val="20"/>
        </w:rPr>
        <w:t> </w:t>
      </w:r>
      <w:r>
        <w:rPr>
          <w:color w:val="231F20"/>
          <w:sz w:val="20"/>
        </w:rPr>
        <w:t>balance</w:t>
      </w:r>
      <w:r>
        <w:rPr>
          <w:color w:val="231F20"/>
          <w:spacing w:val="-4"/>
          <w:sz w:val="20"/>
        </w:rPr>
        <w:t> </w:t>
      </w:r>
      <w:r>
        <w:rPr>
          <w:color w:val="231F20"/>
          <w:sz w:val="20"/>
        </w:rPr>
        <w:t>sheet; expectations about capital requirements, including accumulated other comprehensive income (AOCI), and meeting those requirements; plans regarding capital and dividends (see Capital Management and Commitments and Contingencies in Item 1 – Note 9);</w:t>
      </w:r>
    </w:p>
    <w:p>
      <w:pPr>
        <w:pStyle w:val="ListParagraph"/>
        <w:numPr>
          <w:ilvl w:val="0"/>
          <w:numId w:val="2"/>
        </w:numPr>
        <w:tabs>
          <w:tab w:pos="1189" w:val="left" w:leader="none"/>
        </w:tabs>
        <w:spacing w:line="228" w:lineRule="exact" w:before="0" w:after="0"/>
        <w:ind w:left="1189" w:right="0" w:hanging="359"/>
        <w:jc w:val="left"/>
        <w:rPr>
          <w:color w:val="231F20"/>
          <w:sz w:val="20"/>
        </w:rPr>
      </w:pPr>
      <w:r>
        <w:rPr>
          <w:color w:val="231F20"/>
          <w:sz w:val="20"/>
        </w:rPr>
        <w:t>The</w:t>
      </w:r>
      <w:r>
        <w:rPr>
          <w:color w:val="231F20"/>
          <w:spacing w:val="-7"/>
          <w:sz w:val="20"/>
        </w:rPr>
        <w:t> </w:t>
      </w:r>
      <w:r>
        <w:rPr>
          <w:color w:val="231F20"/>
          <w:sz w:val="20"/>
        </w:rPr>
        <w:t>expected</w:t>
      </w:r>
      <w:r>
        <w:rPr>
          <w:color w:val="231F20"/>
          <w:spacing w:val="-5"/>
          <w:sz w:val="20"/>
        </w:rPr>
        <w:t> </w:t>
      </w:r>
      <w:r>
        <w:rPr>
          <w:color w:val="231F20"/>
          <w:sz w:val="20"/>
        </w:rPr>
        <w:t>impact</w:t>
      </w:r>
      <w:r>
        <w:rPr>
          <w:color w:val="231F20"/>
          <w:spacing w:val="-5"/>
          <w:sz w:val="20"/>
        </w:rPr>
        <w:t> </w:t>
      </w:r>
      <w:r>
        <w:rPr>
          <w:color w:val="231F20"/>
          <w:sz w:val="20"/>
        </w:rPr>
        <w:t>of</w:t>
      </w:r>
      <w:r>
        <w:rPr>
          <w:color w:val="231F20"/>
          <w:spacing w:val="-5"/>
          <w:sz w:val="20"/>
        </w:rPr>
        <w:t> </w:t>
      </w:r>
      <w:r>
        <w:rPr>
          <w:color w:val="231F20"/>
          <w:sz w:val="20"/>
        </w:rPr>
        <w:t>new</w:t>
      </w:r>
      <w:r>
        <w:rPr>
          <w:color w:val="231F20"/>
          <w:spacing w:val="-4"/>
          <w:sz w:val="20"/>
        </w:rPr>
        <w:t> </w:t>
      </w:r>
      <w:r>
        <w:rPr>
          <w:color w:val="231F20"/>
          <w:sz w:val="20"/>
        </w:rPr>
        <w:t>accounting</w:t>
      </w:r>
      <w:r>
        <w:rPr>
          <w:color w:val="231F20"/>
          <w:spacing w:val="-5"/>
          <w:sz w:val="20"/>
        </w:rPr>
        <w:t> </w:t>
      </w:r>
      <w:r>
        <w:rPr>
          <w:color w:val="231F20"/>
          <w:sz w:val="20"/>
        </w:rPr>
        <w:t>standards</w:t>
      </w:r>
      <w:r>
        <w:rPr>
          <w:color w:val="231F20"/>
          <w:spacing w:val="-5"/>
          <w:sz w:val="20"/>
        </w:rPr>
        <w:t> </w:t>
      </w:r>
      <w:r>
        <w:rPr>
          <w:color w:val="231F20"/>
          <w:sz w:val="20"/>
        </w:rPr>
        <w:t>not</w:t>
      </w:r>
      <w:r>
        <w:rPr>
          <w:color w:val="231F20"/>
          <w:spacing w:val="-5"/>
          <w:sz w:val="20"/>
        </w:rPr>
        <w:t> </w:t>
      </w:r>
      <w:r>
        <w:rPr>
          <w:color w:val="231F20"/>
          <w:sz w:val="20"/>
        </w:rPr>
        <w:t>yet</w:t>
      </w:r>
      <w:r>
        <w:rPr>
          <w:color w:val="231F20"/>
          <w:spacing w:val="-5"/>
          <w:sz w:val="20"/>
        </w:rPr>
        <w:t> </w:t>
      </w:r>
      <w:r>
        <w:rPr>
          <w:color w:val="231F20"/>
          <w:sz w:val="20"/>
        </w:rPr>
        <w:t>adopted</w:t>
      </w:r>
      <w:r>
        <w:rPr>
          <w:color w:val="231F20"/>
          <w:spacing w:val="-4"/>
          <w:sz w:val="20"/>
        </w:rPr>
        <w:t> </w:t>
      </w:r>
      <w:r>
        <w:rPr>
          <w:color w:val="231F20"/>
          <w:sz w:val="20"/>
        </w:rPr>
        <w:t>(see</w:t>
      </w:r>
      <w:r>
        <w:rPr>
          <w:color w:val="231F20"/>
          <w:spacing w:val="-5"/>
          <w:sz w:val="20"/>
        </w:rPr>
        <w:t> </w:t>
      </w:r>
      <w:r>
        <w:rPr>
          <w:color w:val="231F20"/>
          <w:sz w:val="20"/>
        </w:rPr>
        <w:t>New</w:t>
      </w:r>
      <w:r>
        <w:rPr>
          <w:color w:val="231F20"/>
          <w:spacing w:val="-5"/>
          <w:sz w:val="20"/>
        </w:rPr>
        <w:t> </w:t>
      </w:r>
      <w:r>
        <w:rPr>
          <w:color w:val="231F20"/>
          <w:sz w:val="20"/>
        </w:rPr>
        <w:t>Accounting</w:t>
      </w:r>
      <w:r>
        <w:rPr>
          <w:color w:val="231F20"/>
          <w:spacing w:val="-5"/>
          <w:sz w:val="20"/>
        </w:rPr>
        <w:t> </w:t>
      </w:r>
      <w:r>
        <w:rPr>
          <w:color w:val="231F20"/>
          <w:sz w:val="20"/>
        </w:rPr>
        <w:t>Standards</w:t>
      </w:r>
      <w:r>
        <w:rPr>
          <w:color w:val="231F20"/>
          <w:spacing w:val="-5"/>
          <w:sz w:val="20"/>
        </w:rPr>
        <w:t> </w:t>
      </w:r>
      <w:r>
        <w:rPr>
          <w:color w:val="231F20"/>
          <w:sz w:val="20"/>
        </w:rPr>
        <w:t>in</w:t>
      </w:r>
      <w:r>
        <w:rPr>
          <w:color w:val="231F20"/>
          <w:spacing w:val="-4"/>
          <w:sz w:val="20"/>
        </w:rPr>
        <w:t> </w:t>
      </w:r>
      <w:r>
        <w:rPr>
          <w:color w:val="231F20"/>
          <w:sz w:val="20"/>
        </w:rPr>
        <w:t>Item</w:t>
      </w:r>
      <w:r>
        <w:rPr>
          <w:color w:val="231F20"/>
          <w:spacing w:val="-5"/>
          <w:sz w:val="20"/>
        </w:rPr>
        <w:t> </w:t>
      </w:r>
      <w:r>
        <w:rPr>
          <w:color w:val="231F20"/>
          <w:sz w:val="20"/>
        </w:rPr>
        <w:t>1</w:t>
      </w:r>
      <w:r>
        <w:rPr>
          <w:color w:val="231F20"/>
          <w:spacing w:val="-5"/>
          <w:sz w:val="20"/>
        </w:rPr>
        <w:t> </w:t>
      </w:r>
      <w:r>
        <w:rPr>
          <w:color w:val="231F20"/>
          <w:sz w:val="20"/>
        </w:rPr>
        <w:t>–</w:t>
      </w:r>
      <w:r>
        <w:rPr>
          <w:color w:val="231F20"/>
          <w:spacing w:val="-5"/>
          <w:sz w:val="20"/>
        </w:rPr>
        <w:t> </w:t>
      </w:r>
      <w:r>
        <w:rPr>
          <w:color w:val="231F20"/>
          <w:sz w:val="20"/>
        </w:rPr>
        <w:t>Note</w:t>
      </w:r>
      <w:r>
        <w:rPr>
          <w:color w:val="231F20"/>
          <w:spacing w:val="-4"/>
          <w:sz w:val="20"/>
        </w:rPr>
        <w:t> </w:t>
      </w:r>
      <w:r>
        <w:rPr>
          <w:color w:val="231F20"/>
          <w:spacing w:val="-5"/>
          <w:sz w:val="20"/>
        </w:rPr>
        <w:t>2);</w:t>
      </w:r>
    </w:p>
    <w:p>
      <w:pPr>
        <w:pStyle w:val="ListParagraph"/>
        <w:numPr>
          <w:ilvl w:val="0"/>
          <w:numId w:val="2"/>
        </w:numPr>
        <w:tabs>
          <w:tab w:pos="1190" w:val="left" w:leader="none"/>
        </w:tabs>
        <w:spacing w:line="249" w:lineRule="auto" w:before="0" w:after="0"/>
        <w:ind w:left="1190" w:right="1335" w:hanging="360"/>
        <w:jc w:val="left"/>
        <w:rPr>
          <w:color w:val="231F20"/>
          <w:sz w:val="20"/>
        </w:rPr>
      </w:pPr>
      <w:r>
        <w:rPr>
          <w:color w:val="231F20"/>
          <w:sz w:val="20"/>
        </w:rPr>
        <w:t>The</w:t>
      </w:r>
      <w:r>
        <w:rPr>
          <w:color w:val="231F20"/>
          <w:spacing w:val="-4"/>
          <w:sz w:val="20"/>
        </w:rPr>
        <w:t> </w:t>
      </w:r>
      <w:r>
        <w:rPr>
          <w:color w:val="231F20"/>
          <w:sz w:val="20"/>
        </w:rPr>
        <w:t>likelihood</w:t>
      </w:r>
      <w:r>
        <w:rPr>
          <w:color w:val="231F20"/>
          <w:spacing w:val="-4"/>
          <w:sz w:val="20"/>
        </w:rPr>
        <w:t> </w:t>
      </w:r>
      <w:r>
        <w:rPr>
          <w:color w:val="231F20"/>
          <w:sz w:val="20"/>
        </w:rPr>
        <w:t>of</w:t>
      </w:r>
      <w:r>
        <w:rPr>
          <w:color w:val="231F20"/>
          <w:spacing w:val="-4"/>
          <w:sz w:val="20"/>
        </w:rPr>
        <w:t> </w:t>
      </w:r>
      <w:r>
        <w:rPr>
          <w:color w:val="231F20"/>
          <w:sz w:val="20"/>
        </w:rPr>
        <w:t>indemnification</w:t>
      </w:r>
      <w:r>
        <w:rPr>
          <w:color w:val="231F20"/>
          <w:spacing w:val="-4"/>
          <w:sz w:val="20"/>
        </w:rPr>
        <w:t> </w:t>
      </w:r>
      <w:r>
        <w:rPr>
          <w:color w:val="231F20"/>
          <w:sz w:val="20"/>
        </w:rPr>
        <w:t>and</w:t>
      </w:r>
      <w:r>
        <w:rPr>
          <w:color w:val="231F20"/>
          <w:spacing w:val="-4"/>
          <w:sz w:val="20"/>
        </w:rPr>
        <w:t> </w:t>
      </w:r>
      <w:r>
        <w:rPr>
          <w:color w:val="231F20"/>
          <w:sz w:val="20"/>
        </w:rPr>
        <w:t>guarantee</w:t>
      </w:r>
      <w:r>
        <w:rPr>
          <w:color w:val="231F20"/>
          <w:spacing w:val="-4"/>
          <w:sz w:val="20"/>
        </w:rPr>
        <w:t> </w:t>
      </w:r>
      <w:r>
        <w:rPr>
          <w:color w:val="231F20"/>
          <w:sz w:val="20"/>
        </w:rPr>
        <w:t>payment</w:t>
      </w:r>
      <w:r>
        <w:rPr>
          <w:color w:val="231F20"/>
          <w:spacing w:val="-4"/>
          <w:sz w:val="20"/>
        </w:rPr>
        <w:t> </w:t>
      </w:r>
      <w:r>
        <w:rPr>
          <w:color w:val="231F20"/>
          <w:sz w:val="20"/>
        </w:rPr>
        <w:t>obligations</w:t>
      </w:r>
      <w:r>
        <w:rPr>
          <w:color w:val="231F20"/>
          <w:spacing w:val="-4"/>
          <w:sz w:val="20"/>
        </w:rPr>
        <w:t> </w:t>
      </w:r>
      <w:r>
        <w:rPr>
          <w:color w:val="231F20"/>
          <w:sz w:val="20"/>
        </w:rPr>
        <w:t>and</w:t>
      </w:r>
      <w:r>
        <w:rPr>
          <w:color w:val="231F20"/>
          <w:spacing w:val="-4"/>
          <w:sz w:val="20"/>
        </w:rPr>
        <w:t> </w:t>
      </w:r>
      <w:r>
        <w:rPr>
          <w:color w:val="231F20"/>
          <w:sz w:val="20"/>
        </w:rPr>
        <w:t>clients</w:t>
      </w:r>
      <w:r>
        <w:rPr>
          <w:color w:val="231F20"/>
          <w:spacing w:val="-4"/>
          <w:sz w:val="20"/>
        </w:rPr>
        <w:t> </w:t>
      </w:r>
      <w:r>
        <w:rPr>
          <w:color w:val="231F20"/>
          <w:sz w:val="20"/>
        </w:rPr>
        <w:t>failing</w:t>
      </w:r>
      <w:r>
        <w:rPr>
          <w:color w:val="231F20"/>
          <w:spacing w:val="-4"/>
          <w:sz w:val="20"/>
        </w:rPr>
        <w:t> </w:t>
      </w:r>
      <w:r>
        <w:rPr>
          <w:color w:val="231F20"/>
          <w:sz w:val="20"/>
        </w:rPr>
        <w:t>to</w:t>
      </w:r>
      <w:r>
        <w:rPr>
          <w:color w:val="231F20"/>
          <w:spacing w:val="-4"/>
          <w:sz w:val="20"/>
        </w:rPr>
        <w:t> </w:t>
      </w:r>
      <w:r>
        <w:rPr>
          <w:color w:val="231F20"/>
          <w:sz w:val="20"/>
        </w:rPr>
        <w:t>fulfill</w:t>
      </w:r>
      <w:r>
        <w:rPr>
          <w:color w:val="231F20"/>
          <w:spacing w:val="-4"/>
          <w:sz w:val="20"/>
        </w:rPr>
        <w:t> </w:t>
      </w:r>
      <w:r>
        <w:rPr>
          <w:color w:val="231F20"/>
          <w:sz w:val="20"/>
        </w:rPr>
        <w:t>contractual obligations (see Commitments and Contingencies in Item 1 – Note 9); and</w:t>
      </w:r>
    </w:p>
    <w:p>
      <w:pPr>
        <w:pStyle w:val="ListParagraph"/>
        <w:numPr>
          <w:ilvl w:val="0"/>
          <w:numId w:val="2"/>
        </w:numPr>
        <w:tabs>
          <w:tab w:pos="1189" w:val="left" w:leader="none"/>
        </w:tabs>
        <w:spacing w:line="249" w:lineRule="auto" w:before="2" w:after="0"/>
        <w:ind w:left="1189" w:right="653" w:hanging="360"/>
        <w:jc w:val="left"/>
        <w:rPr>
          <w:color w:val="231F20"/>
          <w:sz w:val="20"/>
        </w:rPr>
      </w:pPr>
      <w:r>
        <w:rPr>
          <w:color w:val="231F20"/>
          <w:sz w:val="20"/>
        </w:rPr>
        <w:t>The</w:t>
      </w:r>
      <w:r>
        <w:rPr>
          <w:color w:val="231F20"/>
          <w:spacing w:val="-3"/>
          <w:sz w:val="20"/>
        </w:rPr>
        <w:t> </w:t>
      </w:r>
      <w:r>
        <w:rPr>
          <w:color w:val="231F20"/>
          <w:sz w:val="20"/>
        </w:rPr>
        <w:t>impact</w:t>
      </w:r>
      <w:r>
        <w:rPr>
          <w:color w:val="231F20"/>
          <w:spacing w:val="-3"/>
          <w:sz w:val="20"/>
        </w:rPr>
        <w:t> </w:t>
      </w:r>
      <w:r>
        <w:rPr>
          <w:color w:val="231F20"/>
          <w:sz w:val="20"/>
        </w:rPr>
        <w:t>of</w:t>
      </w:r>
      <w:r>
        <w:rPr>
          <w:color w:val="231F20"/>
          <w:spacing w:val="-3"/>
          <w:sz w:val="20"/>
        </w:rPr>
        <w:t> </w:t>
      </w:r>
      <w:r>
        <w:rPr>
          <w:color w:val="231F20"/>
          <w:sz w:val="20"/>
        </w:rPr>
        <w:t>legal</w:t>
      </w:r>
      <w:r>
        <w:rPr>
          <w:color w:val="231F20"/>
          <w:spacing w:val="-3"/>
          <w:sz w:val="20"/>
        </w:rPr>
        <w:t> </w:t>
      </w:r>
      <w:r>
        <w:rPr>
          <w:color w:val="231F20"/>
          <w:sz w:val="20"/>
        </w:rPr>
        <w:t>proceedings</w:t>
      </w:r>
      <w:r>
        <w:rPr>
          <w:color w:val="231F20"/>
          <w:spacing w:val="-3"/>
          <w:sz w:val="20"/>
        </w:rPr>
        <w:t> </w:t>
      </w:r>
      <w:r>
        <w:rPr>
          <w:color w:val="231F20"/>
          <w:sz w:val="20"/>
        </w:rPr>
        <w:t>and</w:t>
      </w:r>
      <w:r>
        <w:rPr>
          <w:color w:val="231F20"/>
          <w:spacing w:val="-3"/>
          <w:sz w:val="20"/>
        </w:rPr>
        <w:t> </w:t>
      </w:r>
      <w:r>
        <w:rPr>
          <w:color w:val="231F20"/>
          <w:sz w:val="20"/>
        </w:rPr>
        <w:t>regulatory</w:t>
      </w:r>
      <w:r>
        <w:rPr>
          <w:color w:val="231F20"/>
          <w:spacing w:val="-3"/>
          <w:sz w:val="20"/>
        </w:rPr>
        <w:t> </w:t>
      </w:r>
      <w:r>
        <w:rPr>
          <w:color w:val="231F20"/>
          <w:sz w:val="20"/>
        </w:rPr>
        <w:t>matters</w:t>
      </w:r>
      <w:r>
        <w:rPr>
          <w:color w:val="231F20"/>
          <w:spacing w:val="-3"/>
          <w:sz w:val="20"/>
        </w:rPr>
        <w:t> </w:t>
      </w:r>
      <w:r>
        <w:rPr>
          <w:color w:val="231F20"/>
          <w:sz w:val="20"/>
        </w:rPr>
        <w:t>(see</w:t>
      </w:r>
      <w:r>
        <w:rPr>
          <w:color w:val="231F20"/>
          <w:spacing w:val="-3"/>
          <w:sz w:val="20"/>
        </w:rPr>
        <w:t> </w:t>
      </w:r>
      <w:r>
        <w:rPr>
          <w:color w:val="231F20"/>
          <w:sz w:val="20"/>
        </w:rPr>
        <w:t>Commitments</w:t>
      </w:r>
      <w:r>
        <w:rPr>
          <w:color w:val="231F20"/>
          <w:spacing w:val="-3"/>
          <w:sz w:val="20"/>
        </w:rPr>
        <w:t> </w:t>
      </w:r>
      <w:r>
        <w:rPr>
          <w:color w:val="231F20"/>
          <w:sz w:val="20"/>
        </w:rPr>
        <w:t>and</w:t>
      </w:r>
      <w:r>
        <w:rPr>
          <w:color w:val="231F20"/>
          <w:spacing w:val="-3"/>
          <w:sz w:val="20"/>
        </w:rPr>
        <w:t> </w:t>
      </w:r>
      <w:r>
        <w:rPr>
          <w:color w:val="231F20"/>
          <w:sz w:val="20"/>
        </w:rPr>
        <w:t>Contingencies</w:t>
      </w:r>
      <w:r>
        <w:rPr>
          <w:color w:val="231F20"/>
          <w:spacing w:val="-3"/>
          <w:sz w:val="20"/>
        </w:rPr>
        <w:t> </w:t>
      </w:r>
      <w:r>
        <w:rPr>
          <w:color w:val="231F20"/>
          <w:sz w:val="20"/>
        </w:rPr>
        <w:t>in</w:t>
      </w:r>
      <w:r>
        <w:rPr>
          <w:color w:val="231F20"/>
          <w:spacing w:val="-3"/>
          <w:sz w:val="20"/>
        </w:rPr>
        <w:t> </w:t>
      </w:r>
      <w:r>
        <w:rPr>
          <w:color w:val="231F20"/>
          <w:sz w:val="20"/>
        </w:rPr>
        <w:t>Item</w:t>
      </w:r>
      <w:r>
        <w:rPr>
          <w:color w:val="231F20"/>
          <w:spacing w:val="-3"/>
          <w:sz w:val="20"/>
        </w:rPr>
        <w:t> </w:t>
      </w:r>
      <w:r>
        <w:rPr>
          <w:color w:val="231F20"/>
          <w:sz w:val="20"/>
        </w:rPr>
        <w:t>1</w:t>
      </w:r>
      <w:r>
        <w:rPr>
          <w:color w:val="231F20"/>
          <w:spacing w:val="-3"/>
          <w:sz w:val="20"/>
        </w:rPr>
        <w:t> </w:t>
      </w:r>
      <w:r>
        <w:rPr>
          <w:color w:val="231F20"/>
          <w:sz w:val="20"/>
        </w:rPr>
        <w:t>–</w:t>
      </w:r>
      <w:r>
        <w:rPr>
          <w:color w:val="231F20"/>
          <w:spacing w:val="-3"/>
          <w:sz w:val="20"/>
        </w:rPr>
        <w:t> </w:t>
      </w:r>
      <w:r>
        <w:rPr>
          <w:color w:val="231F20"/>
          <w:sz w:val="20"/>
        </w:rPr>
        <w:t>Note</w:t>
      </w:r>
      <w:r>
        <w:rPr>
          <w:color w:val="231F20"/>
          <w:spacing w:val="-3"/>
          <w:sz w:val="20"/>
        </w:rPr>
        <w:t> </w:t>
      </w:r>
      <w:r>
        <w:rPr>
          <w:color w:val="231F20"/>
          <w:sz w:val="20"/>
        </w:rPr>
        <w:t>9</w:t>
      </w:r>
      <w:r>
        <w:rPr>
          <w:color w:val="231F20"/>
          <w:spacing w:val="-3"/>
          <w:sz w:val="20"/>
        </w:rPr>
        <w:t> </w:t>
      </w:r>
      <w:r>
        <w:rPr>
          <w:color w:val="231F20"/>
          <w:sz w:val="20"/>
        </w:rPr>
        <w:t>and Legal Proceedings in Part II – Item 1).</w:t>
      </w:r>
    </w:p>
    <w:p>
      <w:pPr>
        <w:pStyle w:val="BodyText"/>
        <w:spacing w:before="12"/>
      </w:pPr>
    </w:p>
    <w:p>
      <w:pPr>
        <w:pStyle w:val="BodyText"/>
        <w:spacing w:line="249" w:lineRule="auto"/>
        <w:ind w:left="469" w:right="470"/>
      </w:pPr>
      <w:r>
        <w:rPr>
          <w:color w:val="231F20"/>
        </w:rPr>
        <w:t>Achievement of the expressed beliefs, objectives, and expectations described in these statements is subject to certain risks and uncertainties</w:t>
      </w:r>
      <w:r>
        <w:rPr>
          <w:color w:val="231F20"/>
          <w:spacing w:val="-3"/>
        </w:rPr>
        <w:t> </w:t>
      </w:r>
      <w:r>
        <w:rPr>
          <w:color w:val="231F20"/>
        </w:rPr>
        <w:t>that</w:t>
      </w:r>
      <w:r>
        <w:rPr>
          <w:color w:val="231F20"/>
          <w:spacing w:val="-3"/>
        </w:rPr>
        <w:t> </w:t>
      </w:r>
      <w:r>
        <w:rPr>
          <w:color w:val="231F20"/>
        </w:rPr>
        <w:t>could</w:t>
      </w:r>
      <w:r>
        <w:rPr>
          <w:color w:val="231F20"/>
          <w:spacing w:val="-3"/>
        </w:rPr>
        <w:t> </w:t>
      </w:r>
      <w:r>
        <w:rPr>
          <w:color w:val="231F20"/>
        </w:rPr>
        <w:t>cause</w:t>
      </w:r>
      <w:r>
        <w:rPr>
          <w:color w:val="231F20"/>
          <w:spacing w:val="-3"/>
        </w:rPr>
        <w:t> </w:t>
      </w:r>
      <w:r>
        <w:rPr>
          <w:color w:val="231F20"/>
        </w:rPr>
        <w:t>actual</w:t>
      </w:r>
      <w:r>
        <w:rPr>
          <w:color w:val="231F20"/>
          <w:spacing w:val="-3"/>
        </w:rPr>
        <w:t> </w:t>
      </w:r>
      <w:r>
        <w:rPr>
          <w:color w:val="231F20"/>
        </w:rPr>
        <w:t>results</w:t>
      </w:r>
      <w:r>
        <w:rPr>
          <w:color w:val="231F20"/>
          <w:spacing w:val="-3"/>
        </w:rPr>
        <w:t> </w:t>
      </w:r>
      <w:r>
        <w:rPr>
          <w:color w:val="231F20"/>
        </w:rPr>
        <w:t>to</w:t>
      </w:r>
      <w:r>
        <w:rPr>
          <w:color w:val="231F20"/>
          <w:spacing w:val="-3"/>
        </w:rPr>
        <w:t> </w:t>
      </w:r>
      <w:r>
        <w:rPr>
          <w:color w:val="231F20"/>
        </w:rPr>
        <w:t>differ</w:t>
      </w:r>
      <w:r>
        <w:rPr>
          <w:color w:val="231F20"/>
          <w:spacing w:val="-3"/>
        </w:rPr>
        <w:t> </w:t>
      </w:r>
      <w:r>
        <w:rPr>
          <w:color w:val="231F20"/>
        </w:rPr>
        <w:t>materially</w:t>
      </w:r>
      <w:r>
        <w:rPr>
          <w:color w:val="231F20"/>
          <w:spacing w:val="-3"/>
        </w:rPr>
        <w:t> </w:t>
      </w:r>
      <w:r>
        <w:rPr>
          <w:color w:val="231F20"/>
        </w:rPr>
        <w:t>from</w:t>
      </w:r>
      <w:r>
        <w:rPr>
          <w:color w:val="231F20"/>
          <w:spacing w:val="-3"/>
        </w:rPr>
        <w:t> </w:t>
      </w:r>
      <w:r>
        <w:rPr>
          <w:color w:val="231F20"/>
        </w:rPr>
        <w:t>the</w:t>
      </w:r>
      <w:r>
        <w:rPr>
          <w:color w:val="231F20"/>
          <w:spacing w:val="-3"/>
        </w:rPr>
        <w:t> </w:t>
      </w:r>
      <w:r>
        <w:rPr>
          <w:color w:val="231F20"/>
        </w:rPr>
        <w:t>expressed</w:t>
      </w:r>
      <w:r>
        <w:rPr>
          <w:color w:val="231F20"/>
          <w:spacing w:val="-3"/>
        </w:rPr>
        <w:t> </w:t>
      </w:r>
      <w:r>
        <w:rPr>
          <w:color w:val="231F20"/>
        </w:rPr>
        <w:t>beliefs,</w:t>
      </w:r>
      <w:r>
        <w:rPr>
          <w:color w:val="231F20"/>
          <w:spacing w:val="-3"/>
        </w:rPr>
        <w:t> </w:t>
      </w:r>
      <w:r>
        <w:rPr>
          <w:color w:val="231F20"/>
        </w:rPr>
        <w:t>objectives,</w:t>
      </w:r>
      <w:r>
        <w:rPr>
          <w:color w:val="231F20"/>
          <w:spacing w:val="-3"/>
        </w:rPr>
        <w:t> </w:t>
      </w:r>
      <w:r>
        <w:rPr>
          <w:color w:val="231F20"/>
        </w:rPr>
        <w:t>and</w:t>
      </w:r>
      <w:r>
        <w:rPr>
          <w:color w:val="231F20"/>
          <w:spacing w:val="-3"/>
        </w:rPr>
        <w:t> </w:t>
      </w:r>
      <w:r>
        <w:rPr>
          <w:color w:val="231F20"/>
        </w:rPr>
        <w:t>expectations.</w:t>
      </w:r>
      <w:r>
        <w:rPr>
          <w:color w:val="231F20"/>
          <w:spacing w:val="-3"/>
        </w:rPr>
        <w:t> </w:t>
      </w:r>
      <w:r>
        <w:rPr>
          <w:color w:val="231F20"/>
        </w:rPr>
        <w:t>Readers are</w:t>
      </w:r>
      <w:r>
        <w:rPr>
          <w:color w:val="231F20"/>
          <w:spacing w:val="-1"/>
        </w:rPr>
        <w:t> </w:t>
      </w:r>
      <w:r>
        <w:rPr>
          <w:color w:val="231F20"/>
        </w:rPr>
        <w:t>cautioned</w:t>
      </w:r>
      <w:r>
        <w:rPr>
          <w:color w:val="231F20"/>
          <w:spacing w:val="-1"/>
        </w:rPr>
        <w:t> </w:t>
      </w:r>
      <w:r>
        <w:rPr>
          <w:color w:val="231F20"/>
        </w:rPr>
        <w:t>not</w:t>
      </w:r>
      <w:r>
        <w:rPr>
          <w:color w:val="231F20"/>
          <w:spacing w:val="-1"/>
        </w:rPr>
        <w:t> </w:t>
      </w:r>
      <w:r>
        <w:rPr>
          <w:color w:val="231F20"/>
        </w:rPr>
        <w:t>to</w:t>
      </w:r>
      <w:r>
        <w:rPr>
          <w:color w:val="231F20"/>
          <w:spacing w:val="-1"/>
        </w:rPr>
        <w:t> </w:t>
      </w:r>
      <w:r>
        <w:rPr>
          <w:color w:val="231F20"/>
        </w:rPr>
        <w:t>place</w:t>
      </w:r>
      <w:r>
        <w:rPr>
          <w:color w:val="231F20"/>
          <w:spacing w:val="-1"/>
        </w:rPr>
        <w:t> </w:t>
      </w:r>
      <w:r>
        <w:rPr>
          <w:color w:val="231F20"/>
        </w:rPr>
        <w:t>undue</w:t>
      </w:r>
      <w:r>
        <w:rPr>
          <w:color w:val="231F20"/>
          <w:spacing w:val="-1"/>
        </w:rPr>
        <w:t> </w:t>
      </w:r>
      <w:r>
        <w:rPr>
          <w:color w:val="231F20"/>
        </w:rPr>
        <w:t>reliance</w:t>
      </w:r>
      <w:r>
        <w:rPr>
          <w:color w:val="231F20"/>
          <w:spacing w:val="-1"/>
        </w:rPr>
        <w:t> </w:t>
      </w:r>
      <w:r>
        <w:rPr>
          <w:color w:val="231F20"/>
        </w:rPr>
        <w:t>on</w:t>
      </w:r>
      <w:r>
        <w:rPr>
          <w:color w:val="231F20"/>
          <w:spacing w:val="-1"/>
        </w:rPr>
        <w:t> </w:t>
      </w:r>
      <w:r>
        <w:rPr>
          <w:color w:val="231F20"/>
        </w:rPr>
        <w:t>these</w:t>
      </w:r>
      <w:r>
        <w:rPr>
          <w:color w:val="231F20"/>
          <w:spacing w:val="-1"/>
        </w:rPr>
        <w:t> </w:t>
      </w:r>
      <w:r>
        <w:rPr>
          <w:color w:val="231F20"/>
        </w:rPr>
        <w:t>forward-looking</w:t>
      </w:r>
      <w:r>
        <w:rPr>
          <w:color w:val="231F20"/>
          <w:spacing w:val="-1"/>
        </w:rPr>
        <w:t> </w:t>
      </w:r>
      <w:r>
        <w:rPr>
          <w:color w:val="231F20"/>
        </w:rPr>
        <w:t>statements,</w:t>
      </w:r>
      <w:r>
        <w:rPr>
          <w:color w:val="231F20"/>
          <w:spacing w:val="-1"/>
        </w:rPr>
        <w:t> </w:t>
      </w:r>
      <w:r>
        <w:rPr>
          <w:color w:val="231F20"/>
        </w:rPr>
        <w:t>which</w:t>
      </w:r>
      <w:r>
        <w:rPr>
          <w:color w:val="231F20"/>
          <w:spacing w:val="-1"/>
        </w:rPr>
        <w:t> </w:t>
      </w:r>
      <w:r>
        <w:rPr>
          <w:color w:val="231F20"/>
        </w:rPr>
        <w:t>speak</w:t>
      </w:r>
      <w:r>
        <w:rPr>
          <w:color w:val="231F20"/>
          <w:spacing w:val="-1"/>
        </w:rPr>
        <w:t> </w:t>
      </w:r>
      <w:r>
        <w:rPr>
          <w:color w:val="231F20"/>
        </w:rPr>
        <w:t>only</w:t>
      </w:r>
      <w:r>
        <w:rPr>
          <w:color w:val="231F20"/>
          <w:spacing w:val="-1"/>
        </w:rPr>
        <w:t> </w:t>
      </w:r>
      <w:r>
        <w:rPr>
          <w:color w:val="231F20"/>
        </w:rPr>
        <w:t>as</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date</w:t>
      </w:r>
      <w:r>
        <w:rPr>
          <w:color w:val="231F20"/>
          <w:spacing w:val="-1"/>
        </w:rPr>
        <w:t> </w:t>
      </w:r>
      <w:r>
        <w:rPr>
          <w:color w:val="231F20"/>
        </w:rPr>
        <w:t>of</w:t>
      </w:r>
      <w:r>
        <w:rPr>
          <w:color w:val="231F20"/>
          <w:spacing w:val="-1"/>
        </w:rPr>
        <w:t> </w:t>
      </w:r>
      <w:r>
        <w:rPr>
          <w:color w:val="231F20"/>
        </w:rPr>
        <w:t>this</w:t>
      </w:r>
      <w:r>
        <w:rPr>
          <w:color w:val="231F20"/>
          <w:spacing w:val="-1"/>
        </w:rPr>
        <w:t> </w:t>
      </w:r>
      <w:r>
        <w:rPr>
          <w:color w:val="231F20"/>
        </w:rPr>
        <w:t>Quarterly Report on Form 10-Q or, in the case of documents incorporated by reference, as of the date of those documents.</w:t>
      </w:r>
    </w:p>
    <w:p>
      <w:pPr>
        <w:pStyle w:val="BodyText"/>
        <w:spacing w:before="13"/>
      </w:pPr>
    </w:p>
    <w:p>
      <w:pPr>
        <w:pStyle w:val="BodyText"/>
        <w:ind w:left="470"/>
      </w:pPr>
      <w:r>
        <w:rPr>
          <w:color w:val="231F20"/>
        </w:rPr>
        <w:t>Important</w:t>
      </w:r>
      <w:r>
        <w:rPr>
          <w:color w:val="231F20"/>
          <w:spacing w:val="-8"/>
        </w:rPr>
        <w:t> </w:t>
      </w:r>
      <w:r>
        <w:rPr>
          <w:color w:val="231F20"/>
        </w:rPr>
        <w:t>factors</w:t>
      </w:r>
      <w:r>
        <w:rPr>
          <w:color w:val="231F20"/>
          <w:spacing w:val="-5"/>
        </w:rPr>
        <w:t> </w:t>
      </w:r>
      <w:r>
        <w:rPr>
          <w:color w:val="231F20"/>
        </w:rPr>
        <w:t>that</w:t>
      </w:r>
      <w:r>
        <w:rPr>
          <w:color w:val="231F20"/>
          <w:spacing w:val="-5"/>
        </w:rPr>
        <w:t> </w:t>
      </w:r>
      <w:r>
        <w:rPr>
          <w:color w:val="231F20"/>
        </w:rPr>
        <w:t>may</w:t>
      </w:r>
      <w:r>
        <w:rPr>
          <w:color w:val="231F20"/>
          <w:spacing w:val="-6"/>
        </w:rPr>
        <w:t> </w:t>
      </w:r>
      <w:r>
        <w:rPr>
          <w:color w:val="231F20"/>
        </w:rPr>
        <w:t>cause</w:t>
      </w:r>
      <w:r>
        <w:rPr>
          <w:color w:val="231F20"/>
          <w:spacing w:val="-5"/>
        </w:rPr>
        <w:t> </w:t>
      </w:r>
      <w:r>
        <w:rPr>
          <w:color w:val="231F20"/>
        </w:rPr>
        <w:t>actual</w:t>
      </w:r>
      <w:r>
        <w:rPr>
          <w:color w:val="231F20"/>
          <w:spacing w:val="-5"/>
        </w:rPr>
        <w:t> </w:t>
      </w:r>
      <w:r>
        <w:rPr>
          <w:color w:val="231F20"/>
        </w:rPr>
        <w:t>results</w:t>
      </w:r>
      <w:r>
        <w:rPr>
          <w:color w:val="231F20"/>
          <w:spacing w:val="-5"/>
        </w:rPr>
        <w:t> </w:t>
      </w:r>
      <w:r>
        <w:rPr>
          <w:color w:val="231F20"/>
        </w:rPr>
        <w:t>to</w:t>
      </w:r>
      <w:r>
        <w:rPr>
          <w:color w:val="231F20"/>
          <w:spacing w:val="-6"/>
        </w:rPr>
        <w:t> </w:t>
      </w:r>
      <w:r>
        <w:rPr>
          <w:color w:val="231F20"/>
        </w:rPr>
        <w:t>differ</w:t>
      </w:r>
      <w:r>
        <w:rPr>
          <w:color w:val="231F20"/>
          <w:spacing w:val="-5"/>
        </w:rPr>
        <w:t> </w:t>
      </w:r>
      <w:r>
        <w:rPr>
          <w:color w:val="231F20"/>
        </w:rPr>
        <w:t>include,</w:t>
      </w:r>
      <w:r>
        <w:rPr>
          <w:color w:val="231F20"/>
          <w:spacing w:val="-5"/>
        </w:rPr>
        <w:t> </w:t>
      </w:r>
      <w:r>
        <w:rPr>
          <w:color w:val="231F20"/>
        </w:rPr>
        <w:t>but</w:t>
      </w:r>
      <w:r>
        <w:rPr>
          <w:color w:val="231F20"/>
          <w:spacing w:val="-6"/>
        </w:rPr>
        <w:t> </w:t>
      </w:r>
      <w:r>
        <w:rPr>
          <w:color w:val="231F20"/>
        </w:rPr>
        <w:t>are</w:t>
      </w:r>
      <w:r>
        <w:rPr>
          <w:color w:val="231F20"/>
          <w:spacing w:val="-5"/>
        </w:rPr>
        <w:t> </w:t>
      </w:r>
      <w:r>
        <w:rPr>
          <w:color w:val="231F20"/>
        </w:rPr>
        <w:t>not</w:t>
      </w:r>
      <w:r>
        <w:rPr>
          <w:color w:val="231F20"/>
          <w:spacing w:val="-5"/>
        </w:rPr>
        <w:t> </w:t>
      </w:r>
      <w:r>
        <w:rPr>
          <w:color w:val="231F20"/>
        </w:rPr>
        <w:t>limited</w:t>
      </w:r>
      <w:r>
        <w:rPr>
          <w:color w:val="231F20"/>
          <w:spacing w:val="-5"/>
        </w:rPr>
        <w:t> to:</w:t>
      </w:r>
    </w:p>
    <w:p>
      <w:pPr>
        <w:pStyle w:val="ListParagraph"/>
        <w:numPr>
          <w:ilvl w:val="0"/>
          <w:numId w:val="2"/>
        </w:numPr>
        <w:tabs>
          <w:tab w:pos="1189" w:val="left" w:leader="none"/>
        </w:tabs>
        <w:spacing w:line="240" w:lineRule="auto" w:before="10" w:after="0"/>
        <w:ind w:left="1189" w:right="0" w:hanging="359"/>
        <w:jc w:val="left"/>
        <w:rPr>
          <w:color w:val="231F20"/>
          <w:sz w:val="20"/>
        </w:rPr>
      </w:pPr>
      <w:r>
        <w:rPr>
          <w:color w:val="231F20"/>
          <w:sz w:val="20"/>
        </w:rPr>
        <w:t>General</w:t>
      </w:r>
      <w:r>
        <w:rPr>
          <w:color w:val="231F20"/>
          <w:spacing w:val="-7"/>
          <w:sz w:val="20"/>
        </w:rPr>
        <w:t> </w:t>
      </w:r>
      <w:r>
        <w:rPr>
          <w:color w:val="231F20"/>
          <w:sz w:val="20"/>
        </w:rPr>
        <w:t>market</w:t>
      </w:r>
      <w:r>
        <w:rPr>
          <w:color w:val="231F20"/>
          <w:spacing w:val="-6"/>
          <w:sz w:val="20"/>
        </w:rPr>
        <w:t> </w:t>
      </w:r>
      <w:r>
        <w:rPr>
          <w:color w:val="231F20"/>
          <w:sz w:val="20"/>
        </w:rPr>
        <w:t>conditions,</w:t>
      </w:r>
      <w:r>
        <w:rPr>
          <w:color w:val="231F20"/>
          <w:spacing w:val="-6"/>
          <w:sz w:val="20"/>
        </w:rPr>
        <w:t> </w:t>
      </w:r>
      <w:r>
        <w:rPr>
          <w:color w:val="231F20"/>
          <w:sz w:val="20"/>
        </w:rPr>
        <w:t>including</w:t>
      </w:r>
      <w:r>
        <w:rPr>
          <w:color w:val="231F20"/>
          <w:spacing w:val="-6"/>
          <w:sz w:val="20"/>
        </w:rPr>
        <w:t> </w:t>
      </w:r>
      <w:r>
        <w:rPr>
          <w:color w:val="231F20"/>
          <w:sz w:val="20"/>
        </w:rPr>
        <w:t>the</w:t>
      </w:r>
      <w:r>
        <w:rPr>
          <w:color w:val="231F20"/>
          <w:spacing w:val="-6"/>
          <w:sz w:val="20"/>
        </w:rPr>
        <w:t> </w:t>
      </w:r>
      <w:r>
        <w:rPr>
          <w:color w:val="231F20"/>
          <w:sz w:val="20"/>
        </w:rPr>
        <w:t>level</w:t>
      </w:r>
      <w:r>
        <w:rPr>
          <w:color w:val="231F20"/>
          <w:spacing w:val="-6"/>
          <w:sz w:val="20"/>
        </w:rPr>
        <w:t> </w:t>
      </w:r>
      <w:r>
        <w:rPr>
          <w:color w:val="231F20"/>
          <w:sz w:val="20"/>
        </w:rPr>
        <w:t>of</w:t>
      </w:r>
      <w:r>
        <w:rPr>
          <w:color w:val="231F20"/>
          <w:spacing w:val="-6"/>
          <w:sz w:val="20"/>
        </w:rPr>
        <w:t> </w:t>
      </w:r>
      <w:r>
        <w:rPr>
          <w:color w:val="231F20"/>
          <w:sz w:val="20"/>
        </w:rPr>
        <w:t>interest</w:t>
      </w:r>
      <w:r>
        <w:rPr>
          <w:color w:val="231F20"/>
          <w:spacing w:val="-6"/>
          <w:sz w:val="20"/>
        </w:rPr>
        <w:t> </w:t>
      </w:r>
      <w:r>
        <w:rPr>
          <w:color w:val="231F20"/>
          <w:sz w:val="20"/>
        </w:rPr>
        <w:t>rates</w:t>
      </w:r>
      <w:r>
        <w:rPr>
          <w:color w:val="231F20"/>
          <w:spacing w:val="-6"/>
          <w:sz w:val="20"/>
        </w:rPr>
        <w:t> </w:t>
      </w:r>
      <w:r>
        <w:rPr>
          <w:color w:val="231F20"/>
          <w:sz w:val="20"/>
        </w:rPr>
        <w:t>and</w:t>
      </w:r>
      <w:r>
        <w:rPr>
          <w:color w:val="231F20"/>
          <w:spacing w:val="-6"/>
          <w:sz w:val="20"/>
        </w:rPr>
        <w:t> </w:t>
      </w:r>
      <w:r>
        <w:rPr>
          <w:color w:val="231F20"/>
          <w:sz w:val="20"/>
        </w:rPr>
        <w:t>equity</w:t>
      </w:r>
      <w:r>
        <w:rPr>
          <w:color w:val="231F20"/>
          <w:spacing w:val="-6"/>
          <w:sz w:val="20"/>
        </w:rPr>
        <w:t> </w:t>
      </w:r>
      <w:r>
        <w:rPr>
          <w:color w:val="231F20"/>
          <w:spacing w:val="-2"/>
          <w:sz w:val="20"/>
        </w:rPr>
        <w:t>valuations;</w:t>
      </w:r>
    </w:p>
    <w:p>
      <w:pPr>
        <w:pStyle w:val="ListParagraph"/>
        <w:numPr>
          <w:ilvl w:val="0"/>
          <w:numId w:val="2"/>
        </w:numPr>
        <w:tabs>
          <w:tab w:pos="1189" w:val="left" w:leader="none"/>
        </w:tabs>
        <w:spacing w:line="240" w:lineRule="auto" w:before="10" w:after="0"/>
        <w:ind w:left="1189" w:right="0" w:hanging="359"/>
        <w:jc w:val="left"/>
        <w:rPr>
          <w:color w:val="231F20"/>
          <w:sz w:val="20"/>
        </w:rPr>
      </w:pPr>
      <w:r>
        <w:rPr>
          <w:color w:val="231F20"/>
          <w:sz w:val="20"/>
        </w:rPr>
        <w:t>The</w:t>
      </w:r>
      <w:r>
        <w:rPr>
          <w:color w:val="231F20"/>
          <w:spacing w:val="-5"/>
          <w:sz w:val="20"/>
        </w:rPr>
        <w:t> </w:t>
      </w:r>
      <w:r>
        <w:rPr>
          <w:color w:val="231F20"/>
          <w:sz w:val="20"/>
        </w:rPr>
        <w:t>level</w:t>
      </w:r>
      <w:r>
        <w:rPr>
          <w:color w:val="231F20"/>
          <w:spacing w:val="-4"/>
          <w:sz w:val="20"/>
        </w:rPr>
        <w:t> </w:t>
      </w:r>
      <w:r>
        <w:rPr>
          <w:color w:val="231F20"/>
          <w:sz w:val="20"/>
        </w:rPr>
        <w:t>and</w:t>
      </w:r>
      <w:r>
        <w:rPr>
          <w:color w:val="231F20"/>
          <w:spacing w:val="-4"/>
          <w:sz w:val="20"/>
        </w:rPr>
        <w:t> </w:t>
      </w:r>
      <w:r>
        <w:rPr>
          <w:color w:val="231F20"/>
          <w:sz w:val="20"/>
        </w:rPr>
        <w:t>mix</w:t>
      </w:r>
      <w:r>
        <w:rPr>
          <w:color w:val="231F20"/>
          <w:spacing w:val="-4"/>
          <w:sz w:val="20"/>
        </w:rPr>
        <w:t> </w:t>
      </w:r>
      <w:r>
        <w:rPr>
          <w:color w:val="231F20"/>
          <w:sz w:val="20"/>
        </w:rPr>
        <w:t>of</w:t>
      </w:r>
      <w:r>
        <w:rPr>
          <w:color w:val="231F20"/>
          <w:spacing w:val="-4"/>
          <w:sz w:val="20"/>
        </w:rPr>
        <w:t> </w:t>
      </w:r>
      <w:r>
        <w:rPr>
          <w:color w:val="231F20"/>
          <w:sz w:val="20"/>
        </w:rPr>
        <w:t>client</w:t>
      </w:r>
      <w:r>
        <w:rPr>
          <w:color w:val="231F20"/>
          <w:spacing w:val="-4"/>
          <w:sz w:val="20"/>
        </w:rPr>
        <w:t> </w:t>
      </w:r>
      <w:r>
        <w:rPr>
          <w:color w:val="231F20"/>
          <w:sz w:val="20"/>
        </w:rPr>
        <w:t>trading</w:t>
      </w:r>
      <w:r>
        <w:rPr>
          <w:color w:val="231F20"/>
          <w:spacing w:val="-4"/>
          <w:sz w:val="20"/>
        </w:rPr>
        <w:t> </w:t>
      </w:r>
      <w:r>
        <w:rPr>
          <w:color w:val="231F20"/>
          <w:spacing w:val="-2"/>
          <w:sz w:val="20"/>
        </w:rPr>
        <w:t>activity;</w:t>
      </w:r>
    </w:p>
    <w:p>
      <w:pPr>
        <w:pStyle w:val="ListParagraph"/>
        <w:numPr>
          <w:ilvl w:val="0"/>
          <w:numId w:val="2"/>
        </w:numPr>
        <w:tabs>
          <w:tab w:pos="1189" w:val="left" w:leader="none"/>
        </w:tabs>
        <w:spacing w:line="240" w:lineRule="auto" w:before="10" w:after="0"/>
        <w:ind w:left="1189" w:right="0" w:hanging="359"/>
        <w:jc w:val="left"/>
        <w:rPr>
          <w:color w:val="231F20"/>
          <w:sz w:val="20"/>
        </w:rPr>
      </w:pPr>
      <w:r>
        <w:rPr>
          <w:color w:val="231F20"/>
          <w:sz w:val="20"/>
        </w:rPr>
        <w:t>Our</w:t>
      </w:r>
      <w:r>
        <w:rPr>
          <w:color w:val="231F20"/>
          <w:spacing w:val="-6"/>
          <w:sz w:val="20"/>
        </w:rPr>
        <w:t> </w:t>
      </w:r>
      <w:r>
        <w:rPr>
          <w:color w:val="231F20"/>
          <w:sz w:val="20"/>
        </w:rPr>
        <w:t>ability</w:t>
      </w:r>
      <w:r>
        <w:rPr>
          <w:color w:val="231F20"/>
          <w:spacing w:val="-6"/>
          <w:sz w:val="20"/>
        </w:rPr>
        <w:t> </w:t>
      </w:r>
      <w:r>
        <w:rPr>
          <w:color w:val="231F20"/>
          <w:sz w:val="20"/>
        </w:rPr>
        <w:t>to</w:t>
      </w:r>
      <w:r>
        <w:rPr>
          <w:color w:val="231F20"/>
          <w:spacing w:val="-6"/>
          <w:sz w:val="20"/>
        </w:rPr>
        <w:t> </w:t>
      </w:r>
      <w:r>
        <w:rPr>
          <w:color w:val="231F20"/>
          <w:sz w:val="20"/>
        </w:rPr>
        <w:t>attract</w:t>
      </w:r>
      <w:r>
        <w:rPr>
          <w:color w:val="231F20"/>
          <w:spacing w:val="-6"/>
          <w:sz w:val="20"/>
        </w:rPr>
        <w:t> </w:t>
      </w:r>
      <w:r>
        <w:rPr>
          <w:color w:val="231F20"/>
          <w:sz w:val="20"/>
        </w:rPr>
        <w:t>and</w:t>
      </w:r>
      <w:r>
        <w:rPr>
          <w:color w:val="231F20"/>
          <w:spacing w:val="-6"/>
          <w:sz w:val="20"/>
        </w:rPr>
        <w:t> </w:t>
      </w:r>
      <w:r>
        <w:rPr>
          <w:color w:val="231F20"/>
          <w:sz w:val="20"/>
        </w:rPr>
        <w:t>retain</w:t>
      </w:r>
      <w:r>
        <w:rPr>
          <w:color w:val="231F20"/>
          <w:spacing w:val="-6"/>
          <w:sz w:val="20"/>
        </w:rPr>
        <w:t> </w:t>
      </w:r>
      <w:r>
        <w:rPr>
          <w:color w:val="231F20"/>
          <w:sz w:val="20"/>
        </w:rPr>
        <w:t>clients,</w:t>
      </w:r>
      <w:r>
        <w:rPr>
          <w:color w:val="231F20"/>
          <w:spacing w:val="-6"/>
          <w:sz w:val="20"/>
        </w:rPr>
        <w:t> </w:t>
      </w:r>
      <w:r>
        <w:rPr>
          <w:color w:val="231F20"/>
          <w:sz w:val="20"/>
        </w:rPr>
        <w:t>develop</w:t>
      </w:r>
      <w:r>
        <w:rPr>
          <w:color w:val="231F20"/>
          <w:spacing w:val="-6"/>
          <w:sz w:val="20"/>
        </w:rPr>
        <w:t> </w:t>
      </w:r>
      <w:r>
        <w:rPr>
          <w:color w:val="231F20"/>
          <w:sz w:val="20"/>
        </w:rPr>
        <w:t>trusted</w:t>
      </w:r>
      <w:r>
        <w:rPr>
          <w:color w:val="231F20"/>
          <w:spacing w:val="-6"/>
          <w:sz w:val="20"/>
        </w:rPr>
        <w:t> </w:t>
      </w:r>
      <w:r>
        <w:rPr>
          <w:color w:val="231F20"/>
          <w:sz w:val="20"/>
        </w:rPr>
        <w:t>relationships,</w:t>
      </w:r>
      <w:r>
        <w:rPr>
          <w:color w:val="231F20"/>
          <w:spacing w:val="-6"/>
          <w:sz w:val="20"/>
        </w:rPr>
        <w:t> </w:t>
      </w:r>
      <w:r>
        <w:rPr>
          <w:color w:val="231F20"/>
          <w:sz w:val="20"/>
        </w:rPr>
        <w:t>and</w:t>
      </w:r>
      <w:r>
        <w:rPr>
          <w:color w:val="231F20"/>
          <w:spacing w:val="-6"/>
          <w:sz w:val="20"/>
        </w:rPr>
        <w:t> </w:t>
      </w:r>
      <w:r>
        <w:rPr>
          <w:color w:val="231F20"/>
          <w:sz w:val="20"/>
        </w:rPr>
        <w:t>grow</w:t>
      </w:r>
      <w:r>
        <w:rPr>
          <w:color w:val="231F20"/>
          <w:spacing w:val="-6"/>
          <w:sz w:val="20"/>
        </w:rPr>
        <w:t> </w:t>
      </w:r>
      <w:r>
        <w:rPr>
          <w:color w:val="231F20"/>
          <w:sz w:val="20"/>
        </w:rPr>
        <w:t>client</w:t>
      </w:r>
      <w:r>
        <w:rPr>
          <w:color w:val="231F20"/>
          <w:spacing w:val="-6"/>
          <w:sz w:val="20"/>
        </w:rPr>
        <w:t> </w:t>
      </w:r>
      <w:r>
        <w:rPr>
          <w:color w:val="231F20"/>
          <w:spacing w:val="-2"/>
          <w:sz w:val="20"/>
        </w:rPr>
        <w:t>assets;</w:t>
      </w:r>
    </w:p>
    <w:p>
      <w:pPr>
        <w:pStyle w:val="ListParagraph"/>
        <w:numPr>
          <w:ilvl w:val="0"/>
          <w:numId w:val="2"/>
        </w:numPr>
        <w:tabs>
          <w:tab w:pos="1189" w:val="left" w:leader="none"/>
        </w:tabs>
        <w:spacing w:line="240" w:lineRule="auto" w:before="10" w:after="0"/>
        <w:ind w:left="1189" w:right="0" w:hanging="360"/>
        <w:jc w:val="left"/>
        <w:rPr>
          <w:color w:val="231F20"/>
          <w:sz w:val="20"/>
        </w:rPr>
      </w:pPr>
      <w:r>
        <w:rPr>
          <w:color w:val="231F20"/>
          <w:sz w:val="20"/>
        </w:rPr>
        <w:t>Client</w:t>
      </w:r>
      <w:r>
        <w:rPr>
          <w:color w:val="231F20"/>
          <w:spacing w:val="-7"/>
          <w:sz w:val="20"/>
        </w:rPr>
        <w:t> </w:t>
      </w:r>
      <w:r>
        <w:rPr>
          <w:color w:val="231F20"/>
          <w:sz w:val="20"/>
        </w:rPr>
        <w:t>use</w:t>
      </w:r>
      <w:r>
        <w:rPr>
          <w:color w:val="231F20"/>
          <w:spacing w:val="-4"/>
          <w:sz w:val="20"/>
        </w:rPr>
        <w:t> </w:t>
      </w:r>
      <w:r>
        <w:rPr>
          <w:color w:val="231F20"/>
          <w:sz w:val="20"/>
        </w:rPr>
        <w:t>of</w:t>
      </w:r>
      <w:r>
        <w:rPr>
          <w:color w:val="231F20"/>
          <w:spacing w:val="-5"/>
          <w:sz w:val="20"/>
        </w:rPr>
        <w:t> </w:t>
      </w:r>
      <w:r>
        <w:rPr>
          <w:color w:val="231F20"/>
          <w:sz w:val="20"/>
        </w:rPr>
        <w:t>our</w:t>
      </w:r>
      <w:r>
        <w:rPr>
          <w:color w:val="231F20"/>
          <w:spacing w:val="-4"/>
          <w:sz w:val="20"/>
        </w:rPr>
        <w:t> </w:t>
      </w:r>
      <w:r>
        <w:rPr>
          <w:color w:val="231F20"/>
          <w:sz w:val="20"/>
        </w:rPr>
        <w:t>advisory</w:t>
      </w:r>
      <w:r>
        <w:rPr>
          <w:color w:val="231F20"/>
          <w:spacing w:val="-5"/>
          <w:sz w:val="20"/>
        </w:rPr>
        <w:t> </w:t>
      </w:r>
      <w:r>
        <w:rPr>
          <w:color w:val="231F20"/>
          <w:sz w:val="20"/>
        </w:rPr>
        <w:t>and</w:t>
      </w:r>
      <w:r>
        <w:rPr>
          <w:color w:val="231F20"/>
          <w:spacing w:val="-4"/>
          <w:sz w:val="20"/>
        </w:rPr>
        <w:t> </w:t>
      </w:r>
      <w:r>
        <w:rPr>
          <w:color w:val="231F20"/>
          <w:sz w:val="20"/>
        </w:rPr>
        <w:t>lending</w:t>
      </w:r>
      <w:r>
        <w:rPr>
          <w:color w:val="231F20"/>
          <w:spacing w:val="-5"/>
          <w:sz w:val="20"/>
        </w:rPr>
        <w:t> </w:t>
      </w:r>
      <w:r>
        <w:rPr>
          <w:color w:val="231F20"/>
          <w:sz w:val="20"/>
        </w:rPr>
        <w:t>solutions</w:t>
      </w:r>
      <w:r>
        <w:rPr>
          <w:color w:val="231F20"/>
          <w:spacing w:val="-4"/>
          <w:sz w:val="20"/>
        </w:rPr>
        <w:t> </w:t>
      </w:r>
      <w:r>
        <w:rPr>
          <w:color w:val="231F20"/>
          <w:sz w:val="20"/>
        </w:rPr>
        <w:t>and</w:t>
      </w:r>
      <w:r>
        <w:rPr>
          <w:color w:val="231F20"/>
          <w:spacing w:val="-5"/>
          <w:sz w:val="20"/>
        </w:rPr>
        <w:t> </w:t>
      </w:r>
      <w:r>
        <w:rPr>
          <w:color w:val="231F20"/>
          <w:sz w:val="20"/>
        </w:rPr>
        <w:t>other</w:t>
      </w:r>
      <w:r>
        <w:rPr>
          <w:color w:val="231F20"/>
          <w:spacing w:val="-4"/>
          <w:sz w:val="20"/>
        </w:rPr>
        <w:t> </w:t>
      </w:r>
      <w:r>
        <w:rPr>
          <w:color w:val="231F20"/>
          <w:sz w:val="20"/>
        </w:rPr>
        <w:t>products</w:t>
      </w:r>
      <w:r>
        <w:rPr>
          <w:color w:val="231F20"/>
          <w:spacing w:val="-5"/>
          <w:sz w:val="20"/>
        </w:rPr>
        <w:t> </w:t>
      </w:r>
      <w:r>
        <w:rPr>
          <w:color w:val="231F20"/>
          <w:sz w:val="20"/>
        </w:rPr>
        <w:t>and</w:t>
      </w:r>
      <w:r>
        <w:rPr>
          <w:color w:val="231F20"/>
          <w:spacing w:val="-4"/>
          <w:sz w:val="20"/>
        </w:rPr>
        <w:t> </w:t>
      </w:r>
      <w:r>
        <w:rPr>
          <w:color w:val="231F20"/>
          <w:spacing w:val="-2"/>
          <w:sz w:val="20"/>
        </w:rPr>
        <w:t>services;</w:t>
      </w:r>
    </w:p>
    <w:p>
      <w:pPr>
        <w:pStyle w:val="ListParagraph"/>
        <w:numPr>
          <w:ilvl w:val="0"/>
          <w:numId w:val="2"/>
        </w:numPr>
        <w:tabs>
          <w:tab w:pos="1189" w:val="left" w:leader="none"/>
        </w:tabs>
        <w:spacing w:line="240" w:lineRule="auto" w:before="10" w:after="0"/>
        <w:ind w:left="1189" w:right="0" w:hanging="360"/>
        <w:jc w:val="left"/>
        <w:rPr>
          <w:color w:val="231F20"/>
          <w:sz w:val="20"/>
        </w:rPr>
      </w:pPr>
      <w:r>
        <w:rPr>
          <w:color w:val="231F20"/>
          <w:sz w:val="20"/>
        </w:rPr>
        <w:t>The</w:t>
      </w:r>
      <w:r>
        <w:rPr>
          <w:color w:val="231F20"/>
          <w:spacing w:val="-6"/>
          <w:sz w:val="20"/>
        </w:rPr>
        <w:t> </w:t>
      </w:r>
      <w:r>
        <w:rPr>
          <w:color w:val="231F20"/>
          <w:sz w:val="20"/>
        </w:rPr>
        <w:t>level</w:t>
      </w:r>
      <w:r>
        <w:rPr>
          <w:color w:val="231F20"/>
          <w:spacing w:val="-5"/>
          <w:sz w:val="20"/>
        </w:rPr>
        <w:t> </w:t>
      </w:r>
      <w:r>
        <w:rPr>
          <w:color w:val="231F20"/>
          <w:sz w:val="20"/>
        </w:rPr>
        <w:t>of</w:t>
      </w:r>
      <w:r>
        <w:rPr>
          <w:color w:val="231F20"/>
          <w:spacing w:val="-5"/>
          <w:sz w:val="20"/>
        </w:rPr>
        <w:t> </w:t>
      </w:r>
      <w:r>
        <w:rPr>
          <w:color w:val="231F20"/>
          <w:sz w:val="20"/>
        </w:rPr>
        <w:t>client</w:t>
      </w:r>
      <w:r>
        <w:rPr>
          <w:color w:val="231F20"/>
          <w:spacing w:val="-5"/>
          <w:sz w:val="20"/>
        </w:rPr>
        <w:t> </w:t>
      </w:r>
      <w:r>
        <w:rPr>
          <w:color w:val="231F20"/>
          <w:sz w:val="20"/>
        </w:rPr>
        <w:t>assets,</w:t>
      </w:r>
      <w:r>
        <w:rPr>
          <w:color w:val="231F20"/>
          <w:spacing w:val="-5"/>
          <w:sz w:val="20"/>
        </w:rPr>
        <w:t> </w:t>
      </w:r>
      <w:r>
        <w:rPr>
          <w:color w:val="231F20"/>
          <w:sz w:val="20"/>
        </w:rPr>
        <w:t>including</w:t>
      </w:r>
      <w:r>
        <w:rPr>
          <w:color w:val="231F20"/>
          <w:spacing w:val="-5"/>
          <w:sz w:val="20"/>
        </w:rPr>
        <w:t> </w:t>
      </w:r>
      <w:r>
        <w:rPr>
          <w:color w:val="231F20"/>
          <w:sz w:val="20"/>
        </w:rPr>
        <w:t>cash</w:t>
      </w:r>
      <w:r>
        <w:rPr>
          <w:color w:val="231F20"/>
          <w:spacing w:val="-5"/>
          <w:sz w:val="20"/>
        </w:rPr>
        <w:t> </w:t>
      </w:r>
      <w:r>
        <w:rPr>
          <w:color w:val="231F20"/>
          <w:spacing w:val="-2"/>
          <w:sz w:val="20"/>
        </w:rPr>
        <w:t>balances;</w:t>
      </w:r>
    </w:p>
    <w:p>
      <w:pPr>
        <w:pStyle w:val="ListParagraph"/>
        <w:numPr>
          <w:ilvl w:val="0"/>
          <w:numId w:val="2"/>
        </w:numPr>
        <w:tabs>
          <w:tab w:pos="1189" w:val="left" w:leader="none"/>
        </w:tabs>
        <w:spacing w:line="240" w:lineRule="auto" w:before="10" w:after="0"/>
        <w:ind w:left="1189" w:right="0" w:hanging="360"/>
        <w:jc w:val="left"/>
        <w:rPr>
          <w:color w:val="231F20"/>
          <w:sz w:val="20"/>
        </w:rPr>
      </w:pPr>
      <w:r>
        <w:rPr>
          <w:color w:val="231F20"/>
          <w:sz w:val="20"/>
        </w:rPr>
        <w:t>Competitive</w:t>
      </w:r>
      <w:r>
        <w:rPr>
          <w:color w:val="231F20"/>
          <w:spacing w:val="-10"/>
          <w:sz w:val="20"/>
        </w:rPr>
        <w:t> </w:t>
      </w:r>
      <w:r>
        <w:rPr>
          <w:color w:val="231F20"/>
          <w:sz w:val="20"/>
        </w:rPr>
        <w:t>pressure</w:t>
      </w:r>
      <w:r>
        <w:rPr>
          <w:color w:val="231F20"/>
          <w:spacing w:val="-7"/>
          <w:sz w:val="20"/>
        </w:rPr>
        <w:t> </w:t>
      </w:r>
      <w:r>
        <w:rPr>
          <w:color w:val="231F20"/>
          <w:sz w:val="20"/>
        </w:rPr>
        <w:t>on</w:t>
      </w:r>
      <w:r>
        <w:rPr>
          <w:color w:val="231F20"/>
          <w:spacing w:val="-8"/>
          <w:sz w:val="20"/>
        </w:rPr>
        <w:t> </w:t>
      </w:r>
      <w:r>
        <w:rPr>
          <w:color w:val="231F20"/>
          <w:sz w:val="20"/>
        </w:rPr>
        <w:t>pricing,</w:t>
      </w:r>
      <w:r>
        <w:rPr>
          <w:color w:val="231F20"/>
          <w:spacing w:val="-7"/>
          <w:sz w:val="20"/>
        </w:rPr>
        <w:t> </w:t>
      </w:r>
      <w:r>
        <w:rPr>
          <w:color w:val="231F20"/>
          <w:sz w:val="20"/>
        </w:rPr>
        <w:t>including</w:t>
      </w:r>
      <w:r>
        <w:rPr>
          <w:color w:val="231F20"/>
          <w:spacing w:val="-8"/>
          <w:sz w:val="20"/>
        </w:rPr>
        <w:t> </w:t>
      </w:r>
      <w:r>
        <w:rPr>
          <w:color w:val="231F20"/>
          <w:sz w:val="20"/>
        </w:rPr>
        <w:t>deposit</w:t>
      </w:r>
      <w:r>
        <w:rPr>
          <w:color w:val="231F20"/>
          <w:spacing w:val="-7"/>
          <w:sz w:val="20"/>
        </w:rPr>
        <w:t> </w:t>
      </w:r>
      <w:r>
        <w:rPr>
          <w:color w:val="231F20"/>
          <w:spacing w:val="-2"/>
          <w:sz w:val="20"/>
        </w:rPr>
        <w:t>rates;</w:t>
      </w:r>
    </w:p>
    <w:p>
      <w:pPr>
        <w:spacing w:after="0" w:line="240" w:lineRule="auto"/>
        <w:jc w:val="left"/>
        <w:rPr>
          <w:sz w:val="20"/>
        </w:rPr>
        <w:sectPr>
          <w:headerReference w:type="default" r:id="rId7"/>
          <w:footerReference w:type="default" r:id="rId8"/>
          <w:pgSz w:w="12240" w:h="15840"/>
          <w:pgMar w:header="512" w:footer="336" w:top="1180" w:bottom="520" w:left="520" w:right="520"/>
        </w:sectPr>
      </w:pPr>
    </w:p>
    <w:p>
      <w:pPr>
        <w:pStyle w:val="BodyText"/>
        <w:spacing w:before="26"/>
      </w:pPr>
    </w:p>
    <w:p>
      <w:pPr>
        <w:pStyle w:val="ListParagraph"/>
        <w:numPr>
          <w:ilvl w:val="0"/>
          <w:numId w:val="2"/>
        </w:numPr>
        <w:tabs>
          <w:tab w:pos="1189" w:val="left" w:leader="none"/>
        </w:tabs>
        <w:spacing w:line="240" w:lineRule="auto" w:before="0" w:after="0"/>
        <w:ind w:left="1189" w:right="0" w:hanging="359"/>
        <w:jc w:val="left"/>
        <w:rPr>
          <w:sz w:val="20"/>
        </w:rPr>
      </w:pPr>
      <w:r>
        <w:rPr>
          <w:sz w:val="20"/>
        </w:rPr>
        <w:t>Client</w:t>
      </w:r>
      <w:r>
        <w:rPr>
          <w:spacing w:val="-6"/>
          <w:sz w:val="20"/>
        </w:rPr>
        <w:t> </w:t>
      </w:r>
      <w:r>
        <w:rPr>
          <w:sz w:val="20"/>
        </w:rPr>
        <w:t>sensitivity</w:t>
      </w:r>
      <w:r>
        <w:rPr>
          <w:spacing w:val="-4"/>
          <w:sz w:val="20"/>
        </w:rPr>
        <w:t> </w:t>
      </w:r>
      <w:r>
        <w:rPr>
          <w:sz w:val="20"/>
        </w:rPr>
        <w:t>to</w:t>
      </w:r>
      <w:r>
        <w:rPr>
          <w:spacing w:val="-4"/>
          <w:sz w:val="20"/>
        </w:rPr>
        <w:t> </w:t>
      </w:r>
      <w:r>
        <w:rPr>
          <w:spacing w:val="-2"/>
          <w:sz w:val="20"/>
        </w:rPr>
        <w:t>rates;</w:t>
      </w:r>
    </w:p>
    <w:p>
      <w:pPr>
        <w:pStyle w:val="ListParagraph"/>
        <w:numPr>
          <w:ilvl w:val="0"/>
          <w:numId w:val="2"/>
        </w:numPr>
        <w:tabs>
          <w:tab w:pos="1189" w:val="left" w:leader="none"/>
        </w:tabs>
        <w:spacing w:line="240" w:lineRule="auto" w:before="10" w:after="0"/>
        <w:ind w:left="1189" w:right="0" w:hanging="359"/>
        <w:jc w:val="left"/>
        <w:rPr>
          <w:sz w:val="20"/>
        </w:rPr>
      </w:pPr>
      <w:r>
        <w:rPr>
          <w:sz w:val="20"/>
        </w:rPr>
        <w:t>Regulatory</w:t>
      </w:r>
      <w:r>
        <w:rPr>
          <w:spacing w:val="-5"/>
          <w:sz w:val="20"/>
        </w:rPr>
        <w:t> </w:t>
      </w:r>
      <w:r>
        <w:rPr>
          <w:sz w:val="20"/>
        </w:rPr>
        <w:t>guidance</w:t>
      </w:r>
      <w:r>
        <w:rPr>
          <w:spacing w:val="-4"/>
          <w:sz w:val="20"/>
        </w:rPr>
        <w:t> </w:t>
      </w:r>
      <w:r>
        <w:rPr>
          <w:sz w:val="20"/>
        </w:rPr>
        <w:t>and</w:t>
      </w:r>
      <w:r>
        <w:rPr>
          <w:spacing w:val="-3"/>
          <w:sz w:val="20"/>
        </w:rPr>
        <w:t> </w:t>
      </w:r>
      <w:r>
        <w:rPr>
          <w:sz w:val="20"/>
        </w:rPr>
        <w:t>adverse</w:t>
      </w:r>
      <w:r>
        <w:rPr>
          <w:spacing w:val="-4"/>
          <w:sz w:val="20"/>
        </w:rPr>
        <w:t> </w:t>
      </w:r>
      <w:r>
        <w:rPr>
          <w:sz w:val="20"/>
        </w:rPr>
        <w:t>impacts</w:t>
      </w:r>
      <w:r>
        <w:rPr>
          <w:spacing w:val="-4"/>
          <w:sz w:val="20"/>
        </w:rPr>
        <w:t> </w:t>
      </w:r>
      <w:r>
        <w:rPr>
          <w:sz w:val="20"/>
        </w:rPr>
        <w:t>from</w:t>
      </w:r>
      <w:r>
        <w:rPr>
          <w:spacing w:val="-4"/>
          <w:sz w:val="20"/>
        </w:rPr>
        <w:t> </w:t>
      </w:r>
      <w:r>
        <w:rPr>
          <w:sz w:val="20"/>
        </w:rPr>
        <w:t>new</w:t>
      </w:r>
      <w:r>
        <w:rPr>
          <w:spacing w:val="-4"/>
          <w:sz w:val="20"/>
        </w:rPr>
        <w:t> </w:t>
      </w:r>
      <w:r>
        <w:rPr>
          <w:sz w:val="20"/>
        </w:rPr>
        <w:t>or</w:t>
      </w:r>
      <w:r>
        <w:rPr>
          <w:spacing w:val="-3"/>
          <w:sz w:val="20"/>
        </w:rPr>
        <w:t> </w:t>
      </w:r>
      <w:r>
        <w:rPr>
          <w:sz w:val="20"/>
        </w:rPr>
        <w:t>changed</w:t>
      </w:r>
      <w:r>
        <w:rPr>
          <w:spacing w:val="-3"/>
          <w:sz w:val="20"/>
        </w:rPr>
        <w:t> </w:t>
      </w:r>
      <w:r>
        <w:rPr>
          <w:sz w:val="20"/>
        </w:rPr>
        <w:t>legislation,</w:t>
      </w:r>
      <w:r>
        <w:rPr>
          <w:spacing w:val="-3"/>
          <w:sz w:val="20"/>
        </w:rPr>
        <w:t> </w:t>
      </w:r>
      <w:r>
        <w:rPr>
          <w:sz w:val="20"/>
        </w:rPr>
        <w:t>rulemaking,</w:t>
      </w:r>
      <w:r>
        <w:rPr>
          <w:spacing w:val="-3"/>
          <w:sz w:val="20"/>
        </w:rPr>
        <w:t> </w:t>
      </w:r>
      <w:r>
        <w:rPr>
          <w:sz w:val="20"/>
        </w:rPr>
        <w:t>or</w:t>
      </w:r>
      <w:r>
        <w:rPr>
          <w:spacing w:val="-3"/>
          <w:sz w:val="20"/>
        </w:rPr>
        <w:t> </w:t>
      </w:r>
      <w:r>
        <w:rPr>
          <w:sz w:val="20"/>
        </w:rPr>
        <w:t>regulatory</w:t>
      </w:r>
      <w:r>
        <w:rPr>
          <w:spacing w:val="-2"/>
          <w:sz w:val="20"/>
        </w:rPr>
        <w:t> expectations;</w:t>
      </w:r>
    </w:p>
    <w:p>
      <w:pPr>
        <w:pStyle w:val="ListParagraph"/>
        <w:numPr>
          <w:ilvl w:val="0"/>
          <w:numId w:val="2"/>
        </w:numPr>
        <w:tabs>
          <w:tab w:pos="1189" w:val="left" w:leader="none"/>
        </w:tabs>
        <w:spacing w:line="240" w:lineRule="auto" w:before="10" w:after="0"/>
        <w:ind w:left="1189" w:right="0" w:hanging="359"/>
        <w:jc w:val="left"/>
        <w:rPr>
          <w:sz w:val="20"/>
        </w:rPr>
      </w:pPr>
      <w:r>
        <w:rPr>
          <w:sz w:val="20"/>
        </w:rPr>
        <w:t>Capital</w:t>
      </w:r>
      <w:r>
        <w:rPr>
          <w:spacing w:val="-4"/>
          <w:sz w:val="20"/>
        </w:rPr>
        <w:t> </w:t>
      </w:r>
      <w:r>
        <w:rPr>
          <w:sz w:val="20"/>
        </w:rPr>
        <w:t>and</w:t>
      </w:r>
      <w:r>
        <w:rPr>
          <w:spacing w:val="-3"/>
          <w:sz w:val="20"/>
        </w:rPr>
        <w:t> </w:t>
      </w:r>
      <w:r>
        <w:rPr>
          <w:sz w:val="20"/>
        </w:rPr>
        <w:t>liquidity</w:t>
      </w:r>
      <w:r>
        <w:rPr>
          <w:spacing w:val="-3"/>
          <w:sz w:val="20"/>
        </w:rPr>
        <w:t> </w:t>
      </w:r>
      <w:r>
        <w:rPr>
          <w:sz w:val="20"/>
        </w:rPr>
        <w:t>needs</w:t>
      </w:r>
      <w:r>
        <w:rPr>
          <w:spacing w:val="-4"/>
          <w:sz w:val="20"/>
        </w:rPr>
        <w:t> </w:t>
      </w:r>
      <w:r>
        <w:rPr>
          <w:sz w:val="20"/>
        </w:rPr>
        <w:t>and</w:t>
      </w:r>
      <w:r>
        <w:rPr>
          <w:spacing w:val="-2"/>
          <w:sz w:val="20"/>
        </w:rPr>
        <w:t> management;</w:t>
      </w:r>
    </w:p>
    <w:p>
      <w:pPr>
        <w:pStyle w:val="ListParagraph"/>
        <w:numPr>
          <w:ilvl w:val="0"/>
          <w:numId w:val="2"/>
        </w:numPr>
        <w:tabs>
          <w:tab w:pos="1189" w:val="left" w:leader="none"/>
        </w:tabs>
        <w:spacing w:line="240" w:lineRule="auto" w:before="10" w:after="0"/>
        <w:ind w:left="1189" w:right="0" w:hanging="359"/>
        <w:jc w:val="left"/>
        <w:rPr>
          <w:sz w:val="20"/>
        </w:rPr>
      </w:pPr>
      <w:r>
        <w:rPr>
          <w:sz w:val="20"/>
        </w:rPr>
        <w:t>Our</w:t>
      </w:r>
      <w:r>
        <w:rPr>
          <w:spacing w:val="-3"/>
          <w:sz w:val="20"/>
        </w:rPr>
        <w:t> </w:t>
      </w:r>
      <w:r>
        <w:rPr>
          <w:sz w:val="20"/>
        </w:rPr>
        <w:t>ability</w:t>
      </w:r>
      <w:r>
        <w:rPr>
          <w:spacing w:val="-3"/>
          <w:sz w:val="20"/>
        </w:rPr>
        <w:t> </w:t>
      </w:r>
      <w:r>
        <w:rPr>
          <w:sz w:val="20"/>
        </w:rPr>
        <w:t>to</w:t>
      </w:r>
      <w:r>
        <w:rPr>
          <w:spacing w:val="-2"/>
          <w:sz w:val="20"/>
        </w:rPr>
        <w:t> </w:t>
      </w:r>
      <w:r>
        <w:rPr>
          <w:sz w:val="20"/>
        </w:rPr>
        <w:t>manage</w:t>
      </w:r>
      <w:r>
        <w:rPr>
          <w:spacing w:val="-3"/>
          <w:sz w:val="20"/>
        </w:rPr>
        <w:t> </w:t>
      </w:r>
      <w:r>
        <w:rPr>
          <w:spacing w:val="-2"/>
          <w:sz w:val="20"/>
        </w:rPr>
        <w:t>expenses;</w:t>
      </w:r>
    </w:p>
    <w:p>
      <w:pPr>
        <w:pStyle w:val="ListParagraph"/>
        <w:numPr>
          <w:ilvl w:val="0"/>
          <w:numId w:val="2"/>
        </w:numPr>
        <w:tabs>
          <w:tab w:pos="1189" w:val="left" w:leader="none"/>
        </w:tabs>
        <w:spacing w:line="240" w:lineRule="auto" w:before="10" w:after="0"/>
        <w:ind w:left="1189" w:right="0" w:hanging="359"/>
        <w:jc w:val="left"/>
        <w:rPr>
          <w:sz w:val="20"/>
        </w:rPr>
      </w:pPr>
      <w:r>
        <w:rPr>
          <w:sz w:val="20"/>
        </w:rPr>
        <w:t>Our</w:t>
      </w:r>
      <w:r>
        <w:rPr>
          <w:spacing w:val="-3"/>
          <w:sz w:val="20"/>
        </w:rPr>
        <w:t> </w:t>
      </w:r>
      <w:r>
        <w:rPr>
          <w:sz w:val="20"/>
        </w:rPr>
        <w:t>ability</w:t>
      </w:r>
      <w:r>
        <w:rPr>
          <w:spacing w:val="-3"/>
          <w:sz w:val="20"/>
        </w:rPr>
        <w:t> </w:t>
      </w:r>
      <w:r>
        <w:rPr>
          <w:sz w:val="20"/>
        </w:rPr>
        <w:t>to</w:t>
      </w:r>
      <w:r>
        <w:rPr>
          <w:spacing w:val="-3"/>
          <w:sz w:val="20"/>
        </w:rPr>
        <w:t> </w:t>
      </w:r>
      <w:r>
        <w:rPr>
          <w:sz w:val="20"/>
        </w:rPr>
        <w:t>attract</w:t>
      </w:r>
      <w:r>
        <w:rPr>
          <w:spacing w:val="-4"/>
          <w:sz w:val="20"/>
        </w:rPr>
        <w:t> </w:t>
      </w:r>
      <w:r>
        <w:rPr>
          <w:sz w:val="20"/>
        </w:rPr>
        <w:t>and</w:t>
      </w:r>
      <w:r>
        <w:rPr>
          <w:spacing w:val="-3"/>
          <w:sz w:val="20"/>
        </w:rPr>
        <w:t> </w:t>
      </w:r>
      <w:r>
        <w:rPr>
          <w:sz w:val="20"/>
        </w:rPr>
        <w:t>retain</w:t>
      </w:r>
      <w:r>
        <w:rPr>
          <w:spacing w:val="-2"/>
          <w:sz w:val="20"/>
        </w:rPr>
        <w:t> talent;</w:t>
      </w:r>
    </w:p>
    <w:p>
      <w:pPr>
        <w:pStyle w:val="ListParagraph"/>
        <w:numPr>
          <w:ilvl w:val="0"/>
          <w:numId w:val="2"/>
        </w:numPr>
        <w:tabs>
          <w:tab w:pos="1190" w:val="left" w:leader="none"/>
        </w:tabs>
        <w:spacing w:line="249" w:lineRule="auto" w:before="10" w:after="0"/>
        <w:ind w:left="1190" w:right="1074" w:hanging="360"/>
        <w:jc w:val="left"/>
        <w:rPr>
          <w:sz w:val="20"/>
        </w:rPr>
      </w:pPr>
      <w:r>
        <w:rPr>
          <w:sz w:val="20"/>
        </w:rPr>
        <w:t>Our</w:t>
      </w:r>
      <w:r>
        <w:rPr>
          <w:spacing w:val="-3"/>
          <w:sz w:val="20"/>
        </w:rPr>
        <w:t> </w:t>
      </w:r>
      <w:r>
        <w:rPr>
          <w:sz w:val="20"/>
        </w:rPr>
        <w:t>ability</w:t>
      </w:r>
      <w:r>
        <w:rPr>
          <w:spacing w:val="-3"/>
          <w:sz w:val="20"/>
        </w:rPr>
        <w:t> </w:t>
      </w:r>
      <w:r>
        <w:rPr>
          <w:sz w:val="20"/>
        </w:rPr>
        <w:t>to</w:t>
      </w:r>
      <w:r>
        <w:rPr>
          <w:spacing w:val="-3"/>
          <w:sz w:val="20"/>
        </w:rPr>
        <w:t> </w:t>
      </w:r>
      <w:r>
        <w:rPr>
          <w:sz w:val="20"/>
        </w:rPr>
        <w:t>develop</w:t>
      </w:r>
      <w:r>
        <w:rPr>
          <w:spacing w:val="-3"/>
          <w:sz w:val="20"/>
        </w:rPr>
        <w:t> </w:t>
      </w:r>
      <w:r>
        <w:rPr>
          <w:sz w:val="20"/>
        </w:rPr>
        <w:t>and</w:t>
      </w:r>
      <w:r>
        <w:rPr>
          <w:spacing w:val="-3"/>
          <w:sz w:val="20"/>
        </w:rPr>
        <w:t> </w:t>
      </w:r>
      <w:r>
        <w:rPr>
          <w:sz w:val="20"/>
        </w:rPr>
        <w:t>launch</w:t>
      </w:r>
      <w:r>
        <w:rPr>
          <w:spacing w:val="-3"/>
          <w:sz w:val="20"/>
        </w:rPr>
        <w:t> </w:t>
      </w:r>
      <w:r>
        <w:rPr>
          <w:sz w:val="20"/>
        </w:rPr>
        <w:t>new</w:t>
      </w:r>
      <w:r>
        <w:rPr>
          <w:spacing w:val="-4"/>
          <w:sz w:val="20"/>
        </w:rPr>
        <w:t> </w:t>
      </w:r>
      <w:r>
        <w:rPr>
          <w:sz w:val="20"/>
        </w:rPr>
        <w:t>and</w:t>
      </w:r>
      <w:r>
        <w:rPr>
          <w:spacing w:val="-3"/>
          <w:sz w:val="20"/>
        </w:rPr>
        <w:t> </w:t>
      </w:r>
      <w:r>
        <w:rPr>
          <w:sz w:val="20"/>
        </w:rPr>
        <w:t>enhanced</w:t>
      </w:r>
      <w:r>
        <w:rPr>
          <w:spacing w:val="-3"/>
          <w:sz w:val="20"/>
        </w:rPr>
        <w:t> </w:t>
      </w:r>
      <w:r>
        <w:rPr>
          <w:sz w:val="20"/>
        </w:rPr>
        <w:t>products,</w:t>
      </w:r>
      <w:r>
        <w:rPr>
          <w:spacing w:val="-3"/>
          <w:sz w:val="20"/>
        </w:rPr>
        <w:t> </w:t>
      </w:r>
      <w:r>
        <w:rPr>
          <w:sz w:val="20"/>
        </w:rPr>
        <w:t>services,</w:t>
      </w:r>
      <w:r>
        <w:rPr>
          <w:spacing w:val="-3"/>
          <w:sz w:val="20"/>
        </w:rPr>
        <w:t> </w:t>
      </w:r>
      <w:r>
        <w:rPr>
          <w:sz w:val="20"/>
        </w:rPr>
        <w:t>and</w:t>
      </w:r>
      <w:r>
        <w:rPr>
          <w:spacing w:val="-3"/>
          <w:sz w:val="20"/>
        </w:rPr>
        <w:t> </w:t>
      </w:r>
      <w:r>
        <w:rPr>
          <w:sz w:val="20"/>
        </w:rPr>
        <w:t>capabilities,</w:t>
      </w:r>
      <w:r>
        <w:rPr>
          <w:spacing w:val="-3"/>
          <w:sz w:val="20"/>
        </w:rPr>
        <w:t> </w:t>
      </w:r>
      <w:r>
        <w:rPr>
          <w:sz w:val="20"/>
        </w:rPr>
        <w:t>as</w:t>
      </w:r>
      <w:r>
        <w:rPr>
          <w:spacing w:val="-4"/>
          <w:sz w:val="20"/>
        </w:rPr>
        <w:t> </w:t>
      </w:r>
      <w:r>
        <w:rPr>
          <w:sz w:val="20"/>
        </w:rPr>
        <w:t>well</w:t>
      </w:r>
      <w:r>
        <w:rPr>
          <w:spacing w:val="-4"/>
          <w:sz w:val="20"/>
        </w:rPr>
        <w:t> </w:t>
      </w:r>
      <w:r>
        <w:rPr>
          <w:sz w:val="20"/>
        </w:rPr>
        <w:t>as</w:t>
      </w:r>
      <w:r>
        <w:rPr>
          <w:spacing w:val="-4"/>
          <w:sz w:val="20"/>
        </w:rPr>
        <w:t> </w:t>
      </w:r>
      <w:r>
        <w:rPr>
          <w:sz w:val="20"/>
        </w:rPr>
        <w:t>enhance</w:t>
      </w:r>
      <w:r>
        <w:rPr>
          <w:spacing w:val="-4"/>
          <w:sz w:val="20"/>
        </w:rPr>
        <w:t> </w:t>
      </w:r>
      <w:r>
        <w:rPr>
          <w:sz w:val="20"/>
        </w:rPr>
        <w:t>our infrastructure, in a timely and successful manner;</w:t>
      </w:r>
    </w:p>
    <w:p>
      <w:pPr>
        <w:pStyle w:val="ListParagraph"/>
        <w:numPr>
          <w:ilvl w:val="0"/>
          <w:numId w:val="2"/>
        </w:numPr>
        <w:tabs>
          <w:tab w:pos="1189" w:val="left" w:leader="none"/>
        </w:tabs>
        <w:spacing w:line="240" w:lineRule="auto" w:before="2" w:after="0"/>
        <w:ind w:left="1189" w:right="0" w:hanging="359"/>
        <w:jc w:val="left"/>
        <w:rPr>
          <w:sz w:val="20"/>
        </w:rPr>
      </w:pPr>
      <w:r>
        <w:rPr>
          <w:sz w:val="20"/>
        </w:rPr>
        <w:t>Our</w:t>
      </w:r>
      <w:r>
        <w:rPr>
          <w:spacing w:val="-4"/>
          <w:sz w:val="20"/>
        </w:rPr>
        <w:t> </w:t>
      </w:r>
      <w:r>
        <w:rPr>
          <w:sz w:val="20"/>
        </w:rPr>
        <w:t>ability</w:t>
      </w:r>
      <w:r>
        <w:rPr>
          <w:spacing w:val="-3"/>
          <w:sz w:val="20"/>
        </w:rPr>
        <w:t> </w:t>
      </w:r>
      <w:r>
        <w:rPr>
          <w:sz w:val="20"/>
        </w:rPr>
        <w:t>to</w:t>
      </w:r>
      <w:r>
        <w:rPr>
          <w:spacing w:val="-3"/>
          <w:sz w:val="20"/>
        </w:rPr>
        <w:t> </w:t>
      </w:r>
      <w:r>
        <w:rPr>
          <w:sz w:val="20"/>
        </w:rPr>
        <w:t>monetize</w:t>
      </w:r>
      <w:r>
        <w:rPr>
          <w:spacing w:val="-4"/>
          <w:sz w:val="20"/>
        </w:rPr>
        <w:t> </w:t>
      </w:r>
      <w:r>
        <w:rPr>
          <w:sz w:val="20"/>
        </w:rPr>
        <w:t>client</w:t>
      </w:r>
      <w:r>
        <w:rPr>
          <w:spacing w:val="-4"/>
          <w:sz w:val="20"/>
        </w:rPr>
        <w:t> </w:t>
      </w:r>
      <w:r>
        <w:rPr>
          <w:spacing w:val="-2"/>
          <w:sz w:val="20"/>
        </w:rPr>
        <w:t>assets;</w:t>
      </w:r>
    </w:p>
    <w:p>
      <w:pPr>
        <w:pStyle w:val="ListParagraph"/>
        <w:numPr>
          <w:ilvl w:val="0"/>
          <w:numId w:val="2"/>
        </w:numPr>
        <w:tabs>
          <w:tab w:pos="1189" w:val="left" w:leader="none"/>
        </w:tabs>
        <w:spacing w:line="240" w:lineRule="auto" w:before="10" w:after="0"/>
        <w:ind w:left="1189" w:right="0" w:hanging="359"/>
        <w:jc w:val="left"/>
        <w:rPr>
          <w:sz w:val="20"/>
        </w:rPr>
      </w:pPr>
      <w:r>
        <w:rPr>
          <w:sz w:val="20"/>
        </w:rPr>
        <w:t>Our</w:t>
      </w:r>
      <w:r>
        <w:rPr>
          <w:spacing w:val="-4"/>
          <w:sz w:val="20"/>
        </w:rPr>
        <w:t> </w:t>
      </w:r>
      <w:r>
        <w:rPr>
          <w:sz w:val="20"/>
        </w:rPr>
        <w:t>ability</w:t>
      </w:r>
      <w:r>
        <w:rPr>
          <w:spacing w:val="-3"/>
          <w:sz w:val="20"/>
        </w:rPr>
        <w:t> </w:t>
      </w:r>
      <w:r>
        <w:rPr>
          <w:sz w:val="20"/>
        </w:rPr>
        <w:t>to</w:t>
      </w:r>
      <w:r>
        <w:rPr>
          <w:spacing w:val="-3"/>
          <w:sz w:val="20"/>
        </w:rPr>
        <w:t> </w:t>
      </w:r>
      <w:r>
        <w:rPr>
          <w:sz w:val="20"/>
        </w:rPr>
        <w:t>support</w:t>
      </w:r>
      <w:r>
        <w:rPr>
          <w:spacing w:val="-4"/>
          <w:sz w:val="20"/>
        </w:rPr>
        <w:t> </w:t>
      </w:r>
      <w:r>
        <w:rPr>
          <w:sz w:val="20"/>
        </w:rPr>
        <w:t>client</w:t>
      </w:r>
      <w:r>
        <w:rPr>
          <w:spacing w:val="-3"/>
          <w:sz w:val="20"/>
        </w:rPr>
        <w:t> </w:t>
      </w:r>
      <w:r>
        <w:rPr>
          <w:sz w:val="20"/>
        </w:rPr>
        <w:t>activity</w:t>
      </w:r>
      <w:r>
        <w:rPr>
          <w:spacing w:val="-3"/>
          <w:sz w:val="20"/>
        </w:rPr>
        <w:t> </w:t>
      </w:r>
      <w:r>
        <w:rPr>
          <w:spacing w:val="-2"/>
          <w:sz w:val="20"/>
        </w:rPr>
        <w:t>levels;</w:t>
      </w:r>
    </w:p>
    <w:p>
      <w:pPr>
        <w:pStyle w:val="ListParagraph"/>
        <w:numPr>
          <w:ilvl w:val="0"/>
          <w:numId w:val="2"/>
        </w:numPr>
        <w:tabs>
          <w:tab w:pos="1190" w:val="left" w:leader="none"/>
        </w:tabs>
        <w:spacing w:line="249" w:lineRule="auto" w:before="10" w:after="0"/>
        <w:ind w:left="1190" w:right="597" w:hanging="360"/>
        <w:jc w:val="left"/>
        <w:rPr>
          <w:sz w:val="20"/>
        </w:rPr>
      </w:pPr>
      <w:r>
        <w:rPr>
          <w:sz w:val="20"/>
        </w:rPr>
        <w:t>The</w:t>
      </w:r>
      <w:r>
        <w:rPr>
          <w:spacing w:val="-3"/>
          <w:sz w:val="20"/>
        </w:rPr>
        <w:t> </w:t>
      </w:r>
      <w:r>
        <w:rPr>
          <w:sz w:val="20"/>
        </w:rPr>
        <w:t>risk</w:t>
      </w:r>
      <w:r>
        <w:rPr>
          <w:spacing w:val="-2"/>
          <w:sz w:val="20"/>
        </w:rPr>
        <w:t> </w:t>
      </w:r>
      <w:r>
        <w:rPr>
          <w:sz w:val="20"/>
        </w:rPr>
        <w:t>that</w:t>
      </w:r>
      <w:r>
        <w:rPr>
          <w:spacing w:val="-3"/>
          <w:sz w:val="20"/>
        </w:rPr>
        <w:t> </w:t>
      </w:r>
      <w:r>
        <w:rPr>
          <w:sz w:val="20"/>
        </w:rPr>
        <w:t>expected</w:t>
      </w:r>
      <w:r>
        <w:rPr>
          <w:spacing w:val="-2"/>
          <w:sz w:val="20"/>
        </w:rPr>
        <w:t> </w:t>
      </w:r>
      <w:r>
        <w:rPr>
          <w:sz w:val="20"/>
        </w:rPr>
        <w:t>cost</w:t>
      </w:r>
      <w:r>
        <w:rPr>
          <w:spacing w:val="-3"/>
          <w:sz w:val="20"/>
        </w:rPr>
        <w:t> </w:t>
      </w:r>
      <w:r>
        <w:rPr>
          <w:sz w:val="20"/>
        </w:rPr>
        <w:t>synergies</w:t>
      </w:r>
      <w:r>
        <w:rPr>
          <w:spacing w:val="-3"/>
          <w:sz w:val="20"/>
        </w:rPr>
        <w:t> </w:t>
      </w:r>
      <w:r>
        <w:rPr>
          <w:sz w:val="20"/>
        </w:rPr>
        <w:t>and</w:t>
      </w:r>
      <w:r>
        <w:rPr>
          <w:spacing w:val="-2"/>
          <w:sz w:val="20"/>
        </w:rPr>
        <w:t> </w:t>
      </w:r>
      <w:r>
        <w:rPr>
          <w:sz w:val="20"/>
        </w:rPr>
        <w:t>other</w:t>
      </w:r>
      <w:r>
        <w:rPr>
          <w:spacing w:val="-2"/>
          <w:sz w:val="20"/>
        </w:rPr>
        <w:t> </w:t>
      </w:r>
      <w:r>
        <w:rPr>
          <w:sz w:val="20"/>
        </w:rPr>
        <w:t>benefits</w:t>
      </w:r>
      <w:r>
        <w:rPr>
          <w:spacing w:val="-3"/>
          <w:sz w:val="20"/>
        </w:rPr>
        <w:t> </w:t>
      </w:r>
      <w:r>
        <w:rPr>
          <w:sz w:val="20"/>
        </w:rPr>
        <w:t>from</w:t>
      </w:r>
      <w:r>
        <w:rPr>
          <w:spacing w:val="-3"/>
          <w:sz w:val="20"/>
        </w:rPr>
        <w:t> </w:t>
      </w:r>
      <w:r>
        <w:rPr>
          <w:sz w:val="20"/>
        </w:rPr>
        <w:t>the</w:t>
      </w:r>
      <w:r>
        <w:rPr>
          <w:spacing w:val="-3"/>
          <w:sz w:val="20"/>
        </w:rPr>
        <w:t> </w:t>
      </w:r>
      <w:r>
        <w:rPr>
          <w:sz w:val="20"/>
        </w:rPr>
        <w:t>TD</w:t>
      </w:r>
      <w:r>
        <w:rPr>
          <w:spacing w:val="-3"/>
          <w:sz w:val="20"/>
        </w:rPr>
        <w:t> </w:t>
      </w:r>
      <w:r>
        <w:rPr>
          <w:sz w:val="20"/>
        </w:rPr>
        <w:t>Ameritrade</w:t>
      </w:r>
      <w:r>
        <w:rPr>
          <w:spacing w:val="-3"/>
          <w:sz w:val="20"/>
        </w:rPr>
        <w:t> </w:t>
      </w:r>
      <w:r>
        <w:rPr>
          <w:sz w:val="20"/>
        </w:rPr>
        <w:t>acquisition</w:t>
      </w:r>
      <w:r>
        <w:rPr>
          <w:spacing w:val="-2"/>
          <w:sz w:val="20"/>
        </w:rPr>
        <w:t> </w:t>
      </w:r>
      <w:r>
        <w:rPr>
          <w:sz w:val="20"/>
        </w:rPr>
        <w:t>may</w:t>
      </w:r>
      <w:r>
        <w:rPr>
          <w:spacing w:val="-2"/>
          <w:sz w:val="20"/>
        </w:rPr>
        <w:t> </w:t>
      </w:r>
      <w:r>
        <w:rPr>
          <w:sz w:val="20"/>
        </w:rPr>
        <w:t>not</w:t>
      </w:r>
      <w:r>
        <w:rPr>
          <w:spacing w:val="-3"/>
          <w:sz w:val="20"/>
        </w:rPr>
        <w:t> </w:t>
      </w:r>
      <w:r>
        <w:rPr>
          <w:sz w:val="20"/>
        </w:rPr>
        <w:t>be</w:t>
      </w:r>
      <w:r>
        <w:rPr>
          <w:spacing w:val="-3"/>
          <w:sz w:val="20"/>
        </w:rPr>
        <w:t> </w:t>
      </w:r>
      <w:r>
        <w:rPr>
          <w:sz w:val="20"/>
        </w:rPr>
        <w:t>fully</w:t>
      </w:r>
      <w:r>
        <w:rPr>
          <w:spacing w:val="-2"/>
          <w:sz w:val="20"/>
        </w:rPr>
        <w:t> </w:t>
      </w:r>
      <w:r>
        <w:rPr>
          <w:sz w:val="20"/>
        </w:rPr>
        <w:t>realized or may take longer to realize than expected and that integration-related expenses may be higher than expected;</w:t>
      </w:r>
    </w:p>
    <w:p>
      <w:pPr>
        <w:pStyle w:val="ListParagraph"/>
        <w:numPr>
          <w:ilvl w:val="0"/>
          <w:numId w:val="2"/>
        </w:numPr>
        <w:tabs>
          <w:tab w:pos="1189" w:val="left" w:leader="none"/>
        </w:tabs>
        <w:spacing w:line="240" w:lineRule="auto" w:before="2" w:after="0"/>
        <w:ind w:left="1189" w:right="0" w:hanging="359"/>
        <w:jc w:val="left"/>
        <w:rPr>
          <w:sz w:val="20"/>
        </w:rPr>
      </w:pPr>
      <w:r>
        <w:rPr>
          <w:sz w:val="20"/>
        </w:rPr>
        <w:t>Increased</w:t>
      </w:r>
      <w:r>
        <w:rPr>
          <w:spacing w:val="-4"/>
          <w:sz w:val="20"/>
        </w:rPr>
        <w:t> </w:t>
      </w:r>
      <w:r>
        <w:rPr>
          <w:sz w:val="20"/>
        </w:rPr>
        <w:t>compensation</w:t>
      </w:r>
      <w:r>
        <w:rPr>
          <w:spacing w:val="-3"/>
          <w:sz w:val="20"/>
        </w:rPr>
        <w:t> </w:t>
      </w:r>
      <w:r>
        <w:rPr>
          <w:sz w:val="20"/>
        </w:rPr>
        <w:t>and</w:t>
      </w:r>
      <w:r>
        <w:rPr>
          <w:spacing w:val="-3"/>
          <w:sz w:val="20"/>
        </w:rPr>
        <w:t> </w:t>
      </w:r>
      <w:r>
        <w:rPr>
          <w:sz w:val="20"/>
        </w:rPr>
        <w:t>other</w:t>
      </w:r>
      <w:r>
        <w:rPr>
          <w:spacing w:val="-3"/>
          <w:sz w:val="20"/>
        </w:rPr>
        <w:t> </w:t>
      </w:r>
      <w:r>
        <w:rPr>
          <w:sz w:val="20"/>
        </w:rPr>
        <w:t>costs</w:t>
      </w:r>
      <w:r>
        <w:rPr>
          <w:spacing w:val="-4"/>
          <w:sz w:val="20"/>
        </w:rPr>
        <w:t> </w:t>
      </w:r>
      <w:r>
        <w:rPr>
          <w:sz w:val="20"/>
        </w:rPr>
        <w:t>due</w:t>
      </w:r>
      <w:r>
        <w:rPr>
          <w:spacing w:val="-4"/>
          <w:sz w:val="20"/>
        </w:rPr>
        <w:t> </w:t>
      </w:r>
      <w:r>
        <w:rPr>
          <w:sz w:val="20"/>
        </w:rPr>
        <w:t>to</w:t>
      </w:r>
      <w:r>
        <w:rPr>
          <w:spacing w:val="-3"/>
          <w:sz w:val="20"/>
        </w:rPr>
        <w:t> </w:t>
      </w:r>
      <w:r>
        <w:rPr>
          <w:sz w:val="20"/>
        </w:rPr>
        <w:t>inflationary</w:t>
      </w:r>
      <w:r>
        <w:rPr>
          <w:spacing w:val="-3"/>
          <w:sz w:val="20"/>
        </w:rPr>
        <w:t> </w:t>
      </w:r>
      <w:r>
        <w:rPr>
          <w:spacing w:val="-2"/>
          <w:sz w:val="20"/>
        </w:rPr>
        <w:t>pressures;</w:t>
      </w:r>
    </w:p>
    <w:p>
      <w:pPr>
        <w:pStyle w:val="ListParagraph"/>
        <w:numPr>
          <w:ilvl w:val="0"/>
          <w:numId w:val="2"/>
        </w:numPr>
        <w:tabs>
          <w:tab w:pos="1189" w:val="left" w:leader="none"/>
        </w:tabs>
        <w:spacing w:line="240" w:lineRule="auto" w:before="10" w:after="0"/>
        <w:ind w:left="1189" w:right="0" w:hanging="359"/>
        <w:jc w:val="left"/>
        <w:rPr>
          <w:sz w:val="20"/>
        </w:rPr>
      </w:pPr>
      <w:r>
        <w:rPr>
          <w:sz w:val="20"/>
        </w:rPr>
        <w:t>The</w:t>
      </w:r>
      <w:r>
        <w:rPr>
          <w:spacing w:val="-4"/>
          <w:sz w:val="20"/>
        </w:rPr>
        <w:t> </w:t>
      </w:r>
      <w:r>
        <w:rPr>
          <w:sz w:val="20"/>
        </w:rPr>
        <w:t>timing</w:t>
      </w:r>
      <w:r>
        <w:rPr>
          <w:spacing w:val="-3"/>
          <w:sz w:val="20"/>
        </w:rPr>
        <w:t> </w:t>
      </w:r>
      <w:r>
        <w:rPr>
          <w:sz w:val="20"/>
        </w:rPr>
        <w:t>and</w:t>
      </w:r>
      <w:r>
        <w:rPr>
          <w:spacing w:val="-3"/>
          <w:sz w:val="20"/>
        </w:rPr>
        <w:t> </w:t>
      </w:r>
      <w:r>
        <w:rPr>
          <w:sz w:val="20"/>
        </w:rPr>
        <w:t>scope</w:t>
      </w:r>
      <w:r>
        <w:rPr>
          <w:spacing w:val="-4"/>
          <w:sz w:val="20"/>
        </w:rPr>
        <w:t> </w:t>
      </w:r>
      <w:r>
        <w:rPr>
          <w:sz w:val="20"/>
        </w:rPr>
        <w:t>of</w:t>
      </w:r>
      <w:r>
        <w:rPr>
          <w:spacing w:val="-3"/>
          <w:sz w:val="20"/>
        </w:rPr>
        <w:t> </w:t>
      </w:r>
      <w:r>
        <w:rPr>
          <w:sz w:val="20"/>
        </w:rPr>
        <w:t>integration-related</w:t>
      </w:r>
      <w:r>
        <w:rPr>
          <w:spacing w:val="-3"/>
          <w:sz w:val="20"/>
        </w:rPr>
        <w:t> </w:t>
      </w:r>
      <w:r>
        <w:rPr>
          <w:sz w:val="20"/>
        </w:rPr>
        <w:t>and</w:t>
      </w:r>
      <w:r>
        <w:rPr>
          <w:spacing w:val="-3"/>
          <w:sz w:val="20"/>
        </w:rPr>
        <w:t> </w:t>
      </w:r>
      <w:r>
        <w:rPr>
          <w:sz w:val="20"/>
        </w:rPr>
        <w:t>other</w:t>
      </w:r>
      <w:r>
        <w:rPr>
          <w:spacing w:val="-3"/>
          <w:sz w:val="20"/>
        </w:rPr>
        <w:t> </w:t>
      </w:r>
      <w:r>
        <w:rPr>
          <w:sz w:val="20"/>
        </w:rPr>
        <w:t>technology</w:t>
      </w:r>
      <w:r>
        <w:rPr>
          <w:spacing w:val="-2"/>
          <w:sz w:val="20"/>
        </w:rPr>
        <w:t> projects;</w:t>
      </w:r>
    </w:p>
    <w:p>
      <w:pPr>
        <w:pStyle w:val="ListParagraph"/>
        <w:numPr>
          <w:ilvl w:val="0"/>
          <w:numId w:val="2"/>
        </w:numPr>
        <w:tabs>
          <w:tab w:pos="1189" w:val="left" w:leader="none"/>
        </w:tabs>
        <w:spacing w:line="240" w:lineRule="auto" w:before="10" w:after="0"/>
        <w:ind w:left="1189" w:right="0" w:hanging="359"/>
        <w:jc w:val="left"/>
        <w:rPr>
          <w:sz w:val="20"/>
        </w:rPr>
      </w:pPr>
      <w:r>
        <w:rPr>
          <w:sz w:val="20"/>
        </w:rPr>
        <w:t>Real</w:t>
      </w:r>
      <w:r>
        <w:rPr>
          <w:spacing w:val="-4"/>
          <w:sz w:val="20"/>
        </w:rPr>
        <w:t> </w:t>
      </w:r>
      <w:r>
        <w:rPr>
          <w:sz w:val="20"/>
        </w:rPr>
        <w:t>estate</w:t>
      </w:r>
      <w:r>
        <w:rPr>
          <w:spacing w:val="-4"/>
          <w:sz w:val="20"/>
        </w:rPr>
        <w:t> </w:t>
      </w:r>
      <w:r>
        <w:rPr>
          <w:sz w:val="20"/>
        </w:rPr>
        <w:t>and</w:t>
      </w:r>
      <w:r>
        <w:rPr>
          <w:spacing w:val="-3"/>
          <w:sz w:val="20"/>
        </w:rPr>
        <w:t> </w:t>
      </w:r>
      <w:r>
        <w:rPr>
          <w:sz w:val="20"/>
        </w:rPr>
        <w:t>workforce</w:t>
      </w:r>
      <w:r>
        <w:rPr>
          <w:spacing w:val="-3"/>
          <w:sz w:val="20"/>
        </w:rPr>
        <w:t> </w:t>
      </w:r>
      <w:r>
        <w:rPr>
          <w:spacing w:val="-2"/>
          <w:sz w:val="20"/>
        </w:rPr>
        <w:t>decisions;</w:t>
      </w:r>
    </w:p>
    <w:p>
      <w:pPr>
        <w:pStyle w:val="ListParagraph"/>
        <w:numPr>
          <w:ilvl w:val="0"/>
          <w:numId w:val="2"/>
        </w:numPr>
        <w:tabs>
          <w:tab w:pos="1189" w:val="left" w:leader="none"/>
        </w:tabs>
        <w:spacing w:line="240" w:lineRule="auto" w:before="10" w:after="0"/>
        <w:ind w:left="1189" w:right="0" w:hanging="359"/>
        <w:jc w:val="left"/>
        <w:rPr>
          <w:sz w:val="20"/>
        </w:rPr>
      </w:pPr>
      <w:r>
        <w:rPr>
          <w:sz w:val="20"/>
        </w:rPr>
        <w:t>Our</w:t>
      </w:r>
      <w:r>
        <w:rPr>
          <w:spacing w:val="-6"/>
          <w:sz w:val="20"/>
        </w:rPr>
        <w:t> </w:t>
      </w:r>
      <w:r>
        <w:rPr>
          <w:sz w:val="20"/>
        </w:rPr>
        <w:t>ability</w:t>
      </w:r>
      <w:r>
        <w:rPr>
          <w:spacing w:val="-3"/>
          <w:sz w:val="20"/>
        </w:rPr>
        <w:t> </w:t>
      </w:r>
      <w:r>
        <w:rPr>
          <w:sz w:val="20"/>
        </w:rPr>
        <w:t>to</w:t>
      </w:r>
      <w:r>
        <w:rPr>
          <w:spacing w:val="-4"/>
          <w:sz w:val="20"/>
        </w:rPr>
        <w:t> </w:t>
      </w:r>
      <w:r>
        <w:rPr>
          <w:sz w:val="20"/>
        </w:rPr>
        <w:t>timely</w:t>
      </w:r>
      <w:r>
        <w:rPr>
          <w:spacing w:val="-3"/>
          <w:sz w:val="20"/>
        </w:rPr>
        <w:t> </w:t>
      </w:r>
      <w:r>
        <w:rPr>
          <w:sz w:val="20"/>
        </w:rPr>
        <w:t>and</w:t>
      </w:r>
      <w:r>
        <w:rPr>
          <w:spacing w:val="-3"/>
          <w:sz w:val="20"/>
        </w:rPr>
        <w:t> </w:t>
      </w:r>
      <w:r>
        <w:rPr>
          <w:sz w:val="20"/>
        </w:rPr>
        <w:t>successfully</w:t>
      </w:r>
      <w:r>
        <w:rPr>
          <w:spacing w:val="-4"/>
          <w:sz w:val="20"/>
        </w:rPr>
        <w:t> </w:t>
      </w:r>
      <w:r>
        <w:rPr>
          <w:sz w:val="20"/>
        </w:rPr>
        <w:t>streamline</w:t>
      </w:r>
      <w:r>
        <w:rPr>
          <w:spacing w:val="-4"/>
          <w:sz w:val="20"/>
        </w:rPr>
        <w:t> </w:t>
      </w:r>
      <w:r>
        <w:rPr>
          <w:sz w:val="20"/>
        </w:rPr>
        <w:t>our</w:t>
      </w:r>
      <w:r>
        <w:rPr>
          <w:spacing w:val="-3"/>
          <w:sz w:val="20"/>
        </w:rPr>
        <w:t> </w:t>
      </w:r>
      <w:r>
        <w:rPr>
          <w:sz w:val="20"/>
        </w:rPr>
        <w:t>operations</w:t>
      </w:r>
      <w:r>
        <w:rPr>
          <w:spacing w:val="-5"/>
          <w:sz w:val="20"/>
        </w:rPr>
        <w:t> </w:t>
      </w:r>
      <w:r>
        <w:rPr>
          <w:sz w:val="20"/>
        </w:rPr>
        <w:t>and</w:t>
      </w:r>
      <w:r>
        <w:rPr>
          <w:spacing w:val="-3"/>
          <w:sz w:val="20"/>
        </w:rPr>
        <w:t> </w:t>
      </w:r>
      <w:r>
        <w:rPr>
          <w:sz w:val="20"/>
        </w:rPr>
        <w:t>realize</w:t>
      </w:r>
      <w:r>
        <w:rPr>
          <w:spacing w:val="-4"/>
          <w:sz w:val="20"/>
        </w:rPr>
        <w:t> </w:t>
      </w:r>
      <w:r>
        <w:rPr>
          <w:sz w:val="20"/>
        </w:rPr>
        <w:t>expected</w:t>
      </w:r>
      <w:r>
        <w:rPr>
          <w:spacing w:val="-4"/>
          <w:sz w:val="20"/>
        </w:rPr>
        <w:t> </w:t>
      </w:r>
      <w:r>
        <w:rPr>
          <w:sz w:val="20"/>
        </w:rPr>
        <w:t>run-rate</w:t>
      </w:r>
      <w:r>
        <w:rPr>
          <w:spacing w:val="-4"/>
          <w:sz w:val="20"/>
        </w:rPr>
        <w:t> </w:t>
      </w:r>
      <w:r>
        <w:rPr>
          <w:sz w:val="20"/>
        </w:rPr>
        <w:t>cost</w:t>
      </w:r>
      <w:r>
        <w:rPr>
          <w:spacing w:val="-4"/>
          <w:sz w:val="20"/>
        </w:rPr>
        <w:t> </w:t>
      </w:r>
      <w:r>
        <w:rPr>
          <w:spacing w:val="-2"/>
          <w:sz w:val="20"/>
        </w:rPr>
        <w:t>savings;</w:t>
      </w:r>
    </w:p>
    <w:p>
      <w:pPr>
        <w:pStyle w:val="ListParagraph"/>
        <w:numPr>
          <w:ilvl w:val="0"/>
          <w:numId w:val="2"/>
        </w:numPr>
        <w:tabs>
          <w:tab w:pos="1189" w:val="left" w:leader="none"/>
        </w:tabs>
        <w:spacing w:line="240" w:lineRule="auto" w:before="10" w:after="0"/>
        <w:ind w:left="1189" w:right="0" w:hanging="359"/>
        <w:jc w:val="left"/>
        <w:rPr>
          <w:sz w:val="20"/>
        </w:rPr>
      </w:pPr>
      <w:r>
        <w:rPr>
          <w:sz w:val="20"/>
        </w:rPr>
        <w:t>Client</w:t>
      </w:r>
      <w:r>
        <w:rPr>
          <w:spacing w:val="-5"/>
          <w:sz w:val="20"/>
        </w:rPr>
        <w:t> </w:t>
      </w:r>
      <w:r>
        <w:rPr>
          <w:sz w:val="20"/>
        </w:rPr>
        <w:t>cash</w:t>
      </w:r>
      <w:r>
        <w:rPr>
          <w:spacing w:val="-3"/>
          <w:sz w:val="20"/>
        </w:rPr>
        <w:t> </w:t>
      </w:r>
      <w:r>
        <w:rPr>
          <w:spacing w:val="-2"/>
          <w:sz w:val="20"/>
        </w:rPr>
        <w:t>allocations;</w:t>
      </w:r>
    </w:p>
    <w:p>
      <w:pPr>
        <w:pStyle w:val="ListParagraph"/>
        <w:numPr>
          <w:ilvl w:val="0"/>
          <w:numId w:val="2"/>
        </w:numPr>
        <w:tabs>
          <w:tab w:pos="1189" w:val="left" w:leader="none"/>
        </w:tabs>
        <w:spacing w:line="240" w:lineRule="auto" w:before="10" w:after="0"/>
        <w:ind w:left="1189" w:right="0" w:hanging="359"/>
        <w:jc w:val="left"/>
        <w:rPr>
          <w:sz w:val="20"/>
        </w:rPr>
      </w:pPr>
      <w:r>
        <w:rPr>
          <w:sz w:val="20"/>
        </w:rPr>
        <w:t>Migrations</w:t>
      </w:r>
      <w:r>
        <w:rPr>
          <w:spacing w:val="-6"/>
          <w:sz w:val="20"/>
        </w:rPr>
        <w:t> </w:t>
      </w:r>
      <w:r>
        <w:rPr>
          <w:sz w:val="20"/>
        </w:rPr>
        <w:t>of</w:t>
      </w:r>
      <w:r>
        <w:rPr>
          <w:spacing w:val="-3"/>
          <w:sz w:val="20"/>
        </w:rPr>
        <w:t> </w:t>
      </w:r>
      <w:r>
        <w:rPr>
          <w:sz w:val="20"/>
        </w:rPr>
        <w:t>bank</w:t>
      </w:r>
      <w:r>
        <w:rPr>
          <w:spacing w:val="-3"/>
          <w:sz w:val="20"/>
        </w:rPr>
        <w:t> </w:t>
      </w:r>
      <w:r>
        <w:rPr>
          <w:sz w:val="20"/>
        </w:rPr>
        <w:t>deposit</w:t>
      </w:r>
      <w:r>
        <w:rPr>
          <w:spacing w:val="-3"/>
          <w:sz w:val="20"/>
        </w:rPr>
        <w:t> </w:t>
      </w:r>
      <w:r>
        <w:rPr>
          <w:sz w:val="20"/>
        </w:rPr>
        <w:t>account</w:t>
      </w:r>
      <w:r>
        <w:rPr>
          <w:spacing w:val="-4"/>
          <w:sz w:val="20"/>
        </w:rPr>
        <w:t> </w:t>
      </w:r>
      <w:r>
        <w:rPr>
          <w:sz w:val="20"/>
        </w:rPr>
        <w:t>balances</w:t>
      </w:r>
      <w:r>
        <w:rPr>
          <w:spacing w:val="-4"/>
          <w:sz w:val="20"/>
        </w:rPr>
        <w:t> </w:t>
      </w:r>
      <w:r>
        <w:rPr>
          <w:sz w:val="20"/>
        </w:rPr>
        <w:t>(BDA</w:t>
      </w:r>
      <w:r>
        <w:rPr>
          <w:spacing w:val="-3"/>
          <w:sz w:val="20"/>
        </w:rPr>
        <w:t> </w:t>
      </w:r>
      <w:r>
        <w:rPr>
          <w:spacing w:val="-2"/>
          <w:sz w:val="20"/>
        </w:rPr>
        <w:t>balances);</w:t>
      </w:r>
    </w:p>
    <w:p>
      <w:pPr>
        <w:pStyle w:val="ListParagraph"/>
        <w:numPr>
          <w:ilvl w:val="0"/>
          <w:numId w:val="2"/>
        </w:numPr>
        <w:tabs>
          <w:tab w:pos="1189" w:val="left" w:leader="none"/>
        </w:tabs>
        <w:spacing w:line="240" w:lineRule="auto" w:before="10" w:after="0"/>
        <w:ind w:left="1189" w:right="0" w:hanging="359"/>
        <w:jc w:val="left"/>
        <w:rPr>
          <w:sz w:val="20"/>
        </w:rPr>
      </w:pPr>
      <w:r>
        <w:rPr>
          <w:sz w:val="20"/>
        </w:rPr>
        <w:t>Balance</w:t>
      </w:r>
      <w:r>
        <w:rPr>
          <w:spacing w:val="-7"/>
          <w:sz w:val="20"/>
        </w:rPr>
        <w:t> </w:t>
      </w:r>
      <w:r>
        <w:rPr>
          <w:sz w:val="20"/>
        </w:rPr>
        <w:t>sheet</w:t>
      </w:r>
      <w:r>
        <w:rPr>
          <w:spacing w:val="-4"/>
          <w:sz w:val="20"/>
        </w:rPr>
        <w:t> </w:t>
      </w:r>
      <w:r>
        <w:rPr>
          <w:sz w:val="20"/>
        </w:rPr>
        <w:t>positioning</w:t>
      </w:r>
      <w:r>
        <w:rPr>
          <w:spacing w:val="-4"/>
          <w:sz w:val="20"/>
        </w:rPr>
        <w:t> </w:t>
      </w:r>
      <w:r>
        <w:rPr>
          <w:sz w:val="20"/>
        </w:rPr>
        <w:t>relative</w:t>
      </w:r>
      <w:r>
        <w:rPr>
          <w:spacing w:val="-4"/>
          <w:sz w:val="20"/>
        </w:rPr>
        <w:t> </w:t>
      </w:r>
      <w:r>
        <w:rPr>
          <w:sz w:val="20"/>
        </w:rPr>
        <w:t>to</w:t>
      </w:r>
      <w:r>
        <w:rPr>
          <w:spacing w:val="-4"/>
          <w:sz w:val="20"/>
        </w:rPr>
        <w:t> </w:t>
      </w:r>
      <w:r>
        <w:rPr>
          <w:sz w:val="20"/>
        </w:rPr>
        <w:t>changes</w:t>
      </w:r>
      <w:r>
        <w:rPr>
          <w:spacing w:val="-4"/>
          <w:sz w:val="20"/>
        </w:rPr>
        <w:t> </w:t>
      </w:r>
      <w:r>
        <w:rPr>
          <w:sz w:val="20"/>
        </w:rPr>
        <w:t>in</w:t>
      </w:r>
      <w:r>
        <w:rPr>
          <w:spacing w:val="-4"/>
          <w:sz w:val="20"/>
        </w:rPr>
        <w:t> </w:t>
      </w:r>
      <w:r>
        <w:rPr>
          <w:sz w:val="20"/>
        </w:rPr>
        <w:t>interest</w:t>
      </w:r>
      <w:r>
        <w:rPr>
          <w:spacing w:val="-4"/>
          <w:sz w:val="20"/>
        </w:rPr>
        <w:t> </w:t>
      </w:r>
      <w:r>
        <w:rPr>
          <w:spacing w:val="-2"/>
          <w:sz w:val="20"/>
        </w:rPr>
        <w:t>rates;</w:t>
      </w:r>
    </w:p>
    <w:p>
      <w:pPr>
        <w:pStyle w:val="ListParagraph"/>
        <w:numPr>
          <w:ilvl w:val="0"/>
          <w:numId w:val="2"/>
        </w:numPr>
        <w:tabs>
          <w:tab w:pos="1189" w:val="left" w:leader="none"/>
        </w:tabs>
        <w:spacing w:line="240" w:lineRule="auto" w:before="10" w:after="0"/>
        <w:ind w:left="1189" w:right="0" w:hanging="359"/>
        <w:jc w:val="left"/>
        <w:rPr>
          <w:sz w:val="20"/>
        </w:rPr>
      </w:pPr>
      <w:r>
        <w:rPr>
          <w:sz w:val="20"/>
        </w:rPr>
        <w:t>Interest-earning</w:t>
      </w:r>
      <w:r>
        <w:rPr>
          <w:spacing w:val="-4"/>
          <w:sz w:val="20"/>
        </w:rPr>
        <w:t> </w:t>
      </w:r>
      <w:r>
        <w:rPr>
          <w:sz w:val="20"/>
        </w:rPr>
        <w:t>asset</w:t>
      </w:r>
      <w:r>
        <w:rPr>
          <w:spacing w:val="-5"/>
          <w:sz w:val="20"/>
        </w:rPr>
        <w:t> </w:t>
      </w:r>
      <w:r>
        <w:rPr>
          <w:sz w:val="20"/>
        </w:rPr>
        <w:t>mix</w:t>
      </w:r>
      <w:r>
        <w:rPr>
          <w:spacing w:val="-4"/>
          <w:sz w:val="20"/>
        </w:rPr>
        <w:t> </w:t>
      </w:r>
      <w:r>
        <w:rPr>
          <w:sz w:val="20"/>
        </w:rPr>
        <w:t>and</w:t>
      </w:r>
      <w:r>
        <w:rPr>
          <w:spacing w:val="-3"/>
          <w:sz w:val="20"/>
        </w:rPr>
        <w:t> </w:t>
      </w:r>
      <w:r>
        <w:rPr>
          <w:spacing w:val="-2"/>
          <w:sz w:val="20"/>
        </w:rPr>
        <w:t>growth;</w:t>
      </w:r>
    </w:p>
    <w:p>
      <w:pPr>
        <w:pStyle w:val="ListParagraph"/>
        <w:numPr>
          <w:ilvl w:val="0"/>
          <w:numId w:val="2"/>
        </w:numPr>
        <w:tabs>
          <w:tab w:pos="1189" w:val="left" w:leader="none"/>
        </w:tabs>
        <w:spacing w:line="240" w:lineRule="auto" w:before="10" w:after="0"/>
        <w:ind w:left="1189" w:right="0" w:hanging="359"/>
        <w:jc w:val="left"/>
        <w:rPr>
          <w:sz w:val="20"/>
        </w:rPr>
      </w:pPr>
      <w:r>
        <w:rPr>
          <w:sz w:val="20"/>
        </w:rPr>
        <w:t>Our</w:t>
      </w:r>
      <w:r>
        <w:rPr>
          <w:spacing w:val="-5"/>
          <w:sz w:val="20"/>
        </w:rPr>
        <w:t> </w:t>
      </w:r>
      <w:r>
        <w:rPr>
          <w:sz w:val="20"/>
        </w:rPr>
        <w:t>ability</w:t>
      </w:r>
      <w:r>
        <w:rPr>
          <w:spacing w:val="-3"/>
          <w:sz w:val="20"/>
        </w:rPr>
        <w:t> </w:t>
      </w:r>
      <w:r>
        <w:rPr>
          <w:sz w:val="20"/>
        </w:rPr>
        <w:t>to</w:t>
      </w:r>
      <w:r>
        <w:rPr>
          <w:spacing w:val="-3"/>
          <w:sz w:val="20"/>
        </w:rPr>
        <w:t> </w:t>
      </w:r>
      <w:r>
        <w:rPr>
          <w:sz w:val="20"/>
        </w:rPr>
        <w:t>access</w:t>
      </w:r>
      <w:r>
        <w:rPr>
          <w:spacing w:val="-4"/>
          <w:sz w:val="20"/>
        </w:rPr>
        <w:t> </w:t>
      </w:r>
      <w:r>
        <w:rPr>
          <w:sz w:val="20"/>
        </w:rPr>
        <w:t>and</w:t>
      </w:r>
      <w:r>
        <w:rPr>
          <w:spacing w:val="-2"/>
          <w:sz w:val="20"/>
        </w:rPr>
        <w:t> </w:t>
      </w:r>
      <w:r>
        <w:rPr>
          <w:sz w:val="20"/>
        </w:rPr>
        <w:t>use</w:t>
      </w:r>
      <w:r>
        <w:rPr>
          <w:spacing w:val="-4"/>
          <w:sz w:val="20"/>
        </w:rPr>
        <w:t> </w:t>
      </w:r>
      <w:r>
        <w:rPr>
          <w:sz w:val="20"/>
        </w:rPr>
        <w:t>supplemental</w:t>
      </w:r>
      <w:r>
        <w:rPr>
          <w:spacing w:val="-4"/>
          <w:sz w:val="20"/>
        </w:rPr>
        <w:t> </w:t>
      </w:r>
      <w:r>
        <w:rPr>
          <w:sz w:val="20"/>
        </w:rPr>
        <w:t>funding</w:t>
      </w:r>
      <w:r>
        <w:rPr>
          <w:spacing w:val="-2"/>
          <w:sz w:val="20"/>
        </w:rPr>
        <w:t> sources;</w:t>
      </w:r>
    </w:p>
    <w:p>
      <w:pPr>
        <w:pStyle w:val="ListParagraph"/>
        <w:numPr>
          <w:ilvl w:val="0"/>
          <w:numId w:val="2"/>
        </w:numPr>
        <w:tabs>
          <w:tab w:pos="1189" w:val="left" w:leader="none"/>
        </w:tabs>
        <w:spacing w:line="240" w:lineRule="auto" w:before="10" w:after="0"/>
        <w:ind w:left="1189" w:right="0" w:hanging="359"/>
        <w:jc w:val="left"/>
        <w:rPr>
          <w:sz w:val="20"/>
        </w:rPr>
      </w:pPr>
      <w:r>
        <w:rPr>
          <w:sz w:val="20"/>
        </w:rPr>
        <w:t>Prepayment</w:t>
      </w:r>
      <w:r>
        <w:rPr>
          <w:spacing w:val="-7"/>
          <w:sz w:val="20"/>
        </w:rPr>
        <w:t> </w:t>
      </w:r>
      <w:r>
        <w:rPr>
          <w:sz w:val="20"/>
        </w:rPr>
        <w:t>levels</w:t>
      </w:r>
      <w:r>
        <w:rPr>
          <w:spacing w:val="-5"/>
          <w:sz w:val="20"/>
        </w:rPr>
        <w:t> </w:t>
      </w:r>
      <w:r>
        <w:rPr>
          <w:sz w:val="20"/>
        </w:rPr>
        <w:t>for</w:t>
      </w:r>
      <w:r>
        <w:rPr>
          <w:spacing w:val="-4"/>
          <w:sz w:val="20"/>
        </w:rPr>
        <w:t> </w:t>
      </w:r>
      <w:r>
        <w:rPr>
          <w:sz w:val="20"/>
        </w:rPr>
        <w:t>mortgage-backed</w:t>
      </w:r>
      <w:r>
        <w:rPr>
          <w:spacing w:val="-4"/>
          <w:sz w:val="20"/>
        </w:rPr>
        <w:t> </w:t>
      </w:r>
      <w:r>
        <w:rPr>
          <w:spacing w:val="-2"/>
          <w:sz w:val="20"/>
        </w:rPr>
        <w:t>securities;</w:t>
      </w:r>
    </w:p>
    <w:p>
      <w:pPr>
        <w:pStyle w:val="ListParagraph"/>
        <w:numPr>
          <w:ilvl w:val="0"/>
          <w:numId w:val="2"/>
        </w:numPr>
        <w:tabs>
          <w:tab w:pos="1189" w:val="left" w:leader="none"/>
        </w:tabs>
        <w:spacing w:line="240" w:lineRule="auto" w:before="10" w:after="0"/>
        <w:ind w:left="1189" w:right="0" w:hanging="359"/>
        <w:jc w:val="left"/>
        <w:rPr>
          <w:sz w:val="20"/>
        </w:rPr>
      </w:pPr>
      <w:r>
        <w:rPr>
          <w:sz w:val="20"/>
        </w:rPr>
        <w:t>Adverse</w:t>
      </w:r>
      <w:r>
        <w:rPr>
          <w:spacing w:val="-7"/>
          <w:sz w:val="20"/>
        </w:rPr>
        <w:t> </w:t>
      </w:r>
      <w:r>
        <w:rPr>
          <w:sz w:val="20"/>
        </w:rPr>
        <w:t>developments</w:t>
      </w:r>
      <w:r>
        <w:rPr>
          <w:spacing w:val="-4"/>
          <w:sz w:val="20"/>
        </w:rPr>
        <w:t> </w:t>
      </w:r>
      <w:r>
        <w:rPr>
          <w:sz w:val="20"/>
        </w:rPr>
        <w:t>in</w:t>
      </w:r>
      <w:r>
        <w:rPr>
          <w:spacing w:val="-4"/>
          <w:sz w:val="20"/>
        </w:rPr>
        <w:t> </w:t>
      </w:r>
      <w:r>
        <w:rPr>
          <w:sz w:val="20"/>
        </w:rPr>
        <w:t>litigation</w:t>
      </w:r>
      <w:r>
        <w:rPr>
          <w:spacing w:val="-3"/>
          <w:sz w:val="20"/>
        </w:rPr>
        <w:t> </w:t>
      </w:r>
      <w:r>
        <w:rPr>
          <w:sz w:val="20"/>
        </w:rPr>
        <w:t>or</w:t>
      </w:r>
      <w:r>
        <w:rPr>
          <w:spacing w:val="-3"/>
          <w:sz w:val="20"/>
        </w:rPr>
        <w:t> </w:t>
      </w:r>
      <w:r>
        <w:rPr>
          <w:sz w:val="20"/>
        </w:rPr>
        <w:t>regulatory</w:t>
      </w:r>
      <w:r>
        <w:rPr>
          <w:spacing w:val="-4"/>
          <w:sz w:val="20"/>
        </w:rPr>
        <w:t> </w:t>
      </w:r>
      <w:r>
        <w:rPr>
          <w:sz w:val="20"/>
        </w:rPr>
        <w:t>matters</w:t>
      </w:r>
      <w:r>
        <w:rPr>
          <w:spacing w:val="-4"/>
          <w:sz w:val="20"/>
        </w:rPr>
        <w:t> </w:t>
      </w:r>
      <w:r>
        <w:rPr>
          <w:sz w:val="20"/>
        </w:rPr>
        <w:t>and</w:t>
      </w:r>
      <w:r>
        <w:rPr>
          <w:spacing w:val="-3"/>
          <w:sz w:val="20"/>
        </w:rPr>
        <w:t> </w:t>
      </w:r>
      <w:r>
        <w:rPr>
          <w:sz w:val="20"/>
        </w:rPr>
        <w:t>any</w:t>
      </w:r>
      <w:r>
        <w:rPr>
          <w:spacing w:val="-4"/>
          <w:sz w:val="20"/>
        </w:rPr>
        <w:t> </w:t>
      </w:r>
      <w:r>
        <w:rPr>
          <w:sz w:val="20"/>
        </w:rPr>
        <w:t>related</w:t>
      </w:r>
      <w:r>
        <w:rPr>
          <w:spacing w:val="-3"/>
          <w:sz w:val="20"/>
        </w:rPr>
        <w:t> </w:t>
      </w:r>
      <w:r>
        <w:rPr>
          <w:sz w:val="20"/>
        </w:rPr>
        <w:t>charges;</w:t>
      </w:r>
      <w:r>
        <w:rPr>
          <w:spacing w:val="-4"/>
          <w:sz w:val="20"/>
        </w:rPr>
        <w:t> </w:t>
      </w:r>
      <w:r>
        <w:rPr>
          <w:spacing w:val="-5"/>
          <w:sz w:val="20"/>
        </w:rPr>
        <w:t>and</w:t>
      </w:r>
    </w:p>
    <w:p>
      <w:pPr>
        <w:pStyle w:val="ListParagraph"/>
        <w:numPr>
          <w:ilvl w:val="0"/>
          <w:numId w:val="2"/>
        </w:numPr>
        <w:tabs>
          <w:tab w:pos="1189" w:val="left" w:leader="none"/>
        </w:tabs>
        <w:spacing w:line="240" w:lineRule="auto" w:before="10" w:after="0"/>
        <w:ind w:left="1189" w:right="0" w:hanging="359"/>
        <w:jc w:val="left"/>
        <w:rPr>
          <w:sz w:val="20"/>
        </w:rPr>
      </w:pPr>
      <w:r>
        <w:rPr>
          <w:sz w:val="20"/>
        </w:rPr>
        <w:t>Potential</w:t>
      </w:r>
      <w:r>
        <w:rPr>
          <w:spacing w:val="-7"/>
          <w:sz w:val="20"/>
        </w:rPr>
        <w:t> </w:t>
      </w:r>
      <w:r>
        <w:rPr>
          <w:sz w:val="20"/>
        </w:rPr>
        <w:t>breaches</w:t>
      </w:r>
      <w:r>
        <w:rPr>
          <w:spacing w:val="-4"/>
          <w:sz w:val="20"/>
        </w:rPr>
        <w:t> </w:t>
      </w:r>
      <w:r>
        <w:rPr>
          <w:sz w:val="20"/>
        </w:rPr>
        <w:t>of</w:t>
      </w:r>
      <w:r>
        <w:rPr>
          <w:spacing w:val="-3"/>
          <w:sz w:val="20"/>
        </w:rPr>
        <w:t> </w:t>
      </w:r>
      <w:r>
        <w:rPr>
          <w:sz w:val="20"/>
        </w:rPr>
        <w:t>contractual</w:t>
      </w:r>
      <w:r>
        <w:rPr>
          <w:spacing w:val="-4"/>
          <w:sz w:val="20"/>
        </w:rPr>
        <w:t> </w:t>
      </w:r>
      <w:r>
        <w:rPr>
          <w:sz w:val="20"/>
        </w:rPr>
        <w:t>terms</w:t>
      </w:r>
      <w:r>
        <w:rPr>
          <w:spacing w:val="-4"/>
          <w:sz w:val="20"/>
        </w:rPr>
        <w:t> </w:t>
      </w:r>
      <w:r>
        <w:rPr>
          <w:sz w:val="20"/>
        </w:rPr>
        <w:t>for</w:t>
      </w:r>
      <w:r>
        <w:rPr>
          <w:spacing w:val="-3"/>
          <w:sz w:val="20"/>
        </w:rPr>
        <w:t> </w:t>
      </w:r>
      <w:r>
        <w:rPr>
          <w:sz w:val="20"/>
        </w:rPr>
        <w:t>which</w:t>
      </w:r>
      <w:r>
        <w:rPr>
          <w:spacing w:val="-4"/>
          <w:sz w:val="20"/>
        </w:rPr>
        <w:t> </w:t>
      </w:r>
      <w:r>
        <w:rPr>
          <w:sz w:val="20"/>
        </w:rPr>
        <w:t>we</w:t>
      </w:r>
      <w:r>
        <w:rPr>
          <w:spacing w:val="-4"/>
          <w:sz w:val="20"/>
        </w:rPr>
        <w:t> </w:t>
      </w:r>
      <w:r>
        <w:rPr>
          <w:sz w:val="20"/>
        </w:rPr>
        <w:t>have</w:t>
      </w:r>
      <w:r>
        <w:rPr>
          <w:spacing w:val="-4"/>
          <w:sz w:val="20"/>
        </w:rPr>
        <w:t> </w:t>
      </w:r>
      <w:r>
        <w:rPr>
          <w:sz w:val="20"/>
        </w:rPr>
        <w:t>indemnification</w:t>
      </w:r>
      <w:r>
        <w:rPr>
          <w:spacing w:val="-3"/>
          <w:sz w:val="20"/>
        </w:rPr>
        <w:t> </w:t>
      </w:r>
      <w:r>
        <w:rPr>
          <w:sz w:val="20"/>
        </w:rPr>
        <w:t>and</w:t>
      </w:r>
      <w:r>
        <w:rPr>
          <w:spacing w:val="-3"/>
          <w:sz w:val="20"/>
        </w:rPr>
        <w:t> </w:t>
      </w:r>
      <w:r>
        <w:rPr>
          <w:sz w:val="20"/>
        </w:rPr>
        <w:t>guarantee</w:t>
      </w:r>
      <w:r>
        <w:rPr>
          <w:spacing w:val="-4"/>
          <w:sz w:val="20"/>
        </w:rPr>
        <w:t> </w:t>
      </w:r>
      <w:r>
        <w:rPr>
          <w:spacing w:val="-2"/>
          <w:sz w:val="20"/>
        </w:rPr>
        <w:t>obligations.</w:t>
      </w:r>
    </w:p>
    <w:p>
      <w:pPr>
        <w:pStyle w:val="BodyText"/>
        <w:spacing w:before="20"/>
      </w:pPr>
    </w:p>
    <w:p>
      <w:pPr>
        <w:pStyle w:val="BodyText"/>
        <w:spacing w:line="249" w:lineRule="auto"/>
        <w:ind w:left="470" w:right="500"/>
      </w:pPr>
      <w:r>
        <w:rPr/>
        <w:t>Certain</w:t>
      </w:r>
      <w:r>
        <w:rPr>
          <w:spacing w:val="-2"/>
        </w:rPr>
        <w:t> </w:t>
      </w:r>
      <w:r>
        <w:rPr/>
        <w:t>of</w:t>
      </w:r>
      <w:r>
        <w:rPr>
          <w:spacing w:val="-2"/>
        </w:rPr>
        <w:t> </w:t>
      </w:r>
      <w:r>
        <w:rPr/>
        <w:t>these</w:t>
      </w:r>
      <w:r>
        <w:rPr>
          <w:spacing w:val="-3"/>
        </w:rPr>
        <w:t> </w:t>
      </w:r>
      <w:r>
        <w:rPr/>
        <w:t>factors,</w:t>
      </w:r>
      <w:r>
        <w:rPr>
          <w:spacing w:val="-2"/>
        </w:rPr>
        <w:t> </w:t>
      </w:r>
      <w:r>
        <w:rPr/>
        <w:t>as</w:t>
      </w:r>
      <w:r>
        <w:rPr>
          <w:spacing w:val="-3"/>
        </w:rPr>
        <w:t> </w:t>
      </w:r>
      <w:r>
        <w:rPr/>
        <w:t>well</w:t>
      </w:r>
      <w:r>
        <w:rPr>
          <w:spacing w:val="-3"/>
        </w:rPr>
        <w:t> </w:t>
      </w:r>
      <w:r>
        <w:rPr/>
        <w:t>as</w:t>
      </w:r>
      <w:r>
        <w:rPr>
          <w:spacing w:val="-3"/>
        </w:rPr>
        <w:t> </w:t>
      </w:r>
      <w:r>
        <w:rPr/>
        <w:t>general</w:t>
      </w:r>
      <w:r>
        <w:rPr>
          <w:spacing w:val="-3"/>
        </w:rPr>
        <w:t> </w:t>
      </w:r>
      <w:r>
        <w:rPr/>
        <w:t>risk</w:t>
      </w:r>
      <w:r>
        <w:rPr>
          <w:spacing w:val="-2"/>
        </w:rPr>
        <w:t> </w:t>
      </w:r>
      <w:r>
        <w:rPr/>
        <w:t>factors</w:t>
      </w:r>
      <w:r>
        <w:rPr>
          <w:spacing w:val="-3"/>
        </w:rPr>
        <w:t> </w:t>
      </w:r>
      <w:r>
        <w:rPr/>
        <w:t>affecting</w:t>
      </w:r>
      <w:r>
        <w:rPr>
          <w:spacing w:val="-2"/>
        </w:rPr>
        <w:t> </w:t>
      </w:r>
      <w:r>
        <w:rPr/>
        <w:t>the</w:t>
      </w:r>
      <w:r>
        <w:rPr>
          <w:spacing w:val="-3"/>
        </w:rPr>
        <w:t> </w:t>
      </w:r>
      <w:r>
        <w:rPr/>
        <w:t>Company,</w:t>
      </w:r>
      <w:r>
        <w:rPr>
          <w:spacing w:val="-2"/>
        </w:rPr>
        <w:t> </w:t>
      </w:r>
      <w:r>
        <w:rPr/>
        <w:t>are</w:t>
      </w:r>
      <w:r>
        <w:rPr>
          <w:spacing w:val="-3"/>
        </w:rPr>
        <w:t> </w:t>
      </w:r>
      <w:r>
        <w:rPr/>
        <w:t>discussed</w:t>
      </w:r>
      <w:r>
        <w:rPr>
          <w:spacing w:val="-2"/>
        </w:rPr>
        <w:t> </w:t>
      </w:r>
      <w:r>
        <w:rPr/>
        <w:t>in</w:t>
      </w:r>
      <w:r>
        <w:rPr>
          <w:spacing w:val="-2"/>
        </w:rPr>
        <w:t> </w:t>
      </w:r>
      <w:r>
        <w:rPr/>
        <w:t>greater</w:t>
      </w:r>
      <w:r>
        <w:rPr>
          <w:spacing w:val="-2"/>
        </w:rPr>
        <w:t> </w:t>
      </w:r>
      <w:r>
        <w:rPr/>
        <w:t>detail</w:t>
      </w:r>
      <w:r>
        <w:rPr>
          <w:spacing w:val="-3"/>
        </w:rPr>
        <w:t> </w:t>
      </w:r>
      <w:r>
        <w:rPr/>
        <w:t>in</w:t>
      </w:r>
      <w:r>
        <w:rPr>
          <w:spacing w:val="-2"/>
        </w:rPr>
        <w:t> </w:t>
      </w:r>
      <w:r>
        <w:rPr/>
        <w:t>Part</w:t>
      </w:r>
      <w:r>
        <w:rPr>
          <w:spacing w:val="-3"/>
        </w:rPr>
        <w:t> </w:t>
      </w:r>
      <w:r>
        <w:rPr/>
        <w:t>I</w:t>
      </w:r>
      <w:r>
        <w:rPr>
          <w:spacing w:val="-2"/>
        </w:rPr>
        <w:t> </w:t>
      </w:r>
      <w:r>
        <w:rPr/>
        <w:t>–</w:t>
      </w:r>
      <w:r>
        <w:rPr>
          <w:spacing w:val="-2"/>
        </w:rPr>
        <w:t> </w:t>
      </w:r>
      <w:r>
        <w:rPr/>
        <w:t>Item</w:t>
      </w:r>
      <w:r>
        <w:rPr>
          <w:spacing w:val="-3"/>
        </w:rPr>
        <w:t> </w:t>
      </w:r>
      <w:r>
        <w:rPr/>
        <w:t>1A – Risk Factors in the 2022 Form 10-K.</w:t>
      </w:r>
    </w:p>
    <w:p>
      <w:pPr>
        <w:spacing w:after="0" w:line="249" w:lineRule="auto"/>
        <w:sectPr>
          <w:pgSz w:w="12240" w:h="15840"/>
          <w:pgMar w:header="512" w:footer="336" w:top="1180" w:bottom="520" w:left="520" w:right="520"/>
        </w:sectPr>
      </w:pPr>
    </w:p>
    <w:p>
      <w:pPr>
        <w:spacing w:before="208"/>
        <w:ind w:left="470" w:right="0" w:firstLine="0"/>
        <w:jc w:val="left"/>
        <w:rPr>
          <w:b/>
          <w:sz w:val="20"/>
        </w:rPr>
      </w:pPr>
      <w:bookmarkStart w:name="Overview" w:id="7"/>
      <w:bookmarkEnd w:id="7"/>
      <w:r>
        <w:rPr/>
      </w:r>
      <w:r>
        <w:rPr>
          <w:b/>
          <w:spacing w:val="-2"/>
          <w:sz w:val="20"/>
          <w:u w:val="single"/>
        </w:rPr>
        <w:t>OVERVIEW</w:t>
      </w:r>
    </w:p>
    <w:p>
      <w:pPr>
        <w:pStyle w:val="BodyText"/>
        <w:spacing w:line="249" w:lineRule="auto" w:before="193"/>
        <w:ind w:left="470"/>
      </w:pPr>
      <w:r>
        <w:rPr/>
        <mc:AlternateContent>
          <mc:Choice Requires="wps">
            <w:drawing>
              <wp:anchor distT="0" distB="0" distL="0" distR="0" allowOverlap="1" layoutInCell="1" locked="0" behindDoc="0" simplePos="0" relativeHeight="15728640">
                <wp:simplePos x="0" y="0"/>
                <wp:positionH relativeFrom="page">
                  <wp:posOffset>628650</wp:posOffset>
                </wp:positionH>
                <wp:positionV relativeFrom="paragraph">
                  <wp:posOffset>518547</wp:posOffset>
                </wp:positionV>
                <wp:extent cx="6515100" cy="635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6515100" cy="6350"/>
                          <a:chExt cx="6515100" cy="6350"/>
                        </a:xfrm>
                      </wpg:grpSpPr>
                      <wps:wsp>
                        <wps:cNvPr id="7" name="Graphic 7"/>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8" name="Graphic 8"/>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40.830509pt;width:513pt;height:.5pt;mso-position-horizontal-relative:page;mso-position-vertical-relative:paragraph;z-index:15728640" id="docshapegroup6" coordorigin="990,817" coordsize="10260,10">
                <v:shape style="position:absolute;left:990;top:821;width:10260;height:2" id="docshape7" coordorigin="990,822" coordsize="10260,0" path="m11250,822l990,822e" filled="true" fillcolor="#000000" stroked="false">
                  <v:path arrowok="t"/>
                  <v:fill opacity="0f" type="solid"/>
                </v:shape>
                <v:line style="position:absolute" from="990,822" to="11250,822" stroked="true" strokeweight=".5pt" strokecolor="#000000">
                  <v:stroke dashstyle="solid"/>
                </v:line>
                <w10:wrap type="none"/>
              </v:group>
            </w:pict>
          </mc:Fallback>
        </mc:AlternateContent>
      </w:r>
      <w:r>
        <w:rPr/>
        <w:t>Management</w:t>
      </w:r>
      <w:r>
        <w:rPr>
          <w:spacing w:val="-4"/>
        </w:rPr>
        <w:t> </w:t>
      </w:r>
      <w:r>
        <w:rPr/>
        <w:t>focuses</w:t>
      </w:r>
      <w:r>
        <w:rPr>
          <w:spacing w:val="-4"/>
        </w:rPr>
        <w:t> </w:t>
      </w:r>
      <w:r>
        <w:rPr/>
        <w:t>on</w:t>
      </w:r>
      <w:r>
        <w:rPr>
          <w:spacing w:val="-3"/>
        </w:rPr>
        <w:t> </w:t>
      </w:r>
      <w:r>
        <w:rPr/>
        <w:t>several</w:t>
      </w:r>
      <w:r>
        <w:rPr>
          <w:spacing w:val="-4"/>
        </w:rPr>
        <w:t> </w:t>
      </w:r>
      <w:r>
        <w:rPr/>
        <w:t>client</w:t>
      </w:r>
      <w:r>
        <w:rPr>
          <w:spacing w:val="-4"/>
        </w:rPr>
        <w:t> </w:t>
      </w:r>
      <w:r>
        <w:rPr/>
        <w:t>activity</w:t>
      </w:r>
      <w:r>
        <w:rPr>
          <w:spacing w:val="-3"/>
        </w:rPr>
        <w:t> </w:t>
      </w:r>
      <w:r>
        <w:rPr/>
        <w:t>and</w:t>
      </w:r>
      <w:r>
        <w:rPr>
          <w:spacing w:val="-3"/>
        </w:rPr>
        <w:t> </w:t>
      </w:r>
      <w:r>
        <w:rPr/>
        <w:t>financial</w:t>
      </w:r>
      <w:r>
        <w:rPr>
          <w:spacing w:val="-4"/>
        </w:rPr>
        <w:t> </w:t>
      </w:r>
      <w:r>
        <w:rPr/>
        <w:t>metrics</w:t>
      </w:r>
      <w:r>
        <w:rPr>
          <w:spacing w:val="-4"/>
        </w:rPr>
        <w:t> </w:t>
      </w:r>
      <w:r>
        <w:rPr/>
        <w:t>in</w:t>
      </w:r>
      <w:r>
        <w:rPr>
          <w:spacing w:val="-3"/>
        </w:rPr>
        <w:t> </w:t>
      </w:r>
      <w:r>
        <w:rPr/>
        <w:t>evaluating</w:t>
      </w:r>
      <w:r>
        <w:rPr>
          <w:spacing w:val="-3"/>
        </w:rPr>
        <w:t> </w:t>
      </w:r>
      <w:r>
        <w:rPr/>
        <w:t>Schwab’s</w:t>
      </w:r>
      <w:r>
        <w:rPr>
          <w:spacing w:val="-4"/>
        </w:rPr>
        <w:t> </w:t>
      </w:r>
      <w:r>
        <w:rPr/>
        <w:t>financial</w:t>
      </w:r>
      <w:r>
        <w:rPr>
          <w:spacing w:val="-4"/>
        </w:rPr>
        <w:t> </w:t>
      </w:r>
      <w:r>
        <w:rPr/>
        <w:t>position</w:t>
      </w:r>
      <w:r>
        <w:rPr>
          <w:spacing w:val="-3"/>
        </w:rPr>
        <w:t> </w:t>
      </w:r>
      <w:r>
        <w:rPr/>
        <w:t>and</w:t>
      </w:r>
      <w:r>
        <w:rPr>
          <w:spacing w:val="-3"/>
        </w:rPr>
        <w:t> </w:t>
      </w:r>
      <w:r>
        <w:rPr/>
        <w:t>operating performance. Results for the third quarter and first nine months of 2023 and 2022 are as follows:</w:t>
      </w:r>
    </w:p>
    <w:p>
      <w:pPr>
        <w:spacing w:after="0" w:line="249" w:lineRule="auto"/>
        <w:sectPr>
          <w:headerReference w:type="default" r:id="rId10"/>
          <w:footerReference w:type="default" r:id="rId11"/>
          <w:pgSz w:w="12240" w:h="15840"/>
          <w:pgMar w:header="512" w:footer="201" w:top="1180" w:bottom="400" w:left="520" w:right="520"/>
        </w:sectPr>
      </w:pPr>
    </w:p>
    <w:p>
      <w:pPr>
        <w:spacing w:line="193" w:lineRule="exact" w:before="168"/>
        <w:ind w:left="0" w:right="917" w:firstLine="0"/>
        <w:jc w:val="right"/>
        <w:rPr>
          <w:sz w:val="18"/>
        </w:rPr>
      </w:pPr>
      <w:r>
        <w:rPr>
          <w:sz w:val="18"/>
        </w:rPr>
        <w:t>Three</w:t>
      </w:r>
      <w:r>
        <w:rPr>
          <w:spacing w:val="-1"/>
          <w:sz w:val="18"/>
        </w:rPr>
        <w:t> </w:t>
      </w:r>
      <w:r>
        <w:rPr>
          <w:sz w:val="18"/>
        </w:rPr>
        <w:t>Months</w:t>
      </w:r>
      <w:r>
        <w:rPr>
          <w:spacing w:val="-1"/>
          <w:sz w:val="18"/>
        </w:rPr>
        <w:t> </w:t>
      </w:r>
      <w:r>
        <w:rPr>
          <w:spacing w:val="-2"/>
          <w:sz w:val="18"/>
        </w:rPr>
        <w:t>Ended</w:t>
      </w:r>
    </w:p>
    <w:p>
      <w:pPr>
        <w:tabs>
          <w:tab w:pos="1659" w:val="left" w:leader="none"/>
        </w:tabs>
        <w:spacing w:line="172" w:lineRule="auto" w:before="11"/>
        <w:ind w:left="0" w:right="0" w:firstLine="0"/>
        <w:jc w:val="right"/>
        <w:rPr>
          <w:sz w:val="18"/>
        </w:rPr>
      </w:pPr>
      <w:r>
        <w:rPr/>
        <mc:AlternateContent>
          <mc:Choice Requires="wps">
            <w:drawing>
              <wp:anchor distT="0" distB="0" distL="0" distR="0" allowOverlap="1" layoutInCell="1" locked="0" behindDoc="0" simplePos="0" relativeHeight="15729152">
                <wp:simplePos x="0" y="0"/>
                <wp:positionH relativeFrom="page">
                  <wp:posOffset>3609975</wp:posOffset>
                </wp:positionH>
                <wp:positionV relativeFrom="paragraph">
                  <wp:posOffset>138912</wp:posOffset>
                </wp:positionV>
                <wp:extent cx="1228725" cy="635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1228725" cy="6350"/>
                          <a:chExt cx="1228725" cy="6350"/>
                        </a:xfrm>
                      </wpg:grpSpPr>
                      <wps:wsp>
                        <wps:cNvPr id="10" name="Graphic 10"/>
                        <wps:cNvSpPr/>
                        <wps:spPr>
                          <a:xfrm>
                            <a:off x="0" y="3175"/>
                            <a:ext cx="1228725" cy="1270"/>
                          </a:xfrm>
                          <a:custGeom>
                            <a:avLst/>
                            <a:gdLst/>
                            <a:ahLst/>
                            <a:cxnLst/>
                            <a:rect l="l" t="t" r="r" b="b"/>
                            <a:pathLst>
                              <a:path w="1228725" h="0">
                                <a:moveTo>
                                  <a:pt x="1228725" y="0"/>
                                </a:moveTo>
                                <a:lnTo>
                                  <a:pt x="0" y="0"/>
                                </a:lnTo>
                              </a:path>
                            </a:pathLst>
                          </a:custGeom>
                          <a:solidFill>
                            <a:srgbClr val="000000"/>
                          </a:solidFill>
                        </wps:spPr>
                        <wps:bodyPr wrap="square" lIns="0" tIns="0" rIns="0" bIns="0" rtlCol="0">
                          <a:prstTxWarp prst="textNoShape">
                            <a:avLst/>
                          </a:prstTxWarp>
                          <a:noAutofit/>
                        </wps:bodyPr>
                      </wps:wsp>
                      <wps:wsp>
                        <wps:cNvPr id="11" name="Graphic 11"/>
                        <wps:cNvSpPr/>
                        <wps:spPr>
                          <a:xfrm>
                            <a:off x="0" y="3175"/>
                            <a:ext cx="1228725" cy="1270"/>
                          </a:xfrm>
                          <a:custGeom>
                            <a:avLst/>
                            <a:gdLst/>
                            <a:ahLst/>
                            <a:cxnLst/>
                            <a:rect l="l" t="t" r="r" b="b"/>
                            <a:pathLst>
                              <a:path w="1228725" h="0">
                                <a:moveTo>
                                  <a:pt x="0" y="0"/>
                                </a:moveTo>
                                <a:lnTo>
                                  <a:pt x="122872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4.25pt;margin-top:10.937979pt;width:96.75pt;height:.5pt;mso-position-horizontal-relative:page;mso-position-vertical-relative:paragraph;z-index:15729152" id="docshapegroup8" coordorigin="5685,219" coordsize="1935,10">
                <v:shape style="position:absolute;left:5685;top:223;width:1935;height:2" id="docshape9" coordorigin="5685,224" coordsize="1935,0" path="m7620,224l5685,224e" filled="true" fillcolor="#000000" stroked="false">
                  <v:path arrowok="t"/>
                  <v:fill opacity="0f" type="solid"/>
                </v:shape>
                <v:line style="position:absolute" from="5685,224" to="7620,224" stroked="true" strokeweight=".5pt" strokecolor="#000000">
                  <v:stroke dashstyle="solid"/>
                </v:line>
                <w10:wrap type="none"/>
              </v:group>
            </w:pict>
          </mc:Fallback>
        </mc:AlternateContent>
      </w:r>
      <w:r>
        <w:rPr>
          <w:sz w:val="18"/>
        </w:rPr>
        <w:t>September</w:t>
      </w:r>
      <w:r>
        <w:rPr>
          <w:spacing w:val="-1"/>
          <w:sz w:val="18"/>
        </w:rPr>
        <w:t> </w:t>
      </w:r>
      <w:r>
        <w:rPr>
          <w:spacing w:val="-5"/>
          <w:sz w:val="18"/>
        </w:rPr>
        <w:t>30,</w:t>
      </w:r>
      <w:r>
        <w:rPr>
          <w:sz w:val="18"/>
        </w:rPr>
        <w:tab/>
      </w:r>
      <w:r>
        <w:rPr>
          <w:spacing w:val="-2"/>
          <w:position w:val="-7"/>
          <w:sz w:val="18"/>
        </w:rPr>
        <w:t>Percent</w:t>
      </w:r>
    </w:p>
    <w:p>
      <w:pPr>
        <w:spacing w:line="193" w:lineRule="exact" w:before="168"/>
        <w:ind w:left="360" w:right="0" w:firstLine="0"/>
        <w:jc w:val="left"/>
        <w:rPr>
          <w:sz w:val="18"/>
        </w:rPr>
      </w:pPr>
      <w:r>
        <w:rPr/>
        <w:br w:type="column"/>
      </w:r>
      <w:r>
        <w:rPr>
          <w:sz w:val="18"/>
        </w:rPr>
        <w:t>Nine</w:t>
      </w:r>
      <w:r>
        <w:rPr>
          <w:spacing w:val="-2"/>
          <w:sz w:val="18"/>
        </w:rPr>
        <w:t> </w:t>
      </w:r>
      <w:r>
        <w:rPr>
          <w:sz w:val="18"/>
        </w:rPr>
        <w:t>Months</w:t>
      </w:r>
      <w:r>
        <w:rPr>
          <w:spacing w:val="-1"/>
          <w:sz w:val="18"/>
        </w:rPr>
        <w:t> </w:t>
      </w:r>
      <w:r>
        <w:rPr>
          <w:spacing w:val="-2"/>
          <w:sz w:val="18"/>
        </w:rPr>
        <w:t>Ended</w:t>
      </w:r>
    </w:p>
    <w:p>
      <w:pPr>
        <w:tabs>
          <w:tab w:pos="2225" w:val="left" w:leader="none"/>
        </w:tabs>
        <w:spacing w:line="172" w:lineRule="auto" w:before="11"/>
        <w:ind w:left="565" w:right="0" w:firstLine="0"/>
        <w:jc w:val="left"/>
        <w:rPr>
          <w:sz w:val="18"/>
        </w:rPr>
      </w:pPr>
      <w:r>
        <w:rPr/>
        <mc:AlternateContent>
          <mc:Choice Requires="wps">
            <w:drawing>
              <wp:anchor distT="0" distB="0" distL="0" distR="0" allowOverlap="1" layoutInCell="1" locked="0" behindDoc="0" simplePos="0" relativeHeight="15729664">
                <wp:simplePos x="0" y="0"/>
                <wp:positionH relativeFrom="page">
                  <wp:posOffset>5391150</wp:posOffset>
                </wp:positionH>
                <wp:positionV relativeFrom="paragraph">
                  <wp:posOffset>138912</wp:posOffset>
                </wp:positionV>
                <wp:extent cx="1228725" cy="635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228725" cy="6350"/>
                          <a:chExt cx="1228725" cy="6350"/>
                        </a:xfrm>
                      </wpg:grpSpPr>
                      <wps:wsp>
                        <wps:cNvPr id="13" name="Graphic 13"/>
                        <wps:cNvSpPr/>
                        <wps:spPr>
                          <a:xfrm>
                            <a:off x="0" y="3175"/>
                            <a:ext cx="1228725" cy="1270"/>
                          </a:xfrm>
                          <a:custGeom>
                            <a:avLst/>
                            <a:gdLst/>
                            <a:ahLst/>
                            <a:cxnLst/>
                            <a:rect l="l" t="t" r="r" b="b"/>
                            <a:pathLst>
                              <a:path w="1228725" h="0">
                                <a:moveTo>
                                  <a:pt x="1228725" y="0"/>
                                </a:moveTo>
                                <a:lnTo>
                                  <a:pt x="0" y="0"/>
                                </a:lnTo>
                              </a:path>
                            </a:pathLst>
                          </a:custGeom>
                          <a:solidFill>
                            <a:srgbClr val="000000"/>
                          </a:solidFill>
                        </wps:spPr>
                        <wps:bodyPr wrap="square" lIns="0" tIns="0" rIns="0" bIns="0" rtlCol="0">
                          <a:prstTxWarp prst="textNoShape">
                            <a:avLst/>
                          </a:prstTxWarp>
                          <a:noAutofit/>
                        </wps:bodyPr>
                      </wps:wsp>
                      <wps:wsp>
                        <wps:cNvPr id="14" name="Graphic 14"/>
                        <wps:cNvSpPr/>
                        <wps:spPr>
                          <a:xfrm>
                            <a:off x="0" y="3175"/>
                            <a:ext cx="1228725" cy="1270"/>
                          </a:xfrm>
                          <a:custGeom>
                            <a:avLst/>
                            <a:gdLst/>
                            <a:ahLst/>
                            <a:cxnLst/>
                            <a:rect l="l" t="t" r="r" b="b"/>
                            <a:pathLst>
                              <a:path w="1228725" h="0">
                                <a:moveTo>
                                  <a:pt x="0" y="0"/>
                                </a:moveTo>
                                <a:lnTo>
                                  <a:pt x="122872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5pt;margin-top:10.937979pt;width:96.75pt;height:.5pt;mso-position-horizontal-relative:page;mso-position-vertical-relative:paragraph;z-index:15729664" id="docshapegroup10" coordorigin="8490,219" coordsize="1935,10">
                <v:shape style="position:absolute;left:8490;top:223;width:1935;height:2" id="docshape11" coordorigin="8490,224" coordsize="1935,0" path="m10425,224l8490,224e" filled="true" fillcolor="#000000" stroked="false">
                  <v:path arrowok="t"/>
                  <v:fill opacity="0f" type="solid"/>
                </v:shape>
                <v:line style="position:absolute" from="8490,224" to="10425,224" stroked="true" strokeweight=".5pt" strokecolor="#000000">
                  <v:stroke dashstyle="solid"/>
                </v:line>
                <w10:wrap type="none"/>
              </v:group>
            </w:pict>
          </mc:Fallback>
        </mc:AlternateContent>
      </w:r>
      <w:r>
        <w:rPr>
          <w:sz w:val="18"/>
        </w:rPr>
        <w:t>September</w:t>
      </w:r>
      <w:r>
        <w:rPr>
          <w:spacing w:val="-1"/>
          <w:sz w:val="18"/>
        </w:rPr>
        <w:t> </w:t>
      </w:r>
      <w:r>
        <w:rPr>
          <w:spacing w:val="-5"/>
          <w:sz w:val="18"/>
        </w:rPr>
        <w:t>30,</w:t>
      </w:r>
      <w:r>
        <w:rPr>
          <w:sz w:val="18"/>
        </w:rPr>
        <w:tab/>
      </w:r>
      <w:r>
        <w:rPr>
          <w:spacing w:val="-2"/>
          <w:position w:val="-7"/>
          <w:sz w:val="18"/>
        </w:rPr>
        <w:t>Percent</w:t>
      </w:r>
    </w:p>
    <w:p>
      <w:pPr>
        <w:spacing w:after="0" w:line="172" w:lineRule="auto"/>
        <w:jc w:val="left"/>
        <w:rPr>
          <w:sz w:val="18"/>
        </w:rPr>
        <w:sectPr>
          <w:type w:val="continuous"/>
          <w:pgSz w:w="12240" w:h="15840"/>
          <w:pgMar w:header="512" w:footer="201" w:top="320" w:bottom="280" w:left="520" w:right="520"/>
          <w:cols w:num="2" w:equalWidth="0">
            <w:col w:w="7813" w:space="40"/>
            <w:col w:w="3347"/>
          </w:cols>
        </w:sectPr>
      </w:pPr>
    </w:p>
    <w:p>
      <w:pPr>
        <w:tabs>
          <w:tab w:pos="1004" w:val="left" w:leader="none"/>
        </w:tabs>
        <w:spacing w:line="200" w:lineRule="exact" w:before="0"/>
        <w:ind w:left="0" w:right="0" w:firstLine="0"/>
        <w:jc w:val="right"/>
        <w:rPr>
          <w:sz w:val="18"/>
        </w:rPr>
      </w:pPr>
      <w:r>
        <w:rPr>
          <w:spacing w:val="-4"/>
          <w:sz w:val="18"/>
        </w:rPr>
        <w:t>2023</w:t>
      </w:r>
      <w:r>
        <w:rPr>
          <w:sz w:val="18"/>
        </w:rPr>
        <w:tab/>
      </w:r>
      <w:r>
        <w:rPr>
          <w:spacing w:val="-4"/>
          <w:sz w:val="18"/>
        </w:rPr>
        <w:t>2022</w:t>
      </w:r>
    </w:p>
    <w:p>
      <w:pPr>
        <w:spacing w:before="2"/>
        <w:ind w:left="405" w:right="0" w:firstLine="0"/>
        <w:jc w:val="left"/>
        <w:rPr>
          <w:sz w:val="18"/>
        </w:rPr>
      </w:pPr>
      <w:r>
        <w:rPr/>
        <w:br w:type="column"/>
      </w:r>
      <w:r>
        <w:rPr>
          <w:spacing w:val="-2"/>
          <w:sz w:val="18"/>
        </w:rPr>
        <w:t>Change</w:t>
      </w:r>
    </w:p>
    <w:p>
      <w:pPr>
        <w:tabs>
          <w:tab w:pos="1409" w:val="left" w:leader="none"/>
        </w:tabs>
        <w:spacing w:before="2"/>
        <w:ind w:left="412" w:right="0" w:firstLine="0"/>
        <w:jc w:val="left"/>
        <w:rPr>
          <w:sz w:val="18"/>
        </w:rPr>
      </w:pPr>
      <w:r>
        <w:rPr/>
        <w:br w:type="column"/>
      </w:r>
      <w:r>
        <w:rPr>
          <w:spacing w:val="-4"/>
          <w:sz w:val="18"/>
        </w:rPr>
        <w:t>2023</w:t>
      </w:r>
      <w:r>
        <w:rPr>
          <w:sz w:val="18"/>
        </w:rPr>
        <w:tab/>
      </w:r>
      <w:r>
        <w:rPr>
          <w:spacing w:val="-4"/>
          <w:sz w:val="18"/>
        </w:rPr>
        <w:t>2022</w:t>
      </w:r>
    </w:p>
    <w:p>
      <w:pPr>
        <w:spacing w:before="2"/>
        <w:ind w:left="405" w:right="0" w:firstLine="0"/>
        <w:jc w:val="left"/>
        <w:rPr>
          <w:sz w:val="18"/>
        </w:rPr>
      </w:pPr>
      <w:r>
        <w:rPr/>
        <w:br w:type="column"/>
      </w:r>
      <w:r>
        <w:rPr>
          <w:spacing w:val="-2"/>
          <w:sz w:val="18"/>
        </w:rPr>
        <w:t>Change</w:t>
      </w:r>
    </w:p>
    <w:p>
      <w:pPr>
        <w:spacing w:after="0"/>
        <w:jc w:val="left"/>
        <w:rPr>
          <w:sz w:val="18"/>
        </w:rPr>
        <w:sectPr>
          <w:type w:val="continuous"/>
          <w:pgSz w:w="12240" w:h="15840"/>
          <w:pgMar w:header="512" w:footer="201" w:top="320" w:bottom="280" w:left="520" w:right="520"/>
          <w:cols w:num="4" w:equalWidth="0">
            <w:col w:w="6823" w:space="40"/>
            <w:col w:w="956" w:space="39"/>
            <w:col w:w="1770" w:space="39"/>
            <w:col w:w="1533"/>
          </w:cols>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69"/>
        <w:rPr>
          <w:sz w:val="18"/>
        </w:rPr>
      </w:pPr>
    </w:p>
    <w:p>
      <w:pPr>
        <w:spacing w:before="1"/>
        <w:ind w:left="612" w:right="0" w:firstLine="0"/>
        <w:jc w:val="left"/>
        <w:rPr>
          <w:sz w:val="18"/>
        </w:rPr>
      </w:pPr>
      <w:r>
        <w:rPr/>
        <mc:AlternateContent>
          <mc:Choice Requires="wps">
            <w:drawing>
              <wp:anchor distT="0" distB="0" distL="0" distR="0" allowOverlap="1" layoutInCell="1" locked="0" behindDoc="0" simplePos="0" relativeHeight="15730176">
                <wp:simplePos x="0" y="0"/>
                <wp:positionH relativeFrom="page">
                  <wp:posOffset>590550</wp:posOffset>
                </wp:positionH>
                <wp:positionV relativeFrom="paragraph">
                  <wp:posOffset>-3637137</wp:posOffset>
                </wp:positionV>
                <wp:extent cx="6591300" cy="464312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591300" cy="46431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5"/>
                              <w:gridCol w:w="1072"/>
                              <w:gridCol w:w="1069"/>
                              <w:gridCol w:w="724"/>
                              <w:gridCol w:w="1020"/>
                              <w:gridCol w:w="1069"/>
                              <w:gridCol w:w="682"/>
                            </w:tblGrid>
                            <w:tr>
                              <w:trPr>
                                <w:trHeight w:val="247" w:hRule="atLeast"/>
                              </w:trPr>
                              <w:tc>
                                <w:tcPr>
                                  <w:tcW w:w="4625" w:type="dxa"/>
                                  <w:tcBorders>
                                    <w:top w:val="single" w:sz="4" w:space="0" w:color="000000"/>
                                  </w:tcBorders>
                                </w:tcPr>
                                <w:p>
                                  <w:pPr>
                                    <w:pStyle w:val="TableParagraph"/>
                                    <w:spacing w:before="13"/>
                                    <w:ind w:left="52"/>
                                    <w:rPr>
                                      <w:b/>
                                      <w:sz w:val="18"/>
                                    </w:rPr>
                                  </w:pPr>
                                  <w:r>
                                    <w:rPr>
                                      <w:b/>
                                      <w:sz w:val="18"/>
                                    </w:rPr>
                                    <w:t>Client</w:t>
                                  </w:r>
                                  <w:r>
                                    <w:rPr>
                                      <w:b/>
                                      <w:spacing w:val="-2"/>
                                      <w:sz w:val="18"/>
                                    </w:rPr>
                                    <w:t> Metrics</w:t>
                                  </w:r>
                                </w:p>
                              </w:tc>
                              <w:tc>
                                <w:tcPr>
                                  <w:tcW w:w="5636" w:type="dxa"/>
                                  <w:gridSpan w:val="6"/>
                                  <w:tcBorders>
                                    <w:top w:val="single" w:sz="4" w:space="0" w:color="000000"/>
                                  </w:tcBorders>
                                </w:tcPr>
                                <w:p>
                                  <w:pPr>
                                    <w:pStyle w:val="TableParagraph"/>
                                    <w:rPr>
                                      <w:sz w:val="18"/>
                                    </w:rPr>
                                  </w:pPr>
                                </w:p>
                              </w:tc>
                            </w:tr>
                            <w:tr>
                              <w:trPr>
                                <w:trHeight w:val="257" w:hRule="atLeast"/>
                              </w:trPr>
                              <w:tc>
                                <w:tcPr>
                                  <w:tcW w:w="4625" w:type="dxa"/>
                                  <w:shd w:val="clear" w:color="auto" w:fill="CCEDFF"/>
                                </w:tcPr>
                                <w:p>
                                  <w:pPr>
                                    <w:pStyle w:val="TableParagraph"/>
                                    <w:spacing w:before="13"/>
                                    <w:ind w:left="52"/>
                                    <w:rPr>
                                      <w:sz w:val="18"/>
                                    </w:rPr>
                                  </w:pPr>
                                  <w:r>
                                    <w:rPr>
                                      <w:sz w:val="18"/>
                                    </w:rPr>
                                    <w:t>Net</w:t>
                                  </w:r>
                                  <w:r>
                                    <w:rPr>
                                      <w:spacing w:val="-1"/>
                                      <w:sz w:val="18"/>
                                    </w:rPr>
                                    <w:t> </w:t>
                                  </w:r>
                                  <w:r>
                                    <w:rPr>
                                      <w:sz w:val="18"/>
                                    </w:rPr>
                                    <w:t>new</w:t>
                                  </w:r>
                                  <w:r>
                                    <w:rPr>
                                      <w:spacing w:val="-2"/>
                                      <w:sz w:val="18"/>
                                    </w:rPr>
                                    <w:t> </w:t>
                                  </w:r>
                                  <w:r>
                                    <w:rPr>
                                      <w:sz w:val="18"/>
                                    </w:rPr>
                                    <w:t>client</w:t>
                                  </w:r>
                                  <w:r>
                                    <w:rPr>
                                      <w:spacing w:val="-1"/>
                                      <w:sz w:val="18"/>
                                    </w:rPr>
                                    <w:t> </w:t>
                                  </w:r>
                                  <w:r>
                                    <w:rPr>
                                      <w:sz w:val="18"/>
                                    </w:rPr>
                                    <w:t>assets</w:t>
                                  </w:r>
                                  <w:r>
                                    <w:rPr>
                                      <w:spacing w:val="-1"/>
                                      <w:sz w:val="18"/>
                                    </w:rPr>
                                    <w:t> </w:t>
                                  </w:r>
                                  <w:r>
                                    <w:rPr>
                                      <w:sz w:val="18"/>
                                    </w:rPr>
                                    <w:t>(in</w:t>
                                  </w:r>
                                  <w:r>
                                    <w:rPr>
                                      <w:spacing w:val="-1"/>
                                      <w:sz w:val="18"/>
                                    </w:rPr>
                                    <w:t> </w:t>
                                  </w:r>
                                  <w:r>
                                    <w:rPr>
                                      <w:sz w:val="18"/>
                                    </w:rPr>
                                    <w:t>billions)</w:t>
                                  </w:r>
                                  <w:r>
                                    <w:rPr>
                                      <w:spacing w:val="-2"/>
                                      <w:sz w:val="18"/>
                                    </w:rPr>
                                    <w:t> </w:t>
                                  </w:r>
                                  <w:r>
                                    <w:rPr>
                                      <w:spacing w:val="-5"/>
                                      <w:sz w:val="18"/>
                                      <w:vertAlign w:val="superscript"/>
                                    </w:rPr>
                                    <w:t>(1)</w:t>
                                  </w:r>
                                </w:p>
                              </w:tc>
                              <w:tc>
                                <w:tcPr>
                                  <w:tcW w:w="1072" w:type="dxa"/>
                                  <w:shd w:val="clear" w:color="auto" w:fill="CCEDFF"/>
                                </w:tcPr>
                                <w:p>
                                  <w:pPr>
                                    <w:pStyle w:val="TableParagraph"/>
                                    <w:tabs>
                                      <w:tab w:pos="475" w:val="left" w:leader="none"/>
                                    </w:tabs>
                                    <w:spacing w:before="13"/>
                                    <w:ind w:left="122"/>
                                    <w:rPr>
                                      <w:sz w:val="18"/>
                                    </w:rPr>
                                  </w:pPr>
                                  <w:r>
                                    <w:rPr>
                                      <w:spacing w:val="-10"/>
                                      <w:sz w:val="18"/>
                                    </w:rPr>
                                    <w:t>$</w:t>
                                  </w:r>
                                  <w:r>
                                    <w:rPr>
                                      <w:sz w:val="18"/>
                                    </w:rPr>
                                    <w:tab/>
                                  </w:r>
                                  <w:r>
                                    <w:rPr>
                                      <w:spacing w:val="-4"/>
                                      <w:sz w:val="18"/>
                                    </w:rPr>
                                    <w:t>48.2</w:t>
                                  </w:r>
                                </w:p>
                              </w:tc>
                              <w:tc>
                                <w:tcPr>
                                  <w:tcW w:w="1069" w:type="dxa"/>
                                  <w:shd w:val="clear" w:color="auto" w:fill="CCEDFF"/>
                                </w:tcPr>
                                <w:p>
                                  <w:pPr>
                                    <w:pStyle w:val="TableParagraph"/>
                                    <w:spacing w:before="13"/>
                                    <w:ind w:left="70"/>
                                    <w:rPr>
                                      <w:sz w:val="18"/>
                                    </w:rPr>
                                  </w:pPr>
                                  <w:r>
                                    <w:rPr>
                                      <w:sz w:val="18"/>
                                    </w:rPr>
                                    <w:t>$</w:t>
                                  </w:r>
                                  <w:r>
                                    <w:rPr>
                                      <w:spacing w:val="74"/>
                                      <w:w w:val="150"/>
                                      <w:sz w:val="18"/>
                                    </w:rPr>
                                    <w:t> </w:t>
                                  </w:r>
                                  <w:r>
                                    <w:rPr>
                                      <w:spacing w:val="-2"/>
                                      <w:sz w:val="18"/>
                                    </w:rPr>
                                    <w:t>114.6</w:t>
                                  </w:r>
                                </w:p>
                              </w:tc>
                              <w:tc>
                                <w:tcPr>
                                  <w:tcW w:w="724" w:type="dxa"/>
                                  <w:shd w:val="clear" w:color="auto" w:fill="CCEDFF"/>
                                </w:tcPr>
                                <w:p>
                                  <w:pPr>
                                    <w:pStyle w:val="TableParagraph"/>
                                    <w:spacing w:before="13"/>
                                    <w:ind w:left="209"/>
                                    <w:rPr>
                                      <w:sz w:val="18"/>
                                    </w:rPr>
                                  </w:pPr>
                                  <w:r>
                                    <w:rPr>
                                      <w:spacing w:val="-2"/>
                                      <w:sz w:val="18"/>
                                    </w:rPr>
                                    <w:t>(58)%</w:t>
                                  </w:r>
                                </w:p>
                              </w:tc>
                              <w:tc>
                                <w:tcPr>
                                  <w:tcW w:w="1020" w:type="dxa"/>
                                  <w:shd w:val="clear" w:color="auto" w:fill="CCEDFF"/>
                                </w:tcPr>
                                <w:p>
                                  <w:pPr>
                                    <w:pStyle w:val="TableParagraph"/>
                                    <w:spacing w:before="13"/>
                                    <w:ind w:left="62"/>
                                    <w:rPr>
                                      <w:sz w:val="18"/>
                                    </w:rPr>
                                  </w:pPr>
                                  <w:r>
                                    <w:rPr>
                                      <w:sz w:val="18"/>
                                    </w:rPr>
                                    <w:t>$</w:t>
                                  </w:r>
                                  <w:r>
                                    <w:rPr>
                                      <w:spacing w:val="48"/>
                                      <w:sz w:val="18"/>
                                    </w:rPr>
                                    <w:t>  </w:t>
                                  </w:r>
                                  <w:r>
                                    <w:rPr>
                                      <w:spacing w:val="-2"/>
                                      <w:sz w:val="18"/>
                                    </w:rPr>
                                    <w:t>270.9</w:t>
                                  </w:r>
                                </w:p>
                              </w:tc>
                              <w:tc>
                                <w:tcPr>
                                  <w:tcW w:w="1069" w:type="dxa"/>
                                  <w:shd w:val="clear" w:color="auto" w:fill="CCEDFF"/>
                                </w:tcPr>
                                <w:p>
                                  <w:pPr>
                                    <w:pStyle w:val="TableParagraph"/>
                                    <w:spacing w:before="13"/>
                                    <w:ind w:left="62"/>
                                    <w:rPr>
                                      <w:sz w:val="18"/>
                                    </w:rPr>
                                  </w:pPr>
                                  <w:r>
                                    <w:rPr>
                                      <w:sz w:val="18"/>
                                    </w:rPr>
                                    <w:t>$</w:t>
                                  </w:r>
                                  <w:r>
                                    <w:rPr>
                                      <w:spacing w:val="74"/>
                                      <w:w w:val="150"/>
                                      <w:sz w:val="18"/>
                                    </w:rPr>
                                    <w:t> </w:t>
                                  </w:r>
                                  <w:r>
                                    <w:rPr>
                                      <w:spacing w:val="-2"/>
                                      <w:sz w:val="18"/>
                                    </w:rPr>
                                    <w:t>278.5</w:t>
                                  </w:r>
                                </w:p>
                              </w:tc>
                              <w:tc>
                                <w:tcPr>
                                  <w:tcW w:w="682" w:type="dxa"/>
                                  <w:shd w:val="clear" w:color="auto" w:fill="CCEDFF"/>
                                </w:tcPr>
                                <w:p>
                                  <w:pPr>
                                    <w:pStyle w:val="TableParagraph"/>
                                    <w:spacing w:before="13"/>
                                    <w:ind w:right="13"/>
                                    <w:jc w:val="right"/>
                                    <w:rPr>
                                      <w:sz w:val="18"/>
                                    </w:rPr>
                                  </w:pPr>
                                  <w:r>
                                    <w:rPr>
                                      <w:spacing w:val="-4"/>
                                      <w:sz w:val="18"/>
                                    </w:rPr>
                                    <w:t>(3)%</w:t>
                                  </w:r>
                                </w:p>
                              </w:tc>
                            </w:tr>
                            <w:tr>
                              <w:trPr>
                                <w:trHeight w:val="255" w:hRule="atLeast"/>
                              </w:trPr>
                              <w:tc>
                                <w:tcPr>
                                  <w:tcW w:w="4625" w:type="dxa"/>
                                </w:tcPr>
                                <w:p>
                                  <w:pPr>
                                    <w:pStyle w:val="TableParagraph"/>
                                    <w:spacing w:before="13"/>
                                    <w:ind w:left="52"/>
                                    <w:rPr>
                                      <w:sz w:val="18"/>
                                    </w:rPr>
                                  </w:pPr>
                                  <w:r>
                                    <w:rPr>
                                      <w:sz w:val="18"/>
                                    </w:rPr>
                                    <w:t>Core</w:t>
                                  </w:r>
                                  <w:r>
                                    <w:rPr>
                                      <w:spacing w:val="-1"/>
                                      <w:sz w:val="18"/>
                                    </w:rPr>
                                    <w:t> </w:t>
                                  </w:r>
                                  <w:r>
                                    <w:rPr>
                                      <w:sz w:val="18"/>
                                    </w:rPr>
                                    <w:t>net new</w:t>
                                  </w:r>
                                  <w:r>
                                    <w:rPr>
                                      <w:spacing w:val="-1"/>
                                      <w:sz w:val="18"/>
                                    </w:rPr>
                                    <w:t> </w:t>
                                  </w:r>
                                  <w:r>
                                    <w:rPr>
                                      <w:sz w:val="18"/>
                                    </w:rPr>
                                    <w:t>client</w:t>
                                  </w:r>
                                  <w:r>
                                    <w:rPr>
                                      <w:spacing w:val="-1"/>
                                      <w:sz w:val="18"/>
                                    </w:rPr>
                                    <w:t> </w:t>
                                  </w:r>
                                  <w:r>
                                    <w:rPr>
                                      <w:sz w:val="18"/>
                                    </w:rPr>
                                    <w:t>assets</w:t>
                                  </w:r>
                                  <w:r>
                                    <w:rPr>
                                      <w:spacing w:val="-1"/>
                                      <w:sz w:val="18"/>
                                    </w:rPr>
                                    <w:t> </w:t>
                                  </w:r>
                                  <w:r>
                                    <w:rPr>
                                      <w:sz w:val="18"/>
                                    </w:rPr>
                                    <w:t>(in </w:t>
                                  </w:r>
                                  <w:r>
                                    <w:rPr>
                                      <w:spacing w:val="-2"/>
                                      <w:sz w:val="18"/>
                                    </w:rPr>
                                    <w:t>billions)</w:t>
                                  </w:r>
                                </w:p>
                              </w:tc>
                              <w:tc>
                                <w:tcPr>
                                  <w:tcW w:w="1072" w:type="dxa"/>
                                </w:tcPr>
                                <w:p>
                                  <w:pPr>
                                    <w:pStyle w:val="TableParagraph"/>
                                    <w:tabs>
                                      <w:tab w:pos="475" w:val="left" w:leader="none"/>
                                    </w:tabs>
                                    <w:spacing w:before="13"/>
                                    <w:ind w:left="122"/>
                                    <w:rPr>
                                      <w:sz w:val="18"/>
                                    </w:rPr>
                                  </w:pPr>
                                  <w:r>
                                    <w:rPr>
                                      <w:spacing w:val="-10"/>
                                      <w:sz w:val="18"/>
                                    </w:rPr>
                                    <w:t>$</w:t>
                                  </w:r>
                                  <w:r>
                                    <w:rPr>
                                      <w:sz w:val="18"/>
                                    </w:rPr>
                                    <w:tab/>
                                  </w:r>
                                  <w:r>
                                    <w:rPr>
                                      <w:spacing w:val="-4"/>
                                      <w:sz w:val="18"/>
                                    </w:rPr>
                                    <w:t>45.7</w:t>
                                  </w:r>
                                </w:p>
                              </w:tc>
                              <w:tc>
                                <w:tcPr>
                                  <w:tcW w:w="1069" w:type="dxa"/>
                                </w:tcPr>
                                <w:p>
                                  <w:pPr>
                                    <w:pStyle w:val="TableParagraph"/>
                                    <w:spacing w:before="13"/>
                                    <w:ind w:left="70"/>
                                    <w:rPr>
                                      <w:sz w:val="18"/>
                                    </w:rPr>
                                  </w:pPr>
                                  <w:r>
                                    <w:rPr>
                                      <w:sz w:val="18"/>
                                    </w:rPr>
                                    <w:t>$</w:t>
                                  </w:r>
                                  <w:r>
                                    <w:rPr>
                                      <w:spacing w:val="74"/>
                                      <w:w w:val="150"/>
                                      <w:sz w:val="18"/>
                                    </w:rPr>
                                    <w:t> </w:t>
                                  </w:r>
                                  <w:r>
                                    <w:rPr>
                                      <w:spacing w:val="-2"/>
                                      <w:sz w:val="18"/>
                                    </w:rPr>
                                    <w:t>114.6</w:t>
                                  </w:r>
                                </w:p>
                              </w:tc>
                              <w:tc>
                                <w:tcPr>
                                  <w:tcW w:w="724" w:type="dxa"/>
                                </w:tcPr>
                                <w:p>
                                  <w:pPr>
                                    <w:pStyle w:val="TableParagraph"/>
                                    <w:spacing w:before="13"/>
                                    <w:ind w:left="209"/>
                                    <w:rPr>
                                      <w:sz w:val="18"/>
                                    </w:rPr>
                                  </w:pPr>
                                  <w:r>
                                    <w:rPr>
                                      <w:spacing w:val="-2"/>
                                      <w:sz w:val="18"/>
                                    </w:rPr>
                                    <w:t>(60)%</w:t>
                                  </w:r>
                                </w:p>
                              </w:tc>
                              <w:tc>
                                <w:tcPr>
                                  <w:tcW w:w="1020" w:type="dxa"/>
                                </w:tcPr>
                                <w:p>
                                  <w:pPr>
                                    <w:pStyle w:val="TableParagraph"/>
                                    <w:spacing w:before="13"/>
                                    <w:ind w:left="62"/>
                                    <w:rPr>
                                      <w:sz w:val="18"/>
                                    </w:rPr>
                                  </w:pPr>
                                  <w:r>
                                    <w:rPr>
                                      <w:sz w:val="18"/>
                                    </w:rPr>
                                    <w:t>$</w:t>
                                  </w:r>
                                  <w:r>
                                    <w:rPr>
                                      <w:spacing w:val="48"/>
                                      <w:sz w:val="18"/>
                                    </w:rPr>
                                    <w:t>  </w:t>
                                  </w:r>
                                  <w:r>
                                    <w:rPr>
                                      <w:spacing w:val="-2"/>
                                      <w:sz w:val="18"/>
                                    </w:rPr>
                                    <w:t>229.6</w:t>
                                  </w:r>
                                </w:p>
                              </w:tc>
                              <w:tc>
                                <w:tcPr>
                                  <w:tcW w:w="1069" w:type="dxa"/>
                                </w:tcPr>
                                <w:p>
                                  <w:pPr>
                                    <w:pStyle w:val="TableParagraph"/>
                                    <w:spacing w:before="13"/>
                                    <w:ind w:left="62"/>
                                    <w:rPr>
                                      <w:sz w:val="18"/>
                                    </w:rPr>
                                  </w:pPr>
                                  <w:r>
                                    <w:rPr>
                                      <w:sz w:val="18"/>
                                    </w:rPr>
                                    <w:t>$</w:t>
                                  </w:r>
                                  <w:r>
                                    <w:rPr>
                                      <w:spacing w:val="74"/>
                                      <w:w w:val="150"/>
                                      <w:sz w:val="18"/>
                                    </w:rPr>
                                    <w:t> </w:t>
                                  </w:r>
                                  <w:r>
                                    <w:rPr>
                                      <w:spacing w:val="-2"/>
                                      <w:sz w:val="18"/>
                                    </w:rPr>
                                    <w:t>299.3</w:t>
                                  </w:r>
                                </w:p>
                              </w:tc>
                              <w:tc>
                                <w:tcPr>
                                  <w:tcW w:w="682" w:type="dxa"/>
                                </w:tcPr>
                                <w:p>
                                  <w:pPr>
                                    <w:pStyle w:val="TableParagraph"/>
                                    <w:spacing w:before="13"/>
                                    <w:ind w:right="13"/>
                                    <w:jc w:val="right"/>
                                    <w:rPr>
                                      <w:sz w:val="18"/>
                                    </w:rPr>
                                  </w:pPr>
                                  <w:r>
                                    <w:rPr>
                                      <w:spacing w:val="-2"/>
                                      <w:sz w:val="18"/>
                                    </w:rPr>
                                    <w:t>(23)%</w:t>
                                  </w:r>
                                </w:p>
                              </w:tc>
                            </w:tr>
                            <w:tr>
                              <w:trPr>
                                <w:trHeight w:val="255" w:hRule="atLeast"/>
                              </w:trPr>
                              <w:tc>
                                <w:tcPr>
                                  <w:tcW w:w="4625" w:type="dxa"/>
                                  <w:shd w:val="clear" w:color="auto" w:fill="CCEDFF"/>
                                </w:tcPr>
                                <w:p>
                                  <w:pPr>
                                    <w:pStyle w:val="TableParagraph"/>
                                    <w:spacing w:before="13"/>
                                    <w:ind w:left="52"/>
                                    <w:rPr>
                                      <w:sz w:val="18"/>
                                    </w:rPr>
                                  </w:pPr>
                                  <w:r>
                                    <w:rPr>
                                      <w:sz w:val="18"/>
                                    </w:rPr>
                                    <w:t>Client</w:t>
                                  </w:r>
                                  <w:r>
                                    <w:rPr>
                                      <w:spacing w:val="-1"/>
                                      <w:sz w:val="18"/>
                                    </w:rPr>
                                    <w:t> </w:t>
                                  </w:r>
                                  <w:r>
                                    <w:rPr>
                                      <w:sz w:val="18"/>
                                    </w:rPr>
                                    <w:t>assets</w:t>
                                  </w:r>
                                  <w:r>
                                    <w:rPr>
                                      <w:spacing w:val="-1"/>
                                      <w:sz w:val="18"/>
                                    </w:rPr>
                                    <w:t> </w:t>
                                  </w:r>
                                  <w:r>
                                    <w:rPr>
                                      <w:sz w:val="18"/>
                                    </w:rPr>
                                    <w:t>(in</w:t>
                                  </w:r>
                                  <w:r>
                                    <w:rPr>
                                      <w:spacing w:val="-1"/>
                                      <w:sz w:val="18"/>
                                    </w:rPr>
                                    <w:t> </w:t>
                                  </w:r>
                                  <w:r>
                                    <w:rPr>
                                      <w:sz w:val="18"/>
                                    </w:rPr>
                                    <w:t>billions, at</w:t>
                                  </w:r>
                                  <w:r>
                                    <w:rPr>
                                      <w:spacing w:val="-1"/>
                                      <w:sz w:val="18"/>
                                    </w:rPr>
                                    <w:t> </w:t>
                                  </w:r>
                                  <w:r>
                                    <w:rPr>
                                      <w:sz w:val="18"/>
                                    </w:rPr>
                                    <w:t>quarter </w:t>
                                  </w:r>
                                  <w:r>
                                    <w:rPr>
                                      <w:spacing w:val="-4"/>
                                      <w:sz w:val="18"/>
                                    </w:rPr>
                                    <w:t>end)</w:t>
                                  </w:r>
                                </w:p>
                              </w:tc>
                              <w:tc>
                                <w:tcPr>
                                  <w:tcW w:w="1072" w:type="dxa"/>
                                  <w:shd w:val="clear" w:color="auto" w:fill="CCEDFF"/>
                                </w:tcPr>
                                <w:p>
                                  <w:pPr>
                                    <w:pStyle w:val="TableParagraph"/>
                                    <w:spacing w:before="13"/>
                                    <w:ind w:left="122"/>
                                    <w:rPr>
                                      <w:sz w:val="18"/>
                                    </w:rPr>
                                  </w:pPr>
                                  <w:r>
                                    <w:rPr>
                                      <w:sz w:val="18"/>
                                    </w:rPr>
                                    <w:t>$</w:t>
                                  </w:r>
                                  <w:r>
                                    <w:rPr>
                                      <w:spacing w:val="-8"/>
                                      <w:sz w:val="18"/>
                                    </w:rPr>
                                    <w:t> </w:t>
                                  </w:r>
                                  <w:r>
                                    <w:rPr>
                                      <w:spacing w:val="-2"/>
                                      <w:sz w:val="18"/>
                                    </w:rPr>
                                    <w:t>7,824.5</w:t>
                                  </w:r>
                                </w:p>
                              </w:tc>
                              <w:tc>
                                <w:tcPr>
                                  <w:tcW w:w="1069" w:type="dxa"/>
                                  <w:shd w:val="clear" w:color="auto" w:fill="CCEDFF"/>
                                </w:tcPr>
                                <w:p>
                                  <w:pPr>
                                    <w:pStyle w:val="TableParagraph"/>
                                    <w:spacing w:before="13"/>
                                    <w:ind w:left="70"/>
                                    <w:rPr>
                                      <w:sz w:val="18"/>
                                    </w:rPr>
                                  </w:pPr>
                                  <w:r>
                                    <w:rPr>
                                      <w:spacing w:val="-2"/>
                                      <w:sz w:val="18"/>
                                    </w:rPr>
                                    <w:t>$6,644.2</w:t>
                                  </w:r>
                                </w:p>
                              </w:tc>
                              <w:tc>
                                <w:tcPr>
                                  <w:tcW w:w="724" w:type="dxa"/>
                                  <w:shd w:val="clear" w:color="auto" w:fill="CCEDFF"/>
                                </w:tcPr>
                                <w:p>
                                  <w:pPr>
                                    <w:pStyle w:val="TableParagraph"/>
                                    <w:spacing w:before="13"/>
                                    <w:ind w:left="269"/>
                                    <w:rPr>
                                      <w:sz w:val="18"/>
                                    </w:rPr>
                                  </w:pPr>
                                  <w:r>
                                    <w:rPr>
                                      <w:spacing w:val="-5"/>
                                      <w:sz w:val="18"/>
                                    </w:rPr>
                                    <w:t>18%</w:t>
                                  </w:r>
                                </w:p>
                              </w:tc>
                              <w:tc>
                                <w:tcPr>
                                  <w:tcW w:w="1020" w:type="dxa"/>
                                  <w:shd w:val="clear" w:color="auto" w:fill="CCEDFF"/>
                                </w:tcPr>
                                <w:p>
                                  <w:pPr>
                                    <w:pStyle w:val="TableParagraph"/>
                                    <w:rPr>
                                      <w:sz w:val="18"/>
                                    </w:rPr>
                                  </w:pPr>
                                </w:p>
                              </w:tc>
                              <w:tc>
                                <w:tcPr>
                                  <w:tcW w:w="1069" w:type="dxa"/>
                                  <w:shd w:val="clear" w:color="auto" w:fill="CCEDFF"/>
                                </w:tcPr>
                                <w:p>
                                  <w:pPr>
                                    <w:pStyle w:val="TableParagraph"/>
                                    <w:rPr>
                                      <w:sz w:val="18"/>
                                    </w:rPr>
                                  </w:pPr>
                                </w:p>
                              </w:tc>
                              <w:tc>
                                <w:tcPr>
                                  <w:tcW w:w="682" w:type="dxa"/>
                                  <w:shd w:val="clear" w:color="auto" w:fill="CCEDFF"/>
                                </w:tcPr>
                                <w:p>
                                  <w:pPr>
                                    <w:pStyle w:val="TableParagraph"/>
                                    <w:rPr>
                                      <w:sz w:val="18"/>
                                    </w:rPr>
                                  </w:pPr>
                                </w:p>
                              </w:tc>
                            </w:tr>
                            <w:tr>
                              <w:trPr>
                                <w:trHeight w:val="255" w:hRule="atLeast"/>
                              </w:trPr>
                              <w:tc>
                                <w:tcPr>
                                  <w:tcW w:w="4625" w:type="dxa"/>
                                </w:tcPr>
                                <w:p>
                                  <w:pPr>
                                    <w:pStyle w:val="TableParagraph"/>
                                    <w:spacing w:before="13"/>
                                    <w:ind w:left="52"/>
                                    <w:rPr>
                                      <w:sz w:val="18"/>
                                    </w:rPr>
                                  </w:pPr>
                                  <w:r>
                                    <w:rPr>
                                      <w:sz w:val="18"/>
                                    </w:rPr>
                                    <w:t>Average</w:t>
                                  </w:r>
                                  <w:r>
                                    <w:rPr>
                                      <w:spacing w:val="-1"/>
                                      <w:sz w:val="18"/>
                                    </w:rPr>
                                    <w:t> </w:t>
                                  </w:r>
                                  <w:r>
                                    <w:rPr>
                                      <w:sz w:val="18"/>
                                    </w:rPr>
                                    <w:t>client</w:t>
                                  </w:r>
                                  <w:r>
                                    <w:rPr>
                                      <w:spacing w:val="-1"/>
                                      <w:sz w:val="18"/>
                                    </w:rPr>
                                    <w:t> </w:t>
                                  </w:r>
                                  <w:r>
                                    <w:rPr>
                                      <w:sz w:val="18"/>
                                    </w:rPr>
                                    <w:t>assets</w:t>
                                  </w:r>
                                  <w:r>
                                    <w:rPr>
                                      <w:spacing w:val="-2"/>
                                      <w:sz w:val="18"/>
                                    </w:rPr>
                                    <w:t> </w:t>
                                  </w:r>
                                  <w:r>
                                    <w:rPr>
                                      <w:sz w:val="18"/>
                                    </w:rPr>
                                    <w:t>(in </w:t>
                                  </w:r>
                                  <w:r>
                                    <w:rPr>
                                      <w:spacing w:val="-2"/>
                                      <w:sz w:val="18"/>
                                    </w:rPr>
                                    <w:t>billions)</w:t>
                                  </w:r>
                                </w:p>
                              </w:tc>
                              <w:tc>
                                <w:tcPr>
                                  <w:tcW w:w="1072" w:type="dxa"/>
                                </w:tcPr>
                                <w:p>
                                  <w:pPr>
                                    <w:pStyle w:val="TableParagraph"/>
                                    <w:spacing w:before="13"/>
                                    <w:ind w:left="122"/>
                                    <w:rPr>
                                      <w:sz w:val="18"/>
                                    </w:rPr>
                                  </w:pPr>
                                  <w:r>
                                    <w:rPr>
                                      <w:sz w:val="18"/>
                                    </w:rPr>
                                    <w:t>$</w:t>
                                  </w:r>
                                  <w:r>
                                    <w:rPr>
                                      <w:spacing w:val="-8"/>
                                      <w:sz w:val="18"/>
                                    </w:rPr>
                                    <w:t> </w:t>
                                  </w:r>
                                  <w:r>
                                    <w:rPr>
                                      <w:spacing w:val="-2"/>
                                      <w:sz w:val="18"/>
                                    </w:rPr>
                                    <w:t>8,032.4</w:t>
                                  </w:r>
                                </w:p>
                              </w:tc>
                              <w:tc>
                                <w:tcPr>
                                  <w:tcW w:w="1069" w:type="dxa"/>
                                </w:tcPr>
                                <w:p>
                                  <w:pPr>
                                    <w:pStyle w:val="TableParagraph"/>
                                    <w:spacing w:before="13"/>
                                    <w:ind w:left="70"/>
                                    <w:rPr>
                                      <w:sz w:val="18"/>
                                    </w:rPr>
                                  </w:pPr>
                                  <w:r>
                                    <w:rPr>
                                      <w:spacing w:val="-2"/>
                                      <w:sz w:val="18"/>
                                    </w:rPr>
                                    <w:t>$7,125.9</w:t>
                                  </w:r>
                                </w:p>
                              </w:tc>
                              <w:tc>
                                <w:tcPr>
                                  <w:tcW w:w="724" w:type="dxa"/>
                                </w:tcPr>
                                <w:p>
                                  <w:pPr>
                                    <w:pStyle w:val="TableParagraph"/>
                                    <w:spacing w:before="13"/>
                                    <w:ind w:left="269"/>
                                    <w:rPr>
                                      <w:sz w:val="18"/>
                                    </w:rPr>
                                  </w:pPr>
                                  <w:r>
                                    <w:rPr>
                                      <w:spacing w:val="-5"/>
                                      <w:sz w:val="18"/>
                                    </w:rPr>
                                    <w:t>13%</w:t>
                                  </w:r>
                                </w:p>
                              </w:tc>
                              <w:tc>
                                <w:tcPr>
                                  <w:tcW w:w="1020" w:type="dxa"/>
                                </w:tcPr>
                                <w:p>
                                  <w:pPr>
                                    <w:pStyle w:val="TableParagraph"/>
                                    <w:spacing w:before="13"/>
                                    <w:ind w:left="62"/>
                                    <w:rPr>
                                      <w:sz w:val="18"/>
                                    </w:rPr>
                                  </w:pPr>
                                  <w:r>
                                    <w:rPr>
                                      <w:sz w:val="18"/>
                                    </w:rPr>
                                    <w:t>$</w:t>
                                  </w:r>
                                  <w:r>
                                    <w:rPr>
                                      <w:spacing w:val="5"/>
                                      <w:sz w:val="18"/>
                                    </w:rPr>
                                    <w:t> </w:t>
                                  </w:r>
                                  <w:r>
                                    <w:rPr>
                                      <w:spacing w:val="-2"/>
                                      <w:sz w:val="18"/>
                                    </w:rPr>
                                    <w:t>7,705.4</w:t>
                                  </w:r>
                                </w:p>
                              </w:tc>
                              <w:tc>
                                <w:tcPr>
                                  <w:tcW w:w="1069" w:type="dxa"/>
                                </w:tcPr>
                                <w:p>
                                  <w:pPr>
                                    <w:pStyle w:val="TableParagraph"/>
                                    <w:spacing w:before="13"/>
                                    <w:ind w:left="62"/>
                                    <w:rPr>
                                      <w:sz w:val="18"/>
                                    </w:rPr>
                                  </w:pPr>
                                  <w:r>
                                    <w:rPr>
                                      <w:spacing w:val="-2"/>
                                      <w:sz w:val="18"/>
                                    </w:rPr>
                                    <w:t>$7,385.0</w:t>
                                  </w:r>
                                </w:p>
                              </w:tc>
                              <w:tc>
                                <w:tcPr>
                                  <w:tcW w:w="682" w:type="dxa"/>
                                </w:tcPr>
                                <w:p>
                                  <w:pPr>
                                    <w:pStyle w:val="TableParagraph"/>
                                    <w:spacing w:before="13"/>
                                    <w:ind w:right="73"/>
                                    <w:jc w:val="right"/>
                                    <w:rPr>
                                      <w:sz w:val="18"/>
                                    </w:rPr>
                                  </w:pPr>
                                  <w:r>
                                    <w:rPr>
                                      <w:spacing w:val="-5"/>
                                      <w:sz w:val="18"/>
                                    </w:rPr>
                                    <w:t>4%</w:t>
                                  </w:r>
                                </w:p>
                              </w:tc>
                            </w:tr>
                            <w:tr>
                              <w:trPr>
                                <w:trHeight w:val="255" w:hRule="atLeast"/>
                              </w:trPr>
                              <w:tc>
                                <w:tcPr>
                                  <w:tcW w:w="4625" w:type="dxa"/>
                                  <w:shd w:val="clear" w:color="auto" w:fill="CCEDFF"/>
                                </w:tcPr>
                                <w:p>
                                  <w:pPr>
                                    <w:pStyle w:val="TableParagraph"/>
                                    <w:spacing w:before="13"/>
                                    <w:ind w:left="52"/>
                                    <w:rPr>
                                      <w:sz w:val="18"/>
                                    </w:rPr>
                                  </w:pPr>
                                  <w:r>
                                    <w:rPr>
                                      <w:sz w:val="18"/>
                                    </w:rPr>
                                    <w:t>New</w:t>
                                  </w:r>
                                  <w:r>
                                    <w:rPr>
                                      <w:spacing w:val="-2"/>
                                      <w:sz w:val="18"/>
                                    </w:rPr>
                                    <w:t> </w:t>
                                  </w:r>
                                  <w:r>
                                    <w:rPr>
                                      <w:sz w:val="18"/>
                                    </w:rPr>
                                    <w:t>brokerage accounts</w:t>
                                  </w:r>
                                  <w:r>
                                    <w:rPr>
                                      <w:spacing w:val="-1"/>
                                      <w:sz w:val="18"/>
                                    </w:rPr>
                                    <w:t> </w:t>
                                  </w:r>
                                  <w:r>
                                    <w:rPr>
                                      <w:sz w:val="18"/>
                                    </w:rPr>
                                    <w:t>(in </w:t>
                                  </w:r>
                                  <w:r>
                                    <w:rPr>
                                      <w:spacing w:val="-2"/>
                                      <w:sz w:val="18"/>
                                    </w:rPr>
                                    <w:t>thousands)</w:t>
                                  </w:r>
                                </w:p>
                              </w:tc>
                              <w:tc>
                                <w:tcPr>
                                  <w:tcW w:w="1072" w:type="dxa"/>
                                  <w:shd w:val="clear" w:color="auto" w:fill="CCEDFF"/>
                                </w:tcPr>
                                <w:p>
                                  <w:pPr>
                                    <w:pStyle w:val="TableParagraph"/>
                                    <w:spacing w:before="13"/>
                                    <w:ind w:left="520"/>
                                    <w:rPr>
                                      <w:sz w:val="18"/>
                                    </w:rPr>
                                  </w:pPr>
                                  <w:r>
                                    <w:rPr>
                                      <w:spacing w:val="-5"/>
                                      <w:sz w:val="18"/>
                                    </w:rPr>
                                    <w:t>894</w:t>
                                  </w:r>
                                </w:p>
                              </w:tc>
                              <w:tc>
                                <w:tcPr>
                                  <w:tcW w:w="1069" w:type="dxa"/>
                                  <w:shd w:val="clear" w:color="auto" w:fill="CCEDFF"/>
                                </w:tcPr>
                                <w:p>
                                  <w:pPr>
                                    <w:pStyle w:val="TableParagraph"/>
                                    <w:spacing w:before="13"/>
                                    <w:ind w:left="77"/>
                                    <w:jc w:val="center"/>
                                    <w:rPr>
                                      <w:sz w:val="18"/>
                                    </w:rPr>
                                  </w:pPr>
                                  <w:r>
                                    <w:rPr>
                                      <w:spacing w:val="-5"/>
                                      <w:sz w:val="18"/>
                                    </w:rPr>
                                    <w:t>897</w:t>
                                  </w:r>
                                </w:p>
                              </w:tc>
                              <w:tc>
                                <w:tcPr>
                                  <w:tcW w:w="724" w:type="dxa"/>
                                  <w:shd w:val="clear" w:color="auto" w:fill="CCEDFF"/>
                                </w:tcPr>
                                <w:p>
                                  <w:pPr>
                                    <w:pStyle w:val="TableParagraph"/>
                                    <w:spacing w:before="13"/>
                                    <w:ind w:left="269"/>
                                    <w:rPr>
                                      <w:sz w:val="18"/>
                                    </w:rPr>
                                  </w:pPr>
                                  <w:r>
                                    <w:rPr>
                                      <w:spacing w:val="-10"/>
                                      <w:sz w:val="18"/>
                                    </w:rPr>
                                    <w:t>—</w:t>
                                  </w:r>
                                </w:p>
                              </w:tc>
                              <w:tc>
                                <w:tcPr>
                                  <w:tcW w:w="1020" w:type="dxa"/>
                                  <w:shd w:val="clear" w:color="auto" w:fill="CCEDFF"/>
                                </w:tcPr>
                                <w:p>
                                  <w:pPr>
                                    <w:pStyle w:val="TableParagraph"/>
                                    <w:spacing w:before="13"/>
                                    <w:ind w:left="340"/>
                                    <w:rPr>
                                      <w:sz w:val="18"/>
                                    </w:rPr>
                                  </w:pPr>
                                  <w:r>
                                    <w:rPr>
                                      <w:spacing w:val="-2"/>
                                      <w:sz w:val="18"/>
                                    </w:rPr>
                                    <w:t>2,896</w:t>
                                  </w:r>
                                </w:p>
                              </w:tc>
                              <w:tc>
                                <w:tcPr>
                                  <w:tcW w:w="1069" w:type="dxa"/>
                                  <w:shd w:val="clear" w:color="auto" w:fill="CCEDFF"/>
                                </w:tcPr>
                                <w:p>
                                  <w:pPr>
                                    <w:pStyle w:val="TableParagraph"/>
                                    <w:spacing w:before="13"/>
                                    <w:ind w:left="295"/>
                                    <w:rPr>
                                      <w:sz w:val="18"/>
                                    </w:rPr>
                                  </w:pPr>
                                  <w:r>
                                    <w:rPr>
                                      <w:spacing w:val="-2"/>
                                      <w:sz w:val="18"/>
                                    </w:rPr>
                                    <w:t>3,113</w:t>
                                  </w:r>
                                </w:p>
                              </w:tc>
                              <w:tc>
                                <w:tcPr>
                                  <w:tcW w:w="682" w:type="dxa"/>
                                  <w:shd w:val="clear" w:color="auto" w:fill="CCEDFF"/>
                                </w:tcPr>
                                <w:p>
                                  <w:pPr>
                                    <w:pStyle w:val="TableParagraph"/>
                                    <w:spacing w:before="13"/>
                                    <w:ind w:right="13"/>
                                    <w:jc w:val="right"/>
                                    <w:rPr>
                                      <w:sz w:val="18"/>
                                    </w:rPr>
                                  </w:pPr>
                                  <w:r>
                                    <w:rPr>
                                      <w:spacing w:val="-4"/>
                                      <w:sz w:val="18"/>
                                    </w:rPr>
                                    <w:t>(7)%</w:t>
                                  </w:r>
                                </w:p>
                              </w:tc>
                            </w:tr>
                            <w:tr>
                              <w:trPr>
                                <w:trHeight w:val="255" w:hRule="atLeast"/>
                              </w:trPr>
                              <w:tc>
                                <w:tcPr>
                                  <w:tcW w:w="4625" w:type="dxa"/>
                                </w:tcPr>
                                <w:p>
                                  <w:pPr>
                                    <w:pStyle w:val="TableParagraph"/>
                                    <w:spacing w:before="13"/>
                                    <w:ind w:left="52"/>
                                    <w:rPr>
                                      <w:sz w:val="18"/>
                                    </w:rPr>
                                  </w:pPr>
                                  <w:r>
                                    <w:rPr>
                                      <w:sz w:val="18"/>
                                    </w:rPr>
                                    <w:t>Active</w:t>
                                  </w:r>
                                  <w:r>
                                    <w:rPr>
                                      <w:spacing w:val="-3"/>
                                      <w:sz w:val="18"/>
                                    </w:rPr>
                                    <w:t> </w:t>
                                  </w:r>
                                  <w:r>
                                    <w:rPr>
                                      <w:sz w:val="18"/>
                                    </w:rPr>
                                    <w:t>brokerage accounts</w:t>
                                  </w:r>
                                  <w:r>
                                    <w:rPr>
                                      <w:spacing w:val="-2"/>
                                      <w:sz w:val="18"/>
                                    </w:rPr>
                                    <w:t> </w:t>
                                  </w:r>
                                  <w:r>
                                    <w:rPr>
                                      <w:sz w:val="18"/>
                                    </w:rPr>
                                    <w:t>(in thousands,</w:t>
                                  </w:r>
                                  <w:r>
                                    <w:rPr>
                                      <w:spacing w:val="-1"/>
                                      <w:sz w:val="18"/>
                                    </w:rPr>
                                    <w:t> </w:t>
                                  </w:r>
                                  <w:r>
                                    <w:rPr>
                                      <w:sz w:val="18"/>
                                    </w:rPr>
                                    <w:t>at quarter </w:t>
                                  </w:r>
                                  <w:r>
                                    <w:rPr>
                                      <w:spacing w:val="-4"/>
                                      <w:sz w:val="18"/>
                                    </w:rPr>
                                    <w:t>end)</w:t>
                                  </w:r>
                                </w:p>
                              </w:tc>
                              <w:tc>
                                <w:tcPr>
                                  <w:tcW w:w="1072" w:type="dxa"/>
                                </w:tcPr>
                                <w:p>
                                  <w:pPr>
                                    <w:pStyle w:val="TableParagraph"/>
                                    <w:spacing w:before="13"/>
                                    <w:ind w:left="295"/>
                                    <w:rPr>
                                      <w:sz w:val="18"/>
                                    </w:rPr>
                                  </w:pPr>
                                  <w:r>
                                    <w:rPr>
                                      <w:spacing w:val="-2"/>
                                      <w:sz w:val="18"/>
                                    </w:rPr>
                                    <w:t>34,540</w:t>
                                  </w:r>
                                </w:p>
                              </w:tc>
                              <w:tc>
                                <w:tcPr>
                                  <w:tcW w:w="1069" w:type="dxa"/>
                                </w:tcPr>
                                <w:p>
                                  <w:pPr>
                                    <w:pStyle w:val="TableParagraph"/>
                                    <w:spacing w:before="13"/>
                                    <w:ind w:left="213"/>
                                    <w:rPr>
                                      <w:sz w:val="18"/>
                                    </w:rPr>
                                  </w:pPr>
                                  <w:r>
                                    <w:rPr>
                                      <w:spacing w:val="-2"/>
                                      <w:sz w:val="18"/>
                                    </w:rPr>
                                    <w:t>33,875</w:t>
                                  </w:r>
                                </w:p>
                              </w:tc>
                              <w:tc>
                                <w:tcPr>
                                  <w:tcW w:w="724" w:type="dxa"/>
                                </w:tcPr>
                                <w:p>
                                  <w:pPr>
                                    <w:pStyle w:val="TableParagraph"/>
                                    <w:spacing w:before="13"/>
                                    <w:ind w:left="359"/>
                                    <w:rPr>
                                      <w:sz w:val="18"/>
                                    </w:rPr>
                                  </w:pPr>
                                  <w:r>
                                    <w:rPr>
                                      <w:spacing w:val="-5"/>
                                      <w:sz w:val="18"/>
                                    </w:rPr>
                                    <w:t>2%</w:t>
                                  </w:r>
                                </w:p>
                              </w:tc>
                              <w:tc>
                                <w:tcPr>
                                  <w:tcW w:w="1020" w:type="dxa"/>
                                </w:tcPr>
                                <w:p>
                                  <w:pPr>
                                    <w:pStyle w:val="TableParagraph"/>
                                    <w:rPr>
                                      <w:sz w:val="18"/>
                                    </w:rPr>
                                  </w:pPr>
                                </w:p>
                              </w:tc>
                              <w:tc>
                                <w:tcPr>
                                  <w:tcW w:w="1069" w:type="dxa"/>
                                </w:tcPr>
                                <w:p>
                                  <w:pPr>
                                    <w:pStyle w:val="TableParagraph"/>
                                    <w:rPr>
                                      <w:sz w:val="18"/>
                                    </w:rPr>
                                  </w:pPr>
                                </w:p>
                              </w:tc>
                              <w:tc>
                                <w:tcPr>
                                  <w:tcW w:w="682" w:type="dxa"/>
                                </w:tcPr>
                                <w:p>
                                  <w:pPr>
                                    <w:pStyle w:val="TableParagraph"/>
                                    <w:rPr>
                                      <w:sz w:val="18"/>
                                    </w:rPr>
                                  </w:pPr>
                                </w:p>
                              </w:tc>
                            </w:tr>
                            <w:tr>
                              <w:trPr>
                                <w:trHeight w:val="435" w:hRule="atLeast"/>
                              </w:trPr>
                              <w:tc>
                                <w:tcPr>
                                  <w:tcW w:w="4625" w:type="dxa"/>
                                  <w:shd w:val="clear" w:color="auto" w:fill="CCEDFF"/>
                                </w:tcPr>
                                <w:p>
                                  <w:pPr>
                                    <w:pStyle w:val="TableParagraph"/>
                                    <w:spacing w:line="208" w:lineRule="auto" w:before="35"/>
                                    <w:ind w:left="142" w:right="516" w:hanging="90"/>
                                    <w:rPr>
                                      <w:sz w:val="18"/>
                                    </w:rPr>
                                  </w:pPr>
                                  <w:r>
                                    <w:rPr>
                                      <w:sz w:val="18"/>
                                    </w:rPr>
                                    <w:t>Assets</w:t>
                                  </w:r>
                                  <w:r>
                                    <w:rPr>
                                      <w:spacing w:val="-7"/>
                                      <w:sz w:val="18"/>
                                    </w:rPr>
                                    <w:t> </w:t>
                                  </w:r>
                                  <w:r>
                                    <w:rPr>
                                      <w:sz w:val="18"/>
                                    </w:rPr>
                                    <w:t>receiving</w:t>
                                  </w:r>
                                  <w:r>
                                    <w:rPr>
                                      <w:spacing w:val="-6"/>
                                      <w:sz w:val="18"/>
                                    </w:rPr>
                                    <w:t> </w:t>
                                  </w:r>
                                  <w:r>
                                    <w:rPr>
                                      <w:sz w:val="18"/>
                                    </w:rPr>
                                    <w:t>ongoing</w:t>
                                  </w:r>
                                  <w:r>
                                    <w:rPr>
                                      <w:spacing w:val="-6"/>
                                      <w:sz w:val="18"/>
                                    </w:rPr>
                                    <w:t> </w:t>
                                  </w:r>
                                  <w:r>
                                    <w:rPr>
                                      <w:sz w:val="18"/>
                                    </w:rPr>
                                    <w:t>advisory</w:t>
                                  </w:r>
                                  <w:r>
                                    <w:rPr>
                                      <w:spacing w:val="-6"/>
                                      <w:sz w:val="18"/>
                                    </w:rPr>
                                    <w:t> </w:t>
                                  </w:r>
                                  <w:r>
                                    <w:rPr>
                                      <w:sz w:val="18"/>
                                    </w:rPr>
                                    <w:t>services</w:t>
                                  </w:r>
                                  <w:r>
                                    <w:rPr>
                                      <w:spacing w:val="-7"/>
                                      <w:sz w:val="18"/>
                                    </w:rPr>
                                    <w:t> </w:t>
                                  </w:r>
                                  <w:r>
                                    <w:rPr>
                                      <w:sz w:val="18"/>
                                    </w:rPr>
                                    <w:t>(in</w:t>
                                  </w:r>
                                  <w:r>
                                    <w:rPr>
                                      <w:spacing w:val="-6"/>
                                      <w:sz w:val="18"/>
                                    </w:rPr>
                                    <w:t> </w:t>
                                  </w:r>
                                  <w:r>
                                    <w:rPr>
                                      <w:sz w:val="18"/>
                                    </w:rPr>
                                    <w:t>billions, at quarter end)</w:t>
                                  </w:r>
                                </w:p>
                              </w:tc>
                              <w:tc>
                                <w:tcPr>
                                  <w:tcW w:w="1072" w:type="dxa"/>
                                  <w:shd w:val="clear" w:color="auto" w:fill="CCEDFF"/>
                                </w:tcPr>
                                <w:p>
                                  <w:pPr>
                                    <w:pStyle w:val="TableParagraph"/>
                                    <w:spacing w:before="103"/>
                                    <w:ind w:left="122"/>
                                    <w:rPr>
                                      <w:sz w:val="18"/>
                                    </w:rPr>
                                  </w:pPr>
                                  <w:r>
                                    <w:rPr>
                                      <w:sz w:val="18"/>
                                    </w:rPr>
                                    <w:t>$</w:t>
                                  </w:r>
                                  <w:r>
                                    <w:rPr>
                                      <w:spacing w:val="-8"/>
                                      <w:sz w:val="18"/>
                                    </w:rPr>
                                    <w:t> </w:t>
                                  </w:r>
                                  <w:r>
                                    <w:rPr>
                                      <w:spacing w:val="-2"/>
                                      <w:sz w:val="18"/>
                                    </w:rPr>
                                    <w:t>3,981.0</w:t>
                                  </w:r>
                                </w:p>
                              </w:tc>
                              <w:tc>
                                <w:tcPr>
                                  <w:tcW w:w="1069" w:type="dxa"/>
                                  <w:shd w:val="clear" w:color="auto" w:fill="CCEDFF"/>
                                </w:tcPr>
                                <w:p>
                                  <w:pPr>
                                    <w:pStyle w:val="TableParagraph"/>
                                    <w:spacing w:before="103"/>
                                    <w:ind w:left="70"/>
                                    <w:rPr>
                                      <w:sz w:val="18"/>
                                    </w:rPr>
                                  </w:pPr>
                                  <w:r>
                                    <w:rPr>
                                      <w:spacing w:val="-2"/>
                                      <w:sz w:val="18"/>
                                    </w:rPr>
                                    <w:t>$3,417.5</w:t>
                                  </w:r>
                                </w:p>
                              </w:tc>
                              <w:tc>
                                <w:tcPr>
                                  <w:tcW w:w="724" w:type="dxa"/>
                                  <w:shd w:val="clear" w:color="auto" w:fill="CCEDFF"/>
                                </w:tcPr>
                                <w:p>
                                  <w:pPr>
                                    <w:pStyle w:val="TableParagraph"/>
                                    <w:spacing w:before="103"/>
                                    <w:ind w:left="269"/>
                                    <w:rPr>
                                      <w:sz w:val="18"/>
                                    </w:rPr>
                                  </w:pPr>
                                  <w:r>
                                    <w:rPr>
                                      <w:spacing w:val="-5"/>
                                      <w:sz w:val="18"/>
                                    </w:rPr>
                                    <w:t>16%</w:t>
                                  </w:r>
                                </w:p>
                              </w:tc>
                              <w:tc>
                                <w:tcPr>
                                  <w:tcW w:w="1020" w:type="dxa"/>
                                  <w:shd w:val="clear" w:color="auto" w:fill="CCEDFF"/>
                                </w:tcPr>
                                <w:p>
                                  <w:pPr>
                                    <w:pStyle w:val="TableParagraph"/>
                                    <w:rPr>
                                      <w:sz w:val="18"/>
                                    </w:rPr>
                                  </w:pPr>
                                </w:p>
                              </w:tc>
                              <w:tc>
                                <w:tcPr>
                                  <w:tcW w:w="1069" w:type="dxa"/>
                                  <w:shd w:val="clear" w:color="auto" w:fill="CCEDFF"/>
                                </w:tcPr>
                                <w:p>
                                  <w:pPr>
                                    <w:pStyle w:val="TableParagraph"/>
                                    <w:rPr>
                                      <w:sz w:val="18"/>
                                    </w:rPr>
                                  </w:pPr>
                                </w:p>
                              </w:tc>
                              <w:tc>
                                <w:tcPr>
                                  <w:tcW w:w="682" w:type="dxa"/>
                                  <w:shd w:val="clear" w:color="auto" w:fill="CCEDFF"/>
                                </w:tcPr>
                                <w:p>
                                  <w:pPr>
                                    <w:pStyle w:val="TableParagraph"/>
                                    <w:rPr>
                                      <w:sz w:val="18"/>
                                    </w:rPr>
                                  </w:pPr>
                                </w:p>
                              </w:tc>
                            </w:tr>
                            <w:tr>
                              <w:trPr>
                                <w:trHeight w:val="255" w:hRule="atLeast"/>
                              </w:trPr>
                              <w:tc>
                                <w:tcPr>
                                  <w:tcW w:w="4625" w:type="dxa"/>
                                </w:tcPr>
                                <w:p>
                                  <w:pPr>
                                    <w:pStyle w:val="TableParagraph"/>
                                    <w:spacing w:before="18"/>
                                    <w:ind w:left="52"/>
                                    <w:rPr>
                                      <w:sz w:val="18"/>
                                    </w:rPr>
                                  </w:pPr>
                                  <w:r>
                                    <w:rPr>
                                      <w:sz w:val="18"/>
                                    </w:rPr>
                                    <w:t>Client</w:t>
                                  </w:r>
                                  <w:r>
                                    <w:rPr>
                                      <w:spacing w:val="-3"/>
                                      <w:sz w:val="18"/>
                                    </w:rPr>
                                    <w:t> </w:t>
                                  </w:r>
                                  <w:r>
                                    <w:rPr>
                                      <w:sz w:val="18"/>
                                    </w:rPr>
                                    <w:t>cash as</w:t>
                                  </w:r>
                                  <w:r>
                                    <w:rPr>
                                      <w:spacing w:val="-1"/>
                                      <w:sz w:val="18"/>
                                    </w:rPr>
                                    <w:t> </w:t>
                                  </w:r>
                                  <w:r>
                                    <w:rPr>
                                      <w:sz w:val="18"/>
                                    </w:rPr>
                                    <w:t>a</w:t>
                                  </w:r>
                                  <w:r>
                                    <w:rPr>
                                      <w:spacing w:val="-1"/>
                                      <w:sz w:val="18"/>
                                    </w:rPr>
                                    <w:t> </w:t>
                                  </w:r>
                                  <w:r>
                                    <w:rPr>
                                      <w:sz w:val="18"/>
                                    </w:rPr>
                                    <w:t>percentage of client assets</w:t>
                                  </w:r>
                                  <w:r>
                                    <w:rPr>
                                      <w:spacing w:val="-2"/>
                                      <w:sz w:val="18"/>
                                    </w:rPr>
                                    <w:t> </w:t>
                                  </w:r>
                                  <w:r>
                                    <w:rPr>
                                      <w:sz w:val="18"/>
                                    </w:rPr>
                                    <w:t>(at quarter end)</w:t>
                                  </w:r>
                                  <w:r>
                                    <w:rPr>
                                      <w:spacing w:val="-4"/>
                                      <w:sz w:val="18"/>
                                    </w:rPr>
                                    <w:t> </w:t>
                                  </w:r>
                                  <w:r>
                                    <w:rPr>
                                      <w:spacing w:val="-5"/>
                                      <w:sz w:val="18"/>
                                      <w:vertAlign w:val="superscript"/>
                                    </w:rPr>
                                    <w:t>(2)</w:t>
                                  </w:r>
                                </w:p>
                              </w:tc>
                              <w:tc>
                                <w:tcPr>
                                  <w:tcW w:w="1072" w:type="dxa"/>
                                </w:tcPr>
                                <w:p>
                                  <w:pPr>
                                    <w:pStyle w:val="TableParagraph"/>
                                    <w:spacing w:before="13"/>
                                    <w:ind w:right="129"/>
                                    <w:jc w:val="right"/>
                                    <w:rPr>
                                      <w:sz w:val="18"/>
                                    </w:rPr>
                                  </w:pPr>
                                  <w:r>
                                    <w:rPr>
                                      <w:spacing w:val="-2"/>
                                      <w:sz w:val="18"/>
                                    </w:rPr>
                                    <w:t>10.8%</w:t>
                                  </w:r>
                                </w:p>
                              </w:tc>
                              <w:tc>
                                <w:tcPr>
                                  <w:tcW w:w="1069" w:type="dxa"/>
                                </w:tcPr>
                                <w:p>
                                  <w:pPr>
                                    <w:pStyle w:val="TableParagraph"/>
                                    <w:spacing w:before="13"/>
                                    <w:ind w:right="208"/>
                                    <w:jc w:val="right"/>
                                    <w:rPr>
                                      <w:sz w:val="18"/>
                                    </w:rPr>
                                  </w:pPr>
                                  <w:r>
                                    <w:rPr>
                                      <w:spacing w:val="-2"/>
                                      <w:sz w:val="18"/>
                                    </w:rPr>
                                    <w:t>12.9%</w:t>
                                  </w:r>
                                </w:p>
                              </w:tc>
                              <w:tc>
                                <w:tcPr>
                                  <w:tcW w:w="724" w:type="dxa"/>
                                </w:tcPr>
                                <w:p>
                                  <w:pPr>
                                    <w:pStyle w:val="TableParagraph"/>
                                    <w:rPr>
                                      <w:sz w:val="18"/>
                                    </w:rPr>
                                  </w:pPr>
                                </w:p>
                              </w:tc>
                              <w:tc>
                                <w:tcPr>
                                  <w:tcW w:w="1020" w:type="dxa"/>
                                </w:tcPr>
                                <w:p>
                                  <w:pPr>
                                    <w:pStyle w:val="TableParagraph"/>
                                    <w:rPr>
                                      <w:sz w:val="18"/>
                                    </w:rPr>
                                  </w:pPr>
                                </w:p>
                              </w:tc>
                              <w:tc>
                                <w:tcPr>
                                  <w:tcW w:w="1069" w:type="dxa"/>
                                </w:tcPr>
                                <w:p>
                                  <w:pPr>
                                    <w:pStyle w:val="TableParagraph"/>
                                    <w:rPr>
                                      <w:sz w:val="18"/>
                                    </w:rPr>
                                  </w:pPr>
                                </w:p>
                              </w:tc>
                              <w:tc>
                                <w:tcPr>
                                  <w:tcW w:w="682" w:type="dxa"/>
                                </w:tcPr>
                                <w:p>
                                  <w:pPr>
                                    <w:pStyle w:val="TableParagraph"/>
                                    <w:rPr>
                                      <w:sz w:val="18"/>
                                    </w:rPr>
                                  </w:pPr>
                                </w:p>
                              </w:tc>
                            </w:tr>
                            <w:tr>
                              <w:trPr>
                                <w:trHeight w:val="255" w:hRule="atLeast"/>
                              </w:trPr>
                              <w:tc>
                                <w:tcPr>
                                  <w:tcW w:w="4625" w:type="dxa"/>
                                  <w:shd w:val="clear" w:color="auto" w:fill="CCEDFF"/>
                                </w:tcPr>
                                <w:p>
                                  <w:pPr>
                                    <w:pStyle w:val="TableParagraph"/>
                                    <w:spacing w:before="12"/>
                                    <w:ind w:left="52"/>
                                    <w:rPr>
                                      <w:b/>
                                      <w:sz w:val="18"/>
                                    </w:rPr>
                                  </w:pPr>
                                  <w:r>
                                    <w:rPr>
                                      <w:b/>
                                      <w:sz w:val="18"/>
                                    </w:rPr>
                                    <w:t>Company</w:t>
                                  </w:r>
                                  <w:r>
                                    <w:rPr>
                                      <w:b/>
                                      <w:spacing w:val="-3"/>
                                      <w:sz w:val="18"/>
                                    </w:rPr>
                                    <w:t> </w:t>
                                  </w:r>
                                  <w:r>
                                    <w:rPr>
                                      <w:b/>
                                      <w:sz w:val="18"/>
                                    </w:rPr>
                                    <w:t>Financial</w:t>
                                  </w:r>
                                  <w:r>
                                    <w:rPr>
                                      <w:b/>
                                      <w:spacing w:val="-2"/>
                                      <w:sz w:val="18"/>
                                    </w:rPr>
                                    <w:t> </w:t>
                                  </w:r>
                                  <w:r>
                                    <w:rPr>
                                      <w:b/>
                                      <w:sz w:val="18"/>
                                    </w:rPr>
                                    <w:t>Information</w:t>
                                  </w:r>
                                  <w:r>
                                    <w:rPr>
                                      <w:b/>
                                      <w:spacing w:val="-3"/>
                                      <w:sz w:val="18"/>
                                    </w:rPr>
                                    <w:t> </w:t>
                                  </w:r>
                                  <w:r>
                                    <w:rPr>
                                      <w:b/>
                                      <w:sz w:val="18"/>
                                    </w:rPr>
                                    <w:t>and</w:t>
                                  </w:r>
                                  <w:r>
                                    <w:rPr>
                                      <w:b/>
                                      <w:spacing w:val="-2"/>
                                      <w:sz w:val="18"/>
                                    </w:rPr>
                                    <w:t> Metrics</w:t>
                                  </w:r>
                                </w:p>
                              </w:tc>
                              <w:tc>
                                <w:tcPr>
                                  <w:tcW w:w="1072" w:type="dxa"/>
                                  <w:shd w:val="clear" w:color="auto" w:fill="CCEDFF"/>
                                </w:tcPr>
                                <w:p>
                                  <w:pPr>
                                    <w:pStyle w:val="TableParagraph"/>
                                    <w:rPr>
                                      <w:sz w:val="18"/>
                                    </w:rPr>
                                  </w:pPr>
                                </w:p>
                              </w:tc>
                              <w:tc>
                                <w:tcPr>
                                  <w:tcW w:w="1069" w:type="dxa"/>
                                  <w:shd w:val="clear" w:color="auto" w:fill="CCEDFF"/>
                                </w:tcPr>
                                <w:p>
                                  <w:pPr>
                                    <w:pStyle w:val="TableParagraph"/>
                                    <w:rPr>
                                      <w:sz w:val="18"/>
                                    </w:rPr>
                                  </w:pPr>
                                </w:p>
                              </w:tc>
                              <w:tc>
                                <w:tcPr>
                                  <w:tcW w:w="724" w:type="dxa"/>
                                  <w:shd w:val="clear" w:color="auto" w:fill="CCEDFF"/>
                                </w:tcPr>
                                <w:p>
                                  <w:pPr>
                                    <w:pStyle w:val="TableParagraph"/>
                                    <w:rPr>
                                      <w:sz w:val="18"/>
                                    </w:rPr>
                                  </w:pPr>
                                </w:p>
                              </w:tc>
                              <w:tc>
                                <w:tcPr>
                                  <w:tcW w:w="1020" w:type="dxa"/>
                                  <w:shd w:val="clear" w:color="auto" w:fill="CCEDFF"/>
                                </w:tcPr>
                                <w:p>
                                  <w:pPr>
                                    <w:pStyle w:val="TableParagraph"/>
                                    <w:rPr>
                                      <w:sz w:val="18"/>
                                    </w:rPr>
                                  </w:pPr>
                                </w:p>
                              </w:tc>
                              <w:tc>
                                <w:tcPr>
                                  <w:tcW w:w="1069" w:type="dxa"/>
                                  <w:shd w:val="clear" w:color="auto" w:fill="CCEDFF"/>
                                </w:tcPr>
                                <w:p>
                                  <w:pPr>
                                    <w:pStyle w:val="TableParagraph"/>
                                    <w:rPr>
                                      <w:sz w:val="18"/>
                                    </w:rPr>
                                  </w:pPr>
                                </w:p>
                              </w:tc>
                              <w:tc>
                                <w:tcPr>
                                  <w:tcW w:w="682" w:type="dxa"/>
                                  <w:shd w:val="clear" w:color="auto" w:fill="CCEDFF"/>
                                </w:tcPr>
                                <w:p>
                                  <w:pPr>
                                    <w:pStyle w:val="TableParagraph"/>
                                    <w:rPr>
                                      <w:sz w:val="18"/>
                                    </w:rPr>
                                  </w:pPr>
                                </w:p>
                              </w:tc>
                            </w:tr>
                            <w:tr>
                              <w:trPr>
                                <w:trHeight w:val="255" w:hRule="atLeast"/>
                              </w:trPr>
                              <w:tc>
                                <w:tcPr>
                                  <w:tcW w:w="4625" w:type="dxa"/>
                                </w:tcPr>
                                <w:p>
                                  <w:pPr>
                                    <w:pStyle w:val="TableParagraph"/>
                                    <w:spacing w:before="13"/>
                                    <w:ind w:left="52"/>
                                    <w:rPr>
                                      <w:sz w:val="18"/>
                                    </w:rPr>
                                  </w:pPr>
                                  <w:r>
                                    <w:rPr>
                                      <w:sz w:val="18"/>
                                    </w:rPr>
                                    <w:t>Total net </w:t>
                                  </w:r>
                                  <w:r>
                                    <w:rPr>
                                      <w:spacing w:val="-2"/>
                                      <w:sz w:val="18"/>
                                    </w:rPr>
                                    <w:t>revenues</w:t>
                                  </w:r>
                                </w:p>
                              </w:tc>
                              <w:tc>
                                <w:tcPr>
                                  <w:tcW w:w="1072" w:type="dxa"/>
                                </w:tcPr>
                                <w:p>
                                  <w:pPr>
                                    <w:pStyle w:val="TableParagraph"/>
                                    <w:spacing w:before="13"/>
                                    <w:ind w:left="122"/>
                                    <w:rPr>
                                      <w:sz w:val="18"/>
                                    </w:rPr>
                                  </w:pPr>
                                  <w:r>
                                    <w:rPr>
                                      <w:sz w:val="18"/>
                                    </w:rPr>
                                    <w:t>$</w:t>
                                  </w:r>
                                  <w:r>
                                    <w:rPr>
                                      <w:spacing w:val="41"/>
                                      <w:sz w:val="18"/>
                                    </w:rPr>
                                    <w:t>  </w:t>
                                  </w:r>
                                  <w:r>
                                    <w:rPr>
                                      <w:spacing w:val="-2"/>
                                      <w:sz w:val="18"/>
                                    </w:rPr>
                                    <w:t>4,606</w:t>
                                  </w:r>
                                </w:p>
                              </w:tc>
                              <w:tc>
                                <w:tcPr>
                                  <w:tcW w:w="1069" w:type="dxa"/>
                                </w:tcPr>
                                <w:p>
                                  <w:pPr>
                                    <w:pStyle w:val="TableParagraph"/>
                                    <w:spacing w:before="13"/>
                                    <w:ind w:left="70"/>
                                    <w:rPr>
                                      <w:sz w:val="18"/>
                                    </w:rPr>
                                  </w:pPr>
                                  <w:r>
                                    <w:rPr>
                                      <w:sz w:val="18"/>
                                    </w:rPr>
                                    <w:t>$</w:t>
                                  </w:r>
                                  <w:r>
                                    <w:rPr>
                                      <w:spacing w:val="74"/>
                                      <w:w w:val="150"/>
                                      <w:sz w:val="18"/>
                                    </w:rPr>
                                    <w:t> </w:t>
                                  </w:r>
                                  <w:r>
                                    <w:rPr>
                                      <w:spacing w:val="-2"/>
                                      <w:sz w:val="18"/>
                                    </w:rPr>
                                    <w:t>5,500</w:t>
                                  </w:r>
                                </w:p>
                              </w:tc>
                              <w:tc>
                                <w:tcPr>
                                  <w:tcW w:w="724" w:type="dxa"/>
                                </w:tcPr>
                                <w:p>
                                  <w:pPr>
                                    <w:pStyle w:val="TableParagraph"/>
                                    <w:spacing w:before="13"/>
                                    <w:ind w:left="209"/>
                                    <w:rPr>
                                      <w:sz w:val="18"/>
                                    </w:rPr>
                                  </w:pPr>
                                  <w:r>
                                    <w:rPr>
                                      <w:spacing w:val="-2"/>
                                      <w:sz w:val="18"/>
                                    </w:rPr>
                                    <w:t>(16)%</w:t>
                                  </w:r>
                                </w:p>
                              </w:tc>
                              <w:tc>
                                <w:tcPr>
                                  <w:tcW w:w="1020" w:type="dxa"/>
                                </w:tcPr>
                                <w:p>
                                  <w:pPr>
                                    <w:pStyle w:val="TableParagraph"/>
                                    <w:spacing w:before="13"/>
                                    <w:ind w:left="62"/>
                                    <w:rPr>
                                      <w:sz w:val="18"/>
                                    </w:rPr>
                                  </w:pPr>
                                  <w:r>
                                    <w:rPr>
                                      <w:sz w:val="18"/>
                                    </w:rPr>
                                    <w:t>$</w:t>
                                  </w:r>
                                  <w:r>
                                    <w:rPr>
                                      <w:spacing w:val="52"/>
                                      <w:sz w:val="18"/>
                                    </w:rPr>
                                    <w:t> </w:t>
                                  </w:r>
                                  <w:r>
                                    <w:rPr>
                                      <w:spacing w:val="-2"/>
                                      <w:sz w:val="18"/>
                                    </w:rPr>
                                    <w:t>14,378</w:t>
                                  </w:r>
                                </w:p>
                              </w:tc>
                              <w:tc>
                                <w:tcPr>
                                  <w:tcW w:w="1069" w:type="dxa"/>
                                </w:tcPr>
                                <w:p>
                                  <w:pPr>
                                    <w:pStyle w:val="TableParagraph"/>
                                    <w:spacing w:before="13"/>
                                    <w:ind w:left="62"/>
                                    <w:rPr>
                                      <w:sz w:val="18"/>
                                    </w:rPr>
                                  </w:pPr>
                                  <w:r>
                                    <w:rPr>
                                      <w:sz w:val="18"/>
                                    </w:rPr>
                                    <w:t>$</w:t>
                                  </w:r>
                                  <w:r>
                                    <w:rPr>
                                      <w:spacing w:val="7"/>
                                      <w:sz w:val="18"/>
                                    </w:rPr>
                                    <w:t> </w:t>
                                  </w:r>
                                  <w:r>
                                    <w:rPr>
                                      <w:spacing w:val="-2"/>
                                      <w:sz w:val="18"/>
                                    </w:rPr>
                                    <w:t>15,265</w:t>
                                  </w:r>
                                </w:p>
                              </w:tc>
                              <w:tc>
                                <w:tcPr>
                                  <w:tcW w:w="682" w:type="dxa"/>
                                </w:tcPr>
                                <w:p>
                                  <w:pPr>
                                    <w:pStyle w:val="TableParagraph"/>
                                    <w:spacing w:before="13"/>
                                    <w:ind w:right="13"/>
                                    <w:jc w:val="right"/>
                                    <w:rPr>
                                      <w:sz w:val="18"/>
                                    </w:rPr>
                                  </w:pPr>
                                  <w:r>
                                    <w:rPr>
                                      <w:spacing w:val="-4"/>
                                      <w:sz w:val="18"/>
                                    </w:rPr>
                                    <w:t>(6)%</w:t>
                                  </w:r>
                                </w:p>
                              </w:tc>
                            </w:tr>
                            <w:tr>
                              <w:trPr>
                                <w:trHeight w:val="250" w:hRule="atLeast"/>
                              </w:trPr>
                              <w:tc>
                                <w:tcPr>
                                  <w:tcW w:w="4625" w:type="dxa"/>
                                  <w:tcBorders>
                                    <w:bottom w:val="single" w:sz="4" w:space="0" w:color="000000"/>
                                  </w:tcBorders>
                                  <w:shd w:val="clear" w:color="auto" w:fill="CCEDFF"/>
                                </w:tcPr>
                                <w:p>
                                  <w:pPr>
                                    <w:pStyle w:val="TableParagraph"/>
                                    <w:spacing w:before="13"/>
                                    <w:ind w:left="52"/>
                                    <w:rPr>
                                      <w:sz w:val="18"/>
                                    </w:rPr>
                                  </w:pPr>
                                  <w:r>
                                    <w:rPr>
                                      <w:sz w:val="18"/>
                                    </w:rPr>
                                    <w:t>Total</w:t>
                                  </w:r>
                                  <w:r>
                                    <w:rPr>
                                      <w:spacing w:val="-1"/>
                                      <w:sz w:val="18"/>
                                    </w:rPr>
                                    <w:t> </w:t>
                                  </w:r>
                                  <w:r>
                                    <w:rPr>
                                      <w:sz w:val="18"/>
                                    </w:rPr>
                                    <w:t>expenses</w:t>
                                  </w:r>
                                  <w:r>
                                    <w:rPr>
                                      <w:spacing w:val="-1"/>
                                      <w:sz w:val="18"/>
                                    </w:rPr>
                                    <w:t> </w:t>
                                  </w:r>
                                  <w:r>
                                    <w:rPr>
                                      <w:sz w:val="18"/>
                                    </w:rPr>
                                    <w:t>excluding </w:t>
                                  </w:r>
                                  <w:r>
                                    <w:rPr>
                                      <w:spacing w:val="-2"/>
                                      <w:sz w:val="18"/>
                                    </w:rPr>
                                    <w:t>interest</w:t>
                                  </w:r>
                                </w:p>
                              </w:tc>
                              <w:tc>
                                <w:tcPr>
                                  <w:tcW w:w="1072" w:type="dxa"/>
                                  <w:tcBorders>
                                    <w:bottom w:val="single" w:sz="4" w:space="0" w:color="000000"/>
                                  </w:tcBorders>
                                  <w:shd w:val="clear" w:color="auto" w:fill="CCEDFF"/>
                                </w:tcPr>
                                <w:p>
                                  <w:pPr>
                                    <w:pStyle w:val="TableParagraph"/>
                                    <w:spacing w:before="13"/>
                                    <w:ind w:left="385"/>
                                    <w:rPr>
                                      <w:sz w:val="18"/>
                                    </w:rPr>
                                  </w:pPr>
                                  <w:r>
                                    <w:rPr>
                                      <w:spacing w:val="-2"/>
                                      <w:sz w:val="18"/>
                                    </w:rPr>
                                    <w:t>3,223</w:t>
                                  </w:r>
                                </w:p>
                              </w:tc>
                              <w:tc>
                                <w:tcPr>
                                  <w:tcW w:w="1069" w:type="dxa"/>
                                  <w:tcBorders>
                                    <w:bottom w:val="single" w:sz="4" w:space="0" w:color="000000"/>
                                  </w:tcBorders>
                                  <w:shd w:val="clear" w:color="auto" w:fill="CCEDFF"/>
                                </w:tcPr>
                                <w:p>
                                  <w:pPr>
                                    <w:pStyle w:val="TableParagraph"/>
                                    <w:spacing w:before="13"/>
                                    <w:ind w:left="303"/>
                                    <w:rPr>
                                      <w:sz w:val="18"/>
                                    </w:rPr>
                                  </w:pPr>
                                  <w:r>
                                    <w:rPr>
                                      <w:spacing w:val="-2"/>
                                      <w:sz w:val="18"/>
                                    </w:rPr>
                                    <w:t>2,823</w:t>
                                  </w:r>
                                </w:p>
                              </w:tc>
                              <w:tc>
                                <w:tcPr>
                                  <w:tcW w:w="724" w:type="dxa"/>
                                  <w:tcBorders>
                                    <w:bottom w:val="single" w:sz="4" w:space="0" w:color="000000"/>
                                  </w:tcBorders>
                                  <w:shd w:val="clear" w:color="auto" w:fill="CCEDFF"/>
                                </w:tcPr>
                                <w:p>
                                  <w:pPr>
                                    <w:pStyle w:val="TableParagraph"/>
                                    <w:spacing w:before="13"/>
                                    <w:ind w:left="269"/>
                                    <w:rPr>
                                      <w:sz w:val="18"/>
                                    </w:rPr>
                                  </w:pPr>
                                  <w:r>
                                    <w:rPr>
                                      <w:spacing w:val="-5"/>
                                      <w:sz w:val="18"/>
                                    </w:rPr>
                                    <w:t>14%</w:t>
                                  </w:r>
                                </w:p>
                              </w:tc>
                              <w:tc>
                                <w:tcPr>
                                  <w:tcW w:w="1020" w:type="dxa"/>
                                  <w:tcBorders>
                                    <w:bottom w:val="single" w:sz="4" w:space="0" w:color="000000"/>
                                  </w:tcBorders>
                                  <w:shd w:val="clear" w:color="auto" w:fill="CCEDFF"/>
                                </w:tcPr>
                                <w:p>
                                  <w:pPr>
                                    <w:pStyle w:val="TableParagraph"/>
                                    <w:spacing w:before="13"/>
                                    <w:ind w:left="340"/>
                                    <w:rPr>
                                      <w:sz w:val="18"/>
                                    </w:rPr>
                                  </w:pPr>
                                  <w:r>
                                    <w:rPr>
                                      <w:spacing w:val="-2"/>
                                      <w:sz w:val="18"/>
                                    </w:rPr>
                                    <w:t>9,194</w:t>
                                  </w:r>
                                </w:p>
                              </w:tc>
                              <w:tc>
                                <w:tcPr>
                                  <w:tcW w:w="1069" w:type="dxa"/>
                                  <w:tcBorders>
                                    <w:bottom w:val="single" w:sz="4" w:space="0" w:color="000000"/>
                                  </w:tcBorders>
                                  <w:shd w:val="clear" w:color="auto" w:fill="CCEDFF"/>
                                </w:tcPr>
                                <w:p>
                                  <w:pPr>
                                    <w:pStyle w:val="TableParagraph"/>
                                    <w:spacing w:before="13"/>
                                    <w:ind w:left="295"/>
                                    <w:rPr>
                                      <w:sz w:val="18"/>
                                    </w:rPr>
                                  </w:pPr>
                                  <w:r>
                                    <w:rPr>
                                      <w:spacing w:val="-2"/>
                                      <w:sz w:val="18"/>
                                    </w:rPr>
                                    <w:t>8,475</w:t>
                                  </w:r>
                                </w:p>
                              </w:tc>
                              <w:tc>
                                <w:tcPr>
                                  <w:tcW w:w="682" w:type="dxa"/>
                                  <w:tcBorders>
                                    <w:bottom w:val="single" w:sz="4" w:space="0" w:color="000000"/>
                                  </w:tcBorders>
                                  <w:shd w:val="clear" w:color="auto" w:fill="CCEDFF"/>
                                </w:tcPr>
                                <w:p>
                                  <w:pPr>
                                    <w:pStyle w:val="TableParagraph"/>
                                    <w:spacing w:before="13"/>
                                    <w:ind w:right="73"/>
                                    <w:jc w:val="right"/>
                                    <w:rPr>
                                      <w:sz w:val="18"/>
                                    </w:rPr>
                                  </w:pPr>
                                  <w:r>
                                    <w:rPr>
                                      <w:spacing w:val="-5"/>
                                      <w:sz w:val="18"/>
                                    </w:rPr>
                                    <w:t>8%</w:t>
                                  </w:r>
                                </w:p>
                              </w:tc>
                            </w:tr>
                            <w:tr>
                              <w:trPr>
                                <w:trHeight w:val="250" w:hRule="atLeast"/>
                              </w:trPr>
                              <w:tc>
                                <w:tcPr>
                                  <w:tcW w:w="4625" w:type="dxa"/>
                                  <w:tcBorders>
                                    <w:top w:val="single" w:sz="4" w:space="0" w:color="000000"/>
                                  </w:tcBorders>
                                </w:tcPr>
                                <w:p>
                                  <w:pPr>
                                    <w:pStyle w:val="TableParagraph"/>
                                    <w:spacing w:before="8"/>
                                    <w:ind w:left="52"/>
                                    <w:rPr>
                                      <w:sz w:val="18"/>
                                    </w:rPr>
                                  </w:pPr>
                                  <w:r>
                                    <w:rPr>
                                      <w:sz w:val="18"/>
                                    </w:rPr>
                                    <w:t>Income before taxes</w:t>
                                  </w:r>
                                  <w:r>
                                    <w:rPr>
                                      <w:spacing w:val="-1"/>
                                      <w:sz w:val="18"/>
                                    </w:rPr>
                                    <w:t> </w:t>
                                  </w:r>
                                  <w:r>
                                    <w:rPr>
                                      <w:sz w:val="18"/>
                                    </w:rPr>
                                    <w:t>on </w:t>
                                  </w:r>
                                  <w:r>
                                    <w:rPr>
                                      <w:spacing w:val="-2"/>
                                      <w:sz w:val="18"/>
                                    </w:rPr>
                                    <w:t>income</w:t>
                                  </w:r>
                                </w:p>
                              </w:tc>
                              <w:tc>
                                <w:tcPr>
                                  <w:tcW w:w="1072" w:type="dxa"/>
                                  <w:tcBorders>
                                    <w:top w:val="single" w:sz="4" w:space="0" w:color="000000"/>
                                  </w:tcBorders>
                                </w:tcPr>
                                <w:p>
                                  <w:pPr>
                                    <w:pStyle w:val="TableParagraph"/>
                                    <w:spacing w:before="8"/>
                                    <w:ind w:left="385"/>
                                    <w:rPr>
                                      <w:sz w:val="18"/>
                                    </w:rPr>
                                  </w:pPr>
                                  <w:r>
                                    <w:rPr>
                                      <w:spacing w:val="-2"/>
                                      <w:sz w:val="18"/>
                                    </w:rPr>
                                    <w:t>1,383</w:t>
                                  </w:r>
                                </w:p>
                              </w:tc>
                              <w:tc>
                                <w:tcPr>
                                  <w:tcW w:w="1069" w:type="dxa"/>
                                  <w:tcBorders>
                                    <w:top w:val="single" w:sz="4" w:space="0" w:color="000000"/>
                                  </w:tcBorders>
                                </w:tcPr>
                                <w:p>
                                  <w:pPr>
                                    <w:pStyle w:val="TableParagraph"/>
                                    <w:spacing w:before="8"/>
                                    <w:ind w:left="303"/>
                                    <w:rPr>
                                      <w:sz w:val="18"/>
                                    </w:rPr>
                                  </w:pPr>
                                  <w:r>
                                    <w:rPr>
                                      <w:spacing w:val="-2"/>
                                      <w:sz w:val="18"/>
                                    </w:rPr>
                                    <w:t>2,677</w:t>
                                  </w:r>
                                </w:p>
                              </w:tc>
                              <w:tc>
                                <w:tcPr>
                                  <w:tcW w:w="724" w:type="dxa"/>
                                  <w:tcBorders>
                                    <w:top w:val="single" w:sz="4" w:space="0" w:color="000000"/>
                                  </w:tcBorders>
                                </w:tcPr>
                                <w:p>
                                  <w:pPr>
                                    <w:pStyle w:val="TableParagraph"/>
                                    <w:spacing w:before="8"/>
                                    <w:ind w:left="209"/>
                                    <w:rPr>
                                      <w:sz w:val="18"/>
                                    </w:rPr>
                                  </w:pPr>
                                  <w:r>
                                    <w:rPr>
                                      <w:spacing w:val="-2"/>
                                      <w:sz w:val="18"/>
                                    </w:rPr>
                                    <w:t>(48)%</w:t>
                                  </w:r>
                                </w:p>
                              </w:tc>
                              <w:tc>
                                <w:tcPr>
                                  <w:tcW w:w="1020" w:type="dxa"/>
                                  <w:tcBorders>
                                    <w:top w:val="single" w:sz="4" w:space="0" w:color="000000"/>
                                  </w:tcBorders>
                                </w:tcPr>
                                <w:p>
                                  <w:pPr>
                                    <w:pStyle w:val="TableParagraph"/>
                                    <w:spacing w:before="8"/>
                                    <w:ind w:left="340"/>
                                    <w:rPr>
                                      <w:sz w:val="18"/>
                                    </w:rPr>
                                  </w:pPr>
                                  <w:r>
                                    <w:rPr>
                                      <w:spacing w:val="-2"/>
                                      <w:sz w:val="18"/>
                                    </w:rPr>
                                    <w:t>5,184</w:t>
                                  </w:r>
                                </w:p>
                              </w:tc>
                              <w:tc>
                                <w:tcPr>
                                  <w:tcW w:w="1069" w:type="dxa"/>
                                  <w:tcBorders>
                                    <w:top w:val="single" w:sz="4" w:space="0" w:color="000000"/>
                                  </w:tcBorders>
                                </w:tcPr>
                                <w:p>
                                  <w:pPr>
                                    <w:pStyle w:val="TableParagraph"/>
                                    <w:spacing w:before="8"/>
                                    <w:ind w:left="295"/>
                                    <w:rPr>
                                      <w:sz w:val="18"/>
                                    </w:rPr>
                                  </w:pPr>
                                  <w:r>
                                    <w:rPr>
                                      <w:spacing w:val="-2"/>
                                      <w:sz w:val="18"/>
                                    </w:rPr>
                                    <w:t>6,790</w:t>
                                  </w:r>
                                </w:p>
                              </w:tc>
                              <w:tc>
                                <w:tcPr>
                                  <w:tcW w:w="682" w:type="dxa"/>
                                  <w:tcBorders>
                                    <w:top w:val="single" w:sz="4" w:space="0" w:color="000000"/>
                                  </w:tcBorders>
                                </w:tcPr>
                                <w:p>
                                  <w:pPr>
                                    <w:pStyle w:val="TableParagraph"/>
                                    <w:spacing w:before="8"/>
                                    <w:ind w:right="13"/>
                                    <w:jc w:val="right"/>
                                    <w:rPr>
                                      <w:sz w:val="18"/>
                                    </w:rPr>
                                  </w:pPr>
                                  <w:r>
                                    <w:rPr>
                                      <w:spacing w:val="-2"/>
                                      <w:sz w:val="18"/>
                                    </w:rPr>
                                    <w:t>(24)%</w:t>
                                  </w:r>
                                </w:p>
                              </w:tc>
                            </w:tr>
                            <w:tr>
                              <w:trPr>
                                <w:trHeight w:val="250" w:hRule="atLeast"/>
                              </w:trPr>
                              <w:tc>
                                <w:tcPr>
                                  <w:tcW w:w="4625" w:type="dxa"/>
                                  <w:tcBorders>
                                    <w:bottom w:val="single" w:sz="4" w:space="0" w:color="000000"/>
                                  </w:tcBorders>
                                  <w:shd w:val="clear" w:color="auto" w:fill="CCEDFF"/>
                                </w:tcPr>
                                <w:p>
                                  <w:pPr>
                                    <w:pStyle w:val="TableParagraph"/>
                                    <w:spacing w:before="13"/>
                                    <w:ind w:left="52"/>
                                    <w:rPr>
                                      <w:sz w:val="18"/>
                                    </w:rPr>
                                  </w:pPr>
                                  <w:r>
                                    <w:rPr>
                                      <w:sz w:val="18"/>
                                    </w:rPr>
                                    <w:t>Taxes</w:t>
                                  </w:r>
                                  <w:r>
                                    <w:rPr>
                                      <w:spacing w:val="-1"/>
                                      <w:sz w:val="18"/>
                                    </w:rPr>
                                    <w:t> </w:t>
                                  </w:r>
                                  <w:r>
                                    <w:rPr>
                                      <w:sz w:val="18"/>
                                    </w:rPr>
                                    <w:t>on </w:t>
                                  </w:r>
                                  <w:r>
                                    <w:rPr>
                                      <w:spacing w:val="-2"/>
                                      <w:sz w:val="18"/>
                                    </w:rPr>
                                    <w:t>income</w:t>
                                  </w:r>
                                </w:p>
                              </w:tc>
                              <w:tc>
                                <w:tcPr>
                                  <w:tcW w:w="1072" w:type="dxa"/>
                                  <w:tcBorders>
                                    <w:bottom w:val="single" w:sz="4" w:space="0" w:color="000000"/>
                                  </w:tcBorders>
                                  <w:shd w:val="clear" w:color="auto" w:fill="CCEDFF"/>
                                </w:tcPr>
                                <w:p>
                                  <w:pPr>
                                    <w:pStyle w:val="TableParagraph"/>
                                    <w:spacing w:before="13"/>
                                    <w:ind w:left="520"/>
                                    <w:rPr>
                                      <w:sz w:val="18"/>
                                    </w:rPr>
                                  </w:pPr>
                                  <w:r>
                                    <w:rPr>
                                      <w:spacing w:val="-5"/>
                                      <w:sz w:val="18"/>
                                    </w:rPr>
                                    <w:t>258</w:t>
                                  </w:r>
                                </w:p>
                              </w:tc>
                              <w:tc>
                                <w:tcPr>
                                  <w:tcW w:w="1069" w:type="dxa"/>
                                  <w:tcBorders>
                                    <w:bottom w:val="single" w:sz="4" w:space="0" w:color="000000"/>
                                  </w:tcBorders>
                                  <w:shd w:val="clear" w:color="auto" w:fill="CCEDFF"/>
                                </w:tcPr>
                                <w:p>
                                  <w:pPr>
                                    <w:pStyle w:val="TableParagraph"/>
                                    <w:spacing w:before="13"/>
                                    <w:ind w:left="77"/>
                                    <w:jc w:val="center"/>
                                    <w:rPr>
                                      <w:sz w:val="18"/>
                                    </w:rPr>
                                  </w:pPr>
                                  <w:r>
                                    <w:rPr>
                                      <w:spacing w:val="-5"/>
                                      <w:sz w:val="18"/>
                                    </w:rPr>
                                    <w:t>657</w:t>
                                  </w:r>
                                </w:p>
                              </w:tc>
                              <w:tc>
                                <w:tcPr>
                                  <w:tcW w:w="724" w:type="dxa"/>
                                  <w:tcBorders>
                                    <w:bottom w:val="single" w:sz="4" w:space="0" w:color="000000"/>
                                  </w:tcBorders>
                                  <w:shd w:val="clear" w:color="auto" w:fill="CCEDFF"/>
                                </w:tcPr>
                                <w:p>
                                  <w:pPr>
                                    <w:pStyle w:val="TableParagraph"/>
                                    <w:spacing w:before="13"/>
                                    <w:ind w:left="209"/>
                                    <w:rPr>
                                      <w:sz w:val="18"/>
                                    </w:rPr>
                                  </w:pPr>
                                  <w:r>
                                    <w:rPr>
                                      <w:spacing w:val="-2"/>
                                      <w:sz w:val="18"/>
                                    </w:rPr>
                                    <w:t>(61)%</w:t>
                                  </w:r>
                                </w:p>
                              </w:tc>
                              <w:tc>
                                <w:tcPr>
                                  <w:tcW w:w="1020" w:type="dxa"/>
                                  <w:tcBorders>
                                    <w:bottom w:val="single" w:sz="4" w:space="0" w:color="000000"/>
                                  </w:tcBorders>
                                  <w:shd w:val="clear" w:color="auto" w:fill="CCEDFF"/>
                                </w:tcPr>
                                <w:p>
                                  <w:pPr>
                                    <w:pStyle w:val="TableParagraph"/>
                                    <w:spacing w:before="13"/>
                                    <w:ind w:left="340"/>
                                    <w:rPr>
                                      <w:sz w:val="18"/>
                                    </w:rPr>
                                  </w:pPr>
                                  <w:r>
                                    <w:rPr>
                                      <w:spacing w:val="-2"/>
                                      <w:sz w:val="18"/>
                                    </w:rPr>
                                    <w:t>1,162</w:t>
                                  </w:r>
                                </w:p>
                              </w:tc>
                              <w:tc>
                                <w:tcPr>
                                  <w:tcW w:w="1069" w:type="dxa"/>
                                  <w:tcBorders>
                                    <w:bottom w:val="single" w:sz="4" w:space="0" w:color="000000"/>
                                  </w:tcBorders>
                                  <w:shd w:val="clear" w:color="auto" w:fill="CCEDFF"/>
                                </w:tcPr>
                                <w:p>
                                  <w:pPr>
                                    <w:pStyle w:val="TableParagraph"/>
                                    <w:spacing w:before="13"/>
                                    <w:ind w:left="295"/>
                                    <w:rPr>
                                      <w:sz w:val="18"/>
                                    </w:rPr>
                                  </w:pPr>
                                  <w:r>
                                    <w:rPr>
                                      <w:spacing w:val="-2"/>
                                      <w:sz w:val="18"/>
                                    </w:rPr>
                                    <w:t>1,575</w:t>
                                  </w:r>
                                </w:p>
                              </w:tc>
                              <w:tc>
                                <w:tcPr>
                                  <w:tcW w:w="682" w:type="dxa"/>
                                  <w:tcBorders>
                                    <w:bottom w:val="single" w:sz="4" w:space="0" w:color="000000"/>
                                  </w:tcBorders>
                                  <w:shd w:val="clear" w:color="auto" w:fill="CCEDFF"/>
                                </w:tcPr>
                                <w:p>
                                  <w:pPr>
                                    <w:pStyle w:val="TableParagraph"/>
                                    <w:spacing w:before="13"/>
                                    <w:ind w:right="13"/>
                                    <w:jc w:val="right"/>
                                    <w:rPr>
                                      <w:sz w:val="18"/>
                                    </w:rPr>
                                  </w:pPr>
                                  <w:r>
                                    <w:rPr>
                                      <w:spacing w:val="-2"/>
                                      <w:sz w:val="18"/>
                                    </w:rPr>
                                    <w:t>(26)%</w:t>
                                  </w:r>
                                </w:p>
                              </w:tc>
                            </w:tr>
                            <w:tr>
                              <w:trPr>
                                <w:trHeight w:val="245" w:hRule="atLeast"/>
                              </w:trPr>
                              <w:tc>
                                <w:tcPr>
                                  <w:tcW w:w="4625" w:type="dxa"/>
                                  <w:tcBorders>
                                    <w:top w:val="single" w:sz="4" w:space="0" w:color="000000"/>
                                    <w:bottom w:val="single" w:sz="4" w:space="0" w:color="000000"/>
                                  </w:tcBorders>
                                </w:tcPr>
                                <w:p>
                                  <w:pPr>
                                    <w:pStyle w:val="TableParagraph"/>
                                    <w:spacing w:before="8"/>
                                    <w:ind w:left="52"/>
                                    <w:rPr>
                                      <w:sz w:val="18"/>
                                    </w:rPr>
                                  </w:pPr>
                                  <w:r>
                                    <w:rPr>
                                      <w:sz w:val="18"/>
                                    </w:rPr>
                                    <w:t>Net</w:t>
                                  </w:r>
                                  <w:r>
                                    <w:rPr>
                                      <w:spacing w:val="-1"/>
                                      <w:sz w:val="18"/>
                                    </w:rPr>
                                    <w:t> </w:t>
                                  </w:r>
                                  <w:r>
                                    <w:rPr>
                                      <w:spacing w:val="-2"/>
                                      <w:sz w:val="18"/>
                                    </w:rPr>
                                    <w:t>income</w:t>
                                  </w:r>
                                </w:p>
                              </w:tc>
                              <w:tc>
                                <w:tcPr>
                                  <w:tcW w:w="1072" w:type="dxa"/>
                                  <w:tcBorders>
                                    <w:top w:val="single" w:sz="4" w:space="0" w:color="000000"/>
                                    <w:bottom w:val="single" w:sz="4" w:space="0" w:color="000000"/>
                                  </w:tcBorders>
                                </w:tcPr>
                                <w:p>
                                  <w:pPr>
                                    <w:pStyle w:val="TableParagraph"/>
                                    <w:spacing w:before="8"/>
                                    <w:ind w:left="385"/>
                                    <w:rPr>
                                      <w:sz w:val="18"/>
                                    </w:rPr>
                                  </w:pPr>
                                  <w:r>
                                    <w:rPr>
                                      <w:spacing w:val="-2"/>
                                      <w:sz w:val="18"/>
                                    </w:rPr>
                                    <w:t>1,125</w:t>
                                  </w:r>
                                </w:p>
                              </w:tc>
                              <w:tc>
                                <w:tcPr>
                                  <w:tcW w:w="1069" w:type="dxa"/>
                                  <w:tcBorders>
                                    <w:top w:val="single" w:sz="4" w:space="0" w:color="000000"/>
                                    <w:bottom w:val="single" w:sz="4" w:space="0" w:color="000000"/>
                                  </w:tcBorders>
                                </w:tcPr>
                                <w:p>
                                  <w:pPr>
                                    <w:pStyle w:val="TableParagraph"/>
                                    <w:spacing w:before="8"/>
                                    <w:ind w:left="303"/>
                                    <w:rPr>
                                      <w:sz w:val="18"/>
                                    </w:rPr>
                                  </w:pPr>
                                  <w:r>
                                    <w:rPr>
                                      <w:spacing w:val="-2"/>
                                      <w:sz w:val="18"/>
                                    </w:rPr>
                                    <w:t>2,020</w:t>
                                  </w:r>
                                </w:p>
                              </w:tc>
                              <w:tc>
                                <w:tcPr>
                                  <w:tcW w:w="724" w:type="dxa"/>
                                  <w:tcBorders>
                                    <w:top w:val="single" w:sz="4" w:space="0" w:color="000000"/>
                                    <w:bottom w:val="single" w:sz="4" w:space="0" w:color="000000"/>
                                  </w:tcBorders>
                                </w:tcPr>
                                <w:p>
                                  <w:pPr>
                                    <w:pStyle w:val="TableParagraph"/>
                                    <w:spacing w:before="8"/>
                                    <w:ind w:left="209"/>
                                    <w:rPr>
                                      <w:sz w:val="18"/>
                                    </w:rPr>
                                  </w:pPr>
                                  <w:r>
                                    <w:rPr>
                                      <w:spacing w:val="-2"/>
                                      <w:sz w:val="18"/>
                                    </w:rPr>
                                    <w:t>(44)%</w:t>
                                  </w:r>
                                </w:p>
                              </w:tc>
                              <w:tc>
                                <w:tcPr>
                                  <w:tcW w:w="1020" w:type="dxa"/>
                                  <w:tcBorders>
                                    <w:top w:val="single" w:sz="4" w:space="0" w:color="000000"/>
                                    <w:bottom w:val="single" w:sz="4" w:space="0" w:color="000000"/>
                                  </w:tcBorders>
                                </w:tcPr>
                                <w:p>
                                  <w:pPr>
                                    <w:pStyle w:val="TableParagraph"/>
                                    <w:spacing w:before="8"/>
                                    <w:ind w:left="340"/>
                                    <w:rPr>
                                      <w:sz w:val="18"/>
                                    </w:rPr>
                                  </w:pPr>
                                  <w:r>
                                    <w:rPr>
                                      <w:spacing w:val="-2"/>
                                      <w:sz w:val="18"/>
                                    </w:rPr>
                                    <w:t>4,022</w:t>
                                  </w:r>
                                </w:p>
                              </w:tc>
                              <w:tc>
                                <w:tcPr>
                                  <w:tcW w:w="1069" w:type="dxa"/>
                                  <w:tcBorders>
                                    <w:top w:val="single" w:sz="4" w:space="0" w:color="000000"/>
                                    <w:bottom w:val="single" w:sz="4" w:space="0" w:color="000000"/>
                                  </w:tcBorders>
                                </w:tcPr>
                                <w:p>
                                  <w:pPr>
                                    <w:pStyle w:val="TableParagraph"/>
                                    <w:spacing w:before="8"/>
                                    <w:ind w:left="295"/>
                                    <w:rPr>
                                      <w:sz w:val="18"/>
                                    </w:rPr>
                                  </w:pPr>
                                  <w:r>
                                    <w:rPr>
                                      <w:spacing w:val="-2"/>
                                      <w:sz w:val="18"/>
                                    </w:rPr>
                                    <w:t>5,215</w:t>
                                  </w:r>
                                </w:p>
                              </w:tc>
                              <w:tc>
                                <w:tcPr>
                                  <w:tcW w:w="682" w:type="dxa"/>
                                  <w:tcBorders>
                                    <w:top w:val="single" w:sz="4" w:space="0" w:color="000000"/>
                                    <w:bottom w:val="single" w:sz="4" w:space="0" w:color="000000"/>
                                  </w:tcBorders>
                                </w:tcPr>
                                <w:p>
                                  <w:pPr>
                                    <w:pStyle w:val="TableParagraph"/>
                                    <w:spacing w:before="8"/>
                                    <w:ind w:right="13"/>
                                    <w:jc w:val="right"/>
                                    <w:rPr>
                                      <w:sz w:val="18"/>
                                    </w:rPr>
                                  </w:pPr>
                                  <w:r>
                                    <w:rPr>
                                      <w:spacing w:val="-2"/>
                                      <w:sz w:val="18"/>
                                    </w:rPr>
                                    <w:t>(23)%</w:t>
                                  </w:r>
                                </w:p>
                              </w:tc>
                            </w:tr>
                            <w:tr>
                              <w:trPr>
                                <w:trHeight w:val="245" w:hRule="atLeast"/>
                              </w:trPr>
                              <w:tc>
                                <w:tcPr>
                                  <w:tcW w:w="4625" w:type="dxa"/>
                                  <w:tcBorders>
                                    <w:top w:val="single" w:sz="4" w:space="0" w:color="000000"/>
                                    <w:bottom w:val="single" w:sz="4" w:space="0" w:color="000000"/>
                                  </w:tcBorders>
                                  <w:shd w:val="clear" w:color="auto" w:fill="CCEDFF"/>
                                </w:tcPr>
                                <w:p>
                                  <w:pPr>
                                    <w:pStyle w:val="TableParagraph"/>
                                    <w:spacing w:before="8"/>
                                    <w:ind w:left="52"/>
                                    <w:rPr>
                                      <w:sz w:val="18"/>
                                    </w:rPr>
                                  </w:pPr>
                                  <w:r>
                                    <w:rPr>
                                      <w:sz w:val="18"/>
                                    </w:rPr>
                                    <w:t>Preferred</w:t>
                                  </w:r>
                                  <w:r>
                                    <w:rPr>
                                      <w:spacing w:val="-1"/>
                                      <w:sz w:val="18"/>
                                    </w:rPr>
                                    <w:t> </w:t>
                                  </w:r>
                                  <w:r>
                                    <w:rPr>
                                      <w:sz w:val="18"/>
                                    </w:rPr>
                                    <w:t>stock dividends</w:t>
                                  </w:r>
                                  <w:r>
                                    <w:rPr>
                                      <w:spacing w:val="-2"/>
                                      <w:sz w:val="18"/>
                                    </w:rPr>
                                    <w:t> </w:t>
                                  </w:r>
                                  <w:r>
                                    <w:rPr>
                                      <w:sz w:val="18"/>
                                    </w:rPr>
                                    <w:t>and </w:t>
                                  </w:r>
                                  <w:r>
                                    <w:rPr>
                                      <w:spacing w:val="-2"/>
                                      <w:sz w:val="18"/>
                                    </w:rPr>
                                    <w:t>other</w:t>
                                  </w:r>
                                </w:p>
                              </w:tc>
                              <w:tc>
                                <w:tcPr>
                                  <w:tcW w:w="1072" w:type="dxa"/>
                                  <w:tcBorders>
                                    <w:top w:val="single" w:sz="4" w:space="0" w:color="000000"/>
                                    <w:bottom w:val="single" w:sz="4" w:space="0" w:color="000000"/>
                                  </w:tcBorders>
                                  <w:shd w:val="clear" w:color="auto" w:fill="CCEDFF"/>
                                </w:tcPr>
                                <w:p>
                                  <w:pPr>
                                    <w:pStyle w:val="TableParagraph"/>
                                    <w:spacing w:before="8"/>
                                    <w:ind w:left="520"/>
                                    <w:rPr>
                                      <w:sz w:val="18"/>
                                    </w:rPr>
                                  </w:pPr>
                                  <w:r>
                                    <w:rPr>
                                      <w:spacing w:val="-5"/>
                                      <w:sz w:val="18"/>
                                    </w:rPr>
                                    <w:t>108</w:t>
                                  </w:r>
                                </w:p>
                              </w:tc>
                              <w:tc>
                                <w:tcPr>
                                  <w:tcW w:w="1069" w:type="dxa"/>
                                  <w:tcBorders>
                                    <w:top w:val="single" w:sz="4" w:space="0" w:color="000000"/>
                                    <w:bottom w:val="single" w:sz="4" w:space="0" w:color="000000"/>
                                  </w:tcBorders>
                                  <w:shd w:val="clear" w:color="auto" w:fill="CCEDFF"/>
                                </w:tcPr>
                                <w:p>
                                  <w:pPr>
                                    <w:pStyle w:val="TableParagraph"/>
                                    <w:spacing w:before="8"/>
                                    <w:ind w:left="77"/>
                                    <w:jc w:val="center"/>
                                    <w:rPr>
                                      <w:sz w:val="18"/>
                                    </w:rPr>
                                  </w:pPr>
                                  <w:r>
                                    <w:rPr>
                                      <w:spacing w:val="-5"/>
                                      <w:sz w:val="18"/>
                                    </w:rPr>
                                    <w:t>136</w:t>
                                  </w:r>
                                </w:p>
                              </w:tc>
                              <w:tc>
                                <w:tcPr>
                                  <w:tcW w:w="724" w:type="dxa"/>
                                  <w:tcBorders>
                                    <w:top w:val="single" w:sz="4" w:space="0" w:color="000000"/>
                                    <w:bottom w:val="single" w:sz="4" w:space="0" w:color="000000"/>
                                  </w:tcBorders>
                                  <w:shd w:val="clear" w:color="auto" w:fill="CCEDFF"/>
                                </w:tcPr>
                                <w:p>
                                  <w:pPr>
                                    <w:pStyle w:val="TableParagraph"/>
                                    <w:spacing w:before="8"/>
                                    <w:ind w:left="209"/>
                                    <w:rPr>
                                      <w:sz w:val="18"/>
                                    </w:rPr>
                                  </w:pPr>
                                  <w:r>
                                    <w:rPr>
                                      <w:spacing w:val="-2"/>
                                      <w:sz w:val="18"/>
                                    </w:rPr>
                                    <w:t>(21)%</w:t>
                                  </w:r>
                                </w:p>
                              </w:tc>
                              <w:tc>
                                <w:tcPr>
                                  <w:tcW w:w="1020" w:type="dxa"/>
                                  <w:tcBorders>
                                    <w:top w:val="single" w:sz="4" w:space="0" w:color="000000"/>
                                    <w:bottom w:val="single" w:sz="4" w:space="0" w:color="000000"/>
                                  </w:tcBorders>
                                  <w:shd w:val="clear" w:color="auto" w:fill="CCEDFF"/>
                                </w:tcPr>
                                <w:p>
                                  <w:pPr>
                                    <w:pStyle w:val="TableParagraph"/>
                                    <w:spacing w:before="8"/>
                                    <w:ind w:left="475"/>
                                    <w:rPr>
                                      <w:sz w:val="18"/>
                                    </w:rPr>
                                  </w:pPr>
                                  <w:r>
                                    <w:rPr>
                                      <w:spacing w:val="-5"/>
                                      <w:sz w:val="18"/>
                                    </w:rPr>
                                    <w:t>299</w:t>
                                  </w:r>
                                </w:p>
                              </w:tc>
                              <w:tc>
                                <w:tcPr>
                                  <w:tcW w:w="1069" w:type="dxa"/>
                                  <w:tcBorders>
                                    <w:top w:val="single" w:sz="4" w:space="0" w:color="000000"/>
                                    <w:bottom w:val="single" w:sz="4" w:space="0" w:color="000000"/>
                                  </w:tcBorders>
                                  <w:shd w:val="clear" w:color="auto" w:fill="CCEDFF"/>
                                </w:tcPr>
                                <w:p>
                                  <w:pPr>
                                    <w:pStyle w:val="TableParagraph"/>
                                    <w:spacing w:before="8"/>
                                    <w:ind w:left="77" w:right="16"/>
                                    <w:jc w:val="center"/>
                                    <w:rPr>
                                      <w:sz w:val="18"/>
                                    </w:rPr>
                                  </w:pPr>
                                  <w:r>
                                    <w:rPr>
                                      <w:spacing w:val="-5"/>
                                      <w:sz w:val="18"/>
                                    </w:rPr>
                                    <w:t>401</w:t>
                                  </w:r>
                                </w:p>
                              </w:tc>
                              <w:tc>
                                <w:tcPr>
                                  <w:tcW w:w="682" w:type="dxa"/>
                                  <w:tcBorders>
                                    <w:top w:val="single" w:sz="4" w:space="0" w:color="000000"/>
                                    <w:bottom w:val="single" w:sz="4" w:space="0" w:color="000000"/>
                                  </w:tcBorders>
                                  <w:shd w:val="clear" w:color="auto" w:fill="CCEDFF"/>
                                </w:tcPr>
                                <w:p>
                                  <w:pPr>
                                    <w:pStyle w:val="TableParagraph"/>
                                    <w:spacing w:before="8"/>
                                    <w:ind w:right="13"/>
                                    <w:jc w:val="right"/>
                                    <w:rPr>
                                      <w:sz w:val="18"/>
                                    </w:rPr>
                                  </w:pPr>
                                  <w:r>
                                    <w:rPr>
                                      <w:spacing w:val="-2"/>
                                      <w:sz w:val="18"/>
                                    </w:rPr>
                                    <w:t>(25)%</w:t>
                                  </w:r>
                                </w:p>
                              </w:tc>
                            </w:tr>
                            <w:tr>
                              <w:trPr>
                                <w:trHeight w:val="220" w:hRule="atLeast"/>
                              </w:trPr>
                              <w:tc>
                                <w:tcPr>
                                  <w:tcW w:w="4625" w:type="dxa"/>
                                  <w:tcBorders>
                                    <w:top w:val="single" w:sz="4" w:space="0" w:color="000000"/>
                                    <w:bottom w:val="double" w:sz="8" w:space="0" w:color="auto"/>
                                  </w:tcBorders>
                                </w:tcPr>
                                <w:p>
                                  <w:pPr>
                                    <w:pStyle w:val="TableParagraph"/>
                                    <w:spacing w:line="191" w:lineRule="exact" w:before="8"/>
                                    <w:ind w:left="52"/>
                                    <w:rPr>
                                      <w:sz w:val="18"/>
                                    </w:rPr>
                                  </w:pPr>
                                  <w:r>
                                    <w:rPr>
                                      <w:sz w:val="18"/>
                                    </w:rPr>
                                    <w:t>Net</w:t>
                                  </w:r>
                                  <w:r>
                                    <w:rPr>
                                      <w:spacing w:val="-1"/>
                                      <w:sz w:val="18"/>
                                    </w:rPr>
                                    <w:t> </w:t>
                                  </w:r>
                                  <w:r>
                                    <w:rPr>
                                      <w:sz w:val="18"/>
                                    </w:rPr>
                                    <w:t>income available to common </w:t>
                                  </w:r>
                                  <w:r>
                                    <w:rPr>
                                      <w:spacing w:val="-2"/>
                                      <w:sz w:val="18"/>
                                    </w:rPr>
                                    <w:t>stockholders</w:t>
                                  </w:r>
                                </w:p>
                              </w:tc>
                              <w:tc>
                                <w:tcPr>
                                  <w:tcW w:w="1072" w:type="dxa"/>
                                  <w:tcBorders>
                                    <w:top w:val="single" w:sz="4" w:space="0" w:color="000000"/>
                                    <w:bottom w:val="double" w:sz="8" w:space="0" w:color="auto"/>
                                  </w:tcBorders>
                                </w:tcPr>
                                <w:p>
                                  <w:pPr>
                                    <w:pStyle w:val="TableParagraph"/>
                                    <w:spacing w:line="191" w:lineRule="exact" w:before="8"/>
                                    <w:ind w:left="122"/>
                                    <w:rPr>
                                      <w:sz w:val="18"/>
                                    </w:rPr>
                                  </w:pPr>
                                  <w:r>
                                    <w:rPr>
                                      <w:sz w:val="18"/>
                                    </w:rPr>
                                    <w:t>$</w:t>
                                  </w:r>
                                  <w:r>
                                    <w:rPr>
                                      <w:spacing w:val="41"/>
                                      <w:sz w:val="18"/>
                                    </w:rPr>
                                    <w:t>  </w:t>
                                  </w:r>
                                  <w:r>
                                    <w:rPr>
                                      <w:spacing w:val="-2"/>
                                      <w:sz w:val="18"/>
                                    </w:rPr>
                                    <w:t>1,017</w:t>
                                  </w:r>
                                </w:p>
                              </w:tc>
                              <w:tc>
                                <w:tcPr>
                                  <w:tcW w:w="1069" w:type="dxa"/>
                                  <w:tcBorders>
                                    <w:top w:val="single" w:sz="4" w:space="0" w:color="000000"/>
                                    <w:bottom w:val="double" w:sz="8" w:space="0" w:color="auto"/>
                                  </w:tcBorders>
                                </w:tcPr>
                                <w:p>
                                  <w:pPr>
                                    <w:pStyle w:val="TableParagraph"/>
                                    <w:spacing w:line="191" w:lineRule="exact" w:before="8"/>
                                    <w:ind w:left="70"/>
                                    <w:rPr>
                                      <w:sz w:val="18"/>
                                    </w:rPr>
                                  </w:pPr>
                                  <w:r>
                                    <w:rPr>
                                      <w:sz w:val="18"/>
                                    </w:rPr>
                                    <w:t>$</w:t>
                                  </w:r>
                                  <w:r>
                                    <w:rPr>
                                      <w:spacing w:val="74"/>
                                      <w:w w:val="150"/>
                                      <w:sz w:val="18"/>
                                    </w:rPr>
                                    <w:t> </w:t>
                                  </w:r>
                                  <w:r>
                                    <w:rPr>
                                      <w:spacing w:val="-2"/>
                                      <w:sz w:val="18"/>
                                    </w:rPr>
                                    <w:t>1,884</w:t>
                                  </w:r>
                                </w:p>
                              </w:tc>
                              <w:tc>
                                <w:tcPr>
                                  <w:tcW w:w="724" w:type="dxa"/>
                                  <w:tcBorders>
                                    <w:top w:val="single" w:sz="4" w:space="0" w:color="000000"/>
                                    <w:bottom w:val="double" w:sz="8" w:space="0" w:color="auto"/>
                                  </w:tcBorders>
                                </w:tcPr>
                                <w:p>
                                  <w:pPr>
                                    <w:pStyle w:val="TableParagraph"/>
                                    <w:spacing w:line="191" w:lineRule="exact" w:before="8"/>
                                    <w:ind w:left="209"/>
                                    <w:rPr>
                                      <w:sz w:val="18"/>
                                    </w:rPr>
                                  </w:pPr>
                                  <w:r>
                                    <w:rPr>
                                      <w:spacing w:val="-2"/>
                                      <w:sz w:val="18"/>
                                    </w:rPr>
                                    <w:t>(46)%</w:t>
                                  </w:r>
                                </w:p>
                              </w:tc>
                              <w:tc>
                                <w:tcPr>
                                  <w:tcW w:w="1020" w:type="dxa"/>
                                  <w:tcBorders>
                                    <w:top w:val="single" w:sz="4" w:space="0" w:color="000000"/>
                                    <w:bottom w:val="double" w:sz="8" w:space="0" w:color="auto"/>
                                  </w:tcBorders>
                                </w:tcPr>
                                <w:p>
                                  <w:pPr>
                                    <w:pStyle w:val="TableParagraph"/>
                                    <w:spacing w:line="191" w:lineRule="exact" w:before="8"/>
                                    <w:ind w:left="62"/>
                                    <w:rPr>
                                      <w:sz w:val="18"/>
                                    </w:rPr>
                                  </w:pPr>
                                  <w:r>
                                    <w:rPr>
                                      <w:sz w:val="18"/>
                                    </w:rPr>
                                    <w:t>$</w:t>
                                  </w:r>
                                  <w:r>
                                    <w:rPr>
                                      <w:spacing w:val="48"/>
                                      <w:sz w:val="18"/>
                                    </w:rPr>
                                    <w:t>  </w:t>
                                  </w:r>
                                  <w:r>
                                    <w:rPr>
                                      <w:spacing w:val="-2"/>
                                      <w:sz w:val="18"/>
                                    </w:rPr>
                                    <w:t>3,723</w:t>
                                  </w:r>
                                </w:p>
                              </w:tc>
                              <w:tc>
                                <w:tcPr>
                                  <w:tcW w:w="1069" w:type="dxa"/>
                                  <w:tcBorders>
                                    <w:top w:val="single" w:sz="4" w:space="0" w:color="000000"/>
                                    <w:bottom w:val="double" w:sz="8" w:space="0" w:color="auto"/>
                                  </w:tcBorders>
                                </w:tcPr>
                                <w:p>
                                  <w:pPr>
                                    <w:pStyle w:val="TableParagraph"/>
                                    <w:spacing w:line="191" w:lineRule="exact" w:before="8"/>
                                    <w:ind w:left="62"/>
                                    <w:rPr>
                                      <w:sz w:val="18"/>
                                    </w:rPr>
                                  </w:pPr>
                                  <w:r>
                                    <w:rPr>
                                      <w:sz w:val="18"/>
                                    </w:rPr>
                                    <w:t>$</w:t>
                                  </w:r>
                                  <w:r>
                                    <w:rPr>
                                      <w:spacing w:val="74"/>
                                      <w:w w:val="150"/>
                                      <w:sz w:val="18"/>
                                    </w:rPr>
                                    <w:t> </w:t>
                                  </w:r>
                                  <w:r>
                                    <w:rPr>
                                      <w:spacing w:val="-2"/>
                                      <w:sz w:val="18"/>
                                    </w:rPr>
                                    <w:t>4,814</w:t>
                                  </w:r>
                                </w:p>
                              </w:tc>
                              <w:tc>
                                <w:tcPr>
                                  <w:tcW w:w="682" w:type="dxa"/>
                                  <w:tcBorders>
                                    <w:top w:val="single" w:sz="4" w:space="0" w:color="000000"/>
                                    <w:bottom w:val="double" w:sz="8" w:space="0" w:color="auto"/>
                                  </w:tcBorders>
                                </w:tcPr>
                                <w:p>
                                  <w:pPr>
                                    <w:pStyle w:val="TableParagraph"/>
                                    <w:spacing w:line="191" w:lineRule="exact" w:before="8"/>
                                    <w:ind w:right="13"/>
                                    <w:jc w:val="right"/>
                                    <w:rPr>
                                      <w:sz w:val="18"/>
                                    </w:rPr>
                                  </w:pPr>
                                  <w:r>
                                    <w:rPr>
                                      <w:spacing w:val="-2"/>
                                      <w:sz w:val="18"/>
                                    </w:rPr>
                                    <w:t>(23)%</w:t>
                                  </w:r>
                                </w:p>
                              </w:tc>
                            </w:tr>
                            <w:tr>
                              <w:trPr>
                                <w:trHeight w:val="225" w:hRule="atLeast"/>
                              </w:trPr>
                              <w:tc>
                                <w:tcPr>
                                  <w:tcW w:w="4625" w:type="dxa"/>
                                  <w:tcBorders>
                                    <w:top w:val="double" w:sz="8" w:space="0" w:color="CCEDFF"/>
                                  </w:tcBorders>
                                  <w:shd w:val="clear" w:color="auto" w:fill="CCEDFF"/>
                                </w:tcPr>
                                <w:p>
                                  <w:pPr>
                                    <w:pStyle w:val="TableParagraph"/>
                                    <w:spacing w:line="195" w:lineRule="exact"/>
                                    <w:ind w:left="52"/>
                                    <w:rPr>
                                      <w:sz w:val="18"/>
                                    </w:rPr>
                                  </w:pPr>
                                  <w:r>
                                    <w:rPr>
                                      <w:sz w:val="18"/>
                                    </w:rPr>
                                    <w:t>Earnings</w:t>
                                  </w:r>
                                  <w:r>
                                    <w:rPr>
                                      <w:spacing w:val="-2"/>
                                      <w:sz w:val="18"/>
                                    </w:rPr>
                                    <w:t> </w:t>
                                  </w:r>
                                  <w:r>
                                    <w:rPr>
                                      <w:sz w:val="18"/>
                                    </w:rPr>
                                    <w:t>per common share — </w:t>
                                  </w:r>
                                  <w:r>
                                    <w:rPr>
                                      <w:spacing w:val="-2"/>
                                      <w:sz w:val="18"/>
                                    </w:rPr>
                                    <w:t>diluted</w:t>
                                  </w:r>
                                </w:p>
                              </w:tc>
                              <w:tc>
                                <w:tcPr>
                                  <w:tcW w:w="1072" w:type="dxa"/>
                                  <w:tcBorders>
                                    <w:top w:val="double" w:sz="8" w:space="0" w:color="CCEDFF"/>
                                  </w:tcBorders>
                                  <w:shd w:val="clear" w:color="auto" w:fill="CCEDFF"/>
                                </w:tcPr>
                                <w:p>
                                  <w:pPr>
                                    <w:pStyle w:val="TableParagraph"/>
                                    <w:tabs>
                                      <w:tab w:pos="565" w:val="left" w:leader="none"/>
                                    </w:tabs>
                                    <w:spacing w:line="191" w:lineRule="exact"/>
                                    <w:ind w:left="122"/>
                                    <w:rPr>
                                      <w:sz w:val="18"/>
                                    </w:rPr>
                                  </w:pPr>
                                  <w:r>
                                    <w:rPr>
                                      <w:spacing w:val="-10"/>
                                      <w:sz w:val="18"/>
                                    </w:rPr>
                                    <w:t>$</w:t>
                                  </w:r>
                                  <w:r>
                                    <w:rPr>
                                      <w:sz w:val="18"/>
                                    </w:rPr>
                                    <w:tab/>
                                  </w:r>
                                  <w:r>
                                    <w:rPr>
                                      <w:spacing w:val="-5"/>
                                      <w:sz w:val="18"/>
                                    </w:rPr>
                                    <w:t>.56</w:t>
                                  </w:r>
                                </w:p>
                              </w:tc>
                              <w:tc>
                                <w:tcPr>
                                  <w:tcW w:w="1069" w:type="dxa"/>
                                  <w:tcBorders>
                                    <w:top w:val="double" w:sz="8" w:space="0" w:color="CCEDFF"/>
                                  </w:tcBorders>
                                  <w:shd w:val="clear" w:color="auto" w:fill="CCEDFF"/>
                                </w:tcPr>
                                <w:p>
                                  <w:pPr>
                                    <w:pStyle w:val="TableParagraph"/>
                                    <w:tabs>
                                      <w:tab w:pos="483" w:val="left" w:leader="none"/>
                                    </w:tabs>
                                    <w:spacing w:line="191" w:lineRule="exact"/>
                                    <w:ind w:left="70"/>
                                    <w:rPr>
                                      <w:sz w:val="18"/>
                                    </w:rPr>
                                  </w:pPr>
                                  <w:r>
                                    <w:rPr>
                                      <w:spacing w:val="-10"/>
                                      <w:sz w:val="18"/>
                                    </w:rPr>
                                    <w:t>$</w:t>
                                  </w:r>
                                  <w:r>
                                    <w:rPr>
                                      <w:sz w:val="18"/>
                                    </w:rPr>
                                    <w:tab/>
                                  </w:r>
                                  <w:r>
                                    <w:rPr>
                                      <w:spacing w:val="-5"/>
                                      <w:sz w:val="18"/>
                                    </w:rPr>
                                    <w:t>.99</w:t>
                                  </w:r>
                                </w:p>
                              </w:tc>
                              <w:tc>
                                <w:tcPr>
                                  <w:tcW w:w="724" w:type="dxa"/>
                                  <w:tcBorders>
                                    <w:top w:val="double" w:sz="8" w:space="0" w:color="CCEDFF"/>
                                  </w:tcBorders>
                                  <w:shd w:val="clear" w:color="auto" w:fill="CCEDFF"/>
                                </w:tcPr>
                                <w:p>
                                  <w:pPr>
                                    <w:pStyle w:val="TableParagraph"/>
                                    <w:spacing w:line="191" w:lineRule="exact"/>
                                    <w:ind w:left="209"/>
                                    <w:rPr>
                                      <w:sz w:val="18"/>
                                    </w:rPr>
                                  </w:pPr>
                                  <w:r>
                                    <w:rPr>
                                      <w:spacing w:val="-2"/>
                                      <w:sz w:val="18"/>
                                    </w:rPr>
                                    <w:t>(43)%</w:t>
                                  </w:r>
                                </w:p>
                              </w:tc>
                              <w:tc>
                                <w:tcPr>
                                  <w:tcW w:w="1020" w:type="dxa"/>
                                  <w:tcBorders>
                                    <w:top w:val="double" w:sz="8" w:space="0" w:color="CCEDFF"/>
                                  </w:tcBorders>
                                  <w:shd w:val="clear" w:color="auto" w:fill="CCEDFF"/>
                                </w:tcPr>
                                <w:p>
                                  <w:pPr>
                                    <w:pStyle w:val="TableParagraph"/>
                                    <w:tabs>
                                      <w:tab w:pos="430" w:val="left" w:leader="none"/>
                                    </w:tabs>
                                    <w:spacing w:line="191" w:lineRule="exact"/>
                                    <w:ind w:left="62"/>
                                    <w:rPr>
                                      <w:sz w:val="18"/>
                                    </w:rPr>
                                  </w:pPr>
                                  <w:r>
                                    <w:rPr>
                                      <w:spacing w:val="-10"/>
                                      <w:sz w:val="18"/>
                                    </w:rPr>
                                    <w:t>$</w:t>
                                  </w:r>
                                  <w:r>
                                    <w:rPr>
                                      <w:sz w:val="18"/>
                                    </w:rPr>
                                    <w:tab/>
                                  </w:r>
                                  <w:r>
                                    <w:rPr>
                                      <w:spacing w:val="-4"/>
                                      <w:sz w:val="18"/>
                                    </w:rPr>
                                    <w:t>2.03</w:t>
                                  </w:r>
                                </w:p>
                              </w:tc>
                              <w:tc>
                                <w:tcPr>
                                  <w:tcW w:w="1069" w:type="dxa"/>
                                  <w:tcBorders>
                                    <w:top w:val="double" w:sz="8" w:space="0" w:color="CCEDFF"/>
                                  </w:tcBorders>
                                  <w:shd w:val="clear" w:color="auto" w:fill="CCEDFF"/>
                                </w:tcPr>
                                <w:p>
                                  <w:pPr>
                                    <w:pStyle w:val="TableParagraph"/>
                                    <w:tabs>
                                      <w:tab w:pos="385" w:val="left" w:leader="none"/>
                                    </w:tabs>
                                    <w:spacing w:line="191" w:lineRule="exact"/>
                                    <w:ind w:left="62"/>
                                    <w:rPr>
                                      <w:sz w:val="18"/>
                                    </w:rPr>
                                  </w:pPr>
                                  <w:r>
                                    <w:rPr>
                                      <w:spacing w:val="-10"/>
                                      <w:sz w:val="18"/>
                                    </w:rPr>
                                    <w:t>$</w:t>
                                  </w:r>
                                  <w:r>
                                    <w:rPr>
                                      <w:sz w:val="18"/>
                                    </w:rPr>
                                    <w:tab/>
                                  </w:r>
                                  <w:r>
                                    <w:rPr>
                                      <w:spacing w:val="-4"/>
                                      <w:sz w:val="18"/>
                                    </w:rPr>
                                    <w:t>2.53</w:t>
                                  </w:r>
                                </w:p>
                              </w:tc>
                              <w:tc>
                                <w:tcPr>
                                  <w:tcW w:w="682" w:type="dxa"/>
                                  <w:tcBorders>
                                    <w:top w:val="double" w:sz="8" w:space="0" w:color="CCEDFF"/>
                                  </w:tcBorders>
                                  <w:shd w:val="clear" w:color="auto" w:fill="CCEDFF"/>
                                </w:tcPr>
                                <w:p>
                                  <w:pPr>
                                    <w:pStyle w:val="TableParagraph"/>
                                    <w:spacing w:line="191" w:lineRule="exact"/>
                                    <w:ind w:right="13"/>
                                    <w:jc w:val="right"/>
                                    <w:rPr>
                                      <w:sz w:val="18"/>
                                    </w:rPr>
                                  </w:pPr>
                                  <w:r>
                                    <w:rPr>
                                      <w:spacing w:val="-2"/>
                                      <w:sz w:val="18"/>
                                    </w:rPr>
                                    <w:t>(20)%</w:t>
                                  </w:r>
                                </w:p>
                              </w:tc>
                            </w:tr>
                            <w:tr>
                              <w:trPr>
                                <w:trHeight w:val="255" w:hRule="atLeast"/>
                              </w:trPr>
                              <w:tc>
                                <w:tcPr>
                                  <w:tcW w:w="4625" w:type="dxa"/>
                                </w:tcPr>
                                <w:p>
                                  <w:pPr>
                                    <w:pStyle w:val="TableParagraph"/>
                                    <w:spacing w:before="13"/>
                                    <w:ind w:left="52"/>
                                    <w:rPr>
                                      <w:sz w:val="18"/>
                                    </w:rPr>
                                  </w:pPr>
                                  <w:r>
                                    <w:rPr>
                                      <w:sz w:val="18"/>
                                    </w:rPr>
                                    <w:t>Net</w:t>
                                  </w:r>
                                  <w:r>
                                    <w:rPr>
                                      <w:spacing w:val="-1"/>
                                      <w:sz w:val="18"/>
                                    </w:rPr>
                                    <w:t> </w:t>
                                  </w:r>
                                  <w:r>
                                    <w:rPr>
                                      <w:sz w:val="18"/>
                                    </w:rPr>
                                    <w:t>revenue change from prior </w:t>
                                  </w:r>
                                  <w:r>
                                    <w:rPr>
                                      <w:spacing w:val="-4"/>
                                      <w:sz w:val="18"/>
                                    </w:rPr>
                                    <w:t>year</w:t>
                                  </w:r>
                                </w:p>
                              </w:tc>
                              <w:tc>
                                <w:tcPr>
                                  <w:tcW w:w="1072" w:type="dxa"/>
                                </w:tcPr>
                                <w:p>
                                  <w:pPr>
                                    <w:pStyle w:val="TableParagraph"/>
                                    <w:spacing w:before="13"/>
                                    <w:ind w:right="69"/>
                                    <w:jc w:val="right"/>
                                    <w:rPr>
                                      <w:sz w:val="18"/>
                                    </w:rPr>
                                  </w:pPr>
                                  <w:r>
                                    <w:rPr>
                                      <w:spacing w:val="-2"/>
                                      <w:sz w:val="18"/>
                                    </w:rPr>
                                    <w:t>(16)%</w:t>
                                  </w:r>
                                </w:p>
                              </w:tc>
                              <w:tc>
                                <w:tcPr>
                                  <w:tcW w:w="1069" w:type="dxa"/>
                                </w:tcPr>
                                <w:p>
                                  <w:pPr>
                                    <w:pStyle w:val="TableParagraph"/>
                                    <w:spacing w:before="13"/>
                                    <w:ind w:right="208"/>
                                    <w:jc w:val="right"/>
                                    <w:rPr>
                                      <w:sz w:val="18"/>
                                    </w:rPr>
                                  </w:pPr>
                                  <w:r>
                                    <w:rPr>
                                      <w:spacing w:val="-5"/>
                                      <w:sz w:val="18"/>
                                    </w:rPr>
                                    <w:t>20%</w:t>
                                  </w:r>
                                </w:p>
                              </w:tc>
                              <w:tc>
                                <w:tcPr>
                                  <w:tcW w:w="724" w:type="dxa"/>
                                </w:tcPr>
                                <w:p>
                                  <w:pPr>
                                    <w:pStyle w:val="TableParagraph"/>
                                    <w:rPr>
                                      <w:sz w:val="18"/>
                                    </w:rPr>
                                  </w:pPr>
                                </w:p>
                              </w:tc>
                              <w:tc>
                                <w:tcPr>
                                  <w:tcW w:w="1020" w:type="dxa"/>
                                </w:tcPr>
                                <w:p>
                                  <w:pPr>
                                    <w:pStyle w:val="TableParagraph"/>
                                    <w:spacing w:before="13"/>
                                    <w:ind w:right="62"/>
                                    <w:jc w:val="right"/>
                                    <w:rPr>
                                      <w:sz w:val="18"/>
                                    </w:rPr>
                                  </w:pPr>
                                  <w:r>
                                    <w:rPr>
                                      <w:spacing w:val="-4"/>
                                      <w:sz w:val="18"/>
                                    </w:rPr>
                                    <w:t>(6)%</w:t>
                                  </w:r>
                                </w:p>
                              </w:tc>
                              <w:tc>
                                <w:tcPr>
                                  <w:tcW w:w="1069" w:type="dxa"/>
                                </w:tcPr>
                                <w:p>
                                  <w:pPr>
                                    <w:pStyle w:val="TableParagraph"/>
                                    <w:spacing w:before="13"/>
                                    <w:ind w:right="216"/>
                                    <w:jc w:val="right"/>
                                    <w:rPr>
                                      <w:sz w:val="18"/>
                                    </w:rPr>
                                  </w:pPr>
                                  <w:r>
                                    <w:rPr>
                                      <w:spacing w:val="-5"/>
                                      <w:sz w:val="18"/>
                                    </w:rPr>
                                    <w:t>11%</w:t>
                                  </w:r>
                                </w:p>
                              </w:tc>
                              <w:tc>
                                <w:tcPr>
                                  <w:tcW w:w="682" w:type="dxa"/>
                                </w:tcPr>
                                <w:p>
                                  <w:pPr>
                                    <w:pStyle w:val="TableParagraph"/>
                                    <w:rPr>
                                      <w:sz w:val="18"/>
                                    </w:rPr>
                                  </w:pPr>
                                </w:p>
                              </w:tc>
                            </w:tr>
                            <w:tr>
                              <w:trPr>
                                <w:trHeight w:val="255" w:hRule="atLeast"/>
                              </w:trPr>
                              <w:tc>
                                <w:tcPr>
                                  <w:tcW w:w="4625" w:type="dxa"/>
                                  <w:shd w:val="clear" w:color="auto" w:fill="CCEDFF"/>
                                </w:tcPr>
                                <w:p>
                                  <w:pPr>
                                    <w:pStyle w:val="TableParagraph"/>
                                    <w:spacing w:before="13"/>
                                    <w:ind w:left="52"/>
                                    <w:rPr>
                                      <w:sz w:val="18"/>
                                    </w:rPr>
                                  </w:pPr>
                                  <w:r>
                                    <w:rPr>
                                      <w:sz w:val="18"/>
                                    </w:rPr>
                                    <w:t>Pre-tax</w:t>
                                  </w:r>
                                  <w:r>
                                    <w:rPr>
                                      <w:spacing w:val="-1"/>
                                      <w:sz w:val="18"/>
                                    </w:rPr>
                                    <w:t> </w:t>
                                  </w:r>
                                  <w:r>
                                    <w:rPr>
                                      <w:sz w:val="18"/>
                                    </w:rPr>
                                    <w:t>profit </w:t>
                                  </w:r>
                                  <w:r>
                                    <w:rPr>
                                      <w:spacing w:val="-2"/>
                                      <w:sz w:val="18"/>
                                    </w:rPr>
                                    <w:t>margin</w:t>
                                  </w:r>
                                </w:p>
                              </w:tc>
                              <w:tc>
                                <w:tcPr>
                                  <w:tcW w:w="1072" w:type="dxa"/>
                                  <w:shd w:val="clear" w:color="auto" w:fill="CCEDFF"/>
                                </w:tcPr>
                                <w:p>
                                  <w:pPr>
                                    <w:pStyle w:val="TableParagraph"/>
                                    <w:spacing w:before="13"/>
                                    <w:ind w:right="129"/>
                                    <w:jc w:val="right"/>
                                    <w:rPr>
                                      <w:sz w:val="18"/>
                                    </w:rPr>
                                  </w:pPr>
                                  <w:r>
                                    <w:rPr>
                                      <w:spacing w:val="-2"/>
                                      <w:sz w:val="18"/>
                                    </w:rPr>
                                    <w:t>30.0%</w:t>
                                  </w:r>
                                </w:p>
                              </w:tc>
                              <w:tc>
                                <w:tcPr>
                                  <w:tcW w:w="1069" w:type="dxa"/>
                                  <w:shd w:val="clear" w:color="auto" w:fill="CCEDFF"/>
                                </w:tcPr>
                                <w:p>
                                  <w:pPr>
                                    <w:pStyle w:val="TableParagraph"/>
                                    <w:spacing w:before="13"/>
                                    <w:ind w:right="208"/>
                                    <w:jc w:val="right"/>
                                    <w:rPr>
                                      <w:sz w:val="18"/>
                                    </w:rPr>
                                  </w:pPr>
                                  <w:r>
                                    <w:rPr>
                                      <w:spacing w:val="-2"/>
                                      <w:sz w:val="18"/>
                                    </w:rPr>
                                    <w:t>48.7%</w:t>
                                  </w:r>
                                </w:p>
                              </w:tc>
                              <w:tc>
                                <w:tcPr>
                                  <w:tcW w:w="724" w:type="dxa"/>
                                  <w:shd w:val="clear" w:color="auto" w:fill="CCEDFF"/>
                                </w:tcPr>
                                <w:p>
                                  <w:pPr>
                                    <w:pStyle w:val="TableParagraph"/>
                                    <w:rPr>
                                      <w:sz w:val="18"/>
                                    </w:rPr>
                                  </w:pPr>
                                </w:p>
                              </w:tc>
                              <w:tc>
                                <w:tcPr>
                                  <w:tcW w:w="1020" w:type="dxa"/>
                                  <w:shd w:val="clear" w:color="auto" w:fill="CCEDFF"/>
                                </w:tcPr>
                                <w:p>
                                  <w:pPr>
                                    <w:pStyle w:val="TableParagraph"/>
                                    <w:spacing w:before="13"/>
                                    <w:ind w:right="122"/>
                                    <w:jc w:val="right"/>
                                    <w:rPr>
                                      <w:sz w:val="18"/>
                                    </w:rPr>
                                  </w:pPr>
                                  <w:r>
                                    <w:rPr>
                                      <w:spacing w:val="-2"/>
                                      <w:sz w:val="18"/>
                                    </w:rPr>
                                    <w:t>36.1%</w:t>
                                  </w:r>
                                </w:p>
                              </w:tc>
                              <w:tc>
                                <w:tcPr>
                                  <w:tcW w:w="1069" w:type="dxa"/>
                                  <w:shd w:val="clear" w:color="auto" w:fill="CCEDFF"/>
                                </w:tcPr>
                                <w:p>
                                  <w:pPr>
                                    <w:pStyle w:val="TableParagraph"/>
                                    <w:spacing w:before="13"/>
                                    <w:ind w:right="216"/>
                                    <w:jc w:val="right"/>
                                    <w:rPr>
                                      <w:sz w:val="18"/>
                                    </w:rPr>
                                  </w:pPr>
                                  <w:r>
                                    <w:rPr>
                                      <w:spacing w:val="-2"/>
                                      <w:sz w:val="18"/>
                                    </w:rPr>
                                    <w:t>44.5%</w:t>
                                  </w:r>
                                </w:p>
                              </w:tc>
                              <w:tc>
                                <w:tcPr>
                                  <w:tcW w:w="682" w:type="dxa"/>
                                  <w:shd w:val="clear" w:color="auto" w:fill="CCEDFF"/>
                                </w:tcPr>
                                <w:p>
                                  <w:pPr>
                                    <w:pStyle w:val="TableParagraph"/>
                                    <w:rPr>
                                      <w:sz w:val="18"/>
                                    </w:rPr>
                                  </w:pPr>
                                </w:p>
                              </w:tc>
                            </w:tr>
                            <w:tr>
                              <w:trPr>
                                <w:trHeight w:val="266" w:hRule="atLeast"/>
                              </w:trPr>
                              <w:tc>
                                <w:tcPr>
                                  <w:tcW w:w="4625" w:type="dxa"/>
                                </w:tcPr>
                                <w:p>
                                  <w:pPr>
                                    <w:pStyle w:val="TableParagraph"/>
                                    <w:spacing w:before="13"/>
                                    <w:ind w:left="52"/>
                                    <w:rPr>
                                      <w:sz w:val="18"/>
                                    </w:rPr>
                                  </w:pPr>
                                  <w:r>
                                    <w:rPr>
                                      <w:sz w:val="18"/>
                                    </w:rPr>
                                    <w:t>Return</w:t>
                                  </w:r>
                                  <w:r>
                                    <w:rPr>
                                      <w:spacing w:val="-3"/>
                                      <w:sz w:val="18"/>
                                    </w:rPr>
                                    <w:t> </w:t>
                                  </w:r>
                                  <w:r>
                                    <w:rPr>
                                      <w:sz w:val="18"/>
                                    </w:rPr>
                                    <w:t>on average common</w:t>
                                  </w:r>
                                  <w:r>
                                    <w:rPr>
                                      <w:spacing w:val="-1"/>
                                      <w:sz w:val="18"/>
                                    </w:rPr>
                                    <w:t> </w:t>
                                  </w:r>
                                  <w:r>
                                    <w:rPr>
                                      <w:sz w:val="18"/>
                                    </w:rPr>
                                    <w:t>stockholders’ equity </w:t>
                                  </w:r>
                                  <w:r>
                                    <w:rPr>
                                      <w:spacing w:val="-2"/>
                                      <w:sz w:val="18"/>
                                    </w:rPr>
                                    <w:t>(annualized)</w:t>
                                  </w:r>
                                </w:p>
                              </w:tc>
                              <w:tc>
                                <w:tcPr>
                                  <w:tcW w:w="1072" w:type="dxa"/>
                                </w:tcPr>
                                <w:p>
                                  <w:pPr>
                                    <w:pStyle w:val="TableParagraph"/>
                                    <w:spacing w:before="13"/>
                                    <w:ind w:right="129"/>
                                    <w:jc w:val="right"/>
                                    <w:rPr>
                                      <w:sz w:val="18"/>
                                    </w:rPr>
                                  </w:pPr>
                                  <w:r>
                                    <w:rPr>
                                      <w:spacing w:val="-5"/>
                                      <w:sz w:val="18"/>
                                    </w:rPr>
                                    <w:t>14%</w:t>
                                  </w:r>
                                </w:p>
                              </w:tc>
                              <w:tc>
                                <w:tcPr>
                                  <w:tcW w:w="1069" w:type="dxa"/>
                                </w:tcPr>
                                <w:p>
                                  <w:pPr>
                                    <w:pStyle w:val="TableParagraph"/>
                                    <w:spacing w:before="13"/>
                                    <w:ind w:right="208"/>
                                    <w:jc w:val="right"/>
                                    <w:rPr>
                                      <w:sz w:val="18"/>
                                    </w:rPr>
                                  </w:pPr>
                                  <w:r>
                                    <w:rPr>
                                      <w:spacing w:val="-5"/>
                                      <w:sz w:val="18"/>
                                    </w:rPr>
                                    <w:t>25%</w:t>
                                  </w:r>
                                </w:p>
                              </w:tc>
                              <w:tc>
                                <w:tcPr>
                                  <w:tcW w:w="724" w:type="dxa"/>
                                </w:tcPr>
                                <w:p>
                                  <w:pPr>
                                    <w:pStyle w:val="TableParagraph"/>
                                    <w:rPr>
                                      <w:sz w:val="18"/>
                                    </w:rPr>
                                  </w:pPr>
                                </w:p>
                              </w:tc>
                              <w:tc>
                                <w:tcPr>
                                  <w:tcW w:w="1020" w:type="dxa"/>
                                </w:tcPr>
                                <w:p>
                                  <w:pPr>
                                    <w:pStyle w:val="TableParagraph"/>
                                    <w:spacing w:before="13"/>
                                    <w:ind w:right="122"/>
                                    <w:jc w:val="right"/>
                                    <w:rPr>
                                      <w:sz w:val="18"/>
                                    </w:rPr>
                                  </w:pPr>
                                  <w:r>
                                    <w:rPr>
                                      <w:spacing w:val="-5"/>
                                      <w:sz w:val="18"/>
                                    </w:rPr>
                                    <w:t>18%</w:t>
                                  </w:r>
                                </w:p>
                              </w:tc>
                              <w:tc>
                                <w:tcPr>
                                  <w:tcW w:w="1069" w:type="dxa"/>
                                </w:tcPr>
                                <w:p>
                                  <w:pPr>
                                    <w:pStyle w:val="TableParagraph"/>
                                    <w:spacing w:before="13"/>
                                    <w:ind w:right="216"/>
                                    <w:jc w:val="right"/>
                                    <w:rPr>
                                      <w:sz w:val="18"/>
                                    </w:rPr>
                                  </w:pPr>
                                  <w:r>
                                    <w:rPr>
                                      <w:spacing w:val="-5"/>
                                      <w:sz w:val="18"/>
                                    </w:rPr>
                                    <w:t>18%</w:t>
                                  </w:r>
                                </w:p>
                              </w:tc>
                              <w:tc>
                                <w:tcPr>
                                  <w:tcW w:w="682" w:type="dxa"/>
                                </w:tcPr>
                                <w:p>
                                  <w:pPr>
                                    <w:pStyle w:val="TableParagraph"/>
                                    <w:rPr>
                                      <w:sz w:val="18"/>
                                    </w:rPr>
                                  </w:pPr>
                                </w:p>
                              </w:tc>
                            </w:tr>
                            <w:tr>
                              <w:trPr>
                                <w:trHeight w:val="423" w:hRule="atLeast"/>
                              </w:trPr>
                              <w:tc>
                                <w:tcPr>
                                  <w:tcW w:w="5697" w:type="dxa"/>
                                  <w:gridSpan w:val="2"/>
                                  <w:shd w:val="clear" w:color="auto" w:fill="CCEDFF"/>
                                </w:tcPr>
                                <w:p>
                                  <w:pPr>
                                    <w:pStyle w:val="TableParagraph"/>
                                    <w:tabs>
                                      <w:tab w:pos="5100" w:val="left" w:leader="none"/>
                                    </w:tabs>
                                    <w:spacing w:before="2"/>
                                    <w:ind w:left="52"/>
                                    <w:rPr>
                                      <w:sz w:val="18"/>
                                    </w:rPr>
                                  </w:pPr>
                                  <w:r>
                                    <w:rPr>
                                      <w:sz w:val="18"/>
                                    </w:rPr>
                                    <w:t>Expenses</w:t>
                                  </w:r>
                                  <w:r>
                                    <w:rPr>
                                      <w:spacing w:val="-2"/>
                                      <w:sz w:val="18"/>
                                    </w:rPr>
                                    <w:t> </w:t>
                                  </w:r>
                                  <w:r>
                                    <w:rPr>
                                      <w:sz w:val="18"/>
                                    </w:rPr>
                                    <w:t>excluding interest as</w:t>
                                  </w:r>
                                  <w:r>
                                    <w:rPr>
                                      <w:spacing w:val="-1"/>
                                      <w:sz w:val="18"/>
                                    </w:rPr>
                                    <w:t> </w:t>
                                  </w:r>
                                  <w:r>
                                    <w:rPr>
                                      <w:sz w:val="18"/>
                                    </w:rPr>
                                    <w:t>a</w:t>
                                  </w:r>
                                  <w:r>
                                    <w:rPr>
                                      <w:spacing w:val="-1"/>
                                      <w:sz w:val="18"/>
                                    </w:rPr>
                                    <w:t> </w:t>
                                  </w:r>
                                  <w:r>
                                    <w:rPr>
                                      <w:sz w:val="18"/>
                                    </w:rPr>
                                    <w:t>percentage of average </w:t>
                                  </w:r>
                                  <w:r>
                                    <w:rPr>
                                      <w:spacing w:val="-2"/>
                                      <w:sz w:val="18"/>
                                    </w:rPr>
                                    <w:t>client</w:t>
                                  </w:r>
                                  <w:r>
                                    <w:rPr>
                                      <w:sz w:val="18"/>
                                    </w:rPr>
                                    <w:tab/>
                                  </w:r>
                                  <w:r>
                                    <w:rPr>
                                      <w:spacing w:val="-2"/>
                                      <w:position w:val="-8"/>
                                      <w:sz w:val="18"/>
                                    </w:rPr>
                                    <w:t>0.16%</w:t>
                                  </w:r>
                                </w:p>
                              </w:tc>
                              <w:tc>
                                <w:tcPr>
                                  <w:tcW w:w="1069" w:type="dxa"/>
                                  <w:shd w:val="clear" w:color="auto" w:fill="CCEDFF"/>
                                </w:tcPr>
                                <w:p>
                                  <w:pPr>
                                    <w:pStyle w:val="TableParagraph"/>
                                    <w:spacing w:before="92"/>
                                    <w:ind w:right="208"/>
                                    <w:jc w:val="right"/>
                                    <w:rPr>
                                      <w:sz w:val="18"/>
                                    </w:rPr>
                                  </w:pPr>
                                  <w:r>
                                    <w:rPr>
                                      <w:spacing w:val="-2"/>
                                      <w:sz w:val="18"/>
                                    </w:rPr>
                                    <w:t>0.16%</w:t>
                                  </w:r>
                                </w:p>
                              </w:tc>
                              <w:tc>
                                <w:tcPr>
                                  <w:tcW w:w="1744" w:type="dxa"/>
                                  <w:gridSpan w:val="2"/>
                                  <w:shd w:val="clear" w:color="auto" w:fill="CCEDFF"/>
                                </w:tcPr>
                                <w:p>
                                  <w:pPr>
                                    <w:pStyle w:val="TableParagraph"/>
                                    <w:spacing w:before="92"/>
                                    <w:ind w:left="1154"/>
                                    <w:rPr>
                                      <w:sz w:val="18"/>
                                    </w:rPr>
                                  </w:pPr>
                                  <w:r>
                                    <w:rPr>
                                      <w:spacing w:val="-2"/>
                                      <w:sz w:val="18"/>
                                    </w:rPr>
                                    <w:t>0.16%</w:t>
                                  </w:r>
                                </w:p>
                              </w:tc>
                              <w:tc>
                                <w:tcPr>
                                  <w:tcW w:w="1751" w:type="dxa"/>
                                  <w:gridSpan w:val="2"/>
                                  <w:shd w:val="clear" w:color="auto" w:fill="CCEDFF"/>
                                </w:tcPr>
                                <w:p>
                                  <w:pPr>
                                    <w:pStyle w:val="TableParagraph"/>
                                    <w:spacing w:before="92"/>
                                    <w:ind w:left="385"/>
                                    <w:rPr>
                                      <w:sz w:val="18"/>
                                    </w:rPr>
                                  </w:pPr>
                                  <w:r>
                                    <w:rPr>
                                      <w:spacing w:val="-2"/>
                                      <w:sz w:val="18"/>
                                    </w:rPr>
                                    <w:t>0.15%</w:t>
                                  </w:r>
                                </w:p>
                              </w:tc>
                            </w:tr>
                            <w:tr>
                              <w:trPr>
                                <w:trHeight w:val="297" w:hRule="atLeast"/>
                              </w:trPr>
                              <w:tc>
                                <w:tcPr>
                                  <w:tcW w:w="5697" w:type="dxa"/>
                                  <w:gridSpan w:val="2"/>
                                </w:tcPr>
                                <w:p>
                                  <w:pPr>
                                    <w:pStyle w:val="TableParagraph"/>
                                    <w:tabs>
                                      <w:tab w:pos="5190" w:val="left" w:leader="none"/>
                                    </w:tabs>
                                    <w:spacing w:before="28"/>
                                    <w:ind w:left="52"/>
                                    <w:rPr>
                                      <w:sz w:val="18"/>
                                    </w:rPr>
                                  </w:pPr>
                                  <w:r>
                                    <w:rPr>
                                      <w:sz w:val="18"/>
                                    </w:rPr>
                                    <w:t>Consolidated</w:t>
                                  </w:r>
                                  <w:r>
                                    <w:rPr>
                                      <w:spacing w:val="-1"/>
                                      <w:sz w:val="18"/>
                                    </w:rPr>
                                    <w:t> </w:t>
                                  </w:r>
                                  <w:r>
                                    <w:rPr>
                                      <w:sz w:val="18"/>
                                    </w:rPr>
                                    <w:t>Tier 1 Leverage Ratio (at quarter </w:t>
                                  </w:r>
                                  <w:r>
                                    <w:rPr>
                                      <w:spacing w:val="-4"/>
                                      <w:sz w:val="18"/>
                                    </w:rPr>
                                    <w:t>end)</w:t>
                                  </w:r>
                                  <w:r>
                                    <w:rPr>
                                      <w:sz w:val="18"/>
                                    </w:rPr>
                                    <w:tab/>
                                  </w:r>
                                  <w:r>
                                    <w:rPr>
                                      <w:spacing w:val="-4"/>
                                      <w:sz w:val="18"/>
                                    </w:rPr>
                                    <w:t>8.2%</w:t>
                                  </w:r>
                                </w:p>
                              </w:tc>
                              <w:tc>
                                <w:tcPr>
                                  <w:tcW w:w="1069" w:type="dxa"/>
                                </w:tcPr>
                                <w:p>
                                  <w:pPr>
                                    <w:pStyle w:val="TableParagraph"/>
                                    <w:spacing w:before="28"/>
                                    <w:ind w:right="208"/>
                                    <w:jc w:val="right"/>
                                    <w:rPr>
                                      <w:sz w:val="18"/>
                                    </w:rPr>
                                  </w:pPr>
                                  <w:r>
                                    <w:rPr>
                                      <w:spacing w:val="-4"/>
                                      <w:sz w:val="18"/>
                                    </w:rPr>
                                    <w:t>6.8%</w:t>
                                  </w:r>
                                </w:p>
                              </w:tc>
                              <w:tc>
                                <w:tcPr>
                                  <w:tcW w:w="1744" w:type="dxa"/>
                                  <w:gridSpan w:val="2"/>
                                </w:tcPr>
                                <w:p>
                                  <w:pPr>
                                    <w:pStyle w:val="TableParagraph"/>
                                    <w:rPr>
                                      <w:sz w:val="18"/>
                                    </w:rPr>
                                  </w:pPr>
                                </w:p>
                              </w:tc>
                              <w:tc>
                                <w:tcPr>
                                  <w:tcW w:w="1751" w:type="dxa"/>
                                  <w:gridSpan w:val="2"/>
                                </w:tcPr>
                                <w:p>
                                  <w:pPr>
                                    <w:pStyle w:val="TableParagraph"/>
                                    <w:rPr>
                                      <w:sz w:val="18"/>
                                    </w:rPr>
                                  </w:pPr>
                                </w:p>
                              </w:tc>
                            </w:tr>
                            <w:tr>
                              <w:trPr>
                                <w:trHeight w:val="270" w:hRule="atLeast"/>
                              </w:trPr>
                              <w:tc>
                                <w:tcPr>
                                  <w:tcW w:w="4625" w:type="dxa"/>
                                  <w:shd w:val="clear" w:color="auto" w:fill="CCEDFF"/>
                                </w:tcPr>
                                <w:p>
                                  <w:pPr>
                                    <w:pStyle w:val="TableParagraph"/>
                                    <w:spacing w:before="28"/>
                                    <w:ind w:left="52"/>
                                    <w:rPr>
                                      <w:sz w:val="18"/>
                                    </w:rPr>
                                  </w:pPr>
                                  <w:r>
                                    <w:rPr>
                                      <w:b/>
                                      <w:sz w:val="18"/>
                                    </w:rPr>
                                    <w:t>Non-GAAP</w:t>
                                  </w:r>
                                  <w:r>
                                    <w:rPr>
                                      <w:b/>
                                      <w:spacing w:val="-3"/>
                                      <w:sz w:val="18"/>
                                    </w:rPr>
                                    <w:t> </w:t>
                                  </w:r>
                                  <w:r>
                                    <w:rPr>
                                      <w:b/>
                                      <w:sz w:val="18"/>
                                    </w:rPr>
                                    <w:t>Financial</w:t>
                                  </w:r>
                                  <w:r>
                                    <w:rPr>
                                      <w:b/>
                                      <w:spacing w:val="-3"/>
                                      <w:sz w:val="18"/>
                                    </w:rPr>
                                    <w:t> </w:t>
                                  </w:r>
                                  <w:r>
                                    <w:rPr>
                                      <w:b/>
                                      <w:sz w:val="18"/>
                                    </w:rPr>
                                    <w:t>Measures</w:t>
                                  </w:r>
                                  <w:r>
                                    <w:rPr>
                                      <w:b/>
                                      <w:spacing w:val="-5"/>
                                      <w:sz w:val="18"/>
                                    </w:rPr>
                                    <w:t> </w:t>
                                  </w:r>
                                  <w:r>
                                    <w:rPr>
                                      <w:spacing w:val="-5"/>
                                      <w:sz w:val="18"/>
                                      <w:vertAlign w:val="superscript"/>
                                    </w:rPr>
                                    <w:t>(3)</w:t>
                                  </w:r>
                                </w:p>
                              </w:tc>
                              <w:tc>
                                <w:tcPr>
                                  <w:tcW w:w="1072" w:type="dxa"/>
                                  <w:shd w:val="clear" w:color="auto" w:fill="CCEDFF"/>
                                </w:tcPr>
                                <w:p>
                                  <w:pPr>
                                    <w:pStyle w:val="TableParagraph"/>
                                    <w:rPr>
                                      <w:sz w:val="18"/>
                                    </w:rPr>
                                  </w:pPr>
                                </w:p>
                              </w:tc>
                              <w:tc>
                                <w:tcPr>
                                  <w:tcW w:w="1069" w:type="dxa"/>
                                  <w:shd w:val="clear" w:color="auto" w:fill="CCEDFF"/>
                                </w:tcPr>
                                <w:p>
                                  <w:pPr>
                                    <w:pStyle w:val="TableParagraph"/>
                                    <w:rPr>
                                      <w:sz w:val="18"/>
                                    </w:rPr>
                                  </w:pPr>
                                </w:p>
                              </w:tc>
                              <w:tc>
                                <w:tcPr>
                                  <w:tcW w:w="1744" w:type="dxa"/>
                                  <w:gridSpan w:val="2"/>
                                  <w:shd w:val="clear" w:color="auto" w:fill="CCEDFF"/>
                                </w:tcPr>
                                <w:p>
                                  <w:pPr>
                                    <w:pStyle w:val="TableParagraph"/>
                                    <w:rPr>
                                      <w:sz w:val="18"/>
                                    </w:rPr>
                                  </w:pPr>
                                </w:p>
                              </w:tc>
                              <w:tc>
                                <w:tcPr>
                                  <w:tcW w:w="1751" w:type="dxa"/>
                                  <w:gridSpan w:val="2"/>
                                  <w:shd w:val="clear" w:color="auto" w:fill="CCEDFF"/>
                                </w:tcPr>
                                <w:p>
                                  <w:pPr>
                                    <w:pStyle w:val="TableParagraph"/>
                                    <w:rPr>
                                      <w:sz w:val="18"/>
                                    </w:rPr>
                                  </w:pPr>
                                </w:p>
                              </w:tc>
                            </w:tr>
                            <w:tr>
                              <w:trPr>
                                <w:trHeight w:val="257" w:hRule="atLeast"/>
                              </w:trPr>
                              <w:tc>
                                <w:tcPr>
                                  <w:tcW w:w="4625" w:type="dxa"/>
                                </w:tcPr>
                                <w:p>
                                  <w:pPr>
                                    <w:pStyle w:val="TableParagraph"/>
                                    <w:spacing w:before="13"/>
                                    <w:ind w:left="52"/>
                                    <w:rPr>
                                      <w:sz w:val="18"/>
                                    </w:rPr>
                                  </w:pPr>
                                  <w:r>
                                    <w:rPr>
                                      <w:sz w:val="18"/>
                                    </w:rPr>
                                    <w:t>Adjusted</w:t>
                                  </w:r>
                                  <w:r>
                                    <w:rPr>
                                      <w:spacing w:val="-2"/>
                                      <w:sz w:val="18"/>
                                    </w:rPr>
                                    <w:t> </w:t>
                                  </w:r>
                                  <w:r>
                                    <w:rPr>
                                      <w:sz w:val="18"/>
                                    </w:rPr>
                                    <w:t>total</w:t>
                                  </w:r>
                                  <w:r>
                                    <w:rPr>
                                      <w:spacing w:val="-1"/>
                                      <w:sz w:val="18"/>
                                    </w:rPr>
                                    <w:t> </w:t>
                                  </w:r>
                                  <w:r>
                                    <w:rPr>
                                      <w:sz w:val="18"/>
                                    </w:rPr>
                                    <w:t>expenses</w:t>
                                  </w:r>
                                  <w:r>
                                    <w:rPr>
                                      <w:spacing w:val="-2"/>
                                      <w:sz w:val="18"/>
                                    </w:rPr>
                                    <w:t> </w:t>
                                  </w:r>
                                  <w:r>
                                    <w:rPr>
                                      <w:spacing w:val="-5"/>
                                      <w:sz w:val="18"/>
                                      <w:vertAlign w:val="superscript"/>
                                    </w:rPr>
                                    <w:t>(4)</w:t>
                                  </w:r>
                                </w:p>
                              </w:tc>
                              <w:tc>
                                <w:tcPr>
                                  <w:tcW w:w="1072" w:type="dxa"/>
                                </w:tcPr>
                                <w:p>
                                  <w:pPr>
                                    <w:pStyle w:val="TableParagraph"/>
                                    <w:spacing w:before="13"/>
                                    <w:ind w:left="122"/>
                                    <w:rPr>
                                      <w:sz w:val="18"/>
                                    </w:rPr>
                                  </w:pPr>
                                  <w:r>
                                    <w:rPr>
                                      <w:sz w:val="18"/>
                                    </w:rPr>
                                    <w:t>$</w:t>
                                  </w:r>
                                  <w:r>
                                    <w:rPr>
                                      <w:spacing w:val="41"/>
                                      <w:sz w:val="18"/>
                                    </w:rPr>
                                    <w:t>  </w:t>
                                  </w:r>
                                  <w:r>
                                    <w:rPr>
                                      <w:spacing w:val="-2"/>
                                      <w:sz w:val="18"/>
                                    </w:rPr>
                                    <w:t>2,703</w:t>
                                  </w:r>
                                </w:p>
                              </w:tc>
                              <w:tc>
                                <w:tcPr>
                                  <w:tcW w:w="1069" w:type="dxa"/>
                                </w:tcPr>
                                <w:p>
                                  <w:pPr>
                                    <w:pStyle w:val="TableParagraph"/>
                                    <w:spacing w:before="13"/>
                                    <w:ind w:left="70"/>
                                    <w:rPr>
                                      <w:sz w:val="18"/>
                                    </w:rPr>
                                  </w:pPr>
                                  <w:r>
                                    <w:rPr>
                                      <w:sz w:val="18"/>
                                    </w:rPr>
                                    <w:t>$</w:t>
                                  </w:r>
                                  <w:r>
                                    <w:rPr>
                                      <w:spacing w:val="74"/>
                                      <w:w w:val="150"/>
                                      <w:sz w:val="18"/>
                                    </w:rPr>
                                    <w:t> </w:t>
                                  </w:r>
                                  <w:r>
                                    <w:rPr>
                                      <w:spacing w:val="-2"/>
                                      <w:sz w:val="18"/>
                                    </w:rPr>
                                    <w:t>2,570</w:t>
                                  </w:r>
                                </w:p>
                              </w:tc>
                              <w:tc>
                                <w:tcPr>
                                  <w:tcW w:w="1744" w:type="dxa"/>
                                  <w:gridSpan w:val="2"/>
                                </w:tcPr>
                                <w:p>
                                  <w:pPr>
                                    <w:pStyle w:val="TableParagraph"/>
                                    <w:spacing w:before="13"/>
                                    <w:ind w:left="786"/>
                                    <w:rPr>
                                      <w:sz w:val="18"/>
                                    </w:rPr>
                                  </w:pPr>
                                  <w:r>
                                    <w:rPr>
                                      <w:sz w:val="18"/>
                                    </w:rPr>
                                    <w:t>$</w:t>
                                  </w:r>
                                  <w:r>
                                    <w:rPr>
                                      <w:spacing w:val="48"/>
                                      <w:sz w:val="18"/>
                                    </w:rPr>
                                    <w:t>  </w:t>
                                  </w:r>
                                  <w:r>
                                    <w:rPr>
                                      <w:spacing w:val="-2"/>
                                      <w:sz w:val="18"/>
                                    </w:rPr>
                                    <w:t>8,177</w:t>
                                  </w:r>
                                </w:p>
                              </w:tc>
                              <w:tc>
                                <w:tcPr>
                                  <w:tcW w:w="1751" w:type="dxa"/>
                                  <w:gridSpan w:val="2"/>
                                </w:tcPr>
                                <w:p>
                                  <w:pPr>
                                    <w:pStyle w:val="TableParagraph"/>
                                    <w:spacing w:before="13"/>
                                    <w:ind w:left="62"/>
                                    <w:rPr>
                                      <w:sz w:val="18"/>
                                    </w:rPr>
                                  </w:pPr>
                                  <w:r>
                                    <w:rPr>
                                      <w:sz w:val="18"/>
                                    </w:rPr>
                                    <w:t>$</w:t>
                                  </w:r>
                                  <w:r>
                                    <w:rPr>
                                      <w:spacing w:val="74"/>
                                      <w:w w:val="150"/>
                                      <w:sz w:val="18"/>
                                    </w:rPr>
                                    <w:t> </w:t>
                                  </w:r>
                                  <w:r>
                                    <w:rPr>
                                      <w:spacing w:val="-2"/>
                                      <w:sz w:val="18"/>
                                    </w:rPr>
                                    <w:t>7,724</w:t>
                                  </w:r>
                                </w:p>
                              </w:tc>
                            </w:tr>
                            <w:tr>
                              <w:trPr>
                                <w:trHeight w:val="255" w:hRule="atLeast"/>
                              </w:trPr>
                              <w:tc>
                                <w:tcPr>
                                  <w:tcW w:w="4625" w:type="dxa"/>
                                  <w:shd w:val="clear" w:color="auto" w:fill="CCEDFF"/>
                                </w:tcPr>
                                <w:p>
                                  <w:pPr>
                                    <w:pStyle w:val="TableParagraph"/>
                                    <w:spacing w:before="13"/>
                                    <w:ind w:left="52"/>
                                    <w:rPr>
                                      <w:sz w:val="18"/>
                                    </w:rPr>
                                  </w:pPr>
                                  <w:r>
                                    <w:rPr>
                                      <w:sz w:val="18"/>
                                    </w:rPr>
                                    <w:t>Adjusted</w:t>
                                  </w:r>
                                  <w:r>
                                    <w:rPr>
                                      <w:spacing w:val="-1"/>
                                      <w:sz w:val="18"/>
                                    </w:rPr>
                                    <w:t> </w:t>
                                  </w:r>
                                  <w:r>
                                    <w:rPr>
                                      <w:sz w:val="18"/>
                                    </w:rPr>
                                    <w:t>diluted</w:t>
                                  </w:r>
                                  <w:r>
                                    <w:rPr>
                                      <w:spacing w:val="-1"/>
                                      <w:sz w:val="18"/>
                                    </w:rPr>
                                    <w:t> </w:t>
                                  </w:r>
                                  <w:r>
                                    <w:rPr>
                                      <w:spacing w:val="-5"/>
                                      <w:sz w:val="18"/>
                                    </w:rPr>
                                    <w:t>EPS</w:t>
                                  </w:r>
                                </w:p>
                              </w:tc>
                              <w:tc>
                                <w:tcPr>
                                  <w:tcW w:w="1072" w:type="dxa"/>
                                  <w:shd w:val="clear" w:color="auto" w:fill="CCEDFF"/>
                                </w:tcPr>
                                <w:p>
                                  <w:pPr>
                                    <w:pStyle w:val="TableParagraph"/>
                                    <w:tabs>
                                      <w:tab w:pos="565" w:val="left" w:leader="none"/>
                                    </w:tabs>
                                    <w:spacing w:before="13"/>
                                    <w:ind w:left="122"/>
                                    <w:rPr>
                                      <w:sz w:val="18"/>
                                    </w:rPr>
                                  </w:pPr>
                                  <w:r>
                                    <w:rPr>
                                      <w:spacing w:val="-10"/>
                                      <w:sz w:val="18"/>
                                    </w:rPr>
                                    <w:t>$</w:t>
                                  </w:r>
                                  <w:r>
                                    <w:rPr>
                                      <w:sz w:val="18"/>
                                    </w:rPr>
                                    <w:tab/>
                                  </w:r>
                                  <w:r>
                                    <w:rPr>
                                      <w:spacing w:val="-5"/>
                                      <w:sz w:val="18"/>
                                    </w:rPr>
                                    <w:t>.77</w:t>
                                  </w:r>
                                </w:p>
                              </w:tc>
                              <w:tc>
                                <w:tcPr>
                                  <w:tcW w:w="1069" w:type="dxa"/>
                                  <w:shd w:val="clear" w:color="auto" w:fill="CCEDFF"/>
                                </w:tcPr>
                                <w:p>
                                  <w:pPr>
                                    <w:pStyle w:val="TableParagraph"/>
                                    <w:tabs>
                                      <w:tab w:pos="393" w:val="left" w:leader="none"/>
                                    </w:tabs>
                                    <w:spacing w:before="13"/>
                                    <w:ind w:left="70"/>
                                    <w:rPr>
                                      <w:sz w:val="18"/>
                                    </w:rPr>
                                  </w:pPr>
                                  <w:r>
                                    <w:rPr>
                                      <w:spacing w:val="-10"/>
                                      <w:sz w:val="18"/>
                                    </w:rPr>
                                    <w:t>$</w:t>
                                  </w:r>
                                  <w:r>
                                    <w:rPr>
                                      <w:sz w:val="18"/>
                                    </w:rPr>
                                    <w:tab/>
                                  </w:r>
                                  <w:r>
                                    <w:rPr>
                                      <w:spacing w:val="-4"/>
                                      <w:sz w:val="18"/>
                                    </w:rPr>
                                    <w:t>1.10</w:t>
                                  </w:r>
                                </w:p>
                              </w:tc>
                              <w:tc>
                                <w:tcPr>
                                  <w:tcW w:w="1744" w:type="dxa"/>
                                  <w:gridSpan w:val="2"/>
                                  <w:shd w:val="clear" w:color="auto" w:fill="CCEDFF"/>
                                </w:tcPr>
                                <w:p>
                                  <w:pPr>
                                    <w:pStyle w:val="TableParagraph"/>
                                    <w:tabs>
                                      <w:tab w:pos="1154" w:val="left" w:leader="none"/>
                                    </w:tabs>
                                    <w:spacing w:before="13"/>
                                    <w:ind w:left="786"/>
                                    <w:rPr>
                                      <w:sz w:val="18"/>
                                    </w:rPr>
                                  </w:pPr>
                                  <w:r>
                                    <w:rPr>
                                      <w:spacing w:val="-10"/>
                                      <w:sz w:val="18"/>
                                    </w:rPr>
                                    <w:t>$</w:t>
                                  </w:r>
                                  <w:r>
                                    <w:rPr>
                                      <w:sz w:val="18"/>
                                    </w:rPr>
                                    <w:tab/>
                                  </w:r>
                                  <w:r>
                                    <w:rPr>
                                      <w:spacing w:val="-4"/>
                                      <w:sz w:val="18"/>
                                    </w:rPr>
                                    <w:t>2.45</w:t>
                                  </w:r>
                                </w:p>
                              </w:tc>
                              <w:tc>
                                <w:tcPr>
                                  <w:tcW w:w="1751" w:type="dxa"/>
                                  <w:gridSpan w:val="2"/>
                                  <w:shd w:val="clear" w:color="auto" w:fill="CCEDFF"/>
                                </w:tcPr>
                                <w:p>
                                  <w:pPr>
                                    <w:pStyle w:val="TableParagraph"/>
                                    <w:tabs>
                                      <w:tab w:pos="385" w:val="left" w:leader="none"/>
                                    </w:tabs>
                                    <w:spacing w:before="13"/>
                                    <w:ind w:left="62"/>
                                    <w:rPr>
                                      <w:sz w:val="18"/>
                                    </w:rPr>
                                  </w:pPr>
                                  <w:r>
                                    <w:rPr>
                                      <w:spacing w:val="-10"/>
                                      <w:sz w:val="18"/>
                                    </w:rPr>
                                    <w:t>$</w:t>
                                  </w:r>
                                  <w:r>
                                    <w:rPr>
                                      <w:sz w:val="18"/>
                                    </w:rPr>
                                    <w:tab/>
                                  </w:r>
                                  <w:r>
                                    <w:rPr>
                                      <w:spacing w:val="-4"/>
                                      <w:sz w:val="18"/>
                                    </w:rPr>
                                    <w:t>2.83</w:t>
                                  </w:r>
                                </w:p>
                              </w:tc>
                            </w:tr>
                            <w:tr>
                              <w:trPr>
                                <w:trHeight w:val="250" w:hRule="atLeast"/>
                              </w:trPr>
                              <w:tc>
                                <w:tcPr>
                                  <w:tcW w:w="4625" w:type="dxa"/>
                                  <w:tcBorders>
                                    <w:bottom w:val="single" w:sz="4" w:space="0" w:color="000000"/>
                                  </w:tcBorders>
                                </w:tcPr>
                                <w:p>
                                  <w:pPr>
                                    <w:pStyle w:val="TableParagraph"/>
                                    <w:spacing w:before="13"/>
                                    <w:ind w:left="52"/>
                                    <w:rPr>
                                      <w:sz w:val="18"/>
                                    </w:rPr>
                                  </w:pPr>
                                  <w:r>
                                    <w:rPr>
                                      <w:sz w:val="18"/>
                                    </w:rPr>
                                    <w:t>Return on tangible common </w:t>
                                  </w:r>
                                  <w:r>
                                    <w:rPr>
                                      <w:spacing w:val="-2"/>
                                      <w:sz w:val="18"/>
                                    </w:rPr>
                                    <w:t>equity</w:t>
                                  </w:r>
                                </w:p>
                              </w:tc>
                              <w:tc>
                                <w:tcPr>
                                  <w:tcW w:w="1072" w:type="dxa"/>
                                  <w:tcBorders>
                                    <w:bottom w:val="single" w:sz="4" w:space="0" w:color="000000"/>
                                  </w:tcBorders>
                                </w:tcPr>
                                <w:p>
                                  <w:pPr>
                                    <w:pStyle w:val="TableParagraph"/>
                                    <w:spacing w:before="13"/>
                                    <w:ind w:right="129"/>
                                    <w:jc w:val="right"/>
                                    <w:rPr>
                                      <w:sz w:val="18"/>
                                    </w:rPr>
                                  </w:pPr>
                                  <w:r>
                                    <w:rPr>
                                      <w:spacing w:val="-5"/>
                                      <w:sz w:val="18"/>
                                    </w:rPr>
                                    <w:t>58%</w:t>
                                  </w:r>
                                </w:p>
                              </w:tc>
                              <w:tc>
                                <w:tcPr>
                                  <w:tcW w:w="1069" w:type="dxa"/>
                                  <w:tcBorders>
                                    <w:bottom w:val="single" w:sz="4" w:space="0" w:color="000000"/>
                                  </w:tcBorders>
                                </w:tcPr>
                                <w:p>
                                  <w:pPr>
                                    <w:pStyle w:val="TableParagraph"/>
                                    <w:spacing w:before="13"/>
                                    <w:ind w:right="208"/>
                                    <w:jc w:val="right"/>
                                    <w:rPr>
                                      <w:sz w:val="18"/>
                                    </w:rPr>
                                  </w:pPr>
                                  <w:r>
                                    <w:rPr>
                                      <w:spacing w:val="-5"/>
                                      <w:sz w:val="18"/>
                                    </w:rPr>
                                    <w:t>74%</w:t>
                                  </w:r>
                                </w:p>
                              </w:tc>
                              <w:tc>
                                <w:tcPr>
                                  <w:tcW w:w="1744" w:type="dxa"/>
                                  <w:gridSpan w:val="2"/>
                                  <w:tcBorders>
                                    <w:bottom w:val="single" w:sz="4" w:space="0" w:color="000000"/>
                                  </w:tcBorders>
                                </w:tcPr>
                                <w:p>
                                  <w:pPr>
                                    <w:pStyle w:val="TableParagraph"/>
                                    <w:spacing w:before="13"/>
                                    <w:ind w:right="122"/>
                                    <w:jc w:val="right"/>
                                    <w:rPr>
                                      <w:sz w:val="18"/>
                                    </w:rPr>
                                  </w:pPr>
                                  <w:r>
                                    <w:rPr>
                                      <w:spacing w:val="-5"/>
                                      <w:sz w:val="18"/>
                                    </w:rPr>
                                    <w:t>66%</w:t>
                                  </w:r>
                                </w:p>
                              </w:tc>
                              <w:tc>
                                <w:tcPr>
                                  <w:tcW w:w="1751" w:type="dxa"/>
                                  <w:gridSpan w:val="2"/>
                                  <w:tcBorders>
                                    <w:bottom w:val="single" w:sz="4" w:space="0" w:color="000000"/>
                                  </w:tcBorders>
                                </w:tcPr>
                                <w:p>
                                  <w:pPr>
                                    <w:pStyle w:val="TableParagraph"/>
                                    <w:spacing w:before="13"/>
                                    <w:ind w:left="520"/>
                                    <w:rPr>
                                      <w:sz w:val="18"/>
                                    </w:rPr>
                                  </w:pPr>
                                  <w:r>
                                    <w:rPr>
                                      <w:spacing w:val="-5"/>
                                      <w:sz w:val="18"/>
                                    </w:rPr>
                                    <w:t>42%</w:t>
                                  </w:r>
                                </w:p>
                              </w:tc>
                            </w:tr>
                          </w:tbl>
                          <w:p>
                            <w:pPr>
                              <w:pStyle w:val="BodyText"/>
                            </w:pPr>
                          </w:p>
                        </w:txbxContent>
                      </wps:txbx>
                      <wps:bodyPr wrap="square" lIns="0" tIns="0" rIns="0" bIns="0" rtlCol="0">
                        <a:noAutofit/>
                      </wps:bodyPr>
                    </wps:wsp>
                  </a:graphicData>
                </a:graphic>
              </wp:anchor>
            </w:drawing>
          </mc:Choice>
          <mc:Fallback>
            <w:pict>
              <v:shape style="position:absolute;margin-left:46.5pt;margin-top:-286.388794pt;width:519pt;height:365.6pt;mso-position-horizontal-relative:page;mso-position-vertical-relative:paragraph;z-index:15730176" type="#_x0000_t202" id="docshape1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5"/>
                        <w:gridCol w:w="1072"/>
                        <w:gridCol w:w="1069"/>
                        <w:gridCol w:w="724"/>
                        <w:gridCol w:w="1020"/>
                        <w:gridCol w:w="1069"/>
                        <w:gridCol w:w="682"/>
                      </w:tblGrid>
                      <w:tr>
                        <w:trPr>
                          <w:trHeight w:val="247" w:hRule="atLeast"/>
                        </w:trPr>
                        <w:tc>
                          <w:tcPr>
                            <w:tcW w:w="4625" w:type="dxa"/>
                            <w:tcBorders>
                              <w:top w:val="single" w:sz="4" w:space="0" w:color="000000"/>
                            </w:tcBorders>
                          </w:tcPr>
                          <w:p>
                            <w:pPr>
                              <w:pStyle w:val="TableParagraph"/>
                              <w:spacing w:before="13"/>
                              <w:ind w:left="52"/>
                              <w:rPr>
                                <w:b/>
                                <w:sz w:val="18"/>
                              </w:rPr>
                            </w:pPr>
                            <w:r>
                              <w:rPr>
                                <w:b/>
                                <w:sz w:val="18"/>
                              </w:rPr>
                              <w:t>Client</w:t>
                            </w:r>
                            <w:r>
                              <w:rPr>
                                <w:b/>
                                <w:spacing w:val="-2"/>
                                <w:sz w:val="18"/>
                              </w:rPr>
                              <w:t> Metrics</w:t>
                            </w:r>
                          </w:p>
                        </w:tc>
                        <w:tc>
                          <w:tcPr>
                            <w:tcW w:w="5636" w:type="dxa"/>
                            <w:gridSpan w:val="6"/>
                            <w:tcBorders>
                              <w:top w:val="single" w:sz="4" w:space="0" w:color="000000"/>
                            </w:tcBorders>
                          </w:tcPr>
                          <w:p>
                            <w:pPr>
                              <w:pStyle w:val="TableParagraph"/>
                              <w:rPr>
                                <w:sz w:val="18"/>
                              </w:rPr>
                            </w:pPr>
                          </w:p>
                        </w:tc>
                      </w:tr>
                      <w:tr>
                        <w:trPr>
                          <w:trHeight w:val="257" w:hRule="atLeast"/>
                        </w:trPr>
                        <w:tc>
                          <w:tcPr>
                            <w:tcW w:w="4625" w:type="dxa"/>
                            <w:shd w:val="clear" w:color="auto" w:fill="CCEDFF"/>
                          </w:tcPr>
                          <w:p>
                            <w:pPr>
                              <w:pStyle w:val="TableParagraph"/>
                              <w:spacing w:before="13"/>
                              <w:ind w:left="52"/>
                              <w:rPr>
                                <w:sz w:val="18"/>
                              </w:rPr>
                            </w:pPr>
                            <w:r>
                              <w:rPr>
                                <w:sz w:val="18"/>
                              </w:rPr>
                              <w:t>Net</w:t>
                            </w:r>
                            <w:r>
                              <w:rPr>
                                <w:spacing w:val="-1"/>
                                <w:sz w:val="18"/>
                              </w:rPr>
                              <w:t> </w:t>
                            </w:r>
                            <w:r>
                              <w:rPr>
                                <w:sz w:val="18"/>
                              </w:rPr>
                              <w:t>new</w:t>
                            </w:r>
                            <w:r>
                              <w:rPr>
                                <w:spacing w:val="-2"/>
                                <w:sz w:val="18"/>
                              </w:rPr>
                              <w:t> </w:t>
                            </w:r>
                            <w:r>
                              <w:rPr>
                                <w:sz w:val="18"/>
                              </w:rPr>
                              <w:t>client</w:t>
                            </w:r>
                            <w:r>
                              <w:rPr>
                                <w:spacing w:val="-1"/>
                                <w:sz w:val="18"/>
                              </w:rPr>
                              <w:t> </w:t>
                            </w:r>
                            <w:r>
                              <w:rPr>
                                <w:sz w:val="18"/>
                              </w:rPr>
                              <w:t>assets</w:t>
                            </w:r>
                            <w:r>
                              <w:rPr>
                                <w:spacing w:val="-1"/>
                                <w:sz w:val="18"/>
                              </w:rPr>
                              <w:t> </w:t>
                            </w:r>
                            <w:r>
                              <w:rPr>
                                <w:sz w:val="18"/>
                              </w:rPr>
                              <w:t>(in</w:t>
                            </w:r>
                            <w:r>
                              <w:rPr>
                                <w:spacing w:val="-1"/>
                                <w:sz w:val="18"/>
                              </w:rPr>
                              <w:t> </w:t>
                            </w:r>
                            <w:r>
                              <w:rPr>
                                <w:sz w:val="18"/>
                              </w:rPr>
                              <w:t>billions)</w:t>
                            </w:r>
                            <w:r>
                              <w:rPr>
                                <w:spacing w:val="-2"/>
                                <w:sz w:val="18"/>
                              </w:rPr>
                              <w:t> </w:t>
                            </w:r>
                            <w:r>
                              <w:rPr>
                                <w:spacing w:val="-5"/>
                                <w:sz w:val="18"/>
                                <w:vertAlign w:val="superscript"/>
                              </w:rPr>
                              <w:t>(1)</w:t>
                            </w:r>
                          </w:p>
                        </w:tc>
                        <w:tc>
                          <w:tcPr>
                            <w:tcW w:w="1072" w:type="dxa"/>
                            <w:shd w:val="clear" w:color="auto" w:fill="CCEDFF"/>
                          </w:tcPr>
                          <w:p>
                            <w:pPr>
                              <w:pStyle w:val="TableParagraph"/>
                              <w:tabs>
                                <w:tab w:pos="475" w:val="left" w:leader="none"/>
                              </w:tabs>
                              <w:spacing w:before="13"/>
                              <w:ind w:left="122"/>
                              <w:rPr>
                                <w:sz w:val="18"/>
                              </w:rPr>
                            </w:pPr>
                            <w:r>
                              <w:rPr>
                                <w:spacing w:val="-10"/>
                                <w:sz w:val="18"/>
                              </w:rPr>
                              <w:t>$</w:t>
                            </w:r>
                            <w:r>
                              <w:rPr>
                                <w:sz w:val="18"/>
                              </w:rPr>
                              <w:tab/>
                            </w:r>
                            <w:r>
                              <w:rPr>
                                <w:spacing w:val="-4"/>
                                <w:sz w:val="18"/>
                              </w:rPr>
                              <w:t>48.2</w:t>
                            </w:r>
                          </w:p>
                        </w:tc>
                        <w:tc>
                          <w:tcPr>
                            <w:tcW w:w="1069" w:type="dxa"/>
                            <w:shd w:val="clear" w:color="auto" w:fill="CCEDFF"/>
                          </w:tcPr>
                          <w:p>
                            <w:pPr>
                              <w:pStyle w:val="TableParagraph"/>
                              <w:spacing w:before="13"/>
                              <w:ind w:left="70"/>
                              <w:rPr>
                                <w:sz w:val="18"/>
                              </w:rPr>
                            </w:pPr>
                            <w:r>
                              <w:rPr>
                                <w:sz w:val="18"/>
                              </w:rPr>
                              <w:t>$</w:t>
                            </w:r>
                            <w:r>
                              <w:rPr>
                                <w:spacing w:val="74"/>
                                <w:w w:val="150"/>
                                <w:sz w:val="18"/>
                              </w:rPr>
                              <w:t> </w:t>
                            </w:r>
                            <w:r>
                              <w:rPr>
                                <w:spacing w:val="-2"/>
                                <w:sz w:val="18"/>
                              </w:rPr>
                              <w:t>114.6</w:t>
                            </w:r>
                          </w:p>
                        </w:tc>
                        <w:tc>
                          <w:tcPr>
                            <w:tcW w:w="724" w:type="dxa"/>
                            <w:shd w:val="clear" w:color="auto" w:fill="CCEDFF"/>
                          </w:tcPr>
                          <w:p>
                            <w:pPr>
                              <w:pStyle w:val="TableParagraph"/>
                              <w:spacing w:before="13"/>
                              <w:ind w:left="209"/>
                              <w:rPr>
                                <w:sz w:val="18"/>
                              </w:rPr>
                            </w:pPr>
                            <w:r>
                              <w:rPr>
                                <w:spacing w:val="-2"/>
                                <w:sz w:val="18"/>
                              </w:rPr>
                              <w:t>(58)%</w:t>
                            </w:r>
                          </w:p>
                        </w:tc>
                        <w:tc>
                          <w:tcPr>
                            <w:tcW w:w="1020" w:type="dxa"/>
                            <w:shd w:val="clear" w:color="auto" w:fill="CCEDFF"/>
                          </w:tcPr>
                          <w:p>
                            <w:pPr>
                              <w:pStyle w:val="TableParagraph"/>
                              <w:spacing w:before="13"/>
                              <w:ind w:left="62"/>
                              <w:rPr>
                                <w:sz w:val="18"/>
                              </w:rPr>
                            </w:pPr>
                            <w:r>
                              <w:rPr>
                                <w:sz w:val="18"/>
                              </w:rPr>
                              <w:t>$</w:t>
                            </w:r>
                            <w:r>
                              <w:rPr>
                                <w:spacing w:val="48"/>
                                <w:sz w:val="18"/>
                              </w:rPr>
                              <w:t>  </w:t>
                            </w:r>
                            <w:r>
                              <w:rPr>
                                <w:spacing w:val="-2"/>
                                <w:sz w:val="18"/>
                              </w:rPr>
                              <w:t>270.9</w:t>
                            </w:r>
                          </w:p>
                        </w:tc>
                        <w:tc>
                          <w:tcPr>
                            <w:tcW w:w="1069" w:type="dxa"/>
                            <w:shd w:val="clear" w:color="auto" w:fill="CCEDFF"/>
                          </w:tcPr>
                          <w:p>
                            <w:pPr>
                              <w:pStyle w:val="TableParagraph"/>
                              <w:spacing w:before="13"/>
                              <w:ind w:left="62"/>
                              <w:rPr>
                                <w:sz w:val="18"/>
                              </w:rPr>
                            </w:pPr>
                            <w:r>
                              <w:rPr>
                                <w:sz w:val="18"/>
                              </w:rPr>
                              <w:t>$</w:t>
                            </w:r>
                            <w:r>
                              <w:rPr>
                                <w:spacing w:val="74"/>
                                <w:w w:val="150"/>
                                <w:sz w:val="18"/>
                              </w:rPr>
                              <w:t> </w:t>
                            </w:r>
                            <w:r>
                              <w:rPr>
                                <w:spacing w:val="-2"/>
                                <w:sz w:val="18"/>
                              </w:rPr>
                              <w:t>278.5</w:t>
                            </w:r>
                          </w:p>
                        </w:tc>
                        <w:tc>
                          <w:tcPr>
                            <w:tcW w:w="682" w:type="dxa"/>
                            <w:shd w:val="clear" w:color="auto" w:fill="CCEDFF"/>
                          </w:tcPr>
                          <w:p>
                            <w:pPr>
                              <w:pStyle w:val="TableParagraph"/>
                              <w:spacing w:before="13"/>
                              <w:ind w:right="13"/>
                              <w:jc w:val="right"/>
                              <w:rPr>
                                <w:sz w:val="18"/>
                              </w:rPr>
                            </w:pPr>
                            <w:r>
                              <w:rPr>
                                <w:spacing w:val="-4"/>
                                <w:sz w:val="18"/>
                              </w:rPr>
                              <w:t>(3)%</w:t>
                            </w:r>
                          </w:p>
                        </w:tc>
                      </w:tr>
                      <w:tr>
                        <w:trPr>
                          <w:trHeight w:val="255" w:hRule="atLeast"/>
                        </w:trPr>
                        <w:tc>
                          <w:tcPr>
                            <w:tcW w:w="4625" w:type="dxa"/>
                          </w:tcPr>
                          <w:p>
                            <w:pPr>
                              <w:pStyle w:val="TableParagraph"/>
                              <w:spacing w:before="13"/>
                              <w:ind w:left="52"/>
                              <w:rPr>
                                <w:sz w:val="18"/>
                              </w:rPr>
                            </w:pPr>
                            <w:r>
                              <w:rPr>
                                <w:sz w:val="18"/>
                              </w:rPr>
                              <w:t>Core</w:t>
                            </w:r>
                            <w:r>
                              <w:rPr>
                                <w:spacing w:val="-1"/>
                                <w:sz w:val="18"/>
                              </w:rPr>
                              <w:t> </w:t>
                            </w:r>
                            <w:r>
                              <w:rPr>
                                <w:sz w:val="18"/>
                              </w:rPr>
                              <w:t>net new</w:t>
                            </w:r>
                            <w:r>
                              <w:rPr>
                                <w:spacing w:val="-1"/>
                                <w:sz w:val="18"/>
                              </w:rPr>
                              <w:t> </w:t>
                            </w:r>
                            <w:r>
                              <w:rPr>
                                <w:sz w:val="18"/>
                              </w:rPr>
                              <w:t>client</w:t>
                            </w:r>
                            <w:r>
                              <w:rPr>
                                <w:spacing w:val="-1"/>
                                <w:sz w:val="18"/>
                              </w:rPr>
                              <w:t> </w:t>
                            </w:r>
                            <w:r>
                              <w:rPr>
                                <w:sz w:val="18"/>
                              </w:rPr>
                              <w:t>assets</w:t>
                            </w:r>
                            <w:r>
                              <w:rPr>
                                <w:spacing w:val="-1"/>
                                <w:sz w:val="18"/>
                              </w:rPr>
                              <w:t> </w:t>
                            </w:r>
                            <w:r>
                              <w:rPr>
                                <w:sz w:val="18"/>
                              </w:rPr>
                              <w:t>(in </w:t>
                            </w:r>
                            <w:r>
                              <w:rPr>
                                <w:spacing w:val="-2"/>
                                <w:sz w:val="18"/>
                              </w:rPr>
                              <w:t>billions)</w:t>
                            </w:r>
                          </w:p>
                        </w:tc>
                        <w:tc>
                          <w:tcPr>
                            <w:tcW w:w="1072" w:type="dxa"/>
                          </w:tcPr>
                          <w:p>
                            <w:pPr>
                              <w:pStyle w:val="TableParagraph"/>
                              <w:tabs>
                                <w:tab w:pos="475" w:val="left" w:leader="none"/>
                              </w:tabs>
                              <w:spacing w:before="13"/>
                              <w:ind w:left="122"/>
                              <w:rPr>
                                <w:sz w:val="18"/>
                              </w:rPr>
                            </w:pPr>
                            <w:r>
                              <w:rPr>
                                <w:spacing w:val="-10"/>
                                <w:sz w:val="18"/>
                              </w:rPr>
                              <w:t>$</w:t>
                            </w:r>
                            <w:r>
                              <w:rPr>
                                <w:sz w:val="18"/>
                              </w:rPr>
                              <w:tab/>
                            </w:r>
                            <w:r>
                              <w:rPr>
                                <w:spacing w:val="-4"/>
                                <w:sz w:val="18"/>
                              </w:rPr>
                              <w:t>45.7</w:t>
                            </w:r>
                          </w:p>
                        </w:tc>
                        <w:tc>
                          <w:tcPr>
                            <w:tcW w:w="1069" w:type="dxa"/>
                          </w:tcPr>
                          <w:p>
                            <w:pPr>
                              <w:pStyle w:val="TableParagraph"/>
                              <w:spacing w:before="13"/>
                              <w:ind w:left="70"/>
                              <w:rPr>
                                <w:sz w:val="18"/>
                              </w:rPr>
                            </w:pPr>
                            <w:r>
                              <w:rPr>
                                <w:sz w:val="18"/>
                              </w:rPr>
                              <w:t>$</w:t>
                            </w:r>
                            <w:r>
                              <w:rPr>
                                <w:spacing w:val="74"/>
                                <w:w w:val="150"/>
                                <w:sz w:val="18"/>
                              </w:rPr>
                              <w:t> </w:t>
                            </w:r>
                            <w:r>
                              <w:rPr>
                                <w:spacing w:val="-2"/>
                                <w:sz w:val="18"/>
                              </w:rPr>
                              <w:t>114.6</w:t>
                            </w:r>
                          </w:p>
                        </w:tc>
                        <w:tc>
                          <w:tcPr>
                            <w:tcW w:w="724" w:type="dxa"/>
                          </w:tcPr>
                          <w:p>
                            <w:pPr>
                              <w:pStyle w:val="TableParagraph"/>
                              <w:spacing w:before="13"/>
                              <w:ind w:left="209"/>
                              <w:rPr>
                                <w:sz w:val="18"/>
                              </w:rPr>
                            </w:pPr>
                            <w:r>
                              <w:rPr>
                                <w:spacing w:val="-2"/>
                                <w:sz w:val="18"/>
                              </w:rPr>
                              <w:t>(60)%</w:t>
                            </w:r>
                          </w:p>
                        </w:tc>
                        <w:tc>
                          <w:tcPr>
                            <w:tcW w:w="1020" w:type="dxa"/>
                          </w:tcPr>
                          <w:p>
                            <w:pPr>
                              <w:pStyle w:val="TableParagraph"/>
                              <w:spacing w:before="13"/>
                              <w:ind w:left="62"/>
                              <w:rPr>
                                <w:sz w:val="18"/>
                              </w:rPr>
                            </w:pPr>
                            <w:r>
                              <w:rPr>
                                <w:sz w:val="18"/>
                              </w:rPr>
                              <w:t>$</w:t>
                            </w:r>
                            <w:r>
                              <w:rPr>
                                <w:spacing w:val="48"/>
                                <w:sz w:val="18"/>
                              </w:rPr>
                              <w:t>  </w:t>
                            </w:r>
                            <w:r>
                              <w:rPr>
                                <w:spacing w:val="-2"/>
                                <w:sz w:val="18"/>
                              </w:rPr>
                              <w:t>229.6</w:t>
                            </w:r>
                          </w:p>
                        </w:tc>
                        <w:tc>
                          <w:tcPr>
                            <w:tcW w:w="1069" w:type="dxa"/>
                          </w:tcPr>
                          <w:p>
                            <w:pPr>
                              <w:pStyle w:val="TableParagraph"/>
                              <w:spacing w:before="13"/>
                              <w:ind w:left="62"/>
                              <w:rPr>
                                <w:sz w:val="18"/>
                              </w:rPr>
                            </w:pPr>
                            <w:r>
                              <w:rPr>
                                <w:sz w:val="18"/>
                              </w:rPr>
                              <w:t>$</w:t>
                            </w:r>
                            <w:r>
                              <w:rPr>
                                <w:spacing w:val="74"/>
                                <w:w w:val="150"/>
                                <w:sz w:val="18"/>
                              </w:rPr>
                              <w:t> </w:t>
                            </w:r>
                            <w:r>
                              <w:rPr>
                                <w:spacing w:val="-2"/>
                                <w:sz w:val="18"/>
                              </w:rPr>
                              <w:t>299.3</w:t>
                            </w:r>
                          </w:p>
                        </w:tc>
                        <w:tc>
                          <w:tcPr>
                            <w:tcW w:w="682" w:type="dxa"/>
                          </w:tcPr>
                          <w:p>
                            <w:pPr>
                              <w:pStyle w:val="TableParagraph"/>
                              <w:spacing w:before="13"/>
                              <w:ind w:right="13"/>
                              <w:jc w:val="right"/>
                              <w:rPr>
                                <w:sz w:val="18"/>
                              </w:rPr>
                            </w:pPr>
                            <w:r>
                              <w:rPr>
                                <w:spacing w:val="-2"/>
                                <w:sz w:val="18"/>
                              </w:rPr>
                              <w:t>(23)%</w:t>
                            </w:r>
                          </w:p>
                        </w:tc>
                      </w:tr>
                      <w:tr>
                        <w:trPr>
                          <w:trHeight w:val="255" w:hRule="atLeast"/>
                        </w:trPr>
                        <w:tc>
                          <w:tcPr>
                            <w:tcW w:w="4625" w:type="dxa"/>
                            <w:shd w:val="clear" w:color="auto" w:fill="CCEDFF"/>
                          </w:tcPr>
                          <w:p>
                            <w:pPr>
                              <w:pStyle w:val="TableParagraph"/>
                              <w:spacing w:before="13"/>
                              <w:ind w:left="52"/>
                              <w:rPr>
                                <w:sz w:val="18"/>
                              </w:rPr>
                            </w:pPr>
                            <w:r>
                              <w:rPr>
                                <w:sz w:val="18"/>
                              </w:rPr>
                              <w:t>Client</w:t>
                            </w:r>
                            <w:r>
                              <w:rPr>
                                <w:spacing w:val="-1"/>
                                <w:sz w:val="18"/>
                              </w:rPr>
                              <w:t> </w:t>
                            </w:r>
                            <w:r>
                              <w:rPr>
                                <w:sz w:val="18"/>
                              </w:rPr>
                              <w:t>assets</w:t>
                            </w:r>
                            <w:r>
                              <w:rPr>
                                <w:spacing w:val="-1"/>
                                <w:sz w:val="18"/>
                              </w:rPr>
                              <w:t> </w:t>
                            </w:r>
                            <w:r>
                              <w:rPr>
                                <w:sz w:val="18"/>
                              </w:rPr>
                              <w:t>(in</w:t>
                            </w:r>
                            <w:r>
                              <w:rPr>
                                <w:spacing w:val="-1"/>
                                <w:sz w:val="18"/>
                              </w:rPr>
                              <w:t> </w:t>
                            </w:r>
                            <w:r>
                              <w:rPr>
                                <w:sz w:val="18"/>
                              </w:rPr>
                              <w:t>billions, at</w:t>
                            </w:r>
                            <w:r>
                              <w:rPr>
                                <w:spacing w:val="-1"/>
                                <w:sz w:val="18"/>
                              </w:rPr>
                              <w:t> </w:t>
                            </w:r>
                            <w:r>
                              <w:rPr>
                                <w:sz w:val="18"/>
                              </w:rPr>
                              <w:t>quarter </w:t>
                            </w:r>
                            <w:r>
                              <w:rPr>
                                <w:spacing w:val="-4"/>
                                <w:sz w:val="18"/>
                              </w:rPr>
                              <w:t>end)</w:t>
                            </w:r>
                          </w:p>
                        </w:tc>
                        <w:tc>
                          <w:tcPr>
                            <w:tcW w:w="1072" w:type="dxa"/>
                            <w:shd w:val="clear" w:color="auto" w:fill="CCEDFF"/>
                          </w:tcPr>
                          <w:p>
                            <w:pPr>
                              <w:pStyle w:val="TableParagraph"/>
                              <w:spacing w:before="13"/>
                              <w:ind w:left="122"/>
                              <w:rPr>
                                <w:sz w:val="18"/>
                              </w:rPr>
                            </w:pPr>
                            <w:r>
                              <w:rPr>
                                <w:sz w:val="18"/>
                              </w:rPr>
                              <w:t>$</w:t>
                            </w:r>
                            <w:r>
                              <w:rPr>
                                <w:spacing w:val="-8"/>
                                <w:sz w:val="18"/>
                              </w:rPr>
                              <w:t> </w:t>
                            </w:r>
                            <w:r>
                              <w:rPr>
                                <w:spacing w:val="-2"/>
                                <w:sz w:val="18"/>
                              </w:rPr>
                              <w:t>7,824.5</w:t>
                            </w:r>
                          </w:p>
                        </w:tc>
                        <w:tc>
                          <w:tcPr>
                            <w:tcW w:w="1069" w:type="dxa"/>
                            <w:shd w:val="clear" w:color="auto" w:fill="CCEDFF"/>
                          </w:tcPr>
                          <w:p>
                            <w:pPr>
                              <w:pStyle w:val="TableParagraph"/>
                              <w:spacing w:before="13"/>
                              <w:ind w:left="70"/>
                              <w:rPr>
                                <w:sz w:val="18"/>
                              </w:rPr>
                            </w:pPr>
                            <w:r>
                              <w:rPr>
                                <w:spacing w:val="-2"/>
                                <w:sz w:val="18"/>
                              </w:rPr>
                              <w:t>$6,644.2</w:t>
                            </w:r>
                          </w:p>
                        </w:tc>
                        <w:tc>
                          <w:tcPr>
                            <w:tcW w:w="724" w:type="dxa"/>
                            <w:shd w:val="clear" w:color="auto" w:fill="CCEDFF"/>
                          </w:tcPr>
                          <w:p>
                            <w:pPr>
                              <w:pStyle w:val="TableParagraph"/>
                              <w:spacing w:before="13"/>
                              <w:ind w:left="269"/>
                              <w:rPr>
                                <w:sz w:val="18"/>
                              </w:rPr>
                            </w:pPr>
                            <w:r>
                              <w:rPr>
                                <w:spacing w:val="-5"/>
                                <w:sz w:val="18"/>
                              </w:rPr>
                              <w:t>18%</w:t>
                            </w:r>
                          </w:p>
                        </w:tc>
                        <w:tc>
                          <w:tcPr>
                            <w:tcW w:w="1020" w:type="dxa"/>
                            <w:shd w:val="clear" w:color="auto" w:fill="CCEDFF"/>
                          </w:tcPr>
                          <w:p>
                            <w:pPr>
                              <w:pStyle w:val="TableParagraph"/>
                              <w:rPr>
                                <w:sz w:val="18"/>
                              </w:rPr>
                            </w:pPr>
                          </w:p>
                        </w:tc>
                        <w:tc>
                          <w:tcPr>
                            <w:tcW w:w="1069" w:type="dxa"/>
                            <w:shd w:val="clear" w:color="auto" w:fill="CCEDFF"/>
                          </w:tcPr>
                          <w:p>
                            <w:pPr>
                              <w:pStyle w:val="TableParagraph"/>
                              <w:rPr>
                                <w:sz w:val="18"/>
                              </w:rPr>
                            </w:pPr>
                          </w:p>
                        </w:tc>
                        <w:tc>
                          <w:tcPr>
                            <w:tcW w:w="682" w:type="dxa"/>
                            <w:shd w:val="clear" w:color="auto" w:fill="CCEDFF"/>
                          </w:tcPr>
                          <w:p>
                            <w:pPr>
                              <w:pStyle w:val="TableParagraph"/>
                              <w:rPr>
                                <w:sz w:val="18"/>
                              </w:rPr>
                            </w:pPr>
                          </w:p>
                        </w:tc>
                      </w:tr>
                      <w:tr>
                        <w:trPr>
                          <w:trHeight w:val="255" w:hRule="atLeast"/>
                        </w:trPr>
                        <w:tc>
                          <w:tcPr>
                            <w:tcW w:w="4625" w:type="dxa"/>
                          </w:tcPr>
                          <w:p>
                            <w:pPr>
                              <w:pStyle w:val="TableParagraph"/>
                              <w:spacing w:before="13"/>
                              <w:ind w:left="52"/>
                              <w:rPr>
                                <w:sz w:val="18"/>
                              </w:rPr>
                            </w:pPr>
                            <w:r>
                              <w:rPr>
                                <w:sz w:val="18"/>
                              </w:rPr>
                              <w:t>Average</w:t>
                            </w:r>
                            <w:r>
                              <w:rPr>
                                <w:spacing w:val="-1"/>
                                <w:sz w:val="18"/>
                              </w:rPr>
                              <w:t> </w:t>
                            </w:r>
                            <w:r>
                              <w:rPr>
                                <w:sz w:val="18"/>
                              </w:rPr>
                              <w:t>client</w:t>
                            </w:r>
                            <w:r>
                              <w:rPr>
                                <w:spacing w:val="-1"/>
                                <w:sz w:val="18"/>
                              </w:rPr>
                              <w:t> </w:t>
                            </w:r>
                            <w:r>
                              <w:rPr>
                                <w:sz w:val="18"/>
                              </w:rPr>
                              <w:t>assets</w:t>
                            </w:r>
                            <w:r>
                              <w:rPr>
                                <w:spacing w:val="-2"/>
                                <w:sz w:val="18"/>
                              </w:rPr>
                              <w:t> </w:t>
                            </w:r>
                            <w:r>
                              <w:rPr>
                                <w:sz w:val="18"/>
                              </w:rPr>
                              <w:t>(in </w:t>
                            </w:r>
                            <w:r>
                              <w:rPr>
                                <w:spacing w:val="-2"/>
                                <w:sz w:val="18"/>
                              </w:rPr>
                              <w:t>billions)</w:t>
                            </w:r>
                          </w:p>
                        </w:tc>
                        <w:tc>
                          <w:tcPr>
                            <w:tcW w:w="1072" w:type="dxa"/>
                          </w:tcPr>
                          <w:p>
                            <w:pPr>
                              <w:pStyle w:val="TableParagraph"/>
                              <w:spacing w:before="13"/>
                              <w:ind w:left="122"/>
                              <w:rPr>
                                <w:sz w:val="18"/>
                              </w:rPr>
                            </w:pPr>
                            <w:r>
                              <w:rPr>
                                <w:sz w:val="18"/>
                              </w:rPr>
                              <w:t>$</w:t>
                            </w:r>
                            <w:r>
                              <w:rPr>
                                <w:spacing w:val="-8"/>
                                <w:sz w:val="18"/>
                              </w:rPr>
                              <w:t> </w:t>
                            </w:r>
                            <w:r>
                              <w:rPr>
                                <w:spacing w:val="-2"/>
                                <w:sz w:val="18"/>
                              </w:rPr>
                              <w:t>8,032.4</w:t>
                            </w:r>
                          </w:p>
                        </w:tc>
                        <w:tc>
                          <w:tcPr>
                            <w:tcW w:w="1069" w:type="dxa"/>
                          </w:tcPr>
                          <w:p>
                            <w:pPr>
                              <w:pStyle w:val="TableParagraph"/>
                              <w:spacing w:before="13"/>
                              <w:ind w:left="70"/>
                              <w:rPr>
                                <w:sz w:val="18"/>
                              </w:rPr>
                            </w:pPr>
                            <w:r>
                              <w:rPr>
                                <w:spacing w:val="-2"/>
                                <w:sz w:val="18"/>
                              </w:rPr>
                              <w:t>$7,125.9</w:t>
                            </w:r>
                          </w:p>
                        </w:tc>
                        <w:tc>
                          <w:tcPr>
                            <w:tcW w:w="724" w:type="dxa"/>
                          </w:tcPr>
                          <w:p>
                            <w:pPr>
                              <w:pStyle w:val="TableParagraph"/>
                              <w:spacing w:before="13"/>
                              <w:ind w:left="269"/>
                              <w:rPr>
                                <w:sz w:val="18"/>
                              </w:rPr>
                            </w:pPr>
                            <w:r>
                              <w:rPr>
                                <w:spacing w:val="-5"/>
                                <w:sz w:val="18"/>
                              </w:rPr>
                              <w:t>13%</w:t>
                            </w:r>
                          </w:p>
                        </w:tc>
                        <w:tc>
                          <w:tcPr>
                            <w:tcW w:w="1020" w:type="dxa"/>
                          </w:tcPr>
                          <w:p>
                            <w:pPr>
                              <w:pStyle w:val="TableParagraph"/>
                              <w:spacing w:before="13"/>
                              <w:ind w:left="62"/>
                              <w:rPr>
                                <w:sz w:val="18"/>
                              </w:rPr>
                            </w:pPr>
                            <w:r>
                              <w:rPr>
                                <w:sz w:val="18"/>
                              </w:rPr>
                              <w:t>$</w:t>
                            </w:r>
                            <w:r>
                              <w:rPr>
                                <w:spacing w:val="5"/>
                                <w:sz w:val="18"/>
                              </w:rPr>
                              <w:t> </w:t>
                            </w:r>
                            <w:r>
                              <w:rPr>
                                <w:spacing w:val="-2"/>
                                <w:sz w:val="18"/>
                              </w:rPr>
                              <w:t>7,705.4</w:t>
                            </w:r>
                          </w:p>
                        </w:tc>
                        <w:tc>
                          <w:tcPr>
                            <w:tcW w:w="1069" w:type="dxa"/>
                          </w:tcPr>
                          <w:p>
                            <w:pPr>
                              <w:pStyle w:val="TableParagraph"/>
                              <w:spacing w:before="13"/>
                              <w:ind w:left="62"/>
                              <w:rPr>
                                <w:sz w:val="18"/>
                              </w:rPr>
                            </w:pPr>
                            <w:r>
                              <w:rPr>
                                <w:spacing w:val="-2"/>
                                <w:sz w:val="18"/>
                              </w:rPr>
                              <w:t>$7,385.0</w:t>
                            </w:r>
                          </w:p>
                        </w:tc>
                        <w:tc>
                          <w:tcPr>
                            <w:tcW w:w="682" w:type="dxa"/>
                          </w:tcPr>
                          <w:p>
                            <w:pPr>
                              <w:pStyle w:val="TableParagraph"/>
                              <w:spacing w:before="13"/>
                              <w:ind w:right="73"/>
                              <w:jc w:val="right"/>
                              <w:rPr>
                                <w:sz w:val="18"/>
                              </w:rPr>
                            </w:pPr>
                            <w:r>
                              <w:rPr>
                                <w:spacing w:val="-5"/>
                                <w:sz w:val="18"/>
                              </w:rPr>
                              <w:t>4%</w:t>
                            </w:r>
                          </w:p>
                        </w:tc>
                      </w:tr>
                      <w:tr>
                        <w:trPr>
                          <w:trHeight w:val="255" w:hRule="atLeast"/>
                        </w:trPr>
                        <w:tc>
                          <w:tcPr>
                            <w:tcW w:w="4625" w:type="dxa"/>
                            <w:shd w:val="clear" w:color="auto" w:fill="CCEDFF"/>
                          </w:tcPr>
                          <w:p>
                            <w:pPr>
                              <w:pStyle w:val="TableParagraph"/>
                              <w:spacing w:before="13"/>
                              <w:ind w:left="52"/>
                              <w:rPr>
                                <w:sz w:val="18"/>
                              </w:rPr>
                            </w:pPr>
                            <w:r>
                              <w:rPr>
                                <w:sz w:val="18"/>
                              </w:rPr>
                              <w:t>New</w:t>
                            </w:r>
                            <w:r>
                              <w:rPr>
                                <w:spacing w:val="-2"/>
                                <w:sz w:val="18"/>
                              </w:rPr>
                              <w:t> </w:t>
                            </w:r>
                            <w:r>
                              <w:rPr>
                                <w:sz w:val="18"/>
                              </w:rPr>
                              <w:t>brokerage accounts</w:t>
                            </w:r>
                            <w:r>
                              <w:rPr>
                                <w:spacing w:val="-1"/>
                                <w:sz w:val="18"/>
                              </w:rPr>
                              <w:t> </w:t>
                            </w:r>
                            <w:r>
                              <w:rPr>
                                <w:sz w:val="18"/>
                              </w:rPr>
                              <w:t>(in </w:t>
                            </w:r>
                            <w:r>
                              <w:rPr>
                                <w:spacing w:val="-2"/>
                                <w:sz w:val="18"/>
                              </w:rPr>
                              <w:t>thousands)</w:t>
                            </w:r>
                          </w:p>
                        </w:tc>
                        <w:tc>
                          <w:tcPr>
                            <w:tcW w:w="1072" w:type="dxa"/>
                            <w:shd w:val="clear" w:color="auto" w:fill="CCEDFF"/>
                          </w:tcPr>
                          <w:p>
                            <w:pPr>
                              <w:pStyle w:val="TableParagraph"/>
                              <w:spacing w:before="13"/>
                              <w:ind w:left="520"/>
                              <w:rPr>
                                <w:sz w:val="18"/>
                              </w:rPr>
                            </w:pPr>
                            <w:r>
                              <w:rPr>
                                <w:spacing w:val="-5"/>
                                <w:sz w:val="18"/>
                              </w:rPr>
                              <w:t>894</w:t>
                            </w:r>
                          </w:p>
                        </w:tc>
                        <w:tc>
                          <w:tcPr>
                            <w:tcW w:w="1069" w:type="dxa"/>
                            <w:shd w:val="clear" w:color="auto" w:fill="CCEDFF"/>
                          </w:tcPr>
                          <w:p>
                            <w:pPr>
                              <w:pStyle w:val="TableParagraph"/>
                              <w:spacing w:before="13"/>
                              <w:ind w:left="77"/>
                              <w:jc w:val="center"/>
                              <w:rPr>
                                <w:sz w:val="18"/>
                              </w:rPr>
                            </w:pPr>
                            <w:r>
                              <w:rPr>
                                <w:spacing w:val="-5"/>
                                <w:sz w:val="18"/>
                              </w:rPr>
                              <w:t>897</w:t>
                            </w:r>
                          </w:p>
                        </w:tc>
                        <w:tc>
                          <w:tcPr>
                            <w:tcW w:w="724" w:type="dxa"/>
                            <w:shd w:val="clear" w:color="auto" w:fill="CCEDFF"/>
                          </w:tcPr>
                          <w:p>
                            <w:pPr>
                              <w:pStyle w:val="TableParagraph"/>
                              <w:spacing w:before="13"/>
                              <w:ind w:left="269"/>
                              <w:rPr>
                                <w:sz w:val="18"/>
                              </w:rPr>
                            </w:pPr>
                            <w:r>
                              <w:rPr>
                                <w:spacing w:val="-10"/>
                                <w:sz w:val="18"/>
                              </w:rPr>
                              <w:t>—</w:t>
                            </w:r>
                          </w:p>
                        </w:tc>
                        <w:tc>
                          <w:tcPr>
                            <w:tcW w:w="1020" w:type="dxa"/>
                            <w:shd w:val="clear" w:color="auto" w:fill="CCEDFF"/>
                          </w:tcPr>
                          <w:p>
                            <w:pPr>
                              <w:pStyle w:val="TableParagraph"/>
                              <w:spacing w:before="13"/>
                              <w:ind w:left="340"/>
                              <w:rPr>
                                <w:sz w:val="18"/>
                              </w:rPr>
                            </w:pPr>
                            <w:r>
                              <w:rPr>
                                <w:spacing w:val="-2"/>
                                <w:sz w:val="18"/>
                              </w:rPr>
                              <w:t>2,896</w:t>
                            </w:r>
                          </w:p>
                        </w:tc>
                        <w:tc>
                          <w:tcPr>
                            <w:tcW w:w="1069" w:type="dxa"/>
                            <w:shd w:val="clear" w:color="auto" w:fill="CCEDFF"/>
                          </w:tcPr>
                          <w:p>
                            <w:pPr>
                              <w:pStyle w:val="TableParagraph"/>
                              <w:spacing w:before="13"/>
                              <w:ind w:left="295"/>
                              <w:rPr>
                                <w:sz w:val="18"/>
                              </w:rPr>
                            </w:pPr>
                            <w:r>
                              <w:rPr>
                                <w:spacing w:val="-2"/>
                                <w:sz w:val="18"/>
                              </w:rPr>
                              <w:t>3,113</w:t>
                            </w:r>
                          </w:p>
                        </w:tc>
                        <w:tc>
                          <w:tcPr>
                            <w:tcW w:w="682" w:type="dxa"/>
                            <w:shd w:val="clear" w:color="auto" w:fill="CCEDFF"/>
                          </w:tcPr>
                          <w:p>
                            <w:pPr>
                              <w:pStyle w:val="TableParagraph"/>
                              <w:spacing w:before="13"/>
                              <w:ind w:right="13"/>
                              <w:jc w:val="right"/>
                              <w:rPr>
                                <w:sz w:val="18"/>
                              </w:rPr>
                            </w:pPr>
                            <w:r>
                              <w:rPr>
                                <w:spacing w:val="-4"/>
                                <w:sz w:val="18"/>
                              </w:rPr>
                              <w:t>(7)%</w:t>
                            </w:r>
                          </w:p>
                        </w:tc>
                      </w:tr>
                      <w:tr>
                        <w:trPr>
                          <w:trHeight w:val="255" w:hRule="atLeast"/>
                        </w:trPr>
                        <w:tc>
                          <w:tcPr>
                            <w:tcW w:w="4625" w:type="dxa"/>
                          </w:tcPr>
                          <w:p>
                            <w:pPr>
                              <w:pStyle w:val="TableParagraph"/>
                              <w:spacing w:before="13"/>
                              <w:ind w:left="52"/>
                              <w:rPr>
                                <w:sz w:val="18"/>
                              </w:rPr>
                            </w:pPr>
                            <w:r>
                              <w:rPr>
                                <w:sz w:val="18"/>
                              </w:rPr>
                              <w:t>Active</w:t>
                            </w:r>
                            <w:r>
                              <w:rPr>
                                <w:spacing w:val="-3"/>
                                <w:sz w:val="18"/>
                              </w:rPr>
                              <w:t> </w:t>
                            </w:r>
                            <w:r>
                              <w:rPr>
                                <w:sz w:val="18"/>
                              </w:rPr>
                              <w:t>brokerage accounts</w:t>
                            </w:r>
                            <w:r>
                              <w:rPr>
                                <w:spacing w:val="-2"/>
                                <w:sz w:val="18"/>
                              </w:rPr>
                              <w:t> </w:t>
                            </w:r>
                            <w:r>
                              <w:rPr>
                                <w:sz w:val="18"/>
                              </w:rPr>
                              <w:t>(in thousands,</w:t>
                            </w:r>
                            <w:r>
                              <w:rPr>
                                <w:spacing w:val="-1"/>
                                <w:sz w:val="18"/>
                              </w:rPr>
                              <w:t> </w:t>
                            </w:r>
                            <w:r>
                              <w:rPr>
                                <w:sz w:val="18"/>
                              </w:rPr>
                              <w:t>at quarter </w:t>
                            </w:r>
                            <w:r>
                              <w:rPr>
                                <w:spacing w:val="-4"/>
                                <w:sz w:val="18"/>
                              </w:rPr>
                              <w:t>end)</w:t>
                            </w:r>
                          </w:p>
                        </w:tc>
                        <w:tc>
                          <w:tcPr>
                            <w:tcW w:w="1072" w:type="dxa"/>
                          </w:tcPr>
                          <w:p>
                            <w:pPr>
                              <w:pStyle w:val="TableParagraph"/>
                              <w:spacing w:before="13"/>
                              <w:ind w:left="295"/>
                              <w:rPr>
                                <w:sz w:val="18"/>
                              </w:rPr>
                            </w:pPr>
                            <w:r>
                              <w:rPr>
                                <w:spacing w:val="-2"/>
                                <w:sz w:val="18"/>
                              </w:rPr>
                              <w:t>34,540</w:t>
                            </w:r>
                          </w:p>
                        </w:tc>
                        <w:tc>
                          <w:tcPr>
                            <w:tcW w:w="1069" w:type="dxa"/>
                          </w:tcPr>
                          <w:p>
                            <w:pPr>
                              <w:pStyle w:val="TableParagraph"/>
                              <w:spacing w:before="13"/>
                              <w:ind w:left="213"/>
                              <w:rPr>
                                <w:sz w:val="18"/>
                              </w:rPr>
                            </w:pPr>
                            <w:r>
                              <w:rPr>
                                <w:spacing w:val="-2"/>
                                <w:sz w:val="18"/>
                              </w:rPr>
                              <w:t>33,875</w:t>
                            </w:r>
                          </w:p>
                        </w:tc>
                        <w:tc>
                          <w:tcPr>
                            <w:tcW w:w="724" w:type="dxa"/>
                          </w:tcPr>
                          <w:p>
                            <w:pPr>
                              <w:pStyle w:val="TableParagraph"/>
                              <w:spacing w:before="13"/>
                              <w:ind w:left="359"/>
                              <w:rPr>
                                <w:sz w:val="18"/>
                              </w:rPr>
                            </w:pPr>
                            <w:r>
                              <w:rPr>
                                <w:spacing w:val="-5"/>
                                <w:sz w:val="18"/>
                              </w:rPr>
                              <w:t>2%</w:t>
                            </w:r>
                          </w:p>
                        </w:tc>
                        <w:tc>
                          <w:tcPr>
                            <w:tcW w:w="1020" w:type="dxa"/>
                          </w:tcPr>
                          <w:p>
                            <w:pPr>
                              <w:pStyle w:val="TableParagraph"/>
                              <w:rPr>
                                <w:sz w:val="18"/>
                              </w:rPr>
                            </w:pPr>
                          </w:p>
                        </w:tc>
                        <w:tc>
                          <w:tcPr>
                            <w:tcW w:w="1069" w:type="dxa"/>
                          </w:tcPr>
                          <w:p>
                            <w:pPr>
                              <w:pStyle w:val="TableParagraph"/>
                              <w:rPr>
                                <w:sz w:val="18"/>
                              </w:rPr>
                            </w:pPr>
                          </w:p>
                        </w:tc>
                        <w:tc>
                          <w:tcPr>
                            <w:tcW w:w="682" w:type="dxa"/>
                          </w:tcPr>
                          <w:p>
                            <w:pPr>
                              <w:pStyle w:val="TableParagraph"/>
                              <w:rPr>
                                <w:sz w:val="18"/>
                              </w:rPr>
                            </w:pPr>
                          </w:p>
                        </w:tc>
                      </w:tr>
                      <w:tr>
                        <w:trPr>
                          <w:trHeight w:val="435" w:hRule="atLeast"/>
                        </w:trPr>
                        <w:tc>
                          <w:tcPr>
                            <w:tcW w:w="4625" w:type="dxa"/>
                            <w:shd w:val="clear" w:color="auto" w:fill="CCEDFF"/>
                          </w:tcPr>
                          <w:p>
                            <w:pPr>
                              <w:pStyle w:val="TableParagraph"/>
                              <w:spacing w:line="208" w:lineRule="auto" w:before="35"/>
                              <w:ind w:left="142" w:right="516" w:hanging="90"/>
                              <w:rPr>
                                <w:sz w:val="18"/>
                              </w:rPr>
                            </w:pPr>
                            <w:r>
                              <w:rPr>
                                <w:sz w:val="18"/>
                              </w:rPr>
                              <w:t>Assets</w:t>
                            </w:r>
                            <w:r>
                              <w:rPr>
                                <w:spacing w:val="-7"/>
                                <w:sz w:val="18"/>
                              </w:rPr>
                              <w:t> </w:t>
                            </w:r>
                            <w:r>
                              <w:rPr>
                                <w:sz w:val="18"/>
                              </w:rPr>
                              <w:t>receiving</w:t>
                            </w:r>
                            <w:r>
                              <w:rPr>
                                <w:spacing w:val="-6"/>
                                <w:sz w:val="18"/>
                              </w:rPr>
                              <w:t> </w:t>
                            </w:r>
                            <w:r>
                              <w:rPr>
                                <w:sz w:val="18"/>
                              </w:rPr>
                              <w:t>ongoing</w:t>
                            </w:r>
                            <w:r>
                              <w:rPr>
                                <w:spacing w:val="-6"/>
                                <w:sz w:val="18"/>
                              </w:rPr>
                              <w:t> </w:t>
                            </w:r>
                            <w:r>
                              <w:rPr>
                                <w:sz w:val="18"/>
                              </w:rPr>
                              <w:t>advisory</w:t>
                            </w:r>
                            <w:r>
                              <w:rPr>
                                <w:spacing w:val="-6"/>
                                <w:sz w:val="18"/>
                              </w:rPr>
                              <w:t> </w:t>
                            </w:r>
                            <w:r>
                              <w:rPr>
                                <w:sz w:val="18"/>
                              </w:rPr>
                              <w:t>services</w:t>
                            </w:r>
                            <w:r>
                              <w:rPr>
                                <w:spacing w:val="-7"/>
                                <w:sz w:val="18"/>
                              </w:rPr>
                              <w:t> </w:t>
                            </w:r>
                            <w:r>
                              <w:rPr>
                                <w:sz w:val="18"/>
                              </w:rPr>
                              <w:t>(in</w:t>
                            </w:r>
                            <w:r>
                              <w:rPr>
                                <w:spacing w:val="-6"/>
                                <w:sz w:val="18"/>
                              </w:rPr>
                              <w:t> </w:t>
                            </w:r>
                            <w:r>
                              <w:rPr>
                                <w:sz w:val="18"/>
                              </w:rPr>
                              <w:t>billions, at quarter end)</w:t>
                            </w:r>
                          </w:p>
                        </w:tc>
                        <w:tc>
                          <w:tcPr>
                            <w:tcW w:w="1072" w:type="dxa"/>
                            <w:shd w:val="clear" w:color="auto" w:fill="CCEDFF"/>
                          </w:tcPr>
                          <w:p>
                            <w:pPr>
                              <w:pStyle w:val="TableParagraph"/>
                              <w:spacing w:before="103"/>
                              <w:ind w:left="122"/>
                              <w:rPr>
                                <w:sz w:val="18"/>
                              </w:rPr>
                            </w:pPr>
                            <w:r>
                              <w:rPr>
                                <w:sz w:val="18"/>
                              </w:rPr>
                              <w:t>$</w:t>
                            </w:r>
                            <w:r>
                              <w:rPr>
                                <w:spacing w:val="-8"/>
                                <w:sz w:val="18"/>
                              </w:rPr>
                              <w:t> </w:t>
                            </w:r>
                            <w:r>
                              <w:rPr>
                                <w:spacing w:val="-2"/>
                                <w:sz w:val="18"/>
                              </w:rPr>
                              <w:t>3,981.0</w:t>
                            </w:r>
                          </w:p>
                        </w:tc>
                        <w:tc>
                          <w:tcPr>
                            <w:tcW w:w="1069" w:type="dxa"/>
                            <w:shd w:val="clear" w:color="auto" w:fill="CCEDFF"/>
                          </w:tcPr>
                          <w:p>
                            <w:pPr>
                              <w:pStyle w:val="TableParagraph"/>
                              <w:spacing w:before="103"/>
                              <w:ind w:left="70"/>
                              <w:rPr>
                                <w:sz w:val="18"/>
                              </w:rPr>
                            </w:pPr>
                            <w:r>
                              <w:rPr>
                                <w:spacing w:val="-2"/>
                                <w:sz w:val="18"/>
                              </w:rPr>
                              <w:t>$3,417.5</w:t>
                            </w:r>
                          </w:p>
                        </w:tc>
                        <w:tc>
                          <w:tcPr>
                            <w:tcW w:w="724" w:type="dxa"/>
                            <w:shd w:val="clear" w:color="auto" w:fill="CCEDFF"/>
                          </w:tcPr>
                          <w:p>
                            <w:pPr>
                              <w:pStyle w:val="TableParagraph"/>
                              <w:spacing w:before="103"/>
                              <w:ind w:left="269"/>
                              <w:rPr>
                                <w:sz w:val="18"/>
                              </w:rPr>
                            </w:pPr>
                            <w:r>
                              <w:rPr>
                                <w:spacing w:val="-5"/>
                                <w:sz w:val="18"/>
                              </w:rPr>
                              <w:t>16%</w:t>
                            </w:r>
                          </w:p>
                        </w:tc>
                        <w:tc>
                          <w:tcPr>
                            <w:tcW w:w="1020" w:type="dxa"/>
                            <w:shd w:val="clear" w:color="auto" w:fill="CCEDFF"/>
                          </w:tcPr>
                          <w:p>
                            <w:pPr>
                              <w:pStyle w:val="TableParagraph"/>
                              <w:rPr>
                                <w:sz w:val="18"/>
                              </w:rPr>
                            </w:pPr>
                          </w:p>
                        </w:tc>
                        <w:tc>
                          <w:tcPr>
                            <w:tcW w:w="1069" w:type="dxa"/>
                            <w:shd w:val="clear" w:color="auto" w:fill="CCEDFF"/>
                          </w:tcPr>
                          <w:p>
                            <w:pPr>
                              <w:pStyle w:val="TableParagraph"/>
                              <w:rPr>
                                <w:sz w:val="18"/>
                              </w:rPr>
                            </w:pPr>
                          </w:p>
                        </w:tc>
                        <w:tc>
                          <w:tcPr>
                            <w:tcW w:w="682" w:type="dxa"/>
                            <w:shd w:val="clear" w:color="auto" w:fill="CCEDFF"/>
                          </w:tcPr>
                          <w:p>
                            <w:pPr>
                              <w:pStyle w:val="TableParagraph"/>
                              <w:rPr>
                                <w:sz w:val="18"/>
                              </w:rPr>
                            </w:pPr>
                          </w:p>
                        </w:tc>
                      </w:tr>
                      <w:tr>
                        <w:trPr>
                          <w:trHeight w:val="255" w:hRule="atLeast"/>
                        </w:trPr>
                        <w:tc>
                          <w:tcPr>
                            <w:tcW w:w="4625" w:type="dxa"/>
                          </w:tcPr>
                          <w:p>
                            <w:pPr>
                              <w:pStyle w:val="TableParagraph"/>
                              <w:spacing w:before="18"/>
                              <w:ind w:left="52"/>
                              <w:rPr>
                                <w:sz w:val="18"/>
                              </w:rPr>
                            </w:pPr>
                            <w:r>
                              <w:rPr>
                                <w:sz w:val="18"/>
                              </w:rPr>
                              <w:t>Client</w:t>
                            </w:r>
                            <w:r>
                              <w:rPr>
                                <w:spacing w:val="-3"/>
                                <w:sz w:val="18"/>
                              </w:rPr>
                              <w:t> </w:t>
                            </w:r>
                            <w:r>
                              <w:rPr>
                                <w:sz w:val="18"/>
                              </w:rPr>
                              <w:t>cash as</w:t>
                            </w:r>
                            <w:r>
                              <w:rPr>
                                <w:spacing w:val="-1"/>
                                <w:sz w:val="18"/>
                              </w:rPr>
                              <w:t> </w:t>
                            </w:r>
                            <w:r>
                              <w:rPr>
                                <w:sz w:val="18"/>
                              </w:rPr>
                              <w:t>a</w:t>
                            </w:r>
                            <w:r>
                              <w:rPr>
                                <w:spacing w:val="-1"/>
                                <w:sz w:val="18"/>
                              </w:rPr>
                              <w:t> </w:t>
                            </w:r>
                            <w:r>
                              <w:rPr>
                                <w:sz w:val="18"/>
                              </w:rPr>
                              <w:t>percentage of client assets</w:t>
                            </w:r>
                            <w:r>
                              <w:rPr>
                                <w:spacing w:val="-2"/>
                                <w:sz w:val="18"/>
                              </w:rPr>
                              <w:t> </w:t>
                            </w:r>
                            <w:r>
                              <w:rPr>
                                <w:sz w:val="18"/>
                              </w:rPr>
                              <w:t>(at quarter end)</w:t>
                            </w:r>
                            <w:r>
                              <w:rPr>
                                <w:spacing w:val="-4"/>
                                <w:sz w:val="18"/>
                              </w:rPr>
                              <w:t> </w:t>
                            </w:r>
                            <w:r>
                              <w:rPr>
                                <w:spacing w:val="-5"/>
                                <w:sz w:val="18"/>
                                <w:vertAlign w:val="superscript"/>
                              </w:rPr>
                              <w:t>(2)</w:t>
                            </w:r>
                          </w:p>
                        </w:tc>
                        <w:tc>
                          <w:tcPr>
                            <w:tcW w:w="1072" w:type="dxa"/>
                          </w:tcPr>
                          <w:p>
                            <w:pPr>
                              <w:pStyle w:val="TableParagraph"/>
                              <w:spacing w:before="13"/>
                              <w:ind w:right="129"/>
                              <w:jc w:val="right"/>
                              <w:rPr>
                                <w:sz w:val="18"/>
                              </w:rPr>
                            </w:pPr>
                            <w:r>
                              <w:rPr>
                                <w:spacing w:val="-2"/>
                                <w:sz w:val="18"/>
                              </w:rPr>
                              <w:t>10.8%</w:t>
                            </w:r>
                          </w:p>
                        </w:tc>
                        <w:tc>
                          <w:tcPr>
                            <w:tcW w:w="1069" w:type="dxa"/>
                          </w:tcPr>
                          <w:p>
                            <w:pPr>
                              <w:pStyle w:val="TableParagraph"/>
                              <w:spacing w:before="13"/>
                              <w:ind w:right="208"/>
                              <w:jc w:val="right"/>
                              <w:rPr>
                                <w:sz w:val="18"/>
                              </w:rPr>
                            </w:pPr>
                            <w:r>
                              <w:rPr>
                                <w:spacing w:val="-2"/>
                                <w:sz w:val="18"/>
                              </w:rPr>
                              <w:t>12.9%</w:t>
                            </w:r>
                          </w:p>
                        </w:tc>
                        <w:tc>
                          <w:tcPr>
                            <w:tcW w:w="724" w:type="dxa"/>
                          </w:tcPr>
                          <w:p>
                            <w:pPr>
                              <w:pStyle w:val="TableParagraph"/>
                              <w:rPr>
                                <w:sz w:val="18"/>
                              </w:rPr>
                            </w:pPr>
                          </w:p>
                        </w:tc>
                        <w:tc>
                          <w:tcPr>
                            <w:tcW w:w="1020" w:type="dxa"/>
                          </w:tcPr>
                          <w:p>
                            <w:pPr>
                              <w:pStyle w:val="TableParagraph"/>
                              <w:rPr>
                                <w:sz w:val="18"/>
                              </w:rPr>
                            </w:pPr>
                          </w:p>
                        </w:tc>
                        <w:tc>
                          <w:tcPr>
                            <w:tcW w:w="1069" w:type="dxa"/>
                          </w:tcPr>
                          <w:p>
                            <w:pPr>
                              <w:pStyle w:val="TableParagraph"/>
                              <w:rPr>
                                <w:sz w:val="18"/>
                              </w:rPr>
                            </w:pPr>
                          </w:p>
                        </w:tc>
                        <w:tc>
                          <w:tcPr>
                            <w:tcW w:w="682" w:type="dxa"/>
                          </w:tcPr>
                          <w:p>
                            <w:pPr>
                              <w:pStyle w:val="TableParagraph"/>
                              <w:rPr>
                                <w:sz w:val="18"/>
                              </w:rPr>
                            </w:pPr>
                          </w:p>
                        </w:tc>
                      </w:tr>
                      <w:tr>
                        <w:trPr>
                          <w:trHeight w:val="255" w:hRule="atLeast"/>
                        </w:trPr>
                        <w:tc>
                          <w:tcPr>
                            <w:tcW w:w="4625" w:type="dxa"/>
                            <w:shd w:val="clear" w:color="auto" w:fill="CCEDFF"/>
                          </w:tcPr>
                          <w:p>
                            <w:pPr>
                              <w:pStyle w:val="TableParagraph"/>
                              <w:spacing w:before="12"/>
                              <w:ind w:left="52"/>
                              <w:rPr>
                                <w:b/>
                                <w:sz w:val="18"/>
                              </w:rPr>
                            </w:pPr>
                            <w:r>
                              <w:rPr>
                                <w:b/>
                                <w:sz w:val="18"/>
                              </w:rPr>
                              <w:t>Company</w:t>
                            </w:r>
                            <w:r>
                              <w:rPr>
                                <w:b/>
                                <w:spacing w:val="-3"/>
                                <w:sz w:val="18"/>
                              </w:rPr>
                              <w:t> </w:t>
                            </w:r>
                            <w:r>
                              <w:rPr>
                                <w:b/>
                                <w:sz w:val="18"/>
                              </w:rPr>
                              <w:t>Financial</w:t>
                            </w:r>
                            <w:r>
                              <w:rPr>
                                <w:b/>
                                <w:spacing w:val="-2"/>
                                <w:sz w:val="18"/>
                              </w:rPr>
                              <w:t> </w:t>
                            </w:r>
                            <w:r>
                              <w:rPr>
                                <w:b/>
                                <w:sz w:val="18"/>
                              </w:rPr>
                              <w:t>Information</w:t>
                            </w:r>
                            <w:r>
                              <w:rPr>
                                <w:b/>
                                <w:spacing w:val="-3"/>
                                <w:sz w:val="18"/>
                              </w:rPr>
                              <w:t> </w:t>
                            </w:r>
                            <w:r>
                              <w:rPr>
                                <w:b/>
                                <w:sz w:val="18"/>
                              </w:rPr>
                              <w:t>and</w:t>
                            </w:r>
                            <w:r>
                              <w:rPr>
                                <w:b/>
                                <w:spacing w:val="-2"/>
                                <w:sz w:val="18"/>
                              </w:rPr>
                              <w:t> Metrics</w:t>
                            </w:r>
                          </w:p>
                        </w:tc>
                        <w:tc>
                          <w:tcPr>
                            <w:tcW w:w="1072" w:type="dxa"/>
                            <w:shd w:val="clear" w:color="auto" w:fill="CCEDFF"/>
                          </w:tcPr>
                          <w:p>
                            <w:pPr>
                              <w:pStyle w:val="TableParagraph"/>
                              <w:rPr>
                                <w:sz w:val="18"/>
                              </w:rPr>
                            </w:pPr>
                          </w:p>
                        </w:tc>
                        <w:tc>
                          <w:tcPr>
                            <w:tcW w:w="1069" w:type="dxa"/>
                            <w:shd w:val="clear" w:color="auto" w:fill="CCEDFF"/>
                          </w:tcPr>
                          <w:p>
                            <w:pPr>
                              <w:pStyle w:val="TableParagraph"/>
                              <w:rPr>
                                <w:sz w:val="18"/>
                              </w:rPr>
                            </w:pPr>
                          </w:p>
                        </w:tc>
                        <w:tc>
                          <w:tcPr>
                            <w:tcW w:w="724" w:type="dxa"/>
                            <w:shd w:val="clear" w:color="auto" w:fill="CCEDFF"/>
                          </w:tcPr>
                          <w:p>
                            <w:pPr>
                              <w:pStyle w:val="TableParagraph"/>
                              <w:rPr>
                                <w:sz w:val="18"/>
                              </w:rPr>
                            </w:pPr>
                          </w:p>
                        </w:tc>
                        <w:tc>
                          <w:tcPr>
                            <w:tcW w:w="1020" w:type="dxa"/>
                            <w:shd w:val="clear" w:color="auto" w:fill="CCEDFF"/>
                          </w:tcPr>
                          <w:p>
                            <w:pPr>
                              <w:pStyle w:val="TableParagraph"/>
                              <w:rPr>
                                <w:sz w:val="18"/>
                              </w:rPr>
                            </w:pPr>
                          </w:p>
                        </w:tc>
                        <w:tc>
                          <w:tcPr>
                            <w:tcW w:w="1069" w:type="dxa"/>
                            <w:shd w:val="clear" w:color="auto" w:fill="CCEDFF"/>
                          </w:tcPr>
                          <w:p>
                            <w:pPr>
                              <w:pStyle w:val="TableParagraph"/>
                              <w:rPr>
                                <w:sz w:val="18"/>
                              </w:rPr>
                            </w:pPr>
                          </w:p>
                        </w:tc>
                        <w:tc>
                          <w:tcPr>
                            <w:tcW w:w="682" w:type="dxa"/>
                            <w:shd w:val="clear" w:color="auto" w:fill="CCEDFF"/>
                          </w:tcPr>
                          <w:p>
                            <w:pPr>
                              <w:pStyle w:val="TableParagraph"/>
                              <w:rPr>
                                <w:sz w:val="18"/>
                              </w:rPr>
                            </w:pPr>
                          </w:p>
                        </w:tc>
                      </w:tr>
                      <w:tr>
                        <w:trPr>
                          <w:trHeight w:val="255" w:hRule="atLeast"/>
                        </w:trPr>
                        <w:tc>
                          <w:tcPr>
                            <w:tcW w:w="4625" w:type="dxa"/>
                          </w:tcPr>
                          <w:p>
                            <w:pPr>
                              <w:pStyle w:val="TableParagraph"/>
                              <w:spacing w:before="13"/>
                              <w:ind w:left="52"/>
                              <w:rPr>
                                <w:sz w:val="18"/>
                              </w:rPr>
                            </w:pPr>
                            <w:r>
                              <w:rPr>
                                <w:sz w:val="18"/>
                              </w:rPr>
                              <w:t>Total net </w:t>
                            </w:r>
                            <w:r>
                              <w:rPr>
                                <w:spacing w:val="-2"/>
                                <w:sz w:val="18"/>
                              </w:rPr>
                              <w:t>revenues</w:t>
                            </w:r>
                          </w:p>
                        </w:tc>
                        <w:tc>
                          <w:tcPr>
                            <w:tcW w:w="1072" w:type="dxa"/>
                          </w:tcPr>
                          <w:p>
                            <w:pPr>
                              <w:pStyle w:val="TableParagraph"/>
                              <w:spacing w:before="13"/>
                              <w:ind w:left="122"/>
                              <w:rPr>
                                <w:sz w:val="18"/>
                              </w:rPr>
                            </w:pPr>
                            <w:r>
                              <w:rPr>
                                <w:sz w:val="18"/>
                              </w:rPr>
                              <w:t>$</w:t>
                            </w:r>
                            <w:r>
                              <w:rPr>
                                <w:spacing w:val="41"/>
                                <w:sz w:val="18"/>
                              </w:rPr>
                              <w:t>  </w:t>
                            </w:r>
                            <w:r>
                              <w:rPr>
                                <w:spacing w:val="-2"/>
                                <w:sz w:val="18"/>
                              </w:rPr>
                              <w:t>4,606</w:t>
                            </w:r>
                          </w:p>
                        </w:tc>
                        <w:tc>
                          <w:tcPr>
                            <w:tcW w:w="1069" w:type="dxa"/>
                          </w:tcPr>
                          <w:p>
                            <w:pPr>
                              <w:pStyle w:val="TableParagraph"/>
                              <w:spacing w:before="13"/>
                              <w:ind w:left="70"/>
                              <w:rPr>
                                <w:sz w:val="18"/>
                              </w:rPr>
                            </w:pPr>
                            <w:r>
                              <w:rPr>
                                <w:sz w:val="18"/>
                              </w:rPr>
                              <w:t>$</w:t>
                            </w:r>
                            <w:r>
                              <w:rPr>
                                <w:spacing w:val="74"/>
                                <w:w w:val="150"/>
                                <w:sz w:val="18"/>
                              </w:rPr>
                              <w:t> </w:t>
                            </w:r>
                            <w:r>
                              <w:rPr>
                                <w:spacing w:val="-2"/>
                                <w:sz w:val="18"/>
                              </w:rPr>
                              <w:t>5,500</w:t>
                            </w:r>
                          </w:p>
                        </w:tc>
                        <w:tc>
                          <w:tcPr>
                            <w:tcW w:w="724" w:type="dxa"/>
                          </w:tcPr>
                          <w:p>
                            <w:pPr>
                              <w:pStyle w:val="TableParagraph"/>
                              <w:spacing w:before="13"/>
                              <w:ind w:left="209"/>
                              <w:rPr>
                                <w:sz w:val="18"/>
                              </w:rPr>
                            </w:pPr>
                            <w:r>
                              <w:rPr>
                                <w:spacing w:val="-2"/>
                                <w:sz w:val="18"/>
                              </w:rPr>
                              <w:t>(16)%</w:t>
                            </w:r>
                          </w:p>
                        </w:tc>
                        <w:tc>
                          <w:tcPr>
                            <w:tcW w:w="1020" w:type="dxa"/>
                          </w:tcPr>
                          <w:p>
                            <w:pPr>
                              <w:pStyle w:val="TableParagraph"/>
                              <w:spacing w:before="13"/>
                              <w:ind w:left="62"/>
                              <w:rPr>
                                <w:sz w:val="18"/>
                              </w:rPr>
                            </w:pPr>
                            <w:r>
                              <w:rPr>
                                <w:sz w:val="18"/>
                              </w:rPr>
                              <w:t>$</w:t>
                            </w:r>
                            <w:r>
                              <w:rPr>
                                <w:spacing w:val="52"/>
                                <w:sz w:val="18"/>
                              </w:rPr>
                              <w:t> </w:t>
                            </w:r>
                            <w:r>
                              <w:rPr>
                                <w:spacing w:val="-2"/>
                                <w:sz w:val="18"/>
                              </w:rPr>
                              <w:t>14,378</w:t>
                            </w:r>
                          </w:p>
                        </w:tc>
                        <w:tc>
                          <w:tcPr>
                            <w:tcW w:w="1069" w:type="dxa"/>
                          </w:tcPr>
                          <w:p>
                            <w:pPr>
                              <w:pStyle w:val="TableParagraph"/>
                              <w:spacing w:before="13"/>
                              <w:ind w:left="62"/>
                              <w:rPr>
                                <w:sz w:val="18"/>
                              </w:rPr>
                            </w:pPr>
                            <w:r>
                              <w:rPr>
                                <w:sz w:val="18"/>
                              </w:rPr>
                              <w:t>$</w:t>
                            </w:r>
                            <w:r>
                              <w:rPr>
                                <w:spacing w:val="7"/>
                                <w:sz w:val="18"/>
                              </w:rPr>
                              <w:t> </w:t>
                            </w:r>
                            <w:r>
                              <w:rPr>
                                <w:spacing w:val="-2"/>
                                <w:sz w:val="18"/>
                              </w:rPr>
                              <w:t>15,265</w:t>
                            </w:r>
                          </w:p>
                        </w:tc>
                        <w:tc>
                          <w:tcPr>
                            <w:tcW w:w="682" w:type="dxa"/>
                          </w:tcPr>
                          <w:p>
                            <w:pPr>
                              <w:pStyle w:val="TableParagraph"/>
                              <w:spacing w:before="13"/>
                              <w:ind w:right="13"/>
                              <w:jc w:val="right"/>
                              <w:rPr>
                                <w:sz w:val="18"/>
                              </w:rPr>
                            </w:pPr>
                            <w:r>
                              <w:rPr>
                                <w:spacing w:val="-4"/>
                                <w:sz w:val="18"/>
                              </w:rPr>
                              <w:t>(6)%</w:t>
                            </w:r>
                          </w:p>
                        </w:tc>
                      </w:tr>
                      <w:tr>
                        <w:trPr>
                          <w:trHeight w:val="250" w:hRule="atLeast"/>
                        </w:trPr>
                        <w:tc>
                          <w:tcPr>
                            <w:tcW w:w="4625" w:type="dxa"/>
                            <w:tcBorders>
                              <w:bottom w:val="single" w:sz="4" w:space="0" w:color="000000"/>
                            </w:tcBorders>
                            <w:shd w:val="clear" w:color="auto" w:fill="CCEDFF"/>
                          </w:tcPr>
                          <w:p>
                            <w:pPr>
                              <w:pStyle w:val="TableParagraph"/>
                              <w:spacing w:before="13"/>
                              <w:ind w:left="52"/>
                              <w:rPr>
                                <w:sz w:val="18"/>
                              </w:rPr>
                            </w:pPr>
                            <w:r>
                              <w:rPr>
                                <w:sz w:val="18"/>
                              </w:rPr>
                              <w:t>Total</w:t>
                            </w:r>
                            <w:r>
                              <w:rPr>
                                <w:spacing w:val="-1"/>
                                <w:sz w:val="18"/>
                              </w:rPr>
                              <w:t> </w:t>
                            </w:r>
                            <w:r>
                              <w:rPr>
                                <w:sz w:val="18"/>
                              </w:rPr>
                              <w:t>expenses</w:t>
                            </w:r>
                            <w:r>
                              <w:rPr>
                                <w:spacing w:val="-1"/>
                                <w:sz w:val="18"/>
                              </w:rPr>
                              <w:t> </w:t>
                            </w:r>
                            <w:r>
                              <w:rPr>
                                <w:sz w:val="18"/>
                              </w:rPr>
                              <w:t>excluding </w:t>
                            </w:r>
                            <w:r>
                              <w:rPr>
                                <w:spacing w:val="-2"/>
                                <w:sz w:val="18"/>
                              </w:rPr>
                              <w:t>interest</w:t>
                            </w:r>
                          </w:p>
                        </w:tc>
                        <w:tc>
                          <w:tcPr>
                            <w:tcW w:w="1072" w:type="dxa"/>
                            <w:tcBorders>
                              <w:bottom w:val="single" w:sz="4" w:space="0" w:color="000000"/>
                            </w:tcBorders>
                            <w:shd w:val="clear" w:color="auto" w:fill="CCEDFF"/>
                          </w:tcPr>
                          <w:p>
                            <w:pPr>
                              <w:pStyle w:val="TableParagraph"/>
                              <w:spacing w:before="13"/>
                              <w:ind w:left="385"/>
                              <w:rPr>
                                <w:sz w:val="18"/>
                              </w:rPr>
                            </w:pPr>
                            <w:r>
                              <w:rPr>
                                <w:spacing w:val="-2"/>
                                <w:sz w:val="18"/>
                              </w:rPr>
                              <w:t>3,223</w:t>
                            </w:r>
                          </w:p>
                        </w:tc>
                        <w:tc>
                          <w:tcPr>
                            <w:tcW w:w="1069" w:type="dxa"/>
                            <w:tcBorders>
                              <w:bottom w:val="single" w:sz="4" w:space="0" w:color="000000"/>
                            </w:tcBorders>
                            <w:shd w:val="clear" w:color="auto" w:fill="CCEDFF"/>
                          </w:tcPr>
                          <w:p>
                            <w:pPr>
                              <w:pStyle w:val="TableParagraph"/>
                              <w:spacing w:before="13"/>
                              <w:ind w:left="303"/>
                              <w:rPr>
                                <w:sz w:val="18"/>
                              </w:rPr>
                            </w:pPr>
                            <w:r>
                              <w:rPr>
                                <w:spacing w:val="-2"/>
                                <w:sz w:val="18"/>
                              </w:rPr>
                              <w:t>2,823</w:t>
                            </w:r>
                          </w:p>
                        </w:tc>
                        <w:tc>
                          <w:tcPr>
                            <w:tcW w:w="724" w:type="dxa"/>
                            <w:tcBorders>
                              <w:bottom w:val="single" w:sz="4" w:space="0" w:color="000000"/>
                            </w:tcBorders>
                            <w:shd w:val="clear" w:color="auto" w:fill="CCEDFF"/>
                          </w:tcPr>
                          <w:p>
                            <w:pPr>
                              <w:pStyle w:val="TableParagraph"/>
                              <w:spacing w:before="13"/>
                              <w:ind w:left="269"/>
                              <w:rPr>
                                <w:sz w:val="18"/>
                              </w:rPr>
                            </w:pPr>
                            <w:r>
                              <w:rPr>
                                <w:spacing w:val="-5"/>
                                <w:sz w:val="18"/>
                              </w:rPr>
                              <w:t>14%</w:t>
                            </w:r>
                          </w:p>
                        </w:tc>
                        <w:tc>
                          <w:tcPr>
                            <w:tcW w:w="1020" w:type="dxa"/>
                            <w:tcBorders>
                              <w:bottom w:val="single" w:sz="4" w:space="0" w:color="000000"/>
                            </w:tcBorders>
                            <w:shd w:val="clear" w:color="auto" w:fill="CCEDFF"/>
                          </w:tcPr>
                          <w:p>
                            <w:pPr>
                              <w:pStyle w:val="TableParagraph"/>
                              <w:spacing w:before="13"/>
                              <w:ind w:left="340"/>
                              <w:rPr>
                                <w:sz w:val="18"/>
                              </w:rPr>
                            </w:pPr>
                            <w:r>
                              <w:rPr>
                                <w:spacing w:val="-2"/>
                                <w:sz w:val="18"/>
                              </w:rPr>
                              <w:t>9,194</w:t>
                            </w:r>
                          </w:p>
                        </w:tc>
                        <w:tc>
                          <w:tcPr>
                            <w:tcW w:w="1069" w:type="dxa"/>
                            <w:tcBorders>
                              <w:bottom w:val="single" w:sz="4" w:space="0" w:color="000000"/>
                            </w:tcBorders>
                            <w:shd w:val="clear" w:color="auto" w:fill="CCEDFF"/>
                          </w:tcPr>
                          <w:p>
                            <w:pPr>
                              <w:pStyle w:val="TableParagraph"/>
                              <w:spacing w:before="13"/>
                              <w:ind w:left="295"/>
                              <w:rPr>
                                <w:sz w:val="18"/>
                              </w:rPr>
                            </w:pPr>
                            <w:r>
                              <w:rPr>
                                <w:spacing w:val="-2"/>
                                <w:sz w:val="18"/>
                              </w:rPr>
                              <w:t>8,475</w:t>
                            </w:r>
                          </w:p>
                        </w:tc>
                        <w:tc>
                          <w:tcPr>
                            <w:tcW w:w="682" w:type="dxa"/>
                            <w:tcBorders>
                              <w:bottom w:val="single" w:sz="4" w:space="0" w:color="000000"/>
                            </w:tcBorders>
                            <w:shd w:val="clear" w:color="auto" w:fill="CCEDFF"/>
                          </w:tcPr>
                          <w:p>
                            <w:pPr>
                              <w:pStyle w:val="TableParagraph"/>
                              <w:spacing w:before="13"/>
                              <w:ind w:right="73"/>
                              <w:jc w:val="right"/>
                              <w:rPr>
                                <w:sz w:val="18"/>
                              </w:rPr>
                            </w:pPr>
                            <w:r>
                              <w:rPr>
                                <w:spacing w:val="-5"/>
                                <w:sz w:val="18"/>
                              </w:rPr>
                              <w:t>8%</w:t>
                            </w:r>
                          </w:p>
                        </w:tc>
                      </w:tr>
                      <w:tr>
                        <w:trPr>
                          <w:trHeight w:val="250" w:hRule="atLeast"/>
                        </w:trPr>
                        <w:tc>
                          <w:tcPr>
                            <w:tcW w:w="4625" w:type="dxa"/>
                            <w:tcBorders>
                              <w:top w:val="single" w:sz="4" w:space="0" w:color="000000"/>
                            </w:tcBorders>
                          </w:tcPr>
                          <w:p>
                            <w:pPr>
                              <w:pStyle w:val="TableParagraph"/>
                              <w:spacing w:before="8"/>
                              <w:ind w:left="52"/>
                              <w:rPr>
                                <w:sz w:val="18"/>
                              </w:rPr>
                            </w:pPr>
                            <w:r>
                              <w:rPr>
                                <w:sz w:val="18"/>
                              </w:rPr>
                              <w:t>Income before taxes</w:t>
                            </w:r>
                            <w:r>
                              <w:rPr>
                                <w:spacing w:val="-1"/>
                                <w:sz w:val="18"/>
                              </w:rPr>
                              <w:t> </w:t>
                            </w:r>
                            <w:r>
                              <w:rPr>
                                <w:sz w:val="18"/>
                              </w:rPr>
                              <w:t>on </w:t>
                            </w:r>
                            <w:r>
                              <w:rPr>
                                <w:spacing w:val="-2"/>
                                <w:sz w:val="18"/>
                              </w:rPr>
                              <w:t>income</w:t>
                            </w:r>
                          </w:p>
                        </w:tc>
                        <w:tc>
                          <w:tcPr>
                            <w:tcW w:w="1072" w:type="dxa"/>
                            <w:tcBorders>
                              <w:top w:val="single" w:sz="4" w:space="0" w:color="000000"/>
                            </w:tcBorders>
                          </w:tcPr>
                          <w:p>
                            <w:pPr>
                              <w:pStyle w:val="TableParagraph"/>
                              <w:spacing w:before="8"/>
                              <w:ind w:left="385"/>
                              <w:rPr>
                                <w:sz w:val="18"/>
                              </w:rPr>
                            </w:pPr>
                            <w:r>
                              <w:rPr>
                                <w:spacing w:val="-2"/>
                                <w:sz w:val="18"/>
                              </w:rPr>
                              <w:t>1,383</w:t>
                            </w:r>
                          </w:p>
                        </w:tc>
                        <w:tc>
                          <w:tcPr>
                            <w:tcW w:w="1069" w:type="dxa"/>
                            <w:tcBorders>
                              <w:top w:val="single" w:sz="4" w:space="0" w:color="000000"/>
                            </w:tcBorders>
                          </w:tcPr>
                          <w:p>
                            <w:pPr>
                              <w:pStyle w:val="TableParagraph"/>
                              <w:spacing w:before="8"/>
                              <w:ind w:left="303"/>
                              <w:rPr>
                                <w:sz w:val="18"/>
                              </w:rPr>
                            </w:pPr>
                            <w:r>
                              <w:rPr>
                                <w:spacing w:val="-2"/>
                                <w:sz w:val="18"/>
                              </w:rPr>
                              <w:t>2,677</w:t>
                            </w:r>
                          </w:p>
                        </w:tc>
                        <w:tc>
                          <w:tcPr>
                            <w:tcW w:w="724" w:type="dxa"/>
                            <w:tcBorders>
                              <w:top w:val="single" w:sz="4" w:space="0" w:color="000000"/>
                            </w:tcBorders>
                          </w:tcPr>
                          <w:p>
                            <w:pPr>
                              <w:pStyle w:val="TableParagraph"/>
                              <w:spacing w:before="8"/>
                              <w:ind w:left="209"/>
                              <w:rPr>
                                <w:sz w:val="18"/>
                              </w:rPr>
                            </w:pPr>
                            <w:r>
                              <w:rPr>
                                <w:spacing w:val="-2"/>
                                <w:sz w:val="18"/>
                              </w:rPr>
                              <w:t>(48)%</w:t>
                            </w:r>
                          </w:p>
                        </w:tc>
                        <w:tc>
                          <w:tcPr>
                            <w:tcW w:w="1020" w:type="dxa"/>
                            <w:tcBorders>
                              <w:top w:val="single" w:sz="4" w:space="0" w:color="000000"/>
                            </w:tcBorders>
                          </w:tcPr>
                          <w:p>
                            <w:pPr>
                              <w:pStyle w:val="TableParagraph"/>
                              <w:spacing w:before="8"/>
                              <w:ind w:left="340"/>
                              <w:rPr>
                                <w:sz w:val="18"/>
                              </w:rPr>
                            </w:pPr>
                            <w:r>
                              <w:rPr>
                                <w:spacing w:val="-2"/>
                                <w:sz w:val="18"/>
                              </w:rPr>
                              <w:t>5,184</w:t>
                            </w:r>
                          </w:p>
                        </w:tc>
                        <w:tc>
                          <w:tcPr>
                            <w:tcW w:w="1069" w:type="dxa"/>
                            <w:tcBorders>
                              <w:top w:val="single" w:sz="4" w:space="0" w:color="000000"/>
                            </w:tcBorders>
                          </w:tcPr>
                          <w:p>
                            <w:pPr>
                              <w:pStyle w:val="TableParagraph"/>
                              <w:spacing w:before="8"/>
                              <w:ind w:left="295"/>
                              <w:rPr>
                                <w:sz w:val="18"/>
                              </w:rPr>
                            </w:pPr>
                            <w:r>
                              <w:rPr>
                                <w:spacing w:val="-2"/>
                                <w:sz w:val="18"/>
                              </w:rPr>
                              <w:t>6,790</w:t>
                            </w:r>
                          </w:p>
                        </w:tc>
                        <w:tc>
                          <w:tcPr>
                            <w:tcW w:w="682" w:type="dxa"/>
                            <w:tcBorders>
                              <w:top w:val="single" w:sz="4" w:space="0" w:color="000000"/>
                            </w:tcBorders>
                          </w:tcPr>
                          <w:p>
                            <w:pPr>
                              <w:pStyle w:val="TableParagraph"/>
                              <w:spacing w:before="8"/>
                              <w:ind w:right="13"/>
                              <w:jc w:val="right"/>
                              <w:rPr>
                                <w:sz w:val="18"/>
                              </w:rPr>
                            </w:pPr>
                            <w:r>
                              <w:rPr>
                                <w:spacing w:val="-2"/>
                                <w:sz w:val="18"/>
                              </w:rPr>
                              <w:t>(24)%</w:t>
                            </w:r>
                          </w:p>
                        </w:tc>
                      </w:tr>
                      <w:tr>
                        <w:trPr>
                          <w:trHeight w:val="250" w:hRule="atLeast"/>
                        </w:trPr>
                        <w:tc>
                          <w:tcPr>
                            <w:tcW w:w="4625" w:type="dxa"/>
                            <w:tcBorders>
                              <w:bottom w:val="single" w:sz="4" w:space="0" w:color="000000"/>
                            </w:tcBorders>
                            <w:shd w:val="clear" w:color="auto" w:fill="CCEDFF"/>
                          </w:tcPr>
                          <w:p>
                            <w:pPr>
                              <w:pStyle w:val="TableParagraph"/>
                              <w:spacing w:before="13"/>
                              <w:ind w:left="52"/>
                              <w:rPr>
                                <w:sz w:val="18"/>
                              </w:rPr>
                            </w:pPr>
                            <w:r>
                              <w:rPr>
                                <w:sz w:val="18"/>
                              </w:rPr>
                              <w:t>Taxes</w:t>
                            </w:r>
                            <w:r>
                              <w:rPr>
                                <w:spacing w:val="-1"/>
                                <w:sz w:val="18"/>
                              </w:rPr>
                              <w:t> </w:t>
                            </w:r>
                            <w:r>
                              <w:rPr>
                                <w:sz w:val="18"/>
                              </w:rPr>
                              <w:t>on </w:t>
                            </w:r>
                            <w:r>
                              <w:rPr>
                                <w:spacing w:val="-2"/>
                                <w:sz w:val="18"/>
                              </w:rPr>
                              <w:t>income</w:t>
                            </w:r>
                          </w:p>
                        </w:tc>
                        <w:tc>
                          <w:tcPr>
                            <w:tcW w:w="1072" w:type="dxa"/>
                            <w:tcBorders>
                              <w:bottom w:val="single" w:sz="4" w:space="0" w:color="000000"/>
                            </w:tcBorders>
                            <w:shd w:val="clear" w:color="auto" w:fill="CCEDFF"/>
                          </w:tcPr>
                          <w:p>
                            <w:pPr>
                              <w:pStyle w:val="TableParagraph"/>
                              <w:spacing w:before="13"/>
                              <w:ind w:left="520"/>
                              <w:rPr>
                                <w:sz w:val="18"/>
                              </w:rPr>
                            </w:pPr>
                            <w:r>
                              <w:rPr>
                                <w:spacing w:val="-5"/>
                                <w:sz w:val="18"/>
                              </w:rPr>
                              <w:t>258</w:t>
                            </w:r>
                          </w:p>
                        </w:tc>
                        <w:tc>
                          <w:tcPr>
                            <w:tcW w:w="1069" w:type="dxa"/>
                            <w:tcBorders>
                              <w:bottom w:val="single" w:sz="4" w:space="0" w:color="000000"/>
                            </w:tcBorders>
                            <w:shd w:val="clear" w:color="auto" w:fill="CCEDFF"/>
                          </w:tcPr>
                          <w:p>
                            <w:pPr>
                              <w:pStyle w:val="TableParagraph"/>
                              <w:spacing w:before="13"/>
                              <w:ind w:left="77"/>
                              <w:jc w:val="center"/>
                              <w:rPr>
                                <w:sz w:val="18"/>
                              </w:rPr>
                            </w:pPr>
                            <w:r>
                              <w:rPr>
                                <w:spacing w:val="-5"/>
                                <w:sz w:val="18"/>
                              </w:rPr>
                              <w:t>657</w:t>
                            </w:r>
                          </w:p>
                        </w:tc>
                        <w:tc>
                          <w:tcPr>
                            <w:tcW w:w="724" w:type="dxa"/>
                            <w:tcBorders>
                              <w:bottom w:val="single" w:sz="4" w:space="0" w:color="000000"/>
                            </w:tcBorders>
                            <w:shd w:val="clear" w:color="auto" w:fill="CCEDFF"/>
                          </w:tcPr>
                          <w:p>
                            <w:pPr>
                              <w:pStyle w:val="TableParagraph"/>
                              <w:spacing w:before="13"/>
                              <w:ind w:left="209"/>
                              <w:rPr>
                                <w:sz w:val="18"/>
                              </w:rPr>
                            </w:pPr>
                            <w:r>
                              <w:rPr>
                                <w:spacing w:val="-2"/>
                                <w:sz w:val="18"/>
                              </w:rPr>
                              <w:t>(61)%</w:t>
                            </w:r>
                          </w:p>
                        </w:tc>
                        <w:tc>
                          <w:tcPr>
                            <w:tcW w:w="1020" w:type="dxa"/>
                            <w:tcBorders>
                              <w:bottom w:val="single" w:sz="4" w:space="0" w:color="000000"/>
                            </w:tcBorders>
                            <w:shd w:val="clear" w:color="auto" w:fill="CCEDFF"/>
                          </w:tcPr>
                          <w:p>
                            <w:pPr>
                              <w:pStyle w:val="TableParagraph"/>
                              <w:spacing w:before="13"/>
                              <w:ind w:left="340"/>
                              <w:rPr>
                                <w:sz w:val="18"/>
                              </w:rPr>
                            </w:pPr>
                            <w:r>
                              <w:rPr>
                                <w:spacing w:val="-2"/>
                                <w:sz w:val="18"/>
                              </w:rPr>
                              <w:t>1,162</w:t>
                            </w:r>
                          </w:p>
                        </w:tc>
                        <w:tc>
                          <w:tcPr>
                            <w:tcW w:w="1069" w:type="dxa"/>
                            <w:tcBorders>
                              <w:bottom w:val="single" w:sz="4" w:space="0" w:color="000000"/>
                            </w:tcBorders>
                            <w:shd w:val="clear" w:color="auto" w:fill="CCEDFF"/>
                          </w:tcPr>
                          <w:p>
                            <w:pPr>
                              <w:pStyle w:val="TableParagraph"/>
                              <w:spacing w:before="13"/>
                              <w:ind w:left="295"/>
                              <w:rPr>
                                <w:sz w:val="18"/>
                              </w:rPr>
                            </w:pPr>
                            <w:r>
                              <w:rPr>
                                <w:spacing w:val="-2"/>
                                <w:sz w:val="18"/>
                              </w:rPr>
                              <w:t>1,575</w:t>
                            </w:r>
                          </w:p>
                        </w:tc>
                        <w:tc>
                          <w:tcPr>
                            <w:tcW w:w="682" w:type="dxa"/>
                            <w:tcBorders>
                              <w:bottom w:val="single" w:sz="4" w:space="0" w:color="000000"/>
                            </w:tcBorders>
                            <w:shd w:val="clear" w:color="auto" w:fill="CCEDFF"/>
                          </w:tcPr>
                          <w:p>
                            <w:pPr>
                              <w:pStyle w:val="TableParagraph"/>
                              <w:spacing w:before="13"/>
                              <w:ind w:right="13"/>
                              <w:jc w:val="right"/>
                              <w:rPr>
                                <w:sz w:val="18"/>
                              </w:rPr>
                            </w:pPr>
                            <w:r>
                              <w:rPr>
                                <w:spacing w:val="-2"/>
                                <w:sz w:val="18"/>
                              </w:rPr>
                              <w:t>(26)%</w:t>
                            </w:r>
                          </w:p>
                        </w:tc>
                      </w:tr>
                      <w:tr>
                        <w:trPr>
                          <w:trHeight w:val="245" w:hRule="atLeast"/>
                        </w:trPr>
                        <w:tc>
                          <w:tcPr>
                            <w:tcW w:w="4625" w:type="dxa"/>
                            <w:tcBorders>
                              <w:top w:val="single" w:sz="4" w:space="0" w:color="000000"/>
                              <w:bottom w:val="single" w:sz="4" w:space="0" w:color="000000"/>
                            </w:tcBorders>
                          </w:tcPr>
                          <w:p>
                            <w:pPr>
                              <w:pStyle w:val="TableParagraph"/>
                              <w:spacing w:before="8"/>
                              <w:ind w:left="52"/>
                              <w:rPr>
                                <w:sz w:val="18"/>
                              </w:rPr>
                            </w:pPr>
                            <w:r>
                              <w:rPr>
                                <w:sz w:val="18"/>
                              </w:rPr>
                              <w:t>Net</w:t>
                            </w:r>
                            <w:r>
                              <w:rPr>
                                <w:spacing w:val="-1"/>
                                <w:sz w:val="18"/>
                              </w:rPr>
                              <w:t> </w:t>
                            </w:r>
                            <w:r>
                              <w:rPr>
                                <w:spacing w:val="-2"/>
                                <w:sz w:val="18"/>
                              </w:rPr>
                              <w:t>income</w:t>
                            </w:r>
                          </w:p>
                        </w:tc>
                        <w:tc>
                          <w:tcPr>
                            <w:tcW w:w="1072" w:type="dxa"/>
                            <w:tcBorders>
                              <w:top w:val="single" w:sz="4" w:space="0" w:color="000000"/>
                              <w:bottom w:val="single" w:sz="4" w:space="0" w:color="000000"/>
                            </w:tcBorders>
                          </w:tcPr>
                          <w:p>
                            <w:pPr>
                              <w:pStyle w:val="TableParagraph"/>
                              <w:spacing w:before="8"/>
                              <w:ind w:left="385"/>
                              <w:rPr>
                                <w:sz w:val="18"/>
                              </w:rPr>
                            </w:pPr>
                            <w:r>
                              <w:rPr>
                                <w:spacing w:val="-2"/>
                                <w:sz w:val="18"/>
                              </w:rPr>
                              <w:t>1,125</w:t>
                            </w:r>
                          </w:p>
                        </w:tc>
                        <w:tc>
                          <w:tcPr>
                            <w:tcW w:w="1069" w:type="dxa"/>
                            <w:tcBorders>
                              <w:top w:val="single" w:sz="4" w:space="0" w:color="000000"/>
                              <w:bottom w:val="single" w:sz="4" w:space="0" w:color="000000"/>
                            </w:tcBorders>
                          </w:tcPr>
                          <w:p>
                            <w:pPr>
                              <w:pStyle w:val="TableParagraph"/>
                              <w:spacing w:before="8"/>
                              <w:ind w:left="303"/>
                              <w:rPr>
                                <w:sz w:val="18"/>
                              </w:rPr>
                            </w:pPr>
                            <w:r>
                              <w:rPr>
                                <w:spacing w:val="-2"/>
                                <w:sz w:val="18"/>
                              </w:rPr>
                              <w:t>2,020</w:t>
                            </w:r>
                          </w:p>
                        </w:tc>
                        <w:tc>
                          <w:tcPr>
                            <w:tcW w:w="724" w:type="dxa"/>
                            <w:tcBorders>
                              <w:top w:val="single" w:sz="4" w:space="0" w:color="000000"/>
                              <w:bottom w:val="single" w:sz="4" w:space="0" w:color="000000"/>
                            </w:tcBorders>
                          </w:tcPr>
                          <w:p>
                            <w:pPr>
                              <w:pStyle w:val="TableParagraph"/>
                              <w:spacing w:before="8"/>
                              <w:ind w:left="209"/>
                              <w:rPr>
                                <w:sz w:val="18"/>
                              </w:rPr>
                            </w:pPr>
                            <w:r>
                              <w:rPr>
                                <w:spacing w:val="-2"/>
                                <w:sz w:val="18"/>
                              </w:rPr>
                              <w:t>(44)%</w:t>
                            </w:r>
                          </w:p>
                        </w:tc>
                        <w:tc>
                          <w:tcPr>
                            <w:tcW w:w="1020" w:type="dxa"/>
                            <w:tcBorders>
                              <w:top w:val="single" w:sz="4" w:space="0" w:color="000000"/>
                              <w:bottom w:val="single" w:sz="4" w:space="0" w:color="000000"/>
                            </w:tcBorders>
                          </w:tcPr>
                          <w:p>
                            <w:pPr>
                              <w:pStyle w:val="TableParagraph"/>
                              <w:spacing w:before="8"/>
                              <w:ind w:left="340"/>
                              <w:rPr>
                                <w:sz w:val="18"/>
                              </w:rPr>
                            </w:pPr>
                            <w:r>
                              <w:rPr>
                                <w:spacing w:val="-2"/>
                                <w:sz w:val="18"/>
                              </w:rPr>
                              <w:t>4,022</w:t>
                            </w:r>
                          </w:p>
                        </w:tc>
                        <w:tc>
                          <w:tcPr>
                            <w:tcW w:w="1069" w:type="dxa"/>
                            <w:tcBorders>
                              <w:top w:val="single" w:sz="4" w:space="0" w:color="000000"/>
                              <w:bottom w:val="single" w:sz="4" w:space="0" w:color="000000"/>
                            </w:tcBorders>
                          </w:tcPr>
                          <w:p>
                            <w:pPr>
                              <w:pStyle w:val="TableParagraph"/>
                              <w:spacing w:before="8"/>
                              <w:ind w:left="295"/>
                              <w:rPr>
                                <w:sz w:val="18"/>
                              </w:rPr>
                            </w:pPr>
                            <w:r>
                              <w:rPr>
                                <w:spacing w:val="-2"/>
                                <w:sz w:val="18"/>
                              </w:rPr>
                              <w:t>5,215</w:t>
                            </w:r>
                          </w:p>
                        </w:tc>
                        <w:tc>
                          <w:tcPr>
                            <w:tcW w:w="682" w:type="dxa"/>
                            <w:tcBorders>
                              <w:top w:val="single" w:sz="4" w:space="0" w:color="000000"/>
                              <w:bottom w:val="single" w:sz="4" w:space="0" w:color="000000"/>
                            </w:tcBorders>
                          </w:tcPr>
                          <w:p>
                            <w:pPr>
                              <w:pStyle w:val="TableParagraph"/>
                              <w:spacing w:before="8"/>
                              <w:ind w:right="13"/>
                              <w:jc w:val="right"/>
                              <w:rPr>
                                <w:sz w:val="18"/>
                              </w:rPr>
                            </w:pPr>
                            <w:r>
                              <w:rPr>
                                <w:spacing w:val="-2"/>
                                <w:sz w:val="18"/>
                              </w:rPr>
                              <w:t>(23)%</w:t>
                            </w:r>
                          </w:p>
                        </w:tc>
                      </w:tr>
                      <w:tr>
                        <w:trPr>
                          <w:trHeight w:val="245" w:hRule="atLeast"/>
                        </w:trPr>
                        <w:tc>
                          <w:tcPr>
                            <w:tcW w:w="4625" w:type="dxa"/>
                            <w:tcBorders>
                              <w:top w:val="single" w:sz="4" w:space="0" w:color="000000"/>
                              <w:bottom w:val="single" w:sz="4" w:space="0" w:color="000000"/>
                            </w:tcBorders>
                            <w:shd w:val="clear" w:color="auto" w:fill="CCEDFF"/>
                          </w:tcPr>
                          <w:p>
                            <w:pPr>
                              <w:pStyle w:val="TableParagraph"/>
                              <w:spacing w:before="8"/>
                              <w:ind w:left="52"/>
                              <w:rPr>
                                <w:sz w:val="18"/>
                              </w:rPr>
                            </w:pPr>
                            <w:r>
                              <w:rPr>
                                <w:sz w:val="18"/>
                              </w:rPr>
                              <w:t>Preferred</w:t>
                            </w:r>
                            <w:r>
                              <w:rPr>
                                <w:spacing w:val="-1"/>
                                <w:sz w:val="18"/>
                              </w:rPr>
                              <w:t> </w:t>
                            </w:r>
                            <w:r>
                              <w:rPr>
                                <w:sz w:val="18"/>
                              </w:rPr>
                              <w:t>stock dividends</w:t>
                            </w:r>
                            <w:r>
                              <w:rPr>
                                <w:spacing w:val="-2"/>
                                <w:sz w:val="18"/>
                              </w:rPr>
                              <w:t> </w:t>
                            </w:r>
                            <w:r>
                              <w:rPr>
                                <w:sz w:val="18"/>
                              </w:rPr>
                              <w:t>and </w:t>
                            </w:r>
                            <w:r>
                              <w:rPr>
                                <w:spacing w:val="-2"/>
                                <w:sz w:val="18"/>
                              </w:rPr>
                              <w:t>other</w:t>
                            </w:r>
                          </w:p>
                        </w:tc>
                        <w:tc>
                          <w:tcPr>
                            <w:tcW w:w="1072" w:type="dxa"/>
                            <w:tcBorders>
                              <w:top w:val="single" w:sz="4" w:space="0" w:color="000000"/>
                              <w:bottom w:val="single" w:sz="4" w:space="0" w:color="000000"/>
                            </w:tcBorders>
                            <w:shd w:val="clear" w:color="auto" w:fill="CCEDFF"/>
                          </w:tcPr>
                          <w:p>
                            <w:pPr>
                              <w:pStyle w:val="TableParagraph"/>
                              <w:spacing w:before="8"/>
                              <w:ind w:left="520"/>
                              <w:rPr>
                                <w:sz w:val="18"/>
                              </w:rPr>
                            </w:pPr>
                            <w:r>
                              <w:rPr>
                                <w:spacing w:val="-5"/>
                                <w:sz w:val="18"/>
                              </w:rPr>
                              <w:t>108</w:t>
                            </w:r>
                          </w:p>
                        </w:tc>
                        <w:tc>
                          <w:tcPr>
                            <w:tcW w:w="1069" w:type="dxa"/>
                            <w:tcBorders>
                              <w:top w:val="single" w:sz="4" w:space="0" w:color="000000"/>
                              <w:bottom w:val="single" w:sz="4" w:space="0" w:color="000000"/>
                            </w:tcBorders>
                            <w:shd w:val="clear" w:color="auto" w:fill="CCEDFF"/>
                          </w:tcPr>
                          <w:p>
                            <w:pPr>
                              <w:pStyle w:val="TableParagraph"/>
                              <w:spacing w:before="8"/>
                              <w:ind w:left="77"/>
                              <w:jc w:val="center"/>
                              <w:rPr>
                                <w:sz w:val="18"/>
                              </w:rPr>
                            </w:pPr>
                            <w:r>
                              <w:rPr>
                                <w:spacing w:val="-5"/>
                                <w:sz w:val="18"/>
                              </w:rPr>
                              <w:t>136</w:t>
                            </w:r>
                          </w:p>
                        </w:tc>
                        <w:tc>
                          <w:tcPr>
                            <w:tcW w:w="724" w:type="dxa"/>
                            <w:tcBorders>
                              <w:top w:val="single" w:sz="4" w:space="0" w:color="000000"/>
                              <w:bottom w:val="single" w:sz="4" w:space="0" w:color="000000"/>
                            </w:tcBorders>
                            <w:shd w:val="clear" w:color="auto" w:fill="CCEDFF"/>
                          </w:tcPr>
                          <w:p>
                            <w:pPr>
                              <w:pStyle w:val="TableParagraph"/>
                              <w:spacing w:before="8"/>
                              <w:ind w:left="209"/>
                              <w:rPr>
                                <w:sz w:val="18"/>
                              </w:rPr>
                            </w:pPr>
                            <w:r>
                              <w:rPr>
                                <w:spacing w:val="-2"/>
                                <w:sz w:val="18"/>
                              </w:rPr>
                              <w:t>(21)%</w:t>
                            </w:r>
                          </w:p>
                        </w:tc>
                        <w:tc>
                          <w:tcPr>
                            <w:tcW w:w="1020" w:type="dxa"/>
                            <w:tcBorders>
                              <w:top w:val="single" w:sz="4" w:space="0" w:color="000000"/>
                              <w:bottom w:val="single" w:sz="4" w:space="0" w:color="000000"/>
                            </w:tcBorders>
                            <w:shd w:val="clear" w:color="auto" w:fill="CCEDFF"/>
                          </w:tcPr>
                          <w:p>
                            <w:pPr>
                              <w:pStyle w:val="TableParagraph"/>
                              <w:spacing w:before="8"/>
                              <w:ind w:left="475"/>
                              <w:rPr>
                                <w:sz w:val="18"/>
                              </w:rPr>
                            </w:pPr>
                            <w:r>
                              <w:rPr>
                                <w:spacing w:val="-5"/>
                                <w:sz w:val="18"/>
                              </w:rPr>
                              <w:t>299</w:t>
                            </w:r>
                          </w:p>
                        </w:tc>
                        <w:tc>
                          <w:tcPr>
                            <w:tcW w:w="1069" w:type="dxa"/>
                            <w:tcBorders>
                              <w:top w:val="single" w:sz="4" w:space="0" w:color="000000"/>
                              <w:bottom w:val="single" w:sz="4" w:space="0" w:color="000000"/>
                            </w:tcBorders>
                            <w:shd w:val="clear" w:color="auto" w:fill="CCEDFF"/>
                          </w:tcPr>
                          <w:p>
                            <w:pPr>
                              <w:pStyle w:val="TableParagraph"/>
                              <w:spacing w:before="8"/>
                              <w:ind w:left="77" w:right="16"/>
                              <w:jc w:val="center"/>
                              <w:rPr>
                                <w:sz w:val="18"/>
                              </w:rPr>
                            </w:pPr>
                            <w:r>
                              <w:rPr>
                                <w:spacing w:val="-5"/>
                                <w:sz w:val="18"/>
                              </w:rPr>
                              <w:t>401</w:t>
                            </w:r>
                          </w:p>
                        </w:tc>
                        <w:tc>
                          <w:tcPr>
                            <w:tcW w:w="682" w:type="dxa"/>
                            <w:tcBorders>
                              <w:top w:val="single" w:sz="4" w:space="0" w:color="000000"/>
                              <w:bottom w:val="single" w:sz="4" w:space="0" w:color="000000"/>
                            </w:tcBorders>
                            <w:shd w:val="clear" w:color="auto" w:fill="CCEDFF"/>
                          </w:tcPr>
                          <w:p>
                            <w:pPr>
                              <w:pStyle w:val="TableParagraph"/>
                              <w:spacing w:before="8"/>
                              <w:ind w:right="13"/>
                              <w:jc w:val="right"/>
                              <w:rPr>
                                <w:sz w:val="18"/>
                              </w:rPr>
                            </w:pPr>
                            <w:r>
                              <w:rPr>
                                <w:spacing w:val="-2"/>
                                <w:sz w:val="18"/>
                              </w:rPr>
                              <w:t>(25)%</w:t>
                            </w:r>
                          </w:p>
                        </w:tc>
                      </w:tr>
                      <w:tr>
                        <w:trPr>
                          <w:trHeight w:val="220" w:hRule="atLeast"/>
                        </w:trPr>
                        <w:tc>
                          <w:tcPr>
                            <w:tcW w:w="4625" w:type="dxa"/>
                            <w:tcBorders>
                              <w:top w:val="single" w:sz="4" w:space="0" w:color="000000"/>
                              <w:bottom w:val="double" w:sz="8" w:space="0" w:color="auto"/>
                            </w:tcBorders>
                          </w:tcPr>
                          <w:p>
                            <w:pPr>
                              <w:pStyle w:val="TableParagraph"/>
                              <w:spacing w:line="191" w:lineRule="exact" w:before="8"/>
                              <w:ind w:left="52"/>
                              <w:rPr>
                                <w:sz w:val="18"/>
                              </w:rPr>
                            </w:pPr>
                            <w:r>
                              <w:rPr>
                                <w:sz w:val="18"/>
                              </w:rPr>
                              <w:t>Net</w:t>
                            </w:r>
                            <w:r>
                              <w:rPr>
                                <w:spacing w:val="-1"/>
                                <w:sz w:val="18"/>
                              </w:rPr>
                              <w:t> </w:t>
                            </w:r>
                            <w:r>
                              <w:rPr>
                                <w:sz w:val="18"/>
                              </w:rPr>
                              <w:t>income available to common </w:t>
                            </w:r>
                            <w:r>
                              <w:rPr>
                                <w:spacing w:val="-2"/>
                                <w:sz w:val="18"/>
                              </w:rPr>
                              <w:t>stockholders</w:t>
                            </w:r>
                          </w:p>
                        </w:tc>
                        <w:tc>
                          <w:tcPr>
                            <w:tcW w:w="1072" w:type="dxa"/>
                            <w:tcBorders>
                              <w:top w:val="single" w:sz="4" w:space="0" w:color="000000"/>
                              <w:bottom w:val="double" w:sz="8" w:space="0" w:color="auto"/>
                            </w:tcBorders>
                          </w:tcPr>
                          <w:p>
                            <w:pPr>
                              <w:pStyle w:val="TableParagraph"/>
                              <w:spacing w:line="191" w:lineRule="exact" w:before="8"/>
                              <w:ind w:left="122"/>
                              <w:rPr>
                                <w:sz w:val="18"/>
                              </w:rPr>
                            </w:pPr>
                            <w:r>
                              <w:rPr>
                                <w:sz w:val="18"/>
                              </w:rPr>
                              <w:t>$</w:t>
                            </w:r>
                            <w:r>
                              <w:rPr>
                                <w:spacing w:val="41"/>
                                <w:sz w:val="18"/>
                              </w:rPr>
                              <w:t>  </w:t>
                            </w:r>
                            <w:r>
                              <w:rPr>
                                <w:spacing w:val="-2"/>
                                <w:sz w:val="18"/>
                              </w:rPr>
                              <w:t>1,017</w:t>
                            </w:r>
                          </w:p>
                        </w:tc>
                        <w:tc>
                          <w:tcPr>
                            <w:tcW w:w="1069" w:type="dxa"/>
                            <w:tcBorders>
                              <w:top w:val="single" w:sz="4" w:space="0" w:color="000000"/>
                              <w:bottom w:val="double" w:sz="8" w:space="0" w:color="auto"/>
                            </w:tcBorders>
                          </w:tcPr>
                          <w:p>
                            <w:pPr>
                              <w:pStyle w:val="TableParagraph"/>
                              <w:spacing w:line="191" w:lineRule="exact" w:before="8"/>
                              <w:ind w:left="70"/>
                              <w:rPr>
                                <w:sz w:val="18"/>
                              </w:rPr>
                            </w:pPr>
                            <w:r>
                              <w:rPr>
                                <w:sz w:val="18"/>
                              </w:rPr>
                              <w:t>$</w:t>
                            </w:r>
                            <w:r>
                              <w:rPr>
                                <w:spacing w:val="74"/>
                                <w:w w:val="150"/>
                                <w:sz w:val="18"/>
                              </w:rPr>
                              <w:t> </w:t>
                            </w:r>
                            <w:r>
                              <w:rPr>
                                <w:spacing w:val="-2"/>
                                <w:sz w:val="18"/>
                              </w:rPr>
                              <w:t>1,884</w:t>
                            </w:r>
                          </w:p>
                        </w:tc>
                        <w:tc>
                          <w:tcPr>
                            <w:tcW w:w="724" w:type="dxa"/>
                            <w:tcBorders>
                              <w:top w:val="single" w:sz="4" w:space="0" w:color="000000"/>
                              <w:bottom w:val="double" w:sz="8" w:space="0" w:color="auto"/>
                            </w:tcBorders>
                          </w:tcPr>
                          <w:p>
                            <w:pPr>
                              <w:pStyle w:val="TableParagraph"/>
                              <w:spacing w:line="191" w:lineRule="exact" w:before="8"/>
                              <w:ind w:left="209"/>
                              <w:rPr>
                                <w:sz w:val="18"/>
                              </w:rPr>
                            </w:pPr>
                            <w:r>
                              <w:rPr>
                                <w:spacing w:val="-2"/>
                                <w:sz w:val="18"/>
                              </w:rPr>
                              <w:t>(46)%</w:t>
                            </w:r>
                          </w:p>
                        </w:tc>
                        <w:tc>
                          <w:tcPr>
                            <w:tcW w:w="1020" w:type="dxa"/>
                            <w:tcBorders>
                              <w:top w:val="single" w:sz="4" w:space="0" w:color="000000"/>
                              <w:bottom w:val="double" w:sz="8" w:space="0" w:color="auto"/>
                            </w:tcBorders>
                          </w:tcPr>
                          <w:p>
                            <w:pPr>
                              <w:pStyle w:val="TableParagraph"/>
                              <w:spacing w:line="191" w:lineRule="exact" w:before="8"/>
                              <w:ind w:left="62"/>
                              <w:rPr>
                                <w:sz w:val="18"/>
                              </w:rPr>
                            </w:pPr>
                            <w:r>
                              <w:rPr>
                                <w:sz w:val="18"/>
                              </w:rPr>
                              <w:t>$</w:t>
                            </w:r>
                            <w:r>
                              <w:rPr>
                                <w:spacing w:val="48"/>
                                <w:sz w:val="18"/>
                              </w:rPr>
                              <w:t>  </w:t>
                            </w:r>
                            <w:r>
                              <w:rPr>
                                <w:spacing w:val="-2"/>
                                <w:sz w:val="18"/>
                              </w:rPr>
                              <w:t>3,723</w:t>
                            </w:r>
                          </w:p>
                        </w:tc>
                        <w:tc>
                          <w:tcPr>
                            <w:tcW w:w="1069" w:type="dxa"/>
                            <w:tcBorders>
                              <w:top w:val="single" w:sz="4" w:space="0" w:color="000000"/>
                              <w:bottom w:val="double" w:sz="8" w:space="0" w:color="auto"/>
                            </w:tcBorders>
                          </w:tcPr>
                          <w:p>
                            <w:pPr>
                              <w:pStyle w:val="TableParagraph"/>
                              <w:spacing w:line="191" w:lineRule="exact" w:before="8"/>
                              <w:ind w:left="62"/>
                              <w:rPr>
                                <w:sz w:val="18"/>
                              </w:rPr>
                            </w:pPr>
                            <w:r>
                              <w:rPr>
                                <w:sz w:val="18"/>
                              </w:rPr>
                              <w:t>$</w:t>
                            </w:r>
                            <w:r>
                              <w:rPr>
                                <w:spacing w:val="74"/>
                                <w:w w:val="150"/>
                                <w:sz w:val="18"/>
                              </w:rPr>
                              <w:t> </w:t>
                            </w:r>
                            <w:r>
                              <w:rPr>
                                <w:spacing w:val="-2"/>
                                <w:sz w:val="18"/>
                              </w:rPr>
                              <w:t>4,814</w:t>
                            </w:r>
                          </w:p>
                        </w:tc>
                        <w:tc>
                          <w:tcPr>
                            <w:tcW w:w="682" w:type="dxa"/>
                            <w:tcBorders>
                              <w:top w:val="single" w:sz="4" w:space="0" w:color="000000"/>
                              <w:bottom w:val="double" w:sz="8" w:space="0" w:color="auto"/>
                            </w:tcBorders>
                          </w:tcPr>
                          <w:p>
                            <w:pPr>
                              <w:pStyle w:val="TableParagraph"/>
                              <w:spacing w:line="191" w:lineRule="exact" w:before="8"/>
                              <w:ind w:right="13"/>
                              <w:jc w:val="right"/>
                              <w:rPr>
                                <w:sz w:val="18"/>
                              </w:rPr>
                            </w:pPr>
                            <w:r>
                              <w:rPr>
                                <w:spacing w:val="-2"/>
                                <w:sz w:val="18"/>
                              </w:rPr>
                              <w:t>(23)%</w:t>
                            </w:r>
                          </w:p>
                        </w:tc>
                      </w:tr>
                      <w:tr>
                        <w:trPr>
                          <w:trHeight w:val="225" w:hRule="atLeast"/>
                        </w:trPr>
                        <w:tc>
                          <w:tcPr>
                            <w:tcW w:w="4625" w:type="dxa"/>
                            <w:tcBorders>
                              <w:top w:val="double" w:sz="8" w:space="0" w:color="CCEDFF"/>
                            </w:tcBorders>
                            <w:shd w:val="clear" w:color="auto" w:fill="CCEDFF"/>
                          </w:tcPr>
                          <w:p>
                            <w:pPr>
                              <w:pStyle w:val="TableParagraph"/>
                              <w:spacing w:line="195" w:lineRule="exact"/>
                              <w:ind w:left="52"/>
                              <w:rPr>
                                <w:sz w:val="18"/>
                              </w:rPr>
                            </w:pPr>
                            <w:r>
                              <w:rPr>
                                <w:sz w:val="18"/>
                              </w:rPr>
                              <w:t>Earnings</w:t>
                            </w:r>
                            <w:r>
                              <w:rPr>
                                <w:spacing w:val="-2"/>
                                <w:sz w:val="18"/>
                              </w:rPr>
                              <w:t> </w:t>
                            </w:r>
                            <w:r>
                              <w:rPr>
                                <w:sz w:val="18"/>
                              </w:rPr>
                              <w:t>per common share — </w:t>
                            </w:r>
                            <w:r>
                              <w:rPr>
                                <w:spacing w:val="-2"/>
                                <w:sz w:val="18"/>
                              </w:rPr>
                              <w:t>diluted</w:t>
                            </w:r>
                          </w:p>
                        </w:tc>
                        <w:tc>
                          <w:tcPr>
                            <w:tcW w:w="1072" w:type="dxa"/>
                            <w:tcBorders>
                              <w:top w:val="double" w:sz="8" w:space="0" w:color="CCEDFF"/>
                            </w:tcBorders>
                            <w:shd w:val="clear" w:color="auto" w:fill="CCEDFF"/>
                          </w:tcPr>
                          <w:p>
                            <w:pPr>
                              <w:pStyle w:val="TableParagraph"/>
                              <w:tabs>
                                <w:tab w:pos="565" w:val="left" w:leader="none"/>
                              </w:tabs>
                              <w:spacing w:line="191" w:lineRule="exact"/>
                              <w:ind w:left="122"/>
                              <w:rPr>
                                <w:sz w:val="18"/>
                              </w:rPr>
                            </w:pPr>
                            <w:r>
                              <w:rPr>
                                <w:spacing w:val="-10"/>
                                <w:sz w:val="18"/>
                              </w:rPr>
                              <w:t>$</w:t>
                            </w:r>
                            <w:r>
                              <w:rPr>
                                <w:sz w:val="18"/>
                              </w:rPr>
                              <w:tab/>
                            </w:r>
                            <w:r>
                              <w:rPr>
                                <w:spacing w:val="-5"/>
                                <w:sz w:val="18"/>
                              </w:rPr>
                              <w:t>.56</w:t>
                            </w:r>
                          </w:p>
                        </w:tc>
                        <w:tc>
                          <w:tcPr>
                            <w:tcW w:w="1069" w:type="dxa"/>
                            <w:tcBorders>
                              <w:top w:val="double" w:sz="8" w:space="0" w:color="CCEDFF"/>
                            </w:tcBorders>
                            <w:shd w:val="clear" w:color="auto" w:fill="CCEDFF"/>
                          </w:tcPr>
                          <w:p>
                            <w:pPr>
                              <w:pStyle w:val="TableParagraph"/>
                              <w:tabs>
                                <w:tab w:pos="483" w:val="left" w:leader="none"/>
                              </w:tabs>
                              <w:spacing w:line="191" w:lineRule="exact"/>
                              <w:ind w:left="70"/>
                              <w:rPr>
                                <w:sz w:val="18"/>
                              </w:rPr>
                            </w:pPr>
                            <w:r>
                              <w:rPr>
                                <w:spacing w:val="-10"/>
                                <w:sz w:val="18"/>
                              </w:rPr>
                              <w:t>$</w:t>
                            </w:r>
                            <w:r>
                              <w:rPr>
                                <w:sz w:val="18"/>
                              </w:rPr>
                              <w:tab/>
                            </w:r>
                            <w:r>
                              <w:rPr>
                                <w:spacing w:val="-5"/>
                                <w:sz w:val="18"/>
                              </w:rPr>
                              <w:t>.99</w:t>
                            </w:r>
                          </w:p>
                        </w:tc>
                        <w:tc>
                          <w:tcPr>
                            <w:tcW w:w="724" w:type="dxa"/>
                            <w:tcBorders>
                              <w:top w:val="double" w:sz="8" w:space="0" w:color="CCEDFF"/>
                            </w:tcBorders>
                            <w:shd w:val="clear" w:color="auto" w:fill="CCEDFF"/>
                          </w:tcPr>
                          <w:p>
                            <w:pPr>
                              <w:pStyle w:val="TableParagraph"/>
                              <w:spacing w:line="191" w:lineRule="exact"/>
                              <w:ind w:left="209"/>
                              <w:rPr>
                                <w:sz w:val="18"/>
                              </w:rPr>
                            </w:pPr>
                            <w:r>
                              <w:rPr>
                                <w:spacing w:val="-2"/>
                                <w:sz w:val="18"/>
                              </w:rPr>
                              <w:t>(43)%</w:t>
                            </w:r>
                          </w:p>
                        </w:tc>
                        <w:tc>
                          <w:tcPr>
                            <w:tcW w:w="1020" w:type="dxa"/>
                            <w:tcBorders>
                              <w:top w:val="double" w:sz="8" w:space="0" w:color="CCEDFF"/>
                            </w:tcBorders>
                            <w:shd w:val="clear" w:color="auto" w:fill="CCEDFF"/>
                          </w:tcPr>
                          <w:p>
                            <w:pPr>
                              <w:pStyle w:val="TableParagraph"/>
                              <w:tabs>
                                <w:tab w:pos="430" w:val="left" w:leader="none"/>
                              </w:tabs>
                              <w:spacing w:line="191" w:lineRule="exact"/>
                              <w:ind w:left="62"/>
                              <w:rPr>
                                <w:sz w:val="18"/>
                              </w:rPr>
                            </w:pPr>
                            <w:r>
                              <w:rPr>
                                <w:spacing w:val="-10"/>
                                <w:sz w:val="18"/>
                              </w:rPr>
                              <w:t>$</w:t>
                            </w:r>
                            <w:r>
                              <w:rPr>
                                <w:sz w:val="18"/>
                              </w:rPr>
                              <w:tab/>
                            </w:r>
                            <w:r>
                              <w:rPr>
                                <w:spacing w:val="-4"/>
                                <w:sz w:val="18"/>
                              </w:rPr>
                              <w:t>2.03</w:t>
                            </w:r>
                          </w:p>
                        </w:tc>
                        <w:tc>
                          <w:tcPr>
                            <w:tcW w:w="1069" w:type="dxa"/>
                            <w:tcBorders>
                              <w:top w:val="double" w:sz="8" w:space="0" w:color="CCEDFF"/>
                            </w:tcBorders>
                            <w:shd w:val="clear" w:color="auto" w:fill="CCEDFF"/>
                          </w:tcPr>
                          <w:p>
                            <w:pPr>
                              <w:pStyle w:val="TableParagraph"/>
                              <w:tabs>
                                <w:tab w:pos="385" w:val="left" w:leader="none"/>
                              </w:tabs>
                              <w:spacing w:line="191" w:lineRule="exact"/>
                              <w:ind w:left="62"/>
                              <w:rPr>
                                <w:sz w:val="18"/>
                              </w:rPr>
                            </w:pPr>
                            <w:r>
                              <w:rPr>
                                <w:spacing w:val="-10"/>
                                <w:sz w:val="18"/>
                              </w:rPr>
                              <w:t>$</w:t>
                            </w:r>
                            <w:r>
                              <w:rPr>
                                <w:sz w:val="18"/>
                              </w:rPr>
                              <w:tab/>
                            </w:r>
                            <w:r>
                              <w:rPr>
                                <w:spacing w:val="-4"/>
                                <w:sz w:val="18"/>
                              </w:rPr>
                              <w:t>2.53</w:t>
                            </w:r>
                          </w:p>
                        </w:tc>
                        <w:tc>
                          <w:tcPr>
                            <w:tcW w:w="682" w:type="dxa"/>
                            <w:tcBorders>
                              <w:top w:val="double" w:sz="8" w:space="0" w:color="CCEDFF"/>
                            </w:tcBorders>
                            <w:shd w:val="clear" w:color="auto" w:fill="CCEDFF"/>
                          </w:tcPr>
                          <w:p>
                            <w:pPr>
                              <w:pStyle w:val="TableParagraph"/>
                              <w:spacing w:line="191" w:lineRule="exact"/>
                              <w:ind w:right="13"/>
                              <w:jc w:val="right"/>
                              <w:rPr>
                                <w:sz w:val="18"/>
                              </w:rPr>
                            </w:pPr>
                            <w:r>
                              <w:rPr>
                                <w:spacing w:val="-2"/>
                                <w:sz w:val="18"/>
                              </w:rPr>
                              <w:t>(20)%</w:t>
                            </w:r>
                          </w:p>
                        </w:tc>
                      </w:tr>
                      <w:tr>
                        <w:trPr>
                          <w:trHeight w:val="255" w:hRule="atLeast"/>
                        </w:trPr>
                        <w:tc>
                          <w:tcPr>
                            <w:tcW w:w="4625" w:type="dxa"/>
                          </w:tcPr>
                          <w:p>
                            <w:pPr>
                              <w:pStyle w:val="TableParagraph"/>
                              <w:spacing w:before="13"/>
                              <w:ind w:left="52"/>
                              <w:rPr>
                                <w:sz w:val="18"/>
                              </w:rPr>
                            </w:pPr>
                            <w:r>
                              <w:rPr>
                                <w:sz w:val="18"/>
                              </w:rPr>
                              <w:t>Net</w:t>
                            </w:r>
                            <w:r>
                              <w:rPr>
                                <w:spacing w:val="-1"/>
                                <w:sz w:val="18"/>
                              </w:rPr>
                              <w:t> </w:t>
                            </w:r>
                            <w:r>
                              <w:rPr>
                                <w:sz w:val="18"/>
                              </w:rPr>
                              <w:t>revenue change from prior </w:t>
                            </w:r>
                            <w:r>
                              <w:rPr>
                                <w:spacing w:val="-4"/>
                                <w:sz w:val="18"/>
                              </w:rPr>
                              <w:t>year</w:t>
                            </w:r>
                          </w:p>
                        </w:tc>
                        <w:tc>
                          <w:tcPr>
                            <w:tcW w:w="1072" w:type="dxa"/>
                          </w:tcPr>
                          <w:p>
                            <w:pPr>
                              <w:pStyle w:val="TableParagraph"/>
                              <w:spacing w:before="13"/>
                              <w:ind w:right="69"/>
                              <w:jc w:val="right"/>
                              <w:rPr>
                                <w:sz w:val="18"/>
                              </w:rPr>
                            </w:pPr>
                            <w:r>
                              <w:rPr>
                                <w:spacing w:val="-2"/>
                                <w:sz w:val="18"/>
                              </w:rPr>
                              <w:t>(16)%</w:t>
                            </w:r>
                          </w:p>
                        </w:tc>
                        <w:tc>
                          <w:tcPr>
                            <w:tcW w:w="1069" w:type="dxa"/>
                          </w:tcPr>
                          <w:p>
                            <w:pPr>
                              <w:pStyle w:val="TableParagraph"/>
                              <w:spacing w:before="13"/>
                              <w:ind w:right="208"/>
                              <w:jc w:val="right"/>
                              <w:rPr>
                                <w:sz w:val="18"/>
                              </w:rPr>
                            </w:pPr>
                            <w:r>
                              <w:rPr>
                                <w:spacing w:val="-5"/>
                                <w:sz w:val="18"/>
                              </w:rPr>
                              <w:t>20%</w:t>
                            </w:r>
                          </w:p>
                        </w:tc>
                        <w:tc>
                          <w:tcPr>
                            <w:tcW w:w="724" w:type="dxa"/>
                          </w:tcPr>
                          <w:p>
                            <w:pPr>
                              <w:pStyle w:val="TableParagraph"/>
                              <w:rPr>
                                <w:sz w:val="18"/>
                              </w:rPr>
                            </w:pPr>
                          </w:p>
                        </w:tc>
                        <w:tc>
                          <w:tcPr>
                            <w:tcW w:w="1020" w:type="dxa"/>
                          </w:tcPr>
                          <w:p>
                            <w:pPr>
                              <w:pStyle w:val="TableParagraph"/>
                              <w:spacing w:before="13"/>
                              <w:ind w:right="62"/>
                              <w:jc w:val="right"/>
                              <w:rPr>
                                <w:sz w:val="18"/>
                              </w:rPr>
                            </w:pPr>
                            <w:r>
                              <w:rPr>
                                <w:spacing w:val="-4"/>
                                <w:sz w:val="18"/>
                              </w:rPr>
                              <w:t>(6)%</w:t>
                            </w:r>
                          </w:p>
                        </w:tc>
                        <w:tc>
                          <w:tcPr>
                            <w:tcW w:w="1069" w:type="dxa"/>
                          </w:tcPr>
                          <w:p>
                            <w:pPr>
                              <w:pStyle w:val="TableParagraph"/>
                              <w:spacing w:before="13"/>
                              <w:ind w:right="216"/>
                              <w:jc w:val="right"/>
                              <w:rPr>
                                <w:sz w:val="18"/>
                              </w:rPr>
                            </w:pPr>
                            <w:r>
                              <w:rPr>
                                <w:spacing w:val="-5"/>
                                <w:sz w:val="18"/>
                              </w:rPr>
                              <w:t>11%</w:t>
                            </w:r>
                          </w:p>
                        </w:tc>
                        <w:tc>
                          <w:tcPr>
                            <w:tcW w:w="682" w:type="dxa"/>
                          </w:tcPr>
                          <w:p>
                            <w:pPr>
                              <w:pStyle w:val="TableParagraph"/>
                              <w:rPr>
                                <w:sz w:val="18"/>
                              </w:rPr>
                            </w:pPr>
                          </w:p>
                        </w:tc>
                      </w:tr>
                      <w:tr>
                        <w:trPr>
                          <w:trHeight w:val="255" w:hRule="atLeast"/>
                        </w:trPr>
                        <w:tc>
                          <w:tcPr>
                            <w:tcW w:w="4625" w:type="dxa"/>
                            <w:shd w:val="clear" w:color="auto" w:fill="CCEDFF"/>
                          </w:tcPr>
                          <w:p>
                            <w:pPr>
                              <w:pStyle w:val="TableParagraph"/>
                              <w:spacing w:before="13"/>
                              <w:ind w:left="52"/>
                              <w:rPr>
                                <w:sz w:val="18"/>
                              </w:rPr>
                            </w:pPr>
                            <w:r>
                              <w:rPr>
                                <w:sz w:val="18"/>
                              </w:rPr>
                              <w:t>Pre-tax</w:t>
                            </w:r>
                            <w:r>
                              <w:rPr>
                                <w:spacing w:val="-1"/>
                                <w:sz w:val="18"/>
                              </w:rPr>
                              <w:t> </w:t>
                            </w:r>
                            <w:r>
                              <w:rPr>
                                <w:sz w:val="18"/>
                              </w:rPr>
                              <w:t>profit </w:t>
                            </w:r>
                            <w:r>
                              <w:rPr>
                                <w:spacing w:val="-2"/>
                                <w:sz w:val="18"/>
                              </w:rPr>
                              <w:t>margin</w:t>
                            </w:r>
                          </w:p>
                        </w:tc>
                        <w:tc>
                          <w:tcPr>
                            <w:tcW w:w="1072" w:type="dxa"/>
                            <w:shd w:val="clear" w:color="auto" w:fill="CCEDFF"/>
                          </w:tcPr>
                          <w:p>
                            <w:pPr>
                              <w:pStyle w:val="TableParagraph"/>
                              <w:spacing w:before="13"/>
                              <w:ind w:right="129"/>
                              <w:jc w:val="right"/>
                              <w:rPr>
                                <w:sz w:val="18"/>
                              </w:rPr>
                            </w:pPr>
                            <w:r>
                              <w:rPr>
                                <w:spacing w:val="-2"/>
                                <w:sz w:val="18"/>
                              </w:rPr>
                              <w:t>30.0%</w:t>
                            </w:r>
                          </w:p>
                        </w:tc>
                        <w:tc>
                          <w:tcPr>
                            <w:tcW w:w="1069" w:type="dxa"/>
                            <w:shd w:val="clear" w:color="auto" w:fill="CCEDFF"/>
                          </w:tcPr>
                          <w:p>
                            <w:pPr>
                              <w:pStyle w:val="TableParagraph"/>
                              <w:spacing w:before="13"/>
                              <w:ind w:right="208"/>
                              <w:jc w:val="right"/>
                              <w:rPr>
                                <w:sz w:val="18"/>
                              </w:rPr>
                            </w:pPr>
                            <w:r>
                              <w:rPr>
                                <w:spacing w:val="-2"/>
                                <w:sz w:val="18"/>
                              </w:rPr>
                              <w:t>48.7%</w:t>
                            </w:r>
                          </w:p>
                        </w:tc>
                        <w:tc>
                          <w:tcPr>
                            <w:tcW w:w="724" w:type="dxa"/>
                            <w:shd w:val="clear" w:color="auto" w:fill="CCEDFF"/>
                          </w:tcPr>
                          <w:p>
                            <w:pPr>
                              <w:pStyle w:val="TableParagraph"/>
                              <w:rPr>
                                <w:sz w:val="18"/>
                              </w:rPr>
                            </w:pPr>
                          </w:p>
                        </w:tc>
                        <w:tc>
                          <w:tcPr>
                            <w:tcW w:w="1020" w:type="dxa"/>
                            <w:shd w:val="clear" w:color="auto" w:fill="CCEDFF"/>
                          </w:tcPr>
                          <w:p>
                            <w:pPr>
                              <w:pStyle w:val="TableParagraph"/>
                              <w:spacing w:before="13"/>
                              <w:ind w:right="122"/>
                              <w:jc w:val="right"/>
                              <w:rPr>
                                <w:sz w:val="18"/>
                              </w:rPr>
                            </w:pPr>
                            <w:r>
                              <w:rPr>
                                <w:spacing w:val="-2"/>
                                <w:sz w:val="18"/>
                              </w:rPr>
                              <w:t>36.1%</w:t>
                            </w:r>
                          </w:p>
                        </w:tc>
                        <w:tc>
                          <w:tcPr>
                            <w:tcW w:w="1069" w:type="dxa"/>
                            <w:shd w:val="clear" w:color="auto" w:fill="CCEDFF"/>
                          </w:tcPr>
                          <w:p>
                            <w:pPr>
                              <w:pStyle w:val="TableParagraph"/>
                              <w:spacing w:before="13"/>
                              <w:ind w:right="216"/>
                              <w:jc w:val="right"/>
                              <w:rPr>
                                <w:sz w:val="18"/>
                              </w:rPr>
                            </w:pPr>
                            <w:r>
                              <w:rPr>
                                <w:spacing w:val="-2"/>
                                <w:sz w:val="18"/>
                              </w:rPr>
                              <w:t>44.5%</w:t>
                            </w:r>
                          </w:p>
                        </w:tc>
                        <w:tc>
                          <w:tcPr>
                            <w:tcW w:w="682" w:type="dxa"/>
                            <w:shd w:val="clear" w:color="auto" w:fill="CCEDFF"/>
                          </w:tcPr>
                          <w:p>
                            <w:pPr>
                              <w:pStyle w:val="TableParagraph"/>
                              <w:rPr>
                                <w:sz w:val="18"/>
                              </w:rPr>
                            </w:pPr>
                          </w:p>
                        </w:tc>
                      </w:tr>
                      <w:tr>
                        <w:trPr>
                          <w:trHeight w:val="266" w:hRule="atLeast"/>
                        </w:trPr>
                        <w:tc>
                          <w:tcPr>
                            <w:tcW w:w="4625" w:type="dxa"/>
                          </w:tcPr>
                          <w:p>
                            <w:pPr>
                              <w:pStyle w:val="TableParagraph"/>
                              <w:spacing w:before="13"/>
                              <w:ind w:left="52"/>
                              <w:rPr>
                                <w:sz w:val="18"/>
                              </w:rPr>
                            </w:pPr>
                            <w:r>
                              <w:rPr>
                                <w:sz w:val="18"/>
                              </w:rPr>
                              <w:t>Return</w:t>
                            </w:r>
                            <w:r>
                              <w:rPr>
                                <w:spacing w:val="-3"/>
                                <w:sz w:val="18"/>
                              </w:rPr>
                              <w:t> </w:t>
                            </w:r>
                            <w:r>
                              <w:rPr>
                                <w:sz w:val="18"/>
                              </w:rPr>
                              <w:t>on average common</w:t>
                            </w:r>
                            <w:r>
                              <w:rPr>
                                <w:spacing w:val="-1"/>
                                <w:sz w:val="18"/>
                              </w:rPr>
                              <w:t> </w:t>
                            </w:r>
                            <w:r>
                              <w:rPr>
                                <w:sz w:val="18"/>
                              </w:rPr>
                              <w:t>stockholders’ equity </w:t>
                            </w:r>
                            <w:r>
                              <w:rPr>
                                <w:spacing w:val="-2"/>
                                <w:sz w:val="18"/>
                              </w:rPr>
                              <w:t>(annualized)</w:t>
                            </w:r>
                          </w:p>
                        </w:tc>
                        <w:tc>
                          <w:tcPr>
                            <w:tcW w:w="1072" w:type="dxa"/>
                          </w:tcPr>
                          <w:p>
                            <w:pPr>
                              <w:pStyle w:val="TableParagraph"/>
                              <w:spacing w:before="13"/>
                              <w:ind w:right="129"/>
                              <w:jc w:val="right"/>
                              <w:rPr>
                                <w:sz w:val="18"/>
                              </w:rPr>
                            </w:pPr>
                            <w:r>
                              <w:rPr>
                                <w:spacing w:val="-5"/>
                                <w:sz w:val="18"/>
                              </w:rPr>
                              <w:t>14%</w:t>
                            </w:r>
                          </w:p>
                        </w:tc>
                        <w:tc>
                          <w:tcPr>
                            <w:tcW w:w="1069" w:type="dxa"/>
                          </w:tcPr>
                          <w:p>
                            <w:pPr>
                              <w:pStyle w:val="TableParagraph"/>
                              <w:spacing w:before="13"/>
                              <w:ind w:right="208"/>
                              <w:jc w:val="right"/>
                              <w:rPr>
                                <w:sz w:val="18"/>
                              </w:rPr>
                            </w:pPr>
                            <w:r>
                              <w:rPr>
                                <w:spacing w:val="-5"/>
                                <w:sz w:val="18"/>
                              </w:rPr>
                              <w:t>25%</w:t>
                            </w:r>
                          </w:p>
                        </w:tc>
                        <w:tc>
                          <w:tcPr>
                            <w:tcW w:w="724" w:type="dxa"/>
                          </w:tcPr>
                          <w:p>
                            <w:pPr>
                              <w:pStyle w:val="TableParagraph"/>
                              <w:rPr>
                                <w:sz w:val="18"/>
                              </w:rPr>
                            </w:pPr>
                          </w:p>
                        </w:tc>
                        <w:tc>
                          <w:tcPr>
                            <w:tcW w:w="1020" w:type="dxa"/>
                          </w:tcPr>
                          <w:p>
                            <w:pPr>
                              <w:pStyle w:val="TableParagraph"/>
                              <w:spacing w:before="13"/>
                              <w:ind w:right="122"/>
                              <w:jc w:val="right"/>
                              <w:rPr>
                                <w:sz w:val="18"/>
                              </w:rPr>
                            </w:pPr>
                            <w:r>
                              <w:rPr>
                                <w:spacing w:val="-5"/>
                                <w:sz w:val="18"/>
                              </w:rPr>
                              <w:t>18%</w:t>
                            </w:r>
                          </w:p>
                        </w:tc>
                        <w:tc>
                          <w:tcPr>
                            <w:tcW w:w="1069" w:type="dxa"/>
                          </w:tcPr>
                          <w:p>
                            <w:pPr>
                              <w:pStyle w:val="TableParagraph"/>
                              <w:spacing w:before="13"/>
                              <w:ind w:right="216"/>
                              <w:jc w:val="right"/>
                              <w:rPr>
                                <w:sz w:val="18"/>
                              </w:rPr>
                            </w:pPr>
                            <w:r>
                              <w:rPr>
                                <w:spacing w:val="-5"/>
                                <w:sz w:val="18"/>
                              </w:rPr>
                              <w:t>18%</w:t>
                            </w:r>
                          </w:p>
                        </w:tc>
                        <w:tc>
                          <w:tcPr>
                            <w:tcW w:w="682" w:type="dxa"/>
                          </w:tcPr>
                          <w:p>
                            <w:pPr>
                              <w:pStyle w:val="TableParagraph"/>
                              <w:rPr>
                                <w:sz w:val="18"/>
                              </w:rPr>
                            </w:pPr>
                          </w:p>
                        </w:tc>
                      </w:tr>
                      <w:tr>
                        <w:trPr>
                          <w:trHeight w:val="423" w:hRule="atLeast"/>
                        </w:trPr>
                        <w:tc>
                          <w:tcPr>
                            <w:tcW w:w="5697" w:type="dxa"/>
                            <w:gridSpan w:val="2"/>
                            <w:shd w:val="clear" w:color="auto" w:fill="CCEDFF"/>
                          </w:tcPr>
                          <w:p>
                            <w:pPr>
                              <w:pStyle w:val="TableParagraph"/>
                              <w:tabs>
                                <w:tab w:pos="5100" w:val="left" w:leader="none"/>
                              </w:tabs>
                              <w:spacing w:before="2"/>
                              <w:ind w:left="52"/>
                              <w:rPr>
                                <w:sz w:val="18"/>
                              </w:rPr>
                            </w:pPr>
                            <w:r>
                              <w:rPr>
                                <w:sz w:val="18"/>
                              </w:rPr>
                              <w:t>Expenses</w:t>
                            </w:r>
                            <w:r>
                              <w:rPr>
                                <w:spacing w:val="-2"/>
                                <w:sz w:val="18"/>
                              </w:rPr>
                              <w:t> </w:t>
                            </w:r>
                            <w:r>
                              <w:rPr>
                                <w:sz w:val="18"/>
                              </w:rPr>
                              <w:t>excluding interest as</w:t>
                            </w:r>
                            <w:r>
                              <w:rPr>
                                <w:spacing w:val="-1"/>
                                <w:sz w:val="18"/>
                              </w:rPr>
                              <w:t> </w:t>
                            </w:r>
                            <w:r>
                              <w:rPr>
                                <w:sz w:val="18"/>
                              </w:rPr>
                              <w:t>a</w:t>
                            </w:r>
                            <w:r>
                              <w:rPr>
                                <w:spacing w:val="-1"/>
                                <w:sz w:val="18"/>
                              </w:rPr>
                              <w:t> </w:t>
                            </w:r>
                            <w:r>
                              <w:rPr>
                                <w:sz w:val="18"/>
                              </w:rPr>
                              <w:t>percentage of average </w:t>
                            </w:r>
                            <w:r>
                              <w:rPr>
                                <w:spacing w:val="-2"/>
                                <w:sz w:val="18"/>
                              </w:rPr>
                              <w:t>client</w:t>
                            </w:r>
                            <w:r>
                              <w:rPr>
                                <w:sz w:val="18"/>
                              </w:rPr>
                              <w:tab/>
                            </w:r>
                            <w:r>
                              <w:rPr>
                                <w:spacing w:val="-2"/>
                                <w:position w:val="-8"/>
                                <w:sz w:val="18"/>
                              </w:rPr>
                              <w:t>0.16%</w:t>
                            </w:r>
                          </w:p>
                        </w:tc>
                        <w:tc>
                          <w:tcPr>
                            <w:tcW w:w="1069" w:type="dxa"/>
                            <w:shd w:val="clear" w:color="auto" w:fill="CCEDFF"/>
                          </w:tcPr>
                          <w:p>
                            <w:pPr>
                              <w:pStyle w:val="TableParagraph"/>
                              <w:spacing w:before="92"/>
                              <w:ind w:right="208"/>
                              <w:jc w:val="right"/>
                              <w:rPr>
                                <w:sz w:val="18"/>
                              </w:rPr>
                            </w:pPr>
                            <w:r>
                              <w:rPr>
                                <w:spacing w:val="-2"/>
                                <w:sz w:val="18"/>
                              </w:rPr>
                              <w:t>0.16%</w:t>
                            </w:r>
                          </w:p>
                        </w:tc>
                        <w:tc>
                          <w:tcPr>
                            <w:tcW w:w="1744" w:type="dxa"/>
                            <w:gridSpan w:val="2"/>
                            <w:shd w:val="clear" w:color="auto" w:fill="CCEDFF"/>
                          </w:tcPr>
                          <w:p>
                            <w:pPr>
                              <w:pStyle w:val="TableParagraph"/>
                              <w:spacing w:before="92"/>
                              <w:ind w:left="1154"/>
                              <w:rPr>
                                <w:sz w:val="18"/>
                              </w:rPr>
                            </w:pPr>
                            <w:r>
                              <w:rPr>
                                <w:spacing w:val="-2"/>
                                <w:sz w:val="18"/>
                              </w:rPr>
                              <w:t>0.16%</w:t>
                            </w:r>
                          </w:p>
                        </w:tc>
                        <w:tc>
                          <w:tcPr>
                            <w:tcW w:w="1751" w:type="dxa"/>
                            <w:gridSpan w:val="2"/>
                            <w:shd w:val="clear" w:color="auto" w:fill="CCEDFF"/>
                          </w:tcPr>
                          <w:p>
                            <w:pPr>
                              <w:pStyle w:val="TableParagraph"/>
                              <w:spacing w:before="92"/>
                              <w:ind w:left="385"/>
                              <w:rPr>
                                <w:sz w:val="18"/>
                              </w:rPr>
                            </w:pPr>
                            <w:r>
                              <w:rPr>
                                <w:spacing w:val="-2"/>
                                <w:sz w:val="18"/>
                              </w:rPr>
                              <w:t>0.15%</w:t>
                            </w:r>
                          </w:p>
                        </w:tc>
                      </w:tr>
                      <w:tr>
                        <w:trPr>
                          <w:trHeight w:val="297" w:hRule="atLeast"/>
                        </w:trPr>
                        <w:tc>
                          <w:tcPr>
                            <w:tcW w:w="5697" w:type="dxa"/>
                            <w:gridSpan w:val="2"/>
                          </w:tcPr>
                          <w:p>
                            <w:pPr>
                              <w:pStyle w:val="TableParagraph"/>
                              <w:tabs>
                                <w:tab w:pos="5190" w:val="left" w:leader="none"/>
                              </w:tabs>
                              <w:spacing w:before="28"/>
                              <w:ind w:left="52"/>
                              <w:rPr>
                                <w:sz w:val="18"/>
                              </w:rPr>
                            </w:pPr>
                            <w:r>
                              <w:rPr>
                                <w:sz w:val="18"/>
                              </w:rPr>
                              <w:t>Consolidated</w:t>
                            </w:r>
                            <w:r>
                              <w:rPr>
                                <w:spacing w:val="-1"/>
                                <w:sz w:val="18"/>
                              </w:rPr>
                              <w:t> </w:t>
                            </w:r>
                            <w:r>
                              <w:rPr>
                                <w:sz w:val="18"/>
                              </w:rPr>
                              <w:t>Tier 1 Leverage Ratio (at quarter </w:t>
                            </w:r>
                            <w:r>
                              <w:rPr>
                                <w:spacing w:val="-4"/>
                                <w:sz w:val="18"/>
                              </w:rPr>
                              <w:t>end)</w:t>
                            </w:r>
                            <w:r>
                              <w:rPr>
                                <w:sz w:val="18"/>
                              </w:rPr>
                              <w:tab/>
                            </w:r>
                            <w:r>
                              <w:rPr>
                                <w:spacing w:val="-4"/>
                                <w:sz w:val="18"/>
                              </w:rPr>
                              <w:t>8.2%</w:t>
                            </w:r>
                          </w:p>
                        </w:tc>
                        <w:tc>
                          <w:tcPr>
                            <w:tcW w:w="1069" w:type="dxa"/>
                          </w:tcPr>
                          <w:p>
                            <w:pPr>
                              <w:pStyle w:val="TableParagraph"/>
                              <w:spacing w:before="28"/>
                              <w:ind w:right="208"/>
                              <w:jc w:val="right"/>
                              <w:rPr>
                                <w:sz w:val="18"/>
                              </w:rPr>
                            </w:pPr>
                            <w:r>
                              <w:rPr>
                                <w:spacing w:val="-4"/>
                                <w:sz w:val="18"/>
                              </w:rPr>
                              <w:t>6.8%</w:t>
                            </w:r>
                          </w:p>
                        </w:tc>
                        <w:tc>
                          <w:tcPr>
                            <w:tcW w:w="1744" w:type="dxa"/>
                            <w:gridSpan w:val="2"/>
                          </w:tcPr>
                          <w:p>
                            <w:pPr>
                              <w:pStyle w:val="TableParagraph"/>
                              <w:rPr>
                                <w:sz w:val="18"/>
                              </w:rPr>
                            </w:pPr>
                          </w:p>
                        </w:tc>
                        <w:tc>
                          <w:tcPr>
                            <w:tcW w:w="1751" w:type="dxa"/>
                            <w:gridSpan w:val="2"/>
                          </w:tcPr>
                          <w:p>
                            <w:pPr>
                              <w:pStyle w:val="TableParagraph"/>
                              <w:rPr>
                                <w:sz w:val="18"/>
                              </w:rPr>
                            </w:pPr>
                          </w:p>
                        </w:tc>
                      </w:tr>
                      <w:tr>
                        <w:trPr>
                          <w:trHeight w:val="270" w:hRule="atLeast"/>
                        </w:trPr>
                        <w:tc>
                          <w:tcPr>
                            <w:tcW w:w="4625" w:type="dxa"/>
                            <w:shd w:val="clear" w:color="auto" w:fill="CCEDFF"/>
                          </w:tcPr>
                          <w:p>
                            <w:pPr>
                              <w:pStyle w:val="TableParagraph"/>
                              <w:spacing w:before="28"/>
                              <w:ind w:left="52"/>
                              <w:rPr>
                                <w:sz w:val="18"/>
                              </w:rPr>
                            </w:pPr>
                            <w:r>
                              <w:rPr>
                                <w:b/>
                                <w:sz w:val="18"/>
                              </w:rPr>
                              <w:t>Non-GAAP</w:t>
                            </w:r>
                            <w:r>
                              <w:rPr>
                                <w:b/>
                                <w:spacing w:val="-3"/>
                                <w:sz w:val="18"/>
                              </w:rPr>
                              <w:t> </w:t>
                            </w:r>
                            <w:r>
                              <w:rPr>
                                <w:b/>
                                <w:sz w:val="18"/>
                              </w:rPr>
                              <w:t>Financial</w:t>
                            </w:r>
                            <w:r>
                              <w:rPr>
                                <w:b/>
                                <w:spacing w:val="-3"/>
                                <w:sz w:val="18"/>
                              </w:rPr>
                              <w:t> </w:t>
                            </w:r>
                            <w:r>
                              <w:rPr>
                                <w:b/>
                                <w:sz w:val="18"/>
                              </w:rPr>
                              <w:t>Measures</w:t>
                            </w:r>
                            <w:r>
                              <w:rPr>
                                <w:b/>
                                <w:spacing w:val="-5"/>
                                <w:sz w:val="18"/>
                              </w:rPr>
                              <w:t> </w:t>
                            </w:r>
                            <w:r>
                              <w:rPr>
                                <w:spacing w:val="-5"/>
                                <w:sz w:val="18"/>
                                <w:vertAlign w:val="superscript"/>
                              </w:rPr>
                              <w:t>(3)</w:t>
                            </w:r>
                          </w:p>
                        </w:tc>
                        <w:tc>
                          <w:tcPr>
                            <w:tcW w:w="1072" w:type="dxa"/>
                            <w:shd w:val="clear" w:color="auto" w:fill="CCEDFF"/>
                          </w:tcPr>
                          <w:p>
                            <w:pPr>
                              <w:pStyle w:val="TableParagraph"/>
                              <w:rPr>
                                <w:sz w:val="18"/>
                              </w:rPr>
                            </w:pPr>
                          </w:p>
                        </w:tc>
                        <w:tc>
                          <w:tcPr>
                            <w:tcW w:w="1069" w:type="dxa"/>
                            <w:shd w:val="clear" w:color="auto" w:fill="CCEDFF"/>
                          </w:tcPr>
                          <w:p>
                            <w:pPr>
                              <w:pStyle w:val="TableParagraph"/>
                              <w:rPr>
                                <w:sz w:val="18"/>
                              </w:rPr>
                            </w:pPr>
                          </w:p>
                        </w:tc>
                        <w:tc>
                          <w:tcPr>
                            <w:tcW w:w="1744" w:type="dxa"/>
                            <w:gridSpan w:val="2"/>
                            <w:shd w:val="clear" w:color="auto" w:fill="CCEDFF"/>
                          </w:tcPr>
                          <w:p>
                            <w:pPr>
                              <w:pStyle w:val="TableParagraph"/>
                              <w:rPr>
                                <w:sz w:val="18"/>
                              </w:rPr>
                            </w:pPr>
                          </w:p>
                        </w:tc>
                        <w:tc>
                          <w:tcPr>
                            <w:tcW w:w="1751" w:type="dxa"/>
                            <w:gridSpan w:val="2"/>
                            <w:shd w:val="clear" w:color="auto" w:fill="CCEDFF"/>
                          </w:tcPr>
                          <w:p>
                            <w:pPr>
                              <w:pStyle w:val="TableParagraph"/>
                              <w:rPr>
                                <w:sz w:val="18"/>
                              </w:rPr>
                            </w:pPr>
                          </w:p>
                        </w:tc>
                      </w:tr>
                      <w:tr>
                        <w:trPr>
                          <w:trHeight w:val="257" w:hRule="atLeast"/>
                        </w:trPr>
                        <w:tc>
                          <w:tcPr>
                            <w:tcW w:w="4625" w:type="dxa"/>
                          </w:tcPr>
                          <w:p>
                            <w:pPr>
                              <w:pStyle w:val="TableParagraph"/>
                              <w:spacing w:before="13"/>
                              <w:ind w:left="52"/>
                              <w:rPr>
                                <w:sz w:val="18"/>
                              </w:rPr>
                            </w:pPr>
                            <w:r>
                              <w:rPr>
                                <w:sz w:val="18"/>
                              </w:rPr>
                              <w:t>Adjusted</w:t>
                            </w:r>
                            <w:r>
                              <w:rPr>
                                <w:spacing w:val="-2"/>
                                <w:sz w:val="18"/>
                              </w:rPr>
                              <w:t> </w:t>
                            </w:r>
                            <w:r>
                              <w:rPr>
                                <w:sz w:val="18"/>
                              </w:rPr>
                              <w:t>total</w:t>
                            </w:r>
                            <w:r>
                              <w:rPr>
                                <w:spacing w:val="-1"/>
                                <w:sz w:val="18"/>
                              </w:rPr>
                              <w:t> </w:t>
                            </w:r>
                            <w:r>
                              <w:rPr>
                                <w:sz w:val="18"/>
                              </w:rPr>
                              <w:t>expenses</w:t>
                            </w:r>
                            <w:r>
                              <w:rPr>
                                <w:spacing w:val="-2"/>
                                <w:sz w:val="18"/>
                              </w:rPr>
                              <w:t> </w:t>
                            </w:r>
                            <w:r>
                              <w:rPr>
                                <w:spacing w:val="-5"/>
                                <w:sz w:val="18"/>
                                <w:vertAlign w:val="superscript"/>
                              </w:rPr>
                              <w:t>(4)</w:t>
                            </w:r>
                          </w:p>
                        </w:tc>
                        <w:tc>
                          <w:tcPr>
                            <w:tcW w:w="1072" w:type="dxa"/>
                          </w:tcPr>
                          <w:p>
                            <w:pPr>
                              <w:pStyle w:val="TableParagraph"/>
                              <w:spacing w:before="13"/>
                              <w:ind w:left="122"/>
                              <w:rPr>
                                <w:sz w:val="18"/>
                              </w:rPr>
                            </w:pPr>
                            <w:r>
                              <w:rPr>
                                <w:sz w:val="18"/>
                              </w:rPr>
                              <w:t>$</w:t>
                            </w:r>
                            <w:r>
                              <w:rPr>
                                <w:spacing w:val="41"/>
                                <w:sz w:val="18"/>
                              </w:rPr>
                              <w:t>  </w:t>
                            </w:r>
                            <w:r>
                              <w:rPr>
                                <w:spacing w:val="-2"/>
                                <w:sz w:val="18"/>
                              </w:rPr>
                              <w:t>2,703</w:t>
                            </w:r>
                          </w:p>
                        </w:tc>
                        <w:tc>
                          <w:tcPr>
                            <w:tcW w:w="1069" w:type="dxa"/>
                          </w:tcPr>
                          <w:p>
                            <w:pPr>
                              <w:pStyle w:val="TableParagraph"/>
                              <w:spacing w:before="13"/>
                              <w:ind w:left="70"/>
                              <w:rPr>
                                <w:sz w:val="18"/>
                              </w:rPr>
                            </w:pPr>
                            <w:r>
                              <w:rPr>
                                <w:sz w:val="18"/>
                              </w:rPr>
                              <w:t>$</w:t>
                            </w:r>
                            <w:r>
                              <w:rPr>
                                <w:spacing w:val="74"/>
                                <w:w w:val="150"/>
                                <w:sz w:val="18"/>
                              </w:rPr>
                              <w:t> </w:t>
                            </w:r>
                            <w:r>
                              <w:rPr>
                                <w:spacing w:val="-2"/>
                                <w:sz w:val="18"/>
                              </w:rPr>
                              <w:t>2,570</w:t>
                            </w:r>
                          </w:p>
                        </w:tc>
                        <w:tc>
                          <w:tcPr>
                            <w:tcW w:w="1744" w:type="dxa"/>
                            <w:gridSpan w:val="2"/>
                          </w:tcPr>
                          <w:p>
                            <w:pPr>
                              <w:pStyle w:val="TableParagraph"/>
                              <w:spacing w:before="13"/>
                              <w:ind w:left="786"/>
                              <w:rPr>
                                <w:sz w:val="18"/>
                              </w:rPr>
                            </w:pPr>
                            <w:r>
                              <w:rPr>
                                <w:sz w:val="18"/>
                              </w:rPr>
                              <w:t>$</w:t>
                            </w:r>
                            <w:r>
                              <w:rPr>
                                <w:spacing w:val="48"/>
                                <w:sz w:val="18"/>
                              </w:rPr>
                              <w:t>  </w:t>
                            </w:r>
                            <w:r>
                              <w:rPr>
                                <w:spacing w:val="-2"/>
                                <w:sz w:val="18"/>
                              </w:rPr>
                              <w:t>8,177</w:t>
                            </w:r>
                          </w:p>
                        </w:tc>
                        <w:tc>
                          <w:tcPr>
                            <w:tcW w:w="1751" w:type="dxa"/>
                            <w:gridSpan w:val="2"/>
                          </w:tcPr>
                          <w:p>
                            <w:pPr>
                              <w:pStyle w:val="TableParagraph"/>
                              <w:spacing w:before="13"/>
                              <w:ind w:left="62"/>
                              <w:rPr>
                                <w:sz w:val="18"/>
                              </w:rPr>
                            </w:pPr>
                            <w:r>
                              <w:rPr>
                                <w:sz w:val="18"/>
                              </w:rPr>
                              <w:t>$</w:t>
                            </w:r>
                            <w:r>
                              <w:rPr>
                                <w:spacing w:val="74"/>
                                <w:w w:val="150"/>
                                <w:sz w:val="18"/>
                              </w:rPr>
                              <w:t> </w:t>
                            </w:r>
                            <w:r>
                              <w:rPr>
                                <w:spacing w:val="-2"/>
                                <w:sz w:val="18"/>
                              </w:rPr>
                              <w:t>7,724</w:t>
                            </w:r>
                          </w:p>
                        </w:tc>
                      </w:tr>
                      <w:tr>
                        <w:trPr>
                          <w:trHeight w:val="255" w:hRule="atLeast"/>
                        </w:trPr>
                        <w:tc>
                          <w:tcPr>
                            <w:tcW w:w="4625" w:type="dxa"/>
                            <w:shd w:val="clear" w:color="auto" w:fill="CCEDFF"/>
                          </w:tcPr>
                          <w:p>
                            <w:pPr>
                              <w:pStyle w:val="TableParagraph"/>
                              <w:spacing w:before="13"/>
                              <w:ind w:left="52"/>
                              <w:rPr>
                                <w:sz w:val="18"/>
                              </w:rPr>
                            </w:pPr>
                            <w:r>
                              <w:rPr>
                                <w:sz w:val="18"/>
                              </w:rPr>
                              <w:t>Adjusted</w:t>
                            </w:r>
                            <w:r>
                              <w:rPr>
                                <w:spacing w:val="-1"/>
                                <w:sz w:val="18"/>
                              </w:rPr>
                              <w:t> </w:t>
                            </w:r>
                            <w:r>
                              <w:rPr>
                                <w:sz w:val="18"/>
                              </w:rPr>
                              <w:t>diluted</w:t>
                            </w:r>
                            <w:r>
                              <w:rPr>
                                <w:spacing w:val="-1"/>
                                <w:sz w:val="18"/>
                              </w:rPr>
                              <w:t> </w:t>
                            </w:r>
                            <w:r>
                              <w:rPr>
                                <w:spacing w:val="-5"/>
                                <w:sz w:val="18"/>
                              </w:rPr>
                              <w:t>EPS</w:t>
                            </w:r>
                          </w:p>
                        </w:tc>
                        <w:tc>
                          <w:tcPr>
                            <w:tcW w:w="1072" w:type="dxa"/>
                            <w:shd w:val="clear" w:color="auto" w:fill="CCEDFF"/>
                          </w:tcPr>
                          <w:p>
                            <w:pPr>
                              <w:pStyle w:val="TableParagraph"/>
                              <w:tabs>
                                <w:tab w:pos="565" w:val="left" w:leader="none"/>
                              </w:tabs>
                              <w:spacing w:before="13"/>
                              <w:ind w:left="122"/>
                              <w:rPr>
                                <w:sz w:val="18"/>
                              </w:rPr>
                            </w:pPr>
                            <w:r>
                              <w:rPr>
                                <w:spacing w:val="-10"/>
                                <w:sz w:val="18"/>
                              </w:rPr>
                              <w:t>$</w:t>
                            </w:r>
                            <w:r>
                              <w:rPr>
                                <w:sz w:val="18"/>
                              </w:rPr>
                              <w:tab/>
                            </w:r>
                            <w:r>
                              <w:rPr>
                                <w:spacing w:val="-5"/>
                                <w:sz w:val="18"/>
                              </w:rPr>
                              <w:t>.77</w:t>
                            </w:r>
                          </w:p>
                        </w:tc>
                        <w:tc>
                          <w:tcPr>
                            <w:tcW w:w="1069" w:type="dxa"/>
                            <w:shd w:val="clear" w:color="auto" w:fill="CCEDFF"/>
                          </w:tcPr>
                          <w:p>
                            <w:pPr>
                              <w:pStyle w:val="TableParagraph"/>
                              <w:tabs>
                                <w:tab w:pos="393" w:val="left" w:leader="none"/>
                              </w:tabs>
                              <w:spacing w:before="13"/>
                              <w:ind w:left="70"/>
                              <w:rPr>
                                <w:sz w:val="18"/>
                              </w:rPr>
                            </w:pPr>
                            <w:r>
                              <w:rPr>
                                <w:spacing w:val="-10"/>
                                <w:sz w:val="18"/>
                              </w:rPr>
                              <w:t>$</w:t>
                            </w:r>
                            <w:r>
                              <w:rPr>
                                <w:sz w:val="18"/>
                              </w:rPr>
                              <w:tab/>
                            </w:r>
                            <w:r>
                              <w:rPr>
                                <w:spacing w:val="-4"/>
                                <w:sz w:val="18"/>
                              </w:rPr>
                              <w:t>1.10</w:t>
                            </w:r>
                          </w:p>
                        </w:tc>
                        <w:tc>
                          <w:tcPr>
                            <w:tcW w:w="1744" w:type="dxa"/>
                            <w:gridSpan w:val="2"/>
                            <w:shd w:val="clear" w:color="auto" w:fill="CCEDFF"/>
                          </w:tcPr>
                          <w:p>
                            <w:pPr>
                              <w:pStyle w:val="TableParagraph"/>
                              <w:tabs>
                                <w:tab w:pos="1154" w:val="left" w:leader="none"/>
                              </w:tabs>
                              <w:spacing w:before="13"/>
                              <w:ind w:left="786"/>
                              <w:rPr>
                                <w:sz w:val="18"/>
                              </w:rPr>
                            </w:pPr>
                            <w:r>
                              <w:rPr>
                                <w:spacing w:val="-10"/>
                                <w:sz w:val="18"/>
                              </w:rPr>
                              <w:t>$</w:t>
                            </w:r>
                            <w:r>
                              <w:rPr>
                                <w:sz w:val="18"/>
                              </w:rPr>
                              <w:tab/>
                            </w:r>
                            <w:r>
                              <w:rPr>
                                <w:spacing w:val="-4"/>
                                <w:sz w:val="18"/>
                              </w:rPr>
                              <w:t>2.45</w:t>
                            </w:r>
                          </w:p>
                        </w:tc>
                        <w:tc>
                          <w:tcPr>
                            <w:tcW w:w="1751" w:type="dxa"/>
                            <w:gridSpan w:val="2"/>
                            <w:shd w:val="clear" w:color="auto" w:fill="CCEDFF"/>
                          </w:tcPr>
                          <w:p>
                            <w:pPr>
                              <w:pStyle w:val="TableParagraph"/>
                              <w:tabs>
                                <w:tab w:pos="385" w:val="left" w:leader="none"/>
                              </w:tabs>
                              <w:spacing w:before="13"/>
                              <w:ind w:left="62"/>
                              <w:rPr>
                                <w:sz w:val="18"/>
                              </w:rPr>
                            </w:pPr>
                            <w:r>
                              <w:rPr>
                                <w:spacing w:val="-10"/>
                                <w:sz w:val="18"/>
                              </w:rPr>
                              <w:t>$</w:t>
                            </w:r>
                            <w:r>
                              <w:rPr>
                                <w:sz w:val="18"/>
                              </w:rPr>
                              <w:tab/>
                            </w:r>
                            <w:r>
                              <w:rPr>
                                <w:spacing w:val="-4"/>
                                <w:sz w:val="18"/>
                              </w:rPr>
                              <w:t>2.83</w:t>
                            </w:r>
                          </w:p>
                        </w:tc>
                      </w:tr>
                      <w:tr>
                        <w:trPr>
                          <w:trHeight w:val="250" w:hRule="atLeast"/>
                        </w:trPr>
                        <w:tc>
                          <w:tcPr>
                            <w:tcW w:w="4625" w:type="dxa"/>
                            <w:tcBorders>
                              <w:bottom w:val="single" w:sz="4" w:space="0" w:color="000000"/>
                            </w:tcBorders>
                          </w:tcPr>
                          <w:p>
                            <w:pPr>
                              <w:pStyle w:val="TableParagraph"/>
                              <w:spacing w:before="13"/>
                              <w:ind w:left="52"/>
                              <w:rPr>
                                <w:sz w:val="18"/>
                              </w:rPr>
                            </w:pPr>
                            <w:r>
                              <w:rPr>
                                <w:sz w:val="18"/>
                              </w:rPr>
                              <w:t>Return on tangible common </w:t>
                            </w:r>
                            <w:r>
                              <w:rPr>
                                <w:spacing w:val="-2"/>
                                <w:sz w:val="18"/>
                              </w:rPr>
                              <w:t>equity</w:t>
                            </w:r>
                          </w:p>
                        </w:tc>
                        <w:tc>
                          <w:tcPr>
                            <w:tcW w:w="1072" w:type="dxa"/>
                            <w:tcBorders>
                              <w:bottom w:val="single" w:sz="4" w:space="0" w:color="000000"/>
                            </w:tcBorders>
                          </w:tcPr>
                          <w:p>
                            <w:pPr>
                              <w:pStyle w:val="TableParagraph"/>
                              <w:spacing w:before="13"/>
                              <w:ind w:right="129"/>
                              <w:jc w:val="right"/>
                              <w:rPr>
                                <w:sz w:val="18"/>
                              </w:rPr>
                            </w:pPr>
                            <w:r>
                              <w:rPr>
                                <w:spacing w:val="-5"/>
                                <w:sz w:val="18"/>
                              </w:rPr>
                              <w:t>58%</w:t>
                            </w:r>
                          </w:p>
                        </w:tc>
                        <w:tc>
                          <w:tcPr>
                            <w:tcW w:w="1069" w:type="dxa"/>
                            <w:tcBorders>
                              <w:bottom w:val="single" w:sz="4" w:space="0" w:color="000000"/>
                            </w:tcBorders>
                          </w:tcPr>
                          <w:p>
                            <w:pPr>
                              <w:pStyle w:val="TableParagraph"/>
                              <w:spacing w:before="13"/>
                              <w:ind w:right="208"/>
                              <w:jc w:val="right"/>
                              <w:rPr>
                                <w:sz w:val="18"/>
                              </w:rPr>
                            </w:pPr>
                            <w:r>
                              <w:rPr>
                                <w:spacing w:val="-5"/>
                                <w:sz w:val="18"/>
                              </w:rPr>
                              <w:t>74%</w:t>
                            </w:r>
                          </w:p>
                        </w:tc>
                        <w:tc>
                          <w:tcPr>
                            <w:tcW w:w="1744" w:type="dxa"/>
                            <w:gridSpan w:val="2"/>
                            <w:tcBorders>
                              <w:bottom w:val="single" w:sz="4" w:space="0" w:color="000000"/>
                            </w:tcBorders>
                          </w:tcPr>
                          <w:p>
                            <w:pPr>
                              <w:pStyle w:val="TableParagraph"/>
                              <w:spacing w:before="13"/>
                              <w:ind w:right="122"/>
                              <w:jc w:val="right"/>
                              <w:rPr>
                                <w:sz w:val="18"/>
                              </w:rPr>
                            </w:pPr>
                            <w:r>
                              <w:rPr>
                                <w:spacing w:val="-5"/>
                                <w:sz w:val="18"/>
                              </w:rPr>
                              <w:t>66%</w:t>
                            </w:r>
                          </w:p>
                        </w:tc>
                        <w:tc>
                          <w:tcPr>
                            <w:tcW w:w="1751" w:type="dxa"/>
                            <w:gridSpan w:val="2"/>
                            <w:tcBorders>
                              <w:bottom w:val="single" w:sz="4" w:space="0" w:color="000000"/>
                            </w:tcBorders>
                          </w:tcPr>
                          <w:p>
                            <w:pPr>
                              <w:pStyle w:val="TableParagraph"/>
                              <w:spacing w:before="13"/>
                              <w:ind w:left="520"/>
                              <w:rPr>
                                <w:sz w:val="18"/>
                              </w:rPr>
                            </w:pPr>
                            <w:r>
                              <w:rPr>
                                <w:spacing w:val="-5"/>
                                <w:sz w:val="18"/>
                              </w:rPr>
                              <w:t>42%</w:t>
                            </w:r>
                          </w:p>
                        </w:tc>
                      </w:tr>
                    </w:tbl>
                    <w:p>
                      <w:pPr>
                        <w:pStyle w:val="BodyText"/>
                      </w:pPr>
                    </w:p>
                  </w:txbxContent>
                </v:textbox>
                <w10:wrap type="none"/>
              </v:shape>
            </w:pict>
          </mc:Fallback>
        </mc:AlternateContent>
      </w:r>
      <w:r>
        <w:rPr>
          <w:sz w:val="18"/>
        </w:rPr>
        <w:t>assets</w:t>
      </w:r>
      <w:r>
        <w:rPr>
          <w:spacing w:val="-5"/>
          <w:sz w:val="18"/>
        </w:rPr>
        <w:t> </w:t>
      </w:r>
      <w:r>
        <w:rPr>
          <w:spacing w:val="-2"/>
          <w:sz w:val="18"/>
        </w:rPr>
        <w:t>(annualized)</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88"/>
        <w:rPr>
          <w:sz w:val="18"/>
        </w:rPr>
      </w:pPr>
    </w:p>
    <w:p>
      <w:pPr>
        <w:spacing w:line="249" w:lineRule="auto" w:before="0"/>
        <w:ind w:left="650" w:right="500" w:hanging="180"/>
        <w:jc w:val="left"/>
        <w:rPr>
          <w:sz w:val="16"/>
        </w:rPr>
      </w:pPr>
      <w:r>
        <w:rPr>
          <w:sz w:val="16"/>
          <w:vertAlign w:val="superscript"/>
        </w:rPr>
        <w:t>(1)</w:t>
      </w:r>
      <w:r>
        <w:rPr>
          <w:sz w:val="16"/>
          <w:vertAlign w:val="baseline"/>
        </w:rPr>
        <w:t> The third quarter and first nine months of 2023 include inflows of $3.3 billion and $30.1 billion, respectively, from off-platform brokered certificates of</w:t>
      </w:r>
      <w:r>
        <w:rPr>
          <w:spacing w:val="40"/>
          <w:sz w:val="16"/>
          <w:vertAlign w:val="baseline"/>
        </w:rPr>
        <w:t> </w:t>
      </w:r>
      <w:r>
        <w:rPr>
          <w:sz w:val="16"/>
          <w:vertAlign w:val="baseline"/>
        </w:rPr>
        <w:t>deposit</w:t>
      </w:r>
      <w:r>
        <w:rPr>
          <w:spacing w:val="-2"/>
          <w:sz w:val="16"/>
          <w:vertAlign w:val="baseline"/>
        </w:rPr>
        <w:t> </w:t>
      </w:r>
      <w:r>
        <w:rPr>
          <w:sz w:val="16"/>
          <w:vertAlign w:val="baseline"/>
        </w:rPr>
        <w:t>(CDs)</w:t>
      </w:r>
      <w:r>
        <w:rPr>
          <w:spacing w:val="-2"/>
          <w:sz w:val="16"/>
          <w:vertAlign w:val="baseline"/>
        </w:rPr>
        <w:t> </w:t>
      </w:r>
      <w:r>
        <w:rPr>
          <w:sz w:val="16"/>
          <w:vertAlign w:val="baseline"/>
        </w:rPr>
        <w:t>issued</w:t>
      </w:r>
      <w:r>
        <w:rPr>
          <w:spacing w:val="-2"/>
          <w:sz w:val="16"/>
          <w:vertAlign w:val="baseline"/>
        </w:rPr>
        <w:t> </w:t>
      </w:r>
      <w:r>
        <w:rPr>
          <w:sz w:val="16"/>
          <w:vertAlign w:val="baseline"/>
        </w:rPr>
        <w:t>by</w:t>
      </w:r>
      <w:r>
        <w:rPr>
          <w:spacing w:val="-2"/>
          <w:sz w:val="16"/>
          <w:vertAlign w:val="baseline"/>
        </w:rPr>
        <w:t> </w:t>
      </w:r>
      <w:r>
        <w:rPr>
          <w:sz w:val="16"/>
          <w:vertAlign w:val="baseline"/>
        </w:rPr>
        <w:t>CSB.</w:t>
      </w:r>
      <w:r>
        <w:rPr>
          <w:spacing w:val="-2"/>
          <w:sz w:val="16"/>
          <w:vertAlign w:val="baseline"/>
        </w:rPr>
        <w:t> </w:t>
      </w:r>
      <w:r>
        <w:rPr>
          <w:sz w:val="16"/>
          <w:vertAlign w:val="baseline"/>
        </w:rPr>
        <w:t>Also,</w:t>
      </w:r>
      <w:r>
        <w:rPr>
          <w:spacing w:val="-2"/>
          <w:sz w:val="16"/>
          <w:vertAlign w:val="baseline"/>
        </w:rPr>
        <w:t> </w:t>
      </w:r>
      <w:r>
        <w:rPr>
          <w:sz w:val="16"/>
          <w:vertAlign w:val="baseline"/>
        </w:rPr>
        <w:t>the</w:t>
      </w:r>
      <w:r>
        <w:rPr>
          <w:spacing w:val="-2"/>
          <w:sz w:val="16"/>
          <w:vertAlign w:val="baseline"/>
        </w:rPr>
        <w:t> </w:t>
      </w:r>
      <w:r>
        <w:rPr>
          <w:sz w:val="16"/>
          <w:vertAlign w:val="baseline"/>
        </w:rPr>
        <w:t>first</w:t>
      </w:r>
      <w:r>
        <w:rPr>
          <w:spacing w:val="-2"/>
          <w:sz w:val="16"/>
          <w:vertAlign w:val="baseline"/>
        </w:rPr>
        <w:t> </w:t>
      </w:r>
      <w:r>
        <w:rPr>
          <w:sz w:val="16"/>
          <w:vertAlign w:val="baseline"/>
        </w:rPr>
        <w:t>nine</w:t>
      </w:r>
      <w:r>
        <w:rPr>
          <w:spacing w:val="-2"/>
          <w:sz w:val="16"/>
          <w:vertAlign w:val="baseline"/>
        </w:rPr>
        <w:t> </w:t>
      </w:r>
      <w:r>
        <w:rPr>
          <w:sz w:val="16"/>
          <w:vertAlign w:val="baseline"/>
        </w:rPr>
        <w:t>months</w:t>
      </w:r>
      <w:r>
        <w:rPr>
          <w:spacing w:val="-3"/>
          <w:sz w:val="16"/>
          <w:vertAlign w:val="baseline"/>
        </w:rPr>
        <w:t> </w:t>
      </w:r>
      <w:r>
        <w:rPr>
          <w:sz w:val="16"/>
          <w:vertAlign w:val="baseline"/>
        </w:rPr>
        <w:t>of</w:t>
      </w:r>
      <w:r>
        <w:rPr>
          <w:spacing w:val="-5"/>
          <w:sz w:val="16"/>
          <w:vertAlign w:val="baseline"/>
        </w:rPr>
        <w:t> </w:t>
      </w:r>
      <w:r>
        <w:rPr>
          <w:sz w:val="16"/>
          <w:vertAlign w:val="baseline"/>
        </w:rPr>
        <w:t>2023</w:t>
      </w:r>
      <w:r>
        <w:rPr>
          <w:spacing w:val="-2"/>
          <w:sz w:val="16"/>
          <w:vertAlign w:val="baseline"/>
        </w:rPr>
        <w:t> </w:t>
      </w:r>
      <w:r>
        <w:rPr>
          <w:sz w:val="16"/>
          <w:vertAlign w:val="baseline"/>
        </w:rPr>
        <w:t>include</w:t>
      </w:r>
      <w:r>
        <w:rPr>
          <w:spacing w:val="-3"/>
          <w:sz w:val="16"/>
          <w:vertAlign w:val="baseline"/>
        </w:rPr>
        <w:t> </w:t>
      </w:r>
      <w:r>
        <w:rPr>
          <w:sz w:val="16"/>
          <w:vertAlign w:val="baseline"/>
        </w:rPr>
        <w:t>an</w:t>
      </w:r>
      <w:r>
        <w:rPr>
          <w:spacing w:val="-2"/>
          <w:sz w:val="16"/>
          <w:vertAlign w:val="baseline"/>
        </w:rPr>
        <w:t> </w:t>
      </w:r>
      <w:r>
        <w:rPr>
          <w:sz w:val="16"/>
          <w:vertAlign w:val="baseline"/>
        </w:rPr>
        <w:t>inflow</w:t>
      </w:r>
      <w:r>
        <w:rPr>
          <w:spacing w:val="-3"/>
          <w:sz w:val="16"/>
          <w:vertAlign w:val="baseline"/>
        </w:rPr>
        <w:t> </w:t>
      </w:r>
      <w:r>
        <w:rPr>
          <w:sz w:val="16"/>
          <w:vertAlign w:val="baseline"/>
        </w:rPr>
        <w:t>of</w:t>
      </w:r>
      <w:r>
        <w:rPr>
          <w:spacing w:val="-3"/>
          <w:sz w:val="16"/>
          <w:vertAlign w:val="baseline"/>
        </w:rPr>
        <w:t> </w:t>
      </w:r>
      <w:r>
        <w:rPr>
          <w:sz w:val="16"/>
          <w:vertAlign w:val="baseline"/>
        </w:rPr>
        <w:t>$12.0</w:t>
      </w:r>
      <w:r>
        <w:rPr>
          <w:spacing w:val="-2"/>
          <w:sz w:val="16"/>
          <w:vertAlign w:val="baseline"/>
        </w:rPr>
        <w:t> </w:t>
      </w:r>
      <w:r>
        <w:rPr>
          <w:sz w:val="16"/>
          <w:vertAlign w:val="baseline"/>
        </w:rPr>
        <w:t>billion</w:t>
      </w:r>
      <w:r>
        <w:rPr>
          <w:spacing w:val="-3"/>
          <w:sz w:val="16"/>
          <w:vertAlign w:val="baseline"/>
        </w:rPr>
        <w:t> </w:t>
      </w:r>
      <w:r>
        <w:rPr>
          <w:sz w:val="16"/>
          <w:vertAlign w:val="baseline"/>
        </w:rPr>
        <w:t>from</w:t>
      </w:r>
      <w:r>
        <w:rPr>
          <w:spacing w:val="-2"/>
          <w:sz w:val="16"/>
          <w:vertAlign w:val="baseline"/>
        </w:rPr>
        <w:t> </w:t>
      </w:r>
      <w:r>
        <w:rPr>
          <w:sz w:val="16"/>
          <w:vertAlign w:val="baseline"/>
        </w:rPr>
        <w:t>a</w:t>
      </w:r>
      <w:r>
        <w:rPr>
          <w:spacing w:val="-2"/>
          <w:sz w:val="16"/>
          <w:vertAlign w:val="baseline"/>
        </w:rPr>
        <w:t> </w:t>
      </w:r>
      <w:r>
        <w:rPr>
          <w:sz w:val="16"/>
          <w:vertAlign w:val="baseline"/>
        </w:rPr>
        <w:t>mutual</w:t>
      </w:r>
      <w:r>
        <w:rPr>
          <w:spacing w:val="-2"/>
          <w:sz w:val="16"/>
          <w:vertAlign w:val="baseline"/>
        </w:rPr>
        <w:t> </w:t>
      </w:r>
      <w:r>
        <w:rPr>
          <w:sz w:val="16"/>
          <w:vertAlign w:val="baseline"/>
        </w:rPr>
        <w:t>fund</w:t>
      </w:r>
      <w:r>
        <w:rPr>
          <w:spacing w:val="-2"/>
          <w:sz w:val="16"/>
          <w:vertAlign w:val="baseline"/>
        </w:rPr>
        <w:t> </w:t>
      </w:r>
      <w:r>
        <w:rPr>
          <w:sz w:val="16"/>
          <w:vertAlign w:val="baseline"/>
        </w:rPr>
        <w:t>clearing</w:t>
      </w:r>
      <w:r>
        <w:rPr>
          <w:spacing w:val="-2"/>
          <w:sz w:val="16"/>
          <w:vertAlign w:val="baseline"/>
        </w:rPr>
        <w:t> </w:t>
      </w:r>
      <w:r>
        <w:rPr>
          <w:sz w:val="16"/>
          <w:vertAlign w:val="baseline"/>
        </w:rPr>
        <w:t>services</w:t>
      </w:r>
      <w:r>
        <w:rPr>
          <w:spacing w:val="-3"/>
          <w:sz w:val="16"/>
          <w:vertAlign w:val="baseline"/>
        </w:rPr>
        <w:t> </w:t>
      </w:r>
      <w:r>
        <w:rPr>
          <w:sz w:val="16"/>
          <w:vertAlign w:val="baseline"/>
        </w:rPr>
        <w:t>client.</w:t>
      </w:r>
      <w:r>
        <w:rPr>
          <w:spacing w:val="-2"/>
          <w:sz w:val="16"/>
          <w:vertAlign w:val="baseline"/>
        </w:rPr>
        <w:t> </w:t>
      </w:r>
      <w:r>
        <w:rPr>
          <w:sz w:val="16"/>
          <w:vertAlign w:val="baseline"/>
        </w:rPr>
        <w:t>The</w:t>
      </w:r>
      <w:r>
        <w:rPr>
          <w:spacing w:val="-3"/>
          <w:sz w:val="16"/>
          <w:vertAlign w:val="baseline"/>
        </w:rPr>
        <w:t> </w:t>
      </w:r>
      <w:r>
        <w:rPr>
          <w:sz w:val="16"/>
          <w:vertAlign w:val="baseline"/>
        </w:rPr>
        <w:t>third</w:t>
      </w:r>
      <w:r>
        <w:rPr>
          <w:spacing w:val="40"/>
          <w:sz w:val="16"/>
          <w:vertAlign w:val="baseline"/>
        </w:rPr>
        <w:t> </w:t>
      </w:r>
      <w:r>
        <w:rPr>
          <w:sz w:val="16"/>
          <w:vertAlign w:val="baseline"/>
        </w:rPr>
        <w:t>quarter and first nine months of 2023 also include an outflow of $0.8 billion from an international relationship. The first nine months of 2022 include an</w:t>
      </w:r>
      <w:r>
        <w:rPr>
          <w:spacing w:val="40"/>
          <w:sz w:val="16"/>
          <w:vertAlign w:val="baseline"/>
        </w:rPr>
        <w:t> </w:t>
      </w:r>
      <w:r>
        <w:rPr>
          <w:sz w:val="16"/>
          <w:vertAlign w:val="baseline"/>
        </w:rPr>
        <w:t>outflow of $20.8 billion from a mutual fund clearing services client.</w:t>
      </w:r>
    </w:p>
    <w:p>
      <w:pPr>
        <w:spacing w:before="3"/>
        <w:ind w:left="470" w:right="0" w:firstLine="0"/>
        <w:jc w:val="left"/>
        <w:rPr>
          <w:sz w:val="16"/>
        </w:rPr>
      </w:pPr>
      <w:r>
        <w:rPr>
          <w:sz w:val="16"/>
          <w:vertAlign w:val="superscript"/>
        </w:rPr>
        <w:t>(2)</w:t>
      </w:r>
      <w:r>
        <w:rPr>
          <w:spacing w:val="-1"/>
          <w:sz w:val="16"/>
          <w:vertAlign w:val="baseline"/>
        </w:rPr>
        <w:t> </w:t>
      </w:r>
      <w:r>
        <w:rPr>
          <w:sz w:val="16"/>
          <w:vertAlign w:val="baseline"/>
        </w:rPr>
        <w:t>Client cash as</w:t>
      </w:r>
      <w:r>
        <w:rPr>
          <w:spacing w:val="-1"/>
          <w:sz w:val="16"/>
          <w:vertAlign w:val="baseline"/>
        </w:rPr>
        <w:t> </w:t>
      </w:r>
      <w:r>
        <w:rPr>
          <w:sz w:val="16"/>
          <w:vertAlign w:val="baseline"/>
        </w:rPr>
        <w:t>a</w:t>
      </w:r>
      <w:r>
        <w:rPr>
          <w:spacing w:val="1"/>
          <w:sz w:val="16"/>
          <w:vertAlign w:val="baseline"/>
        </w:rPr>
        <w:t> </w:t>
      </w:r>
      <w:r>
        <w:rPr>
          <w:sz w:val="16"/>
          <w:vertAlign w:val="baseline"/>
        </w:rPr>
        <w:t>percentage of client assets excludes</w:t>
      </w:r>
      <w:r>
        <w:rPr>
          <w:spacing w:val="-1"/>
          <w:sz w:val="16"/>
          <w:vertAlign w:val="baseline"/>
        </w:rPr>
        <w:t> </w:t>
      </w:r>
      <w:r>
        <w:rPr>
          <w:sz w:val="16"/>
          <w:vertAlign w:val="baseline"/>
        </w:rPr>
        <w:t>brokered CDs</w:t>
      </w:r>
      <w:r>
        <w:rPr>
          <w:spacing w:val="-1"/>
          <w:sz w:val="16"/>
          <w:vertAlign w:val="baseline"/>
        </w:rPr>
        <w:t> </w:t>
      </w:r>
      <w:r>
        <w:rPr>
          <w:sz w:val="16"/>
          <w:vertAlign w:val="baseline"/>
        </w:rPr>
        <w:t>issued</w:t>
      </w:r>
      <w:r>
        <w:rPr>
          <w:spacing w:val="1"/>
          <w:sz w:val="16"/>
          <w:vertAlign w:val="baseline"/>
        </w:rPr>
        <w:t> </w:t>
      </w:r>
      <w:r>
        <w:rPr>
          <w:sz w:val="16"/>
          <w:vertAlign w:val="baseline"/>
        </w:rPr>
        <w:t>by </w:t>
      </w:r>
      <w:r>
        <w:rPr>
          <w:spacing w:val="-4"/>
          <w:sz w:val="16"/>
          <w:vertAlign w:val="baseline"/>
        </w:rPr>
        <w:t>CSB.</w:t>
      </w:r>
    </w:p>
    <w:p>
      <w:pPr>
        <w:spacing w:line="249" w:lineRule="auto" w:before="8"/>
        <w:ind w:left="650" w:right="500" w:hanging="180"/>
        <w:jc w:val="left"/>
        <w:rPr>
          <w:sz w:val="16"/>
        </w:rPr>
      </w:pPr>
      <w:r>
        <w:rPr>
          <w:sz w:val="16"/>
          <w:vertAlign w:val="superscript"/>
        </w:rPr>
        <w:t>(3)</w:t>
      </w:r>
      <w:r>
        <w:rPr>
          <w:spacing w:val="-3"/>
          <w:sz w:val="16"/>
          <w:vertAlign w:val="baseline"/>
        </w:rPr>
        <w:t> </w:t>
      </w:r>
      <w:r>
        <w:rPr>
          <w:sz w:val="16"/>
          <w:vertAlign w:val="baseline"/>
        </w:rPr>
        <w:t>Beginning</w:t>
      </w:r>
      <w:r>
        <w:rPr>
          <w:spacing w:val="-2"/>
          <w:sz w:val="16"/>
          <w:vertAlign w:val="baseline"/>
        </w:rPr>
        <w:t> </w:t>
      </w:r>
      <w:r>
        <w:rPr>
          <w:sz w:val="16"/>
          <w:vertAlign w:val="baseline"/>
        </w:rPr>
        <w:t>in</w:t>
      </w:r>
      <w:r>
        <w:rPr>
          <w:spacing w:val="-2"/>
          <w:sz w:val="16"/>
          <w:vertAlign w:val="baseline"/>
        </w:rPr>
        <w:t> </w:t>
      </w:r>
      <w:r>
        <w:rPr>
          <w:sz w:val="16"/>
          <w:vertAlign w:val="baseline"/>
        </w:rPr>
        <w:t>the</w:t>
      </w:r>
      <w:r>
        <w:rPr>
          <w:spacing w:val="-2"/>
          <w:sz w:val="16"/>
          <w:vertAlign w:val="baseline"/>
        </w:rPr>
        <w:t> </w:t>
      </w:r>
      <w:r>
        <w:rPr>
          <w:sz w:val="16"/>
          <w:vertAlign w:val="baseline"/>
        </w:rPr>
        <w:t>third</w:t>
      </w:r>
      <w:r>
        <w:rPr>
          <w:spacing w:val="-2"/>
          <w:sz w:val="16"/>
          <w:vertAlign w:val="baseline"/>
        </w:rPr>
        <w:t> </w:t>
      </w:r>
      <w:r>
        <w:rPr>
          <w:sz w:val="16"/>
          <w:vertAlign w:val="baseline"/>
        </w:rPr>
        <w:t>quarter</w:t>
      </w:r>
      <w:r>
        <w:rPr>
          <w:spacing w:val="-2"/>
          <w:sz w:val="16"/>
          <w:vertAlign w:val="baseline"/>
        </w:rPr>
        <w:t> </w:t>
      </w:r>
      <w:r>
        <w:rPr>
          <w:sz w:val="16"/>
          <w:vertAlign w:val="baseline"/>
        </w:rPr>
        <w:t>of</w:t>
      </w:r>
      <w:r>
        <w:rPr>
          <w:spacing w:val="-2"/>
          <w:sz w:val="16"/>
          <w:vertAlign w:val="baseline"/>
        </w:rPr>
        <w:t> </w:t>
      </w:r>
      <w:r>
        <w:rPr>
          <w:sz w:val="16"/>
          <w:vertAlign w:val="baseline"/>
        </w:rPr>
        <w:t>2023,</w:t>
      </w:r>
      <w:r>
        <w:rPr>
          <w:spacing w:val="-2"/>
          <w:sz w:val="16"/>
          <w:vertAlign w:val="baseline"/>
        </w:rPr>
        <w:t> </w:t>
      </w:r>
      <w:r>
        <w:rPr>
          <w:sz w:val="16"/>
          <w:vertAlign w:val="baseline"/>
        </w:rPr>
        <w:t>adjustments</w:t>
      </w:r>
      <w:r>
        <w:rPr>
          <w:spacing w:val="-3"/>
          <w:sz w:val="16"/>
          <w:vertAlign w:val="baseline"/>
        </w:rPr>
        <w:t> </w:t>
      </w:r>
      <w:r>
        <w:rPr>
          <w:sz w:val="16"/>
          <w:vertAlign w:val="baseline"/>
        </w:rPr>
        <w:t>made</w:t>
      </w:r>
      <w:r>
        <w:rPr>
          <w:spacing w:val="-2"/>
          <w:sz w:val="16"/>
          <w:vertAlign w:val="baseline"/>
        </w:rPr>
        <w:t> </w:t>
      </w:r>
      <w:r>
        <w:rPr>
          <w:sz w:val="16"/>
          <w:vertAlign w:val="baseline"/>
        </w:rPr>
        <w:t>to</w:t>
      </w:r>
      <w:r>
        <w:rPr>
          <w:spacing w:val="-4"/>
          <w:sz w:val="16"/>
          <w:vertAlign w:val="baseline"/>
        </w:rPr>
        <w:t> </w:t>
      </w:r>
      <w:r>
        <w:rPr>
          <w:sz w:val="16"/>
          <w:vertAlign w:val="baseline"/>
        </w:rPr>
        <w:t>GAAP</w:t>
      </w:r>
      <w:r>
        <w:rPr>
          <w:spacing w:val="-3"/>
          <w:sz w:val="16"/>
          <w:vertAlign w:val="baseline"/>
        </w:rPr>
        <w:t> </w:t>
      </w:r>
      <w:r>
        <w:rPr>
          <w:sz w:val="16"/>
          <w:vertAlign w:val="baseline"/>
        </w:rPr>
        <w:t>financial</w:t>
      </w:r>
      <w:r>
        <w:rPr>
          <w:spacing w:val="-2"/>
          <w:sz w:val="16"/>
          <w:vertAlign w:val="baseline"/>
        </w:rPr>
        <w:t> </w:t>
      </w:r>
      <w:r>
        <w:rPr>
          <w:sz w:val="16"/>
          <w:vertAlign w:val="baseline"/>
        </w:rPr>
        <w:t>measures</w:t>
      </w:r>
      <w:r>
        <w:rPr>
          <w:spacing w:val="-3"/>
          <w:sz w:val="16"/>
          <w:vertAlign w:val="baseline"/>
        </w:rPr>
        <w:t> </w:t>
      </w:r>
      <w:r>
        <w:rPr>
          <w:sz w:val="16"/>
          <w:vertAlign w:val="baseline"/>
        </w:rPr>
        <w:t>also</w:t>
      </w:r>
      <w:r>
        <w:rPr>
          <w:spacing w:val="-2"/>
          <w:sz w:val="16"/>
          <w:vertAlign w:val="baseline"/>
        </w:rPr>
        <w:t> </w:t>
      </w:r>
      <w:r>
        <w:rPr>
          <w:sz w:val="16"/>
          <w:vertAlign w:val="baseline"/>
        </w:rPr>
        <w:t>include</w:t>
      </w:r>
      <w:r>
        <w:rPr>
          <w:spacing w:val="-2"/>
          <w:sz w:val="16"/>
          <w:vertAlign w:val="baseline"/>
        </w:rPr>
        <w:t> </w:t>
      </w:r>
      <w:r>
        <w:rPr>
          <w:sz w:val="16"/>
          <w:vertAlign w:val="baseline"/>
        </w:rPr>
        <w:t>restructuring</w:t>
      </w:r>
      <w:r>
        <w:rPr>
          <w:spacing w:val="-2"/>
          <w:sz w:val="16"/>
          <w:vertAlign w:val="baseline"/>
        </w:rPr>
        <w:t> </w:t>
      </w:r>
      <w:r>
        <w:rPr>
          <w:sz w:val="16"/>
          <w:vertAlign w:val="baseline"/>
        </w:rPr>
        <w:t>costs.</w:t>
      </w:r>
      <w:r>
        <w:rPr>
          <w:spacing w:val="-2"/>
          <w:sz w:val="16"/>
          <w:vertAlign w:val="baseline"/>
        </w:rPr>
        <w:t> </w:t>
      </w:r>
      <w:r>
        <w:rPr>
          <w:sz w:val="16"/>
          <w:vertAlign w:val="baseline"/>
        </w:rPr>
        <w:t>See</w:t>
      </w:r>
      <w:r>
        <w:rPr>
          <w:spacing w:val="-2"/>
          <w:sz w:val="16"/>
          <w:vertAlign w:val="baseline"/>
        </w:rPr>
        <w:t> </w:t>
      </w:r>
      <w:r>
        <w:rPr>
          <w:sz w:val="16"/>
          <w:vertAlign w:val="baseline"/>
        </w:rPr>
        <w:t>Non-GAAP</w:t>
      </w:r>
      <w:r>
        <w:rPr>
          <w:spacing w:val="-3"/>
          <w:sz w:val="16"/>
          <w:vertAlign w:val="baseline"/>
        </w:rPr>
        <w:t> </w:t>
      </w:r>
      <w:r>
        <w:rPr>
          <w:sz w:val="16"/>
          <w:vertAlign w:val="baseline"/>
        </w:rPr>
        <w:t>Financial</w:t>
      </w:r>
      <w:r>
        <w:rPr>
          <w:spacing w:val="-2"/>
          <w:sz w:val="16"/>
          <w:vertAlign w:val="baseline"/>
        </w:rPr>
        <w:t> </w:t>
      </w:r>
      <w:r>
        <w:rPr>
          <w:sz w:val="16"/>
          <w:vertAlign w:val="baseline"/>
        </w:rPr>
        <w:t>Measures</w:t>
      </w:r>
      <w:r>
        <w:rPr>
          <w:spacing w:val="40"/>
          <w:sz w:val="16"/>
          <w:vertAlign w:val="baseline"/>
        </w:rPr>
        <w:t> </w:t>
      </w:r>
      <w:r>
        <w:rPr>
          <w:sz w:val="16"/>
          <w:vertAlign w:val="baseline"/>
        </w:rPr>
        <w:t>for further details and a reconciliation of such measures to GAAP reported results.</w:t>
      </w:r>
    </w:p>
    <w:p>
      <w:pPr>
        <w:spacing w:before="1"/>
        <w:ind w:left="470" w:right="0" w:firstLine="0"/>
        <w:jc w:val="left"/>
        <w:rPr>
          <w:sz w:val="16"/>
        </w:rPr>
      </w:pPr>
      <w:r>
        <w:rPr>
          <w:sz w:val="16"/>
          <w:vertAlign w:val="superscript"/>
        </w:rPr>
        <w:t>(4)</w:t>
      </w:r>
      <w:r>
        <w:rPr>
          <w:spacing w:val="-2"/>
          <w:sz w:val="16"/>
          <w:vertAlign w:val="baseline"/>
        </w:rPr>
        <w:t> </w:t>
      </w:r>
      <w:r>
        <w:rPr>
          <w:sz w:val="16"/>
          <w:vertAlign w:val="baseline"/>
        </w:rPr>
        <w:t>Adjusted total</w:t>
      </w:r>
      <w:r>
        <w:rPr>
          <w:spacing w:val="-1"/>
          <w:sz w:val="16"/>
          <w:vertAlign w:val="baseline"/>
        </w:rPr>
        <w:t> </w:t>
      </w:r>
      <w:r>
        <w:rPr>
          <w:sz w:val="16"/>
          <w:vertAlign w:val="baseline"/>
        </w:rPr>
        <w:t>expenses</w:t>
      </w:r>
      <w:r>
        <w:rPr>
          <w:spacing w:val="-1"/>
          <w:sz w:val="16"/>
          <w:vertAlign w:val="baseline"/>
        </w:rPr>
        <w:t> </w:t>
      </w:r>
      <w:r>
        <w:rPr>
          <w:sz w:val="16"/>
          <w:vertAlign w:val="baseline"/>
        </w:rPr>
        <w:t>is</w:t>
      </w:r>
      <w:r>
        <w:rPr>
          <w:spacing w:val="-1"/>
          <w:sz w:val="16"/>
          <w:vertAlign w:val="baseline"/>
        </w:rPr>
        <w:t> </w:t>
      </w:r>
      <w:r>
        <w:rPr>
          <w:sz w:val="16"/>
          <w:vertAlign w:val="baseline"/>
        </w:rPr>
        <w:t>a</w:t>
      </w:r>
      <w:r>
        <w:rPr>
          <w:spacing w:val="-1"/>
          <w:sz w:val="16"/>
          <w:vertAlign w:val="baseline"/>
        </w:rPr>
        <w:t> </w:t>
      </w:r>
      <w:r>
        <w:rPr>
          <w:sz w:val="16"/>
          <w:vertAlign w:val="baseline"/>
        </w:rPr>
        <w:t>non-GAAP</w:t>
      </w:r>
      <w:r>
        <w:rPr>
          <w:spacing w:val="-1"/>
          <w:sz w:val="16"/>
          <w:vertAlign w:val="baseline"/>
        </w:rPr>
        <w:t> </w:t>
      </w:r>
      <w:r>
        <w:rPr>
          <w:sz w:val="16"/>
          <w:vertAlign w:val="baseline"/>
        </w:rPr>
        <w:t>financial</w:t>
      </w:r>
      <w:r>
        <w:rPr>
          <w:spacing w:val="-1"/>
          <w:sz w:val="16"/>
          <w:vertAlign w:val="baseline"/>
        </w:rPr>
        <w:t> </w:t>
      </w:r>
      <w:r>
        <w:rPr>
          <w:sz w:val="16"/>
          <w:vertAlign w:val="baseline"/>
        </w:rPr>
        <w:t>measure adjusting total</w:t>
      </w:r>
      <w:r>
        <w:rPr>
          <w:spacing w:val="-1"/>
          <w:sz w:val="16"/>
          <w:vertAlign w:val="baseline"/>
        </w:rPr>
        <w:t> </w:t>
      </w:r>
      <w:r>
        <w:rPr>
          <w:sz w:val="16"/>
          <w:vertAlign w:val="baseline"/>
        </w:rPr>
        <w:t>expenses</w:t>
      </w:r>
      <w:r>
        <w:rPr>
          <w:spacing w:val="-1"/>
          <w:sz w:val="16"/>
          <w:vertAlign w:val="baseline"/>
        </w:rPr>
        <w:t> </w:t>
      </w:r>
      <w:r>
        <w:rPr>
          <w:sz w:val="16"/>
          <w:vertAlign w:val="baseline"/>
        </w:rPr>
        <w:t>excluding</w:t>
      </w:r>
      <w:r>
        <w:rPr>
          <w:spacing w:val="-1"/>
          <w:sz w:val="16"/>
          <w:vertAlign w:val="baseline"/>
        </w:rPr>
        <w:t> </w:t>
      </w:r>
      <w:r>
        <w:rPr>
          <w:sz w:val="16"/>
          <w:vertAlign w:val="baseline"/>
        </w:rPr>
        <w:t>interest. See Non-GAAP</w:t>
      </w:r>
      <w:r>
        <w:rPr>
          <w:spacing w:val="-2"/>
          <w:sz w:val="16"/>
          <w:vertAlign w:val="baseline"/>
        </w:rPr>
        <w:t> </w:t>
      </w:r>
      <w:r>
        <w:rPr>
          <w:sz w:val="16"/>
          <w:vertAlign w:val="baseline"/>
        </w:rPr>
        <w:t>Financial </w:t>
      </w:r>
      <w:r>
        <w:rPr>
          <w:spacing w:val="-2"/>
          <w:sz w:val="16"/>
          <w:vertAlign w:val="baseline"/>
        </w:rPr>
        <w:t>Measures.</w:t>
      </w:r>
    </w:p>
    <w:p>
      <w:pPr>
        <w:pStyle w:val="BodyText"/>
        <w:spacing w:before="55"/>
        <w:rPr>
          <w:sz w:val="16"/>
        </w:rPr>
      </w:pPr>
    </w:p>
    <w:p>
      <w:pPr>
        <w:pStyle w:val="BodyText"/>
        <w:spacing w:line="249" w:lineRule="auto"/>
        <w:ind w:left="470" w:right="500"/>
      </w:pPr>
      <w:r>
        <w:rPr/>
        <w:t>Against a challenging macroeconomic and geopolitical backdrop, Schwab continued to be a trusted partner for investors throughout the third quarter and first nine months of 2023. The Federal Reserve raised the Federal Funds rate again in July, representing the fourth time in 2023 for a total of 100 basis points. Investor sentiment was bearish in the first quarter, particularly</w:t>
      </w:r>
      <w:r>
        <w:rPr>
          <w:spacing w:val="-3"/>
        </w:rPr>
        <w:t> </w:t>
      </w:r>
      <w:r>
        <w:rPr/>
        <w:t>following</w:t>
      </w:r>
      <w:r>
        <w:rPr>
          <w:spacing w:val="-3"/>
        </w:rPr>
        <w:t> </w:t>
      </w:r>
      <w:r>
        <w:rPr/>
        <w:t>the</w:t>
      </w:r>
      <w:r>
        <w:rPr>
          <w:spacing w:val="-4"/>
        </w:rPr>
        <w:t> </w:t>
      </w:r>
      <w:r>
        <w:rPr/>
        <w:t>onset</w:t>
      </w:r>
      <w:r>
        <w:rPr>
          <w:spacing w:val="-4"/>
        </w:rPr>
        <w:t> </w:t>
      </w:r>
      <w:r>
        <w:rPr/>
        <w:t>of</w:t>
      </w:r>
      <w:r>
        <w:rPr>
          <w:spacing w:val="-3"/>
        </w:rPr>
        <w:t> </w:t>
      </w:r>
      <w:r>
        <w:rPr/>
        <w:t>the</w:t>
      </w:r>
      <w:r>
        <w:rPr>
          <w:spacing w:val="-4"/>
        </w:rPr>
        <w:t> </w:t>
      </w:r>
      <w:r>
        <w:rPr/>
        <w:t>banking</w:t>
      </w:r>
      <w:r>
        <w:rPr>
          <w:spacing w:val="-3"/>
        </w:rPr>
        <w:t> </w:t>
      </w:r>
      <w:r>
        <w:rPr/>
        <w:t>industry</w:t>
      </w:r>
      <w:r>
        <w:rPr>
          <w:spacing w:val="-3"/>
        </w:rPr>
        <w:t> </w:t>
      </w:r>
      <w:r>
        <w:rPr/>
        <w:t>turmoil</w:t>
      </w:r>
      <w:r>
        <w:rPr>
          <w:spacing w:val="-4"/>
        </w:rPr>
        <w:t> </w:t>
      </w:r>
      <w:r>
        <w:rPr/>
        <w:t>in</w:t>
      </w:r>
      <w:r>
        <w:rPr>
          <w:spacing w:val="-3"/>
        </w:rPr>
        <w:t> </w:t>
      </w:r>
      <w:r>
        <w:rPr/>
        <w:t>March,</w:t>
      </w:r>
      <w:r>
        <w:rPr>
          <w:spacing w:val="-3"/>
        </w:rPr>
        <w:t> </w:t>
      </w:r>
      <w:r>
        <w:rPr/>
        <w:t>before</w:t>
      </w:r>
      <w:r>
        <w:rPr>
          <w:spacing w:val="-4"/>
        </w:rPr>
        <w:t> </w:t>
      </w:r>
      <w:r>
        <w:rPr/>
        <w:t>turning</w:t>
      </w:r>
      <w:r>
        <w:rPr>
          <w:spacing w:val="-3"/>
        </w:rPr>
        <w:t> </w:t>
      </w:r>
      <w:r>
        <w:rPr/>
        <w:t>positive</w:t>
      </w:r>
      <w:r>
        <w:rPr>
          <w:spacing w:val="-4"/>
        </w:rPr>
        <w:t> </w:t>
      </w:r>
      <w:r>
        <w:rPr/>
        <w:t>in</w:t>
      </w:r>
      <w:r>
        <w:rPr>
          <w:spacing w:val="-3"/>
        </w:rPr>
        <w:t> </w:t>
      </w:r>
      <w:r>
        <w:rPr/>
        <w:t>the</w:t>
      </w:r>
      <w:r>
        <w:rPr>
          <w:spacing w:val="-4"/>
        </w:rPr>
        <w:t> </w:t>
      </w:r>
      <w:r>
        <w:rPr/>
        <w:t>second</w:t>
      </w:r>
      <w:r>
        <w:rPr>
          <w:spacing w:val="-3"/>
        </w:rPr>
        <w:t> </w:t>
      </w:r>
      <w:r>
        <w:rPr/>
        <w:t>quarter</w:t>
      </w:r>
      <w:r>
        <w:rPr>
          <w:spacing w:val="-3"/>
        </w:rPr>
        <w:t> </w:t>
      </w:r>
      <w:r>
        <w:rPr/>
        <w:t>and</w:t>
      </w:r>
      <w:r>
        <w:rPr>
          <w:spacing w:val="-3"/>
        </w:rPr>
        <w:t> </w:t>
      </w:r>
      <w:r>
        <w:rPr/>
        <w:t>then declining again into a bearish sentiment in the third quarter. Equity markets declined during the third quarter, though remained positive on the year, with the S&amp;P 500</w:t>
      </w:r>
      <w:r>
        <w:rPr>
          <w:vertAlign w:val="superscript"/>
        </w:rPr>
        <w:t>®</w:t>
      </w:r>
      <w:r>
        <w:rPr>
          <w:vertAlign w:val="baseline"/>
        </w:rPr>
        <w:t> down 4% in the third quarter and up 12% year-to-date.</w:t>
      </w:r>
    </w:p>
    <w:p>
      <w:pPr>
        <w:pStyle w:val="BodyText"/>
        <w:spacing w:before="15"/>
      </w:pPr>
    </w:p>
    <w:p>
      <w:pPr>
        <w:pStyle w:val="BodyText"/>
        <w:spacing w:line="249" w:lineRule="auto"/>
        <w:ind w:left="470" w:right="500"/>
      </w:pPr>
      <w:r>
        <w:rPr/>
        <w:t>Schwab</w:t>
      </w:r>
      <w:r>
        <w:rPr>
          <w:spacing w:val="-2"/>
        </w:rPr>
        <w:t> </w:t>
      </w:r>
      <w:r>
        <w:rPr/>
        <w:t>gathered</w:t>
      </w:r>
      <w:r>
        <w:rPr>
          <w:spacing w:val="-2"/>
        </w:rPr>
        <w:t> </w:t>
      </w:r>
      <w:r>
        <w:rPr/>
        <w:t>$45.7</w:t>
      </w:r>
      <w:r>
        <w:rPr>
          <w:spacing w:val="-2"/>
        </w:rPr>
        <w:t> </w:t>
      </w:r>
      <w:r>
        <w:rPr/>
        <w:t>billion</w:t>
      </w:r>
      <w:r>
        <w:rPr>
          <w:spacing w:val="-2"/>
        </w:rPr>
        <w:t> </w:t>
      </w:r>
      <w:r>
        <w:rPr/>
        <w:t>in</w:t>
      </w:r>
      <w:r>
        <w:rPr>
          <w:spacing w:val="-2"/>
        </w:rPr>
        <w:t> </w:t>
      </w:r>
      <w:r>
        <w:rPr/>
        <w:t>core</w:t>
      </w:r>
      <w:r>
        <w:rPr>
          <w:spacing w:val="-3"/>
        </w:rPr>
        <w:t> </w:t>
      </w:r>
      <w:r>
        <w:rPr/>
        <w:t>net</w:t>
      </w:r>
      <w:r>
        <w:rPr>
          <w:spacing w:val="-3"/>
        </w:rPr>
        <w:t> </w:t>
      </w:r>
      <w:r>
        <w:rPr/>
        <w:t>new</w:t>
      </w:r>
      <w:r>
        <w:rPr>
          <w:spacing w:val="-3"/>
        </w:rPr>
        <w:t> </w:t>
      </w:r>
      <w:r>
        <w:rPr/>
        <w:t>assets</w:t>
      </w:r>
      <w:r>
        <w:rPr>
          <w:spacing w:val="-3"/>
        </w:rPr>
        <w:t> </w:t>
      </w:r>
      <w:r>
        <w:rPr/>
        <w:t>in</w:t>
      </w:r>
      <w:r>
        <w:rPr>
          <w:spacing w:val="-2"/>
        </w:rPr>
        <w:t> </w:t>
      </w:r>
      <w:r>
        <w:rPr/>
        <w:t>the</w:t>
      </w:r>
      <w:r>
        <w:rPr>
          <w:spacing w:val="-3"/>
        </w:rPr>
        <w:t> </w:t>
      </w:r>
      <w:r>
        <w:rPr/>
        <w:t>third</w:t>
      </w:r>
      <w:r>
        <w:rPr>
          <w:spacing w:val="-2"/>
        </w:rPr>
        <w:t> </w:t>
      </w:r>
      <w:r>
        <w:rPr/>
        <w:t>quarter,</w:t>
      </w:r>
      <w:r>
        <w:rPr>
          <w:spacing w:val="-2"/>
        </w:rPr>
        <w:t> </w:t>
      </w:r>
      <w:r>
        <w:rPr/>
        <w:t>bringing</w:t>
      </w:r>
      <w:r>
        <w:rPr>
          <w:spacing w:val="-2"/>
        </w:rPr>
        <w:t> </w:t>
      </w:r>
      <w:r>
        <w:rPr/>
        <w:t>our</w:t>
      </w:r>
      <w:r>
        <w:rPr>
          <w:spacing w:val="-2"/>
        </w:rPr>
        <w:t> </w:t>
      </w:r>
      <w:r>
        <w:rPr/>
        <w:t>2023</w:t>
      </w:r>
      <w:r>
        <w:rPr>
          <w:spacing w:val="-2"/>
        </w:rPr>
        <w:t> </w:t>
      </w:r>
      <w:r>
        <w:rPr/>
        <w:t>year-to-date</w:t>
      </w:r>
      <w:r>
        <w:rPr>
          <w:spacing w:val="-3"/>
        </w:rPr>
        <w:t> </w:t>
      </w:r>
      <w:r>
        <w:rPr/>
        <w:t>total</w:t>
      </w:r>
      <w:r>
        <w:rPr>
          <w:spacing w:val="-3"/>
        </w:rPr>
        <w:t> </w:t>
      </w:r>
      <w:r>
        <w:rPr/>
        <w:t>to</w:t>
      </w:r>
      <w:r>
        <w:rPr>
          <w:spacing w:val="-2"/>
        </w:rPr>
        <w:t> </w:t>
      </w:r>
      <w:r>
        <w:rPr/>
        <w:t>$229.6</w:t>
      </w:r>
      <w:r>
        <w:rPr>
          <w:spacing w:val="-2"/>
        </w:rPr>
        <w:t> </w:t>
      </w:r>
      <w:r>
        <w:rPr/>
        <w:t>billion. Total client assets were $7.82 trillion as of September 30, 2023, up 11% from year-end 2022 primarily as a result of asset gathering and market gains, partially offset by some expected deal-related asset attrition from clients originating at TD Ameritrade. Trading volume continued to be lower in the third quarter and throughout the first nine months of 2023 when compared with the same periods in 2022. Clients’ daily average trades (DATs) were 5.2 million and 5.5 million in the third</w:t>
      </w:r>
    </w:p>
    <w:p>
      <w:pPr>
        <w:spacing w:after="0" w:line="249" w:lineRule="auto"/>
        <w:sectPr>
          <w:type w:val="continuous"/>
          <w:pgSz w:w="12240" w:h="15840"/>
          <w:pgMar w:header="512" w:footer="201" w:top="320" w:bottom="280" w:left="520" w:right="520"/>
        </w:sectPr>
      </w:pPr>
    </w:p>
    <w:p>
      <w:pPr>
        <w:pStyle w:val="BodyText"/>
        <w:spacing w:before="211"/>
        <w:ind w:left="470"/>
      </w:pPr>
      <w:r>
        <w:rPr/>
        <w:t>quarter</w:t>
      </w:r>
      <w:r>
        <w:rPr>
          <w:spacing w:val="-4"/>
        </w:rPr>
        <w:t> </w:t>
      </w:r>
      <w:r>
        <w:rPr/>
        <w:t>and</w:t>
      </w:r>
      <w:r>
        <w:rPr>
          <w:spacing w:val="-2"/>
        </w:rPr>
        <w:t> </w:t>
      </w:r>
      <w:r>
        <w:rPr/>
        <w:t>first</w:t>
      </w:r>
      <w:r>
        <w:rPr>
          <w:spacing w:val="-3"/>
        </w:rPr>
        <w:t> </w:t>
      </w:r>
      <w:r>
        <w:rPr/>
        <w:t>nine</w:t>
      </w:r>
      <w:r>
        <w:rPr>
          <w:spacing w:val="-3"/>
        </w:rPr>
        <w:t> </w:t>
      </w:r>
      <w:r>
        <w:rPr/>
        <w:t>months</w:t>
      </w:r>
      <w:r>
        <w:rPr>
          <w:spacing w:val="-3"/>
        </w:rPr>
        <w:t> </w:t>
      </w:r>
      <w:r>
        <w:rPr/>
        <w:t>of</w:t>
      </w:r>
      <w:r>
        <w:rPr>
          <w:spacing w:val="-2"/>
        </w:rPr>
        <w:t> </w:t>
      </w:r>
      <w:r>
        <w:rPr/>
        <w:t>2023,</w:t>
      </w:r>
      <w:r>
        <w:rPr>
          <w:spacing w:val="-2"/>
        </w:rPr>
        <w:t> </w:t>
      </w:r>
      <w:r>
        <w:rPr/>
        <w:t>respectively,</w:t>
      </w:r>
      <w:r>
        <w:rPr>
          <w:spacing w:val="-2"/>
        </w:rPr>
        <w:t> </w:t>
      </w:r>
      <w:r>
        <w:rPr/>
        <w:t>down</w:t>
      </w:r>
      <w:r>
        <w:rPr>
          <w:spacing w:val="-2"/>
        </w:rPr>
        <w:t> </w:t>
      </w:r>
      <w:r>
        <w:rPr/>
        <w:t>6%</w:t>
      </w:r>
      <w:r>
        <w:rPr>
          <w:spacing w:val="-2"/>
        </w:rPr>
        <w:t> </w:t>
      </w:r>
      <w:r>
        <w:rPr/>
        <w:t>and</w:t>
      </w:r>
      <w:r>
        <w:rPr>
          <w:spacing w:val="-2"/>
        </w:rPr>
        <w:t> </w:t>
      </w:r>
      <w:r>
        <w:rPr/>
        <w:t>11%</w:t>
      </w:r>
      <w:r>
        <w:rPr>
          <w:spacing w:val="-2"/>
        </w:rPr>
        <w:t> </w:t>
      </w:r>
      <w:r>
        <w:rPr/>
        <w:t>from</w:t>
      </w:r>
      <w:r>
        <w:rPr>
          <w:spacing w:val="-3"/>
        </w:rPr>
        <w:t> </w:t>
      </w:r>
      <w:r>
        <w:rPr/>
        <w:t>the</w:t>
      </w:r>
      <w:r>
        <w:rPr>
          <w:spacing w:val="-3"/>
        </w:rPr>
        <w:t> </w:t>
      </w:r>
      <w:r>
        <w:rPr/>
        <w:t>respective</w:t>
      </w:r>
      <w:r>
        <w:rPr>
          <w:spacing w:val="-3"/>
        </w:rPr>
        <w:t> </w:t>
      </w:r>
      <w:r>
        <w:rPr/>
        <w:t>prior</w:t>
      </w:r>
      <w:r>
        <w:rPr>
          <w:spacing w:val="-2"/>
        </w:rPr>
        <w:t> </w:t>
      </w:r>
      <w:r>
        <w:rPr/>
        <w:t>periods.</w:t>
      </w:r>
      <w:r>
        <w:rPr>
          <w:spacing w:val="-2"/>
        </w:rPr>
        <w:t> </w:t>
      </w:r>
      <w:r>
        <w:rPr/>
        <w:t>Clients</w:t>
      </w:r>
      <w:r>
        <w:rPr>
          <w:spacing w:val="-2"/>
        </w:rPr>
        <w:t> opened</w:t>
      </w:r>
    </w:p>
    <w:p>
      <w:pPr>
        <w:pStyle w:val="BodyText"/>
        <w:spacing w:line="249" w:lineRule="auto" w:before="10"/>
        <w:ind w:left="470" w:right="500"/>
      </w:pPr>
      <w:r>
        <w:rPr/>
        <w:t>894</w:t>
      </w:r>
      <w:r>
        <w:rPr>
          <w:spacing w:val="-3"/>
        </w:rPr>
        <w:t> </w:t>
      </w:r>
      <w:r>
        <w:rPr/>
        <w:t>thousand</w:t>
      </w:r>
      <w:r>
        <w:rPr>
          <w:spacing w:val="-3"/>
        </w:rPr>
        <w:t> </w:t>
      </w:r>
      <w:r>
        <w:rPr/>
        <w:t>and</w:t>
      </w:r>
      <w:r>
        <w:rPr>
          <w:spacing w:val="-3"/>
        </w:rPr>
        <w:t> </w:t>
      </w:r>
      <w:r>
        <w:rPr/>
        <w:t>2.9</w:t>
      </w:r>
      <w:r>
        <w:rPr>
          <w:spacing w:val="-3"/>
        </w:rPr>
        <w:t> </w:t>
      </w:r>
      <w:r>
        <w:rPr/>
        <w:t>million</w:t>
      </w:r>
      <w:r>
        <w:rPr>
          <w:spacing w:val="-3"/>
        </w:rPr>
        <w:t> </w:t>
      </w:r>
      <w:r>
        <w:rPr/>
        <w:t>new</w:t>
      </w:r>
      <w:r>
        <w:rPr>
          <w:spacing w:val="-4"/>
        </w:rPr>
        <w:t> </w:t>
      </w:r>
      <w:r>
        <w:rPr/>
        <w:t>brokerage</w:t>
      </w:r>
      <w:r>
        <w:rPr>
          <w:spacing w:val="-4"/>
        </w:rPr>
        <w:t> </w:t>
      </w:r>
      <w:r>
        <w:rPr/>
        <w:t>accounts</w:t>
      </w:r>
      <w:r>
        <w:rPr>
          <w:spacing w:val="-4"/>
        </w:rPr>
        <w:t> </w:t>
      </w:r>
      <w:r>
        <w:rPr/>
        <w:t>in</w:t>
      </w:r>
      <w:r>
        <w:rPr>
          <w:spacing w:val="-3"/>
        </w:rPr>
        <w:t> </w:t>
      </w:r>
      <w:r>
        <w:rPr/>
        <w:t>the</w:t>
      </w:r>
      <w:r>
        <w:rPr>
          <w:spacing w:val="-4"/>
        </w:rPr>
        <w:t> </w:t>
      </w:r>
      <w:r>
        <w:rPr/>
        <w:t>third</w:t>
      </w:r>
      <w:r>
        <w:rPr>
          <w:spacing w:val="-3"/>
        </w:rPr>
        <w:t> </w:t>
      </w:r>
      <w:r>
        <w:rPr/>
        <w:t>quarter</w:t>
      </w:r>
      <w:r>
        <w:rPr>
          <w:spacing w:val="-3"/>
        </w:rPr>
        <w:t> </w:t>
      </w:r>
      <w:r>
        <w:rPr/>
        <w:t>and</w:t>
      </w:r>
      <w:r>
        <w:rPr>
          <w:spacing w:val="-3"/>
        </w:rPr>
        <w:t> </w:t>
      </w:r>
      <w:r>
        <w:rPr/>
        <w:t>first</w:t>
      </w:r>
      <w:r>
        <w:rPr>
          <w:spacing w:val="-4"/>
        </w:rPr>
        <w:t> </w:t>
      </w:r>
      <w:r>
        <w:rPr/>
        <w:t>nine</w:t>
      </w:r>
      <w:r>
        <w:rPr>
          <w:spacing w:val="-4"/>
        </w:rPr>
        <w:t> </w:t>
      </w:r>
      <w:r>
        <w:rPr/>
        <w:t>months</w:t>
      </w:r>
      <w:r>
        <w:rPr>
          <w:spacing w:val="-4"/>
        </w:rPr>
        <w:t> </w:t>
      </w:r>
      <w:r>
        <w:rPr/>
        <w:t>of</w:t>
      </w:r>
      <w:r>
        <w:rPr>
          <w:spacing w:val="-3"/>
        </w:rPr>
        <w:t> </w:t>
      </w:r>
      <w:r>
        <w:rPr/>
        <w:t>2023,</w:t>
      </w:r>
      <w:r>
        <w:rPr>
          <w:spacing w:val="-3"/>
        </w:rPr>
        <w:t> </w:t>
      </w:r>
      <w:r>
        <w:rPr/>
        <w:t>respectively,</w:t>
      </w:r>
      <w:r>
        <w:rPr>
          <w:spacing w:val="-3"/>
        </w:rPr>
        <w:t> </w:t>
      </w:r>
      <w:r>
        <w:rPr/>
        <w:t>bringing active brokerage accounts to 34.5 million, at quarter-end, up 2% year-over-year.</w:t>
      </w:r>
    </w:p>
    <w:p>
      <w:pPr>
        <w:pStyle w:val="BodyText"/>
        <w:spacing w:before="12"/>
      </w:pPr>
    </w:p>
    <w:p>
      <w:pPr>
        <w:pStyle w:val="BodyText"/>
        <w:spacing w:line="249" w:lineRule="auto"/>
        <w:ind w:left="470" w:right="500"/>
      </w:pPr>
      <w:r>
        <w:rPr/>
        <w:t>Schwab’s</w:t>
      </w:r>
      <w:r>
        <w:rPr>
          <w:spacing w:val="-1"/>
        </w:rPr>
        <w:t> </w:t>
      </w:r>
      <w:r>
        <w:rPr/>
        <w:t>net</w:t>
      </w:r>
      <w:r>
        <w:rPr>
          <w:spacing w:val="-1"/>
        </w:rPr>
        <w:t> </w:t>
      </w:r>
      <w:r>
        <w:rPr/>
        <w:t>income</w:t>
      </w:r>
      <w:r>
        <w:rPr>
          <w:spacing w:val="-1"/>
        </w:rPr>
        <w:t> </w:t>
      </w:r>
      <w:r>
        <w:rPr/>
        <w:t>totaled $1.1 billion and $4.0 billion in the</w:t>
      </w:r>
      <w:r>
        <w:rPr>
          <w:spacing w:val="-1"/>
        </w:rPr>
        <w:t> </w:t>
      </w:r>
      <w:r>
        <w:rPr/>
        <w:t>third quarter and first</w:t>
      </w:r>
      <w:r>
        <w:rPr>
          <w:spacing w:val="-1"/>
        </w:rPr>
        <w:t> </w:t>
      </w:r>
      <w:r>
        <w:rPr/>
        <w:t>nine</w:t>
      </w:r>
      <w:r>
        <w:rPr>
          <w:spacing w:val="-1"/>
        </w:rPr>
        <w:t> </w:t>
      </w:r>
      <w:r>
        <w:rPr/>
        <w:t>months</w:t>
      </w:r>
      <w:r>
        <w:rPr>
          <w:spacing w:val="-1"/>
        </w:rPr>
        <w:t> </w:t>
      </w:r>
      <w:r>
        <w:rPr/>
        <w:t>of 2023, respectively, down 44%</w:t>
      </w:r>
      <w:r>
        <w:rPr>
          <w:spacing w:val="-2"/>
        </w:rPr>
        <w:t> </w:t>
      </w:r>
      <w:r>
        <w:rPr/>
        <w:t>and</w:t>
      </w:r>
      <w:r>
        <w:rPr>
          <w:spacing w:val="-2"/>
        </w:rPr>
        <w:t> </w:t>
      </w:r>
      <w:r>
        <w:rPr/>
        <w:t>23%</w:t>
      </w:r>
      <w:r>
        <w:rPr>
          <w:spacing w:val="-2"/>
        </w:rPr>
        <w:t> </w:t>
      </w:r>
      <w:r>
        <w:rPr/>
        <w:t>from</w:t>
      </w:r>
      <w:r>
        <w:rPr>
          <w:spacing w:val="-3"/>
        </w:rPr>
        <w:t> </w:t>
      </w:r>
      <w:r>
        <w:rPr/>
        <w:t>the</w:t>
      </w:r>
      <w:r>
        <w:rPr>
          <w:spacing w:val="-3"/>
        </w:rPr>
        <w:t> </w:t>
      </w:r>
      <w:r>
        <w:rPr/>
        <w:t>same</w:t>
      </w:r>
      <w:r>
        <w:rPr>
          <w:spacing w:val="-3"/>
        </w:rPr>
        <w:t> </w:t>
      </w:r>
      <w:r>
        <w:rPr/>
        <w:t>periods</w:t>
      </w:r>
      <w:r>
        <w:rPr>
          <w:spacing w:val="-3"/>
        </w:rPr>
        <w:t> </w:t>
      </w:r>
      <w:r>
        <w:rPr/>
        <w:t>in</w:t>
      </w:r>
      <w:r>
        <w:rPr>
          <w:spacing w:val="-2"/>
        </w:rPr>
        <w:t> </w:t>
      </w:r>
      <w:r>
        <w:rPr/>
        <w:t>2022.</w:t>
      </w:r>
      <w:r>
        <w:rPr>
          <w:spacing w:val="-2"/>
        </w:rPr>
        <w:t> </w:t>
      </w:r>
      <w:r>
        <w:rPr/>
        <w:t>Diluted</w:t>
      </w:r>
      <w:r>
        <w:rPr>
          <w:spacing w:val="-2"/>
        </w:rPr>
        <w:t> </w:t>
      </w:r>
      <w:r>
        <w:rPr/>
        <w:t>earnings</w:t>
      </w:r>
      <w:r>
        <w:rPr>
          <w:spacing w:val="-3"/>
        </w:rPr>
        <w:t> </w:t>
      </w:r>
      <w:r>
        <w:rPr/>
        <w:t>per</w:t>
      </w:r>
      <w:r>
        <w:rPr>
          <w:spacing w:val="-2"/>
        </w:rPr>
        <w:t> </w:t>
      </w:r>
      <w:r>
        <w:rPr/>
        <w:t>share</w:t>
      </w:r>
      <w:r>
        <w:rPr>
          <w:spacing w:val="-3"/>
        </w:rPr>
        <w:t> </w:t>
      </w:r>
      <w:r>
        <w:rPr/>
        <w:t>(EPS)</w:t>
      </w:r>
      <w:r>
        <w:rPr>
          <w:spacing w:val="-2"/>
        </w:rPr>
        <w:t> </w:t>
      </w:r>
      <w:r>
        <w:rPr/>
        <w:t>was</w:t>
      </w:r>
      <w:r>
        <w:rPr>
          <w:spacing w:val="-3"/>
        </w:rPr>
        <w:t> </w:t>
      </w:r>
      <w:r>
        <w:rPr/>
        <w:t>$.56</w:t>
      </w:r>
      <w:r>
        <w:rPr>
          <w:spacing w:val="-2"/>
        </w:rPr>
        <w:t> </w:t>
      </w:r>
      <w:r>
        <w:rPr/>
        <w:t>and</w:t>
      </w:r>
      <w:r>
        <w:rPr>
          <w:spacing w:val="-2"/>
        </w:rPr>
        <w:t> </w:t>
      </w:r>
      <w:r>
        <w:rPr/>
        <w:t>$2.03</w:t>
      </w:r>
      <w:r>
        <w:rPr>
          <w:spacing w:val="-2"/>
        </w:rPr>
        <w:t> </w:t>
      </w:r>
      <w:r>
        <w:rPr/>
        <w:t>in</w:t>
      </w:r>
      <w:r>
        <w:rPr>
          <w:spacing w:val="-2"/>
        </w:rPr>
        <w:t> </w:t>
      </w:r>
      <w:r>
        <w:rPr/>
        <w:t>the</w:t>
      </w:r>
      <w:r>
        <w:rPr>
          <w:spacing w:val="-3"/>
        </w:rPr>
        <w:t> </w:t>
      </w:r>
      <w:r>
        <w:rPr/>
        <w:t>third</w:t>
      </w:r>
      <w:r>
        <w:rPr>
          <w:spacing w:val="-2"/>
        </w:rPr>
        <w:t> </w:t>
      </w:r>
      <w:r>
        <w:rPr/>
        <w:t>quarter</w:t>
      </w:r>
      <w:r>
        <w:rPr>
          <w:spacing w:val="-2"/>
        </w:rPr>
        <w:t> </w:t>
      </w:r>
      <w:r>
        <w:rPr/>
        <w:t>and</w:t>
      </w:r>
      <w:r>
        <w:rPr>
          <w:spacing w:val="-2"/>
        </w:rPr>
        <w:t> </w:t>
      </w:r>
      <w:r>
        <w:rPr/>
        <w:t>first nine</w:t>
      </w:r>
      <w:r>
        <w:rPr>
          <w:spacing w:val="-1"/>
        </w:rPr>
        <w:t> </w:t>
      </w:r>
      <w:r>
        <w:rPr/>
        <w:t>months</w:t>
      </w:r>
      <w:r>
        <w:rPr>
          <w:spacing w:val="-1"/>
        </w:rPr>
        <w:t> </w:t>
      </w:r>
      <w:r>
        <w:rPr/>
        <w:t>of 2023, respectively, down 43% and 20% from</w:t>
      </w:r>
      <w:r>
        <w:rPr>
          <w:spacing w:val="-1"/>
        </w:rPr>
        <w:t> </w:t>
      </w:r>
      <w:r>
        <w:rPr/>
        <w:t>the</w:t>
      </w:r>
      <w:r>
        <w:rPr>
          <w:spacing w:val="-1"/>
        </w:rPr>
        <w:t> </w:t>
      </w:r>
      <w:r>
        <w:rPr/>
        <w:t>comparable</w:t>
      </w:r>
      <w:r>
        <w:rPr>
          <w:spacing w:val="-1"/>
        </w:rPr>
        <w:t> </w:t>
      </w:r>
      <w:r>
        <w:rPr/>
        <w:t>periods</w:t>
      </w:r>
      <w:r>
        <w:rPr>
          <w:spacing w:val="-1"/>
        </w:rPr>
        <w:t> </w:t>
      </w:r>
      <w:r>
        <w:rPr/>
        <w:t>in the</w:t>
      </w:r>
      <w:r>
        <w:rPr>
          <w:spacing w:val="-1"/>
        </w:rPr>
        <w:t> </w:t>
      </w:r>
      <w:r>
        <w:rPr/>
        <w:t>prior year. Adjusted diluted EPS</w:t>
      </w:r>
      <w:r>
        <w:rPr>
          <w:spacing w:val="-1"/>
        </w:rPr>
        <w:t> </w:t>
      </w:r>
      <w:r>
        <w:rPr>
          <w:vertAlign w:val="superscript"/>
        </w:rPr>
        <w:t>(1)</w:t>
      </w:r>
      <w:r>
        <w:rPr>
          <w:vertAlign w:val="baseline"/>
        </w:rPr>
        <w:t> was $.77 and $2.45 in the third quarter and first nine months of 2023, respectively, down 30% and 13% from the comparable 2022 periods.</w:t>
      </w:r>
    </w:p>
    <w:p>
      <w:pPr>
        <w:pStyle w:val="BodyText"/>
        <w:spacing w:before="14"/>
      </w:pPr>
    </w:p>
    <w:p>
      <w:pPr>
        <w:pStyle w:val="BodyText"/>
        <w:spacing w:line="249" w:lineRule="auto"/>
        <w:ind w:left="470" w:right="500"/>
      </w:pPr>
      <w:r>
        <w:rPr/>
        <w:t>Total net revenues were $4.6 billion and $14.4 billion for the third quarter and first nine months of 2023, respectively, down 16% and 6% from</w:t>
      </w:r>
      <w:r>
        <w:rPr>
          <w:spacing w:val="-1"/>
        </w:rPr>
        <w:t> </w:t>
      </w:r>
      <w:r>
        <w:rPr/>
        <w:t>the</w:t>
      </w:r>
      <w:r>
        <w:rPr>
          <w:spacing w:val="-1"/>
        </w:rPr>
        <w:t> </w:t>
      </w:r>
      <w:r>
        <w:rPr/>
        <w:t>same</w:t>
      </w:r>
      <w:r>
        <w:rPr>
          <w:spacing w:val="-1"/>
        </w:rPr>
        <w:t> </w:t>
      </w:r>
      <w:r>
        <w:rPr/>
        <w:t>periods</w:t>
      </w:r>
      <w:r>
        <w:rPr>
          <w:spacing w:val="-1"/>
        </w:rPr>
        <w:t> </w:t>
      </w:r>
      <w:r>
        <w:rPr/>
        <w:t>in 2022. Net</w:t>
      </w:r>
      <w:r>
        <w:rPr>
          <w:spacing w:val="-1"/>
        </w:rPr>
        <w:t> </w:t>
      </w:r>
      <w:r>
        <w:rPr/>
        <w:t>interest</w:t>
      </w:r>
      <w:r>
        <w:rPr>
          <w:spacing w:val="-1"/>
        </w:rPr>
        <w:t> </w:t>
      </w:r>
      <w:r>
        <w:rPr/>
        <w:t>revenue</w:t>
      </w:r>
      <w:r>
        <w:rPr>
          <w:spacing w:val="-1"/>
        </w:rPr>
        <w:t> </w:t>
      </w:r>
      <w:r>
        <w:rPr/>
        <w:t>was</w:t>
      </w:r>
      <w:r>
        <w:rPr>
          <w:spacing w:val="-1"/>
        </w:rPr>
        <w:t> </w:t>
      </w:r>
      <w:r>
        <w:rPr/>
        <w:t>$2.2 billion and $7.3 billion in the</w:t>
      </w:r>
      <w:r>
        <w:rPr>
          <w:spacing w:val="-1"/>
        </w:rPr>
        <w:t> </w:t>
      </w:r>
      <w:r>
        <w:rPr/>
        <w:t>third quarter and first nine months of 2023, respectively, down 24% and 5% from the same prior-year periods, reflecting the impact of client allocation decisions within a higher interest rate environment. Asset management and administration fees totaled $1.2 billion and $3.5 billion in the third quarter and first nine months of 2023, respectively, rising 17% and 11% from the same periods in 2022, due primarily to growth in money market funds and other proprietary fund products. Trading revenue was $768 million and</w:t>
      </w:r>
      <w:r>
        <w:rPr>
          <w:spacing w:val="-2"/>
        </w:rPr>
        <w:t> </w:t>
      </w:r>
      <w:r>
        <w:rPr/>
        <w:t>$2.5</w:t>
      </w:r>
      <w:r>
        <w:rPr>
          <w:spacing w:val="-2"/>
        </w:rPr>
        <w:t> </w:t>
      </w:r>
      <w:r>
        <w:rPr/>
        <w:t>billion</w:t>
      </w:r>
      <w:r>
        <w:rPr>
          <w:spacing w:val="-2"/>
        </w:rPr>
        <w:t> </w:t>
      </w:r>
      <w:r>
        <w:rPr/>
        <w:t>in</w:t>
      </w:r>
      <w:r>
        <w:rPr>
          <w:spacing w:val="-2"/>
        </w:rPr>
        <w:t> </w:t>
      </w:r>
      <w:r>
        <w:rPr/>
        <w:t>the</w:t>
      </w:r>
      <w:r>
        <w:rPr>
          <w:spacing w:val="-3"/>
        </w:rPr>
        <w:t> </w:t>
      </w:r>
      <w:r>
        <w:rPr/>
        <w:t>third</w:t>
      </w:r>
      <w:r>
        <w:rPr>
          <w:spacing w:val="-2"/>
        </w:rPr>
        <w:t> </w:t>
      </w:r>
      <w:r>
        <w:rPr/>
        <w:t>quarter</w:t>
      </w:r>
      <w:r>
        <w:rPr>
          <w:spacing w:val="-2"/>
        </w:rPr>
        <w:t> </w:t>
      </w:r>
      <w:r>
        <w:rPr/>
        <w:t>and</w:t>
      </w:r>
      <w:r>
        <w:rPr>
          <w:spacing w:val="-2"/>
        </w:rPr>
        <w:t> </w:t>
      </w:r>
      <w:r>
        <w:rPr/>
        <w:t>first</w:t>
      </w:r>
      <w:r>
        <w:rPr>
          <w:spacing w:val="-3"/>
        </w:rPr>
        <w:t> </w:t>
      </w:r>
      <w:r>
        <w:rPr/>
        <w:t>nine</w:t>
      </w:r>
      <w:r>
        <w:rPr>
          <w:spacing w:val="-3"/>
        </w:rPr>
        <w:t> </w:t>
      </w:r>
      <w:r>
        <w:rPr/>
        <w:t>months</w:t>
      </w:r>
      <w:r>
        <w:rPr>
          <w:spacing w:val="-3"/>
        </w:rPr>
        <w:t> </w:t>
      </w:r>
      <w:r>
        <w:rPr/>
        <w:t>of</w:t>
      </w:r>
      <w:r>
        <w:rPr>
          <w:spacing w:val="-2"/>
        </w:rPr>
        <w:t> </w:t>
      </w:r>
      <w:r>
        <w:rPr/>
        <w:t>2023,</w:t>
      </w:r>
      <w:r>
        <w:rPr>
          <w:spacing w:val="-2"/>
        </w:rPr>
        <w:t> </w:t>
      </w:r>
      <w:r>
        <w:rPr/>
        <w:t>respectively,</w:t>
      </w:r>
      <w:r>
        <w:rPr>
          <w:spacing w:val="-2"/>
        </w:rPr>
        <w:t> </w:t>
      </w:r>
      <w:r>
        <w:rPr/>
        <w:t>down</w:t>
      </w:r>
      <w:r>
        <w:rPr>
          <w:spacing w:val="-2"/>
        </w:rPr>
        <w:t> </w:t>
      </w:r>
      <w:r>
        <w:rPr/>
        <w:t>17%</w:t>
      </w:r>
      <w:r>
        <w:rPr>
          <w:spacing w:val="-2"/>
        </w:rPr>
        <w:t> </w:t>
      </w:r>
      <w:r>
        <w:rPr/>
        <w:t>and</w:t>
      </w:r>
      <w:r>
        <w:rPr>
          <w:spacing w:val="-2"/>
        </w:rPr>
        <w:t> </w:t>
      </w:r>
      <w:r>
        <w:rPr/>
        <w:t>11%</w:t>
      </w:r>
      <w:r>
        <w:rPr>
          <w:spacing w:val="-2"/>
        </w:rPr>
        <w:t> </w:t>
      </w:r>
      <w:r>
        <w:rPr/>
        <w:t>from</w:t>
      </w:r>
      <w:r>
        <w:rPr>
          <w:spacing w:val="-3"/>
        </w:rPr>
        <w:t> </w:t>
      </w:r>
      <w:r>
        <w:rPr/>
        <w:t>the</w:t>
      </w:r>
      <w:r>
        <w:rPr>
          <w:spacing w:val="-3"/>
        </w:rPr>
        <w:t> </w:t>
      </w:r>
      <w:r>
        <w:rPr/>
        <w:t>comparable</w:t>
      </w:r>
      <w:r>
        <w:rPr>
          <w:spacing w:val="-3"/>
        </w:rPr>
        <w:t> </w:t>
      </w:r>
      <w:r>
        <w:rPr/>
        <w:t>2022 periods primarily related to mix of client trading activity and overall lower trading volume. Bank deposit account fee revenue was $205 million and $531 million in the third quarter and first nine months of 2023, respectively, down 50% from both comparable periods in the prior year due to lower average BDA balances and lower net yields, as well as $97 million in one- time</w:t>
      </w:r>
      <w:r>
        <w:rPr>
          <w:spacing w:val="-3"/>
        </w:rPr>
        <w:t> </w:t>
      </w:r>
      <w:r>
        <w:rPr/>
        <w:t>breakage</w:t>
      </w:r>
      <w:r>
        <w:rPr>
          <w:spacing w:val="-3"/>
        </w:rPr>
        <w:t> </w:t>
      </w:r>
      <w:r>
        <w:rPr/>
        <w:t>fees</w:t>
      </w:r>
      <w:r>
        <w:rPr>
          <w:spacing w:val="-3"/>
        </w:rPr>
        <w:t> </w:t>
      </w:r>
      <w:r>
        <w:rPr/>
        <w:t>related</w:t>
      </w:r>
      <w:r>
        <w:rPr>
          <w:spacing w:val="-3"/>
        </w:rPr>
        <w:t> </w:t>
      </w:r>
      <w:r>
        <w:rPr/>
        <w:t>to</w:t>
      </w:r>
      <w:r>
        <w:rPr>
          <w:spacing w:val="-3"/>
        </w:rPr>
        <w:t> </w:t>
      </w:r>
      <w:r>
        <w:rPr/>
        <w:t>ending</w:t>
      </w:r>
      <w:r>
        <w:rPr>
          <w:spacing w:val="-3"/>
        </w:rPr>
        <w:t> </w:t>
      </w:r>
      <w:r>
        <w:rPr/>
        <w:t>our</w:t>
      </w:r>
      <w:r>
        <w:rPr>
          <w:spacing w:val="-3"/>
        </w:rPr>
        <w:t> </w:t>
      </w:r>
      <w:r>
        <w:rPr/>
        <w:t>arrangements</w:t>
      </w:r>
      <w:r>
        <w:rPr>
          <w:spacing w:val="-3"/>
        </w:rPr>
        <w:t> </w:t>
      </w:r>
      <w:r>
        <w:rPr/>
        <w:t>with</w:t>
      </w:r>
      <w:r>
        <w:rPr>
          <w:spacing w:val="-3"/>
        </w:rPr>
        <w:t> </w:t>
      </w:r>
      <w:r>
        <w:rPr/>
        <w:t>certain</w:t>
      </w:r>
      <w:r>
        <w:rPr>
          <w:spacing w:val="-3"/>
        </w:rPr>
        <w:t> </w:t>
      </w:r>
      <w:r>
        <w:rPr/>
        <w:t>third-party</w:t>
      </w:r>
      <w:r>
        <w:rPr>
          <w:spacing w:val="-3"/>
        </w:rPr>
        <w:t> </w:t>
      </w:r>
      <w:r>
        <w:rPr/>
        <w:t>banks</w:t>
      </w:r>
      <w:r>
        <w:rPr>
          <w:spacing w:val="-3"/>
        </w:rPr>
        <w:t> </w:t>
      </w:r>
      <w:r>
        <w:rPr/>
        <w:t>in</w:t>
      </w:r>
      <w:r>
        <w:rPr>
          <w:spacing w:val="-3"/>
        </w:rPr>
        <w:t> </w:t>
      </w:r>
      <w:r>
        <w:rPr/>
        <w:t>the</w:t>
      </w:r>
      <w:r>
        <w:rPr>
          <w:spacing w:val="-3"/>
        </w:rPr>
        <w:t> </w:t>
      </w:r>
      <w:r>
        <w:rPr/>
        <w:t>first</w:t>
      </w:r>
      <w:r>
        <w:rPr>
          <w:spacing w:val="-3"/>
        </w:rPr>
        <w:t> </w:t>
      </w:r>
      <w:r>
        <w:rPr/>
        <w:t>quarter</w:t>
      </w:r>
      <w:r>
        <w:rPr>
          <w:spacing w:val="-3"/>
        </w:rPr>
        <w:t> </w:t>
      </w:r>
      <w:r>
        <w:rPr/>
        <w:t>of</w:t>
      </w:r>
      <w:r>
        <w:rPr>
          <w:spacing w:val="-3"/>
        </w:rPr>
        <w:t> </w:t>
      </w:r>
      <w:r>
        <w:rPr/>
        <w:t>2023.</w:t>
      </w:r>
      <w:r>
        <w:rPr>
          <w:spacing w:val="-3"/>
        </w:rPr>
        <w:t> </w:t>
      </w:r>
      <w:r>
        <w:rPr/>
        <w:t>BDA</w:t>
      </w:r>
      <w:r>
        <w:rPr>
          <w:spacing w:val="-3"/>
        </w:rPr>
        <w:t> </w:t>
      </w:r>
      <w:r>
        <w:rPr/>
        <w:t>balances totaled $99.6 billion at September 30, 2023, down 21% from year-end 2022 due primarily to client cash allocation decisions.</w:t>
      </w:r>
    </w:p>
    <w:p>
      <w:pPr>
        <w:pStyle w:val="BodyText"/>
        <w:spacing w:before="20"/>
      </w:pPr>
    </w:p>
    <w:p>
      <w:pPr>
        <w:pStyle w:val="BodyText"/>
        <w:spacing w:line="249" w:lineRule="auto"/>
        <w:ind w:left="470" w:right="496"/>
      </w:pPr>
      <w:r>
        <w:rPr/>
        <w:t>Total expenses excluding interest were $3.2 billion and $9.2 billion in the third quarter and first nine months of 2023, respectively, increasing 14% and 8% from the same prior-year periods. These increases were due primarily to restructuring charges in the third quarter of 2023, as well as higher expenses for compensation and benefits and depreciation and amortization, due primarily to growth in headcount and investment in technology to support growth in our client base and TD Ameritrade integration, as well as higher regulatory fees and assessments due to higher Federal Deposit Insurance Corporation (FDIC) assessments. Adjusted total expenses </w:t>
      </w:r>
      <w:r>
        <w:rPr>
          <w:vertAlign w:val="superscript"/>
        </w:rPr>
        <w:t>(1)</w:t>
      </w:r>
      <w:r>
        <w:rPr>
          <w:vertAlign w:val="baseline"/>
        </w:rPr>
        <w:t> were $2.7 billion and $8.2 billion in the third quarter and first nine months of 2023, respectively, up 5% and 6% from the same periods in 2022. Acquisition and integration-related costs were $106 million and</w:t>
      </w:r>
      <w:r>
        <w:rPr>
          <w:spacing w:val="-2"/>
          <w:vertAlign w:val="baseline"/>
        </w:rPr>
        <w:t> </w:t>
      </w:r>
      <w:r>
        <w:rPr>
          <w:vertAlign w:val="baseline"/>
        </w:rPr>
        <w:t>$334</w:t>
      </w:r>
      <w:r>
        <w:rPr>
          <w:spacing w:val="-2"/>
          <w:vertAlign w:val="baseline"/>
        </w:rPr>
        <w:t> </w:t>
      </w:r>
      <w:r>
        <w:rPr>
          <w:vertAlign w:val="baseline"/>
        </w:rPr>
        <w:t>million</w:t>
      </w:r>
      <w:r>
        <w:rPr>
          <w:spacing w:val="-2"/>
          <w:vertAlign w:val="baseline"/>
        </w:rPr>
        <w:t> </w:t>
      </w:r>
      <w:r>
        <w:rPr>
          <w:vertAlign w:val="baseline"/>
        </w:rPr>
        <w:t>in</w:t>
      </w:r>
      <w:r>
        <w:rPr>
          <w:spacing w:val="-2"/>
          <w:vertAlign w:val="baseline"/>
        </w:rPr>
        <w:t> </w:t>
      </w:r>
      <w:r>
        <w:rPr>
          <w:vertAlign w:val="baseline"/>
        </w:rPr>
        <w:t>the</w:t>
      </w:r>
      <w:r>
        <w:rPr>
          <w:spacing w:val="-3"/>
          <w:vertAlign w:val="baseline"/>
        </w:rPr>
        <w:t> </w:t>
      </w:r>
      <w:r>
        <w:rPr>
          <w:vertAlign w:val="baseline"/>
        </w:rPr>
        <w:t>third</w:t>
      </w:r>
      <w:r>
        <w:rPr>
          <w:spacing w:val="-2"/>
          <w:vertAlign w:val="baseline"/>
        </w:rPr>
        <w:t> </w:t>
      </w:r>
      <w:r>
        <w:rPr>
          <w:vertAlign w:val="baseline"/>
        </w:rPr>
        <w:t>quarter</w:t>
      </w:r>
      <w:r>
        <w:rPr>
          <w:spacing w:val="-2"/>
          <w:vertAlign w:val="baseline"/>
        </w:rPr>
        <w:t> </w:t>
      </w:r>
      <w:r>
        <w:rPr>
          <w:vertAlign w:val="baseline"/>
        </w:rPr>
        <w:t>and</w:t>
      </w:r>
      <w:r>
        <w:rPr>
          <w:spacing w:val="-2"/>
          <w:vertAlign w:val="baseline"/>
        </w:rPr>
        <w:t> </w:t>
      </w:r>
      <w:r>
        <w:rPr>
          <w:vertAlign w:val="baseline"/>
        </w:rPr>
        <w:t>first</w:t>
      </w:r>
      <w:r>
        <w:rPr>
          <w:spacing w:val="-3"/>
          <w:vertAlign w:val="baseline"/>
        </w:rPr>
        <w:t> </w:t>
      </w:r>
      <w:r>
        <w:rPr>
          <w:vertAlign w:val="baseline"/>
        </w:rPr>
        <w:t>nine</w:t>
      </w:r>
      <w:r>
        <w:rPr>
          <w:spacing w:val="-3"/>
          <w:vertAlign w:val="baseline"/>
        </w:rPr>
        <w:t> </w:t>
      </w:r>
      <w:r>
        <w:rPr>
          <w:vertAlign w:val="baseline"/>
        </w:rPr>
        <w:t>months</w:t>
      </w:r>
      <w:r>
        <w:rPr>
          <w:spacing w:val="-3"/>
          <w:vertAlign w:val="baseline"/>
        </w:rPr>
        <w:t> </w:t>
      </w:r>
      <w:r>
        <w:rPr>
          <w:vertAlign w:val="baseline"/>
        </w:rPr>
        <w:t>of</w:t>
      </w:r>
      <w:r>
        <w:rPr>
          <w:spacing w:val="-2"/>
          <w:vertAlign w:val="baseline"/>
        </w:rPr>
        <w:t> </w:t>
      </w:r>
      <w:r>
        <w:rPr>
          <w:vertAlign w:val="baseline"/>
        </w:rPr>
        <w:t>2023,</w:t>
      </w:r>
      <w:r>
        <w:rPr>
          <w:spacing w:val="-2"/>
          <w:vertAlign w:val="baseline"/>
        </w:rPr>
        <w:t> </w:t>
      </w:r>
      <w:r>
        <w:rPr>
          <w:vertAlign w:val="baseline"/>
        </w:rPr>
        <w:t>respectively,</w:t>
      </w:r>
      <w:r>
        <w:rPr>
          <w:spacing w:val="-2"/>
          <w:vertAlign w:val="baseline"/>
        </w:rPr>
        <w:t> </w:t>
      </w:r>
      <w:r>
        <w:rPr>
          <w:vertAlign w:val="baseline"/>
        </w:rPr>
        <w:t>up</w:t>
      </w:r>
      <w:r>
        <w:rPr>
          <w:spacing w:val="-2"/>
          <w:vertAlign w:val="baseline"/>
        </w:rPr>
        <w:t> </w:t>
      </w:r>
      <w:r>
        <w:rPr>
          <w:vertAlign w:val="baseline"/>
        </w:rPr>
        <w:t>5%</w:t>
      </w:r>
      <w:r>
        <w:rPr>
          <w:spacing w:val="-2"/>
          <w:vertAlign w:val="baseline"/>
        </w:rPr>
        <w:t> </w:t>
      </w:r>
      <w:r>
        <w:rPr>
          <w:vertAlign w:val="baseline"/>
        </w:rPr>
        <w:t>and</w:t>
      </w:r>
      <w:r>
        <w:rPr>
          <w:spacing w:val="-2"/>
          <w:vertAlign w:val="baseline"/>
        </w:rPr>
        <w:t> </w:t>
      </w:r>
      <w:r>
        <w:rPr>
          <w:vertAlign w:val="baseline"/>
        </w:rPr>
        <w:t>15%</w:t>
      </w:r>
      <w:r>
        <w:rPr>
          <w:spacing w:val="-2"/>
          <w:vertAlign w:val="baseline"/>
        </w:rPr>
        <w:t> </w:t>
      </w:r>
      <w:r>
        <w:rPr>
          <w:vertAlign w:val="baseline"/>
        </w:rPr>
        <w:t>from</w:t>
      </w:r>
      <w:r>
        <w:rPr>
          <w:spacing w:val="-3"/>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periods</w:t>
      </w:r>
      <w:r>
        <w:rPr>
          <w:spacing w:val="-3"/>
          <w:vertAlign w:val="baseline"/>
        </w:rPr>
        <w:t> </w:t>
      </w:r>
      <w:r>
        <w:rPr>
          <w:vertAlign w:val="baseline"/>
        </w:rPr>
        <w:t>in</w:t>
      </w:r>
      <w:r>
        <w:rPr>
          <w:spacing w:val="-2"/>
          <w:vertAlign w:val="baseline"/>
        </w:rPr>
        <w:t> </w:t>
      </w:r>
      <w:r>
        <w:rPr>
          <w:vertAlign w:val="baseline"/>
        </w:rPr>
        <w:t>2022 due to higher real estate exit costs incurred primarily in the second quarter of 2023. Amortization of acquired intangible assets was $135 million and $404 million in the third quarter and first nine months of 2023, respectively, down 11% and 12% from</w:t>
      </w:r>
      <w:r>
        <w:rPr>
          <w:spacing w:val="40"/>
          <w:vertAlign w:val="baseline"/>
        </w:rPr>
        <w:t> </w:t>
      </w:r>
      <w:r>
        <w:rPr>
          <w:vertAlign w:val="baseline"/>
        </w:rPr>
        <w:t>the same periods in 2022 as certain assets from the TD Ameritrade acquisition were fully amortized at the beginning of the fourth quarter of 2022. Beginning in the third quarter of 2023, adjusted total expenses </w:t>
      </w:r>
      <w:r>
        <w:rPr>
          <w:vertAlign w:val="superscript"/>
        </w:rPr>
        <w:t>(1)</w:t>
      </w:r>
      <w:r>
        <w:rPr>
          <w:vertAlign w:val="baseline"/>
        </w:rPr>
        <w:t> also excludes restructuring costs, which were $279 million in the third quarter and first nine months of 2023.</w:t>
      </w:r>
    </w:p>
    <w:p>
      <w:pPr>
        <w:pStyle w:val="BodyText"/>
        <w:spacing w:before="20"/>
      </w:pPr>
    </w:p>
    <w:p>
      <w:pPr>
        <w:pStyle w:val="BodyText"/>
        <w:spacing w:line="249" w:lineRule="auto" w:before="1"/>
        <w:ind w:left="470" w:right="470"/>
      </w:pPr>
      <w:r>
        <w:rPr/>
        <w:t>Return on average common stockholders’ equity was 14% and 18% for the third quarter and first nine months of 2023, respectively,</w:t>
      </w:r>
      <w:r>
        <w:rPr>
          <w:spacing w:val="-1"/>
        </w:rPr>
        <w:t> </w:t>
      </w:r>
      <w:r>
        <w:rPr/>
        <w:t>down</w:t>
      </w:r>
      <w:r>
        <w:rPr>
          <w:spacing w:val="-1"/>
        </w:rPr>
        <w:t> </w:t>
      </w:r>
      <w:r>
        <w:rPr/>
        <w:t>from</w:t>
      </w:r>
      <w:r>
        <w:rPr>
          <w:spacing w:val="-2"/>
        </w:rPr>
        <w:t> </w:t>
      </w:r>
      <w:r>
        <w:rPr/>
        <w:t>25%</w:t>
      </w:r>
      <w:r>
        <w:rPr>
          <w:spacing w:val="-1"/>
        </w:rPr>
        <w:t> </w:t>
      </w:r>
      <w:r>
        <w:rPr/>
        <w:t>in</w:t>
      </w:r>
      <w:r>
        <w:rPr>
          <w:spacing w:val="-1"/>
        </w:rPr>
        <w:t> </w:t>
      </w:r>
      <w:r>
        <w:rPr/>
        <w:t>the</w:t>
      </w:r>
      <w:r>
        <w:rPr>
          <w:spacing w:val="-2"/>
        </w:rPr>
        <w:t> </w:t>
      </w:r>
      <w:r>
        <w:rPr/>
        <w:t>third</w:t>
      </w:r>
      <w:r>
        <w:rPr>
          <w:spacing w:val="-1"/>
        </w:rPr>
        <w:t> </w:t>
      </w:r>
      <w:r>
        <w:rPr/>
        <w:t>quarter</w:t>
      </w:r>
      <w:r>
        <w:rPr>
          <w:spacing w:val="-1"/>
        </w:rPr>
        <w:t> </w:t>
      </w:r>
      <w:r>
        <w:rPr/>
        <w:t>of</w:t>
      </w:r>
      <w:r>
        <w:rPr>
          <w:spacing w:val="-1"/>
        </w:rPr>
        <w:t> </w:t>
      </w:r>
      <w:r>
        <w:rPr/>
        <w:t>2022</w:t>
      </w:r>
      <w:r>
        <w:rPr>
          <w:spacing w:val="-1"/>
        </w:rPr>
        <w:t> </w:t>
      </w:r>
      <w:r>
        <w:rPr/>
        <w:t>and</w:t>
      </w:r>
      <w:r>
        <w:rPr>
          <w:spacing w:val="-1"/>
        </w:rPr>
        <w:t> </w:t>
      </w:r>
      <w:r>
        <w:rPr/>
        <w:t>flat</w:t>
      </w:r>
      <w:r>
        <w:rPr>
          <w:spacing w:val="-2"/>
        </w:rPr>
        <w:t> </w:t>
      </w:r>
      <w:r>
        <w:rPr/>
        <w:t>with</w:t>
      </w:r>
      <w:r>
        <w:rPr>
          <w:spacing w:val="-1"/>
        </w:rPr>
        <w:t> </w:t>
      </w:r>
      <w:r>
        <w:rPr/>
        <w:t>18%</w:t>
      </w:r>
      <w:r>
        <w:rPr>
          <w:spacing w:val="-1"/>
        </w:rPr>
        <w:t> </w:t>
      </w:r>
      <w:r>
        <w:rPr/>
        <w:t>in</w:t>
      </w:r>
      <w:r>
        <w:rPr>
          <w:spacing w:val="-1"/>
        </w:rPr>
        <w:t> </w:t>
      </w:r>
      <w:r>
        <w:rPr/>
        <w:t>the</w:t>
      </w:r>
      <w:r>
        <w:rPr>
          <w:spacing w:val="-2"/>
        </w:rPr>
        <w:t> </w:t>
      </w:r>
      <w:r>
        <w:rPr/>
        <w:t>first</w:t>
      </w:r>
      <w:r>
        <w:rPr>
          <w:spacing w:val="-2"/>
        </w:rPr>
        <w:t> </w:t>
      </w:r>
      <w:r>
        <w:rPr/>
        <w:t>nine</w:t>
      </w:r>
      <w:r>
        <w:rPr>
          <w:spacing w:val="-2"/>
        </w:rPr>
        <w:t> </w:t>
      </w:r>
      <w:r>
        <w:rPr/>
        <w:t>months</w:t>
      </w:r>
      <w:r>
        <w:rPr>
          <w:spacing w:val="-2"/>
        </w:rPr>
        <w:t> </w:t>
      </w:r>
      <w:r>
        <w:rPr/>
        <w:t>of</w:t>
      </w:r>
      <w:r>
        <w:rPr>
          <w:spacing w:val="-1"/>
        </w:rPr>
        <w:t> </w:t>
      </w:r>
      <w:r>
        <w:rPr/>
        <w:t>2022.</w:t>
      </w:r>
      <w:r>
        <w:rPr>
          <w:spacing w:val="-1"/>
        </w:rPr>
        <w:t> </w:t>
      </w:r>
      <w:r>
        <w:rPr/>
        <w:t>Return</w:t>
      </w:r>
      <w:r>
        <w:rPr>
          <w:spacing w:val="-1"/>
        </w:rPr>
        <w:t> </w:t>
      </w:r>
      <w:r>
        <w:rPr/>
        <w:t>on</w:t>
      </w:r>
      <w:r>
        <w:rPr>
          <w:spacing w:val="-1"/>
        </w:rPr>
        <w:t> </w:t>
      </w:r>
      <w:r>
        <w:rPr/>
        <w:t>tangible common</w:t>
      </w:r>
      <w:r>
        <w:rPr>
          <w:spacing w:val="-2"/>
        </w:rPr>
        <w:t> </w:t>
      </w:r>
      <w:r>
        <w:rPr/>
        <w:t>equity</w:t>
      </w:r>
      <w:r>
        <w:rPr>
          <w:spacing w:val="-2"/>
        </w:rPr>
        <w:t> </w:t>
      </w:r>
      <w:r>
        <w:rPr>
          <w:vertAlign w:val="superscript"/>
        </w:rPr>
        <w:t>(1)</w:t>
      </w:r>
      <w:r>
        <w:rPr>
          <w:spacing w:val="-3"/>
          <w:vertAlign w:val="baseline"/>
        </w:rPr>
        <w:t> </w:t>
      </w:r>
      <w:r>
        <w:rPr>
          <w:vertAlign w:val="baseline"/>
        </w:rPr>
        <w:t>(ROTCE)</w:t>
      </w:r>
      <w:r>
        <w:rPr>
          <w:spacing w:val="-2"/>
          <w:vertAlign w:val="baseline"/>
        </w:rPr>
        <w:t> </w:t>
      </w:r>
      <w:r>
        <w:rPr>
          <w:vertAlign w:val="baseline"/>
        </w:rPr>
        <w:t>was</w:t>
      </w:r>
      <w:r>
        <w:rPr>
          <w:spacing w:val="-3"/>
          <w:vertAlign w:val="baseline"/>
        </w:rPr>
        <w:t> </w:t>
      </w:r>
      <w:r>
        <w:rPr>
          <w:vertAlign w:val="baseline"/>
        </w:rPr>
        <w:t>58%</w:t>
      </w:r>
      <w:r>
        <w:rPr>
          <w:spacing w:val="-2"/>
          <w:vertAlign w:val="baseline"/>
        </w:rPr>
        <w:t> </w:t>
      </w:r>
      <w:r>
        <w:rPr>
          <w:vertAlign w:val="baseline"/>
        </w:rPr>
        <w:t>and</w:t>
      </w:r>
      <w:r>
        <w:rPr>
          <w:spacing w:val="-2"/>
          <w:vertAlign w:val="baseline"/>
        </w:rPr>
        <w:t> </w:t>
      </w:r>
      <w:r>
        <w:rPr>
          <w:vertAlign w:val="baseline"/>
        </w:rPr>
        <w:t>66%</w:t>
      </w:r>
      <w:r>
        <w:rPr>
          <w:spacing w:val="-2"/>
          <w:vertAlign w:val="baseline"/>
        </w:rPr>
        <w:t> </w:t>
      </w:r>
      <w:r>
        <w:rPr>
          <w:vertAlign w:val="baseline"/>
        </w:rPr>
        <w:t>in</w:t>
      </w:r>
      <w:r>
        <w:rPr>
          <w:spacing w:val="-2"/>
          <w:vertAlign w:val="baseline"/>
        </w:rPr>
        <w:t> </w:t>
      </w:r>
      <w:r>
        <w:rPr>
          <w:vertAlign w:val="baseline"/>
        </w:rPr>
        <w:t>the</w:t>
      </w:r>
      <w:r>
        <w:rPr>
          <w:spacing w:val="-3"/>
          <w:vertAlign w:val="baseline"/>
        </w:rPr>
        <w:t> </w:t>
      </w:r>
      <w:r>
        <w:rPr>
          <w:vertAlign w:val="baseline"/>
        </w:rPr>
        <w:t>third</w:t>
      </w:r>
      <w:r>
        <w:rPr>
          <w:spacing w:val="-2"/>
          <w:vertAlign w:val="baseline"/>
        </w:rPr>
        <w:t> </w:t>
      </w:r>
      <w:r>
        <w:rPr>
          <w:vertAlign w:val="baseline"/>
        </w:rPr>
        <w:t>quarter</w:t>
      </w:r>
      <w:r>
        <w:rPr>
          <w:spacing w:val="-2"/>
          <w:vertAlign w:val="baseline"/>
        </w:rPr>
        <w:t> </w:t>
      </w:r>
      <w:r>
        <w:rPr>
          <w:vertAlign w:val="baseline"/>
        </w:rPr>
        <w:t>and</w:t>
      </w:r>
      <w:r>
        <w:rPr>
          <w:spacing w:val="-2"/>
          <w:vertAlign w:val="baseline"/>
        </w:rPr>
        <w:t> </w:t>
      </w:r>
      <w:r>
        <w:rPr>
          <w:vertAlign w:val="baseline"/>
        </w:rPr>
        <w:t>first</w:t>
      </w:r>
      <w:r>
        <w:rPr>
          <w:spacing w:val="-3"/>
          <w:vertAlign w:val="baseline"/>
        </w:rPr>
        <w:t> </w:t>
      </w:r>
      <w:r>
        <w:rPr>
          <w:vertAlign w:val="baseline"/>
        </w:rPr>
        <w:t>nine</w:t>
      </w:r>
      <w:r>
        <w:rPr>
          <w:spacing w:val="-3"/>
          <w:vertAlign w:val="baseline"/>
        </w:rPr>
        <w:t> </w:t>
      </w:r>
      <w:r>
        <w:rPr>
          <w:vertAlign w:val="baseline"/>
        </w:rPr>
        <w:t>months</w:t>
      </w:r>
      <w:r>
        <w:rPr>
          <w:spacing w:val="-3"/>
          <w:vertAlign w:val="baseline"/>
        </w:rPr>
        <w:t> </w:t>
      </w:r>
      <w:r>
        <w:rPr>
          <w:vertAlign w:val="baseline"/>
        </w:rPr>
        <w:t>of</w:t>
      </w:r>
      <w:r>
        <w:rPr>
          <w:spacing w:val="-2"/>
          <w:vertAlign w:val="baseline"/>
        </w:rPr>
        <w:t> </w:t>
      </w:r>
      <w:r>
        <w:rPr>
          <w:vertAlign w:val="baseline"/>
        </w:rPr>
        <w:t>2023,</w:t>
      </w:r>
      <w:r>
        <w:rPr>
          <w:spacing w:val="-2"/>
          <w:vertAlign w:val="baseline"/>
        </w:rPr>
        <w:t> </w:t>
      </w:r>
      <w:r>
        <w:rPr>
          <w:vertAlign w:val="baseline"/>
        </w:rPr>
        <w:t>respectively,</w:t>
      </w:r>
      <w:r>
        <w:rPr>
          <w:spacing w:val="-2"/>
          <w:vertAlign w:val="baseline"/>
        </w:rPr>
        <w:t> </w:t>
      </w:r>
      <w:r>
        <w:rPr>
          <w:vertAlign w:val="baseline"/>
        </w:rPr>
        <w:t>down</w:t>
      </w:r>
      <w:r>
        <w:rPr>
          <w:spacing w:val="-2"/>
          <w:vertAlign w:val="baseline"/>
        </w:rPr>
        <w:t> </w:t>
      </w:r>
      <w:r>
        <w:rPr>
          <w:vertAlign w:val="baseline"/>
        </w:rPr>
        <w:t>from</w:t>
      </w:r>
      <w:r>
        <w:rPr>
          <w:spacing w:val="-3"/>
          <w:vertAlign w:val="baseline"/>
        </w:rPr>
        <w:t> </w:t>
      </w:r>
      <w:r>
        <w:rPr>
          <w:vertAlign w:val="baseline"/>
        </w:rPr>
        <w:t>74% and up from</w:t>
      </w:r>
      <w:r>
        <w:rPr>
          <w:spacing w:val="-1"/>
          <w:vertAlign w:val="baseline"/>
        </w:rPr>
        <w:t> </w:t>
      </w:r>
      <w:r>
        <w:rPr>
          <w:vertAlign w:val="baseline"/>
        </w:rPr>
        <w:t>42% during the</w:t>
      </w:r>
      <w:r>
        <w:rPr>
          <w:spacing w:val="-1"/>
          <w:vertAlign w:val="baseline"/>
        </w:rPr>
        <w:t> </w:t>
      </w:r>
      <w:r>
        <w:rPr>
          <w:vertAlign w:val="baseline"/>
        </w:rPr>
        <w:t>same</w:t>
      </w:r>
      <w:r>
        <w:rPr>
          <w:spacing w:val="-1"/>
          <w:vertAlign w:val="baseline"/>
        </w:rPr>
        <w:t> </w:t>
      </w:r>
      <w:r>
        <w:rPr>
          <w:vertAlign w:val="baseline"/>
        </w:rPr>
        <w:t>periods</w:t>
      </w:r>
      <w:r>
        <w:rPr>
          <w:spacing w:val="-1"/>
          <w:vertAlign w:val="baseline"/>
        </w:rPr>
        <w:t> </w:t>
      </w:r>
      <w:r>
        <w:rPr>
          <w:vertAlign w:val="baseline"/>
        </w:rPr>
        <w:t>in 2022. These</w:t>
      </w:r>
      <w:r>
        <w:rPr>
          <w:spacing w:val="-1"/>
          <w:vertAlign w:val="baseline"/>
        </w:rPr>
        <w:t> </w:t>
      </w:r>
      <w:r>
        <w:rPr>
          <w:vertAlign w:val="baseline"/>
        </w:rPr>
        <w:t>changes</w:t>
      </w:r>
      <w:r>
        <w:rPr>
          <w:spacing w:val="-1"/>
          <w:vertAlign w:val="baseline"/>
        </w:rPr>
        <w:t> </w:t>
      </w:r>
      <w:r>
        <w:rPr>
          <w:vertAlign w:val="baseline"/>
        </w:rPr>
        <w:t>reflected lower stockholders’ equity and lower net</w:t>
      </w:r>
      <w:r>
        <w:rPr>
          <w:spacing w:val="-1"/>
          <w:vertAlign w:val="baseline"/>
        </w:rPr>
        <w:t> </w:t>
      </w:r>
      <w:r>
        <w:rPr>
          <w:vertAlign w:val="baseline"/>
        </w:rPr>
        <w:t>income</w:t>
      </w:r>
      <w:r>
        <w:rPr>
          <w:spacing w:val="-1"/>
          <w:vertAlign w:val="baseline"/>
        </w:rPr>
        <w:t> </w:t>
      </w:r>
      <w:r>
        <w:rPr>
          <w:vertAlign w:val="baseline"/>
        </w:rPr>
        <w:t>in 2023.</w:t>
      </w:r>
      <w:r>
        <w:rPr>
          <w:spacing w:val="-1"/>
          <w:vertAlign w:val="baseline"/>
        </w:rPr>
        <w:t> </w:t>
      </w:r>
      <w:r>
        <w:rPr>
          <w:vertAlign w:val="baseline"/>
        </w:rPr>
        <w:t>Stockholders’</w:t>
      </w:r>
      <w:r>
        <w:rPr>
          <w:spacing w:val="-1"/>
          <w:vertAlign w:val="baseline"/>
        </w:rPr>
        <w:t> </w:t>
      </w:r>
      <w:r>
        <w:rPr>
          <w:vertAlign w:val="baseline"/>
        </w:rPr>
        <w:t>equity</w:t>
      </w:r>
      <w:r>
        <w:rPr>
          <w:spacing w:val="-1"/>
          <w:vertAlign w:val="baseline"/>
        </w:rPr>
        <w:t> </w:t>
      </w:r>
      <w:r>
        <w:rPr>
          <w:vertAlign w:val="baseline"/>
        </w:rPr>
        <w:t>was</w:t>
      </w:r>
      <w:r>
        <w:rPr>
          <w:spacing w:val="-2"/>
          <w:vertAlign w:val="baseline"/>
        </w:rPr>
        <w:t> </w:t>
      </w:r>
      <w:r>
        <w:rPr>
          <w:vertAlign w:val="baseline"/>
        </w:rPr>
        <w:t>lower</w:t>
      </w:r>
      <w:r>
        <w:rPr>
          <w:spacing w:val="-1"/>
          <w:vertAlign w:val="baseline"/>
        </w:rPr>
        <w:t> </w:t>
      </w:r>
      <w:r>
        <w:rPr>
          <w:vertAlign w:val="baseline"/>
        </w:rPr>
        <w:t>in</w:t>
      </w:r>
      <w:r>
        <w:rPr>
          <w:spacing w:val="-1"/>
          <w:vertAlign w:val="baseline"/>
        </w:rPr>
        <w:t> </w:t>
      </w:r>
      <w:r>
        <w:rPr>
          <w:vertAlign w:val="baseline"/>
        </w:rPr>
        <w:t>the</w:t>
      </w:r>
      <w:r>
        <w:rPr>
          <w:spacing w:val="-2"/>
          <w:vertAlign w:val="baseline"/>
        </w:rPr>
        <w:t> </w:t>
      </w:r>
      <w:r>
        <w:rPr>
          <w:vertAlign w:val="baseline"/>
        </w:rPr>
        <w:t>first</w:t>
      </w:r>
      <w:r>
        <w:rPr>
          <w:spacing w:val="-2"/>
          <w:vertAlign w:val="baseline"/>
        </w:rPr>
        <w:t> </w:t>
      </w:r>
      <w:r>
        <w:rPr>
          <w:vertAlign w:val="baseline"/>
        </w:rPr>
        <w:t>nine</w:t>
      </w:r>
      <w:r>
        <w:rPr>
          <w:spacing w:val="-2"/>
          <w:vertAlign w:val="baseline"/>
        </w:rPr>
        <w:t> </w:t>
      </w:r>
      <w:r>
        <w:rPr>
          <w:vertAlign w:val="baseline"/>
        </w:rPr>
        <w:t>months</w:t>
      </w:r>
      <w:r>
        <w:rPr>
          <w:spacing w:val="-2"/>
          <w:vertAlign w:val="baseline"/>
        </w:rPr>
        <w:t> </w:t>
      </w:r>
      <w:r>
        <w:rPr>
          <w:vertAlign w:val="baseline"/>
        </w:rPr>
        <w:t>of</w:t>
      </w:r>
      <w:r>
        <w:rPr>
          <w:spacing w:val="-1"/>
          <w:vertAlign w:val="baseline"/>
        </w:rPr>
        <w:t> </w:t>
      </w:r>
      <w:r>
        <w:rPr>
          <w:vertAlign w:val="baseline"/>
        </w:rPr>
        <w:t>2023</w:t>
      </w:r>
      <w:r>
        <w:rPr>
          <w:spacing w:val="-1"/>
          <w:vertAlign w:val="baseline"/>
        </w:rPr>
        <w:t> </w:t>
      </w:r>
      <w:r>
        <w:rPr>
          <w:vertAlign w:val="baseline"/>
        </w:rPr>
        <w:t>due</w:t>
      </w:r>
      <w:r>
        <w:rPr>
          <w:spacing w:val="-2"/>
          <w:vertAlign w:val="baseline"/>
        </w:rPr>
        <w:t> </w:t>
      </w:r>
      <w:r>
        <w:rPr>
          <w:vertAlign w:val="baseline"/>
        </w:rPr>
        <w:t>to</w:t>
      </w:r>
      <w:r>
        <w:rPr>
          <w:spacing w:val="-1"/>
          <w:vertAlign w:val="baseline"/>
        </w:rPr>
        <w:t> </w:t>
      </w:r>
      <w:r>
        <w:rPr>
          <w:vertAlign w:val="baseline"/>
        </w:rPr>
        <w:t>a</w:t>
      </w:r>
      <w:r>
        <w:rPr>
          <w:spacing w:val="-2"/>
          <w:vertAlign w:val="baseline"/>
        </w:rPr>
        <w:t> </w:t>
      </w:r>
      <w:r>
        <w:rPr>
          <w:vertAlign w:val="baseline"/>
        </w:rPr>
        <w:t>year-over-year</w:t>
      </w:r>
      <w:r>
        <w:rPr>
          <w:spacing w:val="-1"/>
          <w:vertAlign w:val="baseline"/>
        </w:rPr>
        <w:t> </w:t>
      </w:r>
      <w:r>
        <w:rPr>
          <w:vertAlign w:val="baseline"/>
        </w:rPr>
        <w:t>decrease</w:t>
      </w:r>
      <w:r>
        <w:rPr>
          <w:spacing w:val="-2"/>
          <w:vertAlign w:val="baseline"/>
        </w:rPr>
        <w:t> </w:t>
      </w:r>
      <w:r>
        <w:rPr>
          <w:vertAlign w:val="baseline"/>
        </w:rPr>
        <w:t>in</w:t>
      </w:r>
      <w:r>
        <w:rPr>
          <w:spacing w:val="-1"/>
          <w:vertAlign w:val="baseline"/>
        </w:rPr>
        <w:t> </w:t>
      </w:r>
      <w:r>
        <w:rPr>
          <w:vertAlign w:val="baseline"/>
        </w:rPr>
        <w:t>average</w:t>
      </w:r>
      <w:r>
        <w:rPr>
          <w:spacing w:val="-2"/>
          <w:vertAlign w:val="baseline"/>
        </w:rPr>
        <w:t> </w:t>
      </w:r>
      <w:r>
        <w:rPr>
          <w:vertAlign w:val="baseline"/>
        </w:rPr>
        <w:t>AOCI</w:t>
      </w:r>
      <w:r>
        <w:rPr>
          <w:spacing w:val="-1"/>
          <w:vertAlign w:val="baseline"/>
        </w:rPr>
        <w:t> </w:t>
      </w:r>
      <w:r>
        <w:rPr>
          <w:vertAlign w:val="baseline"/>
        </w:rPr>
        <w:t>driven by unrealized losses on our available for sale (AFS) investment securities portfolio and securities transferred from AFS to held to maturity (HTM) in 2022 (see Item 1 – Note 4).</w:t>
      </w:r>
    </w:p>
    <w:p>
      <w:pPr>
        <w:pStyle w:val="BodyText"/>
        <w:spacing w:before="15"/>
      </w:pPr>
    </w:p>
    <w:p>
      <w:pPr>
        <w:pStyle w:val="BodyText"/>
        <w:spacing w:line="249" w:lineRule="auto"/>
        <w:ind w:left="470" w:right="500"/>
      </w:pPr>
      <w:r>
        <w:rPr/>
        <w:t>The</w:t>
      </w:r>
      <w:r>
        <w:rPr>
          <w:spacing w:val="-1"/>
        </w:rPr>
        <w:t> </w:t>
      </w:r>
      <w:r>
        <w:rPr/>
        <w:t>Company continued its</w:t>
      </w:r>
      <w:r>
        <w:rPr>
          <w:spacing w:val="-1"/>
        </w:rPr>
        <w:t> </w:t>
      </w:r>
      <w:r>
        <w:rPr/>
        <w:t>diligent</w:t>
      </w:r>
      <w:r>
        <w:rPr>
          <w:spacing w:val="-1"/>
        </w:rPr>
        <w:t> </w:t>
      </w:r>
      <w:r>
        <w:rPr/>
        <w:t>approach to balance</w:t>
      </w:r>
      <w:r>
        <w:rPr>
          <w:spacing w:val="-1"/>
        </w:rPr>
        <w:t> </w:t>
      </w:r>
      <w:r>
        <w:rPr/>
        <w:t>sheet</w:t>
      </w:r>
      <w:r>
        <w:rPr>
          <w:spacing w:val="-1"/>
        </w:rPr>
        <w:t> </w:t>
      </w:r>
      <w:r>
        <w:rPr/>
        <w:t>management</w:t>
      </w:r>
      <w:r>
        <w:rPr>
          <w:spacing w:val="-1"/>
        </w:rPr>
        <w:t> </w:t>
      </w:r>
      <w:r>
        <w:rPr/>
        <w:t>in the</w:t>
      </w:r>
      <w:r>
        <w:rPr>
          <w:spacing w:val="-1"/>
        </w:rPr>
        <w:t> </w:t>
      </w:r>
      <w:r>
        <w:rPr/>
        <w:t>first</w:t>
      </w:r>
      <w:r>
        <w:rPr>
          <w:spacing w:val="-1"/>
        </w:rPr>
        <w:t> </w:t>
      </w:r>
      <w:r>
        <w:rPr/>
        <w:t>nine</w:t>
      </w:r>
      <w:r>
        <w:rPr>
          <w:spacing w:val="-1"/>
        </w:rPr>
        <w:t> </w:t>
      </w:r>
      <w:r>
        <w:rPr/>
        <w:t>months</w:t>
      </w:r>
      <w:r>
        <w:rPr>
          <w:spacing w:val="-1"/>
        </w:rPr>
        <w:t> </w:t>
      </w:r>
      <w:r>
        <w:rPr/>
        <w:t>of 2023 to maintain capital and liquidity levels to support our growing client base. Total balance sheet assets were $475.2 billion at September 30, 2023, a decrease</w:t>
      </w:r>
      <w:r>
        <w:rPr>
          <w:spacing w:val="-3"/>
        </w:rPr>
        <w:t> </w:t>
      </w:r>
      <w:r>
        <w:rPr/>
        <w:t>of</w:t>
      </w:r>
      <w:r>
        <w:rPr>
          <w:spacing w:val="-2"/>
        </w:rPr>
        <w:t> </w:t>
      </w:r>
      <w:r>
        <w:rPr/>
        <w:t>14%</w:t>
      </w:r>
      <w:r>
        <w:rPr>
          <w:spacing w:val="-2"/>
        </w:rPr>
        <w:t> </w:t>
      </w:r>
      <w:r>
        <w:rPr/>
        <w:t>from</w:t>
      </w:r>
      <w:r>
        <w:rPr>
          <w:spacing w:val="-3"/>
        </w:rPr>
        <w:t> </w:t>
      </w:r>
      <w:r>
        <w:rPr/>
        <w:t>year-end</w:t>
      </w:r>
      <w:r>
        <w:rPr>
          <w:spacing w:val="-2"/>
        </w:rPr>
        <w:t> </w:t>
      </w:r>
      <w:r>
        <w:rPr/>
        <w:t>2022</w:t>
      </w:r>
      <w:r>
        <w:rPr>
          <w:spacing w:val="-2"/>
        </w:rPr>
        <w:t> </w:t>
      </w:r>
      <w:r>
        <w:rPr/>
        <w:t>and</w:t>
      </w:r>
      <w:r>
        <w:rPr>
          <w:spacing w:val="-2"/>
        </w:rPr>
        <w:t> </w:t>
      </w:r>
      <w:r>
        <w:rPr/>
        <w:t>7%</w:t>
      </w:r>
      <w:r>
        <w:rPr>
          <w:spacing w:val="-2"/>
        </w:rPr>
        <w:t> </w:t>
      </w:r>
      <w:r>
        <w:rPr/>
        <w:t>during</w:t>
      </w:r>
      <w:r>
        <w:rPr>
          <w:spacing w:val="-2"/>
        </w:rPr>
        <w:t> </w:t>
      </w:r>
      <w:r>
        <w:rPr/>
        <w:t>the</w:t>
      </w:r>
      <w:r>
        <w:rPr>
          <w:spacing w:val="-3"/>
        </w:rPr>
        <w:t> </w:t>
      </w:r>
      <w:r>
        <w:rPr/>
        <w:t>third</w:t>
      </w:r>
      <w:r>
        <w:rPr>
          <w:spacing w:val="-2"/>
        </w:rPr>
        <w:t> </w:t>
      </w:r>
      <w:r>
        <w:rPr/>
        <w:t>quarter.</w:t>
      </w:r>
      <w:r>
        <w:rPr>
          <w:spacing w:val="-2"/>
        </w:rPr>
        <w:t> </w:t>
      </w:r>
      <w:r>
        <w:rPr/>
        <w:t>Amid</w:t>
      </w:r>
      <w:r>
        <w:rPr>
          <w:spacing w:val="-2"/>
        </w:rPr>
        <w:t> </w:t>
      </w:r>
      <w:r>
        <w:rPr/>
        <w:t>higher</w:t>
      </w:r>
      <w:r>
        <w:rPr>
          <w:spacing w:val="-2"/>
        </w:rPr>
        <w:t> </w:t>
      </w:r>
      <w:r>
        <w:rPr/>
        <w:t>market</w:t>
      </w:r>
      <w:r>
        <w:rPr>
          <w:spacing w:val="-3"/>
        </w:rPr>
        <w:t> </w:t>
      </w:r>
      <w:r>
        <w:rPr/>
        <w:t>interest</w:t>
      </w:r>
      <w:r>
        <w:rPr>
          <w:spacing w:val="-3"/>
        </w:rPr>
        <w:t> </w:t>
      </w:r>
      <w:r>
        <w:rPr/>
        <w:t>rates</w:t>
      </w:r>
      <w:r>
        <w:rPr>
          <w:spacing w:val="-3"/>
        </w:rPr>
        <w:t> </w:t>
      </w:r>
      <w:r>
        <w:rPr/>
        <w:t>in</w:t>
      </w:r>
      <w:r>
        <w:rPr>
          <w:spacing w:val="-2"/>
        </w:rPr>
        <w:t> </w:t>
      </w:r>
      <w:r>
        <w:rPr/>
        <w:t>the</w:t>
      </w:r>
      <w:r>
        <w:rPr>
          <w:spacing w:val="-3"/>
        </w:rPr>
        <w:t> </w:t>
      </w:r>
      <w:r>
        <w:rPr/>
        <w:t>first</w:t>
      </w:r>
      <w:r>
        <w:rPr>
          <w:spacing w:val="-3"/>
        </w:rPr>
        <w:t> </w:t>
      </w:r>
      <w:r>
        <w:rPr/>
        <w:t>nine</w:t>
      </w:r>
      <w:r>
        <w:rPr>
          <w:spacing w:val="-3"/>
        </w:rPr>
        <w:t> </w:t>
      </w:r>
      <w:r>
        <w:rPr/>
        <w:t>months of 2023, clients allocated assets to higher yielding cash and fixed income alternatives, and to facilitate these client cash movements and help build available cash, the Company utilized additional temporary funding sources including Federal Home Loan Bank (FHLB) borrowings and issuances of brokered CDs.</w:t>
      </w:r>
    </w:p>
    <w:p>
      <w:pPr>
        <w:pStyle w:val="BodyText"/>
        <w:spacing w:before="15"/>
      </w:pPr>
    </w:p>
    <w:p>
      <w:pPr>
        <w:pStyle w:val="BodyText"/>
        <w:spacing w:line="249" w:lineRule="auto"/>
        <w:ind w:left="740" w:right="488" w:hanging="238"/>
      </w:pPr>
      <w:r>
        <w:rPr>
          <w:vertAlign w:val="superscript"/>
        </w:rPr>
        <w:t>(1)</w:t>
      </w:r>
      <w:r>
        <w:rPr>
          <w:spacing w:val="-4"/>
          <w:vertAlign w:val="baseline"/>
        </w:rPr>
        <w:t> </w:t>
      </w:r>
      <w:r>
        <w:rPr>
          <w:vertAlign w:val="baseline"/>
        </w:rPr>
        <w:t>Adjusted</w:t>
      </w:r>
      <w:r>
        <w:rPr>
          <w:spacing w:val="-3"/>
          <w:vertAlign w:val="baseline"/>
        </w:rPr>
        <w:t> </w:t>
      </w:r>
      <w:r>
        <w:rPr>
          <w:vertAlign w:val="baseline"/>
        </w:rPr>
        <w:t>diluted</w:t>
      </w:r>
      <w:r>
        <w:rPr>
          <w:spacing w:val="-3"/>
          <w:vertAlign w:val="baseline"/>
        </w:rPr>
        <w:t> </w:t>
      </w:r>
      <w:r>
        <w:rPr>
          <w:vertAlign w:val="baseline"/>
        </w:rPr>
        <w:t>EPS,</w:t>
      </w:r>
      <w:r>
        <w:rPr>
          <w:spacing w:val="-3"/>
          <w:vertAlign w:val="baseline"/>
        </w:rPr>
        <w:t> </w:t>
      </w:r>
      <w:r>
        <w:rPr>
          <w:vertAlign w:val="baseline"/>
        </w:rPr>
        <w:t>adjusted</w:t>
      </w:r>
      <w:r>
        <w:rPr>
          <w:spacing w:val="-3"/>
          <w:vertAlign w:val="baseline"/>
        </w:rPr>
        <w:t> </w:t>
      </w:r>
      <w:r>
        <w:rPr>
          <w:vertAlign w:val="baseline"/>
        </w:rPr>
        <w:t>total</w:t>
      </w:r>
      <w:r>
        <w:rPr>
          <w:spacing w:val="-4"/>
          <w:vertAlign w:val="baseline"/>
        </w:rPr>
        <w:t> </w:t>
      </w:r>
      <w:r>
        <w:rPr>
          <w:vertAlign w:val="baseline"/>
        </w:rPr>
        <w:t>expenses,</w:t>
      </w:r>
      <w:r>
        <w:rPr>
          <w:spacing w:val="-3"/>
          <w:vertAlign w:val="baseline"/>
        </w:rPr>
        <w:t> </w:t>
      </w:r>
      <w:r>
        <w:rPr>
          <w:vertAlign w:val="baseline"/>
        </w:rPr>
        <w:t>and</w:t>
      </w:r>
      <w:r>
        <w:rPr>
          <w:spacing w:val="-3"/>
          <w:vertAlign w:val="baseline"/>
        </w:rPr>
        <w:t> </w:t>
      </w:r>
      <w:r>
        <w:rPr>
          <w:vertAlign w:val="baseline"/>
        </w:rPr>
        <w:t>return</w:t>
      </w:r>
      <w:r>
        <w:rPr>
          <w:spacing w:val="-3"/>
          <w:vertAlign w:val="baseline"/>
        </w:rPr>
        <w:t> </w:t>
      </w:r>
      <w:r>
        <w:rPr>
          <w:vertAlign w:val="baseline"/>
        </w:rPr>
        <w:t>on</w:t>
      </w:r>
      <w:r>
        <w:rPr>
          <w:spacing w:val="-3"/>
          <w:vertAlign w:val="baseline"/>
        </w:rPr>
        <w:t> </w:t>
      </w:r>
      <w:r>
        <w:rPr>
          <w:vertAlign w:val="baseline"/>
        </w:rPr>
        <w:t>tangible</w:t>
      </w:r>
      <w:r>
        <w:rPr>
          <w:spacing w:val="-4"/>
          <w:vertAlign w:val="baseline"/>
        </w:rPr>
        <w:t> </w:t>
      </w:r>
      <w:r>
        <w:rPr>
          <w:vertAlign w:val="baseline"/>
        </w:rPr>
        <w:t>common</w:t>
      </w:r>
      <w:r>
        <w:rPr>
          <w:spacing w:val="-3"/>
          <w:vertAlign w:val="baseline"/>
        </w:rPr>
        <w:t> </w:t>
      </w:r>
      <w:r>
        <w:rPr>
          <w:vertAlign w:val="baseline"/>
        </w:rPr>
        <w:t>equity</w:t>
      </w:r>
      <w:r>
        <w:rPr>
          <w:spacing w:val="-3"/>
          <w:vertAlign w:val="baseline"/>
        </w:rPr>
        <w:t> </w:t>
      </w:r>
      <w:r>
        <w:rPr>
          <w:vertAlign w:val="baseline"/>
        </w:rPr>
        <w:t>are</w:t>
      </w:r>
      <w:r>
        <w:rPr>
          <w:spacing w:val="-4"/>
          <w:vertAlign w:val="baseline"/>
        </w:rPr>
        <w:t> </w:t>
      </w:r>
      <w:r>
        <w:rPr>
          <w:vertAlign w:val="baseline"/>
        </w:rPr>
        <w:t>non-GAAP</w:t>
      </w:r>
      <w:r>
        <w:rPr>
          <w:spacing w:val="-4"/>
          <w:vertAlign w:val="baseline"/>
        </w:rPr>
        <w:t> </w:t>
      </w:r>
      <w:r>
        <w:rPr>
          <w:vertAlign w:val="baseline"/>
        </w:rPr>
        <w:t>financial</w:t>
      </w:r>
      <w:r>
        <w:rPr>
          <w:spacing w:val="-4"/>
          <w:vertAlign w:val="baseline"/>
        </w:rPr>
        <w:t> </w:t>
      </w:r>
      <w:r>
        <w:rPr>
          <w:vertAlign w:val="baseline"/>
        </w:rPr>
        <w:t>measures.</w:t>
      </w:r>
      <w:r>
        <w:rPr>
          <w:spacing w:val="-3"/>
          <w:vertAlign w:val="baseline"/>
        </w:rPr>
        <w:t> </w:t>
      </w:r>
      <w:r>
        <w:rPr>
          <w:vertAlign w:val="baseline"/>
        </w:rPr>
        <w:t>See Non-GAAP Financial Measures for further details and a reconciliation of such measures to GAAP reported results.</w:t>
      </w:r>
    </w:p>
    <w:p>
      <w:pPr>
        <w:spacing w:after="0" w:line="249" w:lineRule="auto"/>
        <w:sectPr>
          <w:pgSz w:w="12240" w:h="15840"/>
          <w:pgMar w:header="512" w:footer="201" w:top="1180" w:bottom="400" w:left="520" w:right="520"/>
        </w:sectPr>
      </w:pPr>
    </w:p>
    <w:p>
      <w:pPr>
        <w:pStyle w:val="BodyText"/>
        <w:spacing w:line="249" w:lineRule="auto" w:before="211"/>
        <w:ind w:left="470" w:right="470"/>
      </w:pPr>
      <w:r>
        <w:rPr/>
        <w:t>Apart from an increase in August following the Federal Reserve’s July rate hike, the pace of client cash realignment decisions declined significantly during the second and third quarters of 2023. Net cash flows from our investment portfolio were used to reduce</w:t>
      </w:r>
      <w:r>
        <w:rPr>
          <w:spacing w:val="-4"/>
        </w:rPr>
        <w:t> </w:t>
      </w:r>
      <w:r>
        <w:rPr/>
        <w:t>the</w:t>
      </w:r>
      <w:r>
        <w:rPr>
          <w:spacing w:val="-4"/>
        </w:rPr>
        <w:t> </w:t>
      </w:r>
      <w:r>
        <w:rPr/>
        <w:t>balance</w:t>
      </w:r>
      <w:r>
        <w:rPr>
          <w:spacing w:val="-4"/>
        </w:rPr>
        <w:t> </w:t>
      </w:r>
      <w:r>
        <w:rPr/>
        <w:t>of</w:t>
      </w:r>
      <w:r>
        <w:rPr>
          <w:spacing w:val="-3"/>
        </w:rPr>
        <w:t> </w:t>
      </w:r>
      <w:r>
        <w:rPr/>
        <w:t>supplemental</w:t>
      </w:r>
      <w:r>
        <w:rPr>
          <w:spacing w:val="-4"/>
        </w:rPr>
        <w:t> </w:t>
      </w:r>
      <w:r>
        <w:rPr/>
        <w:t>borrowings</w:t>
      </w:r>
      <w:r>
        <w:rPr>
          <w:spacing w:val="-4"/>
        </w:rPr>
        <w:t> </w:t>
      </w:r>
      <w:r>
        <w:rPr/>
        <w:t>during</w:t>
      </w:r>
      <w:r>
        <w:rPr>
          <w:spacing w:val="-3"/>
        </w:rPr>
        <w:t> </w:t>
      </w:r>
      <w:r>
        <w:rPr/>
        <w:t>the</w:t>
      </w:r>
      <w:r>
        <w:rPr>
          <w:spacing w:val="-4"/>
        </w:rPr>
        <w:t> </w:t>
      </w:r>
      <w:r>
        <w:rPr/>
        <w:t>third</w:t>
      </w:r>
      <w:r>
        <w:rPr>
          <w:spacing w:val="-3"/>
        </w:rPr>
        <w:t> </w:t>
      </w:r>
      <w:r>
        <w:rPr/>
        <w:t>quarter</w:t>
      </w:r>
      <w:r>
        <w:rPr>
          <w:spacing w:val="-3"/>
        </w:rPr>
        <w:t> </w:t>
      </w:r>
      <w:r>
        <w:rPr/>
        <w:t>of</w:t>
      </w:r>
      <w:r>
        <w:rPr>
          <w:spacing w:val="-3"/>
        </w:rPr>
        <w:t> </w:t>
      </w:r>
      <w:r>
        <w:rPr/>
        <w:t>2023.</w:t>
      </w:r>
      <w:r>
        <w:rPr>
          <w:spacing w:val="-3"/>
        </w:rPr>
        <w:t> </w:t>
      </w:r>
      <w:r>
        <w:rPr/>
        <w:t>Amounts</w:t>
      </w:r>
      <w:r>
        <w:rPr>
          <w:spacing w:val="-4"/>
        </w:rPr>
        <w:t> </w:t>
      </w:r>
      <w:r>
        <w:rPr/>
        <w:t>outstanding</w:t>
      </w:r>
      <w:r>
        <w:rPr>
          <w:spacing w:val="-3"/>
        </w:rPr>
        <w:t> </w:t>
      </w:r>
      <w:r>
        <w:rPr/>
        <w:t>under</w:t>
      </w:r>
      <w:r>
        <w:rPr>
          <w:spacing w:val="-3"/>
        </w:rPr>
        <w:t> </w:t>
      </w:r>
      <w:r>
        <w:rPr/>
        <w:t>FHLB</w:t>
      </w:r>
      <w:r>
        <w:rPr>
          <w:spacing w:val="-4"/>
        </w:rPr>
        <w:t> </w:t>
      </w:r>
      <w:r>
        <w:rPr/>
        <w:t>borrowings, other short-term borrowings, and brokered CDs decreased by a net total of $5.4 billion during the third quarter of 2023. In May and</w:t>
      </w:r>
      <w:r>
        <w:rPr>
          <w:spacing w:val="-2"/>
        </w:rPr>
        <w:t> </w:t>
      </w:r>
      <w:r>
        <w:rPr/>
        <w:t>August</w:t>
      </w:r>
      <w:r>
        <w:rPr>
          <w:spacing w:val="-3"/>
        </w:rPr>
        <w:t> </w:t>
      </w:r>
      <w:r>
        <w:rPr/>
        <w:t>2023,</w:t>
      </w:r>
      <w:r>
        <w:rPr>
          <w:spacing w:val="-2"/>
        </w:rPr>
        <w:t> </w:t>
      </w:r>
      <w:r>
        <w:rPr/>
        <w:t>the</w:t>
      </w:r>
      <w:r>
        <w:rPr>
          <w:spacing w:val="-3"/>
        </w:rPr>
        <w:t> </w:t>
      </w:r>
      <w:r>
        <w:rPr/>
        <w:t>Company</w:t>
      </w:r>
      <w:r>
        <w:rPr>
          <w:spacing w:val="-2"/>
        </w:rPr>
        <w:t> </w:t>
      </w:r>
      <w:r>
        <w:rPr/>
        <w:t>issued</w:t>
      </w:r>
      <w:r>
        <w:rPr>
          <w:spacing w:val="-2"/>
        </w:rPr>
        <w:t> </w:t>
      </w:r>
      <w:r>
        <w:rPr/>
        <w:t>long-term</w:t>
      </w:r>
      <w:r>
        <w:rPr>
          <w:spacing w:val="-3"/>
        </w:rPr>
        <w:t> </w:t>
      </w:r>
      <w:r>
        <w:rPr/>
        <w:t>debt</w:t>
      </w:r>
      <w:r>
        <w:rPr>
          <w:spacing w:val="-3"/>
        </w:rPr>
        <w:t> </w:t>
      </w:r>
      <w:r>
        <w:rPr/>
        <w:t>of</w:t>
      </w:r>
      <w:r>
        <w:rPr>
          <w:spacing w:val="-2"/>
        </w:rPr>
        <w:t> </w:t>
      </w:r>
      <w:r>
        <w:rPr/>
        <w:t>$2.5</w:t>
      </w:r>
      <w:r>
        <w:rPr>
          <w:spacing w:val="-2"/>
        </w:rPr>
        <w:t> </w:t>
      </w:r>
      <w:r>
        <w:rPr/>
        <w:t>billion</w:t>
      </w:r>
      <w:r>
        <w:rPr>
          <w:spacing w:val="-2"/>
        </w:rPr>
        <w:t> </w:t>
      </w:r>
      <w:r>
        <w:rPr/>
        <w:t>and</w:t>
      </w:r>
      <w:r>
        <w:rPr>
          <w:spacing w:val="-2"/>
        </w:rPr>
        <w:t> </w:t>
      </w:r>
      <w:r>
        <w:rPr/>
        <w:t>$2.4</w:t>
      </w:r>
      <w:r>
        <w:rPr>
          <w:spacing w:val="-2"/>
        </w:rPr>
        <w:t> </w:t>
      </w:r>
      <w:r>
        <w:rPr/>
        <w:t>billion,</w:t>
      </w:r>
      <w:r>
        <w:rPr>
          <w:spacing w:val="-2"/>
        </w:rPr>
        <w:t> </w:t>
      </w:r>
      <w:r>
        <w:rPr/>
        <w:t>respectively,</w:t>
      </w:r>
      <w:r>
        <w:rPr>
          <w:spacing w:val="-2"/>
        </w:rPr>
        <w:t> </w:t>
      </w:r>
      <w:r>
        <w:rPr/>
        <w:t>which</w:t>
      </w:r>
      <w:r>
        <w:rPr>
          <w:spacing w:val="-2"/>
        </w:rPr>
        <w:t> </w:t>
      </w:r>
      <w:r>
        <w:rPr/>
        <w:t>provided</w:t>
      </w:r>
      <w:r>
        <w:rPr>
          <w:spacing w:val="-2"/>
        </w:rPr>
        <w:t> </w:t>
      </w:r>
      <w:r>
        <w:rPr/>
        <w:t>incremental liquidity, and the May issuance was also used to help bolster our capital ratios at our banking subsidiaries. Driven by a combination of the Company’s net income and a smaller balance sheet in the first nine months of 2023, our consolidated Tier 1 Leverage Ratio increased to 8.2% as of September 30.</w:t>
      </w:r>
    </w:p>
    <w:p>
      <w:pPr>
        <w:pStyle w:val="BodyText"/>
        <w:spacing w:before="17"/>
      </w:pPr>
    </w:p>
    <w:p>
      <w:pPr>
        <w:spacing w:before="0"/>
        <w:ind w:left="470" w:right="0" w:firstLine="0"/>
        <w:jc w:val="left"/>
        <w:rPr>
          <w:i/>
          <w:sz w:val="20"/>
        </w:rPr>
      </w:pPr>
      <w:r>
        <w:rPr>
          <w:i/>
          <w:sz w:val="20"/>
        </w:rPr>
        <w:t>Integration</w:t>
      </w:r>
      <w:r>
        <w:rPr>
          <w:i/>
          <w:spacing w:val="-3"/>
          <w:sz w:val="20"/>
        </w:rPr>
        <w:t> </w:t>
      </w:r>
      <w:r>
        <w:rPr>
          <w:i/>
          <w:sz w:val="20"/>
        </w:rPr>
        <w:t>of</w:t>
      </w:r>
      <w:r>
        <w:rPr>
          <w:i/>
          <w:spacing w:val="-3"/>
          <w:sz w:val="20"/>
        </w:rPr>
        <w:t> </w:t>
      </w:r>
      <w:r>
        <w:rPr>
          <w:i/>
          <w:sz w:val="20"/>
        </w:rPr>
        <w:t>TD</w:t>
      </w:r>
      <w:r>
        <w:rPr>
          <w:i/>
          <w:spacing w:val="-2"/>
          <w:sz w:val="20"/>
        </w:rPr>
        <w:t> Ameritrade</w:t>
      </w:r>
    </w:p>
    <w:p>
      <w:pPr>
        <w:pStyle w:val="BodyText"/>
        <w:spacing w:before="20"/>
        <w:rPr>
          <w:i/>
        </w:rPr>
      </w:pPr>
    </w:p>
    <w:p>
      <w:pPr>
        <w:pStyle w:val="BodyText"/>
        <w:spacing w:line="249" w:lineRule="auto"/>
        <w:ind w:left="470" w:right="500"/>
      </w:pPr>
      <w:r>
        <w:rPr/>
        <w:t>Effective</w:t>
      </w:r>
      <w:r>
        <w:rPr>
          <w:spacing w:val="-4"/>
        </w:rPr>
        <w:t> </w:t>
      </w:r>
      <w:r>
        <w:rPr/>
        <w:t>October</w:t>
      </w:r>
      <w:r>
        <w:rPr>
          <w:spacing w:val="-3"/>
        </w:rPr>
        <w:t> </w:t>
      </w:r>
      <w:r>
        <w:rPr/>
        <w:t>6,</w:t>
      </w:r>
      <w:r>
        <w:rPr>
          <w:spacing w:val="-3"/>
        </w:rPr>
        <w:t> </w:t>
      </w:r>
      <w:r>
        <w:rPr/>
        <w:t>2020,</w:t>
      </w:r>
      <w:r>
        <w:rPr>
          <w:spacing w:val="-3"/>
        </w:rPr>
        <w:t> </w:t>
      </w:r>
      <w:r>
        <w:rPr/>
        <w:t>the</w:t>
      </w:r>
      <w:r>
        <w:rPr>
          <w:spacing w:val="-4"/>
        </w:rPr>
        <w:t> </w:t>
      </w:r>
      <w:r>
        <w:rPr/>
        <w:t>Company</w:t>
      </w:r>
      <w:r>
        <w:rPr>
          <w:spacing w:val="-3"/>
        </w:rPr>
        <w:t> </w:t>
      </w:r>
      <w:r>
        <w:rPr/>
        <w:t>completed</w:t>
      </w:r>
      <w:r>
        <w:rPr>
          <w:spacing w:val="-3"/>
        </w:rPr>
        <w:t> </w:t>
      </w:r>
      <w:r>
        <w:rPr/>
        <w:t>its</w:t>
      </w:r>
      <w:r>
        <w:rPr>
          <w:spacing w:val="-4"/>
        </w:rPr>
        <w:t> </w:t>
      </w:r>
      <w:r>
        <w:rPr/>
        <w:t>acquisition</w:t>
      </w:r>
      <w:r>
        <w:rPr>
          <w:spacing w:val="-3"/>
        </w:rPr>
        <w:t> </w:t>
      </w:r>
      <w:r>
        <w:rPr/>
        <w:t>of</w:t>
      </w:r>
      <w:r>
        <w:rPr>
          <w:spacing w:val="-3"/>
        </w:rPr>
        <w:t> </w:t>
      </w:r>
      <w:r>
        <w:rPr/>
        <w:t>TD</w:t>
      </w:r>
      <w:r>
        <w:rPr>
          <w:spacing w:val="-4"/>
        </w:rPr>
        <w:t> </w:t>
      </w:r>
      <w:r>
        <w:rPr/>
        <w:t>Ameritrade</w:t>
      </w:r>
      <w:r>
        <w:rPr>
          <w:spacing w:val="-4"/>
        </w:rPr>
        <w:t> </w:t>
      </w:r>
      <w:r>
        <w:rPr/>
        <w:t>Holding</w:t>
      </w:r>
      <w:r>
        <w:rPr>
          <w:spacing w:val="-3"/>
        </w:rPr>
        <w:t> </w:t>
      </w:r>
      <w:r>
        <w:rPr/>
        <w:t>Corporation,</w:t>
      </w:r>
      <w:r>
        <w:rPr>
          <w:spacing w:val="-3"/>
        </w:rPr>
        <w:t> </w:t>
      </w:r>
      <w:r>
        <w:rPr/>
        <w:t>now</w:t>
      </w:r>
      <w:r>
        <w:rPr>
          <w:spacing w:val="-4"/>
        </w:rPr>
        <w:t> </w:t>
      </w:r>
      <w:r>
        <w:rPr/>
        <w:t>TD</w:t>
      </w:r>
      <w:r>
        <w:rPr>
          <w:spacing w:val="-4"/>
        </w:rPr>
        <w:t> </w:t>
      </w:r>
      <w:r>
        <w:rPr/>
        <w:t>Ameritrade Holding LLC (TDA Holding), and its consolidated subsidiaries (collectively referred to as “TD Ameritrade” or “TDA”). The Company made significant progress in the integration during the first nine months of 2023, including the completion of three client transition groups. We completed our third conversion in September, as we transitioned $1.3 trillion in client assets, including more than 7,000 RIAs and 3.6 million retail brokerage accounts. The Company completed its fourth conversion of 2023 in November and we have now completed the transition of RIAs and nearly 90% of TD Ameritrade client accounts to the Schwab platform. In connection with these transitions, we have experienced some deal-related attrition of client assets from retail accounts and RIAs consistent with our expectations. The Company expects to complete the remaining client transitions from TD Ameritrade to Schwab in a final transition group in the first half of 2024. We continue to expect to incur total acquisition and integration-related costs and capital expenditures of between $2.4 billion and $2.5 billion.</w:t>
      </w:r>
    </w:p>
    <w:p>
      <w:pPr>
        <w:pStyle w:val="BodyText"/>
        <w:spacing w:before="18"/>
      </w:pPr>
    </w:p>
    <w:p>
      <w:pPr>
        <w:pStyle w:val="BodyText"/>
        <w:spacing w:line="249" w:lineRule="auto"/>
        <w:ind w:left="470" w:right="500"/>
      </w:pPr>
      <w:r>
        <w:rPr/>
        <w:t>The Company’s estimates of the nature, amounts, and timing of recognition of acquisition and integration-related costs remain subject to change based on a number of factors, including the duration and complexity of the remaining integration process and the continued uncertainty of the economic environment. More specifically, factors that could cause variability in our expected acquisition</w:t>
      </w:r>
      <w:r>
        <w:rPr>
          <w:spacing w:val="-3"/>
        </w:rPr>
        <w:t> </w:t>
      </w:r>
      <w:r>
        <w:rPr/>
        <w:t>and</w:t>
      </w:r>
      <w:r>
        <w:rPr>
          <w:spacing w:val="-3"/>
        </w:rPr>
        <w:t> </w:t>
      </w:r>
      <w:r>
        <w:rPr/>
        <w:t>integration-related</w:t>
      </w:r>
      <w:r>
        <w:rPr>
          <w:spacing w:val="-3"/>
        </w:rPr>
        <w:t> </w:t>
      </w:r>
      <w:r>
        <w:rPr/>
        <w:t>costs</w:t>
      </w:r>
      <w:r>
        <w:rPr>
          <w:spacing w:val="-4"/>
        </w:rPr>
        <w:t> </w:t>
      </w:r>
      <w:r>
        <w:rPr/>
        <w:t>include</w:t>
      </w:r>
      <w:r>
        <w:rPr>
          <w:spacing w:val="-4"/>
        </w:rPr>
        <w:t> </w:t>
      </w:r>
      <w:r>
        <w:rPr/>
        <w:t>the</w:t>
      </w:r>
      <w:r>
        <w:rPr>
          <w:spacing w:val="-4"/>
        </w:rPr>
        <w:t> </w:t>
      </w:r>
      <w:r>
        <w:rPr/>
        <w:t>level</w:t>
      </w:r>
      <w:r>
        <w:rPr>
          <w:spacing w:val="-4"/>
        </w:rPr>
        <w:t> </w:t>
      </w:r>
      <w:r>
        <w:rPr/>
        <w:t>of</w:t>
      </w:r>
      <w:r>
        <w:rPr>
          <w:spacing w:val="-3"/>
        </w:rPr>
        <w:t> </w:t>
      </w:r>
      <w:r>
        <w:rPr/>
        <w:t>employee</w:t>
      </w:r>
      <w:r>
        <w:rPr>
          <w:spacing w:val="-4"/>
        </w:rPr>
        <w:t> </w:t>
      </w:r>
      <w:r>
        <w:rPr/>
        <w:t>attrition,</w:t>
      </w:r>
      <w:r>
        <w:rPr>
          <w:spacing w:val="-3"/>
        </w:rPr>
        <w:t> </w:t>
      </w:r>
      <w:r>
        <w:rPr/>
        <w:t>changes</w:t>
      </w:r>
      <w:r>
        <w:rPr>
          <w:spacing w:val="-4"/>
        </w:rPr>
        <w:t> </w:t>
      </w:r>
      <w:r>
        <w:rPr/>
        <w:t>in</w:t>
      </w:r>
      <w:r>
        <w:rPr>
          <w:spacing w:val="-3"/>
        </w:rPr>
        <w:t> </w:t>
      </w:r>
      <w:r>
        <w:rPr/>
        <w:t>the</w:t>
      </w:r>
      <w:r>
        <w:rPr>
          <w:spacing w:val="-4"/>
        </w:rPr>
        <w:t> </w:t>
      </w:r>
      <w:r>
        <w:rPr/>
        <w:t>scope</w:t>
      </w:r>
      <w:r>
        <w:rPr>
          <w:spacing w:val="-4"/>
        </w:rPr>
        <w:t> </w:t>
      </w:r>
      <w:r>
        <w:rPr/>
        <w:t>and</w:t>
      </w:r>
      <w:r>
        <w:rPr>
          <w:spacing w:val="-3"/>
        </w:rPr>
        <w:t> </w:t>
      </w:r>
      <w:r>
        <w:rPr/>
        <w:t>cost</w:t>
      </w:r>
      <w:r>
        <w:rPr>
          <w:spacing w:val="-4"/>
        </w:rPr>
        <w:t> </w:t>
      </w:r>
      <w:r>
        <w:rPr/>
        <w:t>of</w:t>
      </w:r>
      <w:r>
        <w:rPr>
          <w:spacing w:val="-3"/>
        </w:rPr>
        <w:t> </w:t>
      </w:r>
      <w:r>
        <w:rPr/>
        <w:t>technology,</w:t>
      </w:r>
      <w:r>
        <w:rPr>
          <w:spacing w:val="-3"/>
        </w:rPr>
        <w:t> </w:t>
      </w:r>
      <w:r>
        <w:rPr/>
        <w:t>the timeline to wind-down the TD Ameritrade broker-dealers, and real estate-related exit cost variability. Many of these factors</w:t>
      </w:r>
      <w:r>
        <w:rPr>
          <w:spacing w:val="40"/>
        </w:rPr>
        <w:t> </w:t>
      </w:r>
      <w:r>
        <w:rPr/>
        <w:t>may continue to cause variability in our expected acquisition and integration-related costs through the remainder of the integration process.</w:t>
      </w:r>
    </w:p>
    <w:p>
      <w:pPr>
        <w:pStyle w:val="BodyText"/>
        <w:spacing w:before="16"/>
      </w:pPr>
    </w:p>
    <w:p>
      <w:pPr>
        <w:pStyle w:val="BodyText"/>
        <w:spacing w:line="249" w:lineRule="auto"/>
        <w:ind w:left="470" w:right="500"/>
      </w:pPr>
      <w:r>
        <w:rPr/>
        <w:t>Acquisition</w:t>
      </w:r>
      <w:r>
        <w:rPr>
          <w:spacing w:val="-3"/>
        </w:rPr>
        <w:t> </w:t>
      </w:r>
      <w:r>
        <w:rPr/>
        <w:t>and</w:t>
      </w:r>
      <w:r>
        <w:rPr>
          <w:spacing w:val="-3"/>
        </w:rPr>
        <w:t> </w:t>
      </w:r>
      <w:r>
        <w:rPr/>
        <w:t>integration-related</w:t>
      </w:r>
      <w:r>
        <w:rPr>
          <w:spacing w:val="-3"/>
        </w:rPr>
        <w:t> </w:t>
      </w:r>
      <w:r>
        <w:rPr/>
        <w:t>costs,</w:t>
      </w:r>
      <w:r>
        <w:rPr>
          <w:spacing w:val="-3"/>
        </w:rPr>
        <w:t> </w:t>
      </w:r>
      <w:r>
        <w:rPr/>
        <w:t>which</w:t>
      </w:r>
      <w:r>
        <w:rPr>
          <w:spacing w:val="-3"/>
        </w:rPr>
        <w:t> </w:t>
      </w:r>
      <w:r>
        <w:rPr/>
        <w:t>are</w:t>
      </w:r>
      <w:r>
        <w:rPr>
          <w:spacing w:val="-4"/>
        </w:rPr>
        <w:t> </w:t>
      </w:r>
      <w:r>
        <w:rPr/>
        <w:t>inclusive</w:t>
      </w:r>
      <w:r>
        <w:rPr>
          <w:spacing w:val="-4"/>
        </w:rPr>
        <w:t> </w:t>
      </w:r>
      <w:r>
        <w:rPr/>
        <w:t>of</w:t>
      </w:r>
      <w:r>
        <w:rPr>
          <w:spacing w:val="-3"/>
        </w:rPr>
        <w:t> </w:t>
      </w:r>
      <w:r>
        <w:rPr/>
        <w:t>related</w:t>
      </w:r>
      <w:r>
        <w:rPr>
          <w:spacing w:val="-3"/>
        </w:rPr>
        <w:t> </w:t>
      </w:r>
      <w:r>
        <w:rPr/>
        <w:t>exit</w:t>
      </w:r>
      <w:r>
        <w:rPr>
          <w:spacing w:val="-4"/>
        </w:rPr>
        <w:t> </w:t>
      </w:r>
      <w:r>
        <w:rPr/>
        <w:t>costs,</w:t>
      </w:r>
      <w:r>
        <w:rPr>
          <w:spacing w:val="-3"/>
        </w:rPr>
        <w:t> </w:t>
      </w:r>
      <w:r>
        <w:rPr/>
        <w:t>totaled</w:t>
      </w:r>
      <w:r>
        <w:rPr>
          <w:spacing w:val="-3"/>
        </w:rPr>
        <w:t> </w:t>
      </w:r>
      <w:r>
        <w:rPr/>
        <w:t>$106</w:t>
      </w:r>
      <w:r>
        <w:rPr>
          <w:spacing w:val="-3"/>
        </w:rPr>
        <w:t> </w:t>
      </w:r>
      <w:r>
        <w:rPr/>
        <w:t>million</w:t>
      </w:r>
      <w:r>
        <w:rPr>
          <w:spacing w:val="-3"/>
        </w:rPr>
        <w:t> </w:t>
      </w:r>
      <w:r>
        <w:rPr/>
        <w:t>and</w:t>
      </w:r>
      <w:r>
        <w:rPr>
          <w:spacing w:val="-3"/>
        </w:rPr>
        <w:t> </w:t>
      </w:r>
      <w:r>
        <w:rPr/>
        <w:t>$334</w:t>
      </w:r>
      <w:r>
        <w:rPr>
          <w:spacing w:val="-3"/>
        </w:rPr>
        <w:t> </w:t>
      </w:r>
      <w:r>
        <w:rPr/>
        <w:t>million</w:t>
      </w:r>
      <w:r>
        <w:rPr>
          <w:spacing w:val="-3"/>
        </w:rPr>
        <w:t> </w:t>
      </w:r>
      <w:r>
        <w:rPr/>
        <w:t>for</w:t>
      </w:r>
      <w:r>
        <w:rPr>
          <w:spacing w:val="-3"/>
        </w:rPr>
        <w:t> </w:t>
      </w:r>
      <w:r>
        <w:rPr/>
        <w:t>the third quarter and first nine months of 2023, respectively, and $101 million and $291 million for the third quarter and first nine months of 2022, respectively. Over the course of the integration, we expect to realize annualized cost synergies of between</w:t>
      </w:r>
    </w:p>
    <w:p>
      <w:pPr>
        <w:pStyle w:val="BodyText"/>
        <w:spacing w:line="249" w:lineRule="auto" w:before="2"/>
        <w:ind w:left="470" w:right="548"/>
      </w:pPr>
      <w:r>
        <w:rPr/>
        <w:t>$1.8 billion and $2.0 billion, and, through September 30, 2023, we have achieved approximately 75% of this amount on an annualized run-rate basis. The Company expects to realize the vast majority of the remaining estimated cost synergies by the end of 2024, with anticipated full year synergy realization beginning in 2025. Estimated timing and amounts of synergy realization</w:t>
      </w:r>
      <w:r>
        <w:rPr>
          <w:spacing w:val="-2"/>
        </w:rPr>
        <w:t> </w:t>
      </w:r>
      <w:r>
        <w:rPr/>
        <w:t>are</w:t>
      </w:r>
      <w:r>
        <w:rPr>
          <w:spacing w:val="-3"/>
        </w:rPr>
        <w:t> </w:t>
      </w:r>
      <w:r>
        <w:rPr/>
        <w:t>subject</w:t>
      </w:r>
      <w:r>
        <w:rPr>
          <w:spacing w:val="-3"/>
        </w:rPr>
        <w:t> </w:t>
      </w:r>
      <w:r>
        <w:rPr/>
        <w:t>to</w:t>
      </w:r>
      <w:r>
        <w:rPr>
          <w:spacing w:val="-2"/>
        </w:rPr>
        <w:t> </w:t>
      </w:r>
      <w:r>
        <w:rPr/>
        <w:t>change</w:t>
      </w:r>
      <w:r>
        <w:rPr>
          <w:spacing w:val="-3"/>
        </w:rPr>
        <w:t> </w:t>
      </w:r>
      <w:r>
        <w:rPr/>
        <w:t>as</w:t>
      </w:r>
      <w:r>
        <w:rPr>
          <w:spacing w:val="-3"/>
        </w:rPr>
        <w:t> </w:t>
      </w:r>
      <w:r>
        <w:rPr/>
        <w:t>we</w:t>
      </w:r>
      <w:r>
        <w:rPr>
          <w:spacing w:val="-3"/>
        </w:rPr>
        <w:t> </w:t>
      </w:r>
      <w:r>
        <w:rPr/>
        <w:t>progress</w:t>
      </w:r>
      <w:r>
        <w:rPr>
          <w:spacing w:val="-3"/>
        </w:rPr>
        <w:t> </w:t>
      </w:r>
      <w:r>
        <w:rPr/>
        <w:t>in</w:t>
      </w:r>
      <w:r>
        <w:rPr>
          <w:spacing w:val="-2"/>
        </w:rPr>
        <w:t> </w:t>
      </w:r>
      <w:r>
        <w:rPr/>
        <w:t>the</w:t>
      </w:r>
      <w:r>
        <w:rPr>
          <w:spacing w:val="-3"/>
        </w:rPr>
        <w:t> </w:t>
      </w:r>
      <w:r>
        <w:rPr/>
        <w:t>integration.</w:t>
      </w:r>
      <w:r>
        <w:rPr>
          <w:spacing w:val="-2"/>
        </w:rPr>
        <w:t> </w:t>
      </w:r>
      <w:r>
        <w:rPr/>
        <w:t>Refer</w:t>
      </w:r>
      <w:r>
        <w:rPr>
          <w:spacing w:val="-2"/>
        </w:rPr>
        <w:t> </w:t>
      </w:r>
      <w:r>
        <w:rPr/>
        <w:t>to</w:t>
      </w:r>
      <w:r>
        <w:rPr>
          <w:spacing w:val="-2"/>
        </w:rPr>
        <w:t> </w:t>
      </w:r>
      <w:r>
        <w:rPr/>
        <w:t>Part</w:t>
      </w:r>
      <w:r>
        <w:rPr>
          <w:spacing w:val="-3"/>
        </w:rPr>
        <w:t> </w:t>
      </w:r>
      <w:r>
        <w:rPr/>
        <w:t>II</w:t>
      </w:r>
      <w:r>
        <w:rPr>
          <w:spacing w:val="-2"/>
        </w:rPr>
        <w:t> </w:t>
      </w:r>
      <w:r>
        <w:rPr/>
        <w:t>–</w:t>
      </w:r>
      <w:r>
        <w:rPr>
          <w:spacing w:val="-2"/>
        </w:rPr>
        <w:t> </w:t>
      </w:r>
      <w:r>
        <w:rPr/>
        <w:t>Item</w:t>
      </w:r>
      <w:r>
        <w:rPr>
          <w:spacing w:val="-3"/>
        </w:rPr>
        <w:t> </w:t>
      </w:r>
      <w:r>
        <w:rPr/>
        <w:t>7</w:t>
      </w:r>
      <w:r>
        <w:rPr>
          <w:spacing w:val="-2"/>
        </w:rPr>
        <w:t> </w:t>
      </w:r>
      <w:r>
        <w:rPr/>
        <w:t>–</w:t>
      </w:r>
      <w:r>
        <w:rPr>
          <w:spacing w:val="-2"/>
        </w:rPr>
        <w:t> </w:t>
      </w:r>
      <w:r>
        <w:rPr/>
        <w:t>Overview</w:t>
      </w:r>
      <w:r>
        <w:rPr>
          <w:spacing w:val="-3"/>
        </w:rPr>
        <w:t> </w:t>
      </w:r>
      <w:r>
        <w:rPr/>
        <w:t>in</w:t>
      </w:r>
      <w:r>
        <w:rPr>
          <w:spacing w:val="-2"/>
        </w:rPr>
        <w:t> </w:t>
      </w:r>
      <w:r>
        <w:rPr/>
        <w:t>our</w:t>
      </w:r>
      <w:r>
        <w:rPr>
          <w:spacing w:val="-2"/>
        </w:rPr>
        <w:t> </w:t>
      </w:r>
      <w:r>
        <w:rPr/>
        <w:t>2022</w:t>
      </w:r>
      <w:r>
        <w:rPr>
          <w:spacing w:val="-2"/>
        </w:rPr>
        <w:t> </w:t>
      </w:r>
      <w:r>
        <w:rPr/>
        <w:t>Form</w:t>
      </w:r>
      <w:r>
        <w:rPr>
          <w:spacing w:val="-3"/>
        </w:rPr>
        <w:t> </w:t>
      </w:r>
      <w:r>
        <w:rPr/>
        <w:t>10-K, Results of Operations – Total Expenses Excluding Interest, Non-GAAP Financial Measures, and Item 1 – Note 10 for additional information regarding our integration of TD Ameritrade.</w:t>
      </w:r>
    </w:p>
    <w:p>
      <w:pPr>
        <w:pStyle w:val="BodyText"/>
        <w:spacing w:before="15"/>
      </w:pPr>
    </w:p>
    <w:p>
      <w:pPr>
        <w:spacing w:before="0"/>
        <w:ind w:left="470" w:right="0" w:firstLine="0"/>
        <w:jc w:val="left"/>
        <w:rPr>
          <w:i/>
          <w:sz w:val="20"/>
        </w:rPr>
      </w:pPr>
      <w:r>
        <w:rPr>
          <w:i/>
          <w:spacing w:val="-2"/>
          <w:sz w:val="20"/>
        </w:rPr>
        <w:t>Other</w:t>
      </w:r>
    </w:p>
    <w:p>
      <w:pPr>
        <w:pStyle w:val="BodyText"/>
        <w:spacing w:before="20"/>
        <w:rPr>
          <w:i/>
        </w:rPr>
      </w:pPr>
    </w:p>
    <w:p>
      <w:pPr>
        <w:pStyle w:val="BodyText"/>
        <w:spacing w:line="249" w:lineRule="auto"/>
        <w:ind w:left="470" w:right="500"/>
      </w:pPr>
      <w:r>
        <w:rPr/>
        <w:t>In addition to cost synergies directly related to the integration of TD Ameritrade, the Company has begun to take incremental actions to streamline its operations to prepare for post-integration, including through position eliminations and decreasing its real estate footprint. Through these actions, the Company expects to realize at least $500 million of incremental run-rate cost savings</w:t>
      </w:r>
      <w:r>
        <w:rPr>
          <w:spacing w:val="-1"/>
        </w:rPr>
        <w:t> </w:t>
      </w:r>
      <w:r>
        <w:rPr/>
        <w:t>in addition to integration synergies. In order to achieve</w:t>
      </w:r>
      <w:r>
        <w:rPr>
          <w:spacing w:val="-1"/>
        </w:rPr>
        <w:t> </w:t>
      </w:r>
      <w:r>
        <w:rPr/>
        <w:t>these</w:t>
      </w:r>
      <w:r>
        <w:rPr>
          <w:spacing w:val="-1"/>
        </w:rPr>
        <w:t> </w:t>
      </w:r>
      <w:r>
        <w:rPr/>
        <w:t>cost</w:t>
      </w:r>
      <w:r>
        <w:rPr>
          <w:spacing w:val="-1"/>
        </w:rPr>
        <w:t> </w:t>
      </w:r>
      <w:r>
        <w:rPr/>
        <w:t>savings, the</w:t>
      </w:r>
      <w:r>
        <w:rPr>
          <w:spacing w:val="-1"/>
        </w:rPr>
        <w:t> </w:t>
      </w:r>
      <w:r>
        <w:rPr/>
        <w:t>Company expects</w:t>
      </w:r>
      <w:r>
        <w:rPr>
          <w:spacing w:val="-1"/>
        </w:rPr>
        <w:t> </w:t>
      </w:r>
      <w:r>
        <w:rPr/>
        <w:t>to incur total</w:t>
      </w:r>
      <w:r>
        <w:rPr>
          <w:spacing w:val="-1"/>
        </w:rPr>
        <w:t> </w:t>
      </w:r>
      <w:r>
        <w:rPr/>
        <w:t>exit</w:t>
      </w:r>
      <w:r>
        <w:rPr>
          <w:spacing w:val="-1"/>
        </w:rPr>
        <w:t> </w:t>
      </w:r>
      <w:r>
        <w:rPr/>
        <w:t>and related</w:t>
      </w:r>
      <w:r>
        <w:rPr>
          <w:spacing w:val="-3"/>
        </w:rPr>
        <w:t> </w:t>
      </w:r>
      <w:r>
        <w:rPr/>
        <w:t>costs,</w:t>
      </w:r>
      <w:r>
        <w:rPr>
          <w:spacing w:val="-3"/>
        </w:rPr>
        <w:t> </w:t>
      </w:r>
      <w:r>
        <w:rPr/>
        <w:t>primarily</w:t>
      </w:r>
      <w:r>
        <w:rPr>
          <w:spacing w:val="-3"/>
        </w:rPr>
        <w:t> </w:t>
      </w:r>
      <w:r>
        <w:rPr/>
        <w:t>related</w:t>
      </w:r>
      <w:r>
        <w:rPr>
          <w:spacing w:val="-3"/>
        </w:rPr>
        <w:t> </w:t>
      </w:r>
      <w:r>
        <w:rPr/>
        <w:t>to</w:t>
      </w:r>
      <w:r>
        <w:rPr>
          <w:spacing w:val="-3"/>
        </w:rPr>
        <w:t> </w:t>
      </w:r>
      <w:r>
        <w:rPr/>
        <w:t>employee</w:t>
      </w:r>
      <w:r>
        <w:rPr>
          <w:spacing w:val="-4"/>
        </w:rPr>
        <w:t> </w:t>
      </w:r>
      <w:r>
        <w:rPr/>
        <w:t>compensation</w:t>
      </w:r>
      <w:r>
        <w:rPr>
          <w:spacing w:val="-3"/>
        </w:rPr>
        <w:t> </w:t>
      </w:r>
      <w:r>
        <w:rPr/>
        <w:t>and</w:t>
      </w:r>
      <w:r>
        <w:rPr>
          <w:spacing w:val="-3"/>
        </w:rPr>
        <w:t> </w:t>
      </w:r>
      <w:r>
        <w:rPr/>
        <w:t>benefits</w:t>
      </w:r>
      <w:r>
        <w:rPr>
          <w:spacing w:val="-4"/>
        </w:rPr>
        <w:t> </w:t>
      </w:r>
      <w:r>
        <w:rPr/>
        <w:t>and</w:t>
      </w:r>
      <w:r>
        <w:rPr>
          <w:spacing w:val="-3"/>
        </w:rPr>
        <w:t> </w:t>
      </w:r>
      <w:r>
        <w:rPr/>
        <w:t>facility</w:t>
      </w:r>
      <w:r>
        <w:rPr>
          <w:spacing w:val="-3"/>
        </w:rPr>
        <w:t> </w:t>
      </w:r>
      <w:r>
        <w:rPr/>
        <w:t>exit</w:t>
      </w:r>
      <w:r>
        <w:rPr>
          <w:spacing w:val="-4"/>
        </w:rPr>
        <w:t> </w:t>
      </w:r>
      <w:r>
        <w:rPr/>
        <w:t>costs,</w:t>
      </w:r>
      <w:r>
        <w:rPr>
          <w:spacing w:val="-3"/>
        </w:rPr>
        <w:t> </w:t>
      </w:r>
      <w:r>
        <w:rPr/>
        <w:t>of</w:t>
      </w:r>
      <w:r>
        <w:rPr>
          <w:spacing w:val="-3"/>
        </w:rPr>
        <w:t> </w:t>
      </w:r>
      <w:r>
        <w:rPr/>
        <w:t>approximately</w:t>
      </w:r>
      <w:r>
        <w:rPr>
          <w:spacing w:val="-3"/>
        </w:rPr>
        <w:t> </w:t>
      </w:r>
      <w:r>
        <w:rPr/>
        <w:t>$400</w:t>
      </w:r>
      <w:r>
        <w:rPr>
          <w:spacing w:val="-3"/>
        </w:rPr>
        <w:t> </w:t>
      </w:r>
      <w:r>
        <w:rPr/>
        <w:t>million</w:t>
      </w:r>
      <w:r>
        <w:rPr>
          <w:spacing w:val="-3"/>
        </w:rPr>
        <w:t> </w:t>
      </w:r>
      <w:r>
        <w:rPr/>
        <w:t>to</w:t>
      </w:r>
    </w:p>
    <w:p>
      <w:pPr>
        <w:pStyle w:val="BodyText"/>
        <w:spacing w:line="249" w:lineRule="auto" w:before="4"/>
        <w:ind w:left="470" w:right="500"/>
      </w:pPr>
      <w:r>
        <w:rPr/>
        <w:t>$500 million, inclusive of costs recognized through September 30, 2023. During the third quarter of 2023, the Company incurred $279 million in exit costs, primarily related to position eliminations. The Company anticipates the remaining costs related</w:t>
      </w:r>
      <w:r>
        <w:rPr>
          <w:spacing w:val="-2"/>
        </w:rPr>
        <w:t> </w:t>
      </w:r>
      <w:r>
        <w:rPr/>
        <w:t>to</w:t>
      </w:r>
      <w:r>
        <w:rPr>
          <w:spacing w:val="-2"/>
        </w:rPr>
        <w:t> </w:t>
      </w:r>
      <w:r>
        <w:rPr/>
        <w:t>position</w:t>
      </w:r>
      <w:r>
        <w:rPr>
          <w:spacing w:val="-2"/>
        </w:rPr>
        <w:t> </w:t>
      </w:r>
      <w:r>
        <w:rPr/>
        <w:t>eliminations</w:t>
      </w:r>
      <w:r>
        <w:rPr>
          <w:spacing w:val="-3"/>
        </w:rPr>
        <w:t> </w:t>
      </w:r>
      <w:r>
        <w:rPr/>
        <w:t>will</w:t>
      </w:r>
      <w:r>
        <w:rPr>
          <w:spacing w:val="-3"/>
        </w:rPr>
        <w:t> </w:t>
      </w:r>
      <w:r>
        <w:rPr/>
        <w:t>be</w:t>
      </w:r>
      <w:r>
        <w:rPr>
          <w:spacing w:val="-3"/>
        </w:rPr>
        <w:t> </w:t>
      </w:r>
      <w:r>
        <w:rPr/>
        <w:t>incurred</w:t>
      </w:r>
      <w:r>
        <w:rPr>
          <w:spacing w:val="-2"/>
        </w:rPr>
        <w:t> </w:t>
      </w:r>
      <w:r>
        <w:rPr/>
        <w:t>in</w:t>
      </w:r>
      <w:r>
        <w:rPr>
          <w:spacing w:val="-2"/>
        </w:rPr>
        <w:t> </w:t>
      </w:r>
      <w:r>
        <w:rPr/>
        <w:t>the</w:t>
      </w:r>
      <w:r>
        <w:rPr>
          <w:spacing w:val="-3"/>
        </w:rPr>
        <w:t> </w:t>
      </w:r>
      <w:r>
        <w:rPr/>
        <w:t>fourth</w:t>
      </w:r>
      <w:r>
        <w:rPr>
          <w:spacing w:val="-2"/>
        </w:rPr>
        <w:t> </w:t>
      </w:r>
      <w:r>
        <w:rPr/>
        <w:t>quarter</w:t>
      </w:r>
      <w:r>
        <w:rPr>
          <w:spacing w:val="-2"/>
        </w:rPr>
        <w:t> </w:t>
      </w:r>
      <w:r>
        <w:rPr/>
        <w:t>of</w:t>
      </w:r>
      <w:r>
        <w:rPr>
          <w:spacing w:val="-2"/>
        </w:rPr>
        <w:t> </w:t>
      </w:r>
      <w:r>
        <w:rPr/>
        <w:t>2023,</w:t>
      </w:r>
      <w:r>
        <w:rPr>
          <w:spacing w:val="-2"/>
        </w:rPr>
        <w:t> </w:t>
      </w:r>
      <w:r>
        <w:rPr/>
        <w:t>and</w:t>
      </w:r>
      <w:r>
        <w:rPr>
          <w:spacing w:val="-2"/>
        </w:rPr>
        <w:t> </w:t>
      </w:r>
      <w:r>
        <w:rPr/>
        <w:t>costs</w:t>
      </w:r>
      <w:r>
        <w:rPr>
          <w:spacing w:val="-3"/>
        </w:rPr>
        <w:t> </w:t>
      </w:r>
      <w:r>
        <w:rPr/>
        <w:t>related</w:t>
      </w:r>
      <w:r>
        <w:rPr>
          <w:spacing w:val="-2"/>
        </w:rPr>
        <w:t> </w:t>
      </w:r>
      <w:r>
        <w:rPr/>
        <w:t>to</w:t>
      </w:r>
      <w:r>
        <w:rPr>
          <w:spacing w:val="-2"/>
        </w:rPr>
        <w:t> </w:t>
      </w:r>
      <w:r>
        <w:rPr/>
        <w:t>real</w:t>
      </w:r>
      <w:r>
        <w:rPr>
          <w:spacing w:val="-3"/>
        </w:rPr>
        <w:t> </w:t>
      </w:r>
      <w:r>
        <w:rPr/>
        <w:t>estate</w:t>
      </w:r>
      <w:r>
        <w:rPr>
          <w:spacing w:val="-3"/>
        </w:rPr>
        <w:t> </w:t>
      </w:r>
      <w:r>
        <w:rPr/>
        <w:t>will</w:t>
      </w:r>
      <w:r>
        <w:rPr>
          <w:spacing w:val="-3"/>
        </w:rPr>
        <w:t> </w:t>
      </w:r>
      <w:r>
        <w:rPr/>
        <w:t>be</w:t>
      </w:r>
      <w:r>
        <w:rPr>
          <w:spacing w:val="-3"/>
        </w:rPr>
        <w:t> </w:t>
      </w:r>
      <w:r>
        <w:rPr/>
        <w:t>incurred</w:t>
      </w:r>
      <w:r>
        <w:rPr>
          <w:spacing w:val="-2"/>
        </w:rPr>
        <w:t> </w:t>
      </w:r>
      <w:r>
        <w:rPr/>
        <w:t>in the fourth quarter of 2023 and during 2024. Refer to Results of Operations – Total Expenses Excluding Interest and Item 1 – Note 10 for additional information.</w:t>
      </w:r>
    </w:p>
    <w:p>
      <w:pPr>
        <w:pStyle w:val="BodyText"/>
        <w:spacing w:before="14"/>
      </w:pPr>
    </w:p>
    <w:p>
      <w:pPr>
        <w:pStyle w:val="Heading2"/>
      </w:pPr>
      <w:bookmarkStart w:name="Current Regulatory and Other Development" w:id="8"/>
      <w:bookmarkEnd w:id="8"/>
      <w:r>
        <w:rPr>
          <w:b w:val="0"/>
        </w:rPr>
      </w:r>
      <w:r>
        <w:rPr/>
        <w:t>Current</w:t>
      </w:r>
      <w:r>
        <w:rPr>
          <w:spacing w:val="-4"/>
        </w:rPr>
        <w:t> </w:t>
      </w:r>
      <w:r>
        <w:rPr/>
        <w:t>Regulatory</w:t>
      </w:r>
      <w:r>
        <w:rPr>
          <w:spacing w:val="-4"/>
        </w:rPr>
        <w:t> </w:t>
      </w:r>
      <w:r>
        <w:rPr/>
        <w:t>and</w:t>
      </w:r>
      <w:r>
        <w:rPr>
          <w:spacing w:val="-5"/>
        </w:rPr>
        <w:t> </w:t>
      </w:r>
      <w:r>
        <w:rPr/>
        <w:t>Other</w:t>
      </w:r>
      <w:r>
        <w:rPr>
          <w:spacing w:val="-4"/>
        </w:rPr>
        <w:t> </w:t>
      </w:r>
      <w:r>
        <w:rPr>
          <w:spacing w:val="-2"/>
        </w:rPr>
        <w:t>Developments</w:t>
      </w:r>
    </w:p>
    <w:p>
      <w:pPr>
        <w:pStyle w:val="BodyText"/>
        <w:spacing w:before="20"/>
        <w:rPr>
          <w:b/>
        </w:rPr>
      </w:pPr>
    </w:p>
    <w:p>
      <w:pPr>
        <w:pStyle w:val="BodyText"/>
        <w:spacing w:line="249" w:lineRule="auto"/>
        <w:ind w:left="470" w:right="500"/>
      </w:pPr>
      <w:r>
        <w:rPr/>
        <w:t>In October 2023, following previous</w:t>
      </w:r>
      <w:r>
        <w:rPr>
          <w:spacing w:val="-1"/>
        </w:rPr>
        <w:t> </w:t>
      </w:r>
      <w:r>
        <w:rPr/>
        <w:t>attempts</w:t>
      </w:r>
      <w:r>
        <w:rPr>
          <w:spacing w:val="-1"/>
        </w:rPr>
        <w:t> </w:t>
      </w:r>
      <w:r>
        <w:rPr/>
        <w:t>to expand fiduciary regulation for broker-dealers, the</w:t>
      </w:r>
      <w:r>
        <w:rPr>
          <w:spacing w:val="-1"/>
        </w:rPr>
        <w:t> </w:t>
      </w:r>
      <w:r>
        <w:rPr/>
        <w:t>U.S. Department</w:t>
      </w:r>
      <w:r>
        <w:rPr>
          <w:spacing w:val="-1"/>
        </w:rPr>
        <w:t> </w:t>
      </w:r>
      <w:r>
        <w:rPr/>
        <w:t>of Labor released</w:t>
      </w:r>
      <w:r>
        <w:rPr>
          <w:spacing w:val="-5"/>
        </w:rPr>
        <w:t> </w:t>
      </w:r>
      <w:r>
        <w:rPr/>
        <w:t>a</w:t>
      </w:r>
      <w:r>
        <w:rPr>
          <w:spacing w:val="-4"/>
        </w:rPr>
        <w:t> </w:t>
      </w:r>
      <w:r>
        <w:rPr/>
        <w:t>proposed</w:t>
      </w:r>
      <w:r>
        <w:rPr>
          <w:spacing w:val="-3"/>
        </w:rPr>
        <w:t> </w:t>
      </w:r>
      <w:r>
        <w:rPr/>
        <w:t>rule</w:t>
      </w:r>
      <w:r>
        <w:rPr>
          <w:spacing w:val="-4"/>
        </w:rPr>
        <w:t> </w:t>
      </w:r>
      <w:r>
        <w:rPr/>
        <w:t>to</w:t>
      </w:r>
      <w:r>
        <w:rPr>
          <w:spacing w:val="-3"/>
        </w:rPr>
        <w:t> </w:t>
      </w:r>
      <w:r>
        <w:rPr/>
        <w:t>significantly</w:t>
      </w:r>
      <w:r>
        <w:rPr>
          <w:spacing w:val="-3"/>
        </w:rPr>
        <w:t> </w:t>
      </w:r>
      <w:r>
        <w:rPr/>
        <w:t>broaden</w:t>
      </w:r>
      <w:r>
        <w:rPr>
          <w:spacing w:val="-3"/>
        </w:rPr>
        <w:t> </w:t>
      </w:r>
      <w:r>
        <w:rPr/>
        <w:t>the</w:t>
      </w:r>
      <w:r>
        <w:rPr>
          <w:spacing w:val="-4"/>
        </w:rPr>
        <w:t> </w:t>
      </w:r>
      <w:r>
        <w:rPr/>
        <w:t>definition</w:t>
      </w:r>
      <w:r>
        <w:rPr>
          <w:spacing w:val="-2"/>
        </w:rPr>
        <w:t> </w:t>
      </w:r>
      <w:r>
        <w:rPr/>
        <w:t>of</w:t>
      </w:r>
      <w:r>
        <w:rPr>
          <w:spacing w:val="-3"/>
        </w:rPr>
        <w:t> </w:t>
      </w:r>
      <w:r>
        <w:rPr/>
        <w:t>“fiduciary”</w:t>
      </w:r>
      <w:r>
        <w:rPr>
          <w:spacing w:val="-4"/>
        </w:rPr>
        <w:t> </w:t>
      </w:r>
      <w:r>
        <w:rPr/>
        <w:t>under</w:t>
      </w:r>
      <w:r>
        <w:rPr>
          <w:spacing w:val="-3"/>
        </w:rPr>
        <w:t> </w:t>
      </w:r>
      <w:r>
        <w:rPr/>
        <w:t>the</w:t>
      </w:r>
      <w:r>
        <w:rPr>
          <w:spacing w:val="-4"/>
        </w:rPr>
        <w:t> </w:t>
      </w:r>
      <w:r>
        <w:rPr/>
        <w:t>Employee</w:t>
      </w:r>
      <w:r>
        <w:rPr>
          <w:spacing w:val="-4"/>
        </w:rPr>
        <w:t> </w:t>
      </w:r>
      <w:r>
        <w:rPr/>
        <w:t>Retirement</w:t>
      </w:r>
      <w:r>
        <w:rPr>
          <w:spacing w:val="-4"/>
        </w:rPr>
        <w:t> </w:t>
      </w:r>
      <w:r>
        <w:rPr/>
        <w:t>Income</w:t>
      </w:r>
      <w:r>
        <w:rPr>
          <w:spacing w:val="-3"/>
        </w:rPr>
        <w:t> </w:t>
      </w:r>
      <w:r>
        <w:rPr>
          <w:spacing w:val="-2"/>
        </w:rPr>
        <w:t>Security</w:t>
      </w:r>
    </w:p>
    <w:p>
      <w:pPr>
        <w:spacing w:after="0" w:line="249" w:lineRule="auto"/>
        <w:sectPr>
          <w:pgSz w:w="12240" w:h="15840"/>
          <w:pgMar w:header="512" w:footer="201" w:top="1180" w:bottom="400" w:left="520" w:right="520"/>
        </w:sectPr>
      </w:pPr>
    </w:p>
    <w:p>
      <w:pPr>
        <w:pStyle w:val="BodyText"/>
        <w:spacing w:line="249" w:lineRule="auto" w:before="211"/>
        <w:ind w:left="470" w:right="761"/>
      </w:pPr>
      <w:r>
        <w:rPr/>
        <w:t>Act of 1974. Among other requirements, the proposed rule would subject broker-dealers who provide non-discretionary investment</w:t>
      </w:r>
      <w:r>
        <w:rPr>
          <w:spacing w:val="-4"/>
        </w:rPr>
        <w:t> </w:t>
      </w:r>
      <w:r>
        <w:rPr/>
        <w:t>advice</w:t>
      </w:r>
      <w:r>
        <w:rPr>
          <w:spacing w:val="-4"/>
        </w:rPr>
        <w:t> </w:t>
      </w:r>
      <w:r>
        <w:rPr/>
        <w:t>to</w:t>
      </w:r>
      <w:r>
        <w:rPr>
          <w:spacing w:val="-3"/>
        </w:rPr>
        <w:t> </w:t>
      </w:r>
      <w:r>
        <w:rPr/>
        <w:t>retirement</w:t>
      </w:r>
      <w:r>
        <w:rPr>
          <w:spacing w:val="-4"/>
        </w:rPr>
        <w:t> </w:t>
      </w:r>
      <w:r>
        <w:rPr/>
        <w:t>plans</w:t>
      </w:r>
      <w:r>
        <w:rPr>
          <w:spacing w:val="-4"/>
        </w:rPr>
        <w:t> </w:t>
      </w:r>
      <w:r>
        <w:rPr/>
        <w:t>and</w:t>
      </w:r>
      <w:r>
        <w:rPr>
          <w:spacing w:val="-3"/>
        </w:rPr>
        <w:t> </w:t>
      </w:r>
      <w:r>
        <w:rPr/>
        <w:t>accounts</w:t>
      </w:r>
      <w:r>
        <w:rPr>
          <w:spacing w:val="-4"/>
        </w:rPr>
        <w:t> </w:t>
      </w:r>
      <w:r>
        <w:rPr/>
        <w:t>to</w:t>
      </w:r>
      <w:r>
        <w:rPr>
          <w:spacing w:val="-3"/>
        </w:rPr>
        <w:t> </w:t>
      </w:r>
      <w:r>
        <w:rPr/>
        <w:t>a</w:t>
      </w:r>
      <w:r>
        <w:rPr>
          <w:spacing w:val="-4"/>
        </w:rPr>
        <w:t> </w:t>
      </w:r>
      <w:r>
        <w:rPr/>
        <w:t>“best</w:t>
      </w:r>
      <w:r>
        <w:rPr>
          <w:spacing w:val="-4"/>
        </w:rPr>
        <w:t> </w:t>
      </w:r>
      <w:r>
        <w:rPr/>
        <w:t>interest”</w:t>
      </w:r>
      <w:r>
        <w:rPr>
          <w:spacing w:val="-4"/>
        </w:rPr>
        <w:t> </w:t>
      </w:r>
      <w:r>
        <w:rPr/>
        <w:t>standard.</w:t>
      </w:r>
      <w:r>
        <w:rPr>
          <w:spacing w:val="-3"/>
        </w:rPr>
        <w:t> </w:t>
      </w:r>
      <w:r>
        <w:rPr/>
        <w:t>The</w:t>
      </w:r>
      <w:r>
        <w:rPr>
          <w:spacing w:val="-4"/>
        </w:rPr>
        <w:t> </w:t>
      </w:r>
      <w:r>
        <w:rPr/>
        <w:t>Company</w:t>
      </w:r>
      <w:r>
        <w:rPr>
          <w:spacing w:val="-3"/>
        </w:rPr>
        <w:t> </w:t>
      </w:r>
      <w:r>
        <w:rPr/>
        <w:t>is</w:t>
      </w:r>
      <w:r>
        <w:rPr>
          <w:spacing w:val="-4"/>
        </w:rPr>
        <w:t> </w:t>
      </w:r>
      <w:r>
        <w:rPr/>
        <w:t>currently</w:t>
      </w:r>
      <w:r>
        <w:rPr>
          <w:spacing w:val="-3"/>
        </w:rPr>
        <w:t> </w:t>
      </w:r>
      <w:r>
        <w:rPr/>
        <w:t>evaluating</w:t>
      </w:r>
      <w:r>
        <w:rPr>
          <w:spacing w:val="-3"/>
        </w:rPr>
        <w:t> </w:t>
      </w:r>
      <w:r>
        <w:rPr/>
        <w:t>the impact of the proposed rule.</w:t>
      </w:r>
    </w:p>
    <w:p>
      <w:pPr>
        <w:pStyle w:val="BodyText"/>
        <w:spacing w:before="12"/>
      </w:pPr>
    </w:p>
    <w:p>
      <w:pPr>
        <w:pStyle w:val="BodyText"/>
        <w:spacing w:line="249" w:lineRule="auto" w:before="1"/>
        <w:ind w:left="470" w:right="500"/>
      </w:pPr>
      <w:r>
        <w:rPr/>
        <w:t>In October 2023, the</w:t>
      </w:r>
      <w:r>
        <w:rPr>
          <w:spacing w:val="-1"/>
        </w:rPr>
        <w:t> </w:t>
      </w:r>
      <w:r>
        <w:rPr/>
        <w:t>Board of Governors</w:t>
      </w:r>
      <w:r>
        <w:rPr>
          <w:spacing w:val="-1"/>
        </w:rPr>
        <w:t> </w:t>
      </w:r>
      <w:r>
        <w:rPr/>
        <w:t>of the</w:t>
      </w:r>
      <w:r>
        <w:rPr>
          <w:spacing w:val="-1"/>
        </w:rPr>
        <w:t> </w:t>
      </w:r>
      <w:r>
        <w:rPr/>
        <w:t>Federal</w:t>
      </w:r>
      <w:r>
        <w:rPr>
          <w:spacing w:val="-1"/>
        </w:rPr>
        <w:t> </w:t>
      </w:r>
      <w:r>
        <w:rPr/>
        <w:t>Reserve</w:t>
      </w:r>
      <w:r>
        <w:rPr>
          <w:spacing w:val="-1"/>
        </w:rPr>
        <w:t> </w:t>
      </w:r>
      <w:r>
        <w:rPr/>
        <w:t>System, in collaboration with the</w:t>
      </w:r>
      <w:r>
        <w:rPr>
          <w:spacing w:val="-1"/>
        </w:rPr>
        <w:t> </w:t>
      </w:r>
      <w:r>
        <w:rPr/>
        <w:t>Office</w:t>
      </w:r>
      <w:r>
        <w:rPr>
          <w:spacing w:val="-1"/>
        </w:rPr>
        <w:t> </w:t>
      </w:r>
      <w:r>
        <w:rPr/>
        <w:t>of the</w:t>
      </w:r>
      <w:r>
        <w:rPr>
          <w:spacing w:val="-1"/>
        </w:rPr>
        <w:t> </w:t>
      </w:r>
      <w:r>
        <w:rPr/>
        <w:t>Comptroller of the Currency and the FDIC, issued a final rule that makes extensive revisions to the regulations implementing the Community Reinvestment Act (CRA). These revisions include </w:t>
      </w:r>
      <w:r>
        <w:rPr>
          <w:color w:val="202020"/>
        </w:rPr>
        <w:t>the delineation of assessment areas, the overall evaluation framework and performance standards and metrics, the definition of community development activities and data collection and reporting, and requires</w:t>
      </w:r>
      <w:r>
        <w:rPr>
          <w:color w:val="202020"/>
          <w:spacing w:val="-4"/>
        </w:rPr>
        <w:t> </w:t>
      </w:r>
      <w:r>
        <w:rPr>
          <w:color w:val="202020"/>
        </w:rPr>
        <w:t>significant</w:t>
      </w:r>
      <w:r>
        <w:rPr>
          <w:color w:val="202020"/>
          <w:spacing w:val="-4"/>
        </w:rPr>
        <w:t> </w:t>
      </w:r>
      <w:r>
        <w:rPr>
          <w:color w:val="202020"/>
        </w:rPr>
        <w:t>new</w:t>
      </w:r>
      <w:r>
        <w:rPr>
          <w:color w:val="202020"/>
          <w:spacing w:val="-4"/>
        </w:rPr>
        <w:t> </w:t>
      </w:r>
      <w:r>
        <w:rPr>
          <w:color w:val="202020"/>
        </w:rPr>
        <w:t>lending</w:t>
      </w:r>
      <w:r>
        <w:rPr>
          <w:color w:val="202020"/>
          <w:spacing w:val="-3"/>
        </w:rPr>
        <w:t> </w:t>
      </w:r>
      <w:r>
        <w:rPr>
          <w:color w:val="202020"/>
        </w:rPr>
        <w:t>by</w:t>
      </w:r>
      <w:r>
        <w:rPr>
          <w:color w:val="202020"/>
          <w:spacing w:val="-3"/>
        </w:rPr>
        <w:t> </w:t>
      </w:r>
      <w:r>
        <w:rPr>
          <w:color w:val="202020"/>
        </w:rPr>
        <w:t>banks</w:t>
      </w:r>
      <w:r>
        <w:rPr>
          <w:color w:val="202020"/>
          <w:spacing w:val="-4"/>
        </w:rPr>
        <w:t> </w:t>
      </w:r>
      <w:r>
        <w:rPr>
          <w:color w:val="202020"/>
        </w:rPr>
        <w:t>to</w:t>
      </w:r>
      <w:r>
        <w:rPr>
          <w:color w:val="202020"/>
          <w:spacing w:val="-3"/>
        </w:rPr>
        <w:t> </w:t>
      </w:r>
      <w:r>
        <w:rPr>
          <w:color w:val="202020"/>
        </w:rPr>
        <w:t>low-and-moderate</w:t>
      </w:r>
      <w:r>
        <w:rPr>
          <w:color w:val="202020"/>
          <w:spacing w:val="-4"/>
        </w:rPr>
        <w:t> </w:t>
      </w:r>
      <w:r>
        <w:rPr>
          <w:color w:val="202020"/>
        </w:rPr>
        <w:t>income</w:t>
      </w:r>
      <w:r>
        <w:rPr>
          <w:color w:val="202020"/>
          <w:spacing w:val="-4"/>
        </w:rPr>
        <w:t> </w:t>
      </w:r>
      <w:r>
        <w:rPr>
          <w:color w:val="202020"/>
        </w:rPr>
        <w:t>communities.</w:t>
      </w:r>
      <w:r>
        <w:rPr>
          <w:color w:val="202020"/>
          <w:spacing w:val="-3"/>
        </w:rPr>
        <w:t> </w:t>
      </w:r>
      <w:r>
        <w:rPr>
          <w:color w:val="202020"/>
        </w:rPr>
        <w:t>The</w:t>
      </w:r>
      <w:r>
        <w:rPr>
          <w:color w:val="202020"/>
          <w:spacing w:val="-4"/>
        </w:rPr>
        <w:t> </w:t>
      </w:r>
      <w:r>
        <w:rPr/>
        <w:t>new</w:t>
      </w:r>
      <w:r>
        <w:rPr>
          <w:spacing w:val="-4"/>
        </w:rPr>
        <w:t> </w:t>
      </w:r>
      <w:r>
        <w:rPr/>
        <w:t>rule</w:t>
      </w:r>
      <w:r>
        <w:rPr>
          <w:spacing w:val="-4"/>
        </w:rPr>
        <w:t> </w:t>
      </w:r>
      <w:r>
        <w:rPr/>
        <w:t>generally</w:t>
      </w:r>
      <w:r>
        <w:rPr>
          <w:spacing w:val="-3"/>
        </w:rPr>
        <w:t> </w:t>
      </w:r>
      <w:r>
        <w:rPr/>
        <w:t>becomes</w:t>
      </w:r>
      <w:r>
        <w:rPr>
          <w:spacing w:val="-4"/>
        </w:rPr>
        <w:t> </w:t>
      </w:r>
      <w:r>
        <w:rPr/>
        <w:t>effective on January 1, 2026, with its additional data collection and reporting requirements effective January 1, 2027. The Company is evaluating the impact of the new rule, but does not expect it to have a material impact on the Company’s business, financial condition, or results of operations.</w:t>
      </w:r>
    </w:p>
    <w:p>
      <w:pPr>
        <w:pStyle w:val="BodyText"/>
      </w:pPr>
    </w:p>
    <w:p>
      <w:pPr>
        <w:pStyle w:val="BodyText"/>
        <w:spacing w:line="249" w:lineRule="auto"/>
        <w:ind w:left="470" w:right="548"/>
      </w:pPr>
      <w:r>
        <w:rPr/>
        <w:t>In August 2023, the Board of Governors of the Federal Reserve System, in collaboration with the Office of the Comptroller of the Currency and the FDIC, issued a proposed rulemaking on long-term debt requirements for certain large banking organizations. Among other things, the proposed rule would require CSC to maintain outstanding minimum levels of eligible long-term debt, as defined by the proposed rule, issued externally. The proposed rule would also require our banking subsidiaries to maintain outstanding minimum levels of eligible long-term debt, which our banking subsidiaries would be required to issue internally to CSC. The proposed rule would be phased-in over a three-year transition period. The comment period</w:t>
      </w:r>
      <w:r>
        <w:rPr>
          <w:spacing w:val="-2"/>
        </w:rPr>
        <w:t> </w:t>
      </w:r>
      <w:r>
        <w:rPr/>
        <w:t>for</w:t>
      </w:r>
      <w:r>
        <w:rPr>
          <w:spacing w:val="-2"/>
        </w:rPr>
        <w:t> </w:t>
      </w:r>
      <w:r>
        <w:rPr/>
        <w:t>the</w:t>
      </w:r>
      <w:r>
        <w:rPr>
          <w:spacing w:val="-3"/>
        </w:rPr>
        <w:t> </w:t>
      </w:r>
      <w:r>
        <w:rPr/>
        <w:t>proposed</w:t>
      </w:r>
      <w:r>
        <w:rPr>
          <w:spacing w:val="-2"/>
        </w:rPr>
        <w:t> </w:t>
      </w:r>
      <w:r>
        <w:rPr/>
        <w:t>rule</w:t>
      </w:r>
      <w:r>
        <w:rPr>
          <w:spacing w:val="-3"/>
        </w:rPr>
        <w:t> </w:t>
      </w:r>
      <w:r>
        <w:rPr/>
        <w:t>ends</w:t>
      </w:r>
      <w:r>
        <w:rPr>
          <w:spacing w:val="-3"/>
        </w:rPr>
        <w:t> </w:t>
      </w:r>
      <w:r>
        <w:rPr/>
        <w:t>on</w:t>
      </w:r>
      <w:r>
        <w:rPr>
          <w:spacing w:val="-2"/>
        </w:rPr>
        <w:t> </w:t>
      </w:r>
      <w:r>
        <w:rPr/>
        <w:t>November</w:t>
      </w:r>
      <w:r>
        <w:rPr>
          <w:spacing w:val="-2"/>
        </w:rPr>
        <w:t> </w:t>
      </w:r>
      <w:r>
        <w:rPr/>
        <w:t>30,</w:t>
      </w:r>
      <w:r>
        <w:rPr>
          <w:spacing w:val="-2"/>
        </w:rPr>
        <w:t> </w:t>
      </w:r>
      <w:r>
        <w:rPr/>
        <w:t>2023</w:t>
      </w:r>
      <w:r>
        <w:rPr>
          <w:spacing w:val="-2"/>
        </w:rPr>
        <w:t> </w:t>
      </w:r>
      <w:r>
        <w:rPr/>
        <w:t>and</w:t>
      </w:r>
      <w:r>
        <w:rPr>
          <w:spacing w:val="-2"/>
        </w:rPr>
        <w:t> </w:t>
      </w:r>
      <w:r>
        <w:rPr/>
        <w:t>the</w:t>
      </w:r>
      <w:r>
        <w:rPr>
          <w:spacing w:val="-3"/>
        </w:rPr>
        <w:t> </w:t>
      </w:r>
      <w:r>
        <w:rPr/>
        <w:t>rule</w:t>
      </w:r>
      <w:r>
        <w:rPr>
          <w:spacing w:val="-3"/>
        </w:rPr>
        <w:t> </w:t>
      </w:r>
      <w:r>
        <w:rPr/>
        <w:t>proposal</w:t>
      </w:r>
      <w:r>
        <w:rPr>
          <w:spacing w:val="-3"/>
        </w:rPr>
        <w:t> </w:t>
      </w:r>
      <w:r>
        <w:rPr/>
        <w:t>is</w:t>
      </w:r>
      <w:r>
        <w:rPr>
          <w:spacing w:val="-3"/>
        </w:rPr>
        <w:t> </w:t>
      </w:r>
      <w:r>
        <w:rPr/>
        <w:t>subject</w:t>
      </w:r>
      <w:r>
        <w:rPr>
          <w:spacing w:val="-3"/>
        </w:rPr>
        <w:t> </w:t>
      </w:r>
      <w:r>
        <w:rPr/>
        <w:t>to</w:t>
      </w:r>
      <w:r>
        <w:rPr>
          <w:spacing w:val="-2"/>
        </w:rPr>
        <w:t> </w:t>
      </w:r>
      <w:r>
        <w:rPr/>
        <w:t>further</w:t>
      </w:r>
      <w:r>
        <w:rPr>
          <w:spacing w:val="-2"/>
        </w:rPr>
        <w:t> </w:t>
      </w:r>
      <w:r>
        <w:rPr/>
        <w:t>modification.</w:t>
      </w:r>
      <w:r>
        <w:rPr>
          <w:spacing w:val="-2"/>
        </w:rPr>
        <w:t> </w:t>
      </w:r>
      <w:r>
        <w:rPr/>
        <w:t>The</w:t>
      </w:r>
      <w:r>
        <w:rPr>
          <w:spacing w:val="-3"/>
        </w:rPr>
        <w:t> </w:t>
      </w:r>
      <w:r>
        <w:rPr/>
        <w:t>Company is</w:t>
      </w:r>
      <w:r>
        <w:rPr>
          <w:spacing w:val="-3"/>
        </w:rPr>
        <w:t> </w:t>
      </w:r>
      <w:r>
        <w:rPr/>
        <w:t>currently</w:t>
      </w:r>
      <w:r>
        <w:rPr>
          <w:spacing w:val="-2"/>
        </w:rPr>
        <w:t> </w:t>
      </w:r>
      <w:r>
        <w:rPr/>
        <w:t>evaluating</w:t>
      </w:r>
      <w:r>
        <w:rPr>
          <w:spacing w:val="-2"/>
        </w:rPr>
        <w:t> </w:t>
      </w:r>
      <w:r>
        <w:rPr/>
        <w:t>the</w:t>
      </w:r>
      <w:r>
        <w:rPr>
          <w:spacing w:val="-3"/>
        </w:rPr>
        <w:t> </w:t>
      </w:r>
      <w:r>
        <w:rPr/>
        <w:t>impact</w:t>
      </w:r>
      <w:r>
        <w:rPr>
          <w:spacing w:val="-3"/>
        </w:rPr>
        <w:t> </w:t>
      </w:r>
      <w:r>
        <w:rPr/>
        <w:t>of</w:t>
      </w:r>
      <w:r>
        <w:rPr>
          <w:spacing w:val="-2"/>
        </w:rPr>
        <w:t> </w:t>
      </w:r>
      <w:r>
        <w:rPr/>
        <w:t>the</w:t>
      </w:r>
      <w:r>
        <w:rPr>
          <w:spacing w:val="-3"/>
        </w:rPr>
        <w:t> </w:t>
      </w:r>
      <w:r>
        <w:rPr/>
        <w:t>proposed</w:t>
      </w:r>
      <w:r>
        <w:rPr>
          <w:spacing w:val="-2"/>
        </w:rPr>
        <w:t> </w:t>
      </w:r>
      <w:r>
        <w:rPr/>
        <w:t>rule,</w:t>
      </w:r>
      <w:r>
        <w:rPr>
          <w:spacing w:val="-2"/>
        </w:rPr>
        <w:t> </w:t>
      </w:r>
      <w:r>
        <w:rPr/>
        <w:t>which</w:t>
      </w:r>
      <w:r>
        <w:rPr>
          <w:spacing w:val="-2"/>
        </w:rPr>
        <w:t> </w:t>
      </w:r>
      <w:r>
        <w:rPr/>
        <w:t>would</w:t>
      </w:r>
      <w:r>
        <w:rPr>
          <w:spacing w:val="-2"/>
        </w:rPr>
        <w:t> </w:t>
      </w:r>
      <w:r>
        <w:rPr/>
        <w:t>interact</w:t>
      </w:r>
      <w:r>
        <w:rPr>
          <w:spacing w:val="-3"/>
        </w:rPr>
        <w:t> </w:t>
      </w:r>
      <w:r>
        <w:rPr/>
        <w:t>with</w:t>
      </w:r>
      <w:r>
        <w:rPr>
          <w:spacing w:val="-2"/>
        </w:rPr>
        <w:t> </w:t>
      </w:r>
      <w:r>
        <w:rPr/>
        <w:t>the</w:t>
      </w:r>
      <w:r>
        <w:rPr>
          <w:spacing w:val="-3"/>
        </w:rPr>
        <w:t> </w:t>
      </w:r>
      <w:r>
        <w:rPr/>
        <w:t>final</w:t>
      </w:r>
      <w:r>
        <w:rPr>
          <w:spacing w:val="-3"/>
        </w:rPr>
        <w:t> </w:t>
      </w:r>
      <w:r>
        <w:rPr/>
        <w:t>provisions</w:t>
      </w:r>
      <w:r>
        <w:rPr>
          <w:spacing w:val="-3"/>
        </w:rPr>
        <w:t> </w:t>
      </w:r>
      <w:r>
        <w:rPr/>
        <w:t>of</w:t>
      </w:r>
      <w:r>
        <w:rPr>
          <w:spacing w:val="-2"/>
        </w:rPr>
        <w:t> </w:t>
      </w:r>
      <w:r>
        <w:rPr/>
        <w:t>the</w:t>
      </w:r>
      <w:r>
        <w:rPr>
          <w:spacing w:val="-3"/>
        </w:rPr>
        <w:t> </w:t>
      </w:r>
      <w:r>
        <w:rPr/>
        <w:t>currently</w:t>
      </w:r>
      <w:r>
        <w:rPr>
          <w:spacing w:val="-2"/>
        </w:rPr>
        <w:t> </w:t>
      </w:r>
      <w:r>
        <w:rPr/>
        <w:t>proposed amendments to the regulatory capital rules discussed below.</w:t>
      </w:r>
    </w:p>
    <w:p>
      <w:pPr>
        <w:pStyle w:val="BodyText"/>
        <w:spacing w:before="17"/>
      </w:pPr>
    </w:p>
    <w:p>
      <w:pPr>
        <w:pStyle w:val="BodyText"/>
        <w:spacing w:line="249" w:lineRule="auto" w:before="1"/>
        <w:ind w:left="470" w:right="470"/>
      </w:pPr>
      <w:r>
        <w:rPr/>
        <w:t>In July 2023, the Board of Governors of the Federal Reserve System, in collaboration with the Office of the Comptroller of the Currency and the FDIC, issued a notice of proposed rulemaking for amendments to the regulatory capital rules. Among other things,</w:t>
      </w:r>
      <w:r>
        <w:rPr>
          <w:spacing w:val="-3"/>
        </w:rPr>
        <w:t> </w:t>
      </w:r>
      <w:r>
        <w:rPr/>
        <w:t>the</w:t>
      </w:r>
      <w:r>
        <w:rPr>
          <w:spacing w:val="-3"/>
        </w:rPr>
        <w:t> </w:t>
      </w:r>
      <w:r>
        <w:rPr/>
        <w:t>proposed</w:t>
      </w:r>
      <w:r>
        <w:rPr>
          <w:spacing w:val="-3"/>
        </w:rPr>
        <w:t> </w:t>
      </w:r>
      <w:r>
        <w:rPr/>
        <w:t>rules</w:t>
      </w:r>
      <w:r>
        <w:rPr>
          <w:spacing w:val="-3"/>
        </w:rPr>
        <w:t> </w:t>
      </w:r>
      <w:r>
        <w:rPr/>
        <w:t>would</w:t>
      </w:r>
      <w:r>
        <w:rPr>
          <w:spacing w:val="-3"/>
        </w:rPr>
        <w:t> </w:t>
      </w:r>
      <w:r>
        <w:rPr/>
        <w:t>require</w:t>
      </w:r>
      <w:r>
        <w:rPr>
          <w:spacing w:val="-3"/>
        </w:rPr>
        <w:t> </w:t>
      </w:r>
      <w:r>
        <w:rPr/>
        <w:t>us</w:t>
      </w:r>
      <w:r>
        <w:rPr>
          <w:spacing w:val="-3"/>
        </w:rPr>
        <w:t> </w:t>
      </w:r>
      <w:r>
        <w:rPr/>
        <w:t>to</w:t>
      </w:r>
      <w:r>
        <w:rPr>
          <w:spacing w:val="-3"/>
        </w:rPr>
        <w:t> </w:t>
      </w:r>
      <w:r>
        <w:rPr/>
        <w:t>include</w:t>
      </w:r>
      <w:r>
        <w:rPr>
          <w:spacing w:val="-3"/>
        </w:rPr>
        <w:t> </w:t>
      </w:r>
      <w:r>
        <w:rPr/>
        <w:t>AOCI</w:t>
      </w:r>
      <w:r>
        <w:rPr>
          <w:spacing w:val="-3"/>
        </w:rPr>
        <w:t> </w:t>
      </w:r>
      <w:r>
        <w:rPr/>
        <w:t>in</w:t>
      </w:r>
      <w:r>
        <w:rPr>
          <w:spacing w:val="-3"/>
        </w:rPr>
        <w:t> </w:t>
      </w:r>
      <w:r>
        <w:rPr/>
        <w:t>regulatory</w:t>
      </w:r>
      <w:r>
        <w:rPr>
          <w:spacing w:val="-3"/>
        </w:rPr>
        <w:t> </w:t>
      </w:r>
      <w:r>
        <w:rPr/>
        <w:t>capital</w:t>
      </w:r>
      <w:r>
        <w:rPr>
          <w:spacing w:val="-3"/>
        </w:rPr>
        <w:t> </w:t>
      </w:r>
      <w:r>
        <w:rPr/>
        <w:t>and</w:t>
      </w:r>
      <w:r>
        <w:rPr>
          <w:spacing w:val="-3"/>
        </w:rPr>
        <w:t> </w:t>
      </w:r>
      <w:r>
        <w:rPr/>
        <w:t>to</w:t>
      </w:r>
      <w:r>
        <w:rPr>
          <w:spacing w:val="-3"/>
        </w:rPr>
        <w:t> </w:t>
      </w:r>
      <w:r>
        <w:rPr/>
        <w:t>calculate</w:t>
      </w:r>
      <w:r>
        <w:rPr>
          <w:spacing w:val="-3"/>
        </w:rPr>
        <w:t> </w:t>
      </w:r>
      <w:r>
        <w:rPr/>
        <w:t>our</w:t>
      </w:r>
      <w:r>
        <w:rPr>
          <w:spacing w:val="-3"/>
        </w:rPr>
        <w:t> </w:t>
      </w:r>
      <w:r>
        <w:rPr/>
        <w:t>risk-weighted</w:t>
      </w:r>
      <w:r>
        <w:rPr>
          <w:spacing w:val="-3"/>
        </w:rPr>
        <w:t> </w:t>
      </w:r>
      <w:r>
        <w:rPr/>
        <w:t>assets</w:t>
      </w:r>
      <w:r>
        <w:rPr>
          <w:spacing w:val="-3"/>
        </w:rPr>
        <w:t> </w:t>
      </w:r>
      <w:r>
        <w:rPr/>
        <w:t>using a revised risk-based approach, a component of which is based on operational risk, phased in over a three-year transition period beginning July 1, 2025 and ending July 1, 2028. The comment period for the proposed rules was extended and will end on January 16, 2024.</w:t>
      </w:r>
    </w:p>
    <w:p>
      <w:pPr>
        <w:pStyle w:val="BodyText"/>
        <w:spacing w:before="14"/>
      </w:pPr>
    </w:p>
    <w:p>
      <w:pPr>
        <w:pStyle w:val="BodyText"/>
        <w:spacing w:line="249" w:lineRule="auto" w:before="1"/>
        <w:ind w:left="470" w:right="500"/>
      </w:pPr>
      <w:r>
        <w:rPr/>
        <w:t>In May 2023, the FDIC issued a notice of proposed rulemaking that would impose a special assessment to recover losses incurred by the</w:t>
      </w:r>
      <w:r>
        <w:rPr>
          <w:spacing w:val="-1"/>
        </w:rPr>
        <w:t> </w:t>
      </w:r>
      <w:r>
        <w:rPr/>
        <w:t>Deposit</w:t>
      </w:r>
      <w:r>
        <w:rPr>
          <w:spacing w:val="-1"/>
        </w:rPr>
        <w:t> </w:t>
      </w:r>
      <w:r>
        <w:rPr/>
        <w:t>Insurance</w:t>
      </w:r>
      <w:r>
        <w:rPr>
          <w:spacing w:val="-1"/>
        </w:rPr>
        <w:t> </w:t>
      </w:r>
      <w:r>
        <w:rPr/>
        <w:t>Fund to protect</w:t>
      </w:r>
      <w:r>
        <w:rPr>
          <w:spacing w:val="-1"/>
        </w:rPr>
        <w:t> </w:t>
      </w:r>
      <w:r>
        <w:rPr/>
        <w:t>uninsured depositors</w:t>
      </w:r>
      <w:r>
        <w:rPr>
          <w:spacing w:val="-1"/>
        </w:rPr>
        <w:t> </w:t>
      </w:r>
      <w:r>
        <w:rPr/>
        <w:t>due</w:t>
      </w:r>
      <w:r>
        <w:rPr>
          <w:spacing w:val="-1"/>
        </w:rPr>
        <w:t> </w:t>
      </w:r>
      <w:r>
        <w:rPr/>
        <w:t>to the</w:t>
      </w:r>
      <w:r>
        <w:rPr>
          <w:spacing w:val="-1"/>
        </w:rPr>
        <w:t> </w:t>
      </w:r>
      <w:r>
        <w:rPr/>
        <w:t>March 2023 closures</w:t>
      </w:r>
      <w:r>
        <w:rPr>
          <w:spacing w:val="-1"/>
        </w:rPr>
        <w:t> </w:t>
      </w:r>
      <w:r>
        <w:rPr/>
        <w:t>of two banks. Based on the proposed rule, the Company estimates its total special assessment would be approximately $160 million, which would be paid</w:t>
      </w:r>
      <w:r>
        <w:rPr>
          <w:spacing w:val="-2"/>
        </w:rPr>
        <w:t> </w:t>
      </w:r>
      <w:r>
        <w:rPr/>
        <w:t>over</w:t>
      </w:r>
      <w:r>
        <w:rPr>
          <w:spacing w:val="-2"/>
        </w:rPr>
        <w:t> </w:t>
      </w:r>
      <w:r>
        <w:rPr/>
        <w:t>eight</w:t>
      </w:r>
      <w:r>
        <w:rPr>
          <w:spacing w:val="-3"/>
        </w:rPr>
        <w:t> </w:t>
      </w:r>
      <w:r>
        <w:rPr/>
        <w:t>quarters</w:t>
      </w:r>
      <w:r>
        <w:rPr>
          <w:spacing w:val="-3"/>
        </w:rPr>
        <w:t> </w:t>
      </w:r>
      <w:r>
        <w:rPr/>
        <w:t>beginning</w:t>
      </w:r>
      <w:r>
        <w:rPr>
          <w:spacing w:val="-2"/>
        </w:rPr>
        <w:t> </w:t>
      </w:r>
      <w:r>
        <w:rPr/>
        <w:t>in</w:t>
      </w:r>
      <w:r>
        <w:rPr>
          <w:spacing w:val="-2"/>
        </w:rPr>
        <w:t> </w:t>
      </w:r>
      <w:r>
        <w:rPr/>
        <w:t>the</w:t>
      </w:r>
      <w:r>
        <w:rPr>
          <w:spacing w:val="-3"/>
        </w:rPr>
        <w:t> </w:t>
      </w:r>
      <w:r>
        <w:rPr/>
        <w:t>first</w:t>
      </w:r>
      <w:r>
        <w:rPr>
          <w:spacing w:val="-3"/>
        </w:rPr>
        <w:t> </w:t>
      </w:r>
      <w:r>
        <w:rPr/>
        <w:t>quarter</w:t>
      </w:r>
      <w:r>
        <w:rPr>
          <w:spacing w:val="-2"/>
        </w:rPr>
        <w:t> </w:t>
      </w:r>
      <w:r>
        <w:rPr/>
        <w:t>of</w:t>
      </w:r>
      <w:r>
        <w:rPr>
          <w:spacing w:val="-2"/>
        </w:rPr>
        <w:t> </w:t>
      </w:r>
      <w:r>
        <w:rPr/>
        <w:t>2024.</w:t>
      </w:r>
      <w:r>
        <w:rPr>
          <w:spacing w:val="-2"/>
        </w:rPr>
        <w:t> </w:t>
      </w:r>
      <w:r>
        <w:rPr/>
        <w:t>Any</w:t>
      </w:r>
      <w:r>
        <w:rPr>
          <w:spacing w:val="-2"/>
        </w:rPr>
        <w:t> </w:t>
      </w:r>
      <w:r>
        <w:rPr/>
        <w:t>special</w:t>
      </w:r>
      <w:r>
        <w:rPr>
          <w:spacing w:val="-3"/>
        </w:rPr>
        <w:t> </w:t>
      </w:r>
      <w:r>
        <w:rPr/>
        <w:t>assessment</w:t>
      </w:r>
      <w:r>
        <w:rPr>
          <w:spacing w:val="-3"/>
        </w:rPr>
        <w:t> </w:t>
      </w:r>
      <w:r>
        <w:rPr/>
        <w:t>will</w:t>
      </w:r>
      <w:r>
        <w:rPr>
          <w:spacing w:val="-3"/>
        </w:rPr>
        <w:t> </w:t>
      </w:r>
      <w:r>
        <w:rPr/>
        <w:t>be</w:t>
      </w:r>
      <w:r>
        <w:rPr>
          <w:spacing w:val="-3"/>
        </w:rPr>
        <w:t> </w:t>
      </w:r>
      <w:r>
        <w:rPr/>
        <w:t>recognized</w:t>
      </w:r>
      <w:r>
        <w:rPr>
          <w:spacing w:val="-2"/>
        </w:rPr>
        <w:t> </w:t>
      </w:r>
      <w:r>
        <w:rPr/>
        <w:t>fully</w:t>
      </w:r>
      <w:r>
        <w:rPr>
          <w:spacing w:val="-2"/>
        </w:rPr>
        <w:t> </w:t>
      </w:r>
      <w:r>
        <w:rPr/>
        <w:t>in</w:t>
      </w:r>
      <w:r>
        <w:rPr>
          <w:spacing w:val="-2"/>
        </w:rPr>
        <w:t> </w:t>
      </w:r>
      <w:r>
        <w:rPr/>
        <w:t>earnings</w:t>
      </w:r>
      <w:r>
        <w:rPr>
          <w:spacing w:val="-3"/>
        </w:rPr>
        <w:t> </w:t>
      </w:r>
      <w:r>
        <w:rPr/>
        <w:t>upon enactment of a final rule.</w:t>
      </w:r>
    </w:p>
    <w:p>
      <w:pPr>
        <w:pStyle w:val="BodyText"/>
        <w:spacing w:before="14"/>
      </w:pPr>
    </w:p>
    <w:p>
      <w:pPr>
        <w:pStyle w:val="BodyText"/>
        <w:spacing w:line="249" w:lineRule="auto"/>
        <w:ind w:left="470" w:right="500"/>
      </w:pPr>
      <w:r>
        <w:rPr/>
        <w:t>In</w:t>
      </w:r>
      <w:r>
        <w:rPr>
          <w:spacing w:val="-2"/>
        </w:rPr>
        <w:t> </w:t>
      </w:r>
      <w:r>
        <w:rPr/>
        <w:t>December</w:t>
      </w:r>
      <w:r>
        <w:rPr>
          <w:spacing w:val="-2"/>
        </w:rPr>
        <w:t> </w:t>
      </w:r>
      <w:r>
        <w:rPr/>
        <w:t>2022,</w:t>
      </w:r>
      <w:r>
        <w:rPr>
          <w:spacing w:val="-2"/>
        </w:rPr>
        <w:t> </w:t>
      </w:r>
      <w:r>
        <w:rPr/>
        <w:t>the</w:t>
      </w:r>
      <w:r>
        <w:rPr>
          <w:spacing w:val="-3"/>
        </w:rPr>
        <w:t> </w:t>
      </w:r>
      <w:r>
        <w:rPr/>
        <w:t>SEC</w:t>
      </w:r>
      <w:r>
        <w:rPr>
          <w:spacing w:val="-3"/>
        </w:rPr>
        <w:t> </w:t>
      </w:r>
      <w:r>
        <w:rPr/>
        <w:t>proposed</w:t>
      </w:r>
      <w:r>
        <w:rPr>
          <w:spacing w:val="-2"/>
        </w:rPr>
        <w:t> </w:t>
      </w:r>
      <w:r>
        <w:rPr/>
        <w:t>a</w:t>
      </w:r>
      <w:r>
        <w:rPr>
          <w:spacing w:val="-3"/>
        </w:rPr>
        <w:t> </w:t>
      </w:r>
      <w:r>
        <w:rPr/>
        <w:t>set</w:t>
      </w:r>
      <w:r>
        <w:rPr>
          <w:spacing w:val="-3"/>
        </w:rPr>
        <w:t> </w:t>
      </w:r>
      <w:r>
        <w:rPr/>
        <w:t>of</w:t>
      </w:r>
      <w:r>
        <w:rPr>
          <w:spacing w:val="-2"/>
        </w:rPr>
        <w:t> </w:t>
      </w:r>
      <w:r>
        <w:rPr/>
        <w:t>four</w:t>
      </w:r>
      <w:r>
        <w:rPr>
          <w:spacing w:val="-2"/>
        </w:rPr>
        <w:t> </w:t>
      </w:r>
      <w:r>
        <w:rPr/>
        <w:t>related</w:t>
      </w:r>
      <w:r>
        <w:rPr>
          <w:spacing w:val="-2"/>
        </w:rPr>
        <w:t> </w:t>
      </w:r>
      <w:r>
        <w:rPr/>
        <w:t>equity</w:t>
      </w:r>
      <w:r>
        <w:rPr>
          <w:spacing w:val="-2"/>
        </w:rPr>
        <w:t> </w:t>
      </w:r>
      <w:r>
        <w:rPr/>
        <w:t>market</w:t>
      </w:r>
      <w:r>
        <w:rPr>
          <w:spacing w:val="-3"/>
        </w:rPr>
        <w:t> </w:t>
      </w:r>
      <w:r>
        <w:rPr/>
        <w:t>structure</w:t>
      </w:r>
      <w:r>
        <w:rPr>
          <w:spacing w:val="-3"/>
        </w:rPr>
        <w:t> </w:t>
      </w:r>
      <w:r>
        <w:rPr/>
        <w:t>rules</w:t>
      </w:r>
      <w:r>
        <w:rPr>
          <w:spacing w:val="-3"/>
        </w:rPr>
        <w:t> </w:t>
      </w:r>
      <w:r>
        <w:rPr/>
        <w:t>that</w:t>
      </w:r>
      <w:r>
        <w:rPr>
          <w:spacing w:val="-3"/>
        </w:rPr>
        <w:t> </w:t>
      </w:r>
      <w:r>
        <w:rPr/>
        <w:t>would</w:t>
      </w:r>
      <w:r>
        <w:rPr>
          <w:spacing w:val="-2"/>
        </w:rPr>
        <w:t> </w:t>
      </w:r>
      <w:r>
        <w:rPr/>
        <w:t>make</w:t>
      </w:r>
      <w:r>
        <w:rPr>
          <w:spacing w:val="-3"/>
        </w:rPr>
        <w:t> </w:t>
      </w:r>
      <w:r>
        <w:rPr/>
        <w:t>significant</w:t>
      </w:r>
      <w:r>
        <w:rPr>
          <w:spacing w:val="-3"/>
        </w:rPr>
        <w:t> </w:t>
      </w:r>
      <w:r>
        <w:rPr/>
        <w:t>changes</w:t>
      </w:r>
      <w:r>
        <w:rPr>
          <w:spacing w:val="-3"/>
        </w:rPr>
        <w:t> </w:t>
      </w:r>
      <w:r>
        <w:rPr/>
        <w:t>to how national market system (NMS) stock orders are priced, executed and reported. The four proposed rules are described </w:t>
      </w:r>
      <w:r>
        <w:rPr>
          <w:spacing w:val="-2"/>
        </w:rPr>
        <w:t>below.</w:t>
      </w:r>
    </w:p>
    <w:p>
      <w:pPr>
        <w:pStyle w:val="BodyText"/>
        <w:spacing w:before="12"/>
      </w:pPr>
    </w:p>
    <w:p>
      <w:pPr>
        <w:pStyle w:val="ListParagraph"/>
        <w:numPr>
          <w:ilvl w:val="0"/>
          <w:numId w:val="3"/>
        </w:numPr>
        <w:tabs>
          <w:tab w:pos="1190" w:val="left" w:leader="none"/>
        </w:tabs>
        <w:spacing w:line="249" w:lineRule="auto" w:before="0" w:after="0"/>
        <w:ind w:left="1190" w:right="491" w:hanging="360"/>
        <w:jc w:val="left"/>
        <w:rPr>
          <w:sz w:val="20"/>
        </w:rPr>
      </w:pPr>
      <w:r>
        <w:rPr>
          <w:sz w:val="20"/>
        </w:rPr>
        <w:t>The “Order Competition Rule” would require that, before most individual investors’ orders could be executed internally</w:t>
      </w:r>
      <w:r>
        <w:rPr>
          <w:spacing w:val="-3"/>
          <w:sz w:val="20"/>
        </w:rPr>
        <w:t> </w:t>
      </w:r>
      <w:r>
        <w:rPr>
          <w:sz w:val="20"/>
        </w:rPr>
        <w:t>by</w:t>
      </w:r>
      <w:r>
        <w:rPr>
          <w:spacing w:val="-3"/>
          <w:sz w:val="20"/>
        </w:rPr>
        <w:t> </w:t>
      </w:r>
      <w:r>
        <w:rPr>
          <w:sz w:val="20"/>
        </w:rPr>
        <w:t>a</w:t>
      </w:r>
      <w:r>
        <w:rPr>
          <w:spacing w:val="-4"/>
          <w:sz w:val="20"/>
        </w:rPr>
        <w:t> </w:t>
      </w:r>
      <w:r>
        <w:rPr>
          <w:sz w:val="20"/>
        </w:rPr>
        <w:t>trading</w:t>
      </w:r>
      <w:r>
        <w:rPr>
          <w:spacing w:val="-3"/>
          <w:sz w:val="20"/>
        </w:rPr>
        <w:t> </w:t>
      </w:r>
      <w:r>
        <w:rPr>
          <w:sz w:val="20"/>
        </w:rPr>
        <w:t>center</w:t>
      </w:r>
      <w:r>
        <w:rPr>
          <w:spacing w:val="-3"/>
          <w:sz w:val="20"/>
        </w:rPr>
        <w:t> </w:t>
      </w:r>
      <w:r>
        <w:rPr>
          <w:sz w:val="20"/>
        </w:rPr>
        <w:t>(like</w:t>
      </w:r>
      <w:r>
        <w:rPr>
          <w:spacing w:val="-4"/>
          <w:sz w:val="20"/>
        </w:rPr>
        <w:t> </w:t>
      </w:r>
      <w:r>
        <w:rPr>
          <w:sz w:val="20"/>
        </w:rPr>
        <w:t>wholesaler</w:t>
      </w:r>
      <w:r>
        <w:rPr>
          <w:spacing w:val="-3"/>
          <w:sz w:val="20"/>
        </w:rPr>
        <w:t> </w:t>
      </w:r>
      <w:r>
        <w:rPr>
          <w:sz w:val="20"/>
        </w:rPr>
        <w:t>market</w:t>
      </w:r>
      <w:r>
        <w:rPr>
          <w:spacing w:val="-4"/>
          <w:sz w:val="20"/>
        </w:rPr>
        <w:t> </w:t>
      </w:r>
      <w:r>
        <w:rPr>
          <w:sz w:val="20"/>
        </w:rPr>
        <w:t>makers),</w:t>
      </w:r>
      <w:r>
        <w:rPr>
          <w:spacing w:val="-3"/>
          <w:sz w:val="20"/>
        </w:rPr>
        <w:t> </w:t>
      </w:r>
      <w:r>
        <w:rPr>
          <w:sz w:val="20"/>
        </w:rPr>
        <w:t>those</w:t>
      </w:r>
      <w:r>
        <w:rPr>
          <w:spacing w:val="-4"/>
          <w:sz w:val="20"/>
        </w:rPr>
        <w:t> </w:t>
      </w:r>
      <w:r>
        <w:rPr>
          <w:sz w:val="20"/>
        </w:rPr>
        <w:t>orders</w:t>
      </w:r>
      <w:r>
        <w:rPr>
          <w:spacing w:val="-4"/>
          <w:sz w:val="20"/>
        </w:rPr>
        <w:t> </w:t>
      </w:r>
      <w:r>
        <w:rPr>
          <w:sz w:val="20"/>
        </w:rPr>
        <w:t>must</w:t>
      </w:r>
      <w:r>
        <w:rPr>
          <w:spacing w:val="-4"/>
          <w:sz w:val="20"/>
        </w:rPr>
        <w:t> </w:t>
      </w:r>
      <w:r>
        <w:rPr>
          <w:sz w:val="20"/>
        </w:rPr>
        <w:t>first</w:t>
      </w:r>
      <w:r>
        <w:rPr>
          <w:spacing w:val="-4"/>
          <w:sz w:val="20"/>
        </w:rPr>
        <w:t> </w:t>
      </w:r>
      <w:r>
        <w:rPr>
          <w:sz w:val="20"/>
        </w:rPr>
        <w:t>be</w:t>
      </w:r>
      <w:r>
        <w:rPr>
          <w:spacing w:val="-4"/>
          <w:sz w:val="20"/>
        </w:rPr>
        <w:t> </w:t>
      </w:r>
      <w:r>
        <w:rPr>
          <w:sz w:val="20"/>
        </w:rPr>
        <w:t>exposed</w:t>
      </w:r>
      <w:r>
        <w:rPr>
          <w:spacing w:val="-3"/>
          <w:sz w:val="20"/>
        </w:rPr>
        <w:t> </w:t>
      </w:r>
      <w:r>
        <w:rPr>
          <w:sz w:val="20"/>
        </w:rPr>
        <w:t>to</w:t>
      </w:r>
      <w:r>
        <w:rPr>
          <w:spacing w:val="-3"/>
          <w:sz w:val="20"/>
        </w:rPr>
        <w:t> </w:t>
      </w:r>
      <w:r>
        <w:rPr>
          <w:sz w:val="20"/>
        </w:rPr>
        <w:t>a</w:t>
      </w:r>
      <w:r>
        <w:rPr>
          <w:spacing w:val="-4"/>
          <w:sz w:val="20"/>
        </w:rPr>
        <w:t> </w:t>
      </w:r>
      <w:r>
        <w:rPr>
          <w:sz w:val="20"/>
        </w:rPr>
        <w:t>qualifying</w:t>
      </w:r>
      <w:r>
        <w:rPr>
          <w:spacing w:val="-3"/>
          <w:sz w:val="20"/>
        </w:rPr>
        <w:t> </w:t>
      </w:r>
      <w:r>
        <w:rPr>
          <w:sz w:val="20"/>
        </w:rPr>
        <w:t>order- by-order auction in which both market makers and institutional investors can participate.</w:t>
      </w:r>
    </w:p>
    <w:p>
      <w:pPr>
        <w:pStyle w:val="ListParagraph"/>
        <w:numPr>
          <w:ilvl w:val="0"/>
          <w:numId w:val="3"/>
        </w:numPr>
        <w:tabs>
          <w:tab w:pos="1190" w:val="left" w:leader="none"/>
        </w:tabs>
        <w:spacing w:line="249" w:lineRule="auto" w:before="3" w:after="0"/>
        <w:ind w:left="1190" w:right="546" w:hanging="360"/>
        <w:jc w:val="left"/>
        <w:rPr>
          <w:sz w:val="20"/>
        </w:rPr>
      </w:pPr>
      <w:r>
        <w:rPr>
          <w:sz w:val="20"/>
        </w:rPr>
        <w:t>“Regulation</w:t>
      </w:r>
      <w:r>
        <w:rPr>
          <w:spacing w:val="-3"/>
          <w:sz w:val="20"/>
        </w:rPr>
        <w:t> </w:t>
      </w:r>
      <w:r>
        <w:rPr>
          <w:sz w:val="20"/>
        </w:rPr>
        <w:t>Best</w:t>
      </w:r>
      <w:r>
        <w:rPr>
          <w:spacing w:val="-4"/>
          <w:sz w:val="20"/>
        </w:rPr>
        <w:t> </w:t>
      </w:r>
      <w:r>
        <w:rPr>
          <w:sz w:val="20"/>
        </w:rPr>
        <w:t>Execution”</w:t>
      </w:r>
      <w:r>
        <w:rPr>
          <w:spacing w:val="-4"/>
          <w:sz w:val="20"/>
        </w:rPr>
        <w:t> </w:t>
      </w:r>
      <w:r>
        <w:rPr>
          <w:sz w:val="20"/>
        </w:rPr>
        <w:t>would</w:t>
      </w:r>
      <w:r>
        <w:rPr>
          <w:spacing w:val="-3"/>
          <w:sz w:val="20"/>
        </w:rPr>
        <w:t> </w:t>
      </w:r>
      <w:r>
        <w:rPr>
          <w:sz w:val="20"/>
        </w:rPr>
        <w:t>establish</w:t>
      </w:r>
      <w:r>
        <w:rPr>
          <w:spacing w:val="-3"/>
          <w:sz w:val="20"/>
        </w:rPr>
        <w:t> </w:t>
      </w:r>
      <w:r>
        <w:rPr>
          <w:sz w:val="20"/>
        </w:rPr>
        <w:t>an</w:t>
      </w:r>
      <w:r>
        <w:rPr>
          <w:spacing w:val="-3"/>
          <w:sz w:val="20"/>
        </w:rPr>
        <w:t> </w:t>
      </w:r>
      <w:r>
        <w:rPr>
          <w:sz w:val="20"/>
        </w:rPr>
        <w:t>SEC-level</w:t>
      </w:r>
      <w:r>
        <w:rPr>
          <w:spacing w:val="-4"/>
          <w:sz w:val="20"/>
        </w:rPr>
        <w:t> </w:t>
      </w:r>
      <w:r>
        <w:rPr>
          <w:sz w:val="20"/>
        </w:rPr>
        <w:t>best</w:t>
      </w:r>
      <w:r>
        <w:rPr>
          <w:spacing w:val="-4"/>
          <w:sz w:val="20"/>
        </w:rPr>
        <w:t> </w:t>
      </w:r>
      <w:r>
        <w:rPr>
          <w:sz w:val="20"/>
        </w:rPr>
        <w:t>execution</w:t>
      </w:r>
      <w:r>
        <w:rPr>
          <w:spacing w:val="-3"/>
          <w:sz w:val="20"/>
        </w:rPr>
        <w:t> </w:t>
      </w:r>
      <w:r>
        <w:rPr>
          <w:sz w:val="20"/>
        </w:rPr>
        <w:t>standard</w:t>
      </w:r>
      <w:r>
        <w:rPr>
          <w:spacing w:val="-3"/>
          <w:sz w:val="20"/>
        </w:rPr>
        <w:t> </w:t>
      </w:r>
      <w:r>
        <w:rPr>
          <w:sz w:val="20"/>
        </w:rPr>
        <w:t>(in</w:t>
      </w:r>
      <w:r>
        <w:rPr>
          <w:spacing w:val="-3"/>
          <w:sz w:val="20"/>
        </w:rPr>
        <w:t> </w:t>
      </w:r>
      <w:r>
        <w:rPr>
          <w:sz w:val="20"/>
        </w:rPr>
        <w:t>addition</w:t>
      </w:r>
      <w:r>
        <w:rPr>
          <w:spacing w:val="-3"/>
          <w:sz w:val="20"/>
        </w:rPr>
        <w:t> </w:t>
      </w:r>
      <w:r>
        <w:rPr>
          <w:sz w:val="20"/>
        </w:rPr>
        <w:t>to</w:t>
      </w:r>
      <w:r>
        <w:rPr>
          <w:spacing w:val="-3"/>
          <w:sz w:val="20"/>
        </w:rPr>
        <w:t> </w:t>
      </w:r>
      <w:r>
        <w:rPr>
          <w:sz w:val="20"/>
        </w:rPr>
        <w:t>the</w:t>
      </w:r>
      <w:r>
        <w:rPr>
          <w:spacing w:val="-4"/>
          <w:sz w:val="20"/>
        </w:rPr>
        <w:t> </w:t>
      </w:r>
      <w:r>
        <w:rPr>
          <w:sz w:val="20"/>
        </w:rPr>
        <w:t>existing</w:t>
      </w:r>
      <w:r>
        <w:rPr>
          <w:spacing w:val="-3"/>
          <w:sz w:val="20"/>
        </w:rPr>
        <w:t> </w:t>
      </w:r>
      <w:r>
        <w:rPr>
          <w:sz w:val="20"/>
        </w:rPr>
        <w:t>FINRA and MSRB best execution rules) for broker-dealers and require them to establish, maintain, and enforce written policies and procedures addressing how the broker-dealer will comply with the best execution standard and make routing</w:t>
      </w:r>
      <w:r>
        <w:rPr>
          <w:spacing w:val="-3"/>
          <w:sz w:val="20"/>
        </w:rPr>
        <w:t> </w:t>
      </w:r>
      <w:r>
        <w:rPr>
          <w:sz w:val="20"/>
        </w:rPr>
        <w:t>or</w:t>
      </w:r>
      <w:r>
        <w:rPr>
          <w:spacing w:val="-3"/>
          <w:sz w:val="20"/>
        </w:rPr>
        <w:t> </w:t>
      </w:r>
      <w:r>
        <w:rPr>
          <w:sz w:val="20"/>
        </w:rPr>
        <w:t>execution</w:t>
      </w:r>
      <w:r>
        <w:rPr>
          <w:spacing w:val="-3"/>
          <w:sz w:val="20"/>
        </w:rPr>
        <w:t> </w:t>
      </w:r>
      <w:r>
        <w:rPr>
          <w:sz w:val="20"/>
        </w:rPr>
        <w:t>decisions</w:t>
      </w:r>
      <w:r>
        <w:rPr>
          <w:spacing w:val="-4"/>
          <w:sz w:val="20"/>
        </w:rPr>
        <w:t> </w:t>
      </w:r>
      <w:r>
        <w:rPr>
          <w:sz w:val="20"/>
        </w:rPr>
        <w:t>for</w:t>
      </w:r>
      <w:r>
        <w:rPr>
          <w:spacing w:val="-3"/>
          <w:sz w:val="20"/>
        </w:rPr>
        <w:t> </w:t>
      </w:r>
      <w:r>
        <w:rPr>
          <w:sz w:val="20"/>
        </w:rPr>
        <w:t>customer</w:t>
      </w:r>
      <w:r>
        <w:rPr>
          <w:spacing w:val="-3"/>
          <w:sz w:val="20"/>
        </w:rPr>
        <w:t> </w:t>
      </w:r>
      <w:r>
        <w:rPr>
          <w:sz w:val="20"/>
        </w:rPr>
        <w:t>orders.</w:t>
      </w:r>
      <w:r>
        <w:rPr>
          <w:spacing w:val="-3"/>
          <w:sz w:val="20"/>
        </w:rPr>
        <w:t> </w:t>
      </w:r>
      <w:r>
        <w:rPr>
          <w:sz w:val="20"/>
        </w:rPr>
        <w:t>Regulation</w:t>
      </w:r>
      <w:r>
        <w:rPr>
          <w:spacing w:val="-3"/>
          <w:sz w:val="20"/>
        </w:rPr>
        <w:t> </w:t>
      </w:r>
      <w:r>
        <w:rPr>
          <w:sz w:val="20"/>
        </w:rPr>
        <w:t>Best</w:t>
      </w:r>
      <w:r>
        <w:rPr>
          <w:spacing w:val="-4"/>
          <w:sz w:val="20"/>
        </w:rPr>
        <w:t> </w:t>
      </w:r>
      <w:r>
        <w:rPr>
          <w:sz w:val="20"/>
        </w:rPr>
        <w:t>Execution</w:t>
      </w:r>
      <w:r>
        <w:rPr>
          <w:spacing w:val="-3"/>
          <w:sz w:val="20"/>
        </w:rPr>
        <w:t> </w:t>
      </w:r>
      <w:r>
        <w:rPr>
          <w:sz w:val="20"/>
        </w:rPr>
        <w:t>would</w:t>
      </w:r>
      <w:r>
        <w:rPr>
          <w:spacing w:val="-3"/>
          <w:sz w:val="20"/>
        </w:rPr>
        <w:t> </w:t>
      </w:r>
      <w:r>
        <w:rPr>
          <w:sz w:val="20"/>
        </w:rPr>
        <w:t>apply</w:t>
      </w:r>
      <w:r>
        <w:rPr>
          <w:spacing w:val="-3"/>
          <w:sz w:val="20"/>
        </w:rPr>
        <w:t> </w:t>
      </w:r>
      <w:r>
        <w:rPr>
          <w:sz w:val="20"/>
        </w:rPr>
        <w:t>not</w:t>
      </w:r>
      <w:r>
        <w:rPr>
          <w:spacing w:val="-4"/>
          <w:sz w:val="20"/>
        </w:rPr>
        <w:t> </w:t>
      </w:r>
      <w:r>
        <w:rPr>
          <w:sz w:val="20"/>
        </w:rPr>
        <w:t>only</w:t>
      </w:r>
      <w:r>
        <w:rPr>
          <w:spacing w:val="-3"/>
          <w:sz w:val="20"/>
        </w:rPr>
        <w:t> </w:t>
      </w:r>
      <w:r>
        <w:rPr>
          <w:sz w:val="20"/>
        </w:rPr>
        <w:t>to</w:t>
      </w:r>
      <w:r>
        <w:rPr>
          <w:spacing w:val="-3"/>
          <w:sz w:val="20"/>
        </w:rPr>
        <w:t> </w:t>
      </w:r>
      <w:r>
        <w:rPr>
          <w:sz w:val="20"/>
        </w:rPr>
        <w:t>equities,</w:t>
      </w:r>
      <w:r>
        <w:rPr>
          <w:spacing w:val="-3"/>
          <w:sz w:val="20"/>
        </w:rPr>
        <w:t> </w:t>
      </w:r>
      <w:r>
        <w:rPr>
          <w:sz w:val="20"/>
        </w:rPr>
        <w:t>but</w:t>
      </w:r>
      <w:r>
        <w:rPr>
          <w:spacing w:val="-4"/>
          <w:sz w:val="20"/>
        </w:rPr>
        <w:t> </w:t>
      </w:r>
      <w:r>
        <w:rPr>
          <w:sz w:val="20"/>
        </w:rPr>
        <w:t>to all securities.</w:t>
      </w:r>
    </w:p>
    <w:p>
      <w:pPr>
        <w:pStyle w:val="ListParagraph"/>
        <w:numPr>
          <w:ilvl w:val="0"/>
          <w:numId w:val="3"/>
        </w:numPr>
        <w:tabs>
          <w:tab w:pos="1190" w:val="left" w:leader="none"/>
        </w:tabs>
        <w:spacing w:line="249" w:lineRule="auto" w:before="4" w:after="0"/>
        <w:ind w:left="1190" w:right="955" w:hanging="360"/>
        <w:jc w:val="left"/>
        <w:rPr>
          <w:sz w:val="20"/>
        </w:rPr>
      </w:pPr>
      <w:r>
        <w:rPr>
          <w:sz w:val="20"/>
        </w:rPr>
        <w:t>Amendments</w:t>
      </w:r>
      <w:r>
        <w:rPr>
          <w:spacing w:val="-4"/>
          <w:sz w:val="20"/>
        </w:rPr>
        <w:t> </w:t>
      </w:r>
      <w:r>
        <w:rPr>
          <w:sz w:val="20"/>
        </w:rPr>
        <w:t>to</w:t>
      </w:r>
      <w:r>
        <w:rPr>
          <w:spacing w:val="-3"/>
          <w:sz w:val="20"/>
        </w:rPr>
        <w:t> </w:t>
      </w:r>
      <w:r>
        <w:rPr>
          <w:sz w:val="20"/>
        </w:rPr>
        <w:t>Rule</w:t>
      </w:r>
      <w:r>
        <w:rPr>
          <w:spacing w:val="-4"/>
          <w:sz w:val="20"/>
        </w:rPr>
        <w:t> </w:t>
      </w:r>
      <w:r>
        <w:rPr>
          <w:sz w:val="20"/>
        </w:rPr>
        <w:t>605</w:t>
      </w:r>
      <w:r>
        <w:rPr>
          <w:spacing w:val="-3"/>
          <w:sz w:val="20"/>
        </w:rPr>
        <w:t> </w:t>
      </w:r>
      <w:r>
        <w:rPr>
          <w:sz w:val="20"/>
        </w:rPr>
        <w:t>of</w:t>
      </w:r>
      <w:r>
        <w:rPr>
          <w:spacing w:val="-3"/>
          <w:sz w:val="20"/>
        </w:rPr>
        <w:t> </w:t>
      </w:r>
      <w:r>
        <w:rPr>
          <w:sz w:val="20"/>
        </w:rPr>
        <w:t>Regulation</w:t>
      </w:r>
      <w:r>
        <w:rPr>
          <w:spacing w:val="-3"/>
          <w:sz w:val="20"/>
        </w:rPr>
        <w:t> </w:t>
      </w:r>
      <w:r>
        <w:rPr>
          <w:sz w:val="20"/>
        </w:rPr>
        <w:t>NMS</w:t>
      </w:r>
      <w:r>
        <w:rPr>
          <w:spacing w:val="-4"/>
          <w:sz w:val="20"/>
        </w:rPr>
        <w:t> </w:t>
      </w:r>
      <w:r>
        <w:rPr>
          <w:sz w:val="20"/>
        </w:rPr>
        <w:t>requiring</w:t>
      </w:r>
      <w:r>
        <w:rPr>
          <w:spacing w:val="-3"/>
          <w:sz w:val="20"/>
        </w:rPr>
        <w:t> </w:t>
      </w:r>
      <w:r>
        <w:rPr>
          <w:sz w:val="20"/>
        </w:rPr>
        <w:t>enhanced</w:t>
      </w:r>
      <w:r>
        <w:rPr>
          <w:spacing w:val="-3"/>
          <w:sz w:val="20"/>
        </w:rPr>
        <w:t> </w:t>
      </w:r>
      <w:r>
        <w:rPr>
          <w:sz w:val="20"/>
        </w:rPr>
        <w:t>disclosures</w:t>
      </w:r>
      <w:r>
        <w:rPr>
          <w:spacing w:val="-4"/>
          <w:sz w:val="20"/>
        </w:rPr>
        <w:t> </w:t>
      </w:r>
      <w:r>
        <w:rPr>
          <w:sz w:val="20"/>
        </w:rPr>
        <w:t>of</w:t>
      </w:r>
      <w:r>
        <w:rPr>
          <w:spacing w:val="-3"/>
          <w:sz w:val="20"/>
        </w:rPr>
        <w:t> </w:t>
      </w:r>
      <w:r>
        <w:rPr>
          <w:sz w:val="20"/>
        </w:rPr>
        <w:t>order</w:t>
      </w:r>
      <w:r>
        <w:rPr>
          <w:spacing w:val="-3"/>
          <w:sz w:val="20"/>
        </w:rPr>
        <w:t> </w:t>
      </w:r>
      <w:r>
        <w:rPr>
          <w:sz w:val="20"/>
        </w:rPr>
        <w:t>execution</w:t>
      </w:r>
      <w:r>
        <w:rPr>
          <w:spacing w:val="-3"/>
          <w:sz w:val="20"/>
        </w:rPr>
        <w:t> </w:t>
      </w:r>
      <w:r>
        <w:rPr>
          <w:sz w:val="20"/>
        </w:rPr>
        <w:t>quality</w:t>
      </w:r>
      <w:r>
        <w:rPr>
          <w:spacing w:val="-3"/>
          <w:sz w:val="20"/>
        </w:rPr>
        <w:t> </w:t>
      </w:r>
      <w:r>
        <w:rPr>
          <w:sz w:val="20"/>
        </w:rPr>
        <w:t>for</w:t>
      </w:r>
      <w:r>
        <w:rPr>
          <w:spacing w:val="-3"/>
          <w:sz w:val="20"/>
        </w:rPr>
        <w:t> </w:t>
      </w:r>
      <w:r>
        <w:rPr>
          <w:sz w:val="20"/>
        </w:rPr>
        <w:t>large brokers that handle retail orders.</w:t>
      </w:r>
    </w:p>
    <w:p>
      <w:pPr>
        <w:pStyle w:val="ListParagraph"/>
        <w:numPr>
          <w:ilvl w:val="0"/>
          <w:numId w:val="3"/>
        </w:numPr>
        <w:tabs>
          <w:tab w:pos="1190" w:val="left" w:leader="none"/>
        </w:tabs>
        <w:spacing w:line="249" w:lineRule="auto" w:before="1" w:after="0"/>
        <w:ind w:left="1190" w:right="839" w:hanging="360"/>
        <w:jc w:val="left"/>
        <w:rPr>
          <w:sz w:val="20"/>
        </w:rPr>
      </w:pPr>
      <w:r>
        <w:rPr>
          <w:sz w:val="20"/>
        </w:rPr>
        <w:t>A</w:t>
      </w:r>
      <w:r>
        <w:rPr>
          <w:spacing w:val="-3"/>
          <w:sz w:val="20"/>
        </w:rPr>
        <w:t> </w:t>
      </w:r>
      <w:r>
        <w:rPr>
          <w:sz w:val="20"/>
        </w:rPr>
        <w:t>rule</w:t>
      </w:r>
      <w:r>
        <w:rPr>
          <w:spacing w:val="-3"/>
          <w:sz w:val="20"/>
        </w:rPr>
        <w:t> </w:t>
      </w:r>
      <w:r>
        <w:rPr>
          <w:sz w:val="20"/>
        </w:rPr>
        <w:t>to</w:t>
      </w:r>
      <w:r>
        <w:rPr>
          <w:spacing w:val="-2"/>
          <w:sz w:val="20"/>
        </w:rPr>
        <w:t> </w:t>
      </w:r>
      <w:r>
        <w:rPr>
          <w:sz w:val="20"/>
        </w:rPr>
        <w:t>(i)</w:t>
      </w:r>
      <w:r>
        <w:rPr>
          <w:spacing w:val="-2"/>
          <w:sz w:val="20"/>
        </w:rPr>
        <w:t> </w:t>
      </w:r>
      <w:r>
        <w:rPr>
          <w:sz w:val="20"/>
        </w:rPr>
        <w:t>amend</w:t>
      </w:r>
      <w:r>
        <w:rPr>
          <w:spacing w:val="-2"/>
          <w:sz w:val="20"/>
        </w:rPr>
        <w:t> </w:t>
      </w:r>
      <w:r>
        <w:rPr>
          <w:sz w:val="20"/>
        </w:rPr>
        <w:t>minimum</w:t>
      </w:r>
      <w:r>
        <w:rPr>
          <w:spacing w:val="-3"/>
          <w:sz w:val="20"/>
        </w:rPr>
        <w:t> </w:t>
      </w:r>
      <w:r>
        <w:rPr>
          <w:sz w:val="20"/>
        </w:rPr>
        <w:t>pricing</w:t>
      </w:r>
      <w:r>
        <w:rPr>
          <w:spacing w:val="-2"/>
          <w:sz w:val="20"/>
        </w:rPr>
        <w:t> </w:t>
      </w:r>
      <w:r>
        <w:rPr>
          <w:sz w:val="20"/>
        </w:rPr>
        <w:t>increments</w:t>
      </w:r>
      <w:r>
        <w:rPr>
          <w:spacing w:val="-3"/>
          <w:sz w:val="20"/>
        </w:rPr>
        <w:t> </w:t>
      </w:r>
      <w:r>
        <w:rPr>
          <w:sz w:val="20"/>
        </w:rPr>
        <w:t>(or</w:t>
      </w:r>
      <w:r>
        <w:rPr>
          <w:spacing w:val="-2"/>
          <w:sz w:val="20"/>
        </w:rPr>
        <w:t> </w:t>
      </w:r>
      <w:r>
        <w:rPr>
          <w:sz w:val="20"/>
        </w:rPr>
        <w:t>tick</w:t>
      </w:r>
      <w:r>
        <w:rPr>
          <w:spacing w:val="-2"/>
          <w:sz w:val="20"/>
        </w:rPr>
        <w:t> </w:t>
      </w:r>
      <w:r>
        <w:rPr>
          <w:sz w:val="20"/>
        </w:rPr>
        <w:t>sizes)</w:t>
      </w:r>
      <w:r>
        <w:rPr>
          <w:spacing w:val="-2"/>
          <w:sz w:val="20"/>
        </w:rPr>
        <w:t> </w:t>
      </w:r>
      <w:r>
        <w:rPr>
          <w:sz w:val="20"/>
        </w:rPr>
        <w:t>that</w:t>
      </w:r>
      <w:r>
        <w:rPr>
          <w:spacing w:val="-3"/>
          <w:sz w:val="20"/>
        </w:rPr>
        <w:t> </w:t>
      </w:r>
      <w:r>
        <w:rPr>
          <w:sz w:val="20"/>
        </w:rPr>
        <w:t>would</w:t>
      </w:r>
      <w:r>
        <w:rPr>
          <w:spacing w:val="-2"/>
          <w:sz w:val="20"/>
        </w:rPr>
        <w:t> </w:t>
      </w:r>
      <w:r>
        <w:rPr>
          <w:sz w:val="20"/>
        </w:rPr>
        <w:t>apply</w:t>
      </w:r>
      <w:r>
        <w:rPr>
          <w:spacing w:val="-2"/>
          <w:sz w:val="20"/>
        </w:rPr>
        <w:t> </w:t>
      </w:r>
      <w:r>
        <w:rPr>
          <w:sz w:val="20"/>
        </w:rPr>
        <w:t>to</w:t>
      </w:r>
      <w:r>
        <w:rPr>
          <w:spacing w:val="-2"/>
          <w:sz w:val="20"/>
        </w:rPr>
        <w:t> </w:t>
      </w:r>
      <w:r>
        <w:rPr>
          <w:sz w:val="20"/>
        </w:rPr>
        <w:t>both</w:t>
      </w:r>
      <w:r>
        <w:rPr>
          <w:spacing w:val="-2"/>
          <w:sz w:val="20"/>
        </w:rPr>
        <w:t> </w:t>
      </w:r>
      <w:r>
        <w:rPr>
          <w:sz w:val="20"/>
        </w:rPr>
        <w:t>the</w:t>
      </w:r>
      <w:r>
        <w:rPr>
          <w:spacing w:val="-3"/>
          <w:sz w:val="20"/>
        </w:rPr>
        <w:t> </w:t>
      </w:r>
      <w:r>
        <w:rPr>
          <w:sz w:val="20"/>
        </w:rPr>
        <w:t>quoting</w:t>
      </w:r>
      <w:r>
        <w:rPr>
          <w:spacing w:val="-2"/>
          <w:sz w:val="20"/>
        </w:rPr>
        <w:t> </w:t>
      </w:r>
      <w:r>
        <w:rPr>
          <w:sz w:val="20"/>
        </w:rPr>
        <w:t>and</w:t>
      </w:r>
      <w:r>
        <w:rPr>
          <w:spacing w:val="-2"/>
          <w:sz w:val="20"/>
        </w:rPr>
        <w:t> </w:t>
      </w:r>
      <w:r>
        <w:rPr>
          <w:sz w:val="20"/>
        </w:rPr>
        <w:t>trading</w:t>
      </w:r>
      <w:r>
        <w:rPr>
          <w:spacing w:val="-2"/>
          <w:sz w:val="20"/>
        </w:rPr>
        <w:t> </w:t>
      </w:r>
      <w:r>
        <w:rPr>
          <w:sz w:val="20"/>
        </w:rPr>
        <w:t>of NMS stocks, (ii) reduce the exchange access fee caps, and (iii) require transparency of odd-lots.</w:t>
      </w:r>
    </w:p>
    <w:p>
      <w:pPr>
        <w:pStyle w:val="BodyText"/>
        <w:spacing w:before="12"/>
      </w:pPr>
    </w:p>
    <w:p>
      <w:pPr>
        <w:pStyle w:val="BodyText"/>
        <w:spacing w:line="249" w:lineRule="auto"/>
        <w:ind w:left="470" w:right="500"/>
      </w:pPr>
      <w:r>
        <w:rPr/>
        <w:t>The</w:t>
      </w:r>
      <w:r>
        <w:rPr>
          <w:spacing w:val="-3"/>
        </w:rPr>
        <w:t> </w:t>
      </w:r>
      <w:r>
        <w:rPr/>
        <w:t>comment</w:t>
      </w:r>
      <w:r>
        <w:rPr>
          <w:spacing w:val="-3"/>
        </w:rPr>
        <w:t> </w:t>
      </w:r>
      <w:r>
        <w:rPr/>
        <w:t>periods</w:t>
      </w:r>
      <w:r>
        <w:rPr>
          <w:spacing w:val="-3"/>
        </w:rPr>
        <w:t> </w:t>
      </w:r>
      <w:r>
        <w:rPr/>
        <w:t>for</w:t>
      </w:r>
      <w:r>
        <w:rPr>
          <w:spacing w:val="-2"/>
        </w:rPr>
        <w:t> </w:t>
      </w:r>
      <w:r>
        <w:rPr/>
        <w:t>the</w:t>
      </w:r>
      <w:r>
        <w:rPr>
          <w:spacing w:val="-3"/>
        </w:rPr>
        <w:t> </w:t>
      </w:r>
      <w:r>
        <w:rPr/>
        <w:t>proposed</w:t>
      </w:r>
      <w:r>
        <w:rPr>
          <w:spacing w:val="-2"/>
        </w:rPr>
        <w:t> </w:t>
      </w:r>
      <w:r>
        <w:rPr/>
        <w:t>rules</w:t>
      </w:r>
      <w:r>
        <w:rPr>
          <w:spacing w:val="-3"/>
        </w:rPr>
        <w:t> </w:t>
      </w:r>
      <w:r>
        <w:rPr/>
        <w:t>ended</w:t>
      </w:r>
      <w:r>
        <w:rPr>
          <w:spacing w:val="-2"/>
        </w:rPr>
        <w:t> </w:t>
      </w:r>
      <w:r>
        <w:rPr/>
        <w:t>on</w:t>
      </w:r>
      <w:r>
        <w:rPr>
          <w:spacing w:val="-2"/>
        </w:rPr>
        <w:t> </w:t>
      </w:r>
      <w:r>
        <w:rPr/>
        <w:t>March</w:t>
      </w:r>
      <w:r>
        <w:rPr>
          <w:spacing w:val="-2"/>
        </w:rPr>
        <w:t> </w:t>
      </w:r>
      <w:r>
        <w:rPr/>
        <w:t>31,</w:t>
      </w:r>
      <w:r>
        <w:rPr>
          <w:spacing w:val="-2"/>
        </w:rPr>
        <w:t> </w:t>
      </w:r>
      <w:r>
        <w:rPr/>
        <w:t>2023</w:t>
      </w:r>
      <w:r>
        <w:rPr>
          <w:spacing w:val="-2"/>
        </w:rPr>
        <w:t> </w:t>
      </w:r>
      <w:r>
        <w:rPr/>
        <w:t>and</w:t>
      </w:r>
      <w:r>
        <w:rPr>
          <w:spacing w:val="-2"/>
        </w:rPr>
        <w:t> </w:t>
      </w:r>
      <w:r>
        <w:rPr/>
        <w:t>the</w:t>
      </w:r>
      <w:r>
        <w:rPr>
          <w:spacing w:val="-3"/>
        </w:rPr>
        <w:t> </w:t>
      </w:r>
      <w:r>
        <w:rPr/>
        <w:t>impact</w:t>
      </w:r>
      <w:r>
        <w:rPr>
          <w:spacing w:val="-3"/>
        </w:rPr>
        <w:t> </w:t>
      </w:r>
      <w:r>
        <w:rPr/>
        <w:t>to</w:t>
      </w:r>
      <w:r>
        <w:rPr>
          <w:spacing w:val="-2"/>
        </w:rPr>
        <w:t> </w:t>
      </w:r>
      <w:r>
        <w:rPr/>
        <w:t>Schwab</w:t>
      </w:r>
      <w:r>
        <w:rPr>
          <w:spacing w:val="-2"/>
        </w:rPr>
        <w:t> </w:t>
      </w:r>
      <w:r>
        <w:rPr/>
        <w:t>cannot</w:t>
      </w:r>
      <w:r>
        <w:rPr>
          <w:spacing w:val="-3"/>
        </w:rPr>
        <w:t> </w:t>
      </w:r>
      <w:r>
        <w:rPr/>
        <w:t>be</w:t>
      </w:r>
      <w:r>
        <w:rPr>
          <w:spacing w:val="-3"/>
        </w:rPr>
        <w:t> </w:t>
      </w:r>
      <w:r>
        <w:rPr/>
        <w:t>assessed</w:t>
      </w:r>
      <w:r>
        <w:rPr>
          <w:spacing w:val="-2"/>
        </w:rPr>
        <w:t> </w:t>
      </w:r>
      <w:r>
        <w:rPr/>
        <w:t>until</w:t>
      </w:r>
      <w:r>
        <w:rPr>
          <w:spacing w:val="-3"/>
        </w:rPr>
        <w:t> </w:t>
      </w:r>
      <w:r>
        <w:rPr/>
        <w:t>final rules are released.</w:t>
      </w:r>
    </w:p>
    <w:p>
      <w:pPr>
        <w:spacing w:after="0" w:line="249" w:lineRule="auto"/>
        <w:sectPr>
          <w:pgSz w:w="12240" w:h="15840"/>
          <w:pgMar w:header="512" w:footer="201" w:top="1180" w:bottom="400" w:left="520" w:right="520"/>
        </w:sectPr>
      </w:pPr>
    </w:p>
    <w:p>
      <w:pPr>
        <w:pStyle w:val="BodyText"/>
        <w:spacing w:line="249" w:lineRule="auto" w:before="211"/>
        <w:ind w:left="470" w:right="470"/>
      </w:pPr>
      <w:r>
        <w:rPr/>
        <w:t>In November 2022, the SEC proposed a rule that would require substantial changes to the liquidity risk management programs for</w:t>
      </w:r>
      <w:r>
        <w:rPr>
          <w:spacing w:val="-2"/>
        </w:rPr>
        <w:t> </w:t>
      </w:r>
      <w:r>
        <w:rPr/>
        <w:t>open-end</w:t>
      </w:r>
      <w:r>
        <w:rPr>
          <w:spacing w:val="-2"/>
        </w:rPr>
        <w:t> </w:t>
      </w:r>
      <w:r>
        <w:rPr/>
        <w:t>mutual</w:t>
      </w:r>
      <w:r>
        <w:rPr>
          <w:spacing w:val="-3"/>
        </w:rPr>
        <w:t> </w:t>
      </w:r>
      <w:r>
        <w:rPr/>
        <w:t>funds</w:t>
      </w:r>
      <w:r>
        <w:rPr>
          <w:spacing w:val="-3"/>
        </w:rPr>
        <w:t> </w:t>
      </w:r>
      <w:r>
        <w:rPr/>
        <w:t>other</w:t>
      </w:r>
      <w:r>
        <w:rPr>
          <w:spacing w:val="-2"/>
        </w:rPr>
        <w:t> </w:t>
      </w:r>
      <w:r>
        <w:rPr/>
        <w:t>than</w:t>
      </w:r>
      <w:r>
        <w:rPr>
          <w:spacing w:val="-2"/>
        </w:rPr>
        <w:t> </w:t>
      </w:r>
      <w:r>
        <w:rPr/>
        <w:t>money</w:t>
      </w:r>
      <w:r>
        <w:rPr>
          <w:spacing w:val="-2"/>
        </w:rPr>
        <w:t> </w:t>
      </w:r>
      <w:r>
        <w:rPr/>
        <w:t>market</w:t>
      </w:r>
      <w:r>
        <w:rPr>
          <w:spacing w:val="-3"/>
        </w:rPr>
        <w:t> </w:t>
      </w:r>
      <w:r>
        <w:rPr/>
        <w:t>funds</w:t>
      </w:r>
      <w:r>
        <w:rPr>
          <w:spacing w:val="-3"/>
        </w:rPr>
        <w:t> </w:t>
      </w:r>
      <w:r>
        <w:rPr/>
        <w:t>(funds)</w:t>
      </w:r>
      <w:r>
        <w:rPr>
          <w:spacing w:val="-2"/>
        </w:rPr>
        <w:t> </w:t>
      </w:r>
      <w:r>
        <w:rPr/>
        <w:t>and</w:t>
      </w:r>
      <w:r>
        <w:rPr>
          <w:spacing w:val="-2"/>
        </w:rPr>
        <w:t> </w:t>
      </w:r>
      <w:r>
        <w:rPr/>
        <w:t>require</w:t>
      </w:r>
      <w:r>
        <w:rPr>
          <w:spacing w:val="-3"/>
        </w:rPr>
        <w:t> </w:t>
      </w:r>
      <w:r>
        <w:rPr/>
        <w:t>them</w:t>
      </w:r>
      <w:r>
        <w:rPr>
          <w:spacing w:val="-3"/>
        </w:rPr>
        <w:t> </w:t>
      </w:r>
      <w:r>
        <w:rPr/>
        <w:t>to</w:t>
      </w:r>
      <w:r>
        <w:rPr>
          <w:spacing w:val="-2"/>
        </w:rPr>
        <w:t> </w:t>
      </w:r>
      <w:r>
        <w:rPr/>
        <w:t>implement</w:t>
      </w:r>
      <w:r>
        <w:rPr>
          <w:spacing w:val="-3"/>
        </w:rPr>
        <w:t> </w:t>
      </w:r>
      <w:r>
        <w:rPr/>
        <w:t>“swing</w:t>
      </w:r>
      <w:r>
        <w:rPr>
          <w:spacing w:val="-2"/>
        </w:rPr>
        <w:t> </w:t>
      </w:r>
      <w:r>
        <w:rPr/>
        <w:t>pricing”</w:t>
      </w:r>
      <w:r>
        <w:rPr>
          <w:spacing w:val="-3"/>
        </w:rPr>
        <w:t> </w:t>
      </w:r>
      <w:r>
        <w:rPr/>
        <w:t>and</w:t>
      </w:r>
      <w:r>
        <w:rPr>
          <w:spacing w:val="-2"/>
        </w:rPr>
        <w:t> </w:t>
      </w:r>
      <w:r>
        <w:rPr/>
        <w:t>impose</w:t>
      </w:r>
      <w:r>
        <w:rPr>
          <w:spacing w:val="-3"/>
        </w:rPr>
        <w:t> </w:t>
      </w:r>
      <w:r>
        <w:rPr/>
        <w:t>a “hard close” on the acceptance of purchase and redemption orders. Swing pricing would require funds to adjust the fund’s current net asset value (NAV) per share by a “swing factor” if the fund has either (i) net redemptions (no threshold) or (ii) net purchases that exceed a specified threshold (2% of the fund’s net assets). To implement the swing pricing requirements, the proposed</w:t>
      </w:r>
      <w:r>
        <w:rPr>
          <w:spacing w:val="-1"/>
        </w:rPr>
        <w:t> </w:t>
      </w:r>
      <w:r>
        <w:rPr/>
        <w:t>rule</w:t>
      </w:r>
      <w:r>
        <w:rPr>
          <w:spacing w:val="-2"/>
        </w:rPr>
        <w:t> </w:t>
      </w:r>
      <w:r>
        <w:rPr/>
        <w:t>also</w:t>
      </w:r>
      <w:r>
        <w:rPr>
          <w:spacing w:val="-1"/>
        </w:rPr>
        <w:t> </w:t>
      </w:r>
      <w:r>
        <w:rPr/>
        <w:t>would</w:t>
      </w:r>
      <w:r>
        <w:rPr>
          <w:spacing w:val="-1"/>
        </w:rPr>
        <w:t> </w:t>
      </w:r>
      <w:r>
        <w:rPr/>
        <w:t>require</w:t>
      </w:r>
      <w:r>
        <w:rPr>
          <w:spacing w:val="-2"/>
        </w:rPr>
        <w:t> </w:t>
      </w:r>
      <w:r>
        <w:rPr/>
        <w:t>that</w:t>
      </w:r>
      <w:r>
        <w:rPr>
          <w:spacing w:val="-2"/>
        </w:rPr>
        <w:t> </w:t>
      </w:r>
      <w:r>
        <w:rPr/>
        <w:t>a</w:t>
      </w:r>
      <w:r>
        <w:rPr>
          <w:spacing w:val="-2"/>
        </w:rPr>
        <w:t> </w:t>
      </w:r>
      <w:r>
        <w:rPr/>
        <w:t>fund,</w:t>
      </w:r>
      <w:r>
        <w:rPr>
          <w:spacing w:val="-1"/>
        </w:rPr>
        <w:t> </w:t>
      </w:r>
      <w:r>
        <w:rPr/>
        <w:t>its</w:t>
      </w:r>
      <w:r>
        <w:rPr>
          <w:spacing w:val="-2"/>
        </w:rPr>
        <w:t> </w:t>
      </w:r>
      <w:r>
        <w:rPr/>
        <w:t>transfer</w:t>
      </w:r>
      <w:r>
        <w:rPr>
          <w:spacing w:val="-1"/>
        </w:rPr>
        <w:t> </w:t>
      </w:r>
      <w:r>
        <w:rPr/>
        <w:t>agent,</w:t>
      </w:r>
      <w:r>
        <w:rPr>
          <w:spacing w:val="-1"/>
        </w:rPr>
        <w:t> </w:t>
      </w:r>
      <w:r>
        <w:rPr/>
        <w:t>or</w:t>
      </w:r>
      <w:r>
        <w:rPr>
          <w:spacing w:val="-1"/>
        </w:rPr>
        <w:t> </w:t>
      </w:r>
      <w:r>
        <w:rPr/>
        <w:t>a</w:t>
      </w:r>
      <w:r>
        <w:rPr>
          <w:spacing w:val="-2"/>
        </w:rPr>
        <w:t> </w:t>
      </w:r>
      <w:r>
        <w:rPr/>
        <w:t>registered</w:t>
      </w:r>
      <w:r>
        <w:rPr>
          <w:spacing w:val="-1"/>
        </w:rPr>
        <w:t> </w:t>
      </w:r>
      <w:r>
        <w:rPr/>
        <w:t>clearing</w:t>
      </w:r>
      <w:r>
        <w:rPr>
          <w:spacing w:val="-1"/>
        </w:rPr>
        <w:t> </w:t>
      </w:r>
      <w:r>
        <w:rPr/>
        <w:t>agency</w:t>
      </w:r>
      <w:r>
        <w:rPr>
          <w:spacing w:val="-1"/>
        </w:rPr>
        <w:t> </w:t>
      </w:r>
      <w:r>
        <w:rPr/>
        <w:t>receive</w:t>
      </w:r>
      <w:r>
        <w:rPr>
          <w:spacing w:val="-2"/>
        </w:rPr>
        <w:t> </w:t>
      </w:r>
      <w:r>
        <w:rPr/>
        <w:t>purchase</w:t>
      </w:r>
      <w:r>
        <w:rPr>
          <w:spacing w:val="-2"/>
        </w:rPr>
        <w:t> </w:t>
      </w:r>
      <w:r>
        <w:rPr/>
        <w:t>and</w:t>
      </w:r>
      <w:r>
        <w:rPr>
          <w:spacing w:val="-1"/>
        </w:rPr>
        <w:t> </w:t>
      </w:r>
      <w:r>
        <w:rPr/>
        <w:t>redemption orders prior to the time the fund has established for determining the NAV, typically market close, in order to receive a given day’s NAV (a “hard close”). Current practices permit fund orders received by a financial intermediary prior to the fund cut-off time to be transmitted to the fund after the fund cut-off time and for the order to receive that day’s NAV. Under the proposed rule, orders received by the fund, its transfer agent or registered clearing agency after the fund cut-off time would receive the next day’s NAV. The comment period for the proposed rule ended on February 14, 2023 and the impact to Schwab cannot be assessed until the final rule is released.</w:t>
      </w:r>
    </w:p>
    <w:p>
      <w:pPr>
        <w:pStyle w:val="BodyText"/>
        <w:spacing w:before="25"/>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03"/>
        <w:gridCol w:w="851"/>
        <w:gridCol w:w="1036"/>
        <w:gridCol w:w="928"/>
        <w:gridCol w:w="75"/>
        <w:gridCol w:w="1037"/>
        <w:gridCol w:w="929"/>
      </w:tblGrid>
      <w:tr>
        <w:trPr>
          <w:trHeight w:val="345" w:hRule="atLeast"/>
        </w:trPr>
        <w:tc>
          <w:tcPr>
            <w:tcW w:w="5403" w:type="dxa"/>
          </w:tcPr>
          <w:p>
            <w:pPr>
              <w:pStyle w:val="TableParagraph"/>
              <w:spacing w:line="221" w:lineRule="exact"/>
              <w:rPr>
                <w:b/>
                <w:sz w:val="20"/>
              </w:rPr>
            </w:pPr>
            <w:bookmarkStart w:name="Results of Operations" w:id="9"/>
            <w:bookmarkEnd w:id="9"/>
            <w:r>
              <w:rPr/>
            </w:r>
            <w:r>
              <w:rPr>
                <w:b/>
                <w:sz w:val="20"/>
                <w:u w:val="single"/>
              </w:rPr>
              <w:t>RESULTS</w:t>
            </w:r>
            <w:r>
              <w:rPr>
                <w:b/>
                <w:spacing w:val="-5"/>
                <w:sz w:val="20"/>
                <w:u w:val="single"/>
              </w:rPr>
              <w:t> </w:t>
            </w:r>
            <w:r>
              <w:rPr>
                <w:b/>
                <w:sz w:val="20"/>
                <w:u w:val="single"/>
              </w:rPr>
              <w:t>OF</w:t>
            </w:r>
            <w:r>
              <w:rPr>
                <w:b/>
                <w:spacing w:val="-4"/>
                <w:sz w:val="20"/>
                <w:u w:val="single"/>
              </w:rPr>
              <w:t> </w:t>
            </w:r>
            <w:r>
              <w:rPr>
                <w:b/>
                <w:spacing w:val="-2"/>
                <w:sz w:val="20"/>
                <w:u w:val="single"/>
              </w:rPr>
              <w:t>OPERATIONS</w:t>
            </w:r>
          </w:p>
        </w:tc>
        <w:tc>
          <w:tcPr>
            <w:tcW w:w="4856" w:type="dxa"/>
            <w:gridSpan w:val="6"/>
            <w:vMerge w:val="restart"/>
            <w:tcBorders>
              <w:bottom w:val="single" w:sz="4" w:space="0" w:color="000000"/>
            </w:tcBorders>
          </w:tcPr>
          <w:p>
            <w:pPr>
              <w:pStyle w:val="TableParagraph"/>
              <w:rPr>
                <w:sz w:val="18"/>
              </w:rPr>
            </w:pPr>
          </w:p>
        </w:tc>
      </w:tr>
      <w:tr>
        <w:trPr>
          <w:trHeight w:val="471" w:hRule="atLeast"/>
        </w:trPr>
        <w:tc>
          <w:tcPr>
            <w:tcW w:w="5403" w:type="dxa"/>
          </w:tcPr>
          <w:p>
            <w:pPr>
              <w:pStyle w:val="TableParagraph"/>
              <w:spacing w:before="115"/>
              <w:rPr>
                <w:b/>
                <w:sz w:val="20"/>
              </w:rPr>
            </w:pPr>
            <w:r>
              <w:rPr>
                <w:b/>
                <w:sz w:val="20"/>
              </w:rPr>
              <w:t>Total</w:t>
            </w:r>
            <w:r>
              <w:rPr>
                <w:b/>
                <w:spacing w:val="-3"/>
                <w:sz w:val="20"/>
              </w:rPr>
              <w:t> </w:t>
            </w:r>
            <w:r>
              <w:rPr>
                <w:b/>
                <w:sz w:val="20"/>
              </w:rPr>
              <w:t>Net</w:t>
            </w:r>
            <w:r>
              <w:rPr>
                <w:b/>
                <w:spacing w:val="-1"/>
                <w:sz w:val="20"/>
              </w:rPr>
              <w:t> </w:t>
            </w:r>
            <w:r>
              <w:rPr>
                <w:b/>
                <w:spacing w:val="-2"/>
                <w:sz w:val="20"/>
              </w:rPr>
              <w:t>Revenues</w:t>
            </w:r>
          </w:p>
        </w:tc>
        <w:tc>
          <w:tcPr>
            <w:tcW w:w="4856" w:type="dxa"/>
            <w:gridSpan w:val="6"/>
            <w:vMerge/>
            <w:tcBorders>
              <w:top w:val="nil"/>
              <w:bottom w:val="single" w:sz="4" w:space="0" w:color="000000"/>
            </w:tcBorders>
          </w:tcPr>
          <w:p>
            <w:pPr>
              <w:rPr>
                <w:sz w:val="2"/>
                <w:szCs w:val="2"/>
              </w:rPr>
            </w:pPr>
          </w:p>
        </w:tc>
      </w:tr>
      <w:tr>
        <w:trPr>
          <w:trHeight w:val="460" w:hRule="atLeast"/>
        </w:trPr>
        <w:tc>
          <w:tcPr>
            <w:tcW w:w="5403" w:type="dxa"/>
            <w:tcBorders>
              <w:bottom w:val="single" w:sz="4" w:space="0" w:color="000000"/>
            </w:tcBorders>
          </w:tcPr>
          <w:p>
            <w:pPr>
              <w:pStyle w:val="TableParagraph"/>
              <w:spacing w:before="117"/>
              <w:rPr>
                <w:sz w:val="20"/>
              </w:rPr>
            </w:pPr>
            <w:r>
              <w:rPr>
                <w:sz w:val="20"/>
              </w:rPr>
              <w:t>The</w:t>
            </w:r>
            <w:r>
              <w:rPr>
                <w:spacing w:val="-4"/>
                <w:sz w:val="20"/>
              </w:rPr>
              <w:t> </w:t>
            </w:r>
            <w:r>
              <w:rPr>
                <w:sz w:val="20"/>
              </w:rPr>
              <w:t>following</w:t>
            </w:r>
            <w:r>
              <w:rPr>
                <w:spacing w:val="-2"/>
                <w:sz w:val="20"/>
              </w:rPr>
              <w:t> </w:t>
            </w:r>
            <w:r>
              <w:rPr>
                <w:sz w:val="20"/>
              </w:rPr>
              <w:t>tables</w:t>
            </w:r>
            <w:r>
              <w:rPr>
                <w:spacing w:val="-3"/>
                <w:sz w:val="20"/>
              </w:rPr>
              <w:t> </w:t>
            </w:r>
            <w:r>
              <w:rPr>
                <w:sz w:val="20"/>
              </w:rPr>
              <w:t>present</w:t>
            </w:r>
            <w:r>
              <w:rPr>
                <w:spacing w:val="-3"/>
                <w:sz w:val="20"/>
              </w:rPr>
              <w:t> </w:t>
            </w:r>
            <w:r>
              <w:rPr>
                <w:sz w:val="20"/>
              </w:rPr>
              <w:t>a</w:t>
            </w:r>
            <w:r>
              <w:rPr>
                <w:spacing w:val="-3"/>
                <w:sz w:val="20"/>
              </w:rPr>
              <w:t> </w:t>
            </w:r>
            <w:r>
              <w:rPr>
                <w:sz w:val="20"/>
              </w:rPr>
              <w:t>comparison</w:t>
            </w:r>
            <w:r>
              <w:rPr>
                <w:spacing w:val="-2"/>
                <w:sz w:val="20"/>
              </w:rPr>
              <w:t> </w:t>
            </w:r>
            <w:r>
              <w:rPr>
                <w:sz w:val="20"/>
              </w:rPr>
              <w:t>of</w:t>
            </w:r>
            <w:r>
              <w:rPr>
                <w:spacing w:val="-2"/>
                <w:sz w:val="20"/>
              </w:rPr>
              <w:t> </w:t>
            </w:r>
            <w:r>
              <w:rPr>
                <w:sz w:val="20"/>
              </w:rPr>
              <w:t>revenue</w:t>
            </w:r>
            <w:r>
              <w:rPr>
                <w:spacing w:val="-3"/>
                <w:sz w:val="20"/>
              </w:rPr>
              <w:t> </w:t>
            </w:r>
            <w:r>
              <w:rPr>
                <w:sz w:val="20"/>
              </w:rPr>
              <w:t>by</w:t>
            </w:r>
            <w:r>
              <w:rPr>
                <w:spacing w:val="-2"/>
                <w:sz w:val="20"/>
              </w:rPr>
              <w:t> category:</w:t>
            </w:r>
          </w:p>
        </w:tc>
        <w:tc>
          <w:tcPr>
            <w:tcW w:w="4856" w:type="dxa"/>
            <w:gridSpan w:val="6"/>
            <w:vMerge/>
            <w:tcBorders>
              <w:top w:val="nil"/>
              <w:bottom w:val="single" w:sz="4" w:space="0" w:color="000000"/>
            </w:tcBorders>
          </w:tcPr>
          <w:p>
            <w:pPr>
              <w:rPr>
                <w:sz w:val="2"/>
                <w:szCs w:val="2"/>
              </w:rPr>
            </w:pPr>
          </w:p>
        </w:tc>
      </w:tr>
      <w:tr>
        <w:trPr>
          <w:trHeight w:val="275" w:hRule="atLeast"/>
        </w:trPr>
        <w:tc>
          <w:tcPr>
            <w:tcW w:w="5403" w:type="dxa"/>
            <w:tcBorders>
              <w:top w:val="single" w:sz="4" w:space="0" w:color="000000"/>
            </w:tcBorders>
          </w:tcPr>
          <w:p>
            <w:pPr>
              <w:pStyle w:val="TableParagraph"/>
              <w:rPr>
                <w:sz w:val="18"/>
              </w:rPr>
            </w:pPr>
          </w:p>
        </w:tc>
        <w:tc>
          <w:tcPr>
            <w:tcW w:w="851" w:type="dxa"/>
            <w:tcBorders>
              <w:top w:val="single" w:sz="4" w:space="0" w:color="000000"/>
            </w:tcBorders>
          </w:tcPr>
          <w:p>
            <w:pPr>
              <w:pStyle w:val="TableParagraph"/>
              <w:rPr>
                <w:sz w:val="18"/>
              </w:rPr>
            </w:pPr>
          </w:p>
        </w:tc>
        <w:tc>
          <w:tcPr>
            <w:tcW w:w="1036" w:type="dxa"/>
            <w:tcBorders>
              <w:top w:val="single" w:sz="4" w:space="0" w:color="000000"/>
              <w:bottom w:val="single" w:sz="4" w:space="0" w:color="000000"/>
            </w:tcBorders>
          </w:tcPr>
          <w:p>
            <w:pPr>
              <w:pStyle w:val="TableParagraph"/>
              <w:spacing w:before="43"/>
              <w:ind w:right="-44"/>
              <w:jc w:val="right"/>
              <w:rPr>
                <w:sz w:val="18"/>
              </w:rPr>
            </w:pPr>
            <w:r>
              <w:rPr>
                <w:spacing w:val="-5"/>
                <w:sz w:val="18"/>
              </w:rPr>
              <w:t>202</w:t>
            </w:r>
          </w:p>
        </w:tc>
        <w:tc>
          <w:tcPr>
            <w:tcW w:w="928" w:type="dxa"/>
            <w:tcBorders>
              <w:top w:val="single" w:sz="4" w:space="0" w:color="000000"/>
              <w:bottom w:val="single" w:sz="4" w:space="0" w:color="000000"/>
            </w:tcBorders>
          </w:tcPr>
          <w:p>
            <w:pPr>
              <w:pStyle w:val="TableParagraph"/>
              <w:spacing w:before="43"/>
              <w:ind w:left="37"/>
              <w:rPr>
                <w:sz w:val="18"/>
              </w:rPr>
            </w:pPr>
            <w:r>
              <w:rPr>
                <w:spacing w:val="-10"/>
                <w:sz w:val="18"/>
              </w:rPr>
              <w:t>3</w:t>
            </w:r>
          </w:p>
        </w:tc>
        <w:tc>
          <w:tcPr>
            <w:tcW w:w="75" w:type="dxa"/>
            <w:tcBorders>
              <w:top w:val="single" w:sz="4" w:space="0" w:color="000000"/>
            </w:tcBorders>
          </w:tcPr>
          <w:p>
            <w:pPr>
              <w:pStyle w:val="TableParagraph"/>
              <w:rPr>
                <w:sz w:val="18"/>
              </w:rPr>
            </w:pPr>
          </w:p>
        </w:tc>
        <w:tc>
          <w:tcPr>
            <w:tcW w:w="1037" w:type="dxa"/>
            <w:tcBorders>
              <w:top w:val="single" w:sz="4" w:space="0" w:color="000000"/>
              <w:bottom w:val="single" w:sz="4" w:space="0" w:color="000000"/>
            </w:tcBorders>
          </w:tcPr>
          <w:p>
            <w:pPr>
              <w:pStyle w:val="TableParagraph"/>
              <w:spacing w:before="43"/>
              <w:ind w:right="-44"/>
              <w:jc w:val="right"/>
              <w:rPr>
                <w:sz w:val="18"/>
              </w:rPr>
            </w:pPr>
            <w:r>
              <w:rPr>
                <w:spacing w:val="-5"/>
                <w:sz w:val="18"/>
              </w:rPr>
              <w:t>202</w:t>
            </w:r>
          </w:p>
        </w:tc>
        <w:tc>
          <w:tcPr>
            <w:tcW w:w="929" w:type="dxa"/>
            <w:tcBorders>
              <w:top w:val="single" w:sz="4" w:space="0" w:color="000000"/>
              <w:bottom w:val="single" w:sz="4" w:space="0" w:color="000000"/>
            </w:tcBorders>
          </w:tcPr>
          <w:p>
            <w:pPr>
              <w:pStyle w:val="TableParagraph"/>
              <w:spacing w:before="43"/>
              <w:ind w:left="37"/>
              <w:rPr>
                <w:sz w:val="18"/>
              </w:rPr>
            </w:pPr>
            <w:r>
              <w:rPr>
                <w:spacing w:val="-10"/>
                <w:sz w:val="18"/>
              </w:rPr>
              <w:t>2</w:t>
            </w:r>
          </w:p>
        </w:tc>
      </w:tr>
      <w:tr>
        <w:trPr>
          <w:trHeight w:val="390" w:hRule="atLeast"/>
        </w:trPr>
        <w:tc>
          <w:tcPr>
            <w:tcW w:w="5403" w:type="dxa"/>
          </w:tcPr>
          <w:p>
            <w:pPr>
              <w:pStyle w:val="TableParagraph"/>
              <w:rPr>
                <w:sz w:val="18"/>
              </w:rPr>
            </w:pPr>
          </w:p>
        </w:tc>
        <w:tc>
          <w:tcPr>
            <w:tcW w:w="851" w:type="dxa"/>
          </w:tcPr>
          <w:p>
            <w:pPr>
              <w:pStyle w:val="TableParagraph"/>
              <w:spacing w:line="177" w:lineRule="exact" w:before="193"/>
              <w:ind w:left="64"/>
              <w:rPr>
                <w:sz w:val="18"/>
              </w:rPr>
            </w:pPr>
            <w:r>
              <w:rPr>
                <w:spacing w:val="-2"/>
                <w:sz w:val="18"/>
              </w:rPr>
              <w:t>Percent</w:t>
            </w:r>
          </w:p>
        </w:tc>
        <w:tc>
          <w:tcPr>
            <w:tcW w:w="1036" w:type="dxa"/>
            <w:tcBorders>
              <w:top w:val="single" w:sz="4" w:space="0" w:color="000000"/>
            </w:tcBorders>
          </w:tcPr>
          <w:p>
            <w:pPr>
              <w:pStyle w:val="TableParagraph"/>
              <w:rPr>
                <w:sz w:val="18"/>
              </w:rPr>
            </w:pPr>
          </w:p>
        </w:tc>
        <w:tc>
          <w:tcPr>
            <w:tcW w:w="928" w:type="dxa"/>
            <w:tcBorders>
              <w:top w:val="single" w:sz="4" w:space="0" w:color="000000"/>
            </w:tcBorders>
          </w:tcPr>
          <w:p>
            <w:pPr>
              <w:pStyle w:val="TableParagraph"/>
              <w:spacing w:line="180" w:lineRule="exact" w:before="10"/>
              <w:ind w:left="115" w:right="120" w:firstLine="169"/>
              <w:rPr>
                <w:sz w:val="18"/>
              </w:rPr>
            </w:pPr>
            <w:r>
              <w:rPr>
                <w:sz w:val="18"/>
              </w:rPr>
              <w:t>% of Total</w:t>
            </w:r>
            <w:r>
              <w:rPr>
                <w:spacing w:val="-12"/>
                <w:sz w:val="18"/>
              </w:rPr>
              <w:t> </w:t>
            </w:r>
            <w:r>
              <w:rPr>
                <w:sz w:val="18"/>
              </w:rPr>
              <w:t>Net</w:t>
            </w:r>
          </w:p>
        </w:tc>
        <w:tc>
          <w:tcPr>
            <w:tcW w:w="75" w:type="dxa"/>
          </w:tcPr>
          <w:p>
            <w:pPr>
              <w:pStyle w:val="TableParagraph"/>
              <w:rPr>
                <w:sz w:val="18"/>
              </w:rPr>
            </w:pPr>
          </w:p>
        </w:tc>
        <w:tc>
          <w:tcPr>
            <w:tcW w:w="1037" w:type="dxa"/>
            <w:tcBorders>
              <w:top w:val="single" w:sz="4" w:space="0" w:color="000000"/>
            </w:tcBorders>
          </w:tcPr>
          <w:p>
            <w:pPr>
              <w:pStyle w:val="TableParagraph"/>
              <w:rPr>
                <w:sz w:val="18"/>
              </w:rPr>
            </w:pPr>
          </w:p>
        </w:tc>
        <w:tc>
          <w:tcPr>
            <w:tcW w:w="929" w:type="dxa"/>
            <w:tcBorders>
              <w:top w:val="single" w:sz="4" w:space="0" w:color="000000"/>
            </w:tcBorders>
          </w:tcPr>
          <w:p>
            <w:pPr>
              <w:pStyle w:val="TableParagraph"/>
              <w:spacing w:line="180" w:lineRule="exact" w:before="10"/>
              <w:ind w:left="115" w:right="121" w:firstLine="169"/>
              <w:rPr>
                <w:sz w:val="18"/>
              </w:rPr>
            </w:pPr>
            <w:r>
              <w:rPr>
                <w:sz w:val="18"/>
              </w:rPr>
              <w:t>% of Total</w:t>
            </w:r>
            <w:r>
              <w:rPr>
                <w:spacing w:val="-12"/>
                <w:sz w:val="18"/>
              </w:rPr>
              <w:t> </w:t>
            </w:r>
            <w:r>
              <w:rPr>
                <w:sz w:val="18"/>
              </w:rPr>
              <w:t>Net</w:t>
            </w:r>
          </w:p>
        </w:tc>
      </w:tr>
      <w:tr>
        <w:trPr>
          <w:trHeight w:val="214" w:hRule="atLeast"/>
        </w:trPr>
        <w:tc>
          <w:tcPr>
            <w:tcW w:w="5403" w:type="dxa"/>
            <w:tcBorders>
              <w:bottom w:val="single" w:sz="4" w:space="0" w:color="000000"/>
            </w:tcBorders>
          </w:tcPr>
          <w:p>
            <w:pPr>
              <w:pStyle w:val="TableParagraph"/>
              <w:spacing w:line="190" w:lineRule="exact"/>
              <w:ind w:left="52"/>
              <w:rPr>
                <w:sz w:val="18"/>
              </w:rPr>
            </w:pPr>
            <w:r>
              <w:rPr>
                <w:sz w:val="18"/>
              </w:rPr>
              <w:t>Three</w:t>
            </w:r>
            <w:r>
              <w:rPr>
                <w:spacing w:val="-1"/>
                <w:sz w:val="18"/>
              </w:rPr>
              <w:t> </w:t>
            </w:r>
            <w:r>
              <w:rPr>
                <w:sz w:val="18"/>
              </w:rPr>
              <w:t>Months</w:t>
            </w:r>
            <w:r>
              <w:rPr>
                <w:spacing w:val="-1"/>
                <w:sz w:val="18"/>
              </w:rPr>
              <w:t> </w:t>
            </w:r>
            <w:r>
              <w:rPr>
                <w:sz w:val="18"/>
              </w:rPr>
              <w:t>Ended</w:t>
            </w:r>
            <w:r>
              <w:rPr>
                <w:spacing w:val="-1"/>
                <w:sz w:val="18"/>
              </w:rPr>
              <w:t> </w:t>
            </w:r>
            <w:r>
              <w:rPr>
                <w:sz w:val="18"/>
              </w:rPr>
              <w:t>September </w:t>
            </w:r>
            <w:r>
              <w:rPr>
                <w:spacing w:val="-5"/>
                <w:sz w:val="18"/>
              </w:rPr>
              <w:t>30,</w:t>
            </w:r>
          </w:p>
        </w:tc>
        <w:tc>
          <w:tcPr>
            <w:tcW w:w="851" w:type="dxa"/>
            <w:tcBorders>
              <w:bottom w:val="single" w:sz="4" w:space="0" w:color="000000"/>
            </w:tcBorders>
          </w:tcPr>
          <w:p>
            <w:pPr>
              <w:pStyle w:val="TableParagraph"/>
              <w:spacing w:line="190" w:lineRule="exact"/>
              <w:ind w:left="59"/>
              <w:rPr>
                <w:sz w:val="18"/>
              </w:rPr>
            </w:pPr>
            <w:r>
              <w:rPr>
                <w:spacing w:val="-2"/>
                <w:sz w:val="18"/>
              </w:rPr>
              <w:t>Change</w:t>
            </w:r>
          </w:p>
        </w:tc>
        <w:tc>
          <w:tcPr>
            <w:tcW w:w="1036" w:type="dxa"/>
            <w:tcBorders>
              <w:bottom w:val="single" w:sz="4" w:space="0" w:color="000000"/>
            </w:tcBorders>
          </w:tcPr>
          <w:p>
            <w:pPr>
              <w:pStyle w:val="TableParagraph"/>
              <w:spacing w:line="190" w:lineRule="exact"/>
              <w:ind w:left="178"/>
              <w:rPr>
                <w:sz w:val="18"/>
              </w:rPr>
            </w:pPr>
            <w:r>
              <w:rPr>
                <w:spacing w:val="-2"/>
                <w:sz w:val="18"/>
              </w:rPr>
              <w:t>Amount</w:t>
            </w:r>
          </w:p>
        </w:tc>
        <w:tc>
          <w:tcPr>
            <w:tcW w:w="928" w:type="dxa"/>
            <w:tcBorders>
              <w:bottom w:val="single" w:sz="4" w:space="0" w:color="000000"/>
            </w:tcBorders>
          </w:tcPr>
          <w:p>
            <w:pPr>
              <w:pStyle w:val="TableParagraph"/>
              <w:spacing w:line="190" w:lineRule="exact"/>
              <w:ind w:right="118"/>
              <w:jc w:val="right"/>
              <w:rPr>
                <w:sz w:val="18"/>
              </w:rPr>
            </w:pPr>
            <w:r>
              <w:rPr>
                <w:spacing w:val="-2"/>
                <w:sz w:val="18"/>
              </w:rPr>
              <w:t>Revenues</w:t>
            </w:r>
          </w:p>
        </w:tc>
        <w:tc>
          <w:tcPr>
            <w:tcW w:w="75" w:type="dxa"/>
            <w:tcBorders>
              <w:bottom w:val="single" w:sz="4" w:space="0" w:color="000000"/>
            </w:tcBorders>
          </w:tcPr>
          <w:p>
            <w:pPr>
              <w:pStyle w:val="TableParagraph"/>
              <w:rPr>
                <w:sz w:val="14"/>
              </w:rPr>
            </w:pPr>
          </w:p>
        </w:tc>
        <w:tc>
          <w:tcPr>
            <w:tcW w:w="1037" w:type="dxa"/>
            <w:tcBorders>
              <w:bottom w:val="single" w:sz="4" w:space="0" w:color="000000"/>
            </w:tcBorders>
          </w:tcPr>
          <w:p>
            <w:pPr>
              <w:pStyle w:val="TableParagraph"/>
              <w:spacing w:line="190" w:lineRule="exact"/>
              <w:ind w:left="179"/>
              <w:rPr>
                <w:sz w:val="18"/>
              </w:rPr>
            </w:pPr>
            <w:r>
              <w:rPr>
                <w:spacing w:val="-2"/>
                <w:sz w:val="18"/>
              </w:rPr>
              <w:t>Amount</w:t>
            </w:r>
          </w:p>
        </w:tc>
        <w:tc>
          <w:tcPr>
            <w:tcW w:w="929" w:type="dxa"/>
            <w:tcBorders>
              <w:bottom w:val="single" w:sz="4" w:space="0" w:color="000000"/>
            </w:tcBorders>
          </w:tcPr>
          <w:p>
            <w:pPr>
              <w:pStyle w:val="TableParagraph"/>
              <w:spacing w:line="190" w:lineRule="exact"/>
              <w:ind w:left="107"/>
              <w:rPr>
                <w:sz w:val="18"/>
              </w:rPr>
            </w:pPr>
            <w:r>
              <w:rPr>
                <w:spacing w:val="-2"/>
                <w:sz w:val="18"/>
              </w:rPr>
              <w:t>Revenues</w:t>
            </w:r>
          </w:p>
        </w:tc>
      </w:tr>
      <w:tr>
        <w:trPr>
          <w:trHeight w:val="280" w:hRule="atLeast"/>
        </w:trPr>
        <w:tc>
          <w:tcPr>
            <w:tcW w:w="5403" w:type="dxa"/>
            <w:tcBorders>
              <w:top w:val="single" w:sz="4" w:space="0" w:color="000000"/>
            </w:tcBorders>
          </w:tcPr>
          <w:p>
            <w:pPr>
              <w:pStyle w:val="TableParagraph"/>
              <w:spacing w:before="22"/>
              <w:ind w:left="52"/>
              <w:rPr>
                <w:b/>
                <w:sz w:val="18"/>
              </w:rPr>
            </w:pPr>
            <w:r>
              <w:rPr>
                <w:b/>
                <w:sz w:val="18"/>
              </w:rPr>
              <w:t>Net</w:t>
            </w:r>
            <w:r>
              <w:rPr>
                <w:b/>
                <w:spacing w:val="-2"/>
                <w:sz w:val="18"/>
              </w:rPr>
              <w:t> </w:t>
            </w:r>
            <w:r>
              <w:rPr>
                <w:b/>
                <w:sz w:val="18"/>
              </w:rPr>
              <w:t>interest</w:t>
            </w:r>
            <w:r>
              <w:rPr>
                <w:b/>
                <w:spacing w:val="-1"/>
                <w:sz w:val="18"/>
              </w:rPr>
              <w:t> </w:t>
            </w:r>
            <w:r>
              <w:rPr>
                <w:b/>
                <w:spacing w:val="-2"/>
                <w:sz w:val="18"/>
              </w:rPr>
              <w:t>revenue</w:t>
            </w:r>
          </w:p>
        </w:tc>
        <w:tc>
          <w:tcPr>
            <w:tcW w:w="851" w:type="dxa"/>
            <w:tcBorders>
              <w:top w:val="single" w:sz="4" w:space="0" w:color="000000"/>
            </w:tcBorders>
          </w:tcPr>
          <w:p>
            <w:pPr>
              <w:pStyle w:val="TableParagraph"/>
              <w:rPr>
                <w:sz w:val="18"/>
              </w:rPr>
            </w:pPr>
          </w:p>
        </w:tc>
        <w:tc>
          <w:tcPr>
            <w:tcW w:w="1036" w:type="dxa"/>
            <w:tcBorders>
              <w:top w:val="single" w:sz="4" w:space="0" w:color="000000"/>
            </w:tcBorders>
          </w:tcPr>
          <w:p>
            <w:pPr>
              <w:pStyle w:val="TableParagraph"/>
              <w:rPr>
                <w:sz w:val="18"/>
              </w:rPr>
            </w:pPr>
          </w:p>
        </w:tc>
        <w:tc>
          <w:tcPr>
            <w:tcW w:w="928" w:type="dxa"/>
            <w:tcBorders>
              <w:top w:val="single" w:sz="4" w:space="0" w:color="000000"/>
            </w:tcBorders>
          </w:tcPr>
          <w:p>
            <w:pPr>
              <w:pStyle w:val="TableParagraph"/>
              <w:rPr>
                <w:sz w:val="18"/>
              </w:rPr>
            </w:pPr>
          </w:p>
        </w:tc>
        <w:tc>
          <w:tcPr>
            <w:tcW w:w="75" w:type="dxa"/>
            <w:tcBorders>
              <w:top w:val="single" w:sz="4" w:space="0" w:color="000000"/>
            </w:tcBorders>
          </w:tcPr>
          <w:p>
            <w:pPr>
              <w:pStyle w:val="TableParagraph"/>
              <w:rPr>
                <w:sz w:val="18"/>
              </w:rPr>
            </w:pPr>
          </w:p>
        </w:tc>
        <w:tc>
          <w:tcPr>
            <w:tcW w:w="1037" w:type="dxa"/>
            <w:tcBorders>
              <w:top w:val="single" w:sz="4" w:space="0" w:color="000000"/>
            </w:tcBorders>
          </w:tcPr>
          <w:p>
            <w:pPr>
              <w:pStyle w:val="TableParagraph"/>
              <w:rPr>
                <w:sz w:val="18"/>
              </w:rPr>
            </w:pPr>
          </w:p>
        </w:tc>
        <w:tc>
          <w:tcPr>
            <w:tcW w:w="929" w:type="dxa"/>
            <w:tcBorders>
              <w:top w:val="single" w:sz="4" w:space="0" w:color="000000"/>
            </w:tcBorders>
          </w:tcPr>
          <w:p>
            <w:pPr>
              <w:pStyle w:val="TableParagraph"/>
              <w:rPr>
                <w:sz w:val="18"/>
              </w:rPr>
            </w:pPr>
          </w:p>
        </w:tc>
      </w:tr>
      <w:tr>
        <w:trPr>
          <w:trHeight w:val="285" w:hRule="atLeast"/>
        </w:trPr>
        <w:tc>
          <w:tcPr>
            <w:tcW w:w="5403" w:type="dxa"/>
            <w:shd w:val="clear" w:color="auto" w:fill="CCEDFF"/>
          </w:tcPr>
          <w:p>
            <w:pPr>
              <w:pStyle w:val="TableParagraph"/>
              <w:spacing w:before="28"/>
              <w:ind w:left="277"/>
              <w:rPr>
                <w:sz w:val="18"/>
              </w:rPr>
            </w:pPr>
            <w:r>
              <w:rPr>
                <w:sz w:val="18"/>
              </w:rPr>
              <w:t>Interest</w:t>
            </w:r>
            <w:r>
              <w:rPr>
                <w:spacing w:val="-1"/>
                <w:sz w:val="18"/>
              </w:rPr>
              <w:t> </w:t>
            </w:r>
            <w:r>
              <w:rPr>
                <w:spacing w:val="-2"/>
                <w:sz w:val="18"/>
              </w:rPr>
              <w:t>revenue</w:t>
            </w:r>
          </w:p>
        </w:tc>
        <w:tc>
          <w:tcPr>
            <w:tcW w:w="851" w:type="dxa"/>
            <w:shd w:val="clear" w:color="auto" w:fill="CCEDFF"/>
          </w:tcPr>
          <w:p>
            <w:pPr>
              <w:pStyle w:val="TableParagraph"/>
              <w:spacing w:before="28"/>
              <w:ind w:right="146"/>
              <w:jc w:val="right"/>
              <w:rPr>
                <w:sz w:val="18"/>
              </w:rPr>
            </w:pPr>
            <w:r>
              <w:rPr>
                <w:spacing w:val="-5"/>
                <w:sz w:val="18"/>
              </w:rPr>
              <w:t>20%</w:t>
            </w:r>
          </w:p>
        </w:tc>
        <w:tc>
          <w:tcPr>
            <w:tcW w:w="1036" w:type="dxa"/>
            <w:shd w:val="clear" w:color="auto" w:fill="CCEDFF"/>
          </w:tcPr>
          <w:p>
            <w:pPr>
              <w:pStyle w:val="TableParagraph"/>
              <w:tabs>
                <w:tab w:pos="466" w:val="left" w:leader="none"/>
              </w:tabs>
              <w:spacing w:before="28"/>
              <w:ind w:left="53"/>
              <w:rPr>
                <w:sz w:val="18"/>
              </w:rPr>
            </w:pPr>
            <w:r>
              <w:rPr>
                <w:spacing w:val="-10"/>
                <w:sz w:val="18"/>
              </w:rPr>
              <w:t>$</w:t>
            </w:r>
            <w:r>
              <w:rPr>
                <w:sz w:val="18"/>
              </w:rPr>
              <w:tab/>
            </w:r>
            <w:r>
              <w:rPr>
                <w:spacing w:val="-2"/>
                <w:sz w:val="18"/>
              </w:rPr>
              <w:t>4,028</w:t>
            </w:r>
          </w:p>
        </w:tc>
        <w:tc>
          <w:tcPr>
            <w:tcW w:w="928" w:type="dxa"/>
            <w:shd w:val="clear" w:color="auto" w:fill="CCEDFF"/>
          </w:tcPr>
          <w:p>
            <w:pPr>
              <w:pStyle w:val="TableParagraph"/>
              <w:spacing w:before="28"/>
              <w:ind w:right="70"/>
              <w:jc w:val="right"/>
              <w:rPr>
                <w:sz w:val="18"/>
              </w:rPr>
            </w:pPr>
            <w:r>
              <w:rPr>
                <w:spacing w:val="-5"/>
                <w:sz w:val="18"/>
              </w:rPr>
              <w:t>88%</w:t>
            </w:r>
          </w:p>
        </w:tc>
        <w:tc>
          <w:tcPr>
            <w:tcW w:w="75" w:type="dxa"/>
            <w:shd w:val="clear" w:color="auto" w:fill="CCEDFF"/>
          </w:tcPr>
          <w:p>
            <w:pPr>
              <w:pStyle w:val="TableParagraph"/>
              <w:rPr>
                <w:sz w:val="18"/>
              </w:rPr>
            </w:pPr>
          </w:p>
        </w:tc>
        <w:tc>
          <w:tcPr>
            <w:tcW w:w="1037" w:type="dxa"/>
            <w:shd w:val="clear" w:color="auto" w:fill="CCEDFF"/>
          </w:tcPr>
          <w:p>
            <w:pPr>
              <w:pStyle w:val="TableParagraph"/>
              <w:tabs>
                <w:tab w:pos="467" w:val="left" w:leader="none"/>
              </w:tabs>
              <w:spacing w:before="28"/>
              <w:ind w:left="54"/>
              <w:rPr>
                <w:sz w:val="18"/>
              </w:rPr>
            </w:pPr>
            <w:r>
              <w:rPr>
                <w:spacing w:val="-10"/>
                <w:sz w:val="18"/>
              </w:rPr>
              <w:t>$</w:t>
            </w:r>
            <w:r>
              <w:rPr>
                <w:sz w:val="18"/>
              </w:rPr>
              <w:tab/>
            </w:r>
            <w:r>
              <w:rPr>
                <w:spacing w:val="-2"/>
                <w:sz w:val="18"/>
              </w:rPr>
              <w:t>3,357</w:t>
            </w:r>
          </w:p>
        </w:tc>
        <w:tc>
          <w:tcPr>
            <w:tcW w:w="929" w:type="dxa"/>
            <w:shd w:val="clear" w:color="auto" w:fill="CCEDFF"/>
          </w:tcPr>
          <w:p>
            <w:pPr>
              <w:pStyle w:val="TableParagraph"/>
              <w:spacing w:before="28"/>
              <w:ind w:right="71"/>
              <w:jc w:val="right"/>
              <w:rPr>
                <w:sz w:val="18"/>
              </w:rPr>
            </w:pPr>
            <w:r>
              <w:rPr>
                <w:spacing w:val="-5"/>
                <w:sz w:val="18"/>
              </w:rPr>
              <w:t>61%</w:t>
            </w:r>
          </w:p>
        </w:tc>
      </w:tr>
      <w:tr>
        <w:trPr>
          <w:trHeight w:val="280" w:hRule="atLeast"/>
        </w:trPr>
        <w:tc>
          <w:tcPr>
            <w:tcW w:w="5403" w:type="dxa"/>
            <w:tcBorders>
              <w:bottom w:val="single" w:sz="4" w:space="0" w:color="000000"/>
            </w:tcBorders>
          </w:tcPr>
          <w:p>
            <w:pPr>
              <w:pStyle w:val="TableParagraph"/>
              <w:spacing w:before="28"/>
              <w:ind w:left="277"/>
              <w:rPr>
                <w:sz w:val="18"/>
              </w:rPr>
            </w:pPr>
            <w:r>
              <w:rPr>
                <w:sz w:val="18"/>
              </w:rPr>
              <w:t>Interest</w:t>
            </w:r>
            <w:r>
              <w:rPr>
                <w:spacing w:val="-1"/>
                <w:sz w:val="18"/>
              </w:rPr>
              <w:t> </w:t>
            </w:r>
            <w:r>
              <w:rPr>
                <w:spacing w:val="-2"/>
                <w:sz w:val="18"/>
              </w:rPr>
              <w:t>expense</w:t>
            </w:r>
          </w:p>
        </w:tc>
        <w:tc>
          <w:tcPr>
            <w:tcW w:w="851" w:type="dxa"/>
            <w:tcBorders>
              <w:bottom w:val="single" w:sz="4" w:space="0" w:color="000000"/>
            </w:tcBorders>
          </w:tcPr>
          <w:p>
            <w:pPr>
              <w:pStyle w:val="TableParagraph"/>
              <w:spacing w:before="28"/>
              <w:ind w:right="86"/>
              <w:jc w:val="right"/>
              <w:rPr>
                <w:sz w:val="18"/>
              </w:rPr>
            </w:pPr>
            <w:r>
              <w:rPr>
                <w:spacing w:val="-5"/>
                <w:sz w:val="18"/>
              </w:rPr>
              <w:t>N/M</w:t>
            </w:r>
          </w:p>
        </w:tc>
        <w:tc>
          <w:tcPr>
            <w:tcW w:w="1036" w:type="dxa"/>
            <w:tcBorders>
              <w:bottom w:val="single" w:sz="4" w:space="0" w:color="000000"/>
            </w:tcBorders>
          </w:tcPr>
          <w:p>
            <w:pPr>
              <w:pStyle w:val="TableParagraph"/>
              <w:spacing w:before="28"/>
              <w:ind w:left="406"/>
              <w:rPr>
                <w:sz w:val="18"/>
              </w:rPr>
            </w:pPr>
            <w:r>
              <w:rPr>
                <w:spacing w:val="-2"/>
                <w:sz w:val="18"/>
              </w:rPr>
              <w:t>(1,791)</w:t>
            </w:r>
          </w:p>
        </w:tc>
        <w:tc>
          <w:tcPr>
            <w:tcW w:w="928" w:type="dxa"/>
            <w:tcBorders>
              <w:bottom w:val="single" w:sz="4" w:space="0" w:color="000000"/>
            </w:tcBorders>
          </w:tcPr>
          <w:p>
            <w:pPr>
              <w:pStyle w:val="TableParagraph"/>
              <w:spacing w:before="28"/>
              <w:ind w:right="10"/>
              <w:jc w:val="right"/>
              <w:rPr>
                <w:sz w:val="18"/>
              </w:rPr>
            </w:pPr>
            <w:r>
              <w:rPr>
                <w:spacing w:val="-2"/>
                <w:sz w:val="18"/>
              </w:rPr>
              <w:t>(39)%</w:t>
            </w:r>
          </w:p>
        </w:tc>
        <w:tc>
          <w:tcPr>
            <w:tcW w:w="75" w:type="dxa"/>
            <w:tcBorders>
              <w:bottom w:val="single" w:sz="4" w:space="0" w:color="000000"/>
            </w:tcBorders>
          </w:tcPr>
          <w:p>
            <w:pPr>
              <w:pStyle w:val="TableParagraph"/>
              <w:rPr>
                <w:sz w:val="18"/>
              </w:rPr>
            </w:pPr>
          </w:p>
        </w:tc>
        <w:tc>
          <w:tcPr>
            <w:tcW w:w="1037" w:type="dxa"/>
            <w:tcBorders>
              <w:bottom w:val="single" w:sz="4" w:space="0" w:color="000000"/>
            </w:tcBorders>
          </w:tcPr>
          <w:p>
            <w:pPr>
              <w:pStyle w:val="TableParagraph"/>
              <w:spacing w:before="28"/>
              <w:ind w:right="102"/>
              <w:jc w:val="right"/>
              <w:rPr>
                <w:sz w:val="18"/>
              </w:rPr>
            </w:pPr>
            <w:r>
              <w:rPr>
                <w:spacing w:val="-2"/>
                <w:sz w:val="18"/>
              </w:rPr>
              <w:t>(431)</w:t>
            </w:r>
          </w:p>
        </w:tc>
        <w:tc>
          <w:tcPr>
            <w:tcW w:w="929" w:type="dxa"/>
            <w:tcBorders>
              <w:bottom w:val="single" w:sz="4" w:space="0" w:color="000000"/>
            </w:tcBorders>
          </w:tcPr>
          <w:p>
            <w:pPr>
              <w:pStyle w:val="TableParagraph"/>
              <w:spacing w:before="28"/>
              <w:ind w:right="11"/>
              <w:jc w:val="right"/>
              <w:rPr>
                <w:sz w:val="18"/>
              </w:rPr>
            </w:pPr>
            <w:r>
              <w:rPr>
                <w:spacing w:val="-4"/>
                <w:sz w:val="18"/>
              </w:rPr>
              <w:t>(8)%</w:t>
            </w:r>
          </w:p>
        </w:tc>
      </w:tr>
      <w:tr>
        <w:trPr>
          <w:trHeight w:val="275" w:hRule="atLeast"/>
        </w:trPr>
        <w:tc>
          <w:tcPr>
            <w:tcW w:w="5403" w:type="dxa"/>
            <w:tcBorders>
              <w:top w:val="single" w:sz="4" w:space="0" w:color="000000"/>
              <w:bottom w:val="single" w:sz="4" w:space="0" w:color="000000"/>
            </w:tcBorders>
            <w:shd w:val="clear" w:color="auto" w:fill="CCEDFF"/>
          </w:tcPr>
          <w:p>
            <w:pPr>
              <w:pStyle w:val="TableParagraph"/>
              <w:spacing w:before="23"/>
              <w:ind w:left="52"/>
              <w:rPr>
                <w:sz w:val="18"/>
              </w:rPr>
            </w:pPr>
            <w:r>
              <w:rPr>
                <w:sz w:val="18"/>
              </w:rPr>
              <w:t>Net</w:t>
            </w:r>
            <w:r>
              <w:rPr>
                <w:spacing w:val="-1"/>
                <w:sz w:val="18"/>
              </w:rPr>
              <w:t> </w:t>
            </w:r>
            <w:r>
              <w:rPr>
                <w:sz w:val="18"/>
              </w:rPr>
              <w:t>interest</w:t>
            </w:r>
            <w:r>
              <w:rPr>
                <w:spacing w:val="-1"/>
                <w:sz w:val="18"/>
              </w:rPr>
              <w:t> </w:t>
            </w:r>
            <w:r>
              <w:rPr>
                <w:spacing w:val="-2"/>
                <w:sz w:val="18"/>
              </w:rPr>
              <w:t>revenue</w:t>
            </w:r>
          </w:p>
        </w:tc>
        <w:tc>
          <w:tcPr>
            <w:tcW w:w="851" w:type="dxa"/>
            <w:tcBorders>
              <w:top w:val="single" w:sz="4" w:space="0" w:color="000000"/>
              <w:bottom w:val="single" w:sz="4" w:space="0" w:color="000000"/>
            </w:tcBorders>
            <w:shd w:val="clear" w:color="auto" w:fill="CCEDFF"/>
          </w:tcPr>
          <w:p>
            <w:pPr>
              <w:pStyle w:val="TableParagraph"/>
              <w:spacing w:before="23"/>
              <w:ind w:right="86"/>
              <w:jc w:val="right"/>
              <w:rPr>
                <w:sz w:val="18"/>
              </w:rPr>
            </w:pPr>
            <w:r>
              <w:rPr>
                <w:spacing w:val="-2"/>
                <w:sz w:val="18"/>
              </w:rPr>
              <w:t>(24)%</w:t>
            </w:r>
          </w:p>
        </w:tc>
        <w:tc>
          <w:tcPr>
            <w:tcW w:w="1036" w:type="dxa"/>
            <w:tcBorders>
              <w:top w:val="single" w:sz="4" w:space="0" w:color="000000"/>
              <w:bottom w:val="single" w:sz="4" w:space="0" w:color="000000"/>
            </w:tcBorders>
            <w:shd w:val="clear" w:color="auto" w:fill="CCEDFF"/>
          </w:tcPr>
          <w:p>
            <w:pPr>
              <w:pStyle w:val="TableParagraph"/>
              <w:spacing w:before="23"/>
              <w:ind w:left="466"/>
              <w:rPr>
                <w:sz w:val="18"/>
              </w:rPr>
            </w:pPr>
            <w:r>
              <w:rPr>
                <w:spacing w:val="-2"/>
                <w:sz w:val="18"/>
              </w:rPr>
              <w:t>2,237</w:t>
            </w:r>
          </w:p>
        </w:tc>
        <w:tc>
          <w:tcPr>
            <w:tcW w:w="928" w:type="dxa"/>
            <w:tcBorders>
              <w:top w:val="single" w:sz="4" w:space="0" w:color="000000"/>
              <w:bottom w:val="single" w:sz="4" w:space="0" w:color="000000"/>
            </w:tcBorders>
            <w:shd w:val="clear" w:color="auto" w:fill="CCEDFF"/>
          </w:tcPr>
          <w:p>
            <w:pPr>
              <w:pStyle w:val="TableParagraph"/>
              <w:spacing w:before="23"/>
              <w:ind w:right="70"/>
              <w:jc w:val="right"/>
              <w:rPr>
                <w:sz w:val="18"/>
              </w:rPr>
            </w:pPr>
            <w:r>
              <w:rPr>
                <w:spacing w:val="-5"/>
                <w:sz w:val="18"/>
              </w:rPr>
              <w:t>49%</w:t>
            </w:r>
          </w:p>
        </w:tc>
        <w:tc>
          <w:tcPr>
            <w:tcW w:w="75" w:type="dxa"/>
            <w:tcBorders>
              <w:top w:val="single" w:sz="4" w:space="0" w:color="000000"/>
              <w:bottom w:val="single" w:sz="4" w:space="0" w:color="000000"/>
            </w:tcBorders>
            <w:shd w:val="clear" w:color="auto" w:fill="CCEDFF"/>
          </w:tcPr>
          <w:p>
            <w:pPr>
              <w:pStyle w:val="TableParagraph"/>
              <w:rPr>
                <w:sz w:val="18"/>
              </w:rPr>
            </w:pPr>
          </w:p>
        </w:tc>
        <w:tc>
          <w:tcPr>
            <w:tcW w:w="1037" w:type="dxa"/>
            <w:tcBorders>
              <w:top w:val="single" w:sz="4" w:space="0" w:color="000000"/>
              <w:bottom w:val="single" w:sz="4" w:space="0" w:color="000000"/>
            </w:tcBorders>
            <w:shd w:val="clear" w:color="auto" w:fill="CCEDFF"/>
          </w:tcPr>
          <w:p>
            <w:pPr>
              <w:pStyle w:val="TableParagraph"/>
              <w:spacing w:before="23"/>
              <w:ind w:left="467"/>
              <w:rPr>
                <w:sz w:val="18"/>
              </w:rPr>
            </w:pPr>
            <w:r>
              <w:rPr>
                <w:spacing w:val="-2"/>
                <w:sz w:val="18"/>
              </w:rPr>
              <w:t>2,926</w:t>
            </w:r>
          </w:p>
        </w:tc>
        <w:tc>
          <w:tcPr>
            <w:tcW w:w="929" w:type="dxa"/>
            <w:tcBorders>
              <w:top w:val="single" w:sz="4" w:space="0" w:color="000000"/>
              <w:bottom w:val="single" w:sz="4" w:space="0" w:color="000000"/>
            </w:tcBorders>
            <w:shd w:val="clear" w:color="auto" w:fill="CCEDFF"/>
          </w:tcPr>
          <w:p>
            <w:pPr>
              <w:pStyle w:val="TableParagraph"/>
              <w:spacing w:before="23"/>
              <w:ind w:right="71"/>
              <w:jc w:val="right"/>
              <w:rPr>
                <w:sz w:val="18"/>
              </w:rPr>
            </w:pPr>
            <w:r>
              <w:rPr>
                <w:spacing w:val="-5"/>
                <w:sz w:val="18"/>
              </w:rPr>
              <w:t>53%</w:t>
            </w:r>
          </w:p>
        </w:tc>
      </w:tr>
      <w:tr>
        <w:trPr>
          <w:trHeight w:val="280" w:hRule="atLeast"/>
        </w:trPr>
        <w:tc>
          <w:tcPr>
            <w:tcW w:w="5403" w:type="dxa"/>
            <w:tcBorders>
              <w:top w:val="single" w:sz="4" w:space="0" w:color="000000"/>
            </w:tcBorders>
          </w:tcPr>
          <w:p>
            <w:pPr>
              <w:pStyle w:val="TableParagraph"/>
              <w:spacing w:before="22"/>
              <w:ind w:left="52"/>
              <w:rPr>
                <w:b/>
                <w:sz w:val="18"/>
              </w:rPr>
            </w:pPr>
            <w:r>
              <w:rPr>
                <w:b/>
                <w:sz w:val="18"/>
              </w:rPr>
              <w:t>Asset</w:t>
            </w:r>
            <w:r>
              <w:rPr>
                <w:b/>
                <w:spacing w:val="-3"/>
                <w:sz w:val="18"/>
              </w:rPr>
              <w:t> </w:t>
            </w:r>
            <w:r>
              <w:rPr>
                <w:b/>
                <w:sz w:val="18"/>
              </w:rPr>
              <w:t>management</w:t>
            </w:r>
            <w:r>
              <w:rPr>
                <w:b/>
                <w:spacing w:val="-2"/>
                <w:sz w:val="18"/>
              </w:rPr>
              <w:t> </w:t>
            </w:r>
            <w:r>
              <w:rPr>
                <w:b/>
                <w:sz w:val="18"/>
              </w:rPr>
              <w:t>and</w:t>
            </w:r>
            <w:r>
              <w:rPr>
                <w:b/>
                <w:spacing w:val="-3"/>
                <w:sz w:val="18"/>
              </w:rPr>
              <w:t> </w:t>
            </w:r>
            <w:r>
              <w:rPr>
                <w:b/>
                <w:sz w:val="18"/>
              </w:rPr>
              <w:t>administration</w:t>
            </w:r>
            <w:r>
              <w:rPr>
                <w:b/>
                <w:spacing w:val="-3"/>
                <w:sz w:val="18"/>
              </w:rPr>
              <w:t> </w:t>
            </w:r>
            <w:r>
              <w:rPr>
                <w:b/>
                <w:spacing w:val="-4"/>
                <w:sz w:val="18"/>
              </w:rPr>
              <w:t>fees</w:t>
            </w:r>
          </w:p>
        </w:tc>
        <w:tc>
          <w:tcPr>
            <w:tcW w:w="851" w:type="dxa"/>
            <w:tcBorders>
              <w:top w:val="single" w:sz="4" w:space="0" w:color="000000"/>
            </w:tcBorders>
          </w:tcPr>
          <w:p>
            <w:pPr>
              <w:pStyle w:val="TableParagraph"/>
              <w:rPr>
                <w:sz w:val="18"/>
              </w:rPr>
            </w:pPr>
          </w:p>
        </w:tc>
        <w:tc>
          <w:tcPr>
            <w:tcW w:w="1036" w:type="dxa"/>
            <w:tcBorders>
              <w:top w:val="single" w:sz="4" w:space="0" w:color="000000"/>
            </w:tcBorders>
          </w:tcPr>
          <w:p>
            <w:pPr>
              <w:pStyle w:val="TableParagraph"/>
              <w:rPr>
                <w:sz w:val="18"/>
              </w:rPr>
            </w:pPr>
          </w:p>
        </w:tc>
        <w:tc>
          <w:tcPr>
            <w:tcW w:w="928" w:type="dxa"/>
            <w:tcBorders>
              <w:top w:val="single" w:sz="4" w:space="0" w:color="000000"/>
            </w:tcBorders>
          </w:tcPr>
          <w:p>
            <w:pPr>
              <w:pStyle w:val="TableParagraph"/>
              <w:rPr>
                <w:sz w:val="18"/>
              </w:rPr>
            </w:pPr>
          </w:p>
        </w:tc>
        <w:tc>
          <w:tcPr>
            <w:tcW w:w="75" w:type="dxa"/>
            <w:tcBorders>
              <w:top w:val="single" w:sz="4" w:space="0" w:color="000000"/>
            </w:tcBorders>
          </w:tcPr>
          <w:p>
            <w:pPr>
              <w:pStyle w:val="TableParagraph"/>
              <w:rPr>
                <w:sz w:val="18"/>
              </w:rPr>
            </w:pPr>
          </w:p>
        </w:tc>
        <w:tc>
          <w:tcPr>
            <w:tcW w:w="1037" w:type="dxa"/>
            <w:tcBorders>
              <w:top w:val="single" w:sz="4" w:space="0" w:color="000000"/>
            </w:tcBorders>
          </w:tcPr>
          <w:p>
            <w:pPr>
              <w:pStyle w:val="TableParagraph"/>
              <w:rPr>
                <w:sz w:val="18"/>
              </w:rPr>
            </w:pPr>
          </w:p>
        </w:tc>
        <w:tc>
          <w:tcPr>
            <w:tcW w:w="929" w:type="dxa"/>
            <w:tcBorders>
              <w:top w:val="single" w:sz="4" w:space="0" w:color="000000"/>
            </w:tcBorders>
          </w:tcPr>
          <w:p>
            <w:pPr>
              <w:pStyle w:val="TableParagraph"/>
              <w:rPr>
                <w:sz w:val="18"/>
              </w:rPr>
            </w:pPr>
          </w:p>
        </w:tc>
      </w:tr>
      <w:tr>
        <w:trPr>
          <w:trHeight w:val="435" w:hRule="atLeast"/>
        </w:trPr>
        <w:tc>
          <w:tcPr>
            <w:tcW w:w="5403" w:type="dxa"/>
            <w:shd w:val="clear" w:color="auto" w:fill="CCEDFF"/>
          </w:tcPr>
          <w:p>
            <w:pPr>
              <w:pStyle w:val="TableParagraph"/>
              <w:spacing w:line="208" w:lineRule="auto" w:before="35"/>
              <w:ind w:left="367" w:right="85" w:hanging="90"/>
              <w:rPr>
                <w:sz w:val="18"/>
              </w:rPr>
            </w:pPr>
            <w:r>
              <w:rPr>
                <w:sz w:val="18"/>
              </w:rPr>
              <w:t>Mutual</w:t>
            </w:r>
            <w:r>
              <w:rPr>
                <w:spacing w:val="-6"/>
                <w:sz w:val="18"/>
              </w:rPr>
              <w:t> </w:t>
            </w:r>
            <w:r>
              <w:rPr>
                <w:sz w:val="18"/>
              </w:rPr>
              <w:t>funds,</w:t>
            </w:r>
            <w:r>
              <w:rPr>
                <w:spacing w:val="-6"/>
                <w:sz w:val="18"/>
              </w:rPr>
              <w:t> </w:t>
            </w:r>
            <w:r>
              <w:rPr>
                <w:sz w:val="18"/>
              </w:rPr>
              <w:t>exchange-traded</w:t>
            </w:r>
            <w:r>
              <w:rPr>
                <w:spacing w:val="-6"/>
                <w:sz w:val="18"/>
              </w:rPr>
              <w:t> </w:t>
            </w:r>
            <w:r>
              <w:rPr>
                <w:sz w:val="18"/>
              </w:rPr>
              <w:t>funds</w:t>
            </w:r>
            <w:r>
              <w:rPr>
                <w:spacing w:val="-7"/>
                <w:sz w:val="18"/>
              </w:rPr>
              <w:t> </w:t>
            </w:r>
            <w:r>
              <w:rPr>
                <w:sz w:val="18"/>
              </w:rPr>
              <w:t>(ETFs),</w:t>
            </w:r>
            <w:r>
              <w:rPr>
                <w:spacing w:val="-6"/>
                <w:sz w:val="18"/>
              </w:rPr>
              <w:t> </w:t>
            </w:r>
            <w:r>
              <w:rPr>
                <w:sz w:val="18"/>
              </w:rPr>
              <w:t>and</w:t>
            </w:r>
            <w:r>
              <w:rPr>
                <w:spacing w:val="-6"/>
                <w:sz w:val="18"/>
              </w:rPr>
              <w:t> </w:t>
            </w:r>
            <w:r>
              <w:rPr>
                <w:sz w:val="18"/>
              </w:rPr>
              <w:t>collective</w:t>
            </w:r>
            <w:r>
              <w:rPr>
                <w:spacing w:val="-6"/>
                <w:sz w:val="18"/>
              </w:rPr>
              <w:t> </w:t>
            </w:r>
            <w:r>
              <w:rPr>
                <w:sz w:val="18"/>
              </w:rPr>
              <w:t>trust funds (CTFs)</w:t>
            </w:r>
          </w:p>
        </w:tc>
        <w:tc>
          <w:tcPr>
            <w:tcW w:w="851" w:type="dxa"/>
            <w:shd w:val="clear" w:color="auto" w:fill="CCEDFF"/>
          </w:tcPr>
          <w:p>
            <w:pPr>
              <w:pStyle w:val="TableParagraph"/>
              <w:spacing w:before="103"/>
              <w:ind w:right="146"/>
              <w:jc w:val="right"/>
              <w:rPr>
                <w:sz w:val="18"/>
              </w:rPr>
            </w:pPr>
            <w:r>
              <w:rPr>
                <w:spacing w:val="-5"/>
                <w:sz w:val="18"/>
              </w:rPr>
              <w:t>28%</w:t>
            </w:r>
          </w:p>
        </w:tc>
        <w:tc>
          <w:tcPr>
            <w:tcW w:w="1036" w:type="dxa"/>
            <w:shd w:val="clear" w:color="auto" w:fill="CCEDFF"/>
          </w:tcPr>
          <w:p>
            <w:pPr>
              <w:pStyle w:val="TableParagraph"/>
              <w:spacing w:before="103"/>
              <w:ind w:left="601"/>
              <w:rPr>
                <w:sz w:val="18"/>
              </w:rPr>
            </w:pPr>
            <w:r>
              <w:rPr>
                <w:spacing w:val="-5"/>
                <w:sz w:val="18"/>
              </w:rPr>
              <w:t>666</w:t>
            </w:r>
          </w:p>
        </w:tc>
        <w:tc>
          <w:tcPr>
            <w:tcW w:w="928" w:type="dxa"/>
            <w:shd w:val="clear" w:color="auto" w:fill="CCEDFF"/>
          </w:tcPr>
          <w:p>
            <w:pPr>
              <w:pStyle w:val="TableParagraph"/>
              <w:spacing w:before="103"/>
              <w:ind w:right="70"/>
              <w:jc w:val="right"/>
              <w:rPr>
                <w:sz w:val="18"/>
              </w:rPr>
            </w:pPr>
            <w:r>
              <w:rPr>
                <w:spacing w:val="-5"/>
                <w:sz w:val="18"/>
              </w:rPr>
              <w:t>14%</w:t>
            </w:r>
          </w:p>
        </w:tc>
        <w:tc>
          <w:tcPr>
            <w:tcW w:w="75" w:type="dxa"/>
            <w:shd w:val="clear" w:color="auto" w:fill="CCEDFF"/>
          </w:tcPr>
          <w:p>
            <w:pPr>
              <w:pStyle w:val="TableParagraph"/>
              <w:rPr>
                <w:sz w:val="18"/>
              </w:rPr>
            </w:pPr>
          </w:p>
        </w:tc>
        <w:tc>
          <w:tcPr>
            <w:tcW w:w="1037" w:type="dxa"/>
            <w:shd w:val="clear" w:color="auto" w:fill="CCEDFF"/>
          </w:tcPr>
          <w:p>
            <w:pPr>
              <w:pStyle w:val="TableParagraph"/>
              <w:spacing w:before="103"/>
              <w:ind w:left="602"/>
              <w:rPr>
                <w:sz w:val="18"/>
              </w:rPr>
            </w:pPr>
            <w:r>
              <w:rPr>
                <w:spacing w:val="-5"/>
                <w:sz w:val="18"/>
              </w:rPr>
              <w:t>520</w:t>
            </w:r>
          </w:p>
        </w:tc>
        <w:tc>
          <w:tcPr>
            <w:tcW w:w="929" w:type="dxa"/>
            <w:shd w:val="clear" w:color="auto" w:fill="CCEDFF"/>
          </w:tcPr>
          <w:p>
            <w:pPr>
              <w:pStyle w:val="TableParagraph"/>
              <w:spacing w:before="103"/>
              <w:ind w:right="71"/>
              <w:jc w:val="right"/>
              <w:rPr>
                <w:sz w:val="18"/>
              </w:rPr>
            </w:pPr>
            <w:r>
              <w:rPr>
                <w:spacing w:val="-5"/>
                <w:sz w:val="18"/>
              </w:rPr>
              <w:t>9%</w:t>
            </w:r>
          </w:p>
        </w:tc>
      </w:tr>
      <w:tr>
        <w:trPr>
          <w:trHeight w:val="285" w:hRule="atLeast"/>
        </w:trPr>
        <w:tc>
          <w:tcPr>
            <w:tcW w:w="5403" w:type="dxa"/>
          </w:tcPr>
          <w:p>
            <w:pPr>
              <w:pStyle w:val="TableParagraph"/>
              <w:spacing w:before="28"/>
              <w:ind w:left="277"/>
              <w:rPr>
                <w:sz w:val="18"/>
              </w:rPr>
            </w:pPr>
            <w:r>
              <w:rPr>
                <w:sz w:val="18"/>
              </w:rPr>
              <w:t>Advice</w:t>
            </w:r>
            <w:r>
              <w:rPr>
                <w:spacing w:val="-1"/>
                <w:sz w:val="18"/>
              </w:rPr>
              <w:t> </w:t>
            </w:r>
            <w:r>
              <w:rPr>
                <w:spacing w:val="-2"/>
                <w:sz w:val="18"/>
              </w:rPr>
              <w:t>solutions</w:t>
            </w:r>
          </w:p>
        </w:tc>
        <w:tc>
          <w:tcPr>
            <w:tcW w:w="851" w:type="dxa"/>
          </w:tcPr>
          <w:p>
            <w:pPr>
              <w:pStyle w:val="TableParagraph"/>
              <w:spacing w:before="28"/>
              <w:ind w:right="146"/>
              <w:jc w:val="right"/>
              <w:rPr>
                <w:sz w:val="18"/>
              </w:rPr>
            </w:pPr>
            <w:r>
              <w:rPr>
                <w:spacing w:val="-5"/>
                <w:sz w:val="18"/>
              </w:rPr>
              <w:t>5%</w:t>
            </w:r>
          </w:p>
        </w:tc>
        <w:tc>
          <w:tcPr>
            <w:tcW w:w="1036" w:type="dxa"/>
          </w:tcPr>
          <w:p>
            <w:pPr>
              <w:pStyle w:val="TableParagraph"/>
              <w:spacing w:before="28"/>
              <w:ind w:left="601"/>
              <w:rPr>
                <w:sz w:val="18"/>
              </w:rPr>
            </w:pPr>
            <w:r>
              <w:rPr>
                <w:spacing w:val="-5"/>
                <w:sz w:val="18"/>
              </w:rPr>
              <w:t>476</w:t>
            </w:r>
          </w:p>
        </w:tc>
        <w:tc>
          <w:tcPr>
            <w:tcW w:w="928" w:type="dxa"/>
          </w:tcPr>
          <w:p>
            <w:pPr>
              <w:pStyle w:val="TableParagraph"/>
              <w:spacing w:before="28"/>
              <w:ind w:right="70"/>
              <w:jc w:val="right"/>
              <w:rPr>
                <w:sz w:val="18"/>
              </w:rPr>
            </w:pPr>
            <w:r>
              <w:rPr>
                <w:spacing w:val="-5"/>
                <w:sz w:val="18"/>
              </w:rPr>
              <w:t>10%</w:t>
            </w:r>
          </w:p>
        </w:tc>
        <w:tc>
          <w:tcPr>
            <w:tcW w:w="1112" w:type="dxa"/>
            <w:gridSpan w:val="2"/>
          </w:tcPr>
          <w:p>
            <w:pPr>
              <w:pStyle w:val="TableParagraph"/>
              <w:spacing w:before="28"/>
              <w:ind w:left="677"/>
              <w:rPr>
                <w:sz w:val="18"/>
              </w:rPr>
            </w:pPr>
            <w:r>
              <w:rPr>
                <w:spacing w:val="-5"/>
                <w:sz w:val="18"/>
              </w:rPr>
              <w:t>452</w:t>
            </w:r>
          </w:p>
        </w:tc>
        <w:tc>
          <w:tcPr>
            <w:tcW w:w="929" w:type="dxa"/>
          </w:tcPr>
          <w:p>
            <w:pPr>
              <w:pStyle w:val="TableParagraph"/>
              <w:spacing w:before="28"/>
              <w:ind w:right="71"/>
              <w:jc w:val="right"/>
              <w:rPr>
                <w:sz w:val="18"/>
              </w:rPr>
            </w:pPr>
            <w:r>
              <w:rPr>
                <w:spacing w:val="-5"/>
                <w:sz w:val="18"/>
              </w:rPr>
              <w:t>8%</w:t>
            </w:r>
          </w:p>
        </w:tc>
      </w:tr>
      <w:tr>
        <w:trPr>
          <w:trHeight w:val="280" w:hRule="atLeast"/>
        </w:trPr>
        <w:tc>
          <w:tcPr>
            <w:tcW w:w="5403" w:type="dxa"/>
            <w:tcBorders>
              <w:bottom w:val="single" w:sz="4" w:space="0" w:color="000000"/>
            </w:tcBorders>
            <w:shd w:val="clear" w:color="auto" w:fill="CCEDFF"/>
          </w:tcPr>
          <w:p>
            <w:pPr>
              <w:pStyle w:val="TableParagraph"/>
              <w:spacing w:before="28"/>
              <w:ind w:left="277"/>
              <w:rPr>
                <w:sz w:val="18"/>
              </w:rPr>
            </w:pPr>
            <w:r>
              <w:rPr>
                <w:spacing w:val="-2"/>
                <w:sz w:val="18"/>
              </w:rPr>
              <w:t>Other</w:t>
            </w:r>
          </w:p>
        </w:tc>
        <w:tc>
          <w:tcPr>
            <w:tcW w:w="851" w:type="dxa"/>
            <w:tcBorders>
              <w:bottom w:val="single" w:sz="4" w:space="0" w:color="000000"/>
            </w:tcBorders>
            <w:shd w:val="clear" w:color="auto" w:fill="CCEDFF"/>
          </w:tcPr>
          <w:p>
            <w:pPr>
              <w:pStyle w:val="TableParagraph"/>
              <w:spacing w:before="28"/>
              <w:ind w:right="146"/>
              <w:jc w:val="right"/>
              <w:rPr>
                <w:sz w:val="18"/>
              </w:rPr>
            </w:pPr>
            <w:r>
              <w:rPr>
                <w:spacing w:val="-5"/>
                <w:sz w:val="18"/>
              </w:rPr>
              <w:t>9%</w:t>
            </w:r>
          </w:p>
        </w:tc>
        <w:tc>
          <w:tcPr>
            <w:tcW w:w="1036" w:type="dxa"/>
            <w:tcBorders>
              <w:bottom w:val="single" w:sz="4" w:space="0" w:color="000000"/>
            </w:tcBorders>
            <w:shd w:val="clear" w:color="auto" w:fill="CCEDFF"/>
          </w:tcPr>
          <w:p>
            <w:pPr>
              <w:pStyle w:val="TableParagraph"/>
              <w:spacing w:before="48"/>
              <w:ind w:right="162"/>
              <w:jc w:val="right"/>
              <w:rPr>
                <w:sz w:val="18"/>
              </w:rPr>
            </w:pPr>
            <w:r>
              <w:rPr>
                <w:spacing w:val="-5"/>
                <w:sz w:val="18"/>
              </w:rPr>
              <w:t>82</w:t>
            </w:r>
          </w:p>
        </w:tc>
        <w:tc>
          <w:tcPr>
            <w:tcW w:w="928" w:type="dxa"/>
            <w:tcBorders>
              <w:bottom w:val="single" w:sz="4" w:space="0" w:color="000000"/>
            </w:tcBorders>
            <w:shd w:val="clear" w:color="auto" w:fill="CCEDFF"/>
          </w:tcPr>
          <w:p>
            <w:pPr>
              <w:pStyle w:val="TableParagraph"/>
              <w:spacing w:before="28"/>
              <w:ind w:right="70"/>
              <w:jc w:val="right"/>
              <w:rPr>
                <w:sz w:val="18"/>
              </w:rPr>
            </w:pPr>
            <w:r>
              <w:rPr>
                <w:spacing w:val="-5"/>
                <w:sz w:val="18"/>
              </w:rPr>
              <w:t>2%</w:t>
            </w:r>
          </w:p>
        </w:tc>
        <w:tc>
          <w:tcPr>
            <w:tcW w:w="1112" w:type="dxa"/>
            <w:gridSpan w:val="2"/>
            <w:tcBorders>
              <w:bottom w:val="single" w:sz="4" w:space="0" w:color="000000"/>
            </w:tcBorders>
            <w:shd w:val="clear" w:color="auto" w:fill="CCEDFF"/>
          </w:tcPr>
          <w:p>
            <w:pPr>
              <w:pStyle w:val="TableParagraph"/>
              <w:spacing w:before="28"/>
              <w:ind w:right="162"/>
              <w:jc w:val="right"/>
              <w:rPr>
                <w:sz w:val="18"/>
              </w:rPr>
            </w:pPr>
            <w:r>
              <w:rPr>
                <w:spacing w:val="-5"/>
                <w:sz w:val="18"/>
              </w:rPr>
              <w:t>75</w:t>
            </w:r>
          </w:p>
        </w:tc>
        <w:tc>
          <w:tcPr>
            <w:tcW w:w="929" w:type="dxa"/>
            <w:tcBorders>
              <w:bottom w:val="single" w:sz="4" w:space="0" w:color="000000"/>
            </w:tcBorders>
            <w:shd w:val="clear" w:color="auto" w:fill="CCEDFF"/>
          </w:tcPr>
          <w:p>
            <w:pPr>
              <w:pStyle w:val="TableParagraph"/>
              <w:spacing w:before="28"/>
              <w:ind w:right="71"/>
              <w:jc w:val="right"/>
              <w:rPr>
                <w:sz w:val="18"/>
              </w:rPr>
            </w:pPr>
            <w:r>
              <w:rPr>
                <w:spacing w:val="-5"/>
                <w:sz w:val="18"/>
              </w:rPr>
              <w:t>2%</w:t>
            </w:r>
          </w:p>
        </w:tc>
      </w:tr>
      <w:tr>
        <w:trPr>
          <w:trHeight w:val="275" w:hRule="atLeast"/>
        </w:trPr>
        <w:tc>
          <w:tcPr>
            <w:tcW w:w="5403" w:type="dxa"/>
            <w:tcBorders>
              <w:top w:val="single" w:sz="4" w:space="0" w:color="000000"/>
              <w:bottom w:val="single" w:sz="4" w:space="0" w:color="000000"/>
            </w:tcBorders>
          </w:tcPr>
          <w:p>
            <w:pPr>
              <w:pStyle w:val="TableParagraph"/>
              <w:spacing w:before="23"/>
              <w:ind w:left="52"/>
              <w:rPr>
                <w:sz w:val="18"/>
              </w:rPr>
            </w:pPr>
            <w:r>
              <w:rPr>
                <w:sz w:val="18"/>
              </w:rPr>
              <w:t>Asset</w:t>
            </w:r>
            <w:r>
              <w:rPr>
                <w:spacing w:val="-1"/>
                <w:sz w:val="18"/>
              </w:rPr>
              <w:t> </w:t>
            </w:r>
            <w:r>
              <w:rPr>
                <w:sz w:val="18"/>
              </w:rPr>
              <w:t>management</w:t>
            </w:r>
            <w:r>
              <w:rPr>
                <w:spacing w:val="-1"/>
                <w:sz w:val="18"/>
              </w:rPr>
              <w:t> </w:t>
            </w:r>
            <w:r>
              <w:rPr>
                <w:sz w:val="18"/>
              </w:rPr>
              <w:t>and</w:t>
            </w:r>
            <w:r>
              <w:rPr>
                <w:spacing w:val="-1"/>
                <w:sz w:val="18"/>
              </w:rPr>
              <w:t> </w:t>
            </w:r>
            <w:r>
              <w:rPr>
                <w:sz w:val="18"/>
              </w:rPr>
              <w:t>administration</w:t>
            </w:r>
            <w:r>
              <w:rPr>
                <w:spacing w:val="-1"/>
                <w:sz w:val="18"/>
              </w:rPr>
              <w:t> </w:t>
            </w:r>
            <w:r>
              <w:rPr>
                <w:spacing w:val="-4"/>
                <w:sz w:val="18"/>
              </w:rPr>
              <w:t>fees</w:t>
            </w:r>
          </w:p>
        </w:tc>
        <w:tc>
          <w:tcPr>
            <w:tcW w:w="851" w:type="dxa"/>
            <w:tcBorders>
              <w:top w:val="single" w:sz="4" w:space="0" w:color="000000"/>
              <w:bottom w:val="single" w:sz="4" w:space="0" w:color="000000"/>
            </w:tcBorders>
          </w:tcPr>
          <w:p>
            <w:pPr>
              <w:pStyle w:val="TableParagraph"/>
              <w:spacing w:before="23"/>
              <w:ind w:right="146"/>
              <w:jc w:val="right"/>
              <w:rPr>
                <w:sz w:val="18"/>
              </w:rPr>
            </w:pPr>
            <w:r>
              <w:rPr>
                <w:spacing w:val="-5"/>
                <w:sz w:val="18"/>
              </w:rPr>
              <w:t>17%</w:t>
            </w:r>
          </w:p>
        </w:tc>
        <w:tc>
          <w:tcPr>
            <w:tcW w:w="1036" w:type="dxa"/>
            <w:tcBorders>
              <w:top w:val="single" w:sz="4" w:space="0" w:color="000000"/>
              <w:bottom w:val="single" w:sz="4" w:space="0" w:color="000000"/>
            </w:tcBorders>
          </w:tcPr>
          <w:p>
            <w:pPr>
              <w:pStyle w:val="TableParagraph"/>
              <w:spacing w:before="23"/>
              <w:ind w:left="466"/>
              <w:rPr>
                <w:sz w:val="18"/>
              </w:rPr>
            </w:pPr>
            <w:r>
              <w:rPr>
                <w:spacing w:val="-2"/>
                <w:sz w:val="18"/>
              </w:rPr>
              <w:t>1,224</w:t>
            </w:r>
          </w:p>
        </w:tc>
        <w:tc>
          <w:tcPr>
            <w:tcW w:w="928" w:type="dxa"/>
            <w:tcBorders>
              <w:top w:val="single" w:sz="4" w:space="0" w:color="000000"/>
              <w:bottom w:val="single" w:sz="4" w:space="0" w:color="000000"/>
            </w:tcBorders>
          </w:tcPr>
          <w:p>
            <w:pPr>
              <w:pStyle w:val="TableParagraph"/>
              <w:spacing w:before="23"/>
              <w:ind w:right="70"/>
              <w:jc w:val="right"/>
              <w:rPr>
                <w:sz w:val="18"/>
              </w:rPr>
            </w:pPr>
            <w:r>
              <w:rPr>
                <w:spacing w:val="-5"/>
                <w:sz w:val="18"/>
              </w:rPr>
              <w:t>26%</w:t>
            </w:r>
          </w:p>
        </w:tc>
        <w:tc>
          <w:tcPr>
            <w:tcW w:w="1112" w:type="dxa"/>
            <w:gridSpan w:val="2"/>
            <w:tcBorders>
              <w:top w:val="single" w:sz="4" w:space="0" w:color="000000"/>
              <w:bottom w:val="single" w:sz="4" w:space="0" w:color="000000"/>
            </w:tcBorders>
          </w:tcPr>
          <w:p>
            <w:pPr>
              <w:pStyle w:val="TableParagraph"/>
              <w:spacing w:before="23"/>
              <w:ind w:left="542"/>
              <w:rPr>
                <w:sz w:val="18"/>
              </w:rPr>
            </w:pPr>
            <w:r>
              <w:rPr>
                <w:spacing w:val="-2"/>
                <w:sz w:val="18"/>
              </w:rPr>
              <w:t>1,047</w:t>
            </w:r>
          </w:p>
        </w:tc>
        <w:tc>
          <w:tcPr>
            <w:tcW w:w="929" w:type="dxa"/>
            <w:tcBorders>
              <w:top w:val="single" w:sz="4" w:space="0" w:color="000000"/>
              <w:bottom w:val="single" w:sz="4" w:space="0" w:color="000000"/>
            </w:tcBorders>
          </w:tcPr>
          <w:p>
            <w:pPr>
              <w:pStyle w:val="TableParagraph"/>
              <w:spacing w:before="23"/>
              <w:ind w:right="71"/>
              <w:jc w:val="right"/>
              <w:rPr>
                <w:sz w:val="18"/>
              </w:rPr>
            </w:pPr>
            <w:r>
              <w:rPr>
                <w:spacing w:val="-5"/>
                <w:sz w:val="18"/>
              </w:rPr>
              <w:t>19%</w:t>
            </w:r>
          </w:p>
        </w:tc>
      </w:tr>
      <w:tr>
        <w:trPr>
          <w:trHeight w:val="280" w:hRule="atLeast"/>
        </w:trPr>
        <w:tc>
          <w:tcPr>
            <w:tcW w:w="5403" w:type="dxa"/>
            <w:tcBorders>
              <w:top w:val="single" w:sz="4" w:space="0" w:color="000000"/>
            </w:tcBorders>
            <w:shd w:val="clear" w:color="auto" w:fill="CCEDFF"/>
          </w:tcPr>
          <w:p>
            <w:pPr>
              <w:pStyle w:val="TableParagraph"/>
              <w:spacing w:before="22"/>
              <w:ind w:left="52"/>
              <w:rPr>
                <w:b/>
                <w:sz w:val="18"/>
              </w:rPr>
            </w:pPr>
            <w:r>
              <w:rPr>
                <w:b/>
                <w:sz w:val="18"/>
              </w:rPr>
              <w:t>Trading</w:t>
            </w:r>
            <w:r>
              <w:rPr>
                <w:b/>
                <w:spacing w:val="-4"/>
                <w:sz w:val="18"/>
              </w:rPr>
              <w:t> </w:t>
            </w:r>
            <w:r>
              <w:rPr>
                <w:b/>
                <w:spacing w:val="-2"/>
                <w:sz w:val="18"/>
              </w:rPr>
              <w:t>revenue</w:t>
            </w:r>
          </w:p>
        </w:tc>
        <w:tc>
          <w:tcPr>
            <w:tcW w:w="851" w:type="dxa"/>
            <w:tcBorders>
              <w:top w:val="single" w:sz="4" w:space="0" w:color="000000"/>
            </w:tcBorders>
            <w:shd w:val="clear" w:color="auto" w:fill="CCEDFF"/>
          </w:tcPr>
          <w:p>
            <w:pPr>
              <w:pStyle w:val="TableParagraph"/>
              <w:rPr>
                <w:sz w:val="18"/>
              </w:rPr>
            </w:pPr>
          </w:p>
        </w:tc>
        <w:tc>
          <w:tcPr>
            <w:tcW w:w="1036" w:type="dxa"/>
            <w:tcBorders>
              <w:top w:val="single" w:sz="4" w:space="0" w:color="000000"/>
            </w:tcBorders>
            <w:shd w:val="clear" w:color="auto" w:fill="CCEDFF"/>
          </w:tcPr>
          <w:p>
            <w:pPr>
              <w:pStyle w:val="TableParagraph"/>
              <w:rPr>
                <w:sz w:val="18"/>
              </w:rPr>
            </w:pPr>
          </w:p>
        </w:tc>
        <w:tc>
          <w:tcPr>
            <w:tcW w:w="928" w:type="dxa"/>
            <w:tcBorders>
              <w:top w:val="single" w:sz="4" w:space="0" w:color="000000"/>
            </w:tcBorders>
            <w:shd w:val="clear" w:color="auto" w:fill="CCEDFF"/>
          </w:tcPr>
          <w:p>
            <w:pPr>
              <w:pStyle w:val="TableParagraph"/>
              <w:rPr>
                <w:sz w:val="18"/>
              </w:rPr>
            </w:pPr>
          </w:p>
        </w:tc>
        <w:tc>
          <w:tcPr>
            <w:tcW w:w="1112" w:type="dxa"/>
            <w:gridSpan w:val="2"/>
            <w:tcBorders>
              <w:top w:val="single" w:sz="4" w:space="0" w:color="000000"/>
            </w:tcBorders>
            <w:shd w:val="clear" w:color="auto" w:fill="CCEDFF"/>
          </w:tcPr>
          <w:p>
            <w:pPr>
              <w:pStyle w:val="TableParagraph"/>
              <w:rPr>
                <w:sz w:val="18"/>
              </w:rPr>
            </w:pPr>
          </w:p>
        </w:tc>
        <w:tc>
          <w:tcPr>
            <w:tcW w:w="929" w:type="dxa"/>
            <w:tcBorders>
              <w:top w:val="single" w:sz="4" w:space="0" w:color="000000"/>
            </w:tcBorders>
            <w:shd w:val="clear" w:color="auto" w:fill="CCEDFF"/>
          </w:tcPr>
          <w:p>
            <w:pPr>
              <w:pStyle w:val="TableParagraph"/>
              <w:rPr>
                <w:sz w:val="18"/>
              </w:rPr>
            </w:pPr>
          </w:p>
        </w:tc>
      </w:tr>
      <w:tr>
        <w:trPr>
          <w:trHeight w:val="285" w:hRule="atLeast"/>
        </w:trPr>
        <w:tc>
          <w:tcPr>
            <w:tcW w:w="5403" w:type="dxa"/>
          </w:tcPr>
          <w:p>
            <w:pPr>
              <w:pStyle w:val="TableParagraph"/>
              <w:spacing w:before="28"/>
              <w:ind w:left="277"/>
              <w:rPr>
                <w:sz w:val="18"/>
              </w:rPr>
            </w:pPr>
            <w:r>
              <w:rPr>
                <w:spacing w:val="-2"/>
                <w:sz w:val="18"/>
              </w:rPr>
              <w:t>Commissions</w:t>
            </w:r>
          </w:p>
        </w:tc>
        <w:tc>
          <w:tcPr>
            <w:tcW w:w="851" w:type="dxa"/>
          </w:tcPr>
          <w:p>
            <w:pPr>
              <w:pStyle w:val="TableParagraph"/>
              <w:spacing w:before="28"/>
              <w:ind w:right="86"/>
              <w:jc w:val="right"/>
              <w:rPr>
                <w:sz w:val="18"/>
              </w:rPr>
            </w:pPr>
            <w:r>
              <w:rPr>
                <w:spacing w:val="-4"/>
                <w:sz w:val="18"/>
              </w:rPr>
              <w:t>(9)%</w:t>
            </w:r>
          </w:p>
        </w:tc>
        <w:tc>
          <w:tcPr>
            <w:tcW w:w="1036" w:type="dxa"/>
          </w:tcPr>
          <w:p>
            <w:pPr>
              <w:pStyle w:val="TableParagraph"/>
              <w:spacing w:before="28"/>
              <w:ind w:left="601"/>
              <w:rPr>
                <w:sz w:val="18"/>
              </w:rPr>
            </w:pPr>
            <w:r>
              <w:rPr>
                <w:spacing w:val="-5"/>
                <w:sz w:val="18"/>
              </w:rPr>
              <w:t>394</w:t>
            </w:r>
          </w:p>
        </w:tc>
        <w:tc>
          <w:tcPr>
            <w:tcW w:w="928" w:type="dxa"/>
          </w:tcPr>
          <w:p>
            <w:pPr>
              <w:pStyle w:val="TableParagraph"/>
              <w:spacing w:before="28"/>
              <w:ind w:right="70"/>
              <w:jc w:val="right"/>
              <w:rPr>
                <w:sz w:val="18"/>
              </w:rPr>
            </w:pPr>
            <w:r>
              <w:rPr>
                <w:spacing w:val="-5"/>
                <w:sz w:val="18"/>
              </w:rPr>
              <w:t>9%</w:t>
            </w:r>
          </w:p>
        </w:tc>
        <w:tc>
          <w:tcPr>
            <w:tcW w:w="1112" w:type="dxa"/>
            <w:gridSpan w:val="2"/>
          </w:tcPr>
          <w:p>
            <w:pPr>
              <w:pStyle w:val="TableParagraph"/>
              <w:spacing w:before="28"/>
              <w:ind w:left="677"/>
              <w:rPr>
                <w:sz w:val="18"/>
              </w:rPr>
            </w:pPr>
            <w:r>
              <w:rPr>
                <w:spacing w:val="-5"/>
                <w:sz w:val="18"/>
              </w:rPr>
              <w:t>435</w:t>
            </w:r>
          </w:p>
        </w:tc>
        <w:tc>
          <w:tcPr>
            <w:tcW w:w="929" w:type="dxa"/>
          </w:tcPr>
          <w:p>
            <w:pPr>
              <w:pStyle w:val="TableParagraph"/>
              <w:spacing w:before="28"/>
              <w:ind w:right="71"/>
              <w:jc w:val="right"/>
              <w:rPr>
                <w:sz w:val="18"/>
              </w:rPr>
            </w:pPr>
            <w:r>
              <w:rPr>
                <w:spacing w:val="-5"/>
                <w:sz w:val="18"/>
              </w:rPr>
              <w:t>8%</w:t>
            </w:r>
          </w:p>
        </w:tc>
      </w:tr>
      <w:tr>
        <w:trPr>
          <w:trHeight w:val="285" w:hRule="atLeast"/>
        </w:trPr>
        <w:tc>
          <w:tcPr>
            <w:tcW w:w="5403" w:type="dxa"/>
            <w:shd w:val="clear" w:color="auto" w:fill="CCEDFF"/>
          </w:tcPr>
          <w:p>
            <w:pPr>
              <w:pStyle w:val="TableParagraph"/>
              <w:spacing w:before="28"/>
              <w:ind w:left="292"/>
              <w:rPr>
                <w:sz w:val="18"/>
              </w:rPr>
            </w:pPr>
            <w:r>
              <w:rPr>
                <w:sz w:val="18"/>
              </w:rPr>
              <w:t>Order</w:t>
            </w:r>
            <w:r>
              <w:rPr>
                <w:spacing w:val="-1"/>
                <w:sz w:val="18"/>
              </w:rPr>
              <w:t> </w:t>
            </w:r>
            <w:r>
              <w:rPr>
                <w:sz w:val="18"/>
              </w:rPr>
              <w:t>flow</w:t>
            </w:r>
            <w:r>
              <w:rPr>
                <w:spacing w:val="-1"/>
                <w:sz w:val="18"/>
              </w:rPr>
              <w:t> </w:t>
            </w:r>
            <w:r>
              <w:rPr>
                <w:spacing w:val="-2"/>
                <w:sz w:val="18"/>
              </w:rPr>
              <w:t>revenue</w:t>
            </w:r>
          </w:p>
        </w:tc>
        <w:tc>
          <w:tcPr>
            <w:tcW w:w="851" w:type="dxa"/>
            <w:shd w:val="clear" w:color="auto" w:fill="CCEDFF"/>
          </w:tcPr>
          <w:p>
            <w:pPr>
              <w:pStyle w:val="TableParagraph"/>
              <w:spacing w:before="28"/>
              <w:ind w:right="86"/>
              <w:jc w:val="right"/>
              <w:rPr>
                <w:sz w:val="18"/>
              </w:rPr>
            </w:pPr>
            <w:r>
              <w:rPr>
                <w:spacing w:val="-2"/>
                <w:sz w:val="18"/>
              </w:rPr>
              <w:t>(25)%</w:t>
            </w:r>
          </w:p>
        </w:tc>
        <w:tc>
          <w:tcPr>
            <w:tcW w:w="1036" w:type="dxa"/>
            <w:shd w:val="clear" w:color="auto" w:fill="CCEDFF"/>
          </w:tcPr>
          <w:p>
            <w:pPr>
              <w:pStyle w:val="TableParagraph"/>
              <w:spacing w:before="28"/>
              <w:ind w:left="601"/>
              <w:rPr>
                <w:sz w:val="18"/>
              </w:rPr>
            </w:pPr>
            <w:r>
              <w:rPr>
                <w:spacing w:val="-5"/>
                <w:sz w:val="18"/>
              </w:rPr>
              <w:t>325</w:t>
            </w:r>
          </w:p>
        </w:tc>
        <w:tc>
          <w:tcPr>
            <w:tcW w:w="928" w:type="dxa"/>
            <w:shd w:val="clear" w:color="auto" w:fill="CCEDFF"/>
          </w:tcPr>
          <w:p>
            <w:pPr>
              <w:pStyle w:val="TableParagraph"/>
              <w:spacing w:before="28"/>
              <w:ind w:right="70"/>
              <w:jc w:val="right"/>
              <w:rPr>
                <w:sz w:val="18"/>
              </w:rPr>
            </w:pPr>
            <w:r>
              <w:rPr>
                <w:spacing w:val="-5"/>
                <w:sz w:val="18"/>
              </w:rPr>
              <w:t>7%</w:t>
            </w:r>
          </w:p>
        </w:tc>
        <w:tc>
          <w:tcPr>
            <w:tcW w:w="1112" w:type="dxa"/>
            <w:gridSpan w:val="2"/>
            <w:shd w:val="clear" w:color="auto" w:fill="CCEDFF"/>
          </w:tcPr>
          <w:p>
            <w:pPr>
              <w:pStyle w:val="TableParagraph"/>
              <w:spacing w:before="28"/>
              <w:ind w:left="677"/>
              <w:rPr>
                <w:sz w:val="18"/>
              </w:rPr>
            </w:pPr>
            <w:r>
              <w:rPr>
                <w:spacing w:val="-5"/>
                <w:sz w:val="18"/>
              </w:rPr>
              <w:t>432</w:t>
            </w:r>
          </w:p>
        </w:tc>
        <w:tc>
          <w:tcPr>
            <w:tcW w:w="929" w:type="dxa"/>
            <w:shd w:val="clear" w:color="auto" w:fill="CCEDFF"/>
          </w:tcPr>
          <w:p>
            <w:pPr>
              <w:pStyle w:val="TableParagraph"/>
              <w:spacing w:before="28"/>
              <w:ind w:right="71"/>
              <w:jc w:val="right"/>
              <w:rPr>
                <w:sz w:val="18"/>
              </w:rPr>
            </w:pPr>
            <w:r>
              <w:rPr>
                <w:spacing w:val="-5"/>
                <w:sz w:val="18"/>
              </w:rPr>
              <w:t>8%</w:t>
            </w:r>
          </w:p>
        </w:tc>
      </w:tr>
      <w:tr>
        <w:trPr>
          <w:trHeight w:val="280" w:hRule="atLeast"/>
        </w:trPr>
        <w:tc>
          <w:tcPr>
            <w:tcW w:w="5403" w:type="dxa"/>
            <w:tcBorders>
              <w:bottom w:val="single" w:sz="4" w:space="0" w:color="000000"/>
            </w:tcBorders>
          </w:tcPr>
          <w:p>
            <w:pPr>
              <w:pStyle w:val="TableParagraph"/>
              <w:spacing w:before="28"/>
              <w:ind w:left="277"/>
              <w:rPr>
                <w:sz w:val="18"/>
              </w:rPr>
            </w:pPr>
            <w:r>
              <w:rPr>
                <w:sz w:val="18"/>
              </w:rPr>
              <w:t>Principal</w:t>
            </w:r>
            <w:r>
              <w:rPr>
                <w:spacing w:val="-1"/>
                <w:sz w:val="18"/>
              </w:rPr>
              <w:t> </w:t>
            </w:r>
            <w:r>
              <w:rPr>
                <w:spacing w:val="-2"/>
                <w:sz w:val="18"/>
              </w:rPr>
              <w:t>transactions</w:t>
            </w:r>
          </w:p>
        </w:tc>
        <w:tc>
          <w:tcPr>
            <w:tcW w:w="851" w:type="dxa"/>
            <w:tcBorders>
              <w:bottom w:val="single" w:sz="4" w:space="0" w:color="000000"/>
            </w:tcBorders>
          </w:tcPr>
          <w:p>
            <w:pPr>
              <w:pStyle w:val="TableParagraph"/>
              <w:spacing w:before="28"/>
              <w:ind w:right="86"/>
              <w:jc w:val="right"/>
              <w:rPr>
                <w:sz w:val="18"/>
              </w:rPr>
            </w:pPr>
            <w:r>
              <w:rPr>
                <w:spacing w:val="-2"/>
                <w:sz w:val="18"/>
              </w:rPr>
              <w:t>(22)%</w:t>
            </w:r>
          </w:p>
        </w:tc>
        <w:tc>
          <w:tcPr>
            <w:tcW w:w="1036" w:type="dxa"/>
            <w:tcBorders>
              <w:bottom w:val="single" w:sz="4" w:space="0" w:color="000000"/>
            </w:tcBorders>
          </w:tcPr>
          <w:p>
            <w:pPr>
              <w:pStyle w:val="TableParagraph"/>
              <w:spacing w:before="28"/>
              <w:ind w:right="162"/>
              <w:jc w:val="right"/>
              <w:rPr>
                <w:sz w:val="18"/>
              </w:rPr>
            </w:pPr>
            <w:r>
              <w:rPr>
                <w:spacing w:val="-5"/>
                <w:sz w:val="18"/>
              </w:rPr>
              <w:t>49</w:t>
            </w:r>
          </w:p>
        </w:tc>
        <w:tc>
          <w:tcPr>
            <w:tcW w:w="928" w:type="dxa"/>
            <w:tcBorders>
              <w:bottom w:val="single" w:sz="4" w:space="0" w:color="000000"/>
            </w:tcBorders>
          </w:tcPr>
          <w:p>
            <w:pPr>
              <w:pStyle w:val="TableParagraph"/>
              <w:spacing w:before="28"/>
              <w:ind w:right="70"/>
              <w:jc w:val="right"/>
              <w:rPr>
                <w:sz w:val="18"/>
              </w:rPr>
            </w:pPr>
            <w:r>
              <w:rPr>
                <w:spacing w:val="-5"/>
                <w:sz w:val="18"/>
              </w:rPr>
              <w:t>1%</w:t>
            </w:r>
          </w:p>
        </w:tc>
        <w:tc>
          <w:tcPr>
            <w:tcW w:w="1112" w:type="dxa"/>
            <w:gridSpan w:val="2"/>
            <w:tcBorders>
              <w:bottom w:val="single" w:sz="4" w:space="0" w:color="000000"/>
            </w:tcBorders>
          </w:tcPr>
          <w:p>
            <w:pPr>
              <w:pStyle w:val="TableParagraph"/>
              <w:spacing w:before="28"/>
              <w:ind w:right="162"/>
              <w:jc w:val="right"/>
              <w:rPr>
                <w:sz w:val="18"/>
              </w:rPr>
            </w:pPr>
            <w:r>
              <w:rPr>
                <w:spacing w:val="-5"/>
                <w:sz w:val="18"/>
              </w:rPr>
              <w:t>63</w:t>
            </w:r>
          </w:p>
        </w:tc>
        <w:tc>
          <w:tcPr>
            <w:tcW w:w="929" w:type="dxa"/>
            <w:tcBorders>
              <w:bottom w:val="single" w:sz="4" w:space="0" w:color="000000"/>
            </w:tcBorders>
          </w:tcPr>
          <w:p>
            <w:pPr>
              <w:pStyle w:val="TableParagraph"/>
              <w:spacing w:before="28"/>
              <w:ind w:right="71"/>
              <w:jc w:val="right"/>
              <w:rPr>
                <w:sz w:val="18"/>
              </w:rPr>
            </w:pPr>
            <w:r>
              <w:rPr>
                <w:spacing w:val="-5"/>
                <w:sz w:val="18"/>
              </w:rPr>
              <w:t>1%</w:t>
            </w:r>
          </w:p>
        </w:tc>
      </w:tr>
      <w:tr>
        <w:trPr>
          <w:trHeight w:val="275" w:hRule="atLeast"/>
        </w:trPr>
        <w:tc>
          <w:tcPr>
            <w:tcW w:w="5403" w:type="dxa"/>
            <w:tcBorders>
              <w:top w:val="single" w:sz="4" w:space="0" w:color="000000"/>
              <w:bottom w:val="single" w:sz="4" w:space="0" w:color="000000"/>
            </w:tcBorders>
            <w:shd w:val="clear" w:color="auto" w:fill="CCEDFF"/>
          </w:tcPr>
          <w:p>
            <w:pPr>
              <w:pStyle w:val="TableParagraph"/>
              <w:spacing w:before="23"/>
              <w:ind w:left="52"/>
              <w:rPr>
                <w:sz w:val="18"/>
              </w:rPr>
            </w:pPr>
            <w:r>
              <w:rPr>
                <w:sz w:val="18"/>
              </w:rPr>
              <w:t>Trading </w:t>
            </w:r>
            <w:r>
              <w:rPr>
                <w:spacing w:val="-2"/>
                <w:sz w:val="18"/>
              </w:rPr>
              <w:t>revenue</w:t>
            </w:r>
          </w:p>
        </w:tc>
        <w:tc>
          <w:tcPr>
            <w:tcW w:w="851" w:type="dxa"/>
            <w:tcBorders>
              <w:top w:val="single" w:sz="4" w:space="0" w:color="000000"/>
              <w:bottom w:val="single" w:sz="4" w:space="0" w:color="000000"/>
            </w:tcBorders>
            <w:shd w:val="clear" w:color="auto" w:fill="CCEDFF"/>
          </w:tcPr>
          <w:p>
            <w:pPr>
              <w:pStyle w:val="TableParagraph"/>
              <w:spacing w:before="23"/>
              <w:ind w:right="86"/>
              <w:jc w:val="right"/>
              <w:rPr>
                <w:sz w:val="18"/>
              </w:rPr>
            </w:pPr>
            <w:r>
              <w:rPr>
                <w:spacing w:val="-2"/>
                <w:sz w:val="18"/>
              </w:rPr>
              <w:t>(17)%</w:t>
            </w:r>
          </w:p>
        </w:tc>
        <w:tc>
          <w:tcPr>
            <w:tcW w:w="1036" w:type="dxa"/>
            <w:tcBorders>
              <w:top w:val="single" w:sz="4" w:space="0" w:color="000000"/>
              <w:bottom w:val="single" w:sz="4" w:space="0" w:color="000000"/>
            </w:tcBorders>
            <w:shd w:val="clear" w:color="auto" w:fill="CCEDFF"/>
          </w:tcPr>
          <w:p>
            <w:pPr>
              <w:pStyle w:val="TableParagraph"/>
              <w:spacing w:before="23"/>
              <w:ind w:left="601"/>
              <w:rPr>
                <w:sz w:val="18"/>
              </w:rPr>
            </w:pPr>
            <w:r>
              <w:rPr>
                <w:spacing w:val="-5"/>
                <w:sz w:val="18"/>
              </w:rPr>
              <w:t>768</w:t>
            </w:r>
          </w:p>
        </w:tc>
        <w:tc>
          <w:tcPr>
            <w:tcW w:w="928" w:type="dxa"/>
            <w:tcBorders>
              <w:top w:val="single" w:sz="4" w:space="0" w:color="000000"/>
              <w:bottom w:val="single" w:sz="4" w:space="0" w:color="000000"/>
            </w:tcBorders>
            <w:shd w:val="clear" w:color="auto" w:fill="CCEDFF"/>
          </w:tcPr>
          <w:p>
            <w:pPr>
              <w:pStyle w:val="TableParagraph"/>
              <w:spacing w:before="23"/>
              <w:ind w:right="70"/>
              <w:jc w:val="right"/>
              <w:rPr>
                <w:sz w:val="18"/>
              </w:rPr>
            </w:pPr>
            <w:r>
              <w:rPr>
                <w:spacing w:val="-5"/>
                <w:sz w:val="18"/>
              </w:rPr>
              <w:t>17%</w:t>
            </w:r>
          </w:p>
        </w:tc>
        <w:tc>
          <w:tcPr>
            <w:tcW w:w="1112" w:type="dxa"/>
            <w:gridSpan w:val="2"/>
            <w:tcBorders>
              <w:top w:val="single" w:sz="4" w:space="0" w:color="000000"/>
              <w:bottom w:val="single" w:sz="4" w:space="0" w:color="000000"/>
            </w:tcBorders>
            <w:shd w:val="clear" w:color="auto" w:fill="CCEDFF"/>
          </w:tcPr>
          <w:p>
            <w:pPr>
              <w:pStyle w:val="TableParagraph"/>
              <w:spacing w:before="23"/>
              <w:ind w:left="677"/>
              <w:rPr>
                <w:sz w:val="18"/>
              </w:rPr>
            </w:pPr>
            <w:r>
              <w:rPr>
                <w:spacing w:val="-5"/>
                <w:sz w:val="18"/>
              </w:rPr>
              <w:t>930</w:t>
            </w:r>
          </w:p>
        </w:tc>
        <w:tc>
          <w:tcPr>
            <w:tcW w:w="929" w:type="dxa"/>
            <w:tcBorders>
              <w:top w:val="single" w:sz="4" w:space="0" w:color="000000"/>
              <w:bottom w:val="single" w:sz="4" w:space="0" w:color="000000"/>
            </w:tcBorders>
            <w:shd w:val="clear" w:color="auto" w:fill="CCEDFF"/>
          </w:tcPr>
          <w:p>
            <w:pPr>
              <w:pStyle w:val="TableParagraph"/>
              <w:spacing w:before="23"/>
              <w:ind w:right="71"/>
              <w:jc w:val="right"/>
              <w:rPr>
                <w:sz w:val="18"/>
              </w:rPr>
            </w:pPr>
            <w:r>
              <w:rPr>
                <w:spacing w:val="-5"/>
                <w:sz w:val="18"/>
              </w:rPr>
              <w:t>17%</w:t>
            </w:r>
          </w:p>
        </w:tc>
      </w:tr>
      <w:tr>
        <w:trPr>
          <w:trHeight w:val="280" w:hRule="atLeast"/>
        </w:trPr>
        <w:tc>
          <w:tcPr>
            <w:tcW w:w="5403" w:type="dxa"/>
            <w:tcBorders>
              <w:top w:val="single" w:sz="4" w:space="0" w:color="000000"/>
            </w:tcBorders>
          </w:tcPr>
          <w:p>
            <w:pPr>
              <w:pStyle w:val="TableParagraph"/>
              <w:spacing w:before="23"/>
              <w:ind w:left="52"/>
              <w:rPr>
                <w:sz w:val="18"/>
              </w:rPr>
            </w:pPr>
            <w:r>
              <w:rPr>
                <w:sz w:val="18"/>
              </w:rPr>
              <w:t>Bank</w:t>
            </w:r>
            <w:r>
              <w:rPr>
                <w:spacing w:val="-1"/>
                <w:sz w:val="18"/>
              </w:rPr>
              <w:t> </w:t>
            </w:r>
            <w:r>
              <w:rPr>
                <w:sz w:val="18"/>
              </w:rPr>
              <w:t>deposit account </w:t>
            </w:r>
            <w:r>
              <w:rPr>
                <w:spacing w:val="-4"/>
                <w:sz w:val="18"/>
              </w:rPr>
              <w:t>fees</w:t>
            </w:r>
          </w:p>
        </w:tc>
        <w:tc>
          <w:tcPr>
            <w:tcW w:w="851" w:type="dxa"/>
            <w:tcBorders>
              <w:top w:val="single" w:sz="4" w:space="0" w:color="000000"/>
            </w:tcBorders>
          </w:tcPr>
          <w:p>
            <w:pPr>
              <w:pStyle w:val="TableParagraph"/>
              <w:spacing w:before="23"/>
              <w:ind w:right="86"/>
              <w:jc w:val="right"/>
              <w:rPr>
                <w:sz w:val="18"/>
              </w:rPr>
            </w:pPr>
            <w:r>
              <w:rPr>
                <w:spacing w:val="-2"/>
                <w:sz w:val="18"/>
              </w:rPr>
              <w:t>(50)%</w:t>
            </w:r>
          </w:p>
        </w:tc>
        <w:tc>
          <w:tcPr>
            <w:tcW w:w="1036" w:type="dxa"/>
            <w:tcBorders>
              <w:top w:val="single" w:sz="4" w:space="0" w:color="000000"/>
            </w:tcBorders>
          </w:tcPr>
          <w:p>
            <w:pPr>
              <w:pStyle w:val="TableParagraph"/>
              <w:spacing w:before="23"/>
              <w:ind w:left="601"/>
              <w:rPr>
                <w:sz w:val="18"/>
              </w:rPr>
            </w:pPr>
            <w:r>
              <w:rPr>
                <w:spacing w:val="-5"/>
                <w:sz w:val="18"/>
              </w:rPr>
              <w:t>205</w:t>
            </w:r>
          </w:p>
        </w:tc>
        <w:tc>
          <w:tcPr>
            <w:tcW w:w="928" w:type="dxa"/>
            <w:tcBorders>
              <w:top w:val="single" w:sz="4" w:space="0" w:color="000000"/>
            </w:tcBorders>
          </w:tcPr>
          <w:p>
            <w:pPr>
              <w:pStyle w:val="TableParagraph"/>
              <w:spacing w:before="23"/>
              <w:ind w:right="70"/>
              <w:jc w:val="right"/>
              <w:rPr>
                <w:sz w:val="18"/>
              </w:rPr>
            </w:pPr>
            <w:r>
              <w:rPr>
                <w:spacing w:val="-5"/>
                <w:sz w:val="18"/>
              </w:rPr>
              <w:t>4%</w:t>
            </w:r>
          </w:p>
        </w:tc>
        <w:tc>
          <w:tcPr>
            <w:tcW w:w="1112" w:type="dxa"/>
            <w:gridSpan w:val="2"/>
            <w:tcBorders>
              <w:top w:val="single" w:sz="4" w:space="0" w:color="000000"/>
            </w:tcBorders>
          </w:tcPr>
          <w:p>
            <w:pPr>
              <w:pStyle w:val="TableParagraph"/>
              <w:spacing w:before="23"/>
              <w:ind w:left="677"/>
              <w:rPr>
                <w:sz w:val="18"/>
              </w:rPr>
            </w:pPr>
            <w:r>
              <w:rPr>
                <w:spacing w:val="-5"/>
                <w:sz w:val="18"/>
              </w:rPr>
              <w:t>413</w:t>
            </w:r>
          </w:p>
        </w:tc>
        <w:tc>
          <w:tcPr>
            <w:tcW w:w="929" w:type="dxa"/>
            <w:tcBorders>
              <w:top w:val="single" w:sz="4" w:space="0" w:color="000000"/>
            </w:tcBorders>
          </w:tcPr>
          <w:p>
            <w:pPr>
              <w:pStyle w:val="TableParagraph"/>
              <w:spacing w:before="23"/>
              <w:ind w:right="71"/>
              <w:jc w:val="right"/>
              <w:rPr>
                <w:sz w:val="18"/>
              </w:rPr>
            </w:pPr>
            <w:r>
              <w:rPr>
                <w:spacing w:val="-5"/>
                <w:sz w:val="18"/>
              </w:rPr>
              <w:t>8%</w:t>
            </w:r>
          </w:p>
        </w:tc>
      </w:tr>
      <w:tr>
        <w:trPr>
          <w:trHeight w:val="280" w:hRule="atLeast"/>
        </w:trPr>
        <w:tc>
          <w:tcPr>
            <w:tcW w:w="5403" w:type="dxa"/>
            <w:tcBorders>
              <w:bottom w:val="single" w:sz="4" w:space="0" w:color="000000"/>
            </w:tcBorders>
            <w:shd w:val="clear" w:color="auto" w:fill="CCEDFF"/>
          </w:tcPr>
          <w:p>
            <w:pPr>
              <w:pStyle w:val="TableParagraph"/>
              <w:spacing w:before="28"/>
              <w:ind w:left="52"/>
              <w:rPr>
                <w:sz w:val="18"/>
              </w:rPr>
            </w:pPr>
            <w:r>
              <w:rPr>
                <w:spacing w:val="-2"/>
                <w:sz w:val="18"/>
              </w:rPr>
              <w:t>Other</w:t>
            </w:r>
          </w:p>
        </w:tc>
        <w:tc>
          <w:tcPr>
            <w:tcW w:w="851" w:type="dxa"/>
            <w:tcBorders>
              <w:bottom w:val="single" w:sz="4" w:space="0" w:color="000000"/>
            </w:tcBorders>
            <w:shd w:val="clear" w:color="auto" w:fill="CCEDFF"/>
          </w:tcPr>
          <w:p>
            <w:pPr>
              <w:pStyle w:val="TableParagraph"/>
              <w:spacing w:before="28"/>
              <w:ind w:right="86"/>
              <w:jc w:val="right"/>
              <w:rPr>
                <w:sz w:val="18"/>
              </w:rPr>
            </w:pPr>
            <w:r>
              <w:rPr>
                <w:spacing w:val="-4"/>
                <w:sz w:val="18"/>
              </w:rPr>
              <w:t>(7)%</w:t>
            </w:r>
          </w:p>
        </w:tc>
        <w:tc>
          <w:tcPr>
            <w:tcW w:w="1036" w:type="dxa"/>
            <w:tcBorders>
              <w:bottom w:val="single" w:sz="4" w:space="0" w:color="000000"/>
            </w:tcBorders>
            <w:shd w:val="clear" w:color="auto" w:fill="CCEDFF"/>
          </w:tcPr>
          <w:p>
            <w:pPr>
              <w:pStyle w:val="TableParagraph"/>
              <w:spacing w:before="28"/>
              <w:ind w:left="601"/>
              <w:rPr>
                <w:sz w:val="18"/>
              </w:rPr>
            </w:pPr>
            <w:r>
              <w:rPr>
                <w:spacing w:val="-5"/>
                <w:sz w:val="18"/>
              </w:rPr>
              <w:t>172</w:t>
            </w:r>
          </w:p>
        </w:tc>
        <w:tc>
          <w:tcPr>
            <w:tcW w:w="928" w:type="dxa"/>
            <w:tcBorders>
              <w:bottom w:val="single" w:sz="4" w:space="0" w:color="000000"/>
            </w:tcBorders>
            <w:shd w:val="clear" w:color="auto" w:fill="CCEDFF"/>
          </w:tcPr>
          <w:p>
            <w:pPr>
              <w:pStyle w:val="TableParagraph"/>
              <w:spacing w:before="28"/>
              <w:ind w:right="70"/>
              <w:jc w:val="right"/>
              <w:rPr>
                <w:sz w:val="18"/>
              </w:rPr>
            </w:pPr>
            <w:r>
              <w:rPr>
                <w:spacing w:val="-5"/>
                <w:sz w:val="18"/>
              </w:rPr>
              <w:t>4%</w:t>
            </w:r>
          </w:p>
        </w:tc>
        <w:tc>
          <w:tcPr>
            <w:tcW w:w="1112" w:type="dxa"/>
            <w:gridSpan w:val="2"/>
            <w:tcBorders>
              <w:bottom w:val="single" w:sz="4" w:space="0" w:color="000000"/>
            </w:tcBorders>
            <w:shd w:val="clear" w:color="auto" w:fill="CCEDFF"/>
          </w:tcPr>
          <w:p>
            <w:pPr>
              <w:pStyle w:val="TableParagraph"/>
              <w:spacing w:before="28"/>
              <w:ind w:left="677"/>
              <w:rPr>
                <w:sz w:val="18"/>
              </w:rPr>
            </w:pPr>
            <w:r>
              <w:rPr>
                <w:spacing w:val="-5"/>
                <w:sz w:val="18"/>
              </w:rPr>
              <w:t>184</w:t>
            </w:r>
          </w:p>
        </w:tc>
        <w:tc>
          <w:tcPr>
            <w:tcW w:w="929" w:type="dxa"/>
            <w:tcBorders>
              <w:bottom w:val="single" w:sz="4" w:space="0" w:color="000000"/>
            </w:tcBorders>
            <w:shd w:val="clear" w:color="auto" w:fill="CCEDFF"/>
          </w:tcPr>
          <w:p>
            <w:pPr>
              <w:pStyle w:val="TableParagraph"/>
              <w:spacing w:before="28"/>
              <w:ind w:right="71"/>
              <w:jc w:val="right"/>
              <w:rPr>
                <w:sz w:val="18"/>
              </w:rPr>
            </w:pPr>
            <w:r>
              <w:rPr>
                <w:spacing w:val="-5"/>
                <w:sz w:val="18"/>
              </w:rPr>
              <w:t>3%</w:t>
            </w:r>
          </w:p>
        </w:tc>
      </w:tr>
      <w:tr>
        <w:trPr>
          <w:trHeight w:val="250" w:hRule="atLeast"/>
        </w:trPr>
        <w:tc>
          <w:tcPr>
            <w:tcW w:w="5403" w:type="dxa"/>
            <w:tcBorders>
              <w:top w:val="single" w:sz="4" w:space="0" w:color="000000"/>
              <w:bottom w:val="double" w:sz="8" w:space="0" w:color="000000"/>
            </w:tcBorders>
          </w:tcPr>
          <w:p>
            <w:pPr>
              <w:pStyle w:val="TableParagraph"/>
              <w:spacing w:line="206" w:lineRule="exact" w:before="23"/>
              <w:ind w:left="52"/>
              <w:rPr>
                <w:sz w:val="18"/>
              </w:rPr>
            </w:pPr>
            <w:r>
              <w:rPr>
                <w:sz w:val="18"/>
              </w:rPr>
              <w:t>Total net </w:t>
            </w:r>
            <w:r>
              <w:rPr>
                <w:spacing w:val="-2"/>
                <w:sz w:val="18"/>
              </w:rPr>
              <w:t>revenues</w:t>
            </w:r>
          </w:p>
        </w:tc>
        <w:tc>
          <w:tcPr>
            <w:tcW w:w="851" w:type="dxa"/>
            <w:tcBorders>
              <w:top w:val="single" w:sz="4" w:space="0" w:color="000000"/>
              <w:bottom w:val="double" w:sz="8" w:space="0" w:color="000000"/>
            </w:tcBorders>
          </w:tcPr>
          <w:p>
            <w:pPr>
              <w:pStyle w:val="TableParagraph"/>
              <w:spacing w:line="206" w:lineRule="exact" w:before="23"/>
              <w:ind w:right="86"/>
              <w:jc w:val="right"/>
              <w:rPr>
                <w:sz w:val="18"/>
              </w:rPr>
            </w:pPr>
            <w:r>
              <w:rPr>
                <w:spacing w:val="-2"/>
                <w:sz w:val="18"/>
              </w:rPr>
              <w:t>(16)%</w:t>
            </w:r>
          </w:p>
        </w:tc>
        <w:tc>
          <w:tcPr>
            <w:tcW w:w="1036" w:type="dxa"/>
            <w:tcBorders>
              <w:top w:val="single" w:sz="4" w:space="0" w:color="000000"/>
              <w:bottom w:val="double" w:sz="8" w:space="0" w:color="000000"/>
            </w:tcBorders>
          </w:tcPr>
          <w:p>
            <w:pPr>
              <w:pStyle w:val="TableParagraph"/>
              <w:tabs>
                <w:tab w:pos="466" w:val="left" w:leader="none"/>
              </w:tabs>
              <w:spacing w:line="206" w:lineRule="exact" w:before="23"/>
              <w:ind w:left="53"/>
              <w:rPr>
                <w:sz w:val="18"/>
              </w:rPr>
            </w:pPr>
            <w:r>
              <w:rPr>
                <w:spacing w:val="-10"/>
                <w:sz w:val="18"/>
              </w:rPr>
              <w:t>$</w:t>
            </w:r>
            <w:r>
              <w:rPr>
                <w:sz w:val="18"/>
              </w:rPr>
              <w:tab/>
            </w:r>
            <w:r>
              <w:rPr>
                <w:spacing w:val="-2"/>
                <w:sz w:val="18"/>
              </w:rPr>
              <w:t>4,606</w:t>
            </w:r>
          </w:p>
        </w:tc>
        <w:tc>
          <w:tcPr>
            <w:tcW w:w="928" w:type="dxa"/>
            <w:tcBorders>
              <w:top w:val="single" w:sz="4" w:space="0" w:color="000000"/>
              <w:bottom w:val="double" w:sz="8" w:space="0" w:color="000000"/>
            </w:tcBorders>
          </w:tcPr>
          <w:p>
            <w:pPr>
              <w:pStyle w:val="TableParagraph"/>
              <w:spacing w:line="206" w:lineRule="exact" w:before="23"/>
              <w:ind w:right="70"/>
              <w:jc w:val="right"/>
              <w:rPr>
                <w:sz w:val="18"/>
              </w:rPr>
            </w:pPr>
            <w:r>
              <w:rPr>
                <w:spacing w:val="-4"/>
                <w:sz w:val="18"/>
              </w:rPr>
              <w:t>100%</w:t>
            </w:r>
          </w:p>
        </w:tc>
        <w:tc>
          <w:tcPr>
            <w:tcW w:w="1112" w:type="dxa"/>
            <w:gridSpan w:val="2"/>
            <w:tcBorders>
              <w:top w:val="single" w:sz="4" w:space="0" w:color="000000"/>
              <w:bottom w:val="double" w:sz="8" w:space="0" w:color="000000"/>
            </w:tcBorders>
          </w:tcPr>
          <w:p>
            <w:pPr>
              <w:pStyle w:val="TableParagraph"/>
              <w:tabs>
                <w:tab w:pos="542" w:val="left" w:leader="none"/>
              </w:tabs>
              <w:spacing w:line="206" w:lineRule="exact" w:before="23"/>
              <w:ind w:left="129"/>
              <w:rPr>
                <w:sz w:val="18"/>
              </w:rPr>
            </w:pPr>
            <w:r>
              <w:rPr>
                <w:spacing w:val="-10"/>
                <w:sz w:val="18"/>
              </w:rPr>
              <w:t>$</w:t>
            </w:r>
            <w:r>
              <w:rPr>
                <w:sz w:val="18"/>
              </w:rPr>
              <w:tab/>
            </w:r>
            <w:r>
              <w:rPr>
                <w:spacing w:val="-2"/>
                <w:sz w:val="18"/>
              </w:rPr>
              <w:t>5,500</w:t>
            </w:r>
          </w:p>
        </w:tc>
        <w:tc>
          <w:tcPr>
            <w:tcW w:w="929" w:type="dxa"/>
            <w:tcBorders>
              <w:top w:val="single" w:sz="4" w:space="0" w:color="000000"/>
              <w:bottom w:val="double" w:sz="8" w:space="0" w:color="000000"/>
            </w:tcBorders>
          </w:tcPr>
          <w:p>
            <w:pPr>
              <w:pStyle w:val="TableParagraph"/>
              <w:spacing w:line="206" w:lineRule="exact" w:before="23"/>
              <w:ind w:right="71"/>
              <w:jc w:val="right"/>
              <w:rPr>
                <w:sz w:val="18"/>
              </w:rPr>
            </w:pPr>
            <w:r>
              <w:rPr>
                <w:spacing w:val="-4"/>
                <w:sz w:val="18"/>
              </w:rPr>
              <w:t>100%</w:t>
            </w:r>
          </w:p>
        </w:tc>
      </w:tr>
    </w:tbl>
    <w:p>
      <w:pPr>
        <w:spacing w:before="34"/>
        <w:ind w:left="470" w:right="0" w:firstLine="0"/>
        <w:jc w:val="left"/>
        <w:rPr>
          <w:sz w:val="16"/>
        </w:rPr>
      </w:pPr>
      <w:r>
        <w:rPr>
          <w:sz w:val="16"/>
        </w:rPr>
        <w:t>N/M</w:t>
      </w:r>
      <w:r>
        <w:rPr>
          <w:spacing w:val="-2"/>
          <w:sz w:val="16"/>
        </w:rPr>
        <w:t> </w:t>
      </w:r>
      <w:r>
        <w:rPr>
          <w:sz w:val="16"/>
        </w:rPr>
        <w:t>Not meaningful. Percent</w:t>
      </w:r>
      <w:r>
        <w:rPr>
          <w:spacing w:val="-1"/>
          <w:sz w:val="16"/>
        </w:rPr>
        <w:t> </w:t>
      </w:r>
      <w:r>
        <w:rPr>
          <w:sz w:val="16"/>
        </w:rPr>
        <w:t>changes</w:t>
      </w:r>
      <w:r>
        <w:rPr>
          <w:spacing w:val="-1"/>
          <w:sz w:val="16"/>
        </w:rPr>
        <w:t> </w:t>
      </w:r>
      <w:r>
        <w:rPr>
          <w:sz w:val="16"/>
        </w:rPr>
        <w:t>greater than</w:t>
      </w:r>
      <w:r>
        <w:rPr>
          <w:spacing w:val="-1"/>
          <w:sz w:val="16"/>
        </w:rPr>
        <w:t> </w:t>
      </w:r>
      <w:r>
        <w:rPr>
          <w:sz w:val="16"/>
        </w:rPr>
        <w:t>200% are presented</w:t>
      </w:r>
      <w:r>
        <w:rPr>
          <w:spacing w:val="-1"/>
          <w:sz w:val="16"/>
        </w:rPr>
        <w:t> </w:t>
      </w:r>
      <w:r>
        <w:rPr>
          <w:sz w:val="16"/>
        </w:rPr>
        <w:t>as</w:t>
      </w:r>
      <w:r>
        <w:rPr>
          <w:spacing w:val="-1"/>
          <w:sz w:val="16"/>
        </w:rPr>
        <w:t> </w:t>
      </w:r>
      <w:r>
        <w:rPr>
          <w:sz w:val="16"/>
        </w:rPr>
        <w:t>not </w:t>
      </w:r>
      <w:r>
        <w:rPr>
          <w:spacing w:val="-2"/>
          <w:sz w:val="16"/>
        </w:rPr>
        <w:t>meaningful.</w:t>
      </w:r>
    </w:p>
    <w:p>
      <w:pPr>
        <w:spacing w:after="0"/>
        <w:jc w:val="left"/>
        <w:rPr>
          <w:sz w:val="16"/>
        </w:rPr>
        <w:sectPr>
          <w:pgSz w:w="12240" w:h="15840"/>
          <w:pgMar w:header="512" w:footer="201" w:top="1180" w:bottom="400" w:left="520" w:right="520"/>
        </w:sectPr>
      </w:pPr>
    </w:p>
    <w:p>
      <w:pPr>
        <w:pStyle w:val="BodyText"/>
        <w:spacing w:before="29"/>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0"/>
        <w:gridCol w:w="1022"/>
        <w:gridCol w:w="948"/>
        <w:gridCol w:w="1041"/>
        <w:gridCol w:w="922"/>
      </w:tblGrid>
      <w:tr>
        <w:trPr>
          <w:trHeight w:val="275" w:hRule="atLeast"/>
        </w:trPr>
        <w:tc>
          <w:tcPr>
            <w:tcW w:w="6330" w:type="dxa"/>
            <w:tcBorders>
              <w:top w:val="single" w:sz="4" w:space="0" w:color="000000"/>
            </w:tcBorders>
          </w:tcPr>
          <w:p>
            <w:pPr>
              <w:pStyle w:val="TableParagraph"/>
              <w:rPr>
                <w:sz w:val="18"/>
              </w:rPr>
            </w:pPr>
          </w:p>
        </w:tc>
        <w:tc>
          <w:tcPr>
            <w:tcW w:w="1022" w:type="dxa"/>
            <w:tcBorders>
              <w:top w:val="single" w:sz="4" w:space="0" w:color="000000"/>
              <w:bottom w:val="single" w:sz="4" w:space="0" w:color="000000"/>
            </w:tcBorders>
          </w:tcPr>
          <w:p>
            <w:pPr>
              <w:pStyle w:val="TableParagraph"/>
              <w:spacing w:before="43"/>
              <w:ind w:right="-29"/>
              <w:jc w:val="right"/>
              <w:rPr>
                <w:sz w:val="18"/>
              </w:rPr>
            </w:pPr>
            <w:r>
              <w:rPr>
                <w:spacing w:val="-5"/>
                <w:sz w:val="18"/>
              </w:rPr>
              <w:t>202</w:t>
            </w:r>
          </w:p>
        </w:tc>
        <w:tc>
          <w:tcPr>
            <w:tcW w:w="948" w:type="dxa"/>
            <w:tcBorders>
              <w:top w:val="single" w:sz="4" w:space="0" w:color="000000"/>
              <w:bottom w:val="single" w:sz="4" w:space="0" w:color="000000"/>
            </w:tcBorders>
          </w:tcPr>
          <w:p>
            <w:pPr>
              <w:pStyle w:val="TableParagraph"/>
              <w:spacing w:before="43"/>
              <w:ind w:left="28"/>
              <w:rPr>
                <w:sz w:val="18"/>
              </w:rPr>
            </w:pPr>
            <w:r>
              <w:rPr>
                <w:spacing w:val="-10"/>
                <w:sz w:val="18"/>
              </w:rPr>
              <w:t>3</w:t>
            </w:r>
          </w:p>
        </w:tc>
        <w:tc>
          <w:tcPr>
            <w:tcW w:w="1041" w:type="dxa"/>
            <w:tcBorders>
              <w:top w:val="single" w:sz="4" w:space="0" w:color="000000"/>
              <w:bottom w:val="single" w:sz="4" w:space="0" w:color="000000"/>
            </w:tcBorders>
          </w:tcPr>
          <w:p>
            <w:pPr>
              <w:pStyle w:val="TableParagraph"/>
              <w:spacing w:before="43"/>
              <w:ind w:right="-44"/>
              <w:jc w:val="right"/>
              <w:rPr>
                <w:sz w:val="18"/>
              </w:rPr>
            </w:pPr>
            <w:r>
              <w:rPr>
                <w:spacing w:val="-5"/>
                <w:sz w:val="18"/>
              </w:rPr>
              <w:t>202</w:t>
            </w:r>
          </w:p>
        </w:tc>
        <w:tc>
          <w:tcPr>
            <w:tcW w:w="922" w:type="dxa"/>
            <w:tcBorders>
              <w:top w:val="single" w:sz="4" w:space="0" w:color="000000"/>
              <w:bottom w:val="single" w:sz="4" w:space="0" w:color="000000"/>
            </w:tcBorders>
          </w:tcPr>
          <w:p>
            <w:pPr>
              <w:pStyle w:val="TableParagraph"/>
              <w:spacing w:before="43"/>
              <w:ind w:left="34"/>
              <w:rPr>
                <w:sz w:val="18"/>
              </w:rPr>
            </w:pPr>
            <w:r>
              <w:rPr>
                <w:spacing w:val="-10"/>
                <w:sz w:val="18"/>
              </w:rPr>
              <w:t>2</w:t>
            </w:r>
          </w:p>
        </w:tc>
      </w:tr>
      <w:tr>
        <w:trPr>
          <w:trHeight w:val="390" w:hRule="atLeast"/>
        </w:trPr>
        <w:tc>
          <w:tcPr>
            <w:tcW w:w="6330" w:type="dxa"/>
          </w:tcPr>
          <w:p>
            <w:pPr>
              <w:pStyle w:val="TableParagraph"/>
              <w:spacing w:line="177" w:lineRule="exact" w:before="193"/>
              <w:ind w:right="185"/>
              <w:jc w:val="right"/>
              <w:rPr>
                <w:sz w:val="18"/>
              </w:rPr>
            </w:pPr>
            <w:r>
              <w:rPr>
                <w:spacing w:val="-2"/>
                <w:sz w:val="18"/>
              </w:rPr>
              <w:t>Percent</w:t>
            </w:r>
          </w:p>
        </w:tc>
        <w:tc>
          <w:tcPr>
            <w:tcW w:w="1022" w:type="dxa"/>
            <w:tcBorders>
              <w:top w:val="single" w:sz="4" w:space="0" w:color="000000"/>
            </w:tcBorders>
          </w:tcPr>
          <w:p>
            <w:pPr>
              <w:pStyle w:val="TableParagraph"/>
              <w:rPr>
                <w:sz w:val="18"/>
              </w:rPr>
            </w:pPr>
          </w:p>
        </w:tc>
        <w:tc>
          <w:tcPr>
            <w:tcW w:w="948" w:type="dxa"/>
            <w:tcBorders>
              <w:top w:val="single" w:sz="4" w:space="0" w:color="000000"/>
            </w:tcBorders>
          </w:tcPr>
          <w:p>
            <w:pPr>
              <w:pStyle w:val="TableParagraph"/>
              <w:spacing w:line="180" w:lineRule="exact" w:before="10"/>
              <w:ind w:left="98" w:right="157" w:firstLine="169"/>
              <w:rPr>
                <w:sz w:val="18"/>
              </w:rPr>
            </w:pPr>
            <w:r>
              <w:rPr>
                <w:sz w:val="18"/>
              </w:rPr>
              <w:t>% of Total</w:t>
            </w:r>
            <w:r>
              <w:rPr>
                <w:spacing w:val="-12"/>
                <w:sz w:val="18"/>
              </w:rPr>
              <w:t> </w:t>
            </w:r>
            <w:r>
              <w:rPr>
                <w:sz w:val="18"/>
              </w:rPr>
              <w:t>Net</w:t>
            </w:r>
          </w:p>
        </w:tc>
        <w:tc>
          <w:tcPr>
            <w:tcW w:w="1041" w:type="dxa"/>
            <w:tcBorders>
              <w:top w:val="single" w:sz="4" w:space="0" w:color="000000"/>
            </w:tcBorders>
          </w:tcPr>
          <w:p>
            <w:pPr>
              <w:pStyle w:val="TableParagraph"/>
              <w:rPr>
                <w:sz w:val="18"/>
              </w:rPr>
            </w:pPr>
          </w:p>
        </w:tc>
        <w:tc>
          <w:tcPr>
            <w:tcW w:w="922" w:type="dxa"/>
            <w:tcBorders>
              <w:top w:val="single" w:sz="4" w:space="0" w:color="000000"/>
            </w:tcBorders>
          </w:tcPr>
          <w:p>
            <w:pPr>
              <w:pStyle w:val="TableParagraph"/>
              <w:spacing w:line="180" w:lineRule="exact" w:before="10"/>
              <w:ind w:left="104" w:right="125" w:firstLine="169"/>
              <w:rPr>
                <w:sz w:val="18"/>
              </w:rPr>
            </w:pPr>
            <w:r>
              <w:rPr>
                <w:sz w:val="18"/>
              </w:rPr>
              <w:t>% of Total</w:t>
            </w:r>
            <w:r>
              <w:rPr>
                <w:spacing w:val="-12"/>
                <w:sz w:val="18"/>
              </w:rPr>
              <w:t> </w:t>
            </w:r>
            <w:r>
              <w:rPr>
                <w:sz w:val="18"/>
              </w:rPr>
              <w:t>Net</w:t>
            </w:r>
          </w:p>
        </w:tc>
      </w:tr>
      <w:tr>
        <w:trPr>
          <w:trHeight w:val="214" w:hRule="atLeast"/>
        </w:trPr>
        <w:tc>
          <w:tcPr>
            <w:tcW w:w="6330" w:type="dxa"/>
            <w:tcBorders>
              <w:bottom w:val="single" w:sz="4" w:space="0" w:color="000000"/>
            </w:tcBorders>
          </w:tcPr>
          <w:p>
            <w:pPr>
              <w:pStyle w:val="TableParagraph"/>
              <w:tabs>
                <w:tab w:pos="5597" w:val="left" w:leader="none"/>
              </w:tabs>
              <w:spacing w:line="190" w:lineRule="exact"/>
              <w:ind w:left="52"/>
              <w:rPr>
                <w:sz w:val="18"/>
              </w:rPr>
            </w:pPr>
            <w:r>
              <w:rPr>
                <w:sz w:val="18"/>
              </w:rPr>
              <w:t>Nine</w:t>
            </w:r>
            <w:r>
              <w:rPr>
                <w:spacing w:val="-1"/>
                <w:sz w:val="18"/>
              </w:rPr>
              <w:t> </w:t>
            </w:r>
            <w:r>
              <w:rPr>
                <w:sz w:val="18"/>
              </w:rPr>
              <w:t>Months</w:t>
            </w:r>
            <w:r>
              <w:rPr>
                <w:spacing w:val="-2"/>
                <w:sz w:val="18"/>
              </w:rPr>
              <w:t> </w:t>
            </w:r>
            <w:r>
              <w:rPr>
                <w:sz w:val="18"/>
              </w:rPr>
              <w:t>Ended</w:t>
            </w:r>
            <w:r>
              <w:rPr>
                <w:spacing w:val="-1"/>
                <w:sz w:val="18"/>
              </w:rPr>
              <w:t> </w:t>
            </w:r>
            <w:r>
              <w:rPr>
                <w:sz w:val="18"/>
              </w:rPr>
              <w:t>September </w:t>
            </w:r>
            <w:r>
              <w:rPr>
                <w:spacing w:val="-5"/>
                <w:sz w:val="18"/>
              </w:rPr>
              <w:t>30,</w:t>
            </w:r>
            <w:r>
              <w:rPr>
                <w:sz w:val="18"/>
              </w:rPr>
              <w:tab/>
            </w:r>
            <w:r>
              <w:rPr>
                <w:spacing w:val="-2"/>
                <w:sz w:val="18"/>
              </w:rPr>
              <w:t>Change</w:t>
            </w:r>
          </w:p>
        </w:tc>
        <w:tc>
          <w:tcPr>
            <w:tcW w:w="1022" w:type="dxa"/>
            <w:tcBorders>
              <w:bottom w:val="single" w:sz="4" w:space="0" w:color="000000"/>
            </w:tcBorders>
          </w:tcPr>
          <w:p>
            <w:pPr>
              <w:pStyle w:val="TableParagraph"/>
              <w:spacing w:line="190" w:lineRule="exact"/>
              <w:ind w:left="177"/>
              <w:rPr>
                <w:sz w:val="18"/>
              </w:rPr>
            </w:pPr>
            <w:r>
              <w:rPr>
                <w:spacing w:val="-2"/>
                <w:sz w:val="18"/>
              </w:rPr>
              <w:t>Amount</w:t>
            </w:r>
          </w:p>
        </w:tc>
        <w:tc>
          <w:tcPr>
            <w:tcW w:w="948" w:type="dxa"/>
            <w:tcBorders>
              <w:bottom w:val="single" w:sz="4" w:space="0" w:color="000000"/>
            </w:tcBorders>
          </w:tcPr>
          <w:p>
            <w:pPr>
              <w:pStyle w:val="TableParagraph"/>
              <w:spacing w:line="190" w:lineRule="exact"/>
              <w:ind w:left="90"/>
              <w:rPr>
                <w:sz w:val="18"/>
              </w:rPr>
            </w:pPr>
            <w:r>
              <w:rPr>
                <w:spacing w:val="-2"/>
                <w:sz w:val="18"/>
              </w:rPr>
              <w:t>Revenues</w:t>
            </w:r>
          </w:p>
        </w:tc>
        <w:tc>
          <w:tcPr>
            <w:tcW w:w="1041" w:type="dxa"/>
            <w:tcBorders>
              <w:bottom w:val="single" w:sz="4" w:space="0" w:color="000000"/>
            </w:tcBorders>
          </w:tcPr>
          <w:p>
            <w:pPr>
              <w:pStyle w:val="TableParagraph"/>
              <w:spacing w:line="190" w:lineRule="exact"/>
              <w:ind w:left="187"/>
              <w:rPr>
                <w:sz w:val="18"/>
              </w:rPr>
            </w:pPr>
            <w:r>
              <w:rPr>
                <w:spacing w:val="-2"/>
                <w:sz w:val="18"/>
              </w:rPr>
              <w:t>Amount</w:t>
            </w:r>
          </w:p>
        </w:tc>
        <w:tc>
          <w:tcPr>
            <w:tcW w:w="922" w:type="dxa"/>
            <w:tcBorders>
              <w:bottom w:val="single" w:sz="4" w:space="0" w:color="000000"/>
            </w:tcBorders>
          </w:tcPr>
          <w:p>
            <w:pPr>
              <w:pStyle w:val="TableParagraph"/>
              <w:spacing w:line="190" w:lineRule="exact"/>
              <w:ind w:left="96"/>
              <w:rPr>
                <w:sz w:val="18"/>
              </w:rPr>
            </w:pPr>
            <w:r>
              <w:rPr>
                <w:spacing w:val="-2"/>
                <w:sz w:val="18"/>
              </w:rPr>
              <w:t>Revenues</w:t>
            </w:r>
          </w:p>
        </w:tc>
      </w:tr>
      <w:tr>
        <w:trPr>
          <w:trHeight w:val="280" w:hRule="atLeast"/>
        </w:trPr>
        <w:tc>
          <w:tcPr>
            <w:tcW w:w="6330" w:type="dxa"/>
            <w:tcBorders>
              <w:top w:val="single" w:sz="4" w:space="0" w:color="000000"/>
            </w:tcBorders>
          </w:tcPr>
          <w:p>
            <w:pPr>
              <w:pStyle w:val="TableParagraph"/>
              <w:spacing w:before="43"/>
              <w:ind w:left="52"/>
              <w:rPr>
                <w:b/>
                <w:sz w:val="18"/>
              </w:rPr>
            </w:pPr>
            <w:r>
              <w:rPr>
                <w:b/>
                <w:sz w:val="18"/>
              </w:rPr>
              <w:t>Net</w:t>
            </w:r>
            <w:r>
              <w:rPr>
                <w:b/>
                <w:spacing w:val="-2"/>
                <w:sz w:val="18"/>
              </w:rPr>
              <w:t> </w:t>
            </w:r>
            <w:r>
              <w:rPr>
                <w:b/>
                <w:sz w:val="18"/>
              </w:rPr>
              <w:t>interest</w:t>
            </w:r>
            <w:r>
              <w:rPr>
                <w:b/>
                <w:spacing w:val="-1"/>
                <w:sz w:val="18"/>
              </w:rPr>
              <w:t> </w:t>
            </w:r>
            <w:r>
              <w:rPr>
                <w:b/>
                <w:spacing w:val="-2"/>
                <w:sz w:val="18"/>
              </w:rPr>
              <w:t>revenue</w:t>
            </w:r>
          </w:p>
        </w:tc>
        <w:tc>
          <w:tcPr>
            <w:tcW w:w="1022" w:type="dxa"/>
            <w:tcBorders>
              <w:top w:val="single" w:sz="4" w:space="0" w:color="000000"/>
            </w:tcBorders>
          </w:tcPr>
          <w:p>
            <w:pPr>
              <w:pStyle w:val="TableParagraph"/>
              <w:rPr>
                <w:sz w:val="18"/>
              </w:rPr>
            </w:pPr>
          </w:p>
        </w:tc>
        <w:tc>
          <w:tcPr>
            <w:tcW w:w="948" w:type="dxa"/>
            <w:tcBorders>
              <w:top w:val="single" w:sz="4" w:space="0" w:color="000000"/>
            </w:tcBorders>
          </w:tcPr>
          <w:p>
            <w:pPr>
              <w:pStyle w:val="TableParagraph"/>
              <w:rPr>
                <w:sz w:val="18"/>
              </w:rPr>
            </w:pPr>
          </w:p>
        </w:tc>
        <w:tc>
          <w:tcPr>
            <w:tcW w:w="1041" w:type="dxa"/>
            <w:tcBorders>
              <w:top w:val="single" w:sz="4" w:space="0" w:color="000000"/>
            </w:tcBorders>
          </w:tcPr>
          <w:p>
            <w:pPr>
              <w:pStyle w:val="TableParagraph"/>
              <w:rPr>
                <w:sz w:val="18"/>
              </w:rPr>
            </w:pPr>
          </w:p>
        </w:tc>
        <w:tc>
          <w:tcPr>
            <w:tcW w:w="922" w:type="dxa"/>
            <w:tcBorders>
              <w:top w:val="single" w:sz="4" w:space="0" w:color="000000"/>
            </w:tcBorders>
          </w:tcPr>
          <w:p>
            <w:pPr>
              <w:pStyle w:val="TableParagraph"/>
              <w:rPr>
                <w:sz w:val="18"/>
              </w:rPr>
            </w:pPr>
          </w:p>
        </w:tc>
      </w:tr>
      <w:tr>
        <w:trPr>
          <w:trHeight w:val="285" w:hRule="atLeast"/>
        </w:trPr>
        <w:tc>
          <w:tcPr>
            <w:tcW w:w="6330" w:type="dxa"/>
            <w:shd w:val="clear" w:color="auto" w:fill="CCEDFF"/>
          </w:tcPr>
          <w:p>
            <w:pPr>
              <w:pStyle w:val="TableParagraph"/>
              <w:tabs>
                <w:tab w:pos="5865" w:val="left" w:leader="none"/>
              </w:tabs>
              <w:spacing w:before="48"/>
              <w:ind w:left="292"/>
              <w:rPr>
                <w:sz w:val="18"/>
              </w:rPr>
            </w:pPr>
            <w:r>
              <w:rPr>
                <w:sz w:val="18"/>
              </w:rPr>
              <w:t>Interest</w:t>
            </w:r>
            <w:r>
              <w:rPr>
                <w:spacing w:val="-1"/>
                <w:sz w:val="18"/>
              </w:rPr>
              <w:t> </w:t>
            </w:r>
            <w:r>
              <w:rPr>
                <w:spacing w:val="-2"/>
                <w:sz w:val="18"/>
              </w:rPr>
              <w:t>revenue</w:t>
            </w:r>
            <w:r>
              <w:rPr>
                <w:sz w:val="18"/>
              </w:rPr>
              <w:tab/>
            </w:r>
            <w:r>
              <w:rPr>
                <w:spacing w:val="-5"/>
                <w:sz w:val="18"/>
              </w:rPr>
              <w:t>45%</w:t>
            </w:r>
          </w:p>
        </w:tc>
        <w:tc>
          <w:tcPr>
            <w:tcW w:w="1022" w:type="dxa"/>
            <w:shd w:val="clear" w:color="auto" w:fill="CCEDFF"/>
          </w:tcPr>
          <w:p>
            <w:pPr>
              <w:pStyle w:val="TableParagraph"/>
              <w:tabs>
                <w:tab w:pos="375" w:val="left" w:leader="none"/>
              </w:tabs>
              <w:spacing w:before="48"/>
              <w:ind w:left="52"/>
              <w:rPr>
                <w:sz w:val="18"/>
              </w:rPr>
            </w:pPr>
            <w:r>
              <w:rPr>
                <w:spacing w:val="-10"/>
                <w:sz w:val="18"/>
              </w:rPr>
              <w:t>$</w:t>
            </w:r>
            <w:r>
              <w:rPr>
                <w:sz w:val="18"/>
              </w:rPr>
              <w:tab/>
            </w:r>
            <w:r>
              <w:rPr>
                <w:spacing w:val="-2"/>
                <w:sz w:val="18"/>
              </w:rPr>
              <w:t>12,148</w:t>
            </w:r>
          </w:p>
        </w:tc>
        <w:tc>
          <w:tcPr>
            <w:tcW w:w="948" w:type="dxa"/>
            <w:shd w:val="clear" w:color="auto" w:fill="CCEDFF"/>
          </w:tcPr>
          <w:p>
            <w:pPr>
              <w:pStyle w:val="TableParagraph"/>
              <w:spacing w:before="48"/>
              <w:ind w:right="122"/>
              <w:jc w:val="right"/>
              <w:rPr>
                <w:sz w:val="18"/>
              </w:rPr>
            </w:pPr>
            <w:r>
              <w:rPr>
                <w:spacing w:val="-5"/>
                <w:sz w:val="18"/>
              </w:rPr>
              <w:t>85%</w:t>
            </w:r>
          </w:p>
        </w:tc>
        <w:tc>
          <w:tcPr>
            <w:tcW w:w="1041" w:type="dxa"/>
            <w:shd w:val="clear" w:color="auto" w:fill="CCEDFF"/>
          </w:tcPr>
          <w:p>
            <w:pPr>
              <w:pStyle w:val="TableParagraph"/>
              <w:tabs>
                <w:tab w:pos="475" w:val="left" w:leader="none"/>
              </w:tabs>
              <w:spacing w:before="48"/>
              <w:ind w:left="62"/>
              <w:rPr>
                <w:sz w:val="18"/>
              </w:rPr>
            </w:pPr>
            <w:r>
              <w:rPr>
                <w:spacing w:val="-10"/>
                <w:sz w:val="18"/>
              </w:rPr>
              <w:t>$</w:t>
            </w:r>
            <w:r>
              <w:rPr>
                <w:sz w:val="18"/>
              </w:rPr>
              <w:tab/>
            </w:r>
            <w:r>
              <w:rPr>
                <w:spacing w:val="-2"/>
                <w:sz w:val="18"/>
              </w:rPr>
              <w:t>8,386</w:t>
            </w:r>
          </w:p>
        </w:tc>
        <w:tc>
          <w:tcPr>
            <w:tcW w:w="922" w:type="dxa"/>
            <w:shd w:val="clear" w:color="auto" w:fill="CCEDFF"/>
          </w:tcPr>
          <w:p>
            <w:pPr>
              <w:pStyle w:val="TableParagraph"/>
              <w:spacing w:before="48"/>
              <w:ind w:right="75"/>
              <w:jc w:val="right"/>
              <w:rPr>
                <w:sz w:val="18"/>
              </w:rPr>
            </w:pPr>
            <w:r>
              <w:rPr>
                <w:spacing w:val="-5"/>
                <w:sz w:val="18"/>
              </w:rPr>
              <w:t>55%</w:t>
            </w:r>
          </w:p>
        </w:tc>
      </w:tr>
      <w:tr>
        <w:trPr>
          <w:trHeight w:val="280" w:hRule="atLeast"/>
        </w:trPr>
        <w:tc>
          <w:tcPr>
            <w:tcW w:w="6330" w:type="dxa"/>
            <w:tcBorders>
              <w:bottom w:val="single" w:sz="4" w:space="0" w:color="000000"/>
            </w:tcBorders>
          </w:tcPr>
          <w:p>
            <w:pPr>
              <w:pStyle w:val="TableParagraph"/>
              <w:tabs>
                <w:tab w:pos="5622" w:val="left" w:leader="none"/>
              </w:tabs>
              <w:spacing w:before="48"/>
              <w:ind w:right="72"/>
              <w:jc w:val="right"/>
              <w:rPr>
                <w:sz w:val="18"/>
              </w:rPr>
            </w:pPr>
            <w:r>
              <w:rPr>
                <w:sz w:val="18"/>
              </w:rPr>
              <w:t>Interest</w:t>
            </w:r>
            <w:r>
              <w:rPr>
                <w:spacing w:val="-1"/>
                <w:sz w:val="18"/>
              </w:rPr>
              <w:t> </w:t>
            </w:r>
            <w:r>
              <w:rPr>
                <w:spacing w:val="-2"/>
                <w:sz w:val="18"/>
              </w:rPr>
              <w:t>expense</w:t>
            </w:r>
            <w:r>
              <w:rPr>
                <w:sz w:val="18"/>
              </w:rPr>
              <w:tab/>
            </w:r>
            <w:r>
              <w:rPr>
                <w:spacing w:val="-5"/>
                <w:sz w:val="18"/>
              </w:rPr>
              <w:t>N/M</w:t>
            </w:r>
          </w:p>
        </w:tc>
        <w:tc>
          <w:tcPr>
            <w:tcW w:w="1022" w:type="dxa"/>
            <w:tcBorders>
              <w:bottom w:val="single" w:sz="4" w:space="0" w:color="000000"/>
            </w:tcBorders>
          </w:tcPr>
          <w:p>
            <w:pPr>
              <w:pStyle w:val="TableParagraph"/>
              <w:spacing w:before="48"/>
              <w:ind w:left="405"/>
              <w:rPr>
                <w:sz w:val="18"/>
              </w:rPr>
            </w:pPr>
            <w:r>
              <w:rPr>
                <w:spacing w:val="-2"/>
                <w:sz w:val="18"/>
              </w:rPr>
              <w:t>(4,851)</w:t>
            </w:r>
          </w:p>
        </w:tc>
        <w:tc>
          <w:tcPr>
            <w:tcW w:w="948" w:type="dxa"/>
            <w:tcBorders>
              <w:bottom w:val="single" w:sz="4" w:space="0" w:color="000000"/>
            </w:tcBorders>
          </w:tcPr>
          <w:p>
            <w:pPr>
              <w:pStyle w:val="TableParagraph"/>
              <w:spacing w:before="48"/>
              <w:ind w:right="62"/>
              <w:jc w:val="right"/>
              <w:rPr>
                <w:sz w:val="18"/>
              </w:rPr>
            </w:pPr>
            <w:r>
              <w:rPr>
                <w:spacing w:val="-2"/>
                <w:sz w:val="18"/>
              </w:rPr>
              <w:t>(34)%</w:t>
            </w:r>
          </w:p>
        </w:tc>
        <w:tc>
          <w:tcPr>
            <w:tcW w:w="1041" w:type="dxa"/>
            <w:tcBorders>
              <w:bottom w:val="single" w:sz="4" w:space="0" w:color="000000"/>
            </w:tcBorders>
          </w:tcPr>
          <w:p>
            <w:pPr>
              <w:pStyle w:val="TableParagraph"/>
              <w:spacing w:before="48"/>
              <w:ind w:left="550"/>
              <w:rPr>
                <w:sz w:val="18"/>
              </w:rPr>
            </w:pPr>
            <w:r>
              <w:rPr>
                <w:spacing w:val="-2"/>
                <w:sz w:val="18"/>
              </w:rPr>
              <w:t>(733)</w:t>
            </w:r>
          </w:p>
        </w:tc>
        <w:tc>
          <w:tcPr>
            <w:tcW w:w="922" w:type="dxa"/>
            <w:tcBorders>
              <w:bottom w:val="single" w:sz="4" w:space="0" w:color="000000"/>
            </w:tcBorders>
          </w:tcPr>
          <w:p>
            <w:pPr>
              <w:pStyle w:val="TableParagraph"/>
              <w:spacing w:before="48"/>
              <w:ind w:right="15"/>
              <w:jc w:val="right"/>
              <w:rPr>
                <w:sz w:val="18"/>
              </w:rPr>
            </w:pPr>
            <w:r>
              <w:rPr>
                <w:spacing w:val="-4"/>
                <w:sz w:val="18"/>
              </w:rPr>
              <w:t>(5)%</w:t>
            </w:r>
          </w:p>
        </w:tc>
      </w:tr>
      <w:tr>
        <w:trPr>
          <w:trHeight w:val="275" w:hRule="atLeast"/>
        </w:trPr>
        <w:tc>
          <w:tcPr>
            <w:tcW w:w="6330" w:type="dxa"/>
            <w:tcBorders>
              <w:top w:val="single" w:sz="4" w:space="0" w:color="000000"/>
              <w:bottom w:val="single" w:sz="4" w:space="0" w:color="000000"/>
            </w:tcBorders>
            <w:shd w:val="clear" w:color="auto" w:fill="CCEDFF"/>
          </w:tcPr>
          <w:p>
            <w:pPr>
              <w:pStyle w:val="TableParagraph"/>
              <w:tabs>
                <w:tab w:pos="5842" w:val="left" w:leader="none"/>
              </w:tabs>
              <w:spacing w:before="43"/>
              <w:ind w:right="72"/>
              <w:jc w:val="right"/>
              <w:rPr>
                <w:sz w:val="18"/>
              </w:rPr>
            </w:pPr>
            <w:r>
              <w:rPr>
                <w:sz w:val="18"/>
              </w:rPr>
              <w:t>Net</w:t>
            </w:r>
            <w:r>
              <w:rPr>
                <w:spacing w:val="-1"/>
                <w:sz w:val="18"/>
              </w:rPr>
              <w:t> </w:t>
            </w:r>
            <w:r>
              <w:rPr>
                <w:sz w:val="18"/>
              </w:rPr>
              <w:t>interest</w:t>
            </w:r>
            <w:r>
              <w:rPr>
                <w:spacing w:val="-1"/>
                <w:sz w:val="18"/>
              </w:rPr>
              <w:t> </w:t>
            </w:r>
            <w:r>
              <w:rPr>
                <w:spacing w:val="-2"/>
                <w:sz w:val="18"/>
              </w:rPr>
              <w:t>revenue</w:t>
            </w:r>
            <w:r>
              <w:rPr>
                <w:sz w:val="18"/>
              </w:rPr>
              <w:tab/>
            </w:r>
            <w:r>
              <w:rPr>
                <w:spacing w:val="-4"/>
                <w:sz w:val="18"/>
              </w:rPr>
              <w:t>(5)%</w:t>
            </w:r>
          </w:p>
        </w:tc>
        <w:tc>
          <w:tcPr>
            <w:tcW w:w="1022" w:type="dxa"/>
            <w:tcBorders>
              <w:top w:val="single" w:sz="4" w:space="0" w:color="000000"/>
              <w:bottom w:val="single" w:sz="4" w:space="0" w:color="000000"/>
            </w:tcBorders>
            <w:shd w:val="clear" w:color="auto" w:fill="CCEDFF"/>
          </w:tcPr>
          <w:p>
            <w:pPr>
              <w:pStyle w:val="TableParagraph"/>
              <w:spacing w:before="43"/>
              <w:ind w:left="465"/>
              <w:rPr>
                <w:sz w:val="18"/>
              </w:rPr>
            </w:pPr>
            <w:r>
              <w:rPr>
                <w:spacing w:val="-2"/>
                <w:sz w:val="18"/>
              </w:rPr>
              <w:t>7,297</w:t>
            </w:r>
          </w:p>
        </w:tc>
        <w:tc>
          <w:tcPr>
            <w:tcW w:w="948" w:type="dxa"/>
            <w:tcBorders>
              <w:top w:val="single" w:sz="4" w:space="0" w:color="000000"/>
              <w:bottom w:val="single" w:sz="4" w:space="0" w:color="000000"/>
            </w:tcBorders>
            <w:shd w:val="clear" w:color="auto" w:fill="CCEDFF"/>
          </w:tcPr>
          <w:p>
            <w:pPr>
              <w:pStyle w:val="TableParagraph"/>
              <w:spacing w:before="43"/>
              <w:ind w:right="122"/>
              <w:jc w:val="right"/>
              <w:rPr>
                <w:sz w:val="18"/>
              </w:rPr>
            </w:pPr>
            <w:r>
              <w:rPr>
                <w:spacing w:val="-5"/>
                <w:sz w:val="18"/>
              </w:rPr>
              <w:t>51%</w:t>
            </w:r>
          </w:p>
        </w:tc>
        <w:tc>
          <w:tcPr>
            <w:tcW w:w="1041" w:type="dxa"/>
            <w:tcBorders>
              <w:top w:val="single" w:sz="4" w:space="0" w:color="000000"/>
              <w:bottom w:val="single" w:sz="4" w:space="0" w:color="000000"/>
            </w:tcBorders>
            <w:shd w:val="clear" w:color="auto" w:fill="CCEDFF"/>
          </w:tcPr>
          <w:p>
            <w:pPr>
              <w:pStyle w:val="TableParagraph"/>
              <w:spacing w:before="43"/>
              <w:ind w:left="475"/>
              <w:rPr>
                <w:sz w:val="18"/>
              </w:rPr>
            </w:pPr>
            <w:r>
              <w:rPr>
                <w:spacing w:val="-2"/>
                <w:sz w:val="18"/>
              </w:rPr>
              <w:t>7,653</w:t>
            </w:r>
          </w:p>
        </w:tc>
        <w:tc>
          <w:tcPr>
            <w:tcW w:w="922" w:type="dxa"/>
            <w:tcBorders>
              <w:top w:val="single" w:sz="4" w:space="0" w:color="000000"/>
              <w:bottom w:val="single" w:sz="4" w:space="0" w:color="000000"/>
            </w:tcBorders>
            <w:shd w:val="clear" w:color="auto" w:fill="CCEDFF"/>
          </w:tcPr>
          <w:p>
            <w:pPr>
              <w:pStyle w:val="TableParagraph"/>
              <w:spacing w:before="43"/>
              <w:ind w:right="75"/>
              <w:jc w:val="right"/>
              <w:rPr>
                <w:sz w:val="18"/>
              </w:rPr>
            </w:pPr>
            <w:r>
              <w:rPr>
                <w:spacing w:val="-5"/>
                <w:sz w:val="18"/>
              </w:rPr>
              <w:t>50%</w:t>
            </w:r>
          </w:p>
        </w:tc>
      </w:tr>
      <w:tr>
        <w:trPr>
          <w:trHeight w:val="280" w:hRule="atLeast"/>
        </w:trPr>
        <w:tc>
          <w:tcPr>
            <w:tcW w:w="6330" w:type="dxa"/>
            <w:tcBorders>
              <w:top w:val="single" w:sz="4" w:space="0" w:color="000000"/>
            </w:tcBorders>
          </w:tcPr>
          <w:p>
            <w:pPr>
              <w:pStyle w:val="TableParagraph"/>
              <w:spacing w:before="43"/>
              <w:ind w:left="52"/>
              <w:rPr>
                <w:b/>
                <w:sz w:val="18"/>
              </w:rPr>
            </w:pPr>
            <w:r>
              <w:rPr>
                <w:b/>
                <w:sz w:val="18"/>
              </w:rPr>
              <w:t>Asset</w:t>
            </w:r>
            <w:r>
              <w:rPr>
                <w:b/>
                <w:spacing w:val="-3"/>
                <w:sz w:val="18"/>
              </w:rPr>
              <w:t> </w:t>
            </w:r>
            <w:r>
              <w:rPr>
                <w:b/>
                <w:sz w:val="18"/>
              </w:rPr>
              <w:t>management</w:t>
            </w:r>
            <w:r>
              <w:rPr>
                <w:b/>
                <w:spacing w:val="-2"/>
                <w:sz w:val="18"/>
              </w:rPr>
              <w:t> </w:t>
            </w:r>
            <w:r>
              <w:rPr>
                <w:b/>
                <w:sz w:val="18"/>
              </w:rPr>
              <w:t>and</w:t>
            </w:r>
            <w:r>
              <w:rPr>
                <w:b/>
                <w:spacing w:val="-3"/>
                <w:sz w:val="18"/>
              </w:rPr>
              <w:t> </w:t>
            </w:r>
            <w:r>
              <w:rPr>
                <w:b/>
                <w:sz w:val="18"/>
              </w:rPr>
              <w:t>administration</w:t>
            </w:r>
            <w:r>
              <w:rPr>
                <w:b/>
                <w:spacing w:val="-3"/>
                <w:sz w:val="18"/>
              </w:rPr>
              <w:t> </w:t>
            </w:r>
            <w:r>
              <w:rPr>
                <w:b/>
                <w:spacing w:val="-4"/>
                <w:sz w:val="18"/>
              </w:rPr>
              <w:t>fees</w:t>
            </w:r>
          </w:p>
        </w:tc>
        <w:tc>
          <w:tcPr>
            <w:tcW w:w="1022" w:type="dxa"/>
            <w:tcBorders>
              <w:top w:val="single" w:sz="4" w:space="0" w:color="000000"/>
            </w:tcBorders>
          </w:tcPr>
          <w:p>
            <w:pPr>
              <w:pStyle w:val="TableParagraph"/>
              <w:rPr>
                <w:sz w:val="18"/>
              </w:rPr>
            </w:pPr>
          </w:p>
        </w:tc>
        <w:tc>
          <w:tcPr>
            <w:tcW w:w="948" w:type="dxa"/>
            <w:tcBorders>
              <w:top w:val="single" w:sz="4" w:space="0" w:color="000000"/>
            </w:tcBorders>
          </w:tcPr>
          <w:p>
            <w:pPr>
              <w:pStyle w:val="TableParagraph"/>
              <w:rPr>
                <w:sz w:val="18"/>
              </w:rPr>
            </w:pPr>
          </w:p>
        </w:tc>
        <w:tc>
          <w:tcPr>
            <w:tcW w:w="1041" w:type="dxa"/>
            <w:tcBorders>
              <w:top w:val="single" w:sz="4" w:space="0" w:color="000000"/>
            </w:tcBorders>
          </w:tcPr>
          <w:p>
            <w:pPr>
              <w:pStyle w:val="TableParagraph"/>
              <w:rPr>
                <w:sz w:val="18"/>
              </w:rPr>
            </w:pPr>
          </w:p>
        </w:tc>
        <w:tc>
          <w:tcPr>
            <w:tcW w:w="922" w:type="dxa"/>
            <w:tcBorders>
              <w:top w:val="single" w:sz="4" w:space="0" w:color="000000"/>
            </w:tcBorders>
          </w:tcPr>
          <w:p>
            <w:pPr>
              <w:pStyle w:val="TableParagraph"/>
              <w:rPr>
                <w:sz w:val="18"/>
              </w:rPr>
            </w:pPr>
          </w:p>
        </w:tc>
      </w:tr>
      <w:tr>
        <w:trPr>
          <w:trHeight w:val="285" w:hRule="atLeast"/>
        </w:trPr>
        <w:tc>
          <w:tcPr>
            <w:tcW w:w="6330" w:type="dxa"/>
            <w:shd w:val="clear" w:color="auto" w:fill="CCEDFF"/>
          </w:tcPr>
          <w:p>
            <w:pPr>
              <w:pStyle w:val="TableParagraph"/>
              <w:tabs>
                <w:tab w:pos="5865" w:val="left" w:leader="none"/>
              </w:tabs>
              <w:spacing w:before="48"/>
              <w:ind w:left="292"/>
              <w:rPr>
                <w:sz w:val="18"/>
              </w:rPr>
            </w:pPr>
            <w:r>
              <w:rPr>
                <w:sz w:val="18"/>
              </w:rPr>
              <w:t>Mutual</w:t>
            </w:r>
            <w:r>
              <w:rPr>
                <w:spacing w:val="-3"/>
                <w:sz w:val="18"/>
              </w:rPr>
              <w:t> </w:t>
            </w:r>
            <w:r>
              <w:rPr>
                <w:sz w:val="18"/>
              </w:rPr>
              <w:t>funds,</w:t>
            </w:r>
            <w:r>
              <w:rPr>
                <w:spacing w:val="-1"/>
                <w:sz w:val="18"/>
              </w:rPr>
              <w:t> </w:t>
            </w:r>
            <w:r>
              <w:rPr>
                <w:sz w:val="18"/>
              </w:rPr>
              <w:t>ETFs,</w:t>
            </w:r>
            <w:r>
              <w:rPr>
                <w:spacing w:val="-1"/>
                <w:sz w:val="18"/>
              </w:rPr>
              <w:t> </w:t>
            </w:r>
            <w:r>
              <w:rPr>
                <w:sz w:val="18"/>
              </w:rPr>
              <w:t>and</w:t>
            </w:r>
            <w:r>
              <w:rPr>
                <w:spacing w:val="-1"/>
                <w:sz w:val="18"/>
              </w:rPr>
              <w:t> </w:t>
            </w:r>
            <w:r>
              <w:rPr>
                <w:spacing w:val="-4"/>
                <w:sz w:val="18"/>
              </w:rPr>
              <w:t>CTFs</w:t>
            </w:r>
            <w:r>
              <w:rPr>
                <w:sz w:val="18"/>
              </w:rPr>
              <w:tab/>
            </w:r>
            <w:r>
              <w:rPr>
                <w:spacing w:val="-5"/>
                <w:sz w:val="18"/>
              </w:rPr>
              <w:t>23%</w:t>
            </w:r>
          </w:p>
        </w:tc>
        <w:tc>
          <w:tcPr>
            <w:tcW w:w="1022" w:type="dxa"/>
            <w:shd w:val="clear" w:color="auto" w:fill="CCEDFF"/>
          </w:tcPr>
          <w:p>
            <w:pPr>
              <w:pStyle w:val="TableParagraph"/>
              <w:spacing w:before="48"/>
              <w:ind w:left="465"/>
              <w:rPr>
                <w:sz w:val="18"/>
              </w:rPr>
            </w:pPr>
            <w:r>
              <w:rPr>
                <w:spacing w:val="-2"/>
                <w:sz w:val="18"/>
              </w:rPr>
              <w:t>1,881</w:t>
            </w:r>
          </w:p>
        </w:tc>
        <w:tc>
          <w:tcPr>
            <w:tcW w:w="948" w:type="dxa"/>
            <w:shd w:val="clear" w:color="auto" w:fill="CCEDFF"/>
          </w:tcPr>
          <w:p>
            <w:pPr>
              <w:pStyle w:val="TableParagraph"/>
              <w:spacing w:before="48"/>
              <w:ind w:right="122"/>
              <w:jc w:val="right"/>
              <w:rPr>
                <w:sz w:val="18"/>
              </w:rPr>
            </w:pPr>
            <w:r>
              <w:rPr>
                <w:spacing w:val="-5"/>
                <w:sz w:val="18"/>
              </w:rPr>
              <w:t>13%</w:t>
            </w:r>
          </w:p>
        </w:tc>
        <w:tc>
          <w:tcPr>
            <w:tcW w:w="1041" w:type="dxa"/>
            <w:shd w:val="clear" w:color="auto" w:fill="CCEDFF"/>
          </w:tcPr>
          <w:p>
            <w:pPr>
              <w:pStyle w:val="TableParagraph"/>
              <w:spacing w:before="48"/>
              <w:ind w:left="475"/>
              <w:rPr>
                <w:sz w:val="18"/>
              </w:rPr>
            </w:pPr>
            <w:r>
              <w:rPr>
                <w:spacing w:val="-2"/>
                <w:sz w:val="18"/>
              </w:rPr>
              <w:t>1,524</w:t>
            </w:r>
          </w:p>
        </w:tc>
        <w:tc>
          <w:tcPr>
            <w:tcW w:w="922" w:type="dxa"/>
            <w:shd w:val="clear" w:color="auto" w:fill="CCEDFF"/>
          </w:tcPr>
          <w:p>
            <w:pPr>
              <w:pStyle w:val="TableParagraph"/>
              <w:spacing w:before="48"/>
              <w:ind w:right="75"/>
              <w:jc w:val="right"/>
              <w:rPr>
                <w:sz w:val="18"/>
              </w:rPr>
            </w:pPr>
            <w:r>
              <w:rPr>
                <w:spacing w:val="-5"/>
                <w:sz w:val="18"/>
              </w:rPr>
              <w:t>10%</w:t>
            </w:r>
          </w:p>
        </w:tc>
      </w:tr>
      <w:tr>
        <w:trPr>
          <w:trHeight w:val="285" w:hRule="atLeast"/>
        </w:trPr>
        <w:tc>
          <w:tcPr>
            <w:tcW w:w="6330" w:type="dxa"/>
          </w:tcPr>
          <w:p>
            <w:pPr>
              <w:pStyle w:val="TableParagraph"/>
              <w:tabs>
                <w:tab w:pos="5602" w:val="left" w:leader="none"/>
              </w:tabs>
              <w:spacing w:before="48"/>
              <w:ind w:right="72"/>
              <w:jc w:val="right"/>
              <w:rPr>
                <w:sz w:val="18"/>
              </w:rPr>
            </w:pPr>
            <w:r>
              <w:rPr>
                <w:sz w:val="18"/>
              </w:rPr>
              <w:t>Advice</w:t>
            </w:r>
            <w:r>
              <w:rPr>
                <w:spacing w:val="-1"/>
                <w:sz w:val="18"/>
              </w:rPr>
              <w:t> </w:t>
            </w:r>
            <w:r>
              <w:rPr>
                <w:spacing w:val="-2"/>
                <w:sz w:val="18"/>
              </w:rPr>
              <w:t>solutions</w:t>
            </w:r>
            <w:r>
              <w:rPr>
                <w:sz w:val="18"/>
              </w:rPr>
              <w:tab/>
            </w:r>
            <w:r>
              <w:rPr>
                <w:spacing w:val="-4"/>
                <w:sz w:val="18"/>
              </w:rPr>
              <w:t>(1)%</w:t>
            </w:r>
          </w:p>
        </w:tc>
        <w:tc>
          <w:tcPr>
            <w:tcW w:w="1022" w:type="dxa"/>
          </w:tcPr>
          <w:p>
            <w:pPr>
              <w:pStyle w:val="TableParagraph"/>
              <w:spacing w:before="48"/>
              <w:ind w:left="465"/>
              <w:rPr>
                <w:sz w:val="18"/>
              </w:rPr>
            </w:pPr>
            <w:r>
              <w:rPr>
                <w:spacing w:val="-2"/>
                <w:sz w:val="18"/>
              </w:rPr>
              <w:t>1,393</w:t>
            </w:r>
          </w:p>
        </w:tc>
        <w:tc>
          <w:tcPr>
            <w:tcW w:w="948" w:type="dxa"/>
          </w:tcPr>
          <w:p>
            <w:pPr>
              <w:pStyle w:val="TableParagraph"/>
              <w:spacing w:before="48"/>
              <w:ind w:right="122"/>
              <w:jc w:val="right"/>
              <w:rPr>
                <w:sz w:val="18"/>
              </w:rPr>
            </w:pPr>
            <w:r>
              <w:rPr>
                <w:spacing w:val="-5"/>
                <w:sz w:val="18"/>
              </w:rPr>
              <w:t>10%</w:t>
            </w:r>
          </w:p>
        </w:tc>
        <w:tc>
          <w:tcPr>
            <w:tcW w:w="1041" w:type="dxa"/>
          </w:tcPr>
          <w:p>
            <w:pPr>
              <w:pStyle w:val="TableParagraph"/>
              <w:spacing w:before="48"/>
              <w:ind w:left="475"/>
              <w:rPr>
                <w:sz w:val="18"/>
              </w:rPr>
            </w:pPr>
            <w:r>
              <w:rPr>
                <w:spacing w:val="-2"/>
                <w:sz w:val="18"/>
              </w:rPr>
              <w:t>1,409</w:t>
            </w:r>
          </w:p>
        </w:tc>
        <w:tc>
          <w:tcPr>
            <w:tcW w:w="922" w:type="dxa"/>
          </w:tcPr>
          <w:p>
            <w:pPr>
              <w:pStyle w:val="TableParagraph"/>
              <w:spacing w:before="48"/>
              <w:ind w:right="75"/>
              <w:jc w:val="right"/>
              <w:rPr>
                <w:sz w:val="18"/>
              </w:rPr>
            </w:pPr>
            <w:r>
              <w:rPr>
                <w:spacing w:val="-5"/>
                <w:sz w:val="18"/>
              </w:rPr>
              <w:t>9%</w:t>
            </w:r>
          </w:p>
        </w:tc>
      </w:tr>
      <w:tr>
        <w:trPr>
          <w:trHeight w:val="280" w:hRule="atLeast"/>
        </w:trPr>
        <w:tc>
          <w:tcPr>
            <w:tcW w:w="6330" w:type="dxa"/>
            <w:tcBorders>
              <w:bottom w:val="single" w:sz="4" w:space="0" w:color="000000"/>
            </w:tcBorders>
            <w:shd w:val="clear" w:color="auto" w:fill="CCEDFF"/>
          </w:tcPr>
          <w:p>
            <w:pPr>
              <w:pStyle w:val="TableParagraph"/>
              <w:tabs>
                <w:tab w:pos="5955" w:val="left" w:leader="none"/>
              </w:tabs>
              <w:spacing w:before="48"/>
              <w:ind w:left="292"/>
              <w:rPr>
                <w:sz w:val="18"/>
              </w:rPr>
            </w:pPr>
            <w:r>
              <w:rPr>
                <w:spacing w:val="-2"/>
                <w:sz w:val="18"/>
              </w:rPr>
              <w:t>Other</w:t>
            </w:r>
            <w:r>
              <w:rPr>
                <w:sz w:val="18"/>
              </w:rPr>
              <w:tab/>
            </w:r>
            <w:r>
              <w:rPr>
                <w:spacing w:val="-5"/>
                <w:sz w:val="18"/>
              </w:rPr>
              <w:t>3%</w:t>
            </w:r>
          </w:p>
        </w:tc>
        <w:tc>
          <w:tcPr>
            <w:tcW w:w="1022" w:type="dxa"/>
            <w:tcBorders>
              <w:bottom w:val="single" w:sz="4" w:space="0" w:color="000000"/>
            </w:tcBorders>
            <w:shd w:val="clear" w:color="auto" w:fill="CCEDFF"/>
          </w:tcPr>
          <w:p>
            <w:pPr>
              <w:pStyle w:val="TableParagraph"/>
              <w:spacing w:before="48"/>
              <w:ind w:left="600"/>
              <w:rPr>
                <w:sz w:val="18"/>
              </w:rPr>
            </w:pPr>
            <w:r>
              <w:rPr>
                <w:spacing w:val="-5"/>
                <w:sz w:val="18"/>
              </w:rPr>
              <w:t>241</w:t>
            </w:r>
          </w:p>
        </w:tc>
        <w:tc>
          <w:tcPr>
            <w:tcW w:w="948" w:type="dxa"/>
            <w:tcBorders>
              <w:bottom w:val="single" w:sz="4" w:space="0" w:color="000000"/>
            </w:tcBorders>
            <w:shd w:val="clear" w:color="auto" w:fill="CCEDFF"/>
          </w:tcPr>
          <w:p>
            <w:pPr>
              <w:pStyle w:val="TableParagraph"/>
              <w:spacing w:before="48"/>
              <w:ind w:right="122"/>
              <w:jc w:val="right"/>
              <w:rPr>
                <w:sz w:val="18"/>
              </w:rPr>
            </w:pPr>
            <w:r>
              <w:rPr>
                <w:spacing w:val="-5"/>
                <w:sz w:val="18"/>
              </w:rPr>
              <w:t>1%</w:t>
            </w:r>
          </w:p>
        </w:tc>
        <w:tc>
          <w:tcPr>
            <w:tcW w:w="1041" w:type="dxa"/>
            <w:tcBorders>
              <w:bottom w:val="single" w:sz="4" w:space="0" w:color="000000"/>
            </w:tcBorders>
            <w:shd w:val="clear" w:color="auto" w:fill="CCEDFF"/>
          </w:tcPr>
          <w:p>
            <w:pPr>
              <w:pStyle w:val="TableParagraph"/>
              <w:spacing w:before="48"/>
              <w:ind w:left="610"/>
              <w:rPr>
                <w:sz w:val="18"/>
              </w:rPr>
            </w:pPr>
            <w:r>
              <w:rPr>
                <w:spacing w:val="-5"/>
                <w:sz w:val="18"/>
              </w:rPr>
              <w:t>234</w:t>
            </w:r>
          </w:p>
        </w:tc>
        <w:tc>
          <w:tcPr>
            <w:tcW w:w="922" w:type="dxa"/>
            <w:tcBorders>
              <w:bottom w:val="single" w:sz="4" w:space="0" w:color="000000"/>
            </w:tcBorders>
            <w:shd w:val="clear" w:color="auto" w:fill="CCEDFF"/>
          </w:tcPr>
          <w:p>
            <w:pPr>
              <w:pStyle w:val="TableParagraph"/>
              <w:spacing w:before="48"/>
              <w:ind w:right="75"/>
              <w:jc w:val="right"/>
              <w:rPr>
                <w:sz w:val="18"/>
              </w:rPr>
            </w:pPr>
            <w:r>
              <w:rPr>
                <w:spacing w:val="-5"/>
                <w:sz w:val="18"/>
              </w:rPr>
              <w:t>2%</w:t>
            </w:r>
          </w:p>
        </w:tc>
      </w:tr>
      <w:tr>
        <w:trPr>
          <w:trHeight w:val="275" w:hRule="atLeast"/>
        </w:trPr>
        <w:tc>
          <w:tcPr>
            <w:tcW w:w="6330" w:type="dxa"/>
            <w:tcBorders>
              <w:top w:val="single" w:sz="4" w:space="0" w:color="000000"/>
              <w:bottom w:val="single" w:sz="4" w:space="0" w:color="000000"/>
            </w:tcBorders>
          </w:tcPr>
          <w:p>
            <w:pPr>
              <w:pStyle w:val="TableParagraph"/>
              <w:tabs>
                <w:tab w:pos="5865" w:val="left" w:leader="none"/>
              </w:tabs>
              <w:spacing w:before="43"/>
              <w:ind w:left="52"/>
              <w:rPr>
                <w:sz w:val="18"/>
              </w:rPr>
            </w:pPr>
            <w:r>
              <w:rPr>
                <w:sz w:val="18"/>
              </w:rPr>
              <w:t>Asset</w:t>
            </w:r>
            <w:r>
              <w:rPr>
                <w:spacing w:val="-1"/>
                <w:sz w:val="18"/>
              </w:rPr>
              <w:t> </w:t>
            </w:r>
            <w:r>
              <w:rPr>
                <w:sz w:val="18"/>
              </w:rPr>
              <w:t>management</w:t>
            </w:r>
            <w:r>
              <w:rPr>
                <w:spacing w:val="-1"/>
                <w:sz w:val="18"/>
              </w:rPr>
              <w:t> </w:t>
            </w:r>
            <w:r>
              <w:rPr>
                <w:sz w:val="18"/>
              </w:rPr>
              <w:t>and</w:t>
            </w:r>
            <w:r>
              <w:rPr>
                <w:spacing w:val="-1"/>
                <w:sz w:val="18"/>
              </w:rPr>
              <w:t> </w:t>
            </w:r>
            <w:r>
              <w:rPr>
                <w:sz w:val="18"/>
              </w:rPr>
              <w:t>administration</w:t>
            </w:r>
            <w:r>
              <w:rPr>
                <w:spacing w:val="-1"/>
                <w:sz w:val="18"/>
              </w:rPr>
              <w:t> </w:t>
            </w:r>
            <w:r>
              <w:rPr>
                <w:spacing w:val="-4"/>
                <w:sz w:val="18"/>
              </w:rPr>
              <w:t>fees</w:t>
            </w:r>
            <w:r>
              <w:rPr>
                <w:sz w:val="18"/>
              </w:rPr>
              <w:tab/>
            </w:r>
            <w:r>
              <w:rPr>
                <w:spacing w:val="-5"/>
                <w:sz w:val="18"/>
              </w:rPr>
              <w:t>11%</w:t>
            </w:r>
          </w:p>
        </w:tc>
        <w:tc>
          <w:tcPr>
            <w:tcW w:w="1022" w:type="dxa"/>
            <w:tcBorders>
              <w:top w:val="single" w:sz="4" w:space="0" w:color="000000"/>
              <w:bottom w:val="single" w:sz="4" w:space="0" w:color="000000"/>
            </w:tcBorders>
          </w:tcPr>
          <w:p>
            <w:pPr>
              <w:pStyle w:val="TableParagraph"/>
              <w:spacing w:before="43"/>
              <w:ind w:left="465"/>
              <w:rPr>
                <w:sz w:val="18"/>
              </w:rPr>
            </w:pPr>
            <w:r>
              <w:rPr>
                <w:spacing w:val="-2"/>
                <w:sz w:val="18"/>
              </w:rPr>
              <w:t>3,515</w:t>
            </w:r>
          </w:p>
        </w:tc>
        <w:tc>
          <w:tcPr>
            <w:tcW w:w="948" w:type="dxa"/>
            <w:tcBorders>
              <w:top w:val="single" w:sz="4" w:space="0" w:color="000000"/>
              <w:bottom w:val="single" w:sz="4" w:space="0" w:color="000000"/>
            </w:tcBorders>
          </w:tcPr>
          <w:p>
            <w:pPr>
              <w:pStyle w:val="TableParagraph"/>
              <w:spacing w:before="43"/>
              <w:ind w:right="122"/>
              <w:jc w:val="right"/>
              <w:rPr>
                <w:sz w:val="18"/>
              </w:rPr>
            </w:pPr>
            <w:r>
              <w:rPr>
                <w:spacing w:val="-5"/>
                <w:sz w:val="18"/>
              </w:rPr>
              <w:t>24%</w:t>
            </w:r>
          </w:p>
        </w:tc>
        <w:tc>
          <w:tcPr>
            <w:tcW w:w="1041" w:type="dxa"/>
            <w:tcBorders>
              <w:top w:val="single" w:sz="4" w:space="0" w:color="000000"/>
              <w:bottom w:val="single" w:sz="4" w:space="0" w:color="000000"/>
            </w:tcBorders>
          </w:tcPr>
          <w:p>
            <w:pPr>
              <w:pStyle w:val="TableParagraph"/>
              <w:spacing w:before="43"/>
              <w:ind w:left="475"/>
              <w:rPr>
                <w:sz w:val="18"/>
              </w:rPr>
            </w:pPr>
            <w:r>
              <w:rPr>
                <w:spacing w:val="-2"/>
                <w:sz w:val="18"/>
              </w:rPr>
              <w:t>3,167</w:t>
            </w:r>
          </w:p>
        </w:tc>
        <w:tc>
          <w:tcPr>
            <w:tcW w:w="922" w:type="dxa"/>
            <w:tcBorders>
              <w:top w:val="single" w:sz="4" w:space="0" w:color="000000"/>
              <w:bottom w:val="single" w:sz="4" w:space="0" w:color="000000"/>
            </w:tcBorders>
          </w:tcPr>
          <w:p>
            <w:pPr>
              <w:pStyle w:val="TableParagraph"/>
              <w:spacing w:before="43"/>
              <w:ind w:right="75"/>
              <w:jc w:val="right"/>
              <w:rPr>
                <w:sz w:val="18"/>
              </w:rPr>
            </w:pPr>
            <w:r>
              <w:rPr>
                <w:spacing w:val="-5"/>
                <w:sz w:val="18"/>
              </w:rPr>
              <w:t>21%</w:t>
            </w:r>
          </w:p>
        </w:tc>
      </w:tr>
      <w:tr>
        <w:trPr>
          <w:trHeight w:val="280" w:hRule="atLeast"/>
        </w:trPr>
        <w:tc>
          <w:tcPr>
            <w:tcW w:w="6330" w:type="dxa"/>
            <w:tcBorders>
              <w:top w:val="single" w:sz="4" w:space="0" w:color="000000"/>
            </w:tcBorders>
            <w:shd w:val="clear" w:color="auto" w:fill="CCEDFF"/>
          </w:tcPr>
          <w:p>
            <w:pPr>
              <w:pStyle w:val="TableParagraph"/>
              <w:spacing w:before="43"/>
              <w:ind w:left="52"/>
              <w:rPr>
                <w:b/>
                <w:sz w:val="18"/>
              </w:rPr>
            </w:pPr>
            <w:r>
              <w:rPr>
                <w:b/>
                <w:sz w:val="18"/>
              </w:rPr>
              <w:t>Trading</w:t>
            </w:r>
            <w:r>
              <w:rPr>
                <w:b/>
                <w:spacing w:val="-4"/>
                <w:sz w:val="18"/>
              </w:rPr>
              <w:t> </w:t>
            </w:r>
            <w:r>
              <w:rPr>
                <w:b/>
                <w:spacing w:val="-2"/>
                <w:sz w:val="18"/>
              </w:rPr>
              <w:t>revenue</w:t>
            </w:r>
          </w:p>
        </w:tc>
        <w:tc>
          <w:tcPr>
            <w:tcW w:w="1022" w:type="dxa"/>
            <w:tcBorders>
              <w:top w:val="single" w:sz="4" w:space="0" w:color="000000"/>
            </w:tcBorders>
            <w:shd w:val="clear" w:color="auto" w:fill="CCEDFF"/>
          </w:tcPr>
          <w:p>
            <w:pPr>
              <w:pStyle w:val="TableParagraph"/>
              <w:rPr>
                <w:sz w:val="18"/>
              </w:rPr>
            </w:pPr>
          </w:p>
        </w:tc>
        <w:tc>
          <w:tcPr>
            <w:tcW w:w="948" w:type="dxa"/>
            <w:tcBorders>
              <w:top w:val="single" w:sz="4" w:space="0" w:color="000000"/>
            </w:tcBorders>
            <w:shd w:val="clear" w:color="auto" w:fill="CCEDFF"/>
          </w:tcPr>
          <w:p>
            <w:pPr>
              <w:pStyle w:val="TableParagraph"/>
              <w:rPr>
                <w:sz w:val="18"/>
              </w:rPr>
            </w:pPr>
          </w:p>
        </w:tc>
        <w:tc>
          <w:tcPr>
            <w:tcW w:w="1041" w:type="dxa"/>
            <w:tcBorders>
              <w:top w:val="single" w:sz="4" w:space="0" w:color="000000"/>
            </w:tcBorders>
            <w:shd w:val="clear" w:color="auto" w:fill="CCEDFF"/>
          </w:tcPr>
          <w:p>
            <w:pPr>
              <w:pStyle w:val="TableParagraph"/>
              <w:rPr>
                <w:sz w:val="18"/>
              </w:rPr>
            </w:pPr>
          </w:p>
        </w:tc>
        <w:tc>
          <w:tcPr>
            <w:tcW w:w="922" w:type="dxa"/>
            <w:tcBorders>
              <w:top w:val="single" w:sz="4" w:space="0" w:color="000000"/>
            </w:tcBorders>
            <w:shd w:val="clear" w:color="auto" w:fill="CCEDFF"/>
          </w:tcPr>
          <w:p>
            <w:pPr>
              <w:pStyle w:val="TableParagraph"/>
              <w:rPr>
                <w:sz w:val="18"/>
              </w:rPr>
            </w:pPr>
          </w:p>
        </w:tc>
      </w:tr>
      <w:tr>
        <w:trPr>
          <w:trHeight w:val="285" w:hRule="atLeast"/>
        </w:trPr>
        <w:tc>
          <w:tcPr>
            <w:tcW w:w="6330" w:type="dxa"/>
          </w:tcPr>
          <w:p>
            <w:pPr>
              <w:pStyle w:val="TableParagraph"/>
              <w:tabs>
                <w:tab w:pos="5512" w:val="left" w:leader="none"/>
              </w:tabs>
              <w:spacing w:before="48"/>
              <w:ind w:right="72"/>
              <w:jc w:val="right"/>
              <w:rPr>
                <w:sz w:val="18"/>
              </w:rPr>
            </w:pPr>
            <w:r>
              <w:rPr>
                <w:spacing w:val="-2"/>
                <w:sz w:val="18"/>
              </w:rPr>
              <w:t>Commissions</w:t>
            </w:r>
            <w:r>
              <w:rPr>
                <w:sz w:val="18"/>
              </w:rPr>
              <w:tab/>
            </w:r>
            <w:r>
              <w:rPr>
                <w:spacing w:val="-2"/>
                <w:sz w:val="18"/>
              </w:rPr>
              <w:t>(11)%</w:t>
            </w:r>
          </w:p>
        </w:tc>
        <w:tc>
          <w:tcPr>
            <w:tcW w:w="1022" w:type="dxa"/>
          </w:tcPr>
          <w:p>
            <w:pPr>
              <w:pStyle w:val="TableParagraph"/>
              <w:spacing w:before="48"/>
              <w:ind w:left="465"/>
              <w:rPr>
                <w:sz w:val="18"/>
              </w:rPr>
            </w:pPr>
            <w:r>
              <w:rPr>
                <w:spacing w:val="-2"/>
                <w:sz w:val="18"/>
              </w:rPr>
              <w:t>1,210</w:t>
            </w:r>
          </w:p>
        </w:tc>
        <w:tc>
          <w:tcPr>
            <w:tcW w:w="948" w:type="dxa"/>
          </w:tcPr>
          <w:p>
            <w:pPr>
              <w:pStyle w:val="TableParagraph"/>
              <w:spacing w:before="48"/>
              <w:ind w:right="122"/>
              <w:jc w:val="right"/>
              <w:rPr>
                <w:sz w:val="18"/>
              </w:rPr>
            </w:pPr>
            <w:r>
              <w:rPr>
                <w:spacing w:val="-5"/>
                <w:sz w:val="18"/>
              </w:rPr>
              <w:t>8%</w:t>
            </w:r>
          </w:p>
        </w:tc>
        <w:tc>
          <w:tcPr>
            <w:tcW w:w="1041" w:type="dxa"/>
          </w:tcPr>
          <w:p>
            <w:pPr>
              <w:pStyle w:val="TableParagraph"/>
              <w:spacing w:before="48"/>
              <w:ind w:left="475"/>
              <w:rPr>
                <w:sz w:val="18"/>
              </w:rPr>
            </w:pPr>
            <w:r>
              <w:rPr>
                <w:spacing w:val="-2"/>
                <w:sz w:val="18"/>
              </w:rPr>
              <w:t>1,362</w:t>
            </w:r>
          </w:p>
        </w:tc>
        <w:tc>
          <w:tcPr>
            <w:tcW w:w="922" w:type="dxa"/>
          </w:tcPr>
          <w:p>
            <w:pPr>
              <w:pStyle w:val="TableParagraph"/>
              <w:spacing w:before="48"/>
              <w:ind w:right="75"/>
              <w:jc w:val="right"/>
              <w:rPr>
                <w:sz w:val="18"/>
              </w:rPr>
            </w:pPr>
            <w:r>
              <w:rPr>
                <w:spacing w:val="-5"/>
                <w:sz w:val="18"/>
              </w:rPr>
              <w:t>9%</w:t>
            </w:r>
          </w:p>
        </w:tc>
      </w:tr>
      <w:tr>
        <w:trPr>
          <w:trHeight w:val="285" w:hRule="atLeast"/>
        </w:trPr>
        <w:tc>
          <w:tcPr>
            <w:tcW w:w="6330" w:type="dxa"/>
            <w:shd w:val="clear" w:color="auto" w:fill="CCEDFF"/>
          </w:tcPr>
          <w:p>
            <w:pPr>
              <w:pStyle w:val="TableParagraph"/>
              <w:tabs>
                <w:tab w:pos="5512" w:val="left" w:leader="none"/>
              </w:tabs>
              <w:spacing w:before="48"/>
              <w:ind w:right="72"/>
              <w:jc w:val="right"/>
              <w:rPr>
                <w:sz w:val="18"/>
              </w:rPr>
            </w:pPr>
            <w:r>
              <w:rPr>
                <w:sz w:val="18"/>
              </w:rPr>
              <w:t>Order</w:t>
            </w:r>
            <w:r>
              <w:rPr>
                <w:spacing w:val="-1"/>
                <w:sz w:val="18"/>
              </w:rPr>
              <w:t> </w:t>
            </w:r>
            <w:r>
              <w:rPr>
                <w:sz w:val="18"/>
              </w:rPr>
              <w:t>flow</w:t>
            </w:r>
            <w:r>
              <w:rPr>
                <w:spacing w:val="-1"/>
                <w:sz w:val="18"/>
              </w:rPr>
              <w:t> </w:t>
            </w:r>
            <w:r>
              <w:rPr>
                <w:spacing w:val="-2"/>
                <w:sz w:val="18"/>
              </w:rPr>
              <w:t>revenue</w:t>
            </w:r>
            <w:r>
              <w:rPr>
                <w:sz w:val="18"/>
              </w:rPr>
              <w:tab/>
            </w:r>
            <w:r>
              <w:rPr>
                <w:spacing w:val="-2"/>
                <w:sz w:val="18"/>
              </w:rPr>
              <w:t>(17)%</w:t>
            </w:r>
          </w:p>
        </w:tc>
        <w:tc>
          <w:tcPr>
            <w:tcW w:w="1022" w:type="dxa"/>
            <w:shd w:val="clear" w:color="auto" w:fill="CCEDFF"/>
          </w:tcPr>
          <w:p>
            <w:pPr>
              <w:pStyle w:val="TableParagraph"/>
              <w:spacing w:before="48"/>
              <w:ind w:left="465"/>
              <w:rPr>
                <w:sz w:val="18"/>
              </w:rPr>
            </w:pPr>
            <w:r>
              <w:rPr>
                <w:spacing w:val="-2"/>
                <w:sz w:val="18"/>
              </w:rPr>
              <w:t>1,104</w:t>
            </w:r>
          </w:p>
        </w:tc>
        <w:tc>
          <w:tcPr>
            <w:tcW w:w="948" w:type="dxa"/>
            <w:shd w:val="clear" w:color="auto" w:fill="CCEDFF"/>
          </w:tcPr>
          <w:p>
            <w:pPr>
              <w:pStyle w:val="TableParagraph"/>
              <w:spacing w:before="48"/>
              <w:ind w:right="122"/>
              <w:jc w:val="right"/>
              <w:rPr>
                <w:sz w:val="18"/>
              </w:rPr>
            </w:pPr>
            <w:r>
              <w:rPr>
                <w:spacing w:val="-5"/>
                <w:sz w:val="18"/>
              </w:rPr>
              <w:t>8%</w:t>
            </w:r>
          </w:p>
        </w:tc>
        <w:tc>
          <w:tcPr>
            <w:tcW w:w="1041" w:type="dxa"/>
            <w:shd w:val="clear" w:color="auto" w:fill="CCEDFF"/>
          </w:tcPr>
          <w:p>
            <w:pPr>
              <w:pStyle w:val="TableParagraph"/>
              <w:spacing w:before="48"/>
              <w:ind w:left="475"/>
              <w:rPr>
                <w:sz w:val="18"/>
              </w:rPr>
            </w:pPr>
            <w:r>
              <w:rPr>
                <w:spacing w:val="-2"/>
                <w:sz w:val="18"/>
              </w:rPr>
              <w:t>1,332</w:t>
            </w:r>
          </w:p>
        </w:tc>
        <w:tc>
          <w:tcPr>
            <w:tcW w:w="922" w:type="dxa"/>
            <w:shd w:val="clear" w:color="auto" w:fill="CCEDFF"/>
          </w:tcPr>
          <w:p>
            <w:pPr>
              <w:pStyle w:val="TableParagraph"/>
              <w:spacing w:before="48"/>
              <w:ind w:right="75"/>
              <w:jc w:val="right"/>
              <w:rPr>
                <w:sz w:val="18"/>
              </w:rPr>
            </w:pPr>
            <w:r>
              <w:rPr>
                <w:spacing w:val="-5"/>
                <w:sz w:val="18"/>
              </w:rPr>
              <w:t>9%</w:t>
            </w:r>
          </w:p>
        </w:tc>
      </w:tr>
      <w:tr>
        <w:trPr>
          <w:trHeight w:val="280" w:hRule="atLeast"/>
        </w:trPr>
        <w:tc>
          <w:tcPr>
            <w:tcW w:w="6330" w:type="dxa"/>
            <w:tcBorders>
              <w:bottom w:val="single" w:sz="4" w:space="0" w:color="000000"/>
            </w:tcBorders>
          </w:tcPr>
          <w:p>
            <w:pPr>
              <w:pStyle w:val="TableParagraph"/>
              <w:tabs>
                <w:tab w:pos="5865" w:val="left" w:leader="none"/>
              </w:tabs>
              <w:spacing w:before="48"/>
              <w:ind w:left="292"/>
              <w:rPr>
                <w:sz w:val="18"/>
              </w:rPr>
            </w:pPr>
            <w:r>
              <w:rPr>
                <w:sz w:val="18"/>
              </w:rPr>
              <w:t>Principal</w:t>
            </w:r>
            <w:r>
              <w:rPr>
                <w:spacing w:val="-1"/>
                <w:sz w:val="18"/>
              </w:rPr>
              <w:t> </w:t>
            </w:r>
            <w:r>
              <w:rPr>
                <w:spacing w:val="-2"/>
                <w:sz w:val="18"/>
              </w:rPr>
              <w:t>transactions</w:t>
            </w:r>
            <w:r>
              <w:rPr>
                <w:sz w:val="18"/>
              </w:rPr>
              <w:tab/>
            </w:r>
            <w:r>
              <w:rPr>
                <w:spacing w:val="-5"/>
                <w:sz w:val="18"/>
              </w:rPr>
              <w:t>77%</w:t>
            </w:r>
          </w:p>
        </w:tc>
        <w:tc>
          <w:tcPr>
            <w:tcW w:w="1022" w:type="dxa"/>
            <w:tcBorders>
              <w:bottom w:val="single" w:sz="4" w:space="0" w:color="000000"/>
            </w:tcBorders>
          </w:tcPr>
          <w:p>
            <w:pPr>
              <w:pStyle w:val="TableParagraph"/>
              <w:spacing w:before="48"/>
              <w:ind w:left="600"/>
              <w:rPr>
                <w:sz w:val="18"/>
              </w:rPr>
            </w:pPr>
            <w:r>
              <w:rPr>
                <w:spacing w:val="-5"/>
                <w:sz w:val="18"/>
              </w:rPr>
              <w:t>149</w:t>
            </w:r>
          </w:p>
        </w:tc>
        <w:tc>
          <w:tcPr>
            <w:tcW w:w="948" w:type="dxa"/>
            <w:tcBorders>
              <w:bottom w:val="single" w:sz="4" w:space="0" w:color="000000"/>
            </w:tcBorders>
          </w:tcPr>
          <w:p>
            <w:pPr>
              <w:pStyle w:val="TableParagraph"/>
              <w:spacing w:before="48"/>
              <w:ind w:right="122"/>
              <w:jc w:val="right"/>
              <w:rPr>
                <w:sz w:val="18"/>
              </w:rPr>
            </w:pPr>
            <w:r>
              <w:rPr>
                <w:spacing w:val="-5"/>
                <w:sz w:val="18"/>
              </w:rPr>
              <w:t>1%</w:t>
            </w:r>
          </w:p>
        </w:tc>
        <w:tc>
          <w:tcPr>
            <w:tcW w:w="1041" w:type="dxa"/>
            <w:tcBorders>
              <w:bottom w:val="single" w:sz="4" w:space="0" w:color="000000"/>
            </w:tcBorders>
          </w:tcPr>
          <w:p>
            <w:pPr>
              <w:pStyle w:val="TableParagraph"/>
              <w:spacing w:before="48"/>
              <w:ind w:right="158"/>
              <w:jc w:val="right"/>
              <w:rPr>
                <w:sz w:val="18"/>
              </w:rPr>
            </w:pPr>
            <w:r>
              <w:rPr>
                <w:spacing w:val="-5"/>
                <w:sz w:val="18"/>
              </w:rPr>
              <w:t>84</w:t>
            </w:r>
          </w:p>
        </w:tc>
        <w:tc>
          <w:tcPr>
            <w:tcW w:w="922" w:type="dxa"/>
            <w:tcBorders>
              <w:bottom w:val="single" w:sz="4" w:space="0" w:color="000000"/>
            </w:tcBorders>
          </w:tcPr>
          <w:p>
            <w:pPr>
              <w:pStyle w:val="TableParagraph"/>
              <w:spacing w:before="48"/>
              <w:ind w:left="514"/>
              <w:rPr>
                <w:sz w:val="18"/>
              </w:rPr>
            </w:pPr>
            <w:r>
              <w:rPr>
                <w:spacing w:val="-10"/>
                <w:sz w:val="18"/>
              </w:rPr>
              <w:t>—</w:t>
            </w:r>
          </w:p>
        </w:tc>
      </w:tr>
      <w:tr>
        <w:trPr>
          <w:trHeight w:val="275" w:hRule="atLeast"/>
        </w:trPr>
        <w:tc>
          <w:tcPr>
            <w:tcW w:w="6330" w:type="dxa"/>
            <w:tcBorders>
              <w:top w:val="single" w:sz="4" w:space="0" w:color="000000"/>
              <w:bottom w:val="single" w:sz="4" w:space="0" w:color="000000"/>
            </w:tcBorders>
            <w:shd w:val="clear" w:color="auto" w:fill="CCEDFF"/>
          </w:tcPr>
          <w:p>
            <w:pPr>
              <w:pStyle w:val="TableParagraph"/>
              <w:tabs>
                <w:tab w:pos="5752" w:val="left" w:leader="none"/>
              </w:tabs>
              <w:spacing w:before="43"/>
              <w:ind w:right="72"/>
              <w:jc w:val="right"/>
              <w:rPr>
                <w:sz w:val="18"/>
              </w:rPr>
            </w:pPr>
            <w:r>
              <w:rPr>
                <w:sz w:val="18"/>
              </w:rPr>
              <w:t>Trading </w:t>
            </w:r>
            <w:r>
              <w:rPr>
                <w:spacing w:val="-2"/>
                <w:sz w:val="18"/>
              </w:rPr>
              <w:t>revenue</w:t>
            </w:r>
            <w:r>
              <w:rPr>
                <w:sz w:val="18"/>
              </w:rPr>
              <w:tab/>
            </w:r>
            <w:r>
              <w:rPr>
                <w:spacing w:val="-2"/>
                <w:sz w:val="18"/>
              </w:rPr>
              <w:t>(11)%</w:t>
            </w:r>
          </w:p>
        </w:tc>
        <w:tc>
          <w:tcPr>
            <w:tcW w:w="1022" w:type="dxa"/>
            <w:tcBorders>
              <w:top w:val="single" w:sz="4" w:space="0" w:color="000000"/>
              <w:bottom w:val="single" w:sz="4" w:space="0" w:color="000000"/>
            </w:tcBorders>
            <w:shd w:val="clear" w:color="auto" w:fill="CCEDFF"/>
          </w:tcPr>
          <w:p>
            <w:pPr>
              <w:pStyle w:val="TableParagraph"/>
              <w:spacing w:before="43"/>
              <w:ind w:left="465"/>
              <w:rPr>
                <w:sz w:val="18"/>
              </w:rPr>
            </w:pPr>
            <w:r>
              <w:rPr>
                <w:spacing w:val="-2"/>
                <w:sz w:val="18"/>
              </w:rPr>
              <w:t>2,463</w:t>
            </w:r>
          </w:p>
        </w:tc>
        <w:tc>
          <w:tcPr>
            <w:tcW w:w="948" w:type="dxa"/>
            <w:tcBorders>
              <w:top w:val="single" w:sz="4" w:space="0" w:color="000000"/>
              <w:bottom w:val="single" w:sz="4" w:space="0" w:color="000000"/>
            </w:tcBorders>
            <w:shd w:val="clear" w:color="auto" w:fill="CCEDFF"/>
          </w:tcPr>
          <w:p>
            <w:pPr>
              <w:pStyle w:val="TableParagraph"/>
              <w:spacing w:before="43"/>
              <w:ind w:right="122"/>
              <w:jc w:val="right"/>
              <w:rPr>
                <w:sz w:val="18"/>
              </w:rPr>
            </w:pPr>
            <w:r>
              <w:rPr>
                <w:spacing w:val="-5"/>
                <w:sz w:val="18"/>
              </w:rPr>
              <w:t>17%</w:t>
            </w:r>
          </w:p>
        </w:tc>
        <w:tc>
          <w:tcPr>
            <w:tcW w:w="1041" w:type="dxa"/>
            <w:tcBorders>
              <w:top w:val="single" w:sz="4" w:space="0" w:color="000000"/>
              <w:bottom w:val="single" w:sz="4" w:space="0" w:color="000000"/>
            </w:tcBorders>
            <w:shd w:val="clear" w:color="auto" w:fill="CCEDFF"/>
          </w:tcPr>
          <w:p>
            <w:pPr>
              <w:pStyle w:val="TableParagraph"/>
              <w:spacing w:before="43"/>
              <w:ind w:left="475"/>
              <w:rPr>
                <w:sz w:val="18"/>
              </w:rPr>
            </w:pPr>
            <w:r>
              <w:rPr>
                <w:spacing w:val="-2"/>
                <w:sz w:val="18"/>
              </w:rPr>
              <w:t>2,778</w:t>
            </w:r>
          </w:p>
        </w:tc>
        <w:tc>
          <w:tcPr>
            <w:tcW w:w="922" w:type="dxa"/>
            <w:tcBorders>
              <w:top w:val="single" w:sz="4" w:space="0" w:color="000000"/>
              <w:bottom w:val="single" w:sz="4" w:space="0" w:color="000000"/>
            </w:tcBorders>
            <w:shd w:val="clear" w:color="auto" w:fill="CCEDFF"/>
          </w:tcPr>
          <w:p>
            <w:pPr>
              <w:pStyle w:val="TableParagraph"/>
              <w:spacing w:before="43"/>
              <w:ind w:right="75"/>
              <w:jc w:val="right"/>
              <w:rPr>
                <w:sz w:val="18"/>
              </w:rPr>
            </w:pPr>
            <w:r>
              <w:rPr>
                <w:spacing w:val="-5"/>
                <w:sz w:val="18"/>
              </w:rPr>
              <w:t>18%</w:t>
            </w:r>
          </w:p>
        </w:tc>
      </w:tr>
      <w:tr>
        <w:trPr>
          <w:trHeight w:val="280" w:hRule="atLeast"/>
        </w:trPr>
        <w:tc>
          <w:tcPr>
            <w:tcW w:w="6330" w:type="dxa"/>
            <w:tcBorders>
              <w:top w:val="single" w:sz="4" w:space="0" w:color="000000"/>
            </w:tcBorders>
          </w:tcPr>
          <w:p>
            <w:pPr>
              <w:pStyle w:val="TableParagraph"/>
              <w:tabs>
                <w:tab w:pos="5752" w:val="left" w:leader="none"/>
              </w:tabs>
              <w:spacing w:before="43"/>
              <w:ind w:right="72"/>
              <w:jc w:val="right"/>
              <w:rPr>
                <w:sz w:val="18"/>
              </w:rPr>
            </w:pPr>
            <w:r>
              <w:rPr>
                <w:sz w:val="18"/>
              </w:rPr>
              <w:t>Bank</w:t>
            </w:r>
            <w:r>
              <w:rPr>
                <w:spacing w:val="-1"/>
                <w:sz w:val="18"/>
              </w:rPr>
              <w:t> </w:t>
            </w:r>
            <w:r>
              <w:rPr>
                <w:sz w:val="18"/>
              </w:rPr>
              <w:t>deposit account </w:t>
            </w:r>
            <w:r>
              <w:rPr>
                <w:spacing w:val="-4"/>
                <w:sz w:val="18"/>
              </w:rPr>
              <w:t>fees</w:t>
            </w:r>
            <w:r>
              <w:rPr>
                <w:sz w:val="18"/>
              </w:rPr>
              <w:tab/>
            </w:r>
            <w:r>
              <w:rPr>
                <w:spacing w:val="-2"/>
                <w:sz w:val="18"/>
              </w:rPr>
              <w:t>(50)%</w:t>
            </w:r>
          </w:p>
        </w:tc>
        <w:tc>
          <w:tcPr>
            <w:tcW w:w="1022" w:type="dxa"/>
            <w:tcBorders>
              <w:top w:val="single" w:sz="4" w:space="0" w:color="000000"/>
            </w:tcBorders>
          </w:tcPr>
          <w:p>
            <w:pPr>
              <w:pStyle w:val="TableParagraph"/>
              <w:spacing w:before="43"/>
              <w:ind w:left="600"/>
              <w:rPr>
                <w:sz w:val="18"/>
              </w:rPr>
            </w:pPr>
            <w:r>
              <w:rPr>
                <w:spacing w:val="-5"/>
                <w:sz w:val="18"/>
              </w:rPr>
              <w:t>531</w:t>
            </w:r>
          </w:p>
        </w:tc>
        <w:tc>
          <w:tcPr>
            <w:tcW w:w="948" w:type="dxa"/>
            <w:tcBorders>
              <w:top w:val="single" w:sz="4" w:space="0" w:color="000000"/>
            </w:tcBorders>
          </w:tcPr>
          <w:p>
            <w:pPr>
              <w:pStyle w:val="TableParagraph"/>
              <w:spacing w:before="43"/>
              <w:ind w:right="122"/>
              <w:jc w:val="right"/>
              <w:rPr>
                <w:sz w:val="18"/>
              </w:rPr>
            </w:pPr>
            <w:r>
              <w:rPr>
                <w:spacing w:val="-5"/>
                <w:sz w:val="18"/>
              </w:rPr>
              <w:t>4%</w:t>
            </w:r>
          </w:p>
        </w:tc>
        <w:tc>
          <w:tcPr>
            <w:tcW w:w="1041" w:type="dxa"/>
            <w:tcBorders>
              <w:top w:val="single" w:sz="4" w:space="0" w:color="000000"/>
            </w:tcBorders>
          </w:tcPr>
          <w:p>
            <w:pPr>
              <w:pStyle w:val="TableParagraph"/>
              <w:spacing w:before="43"/>
              <w:ind w:left="475"/>
              <w:rPr>
                <w:sz w:val="18"/>
              </w:rPr>
            </w:pPr>
            <w:r>
              <w:rPr>
                <w:spacing w:val="-2"/>
                <w:sz w:val="18"/>
              </w:rPr>
              <w:t>1,059</w:t>
            </w:r>
          </w:p>
        </w:tc>
        <w:tc>
          <w:tcPr>
            <w:tcW w:w="922" w:type="dxa"/>
            <w:tcBorders>
              <w:top w:val="single" w:sz="4" w:space="0" w:color="000000"/>
            </w:tcBorders>
          </w:tcPr>
          <w:p>
            <w:pPr>
              <w:pStyle w:val="TableParagraph"/>
              <w:spacing w:before="43"/>
              <w:ind w:right="75"/>
              <w:jc w:val="right"/>
              <w:rPr>
                <w:sz w:val="18"/>
              </w:rPr>
            </w:pPr>
            <w:r>
              <w:rPr>
                <w:spacing w:val="-5"/>
                <w:sz w:val="18"/>
              </w:rPr>
              <w:t>7%</w:t>
            </w:r>
          </w:p>
        </w:tc>
      </w:tr>
      <w:tr>
        <w:trPr>
          <w:trHeight w:val="280" w:hRule="atLeast"/>
        </w:trPr>
        <w:tc>
          <w:tcPr>
            <w:tcW w:w="6330" w:type="dxa"/>
            <w:tcBorders>
              <w:bottom w:val="single" w:sz="4" w:space="0" w:color="000000"/>
            </w:tcBorders>
            <w:shd w:val="clear" w:color="auto" w:fill="CCEDFF"/>
          </w:tcPr>
          <w:p>
            <w:pPr>
              <w:pStyle w:val="TableParagraph"/>
              <w:tabs>
                <w:tab w:pos="5842" w:val="left" w:leader="none"/>
              </w:tabs>
              <w:spacing w:before="48"/>
              <w:ind w:right="72"/>
              <w:jc w:val="right"/>
              <w:rPr>
                <w:sz w:val="18"/>
              </w:rPr>
            </w:pPr>
            <w:r>
              <w:rPr>
                <w:spacing w:val="-2"/>
                <w:sz w:val="18"/>
              </w:rPr>
              <w:t>Other</w:t>
            </w:r>
            <w:r>
              <w:rPr>
                <w:sz w:val="18"/>
              </w:rPr>
              <w:tab/>
            </w:r>
            <w:r>
              <w:rPr>
                <w:spacing w:val="-4"/>
                <w:sz w:val="18"/>
              </w:rPr>
              <w:t>(6)%</w:t>
            </w:r>
          </w:p>
        </w:tc>
        <w:tc>
          <w:tcPr>
            <w:tcW w:w="1022" w:type="dxa"/>
            <w:tcBorders>
              <w:bottom w:val="single" w:sz="4" w:space="0" w:color="000000"/>
            </w:tcBorders>
            <w:shd w:val="clear" w:color="auto" w:fill="CCEDFF"/>
          </w:tcPr>
          <w:p>
            <w:pPr>
              <w:pStyle w:val="TableParagraph"/>
              <w:spacing w:before="48"/>
              <w:ind w:left="600"/>
              <w:rPr>
                <w:sz w:val="18"/>
              </w:rPr>
            </w:pPr>
            <w:r>
              <w:rPr>
                <w:spacing w:val="-5"/>
                <w:sz w:val="18"/>
              </w:rPr>
              <w:t>572</w:t>
            </w:r>
          </w:p>
        </w:tc>
        <w:tc>
          <w:tcPr>
            <w:tcW w:w="948" w:type="dxa"/>
            <w:tcBorders>
              <w:bottom w:val="single" w:sz="4" w:space="0" w:color="000000"/>
            </w:tcBorders>
            <w:shd w:val="clear" w:color="auto" w:fill="CCEDFF"/>
          </w:tcPr>
          <w:p>
            <w:pPr>
              <w:pStyle w:val="TableParagraph"/>
              <w:spacing w:before="48"/>
              <w:ind w:right="122"/>
              <w:jc w:val="right"/>
              <w:rPr>
                <w:sz w:val="18"/>
              </w:rPr>
            </w:pPr>
            <w:r>
              <w:rPr>
                <w:spacing w:val="-5"/>
                <w:sz w:val="18"/>
              </w:rPr>
              <w:t>4%</w:t>
            </w:r>
          </w:p>
        </w:tc>
        <w:tc>
          <w:tcPr>
            <w:tcW w:w="1041" w:type="dxa"/>
            <w:tcBorders>
              <w:bottom w:val="single" w:sz="4" w:space="0" w:color="000000"/>
            </w:tcBorders>
            <w:shd w:val="clear" w:color="auto" w:fill="CCEDFF"/>
          </w:tcPr>
          <w:p>
            <w:pPr>
              <w:pStyle w:val="TableParagraph"/>
              <w:spacing w:before="48"/>
              <w:ind w:left="610"/>
              <w:rPr>
                <w:sz w:val="18"/>
              </w:rPr>
            </w:pPr>
            <w:r>
              <w:rPr>
                <w:spacing w:val="-5"/>
                <w:sz w:val="18"/>
              </w:rPr>
              <w:t>608</w:t>
            </w:r>
          </w:p>
        </w:tc>
        <w:tc>
          <w:tcPr>
            <w:tcW w:w="922" w:type="dxa"/>
            <w:tcBorders>
              <w:bottom w:val="single" w:sz="4" w:space="0" w:color="000000"/>
            </w:tcBorders>
            <w:shd w:val="clear" w:color="auto" w:fill="CCEDFF"/>
          </w:tcPr>
          <w:p>
            <w:pPr>
              <w:pStyle w:val="TableParagraph"/>
              <w:spacing w:before="48"/>
              <w:ind w:right="75"/>
              <w:jc w:val="right"/>
              <w:rPr>
                <w:sz w:val="18"/>
              </w:rPr>
            </w:pPr>
            <w:r>
              <w:rPr>
                <w:spacing w:val="-5"/>
                <w:sz w:val="18"/>
              </w:rPr>
              <w:t>4%</w:t>
            </w:r>
          </w:p>
        </w:tc>
      </w:tr>
      <w:tr>
        <w:trPr>
          <w:trHeight w:val="250" w:hRule="atLeast"/>
        </w:trPr>
        <w:tc>
          <w:tcPr>
            <w:tcW w:w="6330" w:type="dxa"/>
            <w:tcBorders>
              <w:top w:val="single" w:sz="4" w:space="0" w:color="000000"/>
              <w:bottom w:val="double" w:sz="8" w:space="0" w:color="000000"/>
            </w:tcBorders>
          </w:tcPr>
          <w:p>
            <w:pPr>
              <w:pStyle w:val="TableParagraph"/>
              <w:tabs>
                <w:tab w:pos="5842" w:val="left" w:leader="none"/>
              </w:tabs>
              <w:spacing w:line="187" w:lineRule="exact" w:before="43"/>
              <w:ind w:right="72"/>
              <w:jc w:val="right"/>
              <w:rPr>
                <w:sz w:val="18"/>
              </w:rPr>
            </w:pPr>
            <w:r>
              <w:rPr>
                <w:sz w:val="18"/>
              </w:rPr>
              <w:t>Total net </w:t>
            </w:r>
            <w:r>
              <w:rPr>
                <w:spacing w:val="-2"/>
                <w:sz w:val="18"/>
              </w:rPr>
              <w:t>revenues</w:t>
            </w:r>
            <w:r>
              <w:rPr>
                <w:sz w:val="18"/>
              </w:rPr>
              <w:tab/>
            </w:r>
            <w:r>
              <w:rPr>
                <w:spacing w:val="-4"/>
                <w:sz w:val="18"/>
              </w:rPr>
              <w:t>(6)%</w:t>
            </w:r>
          </w:p>
        </w:tc>
        <w:tc>
          <w:tcPr>
            <w:tcW w:w="1022" w:type="dxa"/>
            <w:tcBorders>
              <w:top w:val="single" w:sz="4" w:space="0" w:color="000000"/>
              <w:bottom w:val="double" w:sz="8" w:space="0" w:color="000000"/>
            </w:tcBorders>
          </w:tcPr>
          <w:p>
            <w:pPr>
              <w:pStyle w:val="TableParagraph"/>
              <w:tabs>
                <w:tab w:pos="375" w:val="left" w:leader="none"/>
              </w:tabs>
              <w:spacing w:line="187" w:lineRule="exact" w:before="43"/>
              <w:ind w:left="52"/>
              <w:rPr>
                <w:sz w:val="18"/>
              </w:rPr>
            </w:pPr>
            <w:r>
              <w:rPr>
                <w:spacing w:val="-10"/>
                <w:sz w:val="18"/>
              </w:rPr>
              <w:t>$</w:t>
            </w:r>
            <w:r>
              <w:rPr>
                <w:sz w:val="18"/>
              </w:rPr>
              <w:tab/>
            </w:r>
            <w:r>
              <w:rPr>
                <w:spacing w:val="-2"/>
                <w:sz w:val="18"/>
              </w:rPr>
              <w:t>14,378</w:t>
            </w:r>
          </w:p>
        </w:tc>
        <w:tc>
          <w:tcPr>
            <w:tcW w:w="948" w:type="dxa"/>
            <w:tcBorders>
              <w:top w:val="single" w:sz="4" w:space="0" w:color="000000"/>
              <w:bottom w:val="double" w:sz="8" w:space="0" w:color="000000"/>
            </w:tcBorders>
          </w:tcPr>
          <w:p>
            <w:pPr>
              <w:pStyle w:val="TableParagraph"/>
              <w:spacing w:line="187" w:lineRule="exact" w:before="43"/>
              <w:ind w:right="122"/>
              <w:jc w:val="right"/>
              <w:rPr>
                <w:sz w:val="18"/>
              </w:rPr>
            </w:pPr>
            <w:r>
              <w:rPr>
                <w:spacing w:val="-4"/>
                <w:sz w:val="18"/>
              </w:rPr>
              <w:t>100%</w:t>
            </w:r>
          </w:p>
        </w:tc>
        <w:tc>
          <w:tcPr>
            <w:tcW w:w="1041" w:type="dxa"/>
            <w:tcBorders>
              <w:top w:val="single" w:sz="4" w:space="0" w:color="000000"/>
              <w:bottom w:val="double" w:sz="8" w:space="0" w:color="000000"/>
            </w:tcBorders>
          </w:tcPr>
          <w:p>
            <w:pPr>
              <w:pStyle w:val="TableParagraph"/>
              <w:tabs>
                <w:tab w:pos="385" w:val="left" w:leader="none"/>
              </w:tabs>
              <w:spacing w:line="187" w:lineRule="exact" w:before="43"/>
              <w:ind w:left="62"/>
              <w:rPr>
                <w:sz w:val="18"/>
              </w:rPr>
            </w:pPr>
            <w:r>
              <w:rPr>
                <w:spacing w:val="-10"/>
                <w:sz w:val="18"/>
              </w:rPr>
              <w:t>$</w:t>
            </w:r>
            <w:r>
              <w:rPr>
                <w:sz w:val="18"/>
              </w:rPr>
              <w:tab/>
            </w:r>
            <w:r>
              <w:rPr>
                <w:spacing w:val="-2"/>
                <w:sz w:val="18"/>
              </w:rPr>
              <w:t>15,265</w:t>
            </w:r>
          </w:p>
        </w:tc>
        <w:tc>
          <w:tcPr>
            <w:tcW w:w="922" w:type="dxa"/>
            <w:tcBorders>
              <w:top w:val="single" w:sz="4" w:space="0" w:color="000000"/>
              <w:bottom w:val="double" w:sz="8" w:space="0" w:color="000000"/>
            </w:tcBorders>
          </w:tcPr>
          <w:p>
            <w:pPr>
              <w:pStyle w:val="TableParagraph"/>
              <w:spacing w:line="187" w:lineRule="exact" w:before="43"/>
              <w:ind w:right="75"/>
              <w:jc w:val="right"/>
              <w:rPr>
                <w:sz w:val="18"/>
              </w:rPr>
            </w:pPr>
            <w:r>
              <w:rPr>
                <w:spacing w:val="-4"/>
                <w:sz w:val="18"/>
              </w:rPr>
              <w:t>100%</w:t>
            </w:r>
          </w:p>
        </w:tc>
      </w:tr>
      <w:tr>
        <w:trPr>
          <w:trHeight w:val="343" w:hRule="atLeast"/>
        </w:trPr>
        <w:tc>
          <w:tcPr>
            <w:tcW w:w="6330" w:type="dxa"/>
            <w:tcBorders>
              <w:top w:val="double" w:sz="8" w:space="0" w:color="000000"/>
            </w:tcBorders>
          </w:tcPr>
          <w:p>
            <w:pPr>
              <w:pStyle w:val="TableParagraph"/>
              <w:spacing w:before="31"/>
              <w:rPr>
                <w:sz w:val="16"/>
              </w:rPr>
            </w:pPr>
            <w:r>
              <w:rPr>
                <w:sz w:val="16"/>
              </w:rPr>
              <w:t>N/M</w:t>
            </w:r>
            <w:r>
              <w:rPr>
                <w:spacing w:val="-2"/>
                <w:sz w:val="16"/>
              </w:rPr>
              <w:t> </w:t>
            </w:r>
            <w:r>
              <w:rPr>
                <w:sz w:val="16"/>
              </w:rPr>
              <w:t>Not meaningful. Percent</w:t>
            </w:r>
            <w:r>
              <w:rPr>
                <w:spacing w:val="-1"/>
                <w:sz w:val="16"/>
              </w:rPr>
              <w:t> </w:t>
            </w:r>
            <w:r>
              <w:rPr>
                <w:sz w:val="16"/>
              </w:rPr>
              <w:t>changes</w:t>
            </w:r>
            <w:r>
              <w:rPr>
                <w:spacing w:val="-1"/>
                <w:sz w:val="16"/>
              </w:rPr>
              <w:t> </w:t>
            </w:r>
            <w:r>
              <w:rPr>
                <w:sz w:val="16"/>
              </w:rPr>
              <w:t>greater than</w:t>
            </w:r>
            <w:r>
              <w:rPr>
                <w:spacing w:val="-1"/>
                <w:sz w:val="16"/>
              </w:rPr>
              <w:t> </w:t>
            </w:r>
            <w:r>
              <w:rPr>
                <w:sz w:val="16"/>
              </w:rPr>
              <w:t>200% are presented</w:t>
            </w:r>
            <w:r>
              <w:rPr>
                <w:spacing w:val="-1"/>
                <w:sz w:val="16"/>
              </w:rPr>
              <w:t> </w:t>
            </w:r>
            <w:r>
              <w:rPr>
                <w:sz w:val="16"/>
              </w:rPr>
              <w:t>as</w:t>
            </w:r>
            <w:r>
              <w:rPr>
                <w:spacing w:val="-1"/>
                <w:sz w:val="16"/>
              </w:rPr>
              <w:t> </w:t>
            </w:r>
            <w:r>
              <w:rPr>
                <w:sz w:val="16"/>
              </w:rPr>
              <w:t>not </w:t>
            </w:r>
            <w:r>
              <w:rPr>
                <w:spacing w:val="-2"/>
                <w:sz w:val="16"/>
              </w:rPr>
              <w:t>meaningful.</w:t>
            </w:r>
          </w:p>
        </w:tc>
        <w:tc>
          <w:tcPr>
            <w:tcW w:w="1022" w:type="dxa"/>
            <w:tcBorders>
              <w:top w:val="double" w:sz="8" w:space="0" w:color="000000"/>
            </w:tcBorders>
          </w:tcPr>
          <w:p>
            <w:pPr>
              <w:pStyle w:val="TableParagraph"/>
              <w:rPr>
                <w:sz w:val="18"/>
              </w:rPr>
            </w:pPr>
          </w:p>
        </w:tc>
        <w:tc>
          <w:tcPr>
            <w:tcW w:w="948" w:type="dxa"/>
            <w:tcBorders>
              <w:top w:val="double" w:sz="8" w:space="0" w:color="000000"/>
            </w:tcBorders>
          </w:tcPr>
          <w:p>
            <w:pPr>
              <w:pStyle w:val="TableParagraph"/>
              <w:rPr>
                <w:sz w:val="18"/>
              </w:rPr>
            </w:pPr>
          </w:p>
        </w:tc>
        <w:tc>
          <w:tcPr>
            <w:tcW w:w="1041" w:type="dxa"/>
            <w:tcBorders>
              <w:top w:val="double" w:sz="8" w:space="0" w:color="000000"/>
            </w:tcBorders>
          </w:tcPr>
          <w:p>
            <w:pPr>
              <w:pStyle w:val="TableParagraph"/>
              <w:rPr>
                <w:sz w:val="18"/>
              </w:rPr>
            </w:pPr>
          </w:p>
        </w:tc>
        <w:tc>
          <w:tcPr>
            <w:tcW w:w="922" w:type="dxa"/>
            <w:tcBorders>
              <w:top w:val="double" w:sz="8" w:space="0" w:color="000000"/>
            </w:tcBorders>
          </w:tcPr>
          <w:p>
            <w:pPr>
              <w:pStyle w:val="TableParagraph"/>
              <w:rPr>
                <w:sz w:val="18"/>
              </w:rPr>
            </w:pPr>
          </w:p>
        </w:tc>
      </w:tr>
      <w:tr>
        <w:trPr>
          <w:trHeight w:val="349" w:hRule="atLeast"/>
        </w:trPr>
        <w:tc>
          <w:tcPr>
            <w:tcW w:w="6330" w:type="dxa"/>
          </w:tcPr>
          <w:p>
            <w:pPr>
              <w:pStyle w:val="TableParagraph"/>
              <w:spacing w:line="210" w:lineRule="exact" w:before="119"/>
              <w:rPr>
                <w:b/>
                <w:i/>
                <w:sz w:val="20"/>
              </w:rPr>
            </w:pPr>
            <w:bookmarkStart w:name="Net Interest Revenue" w:id="10"/>
            <w:bookmarkEnd w:id="10"/>
            <w:r>
              <w:rPr/>
            </w:r>
            <w:r>
              <w:rPr>
                <w:b/>
                <w:i/>
                <w:sz w:val="20"/>
              </w:rPr>
              <w:t>Net</w:t>
            </w:r>
            <w:r>
              <w:rPr>
                <w:b/>
                <w:i/>
                <w:spacing w:val="-6"/>
                <w:sz w:val="20"/>
              </w:rPr>
              <w:t> </w:t>
            </w:r>
            <w:r>
              <w:rPr>
                <w:b/>
                <w:i/>
                <w:sz w:val="20"/>
              </w:rPr>
              <w:t>Interest</w:t>
            </w:r>
            <w:r>
              <w:rPr>
                <w:b/>
                <w:i/>
                <w:spacing w:val="-5"/>
                <w:sz w:val="20"/>
              </w:rPr>
              <w:t> </w:t>
            </w:r>
            <w:r>
              <w:rPr>
                <w:b/>
                <w:i/>
                <w:spacing w:val="-2"/>
                <w:sz w:val="20"/>
              </w:rPr>
              <w:t>Revenue</w:t>
            </w:r>
          </w:p>
        </w:tc>
        <w:tc>
          <w:tcPr>
            <w:tcW w:w="1022" w:type="dxa"/>
          </w:tcPr>
          <w:p>
            <w:pPr>
              <w:pStyle w:val="TableParagraph"/>
              <w:rPr>
                <w:sz w:val="18"/>
              </w:rPr>
            </w:pPr>
          </w:p>
        </w:tc>
        <w:tc>
          <w:tcPr>
            <w:tcW w:w="948" w:type="dxa"/>
          </w:tcPr>
          <w:p>
            <w:pPr>
              <w:pStyle w:val="TableParagraph"/>
              <w:rPr>
                <w:sz w:val="18"/>
              </w:rPr>
            </w:pPr>
          </w:p>
        </w:tc>
        <w:tc>
          <w:tcPr>
            <w:tcW w:w="1041" w:type="dxa"/>
          </w:tcPr>
          <w:p>
            <w:pPr>
              <w:pStyle w:val="TableParagraph"/>
              <w:rPr>
                <w:sz w:val="18"/>
              </w:rPr>
            </w:pPr>
          </w:p>
        </w:tc>
        <w:tc>
          <w:tcPr>
            <w:tcW w:w="922" w:type="dxa"/>
          </w:tcPr>
          <w:p>
            <w:pPr>
              <w:pStyle w:val="TableParagraph"/>
              <w:rPr>
                <w:sz w:val="18"/>
              </w:rPr>
            </w:pPr>
          </w:p>
        </w:tc>
      </w:tr>
    </w:tbl>
    <w:p>
      <w:pPr>
        <w:pStyle w:val="BodyText"/>
        <w:spacing w:before="19"/>
      </w:pPr>
    </w:p>
    <w:p>
      <w:pPr>
        <w:pStyle w:val="BodyText"/>
        <w:spacing w:line="249" w:lineRule="auto" w:before="1"/>
        <w:ind w:left="470" w:right="513"/>
      </w:pPr>
      <w:r>
        <w:rPr/>
        <w:t>Revenue</w:t>
      </w:r>
      <w:r>
        <w:rPr>
          <w:spacing w:val="-2"/>
        </w:rPr>
        <w:t> </w:t>
      </w:r>
      <w:r>
        <w:rPr/>
        <w:t>on</w:t>
      </w:r>
      <w:r>
        <w:rPr>
          <w:spacing w:val="-1"/>
        </w:rPr>
        <w:t> </w:t>
      </w:r>
      <w:r>
        <w:rPr/>
        <w:t>interest-earning</w:t>
      </w:r>
      <w:r>
        <w:rPr>
          <w:spacing w:val="-1"/>
        </w:rPr>
        <w:t> </w:t>
      </w:r>
      <w:r>
        <w:rPr/>
        <w:t>assets</w:t>
      </w:r>
      <w:r>
        <w:rPr>
          <w:spacing w:val="-2"/>
        </w:rPr>
        <w:t> </w:t>
      </w:r>
      <w:r>
        <w:rPr/>
        <w:t>is</w:t>
      </w:r>
      <w:r>
        <w:rPr>
          <w:spacing w:val="-2"/>
        </w:rPr>
        <w:t> </w:t>
      </w:r>
      <w:r>
        <w:rPr/>
        <w:t>affected</w:t>
      </w:r>
      <w:r>
        <w:rPr>
          <w:spacing w:val="-1"/>
        </w:rPr>
        <w:t> </w:t>
      </w:r>
      <w:r>
        <w:rPr/>
        <w:t>by</w:t>
      </w:r>
      <w:r>
        <w:rPr>
          <w:spacing w:val="-1"/>
        </w:rPr>
        <w:t> </w:t>
      </w:r>
      <w:r>
        <w:rPr/>
        <w:t>various</w:t>
      </w:r>
      <w:r>
        <w:rPr>
          <w:spacing w:val="-2"/>
        </w:rPr>
        <w:t> </w:t>
      </w:r>
      <w:r>
        <w:rPr/>
        <w:t>factors,</w:t>
      </w:r>
      <w:r>
        <w:rPr>
          <w:spacing w:val="-1"/>
        </w:rPr>
        <w:t> </w:t>
      </w:r>
      <w:r>
        <w:rPr/>
        <w:t>such</w:t>
      </w:r>
      <w:r>
        <w:rPr>
          <w:spacing w:val="-1"/>
        </w:rPr>
        <w:t> </w:t>
      </w:r>
      <w:r>
        <w:rPr/>
        <w:t>as</w:t>
      </w:r>
      <w:r>
        <w:rPr>
          <w:spacing w:val="-2"/>
        </w:rPr>
        <w:t> </w:t>
      </w:r>
      <w:r>
        <w:rPr/>
        <w:t>the</w:t>
      </w:r>
      <w:r>
        <w:rPr>
          <w:spacing w:val="-2"/>
        </w:rPr>
        <w:t> </w:t>
      </w:r>
      <w:r>
        <w:rPr/>
        <w:t>composition</w:t>
      </w:r>
      <w:r>
        <w:rPr>
          <w:spacing w:val="-1"/>
        </w:rPr>
        <w:t> </w:t>
      </w:r>
      <w:r>
        <w:rPr/>
        <w:t>of</w:t>
      </w:r>
      <w:r>
        <w:rPr>
          <w:spacing w:val="-1"/>
        </w:rPr>
        <w:t> </w:t>
      </w:r>
      <w:r>
        <w:rPr/>
        <w:t>assets,</w:t>
      </w:r>
      <w:r>
        <w:rPr>
          <w:spacing w:val="-1"/>
        </w:rPr>
        <w:t> </w:t>
      </w:r>
      <w:r>
        <w:rPr/>
        <w:t>prevailing</w:t>
      </w:r>
      <w:r>
        <w:rPr>
          <w:spacing w:val="-1"/>
        </w:rPr>
        <w:t> </w:t>
      </w:r>
      <w:r>
        <w:rPr/>
        <w:t>interest</w:t>
      </w:r>
      <w:r>
        <w:rPr>
          <w:spacing w:val="-2"/>
        </w:rPr>
        <w:t> </w:t>
      </w:r>
      <w:r>
        <w:rPr/>
        <w:t>rates</w:t>
      </w:r>
      <w:r>
        <w:rPr>
          <w:spacing w:val="-2"/>
        </w:rPr>
        <w:t> </w:t>
      </w:r>
      <w:r>
        <w:rPr/>
        <w:t>and spreads</w:t>
      </w:r>
      <w:r>
        <w:rPr>
          <w:spacing w:val="-3"/>
        </w:rPr>
        <w:t> </w:t>
      </w:r>
      <w:r>
        <w:rPr/>
        <w:t>at</w:t>
      </w:r>
      <w:r>
        <w:rPr>
          <w:spacing w:val="-3"/>
        </w:rPr>
        <w:t> </w:t>
      </w:r>
      <w:r>
        <w:rPr/>
        <w:t>the</w:t>
      </w:r>
      <w:r>
        <w:rPr>
          <w:spacing w:val="-3"/>
        </w:rPr>
        <w:t> </w:t>
      </w:r>
      <w:r>
        <w:rPr/>
        <w:t>time</w:t>
      </w:r>
      <w:r>
        <w:rPr>
          <w:spacing w:val="-3"/>
        </w:rPr>
        <w:t> </w:t>
      </w:r>
      <w:r>
        <w:rPr/>
        <w:t>of</w:t>
      </w:r>
      <w:r>
        <w:rPr>
          <w:spacing w:val="-3"/>
        </w:rPr>
        <w:t> </w:t>
      </w:r>
      <w:r>
        <w:rPr/>
        <w:t>origination</w:t>
      </w:r>
      <w:r>
        <w:rPr>
          <w:spacing w:val="-3"/>
        </w:rPr>
        <w:t> </w:t>
      </w:r>
      <w:r>
        <w:rPr/>
        <w:t>or</w:t>
      </w:r>
      <w:r>
        <w:rPr>
          <w:spacing w:val="-3"/>
        </w:rPr>
        <w:t> </w:t>
      </w:r>
      <w:r>
        <w:rPr/>
        <w:t>purchase,</w:t>
      </w:r>
      <w:r>
        <w:rPr>
          <w:spacing w:val="-3"/>
        </w:rPr>
        <w:t> </w:t>
      </w:r>
      <w:r>
        <w:rPr/>
        <w:t>changes</w:t>
      </w:r>
      <w:r>
        <w:rPr>
          <w:spacing w:val="-3"/>
        </w:rPr>
        <w:t> </w:t>
      </w:r>
      <w:r>
        <w:rPr/>
        <w:t>in</w:t>
      </w:r>
      <w:r>
        <w:rPr>
          <w:spacing w:val="-3"/>
        </w:rPr>
        <w:t> </w:t>
      </w:r>
      <w:r>
        <w:rPr/>
        <w:t>interest</w:t>
      </w:r>
      <w:r>
        <w:rPr>
          <w:spacing w:val="-3"/>
        </w:rPr>
        <w:t> </w:t>
      </w:r>
      <w:r>
        <w:rPr/>
        <w:t>rates</w:t>
      </w:r>
      <w:r>
        <w:rPr>
          <w:spacing w:val="-3"/>
        </w:rPr>
        <w:t> </w:t>
      </w:r>
      <w:r>
        <w:rPr/>
        <w:t>on</w:t>
      </w:r>
      <w:r>
        <w:rPr>
          <w:spacing w:val="-3"/>
        </w:rPr>
        <w:t> </w:t>
      </w:r>
      <w:r>
        <w:rPr/>
        <w:t>cash</w:t>
      </w:r>
      <w:r>
        <w:rPr>
          <w:spacing w:val="-3"/>
        </w:rPr>
        <w:t> </w:t>
      </w:r>
      <w:r>
        <w:rPr/>
        <w:t>and</w:t>
      </w:r>
      <w:r>
        <w:rPr>
          <w:spacing w:val="-3"/>
        </w:rPr>
        <w:t> </w:t>
      </w:r>
      <w:r>
        <w:rPr/>
        <w:t>cash</w:t>
      </w:r>
      <w:r>
        <w:rPr>
          <w:spacing w:val="-3"/>
        </w:rPr>
        <w:t> </w:t>
      </w:r>
      <w:r>
        <w:rPr/>
        <w:t>equivalents,</w:t>
      </w:r>
      <w:r>
        <w:rPr>
          <w:spacing w:val="-3"/>
        </w:rPr>
        <w:t> </w:t>
      </w:r>
      <w:r>
        <w:rPr/>
        <w:t>floating-rate</w:t>
      </w:r>
      <w:r>
        <w:rPr>
          <w:spacing w:val="-3"/>
        </w:rPr>
        <w:t> </w:t>
      </w:r>
      <w:r>
        <w:rPr/>
        <w:t>securities</w:t>
      </w:r>
      <w:r>
        <w:rPr>
          <w:spacing w:val="-3"/>
        </w:rPr>
        <w:t> </w:t>
      </w:r>
      <w:r>
        <w:rPr/>
        <w:t>and loans, and changes in prepayment levels for mortgage-backed and other asset-backed securities and loans. Schwab establishes the rates paid on client-related liabilities, and management expects that it will generally adjust the rates paid on these liabilities at some fraction of any movement in short-term rates. Interest expense on long-term debt, FHLB borrowings, other short-term borrowings, and other funding sources is impacted by market interest rates at the time of borrowing and changes in interest</w:t>
      </w:r>
      <w:r>
        <w:rPr/>
        <w:t> rates on floating-rate liabilities. See also Risk Management – Interest Rate Risk Simulations.</w:t>
      </w:r>
    </w:p>
    <w:p>
      <w:pPr>
        <w:pStyle w:val="BodyText"/>
        <w:spacing w:before="15"/>
      </w:pPr>
    </w:p>
    <w:p>
      <w:pPr>
        <w:pStyle w:val="BodyText"/>
        <w:spacing w:line="249" w:lineRule="auto"/>
        <w:ind w:left="470" w:right="566"/>
      </w:pPr>
      <w:r>
        <w:rPr/>
        <w:t>Interest rates increased significantly beginning late in the first quarter of 2022 through the third quarter of 2023. Short-term rates were near zero until the Federal Reserve began its aggressive tightening cycle in March 2022 in response to rising inflation, ultimately increasing the federal funds target overnight rate eleven times between March 2022 and September 2023 for</w:t>
      </w:r>
      <w:r>
        <w:rPr>
          <w:spacing w:val="-2"/>
        </w:rPr>
        <w:t> </w:t>
      </w:r>
      <w:r>
        <w:rPr/>
        <w:t>a</w:t>
      </w:r>
      <w:r>
        <w:rPr>
          <w:spacing w:val="-3"/>
        </w:rPr>
        <w:t> </w:t>
      </w:r>
      <w:r>
        <w:rPr/>
        <w:t>total</w:t>
      </w:r>
      <w:r>
        <w:rPr>
          <w:spacing w:val="-3"/>
        </w:rPr>
        <w:t> </w:t>
      </w:r>
      <w:r>
        <w:rPr/>
        <w:t>increase</w:t>
      </w:r>
      <w:r>
        <w:rPr>
          <w:spacing w:val="-3"/>
        </w:rPr>
        <w:t> </w:t>
      </w:r>
      <w:r>
        <w:rPr/>
        <w:t>of</w:t>
      </w:r>
      <w:r>
        <w:rPr>
          <w:spacing w:val="-2"/>
        </w:rPr>
        <w:t> </w:t>
      </w:r>
      <w:r>
        <w:rPr/>
        <w:t>525</w:t>
      </w:r>
      <w:r>
        <w:rPr>
          <w:spacing w:val="-2"/>
        </w:rPr>
        <w:t> </w:t>
      </w:r>
      <w:r>
        <w:rPr/>
        <w:t>basis</w:t>
      </w:r>
      <w:r>
        <w:rPr>
          <w:spacing w:val="-3"/>
        </w:rPr>
        <w:t> </w:t>
      </w:r>
      <w:r>
        <w:rPr/>
        <w:t>points.</w:t>
      </w:r>
      <w:r>
        <w:rPr>
          <w:spacing w:val="-2"/>
        </w:rPr>
        <w:t> </w:t>
      </w:r>
      <w:r>
        <w:rPr/>
        <w:t>Long-term</w:t>
      </w:r>
      <w:r>
        <w:rPr>
          <w:spacing w:val="-3"/>
        </w:rPr>
        <w:t> </w:t>
      </w:r>
      <w:r>
        <w:rPr/>
        <w:t>rates</w:t>
      </w:r>
      <w:r>
        <w:rPr>
          <w:spacing w:val="-3"/>
        </w:rPr>
        <w:t> </w:t>
      </w:r>
      <w:r>
        <w:rPr/>
        <w:t>increased</w:t>
      </w:r>
      <w:r>
        <w:rPr>
          <w:spacing w:val="-2"/>
        </w:rPr>
        <w:t> </w:t>
      </w:r>
      <w:r>
        <w:rPr/>
        <w:t>throughout</w:t>
      </w:r>
      <w:r>
        <w:rPr>
          <w:spacing w:val="-3"/>
        </w:rPr>
        <w:t> </w:t>
      </w:r>
      <w:r>
        <w:rPr/>
        <w:t>2022</w:t>
      </w:r>
      <w:r>
        <w:rPr>
          <w:spacing w:val="-2"/>
        </w:rPr>
        <w:t> </w:t>
      </w:r>
      <w:r>
        <w:rPr/>
        <w:t>and</w:t>
      </w:r>
      <w:r>
        <w:rPr>
          <w:spacing w:val="-2"/>
        </w:rPr>
        <w:t> </w:t>
      </w:r>
      <w:r>
        <w:rPr/>
        <w:t>the</w:t>
      </w:r>
      <w:r>
        <w:rPr>
          <w:spacing w:val="-3"/>
        </w:rPr>
        <w:t> </w:t>
      </w:r>
      <w:r>
        <w:rPr/>
        <w:t>first</w:t>
      </w:r>
      <w:r>
        <w:rPr>
          <w:spacing w:val="-3"/>
        </w:rPr>
        <w:t> </w:t>
      </w:r>
      <w:r>
        <w:rPr/>
        <w:t>nine</w:t>
      </w:r>
      <w:r>
        <w:rPr>
          <w:spacing w:val="-3"/>
        </w:rPr>
        <w:t> </w:t>
      </w:r>
      <w:r>
        <w:rPr/>
        <w:t>months</w:t>
      </w:r>
      <w:r>
        <w:rPr>
          <w:spacing w:val="-3"/>
        </w:rPr>
        <w:t> </w:t>
      </w:r>
      <w:r>
        <w:rPr/>
        <w:t>of</w:t>
      </w:r>
      <w:r>
        <w:rPr>
          <w:spacing w:val="-2"/>
        </w:rPr>
        <w:t> </w:t>
      </w:r>
      <w:r>
        <w:rPr/>
        <w:t>2023,</w:t>
      </w:r>
      <w:r>
        <w:rPr>
          <w:spacing w:val="-2"/>
        </w:rPr>
        <w:t> </w:t>
      </w:r>
      <w:r>
        <w:rPr/>
        <w:t>generally at a slower pace, thus leading to an inverted yield curve, though long-term rates increased significantly in the third quarter of </w:t>
      </w:r>
      <w:r>
        <w:rPr>
          <w:spacing w:val="-2"/>
        </w:rPr>
        <w:t>2023.</w:t>
      </w:r>
    </w:p>
    <w:p>
      <w:pPr>
        <w:pStyle w:val="BodyText"/>
        <w:spacing w:before="15"/>
      </w:pPr>
    </w:p>
    <w:p>
      <w:pPr>
        <w:pStyle w:val="BodyText"/>
        <w:spacing w:line="249" w:lineRule="auto"/>
        <w:ind w:left="470" w:right="566"/>
      </w:pPr>
      <w:r>
        <w:rPr/>
        <w:t>Schwab’s</w:t>
      </w:r>
      <w:r>
        <w:rPr>
          <w:spacing w:val="-3"/>
        </w:rPr>
        <w:t> </w:t>
      </w:r>
      <w:r>
        <w:rPr/>
        <w:t>average</w:t>
      </w:r>
      <w:r>
        <w:rPr>
          <w:spacing w:val="-3"/>
        </w:rPr>
        <w:t> </w:t>
      </w:r>
      <w:r>
        <w:rPr/>
        <w:t>interest-earning</w:t>
      </w:r>
      <w:r>
        <w:rPr>
          <w:spacing w:val="-2"/>
        </w:rPr>
        <w:t> </w:t>
      </w:r>
      <w:r>
        <w:rPr/>
        <w:t>assets</w:t>
      </w:r>
      <w:r>
        <w:rPr>
          <w:spacing w:val="-3"/>
        </w:rPr>
        <w:t> </w:t>
      </w:r>
      <w:r>
        <w:rPr/>
        <w:t>in</w:t>
      </w:r>
      <w:r>
        <w:rPr>
          <w:spacing w:val="-2"/>
        </w:rPr>
        <w:t> </w:t>
      </w:r>
      <w:r>
        <w:rPr/>
        <w:t>the</w:t>
      </w:r>
      <w:r>
        <w:rPr>
          <w:spacing w:val="-3"/>
        </w:rPr>
        <w:t> </w:t>
      </w:r>
      <w:r>
        <w:rPr/>
        <w:t>third</w:t>
      </w:r>
      <w:r>
        <w:rPr>
          <w:spacing w:val="-2"/>
        </w:rPr>
        <w:t> </w:t>
      </w:r>
      <w:r>
        <w:rPr/>
        <w:t>quarter</w:t>
      </w:r>
      <w:r>
        <w:rPr>
          <w:spacing w:val="-2"/>
        </w:rPr>
        <w:t> </w:t>
      </w:r>
      <w:r>
        <w:rPr/>
        <w:t>and</w:t>
      </w:r>
      <w:r>
        <w:rPr>
          <w:spacing w:val="-2"/>
        </w:rPr>
        <w:t> </w:t>
      </w:r>
      <w:r>
        <w:rPr/>
        <w:t>first</w:t>
      </w:r>
      <w:r>
        <w:rPr>
          <w:spacing w:val="-3"/>
        </w:rPr>
        <w:t> </w:t>
      </w:r>
      <w:r>
        <w:rPr/>
        <w:t>nine</w:t>
      </w:r>
      <w:r>
        <w:rPr>
          <w:spacing w:val="-3"/>
        </w:rPr>
        <w:t> </w:t>
      </w:r>
      <w:r>
        <w:rPr/>
        <w:t>months</w:t>
      </w:r>
      <w:r>
        <w:rPr>
          <w:spacing w:val="-3"/>
        </w:rPr>
        <w:t> </w:t>
      </w:r>
      <w:r>
        <w:rPr/>
        <w:t>of</w:t>
      </w:r>
      <w:r>
        <w:rPr>
          <w:spacing w:val="-2"/>
        </w:rPr>
        <w:t> </w:t>
      </w:r>
      <w:r>
        <w:rPr/>
        <w:t>2023</w:t>
      </w:r>
      <w:r>
        <w:rPr>
          <w:spacing w:val="-2"/>
        </w:rPr>
        <w:t> </w:t>
      </w:r>
      <w:r>
        <w:rPr/>
        <w:t>were</w:t>
      </w:r>
      <w:r>
        <w:rPr>
          <w:spacing w:val="-3"/>
        </w:rPr>
        <w:t> </w:t>
      </w:r>
      <w:r>
        <w:rPr/>
        <w:t>lower</w:t>
      </w:r>
      <w:r>
        <w:rPr>
          <w:spacing w:val="-2"/>
        </w:rPr>
        <w:t> </w:t>
      </w:r>
      <w:r>
        <w:rPr/>
        <w:t>compared</w:t>
      </w:r>
      <w:r>
        <w:rPr>
          <w:spacing w:val="-2"/>
        </w:rPr>
        <w:t> </w:t>
      </w:r>
      <w:r>
        <w:rPr/>
        <w:t>with</w:t>
      </w:r>
      <w:r>
        <w:rPr>
          <w:spacing w:val="-2"/>
        </w:rPr>
        <w:t> </w:t>
      </w:r>
      <w:r>
        <w:rPr/>
        <w:t>the</w:t>
      </w:r>
      <w:r>
        <w:rPr>
          <w:spacing w:val="-3"/>
        </w:rPr>
        <w:t> </w:t>
      </w:r>
      <w:r>
        <w:rPr/>
        <w:t>same periods of 2022 due primarily to client cash allocation movement to higher yielding investment solutions beginning in the second</w:t>
      </w:r>
      <w:r>
        <w:rPr>
          <w:spacing w:val="-2"/>
        </w:rPr>
        <w:t> </w:t>
      </w:r>
      <w:r>
        <w:rPr/>
        <w:t>quarter</w:t>
      </w:r>
      <w:r>
        <w:rPr>
          <w:spacing w:val="-2"/>
        </w:rPr>
        <w:t> </w:t>
      </w:r>
      <w:r>
        <w:rPr/>
        <w:t>of</w:t>
      </w:r>
      <w:r>
        <w:rPr>
          <w:spacing w:val="-2"/>
        </w:rPr>
        <w:t> </w:t>
      </w:r>
      <w:r>
        <w:rPr/>
        <w:t>2022</w:t>
      </w:r>
      <w:r>
        <w:rPr>
          <w:spacing w:val="-2"/>
        </w:rPr>
        <w:t> </w:t>
      </w:r>
      <w:r>
        <w:rPr/>
        <w:t>through</w:t>
      </w:r>
      <w:r>
        <w:rPr>
          <w:spacing w:val="-2"/>
        </w:rPr>
        <w:t> </w:t>
      </w:r>
      <w:r>
        <w:rPr/>
        <w:t>the</w:t>
      </w:r>
      <w:r>
        <w:rPr>
          <w:spacing w:val="-3"/>
        </w:rPr>
        <w:t> </w:t>
      </w:r>
      <w:r>
        <w:rPr/>
        <w:t>third</w:t>
      </w:r>
      <w:r>
        <w:rPr>
          <w:spacing w:val="-2"/>
        </w:rPr>
        <w:t> </w:t>
      </w:r>
      <w:r>
        <w:rPr/>
        <w:t>quarter</w:t>
      </w:r>
      <w:r>
        <w:rPr>
          <w:spacing w:val="-2"/>
        </w:rPr>
        <w:t> </w:t>
      </w:r>
      <w:r>
        <w:rPr/>
        <w:t>of</w:t>
      </w:r>
      <w:r>
        <w:rPr>
          <w:spacing w:val="-2"/>
        </w:rPr>
        <w:t> </w:t>
      </w:r>
      <w:r>
        <w:rPr/>
        <w:t>2023,</w:t>
      </w:r>
      <w:r>
        <w:rPr>
          <w:spacing w:val="-2"/>
        </w:rPr>
        <w:t> </w:t>
      </w:r>
      <w:r>
        <w:rPr/>
        <w:t>which</w:t>
      </w:r>
      <w:r>
        <w:rPr>
          <w:spacing w:val="-2"/>
        </w:rPr>
        <w:t> </w:t>
      </w:r>
      <w:r>
        <w:rPr/>
        <w:t>resulted</w:t>
      </w:r>
      <w:r>
        <w:rPr>
          <w:spacing w:val="-2"/>
        </w:rPr>
        <w:t> </w:t>
      </w:r>
      <w:r>
        <w:rPr/>
        <w:t>primarily</w:t>
      </w:r>
      <w:r>
        <w:rPr>
          <w:spacing w:val="-2"/>
        </w:rPr>
        <w:t> </w:t>
      </w:r>
      <w:r>
        <w:rPr/>
        <w:t>from</w:t>
      </w:r>
      <w:r>
        <w:rPr>
          <w:spacing w:val="-3"/>
        </w:rPr>
        <w:t> </w:t>
      </w:r>
      <w:r>
        <w:rPr/>
        <w:t>the</w:t>
      </w:r>
      <w:r>
        <w:rPr>
          <w:spacing w:val="-3"/>
        </w:rPr>
        <w:t> </w:t>
      </w:r>
      <w:r>
        <w:rPr/>
        <w:t>rapid</w:t>
      </w:r>
      <w:r>
        <w:rPr>
          <w:spacing w:val="-2"/>
        </w:rPr>
        <w:t> </w:t>
      </w:r>
      <w:r>
        <w:rPr/>
        <w:t>increases</w:t>
      </w:r>
      <w:r>
        <w:rPr>
          <w:spacing w:val="-3"/>
        </w:rPr>
        <w:t> </w:t>
      </w:r>
      <w:r>
        <w:rPr/>
        <w:t>to</w:t>
      </w:r>
      <w:r>
        <w:rPr>
          <w:spacing w:val="-2"/>
        </w:rPr>
        <w:t> </w:t>
      </w:r>
      <w:r>
        <w:rPr/>
        <w:t>the</w:t>
      </w:r>
      <w:r>
        <w:rPr>
          <w:spacing w:val="-3"/>
        </w:rPr>
        <w:t> </w:t>
      </w:r>
      <w:r>
        <w:rPr/>
        <w:t>federal</w:t>
      </w:r>
      <w:r>
        <w:rPr>
          <w:spacing w:val="-3"/>
        </w:rPr>
        <w:t> </w:t>
      </w:r>
      <w:r>
        <w:rPr/>
        <w:t>funds overnight rate. These changes in client cash allocations reduced average balances of bank deposits and payables to brokerage clients. To support this client cash allocation activity, the Company has been utilizing temporary supplemental funding beginning in the fourth quarter of 2022 and during the first nine months of 2023, including drawing upon FHLB secured lending facilities and issuing brokered CDs. The average daily pace of client cash allocation out of sweep products into higher yielding investment solutions decreased significantly beginning in the second quarter of 2023 and, apart from an increase in August following the Federal Reserve’s July rate increase, continued to decline during the third quarter of 2023 to its slowest pace since the beginning of the current interest rate tightening cycle.</w:t>
      </w:r>
    </w:p>
    <w:p>
      <w:pPr>
        <w:spacing w:after="0" w:line="249" w:lineRule="auto"/>
        <w:sectPr>
          <w:pgSz w:w="12240" w:h="15840"/>
          <w:pgMar w:header="512" w:footer="201" w:top="1180" w:bottom="400" w:left="520" w:right="520"/>
        </w:sectPr>
      </w:pPr>
    </w:p>
    <w:p>
      <w:pPr>
        <w:pStyle w:val="BodyText"/>
        <w:spacing w:line="249" w:lineRule="auto" w:before="211"/>
        <w:ind w:left="470" w:right="566"/>
      </w:pPr>
      <w:r>
        <w:rPr/>
        <w:t>The</w:t>
      </w:r>
      <w:r>
        <w:rPr>
          <w:spacing w:val="-4"/>
        </w:rPr>
        <w:t> </w:t>
      </w:r>
      <w:r>
        <w:rPr/>
        <w:t>following</w:t>
      </w:r>
      <w:r>
        <w:rPr>
          <w:spacing w:val="-3"/>
        </w:rPr>
        <w:t> </w:t>
      </w:r>
      <w:r>
        <w:rPr/>
        <w:t>tables</w:t>
      </w:r>
      <w:r>
        <w:rPr>
          <w:spacing w:val="-4"/>
        </w:rPr>
        <w:t> </w:t>
      </w:r>
      <w:r>
        <w:rPr/>
        <w:t>present</w:t>
      </w:r>
      <w:r>
        <w:rPr>
          <w:spacing w:val="-4"/>
        </w:rPr>
        <w:t> </w:t>
      </w:r>
      <w:r>
        <w:rPr/>
        <w:t>net</w:t>
      </w:r>
      <w:r>
        <w:rPr>
          <w:spacing w:val="-4"/>
        </w:rPr>
        <w:t> </w:t>
      </w:r>
      <w:r>
        <w:rPr/>
        <w:t>interest</w:t>
      </w:r>
      <w:r>
        <w:rPr>
          <w:spacing w:val="-4"/>
        </w:rPr>
        <w:t> </w:t>
      </w:r>
      <w:r>
        <w:rPr/>
        <w:t>revenue</w:t>
      </w:r>
      <w:r>
        <w:rPr>
          <w:spacing w:val="-4"/>
        </w:rPr>
        <w:t> </w:t>
      </w:r>
      <w:r>
        <w:rPr/>
        <w:t>information</w:t>
      </w:r>
      <w:r>
        <w:rPr>
          <w:spacing w:val="-3"/>
        </w:rPr>
        <w:t> </w:t>
      </w:r>
      <w:r>
        <w:rPr/>
        <w:t>corresponding</w:t>
      </w:r>
      <w:r>
        <w:rPr>
          <w:spacing w:val="-3"/>
        </w:rPr>
        <w:t> </w:t>
      </w:r>
      <w:r>
        <w:rPr/>
        <w:t>to</w:t>
      </w:r>
      <w:r>
        <w:rPr>
          <w:spacing w:val="-3"/>
        </w:rPr>
        <w:t> </w:t>
      </w:r>
      <w:r>
        <w:rPr/>
        <w:t>interest-earning</w:t>
      </w:r>
      <w:r>
        <w:rPr>
          <w:spacing w:val="-3"/>
        </w:rPr>
        <w:t> </w:t>
      </w:r>
      <w:r>
        <w:rPr/>
        <w:t>assets</w:t>
      </w:r>
      <w:r>
        <w:rPr>
          <w:spacing w:val="-4"/>
        </w:rPr>
        <w:t> </w:t>
      </w:r>
      <w:r>
        <w:rPr/>
        <w:t>and</w:t>
      </w:r>
      <w:r>
        <w:rPr>
          <w:spacing w:val="-3"/>
        </w:rPr>
        <w:t> </w:t>
      </w:r>
      <w:r>
        <w:rPr/>
        <w:t>funding</w:t>
      </w:r>
      <w:r>
        <w:rPr>
          <w:spacing w:val="-3"/>
        </w:rPr>
        <w:t> </w:t>
      </w:r>
      <w:r>
        <w:rPr/>
        <w:t>sources</w:t>
      </w:r>
      <w:r>
        <w:rPr>
          <w:spacing w:val="-4"/>
        </w:rPr>
        <w:t> </w:t>
      </w:r>
      <w:r>
        <w:rPr/>
        <w:t>on the condensed consolidated balance sheets:</w:t>
      </w:r>
    </w:p>
    <w:p>
      <w:pPr>
        <w:pStyle w:val="BodyText"/>
        <w:spacing w:before="6"/>
        <w:rPr>
          <w:sz w:val="9"/>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5"/>
        <w:gridCol w:w="881"/>
        <w:gridCol w:w="1038"/>
        <w:gridCol w:w="944"/>
        <w:gridCol w:w="74"/>
        <w:gridCol w:w="880"/>
        <w:gridCol w:w="1037"/>
        <w:gridCol w:w="943"/>
      </w:tblGrid>
      <w:tr>
        <w:trPr>
          <w:trHeight w:val="245" w:hRule="atLeast"/>
        </w:trPr>
        <w:tc>
          <w:tcPr>
            <w:tcW w:w="5336" w:type="dxa"/>
            <w:gridSpan w:val="2"/>
            <w:tcBorders>
              <w:top w:val="single" w:sz="4" w:space="0" w:color="000000"/>
            </w:tcBorders>
          </w:tcPr>
          <w:p>
            <w:pPr>
              <w:pStyle w:val="TableParagraph"/>
              <w:rPr>
                <w:sz w:val="16"/>
              </w:rPr>
            </w:pPr>
          </w:p>
        </w:tc>
        <w:tc>
          <w:tcPr>
            <w:tcW w:w="1038" w:type="dxa"/>
            <w:tcBorders>
              <w:top w:val="single" w:sz="4" w:space="0" w:color="000000"/>
              <w:bottom w:val="single" w:sz="4" w:space="0" w:color="000000"/>
            </w:tcBorders>
          </w:tcPr>
          <w:p>
            <w:pPr>
              <w:pStyle w:val="TableParagraph"/>
              <w:spacing w:before="8"/>
              <w:ind w:left="371"/>
              <w:rPr>
                <w:sz w:val="18"/>
              </w:rPr>
            </w:pPr>
            <w:r>
              <w:rPr>
                <w:spacing w:val="-4"/>
                <w:sz w:val="18"/>
              </w:rPr>
              <w:t>2023</w:t>
            </w:r>
          </w:p>
        </w:tc>
        <w:tc>
          <w:tcPr>
            <w:tcW w:w="944" w:type="dxa"/>
            <w:tcBorders>
              <w:top w:val="single" w:sz="4" w:space="0" w:color="000000"/>
              <w:bottom w:val="single" w:sz="4" w:space="0" w:color="000000"/>
            </w:tcBorders>
          </w:tcPr>
          <w:p>
            <w:pPr>
              <w:pStyle w:val="TableParagraph"/>
              <w:rPr>
                <w:sz w:val="16"/>
              </w:rPr>
            </w:pPr>
          </w:p>
        </w:tc>
        <w:tc>
          <w:tcPr>
            <w:tcW w:w="74" w:type="dxa"/>
            <w:tcBorders>
              <w:top w:val="single" w:sz="4" w:space="0" w:color="000000"/>
            </w:tcBorders>
          </w:tcPr>
          <w:p>
            <w:pPr>
              <w:pStyle w:val="TableParagraph"/>
              <w:rPr>
                <w:sz w:val="16"/>
              </w:rPr>
            </w:pPr>
          </w:p>
        </w:tc>
        <w:tc>
          <w:tcPr>
            <w:tcW w:w="880" w:type="dxa"/>
            <w:tcBorders>
              <w:top w:val="single" w:sz="4" w:space="0" w:color="000000"/>
              <w:bottom w:val="single" w:sz="4" w:space="0" w:color="000000"/>
            </w:tcBorders>
          </w:tcPr>
          <w:p>
            <w:pPr>
              <w:pStyle w:val="TableParagraph"/>
              <w:rPr>
                <w:sz w:val="16"/>
              </w:rPr>
            </w:pPr>
          </w:p>
        </w:tc>
        <w:tc>
          <w:tcPr>
            <w:tcW w:w="1037" w:type="dxa"/>
            <w:tcBorders>
              <w:top w:val="single" w:sz="4" w:space="0" w:color="000000"/>
              <w:bottom w:val="single" w:sz="4" w:space="0" w:color="000000"/>
            </w:tcBorders>
          </w:tcPr>
          <w:p>
            <w:pPr>
              <w:pStyle w:val="TableParagraph"/>
              <w:spacing w:before="8"/>
              <w:ind w:left="375"/>
              <w:rPr>
                <w:sz w:val="18"/>
              </w:rPr>
            </w:pPr>
            <w:r>
              <w:rPr>
                <w:spacing w:val="-4"/>
                <w:sz w:val="18"/>
              </w:rPr>
              <w:t>2022</w:t>
            </w:r>
          </w:p>
        </w:tc>
        <w:tc>
          <w:tcPr>
            <w:tcW w:w="943" w:type="dxa"/>
            <w:tcBorders>
              <w:top w:val="single" w:sz="4" w:space="0" w:color="000000"/>
              <w:bottom w:val="single" w:sz="4" w:space="0" w:color="000000"/>
            </w:tcBorders>
          </w:tcPr>
          <w:p>
            <w:pPr>
              <w:pStyle w:val="TableParagraph"/>
              <w:rPr>
                <w:sz w:val="16"/>
              </w:rPr>
            </w:pPr>
          </w:p>
        </w:tc>
      </w:tr>
      <w:tr>
        <w:trPr>
          <w:trHeight w:val="605" w:hRule="atLeast"/>
        </w:trPr>
        <w:tc>
          <w:tcPr>
            <w:tcW w:w="4455" w:type="dxa"/>
            <w:tcBorders>
              <w:bottom w:val="single" w:sz="4" w:space="0" w:color="000000"/>
            </w:tcBorders>
          </w:tcPr>
          <w:p>
            <w:pPr>
              <w:pStyle w:val="TableParagraph"/>
              <w:spacing w:before="166"/>
              <w:rPr>
                <w:sz w:val="18"/>
              </w:rPr>
            </w:pPr>
          </w:p>
          <w:p>
            <w:pPr>
              <w:pStyle w:val="TableParagraph"/>
              <w:ind w:left="52"/>
              <w:rPr>
                <w:sz w:val="18"/>
              </w:rPr>
            </w:pPr>
            <w:r>
              <w:rPr>
                <w:sz w:val="18"/>
              </w:rPr>
              <w:t>Three</w:t>
            </w:r>
            <w:r>
              <w:rPr>
                <w:spacing w:val="-1"/>
                <w:sz w:val="18"/>
              </w:rPr>
              <w:t> </w:t>
            </w:r>
            <w:r>
              <w:rPr>
                <w:sz w:val="18"/>
              </w:rPr>
              <w:t>Months</w:t>
            </w:r>
            <w:r>
              <w:rPr>
                <w:spacing w:val="-1"/>
                <w:sz w:val="18"/>
              </w:rPr>
              <w:t> </w:t>
            </w:r>
            <w:r>
              <w:rPr>
                <w:sz w:val="18"/>
              </w:rPr>
              <w:t>Ended</w:t>
            </w:r>
            <w:r>
              <w:rPr>
                <w:spacing w:val="-1"/>
                <w:sz w:val="18"/>
              </w:rPr>
              <w:t> </w:t>
            </w:r>
            <w:r>
              <w:rPr>
                <w:sz w:val="18"/>
              </w:rPr>
              <w:t>September </w:t>
            </w:r>
            <w:r>
              <w:rPr>
                <w:spacing w:val="-5"/>
                <w:sz w:val="18"/>
              </w:rPr>
              <w:t>30,</w:t>
            </w:r>
          </w:p>
        </w:tc>
        <w:tc>
          <w:tcPr>
            <w:tcW w:w="881" w:type="dxa"/>
            <w:tcBorders>
              <w:top w:val="single" w:sz="4" w:space="0" w:color="000000"/>
              <w:bottom w:val="single" w:sz="4" w:space="0" w:color="000000"/>
            </w:tcBorders>
          </w:tcPr>
          <w:p>
            <w:pPr>
              <w:pStyle w:val="TableParagraph"/>
              <w:spacing w:before="8"/>
              <w:rPr>
                <w:sz w:val="18"/>
              </w:rPr>
            </w:pPr>
          </w:p>
          <w:p>
            <w:pPr>
              <w:pStyle w:val="TableParagraph"/>
              <w:spacing w:line="208" w:lineRule="auto"/>
              <w:ind w:left="137" w:right="143" w:hanging="15"/>
              <w:rPr>
                <w:sz w:val="18"/>
              </w:rPr>
            </w:pPr>
            <w:r>
              <w:rPr>
                <w:spacing w:val="-2"/>
                <w:sz w:val="18"/>
              </w:rPr>
              <w:t>Average Balance</w:t>
            </w:r>
          </w:p>
        </w:tc>
        <w:tc>
          <w:tcPr>
            <w:tcW w:w="1038" w:type="dxa"/>
            <w:tcBorders>
              <w:top w:val="single" w:sz="4" w:space="0" w:color="000000"/>
              <w:bottom w:val="single" w:sz="4" w:space="0" w:color="000000"/>
            </w:tcBorders>
          </w:tcPr>
          <w:p>
            <w:pPr>
              <w:pStyle w:val="TableParagraph"/>
              <w:spacing w:line="208" w:lineRule="auto" w:before="35"/>
              <w:ind w:left="23"/>
              <w:jc w:val="center"/>
              <w:rPr>
                <w:sz w:val="18"/>
              </w:rPr>
            </w:pPr>
            <w:r>
              <w:rPr>
                <w:spacing w:val="-2"/>
                <w:sz w:val="18"/>
              </w:rPr>
              <w:t>Interest Revenue/ Expense</w:t>
            </w:r>
          </w:p>
        </w:tc>
        <w:tc>
          <w:tcPr>
            <w:tcW w:w="944" w:type="dxa"/>
            <w:tcBorders>
              <w:top w:val="single" w:sz="4" w:space="0" w:color="000000"/>
              <w:bottom w:val="single" w:sz="4" w:space="0" w:color="000000"/>
            </w:tcBorders>
          </w:tcPr>
          <w:p>
            <w:pPr>
              <w:pStyle w:val="TableParagraph"/>
              <w:spacing w:before="8"/>
              <w:rPr>
                <w:sz w:val="18"/>
              </w:rPr>
            </w:pPr>
          </w:p>
          <w:p>
            <w:pPr>
              <w:pStyle w:val="TableParagraph"/>
              <w:spacing w:line="208" w:lineRule="auto"/>
              <w:ind w:left="106" w:firstLine="85"/>
              <w:rPr>
                <w:sz w:val="18"/>
              </w:rPr>
            </w:pPr>
            <w:r>
              <w:rPr>
                <w:spacing w:val="-2"/>
                <w:sz w:val="18"/>
              </w:rPr>
              <w:t>Average Yield/Rate</w:t>
            </w:r>
          </w:p>
        </w:tc>
        <w:tc>
          <w:tcPr>
            <w:tcW w:w="74" w:type="dxa"/>
            <w:tcBorders>
              <w:bottom w:val="single" w:sz="4" w:space="0" w:color="000000"/>
            </w:tcBorders>
          </w:tcPr>
          <w:p>
            <w:pPr>
              <w:pStyle w:val="TableParagraph"/>
              <w:rPr>
                <w:sz w:val="16"/>
              </w:rPr>
            </w:pPr>
          </w:p>
        </w:tc>
        <w:tc>
          <w:tcPr>
            <w:tcW w:w="880" w:type="dxa"/>
            <w:tcBorders>
              <w:top w:val="single" w:sz="4" w:space="0" w:color="000000"/>
              <w:bottom w:val="single" w:sz="4" w:space="0" w:color="000000"/>
            </w:tcBorders>
          </w:tcPr>
          <w:p>
            <w:pPr>
              <w:pStyle w:val="TableParagraph"/>
              <w:spacing w:before="8"/>
              <w:rPr>
                <w:sz w:val="18"/>
              </w:rPr>
            </w:pPr>
          </w:p>
          <w:p>
            <w:pPr>
              <w:pStyle w:val="TableParagraph"/>
              <w:spacing w:line="208" w:lineRule="auto"/>
              <w:ind w:left="140" w:right="139" w:hanging="15"/>
              <w:rPr>
                <w:sz w:val="18"/>
              </w:rPr>
            </w:pPr>
            <w:r>
              <w:rPr>
                <w:spacing w:val="-2"/>
                <w:sz w:val="18"/>
              </w:rPr>
              <w:t>Average Balance</w:t>
            </w:r>
          </w:p>
        </w:tc>
        <w:tc>
          <w:tcPr>
            <w:tcW w:w="1037" w:type="dxa"/>
            <w:tcBorders>
              <w:top w:val="single" w:sz="4" w:space="0" w:color="000000"/>
              <w:bottom w:val="single" w:sz="4" w:space="0" w:color="000000"/>
            </w:tcBorders>
          </w:tcPr>
          <w:p>
            <w:pPr>
              <w:pStyle w:val="TableParagraph"/>
              <w:spacing w:line="208" w:lineRule="auto" w:before="35"/>
              <w:ind w:left="193" w:right="161"/>
              <w:jc w:val="center"/>
              <w:rPr>
                <w:sz w:val="18"/>
              </w:rPr>
            </w:pPr>
            <w:r>
              <w:rPr>
                <w:spacing w:val="-2"/>
                <w:sz w:val="18"/>
              </w:rPr>
              <w:t>Interest Revenue/ Expense</w:t>
            </w:r>
          </w:p>
        </w:tc>
        <w:tc>
          <w:tcPr>
            <w:tcW w:w="943" w:type="dxa"/>
            <w:tcBorders>
              <w:top w:val="single" w:sz="4" w:space="0" w:color="000000"/>
              <w:bottom w:val="single" w:sz="4" w:space="0" w:color="000000"/>
            </w:tcBorders>
          </w:tcPr>
          <w:p>
            <w:pPr>
              <w:pStyle w:val="TableParagraph"/>
              <w:spacing w:before="8"/>
              <w:rPr>
                <w:sz w:val="18"/>
              </w:rPr>
            </w:pPr>
          </w:p>
          <w:p>
            <w:pPr>
              <w:pStyle w:val="TableParagraph"/>
              <w:spacing w:line="208" w:lineRule="auto"/>
              <w:ind w:left="111" w:firstLine="85"/>
              <w:rPr>
                <w:sz w:val="18"/>
              </w:rPr>
            </w:pPr>
            <w:r>
              <w:rPr>
                <w:spacing w:val="-2"/>
                <w:sz w:val="18"/>
              </w:rPr>
              <w:t>Average Yield/Rate</w:t>
            </w:r>
          </w:p>
        </w:tc>
      </w:tr>
      <w:tr>
        <w:trPr>
          <w:trHeight w:val="250" w:hRule="atLeast"/>
        </w:trPr>
        <w:tc>
          <w:tcPr>
            <w:tcW w:w="4455" w:type="dxa"/>
            <w:tcBorders>
              <w:top w:val="single" w:sz="4" w:space="0" w:color="000000"/>
            </w:tcBorders>
          </w:tcPr>
          <w:p>
            <w:pPr>
              <w:pStyle w:val="TableParagraph"/>
              <w:spacing w:before="7"/>
              <w:ind w:left="52"/>
              <w:rPr>
                <w:b/>
                <w:sz w:val="18"/>
              </w:rPr>
            </w:pPr>
            <w:r>
              <w:rPr>
                <w:b/>
                <w:sz w:val="18"/>
              </w:rPr>
              <w:t>Interest-earning</w:t>
            </w:r>
            <w:r>
              <w:rPr>
                <w:b/>
                <w:spacing w:val="-5"/>
                <w:sz w:val="18"/>
              </w:rPr>
              <w:t> </w:t>
            </w:r>
            <w:r>
              <w:rPr>
                <w:b/>
                <w:spacing w:val="-2"/>
                <w:sz w:val="18"/>
              </w:rPr>
              <w:t>assets</w:t>
            </w:r>
          </w:p>
        </w:tc>
        <w:tc>
          <w:tcPr>
            <w:tcW w:w="881" w:type="dxa"/>
            <w:tcBorders>
              <w:top w:val="single" w:sz="4" w:space="0" w:color="000000"/>
            </w:tcBorders>
          </w:tcPr>
          <w:p>
            <w:pPr>
              <w:pStyle w:val="TableParagraph"/>
              <w:rPr>
                <w:sz w:val="16"/>
              </w:rPr>
            </w:pPr>
          </w:p>
        </w:tc>
        <w:tc>
          <w:tcPr>
            <w:tcW w:w="1038" w:type="dxa"/>
            <w:tcBorders>
              <w:top w:val="single" w:sz="4" w:space="0" w:color="000000"/>
            </w:tcBorders>
          </w:tcPr>
          <w:p>
            <w:pPr>
              <w:pStyle w:val="TableParagraph"/>
              <w:rPr>
                <w:sz w:val="16"/>
              </w:rPr>
            </w:pPr>
          </w:p>
        </w:tc>
        <w:tc>
          <w:tcPr>
            <w:tcW w:w="944" w:type="dxa"/>
            <w:tcBorders>
              <w:top w:val="single" w:sz="4" w:space="0" w:color="000000"/>
            </w:tcBorders>
          </w:tcPr>
          <w:p>
            <w:pPr>
              <w:pStyle w:val="TableParagraph"/>
              <w:rPr>
                <w:sz w:val="16"/>
              </w:rPr>
            </w:pPr>
          </w:p>
        </w:tc>
        <w:tc>
          <w:tcPr>
            <w:tcW w:w="74" w:type="dxa"/>
            <w:tcBorders>
              <w:top w:val="single" w:sz="4" w:space="0" w:color="000000"/>
            </w:tcBorders>
          </w:tcPr>
          <w:p>
            <w:pPr>
              <w:pStyle w:val="TableParagraph"/>
              <w:rPr>
                <w:sz w:val="16"/>
              </w:rPr>
            </w:pPr>
          </w:p>
        </w:tc>
        <w:tc>
          <w:tcPr>
            <w:tcW w:w="880" w:type="dxa"/>
            <w:tcBorders>
              <w:top w:val="single" w:sz="4" w:space="0" w:color="000000"/>
            </w:tcBorders>
          </w:tcPr>
          <w:p>
            <w:pPr>
              <w:pStyle w:val="TableParagraph"/>
              <w:rPr>
                <w:sz w:val="16"/>
              </w:rPr>
            </w:pPr>
          </w:p>
        </w:tc>
        <w:tc>
          <w:tcPr>
            <w:tcW w:w="1037" w:type="dxa"/>
            <w:tcBorders>
              <w:top w:val="single" w:sz="4" w:space="0" w:color="000000"/>
            </w:tcBorders>
          </w:tcPr>
          <w:p>
            <w:pPr>
              <w:pStyle w:val="TableParagraph"/>
              <w:rPr>
                <w:sz w:val="16"/>
              </w:rPr>
            </w:pPr>
          </w:p>
        </w:tc>
        <w:tc>
          <w:tcPr>
            <w:tcW w:w="943" w:type="dxa"/>
            <w:tcBorders>
              <w:top w:val="single" w:sz="4" w:space="0" w:color="000000"/>
            </w:tcBorders>
          </w:tcPr>
          <w:p>
            <w:pPr>
              <w:pStyle w:val="TableParagraph"/>
              <w:rPr>
                <w:sz w:val="16"/>
              </w:rPr>
            </w:pPr>
          </w:p>
        </w:tc>
      </w:tr>
      <w:tr>
        <w:trPr>
          <w:trHeight w:val="255" w:hRule="atLeast"/>
        </w:trPr>
        <w:tc>
          <w:tcPr>
            <w:tcW w:w="4455" w:type="dxa"/>
            <w:shd w:val="clear" w:color="auto" w:fill="CCEDFF"/>
          </w:tcPr>
          <w:p>
            <w:pPr>
              <w:pStyle w:val="TableParagraph"/>
              <w:spacing w:before="13"/>
              <w:ind w:left="52"/>
              <w:rPr>
                <w:sz w:val="18"/>
              </w:rPr>
            </w:pPr>
            <w:r>
              <w:rPr>
                <w:sz w:val="18"/>
              </w:rPr>
              <w:t>Cash</w:t>
            </w:r>
            <w:r>
              <w:rPr>
                <w:spacing w:val="-1"/>
                <w:sz w:val="18"/>
              </w:rPr>
              <w:t> </w:t>
            </w:r>
            <w:r>
              <w:rPr>
                <w:sz w:val="18"/>
              </w:rPr>
              <w:t>and</w:t>
            </w:r>
            <w:r>
              <w:rPr>
                <w:spacing w:val="-1"/>
                <w:sz w:val="18"/>
              </w:rPr>
              <w:t> </w:t>
            </w:r>
            <w:r>
              <w:rPr>
                <w:sz w:val="18"/>
              </w:rPr>
              <w:t>cash </w:t>
            </w:r>
            <w:r>
              <w:rPr>
                <w:spacing w:val="-2"/>
                <w:sz w:val="18"/>
              </w:rPr>
              <w:t>equivalents</w:t>
            </w:r>
          </w:p>
        </w:tc>
        <w:tc>
          <w:tcPr>
            <w:tcW w:w="881" w:type="dxa"/>
            <w:shd w:val="clear" w:color="auto" w:fill="CCEDFF"/>
          </w:tcPr>
          <w:p>
            <w:pPr>
              <w:pStyle w:val="TableParagraph"/>
              <w:spacing w:before="13"/>
              <w:ind w:right="98"/>
              <w:jc w:val="right"/>
              <w:rPr>
                <w:sz w:val="18"/>
              </w:rPr>
            </w:pPr>
            <w:r>
              <w:rPr>
                <w:sz w:val="18"/>
              </w:rPr>
              <w:t>$</w:t>
            </w:r>
            <w:r>
              <w:rPr>
                <w:spacing w:val="74"/>
                <w:w w:val="150"/>
                <w:sz w:val="18"/>
              </w:rPr>
              <w:t> </w:t>
            </w:r>
            <w:r>
              <w:rPr>
                <w:spacing w:val="-2"/>
                <w:sz w:val="18"/>
              </w:rPr>
              <w:t>34,391</w:t>
            </w:r>
          </w:p>
        </w:tc>
        <w:tc>
          <w:tcPr>
            <w:tcW w:w="1038" w:type="dxa"/>
            <w:shd w:val="clear" w:color="auto" w:fill="CCEDFF"/>
          </w:tcPr>
          <w:p>
            <w:pPr>
              <w:pStyle w:val="TableParagraph"/>
              <w:tabs>
                <w:tab w:pos="562" w:val="left" w:leader="none"/>
              </w:tabs>
              <w:spacing w:before="13"/>
              <w:ind w:right="101"/>
              <w:jc w:val="right"/>
              <w:rPr>
                <w:sz w:val="18"/>
              </w:rPr>
            </w:pPr>
            <w:r>
              <w:rPr>
                <w:spacing w:val="-10"/>
                <w:sz w:val="18"/>
              </w:rPr>
              <w:t>$</w:t>
            </w:r>
            <w:r>
              <w:rPr>
                <w:sz w:val="18"/>
              </w:rPr>
              <w:tab/>
            </w:r>
            <w:r>
              <w:rPr>
                <w:spacing w:val="-5"/>
                <w:sz w:val="18"/>
              </w:rPr>
              <w:t>459</w:t>
            </w:r>
          </w:p>
        </w:tc>
        <w:tc>
          <w:tcPr>
            <w:tcW w:w="944" w:type="dxa"/>
            <w:shd w:val="clear" w:color="auto" w:fill="CCEDFF"/>
          </w:tcPr>
          <w:p>
            <w:pPr>
              <w:pStyle w:val="TableParagraph"/>
              <w:spacing w:before="13"/>
              <w:ind w:right="70"/>
              <w:jc w:val="right"/>
              <w:rPr>
                <w:sz w:val="18"/>
              </w:rPr>
            </w:pPr>
            <w:r>
              <w:rPr>
                <w:spacing w:val="-2"/>
                <w:sz w:val="18"/>
              </w:rPr>
              <w:t>5.22%</w:t>
            </w:r>
          </w:p>
        </w:tc>
        <w:tc>
          <w:tcPr>
            <w:tcW w:w="74" w:type="dxa"/>
            <w:shd w:val="clear" w:color="auto" w:fill="CCEDFF"/>
          </w:tcPr>
          <w:p>
            <w:pPr>
              <w:pStyle w:val="TableParagraph"/>
              <w:rPr>
                <w:sz w:val="16"/>
              </w:rPr>
            </w:pPr>
          </w:p>
        </w:tc>
        <w:tc>
          <w:tcPr>
            <w:tcW w:w="880" w:type="dxa"/>
            <w:shd w:val="clear" w:color="auto" w:fill="CCEDFF"/>
          </w:tcPr>
          <w:p>
            <w:pPr>
              <w:pStyle w:val="TableParagraph"/>
              <w:spacing w:before="13"/>
              <w:ind w:right="94"/>
              <w:jc w:val="right"/>
              <w:rPr>
                <w:sz w:val="18"/>
              </w:rPr>
            </w:pPr>
            <w:r>
              <w:rPr>
                <w:sz w:val="18"/>
              </w:rPr>
              <w:t>$</w:t>
            </w:r>
            <w:r>
              <w:rPr>
                <w:spacing w:val="74"/>
                <w:w w:val="150"/>
                <w:sz w:val="18"/>
              </w:rPr>
              <w:t> </w:t>
            </w:r>
            <w:r>
              <w:rPr>
                <w:spacing w:val="-2"/>
                <w:sz w:val="18"/>
              </w:rPr>
              <w:t>53,127</w:t>
            </w:r>
          </w:p>
        </w:tc>
        <w:tc>
          <w:tcPr>
            <w:tcW w:w="1037" w:type="dxa"/>
            <w:shd w:val="clear" w:color="auto" w:fill="CCEDFF"/>
          </w:tcPr>
          <w:p>
            <w:pPr>
              <w:pStyle w:val="TableParagraph"/>
              <w:tabs>
                <w:tab w:pos="562" w:val="left" w:leader="none"/>
              </w:tabs>
              <w:spacing w:before="13"/>
              <w:ind w:right="96"/>
              <w:jc w:val="right"/>
              <w:rPr>
                <w:sz w:val="18"/>
              </w:rPr>
            </w:pPr>
            <w:r>
              <w:rPr>
                <w:spacing w:val="-10"/>
                <w:sz w:val="18"/>
              </w:rPr>
              <w:t>$</w:t>
            </w:r>
            <w:r>
              <w:rPr>
                <w:sz w:val="18"/>
              </w:rPr>
              <w:tab/>
            </w:r>
            <w:r>
              <w:rPr>
                <w:spacing w:val="-5"/>
                <w:sz w:val="18"/>
              </w:rPr>
              <w:t>294</w:t>
            </w:r>
          </w:p>
        </w:tc>
        <w:tc>
          <w:tcPr>
            <w:tcW w:w="943" w:type="dxa"/>
            <w:shd w:val="clear" w:color="auto" w:fill="CCEDFF"/>
          </w:tcPr>
          <w:p>
            <w:pPr>
              <w:pStyle w:val="TableParagraph"/>
              <w:spacing w:before="13"/>
              <w:ind w:left="344"/>
              <w:jc w:val="center"/>
              <w:rPr>
                <w:sz w:val="18"/>
              </w:rPr>
            </w:pPr>
            <w:r>
              <w:rPr>
                <w:spacing w:val="-2"/>
                <w:sz w:val="18"/>
              </w:rPr>
              <w:t>2.16%</w:t>
            </w:r>
          </w:p>
        </w:tc>
      </w:tr>
      <w:tr>
        <w:trPr>
          <w:trHeight w:val="255" w:hRule="atLeast"/>
        </w:trPr>
        <w:tc>
          <w:tcPr>
            <w:tcW w:w="4455" w:type="dxa"/>
          </w:tcPr>
          <w:p>
            <w:pPr>
              <w:pStyle w:val="TableParagraph"/>
              <w:spacing w:before="13"/>
              <w:ind w:left="52"/>
              <w:rPr>
                <w:sz w:val="18"/>
              </w:rPr>
            </w:pPr>
            <w:r>
              <w:rPr>
                <w:sz w:val="18"/>
              </w:rPr>
              <w:t>Cash</w:t>
            </w:r>
            <w:r>
              <w:rPr>
                <w:spacing w:val="-1"/>
                <w:sz w:val="18"/>
              </w:rPr>
              <w:t> </w:t>
            </w:r>
            <w:r>
              <w:rPr>
                <w:sz w:val="18"/>
              </w:rPr>
              <w:t>and</w:t>
            </w:r>
            <w:r>
              <w:rPr>
                <w:spacing w:val="-1"/>
                <w:sz w:val="18"/>
              </w:rPr>
              <w:t> </w:t>
            </w:r>
            <w:r>
              <w:rPr>
                <w:sz w:val="18"/>
              </w:rPr>
              <w:t>investments</w:t>
            </w:r>
            <w:r>
              <w:rPr>
                <w:spacing w:val="-1"/>
                <w:sz w:val="18"/>
              </w:rPr>
              <w:t> </w:t>
            </w:r>
            <w:r>
              <w:rPr>
                <w:spacing w:val="-2"/>
                <w:sz w:val="18"/>
              </w:rPr>
              <w:t>segregated</w:t>
            </w:r>
          </w:p>
        </w:tc>
        <w:tc>
          <w:tcPr>
            <w:tcW w:w="881" w:type="dxa"/>
          </w:tcPr>
          <w:p>
            <w:pPr>
              <w:pStyle w:val="TableParagraph"/>
              <w:spacing w:before="13"/>
              <w:ind w:right="98"/>
              <w:jc w:val="right"/>
              <w:rPr>
                <w:sz w:val="18"/>
              </w:rPr>
            </w:pPr>
            <w:r>
              <w:rPr>
                <w:spacing w:val="-2"/>
                <w:sz w:val="18"/>
              </w:rPr>
              <w:t>21,987</w:t>
            </w:r>
          </w:p>
        </w:tc>
        <w:tc>
          <w:tcPr>
            <w:tcW w:w="1038" w:type="dxa"/>
          </w:tcPr>
          <w:p>
            <w:pPr>
              <w:pStyle w:val="TableParagraph"/>
              <w:spacing w:before="13"/>
              <w:ind w:right="101"/>
              <w:jc w:val="right"/>
              <w:rPr>
                <w:sz w:val="18"/>
              </w:rPr>
            </w:pPr>
            <w:r>
              <w:rPr>
                <w:spacing w:val="-5"/>
                <w:sz w:val="18"/>
              </w:rPr>
              <w:t>285</w:t>
            </w:r>
          </w:p>
        </w:tc>
        <w:tc>
          <w:tcPr>
            <w:tcW w:w="944" w:type="dxa"/>
          </w:tcPr>
          <w:p>
            <w:pPr>
              <w:pStyle w:val="TableParagraph"/>
              <w:spacing w:before="13"/>
              <w:ind w:right="70"/>
              <w:jc w:val="right"/>
              <w:rPr>
                <w:sz w:val="18"/>
              </w:rPr>
            </w:pPr>
            <w:r>
              <w:rPr>
                <w:spacing w:val="-2"/>
                <w:sz w:val="18"/>
              </w:rPr>
              <w:t>5.08%</w:t>
            </w:r>
          </w:p>
        </w:tc>
        <w:tc>
          <w:tcPr>
            <w:tcW w:w="74" w:type="dxa"/>
          </w:tcPr>
          <w:p>
            <w:pPr>
              <w:pStyle w:val="TableParagraph"/>
              <w:rPr>
                <w:sz w:val="16"/>
              </w:rPr>
            </w:pPr>
          </w:p>
        </w:tc>
        <w:tc>
          <w:tcPr>
            <w:tcW w:w="880" w:type="dxa"/>
          </w:tcPr>
          <w:p>
            <w:pPr>
              <w:pStyle w:val="TableParagraph"/>
              <w:spacing w:before="13"/>
              <w:ind w:right="94"/>
              <w:jc w:val="right"/>
              <w:rPr>
                <w:sz w:val="18"/>
              </w:rPr>
            </w:pPr>
            <w:r>
              <w:rPr>
                <w:spacing w:val="-2"/>
                <w:sz w:val="18"/>
              </w:rPr>
              <w:t>49,554</w:t>
            </w:r>
          </w:p>
        </w:tc>
        <w:tc>
          <w:tcPr>
            <w:tcW w:w="1037" w:type="dxa"/>
          </w:tcPr>
          <w:p>
            <w:pPr>
              <w:pStyle w:val="TableParagraph"/>
              <w:spacing w:before="13"/>
              <w:ind w:right="96"/>
              <w:jc w:val="right"/>
              <w:rPr>
                <w:sz w:val="18"/>
              </w:rPr>
            </w:pPr>
            <w:r>
              <w:rPr>
                <w:spacing w:val="-5"/>
                <w:sz w:val="18"/>
              </w:rPr>
              <w:t>214</w:t>
            </w:r>
          </w:p>
        </w:tc>
        <w:tc>
          <w:tcPr>
            <w:tcW w:w="943" w:type="dxa"/>
          </w:tcPr>
          <w:p>
            <w:pPr>
              <w:pStyle w:val="TableParagraph"/>
              <w:spacing w:before="13"/>
              <w:ind w:left="344"/>
              <w:jc w:val="center"/>
              <w:rPr>
                <w:sz w:val="18"/>
              </w:rPr>
            </w:pPr>
            <w:r>
              <w:rPr>
                <w:spacing w:val="-2"/>
                <w:sz w:val="18"/>
              </w:rPr>
              <w:t>1.69%</w:t>
            </w:r>
          </w:p>
        </w:tc>
      </w:tr>
      <w:tr>
        <w:trPr>
          <w:trHeight w:val="252" w:hRule="atLeast"/>
        </w:trPr>
        <w:tc>
          <w:tcPr>
            <w:tcW w:w="4455" w:type="dxa"/>
            <w:shd w:val="clear" w:color="auto" w:fill="CCEDFF"/>
          </w:tcPr>
          <w:p>
            <w:pPr>
              <w:pStyle w:val="TableParagraph"/>
              <w:spacing w:before="13"/>
              <w:ind w:left="52"/>
              <w:rPr>
                <w:sz w:val="18"/>
              </w:rPr>
            </w:pPr>
            <w:r>
              <w:rPr>
                <w:sz w:val="18"/>
              </w:rPr>
              <w:t>Receivables</w:t>
            </w:r>
            <w:r>
              <w:rPr>
                <w:spacing w:val="-1"/>
                <w:sz w:val="18"/>
              </w:rPr>
              <w:t> </w:t>
            </w:r>
            <w:r>
              <w:rPr>
                <w:sz w:val="18"/>
              </w:rPr>
              <w:t>from brokerage </w:t>
            </w:r>
            <w:r>
              <w:rPr>
                <w:spacing w:val="-2"/>
                <w:sz w:val="18"/>
              </w:rPr>
              <w:t>clients</w:t>
            </w:r>
          </w:p>
        </w:tc>
        <w:tc>
          <w:tcPr>
            <w:tcW w:w="881" w:type="dxa"/>
            <w:shd w:val="clear" w:color="auto" w:fill="CCEDFF"/>
          </w:tcPr>
          <w:p>
            <w:pPr>
              <w:pStyle w:val="TableParagraph"/>
              <w:spacing w:before="13"/>
              <w:ind w:right="98"/>
              <w:jc w:val="right"/>
              <w:rPr>
                <w:sz w:val="18"/>
              </w:rPr>
            </w:pPr>
            <w:r>
              <w:rPr>
                <w:spacing w:val="-2"/>
                <w:sz w:val="18"/>
              </w:rPr>
              <w:t>63,760</w:t>
            </w:r>
          </w:p>
        </w:tc>
        <w:tc>
          <w:tcPr>
            <w:tcW w:w="1038" w:type="dxa"/>
            <w:shd w:val="clear" w:color="auto" w:fill="CCEDFF"/>
          </w:tcPr>
          <w:p>
            <w:pPr>
              <w:pStyle w:val="TableParagraph"/>
              <w:spacing w:before="13"/>
              <w:ind w:right="101"/>
              <w:jc w:val="right"/>
              <w:rPr>
                <w:sz w:val="18"/>
              </w:rPr>
            </w:pPr>
            <w:r>
              <w:rPr>
                <w:spacing w:val="-2"/>
                <w:sz w:val="18"/>
              </w:rPr>
              <w:t>1,282</w:t>
            </w:r>
          </w:p>
        </w:tc>
        <w:tc>
          <w:tcPr>
            <w:tcW w:w="944" w:type="dxa"/>
            <w:shd w:val="clear" w:color="auto" w:fill="CCEDFF"/>
          </w:tcPr>
          <w:p>
            <w:pPr>
              <w:pStyle w:val="TableParagraph"/>
              <w:spacing w:before="13"/>
              <w:ind w:right="70"/>
              <w:jc w:val="right"/>
              <w:rPr>
                <w:sz w:val="18"/>
              </w:rPr>
            </w:pPr>
            <w:r>
              <w:rPr>
                <w:spacing w:val="-2"/>
                <w:sz w:val="18"/>
              </w:rPr>
              <w:t>7.87%</w:t>
            </w:r>
          </w:p>
        </w:tc>
        <w:tc>
          <w:tcPr>
            <w:tcW w:w="74" w:type="dxa"/>
            <w:shd w:val="clear" w:color="auto" w:fill="CCEDFF"/>
          </w:tcPr>
          <w:p>
            <w:pPr>
              <w:pStyle w:val="TableParagraph"/>
              <w:rPr>
                <w:sz w:val="16"/>
              </w:rPr>
            </w:pPr>
          </w:p>
        </w:tc>
        <w:tc>
          <w:tcPr>
            <w:tcW w:w="880" w:type="dxa"/>
            <w:shd w:val="clear" w:color="auto" w:fill="CCEDFF"/>
          </w:tcPr>
          <w:p>
            <w:pPr>
              <w:pStyle w:val="TableParagraph"/>
              <w:spacing w:before="13"/>
              <w:ind w:right="94"/>
              <w:jc w:val="right"/>
              <w:rPr>
                <w:sz w:val="18"/>
              </w:rPr>
            </w:pPr>
            <w:r>
              <w:rPr>
                <w:spacing w:val="-2"/>
                <w:sz w:val="18"/>
              </w:rPr>
              <w:t>72,751</w:t>
            </w:r>
          </w:p>
        </w:tc>
        <w:tc>
          <w:tcPr>
            <w:tcW w:w="1037" w:type="dxa"/>
            <w:shd w:val="clear" w:color="auto" w:fill="CCEDFF"/>
          </w:tcPr>
          <w:p>
            <w:pPr>
              <w:pStyle w:val="TableParagraph"/>
              <w:spacing w:before="13"/>
              <w:ind w:right="96"/>
              <w:jc w:val="right"/>
              <w:rPr>
                <w:sz w:val="18"/>
              </w:rPr>
            </w:pPr>
            <w:r>
              <w:rPr>
                <w:spacing w:val="-5"/>
                <w:sz w:val="18"/>
              </w:rPr>
              <w:t>912</w:t>
            </w:r>
          </w:p>
        </w:tc>
        <w:tc>
          <w:tcPr>
            <w:tcW w:w="943" w:type="dxa"/>
            <w:shd w:val="clear" w:color="auto" w:fill="CCEDFF"/>
          </w:tcPr>
          <w:p>
            <w:pPr>
              <w:pStyle w:val="TableParagraph"/>
              <w:spacing w:before="13"/>
              <w:ind w:left="344"/>
              <w:jc w:val="center"/>
              <w:rPr>
                <w:sz w:val="18"/>
              </w:rPr>
            </w:pPr>
            <w:r>
              <w:rPr>
                <w:spacing w:val="-2"/>
                <w:sz w:val="18"/>
              </w:rPr>
              <w:t>4.91%</w:t>
            </w:r>
          </w:p>
        </w:tc>
      </w:tr>
      <w:tr>
        <w:trPr>
          <w:trHeight w:val="255" w:hRule="atLeast"/>
        </w:trPr>
        <w:tc>
          <w:tcPr>
            <w:tcW w:w="4455" w:type="dxa"/>
          </w:tcPr>
          <w:p>
            <w:pPr>
              <w:pStyle w:val="TableParagraph"/>
              <w:spacing w:before="13"/>
              <w:ind w:left="52"/>
              <w:rPr>
                <w:sz w:val="18"/>
              </w:rPr>
            </w:pPr>
            <w:r>
              <w:rPr>
                <w:sz w:val="18"/>
              </w:rPr>
              <w:t>Available</w:t>
            </w:r>
            <w:r>
              <w:rPr>
                <w:spacing w:val="-2"/>
                <w:sz w:val="18"/>
              </w:rPr>
              <w:t> </w:t>
            </w:r>
            <w:r>
              <w:rPr>
                <w:sz w:val="18"/>
              </w:rPr>
              <w:t>for</w:t>
            </w:r>
            <w:r>
              <w:rPr>
                <w:spacing w:val="-1"/>
                <w:sz w:val="18"/>
              </w:rPr>
              <w:t> </w:t>
            </w:r>
            <w:r>
              <w:rPr>
                <w:sz w:val="18"/>
              </w:rPr>
              <w:t>sale securities</w:t>
            </w:r>
            <w:r>
              <w:rPr>
                <w:spacing w:val="-18"/>
                <w:sz w:val="18"/>
              </w:rPr>
              <w:t> </w:t>
            </w:r>
            <w:r>
              <w:rPr>
                <w:spacing w:val="-5"/>
                <w:sz w:val="18"/>
                <w:vertAlign w:val="superscript"/>
              </w:rPr>
              <w:t>(1)</w:t>
            </w:r>
          </w:p>
        </w:tc>
        <w:tc>
          <w:tcPr>
            <w:tcW w:w="881" w:type="dxa"/>
          </w:tcPr>
          <w:p>
            <w:pPr>
              <w:pStyle w:val="TableParagraph"/>
              <w:spacing w:before="13"/>
              <w:ind w:right="98"/>
              <w:jc w:val="right"/>
              <w:rPr>
                <w:sz w:val="18"/>
              </w:rPr>
            </w:pPr>
            <w:r>
              <w:rPr>
                <w:spacing w:val="-2"/>
                <w:sz w:val="18"/>
              </w:rPr>
              <w:t>129,545</w:t>
            </w:r>
          </w:p>
        </w:tc>
        <w:tc>
          <w:tcPr>
            <w:tcW w:w="1038" w:type="dxa"/>
          </w:tcPr>
          <w:p>
            <w:pPr>
              <w:pStyle w:val="TableParagraph"/>
              <w:spacing w:before="13"/>
              <w:ind w:right="101"/>
              <w:jc w:val="right"/>
              <w:rPr>
                <w:sz w:val="18"/>
              </w:rPr>
            </w:pPr>
            <w:r>
              <w:rPr>
                <w:spacing w:val="-5"/>
                <w:sz w:val="18"/>
              </w:rPr>
              <w:t>724</w:t>
            </w:r>
          </w:p>
        </w:tc>
        <w:tc>
          <w:tcPr>
            <w:tcW w:w="944" w:type="dxa"/>
          </w:tcPr>
          <w:p>
            <w:pPr>
              <w:pStyle w:val="TableParagraph"/>
              <w:spacing w:before="13"/>
              <w:ind w:right="70"/>
              <w:jc w:val="right"/>
              <w:rPr>
                <w:sz w:val="18"/>
              </w:rPr>
            </w:pPr>
            <w:r>
              <w:rPr>
                <w:spacing w:val="-2"/>
                <w:sz w:val="18"/>
              </w:rPr>
              <w:t>2.22%</w:t>
            </w:r>
          </w:p>
        </w:tc>
        <w:tc>
          <w:tcPr>
            <w:tcW w:w="74" w:type="dxa"/>
          </w:tcPr>
          <w:p>
            <w:pPr>
              <w:pStyle w:val="TableParagraph"/>
              <w:rPr>
                <w:sz w:val="16"/>
              </w:rPr>
            </w:pPr>
          </w:p>
        </w:tc>
        <w:tc>
          <w:tcPr>
            <w:tcW w:w="880" w:type="dxa"/>
          </w:tcPr>
          <w:p>
            <w:pPr>
              <w:pStyle w:val="TableParagraph"/>
              <w:spacing w:before="13"/>
              <w:ind w:right="94"/>
              <w:jc w:val="right"/>
              <w:rPr>
                <w:sz w:val="18"/>
              </w:rPr>
            </w:pPr>
            <w:r>
              <w:rPr>
                <w:spacing w:val="-2"/>
                <w:sz w:val="18"/>
              </w:rPr>
              <w:t>273,968</w:t>
            </w:r>
          </w:p>
        </w:tc>
        <w:tc>
          <w:tcPr>
            <w:tcW w:w="1037" w:type="dxa"/>
          </w:tcPr>
          <w:p>
            <w:pPr>
              <w:pStyle w:val="TableParagraph"/>
              <w:spacing w:before="13"/>
              <w:ind w:right="96"/>
              <w:jc w:val="right"/>
              <w:rPr>
                <w:sz w:val="18"/>
              </w:rPr>
            </w:pPr>
            <w:r>
              <w:rPr>
                <w:spacing w:val="-2"/>
                <w:sz w:val="18"/>
              </w:rPr>
              <w:t>1,161</w:t>
            </w:r>
          </w:p>
        </w:tc>
        <w:tc>
          <w:tcPr>
            <w:tcW w:w="943" w:type="dxa"/>
          </w:tcPr>
          <w:p>
            <w:pPr>
              <w:pStyle w:val="TableParagraph"/>
              <w:spacing w:before="13"/>
              <w:ind w:left="344"/>
              <w:jc w:val="center"/>
              <w:rPr>
                <w:sz w:val="18"/>
              </w:rPr>
            </w:pPr>
            <w:r>
              <w:rPr>
                <w:spacing w:val="-2"/>
                <w:sz w:val="18"/>
              </w:rPr>
              <w:t>1.69%</w:t>
            </w:r>
          </w:p>
        </w:tc>
      </w:tr>
      <w:tr>
        <w:trPr>
          <w:trHeight w:val="257" w:hRule="atLeast"/>
        </w:trPr>
        <w:tc>
          <w:tcPr>
            <w:tcW w:w="4455" w:type="dxa"/>
            <w:shd w:val="clear" w:color="auto" w:fill="CCEDFF"/>
          </w:tcPr>
          <w:p>
            <w:pPr>
              <w:pStyle w:val="TableParagraph"/>
              <w:spacing w:before="13"/>
              <w:ind w:left="52"/>
              <w:rPr>
                <w:sz w:val="18"/>
              </w:rPr>
            </w:pPr>
            <w:r>
              <w:rPr>
                <w:sz w:val="18"/>
              </w:rPr>
              <w:t>Held</w:t>
            </w:r>
            <w:r>
              <w:rPr>
                <w:spacing w:val="-1"/>
                <w:sz w:val="18"/>
              </w:rPr>
              <w:t> </w:t>
            </w:r>
            <w:r>
              <w:rPr>
                <w:sz w:val="18"/>
              </w:rPr>
              <w:t>to</w:t>
            </w:r>
            <w:r>
              <w:rPr>
                <w:spacing w:val="-1"/>
                <w:sz w:val="18"/>
              </w:rPr>
              <w:t> </w:t>
            </w:r>
            <w:r>
              <w:rPr>
                <w:sz w:val="18"/>
              </w:rPr>
              <w:t>maturity securities</w:t>
            </w:r>
            <w:r>
              <w:rPr>
                <w:spacing w:val="-18"/>
                <w:sz w:val="18"/>
              </w:rPr>
              <w:t> </w:t>
            </w:r>
            <w:r>
              <w:rPr>
                <w:spacing w:val="-5"/>
                <w:sz w:val="18"/>
                <w:vertAlign w:val="superscript"/>
              </w:rPr>
              <w:t>(1)</w:t>
            </w:r>
          </w:p>
        </w:tc>
        <w:tc>
          <w:tcPr>
            <w:tcW w:w="881" w:type="dxa"/>
            <w:shd w:val="clear" w:color="auto" w:fill="CCEDFF"/>
          </w:tcPr>
          <w:p>
            <w:pPr>
              <w:pStyle w:val="TableParagraph"/>
              <w:spacing w:before="13"/>
              <w:ind w:right="98"/>
              <w:jc w:val="right"/>
              <w:rPr>
                <w:sz w:val="18"/>
              </w:rPr>
            </w:pPr>
            <w:r>
              <w:rPr>
                <w:spacing w:val="-2"/>
                <w:sz w:val="18"/>
              </w:rPr>
              <w:t>163,904</w:t>
            </w:r>
          </w:p>
        </w:tc>
        <w:tc>
          <w:tcPr>
            <w:tcW w:w="1038" w:type="dxa"/>
            <w:shd w:val="clear" w:color="auto" w:fill="CCEDFF"/>
          </w:tcPr>
          <w:p>
            <w:pPr>
              <w:pStyle w:val="TableParagraph"/>
              <w:spacing w:before="13"/>
              <w:ind w:right="101"/>
              <w:jc w:val="right"/>
              <w:rPr>
                <w:sz w:val="18"/>
              </w:rPr>
            </w:pPr>
            <w:r>
              <w:rPr>
                <w:spacing w:val="-5"/>
                <w:sz w:val="18"/>
              </w:rPr>
              <w:t>706</w:t>
            </w:r>
          </w:p>
        </w:tc>
        <w:tc>
          <w:tcPr>
            <w:tcW w:w="944" w:type="dxa"/>
            <w:shd w:val="clear" w:color="auto" w:fill="CCEDFF"/>
          </w:tcPr>
          <w:p>
            <w:pPr>
              <w:pStyle w:val="TableParagraph"/>
              <w:spacing w:before="13"/>
              <w:ind w:right="70"/>
              <w:jc w:val="right"/>
              <w:rPr>
                <w:sz w:val="18"/>
              </w:rPr>
            </w:pPr>
            <w:r>
              <w:rPr>
                <w:spacing w:val="-2"/>
                <w:sz w:val="18"/>
              </w:rPr>
              <w:t>1.72%</w:t>
            </w:r>
          </w:p>
        </w:tc>
        <w:tc>
          <w:tcPr>
            <w:tcW w:w="74" w:type="dxa"/>
            <w:shd w:val="clear" w:color="auto" w:fill="CCEDFF"/>
          </w:tcPr>
          <w:p>
            <w:pPr>
              <w:pStyle w:val="TableParagraph"/>
              <w:rPr>
                <w:sz w:val="16"/>
              </w:rPr>
            </w:pPr>
          </w:p>
        </w:tc>
        <w:tc>
          <w:tcPr>
            <w:tcW w:w="880" w:type="dxa"/>
            <w:shd w:val="clear" w:color="auto" w:fill="CCEDFF"/>
          </w:tcPr>
          <w:p>
            <w:pPr>
              <w:pStyle w:val="TableParagraph"/>
              <w:spacing w:before="13"/>
              <w:ind w:right="94"/>
              <w:jc w:val="right"/>
              <w:rPr>
                <w:sz w:val="18"/>
              </w:rPr>
            </w:pPr>
            <w:r>
              <w:rPr>
                <w:spacing w:val="-2"/>
                <w:sz w:val="18"/>
              </w:rPr>
              <w:t>97,568</w:t>
            </w:r>
          </w:p>
        </w:tc>
        <w:tc>
          <w:tcPr>
            <w:tcW w:w="1037" w:type="dxa"/>
            <w:shd w:val="clear" w:color="auto" w:fill="CCEDFF"/>
          </w:tcPr>
          <w:p>
            <w:pPr>
              <w:pStyle w:val="TableParagraph"/>
              <w:spacing w:before="13"/>
              <w:ind w:right="96"/>
              <w:jc w:val="right"/>
              <w:rPr>
                <w:sz w:val="18"/>
              </w:rPr>
            </w:pPr>
            <w:r>
              <w:rPr>
                <w:spacing w:val="-5"/>
                <w:sz w:val="18"/>
              </w:rPr>
              <w:t>345</w:t>
            </w:r>
          </w:p>
        </w:tc>
        <w:tc>
          <w:tcPr>
            <w:tcW w:w="943" w:type="dxa"/>
            <w:shd w:val="clear" w:color="auto" w:fill="CCEDFF"/>
          </w:tcPr>
          <w:p>
            <w:pPr>
              <w:pStyle w:val="TableParagraph"/>
              <w:spacing w:before="13"/>
              <w:ind w:left="344"/>
              <w:jc w:val="center"/>
              <w:rPr>
                <w:sz w:val="18"/>
              </w:rPr>
            </w:pPr>
            <w:r>
              <w:rPr>
                <w:spacing w:val="-2"/>
                <w:sz w:val="18"/>
              </w:rPr>
              <w:t>1.41%</w:t>
            </w:r>
          </w:p>
        </w:tc>
      </w:tr>
      <w:tr>
        <w:trPr>
          <w:trHeight w:val="250" w:hRule="atLeast"/>
        </w:trPr>
        <w:tc>
          <w:tcPr>
            <w:tcW w:w="4455" w:type="dxa"/>
            <w:tcBorders>
              <w:bottom w:val="single" w:sz="4" w:space="0" w:color="000000"/>
            </w:tcBorders>
          </w:tcPr>
          <w:p>
            <w:pPr>
              <w:pStyle w:val="TableParagraph"/>
              <w:spacing w:before="13"/>
              <w:ind w:left="52"/>
              <w:rPr>
                <w:sz w:val="18"/>
              </w:rPr>
            </w:pPr>
            <w:r>
              <w:rPr>
                <w:sz w:val="18"/>
              </w:rPr>
              <w:t>Bank </w:t>
            </w:r>
            <w:r>
              <w:rPr>
                <w:spacing w:val="-2"/>
                <w:sz w:val="18"/>
              </w:rPr>
              <w:t>loans</w:t>
            </w:r>
          </w:p>
        </w:tc>
        <w:tc>
          <w:tcPr>
            <w:tcW w:w="881" w:type="dxa"/>
            <w:tcBorders>
              <w:bottom w:val="single" w:sz="4" w:space="0" w:color="000000"/>
            </w:tcBorders>
          </w:tcPr>
          <w:p>
            <w:pPr>
              <w:pStyle w:val="TableParagraph"/>
              <w:spacing w:before="13"/>
              <w:ind w:right="98"/>
              <w:jc w:val="right"/>
              <w:rPr>
                <w:sz w:val="18"/>
              </w:rPr>
            </w:pPr>
            <w:r>
              <w:rPr>
                <w:spacing w:val="-2"/>
                <w:sz w:val="18"/>
              </w:rPr>
              <w:t>40,177</w:t>
            </w:r>
          </w:p>
        </w:tc>
        <w:tc>
          <w:tcPr>
            <w:tcW w:w="1038" w:type="dxa"/>
            <w:tcBorders>
              <w:bottom w:val="single" w:sz="4" w:space="0" w:color="000000"/>
            </w:tcBorders>
          </w:tcPr>
          <w:p>
            <w:pPr>
              <w:pStyle w:val="TableParagraph"/>
              <w:spacing w:before="13"/>
              <w:ind w:right="101"/>
              <w:jc w:val="right"/>
              <w:rPr>
                <w:sz w:val="18"/>
              </w:rPr>
            </w:pPr>
            <w:r>
              <w:rPr>
                <w:spacing w:val="-5"/>
                <w:sz w:val="18"/>
              </w:rPr>
              <w:t>426</w:t>
            </w:r>
          </w:p>
        </w:tc>
        <w:tc>
          <w:tcPr>
            <w:tcW w:w="944" w:type="dxa"/>
            <w:tcBorders>
              <w:bottom w:val="single" w:sz="4" w:space="0" w:color="000000"/>
            </w:tcBorders>
          </w:tcPr>
          <w:p>
            <w:pPr>
              <w:pStyle w:val="TableParagraph"/>
              <w:spacing w:before="13"/>
              <w:ind w:right="70"/>
              <w:jc w:val="right"/>
              <w:rPr>
                <w:sz w:val="18"/>
              </w:rPr>
            </w:pPr>
            <w:r>
              <w:rPr>
                <w:spacing w:val="-2"/>
                <w:sz w:val="18"/>
              </w:rPr>
              <w:t>4.23%</w:t>
            </w:r>
          </w:p>
        </w:tc>
        <w:tc>
          <w:tcPr>
            <w:tcW w:w="74" w:type="dxa"/>
            <w:tcBorders>
              <w:bottom w:val="single" w:sz="4" w:space="0" w:color="000000"/>
            </w:tcBorders>
          </w:tcPr>
          <w:p>
            <w:pPr>
              <w:pStyle w:val="TableParagraph"/>
              <w:rPr>
                <w:sz w:val="16"/>
              </w:rPr>
            </w:pPr>
          </w:p>
        </w:tc>
        <w:tc>
          <w:tcPr>
            <w:tcW w:w="880" w:type="dxa"/>
            <w:tcBorders>
              <w:bottom w:val="single" w:sz="4" w:space="0" w:color="000000"/>
            </w:tcBorders>
          </w:tcPr>
          <w:p>
            <w:pPr>
              <w:pStyle w:val="TableParagraph"/>
              <w:spacing w:before="13"/>
              <w:ind w:right="94"/>
              <w:jc w:val="right"/>
              <w:rPr>
                <w:sz w:val="18"/>
              </w:rPr>
            </w:pPr>
            <w:r>
              <w:rPr>
                <w:spacing w:val="-2"/>
                <w:sz w:val="18"/>
              </w:rPr>
              <w:t>39,984</w:t>
            </w:r>
          </w:p>
        </w:tc>
        <w:tc>
          <w:tcPr>
            <w:tcW w:w="1037" w:type="dxa"/>
            <w:tcBorders>
              <w:bottom w:val="single" w:sz="4" w:space="0" w:color="000000"/>
            </w:tcBorders>
          </w:tcPr>
          <w:p>
            <w:pPr>
              <w:pStyle w:val="TableParagraph"/>
              <w:spacing w:before="13"/>
              <w:ind w:right="96"/>
              <w:jc w:val="right"/>
              <w:rPr>
                <w:sz w:val="18"/>
              </w:rPr>
            </w:pPr>
            <w:r>
              <w:rPr>
                <w:spacing w:val="-5"/>
                <w:sz w:val="18"/>
              </w:rPr>
              <w:t>300</w:t>
            </w:r>
          </w:p>
        </w:tc>
        <w:tc>
          <w:tcPr>
            <w:tcW w:w="943" w:type="dxa"/>
            <w:tcBorders>
              <w:bottom w:val="single" w:sz="4" w:space="0" w:color="000000"/>
            </w:tcBorders>
          </w:tcPr>
          <w:p>
            <w:pPr>
              <w:pStyle w:val="TableParagraph"/>
              <w:spacing w:before="13"/>
              <w:ind w:left="344"/>
              <w:jc w:val="center"/>
              <w:rPr>
                <w:sz w:val="18"/>
              </w:rPr>
            </w:pPr>
            <w:r>
              <w:rPr>
                <w:spacing w:val="-2"/>
                <w:sz w:val="18"/>
              </w:rPr>
              <w:t>2.99%</w:t>
            </w:r>
          </w:p>
        </w:tc>
      </w:tr>
      <w:tr>
        <w:trPr>
          <w:trHeight w:val="245" w:hRule="atLeast"/>
        </w:trPr>
        <w:tc>
          <w:tcPr>
            <w:tcW w:w="4455" w:type="dxa"/>
            <w:tcBorders>
              <w:top w:val="single" w:sz="4" w:space="0" w:color="000000"/>
              <w:bottom w:val="single" w:sz="4" w:space="0" w:color="000000"/>
            </w:tcBorders>
            <w:shd w:val="clear" w:color="auto" w:fill="CCEDFF"/>
          </w:tcPr>
          <w:p>
            <w:pPr>
              <w:pStyle w:val="TableParagraph"/>
              <w:spacing w:before="8"/>
              <w:ind w:left="187"/>
              <w:rPr>
                <w:sz w:val="18"/>
              </w:rPr>
            </w:pPr>
            <w:r>
              <w:rPr>
                <w:sz w:val="18"/>
              </w:rPr>
              <w:t>Total</w:t>
            </w:r>
            <w:r>
              <w:rPr>
                <w:spacing w:val="-1"/>
                <w:sz w:val="18"/>
              </w:rPr>
              <w:t> </w:t>
            </w:r>
            <w:r>
              <w:rPr>
                <w:sz w:val="18"/>
              </w:rPr>
              <w:t>interest-earning </w:t>
            </w:r>
            <w:r>
              <w:rPr>
                <w:spacing w:val="-2"/>
                <w:sz w:val="18"/>
              </w:rPr>
              <w:t>assets</w:t>
            </w:r>
          </w:p>
        </w:tc>
        <w:tc>
          <w:tcPr>
            <w:tcW w:w="881" w:type="dxa"/>
            <w:tcBorders>
              <w:top w:val="single" w:sz="4" w:space="0" w:color="000000"/>
              <w:bottom w:val="single" w:sz="4" w:space="0" w:color="000000"/>
            </w:tcBorders>
            <w:shd w:val="clear" w:color="auto" w:fill="CCEDFF"/>
          </w:tcPr>
          <w:p>
            <w:pPr>
              <w:pStyle w:val="TableParagraph"/>
              <w:spacing w:before="8"/>
              <w:ind w:right="98"/>
              <w:jc w:val="right"/>
              <w:rPr>
                <w:sz w:val="18"/>
              </w:rPr>
            </w:pPr>
            <w:r>
              <w:rPr>
                <w:spacing w:val="-2"/>
                <w:sz w:val="18"/>
              </w:rPr>
              <w:t>453,764</w:t>
            </w:r>
          </w:p>
        </w:tc>
        <w:tc>
          <w:tcPr>
            <w:tcW w:w="1038" w:type="dxa"/>
            <w:tcBorders>
              <w:top w:val="single" w:sz="4" w:space="0" w:color="000000"/>
              <w:bottom w:val="single" w:sz="4" w:space="0" w:color="000000"/>
            </w:tcBorders>
            <w:shd w:val="clear" w:color="auto" w:fill="CCEDFF"/>
          </w:tcPr>
          <w:p>
            <w:pPr>
              <w:pStyle w:val="TableParagraph"/>
              <w:spacing w:before="8"/>
              <w:ind w:right="101"/>
              <w:jc w:val="right"/>
              <w:rPr>
                <w:sz w:val="18"/>
              </w:rPr>
            </w:pPr>
            <w:r>
              <w:rPr>
                <w:spacing w:val="-2"/>
                <w:sz w:val="18"/>
              </w:rPr>
              <w:t>3,882</w:t>
            </w:r>
          </w:p>
        </w:tc>
        <w:tc>
          <w:tcPr>
            <w:tcW w:w="944" w:type="dxa"/>
            <w:tcBorders>
              <w:top w:val="single" w:sz="4" w:space="0" w:color="000000"/>
              <w:bottom w:val="single" w:sz="4" w:space="0" w:color="000000"/>
            </w:tcBorders>
            <w:shd w:val="clear" w:color="auto" w:fill="CCEDFF"/>
          </w:tcPr>
          <w:p>
            <w:pPr>
              <w:pStyle w:val="TableParagraph"/>
              <w:spacing w:before="8"/>
              <w:ind w:right="70"/>
              <w:jc w:val="right"/>
              <w:rPr>
                <w:sz w:val="18"/>
              </w:rPr>
            </w:pPr>
            <w:r>
              <w:rPr>
                <w:spacing w:val="-2"/>
                <w:sz w:val="18"/>
              </w:rPr>
              <w:t>3.37%</w:t>
            </w:r>
          </w:p>
        </w:tc>
        <w:tc>
          <w:tcPr>
            <w:tcW w:w="74" w:type="dxa"/>
            <w:tcBorders>
              <w:top w:val="single" w:sz="4" w:space="0" w:color="000000"/>
              <w:bottom w:val="single" w:sz="4" w:space="0" w:color="000000"/>
            </w:tcBorders>
            <w:shd w:val="clear" w:color="auto" w:fill="CCEDFF"/>
          </w:tcPr>
          <w:p>
            <w:pPr>
              <w:pStyle w:val="TableParagraph"/>
              <w:rPr>
                <w:sz w:val="16"/>
              </w:rPr>
            </w:pPr>
          </w:p>
        </w:tc>
        <w:tc>
          <w:tcPr>
            <w:tcW w:w="880" w:type="dxa"/>
            <w:tcBorders>
              <w:top w:val="single" w:sz="4" w:space="0" w:color="000000"/>
              <w:bottom w:val="single" w:sz="4" w:space="0" w:color="000000"/>
            </w:tcBorders>
            <w:shd w:val="clear" w:color="auto" w:fill="CCEDFF"/>
          </w:tcPr>
          <w:p>
            <w:pPr>
              <w:pStyle w:val="TableParagraph"/>
              <w:spacing w:before="8"/>
              <w:ind w:right="94"/>
              <w:jc w:val="right"/>
              <w:rPr>
                <w:sz w:val="18"/>
              </w:rPr>
            </w:pPr>
            <w:r>
              <w:rPr>
                <w:spacing w:val="-2"/>
                <w:sz w:val="18"/>
              </w:rPr>
              <w:t>586,952</w:t>
            </w:r>
          </w:p>
        </w:tc>
        <w:tc>
          <w:tcPr>
            <w:tcW w:w="1037" w:type="dxa"/>
            <w:tcBorders>
              <w:top w:val="single" w:sz="4" w:space="0" w:color="000000"/>
              <w:bottom w:val="single" w:sz="4" w:space="0" w:color="000000"/>
            </w:tcBorders>
            <w:shd w:val="clear" w:color="auto" w:fill="CCEDFF"/>
          </w:tcPr>
          <w:p>
            <w:pPr>
              <w:pStyle w:val="TableParagraph"/>
              <w:spacing w:before="8"/>
              <w:ind w:right="96"/>
              <w:jc w:val="right"/>
              <w:rPr>
                <w:sz w:val="18"/>
              </w:rPr>
            </w:pPr>
            <w:r>
              <w:rPr>
                <w:spacing w:val="-2"/>
                <w:sz w:val="18"/>
              </w:rPr>
              <w:t>3,226</w:t>
            </w:r>
          </w:p>
        </w:tc>
        <w:tc>
          <w:tcPr>
            <w:tcW w:w="943" w:type="dxa"/>
            <w:tcBorders>
              <w:top w:val="single" w:sz="4" w:space="0" w:color="000000"/>
              <w:bottom w:val="single" w:sz="4" w:space="0" w:color="000000"/>
            </w:tcBorders>
            <w:shd w:val="clear" w:color="auto" w:fill="CCEDFF"/>
          </w:tcPr>
          <w:p>
            <w:pPr>
              <w:pStyle w:val="TableParagraph"/>
              <w:spacing w:before="8"/>
              <w:ind w:left="344"/>
              <w:jc w:val="center"/>
              <w:rPr>
                <w:sz w:val="18"/>
              </w:rPr>
            </w:pPr>
            <w:r>
              <w:rPr>
                <w:spacing w:val="-2"/>
                <w:sz w:val="18"/>
              </w:rPr>
              <w:t>2.17%</w:t>
            </w:r>
          </w:p>
        </w:tc>
      </w:tr>
      <w:tr>
        <w:trPr>
          <w:trHeight w:val="250" w:hRule="atLeast"/>
        </w:trPr>
        <w:tc>
          <w:tcPr>
            <w:tcW w:w="4455" w:type="dxa"/>
            <w:tcBorders>
              <w:top w:val="single" w:sz="4" w:space="0" w:color="000000"/>
            </w:tcBorders>
          </w:tcPr>
          <w:p>
            <w:pPr>
              <w:pStyle w:val="TableParagraph"/>
              <w:spacing w:before="8"/>
              <w:ind w:left="52"/>
              <w:rPr>
                <w:sz w:val="18"/>
              </w:rPr>
            </w:pPr>
            <w:r>
              <w:rPr>
                <w:sz w:val="18"/>
              </w:rPr>
              <w:t>Securities</w:t>
            </w:r>
            <w:r>
              <w:rPr>
                <w:spacing w:val="-2"/>
                <w:sz w:val="18"/>
              </w:rPr>
              <w:t> </w:t>
            </w:r>
            <w:r>
              <w:rPr>
                <w:sz w:val="18"/>
              </w:rPr>
              <w:t>lending </w:t>
            </w:r>
            <w:r>
              <w:rPr>
                <w:spacing w:val="-2"/>
                <w:sz w:val="18"/>
              </w:rPr>
              <w:t>revenue</w:t>
            </w:r>
          </w:p>
        </w:tc>
        <w:tc>
          <w:tcPr>
            <w:tcW w:w="881" w:type="dxa"/>
            <w:tcBorders>
              <w:top w:val="single" w:sz="4" w:space="0" w:color="000000"/>
            </w:tcBorders>
          </w:tcPr>
          <w:p>
            <w:pPr>
              <w:pStyle w:val="TableParagraph"/>
              <w:rPr>
                <w:sz w:val="16"/>
              </w:rPr>
            </w:pPr>
          </w:p>
        </w:tc>
        <w:tc>
          <w:tcPr>
            <w:tcW w:w="1038" w:type="dxa"/>
            <w:tcBorders>
              <w:top w:val="single" w:sz="4" w:space="0" w:color="000000"/>
            </w:tcBorders>
          </w:tcPr>
          <w:p>
            <w:pPr>
              <w:pStyle w:val="TableParagraph"/>
              <w:spacing w:before="8"/>
              <w:ind w:right="101"/>
              <w:jc w:val="right"/>
              <w:rPr>
                <w:sz w:val="18"/>
              </w:rPr>
            </w:pPr>
            <w:r>
              <w:rPr>
                <w:spacing w:val="-5"/>
                <w:sz w:val="18"/>
              </w:rPr>
              <w:t>105</w:t>
            </w:r>
          </w:p>
        </w:tc>
        <w:tc>
          <w:tcPr>
            <w:tcW w:w="944" w:type="dxa"/>
            <w:tcBorders>
              <w:top w:val="single" w:sz="4" w:space="0" w:color="000000"/>
            </w:tcBorders>
          </w:tcPr>
          <w:p>
            <w:pPr>
              <w:pStyle w:val="TableParagraph"/>
              <w:rPr>
                <w:sz w:val="16"/>
              </w:rPr>
            </w:pPr>
          </w:p>
        </w:tc>
        <w:tc>
          <w:tcPr>
            <w:tcW w:w="74" w:type="dxa"/>
            <w:tcBorders>
              <w:top w:val="single" w:sz="4" w:space="0" w:color="000000"/>
            </w:tcBorders>
          </w:tcPr>
          <w:p>
            <w:pPr>
              <w:pStyle w:val="TableParagraph"/>
              <w:rPr>
                <w:sz w:val="16"/>
              </w:rPr>
            </w:pPr>
          </w:p>
        </w:tc>
        <w:tc>
          <w:tcPr>
            <w:tcW w:w="880" w:type="dxa"/>
            <w:tcBorders>
              <w:top w:val="single" w:sz="4" w:space="0" w:color="000000"/>
            </w:tcBorders>
          </w:tcPr>
          <w:p>
            <w:pPr>
              <w:pStyle w:val="TableParagraph"/>
              <w:rPr>
                <w:sz w:val="16"/>
              </w:rPr>
            </w:pPr>
          </w:p>
        </w:tc>
        <w:tc>
          <w:tcPr>
            <w:tcW w:w="1037" w:type="dxa"/>
            <w:tcBorders>
              <w:top w:val="single" w:sz="4" w:space="0" w:color="000000"/>
            </w:tcBorders>
          </w:tcPr>
          <w:p>
            <w:pPr>
              <w:pStyle w:val="TableParagraph"/>
              <w:spacing w:before="8"/>
              <w:ind w:right="96"/>
              <w:jc w:val="right"/>
              <w:rPr>
                <w:sz w:val="18"/>
              </w:rPr>
            </w:pPr>
            <w:r>
              <w:rPr>
                <w:spacing w:val="-5"/>
                <w:sz w:val="18"/>
              </w:rPr>
              <w:t>124</w:t>
            </w:r>
          </w:p>
        </w:tc>
        <w:tc>
          <w:tcPr>
            <w:tcW w:w="943" w:type="dxa"/>
            <w:tcBorders>
              <w:top w:val="single" w:sz="4" w:space="0" w:color="000000"/>
            </w:tcBorders>
          </w:tcPr>
          <w:p>
            <w:pPr>
              <w:pStyle w:val="TableParagraph"/>
              <w:rPr>
                <w:sz w:val="16"/>
              </w:rPr>
            </w:pPr>
          </w:p>
        </w:tc>
      </w:tr>
      <w:tr>
        <w:trPr>
          <w:trHeight w:val="250" w:hRule="atLeast"/>
        </w:trPr>
        <w:tc>
          <w:tcPr>
            <w:tcW w:w="4455" w:type="dxa"/>
            <w:tcBorders>
              <w:bottom w:val="single" w:sz="4" w:space="0" w:color="000000"/>
            </w:tcBorders>
            <w:shd w:val="clear" w:color="auto" w:fill="CCEDFF"/>
          </w:tcPr>
          <w:p>
            <w:pPr>
              <w:pStyle w:val="TableParagraph"/>
              <w:spacing w:before="13"/>
              <w:ind w:left="52"/>
              <w:rPr>
                <w:sz w:val="18"/>
              </w:rPr>
            </w:pPr>
            <w:r>
              <w:rPr>
                <w:sz w:val="18"/>
              </w:rPr>
              <w:t>Other</w:t>
            </w:r>
            <w:r>
              <w:rPr>
                <w:spacing w:val="-1"/>
                <w:sz w:val="18"/>
              </w:rPr>
              <w:t> </w:t>
            </w:r>
            <w:r>
              <w:rPr>
                <w:sz w:val="18"/>
              </w:rPr>
              <w:t>interest</w:t>
            </w:r>
            <w:r>
              <w:rPr>
                <w:spacing w:val="-1"/>
                <w:sz w:val="18"/>
              </w:rPr>
              <w:t> </w:t>
            </w:r>
            <w:r>
              <w:rPr>
                <w:spacing w:val="-2"/>
                <w:sz w:val="18"/>
              </w:rPr>
              <w:t>revenue</w:t>
            </w:r>
          </w:p>
        </w:tc>
        <w:tc>
          <w:tcPr>
            <w:tcW w:w="881" w:type="dxa"/>
            <w:tcBorders>
              <w:bottom w:val="single" w:sz="4" w:space="0" w:color="000000"/>
            </w:tcBorders>
            <w:shd w:val="clear" w:color="auto" w:fill="CCEDFF"/>
          </w:tcPr>
          <w:p>
            <w:pPr>
              <w:pStyle w:val="TableParagraph"/>
              <w:rPr>
                <w:sz w:val="16"/>
              </w:rPr>
            </w:pPr>
          </w:p>
        </w:tc>
        <w:tc>
          <w:tcPr>
            <w:tcW w:w="1038" w:type="dxa"/>
            <w:tcBorders>
              <w:bottom w:val="single" w:sz="4" w:space="0" w:color="000000"/>
            </w:tcBorders>
            <w:shd w:val="clear" w:color="auto" w:fill="CCEDFF"/>
          </w:tcPr>
          <w:p>
            <w:pPr>
              <w:pStyle w:val="TableParagraph"/>
              <w:spacing w:before="13"/>
              <w:ind w:right="101"/>
              <w:jc w:val="right"/>
              <w:rPr>
                <w:sz w:val="18"/>
              </w:rPr>
            </w:pPr>
            <w:r>
              <w:rPr>
                <w:spacing w:val="-5"/>
                <w:sz w:val="18"/>
              </w:rPr>
              <w:t>41</w:t>
            </w:r>
          </w:p>
        </w:tc>
        <w:tc>
          <w:tcPr>
            <w:tcW w:w="944" w:type="dxa"/>
            <w:tcBorders>
              <w:bottom w:val="single" w:sz="4" w:space="0" w:color="000000"/>
            </w:tcBorders>
            <w:shd w:val="clear" w:color="auto" w:fill="CCEDFF"/>
          </w:tcPr>
          <w:p>
            <w:pPr>
              <w:pStyle w:val="TableParagraph"/>
              <w:rPr>
                <w:sz w:val="16"/>
              </w:rPr>
            </w:pPr>
          </w:p>
        </w:tc>
        <w:tc>
          <w:tcPr>
            <w:tcW w:w="74" w:type="dxa"/>
            <w:tcBorders>
              <w:bottom w:val="single" w:sz="4" w:space="0" w:color="000000"/>
            </w:tcBorders>
            <w:shd w:val="clear" w:color="auto" w:fill="CCEDFF"/>
          </w:tcPr>
          <w:p>
            <w:pPr>
              <w:pStyle w:val="TableParagraph"/>
              <w:rPr>
                <w:sz w:val="16"/>
              </w:rPr>
            </w:pPr>
          </w:p>
        </w:tc>
        <w:tc>
          <w:tcPr>
            <w:tcW w:w="880" w:type="dxa"/>
            <w:tcBorders>
              <w:bottom w:val="single" w:sz="4" w:space="0" w:color="000000"/>
            </w:tcBorders>
            <w:shd w:val="clear" w:color="auto" w:fill="CCEDFF"/>
          </w:tcPr>
          <w:p>
            <w:pPr>
              <w:pStyle w:val="TableParagraph"/>
              <w:rPr>
                <w:sz w:val="16"/>
              </w:rPr>
            </w:pPr>
          </w:p>
        </w:tc>
        <w:tc>
          <w:tcPr>
            <w:tcW w:w="1037" w:type="dxa"/>
            <w:tcBorders>
              <w:bottom w:val="single" w:sz="4" w:space="0" w:color="000000"/>
            </w:tcBorders>
            <w:shd w:val="clear" w:color="auto" w:fill="CCEDFF"/>
          </w:tcPr>
          <w:p>
            <w:pPr>
              <w:pStyle w:val="TableParagraph"/>
              <w:spacing w:before="13"/>
              <w:ind w:right="96"/>
              <w:jc w:val="right"/>
              <w:rPr>
                <w:sz w:val="18"/>
              </w:rPr>
            </w:pPr>
            <w:r>
              <w:rPr>
                <w:spacing w:val="-10"/>
                <w:sz w:val="18"/>
              </w:rPr>
              <w:t>7</w:t>
            </w:r>
          </w:p>
        </w:tc>
        <w:tc>
          <w:tcPr>
            <w:tcW w:w="943" w:type="dxa"/>
            <w:tcBorders>
              <w:bottom w:val="single" w:sz="4" w:space="0" w:color="000000"/>
            </w:tcBorders>
            <w:shd w:val="clear" w:color="auto" w:fill="CCEDFF"/>
          </w:tcPr>
          <w:p>
            <w:pPr>
              <w:pStyle w:val="TableParagraph"/>
              <w:rPr>
                <w:sz w:val="16"/>
              </w:rPr>
            </w:pPr>
          </w:p>
        </w:tc>
      </w:tr>
      <w:tr>
        <w:trPr>
          <w:trHeight w:val="220" w:hRule="atLeast"/>
        </w:trPr>
        <w:tc>
          <w:tcPr>
            <w:tcW w:w="4455" w:type="dxa"/>
            <w:tcBorders>
              <w:top w:val="single" w:sz="4" w:space="0" w:color="000000"/>
              <w:bottom w:val="double" w:sz="8" w:space="0" w:color="000000"/>
            </w:tcBorders>
          </w:tcPr>
          <w:p>
            <w:pPr>
              <w:pStyle w:val="TableParagraph"/>
              <w:spacing w:line="191" w:lineRule="exact" w:before="8"/>
              <w:ind w:left="172"/>
              <w:rPr>
                <w:sz w:val="18"/>
              </w:rPr>
            </w:pPr>
            <w:r>
              <w:rPr>
                <w:sz w:val="18"/>
              </w:rPr>
              <w:t>Total</w:t>
            </w:r>
            <w:r>
              <w:rPr>
                <w:spacing w:val="-1"/>
                <w:sz w:val="18"/>
              </w:rPr>
              <w:t> </w:t>
            </w:r>
            <w:r>
              <w:rPr>
                <w:sz w:val="18"/>
              </w:rPr>
              <w:t>interest-earning </w:t>
            </w:r>
            <w:r>
              <w:rPr>
                <w:spacing w:val="-2"/>
                <w:sz w:val="18"/>
              </w:rPr>
              <w:t>assets</w:t>
            </w:r>
          </w:p>
        </w:tc>
        <w:tc>
          <w:tcPr>
            <w:tcW w:w="881" w:type="dxa"/>
            <w:tcBorders>
              <w:top w:val="single" w:sz="4" w:space="0" w:color="000000"/>
              <w:bottom w:val="double" w:sz="8" w:space="0" w:color="000000"/>
            </w:tcBorders>
          </w:tcPr>
          <w:p>
            <w:pPr>
              <w:pStyle w:val="TableParagraph"/>
              <w:spacing w:line="191" w:lineRule="exact" w:before="8"/>
              <w:ind w:right="98"/>
              <w:jc w:val="right"/>
              <w:rPr>
                <w:sz w:val="18"/>
              </w:rPr>
            </w:pPr>
            <w:r>
              <w:rPr>
                <w:sz w:val="18"/>
              </w:rPr>
              <w:t>$</w:t>
            </w:r>
            <w:r>
              <w:rPr>
                <w:spacing w:val="5"/>
                <w:sz w:val="18"/>
              </w:rPr>
              <w:t> </w:t>
            </w:r>
            <w:r>
              <w:rPr>
                <w:spacing w:val="-2"/>
                <w:sz w:val="18"/>
              </w:rPr>
              <w:t>453,764</w:t>
            </w:r>
          </w:p>
        </w:tc>
        <w:tc>
          <w:tcPr>
            <w:tcW w:w="1038" w:type="dxa"/>
            <w:tcBorders>
              <w:top w:val="single" w:sz="4" w:space="0" w:color="000000"/>
              <w:bottom w:val="double" w:sz="8" w:space="0" w:color="000000"/>
            </w:tcBorders>
          </w:tcPr>
          <w:p>
            <w:pPr>
              <w:pStyle w:val="TableParagraph"/>
              <w:tabs>
                <w:tab w:pos="427" w:val="left" w:leader="none"/>
              </w:tabs>
              <w:spacing w:line="191" w:lineRule="exact" w:before="8"/>
              <w:ind w:right="101"/>
              <w:jc w:val="right"/>
              <w:rPr>
                <w:sz w:val="18"/>
              </w:rPr>
            </w:pPr>
            <w:r>
              <w:rPr>
                <w:spacing w:val="-10"/>
                <w:sz w:val="18"/>
              </w:rPr>
              <w:t>$</w:t>
            </w:r>
            <w:r>
              <w:rPr>
                <w:sz w:val="18"/>
              </w:rPr>
              <w:tab/>
            </w:r>
            <w:r>
              <w:rPr>
                <w:spacing w:val="-2"/>
                <w:sz w:val="18"/>
              </w:rPr>
              <w:t>4,028</w:t>
            </w:r>
          </w:p>
        </w:tc>
        <w:tc>
          <w:tcPr>
            <w:tcW w:w="944" w:type="dxa"/>
            <w:tcBorders>
              <w:top w:val="single" w:sz="4" w:space="0" w:color="000000"/>
              <w:bottom w:val="double" w:sz="8" w:space="0" w:color="000000"/>
            </w:tcBorders>
          </w:tcPr>
          <w:p>
            <w:pPr>
              <w:pStyle w:val="TableParagraph"/>
              <w:spacing w:line="191" w:lineRule="exact" w:before="8"/>
              <w:ind w:right="70"/>
              <w:jc w:val="right"/>
              <w:rPr>
                <w:sz w:val="18"/>
              </w:rPr>
            </w:pPr>
            <w:r>
              <w:rPr>
                <w:spacing w:val="-2"/>
                <w:sz w:val="18"/>
              </w:rPr>
              <w:t>3.50%</w:t>
            </w:r>
          </w:p>
        </w:tc>
        <w:tc>
          <w:tcPr>
            <w:tcW w:w="74" w:type="dxa"/>
            <w:tcBorders>
              <w:top w:val="single" w:sz="4" w:space="0" w:color="000000"/>
              <w:bottom w:val="double" w:sz="8" w:space="0" w:color="000000"/>
            </w:tcBorders>
          </w:tcPr>
          <w:p>
            <w:pPr>
              <w:pStyle w:val="TableParagraph"/>
              <w:rPr>
                <w:sz w:val="14"/>
              </w:rPr>
            </w:pPr>
          </w:p>
        </w:tc>
        <w:tc>
          <w:tcPr>
            <w:tcW w:w="880" w:type="dxa"/>
            <w:tcBorders>
              <w:top w:val="single" w:sz="4" w:space="0" w:color="000000"/>
              <w:bottom w:val="double" w:sz="8" w:space="0" w:color="000000"/>
            </w:tcBorders>
          </w:tcPr>
          <w:p>
            <w:pPr>
              <w:pStyle w:val="TableParagraph"/>
              <w:spacing w:line="191" w:lineRule="exact" w:before="8"/>
              <w:ind w:right="94"/>
              <w:jc w:val="right"/>
              <w:rPr>
                <w:sz w:val="18"/>
              </w:rPr>
            </w:pPr>
            <w:r>
              <w:rPr>
                <w:sz w:val="18"/>
              </w:rPr>
              <w:t>$</w:t>
            </w:r>
            <w:r>
              <w:rPr>
                <w:spacing w:val="5"/>
                <w:sz w:val="18"/>
              </w:rPr>
              <w:t> </w:t>
            </w:r>
            <w:r>
              <w:rPr>
                <w:spacing w:val="-2"/>
                <w:sz w:val="18"/>
              </w:rPr>
              <w:t>586,952</w:t>
            </w:r>
          </w:p>
        </w:tc>
        <w:tc>
          <w:tcPr>
            <w:tcW w:w="1037" w:type="dxa"/>
            <w:tcBorders>
              <w:top w:val="single" w:sz="4" w:space="0" w:color="000000"/>
              <w:bottom w:val="double" w:sz="8" w:space="0" w:color="000000"/>
            </w:tcBorders>
          </w:tcPr>
          <w:p>
            <w:pPr>
              <w:pStyle w:val="TableParagraph"/>
              <w:tabs>
                <w:tab w:pos="427" w:val="left" w:leader="none"/>
              </w:tabs>
              <w:spacing w:line="191" w:lineRule="exact" w:before="8"/>
              <w:ind w:right="96"/>
              <w:jc w:val="right"/>
              <w:rPr>
                <w:sz w:val="18"/>
              </w:rPr>
            </w:pPr>
            <w:r>
              <w:rPr>
                <w:spacing w:val="-10"/>
                <w:sz w:val="18"/>
              </w:rPr>
              <w:t>$</w:t>
            </w:r>
            <w:r>
              <w:rPr>
                <w:sz w:val="18"/>
              </w:rPr>
              <w:tab/>
            </w:r>
            <w:r>
              <w:rPr>
                <w:spacing w:val="-2"/>
                <w:sz w:val="18"/>
              </w:rPr>
              <w:t>3,357</w:t>
            </w:r>
          </w:p>
        </w:tc>
        <w:tc>
          <w:tcPr>
            <w:tcW w:w="943" w:type="dxa"/>
            <w:tcBorders>
              <w:top w:val="single" w:sz="4" w:space="0" w:color="000000"/>
              <w:bottom w:val="double" w:sz="8" w:space="0" w:color="000000"/>
            </w:tcBorders>
          </w:tcPr>
          <w:p>
            <w:pPr>
              <w:pStyle w:val="TableParagraph"/>
              <w:spacing w:line="191" w:lineRule="exact" w:before="8"/>
              <w:ind w:left="344"/>
              <w:jc w:val="center"/>
              <w:rPr>
                <w:sz w:val="18"/>
              </w:rPr>
            </w:pPr>
            <w:r>
              <w:rPr>
                <w:spacing w:val="-2"/>
                <w:sz w:val="18"/>
              </w:rPr>
              <w:t>2.26%</w:t>
            </w:r>
          </w:p>
        </w:tc>
      </w:tr>
      <w:tr>
        <w:trPr>
          <w:trHeight w:val="225" w:hRule="atLeast"/>
        </w:trPr>
        <w:tc>
          <w:tcPr>
            <w:tcW w:w="4455" w:type="dxa"/>
            <w:tcBorders>
              <w:top w:val="double" w:sz="8" w:space="0" w:color="000000"/>
            </w:tcBorders>
            <w:shd w:val="clear" w:color="auto" w:fill="CCEDFF"/>
          </w:tcPr>
          <w:p>
            <w:pPr>
              <w:pStyle w:val="TableParagraph"/>
              <w:spacing w:line="189" w:lineRule="exact"/>
              <w:ind w:left="52"/>
              <w:rPr>
                <w:b/>
                <w:sz w:val="18"/>
              </w:rPr>
            </w:pPr>
            <w:r>
              <w:rPr>
                <w:b/>
                <w:sz w:val="18"/>
              </w:rPr>
              <w:t>Funding</w:t>
            </w:r>
            <w:r>
              <w:rPr>
                <w:b/>
                <w:spacing w:val="-4"/>
                <w:sz w:val="18"/>
              </w:rPr>
              <w:t> </w:t>
            </w:r>
            <w:r>
              <w:rPr>
                <w:b/>
                <w:spacing w:val="-2"/>
                <w:sz w:val="18"/>
              </w:rPr>
              <w:t>sources</w:t>
            </w:r>
          </w:p>
        </w:tc>
        <w:tc>
          <w:tcPr>
            <w:tcW w:w="881" w:type="dxa"/>
            <w:tcBorders>
              <w:top w:val="double" w:sz="8" w:space="0" w:color="000000"/>
            </w:tcBorders>
            <w:shd w:val="clear" w:color="auto" w:fill="CCEDFF"/>
          </w:tcPr>
          <w:p>
            <w:pPr>
              <w:pStyle w:val="TableParagraph"/>
              <w:rPr>
                <w:sz w:val="16"/>
              </w:rPr>
            </w:pPr>
          </w:p>
        </w:tc>
        <w:tc>
          <w:tcPr>
            <w:tcW w:w="1038" w:type="dxa"/>
            <w:tcBorders>
              <w:top w:val="double" w:sz="8" w:space="0" w:color="000000"/>
            </w:tcBorders>
            <w:shd w:val="clear" w:color="auto" w:fill="CCEDFF"/>
          </w:tcPr>
          <w:p>
            <w:pPr>
              <w:pStyle w:val="TableParagraph"/>
              <w:rPr>
                <w:sz w:val="16"/>
              </w:rPr>
            </w:pPr>
          </w:p>
        </w:tc>
        <w:tc>
          <w:tcPr>
            <w:tcW w:w="944" w:type="dxa"/>
            <w:tcBorders>
              <w:top w:val="double" w:sz="8" w:space="0" w:color="000000"/>
            </w:tcBorders>
            <w:shd w:val="clear" w:color="auto" w:fill="CCEDFF"/>
          </w:tcPr>
          <w:p>
            <w:pPr>
              <w:pStyle w:val="TableParagraph"/>
              <w:rPr>
                <w:sz w:val="16"/>
              </w:rPr>
            </w:pPr>
          </w:p>
        </w:tc>
        <w:tc>
          <w:tcPr>
            <w:tcW w:w="74" w:type="dxa"/>
            <w:tcBorders>
              <w:top w:val="double" w:sz="8" w:space="0" w:color="000000"/>
            </w:tcBorders>
            <w:shd w:val="clear" w:color="auto" w:fill="CCEDFF"/>
          </w:tcPr>
          <w:p>
            <w:pPr>
              <w:pStyle w:val="TableParagraph"/>
              <w:rPr>
                <w:sz w:val="16"/>
              </w:rPr>
            </w:pPr>
          </w:p>
        </w:tc>
        <w:tc>
          <w:tcPr>
            <w:tcW w:w="880" w:type="dxa"/>
            <w:tcBorders>
              <w:top w:val="double" w:sz="8" w:space="0" w:color="000000"/>
            </w:tcBorders>
            <w:shd w:val="clear" w:color="auto" w:fill="CCEDFF"/>
          </w:tcPr>
          <w:p>
            <w:pPr>
              <w:pStyle w:val="TableParagraph"/>
              <w:rPr>
                <w:sz w:val="16"/>
              </w:rPr>
            </w:pPr>
          </w:p>
        </w:tc>
        <w:tc>
          <w:tcPr>
            <w:tcW w:w="1037" w:type="dxa"/>
            <w:tcBorders>
              <w:top w:val="double" w:sz="8" w:space="0" w:color="000000"/>
            </w:tcBorders>
            <w:shd w:val="clear" w:color="auto" w:fill="CCEDFF"/>
          </w:tcPr>
          <w:p>
            <w:pPr>
              <w:pStyle w:val="TableParagraph"/>
              <w:rPr>
                <w:sz w:val="16"/>
              </w:rPr>
            </w:pPr>
          </w:p>
        </w:tc>
        <w:tc>
          <w:tcPr>
            <w:tcW w:w="943" w:type="dxa"/>
            <w:tcBorders>
              <w:top w:val="double" w:sz="8" w:space="0" w:color="000000"/>
            </w:tcBorders>
            <w:shd w:val="clear" w:color="auto" w:fill="CCEDFF"/>
          </w:tcPr>
          <w:p>
            <w:pPr>
              <w:pStyle w:val="TableParagraph"/>
              <w:rPr>
                <w:sz w:val="16"/>
              </w:rPr>
            </w:pPr>
          </w:p>
        </w:tc>
      </w:tr>
      <w:tr>
        <w:trPr>
          <w:trHeight w:val="255" w:hRule="atLeast"/>
        </w:trPr>
        <w:tc>
          <w:tcPr>
            <w:tcW w:w="4455" w:type="dxa"/>
          </w:tcPr>
          <w:p>
            <w:pPr>
              <w:pStyle w:val="TableParagraph"/>
              <w:spacing w:before="13"/>
              <w:ind w:left="52"/>
              <w:rPr>
                <w:sz w:val="18"/>
              </w:rPr>
            </w:pPr>
            <w:r>
              <w:rPr>
                <w:sz w:val="18"/>
              </w:rPr>
              <w:t>Bank </w:t>
            </w:r>
            <w:r>
              <w:rPr>
                <w:spacing w:val="-2"/>
                <w:sz w:val="18"/>
              </w:rPr>
              <w:t>deposits</w:t>
            </w:r>
          </w:p>
        </w:tc>
        <w:tc>
          <w:tcPr>
            <w:tcW w:w="881" w:type="dxa"/>
          </w:tcPr>
          <w:p>
            <w:pPr>
              <w:pStyle w:val="TableParagraph"/>
              <w:spacing w:before="13"/>
              <w:ind w:right="98"/>
              <w:jc w:val="right"/>
              <w:rPr>
                <w:sz w:val="18"/>
              </w:rPr>
            </w:pPr>
            <w:r>
              <w:rPr>
                <w:sz w:val="18"/>
              </w:rPr>
              <w:t>$</w:t>
            </w:r>
            <w:r>
              <w:rPr>
                <w:spacing w:val="5"/>
                <w:sz w:val="18"/>
              </w:rPr>
              <w:t> </w:t>
            </w:r>
            <w:r>
              <w:rPr>
                <w:spacing w:val="-2"/>
                <w:sz w:val="18"/>
              </w:rPr>
              <w:t>290,853</w:t>
            </w:r>
          </w:p>
        </w:tc>
        <w:tc>
          <w:tcPr>
            <w:tcW w:w="1038" w:type="dxa"/>
          </w:tcPr>
          <w:p>
            <w:pPr>
              <w:pStyle w:val="TableParagraph"/>
              <w:tabs>
                <w:tab w:pos="562" w:val="left" w:leader="none"/>
              </w:tabs>
              <w:spacing w:before="13"/>
              <w:ind w:right="101"/>
              <w:jc w:val="right"/>
              <w:rPr>
                <w:sz w:val="18"/>
              </w:rPr>
            </w:pPr>
            <w:r>
              <w:rPr>
                <w:spacing w:val="-10"/>
                <w:sz w:val="18"/>
              </w:rPr>
              <w:t>$</w:t>
            </w:r>
            <w:r>
              <w:rPr>
                <w:sz w:val="18"/>
              </w:rPr>
              <w:tab/>
            </w:r>
            <w:r>
              <w:rPr>
                <w:spacing w:val="-5"/>
                <w:sz w:val="18"/>
              </w:rPr>
              <w:t>911</w:t>
            </w:r>
          </w:p>
        </w:tc>
        <w:tc>
          <w:tcPr>
            <w:tcW w:w="944" w:type="dxa"/>
          </w:tcPr>
          <w:p>
            <w:pPr>
              <w:pStyle w:val="TableParagraph"/>
              <w:spacing w:before="13"/>
              <w:ind w:right="70"/>
              <w:jc w:val="right"/>
              <w:rPr>
                <w:sz w:val="18"/>
              </w:rPr>
            </w:pPr>
            <w:r>
              <w:rPr>
                <w:spacing w:val="-2"/>
                <w:sz w:val="18"/>
              </w:rPr>
              <w:t>1.24%</w:t>
            </w:r>
          </w:p>
        </w:tc>
        <w:tc>
          <w:tcPr>
            <w:tcW w:w="74" w:type="dxa"/>
          </w:tcPr>
          <w:p>
            <w:pPr>
              <w:pStyle w:val="TableParagraph"/>
              <w:rPr>
                <w:sz w:val="16"/>
              </w:rPr>
            </w:pPr>
          </w:p>
        </w:tc>
        <w:tc>
          <w:tcPr>
            <w:tcW w:w="880" w:type="dxa"/>
          </w:tcPr>
          <w:p>
            <w:pPr>
              <w:pStyle w:val="TableParagraph"/>
              <w:spacing w:before="13"/>
              <w:ind w:right="94"/>
              <w:jc w:val="right"/>
              <w:rPr>
                <w:sz w:val="18"/>
              </w:rPr>
            </w:pPr>
            <w:r>
              <w:rPr>
                <w:sz w:val="18"/>
              </w:rPr>
              <w:t>$</w:t>
            </w:r>
            <w:r>
              <w:rPr>
                <w:spacing w:val="5"/>
                <w:sz w:val="18"/>
              </w:rPr>
              <w:t> </w:t>
            </w:r>
            <w:r>
              <w:rPr>
                <w:spacing w:val="-2"/>
                <w:sz w:val="18"/>
              </w:rPr>
              <w:t>420,132</w:t>
            </w:r>
          </w:p>
        </w:tc>
        <w:tc>
          <w:tcPr>
            <w:tcW w:w="1037" w:type="dxa"/>
          </w:tcPr>
          <w:p>
            <w:pPr>
              <w:pStyle w:val="TableParagraph"/>
              <w:tabs>
                <w:tab w:pos="562" w:val="left" w:leader="none"/>
              </w:tabs>
              <w:spacing w:before="13"/>
              <w:ind w:right="96"/>
              <w:jc w:val="right"/>
              <w:rPr>
                <w:sz w:val="18"/>
              </w:rPr>
            </w:pPr>
            <w:r>
              <w:rPr>
                <w:spacing w:val="-10"/>
                <w:sz w:val="18"/>
              </w:rPr>
              <w:t>$</w:t>
            </w:r>
            <w:r>
              <w:rPr>
                <w:sz w:val="18"/>
              </w:rPr>
              <w:tab/>
            </w:r>
            <w:r>
              <w:rPr>
                <w:spacing w:val="-5"/>
                <w:sz w:val="18"/>
              </w:rPr>
              <w:t>241</w:t>
            </w:r>
          </w:p>
        </w:tc>
        <w:tc>
          <w:tcPr>
            <w:tcW w:w="943" w:type="dxa"/>
          </w:tcPr>
          <w:p>
            <w:pPr>
              <w:pStyle w:val="TableParagraph"/>
              <w:spacing w:before="13"/>
              <w:ind w:left="344"/>
              <w:jc w:val="center"/>
              <w:rPr>
                <w:sz w:val="18"/>
              </w:rPr>
            </w:pPr>
            <w:r>
              <w:rPr>
                <w:spacing w:val="-2"/>
                <w:sz w:val="18"/>
              </w:rPr>
              <w:t>0.23%</w:t>
            </w:r>
          </w:p>
        </w:tc>
      </w:tr>
      <w:tr>
        <w:trPr>
          <w:trHeight w:val="252" w:hRule="atLeast"/>
        </w:trPr>
        <w:tc>
          <w:tcPr>
            <w:tcW w:w="4455" w:type="dxa"/>
            <w:shd w:val="clear" w:color="auto" w:fill="CCEDFF"/>
          </w:tcPr>
          <w:p>
            <w:pPr>
              <w:pStyle w:val="TableParagraph"/>
              <w:spacing w:before="13"/>
              <w:ind w:left="52"/>
              <w:rPr>
                <w:sz w:val="18"/>
              </w:rPr>
            </w:pPr>
            <w:r>
              <w:rPr>
                <w:sz w:val="18"/>
              </w:rPr>
              <w:t>Payables</w:t>
            </w:r>
            <w:r>
              <w:rPr>
                <w:spacing w:val="-2"/>
                <w:sz w:val="18"/>
              </w:rPr>
              <w:t> </w:t>
            </w:r>
            <w:r>
              <w:rPr>
                <w:sz w:val="18"/>
              </w:rPr>
              <w:t>to brokerage </w:t>
            </w:r>
            <w:r>
              <w:rPr>
                <w:spacing w:val="-2"/>
                <w:sz w:val="18"/>
              </w:rPr>
              <w:t>clients</w:t>
            </w:r>
          </w:p>
        </w:tc>
        <w:tc>
          <w:tcPr>
            <w:tcW w:w="881" w:type="dxa"/>
            <w:shd w:val="clear" w:color="auto" w:fill="CCEDFF"/>
          </w:tcPr>
          <w:p>
            <w:pPr>
              <w:pStyle w:val="TableParagraph"/>
              <w:spacing w:before="13"/>
              <w:ind w:right="98"/>
              <w:jc w:val="right"/>
              <w:rPr>
                <w:sz w:val="18"/>
              </w:rPr>
            </w:pPr>
            <w:r>
              <w:rPr>
                <w:spacing w:val="-2"/>
                <w:sz w:val="18"/>
              </w:rPr>
              <w:t>63,731</w:t>
            </w:r>
          </w:p>
        </w:tc>
        <w:tc>
          <w:tcPr>
            <w:tcW w:w="1038" w:type="dxa"/>
            <w:shd w:val="clear" w:color="auto" w:fill="CCEDFF"/>
          </w:tcPr>
          <w:p>
            <w:pPr>
              <w:pStyle w:val="TableParagraph"/>
              <w:spacing w:before="13"/>
              <w:ind w:right="101"/>
              <w:jc w:val="right"/>
              <w:rPr>
                <w:sz w:val="18"/>
              </w:rPr>
            </w:pPr>
            <w:r>
              <w:rPr>
                <w:spacing w:val="-5"/>
                <w:sz w:val="18"/>
              </w:rPr>
              <w:t>66</w:t>
            </w:r>
          </w:p>
        </w:tc>
        <w:tc>
          <w:tcPr>
            <w:tcW w:w="944" w:type="dxa"/>
            <w:shd w:val="clear" w:color="auto" w:fill="CCEDFF"/>
          </w:tcPr>
          <w:p>
            <w:pPr>
              <w:pStyle w:val="TableParagraph"/>
              <w:spacing w:before="13"/>
              <w:ind w:right="70"/>
              <w:jc w:val="right"/>
              <w:rPr>
                <w:sz w:val="18"/>
              </w:rPr>
            </w:pPr>
            <w:r>
              <w:rPr>
                <w:spacing w:val="-2"/>
                <w:sz w:val="18"/>
              </w:rPr>
              <w:t>0.41%</w:t>
            </w:r>
          </w:p>
        </w:tc>
        <w:tc>
          <w:tcPr>
            <w:tcW w:w="74" w:type="dxa"/>
            <w:shd w:val="clear" w:color="auto" w:fill="CCEDFF"/>
          </w:tcPr>
          <w:p>
            <w:pPr>
              <w:pStyle w:val="TableParagraph"/>
              <w:rPr>
                <w:sz w:val="16"/>
              </w:rPr>
            </w:pPr>
          </w:p>
        </w:tc>
        <w:tc>
          <w:tcPr>
            <w:tcW w:w="880" w:type="dxa"/>
            <w:shd w:val="clear" w:color="auto" w:fill="CCEDFF"/>
          </w:tcPr>
          <w:p>
            <w:pPr>
              <w:pStyle w:val="TableParagraph"/>
              <w:spacing w:before="13"/>
              <w:ind w:right="94"/>
              <w:jc w:val="right"/>
              <w:rPr>
                <w:sz w:val="18"/>
              </w:rPr>
            </w:pPr>
            <w:r>
              <w:rPr>
                <w:spacing w:val="-2"/>
                <w:sz w:val="18"/>
              </w:rPr>
              <w:t>96,802</w:t>
            </w:r>
          </w:p>
        </w:tc>
        <w:tc>
          <w:tcPr>
            <w:tcW w:w="1037" w:type="dxa"/>
            <w:shd w:val="clear" w:color="auto" w:fill="CCEDFF"/>
          </w:tcPr>
          <w:p>
            <w:pPr>
              <w:pStyle w:val="TableParagraph"/>
              <w:spacing w:before="13"/>
              <w:ind w:right="96"/>
              <w:jc w:val="right"/>
              <w:rPr>
                <w:sz w:val="18"/>
              </w:rPr>
            </w:pPr>
            <w:r>
              <w:rPr>
                <w:spacing w:val="-5"/>
                <w:sz w:val="18"/>
              </w:rPr>
              <w:t>41</w:t>
            </w:r>
          </w:p>
        </w:tc>
        <w:tc>
          <w:tcPr>
            <w:tcW w:w="943" w:type="dxa"/>
            <w:shd w:val="clear" w:color="auto" w:fill="CCEDFF"/>
          </w:tcPr>
          <w:p>
            <w:pPr>
              <w:pStyle w:val="TableParagraph"/>
              <w:spacing w:before="13"/>
              <w:ind w:left="344"/>
              <w:jc w:val="center"/>
              <w:rPr>
                <w:sz w:val="18"/>
              </w:rPr>
            </w:pPr>
            <w:r>
              <w:rPr>
                <w:spacing w:val="-2"/>
                <w:sz w:val="18"/>
              </w:rPr>
              <w:t>0.17%</w:t>
            </w:r>
          </w:p>
        </w:tc>
      </w:tr>
      <w:tr>
        <w:trPr>
          <w:trHeight w:val="257" w:hRule="atLeast"/>
        </w:trPr>
        <w:tc>
          <w:tcPr>
            <w:tcW w:w="4455" w:type="dxa"/>
          </w:tcPr>
          <w:p>
            <w:pPr>
              <w:pStyle w:val="TableParagraph"/>
              <w:spacing w:before="13"/>
              <w:ind w:left="52"/>
              <w:rPr>
                <w:sz w:val="18"/>
              </w:rPr>
            </w:pPr>
            <w:r>
              <w:rPr>
                <w:sz w:val="18"/>
              </w:rPr>
              <w:t>Other</w:t>
            </w:r>
            <w:r>
              <w:rPr>
                <w:spacing w:val="-2"/>
                <w:sz w:val="18"/>
              </w:rPr>
              <w:t> </w:t>
            </w:r>
            <w:r>
              <w:rPr>
                <w:sz w:val="18"/>
              </w:rPr>
              <w:t>short-term</w:t>
            </w:r>
            <w:r>
              <w:rPr>
                <w:spacing w:val="-1"/>
                <w:sz w:val="18"/>
              </w:rPr>
              <w:t> </w:t>
            </w:r>
            <w:r>
              <w:rPr>
                <w:sz w:val="18"/>
              </w:rPr>
              <w:t>borrowings</w:t>
            </w:r>
            <w:r>
              <w:rPr>
                <w:spacing w:val="-2"/>
                <w:sz w:val="18"/>
              </w:rPr>
              <w:t> </w:t>
            </w:r>
            <w:r>
              <w:rPr>
                <w:spacing w:val="-5"/>
                <w:sz w:val="18"/>
                <w:vertAlign w:val="superscript"/>
              </w:rPr>
              <w:t>(2)</w:t>
            </w:r>
          </w:p>
        </w:tc>
        <w:tc>
          <w:tcPr>
            <w:tcW w:w="881" w:type="dxa"/>
          </w:tcPr>
          <w:p>
            <w:pPr>
              <w:pStyle w:val="TableParagraph"/>
              <w:spacing w:before="13"/>
              <w:ind w:right="98"/>
              <w:jc w:val="right"/>
              <w:rPr>
                <w:sz w:val="18"/>
              </w:rPr>
            </w:pPr>
            <w:r>
              <w:rPr>
                <w:spacing w:val="-2"/>
                <w:sz w:val="18"/>
              </w:rPr>
              <w:t>7,315</w:t>
            </w:r>
          </w:p>
        </w:tc>
        <w:tc>
          <w:tcPr>
            <w:tcW w:w="1038" w:type="dxa"/>
          </w:tcPr>
          <w:p>
            <w:pPr>
              <w:pStyle w:val="TableParagraph"/>
              <w:spacing w:before="13"/>
              <w:ind w:right="101"/>
              <w:jc w:val="right"/>
              <w:rPr>
                <w:sz w:val="18"/>
              </w:rPr>
            </w:pPr>
            <w:r>
              <w:rPr>
                <w:spacing w:val="-5"/>
                <w:sz w:val="18"/>
              </w:rPr>
              <w:t>97</w:t>
            </w:r>
          </w:p>
        </w:tc>
        <w:tc>
          <w:tcPr>
            <w:tcW w:w="944" w:type="dxa"/>
          </w:tcPr>
          <w:p>
            <w:pPr>
              <w:pStyle w:val="TableParagraph"/>
              <w:spacing w:before="13"/>
              <w:ind w:right="70"/>
              <w:jc w:val="right"/>
              <w:rPr>
                <w:sz w:val="18"/>
              </w:rPr>
            </w:pPr>
            <w:r>
              <w:rPr>
                <w:spacing w:val="-2"/>
                <w:sz w:val="18"/>
              </w:rPr>
              <w:t>5.26%</w:t>
            </w:r>
          </w:p>
        </w:tc>
        <w:tc>
          <w:tcPr>
            <w:tcW w:w="74" w:type="dxa"/>
          </w:tcPr>
          <w:p>
            <w:pPr>
              <w:pStyle w:val="TableParagraph"/>
              <w:rPr>
                <w:sz w:val="16"/>
              </w:rPr>
            </w:pPr>
          </w:p>
        </w:tc>
        <w:tc>
          <w:tcPr>
            <w:tcW w:w="880" w:type="dxa"/>
          </w:tcPr>
          <w:p>
            <w:pPr>
              <w:pStyle w:val="TableParagraph"/>
              <w:spacing w:before="13"/>
              <w:ind w:right="94"/>
              <w:jc w:val="right"/>
              <w:rPr>
                <w:sz w:val="18"/>
              </w:rPr>
            </w:pPr>
            <w:r>
              <w:rPr>
                <w:spacing w:val="-5"/>
                <w:sz w:val="18"/>
              </w:rPr>
              <w:t>708</w:t>
            </w:r>
          </w:p>
        </w:tc>
        <w:tc>
          <w:tcPr>
            <w:tcW w:w="1037" w:type="dxa"/>
          </w:tcPr>
          <w:p>
            <w:pPr>
              <w:pStyle w:val="TableParagraph"/>
              <w:spacing w:before="13"/>
              <w:ind w:right="96"/>
              <w:jc w:val="right"/>
              <w:rPr>
                <w:sz w:val="18"/>
              </w:rPr>
            </w:pPr>
            <w:r>
              <w:rPr>
                <w:spacing w:val="-10"/>
                <w:sz w:val="18"/>
              </w:rPr>
              <w:t>4</w:t>
            </w:r>
          </w:p>
        </w:tc>
        <w:tc>
          <w:tcPr>
            <w:tcW w:w="943" w:type="dxa"/>
          </w:tcPr>
          <w:p>
            <w:pPr>
              <w:pStyle w:val="TableParagraph"/>
              <w:spacing w:before="13"/>
              <w:ind w:left="344"/>
              <w:jc w:val="center"/>
              <w:rPr>
                <w:sz w:val="18"/>
              </w:rPr>
            </w:pPr>
            <w:r>
              <w:rPr>
                <w:spacing w:val="-2"/>
                <w:sz w:val="18"/>
              </w:rPr>
              <w:t>1.95%</w:t>
            </w:r>
          </w:p>
        </w:tc>
      </w:tr>
      <w:tr>
        <w:trPr>
          <w:trHeight w:val="255" w:hRule="atLeast"/>
        </w:trPr>
        <w:tc>
          <w:tcPr>
            <w:tcW w:w="4455" w:type="dxa"/>
            <w:shd w:val="clear" w:color="auto" w:fill="CCEDFF"/>
          </w:tcPr>
          <w:p>
            <w:pPr>
              <w:pStyle w:val="TableParagraph"/>
              <w:spacing w:before="18"/>
              <w:ind w:left="52"/>
              <w:rPr>
                <w:sz w:val="18"/>
              </w:rPr>
            </w:pPr>
            <w:r>
              <w:rPr>
                <w:sz w:val="18"/>
              </w:rPr>
              <w:t>Federal</w:t>
            </w:r>
            <w:r>
              <w:rPr>
                <w:spacing w:val="-1"/>
                <w:sz w:val="18"/>
              </w:rPr>
              <w:t> </w:t>
            </w:r>
            <w:r>
              <w:rPr>
                <w:sz w:val="18"/>
              </w:rPr>
              <w:t>Home</w:t>
            </w:r>
            <w:r>
              <w:rPr>
                <w:spacing w:val="-1"/>
                <w:sz w:val="18"/>
              </w:rPr>
              <w:t> </w:t>
            </w:r>
            <w:r>
              <w:rPr>
                <w:sz w:val="18"/>
              </w:rPr>
              <w:t>Loan Bank</w:t>
            </w:r>
            <w:r>
              <w:rPr>
                <w:spacing w:val="-1"/>
                <w:sz w:val="18"/>
              </w:rPr>
              <w:t> </w:t>
            </w:r>
            <w:r>
              <w:rPr>
                <w:sz w:val="18"/>
              </w:rPr>
              <w:t>borrowings</w:t>
            </w:r>
            <w:r>
              <w:rPr>
                <w:spacing w:val="-2"/>
                <w:sz w:val="18"/>
              </w:rPr>
              <w:t> </w:t>
            </w:r>
            <w:r>
              <w:rPr>
                <w:spacing w:val="-4"/>
                <w:sz w:val="18"/>
                <w:vertAlign w:val="superscript"/>
              </w:rPr>
              <w:t>(2,3)</w:t>
            </w:r>
          </w:p>
        </w:tc>
        <w:tc>
          <w:tcPr>
            <w:tcW w:w="881" w:type="dxa"/>
            <w:shd w:val="clear" w:color="auto" w:fill="CCEDFF"/>
          </w:tcPr>
          <w:p>
            <w:pPr>
              <w:pStyle w:val="TableParagraph"/>
              <w:spacing w:before="18"/>
              <w:ind w:right="98"/>
              <w:jc w:val="right"/>
              <w:rPr>
                <w:sz w:val="18"/>
              </w:rPr>
            </w:pPr>
            <w:r>
              <w:rPr>
                <w:spacing w:val="-2"/>
                <w:sz w:val="18"/>
              </w:rPr>
              <w:t>36,287</w:t>
            </w:r>
          </w:p>
        </w:tc>
        <w:tc>
          <w:tcPr>
            <w:tcW w:w="1038" w:type="dxa"/>
            <w:shd w:val="clear" w:color="auto" w:fill="CCEDFF"/>
          </w:tcPr>
          <w:p>
            <w:pPr>
              <w:pStyle w:val="TableParagraph"/>
              <w:spacing w:before="18"/>
              <w:ind w:right="101"/>
              <w:jc w:val="right"/>
              <w:rPr>
                <w:sz w:val="18"/>
              </w:rPr>
            </w:pPr>
            <w:r>
              <w:rPr>
                <w:spacing w:val="-5"/>
                <w:sz w:val="18"/>
              </w:rPr>
              <w:t>477</w:t>
            </w:r>
          </w:p>
        </w:tc>
        <w:tc>
          <w:tcPr>
            <w:tcW w:w="944" w:type="dxa"/>
            <w:shd w:val="clear" w:color="auto" w:fill="CCEDFF"/>
          </w:tcPr>
          <w:p>
            <w:pPr>
              <w:pStyle w:val="TableParagraph"/>
              <w:spacing w:before="18"/>
              <w:ind w:right="70"/>
              <w:jc w:val="right"/>
              <w:rPr>
                <w:sz w:val="18"/>
              </w:rPr>
            </w:pPr>
            <w:r>
              <w:rPr>
                <w:spacing w:val="-2"/>
                <w:sz w:val="18"/>
              </w:rPr>
              <w:t>5.18%</w:t>
            </w:r>
          </w:p>
        </w:tc>
        <w:tc>
          <w:tcPr>
            <w:tcW w:w="74" w:type="dxa"/>
            <w:shd w:val="clear" w:color="auto" w:fill="CCEDFF"/>
          </w:tcPr>
          <w:p>
            <w:pPr>
              <w:pStyle w:val="TableParagraph"/>
              <w:rPr>
                <w:sz w:val="16"/>
              </w:rPr>
            </w:pPr>
          </w:p>
        </w:tc>
        <w:tc>
          <w:tcPr>
            <w:tcW w:w="880" w:type="dxa"/>
            <w:shd w:val="clear" w:color="auto" w:fill="CCEDFF"/>
          </w:tcPr>
          <w:p>
            <w:pPr>
              <w:pStyle w:val="TableParagraph"/>
              <w:spacing w:before="18"/>
              <w:ind w:right="94"/>
              <w:jc w:val="right"/>
              <w:rPr>
                <w:sz w:val="18"/>
              </w:rPr>
            </w:pPr>
            <w:r>
              <w:rPr>
                <w:spacing w:val="-10"/>
                <w:sz w:val="18"/>
              </w:rPr>
              <w:t>—</w:t>
            </w:r>
          </w:p>
        </w:tc>
        <w:tc>
          <w:tcPr>
            <w:tcW w:w="1037" w:type="dxa"/>
            <w:shd w:val="clear" w:color="auto" w:fill="CCEDFF"/>
          </w:tcPr>
          <w:p>
            <w:pPr>
              <w:pStyle w:val="TableParagraph"/>
              <w:spacing w:before="18"/>
              <w:ind w:right="96"/>
              <w:jc w:val="right"/>
              <w:rPr>
                <w:sz w:val="18"/>
              </w:rPr>
            </w:pPr>
            <w:r>
              <w:rPr>
                <w:spacing w:val="-10"/>
                <w:sz w:val="18"/>
              </w:rPr>
              <w:t>—</w:t>
            </w:r>
          </w:p>
        </w:tc>
        <w:tc>
          <w:tcPr>
            <w:tcW w:w="943" w:type="dxa"/>
            <w:shd w:val="clear" w:color="auto" w:fill="CCEDFF"/>
          </w:tcPr>
          <w:p>
            <w:pPr>
              <w:pStyle w:val="TableParagraph"/>
              <w:spacing w:before="18"/>
              <w:ind w:left="344" w:right="15"/>
              <w:jc w:val="center"/>
              <w:rPr>
                <w:sz w:val="18"/>
              </w:rPr>
            </w:pPr>
            <w:r>
              <w:rPr>
                <w:spacing w:val="-10"/>
                <w:sz w:val="18"/>
              </w:rPr>
              <w:t>—</w:t>
            </w:r>
          </w:p>
        </w:tc>
      </w:tr>
      <w:tr>
        <w:trPr>
          <w:trHeight w:val="250" w:hRule="atLeast"/>
        </w:trPr>
        <w:tc>
          <w:tcPr>
            <w:tcW w:w="4455" w:type="dxa"/>
            <w:tcBorders>
              <w:bottom w:val="single" w:sz="4" w:space="0" w:color="000000"/>
            </w:tcBorders>
          </w:tcPr>
          <w:p>
            <w:pPr>
              <w:pStyle w:val="TableParagraph"/>
              <w:spacing w:before="13"/>
              <w:ind w:left="52"/>
              <w:rPr>
                <w:sz w:val="18"/>
              </w:rPr>
            </w:pPr>
            <w:r>
              <w:rPr>
                <w:sz w:val="18"/>
              </w:rPr>
              <w:t>Long-term </w:t>
            </w:r>
            <w:r>
              <w:rPr>
                <w:spacing w:val="-4"/>
                <w:sz w:val="18"/>
              </w:rPr>
              <w:t>debt</w:t>
            </w:r>
          </w:p>
        </w:tc>
        <w:tc>
          <w:tcPr>
            <w:tcW w:w="881" w:type="dxa"/>
            <w:tcBorders>
              <w:bottom w:val="single" w:sz="4" w:space="0" w:color="000000"/>
            </w:tcBorders>
          </w:tcPr>
          <w:p>
            <w:pPr>
              <w:pStyle w:val="TableParagraph"/>
              <w:spacing w:before="13"/>
              <w:ind w:right="98"/>
              <w:jc w:val="right"/>
              <w:rPr>
                <w:sz w:val="18"/>
              </w:rPr>
            </w:pPr>
            <w:r>
              <w:rPr>
                <w:spacing w:val="-2"/>
                <w:sz w:val="18"/>
              </w:rPr>
              <w:t>23,492</w:t>
            </w:r>
          </w:p>
        </w:tc>
        <w:tc>
          <w:tcPr>
            <w:tcW w:w="1038" w:type="dxa"/>
            <w:tcBorders>
              <w:bottom w:val="single" w:sz="4" w:space="0" w:color="000000"/>
            </w:tcBorders>
          </w:tcPr>
          <w:p>
            <w:pPr>
              <w:pStyle w:val="TableParagraph"/>
              <w:spacing w:before="13"/>
              <w:ind w:right="101"/>
              <w:jc w:val="right"/>
              <w:rPr>
                <w:sz w:val="18"/>
              </w:rPr>
            </w:pPr>
            <w:r>
              <w:rPr>
                <w:spacing w:val="-5"/>
                <w:sz w:val="18"/>
              </w:rPr>
              <w:t>193</w:t>
            </w:r>
          </w:p>
        </w:tc>
        <w:tc>
          <w:tcPr>
            <w:tcW w:w="944" w:type="dxa"/>
            <w:tcBorders>
              <w:bottom w:val="single" w:sz="4" w:space="0" w:color="000000"/>
            </w:tcBorders>
          </w:tcPr>
          <w:p>
            <w:pPr>
              <w:pStyle w:val="TableParagraph"/>
              <w:spacing w:before="13"/>
              <w:ind w:right="70"/>
              <w:jc w:val="right"/>
              <w:rPr>
                <w:sz w:val="18"/>
              </w:rPr>
            </w:pPr>
            <w:r>
              <w:rPr>
                <w:spacing w:val="-2"/>
                <w:sz w:val="18"/>
              </w:rPr>
              <w:t>3.30%</w:t>
            </w:r>
          </w:p>
        </w:tc>
        <w:tc>
          <w:tcPr>
            <w:tcW w:w="74" w:type="dxa"/>
            <w:tcBorders>
              <w:bottom w:val="single" w:sz="4" w:space="0" w:color="000000"/>
            </w:tcBorders>
          </w:tcPr>
          <w:p>
            <w:pPr>
              <w:pStyle w:val="TableParagraph"/>
              <w:rPr>
                <w:sz w:val="16"/>
              </w:rPr>
            </w:pPr>
          </w:p>
        </w:tc>
        <w:tc>
          <w:tcPr>
            <w:tcW w:w="880" w:type="dxa"/>
            <w:tcBorders>
              <w:bottom w:val="single" w:sz="4" w:space="0" w:color="000000"/>
            </w:tcBorders>
          </w:tcPr>
          <w:p>
            <w:pPr>
              <w:pStyle w:val="TableParagraph"/>
              <w:spacing w:before="13"/>
              <w:ind w:right="94"/>
              <w:jc w:val="right"/>
              <w:rPr>
                <w:sz w:val="18"/>
              </w:rPr>
            </w:pPr>
            <w:r>
              <w:rPr>
                <w:spacing w:val="-2"/>
                <w:sz w:val="18"/>
              </w:rPr>
              <w:t>21,024</w:t>
            </w:r>
          </w:p>
        </w:tc>
        <w:tc>
          <w:tcPr>
            <w:tcW w:w="1037" w:type="dxa"/>
            <w:tcBorders>
              <w:bottom w:val="single" w:sz="4" w:space="0" w:color="000000"/>
            </w:tcBorders>
          </w:tcPr>
          <w:p>
            <w:pPr>
              <w:pStyle w:val="TableParagraph"/>
              <w:spacing w:before="13"/>
              <w:ind w:right="96"/>
              <w:jc w:val="right"/>
              <w:rPr>
                <w:sz w:val="18"/>
              </w:rPr>
            </w:pPr>
            <w:r>
              <w:rPr>
                <w:spacing w:val="-5"/>
                <w:sz w:val="18"/>
              </w:rPr>
              <w:t>131</w:t>
            </w:r>
          </w:p>
        </w:tc>
        <w:tc>
          <w:tcPr>
            <w:tcW w:w="943" w:type="dxa"/>
            <w:tcBorders>
              <w:bottom w:val="single" w:sz="4" w:space="0" w:color="000000"/>
            </w:tcBorders>
          </w:tcPr>
          <w:p>
            <w:pPr>
              <w:pStyle w:val="TableParagraph"/>
              <w:spacing w:before="13"/>
              <w:ind w:left="344"/>
              <w:jc w:val="center"/>
              <w:rPr>
                <w:sz w:val="18"/>
              </w:rPr>
            </w:pPr>
            <w:r>
              <w:rPr>
                <w:spacing w:val="-2"/>
                <w:sz w:val="18"/>
              </w:rPr>
              <w:t>2.49%</w:t>
            </w:r>
          </w:p>
        </w:tc>
      </w:tr>
      <w:tr>
        <w:trPr>
          <w:trHeight w:val="245" w:hRule="atLeast"/>
        </w:trPr>
        <w:tc>
          <w:tcPr>
            <w:tcW w:w="4455" w:type="dxa"/>
            <w:tcBorders>
              <w:top w:val="single" w:sz="4" w:space="0" w:color="000000"/>
              <w:bottom w:val="single" w:sz="4" w:space="0" w:color="000000"/>
            </w:tcBorders>
            <w:shd w:val="clear" w:color="auto" w:fill="CCEDFF"/>
          </w:tcPr>
          <w:p>
            <w:pPr>
              <w:pStyle w:val="TableParagraph"/>
              <w:spacing w:before="8"/>
              <w:ind w:left="172"/>
              <w:rPr>
                <w:sz w:val="18"/>
              </w:rPr>
            </w:pPr>
            <w:r>
              <w:rPr>
                <w:sz w:val="18"/>
              </w:rPr>
              <w:t>Total</w:t>
            </w:r>
            <w:r>
              <w:rPr>
                <w:spacing w:val="-1"/>
                <w:sz w:val="18"/>
              </w:rPr>
              <w:t> </w:t>
            </w:r>
            <w:r>
              <w:rPr>
                <w:sz w:val="18"/>
              </w:rPr>
              <w:t>interest-bearing </w:t>
            </w:r>
            <w:r>
              <w:rPr>
                <w:spacing w:val="-2"/>
                <w:sz w:val="18"/>
              </w:rPr>
              <w:t>liabilities</w:t>
            </w:r>
          </w:p>
        </w:tc>
        <w:tc>
          <w:tcPr>
            <w:tcW w:w="881" w:type="dxa"/>
            <w:tcBorders>
              <w:top w:val="single" w:sz="4" w:space="0" w:color="000000"/>
              <w:bottom w:val="single" w:sz="4" w:space="0" w:color="000000"/>
            </w:tcBorders>
            <w:shd w:val="clear" w:color="auto" w:fill="CCEDFF"/>
          </w:tcPr>
          <w:p>
            <w:pPr>
              <w:pStyle w:val="TableParagraph"/>
              <w:spacing w:before="8"/>
              <w:ind w:right="98"/>
              <w:jc w:val="right"/>
              <w:rPr>
                <w:sz w:val="18"/>
              </w:rPr>
            </w:pPr>
            <w:r>
              <w:rPr>
                <w:spacing w:val="-2"/>
                <w:sz w:val="18"/>
              </w:rPr>
              <w:t>421,678</w:t>
            </w:r>
          </w:p>
        </w:tc>
        <w:tc>
          <w:tcPr>
            <w:tcW w:w="1038" w:type="dxa"/>
            <w:tcBorders>
              <w:top w:val="single" w:sz="4" w:space="0" w:color="000000"/>
              <w:bottom w:val="single" w:sz="4" w:space="0" w:color="000000"/>
            </w:tcBorders>
            <w:shd w:val="clear" w:color="auto" w:fill="CCEDFF"/>
          </w:tcPr>
          <w:p>
            <w:pPr>
              <w:pStyle w:val="TableParagraph"/>
              <w:spacing w:before="8"/>
              <w:ind w:right="101"/>
              <w:jc w:val="right"/>
              <w:rPr>
                <w:sz w:val="18"/>
              </w:rPr>
            </w:pPr>
            <w:r>
              <w:rPr>
                <w:spacing w:val="-2"/>
                <w:sz w:val="18"/>
              </w:rPr>
              <w:t>1,744</w:t>
            </w:r>
          </w:p>
        </w:tc>
        <w:tc>
          <w:tcPr>
            <w:tcW w:w="944" w:type="dxa"/>
            <w:tcBorders>
              <w:top w:val="single" w:sz="4" w:space="0" w:color="000000"/>
              <w:bottom w:val="single" w:sz="4" w:space="0" w:color="000000"/>
            </w:tcBorders>
            <w:shd w:val="clear" w:color="auto" w:fill="CCEDFF"/>
          </w:tcPr>
          <w:p>
            <w:pPr>
              <w:pStyle w:val="TableParagraph"/>
              <w:spacing w:before="8"/>
              <w:ind w:right="70"/>
              <w:jc w:val="right"/>
              <w:rPr>
                <w:sz w:val="18"/>
              </w:rPr>
            </w:pPr>
            <w:r>
              <w:rPr>
                <w:spacing w:val="-2"/>
                <w:sz w:val="18"/>
              </w:rPr>
              <w:t>1.64%</w:t>
            </w:r>
          </w:p>
        </w:tc>
        <w:tc>
          <w:tcPr>
            <w:tcW w:w="74" w:type="dxa"/>
            <w:tcBorders>
              <w:top w:val="single" w:sz="4" w:space="0" w:color="000000"/>
              <w:bottom w:val="single" w:sz="4" w:space="0" w:color="000000"/>
            </w:tcBorders>
            <w:shd w:val="clear" w:color="auto" w:fill="CCEDFF"/>
          </w:tcPr>
          <w:p>
            <w:pPr>
              <w:pStyle w:val="TableParagraph"/>
              <w:rPr>
                <w:sz w:val="16"/>
              </w:rPr>
            </w:pPr>
          </w:p>
        </w:tc>
        <w:tc>
          <w:tcPr>
            <w:tcW w:w="880" w:type="dxa"/>
            <w:tcBorders>
              <w:top w:val="single" w:sz="4" w:space="0" w:color="000000"/>
              <w:bottom w:val="single" w:sz="4" w:space="0" w:color="000000"/>
            </w:tcBorders>
            <w:shd w:val="clear" w:color="auto" w:fill="CCEDFF"/>
          </w:tcPr>
          <w:p>
            <w:pPr>
              <w:pStyle w:val="TableParagraph"/>
              <w:spacing w:before="8"/>
              <w:ind w:right="94"/>
              <w:jc w:val="right"/>
              <w:rPr>
                <w:sz w:val="18"/>
              </w:rPr>
            </w:pPr>
            <w:r>
              <w:rPr>
                <w:spacing w:val="-2"/>
                <w:sz w:val="18"/>
              </w:rPr>
              <w:t>538,666</w:t>
            </w:r>
          </w:p>
        </w:tc>
        <w:tc>
          <w:tcPr>
            <w:tcW w:w="1037" w:type="dxa"/>
            <w:tcBorders>
              <w:top w:val="single" w:sz="4" w:space="0" w:color="000000"/>
              <w:bottom w:val="single" w:sz="4" w:space="0" w:color="000000"/>
            </w:tcBorders>
            <w:shd w:val="clear" w:color="auto" w:fill="CCEDFF"/>
          </w:tcPr>
          <w:p>
            <w:pPr>
              <w:pStyle w:val="TableParagraph"/>
              <w:spacing w:before="8"/>
              <w:ind w:right="96"/>
              <w:jc w:val="right"/>
              <w:rPr>
                <w:sz w:val="18"/>
              </w:rPr>
            </w:pPr>
            <w:r>
              <w:rPr>
                <w:spacing w:val="-5"/>
                <w:sz w:val="18"/>
              </w:rPr>
              <w:t>417</w:t>
            </w:r>
          </w:p>
        </w:tc>
        <w:tc>
          <w:tcPr>
            <w:tcW w:w="943" w:type="dxa"/>
            <w:tcBorders>
              <w:top w:val="single" w:sz="4" w:space="0" w:color="000000"/>
              <w:bottom w:val="single" w:sz="4" w:space="0" w:color="000000"/>
            </w:tcBorders>
            <w:shd w:val="clear" w:color="auto" w:fill="CCEDFF"/>
          </w:tcPr>
          <w:p>
            <w:pPr>
              <w:pStyle w:val="TableParagraph"/>
              <w:spacing w:before="8"/>
              <w:ind w:left="344"/>
              <w:jc w:val="center"/>
              <w:rPr>
                <w:sz w:val="18"/>
              </w:rPr>
            </w:pPr>
            <w:r>
              <w:rPr>
                <w:spacing w:val="-2"/>
                <w:sz w:val="18"/>
              </w:rPr>
              <w:t>0.31%</w:t>
            </w:r>
          </w:p>
        </w:tc>
      </w:tr>
      <w:tr>
        <w:trPr>
          <w:trHeight w:val="250" w:hRule="atLeast"/>
        </w:trPr>
        <w:tc>
          <w:tcPr>
            <w:tcW w:w="4455" w:type="dxa"/>
            <w:tcBorders>
              <w:top w:val="single" w:sz="4" w:space="0" w:color="000000"/>
            </w:tcBorders>
          </w:tcPr>
          <w:p>
            <w:pPr>
              <w:pStyle w:val="TableParagraph"/>
              <w:spacing w:before="8"/>
              <w:ind w:left="52"/>
              <w:rPr>
                <w:sz w:val="18"/>
              </w:rPr>
            </w:pPr>
            <w:r>
              <w:rPr>
                <w:sz w:val="18"/>
              </w:rPr>
              <w:t>Non-interest-bearing</w:t>
            </w:r>
            <w:r>
              <w:rPr>
                <w:spacing w:val="-1"/>
                <w:sz w:val="18"/>
              </w:rPr>
              <w:t> </w:t>
            </w:r>
            <w:r>
              <w:rPr>
                <w:sz w:val="18"/>
              </w:rPr>
              <w:t>funding</w:t>
            </w:r>
            <w:r>
              <w:rPr>
                <w:spacing w:val="-1"/>
                <w:sz w:val="18"/>
              </w:rPr>
              <w:t> </w:t>
            </w:r>
            <w:r>
              <w:rPr>
                <w:spacing w:val="-2"/>
                <w:sz w:val="18"/>
              </w:rPr>
              <w:t>sources</w:t>
            </w:r>
          </w:p>
        </w:tc>
        <w:tc>
          <w:tcPr>
            <w:tcW w:w="881" w:type="dxa"/>
            <w:tcBorders>
              <w:top w:val="single" w:sz="4" w:space="0" w:color="000000"/>
            </w:tcBorders>
          </w:tcPr>
          <w:p>
            <w:pPr>
              <w:pStyle w:val="TableParagraph"/>
              <w:spacing w:before="8"/>
              <w:ind w:right="98"/>
              <w:jc w:val="right"/>
              <w:rPr>
                <w:sz w:val="18"/>
              </w:rPr>
            </w:pPr>
            <w:r>
              <w:rPr>
                <w:spacing w:val="-2"/>
                <w:sz w:val="18"/>
              </w:rPr>
              <w:t>32,086</w:t>
            </w:r>
          </w:p>
        </w:tc>
        <w:tc>
          <w:tcPr>
            <w:tcW w:w="1038" w:type="dxa"/>
            <w:tcBorders>
              <w:top w:val="single" w:sz="4" w:space="0" w:color="000000"/>
            </w:tcBorders>
          </w:tcPr>
          <w:p>
            <w:pPr>
              <w:pStyle w:val="TableParagraph"/>
              <w:rPr>
                <w:sz w:val="16"/>
              </w:rPr>
            </w:pPr>
          </w:p>
        </w:tc>
        <w:tc>
          <w:tcPr>
            <w:tcW w:w="944" w:type="dxa"/>
            <w:tcBorders>
              <w:top w:val="single" w:sz="4" w:space="0" w:color="000000"/>
            </w:tcBorders>
          </w:tcPr>
          <w:p>
            <w:pPr>
              <w:pStyle w:val="TableParagraph"/>
              <w:rPr>
                <w:sz w:val="16"/>
              </w:rPr>
            </w:pPr>
          </w:p>
        </w:tc>
        <w:tc>
          <w:tcPr>
            <w:tcW w:w="74" w:type="dxa"/>
            <w:tcBorders>
              <w:top w:val="single" w:sz="4" w:space="0" w:color="000000"/>
            </w:tcBorders>
          </w:tcPr>
          <w:p>
            <w:pPr>
              <w:pStyle w:val="TableParagraph"/>
              <w:rPr>
                <w:sz w:val="16"/>
              </w:rPr>
            </w:pPr>
          </w:p>
        </w:tc>
        <w:tc>
          <w:tcPr>
            <w:tcW w:w="880" w:type="dxa"/>
            <w:tcBorders>
              <w:top w:val="single" w:sz="4" w:space="0" w:color="000000"/>
            </w:tcBorders>
          </w:tcPr>
          <w:p>
            <w:pPr>
              <w:pStyle w:val="TableParagraph"/>
              <w:spacing w:before="8"/>
              <w:ind w:right="94"/>
              <w:jc w:val="right"/>
              <w:rPr>
                <w:sz w:val="18"/>
              </w:rPr>
            </w:pPr>
            <w:r>
              <w:rPr>
                <w:spacing w:val="-2"/>
                <w:sz w:val="18"/>
              </w:rPr>
              <w:t>48,286</w:t>
            </w:r>
          </w:p>
        </w:tc>
        <w:tc>
          <w:tcPr>
            <w:tcW w:w="1037" w:type="dxa"/>
            <w:tcBorders>
              <w:top w:val="single" w:sz="4" w:space="0" w:color="000000"/>
            </w:tcBorders>
          </w:tcPr>
          <w:p>
            <w:pPr>
              <w:pStyle w:val="TableParagraph"/>
              <w:rPr>
                <w:sz w:val="16"/>
              </w:rPr>
            </w:pPr>
          </w:p>
        </w:tc>
        <w:tc>
          <w:tcPr>
            <w:tcW w:w="943" w:type="dxa"/>
            <w:tcBorders>
              <w:top w:val="single" w:sz="4" w:space="0" w:color="000000"/>
            </w:tcBorders>
          </w:tcPr>
          <w:p>
            <w:pPr>
              <w:pStyle w:val="TableParagraph"/>
              <w:rPr>
                <w:sz w:val="16"/>
              </w:rPr>
            </w:pPr>
          </w:p>
        </w:tc>
      </w:tr>
      <w:tr>
        <w:trPr>
          <w:trHeight w:val="255" w:hRule="atLeast"/>
        </w:trPr>
        <w:tc>
          <w:tcPr>
            <w:tcW w:w="4455" w:type="dxa"/>
            <w:shd w:val="clear" w:color="auto" w:fill="CCEDFF"/>
          </w:tcPr>
          <w:p>
            <w:pPr>
              <w:pStyle w:val="TableParagraph"/>
              <w:spacing w:before="13"/>
              <w:ind w:left="52"/>
              <w:rPr>
                <w:sz w:val="18"/>
              </w:rPr>
            </w:pPr>
            <w:r>
              <w:rPr>
                <w:sz w:val="18"/>
              </w:rPr>
              <w:t>Securities</w:t>
            </w:r>
            <w:r>
              <w:rPr>
                <w:spacing w:val="-2"/>
                <w:sz w:val="18"/>
              </w:rPr>
              <w:t> </w:t>
            </w:r>
            <w:r>
              <w:rPr>
                <w:sz w:val="18"/>
              </w:rPr>
              <w:t>lending </w:t>
            </w:r>
            <w:r>
              <w:rPr>
                <w:spacing w:val="-2"/>
                <w:sz w:val="18"/>
              </w:rPr>
              <w:t>expense</w:t>
            </w:r>
          </w:p>
        </w:tc>
        <w:tc>
          <w:tcPr>
            <w:tcW w:w="881" w:type="dxa"/>
            <w:shd w:val="clear" w:color="auto" w:fill="CCEDFF"/>
          </w:tcPr>
          <w:p>
            <w:pPr>
              <w:pStyle w:val="TableParagraph"/>
              <w:rPr>
                <w:sz w:val="16"/>
              </w:rPr>
            </w:pPr>
          </w:p>
        </w:tc>
        <w:tc>
          <w:tcPr>
            <w:tcW w:w="1038" w:type="dxa"/>
            <w:shd w:val="clear" w:color="auto" w:fill="CCEDFF"/>
          </w:tcPr>
          <w:p>
            <w:pPr>
              <w:pStyle w:val="TableParagraph"/>
              <w:spacing w:before="13"/>
              <w:ind w:right="101"/>
              <w:jc w:val="right"/>
              <w:rPr>
                <w:sz w:val="18"/>
              </w:rPr>
            </w:pPr>
            <w:r>
              <w:rPr>
                <w:spacing w:val="-5"/>
                <w:sz w:val="18"/>
              </w:rPr>
              <w:t>46</w:t>
            </w:r>
          </w:p>
        </w:tc>
        <w:tc>
          <w:tcPr>
            <w:tcW w:w="944" w:type="dxa"/>
            <w:shd w:val="clear" w:color="auto" w:fill="CCEDFF"/>
          </w:tcPr>
          <w:p>
            <w:pPr>
              <w:pStyle w:val="TableParagraph"/>
              <w:rPr>
                <w:sz w:val="16"/>
              </w:rPr>
            </w:pPr>
          </w:p>
        </w:tc>
        <w:tc>
          <w:tcPr>
            <w:tcW w:w="74" w:type="dxa"/>
            <w:shd w:val="clear" w:color="auto" w:fill="CCEDFF"/>
          </w:tcPr>
          <w:p>
            <w:pPr>
              <w:pStyle w:val="TableParagraph"/>
              <w:rPr>
                <w:sz w:val="16"/>
              </w:rPr>
            </w:pPr>
          </w:p>
        </w:tc>
        <w:tc>
          <w:tcPr>
            <w:tcW w:w="880" w:type="dxa"/>
            <w:shd w:val="clear" w:color="auto" w:fill="CCEDFF"/>
          </w:tcPr>
          <w:p>
            <w:pPr>
              <w:pStyle w:val="TableParagraph"/>
              <w:rPr>
                <w:sz w:val="16"/>
              </w:rPr>
            </w:pPr>
          </w:p>
        </w:tc>
        <w:tc>
          <w:tcPr>
            <w:tcW w:w="1037" w:type="dxa"/>
            <w:shd w:val="clear" w:color="auto" w:fill="CCEDFF"/>
          </w:tcPr>
          <w:p>
            <w:pPr>
              <w:pStyle w:val="TableParagraph"/>
              <w:spacing w:before="13"/>
              <w:ind w:right="96"/>
              <w:jc w:val="right"/>
              <w:rPr>
                <w:sz w:val="18"/>
              </w:rPr>
            </w:pPr>
            <w:r>
              <w:rPr>
                <w:spacing w:val="-5"/>
                <w:sz w:val="18"/>
              </w:rPr>
              <w:t>13</w:t>
            </w:r>
          </w:p>
        </w:tc>
        <w:tc>
          <w:tcPr>
            <w:tcW w:w="943" w:type="dxa"/>
            <w:shd w:val="clear" w:color="auto" w:fill="CCEDFF"/>
          </w:tcPr>
          <w:p>
            <w:pPr>
              <w:pStyle w:val="TableParagraph"/>
              <w:rPr>
                <w:sz w:val="16"/>
              </w:rPr>
            </w:pPr>
          </w:p>
        </w:tc>
      </w:tr>
      <w:tr>
        <w:trPr>
          <w:trHeight w:val="250" w:hRule="atLeast"/>
        </w:trPr>
        <w:tc>
          <w:tcPr>
            <w:tcW w:w="4455" w:type="dxa"/>
            <w:tcBorders>
              <w:bottom w:val="single" w:sz="4" w:space="0" w:color="000000"/>
            </w:tcBorders>
          </w:tcPr>
          <w:p>
            <w:pPr>
              <w:pStyle w:val="TableParagraph"/>
              <w:spacing w:before="13"/>
              <w:ind w:left="52"/>
              <w:rPr>
                <w:sz w:val="18"/>
              </w:rPr>
            </w:pPr>
            <w:r>
              <w:rPr>
                <w:sz w:val="18"/>
              </w:rPr>
              <w:t>Other</w:t>
            </w:r>
            <w:r>
              <w:rPr>
                <w:spacing w:val="-1"/>
                <w:sz w:val="18"/>
              </w:rPr>
              <w:t> </w:t>
            </w:r>
            <w:r>
              <w:rPr>
                <w:sz w:val="18"/>
              </w:rPr>
              <w:t>interest</w:t>
            </w:r>
            <w:r>
              <w:rPr>
                <w:spacing w:val="-1"/>
                <w:sz w:val="18"/>
              </w:rPr>
              <w:t> </w:t>
            </w:r>
            <w:r>
              <w:rPr>
                <w:spacing w:val="-2"/>
                <w:sz w:val="18"/>
              </w:rPr>
              <w:t>expense</w:t>
            </w:r>
          </w:p>
        </w:tc>
        <w:tc>
          <w:tcPr>
            <w:tcW w:w="881" w:type="dxa"/>
            <w:tcBorders>
              <w:bottom w:val="single" w:sz="4" w:space="0" w:color="000000"/>
            </w:tcBorders>
          </w:tcPr>
          <w:p>
            <w:pPr>
              <w:pStyle w:val="TableParagraph"/>
              <w:rPr>
                <w:sz w:val="16"/>
              </w:rPr>
            </w:pPr>
          </w:p>
        </w:tc>
        <w:tc>
          <w:tcPr>
            <w:tcW w:w="1038" w:type="dxa"/>
            <w:tcBorders>
              <w:bottom w:val="single" w:sz="4" w:space="0" w:color="000000"/>
            </w:tcBorders>
          </w:tcPr>
          <w:p>
            <w:pPr>
              <w:pStyle w:val="TableParagraph"/>
              <w:spacing w:before="13"/>
              <w:ind w:right="101"/>
              <w:jc w:val="right"/>
              <w:rPr>
                <w:sz w:val="18"/>
              </w:rPr>
            </w:pPr>
            <w:r>
              <w:rPr>
                <w:spacing w:val="-10"/>
                <w:sz w:val="18"/>
              </w:rPr>
              <w:t>1</w:t>
            </w:r>
          </w:p>
        </w:tc>
        <w:tc>
          <w:tcPr>
            <w:tcW w:w="944" w:type="dxa"/>
            <w:tcBorders>
              <w:bottom w:val="single" w:sz="4" w:space="0" w:color="000000"/>
            </w:tcBorders>
          </w:tcPr>
          <w:p>
            <w:pPr>
              <w:pStyle w:val="TableParagraph"/>
              <w:rPr>
                <w:sz w:val="16"/>
              </w:rPr>
            </w:pPr>
          </w:p>
        </w:tc>
        <w:tc>
          <w:tcPr>
            <w:tcW w:w="74" w:type="dxa"/>
            <w:tcBorders>
              <w:bottom w:val="single" w:sz="4" w:space="0" w:color="000000"/>
            </w:tcBorders>
          </w:tcPr>
          <w:p>
            <w:pPr>
              <w:pStyle w:val="TableParagraph"/>
              <w:rPr>
                <w:sz w:val="16"/>
              </w:rPr>
            </w:pPr>
          </w:p>
        </w:tc>
        <w:tc>
          <w:tcPr>
            <w:tcW w:w="880" w:type="dxa"/>
            <w:tcBorders>
              <w:bottom w:val="single" w:sz="4" w:space="0" w:color="000000"/>
            </w:tcBorders>
          </w:tcPr>
          <w:p>
            <w:pPr>
              <w:pStyle w:val="TableParagraph"/>
              <w:rPr>
                <w:sz w:val="16"/>
              </w:rPr>
            </w:pPr>
          </w:p>
        </w:tc>
        <w:tc>
          <w:tcPr>
            <w:tcW w:w="1037" w:type="dxa"/>
            <w:tcBorders>
              <w:bottom w:val="single" w:sz="4" w:space="0" w:color="000000"/>
            </w:tcBorders>
          </w:tcPr>
          <w:p>
            <w:pPr>
              <w:pStyle w:val="TableParagraph"/>
              <w:spacing w:before="13"/>
              <w:ind w:right="96"/>
              <w:jc w:val="right"/>
              <w:rPr>
                <w:sz w:val="18"/>
              </w:rPr>
            </w:pPr>
            <w:r>
              <w:rPr>
                <w:spacing w:val="-10"/>
                <w:sz w:val="18"/>
              </w:rPr>
              <w:t>1</w:t>
            </w:r>
          </w:p>
        </w:tc>
        <w:tc>
          <w:tcPr>
            <w:tcW w:w="943" w:type="dxa"/>
            <w:tcBorders>
              <w:bottom w:val="single" w:sz="4" w:space="0" w:color="000000"/>
            </w:tcBorders>
          </w:tcPr>
          <w:p>
            <w:pPr>
              <w:pStyle w:val="TableParagraph"/>
              <w:rPr>
                <w:sz w:val="16"/>
              </w:rPr>
            </w:pPr>
          </w:p>
        </w:tc>
      </w:tr>
      <w:tr>
        <w:trPr>
          <w:trHeight w:val="220" w:hRule="atLeast"/>
        </w:trPr>
        <w:tc>
          <w:tcPr>
            <w:tcW w:w="4455" w:type="dxa"/>
            <w:tcBorders>
              <w:top w:val="single" w:sz="4" w:space="0" w:color="000000"/>
              <w:bottom w:val="double" w:sz="8" w:space="0" w:color="000000"/>
            </w:tcBorders>
            <w:shd w:val="clear" w:color="auto" w:fill="CCEDFF"/>
          </w:tcPr>
          <w:p>
            <w:pPr>
              <w:pStyle w:val="TableParagraph"/>
              <w:spacing w:line="191" w:lineRule="exact" w:before="8"/>
              <w:ind w:left="187"/>
              <w:rPr>
                <w:sz w:val="18"/>
              </w:rPr>
            </w:pPr>
            <w:r>
              <w:rPr>
                <w:sz w:val="18"/>
              </w:rPr>
              <w:t>Total funding </w:t>
            </w:r>
            <w:r>
              <w:rPr>
                <w:spacing w:val="-2"/>
                <w:sz w:val="18"/>
              </w:rPr>
              <w:t>sources</w:t>
            </w:r>
          </w:p>
        </w:tc>
        <w:tc>
          <w:tcPr>
            <w:tcW w:w="881" w:type="dxa"/>
            <w:tcBorders>
              <w:top w:val="single" w:sz="4" w:space="0" w:color="000000"/>
              <w:bottom w:val="double" w:sz="8" w:space="0" w:color="000000"/>
            </w:tcBorders>
            <w:shd w:val="clear" w:color="auto" w:fill="CCEDFF"/>
          </w:tcPr>
          <w:p>
            <w:pPr>
              <w:pStyle w:val="TableParagraph"/>
              <w:spacing w:line="191" w:lineRule="exact" w:before="8"/>
              <w:ind w:right="98"/>
              <w:jc w:val="right"/>
              <w:rPr>
                <w:sz w:val="18"/>
              </w:rPr>
            </w:pPr>
            <w:r>
              <w:rPr>
                <w:sz w:val="18"/>
              </w:rPr>
              <w:t>$</w:t>
            </w:r>
            <w:r>
              <w:rPr>
                <w:spacing w:val="5"/>
                <w:sz w:val="18"/>
              </w:rPr>
              <w:t> </w:t>
            </w:r>
            <w:r>
              <w:rPr>
                <w:spacing w:val="-2"/>
                <w:sz w:val="18"/>
              </w:rPr>
              <w:t>453,764</w:t>
            </w:r>
          </w:p>
        </w:tc>
        <w:tc>
          <w:tcPr>
            <w:tcW w:w="1038" w:type="dxa"/>
            <w:tcBorders>
              <w:top w:val="single" w:sz="4" w:space="0" w:color="000000"/>
              <w:bottom w:val="double" w:sz="8" w:space="0" w:color="000000"/>
            </w:tcBorders>
            <w:shd w:val="clear" w:color="auto" w:fill="CCEDFF"/>
          </w:tcPr>
          <w:p>
            <w:pPr>
              <w:pStyle w:val="TableParagraph"/>
              <w:tabs>
                <w:tab w:pos="427" w:val="left" w:leader="none"/>
              </w:tabs>
              <w:spacing w:line="191" w:lineRule="exact" w:before="8"/>
              <w:ind w:right="101"/>
              <w:jc w:val="right"/>
              <w:rPr>
                <w:sz w:val="18"/>
              </w:rPr>
            </w:pPr>
            <w:r>
              <w:rPr>
                <w:spacing w:val="-10"/>
                <w:sz w:val="18"/>
              </w:rPr>
              <w:t>$</w:t>
            </w:r>
            <w:r>
              <w:rPr>
                <w:sz w:val="18"/>
              </w:rPr>
              <w:tab/>
            </w:r>
            <w:r>
              <w:rPr>
                <w:spacing w:val="-2"/>
                <w:sz w:val="18"/>
              </w:rPr>
              <w:t>1,791</w:t>
            </w:r>
          </w:p>
        </w:tc>
        <w:tc>
          <w:tcPr>
            <w:tcW w:w="944" w:type="dxa"/>
            <w:tcBorders>
              <w:top w:val="single" w:sz="4" w:space="0" w:color="000000"/>
              <w:bottom w:val="double" w:sz="8" w:space="0" w:color="000000"/>
            </w:tcBorders>
            <w:shd w:val="clear" w:color="auto" w:fill="CCEDFF"/>
          </w:tcPr>
          <w:p>
            <w:pPr>
              <w:pStyle w:val="TableParagraph"/>
              <w:spacing w:line="191" w:lineRule="exact" w:before="8"/>
              <w:ind w:right="70"/>
              <w:jc w:val="right"/>
              <w:rPr>
                <w:sz w:val="18"/>
              </w:rPr>
            </w:pPr>
            <w:r>
              <w:rPr>
                <w:spacing w:val="-2"/>
                <w:sz w:val="18"/>
              </w:rPr>
              <w:t>1.56%</w:t>
            </w:r>
          </w:p>
        </w:tc>
        <w:tc>
          <w:tcPr>
            <w:tcW w:w="74" w:type="dxa"/>
            <w:tcBorders>
              <w:top w:val="single" w:sz="4" w:space="0" w:color="000000"/>
              <w:bottom w:val="double" w:sz="8" w:space="0" w:color="000000"/>
            </w:tcBorders>
            <w:shd w:val="clear" w:color="auto" w:fill="CCEDFF"/>
          </w:tcPr>
          <w:p>
            <w:pPr>
              <w:pStyle w:val="TableParagraph"/>
              <w:rPr>
                <w:sz w:val="14"/>
              </w:rPr>
            </w:pPr>
          </w:p>
        </w:tc>
        <w:tc>
          <w:tcPr>
            <w:tcW w:w="880" w:type="dxa"/>
            <w:tcBorders>
              <w:top w:val="single" w:sz="4" w:space="0" w:color="000000"/>
              <w:bottom w:val="double" w:sz="8" w:space="0" w:color="000000"/>
            </w:tcBorders>
            <w:shd w:val="clear" w:color="auto" w:fill="CCEDFF"/>
          </w:tcPr>
          <w:p>
            <w:pPr>
              <w:pStyle w:val="TableParagraph"/>
              <w:spacing w:line="191" w:lineRule="exact" w:before="8"/>
              <w:ind w:right="94"/>
              <w:jc w:val="right"/>
              <w:rPr>
                <w:sz w:val="18"/>
              </w:rPr>
            </w:pPr>
            <w:r>
              <w:rPr>
                <w:sz w:val="18"/>
              </w:rPr>
              <w:t>$</w:t>
            </w:r>
            <w:r>
              <w:rPr>
                <w:spacing w:val="5"/>
                <w:sz w:val="18"/>
              </w:rPr>
              <w:t> </w:t>
            </w:r>
            <w:r>
              <w:rPr>
                <w:spacing w:val="-2"/>
                <w:sz w:val="18"/>
              </w:rPr>
              <w:t>586,952</w:t>
            </w:r>
          </w:p>
        </w:tc>
        <w:tc>
          <w:tcPr>
            <w:tcW w:w="1037" w:type="dxa"/>
            <w:tcBorders>
              <w:top w:val="single" w:sz="4" w:space="0" w:color="000000"/>
              <w:bottom w:val="double" w:sz="8" w:space="0" w:color="000000"/>
            </w:tcBorders>
            <w:shd w:val="clear" w:color="auto" w:fill="CCEDFF"/>
          </w:tcPr>
          <w:p>
            <w:pPr>
              <w:pStyle w:val="TableParagraph"/>
              <w:tabs>
                <w:tab w:pos="562" w:val="left" w:leader="none"/>
              </w:tabs>
              <w:spacing w:line="191" w:lineRule="exact" w:before="8"/>
              <w:ind w:right="96"/>
              <w:jc w:val="right"/>
              <w:rPr>
                <w:sz w:val="18"/>
              </w:rPr>
            </w:pPr>
            <w:r>
              <w:rPr>
                <w:spacing w:val="-10"/>
                <w:sz w:val="18"/>
              </w:rPr>
              <w:t>$</w:t>
            </w:r>
            <w:r>
              <w:rPr>
                <w:sz w:val="18"/>
              </w:rPr>
              <w:tab/>
            </w:r>
            <w:r>
              <w:rPr>
                <w:spacing w:val="-5"/>
                <w:sz w:val="18"/>
              </w:rPr>
              <w:t>431</w:t>
            </w:r>
          </w:p>
        </w:tc>
        <w:tc>
          <w:tcPr>
            <w:tcW w:w="943" w:type="dxa"/>
            <w:tcBorders>
              <w:top w:val="single" w:sz="4" w:space="0" w:color="000000"/>
              <w:bottom w:val="double" w:sz="8" w:space="0" w:color="000000"/>
            </w:tcBorders>
            <w:shd w:val="clear" w:color="auto" w:fill="CCEDFF"/>
          </w:tcPr>
          <w:p>
            <w:pPr>
              <w:pStyle w:val="TableParagraph"/>
              <w:spacing w:line="191" w:lineRule="exact" w:before="8"/>
              <w:ind w:left="344"/>
              <w:jc w:val="center"/>
              <w:rPr>
                <w:sz w:val="18"/>
              </w:rPr>
            </w:pPr>
            <w:r>
              <w:rPr>
                <w:spacing w:val="-2"/>
                <w:sz w:val="18"/>
              </w:rPr>
              <w:t>0.29%</w:t>
            </w:r>
          </w:p>
        </w:tc>
      </w:tr>
      <w:tr>
        <w:trPr>
          <w:trHeight w:val="195" w:hRule="atLeast"/>
        </w:trPr>
        <w:tc>
          <w:tcPr>
            <w:tcW w:w="4455" w:type="dxa"/>
            <w:tcBorders>
              <w:top w:val="double" w:sz="8" w:space="0" w:color="000000"/>
              <w:bottom w:val="double" w:sz="8" w:space="0" w:color="000000"/>
            </w:tcBorders>
          </w:tcPr>
          <w:p>
            <w:pPr>
              <w:pStyle w:val="TableParagraph"/>
              <w:spacing w:line="175" w:lineRule="exact"/>
              <w:ind w:left="52"/>
              <w:rPr>
                <w:b/>
                <w:sz w:val="18"/>
              </w:rPr>
            </w:pPr>
            <w:r>
              <w:rPr>
                <w:b/>
                <w:sz w:val="18"/>
              </w:rPr>
              <w:t>Net</w:t>
            </w:r>
            <w:r>
              <w:rPr>
                <w:b/>
                <w:spacing w:val="-2"/>
                <w:sz w:val="18"/>
              </w:rPr>
              <w:t> </w:t>
            </w:r>
            <w:r>
              <w:rPr>
                <w:b/>
                <w:sz w:val="18"/>
              </w:rPr>
              <w:t>interest</w:t>
            </w:r>
            <w:r>
              <w:rPr>
                <w:b/>
                <w:spacing w:val="-1"/>
                <w:sz w:val="18"/>
              </w:rPr>
              <w:t> </w:t>
            </w:r>
            <w:r>
              <w:rPr>
                <w:b/>
                <w:spacing w:val="-2"/>
                <w:sz w:val="18"/>
              </w:rPr>
              <w:t>revenue</w:t>
            </w:r>
          </w:p>
        </w:tc>
        <w:tc>
          <w:tcPr>
            <w:tcW w:w="881" w:type="dxa"/>
            <w:tcBorders>
              <w:top w:val="double" w:sz="8" w:space="0" w:color="000000"/>
              <w:bottom w:val="double" w:sz="8" w:space="0" w:color="000000"/>
            </w:tcBorders>
          </w:tcPr>
          <w:p>
            <w:pPr>
              <w:pStyle w:val="TableParagraph"/>
              <w:rPr>
                <w:sz w:val="12"/>
              </w:rPr>
            </w:pPr>
          </w:p>
        </w:tc>
        <w:tc>
          <w:tcPr>
            <w:tcW w:w="1038" w:type="dxa"/>
            <w:tcBorders>
              <w:top w:val="double" w:sz="8" w:space="0" w:color="000000"/>
              <w:bottom w:val="double" w:sz="8" w:space="0" w:color="000000"/>
            </w:tcBorders>
          </w:tcPr>
          <w:p>
            <w:pPr>
              <w:pStyle w:val="TableParagraph"/>
              <w:tabs>
                <w:tab w:pos="427" w:val="left" w:leader="none"/>
              </w:tabs>
              <w:spacing w:line="175" w:lineRule="exact"/>
              <w:ind w:right="101"/>
              <w:jc w:val="right"/>
              <w:rPr>
                <w:sz w:val="18"/>
              </w:rPr>
            </w:pPr>
            <w:r>
              <w:rPr>
                <w:spacing w:val="-10"/>
                <w:sz w:val="18"/>
              </w:rPr>
              <w:t>$</w:t>
            </w:r>
            <w:r>
              <w:rPr>
                <w:sz w:val="18"/>
              </w:rPr>
              <w:tab/>
            </w:r>
            <w:r>
              <w:rPr>
                <w:spacing w:val="-2"/>
                <w:sz w:val="18"/>
              </w:rPr>
              <w:t>2,237</w:t>
            </w:r>
          </w:p>
        </w:tc>
        <w:tc>
          <w:tcPr>
            <w:tcW w:w="944" w:type="dxa"/>
            <w:tcBorders>
              <w:top w:val="double" w:sz="8" w:space="0" w:color="000000"/>
              <w:bottom w:val="double" w:sz="8" w:space="0" w:color="000000"/>
            </w:tcBorders>
          </w:tcPr>
          <w:p>
            <w:pPr>
              <w:pStyle w:val="TableParagraph"/>
              <w:spacing w:line="175" w:lineRule="exact"/>
              <w:ind w:right="70"/>
              <w:jc w:val="right"/>
              <w:rPr>
                <w:sz w:val="18"/>
              </w:rPr>
            </w:pPr>
            <w:r>
              <w:rPr>
                <w:spacing w:val="-2"/>
                <w:sz w:val="18"/>
              </w:rPr>
              <w:t>1.94%</w:t>
            </w:r>
          </w:p>
        </w:tc>
        <w:tc>
          <w:tcPr>
            <w:tcW w:w="74" w:type="dxa"/>
            <w:tcBorders>
              <w:top w:val="double" w:sz="8" w:space="0" w:color="000000"/>
              <w:bottom w:val="double" w:sz="8" w:space="0" w:color="000000"/>
            </w:tcBorders>
          </w:tcPr>
          <w:p>
            <w:pPr>
              <w:pStyle w:val="TableParagraph"/>
              <w:rPr>
                <w:sz w:val="12"/>
              </w:rPr>
            </w:pPr>
          </w:p>
        </w:tc>
        <w:tc>
          <w:tcPr>
            <w:tcW w:w="880" w:type="dxa"/>
            <w:tcBorders>
              <w:top w:val="double" w:sz="8" w:space="0" w:color="000000"/>
              <w:bottom w:val="double" w:sz="8" w:space="0" w:color="000000"/>
            </w:tcBorders>
          </w:tcPr>
          <w:p>
            <w:pPr>
              <w:pStyle w:val="TableParagraph"/>
              <w:rPr>
                <w:sz w:val="12"/>
              </w:rPr>
            </w:pPr>
          </w:p>
        </w:tc>
        <w:tc>
          <w:tcPr>
            <w:tcW w:w="1037" w:type="dxa"/>
            <w:tcBorders>
              <w:top w:val="double" w:sz="8" w:space="0" w:color="000000"/>
              <w:bottom w:val="double" w:sz="8" w:space="0" w:color="000000"/>
            </w:tcBorders>
          </w:tcPr>
          <w:p>
            <w:pPr>
              <w:pStyle w:val="TableParagraph"/>
              <w:tabs>
                <w:tab w:pos="427" w:val="left" w:leader="none"/>
              </w:tabs>
              <w:spacing w:line="175" w:lineRule="exact"/>
              <w:ind w:right="96"/>
              <w:jc w:val="right"/>
              <w:rPr>
                <w:sz w:val="18"/>
              </w:rPr>
            </w:pPr>
            <w:r>
              <w:rPr>
                <w:spacing w:val="-10"/>
                <w:sz w:val="18"/>
              </w:rPr>
              <w:t>$</w:t>
            </w:r>
            <w:r>
              <w:rPr>
                <w:sz w:val="18"/>
              </w:rPr>
              <w:tab/>
            </w:r>
            <w:r>
              <w:rPr>
                <w:spacing w:val="-2"/>
                <w:sz w:val="18"/>
              </w:rPr>
              <w:t>2,926</w:t>
            </w:r>
          </w:p>
        </w:tc>
        <w:tc>
          <w:tcPr>
            <w:tcW w:w="943" w:type="dxa"/>
            <w:tcBorders>
              <w:top w:val="double" w:sz="8" w:space="0" w:color="000000"/>
              <w:bottom w:val="double" w:sz="8" w:space="0" w:color="000000"/>
            </w:tcBorders>
          </w:tcPr>
          <w:p>
            <w:pPr>
              <w:pStyle w:val="TableParagraph"/>
              <w:spacing w:line="175" w:lineRule="exact"/>
              <w:ind w:left="344"/>
              <w:jc w:val="center"/>
              <w:rPr>
                <w:sz w:val="18"/>
              </w:rPr>
            </w:pPr>
            <w:r>
              <w:rPr>
                <w:spacing w:val="-2"/>
                <w:sz w:val="18"/>
              </w:rPr>
              <w:t>1.97%</w:t>
            </w:r>
          </w:p>
        </w:tc>
      </w:tr>
    </w:tbl>
    <w:p>
      <w:pPr>
        <w:spacing w:before="28"/>
        <w:ind w:left="470" w:right="0" w:firstLine="0"/>
        <w:jc w:val="left"/>
        <w:rPr>
          <w:sz w:val="16"/>
        </w:rPr>
      </w:pPr>
      <w:r>
        <w:rPr>
          <w:sz w:val="16"/>
          <w:vertAlign w:val="superscript"/>
        </w:rPr>
        <w:t>(1)</w:t>
      </w:r>
      <w:r>
        <w:rPr>
          <w:spacing w:val="-15"/>
          <w:sz w:val="16"/>
          <w:vertAlign w:val="baseline"/>
        </w:rPr>
        <w:t> </w:t>
      </w:r>
      <w:r>
        <w:rPr>
          <w:sz w:val="16"/>
          <w:vertAlign w:val="baseline"/>
        </w:rPr>
        <w:t>Amounts</w:t>
      </w:r>
      <w:r>
        <w:rPr>
          <w:spacing w:val="-1"/>
          <w:sz w:val="16"/>
          <w:vertAlign w:val="baseline"/>
        </w:rPr>
        <w:t> </w:t>
      </w:r>
      <w:r>
        <w:rPr>
          <w:sz w:val="16"/>
          <w:vertAlign w:val="baseline"/>
        </w:rPr>
        <w:t>have been calculated based on amortized cost.</w:t>
      </w:r>
      <w:r>
        <w:rPr>
          <w:spacing w:val="1"/>
          <w:sz w:val="16"/>
          <w:vertAlign w:val="baseline"/>
        </w:rPr>
        <w:t> </w:t>
      </w:r>
      <w:r>
        <w:rPr>
          <w:sz w:val="16"/>
          <w:vertAlign w:val="baseline"/>
        </w:rPr>
        <w:t>Interest revenue on investment securities</w:t>
      </w:r>
      <w:r>
        <w:rPr>
          <w:spacing w:val="-1"/>
          <w:sz w:val="16"/>
          <w:vertAlign w:val="baseline"/>
        </w:rPr>
        <w:t> </w:t>
      </w:r>
      <w:r>
        <w:rPr>
          <w:sz w:val="16"/>
          <w:vertAlign w:val="baseline"/>
        </w:rPr>
        <w:t>is</w:t>
      </w:r>
      <w:r>
        <w:rPr>
          <w:spacing w:val="-1"/>
          <w:sz w:val="16"/>
          <w:vertAlign w:val="baseline"/>
        </w:rPr>
        <w:t> </w:t>
      </w:r>
      <w:r>
        <w:rPr>
          <w:sz w:val="16"/>
          <w:vertAlign w:val="baseline"/>
        </w:rPr>
        <w:t>presented net of</w:t>
      </w:r>
      <w:r>
        <w:rPr>
          <w:spacing w:val="1"/>
          <w:sz w:val="16"/>
          <w:vertAlign w:val="baseline"/>
        </w:rPr>
        <w:t> </w:t>
      </w:r>
      <w:r>
        <w:rPr>
          <w:sz w:val="16"/>
          <w:vertAlign w:val="baseline"/>
        </w:rPr>
        <w:t>related premium </w:t>
      </w:r>
      <w:r>
        <w:rPr>
          <w:spacing w:val="-2"/>
          <w:sz w:val="16"/>
          <w:vertAlign w:val="baseline"/>
        </w:rPr>
        <w:t>amortization.</w:t>
      </w:r>
    </w:p>
    <w:p>
      <w:pPr>
        <w:spacing w:line="249" w:lineRule="auto" w:before="8"/>
        <w:ind w:left="650" w:right="761" w:hanging="180"/>
        <w:jc w:val="left"/>
        <w:rPr>
          <w:sz w:val="16"/>
        </w:rPr>
      </w:pPr>
      <w:r>
        <w:rPr>
          <w:sz w:val="16"/>
          <w:vertAlign w:val="superscript"/>
        </w:rPr>
        <w:t>(2)</w:t>
      </w:r>
      <w:r>
        <w:rPr>
          <w:spacing w:val="-15"/>
          <w:sz w:val="16"/>
          <w:vertAlign w:val="baseline"/>
        </w:rPr>
        <w:t> </w:t>
      </w:r>
      <w:r>
        <w:rPr>
          <w:sz w:val="16"/>
          <w:vertAlign w:val="baseline"/>
        </w:rPr>
        <w:t>Beginning</w:t>
      </w:r>
      <w:r>
        <w:rPr>
          <w:spacing w:val="-3"/>
          <w:sz w:val="16"/>
          <w:vertAlign w:val="baseline"/>
        </w:rPr>
        <w:t> </w:t>
      </w:r>
      <w:r>
        <w:rPr>
          <w:sz w:val="16"/>
          <w:vertAlign w:val="baseline"/>
        </w:rPr>
        <w:t>in</w:t>
      </w:r>
      <w:r>
        <w:rPr>
          <w:spacing w:val="-2"/>
          <w:sz w:val="16"/>
          <w:vertAlign w:val="baseline"/>
        </w:rPr>
        <w:t> </w:t>
      </w:r>
      <w:r>
        <w:rPr>
          <w:sz w:val="16"/>
          <w:vertAlign w:val="baseline"/>
        </w:rPr>
        <w:t>the</w:t>
      </w:r>
      <w:r>
        <w:rPr>
          <w:spacing w:val="-2"/>
          <w:sz w:val="16"/>
          <w:vertAlign w:val="baseline"/>
        </w:rPr>
        <w:t> </w:t>
      </w:r>
      <w:r>
        <w:rPr>
          <w:sz w:val="16"/>
          <w:vertAlign w:val="baseline"/>
        </w:rPr>
        <w:t>first</w:t>
      </w:r>
      <w:r>
        <w:rPr>
          <w:spacing w:val="-2"/>
          <w:sz w:val="16"/>
          <w:vertAlign w:val="baseline"/>
        </w:rPr>
        <w:t> </w:t>
      </w:r>
      <w:r>
        <w:rPr>
          <w:sz w:val="16"/>
          <w:vertAlign w:val="baseline"/>
        </w:rPr>
        <w:t>quarter</w:t>
      </w:r>
      <w:r>
        <w:rPr>
          <w:spacing w:val="-2"/>
          <w:sz w:val="16"/>
          <w:vertAlign w:val="baseline"/>
        </w:rPr>
        <w:t> </w:t>
      </w:r>
      <w:r>
        <w:rPr>
          <w:sz w:val="16"/>
          <w:vertAlign w:val="baseline"/>
        </w:rPr>
        <w:t>of</w:t>
      </w:r>
      <w:r>
        <w:rPr>
          <w:spacing w:val="-2"/>
          <w:sz w:val="16"/>
          <w:vertAlign w:val="baseline"/>
        </w:rPr>
        <w:t> </w:t>
      </w:r>
      <w:r>
        <w:rPr>
          <w:sz w:val="16"/>
          <w:vertAlign w:val="baseline"/>
        </w:rPr>
        <w:t>2023,</w:t>
      </w:r>
      <w:r>
        <w:rPr>
          <w:spacing w:val="-2"/>
          <w:sz w:val="16"/>
          <w:vertAlign w:val="baseline"/>
        </w:rPr>
        <w:t> </w:t>
      </w:r>
      <w:r>
        <w:rPr>
          <w:sz w:val="16"/>
          <w:vertAlign w:val="baseline"/>
        </w:rPr>
        <w:t>FHLB</w:t>
      </w:r>
      <w:r>
        <w:rPr>
          <w:spacing w:val="-2"/>
          <w:sz w:val="16"/>
          <w:vertAlign w:val="baseline"/>
        </w:rPr>
        <w:t> </w:t>
      </w:r>
      <w:r>
        <w:rPr>
          <w:sz w:val="16"/>
          <w:vertAlign w:val="baseline"/>
        </w:rPr>
        <w:t>borrowings</w:t>
      </w:r>
      <w:r>
        <w:rPr>
          <w:spacing w:val="-3"/>
          <w:sz w:val="16"/>
          <w:vertAlign w:val="baseline"/>
        </w:rPr>
        <w:t> </w:t>
      </w:r>
      <w:r>
        <w:rPr>
          <w:sz w:val="16"/>
          <w:vertAlign w:val="baseline"/>
        </w:rPr>
        <w:t>are</w:t>
      </w:r>
      <w:r>
        <w:rPr>
          <w:spacing w:val="-2"/>
          <w:sz w:val="16"/>
          <w:vertAlign w:val="baseline"/>
        </w:rPr>
        <w:t> </w:t>
      </w:r>
      <w:r>
        <w:rPr>
          <w:sz w:val="16"/>
          <w:vertAlign w:val="baseline"/>
        </w:rPr>
        <w:t>presented</w:t>
      </w:r>
      <w:r>
        <w:rPr>
          <w:spacing w:val="-2"/>
          <w:sz w:val="16"/>
          <w:vertAlign w:val="baseline"/>
        </w:rPr>
        <w:t> </w:t>
      </w:r>
      <w:r>
        <w:rPr>
          <w:sz w:val="16"/>
          <w:vertAlign w:val="baseline"/>
        </w:rPr>
        <w:t>separately</w:t>
      </w:r>
      <w:r>
        <w:rPr>
          <w:spacing w:val="-2"/>
          <w:sz w:val="16"/>
          <w:vertAlign w:val="baseline"/>
        </w:rPr>
        <w:t> </w:t>
      </w:r>
      <w:r>
        <w:rPr>
          <w:sz w:val="16"/>
          <w:vertAlign w:val="baseline"/>
        </w:rPr>
        <w:t>from</w:t>
      </w:r>
      <w:r>
        <w:rPr>
          <w:spacing w:val="-2"/>
          <w:sz w:val="16"/>
          <w:vertAlign w:val="baseline"/>
        </w:rPr>
        <w:t> </w:t>
      </w:r>
      <w:r>
        <w:rPr>
          <w:sz w:val="16"/>
          <w:vertAlign w:val="baseline"/>
        </w:rPr>
        <w:t>other</w:t>
      </w:r>
      <w:r>
        <w:rPr>
          <w:spacing w:val="-2"/>
          <w:sz w:val="16"/>
          <w:vertAlign w:val="baseline"/>
        </w:rPr>
        <w:t> </w:t>
      </w:r>
      <w:r>
        <w:rPr>
          <w:sz w:val="16"/>
          <w:vertAlign w:val="baseline"/>
        </w:rPr>
        <w:t>short-term</w:t>
      </w:r>
      <w:r>
        <w:rPr>
          <w:spacing w:val="-2"/>
          <w:sz w:val="16"/>
          <w:vertAlign w:val="baseline"/>
        </w:rPr>
        <w:t> </w:t>
      </w:r>
      <w:r>
        <w:rPr>
          <w:sz w:val="16"/>
          <w:vertAlign w:val="baseline"/>
        </w:rPr>
        <w:t>borrowings.</w:t>
      </w:r>
      <w:r>
        <w:rPr>
          <w:spacing w:val="-2"/>
          <w:sz w:val="16"/>
          <w:vertAlign w:val="baseline"/>
        </w:rPr>
        <w:t> </w:t>
      </w:r>
      <w:r>
        <w:rPr>
          <w:sz w:val="16"/>
          <w:vertAlign w:val="baseline"/>
        </w:rPr>
        <w:t>Prior</w:t>
      </w:r>
      <w:r>
        <w:rPr>
          <w:spacing w:val="-2"/>
          <w:sz w:val="16"/>
          <w:vertAlign w:val="baseline"/>
        </w:rPr>
        <w:t> </w:t>
      </w:r>
      <w:r>
        <w:rPr>
          <w:sz w:val="16"/>
          <w:vertAlign w:val="baseline"/>
        </w:rPr>
        <w:t>period</w:t>
      </w:r>
      <w:r>
        <w:rPr>
          <w:spacing w:val="-2"/>
          <w:sz w:val="16"/>
          <w:vertAlign w:val="baseline"/>
        </w:rPr>
        <w:t> </w:t>
      </w:r>
      <w:r>
        <w:rPr>
          <w:sz w:val="16"/>
          <w:vertAlign w:val="baseline"/>
        </w:rPr>
        <w:t>amounts</w:t>
      </w:r>
      <w:r>
        <w:rPr>
          <w:spacing w:val="-3"/>
          <w:sz w:val="16"/>
          <w:vertAlign w:val="baseline"/>
        </w:rPr>
        <w:t> </w:t>
      </w:r>
      <w:r>
        <w:rPr>
          <w:sz w:val="16"/>
          <w:vertAlign w:val="baseline"/>
        </w:rPr>
        <w:t>have</w:t>
      </w:r>
      <w:r>
        <w:rPr>
          <w:spacing w:val="-2"/>
          <w:sz w:val="16"/>
          <w:vertAlign w:val="baseline"/>
        </w:rPr>
        <w:t> </w:t>
      </w:r>
      <w:r>
        <w:rPr>
          <w:sz w:val="16"/>
          <w:vertAlign w:val="baseline"/>
        </w:rPr>
        <w:t>been</w:t>
      </w:r>
      <w:r>
        <w:rPr>
          <w:spacing w:val="40"/>
          <w:sz w:val="16"/>
          <w:vertAlign w:val="baseline"/>
        </w:rPr>
        <w:t> </w:t>
      </w:r>
      <w:r>
        <w:rPr>
          <w:sz w:val="16"/>
          <w:vertAlign w:val="baseline"/>
        </w:rPr>
        <w:t>reclassified to reflect this change.</w:t>
      </w:r>
    </w:p>
    <w:p>
      <w:pPr>
        <w:spacing w:before="1"/>
        <w:ind w:left="470" w:right="0" w:firstLine="0"/>
        <w:jc w:val="left"/>
        <w:rPr>
          <w:sz w:val="16"/>
        </w:rPr>
      </w:pPr>
      <w:r>
        <w:rPr>
          <w:sz w:val="16"/>
          <w:vertAlign w:val="superscript"/>
        </w:rPr>
        <w:t>(3)</w:t>
      </w:r>
      <w:r>
        <w:rPr>
          <w:spacing w:val="-15"/>
          <w:sz w:val="16"/>
          <w:vertAlign w:val="baseline"/>
        </w:rPr>
        <w:t> </w:t>
      </w:r>
      <w:r>
        <w:rPr>
          <w:sz w:val="16"/>
          <w:vertAlign w:val="baseline"/>
        </w:rPr>
        <w:t>Average balance and interest</w:t>
      </w:r>
      <w:r>
        <w:rPr>
          <w:spacing w:val="1"/>
          <w:sz w:val="16"/>
          <w:vertAlign w:val="baseline"/>
        </w:rPr>
        <w:t> </w:t>
      </w:r>
      <w:r>
        <w:rPr>
          <w:sz w:val="16"/>
          <w:vertAlign w:val="baseline"/>
        </w:rPr>
        <w:t>expense were less</w:t>
      </w:r>
      <w:r>
        <w:rPr>
          <w:spacing w:val="-1"/>
          <w:sz w:val="16"/>
          <w:vertAlign w:val="baseline"/>
        </w:rPr>
        <w:t> </w:t>
      </w:r>
      <w:r>
        <w:rPr>
          <w:sz w:val="16"/>
          <w:vertAlign w:val="baseline"/>
        </w:rPr>
        <w:t>than</w:t>
      </w:r>
      <w:r>
        <w:rPr>
          <w:spacing w:val="1"/>
          <w:sz w:val="16"/>
          <w:vertAlign w:val="baseline"/>
        </w:rPr>
        <w:t> </w:t>
      </w:r>
      <w:r>
        <w:rPr>
          <w:sz w:val="16"/>
          <w:vertAlign w:val="baseline"/>
        </w:rPr>
        <w:t>$500 thousand in the</w:t>
      </w:r>
      <w:r>
        <w:rPr>
          <w:spacing w:val="1"/>
          <w:sz w:val="16"/>
          <w:vertAlign w:val="baseline"/>
        </w:rPr>
        <w:t> </w:t>
      </w:r>
      <w:r>
        <w:rPr>
          <w:sz w:val="16"/>
          <w:vertAlign w:val="baseline"/>
        </w:rPr>
        <w:t>prior </w:t>
      </w:r>
      <w:r>
        <w:rPr>
          <w:spacing w:val="-2"/>
          <w:sz w:val="16"/>
          <w:vertAlign w:val="baseline"/>
        </w:rPr>
        <w:t>period.</w:t>
      </w:r>
    </w:p>
    <w:p>
      <w:pPr>
        <w:spacing w:after="0"/>
        <w:jc w:val="left"/>
        <w:rPr>
          <w:sz w:val="16"/>
        </w:rPr>
        <w:sectPr>
          <w:pgSz w:w="12240" w:h="15840"/>
          <w:pgMar w:header="512" w:footer="201" w:top="1180" w:bottom="400" w:left="520" w:right="520"/>
        </w:sectPr>
      </w:pPr>
    </w:p>
    <w:p>
      <w:pPr>
        <w:pStyle w:val="BodyText"/>
        <w:spacing w:before="29"/>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5"/>
        <w:gridCol w:w="881"/>
        <w:gridCol w:w="1081"/>
        <w:gridCol w:w="902"/>
        <w:gridCol w:w="75"/>
        <w:gridCol w:w="881"/>
        <w:gridCol w:w="1111"/>
        <w:gridCol w:w="872"/>
      </w:tblGrid>
      <w:tr>
        <w:trPr>
          <w:trHeight w:val="245" w:hRule="atLeast"/>
        </w:trPr>
        <w:tc>
          <w:tcPr>
            <w:tcW w:w="4455" w:type="dxa"/>
            <w:tcBorders>
              <w:top w:val="single" w:sz="4" w:space="0" w:color="000000"/>
            </w:tcBorders>
          </w:tcPr>
          <w:p>
            <w:pPr>
              <w:pStyle w:val="TableParagraph"/>
              <w:rPr>
                <w:sz w:val="16"/>
              </w:rPr>
            </w:pPr>
          </w:p>
        </w:tc>
        <w:tc>
          <w:tcPr>
            <w:tcW w:w="881" w:type="dxa"/>
            <w:tcBorders>
              <w:top w:val="single" w:sz="4" w:space="0" w:color="000000"/>
              <w:bottom w:val="single" w:sz="4" w:space="0" w:color="000000"/>
            </w:tcBorders>
          </w:tcPr>
          <w:p>
            <w:pPr>
              <w:pStyle w:val="TableParagraph"/>
              <w:rPr>
                <w:sz w:val="16"/>
              </w:rPr>
            </w:pPr>
          </w:p>
        </w:tc>
        <w:tc>
          <w:tcPr>
            <w:tcW w:w="1081" w:type="dxa"/>
            <w:tcBorders>
              <w:top w:val="single" w:sz="4" w:space="0" w:color="000000"/>
              <w:bottom w:val="single" w:sz="4" w:space="0" w:color="000000"/>
            </w:tcBorders>
          </w:tcPr>
          <w:p>
            <w:pPr>
              <w:pStyle w:val="TableParagraph"/>
              <w:spacing w:before="13"/>
              <w:ind w:left="371"/>
              <w:rPr>
                <w:sz w:val="18"/>
              </w:rPr>
            </w:pPr>
            <w:r>
              <w:rPr>
                <w:spacing w:val="-4"/>
                <w:sz w:val="18"/>
              </w:rPr>
              <w:t>2023</w:t>
            </w:r>
          </w:p>
        </w:tc>
        <w:tc>
          <w:tcPr>
            <w:tcW w:w="902" w:type="dxa"/>
            <w:tcBorders>
              <w:top w:val="single" w:sz="4" w:space="0" w:color="000000"/>
              <w:bottom w:val="single" w:sz="4" w:space="0" w:color="000000"/>
            </w:tcBorders>
          </w:tcPr>
          <w:p>
            <w:pPr>
              <w:pStyle w:val="TableParagraph"/>
              <w:rPr>
                <w:sz w:val="16"/>
              </w:rPr>
            </w:pPr>
          </w:p>
        </w:tc>
        <w:tc>
          <w:tcPr>
            <w:tcW w:w="75" w:type="dxa"/>
            <w:tcBorders>
              <w:top w:val="single" w:sz="4" w:space="0" w:color="000000"/>
            </w:tcBorders>
          </w:tcPr>
          <w:p>
            <w:pPr>
              <w:pStyle w:val="TableParagraph"/>
              <w:rPr>
                <w:sz w:val="16"/>
              </w:rPr>
            </w:pPr>
          </w:p>
        </w:tc>
        <w:tc>
          <w:tcPr>
            <w:tcW w:w="881" w:type="dxa"/>
            <w:tcBorders>
              <w:top w:val="single" w:sz="4" w:space="0" w:color="000000"/>
              <w:bottom w:val="single" w:sz="4" w:space="0" w:color="000000"/>
            </w:tcBorders>
          </w:tcPr>
          <w:p>
            <w:pPr>
              <w:pStyle w:val="TableParagraph"/>
              <w:rPr>
                <w:sz w:val="16"/>
              </w:rPr>
            </w:pPr>
          </w:p>
        </w:tc>
        <w:tc>
          <w:tcPr>
            <w:tcW w:w="1111" w:type="dxa"/>
            <w:tcBorders>
              <w:top w:val="single" w:sz="4" w:space="0" w:color="000000"/>
              <w:bottom w:val="single" w:sz="4" w:space="0" w:color="000000"/>
            </w:tcBorders>
          </w:tcPr>
          <w:p>
            <w:pPr>
              <w:pStyle w:val="TableParagraph"/>
              <w:spacing w:before="13"/>
              <w:ind w:left="44" w:right="48"/>
              <w:jc w:val="center"/>
              <w:rPr>
                <w:sz w:val="18"/>
              </w:rPr>
            </w:pPr>
            <w:r>
              <w:rPr>
                <w:spacing w:val="-4"/>
                <w:sz w:val="18"/>
              </w:rPr>
              <w:t>2022</w:t>
            </w:r>
          </w:p>
        </w:tc>
        <w:tc>
          <w:tcPr>
            <w:tcW w:w="872" w:type="dxa"/>
            <w:tcBorders>
              <w:top w:val="single" w:sz="4" w:space="0" w:color="000000"/>
              <w:bottom w:val="single" w:sz="4" w:space="0" w:color="000000"/>
            </w:tcBorders>
          </w:tcPr>
          <w:p>
            <w:pPr>
              <w:pStyle w:val="TableParagraph"/>
              <w:rPr>
                <w:sz w:val="16"/>
              </w:rPr>
            </w:pPr>
          </w:p>
        </w:tc>
      </w:tr>
      <w:tr>
        <w:trPr>
          <w:trHeight w:val="605" w:hRule="atLeast"/>
        </w:trPr>
        <w:tc>
          <w:tcPr>
            <w:tcW w:w="4455" w:type="dxa"/>
            <w:tcBorders>
              <w:bottom w:val="single" w:sz="4" w:space="0" w:color="000000"/>
            </w:tcBorders>
          </w:tcPr>
          <w:p>
            <w:pPr>
              <w:pStyle w:val="TableParagraph"/>
              <w:spacing w:before="166"/>
              <w:rPr>
                <w:sz w:val="18"/>
              </w:rPr>
            </w:pPr>
          </w:p>
          <w:p>
            <w:pPr>
              <w:pStyle w:val="TableParagraph"/>
              <w:ind w:left="52"/>
              <w:rPr>
                <w:sz w:val="18"/>
              </w:rPr>
            </w:pPr>
            <w:r>
              <w:rPr>
                <w:sz w:val="18"/>
              </w:rPr>
              <w:t>Nine</w:t>
            </w:r>
            <w:r>
              <w:rPr>
                <w:spacing w:val="-1"/>
                <w:sz w:val="18"/>
              </w:rPr>
              <w:t> </w:t>
            </w:r>
            <w:r>
              <w:rPr>
                <w:sz w:val="18"/>
              </w:rPr>
              <w:t>Months</w:t>
            </w:r>
            <w:r>
              <w:rPr>
                <w:spacing w:val="-2"/>
                <w:sz w:val="18"/>
              </w:rPr>
              <w:t> </w:t>
            </w:r>
            <w:r>
              <w:rPr>
                <w:sz w:val="18"/>
              </w:rPr>
              <w:t>Ended</w:t>
            </w:r>
            <w:r>
              <w:rPr>
                <w:spacing w:val="-1"/>
                <w:sz w:val="18"/>
              </w:rPr>
              <w:t> </w:t>
            </w:r>
            <w:r>
              <w:rPr>
                <w:sz w:val="18"/>
              </w:rPr>
              <w:t>September </w:t>
            </w:r>
            <w:r>
              <w:rPr>
                <w:spacing w:val="-5"/>
                <w:sz w:val="18"/>
              </w:rPr>
              <w:t>30,</w:t>
            </w:r>
          </w:p>
        </w:tc>
        <w:tc>
          <w:tcPr>
            <w:tcW w:w="881" w:type="dxa"/>
            <w:tcBorders>
              <w:top w:val="single" w:sz="4" w:space="0" w:color="000000"/>
              <w:bottom w:val="single" w:sz="4" w:space="0" w:color="000000"/>
            </w:tcBorders>
          </w:tcPr>
          <w:p>
            <w:pPr>
              <w:pStyle w:val="TableParagraph"/>
              <w:spacing w:before="8"/>
              <w:rPr>
                <w:sz w:val="18"/>
              </w:rPr>
            </w:pPr>
          </w:p>
          <w:p>
            <w:pPr>
              <w:pStyle w:val="TableParagraph"/>
              <w:spacing w:line="208" w:lineRule="auto"/>
              <w:ind w:left="137" w:right="143" w:hanging="15"/>
              <w:rPr>
                <w:sz w:val="18"/>
              </w:rPr>
            </w:pPr>
            <w:r>
              <w:rPr>
                <w:spacing w:val="-2"/>
                <w:sz w:val="18"/>
              </w:rPr>
              <w:t>Average Balance</w:t>
            </w:r>
          </w:p>
        </w:tc>
        <w:tc>
          <w:tcPr>
            <w:tcW w:w="1081" w:type="dxa"/>
            <w:tcBorders>
              <w:top w:val="single" w:sz="4" w:space="0" w:color="000000"/>
              <w:bottom w:val="single" w:sz="4" w:space="0" w:color="000000"/>
            </w:tcBorders>
          </w:tcPr>
          <w:p>
            <w:pPr>
              <w:pStyle w:val="TableParagraph"/>
              <w:spacing w:line="208" w:lineRule="auto" w:before="35"/>
              <w:ind w:right="20"/>
              <w:jc w:val="center"/>
              <w:rPr>
                <w:sz w:val="18"/>
              </w:rPr>
            </w:pPr>
            <w:r>
              <w:rPr>
                <w:spacing w:val="-2"/>
                <w:sz w:val="18"/>
              </w:rPr>
              <w:t>Interest Revenue/ Expense</w:t>
            </w:r>
          </w:p>
        </w:tc>
        <w:tc>
          <w:tcPr>
            <w:tcW w:w="902" w:type="dxa"/>
            <w:tcBorders>
              <w:top w:val="single" w:sz="4" w:space="0" w:color="000000"/>
              <w:bottom w:val="single" w:sz="4" w:space="0" w:color="000000"/>
            </w:tcBorders>
          </w:tcPr>
          <w:p>
            <w:pPr>
              <w:pStyle w:val="TableParagraph"/>
              <w:spacing w:line="208" w:lineRule="auto" w:before="35"/>
              <w:ind w:left="98" w:right="91"/>
              <w:jc w:val="center"/>
              <w:rPr>
                <w:sz w:val="18"/>
              </w:rPr>
            </w:pPr>
            <w:r>
              <w:rPr>
                <w:spacing w:val="-2"/>
                <w:sz w:val="18"/>
              </w:rPr>
              <w:t>Average Yield/ </w:t>
            </w:r>
            <w:r>
              <w:rPr>
                <w:spacing w:val="-4"/>
                <w:sz w:val="18"/>
              </w:rPr>
              <w:t>Rate</w:t>
            </w:r>
          </w:p>
        </w:tc>
        <w:tc>
          <w:tcPr>
            <w:tcW w:w="75" w:type="dxa"/>
            <w:tcBorders>
              <w:bottom w:val="single" w:sz="4" w:space="0" w:color="000000"/>
            </w:tcBorders>
          </w:tcPr>
          <w:p>
            <w:pPr>
              <w:pStyle w:val="TableParagraph"/>
              <w:rPr>
                <w:sz w:val="18"/>
              </w:rPr>
            </w:pPr>
          </w:p>
        </w:tc>
        <w:tc>
          <w:tcPr>
            <w:tcW w:w="881" w:type="dxa"/>
            <w:tcBorders>
              <w:top w:val="single" w:sz="4" w:space="0" w:color="000000"/>
              <w:bottom w:val="single" w:sz="4" w:space="0" w:color="000000"/>
            </w:tcBorders>
          </w:tcPr>
          <w:p>
            <w:pPr>
              <w:pStyle w:val="TableParagraph"/>
              <w:spacing w:before="8"/>
              <w:rPr>
                <w:sz w:val="18"/>
              </w:rPr>
            </w:pPr>
          </w:p>
          <w:p>
            <w:pPr>
              <w:pStyle w:val="TableParagraph"/>
              <w:spacing w:line="208" w:lineRule="auto"/>
              <w:ind w:left="138" w:right="142" w:hanging="15"/>
              <w:rPr>
                <w:sz w:val="18"/>
              </w:rPr>
            </w:pPr>
            <w:r>
              <w:rPr>
                <w:spacing w:val="-2"/>
                <w:sz w:val="18"/>
              </w:rPr>
              <w:t>Average Balance</w:t>
            </w:r>
          </w:p>
        </w:tc>
        <w:tc>
          <w:tcPr>
            <w:tcW w:w="1111" w:type="dxa"/>
            <w:tcBorders>
              <w:top w:val="single" w:sz="4" w:space="0" w:color="000000"/>
              <w:bottom w:val="single" w:sz="4" w:space="0" w:color="000000"/>
            </w:tcBorders>
          </w:tcPr>
          <w:p>
            <w:pPr>
              <w:pStyle w:val="TableParagraph"/>
              <w:spacing w:line="208" w:lineRule="auto" w:before="35"/>
              <w:ind w:right="48"/>
              <w:jc w:val="center"/>
              <w:rPr>
                <w:sz w:val="18"/>
              </w:rPr>
            </w:pPr>
            <w:r>
              <w:rPr>
                <w:spacing w:val="-2"/>
                <w:sz w:val="18"/>
              </w:rPr>
              <w:t>Interest Revenue/ Expense</w:t>
            </w:r>
          </w:p>
        </w:tc>
        <w:tc>
          <w:tcPr>
            <w:tcW w:w="872" w:type="dxa"/>
            <w:tcBorders>
              <w:top w:val="single" w:sz="4" w:space="0" w:color="000000"/>
              <w:bottom w:val="single" w:sz="4" w:space="0" w:color="000000"/>
            </w:tcBorders>
          </w:tcPr>
          <w:p>
            <w:pPr>
              <w:pStyle w:val="TableParagraph"/>
              <w:spacing w:line="208" w:lineRule="auto" w:before="35"/>
              <w:ind w:left="69" w:right="90"/>
              <w:jc w:val="center"/>
              <w:rPr>
                <w:sz w:val="18"/>
              </w:rPr>
            </w:pPr>
            <w:r>
              <w:rPr>
                <w:spacing w:val="-2"/>
                <w:sz w:val="18"/>
              </w:rPr>
              <w:t>Average Yield/ </w:t>
            </w:r>
            <w:r>
              <w:rPr>
                <w:spacing w:val="-4"/>
                <w:sz w:val="18"/>
              </w:rPr>
              <w:t>Rate</w:t>
            </w:r>
          </w:p>
        </w:tc>
      </w:tr>
      <w:tr>
        <w:trPr>
          <w:trHeight w:val="250" w:hRule="atLeast"/>
        </w:trPr>
        <w:tc>
          <w:tcPr>
            <w:tcW w:w="4455" w:type="dxa"/>
            <w:tcBorders>
              <w:top w:val="single" w:sz="4" w:space="0" w:color="000000"/>
            </w:tcBorders>
          </w:tcPr>
          <w:p>
            <w:pPr>
              <w:pStyle w:val="TableParagraph"/>
              <w:spacing w:before="13"/>
              <w:ind w:left="52"/>
              <w:rPr>
                <w:b/>
                <w:sz w:val="18"/>
              </w:rPr>
            </w:pPr>
            <w:r>
              <w:rPr>
                <w:b/>
                <w:sz w:val="18"/>
              </w:rPr>
              <w:t>Interest-earning</w:t>
            </w:r>
            <w:r>
              <w:rPr>
                <w:b/>
                <w:spacing w:val="-5"/>
                <w:sz w:val="18"/>
              </w:rPr>
              <w:t> </w:t>
            </w:r>
            <w:r>
              <w:rPr>
                <w:b/>
                <w:spacing w:val="-2"/>
                <w:sz w:val="18"/>
              </w:rPr>
              <w:t>assets</w:t>
            </w:r>
          </w:p>
        </w:tc>
        <w:tc>
          <w:tcPr>
            <w:tcW w:w="881" w:type="dxa"/>
            <w:tcBorders>
              <w:top w:val="single" w:sz="4" w:space="0" w:color="000000"/>
            </w:tcBorders>
          </w:tcPr>
          <w:p>
            <w:pPr>
              <w:pStyle w:val="TableParagraph"/>
              <w:rPr>
                <w:sz w:val="18"/>
              </w:rPr>
            </w:pPr>
          </w:p>
        </w:tc>
        <w:tc>
          <w:tcPr>
            <w:tcW w:w="1081" w:type="dxa"/>
            <w:tcBorders>
              <w:top w:val="single" w:sz="4" w:space="0" w:color="000000"/>
            </w:tcBorders>
          </w:tcPr>
          <w:p>
            <w:pPr>
              <w:pStyle w:val="TableParagraph"/>
              <w:rPr>
                <w:sz w:val="18"/>
              </w:rPr>
            </w:pPr>
          </w:p>
        </w:tc>
        <w:tc>
          <w:tcPr>
            <w:tcW w:w="902" w:type="dxa"/>
            <w:tcBorders>
              <w:top w:val="single" w:sz="4" w:space="0" w:color="000000"/>
            </w:tcBorders>
          </w:tcPr>
          <w:p>
            <w:pPr>
              <w:pStyle w:val="TableParagraph"/>
              <w:rPr>
                <w:sz w:val="18"/>
              </w:rPr>
            </w:pPr>
          </w:p>
        </w:tc>
        <w:tc>
          <w:tcPr>
            <w:tcW w:w="75" w:type="dxa"/>
            <w:tcBorders>
              <w:top w:val="single" w:sz="4" w:space="0" w:color="000000"/>
            </w:tcBorders>
          </w:tcPr>
          <w:p>
            <w:pPr>
              <w:pStyle w:val="TableParagraph"/>
              <w:rPr>
                <w:sz w:val="18"/>
              </w:rPr>
            </w:pPr>
          </w:p>
        </w:tc>
        <w:tc>
          <w:tcPr>
            <w:tcW w:w="881" w:type="dxa"/>
            <w:tcBorders>
              <w:top w:val="single" w:sz="4" w:space="0" w:color="000000"/>
            </w:tcBorders>
          </w:tcPr>
          <w:p>
            <w:pPr>
              <w:pStyle w:val="TableParagraph"/>
              <w:rPr>
                <w:sz w:val="18"/>
              </w:rPr>
            </w:pPr>
          </w:p>
        </w:tc>
        <w:tc>
          <w:tcPr>
            <w:tcW w:w="1111" w:type="dxa"/>
            <w:tcBorders>
              <w:top w:val="single" w:sz="4" w:space="0" w:color="000000"/>
            </w:tcBorders>
          </w:tcPr>
          <w:p>
            <w:pPr>
              <w:pStyle w:val="TableParagraph"/>
              <w:rPr>
                <w:sz w:val="18"/>
              </w:rPr>
            </w:pPr>
          </w:p>
        </w:tc>
        <w:tc>
          <w:tcPr>
            <w:tcW w:w="872" w:type="dxa"/>
            <w:tcBorders>
              <w:top w:val="single" w:sz="4" w:space="0" w:color="000000"/>
            </w:tcBorders>
          </w:tcPr>
          <w:p>
            <w:pPr>
              <w:pStyle w:val="TableParagraph"/>
              <w:rPr>
                <w:sz w:val="18"/>
              </w:rPr>
            </w:pPr>
          </w:p>
        </w:tc>
      </w:tr>
      <w:tr>
        <w:trPr>
          <w:trHeight w:val="255" w:hRule="atLeast"/>
        </w:trPr>
        <w:tc>
          <w:tcPr>
            <w:tcW w:w="4455" w:type="dxa"/>
            <w:shd w:val="clear" w:color="auto" w:fill="CCEDFF"/>
          </w:tcPr>
          <w:p>
            <w:pPr>
              <w:pStyle w:val="TableParagraph"/>
              <w:spacing w:before="18"/>
              <w:ind w:left="52"/>
              <w:rPr>
                <w:sz w:val="18"/>
              </w:rPr>
            </w:pPr>
            <w:r>
              <w:rPr>
                <w:sz w:val="18"/>
              </w:rPr>
              <w:t>Cash</w:t>
            </w:r>
            <w:r>
              <w:rPr>
                <w:spacing w:val="-1"/>
                <w:sz w:val="18"/>
              </w:rPr>
              <w:t> </w:t>
            </w:r>
            <w:r>
              <w:rPr>
                <w:sz w:val="18"/>
              </w:rPr>
              <w:t>and</w:t>
            </w:r>
            <w:r>
              <w:rPr>
                <w:spacing w:val="-1"/>
                <w:sz w:val="18"/>
              </w:rPr>
              <w:t> </w:t>
            </w:r>
            <w:r>
              <w:rPr>
                <w:sz w:val="18"/>
              </w:rPr>
              <w:t>cash </w:t>
            </w:r>
            <w:r>
              <w:rPr>
                <w:spacing w:val="-2"/>
                <w:sz w:val="18"/>
              </w:rPr>
              <w:t>equivalents</w:t>
            </w:r>
          </w:p>
        </w:tc>
        <w:tc>
          <w:tcPr>
            <w:tcW w:w="881" w:type="dxa"/>
            <w:shd w:val="clear" w:color="auto" w:fill="CCEDFF"/>
          </w:tcPr>
          <w:p>
            <w:pPr>
              <w:pStyle w:val="TableParagraph"/>
              <w:spacing w:before="18"/>
              <w:ind w:right="98"/>
              <w:jc w:val="right"/>
              <w:rPr>
                <w:sz w:val="18"/>
              </w:rPr>
            </w:pPr>
            <w:r>
              <w:rPr>
                <w:sz w:val="18"/>
              </w:rPr>
              <w:t>$</w:t>
            </w:r>
            <w:r>
              <w:rPr>
                <w:spacing w:val="74"/>
                <w:w w:val="150"/>
                <w:sz w:val="18"/>
              </w:rPr>
              <w:t> </w:t>
            </w:r>
            <w:r>
              <w:rPr>
                <w:spacing w:val="-2"/>
                <w:sz w:val="18"/>
              </w:rPr>
              <w:t>38,700</w:t>
            </w:r>
          </w:p>
        </w:tc>
        <w:tc>
          <w:tcPr>
            <w:tcW w:w="1081" w:type="dxa"/>
            <w:shd w:val="clear" w:color="auto" w:fill="CCEDFF"/>
          </w:tcPr>
          <w:p>
            <w:pPr>
              <w:pStyle w:val="TableParagraph"/>
              <w:tabs>
                <w:tab w:pos="427" w:val="left" w:leader="none"/>
              </w:tabs>
              <w:spacing w:before="18"/>
              <w:ind w:right="144"/>
              <w:jc w:val="right"/>
              <w:rPr>
                <w:sz w:val="18"/>
              </w:rPr>
            </w:pPr>
            <w:r>
              <w:rPr>
                <w:spacing w:val="-10"/>
                <w:sz w:val="18"/>
              </w:rPr>
              <w:t>$</w:t>
            </w:r>
            <w:r>
              <w:rPr>
                <w:sz w:val="18"/>
              </w:rPr>
              <w:tab/>
            </w:r>
            <w:r>
              <w:rPr>
                <w:spacing w:val="-2"/>
                <w:sz w:val="18"/>
              </w:rPr>
              <w:t>1,419</w:t>
            </w:r>
          </w:p>
        </w:tc>
        <w:tc>
          <w:tcPr>
            <w:tcW w:w="902" w:type="dxa"/>
            <w:shd w:val="clear" w:color="auto" w:fill="CCEDFF"/>
          </w:tcPr>
          <w:p>
            <w:pPr>
              <w:pStyle w:val="TableParagraph"/>
              <w:spacing w:before="18"/>
              <w:ind w:right="71"/>
              <w:jc w:val="right"/>
              <w:rPr>
                <w:sz w:val="18"/>
              </w:rPr>
            </w:pPr>
            <w:r>
              <w:rPr>
                <w:spacing w:val="-2"/>
                <w:sz w:val="18"/>
              </w:rPr>
              <w:t>4.83%</w:t>
            </w:r>
          </w:p>
        </w:tc>
        <w:tc>
          <w:tcPr>
            <w:tcW w:w="75" w:type="dxa"/>
            <w:shd w:val="clear" w:color="auto" w:fill="CCEDFF"/>
          </w:tcPr>
          <w:p>
            <w:pPr>
              <w:pStyle w:val="TableParagraph"/>
              <w:rPr>
                <w:sz w:val="18"/>
              </w:rPr>
            </w:pPr>
          </w:p>
        </w:tc>
        <w:tc>
          <w:tcPr>
            <w:tcW w:w="881" w:type="dxa"/>
            <w:shd w:val="clear" w:color="auto" w:fill="CCEDFF"/>
          </w:tcPr>
          <w:p>
            <w:pPr>
              <w:pStyle w:val="TableParagraph"/>
              <w:spacing w:before="18"/>
              <w:ind w:right="97"/>
              <w:jc w:val="right"/>
              <w:rPr>
                <w:sz w:val="18"/>
              </w:rPr>
            </w:pPr>
            <w:r>
              <w:rPr>
                <w:sz w:val="18"/>
              </w:rPr>
              <w:t>$</w:t>
            </w:r>
            <w:r>
              <w:rPr>
                <w:spacing w:val="74"/>
                <w:w w:val="150"/>
                <w:sz w:val="18"/>
              </w:rPr>
              <w:t> </w:t>
            </w:r>
            <w:r>
              <w:rPr>
                <w:spacing w:val="-2"/>
                <w:sz w:val="18"/>
              </w:rPr>
              <w:t>63,598</w:t>
            </w:r>
          </w:p>
        </w:tc>
        <w:tc>
          <w:tcPr>
            <w:tcW w:w="1111" w:type="dxa"/>
            <w:shd w:val="clear" w:color="auto" w:fill="CCEDFF"/>
          </w:tcPr>
          <w:p>
            <w:pPr>
              <w:pStyle w:val="TableParagraph"/>
              <w:tabs>
                <w:tab w:pos="562" w:val="left" w:leader="none"/>
              </w:tabs>
              <w:spacing w:before="18"/>
              <w:ind w:right="173"/>
              <w:jc w:val="right"/>
              <w:rPr>
                <w:sz w:val="18"/>
              </w:rPr>
            </w:pPr>
            <w:r>
              <w:rPr>
                <w:spacing w:val="-10"/>
                <w:sz w:val="18"/>
              </w:rPr>
              <w:t>$</w:t>
            </w:r>
            <w:r>
              <w:rPr>
                <w:sz w:val="18"/>
              </w:rPr>
              <w:tab/>
            </w:r>
            <w:r>
              <w:rPr>
                <w:spacing w:val="-5"/>
                <w:sz w:val="18"/>
              </w:rPr>
              <w:t>461</w:t>
            </w:r>
          </w:p>
        </w:tc>
        <w:tc>
          <w:tcPr>
            <w:tcW w:w="872" w:type="dxa"/>
            <w:shd w:val="clear" w:color="auto" w:fill="CCEDFF"/>
          </w:tcPr>
          <w:p>
            <w:pPr>
              <w:pStyle w:val="TableParagraph"/>
              <w:spacing w:before="18"/>
              <w:ind w:left="261"/>
              <w:jc w:val="center"/>
              <w:rPr>
                <w:sz w:val="18"/>
              </w:rPr>
            </w:pPr>
            <w:r>
              <w:rPr>
                <w:spacing w:val="-2"/>
                <w:sz w:val="18"/>
              </w:rPr>
              <w:t>0.95%</w:t>
            </w:r>
          </w:p>
        </w:tc>
      </w:tr>
      <w:tr>
        <w:trPr>
          <w:trHeight w:val="255" w:hRule="atLeast"/>
        </w:trPr>
        <w:tc>
          <w:tcPr>
            <w:tcW w:w="4455" w:type="dxa"/>
          </w:tcPr>
          <w:p>
            <w:pPr>
              <w:pStyle w:val="TableParagraph"/>
              <w:spacing w:before="18"/>
              <w:ind w:left="52"/>
              <w:rPr>
                <w:sz w:val="18"/>
              </w:rPr>
            </w:pPr>
            <w:r>
              <w:rPr>
                <w:sz w:val="18"/>
              </w:rPr>
              <w:t>Cash</w:t>
            </w:r>
            <w:r>
              <w:rPr>
                <w:spacing w:val="-1"/>
                <w:sz w:val="18"/>
              </w:rPr>
              <w:t> </w:t>
            </w:r>
            <w:r>
              <w:rPr>
                <w:sz w:val="18"/>
              </w:rPr>
              <w:t>and</w:t>
            </w:r>
            <w:r>
              <w:rPr>
                <w:spacing w:val="-1"/>
                <w:sz w:val="18"/>
              </w:rPr>
              <w:t> </w:t>
            </w:r>
            <w:r>
              <w:rPr>
                <w:sz w:val="18"/>
              </w:rPr>
              <w:t>investments</w:t>
            </w:r>
            <w:r>
              <w:rPr>
                <w:spacing w:val="-1"/>
                <w:sz w:val="18"/>
              </w:rPr>
              <w:t> </w:t>
            </w:r>
            <w:r>
              <w:rPr>
                <w:spacing w:val="-2"/>
                <w:sz w:val="18"/>
              </w:rPr>
              <w:t>segregated</w:t>
            </w:r>
          </w:p>
        </w:tc>
        <w:tc>
          <w:tcPr>
            <w:tcW w:w="881" w:type="dxa"/>
          </w:tcPr>
          <w:p>
            <w:pPr>
              <w:pStyle w:val="TableParagraph"/>
              <w:spacing w:before="18"/>
              <w:ind w:right="98"/>
              <w:jc w:val="right"/>
              <w:rPr>
                <w:sz w:val="18"/>
              </w:rPr>
            </w:pPr>
            <w:r>
              <w:rPr>
                <w:spacing w:val="-2"/>
                <w:sz w:val="18"/>
              </w:rPr>
              <w:t>29,752</w:t>
            </w:r>
          </w:p>
        </w:tc>
        <w:tc>
          <w:tcPr>
            <w:tcW w:w="1081" w:type="dxa"/>
          </w:tcPr>
          <w:p>
            <w:pPr>
              <w:pStyle w:val="TableParagraph"/>
              <w:spacing w:before="18"/>
              <w:ind w:right="144"/>
              <w:jc w:val="right"/>
              <w:rPr>
                <w:sz w:val="18"/>
              </w:rPr>
            </w:pPr>
            <w:r>
              <w:rPr>
                <w:spacing w:val="-2"/>
                <w:sz w:val="18"/>
              </w:rPr>
              <w:t>1,041</w:t>
            </w:r>
          </w:p>
        </w:tc>
        <w:tc>
          <w:tcPr>
            <w:tcW w:w="902" w:type="dxa"/>
          </w:tcPr>
          <w:p>
            <w:pPr>
              <w:pStyle w:val="TableParagraph"/>
              <w:spacing w:before="18"/>
              <w:ind w:right="71"/>
              <w:jc w:val="right"/>
              <w:rPr>
                <w:sz w:val="18"/>
              </w:rPr>
            </w:pPr>
            <w:r>
              <w:rPr>
                <w:spacing w:val="-2"/>
                <w:sz w:val="18"/>
              </w:rPr>
              <w:t>4.61%</w:t>
            </w:r>
          </w:p>
        </w:tc>
        <w:tc>
          <w:tcPr>
            <w:tcW w:w="75" w:type="dxa"/>
          </w:tcPr>
          <w:p>
            <w:pPr>
              <w:pStyle w:val="TableParagraph"/>
              <w:rPr>
                <w:sz w:val="18"/>
              </w:rPr>
            </w:pPr>
          </w:p>
        </w:tc>
        <w:tc>
          <w:tcPr>
            <w:tcW w:w="881" w:type="dxa"/>
          </w:tcPr>
          <w:p>
            <w:pPr>
              <w:pStyle w:val="TableParagraph"/>
              <w:spacing w:before="18"/>
              <w:ind w:right="97"/>
              <w:jc w:val="right"/>
              <w:rPr>
                <w:sz w:val="18"/>
              </w:rPr>
            </w:pPr>
            <w:r>
              <w:rPr>
                <w:spacing w:val="-2"/>
                <w:sz w:val="18"/>
              </w:rPr>
              <w:t>50,891</w:t>
            </w:r>
          </w:p>
        </w:tc>
        <w:tc>
          <w:tcPr>
            <w:tcW w:w="1111" w:type="dxa"/>
          </w:tcPr>
          <w:p>
            <w:pPr>
              <w:pStyle w:val="TableParagraph"/>
              <w:spacing w:before="18"/>
              <w:ind w:right="173"/>
              <w:jc w:val="right"/>
              <w:rPr>
                <w:sz w:val="18"/>
              </w:rPr>
            </w:pPr>
            <w:r>
              <w:rPr>
                <w:spacing w:val="-5"/>
                <w:sz w:val="18"/>
              </w:rPr>
              <w:t>308</w:t>
            </w:r>
          </w:p>
        </w:tc>
        <w:tc>
          <w:tcPr>
            <w:tcW w:w="872" w:type="dxa"/>
          </w:tcPr>
          <w:p>
            <w:pPr>
              <w:pStyle w:val="TableParagraph"/>
              <w:spacing w:before="18"/>
              <w:ind w:left="261"/>
              <w:jc w:val="center"/>
              <w:rPr>
                <w:sz w:val="18"/>
              </w:rPr>
            </w:pPr>
            <w:r>
              <w:rPr>
                <w:spacing w:val="-2"/>
                <w:sz w:val="18"/>
              </w:rPr>
              <w:t>0.80%</w:t>
            </w:r>
          </w:p>
        </w:tc>
      </w:tr>
      <w:tr>
        <w:trPr>
          <w:trHeight w:val="255" w:hRule="atLeast"/>
        </w:trPr>
        <w:tc>
          <w:tcPr>
            <w:tcW w:w="4455" w:type="dxa"/>
            <w:shd w:val="clear" w:color="auto" w:fill="CCEDFF"/>
          </w:tcPr>
          <w:p>
            <w:pPr>
              <w:pStyle w:val="TableParagraph"/>
              <w:spacing w:before="18"/>
              <w:ind w:left="52"/>
              <w:rPr>
                <w:sz w:val="18"/>
              </w:rPr>
            </w:pPr>
            <w:r>
              <w:rPr>
                <w:sz w:val="18"/>
              </w:rPr>
              <w:t>Receivables</w:t>
            </w:r>
            <w:r>
              <w:rPr>
                <w:spacing w:val="-1"/>
                <w:sz w:val="18"/>
              </w:rPr>
              <w:t> </w:t>
            </w:r>
            <w:r>
              <w:rPr>
                <w:sz w:val="18"/>
              </w:rPr>
              <w:t>from brokerage </w:t>
            </w:r>
            <w:r>
              <w:rPr>
                <w:spacing w:val="-2"/>
                <w:sz w:val="18"/>
              </w:rPr>
              <w:t>clients</w:t>
            </w:r>
          </w:p>
        </w:tc>
        <w:tc>
          <w:tcPr>
            <w:tcW w:w="881" w:type="dxa"/>
            <w:shd w:val="clear" w:color="auto" w:fill="CCEDFF"/>
          </w:tcPr>
          <w:p>
            <w:pPr>
              <w:pStyle w:val="TableParagraph"/>
              <w:spacing w:before="18"/>
              <w:ind w:right="98"/>
              <w:jc w:val="right"/>
              <w:rPr>
                <w:sz w:val="18"/>
              </w:rPr>
            </w:pPr>
            <w:r>
              <w:rPr>
                <w:spacing w:val="-2"/>
                <w:sz w:val="18"/>
              </w:rPr>
              <w:t>61,682</w:t>
            </w:r>
          </w:p>
        </w:tc>
        <w:tc>
          <w:tcPr>
            <w:tcW w:w="1081" w:type="dxa"/>
            <w:shd w:val="clear" w:color="auto" w:fill="CCEDFF"/>
          </w:tcPr>
          <w:p>
            <w:pPr>
              <w:pStyle w:val="TableParagraph"/>
              <w:spacing w:before="18"/>
              <w:ind w:right="144"/>
              <w:jc w:val="right"/>
              <w:rPr>
                <w:sz w:val="18"/>
              </w:rPr>
            </w:pPr>
            <w:r>
              <w:rPr>
                <w:spacing w:val="-2"/>
                <w:sz w:val="18"/>
              </w:rPr>
              <w:t>3,533</w:t>
            </w:r>
          </w:p>
        </w:tc>
        <w:tc>
          <w:tcPr>
            <w:tcW w:w="902" w:type="dxa"/>
            <w:shd w:val="clear" w:color="auto" w:fill="CCEDFF"/>
          </w:tcPr>
          <w:p>
            <w:pPr>
              <w:pStyle w:val="TableParagraph"/>
              <w:spacing w:before="18"/>
              <w:ind w:right="71"/>
              <w:jc w:val="right"/>
              <w:rPr>
                <w:sz w:val="18"/>
              </w:rPr>
            </w:pPr>
            <w:r>
              <w:rPr>
                <w:spacing w:val="-2"/>
                <w:sz w:val="18"/>
              </w:rPr>
              <w:t>7.55%</w:t>
            </w:r>
          </w:p>
        </w:tc>
        <w:tc>
          <w:tcPr>
            <w:tcW w:w="75" w:type="dxa"/>
            <w:shd w:val="clear" w:color="auto" w:fill="CCEDFF"/>
          </w:tcPr>
          <w:p>
            <w:pPr>
              <w:pStyle w:val="TableParagraph"/>
              <w:rPr>
                <w:sz w:val="18"/>
              </w:rPr>
            </w:pPr>
          </w:p>
        </w:tc>
        <w:tc>
          <w:tcPr>
            <w:tcW w:w="881" w:type="dxa"/>
            <w:shd w:val="clear" w:color="auto" w:fill="CCEDFF"/>
          </w:tcPr>
          <w:p>
            <w:pPr>
              <w:pStyle w:val="TableParagraph"/>
              <w:spacing w:before="18"/>
              <w:ind w:right="97"/>
              <w:jc w:val="right"/>
              <w:rPr>
                <w:sz w:val="18"/>
              </w:rPr>
            </w:pPr>
            <w:r>
              <w:rPr>
                <w:spacing w:val="-2"/>
                <w:sz w:val="18"/>
              </w:rPr>
              <w:t>78,630</w:t>
            </w:r>
          </w:p>
        </w:tc>
        <w:tc>
          <w:tcPr>
            <w:tcW w:w="1111" w:type="dxa"/>
            <w:shd w:val="clear" w:color="auto" w:fill="CCEDFF"/>
          </w:tcPr>
          <w:p>
            <w:pPr>
              <w:pStyle w:val="TableParagraph"/>
              <w:spacing w:before="18"/>
              <w:ind w:right="173"/>
              <w:jc w:val="right"/>
              <w:rPr>
                <w:sz w:val="18"/>
              </w:rPr>
            </w:pPr>
            <w:r>
              <w:rPr>
                <w:spacing w:val="-2"/>
                <w:sz w:val="18"/>
              </w:rPr>
              <w:t>2,244</w:t>
            </w:r>
          </w:p>
        </w:tc>
        <w:tc>
          <w:tcPr>
            <w:tcW w:w="872" w:type="dxa"/>
            <w:shd w:val="clear" w:color="auto" w:fill="CCEDFF"/>
          </w:tcPr>
          <w:p>
            <w:pPr>
              <w:pStyle w:val="TableParagraph"/>
              <w:spacing w:before="18"/>
              <w:ind w:left="261"/>
              <w:jc w:val="center"/>
              <w:rPr>
                <w:sz w:val="18"/>
              </w:rPr>
            </w:pPr>
            <w:r>
              <w:rPr>
                <w:spacing w:val="-2"/>
                <w:sz w:val="18"/>
              </w:rPr>
              <w:t>3.76%</w:t>
            </w:r>
          </w:p>
        </w:tc>
      </w:tr>
      <w:tr>
        <w:trPr>
          <w:trHeight w:val="255" w:hRule="atLeast"/>
        </w:trPr>
        <w:tc>
          <w:tcPr>
            <w:tcW w:w="4455" w:type="dxa"/>
          </w:tcPr>
          <w:p>
            <w:pPr>
              <w:pStyle w:val="TableParagraph"/>
              <w:spacing w:before="18"/>
              <w:ind w:left="52"/>
              <w:rPr>
                <w:sz w:val="18"/>
              </w:rPr>
            </w:pPr>
            <w:r>
              <w:rPr>
                <w:sz w:val="18"/>
              </w:rPr>
              <w:t>Available</w:t>
            </w:r>
            <w:r>
              <w:rPr>
                <w:spacing w:val="-1"/>
                <w:sz w:val="18"/>
              </w:rPr>
              <w:t> </w:t>
            </w:r>
            <w:r>
              <w:rPr>
                <w:sz w:val="18"/>
              </w:rPr>
              <w:t>for</w:t>
            </w:r>
            <w:r>
              <w:rPr>
                <w:spacing w:val="-1"/>
                <w:sz w:val="18"/>
              </w:rPr>
              <w:t> </w:t>
            </w:r>
            <w:r>
              <w:rPr>
                <w:sz w:val="18"/>
              </w:rPr>
              <w:t>sale</w:t>
            </w:r>
            <w:r>
              <w:rPr>
                <w:spacing w:val="-1"/>
                <w:sz w:val="18"/>
              </w:rPr>
              <w:t> </w:t>
            </w:r>
            <w:r>
              <w:rPr>
                <w:sz w:val="18"/>
              </w:rPr>
              <w:t>securities</w:t>
            </w:r>
            <w:r>
              <w:rPr>
                <w:spacing w:val="-2"/>
                <w:sz w:val="18"/>
              </w:rPr>
              <w:t> </w:t>
            </w:r>
            <w:r>
              <w:rPr>
                <w:spacing w:val="-5"/>
                <w:sz w:val="18"/>
                <w:vertAlign w:val="superscript"/>
              </w:rPr>
              <w:t>(1)</w:t>
            </w:r>
          </w:p>
        </w:tc>
        <w:tc>
          <w:tcPr>
            <w:tcW w:w="881" w:type="dxa"/>
          </w:tcPr>
          <w:p>
            <w:pPr>
              <w:pStyle w:val="TableParagraph"/>
              <w:spacing w:before="18"/>
              <w:ind w:right="98"/>
              <w:jc w:val="right"/>
              <w:rPr>
                <w:sz w:val="18"/>
              </w:rPr>
            </w:pPr>
            <w:r>
              <w:rPr>
                <w:spacing w:val="-2"/>
                <w:sz w:val="18"/>
              </w:rPr>
              <w:t>143,360</w:t>
            </w:r>
          </w:p>
        </w:tc>
        <w:tc>
          <w:tcPr>
            <w:tcW w:w="1081" w:type="dxa"/>
          </w:tcPr>
          <w:p>
            <w:pPr>
              <w:pStyle w:val="TableParagraph"/>
              <w:spacing w:before="18"/>
              <w:ind w:right="144"/>
              <w:jc w:val="right"/>
              <w:rPr>
                <w:sz w:val="18"/>
              </w:rPr>
            </w:pPr>
            <w:r>
              <w:rPr>
                <w:spacing w:val="-2"/>
                <w:sz w:val="18"/>
              </w:rPr>
              <w:t>2,340</w:t>
            </w:r>
          </w:p>
        </w:tc>
        <w:tc>
          <w:tcPr>
            <w:tcW w:w="902" w:type="dxa"/>
          </w:tcPr>
          <w:p>
            <w:pPr>
              <w:pStyle w:val="TableParagraph"/>
              <w:spacing w:before="18"/>
              <w:ind w:right="71"/>
              <w:jc w:val="right"/>
              <w:rPr>
                <w:sz w:val="18"/>
              </w:rPr>
            </w:pPr>
            <w:r>
              <w:rPr>
                <w:spacing w:val="-2"/>
                <w:sz w:val="18"/>
              </w:rPr>
              <w:t>2.17%</w:t>
            </w:r>
          </w:p>
        </w:tc>
        <w:tc>
          <w:tcPr>
            <w:tcW w:w="75" w:type="dxa"/>
          </w:tcPr>
          <w:p>
            <w:pPr>
              <w:pStyle w:val="TableParagraph"/>
              <w:rPr>
                <w:sz w:val="18"/>
              </w:rPr>
            </w:pPr>
          </w:p>
        </w:tc>
        <w:tc>
          <w:tcPr>
            <w:tcW w:w="881" w:type="dxa"/>
          </w:tcPr>
          <w:p>
            <w:pPr>
              <w:pStyle w:val="TableParagraph"/>
              <w:spacing w:before="18"/>
              <w:ind w:right="97"/>
              <w:jc w:val="right"/>
              <w:rPr>
                <w:sz w:val="18"/>
              </w:rPr>
            </w:pPr>
            <w:r>
              <w:rPr>
                <w:spacing w:val="-2"/>
                <w:sz w:val="18"/>
              </w:rPr>
              <w:t>281,897</w:t>
            </w:r>
          </w:p>
        </w:tc>
        <w:tc>
          <w:tcPr>
            <w:tcW w:w="1111" w:type="dxa"/>
          </w:tcPr>
          <w:p>
            <w:pPr>
              <w:pStyle w:val="TableParagraph"/>
              <w:spacing w:before="18"/>
              <w:ind w:right="173"/>
              <w:jc w:val="right"/>
              <w:rPr>
                <w:sz w:val="18"/>
              </w:rPr>
            </w:pPr>
            <w:r>
              <w:rPr>
                <w:spacing w:val="-2"/>
                <w:sz w:val="18"/>
              </w:rPr>
              <w:t>3,196</w:t>
            </w:r>
          </w:p>
        </w:tc>
        <w:tc>
          <w:tcPr>
            <w:tcW w:w="872" w:type="dxa"/>
          </w:tcPr>
          <w:p>
            <w:pPr>
              <w:pStyle w:val="TableParagraph"/>
              <w:spacing w:before="18"/>
              <w:ind w:left="261"/>
              <w:jc w:val="center"/>
              <w:rPr>
                <w:sz w:val="18"/>
              </w:rPr>
            </w:pPr>
            <w:r>
              <w:rPr>
                <w:spacing w:val="-2"/>
                <w:sz w:val="18"/>
              </w:rPr>
              <w:t>1.51%</w:t>
            </w:r>
          </w:p>
        </w:tc>
      </w:tr>
      <w:tr>
        <w:trPr>
          <w:trHeight w:val="255" w:hRule="atLeast"/>
        </w:trPr>
        <w:tc>
          <w:tcPr>
            <w:tcW w:w="4455" w:type="dxa"/>
            <w:shd w:val="clear" w:color="auto" w:fill="CCEDFF"/>
          </w:tcPr>
          <w:p>
            <w:pPr>
              <w:pStyle w:val="TableParagraph"/>
              <w:spacing w:before="18"/>
              <w:ind w:left="52"/>
              <w:rPr>
                <w:sz w:val="18"/>
              </w:rPr>
            </w:pPr>
            <w:r>
              <w:rPr>
                <w:sz w:val="18"/>
              </w:rPr>
              <w:t>Held</w:t>
            </w:r>
            <w:r>
              <w:rPr>
                <w:spacing w:val="-1"/>
                <w:sz w:val="18"/>
              </w:rPr>
              <w:t> </w:t>
            </w:r>
            <w:r>
              <w:rPr>
                <w:sz w:val="18"/>
              </w:rPr>
              <w:t>to</w:t>
            </w:r>
            <w:r>
              <w:rPr>
                <w:spacing w:val="-1"/>
                <w:sz w:val="18"/>
              </w:rPr>
              <w:t> </w:t>
            </w:r>
            <w:r>
              <w:rPr>
                <w:sz w:val="18"/>
              </w:rPr>
              <w:t>maturity securities</w:t>
            </w:r>
            <w:r>
              <w:rPr>
                <w:spacing w:val="-2"/>
                <w:sz w:val="18"/>
              </w:rPr>
              <w:t> </w:t>
            </w:r>
            <w:r>
              <w:rPr>
                <w:spacing w:val="-5"/>
                <w:sz w:val="18"/>
                <w:vertAlign w:val="superscript"/>
              </w:rPr>
              <w:t>(1)</w:t>
            </w:r>
          </w:p>
        </w:tc>
        <w:tc>
          <w:tcPr>
            <w:tcW w:w="881" w:type="dxa"/>
            <w:shd w:val="clear" w:color="auto" w:fill="CCEDFF"/>
          </w:tcPr>
          <w:p>
            <w:pPr>
              <w:pStyle w:val="TableParagraph"/>
              <w:spacing w:before="18"/>
              <w:ind w:right="98"/>
              <w:jc w:val="right"/>
              <w:rPr>
                <w:sz w:val="18"/>
              </w:rPr>
            </w:pPr>
            <w:r>
              <w:rPr>
                <w:spacing w:val="-2"/>
                <w:sz w:val="18"/>
              </w:rPr>
              <w:t>167,405</w:t>
            </w:r>
          </w:p>
        </w:tc>
        <w:tc>
          <w:tcPr>
            <w:tcW w:w="1081" w:type="dxa"/>
            <w:shd w:val="clear" w:color="auto" w:fill="CCEDFF"/>
          </w:tcPr>
          <w:p>
            <w:pPr>
              <w:pStyle w:val="TableParagraph"/>
              <w:spacing w:before="18"/>
              <w:ind w:right="144"/>
              <w:jc w:val="right"/>
              <w:rPr>
                <w:sz w:val="18"/>
              </w:rPr>
            </w:pPr>
            <w:r>
              <w:rPr>
                <w:spacing w:val="-2"/>
                <w:sz w:val="18"/>
              </w:rPr>
              <w:t>2,172</w:t>
            </w:r>
          </w:p>
        </w:tc>
        <w:tc>
          <w:tcPr>
            <w:tcW w:w="902" w:type="dxa"/>
            <w:shd w:val="clear" w:color="auto" w:fill="CCEDFF"/>
          </w:tcPr>
          <w:p>
            <w:pPr>
              <w:pStyle w:val="TableParagraph"/>
              <w:spacing w:before="18"/>
              <w:ind w:right="71"/>
              <w:jc w:val="right"/>
              <w:rPr>
                <w:sz w:val="18"/>
              </w:rPr>
            </w:pPr>
            <w:r>
              <w:rPr>
                <w:spacing w:val="-2"/>
                <w:sz w:val="18"/>
              </w:rPr>
              <w:t>1.73%</w:t>
            </w:r>
          </w:p>
        </w:tc>
        <w:tc>
          <w:tcPr>
            <w:tcW w:w="75" w:type="dxa"/>
            <w:shd w:val="clear" w:color="auto" w:fill="CCEDFF"/>
          </w:tcPr>
          <w:p>
            <w:pPr>
              <w:pStyle w:val="TableParagraph"/>
              <w:rPr>
                <w:sz w:val="18"/>
              </w:rPr>
            </w:pPr>
          </w:p>
        </w:tc>
        <w:tc>
          <w:tcPr>
            <w:tcW w:w="881" w:type="dxa"/>
            <w:shd w:val="clear" w:color="auto" w:fill="CCEDFF"/>
          </w:tcPr>
          <w:p>
            <w:pPr>
              <w:pStyle w:val="TableParagraph"/>
              <w:spacing w:before="18"/>
              <w:ind w:right="97"/>
              <w:jc w:val="right"/>
              <w:rPr>
                <w:sz w:val="18"/>
              </w:rPr>
            </w:pPr>
            <w:r>
              <w:rPr>
                <w:spacing w:val="-2"/>
                <w:sz w:val="18"/>
              </w:rPr>
              <w:t>100,890</w:t>
            </w:r>
          </w:p>
        </w:tc>
        <w:tc>
          <w:tcPr>
            <w:tcW w:w="1111" w:type="dxa"/>
            <w:shd w:val="clear" w:color="auto" w:fill="CCEDFF"/>
          </w:tcPr>
          <w:p>
            <w:pPr>
              <w:pStyle w:val="TableParagraph"/>
              <w:spacing w:before="18"/>
              <w:ind w:right="173"/>
              <w:jc w:val="right"/>
              <w:rPr>
                <w:sz w:val="18"/>
              </w:rPr>
            </w:pPr>
            <w:r>
              <w:rPr>
                <w:spacing w:val="-2"/>
                <w:sz w:val="18"/>
              </w:rPr>
              <w:t>1,062</w:t>
            </w:r>
          </w:p>
        </w:tc>
        <w:tc>
          <w:tcPr>
            <w:tcW w:w="872" w:type="dxa"/>
            <w:shd w:val="clear" w:color="auto" w:fill="CCEDFF"/>
          </w:tcPr>
          <w:p>
            <w:pPr>
              <w:pStyle w:val="TableParagraph"/>
              <w:spacing w:before="18"/>
              <w:ind w:left="261"/>
              <w:jc w:val="center"/>
              <w:rPr>
                <w:sz w:val="18"/>
              </w:rPr>
            </w:pPr>
            <w:r>
              <w:rPr>
                <w:spacing w:val="-2"/>
                <w:sz w:val="18"/>
              </w:rPr>
              <w:t>1.40%</w:t>
            </w:r>
          </w:p>
        </w:tc>
      </w:tr>
      <w:tr>
        <w:trPr>
          <w:trHeight w:val="250" w:hRule="atLeast"/>
        </w:trPr>
        <w:tc>
          <w:tcPr>
            <w:tcW w:w="4455" w:type="dxa"/>
            <w:tcBorders>
              <w:bottom w:val="single" w:sz="4" w:space="0" w:color="000000"/>
            </w:tcBorders>
          </w:tcPr>
          <w:p>
            <w:pPr>
              <w:pStyle w:val="TableParagraph"/>
              <w:spacing w:before="18"/>
              <w:ind w:left="52"/>
              <w:rPr>
                <w:sz w:val="18"/>
              </w:rPr>
            </w:pPr>
            <w:r>
              <w:rPr>
                <w:sz w:val="18"/>
              </w:rPr>
              <w:t>Bank </w:t>
            </w:r>
            <w:r>
              <w:rPr>
                <w:spacing w:val="-2"/>
                <w:sz w:val="18"/>
              </w:rPr>
              <w:t>loans</w:t>
            </w:r>
          </w:p>
        </w:tc>
        <w:tc>
          <w:tcPr>
            <w:tcW w:w="881" w:type="dxa"/>
            <w:tcBorders>
              <w:bottom w:val="single" w:sz="4" w:space="0" w:color="000000"/>
            </w:tcBorders>
          </w:tcPr>
          <w:p>
            <w:pPr>
              <w:pStyle w:val="TableParagraph"/>
              <w:spacing w:before="18"/>
              <w:ind w:right="98"/>
              <w:jc w:val="right"/>
              <w:rPr>
                <w:sz w:val="18"/>
              </w:rPr>
            </w:pPr>
            <w:r>
              <w:rPr>
                <w:spacing w:val="-2"/>
                <w:sz w:val="18"/>
              </w:rPr>
              <w:t>40,183</w:t>
            </w:r>
          </w:p>
        </w:tc>
        <w:tc>
          <w:tcPr>
            <w:tcW w:w="1081" w:type="dxa"/>
            <w:tcBorders>
              <w:bottom w:val="single" w:sz="4" w:space="0" w:color="000000"/>
            </w:tcBorders>
          </w:tcPr>
          <w:p>
            <w:pPr>
              <w:pStyle w:val="TableParagraph"/>
              <w:spacing w:before="18"/>
              <w:ind w:right="144"/>
              <w:jc w:val="right"/>
              <w:rPr>
                <w:sz w:val="18"/>
              </w:rPr>
            </w:pPr>
            <w:r>
              <w:rPr>
                <w:spacing w:val="-2"/>
                <w:sz w:val="18"/>
              </w:rPr>
              <w:t>1,227</w:t>
            </w:r>
          </w:p>
        </w:tc>
        <w:tc>
          <w:tcPr>
            <w:tcW w:w="902" w:type="dxa"/>
            <w:tcBorders>
              <w:bottom w:val="single" w:sz="4" w:space="0" w:color="000000"/>
            </w:tcBorders>
          </w:tcPr>
          <w:p>
            <w:pPr>
              <w:pStyle w:val="TableParagraph"/>
              <w:spacing w:before="18"/>
              <w:ind w:right="71"/>
              <w:jc w:val="right"/>
              <w:rPr>
                <w:sz w:val="18"/>
              </w:rPr>
            </w:pPr>
            <w:r>
              <w:rPr>
                <w:spacing w:val="-2"/>
                <w:sz w:val="18"/>
              </w:rPr>
              <w:t>4.08%</w:t>
            </w:r>
          </w:p>
        </w:tc>
        <w:tc>
          <w:tcPr>
            <w:tcW w:w="75" w:type="dxa"/>
            <w:tcBorders>
              <w:bottom w:val="single" w:sz="4" w:space="0" w:color="000000"/>
            </w:tcBorders>
          </w:tcPr>
          <w:p>
            <w:pPr>
              <w:pStyle w:val="TableParagraph"/>
              <w:rPr>
                <w:sz w:val="18"/>
              </w:rPr>
            </w:pPr>
          </w:p>
        </w:tc>
        <w:tc>
          <w:tcPr>
            <w:tcW w:w="881" w:type="dxa"/>
            <w:tcBorders>
              <w:bottom w:val="single" w:sz="4" w:space="0" w:color="000000"/>
            </w:tcBorders>
          </w:tcPr>
          <w:p>
            <w:pPr>
              <w:pStyle w:val="TableParagraph"/>
              <w:spacing w:before="18"/>
              <w:ind w:right="97"/>
              <w:jc w:val="right"/>
              <w:rPr>
                <w:sz w:val="18"/>
              </w:rPr>
            </w:pPr>
            <w:r>
              <w:rPr>
                <w:spacing w:val="-2"/>
                <w:sz w:val="18"/>
              </w:rPr>
              <w:t>38,238</w:t>
            </w:r>
          </w:p>
        </w:tc>
        <w:tc>
          <w:tcPr>
            <w:tcW w:w="1111" w:type="dxa"/>
            <w:tcBorders>
              <w:bottom w:val="single" w:sz="4" w:space="0" w:color="000000"/>
            </w:tcBorders>
          </w:tcPr>
          <w:p>
            <w:pPr>
              <w:pStyle w:val="TableParagraph"/>
              <w:spacing w:before="18"/>
              <w:ind w:right="173"/>
              <w:jc w:val="right"/>
              <w:rPr>
                <w:sz w:val="18"/>
              </w:rPr>
            </w:pPr>
            <w:r>
              <w:rPr>
                <w:spacing w:val="-5"/>
                <w:sz w:val="18"/>
              </w:rPr>
              <w:t>717</w:t>
            </w:r>
          </w:p>
        </w:tc>
        <w:tc>
          <w:tcPr>
            <w:tcW w:w="872" w:type="dxa"/>
            <w:tcBorders>
              <w:bottom w:val="single" w:sz="4" w:space="0" w:color="000000"/>
            </w:tcBorders>
          </w:tcPr>
          <w:p>
            <w:pPr>
              <w:pStyle w:val="TableParagraph"/>
              <w:spacing w:before="18"/>
              <w:ind w:left="261"/>
              <w:jc w:val="center"/>
              <w:rPr>
                <w:sz w:val="18"/>
              </w:rPr>
            </w:pPr>
            <w:r>
              <w:rPr>
                <w:spacing w:val="-2"/>
                <w:sz w:val="18"/>
              </w:rPr>
              <w:t>2.50%</w:t>
            </w:r>
          </w:p>
        </w:tc>
      </w:tr>
      <w:tr>
        <w:trPr>
          <w:trHeight w:val="245" w:hRule="atLeast"/>
        </w:trPr>
        <w:tc>
          <w:tcPr>
            <w:tcW w:w="4455" w:type="dxa"/>
            <w:tcBorders>
              <w:top w:val="single" w:sz="4" w:space="0" w:color="000000"/>
              <w:bottom w:val="single" w:sz="4" w:space="0" w:color="000000"/>
            </w:tcBorders>
            <w:shd w:val="clear" w:color="auto" w:fill="CCEDFF"/>
          </w:tcPr>
          <w:p>
            <w:pPr>
              <w:pStyle w:val="TableParagraph"/>
              <w:spacing w:before="13"/>
              <w:ind w:left="172"/>
              <w:rPr>
                <w:sz w:val="18"/>
              </w:rPr>
            </w:pPr>
            <w:r>
              <w:rPr>
                <w:sz w:val="18"/>
              </w:rPr>
              <w:t>Total</w:t>
            </w:r>
            <w:r>
              <w:rPr>
                <w:spacing w:val="-1"/>
                <w:sz w:val="18"/>
              </w:rPr>
              <w:t> </w:t>
            </w:r>
            <w:r>
              <w:rPr>
                <w:sz w:val="18"/>
              </w:rPr>
              <w:t>interest-earning </w:t>
            </w:r>
            <w:r>
              <w:rPr>
                <w:spacing w:val="-2"/>
                <w:sz w:val="18"/>
              </w:rPr>
              <w:t>assets</w:t>
            </w:r>
          </w:p>
        </w:tc>
        <w:tc>
          <w:tcPr>
            <w:tcW w:w="881" w:type="dxa"/>
            <w:tcBorders>
              <w:top w:val="single" w:sz="4" w:space="0" w:color="000000"/>
              <w:bottom w:val="single" w:sz="4" w:space="0" w:color="000000"/>
            </w:tcBorders>
            <w:shd w:val="clear" w:color="auto" w:fill="CCEDFF"/>
          </w:tcPr>
          <w:p>
            <w:pPr>
              <w:pStyle w:val="TableParagraph"/>
              <w:spacing w:before="13"/>
              <w:ind w:right="98"/>
              <w:jc w:val="right"/>
              <w:rPr>
                <w:sz w:val="18"/>
              </w:rPr>
            </w:pPr>
            <w:r>
              <w:rPr>
                <w:spacing w:val="-2"/>
                <w:sz w:val="18"/>
              </w:rPr>
              <w:t>481,082</w:t>
            </w:r>
          </w:p>
        </w:tc>
        <w:tc>
          <w:tcPr>
            <w:tcW w:w="1081" w:type="dxa"/>
            <w:tcBorders>
              <w:top w:val="single" w:sz="4" w:space="0" w:color="000000"/>
              <w:bottom w:val="single" w:sz="4" w:space="0" w:color="000000"/>
            </w:tcBorders>
            <w:shd w:val="clear" w:color="auto" w:fill="CCEDFF"/>
          </w:tcPr>
          <w:p>
            <w:pPr>
              <w:pStyle w:val="TableParagraph"/>
              <w:spacing w:before="13"/>
              <w:ind w:right="144"/>
              <w:jc w:val="right"/>
              <w:rPr>
                <w:sz w:val="18"/>
              </w:rPr>
            </w:pPr>
            <w:r>
              <w:rPr>
                <w:spacing w:val="-2"/>
                <w:sz w:val="18"/>
              </w:rPr>
              <w:t>11,732</w:t>
            </w:r>
          </w:p>
        </w:tc>
        <w:tc>
          <w:tcPr>
            <w:tcW w:w="902" w:type="dxa"/>
            <w:tcBorders>
              <w:top w:val="single" w:sz="4" w:space="0" w:color="000000"/>
              <w:bottom w:val="single" w:sz="4" w:space="0" w:color="000000"/>
            </w:tcBorders>
            <w:shd w:val="clear" w:color="auto" w:fill="CCEDFF"/>
          </w:tcPr>
          <w:p>
            <w:pPr>
              <w:pStyle w:val="TableParagraph"/>
              <w:spacing w:before="13"/>
              <w:ind w:right="71"/>
              <w:jc w:val="right"/>
              <w:rPr>
                <w:sz w:val="18"/>
              </w:rPr>
            </w:pPr>
            <w:r>
              <w:rPr>
                <w:spacing w:val="-2"/>
                <w:sz w:val="18"/>
              </w:rPr>
              <w:t>3.23%</w:t>
            </w:r>
          </w:p>
        </w:tc>
        <w:tc>
          <w:tcPr>
            <w:tcW w:w="75" w:type="dxa"/>
            <w:tcBorders>
              <w:top w:val="single" w:sz="4" w:space="0" w:color="000000"/>
              <w:bottom w:val="single" w:sz="4" w:space="0" w:color="000000"/>
            </w:tcBorders>
            <w:shd w:val="clear" w:color="auto" w:fill="CCEDFF"/>
          </w:tcPr>
          <w:p>
            <w:pPr>
              <w:pStyle w:val="TableParagraph"/>
              <w:rPr>
                <w:sz w:val="16"/>
              </w:rPr>
            </w:pPr>
          </w:p>
        </w:tc>
        <w:tc>
          <w:tcPr>
            <w:tcW w:w="881" w:type="dxa"/>
            <w:tcBorders>
              <w:top w:val="single" w:sz="4" w:space="0" w:color="000000"/>
              <w:bottom w:val="single" w:sz="4" w:space="0" w:color="000000"/>
            </w:tcBorders>
            <w:shd w:val="clear" w:color="auto" w:fill="CCEDFF"/>
          </w:tcPr>
          <w:p>
            <w:pPr>
              <w:pStyle w:val="TableParagraph"/>
              <w:spacing w:before="13"/>
              <w:ind w:right="97"/>
              <w:jc w:val="right"/>
              <w:rPr>
                <w:sz w:val="18"/>
              </w:rPr>
            </w:pPr>
            <w:r>
              <w:rPr>
                <w:spacing w:val="-2"/>
                <w:sz w:val="18"/>
              </w:rPr>
              <w:t>614,144</w:t>
            </w:r>
          </w:p>
        </w:tc>
        <w:tc>
          <w:tcPr>
            <w:tcW w:w="1111" w:type="dxa"/>
            <w:tcBorders>
              <w:top w:val="single" w:sz="4" w:space="0" w:color="000000"/>
              <w:bottom w:val="single" w:sz="4" w:space="0" w:color="000000"/>
            </w:tcBorders>
            <w:shd w:val="clear" w:color="auto" w:fill="CCEDFF"/>
          </w:tcPr>
          <w:p>
            <w:pPr>
              <w:pStyle w:val="TableParagraph"/>
              <w:spacing w:before="13"/>
              <w:ind w:right="173"/>
              <w:jc w:val="right"/>
              <w:rPr>
                <w:sz w:val="18"/>
              </w:rPr>
            </w:pPr>
            <w:r>
              <w:rPr>
                <w:spacing w:val="-2"/>
                <w:sz w:val="18"/>
              </w:rPr>
              <w:t>7,988</w:t>
            </w:r>
          </w:p>
        </w:tc>
        <w:tc>
          <w:tcPr>
            <w:tcW w:w="872" w:type="dxa"/>
            <w:tcBorders>
              <w:top w:val="single" w:sz="4" w:space="0" w:color="000000"/>
              <w:bottom w:val="single" w:sz="4" w:space="0" w:color="000000"/>
            </w:tcBorders>
            <w:shd w:val="clear" w:color="auto" w:fill="CCEDFF"/>
          </w:tcPr>
          <w:p>
            <w:pPr>
              <w:pStyle w:val="TableParagraph"/>
              <w:spacing w:before="13"/>
              <w:ind w:left="261"/>
              <w:jc w:val="center"/>
              <w:rPr>
                <w:sz w:val="18"/>
              </w:rPr>
            </w:pPr>
            <w:r>
              <w:rPr>
                <w:spacing w:val="-2"/>
                <w:sz w:val="18"/>
              </w:rPr>
              <w:t>1.73%</w:t>
            </w:r>
          </w:p>
        </w:tc>
      </w:tr>
      <w:tr>
        <w:trPr>
          <w:trHeight w:val="250" w:hRule="atLeast"/>
        </w:trPr>
        <w:tc>
          <w:tcPr>
            <w:tcW w:w="4455" w:type="dxa"/>
            <w:tcBorders>
              <w:top w:val="single" w:sz="4" w:space="0" w:color="000000"/>
            </w:tcBorders>
          </w:tcPr>
          <w:p>
            <w:pPr>
              <w:pStyle w:val="TableParagraph"/>
              <w:spacing w:before="13"/>
              <w:ind w:left="52"/>
              <w:rPr>
                <w:sz w:val="18"/>
              </w:rPr>
            </w:pPr>
            <w:r>
              <w:rPr>
                <w:sz w:val="18"/>
              </w:rPr>
              <w:t>Securities</w:t>
            </w:r>
            <w:r>
              <w:rPr>
                <w:spacing w:val="-2"/>
                <w:sz w:val="18"/>
              </w:rPr>
              <w:t> </w:t>
            </w:r>
            <w:r>
              <w:rPr>
                <w:sz w:val="18"/>
              </w:rPr>
              <w:t>lending </w:t>
            </w:r>
            <w:r>
              <w:rPr>
                <w:spacing w:val="-2"/>
                <w:sz w:val="18"/>
              </w:rPr>
              <w:t>revenue</w:t>
            </w:r>
          </w:p>
        </w:tc>
        <w:tc>
          <w:tcPr>
            <w:tcW w:w="881" w:type="dxa"/>
            <w:tcBorders>
              <w:top w:val="single" w:sz="4" w:space="0" w:color="000000"/>
            </w:tcBorders>
          </w:tcPr>
          <w:p>
            <w:pPr>
              <w:pStyle w:val="TableParagraph"/>
              <w:rPr>
                <w:sz w:val="18"/>
              </w:rPr>
            </w:pPr>
          </w:p>
        </w:tc>
        <w:tc>
          <w:tcPr>
            <w:tcW w:w="1081" w:type="dxa"/>
            <w:tcBorders>
              <w:top w:val="single" w:sz="4" w:space="0" w:color="000000"/>
            </w:tcBorders>
          </w:tcPr>
          <w:p>
            <w:pPr>
              <w:pStyle w:val="TableParagraph"/>
              <w:spacing w:before="13"/>
              <w:ind w:right="144"/>
              <w:jc w:val="right"/>
              <w:rPr>
                <w:sz w:val="18"/>
              </w:rPr>
            </w:pPr>
            <w:r>
              <w:rPr>
                <w:spacing w:val="-5"/>
                <w:sz w:val="18"/>
              </w:rPr>
              <w:t>341</w:t>
            </w:r>
          </w:p>
        </w:tc>
        <w:tc>
          <w:tcPr>
            <w:tcW w:w="902" w:type="dxa"/>
            <w:tcBorders>
              <w:top w:val="single" w:sz="4" w:space="0" w:color="000000"/>
            </w:tcBorders>
          </w:tcPr>
          <w:p>
            <w:pPr>
              <w:pStyle w:val="TableParagraph"/>
              <w:rPr>
                <w:sz w:val="18"/>
              </w:rPr>
            </w:pPr>
          </w:p>
        </w:tc>
        <w:tc>
          <w:tcPr>
            <w:tcW w:w="75" w:type="dxa"/>
            <w:tcBorders>
              <w:top w:val="single" w:sz="4" w:space="0" w:color="000000"/>
            </w:tcBorders>
          </w:tcPr>
          <w:p>
            <w:pPr>
              <w:pStyle w:val="TableParagraph"/>
              <w:rPr>
                <w:sz w:val="18"/>
              </w:rPr>
            </w:pPr>
          </w:p>
        </w:tc>
        <w:tc>
          <w:tcPr>
            <w:tcW w:w="881" w:type="dxa"/>
            <w:tcBorders>
              <w:top w:val="single" w:sz="4" w:space="0" w:color="000000"/>
            </w:tcBorders>
          </w:tcPr>
          <w:p>
            <w:pPr>
              <w:pStyle w:val="TableParagraph"/>
              <w:rPr>
                <w:sz w:val="18"/>
              </w:rPr>
            </w:pPr>
          </w:p>
        </w:tc>
        <w:tc>
          <w:tcPr>
            <w:tcW w:w="1111" w:type="dxa"/>
            <w:tcBorders>
              <w:top w:val="single" w:sz="4" w:space="0" w:color="000000"/>
            </w:tcBorders>
          </w:tcPr>
          <w:p>
            <w:pPr>
              <w:pStyle w:val="TableParagraph"/>
              <w:spacing w:before="13"/>
              <w:ind w:right="173"/>
              <w:jc w:val="right"/>
              <w:rPr>
                <w:sz w:val="18"/>
              </w:rPr>
            </w:pPr>
            <w:r>
              <w:rPr>
                <w:spacing w:val="-5"/>
                <w:sz w:val="18"/>
              </w:rPr>
              <w:t>383</w:t>
            </w:r>
          </w:p>
        </w:tc>
        <w:tc>
          <w:tcPr>
            <w:tcW w:w="872" w:type="dxa"/>
            <w:tcBorders>
              <w:top w:val="single" w:sz="4" w:space="0" w:color="000000"/>
            </w:tcBorders>
          </w:tcPr>
          <w:p>
            <w:pPr>
              <w:pStyle w:val="TableParagraph"/>
              <w:rPr>
                <w:sz w:val="18"/>
              </w:rPr>
            </w:pPr>
          </w:p>
        </w:tc>
      </w:tr>
      <w:tr>
        <w:trPr>
          <w:trHeight w:val="250" w:hRule="atLeast"/>
        </w:trPr>
        <w:tc>
          <w:tcPr>
            <w:tcW w:w="4455" w:type="dxa"/>
            <w:tcBorders>
              <w:bottom w:val="single" w:sz="4" w:space="0" w:color="000000"/>
            </w:tcBorders>
            <w:shd w:val="clear" w:color="auto" w:fill="CCEDFF"/>
          </w:tcPr>
          <w:p>
            <w:pPr>
              <w:pStyle w:val="TableParagraph"/>
              <w:spacing w:before="18"/>
              <w:ind w:left="52"/>
              <w:rPr>
                <w:sz w:val="18"/>
              </w:rPr>
            </w:pPr>
            <w:r>
              <w:rPr>
                <w:sz w:val="18"/>
              </w:rPr>
              <w:t>Other</w:t>
            </w:r>
            <w:r>
              <w:rPr>
                <w:spacing w:val="-1"/>
                <w:sz w:val="18"/>
              </w:rPr>
              <w:t> </w:t>
            </w:r>
            <w:r>
              <w:rPr>
                <w:sz w:val="18"/>
              </w:rPr>
              <w:t>interest</w:t>
            </w:r>
            <w:r>
              <w:rPr>
                <w:spacing w:val="-1"/>
                <w:sz w:val="18"/>
              </w:rPr>
              <w:t> </w:t>
            </w:r>
            <w:r>
              <w:rPr>
                <w:spacing w:val="-2"/>
                <w:sz w:val="18"/>
              </w:rPr>
              <w:t>revenue</w:t>
            </w:r>
          </w:p>
        </w:tc>
        <w:tc>
          <w:tcPr>
            <w:tcW w:w="881" w:type="dxa"/>
            <w:tcBorders>
              <w:bottom w:val="single" w:sz="4" w:space="0" w:color="000000"/>
            </w:tcBorders>
            <w:shd w:val="clear" w:color="auto" w:fill="CCEDFF"/>
          </w:tcPr>
          <w:p>
            <w:pPr>
              <w:pStyle w:val="TableParagraph"/>
              <w:rPr>
                <w:sz w:val="18"/>
              </w:rPr>
            </w:pPr>
          </w:p>
        </w:tc>
        <w:tc>
          <w:tcPr>
            <w:tcW w:w="1081" w:type="dxa"/>
            <w:tcBorders>
              <w:bottom w:val="single" w:sz="4" w:space="0" w:color="000000"/>
            </w:tcBorders>
            <w:shd w:val="clear" w:color="auto" w:fill="CCEDFF"/>
          </w:tcPr>
          <w:p>
            <w:pPr>
              <w:pStyle w:val="TableParagraph"/>
              <w:spacing w:before="18"/>
              <w:ind w:right="144"/>
              <w:jc w:val="right"/>
              <w:rPr>
                <w:sz w:val="18"/>
              </w:rPr>
            </w:pPr>
            <w:r>
              <w:rPr>
                <w:spacing w:val="-5"/>
                <w:sz w:val="18"/>
              </w:rPr>
              <w:t>75</w:t>
            </w:r>
          </w:p>
        </w:tc>
        <w:tc>
          <w:tcPr>
            <w:tcW w:w="902" w:type="dxa"/>
            <w:tcBorders>
              <w:bottom w:val="single" w:sz="4" w:space="0" w:color="000000"/>
            </w:tcBorders>
            <w:shd w:val="clear" w:color="auto" w:fill="CCEDFF"/>
          </w:tcPr>
          <w:p>
            <w:pPr>
              <w:pStyle w:val="TableParagraph"/>
              <w:rPr>
                <w:sz w:val="18"/>
              </w:rPr>
            </w:pPr>
          </w:p>
        </w:tc>
        <w:tc>
          <w:tcPr>
            <w:tcW w:w="75" w:type="dxa"/>
            <w:tcBorders>
              <w:bottom w:val="single" w:sz="4" w:space="0" w:color="000000"/>
            </w:tcBorders>
            <w:shd w:val="clear" w:color="auto" w:fill="CCEDFF"/>
          </w:tcPr>
          <w:p>
            <w:pPr>
              <w:pStyle w:val="TableParagraph"/>
              <w:rPr>
                <w:sz w:val="18"/>
              </w:rPr>
            </w:pPr>
          </w:p>
        </w:tc>
        <w:tc>
          <w:tcPr>
            <w:tcW w:w="881" w:type="dxa"/>
            <w:tcBorders>
              <w:bottom w:val="single" w:sz="4" w:space="0" w:color="000000"/>
            </w:tcBorders>
            <w:shd w:val="clear" w:color="auto" w:fill="CCEDFF"/>
          </w:tcPr>
          <w:p>
            <w:pPr>
              <w:pStyle w:val="TableParagraph"/>
              <w:rPr>
                <w:sz w:val="18"/>
              </w:rPr>
            </w:pPr>
          </w:p>
        </w:tc>
        <w:tc>
          <w:tcPr>
            <w:tcW w:w="1111" w:type="dxa"/>
            <w:tcBorders>
              <w:bottom w:val="single" w:sz="4" w:space="0" w:color="000000"/>
            </w:tcBorders>
            <w:shd w:val="clear" w:color="auto" w:fill="CCEDFF"/>
          </w:tcPr>
          <w:p>
            <w:pPr>
              <w:pStyle w:val="TableParagraph"/>
              <w:spacing w:before="18"/>
              <w:ind w:right="173"/>
              <w:jc w:val="right"/>
              <w:rPr>
                <w:sz w:val="18"/>
              </w:rPr>
            </w:pPr>
            <w:r>
              <w:rPr>
                <w:spacing w:val="-5"/>
                <w:sz w:val="18"/>
              </w:rPr>
              <w:t>15</w:t>
            </w:r>
          </w:p>
        </w:tc>
        <w:tc>
          <w:tcPr>
            <w:tcW w:w="872" w:type="dxa"/>
            <w:tcBorders>
              <w:bottom w:val="single" w:sz="4" w:space="0" w:color="000000"/>
            </w:tcBorders>
            <w:shd w:val="clear" w:color="auto" w:fill="CCEDFF"/>
          </w:tcPr>
          <w:p>
            <w:pPr>
              <w:pStyle w:val="TableParagraph"/>
              <w:rPr>
                <w:sz w:val="18"/>
              </w:rPr>
            </w:pPr>
          </w:p>
        </w:tc>
      </w:tr>
      <w:tr>
        <w:trPr>
          <w:trHeight w:val="220" w:hRule="atLeast"/>
        </w:trPr>
        <w:tc>
          <w:tcPr>
            <w:tcW w:w="4455" w:type="dxa"/>
            <w:tcBorders>
              <w:top w:val="single" w:sz="4" w:space="0" w:color="000000"/>
              <w:bottom w:val="double" w:sz="8" w:space="0" w:color="auto"/>
            </w:tcBorders>
          </w:tcPr>
          <w:p>
            <w:pPr>
              <w:pStyle w:val="TableParagraph"/>
              <w:spacing w:line="187" w:lineRule="exact" w:before="13"/>
              <w:ind w:left="52"/>
              <w:rPr>
                <w:sz w:val="18"/>
              </w:rPr>
            </w:pPr>
            <w:r>
              <w:rPr>
                <w:sz w:val="18"/>
              </w:rPr>
              <w:t>Total</w:t>
            </w:r>
            <w:r>
              <w:rPr>
                <w:spacing w:val="-1"/>
                <w:sz w:val="18"/>
              </w:rPr>
              <w:t> </w:t>
            </w:r>
            <w:r>
              <w:rPr>
                <w:sz w:val="18"/>
              </w:rPr>
              <w:t>interest-earning </w:t>
            </w:r>
            <w:r>
              <w:rPr>
                <w:spacing w:val="-2"/>
                <w:sz w:val="18"/>
              </w:rPr>
              <w:t>assets</w:t>
            </w:r>
          </w:p>
        </w:tc>
        <w:tc>
          <w:tcPr>
            <w:tcW w:w="881" w:type="dxa"/>
            <w:tcBorders>
              <w:top w:val="single" w:sz="4" w:space="0" w:color="000000"/>
              <w:bottom w:val="double" w:sz="8" w:space="0" w:color="auto"/>
            </w:tcBorders>
          </w:tcPr>
          <w:p>
            <w:pPr>
              <w:pStyle w:val="TableParagraph"/>
              <w:spacing w:line="187" w:lineRule="exact" w:before="13"/>
              <w:ind w:right="98"/>
              <w:jc w:val="right"/>
              <w:rPr>
                <w:sz w:val="18"/>
              </w:rPr>
            </w:pPr>
            <w:r>
              <w:rPr>
                <w:sz w:val="18"/>
              </w:rPr>
              <w:t>$</w:t>
            </w:r>
            <w:r>
              <w:rPr>
                <w:spacing w:val="5"/>
                <w:sz w:val="18"/>
              </w:rPr>
              <w:t> </w:t>
            </w:r>
            <w:r>
              <w:rPr>
                <w:spacing w:val="-2"/>
                <w:sz w:val="18"/>
              </w:rPr>
              <w:t>481,082</w:t>
            </w:r>
          </w:p>
        </w:tc>
        <w:tc>
          <w:tcPr>
            <w:tcW w:w="1081" w:type="dxa"/>
            <w:tcBorders>
              <w:top w:val="single" w:sz="4" w:space="0" w:color="000000"/>
              <w:bottom w:val="double" w:sz="8" w:space="0" w:color="auto"/>
            </w:tcBorders>
          </w:tcPr>
          <w:p>
            <w:pPr>
              <w:pStyle w:val="TableParagraph"/>
              <w:tabs>
                <w:tab w:pos="337" w:val="left" w:leader="none"/>
              </w:tabs>
              <w:spacing w:line="187" w:lineRule="exact" w:before="13"/>
              <w:ind w:right="144"/>
              <w:jc w:val="right"/>
              <w:rPr>
                <w:sz w:val="18"/>
              </w:rPr>
            </w:pPr>
            <w:r>
              <w:rPr>
                <w:spacing w:val="-10"/>
                <w:sz w:val="18"/>
              </w:rPr>
              <w:t>$</w:t>
            </w:r>
            <w:r>
              <w:rPr>
                <w:sz w:val="18"/>
              </w:rPr>
              <w:tab/>
            </w:r>
            <w:r>
              <w:rPr>
                <w:spacing w:val="-2"/>
                <w:sz w:val="18"/>
              </w:rPr>
              <w:t>12,148</w:t>
            </w:r>
          </w:p>
        </w:tc>
        <w:tc>
          <w:tcPr>
            <w:tcW w:w="902" w:type="dxa"/>
            <w:tcBorders>
              <w:top w:val="single" w:sz="4" w:space="0" w:color="000000"/>
              <w:bottom w:val="double" w:sz="8" w:space="0" w:color="auto"/>
            </w:tcBorders>
          </w:tcPr>
          <w:p>
            <w:pPr>
              <w:pStyle w:val="TableParagraph"/>
              <w:spacing w:line="187" w:lineRule="exact" w:before="13"/>
              <w:ind w:right="71"/>
              <w:jc w:val="right"/>
              <w:rPr>
                <w:sz w:val="18"/>
              </w:rPr>
            </w:pPr>
            <w:r>
              <w:rPr>
                <w:spacing w:val="-2"/>
                <w:sz w:val="18"/>
              </w:rPr>
              <w:t>3.35%</w:t>
            </w:r>
          </w:p>
        </w:tc>
        <w:tc>
          <w:tcPr>
            <w:tcW w:w="75" w:type="dxa"/>
            <w:tcBorders>
              <w:top w:val="single" w:sz="4" w:space="0" w:color="000000"/>
              <w:bottom w:val="double" w:sz="8" w:space="0" w:color="auto"/>
            </w:tcBorders>
          </w:tcPr>
          <w:p>
            <w:pPr>
              <w:pStyle w:val="TableParagraph"/>
              <w:rPr>
                <w:sz w:val="14"/>
              </w:rPr>
            </w:pPr>
          </w:p>
        </w:tc>
        <w:tc>
          <w:tcPr>
            <w:tcW w:w="881" w:type="dxa"/>
            <w:tcBorders>
              <w:top w:val="single" w:sz="4" w:space="0" w:color="000000"/>
              <w:bottom w:val="double" w:sz="8" w:space="0" w:color="auto"/>
            </w:tcBorders>
          </w:tcPr>
          <w:p>
            <w:pPr>
              <w:pStyle w:val="TableParagraph"/>
              <w:spacing w:line="187" w:lineRule="exact" w:before="13"/>
              <w:ind w:right="97"/>
              <w:jc w:val="right"/>
              <w:rPr>
                <w:sz w:val="18"/>
              </w:rPr>
            </w:pPr>
            <w:r>
              <w:rPr>
                <w:sz w:val="18"/>
              </w:rPr>
              <w:t>$</w:t>
            </w:r>
            <w:r>
              <w:rPr>
                <w:spacing w:val="5"/>
                <w:sz w:val="18"/>
              </w:rPr>
              <w:t> </w:t>
            </w:r>
            <w:r>
              <w:rPr>
                <w:spacing w:val="-2"/>
                <w:sz w:val="18"/>
              </w:rPr>
              <w:t>614,144</w:t>
            </w:r>
          </w:p>
        </w:tc>
        <w:tc>
          <w:tcPr>
            <w:tcW w:w="1111" w:type="dxa"/>
            <w:tcBorders>
              <w:top w:val="single" w:sz="4" w:space="0" w:color="000000"/>
              <w:bottom w:val="double" w:sz="8" w:space="0" w:color="auto"/>
            </w:tcBorders>
          </w:tcPr>
          <w:p>
            <w:pPr>
              <w:pStyle w:val="TableParagraph"/>
              <w:tabs>
                <w:tab w:pos="427" w:val="left" w:leader="none"/>
              </w:tabs>
              <w:spacing w:line="187" w:lineRule="exact" w:before="13"/>
              <w:ind w:right="173"/>
              <w:jc w:val="right"/>
              <w:rPr>
                <w:sz w:val="18"/>
              </w:rPr>
            </w:pPr>
            <w:r>
              <w:rPr>
                <w:spacing w:val="-10"/>
                <w:sz w:val="18"/>
              </w:rPr>
              <w:t>$</w:t>
            </w:r>
            <w:r>
              <w:rPr>
                <w:sz w:val="18"/>
              </w:rPr>
              <w:tab/>
            </w:r>
            <w:r>
              <w:rPr>
                <w:spacing w:val="-2"/>
                <w:sz w:val="18"/>
              </w:rPr>
              <w:t>8,386</w:t>
            </w:r>
          </w:p>
        </w:tc>
        <w:tc>
          <w:tcPr>
            <w:tcW w:w="872" w:type="dxa"/>
            <w:tcBorders>
              <w:top w:val="single" w:sz="4" w:space="0" w:color="000000"/>
              <w:bottom w:val="double" w:sz="8" w:space="0" w:color="auto"/>
            </w:tcBorders>
          </w:tcPr>
          <w:p>
            <w:pPr>
              <w:pStyle w:val="TableParagraph"/>
              <w:spacing w:line="187" w:lineRule="exact" w:before="13"/>
              <w:ind w:left="261"/>
              <w:jc w:val="center"/>
              <w:rPr>
                <w:sz w:val="18"/>
              </w:rPr>
            </w:pPr>
            <w:r>
              <w:rPr>
                <w:spacing w:val="-2"/>
                <w:sz w:val="18"/>
              </w:rPr>
              <w:t>1.81%</w:t>
            </w:r>
          </w:p>
        </w:tc>
      </w:tr>
      <w:tr>
        <w:trPr>
          <w:trHeight w:val="225" w:hRule="atLeast"/>
        </w:trPr>
        <w:tc>
          <w:tcPr>
            <w:tcW w:w="4455" w:type="dxa"/>
            <w:tcBorders>
              <w:top w:val="double" w:sz="8" w:space="0" w:color="CCEDFF"/>
            </w:tcBorders>
            <w:shd w:val="clear" w:color="auto" w:fill="CCEDFF"/>
          </w:tcPr>
          <w:p>
            <w:pPr>
              <w:pStyle w:val="TableParagraph"/>
              <w:spacing w:line="195" w:lineRule="exact"/>
              <w:ind w:left="52"/>
              <w:rPr>
                <w:b/>
                <w:sz w:val="18"/>
              </w:rPr>
            </w:pPr>
            <w:r>
              <w:rPr>
                <w:b/>
                <w:sz w:val="18"/>
              </w:rPr>
              <w:t>Funding</w:t>
            </w:r>
            <w:r>
              <w:rPr>
                <w:b/>
                <w:spacing w:val="-4"/>
                <w:sz w:val="18"/>
              </w:rPr>
              <w:t> </w:t>
            </w:r>
            <w:r>
              <w:rPr>
                <w:b/>
                <w:spacing w:val="-2"/>
                <w:sz w:val="18"/>
              </w:rPr>
              <w:t>sources</w:t>
            </w:r>
          </w:p>
        </w:tc>
        <w:tc>
          <w:tcPr>
            <w:tcW w:w="881" w:type="dxa"/>
            <w:tcBorders>
              <w:top w:val="double" w:sz="8" w:space="0" w:color="CCEDFF"/>
            </w:tcBorders>
            <w:shd w:val="clear" w:color="auto" w:fill="CCEDFF"/>
          </w:tcPr>
          <w:p>
            <w:pPr>
              <w:pStyle w:val="TableParagraph"/>
              <w:rPr>
                <w:sz w:val="16"/>
              </w:rPr>
            </w:pPr>
          </w:p>
        </w:tc>
        <w:tc>
          <w:tcPr>
            <w:tcW w:w="1081" w:type="dxa"/>
            <w:tcBorders>
              <w:top w:val="double" w:sz="8" w:space="0" w:color="CCEDFF"/>
            </w:tcBorders>
            <w:shd w:val="clear" w:color="auto" w:fill="CCEDFF"/>
          </w:tcPr>
          <w:p>
            <w:pPr>
              <w:pStyle w:val="TableParagraph"/>
              <w:rPr>
                <w:sz w:val="16"/>
              </w:rPr>
            </w:pPr>
          </w:p>
        </w:tc>
        <w:tc>
          <w:tcPr>
            <w:tcW w:w="902" w:type="dxa"/>
            <w:tcBorders>
              <w:top w:val="double" w:sz="8" w:space="0" w:color="CCEDFF"/>
            </w:tcBorders>
            <w:shd w:val="clear" w:color="auto" w:fill="CCEDFF"/>
          </w:tcPr>
          <w:p>
            <w:pPr>
              <w:pStyle w:val="TableParagraph"/>
              <w:rPr>
                <w:sz w:val="16"/>
              </w:rPr>
            </w:pPr>
          </w:p>
        </w:tc>
        <w:tc>
          <w:tcPr>
            <w:tcW w:w="75" w:type="dxa"/>
            <w:tcBorders>
              <w:top w:val="double" w:sz="8" w:space="0" w:color="CCEDFF"/>
            </w:tcBorders>
            <w:shd w:val="clear" w:color="auto" w:fill="CCEDFF"/>
          </w:tcPr>
          <w:p>
            <w:pPr>
              <w:pStyle w:val="TableParagraph"/>
              <w:rPr>
                <w:sz w:val="16"/>
              </w:rPr>
            </w:pPr>
          </w:p>
        </w:tc>
        <w:tc>
          <w:tcPr>
            <w:tcW w:w="881" w:type="dxa"/>
            <w:tcBorders>
              <w:top w:val="double" w:sz="8" w:space="0" w:color="CCEDFF"/>
            </w:tcBorders>
            <w:shd w:val="clear" w:color="auto" w:fill="CCEDFF"/>
          </w:tcPr>
          <w:p>
            <w:pPr>
              <w:pStyle w:val="TableParagraph"/>
              <w:rPr>
                <w:sz w:val="16"/>
              </w:rPr>
            </w:pPr>
          </w:p>
        </w:tc>
        <w:tc>
          <w:tcPr>
            <w:tcW w:w="1111" w:type="dxa"/>
            <w:tcBorders>
              <w:top w:val="double" w:sz="8" w:space="0" w:color="CCEDFF"/>
            </w:tcBorders>
            <w:shd w:val="clear" w:color="auto" w:fill="CCEDFF"/>
          </w:tcPr>
          <w:p>
            <w:pPr>
              <w:pStyle w:val="TableParagraph"/>
              <w:rPr>
                <w:sz w:val="16"/>
              </w:rPr>
            </w:pPr>
          </w:p>
        </w:tc>
        <w:tc>
          <w:tcPr>
            <w:tcW w:w="872" w:type="dxa"/>
            <w:tcBorders>
              <w:top w:val="double" w:sz="8" w:space="0" w:color="CCEDFF"/>
            </w:tcBorders>
            <w:shd w:val="clear" w:color="auto" w:fill="CCEDFF"/>
          </w:tcPr>
          <w:p>
            <w:pPr>
              <w:pStyle w:val="TableParagraph"/>
              <w:rPr>
                <w:sz w:val="16"/>
              </w:rPr>
            </w:pPr>
          </w:p>
        </w:tc>
      </w:tr>
      <w:tr>
        <w:trPr>
          <w:trHeight w:val="255" w:hRule="atLeast"/>
        </w:trPr>
        <w:tc>
          <w:tcPr>
            <w:tcW w:w="4455" w:type="dxa"/>
          </w:tcPr>
          <w:p>
            <w:pPr>
              <w:pStyle w:val="TableParagraph"/>
              <w:spacing w:before="18"/>
              <w:ind w:left="52"/>
              <w:rPr>
                <w:sz w:val="18"/>
              </w:rPr>
            </w:pPr>
            <w:r>
              <w:rPr>
                <w:sz w:val="18"/>
              </w:rPr>
              <w:t>Bank </w:t>
            </w:r>
            <w:r>
              <w:rPr>
                <w:spacing w:val="-2"/>
                <w:sz w:val="18"/>
              </w:rPr>
              <w:t>deposits</w:t>
            </w:r>
          </w:p>
        </w:tc>
        <w:tc>
          <w:tcPr>
            <w:tcW w:w="881" w:type="dxa"/>
          </w:tcPr>
          <w:p>
            <w:pPr>
              <w:pStyle w:val="TableParagraph"/>
              <w:spacing w:before="18"/>
              <w:ind w:right="98"/>
              <w:jc w:val="right"/>
              <w:rPr>
                <w:sz w:val="18"/>
              </w:rPr>
            </w:pPr>
            <w:r>
              <w:rPr>
                <w:sz w:val="18"/>
              </w:rPr>
              <w:t>$</w:t>
            </w:r>
            <w:r>
              <w:rPr>
                <w:spacing w:val="5"/>
                <w:sz w:val="18"/>
              </w:rPr>
              <w:t> </w:t>
            </w:r>
            <w:r>
              <w:rPr>
                <w:spacing w:val="-2"/>
                <w:sz w:val="18"/>
              </w:rPr>
              <w:t>315,309</w:t>
            </w:r>
          </w:p>
        </w:tc>
        <w:tc>
          <w:tcPr>
            <w:tcW w:w="1081" w:type="dxa"/>
          </w:tcPr>
          <w:p>
            <w:pPr>
              <w:pStyle w:val="TableParagraph"/>
              <w:tabs>
                <w:tab w:pos="427" w:val="left" w:leader="none"/>
              </w:tabs>
              <w:spacing w:before="18"/>
              <w:ind w:right="144"/>
              <w:jc w:val="right"/>
              <w:rPr>
                <w:sz w:val="18"/>
              </w:rPr>
            </w:pPr>
            <w:r>
              <w:rPr>
                <w:spacing w:val="-10"/>
                <w:sz w:val="18"/>
              </w:rPr>
              <w:t>$</w:t>
            </w:r>
            <w:r>
              <w:rPr>
                <w:sz w:val="18"/>
              </w:rPr>
              <w:tab/>
            </w:r>
            <w:r>
              <w:rPr>
                <w:spacing w:val="-2"/>
                <w:sz w:val="18"/>
              </w:rPr>
              <w:t>2,392</w:t>
            </w:r>
          </w:p>
        </w:tc>
        <w:tc>
          <w:tcPr>
            <w:tcW w:w="902" w:type="dxa"/>
          </w:tcPr>
          <w:p>
            <w:pPr>
              <w:pStyle w:val="TableParagraph"/>
              <w:spacing w:before="18"/>
              <w:ind w:right="71"/>
              <w:jc w:val="right"/>
              <w:rPr>
                <w:sz w:val="18"/>
              </w:rPr>
            </w:pPr>
            <w:r>
              <w:rPr>
                <w:spacing w:val="-2"/>
                <w:sz w:val="18"/>
              </w:rPr>
              <w:t>1.01%</w:t>
            </w:r>
          </w:p>
        </w:tc>
        <w:tc>
          <w:tcPr>
            <w:tcW w:w="75" w:type="dxa"/>
          </w:tcPr>
          <w:p>
            <w:pPr>
              <w:pStyle w:val="TableParagraph"/>
              <w:rPr>
                <w:sz w:val="18"/>
              </w:rPr>
            </w:pPr>
          </w:p>
        </w:tc>
        <w:tc>
          <w:tcPr>
            <w:tcW w:w="881" w:type="dxa"/>
          </w:tcPr>
          <w:p>
            <w:pPr>
              <w:pStyle w:val="TableParagraph"/>
              <w:spacing w:before="18"/>
              <w:ind w:right="97"/>
              <w:jc w:val="right"/>
              <w:rPr>
                <w:sz w:val="18"/>
              </w:rPr>
            </w:pPr>
            <w:r>
              <w:rPr>
                <w:sz w:val="18"/>
              </w:rPr>
              <w:t>$</w:t>
            </w:r>
            <w:r>
              <w:rPr>
                <w:spacing w:val="5"/>
                <w:sz w:val="18"/>
              </w:rPr>
              <w:t> </w:t>
            </w:r>
            <w:r>
              <w:rPr>
                <w:spacing w:val="-2"/>
                <w:sz w:val="18"/>
              </w:rPr>
              <w:t>440,801</w:t>
            </w:r>
          </w:p>
        </w:tc>
        <w:tc>
          <w:tcPr>
            <w:tcW w:w="1111" w:type="dxa"/>
          </w:tcPr>
          <w:p>
            <w:pPr>
              <w:pStyle w:val="TableParagraph"/>
              <w:tabs>
                <w:tab w:pos="562" w:val="left" w:leader="none"/>
              </w:tabs>
              <w:spacing w:before="18"/>
              <w:ind w:right="173"/>
              <w:jc w:val="right"/>
              <w:rPr>
                <w:sz w:val="18"/>
              </w:rPr>
            </w:pPr>
            <w:r>
              <w:rPr>
                <w:spacing w:val="-10"/>
                <w:sz w:val="18"/>
              </w:rPr>
              <w:t>$</w:t>
            </w:r>
            <w:r>
              <w:rPr>
                <w:sz w:val="18"/>
              </w:rPr>
              <w:tab/>
            </w:r>
            <w:r>
              <w:rPr>
                <w:spacing w:val="-5"/>
                <w:sz w:val="18"/>
              </w:rPr>
              <w:t>285</w:t>
            </w:r>
          </w:p>
        </w:tc>
        <w:tc>
          <w:tcPr>
            <w:tcW w:w="872" w:type="dxa"/>
          </w:tcPr>
          <w:p>
            <w:pPr>
              <w:pStyle w:val="TableParagraph"/>
              <w:spacing w:before="18"/>
              <w:ind w:left="261"/>
              <w:jc w:val="center"/>
              <w:rPr>
                <w:sz w:val="18"/>
              </w:rPr>
            </w:pPr>
            <w:r>
              <w:rPr>
                <w:spacing w:val="-2"/>
                <w:sz w:val="18"/>
              </w:rPr>
              <w:t>0.09%</w:t>
            </w:r>
          </w:p>
        </w:tc>
      </w:tr>
      <w:tr>
        <w:trPr>
          <w:trHeight w:val="255" w:hRule="atLeast"/>
        </w:trPr>
        <w:tc>
          <w:tcPr>
            <w:tcW w:w="4455" w:type="dxa"/>
            <w:shd w:val="clear" w:color="auto" w:fill="CCEDFF"/>
          </w:tcPr>
          <w:p>
            <w:pPr>
              <w:pStyle w:val="TableParagraph"/>
              <w:spacing w:before="18"/>
              <w:ind w:left="52"/>
              <w:rPr>
                <w:sz w:val="18"/>
              </w:rPr>
            </w:pPr>
            <w:r>
              <w:rPr>
                <w:sz w:val="18"/>
              </w:rPr>
              <w:t>Payables</w:t>
            </w:r>
            <w:r>
              <w:rPr>
                <w:spacing w:val="-2"/>
                <w:sz w:val="18"/>
              </w:rPr>
              <w:t> </w:t>
            </w:r>
            <w:r>
              <w:rPr>
                <w:sz w:val="18"/>
              </w:rPr>
              <w:t>to brokerage </w:t>
            </w:r>
            <w:r>
              <w:rPr>
                <w:spacing w:val="-2"/>
                <w:sz w:val="18"/>
              </w:rPr>
              <w:t>clients</w:t>
            </w:r>
          </w:p>
        </w:tc>
        <w:tc>
          <w:tcPr>
            <w:tcW w:w="881" w:type="dxa"/>
            <w:shd w:val="clear" w:color="auto" w:fill="CCEDFF"/>
          </w:tcPr>
          <w:p>
            <w:pPr>
              <w:pStyle w:val="TableParagraph"/>
              <w:spacing w:before="18"/>
              <w:ind w:right="98"/>
              <w:jc w:val="right"/>
              <w:rPr>
                <w:sz w:val="18"/>
              </w:rPr>
            </w:pPr>
            <w:r>
              <w:rPr>
                <w:spacing w:val="-2"/>
                <w:sz w:val="18"/>
              </w:rPr>
              <w:t>68,548</w:t>
            </w:r>
          </w:p>
        </w:tc>
        <w:tc>
          <w:tcPr>
            <w:tcW w:w="1081" w:type="dxa"/>
            <w:shd w:val="clear" w:color="auto" w:fill="CCEDFF"/>
          </w:tcPr>
          <w:p>
            <w:pPr>
              <w:pStyle w:val="TableParagraph"/>
              <w:spacing w:before="18"/>
              <w:ind w:right="144"/>
              <w:jc w:val="right"/>
              <w:rPr>
                <w:sz w:val="18"/>
              </w:rPr>
            </w:pPr>
            <w:r>
              <w:rPr>
                <w:spacing w:val="-5"/>
                <w:sz w:val="18"/>
              </w:rPr>
              <w:t>205</w:t>
            </w:r>
          </w:p>
        </w:tc>
        <w:tc>
          <w:tcPr>
            <w:tcW w:w="902" w:type="dxa"/>
            <w:shd w:val="clear" w:color="auto" w:fill="CCEDFF"/>
          </w:tcPr>
          <w:p>
            <w:pPr>
              <w:pStyle w:val="TableParagraph"/>
              <w:spacing w:before="18"/>
              <w:ind w:right="71"/>
              <w:jc w:val="right"/>
              <w:rPr>
                <w:sz w:val="18"/>
              </w:rPr>
            </w:pPr>
            <w:r>
              <w:rPr>
                <w:spacing w:val="-2"/>
                <w:sz w:val="18"/>
              </w:rPr>
              <w:t>0.40%</w:t>
            </w:r>
          </w:p>
        </w:tc>
        <w:tc>
          <w:tcPr>
            <w:tcW w:w="75" w:type="dxa"/>
            <w:shd w:val="clear" w:color="auto" w:fill="CCEDFF"/>
          </w:tcPr>
          <w:p>
            <w:pPr>
              <w:pStyle w:val="TableParagraph"/>
              <w:rPr>
                <w:sz w:val="18"/>
              </w:rPr>
            </w:pPr>
          </w:p>
        </w:tc>
        <w:tc>
          <w:tcPr>
            <w:tcW w:w="881" w:type="dxa"/>
            <w:shd w:val="clear" w:color="auto" w:fill="CCEDFF"/>
          </w:tcPr>
          <w:p>
            <w:pPr>
              <w:pStyle w:val="TableParagraph"/>
              <w:spacing w:before="18"/>
              <w:ind w:right="97"/>
              <w:jc w:val="right"/>
              <w:rPr>
                <w:sz w:val="18"/>
              </w:rPr>
            </w:pPr>
            <w:r>
              <w:rPr>
                <w:spacing w:val="-2"/>
                <w:sz w:val="18"/>
              </w:rPr>
              <w:t>101,472</w:t>
            </w:r>
          </w:p>
        </w:tc>
        <w:tc>
          <w:tcPr>
            <w:tcW w:w="1111" w:type="dxa"/>
            <w:shd w:val="clear" w:color="auto" w:fill="CCEDFF"/>
          </w:tcPr>
          <w:p>
            <w:pPr>
              <w:pStyle w:val="TableParagraph"/>
              <w:spacing w:before="18"/>
              <w:ind w:right="173"/>
              <w:jc w:val="right"/>
              <w:rPr>
                <w:sz w:val="18"/>
              </w:rPr>
            </w:pPr>
            <w:r>
              <w:rPr>
                <w:spacing w:val="-5"/>
                <w:sz w:val="18"/>
              </w:rPr>
              <w:t>47</w:t>
            </w:r>
          </w:p>
        </w:tc>
        <w:tc>
          <w:tcPr>
            <w:tcW w:w="872" w:type="dxa"/>
            <w:shd w:val="clear" w:color="auto" w:fill="CCEDFF"/>
          </w:tcPr>
          <w:p>
            <w:pPr>
              <w:pStyle w:val="TableParagraph"/>
              <w:spacing w:before="18"/>
              <w:ind w:left="261"/>
              <w:jc w:val="center"/>
              <w:rPr>
                <w:sz w:val="18"/>
              </w:rPr>
            </w:pPr>
            <w:r>
              <w:rPr>
                <w:spacing w:val="-2"/>
                <w:sz w:val="18"/>
              </w:rPr>
              <w:t>0.06%</w:t>
            </w:r>
          </w:p>
        </w:tc>
      </w:tr>
      <w:tr>
        <w:trPr>
          <w:trHeight w:val="255" w:hRule="atLeast"/>
        </w:trPr>
        <w:tc>
          <w:tcPr>
            <w:tcW w:w="4455" w:type="dxa"/>
          </w:tcPr>
          <w:p>
            <w:pPr>
              <w:pStyle w:val="TableParagraph"/>
              <w:spacing w:before="18"/>
              <w:ind w:left="52"/>
              <w:rPr>
                <w:sz w:val="18"/>
              </w:rPr>
            </w:pPr>
            <w:r>
              <w:rPr>
                <w:sz w:val="18"/>
              </w:rPr>
              <w:t>Other</w:t>
            </w:r>
            <w:r>
              <w:rPr>
                <w:spacing w:val="-2"/>
                <w:sz w:val="18"/>
              </w:rPr>
              <w:t> </w:t>
            </w:r>
            <w:r>
              <w:rPr>
                <w:sz w:val="18"/>
              </w:rPr>
              <w:t>short-term</w:t>
            </w:r>
            <w:r>
              <w:rPr>
                <w:spacing w:val="-1"/>
                <w:sz w:val="18"/>
              </w:rPr>
              <w:t> </w:t>
            </w:r>
            <w:r>
              <w:rPr>
                <w:sz w:val="18"/>
              </w:rPr>
              <w:t>borrowings</w:t>
            </w:r>
            <w:r>
              <w:rPr>
                <w:spacing w:val="-18"/>
                <w:sz w:val="18"/>
              </w:rPr>
              <w:t> </w:t>
            </w:r>
            <w:r>
              <w:rPr>
                <w:spacing w:val="-5"/>
                <w:sz w:val="18"/>
                <w:vertAlign w:val="superscript"/>
              </w:rPr>
              <w:t>(2)</w:t>
            </w:r>
          </w:p>
        </w:tc>
        <w:tc>
          <w:tcPr>
            <w:tcW w:w="881" w:type="dxa"/>
          </w:tcPr>
          <w:p>
            <w:pPr>
              <w:pStyle w:val="TableParagraph"/>
              <w:spacing w:before="18"/>
              <w:ind w:right="98"/>
              <w:jc w:val="right"/>
              <w:rPr>
                <w:sz w:val="18"/>
              </w:rPr>
            </w:pPr>
            <w:r>
              <w:rPr>
                <w:spacing w:val="-2"/>
                <w:sz w:val="18"/>
              </w:rPr>
              <w:t>7,286</w:t>
            </w:r>
          </w:p>
        </w:tc>
        <w:tc>
          <w:tcPr>
            <w:tcW w:w="1081" w:type="dxa"/>
          </w:tcPr>
          <w:p>
            <w:pPr>
              <w:pStyle w:val="TableParagraph"/>
              <w:spacing w:before="18"/>
              <w:ind w:right="144"/>
              <w:jc w:val="right"/>
              <w:rPr>
                <w:sz w:val="18"/>
              </w:rPr>
            </w:pPr>
            <w:r>
              <w:rPr>
                <w:spacing w:val="-5"/>
                <w:sz w:val="18"/>
              </w:rPr>
              <w:t>280</w:t>
            </w:r>
          </w:p>
        </w:tc>
        <w:tc>
          <w:tcPr>
            <w:tcW w:w="902" w:type="dxa"/>
          </w:tcPr>
          <w:p>
            <w:pPr>
              <w:pStyle w:val="TableParagraph"/>
              <w:spacing w:before="18"/>
              <w:ind w:right="71"/>
              <w:jc w:val="right"/>
              <w:rPr>
                <w:sz w:val="18"/>
              </w:rPr>
            </w:pPr>
            <w:r>
              <w:rPr>
                <w:spacing w:val="-2"/>
                <w:sz w:val="18"/>
              </w:rPr>
              <w:t>5.13%</w:t>
            </w:r>
          </w:p>
        </w:tc>
        <w:tc>
          <w:tcPr>
            <w:tcW w:w="75" w:type="dxa"/>
          </w:tcPr>
          <w:p>
            <w:pPr>
              <w:pStyle w:val="TableParagraph"/>
              <w:rPr>
                <w:sz w:val="18"/>
              </w:rPr>
            </w:pPr>
          </w:p>
        </w:tc>
        <w:tc>
          <w:tcPr>
            <w:tcW w:w="881" w:type="dxa"/>
          </w:tcPr>
          <w:p>
            <w:pPr>
              <w:pStyle w:val="TableParagraph"/>
              <w:spacing w:before="18"/>
              <w:ind w:right="97"/>
              <w:jc w:val="right"/>
              <w:rPr>
                <w:sz w:val="18"/>
              </w:rPr>
            </w:pPr>
            <w:r>
              <w:rPr>
                <w:spacing w:val="-2"/>
                <w:sz w:val="18"/>
              </w:rPr>
              <w:t>2,656</w:t>
            </w:r>
          </w:p>
        </w:tc>
        <w:tc>
          <w:tcPr>
            <w:tcW w:w="1111" w:type="dxa"/>
          </w:tcPr>
          <w:p>
            <w:pPr>
              <w:pStyle w:val="TableParagraph"/>
              <w:spacing w:before="18"/>
              <w:ind w:right="173"/>
              <w:jc w:val="right"/>
              <w:rPr>
                <w:sz w:val="18"/>
              </w:rPr>
            </w:pPr>
            <w:r>
              <w:rPr>
                <w:spacing w:val="-5"/>
                <w:sz w:val="18"/>
              </w:rPr>
              <w:t>12</w:t>
            </w:r>
          </w:p>
        </w:tc>
        <w:tc>
          <w:tcPr>
            <w:tcW w:w="872" w:type="dxa"/>
          </w:tcPr>
          <w:p>
            <w:pPr>
              <w:pStyle w:val="TableParagraph"/>
              <w:spacing w:before="18"/>
              <w:ind w:left="261"/>
              <w:jc w:val="center"/>
              <w:rPr>
                <w:sz w:val="18"/>
              </w:rPr>
            </w:pPr>
            <w:r>
              <w:rPr>
                <w:spacing w:val="-2"/>
                <w:sz w:val="18"/>
              </w:rPr>
              <w:t>0.60%</w:t>
            </w:r>
          </w:p>
        </w:tc>
      </w:tr>
      <w:tr>
        <w:trPr>
          <w:trHeight w:val="255" w:hRule="atLeast"/>
        </w:trPr>
        <w:tc>
          <w:tcPr>
            <w:tcW w:w="4455" w:type="dxa"/>
            <w:shd w:val="clear" w:color="auto" w:fill="CCEDFF"/>
          </w:tcPr>
          <w:p>
            <w:pPr>
              <w:pStyle w:val="TableParagraph"/>
              <w:spacing w:before="18"/>
              <w:ind w:left="52"/>
              <w:rPr>
                <w:sz w:val="18"/>
              </w:rPr>
            </w:pPr>
            <w:r>
              <w:rPr>
                <w:sz w:val="18"/>
              </w:rPr>
              <w:t>Federal</w:t>
            </w:r>
            <w:r>
              <w:rPr>
                <w:spacing w:val="-1"/>
                <w:sz w:val="18"/>
              </w:rPr>
              <w:t> </w:t>
            </w:r>
            <w:r>
              <w:rPr>
                <w:sz w:val="18"/>
              </w:rPr>
              <w:t>Home</w:t>
            </w:r>
            <w:r>
              <w:rPr>
                <w:spacing w:val="-1"/>
                <w:sz w:val="18"/>
              </w:rPr>
              <w:t> </w:t>
            </w:r>
            <w:r>
              <w:rPr>
                <w:sz w:val="18"/>
              </w:rPr>
              <w:t>Loan Bank</w:t>
            </w:r>
            <w:r>
              <w:rPr>
                <w:spacing w:val="-1"/>
                <w:sz w:val="18"/>
              </w:rPr>
              <w:t> </w:t>
            </w:r>
            <w:r>
              <w:rPr>
                <w:sz w:val="18"/>
              </w:rPr>
              <w:t>borrowings</w:t>
            </w:r>
            <w:r>
              <w:rPr>
                <w:spacing w:val="-2"/>
                <w:sz w:val="18"/>
              </w:rPr>
              <w:t> </w:t>
            </w:r>
            <w:r>
              <w:rPr>
                <w:spacing w:val="-4"/>
                <w:sz w:val="18"/>
                <w:vertAlign w:val="superscript"/>
              </w:rPr>
              <w:t>(2,3)</w:t>
            </w:r>
          </w:p>
        </w:tc>
        <w:tc>
          <w:tcPr>
            <w:tcW w:w="881" w:type="dxa"/>
            <w:shd w:val="clear" w:color="auto" w:fill="CCEDFF"/>
          </w:tcPr>
          <w:p>
            <w:pPr>
              <w:pStyle w:val="TableParagraph"/>
              <w:spacing w:before="18"/>
              <w:ind w:right="98"/>
              <w:jc w:val="right"/>
              <w:rPr>
                <w:sz w:val="18"/>
              </w:rPr>
            </w:pPr>
            <w:r>
              <w:rPr>
                <w:spacing w:val="-2"/>
                <w:sz w:val="18"/>
              </w:rPr>
              <w:t>35,896</w:t>
            </w:r>
          </w:p>
        </w:tc>
        <w:tc>
          <w:tcPr>
            <w:tcW w:w="1081" w:type="dxa"/>
            <w:shd w:val="clear" w:color="auto" w:fill="CCEDFF"/>
          </w:tcPr>
          <w:p>
            <w:pPr>
              <w:pStyle w:val="TableParagraph"/>
              <w:spacing w:before="18"/>
              <w:ind w:right="144"/>
              <w:jc w:val="right"/>
              <w:rPr>
                <w:sz w:val="18"/>
              </w:rPr>
            </w:pPr>
            <w:r>
              <w:rPr>
                <w:spacing w:val="-2"/>
                <w:sz w:val="18"/>
              </w:rPr>
              <w:t>1,387</w:t>
            </w:r>
          </w:p>
        </w:tc>
        <w:tc>
          <w:tcPr>
            <w:tcW w:w="902" w:type="dxa"/>
            <w:shd w:val="clear" w:color="auto" w:fill="CCEDFF"/>
          </w:tcPr>
          <w:p>
            <w:pPr>
              <w:pStyle w:val="TableParagraph"/>
              <w:spacing w:before="18"/>
              <w:ind w:right="71"/>
              <w:jc w:val="right"/>
              <w:rPr>
                <w:sz w:val="18"/>
              </w:rPr>
            </w:pPr>
            <w:r>
              <w:rPr>
                <w:spacing w:val="-2"/>
                <w:sz w:val="18"/>
              </w:rPr>
              <w:t>5.11%</w:t>
            </w:r>
          </w:p>
        </w:tc>
        <w:tc>
          <w:tcPr>
            <w:tcW w:w="75" w:type="dxa"/>
            <w:shd w:val="clear" w:color="auto" w:fill="CCEDFF"/>
          </w:tcPr>
          <w:p>
            <w:pPr>
              <w:pStyle w:val="TableParagraph"/>
              <w:rPr>
                <w:sz w:val="18"/>
              </w:rPr>
            </w:pPr>
          </w:p>
        </w:tc>
        <w:tc>
          <w:tcPr>
            <w:tcW w:w="881" w:type="dxa"/>
            <w:shd w:val="clear" w:color="auto" w:fill="CCEDFF"/>
          </w:tcPr>
          <w:p>
            <w:pPr>
              <w:pStyle w:val="TableParagraph"/>
              <w:spacing w:before="18"/>
              <w:ind w:right="97"/>
              <w:jc w:val="right"/>
              <w:rPr>
                <w:sz w:val="18"/>
              </w:rPr>
            </w:pPr>
            <w:r>
              <w:rPr>
                <w:spacing w:val="-10"/>
                <w:sz w:val="18"/>
              </w:rPr>
              <w:t>—</w:t>
            </w:r>
          </w:p>
        </w:tc>
        <w:tc>
          <w:tcPr>
            <w:tcW w:w="1111" w:type="dxa"/>
            <w:shd w:val="clear" w:color="auto" w:fill="CCEDFF"/>
          </w:tcPr>
          <w:p>
            <w:pPr>
              <w:pStyle w:val="TableParagraph"/>
              <w:spacing w:before="18"/>
              <w:ind w:right="173"/>
              <w:jc w:val="right"/>
              <w:rPr>
                <w:sz w:val="18"/>
              </w:rPr>
            </w:pPr>
            <w:r>
              <w:rPr>
                <w:spacing w:val="-10"/>
                <w:sz w:val="18"/>
              </w:rPr>
              <w:t>—</w:t>
            </w:r>
          </w:p>
        </w:tc>
        <w:tc>
          <w:tcPr>
            <w:tcW w:w="872" w:type="dxa"/>
            <w:shd w:val="clear" w:color="auto" w:fill="CCEDFF"/>
          </w:tcPr>
          <w:p>
            <w:pPr>
              <w:pStyle w:val="TableParagraph"/>
              <w:spacing w:before="18"/>
              <w:ind w:left="246"/>
              <w:jc w:val="center"/>
              <w:rPr>
                <w:sz w:val="18"/>
              </w:rPr>
            </w:pPr>
            <w:r>
              <w:rPr>
                <w:spacing w:val="-10"/>
                <w:sz w:val="18"/>
              </w:rPr>
              <w:t>—</w:t>
            </w:r>
          </w:p>
        </w:tc>
      </w:tr>
      <w:tr>
        <w:trPr>
          <w:trHeight w:val="250" w:hRule="atLeast"/>
        </w:trPr>
        <w:tc>
          <w:tcPr>
            <w:tcW w:w="4455" w:type="dxa"/>
            <w:tcBorders>
              <w:bottom w:val="single" w:sz="4" w:space="0" w:color="000000"/>
            </w:tcBorders>
          </w:tcPr>
          <w:p>
            <w:pPr>
              <w:pStyle w:val="TableParagraph"/>
              <w:spacing w:before="18"/>
              <w:ind w:left="52"/>
              <w:rPr>
                <w:sz w:val="18"/>
              </w:rPr>
            </w:pPr>
            <w:r>
              <w:rPr>
                <w:sz w:val="18"/>
              </w:rPr>
              <w:t>Long-term </w:t>
            </w:r>
            <w:r>
              <w:rPr>
                <w:spacing w:val="-4"/>
                <w:sz w:val="18"/>
              </w:rPr>
              <w:t>debt</w:t>
            </w:r>
          </w:p>
        </w:tc>
        <w:tc>
          <w:tcPr>
            <w:tcW w:w="881" w:type="dxa"/>
            <w:tcBorders>
              <w:bottom w:val="single" w:sz="4" w:space="0" w:color="000000"/>
            </w:tcBorders>
          </w:tcPr>
          <w:p>
            <w:pPr>
              <w:pStyle w:val="TableParagraph"/>
              <w:spacing w:before="18"/>
              <w:ind w:right="98"/>
              <w:jc w:val="right"/>
              <w:rPr>
                <w:sz w:val="18"/>
              </w:rPr>
            </w:pPr>
            <w:r>
              <w:rPr>
                <w:spacing w:val="-2"/>
                <w:sz w:val="18"/>
              </w:rPr>
              <w:t>21,685</w:t>
            </w:r>
          </w:p>
        </w:tc>
        <w:tc>
          <w:tcPr>
            <w:tcW w:w="1081" w:type="dxa"/>
            <w:tcBorders>
              <w:bottom w:val="single" w:sz="4" w:space="0" w:color="000000"/>
            </w:tcBorders>
          </w:tcPr>
          <w:p>
            <w:pPr>
              <w:pStyle w:val="TableParagraph"/>
              <w:spacing w:before="18"/>
              <w:ind w:right="144"/>
              <w:jc w:val="right"/>
              <w:rPr>
                <w:sz w:val="18"/>
              </w:rPr>
            </w:pPr>
            <w:r>
              <w:rPr>
                <w:spacing w:val="-5"/>
                <w:sz w:val="18"/>
              </w:rPr>
              <w:t>489</w:t>
            </w:r>
          </w:p>
        </w:tc>
        <w:tc>
          <w:tcPr>
            <w:tcW w:w="902" w:type="dxa"/>
            <w:tcBorders>
              <w:bottom w:val="single" w:sz="4" w:space="0" w:color="000000"/>
            </w:tcBorders>
          </w:tcPr>
          <w:p>
            <w:pPr>
              <w:pStyle w:val="TableParagraph"/>
              <w:spacing w:before="18"/>
              <w:ind w:right="71"/>
              <w:jc w:val="right"/>
              <w:rPr>
                <w:sz w:val="18"/>
              </w:rPr>
            </w:pPr>
            <w:r>
              <w:rPr>
                <w:spacing w:val="-2"/>
                <w:sz w:val="18"/>
              </w:rPr>
              <w:t>3.01%</w:t>
            </w:r>
          </w:p>
        </w:tc>
        <w:tc>
          <w:tcPr>
            <w:tcW w:w="75" w:type="dxa"/>
            <w:tcBorders>
              <w:bottom w:val="single" w:sz="4" w:space="0" w:color="000000"/>
            </w:tcBorders>
          </w:tcPr>
          <w:p>
            <w:pPr>
              <w:pStyle w:val="TableParagraph"/>
              <w:rPr>
                <w:sz w:val="18"/>
              </w:rPr>
            </w:pPr>
          </w:p>
        </w:tc>
        <w:tc>
          <w:tcPr>
            <w:tcW w:w="881" w:type="dxa"/>
            <w:tcBorders>
              <w:bottom w:val="single" w:sz="4" w:space="0" w:color="000000"/>
            </w:tcBorders>
          </w:tcPr>
          <w:p>
            <w:pPr>
              <w:pStyle w:val="TableParagraph"/>
              <w:spacing w:before="18"/>
              <w:ind w:right="97"/>
              <w:jc w:val="right"/>
              <w:rPr>
                <w:sz w:val="18"/>
              </w:rPr>
            </w:pPr>
            <w:r>
              <w:rPr>
                <w:spacing w:val="-2"/>
                <w:sz w:val="18"/>
              </w:rPr>
              <w:t>20,673</w:t>
            </w:r>
          </w:p>
        </w:tc>
        <w:tc>
          <w:tcPr>
            <w:tcW w:w="1111" w:type="dxa"/>
            <w:tcBorders>
              <w:bottom w:val="single" w:sz="4" w:space="0" w:color="000000"/>
            </w:tcBorders>
          </w:tcPr>
          <w:p>
            <w:pPr>
              <w:pStyle w:val="TableParagraph"/>
              <w:spacing w:before="18"/>
              <w:ind w:right="173"/>
              <w:jc w:val="right"/>
              <w:rPr>
                <w:sz w:val="18"/>
              </w:rPr>
            </w:pPr>
            <w:r>
              <w:rPr>
                <w:spacing w:val="-5"/>
                <w:sz w:val="18"/>
              </w:rPr>
              <w:t>363</w:t>
            </w:r>
          </w:p>
        </w:tc>
        <w:tc>
          <w:tcPr>
            <w:tcW w:w="872" w:type="dxa"/>
            <w:tcBorders>
              <w:bottom w:val="single" w:sz="4" w:space="0" w:color="000000"/>
            </w:tcBorders>
          </w:tcPr>
          <w:p>
            <w:pPr>
              <w:pStyle w:val="TableParagraph"/>
              <w:spacing w:before="18"/>
              <w:ind w:left="261"/>
              <w:jc w:val="center"/>
              <w:rPr>
                <w:sz w:val="18"/>
              </w:rPr>
            </w:pPr>
            <w:r>
              <w:rPr>
                <w:spacing w:val="-2"/>
                <w:sz w:val="18"/>
              </w:rPr>
              <w:t>2.34%</w:t>
            </w:r>
          </w:p>
        </w:tc>
      </w:tr>
      <w:tr>
        <w:trPr>
          <w:trHeight w:val="245" w:hRule="atLeast"/>
        </w:trPr>
        <w:tc>
          <w:tcPr>
            <w:tcW w:w="4455" w:type="dxa"/>
            <w:tcBorders>
              <w:top w:val="single" w:sz="4" w:space="0" w:color="000000"/>
              <w:bottom w:val="single" w:sz="4" w:space="0" w:color="000000"/>
            </w:tcBorders>
            <w:shd w:val="clear" w:color="auto" w:fill="CCEDFF"/>
          </w:tcPr>
          <w:p>
            <w:pPr>
              <w:pStyle w:val="TableParagraph"/>
              <w:spacing w:before="13"/>
              <w:ind w:left="172"/>
              <w:rPr>
                <w:sz w:val="18"/>
              </w:rPr>
            </w:pPr>
            <w:r>
              <w:rPr>
                <w:sz w:val="18"/>
              </w:rPr>
              <w:t>Total</w:t>
            </w:r>
            <w:r>
              <w:rPr>
                <w:spacing w:val="-1"/>
                <w:sz w:val="18"/>
              </w:rPr>
              <w:t> </w:t>
            </w:r>
            <w:r>
              <w:rPr>
                <w:sz w:val="18"/>
              </w:rPr>
              <w:t>interest-bearing </w:t>
            </w:r>
            <w:r>
              <w:rPr>
                <w:spacing w:val="-2"/>
                <w:sz w:val="18"/>
              </w:rPr>
              <w:t>liabilities</w:t>
            </w:r>
          </w:p>
        </w:tc>
        <w:tc>
          <w:tcPr>
            <w:tcW w:w="881" w:type="dxa"/>
            <w:tcBorders>
              <w:top w:val="single" w:sz="4" w:space="0" w:color="000000"/>
              <w:bottom w:val="single" w:sz="4" w:space="0" w:color="000000"/>
            </w:tcBorders>
            <w:shd w:val="clear" w:color="auto" w:fill="CCEDFF"/>
          </w:tcPr>
          <w:p>
            <w:pPr>
              <w:pStyle w:val="TableParagraph"/>
              <w:spacing w:before="13"/>
              <w:ind w:right="98"/>
              <w:jc w:val="right"/>
              <w:rPr>
                <w:sz w:val="18"/>
              </w:rPr>
            </w:pPr>
            <w:r>
              <w:rPr>
                <w:spacing w:val="-2"/>
                <w:sz w:val="18"/>
              </w:rPr>
              <w:t>448,724</w:t>
            </w:r>
          </w:p>
        </w:tc>
        <w:tc>
          <w:tcPr>
            <w:tcW w:w="1081" w:type="dxa"/>
            <w:tcBorders>
              <w:top w:val="single" w:sz="4" w:space="0" w:color="000000"/>
              <w:bottom w:val="single" w:sz="4" w:space="0" w:color="000000"/>
            </w:tcBorders>
            <w:shd w:val="clear" w:color="auto" w:fill="CCEDFF"/>
          </w:tcPr>
          <w:p>
            <w:pPr>
              <w:pStyle w:val="TableParagraph"/>
              <w:spacing w:before="13"/>
              <w:ind w:right="144"/>
              <w:jc w:val="right"/>
              <w:rPr>
                <w:sz w:val="18"/>
              </w:rPr>
            </w:pPr>
            <w:r>
              <w:rPr>
                <w:spacing w:val="-2"/>
                <w:sz w:val="18"/>
              </w:rPr>
              <w:t>4,753</w:t>
            </w:r>
          </w:p>
        </w:tc>
        <w:tc>
          <w:tcPr>
            <w:tcW w:w="902" w:type="dxa"/>
            <w:tcBorders>
              <w:top w:val="single" w:sz="4" w:space="0" w:color="000000"/>
              <w:bottom w:val="single" w:sz="4" w:space="0" w:color="000000"/>
            </w:tcBorders>
            <w:shd w:val="clear" w:color="auto" w:fill="CCEDFF"/>
          </w:tcPr>
          <w:p>
            <w:pPr>
              <w:pStyle w:val="TableParagraph"/>
              <w:spacing w:before="13"/>
              <w:ind w:right="71"/>
              <w:jc w:val="right"/>
              <w:rPr>
                <w:sz w:val="18"/>
              </w:rPr>
            </w:pPr>
            <w:r>
              <w:rPr>
                <w:spacing w:val="-2"/>
                <w:sz w:val="18"/>
              </w:rPr>
              <w:t>1.41%</w:t>
            </w:r>
          </w:p>
        </w:tc>
        <w:tc>
          <w:tcPr>
            <w:tcW w:w="75" w:type="dxa"/>
            <w:tcBorders>
              <w:top w:val="single" w:sz="4" w:space="0" w:color="000000"/>
              <w:bottom w:val="single" w:sz="4" w:space="0" w:color="000000"/>
            </w:tcBorders>
            <w:shd w:val="clear" w:color="auto" w:fill="CCEDFF"/>
          </w:tcPr>
          <w:p>
            <w:pPr>
              <w:pStyle w:val="TableParagraph"/>
              <w:rPr>
                <w:sz w:val="16"/>
              </w:rPr>
            </w:pPr>
          </w:p>
        </w:tc>
        <w:tc>
          <w:tcPr>
            <w:tcW w:w="881" w:type="dxa"/>
            <w:tcBorders>
              <w:top w:val="single" w:sz="4" w:space="0" w:color="000000"/>
              <w:bottom w:val="single" w:sz="4" w:space="0" w:color="000000"/>
            </w:tcBorders>
            <w:shd w:val="clear" w:color="auto" w:fill="CCEDFF"/>
          </w:tcPr>
          <w:p>
            <w:pPr>
              <w:pStyle w:val="TableParagraph"/>
              <w:spacing w:before="13"/>
              <w:ind w:right="97"/>
              <w:jc w:val="right"/>
              <w:rPr>
                <w:sz w:val="18"/>
              </w:rPr>
            </w:pPr>
            <w:r>
              <w:rPr>
                <w:spacing w:val="-2"/>
                <w:sz w:val="18"/>
              </w:rPr>
              <w:t>565,602</w:t>
            </w:r>
          </w:p>
        </w:tc>
        <w:tc>
          <w:tcPr>
            <w:tcW w:w="1111" w:type="dxa"/>
            <w:tcBorders>
              <w:top w:val="single" w:sz="4" w:space="0" w:color="000000"/>
              <w:bottom w:val="single" w:sz="4" w:space="0" w:color="000000"/>
            </w:tcBorders>
            <w:shd w:val="clear" w:color="auto" w:fill="CCEDFF"/>
          </w:tcPr>
          <w:p>
            <w:pPr>
              <w:pStyle w:val="TableParagraph"/>
              <w:spacing w:before="13"/>
              <w:ind w:right="173"/>
              <w:jc w:val="right"/>
              <w:rPr>
                <w:sz w:val="18"/>
              </w:rPr>
            </w:pPr>
            <w:r>
              <w:rPr>
                <w:spacing w:val="-5"/>
                <w:sz w:val="18"/>
              </w:rPr>
              <w:t>707</w:t>
            </w:r>
          </w:p>
        </w:tc>
        <w:tc>
          <w:tcPr>
            <w:tcW w:w="872" w:type="dxa"/>
            <w:tcBorders>
              <w:top w:val="single" w:sz="4" w:space="0" w:color="000000"/>
              <w:bottom w:val="single" w:sz="4" w:space="0" w:color="000000"/>
            </w:tcBorders>
            <w:shd w:val="clear" w:color="auto" w:fill="CCEDFF"/>
          </w:tcPr>
          <w:p>
            <w:pPr>
              <w:pStyle w:val="TableParagraph"/>
              <w:spacing w:before="13"/>
              <w:ind w:left="261"/>
              <w:jc w:val="center"/>
              <w:rPr>
                <w:sz w:val="18"/>
              </w:rPr>
            </w:pPr>
            <w:r>
              <w:rPr>
                <w:spacing w:val="-2"/>
                <w:sz w:val="18"/>
              </w:rPr>
              <w:t>0.17%</w:t>
            </w:r>
          </w:p>
        </w:tc>
      </w:tr>
      <w:tr>
        <w:trPr>
          <w:trHeight w:val="250" w:hRule="atLeast"/>
        </w:trPr>
        <w:tc>
          <w:tcPr>
            <w:tcW w:w="4455" w:type="dxa"/>
            <w:tcBorders>
              <w:top w:val="single" w:sz="4" w:space="0" w:color="000000"/>
            </w:tcBorders>
          </w:tcPr>
          <w:p>
            <w:pPr>
              <w:pStyle w:val="TableParagraph"/>
              <w:spacing w:before="13"/>
              <w:ind w:left="52"/>
              <w:rPr>
                <w:sz w:val="18"/>
              </w:rPr>
            </w:pPr>
            <w:r>
              <w:rPr>
                <w:sz w:val="18"/>
              </w:rPr>
              <w:t>Non-interest-bearing</w:t>
            </w:r>
            <w:r>
              <w:rPr>
                <w:spacing w:val="-1"/>
                <w:sz w:val="18"/>
              </w:rPr>
              <w:t> </w:t>
            </w:r>
            <w:r>
              <w:rPr>
                <w:sz w:val="18"/>
              </w:rPr>
              <w:t>funding</w:t>
            </w:r>
            <w:r>
              <w:rPr>
                <w:spacing w:val="-1"/>
                <w:sz w:val="18"/>
              </w:rPr>
              <w:t> </w:t>
            </w:r>
            <w:r>
              <w:rPr>
                <w:spacing w:val="-2"/>
                <w:sz w:val="18"/>
              </w:rPr>
              <w:t>sources</w:t>
            </w:r>
          </w:p>
        </w:tc>
        <w:tc>
          <w:tcPr>
            <w:tcW w:w="881" w:type="dxa"/>
            <w:tcBorders>
              <w:top w:val="single" w:sz="4" w:space="0" w:color="000000"/>
            </w:tcBorders>
          </w:tcPr>
          <w:p>
            <w:pPr>
              <w:pStyle w:val="TableParagraph"/>
              <w:spacing w:before="13"/>
              <w:ind w:right="98"/>
              <w:jc w:val="right"/>
              <w:rPr>
                <w:sz w:val="18"/>
              </w:rPr>
            </w:pPr>
            <w:r>
              <w:rPr>
                <w:spacing w:val="-2"/>
                <w:sz w:val="18"/>
              </w:rPr>
              <w:t>32,358</w:t>
            </w:r>
          </w:p>
        </w:tc>
        <w:tc>
          <w:tcPr>
            <w:tcW w:w="1081" w:type="dxa"/>
            <w:tcBorders>
              <w:top w:val="single" w:sz="4" w:space="0" w:color="000000"/>
            </w:tcBorders>
          </w:tcPr>
          <w:p>
            <w:pPr>
              <w:pStyle w:val="TableParagraph"/>
              <w:rPr>
                <w:sz w:val="18"/>
              </w:rPr>
            </w:pPr>
          </w:p>
        </w:tc>
        <w:tc>
          <w:tcPr>
            <w:tcW w:w="902" w:type="dxa"/>
            <w:tcBorders>
              <w:top w:val="single" w:sz="4" w:space="0" w:color="000000"/>
            </w:tcBorders>
          </w:tcPr>
          <w:p>
            <w:pPr>
              <w:pStyle w:val="TableParagraph"/>
              <w:rPr>
                <w:sz w:val="18"/>
              </w:rPr>
            </w:pPr>
          </w:p>
        </w:tc>
        <w:tc>
          <w:tcPr>
            <w:tcW w:w="75" w:type="dxa"/>
            <w:tcBorders>
              <w:top w:val="single" w:sz="4" w:space="0" w:color="000000"/>
            </w:tcBorders>
          </w:tcPr>
          <w:p>
            <w:pPr>
              <w:pStyle w:val="TableParagraph"/>
              <w:rPr>
                <w:sz w:val="18"/>
              </w:rPr>
            </w:pPr>
          </w:p>
        </w:tc>
        <w:tc>
          <w:tcPr>
            <w:tcW w:w="881" w:type="dxa"/>
            <w:tcBorders>
              <w:top w:val="single" w:sz="4" w:space="0" w:color="000000"/>
            </w:tcBorders>
          </w:tcPr>
          <w:p>
            <w:pPr>
              <w:pStyle w:val="TableParagraph"/>
              <w:spacing w:before="13"/>
              <w:ind w:right="97"/>
              <w:jc w:val="right"/>
              <w:rPr>
                <w:sz w:val="18"/>
              </w:rPr>
            </w:pPr>
            <w:r>
              <w:rPr>
                <w:spacing w:val="-2"/>
                <w:sz w:val="18"/>
              </w:rPr>
              <w:t>48,542</w:t>
            </w:r>
          </w:p>
        </w:tc>
        <w:tc>
          <w:tcPr>
            <w:tcW w:w="1111" w:type="dxa"/>
            <w:tcBorders>
              <w:top w:val="single" w:sz="4" w:space="0" w:color="000000"/>
            </w:tcBorders>
          </w:tcPr>
          <w:p>
            <w:pPr>
              <w:pStyle w:val="TableParagraph"/>
              <w:rPr>
                <w:sz w:val="18"/>
              </w:rPr>
            </w:pPr>
          </w:p>
        </w:tc>
        <w:tc>
          <w:tcPr>
            <w:tcW w:w="872" w:type="dxa"/>
            <w:tcBorders>
              <w:top w:val="single" w:sz="4" w:space="0" w:color="000000"/>
            </w:tcBorders>
          </w:tcPr>
          <w:p>
            <w:pPr>
              <w:pStyle w:val="TableParagraph"/>
              <w:rPr>
                <w:sz w:val="18"/>
              </w:rPr>
            </w:pPr>
          </w:p>
        </w:tc>
      </w:tr>
      <w:tr>
        <w:trPr>
          <w:trHeight w:val="255" w:hRule="atLeast"/>
        </w:trPr>
        <w:tc>
          <w:tcPr>
            <w:tcW w:w="4455" w:type="dxa"/>
            <w:shd w:val="clear" w:color="auto" w:fill="CCEDFF"/>
          </w:tcPr>
          <w:p>
            <w:pPr>
              <w:pStyle w:val="TableParagraph"/>
              <w:spacing w:before="18"/>
              <w:ind w:left="52"/>
              <w:rPr>
                <w:sz w:val="18"/>
              </w:rPr>
            </w:pPr>
            <w:r>
              <w:rPr>
                <w:sz w:val="18"/>
              </w:rPr>
              <w:t>Securities</w:t>
            </w:r>
            <w:r>
              <w:rPr>
                <w:spacing w:val="-2"/>
                <w:sz w:val="18"/>
              </w:rPr>
              <w:t> </w:t>
            </w:r>
            <w:r>
              <w:rPr>
                <w:sz w:val="18"/>
              </w:rPr>
              <w:t>lending </w:t>
            </w:r>
            <w:r>
              <w:rPr>
                <w:spacing w:val="-2"/>
                <w:sz w:val="18"/>
              </w:rPr>
              <w:t>expense</w:t>
            </w:r>
          </w:p>
        </w:tc>
        <w:tc>
          <w:tcPr>
            <w:tcW w:w="881" w:type="dxa"/>
            <w:shd w:val="clear" w:color="auto" w:fill="CCEDFF"/>
          </w:tcPr>
          <w:p>
            <w:pPr>
              <w:pStyle w:val="TableParagraph"/>
              <w:rPr>
                <w:sz w:val="18"/>
              </w:rPr>
            </w:pPr>
          </w:p>
        </w:tc>
        <w:tc>
          <w:tcPr>
            <w:tcW w:w="1081" w:type="dxa"/>
            <w:shd w:val="clear" w:color="auto" w:fill="CCEDFF"/>
          </w:tcPr>
          <w:p>
            <w:pPr>
              <w:pStyle w:val="TableParagraph"/>
              <w:spacing w:before="18"/>
              <w:ind w:right="144"/>
              <w:jc w:val="right"/>
              <w:rPr>
                <w:sz w:val="18"/>
              </w:rPr>
            </w:pPr>
            <w:r>
              <w:rPr>
                <w:spacing w:val="-5"/>
                <w:sz w:val="18"/>
              </w:rPr>
              <w:t>96</w:t>
            </w:r>
          </w:p>
        </w:tc>
        <w:tc>
          <w:tcPr>
            <w:tcW w:w="902" w:type="dxa"/>
            <w:shd w:val="clear" w:color="auto" w:fill="CCEDFF"/>
          </w:tcPr>
          <w:p>
            <w:pPr>
              <w:pStyle w:val="TableParagraph"/>
              <w:rPr>
                <w:sz w:val="18"/>
              </w:rPr>
            </w:pPr>
          </w:p>
        </w:tc>
        <w:tc>
          <w:tcPr>
            <w:tcW w:w="75" w:type="dxa"/>
            <w:shd w:val="clear" w:color="auto" w:fill="CCEDFF"/>
          </w:tcPr>
          <w:p>
            <w:pPr>
              <w:pStyle w:val="TableParagraph"/>
              <w:rPr>
                <w:sz w:val="18"/>
              </w:rPr>
            </w:pPr>
          </w:p>
        </w:tc>
        <w:tc>
          <w:tcPr>
            <w:tcW w:w="881" w:type="dxa"/>
            <w:shd w:val="clear" w:color="auto" w:fill="CCEDFF"/>
          </w:tcPr>
          <w:p>
            <w:pPr>
              <w:pStyle w:val="TableParagraph"/>
              <w:rPr>
                <w:sz w:val="18"/>
              </w:rPr>
            </w:pPr>
          </w:p>
        </w:tc>
        <w:tc>
          <w:tcPr>
            <w:tcW w:w="1111" w:type="dxa"/>
            <w:shd w:val="clear" w:color="auto" w:fill="CCEDFF"/>
          </w:tcPr>
          <w:p>
            <w:pPr>
              <w:pStyle w:val="TableParagraph"/>
              <w:spacing w:before="18"/>
              <w:ind w:right="173"/>
              <w:jc w:val="right"/>
              <w:rPr>
                <w:sz w:val="18"/>
              </w:rPr>
            </w:pPr>
            <w:r>
              <w:rPr>
                <w:spacing w:val="-5"/>
                <w:sz w:val="18"/>
              </w:rPr>
              <w:t>28</w:t>
            </w:r>
          </w:p>
        </w:tc>
        <w:tc>
          <w:tcPr>
            <w:tcW w:w="872" w:type="dxa"/>
            <w:shd w:val="clear" w:color="auto" w:fill="CCEDFF"/>
          </w:tcPr>
          <w:p>
            <w:pPr>
              <w:pStyle w:val="TableParagraph"/>
              <w:rPr>
                <w:sz w:val="18"/>
              </w:rPr>
            </w:pPr>
          </w:p>
        </w:tc>
      </w:tr>
      <w:tr>
        <w:trPr>
          <w:trHeight w:val="250" w:hRule="atLeast"/>
        </w:trPr>
        <w:tc>
          <w:tcPr>
            <w:tcW w:w="4455" w:type="dxa"/>
            <w:tcBorders>
              <w:bottom w:val="single" w:sz="4" w:space="0" w:color="000000"/>
            </w:tcBorders>
          </w:tcPr>
          <w:p>
            <w:pPr>
              <w:pStyle w:val="TableParagraph"/>
              <w:spacing w:before="18"/>
              <w:ind w:left="52"/>
              <w:rPr>
                <w:sz w:val="18"/>
              </w:rPr>
            </w:pPr>
            <w:r>
              <w:rPr>
                <w:sz w:val="18"/>
              </w:rPr>
              <w:t>Other</w:t>
            </w:r>
            <w:r>
              <w:rPr>
                <w:spacing w:val="-1"/>
                <w:sz w:val="18"/>
              </w:rPr>
              <w:t> </w:t>
            </w:r>
            <w:r>
              <w:rPr>
                <w:sz w:val="18"/>
              </w:rPr>
              <w:t>interest</w:t>
            </w:r>
            <w:r>
              <w:rPr>
                <w:spacing w:val="-1"/>
                <w:sz w:val="18"/>
              </w:rPr>
              <w:t> </w:t>
            </w:r>
            <w:r>
              <w:rPr>
                <w:spacing w:val="-2"/>
                <w:sz w:val="18"/>
              </w:rPr>
              <w:t>expense</w:t>
            </w:r>
          </w:p>
        </w:tc>
        <w:tc>
          <w:tcPr>
            <w:tcW w:w="881" w:type="dxa"/>
            <w:tcBorders>
              <w:bottom w:val="single" w:sz="4" w:space="0" w:color="000000"/>
            </w:tcBorders>
          </w:tcPr>
          <w:p>
            <w:pPr>
              <w:pStyle w:val="TableParagraph"/>
              <w:rPr>
                <w:sz w:val="18"/>
              </w:rPr>
            </w:pPr>
          </w:p>
        </w:tc>
        <w:tc>
          <w:tcPr>
            <w:tcW w:w="1081" w:type="dxa"/>
            <w:tcBorders>
              <w:bottom w:val="single" w:sz="4" w:space="0" w:color="000000"/>
            </w:tcBorders>
          </w:tcPr>
          <w:p>
            <w:pPr>
              <w:pStyle w:val="TableParagraph"/>
              <w:spacing w:before="18"/>
              <w:ind w:right="144"/>
              <w:jc w:val="right"/>
              <w:rPr>
                <w:sz w:val="18"/>
              </w:rPr>
            </w:pPr>
            <w:r>
              <w:rPr>
                <w:spacing w:val="-10"/>
                <w:sz w:val="18"/>
              </w:rPr>
              <w:t>2</w:t>
            </w:r>
          </w:p>
        </w:tc>
        <w:tc>
          <w:tcPr>
            <w:tcW w:w="902" w:type="dxa"/>
            <w:tcBorders>
              <w:bottom w:val="single" w:sz="4" w:space="0" w:color="000000"/>
            </w:tcBorders>
          </w:tcPr>
          <w:p>
            <w:pPr>
              <w:pStyle w:val="TableParagraph"/>
              <w:rPr>
                <w:sz w:val="18"/>
              </w:rPr>
            </w:pPr>
          </w:p>
        </w:tc>
        <w:tc>
          <w:tcPr>
            <w:tcW w:w="75" w:type="dxa"/>
            <w:tcBorders>
              <w:bottom w:val="single" w:sz="4" w:space="0" w:color="000000"/>
            </w:tcBorders>
          </w:tcPr>
          <w:p>
            <w:pPr>
              <w:pStyle w:val="TableParagraph"/>
              <w:rPr>
                <w:sz w:val="18"/>
              </w:rPr>
            </w:pPr>
          </w:p>
        </w:tc>
        <w:tc>
          <w:tcPr>
            <w:tcW w:w="881" w:type="dxa"/>
            <w:tcBorders>
              <w:bottom w:val="single" w:sz="4" w:space="0" w:color="000000"/>
            </w:tcBorders>
          </w:tcPr>
          <w:p>
            <w:pPr>
              <w:pStyle w:val="TableParagraph"/>
              <w:rPr>
                <w:sz w:val="18"/>
              </w:rPr>
            </w:pPr>
          </w:p>
        </w:tc>
        <w:tc>
          <w:tcPr>
            <w:tcW w:w="1111" w:type="dxa"/>
            <w:tcBorders>
              <w:bottom w:val="single" w:sz="4" w:space="0" w:color="000000"/>
            </w:tcBorders>
          </w:tcPr>
          <w:p>
            <w:pPr>
              <w:pStyle w:val="TableParagraph"/>
              <w:spacing w:before="18"/>
              <w:ind w:right="113"/>
              <w:jc w:val="right"/>
              <w:rPr>
                <w:sz w:val="18"/>
              </w:rPr>
            </w:pPr>
            <w:r>
              <w:rPr>
                <w:spacing w:val="-5"/>
                <w:sz w:val="18"/>
              </w:rPr>
              <w:t>(2)</w:t>
            </w:r>
          </w:p>
        </w:tc>
        <w:tc>
          <w:tcPr>
            <w:tcW w:w="872" w:type="dxa"/>
            <w:tcBorders>
              <w:bottom w:val="single" w:sz="4" w:space="0" w:color="000000"/>
            </w:tcBorders>
          </w:tcPr>
          <w:p>
            <w:pPr>
              <w:pStyle w:val="TableParagraph"/>
              <w:rPr>
                <w:sz w:val="18"/>
              </w:rPr>
            </w:pPr>
          </w:p>
        </w:tc>
      </w:tr>
      <w:tr>
        <w:trPr>
          <w:trHeight w:val="220" w:hRule="atLeast"/>
        </w:trPr>
        <w:tc>
          <w:tcPr>
            <w:tcW w:w="4455" w:type="dxa"/>
            <w:tcBorders>
              <w:top w:val="single" w:sz="4" w:space="0" w:color="000000"/>
              <w:bottom w:val="double" w:sz="8" w:space="0" w:color="000000"/>
            </w:tcBorders>
            <w:shd w:val="clear" w:color="auto" w:fill="CCEDFF"/>
          </w:tcPr>
          <w:p>
            <w:pPr>
              <w:pStyle w:val="TableParagraph"/>
              <w:spacing w:line="187" w:lineRule="exact" w:before="13"/>
              <w:ind w:left="172"/>
              <w:rPr>
                <w:sz w:val="18"/>
              </w:rPr>
            </w:pPr>
            <w:r>
              <w:rPr>
                <w:sz w:val="18"/>
              </w:rPr>
              <w:t>Total funding </w:t>
            </w:r>
            <w:r>
              <w:rPr>
                <w:spacing w:val="-2"/>
                <w:sz w:val="18"/>
              </w:rPr>
              <w:t>sources</w:t>
            </w:r>
          </w:p>
        </w:tc>
        <w:tc>
          <w:tcPr>
            <w:tcW w:w="881" w:type="dxa"/>
            <w:tcBorders>
              <w:top w:val="single" w:sz="4" w:space="0" w:color="000000"/>
              <w:bottom w:val="double" w:sz="8" w:space="0" w:color="000000"/>
            </w:tcBorders>
            <w:shd w:val="clear" w:color="auto" w:fill="CCEDFF"/>
          </w:tcPr>
          <w:p>
            <w:pPr>
              <w:pStyle w:val="TableParagraph"/>
              <w:spacing w:line="187" w:lineRule="exact" w:before="13"/>
              <w:ind w:right="98"/>
              <w:jc w:val="right"/>
              <w:rPr>
                <w:sz w:val="18"/>
              </w:rPr>
            </w:pPr>
            <w:r>
              <w:rPr>
                <w:sz w:val="18"/>
              </w:rPr>
              <w:t>$</w:t>
            </w:r>
            <w:r>
              <w:rPr>
                <w:spacing w:val="5"/>
                <w:sz w:val="18"/>
              </w:rPr>
              <w:t> </w:t>
            </w:r>
            <w:r>
              <w:rPr>
                <w:spacing w:val="-2"/>
                <w:sz w:val="18"/>
              </w:rPr>
              <w:t>481,082</w:t>
            </w:r>
          </w:p>
        </w:tc>
        <w:tc>
          <w:tcPr>
            <w:tcW w:w="1081" w:type="dxa"/>
            <w:tcBorders>
              <w:top w:val="single" w:sz="4" w:space="0" w:color="000000"/>
              <w:bottom w:val="double" w:sz="8" w:space="0" w:color="000000"/>
            </w:tcBorders>
            <w:shd w:val="clear" w:color="auto" w:fill="CCEDFF"/>
          </w:tcPr>
          <w:p>
            <w:pPr>
              <w:pStyle w:val="TableParagraph"/>
              <w:tabs>
                <w:tab w:pos="427" w:val="left" w:leader="none"/>
              </w:tabs>
              <w:spacing w:line="187" w:lineRule="exact" w:before="13"/>
              <w:ind w:right="144"/>
              <w:jc w:val="right"/>
              <w:rPr>
                <w:sz w:val="18"/>
              </w:rPr>
            </w:pPr>
            <w:r>
              <w:rPr>
                <w:spacing w:val="-10"/>
                <w:sz w:val="18"/>
              </w:rPr>
              <w:t>$</w:t>
            </w:r>
            <w:r>
              <w:rPr>
                <w:sz w:val="18"/>
              </w:rPr>
              <w:tab/>
            </w:r>
            <w:r>
              <w:rPr>
                <w:spacing w:val="-2"/>
                <w:sz w:val="18"/>
              </w:rPr>
              <w:t>4,851</w:t>
            </w:r>
          </w:p>
        </w:tc>
        <w:tc>
          <w:tcPr>
            <w:tcW w:w="902" w:type="dxa"/>
            <w:tcBorders>
              <w:top w:val="single" w:sz="4" w:space="0" w:color="000000"/>
              <w:bottom w:val="double" w:sz="8" w:space="0" w:color="000000"/>
            </w:tcBorders>
            <w:shd w:val="clear" w:color="auto" w:fill="CCEDFF"/>
          </w:tcPr>
          <w:p>
            <w:pPr>
              <w:pStyle w:val="TableParagraph"/>
              <w:spacing w:line="187" w:lineRule="exact" w:before="13"/>
              <w:ind w:right="71"/>
              <w:jc w:val="right"/>
              <w:rPr>
                <w:sz w:val="18"/>
              </w:rPr>
            </w:pPr>
            <w:r>
              <w:rPr>
                <w:spacing w:val="-2"/>
                <w:sz w:val="18"/>
              </w:rPr>
              <w:t>1.35%</w:t>
            </w:r>
          </w:p>
        </w:tc>
        <w:tc>
          <w:tcPr>
            <w:tcW w:w="75" w:type="dxa"/>
            <w:tcBorders>
              <w:top w:val="single" w:sz="4" w:space="0" w:color="000000"/>
              <w:bottom w:val="double" w:sz="8" w:space="0" w:color="000000"/>
            </w:tcBorders>
            <w:shd w:val="clear" w:color="auto" w:fill="CCEDFF"/>
          </w:tcPr>
          <w:p>
            <w:pPr>
              <w:pStyle w:val="TableParagraph"/>
              <w:rPr>
                <w:sz w:val="14"/>
              </w:rPr>
            </w:pPr>
          </w:p>
        </w:tc>
        <w:tc>
          <w:tcPr>
            <w:tcW w:w="881" w:type="dxa"/>
            <w:tcBorders>
              <w:top w:val="single" w:sz="4" w:space="0" w:color="000000"/>
              <w:bottom w:val="double" w:sz="8" w:space="0" w:color="000000"/>
            </w:tcBorders>
            <w:shd w:val="clear" w:color="auto" w:fill="CCEDFF"/>
          </w:tcPr>
          <w:p>
            <w:pPr>
              <w:pStyle w:val="TableParagraph"/>
              <w:spacing w:line="187" w:lineRule="exact" w:before="13"/>
              <w:ind w:right="97"/>
              <w:jc w:val="right"/>
              <w:rPr>
                <w:sz w:val="18"/>
              </w:rPr>
            </w:pPr>
            <w:r>
              <w:rPr>
                <w:sz w:val="18"/>
              </w:rPr>
              <w:t>$</w:t>
            </w:r>
            <w:r>
              <w:rPr>
                <w:spacing w:val="5"/>
                <w:sz w:val="18"/>
              </w:rPr>
              <w:t> </w:t>
            </w:r>
            <w:r>
              <w:rPr>
                <w:spacing w:val="-2"/>
                <w:sz w:val="18"/>
              </w:rPr>
              <w:t>614,144</w:t>
            </w:r>
          </w:p>
        </w:tc>
        <w:tc>
          <w:tcPr>
            <w:tcW w:w="1111" w:type="dxa"/>
            <w:tcBorders>
              <w:top w:val="single" w:sz="4" w:space="0" w:color="000000"/>
              <w:bottom w:val="double" w:sz="8" w:space="0" w:color="000000"/>
            </w:tcBorders>
            <w:shd w:val="clear" w:color="auto" w:fill="CCEDFF"/>
          </w:tcPr>
          <w:p>
            <w:pPr>
              <w:pStyle w:val="TableParagraph"/>
              <w:tabs>
                <w:tab w:pos="562" w:val="left" w:leader="none"/>
              </w:tabs>
              <w:spacing w:line="187" w:lineRule="exact" w:before="13"/>
              <w:ind w:right="173"/>
              <w:jc w:val="right"/>
              <w:rPr>
                <w:sz w:val="18"/>
              </w:rPr>
            </w:pPr>
            <w:r>
              <w:rPr>
                <w:spacing w:val="-10"/>
                <w:sz w:val="18"/>
              </w:rPr>
              <w:t>$</w:t>
            </w:r>
            <w:r>
              <w:rPr>
                <w:sz w:val="18"/>
              </w:rPr>
              <w:tab/>
            </w:r>
            <w:r>
              <w:rPr>
                <w:spacing w:val="-5"/>
                <w:sz w:val="18"/>
              </w:rPr>
              <w:t>733</w:t>
            </w:r>
          </w:p>
        </w:tc>
        <w:tc>
          <w:tcPr>
            <w:tcW w:w="872" w:type="dxa"/>
            <w:tcBorders>
              <w:top w:val="single" w:sz="4" w:space="0" w:color="000000"/>
              <w:bottom w:val="double" w:sz="8" w:space="0" w:color="000000"/>
            </w:tcBorders>
            <w:shd w:val="clear" w:color="auto" w:fill="CCEDFF"/>
          </w:tcPr>
          <w:p>
            <w:pPr>
              <w:pStyle w:val="TableParagraph"/>
              <w:spacing w:line="187" w:lineRule="exact" w:before="13"/>
              <w:ind w:left="261"/>
              <w:jc w:val="center"/>
              <w:rPr>
                <w:sz w:val="18"/>
              </w:rPr>
            </w:pPr>
            <w:r>
              <w:rPr>
                <w:spacing w:val="-2"/>
                <w:sz w:val="18"/>
              </w:rPr>
              <w:t>0.16%</w:t>
            </w:r>
          </w:p>
        </w:tc>
      </w:tr>
      <w:tr>
        <w:trPr>
          <w:trHeight w:val="195" w:hRule="atLeast"/>
        </w:trPr>
        <w:tc>
          <w:tcPr>
            <w:tcW w:w="4455" w:type="dxa"/>
            <w:tcBorders>
              <w:top w:val="double" w:sz="8" w:space="0" w:color="000000"/>
              <w:bottom w:val="double" w:sz="8" w:space="0" w:color="000000"/>
            </w:tcBorders>
          </w:tcPr>
          <w:p>
            <w:pPr>
              <w:pStyle w:val="TableParagraph"/>
              <w:spacing w:line="175" w:lineRule="exact"/>
              <w:ind w:left="52"/>
              <w:rPr>
                <w:b/>
                <w:sz w:val="18"/>
              </w:rPr>
            </w:pPr>
            <w:r>
              <w:rPr>
                <w:b/>
                <w:sz w:val="18"/>
              </w:rPr>
              <w:t>Net</w:t>
            </w:r>
            <w:r>
              <w:rPr>
                <w:b/>
                <w:spacing w:val="-2"/>
                <w:sz w:val="18"/>
              </w:rPr>
              <w:t> </w:t>
            </w:r>
            <w:r>
              <w:rPr>
                <w:b/>
                <w:sz w:val="18"/>
              </w:rPr>
              <w:t>interest</w:t>
            </w:r>
            <w:r>
              <w:rPr>
                <w:b/>
                <w:spacing w:val="-1"/>
                <w:sz w:val="18"/>
              </w:rPr>
              <w:t> </w:t>
            </w:r>
            <w:r>
              <w:rPr>
                <w:b/>
                <w:spacing w:val="-2"/>
                <w:sz w:val="18"/>
              </w:rPr>
              <w:t>revenue</w:t>
            </w:r>
          </w:p>
        </w:tc>
        <w:tc>
          <w:tcPr>
            <w:tcW w:w="881" w:type="dxa"/>
            <w:tcBorders>
              <w:top w:val="double" w:sz="8" w:space="0" w:color="000000"/>
              <w:bottom w:val="double" w:sz="8" w:space="0" w:color="000000"/>
            </w:tcBorders>
          </w:tcPr>
          <w:p>
            <w:pPr>
              <w:pStyle w:val="TableParagraph"/>
              <w:rPr>
                <w:sz w:val="12"/>
              </w:rPr>
            </w:pPr>
          </w:p>
        </w:tc>
        <w:tc>
          <w:tcPr>
            <w:tcW w:w="1081" w:type="dxa"/>
            <w:tcBorders>
              <w:top w:val="double" w:sz="8" w:space="0" w:color="000000"/>
              <w:bottom w:val="double" w:sz="8" w:space="0" w:color="000000"/>
            </w:tcBorders>
          </w:tcPr>
          <w:p>
            <w:pPr>
              <w:pStyle w:val="TableParagraph"/>
              <w:tabs>
                <w:tab w:pos="427" w:val="left" w:leader="none"/>
              </w:tabs>
              <w:spacing w:line="175" w:lineRule="exact"/>
              <w:ind w:right="144"/>
              <w:jc w:val="right"/>
              <w:rPr>
                <w:sz w:val="18"/>
              </w:rPr>
            </w:pPr>
            <w:r>
              <w:rPr>
                <w:spacing w:val="-10"/>
                <w:sz w:val="18"/>
              </w:rPr>
              <w:t>$</w:t>
            </w:r>
            <w:r>
              <w:rPr>
                <w:sz w:val="18"/>
              </w:rPr>
              <w:tab/>
            </w:r>
            <w:r>
              <w:rPr>
                <w:spacing w:val="-2"/>
                <w:sz w:val="18"/>
              </w:rPr>
              <w:t>7,297</w:t>
            </w:r>
          </w:p>
        </w:tc>
        <w:tc>
          <w:tcPr>
            <w:tcW w:w="902" w:type="dxa"/>
            <w:tcBorders>
              <w:top w:val="double" w:sz="8" w:space="0" w:color="000000"/>
              <w:bottom w:val="double" w:sz="8" w:space="0" w:color="000000"/>
            </w:tcBorders>
          </w:tcPr>
          <w:p>
            <w:pPr>
              <w:pStyle w:val="TableParagraph"/>
              <w:spacing w:line="175" w:lineRule="exact"/>
              <w:ind w:right="71"/>
              <w:jc w:val="right"/>
              <w:rPr>
                <w:sz w:val="18"/>
              </w:rPr>
            </w:pPr>
            <w:r>
              <w:rPr>
                <w:spacing w:val="-2"/>
                <w:sz w:val="18"/>
              </w:rPr>
              <w:t>2.00%</w:t>
            </w:r>
          </w:p>
        </w:tc>
        <w:tc>
          <w:tcPr>
            <w:tcW w:w="75" w:type="dxa"/>
            <w:tcBorders>
              <w:top w:val="double" w:sz="8" w:space="0" w:color="000000"/>
              <w:bottom w:val="double" w:sz="8" w:space="0" w:color="000000"/>
            </w:tcBorders>
          </w:tcPr>
          <w:p>
            <w:pPr>
              <w:pStyle w:val="TableParagraph"/>
              <w:rPr>
                <w:sz w:val="12"/>
              </w:rPr>
            </w:pPr>
          </w:p>
        </w:tc>
        <w:tc>
          <w:tcPr>
            <w:tcW w:w="881" w:type="dxa"/>
            <w:tcBorders>
              <w:top w:val="double" w:sz="8" w:space="0" w:color="000000"/>
              <w:bottom w:val="double" w:sz="8" w:space="0" w:color="000000"/>
            </w:tcBorders>
          </w:tcPr>
          <w:p>
            <w:pPr>
              <w:pStyle w:val="TableParagraph"/>
              <w:rPr>
                <w:sz w:val="12"/>
              </w:rPr>
            </w:pPr>
          </w:p>
        </w:tc>
        <w:tc>
          <w:tcPr>
            <w:tcW w:w="1111" w:type="dxa"/>
            <w:tcBorders>
              <w:top w:val="double" w:sz="8" w:space="0" w:color="000000"/>
              <w:bottom w:val="double" w:sz="8" w:space="0" w:color="000000"/>
            </w:tcBorders>
          </w:tcPr>
          <w:p>
            <w:pPr>
              <w:pStyle w:val="TableParagraph"/>
              <w:tabs>
                <w:tab w:pos="427" w:val="left" w:leader="none"/>
              </w:tabs>
              <w:spacing w:line="175" w:lineRule="exact"/>
              <w:ind w:right="173"/>
              <w:jc w:val="right"/>
              <w:rPr>
                <w:sz w:val="18"/>
              </w:rPr>
            </w:pPr>
            <w:r>
              <w:rPr>
                <w:spacing w:val="-10"/>
                <w:sz w:val="18"/>
              </w:rPr>
              <w:t>$</w:t>
            </w:r>
            <w:r>
              <w:rPr>
                <w:sz w:val="18"/>
              </w:rPr>
              <w:tab/>
            </w:r>
            <w:r>
              <w:rPr>
                <w:spacing w:val="-2"/>
                <w:sz w:val="18"/>
              </w:rPr>
              <w:t>7,653</w:t>
            </w:r>
          </w:p>
        </w:tc>
        <w:tc>
          <w:tcPr>
            <w:tcW w:w="872" w:type="dxa"/>
            <w:tcBorders>
              <w:top w:val="double" w:sz="8" w:space="0" w:color="000000"/>
              <w:bottom w:val="double" w:sz="8" w:space="0" w:color="000000"/>
            </w:tcBorders>
          </w:tcPr>
          <w:p>
            <w:pPr>
              <w:pStyle w:val="TableParagraph"/>
              <w:spacing w:line="175" w:lineRule="exact"/>
              <w:ind w:left="261"/>
              <w:jc w:val="center"/>
              <w:rPr>
                <w:sz w:val="18"/>
              </w:rPr>
            </w:pPr>
            <w:r>
              <w:rPr>
                <w:spacing w:val="-2"/>
                <w:sz w:val="18"/>
              </w:rPr>
              <w:t>1.65%</w:t>
            </w:r>
          </w:p>
        </w:tc>
      </w:tr>
    </w:tbl>
    <w:p>
      <w:pPr>
        <w:spacing w:before="26"/>
        <w:ind w:left="470" w:right="0" w:firstLine="0"/>
        <w:jc w:val="left"/>
        <w:rPr>
          <w:sz w:val="16"/>
        </w:rPr>
      </w:pPr>
      <w:r>
        <w:rPr>
          <w:sz w:val="16"/>
          <w:vertAlign w:val="superscript"/>
        </w:rPr>
        <w:t>(1)</w:t>
      </w:r>
      <w:r>
        <w:rPr>
          <w:spacing w:val="-15"/>
          <w:sz w:val="16"/>
          <w:vertAlign w:val="baseline"/>
        </w:rPr>
        <w:t> </w:t>
      </w:r>
      <w:r>
        <w:rPr>
          <w:sz w:val="16"/>
          <w:vertAlign w:val="baseline"/>
        </w:rPr>
        <w:t>Amounts</w:t>
      </w:r>
      <w:r>
        <w:rPr>
          <w:spacing w:val="-1"/>
          <w:sz w:val="16"/>
          <w:vertAlign w:val="baseline"/>
        </w:rPr>
        <w:t> </w:t>
      </w:r>
      <w:r>
        <w:rPr>
          <w:sz w:val="16"/>
          <w:vertAlign w:val="baseline"/>
        </w:rPr>
        <w:t>have been calculated based on amortized cost.</w:t>
      </w:r>
      <w:r>
        <w:rPr>
          <w:spacing w:val="1"/>
          <w:sz w:val="16"/>
          <w:vertAlign w:val="baseline"/>
        </w:rPr>
        <w:t> </w:t>
      </w:r>
      <w:r>
        <w:rPr>
          <w:sz w:val="16"/>
          <w:vertAlign w:val="baseline"/>
        </w:rPr>
        <w:t>Interest revenue on investment securities</w:t>
      </w:r>
      <w:r>
        <w:rPr>
          <w:spacing w:val="-1"/>
          <w:sz w:val="16"/>
          <w:vertAlign w:val="baseline"/>
        </w:rPr>
        <w:t> </w:t>
      </w:r>
      <w:r>
        <w:rPr>
          <w:sz w:val="16"/>
          <w:vertAlign w:val="baseline"/>
        </w:rPr>
        <w:t>is</w:t>
      </w:r>
      <w:r>
        <w:rPr>
          <w:spacing w:val="-1"/>
          <w:sz w:val="16"/>
          <w:vertAlign w:val="baseline"/>
        </w:rPr>
        <w:t> </w:t>
      </w:r>
      <w:r>
        <w:rPr>
          <w:sz w:val="16"/>
          <w:vertAlign w:val="baseline"/>
        </w:rPr>
        <w:t>presented net of</w:t>
      </w:r>
      <w:r>
        <w:rPr>
          <w:spacing w:val="1"/>
          <w:sz w:val="16"/>
          <w:vertAlign w:val="baseline"/>
        </w:rPr>
        <w:t> </w:t>
      </w:r>
      <w:r>
        <w:rPr>
          <w:sz w:val="16"/>
          <w:vertAlign w:val="baseline"/>
        </w:rPr>
        <w:t>related premium </w:t>
      </w:r>
      <w:r>
        <w:rPr>
          <w:spacing w:val="-2"/>
          <w:sz w:val="16"/>
          <w:vertAlign w:val="baseline"/>
        </w:rPr>
        <w:t>amortization.</w:t>
      </w:r>
    </w:p>
    <w:p>
      <w:pPr>
        <w:spacing w:line="249" w:lineRule="auto" w:before="8"/>
        <w:ind w:left="650" w:right="761" w:hanging="180"/>
        <w:jc w:val="left"/>
        <w:rPr>
          <w:sz w:val="16"/>
        </w:rPr>
      </w:pPr>
      <w:r>
        <w:rPr>
          <w:sz w:val="16"/>
          <w:vertAlign w:val="superscript"/>
        </w:rPr>
        <w:t>(2)</w:t>
      </w:r>
      <w:r>
        <w:rPr>
          <w:spacing w:val="-15"/>
          <w:sz w:val="16"/>
          <w:vertAlign w:val="baseline"/>
        </w:rPr>
        <w:t> </w:t>
      </w:r>
      <w:r>
        <w:rPr>
          <w:sz w:val="16"/>
          <w:vertAlign w:val="baseline"/>
        </w:rPr>
        <w:t>Beginning</w:t>
      </w:r>
      <w:r>
        <w:rPr>
          <w:spacing w:val="-3"/>
          <w:sz w:val="16"/>
          <w:vertAlign w:val="baseline"/>
        </w:rPr>
        <w:t> </w:t>
      </w:r>
      <w:r>
        <w:rPr>
          <w:sz w:val="16"/>
          <w:vertAlign w:val="baseline"/>
        </w:rPr>
        <w:t>in</w:t>
      </w:r>
      <w:r>
        <w:rPr>
          <w:spacing w:val="-2"/>
          <w:sz w:val="16"/>
          <w:vertAlign w:val="baseline"/>
        </w:rPr>
        <w:t> </w:t>
      </w:r>
      <w:r>
        <w:rPr>
          <w:sz w:val="16"/>
          <w:vertAlign w:val="baseline"/>
        </w:rPr>
        <w:t>the</w:t>
      </w:r>
      <w:r>
        <w:rPr>
          <w:spacing w:val="-2"/>
          <w:sz w:val="16"/>
          <w:vertAlign w:val="baseline"/>
        </w:rPr>
        <w:t> </w:t>
      </w:r>
      <w:r>
        <w:rPr>
          <w:sz w:val="16"/>
          <w:vertAlign w:val="baseline"/>
        </w:rPr>
        <w:t>first</w:t>
      </w:r>
      <w:r>
        <w:rPr>
          <w:spacing w:val="-2"/>
          <w:sz w:val="16"/>
          <w:vertAlign w:val="baseline"/>
        </w:rPr>
        <w:t> </w:t>
      </w:r>
      <w:r>
        <w:rPr>
          <w:sz w:val="16"/>
          <w:vertAlign w:val="baseline"/>
        </w:rPr>
        <w:t>quarter</w:t>
      </w:r>
      <w:r>
        <w:rPr>
          <w:spacing w:val="-2"/>
          <w:sz w:val="16"/>
          <w:vertAlign w:val="baseline"/>
        </w:rPr>
        <w:t> </w:t>
      </w:r>
      <w:r>
        <w:rPr>
          <w:sz w:val="16"/>
          <w:vertAlign w:val="baseline"/>
        </w:rPr>
        <w:t>of</w:t>
      </w:r>
      <w:r>
        <w:rPr>
          <w:spacing w:val="-2"/>
          <w:sz w:val="16"/>
          <w:vertAlign w:val="baseline"/>
        </w:rPr>
        <w:t> </w:t>
      </w:r>
      <w:r>
        <w:rPr>
          <w:sz w:val="16"/>
          <w:vertAlign w:val="baseline"/>
        </w:rPr>
        <w:t>2023,</w:t>
      </w:r>
      <w:r>
        <w:rPr>
          <w:spacing w:val="-2"/>
          <w:sz w:val="16"/>
          <w:vertAlign w:val="baseline"/>
        </w:rPr>
        <w:t> </w:t>
      </w:r>
      <w:r>
        <w:rPr>
          <w:sz w:val="16"/>
          <w:vertAlign w:val="baseline"/>
        </w:rPr>
        <w:t>FHLB</w:t>
      </w:r>
      <w:r>
        <w:rPr>
          <w:spacing w:val="-2"/>
          <w:sz w:val="16"/>
          <w:vertAlign w:val="baseline"/>
        </w:rPr>
        <w:t> </w:t>
      </w:r>
      <w:r>
        <w:rPr>
          <w:sz w:val="16"/>
          <w:vertAlign w:val="baseline"/>
        </w:rPr>
        <w:t>borrowings</w:t>
      </w:r>
      <w:r>
        <w:rPr>
          <w:spacing w:val="-3"/>
          <w:sz w:val="16"/>
          <w:vertAlign w:val="baseline"/>
        </w:rPr>
        <w:t> </w:t>
      </w:r>
      <w:r>
        <w:rPr>
          <w:sz w:val="16"/>
          <w:vertAlign w:val="baseline"/>
        </w:rPr>
        <w:t>are</w:t>
      </w:r>
      <w:r>
        <w:rPr>
          <w:spacing w:val="-2"/>
          <w:sz w:val="16"/>
          <w:vertAlign w:val="baseline"/>
        </w:rPr>
        <w:t> </w:t>
      </w:r>
      <w:r>
        <w:rPr>
          <w:sz w:val="16"/>
          <w:vertAlign w:val="baseline"/>
        </w:rPr>
        <w:t>presented</w:t>
      </w:r>
      <w:r>
        <w:rPr>
          <w:spacing w:val="-2"/>
          <w:sz w:val="16"/>
          <w:vertAlign w:val="baseline"/>
        </w:rPr>
        <w:t> </w:t>
      </w:r>
      <w:r>
        <w:rPr>
          <w:sz w:val="16"/>
          <w:vertAlign w:val="baseline"/>
        </w:rPr>
        <w:t>separately</w:t>
      </w:r>
      <w:r>
        <w:rPr>
          <w:spacing w:val="-2"/>
          <w:sz w:val="16"/>
          <w:vertAlign w:val="baseline"/>
        </w:rPr>
        <w:t> </w:t>
      </w:r>
      <w:r>
        <w:rPr>
          <w:sz w:val="16"/>
          <w:vertAlign w:val="baseline"/>
        </w:rPr>
        <w:t>from</w:t>
      </w:r>
      <w:r>
        <w:rPr>
          <w:spacing w:val="-2"/>
          <w:sz w:val="16"/>
          <w:vertAlign w:val="baseline"/>
        </w:rPr>
        <w:t> </w:t>
      </w:r>
      <w:r>
        <w:rPr>
          <w:sz w:val="16"/>
          <w:vertAlign w:val="baseline"/>
        </w:rPr>
        <w:t>other</w:t>
      </w:r>
      <w:r>
        <w:rPr>
          <w:spacing w:val="-2"/>
          <w:sz w:val="16"/>
          <w:vertAlign w:val="baseline"/>
        </w:rPr>
        <w:t> </w:t>
      </w:r>
      <w:r>
        <w:rPr>
          <w:sz w:val="16"/>
          <w:vertAlign w:val="baseline"/>
        </w:rPr>
        <w:t>short-term</w:t>
      </w:r>
      <w:r>
        <w:rPr>
          <w:spacing w:val="-2"/>
          <w:sz w:val="16"/>
          <w:vertAlign w:val="baseline"/>
        </w:rPr>
        <w:t> </w:t>
      </w:r>
      <w:r>
        <w:rPr>
          <w:sz w:val="16"/>
          <w:vertAlign w:val="baseline"/>
        </w:rPr>
        <w:t>borrowings.</w:t>
      </w:r>
      <w:r>
        <w:rPr>
          <w:spacing w:val="-2"/>
          <w:sz w:val="16"/>
          <w:vertAlign w:val="baseline"/>
        </w:rPr>
        <w:t> </w:t>
      </w:r>
      <w:r>
        <w:rPr>
          <w:sz w:val="16"/>
          <w:vertAlign w:val="baseline"/>
        </w:rPr>
        <w:t>Prior</w:t>
      </w:r>
      <w:r>
        <w:rPr>
          <w:spacing w:val="-2"/>
          <w:sz w:val="16"/>
          <w:vertAlign w:val="baseline"/>
        </w:rPr>
        <w:t> </w:t>
      </w:r>
      <w:r>
        <w:rPr>
          <w:sz w:val="16"/>
          <w:vertAlign w:val="baseline"/>
        </w:rPr>
        <w:t>period</w:t>
      </w:r>
      <w:r>
        <w:rPr>
          <w:spacing w:val="-2"/>
          <w:sz w:val="16"/>
          <w:vertAlign w:val="baseline"/>
        </w:rPr>
        <w:t> </w:t>
      </w:r>
      <w:r>
        <w:rPr>
          <w:sz w:val="16"/>
          <w:vertAlign w:val="baseline"/>
        </w:rPr>
        <w:t>amounts</w:t>
      </w:r>
      <w:r>
        <w:rPr>
          <w:spacing w:val="-3"/>
          <w:sz w:val="16"/>
          <w:vertAlign w:val="baseline"/>
        </w:rPr>
        <w:t> </w:t>
      </w:r>
      <w:r>
        <w:rPr>
          <w:sz w:val="16"/>
          <w:vertAlign w:val="baseline"/>
        </w:rPr>
        <w:t>have</w:t>
      </w:r>
      <w:r>
        <w:rPr>
          <w:spacing w:val="-2"/>
          <w:sz w:val="16"/>
          <w:vertAlign w:val="baseline"/>
        </w:rPr>
        <w:t> </w:t>
      </w:r>
      <w:r>
        <w:rPr>
          <w:sz w:val="16"/>
          <w:vertAlign w:val="baseline"/>
        </w:rPr>
        <w:t>been</w:t>
      </w:r>
      <w:r>
        <w:rPr>
          <w:spacing w:val="40"/>
          <w:sz w:val="16"/>
          <w:vertAlign w:val="baseline"/>
        </w:rPr>
        <w:t> </w:t>
      </w:r>
      <w:r>
        <w:rPr>
          <w:sz w:val="16"/>
          <w:vertAlign w:val="baseline"/>
        </w:rPr>
        <w:t>reclassified to reflect this change.</w:t>
      </w:r>
    </w:p>
    <w:p>
      <w:pPr>
        <w:spacing w:before="1"/>
        <w:ind w:left="470" w:right="0" w:firstLine="0"/>
        <w:jc w:val="left"/>
        <w:rPr>
          <w:sz w:val="16"/>
        </w:rPr>
      </w:pPr>
      <w:r>
        <w:rPr>
          <w:sz w:val="16"/>
          <w:vertAlign w:val="superscript"/>
        </w:rPr>
        <w:t>(3)</w:t>
      </w:r>
      <w:r>
        <w:rPr>
          <w:spacing w:val="-15"/>
          <w:sz w:val="16"/>
          <w:vertAlign w:val="baseline"/>
        </w:rPr>
        <w:t> </w:t>
      </w:r>
      <w:r>
        <w:rPr>
          <w:sz w:val="16"/>
          <w:vertAlign w:val="baseline"/>
        </w:rPr>
        <w:t>Average balance and interest</w:t>
      </w:r>
      <w:r>
        <w:rPr>
          <w:spacing w:val="1"/>
          <w:sz w:val="16"/>
          <w:vertAlign w:val="baseline"/>
        </w:rPr>
        <w:t> </w:t>
      </w:r>
      <w:r>
        <w:rPr>
          <w:sz w:val="16"/>
          <w:vertAlign w:val="baseline"/>
        </w:rPr>
        <w:t>expense were less</w:t>
      </w:r>
      <w:r>
        <w:rPr>
          <w:spacing w:val="-1"/>
          <w:sz w:val="16"/>
          <w:vertAlign w:val="baseline"/>
        </w:rPr>
        <w:t> </w:t>
      </w:r>
      <w:r>
        <w:rPr>
          <w:sz w:val="16"/>
          <w:vertAlign w:val="baseline"/>
        </w:rPr>
        <w:t>than</w:t>
      </w:r>
      <w:r>
        <w:rPr>
          <w:spacing w:val="1"/>
          <w:sz w:val="16"/>
          <w:vertAlign w:val="baseline"/>
        </w:rPr>
        <w:t> </w:t>
      </w:r>
      <w:r>
        <w:rPr>
          <w:sz w:val="16"/>
          <w:vertAlign w:val="baseline"/>
        </w:rPr>
        <w:t>$500 thousand in the</w:t>
      </w:r>
      <w:r>
        <w:rPr>
          <w:spacing w:val="1"/>
          <w:sz w:val="16"/>
          <w:vertAlign w:val="baseline"/>
        </w:rPr>
        <w:t> </w:t>
      </w:r>
      <w:r>
        <w:rPr>
          <w:sz w:val="16"/>
          <w:vertAlign w:val="baseline"/>
        </w:rPr>
        <w:t>prior </w:t>
      </w:r>
      <w:r>
        <w:rPr>
          <w:spacing w:val="-2"/>
          <w:sz w:val="16"/>
          <w:vertAlign w:val="baseline"/>
        </w:rPr>
        <w:t>period.</w:t>
      </w:r>
    </w:p>
    <w:p>
      <w:pPr>
        <w:pStyle w:val="BodyText"/>
        <w:spacing w:before="67"/>
        <w:rPr>
          <w:sz w:val="16"/>
        </w:rPr>
      </w:pPr>
    </w:p>
    <w:p>
      <w:pPr>
        <w:pStyle w:val="BodyText"/>
        <w:spacing w:line="249" w:lineRule="auto"/>
        <w:ind w:left="470" w:right="470"/>
      </w:pPr>
      <w:r>
        <w:rPr/>
        <w:t>Net</w:t>
      </w:r>
      <w:r>
        <w:rPr>
          <w:spacing w:val="-3"/>
        </w:rPr>
        <w:t> </w:t>
      </w:r>
      <w:r>
        <w:rPr/>
        <w:t>interest</w:t>
      </w:r>
      <w:r>
        <w:rPr>
          <w:spacing w:val="-3"/>
        </w:rPr>
        <w:t> </w:t>
      </w:r>
      <w:r>
        <w:rPr/>
        <w:t>revenue</w:t>
      </w:r>
      <w:r>
        <w:rPr>
          <w:spacing w:val="-3"/>
        </w:rPr>
        <w:t> </w:t>
      </w:r>
      <w:r>
        <w:rPr/>
        <w:t>decreased</w:t>
      </w:r>
      <w:r>
        <w:rPr>
          <w:spacing w:val="-2"/>
        </w:rPr>
        <w:t> </w:t>
      </w:r>
      <w:r>
        <w:rPr/>
        <w:t>$689</w:t>
      </w:r>
      <w:r>
        <w:rPr>
          <w:spacing w:val="-2"/>
        </w:rPr>
        <w:t> </w:t>
      </w:r>
      <w:r>
        <w:rPr/>
        <w:t>million,</w:t>
      </w:r>
      <w:r>
        <w:rPr>
          <w:spacing w:val="-2"/>
        </w:rPr>
        <w:t> </w:t>
      </w:r>
      <w:r>
        <w:rPr/>
        <w:t>or</w:t>
      </w:r>
      <w:r>
        <w:rPr>
          <w:spacing w:val="-2"/>
        </w:rPr>
        <w:t> </w:t>
      </w:r>
      <w:r>
        <w:rPr/>
        <w:t>24%,</w:t>
      </w:r>
      <w:r>
        <w:rPr>
          <w:spacing w:val="-2"/>
        </w:rPr>
        <w:t> </w:t>
      </w:r>
      <w:r>
        <w:rPr/>
        <w:t>and</w:t>
      </w:r>
      <w:r>
        <w:rPr>
          <w:spacing w:val="-2"/>
        </w:rPr>
        <w:t> </w:t>
      </w:r>
      <w:r>
        <w:rPr/>
        <w:t>$356</w:t>
      </w:r>
      <w:r>
        <w:rPr>
          <w:spacing w:val="-2"/>
        </w:rPr>
        <w:t> </w:t>
      </w:r>
      <w:r>
        <w:rPr/>
        <w:t>million,</w:t>
      </w:r>
      <w:r>
        <w:rPr>
          <w:spacing w:val="-2"/>
        </w:rPr>
        <w:t> </w:t>
      </w:r>
      <w:r>
        <w:rPr/>
        <w:t>or</w:t>
      </w:r>
      <w:r>
        <w:rPr>
          <w:spacing w:val="-2"/>
        </w:rPr>
        <w:t> </w:t>
      </w:r>
      <w:r>
        <w:rPr/>
        <w:t>5%,</w:t>
      </w:r>
      <w:r>
        <w:rPr>
          <w:spacing w:val="-2"/>
        </w:rPr>
        <w:t> </w:t>
      </w:r>
      <w:r>
        <w:rPr/>
        <w:t>in</w:t>
      </w:r>
      <w:r>
        <w:rPr>
          <w:spacing w:val="-2"/>
        </w:rPr>
        <w:t> </w:t>
      </w:r>
      <w:r>
        <w:rPr/>
        <w:t>the</w:t>
      </w:r>
      <w:r>
        <w:rPr>
          <w:spacing w:val="-3"/>
        </w:rPr>
        <w:t> </w:t>
      </w:r>
      <w:r>
        <w:rPr/>
        <w:t>third</w:t>
      </w:r>
      <w:r>
        <w:rPr>
          <w:spacing w:val="-2"/>
        </w:rPr>
        <w:t> </w:t>
      </w:r>
      <w:r>
        <w:rPr/>
        <w:t>quarter</w:t>
      </w:r>
      <w:r>
        <w:rPr>
          <w:spacing w:val="-2"/>
        </w:rPr>
        <w:t> </w:t>
      </w:r>
      <w:r>
        <w:rPr/>
        <w:t>of</w:t>
      </w:r>
      <w:r>
        <w:rPr>
          <w:spacing w:val="-2"/>
        </w:rPr>
        <w:t> </w:t>
      </w:r>
      <w:r>
        <w:rPr/>
        <w:t>2023</w:t>
      </w:r>
      <w:r>
        <w:rPr>
          <w:spacing w:val="-2"/>
        </w:rPr>
        <w:t> </w:t>
      </w:r>
      <w:r>
        <w:rPr/>
        <w:t>and</w:t>
      </w:r>
      <w:r>
        <w:rPr>
          <w:spacing w:val="-2"/>
        </w:rPr>
        <w:t> </w:t>
      </w:r>
      <w:r>
        <w:rPr/>
        <w:t>first</w:t>
      </w:r>
      <w:r>
        <w:rPr>
          <w:spacing w:val="-3"/>
        </w:rPr>
        <w:t> </w:t>
      </w:r>
      <w:r>
        <w:rPr/>
        <w:t>nine</w:t>
      </w:r>
      <w:r>
        <w:rPr>
          <w:spacing w:val="-3"/>
        </w:rPr>
        <w:t> </w:t>
      </w:r>
      <w:r>
        <w:rPr/>
        <w:t>months of 2023, respectively, compared to the same periods in 2022. These decreases were primarily due to utilization of higher cost supplemental funding sources to support client cash allocations in the rising rate environment, and lower average interest- earning assets, which more than offset the benefits of higher average yields on interest-earning assets. Net premium</w:t>
      </w:r>
      <w:r>
        <w:rPr/>
        <w:t> amortization of investment securities decreased to $222 million and $614 million in the third quarter and first nine months of 2023,</w:t>
      </w:r>
      <w:r>
        <w:rPr>
          <w:spacing w:val="-2"/>
        </w:rPr>
        <w:t> </w:t>
      </w:r>
      <w:r>
        <w:rPr/>
        <w:t>respectively,</w:t>
      </w:r>
      <w:r>
        <w:rPr>
          <w:spacing w:val="-2"/>
        </w:rPr>
        <w:t> </w:t>
      </w:r>
      <w:r>
        <w:rPr/>
        <w:t>from</w:t>
      </w:r>
      <w:r>
        <w:rPr>
          <w:spacing w:val="-3"/>
        </w:rPr>
        <w:t> </w:t>
      </w:r>
      <w:r>
        <w:rPr/>
        <w:t>$295</w:t>
      </w:r>
      <w:r>
        <w:rPr>
          <w:spacing w:val="-2"/>
        </w:rPr>
        <w:t> </w:t>
      </w:r>
      <w:r>
        <w:rPr/>
        <w:t>million</w:t>
      </w:r>
      <w:r>
        <w:rPr>
          <w:spacing w:val="-2"/>
        </w:rPr>
        <w:t> </w:t>
      </w:r>
      <w:r>
        <w:rPr/>
        <w:t>and</w:t>
      </w:r>
      <w:r>
        <w:rPr>
          <w:spacing w:val="-2"/>
        </w:rPr>
        <w:t> </w:t>
      </w:r>
      <w:r>
        <w:rPr/>
        <w:t>$1.2</w:t>
      </w:r>
      <w:r>
        <w:rPr>
          <w:spacing w:val="-2"/>
        </w:rPr>
        <w:t> </w:t>
      </w:r>
      <w:r>
        <w:rPr/>
        <w:t>billion</w:t>
      </w:r>
      <w:r>
        <w:rPr>
          <w:spacing w:val="-2"/>
        </w:rPr>
        <w:t> </w:t>
      </w:r>
      <w:r>
        <w:rPr/>
        <w:t>in</w:t>
      </w:r>
      <w:r>
        <w:rPr>
          <w:spacing w:val="-2"/>
        </w:rPr>
        <w:t> </w:t>
      </w:r>
      <w:r>
        <w:rPr/>
        <w:t>the</w:t>
      </w:r>
      <w:r>
        <w:rPr>
          <w:spacing w:val="-3"/>
        </w:rPr>
        <w:t> </w:t>
      </w:r>
      <w:r>
        <w:rPr/>
        <w:t>third</w:t>
      </w:r>
      <w:r>
        <w:rPr>
          <w:spacing w:val="-2"/>
        </w:rPr>
        <w:t> </w:t>
      </w:r>
      <w:r>
        <w:rPr/>
        <w:t>quarter</w:t>
      </w:r>
      <w:r>
        <w:rPr>
          <w:spacing w:val="-2"/>
        </w:rPr>
        <w:t> </w:t>
      </w:r>
      <w:r>
        <w:rPr/>
        <w:t>and</w:t>
      </w:r>
      <w:r>
        <w:rPr>
          <w:spacing w:val="-2"/>
        </w:rPr>
        <w:t> </w:t>
      </w:r>
      <w:r>
        <w:rPr/>
        <w:t>first</w:t>
      </w:r>
      <w:r>
        <w:rPr>
          <w:spacing w:val="-3"/>
        </w:rPr>
        <w:t> </w:t>
      </w:r>
      <w:r>
        <w:rPr/>
        <w:t>nine</w:t>
      </w:r>
      <w:r>
        <w:rPr>
          <w:spacing w:val="-3"/>
        </w:rPr>
        <w:t> </w:t>
      </w:r>
      <w:r>
        <w:rPr/>
        <w:t>months</w:t>
      </w:r>
      <w:r>
        <w:rPr>
          <w:spacing w:val="-3"/>
        </w:rPr>
        <w:t> </w:t>
      </w:r>
      <w:r>
        <w:rPr/>
        <w:t>of</w:t>
      </w:r>
      <w:r>
        <w:rPr>
          <w:spacing w:val="-2"/>
        </w:rPr>
        <w:t> </w:t>
      </w:r>
      <w:r>
        <w:rPr/>
        <w:t>2022,</w:t>
      </w:r>
      <w:r>
        <w:rPr>
          <w:spacing w:val="-2"/>
        </w:rPr>
        <w:t> </w:t>
      </w:r>
      <w:r>
        <w:rPr/>
        <w:t>respectively,</w:t>
      </w:r>
      <w:r>
        <w:rPr>
          <w:spacing w:val="-2"/>
        </w:rPr>
        <w:t> </w:t>
      </w:r>
      <w:r>
        <w:rPr/>
        <w:t>as</w:t>
      </w:r>
      <w:r>
        <w:rPr>
          <w:spacing w:val="-3"/>
        </w:rPr>
        <w:t> </w:t>
      </w:r>
      <w:r>
        <w:rPr/>
        <w:t>a</w:t>
      </w:r>
      <w:r>
        <w:rPr>
          <w:spacing w:val="-3"/>
        </w:rPr>
        <w:t> </w:t>
      </w:r>
      <w:r>
        <w:rPr/>
        <w:t>result of increases in market interest rates and a smaller investment securities portfolio.</w:t>
      </w:r>
    </w:p>
    <w:p>
      <w:pPr>
        <w:pStyle w:val="BodyText"/>
        <w:spacing w:before="16"/>
      </w:pPr>
    </w:p>
    <w:p>
      <w:pPr>
        <w:pStyle w:val="BodyText"/>
        <w:spacing w:line="249" w:lineRule="auto"/>
        <w:ind w:left="470" w:right="721"/>
        <w:jc w:val="both"/>
      </w:pPr>
      <w:r>
        <w:rPr/>
        <w:t>Average</w:t>
      </w:r>
      <w:r>
        <w:rPr>
          <w:spacing w:val="-3"/>
        </w:rPr>
        <w:t> </w:t>
      </w:r>
      <w:r>
        <w:rPr/>
        <w:t>interest-earning</w:t>
      </w:r>
      <w:r>
        <w:rPr>
          <w:spacing w:val="-2"/>
        </w:rPr>
        <w:t> </w:t>
      </w:r>
      <w:r>
        <w:rPr/>
        <w:t>assets</w:t>
      </w:r>
      <w:r>
        <w:rPr>
          <w:spacing w:val="-3"/>
        </w:rPr>
        <w:t> </w:t>
      </w:r>
      <w:r>
        <w:rPr/>
        <w:t>for</w:t>
      </w:r>
      <w:r>
        <w:rPr>
          <w:spacing w:val="-2"/>
        </w:rPr>
        <w:t> </w:t>
      </w:r>
      <w:r>
        <w:rPr/>
        <w:t>the</w:t>
      </w:r>
      <w:r>
        <w:rPr>
          <w:spacing w:val="-3"/>
        </w:rPr>
        <w:t> </w:t>
      </w:r>
      <w:r>
        <w:rPr/>
        <w:t>third</w:t>
      </w:r>
      <w:r>
        <w:rPr>
          <w:spacing w:val="-2"/>
        </w:rPr>
        <w:t> </w:t>
      </w:r>
      <w:r>
        <w:rPr/>
        <w:t>quarter</w:t>
      </w:r>
      <w:r>
        <w:rPr>
          <w:spacing w:val="-2"/>
        </w:rPr>
        <w:t> </w:t>
      </w:r>
      <w:r>
        <w:rPr/>
        <w:t>and</w:t>
      </w:r>
      <w:r>
        <w:rPr>
          <w:spacing w:val="-2"/>
        </w:rPr>
        <w:t> </w:t>
      </w:r>
      <w:r>
        <w:rPr/>
        <w:t>first</w:t>
      </w:r>
      <w:r>
        <w:rPr>
          <w:spacing w:val="-3"/>
        </w:rPr>
        <w:t> </w:t>
      </w:r>
      <w:r>
        <w:rPr/>
        <w:t>nine</w:t>
      </w:r>
      <w:r>
        <w:rPr>
          <w:spacing w:val="-3"/>
        </w:rPr>
        <w:t> </w:t>
      </w:r>
      <w:r>
        <w:rPr/>
        <w:t>months</w:t>
      </w:r>
      <w:r>
        <w:rPr>
          <w:spacing w:val="-3"/>
        </w:rPr>
        <w:t> </w:t>
      </w:r>
      <w:r>
        <w:rPr/>
        <w:t>of</w:t>
      </w:r>
      <w:r>
        <w:rPr>
          <w:spacing w:val="-2"/>
        </w:rPr>
        <w:t> </w:t>
      </w:r>
      <w:r>
        <w:rPr/>
        <w:t>2023</w:t>
      </w:r>
      <w:r>
        <w:rPr>
          <w:spacing w:val="-2"/>
        </w:rPr>
        <w:t> </w:t>
      </w:r>
      <w:r>
        <w:rPr/>
        <w:t>were</w:t>
      </w:r>
      <w:r>
        <w:rPr>
          <w:spacing w:val="-3"/>
        </w:rPr>
        <w:t> </w:t>
      </w:r>
      <w:r>
        <w:rPr/>
        <w:t>lower</w:t>
      </w:r>
      <w:r>
        <w:rPr>
          <w:spacing w:val="-2"/>
        </w:rPr>
        <w:t> </w:t>
      </w:r>
      <w:r>
        <w:rPr/>
        <w:t>by</w:t>
      </w:r>
      <w:r>
        <w:rPr>
          <w:spacing w:val="-2"/>
        </w:rPr>
        <w:t> </w:t>
      </w:r>
      <w:r>
        <w:rPr/>
        <w:t>23%</w:t>
      </w:r>
      <w:r>
        <w:rPr>
          <w:spacing w:val="-2"/>
        </w:rPr>
        <w:t> </w:t>
      </w:r>
      <w:r>
        <w:rPr/>
        <w:t>and</w:t>
      </w:r>
      <w:r>
        <w:rPr>
          <w:spacing w:val="-2"/>
        </w:rPr>
        <w:t> </w:t>
      </w:r>
      <w:r>
        <w:rPr/>
        <w:t>22%,</w:t>
      </w:r>
      <w:r>
        <w:rPr>
          <w:spacing w:val="-2"/>
        </w:rPr>
        <w:t> </w:t>
      </w:r>
      <w:r>
        <w:rPr/>
        <w:t>respectively, compared</w:t>
      </w:r>
      <w:r>
        <w:rPr>
          <w:spacing w:val="-2"/>
        </w:rPr>
        <w:t> </w:t>
      </w:r>
      <w:r>
        <w:rPr/>
        <w:t>to</w:t>
      </w:r>
      <w:r>
        <w:rPr>
          <w:spacing w:val="-2"/>
        </w:rPr>
        <w:t> </w:t>
      </w:r>
      <w:r>
        <w:rPr/>
        <w:t>the</w:t>
      </w:r>
      <w:r>
        <w:rPr>
          <w:spacing w:val="-3"/>
        </w:rPr>
        <w:t> </w:t>
      </w:r>
      <w:r>
        <w:rPr/>
        <w:t>same</w:t>
      </w:r>
      <w:r>
        <w:rPr>
          <w:spacing w:val="-3"/>
        </w:rPr>
        <w:t> </w:t>
      </w:r>
      <w:r>
        <w:rPr/>
        <w:t>periods</w:t>
      </w:r>
      <w:r>
        <w:rPr>
          <w:spacing w:val="-3"/>
        </w:rPr>
        <w:t> </w:t>
      </w:r>
      <w:r>
        <w:rPr/>
        <w:t>in</w:t>
      </w:r>
      <w:r>
        <w:rPr>
          <w:spacing w:val="-2"/>
        </w:rPr>
        <w:t> </w:t>
      </w:r>
      <w:r>
        <w:rPr/>
        <w:t>2022.</w:t>
      </w:r>
      <w:r>
        <w:rPr>
          <w:spacing w:val="-2"/>
        </w:rPr>
        <w:t> </w:t>
      </w:r>
      <w:r>
        <w:rPr/>
        <w:t>These</w:t>
      </w:r>
      <w:r>
        <w:rPr>
          <w:spacing w:val="-3"/>
        </w:rPr>
        <w:t> </w:t>
      </w:r>
      <w:r>
        <w:rPr/>
        <w:t>decreases</w:t>
      </w:r>
      <w:r>
        <w:rPr>
          <w:spacing w:val="-3"/>
        </w:rPr>
        <w:t> </w:t>
      </w:r>
      <w:r>
        <w:rPr/>
        <w:t>were</w:t>
      </w:r>
      <w:r>
        <w:rPr>
          <w:spacing w:val="-3"/>
        </w:rPr>
        <w:t> </w:t>
      </w:r>
      <w:r>
        <w:rPr/>
        <w:t>primarily</w:t>
      </w:r>
      <w:r>
        <w:rPr>
          <w:spacing w:val="-2"/>
        </w:rPr>
        <w:t> </w:t>
      </w:r>
      <w:r>
        <w:rPr/>
        <w:t>due</w:t>
      </w:r>
      <w:r>
        <w:rPr>
          <w:spacing w:val="-3"/>
        </w:rPr>
        <w:t> </w:t>
      </w:r>
      <w:r>
        <w:rPr/>
        <w:t>to</w:t>
      </w:r>
      <w:r>
        <w:rPr>
          <w:spacing w:val="-2"/>
        </w:rPr>
        <w:t> </w:t>
      </w:r>
      <w:r>
        <w:rPr/>
        <w:t>lower</w:t>
      </w:r>
      <w:r>
        <w:rPr>
          <w:spacing w:val="-2"/>
        </w:rPr>
        <w:t> </w:t>
      </w:r>
      <w:r>
        <w:rPr/>
        <w:t>bank</w:t>
      </w:r>
      <w:r>
        <w:rPr>
          <w:spacing w:val="-2"/>
        </w:rPr>
        <w:t> </w:t>
      </w:r>
      <w:r>
        <w:rPr/>
        <w:t>deposits</w:t>
      </w:r>
      <w:r>
        <w:rPr>
          <w:spacing w:val="-3"/>
        </w:rPr>
        <w:t> </w:t>
      </w:r>
      <w:r>
        <w:rPr/>
        <w:t>and</w:t>
      </w:r>
      <w:r>
        <w:rPr>
          <w:spacing w:val="-2"/>
        </w:rPr>
        <w:t> </w:t>
      </w:r>
      <w:r>
        <w:rPr/>
        <w:t>payables</w:t>
      </w:r>
      <w:r>
        <w:rPr>
          <w:spacing w:val="-3"/>
        </w:rPr>
        <w:t> </w:t>
      </w:r>
      <w:r>
        <w:rPr/>
        <w:t>to</w:t>
      </w:r>
      <w:r>
        <w:rPr>
          <w:spacing w:val="-2"/>
        </w:rPr>
        <w:t> </w:t>
      </w:r>
      <w:r>
        <w:rPr/>
        <w:t>brokerage clients as a result of changes in client cash allocations due to higher market interest rates.</w:t>
      </w:r>
    </w:p>
    <w:p>
      <w:pPr>
        <w:pStyle w:val="BodyText"/>
        <w:spacing w:before="12"/>
      </w:pPr>
    </w:p>
    <w:p>
      <w:pPr>
        <w:pStyle w:val="BodyText"/>
        <w:spacing w:line="249" w:lineRule="auto"/>
        <w:ind w:left="470" w:right="500"/>
      </w:pPr>
      <w:r>
        <w:rPr/>
        <w:t>Net interest margin decreased slightly to 1.94% during the third quarter of 2023 from 1.97% compared to the same period in 2022, as increased utilization of higher cost funding sources to facilitate client cash allocation decisions offset the benefits of higher average yields on interest-earning assets. Net interest margin during the first nine months of 2023 increased to 2.00% from</w:t>
      </w:r>
      <w:r>
        <w:rPr>
          <w:spacing w:val="-3"/>
        </w:rPr>
        <w:t> </w:t>
      </w:r>
      <w:r>
        <w:rPr/>
        <w:t>1.65%</w:t>
      </w:r>
      <w:r>
        <w:rPr>
          <w:spacing w:val="-2"/>
        </w:rPr>
        <w:t> </w:t>
      </w:r>
      <w:r>
        <w:rPr/>
        <w:t>in</w:t>
      </w:r>
      <w:r>
        <w:rPr>
          <w:spacing w:val="-2"/>
        </w:rPr>
        <w:t> </w:t>
      </w:r>
      <w:r>
        <w:rPr/>
        <w:t>the</w:t>
      </w:r>
      <w:r>
        <w:rPr>
          <w:spacing w:val="-3"/>
        </w:rPr>
        <w:t> </w:t>
      </w:r>
      <w:r>
        <w:rPr/>
        <w:t>same</w:t>
      </w:r>
      <w:r>
        <w:rPr>
          <w:spacing w:val="-3"/>
        </w:rPr>
        <w:t> </w:t>
      </w:r>
      <w:r>
        <w:rPr/>
        <w:t>period</w:t>
      </w:r>
      <w:r>
        <w:rPr>
          <w:spacing w:val="-2"/>
        </w:rPr>
        <w:t> </w:t>
      </w:r>
      <w:r>
        <w:rPr/>
        <w:t>in</w:t>
      </w:r>
      <w:r>
        <w:rPr>
          <w:spacing w:val="-2"/>
        </w:rPr>
        <w:t> </w:t>
      </w:r>
      <w:r>
        <w:rPr/>
        <w:t>2022</w:t>
      </w:r>
      <w:r>
        <w:rPr>
          <w:spacing w:val="-2"/>
        </w:rPr>
        <w:t> </w:t>
      </w:r>
      <w:r>
        <w:rPr/>
        <w:t>as</w:t>
      </w:r>
      <w:r>
        <w:rPr>
          <w:spacing w:val="-3"/>
        </w:rPr>
        <w:t> </w:t>
      </w:r>
      <w:r>
        <w:rPr/>
        <w:t>higher</w:t>
      </w:r>
      <w:r>
        <w:rPr>
          <w:spacing w:val="-2"/>
        </w:rPr>
        <w:t> </w:t>
      </w:r>
      <w:r>
        <w:rPr/>
        <w:t>market</w:t>
      </w:r>
      <w:r>
        <w:rPr>
          <w:spacing w:val="-3"/>
        </w:rPr>
        <w:t> </w:t>
      </w:r>
      <w:r>
        <w:rPr/>
        <w:t>interest</w:t>
      </w:r>
      <w:r>
        <w:rPr>
          <w:spacing w:val="-3"/>
        </w:rPr>
        <w:t> </w:t>
      </w:r>
      <w:r>
        <w:rPr/>
        <w:t>rates</w:t>
      </w:r>
      <w:r>
        <w:rPr>
          <w:spacing w:val="-3"/>
        </w:rPr>
        <w:t> </w:t>
      </w:r>
      <w:r>
        <w:rPr/>
        <w:t>improved</w:t>
      </w:r>
      <w:r>
        <w:rPr>
          <w:spacing w:val="-2"/>
        </w:rPr>
        <w:t> </w:t>
      </w:r>
      <w:r>
        <w:rPr/>
        <w:t>yields</w:t>
      </w:r>
      <w:r>
        <w:rPr>
          <w:spacing w:val="-3"/>
        </w:rPr>
        <w:t> </w:t>
      </w:r>
      <w:r>
        <w:rPr/>
        <w:t>on</w:t>
      </w:r>
      <w:r>
        <w:rPr>
          <w:spacing w:val="-2"/>
        </w:rPr>
        <w:t> </w:t>
      </w:r>
      <w:r>
        <w:rPr/>
        <w:t>interest-earning</w:t>
      </w:r>
      <w:r>
        <w:rPr>
          <w:spacing w:val="-2"/>
        </w:rPr>
        <w:t> </w:t>
      </w:r>
      <w:r>
        <w:rPr/>
        <w:t>assets,</w:t>
      </w:r>
      <w:r>
        <w:rPr>
          <w:spacing w:val="-2"/>
        </w:rPr>
        <w:t> </w:t>
      </w:r>
      <w:r>
        <w:rPr/>
        <w:t>which</w:t>
      </w:r>
      <w:r>
        <w:rPr>
          <w:spacing w:val="-2"/>
        </w:rPr>
        <w:t> </w:t>
      </w:r>
      <w:r>
        <w:rPr/>
        <w:t>more than offset the higher rates paid across interest-bearing funding sources.</w:t>
      </w:r>
    </w:p>
    <w:p>
      <w:pPr>
        <w:pStyle w:val="BodyText"/>
        <w:spacing w:before="14"/>
      </w:pPr>
    </w:p>
    <w:p>
      <w:pPr>
        <w:pStyle w:val="BodyText"/>
        <w:spacing w:line="249" w:lineRule="auto"/>
        <w:ind w:left="470" w:right="508"/>
      </w:pPr>
      <w:r>
        <w:rPr/>
        <w:t>The Company’s higher average balances in the third quarter and first nine months of 2023 relative to the same periods in 2022 of</w:t>
      </w:r>
      <w:r>
        <w:rPr>
          <w:spacing w:val="-3"/>
        </w:rPr>
        <w:t> </w:t>
      </w:r>
      <w:r>
        <w:rPr/>
        <w:t>FHLB</w:t>
      </w:r>
      <w:r>
        <w:rPr>
          <w:spacing w:val="-4"/>
        </w:rPr>
        <w:t> </w:t>
      </w:r>
      <w:r>
        <w:rPr/>
        <w:t>borrowings,</w:t>
      </w:r>
      <w:r>
        <w:rPr>
          <w:spacing w:val="-3"/>
        </w:rPr>
        <w:t> </w:t>
      </w:r>
      <w:r>
        <w:rPr/>
        <w:t>other</w:t>
      </w:r>
      <w:r>
        <w:rPr>
          <w:spacing w:val="-3"/>
        </w:rPr>
        <w:t> </w:t>
      </w:r>
      <w:r>
        <w:rPr/>
        <w:t>short-term</w:t>
      </w:r>
      <w:r>
        <w:rPr>
          <w:spacing w:val="-4"/>
        </w:rPr>
        <w:t> </w:t>
      </w:r>
      <w:r>
        <w:rPr/>
        <w:t>borrowings,</w:t>
      </w:r>
      <w:r>
        <w:rPr>
          <w:spacing w:val="-3"/>
        </w:rPr>
        <w:t> </w:t>
      </w:r>
      <w:r>
        <w:rPr/>
        <w:t>and</w:t>
      </w:r>
      <w:r>
        <w:rPr>
          <w:spacing w:val="-3"/>
        </w:rPr>
        <w:t> </w:t>
      </w:r>
      <w:r>
        <w:rPr/>
        <w:t>brokered</w:t>
      </w:r>
      <w:r>
        <w:rPr>
          <w:spacing w:val="-3"/>
        </w:rPr>
        <w:t> </w:t>
      </w:r>
      <w:r>
        <w:rPr/>
        <w:t>CDs</w:t>
      </w:r>
      <w:r>
        <w:rPr>
          <w:spacing w:val="-4"/>
        </w:rPr>
        <w:t> </w:t>
      </w:r>
      <w:r>
        <w:rPr/>
        <w:t>resulted</w:t>
      </w:r>
      <w:r>
        <w:rPr>
          <w:spacing w:val="-3"/>
        </w:rPr>
        <w:t> </w:t>
      </w:r>
      <w:r>
        <w:rPr/>
        <w:t>in</w:t>
      </w:r>
      <w:r>
        <w:rPr>
          <w:spacing w:val="-3"/>
        </w:rPr>
        <w:t> </w:t>
      </w:r>
      <w:r>
        <w:rPr/>
        <w:t>higher</w:t>
      </w:r>
      <w:r>
        <w:rPr>
          <w:spacing w:val="-3"/>
        </w:rPr>
        <w:t> </w:t>
      </w:r>
      <w:r>
        <w:rPr/>
        <w:t>funding</w:t>
      </w:r>
      <w:r>
        <w:rPr>
          <w:spacing w:val="-3"/>
        </w:rPr>
        <w:t> </w:t>
      </w:r>
      <w:r>
        <w:rPr/>
        <w:t>costs.</w:t>
      </w:r>
      <w:r>
        <w:rPr>
          <w:spacing w:val="-3"/>
        </w:rPr>
        <w:t> </w:t>
      </w:r>
      <w:r>
        <w:rPr/>
        <w:t>The</w:t>
      </w:r>
      <w:r>
        <w:rPr>
          <w:spacing w:val="-4"/>
        </w:rPr>
        <w:t> </w:t>
      </w:r>
      <w:r>
        <w:rPr/>
        <w:t>Company</w:t>
      </w:r>
      <w:r>
        <w:rPr>
          <w:spacing w:val="-3"/>
        </w:rPr>
        <w:t> </w:t>
      </w:r>
      <w:r>
        <w:rPr/>
        <w:t>continues to prioritize repayment of the outstanding balances of its supplemental funding sources, and during the third quarter of 2023,</w:t>
      </w:r>
      <w:r>
        <w:rPr/>
        <w:t> the outstanding balance decreased by $5.4 billion. The Company’s use of these supplemental funding sources is dependent on several factors, including the volume and pace of clients’ cash allocation activity, which is driven primarily by changes in market</w:t>
      </w:r>
      <w:r>
        <w:rPr>
          <w:spacing w:val="-3"/>
        </w:rPr>
        <w:t> </w:t>
      </w:r>
      <w:r>
        <w:rPr/>
        <w:t>interest</w:t>
      </w:r>
      <w:r>
        <w:rPr>
          <w:spacing w:val="-3"/>
        </w:rPr>
        <w:t> </w:t>
      </w:r>
      <w:r>
        <w:rPr/>
        <w:t>rates,</w:t>
      </w:r>
      <w:r>
        <w:rPr>
          <w:spacing w:val="-2"/>
        </w:rPr>
        <w:t> </w:t>
      </w:r>
      <w:r>
        <w:rPr/>
        <w:t>as</w:t>
      </w:r>
      <w:r>
        <w:rPr>
          <w:spacing w:val="-3"/>
        </w:rPr>
        <w:t> </w:t>
      </w:r>
      <w:r>
        <w:rPr/>
        <w:t>well</w:t>
      </w:r>
      <w:r>
        <w:rPr>
          <w:spacing w:val="-3"/>
        </w:rPr>
        <w:t> </w:t>
      </w:r>
      <w:r>
        <w:rPr/>
        <w:t>as</w:t>
      </w:r>
      <w:r>
        <w:rPr>
          <w:spacing w:val="-3"/>
        </w:rPr>
        <w:t> </w:t>
      </w:r>
      <w:r>
        <w:rPr/>
        <w:t>asset</w:t>
      </w:r>
      <w:r>
        <w:rPr>
          <w:spacing w:val="-3"/>
        </w:rPr>
        <w:t> </w:t>
      </w:r>
      <w:r>
        <w:rPr/>
        <w:t>gathering.</w:t>
      </w:r>
      <w:r>
        <w:rPr>
          <w:spacing w:val="-2"/>
        </w:rPr>
        <w:t> </w:t>
      </w:r>
      <w:r>
        <w:rPr/>
        <w:t>While</w:t>
      </w:r>
      <w:r>
        <w:rPr>
          <w:spacing w:val="-3"/>
        </w:rPr>
        <w:t> </w:t>
      </w:r>
      <w:r>
        <w:rPr/>
        <w:t>client</w:t>
      </w:r>
      <w:r>
        <w:rPr>
          <w:spacing w:val="-3"/>
        </w:rPr>
        <w:t> </w:t>
      </w:r>
      <w:r>
        <w:rPr/>
        <w:t>cash</w:t>
      </w:r>
      <w:r>
        <w:rPr>
          <w:spacing w:val="-2"/>
        </w:rPr>
        <w:t> </w:t>
      </w:r>
      <w:r>
        <w:rPr/>
        <w:t>realignment</w:t>
      </w:r>
      <w:r>
        <w:rPr>
          <w:spacing w:val="-3"/>
        </w:rPr>
        <w:t> </w:t>
      </w:r>
      <w:r>
        <w:rPr/>
        <w:t>activity</w:t>
      </w:r>
      <w:r>
        <w:rPr>
          <w:spacing w:val="-2"/>
        </w:rPr>
        <w:t> </w:t>
      </w:r>
      <w:r>
        <w:rPr/>
        <w:t>has</w:t>
      </w:r>
      <w:r>
        <w:rPr>
          <w:spacing w:val="-3"/>
        </w:rPr>
        <w:t> </w:t>
      </w:r>
      <w:r>
        <w:rPr/>
        <w:t>slowed</w:t>
      </w:r>
      <w:r>
        <w:rPr>
          <w:spacing w:val="-2"/>
        </w:rPr>
        <w:t> </w:t>
      </w:r>
      <w:r>
        <w:rPr/>
        <w:t>significantly</w:t>
      </w:r>
      <w:r>
        <w:rPr>
          <w:spacing w:val="-2"/>
        </w:rPr>
        <w:t> </w:t>
      </w:r>
      <w:r>
        <w:rPr/>
        <w:t>since</w:t>
      </w:r>
      <w:r>
        <w:rPr>
          <w:spacing w:val="-3"/>
        </w:rPr>
        <w:t> </w:t>
      </w:r>
      <w:r>
        <w:rPr/>
        <w:t>the</w:t>
      </w:r>
      <w:r>
        <w:rPr>
          <w:spacing w:val="-3"/>
        </w:rPr>
        <w:t> </w:t>
      </w:r>
      <w:r>
        <w:rPr/>
        <w:t>second</w:t>
      </w:r>
    </w:p>
    <w:p>
      <w:pPr>
        <w:spacing w:after="0" w:line="249" w:lineRule="auto"/>
        <w:sectPr>
          <w:pgSz w:w="12240" w:h="15840"/>
          <w:pgMar w:header="512" w:footer="201" w:top="1180" w:bottom="400" w:left="520" w:right="520"/>
        </w:sectPr>
      </w:pPr>
    </w:p>
    <w:p>
      <w:pPr>
        <w:pStyle w:val="BodyText"/>
        <w:spacing w:line="249" w:lineRule="auto" w:before="211"/>
        <w:ind w:left="470" w:right="500"/>
      </w:pPr>
      <w:r>
        <w:rPr/>
        <w:t>quarter of 2023, continued uncertainty remains regarding the path of market interest rates and client behavior. The Company currently</w:t>
      </w:r>
      <w:r>
        <w:rPr>
          <w:spacing w:val="-3"/>
        </w:rPr>
        <w:t> </w:t>
      </w:r>
      <w:r>
        <w:rPr/>
        <w:t>expects</w:t>
      </w:r>
      <w:r>
        <w:rPr>
          <w:spacing w:val="-4"/>
        </w:rPr>
        <w:t> </w:t>
      </w:r>
      <w:r>
        <w:rPr/>
        <w:t>its</w:t>
      </w:r>
      <w:r>
        <w:rPr>
          <w:spacing w:val="-4"/>
        </w:rPr>
        <w:t> </w:t>
      </w:r>
      <w:r>
        <w:rPr/>
        <w:t>outstanding</w:t>
      </w:r>
      <w:r>
        <w:rPr>
          <w:spacing w:val="-3"/>
        </w:rPr>
        <w:t> </w:t>
      </w:r>
      <w:r>
        <w:rPr/>
        <w:t>balances</w:t>
      </w:r>
      <w:r>
        <w:rPr>
          <w:spacing w:val="-4"/>
        </w:rPr>
        <w:t> </w:t>
      </w:r>
      <w:r>
        <w:rPr/>
        <w:t>of</w:t>
      </w:r>
      <w:r>
        <w:rPr>
          <w:spacing w:val="-3"/>
        </w:rPr>
        <w:t> </w:t>
      </w:r>
      <w:r>
        <w:rPr/>
        <w:t>supplemental</w:t>
      </w:r>
      <w:r>
        <w:rPr>
          <w:spacing w:val="-4"/>
        </w:rPr>
        <w:t> </w:t>
      </w:r>
      <w:r>
        <w:rPr/>
        <w:t>funding</w:t>
      </w:r>
      <w:r>
        <w:rPr>
          <w:spacing w:val="-3"/>
        </w:rPr>
        <w:t> </w:t>
      </w:r>
      <w:r>
        <w:rPr/>
        <w:t>sources</w:t>
      </w:r>
      <w:r>
        <w:rPr>
          <w:spacing w:val="-4"/>
        </w:rPr>
        <w:t> </w:t>
      </w:r>
      <w:r>
        <w:rPr/>
        <w:t>to</w:t>
      </w:r>
      <w:r>
        <w:rPr>
          <w:spacing w:val="-3"/>
        </w:rPr>
        <w:t> </w:t>
      </w:r>
      <w:r>
        <w:rPr/>
        <w:t>decrease</w:t>
      </w:r>
      <w:r>
        <w:rPr>
          <w:spacing w:val="-4"/>
        </w:rPr>
        <w:t> </w:t>
      </w:r>
      <w:r>
        <w:rPr/>
        <w:t>between</w:t>
      </w:r>
      <w:r>
        <w:rPr>
          <w:spacing w:val="-3"/>
        </w:rPr>
        <w:t> </w:t>
      </w:r>
      <w:r>
        <w:rPr/>
        <w:t>now</w:t>
      </w:r>
      <w:r>
        <w:rPr>
          <w:spacing w:val="-4"/>
        </w:rPr>
        <w:t> </w:t>
      </w:r>
      <w:r>
        <w:rPr/>
        <w:t>and</w:t>
      </w:r>
      <w:r>
        <w:rPr>
          <w:spacing w:val="-3"/>
        </w:rPr>
        <w:t> </w:t>
      </w:r>
      <w:r>
        <w:rPr/>
        <w:t>the</w:t>
      </w:r>
      <w:r>
        <w:rPr>
          <w:spacing w:val="-4"/>
        </w:rPr>
        <w:t> </w:t>
      </w:r>
      <w:r>
        <w:rPr/>
        <w:t>end</w:t>
      </w:r>
      <w:r>
        <w:rPr>
          <w:spacing w:val="-3"/>
        </w:rPr>
        <w:t> </w:t>
      </w:r>
      <w:r>
        <w:rPr/>
        <w:t>of</w:t>
      </w:r>
      <w:r>
        <w:rPr>
          <w:spacing w:val="-3"/>
        </w:rPr>
        <w:t> </w:t>
      </w:r>
      <w:r>
        <w:rPr/>
        <w:t>2024,</w:t>
      </w:r>
      <w:r>
        <w:rPr>
          <w:spacing w:val="-3"/>
        </w:rPr>
        <w:t> </w:t>
      </w:r>
      <w:r>
        <w:rPr/>
        <w:t>with some amount remaining outstanding into 2025. See also Risk Management – Liquidity Risk, Item 1 – Note 7 Bank Deposits, and Item 1 – Note 8 Borrowings for additional information on these and other funding sources.</w:t>
      </w:r>
    </w:p>
    <w:p>
      <w:pPr>
        <w:pStyle w:val="BodyText"/>
        <w:spacing w:before="10"/>
      </w:pPr>
    </w:p>
    <w:p>
      <w:pPr>
        <w:pStyle w:val="Heading3"/>
        <w:rPr>
          <w:i/>
        </w:rPr>
      </w:pPr>
      <w:bookmarkStart w:name="Asset Management and Administration Fees" w:id="11"/>
      <w:bookmarkEnd w:id="11"/>
      <w:r>
        <w:rPr>
          <w:b w:val="0"/>
          <w:i w:val="0"/>
        </w:rPr>
      </w:r>
      <w:r>
        <w:rPr>
          <w:i/>
        </w:rPr>
        <w:t>Asset</w:t>
      </w:r>
      <w:r>
        <w:rPr>
          <w:i/>
          <w:spacing w:val="-7"/>
        </w:rPr>
        <w:t> </w:t>
      </w:r>
      <w:r>
        <w:rPr>
          <w:i/>
        </w:rPr>
        <w:t>Management</w:t>
      </w:r>
      <w:r>
        <w:rPr>
          <w:i/>
          <w:spacing w:val="-6"/>
        </w:rPr>
        <w:t> </w:t>
      </w:r>
      <w:r>
        <w:rPr>
          <w:i/>
        </w:rPr>
        <w:t>and</w:t>
      </w:r>
      <w:r>
        <w:rPr>
          <w:i/>
          <w:spacing w:val="-5"/>
        </w:rPr>
        <w:t> </w:t>
      </w:r>
      <w:r>
        <w:rPr>
          <w:i/>
        </w:rPr>
        <w:t>Administration</w:t>
      </w:r>
      <w:r>
        <w:rPr>
          <w:i/>
          <w:spacing w:val="-6"/>
        </w:rPr>
        <w:t> </w:t>
      </w:r>
      <w:r>
        <w:rPr>
          <w:i/>
          <w:spacing w:val="-4"/>
        </w:rPr>
        <w:t>Fees</w:t>
      </w:r>
    </w:p>
    <w:p>
      <w:pPr>
        <w:pStyle w:val="BodyText"/>
        <w:spacing w:before="23"/>
        <w:rPr>
          <w:b/>
          <w:i/>
        </w:rPr>
      </w:pPr>
    </w:p>
    <w:p>
      <w:pPr>
        <w:pStyle w:val="BodyText"/>
        <w:spacing w:before="1"/>
        <w:ind w:left="470"/>
      </w:pPr>
      <w:r>
        <w:rPr/>
        <w:t>The</w:t>
      </w:r>
      <w:r>
        <w:rPr>
          <w:spacing w:val="-7"/>
        </w:rPr>
        <w:t> </w:t>
      </w:r>
      <w:r>
        <w:rPr/>
        <w:t>following</w:t>
      </w:r>
      <w:r>
        <w:rPr>
          <w:spacing w:val="-4"/>
        </w:rPr>
        <w:t> </w:t>
      </w:r>
      <w:r>
        <w:rPr/>
        <w:t>table</w:t>
      </w:r>
      <w:r>
        <w:rPr>
          <w:spacing w:val="-4"/>
        </w:rPr>
        <w:t> </w:t>
      </w:r>
      <w:r>
        <w:rPr/>
        <w:t>presents</w:t>
      </w:r>
      <w:r>
        <w:rPr>
          <w:spacing w:val="-5"/>
        </w:rPr>
        <w:t> </w:t>
      </w:r>
      <w:r>
        <w:rPr/>
        <w:t>asset</w:t>
      </w:r>
      <w:r>
        <w:rPr>
          <w:spacing w:val="-4"/>
        </w:rPr>
        <w:t> </w:t>
      </w:r>
      <w:r>
        <w:rPr/>
        <w:t>management</w:t>
      </w:r>
      <w:r>
        <w:rPr>
          <w:spacing w:val="-5"/>
        </w:rPr>
        <w:t> </w:t>
      </w:r>
      <w:r>
        <w:rPr/>
        <w:t>and</w:t>
      </w:r>
      <w:r>
        <w:rPr>
          <w:spacing w:val="-3"/>
        </w:rPr>
        <w:t> </w:t>
      </w:r>
      <w:r>
        <w:rPr/>
        <w:t>administration</w:t>
      </w:r>
      <w:r>
        <w:rPr>
          <w:spacing w:val="-4"/>
        </w:rPr>
        <w:t> </w:t>
      </w:r>
      <w:r>
        <w:rPr/>
        <w:t>fees,</w:t>
      </w:r>
      <w:r>
        <w:rPr>
          <w:spacing w:val="-3"/>
        </w:rPr>
        <w:t> </w:t>
      </w:r>
      <w:r>
        <w:rPr/>
        <w:t>average</w:t>
      </w:r>
      <w:r>
        <w:rPr>
          <w:spacing w:val="-5"/>
        </w:rPr>
        <w:t> </w:t>
      </w:r>
      <w:r>
        <w:rPr/>
        <w:t>client</w:t>
      </w:r>
      <w:r>
        <w:rPr>
          <w:spacing w:val="-4"/>
        </w:rPr>
        <w:t> </w:t>
      </w:r>
      <w:r>
        <w:rPr/>
        <w:t>assets,</w:t>
      </w:r>
      <w:r>
        <w:rPr>
          <w:spacing w:val="-4"/>
        </w:rPr>
        <w:t> </w:t>
      </w:r>
      <w:r>
        <w:rPr/>
        <w:t>and</w:t>
      </w:r>
      <w:r>
        <w:rPr>
          <w:spacing w:val="-3"/>
        </w:rPr>
        <w:t> </w:t>
      </w:r>
      <w:r>
        <w:rPr/>
        <w:t>average</w:t>
      </w:r>
      <w:r>
        <w:rPr>
          <w:spacing w:val="-5"/>
        </w:rPr>
        <w:t> </w:t>
      </w:r>
      <w:r>
        <w:rPr/>
        <w:t>fee</w:t>
      </w:r>
      <w:r>
        <w:rPr>
          <w:spacing w:val="-4"/>
        </w:rPr>
        <w:t> </w:t>
      </w:r>
      <w:r>
        <w:rPr>
          <w:spacing w:val="-2"/>
        </w:rPr>
        <w:t>yields:</w:t>
      </w:r>
    </w:p>
    <w:p>
      <w:pPr>
        <w:pStyle w:val="BodyText"/>
        <w:spacing w:before="8"/>
        <w:rPr>
          <w:sz w:val="13"/>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0"/>
        <w:gridCol w:w="949"/>
        <w:gridCol w:w="826"/>
        <w:gridCol w:w="758"/>
        <w:gridCol w:w="980"/>
        <w:gridCol w:w="856"/>
        <w:gridCol w:w="699"/>
      </w:tblGrid>
      <w:tr>
        <w:trPr>
          <w:trHeight w:val="245" w:hRule="atLeast"/>
        </w:trPr>
        <w:tc>
          <w:tcPr>
            <w:tcW w:w="5190" w:type="dxa"/>
            <w:vMerge w:val="restart"/>
            <w:tcBorders>
              <w:top w:val="single" w:sz="4" w:space="0" w:color="000000"/>
            </w:tcBorders>
          </w:tcPr>
          <w:p>
            <w:pPr>
              <w:pStyle w:val="TableParagraph"/>
              <w:rPr>
                <w:sz w:val="18"/>
              </w:rPr>
            </w:pPr>
          </w:p>
        </w:tc>
        <w:tc>
          <w:tcPr>
            <w:tcW w:w="949" w:type="dxa"/>
            <w:tcBorders>
              <w:top w:val="single" w:sz="4" w:space="0" w:color="000000"/>
              <w:bottom w:val="single" w:sz="4" w:space="0" w:color="000000"/>
            </w:tcBorders>
          </w:tcPr>
          <w:p>
            <w:pPr>
              <w:pStyle w:val="TableParagraph"/>
              <w:rPr>
                <w:sz w:val="16"/>
              </w:rPr>
            </w:pPr>
          </w:p>
        </w:tc>
        <w:tc>
          <w:tcPr>
            <w:tcW w:w="826" w:type="dxa"/>
            <w:tcBorders>
              <w:top w:val="single" w:sz="4" w:space="0" w:color="000000"/>
              <w:bottom w:val="single" w:sz="4" w:space="0" w:color="000000"/>
            </w:tcBorders>
          </w:tcPr>
          <w:p>
            <w:pPr>
              <w:pStyle w:val="TableParagraph"/>
              <w:spacing w:before="13"/>
              <w:ind w:left="123"/>
              <w:rPr>
                <w:sz w:val="18"/>
              </w:rPr>
            </w:pPr>
            <w:r>
              <w:rPr>
                <w:spacing w:val="-4"/>
                <w:sz w:val="18"/>
              </w:rPr>
              <w:t>2023</w:t>
            </w:r>
          </w:p>
        </w:tc>
        <w:tc>
          <w:tcPr>
            <w:tcW w:w="758" w:type="dxa"/>
            <w:tcBorders>
              <w:top w:val="single" w:sz="4" w:space="0" w:color="000000"/>
              <w:bottom w:val="single" w:sz="4" w:space="0" w:color="000000"/>
            </w:tcBorders>
          </w:tcPr>
          <w:p>
            <w:pPr>
              <w:pStyle w:val="TableParagraph"/>
              <w:rPr>
                <w:sz w:val="16"/>
              </w:rPr>
            </w:pPr>
          </w:p>
        </w:tc>
        <w:tc>
          <w:tcPr>
            <w:tcW w:w="980" w:type="dxa"/>
            <w:tcBorders>
              <w:top w:val="single" w:sz="4" w:space="0" w:color="000000"/>
              <w:bottom w:val="single" w:sz="4" w:space="0" w:color="000000"/>
            </w:tcBorders>
          </w:tcPr>
          <w:p>
            <w:pPr>
              <w:pStyle w:val="TableParagraph"/>
              <w:rPr>
                <w:sz w:val="16"/>
              </w:rPr>
            </w:pPr>
          </w:p>
        </w:tc>
        <w:tc>
          <w:tcPr>
            <w:tcW w:w="856" w:type="dxa"/>
            <w:tcBorders>
              <w:top w:val="single" w:sz="4" w:space="0" w:color="000000"/>
              <w:bottom w:val="single" w:sz="4" w:space="0" w:color="000000"/>
            </w:tcBorders>
          </w:tcPr>
          <w:p>
            <w:pPr>
              <w:pStyle w:val="TableParagraph"/>
              <w:spacing w:before="13"/>
              <w:ind w:left="124"/>
              <w:rPr>
                <w:sz w:val="18"/>
              </w:rPr>
            </w:pPr>
            <w:r>
              <w:rPr>
                <w:spacing w:val="-4"/>
                <w:sz w:val="18"/>
              </w:rPr>
              <w:t>2022</w:t>
            </w:r>
          </w:p>
        </w:tc>
        <w:tc>
          <w:tcPr>
            <w:tcW w:w="699" w:type="dxa"/>
            <w:tcBorders>
              <w:top w:val="single" w:sz="4" w:space="0" w:color="000000"/>
              <w:bottom w:val="single" w:sz="4" w:space="0" w:color="000000"/>
            </w:tcBorders>
          </w:tcPr>
          <w:p>
            <w:pPr>
              <w:pStyle w:val="TableParagraph"/>
              <w:rPr>
                <w:sz w:val="16"/>
              </w:rPr>
            </w:pPr>
          </w:p>
        </w:tc>
      </w:tr>
      <w:tr>
        <w:trPr>
          <w:trHeight w:val="390" w:hRule="atLeast"/>
        </w:trPr>
        <w:tc>
          <w:tcPr>
            <w:tcW w:w="5190" w:type="dxa"/>
            <w:vMerge/>
            <w:tcBorders>
              <w:top w:val="nil"/>
            </w:tcBorders>
          </w:tcPr>
          <w:p>
            <w:pPr>
              <w:rPr>
                <w:sz w:val="2"/>
                <w:szCs w:val="2"/>
              </w:rPr>
            </w:pPr>
          </w:p>
        </w:tc>
        <w:tc>
          <w:tcPr>
            <w:tcW w:w="949" w:type="dxa"/>
            <w:tcBorders>
              <w:top w:val="single" w:sz="4" w:space="0" w:color="000000"/>
            </w:tcBorders>
          </w:tcPr>
          <w:p>
            <w:pPr>
              <w:pStyle w:val="TableParagraph"/>
              <w:spacing w:line="180" w:lineRule="exact" w:before="10"/>
              <w:ind w:left="260" w:right="158" w:hanging="85"/>
              <w:rPr>
                <w:sz w:val="18"/>
              </w:rPr>
            </w:pPr>
            <w:r>
              <w:rPr>
                <w:spacing w:val="-2"/>
                <w:sz w:val="18"/>
              </w:rPr>
              <w:t>Average Client</w:t>
            </w:r>
          </w:p>
        </w:tc>
        <w:tc>
          <w:tcPr>
            <w:tcW w:w="826" w:type="dxa"/>
            <w:tcBorders>
              <w:top w:val="single" w:sz="4" w:space="0" w:color="000000"/>
            </w:tcBorders>
          </w:tcPr>
          <w:p>
            <w:pPr>
              <w:pStyle w:val="TableParagraph"/>
              <w:rPr>
                <w:sz w:val="18"/>
              </w:rPr>
            </w:pPr>
          </w:p>
        </w:tc>
        <w:tc>
          <w:tcPr>
            <w:tcW w:w="758" w:type="dxa"/>
            <w:tcBorders>
              <w:top w:val="single" w:sz="4" w:space="0" w:color="000000"/>
            </w:tcBorders>
          </w:tcPr>
          <w:p>
            <w:pPr>
              <w:pStyle w:val="TableParagraph"/>
              <w:spacing w:line="177" w:lineRule="exact" w:before="193"/>
              <w:ind w:right="15"/>
              <w:jc w:val="center"/>
              <w:rPr>
                <w:sz w:val="18"/>
              </w:rPr>
            </w:pPr>
            <w:r>
              <w:rPr>
                <w:spacing w:val="-2"/>
                <w:sz w:val="18"/>
              </w:rPr>
              <w:t>Average</w:t>
            </w:r>
          </w:p>
        </w:tc>
        <w:tc>
          <w:tcPr>
            <w:tcW w:w="980" w:type="dxa"/>
            <w:tcBorders>
              <w:top w:val="single" w:sz="4" w:space="0" w:color="000000"/>
            </w:tcBorders>
          </w:tcPr>
          <w:p>
            <w:pPr>
              <w:pStyle w:val="TableParagraph"/>
              <w:spacing w:line="180" w:lineRule="exact" w:before="10"/>
              <w:ind w:left="292" w:right="157" w:hanging="85"/>
              <w:rPr>
                <w:sz w:val="18"/>
              </w:rPr>
            </w:pPr>
            <w:r>
              <w:rPr>
                <w:spacing w:val="-2"/>
                <w:sz w:val="18"/>
              </w:rPr>
              <w:t>Average Client</w:t>
            </w:r>
          </w:p>
        </w:tc>
        <w:tc>
          <w:tcPr>
            <w:tcW w:w="856" w:type="dxa"/>
            <w:tcBorders>
              <w:top w:val="single" w:sz="4" w:space="0" w:color="000000"/>
            </w:tcBorders>
          </w:tcPr>
          <w:p>
            <w:pPr>
              <w:pStyle w:val="TableParagraph"/>
              <w:rPr>
                <w:sz w:val="18"/>
              </w:rPr>
            </w:pPr>
          </w:p>
        </w:tc>
        <w:tc>
          <w:tcPr>
            <w:tcW w:w="699" w:type="dxa"/>
            <w:tcBorders>
              <w:top w:val="single" w:sz="4" w:space="0" w:color="000000"/>
            </w:tcBorders>
          </w:tcPr>
          <w:p>
            <w:pPr>
              <w:pStyle w:val="TableParagraph"/>
              <w:spacing w:line="177" w:lineRule="exact" w:before="193"/>
              <w:ind w:right="14"/>
              <w:jc w:val="center"/>
              <w:rPr>
                <w:sz w:val="18"/>
              </w:rPr>
            </w:pPr>
            <w:r>
              <w:rPr>
                <w:spacing w:val="-2"/>
                <w:sz w:val="18"/>
              </w:rPr>
              <w:t>Average</w:t>
            </w:r>
          </w:p>
        </w:tc>
      </w:tr>
      <w:tr>
        <w:trPr>
          <w:trHeight w:val="214" w:hRule="atLeast"/>
        </w:trPr>
        <w:tc>
          <w:tcPr>
            <w:tcW w:w="5190" w:type="dxa"/>
            <w:tcBorders>
              <w:bottom w:val="single" w:sz="4" w:space="0" w:color="000000"/>
            </w:tcBorders>
          </w:tcPr>
          <w:p>
            <w:pPr>
              <w:pStyle w:val="TableParagraph"/>
              <w:spacing w:line="190" w:lineRule="exact"/>
              <w:ind w:left="52"/>
              <w:rPr>
                <w:sz w:val="18"/>
              </w:rPr>
            </w:pPr>
            <w:r>
              <w:rPr>
                <w:sz w:val="18"/>
              </w:rPr>
              <w:t>Three</w:t>
            </w:r>
            <w:r>
              <w:rPr>
                <w:spacing w:val="-1"/>
                <w:sz w:val="18"/>
              </w:rPr>
              <w:t> </w:t>
            </w:r>
            <w:r>
              <w:rPr>
                <w:sz w:val="18"/>
              </w:rPr>
              <w:t>Months</w:t>
            </w:r>
            <w:r>
              <w:rPr>
                <w:spacing w:val="-1"/>
                <w:sz w:val="18"/>
              </w:rPr>
              <w:t> </w:t>
            </w:r>
            <w:r>
              <w:rPr>
                <w:sz w:val="18"/>
              </w:rPr>
              <w:t>Ended</w:t>
            </w:r>
            <w:r>
              <w:rPr>
                <w:spacing w:val="-1"/>
                <w:sz w:val="18"/>
              </w:rPr>
              <w:t> </w:t>
            </w:r>
            <w:r>
              <w:rPr>
                <w:sz w:val="18"/>
              </w:rPr>
              <w:t>September </w:t>
            </w:r>
            <w:r>
              <w:rPr>
                <w:spacing w:val="-5"/>
                <w:sz w:val="18"/>
              </w:rPr>
              <w:t>30,</w:t>
            </w:r>
          </w:p>
        </w:tc>
        <w:tc>
          <w:tcPr>
            <w:tcW w:w="949" w:type="dxa"/>
            <w:tcBorders>
              <w:bottom w:val="single" w:sz="4" w:space="0" w:color="000000"/>
            </w:tcBorders>
          </w:tcPr>
          <w:p>
            <w:pPr>
              <w:pStyle w:val="TableParagraph"/>
              <w:spacing w:line="190" w:lineRule="exact"/>
              <w:ind w:left="245"/>
              <w:rPr>
                <w:sz w:val="18"/>
              </w:rPr>
            </w:pPr>
            <w:r>
              <w:rPr>
                <w:spacing w:val="-2"/>
                <w:sz w:val="18"/>
              </w:rPr>
              <w:t>Assets</w:t>
            </w:r>
          </w:p>
        </w:tc>
        <w:tc>
          <w:tcPr>
            <w:tcW w:w="826" w:type="dxa"/>
            <w:tcBorders>
              <w:bottom w:val="single" w:sz="4" w:space="0" w:color="000000"/>
            </w:tcBorders>
          </w:tcPr>
          <w:p>
            <w:pPr>
              <w:pStyle w:val="TableParagraph"/>
              <w:spacing w:line="190" w:lineRule="exact"/>
              <w:ind w:left="108"/>
              <w:rPr>
                <w:sz w:val="18"/>
              </w:rPr>
            </w:pPr>
            <w:r>
              <w:rPr>
                <w:spacing w:val="-2"/>
                <w:sz w:val="18"/>
              </w:rPr>
              <w:t>Revenue</w:t>
            </w:r>
          </w:p>
        </w:tc>
        <w:tc>
          <w:tcPr>
            <w:tcW w:w="758" w:type="dxa"/>
            <w:tcBorders>
              <w:bottom w:val="single" w:sz="4" w:space="0" w:color="000000"/>
            </w:tcBorders>
          </w:tcPr>
          <w:p>
            <w:pPr>
              <w:pStyle w:val="TableParagraph"/>
              <w:spacing w:line="190" w:lineRule="exact"/>
              <w:ind w:right="15"/>
              <w:jc w:val="center"/>
              <w:rPr>
                <w:sz w:val="18"/>
              </w:rPr>
            </w:pPr>
            <w:r>
              <w:rPr>
                <w:spacing w:val="-5"/>
                <w:sz w:val="18"/>
              </w:rPr>
              <w:t>Fee</w:t>
            </w:r>
          </w:p>
        </w:tc>
        <w:tc>
          <w:tcPr>
            <w:tcW w:w="980" w:type="dxa"/>
            <w:tcBorders>
              <w:bottom w:val="single" w:sz="4" w:space="0" w:color="000000"/>
            </w:tcBorders>
          </w:tcPr>
          <w:p>
            <w:pPr>
              <w:pStyle w:val="TableParagraph"/>
              <w:spacing w:line="190" w:lineRule="exact"/>
              <w:ind w:left="277"/>
              <w:rPr>
                <w:sz w:val="18"/>
              </w:rPr>
            </w:pPr>
            <w:r>
              <w:rPr>
                <w:spacing w:val="-2"/>
                <w:sz w:val="18"/>
              </w:rPr>
              <w:t>Assets</w:t>
            </w:r>
          </w:p>
        </w:tc>
        <w:tc>
          <w:tcPr>
            <w:tcW w:w="856" w:type="dxa"/>
            <w:tcBorders>
              <w:bottom w:val="single" w:sz="4" w:space="0" w:color="000000"/>
            </w:tcBorders>
          </w:tcPr>
          <w:p>
            <w:pPr>
              <w:pStyle w:val="TableParagraph"/>
              <w:spacing w:line="190" w:lineRule="exact"/>
              <w:ind w:left="109"/>
              <w:rPr>
                <w:sz w:val="18"/>
              </w:rPr>
            </w:pPr>
            <w:r>
              <w:rPr>
                <w:spacing w:val="-2"/>
                <w:sz w:val="18"/>
              </w:rPr>
              <w:t>Revenue</w:t>
            </w:r>
          </w:p>
        </w:tc>
        <w:tc>
          <w:tcPr>
            <w:tcW w:w="699" w:type="dxa"/>
            <w:tcBorders>
              <w:bottom w:val="single" w:sz="4" w:space="0" w:color="000000"/>
            </w:tcBorders>
          </w:tcPr>
          <w:p>
            <w:pPr>
              <w:pStyle w:val="TableParagraph"/>
              <w:spacing w:line="190" w:lineRule="exact"/>
              <w:ind w:right="14"/>
              <w:jc w:val="center"/>
              <w:rPr>
                <w:sz w:val="18"/>
              </w:rPr>
            </w:pPr>
            <w:r>
              <w:rPr>
                <w:spacing w:val="-5"/>
                <w:sz w:val="18"/>
              </w:rPr>
              <w:t>Fee</w:t>
            </w:r>
          </w:p>
        </w:tc>
      </w:tr>
      <w:tr>
        <w:trPr>
          <w:trHeight w:val="250" w:hRule="atLeast"/>
        </w:trPr>
        <w:tc>
          <w:tcPr>
            <w:tcW w:w="5190" w:type="dxa"/>
            <w:tcBorders>
              <w:top w:val="single" w:sz="4" w:space="0" w:color="000000"/>
            </w:tcBorders>
            <w:shd w:val="clear" w:color="auto" w:fill="CCEDFF"/>
          </w:tcPr>
          <w:p>
            <w:pPr>
              <w:pStyle w:val="TableParagraph"/>
              <w:spacing w:before="13"/>
              <w:ind w:left="52"/>
              <w:rPr>
                <w:sz w:val="18"/>
              </w:rPr>
            </w:pPr>
            <w:r>
              <w:rPr>
                <w:sz w:val="18"/>
              </w:rPr>
              <w:t>Schwab</w:t>
            </w:r>
            <w:r>
              <w:rPr>
                <w:spacing w:val="-1"/>
                <w:sz w:val="18"/>
              </w:rPr>
              <w:t> </w:t>
            </w:r>
            <w:r>
              <w:rPr>
                <w:sz w:val="18"/>
              </w:rPr>
              <w:t>money market funds</w:t>
            </w:r>
            <w:r>
              <w:rPr>
                <w:spacing w:val="-2"/>
                <w:sz w:val="18"/>
              </w:rPr>
              <w:t> </w:t>
            </w:r>
            <w:r>
              <w:rPr>
                <w:sz w:val="18"/>
              </w:rPr>
              <w:t>before fee </w:t>
            </w:r>
            <w:r>
              <w:rPr>
                <w:spacing w:val="-2"/>
                <w:sz w:val="18"/>
              </w:rPr>
              <w:t>waivers</w:t>
            </w:r>
          </w:p>
        </w:tc>
        <w:tc>
          <w:tcPr>
            <w:tcW w:w="949" w:type="dxa"/>
            <w:tcBorders>
              <w:top w:val="single" w:sz="4" w:space="0" w:color="000000"/>
            </w:tcBorders>
            <w:shd w:val="clear" w:color="auto" w:fill="CCEDFF"/>
          </w:tcPr>
          <w:p>
            <w:pPr>
              <w:pStyle w:val="TableParagraph"/>
              <w:spacing w:before="8"/>
              <w:ind w:right="61"/>
              <w:jc w:val="right"/>
              <w:rPr>
                <w:sz w:val="18"/>
              </w:rPr>
            </w:pPr>
            <w:r>
              <w:rPr>
                <w:sz w:val="18"/>
              </w:rPr>
              <w:t>$</w:t>
            </w:r>
            <w:r>
              <w:rPr>
                <w:spacing w:val="33"/>
                <w:sz w:val="18"/>
              </w:rPr>
              <w:t>  </w:t>
            </w:r>
            <w:r>
              <w:rPr>
                <w:spacing w:val="-2"/>
                <w:sz w:val="18"/>
              </w:rPr>
              <w:t>414,074</w:t>
            </w:r>
          </w:p>
        </w:tc>
        <w:tc>
          <w:tcPr>
            <w:tcW w:w="826" w:type="dxa"/>
            <w:tcBorders>
              <w:top w:val="single" w:sz="4" w:space="0" w:color="000000"/>
            </w:tcBorders>
            <w:shd w:val="clear" w:color="auto" w:fill="CCEDFF"/>
          </w:tcPr>
          <w:p>
            <w:pPr>
              <w:pStyle w:val="TableParagraph"/>
              <w:tabs>
                <w:tab w:pos="491" w:val="left" w:leader="none"/>
              </w:tabs>
              <w:spacing w:before="8"/>
              <w:ind w:left="63"/>
              <w:rPr>
                <w:sz w:val="18"/>
              </w:rPr>
            </w:pPr>
            <w:r>
              <w:rPr>
                <w:spacing w:val="-10"/>
                <w:sz w:val="18"/>
              </w:rPr>
              <w:t>$</w:t>
            </w:r>
            <w:r>
              <w:rPr>
                <w:sz w:val="18"/>
              </w:rPr>
              <w:tab/>
            </w:r>
            <w:r>
              <w:rPr>
                <w:spacing w:val="-5"/>
                <w:sz w:val="18"/>
              </w:rPr>
              <w:t>270</w:t>
            </w:r>
          </w:p>
        </w:tc>
        <w:tc>
          <w:tcPr>
            <w:tcW w:w="758" w:type="dxa"/>
            <w:tcBorders>
              <w:top w:val="single" w:sz="4" w:space="0" w:color="000000"/>
            </w:tcBorders>
            <w:shd w:val="clear" w:color="auto" w:fill="CCEDFF"/>
          </w:tcPr>
          <w:p>
            <w:pPr>
              <w:pStyle w:val="TableParagraph"/>
              <w:spacing w:before="8"/>
              <w:ind w:left="102" w:right="15"/>
              <w:jc w:val="center"/>
              <w:rPr>
                <w:sz w:val="18"/>
              </w:rPr>
            </w:pPr>
            <w:r>
              <w:rPr>
                <w:spacing w:val="-2"/>
                <w:sz w:val="18"/>
              </w:rPr>
              <w:t>0.26%</w:t>
            </w:r>
          </w:p>
        </w:tc>
        <w:tc>
          <w:tcPr>
            <w:tcW w:w="980" w:type="dxa"/>
            <w:tcBorders>
              <w:top w:val="single" w:sz="4" w:space="0" w:color="000000"/>
            </w:tcBorders>
            <w:shd w:val="clear" w:color="auto" w:fill="CCEDFF"/>
          </w:tcPr>
          <w:p>
            <w:pPr>
              <w:pStyle w:val="TableParagraph"/>
              <w:spacing w:before="8"/>
              <w:ind w:right="60"/>
              <w:jc w:val="right"/>
              <w:rPr>
                <w:sz w:val="18"/>
              </w:rPr>
            </w:pPr>
            <w:r>
              <w:rPr>
                <w:sz w:val="18"/>
              </w:rPr>
              <w:t>$</w:t>
            </w:r>
            <w:r>
              <w:rPr>
                <w:spacing w:val="33"/>
                <w:sz w:val="18"/>
              </w:rPr>
              <w:t>  </w:t>
            </w:r>
            <w:r>
              <w:rPr>
                <w:spacing w:val="-2"/>
                <w:sz w:val="18"/>
              </w:rPr>
              <w:t>184,834</w:t>
            </w:r>
          </w:p>
        </w:tc>
        <w:tc>
          <w:tcPr>
            <w:tcW w:w="856" w:type="dxa"/>
            <w:tcBorders>
              <w:top w:val="single" w:sz="4" w:space="0" w:color="000000"/>
            </w:tcBorders>
            <w:shd w:val="clear" w:color="auto" w:fill="CCEDFF"/>
          </w:tcPr>
          <w:p>
            <w:pPr>
              <w:pStyle w:val="TableParagraph"/>
              <w:tabs>
                <w:tab w:pos="492" w:val="left" w:leader="none"/>
              </w:tabs>
              <w:spacing w:before="8"/>
              <w:ind w:left="64"/>
              <w:rPr>
                <w:sz w:val="18"/>
              </w:rPr>
            </w:pPr>
            <w:r>
              <w:rPr>
                <w:spacing w:val="-10"/>
                <w:sz w:val="18"/>
              </w:rPr>
              <w:t>$</w:t>
            </w:r>
            <w:r>
              <w:rPr>
                <w:sz w:val="18"/>
              </w:rPr>
              <w:tab/>
            </w:r>
            <w:r>
              <w:rPr>
                <w:spacing w:val="-5"/>
                <w:sz w:val="18"/>
              </w:rPr>
              <w:t>132</w:t>
            </w:r>
          </w:p>
        </w:tc>
        <w:tc>
          <w:tcPr>
            <w:tcW w:w="699" w:type="dxa"/>
            <w:tcBorders>
              <w:top w:val="single" w:sz="4" w:space="0" w:color="000000"/>
            </w:tcBorders>
            <w:shd w:val="clear" w:color="auto" w:fill="CCEDFF"/>
          </w:tcPr>
          <w:p>
            <w:pPr>
              <w:pStyle w:val="TableParagraph"/>
              <w:spacing w:before="8"/>
              <w:ind w:left="102" w:right="14"/>
              <w:jc w:val="center"/>
              <w:rPr>
                <w:sz w:val="18"/>
              </w:rPr>
            </w:pPr>
            <w:r>
              <w:rPr>
                <w:spacing w:val="-2"/>
                <w:sz w:val="18"/>
              </w:rPr>
              <w:t>0.28%</w:t>
            </w:r>
          </w:p>
        </w:tc>
      </w:tr>
      <w:tr>
        <w:trPr>
          <w:trHeight w:val="250" w:hRule="atLeast"/>
        </w:trPr>
        <w:tc>
          <w:tcPr>
            <w:tcW w:w="5190" w:type="dxa"/>
            <w:tcBorders>
              <w:bottom w:val="single" w:sz="4" w:space="0" w:color="000000"/>
            </w:tcBorders>
          </w:tcPr>
          <w:p>
            <w:pPr>
              <w:pStyle w:val="TableParagraph"/>
              <w:spacing w:before="13"/>
              <w:ind w:left="52"/>
              <w:rPr>
                <w:sz w:val="18"/>
              </w:rPr>
            </w:pPr>
            <w:r>
              <w:rPr>
                <w:sz w:val="18"/>
              </w:rPr>
              <w:t>Fee</w:t>
            </w:r>
            <w:r>
              <w:rPr>
                <w:spacing w:val="-1"/>
                <w:sz w:val="18"/>
              </w:rPr>
              <w:t> </w:t>
            </w:r>
            <w:r>
              <w:rPr>
                <w:spacing w:val="-2"/>
                <w:sz w:val="18"/>
              </w:rPr>
              <w:t>waivers</w:t>
            </w:r>
          </w:p>
        </w:tc>
        <w:tc>
          <w:tcPr>
            <w:tcW w:w="949" w:type="dxa"/>
            <w:tcBorders>
              <w:bottom w:val="single" w:sz="4" w:space="0" w:color="000000"/>
            </w:tcBorders>
          </w:tcPr>
          <w:p>
            <w:pPr>
              <w:pStyle w:val="TableParagraph"/>
              <w:rPr>
                <w:sz w:val="18"/>
              </w:rPr>
            </w:pPr>
          </w:p>
        </w:tc>
        <w:tc>
          <w:tcPr>
            <w:tcW w:w="826" w:type="dxa"/>
            <w:tcBorders>
              <w:bottom w:val="single" w:sz="4" w:space="0" w:color="000000"/>
            </w:tcBorders>
          </w:tcPr>
          <w:p>
            <w:pPr>
              <w:pStyle w:val="TableParagraph"/>
              <w:spacing w:before="13"/>
              <w:ind w:right="62"/>
              <w:jc w:val="right"/>
              <w:rPr>
                <w:sz w:val="18"/>
              </w:rPr>
            </w:pPr>
            <w:r>
              <w:rPr>
                <w:spacing w:val="-10"/>
                <w:sz w:val="18"/>
              </w:rPr>
              <w:t>—</w:t>
            </w:r>
          </w:p>
        </w:tc>
        <w:tc>
          <w:tcPr>
            <w:tcW w:w="758" w:type="dxa"/>
            <w:tcBorders>
              <w:bottom w:val="single" w:sz="4" w:space="0" w:color="000000"/>
            </w:tcBorders>
          </w:tcPr>
          <w:p>
            <w:pPr>
              <w:pStyle w:val="TableParagraph"/>
              <w:rPr>
                <w:sz w:val="18"/>
              </w:rPr>
            </w:pPr>
          </w:p>
        </w:tc>
        <w:tc>
          <w:tcPr>
            <w:tcW w:w="980" w:type="dxa"/>
            <w:tcBorders>
              <w:bottom w:val="single" w:sz="4" w:space="0" w:color="000000"/>
            </w:tcBorders>
          </w:tcPr>
          <w:p>
            <w:pPr>
              <w:pStyle w:val="TableParagraph"/>
              <w:rPr>
                <w:sz w:val="18"/>
              </w:rPr>
            </w:pPr>
          </w:p>
        </w:tc>
        <w:tc>
          <w:tcPr>
            <w:tcW w:w="856" w:type="dxa"/>
            <w:tcBorders>
              <w:bottom w:val="single" w:sz="4" w:space="0" w:color="000000"/>
            </w:tcBorders>
          </w:tcPr>
          <w:p>
            <w:pPr>
              <w:pStyle w:val="TableParagraph"/>
              <w:spacing w:before="13"/>
              <w:ind w:right="91"/>
              <w:jc w:val="right"/>
              <w:rPr>
                <w:sz w:val="18"/>
              </w:rPr>
            </w:pPr>
            <w:r>
              <w:rPr>
                <w:spacing w:val="-10"/>
                <w:sz w:val="18"/>
              </w:rPr>
              <w:t>—</w:t>
            </w:r>
          </w:p>
        </w:tc>
        <w:tc>
          <w:tcPr>
            <w:tcW w:w="699" w:type="dxa"/>
            <w:tcBorders>
              <w:bottom w:val="single" w:sz="4" w:space="0" w:color="000000"/>
            </w:tcBorders>
          </w:tcPr>
          <w:p>
            <w:pPr>
              <w:pStyle w:val="TableParagraph"/>
              <w:rPr>
                <w:sz w:val="18"/>
              </w:rPr>
            </w:pPr>
          </w:p>
        </w:tc>
      </w:tr>
      <w:tr>
        <w:trPr>
          <w:trHeight w:val="250" w:hRule="atLeast"/>
        </w:trPr>
        <w:tc>
          <w:tcPr>
            <w:tcW w:w="5190" w:type="dxa"/>
            <w:tcBorders>
              <w:top w:val="single" w:sz="4" w:space="0" w:color="000000"/>
            </w:tcBorders>
            <w:shd w:val="clear" w:color="auto" w:fill="CCEDFF"/>
          </w:tcPr>
          <w:p>
            <w:pPr>
              <w:pStyle w:val="TableParagraph"/>
              <w:spacing w:before="8"/>
              <w:ind w:left="52"/>
              <w:rPr>
                <w:sz w:val="18"/>
              </w:rPr>
            </w:pPr>
            <w:r>
              <w:rPr>
                <w:sz w:val="18"/>
              </w:rPr>
              <w:t>Schwab</w:t>
            </w:r>
            <w:r>
              <w:rPr>
                <w:spacing w:val="-1"/>
                <w:sz w:val="18"/>
              </w:rPr>
              <w:t> </w:t>
            </w:r>
            <w:r>
              <w:rPr>
                <w:sz w:val="18"/>
              </w:rPr>
              <w:t>money</w:t>
            </w:r>
            <w:r>
              <w:rPr>
                <w:spacing w:val="-1"/>
                <w:sz w:val="18"/>
              </w:rPr>
              <w:t> </w:t>
            </w:r>
            <w:r>
              <w:rPr>
                <w:sz w:val="18"/>
              </w:rPr>
              <w:t>market </w:t>
            </w:r>
            <w:r>
              <w:rPr>
                <w:spacing w:val="-2"/>
                <w:sz w:val="18"/>
              </w:rPr>
              <w:t>funds</w:t>
            </w:r>
          </w:p>
        </w:tc>
        <w:tc>
          <w:tcPr>
            <w:tcW w:w="949" w:type="dxa"/>
            <w:tcBorders>
              <w:top w:val="single" w:sz="4" w:space="0" w:color="000000"/>
            </w:tcBorders>
            <w:shd w:val="clear" w:color="auto" w:fill="CCEDFF"/>
          </w:tcPr>
          <w:p>
            <w:pPr>
              <w:pStyle w:val="TableParagraph"/>
              <w:spacing w:before="8"/>
              <w:ind w:right="61"/>
              <w:jc w:val="right"/>
              <w:rPr>
                <w:sz w:val="18"/>
              </w:rPr>
            </w:pPr>
            <w:r>
              <w:rPr>
                <w:spacing w:val="-2"/>
                <w:sz w:val="18"/>
              </w:rPr>
              <w:t>414,074</w:t>
            </w:r>
          </w:p>
        </w:tc>
        <w:tc>
          <w:tcPr>
            <w:tcW w:w="826" w:type="dxa"/>
            <w:tcBorders>
              <w:top w:val="single" w:sz="4" w:space="0" w:color="000000"/>
            </w:tcBorders>
            <w:shd w:val="clear" w:color="auto" w:fill="CCEDFF"/>
          </w:tcPr>
          <w:p>
            <w:pPr>
              <w:pStyle w:val="TableParagraph"/>
              <w:spacing w:before="8"/>
              <w:ind w:right="62"/>
              <w:jc w:val="right"/>
              <w:rPr>
                <w:sz w:val="18"/>
              </w:rPr>
            </w:pPr>
            <w:r>
              <w:rPr>
                <w:spacing w:val="-5"/>
                <w:sz w:val="18"/>
              </w:rPr>
              <w:t>270</w:t>
            </w:r>
          </w:p>
        </w:tc>
        <w:tc>
          <w:tcPr>
            <w:tcW w:w="758" w:type="dxa"/>
            <w:tcBorders>
              <w:top w:val="single" w:sz="4" w:space="0" w:color="000000"/>
            </w:tcBorders>
            <w:shd w:val="clear" w:color="auto" w:fill="CCEDFF"/>
          </w:tcPr>
          <w:p>
            <w:pPr>
              <w:pStyle w:val="TableParagraph"/>
              <w:spacing w:before="8"/>
              <w:ind w:left="102" w:right="15"/>
              <w:jc w:val="center"/>
              <w:rPr>
                <w:sz w:val="18"/>
              </w:rPr>
            </w:pPr>
            <w:r>
              <w:rPr>
                <w:spacing w:val="-2"/>
                <w:sz w:val="18"/>
              </w:rPr>
              <w:t>0.26%</w:t>
            </w:r>
          </w:p>
        </w:tc>
        <w:tc>
          <w:tcPr>
            <w:tcW w:w="980" w:type="dxa"/>
            <w:tcBorders>
              <w:top w:val="single" w:sz="4" w:space="0" w:color="000000"/>
            </w:tcBorders>
            <w:shd w:val="clear" w:color="auto" w:fill="CCEDFF"/>
          </w:tcPr>
          <w:p>
            <w:pPr>
              <w:pStyle w:val="TableParagraph"/>
              <w:spacing w:before="8"/>
              <w:ind w:right="60"/>
              <w:jc w:val="right"/>
              <w:rPr>
                <w:sz w:val="18"/>
              </w:rPr>
            </w:pPr>
            <w:r>
              <w:rPr>
                <w:spacing w:val="-2"/>
                <w:sz w:val="18"/>
              </w:rPr>
              <w:t>184,834</w:t>
            </w:r>
          </w:p>
        </w:tc>
        <w:tc>
          <w:tcPr>
            <w:tcW w:w="856" w:type="dxa"/>
            <w:tcBorders>
              <w:top w:val="single" w:sz="4" w:space="0" w:color="000000"/>
            </w:tcBorders>
            <w:shd w:val="clear" w:color="auto" w:fill="CCEDFF"/>
          </w:tcPr>
          <w:p>
            <w:pPr>
              <w:pStyle w:val="TableParagraph"/>
              <w:spacing w:before="8"/>
              <w:ind w:right="91"/>
              <w:jc w:val="right"/>
              <w:rPr>
                <w:sz w:val="18"/>
              </w:rPr>
            </w:pPr>
            <w:r>
              <w:rPr>
                <w:spacing w:val="-5"/>
                <w:sz w:val="18"/>
              </w:rPr>
              <w:t>132</w:t>
            </w:r>
          </w:p>
        </w:tc>
        <w:tc>
          <w:tcPr>
            <w:tcW w:w="699" w:type="dxa"/>
            <w:tcBorders>
              <w:top w:val="single" w:sz="4" w:space="0" w:color="000000"/>
            </w:tcBorders>
            <w:shd w:val="clear" w:color="auto" w:fill="CCEDFF"/>
          </w:tcPr>
          <w:p>
            <w:pPr>
              <w:pStyle w:val="TableParagraph"/>
              <w:spacing w:before="8"/>
              <w:ind w:left="102" w:right="14"/>
              <w:jc w:val="center"/>
              <w:rPr>
                <w:sz w:val="18"/>
              </w:rPr>
            </w:pPr>
            <w:r>
              <w:rPr>
                <w:spacing w:val="-2"/>
                <w:sz w:val="18"/>
              </w:rPr>
              <w:t>0.28%</w:t>
            </w:r>
          </w:p>
        </w:tc>
      </w:tr>
      <w:tr>
        <w:trPr>
          <w:trHeight w:val="255" w:hRule="atLeast"/>
        </w:trPr>
        <w:tc>
          <w:tcPr>
            <w:tcW w:w="5190" w:type="dxa"/>
          </w:tcPr>
          <w:p>
            <w:pPr>
              <w:pStyle w:val="TableParagraph"/>
              <w:spacing w:before="18"/>
              <w:ind w:left="52"/>
              <w:rPr>
                <w:sz w:val="18"/>
              </w:rPr>
            </w:pPr>
            <w:r>
              <w:rPr>
                <w:sz w:val="18"/>
              </w:rPr>
              <w:t>Schwab</w:t>
            </w:r>
            <w:r>
              <w:rPr>
                <w:spacing w:val="-1"/>
                <w:sz w:val="18"/>
              </w:rPr>
              <w:t> </w:t>
            </w:r>
            <w:r>
              <w:rPr>
                <w:sz w:val="18"/>
              </w:rPr>
              <w:t>equity</w:t>
            </w:r>
            <w:r>
              <w:rPr>
                <w:spacing w:val="-1"/>
                <w:sz w:val="18"/>
              </w:rPr>
              <w:t> </w:t>
            </w:r>
            <w:r>
              <w:rPr>
                <w:sz w:val="18"/>
              </w:rPr>
              <w:t>and</w:t>
            </w:r>
            <w:r>
              <w:rPr>
                <w:spacing w:val="-1"/>
                <w:sz w:val="18"/>
              </w:rPr>
              <w:t> </w:t>
            </w:r>
            <w:r>
              <w:rPr>
                <w:sz w:val="18"/>
              </w:rPr>
              <w:t>bond funds,</w:t>
            </w:r>
            <w:r>
              <w:rPr>
                <w:spacing w:val="-1"/>
                <w:sz w:val="18"/>
              </w:rPr>
              <w:t> </w:t>
            </w:r>
            <w:r>
              <w:rPr>
                <w:sz w:val="18"/>
              </w:rPr>
              <w:t>ETFs,</w:t>
            </w:r>
            <w:r>
              <w:rPr>
                <w:spacing w:val="-1"/>
                <w:sz w:val="18"/>
              </w:rPr>
              <w:t> </w:t>
            </w:r>
            <w:r>
              <w:rPr>
                <w:sz w:val="18"/>
              </w:rPr>
              <w:t>and </w:t>
            </w:r>
            <w:r>
              <w:rPr>
                <w:spacing w:val="-4"/>
                <w:sz w:val="18"/>
              </w:rPr>
              <w:t>CTFs</w:t>
            </w:r>
          </w:p>
        </w:tc>
        <w:tc>
          <w:tcPr>
            <w:tcW w:w="949" w:type="dxa"/>
          </w:tcPr>
          <w:p>
            <w:pPr>
              <w:pStyle w:val="TableParagraph"/>
              <w:spacing w:before="13"/>
              <w:ind w:right="61"/>
              <w:jc w:val="right"/>
              <w:rPr>
                <w:sz w:val="18"/>
              </w:rPr>
            </w:pPr>
            <w:r>
              <w:rPr>
                <w:spacing w:val="-2"/>
                <w:sz w:val="18"/>
              </w:rPr>
              <w:t>485,326</w:t>
            </w:r>
          </w:p>
        </w:tc>
        <w:tc>
          <w:tcPr>
            <w:tcW w:w="826" w:type="dxa"/>
          </w:tcPr>
          <w:p>
            <w:pPr>
              <w:pStyle w:val="TableParagraph"/>
              <w:spacing w:before="13"/>
              <w:ind w:right="62"/>
              <w:jc w:val="right"/>
              <w:rPr>
                <w:sz w:val="18"/>
              </w:rPr>
            </w:pPr>
            <w:r>
              <w:rPr>
                <w:spacing w:val="-5"/>
                <w:sz w:val="18"/>
              </w:rPr>
              <w:t>99</w:t>
            </w:r>
          </w:p>
        </w:tc>
        <w:tc>
          <w:tcPr>
            <w:tcW w:w="758" w:type="dxa"/>
          </w:tcPr>
          <w:p>
            <w:pPr>
              <w:pStyle w:val="TableParagraph"/>
              <w:spacing w:before="13"/>
              <w:ind w:left="102" w:right="15"/>
              <w:jc w:val="center"/>
              <w:rPr>
                <w:sz w:val="18"/>
              </w:rPr>
            </w:pPr>
            <w:r>
              <w:rPr>
                <w:spacing w:val="-2"/>
                <w:sz w:val="18"/>
              </w:rPr>
              <w:t>0.08%</w:t>
            </w:r>
          </w:p>
        </w:tc>
        <w:tc>
          <w:tcPr>
            <w:tcW w:w="980" w:type="dxa"/>
          </w:tcPr>
          <w:p>
            <w:pPr>
              <w:pStyle w:val="TableParagraph"/>
              <w:spacing w:before="13"/>
              <w:ind w:right="60"/>
              <w:jc w:val="right"/>
              <w:rPr>
                <w:sz w:val="18"/>
              </w:rPr>
            </w:pPr>
            <w:r>
              <w:rPr>
                <w:spacing w:val="-2"/>
                <w:sz w:val="18"/>
              </w:rPr>
              <w:t>422,711</w:t>
            </w:r>
          </w:p>
        </w:tc>
        <w:tc>
          <w:tcPr>
            <w:tcW w:w="856" w:type="dxa"/>
          </w:tcPr>
          <w:p>
            <w:pPr>
              <w:pStyle w:val="TableParagraph"/>
              <w:spacing w:before="13"/>
              <w:ind w:right="91"/>
              <w:jc w:val="right"/>
              <w:rPr>
                <w:sz w:val="18"/>
              </w:rPr>
            </w:pPr>
            <w:r>
              <w:rPr>
                <w:spacing w:val="-5"/>
                <w:sz w:val="18"/>
              </w:rPr>
              <w:t>89</w:t>
            </w:r>
          </w:p>
        </w:tc>
        <w:tc>
          <w:tcPr>
            <w:tcW w:w="699" w:type="dxa"/>
          </w:tcPr>
          <w:p>
            <w:pPr>
              <w:pStyle w:val="TableParagraph"/>
              <w:spacing w:before="13"/>
              <w:ind w:left="102" w:right="14"/>
              <w:jc w:val="center"/>
              <w:rPr>
                <w:sz w:val="18"/>
              </w:rPr>
            </w:pPr>
            <w:r>
              <w:rPr>
                <w:spacing w:val="-2"/>
                <w:sz w:val="18"/>
              </w:rPr>
              <w:t>0.08%</w:t>
            </w:r>
          </w:p>
        </w:tc>
      </w:tr>
      <w:tr>
        <w:trPr>
          <w:trHeight w:val="252" w:hRule="atLeast"/>
        </w:trPr>
        <w:tc>
          <w:tcPr>
            <w:tcW w:w="5190" w:type="dxa"/>
            <w:shd w:val="clear" w:color="auto" w:fill="CCEDFF"/>
          </w:tcPr>
          <w:p>
            <w:pPr>
              <w:pStyle w:val="TableParagraph"/>
              <w:spacing w:before="18"/>
              <w:ind w:left="52"/>
              <w:rPr>
                <w:sz w:val="18"/>
              </w:rPr>
            </w:pPr>
            <w:r>
              <w:rPr>
                <w:sz w:val="18"/>
              </w:rPr>
              <w:t>Mutual</w:t>
            </w:r>
            <w:r>
              <w:rPr>
                <w:spacing w:val="-1"/>
                <w:sz w:val="18"/>
              </w:rPr>
              <w:t> </w:t>
            </w:r>
            <w:r>
              <w:rPr>
                <w:sz w:val="18"/>
              </w:rPr>
              <w:t>Fund</w:t>
            </w:r>
            <w:r>
              <w:rPr>
                <w:spacing w:val="-1"/>
                <w:sz w:val="18"/>
              </w:rPr>
              <w:t> </w:t>
            </w:r>
            <w:r>
              <w:rPr>
                <w:sz w:val="18"/>
              </w:rPr>
              <w:t>OneSource</w:t>
            </w:r>
            <w:r>
              <w:rPr>
                <w:sz w:val="18"/>
                <w:vertAlign w:val="superscript"/>
              </w:rPr>
              <w:t>®</w:t>
            </w:r>
            <w:r>
              <w:rPr>
                <w:spacing w:val="-2"/>
                <w:sz w:val="18"/>
                <w:vertAlign w:val="baseline"/>
              </w:rPr>
              <w:t> </w:t>
            </w:r>
            <w:r>
              <w:rPr>
                <w:sz w:val="18"/>
                <w:vertAlign w:val="baseline"/>
              </w:rPr>
              <w:t>and</w:t>
            </w:r>
            <w:r>
              <w:rPr>
                <w:spacing w:val="-1"/>
                <w:sz w:val="18"/>
                <w:vertAlign w:val="baseline"/>
              </w:rPr>
              <w:t> </w:t>
            </w:r>
            <w:r>
              <w:rPr>
                <w:sz w:val="18"/>
                <w:vertAlign w:val="baseline"/>
              </w:rPr>
              <w:t>other no-transaction-fee</w:t>
            </w:r>
            <w:r>
              <w:rPr>
                <w:spacing w:val="-1"/>
                <w:sz w:val="18"/>
                <w:vertAlign w:val="baseline"/>
              </w:rPr>
              <w:t> </w:t>
            </w:r>
            <w:r>
              <w:rPr>
                <w:sz w:val="18"/>
                <w:vertAlign w:val="baseline"/>
              </w:rPr>
              <w:t>(NTF)</w:t>
            </w:r>
            <w:r>
              <w:rPr>
                <w:spacing w:val="-1"/>
                <w:sz w:val="18"/>
                <w:vertAlign w:val="baseline"/>
              </w:rPr>
              <w:t> </w:t>
            </w:r>
            <w:r>
              <w:rPr>
                <w:sz w:val="18"/>
                <w:vertAlign w:val="baseline"/>
              </w:rPr>
              <w:t>funds</w:t>
            </w:r>
            <w:r>
              <w:rPr>
                <w:spacing w:val="-4"/>
                <w:sz w:val="18"/>
                <w:vertAlign w:val="baseline"/>
              </w:rPr>
              <w:t> </w:t>
            </w:r>
            <w:r>
              <w:rPr>
                <w:spacing w:val="-5"/>
                <w:sz w:val="18"/>
                <w:vertAlign w:val="superscript"/>
              </w:rPr>
              <w:t>(1)</w:t>
            </w:r>
          </w:p>
        </w:tc>
        <w:tc>
          <w:tcPr>
            <w:tcW w:w="949" w:type="dxa"/>
            <w:shd w:val="clear" w:color="auto" w:fill="CCEDFF"/>
          </w:tcPr>
          <w:p>
            <w:pPr>
              <w:pStyle w:val="TableParagraph"/>
              <w:spacing w:before="13"/>
              <w:ind w:right="61"/>
              <w:jc w:val="right"/>
              <w:rPr>
                <w:sz w:val="18"/>
              </w:rPr>
            </w:pPr>
            <w:r>
              <w:rPr>
                <w:spacing w:val="-2"/>
                <w:sz w:val="18"/>
              </w:rPr>
              <w:t>255,039</w:t>
            </w:r>
          </w:p>
        </w:tc>
        <w:tc>
          <w:tcPr>
            <w:tcW w:w="826" w:type="dxa"/>
            <w:shd w:val="clear" w:color="auto" w:fill="CCEDFF"/>
          </w:tcPr>
          <w:p>
            <w:pPr>
              <w:pStyle w:val="TableParagraph"/>
              <w:spacing w:before="13"/>
              <w:ind w:right="62"/>
              <w:jc w:val="right"/>
              <w:rPr>
                <w:sz w:val="18"/>
              </w:rPr>
            </w:pPr>
            <w:r>
              <w:rPr>
                <w:spacing w:val="-5"/>
                <w:sz w:val="18"/>
              </w:rPr>
              <w:t>170</w:t>
            </w:r>
          </w:p>
        </w:tc>
        <w:tc>
          <w:tcPr>
            <w:tcW w:w="758" w:type="dxa"/>
            <w:shd w:val="clear" w:color="auto" w:fill="CCEDFF"/>
          </w:tcPr>
          <w:p>
            <w:pPr>
              <w:pStyle w:val="TableParagraph"/>
              <w:spacing w:before="13"/>
              <w:ind w:left="102" w:right="15"/>
              <w:jc w:val="center"/>
              <w:rPr>
                <w:sz w:val="18"/>
              </w:rPr>
            </w:pPr>
            <w:r>
              <w:rPr>
                <w:spacing w:val="-2"/>
                <w:sz w:val="18"/>
              </w:rPr>
              <w:t>0.26%</w:t>
            </w:r>
          </w:p>
        </w:tc>
        <w:tc>
          <w:tcPr>
            <w:tcW w:w="980" w:type="dxa"/>
            <w:shd w:val="clear" w:color="auto" w:fill="CCEDFF"/>
          </w:tcPr>
          <w:p>
            <w:pPr>
              <w:pStyle w:val="TableParagraph"/>
              <w:spacing w:before="13"/>
              <w:ind w:right="60"/>
              <w:jc w:val="right"/>
              <w:rPr>
                <w:sz w:val="18"/>
              </w:rPr>
            </w:pPr>
            <w:r>
              <w:rPr>
                <w:spacing w:val="-2"/>
                <w:sz w:val="18"/>
              </w:rPr>
              <w:t>183,019</w:t>
            </w:r>
          </w:p>
        </w:tc>
        <w:tc>
          <w:tcPr>
            <w:tcW w:w="856" w:type="dxa"/>
            <w:shd w:val="clear" w:color="auto" w:fill="CCEDFF"/>
          </w:tcPr>
          <w:p>
            <w:pPr>
              <w:pStyle w:val="TableParagraph"/>
              <w:spacing w:before="13"/>
              <w:ind w:right="91"/>
              <w:jc w:val="right"/>
              <w:rPr>
                <w:sz w:val="18"/>
              </w:rPr>
            </w:pPr>
            <w:r>
              <w:rPr>
                <w:spacing w:val="-5"/>
                <w:sz w:val="18"/>
              </w:rPr>
              <w:t>139</w:t>
            </w:r>
          </w:p>
        </w:tc>
        <w:tc>
          <w:tcPr>
            <w:tcW w:w="699" w:type="dxa"/>
            <w:shd w:val="clear" w:color="auto" w:fill="CCEDFF"/>
          </w:tcPr>
          <w:p>
            <w:pPr>
              <w:pStyle w:val="TableParagraph"/>
              <w:spacing w:before="13"/>
              <w:ind w:left="102" w:right="14"/>
              <w:jc w:val="center"/>
              <w:rPr>
                <w:sz w:val="18"/>
              </w:rPr>
            </w:pPr>
            <w:r>
              <w:rPr>
                <w:spacing w:val="-2"/>
                <w:sz w:val="18"/>
              </w:rPr>
              <w:t>0.30%</w:t>
            </w:r>
          </w:p>
        </w:tc>
      </w:tr>
      <w:tr>
        <w:trPr>
          <w:trHeight w:val="250" w:hRule="atLeast"/>
        </w:trPr>
        <w:tc>
          <w:tcPr>
            <w:tcW w:w="5190" w:type="dxa"/>
            <w:tcBorders>
              <w:bottom w:val="single" w:sz="4" w:space="0" w:color="000000"/>
            </w:tcBorders>
          </w:tcPr>
          <w:p>
            <w:pPr>
              <w:pStyle w:val="TableParagraph"/>
              <w:spacing w:before="13"/>
              <w:ind w:left="52"/>
              <w:rPr>
                <w:sz w:val="18"/>
              </w:rPr>
            </w:pPr>
            <w:r>
              <w:rPr>
                <w:sz w:val="18"/>
              </w:rPr>
              <w:t>Other</w:t>
            </w:r>
            <w:r>
              <w:rPr>
                <w:spacing w:val="-3"/>
                <w:sz w:val="18"/>
              </w:rPr>
              <w:t> </w:t>
            </w:r>
            <w:r>
              <w:rPr>
                <w:sz w:val="18"/>
              </w:rPr>
              <w:t>third-party mutual</w:t>
            </w:r>
            <w:r>
              <w:rPr>
                <w:spacing w:val="-1"/>
                <w:sz w:val="18"/>
              </w:rPr>
              <w:t> </w:t>
            </w:r>
            <w:r>
              <w:rPr>
                <w:sz w:val="18"/>
              </w:rPr>
              <w:t>funds</w:t>
            </w:r>
            <w:r>
              <w:rPr>
                <w:spacing w:val="-1"/>
                <w:sz w:val="18"/>
              </w:rPr>
              <w:t> </w:t>
            </w:r>
            <w:r>
              <w:rPr>
                <w:sz w:val="18"/>
              </w:rPr>
              <w:t>and ETFs</w:t>
            </w:r>
            <w:r>
              <w:rPr>
                <w:spacing w:val="-3"/>
                <w:sz w:val="18"/>
              </w:rPr>
              <w:t> </w:t>
            </w:r>
            <w:r>
              <w:rPr>
                <w:spacing w:val="-5"/>
                <w:sz w:val="18"/>
                <w:vertAlign w:val="superscript"/>
              </w:rPr>
              <w:t>(1)</w:t>
            </w:r>
          </w:p>
        </w:tc>
        <w:tc>
          <w:tcPr>
            <w:tcW w:w="949" w:type="dxa"/>
            <w:tcBorders>
              <w:bottom w:val="single" w:sz="4" w:space="0" w:color="000000"/>
            </w:tcBorders>
          </w:tcPr>
          <w:p>
            <w:pPr>
              <w:pStyle w:val="TableParagraph"/>
              <w:spacing w:before="13"/>
              <w:ind w:right="61"/>
              <w:jc w:val="right"/>
              <w:rPr>
                <w:sz w:val="18"/>
              </w:rPr>
            </w:pPr>
            <w:r>
              <w:rPr>
                <w:spacing w:val="-2"/>
                <w:sz w:val="18"/>
              </w:rPr>
              <w:t>632,902</w:t>
            </w:r>
          </w:p>
        </w:tc>
        <w:tc>
          <w:tcPr>
            <w:tcW w:w="826" w:type="dxa"/>
            <w:tcBorders>
              <w:bottom w:val="single" w:sz="4" w:space="0" w:color="000000"/>
            </w:tcBorders>
          </w:tcPr>
          <w:p>
            <w:pPr>
              <w:pStyle w:val="TableParagraph"/>
              <w:spacing w:before="13"/>
              <w:ind w:right="62"/>
              <w:jc w:val="right"/>
              <w:rPr>
                <w:sz w:val="18"/>
              </w:rPr>
            </w:pPr>
            <w:r>
              <w:rPr>
                <w:spacing w:val="-5"/>
                <w:sz w:val="18"/>
              </w:rPr>
              <w:t>127</w:t>
            </w:r>
          </w:p>
        </w:tc>
        <w:tc>
          <w:tcPr>
            <w:tcW w:w="758" w:type="dxa"/>
            <w:tcBorders>
              <w:bottom w:val="single" w:sz="4" w:space="0" w:color="000000"/>
            </w:tcBorders>
          </w:tcPr>
          <w:p>
            <w:pPr>
              <w:pStyle w:val="TableParagraph"/>
              <w:spacing w:before="13"/>
              <w:ind w:left="102" w:right="15"/>
              <w:jc w:val="center"/>
              <w:rPr>
                <w:sz w:val="18"/>
              </w:rPr>
            </w:pPr>
            <w:r>
              <w:rPr>
                <w:spacing w:val="-2"/>
                <w:sz w:val="18"/>
              </w:rPr>
              <w:t>0.08%</w:t>
            </w:r>
          </w:p>
        </w:tc>
        <w:tc>
          <w:tcPr>
            <w:tcW w:w="980" w:type="dxa"/>
            <w:tcBorders>
              <w:bottom w:val="single" w:sz="4" w:space="0" w:color="000000"/>
            </w:tcBorders>
          </w:tcPr>
          <w:p>
            <w:pPr>
              <w:pStyle w:val="TableParagraph"/>
              <w:spacing w:before="13"/>
              <w:ind w:right="60"/>
              <w:jc w:val="right"/>
              <w:rPr>
                <w:sz w:val="18"/>
              </w:rPr>
            </w:pPr>
            <w:r>
              <w:rPr>
                <w:spacing w:val="-2"/>
                <w:sz w:val="18"/>
              </w:rPr>
              <w:t>747,676</w:t>
            </w:r>
          </w:p>
        </w:tc>
        <w:tc>
          <w:tcPr>
            <w:tcW w:w="856" w:type="dxa"/>
            <w:tcBorders>
              <w:bottom w:val="single" w:sz="4" w:space="0" w:color="000000"/>
            </w:tcBorders>
          </w:tcPr>
          <w:p>
            <w:pPr>
              <w:pStyle w:val="TableParagraph"/>
              <w:spacing w:before="13"/>
              <w:ind w:right="91"/>
              <w:jc w:val="right"/>
              <w:rPr>
                <w:sz w:val="18"/>
              </w:rPr>
            </w:pPr>
            <w:r>
              <w:rPr>
                <w:spacing w:val="-5"/>
                <w:sz w:val="18"/>
              </w:rPr>
              <w:t>160</w:t>
            </w:r>
          </w:p>
        </w:tc>
        <w:tc>
          <w:tcPr>
            <w:tcW w:w="699" w:type="dxa"/>
            <w:tcBorders>
              <w:bottom w:val="single" w:sz="4" w:space="0" w:color="000000"/>
            </w:tcBorders>
          </w:tcPr>
          <w:p>
            <w:pPr>
              <w:pStyle w:val="TableParagraph"/>
              <w:spacing w:before="13"/>
              <w:ind w:left="102" w:right="14"/>
              <w:jc w:val="center"/>
              <w:rPr>
                <w:sz w:val="18"/>
              </w:rPr>
            </w:pPr>
            <w:r>
              <w:rPr>
                <w:spacing w:val="-2"/>
                <w:sz w:val="18"/>
              </w:rPr>
              <w:t>0.08%</w:t>
            </w:r>
          </w:p>
        </w:tc>
      </w:tr>
      <w:tr>
        <w:trPr>
          <w:trHeight w:val="247" w:hRule="atLeast"/>
        </w:trPr>
        <w:tc>
          <w:tcPr>
            <w:tcW w:w="5190" w:type="dxa"/>
            <w:tcBorders>
              <w:top w:val="single" w:sz="4" w:space="0" w:color="000000"/>
              <w:bottom w:val="single" w:sz="4" w:space="0" w:color="000000"/>
            </w:tcBorders>
            <w:shd w:val="clear" w:color="auto" w:fill="CCEDFF"/>
          </w:tcPr>
          <w:p>
            <w:pPr>
              <w:pStyle w:val="TableParagraph"/>
              <w:spacing w:before="8"/>
              <w:ind w:left="277"/>
              <w:rPr>
                <w:sz w:val="18"/>
              </w:rPr>
            </w:pPr>
            <w:r>
              <w:rPr>
                <w:sz w:val="18"/>
              </w:rPr>
              <w:t>Total</w:t>
            </w:r>
            <w:r>
              <w:rPr>
                <w:spacing w:val="-1"/>
                <w:sz w:val="18"/>
              </w:rPr>
              <w:t> </w:t>
            </w:r>
            <w:r>
              <w:rPr>
                <w:sz w:val="18"/>
              </w:rPr>
              <w:t>mutual</w:t>
            </w:r>
            <w:r>
              <w:rPr>
                <w:spacing w:val="-1"/>
                <w:sz w:val="18"/>
              </w:rPr>
              <w:t> </w:t>
            </w:r>
            <w:r>
              <w:rPr>
                <w:sz w:val="18"/>
              </w:rPr>
              <w:t>funds,</w:t>
            </w:r>
            <w:r>
              <w:rPr>
                <w:spacing w:val="-1"/>
                <w:sz w:val="18"/>
              </w:rPr>
              <w:t> </w:t>
            </w:r>
            <w:r>
              <w:rPr>
                <w:sz w:val="18"/>
              </w:rPr>
              <w:t>ETFs, and</w:t>
            </w:r>
            <w:r>
              <w:rPr>
                <w:spacing w:val="-1"/>
                <w:sz w:val="18"/>
              </w:rPr>
              <w:t> </w:t>
            </w:r>
            <w:r>
              <w:rPr>
                <w:sz w:val="18"/>
              </w:rPr>
              <w:t>CTFs</w:t>
            </w:r>
            <w:r>
              <w:rPr>
                <w:spacing w:val="-2"/>
                <w:sz w:val="18"/>
              </w:rPr>
              <w:t> </w:t>
            </w:r>
            <w:r>
              <w:rPr>
                <w:spacing w:val="-5"/>
                <w:sz w:val="18"/>
                <w:vertAlign w:val="superscript"/>
              </w:rPr>
              <w:t>(2)</w:t>
            </w:r>
          </w:p>
        </w:tc>
        <w:tc>
          <w:tcPr>
            <w:tcW w:w="949" w:type="dxa"/>
            <w:tcBorders>
              <w:top w:val="single" w:sz="4" w:space="0" w:color="000000"/>
              <w:bottom w:val="single" w:sz="4" w:space="0" w:color="000000"/>
            </w:tcBorders>
            <w:shd w:val="clear" w:color="auto" w:fill="CCEDFF"/>
          </w:tcPr>
          <w:p>
            <w:pPr>
              <w:pStyle w:val="TableParagraph"/>
              <w:spacing w:before="8"/>
              <w:ind w:right="61"/>
              <w:jc w:val="right"/>
              <w:rPr>
                <w:sz w:val="18"/>
              </w:rPr>
            </w:pPr>
            <w:r>
              <w:rPr>
                <w:sz w:val="18"/>
              </w:rPr>
              <w:t>$</w:t>
            </w:r>
            <w:r>
              <w:rPr>
                <w:spacing w:val="-23"/>
                <w:sz w:val="18"/>
              </w:rPr>
              <w:t> </w:t>
            </w:r>
            <w:r>
              <w:rPr>
                <w:spacing w:val="-2"/>
                <w:sz w:val="18"/>
              </w:rPr>
              <w:t>1,787,341</w:t>
            </w:r>
          </w:p>
        </w:tc>
        <w:tc>
          <w:tcPr>
            <w:tcW w:w="826" w:type="dxa"/>
            <w:tcBorders>
              <w:top w:val="single" w:sz="4" w:space="0" w:color="000000"/>
              <w:bottom w:val="single" w:sz="4" w:space="0" w:color="000000"/>
            </w:tcBorders>
            <w:shd w:val="clear" w:color="auto" w:fill="CCEDFF"/>
          </w:tcPr>
          <w:p>
            <w:pPr>
              <w:pStyle w:val="TableParagraph"/>
              <w:spacing w:before="8"/>
              <w:ind w:right="62"/>
              <w:jc w:val="right"/>
              <w:rPr>
                <w:sz w:val="18"/>
              </w:rPr>
            </w:pPr>
            <w:r>
              <w:rPr>
                <w:spacing w:val="-5"/>
                <w:sz w:val="18"/>
              </w:rPr>
              <w:t>666</w:t>
            </w:r>
          </w:p>
        </w:tc>
        <w:tc>
          <w:tcPr>
            <w:tcW w:w="758" w:type="dxa"/>
            <w:tcBorders>
              <w:top w:val="single" w:sz="4" w:space="0" w:color="000000"/>
              <w:bottom w:val="single" w:sz="4" w:space="0" w:color="000000"/>
            </w:tcBorders>
            <w:shd w:val="clear" w:color="auto" w:fill="CCEDFF"/>
          </w:tcPr>
          <w:p>
            <w:pPr>
              <w:pStyle w:val="TableParagraph"/>
              <w:spacing w:before="8"/>
              <w:ind w:left="102" w:right="15"/>
              <w:jc w:val="center"/>
              <w:rPr>
                <w:sz w:val="18"/>
              </w:rPr>
            </w:pPr>
            <w:r>
              <w:rPr>
                <w:spacing w:val="-2"/>
                <w:sz w:val="18"/>
              </w:rPr>
              <w:t>0.15%</w:t>
            </w:r>
          </w:p>
        </w:tc>
        <w:tc>
          <w:tcPr>
            <w:tcW w:w="980" w:type="dxa"/>
            <w:tcBorders>
              <w:top w:val="single" w:sz="4" w:space="0" w:color="000000"/>
              <w:bottom w:val="single" w:sz="4" w:space="0" w:color="000000"/>
            </w:tcBorders>
            <w:shd w:val="clear" w:color="auto" w:fill="CCEDFF"/>
          </w:tcPr>
          <w:p>
            <w:pPr>
              <w:pStyle w:val="TableParagraph"/>
              <w:spacing w:before="8"/>
              <w:ind w:right="60"/>
              <w:jc w:val="right"/>
              <w:rPr>
                <w:sz w:val="18"/>
              </w:rPr>
            </w:pPr>
            <w:r>
              <w:rPr>
                <w:sz w:val="18"/>
              </w:rPr>
              <w:t>$</w:t>
            </w:r>
            <w:r>
              <w:rPr>
                <w:spacing w:val="-23"/>
                <w:sz w:val="18"/>
              </w:rPr>
              <w:t> </w:t>
            </w:r>
            <w:r>
              <w:rPr>
                <w:spacing w:val="-2"/>
                <w:sz w:val="18"/>
              </w:rPr>
              <w:t>1,538,240</w:t>
            </w:r>
          </w:p>
        </w:tc>
        <w:tc>
          <w:tcPr>
            <w:tcW w:w="856" w:type="dxa"/>
            <w:tcBorders>
              <w:top w:val="single" w:sz="4" w:space="0" w:color="000000"/>
              <w:bottom w:val="single" w:sz="4" w:space="0" w:color="000000"/>
            </w:tcBorders>
            <w:shd w:val="clear" w:color="auto" w:fill="CCEDFF"/>
          </w:tcPr>
          <w:p>
            <w:pPr>
              <w:pStyle w:val="TableParagraph"/>
              <w:spacing w:before="8"/>
              <w:ind w:right="91"/>
              <w:jc w:val="right"/>
              <w:rPr>
                <w:sz w:val="18"/>
              </w:rPr>
            </w:pPr>
            <w:r>
              <w:rPr>
                <w:spacing w:val="-5"/>
                <w:sz w:val="18"/>
              </w:rPr>
              <w:t>520</w:t>
            </w:r>
          </w:p>
        </w:tc>
        <w:tc>
          <w:tcPr>
            <w:tcW w:w="699" w:type="dxa"/>
            <w:tcBorders>
              <w:top w:val="single" w:sz="4" w:space="0" w:color="000000"/>
              <w:bottom w:val="single" w:sz="4" w:space="0" w:color="000000"/>
            </w:tcBorders>
            <w:shd w:val="clear" w:color="auto" w:fill="CCEDFF"/>
          </w:tcPr>
          <w:p>
            <w:pPr>
              <w:pStyle w:val="TableParagraph"/>
              <w:spacing w:before="8"/>
              <w:ind w:left="102" w:right="14"/>
              <w:jc w:val="center"/>
              <w:rPr>
                <w:sz w:val="18"/>
              </w:rPr>
            </w:pPr>
            <w:r>
              <w:rPr>
                <w:spacing w:val="-2"/>
                <w:sz w:val="18"/>
              </w:rPr>
              <w:t>0.13%</w:t>
            </w:r>
          </w:p>
        </w:tc>
      </w:tr>
      <w:tr>
        <w:trPr>
          <w:trHeight w:val="250" w:hRule="atLeast"/>
        </w:trPr>
        <w:tc>
          <w:tcPr>
            <w:tcW w:w="5190" w:type="dxa"/>
          </w:tcPr>
          <w:p>
            <w:pPr>
              <w:pStyle w:val="TableParagraph"/>
              <w:spacing w:before="8"/>
              <w:ind w:left="52"/>
              <w:rPr>
                <w:sz w:val="18"/>
              </w:rPr>
            </w:pPr>
            <w:r>
              <w:rPr>
                <w:sz w:val="18"/>
              </w:rPr>
              <w:t>Advice</w:t>
            </w:r>
            <w:r>
              <w:rPr>
                <w:spacing w:val="-2"/>
                <w:sz w:val="18"/>
              </w:rPr>
              <w:t> </w:t>
            </w:r>
            <w:r>
              <w:rPr>
                <w:sz w:val="18"/>
              </w:rPr>
              <w:t>solutions</w:t>
            </w:r>
            <w:r>
              <w:rPr>
                <w:spacing w:val="-1"/>
                <w:sz w:val="18"/>
              </w:rPr>
              <w:t> </w:t>
            </w:r>
            <w:r>
              <w:rPr>
                <w:spacing w:val="-5"/>
                <w:sz w:val="18"/>
                <w:vertAlign w:val="superscript"/>
              </w:rPr>
              <w:t>(2)</w:t>
            </w:r>
          </w:p>
        </w:tc>
        <w:tc>
          <w:tcPr>
            <w:tcW w:w="949" w:type="dxa"/>
          </w:tcPr>
          <w:p>
            <w:pPr>
              <w:pStyle w:val="TableParagraph"/>
              <w:rPr>
                <w:sz w:val="18"/>
              </w:rPr>
            </w:pPr>
          </w:p>
        </w:tc>
        <w:tc>
          <w:tcPr>
            <w:tcW w:w="826" w:type="dxa"/>
          </w:tcPr>
          <w:p>
            <w:pPr>
              <w:pStyle w:val="TableParagraph"/>
              <w:rPr>
                <w:sz w:val="18"/>
              </w:rPr>
            </w:pPr>
          </w:p>
        </w:tc>
        <w:tc>
          <w:tcPr>
            <w:tcW w:w="758" w:type="dxa"/>
          </w:tcPr>
          <w:p>
            <w:pPr>
              <w:pStyle w:val="TableParagraph"/>
              <w:rPr>
                <w:sz w:val="18"/>
              </w:rPr>
            </w:pPr>
          </w:p>
        </w:tc>
        <w:tc>
          <w:tcPr>
            <w:tcW w:w="980" w:type="dxa"/>
          </w:tcPr>
          <w:p>
            <w:pPr>
              <w:pStyle w:val="TableParagraph"/>
              <w:rPr>
                <w:sz w:val="18"/>
              </w:rPr>
            </w:pPr>
          </w:p>
        </w:tc>
        <w:tc>
          <w:tcPr>
            <w:tcW w:w="856" w:type="dxa"/>
          </w:tcPr>
          <w:p>
            <w:pPr>
              <w:pStyle w:val="TableParagraph"/>
              <w:rPr>
                <w:sz w:val="18"/>
              </w:rPr>
            </w:pPr>
          </w:p>
        </w:tc>
        <w:tc>
          <w:tcPr>
            <w:tcW w:w="699" w:type="dxa"/>
          </w:tcPr>
          <w:p>
            <w:pPr>
              <w:pStyle w:val="TableParagraph"/>
              <w:rPr>
                <w:sz w:val="18"/>
              </w:rPr>
            </w:pPr>
          </w:p>
        </w:tc>
      </w:tr>
      <w:tr>
        <w:trPr>
          <w:trHeight w:val="255" w:hRule="atLeast"/>
        </w:trPr>
        <w:tc>
          <w:tcPr>
            <w:tcW w:w="5190" w:type="dxa"/>
            <w:shd w:val="clear" w:color="auto" w:fill="CCEDFF"/>
          </w:tcPr>
          <w:p>
            <w:pPr>
              <w:pStyle w:val="TableParagraph"/>
              <w:spacing w:before="13"/>
              <w:ind w:left="187"/>
              <w:rPr>
                <w:sz w:val="18"/>
              </w:rPr>
            </w:pPr>
            <w:r>
              <w:rPr>
                <w:spacing w:val="-2"/>
                <w:sz w:val="18"/>
              </w:rPr>
              <w:t>Fee-based</w:t>
            </w:r>
          </w:p>
        </w:tc>
        <w:tc>
          <w:tcPr>
            <w:tcW w:w="949" w:type="dxa"/>
            <w:shd w:val="clear" w:color="auto" w:fill="CCEDFF"/>
          </w:tcPr>
          <w:p>
            <w:pPr>
              <w:pStyle w:val="TableParagraph"/>
              <w:spacing w:before="13"/>
              <w:ind w:right="61"/>
              <w:jc w:val="right"/>
              <w:rPr>
                <w:sz w:val="18"/>
              </w:rPr>
            </w:pPr>
            <w:r>
              <w:rPr>
                <w:sz w:val="18"/>
              </w:rPr>
              <w:t>$</w:t>
            </w:r>
            <w:r>
              <w:rPr>
                <w:spacing w:val="33"/>
                <w:sz w:val="18"/>
              </w:rPr>
              <w:t>  </w:t>
            </w:r>
            <w:r>
              <w:rPr>
                <w:spacing w:val="-2"/>
                <w:sz w:val="18"/>
              </w:rPr>
              <w:t>468,305</w:t>
            </w:r>
          </w:p>
        </w:tc>
        <w:tc>
          <w:tcPr>
            <w:tcW w:w="826" w:type="dxa"/>
            <w:shd w:val="clear" w:color="auto" w:fill="CCEDFF"/>
          </w:tcPr>
          <w:p>
            <w:pPr>
              <w:pStyle w:val="TableParagraph"/>
              <w:spacing w:before="13"/>
              <w:ind w:right="62"/>
              <w:jc w:val="right"/>
              <w:rPr>
                <w:sz w:val="18"/>
              </w:rPr>
            </w:pPr>
            <w:r>
              <w:rPr>
                <w:spacing w:val="-5"/>
                <w:sz w:val="18"/>
              </w:rPr>
              <w:t>476</w:t>
            </w:r>
          </w:p>
        </w:tc>
        <w:tc>
          <w:tcPr>
            <w:tcW w:w="758" w:type="dxa"/>
            <w:shd w:val="clear" w:color="auto" w:fill="CCEDFF"/>
          </w:tcPr>
          <w:p>
            <w:pPr>
              <w:pStyle w:val="TableParagraph"/>
              <w:spacing w:before="13"/>
              <w:ind w:left="102" w:right="15"/>
              <w:jc w:val="center"/>
              <w:rPr>
                <w:sz w:val="18"/>
              </w:rPr>
            </w:pPr>
            <w:r>
              <w:rPr>
                <w:spacing w:val="-2"/>
                <w:sz w:val="18"/>
              </w:rPr>
              <w:t>0.40%</w:t>
            </w:r>
          </w:p>
        </w:tc>
        <w:tc>
          <w:tcPr>
            <w:tcW w:w="980" w:type="dxa"/>
            <w:shd w:val="clear" w:color="auto" w:fill="CCEDFF"/>
          </w:tcPr>
          <w:p>
            <w:pPr>
              <w:pStyle w:val="TableParagraph"/>
              <w:spacing w:before="13"/>
              <w:ind w:right="60"/>
              <w:jc w:val="right"/>
              <w:rPr>
                <w:sz w:val="18"/>
              </w:rPr>
            </w:pPr>
            <w:r>
              <w:rPr>
                <w:sz w:val="18"/>
              </w:rPr>
              <w:t>$</w:t>
            </w:r>
            <w:r>
              <w:rPr>
                <w:spacing w:val="33"/>
                <w:sz w:val="18"/>
              </w:rPr>
              <w:t>  </w:t>
            </w:r>
            <w:r>
              <w:rPr>
                <w:spacing w:val="-2"/>
                <w:sz w:val="18"/>
              </w:rPr>
              <w:t>431,276</w:t>
            </w:r>
          </w:p>
        </w:tc>
        <w:tc>
          <w:tcPr>
            <w:tcW w:w="856" w:type="dxa"/>
            <w:shd w:val="clear" w:color="auto" w:fill="CCEDFF"/>
          </w:tcPr>
          <w:p>
            <w:pPr>
              <w:pStyle w:val="TableParagraph"/>
              <w:spacing w:before="13"/>
              <w:ind w:right="91"/>
              <w:jc w:val="right"/>
              <w:rPr>
                <w:sz w:val="18"/>
              </w:rPr>
            </w:pPr>
            <w:r>
              <w:rPr>
                <w:spacing w:val="-5"/>
                <w:sz w:val="18"/>
              </w:rPr>
              <w:t>452</w:t>
            </w:r>
          </w:p>
        </w:tc>
        <w:tc>
          <w:tcPr>
            <w:tcW w:w="699" w:type="dxa"/>
            <w:shd w:val="clear" w:color="auto" w:fill="CCEDFF"/>
          </w:tcPr>
          <w:p>
            <w:pPr>
              <w:pStyle w:val="TableParagraph"/>
              <w:spacing w:before="13"/>
              <w:ind w:left="102" w:right="14"/>
              <w:jc w:val="center"/>
              <w:rPr>
                <w:sz w:val="18"/>
              </w:rPr>
            </w:pPr>
            <w:r>
              <w:rPr>
                <w:spacing w:val="-2"/>
                <w:sz w:val="18"/>
              </w:rPr>
              <w:t>0.42%</w:t>
            </w:r>
          </w:p>
        </w:tc>
      </w:tr>
      <w:tr>
        <w:trPr>
          <w:trHeight w:val="250" w:hRule="atLeast"/>
        </w:trPr>
        <w:tc>
          <w:tcPr>
            <w:tcW w:w="5190" w:type="dxa"/>
            <w:tcBorders>
              <w:bottom w:val="single" w:sz="4" w:space="0" w:color="000000"/>
            </w:tcBorders>
          </w:tcPr>
          <w:p>
            <w:pPr>
              <w:pStyle w:val="TableParagraph"/>
              <w:spacing w:before="13"/>
              <w:ind w:left="187"/>
              <w:rPr>
                <w:sz w:val="18"/>
              </w:rPr>
            </w:pPr>
            <w:r>
              <w:rPr>
                <w:spacing w:val="-2"/>
                <w:sz w:val="18"/>
              </w:rPr>
              <w:t>Non-fee-based</w:t>
            </w:r>
          </w:p>
        </w:tc>
        <w:tc>
          <w:tcPr>
            <w:tcW w:w="949" w:type="dxa"/>
            <w:tcBorders>
              <w:bottom w:val="single" w:sz="4" w:space="0" w:color="000000"/>
            </w:tcBorders>
          </w:tcPr>
          <w:p>
            <w:pPr>
              <w:pStyle w:val="TableParagraph"/>
              <w:spacing w:before="13"/>
              <w:ind w:right="61"/>
              <w:jc w:val="right"/>
              <w:rPr>
                <w:sz w:val="18"/>
              </w:rPr>
            </w:pPr>
            <w:r>
              <w:rPr>
                <w:spacing w:val="-2"/>
                <w:sz w:val="18"/>
              </w:rPr>
              <w:t>97,957</w:t>
            </w:r>
          </w:p>
        </w:tc>
        <w:tc>
          <w:tcPr>
            <w:tcW w:w="826" w:type="dxa"/>
            <w:tcBorders>
              <w:bottom w:val="single" w:sz="4" w:space="0" w:color="000000"/>
            </w:tcBorders>
          </w:tcPr>
          <w:p>
            <w:pPr>
              <w:pStyle w:val="TableParagraph"/>
              <w:spacing w:before="13"/>
              <w:ind w:right="62"/>
              <w:jc w:val="right"/>
              <w:rPr>
                <w:sz w:val="18"/>
              </w:rPr>
            </w:pPr>
            <w:r>
              <w:rPr>
                <w:spacing w:val="-10"/>
                <w:sz w:val="18"/>
              </w:rPr>
              <w:t>—</w:t>
            </w:r>
          </w:p>
        </w:tc>
        <w:tc>
          <w:tcPr>
            <w:tcW w:w="758" w:type="dxa"/>
            <w:tcBorders>
              <w:bottom w:val="single" w:sz="4" w:space="0" w:color="000000"/>
            </w:tcBorders>
          </w:tcPr>
          <w:p>
            <w:pPr>
              <w:pStyle w:val="TableParagraph"/>
              <w:spacing w:before="13"/>
              <w:ind w:left="87" w:right="15"/>
              <w:jc w:val="center"/>
              <w:rPr>
                <w:sz w:val="18"/>
              </w:rPr>
            </w:pPr>
            <w:r>
              <w:rPr>
                <w:spacing w:val="-10"/>
                <w:sz w:val="18"/>
              </w:rPr>
              <w:t>—</w:t>
            </w:r>
          </w:p>
        </w:tc>
        <w:tc>
          <w:tcPr>
            <w:tcW w:w="980" w:type="dxa"/>
            <w:tcBorders>
              <w:bottom w:val="single" w:sz="4" w:space="0" w:color="000000"/>
            </w:tcBorders>
          </w:tcPr>
          <w:p>
            <w:pPr>
              <w:pStyle w:val="TableParagraph"/>
              <w:spacing w:before="13"/>
              <w:ind w:right="60"/>
              <w:jc w:val="right"/>
              <w:rPr>
                <w:sz w:val="18"/>
              </w:rPr>
            </w:pPr>
            <w:r>
              <w:rPr>
                <w:spacing w:val="-2"/>
                <w:sz w:val="18"/>
              </w:rPr>
              <w:t>85,567</w:t>
            </w:r>
          </w:p>
        </w:tc>
        <w:tc>
          <w:tcPr>
            <w:tcW w:w="856" w:type="dxa"/>
            <w:tcBorders>
              <w:bottom w:val="single" w:sz="4" w:space="0" w:color="000000"/>
            </w:tcBorders>
          </w:tcPr>
          <w:p>
            <w:pPr>
              <w:pStyle w:val="TableParagraph"/>
              <w:spacing w:before="13"/>
              <w:ind w:right="91"/>
              <w:jc w:val="right"/>
              <w:rPr>
                <w:sz w:val="18"/>
              </w:rPr>
            </w:pPr>
            <w:r>
              <w:rPr>
                <w:spacing w:val="-10"/>
                <w:sz w:val="18"/>
              </w:rPr>
              <w:t>—</w:t>
            </w:r>
          </w:p>
        </w:tc>
        <w:tc>
          <w:tcPr>
            <w:tcW w:w="699" w:type="dxa"/>
            <w:tcBorders>
              <w:bottom w:val="single" w:sz="4" w:space="0" w:color="000000"/>
            </w:tcBorders>
          </w:tcPr>
          <w:p>
            <w:pPr>
              <w:pStyle w:val="TableParagraph"/>
              <w:spacing w:before="13"/>
              <w:ind w:left="88" w:right="15"/>
              <w:jc w:val="center"/>
              <w:rPr>
                <w:sz w:val="18"/>
              </w:rPr>
            </w:pPr>
            <w:r>
              <w:rPr>
                <w:spacing w:val="-10"/>
                <w:sz w:val="18"/>
              </w:rPr>
              <w:t>—</w:t>
            </w:r>
          </w:p>
        </w:tc>
      </w:tr>
      <w:tr>
        <w:trPr>
          <w:trHeight w:val="242" w:hRule="atLeast"/>
        </w:trPr>
        <w:tc>
          <w:tcPr>
            <w:tcW w:w="5190" w:type="dxa"/>
            <w:tcBorders>
              <w:top w:val="single" w:sz="4" w:space="0" w:color="000000"/>
              <w:bottom w:val="single" w:sz="4" w:space="0" w:color="000000"/>
            </w:tcBorders>
            <w:shd w:val="clear" w:color="auto" w:fill="CCEDFF"/>
          </w:tcPr>
          <w:p>
            <w:pPr>
              <w:pStyle w:val="TableParagraph"/>
              <w:spacing w:before="8"/>
              <w:ind w:left="277"/>
              <w:rPr>
                <w:sz w:val="18"/>
              </w:rPr>
            </w:pPr>
            <w:r>
              <w:rPr>
                <w:sz w:val="18"/>
              </w:rPr>
              <w:t>Total advice </w:t>
            </w:r>
            <w:r>
              <w:rPr>
                <w:spacing w:val="-2"/>
                <w:sz w:val="18"/>
              </w:rPr>
              <w:t>solutions</w:t>
            </w:r>
          </w:p>
        </w:tc>
        <w:tc>
          <w:tcPr>
            <w:tcW w:w="949" w:type="dxa"/>
            <w:tcBorders>
              <w:top w:val="single" w:sz="4" w:space="0" w:color="000000"/>
              <w:bottom w:val="single" w:sz="4" w:space="0" w:color="000000"/>
            </w:tcBorders>
            <w:shd w:val="clear" w:color="auto" w:fill="CCEDFF"/>
          </w:tcPr>
          <w:p>
            <w:pPr>
              <w:pStyle w:val="TableParagraph"/>
              <w:spacing w:before="8"/>
              <w:ind w:right="61"/>
              <w:jc w:val="right"/>
              <w:rPr>
                <w:sz w:val="18"/>
              </w:rPr>
            </w:pPr>
            <w:r>
              <w:rPr>
                <w:sz w:val="18"/>
              </w:rPr>
              <w:t>$</w:t>
            </w:r>
            <w:r>
              <w:rPr>
                <w:spacing w:val="33"/>
                <w:sz w:val="18"/>
              </w:rPr>
              <w:t>  </w:t>
            </w:r>
            <w:r>
              <w:rPr>
                <w:spacing w:val="-2"/>
                <w:sz w:val="18"/>
              </w:rPr>
              <w:t>566,262</w:t>
            </w:r>
          </w:p>
        </w:tc>
        <w:tc>
          <w:tcPr>
            <w:tcW w:w="826" w:type="dxa"/>
            <w:tcBorders>
              <w:top w:val="single" w:sz="4" w:space="0" w:color="000000"/>
              <w:bottom w:val="single" w:sz="4" w:space="0" w:color="000000"/>
            </w:tcBorders>
            <w:shd w:val="clear" w:color="auto" w:fill="CCEDFF"/>
          </w:tcPr>
          <w:p>
            <w:pPr>
              <w:pStyle w:val="TableParagraph"/>
              <w:spacing w:before="8"/>
              <w:ind w:right="62"/>
              <w:jc w:val="right"/>
              <w:rPr>
                <w:sz w:val="18"/>
              </w:rPr>
            </w:pPr>
            <w:r>
              <w:rPr>
                <w:spacing w:val="-5"/>
                <w:sz w:val="18"/>
              </w:rPr>
              <w:t>476</w:t>
            </w:r>
          </w:p>
        </w:tc>
        <w:tc>
          <w:tcPr>
            <w:tcW w:w="758" w:type="dxa"/>
            <w:tcBorders>
              <w:top w:val="single" w:sz="4" w:space="0" w:color="000000"/>
              <w:bottom w:val="single" w:sz="4" w:space="0" w:color="000000"/>
            </w:tcBorders>
            <w:shd w:val="clear" w:color="auto" w:fill="CCEDFF"/>
          </w:tcPr>
          <w:p>
            <w:pPr>
              <w:pStyle w:val="TableParagraph"/>
              <w:spacing w:before="8"/>
              <w:ind w:left="102" w:right="15"/>
              <w:jc w:val="center"/>
              <w:rPr>
                <w:sz w:val="18"/>
              </w:rPr>
            </w:pPr>
            <w:r>
              <w:rPr>
                <w:spacing w:val="-2"/>
                <w:sz w:val="18"/>
              </w:rPr>
              <w:t>0.33%</w:t>
            </w:r>
          </w:p>
        </w:tc>
        <w:tc>
          <w:tcPr>
            <w:tcW w:w="980" w:type="dxa"/>
            <w:tcBorders>
              <w:top w:val="single" w:sz="4" w:space="0" w:color="000000"/>
              <w:bottom w:val="single" w:sz="4" w:space="0" w:color="000000"/>
            </w:tcBorders>
            <w:shd w:val="clear" w:color="auto" w:fill="CCEDFF"/>
          </w:tcPr>
          <w:p>
            <w:pPr>
              <w:pStyle w:val="TableParagraph"/>
              <w:spacing w:before="8"/>
              <w:ind w:right="60"/>
              <w:jc w:val="right"/>
              <w:rPr>
                <w:sz w:val="18"/>
              </w:rPr>
            </w:pPr>
            <w:r>
              <w:rPr>
                <w:sz w:val="18"/>
              </w:rPr>
              <w:t>$</w:t>
            </w:r>
            <w:r>
              <w:rPr>
                <w:spacing w:val="33"/>
                <w:sz w:val="18"/>
              </w:rPr>
              <w:t>  </w:t>
            </w:r>
            <w:r>
              <w:rPr>
                <w:spacing w:val="-2"/>
                <w:sz w:val="18"/>
              </w:rPr>
              <w:t>516,843</w:t>
            </w:r>
          </w:p>
        </w:tc>
        <w:tc>
          <w:tcPr>
            <w:tcW w:w="856" w:type="dxa"/>
            <w:tcBorders>
              <w:top w:val="single" w:sz="4" w:space="0" w:color="000000"/>
              <w:bottom w:val="single" w:sz="4" w:space="0" w:color="000000"/>
            </w:tcBorders>
            <w:shd w:val="clear" w:color="auto" w:fill="CCEDFF"/>
          </w:tcPr>
          <w:p>
            <w:pPr>
              <w:pStyle w:val="TableParagraph"/>
              <w:spacing w:before="8"/>
              <w:ind w:right="91"/>
              <w:jc w:val="right"/>
              <w:rPr>
                <w:sz w:val="18"/>
              </w:rPr>
            </w:pPr>
            <w:r>
              <w:rPr>
                <w:spacing w:val="-5"/>
                <w:sz w:val="18"/>
              </w:rPr>
              <w:t>452</w:t>
            </w:r>
          </w:p>
        </w:tc>
        <w:tc>
          <w:tcPr>
            <w:tcW w:w="699" w:type="dxa"/>
            <w:tcBorders>
              <w:top w:val="single" w:sz="4" w:space="0" w:color="000000"/>
              <w:bottom w:val="single" w:sz="4" w:space="0" w:color="000000"/>
            </w:tcBorders>
            <w:shd w:val="clear" w:color="auto" w:fill="CCEDFF"/>
          </w:tcPr>
          <w:p>
            <w:pPr>
              <w:pStyle w:val="TableParagraph"/>
              <w:spacing w:before="8"/>
              <w:ind w:left="102" w:right="14"/>
              <w:jc w:val="center"/>
              <w:rPr>
                <w:sz w:val="18"/>
              </w:rPr>
            </w:pPr>
            <w:r>
              <w:rPr>
                <w:spacing w:val="-2"/>
                <w:sz w:val="18"/>
              </w:rPr>
              <w:t>0.35%</w:t>
            </w:r>
          </w:p>
        </w:tc>
      </w:tr>
      <w:tr>
        <w:trPr>
          <w:trHeight w:val="250" w:hRule="atLeast"/>
        </w:trPr>
        <w:tc>
          <w:tcPr>
            <w:tcW w:w="5190" w:type="dxa"/>
            <w:tcBorders>
              <w:top w:val="single" w:sz="4" w:space="0" w:color="000000"/>
            </w:tcBorders>
          </w:tcPr>
          <w:p>
            <w:pPr>
              <w:pStyle w:val="TableParagraph"/>
              <w:spacing w:before="8"/>
              <w:ind w:left="52"/>
              <w:rPr>
                <w:sz w:val="18"/>
              </w:rPr>
            </w:pPr>
            <w:r>
              <w:rPr>
                <w:sz w:val="18"/>
              </w:rPr>
              <w:t>Other</w:t>
            </w:r>
            <w:r>
              <w:rPr>
                <w:spacing w:val="-1"/>
                <w:sz w:val="18"/>
              </w:rPr>
              <w:t> </w:t>
            </w:r>
            <w:r>
              <w:rPr>
                <w:sz w:val="18"/>
              </w:rPr>
              <w:t>balance-based</w:t>
            </w:r>
            <w:r>
              <w:rPr>
                <w:spacing w:val="-1"/>
                <w:sz w:val="18"/>
              </w:rPr>
              <w:t> </w:t>
            </w:r>
            <w:r>
              <w:rPr>
                <w:sz w:val="18"/>
              </w:rPr>
              <w:t>fees</w:t>
            </w:r>
            <w:r>
              <w:rPr>
                <w:spacing w:val="-2"/>
                <w:sz w:val="18"/>
              </w:rPr>
              <w:t> </w:t>
            </w:r>
            <w:r>
              <w:rPr>
                <w:spacing w:val="-5"/>
                <w:sz w:val="18"/>
                <w:vertAlign w:val="superscript"/>
              </w:rPr>
              <w:t>(3)</w:t>
            </w:r>
          </w:p>
        </w:tc>
        <w:tc>
          <w:tcPr>
            <w:tcW w:w="949" w:type="dxa"/>
            <w:tcBorders>
              <w:top w:val="single" w:sz="4" w:space="0" w:color="000000"/>
            </w:tcBorders>
          </w:tcPr>
          <w:p>
            <w:pPr>
              <w:pStyle w:val="TableParagraph"/>
              <w:spacing w:before="8"/>
              <w:ind w:right="61"/>
              <w:jc w:val="right"/>
              <w:rPr>
                <w:sz w:val="18"/>
              </w:rPr>
            </w:pPr>
            <w:r>
              <w:rPr>
                <w:spacing w:val="-2"/>
                <w:sz w:val="18"/>
              </w:rPr>
              <w:t>610,450</w:t>
            </w:r>
          </w:p>
        </w:tc>
        <w:tc>
          <w:tcPr>
            <w:tcW w:w="826" w:type="dxa"/>
            <w:tcBorders>
              <w:top w:val="single" w:sz="4" w:space="0" w:color="000000"/>
            </w:tcBorders>
          </w:tcPr>
          <w:p>
            <w:pPr>
              <w:pStyle w:val="TableParagraph"/>
              <w:spacing w:before="8"/>
              <w:ind w:right="62"/>
              <w:jc w:val="right"/>
              <w:rPr>
                <w:sz w:val="18"/>
              </w:rPr>
            </w:pPr>
            <w:r>
              <w:rPr>
                <w:spacing w:val="-5"/>
                <w:sz w:val="18"/>
              </w:rPr>
              <w:t>64</w:t>
            </w:r>
          </w:p>
        </w:tc>
        <w:tc>
          <w:tcPr>
            <w:tcW w:w="758" w:type="dxa"/>
            <w:tcBorders>
              <w:top w:val="single" w:sz="4" w:space="0" w:color="000000"/>
            </w:tcBorders>
          </w:tcPr>
          <w:p>
            <w:pPr>
              <w:pStyle w:val="TableParagraph"/>
              <w:spacing w:before="8"/>
              <w:ind w:left="102" w:right="15"/>
              <w:jc w:val="center"/>
              <w:rPr>
                <w:sz w:val="18"/>
              </w:rPr>
            </w:pPr>
            <w:r>
              <w:rPr>
                <w:spacing w:val="-2"/>
                <w:sz w:val="18"/>
              </w:rPr>
              <w:t>0.04%</w:t>
            </w:r>
          </w:p>
        </w:tc>
        <w:tc>
          <w:tcPr>
            <w:tcW w:w="980" w:type="dxa"/>
            <w:tcBorders>
              <w:top w:val="single" w:sz="4" w:space="0" w:color="000000"/>
            </w:tcBorders>
          </w:tcPr>
          <w:p>
            <w:pPr>
              <w:pStyle w:val="TableParagraph"/>
              <w:spacing w:before="8"/>
              <w:ind w:right="60"/>
              <w:jc w:val="right"/>
              <w:rPr>
                <w:sz w:val="18"/>
              </w:rPr>
            </w:pPr>
            <w:r>
              <w:rPr>
                <w:spacing w:val="-2"/>
                <w:sz w:val="18"/>
              </w:rPr>
              <w:t>537,809</w:t>
            </w:r>
          </w:p>
        </w:tc>
        <w:tc>
          <w:tcPr>
            <w:tcW w:w="856" w:type="dxa"/>
            <w:tcBorders>
              <w:top w:val="single" w:sz="4" w:space="0" w:color="000000"/>
            </w:tcBorders>
          </w:tcPr>
          <w:p>
            <w:pPr>
              <w:pStyle w:val="TableParagraph"/>
              <w:spacing w:before="8"/>
              <w:ind w:right="91"/>
              <w:jc w:val="right"/>
              <w:rPr>
                <w:sz w:val="18"/>
              </w:rPr>
            </w:pPr>
            <w:r>
              <w:rPr>
                <w:spacing w:val="-5"/>
                <w:sz w:val="18"/>
              </w:rPr>
              <w:t>58</w:t>
            </w:r>
          </w:p>
        </w:tc>
        <w:tc>
          <w:tcPr>
            <w:tcW w:w="699" w:type="dxa"/>
            <w:tcBorders>
              <w:top w:val="single" w:sz="4" w:space="0" w:color="000000"/>
            </w:tcBorders>
          </w:tcPr>
          <w:p>
            <w:pPr>
              <w:pStyle w:val="TableParagraph"/>
              <w:spacing w:before="8"/>
              <w:ind w:left="102" w:right="14"/>
              <w:jc w:val="center"/>
              <w:rPr>
                <w:sz w:val="18"/>
              </w:rPr>
            </w:pPr>
            <w:r>
              <w:rPr>
                <w:spacing w:val="-2"/>
                <w:sz w:val="18"/>
              </w:rPr>
              <w:t>0.04%</w:t>
            </w:r>
          </w:p>
        </w:tc>
      </w:tr>
      <w:tr>
        <w:trPr>
          <w:trHeight w:val="252" w:hRule="atLeast"/>
        </w:trPr>
        <w:tc>
          <w:tcPr>
            <w:tcW w:w="5190" w:type="dxa"/>
            <w:tcBorders>
              <w:bottom w:val="single" w:sz="4" w:space="0" w:color="000000"/>
            </w:tcBorders>
            <w:shd w:val="clear" w:color="auto" w:fill="CCEDFF"/>
          </w:tcPr>
          <w:p>
            <w:pPr>
              <w:pStyle w:val="TableParagraph"/>
              <w:spacing w:before="13"/>
              <w:ind w:left="52"/>
              <w:rPr>
                <w:sz w:val="18"/>
              </w:rPr>
            </w:pPr>
            <w:r>
              <w:rPr>
                <w:sz w:val="18"/>
              </w:rPr>
              <w:t>Other</w:t>
            </w:r>
            <w:r>
              <w:rPr>
                <w:spacing w:val="-2"/>
                <w:sz w:val="18"/>
              </w:rPr>
              <w:t> </w:t>
            </w:r>
            <w:r>
              <w:rPr>
                <w:spacing w:val="-5"/>
                <w:sz w:val="18"/>
                <w:vertAlign w:val="superscript"/>
              </w:rPr>
              <w:t>(4)</w:t>
            </w:r>
          </w:p>
        </w:tc>
        <w:tc>
          <w:tcPr>
            <w:tcW w:w="949" w:type="dxa"/>
            <w:tcBorders>
              <w:bottom w:val="single" w:sz="4" w:space="0" w:color="000000"/>
            </w:tcBorders>
            <w:shd w:val="clear" w:color="auto" w:fill="CCEDFF"/>
          </w:tcPr>
          <w:p>
            <w:pPr>
              <w:pStyle w:val="TableParagraph"/>
              <w:rPr>
                <w:sz w:val="18"/>
              </w:rPr>
            </w:pPr>
          </w:p>
        </w:tc>
        <w:tc>
          <w:tcPr>
            <w:tcW w:w="826" w:type="dxa"/>
            <w:tcBorders>
              <w:bottom w:val="single" w:sz="4" w:space="0" w:color="000000"/>
            </w:tcBorders>
            <w:shd w:val="clear" w:color="auto" w:fill="CCEDFF"/>
          </w:tcPr>
          <w:p>
            <w:pPr>
              <w:pStyle w:val="TableParagraph"/>
              <w:spacing w:before="13"/>
              <w:ind w:right="62"/>
              <w:jc w:val="right"/>
              <w:rPr>
                <w:sz w:val="18"/>
              </w:rPr>
            </w:pPr>
            <w:r>
              <w:rPr>
                <w:spacing w:val="-5"/>
                <w:sz w:val="18"/>
              </w:rPr>
              <w:t>18</w:t>
            </w:r>
          </w:p>
        </w:tc>
        <w:tc>
          <w:tcPr>
            <w:tcW w:w="758" w:type="dxa"/>
            <w:tcBorders>
              <w:bottom w:val="single" w:sz="4" w:space="0" w:color="000000"/>
            </w:tcBorders>
            <w:shd w:val="clear" w:color="auto" w:fill="CCEDFF"/>
          </w:tcPr>
          <w:p>
            <w:pPr>
              <w:pStyle w:val="TableParagraph"/>
              <w:rPr>
                <w:sz w:val="18"/>
              </w:rPr>
            </w:pPr>
          </w:p>
        </w:tc>
        <w:tc>
          <w:tcPr>
            <w:tcW w:w="980" w:type="dxa"/>
            <w:tcBorders>
              <w:bottom w:val="single" w:sz="4" w:space="0" w:color="000000"/>
            </w:tcBorders>
            <w:shd w:val="clear" w:color="auto" w:fill="CCEDFF"/>
          </w:tcPr>
          <w:p>
            <w:pPr>
              <w:pStyle w:val="TableParagraph"/>
              <w:rPr>
                <w:sz w:val="18"/>
              </w:rPr>
            </w:pPr>
          </w:p>
        </w:tc>
        <w:tc>
          <w:tcPr>
            <w:tcW w:w="856" w:type="dxa"/>
            <w:tcBorders>
              <w:bottom w:val="single" w:sz="4" w:space="0" w:color="000000"/>
            </w:tcBorders>
            <w:shd w:val="clear" w:color="auto" w:fill="CCEDFF"/>
          </w:tcPr>
          <w:p>
            <w:pPr>
              <w:pStyle w:val="TableParagraph"/>
              <w:spacing w:before="13"/>
              <w:ind w:right="91"/>
              <w:jc w:val="right"/>
              <w:rPr>
                <w:sz w:val="18"/>
              </w:rPr>
            </w:pPr>
            <w:r>
              <w:rPr>
                <w:spacing w:val="-5"/>
                <w:sz w:val="18"/>
              </w:rPr>
              <w:t>17</w:t>
            </w:r>
          </w:p>
        </w:tc>
        <w:tc>
          <w:tcPr>
            <w:tcW w:w="699" w:type="dxa"/>
            <w:tcBorders>
              <w:bottom w:val="single" w:sz="4" w:space="0" w:color="000000"/>
            </w:tcBorders>
            <w:shd w:val="clear" w:color="auto" w:fill="CCEDFF"/>
          </w:tcPr>
          <w:p>
            <w:pPr>
              <w:pStyle w:val="TableParagraph"/>
              <w:rPr>
                <w:sz w:val="18"/>
              </w:rPr>
            </w:pPr>
          </w:p>
        </w:tc>
      </w:tr>
      <w:tr>
        <w:trPr>
          <w:trHeight w:val="220" w:hRule="atLeast"/>
        </w:trPr>
        <w:tc>
          <w:tcPr>
            <w:tcW w:w="5190" w:type="dxa"/>
            <w:tcBorders>
              <w:top w:val="single" w:sz="4" w:space="0" w:color="000000"/>
              <w:bottom w:val="double" w:sz="8" w:space="0" w:color="000000"/>
            </w:tcBorders>
          </w:tcPr>
          <w:p>
            <w:pPr>
              <w:pStyle w:val="TableParagraph"/>
              <w:spacing w:line="193" w:lineRule="exact" w:before="7"/>
              <w:ind w:left="52"/>
              <w:rPr>
                <w:b/>
                <w:sz w:val="18"/>
              </w:rPr>
            </w:pPr>
            <w:r>
              <w:rPr>
                <w:b/>
                <w:sz w:val="18"/>
              </w:rPr>
              <w:t>Total</w:t>
            </w:r>
            <w:r>
              <w:rPr>
                <w:b/>
                <w:spacing w:val="-4"/>
                <w:sz w:val="18"/>
              </w:rPr>
              <w:t> </w:t>
            </w:r>
            <w:r>
              <w:rPr>
                <w:b/>
                <w:sz w:val="18"/>
              </w:rPr>
              <w:t>asset</w:t>
            </w:r>
            <w:r>
              <w:rPr>
                <w:b/>
                <w:spacing w:val="-2"/>
                <w:sz w:val="18"/>
              </w:rPr>
              <w:t> </w:t>
            </w:r>
            <w:r>
              <w:rPr>
                <w:b/>
                <w:sz w:val="18"/>
              </w:rPr>
              <w:t>management</w:t>
            </w:r>
            <w:r>
              <w:rPr>
                <w:b/>
                <w:spacing w:val="-1"/>
                <w:sz w:val="18"/>
              </w:rPr>
              <w:t> </w:t>
            </w:r>
            <w:r>
              <w:rPr>
                <w:b/>
                <w:sz w:val="18"/>
              </w:rPr>
              <w:t>and</w:t>
            </w:r>
            <w:r>
              <w:rPr>
                <w:b/>
                <w:spacing w:val="-3"/>
                <w:sz w:val="18"/>
              </w:rPr>
              <w:t> </w:t>
            </w:r>
            <w:r>
              <w:rPr>
                <w:b/>
                <w:sz w:val="18"/>
              </w:rPr>
              <w:t>administration</w:t>
            </w:r>
            <w:r>
              <w:rPr>
                <w:b/>
                <w:spacing w:val="-2"/>
                <w:sz w:val="18"/>
              </w:rPr>
              <w:t> </w:t>
            </w:r>
            <w:r>
              <w:rPr>
                <w:b/>
                <w:spacing w:val="-4"/>
                <w:sz w:val="18"/>
              </w:rPr>
              <w:t>fees</w:t>
            </w:r>
          </w:p>
        </w:tc>
        <w:tc>
          <w:tcPr>
            <w:tcW w:w="949" w:type="dxa"/>
            <w:tcBorders>
              <w:top w:val="single" w:sz="4" w:space="0" w:color="000000"/>
              <w:bottom w:val="double" w:sz="8" w:space="0" w:color="000000"/>
            </w:tcBorders>
          </w:tcPr>
          <w:p>
            <w:pPr>
              <w:pStyle w:val="TableParagraph"/>
              <w:rPr>
                <w:sz w:val="14"/>
              </w:rPr>
            </w:pPr>
          </w:p>
        </w:tc>
        <w:tc>
          <w:tcPr>
            <w:tcW w:w="826" w:type="dxa"/>
            <w:tcBorders>
              <w:top w:val="single" w:sz="4" w:space="0" w:color="000000"/>
              <w:bottom w:val="double" w:sz="8" w:space="0" w:color="000000"/>
            </w:tcBorders>
          </w:tcPr>
          <w:p>
            <w:pPr>
              <w:pStyle w:val="TableParagraph"/>
              <w:tabs>
                <w:tab w:pos="356" w:val="left" w:leader="none"/>
              </w:tabs>
              <w:spacing w:line="191" w:lineRule="exact" w:before="8"/>
              <w:ind w:left="63"/>
              <w:rPr>
                <w:sz w:val="18"/>
              </w:rPr>
            </w:pPr>
            <w:r>
              <w:rPr>
                <w:spacing w:val="-10"/>
                <w:sz w:val="18"/>
              </w:rPr>
              <w:t>$</w:t>
            </w:r>
            <w:r>
              <w:rPr>
                <w:sz w:val="18"/>
              </w:rPr>
              <w:tab/>
            </w:r>
            <w:r>
              <w:rPr>
                <w:spacing w:val="-2"/>
                <w:sz w:val="18"/>
              </w:rPr>
              <w:t>1,224</w:t>
            </w:r>
          </w:p>
        </w:tc>
        <w:tc>
          <w:tcPr>
            <w:tcW w:w="758" w:type="dxa"/>
            <w:tcBorders>
              <w:top w:val="single" w:sz="4" w:space="0" w:color="000000"/>
              <w:bottom w:val="double" w:sz="8" w:space="0" w:color="000000"/>
            </w:tcBorders>
          </w:tcPr>
          <w:p>
            <w:pPr>
              <w:pStyle w:val="TableParagraph"/>
              <w:rPr>
                <w:sz w:val="14"/>
              </w:rPr>
            </w:pPr>
          </w:p>
        </w:tc>
        <w:tc>
          <w:tcPr>
            <w:tcW w:w="980" w:type="dxa"/>
            <w:tcBorders>
              <w:top w:val="single" w:sz="4" w:space="0" w:color="000000"/>
              <w:bottom w:val="double" w:sz="8" w:space="0" w:color="000000"/>
            </w:tcBorders>
          </w:tcPr>
          <w:p>
            <w:pPr>
              <w:pStyle w:val="TableParagraph"/>
              <w:rPr>
                <w:sz w:val="14"/>
              </w:rPr>
            </w:pPr>
          </w:p>
        </w:tc>
        <w:tc>
          <w:tcPr>
            <w:tcW w:w="856" w:type="dxa"/>
            <w:tcBorders>
              <w:top w:val="single" w:sz="4" w:space="0" w:color="000000"/>
              <w:bottom w:val="double" w:sz="8" w:space="0" w:color="000000"/>
            </w:tcBorders>
          </w:tcPr>
          <w:p>
            <w:pPr>
              <w:pStyle w:val="TableParagraph"/>
              <w:tabs>
                <w:tab w:pos="357" w:val="left" w:leader="none"/>
              </w:tabs>
              <w:spacing w:line="191" w:lineRule="exact" w:before="8"/>
              <w:ind w:left="64"/>
              <w:rPr>
                <w:sz w:val="18"/>
              </w:rPr>
            </w:pPr>
            <w:r>
              <w:rPr>
                <w:spacing w:val="-10"/>
                <w:sz w:val="18"/>
              </w:rPr>
              <w:t>$</w:t>
            </w:r>
            <w:r>
              <w:rPr>
                <w:sz w:val="18"/>
              </w:rPr>
              <w:tab/>
            </w:r>
            <w:r>
              <w:rPr>
                <w:spacing w:val="-2"/>
                <w:sz w:val="18"/>
              </w:rPr>
              <w:t>1,047</w:t>
            </w:r>
          </w:p>
        </w:tc>
        <w:tc>
          <w:tcPr>
            <w:tcW w:w="699" w:type="dxa"/>
            <w:tcBorders>
              <w:top w:val="single" w:sz="4" w:space="0" w:color="000000"/>
              <w:bottom w:val="double" w:sz="8" w:space="0" w:color="000000"/>
            </w:tcBorders>
          </w:tcPr>
          <w:p>
            <w:pPr>
              <w:pStyle w:val="TableParagraph"/>
              <w:rPr>
                <w:sz w:val="14"/>
              </w:rPr>
            </w:pPr>
          </w:p>
        </w:tc>
      </w:tr>
      <w:tr>
        <w:trPr>
          <w:trHeight w:val="165" w:hRule="atLeast"/>
        </w:trPr>
        <w:tc>
          <w:tcPr>
            <w:tcW w:w="5190" w:type="dxa"/>
            <w:tcBorders>
              <w:top w:val="double" w:sz="8" w:space="0" w:color="000000"/>
              <w:bottom w:val="single" w:sz="4" w:space="0" w:color="000000"/>
            </w:tcBorders>
          </w:tcPr>
          <w:p>
            <w:pPr>
              <w:pStyle w:val="TableParagraph"/>
              <w:rPr>
                <w:sz w:val="10"/>
              </w:rPr>
            </w:pPr>
          </w:p>
        </w:tc>
        <w:tc>
          <w:tcPr>
            <w:tcW w:w="949" w:type="dxa"/>
            <w:tcBorders>
              <w:top w:val="double" w:sz="8" w:space="0" w:color="000000"/>
              <w:bottom w:val="single" w:sz="4" w:space="0" w:color="000000"/>
            </w:tcBorders>
          </w:tcPr>
          <w:p>
            <w:pPr>
              <w:pStyle w:val="TableParagraph"/>
              <w:rPr>
                <w:sz w:val="10"/>
              </w:rPr>
            </w:pPr>
          </w:p>
        </w:tc>
        <w:tc>
          <w:tcPr>
            <w:tcW w:w="826" w:type="dxa"/>
            <w:tcBorders>
              <w:top w:val="double" w:sz="8" w:space="0" w:color="000000"/>
              <w:bottom w:val="single" w:sz="4" w:space="0" w:color="000000"/>
            </w:tcBorders>
          </w:tcPr>
          <w:p>
            <w:pPr>
              <w:pStyle w:val="TableParagraph"/>
              <w:rPr>
                <w:sz w:val="10"/>
              </w:rPr>
            </w:pPr>
          </w:p>
        </w:tc>
        <w:tc>
          <w:tcPr>
            <w:tcW w:w="758" w:type="dxa"/>
            <w:tcBorders>
              <w:top w:val="double" w:sz="8" w:space="0" w:color="000000"/>
              <w:bottom w:val="single" w:sz="4" w:space="0" w:color="000000"/>
            </w:tcBorders>
          </w:tcPr>
          <w:p>
            <w:pPr>
              <w:pStyle w:val="TableParagraph"/>
              <w:rPr>
                <w:sz w:val="10"/>
              </w:rPr>
            </w:pPr>
          </w:p>
        </w:tc>
        <w:tc>
          <w:tcPr>
            <w:tcW w:w="980" w:type="dxa"/>
            <w:tcBorders>
              <w:top w:val="double" w:sz="8" w:space="0" w:color="000000"/>
              <w:bottom w:val="single" w:sz="4" w:space="0" w:color="000000"/>
            </w:tcBorders>
          </w:tcPr>
          <w:p>
            <w:pPr>
              <w:pStyle w:val="TableParagraph"/>
              <w:rPr>
                <w:sz w:val="10"/>
              </w:rPr>
            </w:pPr>
          </w:p>
        </w:tc>
        <w:tc>
          <w:tcPr>
            <w:tcW w:w="856" w:type="dxa"/>
            <w:tcBorders>
              <w:top w:val="double" w:sz="8" w:space="0" w:color="000000"/>
              <w:bottom w:val="single" w:sz="4" w:space="0" w:color="000000"/>
            </w:tcBorders>
          </w:tcPr>
          <w:p>
            <w:pPr>
              <w:pStyle w:val="TableParagraph"/>
              <w:rPr>
                <w:sz w:val="10"/>
              </w:rPr>
            </w:pPr>
          </w:p>
        </w:tc>
        <w:tc>
          <w:tcPr>
            <w:tcW w:w="699" w:type="dxa"/>
            <w:tcBorders>
              <w:top w:val="double" w:sz="8" w:space="0" w:color="000000"/>
              <w:bottom w:val="single" w:sz="4" w:space="0" w:color="000000"/>
            </w:tcBorders>
          </w:tcPr>
          <w:p>
            <w:pPr>
              <w:pStyle w:val="TableParagraph"/>
              <w:rPr>
                <w:sz w:val="10"/>
              </w:rPr>
            </w:pPr>
          </w:p>
        </w:tc>
      </w:tr>
      <w:tr>
        <w:trPr>
          <w:trHeight w:val="275" w:hRule="atLeast"/>
        </w:trPr>
        <w:tc>
          <w:tcPr>
            <w:tcW w:w="5190" w:type="dxa"/>
          </w:tcPr>
          <w:p>
            <w:pPr>
              <w:pStyle w:val="TableParagraph"/>
              <w:rPr>
                <w:sz w:val="18"/>
              </w:rPr>
            </w:pPr>
          </w:p>
        </w:tc>
        <w:tc>
          <w:tcPr>
            <w:tcW w:w="949" w:type="dxa"/>
            <w:tcBorders>
              <w:bottom w:val="single" w:sz="4" w:space="0" w:color="000000"/>
            </w:tcBorders>
          </w:tcPr>
          <w:p>
            <w:pPr>
              <w:pStyle w:val="TableParagraph"/>
              <w:rPr>
                <w:sz w:val="18"/>
              </w:rPr>
            </w:pPr>
          </w:p>
        </w:tc>
        <w:tc>
          <w:tcPr>
            <w:tcW w:w="826" w:type="dxa"/>
            <w:tcBorders>
              <w:bottom w:val="single" w:sz="4" w:space="0" w:color="000000"/>
            </w:tcBorders>
          </w:tcPr>
          <w:p>
            <w:pPr>
              <w:pStyle w:val="TableParagraph"/>
              <w:spacing w:before="38"/>
              <w:ind w:left="123"/>
              <w:rPr>
                <w:sz w:val="18"/>
              </w:rPr>
            </w:pPr>
            <w:r>
              <w:rPr>
                <w:spacing w:val="-4"/>
                <w:sz w:val="18"/>
              </w:rPr>
              <w:t>2023</w:t>
            </w:r>
          </w:p>
        </w:tc>
        <w:tc>
          <w:tcPr>
            <w:tcW w:w="758" w:type="dxa"/>
            <w:tcBorders>
              <w:bottom w:val="single" w:sz="4" w:space="0" w:color="000000"/>
            </w:tcBorders>
          </w:tcPr>
          <w:p>
            <w:pPr>
              <w:pStyle w:val="TableParagraph"/>
              <w:rPr>
                <w:sz w:val="18"/>
              </w:rPr>
            </w:pPr>
          </w:p>
        </w:tc>
        <w:tc>
          <w:tcPr>
            <w:tcW w:w="980" w:type="dxa"/>
            <w:tcBorders>
              <w:bottom w:val="single" w:sz="4" w:space="0" w:color="000000"/>
            </w:tcBorders>
          </w:tcPr>
          <w:p>
            <w:pPr>
              <w:pStyle w:val="TableParagraph"/>
              <w:rPr>
                <w:sz w:val="18"/>
              </w:rPr>
            </w:pPr>
          </w:p>
        </w:tc>
        <w:tc>
          <w:tcPr>
            <w:tcW w:w="856" w:type="dxa"/>
            <w:tcBorders>
              <w:bottom w:val="single" w:sz="4" w:space="0" w:color="000000"/>
            </w:tcBorders>
          </w:tcPr>
          <w:p>
            <w:pPr>
              <w:pStyle w:val="TableParagraph"/>
              <w:spacing w:before="38"/>
              <w:ind w:left="124"/>
              <w:rPr>
                <w:sz w:val="18"/>
              </w:rPr>
            </w:pPr>
            <w:r>
              <w:rPr>
                <w:spacing w:val="-4"/>
                <w:sz w:val="18"/>
              </w:rPr>
              <w:t>2022</w:t>
            </w:r>
          </w:p>
        </w:tc>
        <w:tc>
          <w:tcPr>
            <w:tcW w:w="699" w:type="dxa"/>
            <w:tcBorders>
              <w:bottom w:val="single" w:sz="4" w:space="0" w:color="000000"/>
            </w:tcBorders>
          </w:tcPr>
          <w:p>
            <w:pPr>
              <w:pStyle w:val="TableParagraph"/>
              <w:rPr>
                <w:sz w:val="18"/>
              </w:rPr>
            </w:pPr>
          </w:p>
        </w:tc>
      </w:tr>
      <w:tr>
        <w:trPr>
          <w:trHeight w:val="420" w:hRule="atLeast"/>
        </w:trPr>
        <w:tc>
          <w:tcPr>
            <w:tcW w:w="5190" w:type="dxa"/>
          </w:tcPr>
          <w:p>
            <w:pPr>
              <w:pStyle w:val="TableParagraph"/>
              <w:rPr>
                <w:sz w:val="18"/>
              </w:rPr>
            </w:pPr>
          </w:p>
        </w:tc>
        <w:tc>
          <w:tcPr>
            <w:tcW w:w="949" w:type="dxa"/>
            <w:tcBorders>
              <w:top w:val="single" w:sz="4" w:space="0" w:color="000000"/>
            </w:tcBorders>
          </w:tcPr>
          <w:p>
            <w:pPr>
              <w:pStyle w:val="TableParagraph"/>
              <w:spacing w:line="180" w:lineRule="exact" w:before="40"/>
              <w:ind w:left="260" w:right="158" w:hanging="85"/>
              <w:rPr>
                <w:sz w:val="18"/>
              </w:rPr>
            </w:pPr>
            <w:r>
              <w:rPr>
                <w:spacing w:val="-2"/>
                <w:sz w:val="18"/>
              </w:rPr>
              <w:t>Average Client</w:t>
            </w:r>
          </w:p>
        </w:tc>
        <w:tc>
          <w:tcPr>
            <w:tcW w:w="826" w:type="dxa"/>
            <w:tcBorders>
              <w:top w:val="single" w:sz="4" w:space="0" w:color="000000"/>
            </w:tcBorders>
          </w:tcPr>
          <w:p>
            <w:pPr>
              <w:pStyle w:val="TableParagraph"/>
              <w:rPr>
                <w:sz w:val="18"/>
              </w:rPr>
            </w:pPr>
          </w:p>
        </w:tc>
        <w:tc>
          <w:tcPr>
            <w:tcW w:w="758" w:type="dxa"/>
            <w:tcBorders>
              <w:top w:val="single" w:sz="4" w:space="0" w:color="000000"/>
            </w:tcBorders>
          </w:tcPr>
          <w:p>
            <w:pPr>
              <w:pStyle w:val="TableParagraph"/>
              <w:spacing w:before="16"/>
              <w:rPr>
                <w:sz w:val="18"/>
              </w:rPr>
            </w:pPr>
          </w:p>
          <w:p>
            <w:pPr>
              <w:pStyle w:val="TableParagraph"/>
              <w:spacing w:line="177" w:lineRule="exact"/>
              <w:ind w:right="15"/>
              <w:jc w:val="center"/>
              <w:rPr>
                <w:sz w:val="18"/>
              </w:rPr>
            </w:pPr>
            <w:r>
              <w:rPr>
                <w:spacing w:val="-2"/>
                <w:sz w:val="18"/>
              </w:rPr>
              <w:t>Average</w:t>
            </w:r>
          </w:p>
        </w:tc>
        <w:tc>
          <w:tcPr>
            <w:tcW w:w="980" w:type="dxa"/>
            <w:tcBorders>
              <w:top w:val="single" w:sz="4" w:space="0" w:color="000000"/>
            </w:tcBorders>
          </w:tcPr>
          <w:p>
            <w:pPr>
              <w:pStyle w:val="TableParagraph"/>
              <w:spacing w:line="180" w:lineRule="exact" w:before="40"/>
              <w:ind w:left="292" w:right="157" w:hanging="85"/>
              <w:rPr>
                <w:sz w:val="18"/>
              </w:rPr>
            </w:pPr>
            <w:r>
              <w:rPr>
                <w:spacing w:val="-2"/>
                <w:sz w:val="18"/>
              </w:rPr>
              <w:t>Average Client</w:t>
            </w:r>
          </w:p>
        </w:tc>
        <w:tc>
          <w:tcPr>
            <w:tcW w:w="856" w:type="dxa"/>
            <w:tcBorders>
              <w:top w:val="single" w:sz="4" w:space="0" w:color="000000"/>
            </w:tcBorders>
          </w:tcPr>
          <w:p>
            <w:pPr>
              <w:pStyle w:val="TableParagraph"/>
              <w:rPr>
                <w:sz w:val="18"/>
              </w:rPr>
            </w:pPr>
          </w:p>
        </w:tc>
        <w:tc>
          <w:tcPr>
            <w:tcW w:w="699" w:type="dxa"/>
            <w:tcBorders>
              <w:top w:val="single" w:sz="4" w:space="0" w:color="000000"/>
            </w:tcBorders>
          </w:tcPr>
          <w:p>
            <w:pPr>
              <w:pStyle w:val="TableParagraph"/>
              <w:spacing w:before="16"/>
              <w:rPr>
                <w:sz w:val="18"/>
              </w:rPr>
            </w:pPr>
          </w:p>
          <w:p>
            <w:pPr>
              <w:pStyle w:val="TableParagraph"/>
              <w:spacing w:line="177" w:lineRule="exact"/>
              <w:ind w:right="14"/>
              <w:jc w:val="center"/>
              <w:rPr>
                <w:sz w:val="18"/>
              </w:rPr>
            </w:pPr>
            <w:r>
              <w:rPr>
                <w:spacing w:val="-2"/>
                <w:sz w:val="18"/>
              </w:rPr>
              <w:t>Average</w:t>
            </w:r>
          </w:p>
        </w:tc>
      </w:tr>
      <w:tr>
        <w:trPr>
          <w:trHeight w:val="214" w:hRule="atLeast"/>
        </w:trPr>
        <w:tc>
          <w:tcPr>
            <w:tcW w:w="5190" w:type="dxa"/>
            <w:tcBorders>
              <w:bottom w:val="single" w:sz="4" w:space="0" w:color="000000"/>
            </w:tcBorders>
          </w:tcPr>
          <w:p>
            <w:pPr>
              <w:pStyle w:val="TableParagraph"/>
              <w:spacing w:line="190" w:lineRule="exact"/>
              <w:ind w:left="52"/>
              <w:rPr>
                <w:sz w:val="18"/>
              </w:rPr>
            </w:pPr>
            <w:r>
              <w:rPr>
                <w:sz w:val="18"/>
              </w:rPr>
              <w:t>Nine</w:t>
            </w:r>
            <w:r>
              <w:rPr>
                <w:spacing w:val="-1"/>
                <w:sz w:val="18"/>
              </w:rPr>
              <w:t> </w:t>
            </w:r>
            <w:r>
              <w:rPr>
                <w:sz w:val="18"/>
              </w:rPr>
              <w:t>Months</w:t>
            </w:r>
            <w:r>
              <w:rPr>
                <w:spacing w:val="-2"/>
                <w:sz w:val="18"/>
              </w:rPr>
              <w:t> </w:t>
            </w:r>
            <w:r>
              <w:rPr>
                <w:sz w:val="18"/>
              </w:rPr>
              <w:t>Ended</w:t>
            </w:r>
            <w:r>
              <w:rPr>
                <w:spacing w:val="-1"/>
                <w:sz w:val="18"/>
              </w:rPr>
              <w:t> </w:t>
            </w:r>
            <w:r>
              <w:rPr>
                <w:sz w:val="18"/>
              </w:rPr>
              <w:t>September </w:t>
            </w:r>
            <w:r>
              <w:rPr>
                <w:spacing w:val="-5"/>
                <w:sz w:val="18"/>
              </w:rPr>
              <w:t>30,</w:t>
            </w:r>
          </w:p>
        </w:tc>
        <w:tc>
          <w:tcPr>
            <w:tcW w:w="949" w:type="dxa"/>
            <w:tcBorders>
              <w:bottom w:val="single" w:sz="4" w:space="0" w:color="000000"/>
            </w:tcBorders>
          </w:tcPr>
          <w:p>
            <w:pPr>
              <w:pStyle w:val="TableParagraph"/>
              <w:spacing w:line="190" w:lineRule="exact"/>
              <w:ind w:left="245"/>
              <w:rPr>
                <w:sz w:val="18"/>
              </w:rPr>
            </w:pPr>
            <w:r>
              <w:rPr>
                <w:spacing w:val="-2"/>
                <w:sz w:val="18"/>
              </w:rPr>
              <w:t>Assets</w:t>
            </w:r>
          </w:p>
        </w:tc>
        <w:tc>
          <w:tcPr>
            <w:tcW w:w="826" w:type="dxa"/>
            <w:tcBorders>
              <w:bottom w:val="single" w:sz="4" w:space="0" w:color="000000"/>
            </w:tcBorders>
          </w:tcPr>
          <w:p>
            <w:pPr>
              <w:pStyle w:val="TableParagraph"/>
              <w:spacing w:line="190" w:lineRule="exact"/>
              <w:ind w:left="108"/>
              <w:rPr>
                <w:sz w:val="18"/>
              </w:rPr>
            </w:pPr>
            <w:r>
              <w:rPr>
                <w:spacing w:val="-2"/>
                <w:sz w:val="18"/>
              </w:rPr>
              <w:t>Revenue</w:t>
            </w:r>
          </w:p>
        </w:tc>
        <w:tc>
          <w:tcPr>
            <w:tcW w:w="758" w:type="dxa"/>
            <w:tcBorders>
              <w:bottom w:val="single" w:sz="4" w:space="0" w:color="000000"/>
            </w:tcBorders>
          </w:tcPr>
          <w:p>
            <w:pPr>
              <w:pStyle w:val="TableParagraph"/>
              <w:spacing w:line="190" w:lineRule="exact"/>
              <w:ind w:right="15"/>
              <w:jc w:val="center"/>
              <w:rPr>
                <w:sz w:val="18"/>
              </w:rPr>
            </w:pPr>
            <w:r>
              <w:rPr>
                <w:spacing w:val="-5"/>
                <w:sz w:val="18"/>
              </w:rPr>
              <w:t>Fee</w:t>
            </w:r>
          </w:p>
        </w:tc>
        <w:tc>
          <w:tcPr>
            <w:tcW w:w="980" w:type="dxa"/>
            <w:tcBorders>
              <w:bottom w:val="single" w:sz="4" w:space="0" w:color="000000"/>
            </w:tcBorders>
          </w:tcPr>
          <w:p>
            <w:pPr>
              <w:pStyle w:val="TableParagraph"/>
              <w:spacing w:line="190" w:lineRule="exact"/>
              <w:ind w:left="277"/>
              <w:rPr>
                <w:sz w:val="18"/>
              </w:rPr>
            </w:pPr>
            <w:r>
              <w:rPr>
                <w:spacing w:val="-2"/>
                <w:sz w:val="18"/>
              </w:rPr>
              <w:t>Assets</w:t>
            </w:r>
          </w:p>
        </w:tc>
        <w:tc>
          <w:tcPr>
            <w:tcW w:w="856" w:type="dxa"/>
            <w:tcBorders>
              <w:bottom w:val="single" w:sz="4" w:space="0" w:color="000000"/>
            </w:tcBorders>
          </w:tcPr>
          <w:p>
            <w:pPr>
              <w:pStyle w:val="TableParagraph"/>
              <w:spacing w:line="190" w:lineRule="exact"/>
              <w:ind w:left="109"/>
              <w:rPr>
                <w:sz w:val="18"/>
              </w:rPr>
            </w:pPr>
            <w:r>
              <w:rPr>
                <w:spacing w:val="-2"/>
                <w:sz w:val="18"/>
              </w:rPr>
              <w:t>Revenue</w:t>
            </w:r>
          </w:p>
        </w:tc>
        <w:tc>
          <w:tcPr>
            <w:tcW w:w="699" w:type="dxa"/>
            <w:tcBorders>
              <w:bottom w:val="single" w:sz="4" w:space="0" w:color="000000"/>
            </w:tcBorders>
          </w:tcPr>
          <w:p>
            <w:pPr>
              <w:pStyle w:val="TableParagraph"/>
              <w:spacing w:line="190" w:lineRule="exact"/>
              <w:ind w:right="14"/>
              <w:jc w:val="center"/>
              <w:rPr>
                <w:sz w:val="18"/>
              </w:rPr>
            </w:pPr>
            <w:r>
              <w:rPr>
                <w:spacing w:val="-5"/>
                <w:sz w:val="18"/>
              </w:rPr>
              <w:t>Fee</w:t>
            </w:r>
          </w:p>
        </w:tc>
      </w:tr>
      <w:tr>
        <w:trPr>
          <w:trHeight w:val="250" w:hRule="atLeast"/>
        </w:trPr>
        <w:tc>
          <w:tcPr>
            <w:tcW w:w="5190" w:type="dxa"/>
            <w:tcBorders>
              <w:top w:val="single" w:sz="4" w:space="0" w:color="000000"/>
            </w:tcBorders>
            <w:shd w:val="clear" w:color="auto" w:fill="CCEDFF"/>
          </w:tcPr>
          <w:p>
            <w:pPr>
              <w:pStyle w:val="TableParagraph"/>
              <w:spacing w:before="13"/>
              <w:ind w:left="52"/>
              <w:rPr>
                <w:sz w:val="18"/>
              </w:rPr>
            </w:pPr>
            <w:r>
              <w:rPr>
                <w:sz w:val="18"/>
              </w:rPr>
              <w:t>Schwab</w:t>
            </w:r>
            <w:r>
              <w:rPr>
                <w:spacing w:val="-1"/>
                <w:sz w:val="18"/>
              </w:rPr>
              <w:t> </w:t>
            </w:r>
            <w:r>
              <w:rPr>
                <w:sz w:val="18"/>
              </w:rPr>
              <w:t>money market funds</w:t>
            </w:r>
            <w:r>
              <w:rPr>
                <w:spacing w:val="-2"/>
                <w:sz w:val="18"/>
              </w:rPr>
              <w:t> </w:t>
            </w:r>
            <w:r>
              <w:rPr>
                <w:sz w:val="18"/>
              </w:rPr>
              <w:t>before fee </w:t>
            </w:r>
            <w:r>
              <w:rPr>
                <w:spacing w:val="-2"/>
                <w:sz w:val="18"/>
              </w:rPr>
              <w:t>waivers</w:t>
            </w:r>
          </w:p>
        </w:tc>
        <w:tc>
          <w:tcPr>
            <w:tcW w:w="949" w:type="dxa"/>
            <w:tcBorders>
              <w:top w:val="single" w:sz="4" w:space="0" w:color="000000"/>
            </w:tcBorders>
            <w:shd w:val="clear" w:color="auto" w:fill="CCEDFF"/>
          </w:tcPr>
          <w:p>
            <w:pPr>
              <w:pStyle w:val="TableParagraph"/>
              <w:spacing w:before="13"/>
              <w:ind w:right="61"/>
              <w:jc w:val="right"/>
              <w:rPr>
                <w:sz w:val="18"/>
              </w:rPr>
            </w:pPr>
            <w:r>
              <w:rPr>
                <w:sz w:val="18"/>
              </w:rPr>
              <w:t>$</w:t>
            </w:r>
            <w:r>
              <w:rPr>
                <w:spacing w:val="33"/>
                <w:sz w:val="18"/>
              </w:rPr>
              <w:t>  </w:t>
            </w:r>
            <w:r>
              <w:rPr>
                <w:spacing w:val="-2"/>
                <w:sz w:val="18"/>
              </w:rPr>
              <w:t>368,788</w:t>
            </w:r>
          </w:p>
        </w:tc>
        <w:tc>
          <w:tcPr>
            <w:tcW w:w="826" w:type="dxa"/>
            <w:tcBorders>
              <w:top w:val="single" w:sz="4" w:space="0" w:color="000000"/>
            </w:tcBorders>
            <w:shd w:val="clear" w:color="auto" w:fill="CCEDFF"/>
          </w:tcPr>
          <w:p>
            <w:pPr>
              <w:pStyle w:val="TableParagraph"/>
              <w:tabs>
                <w:tab w:pos="491" w:val="left" w:leader="none"/>
              </w:tabs>
              <w:spacing w:before="13"/>
              <w:ind w:left="63"/>
              <w:rPr>
                <w:sz w:val="18"/>
              </w:rPr>
            </w:pPr>
            <w:r>
              <w:rPr>
                <w:spacing w:val="-10"/>
                <w:sz w:val="18"/>
              </w:rPr>
              <w:t>$</w:t>
            </w:r>
            <w:r>
              <w:rPr>
                <w:sz w:val="18"/>
              </w:rPr>
              <w:tab/>
            </w:r>
            <w:r>
              <w:rPr>
                <w:spacing w:val="-5"/>
                <w:sz w:val="18"/>
              </w:rPr>
              <w:t>735</w:t>
            </w:r>
          </w:p>
        </w:tc>
        <w:tc>
          <w:tcPr>
            <w:tcW w:w="758" w:type="dxa"/>
            <w:tcBorders>
              <w:top w:val="single" w:sz="4" w:space="0" w:color="000000"/>
            </w:tcBorders>
            <w:shd w:val="clear" w:color="auto" w:fill="CCEDFF"/>
          </w:tcPr>
          <w:p>
            <w:pPr>
              <w:pStyle w:val="TableParagraph"/>
              <w:spacing w:before="13"/>
              <w:ind w:left="102" w:right="15"/>
              <w:jc w:val="center"/>
              <w:rPr>
                <w:sz w:val="18"/>
              </w:rPr>
            </w:pPr>
            <w:r>
              <w:rPr>
                <w:spacing w:val="-2"/>
                <w:sz w:val="18"/>
              </w:rPr>
              <w:t>0.27%</w:t>
            </w:r>
          </w:p>
        </w:tc>
        <w:tc>
          <w:tcPr>
            <w:tcW w:w="980" w:type="dxa"/>
            <w:tcBorders>
              <w:top w:val="single" w:sz="4" w:space="0" w:color="000000"/>
            </w:tcBorders>
            <w:shd w:val="clear" w:color="auto" w:fill="CCEDFF"/>
          </w:tcPr>
          <w:p>
            <w:pPr>
              <w:pStyle w:val="TableParagraph"/>
              <w:spacing w:before="13"/>
              <w:ind w:right="60"/>
              <w:jc w:val="right"/>
              <w:rPr>
                <w:sz w:val="18"/>
              </w:rPr>
            </w:pPr>
            <w:r>
              <w:rPr>
                <w:sz w:val="18"/>
              </w:rPr>
              <w:t>$</w:t>
            </w:r>
            <w:r>
              <w:rPr>
                <w:spacing w:val="33"/>
                <w:sz w:val="18"/>
              </w:rPr>
              <w:t>  </w:t>
            </w:r>
            <w:r>
              <w:rPr>
                <w:spacing w:val="-2"/>
                <w:sz w:val="18"/>
              </w:rPr>
              <w:t>158,525</w:t>
            </w:r>
          </w:p>
        </w:tc>
        <w:tc>
          <w:tcPr>
            <w:tcW w:w="856" w:type="dxa"/>
            <w:tcBorders>
              <w:top w:val="single" w:sz="4" w:space="0" w:color="000000"/>
            </w:tcBorders>
            <w:shd w:val="clear" w:color="auto" w:fill="CCEDFF"/>
          </w:tcPr>
          <w:p>
            <w:pPr>
              <w:pStyle w:val="TableParagraph"/>
              <w:tabs>
                <w:tab w:pos="492" w:val="left" w:leader="none"/>
              </w:tabs>
              <w:spacing w:before="13"/>
              <w:ind w:left="64"/>
              <w:rPr>
                <w:sz w:val="18"/>
              </w:rPr>
            </w:pPr>
            <w:r>
              <w:rPr>
                <w:spacing w:val="-10"/>
                <w:sz w:val="18"/>
              </w:rPr>
              <w:t>$</w:t>
            </w:r>
            <w:r>
              <w:rPr>
                <w:sz w:val="18"/>
              </w:rPr>
              <w:tab/>
            </w:r>
            <w:r>
              <w:rPr>
                <w:spacing w:val="-5"/>
                <w:sz w:val="18"/>
              </w:rPr>
              <w:t>340</w:t>
            </w:r>
          </w:p>
        </w:tc>
        <w:tc>
          <w:tcPr>
            <w:tcW w:w="699" w:type="dxa"/>
            <w:tcBorders>
              <w:top w:val="single" w:sz="4" w:space="0" w:color="000000"/>
            </w:tcBorders>
            <w:shd w:val="clear" w:color="auto" w:fill="CCEDFF"/>
          </w:tcPr>
          <w:p>
            <w:pPr>
              <w:pStyle w:val="TableParagraph"/>
              <w:spacing w:before="13"/>
              <w:ind w:left="102" w:right="14"/>
              <w:jc w:val="center"/>
              <w:rPr>
                <w:sz w:val="18"/>
              </w:rPr>
            </w:pPr>
            <w:r>
              <w:rPr>
                <w:spacing w:val="-2"/>
                <w:sz w:val="18"/>
              </w:rPr>
              <w:t>0.29%</w:t>
            </w:r>
          </w:p>
        </w:tc>
      </w:tr>
      <w:tr>
        <w:trPr>
          <w:trHeight w:val="250" w:hRule="atLeast"/>
        </w:trPr>
        <w:tc>
          <w:tcPr>
            <w:tcW w:w="5190" w:type="dxa"/>
            <w:tcBorders>
              <w:bottom w:val="single" w:sz="4" w:space="0" w:color="000000"/>
            </w:tcBorders>
          </w:tcPr>
          <w:p>
            <w:pPr>
              <w:pStyle w:val="TableParagraph"/>
              <w:spacing w:before="18"/>
              <w:ind w:left="52"/>
              <w:rPr>
                <w:sz w:val="18"/>
              </w:rPr>
            </w:pPr>
            <w:r>
              <w:rPr>
                <w:sz w:val="18"/>
              </w:rPr>
              <w:t>Fee</w:t>
            </w:r>
            <w:r>
              <w:rPr>
                <w:spacing w:val="-1"/>
                <w:sz w:val="18"/>
              </w:rPr>
              <w:t> </w:t>
            </w:r>
            <w:r>
              <w:rPr>
                <w:spacing w:val="-2"/>
                <w:sz w:val="18"/>
              </w:rPr>
              <w:t>waivers</w:t>
            </w:r>
          </w:p>
        </w:tc>
        <w:tc>
          <w:tcPr>
            <w:tcW w:w="949" w:type="dxa"/>
            <w:tcBorders>
              <w:bottom w:val="single" w:sz="4" w:space="0" w:color="000000"/>
            </w:tcBorders>
          </w:tcPr>
          <w:p>
            <w:pPr>
              <w:pStyle w:val="TableParagraph"/>
              <w:rPr>
                <w:sz w:val="18"/>
              </w:rPr>
            </w:pPr>
          </w:p>
        </w:tc>
        <w:tc>
          <w:tcPr>
            <w:tcW w:w="826" w:type="dxa"/>
            <w:tcBorders>
              <w:bottom w:val="single" w:sz="4" w:space="0" w:color="000000"/>
            </w:tcBorders>
          </w:tcPr>
          <w:p>
            <w:pPr>
              <w:pStyle w:val="TableParagraph"/>
              <w:spacing w:before="18"/>
              <w:ind w:right="62"/>
              <w:jc w:val="right"/>
              <w:rPr>
                <w:sz w:val="18"/>
              </w:rPr>
            </w:pPr>
            <w:r>
              <w:rPr>
                <w:spacing w:val="-10"/>
                <w:sz w:val="18"/>
              </w:rPr>
              <w:t>—</w:t>
            </w:r>
          </w:p>
        </w:tc>
        <w:tc>
          <w:tcPr>
            <w:tcW w:w="758" w:type="dxa"/>
            <w:tcBorders>
              <w:bottom w:val="single" w:sz="4" w:space="0" w:color="000000"/>
            </w:tcBorders>
          </w:tcPr>
          <w:p>
            <w:pPr>
              <w:pStyle w:val="TableParagraph"/>
              <w:rPr>
                <w:sz w:val="18"/>
              </w:rPr>
            </w:pPr>
          </w:p>
        </w:tc>
        <w:tc>
          <w:tcPr>
            <w:tcW w:w="980" w:type="dxa"/>
            <w:tcBorders>
              <w:bottom w:val="single" w:sz="4" w:space="0" w:color="000000"/>
            </w:tcBorders>
          </w:tcPr>
          <w:p>
            <w:pPr>
              <w:pStyle w:val="TableParagraph"/>
              <w:rPr>
                <w:sz w:val="18"/>
              </w:rPr>
            </w:pPr>
          </w:p>
        </w:tc>
        <w:tc>
          <w:tcPr>
            <w:tcW w:w="856" w:type="dxa"/>
            <w:tcBorders>
              <w:bottom w:val="single" w:sz="4" w:space="0" w:color="000000"/>
            </w:tcBorders>
          </w:tcPr>
          <w:p>
            <w:pPr>
              <w:pStyle w:val="TableParagraph"/>
              <w:spacing w:before="18"/>
              <w:ind w:right="31"/>
              <w:jc w:val="right"/>
              <w:rPr>
                <w:sz w:val="18"/>
              </w:rPr>
            </w:pPr>
            <w:r>
              <w:rPr>
                <w:spacing w:val="-4"/>
                <w:sz w:val="18"/>
              </w:rPr>
              <w:t>(57)</w:t>
            </w:r>
          </w:p>
        </w:tc>
        <w:tc>
          <w:tcPr>
            <w:tcW w:w="699" w:type="dxa"/>
            <w:tcBorders>
              <w:bottom w:val="single" w:sz="4" w:space="0" w:color="000000"/>
            </w:tcBorders>
          </w:tcPr>
          <w:p>
            <w:pPr>
              <w:pStyle w:val="TableParagraph"/>
              <w:rPr>
                <w:sz w:val="18"/>
              </w:rPr>
            </w:pPr>
          </w:p>
        </w:tc>
      </w:tr>
      <w:tr>
        <w:trPr>
          <w:trHeight w:val="250" w:hRule="atLeast"/>
        </w:trPr>
        <w:tc>
          <w:tcPr>
            <w:tcW w:w="5190" w:type="dxa"/>
            <w:tcBorders>
              <w:top w:val="single" w:sz="4" w:space="0" w:color="000000"/>
            </w:tcBorders>
            <w:shd w:val="clear" w:color="auto" w:fill="CCEDFF"/>
          </w:tcPr>
          <w:p>
            <w:pPr>
              <w:pStyle w:val="TableParagraph"/>
              <w:spacing w:before="13"/>
              <w:ind w:left="52"/>
              <w:rPr>
                <w:sz w:val="18"/>
              </w:rPr>
            </w:pPr>
            <w:r>
              <w:rPr>
                <w:sz w:val="18"/>
              </w:rPr>
              <w:t>Schwab</w:t>
            </w:r>
            <w:r>
              <w:rPr>
                <w:spacing w:val="-1"/>
                <w:sz w:val="18"/>
              </w:rPr>
              <w:t> </w:t>
            </w:r>
            <w:r>
              <w:rPr>
                <w:sz w:val="18"/>
              </w:rPr>
              <w:t>money</w:t>
            </w:r>
            <w:r>
              <w:rPr>
                <w:spacing w:val="-1"/>
                <w:sz w:val="18"/>
              </w:rPr>
              <w:t> </w:t>
            </w:r>
            <w:r>
              <w:rPr>
                <w:sz w:val="18"/>
              </w:rPr>
              <w:t>market </w:t>
            </w:r>
            <w:r>
              <w:rPr>
                <w:spacing w:val="-2"/>
                <w:sz w:val="18"/>
              </w:rPr>
              <w:t>funds</w:t>
            </w:r>
          </w:p>
        </w:tc>
        <w:tc>
          <w:tcPr>
            <w:tcW w:w="949" w:type="dxa"/>
            <w:tcBorders>
              <w:top w:val="single" w:sz="4" w:space="0" w:color="000000"/>
            </w:tcBorders>
            <w:shd w:val="clear" w:color="auto" w:fill="CCEDFF"/>
          </w:tcPr>
          <w:p>
            <w:pPr>
              <w:pStyle w:val="TableParagraph"/>
              <w:spacing w:before="13"/>
              <w:ind w:right="61"/>
              <w:jc w:val="right"/>
              <w:rPr>
                <w:sz w:val="18"/>
              </w:rPr>
            </w:pPr>
            <w:r>
              <w:rPr>
                <w:spacing w:val="-2"/>
                <w:sz w:val="18"/>
              </w:rPr>
              <w:t>368,788</w:t>
            </w:r>
          </w:p>
        </w:tc>
        <w:tc>
          <w:tcPr>
            <w:tcW w:w="826" w:type="dxa"/>
            <w:tcBorders>
              <w:top w:val="single" w:sz="4" w:space="0" w:color="000000"/>
            </w:tcBorders>
            <w:shd w:val="clear" w:color="auto" w:fill="CCEDFF"/>
          </w:tcPr>
          <w:p>
            <w:pPr>
              <w:pStyle w:val="TableParagraph"/>
              <w:spacing w:before="13"/>
              <w:ind w:right="62"/>
              <w:jc w:val="right"/>
              <w:rPr>
                <w:sz w:val="18"/>
              </w:rPr>
            </w:pPr>
            <w:r>
              <w:rPr>
                <w:spacing w:val="-5"/>
                <w:sz w:val="18"/>
              </w:rPr>
              <w:t>735</w:t>
            </w:r>
          </w:p>
        </w:tc>
        <w:tc>
          <w:tcPr>
            <w:tcW w:w="758" w:type="dxa"/>
            <w:tcBorders>
              <w:top w:val="single" w:sz="4" w:space="0" w:color="000000"/>
            </w:tcBorders>
            <w:shd w:val="clear" w:color="auto" w:fill="CCEDFF"/>
          </w:tcPr>
          <w:p>
            <w:pPr>
              <w:pStyle w:val="TableParagraph"/>
              <w:spacing w:before="13"/>
              <w:ind w:left="102" w:right="15"/>
              <w:jc w:val="center"/>
              <w:rPr>
                <w:sz w:val="18"/>
              </w:rPr>
            </w:pPr>
            <w:r>
              <w:rPr>
                <w:spacing w:val="-2"/>
                <w:sz w:val="18"/>
              </w:rPr>
              <w:t>0.27%</w:t>
            </w:r>
          </w:p>
        </w:tc>
        <w:tc>
          <w:tcPr>
            <w:tcW w:w="980" w:type="dxa"/>
            <w:tcBorders>
              <w:top w:val="single" w:sz="4" w:space="0" w:color="000000"/>
            </w:tcBorders>
            <w:shd w:val="clear" w:color="auto" w:fill="CCEDFF"/>
          </w:tcPr>
          <w:p>
            <w:pPr>
              <w:pStyle w:val="TableParagraph"/>
              <w:spacing w:before="13"/>
              <w:ind w:right="60"/>
              <w:jc w:val="right"/>
              <w:rPr>
                <w:sz w:val="18"/>
              </w:rPr>
            </w:pPr>
            <w:r>
              <w:rPr>
                <w:spacing w:val="-2"/>
                <w:sz w:val="18"/>
              </w:rPr>
              <w:t>158,525</w:t>
            </w:r>
          </w:p>
        </w:tc>
        <w:tc>
          <w:tcPr>
            <w:tcW w:w="856" w:type="dxa"/>
            <w:tcBorders>
              <w:top w:val="single" w:sz="4" w:space="0" w:color="000000"/>
            </w:tcBorders>
            <w:shd w:val="clear" w:color="auto" w:fill="CCEDFF"/>
          </w:tcPr>
          <w:p>
            <w:pPr>
              <w:pStyle w:val="TableParagraph"/>
              <w:spacing w:before="13"/>
              <w:ind w:right="91"/>
              <w:jc w:val="right"/>
              <w:rPr>
                <w:sz w:val="18"/>
              </w:rPr>
            </w:pPr>
            <w:r>
              <w:rPr>
                <w:spacing w:val="-5"/>
                <w:sz w:val="18"/>
              </w:rPr>
              <w:t>283</w:t>
            </w:r>
          </w:p>
        </w:tc>
        <w:tc>
          <w:tcPr>
            <w:tcW w:w="699" w:type="dxa"/>
            <w:tcBorders>
              <w:top w:val="single" w:sz="4" w:space="0" w:color="000000"/>
            </w:tcBorders>
            <w:shd w:val="clear" w:color="auto" w:fill="CCEDFF"/>
          </w:tcPr>
          <w:p>
            <w:pPr>
              <w:pStyle w:val="TableParagraph"/>
              <w:spacing w:before="13"/>
              <w:ind w:left="102" w:right="14"/>
              <w:jc w:val="center"/>
              <w:rPr>
                <w:sz w:val="18"/>
              </w:rPr>
            </w:pPr>
            <w:r>
              <w:rPr>
                <w:spacing w:val="-2"/>
                <w:sz w:val="18"/>
              </w:rPr>
              <w:t>0.24%</w:t>
            </w:r>
          </w:p>
        </w:tc>
      </w:tr>
      <w:tr>
        <w:trPr>
          <w:trHeight w:val="255" w:hRule="atLeast"/>
        </w:trPr>
        <w:tc>
          <w:tcPr>
            <w:tcW w:w="5190" w:type="dxa"/>
          </w:tcPr>
          <w:p>
            <w:pPr>
              <w:pStyle w:val="TableParagraph"/>
              <w:spacing w:before="18"/>
              <w:ind w:left="52"/>
              <w:rPr>
                <w:sz w:val="18"/>
              </w:rPr>
            </w:pPr>
            <w:r>
              <w:rPr>
                <w:sz w:val="18"/>
              </w:rPr>
              <w:t>Schwab</w:t>
            </w:r>
            <w:r>
              <w:rPr>
                <w:spacing w:val="-1"/>
                <w:sz w:val="18"/>
              </w:rPr>
              <w:t> </w:t>
            </w:r>
            <w:r>
              <w:rPr>
                <w:sz w:val="18"/>
              </w:rPr>
              <w:t>equity</w:t>
            </w:r>
            <w:r>
              <w:rPr>
                <w:spacing w:val="-1"/>
                <w:sz w:val="18"/>
              </w:rPr>
              <w:t> </w:t>
            </w:r>
            <w:r>
              <w:rPr>
                <w:sz w:val="18"/>
              </w:rPr>
              <w:t>and</w:t>
            </w:r>
            <w:r>
              <w:rPr>
                <w:spacing w:val="-1"/>
                <w:sz w:val="18"/>
              </w:rPr>
              <w:t> </w:t>
            </w:r>
            <w:r>
              <w:rPr>
                <w:sz w:val="18"/>
              </w:rPr>
              <w:t>bond funds,</w:t>
            </w:r>
            <w:r>
              <w:rPr>
                <w:spacing w:val="-1"/>
                <w:sz w:val="18"/>
              </w:rPr>
              <w:t> </w:t>
            </w:r>
            <w:r>
              <w:rPr>
                <w:sz w:val="18"/>
              </w:rPr>
              <w:t>ETFs,</w:t>
            </w:r>
            <w:r>
              <w:rPr>
                <w:spacing w:val="-1"/>
                <w:sz w:val="18"/>
              </w:rPr>
              <w:t> </w:t>
            </w:r>
            <w:r>
              <w:rPr>
                <w:sz w:val="18"/>
              </w:rPr>
              <w:t>and </w:t>
            </w:r>
            <w:r>
              <w:rPr>
                <w:spacing w:val="-4"/>
                <w:sz w:val="18"/>
              </w:rPr>
              <w:t>CTFs</w:t>
            </w:r>
          </w:p>
        </w:tc>
        <w:tc>
          <w:tcPr>
            <w:tcW w:w="949" w:type="dxa"/>
          </w:tcPr>
          <w:p>
            <w:pPr>
              <w:pStyle w:val="TableParagraph"/>
              <w:spacing w:before="18"/>
              <w:ind w:right="61"/>
              <w:jc w:val="right"/>
              <w:rPr>
                <w:sz w:val="18"/>
              </w:rPr>
            </w:pPr>
            <w:r>
              <w:rPr>
                <w:spacing w:val="-2"/>
                <w:sz w:val="18"/>
              </w:rPr>
              <w:t>466,995</w:t>
            </w:r>
          </w:p>
        </w:tc>
        <w:tc>
          <w:tcPr>
            <w:tcW w:w="826" w:type="dxa"/>
          </w:tcPr>
          <w:p>
            <w:pPr>
              <w:pStyle w:val="TableParagraph"/>
              <w:spacing w:before="18"/>
              <w:ind w:right="62"/>
              <w:jc w:val="right"/>
              <w:rPr>
                <w:sz w:val="18"/>
              </w:rPr>
            </w:pPr>
            <w:r>
              <w:rPr>
                <w:spacing w:val="-5"/>
                <w:sz w:val="18"/>
              </w:rPr>
              <w:t>284</w:t>
            </w:r>
          </w:p>
        </w:tc>
        <w:tc>
          <w:tcPr>
            <w:tcW w:w="758" w:type="dxa"/>
          </w:tcPr>
          <w:p>
            <w:pPr>
              <w:pStyle w:val="TableParagraph"/>
              <w:spacing w:before="18"/>
              <w:ind w:left="102" w:right="15"/>
              <w:jc w:val="center"/>
              <w:rPr>
                <w:sz w:val="18"/>
              </w:rPr>
            </w:pPr>
            <w:r>
              <w:rPr>
                <w:spacing w:val="-2"/>
                <w:sz w:val="18"/>
              </w:rPr>
              <w:t>0.08%</w:t>
            </w:r>
          </w:p>
        </w:tc>
        <w:tc>
          <w:tcPr>
            <w:tcW w:w="980" w:type="dxa"/>
          </w:tcPr>
          <w:p>
            <w:pPr>
              <w:pStyle w:val="TableParagraph"/>
              <w:spacing w:before="18"/>
              <w:ind w:right="60"/>
              <w:jc w:val="right"/>
              <w:rPr>
                <w:sz w:val="18"/>
              </w:rPr>
            </w:pPr>
            <w:r>
              <w:rPr>
                <w:spacing w:val="-2"/>
                <w:sz w:val="18"/>
              </w:rPr>
              <w:t>436,928</w:t>
            </w:r>
          </w:p>
        </w:tc>
        <w:tc>
          <w:tcPr>
            <w:tcW w:w="856" w:type="dxa"/>
          </w:tcPr>
          <w:p>
            <w:pPr>
              <w:pStyle w:val="TableParagraph"/>
              <w:spacing w:before="18"/>
              <w:ind w:right="91"/>
              <w:jc w:val="right"/>
              <w:rPr>
                <w:sz w:val="18"/>
              </w:rPr>
            </w:pPr>
            <w:r>
              <w:rPr>
                <w:spacing w:val="-5"/>
                <w:sz w:val="18"/>
              </w:rPr>
              <w:t>278</w:t>
            </w:r>
          </w:p>
        </w:tc>
        <w:tc>
          <w:tcPr>
            <w:tcW w:w="699" w:type="dxa"/>
          </w:tcPr>
          <w:p>
            <w:pPr>
              <w:pStyle w:val="TableParagraph"/>
              <w:spacing w:before="18"/>
              <w:ind w:left="102" w:right="14"/>
              <w:jc w:val="center"/>
              <w:rPr>
                <w:sz w:val="18"/>
              </w:rPr>
            </w:pPr>
            <w:r>
              <w:rPr>
                <w:spacing w:val="-2"/>
                <w:sz w:val="18"/>
              </w:rPr>
              <w:t>0.09%</w:t>
            </w:r>
          </w:p>
        </w:tc>
      </w:tr>
      <w:tr>
        <w:trPr>
          <w:trHeight w:val="255" w:hRule="atLeast"/>
        </w:trPr>
        <w:tc>
          <w:tcPr>
            <w:tcW w:w="5190" w:type="dxa"/>
            <w:shd w:val="clear" w:color="auto" w:fill="CCEDFF"/>
          </w:tcPr>
          <w:p>
            <w:pPr>
              <w:pStyle w:val="TableParagraph"/>
              <w:spacing w:before="18"/>
              <w:ind w:left="52"/>
              <w:rPr>
                <w:sz w:val="18"/>
              </w:rPr>
            </w:pPr>
            <w:r>
              <w:rPr>
                <w:sz w:val="18"/>
              </w:rPr>
              <w:t>Mutual</w:t>
            </w:r>
            <w:r>
              <w:rPr>
                <w:spacing w:val="-1"/>
                <w:sz w:val="18"/>
              </w:rPr>
              <w:t> </w:t>
            </w:r>
            <w:r>
              <w:rPr>
                <w:sz w:val="18"/>
              </w:rPr>
              <w:t>Fund</w:t>
            </w:r>
            <w:r>
              <w:rPr>
                <w:spacing w:val="-1"/>
                <w:sz w:val="18"/>
              </w:rPr>
              <w:t> </w:t>
            </w:r>
            <w:r>
              <w:rPr>
                <w:sz w:val="18"/>
              </w:rPr>
              <w:t>OneSource</w:t>
            </w:r>
            <w:r>
              <w:rPr>
                <w:sz w:val="18"/>
                <w:vertAlign w:val="superscript"/>
              </w:rPr>
              <w:t>®</w:t>
            </w:r>
            <w:r>
              <w:rPr>
                <w:spacing w:val="-1"/>
                <w:sz w:val="18"/>
                <w:vertAlign w:val="baseline"/>
              </w:rPr>
              <w:t> </w:t>
            </w:r>
            <w:r>
              <w:rPr>
                <w:sz w:val="18"/>
                <w:vertAlign w:val="baseline"/>
              </w:rPr>
              <w:t>and</w:t>
            </w:r>
            <w:r>
              <w:rPr>
                <w:spacing w:val="-1"/>
                <w:sz w:val="18"/>
                <w:vertAlign w:val="baseline"/>
              </w:rPr>
              <w:t> </w:t>
            </w:r>
            <w:r>
              <w:rPr>
                <w:sz w:val="18"/>
                <w:vertAlign w:val="baseline"/>
              </w:rPr>
              <w:t>other</w:t>
            </w:r>
            <w:r>
              <w:rPr>
                <w:spacing w:val="-1"/>
                <w:sz w:val="18"/>
                <w:vertAlign w:val="baseline"/>
              </w:rPr>
              <w:t> </w:t>
            </w:r>
            <w:r>
              <w:rPr>
                <w:sz w:val="18"/>
                <w:vertAlign w:val="baseline"/>
              </w:rPr>
              <w:t>NTF</w:t>
            </w:r>
            <w:r>
              <w:rPr>
                <w:spacing w:val="-1"/>
                <w:sz w:val="18"/>
                <w:vertAlign w:val="baseline"/>
              </w:rPr>
              <w:t> </w:t>
            </w:r>
            <w:r>
              <w:rPr>
                <w:sz w:val="18"/>
                <w:vertAlign w:val="baseline"/>
              </w:rPr>
              <w:t>funds</w:t>
            </w:r>
            <w:r>
              <w:rPr>
                <w:spacing w:val="-3"/>
                <w:sz w:val="18"/>
                <w:vertAlign w:val="baseline"/>
              </w:rPr>
              <w:t> </w:t>
            </w:r>
            <w:r>
              <w:rPr>
                <w:spacing w:val="-5"/>
                <w:sz w:val="18"/>
                <w:vertAlign w:val="superscript"/>
              </w:rPr>
              <w:t>(1)</w:t>
            </w:r>
          </w:p>
        </w:tc>
        <w:tc>
          <w:tcPr>
            <w:tcW w:w="949" w:type="dxa"/>
            <w:shd w:val="clear" w:color="auto" w:fill="CCEDFF"/>
          </w:tcPr>
          <w:p>
            <w:pPr>
              <w:pStyle w:val="TableParagraph"/>
              <w:spacing w:before="18"/>
              <w:ind w:right="61"/>
              <w:jc w:val="right"/>
              <w:rPr>
                <w:sz w:val="18"/>
              </w:rPr>
            </w:pPr>
            <w:r>
              <w:rPr>
                <w:spacing w:val="-2"/>
                <w:sz w:val="18"/>
              </w:rPr>
              <w:t>235,561</w:t>
            </w:r>
          </w:p>
        </w:tc>
        <w:tc>
          <w:tcPr>
            <w:tcW w:w="826" w:type="dxa"/>
            <w:shd w:val="clear" w:color="auto" w:fill="CCEDFF"/>
          </w:tcPr>
          <w:p>
            <w:pPr>
              <w:pStyle w:val="TableParagraph"/>
              <w:spacing w:before="18"/>
              <w:ind w:right="62"/>
              <w:jc w:val="right"/>
              <w:rPr>
                <w:sz w:val="18"/>
              </w:rPr>
            </w:pPr>
            <w:r>
              <w:rPr>
                <w:spacing w:val="-5"/>
                <w:sz w:val="18"/>
              </w:rPr>
              <w:t>469</w:t>
            </w:r>
          </w:p>
        </w:tc>
        <w:tc>
          <w:tcPr>
            <w:tcW w:w="758" w:type="dxa"/>
            <w:shd w:val="clear" w:color="auto" w:fill="CCEDFF"/>
          </w:tcPr>
          <w:p>
            <w:pPr>
              <w:pStyle w:val="TableParagraph"/>
              <w:spacing w:before="18"/>
              <w:ind w:left="102" w:right="15"/>
              <w:jc w:val="center"/>
              <w:rPr>
                <w:sz w:val="18"/>
              </w:rPr>
            </w:pPr>
            <w:r>
              <w:rPr>
                <w:spacing w:val="-2"/>
                <w:sz w:val="18"/>
              </w:rPr>
              <w:t>0.27%</w:t>
            </w:r>
          </w:p>
        </w:tc>
        <w:tc>
          <w:tcPr>
            <w:tcW w:w="980" w:type="dxa"/>
            <w:shd w:val="clear" w:color="auto" w:fill="CCEDFF"/>
          </w:tcPr>
          <w:p>
            <w:pPr>
              <w:pStyle w:val="TableParagraph"/>
              <w:spacing w:before="18"/>
              <w:ind w:right="60"/>
              <w:jc w:val="right"/>
              <w:rPr>
                <w:sz w:val="18"/>
              </w:rPr>
            </w:pPr>
            <w:r>
              <w:rPr>
                <w:spacing w:val="-2"/>
                <w:sz w:val="18"/>
              </w:rPr>
              <w:t>196,032</w:t>
            </w:r>
          </w:p>
        </w:tc>
        <w:tc>
          <w:tcPr>
            <w:tcW w:w="856" w:type="dxa"/>
            <w:shd w:val="clear" w:color="auto" w:fill="CCEDFF"/>
          </w:tcPr>
          <w:p>
            <w:pPr>
              <w:pStyle w:val="TableParagraph"/>
              <w:spacing w:before="18"/>
              <w:ind w:right="91"/>
              <w:jc w:val="right"/>
              <w:rPr>
                <w:sz w:val="18"/>
              </w:rPr>
            </w:pPr>
            <w:r>
              <w:rPr>
                <w:spacing w:val="-5"/>
                <w:sz w:val="18"/>
              </w:rPr>
              <w:t>453</w:t>
            </w:r>
          </w:p>
        </w:tc>
        <w:tc>
          <w:tcPr>
            <w:tcW w:w="699" w:type="dxa"/>
            <w:shd w:val="clear" w:color="auto" w:fill="CCEDFF"/>
          </w:tcPr>
          <w:p>
            <w:pPr>
              <w:pStyle w:val="TableParagraph"/>
              <w:spacing w:before="18"/>
              <w:ind w:left="102" w:right="14"/>
              <w:jc w:val="center"/>
              <w:rPr>
                <w:sz w:val="18"/>
              </w:rPr>
            </w:pPr>
            <w:r>
              <w:rPr>
                <w:spacing w:val="-2"/>
                <w:sz w:val="18"/>
              </w:rPr>
              <w:t>0.31%</w:t>
            </w:r>
          </w:p>
        </w:tc>
      </w:tr>
      <w:tr>
        <w:trPr>
          <w:trHeight w:val="250" w:hRule="atLeast"/>
        </w:trPr>
        <w:tc>
          <w:tcPr>
            <w:tcW w:w="5190" w:type="dxa"/>
            <w:tcBorders>
              <w:bottom w:val="single" w:sz="4" w:space="0" w:color="000000"/>
            </w:tcBorders>
          </w:tcPr>
          <w:p>
            <w:pPr>
              <w:pStyle w:val="TableParagraph"/>
              <w:spacing w:before="18"/>
              <w:ind w:left="52"/>
              <w:rPr>
                <w:sz w:val="18"/>
              </w:rPr>
            </w:pPr>
            <w:r>
              <w:rPr>
                <w:sz w:val="18"/>
              </w:rPr>
              <w:t>Other</w:t>
            </w:r>
            <w:r>
              <w:rPr>
                <w:spacing w:val="-3"/>
                <w:sz w:val="18"/>
              </w:rPr>
              <w:t> </w:t>
            </w:r>
            <w:r>
              <w:rPr>
                <w:sz w:val="18"/>
              </w:rPr>
              <w:t>third-party mutual</w:t>
            </w:r>
            <w:r>
              <w:rPr>
                <w:spacing w:val="-1"/>
                <w:sz w:val="18"/>
              </w:rPr>
              <w:t> </w:t>
            </w:r>
            <w:r>
              <w:rPr>
                <w:sz w:val="18"/>
              </w:rPr>
              <w:t>funds</w:t>
            </w:r>
            <w:r>
              <w:rPr>
                <w:spacing w:val="-1"/>
                <w:sz w:val="18"/>
              </w:rPr>
              <w:t> </w:t>
            </w:r>
            <w:r>
              <w:rPr>
                <w:sz w:val="18"/>
              </w:rPr>
              <w:t>and ETFs</w:t>
            </w:r>
            <w:r>
              <w:rPr>
                <w:spacing w:val="-3"/>
                <w:sz w:val="18"/>
              </w:rPr>
              <w:t> </w:t>
            </w:r>
            <w:r>
              <w:rPr>
                <w:spacing w:val="-5"/>
                <w:sz w:val="18"/>
                <w:vertAlign w:val="superscript"/>
              </w:rPr>
              <w:t>(1)</w:t>
            </w:r>
          </w:p>
        </w:tc>
        <w:tc>
          <w:tcPr>
            <w:tcW w:w="949" w:type="dxa"/>
            <w:tcBorders>
              <w:bottom w:val="single" w:sz="4" w:space="0" w:color="000000"/>
            </w:tcBorders>
          </w:tcPr>
          <w:p>
            <w:pPr>
              <w:pStyle w:val="TableParagraph"/>
              <w:spacing w:before="18"/>
              <w:ind w:right="61"/>
              <w:jc w:val="right"/>
              <w:rPr>
                <w:sz w:val="18"/>
              </w:rPr>
            </w:pPr>
            <w:r>
              <w:rPr>
                <w:spacing w:val="-2"/>
                <w:sz w:val="18"/>
              </w:rPr>
              <w:t>663,577</w:t>
            </w:r>
          </w:p>
        </w:tc>
        <w:tc>
          <w:tcPr>
            <w:tcW w:w="826" w:type="dxa"/>
            <w:tcBorders>
              <w:bottom w:val="single" w:sz="4" w:space="0" w:color="000000"/>
            </w:tcBorders>
          </w:tcPr>
          <w:p>
            <w:pPr>
              <w:pStyle w:val="TableParagraph"/>
              <w:spacing w:before="18"/>
              <w:ind w:right="62"/>
              <w:jc w:val="right"/>
              <w:rPr>
                <w:sz w:val="18"/>
              </w:rPr>
            </w:pPr>
            <w:r>
              <w:rPr>
                <w:spacing w:val="-5"/>
                <w:sz w:val="18"/>
              </w:rPr>
              <w:t>393</w:t>
            </w:r>
          </w:p>
        </w:tc>
        <w:tc>
          <w:tcPr>
            <w:tcW w:w="758" w:type="dxa"/>
            <w:tcBorders>
              <w:bottom w:val="single" w:sz="4" w:space="0" w:color="000000"/>
            </w:tcBorders>
          </w:tcPr>
          <w:p>
            <w:pPr>
              <w:pStyle w:val="TableParagraph"/>
              <w:spacing w:before="18"/>
              <w:ind w:left="102" w:right="15"/>
              <w:jc w:val="center"/>
              <w:rPr>
                <w:sz w:val="18"/>
              </w:rPr>
            </w:pPr>
            <w:r>
              <w:rPr>
                <w:spacing w:val="-2"/>
                <w:sz w:val="18"/>
              </w:rPr>
              <w:t>0.08%</w:t>
            </w:r>
          </w:p>
        </w:tc>
        <w:tc>
          <w:tcPr>
            <w:tcW w:w="980" w:type="dxa"/>
            <w:tcBorders>
              <w:bottom w:val="single" w:sz="4" w:space="0" w:color="000000"/>
            </w:tcBorders>
          </w:tcPr>
          <w:p>
            <w:pPr>
              <w:pStyle w:val="TableParagraph"/>
              <w:spacing w:before="18"/>
              <w:ind w:right="60"/>
              <w:jc w:val="right"/>
              <w:rPr>
                <w:sz w:val="18"/>
              </w:rPr>
            </w:pPr>
            <w:r>
              <w:rPr>
                <w:spacing w:val="-2"/>
                <w:sz w:val="18"/>
              </w:rPr>
              <w:t>805,204</w:t>
            </w:r>
          </w:p>
        </w:tc>
        <w:tc>
          <w:tcPr>
            <w:tcW w:w="856" w:type="dxa"/>
            <w:tcBorders>
              <w:bottom w:val="single" w:sz="4" w:space="0" w:color="000000"/>
            </w:tcBorders>
          </w:tcPr>
          <w:p>
            <w:pPr>
              <w:pStyle w:val="TableParagraph"/>
              <w:spacing w:before="18"/>
              <w:ind w:right="91"/>
              <w:jc w:val="right"/>
              <w:rPr>
                <w:sz w:val="18"/>
              </w:rPr>
            </w:pPr>
            <w:r>
              <w:rPr>
                <w:spacing w:val="-5"/>
                <w:sz w:val="18"/>
              </w:rPr>
              <w:t>510</w:t>
            </w:r>
          </w:p>
        </w:tc>
        <w:tc>
          <w:tcPr>
            <w:tcW w:w="699" w:type="dxa"/>
            <w:tcBorders>
              <w:bottom w:val="single" w:sz="4" w:space="0" w:color="000000"/>
            </w:tcBorders>
          </w:tcPr>
          <w:p>
            <w:pPr>
              <w:pStyle w:val="TableParagraph"/>
              <w:spacing w:before="18"/>
              <w:ind w:left="102" w:right="14"/>
              <w:jc w:val="center"/>
              <w:rPr>
                <w:sz w:val="18"/>
              </w:rPr>
            </w:pPr>
            <w:r>
              <w:rPr>
                <w:spacing w:val="-2"/>
                <w:sz w:val="18"/>
              </w:rPr>
              <w:t>0.08%</w:t>
            </w:r>
          </w:p>
        </w:tc>
      </w:tr>
      <w:tr>
        <w:trPr>
          <w:trHeight w:val="245" w:hRule="atLeast"/>
        </w:trPr>
        <w:tc>
          <w:tcPr>
            <w:tcW w:w="5190" w:type="dxa"/>
            <w:tcBorders>
              <w:top w:val="single" w:sz="4" w:space="0" w:color="000000"/>
              <w:bottom w:val="single" w:sz="4" w:space="0" w:color="000000"/>
            </w:tcBorders>
            <w:shd w:val="clear" w:color="auto" w:fill="CCEDFF"/>
          </w:tcPr>
          <w:p>
            <w:pPr>
              <w:pStyle w:val="TableParagraph"/>
              <w:spacing w:before="13"/>
              <w:ind w:left="292"/>
              <w:rPr>
                <w:sz w:val="18"/>
              </w:rPr>
            </w:pPr>
            <w:r>
              <w:rPr>
                <w:sz w:val="18"/>
              </w:rPr>
              <w:t>Total</w:t>
            </w:r>
            <w:r>
              <w:rPr>
                <w:spacing w:val="-1"/>
                <w:sz w:val="18"/>
              </w:rPr>
              <w:t> </w:t>
            </w:r>
            <w:r>
              <w:rPr>
                <w:sz w:val="18"/>
              </w:rPr>
              <w:t>mutual</w:t>
            </w:r>
            <w:r>
              <w:rPr>
                <w:spacing w:val="-1"/>
                <w:sz w:val="18"/>
              </w:rPr>
              <w:t> </w:t>
            </w:r>
            <w:r>
              <w:rPr>
                <w:sz w:val="18"/>
              </w:rPr>
              <w:t>funds,</w:t>
            </w:r>
            <w:r>
              <w:rPr>
                <w:spacing w:val="-1"/>
                <w:sz w:val="18"/>
              </w:rPr>
              <w:t> </w:t>
            </w:r>
            <w:r>
              <w:rPr>
                <w:sz w:val="18"/>
              </w:rPr>
              <w:t>ETFs, and</w:t>
            </w:r>
            <w:r>
              <w:rPr>
                <w:spacing w:val="-1"/>
                <w:sz w:val="18"/>
              </w:rPr>
              <w:t> </w:t>
            </w:r>
            <w:r>
              <w:rPr>
                <w:sz w:val="18"/>
              </w:rPr>
              <w:t>CTFs</w:t>
            </w:r>
            <w:r>
              <w:rPr>
                <w:spacing w:val="-2"/>
                <w:sz w:val="18"/>
              </w:rPr>
              <w:t> </w:t>
            </w:r>
            <w:r>
              <w:rPr>
                <w:spacing w:val="-5"/>
                <w:sz w:val="18"/>
                <w:vertAlign w:val="superscript"/>
              </w:rPr>
              <w:t>(2)</w:t>
            </w:r>
          </w:p>
        </w:tc>
        <w:tc>
          <w:tcPr>
            <w:tcW w:w="949" w:type="dxa"/>
            <w:tcBorders>
              <w:top w:val="single" w:sz="4" w:space="0" w:color="000000"/>
              <w:bottom w:val="single" w:sz="4" w:space="0" w:color="000000"/>
            </w:tcBorders>
            <w:shd w:val="clear" w:color="auto" w:fill="CCEDFF"/>
          </w:tcPr>
          <w:p>
            <w:pPr>
              <w:pStyle w:val="TableParagraph"/>
              <w:spacing w:before="13"/>
              <w:ind w:right="61"/>
              <w:jc w:val="right"/>
              <w:rPr>
                <w:sz w:val="18"/>
              </w:rPr>
            </w:pPr>
            <w:r>
              <w:rPr>
                <w:sz w:val="18"/>
              </w:rPr>
              <w:t>$</w:t>
            </w:r>
            <w:r>
              <w:rPr>
                <w:spacing w:val="-23"/>
                <w:sz w:val="18"/>
              </w:rPr>
              <w:t> </w:t>
            </w:r>
            <w:r>
              <w:rPr>
                <w:spacing w:val="-2"/>
                <w:sz w:val="18"/>
              </w:rPr>
              <w:t>1,734,921</w:t>
            </w:r>
          </w:p>
        </w:tc>
        <w:tc>
          <w:tcPr>
            <w:tcW w:w="826" w:type="dxa"/>
            <w:tcBorders>
              <w:top w:val="single" w:sz="4" w:space="0" w:color="000000"/>
              <w:bottom w:val="single" w:sz="4" w:space="0" w:color="000000"/>
            </w:tcBorders>
            <w:shd w:val="clear" w:color="auto" w:fill="CCEDFF"/>
          </w:tcPr>
          <w:p>
            <w:pPr>
              <w:pStyle w:val="TableParagraph"/>
              <w:spacing w:before="13"/>
              <w:ind w:right="62"/>
              <w:jc w:val="right"/>
              <w:rPr>
                <w:sz w:val="18"/>
              </w:rPr>
            </w:pPr>
            <w:r>
              <w:rPr>
                <w:spacing w:val="-2"/>
                <w:sz w:val="18"/>
              </w:rPr>
              <w:t>1,881</w:t>
            </w:r>
          </w:p>
        </w:tc>
        <w:tc>
          <w:tcPr>
            <w:tcW w:w="758" w:type="dxa"/>
            <w:tcBorders>
              <w:top w:val="single" w:sz="4" w:space="0" w:color="000000"/>
              <w:bottom w:val="single" w:sz="4" w:space="0" w:color="000000"/>
            </w:tcBorders>
            <w:shd w:val="clear" w:color="auto" w:fill="CCEDFF"/>
          </w:tcPr>
          <w:p>
            <w:pPr>
              <w:pStyle w:val="TableParagraph"/>
              <w:spacing w:before="13"/>
              <w:ind w:left="102" w:right="15"/>
              <w:jc w:val="center"/>
              <w:rPr>
                <w:sz w:val="18"/>
              </w:rPr>
            </w:pPr>
            <w:r>
              <w:rPr>
                <w:spacing w:val="-2"/>
                <w:sz w:val="18"/>
              </w:rPr>
              <w:t>0.14%</w:t>
            </w:r>
          </w:p>
        </w:tc>
        <w:tc>
          <w:tcPr>
            <w:tcW w:w="980" w:type="dxa"/>
            <w:tcBorders>
              <w:top w:val="single" w:sz="4" w:space="0" w:color="000000"/>
              <w:bottom w:val="single" w:sz="4" w:space="0" w:color="000000"/>
            </w:tcBorders>
            <w:shd w:val="clear" w:color="auto" w:fill="CCEDFF"/>
          </w:tcPr>
          <w:p>
            <w:pPr>
              <w:pStyle w:val="TableParagraph"/>
              <w:spacing w:before="13"/>
              <w:ind w:right="60"/>
              <w:jc w:val="right"/>
              <w:rPr>
                <w:sz w:val="18"/>
              </w:rPr>
            </w:pPr>
            <w:r>
              <w:rPr>
                <w:sz w:val="18"/>
              </w:rPr>
              <w:t>$</w:t>
            </w:r>
            <w:r>
              <w:rPr>
                <w:spacing w:val="-23"/>
                <w:sz w:val="18"/>
              </w:rPr>
              <w:t> </w:t>
            </w:r>
            <w:r>
              <w:rPr>
                <w:spacing w:val="-2"/>
                <w:sz w:val="18"/>
              </w:rPr>
              <w:t>1,596,689</w:t>
            </w:r>
          </w:p>
        </w:tc>
        <w:tc>
          <w:tcPr>
            <w:tcW w:w="856" w:type="dxa"/>
            <w:tcBorders>
              <w:top w:val="single" w:sz="4" w:space="0" w:color="000000"/>
              <w:bottom w:val="single" w:sz="4" w:space="0" w:color="000000"/>
            </w:tcBorders>
            <w:shd w:val="clear" w:color="auto" w:fill="CCEDFF"/>
          </w:tcPr>
          <w:p>
            <w:pPr>
              <w:pStyle w:val="TableParagraph"/>
              <w:spacing w:before="13"/>
              <w:ind w:left="357"/>
              <w:rPr>
                <w:sz w:val="18"/>
              </w:rPr>
            </w:pPr>
            <w:r>
              <w:rPr>
                <w:spacing w:val="-2"/>
                <w:sz w:val="18"/>
              </w:rPr>
              <w:t>1,524</w:t>
            </w:r>
          </w:p>
        </w:tc>
        <w:tc>
          <w:tcPr>
            <w:tcW w:w="699" w:type="dxa"/>
            <w:tcBorders>
              <w:top w:val="single" w:sz="4" w:space="0" w:color="000000"/>
              <w:bottom w:val="single" w:sz="4" w:space="0" w:color="000000"/>
            </w:tcBorders>
            <w:shd w:val="clear" w:color="auto" w:fill="CCEDFF"/>
          </w:tcPr>
          <w:p>
            <w:pPr>
              <w:pStyle w:val="TableParagraph"/>
              <w:spacing w:before="13"/>
              <w:ind w:left="102" w:right="14"/>
              <w:jc w:val="center"/>
              <w:rPr>
                <w:sz w:val="18"/>
              </w:rPr>
            </w:pPr>
            <w:r>
              <w:rPr>
                <w:spacing w:val="-2"/>
                <w:sz w:val="18"/>
              </w:rPr>
              <w:t>0.13%</w:t>
            </w:r>
          </w:p>
        </w:tc>
      </w:tr>
      <w:tr>
        <w:trPr>
          <w:trHeight w:val="250" w:hRule="atLeast"/>
        </w:trPr>
        <w:tc>
          <w:tcPr>
            <w:tcW w:w="5190" w:type="dxa"/>
          </w:tcPr>
          <w:p>
            <w:pPr>
              <w:pStyle w:val="TableParagraph"/>
              <w:spacing w:before="13"/>
              <w:ind w:left="52"/>
              <w:rPr>
                <w:sz w:val="18"/>
              </w:rPr>
            </w:pPr>
            <w:r>
              <w:rPr>
                <w:sz w:val="18"/>
              </w:rPr>
              <w:t>Advice</w:t>
            </w:r>
            <w:r>
              <w:rPr>
                <w:spacing w:val="-2"/>
                <w:sz w:val="18"/>
              </w:rPr>
              <w:t> </w:t>
            </w:r>
            <w:r>
              <w:rPr>
                <w:sz w:val="18"/>
              </w:rPr>
              <w:t>solutions</w:t>
            </w:r>
            <w:r>
              <w:rPr>
                <w:spacing w:val="-1"/>
                <w:sz w:val="18"/>
              </w:rPr>
              <w:t> </w:t>
            </w:r>
            <w:r>
              <w:rPr>
                <w:spacing w:val="-5"/>
                <w:sz w:val="18"/>
                <w:vertAlign w:val="superscript"/>
              </w:rPr>
              <w:t>(2)</w:t>
            </w:r>
          </w:p>
        </w:tc>
        <w:tc>
          <w:tcPr>
            <w:tcW w:w="949" w:type="dxa"/>
          </w:tcPr>
          <w:p>
            <w:pPr>
              <w:pStyle w:val="TableParagraph"/>
              <w:rPr>
                <w:sz w:val="18"/>
              </w:rPr>
            </w:pPr>
          </w:p>
        </w:tc>
        <w:tc>
          <w:tcPr>
            <w:tcW w:w="826" w:type="dxa"/>
          </w:tcPr>
          <w:p>
            <w:pPr>
              <w:pStyle w:val="TableParagraph"/>
              <w:rPr>
                <w:sz w:val="18"/>
              </w:rPr>
            </w:pPr>
          </w:p>
        </w:tc>
        <w:tc>
          <w:tcPr>
            <w:tcW w:w="758" w:type="dxa"/>
          </w:tcPr>
          <w:p>
            <w:pPr>
              <w:pStyle w:val="TableParagraph"/>
              <w:rPr>
                <w:sz w:val="18"/>
              </w:rPr>
            </w:pPr>
          </w:p>
        </w:tc>
        <w:tc>
          <w:tcPr>
            <w:tcW w:w="980" w:type="dxa"/>
          </w:tcPr>
          <w:p>
            <w:pPr>
              <w:pStyle w:val="TableParagraph"/>
              <w:rPr>
                <w:sz w:val="18"/>
              </w:rPr>
            </w:pPr>
          </w:p>
        </w:tc>
        <w:tc>
          <w:tcPr>
            <w:tcW w:w="856" w:type="dxa"/>
          </w:tcPr>
          <w:p>
            <w:pPr>
              <w:pStyle w:val="TableParagraph"/>
              <w:rPr>
                <w:sz w:val="18"/>
              </w:rPr>
            </w:pPr>
          </w:p>
        </w:tc>
        <w:tc>
          <w:tcPr>
            <w:tcW w:w="699" w:type="dxa"/>
          </w:tcPr>
          <w:p>
            <w:pPr>
              <w:pStyle w:val="TableParagraph"/>
              <w:rPr>
                <w:sz w:val="18"/>
              </w:rPr>
            </w:pPr>
          </w:p>
        </w:tc>
      </w:tr>
      <w:tr>
        <w:trPr>
          <w:trHeight w:val="255" w:hRule="atLeast"/>
        </w:trPr>
        <w:tc>
          <w:tcPr>
            <w:tcW w:w="5190" w:type="dxa"/>
            <w:shd w:val="clear" w:color="auto" w:fill="CCEDFF"/>
          </w:tcPr>
          <w:p>
            <w:pPr>
              <w:pStyle w:val="TableParagraph"/>
              <w:spacing w:before="18"/>
              <w:ind w:left="172"/>
              <w:rPr>
                <w:sz w:val="18"/>
              </w:rPr>
            </w:pPr>
            <w:r>
              <w:rPr>
                <w:spacing w:val="-2"/>
                <w:sz w:val="18"/>
              </w:rPr>
              <w:t>Fee-based</w:t>
            </w:r>
          </w:p>
        </w:tc>
        <w:tc>
          <w:tcPr>
            <w:tcW w:w="949" w:type="dxa"/>
            <w:shd w:val="clear" w:color="auto" w:fill="CCEDFF"/>
          </w:tcPr>
          <w:p>
            <w:pPr>
              <w:pStyle w:val="TableParagraph"/>
              <w:spacing w:before="18"/>
              <w:ind w:right="61"/>
              <w:jc w:val="right"/>
              <w:rPr>
                <w:sz w:val="18"/>
              </w:rPr>
            </w:pPr>
            <w:r>
              <w:rPr>
                <w:sz w:val="18"/>
              </w:rPr>
              <w:t>$</w:t>
            </w:r>
            <w:r>
              <w:rPr>
                <w:spacing w:val="33"/>
                <w:sz w:val="18"/>
              </w:rPr>
              <w:t>  </w:t>
            </w:r>
            <w:r>
              <w:rPr>
                <w:spacing w:val="-2"/>
                <w:sz w:val="18"/>
              </w:rPr>
              <w:t>455,730</w:t>
            </w:r>
          </w:p>
        </w:tc>
        <w:tc>
          <w:tcPr>
            <w:tcW w:w="826" w:type="dxa"/>
            <w:shd w:val="clear" w:color="auto" w:fill="CCEDFF"/>
          </w:tcPr>
          <w:p>
            <w:pPr>
              <w:pStyle w:val="TableParagraph"/>
              <w:spacing w:before="18"/>
              <w:ind w:right="62"/>
              <w:jc w:val="right"/>
              <w:rPr>
                <w:sz w:val="18"/>
              </w:rPr>
            </w:pPr>
            <w:r>
              <w:rPr>
                <w:spacing w:val="-2"/>
                <w:sz w:val="18"/>
              </w:rPr>
              <w:t>1,393</w:t>
            </w:r>
          </w:p>
        </w:tc>
        <w:tc>
          <w:tcPr>
            <w:tcW w:w="758" w:type="dxa"/>
            <w:shd w:val="clear" w:color="auto" w:fill="CCEDFF"/>
          </w:tcPr>
          <w:p>
            <w:pPr>
              <w:pStyle w:val="TableParagraph"/>
              <w:spacing w:before="18"/>
              <w:ind w:left="102" w:right="15"/>
              <w:jc w:val="center"/>
              <w:rPr>
                <w:sz w:val="18"/>
              </w:rPr>
            </w:pPr>
            <w:r>
              <w:rPr>
                <w:spacing w:val="-2"/>
                <w:sz w:val="18"/>
              </w:rPr>
              <w:t>0.41%</w:t>
            </w:r>
          </w:p>
        </w:tc>
        <w:tc>
          <w:tcPr>
            <w:tcW w:w="980" w:type="dxa"/>
            <w:shd w:val="clear" w:color="auto" w:fill="CCEDFF"/>
          </w:tcPr>
          <w:p>
            <w:pPr>
              <w:pStyle w:val="TableParagraph"/>
              <w:spacing w:before="18"/>
              <w:ind w:right="60"/>
              <w:jc w:val="right"/>
              <w:rPr>
                <w:sz w:val="18"/>
              </w:rPr>
            </w:pPr>
            <w:r>
              <w:rPr>
                <w:sz w:val="18"/>
              </w:rPr>
              <w:t>$</w:t>
            </w:r>
            <w:r>
              <w:rPr>
                <w:spacing w:val="33"/>
                <w:sz w:val="18"/>
              </w:rPr>
              <w:t>  </w:t>
            </w:r>
            <w:r>
              <w:rPr>
                <w:spacing w:val="-2"/>
                <w:sz w:val="18"/>
              </w:rPr>
              <w:t>446,979</w:t>
            </w:r>
          </w:p>
        </w:tc>
        <w:tc>
          <w:tcPr>
            <w:tcW w:w="856" w:type="dxa"/>
            <w:shd w:val="clear" w:color="auto" w:fill="CCEDFF"/>
          </w:tcPr>
          <w:p>
            <w:pPr>
              <w:pStyle w:val="TableParagraph"/>
              <w:spacing w:before="18"/>
              <w:ind w:left="357"/>
              <w:rPr>
                <w:sz w:val="18"/>
              </w:rPr>
            </w:pPr>
            <w:r>
              <w:rPr>
                <w:spacing w:val="-2"/>
                <w:sz w:val="18"/>
              </w:rPr>
              <w:t>1,409</w:t>
            </w:r>
          </w:p>
        </w:tc>
        <w:tc>
          <w:tcPr>
            <w:tcW w:w="699" w:type="dxa"/>
            <w:shd w:val="clear" w:color="auto" w:fill="CCEDFF"/>
          </w:tcPr>
          <w:p>
            <w:pPr>
              <w:pStyle w:val="TableParagraph"/>
              <w:spacing w:before="18"/>
              <w:ind w:left="102" w:right="14"/>
              <w:jc w:val="center"/>
              <w:rPr>
                <w:sz w:val="18"/>
              </w:rPr>
            </w:pPr>
            <w:r>
              <w:rPr>
                <w:spacing w:val="-2"/>
                <w:sz w:val="18"/>
              </w:rPr>
              <w:t>0.42%</w:t>
            </w:r>
          </w:p>
        </w:tc>
      </w:tr>
      <w:tr>
        <w:trPr>
          <w:trHeight w:val="250" w:hRule="atLeast"/>
        </w:trPr>
        <w:tc>
          <w:tcPr>
            <w:tcW w:w="5190" w:type="dxa"/>
            <w:tcBorders>
              <w:bottom w:val="single" w:sz="4" w:space="0" w:color="000000"/>
            </w:tcBorders>
          </w:tcPr>
          <w:p>
            <w:pPr>
              <w:pStyle w:val="TableParagraph"/>
              <w:spacing w:before="18"/>
              <w:ind w:left="172"/>
              <w:rPr>
                <w:sz w:val="18"/>
              </w:rPr>
            </w:pPr>
            <w:r>
              <w:rPr>
                <w:spacing w:val="-2"/>
                <w:sz w:val="18"/>
              </w:rPr>
              <w:t>Non-fee-based</w:t>
            </w:r>
          </w:p>
        </w:tc>
        <w:tc>
          <w:tcPr>
            <w:tcW w:w="949" w:type="dxa"/>
            <w:tcBorders>
              <w:bottom w:val="single" w:sz="4" w:space="0" w:color="000000"/>
            </w:tcBorders>
          </w:tcPr>
          <w:p>
            <w:pPr>
              <w:pStyle w:val="TableParagraph"/>
              <w:spacing w:before="18"/>
              <w:ind w:right="61"/>
              <w:jc w:val="right"/>
              <w:rPr>
                <w:sz w:val="18"/>
              </w:rPr>
            </w:pPr>
            <w:r>
              <w:rPr>
                <w:spacing w:val="-2"/>
                <w:sz w:val="18"/>
              </w:rPr>
              <w:t>95,951</w:t>
            </w:r>
          </w:p>
        </w:tc>
        <w:tc>
          <w:tcPr>
            <w:tcW w:w="826" w:type="dxa"/>
            <w:tcBorders>
              <w:bottom w:val="single" w:sz="4" w:space="0" w:color="000000"/>
            </w:tcBorders>
          </w:tcPr>
          <w:p>
            <w:pPr>
              <w:pStyle w:val="TableParagraph"/>
              <w:spacing w:before="18"/>
              <w:ind w:right="62"/>
              <w:jc w:val="right"/>
              <w:rPr>
                <w:sz w:val="18"/>
              </w:rPr>
            </w:pPr>
            <w:r>
              <w:rPr>
                <w:spacing w:val="-10"/>
                <w:sz w:val="18"/>
              </w:rPr>
              <w:t>—</w:t>
            </w:r>
          </w:p>
        </w:tc>
        <w:tc>
          <w:tcPr>
            <w:tcW w:w="758" w:type="dxa"/>
            <w:tcBorders>
              <w:bottom w:val="single" w:sz="4" w:space="0" w:color="000000"/>
            </w:tcBorders>
          </w:tcPr>
          <w:p>
            <w:pPr>
              <w:pStyle w:val="TableParagraph"/>
              <w:spacing w:before="18"/>
              <w:ind w:left="87" w:right="15"/>
              <w:jc w:val="center"/>
              <w:rPr>
                <w:sz w:val="18"/>
              </w:rPr>
            </w:pPr>
            <w:r>
              <w:rPr>
                <w:spacing w:val="-10"/>
                <w:sz w:val="18"/>
              </w:rPr>
              <w:t>—</w:t>
            </w:r>
          </w:p>
        </w:tc>
        <w:tc>
          <w:tcPr>
            <w:tcW w:w="980" w:type="dxa"/>
            <w:tcBorders>
              <w:bottom w:val="single" w:sz="4" w:space="0" w:color="000000"/>
            </w:tcBorders>
          </w:tcPr>
          <w:p>
            <w:pPr>
              <w:pStyle w:val="TableParagraph"/>
              <w:spacing w:before="18"/>
              <w:ind w:right="60"/>
              <w:jc w:val="right"/>
              <w:rPr>
                <w:sz w:val="18"/>
              </w:rPr>
            </w:pPr>
            <w:r>
              <w:rPr>
                <w:spacing w:val="-2"/>
                <w:sz w:val="18"/>
              </w:rPr>
              <w:t>87,528</w:t>
            </w:r>
          </w:p>
        </w:tc>
        <w:tc>
          <w:tcPr>
            <w:tcW w:w="856" w:type="dxa"/>
            <w:tcBorders>
              <w:bottom w:val="single" w:sz="4" w:space="0" w:color="000000"/>
            </w:tcBorders>
          </w:tcPr>
          <w:p>
            <w:pPr>
              <w:pStyle w:val="TableParagraph"/>
              <w:spacing w:before="18"/>
              <w:ind w:right="91"/>
              <w:jc w:val="right"/>
              <w:rPr>
                <w:sz w:val="18"/>
              </w:rPr>
            </w:pPr>
            <w:r>
              <w:rPr>
                <w:spacing w:val="-10"/>
                <w:sz w:val="18"/>
              </w:rPr>
              <w:t>—</w:t>
            </w:r>
          </w:p>
        </w:tc>
        <w:tc>
          <w:tcPr>
            <w:tcW w:w="699" w:type="dxa"/>
            <w:tcBorders>
              <w:bottom w:val="single" w:sz="4" w:space="0" w:color="000000"/>
            </w:tcBorders>
          </w:tcPr>
          <w:p>
            <w:pPr>
              <w:pStyle w:val="TableParagraph"/>
              <w:spacing w:before="18"/>
              <w:ind w:left="88" w:right="15"/>
              <w:jc w:val="center"/>
              <w:rPr>
                <w:sz w:val="18"/>
              </w:rPr>
            </w:pPr>
            <w:r>
              <w:rPr>
                <w:spacing w:val="-10"/>
                <w:sz w:val="18"/>
              </w:rPr>
              <w:t>—</w:t>
            </w:r>
          </w:p>
        </w:tc>
      </w:tr>
      <w:tr>
        <w:trPr>
          <w:trHeight w:val="245" w:hRule="atLeast"/>
        </w:trPr>
        <w:tc>
          <w:tcPr>
            <w:tcW w:w="5190" w:type="dxa"/>
            <w:tcBorders>
              <w:top w:val="single" w:sz="4" w:space="0" w:color="000000"/>
              <w:bottom w:val="single" w:sz="4" w:space="0" w:color="000000"/>
            </w:tcBorders>
            <w:shd w:val="clear" w:color="auto" w:fill="CCEDFF"/>
          </w:tcPr>
          <w:p>
            <w:pPr>
              <w:pStyle w:val="TableParagraph"/>
              <w:spacing w:before="13"/>
              <w:ind w:left="292"/>
              <w:rPr>
                <w:sz w:val="18"/>
              </w:rPr>
            </w:pPr>
            <w:r>
              <w:rPr>
                <w:sz w:val="18"/>
              </w:rPr>
              <w:t>Total advice </w:t>
            </w:r>
            <w:r>
              <w:rPr>
                <w:spacing w:val="-2"/>
                <w:sz w:val="18"/>
              </w:rPr>
              <w:t>solutions</w:t>
            </w:r>
          </w:p>
        </w:tc>
        <w:tc>
          <w:tcPr>
            <w:tcW w:w="949" w:type="dxa"/>
            <w:tcBorders>
              <w:top w:val="single" w:sz="4" w:space="0" w:color="000000"/>
              <w:bottom w:val="single" w:sz="4" w:space="0" w:color="000000"/>
            </w:tcBorders>
            <w:shd w:val="clear" w:color="auto" w:fill="CCEDFF"/>
          </w:tcPr>
          <w:p>
            <w:pPr>
              <w:pStyle w:val="TableParagraph"/>
              <w:spacing w:before="13"/>
              <w:ind w:right="61"/>
              <w:jc w:val="right"/>
              <w:rPr>
                <w:sz w:val="18"/>
              </w:rPr>
            </w:pPr>
            <w:r>
              <w:rPr>
                <w:sz w:val="18"/>
              </w:rPr>
              <w:t>$</w:t>
            </w:r>
            <w:r>
              <w:rPr>
                <w:spacing w:val="33"/>
                <w:sz w:val="18"/>
              </w:rPr>
              <w:t>  </w:t>
            </w:r>
            <w:r>
              <w:rPr>
                <w:spacing w:val="-2"/>
                <w:sz w:val="18"/>
              </w:rPr>
              <w:t>551,681</w:t>
            </w:r>
          </w:p>
        </w:tc>
        <w:tc>
          <w:tcPr>
            <w:tcW w:w="826" w:type="dxa"/>
            <w:tcBorders>
              <w:top w:val="single" w:sz="4" w:space="0" w:color="000000"/>
              <w:bottom w:val="single" w:sz="4" w:space="0" w:color="000000"/>
            </w:tcBorders>
            <w:shd w:val="clear" w:color="auto" w:fill="CCEDFF"/>
          </w:tcPr>
          <w:p>
            <w:pPr>
              <w:pStyle w:val="TableParagraph"/>
              <w:spacing w:before="13"/>
              <w:ind w:right="62"/>
              <w:jc w:val="right"/>
              <w:rPr>
                <w:sz w:val="18"/>
              </w:rPr>
            </w:pPr>
            <w:r>
              <w:rPr>
                <w:spacing w:val="-2"/>
                <w:sz w:val="18"/>
              </w:rPr>
              <w:t>1,393</w:t>
            </w:r>
          </w:p>
        </w:tc>
        <w:tc>
          <w:tcPr>
            <w:tcW w:w="758" w:type="dxa"/>
            <w:tcBorders>
              <w:top w:val="single" w:sz="4" w:space="0" w:color="000000"/>
              <w:bottom w:val="single" w:sz="4" w:space="0" w:color="000000"/>
            </w:tcBorders>
            <w:shd w:val="clear" w:color="auto" w:fill="CCEDFF"/>
          </w:tcPr>
          <w:p>
            <w:pPr>
              <w:pStyle w:val="TableParagraph"/>
              <w:spacing w:before="13"/>
              <w:ind w:left="102" w:right="15"/>
              <w:jc w:val="center"/>
              <w:rPr>
                <w:sz w:val="18"/>
              </w:rPr>
            </w:pPr>
            <w:r>
              <w:rPr>
                <w:spacing w:val="-2"/>
                <w:sz w:val="18"/>
              </w:rPr>
              <w:t>0.34%</w:t>
            </w:r>
          </w:p>
        </w:tc>
        <w:tc>
          <w:tcPr>
            <w:tcW w:w="980" w:type="dxa"/>
            <w:tcBorders>
              <w:top w:val="single" w:sz="4" w:space="0" w:color="000000"/>
              <w:bottom w:val="single" w:sz="4" w:space="0" w:color="000000"/>
            </w:tcBorders>
            <w:shd w:val="clear" w:color="auto" w:fill="CCEDFF"/>
          </w:tcPr>
          <w:p>
            <w:pPr>
              <w:pStyle w:val="TableParagraph"/>
              <w:spacing w:before="13"/>
              <w:ind w:right="60"/>
              <w:jc w:val="right"/>
              <w:rPr>
                <w:sz w:val="18"/>
              </w:rPr>
            </w:pPr>
            <w:r>
              <w:rPr>
                <w:sz w:val="18"/>
              </w:rPr>
              <w:t>$</w:t>
            </w:r>
            <w:r>
              <w:rPr>
                <w:spacing w:val="33"/>
                <w:sz w:val="18"/>
              </w:rPr>
              <w:t>  </w:t>
            </w:r>
            <w:r>
              <w:rPr>
                <w:spacing w:val="-2"/>
                <w:sz w:val="18"/>
              </w:rPr>
              <w:t>534,507</w:t>
            </w:r>
          </w:p>
        </w:tc>
        <w:tc>
          <w:tcPr>
            <w:tcW w:w="856" w:type="dxa"/>
            <w:tcBorders>
              <w:top w:val="single" w:sz="4" w:space="0" w:color="000000"/>
              <w:bottom w:val="single" w:sz="4" w:space="0" w:color="000000"/>
            </w:tcBorders>
            <w:shd w:val="clear" w:color="auto" w:fill="CCEDFF"/>
          </w:tcPr>
          <w:p>
            <w:pPr>
              <w:pStyle w:val="TableParagraph"/>
              <w:spacing w:before="13"/>
              <w:ind w:left="357"/>
              <w:rPr>
                <w:sz w:val="18"/>
              </w:rPr>
            </w:pPr>
            <w:r>
              <w:rPr>
                <w:spacing w:val="-2"/>
                <w:sz w:val="18"/>
              </w:rPr>
              <w:t>1,409</w:t>
            </w:r>
          </w:p>
        </w:tc>
        <w:tc>
          <w:tcPr>
            <w:tcW w:w="699" w:type="dxa"/>
            <w:tcBorders>
              <w:top w:val="single" w:sz="4" w:space="0" w:color="000000"/>
              <w:bottom w:val="single" w:sz="4" w:space="0" w:color="000000"/>
            </w:tcBorders>
            <w:shd w:val="clear" w:color="auto" w:fill="CCEDFF"/>
          </w:tcPr>
          <w:p>
            <w:pPr>
              <w:pStyle w:val="TableParagraph"/>
              <w:spacing w:before="13"/>
              <w:ind w:left="102" w:right="14"/>
              <w:jc w:val="center"/>
              <w:rPr>
                <w:sz w:val="18"/>
              </w:rPr>
            </w:pPr>
            <w:r>
              <w:rPr>
                <w:spacing w:val="-2"/>
                <w:sz w:val="18"/>
              </w:rPr>
              <w:t>0.35%</w:t>
            </w:r>
          </w:p>
        </w:tc>
      </w:tr>
      <w:tr>
        <w:trPr>
          <w:trHeight w:val="250" w:hRule="atLeast"/>
        </w:trPr>
        <w:tc>
          <w:tcPr>
            <w:tcW w:w="5190" w:type="dxa"/>
            <w:tcBorders>
              <w:top w:val="single" w:sz="4" w:space="0" w:color="000000"/>
            </w:tcBorders>
          </w:tcPr>
          <w:p>
            <w:pPr>
              <w:pStyle w:val="TableParagraph"/>
              <w:spacing w:before="13"/>
              <w:ind w:left="52"/>
              <w:rPr>
                <w:sz w:val="18"/>
              </w:rPr>
            </w:pPr>
            <w:r>
              <w:rPr>
                <w:sz w:val="18"/>
              </w:rPr>
              <w:t>Other</w:t>
            </w:r>
            <w:r>
              <w:rPr>
                <w:spacing w:val="-2"/>
                <w:sz w:val="18"/>
              </w:rPr>
              <w:t> </w:t>
            </w:r>
            <w:r>
              <w:rPr>
                <w:sz w:val="18"/>
              </w:rPr>
              <w:t>balance-based fees</w:t>
            </w:r>
            <w:r>
              <w:rPr>
                <w:spacing w:val="-18"/>
                <w:sz w:val="18"/>
              </w:rPr>
              <w:t> </w:t>
            </w:r>
            <w:r>
              <w:rPr>
                <w:spacing w:val="-5"/>
                <w:sz w:val="18"/>
                <w:vertAlign w:val="superscript"/>
              </w:rPr>
              <w:t>(3)</w:t>
            </w:r>
          </w:p>
        </w:tc>
        <w:tc>
          <w:tcPr>
            <w:tcW w:w="949" w:type="dxa"/>
            <w:tcBorders>
              <w:top w:val="single" w:sz="4" w:space="0" w:color="000000"/>
            </w:tcBorders>
          </w:tcPr>
          <w:p>
            <w:pPr>
              <w:pStyle w:val="TableParagraph"/>
              <w:spacing w:before="13"/>
              <w:ind w:right="61"/>
              <w:jc w:val="right"/>
              <w:rPr>
                <w:sz w:val="18"/>
              </w:rPr>
            </w:pPr>
            <w:r>
              <w:rPr>
                <w:spacing w:val="-2"/>
                <w:sz w:val="18"/>
              </w:rPr>
              <w:t>588,922</w:t>
            </w:r>
          </w:p>
        </w:tc>
        <w:tc>
          <w:tcPr>
            <w:tcW w:w="826" w:type="dxa"/>
            <w:tcBorders>
              <w:top w:val="single" w:sz="4" w:space="0" w:color="000000"/>
            </w:tcBorders>
          </w:tcPr>
          <w:p>
            <w:pPr>
              <w:pStyle w:val="TableParagraph"/>
              <w:spacing w:before="13"/>
              <w:ind w:right="62"/>
              <w:jc w:val="right"/>
              <w:rPr>
                <w:sz w:val="18"/>
              </w:rPr>
            </w:pPr>
            <w:r>
              <w:rPr>
                <w:spacing w:val="-5"/>
                <w:sz w:val="18"/>
              </w:rPr>
              <w:t>189</w:t>
            </w:r>
          </w:p>
        </w:tc>
        <w:tc>
          <w:tcPr>
            <w:tcW w:w="758" w:type="dxa"/>
            <w:tcBorders>
              <w:top w:val="single" w:sz="4" w:space="0" w:color="000000"/>
            </w:tcBorders>
          </w:tcPr>
          <w:p>
            <w:pPr>
              <w:pStyle w:val="TableParagraph"/>
              <w:spacing w:before="13"/>
              <w:ind w:left="102" w:right="15"/>
              <w:jc w:val="center"/>
              <w:rPr>
                <w:sz w:val="18"/>
              </w:rPr>
            </w:pPr>
            <w:r>
              <w:rPr>
                <w:spacing w:val="-2"/>
                <w:sz w:val="18"/>
              </w:rPr>
              <w:t>0.04%</w:t>
            </w:r>
          </w:p>
        </w:tc>
        <w:tc>
          <w:tcPr>
            <w:tcW w:w="980" w:type="dxa"/>
            <w:tcBorders>
              <w:top w:val="single" w:sz="4" w:space="0" w:color="000000"/>
            </w:tcBorders>
          </w:tcPr>
          <w:p>
            <w:pPr>
              <w:pStyle w:val="TableParagraph"/>
              <w:spacing w:before="13"/>
              <w:ind w:right="60"/>
              <w:jc w:val="right"/>
              <w:rPr>
                <w:sz w:val="18"/>
              </w:rPr>
            </w:pPr>
            <w:r>
              <w:rPr>
                <w:spacing w:val="-2"/>
                <w:sz w:val="18"/>
              </w:rPr>
              <w:t>573,733</w:t>
            </w:r>
          </w:p>
        </w:tc>
        <w:tc>
          <w:tcPr>
            <w:tcW w:w="856" w:type="dxa"/>
            <w:tcBorders>
              <w:top w:val="single" w:sz="4" w:space="0" w:color="000000"/>
            </w:tcBorders>
          </w:tcPr>
          <w:p>
            <w:pPr>
              <w:pStyle w:val="TableParagraph"/>
              <w:spacing w:before="13"/>
              <w:ind w:right="91"/>
              <w:jc w:val="right"/>
              <w:rPr>
                <w:sz w:val="18"/>
              </w:rPr>
            </w:pPr>
            <w:r>
              <w:rPr>
                <w:spacing w:val="-5"/>
                <w:sz w:val="18"/>
              </w:rPr>
              <w:t>186</w:t>
            </w:r>
          </w:p>
        </w:tc>
        <w:tc>
          <w:tcPr>
            <w:tcW w:w="699" w:type="dxa"/>
            <w:tcBorders>
              <w:top w:val="single" w:sz="4" w:space="0" w:color="000000"/>
            </w:tcBorders>
          </w:tcPr>
          <w:p>
            <w:pPr>
              <w:pStyle w:val="TableParagraph"/>
              <w:spacing w:before="13"/>
              <w:ind w:left="102" w:right="14"/>
              <w:jc w:val="center"/>
              <w:rPr>
                <w:sz w:val="18"/>
              </w:rPr>
            </w:pPr>
            <w:r>
              <w:rPr>
                <w:spacing w:val="-2"/>
                <w:sz w:val="18"/>
              </w:rPr>
              <w:t>0.04%</w:t>
            </w:r>
          </w:p>
        </w:tc>
      </w:tr>
      <w:tr>
        <w:trPr>
          <w:trHeight w:val="250" w:hRule="atLeast"/>
        </w:trPr>
        <w:tc>
          <w:tcPr>
            <w:tcW w:w="5190" w:type="dxa"/>
            <w:tcBorders>
              <w:bottom w:val="single" w:sz="4" w:space="0" w:color="000000"/>
            </w:tcBorders>
            <w:shd w:val="clear" w:color="auto" w:fill="CCEDFF"/>
          </w:tcPr>
          <w:p>
            <w:pPr>
              <w:pStyle w:val="TableParagraph"/>
              <w:spacing w:before="18"/>
              <w:ind w:left="52"/>
              <w:rPr>
                <w:sz w:val="18"/>
              </w:rPr>
            </w:pPr>
            <w:r>
              <w:rPr>
                <w:sz w:val="18"/>
              </w:rPr>
              <w:t>Other</w:t>
            </w:r>
            <w:r>
              <w:rPr>
                <w:spacing w:val="-2"/>
                <w:sz w:val="18"/>
              </w:rPr>
              <w:t> </w:t>
            </w:r>
            <w:r>
              <w:rPr>
                <w:spacing w:val="-5"/>
                <w:sz w:val="18"/>
                <w:vertAlign w:val="superscript"/>
              </w:rPr>
              <w:t>(4)</w:t>
            </w:r>
          </w:p>
        </w:tc>
        <w:tc>
          <w:tcPr>
            <w:tcW w:w="949" w:type="dxa"/>
            <w:tcBorders>
              <w:bottom w:val="single" w:sz="4" w:space="0" w:color="000000"/>
            </w:tcBorders>
            <w:shd w:val="clear" w:color="auto" w:fill="CCEDFF"/>
          </w:tcPr>
          <w:p>
            <w:pPr>
              <w:pStyle w:val="TableParagraph"/>
              <w:rPr>
                <w:sz w:val="18"/>
              </w:rPr>
            </w:pPr>
          </w:p>
        </w:tc>
        <w:tc>
          <w:tcPr>
            <w:tcW w:w="826" w:type="dxa"/>
            <w:tcBorders>
              <w:bottom w:val="single" w:sz="4" w:space="0" w:color="000000"/>
            </w:tcBorders>
            <w:shd w:val="clear" w:color="auto" w:fill="CCEDFF"/>
          </w:tcPr>
          <w:p>
            <w:pPr>
              <w:pStyle w:val="TableParagraph"/>
              <w:spacing w:before="18"/>
              <w:ind w:right="62"/>
              <w:jc w:val="right"/>
              <w:rPr>
                <w:sz w:val="18"/>
              </w:rPr>
            </w:pPr>
            <w:r>
              <w:rPr>
                <w:spacing w:val="-5"/>
                <w:sz w:val="18"/>
              </w:rPr>
              <w:t>52</w:t>
            </w:r>
          </w:p>
        </w:tc>
        <w:tc>
          <w:tcPr>
            <w:tcW w:w="758" w:type="dxa"/>
            <w:tcBorders>
              <w:bottom w:val="single" w:sz="4" w:space="0" w:color="000000"/>
            </w:tcBorders>
            <w:shd w:val="clear" w:color="auto" w:fill="CCEDFF"/>
          </w:tcPr>
          <w:p>
            <w:pPr>
              <w:pStyle w:val="TableParagraph"/>
              <w:rPr>
                <w:sz w:val="18"/>
              </w:rPr>
            </w:pPr>
          </w:p>
        </w:tc>
        <w:tc>
          <w:tcPr>
            <w:tcW w:w="980" w:type="dxa"/>
            <w:tcBorders>
              <w:bottom w:val="single" w:sz="4" w:space="0" w:color="000000"/>
            </w:tcBorders>
            <w:shd w:val="clear" w:color="auto" w:fill="CCEDFF"/>
          </w:tcPr>
          <w:p>
            <w:pPr>
              <w:pStyle w:val="TableParagraph"/>
              <w:rPr>
                <w:sz w:val="18"/>
              </w:rPr>
            </w:pPr>
          </w:p>
        </w:tc>
        <w:tc>
          <w:tcPr>
            <w:tcW w:w="856" w:type="dxa"/>
            <w:tcBorders>
              <w:bottom w:val="single" w:sz="4" w:space="0" w:color="000000"/>
            </w:tcBorders>
            <w:shd w:val="clear" w:color="auto" w:fill="CCEDFF"/>
          </w:tcPr>
          <w:p>
            <w:pPr>
              <w:pStyle w:val="TableParagraph"/>
              <w:spacing w:before="18"/>
              <w:ind w:right="91"/>
              <w:jc w:val="right"/>
              <w:rPr>
                <w:sz w:val="18"/>
              </w:rPr>
            </w:pPr>
            <w:r>
              <w:rPr>
                <w:spacing w:val="-5"/>
                <w:sz w:val="18"/>
              </w:rPr>
              <w:t>48</w:t>
            </w:r>
          </w:p>
        </w:tc>
        <w:tc>
          <w:tcPr>
            <w:tcW w:w="699" w:type="dxa"/>
            <w:tcBorders>
              <w:bottom w:val="single" w:sz="4" w:space="0" w:color="000000"/>
            </w:tcBorders>
            <w:shd w:val="clear" w:color="auto" w:fill="CCEDFF"/>
          </w:tcPr>
          <w:p>
            <w:pPr>
              <w:pStyle w:val="TableParagraph"/>
              <w:rPr>
                <w:sz w:val="18"/>
              </w:rPr>
            </w:pPr>
          </w:p>
        </w:tc>
      </w:tr>
      <w:tr>
        <w:trPr>
          <w:trHeight w:val="220" w:hRule="atLeast"/>
        </w:trPr>
        <w:tc>
          <w:tcPr>
            <w:tcW w:w="5190" w:type="dxa"/>
            <w:tcBorders>
              <w:top w:val="single" w:sz="4" w:space="0" w:color="000000"/>
              <w:bottom w:val="double" w:sz="8" w:space="0" w:color="000000"/>
            </w:tcBorders>
          </w:tcPr>
          <w:p>
            <w:pPr>
              <w:pStyle w:val="TableParagraph"/>
              <w:spacing w:line="193" w:lineRule="exact" w:before="7"/>
              <w:ind w:left="52"/>
              <w:rPr>
                <w:b/>
                <w:sz w:val="18"/>
              </w:rPr>
            </w:pPr>
            <w:r>
              <w:rPr>
                <w:b/>
                <w:sz w:val="18"/>
              </w:rPr>
              <w:t>Total</w:t>
            </w:r>
            <w:r>
              <w:rPr>
                <w:b/>
                <w:spacing w:val="-4"/>
                <w:sz w:val="18"/>
              </w:rPr>
              <w:t> </w:t>
            </w:r>
            <w:r>
              <w:rPr>
                <w:b/>
                <w:sz w:val="18"/>
              </w:rPr>
              <w:t>asset</w:t>
            </w:r>
            <w:r>
              <w:rPr>
                <w:b/>
                <w:spacing w:val="-2"/>
                <w:sz w:val="18"/>
              </w:rPr>
              <w:t> </w:t>
            </w:r>
            <w:r>
              <w:rPr>
                <w:b/>
                <w:sz w:val="18"/>
              </w:rPr>
              <w:t>management</w:t>
            </w:r>
            <w:r>
              <w:rPr>
                <w:b/>
                <w:spacing w:val="-1"/>
                <w:sz w:val="18"/>
              </w:rPr>
              <w:t> </w:t>
            </w:r>
            <w:r>
              <w:rPr>
                <w:b/>
                <w:sz w:val="18"/>
              </w:rPr>
              <w:t>and</w:t>
            </w:r>
            <w:r>
              <w:rPr>
                <w:b/>
                <w:spacing w:val="-3"/>
                <w:sz w:val="18"/>
              </w:rPr>
              <w:t> </w:t>
            </w:r>
            <w:r>
              <w:rPr>
                <w:b/>
                <w:sz w:val="18"/>
              </w:rPr>
              <w:t>administration</w:t>
            </w:r>
            <w:r>
              <w:rPr>
                <w:b/>
                <w:spacing w:val="-2"/>
                <w:sz w:val="18"/>
              </w:rPr>
              <w:t> </w:t>
            </w:r>
            <w:r>
              <w:rPr>
                <w:b/>
                <w:spacing w:val="-4"/>
                <w:sz w:val="18"/>
              </w:rPr>
              <w:t>fees</w:t>
            </w:r>
          </w:p>
        </w:tc>
        <w:tc>
          <w:tcPr>
            <w:tcW w:w="949" w:type="dxa"/>
            <w:tcBorders>
              <w:top w:val="single" w:sz="4" w:space="0" w:color="000000"/>
              <w:bottom w:val="double" w:sz="8" w:space="0" w:color="000000"/>
            </w:tcBorders>
          </w:tcPr>
          <w:p>
            <w:pPr>
              <w:pStyle w:val="TableParagraph"/>
              <w:rPr>
                <w:sz w:val="14"/>
              </w:rPr>
            </w:pPr>
          </w:p>
        </w:tc>
        <w:tc>
          <w:tcPr>
            <w:tcW w:w="826" w:type="dxa"/>
            <w:tcBorders>
              <w:top w:val="single" w:sz="4" w:space="0" w:color="000000"/>
              <w:bottom w:val="double" w:sz="8" w:space="0" w:color="000000"/>
            </w:tcBorders>
          </w:tcPr>
          <w:p>
            <w:pPr>
              <w:pStyle w:val="TableParagraph"/>
              <w:tabs>
                <w:tab w:pos="356" w:val="left" w:leader="none"/>
              </w:tabs>
              <w:spacing w:line="191" w:lineRule="exact" w:before="8"/>
              <w:ind w:left="63"/>
              <w:rPr>
                <w:sz w:val="18"/>
              </w:rPr>
            </w:pPr>
            <w:r>
              <w:rPr>
                <w:spacing w:val="-10"/>
                <w:sz w:val="18"/>
              </w:rPr>
              <w:t>$</w:t>
            </w:r>
            <w:r>
              <w:rPr>
                <w:sz w:val="18"/>
              </w:rPr>
              <w:tab/>
            </w:r>
            <w:r>
              <w:rPr>
                <w:spacing w:val="-2"/>
                <w:sz w:val="18"/>
              </w:rPr>
              <w:t>3,515</w:t>
            </w:r>
          </w:p>
        </w:tc>
        <w:tc>
          <w:tcPr>
            <w:tcW w:w="758" w:type="dxa"/>
            <w:tcBorders>
              <w:top w:val="single" w:sz="4" w:space="0" w:color="000000"/>
              <w:bottom w:val="double" w:sz="8" w:space="0" w:color="000000"/>
            </w:tcBorders>
          </w:tcPr>
          <w:p>
            <w:pPr>
              <w:pStyle w:val="TableParagraph"/>
              <w:rPr>
                <w:sz w:val="14"/>
              </w:rPr>
            </w:pPr>
          </w:p>
        </w:tc>
        <w:tc>
          <w:tcPr>
            <w:tcW w:w="980" w:type="dxa"/>
            <w:tcBorders>
              <w:top w:val="single" w:sz="4" w:space="0" w:color="000000"/>
              <w:bottom w:val="double" w:sz="8" w:space="0" w:color="000000"/>
            </w:tcBorders>
          </w:tcPr>
          <w:p>
            <w:pPr>
              <w:pStyle w:val="TableParagraph"/>
              <w:rPr>
                <w:sz w:val="14"/>
              </w:rPr>
            </w:pPr>
          </w:p>
        </w:tc>
        <w:tc>
          <w:tcPr>
            <w:tcW w:w="856" w:type="dxa"/>
            <w:tcBorders>
              <w:top w:val="single" w:sz="4" w:space="0" w:color="000000"/>
              <w:bottom w:val="double" w:sz="8" w:space="0" w:color="000000"/>
            </w:tcBorders>
          </w:tcPr>
          <w:p>
            <w:pPr>
              <w:pStyle w:val="TableParagraph"/>
              <w:tabs>
                <w:tab w:pos="357" w:val="left" w:leader="none"/>
              </w:tabs>
              <w:spacing w:line="191" w:lineRule="exact" w:before="8"/>
              <w:ind w:left="64"/>
              <w:rPr>
                <w:sz w:val="18"/>
              </w:rPr>
            </w:pPr>
            <w:r>
              <w:rPr>
                <w:spacing w:val="-10"/>
                <w:sz w:val="18"/>
              </w:rPr>
              <w:t>$</w:t>
            </w:r>
            <w:r>
              <w:rPr>
                <w:sz w:val="18"/>
              </w:rPr>
              <w:tab/>
            </w:r>
            <w:r>
              <w:rPr>
                <w:spacing w:val="-2"/>
                <w:sz w:val="18"/>
              </w:rPr>
              <w:t>3,167</w:t>
            </w:r>
          </w:p>
        </w:tc>
        <w:tc>
          <w:tcPr>
            <w:tcW w:w="699" w:type="dxa"/>
            <w:tcBorders>
              <w:top w:val="single" w:sz="4" w:space="0" w:color="000000"/>
              <w:bottom w:val="double" w:sz="8" w:space="0" w:color="000000"/>
            </w:tcBorders>
          </w:tcPr>
          <w:p>
            <w:pPr>
              <w:pStyle w:val="TableParagraph"/>
              <w:rPr>
                <w:sz w:val="14"/>
              </w:rPr>
            </w:pPr>
          </w:p>
        </w:tc>
      </w:tr>
    </w:tbl>
    <w:p>
      <w:pPr>
        <w:spacing w:line="249" w:lineRule="auto" w:before="30"/>
        <w:ind w:left="650" w:right="500" w:hanging="180"/>
        <w:jc w:val="left"/>
        <w:rPr>
          <w:sz w:val="16"/>
        </w:rPr>
      </w:pPr>
      <w:r>
        <w:rPr>
          <w:sz w:val="16"/>
          <w:vertAlign w:val="superscript"/>
        </w:rPr>
        <w:t>(1)</w:t>
      </w:r>
      <w:r>
        <w:rPr>
          <w:spacing w:val="-2"/>
          <w:sz w:val="16"/>
          <w:vertAlign w:val="baseline"/>
        </w:rPr>
        <w:t> </w:t>
      </w:r>
      <w:r>
        <w:rPr>
          <w:sz w:val="16"/>
          <w:vertAlign w:val="baseline"/>
        </w:rPr>
        <w:t>The</w:t>
      </w:r>
      <w:r>
        <w:rPr>
          <w:spacing w:val="-1"/>
          <w:sz w:val="16"/>
          <w:vertAlign w:val="baseline"/>
        </w:rPr>
        <w:t> </w:t>
      </w:r>
      <w:r>
        <w:rPr>
          <w:sz w:val="16"/>
          <w:vertAlign w:val="baseline"/>
        </w:rPr>
        <w:t>third</w:t>
      </w:r>
      <w:r>
        <w:rPr>
          <w:spacing w:val="-1"/>
          <w:sz w:val="16"/>
          <w:vertAlign w:val="baseline"/>
        </w:rPr>
        <w:t> </w:t>
      </w:r>
      <w:r>
        <w:rPr>
          <w:sz w:val="16"/>
          <w:vertAlign w:val="baseline"/>
        </w:rPr>
        <w:t>quarter</w:t>
      </w:r>
      <w:r>
        <w:rPr>
          <w:spacing w:val="-1"/>
          <w:sz w:val="16"/>
          <w:vertAlign w:val="baseline"/>
        </w:rPr>
        <w:t> </w:t>
      </w:r>
      <w:r>
        <w:rPr>
          <w:sz w:val="16"/>
          <w:vertAlign w:val="baseline"/>
        </w:rPr>
        <w:t>and</w:t>
      </w:r>
      <w:r>
        <w:rPr>
          <w:spacing w:val="-1"/>
          <w:sz w:val="16"/>
          <w:vertAlign w:val="baseline"/>
        </w:rPr>
        <w:t> </w:t>
      </w:r>
      <w:r>
        <w:rPr>
          <w:sz w:val="16"/>
          <w:vertAlign w:val="baseline"/>
        </w:rPr>
        <w:t>first</w:t>
      </w:r>
      <w:r>
        <w:rPr>
          <w:spacing w:val="-1"/>
          <w:sz w:val="16"/>
          <w:vertAlign w:val="baseline"/>
        </w:rPr>
        <w:t> </w:t>
      </w:r>
      <w:r>
        <w:rPr>
          <w:sz w:val="16"/>
          <w:vertAlign w:val="baseline"/>
        </w:rPr>
        <w:t>nine</w:t>
      </w:r>
      <w:r>
        <w:rPr>
          <w:spacing w:val="-1"/>
          <w:sz w:val="16"/>
          <w:vertAlign w:val="baseline"/>
        </w:rPr>
        <w:t> </w:t>
      </w:r>
      <w:r>
        <w:rPr>
          <w:sz w:val="16"/>
          <w:vertAlign w:val="baseline"/>
        </w:rPr>
        <w:t>months</w:t>
      </w:r>
      <w:r>
        <w:rPr>
          <w:spacing w:val="-2"/>
          <w:sz w:val="16"/>
          <w:vertAlign w:val="baseline"/>
        </w:rPr>
        <w:t> </w:t>
      </w:r>
      <w:r>
        <w:rPr>
          <w:sz w:val="16"/>
          <w:vertAlign w:val="baseline"/>
        </w:rPr>
        <w:t>of</w:t>
      </w:r>
      <w:r>
        <w:rPr>
          <w:spacing w:val="-1"/>
          <w:sz w:val="16"/>
          <w:vertAlign w:val="baseline"/>
        </w:rPr>
        <w:t> </w:t>
      </w:r>
      <w:r>
        <w:rPr>
          <w:sz w:val="16"/>
          <w:vertAlign w:val="baseline"/>
        </w:rPr>
        <w:t>2023</w:t>
      </w:r>
      <w:r>
        <w:rPr>
          <w:spacing w:val="-1"/>
          <w:sz w:val="16"/>
          <w:vertAlign w:val="baseline"/>
        </w:rPr>
        <w:t> </w:t>
      </w:r>
      <w:r>
        <w:rPr>
          <w:sz w:val="16"/>
          <w:vertAlign w:val="baseline"/>
        </w:rPr>
        <w:t>and</w:t>
      </w:r>
      <w:r>
        <w:rPr>
          <w:spacing w:val="-1"/>
          <w:sz w:val="16"/>
          <w:vertAlign w:val="baseline"/>
        </w:rPr>
        <w:t> </w:t>
      </w:r>
      <w:r>
        <w:rPr>
          <w:sz w:val="16"/>
          <w:vertAlign w:val="baseline"/>
        </w:rPr>
        <w:t>the</w:t>
      </w:r>
      <w:r>
        <w:rPr>
          <w:spacing w:val="-1"/>
          <w:sz w:val="16"/>
          <w:vertAlign w:val="baseline"/>
        </w:rPr>
        <w:t> </w:t>
      </w:r>
      <w:r>
        <w:rPr>
          <w:sz w:val="16"/>
          <w:vertAlign w:val="baseline"/>
        </w:rPr>
        <w:t>first</w:t>
      </w:r>
      <w:r>
        <w:rPr>
          <w:spacing w:val="-3"/>
          <w:sz w:val="16"/>
          <w:vertAlign w:val="baseline"/>
        </w:rPr>
        <w:t> </w:t>
      </w:r>
      <w:r>
        <w:rPr>
          <w:sz w:val="16"/>
          <w:vertAlign w:val="baseline"/>
        </w:rPr>
        <w:t>nine</w:t>
      </w:r>
      <w:r>
        <w:rPr>
          <w:spacing w:val="-2"/>
          <w:sz w:val="16"/>
          <w:vertAlign w:val="baseline"/>
        </w:rPr>
        <w:t> </w:t>
      </w:r>
      <w:r>
        <w:rPr>
          <w:sz w:val="16"/>
          <w:vertAlign w:val="baseline"/>
        </w:rPr>
        <w:t>months</w:t>
      </w:r>
      <w:r>
        <w:rPr>
          <w:spacing w:val="-2"/>
          <w:sz w:val="16"/>
          <w:vertAlign w:val="baseline"/>
        </w:rPr>
        <w:t> </w:t>
      </w:r>
      <w:r>
        <w:rPr>
          <w:sz w:val="16"/>
          <w:vertAlign w:val="baseline"/>
        </w:rPr>
        <w:t>of</w:t>
      </w:r>
      <w:r>
        <w:rPr>
          <w:spacing w:val="-1"/>
          <w:sz w:val="16"/>
          <w:vertAlign w:val="baseline"/>
        </w:rPr>
        <w:t> </w:t>
      </w:r>
      <w:r>
        <w:rPr>
          <w:sz w:val="16"/>
          <w:vertAlign w:val="baseline"/>
        </w:rPr>
        <w:t>2022</w:t>
      </w:r>
      <w:r>
        <w:rPr>
          <w:spacing w:val="-1"/>
          <w:sz w:val="16"/>
          <w:vertAlign w:val="baseline"/>
        </w:rPr>
        <w:t> </w:t>
      </w:r>
      <w:r>
        <w:rPr>
          <w:sz w:val="16"/>
          <w:vertAlign w:val="baseline"/>
        </w:rPr>
        <w:t>include</w:t>
      </w:r>
      <w:r>
        <w:rPr>
          <w:spacing w:val="-1"/>
          <w:sz w:val="16"/>
          <w:vertAlign w:val="baseline"/>
        </w:rPr>
        <w:t> </w:t>
      </w:r>
      <w:r>
        <w:rPr>
          <w:sz w:val="16"/>
          <w:vertAlign w:val="baseline"/>
        </w:rPr>
        <w:t>transfers</w:t>
      </w:r>
      <w:r>
        <w:rPr>
          <w:spacing w:val="-2"/>
          <w:sz w:val="16"/>
          <w:vertAlign w:val="baseline"/>
        </w:rPr>
        <w:t> </w:t>
      </w:r>
      <w:r>
        <w:rPr>
          <w:sz w:val="16"/>
          <w:vertAlign w:val="baseline"/>
        </w:rPr>
        <w:t>from</w:t>
      </w:r>
      <w:r>
        <w:rPr>
          <w:spacing w:val="-1"/>
          <w:sz w:val="16"/>
          <w:vertAlign w:val="baseline"/>
        </w:rPr>
        <w:t> </w:t>
      </w:r>
      <w:r>
        <w:rPr>
          <w:sz w:val="16"/>
          <w:vertAlign w:val="baseline"/>
        </w:rPr>
        <w:t>other</w:t>
      </w:r>
      <w:r>
        <w:rPr>
          <w:spacing w:val="-1"/>
          <w:sz w:val="16"/>
          <w:vertAlign w:val="baseline"/>
        </w:rPr>
        <w:t> </w:t>
      </w:r>
      <w:r>
        <w:rPr>
          <w:sz w:val="16"/>
          <w:vertAlign w:val="baseline"/>
        </w:rPr>
        <w:t>third-party</w:t>
      </w:r>
      <w:r>
        <w:rPr>
          <w:spacing w:val="-1"/>
          <w:sz w:val="16"/>
          <w:vertAlign w:val="baseline"/>
        </w:rPr>
        <w:t> </w:t>
      </w:r>
      <w:r>
        <w:rPr>
          <w:sz w:val="16"/>
          <w:vertAlign w:val="baseline"/>
        </w:rPr>
        <w:t>mutual</w:t>
      </w:r>
      <w:r>
        <w:rPr>
          <w:spacing w:val="-1"/>
          <w:sz w:val="16"/>
          <w:vertAlign w:val="baseline"/>
        </w:rPr>
        <w:t> </w:t>
      </w:r>
      <w:r>
        <w:rPr>
          <w:sz w:val="16"/>
          <w:vertAlign w:val="baseline"/>
        </w:rPr>
        <w:t>funds</w:t>
      </w:r>
      <w:r>
        <w:rPr>
          <w:spacing w:val="-2"/>
          <w:sz w:val="16"/>
          <w:vertAlign w:val="baseline"/>
        </w:rPr>
        <w:t> </w:t>
      </w:r>
      <w:r>
        <w:rPr>
          <w:sz w:val="16"/>
          <w:vertAlign w:val="baseline"/>
        </w:rPr>
        <w:t>and</w:t>
      </w:r>
      <w:r>
        <w:rPr>
          <w:spacing w:val="-1"/>
          <w:sz w:val="16"/>
          <w:vertAlign w:val="baseline"/>
        </w:rPr>
        <w:t> </w:t>
      </w:r>
      <w:r>
        <w:rPr>
          <w:sz w:val="16"/>
          <w:vertAlign w:val="baseline"/>
        </w:rPr>
        <w:t>ETFs</w:t>
      </w:r>
      <w:r>
        <w:rPr>
          <w:spacing w:val="-2"/>
          <w:sz w:val="16"/>
          <w:vertAlign w:val="baseline"/>
        </w:rPr>
        <w:t> </w:t>
      </w:r>
      <w:r>
        <w:rPr>
          <w:sz w:val="16"/>
          <w:vertAlign w:val="baseline"/>
        </w:rPr>
        <w:t>to</w:t>
      </w:r>
      <w:r>
        <w:rPr>
          <w:spacing w:val="-1"/>
          <w:sz w:val="16"/>
          <w:vertAlign w:val="baseline"/>
        </w:rPr>
        <w:t> </w:t>
      </w:r>
      <w:r>
        <w:rPr>
          <w:sz w:val="16"/>
          <w:vertAlign w:val="baseline"/>
        </w:rPr>
        <w:t>Mutual</w:t>
      </w:r>
      <w:r>
        <w:rPr>
          <w:spacing w:val="40"/>
          <w:sz w:val="16"/>
          <w:vertAlign w:val="baseline"/>
        </w:rPr>
        <w:t> </w:t>
      </w:r>
      <w:r>
        <w:rPr>
          <w:sz w:val="16"/>
          <w:vertAlign w:val="baseline"/>
        </w:rPr>
        <w:t>Fund OneSource</w:t>
      </w:r>
      <w:r>
        <w:rPr>
          <w:sz w:val="16"/>
          <w:vertAlign w:val="superscript"/>
        </w:rPr>
        <w:t>®</w:t>
      </w:r>
      <w:r>
        <w:rPr>
          <w:sz w:val="16"/>
          <w:vertAlign w:val="baseline"/>
        </w:rPr>
        <w:t> and other NTF funds.</w:t>
      </w:r>
    </w:p>
    <w:p>
      <w:pPr>
        <w:spacing w:before="1"/>
        <w:ind w:left="470" w:right="0" w:firstLine="0"/>
        <w:jc w:val="left"/>
        <w:rPr>
          <w:sz w:val="16"/>
        </w:rPr>
      </w:pPr>
      <w:r>
        <w:rPr>
          <w:sz w:val="16"/>
          <w:vertAlign w:val="superscript"/>
        </w:rPr>
        <w:t>(2)</w:t>
      </w:r>
      <w:r>
        <w:rPr>
          <w:spacing w:val="-15"/>
          <w:sz w:val="16"/>
          <w:vertAlign w:val="baseline"/>
        </w:rPr>
        <w:t> </w:t>
      </w:r>
      <w:r>
        <w:rPr>
          <w:sz w:val="16"/>
          <w:vertAlign w:val="baseline"/>
        </w:rPr>
        <w:t>Average</w:t>
      </w:r>
      <w:r>
        <w:rPr>
          <w:spacing w:val="-1"/>
          <w:sz w:val="16"/>
          <w:vertAlign w:val="baseline"/>
        </w:rPr>
        <w:t> </w:t>
      </w:r>
      <w:r>
        <w:rPr>
          <w:sz w:val="16"/>
          <w:vertAlign w:val="baseline"/>
        </w:rPr>
        <w:t>client assets</w:t>
      </w:r>
      <w:r>
        <w:rPr>
          <w:spacing w:val="-1"/>
          <w:sz w:val="16"/>
          <w:vertAlign w:val="baseline"/>
        </w:rPr>
        <w:t> </w:t>
      </w:r>
      <w:r>
        <w:rPr>
          <w:sz w:val="16"/>
          <w:vertAlign w:val="baseline"/>
        </w:rPr>
        <w:t>for advice solutions</w:t>
      </w:r>
      <w:r>
        <w:rPr>
          <w:spacing w:val="-1"/>
          <w:sz w:val="16"/>
          <w:vertAlign w:val="baseline"/>
        </w:rPr>
        <w:t> </w:t>
      </w:r>
      <w:r>
        <w:rPr>
          <w:sz w:val="16"/>
          <w:vertAlign w:val="baseline"/>
        </w:rPr>
        <w:t>may also include the asset balances</w:t>
      </w:r>
      <w:r>
        <w:rPr>
          <w:spacing w:val="-1"/>
          <w:sz w:val="16"/>
          <w:vertAlign w:val="baseline"/>
        </w:rPr>
        <w:t> </w:t>
      </w:r>
      <w:r>
        <w:rPr>
          <w:sz w:val="16"/>
          <w:vertAlign w:val="baseline"/>
        </w:rPr>
        <w:t>contained in the mutual fund and/or ETF</w:t>
      </w:r>
      <w:r>
        <w:rPr>
          <w:spacing w:val="-1"/>
          <w:sz w:val="16"/>
          <w:vertAlign w:val="baseline"/>
        </w:rPr>
        <w:t> </w:t>
      </w:r>
      <w:r>
        <w:rPr>
          <w:sz w:val="16"/>
          <w:vertAlign w:val="baseline"/>
        </w:rPr>
        <w:t>categories</w:t>
      </w:r>
      <w:r>
        <w:rPr>
          <w:spacing w:val="-1"/>
          <w:sz w:val="16"/>
          <w:vertAlign w:val="baseline"/>
        </w:rPr>
        <w:t> </w:t>
      </w:r>
      <w:r>
        <w:rPr>
          <w:sz w:val="16"/>
          <w:vertAlign w:val="baseline"/>
        </w:rPr>
        <w:t>listed </w:t>
      </w:r>
      <w:r>
        <w:rPr>
          <w:spacing w:val="-2"/>
          <w:sz w:val="16"/>
          <w:vertAlign w:val="baseline"/>
        </w:rPr>
        <w:t>above.</w:t>
      </w:r>
    </w:p>
    <w:p>
      <w:pPr>
        <w:spacing w:before="8"/>
        <w:ind w:left="470" w:right="0" w:firstLine="0"/>
        <w:jc w:val="left"/>
        <w:rPr>
          <w:sz w:val="16"/>
        </w:rPr>
      </w:pPr>
      <w:r>
        <w:rPr>
          <w:sz w:val="16"/>
          <w:vertAlign w:val="superscript"/>
        </w:rPr>
        <w:t>(3)</w:t>
      </w:r>
      <w:r>
        <w:rPr>
          <w:spacing w:val="-15"/>
          <w:sz w:val="16"/>
          <w:vertAlign w:val="baseline"/>
        </w:rPr>
        <w:t> </w:t>
      </w:r>
      <w:r>
        <w:rPr>
          <w:sz w:val="16"/>
          <w:vertAlign w:val="baseline"/>
        </w:rPr>
        <w:t>Includes</w:t>
      </w:r>
      <w:r>
        <w:rPr>
          <w:spacing w:val="-1"/>
          <w:sz w:val="16"/>
          <w:vertAlign w:val="baseline"/>
        </w:rPr>
        <w:t> </w:t>
      </w:r>
      <w:r>
        <w:rPr>
          <w:sz w:val="16"/>
          <w:vertAlign w:val="baseline"/>
        </w:rPr>
        <w:t>various</w:t>
      </w:r>
      <w:r>
        <w:rPr>
          <w:spacing w:val="-1"/>
          <w:sz w:val="16"/>
          <w:vertAlign w:val="baseline"/>
        </w:rPr>
        <w:t> </w:t>
      </w:r>
      <w:r>
        <w:rPr>
          <w:sz w:val="16"/>
          <w:vertAlign w:val="baseline"/>
        </w:rPr>
        <w:t>asset-related fees, such as</w:t>
      </w:r>
      <w:r>
        <w:rPr>
          <w:spacing w:val="-1"/>
          <w:sz w:val="16"/>
          <w:vertAlign w:val="baseline"/>
        </w:rPr>
        <w:t> </w:t>
      </w:r>
      <w:r>
        <w:rPr>
          <w:sz w:val="16"/>
          <w:vertAlign w:val="baseline"/>
        </w:rPr>
        <w:t>trust fees, 401(k) recordkeeping fees, and mutual fund clearing</w:t>
      </w:r>
      <w:r>
        <w:rPr>
          <w:spacing w:val="1"/>
          <w:sz w:val="16"/>
          <w:vertAlign w:val="baseline"/>
        </w:rPr>
        <w:t> </w:t>
      </w:r>
      <w:r>
        <w:rPr>
          <w:sz w:val="16"/>
          <w:vertAlign w:val="baseline"/>
        </w:rPr>
        <w:t>fees</w:t>
      </w:r>
      <w:r>
        <w:rPr>
          <w:spacing w:val="-1"/>
          <w:sz w:val="16"/>
          <w:vertAlign w:val="baseline"/>
        </w:rPr>
        <w:t> </w:t>
      </w:r>
      <w:r>
        <w:rPr>
          <w:sz w:val="16"/>
          <w:vertAlign w:val="baseline"/>
        </w:rPr>
        <w:t>and other service </w:t>
      </w:r>
      <w:r>
        <w:rPr>
          <w:spacing w:val="-2"/>
          <w:sz w:val="16"/>
          <w:vertAlign w:val="baseline"/>
        </w:rPr>
        <w:t>fees.</w:t>
      </w:r>
    </w:p>
    <w:p>
      <w:pPr>
        <w:spacing w:before="8"/>
        <w:ind w:left="470" w:right="0" w:firstLine="0"/>
        <w:jc w:val="left"/>
        <w:rPr>
          <w:sz w:val="16"/>
        </w:rPr>
      </w:pPr>
      <w:r>
        <w:rPr>
          <w:sz w:val="16"/>
          <w:vertAlign w:val="superscript"/>
        </w:rPr>
        <w:t>(4)</w:t>
      </w:r>
      <w:r>
        <w:rPr>
          <w:spacing w:val="-1"/>
          <w:sz w:val="16"/>
          <w:vertAlign w:val="baseline"/>
        </w:rPr>
        <w:t> </w:t>
      </w:r>
      <w:r>
        <w:rPr>
          <w:sz w:val="16"/>
          <w:vertAlign w:val="baseline"/>
        </w:rPr>
        <w:t>Includes</w:t>
      </w:r>
      <w:r>
        <w:rPr>
          <w:spacing w:val="-1"/>
          <w:sz w:val="16"/>
          <w:vertAlign w:val="baseline"/>
        </w:rPr>
        <w:t> </w:t>
      </w:r>
      <w:r>
        <w:rPr>
          <w:sz w:val="16"/>
          <w:vertAlign w:val="baseline"/>
        </w:rPr>
        <w:t>miscellaneous</w:t>
      </w:r>
      <w:r>
        <w:rPr>
          <w:spacing w:val="-1"/>
          <w:sz w:val="16"/>
          <w:vertAlign w:val="baseline"/>
        </w:rPr>
        <w:t> </w:t>
      </w:r>
      <w:r>
        <w:rPr>
          <w:sz w:val="16"/>
          <w:vertAlign w:val="baseline"/>
        </w:rPr>
        <w:t>service and</w:t>
      </w:r>
      <w:r>
        <w:rPr>
          <w:spacing w:val="1"/>
          <w:sz w:val="16"/>
          <w:vertAlign w:val="baseline"/>
        </w:rPr>
        <w:t> </w:t>
      </w:r>
      <w:r>
        <w:rPr>
          <w:sz w:val="16"/>
          <w:vertAlign w:val="baseline"/>
        </w:rPr>
        <w:t>transaction fees</w:t>
      </w:r>
      <w:r>
        <w:rPr>
          <w:spacing w:val="-1"/>
          <w:sz w:val="16"/>
          <w:vertAlign w:val="baseline"/>
        </w:rPr>
        <w:t> </w:t>
      </w:r>
      <w:r>
        <w:rPr>
          <w:sz w:val="16"/>
          <w:vertAlign w:val="baseline"/>
        </w:rPr>
        <w:t>relating to mutual</w:t>
      </w:r>
      <w:r>
        <w:rPr>
          <w:spacing w:val="1"/>
          <w:sz w:val="16"/>
          <w:vertAlign w:val="baseline"/>
        </w:rPr>
        <w:t> </w:t>
      </w:r>
      <w:r>
        <w:rPr>
          <w:sz w:val="16"/>
          <w:vertAlign w:val="baseline"/>
        </w:rPr>
        <w:t>funds</w:t>
      </w:r>
      <w:r>
        <w:rPr>
          <w:spacing w:val="-1"/>
          <w:sz w:val="16"/>
          <w:vertAlign w:val="baseline"/>
        </w:rPr>
        <w:t> </w:t>
      </w:r>
      <w:r>
        <w:rPr>
          <w:sz w:val="16"/>
          <w:vertAlign w:val="baseline"/>
        </w:rPr>
        <w:t>and ETFs</w:t>
      </w:r>
      <w:r>
        <w:rPr>
          <w:spacing w:val="-1"/>
          <w:sz w:val="16"/>
          <w:vertAlign w:val="baseline"/>
        </w:rPr>
        <w:t> </w:t>
      </w:r>
      <w:r>
        <w:rPr>
          <w:sz w:val="16"/>
          <w:vertAlign w:val="baseline"/>
        </w:rPr>
        <w:t>that are</w:t>
      </w:r>
      <w:r>
        <w:rPr>
          <w:spacing w:val="1"/>
          <w:sz w:val="16"/>
          <w:vertAlign w:val="baseline"/>
        </w:rPr>
        <w:t> </w:t>
      </w:r>
      <w:r>
        <w:rPr>
          <w:sz w:val="16"/>
          <w:vertAlign w:val="baseline"/>
        </w:rPr>
        <w:t>not balance-</w:t>
      </w:r>
      <w:r>
        <w:rPr>
          <w:spacing w:val="-2"/>
          <w:sz w:val="16"/>
          <w:vertAlign w:val="baseline"/>
        </w:rPr>
        <w:t>based.</w:t>
      </w:r>
    </w:p>
    <w:p>
      <w:pPr>
        <w:pStyle w:val="BodyText"/>
        <w:spacing w:before="7"/>
        <w:rPr>
          <w:sz w:val="16"/>
        </w:rPr>
      </w:pPr>
    </w:p>
    <w:p>
      <w:pPr>
        <w:pStyle w:val="BodyText"/>
        <w:spacing w:line="249" w:lineRule="auto"/>
        <w:ind w:left="470" w:right="500"/>
      </w:pPr>
      <w:r>
        <w:rPr/>
        <w:t>Asset management and administration fees increased by $177 million, or 17%, and $348 million, or 11%, in the third quarter and first nine months of 2023, respectively, compared to the same periods in 2022. These increases were primarily a result of higher</w:t>
      </w:r>
      <w:r>
        <w:rPr>
          <w:spacing w:val="-1"/>
        </w:rPr>
        <w:t> </w:t>
      </w:r>
      <w:r>
        <w:rPr/>
        <w:t>balances</w:t>
      </w:r>
      <w:r>
        <w:rPr>
          <w:spacing w:val="-2"/>
        </w:rPr>
        <w:t> </w:t>
      </w:r>
      <w:r>
        <w:rPr/>
        <w:t>in</w:t>
      </w:r>
      <w:r>
        <w:rPr>
          <w:spacing w:val="-1"/>
        </w:rPr>
        <w:t> </w:t>
      </w:r>
      <w:r>
        <w:rPr/>
        <w:t>Schwab</w:t>
      </w:r>
      <w:r>
        <w:rPr>
          <w:spacing w:val="-1"/>
        </w:rPr>
        <w:t> </w:t>
      </w:r>
      <w:r>
        <w:rPr/>
        <w:t>money</w:t>
      </w:r>
      <w:r>
        <w:rPr>
          <w:spacing w:val="-1"/>
        </w:rPr>
        <w:t> </w:t>
      </w:r>
      <w:r>
        <w:rPr/>
        <w:t>market</w:t>
      </w:r>
      <w:r>
        <w:rPr>
          <w:spacing w:val="-2"/>
        </w:rPr>
        <w:t> </w:t>
      </w:r>
      <w:r>
        <w:rPr/>
        <w:t>funds</w:t>
      </w:r>
      <w:r>
        <w:rPr>
          <w:spacing w:val="-2"/>
        </w:rPr>
        <w:t> </w:t>
      </w:r>
      <w:r>
        <w:rPr/>
        <w:t>and,</w:t>
      </w:r>
      <w:r>
        <w:rPr>
          <w:spacing w:val="-1"/>
        </w:rPr>
        <w:t> </w:t>
      </w:r>
      <w:r>
        <w:rPr/>
        <w:t>for</w:t>
      </w:r>
      <w:r>
        <w:rPr>
          <w:spacing w:val="-1"/>
        </w:rPr>
        <w:t> </w:t>
      </w:r>
      <w:r>
        <w:rPr/>
        <w:t>the</w:t>
      </w:r>
      <w:r>
        <w:rPr>
          <w:spacing w:val="-2"/>
        </w:rPr>
        <w:t> </w:t>
      </w:r>
      <w:r>
        <w:rPr/>
        <w:t>first</w:t>
      </w:r>
      <w:r>
        <w:rPr>
          <w:spacing w:val="-2"/>
        </w:rPr>
        <w:t> </w:t>
      </w:r>
      <w:r>
        <w:rPr/>
        <w:t>nine</w:t>
      </w:r>
      <w:r>
        <w:rPr>
          <w:spacing w:val="-2"/>
        </w:rPr>
        <w:t> </w:t>
      </w:r>
      <w:r>
        <w:rPr/>
        <w:t>months</w:t>
      </w:r>
      <w:r>
        <w:rPr>
          <w:spacing w:val="-2"/>
        </w:rPr>
        <w:t> </w:t>
      </w:r>
      <w:r>
        <w:rPr/>
        <w:t>of</w:t>
      </w:r>
      <w:r>
        <w:rPr>
          <w:spacing w:val="-1"/>
        </w:rPr>
        <w:t> </w:t>
      </w:r>
      <w:r>
        <w:rPr/>
        <w:t>2023,</w:t>
      </w:r>
      <w:r>
        <w:rPr>
          <w:spacing w:val="-1"/>
        </w:rPr>
        <w:t> </w:t>
      </w:r>
      <w:r>
        <w:rPr/>
        <w:t>the</w:t>
      </w:r>
      <w:r>
        <w:rPr>
          <w:spacing w:val="-2"/>
        </w:rPr>
        <w:t> </w:t>
      </w:r>
      <w:r>
        <w:rPr/>
        <w:t>elimination</w:t>
      </w:r>
      <w:r>
        <w:rPr>
          <w:spacing w:val="-1"/>
        </w:rPr>
        <w:t> </w:t>
      </w:r>
      <w:r>
        <w:rPr/>
        <w:t>of</w:t>
      </w:r>
      <w:r>
        <w:rPr>
          <w:spacing w:val="-1"/>
        </w:rPr>
        <w:t> </w:t>
      </w:r>
      <w:r>
        <w:rPr/>
        <w:t>fee</w:t>
      </w:r>
      <w:r>
        <w:rPr>
          <w:spacing w:val="-2"/>
        </w:rPr>
        <w:t> </w:t>
      </w:r>
      <w:r>
        <w:rPr/>
        <w:t>waivers</w:t>
      </w:r>
      <w:r>
        <w:rPr>
          <w:spacing w:val="-2"/>
        </w:rPr>
        <w:t> </w:t>
      </w:r>
      <w:r>
        <w:rPr/>
        <w:t>on</w:t>
      </w:r>
      <w:r>
        <w:rPr>
          <w:spacing w:val="-1"/>
        </w:rPr>
        <w:t> </w:t>
      </w:r>
      <w:r>
        <w:rPr/>
        <w:t>those funds</w:t>
      </w:r>
      <w:r>
        <w:rPr>
          <w:spacing w:val="-3"/>
        </w:rPr>
        <w:t> </w:t>
      </w:r>
      <w:r>
        <w:rPr/>
        <w:t>as</w:t>
      </w:r>
      <w:r>
        <w:rPr>
          <w:spacing w:val="-3"/>
        </w:rPr>
        <w:t> </w:t>
      </w:r>
      <w:r>
        <w:rPr/>
        <w:t>well</w:t>
      </w:r>
      <w:r>
        <w:rPr>
          <w:spacing w:val="-3"/>
        </w:rPr>
        <w:t> </w:t>
      </w:r>
      <w:r>
        <w:rPr/>
        <w:t>as</w:t>
      </w:r>
      <w:r>
        <w:rPr>
          <w:spacing w:val="-3"/>
        </w:rPr>
        <w:t> </w:t>
      </w:r>
      <w:r>
        <w:rPr/>
        <w:t>higher</w:t>
      </w:r>
      <w:r>
        <w:rPr>
          <w:spacing w:val="-2"/>
        </w:rPr>
        <w:t> </w:t>
      </w:r>
      <w:r>
        <w:rPr/>
        <w:t>average</w:t>
      </w:r>
      <w:r>
        <w:rPr>
          <w:spacing w:val="-3"/>
        </w:rPr>
        <w:t> </w:t>
      </w:r>
      <w:r>
        <w:rPr/>
        <w:t>client</w:t>
      </w:r>
      <w:r>
        <w:rPr>
          <w:spacing w:val="-3"/>
        </w:rPr>
        <w:t> </w:t>
      </w:r>
      <w:r>
        <w:rPr/>
        <w:t>asset</w:t>
      </w:r>
      <w:r>
        <w:rPr>
          <w:spacing w:val="-3"/>
        </w:rPr>
        <w:t> </w:t>
      </w:r>
      <w:r>
        <w:rPr/>
        <w:t>balances</w:t>
      </w:r>
      <w:r>
        <w:rPr>
          <w:spacing w:val="-3"/>
        </w:rPr>
        <w:t> </w:t>
      </w:r>
      <w:r>
        <w:rPr/>
        <w:t>due</w:t>
      </w:r>
      <w:r>
        <w:rPr>
          <w:spacing w:val="-3"/>
        </w:rPr>
        <w:t> </w:t>
      </w:r>
      <w:r>
        <w:rPr/>
        <w:t>to</w:t>
      </w:r>
      <w:r>
        <w:rPr>
          <w:spacing w:val="-2"/>
        </w:rPr>
        <w:t> </w:t>
      </w:r>
      <w:r>
        <w:rPr/>
        <w:t>stronger</w:t>
      </w:r>
      <w:r>
        <w:rPr>
          <w:spacing w:val="-2"/>
        </w:rPr>
        <w:t> </w:t>
      </w:r>
      <w:r>
        <w:rPr/>
        <w:t>equity</w:t>
      </w:r>
      <w:r>
        <w:rPr>
          <w:spacing w:val="-2"/>
        </w:rPr>
        <w:t> </w:t>
      </w:r>
      <w:r>
        <w:rPr/>
        <w:t>markets.</w:t>
      </w:r>
      <w:r>
        <w:rPr>
          <w:spacing w:val="-2"/>
        </w:rPr>
        <w:t> </w:t>
      </w:r>
      <w:r>
        <w:rPr/>
        <w:t>Money</w:t>
      </w:r>
      <w:r>
        <w:rPr>
          <w:spacing w:val="-2"/>
        </w:rPr>
        <w:t> </w:t>
      </w:r>
      <w:r>
        <w:rPr/>
        <w:t>market</w:t>
      </w:r>
      <w:r>
        <w:rPr>
          <w:spacing w:val="-3"/>
        </w:rPr>
        <w:t> </w:t>
      </w:r>
      <w:r>
        <w:rPr/>
        <w:t>fund</w:t>
      </w:r>
      <w:r>
        <w:rPr>
          <w:spacing w:val="-2"/>
        </w:rPr>
        <w:t> </w:t>
      </w:r>
      <w:r>
        <w:rPr/>
        <w:t>balances</w:t>
      </w:r>
      <w:r>
        <w:rPr>
          <w:spacing w:val="-3"/>
        </w:rPr>
        <w:t> </w:t>
      </w:r>
      <w:r>
        <w:rPr/>
        <w:t>increased</w:t>
      </w:r>
      <w:r>
        <w:rPr>
          <w:spacing w:val="-2"/>
        </w:rPr>
        <w:t> </w:t>
      </w:r>
      <w:r>
        <w:rPr/>
        <w:t>in 2023</w:t>
      </w:r>
      <w:r>
        <w:rPr>
          <w:spacing w:val="-5"/>
        </w:rPr>
        <w:t> </w:t>
      </w:r>
      <w:r>
        <w:rPr/>
        <w:t>as</w:t>
      </w:r>
      <w:r>
        <w:rPr>
          <w:spacing w:val="-4"/>
        </w:rPr>
        <w:t> </w:t>
      </w:r>
      <w:r>
        <w:rPr/>
        <w:t>clients</w:t>
      </w:r>
      <w:r>
        <w:rPr>
          <w:spacing w:val="-4"/>
        </w:rPr>
        <w:t> </w:t>
      </w:r>
      <w:r>
        <w:rPr/>
        <w:t>shifted</w:t>
      </w:r>
      <w:r>
        <w:rPr>
          <w:spacing w:val="-3"/>
        </w:rPr>
        <w:t> </w:t>
      </w:r>
      <w:r>
        <w:rPr/>
        <w:t>their</w:t>
      </w:r>
      <w:r>
        <w:rPr>
          <w:spacing w:val="-3"/>
        </w:rPr>
        <w:t> </w:t>
      </w:r>
      <w:r>
        <w:rPr/>
        <w:t>cash</w:t>
      </w:r>
      <w:r>
        <w:rPr>
          <w:spacing w:val="-3"/>
        </w:rPr>
        <w:t> </w:t>
      </w:r>
      <w:r>
        <w:rPr/>
        <w:t>allocations</w:t>
      </w:r>
      <w:r>
        <w:rPr>
          <w:spacing w:val="-4"/>
        </w:rPr>
        <w:t> </w:t>
      </w:r>
      <w:r>
        <w:rPr/>
        <w:t>to</w:t>
      </w:r>
      <w:r>
        <w:rPr>
          <w:spacing w:val="-3"/>
        </w:rPr>
        <w:t> </w:t>
      </w:r>
      <w:r>
        <w:rPr/>
        <w:t>higher</w:t>
      </w:r>
      <w:r>
        <w:rPr>
          <w:spacing w:val="-3"/>
        </w:rPr>
        <w:t> </w:t>
      </w:r>
      <w:r>
        <w:rPr/>
        <w:t>yielding</w:t>
      </w:r>
      <w:r>
        <w:rPr>
          <w:spacing w:val="-2"/>
        </w:rPr>
        <w:t> </w:t>
      </w:r>
      <w:r>
        <w:rPr/>
        <w:t>investment</w:t>
      </w:r>
      <w:r>
        <w:rPr>
          <w:spacing w:val="-4"/>
        </w:rPr>
        <w:t> </w:t>
      </w:r>
      <w:r>
        <w:rPr/>
        <w:t>solutions,</w:t>
      </w:r>
      <w:r>
        <w:rPr>
          <w:spacing w:val="-3"/>
        </w:rPr>
        <w:t> </w:t>
      </w:r>
      <w:r>
        <w:rPr/>
        <w:t>and</w:t>
      </w:r>
      <w:r>
        <w:rPr>
          <w:spacing w:val="-3"/>
        </w:rPr>
        <w:t> </w:t>
      </w:r>
      <w:r>
        <w:rPr/>
        <w:t>money</w:t>
      </w:r>
      <w:r>
        <w:rPr>
          <w:spacing w:val="-3"/>
        </w:rPr>
        <w:t> </w:t>
      </w:r>
      <w:r>
        <w:rPr/>
        <w:t>market</w:t>
      </w:r>
      <w:r>
        <w:rPr>
          <w:spacing w:val="-4"/>
        </w:rPr>
        <w:t> </w:t>
      </w:r>
      <w:r>
        <w:rPr/>
        <w:t>fund</w:t>
      </w:r>
      <w:r>
        <w:rPr>
          <w:spacing w:val="-3"/>
        </w:rPr>
        <w:t> </w:t>
      </w:r>
      <w:r>
        <w:rPr/>
        <w:t>fee</w:t>
      </w:r>
      <w:r>
        <w:rPr>
          <w:spacing w:val="-4"/>
        </w:rPr>
        <w:t> </w:t>
      </w:r>
      <w:r>
        <w:rPr/>
        <w:t>waivers</w:t>
      </w:r>
      <w:r>
        <w:rPr>
          <w:spacing w:val="-3"/>
        </w:rPr>
        <w:t> </w:t>
      </w:r>
      <w:r>
        <w:rPr>
          <w:spacing w:val="-4"/>
        </w:rPr>
        <w:t>were</w:t>
      </w:r>
    </w:p>
    <w:p>
      <w:pPr>
        <w:spacing w:after="0" w:line="249" w:lineRule="auto"/>
        <w:sectPr>
          <w:pgSz w:w="12240" w:h="15840"/>
          <w:pgMar w:header="512" w:footer="201" w:top="1180" w:bottom="400" w:left="520" w:right="520"/>
        </w:sectPr>
      </w:pPr>
    </w:p>
    <w:p>
      <w:pPr>
        <w:pStyle w:val="BodyText"/>
        <w:spacing w:line="249" w:lineRule="auto" w:before="211"/>
        <w:ind w:left="470" w:right="761"/>
      </w:pPr>
      <w:r>
        <w:rPr/>
        <w:t>eliminated</w:t>
      </w:r>
      <w:r>
        <w:rPr>
          <w:spacing w:val="-3"/>
        </w:rPr>
        <w:t> </w:t>
      </w:r>
      <w:r>
        <w:rPr/>
        <w:t>during</w:t>
      </w:r>
      <w:r>
        <w:rPr>
          <w:spacing w:val="-3"/>
        </w:rPr>
        <w:t> </w:t>
      </w:r>
      <w:r>
        <w:rPr/>
        <w:t>2022,</w:t>
      </w:r>
      <w:r>
        <w:rPr>
          <w:spacing w:val="-3"/>
        </w:rPr>
        <w:t> </w:t>
      </w:r>
      <w:r>
        <w:rPr/>
        <w:t>both</w:t>
      </w:r>
      <w:r>
        <w:rPr>
          <w:spacing w:val="-3"/>
        </w:rPr>
        <w:t> </w:t>
      </w:r>
      <w:r>
        <w:rPr/>
        <w:t>due</w:t>
      </w:r>
      <w:r>
        <w:rPr>
          <w:spacing w:val="-3"/>
        </w:rPr>
        <w:t> </w:t>
      </w:r>
      <w:r>
        <w:rPr/>
        <w:t>primarily</w:t>
      </w:r>
      <w:r>
        <w:rPr>
          <w:spacing w:val="-3"/>
        </w:rPr>
        <w:t> </w:t>
      </w:r>
      <w:r>
        <w:rPr/>
        <w:t>to</w:t>
      </w:r>
      <w:r>
        <w:rPr>
          <w:spacing w:val="-3"/>
        </w:rPr>
        <w:t> </w:t>
      </w:r>
      <w:r>
        <w:rPr/>
        <w:t>the</w:t>
      </w:r>
      <w:r>
        <w:rPr>
          <w:spacing w:val="-3"/>
        </w:rPr>
        <w:t> </w:t>
      </w:r>
      <w:r>
        <w:rPr/>
        <w:t>Federal</w:t>
      </w:r>
      <w:r>
        <w:rPr>
          <w:spacing w:val="-3"/>
        </w:rPr>
        <w:t> </w:t>
      </w:r>
      <w:r>
        <w:rPr/>
        <w:t>Reserve’s</w:t>
      </w:r>
      <w:r>
        <w:rPr>
          <w:spacing w:val="-3"/>
        </w:rPr>
        <w:t> </w:t>
      </w:r>
      <w:r>
        <w:rPr/>
        <w:t>increases</w:t>
      </w:r>
      <w:r>
        <w:rPr>
          <w:spacing w:val="-3"/>
        </w:rPr>
        <w:t> </w:t>
      </w:r>
      <w:r>
        <w:rPr/>
        <w:t>to</w:t>
      </w:r>
      <w:r>
        <w:rPr>
          <w:spacing w:val="-3"/>
        </w:rPr>
        <w:t> </w:t>
      </w:r>
      <w:r>
        <w:rPr/>
        <w:t>the</w:t>
      </w:r>
      <w:r>
        <w:rPr>
          <w:spacing w:val="-3"/>
        </w:rPr>
        <w:t> </w:t>
      </w:r>
      <w:r>
        <w:rPr/>
        <w:t>federal</w:t>
      </w:r>
      <w:r>
        <w:rPr>
          <w:spacing w:val="-3"/>
        </w:rPr>
        <w:t> </w:t>
      </w:r>
      <w:r>
        <w:rPr/>
        <w:t>funds</w:t>
      </w:r>
      <w:r>
        <w:rPr>
          <w:spacing w:val="-3"/>
        </w:rPr>
        <w:t> </w:t>
      </w:r>
      <w:r>
        <w:rPr/>
        <w:t>target</w:t>
      </w:r>
      <w:r>
        <w:rPr>
          <w:spacing w:val="-3"/>
        </w:rPr>
        <w:t> </w:t>
      </w:r>
      <w:r>
        <w:rPr/>
        <w:t>overnight</w:t>
      </w:r>
      <w:r>
        <w:rPr>
          <w:spacing w:val="-3"/>
        </w:rPr>
        <w:t> </w:t>
      </w:r>
      <w:r>
        <w:rPr/>
        <w:t>rate.</w:t>
      </w:r>
      <w:r>
        <w:rPr>
          <w:spacing w:val="-3"/>
        </w:rPr>
        <w:t> </w:t>
      </w:r>
      <w:r>
        <w:rPr/>
        <w:t>The increases in asset management and administration fees in the third quarter and first nine months of 2023 were also due to growth in Schwab equity and bond funds, ETFs, and CTFs, partially offset by lower balances of certain third-party mutual funds and ETFs.</w:t>
      </w:r>
    </w:p>
    <w:p>
      <w:pPr>
        <w:pStyle w:val="BodyText"/>
        <w:spacing w:before="13"/>
      </w:pPr>
    </w:p>
    <w:p>
      <w:pPr>
        <w:pStyle w:val="BodyText"/>
        <w:spacing w:line="249" w:lineRule="auto"/>
        <w:ind w:left="470" w:right="470"/>
      </w:pPr>
      <w:r>
        <w:rPr/>
        <mc:AlternateContent>
          <mc:Choice Requires="wps">
            <w:drawing>
              <wp:anchor distT="0" distB="0" distL="0" distR="0" allowOverlap="1" layoutInCell="1" locked="0" behindDoc="0" simplePos="0" relativeHeight="15731200">
                <wp:simplePos x="0" y="0"/>
                <wp:positionH relativeFrom="page">
                  <wp:posOffset>628650</wp:posOffset>
                </wp:positionH>
                <wp:positionV relativeFrom="paragraph">
                  <wp:posOffset>700971</wp:posOffset>
                </wp:positionV>
                <wp:extent cx="6477000" cy="635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477000" cy="6350"/>
                          <a:chExt cx="6477000" cy="6350"/>
                        </a:xfrm>
                      </wpg:grpSpPr>
                      <wps:wsp>
                        <wps:cNvPr id="17" name="Graphic 17"/>
                        <wps:cNvSpPr/>
                        <wps:spPr>
                          <a:xfrm>
                            <a:off x="0" y="3175"/>
                            <a:ext cx="2314575" cy="1270"/>
                          </a:xfrm>
                          <a:custGeom>
                            <a:avLst/>
                            <a:gdLst/>
                            <a:ahLst/>
                            <a:cxnLst/>
                            <a:rect l="l" t="t" r="r" b="b"/>
                            <a:pathLst>
                              <a:path w="2314575" h="0">
                                <a:moveTo>
                                  <a:pt x="2314575" y="0"/>
                                </a:moveTo>
                                <a:lnTo>
                                  <a:pt x="0" y="0"/>
                                </a:lnTo>
                              </a:path>
                            </a:pathLst>
                          </a:custGeom>
                          <a:solidFill>
                            <a:srgbClr val="000000"/>
                          </a:solidFill>
                        </wps:spPr>
                        <wps:bodyPr wrap="square" lIns="0" tIns="0" rIns="0" bIns="0" rtlCol="0">
                          <a:prstTxWarp prst="textNoShape">
                            <a:avLst/>
                          </a:prstTxWarp>
                          <a:noAutofit/>
                        </wps:bodyPr>
                      </wps:wsp>
                      <wps:wsp>
                        <wps:cNvPr id="18" name="Graphic 18"/>
                        <wps:cNvSpPr/>
                        <wps:spPr>
                          <a:xfrm>
                            <a:off x="0" y="3175"/>
                            <a:ext cx="2314575" cy="1270"/>
                          </a:xfrm>
                          <a:custGeom>
                            <a:avLst/>
                            <a:gdLst/>
                            <a:ahLst/>
                            <a:cxnLst/>
                            <a:rect l="l" t="t" r="r" b="b"/>
                            <a:pathLst>
                              <a:path w="2314575" h="0">
                                <a:moveTo>
                                  <a:pt x="0" y="0"/>
                                </a:moveTo>
                                <a:lnTo>
                                  <a:pt x="2314575"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2314575" y="3175"/>
                            <a:ext cx="1352550" cy="1270"/>
                          </a:xfrm>
                          <a:custGeom>
                            <a:avLst/>
                            <a:gdLst/>
                            <a:ahLst/>
                            <a:cxnLst/>
                            <a:rect l="l" t="t" r="r" b="b"/>
                            <a:pathLst>
                              <a:path w="1352550" h="0">
                                <a:moveTo>
                                  <a:pt x="1352550" y="0"/>
                                </a:moveTo>
                                <a:lnTo>
                                  <a:pt x="0" y="0"/>
                                </a:lnTo>
                              </a:path>
                            </a:pathLst>
                          </a:custGeom>
                          <a:solidFill>
                            <a:srgbClr val="000000"/>
                          </a:solidFill>
                        </wps:spPr>
                        <wps:bodyPr wrap="square" lIns="0" tIns="0" rIns="0" bIns="0" rtlCol="0">
                          <a:prstTxWarp prst="textNoShape">
                            <a:avLst/>
                          </a:prstTxWarp>
                          <a:noAutofit/>
                        </wps:bodyPr>
                      </wps:wsp>
                      <wps:wsp>
                        <wps:cNvPr id="20" name="Graphic 20"/>
                        <wps:cNvSpPr/>
                        <wps:spPr>
                          <a:xfrm>
                            <a:off x="2314575" y="3175"/>
                            <a:ext cx="1352550" cy="1270"/>
                          </a:xfrm>
                          <a:custGeom>
                            <a:avLst/>
                            <a:gdLst/>
                            <a:ahLst/>
                            <a:cxnLst/>
                            <a:rect l="l" t="t" r="r" b="b"/>
                            <a:pathLst>
                              <a:path w="1352550" h="0">
                                <a:moveTo>
                                  <a:pt x="0" y="0"/>
                                </a:moveTo>
                                <a:lnTo>
                                  <a:pt x="1352550"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3667125" y="3175"/>
                            <a:ext cx="2809875" cy="1270"/>
                          </a:xfrm>
                          <a:custGeom>
                            <a:avLst/>
                            <a:gdLst/>
                            <a:ahLst/>
                            <a:cxnLst/>
                            <a:rect l="l" t="t" r="r" b="b"/>
                            <a:pathLst>
                              <a:path w="2809875" h="0">
                                <a:moveTo>
                                  <a:pt x="2809875" y="0"/>
                                </a:moveTo>
                                <a:lnTo>
                                  <a:pt x="0" y="0"/>
                                </a:lnTo>
                              </a:path>
                            </a:pathLst>
                          </a:custGeom>
                          <a:solidFill>
                            <a:srgbClr val="000000"/>
                          </a:solidFill>
                        </wps:spPr>
                        <wps:bodyPr wrap="square" lIns="0" tIns="0" rIns="0" bIns="0" rtlCol="0">
                          <a:prstTxWarp prst="textNoShape">
                            <a:avLst/>
                          </a:prstTxWarp>
                          <a:noAutofit/>
                        </wps:bodyPr>
                      </wps:wsp>
                      <wps:wsp>
                        <wps:cNvPr id="22" name="Graphic 22"/>
                        <wps:cNvSpPr/>
                        <wps:spPr>
                          <a:xfrm>
                            <a:off x="3667125" y="3175"/>
                            <a:ext cx="2809875" cy="1270"/>
                          </a:xfrm>
                          <a:custGeom>
                            <a:avLst/>
                            <a:gdLst/>
                            <a:ahLst/>
                            <a:cxnLst/>
                            <a:rect l="l" t="t" r="r" b="b"/>
                            <a:pathLst>
                              <a:path w="2809875" h="0">
                                <a:moveTo>
                                  <a:pt x="0" y="0"/>
                                </a:moveTo>
                                <a:lnTo>
                                  <a:pt x="280987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55.194569pt;width:510pt;height:.5pt;mso-position-horizontal-relative:page;mso-position-vertical-relative:paragraph;z-index:15731200" id="docshapegroup13" coordorigin="990,1104" coordsize="10200,10">
                <v:shape style="position:absolute;left:990;top:1108;width:3645;height:2" id="docshape14" coordorigin="990,1109" coordsize="3645,0" path="m4635,1109l990,1109e" filled="true" fillcolor="#000000" stroked="false">
                  <v:path arrowok="t"/>
                  <v:fill opacity="0f" type="solid"/>
                </v:shape>
                <v:line style="position:absolute" from="990,1109" to="4635,1109" stroked="true" strokeweight=".5pt" strokecolor="#000000">
                  <v:stroke dashstyle="solid"/>
                </v:line>
                <v:shape style="position:absolute;left:4635;top:1108;width:2130;height:2" id="docshape15" coordorigin="4635,1109" coordsize="2130,0" path="m6765,1109l4635,1109e" filled="true" fillcolor="#000000" stroked="false">
                  <v:path arrowok="t"/>
                  <v:fill opacity="0f" type="solid"/>
                </v:shape>
                <v:line style="position:absolute" from="4635,1109" to="6765,1109" stroked="true" strokeweight=".5pt" strokecolor="#000000">
                  <v:stroke dashstyle="solid"/>
                </v:line>
                <v:shape style="position:absolute;left:6765;top:1108;width:4425;height:2" id="docshape16" coordorigin="6765,1109" coordsize="4425,0" path="m11190,1109l6765,1109e" filled="true" fillcolor="#000000" stroked="false">
                  <v:path arrowok="t"/>
                  <v:fill opacity="0f" type="solid"/>
                </v:shape>
                <v:line style="position:absolute" from="6765,1109" to="11190,1109" stroked="true" strokeweight=".5pt" strokecolor="#000000">
                  <v:stroke dashstyle="solid"/>
                </v:line>
                <w10:wrap type="none"/>
              </v:group>
            </w:pict>
          </mc:Fallback>
        </mc:AlternateContent>
      </w:r>
      <w:r>
        <w:rPr/>
        <w:t>The</w:t>
      </w:r>
      <w:r>
        <w:rPr>
          <w:spacing w:val="-2"/>
        </w:rPr>
        <w:t> </w:t>
      </w:r>
      <w:r>
        <w:rPr/>
        <w:t>following</w:t>
      </w:r>
      <w:r>
        <w:rPr>
          <w:spacing w:val="-1"/>
        </w:rPr>
        <w:t> </w:t>
      </w:r>
      <w:r>
        <w:rPr/>
        <w:t>table</w:t>
      </w:r>
      <w:r>
        <w:rPr>
          <w:spacing w:val="-2"/>
        </w:rPr>
        <w:t> </w:t>
      </w:r>
      <w:r>
        <w:rPr/>
        <w:t>presents</w:t>
      </w:r>
      <w:r>
        <w:rPr>
          <w:spacing w:val="-2"/>
        </w:rPr>
        <w:t> </w:t>
      </w:r>
      <w:r>
        <w:rPr/>
        <w:t>a</w:t>
      </w:r>
      <w:r>
        <w:rPr>
          <w:spacing w:val="-2"/>
        </w:rPr>
        <w:t> </w:t>
      </w:r>
      <w:r>
        <w:rPr/>
        <w:t>roll</w:t>
      </w:r>
      <w:r>
        <w:rPr>
          <w:spacing w:val="-2"/>
        </w:rPr>
        <w:t> </w:t>
      </w:r>
      <w:r>
        <w:rPr/>
        <w:t>forward</w:t>
      </w:r>
      <w:r>
        <w:rPr>
          <w:spacing w:val="-1"/>
        </w:rPr>
        <w:t> </w:t>
      </w:r>
      <w:r>
        <w:rPr/>
        <w:t>of</w:t>
      </w:r>
      <w:r>
        <w:rPr>
          <w:spacing w:val="-1"/>
        </w:rPr>
        <w:t> </w:t>
      </w:r>
      <w:r>
        <w:rPr/>
        <w:t>client</w:t>
      </w:r>
      <w:r>
        <w:rPr>
          <w:spacing w:val="-2"/>
        </w:rPr>
        <w:t> </w:t>
      </w:r>
      <w:r>
        <w:rPr/>
        <w:t>assets</w:t>
      </w:r>
      <w:r>
        <w:rPr>
          <w:spacing w:val="-2"/>
        </w:rPr>
        <w:t> </w:t>
      </w:r>
      <w:r>
        <w:rPr/>
        <w:t>for</w:t>
      </w:r>
      <w:r>
        <w:rPr>
          <w:spacing w:val="-1"/>
        </w:rPr>
        <w:t> </w:t>
      </w:r>
      <w:r>
        <w:rPr/>
        <w:t>the</w:t>
      </w:r>
      <w:r>
        <w:rPr>
          <w:spacing w:val="-2"/>
        </w:rPr>
        <w:t> </w:t>
      </w:r>
      <w:r>
        <w:rPr/>
        <w:t>Schwab</w:t>
      </w:r>
      <w:r>
        <w:rPr>
          <w:spacing w:val="-1"/>
        </w:rPr>
        <w:t> </w:t>
      </w:r>
      <w:r>
        <w:rPr/>
        <w:t>money</w:t>
      </w:r>
      <w:r>
        <w:rPr>
          <w:spacing w:val="-1"/>
        </w:rPr>
        <w:t> </w:t>
      </w:r>
      <w:r>
        <w:rPr/>
        <w:t>market</w:t>
      </w:r>
      <w:r>
        <w:rPr>
          <w:spacing w:val="-2"/>
        </w:rPr>
        <w:t> </w:t>
      </w:r>
      <w:r>
        <w:rPr/>
        <w:t>funds,</w:t>
      </w:r>
      <w:r>
        <w:rPr>
          <w:spacing w:val="-1"/>
        </w:rPr>
        <w:t> </w:t>
      </w:r>
      <w:r>
        <w:rPr/>
        <w:t>Schwab</w:t>
      </w:r>
      <w:r>
        <w:rPr>
          <w:spacing w:val="-1"/>
        </w:rPr>
        <w:t> </w:t>
      </w:r>
      <w:r>
        <w:rPr/>
        <w:t>equity</w:t>
      </w:r>
      <w:r>
        <w:rPr>
          <w:spacing w:val="-1"/>
        </w:rPr>
        <w:t> </w:t>
      </w:r>
      <w:r>
        <w:rPr/>
        <w:t>and</w:t>
      </w:r>
      <w:r>
        <w:rPr>
          <w:spacing w:val="-1"/>
        </w:rPr>
        <w:t> </w:t>
      </w:r>
      <w:r>
        <w:rPr/>
        <w:t>bond</w:t>
      </w:r>
      <w:r>
        <w:rPr>
          <w:spacing w:val="-1"/>
        </w:rPr>
        <w:t> </w:t>
      </w:r>
      <w:r>
        <w:rPr/>
        <w:t>funds, ETFs, and CTFs, and Mutual Fund OneSource</w:t>
      </w:r>
      <w:r>
        <w:rPr>
          <w:vertAlign w:val="superscript"/>
        </w:rPr>
        <w:t>®</w:t>
      </w:r>
      <w:r>
        <w:rPr>
          <w:spacing w:val="-14"/>
          <w:vertAlign w:val="baseline"/>
        </w:rPr>
        <w:t> </w:t>
      </w:r>
      <w:r>
        <w:rPr>
          <w:vertAlign w:val="baseline"/>
        </w:rPr>
        <w:t>and other NTF funds. These funds generated 44% and 42% of the asset management</w:t>
      </w:r>
      <w:r>
        <w:rPr>
          <w:spacing w:val="-4"/>
          <w:vertAlign w:val="baseline"/>
        </w:rPr>
        <w:t> </w:t>
      </w:r>
      <w:r>
        <w:rPr>
          <w:vertAlign w:val="baseline"/>
        </w:rPr>
        <w:t>and</w:t>
      </w:r>
      <w:r>
        <w:rPr>
          <w:spacing w:val="-3"/>
          <w:vertAlign w:val="baseline"/>
        </w:rPr>
        <w:t> </w:t>
      </w:r>
      <w:r>
        <w:rPr>
          <w:vertAlign w:val="baseline"/>
        </w:rPr>
        <w:t>administration</w:t>
      </w:r>
      <w:r>
        <w:rPr>
          <w:spacing w:val="-3"/>
          <w:vertAlign w:val="baseline"/>
        </w:rPr>
        <w:t> </w:t>
      </w:r>
      <w:r>
        <w:rPr>
          <w:vertAlign w:val="baseline"/>
        </w:rPr>
        <w:t>fees</w:t>
      </w:r>
      <w:r>
        <w:rPr>
          <w:spacing w:val="-4"/>
          <w:vertAlign w:val="baseline"/>
        </w:rPr>
        <w:t> </w:t>
      </w:r>
      <w:r>
        <w:rPr>
          <w:vertAlign w:val="baseline"/>
        </w:rPr>
        <w:t>earned</w:t>
      </w:r>
      <w:r>
        <w:rPr>
          <w:spacing w:val="-3"/>
          <w:vertAlign w:val="baseline"/>
        </w:rPr>
        <w:t> </w:t>
      </w:r>
      <w:r>
        <w:rPr>
          <w:vertAlign w:val="baseline"/>
        </w:rPr>
        <w:t>in</w:t>
      </w:r>
      <w:r>
        <w:rPr>
          <w:spacing w:val="-3"/>
          <w:vertAlign w:val="baseline"/>
        </w:rPr>
        <w:t> </w:t>
      </w:r>
      <w:r>
        <w:rPr>
          <w:vertAlign w:val="baseline"/>
        </w:rPr>
        <w:t>the</w:t>
      </w:r>
      <w:r>
        <w:rPr>
          <w:spacing w:val="-4"/>
          <w:vertAlign w:val="baseline"/>
        </w:rPr>
        <w:t> </w:t>
      </w:r>
      <w:r>
        <w:rPr>
          <w:vertAlign w:val="baseline"/>
        </w:rPr>
        <w:t>third</w:t>
      </w:r>
      <w:r>
        <w:rPr>
          <w:spacing w:val="-3"/>
          <w:vertAlign w:val="baseline"/>
        </w:rPr>
        <w:t> </w:t>
      </w:r>
      <w:r>
        <w:rPr>
          <w:vertAlign w:val="baseline"/>
        </w:rPr>
        <w:t>quarter</w:t>
      </w:r>
      <w:r>
        <w:rPr>
          <w:spacing w:val="-3"/>
          <w:vertAlign w:val="baseline"/>
        </w:rPr>
        <w:t> </w:t>
      </w:r>
      <w:r>
        <w:rPr>
          <w:vertAlign w:val="baseline"/>
        </w:rPr>
        <w:t>and</w:t>
      </w:r>
      <w:r>
        <w:rPr>
          <w:spacing w:val="-3"/>
          <w:vertAlign w:val="baseline"/>
        </w:rPr>
        <w:t> </w:t>
      </w:r>
      <w:r>
        <w:rPr>
          <w:vertAlign w:val="baseline"/>
        </w:rPr>
        <w:t>first</w:t>
      </w:r>
      <w:r>
        <w:rPr>
          <w:spacing w:val="-4"/>
          <w:vertAlign w:val="baseline"/>
        </w:rPr>
        <w:t> </w:t>
      </w:r>
      <w:r>
        <w:rPr>
          <w:vertAlign w:val="baseline"/>
        </w:rPr>
        <w:t>nine</w:t>
      </w:r>
      <w:r>
        <w:rPr>
          <w:spacing w:val="-4"/>
          <w:vertAlign w:val="baseline"/>
        </w:rPr>
        <w:t> </w:t>
      </w:r>
      <w:r>
        <w:rPr>
          <w:vertAlign w:val="baseline"/>
        </w:rPr>
        <w:t>months</w:t>
      </w:r>
      <w:r>
        <w:rPr>
          <w:spacing w:val="-4"/>
          <w:vertAlign w:val="baseline"/>
        </w:rPr>
        <w:t> </w:t>
      </w:r>
      <w:r>
        <w:rPr>
          <w:vertAlign w:val="baseline"/>
        </w:rPr>
        <w:t>of</w:t>
      </w:r>
      <w:r>
        <w:rPr>
          <w:spacing w:val="-3"/>
          <w:vertAlign w:val="baseline"/>
        </w:rPr>
        <w:t> </w:t>
      </w:r>
      <w:r>
        <w:rPr>
          <w:vertAlign w:val="baseline"/>
        </w:rPr>
        <w:t>2023,</w:t>
      </w:r>
      <w:r>
        <w:rPr>
          <w:spacing w:val="-3"/>
          <w:vertAlign w:val="baseline"/>
        </w:rPr>
        <w:t> </w:t>
      </w:r>
      <w:r>
        <w:rPr>
          <w:vertAlign w:val="baseline"/>
        </w:rPr>
        <w:t>respectively,</w:t>
      </w:r>
      <w:r>
        <w:rPr>
          <w:spacing w:val="-3"/>
          <w:vertAlign w:val="baseline"/>
        </w:rPr>
        <w:t> </w:t>
      </w:r>
      <w:r>
        <w:rPr>
          <w:vertAlign w:val="baseline"/>
        </w:rPr>
        <w:t>compared</w:t>
      </w:r>
      <w:r>
        <w:rPr>
          <w:spacing w:val="-3"/>
          <w:vertAlign w:val="baseline"/>
        </w:rPr>
        <w:t> </w:t>
      </w:r>
      <w:r>
        <w:rPr>
          <w:vertAlign w:val="baseline"/>
        </w:rPr>
        <w:t>with</w:t>
      </w:r>
      <w:r>
        <w:rPr>
          <w:spacing w:val="-3"/>
          <w:vertAlign w:val="baseline"/>
        </w:rPr>
        <w:t> </w:t>
      </w:r>
      <w:r>
        <w:rPr>
          <w:vertAlign w:val="baseline"/>
        </w:rPr>
        <w:t>34% and 32% in the third quarter and first nine months of 2022, respectively:</w:t>
      </w:r>
    </w:p>
    <w:p>
      <w:pPr>
        <w:spacing w:after="0" w:line="249" w:lineRule="auto"/>
        <w:sectPr>
          <w:pgSz w:w="12240" w:h="15840"/>
          <w:pgMar w:header="512" w:footer="201" w:top="1180" w:bottom="400" w:left="520" w:right="520"/>
        </w:sectPr>
      </w:pPr>
    </w:p>
    <w:p>
      <w:pPr>
        <w:pStyle w:val="BodyText"/>
        <w:spacing w:before="165"/>
        <w:rPr>
          <w:sz w:val="18"/>
        </w:rPr>
      </w:pPr>
    </w:p>
    <w:p>
      <w:pPr>
        <w:spacing w:line="208" w:lineRule="auto" w:before="0"/>
        <w:ind w:left="4677" w:right="0" w:hanging="60"/>
        <w:jc w:val="left"/>
        <w:rPr>
          <w:sz w:val="18"/>
        </w:rPr>
      </w:pPr>
      <w:r>
        <w:rPr>
          <w:sz w:val="18"/>
        </w:rPr>
        <w:t>Schwab</w:t>
      </w:r>
      <w:r>
        <w:rPr>
          <w:spacing w:val="-12"/>
          <w:sz w:val="18"/>
        </w:rPr>
        <w:t> </w:t>
      </w:r>
      <w:r>
        <w:rPr>
          <w:sz w:val="18"/>
        </w:rPr>
        <w:t>Money Market Funds</w:t>
      </w:r>
    </w:p>
    <w:p>
      <w:pPr>
        <w:spacing w:line="208" w:lineRule="auto" w:before="192"/>
        <w:ind w:left="750" w:right="0" w:hanging="1"/>
        <w:jc w:val="center"/>
        <w:rPr>
          <w:sz w:val="18"/>
        </w:rPr>
      </w:pPr>
      <w:r>
        <w:rPr/>
        <w:br w:type="column"/>
      </w:r>
      <w:r>
        <w:rPr>
          <w:sz w:val="18"/>
        </w:rPr>
        <w:t>Schwab Equity and Bond</w:t>
      </w:r>
      <w:r>
        <w:rPr>
          <w:spacing w:val="-12"/>
          <w:sz w:val="18"/>
        </w:rPr>
        <w:t> </w:t>
      </w:r>
      <w:r>
        <w:rPr>
          <w:sz w:val="18"/>
        </w:rPr>
        <w:t>Funds,</w:t>
      </w:r>
      <w:r>
        <w:rPr>
          <w:spacing w:val="-11"/>
          <w:sz w:val="18"/>
        </w:rPr>
        <w:t> </w:t>
      </w:r>
      <w:r>
        <w:rPr>
          <w:sz w:val="18"/>
        </w:rPr>
        <w:t>ETFs,</w:t>
      </w:r>
      <w:r>
        <w:rPr>
          <w:spacing w:val="-11"/>
          <w:sz w:val="18"/>
        </w:rPr>
        <w:t> </w:t>
      </w:r>
      <w:r>
        <w:rPr>
          <w:sz w:val="18"/>
        </w:rPr>
        <w:t>and </w:t>
      </w:r>
      <w:r>
        <w:rPr>
          <w:spacing w:val="-4"/>
          <w:sz w:val="18"/>
        </w:rPr>
        <w:t>CTFs</w:t>
      </w:r>
    </w:p>
    <w:p>
      <w:pPr>
        <w:spacing w:line="240" w:lineRule="auto" w:before="165"/>
        <w:rPr>
          <w:sz w:val="18"/>
        </w:rPr>
      </w:pPr>
      <w:r>
        <w:rPr/>
        <w:br w:type="column"/>
      </w:r>
      <w:r>
        <w:rPr>
          <w:sz w:val="18"/>
        </w:rPr>
      </w:r>
    </w:p>
    <w:p>
      <w:pPr>
        <w:spacing w:line="208" w:lineRule="auto" w:before="0"/>
        <w:ind w:left="547" w:right="449" w:hanging="162"/>
        <w:jc w:val="left"/>
        <w:rPr>
          <w:sz w:val="18"/>
        </w:rPr>
      </w:pPr>
      <w:r>
        <w:rPr>
          <w:sz w:val="18"/>
        </w:rPr>
        <w:t>Mutual</w:t>
      </w:r>
      <w:r>
        <w:rPr>
          <w:spacing w:val="-12"/>
          <w:sz w:val="18"/>
        </w:rPr>
        <w:t> </w:t>
      </w:r>
      <w:r>
        <w:rPr>
          <w:sz w:val="18"/>
        </w:rPr>
        <w:t>Fund</w:t>
      </w:r>
      <w:r>
        <w:rPr>
          <w:spacing w:val="-11"/>
          <w:sz w:val="18"/>
        </w:rPr>
        <w:t> </w:t>
      </w:r>
      <w:r>
        <w:rPr>
          <w:sz w:val="18"/>
        </w:rPr>
        <w:t>OneSource</w:t>
      </w:r>
      <w:r>
        <w:rPr>
          <w:sz w:val="18"/>
          <w:vertAlign w:val="superscript"/>
        </w:rPr>
        <w:t>®</w:t>
      </w:r>
      <w:r>
        <w:rPr>
          <w:sz w:val="18"/>
          <w:vertAlign w:val="baseline"/>
        </w:rPr>
        <w:t> and Other NTF funds</w:t>
      </w:r>
    </w:p>
    <w:p>
      <w:pPr>
        <w:spacing w:after="0" w:line="208" w:lineRule="auto"/>
        <w:jc w:val="left"/>
        <w:rPr>
          <w:sz w:val="18"/>
        </w:rPr>
        <w:sectPr>
          <w:type w:val="continuous"/>
          <w:pgSz w:w="12240" w:h="15840"/>
          <w:pgMar w:header="512" w:footer="201" w:top="320" w:bottom="280" w:left="520" w:right="520"/>
          <w:cols w:num="3" w:equalWidth="0">
            <w:col w:w="5743" w:space="40"/>
            <w:col w:w="2456" w:space="39"/>
            <w:col w:w="2922"/>
          </w:cols>
        </w:sectPr>
      </w:pPr>
    </w:p>
    <w:p>
      <w:pPr>
        <w:pStyle w:val="BodyText"/>
        <w:rPr>
          <w:sz w:val="3"/>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5"/>
        <w:gridCol w:w="1061"/>
        <w:gridCol w:w="1068"/>
        <w:gridCol w:w="74"/>
        <w:gridCol w:w="1090"/>
        <w:gridCol w:w="1037"/>
        <w:gridCol w:w="73"/>
        <w:gridCol w:w="1089"/>
        <w:gridCol w:w="1111"/>
      </w:tblGrid>
      <w:tr>
        <w:trPr>
          <w:trHeight w:val="245" w:hRule="atLeast"/>
        </w:trPr>
        <w:tc>
          <w:tcPr>
            <w:tcW w:w="3645" w:type="dxa"/>
            <w:tcBorders>
              <w:bottom w:val="single" w:sz="4" w:space="0" w:color="000000"/>
            </w:tcBorders>
          </w:tcPr>
          <w:p>
            <w:pPr>
              <w:pStyle w:val="TableParagraph"/>
              <w:spacing w:before="13"/>
              <w:ind w:left="52"/>
              <w:rPr>
                <w:sz w:val="18"/>
              </w:rPr>
            </w:pPr>
            <w:r>
              <w:rPr>
                <w:sz w:val="18"/>
              </w:rPr>
              <w:t>Three</w:t>
            </w:r>
            <w:r>
              <w:rPr>
                <w:spacing w:val="-1"/>
                <w:sz w:val="18"/>
              </w:rPr>
              <w:t> </w:t>
            </w:r>
            <w:r>
              <w:rPr>
                <w:sz w:val="18"/>
              </w:rPr>
              <w:t>Months</w:t>
            </w:r>
            <w:r>
              <w:rPr>
                <w:spacing w:val="-1"/>
                <w:sz w:val="18"/>
              </w:rPr>
              <w:t> </w:t>
            </w:r>
            <w:r>
              <w:rPr>
                <w:sz w:val="18"/>
              </w:rPr>
              <w:t>Ended</w:t>
            </w:r>
            <w:r>
              <w:rPr>
                <w:spacing w:val="-1"/>
                <w:sz w:val="18"/>
              </w:rPr>
              <w:t> </w:t>
            </w:r>
            <w:r>
              <w:rPr>
                <w:sz w:val="18"/>
              </w:rPr>
              <w:t>September </w:t>
            </w:r>
            <w:r>
              <w:rPr>
                <w:spacing w:val="-5"/>
                <w:sz w:val="18"/>
              </w:rPr>
              <w:t>30,</w:t>
            </w:r>
          </w:p>
        </w:tc>
        <w:tc>
          <w:tcPr>
            <w:tcW w:w="1061" w:type="dxa"/>
            <w:tcBorders>
              <w:top w:val="single" w:sz="4" w:space="0" w:color="000000"/>
              <w:bottom w:val="single" w:sz="4" w:space="0" w:color="000000"/>
            </w:tcBorders>
          </w:tcPr>
          <w:p>
            <w:pPr>
              <w:pStyle w:val="TableParagraph"/>
              <w:spacing w:before="13"/>
              <w:ind w:left="337"/>
              <w:rPr>
                <w:sz w:val="18"/>
              </w:rPr>
            </w:pPr>
            <w:r>
              <w:rPr>
                <w:spacing w:val="-4"/>
                <w:sz w:val="18"/>
              </w:rPr>
              <w:t>2023</w:t>
            </w:r>
          </w:p>
        </w:tc>
        <w:tc>
          <w:tcPr>
            <w:tcW w:w="1068" w:type="dxa"/>
            <w:tcBorders>
              <w:top w:val="single" w:sz="4" w:space="0" w:color="000000"/>
              <w:bottom w:val="single" w:sz="4" w:space="0" w:color="000000"/>
            </w:tcBorders>
          </w:tcPr>
          <w:p>
            <w:pPr>
              <w:pStyle w:val="TableParagraph"/>
              <w:spacing w:before="13"/>
              <w:ind w:left="378"/>
              <w:rPr>
                <w:sz w:val="18"/>
              </w:rPr>
            </w:pPr>
            <w:r>
              <w:rPr>
                <w:spacing w:val="-4"/>
                <w:sz w:val="18"/>
              </w:rPr>
              <w:t>2022</w:t>
            </w:r>
          </w:p>
        </w:tc>
        <w:tc>
          <w:tcPr>
            <w:tcW w:w="74" w:type="dxa"/>
            <w:tcBorders>
              <w:bottom w:val="single" w:sz="4" w:space="0" w:color="000000"/>
            </w:tcBorders>
          </w:tcPr>
          <w:p>
            <w:pPr>
              <w:pStyle w:val="TableParagraph"/>
              <w:rPr>
                <w:sz w:val="16"/>
              </w:rPr>
            </w:pPr>
          </w:p>
        </w:tc>
        <w:tc>
          <w:tcPr>
            <w:tcW w:w="1090" w:type="dxa"/>
            <w:tcBorders>
              <w:top w:val="single" w:sz="4" w:space="0" w:color="000000"/>
              <w:bottom w:val="single" w:sz="4" w:space="0" w:color="000000"/>
            </w:tcBorders>
          </w:tcPr>
          <w:p>
            <w:pPr>
              <w:pStyle w:val="TableParagraph"/>
              <w:spacing w:before="13"/>
              <w:ind w:left="339"/>
              <w:rPr>
                <w:sz w:val="18"/>
              </w:rPr>
            </w:pPr>
            <w:r>
              <w:rPr>
                <w:spacing w:val="-4"/>
                <w:sz w:val="18"/>
              </w:rPr>
              <w:t>2023</w:t>
            </w:r>
          </w:p>
        </w:tc>
        <w:tc>
          <w:tcPr>
            <w:tcW w:w="1037" w:type="dxa"/>
            <w:tcBorders>
              <w:top w:val="single" w:sz="4" w:space="0" w:color="000000"/>
              <w:bottom w:val="single" w:sz="4" w:space="0" w:color="000000"/>
            </w:tcBorders>
          </w:tcPr>
          <w:p>
            <w:pPr>
              <w:pStyle w:val="TableParagraph"/>
              <w:spacing w:before="13"/>
              <w:ind w:left="352"/>
              <w:rPr>
                <w:sz w:val="18"/>
              </w:rPr>
            </w:pPr>
            <w:r>
              <w:rPr>
                <w:spacing w:val="-4"/>
                <w:sz w:val="18"/>
              </w:rPr>
              <w:t>2022</w:t>
            </w:r>
          </w:p>
        </w:tc>
        <w:tc>
          <w:tcPr>
            <w:tcW w:w="73" w:type="dxa"/>
            <w:tcBorders>
              <w:bottom w:val="single" w:sz="4" w:space="0" w:color="000000"/>
            </w:tcBorders>
          </w:tcPr>
          <w:p>
            <w:pPr>
              <w:pStyle w:val="TableParagraph"/>
              <w:rPr>
                <w:sz w:val="16"/>
              </w:rPr>
            </w:pPr>
          </w:p>
        </w:tc>
        <w:tc>
          <w:tcPr>
            <w:tcW w:w="1089" w:type="dxa"/>
            <w:tcBorders>
              <w:top w:val="single" w:sz="4" w:space="0" w:color="000000"/>
              <w:bottom w:val="single" w:sz="4" w:space="0" w:color="000000"/>
            </w:tcBorders>
          </w:tcPr>
          <w:p>
            <w:pPr>
              <w:pStyle w:val="TableParagraph"/>
              <w:spacing w:before="13"/>
              <w:ind w:left="344"/>
              <w:rPr>
                <w:sz w:val="18"/>
              </w:rPr>
            </w:pPr>
            <w:r>
              <w:rPr>
                <w:spacing w:val="-4"/>
                <w:sz w:val="18"/>
              </w:rPr>
              <w:t>2023</w:t>
            </w:r>
          </w:p>
        </w:tc>
        <w:tc>
          <w:tcPr>
            <w:tcW w:w="1111" w:type="dxa"/>
            <w:tcBorders>
              <w:top w:val="single" w:sz="4" w:space="0" w:color="000000"/>
              <w:bottom w:val="single" w:sz="4" w:space="0" w:color="000000"/>
            </w:tcBorders>
          </w:tcPr>
          <w:p>
            <w:pPr>
              <w:pStyle w:val="TableParagraph"/>
              <w:spacing w:before="13"/>
              <w:ind w:left="365"/>
              <w:rPr>
                <w:sz w:val="18"/>
              </w:rPr>
            </w:pPr>
            <w:r>
              <w:rPr>
                <w:spacing w:val="-4"/>
                <w:sz w:val="18"/>
              </w:rPr>
              <w:t>2022</w:t>
            </w:r>
          </w:p>
        </w:tc>
      </w:tr>
      <w:tr>
        <w:trPr>
          <w:trHeight w:val="250" w:hRule="atLeast"/>
        </w:trPr>
        <w:tc>
          <w:tcPr>
            <w:tcW w:w="3645" w:type="dxa"/>
            <w:tcBorders>
              <w:top w:val="single" w:sz="4" w:space="0" w:color="000000"/>
            </w:tcBorders>
            <w:shd w:val="clear" w:color="auto" w:fill="CCEDFF"/>
          </w:tcPr>
          <w:p>
            <w:pPr>
              <w:pStyle w:val="TableParagraph"/>
              <w:spacing w:before="13"/>
              <w:ind w:left="52"/>
              <w:rPr>
                <w:sz w:val="18"/>
              </w:rPr>
            </w:pPr>
            <w:r>
              <w:rPr>
                <w:sz w:val="18"/>
              </w:rPr>
              <w:t>Balance at beginning of </w:t>
            </w:r>
            <w:r>
              <w:rPr>
                <w:spacing w:val="-2"/>
                <w:sz w:val="18"/>
              </w:rPr>
              <w:t>period</w:t>
            </w:r>
          </w:p>
        </w:tc>
        <w:tc>
          <w:tcPr>
            <w:tcW w:w="1061" w:type="dxa"/>
            <w:tcBorders>
              <w:top w:val="single" w:sz="4" w:space="0" w:color="000000"/>
            </w:tcBorders>
            <w:shd w:val="clear" w:color="auto" w:fill="CCEDFF"/>
          </w:tcPr>
          <w:p>
            <w:pPr>
              <w:pStyle w:val="TableParagraph"/>
              <w:tabs>
                <w:tab w:pos="322" w:val="left" w:leader="none"/>
              </w:tabs>
              <w:spacing w:before="13"/>
              <w:ind w:right="98"/>
              <w:jc w:val="right"/>
              <w:rPr>
                <w:sz w:val="18"/>
              </w:rPr>
            </w:pPr>
            <w:r>
              <w:rPr>
                <w:spacing w:val="-10"/>
                <w:sz w:val="18"/>
              </w:rPr>
              <w:t>$</w:t>
            </w:r>
            <w:r>
              <w:rPr>
                <w:sz w:val="18"/>
              </w:rPr>
              <w:tab/>
            </w:r>
            <w:r>
              <w:rPr>
                <w:spacing w:val="-2"/>
                <w:sz w:val="18"/>
              </w:rPr>
              <w:t>392,887</w:t>
            </w:r>
          </w:p>
        </w:tc>
        <w:tc>
          <w:tcPr>
            <w:tcW w:w="1068" w:type="dxa"/>
            <w:tcBorders>
              <w:top w:val="single" w:sz="4" w:space="0" w:color="000000"/>
            </w:tcBorders>
            <w:shd w:val="clear" w:color="auto" w:fill="CCEDFF"/>
          </w:tcPr>
          <w:p>
            <w:pPr>
              <w:pStyle w:val="TableParagraph"/>
              <w:tabs>
                <w:tab w:pos="307" w:val="left" w:leader="none"/>
              </w:tabs>
              <w:spacing w:before="13"/>
              <w:ind w:right="71"/>
              <w:jc w:val="right"/>
              <w:rPr>
                <w:sz w:val="18"/>
              </w:rPr>
            </w:pPr>
            <w:r>
              <w:rPr>
                <w:spacing w:val="-10"/>
                <w:sz w:val="18"/>
              </w:rPr>
              <w:t>$</w:t>
            </w:r>
            <w:r>
              <w:rPr>
                <w:sz w:val="18"/>
              </w:rPr>
              <w:tab/>
            </w:r>
            <w:r>
              <w:rPr>
                <w:spacing w:val="-2"/>
                <w:sz w:val="18"/>
              </w:rPr>
              <w:t>159,231</w:t>
            </w:r>
          </w:p>
        </w:tc>
        <w:tc>
          <w:tcPr>
            <w:tcW w:w="74" w:type="dxa"/>
            <w:tcBorders>
              <w:top w:val="single" w:sz="4" w:space="0" w:color="000000"/>
            </w:tcBorders>
            <w:shd w:val="clear" w:color="auto" w:fill="CCEDFF"/>
          </w:tcPr>
          <w:p>
            <w:pPr>
              <w:pStyle w:val="TableParagraph"/>
              <w:rPr>
                <w:sz w:val="18"/>
              </w:rPr>
            </w:pPr>
          </w:p>
        </w:tc>
        <w:tc>
          <w:tcPr>
            <w:tcW w:w="1090" w:type="dxa"/>
            <w:tcBorders>
              <w:top w:val="single" w:sz="4" w:space="0" w:color="000000"/>
            </w:tcBorders>
            <w:shd w:val="clear" w:color="auto" w:fill="CCEDFF"/>
          </w:tcPr>
          <w:p>
            <w:pPr>
              <w:pStyle w:val="TableParagraph"/>
              <w:tabs>
                <w:tab w:pos="322" w:val="left" w:leader="none"/>
              </w:tabs>
              <w:spacing w:before="13"/>
              <w:ind w:right="125"/>
              <w:jc w:val="right"/>
              <w:rPr>
                <w:sz w:val="18"/>
              </w:rPr>
            </w:pPr>
            <w:r>
              <w:rPr>
                <w:spacing w:val="-10"/>
                <w:sz w:val="18"/>
              </w:rPr>
              <w:t>$</w:t>
            </w:r>
            <w:r>
              <w:rPr>
                <w:sz w:val="18"/>
              </w:rPr>
              <w:tab/>
            </w:r>
            <w:r>
              <w:rPr>
                <w:spacing w:val="-2"/>
                <w:sz w:val="18"/>
              </w:rPr>
              <w:t>465,847</w:t>
            </w:r>
          </w:p>
        </w:tc>
        <w:tc>
          <w:tcPr>
            <w:tcW w:w="1037" w:type="dxa"/>
            <w:tcBorders>
              <w:top w:val="single" w:sz="4" w:space="0" w:color="000000"/>
            </w:tcBorders>
            <w:shd w:val="clear" w:color="auto" w:fill="CCEDFF"/>
          </w:tcPr>
          <w:p>
            <w:pPr>
              <w:pStyle w:val="TableParagraph"/>
              <w:tabs>
                <w:tab w:pos="307" w:val="left" w:leader="none"/>
              </w:tabs>
              <w:spacing w:before="13"/>
              <w:ind w:right="67"/>
              <w:jc w:val="right"/>
              <w:rPr>
                <w:sz w:val="18"/>
              </w:rPr>
            </w:pPr>
            <w:r>
              <w:rPr>
                <w:spacing w:val="-10"/>
                <w:sz w:val="18"/>
              </w:rPr>
              <w:t>$</w:t>
            </w:r>
            <w:r>
              <w:rPr>
                <w:sz w:val="18"/>
              </w:rPr>
              <w:tab/>
            </w:r>
            <w:r>
              <w:rPr>
                <w:spacing w:val="-2"/>
                <w:sz w:val="18"/>
              </w:rPr>
              <w:t>387,211</w:t>
            </w:r>
          </w:p>
        </w:tc>
        <w:tc>
          <w:tcPr>
            <w:tcW w:w="73" w:type="dxa"/>
            <w:tcBorders>
              <w:top w:val="single" w:sz="4" w:space="0" w:color="000000"/>
            </w:tcBorders>
            <w:shd w:val="clear" w:color="auto" w:fill="CCEDFF"/>
          </w:tcPr>
          <w:p>
            <w:pPr>
              <w:pStyle w:val="TableParagraph"/>
              <w:rPr>
                <w:sz w:val="18"/>
              </w:rPr>
            </w:pPr>
          </w:p>
        </w:tc>
        <w:tc>
          <w:tcPr>
            <w:tcW w:w="1089" w:type="dxa"/>
            <w:tcBorders>
              <w:top w:val="single" w:sz="4" w:space="0" w:color="000000"/>
            </w:tcBorders>
            <w:shd w:val="clear" w:color="auto" w:fill="CCEDFF"/>
          </w:tcPr>
          <w:p>
            <w:pPr>
              <w:pStyle w:val="TableParagraph"/>
              <w:tabs>
                <w:tab w:pos="322" w:val="left" w:leader="none"/>
              </w:tabs>
              <w:spacing w:before="13"/>
              <w:ind w:right="119"/>
              <w:jc w:val="right"/>
              <w:rPr>
                <w:sz w:val="18"/>
              </w:rPr>
            </w:pPr>
            <w:r>
              <w:rPr>
                <w:spacing w:val="-10"/>
                <w:sz w:val="18"/>
              </w:rPr>
              <w:t>$</w:t>
            </w:r>
            <w:r>
              <w:rPr>
                <w:sz w:val="18"/>
              </w:rPr>
              <w:tab/>
            </w:r>
            <w:r>
              <w:rPr>
                <w:spacing w:val="-2"/>
                <w:sz w:val="18"/>
              </w:rPr>
              <w:t>254,636</w:t>
            </w:r>
          </w:p>
        </w:tc>
        <w:tc>
          <w:tcPr>
            <w:tcW w:w="1111" w:type="dxa"/>
            <w:tcBorders>
              <w:top w:val="single" w:sz="4" w:space="0" w:color="000000"/>
            </w:tcBorders>
            <w:shd w:val="clear" w:color="auto" w:fill="CCEDFF"/>
          </w:tcPr>
          <w:p>
            <w:pPr>
              <w:pStyle w:val="TableParagraph"/>
              <w:tabs>
                <w:tab w:pos="403" w:val="left" w:leader="none"/>
              </w:tabs>
              <w:spacing w:before="13"/>
              <w:ind w:left="80"/>
              <w:rPr>
                <w:sz w:val="18"/>
              </w:rPr>
            </w:pPr>
            <w:r>
              <w:rPr>
                <w:spacing w:val="-10"/>
                <w:sz w:val="18"/>
              </w:rPr>
              <w:t>$</w:t>
            </w:r>
            <w:r>
              <w:rPr>
                <w:sz w:val="18"/>
              </w:rPr>
              <w:tab/>
            </w:r>
            <w:r>
              <w:rPr>
                <w:spacing w:val="-2"/>
                <w:sz w:val="18"/>
              </w:rPr>
              <w:t>196,578</w:t>
            </w:r>
          </w:p>
        </w:tc>
      </w:tr>
      <w:tr>
        <w:trPr>
          <w:trHeight w:val="255" w:hRule="atLeast"/>
        </w:trPr>
        <w:tc>
          <w:tcPr>
            <w:tcW w:w="3645" w:type="dxa"/>
          </w:tcPr>
          <w:p>
            <w:pPr>
              <w:pStyle w:val="TableParagraph"/>
              <w:spacing w:before="18"/>
              <w:ind w:left="52"/>
              <w:rPr>
                <w:sz w:val="18"/>
              </w:rPr>
            </w:pPr>
            <w:r>
              <w:rPr>
                <w:sz w:val="18"/>
              </w:rPr>
              <w:t>Net</w:t>
            </w:r>
            <w:r>
              <w:rPr>
                <w:spacing w:val="-2"/>
                <w:sz w:val="18"/>
              </w:rPr>
              <w:t> </w:t>
            </w:r>
            <w:r>
              <w:rPr>
                <w:sz w:val="18"/>
              </w:rPr>
              <w:t>inflows</w:t>
            </w:r>
            <w:r>
              <w:rPr>
                <w:spacing w:val="-1"/>
                <w:sz w:val="18"/>
              </w:rPr>
              <w:t> </w:t>
            </w:r>
            <w:r>
              <w:rPr>
                <w:spacing w:val="-2"/>
                <w:sz w:val="18"/>
              </w:rPr>
              <w:t>(outflows)</w:t>
            </w:r>
          </w:p>
        </w:tc>
        <w:tc>
          <w:tcPr>
            <w:tcW w:w="1061" w:type="dxa"/>
          </w:tcPr>
          <w:p>
            <w:pPr>
              <w:pStyle w:val="TableParagraph"/>
              <w:spacing w:before="18"/>
              <w:ind w:right="98"/>
              <w:jc w:val="right"/>
              <w:rPr>
                <w:sz w:val="18"/>
              </w:rPr>
            </w:pPr>
            <w:r>
              <w:rPr>
                <w:spacing w:val="-2"/>
                <w:sz w:val="18"/>
              </w:rPr>
              <w:t>38,265</w:t>
            </w:r>
          </w:p>
        </w:tc>
        <w:tc>
          <w:tcPr>
            <w:tcW w:w="1068" w:type="dxa"/>
          </w:tcPr>
          <w:p>
            <w:pPr>
              <w:pStyle w:val="TableParagraph"/>
              <w:spacing w:before="18"/>
              <w:ind w:right="71"/>
              <w:jc w:val="right"/>
              <w:rPr>
                <w:sz w:val="18"/>
              </w:rPr>
            </w:pPr>
            <w:r>
              <w:rPr>
                <w:spacing w:val="-2"/>
                <w:sz w:val="18"/>
              </w:rPr>
              <w:t>51,111</w:t>
            </w:r>
          </w:p>
        </w:tc>
        <w:tc>
          <w:tcPr>
            <w:tcW w:w="74" w:type="dxa"/>
          </w:tcPr>
          <w:p>
            <w:pPr>
              <w:pStyle w:val="TableParagraph"/>
              <w:rPr>
                <w:sz w:val="18"/>
              </w:rPr>
            </w:pPr>
          </w:p>
        </w:tc>
        <w:tc>
          <w:tcPr>
            <w:tcW w:w="1090" w:type="dxa"/>
          </w:tcPr>
          <w:p>
            <w:pPr>
              <w:pStyle w:val="TableParagraph"/>
              <w:spacing w:before="18"/>
              <w:ind w:right="125"/>
              <w:jc w:val="right"/>
              <w:rPr>
                <w:sz w:val="18"/>
              </w:rPr>
            </w:pPr>
            <w:r>
              <w:rPr>
                <w:spacing w:val="-2"/>
                <w:sz w:val="18"/>
              </w:rPr>
              <w:t>3,010</w:t>
            </w:r>
          </w:p>
        </w:tc>
        <w:tc>
          <w:tcPr>
            <w:tcW w:w="1037" w:type="dxa"/>
          </w:tcPr>
          <w:p>
            <w:pPr>
              <w:pStyle w:val="TableParagraph"/>
              <w:spacing w:before="18"/>
              <w:ind w:right="67"/>
              <w:jc w:val="right"/>
              <w:rPr>
                <w:sz w:val="18"/>
              </w:rPr>
            </w:pPr>
            <w:r>
              <w:rPr>
                <w:spacing w:val="-2"/>
                <w:sz w:val="18"/>
              </w:rPr>
              <w:t>10,805</w:t>
            </w:r>
          </w:p>
        </w:tc>
        <w:tc>
          <w:tcPr>
            <w:tcW w:w="73" w:type="dxa"/>
          </w:tcPr>
          <w:p>
            <w:pPr>
              <w:pStyle w:val="TableParagraph"/>
              <w:rPr>
                <w:sz w:val="18"/>
              </w:rPr>
            </w:pPr>
          </w:p>
        </w:tc>
        <w:tc>
          <w:tcPr>
            <w:tcW w:w="1089" w:type="dxa"/>
          </w:tcPr>
          <w:p>
            <w:pPr>
              <w:pStyle w:val="TableParagraph"/>
              <w:spacing w:before="18"/>
              <w:ind w:right="59"/>
              <w:jc w:val="right"/>
              <w:rPr>
                <w:sz w:val="18"/>
              </w:rPr>
            </w:pPr>
            <w:r>
              <w:rPr>
                <w:spacing w:val="-2"/>
                <w:sz w:val="18"/>
              </w:rPr>
              <w:t>(7,060)</w:t>
            </w:r>
          </w:p>
        </w:tc>
        <w:tc>
          <w:tcPr>
            <w:tcW w:w="1111" w:type="dxa"/>
          </w:tcPr>
          <w:p>
            <w:pPr>
              <w:pStyle w:val="TableParagraph"/>
              <w:spacing w:before="18"/>
              <w:ind w:right="60"/>
              <w:jc w:val="right"/>
              <w:rPr>
                <w:sz w:val="18"/>
              </w:rPr>
            </w:pPr>
            <w:r>
              <w:rPr>
                <w:spacing w:val="-2"/>
                <w:sz w:val="18"/>
              </w:rPr>
              <w:t>(9,600)</w:t>
            </w:r>
          </w:p>
        </w:tc>
      </w:tr>
      <w:tr>
        <w:trPr>
          <w:trHeight w:val="250" w:hRule="atLeast"/>
        </w:trPr>
        <w:tc>
          <w:tcPr>
            <w:tcW w:w="3645" w:type="dxa"/>
            <w:tcBorders>
              <w:bottom w:val="single" w:sz="4" w:space="0" w:color="000000"/>
            </w:tcBorders>
            <w:shd w:val="clear" w:color="auto" w:fill="CCEDFF"/>
          </w:tcPr>
          <w:p>
            <w:pPr>
              <w:pStyle w:val="TableParagraph"/>
              <w:spacing w:before="18"/>
              <w:ind w:left="52"/>
              <w:rPr>
                <w:sz w:val="18"/>
              </w:rPr>
            </w:pPr>
            <w:r>
              <w:rPr>
                <w:sz w:val="18"/>
              </w:rPr>
              <w:t>Net</w:t>
            </w:r>
            <w:r>
              <w:rPr>
                <w:spacing w:val="-1"/>
                <w:sz w:val="18"/>
              </w:rPr>
              <w:t> </w:t>
            </w:r>
            <w:r>
              <w:rPr>
                <w:sz w:val="18"/>
              </w:rPr>
              <w:t>market</w:t>
            </w:r>
            <w:r>
              <w:rPr>
                <w:spacing w:val="-1"/>
                <w:sz w:val="18"/>
              </w:rPr>
              <w:t> </w:t>
            </w:r>
            <w:r>
              <w:rPr>
                <w:sz w:val="18"/>
              </w:rPr>
              <w:t>gains</w:t>
            </w:r>
            <w:r>
              <w:rPr>
                <w:spacing w:val="-1"/>
                <w:sz w:val="18"/>
              </w:rPr>
              <w:t> </w:t>
            </w:r>
            <w:r>
              <w:rPr>
                <w:sz w:val="18"/>
              </w:rPr>
              <w:t>(losses)</w:t>
            </w:r>
            <w:r>
              <w:rPr>
                <w:spacing w:val="-1"/>
                <w:sz w:val="18"/>
              </w:rPr>
              <w:t> </w:t>
            </w:r>
            <w:r>
              <w:rPr>
                <w:sz w:val="18"/>
              </w:rPr>
              <w:t>and</w:t>
            </w:r>
            <w:r>
              <w:rPr>
                <w:spacing w:val="-1"/>
                <w:sz w:val="18"/>
              </w:rPr>
              <w:t> </w:t>
            </w:r>
            <w:r>
              <w:rPr>
                <w:sz w:val="18"/>
              </w:rPr>
              <w:t>other</w:t>
            </w:r>
            <w:r>
              <w:rPr>
                <w:spacing w:val="-2"/>
                <w:sz w:val="18"/>
              </w:rPr>
              <w:t> </w:t>
            </w:r>
            <w:r>
              <w:rPr>
                <w:spacing w:val="-5"/>
                <w:sz w:val="18"/>
                <w:vertAlign w:val="superscript"/>
              </w:rPr>
              <w:t>(1)</w:t>
            </w:r>
          </w:p>
        </w:tc>
        <w:tc>
          <w:tcPr>
            <w:tcW w:w="1061" w:type="dxa"/>
            <w:tcBorders>
              <w:bottom w:val="single" w:sz="4" w:space="0" w:color="000000"/>
            </w:tcBorders>
            <w:shd w:val="clear" w:color="auto" w:fill="CCEDFF"/>
          </w:tcPr>
          <w:p>
            <w:pPr>
              <w:pStyle w:val="TableParagraph"/>
              <w:spacing w:before="18"/>
              <w:ind w:right="98"/>
              <w:jc w:val="right"/>
              <w:rPr>
                <w:sz w:val="18"/>
              </w:rPr>
            </w:pPr>
            <w:r>
              <w:rPr>
                <w:spacing w:val="-2"/>
                <w:sz w:val="18"/>
              </w:rPr>
              <w:t>5,174</w:t>
            </w:r>
          </w:p>
        </w:tc>
        <w:tc>
          <w:tcPr>
            <w:tcW w:w="1068" w:type="dxa"/>
            <w:tcBorders>
              <w:bottom w:val="single" w:sz="4" w:space="0" w:color="000000"/>
            </w:tcBorders>
            <w:shd w:val="clear" w:color="auto" w:fill="CCEDFF"/>
          </w:tcPr>
          <w:p>
            <w:pPr>
              <w:pStyle w:val="TableParagraph"/>
              <w:spacing w:before="18"/>
              <w:ind w:right="71"/>
              <w:jc w:val="right"/>
              <w:rPr>
                <w:sz w:val="18"/>
              </w:rPr>
            </w:pPr>
            <w:r>
              <w:rPr>
                <w:spacing w:val="-5"/>
                <w:sz w:val="18"/>
              </w:rPr>
              <w:t>737</w:t>
            </w:r>
          </w:p>
        </w:tc>
        <w:tc>
          <w:tcPr>
            <w:tcW w:w="74" w:type="dxa"/>
            <w:tcBorders>
              <w:bottom w:val="single" w:sz="4" w:space="0" w:color="000000"/>
            </w:tcBorders>
            <w:shd w:val="clear" w:color="auto" w:fill="CCEDFF"/>
          </w:tcPr>
          <w:p>
            <w:pPr>
              <w:pStyle w:val="TableParagraph"/>
              <w:rPr>
                <w:sz w:val="18"/>
              </w:rPr>
            </w:pPr>
          </w:p>
        </w:tc>
        <w:tc>
          <w:tcPr>
            <w:tcW w:w="1090" w:type="dxa"/>
            <w:tcBorders>
              <w:bottom w:val="single" w:sz="4" w:space="0" w:color="000000"/>
            </w:tcBorders>
            <w:shd w:val="clear" w:color="auto" w:fill="CCEDFF"/>
          </w:tcPr>
          <w:p>
            <w:pPr>
              <w:pStyle w:val="TableParagraph"/>
              <w:spacing w:before="18"/>
              <w:ind w:right="65"/>
              <w:jc w:val="right"/>
              <w:rPr>
                <w:sz w:val="18"/>
              </w:rPr>
            </w:pPr>
            <w:r>
              <w:rPr>
                <w:spacing w:val="-2"/>
                <w:sz w:val="18"/>
              </w:rPr>
              <w:t>(14,763)</w:t>
            </w:r>
          </w:p>
        </w:tc>
        <w:tc>
          <w:tcPr>
            <w:tcW w:w="1037" w:type="dxa"/>
            <w:tcBorders>
              <w:bottom w:val="single" w:sz="4" w:space="0" w:color="000000"/>
            </w:tcBorders>
            <w:shd w:val="clear" w:color="auto" w:fill="CCEDFF"/>
          </w:tcPr>
          <w:p>
            <w:pPr>
              <w:pStyle w:val="TableParagraph"/>
              <w:spacing w:before="18"/>
              <w:ind w:right="7"/>
              <w:jc w:val="right"/>
              <w:rPr>
                <w:sz w:val="18"/>
              </w:rPr>
            </w:pPr>
            <w:r>
              <w:rPr>
                <w:spacing w:val="-2"/>
                <w:sz w:val="18"/>
              </w:rPr>
              <w:t>(24,272)</w:t>
            </w:r>
          </w:p>
        </w:tc>
        <w:tc>
          <w:tcPr>
            <w:tcW w:w="73" w:type="dxa"/>
            <w:tcBorders>
              <w:bottom w:val="single" w:sz="4" w:space="0" w:color="000000"/>
            </w:tcBorders>
            <w:shd w:val="clear" w:color="auto" w:fill="CCEDFF"/>
          </w:tcPr>
          <w:p>
            <w:pPr>
              <w:pStyle w:val="TableParagraph"/>
              <w:rPr>
                <w:sz w:val="18"/>
              </w:rPr>
            </w:pPr>
          </w:p>
        </w:tc>
        <w:tc>
          <w:tcPr>
            <w:tcW w:w="1089" w:type="dxa"/>
            <w:tcBorders>
              <w:bottom w:val="single" w:sz="4" w:space="0" w:color="000000"/>
            </w:tcBorders>
            <w:shd w:val="clear" w:color="auto" w:fill="CCEDFF"/>
          </w:tcPr>
          <w:p>
            <w:pPr>
              <w:pStyle w:val="TableParagraph"/>
              <w:spacing w:before="18"/>
              <w:ind w:right="119"/>
              <w:jc w:val="right"/>
              <w:rPr>
                <w:sz w:val="18"/>
              </w:rPr>
            </w:pPr>
            <w:r>
              <w:rPr>
                <w:spacing w:val="-2"/>
                <w:sz w:val="18"/>
              </w:rPr>
              <w:t>40,416</w:t>
            </w:r>
          </w:p>
        </w:tc>
        <w:tc>
          <w:tcPr>
            <w:tcW w:w="1111" w:type="dxa"/>
            <w:tcBorders>
              <w:bottom w:val="single" w:sz="4" w:space="0" w:color="000000"/>
            </w:tcBorders>
            <w:shd w:val="clear" w:color="auto" w:fill="CCEDFF"/>
          </w:tcPr>
          <w:p>
            <w:pPr>
              <w:pStyle w:val="TableParagraph"/>
              <w:spacing w:before="18"/>
              <w:ind w:right="60"/>
              <w:jc w:val="right"/>
              <w:rPr>
                <w:sz w:val="18"/>
              </w:rPr>
            </w:pPr>
            <w:r>
              <w:rPr>
                <w:spacing w:val="-2"/>
                <w:sz w:val="18"/>
              </w:rPr>
              <w:t>(5,480)</w:t>
            </w:r>
          </w:p>
        </w:tc>
      </w:tr>
      <w:tr>
        <w:trPr>
          <w:trHeight w:val="220" w:hRule="atLeast"/>
        </w:trPr>
        <w:tc>
          <w:tcPr>
            <w:tcW w:w="3645" w:type="dxa"/>
            <w:tcBorders>
              <w:top w:val="single" w:sz="4" w:space="0" w:color="000000"/>
              <w:bottom w:val="double" w:sz="8" w:space="0" w:color="000000"/>
            </w:tcBorders>
          </w:tcPr>
          <w:p>
            <w:pPr>
              <w:pStyle w:val="TableParagraph"/>
              <w:spacing w:line="187" w:lineRule="exact" w:before="13"/>
              <w:ind w:left="52"/>
              <w:rPr>
                <w:sz w:val="18"/>
              </w:rPr>
            </w:pPr>
            <w:r>
              <w:rPr>
                <w:sz w:val="18"/>
              </w:rPr>
              <w:t>Balance at end of </w:t>
            </w:r>
            <w:r>
              <w:rPr>
                <w:spacing w:val="-2"/>
                <w:sz w:val="18"/>
              </w:rPr>
              <w:t>period</w:t>
            </w:r>
          </w:p>
        </w:tc>
        <w:tc>
          <w:tcPr>
            <w:tcW w:w="1061" w:type="dxa"/>
            <w:tcBorders>
              <w:top w:val="single" w:sz="4" w:space="0" w:color="000000"/>
              <w:bottom w:val="double" w:sz="8" w:space="0" w:color="000000"/>
            </w:tcBorders>
          </w:tcPr>
          <w:p>
            <w:pPr>
              <w:pStyle w:val="TableParagraph"/>
              <w:tabs>
                <w:tab w:pos="322" w:val="left" w:leader="none"/>
              </w:tabs>
              <w:spacing w:line="187" w:lineRule="exact" w:before="13"/>
              <w:ind w:right="98"/>
              <w:jc w:val="right"/>
              <w:rPr>
                <w:sz w:val="18"/>
              </w:rPr>
            </w:pPr>
            <w:r>
              <w:rPr>
                <w:spacing w:val="-10"/>
                <w:sz w:val="18"/>
              </w:rPr>
              <w:t>$</w:t>
            </w:r>
            <w:r>
              <w:rPr>
                <w:sz w:val="18"/>
              </w:rPr>
              <w:tab/>
            </w:r>
            <w:r>
              <w:rPr>
                <w:spacing w:val="-2"/>
                <w:sz w:val="18"/>
              </w:rPr>
              <w:t>436,326</w:t>
            </w:r>
          </w:p>
        </w:tc>
        <w:tc>
          <w:tcPr>
            <w:tcW w:w="1068" w:type="dxa"/>
            <w:tcBorders>
              <w:top w:val="single" w:sz="4" w:space="0" w:color="000000"/>
              <w:bottom w:val="double" w:sz="8" w:space="0" w:color="000000"/>
            </w:tcBorders>
          </w:tcPr>
          <w:p>
            <w:pPr>
              <w:pStyle w:val="TableParagraph"/>
              <w:tabs>
                <w:tab w:pos="307" w:val="left" w:leader="none"/>
              </w:tabs>
              <w:spacing w:line="187" w:lineRule="exact" w:before="13"/>
              <w:ind w:right="71"/>
              <w:jc w:val="right"/>
              <w:rPr>
                <w:sz w:val="18"/>
              </w:rPr>
            </w:pPr>
            <w:r>
              <w:rPr>
                <w:spacing w:val="-10"/>
                <w:sz w:val="18"/>
              </w:rPr>
              <w:t>$</w:t>
            </w:r>
            <w:r>
              <w:rPr>
                <w:sz w:val="18"/>
              </w:rPr>
              <w:tab/>
            </w:r>
            <w:r>
              <w:rPr>
                <w:spacing w:val="-2"/>
                <w:sz w:val="18"/>
              </w:rPr>
              <w:t>211,079</w:t>
            </w:r>
          </w:p>
        </w:tc>
        <w:tc>
          <w:tcPr>
            <w:tcW w:w="74" w:type="dxa"/>
            <w:tcBorders>
              <w:top w:val="single" w:sz="4" w:space="0" w:color="000000"/>
              <w:bottom w:val="double" w:sz="8" w:space="0" w:color="000000"/>
            </w:tcBorders>
          </w:tcPr>
          <w:p>
            <w:pPr>
              <w:pStyle w:val="TableParagraph"/>
              <w:rPr>
                <w:sz w:val="14"/>
              </w:rPr>
            </w:pPr>
          </w:p>
        </w:tc>
        <w:tc>
          <w:tcPr>
            <w:tcW w:w="1090" w:type="dxa"/>
            <w:tcBorders>
              <w:top w:val="single" w:sz="4" w:space="0" w:color="000000"/>
              <w:bottom w:val="double" w:sz="8" w:space="0" w:color="000000"/>
            </w:tcBorders>
          </w:tcPr>
          <w:p>
            <w:pPr>
              <w:pStyle w:val="TableParagraph"/>
              <w:tabs>
                <w:tab w:pos="322" w:val="left" w:leader="none"/>
              </w:tabs>
              <w:spacing w:line="187" w:lineRule="exact" w:before="13"/>
              <w:ind w:right="125"/>
              <w:jc w:val="right"/>
              <w:rPr>
                <w:sz w:val="18"/>
              </w:rPr>
            </w:pPr>
            <w:r>
              <w:rPr>
                <w:spacing w:val="-10"/>
                <w:sz w:val="18"/>
              </w:rPr>
              <w:t>$</w:t>
            </w:r>
            <w:r>
              <w:rPr>
                <w:sz w:val="18"/>
              </w:rPr>
              <w:tab/>
            </w:r>
            <w:r>
              <w:rPr>
                <w:spacing w:val="-2"/>
                <w:sz w:val="18"/>
              </w:rPr>
              <w:t>454,094</w:t>
            </w:r>
          </w:p>
        </w:tc>
        <w:tc>
          <w:tcPr>
            <w:tcW w:w="1037" w:type="dxa"/>
            <w:tcBorders>
              <w:top w:val="single" w:sz="4" w:space="0" w:color="000000"/>
              <w:bottom w:val="double" w:sz="8" w:space="0" w:color="000000"/>
            </w:tcBorders>
          </w:tcPr>
          <w:p>
            <w:pPr>
              <w:pStyle w:val="TableParagraph"/>
              <w:tabs>
                <w:tab w:pos="307" w:val="left" w:leader="none"/>
              </w:tabs>
              <w:spacing w:line="187" w:lineRule="exact" w:before="13"/>
              <w:ind w:right="67"/>
              <w:jc w:val="right"/>
              <w:rPr>
                <w:sz w:val="18"/>
              </w:rPr>
            </w:pPr>
            <w:r>
              <w:rPr>
                <w:spacing w:val="-10"/>
                <w:sz w:val="18"/>
              </w:rPr>
              <w:t>$</w:t>
            </w:r>
            <w:r>
              <w:rPr>
                <w:sz w:val="18"/>
              </w:rPr>
              <w:tab/>
            </w:r>
            <w:r>
              <w:rPr>
                <w:spacing w:val="-2"/>
                <w:sz w:val="18"/>
              </w:rPr>
              <w:t>373,744</w:t>
            </w:r>
          </w:p>
        </w:tc>
        <w:tc>
          <w:tcPr>
            <w:tcW w:w="73" w:type="dxa"/>
            <w:tcBorders>
              <w:top w:val="single" w:sz="4" w:space="0" w:color="000000"/>
              <w:bottom w:val="double" w:sz="8" w:space="0" w:color="000000"/>
            </w:tcBorders>
          </w:tcPr>
          <w:p>
            <w:pPr>
              <w:pStyle w:val="TableParagraph"/>
              <w:rPr>
                <w:sz w:val="14"/>
              </w:rPr>
            </w:pPr>
          </w:p>
        </w:tc>
        <w:tc>
          <w:tcPr>
            <w:tcW w:w="1089" w:type="dxa"/>
            <w:tcBorders>
              <w:top w:val="single" w:sz="4" w:space="0" w:color="000000"/>
              <w:bottom w:val="double" w:sz="8" w:space="0" w:color="000000"/>
            </w:tcBorders>
          </w:tcPr>
          <w:p>
            <w:pPr>
              <w:pStyle w:val="TableParagraph"/>
              <w:tabs>
                <w:tab w:pos="322" w:val="left" w:leader="none"/>
              </w:tabs>
              <w:spacing w:line="187" w:lineRule="exact" w:before="13"/>
              <w:ind w:right="119"/>
              <w:jc w:val="right"/>
              <w:rPr>
                <w:sz w:val="18"/>
              </w:rPr>
            </w:pPr>
            <w:r>
              <w:rPr>
                <w:spacing w:val="-10"/>
                <w:sz w:val="18"/>
              </w:rPr>
              <w:t>$</w:t>
            </w:r>
            <w:r>
              <w:rPr>
                <w:sz w:val="18"/>
              </w:rPr>
              <w:tab/>
            </w:r>
            <w:r>
              <w:rPr>
                <w:spacing w:val="-2"/>
                <w:sz w:val="18"/>
              </w:rPr>
              <w:t>287,992</w:t>
            </w:r>
          </w:p>
        </w:tc>
        <w:tc>
          <w:tcPr>
            <w:tcW w:w="1111" w:type="dxa"/>
            <w:tcBorders>
              <w:top w:val="single" w:sz="4" w:space="0" w:color="000000"/>
              <w:bottom w:val="double" w:sz="8" w:space="0" w:color="000000"/>
            </w:tcBorders>
          </w:tcPr>
          <w:p>
            <w:pPr>
              <w:pStyle w:val="TableParagraph"/>
              <w:tabs>
                <w:tab w:pos="403" w:val="left" w:leader="none"/>
              </w:tabs>
              <w:spacing w:line="187" w:lineRule="exact" w:before="13"/>
              <w:ind w:left="80"/>
              <w:rPr>
                <w:sz w:val="18"/>
              </w:rPr>
            </w:pPr>
            <w:r>
              <w:rPr>
                <w:spacing w:val="-10"/>
                <w:sz w:val="18"/>
              </w:rPr>
              <w:t>$</w:t>
            </w:r>
            <w:r>
              <w:rPr>
                <w:sz w:val="18"/>
              </w:rPr>
              <w:tab/>
            </w:r>
            <w:r>
              <w:rPr>
                <w:spacing w:val="-2"/>
                <w:sz w:val="18"/>
              </w:rPr>
              <w:t>181,498</w:t>
            </w:r>
          </w:p>
        </w:tc>
      </w:tr>
      <w:tr>
        <w:trPr>
          <w:trHeight w:val="165" w:hRule="atLeast"/>
        </w:trPr>
        <w:tc>
          <w:tcPr>
            <w:tcW w:w="3645" w:type="dxa"/>
            <w:tcBorders>
              <w:top w:val="double" w:sz="8" w:space="0" w:color="000000"/>
              <w:bottom w:val="single" w:sz="4" w:space="0" w:color="000000"/>
            </w:tcBorders>
          </w:tcPr>
          <w:p>
            <w:pPr>
              <w:pStyle w:val="TableParagraph"/>
              <w:rPr>
                <w:sz w:val="10"/>
              </w:rPr>
            </w:pPr>
          </w:p>
        </w:tc>
        <w:tc>
          <w:tcPr>
            <w:tcW w:w="1061" w:type="dxa"/>
            <w:tcBorders>
              <w:top w:val="double" w:sz="8" w:space="0" w:color="000000"/>
              <w:bottom w:val="single" w:sz="4" w:space="0" w:color="000000"/>
            </w:tcBorders>
          </w:tcPr>
          <w:p>
            <w:pPr>
              <w:pStyle w:val="TableParagraph"/>
              <w:rPr>
                <w:sz w:val="10"/>
              </w:rPr>
            </w:pPr>
          </w:p>
        </w:tc>
        <w:tc>
          <w:tcPr>
            <w:tcW w:w="1068" w:type="dxa"/>
            <w:tcBorders>
              <w:top w:val="double" w:sz="8" w:space="0" w:color="000000"/>
              <w:bottom w:val="single" w:sz="4" w:space="0" w:color="000000"/>
            </w:tcBorders>
          </w:tcPr>
          <w:p>
            <w:pPr>
              <w:pStyle w:val="TableParagraph"/>
              <w:rPr>
                <w:sz w:val="10"/>
              </w:rPr>
            </w:pPr>
          </w:p>
        </w:tc>
        <w:tc>
          <w:tcPr>
            <w:tcW w:w="74" w:type="dxa"/>
            <w:tcBorders>
              <w:top w:val="double" w:sz="8" w:space="0" w:color="000000"/>
              <w:bottom w:val="single" w:sz="4" w:space="0" w:color="000000"/>
            </w:tcBorders>
          </w:tcPr>
          <w:p>
            <w:pPr>
              <w:pStyle w:val="TableParagraph"/>
              <w:rPr>
                <w:sz w:val="10"/>
              </w:rPr>
            </w:pPr>
          </w:p>
        </w:tc>
        <w:tc>
          <w:tcPr>
            <w:tcW w:w="1090" w:type="dxa"/>
            <w:tcBorders>
              <w:top w:val="double" w:sz="8" w:space="0" w:color="000000"/>
              <w:bottom w:val="single" w:sz="4" w:space="0" w:color="000000"/>
            </w:tcBorders>
          </w:tcPr>
          <w:p>
            <w:pPr>
              <w:pStyle w:val="TableParagraph"/>
              <w:rPr>
                <w:sz w:val="10"/>
              </w:rPr>
            </w:pPr>
          </w:p>
        </w:tc>
        <w:tc>
          <w:tcPr>
            <w:tcW w:w="1037" w:type="dxa"/>
            <w:tcBorders>
              <w:top w:val="double" w:sz="8" w:space="0" w:color="000000"/>
              <w:bottom w:val="single" w:sz="4" w:space="0" w:color="000000"/>
            </w:tcBorders>
          </w:tcPr>
          <w:p>
            <w:pPr>
              <w:pStyle w:val="TableParagraph"/>
              <w:rPr>
                <w:sz w:val="10"/>
              </w:rPr>
            </w:pPr>
          </w:p>
        </w:tc>
        <w:tc>
          <w:tcPr>
            <w:tcW w:w="73" w:type="dxa"/>
            <w:tcBorders>
              <w:top w:val="double" w:sz="8" w:space="0" w:color="000000"/>
              <w:bottom w:val="single" w:sz="4" w:space="0" w:color="000000"/>
            </w:tcBorders>
          </w:tcPr>
          <w:p>
            <w:pPr>
              <w:pStyle w:val="TableParagraph"/>
              <w:rPr>
                <w:sz w:val="10"/>
              </w:rPr>
            </w:pPr>
          </w:p>
        </w:tc>
        <w:tc>
          <w:tcPr>
            <w:tcW w:w="1089" w:type="dxa"/>
            <w:tcBorders>
              <w:top w:val="double" w:sz="8" w:space="0" w:color="000000"/>
              <w:bottom w:val="single" w:sz="4" w:space="0" w:color="000000"/>
            </w:tcBorders>
          </w:tcPr>
          <w:p>
            <w:pPr>
              <w:pStyle w:val="TableParagraph"/>
              <w:rPr>
                <w:sz w:val="10"/>
              </w:rPr>
            </w:pPr>
          </w:p>
        </w:tc>
        <w:tc>
          <w:tcPr>
            <w:tcW w:w="1111" w:type="dxa"/>
            <w:tcBorders>
              <w:top w:val="double" w:sz="8" w:space="0" w:color="000000"/>
              <w:bottom w:val="single" w:sz="4" w:space="0" w:color="000000"/>
            </w:tcBorders>
          </w:tcPr>
          <w:p>
            <w:pPr>
              <w:pStyle w:val="TableParagraph"/>
              <w:rPr>
                <w:sz w:val="10"/>
              </w:rPr>
            </w:pPr>
          </w:p>
        </w:tc>
      </w:tr>
    </w:tbl>
    <w:p>
      <w:pPr>
        <w:spacing w:after="0"/>
        <w:rPr>
          <w:sz w:val="10"/>
        </w:rPr>
        <w:sectPr>
          <w:type w:val="continuous"/>
          <w:pgSz w:w="12240" w:h="15840"/>
          <w:pgMar w:header="512" w:footer="201" w:top="320" w:bottom="280" w:left="520" w:right="520"/>
        </w:sectPr>
      </w:pPr>
    </w:p>
    <w:p>
      <w:pPr>
        <w:pStyle w:val="BodyText"/>
        <w:spacing w:before="3"/>
        <w:rPr>
          <w:sz w:val="18"/>
        </w:rPr>
      </w:pPr>
    </w:p>
    <w:p>
      <w:pPr>
        <w:spacing w:line="208" w:lineRule="auto" w:before="0"/>
        <w:ind w:left="4692" w:right="0" w:hanging="60"/>
        <w:jc w:val="left"/>
        <w:rPr>
          <w:sz w:val="18"/>
        </w:rPr>
      </w:pPr>
      <w:r>
        <w:rPr>
          <w:sz w:val="18"/>
        </w:rPr>
        <w:t>Schwab</w:t>
      </w:r>
      <w:r>
        <w:rPr>
          <w:spacing w:val="-12"/>
          <w:sz w:val="18"/>
        </w:rPr>
        <w:t> </w:t>
      </w:r>
      <w:r>
        <w:rPr>
          <w:sz w:val="18"/>
        </w:rPr>
        <w:t>Money Market Funds</w:t>
      </w:r>
    </w:p>
    <w:p>
      <w:pPr>
        <w:spacing w:line="208" w:lineRule="auto" w:before="30"/>
        <w:ind w:left="735" w:right="0" w:hanging="1"/>
        <w:jc w:val="center"/>
        <w:rPr>
          <w:sz w:val="18"/>
        </w:rPr>
      </w:pPr>
      <w:r>
        <w:rPr/>
        <w:br w:type="column"/>
      </w:r>
      <w:r>
        <w:rPr>
          <w:sz w:val="18"/>
        </w:rPr>
        <w:t>Schwab Equity and Bond</w:t>
      </w:r>
      <w:r>
        <w:rPr>
          <w:spacing w:val="-12"/>
          <w:sz w:val="18"/>
        </w:rPr>
        <w:t> </w:t>
      </w:r>
      <w:r>
        <w:rPr>
          <w:sz w:val="18"/>
        </w:rPr>
        <w:t>Funds,</w:t>
      </w:r>
      <w:r>
        <w:rPr>
          <w:spacing w:val="-11"/>
          <w:sz w:val="18"/>
        </w:rPr>
        <w:t> </w:t>
      </w:r>
      <w:r>
        <w:rPr>
          <w:sz w:val="18"/>
        </w:rPr>
        <w:t>ETFs,</w:t>
      </w:r>
      <w:r>
        <w:rPr>
          <w:spacing w:val="-11"/>
          <w:sz w:val="18"/>
        </w:rPr>
        <w:t> </w:t>
      </w:r>
      <w:r>
        <w:rPr>
          <w:sz w:val="18"/>
        </w:rPr>
        <w:t>and </w:t>
      </w:r>
      <w:r>
        <w:rPr>
          <w:spacing w:val="-4"/>
          <w:sz w:val="18"/>
        </w:rPr>
        <w:t>CTFs</w:t>
      </w:r>
    </w:p>
    <w:p>
      <w:pPr>
        <w:spacing w:line="240" w:lineRule="auto" w:before="3"/>
        <w:rPr>
          <w:sz w:val="18"/>
        </w:rPr>
      </w:pPr>
      <w:r>
        <w:rPr/>
        <w:br w:type="column"/>
      </w:r>
      <w:r>
        <w:rPr>
          <w:sz w:val="18"/>
        </w:rPr>
      </w:r>
    </w:p>
    <w:p>
      <w:pPr>
        <w:spacing w:line="208" w:lineRule="auto" w:before="0"/>
        <w:ind w:left="547" w:right="449" w:hanging="162"/>
        <w:jc w:val="left"/>
        <w:rPr>
          <w:sz w:val="18"/>
        </w:rPr>
      </w:pPr>
      <w:r>
        <w:rPr>
          <w:sz w:val="18"/>
        </w:rPr>
        <w:t>Mutual</w:t>
      </w:r>
      <w:r>
        <w:rPr>
          <w:spacing w:val="-12"/>
          <w:sz w:val="18"/>
        </w:rPr>
        <w:t> </w:t>
      </w:r>
      <w:r>
        <w:rPr>
          <w:sz w:val="18"/>
        </w:rPr>
        <w:t>Fund</w:t>
      </w:r>
      <w:r>
        <w:rPr>
          <w:spacing w:val="-11"/>
          <w:sz w:val="18"/>
        </w:rPr>
        <w:t> </w:t>
      </w:r>
      <w:r>
        <w:rPr>
          <w:sz w:val="18"/>
        </w:rPr>
        <w:t>OneSource</w:t>
      </w:r>
      <w:r>
        <w:rPr>
          <w:sz w:val="18"/>
          <w:vertAlign w:val="superscript"/>
        </w:rPr>
        <w:t>®</w:t>
      </w:r>
      <w:r>
        <w:rPr>
          <w:sz w:val="18"/>
          <w:vertAlign w:val="baseline"/>
        </w:rPr>
        <w:t> and Other NTF funds</w:t>
      </w:r>
    </w:p>
    <w:p>
      <w:pPr>
        <w:spacing w:after="0" w:line="208" w:lineRule="auto"/>
        <w:jc w:val="left"/>
        <w:rPr>
          <w:sz w:val="18"/>
        </w:rPr>
        <w:sectPr>
          <w:type w:val="continuous"/>
          <w:pgSz w:w="12240" w:h="15840"/>
          <w:pgMar w:header="512" w:footer="201" w:top="320" w:bottom="280" w:left="520" w:right="520"/>
          <w:cols w:num="3" w:equalWidth="0">
            <w:col w:w="5758" w:space="40"/>
            <w:col w:w="2441" w:space="39"/>
            <w:col w:w="2922"/>
          </w:cols>
        </w:sectPr>
      </w:pPr>
    </w:p>
    <w:p>
      <w:pPr>
        <w:pStyle w:val="BodyText"/>
        <w:rPr>
          <w:sz w:val="3"/>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75"/>
        <w:gridCol w:w="1054"/>
        <w:gridCol w:w="1046"/>
        <w:gridCol w:w="75"/>
        <w:gridCol w:w="1046"/>
        <w:gridCol w:w="1083"/>
        <w:gridCol w:w="74"/>
        <w:gridCol w:w="1090"/>
        <w:gridCol w:w="1112"/>
      </w:tblGrid>
      <w:tr>
        <w:trPr>
          <w:trHeight w:val="245" w:hRule="atLeast"/>
        </w:trPr>
        <w:tc>
          <w:tcPr>
            <w:tcW w:w="3675" w:type="dxa"/>
            <w:tcBorders>
              <w:bottom w:val="single" w:sz="4" w:space="0" w:color="000000"/>
            </w:tcBorders>
          </w:tcPr>
          <w:p>
            <w:pPr>
              <w:pStyle w:val="TableParagraph"/>
              <w:spacing w:before="13"/>
              <w:ind w:left="52"/>
              <w:rPr>
                <w:sz w:val="18"/>
              </w:rPr>
            </w:pPr>
            <w:r>
              <w:rPr>
                <w:sz w:val="18"/>
              </w:rPr>
              <w:t>Nine</w:t>
            </w:r>
            <w:r>
              <w:rPr>
                <w:spacing w:val="-1"/>
                <w:sz w:val="18"/>
              </w:rPr>
              <w:t> </w:t>
            </w:r>
            <w:r>
              <w:rPr>
                <w:sz w:val="18"/>
              </w:rPr>
              <w:t>Months</w:t>
            </w:r>
            <w:r>
              <w:rPr>
                <w:spacing w:val="-2"/>
                <w:sz w:val="18"/>
              </w:rPr>
              <w:t> </w:t>
            </w:r>
            <w:r>
              <w:rPr>
                <w:sz w:val="18"/>
              </w:rPr>
              <w:t>Ended</w:t>
            </w:r>
            <w:r>
              <w:rPr>
                <w:spacing w:val="-1"/>
                <w:sz w:val="18"/>
              </w:rPr>
              <w:t> </w:t>
            </w:r>
            <w:r>
              <w:rPr>
                <w:sz w:val="18"/>
              </w:rPr>
              <w:t>September </w:t>
            </w:r>
            <w:r>
              <w:rPr>
                <w:spacing w:val="-5"/>
                <w:sz w:val="18"/>
              </w:rPr>
              <w:t>30,</w:t>
            </w:r>
          </w:p>
        </w:tc>
        <w:tc>
          <w:tcPr>
            <w:tcW w:w="1054" w:type="dxa"/>
            <w:tcBorders>
              <w:top w:val="single" w:sz="4" w:space="0" w:color="000000"/>
              <w:bottom w:val="single" w:sz="4" w:space="0" w:color="000000"/>
            </w:tcBorders>
          </w:tcPr>
          <w:p>
            <w:pPr>
              <w:pStyle w:val="TableParagraph"/>
              <w:spacing w:before="13"/>
              <w:ind w:left="337"/>
              <w:rPr>
                <w:sz w:val="18"/>
              </w:rPr>
            </w:pPr>
            <w:r>
              <w:rPr>
                <w:spacing w:val="-4"/>
                <w:sz w:val="18"/>
              </w:rPr>
              <w:t>2023</w:t>
            </w:r>
          </w:p>
        </w:tc>
        <w:tc>
          <w:tcPr>
            <w:tcW w:w="1046" w:type="dxa"/>
            <w:tcBorders>
              <w:top w:val="single" w:sz="4" w:space="0" w:color="000000"/>
              <w:bottom w:val="single" w:sz="4" w:space="0" w:color="000000"/>
            </w:tcBorders>
          </w:tcPr>
          <w:p>
            <w:pPr>
              <w:pStyle w:val="TableParagraph"/>
              <w:spacing w:before="13"/>
              <w:ind w:left="363"/>
              <w:rPr>
                <w:sz w:val="18"/>
              </w:rPr>
            </w:pPr>
            <w:r>
              <w:rPr>
                <w:spacing w:val="-4"/>
                <w:sz w:val="18"/>
              </w:rPr>
              <w:t>2022</w:t>
            </w:r>
          </w:p>
        </w:tc>
        <w:tc>
          <w:tcPr>
            <w:tcW w:w="75" w:type="dxa"/>
            <w:tcBorders>
              <w:bottom w:val="single" w:sz="4" w:space="0" w:color="000000"/>
            </w:tcBorders>
          </w:tcPr>
          <w:p>
            <w:pPr>
              <w:pStyle w:val="TableParagraph"/>
              <w:rPr>
                <w:sz w:val="16"/>
              </w:rPr>
            </w:pPr>
          </w:p>
        </w:tc>
        <w:tc>
          <w:tcPr>
            <w:tcW w:w="1046" w:type="dxa"/>
            <w:tcBorders>
              <w:top w:val="single" w:sz="4" w:space="0" w:color="000000"/>
              <w:bottom w:val="single" w:sz="4" w:space="0" w:color="000000"/>
            </w:tcBorders>
          </w:tcPr>
          <w:p>
            <w:pPr>
              <w:pStyle w:val="TableParagraph"/>
              <w:spacing w:before="13"/>
              <w:ind w:left="330"/>
              <w:rPr>
                <w:sz w:val="18"/>
              </w:rPr>
            </w:pPr>
            <w:r>
              <w:rPr>
                <w:spacing w:val="-4"/>
                <w:sz w:val="18"/>
              </w:rPr>
              <w:t>2023</w:t>
            </w:r>
          </w:p>
        </w:tc>
        <w:tc>
          <w:tcPr>
            <w:tcW w:w="1083" w:type="dxa"/>
            <w:tcBorders>
              <w:top w:val="single" w:sz="4" w:space="0" w:color="000000"/>
              <w:bottom w:val="single" w:sz="4" w:space="0" w:color="000000"/>
            </w:tcBorders>
          </w:tcPr>
          <w:p>
            <w:pPr>
              <w:pStyle w:val="TableParagraph"/>
              <w:spacing w:before="13"/>
              <w:ind w:left="386"/>
              <w:rPr>
                <w:sz w:val="18"/>
              </w:rPr>
            </w:pPr>
            <w:r>
              <w:rPr>
                <w:spacing w:val="-4"/>
                <w:sz w:val="18"/>
              </w:rPr>
              <w:t>2022</w:t>
            </w:r>
          </w:p>
        </w:tc>
        <w:tc>
          <w:tcPr>
            <w:tcW w:w="74" w:type="dxa"/>
            <w:tcBorders>
              <w:bottom w:val="single" w:sz="4" w:space="0" w:color="000000"/>
            </w:tcBorders>
          </w:tcPr>
          <w:p>
            <w:pPr>
              <w:pStyle w:val="TableParagraph"/>
              <w:rPr>
                <w:sz w:val="16"/>
              </w:rPr>
            </w:pPr>
          </w:p>
        </w:tc>
        <w:tc>
          <w:tcPr>
            <w:tcW w:w="1090" w:type="dxa"/>
            <w:tcBorders>
              <w:top w:val="single" w:sz="4" w:space="0" w:color="000000"/>
              <w:bottom w:val="single" w:sz="4" w:space="0" w:color="000000"/>
            </w:tcBorders>
          </w:tcPr>
          <w:p>
            <w:pPr>
              <w:pStyle w:val="TableParagraph"/>
              <w:spacing w:before="13"/>
              <w:ind w:left="339"/>
              <w:rPr>
                <w:sz w:val="18"/>
              </w:rPr>
            </w:pPr>
            <w:r>
              <w:rPr>
                <w:spacing w:val="-4"/>
                <w:sz w:val="18"/>
              </w:rPr>
              <w:t>2023</w:t>
            </w:r>
          </w:p>
        </w:tc>
        <w:tc>
          <w:tcPr>
            <w:tcW w:w="1112" w:type="dxa"/>
            <w:tcBorders>
              <w:top w:val="single" w:sz="4" w:space="0" w:color="000000"/>
              <w:bottom w:val="single" w:sz="4" w:space="0" w:color="000000"/>
            </w:tcBorders>
          </w:tcPr>
          <w:p>
            <w:pPr>
              <w:pStyle w:val="TableParagraph"/>
              <w:spacing w:before="13"/>
              <w:ind w:left="359"/>
              <w:rPr>
                <w:sz w:val="18"/>
              </w:rPr>
            </w:pPr>
            <w:r>
              <w:rPr>
                <w:spacing w:val="-4"/>
                <w:sz w:val="18"/>
              </w:rPr>
              <w:t>2022</w:t>
            </w:r>
          </w:p>
        </w:tc>
      </w:tr>
      <w:tr>
        <w:trPr>
          <w:trHeight w:val="250" w:hRule="atLeast"/>
        </w:trPr>
        <w:tc>
          <w:tcPr>
            <w:tcW w:w="3675" w:type="dxa"/>
            <w:tcBorders>
              <w:top w:val="single" w:sz="4" w:space="0" w:color="000000"/>
            </w:tcBorders>
            <w:shd w:val="clear" w:color="auto" w:fill="CCEDFF"/>
          </w:tcPr>
          <w:p>
            <w:pPr>
              <w:pStyle w:val="TableParagraph"/>
              <w:spacing w:before="13"/>
              <w:ind w:left="52"/>
              <w:rPr>
                <w:sz w:val="18"/>
              </w:rPr>
            </w:pPr>
            <w:r>
              <w:rPr>
                <w:sz w:val="18"/>
              </w:rPr>
              <w:t>Balance at beginning of </w:t>
            </w:r>
            <w:r>
              <w:rPr>
                <w:spacing w:val="-2"/>
                <w:sz w:val="18"/>
              </w:rPr>
              <w:t>period</w:t>
            </w:r>
          </w:p>
        </w:tc>
        <w:tc>
          <w:tcPr>
            <w:tcW w:w="1054" w:type="dxa"/>
            <w:tcBorders>
              <w:top w:val="single" w:sz="4" w:space="0" w:color="000000"/>
            </w:tcBorders>
            <w:shd w:val="clear" w:color="auto" w:fill="CCEDFF"/>
          </w:tcPr>
          <w:p>
            <w:pPr>
              <w:pStyle w:val="TableParagraph"/>
              <w:tabs>
                <w:tab w:pos="322" w:val="left" w:leader="none"/>
              </w:tabs>
              <w:spacing w:before="13"/>
              <w:ind w:right="91"/>
              <w:jc w:val="right"/>
              <w:rPr>
                <w:sz w:val="18"/>
              </w:rPr>
            </w:pPr>
            <w:r>
              <w:rPr>
                <w:spacing w:val="-10"/>
                <w:sz w:val="18"/>
              </w:rPr>
              <w:t>$</w:t>
            </w:r>
            <w:r>
              <w:rPr>
                <w:sz w:val="18"/>
              </w:rPr>
              <w:tab/>
            </w:r>
            <w:r>
              <w:rPr>
                <w:spacing w:val="-2"/>
                <w:sz w:val="18"/>
              </w:rPr>
              <w:t>278,926</w:t>
            </w:r>
          </w:p>
        </w:tc>
        <w:tc>
          <w:tcPr>
            <w:tcW w:w="1046" w:type="dxa"/>
            <w:tcBorders>
              <w:top w:val="single" w:sz="4" w:space="0" w:color="000000"/>
            </w:tcBorders>
            <w:shd w:val="clear" w:color="auto" w:fill="CCEDFF"/>
          </w:tcPr>
          <w:p>
            <w:pPr>
              <w:pStyle w:val="TableParagraph"/>
              <w:tabs>
                <w:tab w:pos="292" w:val="left" w:leader="none"/>
              </w:tabs>
              <w:spacing w:before="13"/>
              <w:ind w:right="72"/>
              <w:jc w:val="right"/>
              <w:rPr>
                <w:sz w:val="18"/>
              </w:rPr>
            </w:pPr>
            <w:r>
              <w:rPr>
                <w:spacing w:val="-10"/>
                <w:sz w:val="18"/>
              </w:rPr>
              <w:t>$</w:t>
            </w:r>
            <w:r>
              <w:rPr>
                <w:sz w:val="18"/>
              </w:rPr>
              <w:tab/>
            </w:r>
            <w:r>
              <w:rPr>
                <w:spacing w:val="-2"/>
                <w:sz w:val="18"/>
              </w:rPr>
              <w:t>146,509</w:t>
            </w:r>
          </w:p>
        </w:tc>
        <w:tc>
          <w:tcPr>
            <w:tcW w:w="75" w:type="dxa"/>
            <w:tcBorders>
              <w:top w:val="single" w:sz="4" w:space="0" w:color="000000"/>
            </w:tcBorders>
            <w:shd w:val="clear" w:color="auto" w:fill="CCEDFF"/>
          </w:tcPr>
          <w:p>
            <w:pPr>
              <w:pStyle w:val="TableParagraph"/>
              <w:rPr>
                <w:sz w:val="18"/>
              </w:rPr>
            </w:pPr>
          </w:p>
        </w:tc>
        <w:tc>
          <w:tcPr>
            <w:tcW w:w="1046" w:type="dxa"/>
            <w:tcBorders>
              <w:top w:val="single" w:sz="4" w:space="0" w:color="000000"/>
            </w:tcBorders>
            <w:shd w:val="clear" w:color="auto" w:fill="CCEDFF"/>
          </w:tcPr>
          <w:p>
            <w:pPr>
              <w:pStyle w:val="TableParagraph"/>
              <w:tabs>
                <w:tab w:pos="307" w:val="left" w:leader="none"/>
              </w:tabs>
              <w:spacing w:before="13"/>
              <w:ind w:right="98"/>
              <w:jc w:val="right"/>
              <w:rPr>
                <w:sz w:val="18"/>
              </w:rPr>
            </w:pPr>
            <w:r>
              <w:rPr>
                <w:spacing w:val="-10"/>
                <w:sz w:val="18"/>
              </w:rPr>
              <w:t>$</w:t>
            </w:r>
            <w:r>
              <w:rPr>
                <w:sz w:val="18"/>
              </w:rPr>
              <w:tab/>
            </w:r>
            <w:r>
              <w:rPr>
                <w:spacing w:val="-2"/>
                <w:sz w:val="18"/>
              </w:rPr>
              <w:t>412,942</w:t>
            </w:r>
          </w:p>
        </w:tc>
        <w:tc>
          <w:tcPr>
            <w:tcW w:w="1083" w:type="dxa"/>
            <w:tcBorders>
              <w:top w:val="single" w:sz="4" w:space="0" w:color="000000"/>
            </w:tcBorders>
            <w:shd w:val="clear" w:color="auto" w:fill="CCEDFF"/>
          </w:tcPr>
          <w:p>
            <w:pPr>
              <w:pStyle w:val="TableParagraph"/>
              <w:tabs>
                <w:tab w:pos="322" w:val="left" w:leader="none"/>
              </w:tabs>
              <w:spacing w:before="13"/>
              <w:ind w:right="71"/>
              <w:jc w:val="right"/>
              <w:rPr>
                <w:sz w:val="18"/>
              </w:rPr>
            </w:pPr>
            <w:r>
              <w:rPr>
                <w:spacing w:val="-10"/>
                <w:sz w:val="18"/>
              </w:rPr>
              <w:t>$</w:t>
            </w:r>
            <w:r>
              <w:rPr>
                <w:sz w:val="18"/>
              </w:rPr>
              <w:tab/>
            </w:r>
            <w:r>
              <w:rPr>
                <w:spacing w:val="-2"/>
                <w:sz w:val="18"/>
              </w:rPr>
              <w:t>454,864</w:t>
            </w:r>
          </w:p>
        </w:tc>
        <w:tc>
          <w:tcPr>
            <w:tcW w:w="74" w:type="dxa"/>
            <w:tcBorders>
              <w:top w:val="single" w:sz="4" w:space="0" w:color="000000"/>
            </w:tcBorders>
            <w:shd w:val="clear" w:color="auto" w:fill="CCEDFF"/>
          </w:tcPr>
          <w:p>
            <w:pPr>
              <w:pStyle w:val="TableParagraph"/>
              <w:rPr>
                <w:sz w:val="18"/>
              </w:rPr>
            </w:pPr>
          </w:p>
        </w:tc>
        <w:tc>
          <w:tcPr>
            <w:tcW w:w="1090" w:type="dxa"/>
            <w:tcBorders>
              <w:top w:val="single" w:sz="4" w:space="0" w:color="000000"/>
            </w:tcBorders>
            <w:shd w:val="clear" w:color="auto" w:fill="CCEDFF"/>
          </w:tcPr>
          <w:p>
            <w:pPr>
              <w:pStyle w:val="TableParagraph"/>
              <w:tabs>
                <w:tab w:pos="322" w:val="left" w:leader="none"/>
              </w:tabs>
              <w:spacing w:before="13"/>
              <w:ind w:right="125"/>
              <w:jc w:val="right"/>
              <w:rPr>
                <w:sz w:val="18"/>
              </w:rPr>
            </w:pPr>
            <w:r>
              <w:rPr>
                <w:spacing w:val="-10"/>
                <w:sz w:val="18"/>
              </w:rPr>
              <w:t>$</w:t>
            </w:r>
            <w:r>
              <w:rPr>
                <w:sz w:val="18"/>
              </w:rPr>
              <w:tab/>
            </w:r>
            <w:r>
              <w:rPr>
                <w:spacing w:val="-2"/>
                <w:sz w:val="18"/>
              </w:rPr>
              <w:t>235,738</w:t>
            </w:r>
          </w:p>
        </w:tc>
        <w:tc>
          <w:tcPr>
            <w:tcW w:w="1112" w:type="dxa"/>
            <w:tcBorders>
              <w:top w:val="single" w:sz="4" w:space="0" w:color="000000"/>
            </w:tcBorders>
            <w:shd w:val="clear" w:color="auto" w:fill="CCEDFF"/>
          </w:tcPr>
          <w:p>
            <w:pPr>
              <w:pStyle w:val="TableParagraph"/>
              <w:tabs>
                <w:tab w:pos="397" w:val="left" w:leader="none"/>
              </w:tabs>
              <w:spacing w:before="13"/>
              <w:ind w:left="74"/>
              <w:rPr>
                <w:sz w:val="18"/>
              </w:rPr>
            </w:pPr>
            <w:r>
              <w:rPr>
                <w:spacing w:val="-10"/>
                <w:sz w:val="18"/>
              </w:rPr>
              <w:t>$</w:t>
            </w:r>
            <w:r>
              <w:rPr>
                <w:sz w:val="18"/>
              </w:rPr>
              <w:tab/>
            </w:r>
            <w:r>
              <w:rPr>
                <w:spacing w:val="-2"/>
                <w:sz w:val="18"/>
              </w:rPr>
              <w:t>234,940</w:t>
            </w:r>
          </w:p>
        </w:tc>
      </w:tr>
      <w:tr>
        <w:trPr>
          <w:trHeight w:val="255" w:hRule="atLeast"/>
        </w:trPr>
        <w:tc>
          <w:tcPr>
            <w:tcW w:w="3675" w:type="dxa"/>
          </w:tcPr>
          <w:p>
            <w:pPr>
              <w:pStyle w:val="TableParagraph"/>
              <w:spacing w:before="18"/>
              <w:ind w:left="52"/>
              <w:rPr>
                <w:sz w:val="18"/>
              </w:rPr>
            </w:pPr>
            <w:r>
              <w:rPr>
                <w:sz w:val="18"/>
              </w:rPr>
              <w:t>Net</w:t>
            </w:r>
            <w:r>
              <w:rPr>
                <w:spacing w:val="-2"/>
                <w:sz w:val="18"/>
              </w:rPr>
              <w:t> </w:t>
            </w:r>
            <w:r>
              <w:rPr>
                <w:sz w:val="18"/>
              </w:rPr>
              <w:t>inflows</w:t>
            </w:r>
            <w:r>
              <w:rPr>
                <w:spacing w:val="-1"/>
                <w:sz w:val="18"/>
              </w:rPr>
              <w:t> </w:t>
            </w:r>
            <w:r>
              <w:rPr>
                <w:spacing w:val="-2"/>
                <w:sz w:val="18"/>
              </w:rPr>
              <w:t>(outflows)</w:t>
            </w:r>
          </w:p>
        </w:tc>
        <w:tc>
          <w:tcPr>
            <w:tcW w:w="1054" w:type="dxa"/>
          </w:tcPr>
          <w:p>
            <w:pPr>
              <w:pStyle w:val="TableParagraph"/>
              <w:spacing w:before="18"/>
              <w:ind w:right="91"/>
              <w:jc w:val="right"/>
              <w:rPr>
                <w:sz w:val="18"/>
              </w:rPr>
            </w:pPr>
            <w:r>
              <w:rPr>
                <w:spacing w:val="-2"/>
                <w:sz w:val="18"/>
              </w:rPr>
              <w:t>144,108</w:t>
            </w:r>
          </w:p>
        </w:tc>
        <w:tc>
          <w:tcPr>
            <w:tcW w:w="1046" w:type="dxa"/>
          </w:tcPr>
          <w:p>
            <w:pPr>
              <w:pStyle w:val="TableParagraph"/>
              <w:spacing w:before="18"/>
              <w:ind w:right="72"/>
              <w:jc w:val="right"/>
              <w:rPr>
                <w:sz w:val="18"/>
              </w:rPr>
            </w:pPr>
            <w:r>
              <w:rPr>
                <w:spacing w:val="-2"/>
                <w:sz w:val="18"/>
              </w:rPr>
              <w:t>63,703</w:t>
            </w:r>
          </w:p>
        </w:tc>
        <w:tc>
          <w:tcPr>
            <w:tcW w:w="75" w:type="dxa"/>
          </w:tcPr>
          <w:p>
            <w:pPr>
              <w:pStyle w:val="TableParagraph"/>
              <w:rPr>
                <w:sz w:val="18"/>
              </w:rPr>
            </w:pPr>
          </w:p>
        </w:tc>
        <w:tc>
          <w:tcPr>
            <w:tcW w:w="1046" w:type="dxa"/>
          </w:tcPr>
          <w:p>
            <w:pPr>
              <w:pStyle w:val="TableParagraph"/>
              <w:spacing w:before="18"/>
              <w:ind w:right="98"/>
              <w:jc w:val="right"/>
              <w:rPr>
                <w:sz w:val="18"/>
              </w:rPr>
            </w:pPr>
            <w:r>
              <w:rPr>
                <w:spacing w:val="-2"/>
                <w:sz w:val="18"/>
              </w:rPr>
              <w:t>15,669</w:t>
            </w:r>
          </w:p>
        </w:tc>
        <w:tc>
          <w:tcPr>
            <w:tcW w:w="1083" w:type="dxa"/>
          </w:tcPr>
          <w:p>
            <w:pPr>
              <w:pStyle w:val="TableParagraph"/>
              <w:spacing w:before="18"/>
              <w:ind w:right="71"/>
              <w:jc w:val="right"/>
              <w:rPr>
                <w:sz w:val="18"/>
              </w:rPr>
            </w:pPr>
            <w:r>
              <w:rPr>
                <w:spacing w:val="-2"/>
                <w:sz w:val="18"/>
              </w:rPr>
              <w:t>25,950</w:t>
            </w:r>
          </w:p>
        </w:tc>
        <w:tc>
          <w:tcPr>
            <w:tcW w:w="74" w:type="dxa"/>
          </w:tcPr>
          <w:p>
            <w:pPr>
              <w:pStyle w:val="TableParagraph"/>
              <w:rPr>
                <w:sz w:val="18"/>
              </w:rPr>
            </w:pPr>
          </w:p>
        </w:tc>
        <w:tc>
          <w:tcPr>
            <w:tcW w:w="1090" w:type="dxa"/>
          </w:tcPr>
          <w:p>
            <w:pPr>
              <w:pStyle w:val="TableParagraph"/>
              <w:spacing w:before="18"/>
              <w:ind w:right="65"/>
              <w:jc w:val="right"/>
              <w:rPr>
                <w:sz w:val="18"/>
              </w:rPr>
            </w:pPr>
            <w:r>
              <w:rPr>
                <w:spacing w:val="-2"/>
                <w:sz w:val="18"/>
              </w:rPr>
              <w:t>(18,339)</w:t>
            </w:r>
          </w:p>
        </w:tc>
        <w:tc>
          <w:tcPr>
            <w:tcW w:w="1112" w:type="dxa"/>
          </w:tcPr>
          <w:p>
            <w:pPr>
              <w:pStyle w:val="TableParagraph"/>
              <w:spacing w:before="18"/>
              <w:ind w:right="67"/>
              <w:jc w:val="right"/>
              <w:rPr>
                <w:sz w:val="18"/>
              </w:rPr>
            </w:pPr>
            <w:r>
              <w:rPr>
                <w:spacing w:val="-2"/>
                <w:sz w:val="18"/>
              </w:rPr>
              <w:t>(28,363)</w:t>
            </w:r>
          </w:p>
        </w:tc>
      </w:tr>
      <w:tr>
        <w:trPr>
          <w:trHeight w:val="250" w:hRule="atLeast"/>
        </w:trPr>
        <w:tc>
          <w:tcPr>
            <w:tcW w:w="3675" w:type="dxa"/>
            <w:tcBorders>
              <w:bottom w:val="single" w:sz="4" w:space="0" w:color="000000"/>
            </w:tcBorders>
            <w:shd w:val="clear" w:color="auto" w:fill="CCEDFF"/>
          </w:tcPr>
          <w:p>
            <w:pPr>
              <w:pStyle w:val="TableParagraph"/>
              <w:spacing w:before="18"/>
              <w:ind w:left="52"/>
              <w:rPr>
                <w:sz w:val="18"/>
              </w:rPr>
            </w:pPr>
            <w:r>
              <w:rPr>
                <w:sz w:val="18"/>
              </w:rPr>
              <w:t>Net</w:t>
            </w:r>
            <w:r>
              <w:rPr>
                <w:spacing w:val="-1"/>
                <w:sz w:val="18"/>
              </w:rPr>
              <w:t> </w:t>
            </w:r>
            <w:r>
              <w:rPr>
                <w:sz w:val="18"/>
              </w:rPr>
              <w:t>market</w:t>
            </w:r>
            <w:r>
              <w:rPr>
                <w:spacing w:val="-1"/>
                <w:sz w:val="18"/>
              </w:rPr>
              <w:t> </w:t>
            </w:r>
            <w:r>
              <w:rPr>
                <w:sz w:val="18"/>
              </w:rPr>
              <w:t>gains</w:t>
            </w:r>
            <w:r>
              <w:rPr>
                <w:spacing w:val="-1"/>
                <w:sz w:val="18"/>
              </w:rPr>
              <w:t> </w:t>
            </w:r>
            <w:r>
              <w:rPr>
                <w:sz w:val="18"/>
              </w:rPr>
              <w:t>(losses)</w:t>
            </w:r>
            <w:r>
              <w:rPr>
                <w:spacing w:val="-1"/>
                <w:sz w:val="18"/>
              </w:rPr>
              <w:t> </w:t>
            </w:r>
            <w:r>
              <w:rPr>
                <w:sz w:val="18"/>
              </w:rPr>
              <w:t>and</w:t>
            </w:r>
            <w:r>
              <w:rPr>
                <w:spacing w:val="-1"/>
                <w:sz w:val="18"/>
              </w:rPr>
              <w:t> </w:t>
            </w:r>
            <w:r>
              <w:rPr>
                <w:sz w:val="18"/>
              </w:rPr>
              <w:t>other</w:t>
            </w:r>
            <w:r>
              <w:rPr>
                <w:spacing w:val="-2"/>
                <w:sz w:val="18"/>
              </w:rPr>
              <w:t> </w:t>
            </w:r>
            <w:r>
              <w:rPr>
                <w:spacing w:val="-5"/>
                <w:sz w:val="18"/>
                <w:vertAlign w:val="superscript"/>
              </w:rPr>
              <w:t>(1)</w:t>
            </w:r>
          </w:p>
        </w:tc>
        <w:tc>
          <w:tcPr>
            <w:tcW w:w="1054" w:type="dxa"/>
            <w:tcBorders>
              <w:bottom w:val="single" w:sz="4" w:space="0" w:color="000000"/>
            </w:tcBorders>
            <w:shd w:val="clear" w:color="auto" w:fill="CCEDFF"/>
          </w:tcPr>
          <w:p>
            <w:pPr>
              <w:pStyle w:val="TableParagraph"/>
              <w:spacing w:before="18"/>
              <w:ind w:right="91"/>
              <w:jc w:val="right"/>
              <w:rPr>
                <w:sz w:val="18"/>
              </w:rPr>
            </w:pPr>
            <w:r>
              <w:rPr>
                <w:spacing w:val="-2"/>
                <w:sz w:val="18"/>
              </w:rPr>
              <w:t>13,292</w:t>
            </w:r>
          </w:p>
        </w:tc>
        <w:tc>
          <w:tcPr>
            <w:tcW w:w="1046" w:type="dxa"/>
            <w:tcBorders>
              <w:bottom w:val="single" w:sz="4" w:space="0" w:color="000000"/>
            </w:tcBorders>
            <w:shd w:val="clear" w:color="auto" w:fill="CCEDFF"/>
          </w:tcPr>
          <w:p>
            <w:pPr>
              <w:pStyle w:val="TableParagraph"/>
              <w:spacing w:before="18"/>
              <w:ind w:right="72"/>
              <w:jc w:val="right"/>
              <w:rPr>
                <w:sz w:val="18"/>
              </w:rPr>
            </w:pPr>
            <w:r>
              <w:rPr>
                <w:spacing w:val="-5"/>
                <w:sz w:val="18"/>
              </w:rPr>
              <w:t>867</w:t>
            </w:r>
          </w:p>
        </w:tc>
        <w:tc>
          <w:tcPr>
            <w:tcW w:w="75" w:type="dxa"/>
            <w:tcBorders>
              <w:bottom w:val="single" w:sz="4" w:space="0" w:color="000000"/>
            </w:tcBorders>
            <w:shd w:val="clear" w:color="auto" w:fill="CCEDFF"/>
          </w:tcPr>
          <w:p>
            <w:pPr>
              <w:pStyle w:val="TableParagraph"/>
              <w:rPr>
                <w:sz w:val="18"/>
              </w:rPr>
            </w:pPr>
          </w:p>
        </w:tc>
        <w:tc>
          <w:tcPr>
            <w:tcW w:w="1046" w:type="dxa"/>
            <w:tcBorders>
              <w:bottom w:val="single" w:sz="4" w:space="0" w:color="000000"/>
            </w:tcBorders>
            <w:shd w:val="clear" w:color="auto" w:fill="CCEDFF"/>
          </w:tcPr>
          <w:p>
            <w:pPr>
              <w:pStyle w:val="TableParagraph"/>
              <w:spacing w:before="18"/>
              <w:ind w:right="98"/>
              <w:jc w:val="right"/>
              <w:rPr>
                <w:sz w:val="18"/>
              </w:rPr>
            </w:pPr>
            <w:r>
              <w:rPr>
                <w:spacing w:val="-2"/>
                <w:sz w:val="18"/>
              </w:rPr>
              <w:t>25,483</w:t>
            </w:r>
          </w:p>
        </w:tc>
        <w:tc>
          <w:tcPr>
            <w:tcW w:w="1083" w:type="dxa"/>
            <w:tcBorders>
              <w:bottom w:val="single" w:sz="4" w:space="0" w:color="000000"/>
            </w:tcBorders>
            <w:shd w:val="clear" w:color="auto" w:fill="CCEDFF"/>
          </w:tcPr>
          <w:p>
            <w:pPr>
              <w:pStyle w:val="TableParagraph"/>
              <w:spacing w:before="18"/>
              <w:ind w:right="11"/>
              <w:jc w:val="right"/>
              <w:rPr>
                <w:sz w:val="18"/>
              </w:rPr>
            </w:pPr>
            <w:r>
              <w:rPr>
                <w:spacing w:val="-2"/>
                <w:sz w:val="18"/>
              </w:rPr>
              <w:t>(107,070)</w:t>
            </w:r>
          </w:p>
        </w:tc>
        <w:tc>
          <w:tcPr>
            <w:tcW w:w="74" w:type="dxa"/>
            <w:tcBorders>
              <w:bottom w:val="single" w:sz="4" w:space="0" w:color="000000"/>
            </w:tcBorders>
            <w:shd w:val="clear" w:color="auto" w:fill="CCEDFF"/>
          </w:tcPr>
          <w:p>
            <w:pPr>
              <w:pStyle w:val="TableParagraph"/>
              <w:rPr>
                <w:sz w:val="18"/>
              </w:rPr>
            </w:pPr>
          </w:p>
        </w:tc>
        <w:tc>
          <w:tcPr>
            <w:tcW w:w="1090" w:type="dxa"/>
            <w:tcBorders>
              <w:bottom w:val="single" w:sz="4" w:space="0" w:color="000000"/>
            </w:tcBorders>
            <w:shd w:val="clear" w:color="auto" w:fill="CCEDFF"/>
          </w:tcPr>
          <w:p>
            <w:pPr>
              <w:pStyle w:val="TableParagraph"/>
              <w:spacing w:before="18"/>
              <w:ind w:right="125"/>
              <w:jc w:val="right"/>
              <w:rPr>
                <w:sz w:val="18"/>
              </w:rPr>
            </w:pPr>
            <w:r>
              <w:rPr>
                <w:spacing w:val="-2"/>
                <w:sz w:val="18"/>
              </w:rPr>
              <w:t>70,593</w:t>
            </w:r>
          </w:p>
        </w:tc>
        <w:tc>
          <w:tcPr>
            <w:tcW w:w="1112" w:type="dxa"/>
            <w:tcBorders>
              <w:bottom w:val="single" w:sz="4" w:space="0" w:color="000000"/>
            </w:tcBorders>
            <w:shd w:val="clear" w:color="auto" w:fill="CCEDFF"/>
          </w:tcPr>
          <w:p>
            <w:pPr>
              <w:pStyle w:val="TableParagraph"/>
              <w:spacing w:before="18"/>
              <w:ind w:right="67"/>
              <w:jc w:val="right"/>
              <w:rPr>
                <w:sz w:val="18"/>
              </w:rPr>
            </w:pPr>
            <w:r>
              <w:rPr>
                <w:spacing w:val="-2"/>
                <w:sz w:val="18"/>
              </w:rPr>
              <w:t>(25,079)</w:t>
            </w:r>
          </w:p>
        </w:tc>
      </w:tr>
      <w:tr>
        <w:trPr>
          <w:trHeight w:val="220" w:hRule="atLeast"/>
        </w:trPr>
        <w:tc>
          <w:tcPr>
            <w:tcW w:w="3675" w:type="dxa"/>
            <w:tcBorders>
              <w:top w:val="single" w:sz="4" w:space="0" w:color="000000"/>
              <w:bottom w:val="double" w:sz="8" w:space="0" w:color="000000"/>
            </w:tcBorders>
          </w:tcPr>
          <w:p>
            <w:pPr>
              <w:pStyle w:val="TableParagraph"/>
              <w:spacing w:line="187" w:lineRule="exact" w:before="13"/>
              <w:ind w:left="52"/>
              <w:rPr>
                <w:sz w:val="18"/>
              </w:rPr>
            </w:pPr>
            <w:r>
              <w:rPr>
                <w:sz w:val="18"/>
              </w:rPr>
              <w:t>Balance at end of </w:t>
            </w:r>
            <w:r>
              <w:rPr>
                <w:spacing w:val="-2"/>
                <w:sz w:val="18"/>
              </w:rPr>
              <w:t>period</w:t>
            </w:r>
          </w:p>
        </w:tc>
        <w:tc>
          <w:tcPr>
            <w:tcW w:w="1054" w:type="dxa"/>
            <w:tcBorders>
              <w:top w:val="single" w:sz="4" w:space="0" w:color="000000"/>
              <w:bottom w:val="double" w:sz="8" w:space="0" w:color="000000"/>
            </w:tcBorders>
          </w:tcPr>
          <w:p>
            <w:pPr>
              <w:pStyle w:val="TableParagraph"/>
              <w:tabs>
                <w:tab w:pos="322" w:val="left" w:leader="none"/>
              </w:tabs>
              <w:spacing w:line="187" w:lineRule="exact" w:before="13"/>
              <w:ind w:right="91"/>
              <w:jc w:val="right"/>
              <w:rPr>
                <w:sz w:val="18"/>
              </w:rPr>
            </w:pPr>
            <w:r>
              <w:rPr>
                <w:spacing w:val="-10"/>
                <w:sz w:val="18"/>
              </w:rPr>
              <w:t>$</w:t>
            </w:r>
            <w:r>
              <w:rPr>
                <w:sz w:val="18"/>
              </w:rPr>
              <w:tab/>
            </w:r>
            <w:r>
              <w:rPr>
                <w:spacing w:val="-2"/>
                <w:sz w:val="18"/>
              </w:rPr>
              <w:t>436,326</w:t>
            </w:r>
          </w:p>
        </w:tc>
        <w:tc>
          <w:tcPr>
            <w:tcW w:w="1046" w:type="dxa"/>
            <w:tcBorders>
              <w:top w:val="single" w:sz="4" w:space="0" w:color="000000"/>
              <w:bottom w:val="double" w:sz="8" w:space="0" w:color="000000"/>
            </w:tcBorders>
          </w:tcPr>
          <w:p>
            <w:pPr>
              <w:pStyle w:val="TableParagraph"/>
              <w:tabs>
                <w:tab w:pos="292" w:val="left" w:leader="none"/>
              </w:tabs>
              <w:spacing w:line="187" w:lineRule="exact" w:before="13"/>
              <w:ind w:right="72"/>
              <w:jc w:val="right"/>
              <w:rPr>
                <w:sz w:val="18"/>
              </w:rPr>
            </w:pPr>
            <w:r>
              <w:rPr>
                <w:spacing w:val="-10"/>
                <w:sz w:val="18"/>
              </w:rPr>
              <w:t>$</w:t>
            </w:r>
            <w:r>
              <w:rPr>
                <w:sz w:val="18"/>
              </w:rPr>
              <w:tab/>
            </w:r>
            <w:r>
              <w:rPr>
                <w:spacing w:val="-2"/>
                <w:sz w:val="18"/>
              </w:rPr>
              <w:t>211,079</w:t>
            </w:r>
          </w:p>
        </w:tc>
        <w:tc>
          <w:tcPr>
            <w:tcW w:w="75" w:type="dxa"/>
            <w:tcBorders>
              <w:top w:val="single" w:sz="4" w:space="0" w:color="000000"/>
              <w:bottom w:val="double" w:sz="8" w:space="0" w:color="000000"/>
            </w:tcBorders>
          </w:tcPr>
          <w:p>
            <w:pPr>
              <w:pStyle w:val="TableParagraph"/>
              <w:rPr>
                <w:sz w:val="14"/>
              </w:rPr>
            </w:pPr>
          </w:p>
        </w:tc>
        <w:tc>
          <w:tcPr>
            <w:tcW w:w="1046" w:type="dxa"/>
            <w:tcBorders>
              <w:top w:val="single" w:sz="4" w:space="0" w:color="000000"/>
              <w:bottom w:val="double" w:sz="8" w:space="0" w:color="000000"/>
            </w:tcBorders>
          </w:tcPr>
          <w:p>
            <w:pPr>
              <w:pStyle w:val="TableParagraph"/>
              <w:tabs>
                <w:tab w:pos="307" w:val="left" w:leader="none"/>
              </w:tabs>
              <w:spacing w:line="187" w:lineRule="exact" w:before="13"/>
              <w:ind w:right="98"/>
              <w:jc w:val="right"/>
              <w:rPr>
                <w:sz w:val="18"/>
              </w:rPr>
            </w:pPr>
            <w:r>
              <w:rPr>
                <w:spacing w:val="-10"/>
                <w:sz w:val="18"/>
              </w:rPr>
              <w:t>$</w:t>
            </w:r>
            <w:r>
              <w:rPr>
                <w:sz w:val="18"/>
              </w:rPr>
              <w:tab/>
            </w:r>
            <w:r>
              <w:rPr>
                <w:spacing w:val="-2"/>
                <w:sz w:val="18"/>
              </w:rPr>
              <w:t>454,094</w:t>
            </w:r>
          </w:p>
        </w:tc>
        <w:tc>
          <w:tcPr>
            <w:tcW w:w="1083" w:type="dxa"/>
            <w:tcBorders>
              <w:top w:val="single" w:sz="4" w:space="0" w:color="000000"/>
              <w:bottom w:val="double" w:sz="8" w:space="0" w:color="000000"/>
            </w:tcBorders>
          </w:tcPr>
          <w:p>
            <w:pPr>
              <w:pStyle w:val="TableParagraph"/>
              <w:tabs>
                <w:tab w:pos="322" w:val="left" w:leader="none"/>
              </w:tabs>
              <w:spacing w:line="187" w:lineRule="exact" w:before="13"/>
              <w:ind w:right="71"/>
              <w:jc w:val="right"/>
              <w:rPr>
                <w:sz w:val="18"/>
              </w:rPr>
            </w:pPr>
            <w:r>
              <w:rPr>
                <w:spacing w:val="-10"/>
                <w:sz w:val="18"/>
              </w:rPr>
              <w:t>$</w:t>
            </w:r>
            <w:r>
              <w:rPr>
                <w:sz w:val="18"/>
              </w:rPr>
              <w:tab/>
            </w:r>
            <w:r>
              <w:rPr>
                <w:spacing w:val="-2"/>
                <w:sz w:val="18"/>
              </w:rPr>
              <w:t>373,744</w:t>
            </w:r>
          </w:p>
        </w:tc>
        <w:tc>
          <w:tcPr>
            <w:tcW w:w="74" w:type="dxa"/>
            <w:tcBorders>
              <w:top w:val="single" w:sz="4" w:space="0" w:color="000000"/>
              <w:bottom w:val="double" w:sz="8" w:space="0" w:color="000000"/>
            </w:tcBorders>
          </w:tcPr>
          <w:p>
            <w:pPr>
              <w:pStyle w:val="TableParagraph"/>
              <w:rPr>
                <w:sz w:val="14"/>
              </w:rPr>
            </w:pPr>
          </w:p>
        </w:tc>
        <w:tc>
          <w:tcPr>
            <w:tcW w:w="1090" w:type="dxa"/>
            <w:tcBorders>
              <w:top w:val="single" w:sz="4" w:space="0" w:color="000000"/>
              <w:bottom w:val="double" w:sz="8" w:space="0" w:color="000000"/>
            </w:tcBorders>
          </w:tcPr>
          <w:p>
            <w:pPr>
              <w:pStyle w:val="TableParagraph"/>
              <w:tabs>
                <w:tab w:pos="322" w:val="left" w:leader="none"/>
              </w:tabs>
              <w:spacing w:line="187" w:lineRule="exact" w:before="13"/>
              <w:ind w:right="125"/>
              <w:jc w:val="right"/>
              <w:rPr>
                <w:sz w:val="18"/>
              </w:rPr>
            </w:pPr>
            <w:r>
              <w:rPr>
                <w:spacing w:val="-10"/>
                <w:sz w:val="18"/>
              </w:rPr>
              <w:t>$</w:t>
            </w:r>
            <w:r>
              <w:rPr>
                <w:sz w:val="18"/>
              </w:rPr>
              <w:tab/>
            </w:r>
            <w:r>
              <w:rPr>
                <w:spacing w:val="-2"/>
                <w:sz w:val="18"/>
              </w:rPr>
              <w:t>287,992</w:t>
            </w:r>
          </w:p>
        </w:tc>
        <w:tc>
          <w:tcPr>
            <w:tcW w:w="1112" w:type="dxa"/>
            <w:tcBorders>
              <w:top w:val="single" w:sz="4" w:space="0" w:color="000000"/>
              <w:bottom w:val="double" w:sz="8" w:space="0" w:color="000000"/>
            </w:tcBorders>
          </w:tcPr>
          <w:p>
            <w:pPr>
              <w:pStyle w:val="TableParagraph"/>
              <w:tabs>
                <w:tab w:pos="397" w:val="left" w:leader="none"/>
              </w:tabs>
              <w:spacing w:line="187" w:lineRule="exact" w:before="13"/>
              <w:ind w:left="74"/>
              <w:rPr>
                <w:sz w:val="18"/>
              </w:rPr>
            </w:pPr>
            <w:r>
              <w:rPr>
                <w:spacing w:val="-10"/>
                <w:sz w:val="18"/>
              </w:rPr>
              <w:t>$</w:t>
            </w:r>
            <w:r>
              <w:rPr>
                <w:sz w:val="18"/>
              </w:rPr>
              <w:tab/>
            </w:r>
            <w:r>
              <w:rPr>
                <w:spacing w:val="-2"/>
                <w:sz w:val="18"/>
              </w:rPr>
              <w:t>181,498</w:t>
            </w:r>
          </w:p>
        </w:tc>
      </w:tr>
    </w:tbl>
    <w:p>
      <w:pPr>
        <w:spacing w:line="249" w:lineRule="auto" w:before="27"/>
        <w:ind w:left="650" w:right="500" w:hanging="180"/>
        <w:jc w:val="left"/>
        <w:rPr>
          <w:sz w:val="16"/>
        </w:rPr>
      </w:pPr>
      <w:r>
        <w:rPr>
          <w:sz w:val="16"/>
          <w:vertAlign w:val="superscript"/>
        </w:rPr>
        <w:t>(1)</w:t>
      </w:r>
      <w:r>
        <w:rPr>
          <w:spacing w:val="-12"/>
          <w:sz w:val="16"/>
          <w:vertAlign w:val="baseline"/>
        </w:rPr>
        <w:t> </w:t>
      </w:r>
      <w:r>
        <w:rPr>
          <w:sz w:val="16"/>
          <w:vertAlign w:val="baseline"/>
        </w:rPr>
        <w:t>Includes $39.8 billion of transfers from other third-party mutual funds and ETFs to Mutual Fund OneSource</w:t>
      </w:r>
      <w:r>
        <w:rPr>
          <w:sz w:val="16"/>
          <w:vertAlign w:val="superscript"/>
        </w:rPr>
        <w:t>®</w:t>
      </w:r>
      <w:r>
        <w:rPr>
          <w:sz w:val="16"/>
          <w:vertAlign w:val="baseline"/>
        </w:rPr>
        <w:t> and Other NTF Funds for the three and nine</w:t>
      </w:r>
      <w:r>
        <w:rPr>
          <w:spacing w:val="40"/>
          <w:sz w:val="16"/>
          <w:vertAlign w:val="baseline"/>
        </w:rPr>
        <w:t> </w:t>
      </w:r>
      <w:r>
        <w:rPr>
          <w:sz w:val="16"/>
          <w:vertAlign w:val="baseline"/>
        </w:rPr>
        <w:t>months</w:t>
      </w:r>
      <w:r>
        <w:rPr>
          <w:spacing w:val="-3"/>
          <w:sz w:val="16"/>
          <w:vertAlign w:val="baseline"/>
        </w:rPr>
        <w:t> </w:t>
      </w:r>
      <w:r>
        <w:rPr>
          <w:sz w:val="16"/>
          <w:vertAlign w:val="baseline"/>
        </w:rPr>
        <w:t>ended</w:t>
      </w:r>
      <w:r>
        <w:rPr>
          <w:spacing w:val="-2"/>
          <w:sz w:val="16"/>
          <w:vertAlign w:val="baseline"/>
        </w:rPr>
        <w:t> </w:t>
      </w:r>
      <w:r>
        <w:rPr>
          <w:sz w:val="16"/>
          <w:vertAlign w:val="baseline"/>
        </w:rPr>
        <w:t>September</w:t>
      </w:r>
      <w:r>
        <w:rPr>
          <w:spacing w:val="-2"/>
          <w:sz w:val="16"/>
          <w:vertAlign w:val="baseline"/>
        </w:rPr>
        <w:t> </w:t>
      </w:r>
      <w:r>
        <w:rPr>
          <w:sz w:val="16"/>
          <w:vertAlign w:val="baseline"/>
        </w:rPr>
        <w:t>30,</w:t>
      </w:r>
      <w:r>
        <w:rPr>
          <w:spacing w:val="-2"/>
          <w:sz w:val="16"/>
          <w:vertAlign w:val="baseline"/>
        </w:rPr>
        <w:t> </w:t>
      </w:r>
      <w:r>
        <w:rPr>
          <w:sz w:val="16"/>
          <w:vertAlign w:val="baseline"/>
        </w:rPr>
        <w:t>2023.</w:t>
      </w:r>
      <w:r>
        <w:rPr>
          <w:spacing w:val="-2"/>
          <w:sz w:val="16"/>
          <w:vertAlign w:val="baseline"/>
        </w:rPr>
        <w:t> </w:t>
      </w:r>
      <w:r>
        <w:rPr>
          <w:sz w:val="16"/>
          <w:vertAlign w:val="baseline"/>
        </w:rPr>
        <w:t>Includes</w:t>
      </w:r>
      <w:r>
        <w:rPr>
          <w:spacing w:val="-3"/>
          <w:sz w:val="16"/>
          <w:vertAlign w:val="baseline"/>
        </w:rPr>
        <w:t> </w:t>
      </w:r>
      <w:r>
        <w:rPr>
          <w:sz w:val="16"/>
          <w:vertAlign w:val="baseline"/>
        </w:rPr>
        <w:t>$14.2</w:t>
      </w:r>
      <w:r>
        <w:rPr>
          <w:spacing w:val="-2"/>
          <w:sz w:val="16"/>
          <w:vertAlign w:val="baseline"/>
        </w:rPr>
        <w:t> </w:t>
      </w:r>
      <w:r>
        <w:rPr>
          <w:sz w:val="16"/>
          <w:vertAlign w:val="baseline"/>
        </w:rPr>
        <w:t>billion</w:t>
      </w:r>
      <w:r>
        <w:rPr>
          <w:spacing w:val="-3"/>
          <w:sz w:val="16"/>
          <w:vertAlign w:val="baseline"/>
        </w:rPr>
        <w:t> </w:t>
      </w:r>
      <w:r>
        <w:rPr>
          <w:sz w:val="16"/>
          <w:vertAlign w:val="baseline"/>
        </w:rPr>
        <w:t>of</w:t>
      </w:r>
      <w:r>
        <w:rPr>
          <w:spacing w:val="-2"/>
          <w:sz w:val="16"/>
          <w:vertAlign w:val="baseline"/>
        </w:rPr>
        <w:t> </w:t>
      </w:r>
      <w:r>
        <w:rPr>
          <w:sz w:val="16"/>
          <w:vertAlign w:val="baseline"/>
        </w:rPr>
        <w:t>transfers</w:t>
      </w:r>
      <w:r>
        <w:rPr>
          <w:spacing w:val="-3"/>
          <w:sz w:val="16"/>
          <w:vertAlign w:val="baseline"/>
        </w:rPr>
        <w:t> </w:t>
      </w:r>
      <w:r>
        <w:rPr>
          <w:sz w:val="16"/>
          <w:vertAlign w:val="baseline"/>
        </w:rPr>
        <w:t>from</w:t>
      </w:r>
      <w:r>
        <w:rPr>
          <w:spacing w:val="-2"/>
          <w:sz w:val="16"/>
          <w:vertAlign w:val="baseline"/>
        </w:rPr>
        <w:t> </w:t>
      </w:r>
      <w:r>
        <w:rPr>
          <w:sz w:val="16"/>
          <w:vertAlign w:val="baseline"/>
        </w:rPr>
        <w:t>other</w:t>
      </w:r>
      <w:r>
        <w:rPr>
          <w:spacing w:val="-2"/>
          <w:sz w:val="16"/>
          <w:vertAlign w:val="baseline"/>
        </w:rPr>
        <w:t> </w:t>
      </w:r>
      <w:r>
        <w:rPr>
          <w:sz w:val="16"/>
          <w:vertAlign w:val="baseline"/>
        </w:rPr>
        <w:t>third-party</w:t>
      </w:r>
      <w:r>
        <w:rPr>
          <w:spacing w:val="-2"/>
          <w:sz w:val="16"/>
          <w:vertAlign w:val="baseline"/>
        </w:rPr>
        <w:t> </w:t>
      </w:r>
      <w:r>
        <w:rPr>
          <w:sz w:val="16"/>
          <w:vertAlign w:val="baseline"/>
        </w:rPr>
        <w:t>mutual</w:t>
      </w:r>
      <w:r>
        <w:rPr>
          <w:spacing w:val="-2"/>
          <w:sz w:val="16"/>
          <w:vertAlign w:val="baseline"/>
        </w:rPr>
        <w:t> </w:t>
      </w:r>
      <w:r>
        <w:rPr>
          <w:sz w:val="16"/>
          <w:vertAlign w:val="baseline"/>
        </w:rPr>
        <w:t>funds</w:t>
      </w:r>
      <w:r>
        <w:rPr>
          <w:spacing w:val="-3"/>
          <w:sz w:val="16"/>
          <w:vertAlign w:val="baseline"/>
        </w:rPr>
        <w:t> </w:t>
      </w:r>
      <w:r>
        <w:rPr>
          <w:sz w:val="16"/>
          <w:vertAlign w:val="baseline"/>
        </w:rPr>
        <w:t>and</w:t>
      </w:r>
      <w:r>
        <w:rPr>
          <w:spacing w:val="-2"/>
          <w:sz w:val="16"/>
          <w:vertAlign w:val="baseline"/>
        </w:rPr>
        <w:t> </w:t>
      </w:r>
      <w:r>
        <w:rPr>
          <w:sz w:val="16"/>
          <w:vertAlign w:val="baseline"/>
        </w:rPr>
        <w:t>ETFs</w:t>
      </w:r>
      <w:r>
        <w:rPr>
          <w:spacing w:val="-3"/>
          <w:sz w:val="16"/>
          <w:vertAlign w:val="baseline"/>
        </w:rPr>
        <w:t> </w:t>
      </w:r>
      <w:r>
        <w:rPr>
          <w:sz w:val="16"/>
          <w:vertAlign w:val="baseline"/>
        </w:rPr>
        <w:t>to</w:t>
      </w:r>
      <w:r>
        <w:rPr>
          <w:spacing w:val="-2"/>
          <w:sz w:val="16"/>
          <w:vertAlign w:val="baseline"/>
        </w:rPr>
        <w:t> </w:t>
      </w:r>
      <w:r>
        <w:rPr>
          <w:sz w:val="16"/>
          <w:vertAlign w:val="baseline"/>
        </w:rPr>
        <w:t>Mutual</w:t>
      </w:r>
      <w:r>
        <w:rPr>
          <w:spacing w:val="-2"/>
          <w:sz w:val="16"/>
          <w:vertAlign w:val="baseline"/>
        </w:rPr>
        <w:t> </w:t>
      </w:r>
      <w:r>
        <w:rPr>
          <w:sz w:val="16"/>
          <w:vertAlign w:val="baseline"/>
        </w:rPr>
        <w:t>Fund</w:t>
      </w:r>
      <w:r>
        <w:rPr>
          <w:spacing w:val="-2"/>
          <w:sz w:val="16"/>
          <w:vertAlign w:val="baseline"/>
        </w:rPr>
        <w:t> </w:t>
      </w:r>
      <w:r>
        <w:rPr>
          <w:sz w:val="16"/>
          <w:vertAlign w:val="baseline"/>
        </w:rPr>
        <w:t>OneSource</w:t>
      </w:r>
      <w:r>
        <w:rPr>
          <w:sz w:val="16"/>
          <w:vertAlign w:val="superscript"/>
        </w:rPr>
        <w:t>®</w:t>
      </w:r>
      <w:r>
        <w:rPr>
          <w:spacing w:val="-3"/>
          <w:sz w:val="16"/>
          <w:vertAlign w:val="baseline"/>
        </w:rPr>
        <w:t> </w:t>
      </w:r>
      <w:r>
        <w:rPr>
          <w:sz w:val="16"/>
          <w:vertAlign w:val="baseline"/>
        </w:rPr>
        <w:t>and</w:t>
      </w:r>
      <w:r>
        <w:rPr>
          <w:spacing w:val="-2"/>
          <w:sz w:val="16"/>
          <w:vertAlign w:val="baseline"/>
        </w:rPr>
        <w:t> </w:t>
      </w:r>
      <w:r>
        <w:rPr>
          <w:sz w:val="16"/>
          <w:vertAlign w:val="baseline"/>
        </w:rPr>
        <w:t>Other</w:t>
      </w:r>
      <w:r>
        <w:rPr>
          <w:spacing w:val="40"/>
          <w:sz w:val="16"/>
          <w:vertAlign w:val="baseline"/>
        </w:rPr>
        <w:t> </w:t>
      </w:r>
      <w:r>
        <w:rPr>
          <w:sz w:val="16"/>
          <w:vertAlign w:val="baseline"/>
        </w:rPr>
        <w:t>NTF Funds for the nine months ended September 30, 2022.</w:t>
      </w:r>
    </w:p>
    <w:p>
      <w:pPr>
        <w:pStyle w:val="BodyText"/>
        <w:spacing w:before="117"/>
        <w:rPr>
          <w:sz w:val="16"/>
        </w:rPr>
      </w:pPr>
    </w:p>
    <w:p>
      <w:pPr>
        <w:pStyle w:val="Heading3"/>
        <w:rPr>
          <w:i/>
        </w:rPr>
      </w:pPr>
      <w:bookmarkStart w:name="Trading Revenue" w:id="12"/>
      <w:bookmarkEnd w:id="12"/>
      <w:r>
        <w:rPr>
          <w:b w:val="0"/>
          <w:i w:val="0"/>
        </w:rPr>
      </w:r>
      <w:r>
        <w:rPr>
          <w:i/>
        </w:rPr>
        <w:t>Trading</w:t>
      </w:r>
      <w:r>
        <w:rPr>
          <w:i/>
          <w:spacing w:val="-4"/>
        </w:rPr>
        <w:t> </w:t>
      </w:r>
      <w:r>
        <w:rPr>
          <w:i/>
          <w:spacing w:val="-2"/>
        </w:rPr>
        <w:t>Revenue</w:t>
      </w:r>
    </w:p>
    <w:p>
      <w:pPr>
        <w:pStyle w:val="BodyText"/>
        <w:spacing w:before="23"/>
        <w:rPr>
          <w:b/>
          <w:i/>
        </w:rPr>
      </w:pPr>
    </w:p>
    <w:p>
      <w:pPr>
        <w:pStyle w:val="BodyText"/>
        <w:spacing w:line="249" w:lineRule="auto"/>
        <w:ind w:left="470" w:right="566"/>
      </w:pPr>
      <w:r>
        <w:rPr/>
        <w:t>Trading revenue includes commissions, order flow revenue, and principal transactions revenues. Commission revenue is affected by volume</w:t>
      </w:r>
      <w:r>
        <w:rPr>
          <w:spacing w:val="-1"/>
        </w:rPr>
        <w:t> </w:t>
      </w:r>
      <w:r>
        <w:rPr/>
        <w:t>and mix of trades</w:t>
      </w:r>
      <w:r>
        <w:rPr>
          <w:spacing w:val="-1"/>
        </w:rPr>
        <w:t> </w:t>
      </w:r>
      <w:r>
        <w:rPr/>
        <w:t>executed. Order flow</w:t>
      </w:r>
      <w:r>
        <w:rPr>
          <w:spacing w:val="-1"/>
        </w:rPr>
        <w:t> </w:t>
      </w:r>
      <w:r>
        <w:rPr/>
        <w:t>revenue</w:t>
      </w:r>
      <w:r>
        <w:rPr>
          <w:spacing w:val="-1"/>
        </w:rPr>
        <w:t> </w:t>
      </w:r>
      <w:r>
        <w:rPr/>
        <w:t>is</w:t>
      </w:r>
      <w:r>
        <w:rPr>
          <w:spacing w:val="-1"/>
        </w:rPr>
        <w:t> </w:t>
      </w:r>
      <w:r>
        <w:rPr/>
        <w:t>comprised of payments</w:t>
      </w:r>
      <w:r>
        <w:rPr>
          <w:spacing w:val="-1"/>
        </w:rPr>
        <w:t> </w:t>
      </w:r>
      <w:r>
        <w:rPr/>
        <w:t>received from</w:t>
      </w:r>
      <w:r>
        <w:rPr>
          <w:spacing w:val="-1"/>
        </w:rPr>
        <w:t> </w:t>
      </w:r>
      <w:r>
        <w:rPr/>
        <w:t>trade</w:t>
      </w:r>
      <w:r>
        <w:rPr>
          <w:spacing w:val="-1"/>
        </w:rPr>
        <w:t> </w:t>
      </w:r>
      <w:r>
        <w:rPr/>
        <w:t>execution venues to which our broker-dealer subsidiaries send equity and option orders. Order flow revenue is affected by volume and mix of client trades, as well as pricing received from trade execution venues. Principal transactions revenue is recognized primarily as a result of accommodating clients’ fixed income trading activity, and includes adjustments to the fair value of securities</w:t>
      </w:r>
      <w:r>
        <w:rPr>
          <w:spacing w:val="-4"/>
        </w:rPr>
        <w:t> </w:t>
      </w:r>
      <w:r>
        <w:rPr/>
        <w:t>positions</w:t>
      </w:r>
      <w:r>
        <w:rPr>
          <w:spacing w:val="-4"/>
        </w:rPr>
        <w:t> </w:t>
      </w:r>
      <w:r>
        <w:rPr/>
        <w:t>held</w:t>
      </w:r>
      <w:r>
        <w:rPr>
          <w:spacing w:val="-3"/>
        </w:rPr>
        <w:t> </w:t>
      </w:r>
      <w:r>
        <w:rPr/>
        <w:t>to</w:t>
      </w:r>
      <w:r>
        <w:rPr>
          <w:spacing w:val="-3"/>
        </w:rPr>
        <w:t> </w:t>
      </w:r>
      <w:r>
        <w:rPr/>
        <w:t>facilitate</w:t>
      </w:r>
      <w:r>
        <w:rPr>
          <w:spacing w:val="-4"/>
        </w:rPr>
        <w:t> </w:t>
      </w:r>
      <w:r>
        <w:rPr/>
        <w:t>such</w:t>
      </w:r>
      <w:r>
        <w:rPr>
          <w:spacing w:val="-3"/>
        </w:rPr>
        <w:t> </w:t>
      </w:r>
      <w:r>
        <w:rPr/>
        <w:t>client</w:t>
      </w:r>
      <w:r>
        <w:rPr>
          <w:spacing w:val="-4"/>
        </w:rPr>
        <w:t> </w:t>
      </w:r>
      <w:r>
        <w:rPr/>
        <w:t>trading</w:t>
      </w:r>
      <w:r>
        <w:rPr>
          <w:spacing w:val="-3"/>
        </w:rPr>
        <w:t> </w:t>
      </w:r>
      <w:r>
        <w:rPr/>
        <w:t>activity.</w:t>
      </w:r>
      <w:r>
        <w:rPr>
          <w:spacing w:val="-3"/>
        </w:rPr>
        <w:t> </w:t>
      </w:r>
      <w:r>
        <w:rPr/>
        <w:t>Principal</w:t>
      </w:r>
      <w:r>
        <w:rPr>
          <w:spacing w:val="-4"/>
        </w:rPr>
        <w:t> </w:t>
      </w:r>
      <w:r>
        <w:rPr/>
        <w:t>transactions</w:t>
      </w:r>
      <w:r>
        <w:rPr>
          <w:spacing w:val="-4"/>
        </w:rPr>
        <w:t> </w:t>
      </w:r>
      <w:r>
        <w:rPr/>
        <w:t>revenue</w:t>
      </w:r>
      <w:r>
        <w:rPr>
          <w:spacing w:val="-4"/>
        </w:rPr>
        <w:t> </w:t>
      </w:r>
      <w:r>
        <w:rPr/>
        <w:t>also</w:t>
      </w:r>
      <w:r>
        <w:rPr>
          <w:spacing w:val="-3"/>
        </w:rPr>
        <w:t> </w:t>
      </w:r>
      <w:r>
        <w:rPr/>
        <w:t>includes</w:t>
      </w:r>
      <w:r>
        <w:rPr>
          <w:spacing w:val="-4"/>
        </w:rPr>
        <w:t> </w:t>
      </w:r>
      <w:r>
        <w:rPr/>
        <w:t>unrealized</w:t>
      </w:r>
      <w:r>
        <w:rPr>
          <w:spacing w:val="-3"/>
        </w:rPr>
        <w:t> </w:t>
      </w:r>
      <w:r>
        <w:rPr/>
        <w:t>gains and losses on cash and investments segregated for regulatory purposes.</w:t>
      </w:r>
    </w:p>
    <w:p>
      <w:pPr>
        <w:pStyle w:val="BodyText"/>
        <w:spacing w:before="5"/>
        <w:rPr>
          <w:sz w:val="13"/>
        </w:rPr>
      </w:pPr>
    </w:p>
    <w:p>
      <w:pPr>
        <w:spacing w:after="0"/>
        <w:rPr>
          <w:sz w:val="13"/>
        </w:rPr>
        <w:sectPr>
          <w:type w:val="continuous"/>
          <w:pgSz w:w="12240" w:h="15840"/>
          <w:pgMar w:header="512" w:footer="201" w:top="320" w:bottom="280" w:left="520" w:right="520"/>
        </w:sectPr>
      </w:pPr>
    </w:p>
    <w:p>
      <w:pPr>
        <w:pStyle w:val="BodyText"/>
        <w:spacing w:before="92"/>
        <w:ind w:left="470"/>
      </w:pPr>
      <w:r>
        <w:rPr/>
        <w:t>The</w:t>
      </w:r>
      <w:r>
        <w:rPr>
          <w:spacing w:val="-7"/>
        </w:rPr>
        <w:t> </w:t>
      </w:r>
      <w:r>
        <w:rPr/>
        <w:t>following</w:t>
      </w:r>
      <w:r>
        <w:rPr>
          <w:spacing w:val="-3"/>
        </w:rPr>
        <w:t> </w:t>
      </w:r>
      <w:r>
        <w:rPr/>
        <w:t>tables</w:t>
      </w:r>
      <w:r>
        <w:rPr>
          <w:spacing w:val="-4"/>
        </w:rPr>
        <w:t> </w:t>
      </w:r>
      <w:r>
        <w:rPr/>
        <w:t>present</w:t>
      </w:r>
      <w:r>
        <w:rPr>
          <w:spacing w:val="-4"/>
        </w:rPr>
        <w:t> </w:t>
      </w:r>
      <w:r>
        <w:rPr/>
        <w:t>trading</w:t>
      </w:r>
      <w:r>
        <w:rPr>
          <w:spacing w:val="-3"/>
        </w:rPr>
        <w:t> </w:t>
      </w:r>
      <w:r>
        <w:rPr/>
        <w:t>revenue,</w:t>
      </w:r>
      <w:r>
        <w:rPr>
          <w:spacing w:val="-4"/>
        </w:rPr>
        <w:t> </w:t>
      </w:r>
      <w:r>
        <w:rPr/>
        <w:t>trade</w:t>
      </w:r>
      <w:r>
        <w:rPr>
          <w:spacing w:val="-4"/>
        </w:rPr>
        <w:t> </w:t>
      </w:r>
      <w:r>
        <w:rPr/>
        <w:t>details,</w:t>
      </w:r>
      <w:r>
        <w:rPr>
          <w:spacing w:val="-3"/>
        </w:rPr>
        <w:t> </w:t>
      </w:r>
      <w:r>
        <w:rPr/>
        <w:t>and</w:t>
      </w:r>
      <w:r>
        <w:rPr>
          <w:spacing w:val="-3"/>
        </w:rPr>
        <w:t> </w:t>
      </w:r>
      <w:r>
        <w:rPr/>
        <w:t>related</w:t>
      </w:r>
      <w:r>
        <w:rPr>
          <w:spacing w:val="-3"/>
        </w:rPr>
        <w:t> </w:t>
      </w:r>
      <w:r>
        <w:rPr>
          <w:spacing w:val="-2"/>
        </w:rPr>
        <w:t>information:</w:t>
      </w:r>
    </w:p>
    <w:p>
      <w:pPr>
        <w:spacing w:line="193" w:lineRule="exact" w:before="136"/>
        <w:ind w:left="4952" w:right="0" w:firstLine="0"/>
        <w:jc w:val="left"/>
        <w:rPr>
          <w:sz w:val="18"/>
        </w:rPr>
      </w:pPr>
      <w:r>
        <w:rPr/>
        <mc:AlternateContent>
          <mc:Choice Requires="wps">
            <w:drawing>
              <wp:anchor distT="0" distB="0" distL="0" distR="0" allowOverlap="1" layoutInCell="1" locked="0" behindDoc="0" simplePos="0" relativeHeight="15731712">
                <wp:simplePos x="0" y="0"/>
                <wp:positionH relativeFrom="page">
                  <wp:posOffset>628650</wp:posOffset>
                </wp:positionH>
                <wp:positionV relativeFrom="paragraph">
                  <wp:posOffset>71772</wp:posOffset>
                </wp:positionV>
                <wp:extent cx="6515100" cy="635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6515100" cy="6350"/>
                          <a:chExt cx="6515100" cy="6350"/>
                        </a:xfrm>
                      </wpg:grpSpPr>
                      <wps:wsp>
                        <wps:cNvPr id="24" name="Graphic 24"/>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25" name="Graphic 25"/>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5.651406pt;width:513pt;height:.5pt;mso-position-horizontal-relative:page;mso-position-vertical-relative:paragraph;z-index:15731712" id="docshapegroup17" coordorigin="990,113" coordsize="10260,10">
                <v:shape style="position:absolute;left:990;top:118;width:10260;height:2" id="docshape18" coordorigin="990,118" coordsize="10260,0" path="m11250,118l990,118e" filled="true" fillcolor="#000000" stroked="false">
                  <v:path arrowok="t"/>
                  <v:fill opacity="0f" type="solid"/>
                </v:shape>
                <v:line style="position:absolute" from="990,118" to="11250,118" stroked="true" strokeweight=".5pt" strokecolor="#000000">
                  <v:stroke dashstyle="solid"/>
                </v:line>
                <w10:wrap type="none"/>
              </v:group>
            </w:pict>
          </mc:Fallback>
        </mc:AlternateContent>
      </w:r>
      <w:r>
        <w:rPr>
          <w:sz w:val="18"/>
        </w:rPr>
        <w:t>Three</w:t>
      </w:r>
      <w:r>
        <w:rPr>
          <w:spacing w:val="-1"/>
          <w:sz w:val="18"/>
        </w:rPr>
        <w:t> </w:t>
      </w:r>
      <w:r>
        <w:rPr>
          <w:sz w:val="18"/>
        </w:rPr>
        <w:t>Months</w:t>
      </w:r>
      <w:r>
        <w:rPr>
          <w:spacing w:val="-1"/>
          <w:sz w:val="18"/>
        </w:rPr>
        <w:t> </w:t>
      </w:r>
      <w:r>
        <w:rPr>
          <w:spacing w:val="-2"/>
          <w:sz w:val="18"/>
        </w:rPr>
        <w:t>Ended</w:t>
      </w:r>
    </w:p>
    <w:p>
      <w:pPr>
        <w:tabs>
          <w:tab w:pos="1914" w:val="left" w:leader="none"/>
        </w:tabs>
        <w:spacing w:line="218" w:lineRule="auto" w:before="0"/>
        <w:ind w:left="0" w:right="0" w:firstLine="0"/>
        <w:jc w:val="right"/>
        <w:rPr>
          <w:sz w:val="18"/>
        </w:rPr>
      </w:pPr>
      <w:r>
        <w:rPr/>
        <mc:AlternateContent>
          <mc:Choice Requires="wps">
            <w:drawing>
              <wp:anchor distT="0" distB="0" distL="0" distR="0" allowOverlap="1" layoutInCell="1" locked="0" behindDoc="0" simplePos="0" relativeHeight="15732224">
                <wp:simplePos x="0" y="0"/>
                <wp:positionH relativeFrom="page">
                  <wp:posOffset>590550</wp:posOffset>
                </wp:positionH>
                <wp:positionV relativeFrom="paragraph">
                  <wp:posOffset>141945</wp:posOffset>
                </wp:positionV>
                <wp:extent cx="6591300" cy="13176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591300" cy="13176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0"/>
                              <w:gridCol w:w="1061"/>
                              <w:gridCol w:w="1083"/>
                              <w:gridCol w:w="1349"/>
                              <w:gridCol w:w="820"/>
                              <w:gridCol w:w="872"/>
                              <w:gridCol w:w="898"/>
                            </w:tblGrid>
                            <w:tr>
                              <w:trPr>
                                <w:trHeight w:val="245" w:hRule="atLeast"/>
                              </w:trPr>
                              <w:tc>
                                <w:tcPr>
                                  <w:tcW w:w="4170" w:type="dxa"/>
                                  <w:tcBorders>
                                    <w:bottom w:val="single" w:sz="4" w:space="0" w:color="000000"/>
                                  </w:tcBorders>
                                </w:tcPr>
                                <w:p>
                                  <w:pPr>
                                    <w:pStyle w:val="TableParagraph"/>
                                    <w:rPr>
                                      <w:sz w:val="16"/>
                                    </w:rPr>
                                  </w:pPr>
                                </w:p>
                              </w:tc>
                              <w:tc>
                                <w:tcPr>
                                  <w:tcW w:w="1061" w:type="dxa"/>
                                  <w:tcBorders>
                                    <w:top w:val="single" w:sz="4" w:space="0" w:color="000000"/>
                                    <w:bottom w:val="single" w:sz="4" w:space="0" w:color="000000"/>
                                  </w:tcBorders>
                                </w:tcPr>
                                <w:p>
                                  <w:pPr>
                                    <w:pStyle w:val="TableParagraph"/>
                                    <w:spacing w:before="13"/>
                                    <w:ind w:left="337"/>
                                    <w:rPr>
                                      <w:sz w:val="18"/>
                                    </w:rPr>
                                  </w:pPr>
                                  <w:r>
                                    <w:rPr>
                                      <w:spacing w:val="-4"/>
                                      <w:sz w:val="18"/>
                                    </w:rPr>
                                    <w:t>2023</w:t>
                                  </w:r>
                                </w:p>
                              </w:tc>
                              <w:tc>
                                <w:tcPr>
                                  <w:tcW w:w="1083" w:type="dxa"/>
                                  <w:tcBorders>
                                    <w:top w:val="single" w:sz="4" w:space="0" w:color="000000"/>
                                    <w:bottom w:val="single" w:sz="4" w:space="0" w:color="000000"/>
                                  </w:tcBorders>
                                </w:tcPr>
                                <w:p>
                                  <w:pPr>
                                    <w:pStyle w:val="TableParagraph"/>
                                    <w:spacing w:before="13"/>
                                    <w:ind w:left="386"/>
                                    <w:rPr>
                                      <w:sz w:val="18"/>
                                    </w:rPr>
                                  </w:pPr>
                                  <w:r>
                                    <w:rPr>
                                      <w:spacing w:val="-4"/>
                                      <w:sz w:val="18"/>
                                    </w:rPr>
                                    <w:t>2022</w:t>
                                  </w:r>
                                </w:p>
                              </w:tc>
                              <w:tc>
                                <w:tcPr>
                                  <w:tcW w:w="1349" w:type="dxa"/>
                                  <w:tcBorders>
                                    <w:bottom w:val="single" w:sz="4" w:space="0" w:color="000000"/>
                                  </w:tcBorders>
                                </w:tcPr>
                                <w:p>
                                  <w:pPr>
                                    <w:pStyle w:val="TableParagraph"/>
                                    <w:spacing w:before="13"/>
                                    <w:ind w:left="318"/>
                                    <w:rPr>
                                      <w:sz w:val="18"/>
                                    </w:rPr>
                                  </w:pPr>
                                  <w:r>
                                    <w:rPr>
                                      <w:spacing w:val="-2"/>
                                      <w:sz w:val="18"/>
                                    </w:rPr>
                                    <w:t>Change</w:t>
                                  </w:r>
                                </w:p>
                              </w:tc>
                              <w:tc>
                                <w:tcPr>
                                  <w:tcW w:w="820" w:type="dxa"/>
                                  <w:tcBorders>
                                    <w:top w:val="single" w:sz="4" w:space="0" w:color="000000"/>
                                    <w:bottom w:val="single" w:sz="4" w:space="0" w:color="000000"/>
                                  </w:tcBorders>
                                </w:tcPr>
                                <w:p>
                                  <w:pPr>
                                    <w:pStyle w:val="TableParagraph"/>
                                    <w:spacing w:before="13"/>
                                    <w:ind w:left="99"/>
                                    <w:rPr>
                                      <w:sz w:val="18"/>
                                    </w:rPr>
                                  </w:pPr>
                                  <w:r>
                                    <w:rPr>
                                      <w:spacing w:val="-4"/>
                                      <w:sz w:val="18"/>
                                    </w:rPr>
                                    <w:t>2023</w:t>
                                  </w:r>
                                </w:p>
                              </w:tc>
                              <w:tc>
                                <w:tcPr>
                                  <w:tcW w:w="872" w:type="dxa"/>
                                  <w:tcBorders>
                                    <w:top w:val="single" w:sz="4" w:space="0" w:color="000000"/>
                                    <w:bottom w:val="single" w:sz="4" w:space="0" w:color="000000"/>
                                  </w:tcBorders>
                                </w:tcPr>
                                <w:p>
                                  <w:pPr>
                                    <w:pStyle w:val="TableParagraph"/>
                                    <w:spacing w:before="13"/>
                                    <w:ind w:left="284"/>
                                    <w:rPr>
                                      <w:sz w:val="18"/>
                                    </w:rPr>
                                  </w:pPr>
                                  <w:r>
                                    <w:rPr>
                                      <w:spacing w:val="-4"/>
                                      <w:sz w:val="18"/>
                                    </w:rPr>
                                    <w:t>2022</w:t>
                                  </w:r>
                                </w:p>
                              </w:tc>
                              <w:tc>
                                <w:tcPr>
                                  <w:tcW w:w="898" w:type="dxa"/>
                                  <w:tcBorders>
                                    <w:bottom w:val="single" w:sz="4" w:space="0" w:color="000000"/>
                                  </w:tcBorders>
                                </w:tcPr>
                                <w:p>
                                  <w:pPr>
                                    <w:pStyle w:val="TableParagraph"/>
                                    <w:spacing w:before="13"/>
                                    <w:ind w:left="217"/>
                                    <w:rPr>
                                      <w:sz w:val="18"/>
                                    </w:rPr>
                                  </w:pPr>
                                  <w:r>
                                    <w:rPr>
                                      <w:spacing w:val="-2"/>
                                      <w:sz w:val="18"/>
                                    </w:rPr>
                                    <w:t>Change</w:t>
                                  </w:r>
                                </w:p>
                              </w:tc>
                            </w:tr>
                            <w:tr>
                              <w:trPr>
                                <w:trHeight w:val="250" w:hRule="atLeast"/>
                              </w:trPr>
                              <w:tc>
                                <w:tcPr>
                                  <w:tcW w:w="4170" w:type="dxa"/>
                                  <w:tcBorders>
                                    <w:top w:val="single" w:sz="4" w:space="0" w:color="000000"/>
                                  </w:tcBorders>
                                  <w:shd w:val="clear" w:color="auto" w:fill="CCEDFF"/>
                                </w:tcPr>
                                <w:p>
                                  <w:pPr>
                                    <w:pStyle w:val="TableParagraph"/>
                                    <w:spacing w:before="13"/>
                                    <w:ind w:left="52"/>
                                    <w:rPr>
                                      <w:sz w:val="18"/>
                                    </w:rPr>
                                  </w:pPr>
                                  <w:r>
                                    <w:rPr>
                                      <w:spacing w:val="-2"/>
                                      <w:sz w:val="18"/>
                                    </w:rPr>
                                    <w:t>Commissions</w:t>
                                  </w:r>
                                </w:p>
                              </w:tc>
                              <w:tc>
                                <w:tcPr>
                                  <w:tcW w:w="1061" w:type="dxa"/>
                                  <w:tcBorders>
                                    <w:top w:val="single" w:sz="4" w:space="0" w:color="000000"/>
                                  </w:tcBorders>
                                  <w:shd w:val="clear" w:color="auto" w:fill="CCEDFF"/>
                                </w:tcPr>
                                <w:p>
                                  <w:pPr>
                                    <w:pStyle w:val="TableParagraph"/>
                                    <w:tabs>
                                      <w:tab w:pos="637" w:val="left" w:leader="none"/>
                                    </w:tabs>
                                    <w:spacing w:before="13"/>
                                    <w:ind w:right="98"/>
                                    <w:jc w:val="right"/>
                                    <w:rPr>
                                      <w:sz w:val="18"/>
                                    </w:rPr>
                                  </w:pPr>
                                  <w:r>
                                    <w:rPr>
                                      <w:spacing w:val="-10"/>
                                      <w:sz w:val="18"/>
                                    </w:rPr>
                                    <w:t>$</w:t>
                                  </w:r>
                                  <w:r>
                                    <w:rPr>
                                      <w:sz w:val="18"/>
                                    </w:rPr>
                                    <w:tab/>
                                  </w:r>
                                  <w:r>
                                    <w:rPr>
                                      <w:spacing w:val="-5"/>
                                      <w:sz w:val="18"/>
                                    </w:rPr>
                                    <w:t>394</w:t>
                                  </w:r>
                                </w:p>
                              </w:tc>
                              <w:tc>
                                <w:tcPr>
                                  <w:tcW w:w="1083" w:type="dxa"/>
                                  <w:tcBorders>
                                    <w:top w:val="single" w:sz="4" w:space="0" w:color="000000"/>
                                  </w:tcBorders>
                                  <w:shd w:val="clear" w:color="auto" w:fill="CCEDFF"/>
                                </w:tcPr>
                                <w:p>
                                  <w:pPr>
                                    <w:pStyle w:val="TableParagraph"/>
                                    <w:tabs>
                                      <w:tab w:pos="637" w:val="left" w:leader="none"/>
                                    </w:tabs>
                                    <w:spacing w:before="13"/>
                                    <w:ind w:right="71"/>
                                    <w:jc w:val="right"/>
                                    <w:rPr>
                                      <w:sz w:val="18"/>
                                    </w:rPr>
                                  </w:pPr>
                                  <w:r>
                                    <w:rPr>
                                      <w:spacing w:val="-10"/>
                                      <w:sz w:val="18"/>
                                    </w:rPr>
                                    <w:t>$</w:t>
                                  </w:r>
                                  <w:r>
                                    <w:rPr>
                                      <w:sz w:val="18"/>
                                    </w:rPr>
                                    <w:tab/>
                                  </w:r>
                                  <w:r>
                                    <w:rPr>
                                      <w:spacing w:val="-5"/>
                                      <w:sz w:val="18"/>
                                    </w:rPr>
                                    <w:t>435</w:t>
                                  </w:r>
                                </w:p>
                              </w:tc>
                              <w:tc>
                                <w:tcPr>
                                  <w:tcW w:w="1349" w:type="dxa"/>
                                  <w:tcBorders>
                                    <w:top w:val="single" w:sz="4" w:space="0" w:color="000000"/>
                                  </w:tcBorders>
                                  <w:shd w:val="clear" w:color="auto" w:fill="CCEDFF"/>
                                </w:tcPr>
                                <w:p>
                                  <w:pPr>
                                    <w:pStyle w:val="TableParagraph"/>
                                    <w:spacing w:before="13"/>
                                    <w:ind w:right="93"/>
                                    <w:jc w:val="right"/>
                                    <w:rPr>
                                      <w:sz w:val="18"/>
                                    </w:rPr>
                                  </w:pPr>
                                  <w:r>
                                    <w:rPr>
                                      <w:sz w:val="18"/>
                                    </w:rPr>
                                    <w:t>(9)%</w:t>
                                  </w:r>
                                  <w:r>
                                    <w:rPr>
                                      <w:spacing w:val="22"/>
                                      <w:sz w:val="18"/>
                                    </w:rPr>
                                    <w:t> </w:t>
                                  </w:r>
                                  <w:r>
                                    <w:rPr>
                                      <w:spacing w:val="-10"/>
                                      <w:sz w:val="18"/>
                                    </w:rPr>
                                    <w:t>$</w:t>
                                  </w:r>
                                </w:p>
                              </w:tc>
                              <w:tc>
                                <w:tcPr>
                                  <w:tcW w:w="820" w:type="dxa"/>
                                  <w:tcBorders>
                                    <w:top w:val="single" w:sz="4" w:space="0" w:color="000000"/>
                                  </w:tcBorders>
                                  <w:shd w:val="clear" w:color="auto" w:fill="CCEDFF"/>
                                </w:tcPr>
                                <w:p>
                                  <w:pPr>
                                    <w:pStyle w:val="TableParagraph"/>
                                    <w:spacing w:before="13"/>
                                    <w:ind w:right="95"/>
                                    <w:jc w:val="right"/>
                                    <w:rPr>
                                      <w:sz w:val="18"/>
                                    </w:rPr>
                                  </w:pPr>
                                  <w:r>
                                    <w:rPr>
                                      <w:spacing w:val="-2"/>
                                      <w:sz w:val="18"/>
                                    </w:rPr>
                                    <w:t>1,210</w:t>
                                  </w:r>
                                </w:p>
                              </w:tc>
                              <w:tc>
                                <w:tcPr>
                                  <w:tcW w:w="872" w:type="dxa"/>
                                  <w:tcBorders>
                                    <w:top w:val="single" w:sz="4" w:space="0" w:color="000000"/>
                                  </w:tcBorders>
                                  <w:shd w:val="clear" w:color="auto" w:fill="CCEDFF"/>
                                </w:tcPr>
                                <w:p>
                                  <w:pPr>
                                    <w:pStyle w:val="TableParagraph"/>
                                    <w:tabs>
                                      <w:tab w:pos="292" w:val="left" w:leader="none"/>
                                    </w:tabs>
                                    <w:spacing w:before="13"/>
                                    <w:ind w:right="67"/>
                                    <w:jc w:val="right"/>
                                    <w:rPr>
                                      <w:sz w:val="18"/>
                                    </w:rPr>
                                  </w:pPr>
                                  <w:r>
                                    <w:rPr>
                                      <w:spacing w:val="-10"/>
                                      <w:sz w:val="18"/>
                                    </w:rPr>
                                    <w:t>$</w:t>
                                  </w:r>
                                  <w:r>
                                    <w:rPr>
                                      <w:sz w:val="18"/>
                                    </w:rPr>
                                    <w:tab/>
                                  </w:r>
                                  <w:r>
                                    <w:rPr>
                                      <w:spacing w:val="-2"/>
                                      <w:sz w:val="18"/>
                                    </w:rPr>
                                    <w:t>1,362</w:t>
                                  </w:r>
                                </w:p>
                              </w:tc>
                              <w:tc>
                                <w:tcPr>
                                  <w:tcW w:w="898" w:type="dxa"/>
                                  <w:tcBorders>
                                    <w:top w:val="single" w:sz="4" w:space="0" w:color="000000"/>
                                  </w:tcBorders>
                                  <w:shd w:val="clear" w:color="auto" w:fill="CCEDFF"/>
                                </w:tcPr>
                                <w:p>
                                  <w:pPr>
                                    <w:pStyle w:val="TableParagraph"/>
                                    <w:spacing w:before="13"/>
                                    <w:ind w:right="5"/>
                                    <w:jc w:val="right"/>
                                    <w:rPr>
                                      <w:sz w:val="18"/>
                                    </w:rPr>
                                  </w:pPr>
                                  <w:r>
                                    <w:rPr>
                                      <w:spacing w:val="-2"/>
                                      <w:sz w:val="18"/>
                                    </w:rPr>
                                    <w:t>(11)%</w:t>
                                  </w:r>
                                </w:p>
                              </w:tc>
                            </w:tr>
                            <w:tr>
                              <w:trPr>
                                <w:trHeight w:val="255" w:hRule="atLeast"/>
                              </w:trPr>
                              <w:tc>
                                <w:tcPr>
                                  <w:tcW w:w="4170" w:type="dxa"/>
                                </w:tcPr>
                                <w:p>
                                  <w:pPr>
                                    <w:pStyle w:val="TableParagraph"/>
                                    <w:spacing w:before="18"/>
                                    <w:ind w:left="52"/>
                                    <w:rPr>
                                      <w:sz w:val="18"/>
                                    </w:rPr>
                                  </w:pPr>
                                  <w:r>
                                    <w:rPr>
                                      <w:sz w:val="18"/>
                                    </w:rPr>
                                    <w:t>Order</w:t>
                                  </w:r>
                                  <w:r>
                                    <w:rPr>
                                      <w:spacing w:val="-1"/>
                                      <w:sz w:val="18"/>
                                    </w:rPr>
                                    <w:t> </w:t>
                                  </w:r>
                                  <w:r>
                                    <w:rPr>
                                      <w:sz w:val="18"/>
                                    </w:rPr>
                                    <w:t>flow</w:t>
                                  </w:r>
                                  <w:r>
                                    <w:rPr>
                                      <w:spacing w:val="-1"/>
                                      <w:sz w:val="18"/>
                                    </w:rPr>
                                    <w:t> </w:t>
                                  </w:r>
                                  <w:r>
                                    <w:rPr>
                                      <w:spacing w:val="-2"/>
                                      <w:sz w:val="18"/>
                                    </w:rPr>
                                    <w:t>revenue</w:t>
                                  </w:r>
                                </w:p>
                              </w:tc>
                              <w:tc>
                                <w:tcPr>
                                  <w:tcW w:w="1061" w:type="dxa"/>
                                </w:tcPr>
                                <w:p>
                                  <w:pPr>
                                    <w:pStyle w:val="TableParagraph"/>
                                    <w:rPr>
                                      <w:sz w:val="18"/>
                                    </w:rPr>
                                  </w:pPr>
                                </w:p>
                              </w:tc>
                              <w:tc>
                                <w:tcPr>
                                  <w:tcW w:w="1083" w:type="dxa"/>
                                </w:tcPr>
                                <w:p>
                                  <w:pPr>
                                    <w:pStyle w:val="TableParagraph"/>
                                    <w:rPr>
                                      <w:sz w:val="18"/>
                                    </w:rPr>
                                  </w:pPr>
                                </w:p>
                              </w:tc>
                              <w:tc>
                                <w:tcPr>
                                  <w:tcW w:w="1349" w:type="dxa"/>
                                </w:tcPr>
                                <w:p>
                                  <w:pPr>
                                    <w:pStyle w:val="TableParagraph"/>
                                    <w:rPr>
                                      <w:sz w:val="18"/>
                                    </w:rPr>
                                  </w:pPr>
                                </w:p>
                              </w:tc>
                              <w:tc>
                                <w:tcPr>
                                  <w:tcW w:w="820" w:type="dxa"/>
                                </w:tcPr>
                                <w:p>
                                  <w:pPr>
                                    <w:pStyle w:val="TableParagraph"/>
                                    <w:rPr>
                                      <w:sz w:val="18"/>
                                    </w:rPr>
                                  </w:pPr>
                                </w:p>
                              </w:tc>
                              <w:tc>
                                <w:tcPr>
                                  <w:tcW w:w="872" w:type="dxa"/>
                                </w:tcPr>
                                <w:p>
                                  <w:pPr>
                                    <w:pStyle w:val="TableParagraph"/>
                                    <w:rPr>
                                      <w:sz w:val="18"/>
                                    </w:rPr>
                                  </w:pPr>
                                </w:p>
                              </w:tc>
                              <w:tc>
                                <w:tcPr>
                                  <w:tcW w:w="898" w:type="dxa"/>
                                </w:tcPr>
                                <w:p>
                                  <w:pPr>
                                    <w:pStyle w:val="TableParagraph"/>
                                    <w:rPr>
                                      <w:sz w:val="18"/>
                                    </w:rPr>
                                  </w:pPr>
                                </w:p>
                              </w:tc>
                            </w:tr>
                            <w:tr>
                              <w:trPr>
                                <w:trHeight w:val="255" w:hRule="atLeast"/>
                              </w:trPr>
                              <w:tc>
                                <w:tcPr>
                                  <w:tcW w:w="4170" w:type="dxa"/>
                                  <w:shd w:val="clear" w:color="auto" w:fill="CCEDFF"/>
                                </w:tcPr>
                                <w:p>
                                  <w:pPr>
                                    <w:pStyle w:val="TableParagraph"/>
                                    <w:spacing w:before="18"/>
                                    <w:ind w:left="172"/>
                                    <w:rPr>
                                      <w:sz w:val="18"/>
                                    </w:rPr>
                                  </w:pPr>
                                  <w:r>
                                    <w:rPr>
                                      <w:spacing w:val="-2"/>
                                      <w:sz w:val="18"/>
                                    </w:rPr>
                                    <w:t>Options</w:t>
                                  </w:r>
                                </w:p>
                              </w:tc>
                              <w:tc>
                                <w:tcPr>
                                  <w:tcW w:w="1061" w:type="dxa"/>
                                  <w:shd w:val="clear" w:color="auto" w:fill="CCEDFF"/>
                                </w:tcPr>
                                <w:p>
                                  <w:pPr>
                                    <w:pStyle w:val="TableParagraph"/>
                                    <w:spacing w:before="18"/>
                                    <w:ind w:right="98"/>
                                    <w:jc w:val="right"/>
                                    <w:rPr>
                                      <w:sz w:val="18"/>
                                    </w:rPr>
                                  </w:pPr>
                                  <w:r>
                                    <w:rPr>
                                      <w:spacing w:val="-5"/>
                                      <w:sz w:val="18"/>
                                    </w:rPr>
                                    <w:t>219</w:t>
                                  </w:r>
                                </w:p>
                              </w:tc>
                              <w:tc>
                                <w:tcPr>
                                  <w:tcW w:w="1083" w:type="dxa"/>
                                  <w:shd w:val="clear" w:color="auto" w:fill="CCEDFF"/>
                                </w:tcPr>
                                <w:p>
                                  <w:pPr>
                                    <w:pStyle w:val="TableParagraph"/>
                                    <w:spacing w:before="18"/>
                                    <w:ind w:right="71"/>
                                    <w:jc w:val="right"/>
                                    <w:rPr>
                                      <w:sz w:val="18"/>
                                    </w:rPr>
                                  </w:pPr>
                                  <w:r>
                                    <w:rPr>
                                      <w:spacing w:val="-5"/>
                                      <w:sz w:val="18"/>
                                    </w:rPr>
                                    <w:t>292</w:t>
                                  </w:r>
                                </w:p>
                              </w:tc>
                              <w:tc>
                                <w:tcPr>
                                  <w:tcW w:w="1349" w:type="dxa"/>
                                  <w:shd w:val="clear" w:color="auto" w:fill="CCEDFF"/>
                                </w:tcPr>
                                <w:p>
                                  <w:pPr>
                                    <w:pStyle w:val="TableParagraph"/>
                                    <w:spacing w:before="18"/>
                                    <w:ind w:left="646"/>
                                    <w:rPr>
                                      <w:sz w:val="18"/>
                                    </w:rPr>
                                  </w:pPr>
                                  <w:r>
                                    <w:rPr>
                                      <w:spacing w:val="-2"/>
                                      <w:sz w:val="18"/>
                                    </w:rPr>
                                    <w:t>(25)%</w:t>
                                  </w:r>
                                </w:p>
                              </w:tc>
                              <w:tc>
                                <w:tcPr>
                                  <w:tcW w:w="820" w:type="dxa"/>
                                  <w:shd w:val="clear" w:color="auto" w:fill="CCEDFF"/>
                                </w:tcPr>
                                <w:p>
                                  <w:pPr>
                                    <w:pStyle w:val="TableParagraph"/>
                                    <w:spacing w:before="18"/>
                                    <w:ind w:right="95"/>
                                    <w:jc w:val="right"/>
                                    <w:rPr>
                                      <w:sz w:val="18"/>
                                    </w:rPr>
                                  </w:pPr>
                                  <w:r>
                                    <w:rPr>
                                      <w:spacing w:val="-5"/>
                                      <w:sz w:val="18"/>
                                    </w:rPr>
                                    <w:t>751</w:t>
                                  </w:r>
                                </w:p>
                              </w:tc>
                              <w:tc>
                                <w:tcPr>
                                  <w:tcW w:w="872" w:type="dxa"/>
                                  <w:shd w:val="clear" w:color="auto" w:fill="CCEDFF"/>
                                </w:tcPr>
                                <w:p>
                                  <w:pPr>
                                    <w:pStyle w:val="TableParagraph"/>
                                    <w:spacing w:before="18"/>
                                    <w:ind w:right="67"/>
                                    <w:jc w:val="right"/>
                                    <w:rPr>
                                      <w:sz w:val="18"/>
                                    </w:rPr>
                                  </w:pPr>
                                  <w:r>
                                    <w:rPr>
                                      <w:spacing w:val="-5"/>
                                      <w:sz w:val="18"/>
                                    </w:rPr>
                                    <w:t>895</w:t>
                                  </w:r>
                                </w:p>
                              </w:tc>
                              <w:tc>
                                <w:tcPr>
                                  <w:tcW w:w="898" w:type="dxa"/>
                                  <w:shd w:val="clear" w:color="auto" w:fill="CCEDFF"/>
                                </w:tcPr>
                                <w:p>
                                  <w:pPr>
                                    <w:pStyle w:val="TableParagraph"/>
                                    <w:spacing w:before="18"/>
                                    <w:ind w:right="5"/>
                                    <w:jc w:val="right"/>
                                    <w:rPr>
                                      <w:sz w:val="18"/>
                                    </w:rPr>
                                  </w:pPr>
                                  <w:r>
                                    <w:rPr>
                                      <w:spacing w:val="-2"/>
                                      <w:sz w:val="18"/>
                                    </w:rPr>
                                    <w:t>(16)%</w:t>
                                  </w:r>
                                </w:p>
                              </w:tc>
                            </w:tr>
                            <w:tr>
                              <w:trPr>
                                <w:trHeight w:val="250" w:hRule="atLeast"/>
                              </w:trPr>
                              <w:tc>
                                <w:tcPr>
                                  <w:tcW w:w="4170" w:type="dxa"/>
                                  <w:tcBorders>
                                    <w:bottom w:val="single" w:sz="4" w:space="0" w:color="000000"/>
                                  </w:tcBorders>
                                </w:tcPr>
                                <w:p>
                                  <w:pPr>
                                    <w:pStyle w:val="TableParagraph"/>
                                    <w:spacing w:before="18"/>
                                    <w:ind w:left="172"/>
                                    <w:rPr>
                                      <w:sz w:val="18"/>
                                    </w:rPr>
                                  </w:pPr>
                                  <w:r>
                                    <w:rPr>
                                      <w:spacing w:val="-2"/>
                                      <w:sz w:val="18"/>
                                    </w:rPr>
                                    <w:t>Equities</w:t>
                                  </w:r>
                                </w:p>
                              </w:tc>
                              <w:tc>
                                <w:tcPr>
                                  <w:tcW w:w="1061" w:type="dxa"/>
                                  <w:tcBorders>
                                    <w:bottom w:val="single" w:sz="4" w:space="0" w:color="000000"/>
                                  </w:tcBorders>
                                </w:tcPr>
                                <w:p>
                                  <w:pPr>
                                    <w:pStyle w:val="TableParagraph"/>
                                    <w:spacing w:before="18"/>
                                    <w:ind w:right="98"/>
                                    <w:jc w:val="right"/>
                                    <w:rPr>
                                      <w:sz w:val="18"/>
                                    </w:rPr>
                                  </w:pPr>
                                  <w:r>
                                    <w:rPr>
                                      <w:spacing w:val="-5"/>
                                      <w:sz w:val="18"/>
                                    </w:rPr>
                                    <w:t>106</w:t>
                                  </w:r>
                                </w:p>
                              </w:tc>
                              <w:tc>
                                <w:tcPr>
                                  <w:tcW w:w="1083" w:type="dxa"/>
                                  <w:tcBorders>
                                    <w:bottom w:val="single" w:sz="4" w:space="0" w:color="000000"/>
                                  </w:tcBorders>
                                </w:tcPr>
                                <w:p>
                                  <w:pPr>
                                    <w:pStyle w:val="TableParagraph"/>
                                    <w:spacing w:before="18"/>
                                    <w:ind w:right="71"/>
                                    <w:jc w:val="right"/>
                                    <w:rPr>
                                      <w:sz w:val="18"/>
                                    </w:rPr>
                                  </w:pPr>
                                  <w:r>
                                    <w:rPr>
                                      <w:spacing w:val="-5"/>
                                      <w:sz w:val="18"/>
                                    </w:rPr>
                                    <w:t>140</w:t>
                                  </w:r>
                                </w:p>
                              </w:tc>
                              <w:tc>
                                <w:tcPr>
                                  <w:tcW w:w="1349" w:type="dxa"/>
                                  <w:tcBorders>
                                    <w:bottom w:val="single" w:sz="4" w:space="0" w:color="000000"/>
                                  </w:tcBorders>
                                </w:tcPr>
                                <w:p>
                                  <w:pPr>
                                    <w:pStyle w:val="TableParagraph"/>
                                    <w:spacing w:before="18"/>
                                    <w:ind w:left="646"/>
                                    <w:rPr>
                                      <w:sz w:val="18"/>
                                    </w:rPr>
                                  </w:pPr>
                                  <w:r>
                                    <w:rPr>
                                      <w:spacing w:val="-2"/>
                                      <w:sz w:val="18"/>
                                    </w:rPr>
                                    <w:t>(24)%</w:t>
                                  </w:r>
                                </w:p>
                              </w:tc>
                              <w:tc>
                                <w:tcPr>
                                  <w:tcW w:w="820" w:type="dxa"/>
                                  <w:tcBorders>
                                    <w:bottom w:val="single" w:sz="4" w:space="0" w:color="000000"/>
                                  </w:tcBorders>
                                </w:tcPr>
                                <w:p>
                                  <w:pPr>
                                    <w:pStyle w:val="TableParagraph"/>
                                    <w:spacing w:before="18"/>
                                    <w:ind w:right="95"/>
                                    <w:jc w:val="right"/>
                                    <w:rPr>
                                      <w:sz w:val="18"/>
                                    </w:rPr>
                                  </w:pPr>
                                  <w:r>
                                    <w:rPr>
                                      <w:spacing w:val="-5"/>
                                      <w:sz w:val="18"/>
                                    </w:rPr>
                                    <w:t>353</w:t>
                                  </w:r>
                                </w:p>
                              </w:tc>
                              <w:tc>
                                <w:tcPr>
                                  <w:tcW w:w="872" w:type="dxa"/>
                                  <w:tcBorders>
                                    <w:bottom w:val="single" w:sz="4" w:space="0" w:color="000000"/>
                                  </w:tcBorders>
                                </w:tcPr>
                                <w:p>
                                  <w:pPr>
                                    <w:pStyle w:val="TableParagraph"/>
                                    <w:spacing w:before="18"/>
                                    <w:ind w:right="67"/>
                                    <w:jc w:val="right"/>
                                    <w:rPr>
                                      <w:sz w:val="18"/>
                                    </w:rPr>
                                  </w:pPr>
                                  <w:r>
                                    <w:rPr>
                                      <w:spacing w:val="-5"/>
                                      <w:sz w:val="18"/>
                                    </w:rPr>
                                    <w:t>437</w:t>
                                  </w:r>
                                </w:p>
                              </w:tc>
                              <w:tc>
                                <w:tcPr>
                                  <w:tcW w:w="898" w:type="dxa"/>
                                  <w:tcBorders>
                                    <w:bottom w:val="single" w:sz="4" w:space="0" w:color="000000"/>
                                  </w:tcBorders>
                                </w:tcPr>
                                <w:p>
                                  <w:pPr>
                                    <w:pStyle w:val="TableParagraph"/>
                                    <w:spacing w:before="18"/>
                                    <w:ind w:right="5"/>
                                    <w:jc w:val="right"/>
                                    <w:rPr>
                                      <w:sz w:val="18"/>
                                    </w:rPr>
                                  </w:pPr>
                                  <w:r>
                                    <w:rPr>
                                      <w:spacing w:val="-2"/>
                                      <w:sz w:val="18"/>
                                    </w:rPr>
                                    <w:t>(19)%</w:t>
                                  </w:r>
                                </w:p>
                              </w:tc>
                            </w:tr>
                            <w:tr>
                              <w:trPr>
                                <w:trHeight w:val="250" w:hRule="atLeast"/>
                              </w:trPr>
                              <w:tc>
                                <w:tcPr>
                                  <w:tcW w:w="4170" w:type="dxa"/>
                                  <w:tcBorders>
                                    <w:top w:val="single" w:sz="4" w:space="0" w:color="000000"/>
                                  </w:tcBorders>
                                  <w:shd w:val="clear" w:color="auto" w:fill="CCEDFF"/>
                                </w:tcPr>
                                <w:p>
                                  <w:pPr>
                                    <w:pStyle w:val="TableParagraph"/>
                                    <w:spacing w:before="13"/>
                                    <w:ind w:left="292"/>
                                    <w:rPr>
                                      <w:sz w:val="18"/>
                                    </w:rPr>
                                  </w:pPr>
                                  <w:r>
                                    <w:rPr>
                                      <w:sz w:val="18"/>
                                    </w:rPr>
                                    <w:t>Total order flow</w:t>
                                  </w:r>
                                  <w:r>
                                    <w:rPr>
                                      <w:spacing w:val="-1"/>
                                      <w:sz w:val="18"/>
                                    </w:rPr>
                                    <w:t> </w:t>
                                  </w:r>
                                  <w:r>
                                    <w:rPr>
                                      <w:spacing w:val="-2"/>
                                      <w:sz w:val="18"/>
                                    </w:rPr>
                                    <w:t>revenue</w:t>
                                  </w:r>
                                </w:p>
                              </w:tc>
                              <w:tc>
                                <w:tcPr>
                                  <w:tcW w:w="1061" w:type="dxa"/>
                                  <w:tcBorders>
                                    <w:top w:val="single" w:sz="4" w:space="0" w:color="000000"/>
                                  </w:tcBorders>
                                  <w:shd w:val="clear" w:color="auto" w:fill="CCEDFF"/>
                                </w:tcPr>
                                <w:p>
                                  <w:pPr>
                                    <w:pStyle w:val="TableParagraph"/>
                                    <w:spacing w:before="13"/>
                                    <w:ind w:right="98"/>
                                    <w:jc w:val="right"/>
                                    <w:rPr>
                                      <w:sz w:val="18"/>
                                    </w:rPr>
                                  </w:pPr>
                                  <w:r>
                                    <w:rPr>
                                      <w:spacing w:val="-5"/>
                                      <w:sz w:val="18"/>
                                    </w:rPr>
                                    <w:t>325</w:t>
                                  </w:r>
                                </w:p>
                              </w:tc>
                              <w:tc>
                                <w:tcPr>
                                  <w:tcW w:w="1083" w:type="dxa"/>
                                  <w:tcBorders>
                                    <w:top w:val="single" w:sz="4" w:space="0" w:color="000000"/>
                                  </w:tcBorders>
                                  <w:shd w:val="clear" w:color="auto" w:fill="CCEDFF"/>
                                </w:tcPr>
                                <w:p>
                                  <w:pPr>
                                    <w:pStyle w:val="TableParagraph"/>
                                    <w:spacing w:before="13"/>
                                    <w:ind w:right="71"/>
                                    <w:jc w:val="right"/>
                                    <w:rPr>
                                      <w:sz w:val="18"/>
                                    </w:rPr>
                                  </w:pPr>
                                  <w:r>
                                    <w:rPr>
                                      <w:spacing w:val="-5"/>
                                      <w:sz w:val="18"/>
                                    </w:rPr>
                                    <w:t>432</w:t>
                                  </w:r>
                                </w:p>
                              </w:tc>
                              <w:tc>
                                <w:tcPr>
                                  <w:tcW w:w="1349" w:type="dxa"/>
                                  <w:tcBorders>
                                    <w:top w:val="single" w:sz="4" w:space="0" w:color="000000"/>
                                  </w:tcBorders>
                                  <w:shd w:val="clear" w:color="auto" w:fill="CCEDFF"/>
                                </w:tcPr>
                                <w:p>
                                  <w:pPr>
                                    <w:pStyle w:val="TableParagraph"/>
                                    <w:spacing w:before="13"/>
                                    <w:ind w:left="646"/>
                                    <w:rPr>
                                      <w:sz w:val="18"/>
                                    </w:rPr>
                                  </w:pPr>
                                  <w:r>
                                    <w:rPr>
                                      <w:spacing w:val="-2"/>
                                      <w:sz w:val="18"/>
                                    </w:rPr>
                                    <w:t>(25)%</w:t>
                                  </w:r>
                                </w:p>
                              </w:tc>
                              <w:tc>
                                <w:tcPr>
                                  <w:tcW w:w="820" w:type="dxa"/>
                                  <w:tcBorders>
                                    <w:top w:val="single" w:sz="4" w:space="0" w:color="000000"/>
                                  </w:tcBorders>
                                  <w:shd w:val="clear" w:color="auto" w:fill="CCEDFF"/>
                                </w:tcPr>
                                <w:p>
                                  <w:pPr>
                                    <w:pStyle w:val="TableParagraph"/>
                                    <w:spacing w:before="13"/>
                                    <w:ind w:right="95"/>
                                    <w:jc w:val="right"/>
                                    <w:rPr>
                                      <w:sz w:val="18"/>
                                    </w:rPr>
                                  </w:pPr>
                                  <w:r>
                                    <w:rPr>
                                      <w:spacing w:val="-2"/>
                                      <w:sz w:val="18"/>
                                    </w:rPr>
                                    <w:t>1,104</w:t>
                                  </w:r>
                                </w:p>
                              </w:tc>
                              <w:tc>
                                <w:tcPr>
                                  <w:tcW w:w="872" w:type="dxa"/>
                                  <w:tcBorders>
                                    <w:top w:val="single" w:sz="4" w:space="0" w:color="000000"/>
                                  </w:tcBorders>
                                  <w:shd w:val="clear" w:color="auto" w:fill="CCEDFF"/>
                                </w:tcPr>
                                <w:p>
                                  <w:pPr>
                                    <w:pStyle w:val="TableParagraph"/>
                                    <w:spacing w:before="13"/>
                                    <w:ind w:right="67"/>
                                    <w:jc w:val="right"/>
                                    <w:rPr>
                                      <w:sz w:val="18"/>
                                    </w:rPr>
                                  </w:pPr>
                                  <w:r>
                                    <w:rPr>
                                      <w:spacing w:val="-2"/>
                                      <w:sz w:val="18"/>
                                    </w:rPr>
                                    <w:t>1,332</w:t>
                                  </w:r>
                                </w:p>
                              </w:tc>
                              <w:tc>
                                <w:tcPr>
                                  <w:tcW w:w="898" w:type="dxa"/>
                                  <w:tcBorders>
                                    <w:top w:val="single" w:sz="4" w:space="0" w:color="000000"/>
                                  </w:tcBorders>
                                  <w:shd w:val="clear" w:color="auto" w:fill="CCEDFF"/>
                                </w:tcPr>
                                <w:p>
                                  <w:pPr>
                                    <w:pStyle w:val="TableParagraph"/>
                                    <w:spacing w:before="13"/>
                                    <w:ind w:right="5"/>
                                    <w:jc w:val="right"/>
                                    <w:rPr>
                                      <w:sz w:val="18"/>
                                    </w:rPr>
                                  </w:pPr>
                                  <w:r>
                                    <w:rPr>
                                      <w:spacing w:val="-2"/>
                                      <w:sz w:val="18"/>
                                    </w:rPr>
                                    <w:t>(17)%</w:t>
                                  </w:r>
                                </w:p>
                              </w:tc>
                            </w:tr>
                            <w:tr>
                              <w:trPr>
                                <w:trHeight w:val="250" w:hRule="atLeast"/>
                              </w:trPr>
                              <w:tc>
                                <w:tcPr>
                                  <w:tcW w:w="4170" w:type="dxa"/>
                                  <w:tcBorders>
                                    <w:bottom w:val="single" w:sz="4" w:space="0" w:color="000000"/>
                                  </w:tcBorders>
                                </w:tcPr>
                                <w:p>
                                  <w:pPr>
                                    <w:pStyle w:val="TableParagraph"/>
                                    <w:spacing w:before="18"/>
                                    <w:ind w:left="52"/>
                                    <w:rPr>
                                      <w:sz w:val="18"/>
                                    </w:rPr>
                                  </w:pPr>
                                  <w:r>
                                    <w:rPr>
                                      <w:sz w:val="18"/>
                                    </w:rPr>
                                    <w:t>Principal</w:t>
                                  </w:r>
                                  <w:r>
                                    <w:rPr>
                                      <w:spacing w:val="-1"/>
                                      <w:sz w:val="18"/>
                                    </w:rPr>
                                    <w:t> </w:t>
                                  </w:r>
                                  <w:r>
                                    <w:rPr>
                                      <w:spacing w:val="-2"/>
                                      <w:sz w:val="18"/>
                                    </w:rPr>
                                    <w:t>transactions</w:t>
                                  </w:r>
                                </w:p>
                              </w:tc>
                              <w:tc>
                                <w:tcPr>
                                  <w:tcW w:w="1061" w:type="dxa"/>
                                  <w:tcBorders>
                                    <w:bottom w:val="single" w:sz="4" w:space="0" w:color="000000"/>
                                  </w:tcBorders>
                                </w:tcPr>
                                <w:p>
                                  <w:pPr>
                                    <w:pStyle w:val="TableParagraph"/>
                                    <w:spacing w:before="18"/>
                                    <w:ind w:right="98"/>
                                    <w:jc w:val="right"/>
                                    <w:rPr>
                                      <w:sz w:val="18"/>
                                    </w:rPr>
                                  </w:pPr>
                                  <w:r>
                                    <w:rPr>
                                      <w:spacing w:val="-5"/>
                                      <w:sz w:val="18"/>
                                    </w:rPr>
                                    <w:t>49</w:t>
                                  </w:r>
                                </w:p>
                              </w:tc>
                              <w:tc>
                                <w:tcPr>
                                  <w:tcW w:w="1083" w:type="dxa"/>
                                  <w:tcBorders>
                                    <w:bottom w:val="single" w:sz="4" w:space="0" w:color="000000"/>
                                  </w:tcBorders>
                                </w:tcPr>
                                <w:p>
                                  <w:pPr>
                                    <w:pStyle w:val="TableParagraph"/>
                                    <w:spacing w:before="18"/>
                                    <w:ind w:right="71"/>
                                    <w:jc w:val="right"/>
                                    <w:rPr>
                                      <w:sz w:val="18"/>
                                    </w:rPr>
                                  </w:pPr>
                                  <w:r>
                                    <w:rPr>
                                      <w:spacing w:val="-5"/>
                                      <w:sz w:val="18"/>
                                    </w:rPr>
                                    <w:t>63</w:t>
                                  </w:r>
                                </w:p>
                              </w:tc>
                              <w:tc>
                                <w:tcPr>
                                  <w:tcW w:w="1349" w:type="dxa"/>
                                  <w:tcBorders>
                                    <w:bottom w:val="single" w:sz="4" w:space="0" w:color="000000"/>
                                  </w:tcBorders>
                                </w:tcPr>
                                <w:p>
                                  <w:pPr>
                                    <w:pStyle w:val="TableParagraph"/>
                                    <w:spacing w:before="18"/>
                                    <w:ind w:left="646"/>
                                    <w:rPr>
                                      <w:sz w:val="18"/>
                                    </w:rPr>
                                  </w:pPr>
                                  <w:r>
                                    <w:rPr>
                                      <w:spacing w:val="-2"/>
                                      <w:sz w:val="18"/>
                                    </w:rPr>
                                    <w:t>(22)%</w:t>
                                  </w:r>
                                </w:p>
                              </w:tc>
                              <w:tc>
                                <w:tcPr>
                                  <w:tcW w:w="820" w:type="dxa"/>
                                  <w:tcBorders>
                                    <w:bottom w:val="single" w:sz="4" w:space="0" w:color="000000"/>
                                  </w:tcBorders>
                                </w:tcPr>
                                <w:p>
                                  <w:pPr>
                                    <w:pStyle w:val="TableParagraph"/>
                                    <w:spacing w:before="18"/>
                                    <w:ind w:right="95"/>
                                    <w:jc w:val="right"/>
                                    <w:rPr>
                                      <w:sz w:val="18"/>
                                    </w:rPr>
                                  </w:pPr>
                                  <w:r>
                                    <w:rPr>
                                      <w:spacing w:val="-5"/>
                                      <w:sz w:val="18"/>
                                    </w:rPr>
                                    <w:t>149</w:t>
                                  </w:r>
                                </w:p>
                              </w:tc>
                              <w:tc>
                                <w:tcPr>
                                  <w:tcW w:w="872" w:type="dxa"/>
                                  <w:tcBorders>
                                    <w:bottom w:val="single" w:sz="4" w:space="0" w:color="000000"/>
                                  </w:tcBorders>
                                </w:tcPr>
                                <w:p>
                                  <w:pPr>
                                    <w:pStyle w:val="TableParagraph"/>
                                    <w:spacing w:before="18"/>
                                    <w:ind w:right="67"/>
                                    <w:jc w:val="right"/>
                                    <w:rPr>
                                      <w:sz w:val="18"/>
                                    </w:rPr>
                                  </w:pPr>
                                  <w:r>
                                    <w:rPr>
                                      <w:spacing w:val="-5"/>
                                      <w:sz w:val="18"/>
                                    </w:rPr>
                                    <w:t>84</w:t>
                                  </w:r>
                                </w:p>
                              </w:tc>
                              <w:tc>
                                <w:tcPr>
                                  <w:tcW w:w="898" w:type="dxa"/>
                                  <w:tcBorders>
                                    <w:bottom w:val="single" w:sz="4" w:space="0" w:color="000000"/>
                                  </w:tcBorders>
                                </w:tcPr>
                                <w:p>
                                  <w:pPr>
                                    <w:pStyle w:val="TableParagraph"/>
                                    <w:spacing w:before="18"/>
                                    <w:ind w:right="65"/>
                                    <w:jc w:val="right"/>
                                    <w:rPr>
                                      <w:sz w:val="18"/>
                                    </w:rPr>
                                  </w:pPr>
                                  <w:r>
                                    <w:rPr>
                                      <w:spacing w:val="-5"/>
                                      <w:sz w:val="18"/>
                                    </w:rPr>
                                    <w:t>77%</w:t>
                                  </w:r>
                                </w:p>
                              </w:tc>
                            </w:tr>
                            <w:tr>
                              <w:trPr>
                                <w:trHeight w:val="260" w:hRule="atLeast"/>
                              </w:trPr>
                              <w:tc>
                                <w:tcPr>
                                  <w:tcW w:w="4170" w:type="dxa"/>
                                  <w:tcBorders>
                                    <w:top w:val="single" w:sz="4" w:space="0" w:color="000000"/>
                                    <w:bottom w:val="single" w:sz="8" w:space="0" w:color="000000"/>
                                  </w:tcBorders>
                                  <w:shd w:val="clear" w:color="auto" w:fill="CCEDFF"/>
                                </w:tcPr>
                                <w:p>
                                  <w:pPr>
                                    <w:pStyle w:val="TableParagraph"/>
                                    <w:spacing w:before="13"/>
                                    <w:ind w:left="52"/>
                                    <w:rPr>
                                      <w:sz w:val="18"/>
                                    </w:rPr>
                                  </w:pPr>
                                  <w:r>
                                    <w:rPr>
                                      <w:sz w:val="18"/>
                                    </w:rPr>
                                    <w:t>Total trading </w:t>
                                  </w:r>
                                  <w:r>
                                    <w:rPr>
                                      <w:spacing w:val="-2"/>
                                      <w:sz w:val="18"/>
                                    </w:rPr>
                                    <w:t>revenue</w:t>
                                  </w:r>
                                </w:p>
                              </w:tc>
                              <w:tc>
                                <w:tcPr>
                                  <w:tcW w:w="1061" w:type="dxa"/>
                                  <w:tcBorders>
                                    <w:top w:val="single" w:sz="4" w:space="0" w:color="000000"/>
                                    <w:bottom w:val="single" w:sz="8" w:space="0" w:color="000000"/>
                                  </w:tcBorders>
                                  <w:shd w:val="clear" w:color="auto" w:fill="CCEDFF"/>
                                </w:tcPr>
                                <w:p>
                                  <w:pPr>
                                    <w:pStyle w:val="TableParagraph"/>
                                    <w:tabs>
                                      <w:tab w:pos="637" w:val="left" w:leader="none"/>
                                    </w:tabs>
                                    <w:spacing w:before="13"/>
                                    <w:ind w:right="98"/>
                                    <w:jc w:val="right"/>
                                    <w:rPr>
                                      <w:sz w:val="18"/>
                                    </w:rPr>
                                  </w:pPr>
                                  <w:r>
                                    <w:rPr>
                                      <w:spacing w:val="-10"/>
                                      <w:sz w:val="18"/>
                                    </w:rPr>
                                    <w:t>$</w:t>
                                  </w:r>
                                  <w:r>
                                    <w:rPr>
                                      <w:sz w:val="18"/>
                                    </w:rPr>
                                    <w:tab/>
                                  </w:r>
                                  <w:r>
                                    <w:rPr>
                                      <w:spacing w:val="-5"/>
                                      <w:sz w:val="18"/>
                                    </w:rPr>
                                    <w:t>768</w:t>
                                  </w:r>
                                </w:p>
                              </w:tc>
                              <w:tc>
                                <w:tcPr>
                                  <w:tcW w:w="1083" w:type="dxa"/>
                                  <w:tcBorders>
                                    <w:top w:val="single" w:sz="4" w:space="0" w:color="000000"/>
                                    <w:bottom w:val="single" w:sz="8" w:space="0" w:color="000000"/>
                                  </w:tcBorders>
                                  <w:shd w:val="clear" w:color="auto" w:fill="CCEDFF"/>
                                </w:tcPr>
                                <w:p>
                                  <w:pPr>
                                    <w:pStyle w:val="TableParagraph"/>
                                    <w:tabs>
                                      <w:tab w:pos="637" w:val="left" w:leader="none"/>
                                    </w:tabs>
                                    <w:spacing w:before="13"/>
                                    <w:ind w:right="71"/>
                                    <w:jc w:val="right"/>
                                    <w:rPr>
                                      <w:sz w:val="18"/>
                                    </w:rPr>
                                  </w:pPr>
                                  <w:r>
                                    <w:rPr>
                                      <w:spacing w:val="-10"/>
                                      <w:sz w:val="18"/>
                                    </w:rPr>
                                    <w:t>$</w:t>
                                  </w:r>
                                  <w:r>
                                    <w:rPr>
                                      <w:sz w:val="18"/>
                                    </w:rPr>
                                    <w:tab/>
                                  </w:r>
                                  <w:r>
                                    <w:rPr>
                                      <w:spacing w:val="-5"/>
                                      <w:sz w:val="18"/>
                                    </w:rPr>
                                    <w:t>930</w:t>
                                  </w:r>
                                </w:p>
                              </w:tc>
                              <w:tc>
                                <w:tcPr>
                                  <w:tcW w:w="1349" w:type="dxa"/>
                                  <w:tcBorders>
                                    <w:top w:val="single" w:sz="4" w:space="0" w:color="000000"/>
                                    <w:bottom w:val="single" w:sz="8" w:space="0" w:color="000000"/>
                                  </w:tcBorders>
                                  <w:shd w:val="clear" w:color="auto" w:fill="CCEDFF"/>
                                </w:tcPr>
                                <w:p>
                                  <w:pPr>
                                    <w:pStyle w:val="TableParagraph"/>
                                    <w:spacing w:before="13"/>
                                    <w:ind w:right="93"/>
                                    <w:jc w:val="right"/>
                                    <w:rPr>
                                      <w:sz w:val="18"/>
                                    </w:rPr>
                                  </w:pPr>
                                  <w:r>
                                    <w:rPr>
                                      <w:sz w:val="18"/>
                                    </w:rPr>
                                    <w:t>(17)%</w:t>
                                  </w:r>
                                  <w:r>
                                    <w:rPr>
                                      <w:spacing w:val="22"/>
                                      <w:sz w:val="18"/>
                                    </w:rPr>
                                    <w:t> </w:t>
                                  </w:r>
                                  <w:r>
                                    <w:rPr>
                                      <w:spacing w:val="-10"/>
                                      <w:sz w:val="18"/>
                                    </w:rPr>
                                    <w:t>$</w:t>
                                  </w:r>
                                </w:p>
                              </w:tc>
                              <w:tc>
                                <w:tcPr>
                                  <w:tcW w:w="820" w:type="dxa"/>
                                  <w:tcBorders>
                                    <w:top w:val="single" w:sz="4" w:space="0" w:color="000000"/>
                                    <w:bottom w:val="single" w:sz="8" w:space="0" w:color="000000"/>
                                  </w:tcBorders>
                                  <w:shd w:val="clear" w:color="auto" w:fill="CCEDFF"/>
                                </w:tcPr>
                                <w:p>
                                  <w:pPr>
                                    <w:pStyle w:val="TableParagraph"/>
                                    <w:spacing w:before="13"/>
                                    <w:ind w:right="95"/>
                                    <w:jc w:val="right"/>
                                    <w:rPr>
                                      <w:sz w:val="18"/>
                                    </w:rPr>
                                  </w:pPr>
                                  <w:r>
                                    <w:rPr>
                                      <w:spacing w:val="-2"/>
                                      <w:sz w:val="18"/>
                                    </w:rPr>
                                    <w:t>2,463</w:t>
                                  </w:r>
                                </w:p>
                              </w:tc>
                              <w:tc>
                                <w:tcPr>
                                  <w:tcW w:w="872" w:type="dxa"/>
                                  <w:tcBorders>
                                    <w:top w:val="single" w:sz="4" w:space="0" w:color="000000"/>
                                    <w:bottom w:val="single" w:sz="8" w:space="0" w:color="000000"/>
                                  </w:tcBorders>
                                  <w:shd w:val="clear" w:color="auto" w:fill="CCEDFF"/>
                                </w:tcPr>
                                <w:p>
                                  <w:pPr>
                                    <w:pStyle w:val="TableParagraph"/>
                                    <w:tabs>
                                      <w:tab w:pos="292" w:val="left" w:leader="none"/>
                                    </w:tabs>
                                    <w:spacing w:before="13"/>
                                    <w:ind w:right="67"/>
                                    <w:jc w:val="right"/>
                                    <w:rPr>
                                      <w:sz w:val="18"/>
                                    </w:rPr>
                                  </w:pPr>
                                  <w:r>
                                    <w:rPr>
                                      <w:spacing w:val="-10"/>
                                      <w:sz w:val="18"/>
                                    </w:rPr>
                                    <w:t>$</w:t>
                                  </w:r>
                                  <w:r>
                                    <w:rPr>
                                      <w:sz w:val="18"/>
                                    </w:rPr>
                                    <w:tab/>
                                  </w:r>
                                  <w:r>
                                    <w:rPr>
                                      <w:spacing w:val="-2"/>
                                      <w:sz w:val="18"/>
                                    </w:rPr>
                                    <w:t>2,778</w:t>
                                  </w:r>
                                </w:p>
                              </w:tc>
                              <w:tc>
                                <w:tcPr>
                                  <w:tcW w:w="898" w:type="dxa"/>
                                  <w:tcBorders>
                                    <w:top w:val="single" w:sz="4" w:space="0" w:color="000000"/>
                                    <w:bottom w:val="single" w:sz="8" w:space="0" w:color="000000"/>
                                  </w:tcBorders>
                                  <w:shd w:val="clear" w:color="auto" w:fill="CCEDFF"/>
                                </w:tcPr>
                                <w:p>
                                  <w:pPr>
                                    <w:pStyle w:val="TableParagraph"/>
                                    <w:spacing w:before="13"/>
                                    <w:ind w:right="5"/>
                                    <w:jc w:val="right"/>
                                    <w:rPr>
                                      <w:sz w:val="18"/>
                                    </w:rPr>
                                  </w:pPr>
                                  <w:r>
                                    <w:rPr>
                                      <w:spacing w:val="-2"/>
                                      <w:sz w:val="18"/>
                                    </w:rPr>
                                    <w:t>(11)%</w:t>
                                  </w:r>
                                </w:p>
                              </w:tc>
                            </w:tr>
                          </w:tbl>
                          <w:p>
                            <w:pPr>
                              <w:pStyle w:val="BodyText"/>
                            </w:pPr>
                          </w:p>
                        </w:txbxContent>
                      </wps:txbx>
                      <wps:bodyPr wrap="square" lIns="0" tIns="0" rIns="0" bIns="0" rtlCol="0">
                        <a:noAutofit/>
                      </wps:bodyPr>
                    </wps:wsp>
                  </a:graphicData>
                </a:graphic>
              </wp:anchor>
            </w:drawing>
          </mc:Choice>
          <mc:Fallback>
            <w:pict>
              <v:shape style="position:absolute;margin-left:46.5pt;margin-top:11.176846pt;width:519pt;height:103.75pt;mso-position-horizontal-relative:page;mso-position-vertical-relative:paragraph;z-index:15732224" type="#_x0000_t202" id="docshape1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0"/>
                        <w:gridCol w:w="1061"/>
                        <w:gridCol w:w="1083"/>
                        <w:gridCol w:w="1349"/>
                        <w:gridCol w:w="820"/>
                        <w:gridCol w:w="872"/>
                        <w:gridCol w:w="898"/>
                      </w:tblGrid>
                      <w:tr>
                        <w:trPr>
                          <w:trHeight w:val="245" w:hRule="atLeast"/>
                        </w:trPr>
                        <w:tc>
                          <w:tcPr>
                            <w:tcW w:w="4170" w:type="dxa"/>
                            <w:tcBorders>
                              <w:bottom w:val="single" w:sz="4" w:space="0" w:color="000000"/>
                            </w:tcBorders>
                          </w:tcPr>
                          <w:p>
                            <w:pPr>
                              <w:pStyle w:val="TableParagraph"/>
                              <w:rPr>
                                <w:sz w:val="16"/>
                              </w:rPr>
                            </w:pPr>
                          </w:p>
                        </w:tc>
                        <w:tc>
                          <w:tcPr>
                            <w:tcW w:w="1061" w:type="dxa"/>
                            <w:tcBorders>
                              <w:top w:val="single" w:sz="4" w:space="0" w:color="000000"/>
                              <w:bottom w:val="single" w:sz="4" w:space="0" w:color="000000"/>
                            </w:tcBorders>
                          </w:tcPr>
                          <w:p>
                            <w:pPr>
                              <w:pStyle w:val="TableParagraph"/>
                              <w:spacing w:before="13"/>
                              <w:ind w:left="337"/>
                              <w:rPr>
                                <w:sz w:val="18"/>
                              </w:rPr>
                            </w:pPr>
                            <w:r>
                              <w:rPr>
                                <w:spacing w:val="-4"/>
                                <w:sz w:val="18"/>
                              </w:rPr>
                              <w:t>2023</w:t>
                            </w:r>
                          </w:p>
                        </w:tc>
                        <w:tc>
                          <w:tcPr>
                            <w:tcW w:w="1083" w:type="dxa"/>
                            <w:tcBorders>
                              <w:top w:val="single" w:sz="4" w:space="0" w:color="000000"/>
                              <w:bottom w:val="single" w:sz="4" w:space="0" w:color="000000"/>
                            </w:tcBorders>
                          </w:tcPr>
                          <w:p>
                            <w:pPr>
                              <w:pStyle w:val="TableParagraph"/>
                              <w:spacing w:before="13"/>
                              <w:ind w:left="386"/>
                              <w:rPr>
                                <w:sz w:val="18"/>
                              </w:rPr>
                            </w:pPr>
                            <w:r>
                              <w:rPr>
                                <w:spacing w:val="-4"/>
                                <w:sz w:val="18"/>
                              </w:rPr>
                              <w:t>2022</w:t>
                            </w:r>
                          </w:p>
                        </w:tc>
                        <w:tc>
                          <w:tcPr>
                            <w:tcW w:w="1349" w:type="dxa"/>
                            <w:tcBorders>
                              <w:bottom w:val="single" w:sz="4" w:space="0" w:color="000000"/>
                            </w:tcBorders>
                          </w:tcPr>
                          <w:p>
                            <w:pPr>
                              <w:pStyle w:val="TableParagraph"/>
                              <w:spacing w:before="13"/>
                              <w:ind w:left="318"/>
                              <w:rPr>
                                <w:sz w:val="18"/>
                              </w:rPr>
                            </w:pPr>
                            <w:r>
                              <w:rPr>
                                <w:spacing w:val="-2"/>
                                <w:sz w:val="18"/>
                              </w:rPr>
                              <w:t>Change</w:t>
                            </w:r>
                          </w:p>
                        </w:tc>
                        <w:tc>
                          <w:tcPr>
                            <w:tcW w:w="820" w:type="dxa"/>
                            <w:tcBorders>
                              <w:top w:val="single" w:sz="4" w:space="0" w:color="000000"/>
                              <w:bottom w:val="single" w:sz="4" w:space="0" w:color="000000"/>
                            </w:tcBorders>
                          </w:tcPr>
                          <w:p>
                            <w:pPr>
                              <w:pStyle w:val="TableParagraph"/>
                              <w:spacing w:before="13"/>
                              <w:ind w:left="99"/>
                              <w:rPr>
                                <w:sz w:val="18"/>
                              </w:rPr>
                            </w:pPr>
                            <w:r>
                              <w:rPr>
                                <w:spacing w:val="-4"/>
                                <w:sz w:val="18"/>
                              </w:rPr>
                              <w:t>2023</w:t>
                            </w:r>
                          </w:p>
                        </w:tc>
                        <w:tc>
                          <w:tcPr>
                            <w:tcW w:w="872" w:type="dxa"/>
                            <w:tcBorders>
                              <w:top w:val="single" w:sz="4" w:space="0" w:color="000000"/>
                              <w:bottom w:val="single" w:sz="4" w:space="0" w:color="000000"/>
                            </w:tcBorders>
                          </w:tcPr>
                          <w:p>
                            <w:pPr>
                              <w:pStyle w:val="TableParagraph"/>
                              <w:spacing w:before="13"/>
                              <w:ind w:left="284"/>
                              <w:rPr>
                                <w:sz w:val="18"/>
                              </w:rPr>
                            </w:pPr>
                            <w:r>
                              <w:rPr>
                                <w:spacing w:val="-4"/>
                                <w:sz w:val="18"/>
                              </w:rPr>
                              <w:t>2022</w:t>
                            </w:r>
                          </w:p>
                        </w:tc>
                        <w:tc>
                          <w:tcPr>
                            <w:tcW w:w="898" w:type="dxa"/>
                            <w:tcBorders>
                              <w:bottom w:val="single" w:sz="4" w:space="0" w:color="000000"/>
                            </w:tcBorders>
                          </w:tcPr>
                          <w:p>
                            <w:pPr>
                              <w:pStyle w:val="TableParagraph"/>
                              <w:spacing w:before="13"/>
                              <w:ind w:left="217"/>
                              <w:rPr>
                                <w:sz w:val="18"/>
                              </w:rPr>
                            </w:pPr>
                            <w:r>
                              <w:rPr>
                                <w:spacing w:val="-2"/>
                                <w:sz w:val="18"/>
                              </w:rPr>
                              <w:t>Change</w:t>
                            </w:r>
                          </w:p>
                        </w:tc>
                      </w:tr>
                      <w:tr>
                        <w:trPr>
                          <w:trHeight w:val="250" w:hRule="atLeast"/>
                        </w:trPr>
                        <w:tc>
                          <w:tcPr>
                            <w:tcW w:w="4170" w:type="dxa"/>
                            <w:tcBorders>
                              <w:top w:val="single" w:sz="4" w:space="0" w:color="000000"/>
                            </w:tcBorders>
                            <w:shd w:val="clear" w:color="auto" w:fill="CCEDFF"/>
                          </w:tcPr>
                          <w:p>
                            <w:pPr>
                              <w:pStyle w:val="TableParagraph"/>
                              <w:spacing w:before="13"/>
                              <w:ind w:left="52"/>
                              <w:rPr>
                                <w:sz w:val="18"/>
                              </w:rPr>
                            </w:pPr>
                            <w:r>
                              <w:rPr>
                                <w:spacing w:val="-2"/>
                                <w:sz w:val="18"/>
                              </w:rPr>
                              <w:t>Commissions</w:t>
                            </w:r>
                          </w:p>
                        </w:tc>
                        <w:tc>
                          <w:tcPr>
                            <w:tcW w:w="1061" w:type="dxa"/>
                            <w:tcBorders>
                              <w:top w:val="single" w:sz="4" w:space="0" w:color="000000"/>
                            </w:tcBorders>
                            <w:shd w:val="clear" w:color="auto" w:fill="CCEDFF"/>
                          </w:tcPr>
                          <w:p>
                            <w:pPr>
                              <w:pStyle w:val="TableParagraph"/>
                              <w:tabs>
                                <w:tab w:pos="637" w:val="left" w:leader="none"/>
                              </w:tabs>
                              <w:spacing w:before="13"/>
                              <w:ind w:right="98"/>
                              <w:jc w:val="right"/>
                              <w:rPr>
                                <w:sz w:val="18"/>
                              </w:rPr>
                            </w:pPr>
                            <w:r>
                              <w:rPr>
                                <w:spacing w:val="-10"/>
                                <w:sz w:val="18"/>
                              </w:rPr>
                              <w:t>$</w:t>
                            </w:r>
                            <w:r>
                              <w:rPr>
                                <w:sz w:val="18"/>
                              </w:rPr>
                              <w:tab/>
                            </w:r>
                            <w:r>
                              <w:rPr>
                                <w:spacing w:val="-5"/>
                                <w:sz w:val="18"/>
                              </w:rPr>
                              <w:t>394</w:t>
                            </w:r>
                          </w:p>
                        </w:tc>
                        <w:tc>
                          <w:tcPr>
                            <w:tcW w:w="1083" w:type="dxa"/>
                            <w:tcBorders>
                              <w:top w:val="single" w:sz="4" w:space="0" w:color="000000"/>
                            </w:tcBorders>
                            <w:shd w:val="clear" w:color="auto" w:fill="CCEDFF"/>
                          </w:tcPr>
                          <w:p>
                            <w:pPr>
                              <w:pStyle w:val="TableParagraph"/>
                              <w:tabs>
                                <w:tab w:pos="637" w:val="left" w:leader="none"/>
                              </w:tabs>
                              <w:spacing w:before="13"/>
                              <w:ind w:right="71"/>
                              <w:jc w:val="right"/>
                              <w:rPr>
                                <w:sz w:val="18"/>
                              </w:rPr>
                            </w:pPr>
                            <w:r>
                              <w:rPr>
                                <w:spacing w:val="-10"/>
                                <w:sz w:val="18"/>
                              </w:rPr>
                              <w:t>$</w:t>
                            </w:r>
                            <w:r>
                              <w:rPr>
                                <w:sz w:val="18"/>
                              </w:rPr>
                              <w:tab/>
                            </w:r>
                            <w:r>
                              <w:rPr>
                                <w:spacing w:val="-5"/>
                                <w:sz w:val="18"/>
                              </w:rPr>
                              <w:t>435</w:t>
                            </w:r>
                          </w:p>
                        </w:tc>
                        <w:tc>
                          <w:tcPr>
                            <w:tcW w:w="1349" w:type="dxa"/>
                            <w:tcBorders>
                              <w:top w:val="single" w:sz="4" w:space="0" w:color="000000"/>
                            </w:tcBorders>
                            <w:shd w:val="clear" w:color="auto" w:fill="CCEDFF"/>
                          </w:tcPr>
                          <w:p>
                            <w:pPr>
                              <w:pStyle w:val="TableParagraph"/>
                              <w:spacing w:before="13"/>
                              <w:ind w:right="93"/>
                              <w:jc w:val="right"/>
                              <w:rPr>
                                <w:sz w:val="18"/>
                              </w:rPr>
                            </w:pPr>
                            <w:r>
                              <w:rPr>
                                <w:sz w:val="18"/>
                              </w:rPr>
                              <w:t>(9)%</w:t>
                            </w:r>
                            <w:r>
                              <w:rPr>
                                <w:spacing w:val="22"/>
                                <w:sz w:val="18"/>
                              </w:rPr>
                              <w:t> </w:t>
                            </w:r>
                            <w:r>
                              <w:rPr>
                                <w:spacing w:val="-10"/>
                                <w:sz w:val="18"/>
                              </w:rPr>
                              <w:t>$</w:t>
                            </w:r>
                          </w:p>
                        </w:tc>
                        <w:tc>
                          <w:tcPr>
                            <w:tcW w:w="820" w:type="dxa"/>
                            <w:tcBorders>
                              <w:top w:val="single" w:sz="4" w:space="0" w:color="000000"/>
                            </w:tcBorders>
                            <w:shd w:val="clear" w:color="auto" w:fill="CCEDFF"/>
                          </w:tcPr>
                          <w:p>
                            <w:pPr>
                              <w:pStyle w:val="TableParagraph"/>
                              <w:spacing w:before="13"/>
                              <w:ind w:right="95"/>
                              <w:jc w:val="right"/>
                              <w:rPr>
                                <w:sz w:val="18"/>
                              </w:rPr>
                            </w:pPr>
                            <w:r>
                              <w:rPr>
                                <w:spacing w:val="-2"/>
                                <w:sz w:val="18"/>
                              </w:rPr>
                              <w:t>1,210</w:t>
                            </w:r>
                          </w:p>
                        </w:tc>
                        <w:tc>
                          <w:tcPr>
                            <w:tcW w:w="872" w:type="dxa"/>
                            <w:tcBorders>
                              <w:top w:val="single" w:sz="4" w:space="0" w:color="000000"/>
                            </w:tcBorders>
                            <w:shd w:val="clear" w:color="auto" w:fill="CCEDFF"/>
                          </w:tcPr>
                          <w:p>
                            <w:pPr>
                              <w:pStyle w:val="TableParagraph"/>
                              <w:tabs>
                                <w:tab w:pos="292" w:val="left" w:leader="none"/>
                              </w:tabs>
                              <w:spacing w:before="13"/>
                              <w:ind w:right="67"/>
                              <w:jc w:val="right"/>
                              <w:rPr>
                                <w:sz w:val="18"/>
                              </w:rPr>
                            </w:pPr>
                            <w:r>
                              <w:rPr>
                                <w:spacing w:val="-10"/>
                                <w:sz w:val="18"/>
                              </w:rPr>
                              <w:t>$</w:t>
                            </w:r>
                            <w:r>
                              <w:rPr>
                                <w:sz w:val="18"/>
                              </w:rPr>
                              <w:tab/>
                            </w:r>
                            <w:r>
                              <w:rPr>
                                <w:spacing w:val="-2"/>
                                <w:sz w:val="18"/>
                              </w:rPr>
                              <w:t>1,362</w:t>
                            </w:r>
                          </w:p>
                        </w:tc>
                        <w:tc>
                          <w:tcPr>
                            <w:tcW w:w="898" w:type="dxa"/>
                            <w:tcBorders>
                              <w:top w:val="single" w:sz="4" w:space="0" w:color="000000"/>
                            </w:tcBorders>
                            <w:shd w:val="clear" w:color="auto" w:fill="CCEDFF"/>
                          </w:tcPr>
                          <w:p>
                            <w:pPr>
                              <w:pStyle w:val="TableParagraph"/>
                              <w:spacing w:before="13"/>
                              <w:ind w:right="5"/>
                              <w:jc w:val="right"/>
                              <w:rPr>
                                <w:sz w:val="18"/>
                              </w:rPr>
                            </w:pPr>
                            <w:r>
                              <w:rPr>
                                <w:spacing w:val="-2"/>
                                <w:sz w:val="18"/>
                              </w:rPr>
                              <w:t>(11)%</w:t>
                            </w:r>
                          </w:p>
                        </w:tc>
                      </w:tr>
                      <w:tr>
                        <w:trPr>
                          <w:trHeight w:val="255" w:hRule="atLeast"/>
                        </w:trPr>
                        <w:tc>
                          <w:tcPr>
                            <w:tcW w:w="4170" w:type="dxa"/>
                          </w:tcPr>
                          <w:p>
                            <w:pPr>
                              <w:pStyle w:val="TableParagraph"/>
                              <w:spacing w:before="18"/>
                              <w:ind w:left="52"/>
                              <w:rPr>
                                <w:sz w:val="18"/>
                              </w:rPr>
                            </w:pPr>
                            <w:r>
                              <w:rPr>
                                <w:sz w:val="18"/>
                              </w:rPr>
                              <w:t>Order</w:t>
                            </w:r>
                            <w:r>
                              <w:rPr>
                                <w:spacing w:val="-1"/>
                                <w:sz w:val="18"/>
                              </w:rPr>
                              <w:t> </w:t>
                            </w:r>
                            <w:r>
                              <w:rPr>
                                <w:sz w:val="18"/>
                              </w:rPr>
                              <w:t>flow</w:t>
                            </w:r>
                            <w:r>
                              <w:rPr>
                                <w:spacing w:val="-1"/>
                                <w:sz w:val="18"/>
                              </w:rPr>
                              <w:t> </w:t>
                            </w:r>
                            <w:r>
                              <w:rPr>
                                <w:spacing w:val="-2"/>
                                <w:sz w:val="18"/>
                              </w:rPr>
                              <w:t>revenue</w:t>
                            </w:r>
                          </w:p>
                        </w:tc>
                        <w:tc>
                          <w:tcPr>
                            <w:tcW w:w="1061" w:type="dxa"/>
                          </w:tcPr>
                          <w:p>
                            <w:pPr>
                              <w:pStyle w:val="TableParagraph"/>
                              <w:rPr>
                                <w:sz w:val="18"/>
                              </w:rPr>
                            </w:pPr>
                          </w:p>
                        </w:tc>
                        <w:tc>
                          <w:tcPr>
                            <w:tcW w:w="1083" w:type="dxa"/>
                          </w:tcPr>
                          <w:p>
                            <w:pPr>
                              <w:pStyle w:val="TableParagraph"/>
                              <w:rPr>
                                <w:sz w:val="18"/>
                              </w:rPr>
                            </w:pPr>
                          </w:p>
                        </w:tc>
                        <w:tc>
                          <w:tcPr>
                            <w:tcW w:w="1349" w:type="dxa"/>
                          </w:tcPr>
                          <w:p>
                            <w:pPr>
                              <w:pStyle w:val="TableParagraph"/>
                              <w:rPr>
                                <w:sz w:val="18"/>
                              </w:rPr>
                            </w:pPr>
                          </w:p>
                        </w:tc>
                        <w:tc>
                          <w:tcPr>
                            <w:tcW w:w="820" w:type="dxa"/>
                          </w:tcPr>
                          <w:p>
                            <w:pPr>
                              <w:pStyle w:val="TableParagraph"/>
                              <w:rPr>
                                <w:sz w:val="18"/>
                              </w:rPr>
                            </w:pPr>
                          </w:p>
                        </w:tc>
                        <w:tc>
                          <w:tcPr>
                            <w:tcW w:w="872" w:type="dxa"/>
                          </w:tcPr>
                          <w:p>
                            <w:pPr>
                              <w:pStyle w:val="TableParagraph"/>
                              <w:rPr>
                                <w:sz w:val="18"/>
                              </w:rPr>
                            </w:pPr>
                          </w:p>
                        </w:tc>
                        <w:tc>
                          <w:tcPr>
                            <w:tcW w:w="898" w:type="dxa"/>
                          </w:tcPr>
                          <w:p>
                            <w:pPr>
                              <w:pStyle w:val="TableParagraph"/>
                              <w:rPr>
                                <w:sz w:val="18"/>
                              </w:rPr>
                            </w:pPr>
                          </w:p>
                        </w:tc>
                      </w:tr>
                      <w:tr>
                        <w:trPr>
                          <w:trHeight w:val="255" w:hRule="atLeast"/>
                        </w:trPr>
                        <w:tc>
                          <w:tcPr>
                            <w:tcW w:w="4170" w:type="dxa"/>
                            <w:shd w:val="clear" w:color="auto" w:fill="CCEDFF"/>
                          </w:tcPr>
                          <w:p>
                            <w:pPr>
                              <w:pStyle w:val="TableParagraph"/>
                              <w:spacing w:before="18"/>
                              <w:ind w:left="172"/>
                              <w:rPr>
                                <w:sz w:val="18"/>
                              </w:rPr>
                            </w:pPr>
                            <w:r>
                              <w:rPr>
                                <w:spacing w:val="-2"/>
                                <w:sz w:val="18"/>
                              </w:rPr>
                              <w:t>Options</w:t>
                            </w:r>
                          </w:p>
                        </w:tc>
                        <w:tc>
                          <w:tcPr>
                            <w:tcW w:w="1061" w:type="dxa"/>
                            <w:shd w:val="clear" w:color="auto" w:fill="CCEDFF"/>
                          </w:tcPr>
                          <w:p>
                            <w:pPr>
                              <w:pStyle w:val="TableParagraph"/>
                              <w:spacing w:before="18"/>
                              <w:ind w:right="98"/>
                              <w:jc w:val="right"/>
                              <w:rPr>
                                <w:sz w:val="18"/>
                              </w:rPr>
                            </w:pPr>
                            <w:r>
                              <w:rPr>
                                <w:spacing w:val="-5"/>
                                <w:sz w:val="18"/>
                              </w:rPr>
                              <w:t>219</w:t>
                            </w:r>
                          </w:p>
                        </w:tc>
                        <w:tc>
                          <w:tcPr>
                            <w:tcW w:w="1083" w:type="dxa"/>
                            <w:shd w:val="clear" w:color="auto" w:fill="CCEDFF"/>
                          </w:tcPr>
                          <w:p>
                            <w:pPr>
                              <w:pStyle w:val="TableParagraph"/>
                              <w:spacing w:before="18"/>
                              <w:ind w:right="71"/>
                              <w:jc w:val="right"/>
                              <w:rPr>
                                <w:sz w:val="18"/>
                              </w:rPr>
                            </w:pPr>
                            <w:r>
                              <w:rPr>
                                <w:spacing w:val="-5"/>
                                <w:sz w:val="18"/>
                              </w:rPr>
                              <w:t>292</w:t>
                            </w:r>
                          </w:p>
                        </w:tc>
                        <w:tc>
                          <w:tcPr>
                            <w:tcW w:w="1349" w:type="dxa"/>
                            <w:shd w:val="clear" w:color="auto" w:fill="CCEDFF"/>
                          </w:tcPr>
                          <w:p>
                            <w:pPr>
                              <w:pStyle w:val="TableParagraph"/>
                              <w:spacing w:before="18"/>
                              <w:ind w:left="646"/>
                              <w:rPr>
                                <w:sz w:val="18"/>
                              </w:rPr>
                            </w:pPr>
                            <w:r>
                              <w:rPr>
                                <w:spacing w:val="-2"/>
                                <w:sz w:val="18"/>
                              </w:rPr>
                              <w:t>(25)%</w:t>
                            </w:r>
                          </w:p>
                        </w:tc>
                        <w:tc>
                          <w:tcPr>
                            <w:tcW w:w="820" w:type="dxa"/>
                            <w:shd w:val="clear" w:color="auto" w:fill="CCEDFF"/>
                          </w:tcPr>
                          <w:p>
                            <w:pPr>
                              <w:pStyle w:val="TableParagraph"/>
                              <w:spacing w:before="18"/>
                              <w:ind w:right="95"/>
                              <w:jc w:val="right"/>
                              <w:rPr>
                                <w:sz w:val="18"/>
                              </w:rPr>
                            </w:pPr>
                            <w:r>
                              <w:rPr>
                                <w:spacing w:val="-5"/>
                                <w:sz w:val="18"/>
                              </w:rPr>
                              <w:t>751</w:t>
                            </w:r>
                          </w:p>
                        </w:tc>
                        <w:tc>
                          <w:tcPr>
                            <w:tcW w:w="872" w:type="dxa"/>
                            <w:shd w:val="clear" w:color="auto" w:fill="CCEDFF"/>
                          </w:tcPr>
                          <w:p>
                            <w:pPr>
                              <w:pStyle w:val="TableParagraph"/>
                              <w:spacing w:before="18"/>
                              <w:ind w:right="67"/>
                              <w:jc w:val="right"/>
                              <w:rPr>
                                <w:sz w:val="18"/>
                              </w:rPr>
                            </w:pPr>
                            <w:r>
                              <w:rPr>
                                <w:spacing w:val="-5"/>
                                <w:sz w:val="18"/>
                              </w:rPr>
                              <w:t>895</w:t>
                            </w:r>
                          </w:p>
                        </w:tc>
                        <w:tc>
                          <w:tcPr>
                            <w:tcW w:w="898" w:type="dxa"/>
                            <w:shd w:val="clear" w:color="auto" w:fill="CCEDFF"/>
                          </w:tcPr>
                          <w:p>
                            <w:pPr>
                              <w:pStyle w:val="TableParagraph"/>
                              <w:spacing w:before="18"/>
                              <w:ind w:right="5"/>
                              <w:jc w:val="right"/>
                              <w:rPr>
                                <w:sz w:val="18"/>
                              </w:rPr>
                            </w:pPr>
                            <w:r>
                              <w:rPr>
                                <w:spacing w:val="-2"/>
                                <w:sz w:val="18"/>
                              </w:rPr>
                              <w:t>(16)%</w:t>
                            </w:r>
                          </w:p>
                        </w:tc>
                      </w:tr>
                      <w:tr>
                        <w:trPr>
                          <w:trHeight w:val="250" w:hRule="atLeast"/>
                        </w:trPr>
                        <w:tc>
                          <w:tcPr>
                            <w:tcW w:w="4170" w:type="dxa"/>
                            <w:tcBorders>
                              <w:bottom w:val="single" w:sz="4" w:space="0" w:color="000000"/>
                            </w:tcBorders>
                          </w:tcPr>
                          <w:p>
                            <w:pPr>
                              <w:pStyle w:val="TableParagraph"/>
                              <w:spacing w:before="18"/>
                              <w:ind w:left="172"/>
                              <w:rPr>
                                <w:sz w:val="18"/>
                              </w:rPr>
                            </w:pPr>
                            <w:r>
                              <w:rPr>
                                <w:spacing w:val="-2"/>
                                <w:sz w:val="18"/>
                              </w:rPr>
                              <w:t>Equities</w:t>
                            </w:r>
                          </w:p>
                        </w:tc>
                        <w:tc>
                          <w:tcPr>
                            <w:tcW w:w="1061" w:type="dxa"/>
                            <w:tcBorders>
                              <w:bottom w:val="single" w:sz="4" w:space="0" w:color="000000"/>
                            </w:tcBorders>
                          </w:tcPr>
                          <w:p>
                            <w:pPr>
                              <w:pStyle w:val="TableParagraph"/>
                              <w:spacing w:before="18"/>
                              <w:ind w:right="98"/>
                              <w:jc w:val="right"/>
                              <w:rPr>
                                <w:sz w:val="18"/>
                              </w:rPr>
                            </w:pPr>
                            <w:r>
                              <w:rPr>
                                <w:spacing w:val="-5"/>
                                <w:sz w:val="18"/>
                              </w:rPr>
                              <w:t>106</w:t>
                            </w:r>
                          </w:p>
                        </w:tc>
                        <w:tc>
                          <w:tcPr>
                            <w:tcW w:w="1083" w:type="dxa"/>
                            <w:tcBorders>
                              <w:bottom w:val="single" w:sz="4" w:space="0" w:color="000000"/>
                            </w:tcBorders>
                          </w:tcPr>
                          <w:p>
                            <w:pPr>
                              <w:pStyle w:val="TableParagraph"/>
                              <w:spacing w:before="18"/>
                              <w:ind w:right="71"/>
                              <w:jc w:val="right"/>
                              <w:rPr>
                                <w:sz w:val="18"/>
                              </w:rPr>
                            </w:pPr>
                            <w:r>
                              <w:rPr>
                                <w:spacing w:val="-5"/>
                                <w:sz w:val="18"/>
                              </w:rPr>
                              <w:t>140</w:t>
                            </w:r>
                          </w:p>
                        </w:tc>
                        <w:tc>
                          <w:tcPr>
                            <w:tcW w:w="1349" w:type="dxa"/>
                            <w:tcBorders>
                              <w:bottom w:val="single" w:sz="4" w:space="0" w:color="000000"/>
                            </w:tcBorders>
                          </w:tcPr>
                          <w:p>
                            <w:pPr>
                              <w:pStyle w:val="TableParagraph"/>
                              <w:spacing w:before="18"/>
                              <w:ind w:left="646"/>
                              <w:rPr>
                                <w:sz w:val="18"/>
                              </w:rPr>
                            </w:pPr>
                            <w:r>
                              <w:rPr>
                                <w:spacing w:val="-2"/>
                                <w:sz w:val="18"/>
                              </w:rPr>
                              <w:t>(24)%</w:t>
                            </w:r>
                          </w:p>
                        </w:tc>
                        <w:tc>
                          <w:tcPr>
                            <w:tcW w:w="820" w:type="dxa"/>
                            <w:tcBorders>
                              <w:bottom w:val="single" w:sz="4" w:space="0" w:color="000000"/>
                            </w:tcBorders>
                          </w:tcPr>
                          <w:p>
                            <w:pPr>
                              <w:pStyle w:val="TableParagraph"/>
                              <w:spacing w:before="18"/>
                              <w:ind w:right="95"/>
                              <w:jc w:val="right"/>
                              <w:rPr>
                                <w:sz w:val="18"/>
                              </w:rPr>
                            </w:pPr>
                            <w:r>
                              <w:rPr>
                                <w:spacing w:val="-5"/>
                                <w:sz w:val="18"/>
                              </w:rPr>
                              <w:t>353</w:t>
                            </w:r>
                          </w:p>
                        </w:tc>
                        <w:tc>
                          <w:tcPr>
                            <w:tcW w:w="872" w:type="dxa"/>
                            <w:tcBorders>
                              <w:bottom w:val="single" w:sz="4" w:space="0" w:color="000000"/>
                            </w:tcBorders>
                          </w:tcPr>
                          <w:p>
                            <w:pPr>
                              <w:pStyle w:val="TableParagraph"/>
                              <w:spacing w:before="18"/>
                              <w:ind w:right="67"/>
                              <w:jc w:val="right"/>
                              <w:rPr>
                                <w:sz w:val="18"/>
                              </w:rPr>
                            </w:pPr>
                            <w:r>
                              <w:rPr>
                                <w:spacing w:val="-5"/>
                                <w:sz w:val="18"/>
                              </w:rPr>
                              <w:t>437</w:t>
                            </w:r>
                          </w:p>
                        </w:tc>
                        <w:tc>
                          <w:tcPr>
                            <w:tcW w:w="898" w:type="dxa"/>
                            <w:tcBorders>
                              <w:bottom w:val="single" w:sz="4" w:space="0" w:color="000000"/>
                            </w:tcBorders>
                          </w:tcPr>
                          <w:p>
                            <w:pPr>
                              <w:pStyle w:val="TableParagraph"/>
                              <w:spacing w:before="18"/>
                              <w:ind w:right="5"/>
                              <w:jc w:val="right"/>
                              <w:rPr>
                                <w:sz w:val="18"/>
                              </w:rPr>
                            </w:pPr>
                            <w:r>
                              <w:rPr>
                                <w:spacing w:val="-2"/>
                                <w:sz w:val="18"/>
                              </w:rPr>
                              <w:t>(19)%</w:t>
                            </w:r>
                          </w:p>
                        </w:tc>
                      </w:tr>
                      <w:tr>
                        <w:trPr>
                          <w:trHeight w:val="250" w:hRule="atLeast"/>
                        </w:trPr>
                        <w:tc>
                          <w:tcPr>
                            <w:tcW w:w="4170" w:type="dxa"/>
                            <w:tcBorders>
                              <w:top w:val="single" w:sz="4" w:space="0" w:color="000000"/>
                            </w:tcBorders>
                            <w:shd w:val="clear" w:color="auto" w:fill="CCEDFF"/>
                          </w:tcPr>
                          <w:p>
                            <w:pPr>
                              <w:pStyle w:val="TableParagraph"/>
                              <w:spacing w:before="13"/>
                              <w:ind w:left="292"/>
                              <w:rPr>
                                <w:sz w:val="18"/>
                              </w:rPr>
                            </w:pPr>
                            <w:r>
                              <w:rPr>
                                <w:sz w:val="18"/>
                              </w:rPr>
                              <w:t>Total order flow</w:t>
                            </w:r>
                            <w:r>
                              <w:rPr>
                                <w:spacing w:val="-1"/>
                                <w:sz w:val="18"/>
                              </w:rPr>
                              <w:t> </w:t>
                            </w:r>
                            <w:r>
                              <w:rPr>
                                <w:spacing w:val="-2"/>
                                <w:sz w:val="18"/>
                              </w:rPr>
                              <w:t>revenue</w:t>
                            </w:r>
                          </w:p>
                        </w:tc>
                        <w:tc>
                          <w:tcPr>
                            <w:tcW w:w="1061" w:type="dxa"/>
                            <w:tcBorders>
                              <w:top w:val="single" w:sz="4" w:space="0" w:color="000000"/>
                            </w:tcBorders>
                            <w:shd w:val="clear" w:color="auto" w:fill="CCEDFF"/>
                          </w:tcPr>
                          <w:p>
                            <w:pPr>
                              <w:pStyle w:val="TableParagraph"/>
                              <w:spacing w:before="13"/>
                              <w:ind w:right="98"/>
                              <w:jc w:val="right"/>
                              <w:rPr>
                                <w:sz w:val="18"/>
                              </w:rPr>
                            </w:pPr>
                            <w:r>
                              <w:rPr>
                                <w:spacing w:val="-5"/>
                                <w:sz w:val="18"/>
                              </w:rPr>
                              <w:t>325</w:t>
                            </w:r>
                          </w:p>
                        </w:tc>
                        <w:tc>
                          <w:tcPr>
                            <w:tcW w:w="1083" w:type="dxa"/>
                            <w:tcBorders>
                              <w:top w:val="single" w:sz="4" w:space="0" w:color="000000"/>
                            </w:tcBorders>
                            <w:shd w:val="clear" w:color="auto" w:fill="CCEDFF"/>
                          </w:tcPr>
                          <w:p>
                            <w:pPr>
                              <w:pStyle w:val="TableParagraph"/>
                              <w:spacing w:before="13"/>
                              <w:ind w:right="71"/>
                              <w:jc w:val="right"/>
                              <w:rPr>
                                <w:sz w:val="18"/>
                              </w:rPr>
                            </w:pPr>
                            <w:r>
                              <w:rPr>
                                <w:spacing w:val="-5"/>
                                <w:sz w:val="18"/>
                              </w:rPr>
                              <w:t>432</w:t>
                            </w:r>
                          </w:p>
                        </w:tc>
                        <w:tc>
                          <w:tcPr>
                            <w:tcW w:w="1349" w:type="dxa"/>
                            <w:tcBorders>
                              <w:top w:val="single" w:sz="4" w:space="0" w:color="000000"/>
                            </w:tcBorders>
                            <w:shd w:val="clear" w:color="auto" w:fill="CCEDFF"/>
                          </w:tcPr>
                          <w:p>
                            <w:pPr>
                              <w:pStyle w:val="TableParagraph"/>
                              <w:spacing w:before="13"/>
                              <w:ind w:left="646"/>
                              <w:rPr>
                                <w:sz w:val="18"/>
                              </w:rPr>
                            </w:pPr>
                            <w:r>
                              <w:rPr>
                                <w:spacing w:val="-2"/>
                                <w:sz w:val="18"/>
                              </w:rPr>
                              <w:t>(25)%</w:t>
                            </w:r>
                          </w:p>
                        </w:tc>
                        <w:tc>
                          <w:tcPr>
                            <w:tcW w:w="820" w:type="dxa"/>
                            <w:tcBorders>
                              <w:top w:val="single" w:sz="4" w:space="0" w:color="000000"/>
                            </w:tcBorders>
                            <w:shd w:val="clear" w:color="auto" w:fill="CCEDFF"/>
                          </w:tcPr>
                          <w:p>
                            <w:pPr>
                              <w:pStyle w:val="TableParagraph"/>
                              <w:spacing w:before="13"/>
                              <w:ind w:right="95"/>
                              <w:jc w:val="right"/>
                              <w:rPr>
                                <w:sz w:val="18"/>
                              </w:rPr>
                            </w:pPr>
                            <w:r>
                              <w:rPr>
                                <w:spacing w:val="-2"/>
                                <w:sz w:val="18"/>
                              </w:rPr>
                              <w:t>1,104</w:t>
                            </w:r>
                          </w:p>
                        </w:tc>
                        <w:tc>
                          <w:tcPr>
                            <w:tcW w:w="872" w:type="dxa"/>
                            <w:tcBorders>
                              <w:top w:val="single" w:sz="4" w:space="0" w:color="000000"/>
                            </w:tcBorders>
                            <w:shd w:val="clear" w:color="auto" w:fill="CCEDFF"/>
                          </w:tcPr>
                          <w:p>
                            <w:pPr>
                              <w:pStyle w:val="TableParagraph"/>
                              <w:spacing w:before="13"/>
                              <w:ind w:right="67"/>
                              <w:jc w:val="right"/>
                              <w:rPr>
                                <w:sz w:val="18"/>
                              </w:rPr>
                            </w:pPr>
                            <w:r>
                              <w:rPr>
                                <w:spacing w:val="-2"/>
                                <w:sz w:val="18"/>
                              </w:rPr>
                              <w:t>1,332</w:t>
                            </w:r>
                          </w:p>
                        </w:tc>
                        <w:tc>
                          <w:tcPr>
                            <w:tcW w:w="898" w:type="dxa"/>
                            <w:tcBorders>
                              <w:top w:val="single" w:sz="4" w:space="0" w:color="000000"/>
                            </w:tcBorders>
                            <w:shd w:val="clear" w:color="auto" w:fill="CCEDFF"/>
                          </w:tcPr>
                          <w:p>
                            <w:pPr>
                              <w:pStyle w:val="TableParagraph"/>
                              <w:spacing w:before="13"/>
                              <w:ind w:right="5"/>
                              <w:jc w:val="right"/>
                              <w:rPr>
                                <w:sz w:val="18"/>
                              </w:rPr>
                            </w:pPr>
                            <w:r>
                              <w:rPr>
                                <w:spacing w:val="-2"/>
                                <w:sz w:val="18"/>
                              </w:rPr>
                              <w:t>(17)%</w:t>
                            </w:r>
                          </w:p>
                        </w:tc>
                      </w:tr>
                      <w:tr>
                        <w:trPr>
                          <w:trHeight w:val="250" w:hRule="atLeast"/>
                        </w:trPr>
                        <w:tc>
                          <w:tcPr>
                            <w:tcW w:w="4170" w:type="dxa"/>
                            <w:tcBorders>
                              <w:bottom w:val="single" w:sz="4" w:space="0" w:color="000000"/>
                            </w:tcBorders>
                          </w:tcPr>
                          <w:p>
                            <w:pPr>
                              <w:pStyle w:val="TableParagraph"/>
                              <w:spacing w:before="18"/>
                              <w:ind w:left="52"/>
                              <w:rPr>
                                <w:sz w:val="18"/>
                              </w:rPr>
                            </w:pPr>
                            <w:r>
                              <w:rPr>
                                <w:sz w:val="18"/>
                              </w:rPr>
                              <w:t>Principal</w:t>
                            </w:r>
                            <w:r>
                              <w:rPr>
                                <w:spacing w:val="-1"/>
                                <w:sz w:val="18"/>
                              </w:rPr>
                              <w:t> </w:t>
                            </w:r>
                            <w:r>
                              <w:rPr>
                                <w:spacing w:val="-2"/>
                                <w:sz w:val="18"/>
                              </w:rPr>
                              <w:t>transactions</w:t>
                            </w:r>
                          </w:p>
                        </w:tc>
                        <w:tc>
                          <w:tcPr>
                            <w:tcW w:w="1061" w:type="dxa"/>
                            <w:tcBorders>
                              <w:bottom w:val="single" w:sz="4" w:space="0" w:color="000000"/>
                            </w:tcBorders>
                          </w:tcPr>
                          <w:p>
                            <w:pPr>
                              <w:pStyle w:val="TableParagraph"/>
                              <w:spacing w:before="18"/>
                              <w:ind w:right="98"/>
                              <w:jc w:val="right"/>
                              <w:rPr>
                                <w:sz w:val="18"/>
                              </w:rPr>
                            </w:pPr>
                            <w:r>
                              <w:rPr>
                                <w:spacing w:val="-5"/>
                                <w:sz w:val="18"/>
                              </w:rPr>
                              <w:t>49</w:t>
                            </w:r>
                          </w:p>
                        </w:tc>
                        <w:tc>
                          <w:tcPr>
                            <w:tcW w:w="1083" w:type="dxa"/>
                            <w:tcBorders>
                              <w:bottom w:val="single" w:sz="4" w:space="0" w:color="000000"/>
                            </w:tcBorders>
                          </w:tcPr>
                          <w:p>
                            <w:pPr>
                              <w:pStyle w:val="TableParagraph"/>
                              <w:spacing w:before="18"/>
                              <w:ind w:right="71"/>
                              <w:jc w:val="right"/>
                              <w:rPr>
                                <w:sz w:val="18"/>
                              </w:rPr>
                            </w:pPr>
                            <w:r>
                              <w:rPr>
                                <w:spacing w:val="-5"/>
                                <w:sz w:val="18"/>
                              </w:rPr>
                              <w:t>63</w:t>
                            </w:r>
                          </w:p>
                        </w:tc>
                        <w:tc>
                          <w:tcPr>
                            <w:tcW w:w="1349" w:type="dxa"/>
                            <w:tcBorders>
                              <w:bottom w:val="single" w:sz="4" w:space="0" w:color="000000"/>
                            </w:tcBorders>
                          </w:tcPr>
                          <w:p>
                            <w:pPr>
                              <w:pStyle w:val="TableParagraph"/>
                              <w:spacing w:before="18"/>
                              <w:ind w:left="646"/>
                              <w:rPr>
                                <w:sz w:val="18"/>
                              </w:rPr>
                            </w:pPr>
                            <w:r>
                              <w:rPr>
                                <w:spacing w:val="-2"/>
                                <w:sz w:val="18"/>
                              </w:rPr>
                              <w:t>(22)%</w:t>
                            </w:r>
                          </w:p>
                        </w:tc>
                        <w:tc>
                          <w:tcPr>
                            <w:tcW w:w="820" w:type="dxa"/>
                            <w:tcBorders>
                              <w:bottom w:val="single" w:sz="4" w:space="0" w:color="000000"/>
                            </w:tcBorders>
                          </w:tcPr>
                          <w:p>
                            <w:pPr>
                              <w:pStyle w:val="TableParagraph"/>
                              <w:spacing w:before="18"/>
                              <w:ind w:right="95"/>
                              <w:jc w:val="right"/>
                              <w:rPr>
                                <w:sz w:val="18"/>
                              </w:rPr>
                            </w:pPr>
                            <w:r>
                              <w:rPr>
                                <w:spacing w:val="-5"/>
                                <w:sz w:val="18"/>
                              </w:rPr>
                              <w:t>149</w:t>
                            </w:r>
                          </w:p>
                        </w:tc>
                        <w:tc>
                          <w:tcPr>
                            <w:tcW w:w="872" w:type="dxa"/>
                            <w:tcBorders>
                              <w:bottom w:val="single" w:sz="4" w:space="0" w:color="000000"/>
                            </w:tcBorders>
                          </w:tcPr>
                          <w:p>
                            <w:pPr>
                              <w:pStyle w:val="TableParagraph"/>
                              <w:spacing w:before="18"/>
                              <w:ind w:right="67"/>
                              <w:jc w:val="right"/>
                              <w:rPr>
                                <w:sz w:val="18"/>
                              </w:rPr>
                            </w:pPr>
                            <w:r>
                              <w:rPr>
                                <w:spacing w:val="-5"/>
                                <w:sz w:val="18"/>
                              </w:rPr>
                              <w:t>84</w:t>
                            </w:r>
                          </w:p>
                        </w:tc>
                        <w:tc>
                          <w:tcPr>
                            <w:tcW w:w="898" w:type="dxa"/>
                            <w:tcBorders>
                              <w:bottom w:val="single" w:sz="4" w:space="0" w:color="000000"/>
                            </w:tcBorders>
                          </w:tcPr>
                          <w:p>
                            <w:pPr>
                              <w:pStyle w:val="TableParagraph"/>
                              <w:spacing w:before="18"/>
                              <w:ind w:right="65"/>
                              <w:jc w:val="right"/>
                              <w:rPr>
                                <w:sz w:val="18"/>
                              </w:rPr>
                            </w:pPr>
                            <w:r>
                              <w:rPr>
                                <w:spacing w:val="-5"/>
                                <w:sz w:val="18"/>
                              </w:rPr>
                              <w:t>77%</w:t>
                            </w:r>
                          </w:p>
                        </w:tc>
                      </w:tr>
                      <w:tr>
                        <w:trPr>
                          <w:trHeight w:val="260" w:hRule="atLeast"/>
                        </w:trPr>
                        <w:tc>
                          <w:tcPr>
                            <w:tcW w:w="4170" w:type="dxa"/>
                            <w:tcBorders>
                              <w:top w:val="single" w:sz="4" w:space="0" w:color="000000"/>
                              <w:bottom w:val="single" w:sz="8" w:space="0" w:color="000000"/>
                            </w:tcBorders>
                            <w:shd w:val="clear" w:color="auto" w:fill="CCEDFF"/>
                          </w:tcPr>
                          <w:p>
                            <w:pPr>
                              <w:pStyle w:val="TableParagraph"/>
                              <w:spacing w:before="13"/>
                              <w:ind w:left="52"/>
                              <w:rPr>
                                <w:sz w:val="18"/>
                              </w:rPr>
                            </w:pPr>
                            <w:r>
                              <w:rPr>
                                <w:sz w:val="18"/>
                              </w:rPr>
                              <w:t>Total trading </w:t>
                            </w:r>
                            <w:r>
                              <w:rPr>
                                <w:spacing w:val="-2"/>
                                <w:sz w:val="18"/>
                              </w:rPr>
                              <w:t>revenue</w:t>
                            </w:r>
                          </w:p>
                        </w:tc>
                        <w:tc>
                          <w:tcPr>
                            <w:tcW w:w="1061" w:type="dxa"/>
                            <w:tcBorders>
                              <w:top w:val="single" w:sz="4" w:space="0" w:color="000000"/>
                              <w:bottom w:val="single" w:sz="8" w:space="0" w:color="000000"/>
                            </w:tcBorders>
                            <w:shd w:val="clear" w:color="auto" w:fill="CCEDFF"/>
                          </w:tcPr>
                          <w:p>
                            <w:pPr>
                              <w:pStyle w:val="TableParagraph"/>
                              <w:tabs>
                                <w:tab w:pos="637" w:val="left" w:leader="none"/>
                              </w:tabs>
                              <w:spacing w:before="13"/>
                              <w:ind w:right="98"/>
                              <w:jc w:val="right"/>
                              <w:rPr>
                                <w:sz w:val="18"/>
                              </w:rPr>
                            </w:pPr>
                            <w:r>
                              <w:rPr>
                                <w:spacing w:val="-10"/>
                                <w:sz w:val="18"/>
                              </w:rPr>
                              <w:t>$</w:t>
                            </w:r>
                            <w:r>
                              <w:rPr>
                                <w:sz w:val="18"/>
                              </w:rPr>
                              <w:tab/>
                            </w:r>
                            <w:r>
                              <w:rPr>
                                <w:spacing w:val="-5"/>
                                <w:sz w:val="18"/>
                              </w:rPr>
                              <w:t>768</w:t>
                            </w:r>
                          </w:p>
                        </w:tc>
                        <w:tc>
                          <w:tcPr>
                            <w:tcW w:w="1083" w:type="dxa"/>
                            <w:tcBorders>
                              <w:top w:val="single" w:sz="4" w:space="0" w:color="000000"/>
                              <w:bottom w:val="single" w:sz="8" w:space="0" w:color="000000"/>
                            </w:tcBorders>
                            <w:shd w:val="clear" w:color="auto" w:fill="CCEDFF"/>
                          </w:tcPr>
                          <w:p>
                            <w:pPr>
                              <w:pStyle w:val="TableParagraph"/>
                              <w:tabs>
                                <w:tab w:pos="637" w:val="left" w:leader="none"/>
                              </w:tabs>
                              <w:spacing w:before="13"/>
                              <w:ind w:right="71"/>
                              <w:jc w:val="right"/>
                              <w:rPr>
                                <w:sz w:val="18"/>
                              </w:rPr>
                            </w:pPr>
                            <w:r>
                              <w:rPr>
                                <w:spacing w:val="-10"/>
                                <w:sz w:val="18"/>
                              </w:rPr>
                              <w:t>$</w:t>
                            </w:r>
                            <w:r>
                              <w:rPr>
                                <w:sz w:val="18"/>
                              </w:rPr>
                              <w:tab/>
                            </w:r>
                            <w:r>
                              <w:rPr>
                                <w:spacing w:val="-5"/>
                                <w:sz w:val="18"/>
                              </w:rPr>
                              <w:t>930</w:t>
                            </w:r>
                          </w:p>
                        </w:tc>
                        <w:tc>
                          <w:tcPr>
                            <w:tcW w:w="1349" w:type="dxa"/>
                            <w:tcBorders>
                              <w:top w:val="single" w:sz="4" w:space="0" w:color="000000"/>
                              <w:bottom w:val="single" w:sz="8" w:space="0" w:color="000000"/>
                            </w:tcBorders>
                            <w:shd w:val="clear" w:color="auto" w:fill="CCEDFF"/>
                          </w:tcPr>
                          <w:p>
                            <w:pPr>
                              <w:pStyle w:val="TableParagraph"/>
                              <w:spacing w:before="13"/>
                              <w:ind w:right="93"/>
                              <w:jc w:val="right"/>
                              <w:rPr>
                                <w:sz w:val="18"/>
                              </w:rPr>
                            </w:pPr>
                            <w:r>
                              <w:rPr>
                                <w:sz w:val="18"/>
                              </w:rPr>
                              <w:t>(17)%</w:t>
                            </w:r>
                            <w:r>
                              <w:rPr>
                                <w:spacing w:val="22"/>
                                <w:sz w:val="18"/>
                              </w:rPr>
                              <w:t> </w:t>
                            </w:r>
                            <w:r>
                              <w:rPr>
                                <w:spacing w:val="-10"/>
                                <w:sz w:val="18"/>
                              </w:rPr>
                              <w:t>$</w:t>
                            </w:r>
                          </w:p>
                        </w:tc>
                        <w:tc>
                          <w:tcPr>
                            <w:tcW w:w="820" w:type="dxa"/>
                            <w:tcBorders>
                              <w:top w:val="single" w:sz="4" w:space="0" w:color="000000"/>
                              <w:bottom w:val="single" w:sz="8" w:space="0" w:color="000000"/>
                            </w:tcBorders>
                            <w:shd w:val="clear" w:color="auto" w:fill="CCEDFF"/>
                          </w:tcPr>
                          <w:p>
                            <w:pPr>
                              <w:pStyle w:val="TableParagraph"/>
                              <w:spacing w:before="13"/>
                              <w:ind w:right="95"/>
                              <w:jc w:val="right"/>
                              <w:rPr>
                                <w:sz w:val="18"/>
                              </w:rPr>
                            </w:pPr>
                            <w:r>
                              <w:rPr>
                                <w:spacing w:val="-2"/>
                                <w:sz w:val="18"/>
                              </w:rPr>
                              <w:t>2,463</w:t>
                            </w:r>
                          </w:p>
                        </w:tc>
                        <w:tc>
                          <w:tcPr>
                            <w:tcW w:w="872" w:type="dxa"/>
                            <w:tcBorders>
                              <w:top w:val="single" w:sz="4" w:space="0" w:color="000000"/>
                              <w:bottom w:val="single" w:sz="8" w:space="0" w:color="000000"/>
                            </w:tcBorders>
                            <w:shd w:val="clear" w:color="auto" w:fill="CCEDFF"/>
                          </w:tcPr>
                          <w:p>
                            <w:pPr>
                              <w:pStyle w:val="TableParagraph"/>
                              <w:tabs>
                                <w:tab w:pos="292" w:val="left" w:leader="none"/>
                              </w:tabs>
                              <w:spacing w:before="13"/>
                              <w:ind w:right="67"/>
                              <w:jc w:val="right"/>
                              <w:rPr>
                                <w:sz w:val="18"/>
                              </w:rPr>
                            </w:pPr>
                            <w:r>
                              <w:rPr>
                                <w:spacing w:val="-10"/>
                                <w:sz w:val="18"/>
                              </w:rPr>
                              <w:t>$</w:t>
                            </w:r>
                            <w:r>
                              <w:rPr>
                                <w:sz w:val="18"/>
                              </w:rPr>
                              <w:tab/>
                            </w:r>
                            <w:r>
                              <w:rPr>
                                <w:spacing w:val="-2"/>
                                <w:sz w:val="18"/>
                              </w:rPr>
                              <w:t>2,778</w:t>
                            </w:r>
                          </w:p>
                        </w:tc>
                        <w:tc>
                          <w:tcPr>
                            <w:tcW w:w="898" w:type="dxa"/>
                            <w:tcBorders>
                              <w:top w:val="single" w:sz="4" w:space="0" w:color="000000"/>
                              <w:bottom w:val="single" w:sz="8" w:space="0" w:color="000000"/>
                            </w:tcBorders>
                            <w:shd w:val="clear" w:color="auto" w:fill="CCEDFF"/>
                          </w:tcPr>
                          <w:p>
                            <w:pPr>
                              <w:pStyle w:val="TableParagraph"/>
                              <w:spacing w:before="13"/>
                              <w:ind w:right="5"/>
                              <w:jc w:val="right"/>
                              <w:rPr>
                                <w:sz w:val="18"/>
                              </w:rPr>
                            </w:pPr>
                            <w:r>
                              <w:rPr>
                                <w:spacing w:val="-2"/>
                                <w:sz w:val="18"/>
                              </w:rPr>
                              <w:t>(11)%</w:t>
                            </w:r>
                          </w:p>
                        </w:tc>
                      </w:tr>
                    </w:tbl>
                    <w:p>
                      <w:pPr>
                        <w:pStyle w:val="BodyText"/>
                      </w:pPr>
                    </w:p>
                  </w:txbxContent>
                </v:textbox>
                <w10:wrap type="none"/>
              </v:shape>
            </w:pict>
          </mc:Fallback>
        </mc:AlternateContent>
      </w:r>
      <w:r>
        <w:rPr>
          <w:sz w:val="18"/>
        </w:rPr>
        <w:t>September</w:t>
      </w:r>
      <w:r>
        <w:rPr>
          <w:spacing w:val="-1"/>
          <w:sz w:val="18"/>
        </w:rPr>
        <w:t> </w:t>
      </w:r>
      <w:r>
        <w:rPr>
          <w:spacing w:val="-5"/>
          <w:sz w:val="18"/>
        </w:rPr>
        <w:t>30,</w:t>
      </w:r>
      <w:r>
        <w:rPr>
          <w:sz w:val="18"/>
        </w:rPr>
        <w:tab/>
      </w:r>
      <w:r>
        <w:rPr>
          <w:spacing w:val="-2"/>
          <w:position w:val="-7"/>
          <w:sz w:val="18"/>
        </w:rPr>
        <w:t>Percent</w:t>
      </w:r>
    </w:p>
    <w:p>
      <w:pPr>
        <w:spacing w:line="240" w:lineRule="auto" w:before="0"/>
        <w:rPr>
          <w:sz w:val="18"/>
        </w:rPr>
      </w:pPr>
      <w:r>
        <w:rPr/>
        <w:br w:type="column"/>
      </w:r>
      <w:r>
        <w:rPr>
          <w:sz w:val="18"/>
        </w:rPr>
      </w:r>
    </w:p>
    <w:p>
      <w:pPr>
        <w:pStyle w:val="BodyText"/>
        <w:spacing w:before="44"/>
        <w:rPr>
          <w:sz w:val="18"/>
        </w:rPr>
      </w:pPr>
    </w:p>
    <w:p>
      <w:pPr>
        <w:spacing w:line="193" w:lineRule="exact" w:before="0"/>
        <w:ind w:left="450" w:right="0" w:firstLine="0"/>
        <w:jc w:val="left"/>
        <w:rPr>
          <w:sz w:val="18"/>
        </w:rPr>
      </w:pPr>
      <w:r>
        <w:rPr>
          <w:sz w:val="18"/>
        </w:rPr>
        <w:t>Nine</w:t>
      </w:r>
      <w:r>
        <w:rPr>
          <w:spacing w:val="-2"/>
          <w:sz w:val="18"/>
        </w:rPr>
        <w:t> </w:t>
      </w:r>
      <w:r>
        <w:rPr>
          <w:sz w:val="18"/>
        </w:rPr>
        <w:t>Months</w:t>
      </w:r>
      <w:r>
        <w:rPr>
          <w:spacing w:val="-1"/>
          <w:sz w:val="18"/>
        </w:rPr>
        <w:t> </w:t>
      </w:r>
      <w:r>
        <w:rPr>
          <w:spacing w:val="-2"/>
          <w:sz w:val="18"/>
        </w:rPr>
        <w:t>Ended</w:t>
      </w:r>
    </w:p>
    <w:p>
      <w:pPr>
        <w:tabs>
          <w:tab w:pos="2360" w:val="left" w:leader="none"/>
        </w:tabs>
        <w:spacing w:line="218" w:lineRule="auto" w:before="0"/>
        <w:ind w:left="655" w:right="0" w:firstLine="0"/>
        <w:jc w:val="left"/>
        <w:rPr>
          <w:sz w:val="18"/>
        </w:rPr>
      </w:pPr>
      <w:r>
        <w:rPr>
          <w:sz w:val="18"/>
        </w:rPr>
        <w:t>September</w:t>
      </w:r>
      <w:r>
        <w:rPr>
          <w:spacing w:val="-1"/>
          <w:sz w:val="18"/>
        </w:rPr>
        <w:t> </w:t>
      </w:r>
      <w:r>
        <w:rPr>
          <w:spacing w:val="-5"/>
          <w:sz w:val="18"/>
        </w:rPr>
        <w:t>30,</w:t>
      </w:r>
      <w:r>
        <w:rPr>
          <w:sz w:val="18"/>
        </w:rPr>
        <w:tab/>
      </w:r>
      <w:r>
        <w:rPr>
          <w:spacing w:val="-2"/>
          <w:position w:val="-7"/>
          <w:sz w:val="18"/>
        </w:rPr>
        <w:t>Percent</w:t>
      </w:r>
    </w:p>
    <w:p>
      <w:pPr>
        <w:spacing w:after="0" w:line="218" w:lineRule="auto"/>
        <w:jc w:val="left"/>
        <w:rPr>
          <w:sz w:val="18"/>
        </w:rPr>
        <w:sectPr>
          <w:type w:val="continuous"/>
          <w:pgSz w:w="12240" w:h="15840"/>
          <w:pgMar w:header="512" w:footer="201" w:top="320" w:bottom="280" w:left="520" w:right="520"/>
          <w:cols w:num="2" w:equalWidth="0">
            <w:col w:w="7648" w:space="40"/>
            <w:col w:w="3512"/>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3"/>
      </w:pPr>
    </w:p>
    <w:p>
      <w:pPr>
        <w:pStyle w:val="BodyText"/>
        <w:spacing w:line="20" w:lineRule="exact"/>
        <w:ind w:left="470"/>
        <w:rPr>
          <w:sz w:val="2"/>
        </w:rPr>
      </w:pPr>
      <w:r>
        <w:rPr>
          <w:sz w:val="2"/>
        </w:rPr>
        <mc:AlternateContent>
          <mc:Choice Requires="wps">
            <w:drawing>
              <wp:inline distT="0" distB="0" distL="0" distR="0">
                <wp:extent cx="6515100" cy="12700"/>
                <wp:effectExtent l="0" t="0" r="0" b="0"/>
                <wp:docPr id="27" name="Group 27"/>
                <wp:cNvGraphicFramePr>
                  <a:graphicFrameLocks/>
                </wp:cNvGraphicFramePr>
                <a:graphic>
                  <a:graphicData uri="http://schemas.microsoft.com/office/word/2010/wordprocessingGroup">
                    <wpg:wgp>
                      <wpg:cNvPr id="27" name="Group 27"/>
                      <wpg:cNvGrpSpPr/>
                      <wpg:grpSpPr>
                        <a:xfrm>
                          <a:off x="0" y="0"/>
                          <a:ext cx="6515100" cy="12700"/>
                          <a:chExt cx="6515100" cy="12700"/>
                        </a:xfrm>
                      </wpg:grpSpPr>
                      <wps:wsp>
                        <wps:cNvPr id="28" name="Graphic 28"/>
                        <wps:cNvSpPr/>
                        <wps:spPr>
                          <a:xfrm>
                            <a:off x="0" y="0"/>
                            <a:ext cx="6515100" cy="12700"/>
                          </a:xfrm>
                          <a:custGeom>
                            <a:avLst/>
                            <a:gdLst/>
                            <a:ahLst/>
                            <a:cxnLst/>
                            <a:rect l="l" t="t" r="r" b="b"/>
                            <a:pathLst>
                              <a:path w="6515100" h="12700">
                                <a:moveTo>
                                  <a:pt x="0" y="12700"/>
                                </a:moveTo>
                                <a:lnTo>
                                  <a:pt x="6515100" y="12700"/>
                                </a:lnTo>
                                <a:lnTo>
                                  <a:pt x="6515100" y="0"/>
                                </a:lnTo>
                                <a:lnTo>
                                  <a:pt x="0" y="0"/>
                                </a:lnTo>
                                <a:lnTo>
                                  <a:pt x="0" y="1270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pt;height:1pt;mso-position-horizontal-relative:char;mso-position-vertical-relative:line" id="docshapegroup20" coordorigin="0,0" coordsize="10260,20">
                <v:rect style="position:absolute;left:0;top:0;width:10260;height:20" id="docshape21" filled="true" fillcolor="#000000" stroked="false">
                  <v:fill opacity="0f" type="solid"/>
                </v:rect>
              </v:group>
            </w:pict>
          </mc:Fallback>
        </mc:AlternateContent>
      </w:r>
      <w:r>
        <w:rPr>
          <w:sz w:val="2"/>
        </w:rPr>
      </w:r>
    </w:p>
    <w:p>
      <w:pPr>
        <w:spacing w:after="0" w:line="20" w:lineRule="exact"/>
        <w:rPr>
          <w:sz w:val="2"/>
        </w:rPr>
        <w:sectPr>
          <w:type w:val="continuous"/>
          <w:pgSz w:w="12240" w:h="15840"/>
          <w:pgMar w:header="512" w:footer="201" w:top="320" w:bottom="280" w:left="520" w:right="520"/>
        </w:sectPr>
      </w:pPr>
    </w:p>
    <w:p>
      <w:pPr>
        <w:pStyle w:val="BodyText"/>
      </w:pPr>
    </w:p>
    <w:p>
      <w:pPr>
        <w:pStyle w:val="BodyText"/>
        <w:spacing w:before="86"/>
      </w:pPr>
    </w:p>
    <w:p>
      <w:pPr>
        <w:pStyle w:val="BodyText"/>
        <w:spacing w:line="20" w:lineRule="exact"/>
        <w:ind w:left="465"/>
        <w:rPr>
          <w:sz w:val="2"/>
        </w:rPr>
      </w:pPr>
      <w:r>
        <w:rPr>
          <w:sz w:val="2"/>
        </w:rPr>
        <mc:AlternateContent>
          <mc:Choice Requires="wps">
            <w:drawing>
              <wp:inline distT="0" distB="0" distL="0" distR="0">
                <wp:extent cx="6515100" cy="6350"/>
                <wp:effectExtent l="9525" t="0" r="0" b="3175"/>
                <wp:docPr id="29" name="Group 29"/>
                <wp:cNvGraphicFramePr>
                  <a:graphicFrameLocks/>
                </wp:cNvGraphicFramePr>
                <a:graphic>
                  <a:graphicData uri="http://schemas.microsoft.com/office/word/2010/wordprocessingGroup">
                    <wpg:wgp>
                      <wpg:cNvPr id="29" name="Group 29"/>
                      <wpg:cNvGrpSpPr/>
                      <wpg:grpSpPr>
                        <a:xfrm>
                          <a:off x="0" y="0"/>
                          <a:ext cx="6515100" cy="6350"/>
                          <a:chExt cx="6515100" cy="6350"/>
                        </a:xfrm>
                      </wpg:grpSpPr>
                      <wps:wsp>
                        <wps:cNvPr id="30" name="Graphic 30"/>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31" name="Graphic 31"/>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3pt;height:.5pt;mso-position-horizontal-relative:char;mso-position-vertical-relative:line" id="docshapegroup22" coordorigin="0,0" coordsize="10260,10">
                <v:shape style="position:absolute;left:0;top:5;width:10260;height:2" id="docshape23" coordorigin="0,5" coordsize="10260,0" path="m10260,5l0,5e" filled="true" fillcolor="#000000" stroked="false">
                  <v:path arrowok="t"/>
                  <v:fill opacity="0f" type="solid"/>
                </v:shape>
                <v:line style="position:absolute" from="0,5" to="10260,5" stroked="true" strokeweight=".5pt" strokecolor="#000000">
                  <v:stroke dashstyle="solid"/>
                </v:line>
              </v:group>
            </w:pict>
          </mc:Fallback>
        </mc:AlternateContent>
      </w:r>
      <w:r>
        <w:rPr>
          <w:sz w:val="2"/>
        </w:rPr>
      </w:r>
    </w:p>
    <w:p>
      <w:pPr>
        <w:spacing w:after="0" w:line="20" w:lineRule="exact"/>
        <w:rPr>
          <w:sz w:val="2"/>
        </w:rPr>
        <w:sectPr>
          <w:pgSz w:w="12240" w:h="15840"/>
          <w:pgMar w:header="512" w:footer="201" w:top="1180" w:bottom="400" w:left="520" w:right="520"/>
        </w:sectPr>
      </w:pPr>
    </w:p>
    <w:p>
      <w:pPr>
        <w:spacing w:line="193" w:lineRule="exact" w:before="3"/>
        <w:ind w:left="4637" w:right="0" w:firstLine="0"/>
        <w:jc w:val="left"/>
        <w:rPr>
          <w:sz w:val="18"/>
        </w:rPr>
      </w:pPr>
      <w:r>
        <w:rPr>
          <w:sz w:val="18"/>
        </w:rPr>
        <w:t>Three</w:t>
      </w:r>
      <w:r>
        <w:rPr>
          <w:spacing w:val="-1"/>
          <w:sz w:val="18"/>
        </w:rPr>
        <w:t> </w:t>
      </w:r>
      <w:r>
        <w:rPr>
          <w:sz w:val="18"/>
        </w:rPr>
        <w:t>Months</w:t>
      </w:r>
      <w:r>
        <w:rPr>
          <w:spacing w:val="-1"/>
          <w:sz w:val="18"/>
        </w:rPr>
        <w:t> </w:t>
      </w:r>
      <w:r>
        <w:rPr>
          <w:spacing w:val="-2"/>
          <w:sz w:val="18"/>
        </w:rPr>
        <w:t>Ended</w:t>
      </w:r>
    </w:p>
    <w:p>
      <w:pPr>
        <w:tabs>
          <w:tab w:pos="6792" w:val="left" w:leader="none"/>
        </w:tabs>
        <w:spacing w:line="218" w:lineRule="auto" w:before="0"/>
        <w:ind w:left="4877" w:right="0" w:firstLine="0"/>
        <w:jc w:val="left"/>
        <w:rPr>
          <w:sz w:val="18"/>
        </w:rPr>
      </w:pPr>
      <w:r>
        <w:rPr/>
        <mc:AlternateContent>
          <mc:Choice Requires="wps">
            <w:drawing>
              <wp:anchor distT="0" distB="0" distL="0" distR="0" allowOverlap="1" layoutInCell="1" locked="0" behindDoc="0" simplePos="0" relativeHeight="15733760">
                <wp:simplePos x="0" y="0"/>
                <wp:positionH relativeFrom="page">
                  <wp:posOffset>590550</wp:posOffset>
                </wp:positionH>
                <wp:positionV relativeFrom="paragraph">
                  <wp:posOffset>141928</wp:posOffset>
                </wp:positionV>
                <wp:extent cx="6591300" cy="129857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591300" cy="12985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5"/>
                              <w:gridCol w:w="1061"/>
                              <w:gridCol w:w="1083"/>
                              <w:gridCol w:w="1109"/>
                              <w:gridCol w:w="1022"/>
                              <w:gridCol w:w="1045"/>
                              <w:gridCol w:w="1079"/>
                            </w:tblGrid>
                            <w:tr>
                              <w:trPr>
                                <w:trHeight w:val="245" w:hRule="atLeast"/>
                              </w:trPr>
                              <w:tc>
                                <w:tcPr>
                                  <w:tcW w:w="3855" w:type="dxa"/>
                                  <w:tcBorders>
                                    <w:bottom w:val="single" w:sz="4" w:space="0" w:color="000000"/>
                                  </w:tcBorders>
                                </w:tcPr>
                                <w:p>
                                  <w:pPr>
                                    <w:pStyle w:val="TableParagraph"/>
                                    <w:rPr>
                                      <w:sz w:val="16"/>
                                    </w:rPr>
                                  </w:pPr>
                                </w:p>
                              </w:tc>
                              <w:tc>
                                <w:tcPr>
                                  <w:tcW w:w="1061" w:type="dxa"/>
                                  <w:tcBorders>
                                    <w:top w:val="single" w:sz="4" w:space="0" w:color="000000"/>
                                    <w:bottom w:val="single" w:sz="4" w:space="0" w:color="000000"/>
                                  </w:tcBorders>
                                </w:tcPr>
                                <w:p>
                                  <w:pPr>
                                    <w:pStyle w:val="TableParagraph"/>
                                    <w:spacing w:before="13"/>
                                    <w:ind w:left="337"/>
                                    <w:rPr>
                                      <w:sz w:val="18"/>
                                    </w:rPr>
                                  </w:pPr>
                                  <w:r>
                                    <w:rPr>
                                      <w:spacing w:val="-4"/>
                                      <w:sz w:val="18"/>
                                    </w:rPr>
                                    <w:t>2023</w:t>
                                  </w:r>
                                </w:p>
                              </w:tc>
                              <w:tc>
                                <w:tcPr>
                                  <w:tcW w:w="1083" w:type="dxa"/>
                                  <w:tcBorders>
                                    <w:top w:val="single" w:sz="4" w:space="0" w:color="000000"/>
                                    <w:bottom w:val="single" w:sz="4" w:space="0" w:color="000000"/>
                                  </w:tcBorders>
                                </w:tcPr>
                                <w:p>
                                  <w:pPr>
                                    <w:pStyle w:val="TableParagraph"/>
                                    <w:spacing w:before="13"/>
                                    <w:ind w:left="386"/>
                                    <w:rPr>
                                      <w:sz w:val="18"/>
                                    </w:rPr>
                                  </w:pPr>
                                  <w:r>
                                    <w:rPr>
                                      <w:spacing w:val="-4"/>
                                      <w:sz w:val="18"/>
                                    </w:rPr>
                                    <w:t>2022</w:t>
                                  </w:r>
                                </w:p>
                              </w:tc>
                              <w:tc>
                                <w:tcPr>
                                  <w:tcW w:w="1109" w:type="dxa"/>
                                  <w:tcBorders>
                                    <w:bottom w:val="single" w:sz="4" w:space="0" w:color="000000"/>
                                  </w:tcBorders>
                                </w:tcPr>
                                <w:p>
                                  <w:pPr>
                                    <w:pStyle w:val="TableParagraph"/>
                                    <w:spacing w:before="13"/>
                                    <w:ind w:left="318"/>
                                    <w:rPr>
                                      <w:sz w:val="18"/>
                                    </w:rPr>
                                  </w:pPr>
                                  <w:r>
                                    <w:rPr>
                                      <w:spacing w:val="-2"/>
                                      <w:sz w:val="18"/>
                                    </w:rPr>
                                    <w:t>Change</w:t>
                                  </w:r>
                                </w:p>
                              </w:tc>
                              <w:tc>
                                <w:tcPr>
                                  <w:tcW w:w="1022" w:type="dxa"/>
                                  <w:tcBorders>
                                    <w:top w:val="single" w:sz="4" w:space="0" w:color="000000"/>
                                    <w:bottom w:val="single" w:sz="4" w:space="0" w:color="000000"/>
                                  </w:tcBorders>
                                </w:tcPr>
                                <w:p>
                                  <w:pPr>
                                    <w:pStyle w:val="TableParagraph"/>
                                    <w:spacing w:before="13"/>
                                    <w:ind w:left="324"/>
                                    <w:rPr>
                                      <w:sz w:val="18"/>
                                    </w:rPr>
                                  </w:pPr>
                                  <w:r>
                                    <w:rPr>
                                      <w:spacing w:val="-4"/>
                                      <w:sz w:val="18"/>
                                    </w:rPr>
                                    <w:t>2023</w:t>
                                  </w:r>
                                </w:p>
                              </w:tc>
                              <w:tc>
                                <w:tcPr>
                                  <w:tcW w:w="1045" w:type="dxa"/>
                                  <w:tcBorders>
                                    <w:top w:val="single" w:sz="4" w:space="0" w:color="000000"/>
                                    <w:bottom w:val="single" w:sz="4" w:space="0" w:color="000000"/>
                                  </w:tcBorders>
                                </w:tcPr>
                                <w:p>
                                  <w:pPr>
                                    <w:pStyle w:val="TableParagraph"/>
                                    <w:spacing w:before="13"/>
                                    <w:ind w:left="367"/>
                                    <w:rPr>
                                      <w:sz w:val="18"/>
                                    </w:rPr>
                                  </w:pPr>
                                  <w:r>
                                    <w:rPr>
                                      <w:spacing w:val="-4"/>
                                      <w:sz w:val="18"/>
                                    </w:rPr>
                                    <w:t>2022</w:t>
                                  </w:r>
                                </w:p>
                              </w:tc>
                              <w:tc>
                                <w:tcPr>
                                  <w:tcW w:w="1079" w:type="dxa"/>
                                  <w:tcBorders>
                                    <w:bottom w:val="single" w:sz="4" w:space="0" w:color="000000"/>
                                  </w:tcBorders>
                                </w:tcPr>
                                <w:p>
                                  <w:pPr>
                                    <w:pStyle w:val="TableParagraph"/>
                                    <w:spacing w:before="13"/>
                                    <w:ind w:left="307"/>
                                    <w:rPr>
                                      <w:sz w:val="18"/>
                                    </w:rPr>
                                  </w:pPr>
                                  <w:r>
                                    <w:rPr>
                                      <w:spacing w:val="-2"/>
                                      <w:sz w:val="18"/>
                                    </w:rPr>
                                    <w:t>Change</w:t>
                                  </w:r>
                                </w:p>
                              </w:tc>
                            </w:tr>
                            <w:tr>
                              <w:trPr>
                                <w:trHeight w:val="250" w:hRule="atLeast"/>
                              </w:trPr>
                              <w:tc>
                                <w:tcPr>
                                  <w:tcW w:w="3855" w:type="dxa"/>
                                  <w:tcBorders>
                                    <w:top w:val="single" w:sz="4" w:space="0" w:color="000000"/>
                                  </w:tcBorders>
                                  <w:shd w:val="clear" w:color="auto" w:fill="CCEDFF"/>
                                </w:tcPr>
                                <w:p>
                                  <w:pPr>
                                    <w:pStyle w:val="TableParagraph"/>
                                    <w:spacing w:before="13"/>
                                    <w:ind w:left="52"/>
                                    <w:rPr>
                                      <w:sz w:val="18"/>
                                    </w:rPr>
                                  </w:pPr>
                                  <w:r>
                                    <w:rPr>
                                      <w:sz w:val="18"/>
                                    </w:rPr>
                                    <w:t>DATs</w:t>
                                  </w:r>
                                  <w:r>
                                    <w:rPr>
                                      <w:spacing w:val="-2"/>
                                      <w:sz w:val="18"/>
                                    </w:rPr>
                                    <w:t> </w:t>
                                  </w:r>
                                  <w:r>
                                    <w:rPr>
                                      <w:sz w:val="18"/>
                                    </w:rPr>
                                    <w:t>(in</w:t>
                                  </w:r>
                                  <w:r>
                                    <w:rPr>
                                      <w:spacing w:val="-1"/>
                                      <w:sz w:val="18"/>
                                    </w:rPr>
                                    <w:t> </w:t>
                                  </w:r>
                                  <w:r>
                                    <w:rPr>
                                      <w:spacing w:val="-2"/>
                                      <w:sz w:val="18"/>
                                    </w:rPr>
                                    <w:t>thousands)</w:t>
                                  </w:r>
                                </w:p>
                              </w:tc>
                              <w:tc>
                                <w:tcPr>
                                  <w:tcW w:w="1061" w:type="dxa"/>
                                  <w:tcBorders>
                                    <w:top w:val="single" w:sz="4" w:space="0" w:color="000000"/>
                                  </w:tcBorders>
                                  <w:shd w:val="clear" w:color="auto" w:fill="CCEDFF"/>
                                </w:tcPr>
                                <w:p>
                                  <w:pPr>
                                    <w:pStyle w:val="TableParagraph"/>
                                    <w:spacing w:before="13"/>
                                    <w:ind w:left="405"/>
                                    <w:rPr>
                                      <w:sz w:val="18"/>
                                    </w:rPr>
                                  </w:pPr>
                                  <w:r>
                                    <w:rPr>
                                      <w:spacing w:val="-2"/>
                                      <w:sz w:val="18"/>
                                    </w:rPr>
                                    <w:t>5,218</w:t>
                                  </w:r>
                                </w:p>
                              </w:tc>
                              <w:tc>
                                <w:tcPr>
                                  <w:tcW w:w="1083" w:type="dxa"/>
                                  <w:tcBorders>
                                    <w:top w:val="single" w:sz="4" w:space="0" w:color="000000"/>
                                  </w:tcBorders>
                                  <w:shd w:val="clear" w:color="auto" w:fill="CCEDFF"/>
                                </w:tcPr>
                                <w:p>
                                  <w:pPr>
                                    <w:pStyle w:val="TableParagraph"/>
                                    <w:spacing w:before="13"/>
                                    <w:ind w:right="221"/>
                                    <w:jc w:val="right"/>
                                    <w:rPr>
                                      <w:sz w:val="18"/>
                                    </w:rPr>
                                  </w:pPr>
                                  <w:r>
                                    <w:rPr>
                                      <w:spacing w:val="-2"/>
                                      <w:sz w:val="18"/>
                                    </w:rPr>
                                    <w:t>5,523</w:t>
                                  </w:r>
                                </w:p>
                              </w:tc>
                              <w:tc>
                                <w:tcPr>
                                  <w:tcW w:w="1109" w:type="dxa"/>
                                  <w:tcBorders>
                                    <w:top w:val="single" w:sz="4" w:space="0" w:color="000000"/>
                                  </w:tcBorders>
                                  <w:shd w:val="clear" w:color="auto" w:fill="CCEDFF"/>
                                </w:tcPr>
                                <w:p>
                                  <w:pPr>
                                    <w:pStyle w:val="TableParagraph"/>
                                    <w:spacing w:before="13"/>
                                    <w:ind w:left="736"/>
                                    <w:rPr>
                                      <w:sz w:val="18"/>
                                    </w:rPr>
                                  </w:pPr>
                                  <w:r>
                                    <w:rPr>
                                      <w:spacing w:val="-4"/>
                                      <w:sz w:val="18"/>
                                    </w:rPr>
                                    <w:t>(6)%</w:t>
                                  </w:r>
                                </w:p>
                              </w:tc>
                              <w:tc>
                                <w:tcPr>
                                  <w:tcW w:w="1022" w:type="dxa"/>
                                  <w:tcBorders>
                                    <w:top w:val="single" w:sz="4" w:space="0" w:color="000000"/>
                                  </w:tcBorders>
                                  <w:shd w:val="clear" w:color="auto" w:fill="CCEDFF"/>
                                </w:tcPr>
                                <w:p>
                                  <w:pPr>
                                    <w:pStyle w:val="TableParagraph"/>
                                    <w:spacing w:before="13"/>
                                    <w:ind w:left="377"/>
                                    <w:rPr>
                                      <w:sz w:val="18"/>
                                    </w:rPr>
                                  </w:pPr>
                                  <w:r>
                                    <w:rPr>
                                      <w:spacing w:val="-2"/>
                                      <w:sz w:val="18"/>
                                    </w:rPr>
                                    <w:t>5,461</w:t>
                                  </w:r>
                                </w:p>
                              </w:tc>
                              <w:tc>
                                <w:tcPr>
                                  <w:tcW w:w="1045" w:type="dxa"/>
                                  <w:tcBorders>
                                    <w:top w:val="single" w:sz="4" w:space="0" w:color="000000"/>
                                  </w:tcBorders>
                                  <w:shd w:val="clear" w:color="auto" w:fill="CCEDFF"/>
                                </w:tcPr>
                                <w:p>
                                  <w:pPr>
                                    <w:pStyle w:val="TableParagraph"/>
                                    <w:spacing w:before="13"/>
                                    <w:ind w:left="420"/>
                                    <w:rPr>
                                      <w:sz w:val="18"/>
                                    </w:rPr>
                                  </w:pPr>
                                  <w:r>
                                    <w:rPr>
                                      <w:spacing w:val="-2"/>
                                      <w:sz w:val="18"/>
                                    </w:rPr>
                                    <w:t>6,103</w:t>
                                  </w:r>
                                </w:p>
                              </w:tc>
                              <w:tc>
                                <w:tcPr>
                                  <w:tcW w:w="1079" w:type="dxa"/>
                                  <w:tcBorders>
                                    <w:top w:val="single" w:sz="4" w:space="0" w:color="000000"/>
                                  </w:tcBorders>
                                  <w:shd w:val="clear" w:color="auto" w:fill="CCEDFF"/>
                                </w:tcPr>
                                <w:p>
                                  <w:pPr>
                                    <w:pStyle w:val="TableParagraph"/>
                                    <w:spacing w:before="13"/>
                                    <w:ind w:left="620"/>
                                    <w:rPr>
                                      <w:sz w:val="18"/>
                                    </w:rPr>
                                  </w:pPr>
                                  <w:r>
                                    <w:rPr>
                                      <w:spacing w:val="-2"/>
                                      <w:sz w:val="18"/>
                                    </w:rPr>
                                    <w:t>(11)%</w:t>
                                  </w:r>
                                </w:p>
                              </w:tc>
                            </w:tr>
                            <w:tr>
                              <w:trPr>
                                <w:trHeight w:val="255" w:hRule="atLeast"/>
                              </w:trPr>
                              <w:tc>
                                <w:tcPr>
                                  <w:tcW w:w="3855" w:type="dxa"/>
                                </w:tcPr>
                                <w:p>
                                  <w:pPr>
                                    <w:pStyle w:val="TableParagraph"/>
                                    <w:spacing w:before="18"/>
                                    <w:ind w:left="52"/>
                                    <w:rPr>
                                      <w:sz w:val="18"/>
                                    </w:rPr>
                                  </w:pPr>
                                  <w:r>
                                    <w:rPr>
                                      <w:sz w:val="18"/>
                                    </w:rPr>
                                    <w:t>Product</w:t>
                                  </w:r>
                                  <w:r>
                                    <w:rPr>
                                      <w:spacing w:val="-3"/>
                                      <w:sz w:val="18"/>
                                    </w:rPr>
                                    <w:t> </w:t>
                                  </w:r>
                                  <w:r>
                                    <w:rPr>
                                      <w:sz w:val="18"/>
                                    </w:rPr>
                                    <w:t>as</w:t>
                                  </w:r>
                                  <w:r>
                                    <w:rPr>
                                      <w:spacing w:val="-1"/>
                                      <w:sz w:val="18"/>
                                    </w:rPr>
                                    <w:t> </w:t>
                                  </w:r>
                                  <w:r>
                                    <w:rPr>
                                      <w:sz w:val="18"/>
                                    </w:rPr>
                                    <w:t>a percentage of </w:t>
                                  </w:r>
                                  <w:r>
                                    <w:rPr>
                                      <w:spacing w:val="-4"/>
                                      <w:sz w:val="18"/>
                                    </w:rPr>
                                    <w:t>DATs</w:t>
                                  </w:r>
                                </w:p>
                              </w:tc>
                              <w:tc>
                                <w:tcPr>
                                  <w:tcW w:w="1061" w:type="dxa"/>
                                </w:tcPr>
                                <w:p>
                                  <w:pPr>
                                    <w:pStyle w:val="TableParagraph"/>
                                    <w:rPr>
                                      <w:sz w:val="18"/>
                                    </w:rPr>
                                  </w:pPr>
                                </w:p>
                              </w:tc>
                              <w:tc>
                                <w:tcPr>
                                  <w:tcW w:w="1083" w:type="dxa"/>
                                </w:tcPr>
                                <w:p>
                                  <w:pPr>
                                    <w:pStyle w:val="TableParagraph"/>
                                    <w:rPr>
                                      <w:sz w:val="18"/>
                                    </w:rPr>
                                  </w:pPr>
                                </w:p>
                              </w:tc>
                              <w:tc>
                                <w:tcPr>
                                  <w:tcW w:w="1109" w:type="dxa"/>
                                </w:tcPr>
                                <w:p>
                                  <w:pPr>
                                    <w:pStyle w:val="TableParagraph"/>
                                    <w:rPr>
                                      <w:sz w:val="18"/>
                                    </w:rPr>
                                  </w:pPr>
                                </w:p>
                              </w:tc>
                              <w:tc>
                                <w:tcPr>
                                  <w:tcW w:w="1022" w:type="dxa"/>
                                </w:tcPr>
                                <w:p>
                                  <w:pPr>
                                    <w:pStyle w:val="TableParagraph"/>
                                    <w:rPr>
                                      <w:sz w:val="18"/>
                                    </w:rPr>
                                  </w:pPr>
                                </w:p>
                              </w:tc>
                              <w:tc>
                                <w:tcPr>
                                  <w:tcW w:w="1045" w:type="dxa"/>
                                </w:tcPr>
                                <w:p>
                                  <w:pPr>
                                    <w:pStyle w:val="TableParagraph"/>
                                    <w:rPr>
                                      <w:sz w:val="18"/>
                                    </w:rPr>
                                  </w:pPr>
                                </w:p>
                              </w:tc>
                              <w:tc>
                                <w:tcPr>
                                  <w:tcW w:w="1079" w:type="dxa"/>
                                </w:tcPr>
                                <w:p>
                                  <w:pPr>
                                    <w:pStyle w:val="TableParagraph"/>
                                    <w:rPr>
                                      <w:sz w:val="18"/>
                                    </w:rPr>
                                  </w:pPr>
                                </w:p>
                              </w:tc>
                            </w:tr>
                            <w:tr>
                              <w:trPr>
                                <w:trHeight w:val="255" w:hRule="atLeast"/>
                              </w:trPr>
                              <w:tc>
                                <w:tcPr>
                                  <w:tcW w:w="3855" w:type="dxa"/>
                                  <w:shd w:val="clear" w:color="auto" w:fill="CCEDFF"/>
                                </w:tcPr>
                                <w:p>
                                  <w:pPr>
                                    <w:pStyle w:val="TableParagraph"/>
                                    <w:spacing w:before="18"/>
                                    <w:ind w:left="172"/>
                                    <w:rPr>
                                      <w:sz w:val="18"/>
                                    </w:rPr>
                                  </w:pPr>
                                  <w:r>
                                    <w:rPr>
                                      <w:spacing w:val="-2"/>
                                      <w:sz w:val="18"/>
                                    </w:rPr>
                                    <w:t>Equities</w:t>
                                  </w:r>
                                </w:p>
                              </w:tc>
                              <w:tc>
                                <w:tcPr>
                                  <w:tcW w:w="1061" w:type="dxa"/>
                                  <w:shd w:val="clear" w:color="auto" w:fill="CCEDFF"/>
                                </w:tcPr>
                                <w:p>
                                  <w:pPr>
                                    <w:pStyle w:val="TableParagraph"/>
                                    <w:spacing w:before="18"/>
                                    <w:ind w:right="98"/>
                                    <w:jc w:val="right"/>
                                    <w:rPr>
                                      <w:sz w:val="18"/>
                                    </w:rPr>
                                  </w:pPr>
                                  <w:r>
                                    <w:rPr>
                                      <w:spacing w:val="-5"/>
                                      <w:sz w:val="18"/>
                                    </w:rPr>
                                    <w:t>49%</w:t>
                                  </w:r>
                                </w:p>
                              </w:tc>
                              <w:tc>
                                <w:tcPr>
                                  <w:tcW w:w="1083" w:type="dxa"/>
                                  <w:shd w:val="clear" w:color="auto" w:fill="CCEDFF"/>
                                </w:tcPr>
                                <w:p>
                                  <w:pPr>
                                    <w:pStyle w:val="TableParagraph"/>
                                    <w:spacing w:before="18"/>
                                    <w:ind w:right="71"/>
                                    <w:jc w:val="right"/>
                                    <w:rPr>
                                      <w:sz w:val="18"/>
                                    </w:rPr>
                                  </w:pPr>
                                  <w:r>
                                    <w:rPr>
                                      <w:spacing w:val="-5"/>
                                      <w:sz w:val="18"/>
                                    </w:rPr>
                                    <w:t>50%</w:t>
                                  </w:r>
                                </w:p>
                              </w:tc>
                              <w:tc>
                                <w:tcPr>
                                  <w:tcW w:w="1109" w:type="dxa"/>
                                  <w:shd w:val="clear" w:color="auto" w:fill="CCEDFF"/>
                                </w:tcPr>
                                <w:p>
                                  <w:pPr>
                                    <w:pStyle w:val="TableParagraph"/>
                                    <w:rPr>
                                      <w:sz w:val="18"/>
                                    </w:rPr>
                                  </w:pPr>
                                </w:p>
                              </w:tc>
                              <w:tc>
                                <w:tcPr>
                                  <w:tcW w:w="1022" w:type="dxa"/>
                                  <w:shd w:val="clear" w:color="auto" w:fill="CCEDFF"/>
                                </w:tcPr>
                                <w:p>
                                  <w:pPr>
                                    <w:pStyle w:val="TableParagraph"/>
                                    <w:spacing w:before="18"/>
                                    <w:ind w:left="602"/>
                                    <w:rPr>
                                      <w:sz w:val="18"/>
                                    </w:rPr>
                                  </w:pPr>
                                  <w:r>
                                    <w:rPr>
                                      <w:spacing w:val="-5"/>
                                      <w:sz w:val="18"/>
                                    </w:rPr>
                                    <w:t>49%</w:t>
                                  </w:r>
                                </w:p>
                              </w:tc>
                              <w:tc>
                                <w:tcPr>
                                  <w:tcW w:w="1045" w:type="dxa"/>
                                  <w:shd w:val="clear" w:color="auto" w:fill="CCEDFF"/>
                                </w:tcPr>
                                <w:p>
                                  <w:pPr>
                                    <w:pStyle w:val="TableParagraph"/>
                                    <w:spacing w:before="18"/>
                                    <w:ind w:right="67"/>
                                    <w:jc w:val="right"/>
                                    <w:rPr>
                                      <w:sz w:val="18"/>
                                    </w:rPr>
                                  </w:pPr>
                                  <w:r>
                                    <w:rPr>
                                      <w:spacing w:val="-5"/>
                                      <w:sz w:val="18"/>
                                    </w:rPr>
                                    <w:t>51%</w:t>
                                  </w:r>
                                </w:p>
                              </w:tc>
                              <w:tc>
                                <w:tcPr>
                                  <w:tcW w:w="1079" w:type="dxa"/>
                                  <w:shd w:val="clear" w:color="auto" w:fill="CCEDFF"/>
                                </w:tcPr>
                                <w:p>
                                  <w:pPr>
                                    <w:pStyle w:val="TableParagraph"/>
                                    <w:rPr>
                                      <w:sz w:val="18"/>
                                    </w:rPr>
                                  </w:pPr>
                                </w:p>
                              </w:tc>
                            </w:tr>
                            <w:tr>
                              <w:trPr>
                                <w:trHeight w:val="255" w:hRule="atLeast"/>
                              </w:trPr>
                              <w:tc>
                                <w:tcPr>
                                  <w:tcW w:w="3855" w:type="dxa"/>
                                </w:tcPr>
                                <w:p>
                                  <w:pPr>
                                    <w:pStyle w:val="TableParagraph"/>
                                    <w:spacing w:before="18"/>
                                    <w:ind w:left="172"/>
                                    <w:rPr>
                                      <w:sz w:val="18"/>
                                    </w:rPr>
                                  </w:pPr>
                                  <w:r>
                                    <w:rPr>
                                      <w:spacing w:val="-2"/>
                                      <w:sz w:val="18"/>
                                    </w:rPr>
                                    <w:t>Derivatives</w:t>
                                  </w:r>
                                </w:p>
                              </w:tc>
                              <w:tc>
                                <w:tcPr>
                                  <w:tcW w:w="1061" w:type="dxa"/>
                                </w:tcPr>
                                <w:p>
                                  <w:pPr>
                                    <w:pStyle w:val="TableParagraph"/>
                                    <w:spacing w:before="18"/>
                                    <w:ind w:right="98"/>
                                    <w:jc w:val="right"/>
                                    <w:rPr>
                                      <w:sz w:val="18"/>
                                    </w:rPr>
                                  </w:pPr>
                                  <w:r>
                                    <w:rPr>
                                      <w:spacing w:val="-5"/>
                                      <w:sz w:val="18"/>
                                    </w:rPr>
                                    <w:t>24%</w:t>
                                  </w:r>
                                </w:p>
                              </w:tc>
                              <w:tc>
                                <w:tcPr>
                                  <w:tcW w:w="1083" w:type="dxa"/>
                                </w:tcPr>
                                <w:p>
                                  <w:pPr>
                                    <w:pStyle w:val="TableParagraph"/>
                                    <w:spacing w:before="18"/>
                                    <w:ind w:right="71"/>
                                    <w:jc w:val="right"/>
                                    <w:rPr>
                                      <w:sz w:val="18"/>
                                    </w:rPr>
                                  </w:pPr>
                                  <w:r>
                                    <w:rPr>
                                      <w:spacing w:val="-5"/>
                                      <w:sz w:val="18"/>
                                    </w:rPr>
                                    <w:t>24%</w:t>
                                  </w:r>
                                </w:p>
                              </w:tc>
                              <w:tc>
                                <w:tcPr>
                                  <w:tcW w:w="1109" w:type="dxa"/>
                                </w:tcPr>
                                <w:p>
                                  <w:pPr>
                                    <w:pStyle w:val="TableParagraph"/>
                                    <w:rPr>
                                      <w:sz w:val="18"/>
                                    </w:rPr>
                                  </w:pPr>
                                </w:p>
                              </w:tc>
                              <w:tc>
                                <w:tcPr>
                                  <w:tcW w:w="1022" w:type="dxa"/>
                                </w:tcPr>
                                <w:p>
                                  <w:pPr>
                                    <w:pStyle w:val="TableParagraph"/>
                                    <w:spacing w:before="18"/>
                                    <w:ind w:left="602"/>
                                    <w:rPr>
                                      <w:sz w:val="18"/>
                                    </w:rPr>
                                  </w:pPr>
                                  <w:r>
                                    <w:rPr>
                                      <w:spacing w:val="-5"/>
                                      <w:sz w:val="18"/>
                                    </w:rPr>
                                    <w:t>23%</w:t>
                                  </w:r>
                                </w:p>
                              </w:tc>
                              <w:tc>
                                <w:tcPr>
                                  <w:tcW w:w="1045" w:type="dxa"/>
                                </w:tcPr>
                                <w:p>
                                  <w:pPr>
                                    <w:pStyle w:val="TableParagraph"/>
                                    <w:spacing w:before="18"/>
                                    <w:ind w:right="67"/>
                                    <w:jc w:val="right"/>
                                    <w:rPr>
                                      <w:sz w:val="18"/>
                                    </w:rPr>
                                  </w:pPr>
                                  <w:r>
                                    <w:rPr>
                                      <w:spacing w:val="-5"/>
                                      <w:sz w:val="18"/>
                                    </w:rPr>
                                    <w:t>23%</w:t>
                                  </w:r>
                                </w:p>
                              </w:tc>
                              <w:tc>
                                <w:tcPr>
                                  <w:tcW w:w="1079" w:type="dxa"/>
                                </w:tcPr>
                                <w:p>
                                  <w:pPr>
                                    <w:pStyle w:val="TableParagraph"/>
                                    <w:rPr>
                                      <w:sz w:val="18"/>
                                    </w:rPr>
                                  </w:pPr>
                                </w:p>
                              </w:tc>
                            </w:tr>
                            <w:tr>
                              <w:trPr>
                                <w:trHeight w:val="255" w:hRule="atLeast"/>
                              </w:trPr>
                              <w:tc>
                                <w:tcPr>
                                  <w:tcW w:w="3855" w:type="dxa"/>
                                  <w:shd w:val="clear" w:color="auto" w:fill="CCEDFF"/>
                                </w:tcPr>
                                <w:p>
                                  <w:pPr>
                                    <w:pStyle w:val="TableParagraph"/>
                                    <w:spacing w:before="18"/>
                                    <w:ind w:left="172"/>
                                    <w:rPr>
                                      <w:sz w:val="18"/>
                                    </w:rPr>
                                  </w:pPr>
                                  <w:r>
                                    <w:rPr>
                                      <w:spacing w:val="-4"/>
                                      <w:sz w:val="18"/>
                                    </w:rPr>
                                    <w:t>ETFs</w:t>
                                  </w:r>
                                </w:p>
                              </w:tc>
                              <w:tc>
                                <w:tcPr>
                                  <w:tcW w:w="1061" w:type="dxa"/>
                                  <w:shd w:val="clear" w:color="auto" w:fill="CCEDFF"/>
                                </w:tcPr>
                                <w:p>
                                  <w:pPr>
                                    <w:pStyle w:val="TableParagraph"/>
                                    <w:spacing w:before="18"/>
                                    <w:ind w:right="98"/>
                                    <w:jc w:val="right"/>
                                    <w:rPr>
                                      <w:sz w:val="18"/>
                                    </w:rPr>
                                  </w:pPr>
                                  <w:r>
                                    <w:rPr>
                                      <w:spacing w:val="-5"/>
                                      <w:sz w:val="18"/>
                                    </w:rPr>
                                    <w:t>19%</w:t>
                                  </w:r>
                                </w:p>
                              </w:tc>
                              <w:tc>
                                <w:tcPr>
                                  <w:tcW w:w="1083" w:type="dxa"/>
                                  <w:shd w:val="clear" w:color="auto" w:fill="CCEDFF"/>
                                </w:tcPr>
                                <w:p>
                                  <w:pPr>
                                    <w:pStyle w:val="TableParagraph"/>
                                    <w:spacing w:before="18"/>
                                    <w:ind w:right="71"/>
                                    <w:jc w:val="right"/>
                                    <w:rPr>
                                      <w:sz w:val="18"/>
                                    </w:rPr>
                                  </w:pPr>
                                  <w:r>
                                    <w:rPr>
                                      <w:spacing w:val="-5"/>
                                      <w:sz w:val="18"/>
                                    </w:rPr>
                                    <w:t>20%</w:t>
                                  </w:r>
                                </w:p>
                              </w:tc>
                              <w:tc>
                                <w:tcPr>
                                  <w:tcW w:w="1109" w:type="dxa"/>
                                  <w:shd w:val="clear" w:color="auto" w:fill="CCEDFF"/>
                                </w:tcPr>
                                <w:p>
                                  <w:pPr>
                                    <w:pStyle w:val="TableParagraph"/>
                                    <w:rPr>
                                      <w:sz w:val="18"/>
                                    </w:rPr>
                                  </w:pPr>
                                </w:p>
                              </w:tc>
                              <w:tc>
                                <w:tcPr>
                                  <w:tcW w:w="1022" w:type="dxa"/>
                                  <w:shd w:val="clear" w:color="auto" w:fill="CCEDFF"/>
                                </w:tcPr>
                                <w:p>
                                  <w:pPr>
                                    <w:pStyle w:val="TableParagraph"/>
                                    <w:spacing w:before="18"/>
                                    <w:ind w:left="602"/>
                                    <w:rPr>
                                      <w:sz w:val="18"/>
                                    </w:rPr>
                                  </w:pPr>
                                  <w:r>
                                    <w:rPr>
                                      <w:spacing w:val="-5"/>
                                      <w:sz w:val="18"/>
                                    </w:rPr>
                                    <w:t>20%</w:t>
                                  </w:r>
                                </w:p>
                              </w:tc>
                              <w:tc>
                                <w:tcPr>
                                  <w:tcW w:w="1045" w:type="dxa"/>
                                  <w:shd w:val="clear" w:color="auto" w:fill="CCEDFF"/>
                                </w:tcPr>
                                <w:p>
                                  <w:pPr>
                                    <w:pStyle w:val="TableParagraph"/>
                                    <w:spacing w:before="18"/>
                                    <w:ind w:right="67"/>
                                    <w:jc w:val="right"/>
                                    <w:rPr>
                                      <w:sz w:val="18"/>
                                    </w:rPr>
                                  </w:pPr>
                                  <w:r>
                                    <w:rPr>
                                      <w:spacing w:val="-5"/>
                                      <w:sz w:val="18"/>
                                    </w:rPr>
                                    <w:t>20%</w:t>
                                  </w:r>
                                </w:p>
                              </w:tc>
                              <w:tc>
                                <w:tcPr>
                                  <w:tcW w:w="1079" w:type="dxa"/>
                                  <w:shd w:val="clear" w:color="auto" w:fill="CCEDFF"/>
                                </w:tcPr>
                                <w:p>
                                  <w:pPr>
                                    <w:pStyle w:val="TableParagraph"/>
                                    <w:rPr>
                                      <w:sz w:val="18"/>
                                    </w:rPr>
                                  </w:pPr>
                                </w:p>
                              </w:tc>
                            </w:tr>
                            <w:tr>
                              <w:trPr>
                                <w:trHeight w:val="255" w:hRule="atLeast"/>
                              </w:trPr>
                              <w:tc>
                                <w:tcPr>
                                  <w:tcW w:w="3855" w:type="dxa"/>
                                </w:tcPr>
                                <w:p>
                                  <w:pPr>
                                    <w:pStyle w:val="TableParagraph"/>
                                    <w:spacing w:before="18"/>
                                    <w:ind w:left="172"/>
                                    <w:rPr>
                                      <w:sz w:val="18"/>
                                    </w:rPr>
                                  </w:pPr>
                                  <w:r>
                                    <w:rPr>
                                      <w:sz w:val="18"/>
                                    </w:rPr>
                                    <w:t>Mutual</w:t>
                                  </w:r>
                                  <w:r>
                                    <w:rPr>
                                      <w:spacing w:val="-1"/>
                                      <w:sz w:val="18"/>
                                    </w:rPr>
                                    <w:t> </w:t>
                                  </w:r>
                                  <w:r>
                                    <w:rPr>
                                      <w:spacing w:val="-2"/>
                                      <w:sz w:val="18"/>
                                    </w:rPr>
                                    <w:t>funds</w:t>
                                  </w:r>
                                </w:p>
                              </w:tc>
                              <w:tc>
                                <w:tcPr>
                                  <w:tcW w:w="1061" w:type="dxa"/>
                                </w:tcPr>
                                <w:p>
                                  <w:pPr>
                                    <w:pStyle w:val="TableParagraph"/>
                                    <w:spacing w:before="18"/>
                                    <w:ind w:right="98"/>
                                    <w:jc w:val="right"/>
                                    <w:rPr>
                                      <w:sz w:val="18"/>
                                    </w:rPr>
                                  </w:pPr>
                                  <w:r>
                                    <w:rPr>
                                      <w:spacing w:val="-5"/>
                                      <w:sz w:val="18"/>
                                    </w:rPr>
                                    <w:t>6%</w:t>
                                  </w:r>
                                </w:p>
                              </w:tc>
                              <w:tc>
                                <w:tcPr>
                                  <w:tcW w:w="1083" w:type="dxa"/>
                                </w:tcPr>
                                <w:p>
                                  <w:pPr>
                                    <w:pStyle w:val="TableParagraph"/>
                                    <w:spacing w:before="18"/>
                                    <w:ind w:right="71"/>
                                    <w:jc w:val="right"/>
                                    <w:rPr>
                                      <w:sz w:val="18"/>
                                    </w:rPr>
                                  </w:pPr>
                                  <w:r>
                                    <w:rPr>
                                      <w:spacing w:val="-5"/>
                                      <w:sz w:val="18"/>
                                    </w:rPr>
                                    <w:t>5%</w:t>
                                  </w:r>
                                </w:p>
                              </w:tc>
                              <w:tc>
                                <w:tcPr>
                                  <w:tcW w:w="1109" w:type="dxa"/>
                                </w:tcPr>
                                <w:p>
                                  <w:pPr>
                                    <w:pStyle w:val="TableParagraph"/>
                                    <w:rPr>
                                      <w:sz w:val="18"/>
                                    </w:rPr>
                                  </w:pPr>
                                </w:p>
                              </w:tc>
                              <w:tc>
                                <w:tcPr>
                                  <w:tcW w:w="1022" w:type="dxa"/>
                                </w:tcPr>
                                <w:p>
                                  <w:pPr>
                                    <w:pStyle w:val="TableParagraph"/>
                                    <w:spacing w:before="18"/>
                                    <w:ind w:right="87"/>
                                    <w:jc w:val="right"/>
                                    <w:rPr>
                                      <w:sz w:val="18"/>
                                    </w:rPr>
                                  </w:pPr>
                                  <w:r>
                                    <w:rPr>
                                      <w:spacing w:val="-5"/>
                                      <w:sz w:val="18"/>
                                    </w:rPr>
                                    <w:t>6%</w:t>
                                  </w:r>
                                </w:p>
                              </w:tc>
                              <w:tc>
                                <w:tcPr>
                                  <w:tcW w:w="1045" w:type="dxa"/>
                                </w:tcPr>
                                <w:p>
                                  <w:pPr>
                                    <w:pStyle w:val="TableParagraph"/>
                                    <w:spacing w:before="18"/>
                                    <w:ind w:right="67"/>
                                    <w:jc w:val="right"/>
                                    <w:rPr>
                                      <w:sz w:val="18"/>
                                    </w:rPr>
                                  </w:pPr>
                                  <w:r>
                                    <w:rPr>
                                      <w:spacing w:val="-5"/>
                                      <w:sz w:val="18"/>
                                    </w:rPr>
                                    <w:t>5%</w:t>
                                  </w:r>
                                </w:p>
                              </w:tc>
                              <w:tc>
                                <w:tcPr>
                                  <w:tcW w:w="1079" w:type="dxa"/>
                                </w:tcPr>
                                <w:p>
                                  <w:pPr>
                                    <w:pStyle w:val="TableParagraph"/>
                                    <w:rPr>
                                      <w:sz w:val="18"/>
                                    </w:rPr>
                                  </w:pPr>
                                </w:p>
                              </w:tc>
                            </w:tr>
                            <w:tr>
                              <w:trPr>
                                <w:trHeight w:val="255" w:hRule="atLeast"/>
                              </w:trPr>
                              <w:tc>
                                <w:tcPr>
                                  <w:tcW w:w="3855" w:type="dxa"/>
                                  <w:shd w:val="clear" w:color="auto" w:fill="CCEDFF"/>
                                </w:tcPr>
                                <w:p>
                                  <w:pPr>
                                    <w:pStyle w:val="TableParagraph"/>
                                    <w:spacing w:before="18"/>
                                    <w:ind w:left="172"/>
                                    <w:rPr>
                                      <w:sz w:val="18"/>
                                    </w:rPr>
                                  </w:pPr>
                                  <w:r>
                                    <w:rPr>
                                      <w:sz w:val="18"/>
                                    </w:rPr>
                                    <w:t>Fixed</w:t>
                                  </w:r>
                                  <w:r>
                                    <w:rPr>
                                      <w:spacing w:val="-1"/>
                                      <w:sz w:val="18"/>
                                    </w:rPr>
                                    <w:t> </w:t>
                                  </w:r>
                                  <w:r>
                                    <w:rPr>
                                      <w:spacing w:val="-2"/>
                                      <w:sz w:val="18"/>
                                    </w:rPr>
                                    <w:t>income</w:t>
                                  </w:r>
                                </w:p>
                              </w:tc>
                              <w:tc>
                                <w:tcPr>
                                  <w:tcW w:w="1061" w:type="dxa"/>
                                  <w:shd w:val="clear" w:color="auto" w:fill="CCEDFF"/>
                                </w:tcPr>
                                <w:p>
                                  <w:pPr>
                                    <w:pStyle w:val="TableParagraph"/>
                                    <w:spacing w:before="18"/>
                                    <w:ind w:right="98"/>
                                    <w:jc w:val="right"/>
                                    <w:rPr>
                                      <w:sz w:val="18"/>
                                    </w:rPr>
                                  </w:pPr>
                                  <w:r>
                                    <w:rPr>
                                      <w:spacing w:val="-5"/>
                                      <w:sz w:val="18"/>
                                    </w:rPr>
                                    <w:t>2%</w:t>
                                  </w:r>
                                </w:p>
                              </w:tc>
                              <w:tc>
                                <w:tcPr>
                                  <w:tcW w:w="1083" w:type="dxa"/>
                                  <w:shd w:val="clear" w:color="auto" w:fill="CCEDFF"/>
                                </w:tcPr>
                                <w:p>
                                  <w:pPr>
                                    <w:pStyle w:val="TableParagraph"/>
                                    <w:spacing w:before="18"/>
                                    <w:ind w:right="71"/>
                                    <w:jc w:val="right"/>
                                    <w:rPr>
                                      <w:sz w:val="18"/>
                                    </w:rPr>
                                  </w:pPr>
                                  <w:r>
                                    <w:rPr>
                                      <w:spacing w:val="-5"/>
                                      <w:sz w:val="18"/>
                                    </w:rPr>
                                    <w:t>1%</w:t>
                                  </w:r>
                                </w:p>
                              </w:tc>
                              <w:tc>
                                <w:tcPr>
                                  <w:tcW w:w="1109" w:type="dxa"/>
                                  <w:shd w:val="clear" w:color="auto" w:fill="CCEDFF"/>
                                </w:tcPr>
                                <w:p>
                                  <w:pPr>
                                    <w:pStyle w:val="TableParagraph"/>
                                    <w:rPr>
                                      <w:sz w:val="18"/>
                                    </w:rPr>
                                  </w:pPr>
                                </w:p>
                              </w:tc>
                              <w:tc>
                                <w:tcPr>
                                  <w:tcW w:w="1022" w:type="dxa"/>
                                  <w:shd w:val="clear" w:color="auto" w:fill="CCEDFF"/>
                                </w:tcPr>
                                <w:p>
                                  <w:pPr>
                                    <w:pStyle w:val="TableParagraph"/>
                                    <w:spacing w:before="18"/>
                                    <w:ind w:right="87"/>
                                    <w:jc w:val="right"/>
                                    <w:rPr>
                                      <w:sz w:val="18"/>
                                    </w:rPr>
                                  </w:pPr>
                                  <w:r>
                                    <w:rPr>
                                      <w:spacing w:val="-5"/>
                                      <w:sz w:val="18"/>
                                    </w:rPr>
                                    <w:t>2%</w:t>
                                  </w:r>
                                </w:p>
                              </w:tc>
                              <w:tc>
                                <w:tcPr>
                                  <w:tcW w:w="1045" w:type="dxa"/>
                                  <w:shd w:val="clear" w:color="auto" w:fill="CCEDFF"/>
                                </w:tcPr>
                                <w:p>
                                  <w:pPr>
                                    <w:pStyle w:val="TableParagraph"/>
                                    <w:spacing w:before="18"/>
                                    <w:ind w:right="67"/>
                                    <w:jc w:val="right"/>
                                    <w:rPr>
                                      <w:sz w:val="18"/>
                                    </w:rPr>
                                  </w:pPr>
                                  <w:r>
                                    <w:rPr>
                                      <w:spacing w:val="-5"/>
                                      <w:sz w:val="18"/>
                                    </w:rPr>
                                    <w:t>1%</w:t>
                                  </w:r>
                                </w:p>
                              </w:tc>
                              <w:tc>
                                <w:tcPr>
                                  <w:tcW w:w="1079" w:type="dxa"/>
                                  <w:shd w:val="clear" w:color="auto" w:fill="CCEDFF"/>
                                </w:tcPr>
                                <w:p>
                                  <w:pPr>
                                    <w:pStyle w:val="TableParagraph"/>
                                    <w:rPr>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46.5pt;margin-top:11.17544pt;width:519pt;height:102.25pt;mso-position-horizontal-relative:page;mso-position-vertical-relative:paragraph;z-index:15733760" type="#_x0000_t202" id="docshape2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5"/>
                        <w:gridCol w:w="1061"/>
                        <w:gridCol w:w="1083"/>
                        <w:gridCol w:w="1109"/>
                        <w:gridCol w:w="1022"/>
                        <w:gridCol w:w="1045"/>
                        <w:gridCol w:w="1079"/>
                      </w:tblGrid>
                      <w:tr>
                        <w:trPr>
                          <w:trHeight w:val="245" w:hRule="atLeast"/>
                        </w:trPr>
                        <w:tc>
                          <w:tcPr>
                            <w:tcW w:w="3855" w:type="dxa"/>
                            <w:tcBorders>
                              <w:bottom w:val="single" w:sz="4" w:space="0" w:color="000000"/>
                            </w:tcBorders>
                          </w:tcPr>
                          <w:p>
                            <w:pPr>
                              <w:pStyle w:val="TableParagraph"/>
                              <w:rPr>
                                <w:sz w:val="16"/>
                              </w:rPr>
                            </w:pPr>
                          </w:p>
                        </w:tc>
                        <w:tc>
                          <w:tcPr>
                            <w:tcW w:w="1061" w:type="dxa"/>
                            <w:tcBorders>
                              <w:top w:val="single" w:sz="4" w:space="0" w:color="000000"/>
                              <w:bottom w:val="single" w:sz="4" w:space="0" w:color="000000"/>
                            </w:tcBorders>
                          </w:tcPr>
                          <w:p>
                            <w:pPr>
                              <w:pStyle w:val="TableParagraph"/>
                              <w:spacing w:before="13"/>
                              <w:ind w:left="337"/>
                              <w:rPr>
                                <w:sz w:val="18"/>
                              </w:rPr>
                            </w:pPr>
                            <w:r>
                              <w:rPr>
                                <w:spacing w:val="-4"/>
                                <w:sz w:val="18"/>
                              </w:rPr>
                              <w:t>2023</w:t>
                            </w:r>
                          </w:p>
                        </w:tc>
                        <w:tc>
                          <w:tcPr>
                            <w:tcW w:w="1083" w:type="dxa"/>
                            <w:tcBorders>
                              <w:top w:val="single" w:sz="4" w:space="0" w:color="000000"/>
                              <w:bottom w:val="single" w:sz="4" w:space="0" w:color="000000"/>
                            </w:tcBorders>
                          </w:tcPr>
                          <w:p>
                            <w:pPr>
                              <w:pStyle w:val="TableParagraph"/>
                              <w:spacing w:before="13"/>
                              <w:ind w:left="386"/>
                              <w:rPr>
                                <w:sz w:val="18"/>
                              </w:rPr>
                            </w:pPr>
                            <w:r>
                              <w:rPr>
                                <w:spacing w:val="-4"/>
                                <w:sz w:val="18"/>
                              </w:rPr>
                              <w:t>2022</w:t>
                            </w:r>
                          </w:p>
                        </w:tc>
                        <w:tc>
                          <w:tcPr>
                            <w:tcW w:w="1109" w:type="dxa"/>
                            <w:tcBorders>
                              <w:bottom w:val="single" w:sz="4" w:space="0" w:color="000000"/>
                            </w:tcBorders>
                          </w:tcPr>
                          <w:p>
                            <w:pPr>
                              <w:pStyle w:val="TableParagraph"/>
                              <w:spacing w:before="13"/>
                              <w:ind w:left="318"/>
                              <w:rPr>
                                <w:sz w:val="18"/>
                              </w:rPr>
                            </w:pPr>
                            <w:r>
                              <w:rPr>
                                <w:spacing w:val="-2"/>
                                <w:sz w:val="18"/>
                              </w:rPr>
                              <w:t>Change</w:t>
                            </w:r>
                          </w:p>
                        </w:tc>
                        <w:tc>
                          <w:tcPr>
                            <w:tcW w:w="1022" w:type="dxa"/>
                            <w:tcBorders>
                              <w:top w:val="single" w:sz="4" w:space="0" w:color="000000"/>
                              <w:bottom w:val="single" w:sz="4" w:space="0" w:color="000000"/>
                            </w:tcBorders>
                          </w:tcPr>
                          <w:p>
                            <w:pPr>
                              <w:pStyle w:val="TableParagraph"/>
                              <w:spacing w:before="13"/>
                              <w:ind w:left="324"/>
                              <w:rPr>
                                <w:sz w:val="18"/>
                              </w:rPr>
                            </w:pPr>
                            <w:r>
                              <w:rPr>
                                <w:spacing w:val="-4"/>
                                <w:sz w:val="18"/>
                              </w:rPr>
                              <w:t>2023</w:t>
                            </w:r>
                          </w:p>
                        </w:tc>
                        <w:tc>
                          <w:tcPr>
                            <w:tcW w:w="1045" w:type="dxa"/>
                            <w:tcBorders>
                              <w:top w:val="single" w:sz="4" w:space="0" w:color="000000"/>
                              <w:bottom w:val="single" w:sz="4" w:space="0" w:color="000000"/>
                            </w:tcBorders>
                          </w:tcPr>
                          <w:p>
                            <w:pPr>
                              <w:pStyle w:val="TableParagraph"/>
                              <w:spacing w:before="13"/>
                              <w:ind w:left="367"/>
                              <w:rPr>
                                <w:sz w:val="18"/>
                              </w:rPr>
                            </w:pPr>
                            <w:r>
                              <w:rPr>
                                <w:spacing w:val="-4"/>
                                <w:sz w:val="18"/>
                              </w:rPr>
                              <w:t>2022</w:t>
                            </w:r>
                          </w:p>
                        </w:tc>
                        <w:tc>
                          <w:tcPr>
                            <w:tcW w:w="1079" w:type="dxa"/>
                            <w:tcBorders>
                              <w:bottom w:val="single" w:sz="4" w:space="0" w:color="000000"/>
                            </w:tcBorders>
                          </w:tcPr>
                          <w:p>
                            <w:pPr>
                              <w:pStyle w:val="TableParagraph"/>
                              <w:spacing w:before="13"/>
                              <w:ind w:left="307"/>
                              <w:rPr>
                                <w:sz w:val="18"/>
                              </w:rPr>
                            </w:pPr>
                            <w:r>
                              <w:rPr>
                                <w:spacing w:val="-2"/>
                                <w:sz w:val="18"/>
                              </w:rPr>
                              <w:t>Change</w:t>
                            </w:r>
                          </w:p>
                        </w:tc>
                      </w:tr>
                      <w:tr>
                        <w:trPr>
                          <w:trHeight w:val="250" w:hRule="atLeast"/>
                        </w:trPr>
                        <w:tc>
                          <w:tcPr>
                            <w:tcW w:w="3855" w:type="dxa"/>
                            <w:tcBorders>
                              <w:top w:val="single" w:sz="4" w:space="0" w:color="000000"/>
                            </w:tcBorders>
                            <w:shd w:val="clear" w:color="auto" w:fill="CCEDFF"/>
                          </w:tcPr>
                          <w:p>
                            <w:pPr>
                              <w:pStyle w:val="TableParagraph"/>
                              <w:spacing w:before="13"/>
                              <w:ind w:left="52"/>
                              <w:rPr>
                                <w:sz w:val="18"/>
                              </w:rPr>
                            </w:pPr>
                            <w:r>
                              <w:rPr>
                                <w:sz w:val="18"/>
                              </w:rPr>
                              <w:t>DATs</w:t>
                            </w:r>
                            <w:r>
                              <w:rPr>
                                <w:spacing w:val="-2"/>
                                <w:sz w:val="18"/>
                              </w:rPr>
                              <w:t> </w:t>
                            </w:r>
                            <w:r>
                              <w:rPr>
                                <w:sz w:val="18"/>
                              </w:rPr>
                              <w:t>(in</w:t>
                            </w:r>
                            <w:r>
                              <w:rPr>
                                <w:spacing w:val="-1"/>
                                <w:sz w:val="18"/>
                              </w:rPr>
                              <w:t> </w:t>
                            </w:r>
                            <w:r>
                              <w:rPr>
                                <w:spacing w:val="-2"/>
                                <w:sz w:val="18"/>
                              </w:rPr>
                              <w:t>thousands)</w:t>
                            </w:r>
                          </w:p>
                        </w:tc>
                        <w:tc>
                          <w:tcPr>
                            <w:tcW w:w="1061" w:type="dxa"/>
                            <w:tcBorders>
                              <w:top w:val="single" w:sz="4" w:space="0" w:color="000000"/>
                            </w:tcBorders>
                            <w:shd w:val="clear" w:color="auto" w:fill="CCEDFF"/>
                          </w:tcPr>
                          <w:p>
                            <w:pPr>
                              <w:pStyle w:val="TableParagraph"/>
                              <w:spacing w:before="13"/>
                              <w:ind w:left="405"/>
                              <w:rPr>
                                <w:sz w:val="18"/>
                              </w:rPr>
                            </w:pPr>
                            <w:r>
                              <w:rPr>
                                <w:spacing w:val="-2"/>
                                <w:sz w:val="18"/>
                              </w:rPr>
                              <w:t>5,218</w:t>
                            </w:r>
                          </w:p>
                        </w:tc>
                        <w:tc>
                          <w:tcPr>
                            <w:tcW w:w="1083" w:type="dxa"/>
                            <w:tcBorders>
                              <w:top w:val="single" w:sz="4" w:space="0" w:color="000000"/>
                            </w:tcBorders>
                            <w:shd w:val="clear" w:color="auto" w:fill="CCEDFF"/>
                          </w:tcPr>
                          <w:p>
                            <w:pPr>
                              <w:pStyle w:val="TableParagraph"/>
                              <w:spacing w:before="13"/>
                              <w:ind w:right="221"/>
                              <w:jc w:val="right"/>
                              <w:rPr>
                                <w:sz w:val="18"/>
                              </w:rPr>
                            </w:pPr>
                            <w:r>
                              <w:rPr>
                                <w:spacing w:val="-2"/>
                                <w:sz w:val="18"/>
                              </w:rPr>
                              <w:t>5,523</w:t>
                            </w:r>
                          </w:p>
                        </w:tc>
                        <w:tc>
                          <w:tcPr>
                            <w:tcW w:w="1109" w:type="dxa"/>
                            <w:tcBorders>
                              <w:top w:val="single" w:sz="4" w:space="0" w:color="000000"/>
                            </w:tcBorders>
                            <w:shd w:val="clear" w:color="auto" w:fill="CCEDFF"/>
                          </w:tcPr>
                          <w:p>
                            <w:pPr>
                              <w:pStyle w:val="TableParagraph"/>
                              <w:spacing w:before="13"/>
                              <w:ind w:left="736"/>
                              <w:rPr>
                                <w:sz w:val="18"/>
                              </w:rPr>
                            </w:pPr>
                            <w:r>
                              <w:rPr>
                                <w:spacing w:val="-4"/>
                                <w:sz w:val="18"/>
                              </w:rPr>
                              <w:t>(6)%</w:t>
                            </w:r>
                          </w:p>
                        </w:tc>
                        <w:tc>
                          <w:tcPr>
                            <w:tcW w:w="1022" w:type="dxa"/>
                            <w:tcBorders>
                              <w:top w:val="single" w:sz="4" w:space="0" w:color="000000"/>
                            </w:tcBorders>
                            <w:shd w:val="clear" w:color="auto" w:fill="CCEDFF"/>
                          </w:tcPr>
                          <w:p>
                            <w:pPr>
                              <w:pStyle w:val="TableParagraph"/>
                              <w:spacing w:before="13"/>
                              <w:ind w:left="377"/>
                              <w:rPr>
                                <w:sz w:val="18"/>
                              </w:rPr>
                            </w:pPr>
                            <w:r>
                              <w:rPr>
                                <w:spacing w:val="-2"/>
                                <w:sz w:val="18"/>
                              </w:rPr>
                              <w:t>5,461</w:t>
                            </w:r>
                          </w:p>
                        </w:tc>
                        <w:tc>
                          <w:tcPr>
                            <w:tcW w:w="1045" w:type="dxa"/>
                            <w:tcBorders>
                              <w:top w:val="single" w:sz="4" w:space="0" w:color="000000"/>
                            </w:tcBorders>
                            <w:shd w:val="clear" w:color="auto" w:fill="CCEDFF"/>
                          </w:tcPr>
                          <w:p>
                            <w:pPr>
                              <w:pStyle w:val="TableParagraph"/>
                              <w:spacing w:before="13"/>
                              <w:ind w:left="420"/>
                              <w:rPr>
                                <w:sz w:val="18"/>
                              </w:rPr>
                            </w:pPr>
                            <w:r>
                              <w:rPr>
                                <w:spacing w:val="-2"/>
                                <w:sz w:val="18"/>
                              </w:rPr>
                              <w:t>6,103</w:t>
                            </w:r>
                          </w:p>
                        </w:tc>
                        <w:tc>
                          <w:tcPr>
                            <w:tcW w:w="1079" w:type="dxa"/>
                            <w:tcBorders>
                              <w:top w:val="single" w:sz="4" w:space="0" w:color="000000"/>
                            </w:tcBorders>
                            <w:shd w:val="clear" w:color="auto" w:fill="CCEDFF"/>
                          </w:tcPr>
                          <w:p>
                            <w:pPr>
                              <w:pStyle w:val="TableParagraph"/>
                              <w:spacing w:before="13"/>
                              <w:ind w:left="620"/>
                              <w:rPr>
                                <w:sz w:val="18"/>
                              </w:rPr>
                            </w:pPr>
                            <w:r>
                              <w:rPr>
                                <w:spacing w:val="-2"/>
                                <w:sz w:val="18"/>
                              </w:rPr>
                              <w:t>(11)%</w:t>
                            </w:r>
                          </w:p>
                        </w:tc>
                      </w:tr>
                      <w:tr>
                        <w:trPr>
                          <w:trHeight w:val="255" w:hRule="atLeast"/>
                        </w:trPr>
                        <w:tc>
                          <w:tcPr>
                            <w:tcW w:w="3855" w:type="dxa"/>
                          </w:tcPr>
                          <w:p>
                            <w:pPr>
                              <w:pStyle w:val="TableParagraph"/>
                              <w:spacing w:before="18"/>
                              <w:ind w:left="52"/>
                              <w:rPr>
                                <w:sz w:val="18"/>
                              </w:rPr>
                            </w:pPr>
                            <w:r>
                              <w:rPr>
                                <w:sz w:val="18"/>
                              </w:rPr>
                              <w:t>Product</w:t>
                            </w:r>
                            <w:r>
                              <w:rPr>
                                <w:spacing w:val="-3"/>
                                <w:sz w:val="18"/>
                              </w:rPr>
                              <w:t> </w:t>
                            </w:r>
                            <w:r>
                              <w:rPr>
                                <w:sz w:val="18"/>
                              </w:rPr>
                              <w:t>as</w:t>
                            </w:r>
                            <w:r>
                              <w:rPr>
                                <w:spacing w:val="-1"/>
                                <w:sz w:val="18"/>
                              </w:rPr>
                              <w:t> </w:t>
                            </w:r>
                            <w:r>
                              <w:rPr>
                                <w:sz w:val="18"/>
                              </w:rPr>
                              <w:t>a percentage of </w:t>
                            </w:r>
                            <w:r>
                              <w:rPr>
                                <w:spacing w:val="-4"/>
                                <w:sz w:val="18"/>
                              </w:rPr>
                              <w:t>DATs</w:t>
                            </w:r>
                          </w:p>
                        </w:tc>
                        <w:tc>
                          <w:tcPr>
                            <w:tcW w:w="1061" w:type="dxa"/>
                          </w:tcPr>
                          <w:p>
                            <w:pPr>
                              <w:pStyle w:val="TableParagraph"/>
                              <w:rPr>
                                <w:sz w:val="18"/>
                              </w:rPr>
                            </w:pPr>
                          </w:p>
                        </w:tc>
                        <w:tc>
                          <w:tcPr>
                            <w:tcW w:w="1083" w:type="dxa"/>
                          </w:tcPr>
                          <w:p>
                            <w:pPr>
                              <w:pStyle w:val="TableParagraph"/>
                              <w:rPr>
                                <w:sz w:val="18"/>
                              </w:rPr>
                            </w:pPr>
                          </w:p>
                        </w:tc>
                        <w:tc>
                          <w:tcPr>
                            <w:tcW w:w="1109" w:type="dxa"/>
                          </w:tcPr>
                          <w:p>
                            <w:pPr>
                              <w:pStyle w:val="TableParagraph"/>
                              <w:rPr>
                                <w:sz w:val="18"/>
                              </w:rPr>
                            </w:pPr>
                          </w:p>
                        </w:tc>
                        <w:tc>
                          <w:tcPr>
                            <w:tcW w:w="1022" w:type="dxa"/>
                          </w:tcPr>
                          <w:p>
                            <w:pPr>
                              <w:pStyle w:val="TableParagraph"/>
                              <w:rPr>
                                <w:sz w:val="18"/>
                              </w:rPr>
                            </w:pPr>
                          </w:p>
                        </w:tc>
                        <w:tc>
                          <w:tcPr>
                            <w:tcW w:w="1045" w:type="dxa"/>
                          </w:tcPr>
                          <w:p>
                            <w:pPr>
                              <w:pStyle w:val="TableParagraph"/>
                              <w:rPr>
                                <w:sz w:val="18"/>
                              </w:rPr>
                            </w:pPr>
                          </w:p>
                        </w:tc>
                        <w:tc>
                          <w:tcPr>
                            <w:tcW w:w="1079" w:type="dxa"/>
                          </w:tcPr>
                          <w:p>
                            <w:pPr>
                              <w:pStyle w:val="TableParagraph"/>
                              <w:rPr>
                                <w:sz w:val="18"/>
                              </w:rPr>
                            </w:pPr>
                          </w:p>
                        </w:tc>
                      </w:tr>
                      <w:tr>
                        <w:trPr>
                          <w:trHeight w:val="255" w:hRule="atLeast"/>
                        </w:trPr>
                        <w:tc>
                          <w:tcPr>
                            <w:tcW w:w="3855" w:type="dxa"/>
                            <w:shd w:val="clear" w:color="auto" w:fill="CCEDFF"/>
                          </w:tcPr>
                          <w:p>
                            <w:pPr>
                              <w:pStyle w:val="TableParagraph"/>
                              <w:spacing w:before="18"/>
                              <w:ind w:left="172"/>
                              <w:rPr>
                                <w:sz w:val="18"/>
                              </w:rPr>
                            </w:pPr>
                            <w:r>
                              <w:rPr>
                                <w:spacing w:val="-2"/>
                                <w:sz w:val="18"/>
                              </w:rPr>
                              <w:t>Equities</w:t>
                            </w:r>
                          </w:p>
                        </w:tc>
                        <w:tc>
                          <w:tcPr>
                            <w:tcW w:w="1061" w:type="dxa"/>
                            <w:shd w:val="clear" w:color="auto" w:fill="CCEDFF"/>
                          </w:tcPr>
                          <w:p>
                            <w:pPr>
                              <w:pStyle w:val="TableParagraph"/>
                              <w:spacing w:before="18"/>
                              <w:ind w:right="98"/>
                              <w:jc w:val="right"/>
                              <w:rPr>
                                <w:sz w:val="18"/>
                              </w:rPr>
                            </w:pPr>
                            <w:r>
                              <w:rPr>
                                <w:spacing w:val="-5"/>
                                <w:sz w:val="18"/>
                              </w:rPr>
                              <w:t>49%</w:t>
                            </w:r>
                          </w:p>
                        </w:tc>
                        <w:tc>
                          <w:tcPr>
                            <w:tcW w:w="1083" w:type="dxa"/>
                            <w:shd w:val="clear" w:color="auto" w:fill="CCEDFF"/>
                          </w:tcPr>
                          <w:p>
                            <w:pPr>
                              <w:pStyle w:val="TableParagraph"/>
                              <w:spacing w:before="18"/>
                              <w:ind w:right="71"/>
                              <w:jc w:val="right"/>
                              <w:rPr>
                                <w:sz w:val="18"/>
                              </w:rPr>
                            </w:pPr>
                            <w:r>
                              <w:rPr>
                                <w:spacing w:val="-5"/>
                                <w:sz w:val="18"/>
                              </w:rPr>
                              <w:t>50%</w:t>
                            </w:r>
                          </w:p>
                        </w:tc>
                        <w:tc>
                          <w:tcPr>
                            <w:tcW w:w="1109" w:type="dxa"/>
                            <w:shd w:val="clear" w:color="auto" w:fill="CCEDFF"/>
                          </w:tcPr>
                          <w:p>
                            <w:pPr>
                              <w:pStyle w:val="TableParagraph"/>
                              <w:rPr>
                                <w:sz w:val="18"/>
                              </w:rPr>
                            </w:pPr>
                          </w:p>
                        </w:tc>
                        <w:tc>
                          <w:tcPr>
                            <w:tcW w:w="1022" w:type="dxa"/>
                            <w:shd w:val="clear" w:color="auto" w:fill="CCEDFF"/>
                          </w:tcPr>
                          <w:p>
                            <w:pPr>
                              <w:pStyle w:val="TableParagraph"/>
                              <w:spacing w:before="18"/>
                              <w:ind w:left="602"/>
                              <w:rPr>
                                <w:sz w:val="18"/>
                              </w:rPr>
                            </w:pPr>
                            <w:r>
                              <w:rPr>
                                <w:spacing w:val="-5"/>
                                <w:sz w:val="18"/>
                              </w:rPr>
                              <w:t>49%</w:t>
                            </w:r>
                          </w:p>
                        </w:tc>
                        <w:tc>
                          <w:tcPr>
                            <w:tcW w:w="1045" w:type="dxa"/>
                            <w:shd w:val="clear" w:color="auto" w:fill="CCEDFF"/>
                          </w:tcPr>
                          <w:p>
                            <w:pPr>
                              <w:pStyle w:val="TableParagraph"/>
                              <w:spacing w:before="18"/>
                              <w:ind w:right="67"/>
                              <w:jc w:val="right"/>
                              <w:rPr>
                                <w:sz w:val="18"/>
                              </w:rPr>
                            </w:pPr>
                            <w:r>
                              <w:rPr>
                                <w:spacing w:val="-5"/>
                                <w:sz w:val="18"/>
                              </w:rPr>
                              <w:t>51%</w:t>
                            </w:r>
                          </w:p>
                        </w:tc>
                        <w:tc>
                          <w:tcPr>
                            <w:tcW w:w="1079" w:type="dxa"/>
                            <w:shd w:val="clear" w:color="auto" w:fill="CCEDFF"/>
                          </w:tcPr>
                          <w:p>
                            <w:pPr>
                              <w:pStyle w:val="TableParagraph"/>
                              <w:rPr>
                                <w:sz w:val="18"/>
                              </w:rPr>
                            </w:pPr>
                          </w:p>
                        </w:tc>
                      </w:tr>
                      <w:tr>
                        <w:trPr>
                          <w:trHeight w:val="255" w:hRule="atLeast"/>
                        </w:trPr>
                        <w:tc>
                          <w:tcPr>
                            <w:tcW w:w="3855" w:type="dxa"/>
                          </w:tcPr>
                          <w:p>
                            <w:pPr>
                              <w:pStyle w:val="TableParagraph"/>
                              <w:spacing w:before="18"/>
                              <w:ind w:left="172"/>
                              <w:rPr>
                                <w:sz w:val="18"/>
                              </w:rPr>
                            </w:pPr>
                            <w:r>
                              <w:rPr>
                                <w:spacing w:val="-2"/>
                                <w:sz w:val="18"/>
                              </w:rPr>
                              <w:t>Derivatives</w:t>
                            </w:r>
                          </w:p>
                        </w:tc>
                        <w:tc>
                          <w:tcPr>
                            <w:tcW w:w="1061" w:type="dxa"/>
                          </w:tcPr>
                          <w:p>
                            <w:pPr>
                              <w:pStyle w:val="TableParagraph"/>
                              <w:spacing w:before="18"/>
                              <w:ind w:right="98"/>
                              <w:jc w:val="right"/>
                              <w:rPr>
                                <w:sz w:val="18"/>
                              </w:rPr>
                            </w:pPr>
                            <w:r>
                              <w:rPr>
                                <w:spacing w:val="-5"/>
                                <w:sz w:val="18"/>
                              </w:rPr>
                              <w:t>24%</w:t>
                            </w:r>
                          </w:p>
                        </w:tc>
                        <w:tc>
                          <w:tcPr>
                            <w:tcW w:w="1083" w:type="dxa"/>
                          </w:tcPr>
                          <w:p>
                            <w:pPr>
                              <w:pStyle w:val="TableParagraph"/>
                              <w:spacing w:before="18"/>
                              <w:ind w:right="71"/>
                              <w:jc w:val="right"/>
                              <w:rPr>
                                <w:sz w:val="18"/>
                              </w:rPr>
                            </w:pPr>
                            <w:r>
                              <w:rPr>
                                <w:spacing w:val="-5"/>
                                <w:sz w:val="18"/>
                              </w:rPr>
                              <w:t>24%</w:t>
                            </w:r>
                          </w:p>
                        </w:tc>
                        <w:tc>
                          <w:tcPr>
                            <w:tcW w:w="1109" w:type="dxa"/>
                          </w:tcPr>
                          <w:p>
                            <w:pPr>
                              <w:pStyle w:val="TableParagraph"/>
                              <w:rPr>
                                <w:sz w:val="18"/>
                              </w:rPr>
                            </w:pPr>
                          </w:p>
                        </w:tc>
                        <w:tc>
                          <w:tcPr>
                            <w:tcW w:w="1022" w:type="dxa"/>
                          </w:tcPr>
                          <w:p>
                            <w:pPr>
                              <w:pStyle w:val="TableParagraph"/>
                              <w:spacing w:before="18"/>
                              <w:ind w:left="602"/>
                              <w:rPr>
                                <w:sz w:val="18"/>
                              </w:rPr>
                            </w:pPr>
                            <w:r>
                              <w:rPr>
                                <w:spacing w:val="-5"/>
                                <w:sz w:val="18"/>
                              </w:rPr>
                              <w:t>23%</w:t>
                            </w:r>
                          </w:p>
                        </w:tc>
                        <w:tc>
                          <w:tcPr>
                            <w:tcW w:w="1045" w:type="dxa"/>
                          </w:tcPr>
                          <w:p>
                            <w:pPr>
                              <w:pStyle w:val="TableParagraph"/>
                              <w:spacing w:before="18"/>
                              <w:ind w:right="67"/>
                              <w:jc w:val="right"/>
                              <w:rPr>
                                <w:sz w:val="18"/>
                              </w:rPr>
                            </w:pPr>
                            <w:r>
                              <w:rPr>
                                <w:spacing w:val="-5"/>
                                <w:sz w:val="18"/>
                              </w:rPr>
                              <w:t>23%</w:t>
                            </w:r>
                          </w:p>
                        </w:tc>
                        <w:tc>
                          <w:tcPr>
                            <w:tcW w:w="1079" w:type="dxa"/>
                          </w:tcPr>
                          <w:p>
                            <w:pPr>
                              <w:pStyle w:val="TableParagraph"/>
                              <w:rPr>
                                <w:sz w:val="18"/>
                              </w:rPr>
                            </w:pPr>
                          </w:p>
                        </w:tc>
                      </w:tr>
                      <w:tr>
                        <w:trPr>
                          <w:trHeight w:val="255" w:hRule="atLeast"/>
                        </w:trPr>
                        <w:tc>
                          <w:tcPr>
                            <w:tcW w:w="3855" w:type="dxa"/>
                            <w:shd w:val="clear" w:color="auto" w:fill="CCEDFF"/>
                          </w:tcPr>
                          <w:p>
                            <w:pPr>
                              <w:pStyle w:val="TableParagraph"/>
                              <w:spacing w:before="18"/>
                              <w:ind w:left="172"/>
                              <w:rPr>
                                <w:sz w:val="18"/>
                              </w:rPr>
                            </w:pPr>
                            <w:r>
                              <w:rPr>
                                <w:spacing w:val="-4"/>
                                <w:sz w:val="18"/>
                              </w:rPr>
                              <w:t>ETFs</w:t>
                            </w:r>
                          </w:p>
                        </w:tc>
                        <w:tc>
                          <w:tcPr>
                            <w:tcW w:w="1061" w:type="dxa"/>
                            <w:shd w:val="clear" w:color="auto" w:fill="CCEDFF"/>
                          </w:tcPr>
                          <w:p>
                            <w:pPr>
                              <w:pStyle w:val="TableParagraph"/>
                              <w:spacing w:before="18"/>
                              <w:ind w:right="98"/>
                              <w:jc w:val="right"/>
                              <w:rPr>
                                <w:sz w:val="18"/>
                              </w:rPr>
                            </w:pPr>
                            <w:r>
                              <w:rPr>
                                <w:spacing w:val="-5"/>
                                <w:sz w:val="18"/>
                              </w:rPr>
                              <w:t>19%</w:t>
                            </w:r>
                          </w:p>
                        </w:tc>
                        <w:tc>
                          <w:tcPr>
                            <w:tcW w:w="1083" w:type="dxa"/>
                            <w:shd w:val="clear" w:color="auto" w:fill="CCEDFF"/>
                          </w:tcPr>
                          <w:p>
                            <w:pPr>
                              <w:pStyle w:val="TableParagraph"/>
                              <w:spacing w:before="18"/>
                              <w:ind w:right="71"/>
                              <w:jc w:val="right"/>
                              <w:rPr>
                                <w:sz w:val="18"/>
                              </w:rPr>
                            </w:pPr>
                            <w:r>
                              <w:rPr>
                                <w:spacing w:val="-5"/>
                                <w:sz w:val="18"/>
                              </w:rPr>
                              <w:t>20%</w:t>
                            </w:r>
                          </w:p>
                        </w:tc>
                        <w:tc>
                          <w:tcPr>
                            <w:tcW w:w="1109" w:type="dxa"/>
                            <w:shd w:val="clear" w:color="auto" w:fill="CCEDFF"/>
                          </w:tcPr>
                          <w:p>
                            <w:pPr>
                              <w:pStyle w:val="TableParagraph"/>
                              <w:rPr>
                                <w:sz w:val="18"/>
                              </w:rPr>
                            </w:pPr>
                          </w:p>
                        </w:tc>
                        <w:tc>
                          <w:tcPr>
                            <w:tcW w:w="1022" w:type="dxa"/>
                            <w:shd w:val="clear" w:color="auto" w:fill="CCEDFF"/>
                          </w:tcPr>
                          <w:p>
                            <w:pPr>
                              <w:pStyle w:val="TableParagraph"/>
                              <w:spacing w:before="18"/>
                              <w:ind w:left="602"/>
                              <w:rPr>
                                <w:sz w:val="18"/>
                              </w:rPr>
                            </w:pPr>
                            <w:r>
                              <w:rPr>
                                <w:spacing w:val="-5"/>
                                <w:sz w:val="18"/>
                              </w:rPr>
                              <w:t>20%</w:t>
                            </w:r>
                          </w:p>
                        </w:tc>
                        <w:tc>
                          <w:tcPr>
                            <w:tcW w:w="1045" w:type="dxa"/>
                            <w:shd w:val="clear" w:color="auto" w:fill="CCEDFF"/>
                          </w:tcPr>
                          <w:p>
                            <w:pPr>
                              <w:pStyle w:val="TableParagraph"/>
                              <w:spacing w:before="18"/>
                              <w:ind w:right="67"/>
                              <w:jc w:val="right"/>
                              <w:rPr>
                                <w:sz w:val="18"/>
                              </w:rPr>
                            </w:pPr>
                            <w:r>
                              <w:rPr>
                                <w:spacing w:val="-5"/>
                                <w:sz w:val="18"/>
                              </w:rPr>
                              <w:t>20%</w:t>
                            </w:r>
                          </w:p>
                        </w:tc>
                        <w:tc>
                          <w:tcPr>
                            <w:tcW w:w="1079" w:type="dxa"/>
                            <w:shd w:val="clear" w:color="auto" w:fill="CCEDFF"/>
                          </w:tcPr>
                          <w:p>
                            <w:pPr>
                              <w:pStyle w:val="TableParagraph"/>
                              <w:rPr>
                                <w:sz w:val="18"/>
                              </w:rPr>
                            </w:pPr>
                          </w:p>
                        </w:tc>
                      </w:tr>
                      <w:tr>
                        <w:trPr>
                          <w:trHeight w:val="255" w:hRule="atLeast"/>
                        </w:trPr>
                        <w:tc>
                          <w:tcPr>
                            <w:tcW w:w="3855" w:type="dxa"/>
                          </w:tcPr>
                          <w:p>
                            <w:pPr>
                              <w:pStyle w:val="TableParagraph"/>
                              <w:spacing w:before="18"/>
                              <w:ind w:left="172"/>
                              <w:rPr>
                                <w:sz w:val="18"/>
                              </w:rPr>
                            </w:pPr>
                            <w:r>
                              <w:rPr>
                                <w:sz w:val="18"/>
                              </w:rPr>
                              <w:t>Mutual</w:t>
                            </w:r>
                            <w:r>
                              <w:rPr>
                                <w:spacing w:val="-1"/>
                                <w:sz w:val="18"/>
                              </w:rPr>
                              <w:t> </w:t>
                            </w:r>
                            <w:r>
                              <w:rPr>
                                <w:spacing w:val="-2"/>
                                <w:sz w:val="18"/>
                              </w:rPr>
                              <w:t>funds</w:t>
                            </w:r>
                          </w:p>
                        </w:tc>
                        <w:tc>
                          <w:tcPr>
                            <w:tcW w:w="1061" w:type="dxa"/>
                          </w:tcPr>
                          <w:p>
                            <w:pPr>
                              <w:pStyle w:val="TableParagraph"/>
                              <w:spacing w:before="18"/>
                              <w:ind w:right="98"/>
                              <w:jc w:val="right"/>
                              <w:rPr>
                                <w:sz w:val="18"/>
                              </w:rPr>
                            </w:pPr>
                            <w:r>
                              <w:rPr>
                                <w:spacing w:val="-5"/>
                                <w:sz w:val="18"/>
                              </w:rPr>
                              <w:t>6%</w:t>
                            </w:r>
                          </w:p>
                        </w:tc>
                        <w:tc>
                          <w:tcPr>
                            <w:tcW w:w="1083" w:type="dxa"/>
                          </w:tcPr>
                          <w:p>
                            <w:pPr>
                              <w:pStyle w:val="TableParagraph"/>
                              <w:spacing w:before="18"/>
                              <w:ind w:right="71"/>
                              <w:jc w:val="right"/>
                              <w:rPr>
                                <w:sz w:val="18"/>
                              </w:rPr>
                            </w:pPr>
                            <w:r>
                              <w:rPr>
                                <w:spacing w:val="-5"/>
                                <w:sz w:val="18"/>
                              </w:rPr>
                              <w:t>5%</w:t>
                            </w:r>
                          </w:p>
                        </w:tc>
                        <w:tc>
                          <w:tcPr>
                            <w:tcW w:w="1109" w:type="dxa"/>
                          </w:tcPr>
                          <w:p>
                            <w:pPr>
                              <w:pStyle w:val="TableParagraph"/>
                              <w:rPr>
                                <w:sz w:val="18"/>
                              </w:rPr>
                            </w:pPr>
                          </w:p>
                        </w:tc>
                        <w:tc>
                          <w:tcPr>
                            <w:tcW w:w="1022" w:type="dxa"/>
                          </w:tcPr>
                          <w:p>
                            <w:pPr>
                              <w:pStyle w:val="TableParagraph"/>
                              <w:spacing w:before="18"/>
                              <w:ind w:right="87"/>
                              <w:jc w:val="right"/>
                              <w:rPr>
                                <w:sz w:val="18"/>
                              </w:rPr>
                            </w:pPr>
                            <w:r>
                              <w:rPr>
                                <w:spacing w:val="-5"/>
                                <w:sz w:val="18"/>
                              </w:rPr>
                              <w:t>6%</w:t>
                            </w:r>
                          </w:p>
                        </w:tc>
                        <w:tc>
                          <w:tcPr>
                            <w:tcW w:w="1045" w:type="dxa"/>
                          </w:tcPr>
                          <w:p>
                            <w:pPr>
                              <w:pStyle w:val="TableParagraph"/>
                              <w:spacing w:before="18"/>
                              <w:ind w:right="67"/>
                              <w:jc w:val="right"/>
                              <w:rPr>
                                <w:sz w:val="18"/>
                              </w:rPr>
                            </w:pPr>
                            <w:r>
                              <w:rPr>
                                <w:spacing w:val="-5"/>
                                <w:sz w:val="18"/>
                              </w:rPr>
                              <w:t>5%</w:t>
                            </w:r>
                          </w:p>
                        </w:tc>
                        <w:tc>
                          <w:tcPr>
                            <w:tcW w:w="1079" w:type="dxa"/>
                          </w:tcPr>
                          <w:p>
                            <w:pPr>
                              <w:pStyle w:val="TableParagraph"/>
                              <w:rPr>
                                <w:sz w:val="18"/>
                              </w:rPr>
                            </w:pPr>
                          </w:p>
                        </w:tc>
                      </w:tr>
                      <w:tr>
                        <w:trPr>
                          <w:trHeight w:val="255" w:hRule="atLeast"/>
                        </w:trPr>
                        <w:tc>
                          <w:tcPr>
                            <w:tcW w:w="3855" w:type="dxa"/>
                            <w:shd w:val="clear" w:color="auto" w:fill="CCEDFF"/>
                          </w:tcPr>
                          <w:p>
                            <w:pPr>
                              <w:pStyle w:val="TableParagraph"/>
                              <w:spacing w:before="18"/>
                              <w:ind w:left="172"/>
                              <w:rPr>
                                <w:sz w:val="18"/>
                              </w:rPr>
                            </w:pPr>
                            <w:r>
                              <w:rPr>
                                <w:sz w:val="18"/>
                              </w:rPr>
                              <w:t>Fixed</w:t>
                            </w:r>
                            <w:r>
                              <w:rPr>
                                <w:spacing w:val="-1"/>
                                <w:sz w:val="18"/>
                              </w:rPr>
                              <w:t> </w:t>
                            </w:r>
                            <w:r>
                              <w:rPr>
                                <w:spacing w:val="-2"/>
                                <w:sz w:val="18"/>
                              </w:rPr>
                              <w:t>income</w:t>
                            </w:r>
                          </w:p>
                        </w:tc>
                        <w:tc>
                          <w:tcPr>
                            <w:tcW w:w="1061" w:type="dxa"/>
                            <w:shd w:val="clear" w:color="auto" w:fill="CCEDFF"/>
                          </w:tcPr>
                          <w:p>
                            <w:pPr>
                              <w:pStyle w:val="TableParagraph"/>
                              <w:spacing w:before="18"/>
                              <w:ind w:right="98"/>
                              <w:jc w:val="right"/>
                              <w:rPr>
                                <w:sz w:val="18"/>
                              </w:rPr>
                            </w:pPr>
                            <w:r>
                              <w:rPr>
                                <w:spacing w:val="-5"/>
                                <w:sz w:val="18"/>
                              </w:rPr>
                              <w:t>2%</w:t>
                            </w:r>
                          </w:p>
                        </w:tc>
                        <w:tc>
                          <w:tcPr>
                            <w:tcW w:w="1083" w:type="dxa"/>
                            <w:shd w:val="clear" w:color="auto" w:fill="CCEDFF"/>
                          </w:tcPr>
                          <w:p>
                            <w:pPr>
                              <w:pStyle w:val="TableParagraph"/>
                              <w:spacing w:before="18"/>
                              <w:ind w:right="71"/>
                              <w:jc w:val="right"/>
                              <w:rPr>
                                <w:sz w:val="18"/>
                              </w:rPr>
                            </w:pPr>
                            <w:r>
                              <w:rPr>
                                <w:spacing w:val="-5"/>
                                <w:sz w:val="18"/>
                              </w:rPr>
                              <w:t>1%</w:t>
                            </w:r>
                          </w:p>
                        </w:tc>
                        <w:tc>
                          <w:tcPr>
                            <w:tcW w:w="1109" w:type="dxa"/>
                            <w:shd w:val="clear" w:color="auto" w:fill="CCEDFF"/>
                          </w:tcPr>
                          <w:p>
                            <w:pPr>
                              <w:pStyle w:val="TableParagraph"/>
                              <w:rPr>
                                <w:sz w:val="18"/>
                              </w:rPr>
                            </w:pPr>
                          </w:p>
                        </w:tc>
                        <w:tc>
                          <w:tcPr>
                            <w:tcW w:w="1022" w:type="dxa"/>
                            <w:shd w:val="clear" w:color="auto" w:fill="CCEDFF"/>
                          </w:tcPr>
                          <w:p>
                            <w:pPr>
                              <w:pStyle w:val="TableParagraph"/>
                              <w:spacing w:before="18"/>
                              <w:ind w:right="87"/>
                              <w:jc w:val="right"/>
                              <w:rPr>
                                <w:sz w:val="18"/>
                              </w:rPr>
                            </w:pPr>
                            <w:r>
                              <w:rPr>
                                <w:spacing w:val="-5"/>
                                <w:sz w:val="18"/>
                              </w:rPr>
                              <w:t>2%</w:t>
                            </w:r>
                          </w:p>
                        </w:tc>
                        <w:tc>
                          <w:tcPr>
                            <w:tcW w:w="1045" w:type="dxa"/>
                            <w:shd w:val="clear" w:color="auto" w:fill="CCEDFF"/>
                          </w:tcPr>
                          <w:p>
                            <w:pPr>
                              <w:pStyle w:val="TableParagraph"/>
                              <w:spacing w:before="18"/>
                              <w:ind w:right="67"/>
                              <w:jc w:val="right"/>
                              <w:rPr>
                                <w:sz w:val="18"/>
                              </w:rPr>
                            </w:pPr>
                            <w:r>
                              <w:rPr>
                                <w:spacing w:val="-5"/>
                                <w:sz w:val="18"/>
                              </w:rPr>
                              <w:t>1%</w:t>
                            </w:r>
                          </w:p>
                        </w:tc>
                        <w:tc>
                          <w:tcPr>
                            <w:tcW w:w="1079" w:type="dxa"/>
                            <w:shd w:val="clear" w:color="auto" w:fill="CCEDFF"/>
                          </w:tcPr>
                          <w:p>
                            <w:pPr>
                              <w:pStyle w:val="TableParagraph"/>
                              <w:rPr>
                                <w:sz w:val="18"/>
                              </w:rPr>
                            </w:pPr>
                          </w:p>
                        </w:tc>
                      </w:tr>
                    </w:tbl>
                    <w:p>
                      <w:pPr>
                        <w:pStyle w:val="BodyText"/>
                      </w:pPr>
                    </w:p>
                  </w:txbxContent>
                </v:textbox>
                <w10:wrap type="none"/>
              </v:shape>
            </w:pict>
          </mc:Fallback>
        </mc:AlternateContent>
      </w:r>
      <w:r>
        <w:rPr>
          <w:sz w:val="18"/>
        </w:rPr>
        <w:t>September</w:t>
      </w:r>
      <w:r>
        <w:rPr>
          <w:spacing w:val="-1"/>
          <w:sz w:val="18"/>
        </w:rPr>
        <w:t> </w:t>
      </w:r>
      <w:r>
        <w:rPr>
          <w:spacing w:val="-5"/>
          <w:sz w:val="18"/>
        </w:rPr>
        <w:t>30,</w:t>
      </w:r>
      <w:r>
        <w:rPr>
          <w:sz w:val="18"/>
        </w:rPr>
        <w:tab/>
      </w:r>
      <w:r>
        <w:rPr>
          <w:spacing w:val="-2"/>
          <w:position w:val="-7"/>
          <w:sz w:val="18"/>
        </w:rPr>
        <w:t>Percent</w:t>
      </w:r>
    </w:p>
    <w:p>
      <w:pPr>
        <w:spacing w:line="193" w:lineRule="exact" w:before="3"/>
        <w:ind w:left="517" w:right="0" w:firstLine="0"/>
        <w:jc w:val="left"/>
        <w:rPr>
          <w:sz w:val="18"/>
        </w:rPr>
      </w:pPr>
      <w:r>
        <w:rPr/>
        <w:br w:type="column"/>
      </w:r>
      <w:r>
        <w:rPr>
          <w:sz w:val="18"/>
        </w:rPr>
        <w:t>Nine</w:t>
      </w:r>
      <w:r>
        <w:rPr>
          <w:spacing w:val="-2"/>
          <w:sz w:val="18"/>
        </w:rPr>
        <w:t> </w:t>
      </w:r>
      <w:r>
        <w:rPr>
          <w:sz w:val="18"/>
        </w:rPr>
        <w:t>Months</w:t>
      </w:r>
      <w:r>
        <w:rPr>
          <w:spacing w:val="-1"/>
          <w:sz w:val="18"/>
        </w:rPr>
        <w:t> </w:t>
      </w:r>
      <w:r>
        <w:rPr>
          <w:spacing w:val="-2"/>
          <w:sz w:val="18"/>
        </w:rPr>
        <w:t>Ended</w:t>
      </w:r>
    </w:p>
    <w:p>
      <w:pPr>
        <w:tabs>
          <w:tab w:pos="2585" w:val="left" w:leader="none"/>
        </w:tabs>
        <w:spacing w:line="218" w:lineRule="auto" w:before="0"/>
        <w:ind w:left="722" w:right="0" w:firstLine="0"/>
        <w:jc w:val="left"/>
        <w:rPr>
          <w:sz w:val="18"/>
        </w:rPr>
      </w:pPr>
      <w:r>
        <w:rPr>
          <w:sz w:val="18"/>
        </w:rPr>
        <w:t>September</w:t>
      </w:r>
      <w:r>
        <w:rPr>
          <w:spacing w:val="-1"/>
          <w:sz w:val="18"/>
        </w:rPr>
        <w:t> </w:t>
      </w:r>
      <w:r>
        <w:rPr>
          <w:spacing w:val="-5"/>
          <w:sz w:val="18"/>
        </w:rPr>
        <w:t>30,</w:t>
      </w:r>
      <w:r>
        <w:rPr>
          <w:sz w:val="18"/>
        </w:rPr>
        <w:tab/>
      </w:r>
      <w:r>
        <w:rPr>
          <w:spacing w:val="-2"/>
          <w:position w:val="-7"/>
          <w:sz w:val="18"/>
        </w:rPr>
        <w:t>Percent</w:t>
      </w:r>
    </w:p>
    <w:p>
      <w:pPr>
        <w:spacing w:after="0" w:line="218" w:lineRule="auto"/>
        <w:jc w:val="left"/>
        <w:rPr>
          <w:sz w:val="18"/>
        </w:rPr>
        <w:sectPr>
          <w:type w:val="continuous"/>
          <w:pgSz w:w="12240" w:h="15840"/>
          <w:pgMar w:header="512" w:footer="201" w:top="320" w:bottom="280" w:left="520" w:right="520"/>
          <w:cols w:num="2" w:equalWidth="0">
            <w:col w:w="7333" w:space="40"/>
            <w:col w:w="3827"/>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3"/>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5"/>
        <w:gridCol w:w="1061"/>
        <w:gridCol w:w="1083"/>
        <w:gridCol w:w="1367"/>
        <w:gridCol w:w="764"/>
        <w:gridCol w:w="1045"/>
        <w:gridCol w:w="1079"/>
      </w:tblGrid>
      <w:tr>
        <w:trPr>
          <w:trHeight w:val="255" w:hRule="atLeast"/>
        </w:trPr>
        <w:tc>
          <w:tcPr>
            <w:tcW w:w="3855" w:type="dxa"/>
            <w:shd w:val="clear" w:color="auto" w:fill="CCEDFF"/>
          </w:tcPr>
          <w:p>
            <w:pPr>
              <w:pStyle w:val="TableParagraph"/>
              <w:spacing w:before="18"/>
              <w:ind w:left="52"/>
              <w:rPr>
                <w:sz w:val="18"/>
              </w:rPr>
            </w:pPr>
            <w:r>
              <w:rPr>
                <w:sz w:val="18"/>
              </w:rPr>
              <w:t>Number</w:t>
            </w:r>
            <w:r>
              <w:rPr>
                <w:spacing w:val="-1"/>
                <w:sz w:val="18"/>
              </w:rPr>
              <w:t> </w:t>
            </w:r>
            <w:r>
              <w:rPr>
                <w:sz w:val="18"/>
              </w:rPr>
              <w:t>of trading </w:t>
            </w:r>
            <w:r>
              <w:rPr>
                <w:spacing w:val="-4"/>
                <w:sz w:val="18"/>
              </w:rPr>
              <w:t>days</w:t>
            </w:r>
          </w:p>
        </w:tc>
        <w:tc>
          <w:tcPr>
            <w:tcW w:w="1061" w:type="dxa"/>
            <w:shd w:val="clear" w:color="auto" w:fill="CCEDFF"/>
          </w:tcPr>
          <w:p>
            <w:pPr>
              <w:pStyle w:val="TableParagraph"/>
              <w:spacing w:before="18"/>
              <w:ind w:right="248"/>
              <w:jc w:val="right"/>
              <w:rPr>
                <w:sz w:val="18"/>
              </w:rPr>
            </w:pPr>
            <w:r>
              <w:rPr>
                <w:spacing w:val="-4"/>
                <w:sz w:val="18"/>
              </w:rPr>
              <w:t>62.5</w:t>
            </w:r>
          </w:p>
        </w:tc>
        <w:tc>
          <w:tcPr>
            <w:tcW w:w="1083" w:type="dxa"/>
            <w:shd w:val="clear" w:color="auto" w:fill="CCEDFF"/>
          </w:tcPr>
          <w:p>
            <w:pPr>
              <w:pStyle w:val="TableParagraph"/>
              <w:spacing w:before="18"/>
              <w:ind w:right="221"/>
              <w:jc w:val="right"/>
              <w:rPr>
                <w:sz w:val="18"/>
              </w:rPr>
            </w:pPr>
            <w:r>
              <w:rPr>
                <w:spacing w:val="-4"/>
                <w:sz w:val="18"/>
              </w:rPr>
              <w:t>64.0</w:t>
            </w:r>
          </w:p>
        </w:tc>
        <w:tc>
          <w:tcPr>
            <w:tcW w:w="1367" w:type="dxa"/>
            <w:shd w:val="clear" w:color="auto" w:fill="CCEDFF"/>
          </w:tcPr>
          <w:p>
            <w:pPr>
              <w:pStyle w:val="TableParagraph"/>
              <w:spacing w:before="18"/>
              <w:ind w:left="736"/>
              <w:rPr>
                <w:sz w:val="18"/>
              </w:rPr>
            </w:pPr>
            <w:r>
              <w:rPr>
                <w:spacing w:val="-4"/>
                <w:sz w:val="18"/>
              </w:rPr>
              <w:t>(2)%</w:t>
            </w:r>
          </w:p>
        </w:tc>
        <w:tc>
          <w:tcPr>
            <w:tcW w:w="764" w:type="dxa"/>
            <w:shd w:val="clear" w:color="auto" w:fill="CCEDFF"/>
          </w:tcPr>
          <w:p>
            <w:pPr>
              <w:pStyle w:val="TableParagraph"/>
              <w:spacing w:before="18"/>
              <w:ind w:right="237"/>
              <w:jc w:val="right"/>
              <w:rPr>
                <w:sz w:val="18"/>
              </w:rPr>
            </w:pPr>
            <w:r>
              <w:rPr>
                <w:spacing w:val="-2"/>
                <w:sz w:val="18"/>
              </w:rPr>
              <w:t>186.5</w:t>
            </w:r>
          </w:p>
        </w:tc>
        <w:tc>
          <w:tcPr>
            <w:tcW w:w="1045" w:type="dxa"/>
            <w:shd w:val="clear" w:color="auto" w:fill="CCEDFF"/>
          </w:tcPr>
          <w:p>
            <w:pPr>
              <w:pStyle w:val="TableParagraph"/>
              <w:spacing w:before="18"/>
              <w:ind w:right="217"/>
              <w:jc w:val="right"/>
              <w:rPr>
                <w:sz w:val="18"/>
              </w:rPr>
            </w:pPr>
            <w:r>
              <w:rPr>
                <w:spacing w:val="-2"/>
                <w:sz w:val="18"/>
              </w:rPr>
              <w:t>188.0</w:t>
            </w:r>
          </w:p>
        </w:tc>
        <w:tc>
          <w:tcPr>
            <w:tcW w:w="1079" w:type="dxa"/>
            <w:shd w:val="clear" w:color="auto" w:fill="CCEDFF"/>
          </w:tcPr>
          <w:p>
            <w:pPr>
              <w:pStyle w:val="TableParagraph"/>
              <w:spacing w:before="18"/>
              <w:ind w:left="710"/>
              <w:rPr>
                <w:sz w:val="18"/>
              </w:rPr>
            </w:pPr>
            <w:r>
              <w:rPr>
                <w:spacing w:val="-4"/>
                <w:sz w:val="18"/>
              </w:rPr>
              <w:t>(1)%</w:t>
            </w:r>
          </w:p>
        </w:tc>
      </w:tr>
      <w:tr>
        <w:trPr>
          <w:trHeight w:val="250" w:hRule="atLeast"/>
        </w:trPr>
        <w:tc>
          <w:tcPr>
            <w:tcW w:w="3855" w:type="dxa"/>
            <w:tcBorders>
              <w:bottom w:val="single" w:sz="4" w:space="0" w:color="000000"/>
            </w:tcBorders>
          </w:tcPr>
          <w:p>
            <w:pPr>
              <w:pStyle w:val="TableParagraph"/>
              <w:spacing w:before="18"/>
              <w:ind w:left="52"/>
              <w:rPr>
                <w:sz w:val="18"/>
              </w:rPr>
            </w:pPr>
            <w:r>
              <w:rPr>
                <w:sz w:val="18"/>
              </w:rPr>
              <w:t>Revenue per trade</w:t>
            </w:r>
            <w:r>
              <w:rPr>
                <w:spacing w:val="-17"/>
                <w:sz w:val="18"/>
              </w:rPr>
              <w:t> </w:t>
            </w:r>
            <w:r>
              <w:rPr>
                <w:spacing w:val="-5"/>
                <w:sz w:val="18"/>
                <w:vertAlign w:val="superscript"/>
              </w:rPr>
              <w:t>(1)</w:t>
            </w:r>
          </w:p>
        </w:tc>
        <w:tc>
          <w:tcPr>
            <w:tcW w:w="1061" w:type="dxa"/>
            <w:tcBorders>
              <w:bottom w:val="single" w:sz="4" w:space="0" w:color="000000"/>
            </w:tcBorders>
          </w:tcPr>
          <w:p>
            <w:pPr>
              <w:pStyle w:val="TableParagraph"/>
              <w:tabs>
                <w:tab w:pos="442" w:val="left" w:leader="none"/>
              </w:tabs>
              <w:spacing w:before="18"/>
              <w:ind w:right="248"/>
              <w:jc w:val="right"/>
              <w:rPr>
                <w:sz w:val="18"/>
              </w:rPr>
            </w:pPr>
            <w:r>
              <w:rPr>
                <w:spacing w:val="-10"/>
                <w:sz w:val="18"/>
              </w:rPr>
              <w:t>$</w:t>
            </w:r>
            <w:r>
              <w:rPr>
                <w:sz w:val="18"/>
              </w:rPr>
              <w:tab/>
            </w:r>
            <w:r>
              <w:rPr>
                <w:spacing w:val="-4"/>
                <w:sz w:val="18"/>
              </w:rPr>
              <w:t>2.35</w:t>
            </w:r>
          </w:p>
        </w:tc>
        <w:tc>
          <w:tcPr>
            <w:tcW w:w="1083" w:type="dxa"/>
            <w:tcBorders>
              <w:bottom w:val="single" w:sz="4" w:space="0" w:color="000000"/>
            </w:tcBorders>
          </w:tcPr>
          <w:p>
            <w:pPr>
              <w:pStyle w:val="TableParagraph"/>
              <w:tabs>
                <w:tab w:pos="442" w:val="left" w:leader="none"/>
              </w:tabs>
              <w:spacing w:before="18"/>
              <w:ind w:right="221"/>
              <w:jc w:val="right"/>
              <w:rPr>
                <w:sz w:val="18"/>
              </w:rPr>
            </w:pPr>
            <w:r>
              <w:rPr>
                <w:spacing w:val="-10"/>
                <w:sz w:val="18"/>
              </w:rPr>
              <w:t>$</w:t>
            </w:r>
            <w:r>
              <w:rPr>
                <w:sz w:val="18"/>
              </w:rPr>
              <w:tab/>
            </w:r>
            <w:r>
              <w:rPr>
                <w:spacing w:val="-4"/>
                <w:sz w:val="18"/>
              </w:rPr>
              <w:t>2.63</w:t>
            </w:r>
          </w:p>
        </w:tc>
        <w:tc>
          <w:tcPr>
            <w:tcW w:w="1367" w:type="dxa"/>
            <w:tcBorders>
              <w:bottom w:val="single" w:sz="4" w:space="0" w:color="000000"/>
            </w:tcBorders>
          </w:tcPr>
          <w:p>
            <w:pPr>
              <w:pStyle w:val="TableParagraph"/>
              <w:spacing w:before="18"/>
              <w:ind w:left="646"/>
              <w:rPr>
                <w:sz w:val="18"/>
              </w:rPr>
            </w:pPr>
            <w:r>
              <w:rPr>
                <w:sz w:val="18"/>
              </w:rPr>
              <w:t>(11)%</w:t>
            </w:r>
            <w:r>
              <w:rPr>
                <w:spacing w:val="22"/>
                <w:sz w:val="18"/>
              </w:rPr>
              <w:t> </w:t>
            </w:r>
            <w:r>
              <w:rPr>
                <w:spacing w:val="-10"/>
                <w:sz w:val="18"/>
              </w:rPr>
              <w:t>$</w:t>
            </w:r>
          </w:p>
        </w:tc>
        <w:tc>
          <w:tcPr>
            <w:tcW w:w="764" w:type="dxa"/>
            <w:tcBorders>
              <w:bottom w:val="single" w:sz="4" w:space="0" w:color="000000"/>
            </w:tcBorders>
          </w:tcPr>
          <w:p>
            <w:pPr>
              <w:pStyle w:val="TableParagraph"/>
              <w:spacing w:before="18"/>
              <w:ind w:right="237"/>
              <w:jc w:val="right"/>
              <w:rPr>
                <w:sz w:val="18"/>
              </w:rPr>
            </w:pPr>
            <w:r>
              <w:rPr>
                <w:spacing w:val="-4"/>
                <w:sz w:val="18"/>
              </w:rPr>
              <w:t>2.42</w:t>
            </w:r>
          </w:p>
        </w:tc>
        <w:tc>
          <w:tcPr>
            <w:tcW w:w="1045" w:type="dxa"/>
            <w:tcBorders>
              <w:bottom w:val="single" w:sz="4" w:space="0" w:color="000000"/>
            </w:tcBorders>
          </w:tcPr>
          <w:p>
            <w:pPr>
              <w:pStyle w:val="TableParagraph"/>
              <w:tabs>
                <w:tab w:pos="412" w:val="left" w:leader="none"/>
              </w:tabs>
              <w:spacing w:before="18"/>
              <w:ind w:right="217"/>
              <w:jc w:val="right"/>
              <w:rPr>
                <w:sz w:val="18"/>
              </w:rPr>
            </w:pPr>
            <w:r>
              <w:rPr>
                <w:spacing w:val="-10"/>
                <w:sz w:val="18"/>
              </w:rPr>
              <w:t>$</w:t>
            </w:r>
            <w:r>
              <w:rPr>
                <w:sz w:val="18"/>
              </w:rPr>
              <w:tab/>
            </w:r>
            <w:r>
              <w:rPr>
                <w:spacing w:val="-4"/>
                <w:sz w:val="18"/>
              </w:rPr>
              <w:t>2.42</w:t>
            </w:r>
          </w:p>
        </w:tc>
        <w:tc>
          <w:tcPr>
            <w:tcW w:w="1079" w:type="dxa"/>
            <w:tcBorders>
              <w:bottom w:val="single" w:sz="4" w:space="0" w:color="000000"/>
            </w:tcBorders>
          </w:tcPr>
          <w:p>
            <w:pPr>
              <w:pStyle w:val="TableParagraph"/>
              <w:spacing w:before="18"/>
              <w:ind w:left="680"/>
              <w:rPr>
                <w:sz w:val="18"/>
              </w:rPr>
            </w:pPr>
            <w:r>
              <w:rPr>
                <w:spacing w:val="-10"/>
                <w:sz w:val="18"/>
              </w:rPr>
              <w:t>—</w:t>
            </w:r>
          </w:p>
        </w:tc>
      </w:tr>
    </w:tbl>
    <w:p>
      <w:pPr>
        <w:spacing w:before="56"/>
        <w:ind w:left="470" w:right="0" w:firstLine="0"/>
        <w:jc w:val="left"/>
        <w:rPr>
          <w:sz w:val="16"/>
        </w:rPr>
      </w:pPr>
      <w:r>
        <w:rPr>
          <w:sz w:val="16"/>
          <w:vertAlign w:val="superscript"/>
        </w:rPr>
        <w:t>(1)</w:t>
      </w:r>
      <w:r>
        <w:rPr>
          <w:spacing w:val="-1"/>
          <w:sz w:val="16"/>
          <w:vertAlign w:val="baseline"/>
        </w:rPr>
        <w:t> </w:t>
      </w:r>
      <w:r>
        <w:rPr>
          <w:sz w:val="16"/>
          <w:vertAlign w:val="baseline"/>
        </w:rPr>
        <w:t>Revenue per</w:t>
      </w:r>
      <w:r>
        <w:rPr>
          <w:spacing w:val="1"/>
          <w:sz w:val="16"/>
          <w:vertAlign w:val="baseline"/>
        </w:rPr>
        <w:t> </w:t>
      </w:r>
      <w:r>
        <w:rPr>
          <w:sz w:val="16"/>
          <w:vertAlign w:val="baseline"/>
        </w:rPr>
        <w:t>trade is</w:t>
      </w:r>
      <w:r>
        <w:rPr>
          <w:spacing w:val="-1"/>
          <w:sz w:val="16"/>
          <w:vertAlign w:val="baseline"/>
        </w:rPr>
        <w:t> </w:t>
      </w:r>
      <w:r>
        <w:rPr>
          <w:sz w:val="16"/>
          <w:vertAlign w:val="baseline"/>
        </w:rPr>
        <w:t>calculated</w:t>
      </w:r>
      <w:r>
        <w:rPr>
          <w:spacing w:val="1"/>
          <w:sz w:val="16"/>
          <w:vertAlign w:val="baseline"/>
        </w:rPr>
        <w:t> </w:t>
      </w:r>
      <w:r>
        <w:rPr>
          <w:sz w:val="16"/>
          <w:vertAlign w:val="baseline"/>
        </w:rPr>
        <w:t>as</w:t>
      </w:r>
      <w:r>
        <w:rPr>
          <w:spacing w:val="-1"/>
          <w:sz w:val="16"/>
          <w:vertAlign w:val="baseline"/>
        </w:rPr>
        <w:t> </w:t>
      </w:r>
      <w:r>
        <w:rPr>
          <w:sz w:val="16"/>
          <w:vertAlign w:val="baseline"/>
        </w:rPr>
        <w:t>trading revenue</w:t>
      </w:r>
      <w:r>
        <w:rPr>
          <w:spacing w:val="1"/>
          <w:sz w:val="16"/>
          <w:vertAlign w:val="baseline"/>
        </w:rPr>
        <w:t> </w:t>
      </w:r>
      <w:r>
        <w:rPr>
          <w:sz w:val="16"/>
          <w:vertAlign w:val="baseline"/>
        </w:rPr>
        <w:t>divided by DATs multiplied by the</w:t>
      </w:r>
      <w:r>
        <w:rPr>
          <w:spacing w:val="1"/>
          <w:sz w:val="16"/>
          <w:vertAlign w:val="baseline"/>
        </w:rPr>
        <w:t> </w:t>
      </w:r>
      <w:r>
        <w:rPr>
          <w:sz w:val="16"/>
          <w:vertAlign w:val="baseline"/>
        </w:rPr>
        <w:t>number of trading</w:t>
      </w:r>
      <w:r>
        <w:rPr>
          <w:spacing w:val="1"/>
          <w:sz w:val="16"/>
          <w:vertAlign w:val="baseline"/>
        </w:rPr>
        <w:t> </w:t>
      </w:r>
      <w:r>
        <w:rPr>
          <w:spacing w:val="-2"/>
          <w:sz w:val="16"/>
          <w:vertAlign w:val="baseline"/>
        </w:rPr>
        <w:t>days.</w:t>
      </w:r>
    </w:p>
    <w:p>
      <w:pPr>
        <w:pStyle w:val="BodyText"/>
        <w:spacing w:before="66"/>
        <w:rPr>
          <w:sz w:val="16"/>
        </w:rPr>
      </w:pPr>
    </w:p>
    <w:p>
      <w:pPr>
        <w:pStyle w:val="BodyText"/>
        <w:spacing w:line="249" w:lineRule="auto" w:before="1"/>
        <w:ind w:left="470" w:right="513"/>
      </w:pPr>
      <w:r>
        <w:rPr/>
        <w:t>Trading revenue decreased $162 million and $315 million in the third quarter and first nine months of 2023, respectively, compared to the same periods in 2022. This change is primarily due to lower options order flow revenue from changes in the mix</w:t>
      </w:r>
      <w:r>
        <w:rPr>
          <w:spacing w:val="-3"/>
        </w:rPr>
        <w:t> </w:t>
      </w:r>
      <w:r>
        <w:rPr/>
        <w:t>of</w:t>
      </w:r>
      <w:r>
        <w:rPr>
          <w:spacing w:val="-3"/>
        </w:rPr>
        <w:t> </w:t>
      </w:r>
      <w:r>
        <w:rPr/>
        <w:t>client</w:t>
      </w:r>
      <w:r>
        <w:rPr>
          <w:spacing w:val="-4"/>
        </w:rPr>
        <w:t> </w:t>
      </w:r>
      <w:r>
        <w:rPr/>
        <w:t>trading</w:t>
      </w:r>
      <w:r>
        <w:rPr>
          <w:spacing w:val="-3"/>
        </w:rPr>
        <w:t> </w:t>
      </w:r>
      <w:r>
        <w:rPr/>
        <w:t>activity</w:t>
      </w:r>
      <w:r>
        <w:rPr>
          <w:spacing w:val="-3"/>
        </w:rPr>
        <w:t> </w:t>
      </w:r>
      <w:r>
        <w:rPr/>
        <w:t>and</w:t>
      </w:r>
      <w:r>
        <w:rPr>
          <w:spacing w:val="-3"/>
        </w:rPr>
        <w:t> </w:t>
      </w:r>
      <w:r>
        <w:rPr/>
        <w:t>narrower</w:t>
      </w:r>
      <w:r>
        <w:rPr>
          <w:spacing w:val="-3"/>
        </w:rPr>
        <w:t> </w:t>
      </w:r>
      <w:r>
        <w:rPr/>
        <w:t>quoted</w:t>
      </w:r>
      <w:r>
        <w:rPr>
          <w:spacing w:val="-3"/>
        </w:rPr>
        <w:t> </w:t>
      </w:r>
      <w:r>
        <w:rPr/>
        <w:t>spreads</w:t>
      </w:r>
      <w:r>
        <w:rPr>
          <w:spacing w:val="-4"/>
        </w:rPr>
        <w:t> </w:t>
      </w:r>
      <w:r>
        <w:rPr/>
        <w:t>in</w:t>
      </w:r>
      <w:r>
        <w:rPr>
          <w:spacing w:val="-3"/>
        </w:rPr>
        <w:t> </w:t>
      </w:r>
      <w:r>
        <w:rPr/>
        <w:t>the</w:t>
      </w:r>
      <w:r>
        <w:rPr>
          <w:spacing w:val="-4"/>
        </w:rPr>
        <w:t> </w:t>
      </w:r>
      <w:r>
        <w:rPr/>
        <w:t>options</w:t>
      </w:r>
      <w:r>
        <w:rPr>
          <w:spacing w:val="-4"/>
        </w:rPr>
        <w:t> </w:t>
      </w:r>
      <w:r>
        <w:rPr/>
        <w:t>market,</w:t>
      </w:r>
      <w:r>
        <w:rPr>
          <w:spacing w:val="-3"/>
        </w:rPr>
        <w:t> </w:t>
      </w:r>
      <w:r>
        <w:rPr/>
        <w:t>and</w:t>
      </w:r>
      <w:r>
        <w:rPr>
          <w:spacing w:val="-3"/>
        </w:rPr>
        <w:t> </w:t>
      </w:r>
      <w:r>
        <w:rPr/>
        <w:t>lower</w:t>
      </w:r>
      <w:r>
        <w:rPr>
          <w:spacing w:val="-3"/>
        </w:rPr>
        <w:t> </w:t>
      </w:r>
      <w:r>
        <w:rPr/>
        <w:t>equity</w:t>
      </w:r>
      <w:r>
        <w:rPr>
          <w:spacing w:val="-3"/>
        </w:rPr>
        <w:t> </w:t>
      </w:r>
      <w:r>
        <w:rPr/>
        <w:t>order</w:t>
      </w:r>
      <w:r>
        <w:rPr>
          <w:spacing w:val="-3"/>
        </w:rPr>
        <w:t> </w:t>
      </w:r>
      <w:r>
        <w:rPr/>
        <w:t>flow</w:t>
      </w:r>
      <w:r>
        <w:rPr>
          <w:spacing w:val="-4"/>
        </w:rPr>
        <w:t> </w:t>
      </w:r>
      <w:r>
        <w:rPr/>
        <w:t>revenue</w:t>
      </w:r>
      <w:r>
        <w:rPr>
          <w:spacing w:val="-4"/>
        </w:rPr>
        <w:t> </w:t>
      </w:r>
      <w:r>
        <w:rPr/>
        <w:t>reflecting a shift toward more low-price securities and lower equity trading activity overall. Additionally, commissions decreased as a result of lower client trading activity and fewer trading days. Partially offsetting the decrease during the first nine months of 2023 compared to the same period in 2022, principal transactions revenue increased as a result of higher volume in fixed income trading and higher market interest rates.</w:t>
      </w:r>
    </w:p>
    <w:p>
      <w:pPr>
        <w:pStyle w:val="Heading3"/>
        <w:spacing w:before="194"/>
        <w:rPr>
          <w:i/>
        </w:rPr>
      </w:pPr>
      <w:bookmarkStart w:name="Bank Deposit Account Fees" w:id="13"/>
      <w:bookmarkEnd w:id="13"/>
      <w:r>
        <w:rPr>
          <w:b w:val="0"/>
          <w:i w:val="0"/>
        </w:rPr>
      </w:r>
      <w:r>
        <w:rPr>
          <w:i/>
        </w:rPr>
        <w:t>Bank</w:t>
      </w:r>
      <w:r>
        <w:rPr>
          <w:i/>
          <w:spacing w:val="-4"/>
        </w:rPr>
        <w:t> </w:t>
      </w:r>
      <w:r>
        <w:rPr>
          <w:i/>
        </w:rPr>
        <w:t>Deposit</w:t>
      </w:r>
      <w:r>
        <w:rPr>
          <w:i/>
          <w:spacing w:val="-5"/>
        </w:rPr>
        <w:t> </w:t>
      </w:r>
      <w:r>
        <w:rPr>
          <w:i/>
        </w:rPr>
        <w:t>Account</w:t>
      </w:r>
      <w:r>
        <w:rPr>
          <w:i/>
          <w:spacing w:val="-4"/>
        </w:rPr>
        <w:t> Fees</w:t>
      </w:r>
    </w:p>
    <w:p>
      <w:pPr>
        <w:pStyle w:val="BodyText"/>
        <w:spacing w:before="23"/>
        <w:rPr>
          <w:b/>
          <w:i/>
        </w:rPr>
      </w:pPr>
    </w:p>
    <w:p>
      <w:pPr>
        <w:pStyle w:val="BodyText"/>
        <w:spacing w:line="249" w:lineRule="auto"/>
        <w:ind w:left="470" w:right="500"/>
      </w:pPr>
      <w:r>
        <w:rPr/>
        <w:t>The Company earns bank deposit account fee revenue from TD Bank USA, National Association and TD Bank, National Association</w:t>
      </w:r>
      <w:r>
        <w:rPr>
          <w:spacing w:val="-3"/>
        </w:rPr>
        <w:t> </w:t>
      </w:r>
      <w:r>
        <w:rPr/>
        <w:t>(together,</w:t>
      </w:r>
      <w:r>
        <w:rPr>
          <w:spacing w:val="-3"/>
        </w:rPr>
        <w:t> </w:t>
      </w:r>
      <w:r>
        <w:rPr/>
        <w:t>the</w:t>
      </w:r>
      <w:r>
        <w:rPr>
          <w:spacing w:val="-4"/>
        </w:rPr>
        <w:t> </w:t>
      </w:r>
      <w:r>
        <w:rPr/>
        <w:t>TD</w:t>
      </w:r>
      <w:r>
        <w:rPr>
          <w:spacing w:val="-4"/>
        </w:rPr>
        <w:t> </w:t>
      </w:r>
      <w:r>
        <w:rPr/>
        <w:t>Depository</w:t>
      </w:r>
      <w:r>
        <w:rPr>
          <w:spacing w:val="-3"/>
        </w:rPr>
        <w:t> </w:t>
      </w:r>
      <w:r>
        <w:rPr/>
        <w:t>Institutions).</w:t>
      </w:r>
      <w:r>
        <w:rPr>
          <w:spacing w:val="-3"/>
        </w:rPr>
        <w:t> </w:t>
      </w:r>
      <w:r>
        <w:rPr/>
        <w:t>These</w:t>
      </w:r>
      <w:r>
        <w:rPr>
          <w:spacing w:val="-4"/>
        </w:rPr>
        <w:t> </w:t>
      </w:r>
      <w:r>
        <w:rPr/>
        <w:t>fees</w:t>
      </w:r>
      <w:r>
        <w:rPr>
          <w:spacing w:val="-4"/>
        </w:rPr>
        <w:t> </w:t>
      </w:r>
      <w:r>
        <w:rPr/>
        <w:t>are</w:t>
      </w:r>
      <w:r>
        <w:rPr>
          <w:spacing w:val="-4"/>
        </w:rPr>
        <w:t> </w:t>
      </w:r>
      <w:r>
        <w:rPr/>
        <w:t>affected</w:t>
      </w:r>
      <w:r>
        <w:rPr>
          <w:spacing w:val="-3"/>
        </w:rPr>
        <w:t> </w:t>
      </w:r>
      <w:r>
        <w:rPr/>
        <w:t>by</w:t>
      </w:r>
      <w:r>
        <w:rPr>
          <w:spacing w:val="-3"/>
        </w:rPr>
        <w:t> </w:t>
      </w:r>
      <w:r>
        <w:rPr/>
        <w:t>changes</w:t>
      </w:r>
      <w:r>
        <w:rPr>
          <w:spacing w:val="-4"/>
        </w:rPr>
        <w:t> </w:t>
      </w:r>
      <w:r>
        <w:rPr/>
        <w:t>in</w:t>
      </w:r>
      <w:r>
        <w:rPr>
          <w:spacing w:val="-3"/>
        </w:rPr>
        <w:t> </w:t>
      </w:r>
      <w:r>
        <w:rPr/>
        <w:t>interest</w:t>
      </w:r>
      <w:r>
        <w:rPr>
          <w:spacing w:val="-4"/>
        </w:rPr>
        <w:t> </w:t>
      </w:r>
      <w:r>
        <w:rPr/>
        <w:t>rates</w:t>
      </w:r>
      <w:r>
        <w:rPr>
          <w:spacing w:val="-4"/>
        </w:rPr>
        <w:t> </w:t>
      </w:r>
      <w:r>
        <w:rPr/>
        <w:t>and</w:t>
      </w:r>
      <w:r>
        <w:rPr>
          <w:spacing w:val="-3"/>
        </w:rPr>
        <w:t> </w:t>
      </w:r>
      <w:r>
        <w:rPr/>
        <w:t>the</w:t>
      </w:r>
      <w:r>
        <w:rPr>
          <w:spacing w:val="-4"/>
        </w:rPr>
        <w:t> </w:t>
      </w:r>
      <w:r>
        <w:rPr/>
        <w:t>composition of balances designated as fixed- and floating-rate obligation amounts.</w:t>
      </w:r>
    </w:p>
    <w:p>
      <w:pPr>
        <w:pStyle w:val="BodyText"/>
        <w:spacing w:before="13"/>
      </w:pPr>
    </w:p>
    <w:p>
      <w:pPr>
        <w:pStyle w:val="BodyText"/>
        <w:spacing w:line="249" w:lineRule="auto"/>
        <w:ind w:left="470" w:right="470"/>
      </w:pPr>
      <w:r>
        <w:rPr/>
        <w:t>On May 4, 2023, the Company executed the Second Amended and Restated Insured Deposit Account Agreement (2023 IDA agreement)</w:t>
      </w:r>
      <w:r>
        <w:rPr>
          <w:spacing w:val="-3"/>
        </w:rPr>
        <w:t> </w:t>
      </w:r>
      <w:r>
        <w:rPr/>
        <w:t>with</w:t>
      </w:r>
      <w:r>
        <w:rPr>
          <w:spacing w:val="-3"/>
        </w:rPr>
        <w:t> </w:t>
      </w:r>
      <w:r>
        <w:rPr/>
        <w:t>the</w:t>
      </w:r>
      <w:r>
        <w:rPr>
          <w:spacing w:val="-4"/>
        </w:rPr>
        <w:t> </w:t>
      </w:r>
      <w:r>
        <w:rPr/>
        <w:t>TD</w:t>
      </w:r>
      <w:r>
        <w:rPr>
          <w:spacing w:val="-4"/>
        </w:rPr>
        <w:t> </w:t>
      </w:r>
      <w:r>
        <w:rPr/>
        <w:t>Depository</w:t>
      </w:r>
      <w:r>
        <w:rPr>
          <w:spacing w:val="-3"/>
        </w:rPr>
        <w:t> </w:t>
      </w:r>
      <w:r>
        <w:rPr/>
        <w:t>Institutions</w:t>
      </w:r>
      <w:r>
        <w:rPr>
          <w:spacing w:val="-4"/>
        </w:rPr>
        <w:t> </w:t>
      </w:r>
      <w:r>
        <w:rPr/>
        <w:t>that</w:t>
      </w:r>
      <w:r>
        <w:rPr>
          <w:spacing w:val="-4"/>
        </w:rPr>
        <w:t> </w:t>
      </w:r>
      <w:r>
        <w:rPr/>
        <w:t>replaced</w:t>
      </w:r>
      <w:r>
        <w:rPr>
          <w:spacing w:val="-3"/>
        </w:rPr>
        <w:t> </w:t>
      </w:r>
      <w:r>
        <w:rPr/>
        <w:t>and</w:t>
      </w:r>
      <w:r>
        <w:rPr>
          <w:spacing w:val="-3"/>
        </w:rPr>
        <w:t> </w:t>
      </w:r>
      <w:r>
        <w:rPr/>
        <w:t>superseded</w:t>
      </w:r>
      <w:r>
        <w:rPr>
          <w:spacing w:val="-3"/>
        </w:rPr>
        <w:t> </w:t>
      </w:r>
      <w:r>
        <w:rPr/>
        <w:t>the</w:t>
      </w:r>
      <w:r>
        <w:rPr>
          <w:spacing w:val="-4"/>
        </w:rPr>
        <w:t> </w:t>
      </w:r>
      <w:r>
        <w:rPr/>
        <w:t>previous</w:t>
      </w:r>
      <w:r>
        <w:rPr>
          <w:spacing w:val="-4"/>
        </w:rPr>
        <w:t> </w:t>
      </w:r>
      <w:r>
        <w:rPr/>
        <w:t>agreement</w:t>
      </w:r>
      <w:r>
        <w:rPr>
          <w:spacing w:val="-4"/>
        </w:rPr>
        <w:t> </w:t>
      </w:r>
      <w:r>
        <w:rPr/>
        <w:t>dated</w:t>
      </w:r>
      <w:r>
        <w:rPr>
          <w:spacing w:val="-3"/>
        </w:rPr>
        <w:t> </w:t>
      </w:r>
      <w:r>
        <w:rPr/>
        <w:t>November</w:t>
      </w:r>
      <w:r>
        <w:rPr>
          <w:spacing w:val="-3"/>
        </w:rPr>
        <w:t> </w:t>
      </w:r>
      <w:r>
        <w:rPr/>
        <w:t>24,</w:t>
      </w:r>
      <w:r>
        <w:rPr>
          <w:spacing w:val="-3"/>
        </w:rPr>
        <w:t> </w:t>
      </w:r>
      <w:r>
        <w:rPr/>
        <w:t>2019, as amended (the 2019 IDA agreement). In accordance with the 2023 IDA agreement, cash held in eligible brokerage client accounts is swept off-balance sheet to deposit accounts at the TD Depository Institutions, consistent with the 2019 IDA agreement. Schwab provides recordkeeping and support services to the TD Depository Institutions with respect to the deposit accounts for which Schwab receives an aggregate monthly fee. Under the 2023 IDA agreement, the service fee on client cash deposits held at the TD Depository Institutions remains at 15 basis points, as it was in the 2019 IDA agreement. See Item 1 – Note 9 for additional discussion of the 2023 IDA agreement.</w:t>
      </w:r>
    </w:p>
    <w:p>
      <w:pPr>
        <w:pStyle w:val="BodyText"/>
        <w:spacing w:before="16"/>
      </w:pPr>
    </w:p>
    <w:p>
      <w:pPr>
        <w:pStyle w:val="BodyText"/>
        <w:spacing w:line="249" w:lineRule="auto"/>
        <w:ind w:left="470" w:right="500"/>
      </w:pPr>
      <w:r>
        <w:rPr/>
        <mc:AlternateContent>
          <mc:Choice Requires="wps">
            <w:drawing>
              <wp:anchor distT="0" distB="0" distL="0" distR="0" allowOverlap="1" layoutInCell="1" locked="0" behindDoc="0" simplePos="0" relativeHeight="15733248">
                <wp:simplePos x="0" y="0"/>
                <wp:positionH relativeFrom="page">
                  <wp:posOffset>628650</wp:posOffset>
                </wp:positionH>
                <wp:positionV relativeFrom="paragraph">
                  <wp:posOffset>370760</wp:posOffset>
                </wp:positionV>
                <wp:extent cx="6515100" cy="635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6515100" cy="6350"/>
                          <a:chExt cx="6515100" cy="6350"/>
                        </a:xfrm>
                      </wpg:grpSpPr>
                      <wps:wsp>
                        <wps:cNvPr id="34" name="Graphic 34"/>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35" name="Graphic 35"/>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29.19375pt;width:513pt;height:.5pt;mso-position-horizontal-relative:page;mso-position-vertical-relative:paragraph;z-index:15733248" id="docshapegroup25" coordorigin="990,584" coordsize="10260,10">
                <v:shape style="position:absolute;left:990;top:588;width:10260;height:2" id="docshape26" coordorigin="990,589" coordsize="10260,0" path="m11250,589l990,589e" filled="true" fillcolor="#000000" stroked="false">
                  <v:path arrowok="t"/>
                  <v:fill opacity="0f" type="solid"/>
                </v:shape>
                <v:line style="position:absolute" from="990,589" to="11250,589" stroked="true" strokeweight=".5pt" strokecolor="#000000">
                  <v:stroke dashstyle="solid"/>
                </v:line>
                <w10:wrap type="none"/>
              </v:group>
            </w:pict>
          </mc:Fallback>
        </mc:AlternateContent>
      </w:r>
      <w:r>
        <w:rPr/>
        <w:t>The</w:t>
      </w:r>
      <w:r>
        <w:rPr>
          <w:spacing w:val="-4"/>
        </w:rPr>
        <w:t> </w:t>
      </w:r>
      <w:r>
        <w:rPr/>
        <w:t>following</w:t>
      </w:r>
      <w:r>
        <w:rPr>
          <w:spacing w:val="-3"/>
        </w:rPr>
        <w:t> </w:t>
      </w:r>
      <w:r>
        <w:rPr/>
        <w:t>table</w:t>
      </w:r>
      <w:r>
        <w:rPr>
          <w:spacing w:val="-4"/>
        </w:rPr>
        <w:t> </w:t>
      </w:r>
      <w:r>
        <w:rPr/>
        <w:t>presents</w:t>
      </w:r>
      <w:r>
        <w:rPr>
          <w:spacing w:val="-4"/>
        </w:rPr>
        <w:t> </w:t>
      </w:r>
      <w:r>
        <w:rPr/>
        <w:t>bank</w:t>
      </w:r>
      <w:r>
        <w:rPr>
          <w:spacing w:val="-3"/>
        </w:rPr>
        <w:t> </w:t>
      </w:r>
      <w:r>
        <w:rPr/>
        <w:t>deposit</w:t>
      </w:r>
      <w:r>
        <w:rPr>
          <w:spacing w:val="-4"/>
        </w:rPr>
        <w:t> </w:t>
      </w:r>
      <w:r>
        <w:rPr/>
        <w:t>account</w:t>
      </w:r>
      <w:r>
        <w:rPr>
          <w:spacing w:val="-4"/>
        </w:rPr>
        <w:t> </w:t>
      </w:r>
      <w:r>
        <w:rPr/>
        <w:t>fee</w:t>
      </w:r>
      <w:r>
        <w:rPr>
          <w:spacing w:val="-4"/>
        </w:rPr>
        <w:t> </w:t>
      </w:r>
      <w:r>
        <w:rPr/>
        <w:t>revenue,</w:t>
      </w:r>
      <w:r>
        <w:rPr>
          <w:spacing w:val="-3"/>
        </w:rPr>
        <w:t> </w:t>
      </w:r>
      <w:r>
        <w:rPr/>
        <w:t>average</w:t>
      </w:r>
      <w:r>
        <w:rPr>
          <w:spacing w:val="-4"/>
        </w:rPr>
        <w:t> </w:t>
      </w:r>
      <w:r>
        <w:rPr/>
        <w:t>BDA</w:t>
      </w:r>
      <w:r>
        <w:rPr>
          <w:spacing w:val="-4"/>
        </w:rPr>
        <w:t> </w:t>
      </w:r>
      <w:r>
        <w:rPr/>
        <w:t>balances,</w:t>
      </w:r>
      <w:r>
        <w:rPr>
          <w:spacing w:val="-3"/>
        </w:rPr>
        <w:t> </w:t>
      </w:r>
      <w:r>
        <w:rPr/>
        <w:t>average</w:t>
      </w:r>
      <w:r>
        <w:rPr>
          <w:spacing w:val="-4"/>
        </w:rPr>
        <w:t> </w:t>
      </w:r>
      <w:r>
        <w:rPr/>
        <w:t>net</w:t>
      </w:r>
      <w:r>
        <w:rPr>
          <w:spacing w:val="-4"/>
        </w:rPr>
        <w:t> </w:t>
      </w:r>
      <w:r>
        <w:rPr/>
        <w:t>yield,</w:t>
      </w:r>
      <w:r>
        <w:rPr>
          <w:spacing w:val="-3"/>
        </w:rPr>
        <w:t> </w:t>
      </w:r>
      <w:r>
        <w:rPr/>
        <w:t>and</w:t>
      </w:r>
      <w:r>
        <w:rPr>
          <w:spacing w:val="-3"/>
        </w:rPr>
        <w:t> </w:t>
      </w:r>
      <w:r>
        <w:rPr/>
        <w:t>average</w:t>
      </w:r>
      <w:r>
        <w:rPr>
          <w:spacing w:val="-4"/>
        </w:rPr>
        <w:t> </w:t>
      </w:r>
      <w:r>
        <w:rPr/>
        <w:t>balances earning fixed- and floating-rate yields:</w:t>
      </w:r>
    </w:p>
    <w:p>
      <w:pPr>
        <w:spacing w:after="0" w:line="249" w:lineRule="auto"/>
        <w:sectPr>
          <w:type w:val="continuous"/>
          <w:pgSz w:w="12240" w:h="15840"/>
          <w:pgMar w:header="512" w:footer="201" w:top="320" w:bottom="280" w:left="520" w:right="520"/>
        </w:sectPr>
      </w:pPr>
    </w:p>
    <w:p>
      <w:pPr>
        <w:spacing w:line="193" w:lineRule="exact" w:before="128"/>
        <w:ind w:left="4735" w:right="0" w:firstLine="0"/>
        <w:jc w:val="left"/>
        <w:rPr>
          <w:sz w:val="18"/>
        </w:rPr>
      </w:pPr>
      <w:r>
        <w:rPr>
          <w:sz w:val="18"/>
        </w:rPr>
        <w:t>Three</w:t>
      </w:r>
      <w:r>
        <w:rPr>
          <w:spacing w:val="-1"/>
          <w:sz w:val="18"/>
        </w:rPr>
        <w:t> </w:t>
      </w:r>
      <w:r>
        <w:rPr>
          <w:sz w:val="18"/>
        </w:rPr>
        <w:t>Months</w:t>
      </w:r>
      <w:r>
        <w:rPr>
          <w:spacing w:val="-1"/>
          <w:sz w:val="18"/>
        </w:rPr>
        <w:t> </w:t>
      </w:r>
      <w:r>
        <w:rPr>
          <w:spacing w:val="-2"/>
          <w:sz w:val="18"/>
        </w:rPr>
        <w:t>Ended</w:t>
      </w:r>
    </w:p>
    <w:p>
      <w:pPr>
        <w:tabs>
          <w:tab w:pos="1884" w:val="left" w:leader="none"/>
        </w:tabs>
        <w:spacing w:line="218" w:lineRule="auto" w:before="0"/>
        <w:ind w:left="0" w:right="0" w:firstLine="0"/>
        <w:jc w:val="right"/>
        <w:rPr>
          <w:sz w:val="18"/>
        </w:rPr>
      </w:pPr>
      <w:r>
        <w:rPr/>
        <mc:AlternateContent>
          <mc:Choice Requires="wps">
            <w:drawing>
              <wp:anchor distT="0" distB="0" distL="0" distR="0" allowOverlap="1" layoutInCell="1" locked="0" behindDoc="0" simplePos="0" relativeHeight="15734272">
                <wp:simplePos x="0" y="0"/>
                <wp:positionH relativeFrom="page">
                  <wp:posOffset>590550</wp:posOffset>
                </wp:positionH>
                <wp:positionV relativeFrom="paragraph">
                  <wp:posOffset>142255</wp:posOffset>
                </wp:positionV>
                <wp:extent cx="6591300" cy="11398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591300" cy="11398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0"/>
                              <w:gridCol w:w="1114"/>
                              <w:gridCol w:w="1136"/>
                              <w:gridCol w:w="1159"/>
                              <w:gridCol w:w="885"/>
                              <w:gridCol w:w="1106"/>
                              <w:gridCol w:w="960"/>
                            </w:tblGrid>
                            <w:tr>
                              <w:trPr>
                                <w:trHeight w:val="245" w:hRule="atLeast"/>
                              </w:trPr>
                              <w:tc>
                                <w:tcPr>
                                  <w:tcW w:w="3900" w:type="dxa"/>
                                  <w:tcBorders>
                                    <w:bottom w:val="single" w:sz="4" w:space="0" w:color="000000"/>
                                  </w:tcBorders>
                                </w:tcPr>
                                <w:p>
                                  <w:pPr>
                                    <w:pStyle w:val="TableParagraph"/>
                                    <w:rPr>
                                      <w:sz w:val="16"/>
                                    </w:rPr>
                                  </w:pPr>
                                </w:p>
                              </w:tc>
                              <w:tc>
                                <w:tcPr>
                                  <w:tcW w:w="1114" w:type="dxa"/>
                                  <w:tcBorders>
                                    <w:top w:val="single" w:sz="4" w:space="0" w:color="000000"/>
                                    <w:bottom w:val="single" w:sz="4" w:space="0" w:color="000000"/>
                                  </w:tcBorders>
                                </w:tcPr>
                                <w:p>
                                  <w:pPr>
                                    <w:pStyle w:val="TableParagraph"/>
                                    <w:spacing w:before="13"/>
                                    <w:ind w:left="367"/>
                                    <w:rPr>
                                      <w:sz w:val="18"/>
                                    </w:rPr>
                                  </w:pPr>
                                  <w:r>
                                    <w:rPr>
                                      <w:spacing w:val="-4"/>
                                      <w:sz w:val="18"/>
                                    </w:rPr>
                                    <w:t>2023</w:t>
                                  </w:r>
                                </w:p>
                              </w:tc>
                              <w:tc>
                                <w:tcPr>
                                  <w:tcW w:w="1136" w:type="dxa"/>
                                  <w:tcBorders>
                                    <w:top w:val="single" w:sz="4" w:space="0" w:color="000000"/>
                                    <w:bottom w:val="single" w:sz="4" w:space="0" w:color="000000"/>
                                  </w:tcBorders>
                                </w:tcPr>
                                <w:p>
                                  <w:pPr>
                                    <w:pStyle w:val="TableParagraph"/>
                                    <w:spacing w:before="13"/>
                                    <w:ind w:left="408"/>
                                    <w:rPr>
                                      <w:sz w:val="18"/>
                                    </w:rPr>
                                  </w:pPr>
                                  <w:r>
                                    <w:rPr>
                                      <w:spacing w:val="-4"/>
                                      <w:sz w:val="18"/>
                                    </w:rPr>
                                    <w:t>2022</w:t>
                                  </w:r>
                                </w:p>
                              </w:tc>
                              <w:tc>
                                <w:tcPr>
                                  <w:tcW w:w="1159" w:type="dxa"/>
                                  <w:tcBorders>
                                    <w:bottom w:val="single" w:sz="4" w:space="0" w:color="000000"/>
                                  </w:tcBorders>
                                </w:tcPr>
                                <w:p>
                                  <w:pPr>
                                    <w:pStyle w:val="TableParagraph"/>
                                    <w:spacing w:before="13"/>
                                    <w:ind w:left="235"/>
                                    <w:rPr>
                                      <w:sz w:val="18"/>
                                    </w:rPr>
                                  </w:pPr>
                                  <w:r>
                                    <w:rPr>
                                      <w:spacing w:val="-2"/>
                                      <w:sz w:val="18"/>
                                    </w:rPr>
                                    <w:t>Change</w:t>
                                  </w:r>
                                </w:p>
                              </w:tc>
                              <w:tc>
                                <w:tcPr>
                                  <w:tcW w:w="885" w:type="dxa"/>
                                  <w:tcBorders>
                                    <w:top w:val="single" w:sz="4" w:space="0" w:color="000000"/>
                                    <w:bottom w:val="single" w:sz="4" w:space="0" w:color="000000"/>
                                  </w:tcBorders>
                                </w:tcPr>
                                <w:p>
                                  <w:pPr>
                                    <w:pStyle w:val="TableParagraph"/>
                                    <w:spacing w:before="13"/>
                                    <w:ind w:left="153"/>
                                    <w:rPr>
                                      <w:sz w:val="18"/>
                                    </w:rPr>
                                  </w:pPr>
                                  <w:r>
                                    <w:rPr>
                                      <w:spacing w:val="-4"/>
                                      <w:sz w:val="18"/>
                                    </w:rPr>
                                    <w:t>2023</w:t>
                                  </w:r>
                                </w:p>
                              </w:tc>
                              <w:tc>
                                <w:tcPr>
                                  <w:tcW w:w="1106" w:type="dxa"/>
                                  <w:tcBorders>
                                    <w:top w:val="single" w:sz="4" w:space="0" w:color="000000"/>
                                    <w:bottom w:val="single" w:sz="4" w:space="0" w:color="000000"/>
                                  </w:tcBorders>
                                </w:tcPr>
                                <w:p>
                                  <w:pPr>
                                    <w:pStyle w:val="TableParagraph"/>
                                    <w:spacing w:before="13"/>
                                    <w:ind w:left="393"/>
                                    <w:rPr>
                                      <w:sz w:val="18"/>
                                    </w:rPr>
                                  </w:pPr>
                                  <w:r>
                                    <w:rPr>
                                      <w:spacing w:val="-4"/>
                                      <w:sz w:val="18"/>
                                    </w:rPr>
                                    <w:t>2022</w:t>
                                  </w:r>
                                </w:p>
                              </w:tc>
                              <w:tc>
                                <w:tcPr>
                                  <w:tcW w:w="960" w:type="dxa"/>
                                  <w:tcBorders>
                                    <w:bottom w:val="single" w:sz="4" w:space="0" w:color="000000"/>
                                  </w:tcBorders>
                                </w:tcPr>
                                <w:p>
                                  <w:pPr>
                                    <w:pStyle w:val="TableParagraph"/>
                                    <w:spacing w:before="13"/>
                                    <w:ind w:left="235"/>
                                    <w:rPr>
                                      <w:sz w:val="18"/>
                                    </w:rPr>
                                  </w:pPr>
                                  <w:r>
                                    <w:rPr>
                                      <w:spacing w:val="-2"/>
                                      <w:sz w:val="18"/>
                                    </w:rPr>
                                    <w:t>Change</w:t>
                                  </w:r>
                                </w:p>
                              </w:tc>
                            </w:tr>
                            <w:tr>
                              <w:trPr>
                                <w:trHeight w:val="250" w:hRule="atLeast"/>
                              </w:trPr>
                              <w:tc>
                                <w:tcPr>
                                  <w:tcW w:w="3900" w:type="dxa"/>
                                  <w:tcBorders>
                                    <w:top w:val="single" w:sz="4" w:space="0" w:color="000000"/>
                                  </w:tcBorders>
                                  <w:shd w:val="clear" w:color="auto" w:fill="CCEDFF"/>
                                </w:tcPr>
                                <w:p>
                                  <w:pPr>
                                    <w:pStyle w:val="TableParagraph"/>
                                    <w:spacing w:before="13"/>
                                    <w:ind w:left="52"/>
                                    <w:rPr>
                                      <w:sz w:val="18"/>
                                    </w:rPr>
                                  </w:pPr>
                                  <w:r>
                                    <w:rPr>
                                      <w:sz w:val="18"/>
                                    </w:rPr>
                                    <w:t>Bank</w:t>
                                  </w:r>
                                  <w:r>
                                    <w:rPr>
                                      <w:spacing w:val="-1"/>
                                      <w:sz w:val="18"/>
                                    </w:rPr>
                                    <w:t> </w:t>
                                  </w:r>
                                  <w:r>
                                    <w:rPr>
                                      <w:sz w:val="18"/>
                                    </w:rPr>
                                    <w:t>deposit account </w:t>
                                  </w:r>
                                  <w:r>
                                    <w:rPr>
                                      <w:spacing w:val="-4"/>
                                      <w:sz w:val="18"/>
                                    </w:rPr>
                                    <w:t>fees</w:t>
                                  </w:r>
                                </w:p>
                              </w:tc>
                              <w:tc>
                                <w:tcPr>
                                  <w:tcW w:w="1114" w:type="dxa"/>
                                  <w:tcBorders>
                                    <w:top w:val="single" w:sz="4" w:space="0" w:color="000000"/>
                                  </w:tcBorders>
                                  <w:shd w:val="clear" w:color="auto" w:fill="CCEDFF"/>
                                </w:tcPr>
                                <w:p>
                                  <w:pPr>
                                    <w:pStyle w:val="TableParagraph"/>
                                    <w:tabs>
                                      <w:tab w:pos="600" w:val="left" w:leader="none"/>
                                    </w:tabs>
                                    <w:spacing w:before="13"/>
                                    <w:ind w:left="52"/>
                                    <w:rPr>
                                      <w:sz w:val="18"/>
                                    </w:rPr>
                                  </w:pPr>
                                  <w:r>
                                    <w:rPr>
                                      <w:spacing w:val="-10"/>
                                      <w:sz w:val="18"/>
                                    </w:rPr>
                                    <w:t>$</w:t>
                                  </w:r>
                                  <w:r>
                                    <w:rPr>
                                      <w:sz w:val="18"/>
                                    </w:rPr>
                                    <w:tab/>
                                  </w:r>
                                  <w:r>
                                    <w:rPr>
                                      <w:spacing w:val="-5"/>
                                      <w:sz w:val="18"/>
                                    </w:rPr>
                                    <w:t>205</w:t>
                                  </w:r>
                                </w:p>
                              </w:tc>
                              <w:tc>
                                <w:tcPr>
                                  <w:tcW w:w="1136" w:type="dxa"/>
                                  <w:tcBorders>
                                    <w:top w:val="single" w:sz="4" w:space="0" w:color="000000"/>
                                  </w:tcBorders>
                                  <w:shd w:val="clear" w:color="auto" w:fill="CCEDFF"/>
                                </w:tcPr>
                                <w:p>
                                  <w:pPr>
                                    <w:pStyle w:val="TableParagraph"/>
                                    <w:tabs>
                                      <w:tab w:pos="641" w:val="left" w:leader="none"/>
                                    </w:tabs>
                                    <w:spacing w:before="13"/>
                                    <w:ind w:left="93"/>
                                    <w:rPr>
                                      <w:sz w:val="18"/>
                                    </w:rPr>
                                  </w:pPr>
                                  <w:r>
                                    <w:rPr>
                                      <w:spacing w:val="-10"/>
                                      <w:sz w:val="18"/>
                                    </w:rPr>
                                    <w:t>$</w:t>
                                  </w:r>
                                  <w:r>
                                    <w:rPr>
                                      <w:sz w:val="18"/>
                                    </w:rPr>
                                    <w:tab/>
                                  </w:r>
                                  <w:r>
                                    <w:rPr>
                                      <w:spacing w:val="-5"/>
                                      <w:sz w:val="18"/>
                                    </w:rPr>
                                    <w:t>413</w:t>
                                  </w:r>
                                </w:p>
                              </w:tc>
                              <w:tc>
                                <w:tcPr>
                                  <w:tcW w:w="1159" w:type="dxa"/>
                                  <w:tcBorders>
                                    <w:top w:val="single" w:sz="4" w:space="0" w:color="000000"/>
                                  </w:tcBorders>
                                  <w:shd w:val="clear" w:color="auto" w:fill="CCEDFF"/>
                                </w:tcPr>
                                <w:p>
                                  <w:pPr>
                                    <w:pStyle w:val="TableParagraph"/>
                                    <w:spacing w:before="13"/>
                                    <w:ind w:right="54"/>
                                    <w:jc w:val="right"/>
                                    <w:rPr>
                                      <w:sz w:val="18"/>
                                    </w:rPr>
                                  </w:pPr>
                                  <w:r>
                                    <w:rPr>
                                      <w:sz w:val="18"/>
                                    </w:rPr>
                                    <w:t>(50)%</w:t>
                                  </w:r>
                                  <w:r>
                                    <w:rPr>
                                      <w:spacing w:val="22"/>
                                      <w:sz w:val="18"/>
                                    </w:rPr>
                                    <w:t> </w:t>
                                  </w:r>
                                  <w:r>
                                    <w:rPr>
                                      <w:spacing w:val="-10"/>
                                      <w:sz w:val="18"/>
                                    </w:rPr>
                                    <w:t>$</w:t>
                                  </w:r>
                                </w:p>
                              </w:tc>
                              <w:tc>
                                <w:tcPr>
                                  <w:tcW w:w="885" w:type="dxa"/>
                                  <w:tcBorders>
                                    <w:top w:val="single" w:sz="4" w:space="0" w:color="000000"/>
                                  </w:tcBorders>
                                  <w:shd w:val="clear" w:color="auto" w:fill="CCEDFF"/>
                                </w:tcPr>
                                <w:p>
                                  <w:pPr>
                                    <w:pStyle w:val="TableParagraph"/>
                                    <w:spacing w:before="13"/>
                                    <w:ind w:left="371"/>
                                    <w:rPr>
                                      <w:sz w:val="18"/>
                                    </w:rPr>
                                  </w:pPr>
                                  <w:r>
                                    <w:rPr>
                                      <w:spacing w:val="-5"/>
                                      <w:sz w:val="18"/>
                                    </w:rPr>
                                    <w:t>531</w:t>
                                  </w:r>
                                </w:p>
                              </w:tc>
                              <w:tc>
                                <w:tcPr>
                                  <w:tcW w:w="1106" w:type="dxa"/>
                                  <w:tcBorders>
                                    <w:top w:val="single" w:sz="4" w:space="0" w:color="000000"/>
                                  </w:tcBorders>
                                  <w:shd w:val="clear" w:color="auto" w:fill="CCEDFF"/>
                                </w:tcPr>
                                <w:p>
                                  <w:pPr>
                                    <w:pStyle w:val="TableParagraph"/>
                                    <w:tabs>
                                      <w:tab w:pos="476" w:val="left" w:leader="none"/>
                                    </w:tabs>
                                    <w:spacing w:before="13"/>
                                    <w:ind w:left="93"/>
                                    <w:rPr>
                                      <w:sz w:val="18"/>
                                    </w:rPr>
                                  </w:pPr>
                                  <w:r>
                                    <w:rPr>
                                      <w:spacing w:val="-10"/>
                                      <w:sz w:val="18"/>
                                    </w:rPr>
                                    <w:t>$</w:t>
                                  </w:r>
                                  <w:r>
                                    <w:rPr>
                                      <w:sz w:val="18"/>
                                    </w:rPr>
                                    <w:tab/>
                                  </w:r>
                                  <w:r>
                                    <w:rPr>
                                      <w:spacing w:val="-2"/>
                                      <w:sz w:val="18"/>
                                    </w:rPr>
                                    <w:t>1,059</w:t>
                                  </w:r>
                                </w:p>
                              </w:tc>
                              <w:tc>
                                <w:tcPr>
                                  <w:tcW w:w="960" w:type="dxa"/>
                                  <w:tcBorders>
                                    <w:top w:val="single" w:sz="4" w:space="0" w:color="000000"/>
                                  </w:tcBorders>
                                  <w:shd w:val="clear" w:color="auto" w:fill="CCEDFF"/>
                                </w:tcPr>
                                <w:p>
                                  <w:pPr>
                                    <w:pStyle w:val="TableParagraph"/>
                                    <w:spacing w:before="13"/>
                                    <w:ind w:right="12"/>
                                    <w:jc w:val="right"/>
                                    <w:rPr>
                                      <w:sz w:val="18"/>
                                    </w:rPr>
                                  </w:pPr>
                                  <w:r>
                                    <w:rPr>
                                      <w:spacing w:val="-2"/>
                                      <w:sz w:val="18"/>
                                    </w:rPr>
                                    <w:t>(50)%</w:t>
                                  </w:r>
                                </w:p>
                              </w:tc>
                            </w:tr>
                            <w:tr>
                              <w:trPr>
                                <w:trHeight w:val="255" w:hRule="atLeast"/>
                              </w:trPr>
                              <w:tc>
                                <w:tcPr>
                                  <w:tcW w:w="3900" w:type="dxa"/>
                                </w:tcPr>
                                <w:p>
                                  <w:pPr>
                                    <w:pStyle w:val="TableParagraph"/>
                                    <w:spacing w:before="18"/>
                                    <w:ind w:left="52"/>
                                    <w:rPr>
                                      <w:sz w:val="18"/>
                                    </w:rPr>
                                  </w:pPr>
                                  <w:r>
                                    <w:rPr>
                                      <w:sz w:val="18"/>
                                    </w:rPr>
                                    <w:t>Average</w:t>
                                  </w:r>
                                  <w:r>
                                    <w:rPr>
                                      <w:spacing w:val="-2"/>
                                      <w:sz w:val="18"/>
                                    </w:rPr>
                                    <w:t> </w:t>
                                  </w:r>
                                  <w:r>
                                    <w:rPr>
                                      <w:sz w:val="18"/>
                                    </w:rPr>
                                    <w:t>BDA</w:t>
                                  </w:r>
                                  <w:r>
                                    <w:rPr>
                                      <w:spacing w:val="-1"/>
                                      <w:sz w:val="18"/>
                                    </w:rPr>
                                    <w:t> </w:t>
                                  </w:r>
                                  <w:r>
                                    <w:rPr>
                                      <w:spacing w:val="-2"/>
                                      <w:sz w:val="18"/>
                                    </w:rPr>
                                    <w:t>balances</w:t>
                                  </w:r>
                                </w:p>
                              </w:tc>
                              <w:tc>
                                <w:tcPr>
                                  <w:tcW w:w="1114" w:type="dxa"/>
                                </w:tcPr>
                                <w:p>
                                  <w:pPr>
                                    <w:pStyle w:val="TableParagraph"/>
                                    <w:spacing w:before="18"/>
                                    <w:ind w:left="52"/>
                                    <w:rPr>
                                      <w:sz w:val="18"/>
                                    </w:rPr>
                                  </w:pPr>
                                  <w:r>
                                    <w:rPr>
                                      <w:sz w:val="18"/>
                                    </w:rPr>
                                    <w:t>$</w:t>
                                  </w:r>
                                  <w:r>
                                    <w:rPr>
                                      <w:spacing w:val="74"/>
                                      <w:w w:val="150"/>
                                      <w:sz w:val="18"/>
                                    </w:rPr>
                                    <w:t> </w:t>
                                  </w:r>
                                  <w:r>
                                    <w:rPr>
                                      <w:spacing w:val="-2"/>
                                      <w:sz w:val="18"/>
                                    </w:rPr>
                                    <w:t>101,666</w:t>
                                  </w:r>
                                </w:p>
                              </w:tc>
                              <w:tc>
                                <w:tcPr>
                                  <w:tcW w:w="1136" w:type="dxa"/>
                                </w:tcPr>
                                <w:p>
                                  <w:pPr>
                                    <w:pStyle w:val="TableParagraph"/>
                                    <w:spacing w:before="18"/>
                                    <w:ind w:left="93"/>
                                    <w:rPr>
                                      <w:sz w:val="18"/>
                                    </w:rPr>
                                  </w:pPr>
                                  <w:r>
                                    <w:rPr>
                                      <w:sz w:val="18"/>
                                    </w:rPr>
                                    <w:t>$</w:t>
                                  </w:r>
                                  <w:r>
                                    <w:rPr>
                                      <w:spacing w:val="74"/>
                                      <w:w w:val="150"/>
                                      <w:sz w:val="18"/>
                                    </w:rPr>
                                    <w:t> </w:t>
                                  </w:r>
                                  <w:r>
                                    <w:rPr>
                                      <w:spacing w:val="-2"/>
                                      <w:sz w:val="18"/>
                                    </w:rPr>
                                    <w:t>148,142</w:t>
                                  </w:r>
                                </w:p>
                              </w:tc>
                              <w:tc>
                                <w:tcPr>
                                  <w:tcW w:w="1159" w:type="dxa"/>
                                </w:tcPr>
                                <w:p>
                                  <w:pPr>
                                    <w:pStyle w:val="TableParagraph"/>
                                    <w:spacing w:before="18"/>
                                    <w:ind w:right="54"/>
                                    <w:jc w:val="right"/>
                                    <w:rPr>
                                      <w:sz w:val="18"/>
                                    </w:rPr>
                                  </w:pPr>
                                  <w:r>
                                    <w:rPr>
                                      <w:sz w:val="18"/>
                                    </w:rPr>
                                    <w:t>(31)%</w:t>
                                  </w:r>
                                  <w:r>
                                    <w:rPr>
                                      <w:spacing w:val="22"/>
                                      <w:sz w:val="18"/>
                                    </w:rPr>
                                    <w:t> </w:t>
                                  </w:r>
                                  <w:r>
                                    <w:rPr>
                                      <w:spacing w:val="-10"/>
                                      <w:sz w:val="18"/>
                                    </w:rPr>
                                    <w:t>$</w:t>
                                  </w:r>
                                </w:p>
                              </w:tc>
                              <w:tc>
                                <w:tcPr>
                                  <w:tcW w:w="885" w:type="dxa"/>
                                </w:tcPr>
                                <w:p>
                                  <w:pPr>
                                    <w:pStyle w:val="TableParagraph"/>
                                    <w:spacing w:before="18"/>
                                    <w:ind w:left="56"/>
                                    <w:rPr>
                                      <w:sz w:val="18"/>
                                    </w:rPr>
                                  </w:pPr>
                                  <w:r>
                                    <w:rPr>
                                      <w:spacing w:val="-2"/>
                                      <w:sz w:val="18"/>
                                    </w:rPr>
                                    <w:t>107,003</w:t>
                                  </w:r>
                                </w:p>
                              </w:tc>
                              <w:tc>
                                <w:tcPr>
                                  <w:tcW w:w="1106" w:type="dxa"/>
                                </w:tcPr>
                                <w:p>
                                  <w:pPr>
                                    <w:pStyle w:val="TableParagraph"/>
                                    <w:spacing w:before="18"/>
                                    <w:ind w:left="93"/>
                                    <w:rPr>
                                      <w:sz w:val="18"/>
                                    </w:rPr>
                                  </w:pPr>
                                  <w:r>
                                    <w:rPr>
                                      <w:sz w:val="18"/>
                                    </w:rPr>
                                    <w:t>$</w:t>
                                  </w:r>
                                  <w:r>
                                    <w:rPr>
                                      <w:spacing w:val="67"/>
                                      <w:sz w:val="18"/>
                                    </w:rPr>
                                    <w:t> </w:t>
                                  </w:r>
                                  <w:r>
                                    <w:rPr>
                                      <w:spacing w:val="-2"/>
                                      <w:sz w:val="18"/>
                                    </w:rPr>
                                    <w:t>152,698</w:t>
                                  </w:r>
                                </w:p>
                              </w:tc>
                              <w:tc>
                                <w:tcPr>
                                  <w:tcW w:w="960" w:type="dxa"/>
                                </w:tcPr>
                                <w:p>
                                  <w:pPr>
                                    <w:pStyle w:val="TableParagraph"/>
                                    <w:spacing w:before="18"/>
                                    <w:ind w:right="12"/>
                                    <w:jc w:val="right"/>
                                    <w:rPr>
                                      <w:sz w:val="18"/>
                                    </w:rPr>
                                  </w:pPr>
                                  <w:r>
                                    <w:rPr>
                                      <w:spacing w:val="-2"/>
                                      <w:sz w:val="18"/>
                                    </w:rPr>
                                    <w:t>(30)%</w:t>
                                  </w:r>
                                </w:p>
                              </w:tc>
                            </w:tr>
                            <w:tr>
                              <w:trPr>
                                <w:trHeight w:val="255" w:hRule="atLeast"/>
                              </w:trPr>
                              <w:tc>
                                <w:tcPr>
                                  <w:tcW w:w="3900" w:type="dxa"/>
                                  <w:shd w:val="clear" w:color="auto" w:fill="CCEDFF"/>
                                </w:tcPr>
                                <w:p>
                                  <w:pPr>
                                    <w:pStyle w:val="TableParagraph"/>
                                    <w:spacing w:before="18"/>
                                    <w:ind w:left="52"/>
                                    <w:rPr>
                                      <w:sz w:val="18"/>
                                    </w:rPr>
                                  </w:pPr>
                                  <w:r>
                                    <w:rPr>
                                      <w:sz w:val="18"/>
                                    </w:rPr>
                                    <w:t>Average</w:t>
                                  </w:r>
                                  <w:r>
                                    <w:rPr>
                                      <w:spacing w:val="-1"/>
                                      <w:sz w:val="18"/>
                                    </w:rPr>
                                    <w:t> </w:t>
                                  </w:r>
                                  <w:r>
                                    <w:rPr>
                                      <w:sz w:val="18"/>
                                    </w:rPr>
                                    <w:t>net </w:t>
                                  </w:r>
                                  <w:r>
                                    <w:rPr>
                                      <w:spacing w:val="-2"/>
                                      <w:sz w:val="18"/>
                                    </w:rPr>
                                    <w:t>yield</w:t>
                                  </w:r>
                                </w:p>
                              </w:tc>
                              <w:tc>
                                <w:tcPr>
                                  <w:tcW w:w="1114" w:type="dxa"/>
                                  <w:shd w:val="clear" w:color="auto" w:fill="CCEDFF"/>
                                </w:tcPr>
                                <w:p>
                                  <w:pPr>
                                    <w:pStyle w:val="TableParagraph"/>
                                    <w:spacing w:before="18"/>
                                    <w:ind w:right="91"/>
                                    <w:jc w:val="right"/>
                                    <w:rPr>
                                      <w:sz w:val="18"/>
                                    </w:rPr>
                                  </w:pPr>
                                  <w:r>
                                    <w:rPr>
                                      <w:spacing w:val="-2"/>
                                      <w:sz w:val="18"/>
                                    </w:rPr>
                                    <w:t>0.79%</w:t>
                                  </w:r>
                                </w:p>
                              </w:tc>
                              <w:tc>
                                <w:tcPr>
                                  <w:tcW w:w="1136" w:type="dxa"/>
                                  <w:shd w:val="clear" w:color="auto" w:fill="CCEDFF"/>
                                </w:tcPr>
                                <w:p>
                                  <w:pPr>
                                    <w:pStyle w:val="TableParagraph"/>
                                    <w:spacing w:before="18"/>
                                    <w:ind w:right="72"/>
                                    <w:jc w:val="right"/>
                                    <w:rPr>
                                      <w:sz w:val="18"/>
                                    </w:rPr>
                                  </w:pPr>
                                  <w:r>
                                    <w:rPr>
                                      <w:spacing w:val="-2"/>
                                      <w:sz w:val="18"/>
                                    </w:rPr>
                                    <w:t>1.09%</w:t>
                                  </w:r>
                                </w:p>
                              </w:tc>
                              <w:tc>
                                <w:tcPr>
                                  <w:tcW w:w="1159" w:type="dxa"/>
                                  <w:shd w:val="clear" w:color="auto" w:fill="CCEDFF"/>
                                </w:tcPr>
                                <w:p>
                                  <w:pPr>
                                    <w:pStyle w:val="TableParagraph"/>
                                    <w:rPr>
                                      <w:sz w:val="18"/>
                                    </w:rPr>
                                  </w:pPr>
                                </w:p>
                              </w:tc>
                              <w:tc>
                                <w:tcPr>
                                  <w:tcW w:w="885" w:type="dxa"/>
                                  <w:shd w:val="clear" w:color="auto" w:fill="CCEDFF"/>
                                </w:tcPr>
                                <w:p>
                                  <w:pPr>
                                    <w:pStyle w:val="TableParagraph"/>
                                    <w:spacing w:before="18"/>
                                    <w:ind w:right="91"/>
                                    <w:jc w:val="right"/>
                                    <w:rPr>
                                      <w:sz w:val="18"/>
                                    </w:rPr>
                                  </w:pPr>
                                  <w:r>
                                    <w:rPr>
                                      <w:spacing w:val="-2"/>
                                      <w:sz w:val="18"/>
                                    </w:rPr>
                                    <w:t>0.66%</w:t>
                                  </w:r>
                                </w:p>
                              </w:tc>
                              <w:tc>
                                <w:tcPr>
                                  <w:tcW w:w="1106" w:type="dxa"/>
                                  <w:shd w:val="clear" w:color="auto" w:fill="CCEDFF"/>
                                </w:tcPr>
                                <w:p>
                                  <w:pPr>
                                    <w:pStyle w:val="TableParagraph"/>
                                    <w:spacing w:before="18"/>
                                    <w:ind w:right="72"/>
                                    <w:jc w:val="right"/>
                                    <w:rPr>
                                      <w:sz w:val="18"/>
                                    </w:rPr>
                                  </w:pPr>
                                  <w:r>
                                    <w:rPr>
                                      <w:spacing w:val="-2"/>
                                      <w:sz w:val="18"/>
                                    </w:rPr>
                                    <w:t>0.92%</w:t>
                                  </w:r>
                                </w:p>
                              </w:tc>
                              <w:tc>
                                <w:tcPr>
                                  <w:tcW w:w="960" w:type="dxa"/>
                                  <w:shd w:val="clear" w:color="auto" w:fill="CCEDFF"/>
                                </w:tcPr>
                                <w:p>
                                  <w:pPr>
                                    <w:pStyle w:val="TableParagraph"/>
                                    <w:rPr>
                                      <w:sz w:val="18"/>
                                    </w:rPr>
                                  </w:pPr>
                                </w:p>
                              </w:tc>
                            </w:tr>
                            <w:tr>
                              <w:trPr>
                                <w:trHeight w:val="255" w:hRule="atLeast"/>
                              </w:trPr>
                              <w:tc>
                                <w:tcPr>
                                  <w:tcW w:w="3900" w:type="dxa"/>
                                </w:tcPr>
                                <w:p>
                                  <w:pPr>
                                    <w:pStyle w:val="TableParagraph"/>
                                    <w:spacing w:before="18"/>
                                    <w:ind w:left="52"/>
                                    <w:rPr>
                                      <w:sz w:val="18"/>
                                    </w:rPr>
                                  </w:pPr>
                                  <w:r>
                                    <w:rPr>
                                      <w:sz w:val="18"/>
                                    </w:rPr>
                                    <w:t>Percentage</w:t>
                                  </w:r>
                                  <w:r>
                                    <w:rPr>
                                      <w:spacing w:val="-3"/>
                                      <w:sz w:val="18"/>
                                    </w:rPr>
                                    <w:t> </w:t>
                                  </w:r>
                                  <w:r>
                                    <w:rPr>
                                      <w:sz w:val="18"/>
                                    </w:rPr>
                                    <w:t>of average</w:t>
                                  </w:r>
                                  <w:r>
                                    <w:rPr>
                                      <w:spacing w:val="-1"/>
                                      <w:sz w:val="18"/>
                                    </w:rPr>
                                    <w:t> </w:t>
                                  </w:r>
                                  <w:r>
                                    <w:rPr>
                                      <w:sz w:val="18"/>
                                    </w:rPr>
                                    <w:t>BDA</w:t>
                                  </w:r>
                                  <w:r>
                                    <w:rPr>
                                      <w:spacing w:val="-1"/>
                                      <w:sz w:val="18"/>
                                    </w:rPr>
                                    <w:t> </w:t>
                                  </w:r>
                                  <w:r>
                                    <w:rPr>
                                      <w:sz w:val="18"/>
                                    </w:rPr>
                                    <w:t>balances</w:t>
                                  </w:r>
                                  <w:r>
                                    <w:rPr>
                                      <w:spacing w:val="-2"/>
                                      <w:sz w:val="18"/>
                                    </w:rPr>
                                    <w:t> </w:t>
                                  </w:r>
                                  <w:r>
                                    <w:rPr>
                                      <w:sz w:val="18"/>
                                    </w:rPr>
                                    <w:t>designated </w:t>
                                  </w:r>
                                  <w:r>
                                    <w:rPr>
                                      <w:spacing w:val="-5"/>
                                      <w:sz w:val="18"/>
                                    </w:rPr>
                                    <w:t>as:</w:t>
                                  </w:r>
                                </w:p>
                              </w:tc>
                              <w:tc>
                                <w:tcPr>
                                  <w:tcW w:w="1114" w:type="dxa"/>
                                </w:tcPr>
                                <w:p>
                                  <w:pPr>
                                    <w:pStyle w:val="TableParagraph"/>
                                    <w:rPr>
                                      <w:sz w:val="18"/>
                                    </w:rPr>
                                  </w:pPr>
                                </w:p>
                              </w:tc>
                              <w:tc>
                                <w:tcPr>
                                  <w:tcW w:w="1136" w:type="dxa"/>
                                </w:tcPr>
                                <w:p>
                                  <w:pPr>
                                    <w:pStyle w:val="TableParagraph"/>
                                    <w:rPr>
                                      <w:sz w:val="18"/>
                                    </w:rPr>
                                  </w:pPr>
                                </w:p>
                              </w:tc>
                              <w:tc>
                                <w:tcPr>
                                  <w:tcW w:w="1159" w:type="dxa"/>
                                </w:tcPr>
                                <w:p>
                                  <w:pPr>
                                    <w:pStyle w:val="TableParagraph"/>
                                    <w:rPr>
                                      <w:sz w:val="18"/>
                                    </w:rPr>
                                  </w:pPr>
                                </w:p>
                              </w:tc>
                              <w:tc>
                                <w:tcPr>
                                  <w:tcW w:w="885" w:type="dxa"/>
                                </w:tcPr>
                                <w:p>
                                  <w:pPr>
                                    <w:pStyle w:val="TableParagraph"/>
                                    <w:rPr>
                                      <w:sz w:val="18"/>
                                    </w:rPr>
                                  </w:pPr>
                                </w:p>
                              </w:tc>
                              <w:tc>
                                <w:tcPr>
                                  <w:tcW w:w="1106" w:type="dxa"/>
                                </w:tcPr>
                                <w:p>
                                  <w:pPr>
                                    <w:pStyle w:val="TableParagraph"/>
                                    <w:rPr>
                                      <w:sz w:val="18"/>
                                    </w:rPr>
                                  </w:pPr>
                                </w:p>
                              </w:tc>
                              <w:tc>
                                <w:tcPr>
                                  <w:tcW w:w="960" w:type="dxa"/>
                                </w:tcPr>
                                <w:p>
                                  <w:pPr>
                                    <w:pStyle w:val="TableParagraph"/>
                                    <w:rPr>
                                      <w:sz w:val="18"/>
                                    </w:rPr>
                                  </w:pPr>
                                </w:p>
                              </w:tc>
                            </w:tr>
                            <w:tr>
                              <w:trPr>
                                <w:trHeight w:val="255" w:hRule="atLeast"/>
                              </w:trPr>
                              <w:tc>
                                <w:tcPr>
                                  <w:tcW w:w="3900" w:type="dxa"/>
                                  <w:shd w:val="clear" w:color="auto" w:fill="CCEDFF"/>
                                </w:tcPr>
                                <w:p>
                                  <w:pPr>
                                    <w:pStyle w:val="TableParagraph"/>
                                    <w:spacing w:before="18"/>
                                    <w:ind w:left="172"/>
                                    <w:rPr>
                                      <w:sz w:val="18"/>
                                    </w:rPr>
                                  </w:pPr>
                                  <w:r>
                                    <w:rPr>
                                      <w:sz w:val="18"/>
                                    </w:rPr>
                                    <w:t>Fixed-rate</w:t>
                                  </w:r>
                                  <w:r>
                                    <w:rPr>
                                      <w:spacing w:val="-3"/>
                                      <w:sz w:val="18"/>
                                    </w:rPr>
                                    <w:t> </w:t>
                                  </w:r>
                                  <w:r>
                                    <w:rPr>
                                      <w:spacing w:val="-2"/>
                                      <w:sz w:val="18"/>
                                    </w:rPr>
                                    <w:t>balances</w:t>
                                  </w:r>
                                </w:p>
                              </w:tc>
                              <w:tc>
                                <w:tcPr>
                                  <w:tcW w:w="1114" w:type="dxa"/>
                                  <w:shd w:val="clear" w:color="auto" w:fill="CCEDFF"/>
                                </w:tcPr>
                                <w:p>
                                  <w:pPr>
                                    <w:pStyle w:val="TableParagraph"/>
                                    <w:spacing w:before="18"/>
                                    <w:ind w:right="91"/>
                                    <w:jc w:val="right"/>
                                    <w:rPr>
                                      <w:sz w:val="18"/>
                                    </w:rPr>
                                  </w:pPr>
                                  <w:r>
                                    <w:rPr>
                                      <w:spacing w:val="-5"/>
                                      <w:sz w:val="18"/>
                                    </w:rPr>
                                    <w:t>91%</w:t>
                                  </w:r>
                                </w:p>
                              </w:tc>
                              <w:tc>
                                <w:tcPr>
                                  <w:tcW w:w="1136" w:type="dxa"/>
                                  <w:shd w:val="clear" w:color="auto" w:fill="CCEDFF"/>
                                </w:tcPr>
                                <w:p>
                                  <w:pPr>
                                    <w:pStyle w:val="TableParagraph"/>
                                    <w:spacing w:before="18"/>
                                    <w:ind w:right="72"/>
                                    <w:jc w:val="right"/>
                                    <w:rPr>
                                      <w:sz w:val="18"/>
                                    </w:rPr>
                                  </w:pPr>
                                  <w:r>
                                    <w:rPr>
                                      <w:spacing w:val="-5"/>
                                      <w:sz w:val="18"/>
                                    </w:rPr>
                                    <w:t>79%</w:t>
                                  </w:r>
                                </w:p>
                              </w:tc>
                              <w:tc>
                                <w:tcPr>
                                  <w:tcW w:w="1159" w:type="dxa"/>
                                  <w:shd w:val="clear" w:color="auto" w:fill="CCEDFF"/>
                                </w:tcPr>
                                <w:p>
                                  <w:pPr>
                                    <w:pStyle w:val="TableParagraph"/>
                                    <w:rPr>
                                      <w:sz w:val="18"/>
                                    </w:rPr>
                                  </w:pPr>
                                </w:p>
                              </w:tc>
                              <w:tc>
                                <w:tcPr>
                                  <w:tcW w:w="885" w:type="dxa"/>
                                  <w:shd w:val="clear" w:color="auto" w:fill="CCEDFF"/>
                                </w:tcPr>
                                <w:p>
                                  <w:pPr>
                                    <w:pStyle w:val="TableParagraph"/>
                                    <w:spacing w:before="18"/>
                                    <w:ind w:right="91"/>
                                    <w:jc w:val="right"/>
                                    <w:rPr>
                                      <w:sz w:val="18"/>
                                    </w:rPr>
                                  </w:pPr>
                                  <w:r>
                                    <w:rPr>
                                      <w:spacing w:val="-5"/>
                                      <w:sz w:val="18"/>
                                    </w:rPr>
                                    <w:t>93%</w:t>
                                  </w:r>
                                </w:p>
                              </w:tc>
                              <w:tc>
                                <w:tcPr>
                                  <w:tcW w:w="1106" w:type="dxa"/>
                                  <w:shd w:val="clear" w:color="auto" w:fill="CCEDFF"/>
                                </w:tcPr>
                                <w:p>
                                  <w:pPr>
                                    <w:pStyle w:val="TableParagraph"/>
                                    <w:spacing w:before="18"/>
                                    <w:ind w:right="72"/>
                                    <w:jc w:val="right"/>
                                    <w:rPr>
                                      <w:sz w:val="18"/>
                                    </w:rPr>
                                  </w:pPr>
                                  <w:r>
                                    <w:rPr>
                                      <w:spacing w:val="-5"/>
                                      <w:sz w:val="18"/>
                                    </w:rPr>
                                    <w:t>78%</w:t>
                                  </w:r>
                                </w:p>
                              </w:tc>
                              <w:tc>
                                <w:tcPr>
                                  <w:tcW w:w="960" w:type="dxa"/>
                                  <w:shd w:val="clear" w:color="auto" w:fill="CCEDFF"/>
                                </w:tcPr>
                                <w:p>
                                  <w:pPr>
                                    <w:pStyle w:val="TableParagraph"/>
                                    <w:rPr>
                                      <w:sz w:val="18"/>
                                    </w:rPr>
                                  </w:pPr>
                                </w:p>
                              </w:tc>
                            </w:tr>
                            <w:tr>
                              <w:trPr>
                                <w:trHeight w:val="250" w:hRule="atLeast"/>
                              </w:trPr>
                              <w:tc>
                                <w:tcPr>
                                  <w:tcW w:w="3900" w:type="dxa"/>
                                  <w:tcBorders>
                                    <w:bottom w:val="single" w:sz="4" w:space="0" w:color="000000"/>
                                  </w:tcBorders>
                                </w:tcPr>
                                <w:p>
                                  <w:pPr>
                                    <w:pStyle w:val="TableParagraph"/>
                                    <w:spacing w:before="18"/>
                                    <w:ind w:left="172"/>
                                    <w:rPr>
                                      <w:sz w:val="18"/>
                                    </w:rPr>
                                  </w:pPr>
                                  <w:r>
                                    <w:rPr>
                                      <w:sz w:val="18"/>
                                    </w:rPr>
                                    <w:t>Floating-rate</w:t>
                                  </w:r>
                                  <w:r>
                                    <w:rPr>
                                      <w:spacing w:val="-3"/>
                                      <w:sz w:val="18"/>
                                    </w:rPr>
                                    <w:t> </w:t>
                                  </w:r>
                                  <w:r>
                                    <w:rPr>
                                      <w:spacing w:val="-2"/>
                                      <w:sz w:val="18"/>
                                    </w:rPr>
                                    <w:t>balances</w:t>
                                  </w:r>
                                </w:p>
                              </w:tc>
                              <w:tc>
                                <w:tcPr>
                                  <w:tcW w:w="1114" w:type="dxa"/>
                                  <w:tcBorders>
                                    <w:bottom w:val="single" w:sz="4" w:space="0" w:color="000000"/>
                                  </w:tcBorders>
                                </w:tcPr>
                                <w:p>
                                  <w:pPr>
                                    <w:pStyle w:val="TableParagraph"/>
                                    <w:spacing w:before="18"/>
                                    <w:ind w:right="91"/>
                                    <w:jc w:val="right"/>
                                    <w:rPr>
                                      <w:sz w:val="18"/>
                                    </w:rPr>
                                  </w:pPr>
                                  <w:r>
                                    <w:rPr>
                                      <w:spacing w:val="-5"/>
                                      <w:sz w:val="18"/>
                                    </w:rPr>
                                    <w:t>9%</w:t>
                                  </w:r>
                                </w:p>
                              </w:tc>
                              <w:tc>
                                <w:tcPr>
                                  <w:tcW w:w="1136" w:type="dxa"/>
                                  <w:tcBorders>
                                    <w:bottom w:val="single" w:sz="4" w:space="0" w:color="000000"/>
                                  </w:tcBorders>
                                </w:tcPr>
                                <w:p>
                                  <w:pPr>
                                    <w:pStyle w:val="TableParagraph"/>
                                    <w:spacing w:before="18"/>
                                    <w:ind w:right="72"/>
                                    <w:jc w:val="right"/>
                                    <w:rPr>
                                      <w:sz w:val="18"/>
                                    </w:rPr>
                                  </w:pPr>
                                  <w:r>
                                    <w:rPr>
                                      <w:spacing w:val="-5"/>
                                      <w:sz w:val="18"/>
                                    </w:rPr>
                                    <w:t>21%</w:t>
                                  </w:r>
                                </w:p>
                              </w:tc>
                              <w:tc>
                                <w:tcPr>
                                  <w:tcW w:w="1159" w:type="dxa"/>
                                  <w:tcBorders>
                                    <w:bottom w:val="single" w:sz="4" w:space="0" w:color="000000"/>
                                  </w:tcBorders>
                                </w:tcPr>
                                <w:p>
                                  <w:pPr>
                                    <w:pStyle w:val="TableParagraph"/>
                                    <w:rPr>
                                      <w:sz w:val="18"/>
                                    </w:rPr>
                                  </w:pPr>
                                </w:p>
                              </w:tc>
                              <w:tc>
                                <w:tcPr>
                                  <w:tcW w:w="885" w:type="dxa"/>
                                  <w:tcBorders>
                                    <w:bottom w:val="single" w:sz="4" w:space="0" w:color="000000"/>
                                  </w:tcBorders>
                                </w:tcPr>
                                <w:p>
                                  <w:pPr>
                                    <w:pStyle w:val="TableParagraph"/>
                                    <w:spacing w:before="18"/>
                                    <w:ind w:right="91"/>
                                    <w:jc w:val="right"/>
                                    <w:rPr>
                                      <w:sz w:val="18"/>
                                    </w:rPr>
                                  </w:pPr>
                                  <w:r>
                                    <w:rPr>
                                      <w:spacing w:val="-5"/>
                                      <w:sz w:val="18"/>
                                    </w:rPr>
                                    <w:t>7%</w:t>
                                  </w:r>
                                </w:p>
                              </w:tc>
                              <w:tc>
                                <w:tcPr>
                                  <w:tcW w:w="1106" w:type="dxa"/>
                                  <w:tcBorders>
                                    <w:bottom w:val="single" w:sz="4" w:space="0" w:color="000000"/>
                                  </w:tcBorders>
                                </w:tcPr>
                                <w:p>
                                  <w:pPr>
                                    <w:pStyle w:val="TableParagraph"/>
                                    <w:spacing w:before="18"/>
                                    <w:ind w:right="72"/>
                                    <w:jc w:val="right"/>
                                    <w:rPr>
                                      <w:sz w:val="18"/>
                                    </w:rPr>
                                  </w:pPr>
                                  <w:r>
                                    <w:rPr>
                                      <w:spacing w:val="-5"/>
                                      <w:sz w:val="18"/>
                                    </w:rPr>
                                    <w:t>22%</w:t>
                                  </w:r>
                                </w:p>
                              </w:tc>
                              <w:tc>
                                <w:tcPr>
                                  <w:tcW w:w="960" w:type="dxa"/>
                                  <w:tcBorders>
                                    <w:bottom w:val="single" w:sz="4" w:space="0" w:color="000000"/>
                                  </w:tcBorders>
                                </w:tcPr>
                                <w:p>
                                  <w:pPr>
                                    <w:pStyle w:val="TableParagraph"/>
                                    <w:rPr>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46.5pt;margin-top:11.201221pt;width:519pt;height:89.75pt;mso-position-horizontal-relative:page;mso-position-vertical-relative:paragraph;z-index:15734272" type="#_x0000_t202" id="docshape2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0"/>
                        <w:gridCol w:w="1114"/>
                        <w:gridCol w:w="1136"/>
                        <w:gridCol w:w="1159"/>
                        <w:gridCol w:w="885"/>
                        <w:gridCol w:w="1106"/>
                        <w:gridCol w:w="960"/>
                      </w:tblGrid>
                      <w:tr>
                        <w:trPr>
                          <w:trHeight w:val="245" w:hRule="atLeast"/>
                        </w:trPr>
                        <w:tc>
                          <w:tcPr>
                            <w:tcW w:w="3900" w:type="dxa"/>
                            <w:tcBorders>
                              <w:bottom w:val="single" w:sz="4" w:space="0" w:color="000000"/>
                            </w:tcBorders>
                          </w:tcPr>
                          <w:p>
                            <w:pPr>
                              <w:pStyle w:val="TableParagraph"/>
                              <w:rPr>
                                <w:sz w:val="16"/>
                              </w:rPr>
                            </w:pPr>
                          </w:p>
                        </w:tc>
                        <w:tc>
                          <w:tcPr>
                            <w:tcW w:w="1114" w:type="dxa"/>
                            <w:tcBorders>
                              <w:top w:val="single" w:sz="4" w:space="0" w:color="000000"/>
                              <w:bottom w:val="single" w:sz="4" w:space="0" w:color="000000"/>
                            </w:tcBorders>
                          </w:tcPr>
                          <w:p>
                            <w:pPr>
                              <w:pStyle w:val="TableParagraph"/>
                              <w:spacing w:before="13"/>
                              <w:ind w:left="367"/>
                              <w:rPr>
                                <w:sz w:val="18"/>
                              </w:rPr>
                            </w:pPr>
                            <w:r>
                              <w:rPr>
                                <w:spacing w:val="-4"/>
                                <w:sz w:val="18"/>
                              </w:rPr>
                              <w:t>2023</w:t>
                            </w:r>
                          </w:p>
                        </w:tc>
                        <w:tc>
                          <w:tcPr>
                            <w:tcW w:w="1136" w:type="dxa"/>
                            <w:tcBorders>
                              <w:top w:val="single" w:sz="4" w:space="0" w:color="000000"/>
                              <w:bottom w:val="single" w:sz="4" w:space="0" w:color="000000"/>
                            </w:tcBorders>
                          </w:tcPr>
                          <w:p>
                            <w:pPr>
                              <w:pStyle w:val="TableParagraph"/>
                              <w:spacing w:before="13"/>
                              <w:ind w:left="408"/>
                              <w:rPr>
                                <w:sz w:val="18"/>
                              </w:rPr>
                            </w:pPr>
                            <w:r>
                              <w:rPr>
                                <w:spacing w:val="-4"/>
                                <w:sz w:val="18"/>
                              </w:rPr>
                              <w:t>2022</w:t>
                            </w:r>
                          </w:p>
                        </w:tc>
                        <w:tc>
                          <w:tcPr>
                            <w:tcW w:w="1159" w:type="dxa"/>
                            <w:tcBorders>
                              <w:bottom w:val="single" w:sz="4" w:space="0" w:color="000000"/>
                            </w:tcBorders>
                          </w:tcPr>
                          <w:p>
                            <w:pPr>
                              <w:pStyle w:val="TableParagraph"/>
                              <w:spacing w:before="13"/>
                              <w:ind w:left="235"/>
                              <w:rPr>
                                <w:sz w:val="18"/>
                              </w:rPr>
                            </w:pPr>
                            <w:r>
                              <w:rPr>
                                <w:spacing w:val="-2"/>
                                <w:sz w:val="18"/>
                              </w:rPr>
                              <w:t>Change</w:t>
                            </w:r>
                          </w:p>
                        </w:tc>
                        <w:tc>
                          <w:tcPr>
                            <w:tcW w:w="885" w:type="dxa"/>
                            <w:tcBorders>
                              <w:top w:val="single" w:sz="4" w:space="0" w:color="000000"/>
                              <w:bottom w:val="single" w:sz="4" w:space="0" w:color="000000"/>
                            </w:tcBorders>
                          </w:tcPr>
                          <w:p>
                            <w:pPr>
                              <w:pStyle w:val="TableParagraph"/>
                              <w:spacing w:before="13"/>
                              <w:ind w:left="153"/>
                              <w:rPr>
                                <w:sz w:val="18"/>
                              </w:rPr>
                            </w:pPr>
                            <w:r>
                              <w:rPr>
                                <w:spacing w:val="-4"/>
                                <w:sz w:val="18"/>
                              </w:rPr>
                              <w:t>2023</w:t>
                            </w:r>
                          </w:p>
                        </w:tc>
                        <w:tc>
                          <w:tcPr>
                            <w:tcW w:w="1106" w:type="dxa"/>
                            <w:tcBorders>
                              <w:top w:val="single" w:sz="4" w:space="0" w:color="000000"/>
                              <w:bottom w:val="single" w:sz="4" w:space="0" w:color="000000"/>
                            </w:tcBorders>
                          </w:tcPr>
                          <w:p>
                            <w:pPr>
                              <w:pStyle w:val="TableParagraph"/>
                              <w:spacing w:before="13"/>
                              <w:ind w:left="393"/>
                              <w:rPr>
                                <w:sz w:val="18"/>
                              </w:rPr>
                            </w:pPr>
                            <w:r>
                              <w:rPr>
                                <w:spacing w:val="-4"/>
                                <w:sz w:val="18"/>
                              </w:rPr>
                              <w:t>2022</w:t>
                            </w:r>
                          </w:p>
                        </w:tc>
                        <w:tc>
                          <w:tcPr>
                            <w:tcW w:w="960" w:type="dxa"/>
                            <w:tcBorders>
                              <w:bottom w:val="single" w:sz="4" w:space="0" w:color="000000"/>
                            </w:tcBorders>
                          </w:tcPr>
                          <w:p>
                            <w:pPr>
                              <w:pStyle w:val="TableParagraph"/>
                              <w:spacing w:before="13"/>
                              <w:ind w:left="235"/>
                              <w:rPr>
                                <w:sz w:val="18"/>
                              </w:rPr>
                            </w:pPr>
                            <w:r>
                              <w:rPr>
                                <w:spacing w:val="-2"/>
                                <w:sz w:val="18"/>
                              </w:rPr>
                              <w:t>Change</w:t>
                            </w:r>
                          </w:p>
                        </w:tc>
                      </w:tr>
                      <w:tr>
                        <w:trPr>
                          <w:trHeight w:val="250" w:hRule="atLeast"/>
                        </w:trPr>
                        <w:tc>
                          <w:tcPr>
                            <w:tcW w:w="3900" w:type="dxa"/>
                            <w:tcBorders>
                              <w:top w:val="single" w:sz="4" w:space="0" w:color="000000"/>
                            </w:tcBorders>
                            <w:shd w:val="clear" w:color="auto" w:fill="CCEDFF"/>
                          </w:tcPr>
                          <w:p>
                            <w:pPr>
                              <w:pStyle w:val="TableParagraph"/>
                              <w:spacing w:before="13"/>
                              <w:ind w:left="52"/>
                              <w:rPr>
                                <w:sz w:val="18"/>
                              </w:rPr>
                            </w:pPr>
                            <w:r>
                              <w:rPr>
                                <w:sz w:val="18"/>
                              </w:rPr>
                              <w:t>Bank</w:t>
                            </w:r>
                            <w:r>
                              <w:rPr>
                                <w:spacing w:val="-1"/>
                                <w:sz w:val="18"/>
                              </w:rPr>
                              <w:t> </w:t>
                            </w:r>
                            <w:r>
                              <w:rPr>
                                <w:sz w:val="18"/>
                              </w:rPr>
                              <w:t>deposit account </w:t>
                            </w:r>
                            <w:r>
                              <w:rPr>
                                <w:spacing w:val="-4"/>
                                <w:sz w:val="18"/>
                              </w:rPr>
                              <w:t>fees</w:t>
                            </w:r>
                          </w:p>
                        </w:tc>
                        <w:tc>
                          <w:tcPr>
                            <w:tcW w:w="1114" w:type="dxa"/>
                            <w:tcBorders>
                              <w:top w:val="single" w:sz="4" w:space="0" w:color="000000"/>
                            </w:tcBorders>
                            <w:shd w:val="clear" w:color="auto" w:fill="CCEDFF"/>
                          </w:tcPr>
                          <w:p>
                            <w:pPr>
                              <w:pStyle w:val="TableParagraph"/>
                              <w:tabs>
                                <w:tab w:pos="600" w:val="left" w:leader="none"/>
                              </w:tabs>
                              <w:spacing w:before="13"/>
                              <w:ind w:left="52"/>
                              <w:rPr>
                                <w:sz w:val="18"/>
                              </w:rPr>
                            </w:pPr>
                            <w:r>
                              <w:rPr>
                                <w:spacing w:val="-10"/>
                                <w:sz w:val="18"/>
                              </w:rPr>
                              <w:t>$</w:t>
                            </w:r>
                            <w:r>
                              <w:rPr>
                                <w:sz w:val="18"/>
                              </w:rPr>
                              <w:tab/>
                            </w:r>
                            <w:r>
                              <w:rPr>
                                <w:spacing w:val="-5"/>
                                <w:sz w:val="18"/>
                              </w:rPr>
                              <w:t>205</w:t>
                            </w:r>
                          </w:p>
                        </w:tc>
                        <w:tc>
                          <w:tcPr>
                            <w:tcW w:w="1136" w:type="dxa"/>
                            <w:tcBorders>
                              <w:top w:val="single" w:sz="4" w:space="0" w:color="000000"/>
                            </w:tcBorders>
                            <w:shd w:val="clear" w:color="auto" w:fill="CCEDFF"/>
                          </w:tcPr>
                          <w:p>
                            <w:pPr>
                              <w:pStyle w:val="TableParagraph"/>
                              <w:tabs>
                                <w:tab w:pos="641" w:val="left" w:leader="none"/>
                              </w:tabs>
                              <w:spacing w:before="13"/>
                              <w:ind w:left="93"/>
                              <w:rPr>
                                <w:sz w:val="18"/>
                              </w:rPr>
                            </w:pPr>
                            <w:r>
                              <w:rPr>
                                <w:spacing w:val="-10"/>
                                <w:sz w:val="18"/>
                              </w:rPr>
                              <w:t>$</w:t>
                            </w:r>
                            <w:r>
                              <w:rPr>
                                <w:sz w:val="18"/>
                              </w:rPr>
                              <w:tab/>
                            </w:r>
                            <w:r>
                              <w:rPr>
                                <w:spacing w:val="-5"/>
                                <w:sz w:val="18"/>
                              </w:rPr>
                              <w:t>413</w:t>
                            </w:r>
                          </w:p>
                        </w:tc>
                        <w:tc>
                          <w:tcPr>
                            <w:tcW w:w="1159" w:type="dxa"/>
                            <w:tcBorders>
                              <w:top w:val="single" w:sz="4" w:space="0" w:color="000000"/>
                            </w:tcBorders>
                            <w:shd w:val="clear" w:color="auto" w:fill="CCEDFF"/>
                          </w:tcPr>
                          <w:p>
                            <w:pPr>
                              <w:pStyle w:val="TableParagraph"/>
                              <w:spacing w:before="13"/>
                              <w:ind w:right="54"/>
                              <w:jc w:val="right"/>
                              <w:rPr>
                                <w:sz w:val="18"/>
                              </w:rPr>
                            </w:pPr>
                            <w:r>
                              <w:rPr>
                                <w:sz w:val="18"/>
                              </w:rPr>
                              <w:t>(50)%</w:t>
                            </w:r>
                            <w:r>
                              <w:rPr>
                                <w:spacing w:val="22"/>
                                <w:sz w:val="18"/>
                              </w:rPr>
                              <w:t> </w:t>
                            </w:r>
                            <w:r>
                              <w:rPr>
                                <w:spacing w:val="-10"/>
                                <w:sz w:val="18"/>
                              </w:rPr>
                              <w:t>$</w:t>
                            </w:r>
                          </w:p>
                        </w:tc>
                        <w:tc>
                          <w:tcPr>
                            <w:tcW w:w="885" w:type="dxa"/>
                            <w:tcBorders>
                              <w:top w:val="single" w:sz="4" w:space="0" w:color="000000"/>
                            </w:tcBorders>
                            <w:shd w:val="clear" w:color="auto" w:fill="CCEDFF"/>
                          </w:tcPr>
                          <w:p>
                            <w:pPr>
                              <w:pStyle w:val="TableParagraph"/>
                              <w:spacing w:before="13"/>
                              <w:ind w:left="371"/>
                              <w:rPr>
                                <w:sz w:val="18"/>
                              </w:rPr>
                            </w:pPr>
                            <w:r>
                              <w:rPr>
                                <w:spacing w:val="-5"/>
                                <w:sz w:val="18"/>
                              </w:rPr>
                              <w:t>531</w:t>
                            </w:r>
                          </w:p>
                        </w:tc>
                        <w:tc>
                          <w:tcPr>
                            <w:tcW w:w="1106" w:type="dxa"/>
                            <w:tcBorders>
                              <w:top w:val="single" w:sz="4" w:space="0" w:color="000000"/>
                            </w:tcBorders>
                            <w:shd w:val="clear" w:color="auto" w:fill="CCEDFF"/>
                          </w:tcPr>
                          <w:p>
                            <w:pPr>
                              <w:pStyle w:val="TableParagraph"/>
                              <w:tabs>
                                <w:tab w:pos="476" w:val="left" w:leader="none"/>
                              </w:tabs>
                              <w:spacing w:before="13"/>
                              <w:ind w:left="93"/>
                              <w:rPr>
                                <w:sz w:val="18"/>
                              </w:rPr>
                            </w:pPr>
                            <w:r>
                              <w:rPr>
                                <w:spacing w:val="-10"/>
                                <w:sz w:val="18"/>
                              </w:rPr>
                              <w:t>$</w:t>
                            </w:r>
                            <w:r>
                              <w:rPr>
                                <w:sz w:val="18"/>
                              </w:rPr>
                              <w:tab/>
                            </w:r>
                            <w:r>
                              <w:rPr>
                                <w:spacing w:val="-2"/>
                                <w:sz w:val="18"/>
                              </w:rPr>
                              <w:t>1,059</w:t>
                            </w:r>
                          </w:p>
                        </w:tc>
                        <w:tc>
                          <w:tcPr>
                            <w:tcW w:w="960" w:type="dxa"/>
                            <w:tcBorders>
                              <w:top w:val="single" w:sz="4" w:space="0" w:color="000000"/>
                            </w:tcBorders>
                            <w:shd w:val="clear" w:color="auto" w:fill="CCEDFF"/>
                          </w:tcPr>
                          <w:p>
                            <w:pPr>
                              <w:pStyle w:val="TableParagraph"/>
                              <w:spacing w:before="13"/>
                              <w:ind w:right="12"/>
                              <w:jc w:val="right"/>
                              <w:rPr>
                                <w:sz w:val="18"/>
                              </w:rPr>
                            </w:pPr>
                            <w:r>
                              <w:rPr>
                                <w:spacing w:val="-2"/>
                                <w:sz w:val="18"/>
                              </w:rPr>
                              <w:t>(50)%</w:t>
                            </w:r>
                          </w:p>
                        </w:tc>
                      </w:tr>
                      <w:tr>
                        <w:trPr>
                          <w:trHeight w:val="255" w:hRule="atLeast"/>
                        </w:trPr>
                        <w:tc>
                          <w:tcPr>
                            <w:tcW w:w="3900" w:type="dxa"/>
                          </w:tcPr>
                          <w:p>
                            <w:pPr>
                              <w:pStyle w:val="TableParagraph"/>
                              <w:spacing w:before="18"/>
                              <w:ind w:left="52"/>
                              <w:rPr>
                                <w:sz w:val="18"/>
                              </w:rPr>
                            </w:pPr>
                            <w:r>
                              <w:rPr>
                                <w:sz w:val="18"/>
                              </w:rPr>
                              <w:t>Average</w:t>
                            </w:r>
                            <w:r>
                              <w:rPr>
                                <w:spacing w:val="-2"/>
                                <w:sz w:val="18"/>
                              </w:rPr>
                              <w:t> </w:t>
                            </w:r>
                            <w:r>
                              <w:rPr>
                                <w:sz w:val="18"/>
                              </w:rPr>
                              <w:t>BDA</w:t>
                            </w:r>
                            <w:r>
                              <w:rPr>
                                <w:spacing w:val="-1"/>
                                <w:sz w:val="18"/>
                              </w:rPr>
                              <w:t> </w:t>
                            </w:r>
                            <w:r>
                              <w:rPr>
                                <w:spacing w:val="-2"/>
                                <w:sz w:val="18"/>
                              </w:rPr>
                              <w:t>balances</w:t>
                            </w:r>
                          </w:p>
                        </w:tc>
                        <w:tc>
                          <w:tcPr>
                            <w:tcW w:w="1114" w:type="dxa"/>
                          </w:tcPr>
                          <w:p>
                            <w:pPr>
                              <w:pStyle w:val="TableParagraph"/>
                              <w:spacing w:before="18"/>
                              <w:ind w:left="52"/>
                              <w:rPr>
                                <w:sz w:val="18"/>
                              </w:rPr>
                            </w:pPr>
                            <w:r>
                              <w:rPr>
                                <w:sz w:val="18"/>
                              </w:rPr>
                              <w:t>$</w:t>
                            </w:r>
                            <w:r>
                              <w:rPr>
                                <w:spacing w:val="74"/>
                                <w:w w:val="150"/>
                                <w:sz w:val="18"/>
                              </w:rPr>
                              <w:t> </w:t>
                            </w:r>
                            <w:r>
                              <w:rPr>
                                <w:spacing w:val="-2"/>
                                <w:sz w:val="18"/>
                              </w:rPr>
                              <w:t>101,666</w:t>
                            </w:r>
                          </w:p>
                        </w:tc>
                        <w:tc>
                          <w:tcPr>
                            <w:tcW w:w="1136" w:type="dxa"/>
                          </w:tcPr>
                          <w:p>
                            <w:pPr>
                              <w:pStyle w:val="TableParagraph"/>
                              <w:spacing w:before="18"/>
                              <w:ind w:left="93"/>
                              <w:rPr>
                                <w:sz w:val="18"/>
                              </w:rPr>
                            </w:pPr>
                            <w:r>
                              <w:rPr>
                                <w:sz w:val="18"/>
                              </w:rPr>
                              <w:t>$</w:t>
                            </w:r>
                            <w:r>
                              <w:rPr>
                                <w:spacing w:val="74"/>
                                <w:w w:val="150"/>
                                <w:sz w:val="18"/>
                              </w:rPr>
                              <w:t> </w:t>
                            </w:r>
                            <w:r>
                              <w:rPr>
                                <w:spacing w:val="-2"/>
                                <w:sz w:val="18"/>
                              </w:rPr>
                              <w:t>148,142</w:t>
                            </w:r>
                          </w:p>
                        </w:tc>
                        <w:tc>
                          <w:tcPr>
                            <w:tcW w:w="1159" w:type="dxa"/>
                          </w:tcPr>
                          <w:p>
                            <w:pPr>
                              <w:pStyle w:val="TableParagraph"/>
                              <w:spacing w:before="18"/>
                              <w:ind w:right="54"/>
                              <w:jc w:val="right"/>
                              <w:rPr>
                                <w:sz w:val="18"/>
                              </w:rPr>
                            </w:pPr>
                            <w:r>
                              <w:rPr>
                                <w:sz w:val="18"/>
                              </w:rPr>
                              <w:t>(31)%</w:t>
                            </w:r>
                            <w:r>
                              <w:rPr>
                                <w:spacing w:val="22"/>
                                <w:sz w:val="18"/>
                              </w:rPr>
                              <w:t> </w:t>
                            </w:r>
                            <w:r>
                              <w:rPr>
                                <w:spacing w:val="-10"/>
                                <w:sz w:val="18"/>
                              </w:rPr>
                              <w:t>$</w:t>
                            </w:r>
                          </w:p>
                        </w:tc>
                        <w:tc>
                          <w:tcPr>
                            <w:tcW w:w="885" w:type="dxa"/>
                          </w:tcPr>
                          <w:p>
                            <w:pPr>
                              <w:pStyle w:val="TableParagraph"/>
                              <w:spacing w:before="18"/>
                              <w:ind w:left="56"/>
                              <w:rPr>
                                <w:sz w:val="18"/>
                              </w:rPr>
                            </w:pPr>
                            <w:r>
                              <w:rPr>
                                <w:spacing w:val="-2"/>
                                <w:sz w:val="18"/>
                              </w:rPr>
                              <w:t>107,003</w:t>
                            </w:r>
                          </w:p>
                        </w:tc>
                        <w:tc>
                          <w:tcPr>
                            <w:tcW w:w="1106" w:type="dxa"/>
                          </w:tcPr>
                          <w:p>
                            <w:pPr>
                              <w:pStyle w:val="TableParagraph"/>
                              <w:spacing w:before="18"/>
                              <w:ind w:left="93"/>
                              <w:rPr>
                                <w:sz w:val="18"/>
                              </w:rPr>
                            </w:pPr>
                            <w:r>
                              <w:rPr>
                                <w:sz w:val="18"/>
                              </w:rPr>
                              <w:t>$</w:t>
                            </w:r>
                            <w:r>
                              <w:rPr>
                                <w:spacing w:val="67"/>
                                <w:sz w:val="18"/>
                              </w:rPr>
                              <w:t> </w:t>
                            </w:r>
                            <w:r>
                              <w:rPr>
                                <w:spacing w:val="-2"/>
                                <w:sz w:val="18"/>
                              </w:rPr>
                              <w:t>152,698</w:t>
                            </w:r>
                          </w:p>
                        </w:tc>
                        <w:tc>
                          <w:tcPr>
                            <w:tcW w:w="960" w:type="dxa"/>
                          </w:tcPr>
                          <w:p>
                            <w:pPr>
                              <w:pStyle w:val="TableParagraph"/>
                              <w:spacing w:before="18"/>
                              <w:ind w:right="12"/>
                              <w:jc w:val="right"/>
                              <w:rPr>
                                <w:sz w:val="18"/>
                              </w:rPr>
                            </w:pPr>
                            <w:r>
                              <w:rPr>
                                <w:spacing w:val="-2"/>
                                <w:sz w:val="18"/>
                              </w:rPr>
                              <w:t>(30)%</w:t>
                            </w:r>
                          </w:p>
                        </w:tc>
                      </w:tr>
                      <w:tr>
                        <w:trPr>
                          <w:trHeight w:val="255" w:hRule="atLeast"/>
                        </w:trPr>
                        <w:tc>
                          <w:tcPr>
                            <w:tcW w:w="3900" w:type="dxa"/>
                            <w:shd w:val="clear" w:color="auto" w:fill="CCEDFF"/>
                          </w:tcPr>
                          <w:p>
                            <w:pPr>
                              <w:pStyle w:val="TableParagraph"/>
                              <w:spacing w:before="18"/>
                              <w:ind w:left="52"/>
                              <w:rPr>
                                <w:sz w:val="18"/>
                              </w:rPr>
                            </w:pPr>
                            <w:r>
                              <w:rPr>
                                <w:sz w:val="18"/>
                              </w:rPr>
                              <w:t>Average</w:t>
                            </w:r>
                            <w:r>
                              <w:rPr>
                                <w:spacing w:val="-1"/>
                                <w:sz w:val="18"/>
                              </w:rPr>
                              <w:t> </w:t>
                            </w:r>
                            <w:r>
                              <w:rPr>
                                <w:sz w:val="18"/>
                              </w:rPr>
                              <w:t>net </w:t>
                            </w:r>
                            <w:r>
                              <w:rPr>
                                <w:spacing w:val="-2"/>
                                <w:sz w:val="18"/>
                              </w:rPr>
                              <w:t>yield</w:t>
                            </w:r>
                          </w:p>
                        </w:tc>
                        <w:tc>
                          <w:tcPr>
                            <w:tcW w:w="1114" w:type="dxa"/>
                            <w:shd w:val="clear" w:color="auto" w:fill="CCEDFF"/>
                          </w:tcPr>
                          <w:p>
                            <w:pPr>
                              <w:pStyle w:val="TableParagraph"/>
                              <w:spacing w:before="18"/>
                              <w:ind w:right="91"/>
                              <w:jc w:val="right"/>
                              <w:rPr>
                                <w:sz w:val="18"/>
                              </w:rPr>
                            </w:pPr>
                            <w:r>
                              <w:rPr>
                                <w:spacing w:val="-2"/>
                                <w:sz w:val="18"/>
                              </w:rPr>
                              <w:t>0.79%</w:t>
                            </w:r>
                          </w:p>
                        </w:tc>
                        <w:tc>
                          <w:tcPr>
                            <w:tcW w:w="1136" w:type="dxa"/>
                            <w:shd w:val="clear" w:color="auto" w:fill="CCEDFF"/>
                          </w:tcPr>
                          <w:p>
                            <w:pPr>
                              <w:pStyle w:val="TableParagraph"/>
                              <w:spacing w:before="18"/>
                              <w:ind w:right="72"/>
                              <w:jc w:val="right"/>
                              <w:rPr>
                                <w:sz w:val="18"/>
                              </w:rPr>
                            </w:pPr>
                            <w:r>
                              <w:rPr>
                                <w:spacing w:val="-2"/>
                                <w:sz w:val="18"/>
                              </w:rPr>
                              <w:t>1.09%</w:t>
                            </w:r>
                          </w:p>
                        </w:tc>
                        <w:tc>
                          <w:tcPr>
                            <w:tcW w:w="1159" w:type="dxa"/>
                            <w:shd w:val="clear" w:color="auto" w:fill="CCEDFF"/>
                          </w:tcPr>
                          <w:p>
                            <w:pPr>
                              <w:pStyle w:val="TableParagraph"/>
                              <w:rPr>
                                <w:sz w:val="18"/>
                              </w:rPr>
                            </w:pPr>
                          </w:p>
                        </w:tc>
                        <w:tc>
                          <w:tcPr>
                            <w:tcW w:w="885" w:type="dxa"/>
                            <w:shd w:val="clear" w:color="auto" w:fill="CCEDFF"/>
                          </w:tcPr>
                          <w:p>
                            <w:pPr>
                              <w:pStyle w:val="TableParagraph"/>
                              <w:spacing w:before="18"/>
                              <w:ind w:right="91"/>
                              <w:jc w:val="right"/>
                              <w:rPr>
                                <w:sz w:val="18"/>
                              </w:rPr>
                            </w:pPr>
                            <w:r>
                              <w:rPr>
                                <w:spacing w:val="-2"/>
                                <w:sz w:val="18"/>
                              </w:rPr>
                              <w:t>0.66%</w:t>
                            </w:r>
                          </w:p>
                        </w:tc>
                        <w:tc>
                          <w:tcPr>
                            <w:tcW w:w="1106" w:type="dxa"/>
                            <w:shd w:val="clear" w:color="auto" w:fill="CCEDFF"/>
                          </w:tcPr>
                          <w:p>
                            <w:pPr>
                              <w:pStyle w:val="TableParagraph"/>
                              <w:spacing w:before="18"/>
                              <w:ind w:right="72"/>
                              <w:jc w:val="right"/>
                              <w:rPr>
                                <w:sz w:val="18"/>
                              </w:rPr>
                            </w:pPr>
                            <w:r>
                              <w:rPr>
                                <w:spacing w:val="-2"/>
                                <w:sz w:val="18"/>
                              </w:rPr>
                              <w:t>0.92%</w:t>
                            </w:r>
                          </w:p>
                        </w:tc>
                        <w:tc>
                          <w:tcPr>
                            <w:tcW w:w="960" w:type="dxa"/>
                            <w:shd w:val="clear" w:color="auto" w:fill="CCEDFF"/>
                          </w:tcPr>
                          <w:p>
                            <w:pPr>
                              <w:pStyle w:val="TableParagraph"/>
                              <w:rPr>
                                <w:sz w:val="18"/>
                              </w:rPr>
                            </w:pPr>
                          </w:p>
                        </w:tc>
                      </w:tr>
                      <w:tr>
                        <w:trPr>
                          <w:trHeight w:val="255" w:hRule="atLeast"/>
                        </w:trPr>
                        <w:tc>
                          <w:tcPr>
                            <w:tcW w:w="3900" w:type="dxa"/>
                          </w:tcPr>
                          <w:p>
                            <w:pPr>
                              <w:pStyle w:val="TableParagraph"/>
                              <w:spacing w:before="18"/>
                              <w:ind w:left="52"/>
                              <w:rPr>
                                <w:sz w:val="18"/>
                              </w:rPr>
                            </w:pPr>
                            <w:r>
                              <w:rPr>
                                <w:sz w:val="18"/>
                              </w:rPr>
                              <w:t>Percentage</w:t>
                            </w:r>
                            <w:r>
                              <w:rPr>
                                <w:spacing w:val="-3"/>
                                <w:sz w:val="18"/>
                              </w:rPr>
                              <w:t> </w:t>
                            </w:r>
                            <w:r>
                              <w:rPr>
                                <w:sz w:val="18"/>
                              </w:rPr>
                              <w:t>of average</w:t>
                            </w:r>
                            <w:r>
                              <w:rPr>
                                <w:spacing w:val="-1"/>
                                <w:sz w:val="18"/>
                              </w:rPr>
                              <w:t> </w:t>
                            </w:r>
                            <w:r>
                              <w:rPr>
                                <w:sz w:val="18"/>
                              </w:rPr>
                              <w:t>BDA</w:t>
                            </w:r>
                            <w:r>
                              <w:rPr>
                                <w:spacing w:val="-1"/>
                                <w:sz w:val="18"/>
                              </w:rPr>
                              <w:t> </w:t>
                            </w:r>
                            <w:r>
                              <w:rPr>
                                <w:sz w:val="18"/>
                              </w:rPr>
                              <w:t>balances</w:t>
                            </w:r>
                            <w:r>
                              <w:rPr>
                                <w:spacing w:val="-2"/>
                                <w:sz w:val="18"/>
                              </w:rPr>
                              <w:t> </w:t>
                            </w:r>
                            <w:r>
                              <w:rPr>
                                <w:sz w:val="18"/>
                              </w:rPr>
                              <w:t>designated </w:t>
                            </w:r>
                            <w:r>
                              <w:rPr>
                                <w:spacing w:val="-5"/>
                                <w:sz w:val="18"/>
                              </w:rPr>
                              <w:t>as:</w:t>
                            </w:r>
                          </w:p>
                        </w:tc>
                        <w:tc>
                          <w:tcPr>
                            <w:tcW w:w="1114" w:type="dxa"/>
                          </w:tcPr>
                          <w:p>
                            <w:pPr>
                              <w:pStyle w:val="TableParagraph"/>
                              <w:rPr>
                                <w:sz w:val="18"/>
                              </w:rPr>
                            </w:pPr>
                          </w:p>
                        </w:tc>
                        <w:tc>
                          <w:tcPr>
                            <w:tcW w:w="1136" w:type="dxa"/>
                          </w:tcPr>
                          <w:p>
                            <w:pPr>
                              <w:pStyle w:val="TableParagraph"/>
                              <w:rPr>
                                <w:sz w:val="18"/>
                              </w:rPr>
                            </w:pPr>
                          </w:p>
                        </w:tc>
                        <w:tc>
                          <w:tcPr>
                            <w:tcW w:w="1159" w:type="dxa"/>
                          </w:tcPr>
                          <w:p>
                            <w:pPr>
                              <w:pStyle w:val="TableParagraph"/>
                              <w:rPr>
                                <w:sz w:val="18"/>
                              </w:rPr>
                            </w:pPr>
                          </w:p>
                        </w:tc>
                        <w:tc>
                          <w:tcPr>
                            <w:tcW w:w="885" w:type="dxa"/>
                          </w:tcPr>
                          <w:p>
                            <w:pPr>
                              <w:pStyle w:val="TableParagraph"/>
                              <w:rPr>
                                <w:sz w:val="18"/>
                              </w:rPr>
                            </w:pPr>
                          </w:p>
                        </w:tc>
                        <w:tc>
                          <w:tcPr>
                            <w:tcW w:w="1106" w:type="dxa"/>
                          </w:tcPr>
                          <w:p>
                            <w:pPr>
                              <w:pStyle w:val="TableParagraph"/>
                              <w:rPr>
                                <w:sz w:val="18"/>
                              </w:rPr>
                            </w:pPr>
                          </w:p>
                        </w:tc>
                        <w:tc>
                          <w:tcPr>
                            <w:tcW w:w="960" w:type="dxa"/>
                          </w:tcPr>
                          <w:p>
                            <w:pPr>
                              <w:pStyle w:val="TableParagraph"/>
                              <w:rPr>
                                <w:sz w:val="18"/>
                              </w:rPr>
                            </w:pPr>
                          </w:p>
                        </w:tc>
                      </w:tr>
                      <w:tr>
                        <w:trPr>
                          <w:trHeight w:val="255" w:hRule="atLeast"/>
                        </w:trPr>
                        <w:tc>
                          <w:tcPr>
                            <w:tcW w:w="3900" w:type="dxa"/>
                            <w:shd w:val="clear" w:color="auto" w:fill="CCEDFF"/>
                          </w:tcPr>
                          <w:p>
                            <w:pPr>
                              <w:pStyle w:val="TableParagraph"/>
                              <w:spacing w:before="18"/>
                              <w:ind w:left="172"/>
                              <w:rPr>
                                <w:sz w:val="18"/>
                              </w:rPr>
                            </w:pPr>
                            <w:r>
                              <w:rPr>
                                <w:sz w:val="18"/>
                              </w:rPr>
                              <w:t>Fixed-rate</w:t>
                            </w:r>
                            <w:r>
                              <w:rPr>
                                <w:spacing w:val="-3"/>
                                <w:sz w:val="18"/>
                              </w:rPr>
                              <w:t> </w:t>
                            </w:r>
                            <w:r>
                              <w:rPr>
                                <w:spacing w:val="-2"/>
                                <w:sz w:val="18"/>
                              </w:rPr>
                              <w:t>balances</w:t>
                            </w:r>
                          </w:p>
                        </w:tc>
                        <w:tc>
                          <w:tcPr>
                            <w:tcW w:w="1114" w:type="dxa"/>
                            <w:shd w:val="clear" w:color="auto" w:fill="CCEDFF"/>
                          </w:tcPr>
                          <w:p>
                            <w:pPr>
                              <w:pStyle w:val="TableParagraph"/>
                              <w:spacing w:before="18"/>
                              <w:ind w:right="91"/>
                              <w:jc w:val="right"/>
                              <w:rPr>
                                <w:sz w:val="18"/>
                              </w:rPr>
                            </w:pPr>
                            <w:r>
                              <w:rPr>
                                <w:spacing w:val="-5"/>
                                <w:sz w:val="18"/>
                              </w:rPr>
                              <w:t>91%</w:t>
                            </w:r>
                          </w:p>
                        </w:tc>
                        <w:tc>
                          <w:tcPr>
                            <w:tcW w:w="1136" w:type="dxa"/>
                            <w:shd w:val="clear" w:color="auto" w:fill="CCEDFF"/>
                          </w:tcPr>
                          <w:p>
                            <w:pPr>
                              <w:pStyle w:val="TableParagraph"/>
                              <w:spacing w:before="18"/>
                              <w:ind w:right="72"/>
                              <w:jc w:val="right"/>
                              <w:rPr>
                                <w:sz w:val="18"/>
                              </w:rPr>
                            </w:pPr>
                            <w:r>
                              <w:rPr>
                                <w:spacing w:val="-5"/>
                                <w:sz w:val="18"/>
                              </w:rPr>
                              <w:t>79%</w:t>
                            </w:r>
                          </w:p>
                        </w:tc>
                        <w:tc>
                          <w:tcPr>
                            <w:tcW w:w="1159" w:type="dxa"/>
                            <w:shd w:val="clear" w:color="auto" w:fill="CCEDFF"/>
                          </w:tcPr>
                          <w:p>
                            <w:pPr>
                              <w:pStyle w:val="TableParagraph"/>
                              <w:rPr>
                                <w:sz w:val="18"/>
                              </w:rPr>
                            </w:pPr>
                          </w:p>
                        </w:tc>
                        <w:tc>
                          <w:tcPr>
                            <w:tcW w:w="885" w:type="dxa"/>
                            <w:shd w:val="clear" w:color="auto" w:fill="CCEDFF"/>
                          </w:tcPr>
                          <w:p>
                            <w:pPr>
                              <w:pStyle w:val="TableParagraph"/>
                              <w:spacing w:before="18"/>
                              <w:ind w:right="91"/>
                              <w:jc w:val="right"/>
                              <w:rPr>
                                <w:sz w:val="18"/>
                              </w:rPr>
                            </w:pPr>
                            <w:r>
                              <w:rPr>
                                <w:spacing w:val="-5"/>
                                <w:sz w:val="18"/>
                              </w:rPr>
                              <w:t>93%</w:t>
                            </w:r>
                          </w:p>
                        </w:tc>
                        <w:tc>
                          <w:tcPr>
                            <w:tcW w:w="1106" w:type="dxa"/>
                            <w:shd w:val="clear" w:color="auto" w:fill="CCEDFF"/>
                          </w:tcPr>
                          <w:p>
                            <w:pPr>
                              <w:pStyle w:val="TableParagraph"/>
                              <w:spacing w:before="18"/>
                              <w:ind w:right="72"/>
                              <w:jc w:val="right"/>
                              <w:rPr>
                                <w:sz w:val="18"/>
                              </w:rPr>
                            </w:pPr>
                            <w:r>
                              <w:rPr>
                                <w:spacing w:val="-5"/>
                                <w:sz w:val="18"/>
                              </w:rPr>
                              <w:t>78%</w:t>
                            </w:r>
                          </w:p>
                        </w:tc>
                        <w:tc>
                          <w:tcPr>
                            <w:tcW w:w="960" w:type="dxa"/>
                            <w:shd w:val="clear" w:color="auto" w:fill="CCEDFF"/>
                          </w:tcPr>
                          <w:p>
                            <w:pPr>
                              <w:pStyle w:val="TableParagraph"/>
                              <w:rPr>
                                <w:sz w:val="18"/>
                              </w:rPr>
                            </w:pPr>
                          </w:p>
                        </w:tc>
                      </w:tr>
                      <w:tr>
                        <w:trPr>
                          <w:trHeight w:val="250" w:hRule="atLeast"/>
                        </w:trPr>
                        <w:tc>
                          <w:tcPr>
                            <w:tcW w:w="3900" w:type="dxa"/>
                            <w:tcBorders>
                              <w:bottom w:val="single" w:sz="4" w:space="0" w:color="000000"/>
                            </w:tcBorders>
                          </w:tcPr>
                          <w:p>
                            <w:pPr>
                              <w:pStyle w:val="TableParagraph"/>
                              <w:spacing w:before="18"/>
                              <w:ind w:left="172"/>
                              <w:rPr>
                                <w:sz w:val="18"/>
                              </w:rPr>
                            </w:pPr>
                            <w:r>
                              <w:rPr>
                                <w:sz w:val="18"/>
                              </w:rPr>
                              <w:t>Floating-rate</w:t>
                            </w:r>
                            <w:r>
                              <w:rPr>
                                <w:spacing w:val="-3"/>
                                <w:sz w:val="18"/>
                              </w:rPr>
                              <w:t> </w:t>
                            </w:r>
                            <w:r>
                              <w:rPr>
                                <w:spacing w:val="-2"/>
                                <w:sz w:val="18"/>
                              </w:rPr>
                              <w:t>balances</w:t>
                            </w:r>
                          </w:p>
                        </w:tc>
                        <w:tc>
                          <w:tcPr>
                            <w:tcW w:w="1114" w:type="dxa"/>
                            <w:tcBorders>
                              <w:bottom w:val="single" w:sz="4" w:space="0" w:color="000000"/>
                            </w:tcBorders>
                          </w:tcPr>
                          <w:p>
                            <w:pPr>
                              <w:pStyle w:val="TableParagraph"/>
                              <w:spacing w:before="18"/>
                              <w:ind w:right="91"/>
                              <w:jc w:val="right"/>
                              <w:rPr>
                                <w:sz w:val="18"/>
                              </w:rPr>
                            </w:pPr>
                            <w:r>
                              <w:rPr>
                                <w:spacing w:val="-5"/>
                                <w:sz w:val="18"/>
                              </w:rPr>
                              <w:t>9%</w:t>
                            </w:r>
                          </w:p>
                        </w:tc>
                        <w:tc>
                          <w:tcPr>
                            <w:tcW w:w="1136" w:type="dxa"/>
                            <w:tcBorders>
                              <w:bottom w:val="single" w:sz="4" w:space="0" w:color="000000"/>
                            </w:tcBorders>
                          </w:tcPr>
                          <w:p>
                            <w:pPr>
                              <w:pStyle w:val="TableParagraph"/>
                              <w:spacing w:before="18"/>
                              <w:ind w:right="72"/>
                              <w:jc w:val="right"/>
                              <w:rPr>
                                <w:sz w:val="18"/>
                              </w:rPr>
                            </w:pPr>
                            <w:r>
                              <w:rPr>
                                <w:spacing w:val="-5"/>
                                <w:sz w:val="18"/>
                              </w:rPr>
                              <w:t>21%</w:t>
                            </w:r>
                          </w:p>
                        </w:tc>
                        <w:tc>
                          <w:tcPr>
                            <w:tcW w:w="1159" w:type="dxa"/>
                            <w:tcBorders>
                              <w:bottom w:val="single" w:sz="4" w:space="0" w:color="000000"/>
                            </w:tcBorders>
                          </w:tcPr>
                          <w:p>
                            <w:pPr>
                              <w:pStyle w:val="TableParagraph"/>
                              <w:rPr>
                                <w:sz w:val="18"/>
                              </w:rPr>
                            </w:pPr>
                          </w:p>
                        </w:tc>
                        <w:tc>
                          <w:tcPr>
                            <w:tcW w:w="885" w:type="dxa"/>
                            <w:tcBorders>
                              <w:bottom w:val="single" w:sz="4" w:space="0" w:color="000000"/>
                            </w:tcBorders>
                          </w:tcPr>
                          <w:p>
                            <w:pPr>
                              <w:pStyle w:val="TableParagraph"/>
                              <w:spacing w:before="18"/>
                              <w:ind w:right="91"/>
                              <w:jc w:val="right"/>
                              <w:rPr>
                                <w:sz w:val="18"/>
                              </w:rPr>
                            </w:pPr>
                            <w:r>
                              <w:rPr>
                                <w:spacing w:val="-5"/>
                                <w:sz w:val="18"/>
                              </w:rPr>
                              <w:t>7%</w:t>
                            </w:r>
                          </w:p>
                        </w:tc>
                        <w:tc>
                          <w:tcPr>
                            <w:tcW w:w="1106" w:type="dxa"/>
                            <w:tcBorders>
                              <w:bottom w:val="single" w:sz="4" w:space="0" w:color="000000"/>
                            </w:tcBorders>
                          </w:tcPr>
                          <w:p>
                            <w:pPr>
                              <w:pStyle w:val="TableParagraph"/>
                              <w:spacing w:before="18"/>
                              <w:ind w:right="72"/>
                              <w:jc w:val="right"/>
                              <w:rPr>
                                <w:sz w:val="18"/>
                              </w:rPr>
                            </w:pPr>
                            <w:r>
                              <w:rPr>
                                <w:spacing w:val="-5"/>
                                <w:sz w:val="18"/>
                              </w:rPr>
                              <w:t>22%</w:t>
                            </w:r>
                          </w:p>
                        </w:tc>
                        <w:tc>
                          <w:tcPr>
                            <w:tcW w:w="960" w:type="dxa"/>
                            <w:tcBorders>
                              <w:bottom w:val="single" w:sz="4" w:space="0" w:color="000000"/>
                            </w:tcBorders>
                          </w:tcPr>
                          <w:p>
                            <w:pPr>
                              <w:pStyle w:val="TableParagraph"/>
                              <w:rPr>
                                <w:sz w:val="18"/>
                              </w:rPr>
                            </w:pPr>
                          </w:p>
                        </w:tc>
                      </w:tr>
                    </w:tbl>
                    <w:p>
                      <w:pPr>
                        <w:pStyle w:val="BodyText"/>
                      </w:pPr>
                    </w:p>
                  </w:txbxContent>
                </v:textbox>
                <w10:wrap type="none"/>
              </v:shape>
            </w:pict>
          </mc:Fallback>
        </mc:AlternateContent>
      </w:r>
      <w:r>
        <w:rPr>
          <w:sz w:val="18"/>
        </w:rPr>
        <w:t>September</w:t>
      </w:r>
      <w:r>
        <w:rPr>
          <w:spacing w:val="-1"/>
          <w:sz w:val="18"/>
        </w:rPr>
        <w:t> </w:t>
      </w:r>
      <w:r>
        <w:rPr>
          <w:spacing w:val="-5"/>
          <w:sz w:val="18"/>
        </w:rPr>
        <w:t>30,</w:t>
      </w:r>
      <w:r>
        <w:rPr>
          <w:sz w:val="18"/>
        </w:rPr>
        <w:tab/>
      </w:r>
      <w:r>
        <w:rPr>
          <w:spacing w:val="-2"/>
          <w:position w:val="-7"/>
          <w:sz w:val="18"/>
        </w:rPr>
        <w:t>Percent</w:t>
      </w:r>
    </w:p>
    <w:p>
      <w:pPr>
        <w:spacing w:line="193" w:lineRule="exact" w:before="128"/>
        <w:ind w:left="510" w:right="0" w:firstLine="0"/>
        <w:jc w:val="left"/>
        <w:rPr>
          <w:sz w:val="18"/>
        </w:rPr>
      </w:pPr>
      <w:r>
        <w:rPr/>
        <w:br w:type="column"/>
      </w:r>
      <w:r>
        <w:rPr>
          <w:sz w:val="18"/>
        </w:rPr>
        <w:t>Nine</w:t>
      </w:r>
      <w:r>
        <w:rPr>
          <w:spacing w:val="-2"/>
          <w:sz w:val="18"/>
        </w:rPr>
        <w:t> </w:t>
      </w:r>
      <w:r>
        <w:rPr>
          <w:sz w:val="18"/>
        </w:rPr>
        <w:t>Months</w:t>
      </w:r>
      <w:r>
        <w:rPr>
          <w:spacing w:val="-1"/>
          <w:sz w:val="18"/>
        </w:rPr>
        <w:t> </w:t>
      </w:r>
      <w:r>
        <w:rPr>
          <w:spacing w:val="-2"/>
          <w:sz w:val="18"/>
        </w:rPr>
        <w:t>Ended</w:t>
      </w:r>
    </w:p>
    <w:p>
      <w:pPr>
        <w:tabs>
          <w:tab w:pos="2570" w:val="left" w:leader="none"/>
        </w:tabs>
        <w:spacing w:line="218" w:lineRule="auto" w:before="0"/>
        <w:ind w:left="715" w:right="0" w:firstLine="0"/>
        <w:jc w:val="left"/>
        <w:rPr>
          <w:sz w:val="18"/>
        </w:rPr>
      </w:pPr>
      <w:r>
        <w:rPr>
          <w:sz w:val="18"/>
        </w:rPr>
        <w:t>September</w:t>
      </w:r>
      <w:r>
        <w:rPr>
          <w:spacing w:val="-1"/>
          <w:sz w:val="18"/>
        </w:rPr>
        <w:t> </w:t>
      </w:r>
      <w:r>
        <w:rPr>
          <w:spacing w:val="-5"/>
          <w:sz w:val="18"/>
        </w:rPr>
        <w:t>30,</w:t>
      </w:r>
      <w:r>
        <w:rPr>
          <w:sz w:val="18"/>
        </w:rPr>
        <w:tab/>
      </w:r>
      <w:r>
        <w:rPr>
          <w:spacing w:val="-2"/>
          <w:position w:val="-7"/>
          <w:sz w:val="18"/>
        </w:rPr>
        <w:t>Percent</w:t>
      </w:r>
    </w:p>
    <w:p>
      <w:pPr>
        <w:spacing w:after="0" w:line="218" w:lineRule="auto"/>
        <w:jc w:val="left"/>
        <w:rPr>
          <w:sz w:val="18"/>
        </w:rPr>
        <w:sectPr>
          <w:type w:val="continuous"/>
          <w:pgSz w:w="12240" w:h="15840"/>
          <w:pgMar w:header="512" w:footer="201" w:top="320" w:bottom="280" w:left="520" w:right="520"/>
          <w:cols w:num="2" w:equalWidth="0">
            <w:col w:w="7401" w:space="40"/>
            <w:col w:w="3759"/>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
      </w:pPr>
    </w:p>
    <w:p>
      <w:pPr>
        <w:pStyle w:val="BodyText"/>
        <w:spacing w:line="249" w:lineRule="auto"/>
        <w:ind w:left="470" w:right="500"/>
      </w:pPr>
      <w:r>
        <w:rPr/>
        <w:t>In January 2023, the Company ended its arrangements</w:t>
      </w:r>
      <w:r>
        <w:rPr>
          <w:spacing w:val="-1"/>
        </w:rPr>
        <w:t> </w:t>
      </w:r>
      <w:r>
        <w:rPr/>
        <w:t>with other third-party banks to simplify bank sweep operations ahead of the</w:t>
      </w:r>
      <w:r>
        <w:rPr>
          <w:spacing w:val="-2"/>
        </w:rPr>
        <w:t> </w:t>
      </w:r>
      <w:r>
        <w:rPr/>
        <w:t>first</w:t>
      </w:r>
      <w:r>
        <w:rPr>
          <w:spacing w:val="-2"/>
        </w:rPr>
        <w:t> </w:t>
      </w:r>
      <w:r>
        <w:rPr/>
        <w:t>TD</w:t>
      </w:r>
      <w:r>
        <w:rPr>
          <w:spacing w:val="-2"/>
        </w:rPr>
        <w:t> </w:t>
      </w:r>
      <w:r>
        <w:rPr/>
        <w:t>Ameritrade</w:t>
      </w:r>
      <w:r>
        <w:rPr>
          <w:spacing w:val="-2"/>
        </w:rPr>
        <w:t> </w:t>
      </w:r>
      <w:r>
        <w:rPr/>
        <w:t>client</w:t>
      </w:r>
      <w:r>
        <w:rPr>
          <w:spacing w:val="-2"/>
        </w:rPr>
        <w:t> </w:t>
      </w:r>
      <w:r>
        <w:rPr/>
        <w:t>transition</w:t>
      </w:r>
      <w:r>
        <w:rPr>
          <w:spacing w:val="-1"/>
        </w:rPr>
        <w:t> </w:t>
      </w:r>
      <w:r>
        <w:rPr/>
        <w:t>group</w:t>
      </w:r>
      <w:r>
        <w:rPr>
          <w:spacing w:val="-1"/>
        </w:rPr>
        <w:t> </w:t>
      </w:r>
      <w:r>
        <w:rPr/>
        <w:t>in</w:t>
      </w:r>
      <w:r>
        <w:rPr>
          <w:spacing w:val="-1"/>
        </w:rPr>
        <w:t> </w:t>
      </w:r>
      <w:r>
        <w:rPr/>
        <w:t>February</w:t>
      </w:r>
      <w:r>
        <w:rPr>
          <w:spacing w:val="-1"/>
        </w:rPr>
        <w:t> </w:t>
      </w:r>
      <w:r>
        <w:rPr/>
        <w:t>2023.</w:t>
      </w:r>
      <w:r>
        <w:rPr>
          <w:spacing w:val="-1"/>
        </w:rPr>
        <w:t> </w:t>
      </w:r>
      <w:r>
        <w:rPr/>
        <w:t>In</w:t>
      </w:r>
      <w:r>
        <w:rPr>
          <w:spacing w:val="-1"/>
        </w:rPr>
        <w:t> </w:t>
      </w:r>
      <w:r>
        <w:rPr/>
        <w:t>addition,</w:t>
      </w:r>
      <w:r>
        <w:rPr>
          <w:spacing w:val="-1"/>
        </w:rPr>
        <w:t> </w:t>
      </w:r>
      <w:r>
        <w:rPr/>
        <w:t>the</w:t>
      </w:r>
      <w:r>
        <w:rPr>
          <w:spacing w:val="-2"/>
        </w:rPr>
        <w:t> </w:t>
      </w:r>
      <w:r>
        <w:rPr/>
        <w:t>FDIC</w:t>
      </w:r>
      <w:r>
        <w:rPr>
          <w:spacing w:val="-2"/>
        </w:rPr>
        <w:t> </w:t>
      </w:r>
      <w:r>
        <w:rPr/>
        <w:t>implemented</w:t>
      </w:r>
      <w:r>
        <w:rPr>
          <w:spacing w:val="-1"/>
        </w:rPr>
        <w:t> </w:t>
      </w:r>
      <w:r>
        <w:rPr/>
        <w:t>a</w:t>
      </w:r>
      <w:r>
        <w:rPr>
          <w:spacing w:val="-2"/>
        </w:rPr>
        <w:t> </w:t>
      </w:r>
      <w:r>
        <w:rPr/>
        <w:t>2-basis-point</w:t>
      </w:r>
      <w:r>
        <w:rPr>
          <w:spacing w:val="-2"/>
        </w:rPr>
        <w:t> </w:t>
      </w:r>
      <w:r>
        <w:rPr/>
        <w:t>increase</w:t>
      </w:r>
      <w:r>
        <w:rPr>
          <w:spacing w:val="-2"/>
        </w:rPr>
        <w:t> </w:t>
      </w:r>
      <w:r>
        <w:rPr/>
        <w:t>to the</w:t>
      </w:r>
      <w:r>
        <w:rPr>
          <w:spacing w:val="-3"/>
        </w:rPr>
        <w:t> </w:t>
      </w:r>
      <w:r>
        <w:rPr/>
        <w:t>initial</w:t>
      </w:r>
      <w:r>
        <w:rPr>
          <w:spacing w:val="-3"/>
        </w:rPr>
        <w:t> </w:t>
      </w:r>
      <w:r>
        <w:rPr/>
        <w:t>base</w:t>
      </w:r>
      <w:r>
        <w:rPr>
          <w:spacing w:val="-3"/>
        </w:rPr>
        <w:t> </w:t>
      </w:r>
      <w:r>
        <w:rPr/>
        <w:t>deposit</w:t>
      </w:r>
      <w:r>
        <w:rPr>
          <w:spacing w:val="-3"/>
        </w:rPr>
        <w:t> </w:t>
      </w:r>
      <w:r>
        <w:rPr/>
        <w:t>insurance</w:t>
      </w:r>
      <w:r>
        <w:rPr>
          <w:spacing w:val="-3"/>
        </w:rPr>
        <w:t> </w:t>
      </w:r>
      <w:r>
        <w:rPr/>
        <w:t>assessment</w:t>
      </w:r>
      <w:r>
        <w:rPr>
          <w:spacing w:val="-3"/>
        </w:rPr>
        <w:t> </w:t>
      </w:r>
      <w:r>
        <w:rPr/>
        <w:t>rate,</w:t>
      </w:r>
      <w:r>
        <w:rPr>
          <w:spacing w:val="-3"/>
        </w:rPr>
        <w:t> </w:t>
      </w:r>
      <w:r>
        <w:rPr/>
        <w:t>which</w:t>
      </w:r>
      <w:r>
        <w:rPr>
          <w:spacing w:val="-3"/>
        </w:rPr>
        <w:t> </w:t>
      </w:r>
      <w:r>
        <w:rPr/>
        <w:t>became</w:t>
      </w:r>
      <w:r>
        <w:rPr>
          <w:spacing w:val="-3"/>
        </w:rPr>
        <w:t> </w:t>
      </w:r>
      <w:r>
        <w:rPr/>
        <w:t>effective</w:t>
      </w:r>
      <w:r>
        <w:rPr>
          <w:spacing w:val="-3"/>
        </w:rPr>
        <w:t> </w:t>
      </w:r>
      <w:r>
        <w:rPr/>
        <w:t>for</w:t>
      </w:r>
      <w:r>
        <w:rPr>
          <w:spacing w:val="-3"/>
        </w:rPr>
        <w:t> </w:t>
      </w:r>
      <w:r>
        <w:rPr/>
        <w:t>the</w:t>
      </w:r>
      <w:r>
        <w:rPr>
          <w:spacing w:val="-3"/>
        </w:rPr>
        <w:t> </w:t>
      </w:r>
      <w:r>
        <w:rPr/>
        <w:t>first</w:t>
      </w:r>
      <w:r>
        <w:rPr>
          <w:spacing w:val="-3"/>
        </w:rPr>
        <w:t> </w:t>
      </w:r>
      <w:r>
        <w:rPr/>
        <w:t>quarterly</w:t>
      </w:r>
      <w:r>
        <w:rPr>
          <w:spacing w:val="-3"/>
        </w:rPr>
        <w:t> </w:t>
      </w:r>
      <w:r>
        <w:rPr/>
        <w:t>assessment</w:t>
      </w:r>
      <w:r>
        <w:rPr>
          <w:spacing w:val="-3"/>
        </w:rPr>
        <w:t> </w:t>
      </w:r>
      <w:r>
        <w:rPr/>
        <w:t>period</w:t>
      </w:r>
      <w:r>
        <w:rPr>
          <w:spacing w:val="-3"/>
        </w:rPr>
        <w:t> </w:t>
      </w:r>
      <w:r>
        <w:rPr/>
        <w:t>in</w:t>
      </w:r>
      <w:r>
        <w:rPr>
          <w:spacing w:val="-3"/>
        </w:rPr>
        <w:t> </w:t>
      </w:r>
      <w:r>
        <w:rPr/>
        <w:t>2023.</w:t>
      </w:r>
      <w:r>
        <w:rPr>
          <w:spacing w:val="-3"/>
        </w:rPr>
        <w:t> </w:t>
      </w:r>
      <w:r>
        <w:rPr/>
        <w:t>This increase in the FDIC’s deposit insurance assessment results in a decrease to bank deposit account fee revenue, dependent on BDA balance levels.</w:t>
      </w:r>
    </w:p>
    <w:p>
      <w:pPr>
        <w:spacing w:after="0" w:line="249" w:lineRule="auto"/>
        <w:sectPr>
          <w:type w:val="continuous"/>
          <w:pgSz w:w="12240" w:h="15840"/>
          <w:pgMar w:header="512" w:footer="201" w:top="320" w:bottom="280" w:left="520" w:right="520"/>
        </w:sectPr>
      </w:pPr>
    </w:p>
    <w:p>
      <w:pPr>
        <w:pStyle w:val="BodyText"/>
        <w:spacing w:before="221"/>
      </w:pPr>
    </w:p>
    <w:p>
      <w:pPr>
        <w:pStyle w:val="BodyText"/>
        <w:spacing w:line="249" w:lineRule="auto"/>
        <w:ind w:left="470" w:right="548"/>
      </w:pPr>
      <w:r>
        <w:rPr/>
        <w:t>Bank</w:t>
      </w:r>
      <w:r>
        <w:rPr>
          <w:spacing w:val="-2"/>
        </w:rPr>
        <w:t> </w:t>
      </w:r>
      <w:r>
        <w:rPr/>
        <w:t>deposit</w:t>
      </w:r>
      <w:r>
        <w:rPr>
          <w:spacing w:val="-3"/>
        </w:rPr>
        <w:t> </w:t>
      </w:r>
      <w:r>
        <w:rPr/>
        <w:t>account</w:t>
      </w:r>
      <w:r>
        <w:rPr>
          <w:spacing w:val="-3"/>
        </w:rPr>
        <w:t> </w:t>
      </w:r>
      <w:r>
        <w:rPr/>
        <w:t>fees</w:t>
      </w:r>
      <w:r>
        <w:rPr>
          <w:spacing w:val="-3"/>
        </w:rPr>
        <w:t> </w:t>
      </w:r>
      <w:r>
        <w:rPr/>
        <w:t>decreased</w:t>
      </w:r>
      <w:r>
        <w:rPr>
          <w:spacing w:val="-2"/>
        </w:rPr>
        <w:t> </w:t>
      </w:r>
      <w:r>
        <w:rPr/>
        <w:t>$208</w:t>
      </w:r>
      <w:r>
        <w:rPr>
          <w:spacing w:val="-2"/>
        </w:rPr>
        <w:t> </w:t>
      </w:r>
      <w:r>
        <w:rPr/>
        <w:t>million,</w:t>
      </w:r>
      <w:r>
        <w:rPr>
          <w:spacing w:val="-2"/>
        </w:rPr>
        <w:t> </w:t>
      </w:r>
      <w:r>
        <w:rPr/>
        <w:t>or</w:t>
      </w:r>
      <w:r>
        <w:rPr>
          <w:spacing w:val="-2"/>
        </w:rPr>
        <w:t> </w:t>
      </w:r>
      <w:r>
        <w:rPr/>
        <w:t>50%,</w:t>
      </w:r>
      <w:r>
        <w:rPr>
          <w:spacing w:val="-2"/>
        </w:rPr>
        <w:t> </w:t>
      </w:r>
      <w:r>
        <w:rPr/>
        <w:t>and</w:t>
      </w:r>
      <w:r>
        <w:rPr>
          <w:spacing w:val="-2"/>
        </w:rPr>
        <w:t> </w:t>
      </w:r>
      <w:r>
        <w:rPr/>
        <w:t>$528</w:t>
      </w:r>
      <w:r>
        <w:rPr>
          <w:spacing w:val="-2"/>
        </w:rPr>
        <w:t> </w:t>
      </w:r>
      <w:r>
        <w:rPr/>
        <w:t>million,</w:t>
      </w:r>
      <w:r>
        <w:rPr>
          <w:spacing w:val="-2"/>
        </w:rPr>
        <w:t> </w:t>
      </w:r>
      <w:r>
        <w:rPr/>
        <w:t>or</w:t>
      </w:r>
      <w:r>
        <w:rPr>
          <w:spacing w:val="-2"/>
        </w:rPr>
        <w:t> </w:t>
      </w:r>
      <w:r>
        <w:rPr/>
        <w:t>50%,</w:t>
      </w:r>
      <w:r>
        <w:rPr>
          <w:spacing w:val="-2"/>
        </w:rPr>
        <w:t> </w:t>
      </w:r>
      <w:r>
        <w:rPr/>
        <w:t>in</w:t>
      </w:r>
      <w:r>
        <w:rPr>
          <w:spacing w:val="-2"/>
        </w:rPr>
        <w:t> </w:t>
      </w:r>
      <w:r>
        <w:rPr/>
        <w:t>the</w:t>
      </w:r>
      <w:r>
        <w:rPr>
          <w:spacing w:val="-3"/>
        </w:rPr>
        <w:t> </w:t>
      </w:r>
      <w:r>
        <w:rPr/>
        <w:t>third</w:t>
      </w:r>
      <w:r>
        <w:rPr>
          <w:spacing w:val="-2"/>
        </w:rPr>
        <w:t> </w:t>
      </w:r>
      <w:r>
        <w:rPr/>
        <w:t>quarter</w:t>
      </w:r>
      <w:r>
        <w:rPr>
          <w:spacing w:val="-2"/>
        </w:rPr>
        <w:t> </w:t>
      </w:r>
      <w:r>
        <w:rPr/>
        <w:t>and</w:t>
      </w:r>
      <w:r>
        <w:rPr>
          <w:spacing w:val="-2"/>
        </w:rPr>
        <w:t> </w:t>
      </w:r>
      <w:r>
        <w:rPr/>
        <w:t>first</w:t>
      </w:r>
      <w:r>
        <w:rPr>
          <w:spacing w:val="-3"/>
        </w:rPr>
        <w:t> </w:t>
      </w:r>
      <w:r>
        <w:rPr/>
        <w:t>nine</w:t>
      </w:r>
      <w:r>
        <w:rPr>
          <w:spacing w:val="-3"/>
        </w:rPr>
        <w:t> </w:t>
      </w:r>
      <w:r>
        <w:rPr/>
        <w:t>months of 2023, respectively, compared to the same periods in 2022. The decreases were primarily due to lower average BDA balances,</w:t>
      </w:r>
      <w:r>
        <w:rPr>
          <w:spacing w:val="-2"/>
        </w:rPr>
        <w:t> </w:t>
      </w:r>
      <w:r>
        <w:rPr/>
        <w:t>an</w:t>
      </w:r>
      <w:r>
        <w:rPr>
          <w:spacing w:val="-2"/>
        </w:rPr>
        <w:t> </w:t>
      </w:r>
      <w:r>
        <w:rPr/>
        <w:t>increase</w:t>
      </w:r>
      <w:r>
        <w:rPr>
          <w:spacing w:val="-3"/>
        </w:rPr>
        <w:t> </w:t>
      </w:r>
      <w:r>
        <w:rPr/>
        <w:t>in</w:t>
      </w:r>
      <w:r>
        <w:rPr>
          <w:spacing w:val="-2"/>
        </w:rPr>
        <w:t> </w:t>
      </w:r>
      <w:r>
        <w:rPr/>
        <w:t>the</w:t>
      </w:r>
      <w:r>
        <w:rPr>
          <w:spacing w:val="-3"/>
        </w:rPr>
        <w:t> </w:t>
      </w:r>
      <w:r>
        <w:rPr/>
        <w:t>amount</w:t>
      </w:r>
      <w:r>
        <w:rPr>
          <w:spacing w:val="-3"/>
        </w:rPr>
        <w:t> </w:t>
      </w:r>
      <w:r>
        <w:rPr/>
        <w:t>paid</w:t>
      </w:r>
      <w:r>
        <w:rPr>
          <w:spacing w:val="-2"/>
        </w:rPr>
        <w:t> </w:t>
      </w:r>
      <w:r>
        <w:rPr/>
        <w:t>to</w:t>
      </w:r>
      <w:r>
        <w:rPr>
          <w:spacing w:val="-2"/>
        </w:rPr>
        <w:t> </w:t>
      </w:r>
      <w:r>
        <w:rPr/>
        <w:t>clients</w:t>
      </w:r>
      <w:r>
        <w:rPr>
          <w:spacing w:val="-3"/>
        </w:rPr>
        <w:t> </w:t>
      </w:r>
      <w:r>
        <w:rPr/>
        <w:t>due</w:t>
      </w:r>
      <w:r>
        <w:rPr>
          <w:spacing w:val="-3"/>
        </w:rPr>
        <w:t> </w:t>
      </w:r>
      <w:r>
        <w:rPr/>
        <w:t>to</w:t>
      </w:r>
      <w:r>
        <w:rPr>
          <w:spacing w:val="-2"/>
        </w:rPr>
        <w:t> </w:t>
      </w:r>
      <w:r>
        <w:rPr/>
        <w:t>higher</w:t>
      </w:r>
      <w:r>
        <w:rPr>
          <w:spacing w:val="-2"/>
        </w:rPr>
        <w:t> </w:t>
      </w:r>
      <w:r>
        <w:rPr/>
        <w:t>interest</w:t>
      </w:r>
      <w:r>
        <w:rPr>
          <w:spacing w:val="-3"/>
        </w:rPr>
        <w:t> </w:t>
      </w:r>
      <w:r>
        <w:rPr/>
        <w:t>rates,</w:t>
      </w:r>
      <w:r>
        <w:rPr>
          <w:spacing w:val="-2"/>
        </w:rPr>
        <w:t> </w:t>
      </w:r>
      <w:r>
        <w:rPr/>
        <w:t>and</w:t>
      </w:r>
      <w:r>
        <w:rPr>
          <w:spacing w:val="-2"/>
        </w:rPr>
        <w:t> </w:t>
      </w:r>
      <w:r>
        <w:rPr/>
        <w:t>breakage</w:t>
      </w:r>
      <w:r>
        <w:rPr>
          <w:spacing w:val="-3"/>
        </w:rPr>
        <w:t> </w:t>
      </w:r>
      <w:r>
        <w:rPr/>
        <w:t>fees</w:t>
      </w:r>
      <w:r>
        <w:rPr>
          <w:spacing w:val="-3"/>
        </w:rPr>
        <w:t> </w:t>
      </w:r>
      <w:r>
        <w:rPr/>
        <w:t>of</w:t>
      </w:r>
      <w:r>
        <w:rPr>
          <w:spacing w:val="-2"/>
        </w:rPr>
        <w:t> </w:t>
      </w:r>
      <w:r>
        <w:rPr/>
        <w:t>$97</w:t>
      </w:r>
      <w:r>
        <w:rPr>
          <w:spacing w:val="-2"/>
        </w:rPr>
        <w:t> </w:t>
      </w:r>
      <w:r>
        <w:rPr/>
        <w:t>million</w:t>
      </w:r>
      <w:r>
        <w:rPr>
          <w:spacing w:val="-2"/>
        </w:rPr>
        <w:t> </w:t>
      </w:r>
      <w:r>
        <w:rPr/>
        <w:t>incurred</w:t>
      </w:r>
      <w:r>
        <w:rPr>
          <w:spacing w:val="-2"/>
        </w:rPr>
        <w:t> </w:t>
      </w:r>
      <w:r>
        <w:rPr/>
        <w:t>during the first quarter of 2023 as a result of ending the other third-party bank arrangements. These factors also contributed to the decrease in average net yield in the third quarter and first nine months of 2023 compared to the same periods in 2022. The decreases in average BDA balances in the third quarter and first nine months of 2023 compared to the same periods in 2022 were</w:t>
      </w:r>
      <w:r>
        <w:rPr>
          <w:spacing w:val="-3"/>
        </w:rPr>
        <w:t> </w:t>
      </w:r>
      <w:r>
        <w:rPr/>
        <w:t>primarily</w:t>
      </w:r>
      <w:r>
        <w:rPr>
          <w:spacing w:val="-3"/>
        </w:rPr>
        <w:t> </w:t>
      </w:r>
      <w:r>
        <w:rPr/>
        <w:t>due</w:t>
      </w:r>
      <w:r>
        <w:rPr>
          <w:spacing w:val="-3"/>
        </w:rPr>
        <w:t> </w:t>
      </w:r>
      <w:r>
        <w:rPr/>
        <w:t>to</w:t>
      </w:r>
      <w:r>
        <w:rPr>
          <w:spacing w:val="-3"/>
        </w:rPr>
        <w:t> </w:t>
      </w:r>
      <w:r>
        <w:rPr/>
        <w:t>client</w:t>
      </w:r>
      <w:r>
        <w:rPr>
          <w:spacing w:val="-3"/>
        </w:rPr>
        <w:t> </w:t>
      </w:r>
      <w:r>
        <w:rPr/>
        <w:t>cash</w:t>
      </w:r>
      <w:r>
        <w:rPr>
          <w:spacing w:val="-3"/>
        </w:rPr>
        <w:t> </w:t>
      </w:r>
      <w:r>
        <w:rPr/>
        <w:t>allocation</w:t>
      </w:r>
      <w:r>
        <w:rPr>
          <w:spacing w:val="-3"/>
        </w:rPr>
        <w:t> </w:t>
      </w:r>
      <w:r>
        <w:rPr/>
        <w:t>decisions</w:t>
      </w:r>
      <w:r>
        <w:rPr>
          <w:spacing w:val="-3"/>
        </w:rPr>
        <w:t> </w:t>
      </w:r>
      <w:r>
        <w:rPr/>
        <w:t>in</w:t>
      </w:r>
      <w:r>
        <w:rPr>
          <w:spacing w:val="-3"/>
        </w:rPr>
        <w:t> </w:t>
      </w:r>
      <w:r>
        <w:rPr/>
        <w:t>response</w:t>
      </w:r>
      <w:r>
        <w:rPr>
          <w:spacing w:val="-3"/>
        </w:rPr>
        <w:t> </w:t>
      </w:r>
      <w:r>
        <w:rPr/>
        <w:t>to</w:t>
      </w:r>
      <w:r>
        <w:rPr>
          <w:spacing w:val="-3"/>
        </w:rPr>
        <w:t> </w:t>
      </w:r>
      <w:r>
        <w:rPr/>
        <w:t>rising</w:t>
      </w:r>
      <w:r>
        <w:rPr>
          <w:spacing w:val="-3"/>
        </w:rPr>
        <w:t> </w:t>
      </w:r>
      <w:r>
        <w:rPr/>
        <w:t>short-term</w:t>
      </w:r>
      <w:r>
        <w:rPr>
          <w:spacing w:val="-3"/>
        </w:rPr>
        <w:t> </w:t>
      </w:r>
      <w:r>
        <w:rPr/>
        <w:t>market</w:t>
      </w:r>
      <w:r>
        <w:rPr>
          <w:spacing w:val="-4"/>
        </w:rPr>
        <w:t> </w:t>
      </w:r>
      <w:r>
        <w:rPr/>
        <w:t>interest</w:t>
      </w:r>
      <w:r>
        <w:rPr>
          <w:spacing w:val="-3"/>
        </w:rPr>
        <w:t> </w:t>
      </w:r>
      <w:r>
        <w:rPr/>
        <w:t>rates</w:t>
      </w:r>
      <w:r>
        <w:rPr>
          <w:spacing w:val="-4"/>
        </w:rPr>
        <w:t> </w:t>
      </w:r>
      <w:r>
        <w:rPr/>
        <w:t>throughout</w:t>
      </w:r>
      <w:r>
        <w:rPr>
          <w:spacing w:val="-3"/>
        </w:rPr>
        <w:t> </w:t>
      </w:r>
      <w:r>
        <w:rPr/>
        <w:t>2022</w:t>
      </w:r>
      <w:r>
        <w:rPr>
          <w:spacing w:val="-3"/>
        </w:rPr>
        <w:t> </w:t>
      </w:r>
      <w:r>
        <w:rPr/>
        <w:t>and through the third quarter of 2023. The percentages of BDA balances designated as fixed-rate and floating-rate obligation amounts as of September 30, 2023 were 89% and 11%, respectively.</w:t>
      </w:r>
    </w:p>
    <w:p>
      <w:pPr>
        <w:pStyle w:val="BodyText"/>
        <w:spacing w:before="14"/>
      </w:pPr>
    </w:p>
    <w:p>
      <w:pPr>
        <w:pStyle w:val="Heading3"/>
        <w:rPr>
          <w:i/>
        </w:rPr>
      </w:pPr>
      <w:bookmarkStart w:name="Other Revenue" w:id="14"/>
      <w:bookmarkEnd w:id="14"/>
      <w:r>
        <w:rPr>
          <w:b w:val="0"/>
          <w:i w:val="0"/>
        </w:rPr>
      </w:r>
      <w:r>
        <w:rPr>
          <w:i/>
        </w:rPr>
        <w:t>Other</w:t>
      </w:r>
      <w:r>
        <w:rPr>
          <w:i/>
          <w:spacing w:val="-5"/>
        </w:rPr>
        <w:t> </w:t>
      </w:r>
      <w:r>
        <w:rPr>
          <w:i/>
          <w:spacing w:val="-2"/>
        </w:rPr>
        <w:t>Revenue</w:t>
      </w:r>
    </w:p>
    <w:p>
      <w:pPr>
        <w:pStyle w:val="BodyText"/>
        <w:spacing w:before="23"/>
        <w:rPr>
          <w:b/>
          <w:i/>
        </w:rPr>
      </w:pPr>
    </w:p>
    <w:p>
      <w:pPr>
        <w:pStyle w:val="BodyText"/>
        <w:spacing w:line="249" w:lineRule="auto" w:before="1"/>
        <w:ind w:left="470" w:right="761"/>
      </w:pPr>
      <w:r>
        <w:rPr/>
        <w:t>Other</w:t>
      </w:r>
      <w:r>
        <w:rPr>
          <w:spacing w:val="-2"/>
        </w:rPr>
        <w:t> </w:t>
      </w:r>
      <w:r>
        <w:rPr/>
        <w:t>revenue</w:t>
      </w:r>
      <w:r>
        <w:rPr>
          <w:spacing w:val="-3"/>
        </w:rPr>
        <w:t> </w:t>
      </w:r>
      <w:r>
        <w:rPr/>
        <w:t>includes</w:t>
      </w:r>
      <w:r>
        <w:rPr>
          <w:spacing w:val="-3"/>
        </w:rPr>
        <w:t> </w:t>
      </w:r>
      <w:r>
        <w:rPr/>
        <w:t>exchange</w:t>
      </w:r>
      <w:r>
        <w:rPr>
          <w:spacing w:val="-3"/>
        </w:rPr>
        <w:t> </w:t>
      </w:r>
      <w:r>
        <w:rPr/>
        <w:t>processing</w:t>
      </w:r>
      <w:r>
        <w:rPr>
          <w:spacing w:val="-2"/>
        </w:rPr>
        <w:t> </w:t>
      </w:r>
      <w:r>
        <w:rPr/>
        <w:t>fees,</w:t>
      </w:r>
      <w:r>
        <w:rPr>
          <w:spacing w:val="-2"/>
        </w:rPr>
        <w:t> </w:t>
      </w:r>
      <w:r>
        <w:rPr/>
        <w:t>certain</w:t>
      </w:r>
      <w:r>
        <w:rPr>
          <w:spacing w:val="-2"/>
        </w:rPr>
        <w:t> </w:t>
      </w:r>
      <w:r>
        <w:rPr/>
        <w:t>service</w:t>
      </w:r>
      <w:r>
        <w:rPr>
          <w:spacing w:val="-3"/>
        </w:rPr>
        <w:t> </w:t>
      </w:r>
      <w:r>
        <w:rPr/>
        <w:t>fees,</w:t>
      </w:r>
      <w:r>
        <w:rPr>
          <w:spacing w:val="-2"/>
        </w:rPr>
        <w:t> </w:t>
      </w:r>
      <w:r>
        <w:rPr/>
        <w:t>other</w:t>
      </w:r>
      <w:r>
        <w:rPr>
          <w:spacing w:val="-2"/>
        </w:rPr>
        <w:t> </w:t>
      </w:r>
      <w:r>
        <w:rPr/>
        <w:t>gains</w:t>
      </w:r>
      <w:r>
        <w:rPr>
          <w:spacing w:val="-3"/>
        </w:rPr>
        <w:t> </w:t>
      </w:r>
      <w:r>
        <w:rPr/>
        <w:t>and</w:t>
      </w:r>
      <w:r>
        <w:rPr>
          <w:spacing w:val="-2"/>
        </w:rPr>
        <w:t> </w:t>
      </w:r>
      <w:r>
        <w:rPr/>
        <w:t>losses</w:t>
      </w:r>
      <w:r>
        <w:rPr>
          <w:spacing w:val="-3"/>
        </w:rPr>
        <w:t> </w:t>
      </w:r>
      <w:r>
        <w:rPr/>
        <w:t>from</w:t>
      </w:r>
      <w:r>
        <w:rPr>
          <w:spacing w:val="-3"/>
        </w:rPr>
        <w:t> </w:t>
      </w:r>
      <w:r>
        <w:rPr/>
        <w:t>the</w:t>
      </w:r>
      <w:r>
        <w:rPr>
          <w:spacing w:val="-3"/>
        </w:rPr>
        <w:t> </w:t>
      </w:r>
      <w:r>
        <w:rPr/>
        <w:t>sale</w:t>
      </w:r>
      <w:r>
        <w:rPr>
          <w:spacing w:val="-3"/>
        </w:rPr>
        <w:t> </w:t>
      </w:r>
      <w:r>
        <w:rPr/>
        <w:t>of</w:t>
      </w:r>
      <w:r>
        <w:rPr>
          <w:spacing w:val="-2"/>
        </w:rPr>
        <w:t> </w:t>
      </w:r>
      <w:r>
        <w:rPr/>
        <w:t>assets,</w:t>
      </w:r>
      <w:r>
        <w:rPr>
          <w:spacing w:val="-2"/>
        </w:rPr>
        <w:t> </w:t>
      </w:r>
      <w:r>
        <w:rPr/>
        <w:t>and</w:t>
      </w:r>
      <w:r>
        <w:rPr>
          <w:spacing w:val="-2"/>
        </w:rPr>
        <w:t> </w:t>
      </w:r>
      <w:r>
        <w:rPr/>
        <w:t>the provision for credit losses on bank loans.</w:t>
      </w:r>
    </w:p>
    <w:p>
      <w:pPr>
        <w:pStyle w:val="BodyText"/>
        <w:spacing w:before="11"/>
      </w:pPr>
    </w:p>
    <w:p>
      <w:pPr>
        <w:pStyle w:val="BodyText"/>
        <w:spacing w:line="249" w:lineRule="auto"/>
        <w:ind w:left="470" w:right="513"/>
      </w:pPr>
      <w:r>
        <w:rPr/>
        <w:t>Other revenue</w:t>
      </w:r>
      <w:r>
        <w:rPr>
          <w:spacing w:val="-1"/>
        </w:rPr>
        <w:t> </w:t>
      </w:r>
      <w:r>
        <w:rPr/>
        <w:t>decreased $12 million and $36 million in the</w:t>
      </w:r>
      <w:r>
        <w:rPr>
          <w:spacing w:val="-1"/>
        </w:rPr>
        <w:t> </w:t>
      </w:r>
      <w:r>
        <w:rPr/>
        <w:t>third quarter and first</w:t>
      </w:r>
      <w:r>
        <w:rPr>
          <w:spacing w:val="-1"/>
        </w:rPr>
        <w:t> </w:t>
      </w:r>
      <w:r>
        <w:rPr/>
        <w:t>nine</w:t>
      </w:r>
      <w:r>
        <w:rPr>
          <w:spacing w:val="-1"/>
        </w:rPr>
        <w:t> </w:t>
      </w:r>
      <w:r>
        <w:rPr/>
        <w:t>months</w:t>
      </w:r>
      <w:r>
        <w:rPr>
          <w:spacing w:val="-1"/>
        </w:rPr>
        <w:t> </w:t>
      </w:r>
      <w:r>
        <w:rPr/>
        <w:t>of 2023, respectively, compared to</w:t>
      </w:r>
      <w:r>
        <w:rPr>
          <w:spacing w:val="-2"/>
        </w:rPr>
        <w:t> </w:t>
      </w:r>
      <w:r>
        <w:rPr/>
        <w:t>the</w:t>
      </w:r>
      <w:r>
        <w:rPr>
          <w:spacing w:val="-3"/>
        </w:rPr>
        <w:t> </w:t>
      </w:r>
      <w:r>
        <w:rPr/>
        <w:t>same</w:t>
      </w:r>
      <w:r>
        <w:rPr>
          <w:spacing w:val="-3"/>
        </w:rPr>
        <w:t> </w:t>
      </w:r>
      <w:r>
        <w:rPr/>
        <w:t>periods</w:t>
      </w:r>
      <w:r>
        <w:rPr>
          <w:spacing w:val="-3"/>
        </w:rPr>
        <w:t> </w:t>
      </w:r>
      <w:r>
        <w:rPr/>
        <w:t>in</w:t>
      </w:r>
      <w:r>
        <w:rPr>
          <w:spacing w:val="-2"/>
        </w:rPr>
        <w:t> </w:t>
      </w:r>
      <w:r>
        <w:rPr/>
        <w:t>2022,</w:t>
      </w:r>
      <w:r>
        <w:rPr>
          <w:spacing w:val="-2"/>
        </w:rPr>
        <w:t> </w:t>
      </w:r>
      <w:r>
        <w:rPr/>
        <w:t>due</w:t>
      </w:r>
      <w:r>
        <w:rPr>
          <w:spacing w:val="-3"/>
        </w:rPr>
        <w:t> </w:t>
      </w:r>
      <w:r>
        <w:rPr/>
        <w:t>to</w:t>
      </w:r>
      <w:r>
        <w:rPr>
          <w:spacing w:val="-2"/>
        </w:rPr>
        <w:t> </w:t>
      </w:r>
      <w:r>
        <w:rPr/>
        <w:t>the</w:t>
      </w:r>
      <w:r>
        <w:rPr>
          <w:spacing w:val="-3"/>
        </w:rPr>
        <w:t> </w:t>
      </w:r>
      <w:r>
        <w:rPr/>
        <w:t>impact</w:t>
      </w:r>
      <w:r>
        <w:rPr>
          <w:spacing w:val="-3"/>
        </w:rPr>
        <w:t> </w:t>
      </w:r>
      <w:r>
        <w:rPr/>
        <w:t>of</w:t>
      </w:r>
      <w:r>
        <w:rPr>
          <w:spacing w:val="-2"/>
        </w:rPr>
        <w:t> </w:t>
      </w:r>
      <w:r>
        <w:rPr/>
        <w:t>changes</w:t>
      </w:r>
      <w:r>
        <w:rPr>
          <w:spacing w:val="-3"/>
        </w:rPr>
        <w:t> </w:t>
      </w:r>
      <w:r>
        <w:rPr/>
        <w:t>to</w:t>
      </w:r>
      <w:r>
        <w:rPr>
          <w:spacing w:val="-2"/>
        </w:rPr>
        <w:t> </w:t>
      </w:r>
      <w:r>
        <w:rPr/>
        <w:t>exchange</w:t>
      </w:r>
      <w:r>
        <w:rPr>
          <w:spacing w:val="-3"/>
        </w:rPr>
        <w:t> </w:t>
      </w:r>
      <w:r>
        <w:rPr/>
        <w:t>processing</w:t>
      </w:r>
      <w:r>
        <w:rPr>
          <w:spacing w:val="-2"/>
        </w:rPr>
        <w:t> </w:t>
      </w:r>
      <w:r>
        <w:rPr/>
        <w:t>fees</w:t>
      </w:r>
      <w:r>
        <w:rPr>
          <w:spacing w:val="-3"/>
        </w:rPr>
        <w:t> </w:t>
      </w:r>
      <w:r>
        <w:rPr/>
        <w:t>and</w:t>
      </w:r>
      <w:r>
        <w:rPr>
          <w:spacing w:val="-2"/>
        </w:rPr>
        <w:t> </w:t>
      </w:r>
      <w:r>
        <w:rPr/>
        <w:t>net</w:t>
      </w:r>
      <w:r>
        <w:rPr>
          <w:spacing w:val="-3"/>
        </w:rPr>
        <w:t> </w:t>
      </w:r>
      <w:r>
        <w:rPr/>
        <w:t>losses</w:t>
      </w:r>
      <w:r>
        <w:rPr>
          <w:spacing w:val="-3"/>
        </w:rPr>
        <w:t> </w:t>
      </w:r>
      <w:r>
        <w:rPr/>
        <w:t>on</w:t>
      </w:r>
      <w:r>
        <w:rPr>
          <w:spacing w:val="-2"/>
        </w:rPr>
        <w:t> </w:t>
      </w:r>
      <w:r>
        <w:rPr/>
        <w:t>sales</w:t>
      </w:r>
      <w:r>
        <w:rPr>
          <w:spacing w:val="-3"/>
        </w:rPr>
        <w:t> </w:t>
      </w:r>
      <w:r>
        <w:rPr/>
        <w:t>of</w:t>
      </w:r>
      <w:r>
        <w:rPr>
          <w:spacing w:val="-2"/>
        </w:rPr>
        <w:t> </w:t>
      </w:r>
      <w:r>
        <w:rPr/>
        <w:t>AFS</w:t>
      </w:r>
      <w:r>
        <w:rPr>
          <w:spacing w:val="-3"/>
        </w:rPr>
        <w:t> </w:t>
      </w:r>
      <w:r>
        <w:rPr/>
        <w:t>securities, partially offset by lower provision for credit losses on bank loans and certain service fees. Exchange processing fees decreased in the</w:t>
      </w:r>
      <w:r>
        <w:rPr>
          <w:spacing w:val="-1"/>
        </w:rPr>
        <w:t> </w:t>
      </w:r>
      <w:r>
        <w:rPr/>
        <w:t>third quarter and first</w:t>
      </w:r>
      <w:r>
        <w:rPr>
          <w:spacing w:val="-1"/>
        </w:rPr>
        <w:t> </w:t>
      </w:r>
      <w:r>
        <w:rPr/>
        <w:t>nine</w:t>
      </w:r>
      <w:r>
        <w:rPr>
          <w:spacing w:val="-1"/>
        </w:rPr>
        <w:t> </w:t>
      </w:r>
      <w:r>
        <w:rPr/>
        <w:t>months</w:t>
      </w:r>
      <w:r>
        <w:rPr>
          <w:spacing w:val="-1"/>
        </w:rPr>
        <w:t> </w:t>
      </w:r>
      <w:r>
        <w:rPr/>
        <w:t>of 2023 compared to the</w:t>
      </w:r>
      <w:r>
        <w:rPr>
          <w:spacing w:val="-1"/>
        </w:rPr>
        <w:t> </w:t>
      </w:r>
      <w:r>
        <w:rPr/>
        <w:t>same</w:t>
      </w:r>
      <w:r>
        <w:rPr>
          <w:spacing w:val="-1"/>
        </w:rPr>
        <w:t> </w:t>
      </w:r>
      <w:r>
        <w:rPr/>
        <w:t>periods</w:t>
      </w:r>
      <w:r>
        <w:rPr>
          <w:spacing w:val="-1"/>
        </w:rPr>
        <w:t> </w:t>
      </w:r>
      <w:r>
        <w:rPr/>
        <w:t>in 2022, primarily due</w:t>
      </w:r>
      <w:r>
        <w:rPr>
          <w:spacing w:val="-1"/>
        </w:rPr>
        <w:t> </w:t>
      </w:r>
      <w:r>
        <w:rPr/>
        <w:t>to a</w:t>
      </w:r>
      <w:r>
        <w:rPr>
          <w:spacing w:val="-1"/>
        </w:rPr>
        <w:t> </w:t>
      </w:r>
      <w:r>
        <w:rPr/>
        <w:t>decrease</w:t>
      </w:r>
      <w:r>
        <w:rPr>
          <w:spacing w:val="-1"/>
        </w:rPr>
        <w:t> </w:t>
      </w:r>
      <w:r>
        <w:rPr/>
        <w:t>in the</w:t>
      </w:r>
      <w:r>
        <w:rPr>
          <w:spacing w:val="-1"/>
        </w:rPr>
        <w:t> </w:t>
      </w:r>
      <w:r>
        <w:rPr/>
        <w:t>SEC fee</w:t>
      </w:r>
      <w:r>
        <w:rPr>
          <w:spacing w:val="-1"/>
        </w:rPr>
        <w:t> </w:t>
      </w:r>
      <w:r>
        <w:rPr/>
        <w:t>rate</w:t>
      </w:r>
      <w:r>
        <w:rPr>
          <w:spacing w:val="-1"/>
        </w:rPr>
        <w:t> </w:t>
      </w:r>
      <w:r>
        <w:rPr/>
        <w:t>and lower year-to-date</w:t>
      </w:r>
      <w:r>
        <w:rPr>
          <w:spacing w:val="-1"/>
        </w:rPr>
        <w:t> </w:t>
      </w:r>
      <w:r>
        <w:rPr/>
        <w:t>options</w:t>
      </w:r>
      <w:r>
        <w:rPr>
          <w:spacing w:val="-1"/>
        </w:rPr>
        <w:t> </w:t>
      </w:r>
      <w:r>
        <w:rPr/>
        <w:t>volume. The</w:t>
      </w:r>
      <w:r>
        <w:rPr>
          <w:spacing w:val="-1"/>
        </w:rPr>
        <w:t> </w:t>
      </w:r>
      <w:r>
        <w:rPr/>
        <w:t>provision for credit</w:t>
      </w:r>
      <w:r>
        <w:rPr>
          <w:spacing w:val="-1"/>
        </w:rPr>
        <w:t> </w:t>
      </w:r>
      <w:r>
        <w:rPr/>
        <w:t>losses</w:t>
      </w:r>
      <w:r>
        <w:rPr>
          <w:spacing w:val="-1"/>
        </w:rPr>
        <w:t> </w:t>
      </w:r>
      <w:r>
        <w:rPr/>
        <w:t>on bank loans</w:t>
      </w:r>
      <w:r>
        <w:rPr>
          <w:spacing w:val="-1"/>
        </w:rPr>
        <w:t> </w:t>
      </w:r>
      <w:r>
        <w:rPr/>
        <w:t>was</w:t>
      </w:r>
      <w:r>
        <w:rPr>
          <w:spacing w:val="-1"/>
        </w:rPr>
        <w:t> </w:t>
      </w:r>
      <w:r>
        <w:rPr/>
        <w:t>lower in the</w:t>
      </w:r>
      <w:r>
        <w:rPr>
          <w:spacing w:val="-1"/>
        </w:rPr>
        <w:t> </w:t>
      </w:r>
      <w:r>
        <w:rPr/>
        <w:t>third quarter and first nine months of 2023 compared to the same periods in 2022, as loan loss factors decreased in the third quarter of 2023</w:t>
      </w:r>
      <w:r>
        <w:rPr/>
        <w:t> while</w:t>
      </w:r>
      <w:r>
        <w:rPr>
          <w:spacing w:val="-1"/>
        </w:rPr>
        <w:t> </w:t>
      </w:r>
      <w:r>
        <w:rPr/>
        <w:t>the</w:t>
      </w:r>
      <w:r>
        <w:rPr>
          <w:spacing w:val="-1"/>
        </w:rPr>
        <w:t> </w:t>
      </w:r>
      <w:r>
        <w:rPr/>
        <w:t>total</w:t>
      </w:r>
      <w:r>
        <w:rPr>
          <w:spacing w:val="-1"/>
        </w:rPr>
        <w:t> </w:t>
      </w:r>
      <w:r>
        <w:rPr/>
        <w:t>balance</w:t>
      </w:r>
      <w:r>
        <w:rPr>
          <w:spacing w:val="-1"/>
        </w:rPr>
        <w:t> </w:t>
      </w:r>
      <w:r>
        <w:rPr/>
        <w:t>of first</w:t>
      </w:r>
      <w:r>
        <w:rPr>
          <w:spacing w:val="-1"/>
        </w:rPr>
        <w:t> </w:t>
      </w:r>
      <w:r>
        <w:rPr/>
        <w:t>lien residential</w:t>
      </w:r>
      <w:r>
        <w:rPr>
          <w:spacing w:val="-1"/>
        </w:rPr>
        <w:t> </w:t>
      </w:r>
      <w:r>
        <w:rPr/>
        <w:t>real</w:t>
      </w:r>
      <w:r>
        <w:rPr>
          <w:spacing w:val="-1"/>
        </w:rPr>
        <w:t> </w:t>
      </w:r>
      <w:r>
        <w:rPr/>
        <w:t>estate</w:t>
      </w:r>
      <w:r>
        <w:rPr>
          <w:spacing w:val="-1"/>
        </w:rPr>
        <w:t> </w:t>
      </w:r>
      <w:r>
        <w:rPr/>
        <w:t>mortgage</w:t>
      </w:r>
      <w:r>
        <w:rPr>
          <w:spacing w:val="-1"/>
        </w:rPr>
        <w:t> </w:t>
      </w:r>
      <w:r>
        <w:rPr/>
        <w:t>loans</w:t>
      </w:r>
      <w:r>
        <w:rPr>
          <w:spacing w:val="-1"/>
        </w:rPr>
        <w:t> </w:t>
      </w:r>
      <w:r>
        <w:rPr/>
        <w:t>(First</w:t>
      </w:r>
      <w:r>
        <w:rPr>
          <w:spacing w:val="-1"/>
        </w:rPr>
        <w:t> </w:t>
      </w:r>
      <w:r>
        <w:rPr/>
        <w:t>Mortgages) increased slightly compared to year- end 2022. The Company’s provision for credit losses on bank loans in the third quarter and first nine months of 2022 reflected increased loan loss factors driven primarily by higher forecasted interest rates earlier in the Federal Reserve’s monetary tightening, as</w:t>
      </w:r>
      <w:r>
        <w:rPr>
          <w:spacing w:val="-1"/>
        </w:rPr>
        <w:t> </w:t>
      </w:r>
      <w:r>
        <w:rPr/>
        <w:t>well</w:t>
      </w:r>
      <w:r>
        <w:rPr>
          <w:spacing w:val="-1"/>
        </w:rPr>
        <w:t> </w:t>
      </w:r>
      <w:r>
        <w:rPr/>
        <w:t>as</w:t>
      </w:r>
      <w:r>
        <w:rPr>
          <w:spacing w:val="-1"/>
        </w:rPr>
        <w:t> </w:t>
      </w:r>
      <w:r>
        <w:rPr/>
        <w:t>growth in the</w:t>
      </w:r>
      <w:r>
        <w:rPr>
          <w:spacing w:val="-1"/>
        </w:rPr>
        <w:t> </w:t>
      </w:r>
      <w:r>
        <w:rPr/>
        <w:t>loan portfolio. In addition, other revenue</w:t>
      </w:r>
      <w:r>
        <w:rPr>
          <w:spacing w:val="-1"/>
        </w:rPr>
        <w:t> </w:t>
      </w:r>
      <w:r>
        <w:rPr/>
        <w:t>in the</w:t>
      </w:r>
      <w:r>
        <w:rPr>
          <w:spacing w:val="-1"/>
        </w:rPr>
        <w:t> </w:t>
      </w:r>
      <w:r>
        <w:rPr/>
        <w:t>first</w:t>
      </w:r>
      <w:r>
        <w:rPr>
          <w:spacing w:val="-1"/>
        </w:rPr>
        <w:t> </w:t>
      </w:r>
      <w:r>
        <w:rPr/>
        <w:t>nine</w:t>
      </w:r>
      <w:r>
        <w:rPr>
          <w:spacing w:val="-1"/>
        </w:rPr>
        <w:t> </w:t>
      </w:r>
      <w:r>
        <w:rPr/>
        <w:t>months</w:t>
      </w:r>
      <w:r>
        <w:rPr>
          <w:spacing w:val="-1"/>
        </w:rPr>
        <w:t> </w:t>
      </w:r>
      <w:r>
        <w:rPr/>
        <w:t>of 2022 included a</w:t>
      </w:r>
      <w:r>
        <w:rPr>
          <w:spacing w:val="-1"/>
        </w:rPr>
        <w:t> </w:t>
      </w:r>
      <w:r>
        <w:rPr/>
        <w:t>gain of</w:t>
      </w:r>
    </w:p>
    <w:p>
      <w:pPr>
        <w:pStyle w:val="BodyText"/>
        <w:spacing w:before="8"/>
        <w:ind w:left="470"/>
      </w:pPr>
      <w:r>
        <w:rPr/>
        <w:t>$46</w:t>
      </w:r>
      <w:r>
        <w:rPr>
          <w:spacing w:val="-5"/>
        </w:rPr>
        <w:t> </w:t>
      </w:r>
      <w:r>
        <w:rPr/>
        <w:t>million</w:t>
      </w:r>
      <w:r>
        <w:rPr>
          <w:spacing w:val="-3"/>
        </w:rPr>
        <w:t> </w:t>
      </w:r>
      <w:r>
        <w:rPr/>
        <w:t>on</w:t>
      </w:r>
      <w:r>
        <w:rPr>
          <w:spacing w:val="-3"/>
        </w:rPr>
        <w:t> </w:t>
      </w:r>
      <w:r>
        <w:rPr/>
        <w:t>the</w:t>
      </w:r>
      <w:r>
        <w:rPr>
          <w:spacing w:val="-3"/>
        </w:rPr>
        <w:t> </w:t>
      </w:r>
      <w:r>
        <w:rPr/>
        <w:t>sale</w:t>
      </w:r>
      <w:r>
        <w:rPr>
          <w:spacing w:val="-4"/>
        </w:rPr>
        <w:t> </w:t>
      </w:r>
      <w:r>
        <w:rPr/>
        <w:t>of</w:t>
      </w:r>
      <w:r>
        <w:rPr>
          <w:spacing w:val="-3"/>
        </w:rPr>
        <w:t> </w:t>
      </w:r>
      <w:r>
        <w:rPr/>
        <w:t>Schwab</w:t>
      </w:r>
      <w:r>
        <w:rPr>
          <w:spacing w:val="-3"/>
        </w:rPr>
        <w:t> </w:t>
      </w:r>
      <w:r>
        <w:rPr/>
        <w:t>Compliance</w:t>
      </w:r>
      <w:r>
        <w:rPr>
          <w:spacing w:val="-3"/>
        </w:rPr>
        <w:t> </w:t>
      </w:r>
      <w:r>
        <w:rPr/>
        <w:t>Technologies,</w:t>
      </w:r>
      <w:r>
        <w:rPr>
          <w:spacing w:val="-3"/>
        </w:rPr>
        <w:t> </w:t>
      </w:r>
      <w:r>
        <w:rPr/>
        <w:t>Inc.</w:t>
      </w:r>
      <w:r>
        <w:rPr>
          <w:spacing w:val="-3"/>
        </w:rPr>
        <w:t> </w:t>
      </w:r>
      <w:r>
        <w:rPr/>
        <w:t>and</w:t>
      </w:r>
      <w:r>
        <w:rPr>
          <w:spacing w:val="-3"/>
        </w:rPr>
        <w:t> </w:t>
      </w:r>
      <w:r>
        <w:rPr/>
        <w:t>certain</w:t>
      </w:r>
      <w:r>
        <w:rPr>
          <w:spacing w:val="-2"/>
        </w:rPr>
        <w:t> investments.</w:t>
      </w:r>
    </w:p>
    <w:p>
      <w:pPr>
        <w:pStyle w:val="BodyText"/>
        <w:spacing w:before="41"/>
      </w:pPr>
    </w:p>
    <w:p>
      <w:pPr>
        <w:pStyle w:val="Heading3"/>
        <w:rPr>
          <w:i/>
        </w:rPr>
      </w:pPr>
      <w:bookmarkStart w:name="Total Expenses Excluding Interest" w:id="15"/>
      <w:bookmarkEnd w:id="15"/>
      <w:r>
        <w:rPr>
          <w:b w:val="0"/>
          <w:i w:val="0"/>
        </w:rPr>
      </w:r>
      <w:r>
        <w:rPr>
          <w:i/>
        </w:rPr>
        <w:t>Total</w:t>
      </w:r>
      <w:r>
        <w:rPr>
          <w:i/>
          <w:spacing w:val="-6"/>
        </w:rPr>
        <w:t> </w:t>
      </w:r>
      <w:r>
        <w:rPr>
          <w:i/>
        </w:rPr>
        <w:t>Expenses</w:t>
      </w:r>
      <w:r>
        <w:rPr>
          <w:i/>
          <w:spacing w:val="-5"/>
        </w:rPr>
        <w:t> </w:t>
      </w:r>
      <w:r>
        <w:rPr>
          <w:i/>
        </w:rPr>
        <w:t>Excluding</w:t>
      </w:r>
      <w:r>
        <w:rPr>
          <w:i/>
          <w:spacing w:val="-4"/>
        </w:rPr>
        <w:t> </w:t>
      </w:r>
      <w:r>
        <w:rPr>
          <w:i/>
          <w:spacing w:val="-2"/>
        </w:rPr>
        <w:t>Interest</w:t>
      </w:r>
    </w:p>
    <w:p>
      <w:pPr>
        <w:pStyle w:val="BodyText"/>
        <w:spacing w:before="1"/>
        <w:rPr>
          <w:b/>
          <w:i/>
          <w:sz w:val="14"/>
        </w:rPr>
      </w:pPr>
    </w:p>
    <w:p>
      <w:pPr>
        <w:spacing w:after="0"/>
        <w:rPr>
          <w:sz w:val="14"/>
        </w:rPr>
        <w:sectPr>
          <w:pgSz w:w="12240" w:h="15840"/>
          <w:pgMar w:header="512" w:footer="201" w:top="1180" w:bottom="400" w:left="520" w:right="520"/>
        </w:sectPr>
      </w:pPr>
    </w:p>
    <w:p>
      <w:pPr>
        <w:pStyle w:val="BodyText"/>
        <w:spacing w:before="92"/>
        <w:ind w:left="470"/>
      </w:pPr>
      <w:r>
        <w:rPr/>
        <w:t>The</w:t>
      </w:r>
      <w:r>
        <w:rPr>
          <w:spacing w:val="-6"/>
        </w:rPr>
        <w:t> </w:t>
      </w:r>
      <w:r>
        <w:rPr/>
        <w:t>following</w:t>
      </w:r>
      <w:r>
        <w:rPr>
          <w:spacing w:val="-3"/>
        </w:rPr>
        <w:t> </w:t>
      </w:r>
      <w:r>
        <w:rPr/>
        <w:t>table</w:t>
      </w:r>
      <w:r>
        <w:rPr>
          <w:spacing w:val="-3"/>
        </w:rPr>
        <w:t> </w:t>
      </w:r>
      <w:r>
        <w:rPr/>
        <w:t>shows</w:t>
      </w:r>
      <w:r>
        <w:rPr>
          <w:spacing w:val="-4"/>
        </w:rPr>
        <w:t> </w:t>
      </w:r>
      <w:r>
        <w:rPr/>
        <w:t>a</w:t>
      </w:r>
      <w:r>
        <w:rPr>
          <w:spacing w:val="-3"/>
        </w:rPr>
        <w:t> </w:t>
      </w:r>
      <w:r>
        <w:rPr/>
        <w:t>comparison</w:t>
      </w:r>
      <w:r>
        <w:rPr>
          <w:spacing w:val="-3"/>
        </w:rPr>
        <w:t> </w:t>
      </w:r>
      <w:r>
        <w:rPr/>
        <w:t>of</w:t>
      </w:r>
      <w:r>
        <w:rPr>
          <w:spacing w:val="-2"/>
        </w:rPr>
        <w:t> </w:t>
      </w:r>
      <w:r>
        <w:rPr/>
        <w:t>expenses</w:t>
      </w:r>
      <w:r>
        <w:rPr>
          <w:spacing w:val="-4"/>
        </w:rPr>
        <w:t> </w:t>
      </w:r>
      <w:r>
        <w:rPr/>
        <w:t>excluding</w:t>
      </w:r>
      <w:r>
        <w:rPr>
          <w:spacing w:val="-2"/>
        </w:rPr>
        <w:t> interest:</w:t>
      </w:r>
    </w:p>
    <w:p>
      <w:pPr>
        <w:spacing w:line="193" w:lineRule="exact" w:before="176"/>
        <w:ind w:left="0" w:right="977" w:firstLine="0"/>
        <w:jc w:val="right"/>
        <w:rPr>
          <w:sz w:val="18"/>
        </w:rPr>
      </w:pPr>
      <w:r>
        <w:rPr/>
        <mc:AlternateContent>
          <mc:Choice Requires="wps">
            <w:drawing>
              <wp:anchor distT="0" distB="0" distL="0" distR="0" allowOverlap="1" layoutInCell="1" locked="0" behindDoc="0" simplePos="0" relativeHeight="15734784">
                <wp:simplePos x="0" y="0"/>
                <wp:positionH relativeFrom="page">
                  <wp:posOffset>628650</wp:posOffset>
                </wp:positionH>
                <wp:positionV relativeFrom="paragraph">
                  <wp:posOffset>97159</wp:posOffset>
                </wp:positionV>
                <wp:extent cx="6515100" cy="635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6515100" cy="6350"/>
                          <a:chExt cx="6515100" cy="6350"/>
                        </a:xfrm>
                      </wpg:grpSpPr>
                      <wps:wsp>
                        <wps:cNvPr id="38" name="Graphic 38"/>
                        <wps:cNvSpPr/>
                        <wps:spPr>
                          <a:xfrm>
                            <a:off x="0" y="3175"/>
                            <a:ext cx="4724400" cy="1270"/>
                          </a:xfrm>
                          <a:custGeom>
                            <a:avLst/>
                            <a:gdLst/>
                            <a:ahLst/>
                            <a:cxnLst/>
                            <a:rect l="l" t="t" r="r" b="b"/>
                            <a:pathLst>
                              <a:path w="4724400" h="0">
                                <a:moveTo>
                                  <a:pt x="4724400" y="0"/>
                                </a:moveTo>
                                <a:lnTo>
                                  <a:pt x="0" y="0"/>
                                </a:lnTo>
                              </a:path>
                            </a:pathLst>
                          </a:custGeom>
                          <a:solidFill>
                            <a:srgbClr val="000000"/>
                          </a:solidFill>
                        </wps:spPr>
                        <wps:bodyPr wrap="square" lIns="0" tIns="0" rIns="0" bIns="0" rtlCol="0">
                          <a:prstTxWarp prst="textNoShape">
                            <a:avLst/>
                          </a:prstTxWarp>
                          <a:noAutofit/>
                        </wps:bodyPr>
                      </wps:wsp>
                      <wps:wsp>
                        <wps:cNvPr id="39" name="Graphic 39"/>
                        <wps:cNvSpPr/>
                        <wps:spPr>
                          <a:xfrm>
                            <a:off x="0" y="3175"/>
                            <a:ext cx="4724400" cy="1270"/>
                          </a:xfrm>
                          <a:custGeom>
                            <a:avLst/>
                            <a:gdLst/>
                            <a:ahLst/>
                            <a:cxnLst/>
                            <a:rect l="l" t="t" r="r" b="b"/>
                            <a:pathLst>
                              <a:path w="4724400" h="0">
                                <a:moveTo>
                                  <a:pt x="0" y="0"/>
                                </a:moveTo>
                                <a:lnTo>
                                  <a:pt x="4724400" y="0"/>
                                </a:lnTo>
                              </a:path>
                            </a:pathLst>
                          </a:custGeom>
                          <a:ln w="6350">
                            <a:solidFill>
                              <a:srgbClr val="000000"/>
                            </a:solidFill>
                            <a:prstDash val="solid"/>
                          </a:ln>
                        </wps:spPr>
                        <wps:bodyPr wrap="square" lIns="0" tIns="0" rIns="0" bIns="0" rtlCol="0">
                          <a:prstTxWarp prst="textNoShape">
                            <a:avLst/>
                          </a:prstTxWarp>
                          <a:noAutofit/>
                        </wps:bodyPr>
                      </wps:wsp>
                      <wps:wsp>
                        <wps:cNvPr id="40" name="Graphic 40"/>
                        <wps:cNvSpPr/>
                        <wps:spPr>
                          <a:xfrm>
                            <a:off x="4724400" y="3175"/>
                            <a:ext cx="1790700" cy="1270"/>
                          </a:xfrm>
                          <a:custGeom>
                            <a:avLst/>
                            <a:gdLst/>
                            <a:ahLst/>
                            <a:cxnLst/>
                            <a:rect l="l" t="t" r="r" b="b"/>
                            <a:pathLst>
                              <a:path w="1790700" h="0">
                                <a:moveTo>
                                  <a:pt x="1790700" y="0"/>
                                </a:moveTo>
                                <a:lnTo>
                                  <a:pt x="0" y="0"/>
                                </a:lnTo>
                              </a:path>
                            </a:pathLst>
                          </a:custGeom>
                          <a:solidFill>
                            <a:srgbClr val="000000"/>
                          </a:solidFill>
                        </wps:spPr>
                        <wps:bodyPr wrap="square" lIns="0" tIns="0" rIns="0" bIns="0" rtlCol="0">
                          <a:prstTxWarp prst="textNoShape">
                            <a:avLst/>
                          </a:prstTxWarp>
                          <a:noAutofit/>
                        </wps:bodyPr>
                      </wps:wsp>
                      <wps:wsp>
                        <wps:cNvPr id="41" name="Graphic 41"/>
                        <wps:cNvSpPr/>
                        <wps:spPr>
                          <a:xfrm>
                            <a:off x="4724400" y="3175"/>
                            <a:ext cx="1790700" cy="1270"/>
                          </a:xfrm>
                          <a:custGeom>
                            <a:avLst/>
                            <a:gdLst/>
                            <a:ahLst/>
                            <a:cxnLst/>
                            <a:rect l="l" t="t" r="r" b="b"/>
                            <a:pathLst>
                              <a:path w="1790700" h="0">
                                <a:moveTo>
                                  <a:pt x="0" y="0"/>
                                </a:moveTo>
                                <a:lnTo>
                                  <a:pt x="17907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7.650332pt;width:513pt;height:.5pt;mso-position-horizontal-relative:page;mso-position-vertical-relative:paragraph;z-index:15734784" id="docshapegroup28" coordorigin="990,153" coordsize="10260,10">
                <v:shape style="position:absolute;left:990;top:158;width:7440;height:2" id="docshape29" coordorigin="990,158" coordsize="7440,0" path="m8430,158l990,158e" filled="true" fillcolor="#000000" stroked="false">
                  <v:path arrowok="t"/>
                  <v:fill opacity="0f" type="solid"/>
                </v:shape>
                <v:line style="position:absolute" from="990,158" to="8430,158" stroked="true" strokeweight=".5pt" strokecolor="#000000">
                  <v:stroke dashstyle="solid"/>
                </v:line>
                <v:shape style="position:absolute;left:8430;top:158;width:2820;height:2" id="docshape30" coordorigin="8430,158" coordsize="2820,0" path="m11250,158l8430,158e" filled="true" fillcolor="#000000" stroked="false">
                  <v:path arrowok="t"/>
                  <v:fill opacity="0f" type="solid"/>
                </v:shape>
                <v:line style="position:absolute" from="8430,158" to="11250,158" stroked="true" strokeweight=".5pt" strokecolor="#000000">
                  <v:stroke dashstyle="solid"/>
                </v:line>
                <w10:wrap type="none"/>
              </v:group>
            </w:pict>
          </mc:Fallback>
        </mc:AlternateContent>
      </w:r>
      <w:r>
        <w:rPr>
          <w:sz w:val="18"/>
        </w:rPr>
        <w:t>Three</w:t>
      </w:r>
      <w:r>
        <w:rPr>
          <w:spacing w:val="-1"/>
          <w:sz w:val="18"/>
        </w:rPr>
        <w:t> </w:t>
      </w:r>
      <w:r>
        <w:rPr>
          <w:sz w:val="18"/>
        </w:rPr>
        <w:t>Months</w:t>
      </w:r>
      <w:r>
        <w:rPr>
          <w:spacing w:val="-1"/>
          <w:sz w:val="18"/>
        </w:rPr>
        <w:t> </w:t>
      </w:r>
      <w:r>
        <w:rPr>
          <w:spacing w:val="-2"/>
          <w:sz w:val="18"/>
        </w:rPr>
        <w:t>Ended</w:t>
      </w:r>
    </w:p>
    <w:p>
      <w:pPr>
        <w:tabs>
          <w:tab w:pos="1719" w:val="left" w:leader="none"/>
        </w:tabs>
        <w:spacing w:line="218" w:lineRule="auto" w:before="0"/>
        <w:ind w:left="0" w:right="0" w:firstLine="0"/>
        <w:jc w:val="right"/>
        <w:rPr>
          <w:sz w:val="18"/>
        </w:rPr>
      </w:pPr>
      <w:r>
        <w:rPr>
          <w:sz w:val="18"/>
        </w:rPr>
        <w:t>September</w:t>
      </w:r>
      <w:r>
        <w:rPr>
          <w:spacing w:val="-1"/>
          <w:sz w:val="18"/>
        </w:rPr>
        <w:t> </w:t>
      </w:r>
      <w:r>
        <w:rPr>
          <w:spacing w:val="-5"/>
          <w:sz w:val="18"/>
        </w:rPr>
        <w:t>30,</w:t>
      </w:r>
      <w:r>
        <w:rPr>
          <w:sz w:val="18"/>
        </w:rPr>
        <w:tab/>
      </w:r>
      <w:r>
        <w:rPr>
          <w:spacing w:val="-2"/>
          <w:position w:val="-5"/>
          <w:sz w:val="18"/>
        </w:rPr>
        <w:t>Percent</w:t>
      </w:r>
    </w:p>
    <w:p>
      <w:pPr>
        <w:spacing w:line="240" w:lineRule="auto" w:before="0"/>
        <w:rPr>
          <w:sz w:val="18"/>
        </w:rPr>
      </w:pPr>
      <w:r>
        <w:rPr/>
        <w:br w:type="column"/>
      </w:r>
      <w:r>
        <w:rPr>
          <w:sz w:val="18"/>
        </w:rPr>
      </w:r>
    </w:p>
    <w:p>
      <w:pPr>
        <w:pStyle w:val="BodyText"/>
        <w:spacing w:before="84"/>
        <w:rPr>
          <w:sz w:val="18"/>
        </w:rPr>
      </w:pPr>
    </w:p>
    <w:p>
      <w:pPr>
        <w:spacing w:line="193" w:lineRule="exact" w:before="0"/>
        <w:ind w:left="345" w:right="0" w:firstLine="0"/>
        <w:jc w:val="left"/>
        <w:rPr>
          <w:sz w:val="18"/>
        </w:rPr>
      </w:pPr>
      <w:r>
        <w:rPr>
          <w:sz w:val="18"/>
        </w:rPr>
        <w:t>Nine</w:t>
      </w:r>
      <w:r>
        <w:rPr>
          <w:spacing w:val="-2"/>
          <w:sz w:val="18"/>
        </w:rPr>
        <w:t> </w:t>
      </w:r>
      <w:r>
        <w:rPr>
          <w:sz w:val="18"/>
        </w:rPr>
        <w:t>Months</w:t>
      </w:r>
      <w:r>
        <w:rPr>
          <w:spacing w:val="-1"/>
          <w:sz w:val="18"/>
        </w:rPr>
        <w:t> </w:t>
      </w:r>
      <w:r>
        <w:rPr>
          <w:spacing w:val="-2"/>
          <w:sz w:val="18"/>
        </w:rPr>
        <w:t>Ended</w:t>
      </w:r>
    </w:p>
    <w:p>
      <w:pPr>
        <w:tabs>
          <w:tab w:pos="2240" w:val="left" w:leader="none"/>
        </w:tabs>
        <w:spacing w:line="218" w:lineRule="auto" w:before="0"/>
        <w:ind w:left="550" w:right="0" w:firstLine="0"/>
        <w:jc w:val="left"/>
        <w:rPr>
          <w:sz w:val="18"/>
        </w:rPr>
      </w:pPr>
      <w:r>
        <w:rPr>
          <w:sz w:val="18"/>
        </w:rPr>
        <w:t>September</w:t>
      </w:r>
      <w:r>
        <w:rPr>
          <w:spacing w:val="-1"/>
          <w:sz w:val="18"/>
        </w:rPr>
        <w:t> </w:t>
      </w:r>
      <w:r>
        <w:rPr>
          <w:spacing w:val="-5"/>
          <w:sz w:val="18"/>
        </w:rPr>
        <w:t>30,</w:t>
      </w:r>
      <w:r>
        <w:rPr>
          <w:sz w:val="18"/>
        </w:rPr>
        <w:tab/>
      </w:r>
      <w:r>
        <w:rPr>
          <w:spacing w:val="-2"/>
          <w:position w:val="-5"/>
          <w:sz w:val="18"/>
        </w:rPr>
        <w:t>Percent</w:t>
      </w:r>
    </w:p>
    <w:p>
      <w:pPr>
        <w:spacing w:after="0" w:line="218" w:lineRule="auto"/>
        <w:jc w:val="left"/>
        <w:rPr>
          <w:sz w:val="18"/>
        </w:rPr>
        <w:sectPr>
          <w:type w:val="continuous"/>
          <w:pgSz w:w="12240" w:h="15840"/>
          <w:pgMar w:header="512" w:footer="201" w:top="320" w:bottom="280" w:left="520" w:right="520"/>
          <w:cols w:num="2" w:equalWidth="0">
            <w:col w:w="7731" w:space="40"/>
            <w:col w:w="3429"/>
          </w:cols>
        </w:sect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5"/>
        <w:gridCol w:w="938"/>
        <w:gridCol w:w="953"/>
        <w:gridCol w:w="976"/>
        <w:gridCol w:w="931"/>
        <w:gridCol w:w="931"/>
        <w:gridCol w:w="961"/>
      </w:tblGrid>
      <w:tr>
        <w:trPr>
          <w:trHeight w:val="230" w:hRule="atLeast"/>
        </w:trPr>
        <w:tc>
          <w:tcPr>
            <w:tcW w:w="4575" w:type="dxa"/>
            <w:tcBorders>
              <w:bottom w:val="single" w:sz="4" w:space="0" w:color="000000"/>
            </w:tcBorders>
          </w:tcPr>
          <w:p>
            <w:pPr>
              <w:pStyle w:val="TableParagraph"/>
              <w:rPr>
                <w:sz w:val="16"/>
              </w:rPr>
            </w:pPr>
          </w:p>
        </w:tc>
        <w:tc>
          <w:tcPr>
            <w:tcW w:w="938" w:type="dxa"/>
            <w:tcBorders>
              <w:top w:val="single" w:sz="4" w:space="0" w:color="000000"/>
              <w:bottom w:val="single" w:sz="4" w:space="0" w:color="000000"/>
            </w:tcBorders>
          </w:tcPr>
          <w:p>
            <w:pPr>
              <w:pStyle w:val="TableParagraph"/>
              <w:spacing w:line="178" w:lineRule="exact"/>
              <w:ind w:left="270"/>
              <w:rPr>
                <w:sz w:val="18"/>
              </w:rPr>
            </w:pPr>
            <w:r>
              <w:rPr>
                <w:spacing w:val="-4"/>
                <w:sz w:val="18"/>
              </w:rPr>
              <w:t>2023</w:t>
            </w:r>
          </w:p>
        </w:tc>
        <w:tc>
          <w:tcPr>
            <w:tcW w:w="953" w:type="dxa"/>
            <w:tcBorders>
              <w:top w:val="single" w:sz="4" w:space="0" w:color="000000"/>
              <w:bottom w:val="single" w:sz="4" w:space="0" w:color="000000"/>
            </w:tcBorders>
          </w:tcPr>
          <w:p>
            <w:pPr>
              <w:pStyle w:val="TableParagraph"/>
              <w:spacing w:line="178" w:lineRule="exact"/>
              <w:ind w:left="314"/>
              <w:rPr>
                <w:sz w:val="18"/>
              </w:rPr>
            </w:pPr>
            <w:r>
              <w:rPr>
                <w:spacing w:val="-4"/>
                <w:sz w:val="18"/>
              </w:rPr>
              <w:t>2022</w:t>
            </w:r>
          </w:p>
        </w:tc>
        <w:tc>
          <w:tcPr>
            <w:tcW w:w="976" w:type="dxa"/>
            <w:tcBorders>
              <w:bottom w:val="single" w:sz="4" w:space="0" w:color="000000"/>
            </w:tcBorders>
          </w:tcPr>
          <w:p>
            <w:pPr>
              <w:pStyle w:val="TableParagraph"/>
              <w:spacing w:line="178" w:lineRule="exact"/>
              <w:ind w:left="249"/>
              <w:rPr>
                <w:sz w:val="18"/>
              </w:rPr>
            </w:pPr>
            <w:r>
              <w:rPr>
                <w:spacing w:val="-2"/>
                <w:sz w:val="18"/>
              </w:rPr>
              <w:t>Change</w:t>
            </w:r>
          </w:p>
        </w:tc>
        <w:tc>
          <w:tcPr>
            <w:tcW w:w="931" w:type="dxa"/>
            <w:tcBorders>
              <w:top w:val="single" w:sz="4" w:space="0" w:color="000000"/>
              <w:bottom w:val="single" w:sz="4" w:space="0" w:color="000000"/>
            </w:tcBorders>
          </w:tcPr>
          <w:p>
            <w:pPr>
              <w:pStyle w:val="TableParagraph"/>
              <w:spacing w:line="178" w:lineRule="exact"/>
              <w:ind w:left="268"/>
              <w:rPr>
                <w:sz w:val="18"/>
              </w:rPr>
            </w:pPr>
            <w:r>
              <w:rPr>
                <w:spacing w:val="-4"/>
                <w:sz w:val="18"/>
              </w:rPr>
              <w:t>2023</w:t>
            </w:r>
          </w:p>
        </w:tc>
        <w:tc>
          <w:tcPr>
            <w:tcW w:w="931" w:type="dxa"/>
            <w:tcBorders>
              <w:top w:val="single" w:sz="4" w:space="0" w:color="000000"/>
              <w:bottom w:val="single" w:sz="4" w:space="0" w:color="000000"/>
            </w:tcBorders>
          </w:tcPr>
          <w:p>
            <w:pPr>
              <w:pStyle w:val="TableParagraph"/>
              <w:spacing w:line="178" w:lineRule="exact"/>
              <w:ind w:left="297"/>
              <w:rPr>
                <w:sz w:val="18"/>
              </w:rPr>
            </w:pPr>
            <w:r>
              <w:rPr>
                <w:spacing w:val="-4"/>
                <w:sz w:val="18"/>
              </w:rPr>
              <w:t>2022</w:t>
            </w:r>
          </w:p>
        </w:tc>
        <w:tc>
          <w:tcPr>
            <w:tcW w:w="961" w:type="dxa"/>
            <w:tcBorders>
              <w:bottom w:val="single" w:sz="4" w:space="0" w:color="000000"/>
            </w:tcBorders>
          </w:tcPr>
          <w:p>
            <w:pPr>
              <w:pStyle w:val="TableParagraph"/>
              <w:spacing w:line="178" w:lineRule="exact"/>
              <w:ind w:left="231"/>
              <w:rPr>
                <w:sz w:val="18"/>
              </w:rPr>
            </w:pPr>
            <w:r>
              <w:rPr>
                <w:spacing w:val="-2"/>
                <w:sz w:val="18"/>
              </w:rPr>
              <w:t>Change</w:t>
            </w:r>
          </w:p>
        </w:tc>
      </w:tr>
      <w:tr>
        <w:trPr>
          <w:trHeight w:val="235" w:hRule="atLeast"/>
        </w:trPr>
        <w:tc>
          <w:tcPr>
            <w:tcW w:w="4575" w:type="dxa"/>
            <w:tcBorders>
              <w:top w:val="single" w:sz="4" w:space="0" w:color="000000"/>
            </w:tcBorders>
          </w:tcPr>
          <w:p>
            <w:pPr>
              <w:pStyle w:val="TableParagraph"/>
              <w:spacing w:line="178" w:lineRule="exact"/>
              <w:ind w:left="52"/>
              <w:rPr>
                <w:sz w:val="18"/>
              </w:rPr>
            </w:pPr>
            <w:r>
              <w:rPr>
                <w:sz w:val="18"/>
              </w:rPr>
              <w:t>Compensation</w:t>
            </w:r>
            <w:r>
              <w:rPr>
                <w:spacing w:val="-3"/>
                <w:sz w:val="18"/>
              </w:rPr>
              <w:t> </w:t>
            </w:r>
            <w:r>
              <w:rPr>
                <w:sz w:val="18"/>
              </w:rPr>
              <w:t>and </w:t>
            </w:r>
            <w:r>
              <w:rPr>
                <w:spacing w:val="-2"/>
                <w:sz w:val="18"/>
              </w:rPr>
              <w:t>benefits</w:t>
            </w:r>
          </w:p>
        </w:tc>
        <w:tc>
          <w:tcPr>
            <w:tcW w:w="938" w:type="dxa"/>
            <w:tcBorders>
              <w:top w:val="single" w:sz="4" w:space="0" w:color="000000"/>
            </w:tcBorders>
          </w:tcPr>
          <w:p>
            <w:pPr>
              <w:pStyle w:val="TableParagraph"/>
              <w:rPr>
                <w:sz w:val="16"/>
              </w:rPr>
            </w:pPr>
          </w:p>
        </w:tc>
        <w:tc>
          <w:tcPr>
            <w:tcW w:w="953" w:type="dxa"/>
            <w:tcBorders>
              <w:top w:val="single" w:sz="4" w:space="0" w:color="000000"/>
            </w:tcBorders>
          </w:tcPr>
          <w:p>
            <w:pPr>
              <w:pStyle w:val="TableParagraph"/>
              <w:rPr>
                <w:sz w:val="16"/>
              </w:rPr>
            </w:pPr>
          </w:p>
        </w:tc>
        <w:tc>
          <w:tcPr>
            <w:tcW w:w="976" w:type="dxa"/>
            <w:tcBorders>
              <w:top w:val="single" w:sz="4" w:space="0" w:color="000000"/>
            </w:tcBorders>
          </w:tcPr>
          <w:p>
            <w:pPr>
              <w:pStyle w:val="TableParagraph"/>
              <w:rPr>
                <w:sz w:val="16"/>
              </w:rPr>
            </w:pPr>
          </w:p>
        </w:tc>
        <w:tc>
          <w:tcPr>
            <w:tcW w:w="931" w:type="dxa"/>
            <w:tcBorders>
              <w:top w:val="single" w:sz="4" w:space="0" w:color="000000"/>
            </w:tcBorders>
          </w:tcPr>
          <w:p>
            <w:pPr>
              <w:pStyle w:val="TableParagraph"/>
              <w:rPr>
                <w:sz w:val="16"/>
              </w:rPr>
            </w:pPr>
          </w:p>
        </w:tc>
        <w:tc>
          <w:tcPr>
            <w:tcW w:w="931" w:type="dxa"/>
            <w:tcBorders>
              <w:top w:val="single" w:sz="4" w:space="0" w:color="000000"/>
            </w:tcBorders>
          </w:tcPr>
          <w:p>
            <w:pPr>
              <w:pStyle w:val="TableParagraph"/>
              <w:rPr>
                <w:sz w:val="16"/>
              </w:rPr>
            </w:pPr>
          </w:p>
        </w:tc>
        <w:tc>
          <w:tcPr>
            <w:tcW w:w="961" w:type="dxa"/>
            <w:tcBorders>
              <w:top w:val="single" w:sz="4" w:space="0" w:color="000000"/>
            </w:tcBorders>
          </w:tcPr>
          <w:p>
            <w:pPr>
              <w:pStyle w:val="TableParagraph"/>
              <w:rPr>
                <w:sz w:val="16"/>
              </w:rPr>
            </w:pPr>
          </w:p>
        </w:tc>
      </w:tr>
      <w:tr>
        <w:trPr>
          <w:trHeight w:val="240" w:hRule="atLeast"/>
        </w:trPr>
        <w:tc>
          <w:tcPr>
            <w:tcW w:w="4575" w:type="dxa"/>
            <w:shd w:val="clear" w:color="auto" w:fill="CCEDFF"/>
          </w:tcPr>
          <w:p>
            <w:pPr>
              <w:pStyle w:val="TableParagraph"/>
              <w:spacing w:line="183" w:lineRule="exact"/>
              <w:ind w:left="52"/>
              <w:rPr>
                <w:sz w:val="18"/>
              </w:rPr>
            </w:pPr>
            <w:r>
              <w:rPr>
                <w:sz w:val="18"/>
              </w:rPr>
              <w:t>Salaries</w:t>
            </w:r>
            <w:r>
              <w:rPr>
                <w:spacing w:val="-2"/>
                <w:sz w:val="18"/>
              </w:rPr>
              <w:t> </w:t>
            </w:r>
            <w:r>
              <w:rPr>
                <w:sz w:val="18"/>
              </w:rPr>
              <w:t>and </w:t>
            </w:r>
            <w:r>
              <w:rPr>
                <w:spacing w:val="-2"/>
                <w:sz w:val="18"/>
              </w:rPr>
              <w:t>wages</w:t>
            </w:r>
          </w:p>
        </w:tc>
        <w:tc>
          <w:tcPr>
            <w:tcW w:w="938" w:type="dxa"/>
            <w:shd w:val="clear" w:color="auto" w:fill="CCEDFF"/>
          </w:tcPr>
          <w:p>
            <w:pPr>
              <w:pStyle w:val="TableParagraph"/>
              <w:spacing w:line="183" w:lineRule="exact"/>
              <w:ind w:left="52"/>
              <w:rPr>
                <w:sz w:val="18"/>
              </w:rPr>
            </w:pPr>
            <w:r>
              <w:rPr>
                <w:sz w:val="18"/>
              </w:rPr>
              <w:t>$</w:t>
            </w:r>
            <w:r>
              <w:rPr>
                <w:spacing w:val="59"/>
                <w:w w:val="150"/>
                <w:sz w:val="18"/>
              </w:rPr>
              <w:t> </w:t>
            </w:r>
            <w:r>
              <w:rPr>
                <w:spacing w:val="-2"/>
                <w:sz w:val="18"/>
              </w:rPr>
              <w:t>1,229</w:t>
            </w:r>
          </w:p>
        </w:tc>
        <w:tc>
          <w:tcPr>
            <w:tcW w:w="953" w:type="dxa"/>
            <w:shd w:val="clear" w:color="auto" w:fill="CCEDFF"/>
          </w:tcPr>
          <w:p>
            <w:pPr>
              <w:pStyle w:val="TableParagraph"/>
              <w:tabs>
                <w:tab w:pos="457" w:val="left" w:leader="none"/>
              </w:tabs>
              <w:spacing w:line="183" w:lineRule="exact"/>
              <w:ind w:left="89"/>
              <w:rPr>
                <w:sz w:val="18"/>
              </w:rPr>
            </w:pPr>
            <w:r>
              <w:rPr>
                <w:spacing w:val="-10"/>
                <w:sz w:val="18"/>
              </w:rPr>
              <w:t>$</w:t>
            </w:r>
            <w:r>
              <w:rPr>
                <w:sz w:val="18"/>
              </w:rPr>
              <w:tab/>
            </w:r>
            <w:r>
              <w:rPr>
                <w:spacing w:val="-5"/>
                <w:sz w:val="18"/>
              </w:rPr>
              <w:t>901</w:t>
            </w:r>
          </w:p>
        </w:tc>
        <w:tc>
          <w:tcPr>
            <w:tcW w:w="976" w:type="dxa"/>
            <w:shd w:val="clear" w:color="auto" w:fill="CCEDFF"/>
          </w:tcPr>
          <w:p>
            <w:pPr>
              <w:pStyle w:val="TableParagraph"/>
              <w:spacing w:line="183" w:lineRule="exact"/>
              <w:ind w:right="74"/>
              <w:jc w:val="right"/>
              <w:rPr>
                <w:sz w:val="18"/>
              </w:rPr>
            </w:pPr>
            <w:r>
              <w:rPr>
                <w:spacing w:val="-5"/>
                <w:sz w:val="18"/>
              </w:rPr>
              <w:t>36%</w:t>
            </w:r>
          </w:p>
        </w:tc>
        <w:tc>
          <w:tcPr>
            <w:tcW w:w="931" w:type="dxa"/>
            <w:shd w:val="clear" w:color="auto" w:fill="CCEDFF"/>
          </w:tcPr>
          <w:p>
            <w:pPr>
              <w:pStyle w:val="TableParagraph"/>
              <w:spacing w:line="183" w:lineRule="exact"/>
              <w:ind w:left="50"/>
              <w:rPr>
                <w:sz w:val="18"/>
              </w:rPr>
            </w:pPr>
            <w:r>
              <w:rPr>
                <w:sz w:val="18"/>
              </w:rPr>
              <w:t>$</w:t>
            </w:r>
            <w:r>
              <w:rPr>
                <w:spacing w:val="59"/>
                <w:w w:val="150"/>
                <w:sz w:val="18"/>
              </w:rPr>
              <w:t> </w:t>
            </w:r>
            <w:r>
              <w:rPr>
                <w:spacing w:val="-2"/>
                <w:sz w:val="18"/>
              </w:rPr>
              <w:t>3,162</w:t>
            </w:r>
          </w:p>
        </w:tc>
        <w:tc>
          <w:tcPr>
            <w:tcW w:w="931" w:type="dxa"/>
            <w:shd w:val="clear" w:color="auto" w:fill="CCEDFF"/>
          </w:tcPr>
          <w:p>
            <w:pPr>
              <w:pStyle w:val="TableParagraph"/>
              <w:spacing w:line="183" w:lineRule="exact"/>
              <w:ind w:left="79"/>
              <w:rPr>
                <w:sz w:val="18"/>
              </w:rPr>
            </w:pPr>
            <w:r>
              <w:rPr>
                <w:sz w:val="18"/>
              </w:rPr>
              <w:t>$</w:t>
            </w:r>
            <w:r>
              <w:rPr>
                <w:spacing w:val="59"/>
                <w:w w:val="150"/>
                <w:sz w:val="18"/>
              </w:rPr>
              <w:t> </w:t>
            </w:r>
            <w:r>
              <w:rPr>
                <w:spacing w:val="-2"/>
                <w:sz w:val="18"/>
              </w:rPr>
              <w:t>2,630</w:t>
            </w:r>
          </w:p>
        </w:tc>
        <w:tc>
          <w:tcPr>
            <w:tcW w:w="961" w:type="dxa"/>
            <w:shd w:val="clear" w:color="auto" w:fill="CCEDFF"/>
          </w:tcPr>
          <w:p>
            <w:pPr>
              <w:pStyle w:val="TableParagraph"/>
              <w:spacing w:line="183" w:lineRule="exact"/>
              <w:ind w:right="77"/>
              <w:jc w:val="right"/>
              <w:rPr>
                <w:sz w:val="18"/>
              </w:rPr>
            </w:pPr>
            <w:r>
              <w:rPr>
                <w:spacing w:val="-5"/>
                <w:sz w:val="18"/>
              </w:rPr>
              <w:t>20%</w:t>
            </w:r>
          </w:p>
        </w:tc>
      </w:tr>
      <w:tr>
        <w:trPr>
          <w:trHeight w:val="240" w:hRule="atLeast"/>
        </w:trPr>
        <w:tc>
          <w:tcPr>
            <w:tcW w:w="4575" w:type="dxa"/>
          </w:tcPr>
          <w:p>
            <w:pPr>
              <w:pStyle w:val="TableParagraph"/>
              <w:spacing w:line="183" w:lineRule="exact"/>
              <w:ind w:left="52"/>
              <w:rPr>
                <w:sz w:val="18"/>
              </w:rPr>
            </w:pPr>
            <w:r>
              <w:rPr>
                <w:sz w:val="18"/>
              </w:rPr>
              <w:t>Incentive </w:t>
            </w:r>
            <w:r>
              <w:rPr>
                <w:spacing w:val="-2"/>
                <w:sz w:val="18"/>
              </w:rPr>
              <w:t>compensation</w:t>
            </w:r>
          </w:p>
        </w:tc>
        <w:tc>
          <w:tcPr>
            <w:tcW w:w="938" w:type="dxa"/>
          </w:tcPr>
          <w:p>
            <w:pPr>
              <w:pStyle w:val="TableParagraph"/>
              <w:spacing w:line="183" w:lineRule="exact"/>
              <w:ind w:left="405"/>
              <w:rPr>
                <w:sz w:val="18"/>
              </w:rPr>
            </w:pPr>
            <w:r>
              <w:rPr>
                <w:spacing w:val="-5"/>
                <w:sz w:val="18"/>
              </w:rPr>
              <w:t>300</w:t>
            </w:r>
          </w:p>
        </w:tc>
        <w:tc>
          <w:tcPr>
            <w:tcW w:w="953" w:type="dxa"/>
          </w:tcPr>
          <w:p>
            <w:pPr>
              <w:pStyle w:val="TableParagraph"/>
              <w:spacing w:line="183" w:lineRule="exact"/>
              <w:ind w:left="457"/>
              <w:rPr>
                <w:sz w:val="18"/>
              </w:rPr>
            </w:pPr>
            <w:r>
              <w:rPr>
                <w:spacing w:val="-5"/>
                <w:sz w:val="18"/>
              </w:rPr>
              <w:t>348</w:t>
            </w:r>
          </w:p>
        </w:tc>
        <w:tc>
          <w:tcPr>
            <w:tcW w:w="976" w:type="dxa"/>
          </w:tcPr>
          <w:p>
            <w:pPr>
              <w:pStyle w:val="TableParagraph"/>
              <w:spacing w:line="183" w:lineRule="exact"/>
              <w:ind w:right="14"/>
              <w:jc w:val="right"/>
              <w:rPr>
                <w:sz w:val="18"/>
              </w:rPr>
            </w:pPr>
            <w:r>
              <w:rPr>
                <w:spacing w:val="-2"/>
                <w:sz w:val="18"/>
              </w:rPr>
              <w:t>(14)%</w:t>
            </w:r>
          </w:p>
        </w:tc>
        <w:tc>
          <w:tcPr>
            <w:tcW w:w="931" w:type="dxa"/>
          </w:tcPr>
          <w:p>
            <w:pPr>
              <w:pStyle w:val="TableParagraph"/>
              <w:spacing w:line="183" w:lineRule="exact"/>
              <w:ind w:left="403"/>
              <w:rPr>
                <w:sz w:val="18"/>
              </w:rPr>
            </w:pPr>
            <w:r>
              <w:rPr>
                <w:spacing w:val="-5"/>
                <w:sz w:val="18"/>
              </w:rPr>
              <w:t>951</w:t>
            </w:r>
          </w:p>
        </w:tc>
        <w:tc>
          <w:tcPr>
            <w:tcW w:w="931" w:type="dxa"/>
          </w:tcPr>
          <w:p>
            <w:pPr>
              <w:pStyle w:val="TableParagraph"/>
              <w:spacing w:line="183" w:lineRule="exact"/>
              <w:ind w:left="297"/>
              <w:rPr>
                <w:sz w:val="18"/>
              </w:rPr>
            </w:pPr>
            <w:r>
              <w:rPr>
                <w:spacing w:val="-2"/>
                <w:sz w:val="18"/>
              </w:rPr>
              <w:t>1,098</w:t>
            </w:r>
          </w:p>
        </w:tc>
        <w:tc>
          <w:tcPr>
            <w:tcW w:w="961" w:type="dxa"/>
          </w:tcPr>
          <w:p>
            <w:pPr>
              <w:pStyle w:val="TableParagraph"/>
              <w:spacing w:line="183" w:lineRule="exact"/>
              <w:ind w:right="17"/>
              <w:jc w:val="right"/>
              <w:rPr>
                <w:sz w:val="18"/>
              </w:rPr>
            </w:pPr>
            <w:r>
              <w:rPr>
                <w:spacing w:val="-2"/>
                <w:sz w:val="18"/>
              </w:rPr>
              <w:t>(13)%</w:t>
            </w:r>
          </w:p>
        </w:tc>
      </w:tr>
      <w:tr>
        <w:trPr>
          <w:trHeight w:val="235" w:hRule="atLeast"/>
        </w:trPr>
        <w:tc>
          <w:tcPr>
            <w:tcW w:w="4575" w:type="dxa"/>
            <w:tcBorders>
              <w:bottom w:val="single" w:sz="4" w:space="0" w:color="000000"/>
            </w:tcBorders>
            <w:shd w:val="clear" w:color="auto" w:fill="CCEDFF"/>
          </w:tcPr>
          <w:p>
            <w:pPr>
              <w:pStyle w:val="TableParagraph"/>
              <w:spacing w:line="183" w:lineRule="exact"/>
              <w:ind w:left="52"/>
              <w:rPr>
                <w:sz w:val="18"/>
              </w:rPr>
            </w:pPr>
            <w:r>
              <w:rPr>
                <w:sz w:val="18"/>
              </w:rPr>
              <w:t>Employee benefits</w:t>
            </w:r>
            <w:r>
              <w:rPr>
                <w:spacing w:val="-1"/>
                <w:sz w:val="18"/>
              </w:rPr>
              <w:t> </w:t>
            </w:r>
            <w:r>
              <w:rPr>
                <w:sz w:val="18"/>
              </w:rPr>
              <w:t>and </w:t>
            </w:r>
            <w:r>
              <w:rPr>
                <w:spacing w:val="-2"/>
                <w:sz w:val="18"/>
              </w:rPr>
              <w:t>other</w:t>
            </w:r>
          </w:p>
        </w:tc>
        <w:tc>
          <w:tcPr>
            <w:tcW w:w="938" w:type="dxa"/>
            <w:tcBorders>
              <w:bottom w:val="single" w:sz="4" w:space="0" w:color="000000"/>
            </w:tcBorders>
            <w:shd w:val="clear" w:color="auto" w:fill="CCEDFF"/>
          </w:tcPr>
          <w:p>
            <w:pPr>
              <w:pStyle w:val="TableParagraph"/>
              <w:spacing w:line="183" w:lineRule="exact"/>
              <w:ind w:left="405"/>
              <w:rPr>
                <w:sz w:val="18"/>
              </w:rPr>
            </w:pPr>
            <w:r>
              <w:rPr>
                <w:spacing w:val="-5"/>
                <w:sz w:val="18"/>
              </w:rPr>
              <w:t>241</w:t>
            </w:r>
          </w:p>
        </w:tc>
        <w:tc>
          <w:tcPr>
            <w:tcW w:w="953" w:type="dxa"/>
            <w:tcBorders>
              <w:bottom w:val="single" w:sz="4" w:space="0" w:color="000000"/>
            </w:tcBorders>
            <w:shd w:val="clear" w:color="auto" w:fill="CCEDFF"/>
          </w:tcPr>
          <w:p>
            <w:pPr>
              <w:pStyle w:val="TableParagraph"/>
              <w:spacing w:line="183" w:lineRule="exact"/>
              <w:ind w:left="457"/>
              <w:rPr>
                <w:sz w:val="18"/>
              </w:rPr>
            </w:pPr>
            <w:r>
              <w:rPr>
                <w:spacing w:val="-5"/>
                <w:sz w:val="18"/>
              </w:rPr>
              <w:t>227</w:t>
            </w:r>
          </w:p>
        </w:tc>
        <w:tc>
          <w:tcPr>
            <w:tcW w:w="976" w:type="dxa"/>
            <w:tcBorders>
              <w:bottom w:val="single" w:sz="4" w:space="0" w:color="000000"/>
            </w:tcBorders>
            <w:shd w:val="clear" w:color="auto" w:fill="CCEDFF"/>
          </w:tcPr>
          <w:p>
            <w:pPr>
              <w:pStyle w:val="TableParagraph"/>
              <w:spacing w:line="183" w:lineRule="exact"/>
              <w:ind w:right="74"/>
              <w:jc w:val="right"/>
              <w:rPr>
                <w:sz w:val="18"/>
              </w:rPr>
            </w:pPr>
            <w:r>
              <w:rPr>
                <w:spacing w:val="-5"/>
                <w:sz w:val="18"/>
              </w:rPr>
              <w:t>6%</w:t>
            </w:r>
          </w:p>
        </w:tc>
        <w:tc>
          <w:tcPr>
            <w:tcW w:w="931" w:type="dxa"/>
            <w:tcBorders>
              <w:bottom w:val="single" w:sz="4" w:space="0" w:color="000000"/>
            </w:tcBorders>
            <w:shd w:val="clear" w:color="auto" w:fill="CCEDFF"/>
          </w:tcPr>
          <w:p>
            <w:pPr>
              <w:pStyle w:val="TableParagraph"/>
              <w:spacing w:line="183" w:lineRule="exact"/>
              <w:ind w:left="403"/>
              <w:rPr>
                <w:sz w:val="18"/>
              </w:rPr>
            </w:pPr>
            <w:r>
              <w:rPr>
                <w:spacing w:val="-5"/>
                <w:sz w:val="18"/>
              </w:rPr>
              <w:t>793</w:t>
            </w:r>
          </w:p>
        </w:tc>
        <w:tc>
          <w:tcPr>
            <w:tcW w:w="931" w:type="dxa"/>
            <w:tcBorders>
              <w:bottom w:val="single" w:sz="4" w:space="0" w:color="000000"/>
            </w:tcBorders>
            <w:shd w:val="clear" w:color="auto" w:fill="CCEDFF"/>
          </w:tcPr>
          <w:p>
            <w:pPr>
              <w:pStyle w:val="TableParagraph"/>
              <w:spacing w:line="183" w:lineRule="exact"/>
              <w:ind w:left="432"/>
              <w:rPr>
                <w:sz w:val="18"/>
              </w:rPr>
            </w:pPr>
            <w:r>
              <w:rPr>
                <w:spacing w:val="-5"/>
                <w:sz w:val="18"/>
              </w:rPr>
              <w:t>720</w:t>
            </w:r>
          </w:p>
        </w:tc>
        <w:tc>
          <w:tcPr>
            <w:tcW w:w="961" w:type="dxa"/>
            <w:tcBorders>
              <w:bottom w:val="single" w:sz="4" w:space="0" w:color="000000"/>
            </w:tcBorders>
            <w:shd w:val="clear" w:color="auto" w:fill="CCEDFF"/>
          </w:tcPr>
          <w:p>
            <w:pPr>
              <w:pStyle w:val="TableParagraph"/>
              <w:spacing w:line="183" w:lineRule="exact"/>
              <w:ind w:right="77"/>
              <w:jc w:val="right"/>
              <w:rPr>
                <w:sz w:val="18"/>
              </w:rPr>
            </w:pPr>
            <w:r>
              <w:rPr>
                <w:spacing w:val="-5"/>
                <w:sz w:val="18"/>
              </w:rPr>
              <w:t>10%</w:t>
            </w:r>
          </w:p>
        </w:tc>
      </w:tr>
      <w:tr>
        <w:trPr>
          <w:trHeight w:val="205" w:hRule="atLeast"/>
        </w:trPr>
        <w:tc>
          <w:tcPr>
            <w:tcW w:w="4575" w:type="dxa"/>
            <w:tcBorders>
              <w:top w:val="single" w:sz="4" w:space="0" w:color="000000"/>
              <w:bottom w:val="double" w:sz="8" w:space="0" w:color="000000"/>
            </w:tcBorders>
          </w:tcPr>
          <w:p>
            <w:pPr>
              <w:pStyle w:val="TableParagraph"/>
              <w:spacing w:line="178" w:lineRule="exact"/>
              <w:ind w:left="187"/>
              <w:rPr>
                <w:sz w:val="18"/>
              </w:rPr>
            </w:pPr>
            <w:r>
              <w:rPr>
                <w:sz w:val="18"/>
              </w:rPr>
              <w:t>Total</w:t>
            </w:r>
            <w:r>
              <w:rPr>
                <w:spacing w:val="-3"/>
                <w:sz w:val="18"/>
              </w:rPr>
              <w:t> </w:t>
            </w:r>
            <w:r>
              <w:rPr>
                <w:sz w:val="18"/>
              </w:rPr>
              <w:t>compensation and </w:t>
            </w:r>
            <w:r>
              <w:rPr>
                <w:spacing w:val="-2"/>
                <w:sz w:val="18"/>
              </w:rPr>
              <w:t>benefits</w:t>
            </w:r>
          </w:p>
        </w:tc>
        <w:tc>
          <w:tcPr>
            <w:tcW w:w="938" w:type="dxa"/>
            <w:tcBorders>
              <w:top w:val="single" w:sz="4" w:space="0" w:color="000000"/>
              <w:bottom w:val="double" w:sz="8" w:space="0" w:color="000000"/>
            </w:tcBorders>
          </w:tcPr>
          <w:p>
            <w:pPr>
              <w:pStyle w:val="TableParagraph"/>
              <w:spacing w:line="178" w:lineRule="exact"/>
              <w:ind w:left="52"/>
              <w:rPr>
                <w:sz w:val="18"/>
              </w:rPr>
            </w:pPr>
            <w:r>
              <w:rPr>
                <w:sz w:val="18"/>
              </w:rPr>
              <w:t>$</w:t>
            </w:r>
            <w:r>
              <w:rPr>
                <w:spacing w:val="59"/>
                <w:w w:val="150"/>
                <w:sz w:val="18"/>
              </w:rPr>
              <w:t> </w:t>
            </w:r>
            <w:r>
              <w:rPr>
                <w:spacing w:val="-2"/>
                <w:sz w:val="18"/>
              </w:rPr>
              <w:t>1,770</w:t>
            </w:r>
          </w:p>
        </w:tc>
        <w:tc>
          <w:tcPr>
            <w:tcW w:w="953" w:type="dxa"/>
            <w:tcBorders>
              <w:top w:val="single" w:sz="4" w:space="0" w:color="000000"/>
              <w:bottom w:val="double" w:sz="8" w:space="0" w:color="000000"/>
            </w:tcBorders>
          </w:tcPr>
          <w:p>
            <w:pPr>
              <w:pStyle w:val="TableParagraph"/>
              <w:spacing w:line="178" w:lineRule="exact"/>
              <w:ind w:left="89"/>
              <w:rPr>
                <w:sz w:val="18"/>
              </w:rPr>
            </w:pPr>
            <w:r>
              <w:rPr>
                <w:sz w:val="18"/>
              </w:rPr>
              <w:t>$</w:t>
            </w:r>
            <w:r>
              <w:rPr>
                <w:spacing w:val="74"/>
                <w:w w:val="150"/>
                <w:sz w:val="18"/>
              </w:rPr>
              <w:t> </w:t>
            </w:r>
            <w:r>
              <w:rPr>
                <w:spacing w:val="-2"/>
                <w:sz w:val="18"/>
              </w:rPr>
              <w:t>1,476</w:t>
            </w:r>
          </w:p>
        </w:tc>
        <w:tc>
          <w:tcPr>
            <w:tcW w:w="976" w:type="dxa"/>
            <w:tcBorders>
              <w:top w:val="single" w:sz="4" w:space="0" w:color="000000"/>
              <w:bottom w:val="double" w:sz="8" w:space="0" w:color="000000"/>
            </w:tcBorders>
          </w:tcPr>
          <w:p>
            <w:pPr>
              <w:pStyle w:val="TableParagraph"/>
              <w:spacing w:line="178" w:lineRule="exact"/>
              <w:ind w:right="74"/>
              <w:jc w:val="right"/>
              <w:rPr>
                <w:sz w:val="18"/>
              </w:rPr>
            </w:pPr>
            <w:r>
              <w:rPr>
                <w:spacing w:val="-5"/>
                <w:sz w:val="18"/>
              </w:rPr>
              <w:t>20%</w:t>
            </w:r>
          </w:p>
        </w:tc>
        <w:tc>
          <w:tcPr>
            <w:tcW w:w="931" w:type="dxa"/>
            <w:tcBorders>
              <w:top w:val="single" w:sz="4" w:space="0" w:color="000000"/>
              <w:bottom w:val="double" w:sz="8" w:space="0" w:color="000000"/>
            </w:tcBorders>
          </w:tcPr>
          <w:p>
            <w:pPr>
              <w:pStyle w:val="TableParagraph"/>
              <w:spacing w:line="178" w:lineRule="exact"/>
              <w:ind w:left="50"/>
              <w:rPr>
                <w:sz w:val="18"/>
              </w:rPr>
            </w:pPr>
            <w:r>
              <w:rPr>
                <w:sz w:val="18"/>
              </w:rPr>
              <w:t>$</w:t>
            </w:r>
            <w:r>
              <w:rPr>
                <w:spacing w:val="59"/>
                <w:w w:val="150"/>
                <w:sz w:val="18"/>
              </w:rPr>
              <w:t> </w:t>
            </w:r>
            <w:r>
              <w:rPr>
                <w:spacing w:val="-2"/>
                <w:sz w:val="18"/>
              </w:rPr>
              <w:t>4,906</w:t>
            </w:r>
          </w:p>
        </w:tc>
        <w:tc>
          <w:tcPr>
            <w:tcW w:w="931" w:type="dxa"/>
            <w:tcBorders>
              <w:top w:val="single" w:sz="4" w:space="0" w:color="000000"/>
              <w:bottom w:val="double" w:sz="8" w:space="0" w:color="000000"/>
            </w:tcBorders>
          </w:tcPr>
          <w:p>
            <w:pPr>
              <w:pStyle w:val="TableParagraph"/>
              <w:spacing w:line="178" w:lineRule="exact"/>
              <w:ind w:left="79"/>
              <w:rPr>
                <w:sz w:val="18"/>
              </w:rPr>
            </w:pPr>
            <w:r>
              <w:rPr>
                <w:sz w:val="18"/>
              </w:rPr>
              <w:t>$</w:t>
            </w:r>
            <w:r>
              <w:rPr>
                <w:spacing w:val="59"/>
                <w:w w:val="150"/>
                <w:sz w:val="18"/>
              </w:rPr>
              <w:t> </w:t>
            </w:r>
            <w:r>
              <w:rPr>
                <w:spacing w:val="-2"/>
                <w:sz w:val="18"/>
              </w:rPr>
              <w:t>4,448</w:t>
            </w:r>
          </w:p>
        </w:tc>
        <w:tc>
          <w:tcPr>
            <w:tcW w:w="961" w:type="dxa"/>
            <w:tcBorders>
              <w:top w:val="single" w:sz="4" w:space="0" w:color="000000"/>
              <w:bottom w:val="double" w:sz="8" w:space="0" w:color="000000"/>
            </w:tcBorders>
          </w:tcPr>
          <w:p>
            <w:pPr>
              <w:pStyle w:val="TableParagraph"/>
              <w:spacing w:line="178" w:lineRule="exact"/>
              <w:ind w:right="77"/>
              <w:jc w:val="right"/>
              <w:rPr>
                <w:sz w:val="18"/>
              </w:rPr>
            </w:pPr>
            <w:r>
              <w:rPr>
                <w:spacing w:val="-5"/>
                <w:sz w:val="18"/>
              </w:rPr>
              <w:t>10%</w:t>
            </w:r>
          </w:p>
        </w:tc>
      </w:tr>
      <w:tr>
        <w:trPr>
          <w:trHeight w:val="210" w:hRule="atLeast"/>
        </w:trPr>
        <w:tc>
          <w:tcPr>
            <w:tcW w:w="4575" w:type="dxa"/>
            <w:tcBorders>
              <w:top w:val="double" w:sz="8" w:space="0" w:color="000000"/>
            </w:tcBorders>
            <w:shd w:val="clear" w:color="auto" w:fill="CCEDFF"/>
          </w:tcPr>
          <w:p>
            <w:pPr>
              <w:pStyle w:val="TableParagraph"/>
              <w:spacing w:line="156" w:lineRule="exact"/>
              <w:ind w:left="52"/>
              <w:rPr>
                <w:sz w:val="18"/>
              </w:rPr>
            </w:pPr>
            <w:r>
              <w:rPr>
                <w:sz w:val="18"/>
              </w:rPr>
              <w:t>Professional</w:t>
            </w:r>
            <w:r>
              <w:rPr>
                <w:spacing w:val="-5"/>
                <w:sz w:val="18"/>
              </w:rPr>
              <w:t> </w:t>
            </w:r>
            <w:r>
              <w:rPr>
                <w:spacing w:val="-2"/>
                <w:sz w:val="18"/>
              </w:rPr>
              <w:t>services</w:t>
            </w:r>
          </w:p>
        </w:tc>
        <w:tc>
          <w:tcPr>
            <w:tcW w:w="938" w:type="dxa"/>
            <w:tcBorders>
              <w:top w:val="double" w:sz="8" w:space="0" w:color="000000"/>
            </w:tcBorders>
            <w:shd w:val="clear" w:color="auto" w:fill="CCEDFF"/>
          </w:tcPr>
          <w:p>
            <w:pPr>
              <w:pStyle w:val="TableParagraph"/>
              <w:spacing w:line="153" w:lineRule="exact"/>
              <w:ind w:left="405"/>
              <w:rPr>
                <w:sz w:val="18"/>
              </w:rPr>
            </w:pPr>
            <w:r>
              <w:rPr>
                <w:spacing w:val="-5"/>
                <w:sz w:val="18"/>
              </w:rPr>
              <w:t>275</w:t>
            </w:r>
          </w:p>
        </w:tc>
        <w:tc>
          <w:tcPr>
            <w:tcW w:w="953" w:type="dxa"/>
            <w:tcBorders>
              <w:top w:val="double" w:sz="8" w:space="0" w:color="000000"/>
            </w:tcBorders>
            <w:shd w:val="clear" w:color="auto" w:fill="CCEDFF"/>
          </w:tcPr>
          <w:p>
            <w:pPr>
              <w:pStyle w:val="TableParagraph"/>
              <w:spacing w:line="153" w:lineRule="exact"/>
              <w:ind w:left="457"/>
              <w:rPr>
                <w:sz w:val="18"/>
              </w:rPr>
            </w:pPr>
            <w:r>
              <w:rPr>
                <w:spacing w:val="-5"/>
                <w:sz w:val="18"/>
              </w:rPr>
              <w:t>264</w:t>
            </w:r>
          </w:p>
        </w:tc>
        <w:tc>
          <w:tcPr>
            <w:tcW w:w="976" w:type="dxa"/>
            <w:tcBorders>
              <w:top w:val="double" w:sz="8" w:space="0" w:color="000000"/>
            </w:tcBorders>
            <w:shd w:val="clear" w:color="auto" w:fill="CCEDFF"/>
          </w:tcPr>
          <w:p>
            <w:pPr>
              <w:pStyle w:val="TableParagraph"/>
              <w:spacing w:line="153" w:lineRule="exact"/>
              <w:ind w:right="74"/>
              <w:jc w:val="right"/>
              <w:rPr>
                <w:sz w:val="18"/>
              </w:rPr>
            </w:pPr>
            <w:r>
              <w:rPr>
                <w:spacing w:val="-5"/>
                <w:sz w:val="18"/>
              </w:rPr>
              <w:t>4%</w:t>
            </w:r>
          </w:p>
        </w:tc>
        <w:tc>
          <w:tcPr>
            <w:tcW w:w="931" w:type="dxa"/>
            <w:tcBorders>
              <w:top w:val="double" w:sz="8" w:space="0" w:color="000000"/>
            </w:tcBorders>
            <w:shd w:val="clear" w:color="auto" w:fill="CCEDFF"/>
          </w:tcPr>
          <w:p>
            <w:pPr>
              <w:pStyle w:val="TableParagraph"/>
              <w:spacing w:line="153" w:lineRule="exact"/>
              <w:ind w:left="403"/>
              <w:rPr>
                <w:sz w:val="18"/>
              </w:rPr>
            </w:pPr>
            <w:r>
              <w:rPr>
                <w:spacing w:val="-5"/>
                <w:sz w:val="18"/>
              </w:rPr>
              <w:t>805</w:t>
            </w:r>
          </w:p>
        </w:tc>
        <w:tc>
          <w:tcPr>
            <w:tcW w:w="931" w:type="dxa"/>
            <w:tcBorders>
              <w:top w:val="double" w:sz="8" w:space="0" w:color="000000"/>
            </w:tcBorders>
            <w:shd w:val="clear" w:color="auto" w:fill="CCEDFF"/>
          </w:tcPr>
          <w:p>
            <w:pPr>
              <w:pStyle w:val="TableParagraph"/>
              <w:spacing w:line="153" w:lineRule="exact"/>
              <w:ind w:left="432"/>
              <w:rPr>
                <w:sz w:val="18"/>
              </w:rPr>
            </w:pPr>
            <w:r>
              <w:rPr>
                <w:spacing w:val="-5"/>
                <w:sz w:val="18"/>
              </w:rPr>
              <w:t>766</w:t>
            </w:r>
          </w:p>
        </w:tc>
        <w:tc>
          <w:tcPr>
            <w:tcW w:w="961" w:type="dxa"/>
            <w:tcBorders>
              <w:top w:val="double" w:sz="8" w:space="0" w:color="000000"/>
            </w:tcBorders>
            <w:shd w:val="clear" w:color="auto" w:fill="CCEDFF"/>
          </w:tcPr>
          <w:p>
            <w:pPr>
              <w:pStyle w:val="TableParagraph"/>
              <w:spacing w:line="153" w:lineRule="exact"/>
              <w:ind w:right="77"/>
              <w:jc w:val="right"/>
              <w:rPr>
                <w:sz w:val="18"/>
              </w:rPr>
            </w:pPr>
            <w:r>
              <w:rPr>
                <w:spacing w:val="-5"/>
                <w:sz w:val="18"/>
              </w:rPr>
              <w:t>5%</w:t>
            </w:r>
          </w:p>
        </w:tc>
      </w:tr>
      <w:tr>
        <w:trPr>
          <w:trHeight w:val="240" w:hRule="atLeast"/>
        </w:trPr>
        <w:tc>
          <w:tcPr>
            <w:tcW w:w="4575" w:type="dxa"/>
          </w:tcPr>
          <w:p>
            <w:pPr>
              <w:pStyle w:val="TableParagraph"/>
              <w:spacing w:line="183" w:lineRule="exact"/>
              <w:ind w:left="52"/>
              <w:rPr>
                <w:sz w:val="18"/>
              </w:rPr>
            </w:pPr>
            <w:r>
              <w:rPr>
                <w:sz w:val="18"/>
              </w:rPr>
              <w:t>Occupancy</w:t>
            </w:r>
            <w:r>
              <w:rPr>
                <w:spacing w:val="-1"/>
                <w:sz w:val="18"/>
              </w:rPr>
              <w:t> </w:t>
            </w:r>
            <w:r>
              <w:rPr>
                <w:sz w:val="18"/>
              </w:rPr>
              <w:t>and </w:t>
            </w:r>
            <w:r>
              <w:rPr>
                <w:spacing w:val="-2"/>
                <w:sz w:val="18"/>
              </w:rPr>
              <w:t>equipment</w:t>
            </w:r>
          </w:p>
        </w:tc>
        <w:tc>
          <w:tcPr>
            <w:tcW w:w="938" w:type="dxa"/>
          </w:tcPr>
          <w:p>
            <w:pPr>
              <w:pStyle w:val="TableParagraph"/>
              <w:spacing w:line="183" w:lineRule="exact"/>
              <w:ind w:left="405"/>
              <w:rPr>
                <w:sz w:val="18"/>
              </w:rPr>
            </w:pPr>
            <w:r>
              <w:rPr>
                <w:spacing w:val="-5"/>
                <w:sz w:val="18"/>
              </w:rPr>
              <w:t>305</w:t>
            </w:r>
          </w:p>
        </w:tc>
        <w:tc>
          <w:tcPr>
            <w:tcW w:w="953" w:type="dxa"/>
          </w:tcPr>
          <w:p>
            <w:pPr>
              <w:pStyle w:val="TableParagraph"/>
              <w:spacing w:line="183" w:lineRule="exact"/>
              <w:ind w:left="457"/>
              <w:rPr>
                <w:sz w:val="18"/>
              </w:rPr>
            </w:pPr>
            <w:r>
              <w:rPr>
                <w:spacing w:val="-5"/>
                <w:sz w:val="18"/>
              </w:rPr>
              <w:t>292</w:t>
            </w:r>
          </w:p>
        </w:tc>
        <w:tc>
          <w:tcPr>
            <w:tcW w:w="976" w:type="dxa"/>
          </w:tcPr>
          <w:p>
            <w:pPr>
              <w:pStyle w:val="TableParagraph"/>
              <w:spacing w:line="183" w:lineRule="exact"/>
              <w:ind w:right="74"/>
              <w:jc w:val="right"/>
              <w:rPr>
                <w:sz w:val="18"/>
              </w:rPr>
            </w:pPr>
            <w:r>
              <w:rPr>
                <w:spacing w:val="-5"/>
                <w:sz w:val="18"/>
              </w:rPr>
              <w:t>4%</w:t>
            </w:r>
          </w:p>
        </w:tc>
        <w:tc>
          <w:tcPr>
            <w:tcW w:w="931" w:type="dxa"/>
          </w:tcPr>
          <w:p>
            <w:pPr>
              <w:pStyle w:val="TableParagraph"/>
              <w:spacing w:line="183" w:lineRule="exact"/>
              <w:ind w:left="403"/>
              <w:rPr>
                <w:sz w:val="18"/>
              </w:rPr>
            </w:pPr>
            <w:r>
              <w:rPr>
                <w:spacing w:val="-5"/>
                <w:sz w:val="18"/>
              </w:rPr>
              <w:t>923</w:t>
            </w:r>
          </w:p>
        </w:tc>
        <w:tc>
          <w:tcPr>
            <w:tcW w:w="931" w:type="dxa"/>
          </w:tcPr>
          <w:p>
            <w:pPr>
              <w:pStyle w:val="TableParagraph"/>
              <w:spacing w:line="183" w:lineRule="exact"/>
              <w:ind w:left="432"/>
              <w:rPr>
                <w:sz w:val="18"/>
              </w:rPr>
            </w:pPr>
            <w:r>
              <w:rPr>
                <w:spacing w:val="-5"/>
                <w:sz w:val="18"/>
              </w:rPr>
              <w:t>855</w:t>
            </w:r>
          </w:p>
        </w:tc>
        <w:tc>
          <w:tcPr>
            <w:tcW w:w="961" w:type="dxa"/>
          </w:tcPr>
          <w:p>
            <w:pPr>
              <w:pStyle w:val="TableParagraph"/>
              <w:spacing w:line="183" w:lineRule="exact"/>
              <w:ind w:right="77"/>
              <w:jc w:val="right"/>
              <w:rPr>
                <w:sz w:val="18"/>
              </w:rPr>
            </w:pPr>
            <w:r>
              <w:rPr>
                <w:spacing w:val="-5"/>
                <w:sz w:val="18"/>
              </w:rPr>
              <w:t>8%</w:t>
            </w:r>
          </w:p>
        </w:tc>
      </w:tr>
      <w:tr>
        <w:trPr>
          <w:trHeight w:val="240" w:hRule="atLeast"/>
        </w:trPr>
        <w:tc>
          <w:tcPr>
            <w:tcW w:w="4575" w:type="dxa"/>
            <w:shd w:val="clear" w:color="auto" w:fill="CCEDFF"/>
          </w:tcPr>
          <w:p>
            <w:pPr>
              <w:pStyle w:val="TableParagraph"/>
              <w:spacing w:line="183" w:lineRule="exact"/>
              <w:ind w:left="52"/>
              <w:rPr>
                <w:sz w:val="18"/>
              </w:rPr>
            </w:pPr>
            <w:r>
              <w:rPr>
                <w:sz w:val="18"/>
              </w:rPr>
              <w:t>Advertising</w:t>
            </w:r>
            <w:r>
              <w:rPr>
                <w:spacing w:val="-3"/>
                <w:sz w:val="18"/>
              </w:rPr>
              <w:t> </w:t>
            </w:r>
            <w:r>
              <w:rPr>
                <w:sz w:val="18"/>
              </w:rPr>
              <w:t>and</w:t>
            </w:r>
            <w:r>
              <w:rPr>
                <w:spacing w:val="-1"/>
                <w:sz w:val="18"/>
              </w:rPr>
              <w:t> </w:t>
            </w:r>
            <w:r>
              <w:rPr>
                <w:sz w:val="18"/>
              </w:rPr>
              <w:t>market </w:t>
            </w:r>
            <w:r>
              <w:rPr>
                <w:spacing w:val="-2"/>
                <w:sz w:val="18"/>
              </w:rPr>
              <w:t>development</w:t>
            </w:r>
          </w:p>
        </w:tc>
        <w:tc>
          <w:tcPr>
            <w:tcW w:w="938" w:type="dxa"/>
            <w:shd w:val="clear" w:color="auto" w:fill="CCEDFF"/>
          </w:tcPr>
          <w:p>
            <w:pPr>
              <w:pStyle w:val="TableParagraph"/>
              <w:spacing w:line="183" w:lineRule="exact"/>
              <w:ind w:left="405"/>
              <w:rPr>
                <w:sz w:val="18"/>
              </w:rPr>
            </w:pPr>
            <w:r>
              <w:rPr>
                <w:spacing w:val="-5"/>
                <w:sz w:val="18"/>
              </w:rPr>
              <w:t>102</w:t>
            </w:r>
          </w:p>
        </w:tc>
        <w:tc>
          <w:tcPr>
            <w:tcW w:w="953" w:type="dxa"/>
            <w:shd w:val="clear" w:color="auto" w:fill="CCEDFF"/>
          </w:tcPr>
          <w:p>
            <w:pPr>
              <w:pStyle w:val="TableParagraph"/>
              <w:spacing w:line="183" w:lineRule="exact"/>
              <w:ind w:left="547"/>
              <w:rPr>
                <w:sz w:val="18"/>
              </w:rPr>
            </w:pPr>
            <w:r>
              <w:rPr>
                <w:spacing w:val="-5"/>
                <w:sz w:val="18"/>
              </w:rPr>
              <w:t>89</w:t>
            </w:r>
          </w:p>
        </w:tc>
        <w:tc>
          <w:tcPr>
            <w:tcW w:w="976" w:type="dxa"/>
            <w:shd w:val="clear" w:color="auto" w:fill="CCEDFF"/>
          </w:tcPr>
          <w:p>
            <w:pPr>
              <w:pStyle w:val="TableParagraph"/>
              <w:spacing w:line="183" w:lineRule="exact"/>
              <w:ind w:right="74"/>
              <w:jc w:val="right"/>
              <w:rPr>
                <w:sz w:val="18"/>
              </w:rPr>
            </w:pPr>
            <w:r>
              <w:rPr>
                <w:spacing w:val="-5"/>
                <w:sz w:val="18"/>
              </w:rPr>
              <w:t>15%</w:t>
            </w:r>
          </w:p>
        </w:tc>
        <w:tc>
          <w:tcPr>
            <w:tcW w:w="931" w:type="dxa"/>
            <w:shd w:val="clear" w:color="auto" w:fill="CCEDFF"/>
          </w:tcPr>
          <w:p>
            <w:pPr>
              <w:pStyle w:val="TableParagraph"/>
              <w:spacing w:line="183" w:lineRule="exact"/>
              <w:ind w:left="403"/>
              <w:rPr>
                <w:sz w:val="18"/>
              </w:rPr>
            </w:pPr>
            <w:r>
              <w:rPr>
                <w:spacing w:val="-5"/>
                <w:sz w:val="18"/>
              </w:rPr>
              <w:t>293</w:t>
            </w:r>
          </w:p>
        </w:tc>
        <w:tc>
          <w:tcPr>
            <w:tcW w:w="931" w:type="dxa"/>
            <w:shd w:val="clear" w:color="auto" w:fill="CCEDFF"/>
          </w:tcPr>
          <w:p>
            <w:pPr>
              <w:pStyle w:val="TableParagraph"/>
              <w:spacing w:line="183" w:lineRule="exact"/>
              <w:ind w:left="432"/>
              <w:rPr>
                <w:sz w:val="18"/>
              </w:rPr>
            </w:pPr>
            <w:r>
              <w:rPr>
                <w:spacing w:val="-5"/>
                <w:sz w:val="18"/>
              </w:rPr>
              <w:t>296</w:t>
            </w:r>
          </w:p>
        </w:tc>
        <w:tc>
          <w:tcPr>
            <w:tcW w:w="961" w:type="dxa"/>
            <w:shd w:val="clear" w:color="auto" w:fill="CCEDFF"/>
          </w:tcPr>
          <w:p>
            <w:pPr>
              <w:pStyle w:val="TableParagraph"/>
              <w:spacing w:line="183" w:lineRule="exact"/>
              <w:ind w:right="17"/>
              <w:jc w:val="right"/>
              <w:rPr>
                <w:sz w:val="18"/>
              </w:rPr>
            </w:pPr>
            <w:r>
              <w:rPr>
                <w:spacing w:val="-4"/>
                <w:sz w:val="18"/>
              </w:rPr>
              <w:t>(1)%</w:t>
            </w:r>
          </w:p>
        </w:tc>
      </w:tr>
      <w:tr>
        <w:trPr>
          <w:trHeight w:val="240" w:hRule="atLeast"/>
        </w:trPr>
        <w:tc>
          <w:tcPr>
            <w:tcW w:w="4575" w:type="dxa"/>
          </w:tcPr>
          <w:p>
            <w:pPr>
              <w:pStyle w:val="TableParagraph"/>
              <w:spacing w:line="183" w:lineRule="exact"/>
              <w:ind w:left="52"/>
              <w:rPr>
                <w:sz w:val="18"/>
              </w:rPr>
            </w:pPr>
            <w:r>
              <w:rPr>
                <w:spacing w:val="-2"/>
                <w:sz w:val="18"/>
              </w:rPr>
              <w:t>Communications</w:t>
            </w:r>
          </w:p>
        </w:tc>
        <w:tc>
          <w:tcPr>
            <w:tcW w:w="938" w:type="dxa"/>
          </w:tcPr>
          <w:p>
            <w:pPr>
              <w:pStyle w:val="TableParagraph"/>
              <w:spacing w:line="183" w:lineRule="exact"/>
              <w:ind w:left="405"/>
              <w:rPr>
                <w:sz w:val="18"/>
              </w:rPr>
            </w:pPr>
            <w:r>
              <w:rPr>
                <w:spacing w:val="-5"/>
                <w:sz w:val="18"/>
              </w:rPr>
              <w:t>151</w:t>
            </w:r>
          </w:p>
        </w:tc>
        <w:tc>
          <w:tcPr>
            <w:tcW w:w="953" w:type="dxa"/>
          </w:tcPr>
          <w:p>
            <w:pPr>
              <w:pStyle w:val="TableParagraph"/>
              <w:spacing w:line="183" w:lineRule="exact"/>
              <w:ind w:left="457"/>
              <w:rPr>
                <w:sz w:val="18"/>
              </w:rPr>
            </w:pPr>
            <w:r>
              <w:rPr>
                <w:spacing w:val="-5"/>
                <w:sz w:val="18"/>
              </w:rPr>
              <w:t>131</w:t>
            </w:r>
          </w:p>
        </w:tc>
        <w:tc>
          <w:tcPr>
            <w:tcW w:w="976" w:type="dxa"/>
          </w:tcPr>
          <w:p>
            <w:pPr>
              <w:pStyle w:val="TableParagraph"/>
              <w:spacing w:line="183" w:lineRule="exact"/>
              <w:ind w:right="74"/>
              <w:jc w:val="right"/>
              <w:rPr>
                <w:sz w:val="18"/>
              </w:rPr>
            </w:pPr>
            <w:r>
              <w:rPr>
                <w:spacing w:val="-5"/>
                <w:sz w:val="18"/>
              </w:rPr>
              <w:t>15%</w:t>
            </w:r>
          </w:p>
        </w:tc>
        <w:tc>
          <w:tcPr>
            <w:tcW w:w="931" w:type="dxa"/>
          </w:tcPr>
          <w:p>
            <w:pPr>
              <w:pStyle w:val="TableParagraph"/>
              <w:spacing w:line="183" w:lineRule="exact"/>
              <w:ind w:left="403"/>
              <w:rPr>
                <w:sz w:val="18"/>
              </w:rPr>
            </w:pPr>
            <w:r>
              <w:rPr>
                <w:spacing w:val="-5"/>
                <w:sz w:val="18"/>
              </w:rPr>
              <w:t>485</w:t>
            </w:r>
          </w:p>
        </w:tc>
        <w:tc>
          <w:tcPr>
            <w:tcW w:w="931" w:type="dxa"/>
          </w:tcPr>
          <w:p>
            <w:pPr>
              <w:pStyle w:val="TableParagraph"/>
              <w:spacing w:line="183" w:lineRule="exact"/>
              <w:ind w:left="432"/>
              <w:rPr>
                <w:sz w:val="18"/>
              </w:rPr>
            </w:pPr>
            <w:r>
              <w:rPr>
                <w:spacing w:val="-5"/>
                <w:sz w:val="18"/>
              </w:rPr>
              <w:t>444</w:t>
            </w:r>
          </w:p>
        </w:tc>
        <w:tc>
          <w:tcPr>
            <w:tcW w:w="961" w:type="dxa"/>
          </w:tcPr>
          <w:p>
            <w:pPr>
              <w:pStyle w:val="TableParagraph"/>
              <w:spacing w:line="183" w:lineRule="exact"/>
              <w:ind w:right="77"/>
              <w:jc w:val="right"/>
              <w:rPr>
                <w:sz w:val="18"/>
              </w:rPr>
            </w:pPr>
            <w:r>
              <w:rPr>
                <w:spacing w:val="-5"/>
                <w:sz w:val="18"/>
              </w:rPr>
              <w:t>9%</w:t>
            </w:r>
          </w:p>
        </w:tc>
      </w:tr>
      <w:tr>
        <w:trPr>
          <w:trHeight w:val="240" w:hRule="atLeast"/>
        </w:trPr>
        <w:tc>
          <w:tcPr>
            <w:tcW w:w="4575" w:type="dxa"/>
            <w:shd w:val="clear" w:color="auto" w:fill="CCEDFF"/>
          </w:tcPr>
          <w:p>
            <w:pPr>
              <w:pStyle w:val="TableParagraph"/>
              <w:spacing w:line="183" w:lineRule="exact"/>
              <w:ind w:left="52"/>
              <w:rPr>
                <w:sz w:val="18"/>
              </w:rPr>
            </w:pPr>
            <w:r>
              <w:rPr>
                <w:sz w:val="18"/>
              </w:rPr>
              <w:t>Depreciation</w:t>
            </w:r>
            <w:r>
              <w:rPr>
                <w:spacing w:val="-3"/>
                <w:sz w:val="18"/>
              </w:rPr>
              <w:t> </w:t>
            </w:r>
            <w:r>
              <w:rPr>
                <w:sz w:val="18"/>
              </w:rPr>
              <w:t>and </w:t>
            </w:r>
            <w:r>
              <w:rPr>
                <w:spacing w:val="-2"/>
                <w:sz w:val="18"/>
              </w:rPr>
              <w:t>amortization</w:t>
            </w:r>
          </w:p>
        </w:tc>
        <w:tc>
          <w:tcPr>
            <w:tcW w:w="938" w:type="dxa"/>
            <w:shd w:val="clear" w:color="auto" w:fill="CCEDFF"/>
          </w:tcPr>
          <w:p>
            <w:pPr>
              <w:pStyle w:val="TableParagraph"/>
              <w:spacing w:line="183" w:lineRule="exact"/>
              <w:ind w:left="405"/>
              <w:rPr>
                <w:sz w:val="18"/>
              </w:rPr>
            </w:pPr>
            <w:r>
              <w:rPr>
                <w:spacing w:val="-5"/>
                <w:sz w:val="18"/>
              </w:rPr>
              <w:t>198</w:t>
            </w:r>
          </w:p>
        </w:tc>
        <w:tc>
          <w:tcPr>
            <w:tcW w:w="953" w:type="dxa"/>
            <w:shd w:val="clear" w:color="auto" w:fill="CCEDFF"/>
          </w:tcPr>
          <w:p>
            <w:pPr>
              <w:pStyle w:val="TableParagraph"/>
              <w:spacing w:line="183" w:lineRule="exact"/>
              <w:ind w:left="457"/>
              <w:rPr>
                <w:sz w:val="18"/>
              </w:rPr>
            </w:pPr>
            <w:r>
              <w:rPr>
                <w:spacing w:val="-5"/>
                <w:sz w:val="18"/>
              </w:rPr>
              <w:t>167</w:t>
            </w:r>
          </w:p>
        </w:tc>
        <w:tc>
          <w:tcPr>
            <w:tcW w:w="976" w:type="dxa"/>
            <w:shd w:val="clear" w:color="auto" w:fill="CCEDFF"/>
          </w:tcPr>
          <w:p>
            <w:pPr>
              <w:pStyle w:val="TableParagraph"/>
              <w:spacing w:line="183" w:lineRule="exact"/>
              <w:ind w:right="74"/>
              <w:jc w:val="right"/>
              <w:rPr>
                <w:sz w:val="18"/>
              </w:rPr>
            </w:pPr>
            <w:r>
              <w:rPr>
                <w:spacing w:val="-5"/>
                <w:sz w:val="18"/>
              </w:rPr>
              <w:t>19%</w:t>
            </w:r>
          </w:p>
        </w:tc>
        <w:tc>
          <w:tcPr>
            <w:tcW w:w="931" w:type="dxa"/>
            <w:shd w:val="clear" w:color="auto" w:fill="CCEDFF"/>
          </w:tcPr>
          <w:p>
            <w:pPr>
              <w:pStyle w:val="TableParagraph"/>
              <w:spacing w:line="183" w:lineRule="exact"/>
              <w:ind w:left="403"/>
              <w:rPr>
                <w:sz w:val="18"/>
              </w:rPr>
            </w:pPr>
            <w:r>
              <w:rPr>
                <w:spacing w:val="-5"/>
                <w:sz w:val="18"/>
              </w:rPr>
              <w:t>566</w:t>
            </w:r>
          </w:p>
        </w:tc>
        <w:tc>
          <w:tcPr>
            <w:tcW w:w="931" w:type="dxa"/>
            <w:shd w:val="clear" w:color="auto" w:fill="CCEDFF"/>
          </w:tcPr>
          <w:p>
            <w:pPr>
              <w:pStyle w:val="TableParagraph"/>
              <w:spacing w:line="183" w:lineRule="exact"/>
              <w:ind w:left="432"/>
              <w:rPr>
                <w:sz w:val="18"/>
              </w:rPr>
            </w:pPr>
            <w:r>
              <w:rPr>
                <w:spacing w:val="-5"/>
                <w:sz w:val="18"/>
              </w:rPr>
              <w:t>476</w:t>
            </w:r>
          </w:p>
        </w:tc>
        <w:tc>
          <w:tcPr>
            <w:tcW w:w="961" w:type="dxa"/>
            <w:shd w:val="clear" w:color="auto" w:fill="CCEDFF"/>
          </w:tcPr>
          <w:p>
            <w:pPr>
              <w:pStyle w:val="TableParagraph"/>
              <w:spacing w:line="183" w:lineRule="exact"/>
              <w:ind w:right="77"/>
              <w:jc w:val="right"/>
              <w:rPr>
                <w:sz w:val="18"/>
              </w:rPr>
            </w:pPr>
            <w:r>
              <w:rPr>
                <w:spacing w:val="-5"/>
                <w:sz w:val="18"/>
              </w:rPr>
              <w:t>19%</w:t>
            </w:r>
          </w:p>
        </w:tc>
      </w:tr>
      <w:tr>
        <w:trPr>
          <w:trHeight w:val="240" w:hRule="atLeast"/>
        </w:trPr>
        <w:tc>
          <w:tcPr>
            <w:tcW w:w="4575" w:type="dxa"/>
          </w:tcPr>
          <w:p>
            <w:pPr>
              <w:pStyle w:val="TableParagraph"/>
              <w:spacing w:line="183" w:lineRule="exact"/>
              <w:ind w:left="52"/>
              <w:rPr>
                <w:sz w:val="18"/>
              </w:rPr>
            </w:pPr>
            <w:r>
              <w:rPr>
                <w:sz w:val="18"/>
              </w:rPr>
              <w:t>Amortization</w:t>
            </w:r>
            <w:r>
              <w:rPr>
                <w:spacing w:val="-1"/>
                <w:sz w:val="18"/>
              </w:rPr>
              <w:t> </w:t>
            </w:r>
            <w:r>
              <w:rPr>
                <w:sz w:val="18"/>
              </w:rPr>
              <w:t>of acquired intangible </w:t>
            </w:r>
            <w:r>
              <w:rPr>
                <w:spacing w:val="-2"/>
                <w:sz w:val="18"/>
              </w:rPr>
              <w:t>assets</w:t>
            </w:r>
          </w:p>
        </w:tc>
        <w:tc>
          <w:tcPr>
            <w:tcW w:w="938" w:type="dxa"/>
          </w:tcPr>
          <w:p>
            <w:pPr>
              <w:pStyle w:val="TableParagraph"/>
              <w:spacing w:line="183" w:lineRule="exact"/>
              <w:ind w:left="405"/>
              <w:rPr>
                <w:sz w:val="18"/>
              </w:rPr>
            </w:pPr>
            <w:r>
              <w:rPr>
                <w:spacing w:val="-5"/>
                <w:sz w:val="18"/>
              </w:rPr>
              <w:t>135</w:t>
            </w:r>
          </w:p>
        </w:tc>
        <w:tc>
          <w:tcPr>
            <w:tcW w:w="953" w:type="dxa"/>
          </w:tcPr>
          <w:p>
            <w:pPr>
              <w:pStyle w:val="TableParagraph"/>
              <w:spacing w:line="183" w:lineRule="exact"/>
              <w:ind w:left="457"/>
              <w:rPr>
                <w:sz w:val="18"/>
              </w:rPr>
            </w:pPr>
            <w:r>
              <w:rPr>
                <w:spacing w:val="-5"/>
                <w:sz w:val="18"/>
              </w:rPr>
              <w:t>152</w:t>
            </w:r>
          </w:p>
        </w:tc>
        <w:tc>
          <w:tcPr>
            <w:tcW w:w="976" w:type="dxa"/>
          </w:tcPr>
          <w:p>
            <w:pPr>
              <w:pStyle w:val="TableParagraph"/>
              <w:spacing w:line="183" w:lineRule="exact"/>
              <w:ind w:right="14"/>
              <w:jc w:val="right"/>
              <w:rPr>
                <w:sz w:val="18"/>
              </w:rPr>
            </w:pPr>
            <w:r>
              <w:rPr>
                <w:spacing w:val="-2"/>
                <w:sz w:val="18"/>
              </w:rPr>
              <w:t>(11)%</w:t>
            </w:r>
          </w:p>
        </w:tc>
        <w:tc>
          <w:tcPr>
            <w:tcW w:w="931" w:type="dxa"/>
          </w:tcPr>
          <w:p>
            <w:pPr>
              <w:pStyle w:val="TableParagraph"/>
              <w:spacing w:line="183" w:lineRule="exact"/>
              <w:ind w:left="403"/>
              <w:rPr>
                <w:sz w:val="18"/>
              </w:rPr>
            </w:pPr>
            <w:r>
              <w:rPr>
                <w:spacing w:val="-5"/>
                <w:sz w:val="18"/>
              </w:rPr>
              <w:t>404</w:t>
            </w:r>
          </w:p>
        </w:tc>
        <w:tc>
          <w:tcPr>
            <w:tcW w:w="931" w:type="dxa"/>
          </w:tcPr>
          <w:p>
            <w:pPr>
              <w:pStyle w:val="TableParagraph"/>
              <w:spacing w:line="183" w:lineRule="exact"/>
              <w:ind w:left="432"/>
              <w:rPr>
                <w:sz w:val="18"/>
              </w:rPr>
            </w:pPr>
            <w:r>
              <w:rPr>
                <w:spacing w:val="-5"/>
                <w:sz w:val="18"/>
              </w:rPr>
              <w:t>460</w:t>
            </w:r>
          </w:p>
        </w:tc>
        <w:tc>
          <w:tcPr>
            <w:tcW w:w="961" w:type="dxa"/>
          </w:tcPr>
          <w:p>
            <w:pPr>
              <w:pStyle w:val="TableParagraph"/>
              <w:spacing w:line="183" w:lineRule="exact"/>
              <w:ind w:right="17"/>
              <w:jc w:val="right"/>
              <w:rPr>
                <w:sz w:val="18"/>
              </w:rPr>
            </w:pPr>
            <w:r>
              <w:rPr>
                <w:spacing w:val="-2"/>
                <w:sz w:val="18"/>
              </w:rPr>
              <w:t>(12)%</w:t>
            </w:r>
          </w:p>
        </w:tc>
      </w:tr>
      <w:tr>
        <w:trPr>
          <w:trHeight w:val="240" w:hRule="atLeast"/>
        </w:trPr>
        <w:tc>
          <w:tcPr>
            <w:tcW w:w="4575" w:type="dxa"/>
            <w:shd w:val="clear" w:color="auto" w:fill="CCEDFF"/>
          </w:tcPr>
          <w:p>
            <w:pPr>
              <w:pStyle w:val="TableParagraph"/>
              <w:spacing w:line="183" w:lineRule="exact"/>
              <w:ind w:left="52"/>
              <w:rPr>
                <w:sz w:val="18"/>
              </w:rPr>
            </w:pPr>
            <w:r>
              <w:rPr>
                <w:sz w:val="18"/>
              </w:rPr>
              <w:t>Regulatory fees</w:t>
            </w:r>
            <w:r>
              <w:rPr>
                <w:spacing w:val="-1"/>
                <w:sz w:val="18"/>
              </w:rPr>
              <w:t> </w:t>
            </w:r>
            <w:r>
              <w:rPr>
                <w:sz w:val="18"/>
              </w:rPr>
              <w:t>and </w:t>
            </w:r>
            <w:r>
              <w:rPr>
                <w:spacing w:val="-2"/>
                <w:sz w:val="18"/>
              </w:rPr>
              <w:t>assessments</w:t>
            </w:r>
          </w:p>
        </w:tc>
        <w:tc>
          <w:tcPr>
            <w:tcW w:w="938" w:type="dxa"/>
            <w:shd w:val="clear" w:color="auto" w:fill="CCEDFF"/>
          </w:tcPr>
          <w:p>
            <w:pPr>
              <w:pStyle w:val="TableParagraph"/>
              <w:spacing w:line="183" w:lineRule="exact"/>
              <w:ind w:left="405"/>
              <w:rPr>
                <w:sz w:val="18"/>
              </w:rPr>
            </w:pPr>
            <w:r>
              <w:rPr>
                <w:spacing w:val="-5"/>
                <w:sz w:val="18"/>
              </w:rPr>
              <w:t>114</w:t>
            </w:r>
          </w:p>
        </w:tc>
        <w:tc>
          <w:tcPr>
            <w:tcW w:w="953" w:type="dxa"/>
            <w:shd w:val="clear" w:color="auto" w:fill="CCEDFF"/>
          </w:tcPr>
          <w:p>
            <w:pPr>
              <w:pStyle w:val="TableParagraph"/>
              <w:spacing w:line="183" w:lineRule="exact"/>
              <w:ind w:left="547"/>
              <w:rPr>
                <w:sz w:val="18"/>
              </w:rPr>
            </w:pPr>
            <w:r>
              <w:rPr>
                <w:spacing w:val="-5"/>
                <w:sz w:val="18"/>
              </w:rPr>
              <w:t>65</w:t>
            </w:r>
          </w:p>
        </w:tc>
        <w:tc>
          <w:tcPr>
            <w:tcW w:w="976" w:type="dxa"/>
            <w:shd w:val="clear" w:color="auto" w:fill="CCEDFF"/>
          </w:tcPr>
          <w:p>
            <w:pPr>
              <w:pStyle w:val="TableParagraph"/>
              <w:spacing w:line="183" w:lineRule="exact"/>
              <w:ind w:right="74"/>
              <w:jc w:val="right"/>
              <w:rPr>
                <w:sz w:val="18"/>
              </w:rPr>
            </w:pPr>
            <w:r>
              <w:rPr>
                <w:spacing w:val="-5"/>
                <w:sz w:val="18"/>
              </w:rPr>
              <w:t>75%</w:t>
            </w:r>
          </w:p>
        </w:tc>
        <w:tc>
          <w:tcPr>
            <w:tcW w:w="931" w:type="dxa"/>
            <w:shd w:val="clear" w:color="auto" w:fill="CCEDFF"/>
          </w:tcPr>
          <w:p>
            <w:pPr>
              <w:pStyle w:val="TableParagraph"/>
              <w:spacing w:line="183" w:lineRule="exact"/>
              <w:ind w:left="403"/>
              <w:rPr>
                <w:sz w:val="18"/>
              </w:rPr>
            </w:pPr>
            <w:r>
              <w:rPr>
                <w:spacing w:val="-5"/>
                <w:sz w:val="18"/>
              </w:rPr>
              <w:t>277</w:t>
            </w:r>
          </w:p>
        </w:tc>
        <w:tc>
          <w:tcPr>
            <w:tcW w:w="931" w:type="dxa"/>
            <w:shd w:val="clear" w:color="auto" w:fill="CCEDFF"/>
          </w:tcPr>
          <w:p>
            <w:pPr>
              <w:pStyle w:val="TableParagraph"/>
              <w:spacing w:line="183" w:lineRule="exact"/>
              <w:ind w:left="432"/>
              <w:rPr>
                <w:sz w:val="18"/>
              </w:rPr>
            </w:pPr>
            <w:r>
              <w:rPr>
                <w:spacing w:val="-5"/>
                <w:sz w:val="18"/>
              </w:rPr>
              <w:t>200</w:t>
            </w:r>
          </w:p>
        </w:tc>
        <w:tc>
          <w:tcPr>
            <w:tcW w:w="961" w:type="dxa"/>
            <w:shd w:val="clear" w:color="auto" w:fill="CCEDFF"/>
          </w:tcPr>
          <w:p>
            <w:pPr>
              <w:pStyle w:val="TableParagraph"/>
              <w:spacing w:line="183" w:lineRule="exact"/>
              <w:ind w:right="77"/>
              <w:jc w:val="right"/>
              <w:rPr>
                <w:sz w:val="18"/>
              </w:rPr>
            </w:pPr>
            <w:r>
              <w:rPr>
                <w:spacing w:val="-5"/>
                <w:sz w:val="18"/>
              </w:rPr>
              <w:t>39%</w:t>
            </w:r>
          </w:p>
        </w:tc>
      </w:tr>
      <w:tr>
        <w:trPr>
          <w:trHeight w:val="235" w:hRule="atLeast"/>
        </w:trPr>
        <w:tc>
          <w:tcPr>
            <w:tcW w:w="4575" w:type="dxa"/>
            <w:tcBorders>
              <w:bottom w:val="single" w:sz="4" w:space="0" w:color="000000"/>
            </w:tcBorders>
          </w:tcPr>
          <w:p>
            <w:pPr>
              <w:pStyle w:val="TableParagraph"/>
              <w:spacing w:line="183" w:lineRule="exact"/>
              <w:ind w:left="52"/>
              <w:rPr>
                <w:sz w:val="18"/>
              </w:rPr>
            </w:pPr>
            <w:r>
              <w:rPr>
                <w:spacing w:val="-2"/>
                <w:sz w:val="18"/>
              </w:rPr>
              <w:t>Other</w:t>
            </w:r>
          </w:p>
        </w:tc>
        <w:tc>
          <w:tcPr>
            <w:tcW w:w="938" w:type="dxa"/>
            <w:tcBorders>
              <w:bottom w:val="single" w:sz="4" w:space="0" w:color="000000"/>
            </w:tcBorders>
          </w:tcPr>
          <w:p>
            <w:pPr>
              <w:pStyle w:val="TableParagraph"/>
              <w:spacing w:line="183" w:lineRule="exact"/>
              <w:ind w:left="405"/>
              <w:rPr>
                <w:sz w:val="18"/>
              </w:rPr>
            </w:pPr>
            <w:r>
              <w:rPr>
                <w:spacing w:val="-5"/>
                <w:sz w:val="18"/>
              </w:rPr>
              <w:t>173</w:t>
            </w:r>
          </w:p>
        </w:tc>
        <w:tc>
          <w:tcPr>
            <w:tcW w:w="953" w:type="dxa"/>
            <w:tcBorders>
              <w:bottom w:val="single" w:sz="4" w:space="0" w:color="000000"/>
            </w:tcBorders>
          </w:tcPr>
          <w:p>
            <w:pPr>
              <w:pStyle w:val="TableParagraph"/>
              <w:spacing w:line="183" w:lineRule="exact"/>
              <w:ind w:left="457"/>
              <w:rPr>
                <w:sz w:val="18"/>
              </w:rPr>
            </w:pPr>
            <w:r>
              <w:rPr>
                <w:spacing w:val="-5"/>
                <w:sz w:val="18"/>
              </w:rPr>
              <w:t>187</w:t>
            </w:r>
          </w:p>
        </w:tc>
        <w:tc>
          <w:tcPr>
            <w:tcW w:w="976" w:type="dxa"/>
            <w:tcBorders>
              <w:bottom w:val="single" w:sz="4" w:space="0" w:color="000000"/>
            </w:tcBorders>
          </w:tcPr>
          <w:p>
            <w:pPr>
              <w:pStyle w:val="TableParagraph"/>
              <w:spacing w:line="183" w:lineRule="exact"/>
              <w:ind w:right="14"/>
              <w:jc w:val="right"/>
              <w:rPr>
                <w:sz w:val="18"/>
              </w:rPr>
            </w:pPr>
            <w:r>
              <w:rPr>
                <w:spacing w:val="-4"/>
                <w:sz w:val="18"/>
              </w:rPr>
              <w:t>(7)%</w:t>
            </w:r>
          </w:p>
        </w:tc>
        <w:tc>
          <w:tcPr>
            <w:tcW w:w="931" w:type="dxa"/>
            <w:tcBorders>
              <w:bottom w:val="single" w:sz="4" w:space="0" w:color="000000"/>
            </w:tcBorders>
          </w:tcPr>
          <w:p>
            <w:pPr>
              <w:pStyle w:val="TableParagraph"/>
              <w:spacing w:line="183" w:lineRule="exact"/>
              <w:ind w:left="403"/>
              <w:rPr>
                <w:sz w:val="18"/>
              </w:rPr>
            </w:pPr>
            <w:r>
              <w:rPr>
                <w:spacing w:val="-5"/>
                <w:sz w:val="18"/>
              </w:rPr>
              <w:t>535</w:t>
            </w:r>
          </w:p>
        </w:tc>
        <w:tc>
          <w:tcPr>
            <w:tcW w:w="931" w:type="dxa"/>
            <w:tcBorders>
              <w:bottom w:val="single" w:sz="4" w:space="0" w:color="000000"/>
            </w:tcBorders>
          </w:tcPr>
          <w:p>
            <w:pPr>
              <w:pStyle w:val="TableParagraph"/>
              <w:spacing w:line="183" w:lineRule="exact"/>
              <w:ind w:left="432"/>
              <w:rPr>
                <w:sz w:val="18"/>
              </w:rPr>
            </w:pPr>
            <w:r>
              <w:rPr>
                <w:spacing w:val="-5"/>
                <w:sz w:val="18"/>
              </w:rPr>
              <w:t>530</w:t>
            </w:r>
          </w:p>
        </w:tc>
        <w:tc>
          <w:tcPr>
            <w:tcW w:w="961" w:type="dxa"/>
            <w:tcBorders>
              <w:bottom w:val="single" w:sz="4" w:space="0" w:color="000000"/>
            </w:tcBorders>
          </w:tcPr>
          <w:p>
            <w:pPr>
              <w:pStyle w:val="TableParagraph"/>
              <w:spacing w:line="183" w:lineRule="exact"/>
              <w:ind w:right="77"/>
              <w:jc w:val="right"/>
              <w:rPr>
                <w:sz w:val="18"/>
              </w:rPr>
            </w:pPr>
            <w:r>
              <w:rPr>
                <w:spacing w:val="-5"/>
                <w:sz w:val="18"/>
              </w:rPr>
              <w:t>1%</w:t>
            </w:r>
          </w:p>
        </w:tc>
      </w:tr>
      <w:tr>
        <w:trPr>
          <w:trHeight w:val="205" w:hRule="atLeast"/>
        </w:trPr>
        <w:tc>
          <w:tcPr>
            <w:tcW w:w="4575" w:type="dxa"/>
            <w:tcBorders>
              <w:top w:val="single" w:sz="4" w:space="0" w:color="000000"/>
              <w:bottom w:val="double" w:sz="8" w:space="0" w:color="000000"/>
            </w:tcBorders>
            <w:shd w:val="clear" w:color="auto" w:fill="CCEDFF"/>
          </w:tcPr>
          <w:p>
            <w:pPr>
              <w:pStyle w:val="TableParagraph"/>
              <w:spacing w:line="178" w:lineRule="exact"/>
              <w:ind w:left="187"/>
              <w:rPr>
                <w:sz w:val="18"/>
              </w:rPr>
            </w:pPr>
            <w:r>
              <w:rPr>
                <w:sz w:val="18"/>
              </w:rPr>
              <w:t>Total</w:t>
            </w:r>
            <w:r>
              <w:rPr>
                <w:spacing w:val="-1"/>
                <w:sz w:val="18"/>
              </w:rPr>
              <w:t> </w:t>
            </w:r>
            <w:r>
              <w:rPr>
                <w:sz w:val="18"/>
              </w:rPr>
              <w:t>expenses</w:t>
            </w:r>
            <w:r>
              <w:rPr>
                <w:spacing w:val="-1"/>
                <w:sz w:val="18"/>
              </w:rPr>
              <w:t> </w:t>
            </w:r>
            <w:r>
              <w:rPr>
                <w:sz w:val="18"/>
              </w:rPr>
              <w:t>excluding </w:t>
            </w:r>
            <w:r>
              <w:rPr>
                <w:spacing w:val="-2"/>
                <w:sz w:val="18"/>
              </w:rPr>
              <w:t>interest</w:t>
            </w:r>
          </w:p>
        </w:tc>
        <w:tc>
          <w:tcPr>
            <w:tcW w:w="938" w:type="dxa"/>
            <w:tcBorders>
              <w:top w:val="single" w:sz="4" w:space="0" w:color="000000"/>
              <w:bottom w:val="double" w:sz="8" w:space="0" w:color="000000"/>
            </w:tcBorders>
            <w:shd w:val="clear" w:color="auto" w:fill="CCEDFF"/>
          </w:tcPr>
          <w:p>
            <w:pPr>
              <w:pStyle w:val="TableParagraph"/>
              <w:spacing w:line="178" w:lineRule="exact"/>
              <w:ind w:left="52"/>
              <w:rPr>
                <w:sz w:val="18"/>
              </w:rPr>
            </w:pPr>
            <w:r>
              <w:rPr>
                <w:sz w:val="18"/>
              </w:rPr>
              <w:t>$</w:t>
            </w:r>
            <w:r>
              <w:rPr>
                <w:spacing w:val="59"/>
                <w:w w:val="150"/>
                <w:sz w:val="18"/>
              </w:rPr>
              <w:t> </w:t>
            </w:r>
            <w:r>
              <w:rPr>
                <w:spacing w:val="-2"/>
                <w:sz w:val="18"/>
              </w:rPr>
              <w:t>3,223</w:t>
            </w:r>
          </w:p>
        </w:tc>
        <w:tc>
          <w:tcPr>
            <w:tcW w:w="953" w:type="dxa"/>
            <w:tcBorders>
              <w:top w:val="single" w:sz="4" w:space="0" w:color="000000"/>
              <w:bottom w:val="double" w:sz="8" w:space="0" w:color="000000"/>
            </w:tcBorders>
            <w:shd w:val="clear" w:color="auto" w:fill="CCEDFF"/>
          </w:tcPr>
          <w:p>
            <w:pPr>
              <w:pStyle w:val="TableParagraph"/>
              <w:spacing w:line="178" w:lineRule="exact"/>
              <w:ind w:left="89"/>
              <w:rPr>
                <w:sz w:val="18"/>
              </w:rPr>
            </w:pPr>
            <w:r>
              <w:rPr>
                <w:sz w:val="18"/>
              </w:rPr>
              <w:t>$</w:t>
            </w:r>
            <w:r>
              <w:rPr>
                <w:spacing w:val="74"/>
                <w:w w:val="150"/>
                <w:sz w:val="18"/>
              </w:rPr>
              <w:t> </w:t>
            </w:r>
            <w:r>
              <w:rPr>
                <w:spacing w:val="-2"/>
                <w:sz w:val="18"/>
              </w:rPr>
              <w:t>2,823</w:t>
            </w:r>
          </w:p>
        </w:tc>
        <w:tc>
          <w:tcPr>
            <w:tcW w:w="976" w:type="dxa"/>
            <w:tcBorders>
              <w:top w:val="single" w:sz="4" w:space="0" w:color="000000"/>
              <w:bottom w:val="double" w:sz="8" w:space="0" w:color="000000"/>
            </w:tcBorders>
            <w:shd w:val="clear" w:color="auto" w:fill="CCEDFF"/>
          </w:tcPr>
          <w:p>
            <w:pPr>
              <w:pStyle w:val="TableParagraph"/>
              <w:spacing w:line="178" w:lineRule="exact"/>
              <w:ind w:right="74"/>
              <w:jc w:val="right"/>
              <w:rPr>
                <w:sz w:val="18"/>
              </w:rPr>
            </w:pPr>
            <w:r>
              <w:rPr>
                <w:spacing w:val="-5"/>
                <w:sz w:val="18"/>
              </w:rPr>
              <w:t>14%</w:t>
            </w:r>
          </w:p>
        </w:tc>
        <w:tc>
          <w:tcPr>
            <w:tcW w:w="931" w:type="dxa"/>
            <w:tcBorders>
              <w:top w:val="single" w:sz="4" w:space="0" w:color="000000"/>
              <w:bottom w:val="double" w:sz="8" w:space="0" w:color="000000"/>
            </w:tcBorders>
            <w:shd w:val="clear" w:color="auto" w:fill="CCEDFF"/>
          </w:tcPr>
          <w:p>
            <w:pPr>
              <w:pStyle w:val="TableParagraph"/>
              <w:spacing w:line="178" w:lineRule="exact"/>
              <w:ind w:left="50"/>
              <w:rPr>
                <w:sz w:val="18"/>
              </w:rPr>
            </w:pPr>
            <w:r>
              <w:rPr>
                <w:sz w:val="18"/>
              </w:rPr>
              <w:t>$</w:t>
            </w:r>
            <w:r>
              <w:rPr>
                <w:spacing w:val="59"/>
                <w:w w:val="150"/>
                <w:sz w:val="18"/>
              </w:rPr>
              <w:t> </w:t>
            </w:r>
            <w:r>
              <w:rPr>
                <w:spacing w:val="-2"/>
                <w:sz w:val="18"/>
              </w:rPr>
              <w:t>9,194</w:t>
            </w:r>
          </w:p>
        </w:tc>
        <w:tc>
          <w:tcPr>
            <w:tcW w:w="931" w:type="dxa"/>
            <w:tcBorders>
              <w:top w:val="single" w:sz="4" w:space="0" w:color="000000"/>
              <w:bottom w:val="double" w:sz="8" w:space="0" w:color="000000"/>
            </w:tcBorders>
            <w:shd w:val="clear" w:color="auto" w:fill="CCEDFF"/>
          </w:tcPr>
          <w:p>
            <w:pPr>
              <w:pStyle w:val="TableParagraph"/>
              <w:spacing w:line="178" w:lineRule="exact"/>
              <w:ind w:left="79"/>
              <w:rPr>
                <w:sz w:val="18"/>
              </w:rPr>
            </w:pPr>
            <w:r>
              <w:rPr>
                <w:sz w:val="18"/>
              </w:rPr>
              <w:t>$</w:t>
            </w:r>
            <w:r>
              <w:rPr>
                <w:spacing w:val="59"/>
                <w:w w:val="150"/>
                <w:sz w:val="18"/>
              </w:rPr>
              <w:t> </w:t>
            </w:r>
            <w:r>
              <w:rPr>
                <w:spacing w:val="-2"/>
                <w:sz w:val="18"/>
              </w:rPr>
              <w:t>8,475</w:t>
            </w:r>
          </w:p>
        </w:tc>
        <w:tc>
          <w:tcPr>
            <w:tcW w:w="961" w:type="dxa"/>
            <w:tcBorders>
              <w:top w:val="single" w:sz="4" w:space="0" w:color="000000"/>
              <w:bottom w:val="double" w:sz="8" w:space="0" w:color="000000"/>
            </w:tcBorders>
            <w:shd w:val="clear" w:color="auto" w:fill="CCEDFF"/>
          </w:tcPr>
          <w:p>
            <w:pPr>
              <w:pStyle w:val="TableParagraph"/>
              <w:spacing w:line="178" w:lineRule="exact"/>
              <w:ind w:right="77"/>
              <w:jc w:val="right"/>
              <w:rPr>
                <w:sz w:val="18"/>
              </w:rPr>
            </w:pPr>
            <w:r>
              <w:rPr>
                <w:spacing w:val="-5"/>
                <w:sz w:val="18"/>
              </w:rPr>
              <w:t>8%</w:t>
            </w:r>
          </w:p>
        </w:tc>
      </w:tr>
      <w:tr>
        <w:trPr>
          <w:trHeight w:val="210" w:hRule="atLeast"/>
        </w:trPr>
        <w:tc>
          <w:tcPr>
            <w:tcW w:w="4575" w:type="dxa"/>
            <w:tcBorders>
              <w:top w:val="double" w:sz="8" w:space="0" w:color="000000"/>
            </w:tcBorders>
          </w:tcPr>
          <w:p>
            <w:pPr>
              <w:pStyle w:val="TableParagraph"/>
              <w:spacing w:line="153" w:lineRule="exact"/>
              <w:ind w:left="52"/>
              <w:rPr>
                <w:sz w:val="18"/>
              </w:rPr>
            </w:pPr>
            <w:r>
              <w:rPr>
                <w:sz w:val="18"/>
              </w:rPr>
              <w:t>Expenses</w:t>
            </w:r>
            <w:r>
              <w:rPr>
                <w:spacing w:val="-2"/>
                <w:sz w:val="18"/>
              </w:rPr>
              <w:t> </w:t>
            </w:r>
            <w:r>
              <w:rPr>
                <w:sz w:val="18"/>
              </w:rPr>
              <w:t>as</w:t>
            </w:r>
            <w:r>
              <w:rPr>
                <w:spacing w:val="-1"/>
                <w:sz w:val="18"/>
              </w:rPr>
              <w:t> </w:t>
            </w:r>
            <w:r>
              <w:rPr>
                <w:sz w:val="18"/>
              </w:rPr>
              <w:t>a percentage of total net </w:t>
            </w:r>
            <w:r>
              <w:rPr>
                <w:spacing w:val="-2"/>
                <w:sz w:val="18"/>
              </w:rPr>
              <w:t>revenues</w:t>
            </w:r>
          </w:p>
        </w:tc>
        <w:tc>
          <w:tcPr>
            <w:tcW w:w="938" w:type="dxa"/>
            <w:tcBorders>
              <w:top w:val="double" w:sz="8" w:space="0" w:color="000000"/>
            </w:tcBorders>
          </w:tcPr>
          <w:p>
            <w:pPr>
              <w:pStyle w:val="TableParagraph"/>
              <w:rPr>
                <w:sz w:val="14"/>
              </w:rPr>
            </w:pPr>
          </w:p>
        </w:tc>
        <w:tc>
          <w:tcPr>
            <w:tcW w:w="953" w:type="dxa"/>
            <w:tcBorders>
              <w:top w:val="double" w:sz="8" w:space="0" w:color="000000"/>
            </w:tcBorders>
          </w:tcPr>
          <w:p>
            <w:pPr>
              <w:pStyle w:val="TableParagraph"/>
              <w:rPr>
                <w:sz w:val="14"/>
              </w:rPr>
            </w:pPr>
          </w:p>
        </w:tc>
        <w:tc>
          <w:tcPr>
            <w:tcW w:w="976" w:type="dxa"/>
            <w:tcBorders>
              <w:top w:val="double" w:sz="8" w:space="0" w:color="000000"/>
            </w:tcBorders>
          </w:tcPr>
          <w:p>
            <w:pPr>
              <w:pStyle w:val="TableParagraph"/>
              <w:rPr>
                <w:sz w:val="14"/>
              </w:rPr>
            </w:pPr>
          </w:p>
        </w:tc>
        <w:tc>
          <w:tcPr>
            <w:tcW w:w="931" w:type="dxa"/>
            <w:tcBorders>
              <w:top w:val="double" w:sz="8" w:space="0" w:color="000000"/>
            </w:tcBorders>
          </w:tcPr>
          <w:p>
            <w:pPr>
              <w:pStyle w:val="TableParagraph"/>
              <w:rPr>
                <w:sz w:val="14"/>
              </w:rPr>
            </w:pPr>
          </w:p>
        </w:tc>
        <w:tc>
          <w:tcPr>
            <w:tcW w:w="931" w:type="dxa"/>
            <w:tcBorders>
              <w:top w:val="double" w:sz="8" w:space="0" w:color="000000"/>
            </w:tcBorders>
          </w:tcPr>
          <w:p>
            <w:pPr>
              <w:pStyle w:val="TableParagraph"/>
              <w:rPr>
                <w:sz w:val="14"/>
              </w:rPr>
            </w:pPr>
          </w:p>
        </w:tc>
        <w:tc>
          <w:tcPr>
            <w:tcW w:w="961" w:type="dxa"/>
            <w:tcBorders>
              <w:top w:val="double" w:sz="8" w:space="0" w:color="000000"/>
            </w:tcBorders>
          </w:tcPr>
          <w:p>
            <w:pPr>
              <w:pStyle w:val="TableParagraph"/>
              <w:rPr>
                <w:sz w:val="14"/>
              </w:rPr>
            </w:pPr>
          </w:p>
        </w:tc>
      </w:tr>
      <w:tr>
        <w:trPr>
          <w:trHeight w:val="240" w:hRule="atLeast"/>
        </w:trPr>
        <w:tc>
          <w:tcPr>
            <w:tcW w:w="4575" w:type="dxa"/>
            <w:shd w:val="clear" w:color="auto" w:fill="CCEDFF"/>
          </w:tcPr>
          <w:p>
            <w:pPr>
              <w:pStyle w:val="TableParagraph"/>
              <w:spacing w:line="183" w:lineRule="exact"/>
              <w:ind w:left="187"/>
              <w:rPr>
                <w:sz w:val="18"/>
              </w:rPr>
            </w:pPr>
            <w:r>
              <w:rPr>
                <w:sz w:val="18"/>
              </w:rPr>
              <w:t>Compensation</w:t>
            </w:r>
            <w:r>
              <w:rPr>
                <w:spacing w:val="-3"/>
                <w:sz w:val="18"/>
              </w:rPr>
              <w:t> </w:t>
            </w:r>
            <w:r>
              <w:rPr>
                <w:sz w:val="18"/>
              </w:rPr>
              <w:t>and </w:t>
            </w:r>
            <w:r>
              <w:rPr>
                <w:spacing w:val="-2"/>
                <w:sz w:val="18"/>
              </w:rPr>
              <w:t>benefits</w:t>
            </w:r>
          </w:p>
        </w:tc>
        <w:tc>
          <w:tcPr>
            <w:tcW w:w="938" w:type="dxa"/>
            <w:shd w:val="clear" w:color="auto" w:fill="CCEDFF"/>
          </w:tcPr>
          <w:p>
            <w:pPr>
              <w:pStyle w:val="TableParagraph"/>
              <w:spacing w:line="183" w:lineRule="exact"/>
              <w:ind w:right="110"/>
              <w:jc w:val="right"/>
              <w:rPr>
                <w:sz w:val="18"/>
              </w:rPr>
            </w:pPr>
            <w:r>
              <w:rPr>
                <w:spacing w:val="-5"/>
                <w:sz w:val="18"/>
              </w:rPr>
              <w:t>38%</w:t>
            </w:r>
          </w:p>
        </w:tc>
        <w:tc>
          <w:tcPr>
            <w:tcW w:w="953" w:type="dxa"/>
            <w:shd w:val="clear" w:color="auto" w:fill="CCEDFF"/>
          </w:tcPr>
          <w:p>
            <w:pPr>
              <w:pStyle w:val="TableParagraph"/>
              <w:spacing w:line="183" w:lineRule="exact"/>
              <w:ind w:right="73"/>
              <w:jc w:val="right"/>
              <w:rPr>
                <w:sz w:val="18"/>
              </w:rPr>
            </w:pPr>
            <w:r>
              <w:rPr>
                <w:spacing w:val="-5"/>
                <w:sz w:val="18"/>
              </w:rPr>
              <w:t>27%</w:t>
            </w:r>
          </w:p>
        </w:tc>
        <w:tc>
          <w:tcPr>
            <w:tcW w:w="976" w:type="dxa"/>
            <w:shd w:val="clear" w:color="auto" w:fill="CCEDFF"/>
          </w:tcPr>
          <w:p>
            <w:pPr>
              <w:pStyle w:val="TableParagraph"/>
              <w:rPr>
                <w:sz w:val="16"/>
              </w:rPr>
            </w:pPr>
          </w:p>
        </w:tc>
        <w:tc>
          <w:tcPr>
            <w:tcW w:w="931" w:type="dxa"/>
            <w:shd w:val="clear" w:color="auto" w:fill="CCEDFF"/>
          </w:tcPr>
          <w:p>
            <w:pPr>
              <w:pStyle w:val="TableParagraph"/>
              <w:spacing w:line="183" w:lineRule="exact"/>
              <w:ind w:right="105"/>
              <w:jc w:val="right"/>
              <w:rPr>
                <w:sz w:val="18"/>
              </w:rPr>
            </w:pPr>
            <w:r>
              <w:rPr>
                <w:spacing w:val="-5"/>
                <w:sz w:val="18"/>
              </w:rPr>
              <w:t>34%</w:t>
            </w:r>
          </w:p>
        </w:tc>
        <w:tc>
          <w:tcPr>
            <w:tcW w:w="931" w:type="dxa"/>
            <w:shd w:val="clear" w:color="auto" w:fill="CCEDFF"/>
          </w:tcPr>
          <w:p>
            <w:pPr>
              <w:pStyle w:val="TableParagraph"/>
              <w:spacing w:line="183" w:lineRule="exact"/>
              <w:ind w:right="76"/>
              <w:jc w:val="right"/>
              <w:rPr>
                <w:sz w:val="18"/>
              </w:rPr>
            </w:pPr>
            <w:r>
              <w:rPr>
                <w:spacing w:val="-5"/>
                <w:sz w:val="18"/>
              </w:rPr>
              <w:t>29%</w:t>
            </w:r>
          </w:p>
        </w:tc>
        <w:tc>
          <w:tcPr>
            <w:tcW w:w="961" w:type="dxa"/>
            <w:shd w:val="clear" w:color="auto" w:fill="CCEDFF"/>
          </w:tcPr>
          <w:p>
            <w:pPr>
              <w:pStyle w:val="TableParagraph"/>
              <w:rPr>
                <w:sz w:val="16"/>
              </w:rPr>
            </w:pPr>
          </w:p>
        </w:tc>
      </w:tr>
      <w:tr>
        <w:trPr>
          <w:trHeight w:val="240" w:hRule="atLeast"/>
        </w:trPr>
        <w:tc>
          <w:tcPr>
            <w:tcW w:w="4575" w:type="dxa"/>
          </w:tcPr>
          <w:p>
            <w:pPr>
              <w:pStyle w:val="TableParagraph"/>
              <w:spacing w:line="183" w:lineRule="exact"/>
              <w:ind w:left="187"/>
              <w:rPr>
                <w:sz w:val="18"/>
              </w:rPr>
            </w:pPr>
            <w:r>
              <w:rPr>
                <w:sz w:val="18"/>
              </w:rPr>
              <w:t>Advertising</w:t>
            </w:r>
            <w:r>
              <w:rPr>
                <w:spacing w:val="-3"/>
                <w:sz w:val="18"/>
              </w:rPr>
              <w:t> </w:t>
            </w:r>
            <w:r>
              <w:rPr>
                <w:sz w:val="18"/>
              </w:rPr>
              <w:t>and</w:t>
            </w:r>
            <w:r>
              <w:rPr>
                <w:spacing w:val="-1"/>
                <w:sz w:val="18"/>
              </w:rPr>
              <w:t> </w:t>
            </w:r>
            <w:r>
              <w:rPr>
                <w:sz w:val="18"/>
              </w:rPr>
              <w:t>market </w:t>
            </w:r>
            <w:r>
              <w:rPr>
                <w:spacing w:val="-2"/>
                <w:sz w:val="18"/>
              </w:rPr>
              <w:t>development</w:t>
            </w:r>
          </w:p>
        </w:tc>
        <w:tc>
          <w:tcPr>
            <w:tcW w:w="938" w:type="dxa"/>
          </w:tcPr>
          <w:p>
            <w:pPr>
              <w:pStyle w:val="TableParagraph"/>
              <w:spacing w:line="183" w:lineRule="exact"/>
              <w:ind w:right="110"/>
              <w:jc w:val="right"/>
              <w:rPr>
                <w:sz w:val="18"/>
              </w:rPr>
            </w:pPr>
            <w:r>
              <w:rPr>
                <w:spacing w:val="-5"/>
                <w:sz w:val="18"/>
              </w:rPr>
              <w:t>2%</w:t>
            </w:r>
          </w:p>
        </w:tc>
        <w:tc>
          <w:tcPr>
            <w:tcW w:w="953" w:type="dxa"/>
          </w:tcPr>
          <w:p>
            <w:pPr>
              <w:pStyle w:val="TableParagraph"/>
              <w:spacing w:line="183" w:lineRule="exact"/>
              <w:ind w:right="73"/>
              <w:jc w:val="right"/>
              <w:rPr>
                <w:sz w:val="18"/>
              </w:rPr>
            </w:pPr>
            <w:r>
              <w:rPr>
                <w:spacing w:val="-5"/>
                <w:sz w:val="18"/>
              </w:rPr>
              <w:t>2%</w:t>
            </w:r>
          </w:p>
        </w:tc>
        <w:tc>
          <w:tcPr>
            <w:tcW w:w="976" w:type="dxa"/>
          </w:tcPr>
          <w:p>
            <w:pPr>
              <w:pStyle w:val="TableParagraph"/>
              <w:rPr>
                <w:sz w:val="16"/>
              </w:rPr>
            </w:pPr>
          </w:p>
        </w:tc>
        <w:tc>
          <w:tcPr>
            <w:tcW w:w="931" w:type="dxa"/>
          </w:tcPr>
          <w:p>
            <w:pPr>
              <w:pStyle w:val="TableParagraph"/>
              <w:spacing w:line="183" w:lineRule="exact"/>
              <w:ind w:right="105"/>
              <w:jc w:val="right"/>
              <w:rPr>
                <w:sz w:val="18"/>
              </w:rPr>
            </w:pPr>
            <w:r>
              <w:rPr>
                <w:spacing w:val="-5"/>
                <w:sz w:val="18"/>
              </w:rPr>
              <w:t>2%</w:t>
            </w:r>
          </w:p>
        </w:tc>
        <w:tc>
          <w:tcPr>
            <w:tcW w:w="931" w:type="dxa"/>
          </w:tcPr>
          <w:p>
            <w:pPr>
              <w:pStyle w:val="TableParagraph"/>
              <w:spacing w:line="183" w:lineRule="exact"/>
              <w:ind w:right="76"/>
              <w:jc w:val="right"/>
              <w:rPr>
                <w:sz w:val="18"/>
              </w:rPr>
            </w:pPr>
            <w:r>
              <w:rPr>
                <w:spacing w:val="-5"/>
                <w:sz w:val="18"/>
              </w:rPr>
              <w:t>2%</w:t>
            </w:r>
          </w:p>
        </w:tc>
        <w:tc>
          <w:tcPr>
            <w:tcW w:w="961" w:type="dxa"/>
          </w:tcPr>
          <w:p>
            <w:pPr>
              <w:pStyle w:val="TableParagraph"/>
              <w:rPr>
                <w:sz w:val="16"/>
              </w:rPr>
            </w:pPr>
          </w:p>
        </w:tc>
      </w:tr>
      <w:tr>
        <w:trPr>
          <w:trHeight w:val="240" w:hRule="atLeast"/>
        </w:trPr>
        <w:tc>
          <w:tcPr>
            <w:tcW w:w="4575" w:type="dxa"/>
            <w:shd w:val="clear" w:color="auto" w:fill="CCEDFF"/>
          </w:tcPr>
          <w:p>
            <w:pPr>
              <w:pStyle w:val="TableParagraph"/>
              <w:spacing w:line="183" w:lineRule="exact"/>
              <w:ind w:left="52"/>
              <w:rPr>
                <w:sz w:val="18"/>
              </w:rPr>
            </w:pPr>
            <w:r>
              <w:rPr>
                <w:sz w:val="18"/>
              </w:rPr>
              <w:t>Full-time</w:t>
            </w:r>
            <w:r>
              <w:rPr>
                <w:spacing w:val="-1"/>
                <w:sz w:val="18"/>
              </w:rPr>
              <w:t> </w:t>
            </w:r>
            <w:r>
              <w:rPr>
                <w:sz w:val="18"/>
              </w:rPr>
              <w:t>equivalent employees</w:t>
            </w:r>
            <w:r>
              <w:rPr>
                <w:spacing w:val="-1"/>
                <w:sz w:val="18"/>
              </w:rPr>
              <w:t> </w:t>
            </w:r>
            <w:r>
              <w:rPr>
                <w:sz w:val="18"/>
              </w:rPr>
              <w:t>(in </w:t>
            </w:r>
            <w:r>
              <w:rPr>
                <w:spacing w:val="-2"/>
                <w:sz w:val="18"/>
              </w:rPr>
              <w:t>thousands)</w:t>
            </w:r>
          </w:p>
        </w:tc>
        <w:tc>
          <w:tcPr>
            <w:tcW w:w="938" w:type="dxa"/>
            <w:shd w:val="clear" w:color="auto" w:fill="CCEDFF"/>
          </w:tcPr>
          <w:p>
            <w:pPr>
              <w:pStyle w:val="TableParagraph"/>
              <w:rPr>
                <w:sz w:val="16"/>
              </w:rPr>
            </w:pPr>
          </w:p>
        </w:tc>
        <w:tc>
          <w:tcPr>
            <w:tcW w:w="953" w:type="dxa"/>
            <w:shd w:val="clear" w:color="auto" w:fill="CCEDFF"/>
          </w:tcPr>
          <w:p>
            <w:pPr>
              <w:pStyle w:val="TableParagraph"/>
              <w:rPr>
                <w:sz w:val="16"/>
              </w:rPr>
            </w:pPr>
          </w:p>
        </w:tc>
        <w:tc>
          <w:tcPr>
            <w:tcW w:w="976" w:type="dxa"/>
            <w:shd w:val="clear" w:color="auto" w:fill="CCEDFF"/>
          </w:tcPr>
          <w:p>
            <w:pPr>
              <w:pStyle w:val="TableParagraph"/>
              <w:rPr>
                <w:sz w:val="16"/>
              </w:rPr>
            </w:pPr>
          </w:p>
        </w:tc>
        <w:tc>
          <w:tcPr>
            <w:tcW w:w="931" w:type="dxa"/>
            <w:shd w:val="clear" w:color="auto" w:fill="CCEDFF"/>
          </w:tcPr>
          <w:p>
            <w:pPr>
              <w:pStyle w:val="TableParagraph"/>
              <w:rPr>
                <w:sz w:val="16"/>
              </w:rPr>
            </w:pPr>
          </w:p>
        </w:tc>
        <w:tc>
          <w:tcPr>
            <w:tcW w:w="931" w:type="dxa"/>
            <w:shd w:val="clear" w:color="auto" w:fill="CCEDFF"/>
          </w:tcPr>
          <w:p>
            <w:pPr>
              <w:pStyle w:val="TableParagraph"/>
              <w:rPr>
                <w:sz w:val="16"/>
              </w:rPr>
            </w:pPr>
          </w:p>
        </w:tc>
        <w:tc>
          <w:tcPr>
            <w:tcW w:w="961" w:type="dxa"/>
            <w:shd w:val="clear" w:color="auto" w:fill="CCEDFF"/>
          </w:tcPr>
          <w:p>
            <w:pPr>
              <w:pStyle w:val="TableParagraph"/>
              <w:rPr>
                <w:sz w:val="16"/>
              </w:rPr>
            </w:pPr>
          </w:p>
        </w:tc>
      </w:tr>
      <w:tr>
        <w:trPr>
          <w:trHeight w:val="240" w:hRule="atLeast"/>
        </w:trPr>
        <w:tc>
          <w:tcPr>
            <w:tcW w:w="4575" w:type="dxa"/>
          </w:tcPr>
          <w:p>
            <w:pPr>
              <w:pStyle w:val="TableParagraph"/>
              <w:spacing w:line="183" w:lineRule="exact"/>
              <w:ind w:left="187"/>
              <w:rPr>
                <w:sz w:val="18"/>
              </w:rPr>
            </w:pPr>
            <w:r>
              <w:rPr>
                <w:sz w:val="18"/>
              </w:rPr>
              <w:t>At</w:t>
            </w:r>
            <w:r>
              <w:rPr>
                <w:spacing w:val="-1"/>
                <w:sz w:val="18"/>
              </w:rPr>
              <w:t> </w:t>
            </w:r>
            <w:r>
              <w:rPr>
                <w:sz w:val="18"/>
              </w:rPr>
              <w:t>quarter </w:t>
            </w:r>
            <w:r>
              <w:rPr>
                <w:spacing w:val="-5"/>
                <w:sz w:val="18"/>
              </w:rPr>
              <w:t>end</w:t>
            </w:r>
          </w:p>
        </w:tc>
        <w:tc>
          <w:tcPr>
            <w:tcW w:w="938" w:type="dxa"/>
          </w:tcPr>
          <w:p>
            <w:pPr>
              <w:pStyle w:val="TableParagraph"/>
              <w:spacing w:line="183" w:lineRule="exact"/>
              <w:ind w:right="88"/>
              <w:jc w:val="right"/>
              <w:rPr>
                <w:sz w:val="18"/>
              </w:rPr>
            </w:pPr>
            <w:r>
              <w:rPr>
                <w:spacing w:val="-4"/>
                <w:sz w:val="18"/>
              </w:rPr>
              <w:t>35.9</w:t>
            </w:r>
          </w:p>
        </w:tc>
        <w:tc>
          <w:tcPr>
            <w:tcW w:w="953" w:type="dxa"/>
          </w:tcPr>
          <w:p>
            <w:pPr>
              <w:pStyle w:val="TableParagraph"/>
              <w:spacing w:line="183" w:lineRule="exact"/>
              <w:ind w:right="51"/>
              <w:jc w:val="right"/>
              <w:rPr>
                <w:sz w:val="18"/>
              </w:rPr>
            </w:pPr>
            <w:r>
              <w:rPr>
                <w:spacing w:val="-4"/>
                <w:sz w:val="18"/>
              </w:rPr>
              <w:t>35.2</w:t>
            </w:r>
          </w:p>
        </w:tc>
        <w:tc>
          <w:tcPr>
            <w:tcW w:w="976" w:type="dxa"/>
          </w:tcPr>
          <w:p>
            <w:pPr>
              <w:pStyle w:val="TableParagraph"/>
              <w:spacing w:line="183" w:lineRule="exact"/>
              <w:ind w:right="74"/>
              <w:jc w:val="right"/>
              <w:rPr>
                <w:sz w:val="18"/>
              </w:rPr>
            </w:pPr>
            <w:r>
              <w:rPr>
                <w:spacing w:val="-5"/>
                <w:sz w:val="18"/>
              </w:rPr>
              <w:t>2%</w:t>
            </w:r>
          </w:p>
        </w:tc>
        <w:tc>
          <w:tcPr>
            <w:tcW w:w="931" w:type="dxa"/>
          </w:tcPr>
          <w:p>
            <w:pPr>
              <w:pStyle w:val="TableParagraph"/>
              <w:rPr>
                <w:sz w:val="16"/>
              </w:rPr>
            </w:pPr>
          </w:p>
        </w:tc>
        <w:tc>
          <w:tcPr>
            <w:tcW w:w="931" w:type="dxa"/>
          </w:tcPr>
          <w:p>
            <w:pPr>
              <w:pStyle w:val="TableParagraph"/>
              <w:rPr>
                <w:sz w:val="16"/>
              </w:rPr>
            </w:pPr>
          </w:p>
        </w:tc>
        <w:tc>
          <w:tcPr>
            <w:tcW w:w="961" w:type="dxa"/>
          </w:tcPr>
          <w:p>
            <w:pPr>
              <w:pStyle w:val="TableParagraph"/>
              <w:rPr>
                <w:sz w:val="16"/>
              </w:rPr>
            </w:pPr>
          </w:p>
        </w:tc>
      </w:tr>
      <w:tr>
        <w:trPr>
          <w:trHeight w:val="235" w:hRule="atLeast"/>
        </w:trPr>
        <w:tc>
          <w:tcPr>
            <w:tcW w:w="4575" w:type="dxa"/>
            <w:tcBorders>
              <w:bottom w:val="single" w:sz="4" w:space="0" w:color="000000"/>
            </w:tcBorders>
            <w:shd w:val="clear" w:color="auto" w:fill="CCEDFF"/>
          </w:tcPr>
          <w:p>
            <w:pPr>
              <w:pStyle w:val="TableParagraph"/>
              <w:spacing w:line="183" w:lineRule="exact"/>
              <w:ind w:left="187"/>
              <w:rPr>
                <w:sz w:val="18"/>
              </w:rPr>
            </w:pPr>
            <w:r>
              <w:rPr>
                <w:spacing w:val="-2"/>
                <w:sz w:val="18"/>
              </w:rPr>
              <w:t>Average</w:t>
            </w:r>
          </w:p>
        </w:tc>
        <w:tc>
          <w:tcPr>
            <w:tcW w:w="938" w:type="dxa"/>
            <w:tcBorders>
              <w:bottom w:val="single" w:sz="4" w:space="0" w:color="000000"/>
            </w:tcBorders>
            <w:shd w:val="clear" w:color="auto" w:fill="CCEDFF"/>
          </w:tcPr>
          <w:p>
            <w:pPr>
              <w:pStyle w:val="TableParagraph"/>
              <w:spacing w:line="183" w:lineRule="exact"/>
              <w:ind w:right="88"/>
              <w:jc w:val="right"/>
              <w:rPr>
                <w:sz w:val="18"/>
              </w:rPr>
            </w:pPr>
            <w:r>
              <w:rPr>
                <w:spacing w:val="-4"/>
                <w:sz w:val="18"/>
              </w:rPr>
              <w:t>36.1</w:t>
            </w:r>
          </w:p>
        </w:tc>
        <w:tc>
          <w:tcPr>
            <w:tcW w:w="953" w:type="dxa"/>
            <w:tcBorders>
              <w:bottom w:val="single" w:sz="4" w:space="0" w:color="000000"/>
            </w:tcBorders>
            <w:shd w:val="clear" w:color="auto" w:fill="CCEDFF"/>
          </w:tcPr>
          <w:p>
            <w:pPr>
              <w:pStyle w:val="TableParagraph"/>
              <w:spacing w:line="183" w:lineRule="exact"/>
              <w:ind w:right="51"/>
              <w:jc w:val="right"/>
              <w:rPr>
                <w:sz w:val="18"/>
              </w:rPr>
            </w:pPr>
            <w:r>
              <w:rPr>
                <w:spacing w:val="-4"/>
                <w:sz w:val="18"/>
              </w:rPr>
              <w:t>35.2</w:t>
            </w:r>
          </w:p>
        </w:tc>
        <w:tc>
          <w:tcPr>
            <w:tcW w:w="976" w:type="dxa"/>
            <w:tcBorders>
              <w:bottom w:val="single" w:sz="4" w:space="0" w:color="000000"/>
            </w:tcBorders>
            <w:shd w:val="clear" w:color="auto" w:fill="CCEDFF"/>
          </w:tcPr>
          <w:p>
            <w:pPr>
              <w:pStyle w:val="TableParagraph"/>
              <w:spacing w:line="183" w:lineRule="exact"/>
              <w:ind w:right="74"/>
              <w:jc w:val="right"/>
              <w:rPr>
                <w:sz w:val="18"/>
              </w:rPr>
            </w:pPr>
            <w:r>
              <w:rPr>
                <w:spacing w:val="-5"/>
                <w:sz w:val="18"/>
              </w:rPr>
              <w:t>3%</w:t>
            </w:r>
          </w:p>
        </w:tc>
        <w:tc>
          <w:tcPr>
            <w:tcW w:w="931" w:type="dxa"/>
            <w:tcBorders>
              <w:bottom w:val="single" w:sz="4" w:space="0" w:color="000000"/>
            </w:tcBorders>
            <w:shd w:val="clear" w:color="auto" w:fill="CCEDFF"/>
          </w:tcPr>
          <w:p>
            <w:pPr>
              <w:pStyle w:val="TableParagraph"/>
              <w:spacing w:line="183" w:lineRule="exact"/>
              <w:ind w:right="83"/>
              <w:jc w:val="right"/>
              <w:rPr>
                <w:sz w:val="18"/>
              </w:rPr>
            </w:pPr>
            <w:r>
              <w:rPr>
                <w:spacing w:val="-4"/>
                <w:sz w:val="18"/>
              </w:rPr>
              <w:t>36.0</w:t>
            </w:r>
          </w:p>
        </w:tc>
        <w:tc>
          <w:tcPr>
            <w:tcW w:w="931" w:type="dxa"/>
            <w:tcBorders>
              <w:bottom w:val="single" w:sz="4" w:space="0" w:color="000000"/>
            </w:tcBorders>
            <w:shd w:val="clear" w:color="auto" w:fill="CCEDFF"/>
          </w:tcPr>
          <w:p>
            <w:pPr>
              <w:pStyle w:val="TableParagraph"/>
              <w:spacing w:line="183" w:lineRule="exact"/>
              <w:ind w:right="54"/>
              <w:jc w:val="right"/>
              <w:rPr>
                <w:sz w:val="18"/>
              </w:rPr>
            </w:pPr>
            <w:r>
              <w:rPr>
                <w:spacing w:val="-4"/>
                <w:sz w:val="18"/>
              </w:rPr>
              <w:t>34.5</w:t>
            </w:r>
          </w:p>
        </w:tc>
        <w:tc>
          <w:tcPr>
            <w:tcW w:w="961" w:type="dxa"/>
            <w:tcBorders>
              <w:bottom w:val="single" w:sz="4" w:space="0" w:color="000000"/>
            </w:tcBorders>
            <w:shd w:val="clear" w:color="auto" w:fill="CCEDFF"/>
          </w:tcPr>
          <w:p>
            <w:pPr>
              <w:pStyle w:val="TableParagraph"/>
              <w:spacing w:line="183" w:lineRule="exact"/>
              <w:ind w:right="77"/>
              <w:jc w:val="right"/>
              <w:rPr>
                <w:sz w:val="18"/>
              </w:rPr>
            </w:pPr>
            <w:r>
              <w:rPr>
                <w:spacing w:val="-5"/>
                <w:sz w:val="18"/>
              </w:rPr>
              <w:t>4%</w:t>
            </w:r>
          </w:p>
        </w:tc>
      </w:tr>
    </w:tbl>
    <w:p>
      <w:pPr>
        <w:pStyle w:val="BodyText"/>
        <w:spacing w:line="249" w:lineRule="auto" w:before="207"/>
        <w:ind w:left="470" w:right="500"/>
      </w:pPr>
      <w:r>
        <w:rPr/>
        <w:t>Expenses excluding interest increased by $400 million, or 14%, and $719 million, or 8%, in the third quarter and first nine months</w:t>
      </w:r>
      <w:r>
        <w:rPr>
          <w:spacing w:val="-4"/>
        </w:rPr>
        <w:t> </w:t>
      </w:r>
      <w:r>
        <w:rPr/>
        <w:t>of</w:t>
      </w:r>
      <w:r>
        <w:rPr>
          <w:spacing w:val="-3"/>
        </w:rPr>
        <w:t> </w:t>
      </w:r>
      <w:r>
        <w:rPr/>
        <w:t>2023,</w:t>
      </w:r>
      <w:r>
        <w:rPr>
          <w:spacing w:val="-3"/>
        </w:rPr>
        <w:t> </w:t>
      </w:r>
      <w:r>
        <w:rPr/>
        <w:t>respectively,</w:t>
      </w:r>
      <w:r>
        <w:rPr>
          <w:spacing w:val="-3"/>
        </w:rPr>
        <w:t> </w:t>
      </w:r>
      <w:r>
        <w:rPr/>
        <w:t>compared</w:t>
      </w:r>
      <w:r>
        <w:rPr>
          <w:spacing w:val="-3"/>
        </w:rPr>
        <w:t> </w:t>
      </w:r>
      <w:r>
        <w:rPr/>
        <w:t>to</w:t>
      </w:r>
      <w:r>
        <w:rPr>
          <w:spacing w:val="-3"/>
        </w:rPr>
        <w:t> </w:t>
      </w:r>
      <w:r>
        <w:rPr/>
        <w:t>the</w:t>
      </w:r>
      <w:r>
        <w:rPr>
          <w:spacing w:val="-4"/>
        </w:rPr>
        <w:t> </w:t>
      </w:r>
      <w:r>
        <w:rPr/>
        <w:t>same</w:t>
      </w:r>
      <w:r>
        <w:rPr>
          <w:spacing w:val="-4"/>
        </w:rPr>
        <w:t> </w:t>
      </w:r>
      <w:r>
        <w:rPr/>
        <w:t>periods</w:t>
      </w:r>
      <w:r>
        <w:rPr>
          <w:spacing w:val="-4"/>
        </w:rPr>
        <w:t> </w:t>
      </w:r>
      <w:r>
        <w:rPr/>
        <w:t>in</w:t>
      </w:r>
      <w:r>
        <w:rPr>
          <w:spacing w:val="-3"/>
        </w:rPr>
        <w:t> </w:t>
      </w:r>
      <w:r>
        <w:rPr/>
        <w:t>2022.</w:t>
      </w:r>
      <w:r>
        <w:rPr>
          <w:spacing w:val="-3"/>
        </w:rPr>
        <w:t> </w:t>
      </w:r>
      <w:r>
        <w:rPr/>
        <w:t>Adjusted</w:t>
      </w:r>
      <w:r>
        <w:rPr>
          <w:spacing w:val="-3"/>
        </w:rPr>
        <w:t> </w:t>
      </w:r>
      <w:r>
        <w:rPr/>
        <w:t>total</w:t>
      </w:r>
      <w:r>
        <w:rPr>
          <w:spacing w:val="-4"/>
        </w:rPr>
        <w:t> </w:t>
      </w:r>
      <w:r>
        <w:rPr/>
        <w:t>expenses,</w:t>
      </w:r>
      <w:r>
        <w:rPr>
          <w:spacing w:val="-3"/>
        </w:rPr>
        <w:t> </w:t>
      </w:r>
      <w:r>
        <w:rPr/>
        <w:t>which</w:t>
      </w:r>
      <w:r>
        <w:rPr>
          <w:spacing w:val="-3"/>
        </w:rPr>
        <w:t> </w:t>
      </w:r>
      <w:r>
        <w:rPr/>
        <w:t>excludes</w:t>
      </w:r>
      <w:r>
        <w:rPr>
          <w:spacing w:val="-4"/>
        </w:rPr>
        <w:t> </w:t>
      </w:r>
      <w:r>
        <w:rPr/>
        <w:t>acquisition</w:t>
      </w:r>
      <w:r>
        <w:rPr>
          <w:spacing w:val="-3"/>
        </w:rPr>
        <w:t> </w:t>
      </w:r>
      <w:r>
        <w:rPr/>
        <w:t>and</w:t>
      </w:r>
    </w:p>
    <w:p>
      <w:pPr>
        <w:spacing w:after="0" w:line="249" w:lineRule="auto"/>
        <w:sectPr>
          <w:type w:val="continuous"/>
          <w:pgSz w:w="12240" w:h="15840"/>
          <w:pgMar w:header="512" w:footer="201" w:top="320" w:bottom="280" w:left="520" w:right="520"/>
        </w:sectPr>
      </w:pPr>
    </w:p>
    <w:p>
      <w:pPr>
        <w:pStyle w:val="BodyText"/>
        <w:spacing w:line="249" w:lineRule="auto" w:before="211"/>
        <w:ind w:left="470" w:right="500"/>
      </w:pPr>
      <w:r>
        <w:rPr/>
        <w:t>integration-related costs, amortization of acquired intangible assets, and, beginning in the third quarter of 2023, restructuring costs, increased 5% and 6% in the third quarter and first nine months of 2023, respectively, compared to the same periods in 2022.</w:t>
      </w:r>
      <w:r>
        <w:rPr>
          <w:spacing w:val="-3"/>
        </w:rPr>
        <w:t> </w:t>
      </w:r>
      <w:r>
        <w:rPr/>
        <w:t>See</w:t>
      </w:r>
      <w:r>
        <w:rPr>
          <w:spacing w:val="-4"/>
        </w:rPr>
        <w:t> </w:t>
      </w:r>
      <w:r>
        <w:rPr/>
        <w:t>Non-GAAP</w:t>
      </w:r>
      <w:r>
        <w:rPr>
          <w:spacing w:val="-4"/>
        </w:rPr>
        <w:t> </w:t>
      </w:r>
      <w:r>
        <w:rPr/>
        <w:t>Financial</w:t>
      </w:r>
      <w:r>
        <w:rPr>
          <w:spacing w:val="-4"/>
        </w:rPr>
        <w:t> </w:t>
      </w:r>
      <w:r>
        <w:rPr/>
        <w:t>Measures</w:t>
      </w:r>
      <w:r>
        <w:rPr>
          <w:spacing w:val="-4"/>
        </w:rPr>
        <w:t> </w:t>
      </w:r>
      <w:r>
        <w:rPr/>
        <w:t>for</w:t>
      </w:r>
      <w:r>
        <w:rPr>
          <w:spacing w:val="-3"/>
        </w:rPr>
        <w:t> </w:t>
      </w:r>
      <w:r>
        <w:rPr/>
        <w:t>further</w:t>
      </w:r>
      <w:r>
        <w:rPr>
          <w:spacing w:val="-3"/>
        </w:rPr>
        <w:t> </w:t>
      </w:r>
      <w:r>
        <w:rPr/>
        <w:t>details</w:t>
      </w:r>
      <w:r>
        <w:rPr>
          <w:spacing w:val="-4"/>
        </w:rPr>
        <w:t> </w:t>
      </w:r>
      <w:r>
        <w:rPr/>
        <w:t>and</w:t>
      </w:r>
      <w:r>
        <w:rPr>
          <w:spacing w:val="-3"/>
        </w:rPr>
        <w:t> </w:t>
      </w:r>
      <w:r>
        <w:rPr/>
        <w:t>a</w:t>
      </w:r>
      <w:r>
        <w:rPr>
          <w:spacing w:val="-4"/>
        </w:rPr>
        <w:t> </w:t>
      </w:r>
      <w:r>
        <w:rPr/>
        <w:t>reconciliation</w:t>
      </w:r>
      <w:r>
        <w:rPr>
          <w:spacing w:val="-3"/>
        </w:rPr>
        <w:t> </w:t>
      </w:r>
      <w:r>
        <w:rPr/>
        <w:t>of</w:t>
      </w:r>
      <w:r>
        <w:rPr>
          <w:spacing w:val="-3"/>
        </w:rPr>
        <w:t> </w:t>
      </w:r>
      <w:r>
        <w:rPr/>
        <w:t>such</w:t>
      </w:r>
      <w:r>
        <w:rPr>
          <w:spacing w:val="-3"/>
        </w:rPr>
        <w:t> </w:t>
      </w:r>
      <w:r>
        <w:rPr/>
        <w:t>measures</w:t>
      </w:r>
      <w:r>
        <w:rPr>
          <w:spacing w:val="-4"/>
        </w:rPr>
        <w:t> </w:t>
      </w:r>
      <w:r>
        <w:rPr/>
        <w:t>to</w:t>
      </w:r>
      <w:r>
        <w:rPr>
          <w:spacing w:val="-3"/>
        </w:rPr>
        <w:t> </w:t>
      </w:r>
      <w:r>
        <w:rPr/>
        <w:t>GAAP</w:t>
      </w:r>
      <w:r>
        <w:rPr>
          <w:spacing w:val="-4"/>
        </w:rPr>
        <w:t> </w:t>
      </w:r>
      <w:r>
        <w:rPr/>
        <w:t>reported</w:t>
      </w:r>
      <w:r>
        <w:rPr>
          <w:spacing w:val="-3"/>
        </w:rPr>
        <w:t> </w:t>
      </w:r>
      <w:r>
        <w:rPr/>
        <w:t>results. The Company began incurring restructuring costs in the third quarter of 2023 in connection with actions to streamline its operations to prepare for post-integration of TD Ameritrade (see below and Overview – Other for additional information).</w:t>
      </w:r>
    </w:p>
    <w:p>
      <w:pPr>
        <w:pStyle w:val="BodyText"/>
        <w:spacing w:before="14"/>
      </w:pPr>
    </w:p>
    <w:p>
      <w:pPr>
        <w:pStyle w:val="BodyText"/>
        <w:spacing w:line="249" w:lineRule="auto"/>
        <w:ind w:left="470" w:right="500"/>
      </w:pPr>
      <w:r>
        <w:rPr/>
        <w:t>Total compensation and benefits expense increased in the third quarter and first nine months of 2023 compared to the same periods</w:t>
      </w:r>
      <w:r>
        <w:rPr>
          <w:spacing w:val="-4"/>
        </w:rPr>
        <w:t> </w:t>
      </w:r>
      <w:r>
        <w:rPr/>
        <w:t>in</w:t>
      </w:r>
      <w:r>
        <w:rPr>
          <w:spacing w:val="-3"/>
        </w:rPr>
        <w:t> </w:t>
      </w:r>
      <w:r>
        <w:rPr/>
        <w:t>2022,</w:t>
      </w:r>
      <w:r>
        <w:rPr>
          <w:spacing w:val="-3"/>
        </w:rPr>
        <w:t> </w:t>
      </w:r>
      <w:r>
        <w:rPr/>
        <w:t>primarily</w:t>
      </w:r>
      <w:r>
        <w:rPr>
          <w:spacing w:val="-3"/>
        </w:rPr>
        <w:t> </w:t>
      </w:r>
      <w:r>
        <w:rPr/>
        <w:t>due</w:t>
      </w:r>
      <w:r>
        <w:rPr>
          <w:spacing w:val="-4"/>
        </w:rPr>
        <w:t> </w:t>
      </w:r>
      <w:r>
        <w:rPr/>
        <w:t>to</w:t>
      </w:r>
      <w:r>
        <w:rPr>
          <w:spacing w:val="-3"/>
        </w:rPr>
        <w:t> </w:t>
      </w:r>
      <w:r>
        <w:rPr/>
        <w:t>restructuring</w:t>
      </w:r>
      <w:r>
        <w:rPr>
          <w:spacing w:val="-3"/>
        </w:rPr>
        <w:t> </w:t>
      </w:r>
      <w:r>
        <w:rPr/>
        <w:t>costs</w:t>
      </w:r>
      <w:r>
        <w:rPr>
          <w:spacing w:val="-4"/>
        </w:rPr>
        <w:t> </w:t>
      </w:r>
      <w:r>
        <w:rPr/>
        <w:t>recognized</w:t>
      </w:r>
      <w:r>
        <w:rPr>
          <w:spacing w:val="-3"/>
        </w:rPr>
        <w:t> </w:t>
      </w:r>
      <w:r>
        <w:rPr/>
        <w:t>during</w:t>
      </w:r>
      <w:r>
        <w:rPr>
          <w:spacing w:val="-3"/>
        </w:rPr>
        <w:t> </w:t>
      </w:r>
      <w:r>
        <w:rPr/>
        <w:t>the</w:t>
      </w:r>
      <w:r>
        <w:rPr>
          <w:spacing w:val="-4"/>
        </w:rPr>
        <w:t> </w:t>
      </w:r>
      <w:r>
        <w:rPr/>
        <w:t>third</w:t>
      </w:r>
      <w:r>
        <w:rPr>
          <w:spacing w:val="-3"/>
        </w:rPr>
        <w:t> </w:t>
      </w:r>
      <w:r>
        <w:rPr/>
        <w:t>quarter</w:t>
      </w:r>
      <w:r>
        <w:rPr>
          <w:spacing w:val="-3"/>
        </w:rPr>
        <w:t> </w:t>
      </w:r>
      <w:r>
        <w:rPr/>
        <w:t>of</w:t>
      </w:r>
      <w:r>
        <w:rPr>
          <w:spacing w:val="-3"/>
        </w:rPr>
        <w:t> </w:t>
      </w:r>
      <w:r>
        <w:rPr/>
        <w:t>2023</w:t>
      </w:r>
      <w:r>
        <w:rPr>
          <w:spacing w:val="-3"/>
        </w:rPr>
        <w:t> </w:t>
      </w:r>
      <w:r>
        <w:rPr/>
        <w:t>related</w:t>
      </w:r>
      <w:r>
        <w:rPr>
          <w:spacing w:val="-3"/>
        </w:rPr>
        <w:t> </w:t>
      </w:r>
      <w:r>
        <w:rPr/>
        <w:t>to</w:t>
      </w:r>
      <w:r>
        <w:rPr>
          <w:spacing w:val="-3"/>
        </w:rPr>
        <w:t> </w:t>
      </w:r>
      <w:r>
        <w:rPr/>
        <w:t>position</w:t>
      </w:r>
      <w:r>
        <w:rPr>
          <w:spacing w:val="-3"/>
        </w:rPr>
        <w:t> </w:t>
      </w:r>
      <w:r>
        <w:rPr/>
        <w:t>eliminations, higher employee headcount to support our expanding client base and TDA client account transitions, and annual merit</w:t>
      </w:r>
      <w:r>
        <w:rPr/>
        <w:t> increases. These increases were partially offset by lower incentive compensation. Compensation and benefits included acquisition and integration-related costs of $52 million and $57 million in the third quarter of 2023 and 2022, respectively, and</w:t>
      </w:r>
    </w:p>
    <w:p>
      <w:pPr>
        <w:pStyle w:val="BodyText"/>
        <w:spacing w:line="249" w:lineRule="auto" w:before="4"/>
        <w:ind w:left="470"/>
      </w:pPr>
      <w:r>
        <w:rPr/>
        <w:t>$158</w:t>
      </w:r>
      <w:r>
        <w:rPr>
          <w:spacing w:val="-3"/>
        </w:rPr>
        <w:t> </w:t>
      </w:r>
      <w:r>
        <w:rPr/>
        <w:t>million</w:t>
      </w:r>
      <w:r>
        <w:rPr>
          <w:spacing w:val="-3"/>
        </w:rPr>
        <w:t> </w:t>
      </w:r>
      <w:r>
        <w:rPr/>
        <w:t>and</w:t>
      </w:r>
      <w:r>
        <w:rPr>
          <w:spacing w:val="-3"/>
        </w:rPr>
        <w:t> </w:t>
      </w:r>
      <w:r>
        <w:rPr/>
        <w:t>$166</w:t>
      </w:r>
      <w:r>
        <w:rPr>
          <w:spacing w:val="-3"/>
        </w:rPr>
        <w:t> </w:t>
      </w:r>
      <w:r>
        <w:rPr/>
        <w:t>million</w:t>
      </w:r>
      <w:r>
        <w:rPr>
          <w:spacing w:val="-3"/>
        </w:rPr>
        <w:t> </w:t>
      </w:r>
      <w:r>
        <w:rPr/>
        <w:t>in</w:t>
      </w:r>
      <w:r>
        <w:rPr>
          <w:spacing w:val="-3"/>
        </w:rPr>
        <w:t> </w:t>
      </w:r>
      <w:r>
        <w:rPr/>
        <w:t>the</w:t>
      </w:r>
      <w:r>
        <w:rPr>
          <w:spacing w:val="-4"/>
        </w:rPr>
        <w:t> </w:t>
      </w:r>
      <w:r>
        <w:rPr/>
        <w:t>first</w:t>
      </w:r>
      <w:r>
        <w:rPr>
          <w:spacing w:val="-4"/>
        </w:rPr>
        <w:t> </w:t>
      </w:r>
      <w:r>
        <w:rPr/>
        <w:t>nine</w:t>
      </w:r>
      <w:r>
        <w:rPr>
          <w:spacing w:val="-4"/>
        </w:rPr>
        <w:t> </w:t>
      </w:r>
      <w:r>
        <w:rPr/>
        <w:t>months</w:t>
      </w:r>
      <w:r>
        <w:rPr>
          <w:spacing w:val="-4"/>
        </w:rPr>
        <w:t> </w:t>
      </w:r>
      <w:r>
        <w:rPr/>
        <w:t>of</w:t>
      </w:r>
      <w:r>
        <w:rPr>
          <w:spacing w:val="-3"/>
        </w:rPr>
        <w:t> </w:t>
      </w:r>
      <w:r>
        <w:rPr/>
        <w:t>2023</w:t>
      </w:r>
      <w:r>
        <w:rPr>
          <w:spacing w:val="-3"/>
        </w:rPr>
        <w:t> </w:t>
      </w:r>
      <w:r>
        <w:rPr/>
        <w:t>and</w:t>
      </w:r>
      <w:r>
        <w:rPr>
          <w:spacing w:val="-3"/>
        </w:rPr>
        <w:t> </w:t>
      </w:r>
      <w:r>
        <w:rPr/>
        <w:t>2022,</w:t>
      </w:r>
      <w:r>
        <w:rPr>
          <w:spacing w:val="-3"/>
        </w:rPr>
        <w:t> </w:t>
      </w:r>
      <w:r>
        <w:rPr/>
        <w:t>respectively.</w:t>
      </w:r>
      <w:r>
        <w:rPr>
          <w:spacing w:val="-3"/>
        </w:rPr>
        <w:t> </w:t>
      </w:r>
      <w:r>
        <w:rPr/>
        <w:t>Compensation</w:t>
      </w:r>
      <w:r>
        <w:rPr>
          <w:spacing w:val="-3"/>
        </w:rPr>
        <w:t> </w:t>
      </w:r>
      <w:r>
        <w:rPr/>
        <w:t>and</w:t>
      </w:r>
      <w:r>
        <w:rPr>
          <w:spacing w:val="-3"/>
        </w:rPr>
        <w:t> </w:t>
      </w:r>
      <w:r>
        <w:rPr/>
        <w:t>benefits</w:t>
      </w:r>
      <w:r>
        <w:rPr>
          <w:spacing w:val="-4"/>
        </w:rPr>
        <w:t> </w:t>
      </w:r>
      <w:r>
        <w:rPr/>
        <w:t>also</w:t>
      </w:r>
      <w:r>
        <w:rPr>
          <w:spacing w:val="-3"/>
        </w:rPr>
        <w:t> </w:t>
      </w:r>
      <w:r>
        <w:rPr/>
        <w:t>included restructuring costs of $276 million in the third quarter and first nine months of 2023.</w:t>
      </w:r>
    </w:p>
    <w:p>
      <w:pPr>
        <w:pStyle w:val="BodyText"/>
        <w:spacing w:before="12"/>
      </w:pPr>
    </w:p>
    <w:p>
      <w:pPr>
        <w:pStyle w:val="BodyText"/>
        <w:spacing w:line="249" w:lineRule="auto"/>
        <w:ind w:left="470" w:right="761"/>
      </w:pPr>
      <w:r>
        <w:rPr/>
        <w:t>Professional services expense increased in the third quarter and first nine months of 2023 compared to the same periods in 2022,</w:t>
      </w:r>
      <w:r>
        <w:rPr>
          <w:spacing w:val="-2"/>
        </w:rPr>
        <w:t> </w:t>
      </w:r>
      <w:r>
        <w:rPr/>
        <w:t>primarily</w:t>
      </w:r>
      <w:r>
        <w:rPr>
          <w:spacing w:val="-2"/>
        </w:rPr>
        <w:t> </w:t>
      </w:r>
      <w:r>
        <w:rPr/>
        <w:t>due</w:t>
      </w:r>
      <w:r>
        <w:rPr>
          <w:spacing w:val="-3"/>
        </w:rPr>
        <w:t> </w:t>
      </w:r>
      <w:r>
        <w:rPr/>
        <w:t>to</w:t>
      </w:r>
      <w:r>
        <w:rPr>
          <w:spacing w:val="-2"/>
        </w:rPr>
        <w:t> </w:t>
      </w:r>
      <w:r>
        <w:rPr/>
        <w:t>increased</w:t>
      </w:r>
      <w:r>
        <w:rPr>
          <w:spacing w:val="-2"/>
        </w:rPr>
        <w:t> </w:t>
      </w:r>
      <w:r>
        <w:rPr/>
        <w:t>utilization</w:t>
      </w:r>
      <w:r>
        <w:rPr>
          <w:spacing w:val="-2"/>
        </w:rPr>
        <w:t> </w:t>
      </w:r>
      <w:r>
        <w:rPr/>
        <w:t>of</w:t>
      </w:r>
      <w:r>
        <w:rPr>
          <w:spacing w:val="-2"/>
        </w:rPr>
        <w:t> </w:t>
      </w:r>
      <w:r>
        <w:rPr/>
        <w:t>professional</w:t>
      </w:r>
      <w:r>
        <w:rPr>
          <w:spacing w:val="-3"/>
        </w:rPr>
        <w:t> </w:t>
      </w:r>
      <w:r>
        <w:rPr/>
        <w:t>services</w:t>
      </w:r>
      <w:r>
        <w:rPr>
          <w:spacing w:val="-3"/>
        </w:rPr>
        <w:t> </w:t>
      </w:r>
      <w:r>
        <w:rPr/>
        <w:t>to</w:t>
      </w:r>
      <w:r>
        <w:rPr>
          <w:spacing w:val="-2"/>
        </w:rPr>
        <w:t> </w:t>
      </w:r>
      <w:r>
        <w:rPr/>
        <w:t>support</w:t>
      </w:r>
      <w:r>
        <w:rPr>
          <w:spacing w:val="-3"/>
        </w:rPr>
        <w:t> </w:t>
      </w:r>
      <w:r>
        <w:rPr/>
        <w:t>overall</w:t>
      </w:r>
      <w:r>
        <w:rPr>
          <w:spacing w:val="-3"/>
        </w:rPr>
        <w:t> </w:t>
      </w:r>
      <w:r>
        <w:rPr/>
        <w:t>growth</w:t>
      </w:r>
      <w:r>
        <w:rPr>
          <w:spacing w:val="-2"/>
        </w:rPr>
        <w:t> </w:t>
      </w:r>
      <w:r>
        <w:rPr/>
        <w:t>of</w:t>
      </w:r>
      <w:r>
        <w:rPr>
          <w:spacing w:val="-2"/>
        </w:rPr>
        <w:t> </w:t>
      </w:r>
      <w:r>
        <w:rPr/>
        <w:t>the</w:t>
      </w:r>
      <w:r>
        <w:rPr>
          <w:spacing w:val="-3"/>
        </w:rPr>
        <w:t> </w:t>
      </w:r>
      <w:r>
        <w:rPr/>
        <w:t>business,</w:t>
      </w:r>
      <w:r>
        <w:rPr>
          <w:spacing w:val="-2"/>
        </w:rPr>
        <w:t> </w:t>
      </w:r>
      <w:r>
        <w:rPr/>
        <w:t>as</w:t>
      </w:r>
      <w:r>
        <w:rPr>
          <w:spacing w:val="-3"/>
        </w:rPr>
        <w:t> </w:t>
      </w:r>
      <w:r>
        <w:rPr/>
        <w:t>well</w:t>
      </w:r>
      <w:r>
        <w:rPr>
          <w:spacing w:val="-3"/>
        </w:rPr>
        <w:t> </w:t>
      </w:r>
      <w:r>
        <w:rPr/>
        <w:t>as</w:t>
      </w:r>
      <w:r>
        <w:rPr>
          <w:spacing w:val="-3"/>
        </w:rPr>
        <w:t> </w:t>
      </w:r>
      <w:r>
        <w:rPr/>
        <w:t>the TDA integration and client account transitions. Professional services included acquisition and integration-related costs of</w:t>
      </w:r>
    </w:p>
    <w:p>
      <w:pPr>
        <w:pStyle w:val="BodyText"/>
        <w:spacing w:line="249" w:lineRule="auto" w:before="3"/>
        <w:ind w:left="470" w:right="500"/>
      </w:pPr>
      <w:r>
        <w:rPr/>
        <w:t>$37</w:t>
      </w:r>
      <w:r>
        <w:rPr>
          <w:spacing w:val="-2"/>
        </w:rPr>
        <w:t> </w:t>
      </w:r>
      <w:r>
        <w:rPr/>
        <w:t>million</w:t>
      </w:r>
      <w:r>
        <w:rPr>
          <w:spacing w:val="-2"/>
        </w:rPr>
        <w:t> </w:t>
      </w:r>
      <w:r>
        <w:rPr/>
        <w:t>and</w:t>
      </w:r>
      <w:r>
        <w:rPr>
          <w:spacing w:val="-2"/>
        </w:rPr>
        <w:t> </w:t>
      </w:r>
      <w:r>
        <w:rPr/>
        <w:t>$36</w:t>
      </w:r>
      <w:r>
        <w:rPr>
          <w:spacing w:val="-2"/>
        </w:rPr>
        <w:t> </w:t>
      </w:r>
      <w:r>
        <w:rPr/>
        <w:t>million</w:t>
      </w:r>
      <w:r>
        <w:rPr>
          <w:spacing w:val="-2"/>
        </w:rPr>
        <w:t> </w:t>
      </w:r>
      <w:r>
        <w:rPr/>
        <w:t>in</w:t>
      </w:r>
      <w:r>
        <w:rPr>
          <w:spacing w:val="-2"/>
        </w:rPr>
        <w:t> </w:t>
      </w:r>
      <w:r>
        <w:rPr/>
        <w:t>the</w:t>
      </w:r>
      <w:r>
        <w:rPr>
          <w:spacing w:val="-3"/>
        </w:rPr>
        <w:t> </w:t>
      </w:r>
      <w:r>
        <w:rPr/>
        <w:t>third</w:t>
      </w:r>
      <w:r>
        <w:rPr>
          <w:spacing w:val="-2"/>
        </w:rPr>
        <w:t> </w:t>
      </w:r>
      <w:r>
        <w:rPr/>
        <w:t>quarter</w:t>
      </w:r>
      <w:r>
        <w:rPr>
          <w:spacing w:val="-2"/>
        </w:rPr>
        <w:t> </w:t>
      </w:r>
      <w:r>
        <w:rPr/>
        <w:t>of</w:t>
      </w:r>
      <w:r>
        <w:rPr>
          <w:spacing w:val="-2"/>
        </w:rPr>
        <w:t> </w:t>
      </w:r>
      <w:r>
        <w:rPr/>
        <w:t>2023</w:t>
      </w:r>
      <w:r>
        <w:rPr>
          <w:spacing w:val="-2"/>
        </w:rPr>
        <w:t> </w:t>
      </w:r>
      <w:r>
        <w:rPr/>
        <w:t>and</w:t>
      </w:r>
      <w:r>
        <w:rPr>
          <w:spacing w:val="-2"/>
        </w:rPr>
        <w:t> </w:t>
      </w:r>
      <w:r>
        <w:rPr/>
        <w:t>2022,</w:t>
      </w:r>
      <w:r>
        <w:rPr>
          <w:spacing w:val="-2"/>
        </w:rPr>
        <w:t> </w:t>
      </w:r>
      <w:r>
        <w:rPr/>
        <w:t>respectively,</w:t>
      </w:r>
      <w:r>
        <w:rPr>
          <w:spacing w:val="-2"/>
        </w:rPr>
        <w:t> </w:t>
      </w:r>
      <w:r>
        <w:rPr/>
        <w:t>and</w:t>
      </w:r>
      <w:r>
        <w:rPr>
          <w:spacing w:val="-2"/>
        </w:rPr>
        <w:t> </w:t>
      </w:r>
      <w:r>
        <w:rPr/>
        <w:t>$111</w:t>
      </w:r>
      <w:r>
        <w:rPr>
          <w:spacing w:val="-2"/>
        </w:rPr>
        <w:t> </w:t>
      </w:r>
      <w:r>
        <w:rPr/>
        <w:t>million</w:t>
      </w:r>
      <w:r>
        <w:rPr>
          <w:spacing w:val="-2"/>
        </w:rPr>
        <w:t> </w:t>
      </w:r>
      <w:r>
        <w:rPr/>
        <w:t>and</w:t>
      </w:r>
      <w:r>
        <w:rPr>
          <w:spacing w:val="-2"/>
        </w:rPr>
        <w:t> </w:t>
      </w:r>
      <w:r>
        <w:rPr/>
        <w:t>$102</w:t>
      </w:r>
      <w:r>
        <w:rPr>
          <w:spacing w:val="-2"/>
        </w:rPr>
        <w:t> </w:t>
      </w:r>
      <w:r>
        <w:rPr/>
        <w:t>million</w:t>
      </w:r>
      <w:r>
        <w:rPr>
          <w:spacing w:val="-2"/>
        </w:rPr>
        <w:t> </w:t>
      </w:r>
      <w:r>
        <w:rPr/>
        <w:t>in</w:t>
      </w:r>
      <w:r>
        <w:rPr>
          <w:spacing w:val="-2"/>
        </w:rPr>
        <w:t> </w:t>
      </w:r>
      <w:r>
        <w:rPr/>
        <w:t>the</w:t>
      </w:r>
      <w:r>
        <w:rPr>
          <w:spacing w:val="-3"/>
        </w:rPr>
        <w:t> </w:t>
      </w:r>
      <w:r>
        <w:rPr/>
        <w:t>first nine months of 2023 and 2022, respectively.</w:t>
      </w:r>
    </w:p>
    <w:p>
      <w:pPr>
        <w:pStyle w:val="BodyText"/>
        <w:spacing w:before="11"/>
      </w:pPr>
    </w:p>
    <w:p>
      <w:pPr>
        <w:pStyle w:val="BodyText"/>
        <w:spacing w:line="249" w:lineRule="auto"/>
        <w:ind w:left="470" w:right="505"/>
      </w:pPr>
      <w:r>
        <w:rPr/>
        <w:t>Occupancy</w:t>
      </w:r>
      <w:r>
        <w:rPr>
          <w:spacing w:val="-2"/>
        </w:rPr>
        <w:t> </w:t>
      </w:r>
      <w:r>
        <w:rPr/>
        <w:t>and</w:t>
      </w:r>
      <w:r>
        <w:rPr>
          <w:spacing w:val="-2"/>
        </w:rPr>
        <w:t> </w:t>
      </w:r>
      <w:r>
        <w:rPr/>
        <w:t>equipment</w:t>
      </w:r>
      <w:r>
        <w:rPr>
          <w:spacing w:val="-3"/>
        </w:rPr>
        <w:t> </w:t>
      </w:r>
      <w:r>
        <w:rPr/>
        <w:t>expense</w:t>
      </w:r>
      <w:r>
        <w:rPr>
          <w:spacing w:val="-3"/>
        </w:rPr>
        <w:t> </w:t>
      </w:r>
      <w:r>
        <w:rPr/>
        <w:t>increased</w:t>
      </w:r>
      <w:r>
        <w:rPr>
          <w:spacing w:val="-2"/>
        </w:rPr>
        <w:t> </w:t>
      </w:r>
      <w:r>
        <w:rPr/>
        <w:t>in</w:t>
      </w:r>
      <w:r>
        <w:rPr>
          <w:spacing w:val="-2"/>
        </w:rPr>
        <w:t> </w:t>
      </w:r>
      <w:r>
        <w:rPr/>
        <w:t>the</w:t>
      </w:r>
      <w:r>
        <w:rPr>
          <w:spacing w:val="-3"/>
        </w:rPr>
        <w:t> </w:t>
      </w:r>
      <w:r>
        <w:rPr/>
        <w:t>third</w:t>
      </w:r>
      <w:r>
        <w:rPr>
          <w:spacing w:val="-2"/>
        </w:rPr>
        <w:t> </w:t>
      </w:r>
      <w:r>
        <w:rPr/>
        <w:t>quarter</w:t>
      </w:r>
      <w:r>
        <w:rPr>
          <w:spacing w:val="-2"/>
        </w:rPr>
        <w:t> </w:t>
      </w:r>
      <w:r>
        <w:rPr/>
        <w:t>and</w:t>
      </w:r>
      <w:r>
        <w:rPr>
          <w:spacing w:val="-2"/>
        </w:rPr>
        <w:t> </w:t>
      </w:r>
      <w:r>
        <w:rPr/>
        <w:t>first</w:t>
      </w:r>
      <w:r>
        <w:rPr>
          <w:spacing w:val="-3"/>
        </w:rPr>
        <w:t> </w:t>
      </w:r>
      <w:r>
        <w:rPr/>
        <w:t>nine</w:t>
      </w:r>
      <w:r>
        <w:rPr>
          <w:spacing w:val="-3"/>
        </w:rPr>
        <w:t> </w:t>
      </w:r>
      <w:r>
        <w:rPr/>
        <w:t>months</w:t>
      </w:r>
      <w:r>
        <w:rPr>
          <w:spacing w:val="-3"/>
        </w:rPr>
        <w:t> </w:t>
      </w:r>
      <w:r>
        <w:rPr/>
        <w:t>of</w:t>
      </w:r>
      <w:r>
        <w:rPr>
          <w:spacing w:val="-2"/>
        </w:rPr>
        <w:t> </w:t>
      </w:r>
      <w:r>
        <w:rPr/>
        <w:t>2023</w:t>
      </w:r>
      <w:r>
        <w:rPr>
          <w:spacing w:val="-2"/>
        </w:rPr>
        <w:t> </w:t>
      </w:r>
      <w:r>
        <w:rPr/>
        <w:t>compared</w:t>
      </w:r>
      <w:r>
        <w:rPr>
          <w:spacing w:val="-2"/>
        </w:rPr>
        <w:t> </w:t>
      </w:r>
      <w:r>
        <w:rPr/>
        <w:t>to</w:t>
      </w:r>
      <w:r>
        <w:rPr>
          <w:spacing w:val="-2"/>
        </w:rPr>
        <w:t> </w:t>
      </w:r>
      <w:r>
        <w:rPr/>
        <w:t>the</w:t>
      </w:r>
      <w:r>
        <w:rPr>
          <w:spacing w:val="-3"/>
        </w:rPr>
        <w:t> </w:t>
      </w:r>
      <w:r>
        <w:rPr/>
        <w:t>same</w:t>
      </w:r>
      <w:r>
        <w:rPr>
          <w:spacing w:val="-3"/>
        </w:rPr>
        <w:t> </w:t>
      </w:r>
      <w:r>
        <w:rPr/>
        <w:t>periods</w:t>
      </w:r>
      <w:r>
        <w:rPr>
          <w:spacing w:val="-3"/>
        </w:rPr>
        <w:t> </w:t>
      </w:r>
      <w:r>
        <w:rPr/>
        <w:t>in 2022, primarily due to an increase in software maintenance and other agreements as well as other technology equipment costs</w:t>
      </w:r>
      <w:r>
        <w:rPr/>
        <w:t> to support growth of the business and the integration of TD Ameritrade. Occupancy and equipment included acquisition and integration-related costs of $7 million and $6 million in the third quarter of 2023 and 2022, respectively, and $21 million and</w:t>
      </w:r>
    </w:p>
    <w:p>
      <w:pPr>
        <w:pStyle w:val="BodyText"/>
        <w:spacing w:before="3"/>
        <w:ind w:left="470"/>
      </w:pPr>
      <w:r>
        <w:rPr/>
        <w:t>$14</w:t>
      </w:r>
      <w:r>
        <w:rPr>
          <w:spacing w:val="-2"/>
        </w:rPr>
        <w:t> </w:t>
      </w:r>
      <w:r>
        <w:rPr/>
        <w:t>million</w:t>
      </w:r>
      <w:r>
        <w:rPr>
          <w:spacing w:val="-1"/>
        </w:rPr>
        <w:t> </w:t>
      </w:r>
      <w:r>
        <w:rPr/>
        <w:t>in</w:t>
      </w:r>
      <w:r>
        <w:rPr>
          <w:spacing w:val="-1"/>
        </w:rPr>
        <w:t> </w:t>
      </w:r>
      <w:r>
        <w:rPr/>
        <w:t>the</w:t>
      </w:r>
      <w:r>
        <w:rPr>
          <w:spacing w:val="-2"/>
        </w:rPr>
        <w:t> </w:t>
      </w:r>
      <w:r>
        <w:rPr/>
        <w:t>first</w:t>
      </w:r>
      <w:r>
        <w:rPr>
          <w:spacing w:val="-2"/>
        </w:rPr>
        <w:t> </w:t>
      </w:r>
      <w:r>
        <w:rPr/>
        <w:t>nine</w:t>
      </w:r>
      <w:r>
        <w:rPr>
          <w:spacing w:val="-3"/>
        </w:rPr>
        <w:t> </w:t>
      </w:r>
      <w:r>
        <w:rPr/>
        <w:t>months</w:t>
      </w:r>
      <w:r>
        <w:rPr>
          <w:spacing w:val="-2"/>
        </w:rPr>
        <w:t> </w:t>
      </w:r>
      <w:r>
        <w:rPr/>
        <w:t>of</w:t>
      </w:r>
      <w:r>
        <w:rPr>
          <w:spacing w:val="-1"/>
        </w:rPr>
        <w:t> </w:t>
      </w:r>
      <w:r>
        <w:rPr/>
        <w:t>2023</w:t>
      </w:r>
      <w:r>
        <w:rPr>
          <w:spacing w:val="-1"/>
        </w:rPr>
        <w:t> </w:t>
      </w:r>
      <w:r>
        <w:rPr/>
        <w:t>and</w:t>
      </w:r>
      <w:r>
        <w:rPr>
          <w:spacing w:val="-1"/>
        </w:rPr>
        <w:t> </w:t>
      </w:r>
      <w:r>
        <w:rPr/>
        <w:t>2022,</w:t>
      </w:r>
      <w:r>
        <w:rPr>
          <w:spacing w:val="-1"/>
        </w:rPr>
        <w:t> </w:t>
      </w:r>
      <w:r>
        <w:rPr>
          <w:spacing w:val="-2"/>
        </w:rPr>
        <w:t>respectively.</w:t>
      </w:r>
    </w:p>
    <w:p>
      <w:pPr>
        <w:pStyle w:val="BodyText"/>
        <w:spacing w:before="20"/>
      </w:pPr>
    </w:p>
    <w:p>
      <w:pPr>
        <w:pStyle w:val="BodyText"/>
        <w:spacing w:line="249" w:lineRule="auto"/>
        <w:ind w:left="470" w:right="761"/>
      </w:pPr>
      <w:r>
        <w:rPr/>
        <w:t>Advertising and market development expense increased in the third quarter of 2023, compared to the same period in 2022, primarily</w:t>
      </w:r>
      <w:r>
        <w:rPr>
          <w:spacing w:val="-4"/>
        </w:rPr>
        <w:t> </w:t>
      </w:r>
      <w:r>
        <w:rPr/>
        <w:t>due</w:t>
      </w:r>
      <w:r>
        <w:rPr>
          <w:spacing w:val="-4"/>
        </w:rPr>
        <w:t> </w:t>
      </w:r>
      <w:r>
        <w:rPr/>
        <w:t>to</w:t>
      </w:r>
      <w:r>
        <w:rPr>
          <w:spacing w:val="-4"/>
        </w:rPr>
        <w:t> </w:t>
      </w:r>
      <w:r>
        <w:rPr/>
        <w:t>higher</w:t>
      </w:r>
      <w:r>
        <w:rPr>
          <w:spacing w:val="-4"/>
        </w:rPr>
        <w:t> </w:t>
      </w:r>
      <w:r>
        <w:rPr/>
        <w:t>traditional</w:t>
      </w:r>
      <w:r>
        <w:rPr>
          <w:spacing w:val="-4"/>
        </w:rPr>
        <w:t> </w:t>
      </w:r>
      <w:r>
        <w:rPr/>
        <w:t>and</w:t>
      </w:r>
      <w:r>
        <w:rPr>
          <w:spacing w:val="-4"/>
        </w:rPr>
        <w:t> </w:t>
      </w:r>
      <w:r>
        <w:rPr/>
        <w:t>digital</w:t>
      </w:r>
      <w:r>
        <w:rPr>
          <w:spacing w:val="-4"/>
        </w:rPr>
        <w:t> </w:t>
      </w:r>
      <w:r>
        <w:rPr/>
        <w:t>advertising</w:t>
      </w:r>
      <w:r>
        <w:rPr>
          <w:spacing w:val="-4"/>
        </w:rPr>
        <w:t> </w:t>
      </w:r>
      <w:r>
        <w:rPr/>
        <w:t>spending.</w:t>
      </w:r>
      <w:r>
        <w:rPr>
          <w:spacing w:val="-4"/>
        </w:rPr>
        <w:t> </w:t>
      </w:r>
      <w:r>
        <w:rPr/>
        <w:t>Advertising</w:t>
      </w:r>
      <w:r>
        <w:rPr>
          <w:spacing w:val="-4"/>
        </w:rPr>
        <w:t> </w:t>
      </w:r>
      <w:r>
        <w:rPr/>
        <w:t>and</w:t>
      </w:r>
      <w:r>
        <w:rPr>
          <w:spacing w:val="-4"/>
        </w:rPr>
        <w:t> </w:t>
      </w:r>
      <w:r>
        <w:rPr/>
        <w:t>market</w:t>
      </w:r>
      <w:r>
        <w:rPr>
          <w:spacing w:val="-4"/>
        </w:rPr>
        <w:t> </w:t>
      </w:r>
      <w:r>
        <w:rPr/>
        <w:t>development</w:t>
      </w:r>
      <w:r>
        <w:rPr>
          <w:spacing w:val="-4"/>
        </w:rPr>
        <w:t> </w:t>
      </w:r>
      <w:r>
        <w:rPr/>
        <w:t>expense</w:t>
      </w:r>
      <w:r>
        <w:rPr>
          <w:spacing w:val="-4"/>
        </w:rPr>
        <w:t> </w:t>
      </w:r>
      <w:r>
        <w:rPr/>
        <w:t>decreased slightly in the first nine months of 2023, compared to the same period in 2022, primarily due to lower client promotional spending for TD Ameritrade.</w:t>
      </w:r>
    </w:p>
    <w:p>
      <w:pPr>
        <w:pStyle w:val="BodyText"/>
        <w:spacing w:before="8"/>
      </w:pPr>
    </w:p>
    <w:p>
      <w:pPr>
        <w:pStyle w:val="BodyText"/>
        <w:spacing w:line="249" w:lineRule="auto"/>
        <w:ind w:left="470"/>
      </w:pPr>
      <w:r>
        <w:rPr/>
        <w:t>Communications expense increased in the third quarter and first nine months of 2023, compared to the same periods in 2022, primarily</w:t>
      </w:r>
      <w:r>
        <w:rPr>
          <w:spacing w:val="-3"/>
        </w:rPr>
        <w:t> </w:t>
      </w:r>
      <w:r>
        <w:rPr/>
        <w:t>a</w:t>
      </w:r>
      <w:r>
        <w:rPr>
          <w:spacing w:val="-3"/>
        </w:rPr>
        <w:t> </w:t>
      </w:r>
      <w:r>
        <w:rPr/>
        <w:t>result</w:t>
      </w:r>
      <w:r>
        <w:rPr>
          <w:spacing w:val="-3"/>
        </w:rPr>
        <w:t> </w:t>
      </w:r>
      <w:r>
        <w:rPr/>
        <w:t>of</w:t>
      </w:r>
      <w:r>
        <w:rPr>
          <w:spacing w:val="-3"/>
        </w:rPr>
        <w:t> </w:t>
      </w:r>
      <w:r>
        <w:rPr/>
        <w:t>client</w:t>
      </w:r>
      <w:r>
        <w:rPr>
          <w:spacing w:val="-3"/>
        </w:rPr>
        <w:t> </w:t>
      </w:r>
      <w:r>
        <w:rPr/>
        <w:t>communications</w:t>
      </w:r>
      <w:r>
        <w:rPr>
          <w:spacing w:val="-3"/>
        </w:rPr>
        <w:t> </w:t>
      </w:r>
      <w:r>
        <w:rPr/>
        <w:t>related</w:t>
      </w:r>
      <w:r>
        <w:rPr>
          <w:spacing w:val="-3"/>
        </w:rPr>
        <w:t> </w:t>
      </w:r>
      <w:r>
        <w:rPr/>
        <w:t>to</w:t>
      </w:r>
      <w:r>
        <w:rPr>
          <w:spacing w:val="-3"/>
        </w:rPr>
        <w:t> </w:t>
      </w:r>
      <w:r>
        <w:rPr/>
        <w:t>TDA</w:t>
      </w:r>
      <w:r>
        <w:rPr>
          <w:spacing w:val="-3"/>
        </w:rPr>
        <w:t> </w:t>
      </w:r>
      <w:r>
        <w:rPr/>
        <w:t>account</w:t>
      </w:r>
      <w:r>
        <w:rPr>
          <w:spacing w:val="-3"/>
        </w:rPr>
        <w:t> </w:t>
      </w:r>
      <w:r>
        <w:rPr/>
        <w:t>transitions</w:t>
      </w:r>
      <w:r>
        <w:rPr>
          <w:spacing w:val="-3"/>
        </w:rPr>
        <w:t> </w:t>
      </w:r>
      <w:r>
        <w:rPr/>
        <w:t>completed</w:t>
      </w:r>
      <w:r>
        <w:rPr>
          <w:spacing w:val="-3"/>
        </w:rPr>
        <w:t> </w:t>
      </w:r>
      <w:r>
        <w:rPr/>
        <w:t>during</w:t>
      </w:r>
      <w:r>
        <w:rPr>
          <w:spacing w:val="-3"/>
        </w:rPr>
        <w:t> </w:t>
      </w:r>
      <w:r>
        <w:rPr/>
        <w:t>the</w:t>
      </w:r>
      <w:r>
        <w:rPr>
          <w:spacing w:val="-3"/>
        </w:rPr>
        <w:t> </w:t>
      </w:r>
      <w:r>
        <w:rPr/>
        <w:t>first</w:t>
      </w:r>
      <w:r>
        <w:rPr>
          <w:spacing w:val="-3"/>
        </w:rPr>
        <w:t> </w:t>
      </w:r>
      <w:r>
        <w:rPr/>
        <w:t>nine</w:t>
      </w:r>
      <w:r>
        <w:rPr>
          <w:spacing w:val="-3"/>
        </w:rPr>
        <w:t> </w:t>
      </w:r>
      <w:r>
        <w:rPr/>
        <w:t>months</w:t>
      </w:r>
      <w:r>
        <w:rPr>
          <w:spacing w:val="-3"/>
        </w:rPr>
        <w:t> </w:t>
      </w:r>
      <w:r>
        <w:rPr/>
        <w:t>of</w:t>
      </w:r>
      <w:r>
        <w:rPr>
          <w:spacing w:val="-3"/>
        </w:rPr>
        <w:t> </w:t>
      </w:r>
      <w:r>
        <w:rPr/>
        <w:t>2023.</w:t>
      </w:r>
    </w:p>
    <w:p>
      <w:pPr>
        <w:pStyle w:val="BodyText"/>
        <w:spacing w:before="11"/>
      </w:pPr>
    </w:p>
    <w:p>
      <w:pPr>
        <w:pStyle w:val="BodyText"/>
        <w:spacing w:line="249" w:lineRule="auto"/>
        <w:ind w:left="470" w:right="761"/>
      </w:pPr>
      <w:r>
        <w:rPr/>
        <w:t>Depreciation</w:t>
      </w:r>
      <w:r>
        <w:rPr>
          <w:spacing w:val="-3"/>
        </w:rPr>
        <w:t> </w:t>
      </w:r>
      <w:r>
        <w:rPr/>
        <w:t>and</w:t>
      </w:r>
      <w:r>
        <w:rPr>
          <w:spacing w:val="-3"/>
        </w:rPr>
        <w:t> </w:t>
      </w:r>
      <w:r>
        <w:rPr/>
        <w:t>amortization</w:t>
      </w:r>
      <w:r>
        <w:rPr>
          <w:spacing w:val="-3"/>
        </w:rPr>
        <w:t> </w:t>
      </w:r>
      <w:r>
        <w:rPr/>
        <w:t>expense</w:t>
      </w:r>
      <w:r>
        <w:rPr>
          <w:spacing w:val="-4"/>
        </w:rPr>
        <w:t> </w:t>
      </w:r>
      <w:r>
        <w:rPr/>
        <w:t>increased</w:t>
      </w:r>
      <w:r>
        <w:rPr>
          <w:spacing w:val="-3"/>
        </w:rPr>
        <w:t> </w:t>
      </w:r>
      <w:r>
        <w:rPr/>
        <w:t>in</w:t>
      </w:r>
      <w:r>
        <w:rPr>
          <w:spacing w:val="-3"/>
        </w:rPr>
        <w:t> </w:t>
      </w:r>
      <w:r>
        <w:rPr/>
        <w:t>the</w:t>
      </w:r>
      <w:r>
        <w:rPr>
          <w:spacing w:val="-4"/>
        </w:rPr>
        <w:t> </w:t>
      </w:r>
      <w:r>
        <w:rPr/>
        <w:t>third</w:t>
      </w:r>
      <w:r>
        <w:rPr>
          <w:spacing w:val="-3"/>
        </w:rPr>
        <w:t> </w:t>
      </w:r>
      <w:r>
        <w:rPr/>
        <w:t>quarter</w:t>
      </w:r>
      <w:r>
        <w:rPr>
          <w:spacing w:val="-3"/>
        </w:rPr>
        <w:t> </w:t>
      </w:r>
      <w:r>
        <w:rPr/>
        <w:t>and</w:t>
      </w:r>
      <w:r>
        <w:rPr>
          <w:spacing w:val="-3"/>
        </w:rPr>
        <w:t> </w:t>
      </w:r>
      <w:r>
        <w:rPr/>
        <w:t>first</w:t>
      </w:r>
      <w:r>
        <w:rPr>
          <w:spacing w:val="-4"/>
        </w:rPr>
        <w:t> </w:t>
      </w:r>
      <w:r>
        <w:rPr/>
        <w:t>nine</w:t>
      </w:r>
      <w:r>
        <w:rPr>
          <w:spacing w:val="-4"/>
        </w:rPr>
        <w:t> </w:t>
      </w:r>
      <w:r>
        <w:rPr/>
        <w:t>months</w:t>
      </w:r>
      <w:r>
        <w:rPr>
          <w:spacing w:val="-4"/>
        </w:rPr>
        <w:t> </w:t>
      </w:r>
      <w:r>
        <w:rPr/>
        <w:t>of</w:t>
      </w:r>
      <w:r>
        <w:rPr>
          <w:spacing w:val="-3"/>
        </w:rPr>
        <w:t> </w:t>
      </w:r>
      <w:r>
        <w:rPr/>
        <w:t>2023</w:t>
      </w:r>
      <w:r>
        <w:rPr>
          <w:spacing w:val="-3"/>
        </w:rPr>
        <w:t> </w:t>
      </w:r>
      <w:r>
        <w:rPr/>
        <w:t>compared</w:t>
      </w:r>
      <w:r>
        <w:rPr>
          <w:spacing w:val="-3"/>
        </w:rPr>
        <w:t> </w:t>
      </w:r>
      <w:r>
        <w:rPr/>
        <w:t>to</w:t>
      </w:r>
      <w:r>
        <w:rPr>
          <w:spacing w:val="-3"/>
        </w:rPr>
        <w:t> </w:t>
      </w:r>
      <w:r>
        <w:rPr/>
        <w:t>the</w:t>
      </w:r>
      <w:r>
        <w:rPr>
          <w:spacing w:val="-4"/>
        </w:rPr>
        <w:t> </w:t>
      </w:r>
      <w:r>
        <w:rPr/>
        <w:t>same periods in 2022, primarily as a result of higher amortization of purchased and internally developed software and higher depreciation of hardware, driven by capital expenditures in 2022 and the first nine months of 2023 to support the TDA integration and enhance our technological infrastructure to support growth of the business.</w:t>
      </w:r>
    </w:p>
    <w:p>
      <w:pPr>
        <w:pStyle w:val="BodyText"/>
        <w:spacing w:before="14"/>
      </w:pPr>
    </w:p>
    <w:p>
      <w:pPr>
        <w:pStyle w:val="BodyText"/>
        <w:spacing w:line="249" w:lineRule="auto"/>
        <w:ind w:left="470" w:right="500"/>
      </w:pPr>
      <w:r>
        <w:rPr/>
        <w:t>Amortization of acquired intangible assets decreased in the third quarter and first nine months of 2023 compared to the same periods</w:t>
      </w:r>
      <w:r>
        <w:rPr>
          <w:spacing w:val="-3"/>
        </w:rPr>
        <w:t> </w:t>
      </w:r>
      <w:r>
        <w:rPr/>
        <w:t>in</w:t>
      </w:r>
      <w:r>
        <w:rPr>
          <w:spacing w:val="-2"/>
        </w:rPr>
        <w:t> </w:t>
      </w:r>
      <w:r>
        <w:rPr/>
        <w:t>2022,</w:t>
      </w:r>
      <w:r>
        <w:rPr>
          <w:spacing w:val="-2"/>
        </w:rPr>
        <w:t> </w:t>
      </w:r>
      <w:r>
        <w:rPr/>
        <w:t>as</w:t>
      </w:r>
      <w:r>
        <w:rPr>
          <w:spacing w:val="-3"/>
        </w:rPr>
        <w:t> </w:t>
      </w:r>
      <w:r>
        <w:rPr/>
        <w:t>certain</w:t>
      </w:r>
      <w:r>
        <w:rPr>
          <w:spacing w:val="-2"/>
        </w:rPr>
        <w:t> </w:t>
      </w:r>
      <w:r>
        <w:rPr/>
        <w:t>assets</w:t>
      </w:r>
      <w:r>
        <w:rPr>
          <w:spacing w:val="-3"/>
        </w:rPr>
        <w:t> </w:t>
      </w:r>
      <w:r>
        <w:rPr/>
        <w:t>from</w:t>
      </w:r>
      <w:r>
        <w:rPr>
          <w:spacing w:val="-3"/>
        </w:rPr>
        <w:t> </w:t>
      </w:r>
      <w:r>
        <w:rPr/>
        <w:t>the</w:t>
      </w:r>
      <w:r>
        <w:rPr>
          <w:spacing w:val="-3"/>
        </w:rPr>
        <w:t> </w:t>
      </w:r>
      <w:r>
        <w:rPr/>
        <w:t>TDA</w:t>
      </w:r>
      <w:r>
        <w:rPr>
          <w:spacing w:val="-3"/>
        </w:rPr>
        <w:t> </w:t>
      </w:r>
      <w:r>
        <w:rPr/>
        <w:t>acquisition</w:t>
      </w:r>
      <w:r>
        <w:rPr>
          <w:spacing w:val="-2"/>
        </w:rPr>
        <w:t> </w:t>
      </w:r>
      <w:r>
        <w:rPr/>
        <w:t>were</w:t>
      </w:r>
      <w:r>
        <w:rPr>
          <w:spacing w:val="-3"/>
        </w:rPr>
        <w:t> </w:t>
      </w:r>
      <w:r>
        <w:rPr/>
        <w:t>fully</w:t>
      </w:r>
      <w:r>
        <w:rPr>
          <w:spacing w:val="-2"/>
        </w:rPr>
        <w:t> </w:t>
      </w:r>
      <w:r>
        <w:rPr/>
        <w:t>amortized</w:t>
      </w:r>
      <w:r>
        <w:rPr>
          <w:spacing w:val="-2"/>
        </w:rPr>
        <w:t> </w:t>
      </w:r>
      <w:r>
        <w:rPr/>
        <w:t>by</w:t>
      </w:r>
      <w:r>
        <w:rPr>
          <w:spacing w:val="-2"/>
        </w:rPr>
        <w:t> </w:t>
      </w:r>
      <w:r>
        <w:rPr/>
        <w:t>the</w:t>
      </w:r>
      <w:r>
        <w:rPr>
          <w:spacing w:val="-3"/>
        </w:rPr>
        <w:t> </w:t>
      </w:r>
      <w:r>
        <w:rPr/>
        <w:t>beginning</w:t>
      </w:r>
      <w:r>
        <w:rPr>
          <w:spacing w:val="-2"/>
        </w:rPr>
        <w:t> </w:t>
      </w:r>
      <w:r>
        <w:rPr/>
        <w:t>of</w:t>
      </w:r>
      <w:r>
        <w:rPr>
          <w:spacing w:val="-2"/>
        </w:rPr>
        <w:t> </w:t>
      </w:r>
      <w:r>
        <w:rPr/>
        <w:t>the</w:t>
      </w:r>
      <w:r>
        <w:rPr>
          <w:spacing w:val="-3"/>
        </w:rPr>
        <w:t> </w:t>
      </w:r>
      <w:r>
        <w:rPr/>
        <w:t>fourth</w:t>
      </w:r>
      <w:r>
        <w:rPr>
          <w:spacing w:val="-2"/>
        </w:rPr>
        <w:t> </w:t>
      </w:r>
      <w:r>
        <w:rPr/>
        <w:t>quarter</w:t>
      </w:r>
      <w:r>
        <w:rPr>
          <w:spacing w:val="-2"/>
        </w:rPr>
        <w:t> </w:t>
      </w:r>
      <w:r>
        <w:rPr/>
        <w:t>of</w:t>
      </w:r>
      <w:r>
        <w:rPr>
          <w:spacing w:val="-2"/>
        </w:rPr>
        <w:t> </w:t>
      </w:r>
      <w:r>
        <w:rPr/>
        <w:t>2022.</w:t>
      </w:r>
    </w:p>
    <w:p>
      <w:pPr>
        <w:pStyle w:val="BodyText"/>
        <w:spacing w:before="11"/>
      </w:pPr>
    </w:p>
    <w:p>
      <w:pPr>
        <w:pStyle w:val="BodyText"/>
        <w:spacing w:line="249" w:lineRule="auto"/>
        <w:ind w:left="470" w:right="566"/>
      </w:pPr>
      <w:r>
        <w:rPr/>
        <w:t>Regulatory fees and assessments increased in the third quarter and first nine months of 2023 compared to the same periods in 2022,</w:t>
      </w:r>
      <w:r>
        <w:rPr>
          <w:spacing w:val="-2"/>
        </w:rPr>
        <w:t> </w:t>
      </w:r>
      <w:r>
        <w:rPr/>
        <w:t>primarily</w:t>
      </w:r>
      <w:r>
        <w:rPr>
          <w:spacing w:val="-2"/>
        </w:rPr>
        <w:t> </w:t>
      </w:r>
      <w:r>
        <w:rPr/>
        <w:t>as</w:t>
      </w:r>
      <w:r>
        <w:rPr>
          <w:spacing w:val="-3"/>
        </w:rPr>
        <w:t> </w:t>
      </w:r>
      <w:r>
        <w:rPr/>
        <w:t>a</w:t>
      </w:r>
      <w:r>
        <w:rPr>
          <w:spacing w:val="-3"/>
        </w:rPr>
        <w:t> </w:t>
      </w:r>
      <w:r>
        <w:rPr/>
        <w:t>result</w:t>
      </w:r>
      <w:r>
        <w:rPr>
          <w:spacing w:val="-3"/>
        </w:rPr>
        <w:t> </w:t>
      </w:r>
      <w:r>
        <w:rPr/>
        <w:t>of</w:t>
      </w:r>
      <w:r>
        <w:rPr>
          <w:spacing w:val="-2"/>
        </w:rPr>
        <w:t> </w:t>
      </w:r>
      <w:r>
        <w:rPr/>
        <w:t>higher</w:t>
      </w:r>
      <w:r>
        <w:rPr>
          <w:spacing w:val="-2"/>
        </w:rPr>
        <w:t> </w:t>
      </w:r>
      <w:r>
        <w:rPr/>
        <w:t>FDIC</w:t>
      </w:r>
      <w:r>
        <w:rPr>
          <w:spacing w:val="-3"/>
        </w:rPr>
        <w:t> </w:t>
      </w:r>
      <w:r>
        <w:rPr/>
        <w:t>deposit</w:t>
      </w:r>
      <w:r>
        <w:rPr>
          <w:spacing w:val="-3"/>
        </w:rPr>
        <w:t> </w:t>
      </w:r>
      <w:r>
        <w:rPr/>
        <w:t>insurance</w:t>
      </w:r>
      <w:r>
        <w:rPr>
          <w:spacing w:val="-3"/>
        </w:rPr>
        <w:t> </w:t>
      </w:r>
      <w:r>
        <w:rPr/>
        <w:t>assessments,</w:t>
      </w:r>
      <w:r>
        <w:rPr>
          <w:spacing w:val="-2"/>
        </w:rPr>
        <w:t> </w:t>
      </w:r>
      <w:r>
        <w:rPr/>
        <w:t>reflecting</w:t>
      </w:r>
      <w:r>
        <w:rPr>
          <w:spacing w:val="-2"/>
        </w:rPr>
        <w:t> </w:t>
      </w:r>
      <w:r>
        <w:rPr/>
        <w:t>greater</w:t>
      </w:r>
      <w:r>
        <w:rPr>
          <w:spacing w:val="-2"/>
        </w:rPr>
        <w:t> </w:t>
      </w:r>
      <w:r>
        <w:rPr/>
        <w:t>use</w:t>
      </w:r>
      <w:r>
        <w:rPr>
          <w:spacing w:val="-3"/>
        </w:rPr>
        <w:t> </w:t>
      </w:r>
      <w:r>
        <w:rPr/>
        <w:t>of</w:t>
      </w:r>
      <w:r>
        <w:rPr>
          <w:spacing w:val="-2"/>
        </w:rPr>
        <w:t> </w:t>
      </w:r>
      <w:r>
        <w:rPr/>
        <w:t>brokered</w:t>
      </w:r>
      <w:r>
        <w:rPr>
          <w:spacing w:val="-2"/>
        </w:rPr>
        <w:t> </w:t>
      </w:r>
      <w:r>
        <w:rPr/>
        <w:t>CDs</w:t>
      </w:r>
      <w:r>
        <w:rPr>
          <w:spacing w:val="-3"/>
        </w:rPr>
        <w:t> </w:t>
      </w:r>
      <w:r>
        <w:rPr/>
        <w:t>and</w:t>
      </w:r>
      <w:r>
        <w:rPr>
          <w:spacing w:val="-2"/>
        </w:rPr>
        <w:t> </w:t>
      </w:r>
      <w:r>
        <w:rPr/>
        <w:t>a</w:t>
      </w:r>
      <w:r>
        <w:rPr>
          <w:spacing w:val="-3"/>
        </w:rPr>
        <w:t> </w:t>
      </w:r>
      <w:r>
        <w:rPr/>
        <w:t>2-basis- point increase to the FDIC deposit insurance assessment rate, which became effective for the first quarterly assessment period in 2023, partially offset by lower assessment bases.</w:t>
      </w:r>
    </w:p>
    <w:p>
      <w:pPr>
        <w:pStyle w:val="BodyText"/>
        <w:spacing w:before="14"/>
      </w:pPr>
    </w:p>
    <w:p>
      <w:pPr>
        <w:pStyle w:val="BodyText"/>
        <w:spacing w:line="249" w:lineRule="auto"/>
        <w:ind w:left="470" w:right="500"/>
      </w:pPr>
      <w:r>
        <w:rPr/>
        <w:t>Other expense decreased in the third quarter of 2023 and increased slightly in the first nine months of 2023, compared to the same</w:t>
      </w:r>
      <w:r>
        <w:rPr>
          <w:spacing w:val="-3"/>
        </w:rPr>
        <w:t> </w:t>
      </w:r>
      <w:r>
        <w:rPr/>
        <w:t>periods</w:t>
      </w:r>
      <w:r>
        <w:rPr>
          <w:spacing w:val="-3"/>
        </w:rPr>
        <w:t> </w:t>
      </w:r>
      <w:r>
        <w:rPr/>
        <w:t>in</w:t>
      </w:r>
      <w:r>
        <w:rPr>
          <w:spacing w:val="-2"/>
        </w:rPr>
        <w:t> </w:t>
      </w:r>
      <w:r>
        <w:rPr/>
        <w:t>2022.</w:t>
      </w:r>
      <w:r>
        <w:rPr>
          <w:spacing w:val="-2"/>
        </w:rPr>
        <w:t> </w:t>
      </w:r>
      <w:r>
        <w:rPr/>
        <w:t>The</w:t>
      </w:r>
      <w:r>
        <w:rPr>
          <w:spacing w:val="-3"/>
        </w:rPr>
        <w:t> </w:t>
      </w:r>
      <w:r>
        <w:rPr/>
        <w:t>decrease</w:t>
      </w:r>
      <w:r>
        <w:rPr>
          <w:spacing w:val="-3"/>
        </w:rPr>
        <w:t> </w:t>
      </w:r>
      <w:r>
        <w:rPr/>
        <w:t>in</w:t>
      </w:r>
      <w:r>
        <w:rPr>
          <w:spacing w:val="-2"/>
        </w:rPr>
        <w:t> </w:t>
      </w:r>
      <w:r>
        <w:rPr/>
        <w:t>the</w:t>
      </w:r>
      <w:r>
        <w:rPr>
          <w:spacing w:val="-3"/>
        </w:rPr>
        <w:t> </w:t>
      </w:r>
      <w:r>
        <w:rPr/>
        <w:t>third</w:t>
      </w:r>
      <w:r>
        <w:rPr>
          <w:spacing w:val="-2"/>
        </w:rPr>
        <w:t> </w:t>
      </w:r>
      <w:r>
        <w:rPr/>
        <w:t>quarter</w:t>
      </w:r>
      <w:r>
        <w:rPr>
          <w:spacing w:val="-2"/>
        </w:rPr>
        <w:t> </w:t>
      </w:r>
      <w:r>
        <w:rPr/>
        <w:t>was</w:t>
      </w:r>
      <w:r>
        <w:rPr>
          <w:spacing w:val="-3"/>
        </w:rPr>
        <w:t> </w:t>
      </w:r>
      <w:r>
        <w:rPr/>
        <w:t>primarily</w:t>
      </w:r>
      <w:r>
        <w:rPr>
          <w:spacing w:val="-2"/>
        </w:rPr>
        <w:t> </w:t>
      </w:r>
      <w:r>
        <w:rPr/>
        <w:t>due</w:t>
      </w:r>
      <w:r>
        <w:rPr>
          <w:spacing w:val="-3"/>
        </w:rPr>
        <w:t> </w:t>
      </w:r>
      <w:r>
        <w:rPr/>
        <w:t>to</w:t>
      </w:r>
      <w:r>
        <w:rPr>
          <w:spacing w:val="-2"/>
        </w:rPr>
        <w:t> </w:t>
      </w:r>
      <w:r>
        <w:rPr/>
        <w:t>lower</w:t>
      </w:r>
      <w:r>
        <w:rPr>
          <w:spacing w:val="-2"/>
        </w:rPr>
        <w:t> </w:t>
      </w:r>
      <w:r>
        <w:rPr/>
        <w:t>exchange</w:t>
      </w:r>
      <w:r>
        <w:rPr>
          <w:spacing w:val="-3"/>
        </w:rPr>
        <w:t> </w:t>
      </w:r>
      <w:r>
        <w:rPr/>
        <w:t>processing</w:t>
      </w:r>
      <w:r>
        <w:rPr>
          <w:spacing w:val="-2"/>
        </w:rPr>
        <w:t> </w:t>
      </w:r>
      <w:r>
        <w:rPr/>
        <w:t>fees,</w:t>
      </w:r>
      <w:r>
        <w:rPr>
          <w:spacing w:val="-2"/>
        </w:rPr>
        <w:t> </w:t>
      </w:r>
      <w:r>
        <w:rPr/>
        <w:t>partially</w:t>
      </w:r>
      <w:r>
        <w:rPr>
          <w:spacing w:val="-2"/>
        </w:rPr>
        <w:t> </w:t>
      </w:r>
      <w:r>
        <w:rPr/>
        <w:t>offset</w:t>
      </w:r>
      <w:r>
        <w:rPr>
          <w:spacing w:val="-3"/>
        </w:rPr>
        <w:t> </w:t>
      </w:r>
      <w:r>
        <w:rPr/>
        <w:t>by impairment of leased assets related to facility closures. Exchange processing fees decreased in the third quarter of 2023 compared to the third quarter of 2022 as a result of a decrease in SEC fee rates. The increase in other expense in the first nine months of 2023 was primarily a result of impairment of leased assets related to facility closures. Other expense included acquisition and integration-related costs of $4 million and $26 million in the third quarter and first nine months of 2023, </w:t>
      </w:r>
      <w:r>
        <w:rPr>
          <w:spacing w:val="-2"/>
        </w:rPr>
        <w:t>respectively.</w:t>
      </w:r>
    </w:p>
    <w:p>
      <w:pPr>
        <w:pStyle w:val="BodyText"/>
        <w:spacing w:before="15"/>
      </w:pPr>
    </w:p>
    <w:p>
      <w:pPr>
        <w:pStyle w:val="BodyText"/>
        <w:spacing w:line="249" w:lineRule="auto"/>
        <w:ind w:left="470" w:right="470"/>
      </w:pPr>
      <w:r>
        <w:rPr/>
        <w:t>Capital expenditures were $250 million and $193 million in the third quarter of 2023 and 2022, respectively, and $605 million and</w:t>
      </w:r>
      <w:r>
        <w:rPr>
          <w:spacing w:val="-2"/>
        </w:rPr>
        <w:t> </w:t>
      </w:r>
      <w:r>
        <w:rPr/>
        <w:t>$741</w:t>
      </w:r>
      <w:r>
        <w:rPr>
          <w:spacing w:val="-2"/>
        </w:rPr>
        <w:t> </w:t>
      </w:r>
      <w:r>
        <w:rPr/>
        <w:t>million</w:t>
      </w:r>
      <w:r>
        <w:rPr>
          <w:spacing w:val="-2"/>
        </w:rPr>
        <w:t> </w:t>
      </w:r>
      <w:r>
        <w:rPr/>
        <w:t>for</w:t>
      </w:r>
      <w:r>
        <w:rPr>
          <w:spacing w:val="-2"/>
        </w:rPr>
        <w:t> </w:t>
      </w:r>
      <w:r>
        <w:rPr/>
        <w:t>the</w:t>
      </w:r>
      <w:r>
        <w:rPr>
          <w:spacing w:val="-3"/>
        </w:rPr>
        <w:t> </w:t>
      </w:r>
      <w:r>
        <w:rPr/>
        <w:t>first</w:t>
      </w:r>
      <w:r>
        <w:rPr>
          <w:spacing w:val="-3"/>
        </w:rPr>
        <w:t> </w:t>
      </w:r>
      <w:r>
        <w:rPr/>
        <w:t>nine</w:t>
      </w:r>
      <w:r>
        <w:rPr>
          <w:spacing w:val="-3"/>
        </w:rPr>
        <w:t> </w:t>
      </w:r>
      <w:r>
        <w:rPr/>
        <w:t>months</w:t>
      </w:r>
      <w:r>
        <w:rPr>
          <w:spacing w:val="-3"/>
        </w:rPr>
        <w:t> </w:t>
      </w:r>
      <w:r>
        <w:rPr/>
        <w:t>of</w:t>
      </w:r>
      <w:r>
        <w:rPr>
          <w:spacing w:val="-2"/>
        </w:rPr>
        <w:t> </w:t>
      </w:r>
      <w:r>
        <w:rPr/>
        <w:t>2023</w:t>
      </w:r>
      <w:r>
        <w:rPr>
          <w:spacing w:val="-2"/>
        </w:rPr>
        <w:t> </w:t>
      </w:r>
      <w:r>
        <w:rPr/>
        <w:t>and</w:t>
      </w:r>
      <w:r>
        <w:rPr>
          <w:spacing w:val="-2"/>
        </w:rPr>
        <w:t> </w:t>
      </w:r>
      <w:r>
        <w:rPr/>
        <w:t>2022,</w:t>
      </w:r>
      <w:r>
        <w:rPr>
          <w:spacing w:val="-2"/>
        </w:rPr>
        <w:t> </w:t>
      </w:r>
      <w:r>
        <w:rPr/>
        <w:t>respectively.</w:t>
      </w:r>
      <w:r>
        <w:rPr>
          <w:spacing w:val="-2"/>
        </w:rPr>
        <w:t> </w:t>
      </w:r>
      <w:r>
        <w:rPr/>
        <w:t>Capital</w:t>
      </w:r>
      <w:r>
        <w:rPr>
          <w:spacing w:val="-3"/>
        </w:rPr>
        <w:t> </w:t>
      </w:r>
      <w:r>
        <w:rPr/>
        <w:t>expenditures</w:t>
      </w:r>
      <w:r>
        <w:rPr>
          <w:spacing w:val="-3"/>
        </w:rPr>
        <w:t> </w:t>
      </w:r>
      <w:r>
        <w:rPr/>
        <w:t>increased</w:t>
      </w:r>
      <w:r>
        <w:rPr>
          <w:spacing w:val="-2"/>
        </w:rPr>
        <w:t> </w:t>
      </w:r>
      <w:r>
        <w:rPr/>
        <w:t>for</w:t>
      </w:r>
      <w:r>
        <w:rPr>
          <w:spacing w:val="-2"/>
        </w:rPr>
        <w:t> </w:t>
      </w:r>
      <w:r>
        <w:rPr/>
        <w:t>the</w:t>
      </w:r>
      <w:r>
        <w:rPr>
          <w:spacing w:val="-3"/>
        </w:rPr>
        <w:t> </w:t>
      </w:r>
      <w:r>
        <w:rPr/>
        <w:t>third</w:t>
      </w:r>
      <w:r>
        <w:rPr>
          <w:spacing w:val="-2"/>
        </w:rPr>
        <w:t> </w:t>
      </w:r>
      <w:r>
        <w:rPr/>
        <w:t>quarter</w:t>
      </w:r>
      <w:r>
        <w:rPr>
          <w:spacing w:val="-2"/>
        </w:rPr>
        <w:t> </w:t>
      </w:r>
      <w:r>
        <w:rPr/>
        <w:t>of</w:t>
      </w:r>
    </w:p>
    <w:p>
      <w:pPr>
        <w:spacing w:after="0" w:line="249" w:lineRule="auto"/>
        <w:sectPr>
          <w:pgSz w:w="12240" w:h="15840"/>
          <w:pgMar w:header="512" w:footer="201" w:top="1180" w:bottom="400" w:left="520" w:right="520"/>
        </w:sectPr>
      </w:pPr>
    </w:p>
    <w:p>
      <w:pPr>
        <w:pStyle w:val="BodyText"/>
        <w:spacing w:line="249" w:lineRule="auto" w:before="211"/>
        <w:ind w:left="470" w:right="500"/>
      </w:pPr>
      <w:r>
        <w:rPr/>
        <w:t>2023, primarily due to higher purchased software to enhance our technological infrastructure to support our expanding client base,</w:t>
      </w:r>
      <w:r>
        <w:rPr>
          <w:spacing w:val="-3"/>
        </w:rPr>
        <w:t> </w:t>
      </w:r>
      <w:r>
        <w:rPr/>
        <w:t>partially</w:t>
      </w:r>
      <w:r>
        <w:rPr>
          <w:spacing w:val="-3"/>
        </w:rPr>
        <w:t> </w:t>
      </w:r>
      <w:r>
        <w:rPr/>
        <w:t>offset</w:t>
      </w:r>
      <w:r>
        <w:rPr>
          <w:spacing w:val="-4"/>
        </w:rPr>
        <w:t> </w:t>
      </w:r>
      <w:r>
        <w:rPr/>
        <w:t>by</w:t>
      </w:r>
      <w:r>
        <w:rPr>
          <w:spacing w:val="-3"/>
        </w:rPr>
        <w:t> </w:t>
      </w:r>
      <w:r>
        <w:rPr/>
        <w:t>lower</w:t>
      </w:r>
      <w:r>
        <w:rPr>
          <w:spacing w:val="-3"/>
        </w:rPr>
        <w:t> </w:t>
      </w:r>
      <w:r>
        <w:rPr/>
        <w:t>integration-related</w:t>
      </w:r>
      <w:r>
        <w:rPr>
          <w:spacing w:val="-3"/>
        </w:rPr>
        <w:t> </w:t>
      </w:r>
      <w:r>
        <w:rPr/>
        <w:t>equipment</w:t>
      </w:r>
      <w:r>
        <w:rPr>
          <w:spacing w:val="-4"/>
        </w:rPr>
        <w:t> </w:t>
      </w:r>
      <w:r>
        <w:rPr/>
        <w:t>purchases</w:t>
      </w:r>
      <w:r>
        <w:rPr>
          <w:spacing w:val="-4"/>
        </w:rPr>
        <w:t> </w:t>
      </w:r>
      <w:r>
        <w:rPr/>
        <w:t>compared</w:t>
      </w:r>
      <w:r>
        <w:rPr>
          <w:spacing w:val="-3"/>
        </w:rPr>
        <w:t> </w:t>
      </w:r>
      <w:r>
        <w:rPr/>
        <w:t>to</w:t>
      </w:r>
      <w:r>
        <w:rPr>
          <w:spacing w:val="-3"/>
        </w:rPr>
        <w:t> </w:t>
      </w:r>
      <w:r>
        <w:rPr/>
        <w:t>2022.</w:t>
      </w:r>
      <w:r>
        <w:rPr>
          <w:spacing w:val="-3"/>
        </w:rPr>
        <w:t> </w:t>
      </w:r>
      <w:r>
        <w:rPr/>
        <w:t>Capital</w:t>
      </w:r>
      <w:r>
        <w:rPr>
          <w:spacing w:val="-4"/>
        </w:rPr>
        <w:t> </w:t>
      </w:r>
      <w:r>
        <w:rPr/>
        <w:t>expenditures</w:t>
      </w:r>
      <w:r>
        <w:rPr>
          <w:spacing w:val="-4"/>
        </w:rPr>
        <w:t> </w:t>
      </w:r>
      <w:r>
        <w:rPr/>
        <w:t>in</w:t>
      </w:r>
      <w:r>
        <w:rPr>
          <w:spacing w:val="-3"/>
        </w:rPr>
        <w:t> </w:t>
      </w:r>
      <w:r>
        <w:rPr/>
        <w:t>the</w:t>
      </w:r>
      <w:r>
        <w:rPr>
          <w:spacing w:val="-4"/>
        </w:rPr>
        <w:t> </w:t>
      </w:r>
      <w:r>
        <w:rPr/>
        <w:t>first</w:t>
      </w:r>
      <w:r>
        <w:rPr>
          <w:spacing w:val="-4"/>
        </w:rPr>
        <w:t> </w:t>
      </w:r>
      <w:r>
        <w:rPr/>
        <w:t>nine months of 2023 decreased when compared to heightened integration-related spend in 2022 in preparation for TDA client account transitions, partially offset by higher purchased software. We continue to anticipate capital expenditures for full-year 2023 will be approximately 3-4% of total net revenues.</w:t>
      </w:r>
    </w:p>
    <w:p>
      <w:pPr>
        <w:pStyle w:val="Heading3"/>
        <w:spacing w:before="193"/>
        <w:rPr>
          <w:i/>
        </w:rPr>
      </w:pPr>
      <w:bookmarkStart w:name="Taxes on Income" w:id="16"/>
      <w:bookmarkEnd w:id="16"/>
      <w:r>
        <w:rPr>
          <w:b w:val="0"/>
          <w:i w:val="0"/>
        </w:rPr>
      </w:r>
      <w:r>
        <w:rPr>
          <w:i/>
        </w:rPr>
        <w:t>Taxes</w:t>
      </w:r>
      <w:r>
        <w:rPr>
          <w:i/>
          <w:spacing w:val="-2"/>
        </w:rPr>
        <w:t> </w:t>
      </w:r>
      <w:r>
        <w:rPr>
          <w:i/>
        </w:rPr>
        <w:t>on</w:t>
      </w:r>
      <w:r>
        <w:rPr>
          <w:i/>
          <w:spacing w:val="-2"/>
        </w:rPr>
        <w:t> Income</w:t>
      </w:r>
    </w:p>
    <w:p>
      <w:pPr>
        <w:pStyle w:val="BodyText"/>
        <w:spacing w:before="23"/>
        <w:rPr>
          <w:b/>
          <w:i/>
        </w:rPr>
      </w:pPr>
    </w:p>
    <w:p>
      <w:pPr>
        <w:pStyle w:val="BodyText"/>
        <w:spacing w:line="249" w:lineRule="auto"/>
        <w:ind w:left="470" w:right="470"/>
      </w:pPr>
      <w:r>
        <w:rPr/>
        <w:t>Taxes on income were $258 million and $657 million for the third quarter of 2023 and 2022, respectively, resulting in effective tax</w:t>
      </w:r>
      <w:r>
        <w:rPr>
          <w:spacing w:val="-2"/>
        </w:rPr>
        <w:t> </w:t>
      </w:r>
      <w:r>
        <w:rPr/>
        <w:t>rates</w:t>
      </w:r>
      <w:r>
        <w:rPr>
          <w:spacing w:val="-3"/>
        </w:rPr>
        <w:t> </w:t>
      </w:r>
      <w:r>
        <w:rPr/>
        <w:t>of</w:t>
      </w:r>
      <w:r>
        <w:rPr>
          <w:spacing w:val="-2"/>
        </w:rPr>
        <w:t> </w:t>
      </w:r>
      <w:r>
        <w:rPr/>
        <w:t>18.7%</w:t>
      </w:r>
      <w:r>
        <w:rPr>
          <w:spacing w:val="-2"/>
        </w:rPr>
        <w:t> </w:t>
      </w:r>
      <w:r>
        <w:rPr/>
        <w:t>and</w:t>
      </w:r>
      <w:r>
        <w:rPr>
          <w:spacing w:val="-2"/>
        </w:rPr>
        <w:t> </w:t>
      </w:r>
      <w:r>
        <w:rPr/>
        <w:t>24.5%,</w:t>
      </w:r>
      <w:r>
        <w:rPr>
          <w:spacing w:val="-2"/>
        </w:rPr>
        <w:t> </w:t>
      </w:r>
      <w:r>
        <w:rPr/>
        <w:t>respectively.</w:t>
      </w:r>
      <w:r>
        <w:rPr>
          <w:spacing w:val="-2"/>
        </w:rPr>
        <w:t> </w:t>
      </w:r>
      <w:r>
        <w:rPr/>
        <w:t>Taxes</w:t>
      </w:r>
      <w:r>
        <w:rPr>
          <w:spacing w:val="-3"/>
        </w:rPr>
        <w:t> </w:t>
      </w:r>
      <w:r>
        <w:rPr/>
        <w:t>on</w:t>
      </w:r>
      <w:r>
        <w:rPr>
          <w:spacing w:val="-2"/>
        </w:rPr>
        <w:t> </w:t>
      </w:r>
      <w:r>
        <w:rPr/>
        <w:t>income</w:t>
      </w:r>
      <w:r>
        <w:rPr>
          <w:spacing w:val="-3"/>
        </w:rPr>
        <w:t> </w:t>
      </w:r>
      <w:r>
        <w:rPr/>
        <w:t>were</w:t>
      </w:r>
      <w:r>
        <w:rPr>
          <w:spacing w:val="-3"/>
        </w:rPr>
        <w:t> </w:t>
      </w:r>
      <w:r>
        <w:rPr/>
        <w:t>$1.2</w:t>
      </w:r>
      <w:r>
        <w:rPr>
          <w:spacing w:val="-2"/>
        </w:rPr>
        <w:t> </w:t>
      </w:r>
      <w:r>
        <w:rPr/>
        <w:t>billion</w:t>
      </w:r>
      <w:r>
        <w:rPr>
          <w:spacing w:val="-2"/>
        </w:rPr>
        <w:t> </w:t>
      </w:r>
      <w:r>
        <w:rPr/>
        <w:t>and</w:t>
      </w:r>
      <w:r>
        <w:rPr>
          <w:spacing w:val="-2"/>
        </w:rPr>
        <w:t> </w:t>
      </w:r>
      <w:r>
        <w:rPr/>
        <w:t>$1.6</w:t>
      </w:r>
      <w:r>
        <w:rPr>
          <w:spacing w:val="-2"/>
        </w:rPr>
        <w:t> </w:t>
      </w:r>
      <w:r>
        <w:rPr/>
        <w:t>billion</w:t>
      </w:r>
      <w:r>
        <w:rPr>
          <w:spacing w:val="-2"/>
        </w:rPr>
        <w:t> </w:t>
      </w:r>
      <w:r>
        <w:rPr/>
        <w:t>for</w:t>
      </w:r>
      <w:r>
        <w:rPr>
          <w:spacing w:val="-2"/>
        </w:rPr>
        <w:t> </w:t>
      </w:r>
      <w:r>
        <w:rPr/>
        <w:t>the</w:t>
      </w:r>
      <w:r>
        <w:rPr>
          <w:spacing w:val="-3"/>
        </w:rPr>
        <w:t> </w:t>
      </w:r>
      <w:r>
        <w:rPr/>
        <w:t>first</w:t>
      </w:r>
      <w:r>
        <w:rPr>
          <w:spacing w:val="-3"/>
        </w:rPr>
        <w:t> </w:t>
      </w:r>
      <w:r>
        <w:rPr/>
        <w:t>nine</w:t>
      </w:r>
      <w:r>
        <w:rPr>
          <w:spacing w:val="-3"/>
        </w:rPr>
        <w:t> </w:t>
      </w:r>
      <w:r>
        <w:rPr/>
        <w:t>months</w:t>
      </w:r>
      <w:r>
        <w:rPr>
          <w:spacing w:val="-3"/>
        </w:rPr>
        <w:t> </w:t>
      </w:r>
      <w:r>
        <w:rPr/>
        <w:t>of</w:t>
      </w:r>
      <w:r>
        <w:rPr>
          <w:spacing w:val="-2"/>
        </w:rPr>
        <w:t> </w:t>
      </w:r>
      <w:r>
        <w:rPr/>
        <w:t>2023 and 2022, respectively, resulting in effective tax rates of 22.4% and 23.2%, respectively. The decrease in the effective tax rates in the</w:t>
      </w:r>
      <w:r>
        <w:rPr>
          <w:spacing w:val="-1"/>
        </w:rPr>
        <w:t> </w:t>
      </w:r>
      <w:r>
        <w:rPr/>
        <w:t>third quarter and first</w:t>
      </w:r>
      <w:r>
        <w:rPr>
          <w:spacing w:val="-1"/>
        </w:rPr>
        <w:t> </w:t>
      </w:r>
      <w:r>
        <w:rPr/>
        <w:t>nine</w:t>
      </w:r>
      <w:r>
        <w:rPr>
          <w:spacing w:val="-1"/>
        </w:rPr>
        <w:t> </w:t>
      </w:r>
      <w:r>
        <w:rPr/>
        <w:t>months</w:t>
      </w:r>
      <w:r>
        <w:rPr>
          <w:spacing w:val="-1"/>
        </w:rPr>
        <w:t> </w:t>
      </w:r>
      <w:r>
        <w:rPr/>
        <w:t>of 2023 compared to the</w:t>
      </w:r>
      <w:r>
        <w:rPr>
          <w:spacing w:val="-1"/>
        </w:rPr>
        <w:t> </w:t>
      </w:r>
      <w:r>
        <w:rPr/>
        <w:t>same</w:t>
      </w:r>
      <w:r>
        <w:rPr>
          <w:spacing w:val="-1"/>
        </w:rPr>
        <w:t> </w:t>
      </w:r>
      <w:r>
        <w:rPr/>
        <w:t>periods</w:t>
      </w:r>
      <w:r>
        <w:rPr>
          <w:spacing w:val="-1"/>
        </w:rPr>
        <w:t> </w:t>
      </w:r>
      <w:r>
        <w:rPr/>
        <w:t>in 2022 was</w:t>
      </w:r>
      <w:r>
        <w:rPr>
          <w:spacing w:val="-1"/>
        </w:rPr>
        <w:t> </w:t>
      </w:r>
      <w:r>
        <w:rPr/>
        <w:t>primarily related to the</w:t>
      </w:r>
      <w:r>
        <w:rPr>
          <w:spacing w:val="-1"/>
        </w:rPr>
        <w:t> </w:t>
      </w:r>
      <w:r>
        <w:rPr/>
        <w:t>recognition of certain tax credits, partially offset by an increase in 2023 state tax expense.</w:t>
      </w:r>
    </w:p>
    <w:p>
      <w:pPr>
        <w:pStyle w:val="BodyText"/>
        <w:spacing w:before="11"/>
      </w:pPr>
    </w:p>
    <w:p>
      <w:pPr>
        <w:pStyle w:val="Heading2"/>
      </w:pPr>
      <w:bookmarkStart w:name="Segment Information" w:id="17"/>
      <w:bookmarkEnd w:id="17"/>
      <w:r>
        <w:rPr>
          <w:b w:val="0"/>
        </w:rPr>
      </w:r>
      <w:r>
        <w:rPr/>
        <w:t>Segment</w:t>
      </w:r>
      <w:r>
        <w:rPr>
          <w:spacing w:val="-6"/>
        </w:rPr>
        <w:t> </w:t>
      </w:r>
      <w:r>
        <w:rPr>
          <w:spacing w:val="-2"/>
        </w:rPr>
        <w:t>Information</w:t>
      </w:r>
    </w:p>
    <w:p>
      <w:pPr>
        <w:pStyle w:val="BodyText"/>
        <w:spacing w:before="83"/>
        <w:rPr>
          <w:b/>
        </w:rPr>
      </w:pPr>
    </w:p>
    <w:p>
      <w:pPr>
        <w:pStyle w:val="BodyText"/>
        <w:ind w:left="470"/>
      </w:pPr>
      <w:r>
        <w:rPr/>
        <w:t>Financial</w:t>
      </w:r>
      <w:r>
        <w:rPr>
          <w:spacing w:val="-6"/>
        </w:rPr>
        <w:t> </w:t>
      </w:r>
      <w:r>
        <w:rPr/>
        <w:t>information</w:t>
      </w:r>
      <w:r>
        <w:rPr>
          <w:spacing w:val="-3"/>
        </w:rPr>
        <w:t> </w:t>
      </w:r>
      <w:r>
        <w:rPr/>
        <w:t>for</w:t>
      </w:r>
      <w:r>
        <w:rPr>
          <w:spacing w:val="-3"/>
        </w:rPr>
        <w:t> </w:t>
      </w:r>
      <w:r>
        <w:rPr/>
        <w:t>our</w:t>
      </w:r>
      <w:r>
        <w:rPr>
          <w:spacing w:val="-3"/>
        </w:rPr>
        <w:t> </w:t>
      </w:r>
      <w:r>
        <w:rPr/>
        <w:t>segments</w:t>
      </w:r>
      <w:r>
        <w:rPr>
          <w:spacing w:val="-3"/>
        </w:rPr>
        <w:t> </w:t>
      </w:r>
      <w:r>
        <w:rPr/>
        <w:t>is</w:t>
      </w:r>
      <w:r>
        <w:rPr>
          <w:spacing w:val="-4"/>
        </w:rPr>
        <w:t> </w:t>
      </w:r>
      <w:r>
        <w:rPr/>
        <w:t>presented</w:t>
      </w:r>
      <w:r>
        <w:rPr>
          <w:spacing w:val="-3"/>
        </w:rPr>
        <w:t> </w:t>
      </w:r>
      <w:r>
        <w:rPr/>
        <w:t>in</w:t>
      </w:r>
      <w:r>
        <w:rPr>
          <w:spacing w:val="-3"/>
        </w:rPr>
        <w:t> </w:t>
      </w:r>
      <w:r>
        <w:rPr/>
        <w:t>the</w:t>
      </w:r>
      <w:r>
        <w:rPr>
          <w:spacing w:val="-4"/>
        </w:rPr>
        <w:t> </w:t>
      </w:r>
      <w:r>
        <w:rPr/>
        <w:t>following</w:t>
      </w:r>
      <w:r>
        <w:rPr>
          <w:spacing w:val="-2"/>
        </w:rPr>
        <w:t> tables:</w:t>
      </w:r>
    </w:p>
    <w:p>
      <w:pPr>
        <w:pStyle w:val="BodyText"/>
        <w:spacing w:before="9"/>
        <w:rPr>
          <w:sz w:val="7"/>
        </w:rPr>
      </w:pPr>
      <w:r>
        <w:rPr/>
        <mc:AlternateContent>
          <mc:Choice Requires="wps">
            <w:drawing>
              <wp:anchor distT="0" distB="0" distL="0" distR="0" allowOverlap="1" layoutInCell="1" locked="0" behindDoc="1" simplePos="0" relativeHeight="487594496">
                <wp:simplePos x="0" y="0"/>
                <wp:positionH relativeFrom="page">
                  <wp:posOffset>628650</wp:posOffset>
                </wp:positionH>
                <wp:positionV relativeFrom="paragraph">
                  <wp:posOffset>72333</wp:posOffset>
                </wp:positionV>
                <wp:extent cx="6515100" cy="6350"/>
                <wp:effectExtent l="0" t="0" r="0" b="0"/>
                <wp:wrapTopAndBottom/>
                <wp:docPr id="42" name="Group 42"/>
                <wp:cNvGraphicFramePr>
                  <a:graphicFrameLocks/>
                </wp:cNvGraphicFramePr>
                <a:graphic>
                  <a:graphicData uri="http://schemas.microsoft.com/office/word/2010/wordprocessingGroup">
                    <wpg:wgp>
                      <wpg:cNvPr id="42" name="Group 42"/>
                      <wpg:cNvGrpSpPr/>
                      <wpg:grpSpPr>
                        <a:xfrm>
                          <a:off x="0" y="0"/>
                          <a:ext cx="6515100" cy="6350"/>
                          <a:chExt cx="6515100" cy="6350"/>
                        </a:xfrm>
                      </wpg:grpSpPr>
                      <wps:wsp>
                        <wps:cNvPr id="43" name="Graphic 43"/>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44" name="Graphic 44"/>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5.695547pt;width:513pt;height:.5pt;mso-position-horizontal-relative:page;mso-position-vertical-relative:paragraph;z-index:-15721984;mso-wrap-distance-left:0;mso-wrap-distance-right:0" id="docshapegroup31" coordorigin="990,114" coordsize="10260,10">
                <v:shape style="position:absolute;left:990;top:118;width:10260;height:2" id="docshape32" coordorigin="990,119" coordsize="10260,0" path="m11250,119l990,119e" filled="true" fillcolor="#000000" stroked="false">
                  <v:path arrowok="t"/>
                  <v:fill opacity="0f" type="solid"/>
                </v:shape>
                <v:line style="position:absolute" from="990,119" to="11250,119" stroked="true" strokeweight=".5pt" strokecolor="#000000">
                  <v:stroke dashstyle="solid"/>
                </v:line>
                <w10:wrap type="topAndBottom"/>
              </v:group>
            </w:pict>
          </mc:Fallback>
        </mc:AlternateContent>
      </w:r>
    </w:p>
    <w:p>
      <w:pPr>
        <w:tabs>
          <w:tab w:pos="6768" w:val="left" w:leader="none"/>
          <w:tab w:pos="9443" w:val="left" w:leader="none"/>
        </w:tabs>
        <w:spacing w:before="21" w:after="30"/>
        <w:ind w:left="4469" w:right="0" w:firstLine="0"/>
        <w:jc w:val="left"/>
        <w:rPr>
          <w:sz w:val="16"/>
        </w:rPr>
      </w:pPr>
      <w:r>
        <w:rPr>
          <w:sz w:val="16"/>
        </w:rPr>
        <w:t>Investor</w:t>
      </w:r>
      <w:r>
        <w:rPr>
          <w:spacing w:val="-1"/>
          <w:sz w:val="16"/>
        </w:rPr>
        <w:t> </w:t>
      </w:r>
      <w:r>
        <w:rPr>
          <w:spacing w:val="-2"/>
          <w:sz w:val="16"/>
        </w:rPr>
        <w:t>Services</w:t>
      </w:r>
      <w:r>
        <w:rPr>
          <w:sz w:val="16"/>
        </w:rPr>
        <w:tab/>
        <w:t>Advisor</w:t>
      </w:r>
      <w:r>
        <w:rPr>
          <w:spacing w:val="-4"/>
          <w:sz w:val="16"/>
        </w:rPr>
        <w:t> </w:t>
      </w:r>
      <w:r>
        <w:rPr>
          <w:spacing w:val="-2"/>
          <w:sz w:val="16"/>
        </w:rPr>
        <w:t>Services</w:t>
      </w:r>
      <w:r>
        <w:rPr>
          <w:sz w:val="16"/>
        </w:rPr>
        <w:tab/>
      </w:r>
      <w:r>
        <w:rPr>
          <w:spacing w:val="-2"/>
          <w:sz w:val="16"/>
        </w:rPr>
        <w:t>Total</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5"/>
        <w:gridCol w:w="754"/>
        <w:gridCol w:w="738"/>
        <w:gridCol w:w="793"/>
        <w:gridCol w:w="764"/>
        <w:gridCol w:w="738"/>
        <w:gridCol w:w="793"/>
        <w:gridCol w:w="764"/>
        <w:gridCol w:w="738"/>
        <w:gridCol w:w="743"/>
      </w:tblGrid>
      <w:tr>
        <w:trPr>
          <w:trHeight w:val="201" w:hRule="atLeast"/>
        </w:trPr>
        <w:tc>
          <w:tcPr>
            <w:tcW w:w="3435" w:type="dxa"/>
          </w:tcPr>
          <w:p>
            <w:pPr>
              <w:pStyle w:val="TableParagraph"/>
              <w:rPr>
                <w:sz w:val="14"/>
              </w:rPr>
            </w:pPr>
          </w:p>
        </w:tc>
        <w:tc>
          <w:tcPr>
            <w:tcW w:w="754" w:type="dxa"/>
            <w:tcBorders>
              <w:top w:val="single" w:sz="4" w:space="0" w:color="000000"/>
            </w:tcBorders>
          </w:tcPr>
          <w:p>
            <w:pPr>
              <w:pStyle w:val="TableParagraph"/>
              <w:spacing w:line="155" w:lineRule="exact" w:before="26"/>
              <w:ind w:right="159"/>
              <w:jc w:val="right"/>
              <w:rPr>
                <w:sz w:val="16"/>
              </w:rPr>
            </w:pPr>
            <w:r>
              <w:rPr>
                <w:spacing w:val="-2"/>
                <w:sz w:val="16"/>
              </w:rPr>
              <w:t>Percent</w:t>
            </w:r>
          </w:p>
        </w:tc>
        <w:tc>
          <w:tcPr>
            <w:tcW w:w="738" w:type="dxa"/>
            <w:tcBorders>
              <w:top w:val="single" w:sz="4" w:space="0" w:color="000000"/>
            </w:tcBorders>
          </w:tcPr>
          <w:p>
            <w:pPr>
              <w:pStyle w:val="TableParagraph"/>
              <w:rPr>
                <w:sz w:val="14"/>
              </w:rPr>
            </w:pPr>
          </w:p>
        </w:tc>
        <w:tc>
          <w:tcPr>
            <w:tcW w:w="793" w:type="dxa"/>
            <w:tcBorders>
              <w:top w:val="single" w:sz="4" w:space="0" w:color="000000"/>
            </w:tcBorders>
          </w:tcPr>
          <w:p>
            <w:pPr>
              <w:pStyle w:val="TableParagraph"/>
              <w:rPr>
                <w:sz w:val="14"/>
              </w:rPr>
            </w:pPr>
          </w:p>
        </w:tc>
        <w:tc>
          <w:tcPr>
            <w:tcW w:w="764" w:type="dxa"/>
            <w:tcBorders>
              <w:top w:val="single" w:sz="4" w:space="0" w:color="000000"/>
            </w:tcBorders>
          </w:tcPr>
          <w:p>
            <w:pPr>
              <w:pStyle w:val="TableParagraph"/>
              <w:spacing w:line="155" w:lineRule="exact" w:before="26"/>
              <w:ind w:left="122"/>
              <w:rPr>
                <w:sz w:val="16"/>
              </w:rPr>
            </w:pPr>
            <w:r>
              <w:rPr>
                <w:spacing w:val="-2"/>
                <w:sz w:val="16"/>
              </w:rPr>
              <w:t>Percent</w:t>
            </w:r>
          </w:p>
        </w:tc>
        <w:tc>
          <w:tcPr>
            <w:tcW w:w="738" w:type="dxa"/>
            <w:tcBorders>
              <w:top w:val="single" w:sz="4" w:space="0" w:color="000000"/>
            </w:tcBorders>
          </w:tcPr>
          <w:p>
            <w:pPr>
              <w:pStyle w:val="TableParagraph"/>
              <w:rPr>
                <w:sz w:val="14"/>
              </w:rPr>
            </w:pPr>
          </w:p>
        </w:tc>
        <w:tc>
          <w:tcPr>
            <w:tcW w:w="793" w:type="dxa"/>
            <w:tcBorders>
              <w:top w:val="single" w:sz="4" w:space="0" w:color="000000"/>
            </w:tcBorders>
          </w:tcPr>
          <w:p>
            <w:pPr>
              <w:pStyle w:val="TableParagraph"/>
              <w:rPr>
                <w:sz w:val="14"/>
              </w:rPr>
            </w:pPr>
          </w:p>
        </w:tc>
        <w:tc>
          <w:tcPr>
            <w:tcW w:w="764" w:type="dxa"/>
            <w:tcBorders>
              <w:top w:val="single" w:sz="4" w:space="0" w:color="000000"/>
            </w:tcBorders>
          </w:tcPr>
          <w:p>
            <w:pPr>
              <w:pStyle w:val="TableParagraph"/>
              <w:spacing w:line="155" w:lineRule="exact" w:before="26"/>
              <w:ind w:left="122"/>
              <w:rPr>
                <w:sz w:val="16"/>
              </w:rPr>
            </w:pPr>
            <w:r>
              <w:rPr>
                <w:spacing w:val="-2"/>
                <w:sz w:val="16"/>
              </w:rPr>
              <w:t>Percent</w:t>
            </w:r>
          </w:p>
        </w:tc>
        <w:tc>
          <w:tcPr>
            <w:tcW w:w="1481" w:type="dxa"/>
            <w:gridSpan w:val="2"/>
            <w:tcBorders>
              <w:top w:val="single" w:sz="4" w:space="0" w:color="000000"/>
            </w:tcBorders>
          </w:tcPr>
          <w:p>
            <w:pPr>
              <w:pStyle w:val="TableParagraph"/>
              <w:rPr>
                <w:sz w:val="14"/>
              </w:rPr>
            </w:pPr>
          </w:p>
        </w:tc>
      </w:tr>
      <w:tr>
        <w:trPr>
          <w:trHeight w:val="193" w:hRule="atLeast"/>
        </w:trPr>
        <w:tc>
          <w:tcPr>
            <w:tcW w:w="3435" w:type="dxa"/>
            <w:tcBorders>
              <w:bottom w:val="single" w:sz="4" w:space="0" w:color="000000"/>
            </w:tcBorders>
          </w:tcPr>
          <w:p>
            <w:pPr>
              <w:pStyle w:val="TableParagraph"/>
              <w:spacing w:line="169" w:lineRule="exact"/>
              <w:ind w:left="52"/>
              <w:rPr>
                <w:sz w:val="16"/>
              </w:rPr>
            </w:pPr>
            <w:r>
              <w:rPr>
                <w:sz w:val="16"/>
              </w:rPr>
              <w:t>Three</w:t>
            </w:r>
            <w:r>
              <w:rPr>
                <w:spacing w:val="-1"/>
                <w:sz w:val="16"/>
              </w:rPr>
              <w:t> </w:t>
            </w:r>
            <w:r>
              <w:rPr>
                <w:sz w:val="16"/>
              </w:rPr>
              <w:t>Months</w:t>
            </w:r>
            <w:r>
              <w:rPr>
                <w:spacing w:val="-2"/>
                <w:sz w:val="16"/>
              </w:rPr>
              <w:t> </w:t>
            </w:r>
            <w:r>
              <w:rPr>
                <w:sz w:val="16"/>
              </w:rPr>
              <w:t>Ended</w:t>
            </w:r>
            <w:r>
              <w:rPr>
                <w:spacing w:val="-1"/>
                <w:sz w:val="16"/>
              </w:rPr>
              <w:t> </w:t>
            </w:r>
            <w:r>
              <w:rPr>
                <w:sz w:val="16"/>
              </w:rPr>
              <w:t>September</w:t>
            </w:r>
            <w:r>
              <w:rPr>
                <w:spacing w:val="-1"/>
                <w:sz w:val="16"/>
              </w:rPr>
              <w:t> </w:t>
            </w:r>
            <w:r>
              <w:rPr>
                <w:spacing w:val="-5"/>
                <w:sz w:val="16"/>
              </w:rPr>
              <w:t>30,</w:t>
            </w:r>
          </w:p>
        </w:tc>
        <w:tc>
          <w:tcPr>
            <w:tcW w:w="754" w:type="dxa"/>
            <w:tcBorders>
              <w:bottom w:val="single" w:sz="4" w:space="0" w:color="000000"/>
            </w:tcBorders>
          </w:tcPr>
          <w:p>
            <w:pPr>
              <w:pStyle w:val="TableParagraph"/>
              <w:spacing w:line="169" w:lineRule="exact"/>
              <w:ind w:right="155"/>
              <w:jc w:val="right"/>
              <w:rPr>
                <w:sz w:val="16"/>
              </w:rPr>
            </w:pPr>
            <w:r>
              <w:rPr>
                <w:spacing w:val="-2"/>
                <w:sz w:val="16"/>
              </w:rPr>
              <w:t>Change</w:t>
            </w:r>
          </w:p>
        </w:tc>
        <w:tc>
          <w:tcPr>
            <w:tcW w:w="738" w:type="dxa"/>
            <w:tcBorders>
              <w:bottom w:val="single" w:sz="4" w:space="0" w:color="000000"/>
            </w:tcBorders>
          </w:tcPr>
          <w:p>
            <w:pPr>
              <w:pStyle w:val="TableParagraph"/>
              <w:spacing w:line="169" w:lineRule="exact"/>
              <w:ind w:left="203"/>
              <w:rPr>
                <w:sz w:val="16"/>
              </w:rPr>
            </w:pPr>
            <w:r>
              <w:rPr>
                <w:spacing w:val="-4"/>
                <w:sz w:val="16"/>
              </w:rPr>
              <w:t>2023</w:t>
            </w:r>
          </w:p>
        </w:tc>
        <w:tc>
          <w:tcPr>
            <w:tcW w:w="793" w:type="dxa"/>
            <w:tcBorders>
              <w:bottom w:val="single" w:sz="4" w:space="0" w:color="000000"/>
            </w:tcBorders>
          </w:tcPr>
          <w:p>
            <w:pPr>
              <w:pStyle w:val="TableParagraph"/>
              <w:spacing w:line="169" w:lineRule="exact"/>
              <w:ind w:left="230"/>
              <w:rPr>
                <w:sz w:val="16"/>
              </w:rPr>
            </w:pPr>
            <w:r>
              <w:rPr>
                <w:spacing w:val="-4"/>
                <w:sz w:val="16"/>
              </w:rPr>
              <w:t>2022</w:t>
            </w:r>
          </w:p>
        </w:tc>
        <w:tc>
          <w:tcPr>
            <w:tcW w:w="764" w:type="dxa"/>
            <w:tcBorders>
              <w:bottom w:val="single" w:sz="4" w:space="0" w:color="000000"/>
            </w:tcBorders>
          </w:tcPr>
          <w:p>
            <w:pPr>
              <w:pStyle w:val="TableParagraph"/>
              <w:spacing w:line="169" w:lineRule="exact"/>
              <w:ind w:left="118"/>
              <w:rPr>
                <w:sz w:val="16"/>
              </w:rPr>
            </w:pPr>
            <w:r>
              <w:rPr>
                <w:spacing w:val="-2"/>
                <w:sz w:val="16"/>
              </w:rPr>
              <w:t>Change</w:t>
            </w:r>
          </w:p>
        </w:tc>
        <w:tc>
          <w:tcPr>
            <w:tcW w:w="738" w:type="dxa"/>
            <w:tcBorders>
              <w:bottom w:val="single" w:sz="4" w:space="0" w:color="000000"/>
            </w:tcBorders>
          </w:tcPr>
          <w:p>
            <w:pPr>
              <w:pStyle w:val="TableParagraph"/>
              <w:spacing w:line="169" w:lineRule="exact"/>
              <w:ind w:left="203"/>
              <w:rPr>
                <w:sz w:val="16"/>
              </w:rPr>
            </w:pPr>
            <w:r>
              <w:rPr>
                <w:spacing w:val="-4"/>
                <w:sz w:val="16"/>
              </w:rPr>
              <w:t>2023</w:t>
            </w:r>
          </w:p>
        </w:tc>
        <w:tc>
          <w:tcPr>
            <w:tcW w:w="793" w:type="dxa"/>
            <w:tcBorders>
              <w:bottom w:val="single" w:sz="4" w:space="0" w:color="000000"/>
            </w:tcBorders>
          </w:tcPr>
          <w:p>
            <w:pPr>
              <w:pStyle w:val="TableParagraph"/>
              <w:spacing w:line="169" w:lineRule="exact"/>
              <w:ind w:left="230"/>
              <w:rPr>
                <w:sz w:val="16"/>
              </w:rPr>
            </w:pPr>
            <w:r>
              <w:rPr>
                <w:spacing w:val="-4"/>
                <w:sz w:val="16"/>
              </w:rPr>
              <w:t>2022</w:t>
            </w:r>
          </w:p>
        </w:tc>
        <w:tc>
          <w:tcPr>
            <w:tcW w:w="764" w:type="dxa"/>
            <w:tcBorders>
              <w:bottom w:val="single" w:sz="4" w:space="0" w:color="000000"/>
            </w:tcBorders>
          </w:tcPr>
          <w:p>
            <w:pPr>
              <w:pStyle w:val="TableParagraph"/>
              <w:spacing w:line="169" w:lineRule="exact"/>
              <w:ind w:left="118"/>
              <w:rPr>
                <w:sz w:val="16"/>
              </w:rPr>
            </w:pPr>
            <w:r>
              <w:rPr>
                <w:spacing w:val="-2"/>
                <w:sz w:val="16"/>
              </w:rPr>
              <w:t>Change</w:t>
            </w:r>
          </w:p>
        </w:tc>
        <w:tc>
          <w:tcPr>
            <w:tcW w:w="738" w:type="dxa"/>
            <w:tcBorders>
              <w:bottom w:val="single" w:sz="4" w:space="0" w:color="000000"/>
            </w:tcBorders>
          </w:tcPr>
          <w:p>
            <w:pPr>
              <w:pStyle w:val="TableParagraph"/>
              <w:spacing w:line="169" w:lineRule="exact"/>
              <w:ind w:left="203"/>
              <w:rPr>
                <w:sz w:val="16"/>
              </w:rPr>
            </w:pPr>
            <w:r>
              <w:rPr>
                <w:spacing w:val="-4"/>
                <w:sz w:val="16"/>
              </w:rPr>
              <w:t>2023</w:t>
            </w:r>
          </w:p>
        </w:tc>
        <w:tc>
          <w:tcPr>
            <w:tcW w:w="743" w:type="dxa"/>
            <w:tcBorders>
              <w:bottom w:val="single" w:sz="4" w:space="0" w:color="000000"/>
            </w:tcBorders>
          </w:tcPr>
          <w:p>
            <w:pPr>
              <w:pStyle w:val="TableParagraph"/>
              <w:spacing w:line="169" w:lineRule="exact"/>
              <w:ind w:left="230"/>
              <w:rPr>
                <w:sz w:val="16"/>
              </w:rPr>
            </w:pPr>
            <w:r>
              <w:rPr>
                <w:spacing w:val="-4"/>
                <w:sz w:val="16"/>
              </w:rPr>
              <w:t>2022</w:t>
            </w:r>
          </w:p>
        </w:tc>
      </w:tr>
      <w:tr>
        <w:trPr>
          <w:trHeight w:val="235" w:hRule="atLeast"/>
        </w:trPr>
        <w:tc>
          <w:tcPr>
            <w:tcW w:w="3435" w:type="dxa"/>
            <w:tcBorders>
              <w:top w:val="single" w:sz="4" w:space="0" w:color="000000"/>
            </w:tcBorders>
          </w:tcPr>
          <w:p>
            <w:pPr>
              <w:pStyle w:val="TableParagraph"/>
              <w:spacing w:before="21"/>
              <w:ind w:left="52"/>
              <w:rPr>
                <w:b/>
                <w:sz w:val="16"/>
              </w:rPr>
            </w:pPr>
            <w:r>
              <w:rPr>
                <w:b/>
                <w:sz w:val="16"/>
              </w:rPr>
              <w:t>Net</w:t>
            </w:r>
            <w:r>
              <w:rPr>
                <w:b/>
                <w:spacing w:val="-3"/>
                <w:sz w:val="16"/>
              </w:rPr>
              <w:t> </w:t>
            </w:r>
            <w:r>
              <w:rPr>
                <w:b/>
                <w:spacing w:val="-2"/>
                <w:sz w:val="16"/>
              </w:rPr>
              <w:t>Revenues</w:t>
            </w:r>
          </w:p>
        </w:tc>
        <w:tc>
          <w:tcPr>
            <w:tcW w:w="754" w:type="dxa"/>
            <w:tcBorders>
              <w:top w:val="single" w:sz="4" w:space="0" w:color="000000"/>
            </w:tcBorders>
          </w:tcPr>
          <w:p>
            <w:pPr>
              <w:pStyle w:val="TableParagraph"/>
              <w:rPr>
                <w:sz w:val="16"/>
              </w:rPr>
            </w:pPr>
          </w:p>
        </w:tc>
        <w:tc>
          <w:tcPr>
            <w:tcW w:w="738" w:type="dxa"/>
            <w:tcBorders>
              <w:top w:val="single" w:sz="4" w:space="0" w:color="000000"/>
            </w:tcBorders>
          </w:tcPr>
          <w:p>
            <w:pPr>
              <w:pStyle w:val="TableParagraph"/>
              <w:rPr>
                <w:sz w:val="16"/>
              </w:rPr>
            </w:pPr>
          </w:p>
        </w:tc>
        <w:tc>
          <w:tcPr>
            <w:tcW w:w="793" w:type="dxa"/>
            <w:tcBorders>
              <w:top w:val="single" w:sz="4" w:space="0" w:color="000000"/>
            </w:tcBorders>
          </w:tcPr>
          <w:p>
            <w:pPr>
              <w:pStyle w:val="TableParagraph"/>
              <w:rPr>
                <w:sz w:val="16"/>
              </w:rPr>
            </w:pPr>
          </w:p>
        </w:tc>
        <w:tc>
          <w:tcPr>
            <w:tcW w:w="764" w:type="dxa"/>
            <w:tcBorders>
              <w:top w:val="single" w:sz="4" w:space="0" w:color="000000"/>
            </w:tcBorders>
          </w:tcPr>
          <w:p>
            <w:pPr>
              <w:pStyle w:val="TableParagraph"/>
              <w:rPr>
                <w:sz w:val="16"/>
              </w:rPr>
            </w:pPr>
          </w:p>
        </w:tc>
        <w:tc>
          <w:tcPr>
            <w:tcW w:w="738" w:type="dxa"/>
            <w:tcBorders>
              <w:top w:val="single" w:sz="4" w:space="0" w:color="000000"/>
            </w:tcBorders>
          </w:tcPr>
          <w:p>
            <w:pPr>
              <w:pStyle w:val="TableParagraph"/>
              <w:rPr>
                <w:sz w:val="16"/>
              </w:rPr>
            </w:pPr>
          </w:p>
        </w:tc>
        <w:tc>
          <w:tcPr>
            <w:tcW w:w="793" w:type="dxa"/>
            <w:tcBorders>
              <w:top w:val="single" w:sz="4" w:space="0" w:color="000000"/>
            </w:tcBorders>
          </w:tcPr>
          <w:p>
            <w:pPr>
              <w:pStyle w:val="TableParagraph"/>
              <w:rPr>
                <w:sz w:val="16"/>
              </w:rPr>
            </w:pPr>
          </w:p>
        </w:tc>
        <w:tc>
          <w:tcPr>
            <w:tcW w:w="764" w:type="dxa"/>
            <w:tcBorders>
              <w:top w:val="single" w:sz="4" w:space="0" w:color="000000"/>
            </w:tcBorders>
          </w:tcPr>
          <w:p>
            <w:pPr>
              <w:pStyle w:val="TableParagraph"/>
              <w:rPr>
                <w:sz w:val="16"/>
              </w:rPr>
            </w:pPr>
          </w:p>
        </w:tc>
        <w:tc>
          <w:tcPr>
            <w:tcW w:w="738" w:type="dxa"/>
            <w:tcBorders>
              <w:top w:val="single" w:sz="4" w:space="0" w:color="000000"/>
            </w:tcBorders>
          </w:tcPr>
          <w:p>
            <w:pPr>
              <w:pStyle w:val="TableParagraph"/>
              <w:rPr>
                <w:sz w:val="16"/>
              </w:rPr>
            </w:pPr>
          </w:p>
        </w:tc>
        <w:tc>
          <w:tcPr>
            <w:tcW w:w="743" w:type="dxa"/>
            <w:tcBorders>
              <w:top w:val="single" w:sz="4" w:space="0" w:color="000000"/>
            </w:tcBorders>
          </w:tcPr>
          <w:p>
            <w:pPr>
              <w:pStyle w:val="TableParagraph"/>
              <w:rPr>
                <w:sz w:val="16"/>
              </w:rPr>
            </w:pPr>
          </w:p>
        </w:tc>
      </w:tr>
      <w:tr>
        <w:trPr>
          <w:trHeight w:val="240" w:hRule="atLeast"/>
        </w:trPr>
        <w:tc>
          <w:tcPr>
            <w:tcW w:w="3435" w:type="dxa"/>
            <w:shd w:val="clear" w:color="auto" w:fill="CCEDFF"/>
          </w:tcPr>
          <w:p>
            <w:pPr>
              <w:pStyle w:val="TableParagraph"/>
              <w:spacing w:before="26"/>
              <w:ind w:left="52"/>
              <w:rPr>
                <w:sz w:val="16"/>
              </w:rPr>
            </w:pPr>
            <w:r>
              <w:rPr>
                <w:sz w:val="16"/>
              </w:rPr>
              <w:t>Net</w:t>
            </w:r>
            <w:r>
              <w:rPr>
                <w:spacing w:val="-3"/>
                <w:sz w:val="16"/>
              </w:rPr>
              <w:t> </w:t>
            </w:r>
            <w:r>
              <w:rPr>
                <w:sz w:val="16"/>
              </w:rPr>
              <w:t>interest</w:t>
            </w:r>
            <w:r>
              <w:rPr>
                <w:spacing w:val="-1"/>
                <w:sz w:val="16"/>
              </w:rPr>
              <w:t> </w:t>
            </w:r>
            <w:r>
              <w:rPr>
                <w:spacing w:val="-2"/>
                <w:sz w:val="16"/>
              </w:rPr>
              <w:t>revenue</w:t>
            </w:r>
          </w:p>
        </w:tc>
        <w:tc>
          <w:tcPr>
            <w:tcW w:w="754" w:type="dxa"/>
            <w:shd w:val="clear" w:color="auto" w:fill="CCEDFF"/>
          </w:tcPr>
          <w:p>
            <w:pPr>
              <w:pStyle w:val="TableParagraph"/>
              <w:spacing w:before="26"/>
              <w:ind w:right="61"/>
              <w:jc w:val="right"/>
              <w:rPr>
                <w:sz w:val="16"/>
              </w:rPr>
            </w:pPr>
            <w:r>
              <w:rPr>
                <w:spacing w:val="-2"/>
                <w:sz w:val="16"/>
              </w:rPr>
              <w:t>(20)%</w:t>
            </w:r>
          </w:p>
        </w:tc>
        <w:tc>
          <w:tcPr>
            <w:tcW w:w="738" w:type="dxa"/>
            <w:shd w:val="clear" w:color="auto" w:fill="CCEDFF"/>
          </w:tcPr>
          <w:p>
            <w:pPr>
              <w:pStyle w:val="TableParagraph"/>
              <w:spacing w:before="26"/>
              <w:ind w:right="88"/>
              <w:jc w:val="right"/>
              <w:rPr>
                <w:sz w:val="16"/>
              </w:rPr>
            </w:pPr>
            <w:r>
              <w:rPr>
                <w:sz w:val="16"/>
              </w:rPr>
              <w:t>$</w:t>
            </w:r>
            <w:r>
              <w:rPr>
                <w:spacing w:val="32"/>
                <w:sz w:val="16"/>
              </w:rPr>
              <w:t>  </w:t>
            </w:r>
            <w:r>
              <w:rPr>
                <w:spacing w:val="-2"/>
                <w:sz w:val="16"/>
              </w:rPr>
              <w:t>1,710</w:t>
            </w:r>
          </w:p>
        </w:tc>
        <w:tc>
          <w:tcPr>
            <w:tcW w:w="793" w:type="dxa"/>
            <w:shd w:val="clear" w:color="auto" w:fill="CCEDFF"/>
          </w:tcPr>
          <w:p>
            <w:pPr>
              <w:pStyle w:val="TableParagraph"/>
              <w:spacing w:before="26"/>
              <w:ind w:right="116"/>
              <w:jc w:val="right"/>
              <w:rPr>
                <w:sz w:val="16"/>
              </w:rPr>
            </w:pPr>
            <w:r>
              <w:rPr>
                <w:sz w:val="16"/>
              </w:rPr>
              <w:t>$</w:t>
            </w:r>
            <w:r>
              <w:rPr>
                <w:spacing w:val="32"/>
                <w:sz w:val="16"/>
              </w:rPr>
              <w:t>  </w:t>
            </w:r>
            <w:r>
              <w:rPr>
                <w:spacing w:val="-2"/>
                <w:sz w:val="16"/>
              </w:rPr>
              <w:t>2,143</w:t>
            </w:r>
          </w:p>
        </w:tc>
        <w:tc>
          <w:tcPr>
            <w:tcW w:w="764" w:type="dxa"/>
            <w:shd w:val="clear" w:color="auto" w:fill="CCEDFF"/>
          </w:tcPr>
          <w:p>
            <w:pPr>
              <w:pStyle w:val="TableParagraph"/>
              <w:spacing w:before="26"/>
              <w:ind w:right="61"/>
              <w:jc w:val="right"/>
              <w:rPr>
                <w:sz w:val="16"/>
              </w:rPr>
            </w:pPr>
            <w:r>
              <w:rPr>
                <w:spacing w:val="-2"/>
                <w:sz w:val="16"/>
              </w:rPr>
              <w:t>(33)%</w:t>
            </w:r>
          </w:p>
        </w:tc>
        <w:tc>
          <w:tcPr>
            <w:tcW w:w="738" w:type="dxa"/>
            <w:shd w:val="clear" w:color="auto" w:fill="CCEDFF"/>
          </w:tcPr>
          <w:p>
            <w:pPr>
              <w:pStyle w:val="TableParagraph"/>
              <w:tabs>
                <w:tab w:pos="344" w:val="left" w:leader="none"/>
              </w:tabs>
              <w:spacing w:before="26"/>
              <w:ind w:right="88"/>
              <w:jc w:val="right"/>
              <w:rPr>
                <w:sz w:val="16"/>
              </w:rPr>
            </w:pPr>
            <w:r>
              <w:rPr>
                <w:spacing w:val="-10"/>
                <w:sz w:val="16"/>
              </w:rPr>
              <w:t>$</w:t>
            </w:r>
            <w:r>
              <w:rPr>
                <w:sz w:val="16"/>
              </w:rPr>
              <w:tab/>
            </w:r>
            <w:r>
              <w:rPr>
                <w:spacing w:val="-5"/>
                <w:sz w:val="16"/>
              </w:rPr>
              <w:t>527</w:t>
            </w:r>
          </w:p>
        </w:tc>
        <w:tc>
          <w:tcPr>
            <w:tcW w:w="793" w:type="dxa"/>
            <w:shd w:val="clear" w:color="auto" w:fill="CCEDFF"/>
          </w:tcPr>
          <w:p>
            <w:pPr>
              <w:pStyle w:val="TableParagraph"/>
              <w:tabs>
                <w:tab w:pos="344" w:val="left" w:leader="none"/>
              </w:tabs>
              <w:spacing w:before="26"/>
              <w:ind w:right="116"/>
              <w:jc w:val="right"/>
              <w:rPr>
                <w:sz w:val="16"/>
              </w:rPr>
            </w:pPr>
            <w:r>
              <w:rPr>
                <w:spacing w:val="-10"/>
                <w:sz w:val="16"/>
              </w:rPr>
              <w:t>$</w:t>
            </w:r>
            <w:r>
              <w:rPr>
                <w:sz w:val="16"/>
              </w:rPr>
              <w:tab/>
            </w:r>
            <w:r>
              <w:rPr>
                <w:spacing w:val="-5"/>
                <w:sz w:val="16"/>
              </w:rPr>
              <w:t>783</w:t>
            </w:r>
          </w:p>
        </w:tc>
        <w:tc>
          <w:tcPr>
            <w:tcW w:w="764" w:type="dxa"/>
            <w:shd w:val="clear" w:color="auto" w:fill="CCEDFF"/>
          </w:tcPr>
          <w:p>
            <w:pPr>
              <w:pStyle w:val="TableParagraph"/>
              <w:spacing w:before="26"/>
              <w:ind w:right="61"/>
              <w:jc w:val="right"/>
              <w:rPr>
                <w:sz w:val="16"/>
              </w:rPr>
            </w:pPr>
            <w:r>
              <w:rPr>
                <w:spacing w:val="-2"/>
                <w:sz w:val="16"/>
              </w:rPr>
              <w:t>(24)%</w:t>
            </w:r>
          </w:p>
        </w:tc>
        <w:tc>
          <w:tcPr>
            <w:tcW w:w="738" w:type="dxa"/>
            <w:shd w:val="clear" w:color="auto" w:fill="CCEDFF"/>
          </w:tcPr>
          <w:p>
            <w:pPr>
              <w:pStyle w:val="TableParagraph"/>
              <w:spacing w:before="26"/>
              <w:ind w:right="88"/>
              <w:jc w:val="right"/>
              <w:rPr>
                <w:sz w:val="16"/>
              </w:rPr>
            </w:pPr>
            <w:r>
              <w:rPr>
                <w:sz w:val="16"/>
              </w:rPr>
              <w:t>$</w:t>
            </w:r>
            <w:r>
              <w:rPr>
                <w:spacing w:val="32"/>
                <w:sz w:val="16"/>
              </w:rPr>
              <w:t>  </w:t>
            </w:r>
            <w:r>
              <w:rPr>
                <w:spacing w:val="-2"/>
                <w:sz w:val="16"/>
              </w:rPr>
              <w:t>2,237</w:t>
            </w:r>
          </w:p>
        </w:tc>
        <w:tc>
          <w:tcPr>
            <w:tcW w:w="743" w:type="dxa"/>
            <w:shd w:val="clear" w:color="auto" w:fill="CCEDFF"/>
          </w:tcPr>
          <w:p>
            <w:pPr>
              <w:pStyle w:val="TableParagraph"/>
              <w:spacing w:before="26"/>
              <w:ind w:right="66"/>
              <w:jc w:val="right"/>
              <w:rPr>
                <w:sz w:val="16"/>
              </w:rPr>
            </w:pPr>
            <w:r>
              <w:rPr>
                <w:sz w:val="16"/>
              </w:rPr>
              <w:t>$</w:t>
            </w:r>
            <w:r>
              <w:rPr>
                <w:spacing w:val="32"/>
                <w:sz w:val="16"/>
              </w:rPr>
              <w:t>  </w:t>
            </w:r>
            <w:r>
              <w:rPr>
                <w:spacing w:val="-2"/>
                <w:sz w:val="16"/>
              </w:rPr>
              <w:t>2,926</w:t>
            </w:r>
          </w:p>
        </w:tc>
      </w:tr>
      <w:tr>
        <w:trPr>
          <w:trHeight w:val="240" w:hRule="atLeast"/>
        </w:trPr>
        <w:tc>
          <w:tcPr>
            <w:tcW w:w="3435" w:type="dxa"/>
          </w:tcPr>
          <w:p>
            <w:pPr>
              <w:pStyle w:val="TableParagraph"/>
              <w:spacing w:before="26"/>
              <w:ind w:left="52"/>
              <w:rPr>
                <w:sz w:val="16"/>
              </w:rPr>
            </w:pPr>
            <w:r>
              <w:rPr>
                <w:sz w:val="16"/>
              </w:rPr>
              <w:t>Asset</w:t>
            </w:r>
            <w:r>
              <w:rPr>
                <w:spacing w:val="-1"/>
                <w:sz w:val="16"/>
              </w:rPr>
              <w:t> </w:t>
            </w:r>
            <w:r>
              <w:rPr>
                <w:sz w:val="16"/>
              </w:rPr>
              <w:t>management</w:t>
            </w:r>
            <w:r>
              <w:rPr>
                <w:spacing w:val="-1"/>
                <w:sz w:val="16"/>
              </w:rPr>
              <w:t> </w:t>
            </w:r>
            <w:r>
              <w:rPr>
                <w:sz w:val="16"/>
              </w:rPr>
              <w:t>and</w:t>
            </w:r>
            <w:r>
              <w:rPr>
                <w:spacing w:val="-1"/>
                <w:sz w:val="16"/>
              </w:rPr>
              <w:t> </w:t>
            </w:r>
            <w:r>
              <w:rPr>
                <w:sz w:val="16"/>
              </w:rPr>
              <w:t>administration</w:t>
            </w:r>
            <w:r>
              <w:rPr>
                <w:spacing w:val="-1"/>
                <w:sz w:val="16"/>
              </w:rPr>
              <w:t> </w:t>
            </w:r>
            <w:r>
              <w:rPr>
                <w:spacing w:val="-4"/>
                <w:sz w:val="16"/>
              </w:rPr>
              <w:t>fees</w:t>
            </w:r>
          </w:p>
        </w:tc>
        <w:tc>
          <w:tcPr>
            <w:tcW w:w="754" w:type="dxa"/>
          </w:tcPr>
          <w:p>
            <w:pPr>
              <w:pStyle w:val="TableParagraph"/>
              <w:spacing w:before="26"/>
              <w:ind w:right="115"/>
              <w:jc w:val="right"/>
              <w:rPr>
                <w:sz w:val="16"/>
              </w:rPr>
            </w:pPr>
            <w:r>
              <w:rPr>
                <w:spacing w:val="-5"/>
                <w:sz w:val="16"/>
              </w:rPr>
              <w:t>16%</w:t>
            </w:r>
          </w:p>
        </w:tc>
        <w:tc>
          <w:tcPr>
            <w:tcW w:w="738" w:type="dxa"/>
          </w:tcPr>
          <w:p>
            <w:pPr>
              <w:pStyle w:val="TableParagraph"/>
              <w:spacing w:before="26"/>
              <w:ind w:right="88"/>
              <w:jc w:val="right"/>
              <w:rPr>
                <w:sz w:val="16"/>
              </w:rPr>
            </w:pPr>
            <w:r>
              <w:rPr>
                <w:spacing w:val="-5"/>
                <w:sz w:val="16"/>
              </w:rPr>
              <w:t>877</w:t>
            </w:r>
          </w:p>
        </w:tc>
        <w:tc>
          <w:tcPr>
            <w:tcW w:w="793" w:type="dxa"/>
          </w:tcPr>
          <w:p>
            <w:pPr>
              <w:pStyle w:val="TableParagraph"/>
              <w:spacing w:before="26"/>
              <w:ind w:right="116"/>
              <w:jc w:val="right"/>
              <w:rPr>
                <w:sz w:val="16"/>
              </w:rPr>
            </w:pPr>
            <w:r>
              <w:rPr>
                <w:spacing w:val="-5"/>
                <w:sz w:val="16"/>
              </w:rPr>
              <w:t>755</w:t>
            </w:r>
          </w:p>
        </w:tc>
        <w:tc>
          <w:tcPr>
            <w:tcW w:w="764" w:type="dxa"/>
          </w:tcPr>
          <w:p>
            <w:pPr>
              <w:pStyle w:val="TableParagraph"/>
              <w:spacing w:before="26"/>
              <w:ind w:left="353"/>
              <w:rPr>
                <w:sz w:val="16"/>
              </w:rPr>
            </w:pPr>
            <w:r>
              <w:rPr>
                <w:spacing w:val="-5"/>
                <w:sz w:val="16"/>
              </w:rPr>
              <w:t>19%</w:t>
            </w:r>
          </w:p>
        </w:tc>
        <w:tc>
          <w:tcPr>
            <w:tcW w:w="738" w:type="dxa"/>
          </w:tcPr>
          <w:p>
            <w:pPr>
              <w:pStyle w:val="TableParagraph"/>
              <w:spacing w:before="26"/>
              <w:ind w:right="88"/>
              <w:jc w:val="right"/>
              <w:rPr>
                <w:sz w:val="16"/>
              </w:rPr>
            </w:pPr>
            <w:r>
              <w:rPr>
                <w:spacing w:val="-5"/>
                <w:sz w:val="16"/>
              </w:rPr>
              <w:t>347</w:t>
            </w:r>
          </w:p>
        </w:tc>
        <w:tc>
          <w:tcPr>
            <w:tcW w:w="793" w:type="dxa"/>
          </w:tcPr>
          <w:p>
            <w:pPr>
              <w:pStyle w:val="TableParagraph"/>
              <w:spacing w:before="26"/>
              <w:ind w:right="116"/>
              <w:jc w:val="right"/>
              <w:rPr>
                <w:sz w:val="16"/>
              </w:rPr>
            </w:pPr>
            <w:r>
              <w:rPr>
                <w:spacing w:val="-5"/>
                <w:sz w:val="16"/>
              </w:rPr>
              <w:t>292</w:t>
            </w:r>
          </w:p>
        </w:tc>
        <w:tc>
          <w:tcPr>
            <w:tcW w:w="764" w:type="dxa"/>
          </w:tcPr>
          <w:p>
            <w:pPr>
              <w:pStyle w:val="TableParagraph"/>
              <w:spacing w:before="26"/>
              <w:ind w:right="115"/>
              <w:jc w:val="right"/>
              <w:rPr>
                <w:sz w:val="16"/>
              </w:rPr>
            </w:pPr>
            <w:r>
              <w:rPr>
                <w:spacing w:val="-5"/>
                <w:sz w:val="16"/>
              </w:rPr>
              <w:t>17%</w:t>
            </w:r>
          </w:p>
        </w:tc>
        <w:tc>
          <w:tcPr>
            <w:tcW w:w="738" w:type="dxa"/>
          </w:tcPr>
          <w:p>
            <w:pPr>
              <w:pStyle w:val="TableParagraph"/>
              <w:spacing w:before="26"/>
              <w:ind w:right="88"/>
              <w:jc w:val="right"/>
              <w:rPr>
                <w:sz w:val="16"/>
              </w:rPr>
            </w:pPr>
            <w:r>
              <w:rPr>
                <w:spacing w:val="-2"/>
                <w:sz w:val="16"/>
              </w:rPr>
              <w:t>1,224</w:t>
            </w:r>
          </w:p>
        </w:tc>
        <w:tc>
          <w:tcPr>
            <w:tcW w:w="743" w:type="dxa"/>
          </w:tcPr>
          <w:p>
            <w:pPr>
              <w:pStyle w:val="TableParagraph"/>
              <w:spacing w:before="26"/>
              <w:ind w:right="66"/>
              <w:jc w:val="right"/>
              <w:rPr>
                <w:sz w:val="16"/>
              </w:rPr>
            </w:pPr>
            <w:r>
              <w:rPr>
                <w:spacing w:val="-2"/>
                <w:sz w:val="16"/>
              </w:rPr>
              <w:t>1,047</w:t>
            </w:r>
          </w:p>
        </w:tc>
      </w:tr>
      <w:tr>
        <w:trPr>
          <w:trHeight w:val="240" w:hRule="atLeast"/>
        </w:trPr>
        <w:tc>
          <w:tcPr>
            <w:tcW w:w="3435" w:type="dxa"/>
            <w:shd w:val="clear" w:color="auto" w:fill="CCEDFF"/>
          </w:tcPr>
          <w:p>
            <w:pPr>
              <w:pStyle w:val="TableParagraph"/>
              <w:spacing w:before="26"/>
              <w:ind w:left="52"/>
              <w:rPr>
                <w:sz w:val="16"/>
              </w:rPr>
            </w:pPr>
            <w:r>
              <w:rPr>
                <w:sz w:val="16"/>
              </w:rPr>
              <w:t>Trading</w:t>
            </w:r>
            <w:r>
              <w:rPr>
                <w:spacing w:val="-1"/>
                <w:sz w:val="16"/>
              </w:rPr>
              <w:t> </w:t>
            </w:r>
            <w:r>
              <w:rPr>
                <w:spacing w:val="-2"/>
                <w:sz w:val="16"/>
              </w:rPr>
              <w:t>revenue</w:t>
            </w:r>
          </w:p>
        </w:tc>
        <w:tc>
          <w:tcPr>
            <w:tcW w:w="754" w:type="dxa"/>
            <w:shd w:val="clear" w:color="auto" w:fill="CCEDFF"/>
          </w:tcPr>
          <w:p>
            <w:pPr>
              <w:pStyle w:val="TableParagraph"/>
              <w:spacing w:before="26"/>
              <w:ind w:right="61"/>
              <w:jc w:val="right"/>
              <w:rPr>
                <w:sz w:val="16"/>
              </w:rPr>
            </w:pPr>
            <w:r>
              <w:rPr>
                <w:spacing w:val="-2"/>
                <w:sz w:val="16"/>
              </w:rPr>
              <w:t>(16)%</w:t>
            </w:r>
          </w:p>
        </w:tc>
        <w:tc>
          <w:tcPr>
            <w:tcW w:w="738" w:type="dxa"/>
            <w:shd w:val="clear" w:color="auto" w:fill="CCEDFF"/>
          </w:tcPr>
          <w:p>
            <w:pPr>
              <w:pStyle w:val="TableParagraph"/>
              <w:spacing w:before="26"/>
              <w:ind w:right="88"/>
              <w:jc w:val="right"/>
              <w:rPr>
                <w:sz w:val="16"/>
              </w:rPr>
            </w:pPr>
            <w:r>
              <w:rPr>
                <w:spacing w:val="-5"/>
                <w:sz w:val="16"/>
              </w:rPr>
              <w:t>672</w:t>
            </w:r>
          </w:p>
        </w:tc>
        <w:tc>
          <w:tcPr>
            <w:tcW w:w="793" w:type="dxa"/>
            <w:shd w:val="clear" w:color="auto" w:fill="CCEDFF"/>
          </w:tcPr>
          <w:p>
            <w:pPr>
              <w:pStyle w:val="TableParagraph"/>
              <w:spacing w:before="26"/>
              <w:ind w:right="116"/>
              <w:jc w:val="right"/>
              <w:rPr>
                <w:sz w:val="16"/>
              </w:rPr>
            </w:pPr>
            <w:r>
              <w:rPr>
                <w:spacing w:val="-5"/>
                <w:sz w:val="16"/>
              </w:rPr>
              <w:t>800</w:t>
            </w:r>
          </w:p>
        </w:tc>
        <w:tc>
          <w:tcPr>
            <w:tcW w:w="764" w:type="dxa"/>
            <w:shd w:val="clear" w:color="auto" w:fill="CCEDFF"/>
          </w:tcPr>
          <w:p>
            <w:pPr>
              <w:pStyle w:val="TableParagraph"/>
              <w:spacing w:before="26"/>
              <w:ind w:right="61"/>
              <w:jc w:val="right"/>
              <w:rPr>
                <w:sz w:val="16"/>
              </w:rPr>
            </w:pPr>
            <w:r>
              <w:rPr>
                <w:spacing w:val="-2"/>
                <w:sz w:val="16"/>
              </w:rPr>
              <w:t>(26)%</w:t>
            </w:r>
          </w:p>
        </w:tc>
        <w:tc>
          <w:tcPr>
            <w:tcW w:w="738" w:type="dxa"/>
            <w:shd w:val="clear" w:color="auto" w:fill="CCEDFF"/>
          </w:tcPr>
          <w:p>
            <w:pPr>
              <w:pStyle w:val="TableParagraph"/>
              <w:spacing w:before="26"/>
              <w:ind w:right="88"/>
              <w:jc w:val="right"/>
              <w:rPr>
                <w:sz w:val="16"/>
              </w:rPr>
            </w:pPr>
            <w:r>
              <w:rPr>
                <w:spacing w:val="-5"/>
                <w:sz w:val="16"/>
              </w:rPr>
              <w:t>96</w:t>
            </w:r>
          </w:p>
        </w:tc>
        <w:tc>
          <w:tcPr>
            <w:tcW w:w="793" w:type="dxa"/>
            <w:shd w:val="clear" w:color="auto" w:fill="CCEDFF"/>
          </w:tcPr>
          <w:p>
            <w:pPr>
              <w:pStyle w:val="TableParagraph"/>
              <w:spacing w:before="26"/>
              <w:ind w:right="116"/>
              <w:jc w:val="right"/>
              <w:rPr>
                <w:sz w:val="16"/>
              </w:rPr>
            </w:pPr>
            <w:r>
              <w:rPr>
                <w:spacing w:val="-5"/>
                <w:sz w:val="16"/>
              </w:rPr>
              <w:t>130</w:t>
            </w:r>
          </w:p>
        </w:tc>
        <w:tc>
          <w:tcPr>
            <w:tcW w:w="764" w:type="dxa"/>
            <w:shd w:val="clear" w:color="auto" w:fill="CCEDFF"/>
          </w:tcPr>
          <w:p>
            <w:pPr>
              <w:pStyle w:val="TableParagraph"/>
              <w:spacing w:before="26"/>
              <w:ind w:right="61"/>
              <w:jc w:val="right"/>
              <w:rPr>
                <w:sz w:val="16"/>
              </w:rPr>
            </w:pPr>
            <w:r>
              <w:rPr>
                <w:spacing w:val="-2"/>
                <w:sz w:val="16"/>
              </w:rPr>
              <w:t>(17)%</w:t>
            </w:r>
          </w:p>
        </w:tc>
        <w:tc>
          <w:tcPr>
            <w:tcW w:w="738" w:type="dxa"/>
            <w:shd w:val="clear" w:color="auto" w:fill="CCEDFF"/>
          </w:tcPr>
          <w:p>
            <w:pPr>
              <w:pStyle w:val="TableParagraph"/>
              <w:spacing w:before="26"/>
              <w:ind w:right="88"/>
              <w:jc w:val="right"/>
              <w:rPr>
                <w:sz w:val="16"/>
              </w:rPr>
            </w:pPr>
            <w:r>
              <w:rPr>
                <w:spacing w:val="-5"/>
                <w:sz w:val="16"/>
              </w:rPr>
              <w:t>768</w:t>
            </w:r>
          </w:p>
        </w:tc>
        <w:tc>
          <w:tcPr>
            <w:tcW w:w="743" w:type="dxa"/>
            <w:shd w:val="clear" w:color="auto" w:fill="CCEDFF"/>
          </w:tcPr>
          <w:p>
            <w:pPr>
              <w:pStyle w:val="TableParagraph"/>
              <w:spacing w:before="26"/>
              <w:ind w:right="66"/>
              <w:jc w:val="right"/>
              <w:rPr>
                <w:sz w:val="16"/>
              </w:rPr>
            </w:pPr>
            <w:r>
              <w:rPr>
                <w:spacing w:val="-5"/>
                <w:sz w:val="16"/>
              </w:rPr>
              <w:t>930</w:t>
            </w:r>
          </w:p>
        </w:tc>
      </w:tr>
      <w:tr>
        <w:trPr>
          <w:trHeight w:val="240" w:hRule="atLeast"/>
        </w:trPr>
        <w:tc>
          <w:tcPr>
            <w:tcW w:w="3435" w:type="dxa"/>
          </w:tcPr>
          <w:p>
            <w:pPr>
              <w:pStyle w:val="TableParagraph"/>
              <w:spacing w:before="26"/>
              <w:ind w:left="52"/>
              <w:rPr>
                <w:sz w:val="16"/>
              </w:rPr>
            </w:pPr>
            <w:r>
              <w:rPr>
                <w:sz w:val="16"/>
              </w:rPr>
              <w:t>Bank</w:t>
            </w:r>
            <w:r>
              <w:rPr>
                <w:spacing w:val="-1"/>
                <w:sz w:val="16"/>
              </w:rPr>
              <w:t> </w:t>
            </w:r>
            <w:r>
              <w:rPr>
                <w:sz w:val="16"/>
              </w:rPr>
              <w:t>deposit account </w:t>
            </w:r>
            <w:r>
              <w:rPr>
                <w:spacing w:val="-4"/>
                <w:sz w:val="16"/>
              </w:rPr>
              <w:t>fees</w:t>
            </w:r>
          </w:p>
        </w:tc>
        <w:tc>
          <w:tcPr>
            <w:tcW w:w="754" w:type="dxa"/>
          </w:tcPr>
          <w:p>
            <w:pPr>
              <w:pStyle w:val="TableParagraph"/>
              <w:spacing w:before="26"/>
              <w:ind w:right="61"/>
              <w:jc w:val="right"/>
              <w:rPr>
                <w:sz w:val="16"/>
              </w:rPr>
            </w:pPr>
            <w:r>
              <w:rPr>
                <w:spacing w:val="-2"/>
                <w:sz w:val="16"/>
              </w:rPr>
              <w:t>(40)%</w:t>
            </w:r>
          </w:p>
        </w:tc>
        <w:tc>
          <w:tcPr>
            <w:tcW w:w="738" w:type="dxa"/>
          </w:tcPr>
          <w:p>
            <w:pPr>
              <w:pStyle w:val="TableParagraph"/>
              <w:spacing w:before="26"/>
              <w:ind w:right="88"/>
              <w:jc w:val="right"/>
              <w:rPr>
                <w:sz w:val="16"/>
              </w:rPr>
            </w:pPr>
            <w:r>
              <w:rPr>
                <w:spacing w:val="-5"/>
                <w:sz w:val="16"/>
              </w:rPr>
              <w:t>157</w:t>
            </w:r>
          </w:p>
        </w:tc>
        <w:tc>
          <w:tcPr>
            <w:tcW w:w="793" w:type="dxa"/>
          </w:tcPr>
          <w:p>
            <w:pPr>
              <w:pStyle w:val="TableParagraph"/>
              <w:spacing w:before="26"/>
              <w:ind w:right="116"/>
              <w:jc w:val="right"/>
              <w:rPr>
                <w:sz w:val="16"/>
              </w:rPr>
            </w:pPr>
            <w:r>
              <w:rPr>
                <w:spacing w:val="-5"/>
                <w:sz w:val="16"/>
              </w:rPr>
              <w:t>263</w:t>
            </w:r>
          </w:p>
        </w:tc>
        <w:tc>
          <w:tcPr>
            <w:tcW w:w="764" w:type="dxa"/>
          </w:tcPr>
          <w:p>
            <w:pPr>
              <w:pStyle w:val="TableParagraph"/>
              <w:spacing w:before="26"/>
              <w:ind w:right="61"/>
              <w:jc w:val="right"/>
              <w:rPr>
                <w:sz w:val="16"/>
              </w:rPr>
            </w:pPr>
            <w:r>
              <w:rPr>
                <w:spacing w:val="-2"/>
                <w:sz w:val="16"/>
              </w:rPr>
              <w:t>(68)%</w:t>
            </w:r>
          </w:p>
        </w:tc>
        <w:tc>
          <w:tcPr>
            <w:tcW w:w="738" w:type="dxa"/>
          </w:tcPr>
          <w:p>
            <w:pPr>
              <w:pStyle w:val="TableParagraph"/>
              <w:spacing w:before="26"/>
              <w:ind w:right="88"/>
              <w:jc w:val="right"/>
              <w:rPr>
                <w:sz w:val="16"/>
              </w:rPr>
            </w:pPr>
            <w:r>
              <w:rPr>
                <w:spacing w:val="-5"/>
                <w:sz w:val="16"/>
              </w:rPr>
              <w:t>48</w:t>
            </w:r>
          </w:p>
        </w:tc>
        <w:tc>
          <w:tcPr>
            <w:tcW w:w="793" w:type="dxa"/>
          </w:tcPr>
          <w:p>
            <w:pPr>
              <w:pStyle w:val="TableParagraph"/>
              <w:spacing w:before="26"/>
              <w:ind w:right="116"/>
              <w:jc w:val="right"/>
              <w:rPr>
                <w:sz w:val="16"/>
              </w:rPr>
            </w:pPr>
            <w:r>
              <w:rPr>
                <w:spacing w:val="-5"/>
                <w:sz w:val="16"/>
              </w:rPr>
              <w:t>150</w:t>
            </w:r>
          </w:p>
        </w:tc>
        <w:tc>
          <w:tcPr>
            <w:tcW w:w="764" w:type="dxa"/>
          </w:tcPr>
          <w:p>
            <w:pPr>
              <w:pStyle w:val="TableParagraph"/>
              <w:spacing w:before="26"/>
              <w:ind w:right="61"/>
              <w:jc w:val="right"/>
              <w:rPr>
                <w:sz w:val="16"/>
              </w:rPr>
            </w:pPr>
            <w:r>
              <w:rPr>
                <w:spacing w:val="-2"/>
                <w:sz w:val="16"/>
              </w:rPr>
              <w:t>(50)%</w:t>
            </w:r>
          </w:p>
        </w:tc>
        <w:tc>
          <w:tcPr>
            <w:tcW w:w="738" w:type="dxa"/>
          </w:tcPr>
          <w:p>
            <w:pPr>
              <w:pStyle w:val="TableParagraph"/>
              <w:spacing w:before="26"/>
              <w:ind w:right="88"/>
              <w:jc w:val="right"/>
              <w:rPr>
                <w:sz w:val="16"/>
              </w:rPr>
            </w:pPr>
            <w:r>
              <w:rPr>
                <w:spacing w:val="-5"/>
                <w:sz w:val="16"/>
              </w:rPr>
              <w:t>205</w:t>
            </w:r>
          </w:p>
        </w:tc>
        <w:tc>
          <w:tcPr>
            <w:tcW w:w="743" w:type="dxa"/>
          </w:tcPr>
          <w:p>
            <w:pPr>
              <w:pStyle w:val="TableParagraph"/>
              <w:spacing w:before="26"/>
              <w:ind w:right="66"/>
              <w:jc w:val="right"/>
              <w:rPr>
                <w:sz w:val="16"/>
              </w:rPr>
            </w:pPr>
            <w:r>
              <w:rPr>
                <w:spacing w:val="-5"/>
                <w:sz w:val="16"/>
              </w:rPr>
              <w:t>413</w:t>
            </w:r>
          </w:p>
        </w:tc>
      </w:tr>
      <w:tr>
        <w:trPr>
          <w:trHeight w:val="235" w:hRule="atLeast"/>
        </w:trPr>
        <w:tc>
          <w:tcPr>
            <w:tcW w:w="3435" w:type="dxa"/>
            <w:tcBorders>
              <w:bottom w:val="single" w:sz="4" w:space="0" w:color="000000"/>
            </w:tcBorders>
            <w:shd w:val="clear" w:color="auto" w:fill="CCEDFF"/>
          </w:tcPr>
          <w:p>
            <w:pPr>
              <w:pStyle w:val="TableParagraph"/>
              <w:spacing w:before="26"/>
              <w:ind w:left="52"/>
              <w:rPr>
                <w:sz w:val="16"/>
              </w:rPr>
            </w:pPr>
            <w:r>
              <w:rPr>
                <w:spacing w:val="-2"/>
                <w:sz w:val="16"/>
              </w:rPr>
              <w:t>Other</w:t>
            </w:r>
          </w:p>
        </w:tc>
        <w:tc>
          <w:tcPr>
            <w:tcW w:w="754" w:type="dxa"/>
            <w:tcBorders>
              <w:bottom w:val="single" w:sz="4" w:space="0" w:color="000000"/>
            </w:tcBorders>
            <w:shd w:val="clear" w:color="auto" w:fill="CCEDFF"/>
          </w:tcPr>
          <w:p>
            <w:pPr>
              <w:pStyle w:val="TableParagraph"/>
              <w:spacing w:before="26"/>
              <w:ind w:right="61"/>
              <w:jc w:val="right"/>
              <w:rPr>
                <w:sz w:val="16"/>
              </w:rPr>
            </w:pPr>
            <w:r>
              <w:rPr>
                <w:spacing w:val="-4"/>
                <w:sz w:val="16"/>
              </w:rPr>
              <w:t>(5)%</w:t>
            </w:r>
          </w:p>
        </w:tc>
        <w:tc>
          <w:tcPr>
            <w:tcW w:w="738" w:type="dxa"/>
            <w:tcBorders>
              <w:bottom w:val="single" w:sz="4" w:space="0" w:color="000000"/>
            </w:tcBorders>
            <w:shd w:val="clear" w:color="auto" w:fill="CCEDFF"/>
          </w:tcPr>
          <w:p>
            <w:pPr>
              <w:pStyle w:val="TableParagraph"/>
              <w:spacing w:before="26"/>
              <w:ind w:right="88"/>
              <w:jc w:val="right"/>
              <w:rPr>
                <w:sz w:val="16"/>
              </w:rPr>
            </w:pPr>
            <w:r>
              <w:rPr>
                <w:spacing w:val="-5"/>
                <w:sz w:val="16"/>
              </w:rPr>
              <w:t>144</w:t>
            </w:r>
          </w:p>
        </w:tc>
        <w:tc>
          <w:tcPr>
            <w:tcW w:w="793" w:type="dxa"/>
            <w:tcBorders>
              <w:bottom w:val="single" w:sz="4" w:space="0" w:color="000000"/>
            </w:tcBorders>
            <w:shd w:val="clear" w:color="auto" w:fill="CCEDFF"/>
          </w:tcPr>
          <w:p>
            <w:pPr>
              <w:pStyle w:val="TableParagraph"/>
              <w:spacing w:before="26"/>
              <w:ind w:right="116"/>
              <w:jc w:val="right"/>
              <w:rPr>
                <w:sz w:val="16"/>
              </w:rPr>
            </w:pPr>
            <w:r>
              <w:rPr>
                <w:spacing w:val="-5"/>
                <w:sz w:val="16"/>
              </w:rPr>
              <w:t>151</w:t>
            </w:r>
          </w:p>
        </w:tc>
        <w:tc>
          <w:tcPr>
            <w:tcW w:w="764" w:type="dxa"/>
            <w:tcBorders>
              <w:bottom w:val="single" w:sz="4" w:space="0" w:color="000000"/>
            </w:tcBorders>
            <w:shd w:val="clear" w:color="auto" w:fill="CCEDFF"/>
          </w:tcPr>
          <w:p>
            <w:pPr>
              <w:pStyle w:val="TableParagraph"/>
              <w:spacing w:before="26"/>
              <w:ind w:right="61"/>
              <w:jc w:val="right"/>
              <w:rPr>
                <w:sz w:val="16"/>
              </w:rPr>
            </w:pPr>
            <w:r>
              <w:rPr>
                <w:spacing w:val="-2"/>
                <w:sz w:val="16"/>
              </w:rPr>
              <w:t>(15)%</w:t>
            </w:r>
          </w:p>
        </w:tc>
        <w:tc>
          <w:tcPr>
            <w:tcW w:w="738" w:type="dxa"/>
            <w:tcBorders>
              <w:bottom w:val="single" w:sz="4" w:space="0" w:color="000000"/>
            </w:tcBorders>
            <w:shd w:val="clear" w:color="auto" w:fill="CCEDFF"/>
          </w:tcPr>
          <w:p>
            <w:pPr>
              <w:pStyle w:val="TableParagraph"/>
              <w:spacing w:before="26"/>
              <w:ind w:right="88"/>
              <w:jc w:val="right"/>
              <w:rPr>
                <w:sz w:val="16"/>
              </w:rPr>
            </w:pPr>
            <w:r>
              <w:rPr>
                <w:spacing w:val="-5"/>
                <w:sz w:val="16"/>
              </w:rPr>
              <w:t>28</w:t>
            </w:r>
          </w:p>
        </w:tc>
        <w:tc>
          <w:tcPr>
            <w:tcW w:w="793" w:type="dxa"/>
            <w:tcBorders>
              <w:bottom w:val="single" w:sz="4" w:space="0" w:color="000000"/>
            </w:tcBorders>
            <w:shd w:val="clear" w:color="auto" w:fill="CCEDFF"/>
          </w:tcPr>
          <w:p>
            <w:pPr>
              <w:pStyle w:val="TableParagraph"/>
              <w:spacing w:before="26"/>
              <w:ind w:right="116"/>
              <w:jc w:val="right"/>
              <w:rPr>
                <w:sz w:val="16"/>
              </w:rPr>
            </w:pPr>
            <w:r>
              <w:rPr>
                <w:spacing w:val="-5"/>
                <w:sz w:val="16"/>
              </w:rPr>
              <w:t>33</w:t>
            </w:r>
          </w:p>
        </w:tc>
        <w:tc>
          <w:tcPr>
            <w:tcW w:w="764" w:type="dxa"/>
            <w:tcBorders>
              <w:bottom w:val="single" w:sz="4" w:space="0" w:color="000000"/>
            </w:tcBorders>
            <w:shd w:val="clear" w:color="auto" w:fill="CCEDFF"/>
          </w:tcPr>
          <w:p>
            <w:pPr>
              <w:pStyle w:val="TableParagraph"/>
              <w:spacing w:before="26"/>
              <w:ind w:right="61"/>
              <w:jc w:val="right"/>
              <w:rPr>
                <w:sz w:val="16"/>
              </w:rPr>
            </w:pPr>
            <w:r>
              <w:rPr>
                <w:spacing w:val="-4"/>
                <w:sz w:val="16"/>
              </w:rPr>
              <w:t>(7)%</w:t>
            </w:r>
          </w:p>
        </w:tc>
        <w:tc>
          <w:tcPr>
            <w:tcW w:w="738" w:type="dxa"/>
            <w:tcBorders>
              <w:bottom w:val="single" w:sz="4" w:space="0" w:color="000000"/>
            </w:tcBorders>
            <w:shd w:val="clear" w:color="auto" w:fill="CCEDFF"/>
          </w:tcPr>
          <w:p>
            <w:pPr>
              <w:pStyle w:val="TableParagraph"/>
              <w:spacing w:before="26"/>
              <w:ind w:right="88"/>
              <w:jc w:val="right"/>
              <w:rPr>
                <w:sz w:val="16"/>
              </w:rPr>
            </w:pPr>
            <w:r>
              <w:rPr>
                <w:spacing w:val="-5"/>
                <w:sz w:val="16"/>
              </w:rPr>
              <w:t>172</w:t>
            </w:r>
          </w:p>
        </w:tc>
        <w:tc>
          <w:tcPr>
            <w:tcW w:w="743" w:type="dxa"/>
            <w:tcBorders>
              <w:bottom w:val="single" w:sz="4" w:space="0" w:color="000000"/>
            </w:tcBorders>
            <w:shd w:val="clear" w:color="auto" w:fill="CCEDFF"/>
          </w:tcPr>
          <w:p>
            <w:pPr>
              <w:pStyle w:val="TableParagraph"/>
              <w:spacing w:before="26"/>
              <w:ind w:right="66"/>
              <w:jc w:val="right"/>
              <w:rPr>
                <w:sz w:val="16"/>
              </w:rPr>
            </w:pPr>
            <w:r>
              <w:rPr>
                <w:spacing w:val="-5"/>
                <w:sz w:val="16"/>
              </w:rPr>
              <w:t>184</w:t>
            </w:r>
          </w:p>
        </w:tc>
      </w:tr>
      <w:tr>
        <w:trPr>
          <w:trHeight w:val="230" w:hRule="atLeast"/>
        </w:trPr>
        <w:tc>
          <w:tcPr>
            <w:tcW w:w="3435" w:type="dxa"/>
            <w:tcBorders>
              <w:top w:val="single" w:sz="4" w:space="0" w:color="000000"/>
              <w:bottom w:val="single" w:sz="4" w:space="0" w:color="000000"/>
            </w:tcBorders>
          </w:tcPr>
          <w:p>
            <w:pPr>
              <w:pStyle w:val="TableParagraph"/>
              <w:spacing w:before="21"/>
              <w:ind w:left="187"/>
              <w:rPr>
                <w:sz w:val="16"/>
              </w:rPr>
            </w:pPr>
            <w:r>
              <w:rPr>
                <w:sz w:val="16"/>
              </w:rPr>
              <w:t>Total</w:t>
            </w:r>
            <w:r>
              <w:rPr>
                <w:spacing w:val="-1"/>
                <w:sz w:val="16"/>
              </w:rPr>
              <w:t> </w:t>
            </w:r>
            <w:r>
              <w:rPr>
                <w:sz w:val="16"/>
              </w:rPr>
              <w:t>net </w:t>
            </w:r>
            <w:r>
              <w:rPr>
                <w:spacing w:val="-2"/>
                <w:sz w:val="16"/>
              </w:rPr>
              <w:t>revenues</w:t>
            </w:r>
          </w:p>
        </w:tc>
        <w:tc>
          <w:tcPr>
            <w:tcW w:w="754" w:type="dxa"/>
            <w:tcBorders>
              <w:top w:val="single" w:sz="4" w:space="0" w:color="000000"/>
              <w:bottom w:val="single" w:sz="4" w:space="0" w:color="000000"/>
            </w:tcBorders>
          </w:tcPr>
          <w:p>
            <w:pPr>
              <w:pStyle w:val="TableParagraph"/>
              <w:spacing w:before="21"/>
              <w:ind w:right="61"/>
              <w:jc w:val="right"/>
              <w:rPr>
                <w:sz w:val="16"/>
              </w:rPr>
            </w:pPr>
            <w:r>
              <w:rPr>
                <w:spacing w:val="-2"/>
                <w:sz w:val="16"/>
              </w:rPr>
              <w:t>(13)%</w:t>
            </w:r>
          </w:p>
        </w:tc>
        <w:tc>
          <w:tcPr>
            <w:tcW w:w="738" w:type="dxa"/>
            <w:tcBorders>
              <w:top w:val="single" w:sz="4" w:space="0" w:color="000000"/>
              <w:bottom w:val="single" w:sz="4" w:space="0" w:color="000000"/>
            </w:tcBorders>
          </w:tcPr>
          <w:p>
            <w:pPr>
              <w:pStyle w:val="TableParagraph"/>
              <w:spacing w:before="21"/>
              <w:ind w:right="88"/>
              <w:jc w:val="right"/>
              <w:rPr>
                <w:sz w:val="16"/>
              </w:rPr>
            </w:pPr>
            <w:r>
              <w:rPr>
                <w:spacing w:val="-2"/>
                <w:sz w:val="16"/>
              </w:rPr>
              <w:t>3,560</w:t>
            </w:r>
          </w:p>
        </w:tc>
        <w:tc>
          <w:tcPr>
            <w:tcW w:w="793" w:type="dxa"/>
            <w:tcBorders>
              <w:top w:val="single" w:sz="4" w:space="0" w:color="000000"/>
              <w:bottom w:val="single" w:sz="4" w:space="0" w:color="000000"/>
            </w:tcBorders>
          </w:tcPr>
          <w:p>
            <w:pPr>
              <w:pStyle w:val="TableParagraph"/>
              <w:spacing w:before="21"/>
              <w:ind w:right="116"/>
              <w:jc w:val="right"/>
              <w:rPr>
                <w:sz w:val="16"/>
              </w:rPr>
            </w:pPr>
            <w:r>
              <w:rPr>
                <w:spacing w:val="-2"/>
                <w:sz w:val="16"/>
              </w:rPr>
              <w:t>4,112</w:t>
            </w:r>
          </w:p>
        </w:tc>
        <w:tc>
          <w:tcPr>
            <w:tcW w:w="764" w:type="dxa"/>
            <w:tcBorders>
              <w:top w:val="single" w:sz="4" w:space="0" w:color="000000"/>
              <w:bottom w:val="single" w:sz="4" w:space="0" w:color="000000"/>
            </w:tcBorders>
          </w:tcPr>
          <w:p>
            <w:pPr>
              <w:pStyle w:val="TableParagraph"/>
              <w:spacing w:before="21"/>
              <w:ind w:right="61"/>
              <w:jc w:val="right"/>
              <w:rPr>
                <w:sz w:val="16"/>
              </w:rPr>
            </w:pPr>
            <w:r>
              <w:rPr>
                <w:spacing w:val="-2"/>
                <w:sz w:val="16"/>
              </w:rPr>
              <w:t>(25)%</w:t>
            </w:r>
          </w:p>
        </w:tc>
        <w:tc>
          <w:tcPr>
            <w:tcW w:w="738" w:type="dxa"/>
            <w:tcBorders>
              <w:top w:val="single" w:sz="4" w:space="0" w:color="000000"/>
              <w:bottom w:val="single" w:sz="4" w:space="0" w:color="000000"/>
            </w:tcBorders>
          </w:tcPr>
          <w:p>
            <w:pPr>
              <w:pStyle w:val="TableParagraph"/>
              <w:spacing w:before="21"/>
              <w:ind w:right="88"/>
              <w:jc w:val="right"/>
              <w:rPr>
                <w:sz w:val="16"/>
              </w:rPr>
            </w:pPr>
            <w:r>
              <w:rPr>
                <w:spacing w:val="-2"/>
                <w:sz w:val="16"/>
              </w:rPr>
              <w:t>1,046</w:t>
            </w:r>
          </w:p>
        </w:tc>
        <w:tc>
          <w:tcPr>
            <w:tcW w:w="793" w:type="dxa"/>
            <w:tcBorders>
              <w:top w:val="single" w:sz="4" w:space="0" w:color="000000"/>
              <w:bottom w:val="single" w:sz="4" w:space="0" w:color="000000"/>
            </w:tcBorders>
          </w:tcPr>
          <w:p>
            <w:pPr>
              <w:pStyle w:val="TableParagraph"/>
              <w:spacing w:before="21"/>
              <w:ind w:right="116"/>
              <w:jc w:val="right"/>
              <w:rPr>
                <w:sz w:val="16"/>
              </w:rPr>
            </w:pPr>
            <w:r>
              <w:rPr>
                <w:spacing w:val="-2"/>
                <w:sz w:val="16"/>
              </w:rPr>
              <w:t>1,388</w:t>
            </w:r>
          </w:p>
        </w:tc>
        <w:tc>
          <w:tcPr>
            <w:tcW w:w="764" w:type="dxa"/>
            <w:tcBorders>
              <w:top w:val="single" w:sz="4" w:space="0" w:color="000000"/>
              <w:bottom w:val="single" w:sz="4" w:space="0" w:color="000000"/>
            </w:tcBorders>
          </w:tcPr>
          <w:p>
            <w:pPr>
              <w:pStyle w:val="TableParagraph"/>
              <w:spacing w:before="21"/>
              <w:ind w:right="61"/>
              <w:jc w:val="right"/>
              <w:rPr>
                <w:sz w:val="16"/>
              </w:rPr>
            </w:pPr>
            <w:r>
              <w:rPr>
                <w:spacing w:val="-2"/>
                <w:sz w:val="16"/>
              </w:rPr>
              <w:t>(16)%</w:t>
            </w:r>
          </w:p>
        </w:tc>
        <w:tc>
          <w:tcPr>
            <w:tcW w:w="738" w:type="dxa"/>
            <w:tcBorders>
              <w:top w:val="single" w:sz="4" w:space="0" w:color="000000"/>
              <w:bottom w:val="single" w:sz="4" w:space="0" w:color="000000"/>
            </w:tcBorders>
          </w:tcPr>
          <w:p>
            <w:pPr>
              <w:pStyle w:val="TableParagraph"/>
              <w:spacing w:before="21"/>
              <w:ind w:right="88"/>
              <w:jc w:val="right"/>
              <w:rPr>
                <w:sz w:val="16"/>
              </w:rPr>
            </w:pPr>
            <w:r>
              <w:rPr>
                <w:spacing w:val="-2"/>
                <w:sz w:val="16"/>
              </w:rPr>
              <w:t>4,606</w:t>
            </w:r>
          </w:p>
        </w:tc>
        <w:tc>
          <w:tcPr>
            <w:tcW w:w="743" w:type="dxa"/>
            <w:tcBorders>
              <w:top w:val="single" w:sz="4" w:space="0" w:color="000000"/>
              <w:bottom w:val="single" w:sz="4" w:space="0" w:color="000000"/>
            </w:tcBorders>
          </w:tcPr>
          <w:p>
            <w:pPr>
              <w:pStyle w:val="TableParagraph"/>
              <w:spacing w:before="21"/>
              <w:ind w:right="66"/>
              <w:jc w:val="right"/>
              <w:rPr>
                <w:sz w:val="16"/>
              </w:rPr>
            </w:pPr>
            <w:r>
              <w:rPr>
                <w:spacing w:val="-2"/>
                <w:sz w:val="16"/>
              </w:rPr>
              <w:t>5,500</w:t>
            </w:r>
          </w:p>
        </w:tc>
      </w:tr>
      <w:tr>
        <w:trPr>
          <w:trHeight w:val="230" w:hRule="atLeast"/>
        </w:trPr>
        <w:tc>
          <w:tcPr>
            <w:tcW w:w="3435" w:type="dxa"/>
            <w:tcBorders>
              <w:top w:val="single" w:sz="4" w:space="0" w:color="000000"/>
              <w:bottom w:val="single" w:sz="4" w:space="0" w:color="000000"/>
            </w:tcBorders>
            <w:shd w:val="clear" w:color="auto" w:fill="CCEDFF"/>
          </w:tcPr>
          <w:p>
            <w:pPr>
              <w:pStyle w:val="TableParagraph"/>
              <w:spacing w:before="21"/>
              <w:ind w:left="52"/>
              <w:rPr>
                <w:b/>
                <w:sz w:val="16"/>
              </w:rPr>
            </w:pPr>
            <w:r>
              <w:rPr>
                <w:b/>
                <w:sz w:val="16"/>
              </w:rPr>
              <w:t>Expenses</w:t>
            </w:r>
            <w:r>
              <w:rPr>
                <w:b/>
                <w:spacing w:val="-4"/>
                <w:sz w:val="16"/>
              </w:rPr>
              <w:t> </w:t>
            </w:r>
            <w:r>
              <w:rPr>
                <w:b/>
                <w:sz w:val="16"/>
              </w:rPr>
              <w:t>Excluding</w:t>
            </w:r>
            <w:r>
              <w:rPr>
                <w:b/>
                <w:spacing w:val="-3"/>
                <w:sz w:val="16"/>
              </w:rPr>
              <w:t> </w:t>
            </w:r>
            <w:r>
              <w:rPr>
                <w:b/>
                <w:spacing w:val="-2"/>
                <w:sz w:val="16"/>
              </w:rPr>
              <w:t>Interest</w:t>
            </w:r>
          </w:p>
        </w:tc>
        <w:tc>
          <w:tcPr>
            <w:tcW w:w="754" w:type="dxa"/>
            <w:tcBorders>
              <w:top w:val="single" w:sz="4" w:space="0" w:color="000000"/>
              <w:bottom w:val="single" w:sz="4" w:space="0" w:color="000000"/>
            </w:tcBorders>
            <w:shd w:val="clear" w:color="auto" w:fill="CCEDFF"/>
          </w:tcPr>
          <w:p>
            <w:pPr>
              <w:pStyle w:val="TableParagraph"/>
              <w:spacing w:before="21"/>
              <w:ind w:right="115"/>
              <w:jc w:val="right"/>
              <w:rPr>
                <w:sz w:val="16"/>
              </w:rPr>
            </w:pPr>
            <w:r>
              <w:rPr>
                <w:spacing w:val="-5"/>
                <w:sz w:val="16"/>
              </w:rPr>
              <w:t>11%</w:t>
            </w:r>
          </w:p>
        </w:tc>
        <w:tc>
          <w:tcPr>
            <w:tcW w:w="738" w:type="dxa"/>
            <w:tcBorders>
              <w:top w:val="single" w:sz="4" w:space="0" w:color="000000"/>
              <w:bottom w:val="single" w:sz="4" w:space="0" w:color="000000"/>
            </w:tcBorders>
            <w:shd w:val="clear" w:color="auto" w:fill="CCEDFF"/>
          </w:tcPr>
          <w:p>
            <w:pPr>
              <w:pStyle w:val="TableParagraph"/>
              <w:spacing w:before="21"/>
              <w:ind w:right="88"/>
              <w:jc w:val="right"/>
              <w:rPr>
                <w:sz w:val="16"/>
              </w:rPr>
            </w:pPr>
            <w:r>
              <w:rPr>
                <w:spacing w:val="-2"/>
                <w:sz w:val="16"/>
              </w:rPr>
              <w:t>2,356</w:t>
            </w:r>
          </w:p>
        </w:tc>
        <w:tc>
          <w:tcPr>
            <w:tcW w:w="793" w:type="dxa"/>
            <w:tcBorders>
              <w:top w:val="single" w:sz="4" w:space="0" w:color="000000"/>
              <w:bottom w:val="single" w:sz="4" w:space="0" w:color="000000"/>
            </w:tcBorders>
            <w:shd w:val="clear" w:color="auto" w:fill="CCEDFF"/>
          </w:tcPr>
          <w:p>
            <w:pPr>
              <w:pStyle w:val="TableParagraph"/>
              <w:spacing w:before="21"/>
              <w:ind w:right="116"/>
              <w:jc w:val="right"/>
              <w:rPr>
                <w:sz w:val="16"/>
              </w:rPr>
            </w:pPr>
            <w:r>
              <w:rPr>
                <w:spacing w:val="-2"/>
                <w:sz w:val="16"/>
              </w:rPr>
              <w:t>2,117</w:t>
            </w:r>
          </w:p>
        </w:tc>
        <w:tc>
          <w:tcPr>
            <w:tcW w:w="764" w:type="dxa"/>
            <w:tcBorders>
              <w:top w:val="single" w:sz="4" w:space="0" w:color="000000"/>
              <w:bottom w:val="single" w:sz="4" w:space="0" w:color="000000"/>
            </w:tcBorders>
            <w:shd w:val="clear" w:color="auto" w:fill="CCEDFF"/>
          </w:tcPr>
          <w:p>
            <w:pPr>
              <w:pStyle w:val="TableParagraph"/>
              <w:spacing w:before="21"/>
              <w:ind w:left="353"/>
              <w:rPr>
                <w:sz w:val="16"/>
              </w:rPr>
            </w:pPr>
            <w:r>
              <w:rPr>
                <w:spacing w:val="-5"/>
                <w:sz w:val="16"/>
              </w:rPr>
              <w:t>23%</w:t>
            </w:r>
          </w:p>
        </w:tc>
        <w:tc>
          <w:tcPr>
            <w:tcW w:w="738" w:type="dxa"/>
            <w:tcBorders>
              <w:top w:val="single" w:sz="4" w:space="0" w:color="000000"/>
              <w:bottom w:val="single" w:sz="4" w:space="0" w:color="000000"/>
            </w:tcBorders>
            <w:shd w:val="clear" w:color="auto" w:fill="CCEDFF"/>
          </w:tcPr>
          <w:p>
            <w:pPr>
              <w:pStyle w:val="TableParagraph"/>
              <w:spacing w:before="21"/>
              <w:ind w:right="88"/>
              <w:jc w:val="right"/>
              <w:rPr>
                <w:sz w:val="16"/>
              </w:rPr>
            </w:pPr>
            <w:r>
              <w:rPr>
                <w:spacing w:val="-5"/>
                <w:sz w:val="16"/>
              </w:rPr>
              <w:t>867</w:t>
            </w:r>
          </w:p>
        </w:tc>
        <w:tc>
          <w:tcPr>
            <w:tcW w:w="793" w:type="dxa"/>
            <w:tcBorders>
              <w:top w:val="single" w:sz="4" w:space="0" w:color="000000"/>
              <w:bottom w:val="single" w:sz="4" w:space="0" w:color="000000"/>
            </w:tcBorders>
            <w:shd w:val="clear" w:color="auto" w:fill="CCEDFF"/>
          </w:tcPr>
          <w:p>
            <w:pPr>
              <w:pStyle w:val="TableParagraph"/>
              <w:spacing w:before="21"/>
              <w:ind w:right="116"/>
              <w:jc w:val="right"/>
              <w:rPr>
                <w:sz w:val="16"/>
              </w:rPr>
            </w:pPr>
            <w:r>
              <w:rPr>
                <w:spacing w:val="-5"/>
                <w:sz w:val="16"/>
              </w:rPr>
              <w:t>706</w:t>
            </w:r>
          </w:p>
        </w:tc>
        <w:tc>
          <w:tcPr>
            <w:tcW w:w="764" w:type="dxa"/>
            <w:tcBorders>
              <w:top w:val="single" w:sz="4" w:space="0" w:color="000000"/>
              <w:bottom w:val="single" w:sz="4" w:space="0" w:color="000000"/>
            </w:tcBorders>
            <w:shd w:val="clear" w:color="auto" w:fill="CCEDFF"/>
          </w:tcPr>
          <w:p>
            <w:pPr>
              <w:pStyle w:val="TableParagraph"/>
              <w:spacing w:before="21"/>
              <w:ind w:right="115"/>
              <w:jc w:val="right"/>
              <w:rPr>
                <w:sz w:val="16"/>
              </w:rPr>
            </w:pPr>
            <w:r>
              <w:rPr>
                <w:spacing w:val="-5"/>
                <w:sz w:val="16"/>
              </w:rPr>
              <w:t>14%</w:t>
            </w:r>
          </w:p>
        </w:tc>
        <w:tc>
          <w:tcPr>
            <w:tcW w:w="738" w:type="dxa"/>
            <w:tcBorders>
              <w:top w:val="single" w:sz="4" w:space="0" w:color="000000"/>
              <w:bottom w:val="single" w:sz="4" w:space="0" w:color="000000"/>
            </w:tcBorders>
            <w:shd w:val="clear" w:color="auto" w:fill="CCEDFF"/>
          </w:tcPr>
          <w:p>
            <w:pPr>
              <w:pStyle w:val="TableParagraph"/>
              <w:spacing w:before="21"/>
              <w:ind w:right="88"/>
              <w:jc w:val="right"/>
              <w:rPr>
                <w:sz w:val="16"/>
              </w:rPr>
            </w:pPr>
            <w:r>
              <w:rPr>
                <w:spacing w:val="-2"/>
                <w:sz w:val="16"/>
              </w:rPr>
              <w:t>3,223</w:t>
            </w:r>
          </w:p>
        </w:tc>
        <w:tc>
          <w:tcPr>
            <w:tcW w:w="743" w:type="dxa"/>
            <w:tcBorders>
              <w:top w:val="single" w:sz="4" w:space="0" w:color="000000"/>
              <w:bottom w:val="single" w:sz="4" w:space="0" w:color="000000"/>
            </w:tcBorders>
            <w:shd w:val="clear" w:color="auto" w:fill="CCEDFF"/>
          </w:tcPr>
          <w:p>
            <w:pPr>
              <w:pStyle w:val="TableParagraph"/>
              <w:spacing w:before="21"/>
              <w:ind w:right="66"/>
              <w:jc w:val="right"/>
              <w:rPr>
                <w:sz w:val="16"/>
              </w:rPr>
            </w:pPr>
            <w:r>
              <w:rPr>
                <w:spacing w:val="-2"/>
                <w:sz w:val="16"/>
              </w:rPr>
              <w:t>2,823</w:t>
            </w:r>
          </w:p>
        </w:tc>
      </w:tr>
      <w:tr>
        <w:trPr>
          <w:trHeight w:val="205" w:hRule="atLeast"/>
        </w:trPr>
        <w:tc>
          <w:tcPr>
            <w:tcW w:w="3435" w:type="dxa"/>
            <w:tcBorders>
              <w:top w:val="single" w:sz="4" w:space="0" w:color="000000"/>
              <w:bottom w:val="double" w:sz="8" w:space="0" w:color="000000"/>
            </w:tcBorders>
          </w:tcPr>
          <w:p>
            <w:pPr>
              <w:pStyle w:val="TableParagraph"/>
              <w:spacing w:line="164" w:lineRule="exact" w:before="21"/>
              <w:ind w:left="52"/>
              <w:rPr>
                <w:b/>
                <w:sz w:val="16"/>
              </w:rPr>
            </w:pPr>
            <w:r>
              <w:rPr>
                <w:b/>
                <w:sz w:val="16"/>
              </w:rPr>
              <w:t>Income</w:t>
            </w:r>
            <w:r>
              <w:rPr>
                <w:b/>
                <w:spacing w:val="-1"/>
                <w:sz w:val="16"/>
              </w:rPr>
              <w:t> </w:t>
            </w:r>
            <w:r>
              <w:rPr>
                <w:b/>
                <w:sz w:val="16"/>
              </w:rPr>
              <w:t>before</w:t>
            </w:r>
            <w:r>
              <w:rPr>
                <w:b/>
                <w:spacing w:val="-1"/>
                <w:sz w:val="16"/>
              </w:rPr>
              <w:t> </w:t>
            </w:r>
            <w:r>
              <w:rPr>
                <w:b/>
                <w:sz w:val="16"/>
              </w:rPr>
              <w:t>taxes</w:t>
            </w:r>
            <w:r>
              <w:rPr>
                <w:b/>
                <w:spacing w:val="-2"/>
                <w:sz w:val="16"/>
              </w:rPr>
              <w:t> </w:t>
            </w:r>
            <w:r>
              <w:rPr>
                <w:b/>
                <w:sz w:val="16"/>
              </w:rPr>
              <w:t>on</w:t>
            </w:r>
            <w:r>
              <w:rPr>
                <w:b/>
                <w:spacing w:val="-1"/>
                <w:sz w:val="16"/>
              </w:rPr>
              <w:t> </w:t>
            </w:r>
            <w:r>
              <w:rPr>
                <w:b/>
                <w:spacing w:val="-2"/>
                <w:sz w:val="16"/>
              </w:rPr>
              <w:t>income</w:t>
            </w:r>
          </w:p>
        </w:tc>
        <w:tc>
          <w:tcPr>
            <w:tcW w:w="754" w:type="dxa"/>
            <w:tcBorders>
              <w:top w:val="single" w:sz="4" w:space="0" w:color="000000"/>
              <w:bottom w:val="double" w:sz="8" w:space="0" w:color="000000"/>
            </w:tcBorders>
          </w:tcPr>
          <w:p>
            <w:pPr>
              <w:pStyle w:val="TableParagraph"/>
              <w:spacing w:line="164" w:lineRule="exact" w:before="21"/>
              <w:ind w:right="61"/>
              <w:jc w:val="right"/>
              <w:rPr>
                <w:sz w:val="16"/>
              </w:rPr>
            </w:pPr>
            <w:r>
              <w:rPr>
                <w:spacing w:val="-2"/>
                <w:sz w:val="16"/>
              </w:rPr>
              <w:t>(40)%</w:t>
            </w:r>
          </w:p>
        </w:tc>
        <w:tc>
          <w:tcPr>
            <w:tcW w:w="738" w:type="dxa"/>
            <w:tcBorders>
              <w:top w:val="single" w:sz="4" w:space="0" w:color="000000"/>
              <w:bottom w:val="double" w:sz="8" w:space="0" w:color="000000"/>
            </w:tcBorders>
          </w:tcPr>
          <w:p>
            <w:pPr>
              <w:pStyle w:val="TableParagraph"/>
              <w:spacing w:line="164" w:lineRule="exact" w:before="21"/>
              <w:ind w:right="88"/>
              <w:jc w:val="right"/>
              <w:rPr>
                <w:sz w:val="16"/>
              </w:rPr>
            </w:pPr>
            <w:r>
              <w:rPr>
                <w:sz w:val="16"/>
              </w:rPr>
              <w:t>$</w:t>
            </w:r>
            <w:r>
              <w:rPr>
                <w:spacing w:val="32"/>
                <w:sz w:val="16"/>
              </w:rPr>
              <w:t>  </w:t>
            </w:r>
            <w:r>
              <w:rPr>
                <w:spacing w:val="-2"/>
                <w:sz w:val="16"/>
              </w:rPr>
              <w:t>1,204</w:t>
            </w:r>
          </w:p>
        </w:tc>
        <w:tc>
          <w:tcPr>
            <w:tcW w:w="793" w:type="dxa"/>
            <w:tcBorders>
              <w:top w:val="single" w:sz="4" w:space="0" w:color="000000"/>
              <w:bottom w:val="double" w:sz="8" w:space="0" w:color="000000"/>
            </w:tcBorders>
          </w:tcPr>
          <w:p>
            <w:pPr>
              <w:pStyle w:val="TableParagraph"/>
              <w:spacing w:line="164" w:lineRule="exact" w:before="21"/>
              <w:ind w:right="116"/>
              <w:jc w:val="right"/>
              <w:rPr>
                <w:sz w:val="16"/>
              </w:rPr>
            </w:pPr>
            <w:r>
              <w:rPr>
                <w:sz w:val="16"/>
              </w:rPr>
              <w:t>$</w:t>
            </w:r>
            <w:r>
              <w:rPr>
                <w:spacing w:val="32"/>
                <w:sz w:val="16"/>
              </w:rPr>
              <w:t>  </w:t>
            </w:r>
            <w:r>
              <w:rPr>
                <w:spacing w:val="-2"/>
                <w:sz w:val="16"/>
              </w:rPr>
              <w:t>1,995</w:t>
            </w:r>
          </w:p>
        </w:tc>
        <w:tc>
          <w:tcPr>
            <w:tcW w:w="764" w:type="dxa"/>
            <w:tcBorders>
              <w:top w:val="single" w:sz="4" w:space="0" w:color="000000"/>
              <w:bottom w:val="double" w:sz="8" w:space="0" w:color="000000"/>
            </w:tcBorders>
          </w:tcPr>
          <w:p>
            <w:pPr>
              <w:pStyle w:val="TableParagraph"/>
              <w:spacing w:line="164" w:lineRule="exact" w:before="21"/>
              <w:ind w:right="61"/>
              <w:jc w:val="right"/>
              <w:rPr>
                <w:sz w:val="16"/>
              </w:rPr>
            </w:pPr>
            <w:r>
              <w:rPr>
                <w:spacing w:val="-2"/>
                <w:sz w:val="16"/>
              </w:rPr>
              <w:t>(74)%</w:t>
            </w:r>
          </w:p>
        </w:tc>
        <w:tc>
          <w:tcPr>
            <w:tcW w:w="738" w:type="dxa"/>
            <w:tcBorders>
              <w:top w:val="single" w:sz="4" w:space="0" w:color="000000"/>
              <w:bottom w:val="double" w:sz="8" w:space="0" w:color="000000"/>
            </w:tcBorders>
          </w:tcPr>
          <w:p>
            <w:pPr>
              <w:pStyle w:val="TableParagraph"/>
              <w:tabs>
                <w:tab w:pos="344" w:val="left" w:leader="none"/>
              </w:tabs>
              <w:spacing w:line="164" w:lineRule="exact" w:before="21"/>
              <w:ind w:right="88"/>
              <w:jc w:val="right"/>
              <w:rPr>
                <w:sz w:val="16"/>
              </w:rPr>
            </w:pPr>
            <w:r>
              <w:rPr>
                <w:spacing w:val="-10"/>
                <w:sz w:val="16"/>
              </w:rPr>
              <w:t>$</w:t>
            </w:r>
            <w:r>
              <w:rPr>
                <w:sz w:val="16"/>
              </w:rPr>
              <w:tab/>
            </w:r>
            <w:r>
              <w:rPr>
                <w:spacing w:val="-5"/>
                <w:sz w:val="16"/>
              </w:rPr>
              <w:t>179</w:t>
            </w:r>
          </w:p>
        </w:tc>
        <w:tc>
          <w:tcPr>
            <w:tcW w:w="793" w:type="dxa"/>
            <w:tcBorders>
              <w:top w:val="single" w:sz="4" w:space="0" w:color="000000"/>
              <w:bottom w:val="double" w:sz="8" w:space="0" w:color="000000"/>
            </w:tcBorders>
          </w:tcPr>
          <w:p>
            <w:pPr>
              <w:pStyle w:val="TableParagraph"/>
              <w:tabs>
                <w:tab w:pos="344" w:val="left" w:leader="none"/>
              </w:tabs>
              <w:spacing w:line="164" w:lineRule="exact" w:before="21"/>
              <w:ind w:right="116"/>
              <w:jc w:val="right"/>
              <w:rPr>
                <w:sz w:val="16"/>
              </w:rPr>
            </w:pPr>
            <w:r>
              <w:rPr>
                <w:spacing w:val="-10"/>
                <w:sz w:val="16"/>
              </w:rPr>
              <w:t>$</w:t>
            </w:r>
            <w:r>
              <w:rPr>
                <w:sz w:val="16"/>
              </w:rPr>
              <w:tab/>
            </w:r>
            <w:r>
              <w:rPr>
                <w:spacing w:val="-5"/>
                <w:sz w:val="16"/>
              </w:rPr>
              <w:t>682</w:t>
            </w:r>
          </w:p>
        </w:tc>
        <w:tc>
          <w:tcPr>
            <w:tcW w:w="764" w:type="dxa"/>
            <w:tcBorders>
              <w:top w:val="single" w:sz="4" w:space="0" w:color="000000"/>
              <w:bottom w:val="double" w:sz="8" w:space="0" w:color="000000"/>
            </w:tcBorders>
          </w:tcPr>
          <w:p>
            <w:pPr>
              <w:pStyle w:val="TableParagraph"/>
              <w:spacing w:line="164" w:lineRule="exact" w:before="21"/>
              <w:ind w:right="61"/>
              <w:jc w:val="right"/>
              <w:rPr>
                <w:sz w:val="16"/>
              </w:rPr>
            </w:pPr>
            <w:r>
              <w:rPr>
                <w:spacing w:val="-2"/>
                <w:sz w:val="16"/>
              </w:rPr>
              <w:t>(48)%</w:t>
            </w:r>
          </w:p>
        </w:tc>
        <w:tc>
          <w:tcPr>
            <w:tcW w:w="738" w:type="dxa"/>
            <w:tcBorders>
              <w:top w:val="single" w:sz="4" w:space="0" w:color="000000"/>
              <w:bottom w:val="double" w:sz="8" w:space="0" w:color="000000"/>
            </w:tcBorders>
          </w:tcPr>
          <w:p>
            <w:pPr>
              <w:pStyle w:val="TableParagraph"/>
              <w:spacing w:line="164" w:lineRule="exact" w:before="21"/>
              <w:ind w:right="88"/>
              <w:jc w:val="right"/>
              <w:rPr>
                <w:sz w:val="16"/>
              </w:rPr>
            </w:pPr>
            <w:r>
              <w:rPr>
                <w:sz w:val="16"/>
              </w:rPr>
              <w:t>$</w:t>
            </w:r>
            <w:r>
              <w:rPr>
                <w:spacing w:val="32"/>
                <w:sz w:val="16"/>
              </w:rPr>
              <w:t>  </w:t>
            </w:r>
            <w:r>
              <w:rPr>
                <w:spacing w:val="-2"/>
                <w:sz w:val="16"/>
              </w:rPr>
              <w:t>1,383</w:t>
            </w:r>
          </w:p>
        </w:tc>
        <w:tc>
          <w:tcPr>
            <w:tcW w:w="743" w:type="dxa"/>
            <w:tcBorders>
              <w:top w:val="single" w:sz="4" w:space="0" w:color="000000"/>
              <w:bottom w:val="double" w:sz="8" w:space="0" w:color="000000"/>
            </w:tcBorders>
          </w:tcPr>
          <w:p>
            <w:pPr>
              <w:pStyle w:val="TableParagraph"/>
              <w:spacing w:line="164" w:lineRule="exact" w:before="21"/>
              <w:ind w:right="66"/>
              <w:jc w:val="right"/>
              <w:rPr>
                <w:sz w:val="16"/>
              </w:rPr>
            </w:pPr>
            <w:r>
              <w:rPr>
                <w:sz w:val="16"/>
              </w:rPr>
              <w:t>$</w:t>
            </w:r>
            <w:r>
              <w:rPr>
                <w:spacing w:val="32"/>
                <w:sz w:val="16"/>
              </w:rPr>
              <w:t>  </w:t>
            </w:r>
            <w:r>
              <w:rPr>
                <w:spacing w:val="-2"/>
                <w:sz w:val="16"/>
              </w:rPr>
              <w:t>2,677</w:t>
            </w:r>
          </w:p>
        </w:tc>
      </w:tr>
      <w:tr>
        <w:trPr>
          <w:trHeight w:val="160" w:hRule="atLeast"/>
        </w:trPr>
        <w:tc>
          <w:tcPr>
            <w:tcW w:w="3435" w:type="dxa"/>
            <w:tcBorders>
              <w:top w:val="double" w:sz="8" w:space="0" w:color="000000"/>
              <w:bottom w:val="single" w:sz="4" w:space="0" w:color="000000"/>
            </w:tcBorders>
          </w:tcPr>
          <w:p>
            <w:pPr>
              <w:pStyle w:val="TableParagraph"/>
              <w:rPr>
                <w:sz w:val="10"/>
              </w:rPr>
            </w:pPr>
          </w:p>
        </w:tc>
        <w:tc>
          <w:tcPr>
            <w:tcW w:w="754" w:type="dxa"/>
            <w:tcBorders>
              <w:top w:val="double" w:sz="8" w:space="0" w:color="000000"/>
              <w:bottom w:val="single" w:sz="4" w:space="0" w:color="000000"/>
            </w:tcBorders>
          </w:tcPr>
          <w:p>
            <w:pPr>
              <w:pStyle w:val="TableParagraph"/>
              <w:rPr>
                <w:sz w:val="10"/>
              </w:rPr>
            </w:pPr>
          </w:p>
        </w:tc>
        <w:tc>
          <w:tcPr>
            <w:tcW w:w="738" w:type="dxa"/>
            <w:tcBorders>
              <w:top w:val="double" w:sz="8" w:space="0" w:color="000000"/>
              <w:bottom w:val="single" w:sz="4" w:space="0" w:color="000000"/>
            </w:tcBorders>
          </w:tcPr>
          <w:p>
            <w:pPr>
              <w:pStyle w:val="TableParagraph"/>
              <w:rPr>
                <w:sz w:val="10"/>
              </w:rPr>
            </w:pPr>
          </w:p>
        </w:tc>
        <w:tc>
          <w:tcPr>
            <w:tcW w:w="793" w:type="dxa"/>
            <w:tcBorders>
              <w:top w:val="double" w:sz="8" w:space="0" w:color="000000"/>
              <w:bottom w:val="single" w:sz="4" w:space="0" w:color="000000"/>
            </w:tcBorders>
          </w:tcPr>
          <w:p>
            <w:pPr>
              <w:pStyle w:val="TableParagraph"/>
              <w:rPr>
                <w:sz w:val="10"/>
              </w:rPr>
            </w:pPr>
          </w:p>
        </w:tc>
        <w:tc>
          <w:tcPr>
            <w:tcW w:w="764" w:type="dxa"/>
            <w:tcBorders>
              <w:top w:val="double" w:sz="8" w:space="0" w:color="000000"/>
              <w:bottom w:val="single" w:sz="4" w:space="0" w:color="000000"/>
            </w:tcBorders>
          </w:tcPr>
          <w:p>
            <w:pPr>
              <w:pStyle w:val="TableParagraph"/>
              <w:rPr>
                <w:sz w:val="10"/>
              </w:rPr>
            </w:pPr>
          </w:p>
        </w:tc>
        <w:tc>
          <w:tcPr>
            <w:tcW w:w="738" w:type="dxa"/>
            <w:tcBorders>
              <w:top w:val="double" w:sz="8" w:space="0" w:color="000000"/>
              <w:bottom w:val="single" w:sz="4" w:space="0" w:color="000000"/>
            </w:tcBorders>
          </w:tcPr>
          <w:p>
            <w:pPr>
              <w:pStyle w:val="TableParagraph"/>
              <w:rPr>
                <w:sz w:val="10"/>
              </w:rPr>
            </w:pPr>
          </w:p>
        </w:tc>
        <w:tc>
          <w:tcPr>
            <w:tcW w:w="793" w:type="dxa"/>
            <w:tcBorders>
              <w:top w:val="double" w:sz="8" w:space="0" w:color="000000"/>
              <w:bottom w:val="single" w:sz="4" w:space="0" w:color="000000"/>
            </w:tcBorders>
          </w:tcPr>
          <w:p>
            <w:pPr>
              <w:pStyle w:val="TableParagraph"/>
              <w:rPr>
                <w:sz w:val="10"/>
              </w:rPr>
            </w:pPr>
          </w:p>
        </w:tc>
        <w:tc>
          <w:tcPr>
            <w:tcW w:w="764" w:type="dxa"/>
            <w:tcBorders>
              <w:top w:val="double" w:sz="8" w:space="0" w:color="000000"/>
              <w:bottom w:val="single" w:sz="4" w:space="0" w:color="000000"/>
            </w:tcBorders>
          </w:tcPr>
          <w:p>
            <w:pPr>
              <w:pStyle w:val="TableParagraph"/>
              <w:rPr>
                <w:sz w:val="10"/>
              </w:rPr>
            </w:pPr>
          </w:p>
        </w:tc>
        <w:tc>
          <w:tcPr>
            <w:tcW w:w="738" w:type="dxa"/>
            <w:tcBorders>
              <w:top w:val="double" w:sz="8" w:space="0" w:color="000000"/>
              <w:bottom w:val="single" w:sz="4" w:space="0" w:color="000000"/>
            </w:tcBorders>
          </w:tcPr>
          <w:p>
            <w:pPr>
              <w:pStyle w:val="TableParagraph"/>
              <w:rPr>
                <w:sz w:val="10"/>
              </w:rPr>
            </w:pPr>
          </w:p>
        </w:tc>
        <w:tc>
          <w:tcPr>
            <w:tcW w:w="743" w:type="dxa"/>
            <w:tcBorders>
              <w:top w:val="double" w:sz="8" w:space="0" w:color="000000"/>
              <w:bottom w:val="single" w:sz="4" w:space="0" w:color="000000"/>
            </w:tcBorders>
          </w:tcPr>
          <w:p>
            <w:pPr>
              <w:pStyle w:val="TableParagraph"/>
              <w:rPr>
                <w:sz w:val="10"/>
              </w:rPr>
            </w:pPr>
          </w:p>
        </w:tc>
      </w:tr>
      <w:tr>
        <w:trPr>
          <w:trHeight w:val="230" w:hRule="atLeast"/>
        </w:trPr>
        <w:tc>
          <w:tcPr>
            <w:tcW w:w="3435" w:type="dxa"/>
            <w:tcBorders>
              <w:top w:val="single" w:sz="4" w:space="0" w:color="000000"/>
              <w:bottom w:val="single" w:sz="4" w:space="0" w:color="000000"/>
            </w:tcBorders>
            <w:shd w:val="clear" w:color="auto" w:fill="CCEDFF"/>
          </w:tcPr>
          <w:p>
            <w:pPr>
              <w:pStyle w:val="TableParagraph"/>
              <w:spacing w:before="21"/>
              <w:ind w:left="52"/>
              <w:rPr>
                <w:sz w:val="16"/>
              </w:rPr>
            </w:pPr>
            <w:r>
              <w:rPr>
                <w:sz w:val="16"/>
              </w:rPr>
              <w:t>Net</w:t>
            </w:r>
            <w:r>
              <w:rPr>
                <w:spacing w:val="-4"/>
                <w:sz w:val="16"/>
              </w:rPr>
              <w:t> </w:t>
            </w:r>
            <w:r>
              <w:rPr>
                <w:sz w:val="16"/>
              </w:rPr>
              <w:t>New</w:t>
            </w:r>
            <w:r>
              <w:rPr>
                <w:spacing w:val="-1"/>
                <w:sz w:val="16"/>
              </w:rPr>
              <w:t> </w:t>
            </w:r>
            <w:r>
              <w:rPr>
                <w:sz w:val="16"/>
              </w:rPr>
              <w:t>Client</w:t>
            </w:r>
            <w:r>
              <w:rPr>
                <w:spacing w:val="-2"/>
                <w:sz w:val="16"/>
              </w:rPr>
              <w:t> </w:t>
            </w:r>
            <w:r>
              <w:rPr>
                <w:sz w:val="16"/>
              </w:rPr>
              <w:t>Assets</w:t>
            </w:r>
            <w:r>
              <w:rPr>
                <w:spacing w:val="-2"/>
                <w:sz w:val="16"/>
              </w:rPr>
              <w:t> </w:t>
            </w:r>
            <w:r>
              <w:rPr>
                <w:sz w:val="16"/>
              </w:rPr>
              <w:t>(in</w:t>
            </w:r>
            <w:r>
              <w:rPr>
                <w:spacing w:val="-1"/>
                <w:sz w:val="16"/>
              </w:rPr>
              <w:t> </w:t>
            </w:r>
            <w:r>
              <w:rPr>
                <w:sz w:val="16"/>
              </w:rPr>
              <w:t>billions)</w:t>
            </w:r>
            <w:r>
              <w:rPr>
                <w:spacing w:val="-2"/>
                <w:sz w:val="16"/>
              </w:rPr>
              <w:t> </w:t>
            </w:r>
            <w:r>
              <w:rPr>
                <w:spacing w:val="-5"/>
                <w:sz w:val="16"/>
                <w:vertAlign w:val="superscript"/>
              </w:rPr>
              <w:t>(1)</w:t>
            </w:r>
          </w:p>
        </w:tc>
        <w:tc>
          <w:tcPr>
            <w:tcW w:w="754" w:type="dxa"/>
            <w:tcBorders>
              <w:top w:val="single" w:sz="4" w:space="0" w:color="000000"/>
              <w:bottom w:val="single" w:sz="4" w:space="0" w:color="000000"/>
            </w:tcBorders>
            <w:shd w:val="clear" w:color="auto" w:fill="CCEDFF"/>
          </w:tcPr>
          <w:p>
            <w:pPr>
              <w:pStyle w:val="TableParagraph"/>
              <w:spacing w:before="21"/>
              <w:ind w:right="61"/>
              <w:jc w:val="right"/>
              <w:rPr>
                <w:sz w:val="16"/>
              </w:rPr>
            </w:pPr>
            <w:r>
              <w:rPr>
                <w:spacing w:val="-2"/>
                <w:sz w:val="16"/>
              </w:rPr>
              <w:t>(48)%</w:t>
            </w:r>
          </w:p>
        </w:tc>
        <w:tc>
          <w:tcPr>
            <w:tcW w:w="738" w:type="dxa"/>
            <w:tcBorders>
              <w:top w:val="single" w:sz="4" w:space="0" w:color="000000"/>
              <w:bottom w:val="single" w:sz="4" w:space="0" w:color="000000"/>
            </w:tcBorders>
            <w:shd w:val="clear" w:color="auto" w:fill="CCEDFF"/>
          </w:tcPr>
          <w:p>
            <w:pPr>
              <w:pStyle w:val="TableParagraph"/>
              <w:tabs>
                <w:tab w:pos="304" w:val="left" w:leader="none"/>
              </w:tabs>
              <w:spacing w:before="21"/>
              <w:ind w:right="88"/>
              <w:jc w:val="right"/>
              <w:rPr>
                <w:sz w:val="16"/>
              </w:rPr>
            </w:pPr>
            <w:r>
              <w:rPr>
                <w:spacing w:val="-10"/>
                <w:sz w:val="16"/>
              </w:rPr>
              <w:t>$</w:t>
            </w:r>
            <w:r>
              <w:rPr>
                <w:sz w:val="16"/>
              </w:rPr>
              <w:tab/>
            </w:r>
            <w:r>
              <w:rPr>
                <w:spacing w:val="-4"/>
                <w:sz w:val="16"/>
              </w:rPr>
              <w:t>28.6</w:t>
            </w:r>
          </w:p>
        </w:tc>
        <w:tc>
          <w:tcPr>
            <w:tcW w:w="793" w:type="dxa"/>
            <w:tcBorders>
              <w:top w:val="single" w:sz="4" w:space="0" w:color="000000"/>
              <w:bottom w:val="single" w:sz="4" w:space="0" w:color="000000"/>
            </w:tcBorders>
            <w:shd w:val="clear" w:color="auto" w:fill="CCEDFF"/>
          </w:tcPr>
          <w:p>
            <w:pPr>
              <w:pStyle w:val="TableParagraph"/>
              <w:tabs>
                <w:tab w:pos="304" w:val="left" w:leader="none"/>
              </w:tabs>
              <w:spacing w:before="21"/>
              <w:ind w:right="116"/>
              <w:jc w:val="right"/>
              <w:rPr>
                <w:sz w:val="16"/>
              </w:rPr>
            </w:pPr>
            <w:r>
              <w:rPr>
                <w:spacing w:val="-10"/>
                <w:sz w:val="16"/>
              </w:rPr>
              <w:t>$</w:t>
            </w:r>
            <w:r>
              <w:rPr>
                <w:sz w:val="16"/>
              </w:rPr>
              <w:tab/>
            </w:r>
            <w:r>
              <w:rPr>
                <w:spacing w:val="-4"/>
                <w:sz w:val="16"/>
              </w:rPr>
              <w:t>55.1</w:t>
            </w:r>
          </w:p>
        </w:tc>
        <w:tc>
          <w:tcPr>
            <w:tcW w:w="764" w:type="dxa"/>
            <w:tcBorders>
              <w:top w:val="single" w:sz="4" w:space="0" w:color="000000"/>
              <w:bottom w:val="single" w:sz="4" w:space="0" w:color="000000"/>
            </w:tcBorders>
            <w:shd w:val="clear" w:color="auto" w:fill="CCEDFF"/>
          </w:tcPr>
          <w:p>
            <w:pPr>
              <w:pStyle w:val="TableParagraph"/>
              <w:spacing w:before="21"/>
              <w:ind w:right="61"/>
              <w:jc w:val="right"/>
              <w:rPr>
                <w:sz w:val="16"/>
              </w:rPr>
            </w:pPr>
            <w:r>
              <w:rPr>
                <w:spacing w:val="-2"/>
                <w:sz w:val="16"/>
              </w:rPr>
              <w:t>(67)%</w:t>
            </w:r>
          </w:p>
        </w:tc>
        <w:tc>
          <w:tcPr>
            <w:tcW w:w="738" w:type="dxa"/>
            <w:tcBorders>
              <w:top w:val="single" w:sz="4" w:space="0" w:color="000000"/>
              <w:bottom w:val="single" w:sz="4" w:space="0" w:color="000000"/>
            </w:tcBorders>
            <w:shd w:val="clear" w:color="auto" w:fill="CCEDFF"/>
          </w:tcPr>
          <w:p>
            <w:pPr>
              <w:pStyle w:val="TableParagraph"/>
              <w:tabs>
                <w:tab w:pos="304" w:val="left" w:leader="none"/>
              </w:tabs>
              <w:spacing w:before="21"/>
              <w:ind w:right="88"/>
              <w:jc w:val="right"/>
              <w:rPr>
                <w:sz w:val="16"/>
              </w:rPr>
            </w:pPr>
            <w:r>
              <w:rPr>
                <w:spacing w:val="-10"/>
                <w:sz w:val="16"/>
              </w:rPr>
              <w:t>$</w:t>
            </w:r>
            <w:r>
              <w:rPr>
                <w:sz w:val="16"/>
              </w:rPr>
              <w:tab/>
            </w:r>
            <w:r>
              <w:rPr>
                <w:spacing w:val="-4"/>
                <w:sz w:val="16"/>
              </w:rPr>
              <w:t>19.6</w:t>
            </w:r>
          </w:p>
        </w:tc>
        <w:tc>
          <w:tcPr>
            <w:tcW w:w="793" w:type="dxa"/>
            <w:tcBorders>
              <w:top w:val="single" w:sz="4" w:space="0" w:color="000000"/>
              <w:bottom w:val="single" w:sz="4" w:space="0" w:color="000000"/>
            </w:tcBorders>
            <w:shd w:val="clear" w:color="auto" w:fill="CCEDFF"/>
          </w:tcPr>
          <w:p>
            <w:pPr>
              <w:pStyle w:val="TableParagraph"/>
              <w:tabs>
                <w:tab w:pos="304" w:val="left" w:leader="none"/>
              </w:tabs>
              <w:spacing w:before="21"/>
              <w:ind w:right="116"/>
              <w:jc w:val="right"/>
              <w:rPr>
                <w:sz w:val="16"/>
              </w:rPr>
            </w:pPr>
            <w:r>
              <w:rPr>
                <w:spacing w:val="-10"/>
                <w:sz w:val="16"/>
              </w:rPr>
              <w:t>$</w:t>
            </w:r>
            <w:r>
              <w:rPr>
                <w:sz w:val="16"/>
              </w:rPr>
              <w:tab/>
            </w:r>
            <w:r>
              <w:rPr>
                <w:spacing w:val="-4"/>
                <w:sz w:val="16"/>
              </w:rPr>
              <w:t>59.5</w:t>
            </w:r>
          </w:p>
        </w:tc>
        <w:tc>
          <w:tcPr>
            <w:tcW w:w="764" w:type="dxa"/>
            <w:tcBorders>
              <w:top w:val="single" w:sz="4" w:space="0" w:color="000000"/>
              <w:bottom w:val="single" w:sz="4" w:space="0" w:color="000000"/>
            </w:tcBorders>
            <w:shd w:val="clear" w:color="auto" w:fill="CCEDFF"/>
          </w:tcPr>
          <w:p>
            <w:pPr>
              <w:pStyle w:val="TableParagraph"/>
              <w:spacing w:before="21"/>
              <w:ind w:right="61"/>
              <w:jc w:val="right"/>
              <w:rPr>
                <w:sz w:val="16"/>
              </w:rPr>
            </w:pPr>
            <w:r>
              <w:rPr>
                <w:spacing w:val="-2"/>
                <w:sz w:val="16"/>
              </w:rPr>
              <w:t>(58)%</w:t>
            </w:r>
          </w:p>
        </w:tc>
        <w:tc>
          <w:tcPr>
            <w:tcW w:w="738" w:type="dxa"/>
            <w:tcBorders>
              <w:top w:val="single" w:sz="4" w:space="0" w:color="000000"/>
              <w:bottom w:val="single" w:sz="4" w:space="0" w:color="000000"/>
            </w:tcBorders>
            <w:shd w:val="clear" w:color="auto" w:fill="CCEDFF"/>
          </w:tcPr>
          <w:p>
            <w:pPr>
              <w:pStyle w:val="TableParagraph"/>
              <w:tabs>
                <w:tab w:pos="304" w:val="left" w:leader="none"/>
              </w:tabs>
              <w:spacing w:before="21"/>
              <w:ind w:right="88"/>
              <w:jc w:val="right"/>
              <w:rPr>
                <w:sz w:val="16"/>
              </w:rPr>
            </w:pPr>
            <w:r>
              <w:rPr>
                <w:spacing w:val="-10"/>
                <w:sz w:val="16"/>
              </w:rPr>
              <w:t>$</w:t>
            </w:r>
            <w:r>
              <w:rPr>
                <w:sz w:val="16"/>
              </w:rPr>
              <w:tab/>
            </w:r>
            <w:r>
              <w:rPr>
                <w:spacing w:val="-4"/>
                <w:sz w:val="16"/>
              </w:rPr>
              <w:t>48.2</w:t>
            </w:r>
          </w:p>
        </w:tc>
        <w:tc>
          <w:tcPr>
            <w:tcW w:w="743" w:type="dxa"/>
            <w:tcBorders>
              <w:top w:val="single" w:sz="4" w:space="0" w:color="000000"/>
              <w:bottom w:val="single" w:sz="4" w:space="0" w:color="000000"/>
            </w:tcBorders>
            <w:shd w:val="clear" w:color="auto" w:fill="CCEDFF"/>
          </w:tcPr>
          <w:p>
            <w:pPr>
              <w:pStyle w:val="TableParagraph"/>
              <w:spacing w:before="21"/>
              <w:ind w:right="66"/>
              <w:jc w:val="right"/>
              <w:rPr>
                <w:sz w:val="16"/>
              </w:rPr>
            </w:pPr>
            <w:r>
              <w:rPr>
                <w:sz w:val="16"/>
              </w:rPr>
              <w:t>$</w:t>
            </w:r>
            <w:r>
              <w:rPr>
                <w:spacing w:val="32"/>
                <w:sz w:val="16"/>
              </w:rPr>
              <w:t>  </w:t>
            </w:r>
            <w:r>
              <w:rPr>
                <w:spacing w:val="-2"/>
                <w:sz w:val="16"/>
              </w:rPr>
              <w:t>114.6</w:t>
            </w:r>
          </w:p>
        </w:tc>
      </w:tr>
    </w:tbl>
    <w:p>
      <w:pPr>
        <w:pStyle w:val="BodyText"/>
        <w:spacing w:before="132"/>
      </w:pPr>
      <w:r>
        <w:rPr/>
        <mc:AlternateContent>
          <mc:Choice Requires="wps">
            <w:drawing>
              <wp:anchor distT="0" distB="0" distL="0" distR="0" allowOverlap="1" layoutInCell="1" locked="0" behindDoc="1" simplePos="0" relativeHeight="487595008">
                <wp:simplePos x="0" y="0"/>
                <wp:positionH relativeFrom="page">
                  <wp:posOffset>628650</wp:posOffset>
                </wp:positionH>
                <wp:positionV relativeFrom="paragraph">
                  <wp:posOffset>245109</wp:posOffset>
                </wp:positionV>
                <wp:extent cx="6515100" cy="6350"/>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6515100" cy="6350"/>
                          <a:chExt cx="6515100" cy="6350"/>
                        </a:xfrm>
                      </wpg:grpSpPr>
                      <wps:wsp>
                        <wps:cNvPr id="46" name="Graphic 46"/>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47" name="Graphic 47"/>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19.299999pt;width:513pt;height:.5pt;mso-position-horizontal-relative:page;mso-position-vertical-relative:paragraph;z-index:-15721472;mso-wrap-distance-left:0;mso-wrap-distance-right:0" id="docshapegroup33" coordorigin="990,386" coordsize="10260,10">
                <v:shape style="position:absolute;left:990;top:391;width:10260;height:2" id="docshape34" coordorigin="990,391" coordsize="10260,0" path="m11250,391l990,391e" filled="true" fillcolor="#000000" stroked="false">
                  <v:path arrowok="t"/>
                  <v:fill opacity="0f" type="solid"/>
                </v:shape>
                <v:line style="position:absolute" from="990,391" to="11250,391" stroked="true" strokeweight=".5pt" strokecolor="#000000">
                  <v:stroke dashstyle="solid"/>
                </v:line>
                <w10:wrap type="topAndBottom"/>
              </v:group>
            </w:pict>
          </mc:Fallback>
        </mc:AlternateContent>
      </w:r>
    </w:p>
    <w:p>
      <w:pPr>
        <w:tabs>
          <w:tab w:pos="6768" w:val="left" w:leader="none"/>
          <w:tab w:pos="9443" w:val="left" w:leader="none"/>
        </w:tabs>
        <w:spacing w:before="21" w:after="30"/>
        <w:ind w:left="4469" w:right="0" w:firstLine="0"/>
        <w:jc w:val="left"/>
        <w:rPr>
          <w:sz w:val="16"/>
        </w:rPr>
      </w:pPr>
      <w:r>
        <w:rPr>
          <w:sz w:val="16"/>
        </w:rPr>
        <w:t>Investor</w:t>
      </w:r>
      <w:r>
        <w:rPr>
          <w:spacing w:val="-1"/>
          <w:sz w:val="16"/>
        </w:rPr>
        <w:t> </w:t>
      </w:r>
      <w:r>
        <w:rPr>
          <w:spacing w:val="-2"/>
          <w:sz w:val="16"/>
        </w:rPr>
        <w:t>Services</w:t>
      </w:r>
      <w:r>
        <w:rPr>
          <w:sz w:val="16"/>
        </w:rPr>
        <w:tab/>
        <w:t>Advisor</w:t>
      </w:r>
      <w:r>
        <w:rPr>
          <w:spacing w:val="-4"/>
          <w:sz w:val="16"/>
        </w:rPr>
        <w:t> </w:t>
      </w:r>
      <w:r>
        <w:rPr>
          <w:spacing w:val="-2"/>
          <w:sz w:val="16"/>
        </w:rPr>
        <w:t>Services</w:t>
      </w:r>
      <w:r>
        <w:rPr>
          <w:sz w:val="16"/>
        </w:rPr>
        <w:tab/>
      </w:r>
      <w:r>
        <w:rPr>
          <w:spacing w:val="-2"/>
          <w:sz w:val="16"/>
        </w:rPr>
        <w:t>Total</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5"/>
        <w:gridCol w:w="754"/>
        <w:gridCol w:w="738"/>
        <w:gridCol w:w="793"/>
        <w:gridCol w:w="764"/>
        <w:gridCol w:w="738"/>
        <w:gridCol w:w="793"/>
        <w:gridCol w:w="764"/>
        <w:gridCol w:w="738"/>
        <w:gridCol w:w="743"/>
      </w:tblGrid>
      <w:tr>
        <w:trPr>
          <w:trHeight w:val="201" w:hRule="atLeast"/>
        </w:trPr>
        <w:tc>
          <w:tcPr>
            <w:tcW w:w="3435" w:type="dxa"/>
          </w:tcPr>
          <w:p>
            <w:pPr>
              <w:pStyle w:val="TableParagraph"/>
              <w:rPr>
                <w:sz w:val="14"/>
              </w:rPr>
            </w:pPr>
          </w:p>
        </w:tc>
        <w:tc>
          <w:tcPr>
            <w:tcW w:w="754" w:type="dxa"/>
            <w:tcBorders>
              <w:top w:val="single" w:sz="4" w:space="0" w:color="000000"/>
            </w:tcBorders>
          </w:tcPr>
          <w:p>
            <w:pPr>
              <w:pStyle w:val="TableParagraph"/>
              <w:spacing w:line="155" w:lineRule="exact" w:before="26"/>
              <w:ind w:right="159"/>
              <w:jc w:val="right"/>
              <w:rPr>
                <w:sz w:val="16"/>
              </w:rPr>
            </w:pPr>
            <w:r>
              <w:rPr>
                <w:spacing w:val="-2"/>
                <w:sz w:val="16"/>
              </w:rPr>
              <w:t>Percent</w:t>
            </w:r>
          </w:p>
        </w:tc>
        <w:tc>
          <w:tcPr>
            <w:tcW w:w="738" w:type="dxa"/>
            <w:tcBorders>
              <w:top w:val="single" w:sz="4" w:space="0" w:color="000000"/>
            </w:tcBorders>
          </w:tcPr>
          <w:p>
            <w:pPr>
              <w:pStyle w:val="TableParagraph"/>
              <w:rPr>
                <w:sz w:val="14"/>
              </w:rPr>
            </w:pPr>
          </w:p>
        </w:tc>
        <w:tc>
          <w:tcPr>
            <w:tcW w:w="793" w:type="dxa"/>
            <w:tcBorders>
              <w:top w:val="single" w:sz="4" w:space="0" w:color="000000"/>
            </w:tcBorders>
          </w:tcPr>
          <w:p>
            <w:pPr>
              <w:pStyle w:val="TableParagraph"/>
              <w:rPr>
                <w:sz w:val="14"/>
              </w:rPr>
            </w:pPr>
          </w:p>
        </w:tc>
        <w:tc>
          <w:tcPr>
            <w:tcW w:w="764" w:type="dxa"/>
            <w:tcBorders>
              <w:top w:val="single" w:sz="4" w:space="0" w:color="000000"/>
            </w:tcBorders>
          </w:tcPr>
          <w:p>
            <w:pPr>
              <w:pStyle w:val="TableParagraph"/>
              <w:spacing w:line="155" w:lineRule="exact" w:before="26"/>
              <w:ind w:left="122"/>
              <w:rPr>
                <w:sz w:val="16"/>
              </w:rPr>
            </w:pPr>
            <w:r>
              <w:rPr>
                <w:spacing w:val="-2"/>
                <w:sz w:val="16"/>
              </w:rPr>
              <w:t>Percent</w:t>
            </w:r>
          </w:p>
        </w:tc>
        <w:tc>
          <w:tcPr>
            <w:tcW w:w="738" w:type="dxa"/>
            <w:tcBorders>
              <w:top w:val="single" w:sz="4" w:space="0" w:color="000000"/>
            </w:tcBorders>
          </w:tcPr>
          <w:p>
            <w:pPr>
              <w:pStyle w:val="TableParagraph"/>
              <w:rPr>
                <w:sz w:val="14"/>
              </w:rPr>
            </w:pPr>
          </w:p>
        </w:tc>
        <w:tc>
          <w:tcPr>
            <w:tcW w:w="793" w:type="dxa"/>
            <w:tcBorders>
              <w:top w:val="single" w:sz="4" w:space="0" w:color="000000"/>
            </w:tcBorders>
          </w:tcPr>
          <w:p>
            <w:pPr>
              <w:pStyle w:val="TableParagraph"/>
              <w:rPr>
                <w:sz w:val="14"/>
              </w:rPr>
            </w:pPr>
          </w:p>
        </w:tc>
        <w:tc>
          <w:tcPr>
            <w:tcW w:w="764" w:type="dxa"/>
            <w:tcBorders>
              <w:top w:val="single" w:sz="4" w:space="0" w:color="000000"/>
            </w:tcBorders>
          </w:tcPr>
          <w:p>
            <w:pPr>
              <w:pStyle w:val="TableParagraph"/>
              <w:spacing w:line="155" w:lineRule="exact" w:before="26"/>
              <w:ind w:left="122"/>
              <w:rPr>
                <w:sz w:val="16"/>
              </w:rPr>
            </w:pPr>
            <w:r>
              <w:rPr>
                <w:spacing w:val="-2"/>
                <w:sz w:val="16"/>
              </w:rPr>
              <w:t>Percent</w:t>
            </w:r>
          </w:p>
        </w:tc>
        <w:tc>
          <w:tcPr>
            <w:tcW w:w="1481" w:type="dxa"/>
            <w:gridSpan w:val="2"/>
            <w:tcBorders>
              <w:top w:val="single" w:sz="4" w:space="0" w:color="000000"/>
            </w:tcBorders>
          </w:tcPr>
          <w:p>
            <w:pPr>
              <w:pStyle w:val="TableParagraph"/>
              <w:rPr>
                <w:sz w:val="14"/>
              </w:rPr>
            </w:pPr>
          </w:p>
        </w:tc>
      </w:tr>
      <w:tr>
        <w:trPr>
          <w:trHeight w:val="193" w:hRule="atLeast"/>
        </w:trPr>
        <w:tc>
          <w:tcPr>
            <w:tcW w:w="3435" w:type="dxa"/>
            <w:tcBorders>
              <w:bottom w:val="single" w:sz="4" w:space="0" w:color="000000"/>
            </w:tcBorders>
          </w:tcPr>
          <w:p>
            <w:pPr>
              <w:pStyle w:val="TableParagraph"/>
              <w:spacing w:line="169" w:lineRule="exact"/>
              <w:ind w:left="52"/>
              <w:rPr>
                <w:sz w:val="16"/>
              </w:rPr>
            </w:pPr>
            <w:r>
              <w:rPr>
                <w:sz w:val="16"/>
              </w:rPr>
              <w:t>Nine</w:t>
            </w:r>
            <w:r>
              <w:rPr>
                <w:spacing w:val="-1"/>
                <w:sz w:val="16"/>
              </w:rPr>
              <w:t> </w:t>
            </w:r>
            <w:r>
              <w:rPr>
                <w:sz w:val="16"/>
              </w:rPr>
              <w:t>Months</w:t>
            </w:r>
            <w:r>
              <w:rPr>
                <w:spacing w:val="-2"/>
                <w:sz w:val="16"/>
              </w:rPr>
              <w:t> </w:t>
            </w:r>
            <w:r>
              <w:rPr>
                <w:sz w:val="16"/>
              </w:rPr>
              <w:t>Ended</w:t>
            </w:r>
            <w:r>
              <w:rPr>
                <w:spacing w:val="-1"/>
                <w:sz w:val="16"/>
              </w:rPr>
              <w:t> </w:t>
            </w:r>
            <w:r>
              <w:rPr>
                <w:sz w:val="16"/>
              </w:rPr>
              <w:t>September</w:t>
            </w:r>
            <w:r>
              <w:rPr>
                <w:spacing w:val="-1"/>
                <w:sz w:val="16"/>
              </w:rPr>
              <w:t> </w:t>
            </w:r>
            <w:r>
              <w:rPr>
                <w:spacing w:val="-5"/>
                <w:sz w:val="16"/>
              </w:rPr>
              <w:t>30,</w:t>
            </w:r>
          </w:p>
        </w:tc>
        <w:tc>
          <w:tcPr>
            <w:tcW w:w="754" w:type="dxa"/>
            <w:tcBorders>
              <w:bottom w:val="single" w:sz="4" w:space="0" w:color="000000"/>
            </w:tcBorders>
          </w:tcPr>
          <w:p>
            <w:pPr>
              <w:pStyle w:val="TableParagraph"/>
              <w:spacing w:line="169" w:lineRule="exact"/>
              <w:ind w:right="155"/>
              <w:jc w:val="right"/>
              <w:rPr>
                <w:sz w:val="16"/>
              </w:rPr>
            </w:pPr>
            <w:r>
              <w:rPr>
                <w:spacing w:val="-2"/>
                <w:sz w:val="16"/>
              </w:rPr>
              <w:t>Change</w:t>
            </w:r>
          </w:p>
        </w:tc>
        <w:tc>
          <w:tcPr>
            <w:tcW w:w="738" w:type="dxa"/>
            <w:tcBorders>
              <w:bottom w:val="single" w:sz="4" w:space="0" w:color="000000"/>
            </w:tcBorders>
          </w:tcPr>
          <w:p>
            <w:pPr>
              <w:pStyle w:val="TableParagraph"/>
              <w:spacing w:line="169" w:lineRule="exact"/>
              <w:ind w:left="203"/>
              <w:rPr>
                <w:sz w:val="16"/>
              </w:rPr>
            </w:pPr>
            <w:r>
              <w:rPr>
                <w:spacing w:val="-4"/>
                <w:sz w:val="16"/>
              </w:rPr>
              <w:t>2023</w:t>
            </w:r>
          </w:p>
        </w:tc>
        <w:tc>
          <w:tcPr>
            <w:tcW w:w="793" w:type="dxa"/>
            <w:tcBorders>
              <w:bottom w:val="single" w:sz="4" w:space="0" w:color="000000"/>
            </w:tcBorders>
          </w:tcPr>
          <w:p>
            <w:pPr>
              <w:pStyle w:val="TableParagraph"/>
              <w:spacing w:line="169" w:lineRule="exact"/>
              <w:ind w:left="230"/>
              <w:rPr>
                <w:sz w:val="16"/>
              </w:rPr>
            </w:pPr>
            <w:r>
              <w:rPr>
                <w:spacing w:val="-4"/>
                <w:sz w:val="16"/>
              </w:rPr>
              <w:t>2022</w:t>
            </w:r>
          </w:p>
        </w:tc>
        <w:tc>
          <w:tcPr>
            <w:tcW w:w="764" w:type="dxa"/>
            <w:tcBorders>
              <w:bottom w:val="single" w:sz="4" w:space="0" w:color="000000"/>
            </w:tcBorders>
          </w:tcPr>
          <w:p>
            <w:pPr>
              <w:pStyle w:val="TableParagraph"/>
              <w:spacing w:line="169" w:lineRule="exact"/>
              <w:ind w:left="118"/>
              <w:rPr>
                <w:sz w:val="16"/>
              </w:rPr>
            </w:pPr>
            <w:r>
              <w:rPr>
                <w:spacing w:val="-2"/>
                <w:sz w:val="16"/>
              </w:rPr>
              <w:t>Change</w:t>
            </w:r>
          </w:p>
        </w:tc>
        <w:tc>
          <w:tcPr>
            <w:tcW w:w="738" w:type="dxa"/>
            <w:tcBorders>
              <w:bottom w:val="single" w:sz="4" w:space="0" w:color="000000"/>
            </w:tcBorders>
          </w:tcPr>
          <w:p>
            <w:pPr>
              <w:pStyle w:val="TableParagraph"/>
              <w:spacing w:line="169" w:lineRule="exact"/>
              <w:ind w:left="203"/>
              <w:rPr>
                <w:sz w:val="16"/>
              </w:rPr>
            </w:pPr>
            <w:r>
              <w:rPr>
                <w:spacing w:val="-4"/>
                <w:sz w:val="16"/>
              </w:rPr>
              <w:t>2023</w:t>
            </w:r>
          </w:p>
        </w:tc>
        <w:tc>
          <w:tcPr>
            <w:tcW w:w="793" w:type="dxa"/>
            <w:tcBorders>
              <w:bottom w:val="single" w:sz="4" w:space="0" w:color="000000"/>
            </w:tcBorders>
          </w:tcPr>
          <w:p>
            <w:pPr>
              <w:pStyle w:val="TableParagraph"/>
              <w:spacing w:line="169" w:lineRule="exact"/>
              <w:ind w:left="230"/>
              <w:rPr>
                <w:sz w:val="16"/>
              </w:rPr>
            </w:pPr>
            <w:r>
              <w:rPr>
                <w:spacing w:val="-4"/>
                <w:sz w:val="16"/>
              </w:rPr>
              <w:t>2022</w:t>
            </w:r>
          </w:p>
        </w:tc>
        <w:tc>
          <w:tcPr>
            <w:tcW w:w="764" w:type="dxa"/>
            <w:tcBorders>
              <w:bottom w:val="single" w:sz="4" w:space="0" w:color="000000"/>
            </w:tcBorders>
          </w:tcPr>
          <w:p>
            <w:pPr>
              <w:pStyle w:val="TableParagraph"/>
              <w:spacing w:line="169" w:lineRule="exact"/>
              <w:ind w:left="118"/>
              <w:rPr>
                <w:sz w:val="16"/>
              </w:rPr>
            </w:pPr>
            <w:r>
              <w:rPr>
                <w:spacing w:val="-2"/>
                <w:sz w:val="16"/>
              </w:rPr>
              <w:t>Change</w:t>
            </w:r>
          </w:p>
        </w:tc>
        <w:tc>
          <w:tcPr>
            <w:tcW w:w="738" w:type="dxa"/>
            <w:tcBorders>
              <w:bottom w:val="single" w:sz="4" w:space="0" w:color="000000"/>
            </w:tcBorders>
          </w:tcPr>
          <w:p>
            <w:pPr>
              <w:pStyle w:val="TableParagraph"/>
              <w:spacing w:line="169" w:lineRule="exact"/>
              <w:ind w:left="203"/>
              <w:rPr>
                <w:sz w:val="16"/>
              </w:rPr>
            </w:pPr>
            <w:r>
              <w:rPr>
                <w:spacing w:val="-4"/>
                <w:sz w:val="16"/>
              </w:rPr>
              <w:t>2023</w:t>
            </w:r>
          </w:p>
        </w:tc>
        <w:tc>
          <w:tcPr>
            <w:tcW w:w="743" w:type="dxa"/>
            <w:tcBorders>
              <w:bottom w:val="single" w:sz="4" w:space="0" w:color="000000"/>
            </w:tcBorders>
          </w:tcPr>
          <w:p>
            <w:pPr>
              <w:pStyle w:val="TableParagraph"/>
              <w:spacing w:line="169" w:lineRule="exact"/>
              <w:ind w:left="230"/>
              <w:rPr>
                <w:sz w:val="16"/>
              </w:rPr>
            </w:pPr>
            <w:r>
              <w:rPr>
                <w:spacing w:val="-4"/>
                <w:sz w:val="16"/>
              </w:rPr>
              <w:t>2022</w:t>
            </w:r>
          </w:p>
        </w:tc>
      </w:tr>
      <w:tr>
        <w:trPr>
          <w:trHeight w:val="235" w:hRule="atLeast"/>
        </w:trPr>
        <w:tc>
          <w:tcPr>
            <w:tcW w:w="3435" w:type="dxa"/>
            <w:tcBorders>
              <w:top w:val="single" w:sz="4" w:space="0" w:color="000000"/>
            </w:tcBorders>
          </w:tcPr>
          <w:p>
            <w:pPr>
              <w:pStyle w:val="TableParagraph"/>
              <w:spacing w:before="21"/>
              <w:ind w:left="52"/>
              <w:rPr>
                <w:b/>
                <w:sz w:val="16"/>
              </w:rPr>
            </w:pPr>
            <w:r>
              <w:rPr>
                <w:b/>
                <w:sz w:val="16"/>
              </w:rPr>
              <w:t>Net</w:t>
            </w:r>
            <w:r>
              <w:rPr>
                <w:b/>
                <w:spacing w:val="-3"/>
                <w:sz w:val="16"/>
              </w:rPr>
              <w:t> </w:t>
            </w:r>
            <w:r>
              <w:rPr>
                <w:b/>
                <w:spacing w:val="-2"/>
                <w:sz w:val="16"/>
              </w:rPr>
              <w:t>Revenues</w:t>
            </w:r>
          </w:p>
        </w:tc>
        <w:tc>
          <w:tcPr>
            <w:tcW w:w="754" w:type="dxa"/>
            <w:tcBorders>
              <w:top w:val="single" w:sz="4" w:space="0" w:color="000000"/>
            </w:tcBorders>
          </w:tcPr>
          <w:p>
            <w:pPr>
              <w:pStyle w:val="TableParagraph"/>
              <w:rPr>
                <w:sz w:val="16"/>
              </w:rPr>
            </w:pPr>
          </w:p>
        </w:tc>
        <w:tc>
          <w:tcPr>
            <w:tcW w:w="738" w:type="dxa"/>
            <w:tcBorders>
              <w:top w:val="single" w:sz="4" w:space="0" w:color="000000"/>
            </w:tcBorders>
          </w:tcPr>
          <w:p>
            <w:pPr>
              <w:pStyle w:val="TableParagraph"/>
              <w:rPr>
                <w:sz w:val="16"/>
              </w:rPr>
            </w:pPr>
          </w:p>
        </w:tc>
        <w:tc>
          <w:tcPr>
            <w:tcW w:w="793" w:type="dxa"/>
            <w:tcBorders>
              <w:top w:val="single" w:sz="4" w:space="0" w:color="000000"/>
            </w:tcBorders>
          </w:tcPr>
          <w:p>
            <w:pPr>
              <w:pStyle w:val="TableParagraph"/>
              <w:rPr>
                <w:sz w:val="16"/>
              </w:rPr>
            </w:pPr>
          </w:p>
        </w:tc>
        <w:tc>
          <w:tcPr>
            <w:tcW w:w="764" w:type="dxa"/>
            <w:tcBorders>
              <w:top w:val="single" w:sz="4" w:space="0" w:color="000000"/>
            </w:tcBorders>
          </w:tcPr>
          <w:p>
            <w:pPr>
              <w:pStyle w:val="TableParagraph"/>
              <w:rPr>
                <w:sz w:val="16"/>
              </w:rPr>
            </w:pPr>
          </w:p>
        </w:tc>
        <w:tc>
          <w:tcPr>
            <w:tcW w:w="738" w:type="dxa"/>
            <w:tcBorders>
              <w:top w:val="single" w:sz="4" w:space="0" w:color="000000"/>
            </w:tcBorders>
          </w:tcPr>
          <w:p>
            <w:pPr>
              <w:pStyle w:val="TableParagraph"/>
              <w:rPr>
                <w:sz w:val="16"/>
              </w:rPr>
            </w:pPr>
          </w:p>
        </w:tc>
        <w:tc>
          <w:tcPr>
            <w:tcW w:w="793" w:type="dxa"/>
            <w:tcBorders>
              <w:top w:val="single" w:sz="4" w:space="0" w:color="000000"/>
            </w:tcBorders>
          </w:tcPr>
          <w:p>
            <w:pPr>
              <w:pStyle w:val="TableParagraph"/>
              <w:rPr>
                <w:sz w:val="16"/>
              </w:rPr>
            </w:pPr>
          </w:p>
        </w:tc>
        <w:tc>
          <w:tcPr>
            <w:tcW w:w="764" w:type="dxa"/>
            <w:tcBorders>
              <w:top w:val="single" w:sz="4" w:space="0" w:color="000000"/>
            </w:tcBorders>
          </w:tcPr>
          <w:p>
            <w:pPr>
              <w:pStyle w:val="TableParagraph"/>
              <w:rPr>
                <w:sz w:val="16"/>
              </w:rPr>
            </w:pPr>
          </w:p>
        </w:tc>
        <w:tc>
          <w:tcPr>
            <w:tcW w:w="738" w:type="dxa"/>
            <w:tcBorders>
              <w:top w:val="single" w:sz="4" w:space="0" w:color="000000"/>
            </w:tcBorders>
          </w:tcPr>
          <w:p>
            <w:pPr>
              <w:pStyle w:val="TableParagraph"/>
              <w:rPr>
                <w:sz w:val="16"/>
              </w:rPr>
            </w:pPr>
          </w:p>
        </w:tc>
        <w:tc>
          <w:tcPr>
            <w:tcW w:w="743" w:type="dxa"/>
            <w:tcBorders>
              <w:top w:val="single" w:sz="4" w:space="0" w:color="000000"/>
            </w:tcBorders>
          </w:tcPr>
          <w:p>
            <w:pPr>
              <w:pStyle w:val="TableParagraph"/>
              <w:rPr>
                <w:sz w:val="16"/>
              </w:rPr>
            </w:pPr>
          </w:p>
        </w:tc>
      </w:tr>
      <w:tr>
        <w:trPr>
          <w:trHeight w:val="240" w:hRule="atLeast"/>
        </w:trPr>
        <w:tc>
          <w:tcPr>
            <w:tcW w:w="3435" w:type="dxa"/>
            <w:shd w:val="clear" w:color="auto" w:fill="CCEDFF"/>
          </w:tcPr>
          <w:p>
            <w:pPr>
              <w:pStyle w:val="TableParagraph"/>
              <w:spacing w:before="26"/>
              <w:ind w:left="52"/>
              <w:rPr>
                <w:sz w:val="16"/>
              </w:rPr>
            </w:pPr>
            <w:r>
              <w:rPr>
                <w:sz w:val="16"/>
              </w:rPr>
              <w:t>Net</w:t>
            </w:r>
            <w:r>
              <w:rPr>
                <w:spacing w:val="-3"/>
                <w:sz w:val="16"/>
              </w:rPr>
              <w:t> </w:t>
            </w:r>
            <w:r>
              <w:rPr>
                <w:sz w:val="16"/>
              </w:rPr>
              <w:t>interest</w:t>
            </w:r>
            <w:r>
              <w:rPr>
                <w:spacing w:val="-1"/>
                <w:sz w:val="16"/>
              </w:rPr>
              <w:t> </w:t>
            </w:r>
            <w:r>
              <w:rPr>
                <w:spacing w:val="-2"/>
                <w:sz w:val="16"/>
              </w:rPr>
              <w:t>revenue</w:t>
            </w:r>
          </w:p>
        </w:tc>
        <w:tc>
          <w:tcPr>
            <w:tcW w:w="754" w:type="dxa"/>
            <w:shd w:val="clear" w:color="auto" w:fill="CCEDFF"/>
          </w:tcPr>
          <w:p>
            <w:pPr>
              <w:pStyle w:val="TableParagraph"/>
              <w:spacing w:before="26"/>
              <w:ind w:right="61"/>
              <w:jc w:val="right"/>
              <w:rPr>
                <w:sz w:val="16"/>
              </w:rPr>
            </w:pPr>
            <w:r>
              <w:rPr>
                <w:spacing w:val="-4"/>
                <w:sz w:val="16"/>
              </w:rPr>
              <w:t>(2)%</w:t>
            </w:r>
          </w:p>
        </w:tc>
        <w:tc>
          <w:tcPr>
            <w:tcW w:w="738" w:type="dxa"/>
            <w:shd w:val="clear" w:color="auto" w:fill="CCEDFF"/>
          </w:tcPr>
          <w:p>
            <w:pPr>
              <w:pStyle w:val="TableParagraph"/>
              <w:spacing w:before="26"/>
              <w:ind w:right="88"/>
              <w:jc w:val="right"/>
              <w:rPr>
                <w:sz w:val="16"/>
              </w:rPr>
            </w:pPr>
            <w:r>
              <w:rPr>
                <w:sz w:val="16"/>
              </w:rPr>
              <w:t>$</w:t>
            </w:r>
            <w:r>
              <w:rPr>
                <w:spacing w:val="32"/>
                <w:sz w:val="16"/>
              </w:rPr>
              <w:t>  </w:t>
            </w:r>
            <w:r>
              <w:rPr>
                <w:spacing w:val="-2"/>
                <w:sz w:val="16"/>
              </w:rPr>
              <w:t>5,448</w:t>
            </w:r>
          </w:p>
        </w:tc>
        <w:tc>
          <w:tcPr>
            <w:tcW w:w="793" w:type="dxa"/>
            <w:shd w:val="clear" w:color="auto" w:fill="CCEDFF"/>
          </w:tcPr>
          <w:p>
            <w:pPr>
              <w:pStyle w:val="TableParagraph"/>
              <w:spacing w:before="26"/>
              <w:ind w:right="116"/>
              <w:jc w:val="right"/>
              <w:rPr>
                <w:sz w:val="16"/>
              </w:rPr>
            </w:pPr>
            <w:r>
              <w:rPr>
                <w:sz w:val="16"/>
              </w:rPr>
              <w:t>$</w:t>
            </w:r>
            <w:r>
              <w:rPr>
                <w:spacing w:val="32"/>
                <w:sz w:val="16"/>
              </w:rPr>
              <w:t>  </w:t>
            </w:r>
            <w:r>
              <w:rPr>
                <w:spacing w:val="-2"/>
                <w:sz w:val="16"/>
              </w:rPr>
              <w:t>5,551</w:t>
            </w:r>
          </w:p>
        </w:tc>
        <w:tc>
          <w:tcPr>
            <w:tcW w:w="764" w:type="dxa"/>
            <w:shd w:val="clear" w:color="auto" w:fill="CCEDFF"/>
          </w:tcPr>
          <w:p>
            <w:pPr>
              <w:pStyle w:val="TableParagraph"/>
              <w:spacing w:before="26"/>
              <w:ind w:right="61"/>
              <w:jc w:val="right"/>
              <w:rPr>
                <w:sz w:val="16"/>
              </w:rPr>
            </w:pPr>
            <w:r>
              <w:rPr>
                <w:spacing w:val="-2"/>
                <w:sz w:val="16"/>
              </w:rPr>
              <w:t>(12)%</w:t>
            </w:r>
          </w:p>
        </w:tc>
        <w:tc>
          <w:tcPr>
            <w:tcW w:w="738" w:type="dxa"/>
            <w:shd w:val="clear" w:color="auto" w:fill="CCEDFF"/>
          </w:tcPr>
          <w:p>
            <w:pPr>
              <w:pStyle w:val="TableParagraph"/>
              <w:spacing w:before="26"/>
              <w:ind w:right="88"/>
              <w:jc w:val="right"/>
              <w:rPr>
                <w:sz w:val="16"/>
              </w:rPr>
            </w:pPr>
            <w:r>
              <w:rPr>
                <w:sz w:val="16"/>
              </w:rPr>
              <w:t>$</w:t>
            </w:r>
            <w:r>
              <w:rPr>
                <w:spacing w:val="32"/>
                <w:sz w:val="16"/>
              </w:rPr>
              <w:t>  </w:t>
            </w:r>
            <w:r>
              <w:rPr>
                <w:spacing w:val="-2"/>
                <w:sz w:val="16"/>
              </w:rPr>
              <w:t>1,849</w:t>
            </w:r>
          </w:p>
        </w:tc>
        <w:tc>
          <w:tcPr>
            <w:tcW w:w="793" w:type="dxa"/>
            <w:shd w:val="clear" w:color="auto" w:fill="CCEDFF"/>
          </w:tcPr>
          <w:p>
            <w:pPr>
              <w:pStyle w:val="TableParagraph"/>
              <w:spacing w:before="26"/>
              <w:ind w:right="116"/>
              <w:jc w:val="right"/>
              <w:rPr>
                <w:sz w:val="16"/>
              </w:rPr>
            </w:pPr>
            <w:r>
              <w:rPr>
                <w:sz w:val="16"/>
              </w:rPr>
              <w:t>$</w:t>
            </w:r>
            <w:r>
              <w:rPr>
                <w:spacing w:val="32"/>
                <w:sz w:val="16"/>
              </w:rPr>
              <w:t>  </w:t>
            </w:r>
            <w:r>
              <w:rPr>
                <w:spacing w:val="-2"/>
                <w:sz w:val="16"/>
              </w:rPr>
              <w:t>2,102</w:t>
            </w:r>
          </w:p>
        </w:tc>
        <w:tc>
          <w:tcPr>
            <w:tcW w:w="764" w:type="dxa"/>
            <w:shd w:val="clear" w:color="auto" w:fill="CCEDFF"/>
          </w:tcPr>
          <w:p>
            <w:pPr>
              <w:pStyle w:val="TableParagraph"/>
              <w:spacing w:before="26"/>
              <w:ind w:right="61"/>
              <w:jc w:val="right"/>
              <w:rPr>
                <w:sz w:val="16"/>
              </w:rPr>
            </w:pPr>
            <w:r>
              <w:rPr>
                <w:spacing w:val="-4"/>
                <w:sz w:val="16"/>
              </w:rPr>
              <w:t>(5)%</w:t>
            </w:r>
          </w:p>
        </w:tc>
        <w:tc>
          <w:tcPr>
            <w:tcW w:w="738" w:type="dxa"/>
            <w:shd w:val="clear" w:color="auto" w:fill="CCEDFF"/>
          </w:tcPr>
          <w:p>
            <w:pPr>
              <w:pStyle w:val="TableParagraph"/>
              <w:spacing w:before="26"/>
              <w:ind w:right="88"/>
              <w:jc w:val="right"/>
              <w:rPr>
                <w:sz w:val="16"/>
              </w:rPr>
            </w:pPr>
            <w:r>
              <w:rPr>
                <w:sz w:val="16"/>
              </w:rPr>
              <w:t>$</w:t>
            </w:r>
            <w:r>
              <w:rPr>
                <w:spacing w:val="32"/>
                <w:sz w:val="16"/>
              </w:rPr>
              <w:t>  </w:t>
            </w:r>
            <w:r>
              <w:rPr>
                <w:spacing w:val="-2"/>
                <w:sz w:val="16"/>
              </w:rPr>
              <w:t>7,297</w:t>
            </w:r>
          </w:p>
        </w:tc>
        <w:tc>
          <w:tcPr>
            <w:tcW w:w="743" w:type="dxa"/>
            <w:shd w:val="clear" w:color="auto" w:fill="CCEDFF"/>
          </w:tcPr>
          <w:p>
            <w:pPr>
              <w:pStyle w:val="TableParagraph"/>
              <w:spacing w:before="26"/>
              <w:ind w:right="66"/>
              <w:jc w:val="right"/>
              <w:rPr>
                <w:sz w:val="16"/>
              </w:rPr>
            </w:pPr>
            <w:r>
              <w:rPr>
                <w:sz w:val="16"/>
              </w:rPr>
              <w:t>$</w:t>
            </w:r>
            <w:r>
              <w:rPr>
                <w:spacing w:val="32"/>
                <w:sz w:val="16"/>
              </w:rPr>
              <w:t>  </w:t>
            </w:r>
            <w:r>
              <w:rPr>
                <w:spacing w:val="-2"/>
                <w:sz w:val="16"/>
              </w:rPr>
              <w:t>7,653</w:t>
            </w:r>
          </w:p>
        </w:tc>
      </w:tr>
      <w:tr>
        <w:trPr>
          <w:trHeight w:val="240" w:hRule="atLeast"/>
        </w:trPr>
        <w:tc>
          <w:tcPr>
            <w:tcW w:w="3435" w:type="dxa"/>
          </w:tcPr>
          <w:p>
            <w:pPr>
              <w:pStyle w:val="TableParagraph"/>
              <w:spacing w:before="26"/>
              <w:ind w:left="52"/>
              <w:rPr>
                <w:sz w:val="16"/>
              </w:rPr>
            </w:pPr>
            <w:r>
              <w:rPr>
                <w:sz w:val="16"/>
              </w:rPr>
              <w:t>Asset</w:t>
            </w:r>
            <w:r>
              <w:rPr>
                <w:spacing w:val="-1"/>
                <w:sz w:val="16"/>
              </w:rPr>
              <w:t> </w:t>
            </w:r>
            <w:r>
              <w:rPr>
                <w:sz w:val="16"/>
              </w:rPr>
              <w:t>management</w:t>
            </w:r>
            <w:r>
              <w:rPr>
                <w:spacing w:val="-1"/>
                <w:sz w:val="16"/>
              </w:rPr>
              <w:t> </w:t>
            </w:r>
            <w:r>
              <w:rPr>
                <w:sz w:val="16"/>
              </w:rPr>
              <w:t>and</w:t>
            </w:r>
            <w:r>
              <w:rPr>
                <w:spacing w:val="-1"/>
                <w:sz w:val="16"/>
              </w:rPr>
              <w:t> </w:t>
            </w:r>
            <w:r>
              <w:rPr>
                <w:sz w:val="16"/>
              </w:rPr>
              <w:t>administration</w:t>
            </w:r>
            <w:r>
              <w:rPr>
                <w:spacing w:val="-1"/>
                <w:sz w:val="16"/>
              </w:rPr>
              <w:t> </w:t>
            </w:r>
            <w:r>
              <w:rPr>
                <w:spacing w:val="-4"/>
                <w:sz w:val="16"/>
              </w:rPr>
              <w:t>fees</w:t>
            </w:r>
          </w:p>
        </w:tc>
        <w:tc>
          <w:tcPr>
            <w:tcW w:w="754" w:type="dxa"/>
          </w:tcPr>
          <w:p>
            <w:pPr>
              <w:pStyle w:val="TableParagraph"/>
              <w:spacing w:before="26"/>
              <w:ind w:right="115"/>
              <w:jc w:val="right"/>
              <w:rPr>
                <w:sz w:val="16"/>
              </w:rPr>
            </w:pPr>
            <w:r>
              <w:rPr>
                <w:spacing w:val="-5"/>
                <w:sz w:val="16"/>
              </w:rPr>
              <w:t>10%</w:t>
            </w:r>
          </w:p>
        </w:tc>
        <w:tc>
          <w:tcPr>
            <w:tcW w:w="738" w:type="dxa"/>
          </w:tcPr>
          <w:p>
            <w:pPr>
              <w:pStyle w:val="TableParagraph"/>
              <w:spacing w:before="26"/>
              <w:ind w:right="88"/>
              <w:jc w:val="right"/>
              <w:rPr>
                <w:sz w:val="16"/>
              </w:rPr>
            </w:pPr>
            <w:r>
              <w:rPr>
                <w:spacing w:val="-2"/>
                <w:sz w:val="16"/>
              </w:rPr>
              <w:t>2,523</w:t>
            </w:r>
          </w:p>
        </w:tc>
        <w:tc>
          <w:tcPr>
            <w:tcW w:w="793" w:type="dxa"/>
          </w:tcPr>
          <w:p>
            <w:pPr>
              <w:pStyle w:val="TableParagraph"/>
              <w:spacing w:before="26"/>
              <w:ind w:right="116"/>
              <w:jc w:val="right"/>
              <w:rPr>
                <w:sz w:val="16"/>
              </w:rPr>
            </w:pPr>
            <w:r>
              <w:rPr>
                <w:spacing w:val="-2"/>
                <w:sz w:val="16"/>
              </w:rPr>
              <w:t>2,299</w:t>
            </w:r>
          </w:p>
        </w:tc>
        <w:tc>
          <w:tcPr>
            <w:tcW w:w="764" w:type="dxa"/>
          </w:tcPr>
          <w:p>
            <w:pPr>
              <w:pStyle w:val="TableParagraph"/>
              <w:spacing w:before="26"/>
              <w:ind w:left="353"/>
              <w:rPr>
                <w:sz w:val="16"/>
              </w:rPr>
            </w:pPr>
            <w:r>
              <w:rPr>
                <w:spacing w:val="-5"/>
                <w:sz w:val="16"/>
              </w:rPr>
              <w:t>14%</w:t>
            </w:r>
          </w:p>
        </w:tc>
        <w:tc>
          <w:tcPr>
            <w:tcW w:w="738" w:type="dxa"/>
          </w:tcPr>
          <w:p>
            <w:pPr>
              <w:pStyle w:val="TableParagraph"/>
              <w:spacing w:before="26"/>
              <w:ind w:right="88"/>
              <w:jc w:val="right"/>
              <w:rPr>
                <w:sz w:val="16"/>
              </w:rPr>
            </w:pPr>
            <w:r>
              <w:rPr>
                <w:spacing w:val="-5"/>
                <w:sz w:val="16"/>
              </w:rPr>
              <w:t>992</w:t>
            </w:r>
          </w:p>
        </w:tc>
        <w:tc>
          <w:tcPr>
            <w:tcW w:w="793" w:type="dxa"/>
          </w:tcPr>
          <w:p>
            <w:pPr>
              <w:pStyle w:val="TableParagraph"/>
              <w:spacing w:before="26"/>
              <w:ind w:right="116"/>
              <w:jc w:val="right"/>
              <w:rPr>
                <w:sz w:val="16"/>
              </w:rPr>
            </w:pPr>
            <w:r>
              <w:rPr>
                <w:spacing w:val="-5"/>
                <w:sz w:val="16"/>
              </w:rPr>
              <w:t>868</w:t>
            </w:r>
          </w:p>
        </w:tc>
        <w:tc>
          <w:tcPr>
            <w:tcW w:w="764" w:type="dxa"/>
          </w:tcPr>
          <w:p>
            <w:pPr>
              <w:pStyle w:val="TableParagraph"/>
              <w:spacing w:before="26"/>
              <w:ind w:right="115"/>
              <w:jc w:val="right"/>
              <w:rPr>
                <w:sz w:val="16"/>
              </w:rPr>
            </w:pPr>
            <w:r>
              <w:rPr>
                <w:spacing w:val="-5"/>
                <w:sz w:val="16"/>
              </w:rPr>
              <w:t>11%</w:t>
            </w:r>
          </w:p>
        </w:tc>
        <w:tc>
          <w:tcPr>
            <w:tcW w:w="738" w:type="dxa"/>
          </w:tcPr>
          <w:p>
            <w:pPr>
              <w:pStyle w:val="TableParagraph"/>
              <w:spacing w:before="26"/>
              <w:ind w:right="88"/>
              <w:jc w:val="right"/>
              <w:rPr>
                <w:sz w:val="16"/>
              </w:rPr>
            </w:pPr>
            <w:r>
              <w:rPr>
                <w:spacing w:val="-2"/>
                <w:sz w:val="16"/>
              </w:rPr>
              <w:t>3,515</w:t>
            </w:r>
          </w:p>
        </w:tc>
        <w:tc>
          <w:tcPr>
            <w:tcW w:w="743" w:type="dxa"/>
          </w:tcPr>
          <w:p>
            <w:pPr>
              <w:pStyle w:val="TableParagraph"/>
              <w:spacing w:before="26"/>
              <w:ind w:right="66"/>
              <w:jc w:val="right"/>
              <w:rPr>
                <w:sz w:val="16"/>
              </w:rPr>
            </w:pPr>
            <w:r>
              <w:rPr>
                <w:spacing w:val="-2"/>
                <w:sz w:val="16"/>
              </w:rPr>
              <w:t>3,167</w:t>
            </w:r>
          </w:p>
        </w:tc>
      </w:tr>
      <w:tr>
        <w:trPr>
          <w:trHeight w:val="240" w:hRule="atLeast"/>
        </w:trPr>
        <w:tc>
          <w:tcPr>
            <w:tcW w:w="3435" w:type="dxa"/>
            <w:shd w:val="clear" w:color="auto" w:fill="CCEDFF"/>
          </w:tcPr>
          <w:p>
            <w:pPr>
              <w:pStyle w:val="TableParagraph"/>
              <w:spacing w:before="26"/>
              <w:ind w:left="52"/>
              <w:rPr>
                <w:sz w:val="16"/>
              </w:rPr>
            </w:pPr>
            <w:r>
              <w:rPr>
                <w:sz w:val="16"/>
              </w:rPr>
              <w:t>Trading</w:t>
            </w:r>
            <w:r>
              <w:rPr>
                <w:spacing w:val="-1"/>
                <w:sz w:val="16"/>
              </w:rPr>
              <w:t> </w:t>
            </w:r>
            <w:r>
              <w:rPr>
                <w:spacing w:val="-2"/>
                <w:sz w:val="16"/>
              </w:rPr>
              <w:t>revenue</w:t>
            </w:r>
          </w:p>
        </w:tc>
        <w:tc>
          <w:tcPr>
            <w:tcW w:w="754" w:type="dxa"/>
            <w:shd w:val="clear" w:color="auto" w:fill="CCEDFF"/>
          </w:tcPr>
          <w:p>
            <w:pPr>
              <w:pStyle w:val="TableParagraph"/>
              <w:spacing w:before="26"/>
              <w:ind w:right="61"/>
              <w:jc w:val="right"/>
              <w:rPr>
                <w:sz w:val="16"/>
              </w:rPr>
            </w:pPr>
            <w:r>
              <w:rPr>
                <w:spacing w:val="-2"/>
                <w:sz w:val="16"/>
              </w:rPr>
              <w:t>(11)%</w:t>
            </w:r>
          </w:p>
        </w:tc>
        <w:tc>
          <w:tcPr>
            <w:tcW w:w="738" w:type="dxa"/>
            <w:shd w:val="clear" w:color="auto" w:fill="CCEDFF"/>
          </w:tcPr>
          <w:p>
            <w:pPr>
              <w:pStyle w:val="TableParagraph"/>
              <w:spacing w:before="26"/>
              <w:ind w:right="88"/>
              <w:jc w:val="right"/>
              <w:rPr>
                <w:sz w:val="16"/>
              </w:rPr>
            </w:pPr>
            <w:r>
              <w:rPr>
                <w:spacing w:val="-2"/>
                <w:sz w:val="16"/>
              </w:rPr>
              <w:t>2,148</w:t>
            </w:r>
          </w:p>
        </w:tc>
        <w:tc>
          <w:tcPr>
            <w:tcW w:w="793" w:type="dxa"/>
            <w:shd w:val="clear" w:color="auto" w:fill="CCEDFF"/>
          </w:tcPr>
          <w:p>
            <w:pPr>
              <w:pStyle w:val="TableParagraph"/>
              <w:spacing w:before="26"/>
              <w:ind w:right="116"/>
              <w:jc w:val="right"/>
              <w:rPr>
                <w:sz w:val="16"/>
              </w:rPr>
            </w:pPr>
            <w:r>
              <w:rPr>
                <w:spacing w:val="-2"/>
                <w:sz w:val="16"/>
              </w:rPr>
              <w:t>2,407</w:t>
            </w:r>
          </w:p>
        </w:tc>
        <w:tc>
          <w:tcPr>
            <w:tcW w:w="764" w:type="dxa"/>
            <w:shd w:val="clear" w:color="auto" w:fill="CCEDFF"/>
          </w:tcPr>
          <w:p>
            <w:pPr>
              <w:pStyle w:val="TableParagraph"/>
              <w:spacing w:before="26"/>
              <w:ind w:right="61"/>
              <w:jc w:val="right"/>
              <w:rPr>
                <w:sz w:val="16"/>
              </w:rPr>
            </w:pPr>
            <w:r>
              <w:rPr>
                <w:spacing w:val="-2"/>
                <w:sz w:val="16"/>
              </w:rPr>
              <w:t>(15)%</w:t>
            </w:r>
          </w:p>
        </w:tc>
        <w:tc>
          <w:tcPr>
            <w:tcW w:w="738" w:type="dxa"/>
            <w:shd w:val="clear" w:color="auto" w:fill="CCEDFF"/>
          </w:tcPr>
          <w:p>
            <w:pPr>
              <w:pStyle w:val="TableParagraph"/>
              <w:spacing w:before="26"/>
              <w:ind w:right="88"/>
              <w:jc w:val="right"/>
              <w:rPr>
                <w:sz w:val="16"/>
              </w:rPr>
            </w:pPr>
            <w:r>
              <w:rPr>
                <w:spacing w:val="-5"/>
                <w:sz w:val="16"/>
              </w:rPr>
              <w:t>315</w:t>
            </w:r>
          </w:p>
        </w:tc>
        <w:tc>
          <w:tcPr>
            <w:tcW w:w="793" w:type="dxa"/>
            <w:shd w:val="clear" w:color="auto" w:fill="CCEDFF"/>
          </w:tcPr>
          <w:p>
            <w:pPr>
              <w:pStyle w:val="TableParagraph"/>
              <w:spacing w:before="26"/>
              <w:ind w:right="116"/>
              <w:jc w:val="right"/>
              <w:rPr>
                <w:sz w:val="16"/>
              </w:rPr>
            </w:pPr>
            <w:r>
              <w:rPr>
                <w:spacing w:val="-5"/>
                <w:sz w:val="16"/>
              </w:rPr>
              <w:t>371</w:t>
            </w:r>
          </w:p>
        </w:tc>
        <w:tc>
          <w:tcPr>
            <w:tcW w:w="764" w:type="dxa"/>
            <w:shd w:val="clear" w:color="auto" w:fill="CCEDFF"/>
          </w:tcPr>
          <w:p>
            <w:pPr>
              <w:pStyle w:val="TableParagraph"/>
              <w:spacing w:before="26"/>
              <w:ind w:right="61"/>
              <w:jc w:val="right"/>
              <w:rPr>
                <w:sz w:val="16"/>
              </w:rPr>
            </w:pPr>
            <w:r>
              <w:rPr>
                <w:spacing w:val="-2"/>
                <w:sz w:val="16"/>
              </w:rPr>
              <w:t>(11)%</w:t>
            </w:r>
          </w:p>
        </w:tc>
        <w:tc>
          <w:tcPr>
            <w:tcW w:w="738" w:type="dxa"/>
            <w:shd w:val="clear" w:color="auto" w:fill="CCEDFF"/>
          </w:tcPr>
          <w:p>
            <w:pPr>
              <w:pStyle w:val="TableParagraph"/>
              <w:spacing w:before="26"/>
              <w:ind w:right="88"/>
              <w:jc w:val="right"/>
              <w:rPr>
                <w:sz w:val="16"/>
              </w:rPr>
            </w:pPr>
            <w:r>
              <w:rPr>
                <w:spacing w:val="-2"/>
                <w:sz w:val="16"/>
              </w:rPr>
              <w:t>2,463</w:t>
            </w:r>
          </w:p>
        </w:tc>
        <w:tc>
          <w:tcPr>
            <w:tcW w:w="743" w:type="dxa"/>
            <w:shd w:val="clear" w:color="auto" w:fill="CCEDFF"/>
          </w:tcPr>
          <w:p>
            <w:pPr>
              <w:pStyle w:val="TableParagraph"/>
              <w:spacing w:before="26"/>
              <w:ind w:right="66"/>
              <w:jc w:val="right"/>
              <w:rPr>
                <w:sz w:val="16"/>
              </w:rPr>
            </w:pPr>
            <w:r>
              <w:rPr>
                <w:spacing w:val="-2"/>
                <w:sz w:val="16"/>
              </w:rPr>
              <w:t>2,778</w:t>
            </w:r>
          </w:p>
        </w:tc>
      </w:tr>
      <w:tr>
        <w:trPr>
          <w:trHeight w:val="239" w:hRule="atLeast"/>
        </w:trPr>
        <w:tc>
          <w:tcPr>
            <w:tcW w:w="3435" w:type="dxa"/>
          </w:tcPr>
          <w:p>
            <w:pPr>
              <w:pStyle w:val="TableParagraph"/>
              <w:spacing w:before="26"/>
              <w:ind w:left="52"/>
              <w:rPr>
                <w:sz w:val="16"/>
              </w:rPr>
            </w:pPr>
            <w:r>
              <w:rPr>
                <w:sz w:val="16"/>
              </w:rPr>
              <w:t>Bank</w:t>
            </w:r>
            <w:r>
              <w:rPr>
                <w:spacing w:val="-1"/>
                <w:sz w:val="16"/>
              </w:rPr>
              <w:t> </w:t>
            </w:r>
            <w:r>
              <w:rPr>
                <w:sz w:val="16"/>
              </w:rPr>
              <w:t>deposit account </w:t>
            </w:r>
            <w:r>
              <w:rPr>
                <w:spacing w:val="-4"/>
                <w:sz w:val="16"/>
              </w:rPr>
              <w:t>fees</w:t>
            </w:r>
          </w:p>
        </w:tc>
        <w:tc>
          <w:tcPr>
            <w:tcW w:w="754" w:type="dxa"/>
          </w:tcPr>
          <w:p>
            <w:pPr>
              <w:pStyle w:val="TableParagraph"/>
              <w:spacing w:before="26"/>
              <w:ind w:right="61"/>
              <w:jc w:val="right"/>
              <w:rPr>
                <w:sz w:val="16"/>
              </w:rPr>
            </w:pPr>
            <w:r>
              <w:rPr>
                <w:spacing w:val="-2"/>
                <w:sz w:val="16"/>
              </w:rPr>
              <w:t>(43)%</w:t>
            </w:r>
          </w:p>
        </w:tc>
        <w:tc>
          <w:tcPr>
            <w:tcW w:w="738" w:type="dxa"/>
          </w:tcPr>
          <w:p>
            <w:pPr>
              <w:pStyle w:val="TableParagraph"/>
              <w:spacing w:before="26"/>
              <w:ind w:right="88"/>
              <w:jc w:val="right"/>
              <w:rPr>
                <w:sz w:val="16"/>
              </w:rPr>
            </w:pPr>
            <w:r>
              <w:rPr>
                <w:spacing w:val="-5"/>
                <w:sz w:val="16"/>
              </w:rPr>
              <w:t>396</w:t>
            </w:r>
          </w:p>
        </w:tc>
        <w:tc>
          <w:tcPr>
            <w:tcW w:w="793" w:type="dxa"/>
          </w:tcPr>
          <w:p>
            <w:pPr>
              <w:pStyle w:val="TableParagraph"/>
              <w:spacing w:before="26"/>
              <w:ind w:right="116"/>
              <w:jc w:val="right"/>
              <w:rPr>
                <w:sz w:val="16"/>
              </w:rPr>
            </w:pPr>
            <w:r>
              <w:rPr>
                <w:spacing w:val="-5"/>
                <w:sz w:val="16"/>
              </w:rPr>
              <w:t>690</w:t>
            </w:r>
          </w:p>
        </w:tc>
        <w:tc>
          <w:tcPr>
            <w:tcW w:w="764" w:type="dxa"/>
          </w:tcPr>
          <w:p>
            <w:pPr>
              <w:pStyle w:val="TableParagraph"/>
              <w:spacing w:before="26"/>
              <w:ind w:right="61"/>
              <w:jc w:val="right"/>
              <w:rPr>
                <w:sz w:val="16"/>
              </w:rPr>
            </w:pPr>
            <w:r>
              <w:rPr>
                <w:spacing w:val="-2"/>
                <w:sz w:val="16"/>
              </w:rPr>
              <w:t>(63)%</w:t>
            </w:r>
          </w:p>
        </w:tc>
        <w:tc>
          <w:tcPr>
            <w:tcW w:w="738" w:type="dxa"/>
          </w:tcPr>
          <w:p>
            <w:pPr>
              <w:pStyle w:val="TableParagraph"/>
              <w:spacing w:before="26"/>
              <w:ind w:right="88"/>
              <w:jc w:val="right"/>
              <w:rPr>
                <w:sz w:val="16"/>
              </w:rPr>
            </w:pPr>
            <w:r>
              <w:rPr>
                <w:spacing w:val="-5"/>
                <w:sz w:val="16"/>
              </w:rPr>
              <w:t>135</w:t>
            </w:r>
          </w:p>
        </w:tc>
        <w:tc>
          <w:tcPr>
            <w:tcW w:w="793" w:type="dxa"/>
          </w:tcPr>
          <w:p>
            <w:pPr>
              <w:pStyle w:val="TableParagraph"/>
              <w:spacing w:before="26"/>
              <w:ind w:right="116"/>
              <w:jc w:val="right"/>
              <w:rPr>
                <w:sz w:val="16"/>
              </w:rPr>
            </w:pPr>
            <w:r>
              <w:rPr>
                <w:spacing w:val="-5"/>
                <w:sz w:val="16"/>
              </w:rPr>
              <w:t>369</w:t>
            </w:r>
          </w:p>
        </w:tc>
        <w:tc>
          <w:tcPr>
            <w:tcW w:w="764" w:type="dxa"/>
          </w:tcPr>
          <w:p>
            <w:pPr>
              <w:pStyle w:val="TableParagraph"/>
              <w:spacing w:before="26"/>
              <w:ind w:right="61"/>
              <w:jc w:val="right"/>
              <w:rPr>
                <w:sz w:val="16"/>
              </w:rPr>
            </w:pPr>
            <w:r>
              <w:rPr>
                <w:spacing w:val="-2"/>
                <w:sz w:val="16"/>
              </w:rPr>
              <w:t>(50)%</w:t>
            </w:r>
          </w:p>
        </w:tc>
        <w:tc>
          <w:tcPr>
            <w:tcW w:w="738" w:type="dxa"/>
          </w:tcPr>
          <w:p>
            <w:pPr>
              <w:pStyle w:val="TableParagraph"/>
              <w:spacing w:before="26"/>
              <w:ind w:right="88"/>
              <w:jc w:val="right"/>
              <w:rPr>
                <w:sz w:val="16"/>
              </w:rPr>
            </w:pPr>
            <w:r>
              <w:rPr>
                <w:spacing w:val="-5"/>
                <w:sz w:val="16"/>
              </w:rPr>
              <w:t>531</w:t>
            </w:r>
          </w:p>
        </w:tc>
        <w:tc>
          <w:tcPr>
            <w:tcW w:w="743" w:type="dxa"/>
          </w:tcPr>
          <w:p>
            <w:pPr>
              <w:pStyle w:val="TableParagraph"/>
              <w:spacing w:before="26"/>
              <w:ind w:right="66"/>
              <w:jc w:val="right"/>
              <w:rPr>
                <w:sz w:val="16"/>
              </w:rPr>
            </w:pPr>
            <w:r>
              <w:rPr>
                <w:spacing w:val="-2"/>
                <w:sz w:val="16"/>
              </w:rPr>
              <w:t>1,059</w:t>
            </w:r>
          </w:p>
        </w:tc>
      </w:tr>
      <w:tr>
        <w:trPr>
          <w:trHeight w:val="235" w:hRule="atLeast"/>
        </w:trPr>
        <w:tc>
          <w:tcPr>
            <w:tcW w:w="3435" w:type="dxa"/>
            <w:tcBorders>
              <w:bottom w:val="single" w:sz="4" w:space="0" w:color="000000"/>
            </w:tcBorders>
            <w:shd w:val="clear" w:color="auto" w:fill="CCEDFF"/>
          </w:tcPr>
          <w:p>
            <w:pPr>
              <w:pStyle w:val="TableParagraph"/>
              <w:spacing w:before="26"/>
              <w:ind w:left="52"/>
              <w:rPr>
                <w:sz w:val="16"/>
              </w:rPr>
            </w:pPr>
            <w:r>
              <w:rPr>
                <w:spacing w:val="-2"/>
                <w:sz w:val="16"/>
              </w:rPr>
              <w:t>Other</w:t>
            </w:r>
          </w:p>
        </w:tc>
        <w:tc>
          <w:tcPr>
            <w:tcW w:w="754" w:type="dxa"/>
            <w:tcBorders>
              <w:bottom w:val="single" w:sz="4" w:space="0" w:color="000000"/>
            </w:tcBorders>
            <w:shd w:val="clear" w:color="auto" w:fill="CCEDFF"/>
          </w:tcPr>
          <w:p>
            <w:pPr>
              <w:pStyle w:val="TableParagraph"/>
              <w:spacing w:before="26"/>
              <w:ind w:right="61"/>
              <w:jc w:val="right"/>
              <w:rPr>
                <w:sz w:val="16"/>
              </w:rPr>
            </w:pPr>
            <w:r>
              <w:rPr>
                <w:spacing w:val="-4"/>
                <w:sz w:val="16"/>
              </w:rPr>
              <w:t>(3)%</w:t>
            </w:r>
          </w:p>
        </w:tc>
        <w:tc>
          <w:tcPr>
            <w:tcW w:w="738" w:type="dxa"/>
            <w:tcBorders>
              <w:bottom w:val="single" w:sz="4" w:space="0" w:color="000000"/>
            </w:tcBorders>
            <w:shd w:val="clear" w:color="auto" w:fill="CCEDFF"/>
          </w:tcPr>
          <w:p>
            <w:pPr>
              <w:pStyle w:val="TableParagraph"/>
              <w:spacing w:before="26"/>
              <w:ind w:right="88"/>
              <w:jc w:val="right"/>
              <w:rPr>
                <w:sz w:val="16"/>
              </w:rPr>
            </w:pPr>
            <w:r>
              <w:rPr>
                <w:spacing w:val="-5"/>
                <w:sz w:val="16"/>
              </w:rPr>
              <w:t>451</w:t>
            </w:r>
          </w:p>
        </w:tc>
        <w:tc>
          <w:tcPr>
            <w:tcW w:w="793" w:type="dxa"/>
            <w:tcBorders>
              <w:bottom w:val="single" w:sz="4" w:space="0" w:color="000000"/>
            </w:tcBorders>
            <w:shd w:val="clear" w:color="auto" w:fill="CCEDFF"/>
          </w:tcPr>
          <w:p>
            <w:pPr>
              <w:pStyle w:val="TableParagraph"/>
              <w:spacing w:before="26"/>
              <w:ind w:right="116"/>
              <w:jc w:val="right"/>
              <w:rPr>
                <w:sz w:val="16"/>
              </w:rPr>
            </w:pPr>
            <w:r>
              <w:rPr>
                <w:spacing w:val="-5"/>
                <w:sz w:val="16"/>
              </w:rPr>
              <w:t>465</w:t>
            </w:r>
          </w:p>
        </w:tc>
        <w:tc>
          <w:tcPr>
            <w:tcW w:w="764" w:type="dxa"/>
            <w:tcBorders>
              <w:bottom w:val="single" w:sz="4" w:space="0" w:color="000000"/>
            </w:tcBorders>
            <w:shd w:val="clear" w:color="auto" w:fill="CCEDFF"/>
          </w:tcPr>
          <w:p>
            <w:pPr>
              <w:pStyle w:val="TableParagraph"/>
              <w:spacing w:before="26"/>
              <w:ind w:right="61"/>
              <w:jc w:val="right"/>
              <w:rPr>
                <w:sz w:val="16"/>
              </w:rPr>
            </w:pPr>
            <w:r>
              <w:rPr>
                <w:spacing w:val="-2"/>
                <w:sz w:val="16"/>
              </w:rPr>
              <w:t>(15)%</w:t>
            </w:r>
          </w:p>
        </w:tc>
        <w:tc>
          <w:tcPr>
            <w:tcW w:w="738" w:type="dxa"/>
            <w:tcBorders>
              <w:bottom w:val="single" w:sz="4" w:space="0" w:color="000000"/>
            </w:tcBorders>
            <w:shd w:val="clear" w:color="auto" w:fill="CCEDFF"/>
          </w:tcPr>
          <w:p>
            <w:pPr>
              <w:pStyle w:val="TableParagraph"/>
              <w:spacing w:before="26"/>
              <w:ind w:right="88"/>
              <w:jc w:val="right"/>
              <w:rPr>
                <w:sz w:val="16"/>
              </w:rPr>
            </w:pPr>
            <w:r>
              <w:rPr>
                <w:spacing w:val="-5"/>
                <w:sz w:val="16"/>
              </w:rPr>
              <w:t>121</w:t>
            </w:r>
          </w:p>
        </w:tc>
        <w:tc>
          <w:tcPr>
            <w:tcW w:w="793" w:type="dxa"/>
            <w:tcBorders>
              <w:bottom w:val="single" w:sz="4" w:space="0" w:color="000000"/>
            </w:tcBorders>
            <w:shd w:val="clear" w:color="auto" w:fill="CCEDFF"/>
          </w:tcPr>
          <w:p>
            <w:pPr>
              <w:pStyle w:val="TableParagraph"/>
              <w:spacing w:before="26"/>
              <w:ind w:right="116"/>
              <w:jc w:val="right"/>
              <w:rPr>
                <w:sz w:val="16"/>
              </w:rPr>
            </w:pPr>
            <w:r>
              <w:rPr>
                <w:spacing w:val="-5"/>
                <w:sz w:val="16"/>
              </w:rPr>
              <w:t>143</w:t>
            </w:r>
          </w:p>
        </w:tc>
        <w:tc>
          <w:tcPr>
            <w:tcW w:w="764" w:type="dxa"/>
            <w:tcBorders>
              <w:bottom w:val="single" w:sz="4" w:space="0" w:color="000000"/>
            </w:tcBorders>
            <w:shd w:val="clear" w:color="auto" w:fill="CCEDFF"/>
          </w:tcPr>
          <w:p>
            <w:pPr>
              <w:pStyle w:val="TableParagraph"/>
              <w:spacing w:before="26"/>
              <w:ind w:right="61"/>
              <w:jc w:val="right"/>
              <w:rPr>
                <w:sz w:val="16"/>
              </w:rPr>
            </w:pPr>
            <w:r>
              <w:rPr>
                <w:spacing w:val="-4"/>
                <w:sz w:val="16"/>
              </w:rPr>
              <w:t>(6)%</w:t>
            </w:r>
          </w:p>
        </w:tc>
        <w:tc>
          <w:tcPr>
            <w:tcW w:w="738" w:type="dxa"/>
            <w:tcBorders>
              <w:bottom w:val="single" w:sz="4" w:space="0" w:color="000000"/>
            </w:tcBorders>
            <w:shd w:val="clear" w:color="auto" w:fill="CCEDFF"/>
          </w:tcPr>
          <w:p>
            <w:pPr>
              <w:pStyle w:val="TableParagraph"/>
              <w:spacing w:before="26"/>
              <w:ind w:right="88"/>
              <w:jc w:val="right"/>
              <w:rPr>
                <w:sz w:val="16"/>
              </w:rPr>
            </w:pPr>
            <w:r>
              <w:rPr>
                <w:spacing w:val="-5"/>
                <w:sz w:val="16"/>
              </w:rPr>
              <w:t>572</w:t>
            </w:r>
          </w:p>
        </w:tc>
        <w:tc>
          <w:tcPr>
            <w:tcW w:w="743" w:type="dxa"/>
            <w:tcBorders>
              <w:bottom w:val="single" w:sz="4" w:space="0" w:color="000000"/>
            </w:tcBorders>
            <w:shd w:val="clear" w:color="auto" w:fill="CCEDFF"/>
          </w:tcPr>
          <w:p>
            <w:pPr>
              <w:pStyle w:val="TableParagraph"/>
              <w:spacing w:before="26"/>
              <w:ind w:right="66"/>
              <w:jc w:val="right"/>
              <w:rPr>
                <w:sz w:val="16"/>
              </w:rPr>
            </w:pPr>
            <w:r>
              <w:rPr>
                <w:spacing w:val="-5"/>
                <w:sz w:val="16"/>
              </w:rPr>
              <w:t>608</w:t>
            </w:r>
          </w:p>
        </w:tc>
      </w:tr>
      <w:tr>
        <w:trPr>
          <w:trHeight w:val="230" w:hRule="atLeast"/>
        </w:trPr>
        <w:tc>
          <w:tcPr>
            <w:tcW w:w="3435" w:type="dxa"/>
            <w:tcBorders>
              <w:top w:val="single" w:sz="4" w:space="0" w:color="000000"/>
              <w:bottom w:val="single" w:sz="4" w:space="0" w:color="000000"/>
            </w:tcBorders>
          </w:tcPr>
          <w:p>
            <w:pPr>
              <w:pStyle w:val="TableParagraph"/>
              <w:spacing w:before="21"/>
              <w:ind w:left="52"/>
              <w:rPr>
                <w:sz w:val="16"/>
              </w:rPr>
            </w:pPr>
            <w:r>
              <w:rPr>
                <w:sz w:val="16"/>
              </w:rPr>
              <w:t>Total</w:t>
            </w:r>
            <w:r>
              <w:rPr>
                <w:spacing w:val="-1"/>
                <w:sz w:val="16"/>
              </w:rPr>
              <w:t> </w:t>
            </w:r>
            <w:r>
              <w:rPr>
                <w:sz w:val="16"/>
              </w:rPr>
              <w:t>net </w:t>
            </w:r>
            <w:r>
              <w:rPr>
                <w:spacing w:val="-2"/>
                <w:sz w:val="16"/>
              </w:rPr>
              <w:t>revenues</w:t>
            </w:r>
          </w:p>
        </w:tc>
        <w:tc>
          <w:tcPr>
            <w:tcW w:w="754" w:type="dxa"/>
            <w:tcBorders>
              <w:top w:val="single" w:sz="4" w:space="0" w:color="000000"/>
              <w:bottom w:val="single" w:sz="4" w:space="0" w:color="000000"/>
            </w:tcBorders>
          </w:tcPr>
          <w:p>
            <w:pPr>
              <w:pStyle w:val="TableParagraph"/>
              <w:spacing w:before="21"/>
              <w:ind w:right="61"/>
              <w:jc w:val="right"/>
              <w:rPr>
                <w:sz w:val="16"/>
              </w:rPr>
            </w:pPr>
            <w:r>
              <w:rPr>
                <w:spacing w:val="-4"/>
                <w:sz w:val="16"/>
              </w:rPr>
              <w:t>(4)%</w:t>
            </w:r>
          </w:p>
        </w:tc>
        <w:tc>
          <w:tcPr>
            <w:tcW w:w="738" w:type="dxa"/>
            <w:tcBorders>
              <w:top w:val="single" w:sz="4" w:space="0" w:color="000000"/>
              <w:bottom w:val="single" w:sz="4" w:space="0" w:color="000000"/>
            </w:tcBorders>
          </w:tcPr>
          <w:p>
            <w:pPr>
              <w:pStyle w:val="TableParagraph"/>
              <w:spacing w:before="21"/>
              <w:ind w:right="88"/>
              <w:jc w:val="right"/>
              <w:rPr>
                <w:sz w:val="16"/>
              </w:rPr>
            </w:pPr>
            <w:r>
              <w:rPr>
                <w:spacing w:val="-2"/>
                <w:sz w:val="16"/>
              </w:rPr>
              <w:t>10,966</w:t>
            </w:r>
          </w:p>
        </w:tc>
        <w:tc>
          <w:tcPr>
            <w:tcW w:w="793" w:type="dxa"/>
            <w:tcBorders>
              <w:top w:val="single" w:sz="4" w:space="0" w:color="000000"/>
              <w:bottom w:val="single" w:sz="4" w:space="0" w:color="000000"/>
            </w:tcBorders>
          </w:tcPr>
          <w:p>
            <w:pPr>
              <w:pStyle w:val="TableParagraph"/>
              <w:spacing w:before="21"/>
              <w:ind w:right="116"/>
              <w:jc w:val="right"/>
              <w:rPr>
                <w:sz w:val="16"/>
              </w:rPr>
            </w:pPr>
            <w:r>
              <w:rPr>
                <w:spacing w:val="-2"/>
                <w:sz w:val="16"/>
              </w:rPr>
              <w:t>11,412</w:t>
            </w:r>
          </w:p>
        </w:tc>
        <w:tc>
          <w:tcPr>
            <w:tcW w:w="764" w:type="dxa"/>
            <w:tcBorders>
              <w:top w:val="single" w:sz="4" w:space="0" w:color="000000"/>
              <w:bottom w:val="single" w:sz="4" w:space="0" w:color="000000"/>
            </w:tcBorders>
          </w:tcPr>
          <w:p>
            <w:pPr>
              <w:pStyle w:val="TableParagraph"/>
              <w:spacing w:before="21"/>
              <w:ind w:right="61"/>
              <w:jc w:val="right"/>
              <w:rPr>
                <w:sz w:val="16"/>
              </w:rPr>
            </w:pPr>
            <w:r>
              <w:rPr>
                <w:spacing w:val="-2"/>
                <w:sz w:val="16"/>
              </w:rPr>
              <w:t>(11)%</w:t>
            </w:r>
          </w:p>
        </w:tc>
        <w:tc>
          <w:tcPr>
            <w:tcW w:w="738" w:type="dxa"/>
            <w:tcBorders>
              <w:top w:val="single" w:sz="4" w:space="0" w:color="000000"/>
              <w:bottom w:val="single" w:sz="4" w:space="0" w:color="000000"/>
            </w:tcBorders>
          </w:tcPr>
          <w:p>
            <w:pPr>
              <w:pStyle w:val="TableParagraph"/>
              <w:spacing w:before="21"/>
              <w:ind w:right="88"/>
              <w:jc w:val="right"/>
              <w:rPr>
                <w:sz w:val="16"/>
              </w:rPr>
            </w:pPr>
            <w:r>
              <w:rPr>
                <w:spacing w:val="-2"/>
                <w:sz w:val="16"/>
              </w:rPr>
              <w:t>3,412</w:t>
            </w:r>
          </w:p>
        </w:tc>
        <w:tc>
          <w:tcPr>
            <w:tcW w:w="793" w:type="dxa"/>
            <w:tcBorders>
              <w:top w:val="single" w:sz="4" w:space="0" w:color="000000"/>
              <w:bottom w:val="single" w:sz="4" w:space="0" w:color="000000"/>
            </w:tcBorders>
          </w:tcPr>
          <w:p>
            <w:pPr>
              <w:pStyle w:val="TableParagraph"/>
              <w:spacing w:before="21"/>
              <w:ind w:right="116"/>
              <w:jc w:val="right"/>
              <w:rPr>
                <w:sz w:val="16"/>
              </w:rPr>
            </w:pPr>
            <w:r>
              <w:rPr>
                <w:spacing w:val="-2"/>
                <w:sz w:val="16"/>
              </w:rPr>
              <w:t>3,853</w:t>
            </w:r>
          </w:p>
        </w:tc>
        <w:tc>
          <w:tcPr>
            <w:tcW w:w="764" w:type="dxa"/>
            <w:tcBorders>
              <w:top w:val="single" w:sz="4" w:space="0" w:color="000000"/>
              <w:bottom w:val="single" w:sz="4" w:space="0" w:color="000000"/>
            </w:tcBorders>
          </w:tcPr>
          <w:p>
            <w:pPr>
              <w:pStyle w:val="TableParagraph"/>
              <w:spacing w:before="21"/>
              <w:ind w:right="61"/>
              <w:jc w:val="right"/>
              <w:rPr>
                <w:sz w:val="16"/>
              </w:rPr>
            </w:pPr>
            <w:r>
              <w:rPr>
                <w:spacing w:val="-4"/>
                <w:sz w:val="16"/>
              </w:rPr>
              <w:t>(6)%</w:t>
            </w:r>
          </w:p>
        </w:tc>
        <w:tc>
          <w:tcPr>
            <w:tcW w:w="738" w:type="dxa"/>
            <w:tcBorders>
              <w:top w:val="single" w:sz="4" w:space="0" w:color="000000"/>
              <w:bottom w:val="single" w:sz="4" w:space="0" w:color="000000"/>
            </w:tcBorders>
          </w:tcPr>
          <w:p>
            <w:pPr>
              <w:pStyle w:val="TableParagraph"/>
              <w:spacing w:before="21"/>
              <w:ind w:right="88"/>
              <w:jc w:val="right"/>
              <w:rPr>
                <w:sz w:val="16"/>
              </w:rPr>
            </w:pPr>
            <w:r>
              <w:rPr>
                <w:spacing w:val="-2"/>
                <w:sz w:val="16"/>
              </w:rPr>
              <w:t>14,378</w:t>
            </w:r>
          </w:p>
        </w:tc>
        <w:tc>
          <w:tcPr>
            <w:tcW w:w="743" w:type="dxa"/>
            <w:tcBorders>
              <w:top w:val="single" w:sz="4" w:space="0" w:color="000000"/>
              <w:bottom w:val="single" w:sz="4" w:space="0" w:color="000000"/>
            </w:tcBorders>
          </w:tcPr>
          <w:p>
            <w:pPr>
              <w:pStyle w:val="TableParagraph"/>
              <w:spacing w:before="21"/>
              <w:ind w:right="66"/>
              <w:jc w:val="right"/>
              <w:rPr>
                <w:sz w:val="16"/>
              </w:rPr>
            </w:pPr>
            <w:r>
              <w:rPr>
                <w:spacing w:val="-2"/>
                <w:sz w:val="16"/>
              </w:rPr>
              <w:t>15,265</w:t>
            </w:r>
          </w:p>
        </w:tc>
      </w:tr>
      <w:tr>
        <w:trPr>
          <w:trHeight w:val="230" w:hRule="atLeast"/>
        </w:trPr>
        <w:tc>
          <w:tcPr>
            <w:tcW w:w="3435" w:type="dxa"/>
            <w:tcBorders>
              <w:top w:val="single" w:sz="4" w:space="0" w:color="000000"/>
              <w:bottom w:val="single" w:sz="4" w:space="0" w:color="000000"/>
            </w:tcBorders>
            <w:shd w:val="clear" w:color="auto" w:fill="CCEDFF"/>
          </w:tcPr>
          <w:p>
            <w:pPr>
              <w:pStyle w:val="TableParagraph"/>
              <w:spacing w:before="21"/>
              <w:ind w:left="52"/>
              <w:rPr>
                <w:b/>
                <w:sz w:val="16"/>
              </w:rPr>
            </w:pPr>
            <w:r>
              <w:rPr>
                <w:b/>
                <w:sz w:val="16"/>
              </w:rPr>
              <w:t>Expenses</w:t>
            </w:r>
            <w:r>
              <w:rPr>
                <w:b/>
                <w:spacing w:val="-4"/>
                <w:sz w:val="16"/>
              </w:rPr>
              <w:t> </w:t>
            </w:r>
            <w:r>
              <w:rPr>
                <w:b/>
                <w:sz w:val="16"/>
              </w:rPr>
              <w:t>Excluding</w:t>
            </w:r>
            <w:r>
              <w:rPr>
                <w:b/>
                <w:spacing w:val="-3"/>
                <w:sz w:val="16"/>
              </w:rPr>
              <w:t> </w:t>
            </w:r>
            <w:r>
              <w:rPr>
                <w:b/>
                <w:spacing w:val="-2"/>
                <w:sz w:val="16"/>
              </w:rPr>
              <w:t>Interest</w:t>
            </w:r>
          </w:p>
        </w:tc>
        <w:tc>
          <w:tcPr>
            <w:tcW w:w="754" w:type="dxa"/>
            <w:tcBorders>
              <w:top w:val="single" w:sz="4" w:space="0" w:color="000000"/>
              <w:bottom w:val="single" w:sz="4" w:space="0" w:color="000000"/>
            </w:tcBorders>
            <w:shd w:val="clear" w:color="auto" w:fill="CCEDFF"/>
          </w:tcPr>
          <w:p>
            <w:pPr>
              <w:pStyle w:val="TableParagraph"/>
              <w:spacing w:before="21"/>
              <w:ind w:right="115"/>
              <w:jc w:val="right"/>
              <w:rPr>
                <w:sz w:val="16"/>
              </w:rPr>
            </w:pPr>
            <w:r>
              <w:rPr>
                <w:spacing w:val="-5"/>
                <w:sz w:val="16"/>
              </w:rPr>
              <w:t>7%</w:t>
            </w:r>
          </w:p>
        </w:tc>
        <w:tc>
          <w:tcPr>
            <w:tcW w:w="738" w:type="dxa"/>
            <w:tcBorders>
              <w:top w:val="single" w:sz="4" w:space="0" w:color="000000"/>
              <w:bottom w:val="single" w:sz="4" w:space="0" w:color="000000"/>
            </w:tcBorders>
            <w:shd w:val="clear" w:color="auto" w:fill="CCEDFF"/>
          </w:tcPr>
          <w:p>
            <w:pPr>
              <w:pStyle w:val="TableParagraph"/>
              <w:spacing w:before="21"/>
              <w:ind w:right="88"/>
              <w:jc w:val="right"/>
              <w:rPr>
                <w:sz w:val="16"/>
              </w:rPr>
            </w:pPr>
            <w:r>
              <w:rPr>
                <w:spacing w:val="-2"/>
                <w:sz w:val="16"/>
              </w:rPr>
              <w:t>6,780</w:t>
            </w:r>
          </w:p>
        </w:tc>
        <w:tc>
          <w:tcPr>
            <w:tcW w:w="793" w:type="dxa"/>
            <w:tcBorders>
              <w:top w:val="single" w:sz="4" w:space="0" w:color="000000"/>
              <w:bottom w:val="single" w:sz="4" w:space="0" w:color="000000"/>
            </w:tcBorders>
            <w:shd w:val="clear" w:color="auto" w:fill="CCEDFF"/>
          </w:tcPr>
          <w:p>
            <w:pPr>
              <w:pStyle w:val="TableParagraph"/>
              <w:spacing w:before="21"/>
              <w:ind w:right="116"/>
              <w:jc w:val="right"/>
              <w:rPr>
                <w:sz w:val="16"/>
              </w:rPr>
            </w:pPr>
            <w:r>
              <w:rPr>
                <w:spacing w:val="-2"/>
                <w:sz w:val="16"/>
              </w:rPr>
              <w:t>6,359</w:t>
            </w:r>
          </w:p>
        </w:tc>
        <w:tc>
          <w:tcPr>
            <w:tcW w:w="764" w:type="dxa"/>
            <w:tcBorders>
              <w:top w:val="single" w:sz="4" w:space="0" w:color="000000"/>
              <w:bottom w:val="single" w:sz="4" w:space="0" w:color="000000"/>
            </w:tcBorders>
            <w:shd w:val="clear" w:color="auto" w:fill="CCEDFF"/>
          </w:tcPr>
          <w:p>
            <w:pPr>
              <w:pStyle w:val="TableParagraph"/>
              <w:spacing w:before="21"/>
              <w:ind w:left="353"/>
              <w:rPr>
                <w:sz w:val="16"/>
              </w:rPr>
            </w:pPr>
            <w:r>
              <w:rPr>
                <w:spacing w:val="-5"/>
                <w:sz w:val="16"/>
              </w:rPr>
              <w:t>14%</w:t>
            </w:r>
          </w:p>
        </w:tc>
        <w:tc>
          <w:tcPr>
            <w:tcW w:w="738" w:type="dxa"/>
            <w:tcBorders>
              <w:top w:val="single" w:sz="4" w:space="0" w:color="000000"/>
              <w:bottom w:val="single" w:sz="4" w:space="0" w:color="000000"/>
            </w:tcBorders>
            <w:shd w:val="clear" w:color="auto" w:fill="CCEDFF"/>
          </w:tcPr>
          <w:p>
            <w:pPr>
              <w:pStyle w:val="TableParagraph"/>
              <w:spacing w:before="21"/>
              <w:ind w:right="88"/>
              <w:jc w:val="right"/>
              <w:rPr>
                <w:sz w:val="16"/>
              </w:rPr>
            </w:pPr>
            <w:r>
              <w:rPr>
                <w:spacing w:val="-2"/>
                <w:sz w:val="16"/>
              </w:rPr>
              <w:t>2,414</w:t>
            </w:r>
          </w:p>
        </w:tc>
        <w:tc>
          <w:tcPr>
            <w:tcW w:w="793" w:type="dxa"/>
            <w:tcBorders>
              <w:top w:val="single" w:sz="4" w:space="0" w:color="000000"/>
              <w:bottom w:val="single" w:sz="4" w:space="0" w:color="000000"/>
            </w:tcBorders>
            <w:shd w:val="clear" w:color="auto" w:fill="CCEDFF"/>
          </w:tcPr>
          <w:p>
            <w:pPr>
              <w:pStyle w:val="TableParagraph"/>
              <w:spacing w:before="21"/>
              <w:ind w:right="116"/>
              <w:jc w:val="right"/>
              <w:rPr>
                <w:sz w:val="16"/>
              </w:rPr>
            </w:pPr>
            <w:r>
              <w:rPr>
                <w:spacing w:val="-2"/>
                <w:sz w:val="16"/>
              </w:rPr>
              <w:t>2,116</w:t>
            </w:r>
          </w:p>
        </w:tc>
        <w:tc>
          <w:tcPr>
            <w:tcW w:w="764" w:type="dxa"/>
            <w:tcBorders>
              <w:top w:val="single" w:sz="4" w:space="0" w:color="000000"/>
              <w:bottom w:val="single" w:sz="4" w:space="0" w:color="000000"/>
            </w:tcBorders>
            <w:shd w:val="clear" w:color="auto" w:fill="CCEDFF"/>
          </w:tcPr>
          <w:p>
            <w:pPr>
              <w:pStyle w:val="TableParagraph"/>
              <w:spacing w:before="21"/>
              <w:ind w:right="115"/>
              <w:jc w:val="right"/>
              <w:rPr>
                <w:sz w:val="16"/>
              </w:rPr>
            </w:pPr>
            <w:r>
              <w:rPr>
                <w:spacing w:val="-5"/>
                <w:sz w:val="16"/>
              </w:rPr>
              <w:t>8%</w:t>
            </w:r>
          </w:p>
        </w:tc>
        <w:tc>
          <w:tcPr>
            <w:tcW w:w="738" w:type="dxa"/>
            <w:tcBorders>
              <w:top w:val="single" w:sz="4" w:space="0" w:color="000000"/>
              <w:bottom w:val="single" w:sz="4" w:space="0" w:color="000000"/>
            </w:tcBorders>
            <w:shd w:val="clear" w:color="auto" w:fill="CCEDFF"/>
          </w:tcPr>
          <w:p>
            <w:pPr>
              <w:pStyle w:val="TableParagraph"/>
              <w:spacing w:before="21"/>
              <w:ind w:right="88"/>
              <w:jc w:val="right"/>
              <w:rPr>
                <w:sz w:val="16"/>
              </w:rPr>
            </w:pPr>
            <w:r>
              <w:rPr>
                <w:spacing w:val="-2"/>
                <w:sz w:val="16"/>
              </w:rPr>
              <w:t>9,194</w:t>
            </w:r>
          </w:p>
        </w:tc>
        <w:tc>
          <w:tcPr>
            <w:tcW w:w="743" w:type="dxa"/>
            <w:tcBorders>
              <w:top w:val="single" w:sz="4" w:space="0" w:color="000000"/>
              <w:bottom w:val="single" w:sz="4" w:space="0" w:color="000000"/>
            </w:tcBorders>
            <w:shd w:val="clear" w:color="auto" w:fill="CCEDFF"/>
          </w:tcPr>
          <w:p>
            <w:pPr>
              <w:pStyle w:val="TableParagraph"/>
              <w:spacing w:before="21"/>
              <w:ind w:right="66"/>
              <w:jc w:val="right"/>
              <w:rPr>
                <w:sz w:val="16"/>
              </w:rPr>
            </w:pPr>
            <w:r>
              <w:rPr>
                <w:spacing w:val="-2"/>
                <w:sz w:val="16"/>
              </w:rPr>
              <w:t>8,475</w:t>
            </w:r>
          </w:p>
        </w:tc>
      </w:tr>
      <w:tr>
        <w:trPr>
          <w:trHeight w:val="205" w:hRule="atLeast"/>
        </w:trPr>
        <w:tc>
          <w:tcPr>
            <w:tcW w:w="3435" w:type="dxa"/>
            <w:tcBorders>
              <w:top w:val="single" w:sz="4" w:space="0" w:color="000000"/>
              <w:bottom w:val="double" w:sz="8" w:space="0" w:color="000000"/>
            </w:tcBorders>
          </w:tcPr>
          <w:p>
            <w:pPr>
              <w:pStyle w:val="TableParagraph"/>
              <w:spacing w:line="164" w:lineRule="exact" w:before="21"/>
              <w:ind w:left="52"/>
              <w:rPr>
                <w:b/>
                <w:sz w:val="16"/>
              </w:rPr>
            </w:pPr>
            <w:r>
              <w:rPr>
                <w:b/>
                <w:sz w:val="16"/>
              </w:rPr>
              <w:t>Income</w:t>
            </w:r>
            <w:r>
              <w:rPr>
                <w:b/>
                <w:spacing w:val="-1"/>
                <w:sz w:val="16"/>
              </w:rPr>
              <w:t> </w:t>
            </w:r>
            <w:r>
              <w:rPr>
                <w:b/>
                <w:sz w:val="16"/>
              </w:rPr>
              <w:t>before</w:t>
            </w:r>
            <w:r>
              <w:rPr>
                <w:b/>
                <w:spacing w:val="-1"/>
                <w:sz w:val="16"/>
              </w:rPr>
              <w:t> </w:t>
            </w:r>
            <w:r>
              <w:rPr>
                <w:b/>
                <w:sz w:val="16"/>
              </w:rPr>
              <w:t>taxes</w:t>
            </w:r>
            <w:r>
              <w:rPr>
                <w:b/>
                <w:spacing w:val="-2"/>
                <w:sz w:val="16"/>
              </w:rPr>
              <w:t> </w:t>
            </w:r>
            <w:r>
              <w:rPr>
                <w:b/>
                <w:sz w:val="16"/>
              </w:rPr>
              <w:t>on</w:t>
            </w:r>
            <w:r>
              <w:rPr>
                <w:b/>
                <w:spacing w:val="-1"/>
                <w:sz w:val="16"/>
              </w:rPr>
              <w:t> </w:t>
            </w:r>
            <w:r>
              <w:rPr>
                <w:b/>
                <w:spacing w:val="-2"/>
                <w:sz w:val="16"/>
              </w:rPr>
              <w:t>income</w:t>
            </w:r>
          </w:p>
        </w:tc>
        <w:tc>
          <w:tcPr>
            <w:tcW w:w="754" w:type="dxa"/>
            <w:tcBorders>
              <w:top w:val="single" w:sz="4" w:space="0" w:color="000000"/>
              <w:bottom w:val="double" w:sz="8" w:space="0" w:color="000000"/>
            </w:tcBorders>
          </w:tcPr>
          <w:p>
            <w:pPr>
              <w:pStyle w:val="TableParagraph"/>
              <w:spacing w:line="164" w:lineRule="exact" w:before="21"/>
              <w:ind w:right="61"/>
              <w:jc w:val="right"/>
              <w:rPr>
                <w:sz w:val="16"/>
              </w:rPr>
            </w:pPr>
            <w:r>
              <w:rPr>
                <w:spacing w:val="-2"/>
                <w:sz w:val="16"/>
              </w:rPr>
              <w:t>(17)%</w:t>
            </w:r>
          </w:p>
        </w:tc>
        <w:tc>
          <w:tcPr>
            <w:tcW w:w="738" w:type="dxa"/>
            <w:tcBorders>
              <w:top w:val="single" w:sz="4" w:space="0" w:color="000000"/>
              <w:bottom w:val="double" w:sz="8" w:space="0" w:color="000000"/>
            </w:tcBorders>
          </w:tcPr>
          <w:p>
            <w:pPr>
              <w:pStyle w:val="TableParagraph"/>
              <w:spacing w:line="164" w:lineRule="exact" w:before="21"/>
              <w:ind w:right="88"/>
              <w:jc w:val="right"/>
              <w:rPr>
                <w:sz w:val="16"/>
              </w:rPr>
            </w:pPr>
            <w:r>
              <w:rPr>
                <w:sz w:val="16"/>
              </w:rPr>
              <w:t>$</w:t>
            </w:r>
            <w:r>
              <w:rPr>
                <w:spacing w:val="32"/>
                <w:sz w:val="16"/>
              </w:rPr>
              <w:t>  </w:t>
            </w:r>
            <w:r>
              <w:rPr>
                <w:spacing w:val="-2"/>
                <w:sz w:val="16"/>
              </w:rPr>
              <w:t>4,186</w:t>
            </w:r>
          </w:p>
        </w:tc>
        <w:tc>
          <w:tcPr>
            <w:tcW w:w="793" w:type="dxa"/>
            <w:tcBorders>
              <w:top w:val="single" w:sz="4" w:space="0" w:color="000000"/>
              <w:bottom w:val="double" w:sz="8" w:space="0" w:color="000000"/>
            </w:tcBorders>
          </w:tcPr>
          <w:p>
            <w:pPr>
              <w:pStyle w:val="TableParagraph"/>
              <w:spacing w:line="164" w:lineRule="exact" w:before="21"/>
              <w:ind w:right="116"/>
              <w:jc w:val="right"/>
              <w:rPr>
                <w:sz w:val="16"/>
              </w:rPr>
            </w:pPr>
            <w:r>
              <w:rPr>
                <w:sz w:val="16"/>
              </w:rPr>
              <w:t>$</w:t>
            </w:r>
            <w:r>
              <w:rPr>
                <w:spacing w:val="32"/>
                <w:sz w:val="16"/>
              </w:rPr>
              <w:t>  </w:t>
            </w:r>
            <w:r>
              <w:rPr>
                <w:spacing w:val="-2"/>
                <w:sz w:val="16"/>
              </w:rPr>
              <w:t>5,053</w:t>
            </w:r>
          </w:p>
        </w:tc>
        <w:tc>
          <w:tcPr>
            <w:tcW w:w="764" w:type="dxa"/>
            <w:tcBorders>
              <w:top w:val="single" w:sz="4" w:space="0" w:color="000000"/>
              <w:bottom w:val="double" w:sz="8" w:space="0" w:color="000000"/>
            </w:tcBorders>
          </w:tcPr>
          <w:p>
            <w:pPr>
              <w:pStyle w:val="TableParagraph"/>
              <w:spacing w:line="164" w:lineRule="exact" w:before="21"/>
              <w:ind w:right="61"/>
              <w:jc w:val="right"/>
              <w:rPr>
                <w:sz w:val="16"/>
              </w:rPr>
            </w:pPr>
            <w:r>
              <w:rPr>
                <w:spacing w:val="-2"/>
                <w:sz w:val="16"/>
              </w:rPr>
              <w:t>(43)%</w:t>
            </w:r>
          </w:p>
        </w:tc>
        <w:tc>
          <w:tcPr>
            <w:tcW w:w="738" w:type="dxa"/>
            <w:tcBorders>
              <w:top w:val="single" w:sz="4" w:space="0" w:color="000000"/>
              <w:bottom w:val="double" w:sz="8" w:space="0" w:color="000000"/>
            </w:tcBorders>
          </w:tcPr>
          <w:p>
            <w:pPr>
              <w:pStyle w:val="TableParagraph"/>
              <w:tabs>
                <w:tab w:pos="344" w:val="left" w:leader="none"/>
              </w:tabs>
              <w:spacing w:line="164" w:lineRule="exact" w:before="21"/>
              <w:ind w:right="88"/>
              <w:jc w:val="right"/>
              <w:rPr>
                <w:sz w:val="16"/>
              </w:rPr>
            </w:pPr>
            <w:r>
              <w:rPr>
                <w:spacing w:val="-10"/>
                <w:sz w:val="16"/>
              </w:rPr>
              <w:t>$</w:t>
            </w:r>
            <w:r>
              <w:rPr>
                <w:sz w:val="16"/>
              </w:rPr>
              <w:tab/>
            </w:r>
            <w:r>
              <w:rPr>
                <w:spacing w:val="-5"/>
                <w:sz w:val="16"/>
              </w:rPr>
              <w:t>998</w:t>
            </w:r>
          </w:p>
        </w:tc>
        <w:tc>
          <w:tcPr>
            <w:tcW w:w="793" w:type="dxa"/>
            <w:tcBorders>
              <w:top w:val="single" w:sz="4" w:space="0" w:color="000000"/>
              <w:bottom w:val="double" w:sz="8" w:space="0" w:color="000000"/>
            </w:tcBorders>
          </w:tcPr>
          <w:p>
            <w:pPr>
              <w:pStyle w:val="TableParagraph"/>
              <w:spacing w:line="164" w:lineRule="exact" w:before="21"/>
              <w:ind w:right="116"/>
              <w:jc w:val="right"/>
              <w:rPr>
                <w:sz w:val="16"/>
              </w:rPr>
            </w:pPr>
            <w:r>
              <w:rPr>
                <w:sz w:val="16"/>
              </w:rPr>
              <w:t>$</w:t>
            </w:r>
            <w:r>
              <w:rPr>
                <w:spacing w:val="32"/>
                <w:sz w:val="16"/>
              </w:rPr>
              <w:t>  </w:t>
            </w:r>
            <w:r>
              <w:rPr>
                <w:spacing w:val="-2"/>
                <w:sz w:val="16"/>
              </w:rPr>
              <w:t>1,737</w:t>
            </w:r>
          </w:p>
        </w:tc>
        <w:tc>
          <w:tcPr>
            <w:tcW w:w="764" w:type="dxa"/>
            <w:tcBorders>
              <w:top w:val="single" w:sz="4" w:space="0" w:color="000000"/>
              <w:bottom w:val="double" w:sz="8" w:space="0" w:color="000000"/>
            </w:tcBorders>
          </w:tcPr>
          <w:p>
            <w:pPr>
              <w:pStyle w:val="TableParagraph"/>
              <w:spacing w:line="164" w:lineRule="exact" w:before="21"/>
              <w:ind w:right="61"/>
              <w:jc w:val="right"/>
              <w:rPr>
                <w:sz w:val="16"/>
              </w:rPr>
            </w:pPr>
            <w:r>
              <w:rPr>
                <w:spacing w:val="-2"/>
                <w:sz w:val="16"/>
              </w:rPr>
              <w:t>(24)%</w:t>
            </w:r>
          </w:p>
        </w:tc>
        <w:tc>
          <w:tcPr>
            <w:tcW w:w="738" w:type="dxa"/>
            <w:tcBorders>
              <w:top w:val="single" w:sz="4" w:space="0" w:color="000000"/>
              <w:bottom w:val="double" w:sz="8" w:space="0" w:color="000000"/>
            </w:tcBorders>
          </w:tcPr>
          <w:p>
            <w:pPr>
              <w:pStyle w:val="TableParagraph"/>
              <w:spacing w:line="164" w:lineRule="exact" w:before="21"/>
              <w:ind w:right="88"/>
              <w:jc w:val="right"/>
              <w:rPr>
                <w:sz w:val="16"/>
              </w:rPr>
            </w:pPr>
            <w:r>
              <w:rPr>
                <w:sz w:val="16"/>
              </w:rPr>
              <w:t>$</w:t>
            </w:r>
            <w:r>
              <w:rPr>
                <w:spacing w:val="32"/>
                <w:sz w:val="16"/>
              </w:rPr>
              <w:t>  </w:t>
            </w:r>
            <w:r>
              <w:rPr>
                <w:spacing w:val="-2"/>
                <w:sz w:val="16"/>
              </w:rPr>
              <w:t>5,184</w:t>
            </w:r>
          </w:p>
        </w:tc>
        <w:tc>
          <w:tcPr>
            <w:tcW w:w="743" w:type="dxa"/>
            <w:tcBorders>
              <w:top w:val="single" w:sz="4" w:space="0" w:color="000000"/>
              <w:bottom w:val="double" w:sz="8" w:space="0" w:color="000000"/>
            </w:tcBorders>
          </w:tcPr>
          <w:p>
            <w:pPr>
              <w:pStyle w:val="TableParagraph"/>
              <w:spacing w:line="164" w:lineRule="exact" w:before="21"/>
              <w:ind w:right="66"/>
              <w:jc w:val="right"/>
              <w:rPr>
                <w:sz w:val="16"/>
              </w:rPr>
            </w:pPr>
            <w:r>
              <w:rPr>
                <w:sz w:val="16"/>
              </w:rPr>
              <w:t>$</w:t>
            </w:r>
            <w:r>
              <w:rPr>
                <w:spacing w:val="32"/>
                <w:sz w:val="16"/>
              </w:rPr>
              <w:t>  </w:t>
            </w:r>
            <w:r>
              <w:rPr>
                <w:spacing w:val="-2"/>
                <w:sz w:val="16"/>
              </w:rPr>
              <w:t>6,790</w:t>
            </w:r>
          </w:p>
        </w:tc>
      </w:tr>
      <w:tr>
        <w:trPr>
          <w:trHeight w:val="160" w:hRule="atLeast"/>
        </w:trPr>
        <w:tc>
          <w:tcPr>
            <w:tcW w:w="3435" w:type="dxa"/>
            <w:tcBorders>
              <w:top w:val="double" w:sz="8" w:space="0" w:color="000000"/>
              <w:bottom w:val="single" w:sz="4" w:space="0" w:color="000000"/>
            </w:tcBorders>
          </w:tcPr>
          <w:p>
            <w:pPr>
              <w:pStyle w:val="TableParagraph"/>
              <w:rPr>
                <w:sz w:val="10"/>
              </w:rPr>
            </w:pPr>
          </w:p>
        </w:tc>
        <w:tc>
          <w:tcPr>
            <w:tcW w:w="754" w:type="dxa"/>
            <w:tcBorders>
              <w:top w:val="double" w:sz="8" w:space="0" w:color="000000"/>
              <w:bottom w:val="single" w:sz="4" w:space="0" w:color="000000"/>
            </w:tcBorders>
          </w:tcPr>
          <w:p>
            <w:pPr>
              <w:pStyle w:val="TableParagraph"/>
              <w:rPr>
                <w:sz w:val="10"/>
              </w:rPr>
            </w:pPr>
          </w:p>
        </w:tc>
        <w:tc>
          <w:tcPr>
            <w:tcW w:w="738" w:type="dxa"/>
            <w:tcBorders>
              <w:top w:val="double" w:sz="8" w:space="0" w:color="000000"/>
              <w:bottom w:val="single" w:sz="4" w:space="0" w:color="000000"/>
            </w:tcBorders>
          </w:tcPr>
          <w:p>
            <w:pPr>
              <w:pStyle w:val="TableParagraph"/>
              <w:rPr>
                <w:sz w:val="10"/>
              </w:rPr>
            </w:pPr>
          </w:p>
        </w:tc>
        <w:tc>
          <w:tcPr>
            <w:tcW w:w="793" w:type="dxa"/>
            <w:tcBorders>
              <w:top w:val="double" w:sz="8" w:space="0" w:color="000000"/>
              <w:bottom w:val="single" w:sz="4" w:space="0" w:color="000000"/>
            </w:tcBorders>
          </w:tcPr>
          <w:p>
            <w:pPr>
              <w:pStyle w:val="TableParagraph"/>
              <w:rPr>
                <w:sz w:val="10"/>
              </w:rPr>
            </w:pPr>
          </w:p>
        </w:tc>
        <w:tc>
          <w:tcPr>
            <w:tcW w:w="764" w:type="dxa"/>
            <w:tcBorders>
              <w:top w:val="double" w:sz="8" w:space="0" w:color="000000"/>
              <w:bottom w:val="single" w:sz="4" w:space="0" w:color="000000"/>
            </w:tcBorders>
          </w:tcPr>
          <w:p>
            <w:pPr>
              <w:pStyle w:val="TableParagraph"/>
              <w:rPr>
                <w:sz w:val="10"/>
              </w:rPr>
            </w:pPr>
          </w:p>
        </w:tc>
        <w:tc>
          <w:tcPr>
            <w:tcW w:w="738" w:type="dxa"/>
            <w:tcBorders>
              <w:top w:val="double" w:sz="8" w:space="0" w:color="000000"/>
              <w:bottom w:val="single" w:sz="4" w:space="0" w:color="000000"/>
            </w:tcBorders>
          </w:tcPr>
          <w:p>
            <w:pPr>
              <w:pStyle w:val="TableParagraph"/>
              <w:rPr>
                <w:sz w:val="10"/>
              </w:rPr>
            </w:pPr>
          </w:p>
        </w:tc>
        <w:tc>
          <w:tcPr>
            <w:tcW w:w="793" w:type="dxa"/>
            <w:tcBorders>
              <w:top w:val="double" w:sz="8" w:space="0" w:color="000000"/>
              <w:bottom w:val="single" w:sz="4" w:space="0" w:color="000000"/>
            </w:tcBorders>
          </w:tcPr>
          <w:p>
            <w:pPr>
              <w:pStyle w:val="TableParagraph"/>
              <w:rPr>
                <w:sz w:val="10"/>
              </w:rPr>
            </w:pPr>
          </w:p>
        </w:tc>
        <w:tc>
          <w:tcPr>
            <w:tcW w:w="764" w:type="dxa"/>
            <w:tcBorders>
              <w:top w:val="double" w:sz="8" w:space="0" w:color="000000"/>
              <w:bottom w:val="single" w:sz="4" w:space="0" w:color="000000"/>
            </w:tcBorders>
          </w:tcPr>
          <w:p>
            <w:pPr>
              <w:pStyle w:val="TableParagraph"/>
              <w:rPr>
                <w:sz w:val="10"/>
              </w:rPr>
            </w:pPr>
          </w:p>
        </w:tc>
        <w:tc>
          <w:tcPr>
            <w:tcW w:w="738" w:type="dxa"/>
            <w:tcBorders>
              <w:top w:val="double" w:sz="8" w:space="0" w:color="000000"/>
              <w:bottom w:val="single" w:sz="4" w:space="0" w:color="000000"/>
            </w:tcBorders>
          </w:tcPr>
          <w:p>
            <w:pPr>
              <w:pStyle w:val="TableParagraph"/>
              <w:rPr>
                <w:sz w:val="10"/>
              </w:rPr>
            </w:pPr>
          </w:p>
        </w:tc>
        <w:tc>
          <w:tcPr>
            <w:tcW w:w="743" w:type="dxa"/>
            <w:tcBorders>
              <w:top w:val="double" w:sz="8" w:space="0" w:color="000000"/>
              <w:bottom w:val="single" w:sz="4" w:space="0" w:color="000000"/>
            </w:tcBorders>
          </w:tcPr>
          <w:p>
            <w:pPr>
              <w:pStyle w:val="TableParagraph"/>
              <w:rPr>
                <w:sz w:val="10"/>
              </w:rPr>
            </w:pPr>
          </w:p>
        </w:tc>
      </w:tr>
      <w:tr>
        <w:trPr>
          <w:trHeight w:val="230" w:hRule="atLeast"/>
        </w:trPr>
        <w:tc>
          <w:tcPr>
            <w:tcW w:w="3435" w:type="dxa"/>
            <w:tcBorders>
              <w:top w:val="single" w:sz="4" w:space="0" w:color="000000"/>
              <w:bottom w:val="single" w:sz="4" w:space="0" w:color="000000"/>
            </w:tcBorders>
            <w:shd w:val="clear" w:color="auto" w:fill="CCEDFF"/>
          </w:tcPr>
          <w:p>
            <w:pPr>
              <w:pStyle w:val="TableParagraph"/>
              <w:spacing w:before="21"/>
              <w:ind w:left="52"/>
              <w:rPr>
                <w:sz w:val="16"/>
              </w:rPr>
            </w:pPr>
            <w:r>
              <w:rPr>
                <w:sz w:val="16"/>
              </w:rPr>
              <w:t>Net</w:t>
            </w:r>
            <w:r>
              <w:rPr>
                <w:spacing w:val="-4"/>
                <w:sz w:val="16"/>
              </w:rPr>
              <w:t> </w:t>
            </w:r>
            <w:r>
              <w:rPr>
                <w:sz w:val="16"/>
              </w:rPr>
              <w:t>New</w:t>
            </w:r>
            <w:r>
              <w:rPr>
                <w:spacing w:val="-1"/>
                <w:sz w:val="16"/>
              </w:rPr>
              <w:t> </w:t>
            </w:r>
            <w:r>
              <w:rPr>
                <w:sz w:val="16"/>
              </w:rPr>
              <w:t>Client</w:t>
            </w:r>
            <w:r>
              <w:rPr>
                <w:spacing w:val="-2"/>
                <w:sz w:val="16"/>
              </w:rPr>
              <w:t> </w:t>
            </w:r>
            <w:r>
              <w:rPr>
                <w:sz w:val="16"/>
              </w:rPr>
              <w:t>Assets</w:t>
            </w:r>
            <w:r>
              <w:rPr>
                <w:spacing w:val="-2"/>
                <w:sz w:val="16"/>
              </w:rPr>
              <w:t> </w:t>
            </w:r>
            <w:r>
              <w:rPr>
                <w:sz w:val="16"/>
              </w:rPr>
              <w:t>(in</w:t>
            </w:r>
            <w:r>
              <w:rPr>
                <w:spacing w:val="-1"/>
                <w:sz w:val="16"/>
              </w:rPr>
              <w:t> </w:t>
            </w:r>
            <w:r>
              <w:rPr>
                <w:sz w:val="16"/>
              </w:rPr>
              <w:t>billions)</w:t>
            </w:r>
            <w:r>
              <w:rPr>
                <w:spacing w:val="-2"/>
                <w:sz w:val="16"/>
              </w:rPr>
              <w:t> </w:t>
            </w:r>
            <w:r>
              <w:rPr>
                <w:spacing w:val="-5"/>
                <w:sz w:val="16"/>
                <w:vertAlign w:val="superscript"/>
              </w:rPr>
              <w:t>(1)</w:t>
            </w:r>
          </w:p>
        </w:tc>
        <w:tc>
          <w:tcPr>
            <w:tcW w:w="754" w:type="dxa"/>
            <w:tcBorders>
              <w:top w:val="single" w:sz="4" w:space="0" w:color="000000"/>
              <w:bottom w:val="single" w:sz="4" w:space="0" w:color="000000"/>
            </w:tcBorders>
            <w:shd w:val="clear" w:color="auto" w:fill="CCEDFF"/>
          </w:tcPr>
          <w:p>
            <w:pPr>
              <w:pStyle w:val="TableParagraph"/>
              <w:spacing w:before="21"/>
              <w:ind w:right="115"/>
              <w:jc w:val="right"/>
              <w:rPr>
                <w:sz w:val="16"/>
              </w:rPr>
            </w:pPr>
            <w:r>
              <w:rPr>
                <w:spacing w:val="-5"/>
                <w:sz w:val="16"/>
              </w:rPr>
              <w:t>22%</w:t>
            </w:r>
          </w:p>
        </w:tc>
        <w:tc>
          <w:tcPr>
            <w:tcW w:w="738" w:type="dxa"/>
            <w:tcBorders>
              <w:top w:val="single" w:sz="4" w:space="0" w:color="000000"/>
              <w:bottom w:val="single" w:sz="4" w:space="0" w:color="000000"/>
            </w:tcBorders>
            <w:shd w:val="clear" w:color="auto" w:fill="CCEDFF"/>
          </w:tcPr>
          <w:p>
            <w:pPr>
              <w:pStyle w:val="TableParagraph"/>
              <w:spacing w:before="21"/>
              <w:ind w:right="88"/>
              <w:jc w:val="right"/>
              <w:rPr>
                <w:sz w:val="16"/>
              </w:rPr>
            </w:pPr>
            <w:r>
              <w:rPr>
                <w:sz w:val="16"/>
              </w:rPr>
              <w:t>$</w:t>
            </w:r>
            <w:r>
              <w:rPr>
                <w:spacing w:val="32"/>
                <w:sz w:val="16"/>
              </w:rPr>
              <w:t>  </w:t>
            </w:r>
            <w:r>
              <w:rPr>
                <w:spacing w:val="-2"/>
                <w:sz w:val="16"/>
              </w:rPr>
              <w:t>144.0</w:t>
            </w:r>
          </w:p>
        </w:tc>
        <w:tc>
          <w:tcPr>
            <w:tcW w:w="793" w:type="dxa"/>
            <w:tcBorders>
              <w:top w:val="single" w:sz="4" w:space="0" w:color="000000"/>
              <w:bottom w:val="single" w:sz="4" w:space="0" w:color="000000"/>
            </w:tcBorders>
            <w:shd w:val="clear" w:color="auto" w:fill="CCEDFF"/>
          </w:tcPr>
          <w:p>
            <w:pPr>
              <w:pStyle w:val="TableParagraph"/>
              <w:spacing w:before="21"/>
              <w:ind w:right="116"/>
              <w:jc w:val="right"/>
              <w:rPr>
                <w:sz w:val="16"/>
              </w:rPr>
            </w:pPr>
            <w:r>
              <w:rPr>
                <w:sz w:val="16"/>
              </w:rPr>
              <w:t>$</w:t>
            </w:r>
            <w:r>
              <w:rPr>
                <w:spacing w:val="32"/>
                <w:sz w:val="16"/>
              </w:rPr>
              <w:t>  </w:t>
            </w:r>
            <w:r>
              <w:rPr>
                <w:spacing w:val="-2"/>
                <w:sz w:val="16"/>
              </w:rPr>
              <w:t>118.5</w:t>
            </w:r>
          </w:p>
        </w:tc>
        <w:tc>
          <w:tcPr>
            <w:tcW w:w="764" w:type="dxa"/>
            <w:tcBorders>
              <w:top w:val="single" w:sz="4" w:space="0" w:color="000000"/>
              <w:bottom w:val="single" w:sz="4" w:space="0" w:color="000000"/>
            </w:tcBorders>
            <w:shd w:val="clear" w:color="auto" w:fill="CCEDFF"/>
          </w:tcPr>
          <w:p>
            <w:pPr>
              <w:pStyle w:val="TableParagraph"/>
              <w:spacing w:before="21"/>
              <w:ind w:right="61"/>
              <w:jc w:val="right"/>
              <w:rPr>
                <w:sz w:val="16"/>
              </w:rPr>
            </w:pPr>
            <w:r>
              <w:rPr>
                <w:spacing w:val="-2"/>
                <w:sz w:val="16"/>
              </w:rPr>
              <w:t>(21)%</w:t>
            </w:r>
          </w:p>
        </w:tc>
        <w:tc>
          <w:tcPr>
            <w:tcW w:w="738" w:type="dxa"/>
            <w:tcBorders>
              <w:top w:val="single" w:sz="4" w:space="0" w:color="000000"/>
              <w:bottom w:val="single" w:sz="4" w:space="0" w:color="000000"/>
            </w:tcBorders>
            <w:shd w:val="clear" w:color="auto" w:fill="CCEDFF"/>
          </w:tcPr>
          <w:p>
            <w:pPr>
              <w:pStyle w:val="TableParagraph"/>
              <w:spacing w:before="21"/>
              <w:ind w:right="88"/>
              <w:jc w:val="right"/>
              <w:rPr>
                <w:sz w:val="16"/>
              </w:rPr>
            </w:pPr>
            <w:r>
              <w:rPr>
                <w:sz w:val="16"/>
              </w:rPr>
              <w:t>$</w:t>
            </w:r>
            <w:r>
              <w:rPr>
                <w:spacing w:val="32"/>
                <w:sz w:val="16"/>
              </w:rPr>
              <w:t>  </w:t>
            </w:r>
            <w:r>
              <w:rPr>
                <w:spacing w:val="-2"/>
                <w:sz w:val="16"/>
              </w:rPr>
              <w:t>126.9</w:t>
            </w:r>
          </w:p>
        </w:tc>
        <w:tc>
          <w:tcPr>
            <w:tcW w:w="793" w:type="dxa"/>
            <w:tcBorders>
              <w:top w:val="single" w:sz="4" w:space="0" w:color="000000"/>
              <w:bottom w:val="single" w:sz="4" w:space="0" w:color="000000"/>
            </w:tcBorders>
            <w:shd w:val="clear" w:color="auto" w:fill="CCEDFF"/>
          </w:tcPr>
          <w:p>
            <w:pPr>
              <w:pStyle w:val="TableParagraph"/>
              <w:spacing w:before="21"/>
              <w:ind w:right="116"/>
              <w:jc w:val="right"/>
              <w:rPr>
                <w:sz w:val="16"/>
              </w:rPr>
            </w:pPr>
            <w:r>
              <w:rPr>
                <w:sz w:val="16"/>
              </w:rPr>
              <w:t>$</w:t>
            </w:r>
            <w:r>
              <w:rPr>
                <w:spacing w:val="32"/>
                <w:sz w:val="16"/>
              </w:rPr>
              <w:t>  </w:t>
            </w:r>
            <w:r>
              <w:rPr>
                <w:spacing w:val="-2"/>
                <w:sz w:val="16"/>
              </w:rPr>
              <w:t>160.0</w:t>
            </w:r>
          </w:p>
        </w:tc>
        <w:tc>
          <w:tcPr>
            <w:tcW w:w="764" w:type="dxa"/>
            <w:tcBorders>
              <w:top w:val="single" w:sz="4" w:space="0" w:color="000000"/>
              <w:bottom w:val="single" w:sz="4" w:space="0" w:color="000000"/>
            </w:tcBorders>
            <w:shd w:val="clear" w:color="auto" w:fill="CCEDFF"/>
          </w:tcPr>
          <w:p>
            <w:pPr>
              <w:pStyle w:val="TableParagraph"/>
              <w:spacing w:before="21"/>
              <w:ind w:right="61"/>
              <w:jc w:val="right"/>
              <w:rPr>
                <w:sz w:val="16"/>
              </w:rPr>
            </w:pPr>
            <w:r>
              <w:rPr>
                <w:spacing w:val="-4"/>
                <w:sz w:val="16"/>
              </w:rPr>
              <w:t>(3)%</w:t>
            </w:r>
          </w:p>
        </w:tc>
        <w:tc>
          <w:tcPr>
            <w:tcW w:w="738" w:type="dxa"/>
            <w:tcBorders>
              <w:top w:val="single" w:sz="4" w:space="0" w:color="000000"/>
              <w:bottom w:val="single" w:sz="4" w:space="0" w:color="000000"/>
            </w:tcBorders>
            <w:shd w:val="clear" w:color="auto" w:fill="CCEDFF"/>
          </w:tcPr>
          <w:p>
            <w:pPr>
              <w:pStyle w:val="TableParagraph"/>
              <w:spacing w:before="21"/>
              <w:ind w:right="88"/>
              <w:jc w:val="right"/>
              <w:rPr>
                <w:sz w:val="16"/>
              </w:rPr>
            </w:pPr>
            <w:r>
              <w:rPr>
                <w:sz w:val="16"/>
              </w:rPr>
              <w:t>$</w:t>
            </w:r>
            <w:r>
              <w:rPr>
                <w:spacing w:val="32"/>
                <w:sz w:val="16"/>
              </w:rPr>
              <w:t>  </w:t>
            </w:r>
            <w:r>
              <w:rPr>
                <w:spacing w:val="-2"/>
                <w:sz w:val="16"/>
              </w:rPr>
              <w:t>270.9</w:t>
            </w:r>
          </w:p>
        </w:tc>
        <w:tc>
          <w:tcPr>
            <w:tcW w:w="743" w:type="dxa"/>
            <w:tcBorders>
              <w:top w:val="single" w:sz="4" w:space="0" w:color="000000"/>
              <w:bottom w:val="single" w:sz="4" w:space="0" w:color="000000"/>
            </w:tcBorders>
            <w:shd w:val="clear" w:color="auto" w:fill="CCEDFF"/>
          </w:tcPr>
          <w:p>
            <w:pPr>
              <w:pStyle w:val="TableParagraph"/>
              <w:spacing w:before="21"/>
              <w:ind w:right="66"/>
              <w:jc w:val="right"/>
              <w:rPr>
                <w:sz w:val="16"/>
              </w:rPr>
            </w:pPr>
            <w:r>
              <w:rPr>
                <w:sz w:val="16"/>
              </w:rPr>
              <w:t>$</w:t>
            </w:r>
            <w:r>
              <w:rPr>
                <w:spacing w:val="32"/>
                <w:sz w:val="16"/>
              </w:rPr>
              <w:t>  </w:t>
            </w:r>
            <w:r>
              <w:rPr>
                <w:spacing w:val="-2"/>
                <w:sz w:val="16"/>
              </w:rPr>
              <w:t>278.5</w:t>
            </w:r>
          </w:p>
        </w:tc>
      </w:tr>
    </w:tbl>
    <w:p>
      <w:pPr>
        <w:spacing w:line="249" w:lineRule="auto" w:before="53"/>
        <w:ind w:left="650" w:right="761" w:hanging="180"/>
        <w:jc w:val="left"/>
        <w:rPr>
          <w:sz w:val="16"/>
        </w:rPr>
      </w:pPr>
      <w:r>
        <w:rPr>
          <w:sz w:val="16"/>
          <w:vertAlign w:val="superscript"/>
        </w:rPr>
        <w:t>(1)</w:t>
      </w:r>
      <w:r>
        <w:rPr>
          <w:spacing w:val="-15"/>
          <w:sz w:val="16"/>
          <w:vertAlign w:val="baseline"/>
        </w:rPr>
        <w:t> </w:t>
      </w:r>
      <w:r>
        <w:rPr>
          <w:sz w:val="16"/>
          <w:vertAlign w:val="baseline"/>
        </w:rPr>
        <w:t>In</w:t>
      </w:r>
      <w:r>
        <w:rPr>
          <w:spacing w:val="-3"/>
          <w:sz w:val="16"/>
          <w:vertAlign w:val="baseline"/>
        </w:rPr>
        <w:t> </w:t>
      </w:r>
      <w:r>
        <w:rPr>
          <w:sz w:val="16"/>
          <w:vertAlign w:val="baseline"/>
        </w:rPr>
        <w:t>the</w:t>
      </w:r>
      <w:r>
        <w:rPr>
          <w:spacing w:val="-2"/>
          <w:sz w:val="16"/>
          <w:vertAlign w:val="baseline"/>
        </w:rPr>
        <w:t> </w:t>
      </w:r>
      <w:r>
        <w:rPr>
          <w:sz w:val="16"/>
          <w:vertAlign w:val="baseline"/>
        </w:rPr>
        <w:t>third</w:t>
      </w:r>
      <w:r>
        <w:rPr>
          <w:spacing w:val="-1"/>
          <w:sz w:val="16"/>
          <w:vertAlign w:val="baseline"/>
        </w:rPr>
        <w:t> </w:t>
      </w:r>
      <w:r>
        <w:rPr>
          <w:sz w:val="16"/>
          <w:vertAlign w:val="baseline"/>
        </w:rPr>
        <w:t>quarter</w:t>
      </w:r>
      <w:r>
        <w:rPr>
          <w:spacing w:val="-1"/>
          <w:sz w:val="16"/>
          <w:vertAlign w:val="baseline"/>
        </w:rPr>
        <w:t> </w:t>
      </w:r>
      <w:r>
        <w:rPr>
          <w:sz w:val="16"/>
          <w:vertAlign w:val="baseline"/>
        </w:rPr>
        <w:t>and</w:t>
      </w:r>
      <w:r>
        <w:rPr>
          <w:spacing w:val="-1"/>
          <w:sz w:val="16"/>
          <w:vertAlign w:val="baseline"/>
        </w:rPr>
        <w:t> </w:t>
      </w:r>
      <w:r>
        <w:rPr>
          <w:sz w:val="16"/>
          <w:vertAlign w:val="baseline"/>
        </w:rPr>
        <w:t>first</w:t>
      </w:r>
      <w:r>
        <w:rPr>
          <w:spacing w:val="-1"/>
          <w:sz w:val="16"/>
          <w:vertAlign w:val="baseline"/>
        </w:rPr>
        <w:t> </w:t>
      </w:r>
      <w:r>
        <w:rPr>
          <w:sz w:val="16"/>
          <w:vertAlign w:val="baseline"/>
        </w:rPr>
        <w:t>nine</w:t>
      </w:r>
      <w:r>
        <w:rPr>
          <w:spacing w:val="-1"/>
          <w:sz w:val="16"/>
          <w:vertAlign w:val="baseline"/>
        </w:rPr>
        <w:t> </w:t>
      </w:r>
      <w:r>
        <w:rPr>
          <w:sz w:val="16"/>
          <w:vertAlign w:val="baseline"/>
        </w:rPr>
        <w:t>months</w:t>
      </w:r>
      <w:r>
        <w:rPr>
          <w:spacing w:val="-2"/>
          <w:sz w:val="16"/>
          <w:vertAlign w:val="baseline"/>
        </w:rPr>
        <w:t> </w:t>
      </w:r>
      <w:r>
        <w:rPr>
          <w:sz w:val="16"/>
          <w:vertAlign w:val="baseline"/>
        </w:rPr>
        <w:t>of</w:t>
      </w:r>
      <w:r>
        <w:rPr>
          <w:spacing w:val="-3"/>
          <w:sz w:val="16"/>
          <w:vertAlign w:val="baseline"/>
        </w:rPr>
        <w:t> </w:t>
      </w:r>
      <w:r>
        <w:rPr>
          <w:sz w:val="16"/>
          <w:vertAlign w:val="baseline"/>
        </w:rPr>
        <w:t>2023,</w:t>
      </w:r>
      <w:r>
        <w:rPr>
          <w:spacing w:val="-1"/>
          <w:sz w:val="16"/>
          <w:vertAlign w:val="baseline"/>
        </w:rPr>
        <w:t> </w:t>
      </w:r>
      <w:r>
        <w:rPr>
          <w:sz w:val="16"/>
          <w:vertAlign w:val="baseline"/>
        </w:rPr>
        <w:t>Investor</w:t>
      </w:r>
      <w:r>
        <w:rPr>
          <w:spacing w:val="-1"/>
          <w:sz w:val="16"/>
          <w:vertAlign w:val="baseline"/>
        </w:rPr>
        <w:t> </w:t>
      </w:r>
      <w:r>
        <w:rPr>
          <w:sz w:val="16"/>
          <w:vertAlign w:val="baseline"/>
        </w:rPr>
        <w:t>Services</w:t>
      </w:r>
      <w:r>
        <w:rPr>
          <w:spacing w:val="-2"/>
          <w:sz w:val="16"/>
          <w:vertAlign w:val="baseline"/>
        </w:rPr>
        <w:t> </w:t>
      </w:r>
      <w:r>
        <w:rPr>
          <w:sz w:val="16"/>
          <w:vertAlign w:val="baseline"/>
        </w:rPr>
        <w:t>includes</w:t>
      </w:r>
      <w:r>
        <w:rPr>
          <w:spacing w:val="-2"/>
          <w:sz w:val="16"/>
          <w:vertAlign w:val="baseline"/>
        </w:rPr>
        <w:t> </w:t>
      </w:r>
      <w:r>
        <w:rPr>
          <w:sz w:val="16"/>
          <w:vertAlign w:val="baseline"/>
        </w:rPr>
        <w:t>net</w:t>
      </w:r>
      <w:r>
        <w:rPr>
          <w:spacing w:val="-1"/>
          <w:sz w:val="16"/>
          <w:vertAlign w:val="baseline"/>
        </w:rPr>
        <w:t> </w:t>
      </w:r>
      <w:r>
        <w:rPr>
          <w:sz w:val="16"/>
          <w:vertAlign w:val="baseline"/>
        </w:rPr>
        <w:t>inflows</w:t>
      </w:r>
      <w:r>
        <w:rPr>
          <w:spacing w:val="-2"/>
          <w:sz w:val="16"/>
          <w:vertAlign w:val="baseline"/>
        </w:rPr>
        <w:t> </w:t>
      </w:r>
      <w:r>
        <w:rPr>
          <w:sz w:val="16"/>
          <w:vertAlign w:val="baseline"/>
        </w:rPr>
        <w:t>of</w:t>
      </w:r>
      <w:r>
        <w:rPr>
          <w:spacing w:val="-3"/>
          <w:sz w:val="16"/>
          <w:vertAlign w:val="baseline"/>
        </w:rPr>
        <w:t> </w:t>
      </w:r>
      <w:r>
        <w:rPr>
          <w:sz w:val="16"/>
          <w:vertAlign w:val="baseline"/>
        </w:rPr>
        <w:t>$3.3</w:t>
      </w:r>
      <w:r>
        <w:rPr>
          <w:spacing w:val="-1"/>
          <w:sz w:val="16"/>
          <w:vertAlign w:val="baseline"/>
        </w:rPr>
        <w:t> </w:t>
      </w:r>
      <w:r>
        <w:rPr>
          <w:sz w:val="16"/>
          <w:vertAlign w:val="baseline"/>
        </w:rPr>
        <w:t>billion</w:t>
      </w:r>
      <w:r>
        <w:rPr>
          <w:spacing w:val="-2"/>
          <w:sz w:val="16"/>
          <w:vertAlign w:val="baseline"/>
        </w:rPr>
        <w:t> </w:t>
      </w:r>
      <w:r>
        <w:rPr>
          <w:sz w:val="16"/>
          <w:vertAlign w:val="baseline"/>
        </w:rPr>
        <w:t>and</w:t>
      </w:r>
      <w:r>
        <w:rPr>
          <w:spacing w:val="-2"/>
          <w:sz w:val="16"/>
          <w:vertAlign w:val="baseline"/>
        </w:rPr>
        <w:t> </w:t>
      </w:r>
      <w:r>
        <w:rPr>
          <w:sz w:val="16"/>
          <w:vertAlign w:val="baseline"/>
        </w:rPr>
        <w:t>$30.1</w:t>
      </w:r>
      <w:r>
        <w:rPr>
          <w:spacing w:val="-1"/>
          <w:sz w:val="16"/>
          <w:vertAlign w:val="baseline"/>
        </w:rPr>
        <w:t> </w:t>
      </w:r>
      <w:r>
        <w:rPr>
          <w:sz w:val="16"/>
          <w:vertAlign w:val="baseline"/>
        </w:rPr>
        <w:t>billion,</w:t>
      </w:r>
      <w:r>
        <w:rPr>
          <w:spacing w:val="-1"/>
          <w:sz w:val="16"/>
          <w:vertAlign w:val="baseline"/>
        </w:rPr>
        <w:t> </w:t>
      </w:r>
      <w:r>
        <w:rPr>
          <w:sz w:val="16"/>
          <w:vertAlign w:val="baseline"/>
        </w:rPr>
        <w:t>respectively,</w:t>
      </w:r>
      <w:r>
        <w:rPr>
          <w:spacing w:val="-1"/>
          <w:sz w:val="16"/>
          <w:vertAlign w:val="baseline"/>
        </w:rPr>
        <w:t> </w:t>
      </w:r>
      <w:r>
        <w:rPr>
          <w:sz w:val="16"/>
          <w:vertAlign w:val="baseline"/>
        </w:rPr>
        <w:t>from</w:t>
      </w:r>
      <w:r>
        <w:rPr>
          <w:spacing w:val="-1"/>
          <w:sz w:val="16"/>
          <w:vertAlign w:val="baseline"/>
        </w:rPr>
        <w:t> </w:t>
      </w:r>
      <w:r>
        <w:rPr>
          <w:sz w:val="16"/>
          <w:vertAlign w:val="baseline"/>
        </w:rPr>
        <w:t>off-platform</w:t>
      </w:r>
      <w:r>
        <w:rPr>
          <w:spacing w:val="40"/>
          <w:sz w:val="16"/>
          <w:vertAlign w:val="baseline"/>
        </w:rPr>
        <w:t> </w:t>
      </w:r>
      <w:r>
        <w:rPr>
          <w:sz w:val="16"/>
          <w:vertAlign w:val="baseline"/>
        </w:rPr>
        <w:t>brokered CDs issued by CSB. Also, in the first nine months of 2023, Investor Services includes an inflow of $12.0 billion from a mutual fund clearing</w:t>
      </w:r>
      <w:r>
        <w:rPr>
          <w:spacing w:val="40"/>
          <w:sz w:val="16"/>
          <w:vertAlign w:val="baseline"/>
        </w:rPr>
        <w:t> </w:t>
      </w:r>
      <w:r>
        <w:rPr>
          <w:sz w:val="16"/>
          <w:vertAlign w:val="baseline"/>
        </w:rPr>
        <w:t>services</w:t>
      </w:r>
      <w:r>
        <w:rPr>
          <w:spacing w:val="-3"/>
          <w:sz w:val="16"/>
          <w:vertAlign w:val="baseline"/>
        </w:rPr>
        <w:t> </w:t>
      </w:r>
      <w:r>
        <w:rPr>
          <w:sz w:val="16"/>
          <w:vertAlign w:val="baseline"/>
        </w:rPr>
        <w:t>client.</w:t>
      </w:r>
      <w:r>
        <w:rPr>
          <w:spacing w:val="-2"/>
          <w:sz w:val="16"/>
          <w:vertAlign w:val="baseline"/>
        </w:rPr>
        <w:t> </w:t>
      </w:r>
      <w:r>
        <w:rPr>
          <w:sz w:val="16"/>
          <w:vertAlign w:val="baseline"/>
        </w:rPr>
        <w:t>In</w:t>
      </w:r>
      <w:r>
        <w:rPr>
          <w:spacing w:val="-2"/>
          <w:sz w:val="16"/>
          <w:vertAlign w:val="baseline"/>
        </w:rPr>
        <w:t> </w:t>
      </w:r>
      <w:r>
        <w:rPr>
          <w:sz w:val="16"/>
          <w:vertAlign w:val="baseline"/>
        </w:rPr>
        <w:t>the</w:t>
      </w:r>
      <w:r>
        <w:rPr>
          <w:spacing w:val="-2"/>
          <w:sz w:val="16"/>
          <w:vertAlign w:val="baseline"/>
        </w:rPr>
        <w:t> </w:t>
      </w:r>
      <w:r>
        <w:rPr>
          <w:sz w:val="16"/>
          <w:vertAlign w:val="baseline"/>
        </w:rPr>
        <w:t>first</w:t>
      </w:r>
      <w:r>
        <w:rPr>
          <w:spacing w:val="-2"/>
          <w:sz w:val="16"/>
          <w:vertAlign w:val="baseline"/>
        </w:rPr>
        <w:t> </w:t>
      </w:r>
      <w:r>
        <w:rPr>
          <w:sz w:val="16"/>
          <w:vertAlign w:val="baseline"/>
        </w:rPr>
        <w:t>nine</w:t>
      </w:r>
      <w:r>
        <w:rPr>
          <w:spacing w:val="-2"/>
          <w:sz w:val="16"/>
          <w:vertAlign w:val="baseline"/>
        </w:rPr>
        <w:t> </w:t>
      </w:r>
      <w:r>
        <w:rPr>
          <w:sz w:val="16"/>
          <w:vertAlign w:val="baseline"/>
        </w:rPr>
        <w:t>months</w:t>
      </w:r>
      <w:r>
        <w:rPr>
          <w:spacing w:val="-3"/>
          <w:sz w:val="16"/>
          <w:vertAlign w:val="baseline"/>
        </w:rPr>
        <w:t> </w:t>
      </w:r>
      <w:r>
        <w:rPr>
          <w:sz w:val="16"/>
          <w:vertAlign w:val="baseline"/>
        </w:rPr>
        <w:t>of</w:t>
      </w:r>
      <w:r>
        <w:rPr>
          <w:spacing w:val="-2"/>
          <w:sz w:val="16"/>
          <w:vertAlign w:val="baseline"/>
        </w:rPr>
        <w:t> </w:t>
      </w:r>
      <w:r>
        <w:rPr>
          <w:sz w:val="16"/>
          <w:vertAlign w:val="baseline"/>
        </w:rPr>
        <w:t>2022,</w:t>
      </w:r>
      <w:r>
        <w:rPr>
          <w:spacing w:val="-2"/>
          <w:sz w:val="16"/>
          <w:vertAlign w:val="baseline"/>
        </w:rPr>
        <w:t> </w:t>
      </w:r>
      <w:r>
        <w:rPr>
          <w:sz w:val="16"/>
          <w:vertAlign w:val="baseline"/>
        </w:rPr>
        <w:t>Investor</w:t>
      </w:r>
      <w:r>
        <w:rPr>
          <w:spacing w:val="-2"/>
          <w:sz w:val="16"/>
          <w:vertAlign w:val="baseline"/>
        </w:rPr>
        <w:t> </w:t>
      </w:r>
      <w:r>
        <w:rPr>
          <w:sz w:val="16"/>
          <w:vertAlign w:val="baseline"/>
        </w:rPr>
        <w:t>Services</w:t>
      </w:r>
      <w:r>
        <w:rPr>
          <w:spacing w:val="-3"/>
          <w:sz w:val="16"/>
          <w:vertAlign w:val="baseline"/>
        </w:rPr>
        <w:t> </w:t>
      </w:r>
      <w:r>
        <w:rPr>
          <w:sz w:val="16"/>
          <w:vertAlign w:val="baseline"/>
        </w:rPr>
        <w:t>includes</w:t>
      </w:r>
      <w:r>
        <w:rPr>
          <w:spacing w:val="-3"/>
          <w:sz w:val="16"/>
          <w:vertAlign w:val="baseline"/>
        </w:rPr>
        <w:t> </w:t>
      </w:r>
      <w:r>
        <w:rPr>
          <w:sz w:val="16"/>
          <w:vertAlign w:val="baseline"/>
        </w:rPr>
        <w:t>an</w:t>
      </w:r>
      <w:r>
        <w:rPr>
          <w:spacing w:val="-2"/>
          <w:sz w:val="16"/>
          <w:vertAlign w:val="baseline"/>
        </w:rPr>
        <w:t> </w:t>
      </w:r>
      <w:r>
        <w:rPr>
          <w:sz w:val="16"/>
          <w:vertAlign w:val="baseline"/>
        </w:rPr>
        <w:t>outflow</w:t>
      </w:r>
      <w:r>
        <w:rPr>
          <w:spacing w:val="-3"/>
          <w:sz w:val="16"/>
          <w:vertAlign w:val="baseline"/>
        </w:rPr>
        <w:t> </w:t>
      </w:r>
      <w:r>
        <w:rPr>
          <w:sz w:val="16"/>
          <w:vertAlign w:val="baseline"/>
        </w:rPr>
        <w:t>of</w:t>
      </w:r>
      <w:r>
        <w:rPr>
          <w:spacing w:val="-6"/>
          <w:sz w:val="16"/>
          <w:vertAlign w:val="baseline"/>
        </w:rPr>
        <w:t> </w:t>
      </w:r>
      <w:r>
        <w:rPr>
          <w:sz w:val="16"/>
          <w:vertAlign w:val="baseline"/>
        </w:rPr>
        <w:t>$20.8</w:t>
      </w:r>
      <w:r>
        <w:rPr>
          <w:spacing w:val="-2"/>
          <w:sz w:val="16"/>
          <w:vertAlign w:val="baseline"/>
        </w:rPr>
        <w:t> </w:t>
      </w:r>
      <w:r>
        <w:rPr>
          <w:sz w:val="16"/>
          <w:vertAlign w:val="baseline"/>
        </w:rPr>
        <w:t>billion</w:t>
      </w:r>
      <w:r>
        <w:rPr>
          <w:spacing w:val="-3"/>
          <w:sz w:val="16"/>
          <w:vertAlign w:val="baseline"/>
        </w:rPr>
        <w:t> </w:t>
      </w:r>
      <w:r>
        <w:rPr>
          <w:sz w:val="16"/>
          <w:vertAlign w:val="baseline"/>
        </w:rPr>
        <w:t>from</w:t>
      </w:r>
      <w:r>
        <w:rPr>
          <w:spacing w:val="-2"/>
          <w:sz w:val="16"/>
          <w:vertAlign w:val="baseline"/>
        </w:rPr>
        <w:t> </w:t>
      </w:r>
      <w:r>
        <w:rPr>
          <w:sz w:val="16"/>
          <w:vertAlign w:val="baseline"/>
        </w:rPr>
        <w:t>a</w:t>
      </w:r>
      <w:r>
        <w:rPr>
          <w:spacing w:val="-2"/>
          <w:sz w:val="16"/>
          <w:vertAlign w:val="baseline"/>
        </w:rPr>
        <w:t> </w:t>
      </w:r>
      <w:r>
        <w:rPr>
          <w:sz w:val="16"/>
          <w:vertAlign w:val="baseline"/>
        </w:rPr>
        <w:t>mutual</w:t>
      </w:r>
      <w:r>
        <w:rPr>
          <w:spacing w:val="-2"/>
          <w:sz w:val="16"/>
          <w:vertAlign w:val="baseline"/>
        </w:rPr>
        <w:t> </w:t>
      </w:r>
      <w:r>
        <w:rPr>
          <w:sz w:val="16"/>
          <w:vertAlign w:val="baseline"/>
        </w:rPr>
        <w:t>fund</w:t>
      </w:r>
      <w:r>
        <w:rPr>
          <w:spacing w:val="-2"/>
          <w:sz w:val="16"/>
          <w:vertAlign w:val="baseline"/>
        </w:rPr>
        <w:t> </w:t>
      </w:r>
      <w:r>
        <w:rPr>
          <w:sz w:val="16"/>
          <w:vertAlign w:val="baseline"/>
        </w:rPr>
        <w:t>clearing</w:t>
      </w:r>
      <w:r>
        <w:rPr>
          <w:spacing w:val="-2"/>
          <w:sz w:val="16"/>
          <w:vertAlign w:val="baseline"/>
        </w:rPr>
        <w:t> </w:t>
      </w:r>
      <w:r>
        <w:rPr>
          <w:sz w:val="16"/>
          <w:vertAlign w:val="baseline"/>
        </w:rPr>
        <w:t>services</w:t>
      </w:r>
      <w:r>
        <w:rPr>
          <w:spacing w:val="-3"/>
          <w:sz w:val="16"/>
          <w:vertAlign w:val="baseline"/>
        </w:rPr>
        <w:t> </w:t>
      </w:r>
      <w:r>
        <w:rPr>
          <w:sz w:val="16"/>
          <w:vertAlign w:val="baseline"/>
        </w:rPr>
        <w:t>client.</w:t>
      </w:r>
      <w:r>
        <w:rPr>
          <w:spacing w:val="-2"/>
          <w:sz w:val="16"/>
          <w:vertAlign w:val="baseline"/>
        </w:rPr>
        <w:t> </w:t>
      </w:r>
      <w:r>
        <w:rPr>
          <w:sz w:val="16"/>
          <w:vertAlign w:val="baseline"/>
        </w:rPr>
        <w:t>In</w:t>
      </w:r>
      <w:r>
        <w:rPr>
          <w:spacing w:val="-2"/>
          <w:sz w:val="16"/>
          <w:vertAlign w:val="baseline"/>
        </w:rPr>
        <w:t> </w:t>
      </w:r>
      <w:r>
        <w:rPr>
          <w:sz w:val="16"/>
          <w:vertAlign w:val="baseline"/>
        </w:rPr>
        <w:t>the</w:t>
      </w:r>
      <w:r>
        <w:rPr>
          <w:spacing w:val="40"/>
          <w:sz w:val="16"/>
          <w:vertAlign w:val="baseline"/>
        </w:rPr>
        <w:t> </w:t>
      </w:r>
      <w:r>
        <w:rPr>
          <w:sz w:val="16"/>
          <w:vertAlign w:val="baseline"/>
        </w:rPr>
        <w:t>third quarter and first nine months of 2023, Advisor Services includes an outflow of $0.8 billion from an international relationship.</w:t>
      </w:r>
    </w:p>
    <w:p>
      <w:pPr>
        <w:pStyle w:val="BodyText"/>
        <w:spacing w:before="61"/>
        <w:rPr>
          <w:sz w:val="16"/>
        </w:rPr>
      </w:pPr>
    </w:p>
    <w:p>
      <w:pPr>
        <w:spacing w:before="0"/>
        <w:ind w:left="470" w:right="0" w:firstLine="0"/>
        <w:jc w:val="left"/>
        <w:rPr>
          <w:i/>
          <w:sz w:val="20"/>
        </w:rPr>
      </w:pPr>
      <w:r>
        <w:rPr>
          <w:i/>
          <w:sz w:val="20"/>
        </w:rPr>
        <w:t>Segment</w:t>
      </w:r>
      <w:r>
        <w:rPr>
          <w:i/>
          <w:spacing w:val="-4"/>
          <w:sz w:val="20"/>
        </w:rPr>
        <w:t> </w:t>
      </w:r>
      <w:r>
        <w:rPr>
          <w:i/>
          <w:sz w:val="20"/>
        </w:rPr>
        <w:t>Net</w:t>
      </w:r>
      <w:r>
        <w:rPr>
          <w:i/>
          <w:spacing w:val="-3"/>
          <w:sz w:val="20"/>
        </w:rPr>
        <w:t> </w:t>
      </w:r>
      <w:r>
        <w:rPr>
          <w:i/>
          <w:spacing w:val="-2"/>
          <w:sz w:val="20"/>
        </w:rPr>
        <w:t>Revenues</w:t>
      </w:r>
    </w:p>
    <w:p>
      <w:pPr>
        <w:pStyle w:val="BodyText"/>
        <w:spacing w:before="20"/>
        <w:rPr>
          <w:i/>
        </w:rPr>
      </w:pPr>
    </w:p>
    <w:p>
      <w:pPr>
        <w:pStyle w:val="BodyText"/>
        <w:spacing w:line="249" w:lineRule="auto"/>
        <w:ind w:left="470" w:right="566"/>
      </w:pPr>
      <w:r>
        <w:rPr/>
        <w:t>Investor Services</w:t>
      </w:r>
      <w:r>
        <w:rPr>
          <w:spacing w:val="-1"/>
        </w:rPr>
        <w:t> </w:t>
      </w:r>
      <w:r>
        <w:rPr/>
        <w:t>total</w:t>
      </w:r>
      <w:r>
        <w:rPr>
          <w:spacing w:val="-1"/>
        </w:rPr>
        <w:t> </w:t>
      </w:r>
      <w:r>
        <w:rPr/>
        <w:t>net</w:t>
      </w:r>
      <w:r>
        <w:rPr>
          <w:spacing w:val="-1"/>
        </w:rPr>
        <w:t> </w:t>
      </w:r>
      <w:r>
        <w:rPr/>
        <w:t>revenues</w:t>
      </w:r>
      <w:r>
        <w:rPr>
          <w:spacing w:val="-1"/>
        </w:rPr>
        <w:t> </w:t>
      </w:r>
      <w:r>
        <w:rPr/>
        <w:t>decreased by 13% and 4% in the</w:t>
      </w:r>
      <w:r>
        <w:rPr>
          <w:spacing w:val="-1"/>
        </w:rPr>
        <w:t> </w:t>
      </w:r>
      <w:r>
        <w:rPr/>
        <w:t>third quarter and first</w:t>
      </w:r>
      <w:r>
        <w:rPr>
          <w:spacing w:val="-1"/>
        </w:rPr>
        <w:t> </w:t>
      </w:r>
      <w:r>
        <w:rPr/>
        <w:t>nine</w:t>
      </w:r>
      <w:r>
        <w:rPr>
          <w:spacing w:val="-1"/>
        </w:rPr>
        <w:t> </w:t>
      </w:r>
      <w:r>
        <w:rPr/>
        <w:t>months</w:t>
      </w:r>
      <w:r>
        <w:rPr>
          <w:spacing w:val="-1"/>
        </w:rPr>
        <w:t> </w:t>
      </w:r>
      <w:r>
        <w:rPr/>
        <w:t>of 2023, respectively, compared to the same periods in 2022, while Advisor Services total net revenues decreased by 25% and 11% in the third quarter and first nine months of 2023, respectively, compared to the same periods in 2022. Net interest revenue decreased for both</w:t>
      </w:r>
      <w:r>
        <w:rPr>
          <w:spacing w:val="-2"/>
        </w:rPr>
        <w:t> </w:t>
      </w:r>
      <w:r>
        <w:rPr/>
        <w:t>segments</w:t>
      </w:r>
      <w:r>
        <w:rPr>
          <w:spacing w:val="-3"/>
        </w:rPr>
        <w:t> </w:t>
      </w:r>
      <w:r>
        <w:rPr/>
        <w:t>in</w:t>
      </w:r>
      <w:r>
        <w:rPr>
          <w:spacing w:val="-2"/>
        </w:rPr>
        <w:t> </w:t>
      </w:r>
      <w:r>
        <w:rPr/>
        <w:t>the</w:t>
      </w:r>
      <w:r>
        <w:rPr>
          <w:spacing w:val="-3"/>
        </w:rPr>
        <w:t> </w:t>
      </w:r>
      <w:r>
        <w:rPr/>
        <w:t>third</w:t>
      </w:r>
      <w:r>
        <w:rPr>
          <w:spacing w:val="-2"/>
        </w:rPr>
        <w:t> </w:t>
      </w:r>
      <w:r>
        <w:rPr/>
        <w:t>quarter</w:t>
      </w:r>
      <w:r>
        <w:rPr>
          <w:spacing w:val="-2"/>
        </w:rPr>
        <w:t> </w:t>
      </w:r>
      <w:r>
        <w:rPr/>
        <w:t>and</w:t>
      </w:r>
      <w:r>
        <w:rPr>
          <w:spacing w:val="-2"/>
        </w:rPr>
        <w:t> </w:t>
      </w:r>
      <w:r>
        <w:rPr/>
        <w:t>first</w:t>
      </w:r>
      <w:r>
        <w:rPr>
          <w:spacing w:val="-3"/>
        </w:rPr>
        <w:t> </w:t>
      </w:r>
      <w:r>
        <w:rPr/>
        <w:t>nine</w:t>
      </w:r>
      <w:r>
        <w:rPr>
          <w:spacing w:val="-3"/>
        </w:rPr>
        <w:t> </w:t>
      </w:r>
      <w:r>
        <w:rPr/>
        <w:t>months</w:t>
      </w:r>
      <w:r>
        <w:rPr>
          <w:spacing w:val="-3"/>
        </w:rPr>
        <w:t> </w:t>
      </w:r>
      <w:r>
        <w:rPr/>
        <w:t>of</w:t>
      </w:r>
      <w:r>
        <w:rPr>
          <w:spacing w:val="-2"/>
        </w:rPr>
        <w:t> </w:t>
      </w:r>
      <w:r>
        <w:rPr/>
        <w:t>2023</w:t>
      </w:r>
      <w:r>
        <w:rPr>
          <w:spacing w:val="-2"/>
        </w:rPr>
        <w:t> </w:t>
      </w:r>
      <w:r>
        <w:rPr/>
        <w:t>due</w:t>
      </w:r>
      <w:r>
        <w:rPr>
          <w:spacing w:val="-3"/>
        </w:rPr>
        <w:t> </w:t>
      </w:r>
      <w:r>
        <w:rPr/>
        <w:t>to</w:t>
      </w:r>
      <w:r>
        <w:rPr>
          <w:spacing w:val="-2"/>
        </w:rPr>
        <w:t> </w:t>
      </w:r>
      <w:r>
        <w:rPr/>
        <w:t>higher</w:t>
      </w:r>
      <w:r>
        <w:rPr>
          <w:spacing w:val="-2"/>
        </w:rPr>
        <w:t> </w:t>
      </w:r>
      <w:r>
        <w:rPr/>
        <w:t>cost</w:t>
      </w:r>
      <w:r>
        <w:rPr>
          <w:spacing w:val="-3"/>
        </w:rPr>
        <w:t> </w:t>
      </w:r>
      <w:r>
        <w:rPr/>
        <w:t>funding</w:t>
      </w:r>
      <w:r>
        <w:rPr>
          <w:spacing w:val="-2"/>
        </w:rPr>
        <w:t> </w:t>
      </w:r>
      <w:r>
        <w:rPr/>
        <w:t>sources</w:t>
      </w:r>
      <w:r>
        <w:rPr>
          <w:spacing w:val="-3"/>
        </w:rPr>
        <w:t> </w:t>
      </w:r>
      <w:r>
        <w:rPr/>
        <w:t>and</w:t>
      </w:r>
      <w:r>
        <w:rPr>
          <w:spacing w:val="-2"/>
        </w:rPr>
        <w:t> </w:t>
      </w:r>
      <w:r>
        <w:rPr/>
        <w:t>lower</w:t>
      </w:r>
      <w:r>
        <w:rPr>
          <w:spacing w:val="-2"/>
        </w:rPr>
        <w:t> </w:t>
      </w:r>
      <w:r>
        <w:rPr/>
        <w:t>average</w:t>
      </w:r>
      <w:r>
        <w:rPr>
          <w:spacing w:val="-3"/>
        </w:rPr>
        <w:t> </w:t>
      </w:r>
      <w:r>
        <w:rPr/>
        <w:t>interest-</w:t>
      </w:r>
    </w:p>
    <w:p>
      <w:pPr>
        <w:spacing w:after="0" w:line="249" w:lineRule="auto"/>
        <w:sectPr>
          <w:pgSz w:w="12240" w:h="15840"/>
          <w:pgMar w:header="512" w:footer="201" w:top="1180" w:bottom="400" w:left="520" w:right="520"/>
        </w:sectPr>
      </w:pPr>
    </w:p>
    <w:p>
      <w:pPr>
        <w:pStyle w:val="BodyText"/>
        <w:spacing w:line="249" w:lineRule="auto" w:before="211"/>
        <w:ind w:left="470" w:right="500"/>
      </w:pPr>
      <w:r>
        <w:rPr/>
        <w:t>earning asset balances, as described above. Both segments saw a decrease in bank deposit account fees in the third quarter and first nine months of 2023 due to lower average BDA balances and higher yields paid to clients, as well as, for the first nine months of 2023, breakage fees incurred as a result of ending certain third-party bank arrangements. Trading revenue decreased in the third quarter and first nine months of 2023 for both segments primarily as a result of changes in client trading mix and lower client trading activity as described above. Other revenue decreased in the third quarter and first nine months of 2023 for both segments primarily due to lower exchange processing fees, net losses on sales of AFS securities, and for the first nine months of 2023, gains on the sale of certain investments in 2022, partially offset by lower provision for credit losses on bank loans. These decreases were partially offset by higher asset management and administration fees in both segments in the third quarter and first nine months of 2023, primarily as a result of higher money market fund balances and, for the nine-month period,</w:t>
      </w:r>
      <w:r>
        <w:rPr>
          <w:spacing w:val="-2"/>
        </w:rPr>
        <w:t> </w:t>
      </w:r>
      <w:r>
        <w:rPr/>
        <w:t>the</w:t>
      </w:r>
      <w:r>
        <w:rPr>
          <w:spacing w:val="-3"/>
        </w:rPr>
        <w:t> </w:t>
      </w:r>
      <w:r>
        <w:rPr/>
        <w:t>elimination</w:t>
      </w:r>
      <w:r>
        <w:rPr>
          <w:spacing w:val="-2"/>
        </w:rPr>
        <w:t> </w:t>
      </w:r>
      <w:r>
        <w:rPr/>
        <w:t>of</w:t>
      </w:r>
      <w:r>
        <w:rPr>
          <w:spacing w:val="-2"/>
        </w:rPr>
        <w:t> </w:t>
      </w:r>
      <w:r>
        <w:rPr/>
        <w:t>money</w:t>
      </w:r>
      <w:r>
        <w:rPr>
          <w:spacing w:val="-3"/>
        </w:rPr>
        <w:t> </w:t>
      </w:r>
      <w:r>
        <w:rPr/>
        <w:t>market</w:t>
      </w:r>
      <w:r>
        <w:rPr>
          <w:spacing w:val="-3"/>
        </w:rPr>
        <w:t> </w:t>
      </w:r>
      <w:r>
        <w:rPr/>
        <w:t>fund</w:t>
      </w:r>
      <w:r>
        <w:rPr>
          <w:spacing w:val="-2"/>
        </w:rPr>
        <w:t> </w:t>
      </w:r>
      <w:r>
        <w:rPr/>
        <w:t>fee</w:t>
      </w:r>
      <w:r>
        <w:rPr>
          <w:spacing w:val="-3"/>
        </w:rPr>
        <w:t> </w:t>
      </w:r>
      <w:r>
        <w:rPr/>
        <w:t>waivers</w:t>
      </w:r>
      <w:r>
        <w:rPr>
          <w:spacing w:val="-3"/>
        </w:rPr>
        <w:t> </w:t>
      </w:r>
      <w:r>
        <w:rPr/>
        <w:t>during</w:t>
      </w:r>
      <w:r>
        <w:rPr>
          <w:spacing w:val="-2"/>
        </w:rPr>
        <w:t> </w:t>
      </w:r>
      <w:r>
        <w:rPr/>
        <w:t>2022</w:t>
      </w:r>
      <w:r>
        <w:rPr>
          <w:spacing w:val="-2"/>
        </w:rPr>
        <w:t> </w:t>
      </w:r>
      <w:r>
        <w:rPr/>
        <w:t>and</w:t>
      </w:r>
      <w:r>
        <w:rPr>
          <w:spacing w:val="-3"/>
        </w:rPr>
        <w:t> </w:t>
      </w:r>
      <w:r>
        <w:rPr/>
        <w:t>growth</w:t>
      </w:r>
      <w:r>
        <w:rPr>
          <w:spacing w:val="-2"/>
        </w:rPr>
        <w:t> </w:t>
      </w:r>
      <w:r>
        <w:rPr/>
        <w:t>in</w:t>
      </w:r>
      <w:r>
        <w:rPr>
          <w:spacing w:val="-2"/>
        </w:rPr>
        <w:t> </w:t>
      </w:r>
      <w:r>
        <w:rPr/>
        <w:t>Schwab</w:t>
      </w:r>
      <w:r>
        <w:rPr>
          <w:spacing w:val="-3"/>
        </w:rPr>
        <w:t> </w:t>
      </w:r>
      <w:r>
        <w:rPr/>
        <w:t>equity</w:t>
      </w:r>
      <w:r>
        <w:rPr>
          <w:spacing w:val="-2"/>
        </w:rPr>
        <w:t> </w:t>
      </w:r>
      <w:r>
        <w:rPr/>
        <w:t>and</w:t>
      </w:r>
      <w:r>
        <w:rPr>
          <w:spacing w:val="-2"/>
        </w:rPr>
        <w:t> </w:t>
      </w:r>
      <w:r>
        <w:rPr/>
        <w:t>bond</w:t>
      </w:r>
      <w:r>
        <w:rPr>
          <w:spacing w:val="-3"/>
        </w:rPr>
        <w:t> </w:t>
      </w:r>
      <w:r>
        <w:rPr/>
        <w:t>funds,</w:t>
      </w:r>
      <w:r>
        <w:rPr>
          <w:spacing w:val="-2"/>
        </w:rPr>
        <w:t> </w:t>
      </w:r>
      <w:r>
        <w:rPr/>
        <w:t>ETFs,</w:t>
      </w:r>
      <w:r>
        <w:rPr>
          <w:spacing w:val="-2"/>
        </w:rPr>
        <w:t> </w:t>
      </w:r>
      <w:r>
        <w:rPr/>
        <w:t>and CTFs, partially offset by lower balances of certain third-party funds.</w:t>
      </w:r>
    </w:p>
    <w:p>
      <w:pPr>
        <w:pStyle w:val="BodyText"/>
        <w:spacing w:before="19"/>
      </w:pPr>
    </w:p>
    <w:p>
      <w:pPr>
        <w:spacing w:before="0"/>
        <w:ind w:left="470" w:right="0" w:firstLine="0"/>
        <w:jc w:val="left"/>
        <w:rPr>
          <w:i/>
          <w:sz w:val="20"/>
        </w:rPr>
      </w:pPr>
      <w:r>
        <w:rPr>
          <w:i/>
          <w:sz w:val="20"/>
        </w:rPr>
        <w:t>Segment</w:t>
      </w:r>
      <w:r>
        <w:rPr>
          <w:i/>
          <w:spacing w:val="-6"/>
          <w:sz w:val="20"/>
        </w:rPr>
        <w:t> </w:t>
      </w:r>
      <w:r>
        <w:rPr>
          <w:i/>
          <w:sz w:val="20"/>
        </w:rPr>
        <w:t>Expenses</w:t>
      </w:r>
      <w:r>
        <w:rPr>
          <w:i/>
          <w:spacing w:val="-5"/>
          <w:sz w:val="20"/>
        </w:rPr>
        <w:t> </w:t>
      </w:r>
      <w:r>
        <w:rPr>
          <w:i/>
          <w:sz w:val="20"/>
        </w:rPr>
        <w:t>Excluding</w:t>
      </w:r>
      <w:r>
        <w:rPr>
          <w:i/>
          <w:spacing w:val="-4"/>
          <w:sz w:val="20"/>
        </w:rPr>
        <w:t> </w:t>
      </w:r>
      <w:r>
        <w:rPr>
          <w:i/>
          <w:spacing w:val="-2"/>
          <w:sz w:val="20"/>
        </w:rPr>
        <w:t>Interest</w:t>
      </w:r>
    </w:p>
    <w:p>
      <w:pPr>
        <w:pStyle w:val="BodyText"/>
        <w:spacing w:before="4"/>
        <w:rPr>
          <w:i/>
        </w:rPr>
      </w:pPr>
    </w:p>
    <w:p>
      <w:pPr>
        <w:pStyle w:val="BodyText"/>
        <w:spacing w:line="249" w:lineRule="auto"/>
        <w:ind w:left="470" w:right="500"/>
      </w:pPr>
      <w:r>
        <w:rPr/>
        <w:t>Investor Services</w:t>
      </w:r>
      <w:r>
        <w:rPr>
          <w:spacing w:val="-1"/>
        </w:rPr>
        <w:t> </w:t>
      </w:r>
      <w:r>
        <w:rPr/>
        <w:t>total</w:t>
      </w:r>
      <w:r>
        <w:rPr>
          <w:spacing w:val="-1"/>
        </w:rPr>
        <w:t> </w:t>
      </w:r>
      <w:r>
        <w:rPr/>
        <w:t>expenses</w:t>
      </w:r>
      <w:r>
        <w:rPr>
          <w:spacing w:val="-1"/>
        </w:rPr>
        <w:t> </w:t>
      </w:r>
      <w:r>
        <w:rPr/>
        <w:t>excluding interest</w:t>
      </w:r>
      <w:r>
        <w:rPr>
          <w:spacing w:val="-1"/>
        </w:rPr>
        <w:t> </w:t>
      </w:r>
      <w:r>
        <w:rPr/>
        <w:t>increased by 11% and 7% in the</w:t>
      </w:r>
      <w:r>
        <w:rPr>
          <w:spacing w:val="-1"/>
        </w:rPr>
        <w:t> </w:t>
      </w:r>
      <w:r>
        <w:rPr/>
        <w:t>third quarter and first</w:t>
      </w:r>
      <w:r>
        <w:rPr>
          <w:spacing w:val="-1"/>
        </w:rPr>
        <w:t> </w:t>
      </w:r>
      <w:r>
        <w:rPr/>
        <w:t>nine</w:t>
      </w:r>
      <w:r>
        <w:rPr>
          <w:spacing w:val="-1"/>
        </w:rPr>
        <w:t> </w:t>
      </w:r>
      <w:r>
        <w:rPr/>
        <w:t>months</w:t>
      </w:r>
      <w:r>
        <w:rPr>
          <w:spacing w:val="-1"/>
        </w:rPr>
        <w:t> </w:t>
      </w:r>
      <w:r>
        <w:rPr/>
        <w:t>of 2023, respectively,</w:t>
      </w:r>
      <w:r>
        <w:rPr>
          <w:spacing w:val="-1"/>
        </w:rPr>
        <w:t> </w:t>
      </w:r>
      <w:r>
        <w:rPr/>
        <w:t>compared</w:t>
      </w:r>
      <w:r>
        <w:rPr>
          <w:spacing w:val="-1"/>
        </w:rPr>
        <w:t> </w:t>
      </w:r>
      <w:r>
        <w:rPr/>
        <w:t>to</w:t>
      </w:r>
      <w:r>
        <w:rPr>
          <w:spacing w:val="-1"/>
        </w:rPr>
        <w:t> </w:t>
      </w:r>
      <w:r>
        <w:rPr/>
        <w:t>the</w:t>
      </w:r>
      <w:r>
        <w:rPr>
          <w:spacing w:val="-2"/>
        </w:rPr>
        <w:t> </w:t>
      </w:r>
      <w:r>
        <w:rPr/>
        <w:t>same</w:t>
      </w:r>
      <w:r>
        <w:rPr>
          <w:spacing w:val="-2"/>
        </w:rPr>
        <w:t> </w:t>
      </w:r>
      <w:r>
        <w:rPr/>
        <w:t>periods</w:t>
      </w:r>
      <w:r>
        <w:rPr>
          <w:spacing w:val="-2"/>
        </w:rPr>
        <w:t> </w:t>
      </w:r>
      <w:r>
        <w:rPr/>
        <w:t>in</w:t>
      </w:r>
      <w:r>
        <w:rPr>
          <w:spacing w:val="-1"/>
        </w:rPr>
        <w:t> </w:t>
      </w:r>
      <w:r>
        <w:rPr/>
        <w:t>2022,</w:t>
      </w:r>
      <w:r>
        <w:rPr>
          <w:spacing w:val="-1"/>
        </w:rPr>
        <w:t> </w:t>
      </w:r>
      <w:r>
        <w:rPr/>
        <w:t>while</w:t>
      </w:r>
      <w:r>
        <w:rPr>
          <w:spacing w:val="-2"/>
        </w:rPr>
        <w:t> </w:t>
      </w:r>
      <w:r>
        <w:rPr/>
        <w:t>Advisor</w:t>
      </w:r>
      <w:r>
        <w:rPr>
          <w:spacing w:val="-1"/>
        </w:rPr>
        <w:t> </w:t>
      </w:r>
      <w:r>
        <w:rPr/>
        <w:t>Services</w:t>
      </w:r>
      <w:r>
        <w:rPr>
          <w:spacing w:val="-2"/>
        </w:rPr>
        <w:t> </w:t>
      </w:r>
      <w:r>
        <w:rPr/>
        <w:t>total</w:t>
      </w:r>
      <w:r>
        <w:rPr>
          <w:spacing w:val="-2"/>
        </w:rPr>
        <w:t> </w:t>
      </w:r>
      <w:r>
        <w:rPr/>
        <w:t>expenses</w:t>
      </w:r>
      <w:r>
        <w:rPr>
          <w:spacing w:val="-2"/>
        </w:rPr>
        <w:t> </w:t>
      </w:r>
      <w:r>
        <w:rPr/>
        <w:t>excluding</w:t>
      </w:r>
      <w:r>
        <w:rPr>
          <w:spacing w:val="-1"/>
        </w:rPr>
        <w:t> </w:t>
      </w:r>
      <w:r>
        <w:rPr/>
        <w:t>interest</w:t>
      </w:r>
      <w:r>
        <w:rPr>
          <w:spacing w:val="-2"/>
        </w:rPr>
        <w:t> </w:t>
      </w:r>
      <w:r>
        <w:rPr/>
        <w:t>increased</w:t>
      </w:r>
      <w:r>
        <w:rPr>
          <w:spacing w:val="-1"/>
        </w:rPr>
        <w:t> </w:t>
      </w:r>
      <w:r>
        <w:rPr/>
        <w:t>by</w:t>
      </w:r>
      <w:r>
        <w:rPr>
          <w:spacing w:val="-1"/>
        </w:rPr>
        <w:t> </w:t>
      </w:r>
      <w:r>
        <w:rPr/>
        <w:t>23% and 14% in the third quarter and first nine months of 2023, respectively, compared to the same periods in 2022. Both segments saw higher compensation and benefits expenses due to restructuring costs recognized in the third quarter of 2023, increases in headcount to support our expanding client base and TDA client account transitions, and annual merit increases, partially offset by</w:t>
      </w:r>
      <w:r>
        <w:rPr>
          <w:spacing w:val="-3"/>
        </w:rPr>
        <w:t> </w:t>
      </w:r>
      <w:r>
        <w:rPr/>
        <w:t>lower</w:t>
      </w:r>
      <w:r>
        <w:rPr>
          <w:spacing w:val="-3"/>
        </w:rPr>
        <w:t> </w:t>
      </w:r>
      <w:r>
        <w:rPr/>
        <w:t>incentive</w:t>
      </w:r>
      <w:r>
        <w:rPr>
          <w:spacing w:val="-4"/>
        </w:rPr>
        <w:t> </w:t>
      </w:r>
      <w:r>
        <w:rPr/>
        <w:t>compensation.</w:t>
      </w:r>
      <w:r>
        <w:rPr>
          <w:spacing w:val="-3"/>
        </w:rPr>
        <w:t> </w:t>
      </w:r>
      <w:r>
        <w:rPr/>
        <w:t>Regulatory</w:t>
      </w:r>
      <w:r>
        <w:rPr>
          <w:spacing w:val="-3"/>
        </w:rPr>
        <w:t> </w:t>
      </w:r>
      <w:r>
        <w:rPr/>
        <w:t>fees</w:t>
      </w:r>
      <w:r>
        <w:rPr>
          <w:spacing w:val="-4"/>
        </w:rPr>
        <w:t> </w:t>
      </w:r>
      <w:r>
        <w:rPr/>
        <w:t>and</w:t>
      </w:r>
      <w:r>
        <w:rPr>
          <w:spacing w:val="-3"/>
        </w:rPr>
        <w:t> </w:t>
      </w:r>
      <w:r>
        <w:rPr/>
        <w:t>assessments</w:t>
      </w:r>
      <w:r>
        <w:rPr>
          <w:spacing w:val="-4"/>
        </w:rPr>
        <w:t> </w:t>
      </w:r>
      <w:r>
        <w:rPr/>
        <w:t>increased</w:t>
      </w:r>
      <w:r>
        <w:rPr>
          <w:spacing w:val="-3"/>
        </w:rPr>
        <w:t> </w:t>
      </w:r>
      <w:r>
        <w:rPr/>
        <w:t>in</w:t>
      </w:r>
      <w:r>
        <w:rPr>
          <w:spacing w:val="-3"/>
        </w:rPr>
        <w:t> </w:t>
      </w:r>
      <w:r>
        <w:rPr/>
        <w:t>both</w:t>
      </w:r>
      <w:r>
        <w:rPr>
          <w:spacing w:val="-3"/>
        </w:rPr>
        <w:t> </w:t>
      </w:r>
      <w:r>
        <w:rPr/>
        <w:t>segments</w:t>
      </w:r>
      <w:r>
        <w:rPr>
          <w:spacing w:val="-4"/>
        </w:rPr>
        <w:t> </w:t>
      </w:r>
      <w:r>
        <w:rPr/>
        <w:t>in</w:t>
      </w:r>
      <w:r>
        <w:rPr>
          <w:spacing w:val="-3"/>
        </w:rPr>
        <w:t> </w:t>
      </w:r>
      <w:r>
        <w:rPr/>
        <w:t>the</w:t>
      </w:r>
      <w:r>
        <w:rPr>
          <w:spacing w:val="-4"/>
        </w:rPr>
        <w:t> </w:t>
      </w:r>
      <w:r>
        <w:rPr/>
        <w:t>third</w:t>
      </w:r>
      <w:r>
        <w:rPr>
          <w:spacing w:val="-3"/>
        </w:rPr>
        <w:t> </w:t>
      </w:r>
      <w:r>
        <w:rPr/>
        <w:t>quarter</w:t>
      </w:r>
      <w:r>
        <w:rPr>
          <w:spacing w:val="-3"/>
        </w:rPr>
        <w:t> </w:t>
      </w:r>
      <w:r>
        <w:rPr/>
        <w:t>and</w:t>
      </w:r>
      <w:r>
        <w:rPr>
          <w:spacing w:val="-3"/>
        </w:rPr>
        <w:t> </w:t>
      </w:r>
      <w:r>
        <w:rPr/>
        <w:t>first</w:t>
      </w:r>
      <w:r>
        <w:rPr>
          <w:spacing w:val="-4"/>
        </w:rPr>
        <w:t> </w:t>
      </w:r>
      <w:r>
        <w:rPr/>
        <w:t>nine months of 2023 compared to the same periods in 2022, primarily due to higher FDIC deposit insurance assessments described above. Depreciation and amortization increased for both segments primarily due to higher amortization of purchased and internally developed software and higher depreciation of hardware, driven by capital expenditures in 2022 and the first nine months of 2023 to enhance our technological infrastructure to support growth of the business. Occupancy and equipment expenses increased in both segments, primarily due to an increase in software maintenance and other agreements as well as other technology equipment costs to support growth of the business and the integration of TD Ameritrade. Both segments saw higher communications expenses due to client communications related to TDA account transitions. In Investor Services, these increases were partially offset by lower amortization of acquired intangible assets as certain assets from the TDA acquisition became fully amortized in 2022.</w:t>
      </w:r>
    </w:p>
    <w:p>
      <w:pPr>
        <w:pStyle w:val="BodyText"/>
        <w:spacing w:before="22"/>
      </w:pPr>
    </w:p>
    <w:p>
      <w:pPr>
        <w:spacing w:before="1"/>
        <w:ind w:left="470" w:right="0" w:firstLine="0"/>
        <w:jc w:val="left"/>
        <w:rPr>
          <w:b/>
          <w:sz w:val="20"/>
        </w:rPr>
      </w:pPr>
      <w:bookmarkStart w:name="Risk Management" w:id="18"/>
      <w:bookmarkEnd w:id="18"/>
      <w:r>
        <w:rPr/>
      </w:r>
      <w:r>
        <w:rPr>
          <w:b/>
          <w:sz w:val="20"/>
          <w:u w:val="single"/>
        </w:rPr>
        <w:t>RISK</w:t>
      </w:r>
      <w:r>
        <w:rPr>
          <w:b/>
          <w:spacing w:val="-4"/>
          <w:sz w:val="20"/>
          <w:u w:val="single"/>
        </w:rPr>
        <w:t> </w:t>
      </w:r>
      <w:r>
        <w:rPr>
          <w:b/>
          <w:spacing w:val="-2"/>
          <w:sz w:val="20"/>
          <w:u w:val="single"/>
        </w:rPr>
        <w:t>MANAGEMENT</w:t>
      </w:r>
    </w:p>
    <w:p>
      <w:pPr>
        <w:pStyle w:val="BodyText"/>
        <w:spacing w:before="19"/>
        <w:rPr>
          <w:b/>
        </w:rPr>
      </w:pPr>
    </w:p>
    <w:p>
      <w:pPr>
        <w:pStyle w:val="BodyText"/>
        <w:spacing w:line="249" w:lineRule="auto" w:before="1"/>
        <w:ind w:left="470" w:right="761"/>
      </w:pPr>
      <w:r>
        <w:rPr/>
        <w:t>Schwab’s business activities expose it to a variety of risks, including operational, compliance, credit, market, and liquidity risks.</w:t>
      </w:r>
      <w:r>
        <w:rPr>
          <w:spacing w:val="-3"/>
        </w:rPr>
        <w:t> </w:t>
      </w:r>
      <w:r>
        <w:rPr/>
        <w:t>The</w:t>
      </w:r>
      <w:r>
        <w:rPr>
          <w:spacing w:val="-4"/>
        </w:rPr>
        <w:t> </w:t>
      </w:r>
      <w:r>
        <w:rPr/>
        <w:t>Company</w:t>
      </w:r>
      <w:r>
        <w:rPr>
          <w:spacing w:val="-3"/>
        </w:rPr>
        <w:t> </w:t>
      </w:r>
      <w:r>
        <w:rPr/>
        <w:t>has</w:t>
      </w:r>
      <w:r>
        <w:rPr>
          <w:spacing w:val="-4"/>
        </w:rPr>
        <w:t> </w:t>
      </w:r>
      <w:r>
        <w:rPr/>
        <w:t>a</w:t>
      </w:r>
      <w:r>
        <w:rPr>
          <w:spacing w:val="-4"/>
        </w:rPr>
        <w:t> </w:t>
      </w:r>
      <w:r>
        <w:rPr/>
        <w:t>comprehensive</w:t>
      </w:r>
      <w:r>
        <w:rPr>
          <w:spacing w:val="-4"/>
        </w:rPr>
        <w:t> </w:t>
      </w:r>
      <w:r>
        <w:rPr/>
        <w:t>risk</w:t>
      </w:r>
      <w:r>
        <w:rPr>
          <w:spacing w:val="-3"/>
        </w:rPr>
        <w:t> </w:t>
      </w:r>
      <w:r>
        <w:rPr/>
        <w:t>management</w:t>
      </w:r>
      <w:r>
        <w:rPr>
          <w:spacing w:val="-4"/>
        </w:rPr>
        <w:t> </w:t>
      </w:r>
      <w:r>
        <w:rPr/>
        <w:t>program</w:t>
      </w:r>
      <w:r>
        <w:rPr>
          <w:spacing w:val="-4"/>
        </w:rPr>
        <w:t> </w:t>
      </w:r>
      <w:r>
        <w:rPr/>
        <w:t>to</w:t>
      </w:r>
      <w:r>
        <w:rPr>
          <w:spacing w:val="-3"/>
        </w:rPr>
        <w:t> </w:t>
      </w:r>
      <w:r>
        <w:rPr/>
        <w:t>identify</w:t>
      </w:r>
      <w:r>
        <w:rPr>
          <w:spacing w:val="-3"/>
        </w:rPr>
        <w:t> </w:t>
      </w:r>
      <w:r>
        <w:rPr/>
        <w:t>and</w:t>
      </w:r>
      <w:r>
        <w:rPr>
          <w:spacing w:val="-3"/>
        </w:rPr>
        <w:t> </w:t>
      </w:r>
      <w:r>
        <w:rPr/>
        <w:t>manage</w:t>
      </w:r>
      <w:r>
        <w:rPr>
          <w:spacing w:val="-4"/>
        </w:rPr>
        <w:t> </w:t>
      </w:r>
      <w:r>
        <w:rPr/>
        <w:t>these</w:t>
      </w:r>
      <w:r>
        <w:rPr>
          <w:spacing w:val="-4"/>
        </w:rPr>
        <w:t> </w:t>
      </w:r>
      <w:r>
        <w:rPr/>
        <w:t>risks</w:t>
      </w:r>
      <w:r>
        <w:rPr>
          <w:spacing w:val="-4"/>
        </w:rPr>
        <w:t> </w:t>
      </w:r>
      <w:r>
        <w:rPr/>
        <w:t>and</w:t>
      </w:r>
      <w:r>
        <w:rPr>
          <w:spacing w:val="-3"/>
        </w:rPr>
        <w:t> </w:t>
      </w:r>
      <w:r>
        <w:rPr/>
        <w:t>their</w:t>
      </w:r>
      <w:r>
        <w:rPr>
          <w:spacing w:val="-3"/>
        </w:rPr>
        <w:t> </w:t>
      </w:r>
      <w:r>
        <w:rPr/>
        <w:t>associated potential for financial and reputational impact.</w:t>
      </w:r>
    </w:p>
    <w:p>
      <w:pPr>
        <w:pStyle w:val="BodyText"/>
        <w:spacing w:before="12"/>
      </w:pPr>
    </w:p>
    <w:p>
      <w:pPr>
        <w:pStyle w:val="BodyText"/>
        <w:spacing w:line="249" w:lineRule="auto"/>
        <w:ind w:left="470"/>
      </w:pPr>
      <w:r>
        <w:rPr/>
        <w:t>For</w:t>
      </w:r>
      <w:r>
        <w:rPr>
          <w:spacing w:val="-2"/>
        </w:rPr>
        <w:t> </w:t>
      </w:r>
      <w:r>
        <w:rPr/>
        <w:t>a</w:t>
      </w:r>
      <w:r>
        <w:rPr>
          <w:spacing w:val="-3"/>
        </w:rPr>
        <w:t> </w:t>
      </w:r>
      <w:r>
        <w:rPr/>
        <w:t>discussion</w:t>
      </w:r>
      <w:r>
        <w:rPr>
          <w:spacing w:val="-2"/>
        </w:rPr>
        <w:t> </w:t>
      </w:r>
      <w:r>
        <w:rPr/>
        <w:t>of</w:t>
      </w:r>
      <w:r>
        <w:rPr>
          <w:spacing w:val="-2"/>
        </w:rPr>
        <w:t> </w:t>
      </w:r>
      <w:r>
        <w:rPr/>
        <w:t>our</w:t>
      </w:r>
      <w:r>
        <w:rPr>
          <w:spacing w:val="-2"/>
        </w:rPr>
        <w:t> </w:t>
      </w:r>
      <w:r>
        <w:rPr/>
        <w:t>risk</w:t>
      </w:r>
      <w:r>
        <w:rPr>
          <w:spacing w:val="-2"/>
        </w:rPr>
        <w:t> </w:t>
      </w:r>
      <w:r>
        <w:rPr/>
        <w:t>management</w:t>
      </w:r>
      <w:r>
        <w:rPr>
          <w:spacing w:val="-3"/>
        </w:rPr>
        <w:t> </w:t>
      </w:r>
      <w:r>
        <w:rPr/>
        <w:t>programs,</w:t>
      </w:r>
      <w:r>
        <w:rPr>
          <w:spacing w:val="-2"/>
        </w:rPr>
        <w:t> </w:t>
      </w:r>
      <w:r>
        <w:rPr/>
        <w:t>see</w:t>
      </w:r>
      <w:r>
        <w:rPr>
          <w:spacing w:val="-3"/>
        </w:rPr>
        <w:t> </w:t>
      </w:r>
      <w:r>
        <w:rPr/>
        <w:t>Part</w:t>
      </w:r>
      <w:r>
        <w:rPr>
          <w:spacing w:val="-3"/>
        </w:rPr>
        <w:t> </w:t>
      </w:r>
      <w:r>
        <w:rPr/>
        <w:t>II</w:t>
      </w:r>
      <w:r>
        <w:rPr>
          <w:spacing w:val="-2"/>
        </w:rPr>
        <w:t> </w:t>
      </w:r>
      <w:r>
        <w:rPr/>
        <w:t>–</w:t>
      </w:r>
      <w:r>
        <w:rPr>
          <w:spacing w:val="-2"/>
        </w:rPr>
        <w:t> </w:t>
      </w:r>
      <w:r>
        <w:rPr/>
        <w:t>Item</w:t>
      </w:r>
      <w:r>
        <w:rPr>
          <w:spacing w:val="-3"/>
        </w:rPr>
        <w:t> </w:t>
      </w:r>
      <w:r>
        <w:rPr/>
        <w:t>7</w:t>
      </w:r>
      <w:r>
        <w:rPr>
          <w:spacing w:val="-2"/>
        </w:rPr>
        <w:t> </w:t>
      </w:r>
      <w:r>
        <w:rPr/>
        <w:t>–</w:t>
      </w:r>
      <w:r>
        <w:rPr>
          <w:spacing w:val="-2"/>
        </w:rPr>
        <w:t> </w:t>
      </w:r>
      <w:r>
        <w:rPr/>
        <w:t>Management’s</w:t>
      </w:r>
      <w:r>
        <w:rPr>
          <w:spacing w:val="-3"/>
        </w:rPr>
        <w:t> </w:t>
      </w:r>
      <w:r>
        <w:rPr/>
        <w:t>Discussion</w:t>
      </w:r>
      <w:r>
        <w:rPr>
          <w:spacing w:val="-2"/>
        </w:rPr>
        <w:t> </w:t>
      </w:r>
      <w:r>
        <w:rPr/>
        <w:t>and</w:t>
      </w:r>
      <w:r>
        <w:rPr>
          <w:spacing w:val="-2"/>
        </w:rPr>
        <w:t> </w:t>
      </w:r>
      <w:r>
        <w:rPr/>
        <w:t>Analysis</w:t>
      </w:r>
      <w:r>
        <w:rPr>
          <w:spacing w:val="-3"/>
        </w:rPr>
        <w:t> </w:t>
      </w:r>
      <w:r>
        <w:rPr/>
        <w:t>of</w:t>
      </w:r>
      <w:r>
        <w:rPr>
          <w:spacing w:val="-2"/>
        </w:rPr>
        <w:t> </w:t>
      </w:r>
      <w:r>
        <w:rPr/>
        <w:t>Financial Condition and Results of Operations – Risk Management in the 2022 Form 10-K.</w:t>
      </w:r>
    </w:p>
    <w:p>
      <w:pPr>
        <w:pStyle w:val="BodyText"/>
        <w:spacing w:before="8"/>
      </w:pPr>
    </w:p>
    <w:p>
      <w:pPr>
        <w:pStyle w:val="Heading2"/>
        <w:spacing w:before="1"/>
      </w:pPr>
      <w:r>
        <w:rPr/>
        <w:t>Market</w:t>
      </w:r>
      <w:r>
        <w:rPr>
          <w:spacing w:val="-6"/>
        </w:rPr>
        <w:t> </w:t>
      </w:r>
      <w:r>
        <w:rPr>
          <w:spacing w:val="-4"/>
        </w:rPr>
        <w:t>Risk</w:t>
      </w:r>
    </w:p>
    <w:p>
      <w:pPr>
        <w:pStyle w:val="BodyText"/>
        <w:spacing w:before="23"/>
        <w:rPr>
          <w:b/>
        </w:rPr>
      </w:pPr>
    </w:p>
    <w:p>
      <w:pPr>
        <w:pStyle w:val="BodyText"/>
        <w:spacing w:line="249" w:lineRule="auto"/>
        <w:ind w:left="470" w:right="500"/>
      </w:pPr>
      <w:r>
        <w:rPr/>
        <w:t>Market risk is the potential for changes in earnings or the value of financial instruments held by Schwab as a result of fluctuations</w:t>
      </w:r>
      <w:r>
        <w:rPr>
          <w:spacing w:val="-4"/>
        </w:rPr>
        <w:t> </w:t>
      </w:r>
      <w:r>
        <w:rPr/>
        <w:t>in</w:t>
      </w:r>
      <w:r>
        <w:rPr>
          <w:spacing w:val="-3"/>
        </w:rPr>
        <w:t> </w:t>
      </w:r>
      <w:r>
        <w:rPr/>
        <w:t>interest</w:t>
      </w:r>
      <w:r>
        <w:rPr>
          <w:spacing w:val="-4"/>
        </w:rPr>
        <w:t> </w:t>
      </w:r>
      <w:r>
        <w:rPr/>
        <w:t>rates,</w:t>
      </w:r>
      <w:r>
        <w:rPr>
          <w:spacing w:val="-3"/>
        </w:rPr>
        <w:t> </w:t>
      </w:r>
      <w:r>
        <w:rPr/>
        <w:t>equity</w:t>
      </w:r>
      <w:r>
        <w:rPr>
          <w:spacing w:val="-3"/>
        </w:rPr>
        <w:t> </w:t>
      </w:r>
      <w:r>
        <w:rPr/>
        <w:t>prices,</w:t>
      </w:r>
      <w:r>
        <w:rPr>
          <w:spacing w:val="-3"/>
        </w:rPr>
        <w:t> </w:t>
      </w:r>
      <w:r>
        <w:rPr/>
        <w:t>or</w:t>
      </w:r>
      <w:r>
        <w:rPr>
          <w:spacing w:val="-3"/>
        </w:rPr>
        <w:t> </w:t>
      </w:r>
      <w:r>
        <w:rPr/>
        <w:t>market</w:t>
      </w:r>
      <w:r>
        <w:rPr>
          <w:spacing w:val="-4"/>
        </w:rPr>
        <w:t> </w:t>
      </w:r>
      <w:r>
        <w:rPr/>
        <w:t>conditions.</w:t>
      </w:r>
      <w:r>
        <w:rPr>
          <w:spacing w:val="-3"/>
        </w:rPr>
        <w:t> </w:t>
      </w:r>
      <w:r>
        <w:rPr/>
        <w:t>Schwab</w:t>
      </w:r>
      <w:r>
        <w:rPr>
          <w:spacing w:val="-3"/>
        </w:rPr>
        <w:t> </w:t>
      </w:r>
      <w:r>
        <w:rPr/>
        <w:t>is</w:t>
      </w:r>
      <w:r>
        <w:rPr>
          <w:spacing w:val="-4"/>
        </w:rPr>
        <w:t> </w:t>
      </w:r>
      <w:r>
        <w:rPr/>
        <w:t>exposed</w:t>
      </w:r>
      <w:r>
        <w:rPr>
          <w:spacing w:val="-3"/>
        </w:rPr>
        <w:t> </w:t>
      </w:r>
      <w:r>
        <w:rPr/>
        <w:t>to</w:t>
      </w:r>
      <w:r>
        <w:rPr>
          <w:spacing w:val="-3"/>
        </w:rPr>
        <w:t> </w:t>
      </w:r>
      <w:r>
        <w:rPr/>
        <w:t>market</w:t>
      </w:r>
      <w:r>
        <w:rPr>
          <w:spacing w:val="-4"/>
        </w:rPr>
        <w:t> </w:t>
      </w:r>
      <w:r>
        <w:rPr/>
        <w:t>risk</w:t>
      </w:r>
      <w:r>
        <w:rPr>
          <w:spacing w:val="-3"/>
        </w:rPr>
        <w:t> </w:t>
      </w:r>
      <w:r>
        <w:rPr/>
        <w:t>primarily</w:t>
      </w:r>
      <w:r>
        <w:rPr>
          <w:spacing w:val="-3"/>
        </w:rPr>
        <w:t> </w:t>
      </w:r>
      <w:r>
        <w:rPr/>
        <w:t>from</w:t>
      </w:r>
      <w:r>
        <w:rPr>
          <w:spacing w:val="-4"/>
        </w:rPr>
        <w:t> </w:t>
      </w:r>
      <w:r>
        <w:rPr/>
        <w:t>changes</w:t>
      </w:r>
      <w:r>
        <w:rPr>
          <w:spacing w:val="-4"/>
        </w:rPr>
        <w:t> </w:t>
      </w:r>
      <w:r>
        <w:rPr/>
        <w:t>in interest rates within our interest-earning assets relative to changes in the costs of funding sources that finance these assets.</w:t>
      </w:r>
    </w:p>
    <w:p>
      <w:pPr>
        <w:pStyle w:val="BodyText"/>
        <w:spacing w:before="12"/>
      </w:pPr>
    </w:p>
    <w:p>
      <w:pPr>
        <w:pStyle w:val="BodyText"/>
        <w:spacing w:line="249" w:lineRule="auto"/>
        <w:ind w:left="470" w:right="500"/>
      </w:pPr>
      <w:r>
        <w:rPr/>
        <w:t>To manage interest rate risk, we have established policies and procedures, which include setting limits on net interest revenue risk</w:t>
      </w:r>
      <w:r>
        <w:rPr>
          <w:spacing w:val="-3"/>
        </w:rPr>
        <w:t> </w:t>
      </w:r>
      <w:r>
        <w:rPr/>
        <w:t>and</w:t>
      </w:r>
      <w:r>
        <w:rPr>
          <w:spacing w:val="-3"/>
        </w:rPr>
        <w:t> </w:t>
      </w:r>
      <w:r>
        <w:rPr/>
        <w:t>economic</w:t>
      </w:r>
      <w:r>
        <w:rPr>
          <w:spacing w:val="-4"/>
        </w:rPr>
        <w:t> </w:t>
      </w:r>
      <w:r>
        <w:rPr/>
        <w:t>value</w:t>
      </w:r>
      <w:r>
        <w:rPr>
          <w:spacing w:val="-4"/>
        </w:rPr>
        <w:t> </w:t>
      </w:r>
      <w:r>
        <w:rPr/>
        <w:t>of</w:t>
      </w:r>
      <w:r>
        <w:rPr>
          <w:spacing w:val="-3"/>
        </w:rPr>
        <w:t> </w:t>
      </w:r>
      <w:r>
        <w:rPr/>
        <w:t>equity</w:t>
      </w:r>
      <w:r>
        <w:rPr>
          <w:spacing w:val="-3"/>
        </w:rPr>
        <w:t> </w:t>
      </w:r>
      <w:r>
        <w:rPr/>
        <w:t>(EVE)</w:t>
      </w:r>
      <w:r>
        <w:rPr>
          <w:spacing w:val="-3"/>
        </w:rPr>
        <w:t> </w:t>
      </w:r>
      <w:r>
        <w:rPr/>
        <w:t>risk.</w:t>
      </w:r>
      <w:r>
        <w:rPr>
          <w:spacing w:val="-3"/>
        </w:rPr>
        <w:t> </w:t>
      </w:r>
      <w:r>
        <w:rPr/>
        <w:t>To</w:t>
      </w:r>
      <w:r>
        <w:rPr>
          <w:spacing w:val="-3"/>
        </w:rPr>
        <w:t> </w:t>
      </w:r>
      <w:r>
        <w:rPr/>
        <w:t>remain</w:t>
      </w:r>
      <w:r>
        <w:rPr>
          <w:spacing w:val="-3"/>
        </w:rPr>
        <w:t> </w:t>
      </w:r>
      <w:r>
        <w:rPr/>
        <w:t>within</w:t>
      </w:r>
      <w:r>
        <w:rPr>
          <w:spacing w:val="-3"/>
        </w:rPr>
        <w:t> </w:t>
      </w:r>
      <w:r>
        <w:rPr/>
        <w:t>these</w:t>
      </w:r>
      <w:r>
        <w:rPr>
          <w:spacing w:val="-4"/>
        </w:rPr>
        <w:t> </w:t>
      </w:r>
      <w:r>
        <w:rPr/>
        <w:t>limits,</w:t>
      </w:r>
      <w:r>
        <w:rPr>
          <w:spacing w:val="-3"/>
        </w:rPr>
        <w:t> </w:t>
      </w:r>
      <w:r>
        <w:rPr/>
        <w:t>we</w:t>
      </w:r>
      <w:r>
        <w:rPr>
          <w:spacing w:val="-4"/>
        </w:rPr>
        <w:t> </w:t>
      </w:r>
      <w:r>
        <w:rPr/>
        <w:t>manage</w:t>
      </w:r>
      <w:r>
        <w:rPr>
          <w:spacing w:val="-4"/>
        </w:rPr>
        <w:t> </w:t>
      </w:r>
      <w:r>
        <w:rPr/>
        <w:t>the</w:t>
      </w:r>
      <w:r>
        <w:rPr>
          <w:spacing w:val="-4"/>
        </w:rPr>
        <w:t> </w:t>
      </w:r>
      <w:r>
        <w:rPr/>
        <w:t>maturity,</w:t>
      </w:r>
      <w:r>
        <w:rPr>
          <w:spacing w:val="-3"/>
        </w:rPr>
        <w:t> </w:t>
      </w:r>
      <w:r>
        <w:rPr/>
        <w:t>repricing,</w:t>
      </w:r>
      <w:r>
        <w:rPr>
          <w:spacing w:val="-3"/>
        </w:rPr>
        <w:t> </w:t>
      </w:r>
      <w:r>
        <w:rPr/>
        <w:t>and</w:t>
      </w:r>
      <w:r>
        <w:rPr>
          <w:spacing w:val="-3"/>
        </w:rPr>
        <w:t> </w:t>
      </w:r>
      <w:r>
        <w:rPr/>
        <w:t>cash</w:t>
      </w:r>
      <w:r>
        <w:rPr>
          <w:spacing w:val="-3"/>
        </w:rPr>
        <w:t> </w:t>
      </w:r>
      <w:r>
        <w:rPr/>
        <w:t>flow characteristics of the investment portfolios. Management monitors established guidelines to stay within the Company’s risk appetite. In 2023, the Company began to utilize interest rate swap derivative instruments to assist with managing interest rate risk, the effects of which are incorporated into the Company’s net interest revenue and EVE analyses. For further information on our interest rate risk management strategies utilizing interest rate swaps, see Item 1 – Note 11.</w:t>
      </w:r>
    </w:p>
    <w:p>
      <w:pPr>
        <w:pStyle w:val="BodyText"/>
        <w:spacing w:before="15"/>
      </w:pPr>
    </w:p>
    <w:p>
      <w:pPr>
        <w:spacing w:before="0"/>
        <w:ind w:left="470" w:right="0" w:firstLine="0"/>
        <w:jc w:val="left"/>
        <w:rPr>
          <w:i/>
          <w:sz w:val="20"/>
        </w:rPr>
      </w:pPr>
      <w:r>
        <w:rPr>
          <w:i/>
          <w:sz w:val="20"/>
        </w:rPr>
        <w:t>Net</w:t>
      </w:r>
      <w:r>
        <w:rPr>
          <w:i/>
          <w:spacing w:val="-5"/>
          <w:sz w:val="20"/>
        </w:rPr>
        <w:t> </w:t>
      </w:r>
      <w:r>
        <w:rPr>
          <w:i/>
          <w:sz w:val="20"/>
        </w:rPr>
        <w:t>Interest</w:t>
      </w:r>
      <w:r>
        <w:rPr>
          <w:i/>
          <w:spacing w:val="-5"/>
          <w:sz w:val="20"/>
        </w:rPr>
        <w:t> </w:t>
      </w:r>
      <w:r>
        <w:rPr>
          <w:i/>
          <w:sz w:val="20"/>
        </w:rPr>
        <w:t>Revenue</w:t>
      </w:r>
      <w:r>
        <w:rPr>
          <w:i/>
          <w:spacing w:val="-4"/>
          <w:sz w:val="20"/>
        </w:rPr>
        <w:t> </w:t>
      </w:r>
      <w:r>
        <w:rPr>
          <w:i/>
          <w:spacing w:val="-2"/>
          <w:sz w:val="20"/>
        </w:rPr>
        <w:t>Simulation</w:t>
      </w:r>
    </w:p>
    <w:p>
      <w:pPr>
        <w:pStyle w:val="BodyText"/>
        <w:spacing w:before="20"/>
        <w:rPr>
          <w:i/>
        </w:rPr>
      </w:pPr>
    </w:p>
    <w:p>
      <w:pPr>
        <w:pStyle w:val="BodyText"/>
        <w:spacing w:line="249" w:lineRule="auto"/>
        <w:ind w:left="470" w:right="500"/>
      </w:pPr>
      <w:r>
        <w:rPr/>
        <w:t>For our net interest revenue sensitivity analysis, we use net interest revenue simulation modeling techniques to evaluate and manage the effect of changing interest rates. The simulations include all balance sheet interest rate-sensitive assets and liabilities,</w:t>
      </w:r>
      <w:r>
        <w:rPr>
          <w:spacing w:val="-3"/>
        </w:rPr>
        <w:t> </w:t>
      </w:r>
      <w:r>
        <w:rPr/>
        <w:t>and</w:t>
      </w:r>
      <w:r>
        <w:rPr>
          <w:spacing w:val="-3"/>
        </w:rPr>
        <w:t> </w:t>
      </w:r>
      <w:r>
        <w:rPr/>
        <w:t>include</w:t>
      </w:r>
      <w:r>
        <w:rPr>
          <w:spacing w:val="-4"/>
        </w:rPr>
        <w:t> </w:t>
      </w:r>
      <w:r>
        <w:rPr/>
        <w:t>derivative</w:t>
      </w:r>
      <w:r>
        <w:rPr>
          <w:spacing w:val="-4"/>
        </w:rPr>
        <w:t> </w:t>
      </w:r>
      <w:r>
        <w:rPr/>
        <w:t>instruments.</w:t>
      </w:r>
      <w:r>
        <w:rPr>
          <w:spacing w:val="-3"/>
        </w:rPr>
        <w:t> </w:t>
      </w:r>
      <w:r>
        <w:rPr/>
        <w:t>Key</w:t>
      </w:r>
      <w:r>
        <w:rPr>
          <w:spacing w:val="-3"/>
        </w:rPr>
        <w:t> </w:t>
      </w:r>
      <w:r>
        <w:rPr/>
        <w:t>assumptions</w:t>
      </w:r>
      <w:r>
        <w:rPr>
          <w:spacing w:val="-4"/>
        </w:rPr>
        <w:t> </w:t>
      </w:r>
      <w:r>
        <w:rPr/>
        <w:t>include</w:t>
      </w:r>
      <w:r>
        <w:rPr>
          <w:spacing w:val="-4"/>
        </w:rPr>
        <w:t> </w:t>
      </w:r>
      <w:r>
        <w:rPr/>
        <w:t>the</w:t>
      </w:r>
      <w:r>
        <w:rPr>
          <w:spacing w:val="-4"/>
        </w:rPr>
        <w:t> </w:t>
      </w:r>
      <w:r>
        <w:rPr/>
        <w:t>projection</w:t>
      </w:r>
      <w:r>
        <w:rPr>
          <w:spacing w:val="-3"/>
        </w:rPr>
        <w:t> </w:t>
      </w:r>
      <w:r>
        <w:rPr/>
        <w:t>of</w:t>
      </w:r>
      <w:r>
        <w:rPr>
          <w:spacing w:val="-3"/>
        </w:rPr>
        <w:t> </w:t>
      </w:r>
      <w:r>
        <w:rPr/>
        <w:t>interest</w:t>
      </w:r>
      <w:r>
        <w:rPr>
          <w:spacing w:val="-4"/>
        </w:rPr>
        <w:t> </w:t>
      </w:r>
      <w:r>
        <w:rPr/>
        <w:t>rate</w:t>
      </w:r>
      <w:r>
        <w:rPr>
          <w:spacing w:val="-4"/>
        </w:rPr>
        <w:t> </w:t>
      </w:r>
      <w:r>
        <w:rPr/>
        <w:t>scenarios</w:t>
      </w:r>
      <w:r>
        <w:rPr>
          <w:spacing w:val="-4"/>
        </w:rPr>
        <w:t> </w:t>
      </w:r>
      <w:r>
        <w:rPr/>
        <w:t>with</w:t>
      </w:r>
      <w:r>
        <w:rPr>
          <w:spacing w:val="-3"/>
        </w:rPr>
        <w:t> </w:t>
      </w:r>
      <w:r>
        <w:rPr/>
        <w:t>rate</w:t>
      </w:r>
      <w:r>
        <w:rPr>
          <w:spacing w:val="-4"/>
        </w:rPr>
        <w:t> </w:t>
      </w:r>
      <w:r>
        <w:rPr/>
        <w:t>floors,</w:t>
      </w:r>
    </w:p>
    <w:p>
      <w:pPr>
        <w:spacing w:after="0" w:line="249" w:lineRule="auto"/>
        <w:sectPr>
          <w:pgSz w:w="12240" w:h="15840"/>
          <w:pgMar w:header="512" w:footer="201" w:top="1180" w:bottom="400" w:left="520" w:right="520"/>
        </w:sectPr>
      </w:pPr>
    </w:p>
    <w:p>
      <w:pPr>
        <w:pStyle w:val="BodyText"/>
        <w:spacing w:line="249" w:lineRule="auto" w:before="211"/>
        <w:ind w:left="470" w:right="500"/>
      </w:pPr>
      <w:r>
        <w:rPr/>
        <w:t>rates</w:t>
      </w:r>
      <w:r>
        <w:rPr>
          <w:spacing w:val="-4"/>
        </w:rPr>
        <w:t> </w:t>
      </w:r>
      <w:r>
        <w:rPr/>
        <w:t>and</w:t>
      </w:r>
      <w:r>
        <w:rPr>
          <w:spacing w:val="-3"/>
        </w:rPr>
        <w:t> </w:t>
      </w:r>
      <w:r>
        <w:rPr/>
        <w:t>balances</w:t>
      </w:r>
      <w:r>
        <w:rPr>
          <w:spacing w:val="-4"/>
        </w:rPr>
        <w:t> </w:t>
      </w:r>
      <w:r>
        <w:rPr/>
        <w:t>of</w:t>
      </w:r>
      <w:r>
        <w:rPr>
          <w:spacing w:val="-3"/>
        </w:rPr>
        <w:t> </w:t>
      </w:r>
      <w:r>
        <w:rPr/>
        <w:t>non-maturity</w:t>
      </w:r>
      <w:r>
        <w:rPr>
          <w:spacing w:val="-3"/>
        </w:rPr>
        <w:t> </w:t>
      </w:r>
      <w:r>
        <w:rPr/>
        <w:t>client</w:t>
      </w:r>
      <w:r>
        <w:rPr>
          <w:spacing w:val="-4"/>
        </w:rPr>
        <w:t> </w:t>
      </w:r>
      <w:r>
        <w:rPr/>
        <w:t>cash</w:t>
      </w:r>
      <w:r>
        <w:rPr>
          <w:spacing w:val="-3"/>
        </w:rPr>
        <w:t> </w:t>
      </w:r>
      <w:r>
        <w:rPr/>
        <w:t>held</w:t>
      </w:r>
      <w:r>
        <w:rPr>
          <w:spacing w:val="-3"/>
        </w:rPr>
        <w:t> </w:t>
      </w:r>
      <w:r>
        <w:rPr/>
        <w:t>on</w:t>
      </w:r>
      <w:r>
        <w:rPr>
          <w:spacing w:val="-3"/>
        </w:rPr>
        <w:t> </w:t>
      </w:r>
      <w:r>
        <w:rPr/>
        <w:t>the</w:t>
      </w:r>
      <w:r>
        <w:rPr>
          <w:spacing w:val="-4"/>
        </w:rPr>
        <w:t> </w:t>
      </w:r>
      <w:r>
        <w:rPr/>
        <w:t>balance</w:t>
      </w:r>
      <w:r>
        <w:rPr>
          <w:spacing w:val="-4"/>
        </w:rPr>
        <w:t> </w:t>
      </w:r>
      <w:r>
        <w:rPr/>
        <w:t>sheet,</w:t>
      </w:r>
      <w:r>
        <w:rPr>
          <w:spacing w:val="-3"/>
        </w:rPr>
        <w:t> </w:t>
      </w:r>
      <w:r>
        <w:rPr/>
        <w:t>prepayment</w:t>
      </w:r>
      <w:r>
        <w:rPr>
          <w:spacing w:val="-4"/>
        </w:rPr>
        <w:t> </w:t>
      </w:r>
      <w:r>
        <w:rPr/>
        <w:t>speeds</w:t>
      </w:r>
      <w:r>
        <w:rPr>
          <w:spacing w:val="-4"/>
        </w:rPr>
        <w:t> </w:t>
      </w:r>
      <w:r>
        <w:rPr/>
        <w:t>of</w:t>
      </w:r>
      <w:r>
        <w:rPr>
          <w:spacing w:val="-3"/>
        </w:rPr>
        <w:t> </w:t>
      </w:r>
      <w:r>
        <w:rPr/>
        <w:t>mortgage-related</w:t>
      </w:r>
      <w:r>
        <w:rPr>
          <w:spacing w:val="-3"/>
        </w:rPr>
        <w:t> </w:t>
      </w:r>
      <w:r>
        <w:rPr/>
        <w:t>investments, repricing</w:t>
      </w:r>
      <w:r>
        <w:rPr>
          <w:spacing w:val="-2"/>
        </w:rPr>
        <w:t> </w:t>
      </w:r>
      <w:r>
        <w:rPr/>
        <w:t>of</w:t>
      </w:r>
      <w:r>
        <w:rPr>
          <w:spacing w:val="-2"/>
        </w:rPr>
        <w:t> </w:t>
      </w:r>
      <w:r>
        <w:rPr/>
        <w:t>financial</w:t>
      </w:r>
      <w:r>
        <w:rPr>
          <w:spacing w:val="-3"/>
        </w:rPr>
        <w:t> </w:t>
      </w:r>
      <w:r>
        <w:rPr/>
        <w:t>instruments,</w:t>
      </w:r>
      <w:r>
        <w:rPr>
          <w:spacing w:val="-2"/>
        </w:rPr>
        <w:t> </w:t>
      </w:r>
      <w:r>
        <w:rPr/>
        <w:t>and</w:t>
      </w:r>
      <w:r>
        <w:rPr>
          <w:spacing w:val="-2"/>
        </w:rPr>
        <w:t> </w:t>
      </w:r>
      <w:r>
        <w:rPr/>
        <w:t>reinvestment</w:t>
      </w:r>
      <w:r>
        <w:rPr>
          <w:spacing w:val="-3"/>
        </w:rPr>
        <w:t> </w:t>
      </w:r>
      <w:r>
        <w:rPr/>
        <w:t>of</w:t>
      </w:r>
      <w:r>
        <w:rPr>
          <w:spacing w:val="-2"/>
        </w:rPr>
        <w:t> </w:t>
      </w:r>
      <w:r>
        <w:rPr/>
        <w:t>matured</w:t>
      </w:r>
      <w:r>
        <w:rPr>
          <w:spacing w:val="-2"/>
        </w:rPr>
        <w:t> </w:t>
      </w:r>
      <w:r>
        <w:rPr/>
        <w:t>or</w:t>
      </w:r>
      <w:r>
        <w:rPr>
          <w:spacing w:val="-2"/>
        </w:rPr>
        <w:t> </w:t>
      </w:r>
      <w:r>
        <w:rPr/>
        <w:t>paid-down</w:t>
      </w:r>
      <w:r>
        <w:rPr>
          <w:spacing w:val="-2"/>
        </w:rPr>
        <w:t> </w:t>
      </w:r>
      <w:r>
        <w:rPr/>
        <w:t>securities</w:t>
      </w:r>
      <w:r>
        <w:rPr>
          <w:spacing w:val="-3"/>
        </w:rPr>
        <w:t> </w:t>
      </w:r>
      <w:r>
        <w:rPr/>
        <w:t>and</w:t>
      </w:r>
      <w:r>
        <w:rPr>
          <w:spacing w:val="-2"/>
        </w:rPr>
        <w:t> </w:t>
      </w:r>
      <w:r>
        <w:rPr/>
        <w:t>loans.</w:t>
      </w:r>
      <w:r>
        <w:rPr>
          <w:spacing w:val="-2"/>
        </w:rPr>
        <w:t> </w:t>
      </w:r>
      <w:r>
        <w:rPr/>
        <w:t>We</w:t>
      </w:r>
      <w:r>
        <w:rPr>
          <w:spacing w:val="-3"/>
        </w:rPr>
        <w:t> </w:t>
      </w:r>
      <w:r>
        <w:rPr/>
        <w:t>use</w:t>
      </w:r>
      <w:r>
        <w:rPr>
          <w:spacing w:val="-3"/>
        </w:rPr>
        <w:t> </w:t>
      </w:r>
      <w:r>
        <w:rPr/>
        <w:t>independent</w:t>
      </w:r>
      <w:r>
        <w:rPr>
          <w:spacing w:val="-3"/>
        </w:rPr>
        <w:t> </w:t>
      </w:r>
      <w:r>
        <w:rPr/>
        <w:t>third- party models to simulate net interest revenue sensitivity and related analyses. Fixed income analytical vendors provide term structure models, prepayment speed models for mortgage-backed securities and mortgage loans, and cash flow projections based on interest income, contractual maturities, and prepayments.</w:t>
      </w:r>
    </w:p>
    <w:p>
      <w:pPr>
        <w:pStyle w:val="BodyText"/>
        <w:spacing w:before="14"/>
      </w:pPr>
    </w:p>
    <w:p>
      <w:pPr>
        <w:pStyle w:val="BodyText"/>
        <w:spacing w:line="249" w:lineRule="auto"/>
        <w:ind w:left="470" w:right="751"/>
      </w:pPr>
      <w:r>
        <w:rPr/>
        <w:t>Net interest revenue is affected by various factors, such as the distribution and composition of interest-earning assets and interest-bearing liabilities, the spread between yields earned on interest-earning assets and rates paid on interest-bearing liabilities,</w:t>
      </w:r>
      <w:r>
        <w:rPr>
          <w:spacing w:val="-3"/>
        </w:rPr>
        <w:t> </w:t>
      </w:r>
      <w:r>
        <w:rPr/>
        <w:t>which</w:t>
      </w:r>
      <w:r>
        <w:rPr>
          <w:spacing w:val="-3"/>
        </w:rPr>
        <w:t> </w:t>
      </w:r>
      <w:r>
        <w:rPr/>
        <w:t>may</w:t>
      </w:r>
      <w:r>
        <w:rPr>
          <w:spacing w:val="-3"/>
        </w:rPr>
        <w:t> </w:t>
      </w:r>
      <w:r>
        <w:rPr/>
        <w:t>reprice</w:t>
      </w:r>
      <w:r>
        <w:rPr>
          <w:spacing w:val="-4"/>
        </w:rPr>
        <w:t> </w:t>
      </w:r>
      <w:r>
        <w:rPr/>
        <w:t>at</w:t>
      </w:r>
      <w:r>
        <w:rPr>
          <w:spacing w:val="-4"/>
        </w:rPr>
        <w:t> </w:t>
      </w:r>
      <w:r>
        <w:rPr/>
        <w:t>different</w:t>
      </w:r>
      <w:r>
        <w:rPr>
          <w:spacing w:val="-4"/>
        </w:rPr>
        <w:t> </w:t>
      </w:r>
      <w:r>
        <w:rPr/>
        <w:t>times</w:t>
      </w:r>
      <w:r>
        <w:rPr>
          <w:spacing w:val="-4"/>
        </w:rPr>
        <w:t> </w:t>
      </w:r>
      <w:r>
        <w:rPr/>
        <w:t>or</w:t>
      </w:r>
      <w:r>
        <w:rPr>
          <w:spacing w:val="-3"/>
        </w:rPr>
        <w:t> </w:t>
      </w:r>
      <w:r>
        <w:rPr/>
        <w:t>by</w:t>
      </w:r>
      <w:r>
        <w:rPr>
          <w:spacing w:val="-3"/>
        </w:rPr>
        <w:t> </w:t>
      </w:r>
      <w:r>
        <w:rPr/>
        <w:t>different</w:t>
      </w:r>
      <w:r>
        <w:rPr>
          <w:spacing w:val="-4"/>
        </w:rPr>
        <w:t> </w:t>
      </w:r>
      <w:r>
        <w:rPr/>
        <w:t>amounts,</w:t>
      </w:r>
      <w:r>
        <w:rPr>
          <w:spacing w:val="-3"/>
        </w:rPr>
        <w:t> </w:t>
      </w:r>
      <w:r>
        <w:rPr/>
        <w:t>and</w:t>
      </w:r>
      <w:r>
        <w:rPr>
          <w:spacing w:val="-3"/>
        </w:rPr>
        <w:t> </w:t>
      </w:r>
      <w:r>
        <w:rPr/>
        <w:t>the</w:t>
      </w:r>
      <w:r>
        <w:rPr>
          <w:spacing w:val="-4"/>
        </w:rPr>
        <w:t> </w:t>
      </w:r>
      <w:r>
        <w:rPr/>
        <w:t>spread</w:t>
      </w:r>
      <w:r>
        <w:rPr>
          <w:spacing w:val="-3"/>
        </w:rPr>
        <w:t> </w:t>
      </w:r>
      <w:r>
        <w:rPr/>
        <w:t>between</w:t>
      </w:r>
      <w:r>
        <w:rPr>
          <w:spacing w:val="-3"/>
        </w:rPr>
        <w:t> </w:t>
      </w:r>
      <w:r>
        <w:rPr/>
        <w:t>short-</w:t>
      </w:r>
      <w:r>
        <w:rPr>
          <w:spacing w:val="-3"/>
        </w:rPr>
        <w:t> </w:t>
      </w:r>
      <w:r>
        <w:rPr/>
        <w:t>and</w:t>
      </w:r>
      <w:r>
        <w:rPr>
          <w:spacing w:val="-3"/>
        </w:rPr>
        <w:t> </w:t>
      </w:r>
      <w:r>
        <w:rPr/>
        <w:t>long-term</w:t>
      </w:r>
      <w:r>
        <w:rPr>
          <w:spacing w:val="-4"/>
        </w:rPr>
        <w:t> </w:t>
      </w:r>
      <w:r>
        <w:rPr/>
        <w:t>interest rates. Interest-earning assets include investment securities, margin loans, bank loans, and cash and cash equivalents. These assets are sensitive to changes in interest rates and changes in prepayment levels that tend to increase in a declining rate environment and decrease in a rising rate environment. Because we establish the rates paid on certain brokerage client cash balances and bank deposits and the rates charged on certain margin and bank loans, and control the composition of our investment securities, we have some ability to manage our net interest spread, depending on competitive factors and market conditions. When we have liquidity needs that exceed our primary sources of funding, the Company has needed to utilize higher cost funding sources, which can reduce net interest margin and net interest revenue.</w:t>
      </w:r>
    </w:p>
    <w:p>
      <w:pPr>
        <w:pStyle w:val="BodyText"/>
        <w:spacing w:before="18"/>
      </w:pPr>
    </w:p>
    <w:p>
      <w:pPr>
        <w:pStyle w:val="BodyText"/>
        <w:spacing w:line="249" w:lineRule="auto" w:before="1"/>
        <w:ind w:left="470" w:right="518"/>
      </w:pPr>
      <w:r>
        <w:rPr/>
        <w:t>Net</w:t>
      </w:r>
      <w:r>
        <w:rPr>
          <w:spacing w:val="-2"/>
        </w:rPr>
        <w:t> </w:t>
      </w:r>
      <w:r>
        <w:rPr/>
        <w:t>interest</w:t>
      </w:r>
      <w:r>
        <w:rPr>
          <w:spacing w:val="-2"/>
        </w:rPr>
        <w:t> </w:t>
      </w:r>
      <w:r>
        <w:rPr/>
        <w:t>revenue</w:t>
      </w:r>
      <w:r>
        <w:rPr>
          <w:spacing w:val="-2"/>
        </w:rPr>
        <w:t> </w:t>
      </w:r>
      <w:r>
        <w:rPr/>
        <w:t>sensitivity</w:t>
      </w:r>
      <w:r>
        <w:rPr>
          <w:spacing w:val="-1"/>
        </w:rPr>
        <w:t> </w:t>
      </w:r>
      <w:r>
        <w:rPr/>
        <w:t>analysis</w:t>
      </w:r>
      <w:r>
        <w:rPr>
          <w:spacing w:val="-2"/>
        </w:rPr>
        <w:t> </w:t>
      </w:r>
      <w:r>
        <w:rPr/>
        <w:t>assumes</w:t>
      </w:r>
      <w:r>
        <w:rPr>
          <w:spacing w:val="-2"/>
        </w:rPr>
        <w:t> </w:t>
      </w:r>
      <w:r>
        <w:rPr/>
        <w:t>the</w:t>
      </w:r>
      <w:r>
        <w:rPr>
          <w:spacing w:val="-2"/>
        </w:rPr>
        <w:t> </w:t>
      </w:r>
      <w:r>
        <w:rPr/>
        <w:t>asset</w:t>
      </w:r>
      <w:r>
        <w:rPr>
          <w:spacing w:val="-2"/>
        </w:rPr>
        <w:t> </w:t>
      </w:r>
      <w:r>
        <w:rPr/>
        <w:t>and</w:t>
      </w:r>
      <w:r>
        <w:rPr>
          <w:spacing w:val="-1"/>
        </w:rPr>
        <w:t> </w:t>
      </w:r>
      <w:r>
        <w:rPr/>
        <w:t>liability</w:t>
      </w:r>
      <w:r>
        <w:rPr>
          <w:spacing w:val="-1"/>
        </w:rPr>
        <w:t> </w:t>
      </w:r>
      <w:r>
        <w:rPr/>
        <w:t>structure</w:t>
      </w:r>
      <w:r>
        <w:rPr>
          <w:spacing w:val="-2"/>
        </w:rPr>
        <w:t> </w:t>
      </w:r>
      <w:r>
        <w:rPr/>
        <w:t>of</w:t>
      </w:r>
      <w:r>
        <w:rPr>
          <w:spacing w:val="-1"/>
        </w:rPr>
        <w:t> </w:t>
      </w:r>
      <w:r>
        <w:rPr/>
        <w:t>the</w:t>
      </w:r>
      <w:r>
        <w:rPr>
          <w:spacing w:val="-2"/>
        </w:rPr>
        <w:t> </w:t>
      </w:r>
      <w:r>
        <w:rPr/>
        <w:t>consolidated</w:t>
      </w:r>
      <w:r>
        <w:rPr>
          <w:spacing w:val="-1"/>
        </w:rPr>
        <w:t> </w:t>
      </w:r>
      <w:r>
        <w:rPr/>
        <w:t>balance</w:t>
      </w:r>
      <w:r>
        <w:rPr>
          <w:spacing w:val="-2"/>
        </w:rPr>
        <w:t> </w:t>
      </w:r>
      <w:r>
        <w:rPr/>
        <w:t>sheet</w:t>
      </w:r>
      <w:r>
        <w:rPr>
          <w:spacing w:val="-2"/>
        </w:rPr>
        <w:t> </w:t>
      </w:r>
      <w:r>
        <w:rPr/>
        <w:t>would</w:t>
      </w:r>
      <w:r>
        <w:rPr>
          <w:spacing w:val="-1"/>
        </w:rPr>
        <w:t> </w:t>
      </w:r>
      <w:r>
        <w:rPr/>
        <w:t>not</w:t>
      </w:r>
      <w:r>
        <w:rPr>
          <w:spacing w:val="-2"/>
        </w:rPr>
        <w:t> </w:t>
      </w:r>
      <w:r>
        <w:rPr/>
        <w:t>be changed as a result of the simulated changes in interest rates. While this approach is useful to isolate the impact of changes in interest</w:t>
      </w:r>
      <w:r>
        <w:rPr>
          <w:spacing w:val="-3"/>
        </w:rPr>
        <w:t> </w:t>
      </w:r>
      <w:r>
        <w:rPr/>
        <w:t>rates</w:t>
      </w:r>
      <w:r>
        <w:rPr>
          <w:spacing w:val="-3"/>
        </w:rPr>
        <w:t> </w:t>
      </w:r>
      <w:r>
        <w:rPr/>
        <w:t>on</w:t>
      </w:r>
      <w:r>
        <w:rPr>
          <w:spacing w:val="-3"/>
        </w:rPr>
        <w:t> </w:t>
      </w:r>
      <w:r>
        <w:rPr/>
        <w:t>a</w:t>
      </w:r>
      <w:r>
        <w:rPr>
          <w:spacing w:val="-3"/>
        </w:rPr>
        <w:t> </w:t>
      </w:r>
      <w:r>
        <w:rPr/>
        <w:t>statically-sized</w:t>
      </w:r>
      <w:r>
        <w:rPr>
          <w:spacing w:val="-3"/>
        </w:rPr>
        <w:t> </w:t>
      </w:r>
      <w:r>
        <w:rPr/>
        <w:t>asset</w:t>
      </w:r>
      <w:r>
        <w:rPr>
          <w:spacing w:val="-3"/>
        </w:rPr>
        <w:t> </w:t>
      </w:r>
      <w:r>
        <w:rPr/>
        <w:t>and</w:t>
      </w:r>
      <w:r>
        <w:rPr>
          <w:spacing w:val="-3"/>
        </w:rPr>
        <w:t> </w:t>
      </w:r>
      <w:r>
        <w:rPr/>
        <w:t>liability</w:t>
      </w:r>
      <w:r>
        <w:rPr>
          <w:spacing w:val="-3"/>
        </w:rPr>
        <w:t> </w:t>
      </w:r>
      <w:r>
        <w:rPr/>
        <w:t>structure,</w:t>
      </w:r>
      <w:r>
        <w:rPr>
          <w:spacing w:val="-3"/>
        </w:rPr>
        <w:t> </w:t>
      </w:r>
      <w:r>
        <w:rPr/>
        <w:t>it</w:t>
      </w:r>
      <w:r>
        <w:rPr>
          <w:spacing w:val="-3"/>
        </w:rPr>
        <w:t> </w:t>
      </w:r>
      <w:r>
        <w:rPr/>
        <w:t>does</w:t>
      </w:r>
      <w:r>
        <w:rPr>
          <w:spacing w:val="-3"/>
        </w:rPr>
        <w:t> </w:t>
      </w:r>
      <w:r>
        <w:rPr/>
        <w:t>not</w:t>
      </w:r>
      <w:r>
        <w:rPr>
          <w:spacing w:val="-3"/>
        </w:rPr>
        <w:t> </w:t>
      </w:r>
      <w:r>
        <w:rPr/>
        <w:t>capture</w:t>
      </w:r>
      <w:r>
        <w:rPr>
          <w:spacing w:val="-3"/>
        </w:rPr>
        <w:t> </w:t>
      </w:r>
      <w:r>
        <w:rPr/>
        <w:t>changes</w:t>
      </w:r>
      <w:r>
        <w:rPr>
          <w:spacing w:val="-3"/>
        </w:rPr>
        <w:t> </w:t>
      </w:r>
      <w:r>
        <w:rPr/>
        <w:t>to</w:t>
      </w:r>
      <w:r>
        <w:rPr>
          <w:spacing w:val="-3"/>
        </w:rPr>
        <w:t> </w:t>
      </w:r>
      <w:r>
        <w:rPr/>
        <w:t>client</w:t>
      </w:r>
      <w:r>
        <w:rPr>
          <w:spacing w:val="-3"/>
        </w:rPr>
        <w:t> </w:t>
      </w:r>
      <w:r>
        <w:rPr/>
        <w:t>cash</w:t>
      </w:r>
      <w:r>
        <w:rPr>
          <w:spacing w:val="-3"/>
        </w:rPr>
        <w:t> </w:t>
      </w:r>
      <w:r>
        <w:rPr/>
        <w:t>allocations.</w:t>
      </w:r>
      <w:r>
        <w:rPr>
          <w:spacing w:val="-3"/>
        </w:rPr>
        <w:t> </w:t>
      </w:r>
      <w:r>
        <w:rPr/>
        <w:t>We</w:t>
      </w:r>
      <w:r>
        <w:rPr>
          <w:spacing w:val="-3"/>
        </w:rPr>
        <w:t> </w:t>
      </w:r>
      <w:r>
        <w:rPr/>
        <w:t>conduct simulations on EVE to capture the impact of client cash allocation changes on our balance sheet. As we actively manage the consolidated balance sheet and interest rate exposure, we have taken and would typically seek to take steps to manage additional interest rate exposure that could result from changes in the interest rate environment.</w:t>
      </w:r>
    </w:p>
    <w:p>
      <w:pPr>
        <w:pStyle w:val="BodyText"/>
        <w:spacing w:before="14"/>
      </w:pPr>
    </w:p>
    <w:p>
      <w:pPr>
        <w:pStyle w:val="BodyText"/>
        <w:spacing w:line="249" w:lineRule="auto"/>
        <w:ind w:left="470" w:right="548"/>
      </w:pPr>
      <w:r>
        <w:rPr/>
        <w:t>Higher short-term interest rates would generally positively impact net interest margin as yields on interest-earning assets are expected</w:t>
      </w:r>
      <w:r>
        <w:rPr>
          <w:spacing w:val="-2"/>
        </w:rPr>
        <w:t> </w:t>
      </w:r>
      <w:r>
        <w:rPr/>
        <w:t>to</w:t>
      </w:r>
      <w:r>
        <w:rPr>
          <w:spacing w:val="-2"/>
        </w:rPr>
        <w:t> </w:t>
      </w:r>
      <w:r>
        <w:rPr/>
        <w:t>rise</w:t>
      </w:r>
      <w:r>
        <w:rPr>
          <w:spacing w:val="-3"/>
        </w:rPr>
        <w:t> </w:t>
      </w:r>
      <w:r>
        <w:rPr/>
        <w:t>faster</w:t>
      </w:r>
      <w:r>
        <w:rPr>
          <w:spacing w:val="-2"/>
        </w:rPr>
        <w:t> </w:t>
      </w:r>
      <w:r>
        <w:rPr/>
        <w:t>than</w:t>
      </w:r>
      <w:r>
        <w:rPr>
          <w:spacing w:val="-2"/>
        </w:rPr>
        <w:t> </w:t>
      </w:r>
      <w:r>
        <w:rPr/>
        <w:t>the</w:t>
      </w:r>
      <w:r>
        <w:rPr>
          <w:spacing w:val="-3"/>
        </w:rPr>
        <w:t> </w:t>
      </w:r>
      <w:r>
        <w:rPr/>
        <w:t>cost</w:t>
      </w:r>
      <w:r>
        <w:rPr>
          <w:spacing w:val="-3"/>
        </w:rPr>
        <w:t> </w:t>
      </w:r>
      <w:r>
        <w:rPr/>
        <w:t>of</w:t>
      </w:r>
      <w:r>
        <w:rPr>
          <w:spacing w:val="-2"/>
        </w:rPr>
        <w:t> </w:t>
      </w:r>
      <w:r>
        <w:rPr/>
        <w:t>funding</w:t>
      </w:r>
      <w:r>
        <w:rPr>
          <w:spacing w:val="-2"/>
        </w:rPr>
        <w:t> </w:t>
      </w:r>
      <w:r>
        <w:rPr/>
        <w:t>sources.</w:t>
      </w:r>
      <w:r>
        <w:rPr>
          <w:spacing w:val="-2"/>
        </w:rPr>
        <w:t> </w:t>
      </w:r>
      <w:r>
        <w:rPr/>
        <w:t>If</w:t>
      </w:r>
      <w:r>
        <w:rPr>
          <w:spacing w:val="-2"/>
        </w:rPr>
        <w:t> </w:t>
      </w:r>
      <w:r>
        <w:rPr/>
        <w:t>the</w:t>
      </w:r>
      <w:r>
        <w:rPr>
          <w:spacing w:val="-3"/>
        </w:rPr>
        <w:t> </w:t>
      </w:r>
      <w:r>
        <w:rPr/>
        <w:t>cost</w:t>
      </w:r>
      <w:r>
        <w:rPr>
          <w:spacing w:val="-3"/>
        </w:rPr>
        <w:t> </w:t>
      </w:r>
      <w:r>
        <w:rPr/>
        <w:t>of</w:t>
      </w:r>
      <w:r>
        <w:rPr>
          <w:spacing w:val="-2"/>
        </w:rPr>
        <w:t> </w:t>
      </w:r>
      <w:r>
        <w:rPr/>
        <w:t>funding</w:t>
      </w:r>
      <w:r>
        <w:rPr>
          <w:spacing w:val="-2"/>
        </w:rPr>
        <w:t> </w:t>
      </w:r>
      <w:r>
        <w:rPr/>
        <w:t>sources</w:t>
      </w:r>
      <w:r>
        <w:rPr>
          <w:spacing w:val="-3"/>
        </w:rPr>
        <w:t> </w:t>
      </w:r>
      <w:r>
        <w:rPr/>
        <w:t>is</w:t>
      </w:r>
      <w:r>
        <w:rPr>
          <w:spacing w:val="-3"/>
        </w:rPr>
        <w:t> </w:t>
      </w:r>
      <w:r>
        <w:rPr/>
        <w:t>greater</w:t>
      </w:r>
      <w:r>
        <w:rPr>
          <w:spacing w:val="-2"/>
        </w:rPr>
        <w:t> </w:t>
      </w:r>
      <w:r>
        <w:rPr/>
        <w:t>than</w:t>
      </w:r>
      <w:r>
        <w:rPr>
          <w:spacing w:val="-2"/>
        </w:rPr>
        <w:t> </w:t>
      </w:r>
      <w:r>
        <w:rPr/>
        <w:t>the</w:t>
      </w:r>
      <w:r>
        <w:rPr>
          <w:spacing w:val="-3"/>
        </w:rPr>
        <w:t> </w:t>
      </w:r>
      <w:r>
        <w:rPr/>
        <w:t>increased</w:t>
      </w:r>
      <w:r>
        <w:rPr>
          <w:spacing w:val="-2"/>
        </w:rPr>
        <w:t> </w:t>
      </w:r>
      <w:r>
        <w:rPr/>
        <w:t>revenue</w:t>
      </w:r>
      <w:r>
        <w:rPr>
          <w:spacing w:val="-3"/>
        </w:rPr>
        <w:t> </w:t>
      </w:r>
      <w:r>
        <w:rPr/>
        <w:t>from repricing</w:t>
      </w:r>
      <w:r>
        <w:rPr>
          <w:spacing w:val="-1"/>
        </w:rPr>
        <w:t> </w:t>
      </w:r>
      <w:r>
        <w:rPr/>
        <w:t>assets,</w:t>
      </w:r>
      <w:r>
        <w:rPr>
          <w:spacing w:val="-1"/>
        </w:rPr>
        <w:t> </w:t>
      </w:r>
      <w:r>
        <w:rPr/>
        <w:t>however,</w:t>
      </w:r>
      <w:r>
        <w:rPr>
          <w:spacing w:val="-1"/>
        </w:rPr>
        <w:t> </w:t>
      </w:r>
      <w:r>
        <w:rPr/>
        <w:t>net</w:t>
      </w:r>
      <w:r>
        <w:rPr>
          <w:spacing w:val="-2"/>
        </w:rPr>
        <w:t> </w:t>
      </w:r>
      <w:r>
        <w:rPr/>
        <w:t>interest</w:t>
      </w:r>
      <w:r>
        <w:rPr>
          <w:spacing w:val="-2"/>
        </w:rPr>
        <w:t> </w:t>
      </w:r>
      <w:r>
        <w:rPr/>
        <w:t>margin</w:t>
      </w:r>
      <w:r>
        <w:rPr>
          <w:spacing w:val="-1"/>
        </w:rPr>
        <w:t> </w:t>
      </w:r>
      <w:r>
        <w:rPr/>
        <w:t>can</w:t>
      </w:r>
      <w:r>
        <w:rPr>
          <w:spacing w:val="-1"/>
        </w:rPr>
        <w:t> </w:t>
      </w:r>
      <w:r>
        <w:rPr/>
        <w:t>be</w:t>
      </w:r>
      <w:r>
        <w:rPr>
          <w:spacing w:val="-2"/>
        </w:rPr>
        <w:t> </w:t>
      </w:r>
      <w:r>
        <w:rPr/>
        <w:t>reduced.</w:t>
      </w:r>
      <w:r>
        <w:rPr>
          <w:spacing w:val="-1"/>
        </w:rPr>
        <w:t> </w:t>
      </w:r>
      <w:r>
        <w:rPr/>
        <w:t>A</w:t>
      </w:r>
      <w:r>
        <w:rPr>
          <w:spacing w:val="-2"/>
        </w:rPr>
        <w:t> </w:t>
      </w:r>
      <w:r>
        <w:rPr/>
        <w:t>decline</w:t>
      </w:r>
      <w:r>
        <w:rPr>
          <w:spacing w:val="-2"/>
        </w:rPr>
        <w:t> </w:t>
      </w:r>
      <w:r>
        <w:rPr/>
        <w:t>in</w:t>
      </w:r>
      <w:r>
        <w:rPr>
          <w:spacing w:val="-1"/>
        </w:rPr>
        <w:t> </w:t>
      </w:r>
      <w:r>
        <w:rPr/>
        <w:t>short-term</w:t>
      </w:r>
      <w:r>
        <w:rPr>
          <w:spacing w:val="-2"/>
        </w:rPr>
        <w:t> </w:t>
      </w:r>
      <w:r>
        <w:rPr/>
        <w:t>interest</w:t>
      </w:r>
      <w:r>
        <w:rPr>
          <w:spacing w:val="-2"/>
        </w:rPr>
        <w:t> </w:t>
      </w:r>
      <w:r>
        <w:rPr/>
        <w:t>rates</w:t>
      </w:r>
      <w:r>
        <w:rPr>
          <w:spacing w:val="-2"/>
        </w:rPr>
        <w:t> </w:t>
      </w:r>
      <w:r>
        <w:rPr/>
        <w:t>could</w:t>
      </w:r>
      <w:r>
        <w:rPr>
          <w:spacing w:val="-1"/>
        </w:rPr>
        <w:t> </w:t>
      </w:r>
      <w:r>
        <w:rPr/>
        <w:t>negatively</w:t>
      </w:r>
      <w:r>
        <w:rPr>
          <w:spacing w:val="-1"/>
        </w:rPr>
        <w:t> </w:t>
      </w:r>
      <w:r>
        <w:rPr/>
        <w:t>impact</w:t>
      </w:r>
      <w:r>
        <w:rPr>
          <w:spacing w:val="-2"/>
        </w:rPr>
        <w:t> </w:t>
      </w:r>
      <w:r>
        <w:rPr/>
        <w:t>the yield on the Company’s investment and loan portfolios to a greater degree than any offsetting reduction in interest expense from funding sources, compressing net interest margin.</w:t>
      </w:r>
    </w:p>
    <w:p>
      <w:pPr>
        <w:pStyle w:val="BodyText"/>
        <w:spacing w:before="14"/>
      </w:pPr>
    </w:p>
    <w:p>
      <w:pPr>
        <w:pStyle w:val="BodyText"/>
        <w:spacing w:line="249" w:lineRule="auto" w:before="1" w:after="50"/>
        <w:ind w:left="470" w:right="500"/>
      </w:pPr>
      <w:r>
        <w:rPr/>
        <w:t>The following table shows simulated changes to net interest revenue over the next 12 months beginning September 30, 2023</w:t>
      </w:r>
      <w:r>
        <w:rPr/>
        <w:t> and</w:t>
      </w:r>
      <w:r>
        <w:rPr>
          <w:spacing w:val="-2"/>
        </w:rPr>
        <w:t> </w:t>
      </w:r>
      <w:r>
        <w:rPr/>
        <w:t>December</w:t>
      </w:r>
      <w:r>
        <w:rPr>
          <w:spacing w:val="-2"/>
        </w:rPr>
        <w:t> </w:t>
      </w:r>
      <w:r>
        <w:rPr/>
        <w:t>31,</w:t>
      </w:r>
      <w:r>
        <w:rPr>
          <w:spacing w:val="-2"/>
        </w:rPr>
        <w:t> </w:t>
      </w:r>
      <w:r>
        <w:rPr/>
        <w:t>2022</w:t>
      </w:r>
      <w:r>
        <w:rPr>
          <w:spacing w:val="-2"/>
        </w:rPr>
        <w:t> </w:t>
      </w:r>
      <w:r>
        <w:rPr/>
        <w:t>of</w:t>
      </w:r>
      <w:r>
        <w:rPr>
          <w:spacing w:val="-2"/>
        </w:rPr>
        <w:t> </w:t>
      </w:r>
      <w:r>
        <w:rPr/>
        <w:t>a</w:t>
      </w:r>
      <w:r>
        <w:rPr>
          <w:spacing w:val="-3"/>
        </w:rPr>
        <w:t> </w:t>
      </w:r>
      <w:r>
        <w:rPr/>
        <w:t>gradual</w:t>
      </w:r>
      <w:r>
        <w:rPr>
          <w:spacing w:val="-3"/>
        </w:rPr>
        <w:t> </w:t>
      </w:r>
      <w:r>
        <w:rPr/>
        <w:t>increase</w:t>
      </w:r>
      <w:r>
        <w:rPr>
          <w:spacing w:val="-3"/>
        </w:rPr>
        <w:t> </w:t>
      </w:r>
      <w:r>
        <w:rPr/>
        <w:t>or</w:t>
      </w:r>
      <w:r>
        <w:rPr>
          <w:spacing w:val="-2"/>
        </w:rPr>
        <w:t> </w:t>
      </w:r>
      <w:r>
        <w:rPr/>
        <w:t>decrease</w:t>
      </w:r>
      <w:r>
        <w:rPr>
          <w:spacing w:val="-3"/>
        </w:rPr>
        <w:t> </w:t>
      </w:r>
      <w:r>
        <w:rPr/>
        <w:t>in</w:t>
      </w:r>
      <w:r>
        <w:rPr>
          <w:spacing w:val="-2"/>
        </w:rPr>
        <w:t> </w:t>
      </w:r>
      <w:r>
        <w:rPr/>
        <w:t>market</w:t>
      </w:r>
      <w:r>
        <w:rPr>
          <w:spacing w:val="-3"/>
        </w:rPr>
        <w:t> </w:t>
      </w:r>
      <w:r>
        <w:rPr/>
        <w:t>interest</w:t>
      </w:r>
      <w:r>
        <w:rPr>
          <w:spacing w:val="-3"/>
        </w:rPr>
        <w:t> </w:t>
      </w:r>
      <w:r>
        <w:rPr/>
        <w:t>rates</w:t>
      </w:r>
      <w:r>
        <w:rPr>
          <w:spacing w:val="-3"/>
        </w:rPr>
        <w:t> </w:t>
      </w:r>
      <w:r>
        <w:rPr/>
        <w:t>relative</w:t>
      </w:r>
      <w:r>
        <w:rPr>
          <w:spacing w:val="-3"/>
        </w:rPr>
        <w:t> </w:t>
      </w:r>
      <w:r>
        <w:rPr/>
        <w:t>to</w:t>
      </w:r>
      <w:r>
        <w:rPr>
          <w:spacing w:val="-2"/>
        </w:rPr>
        <w:t> </w:t>
      </w:r>
      <w:r>
        <w:rPr/>
        <w:t>prevailing</w:t>
      </w:r>
      <w:r>
        <w:rPr>
          <w:spacing w:val="-2"/>
        </w:rPr>
        <w:t> </w:t>
      </w:r>
      <w:r>
        <w:rPr/>
        <w:t>market</w:t>
      </w:r>
      <w:r>
        <w:rPr>
          <w:spacing w:val="-3"/>
        </w:rPr>
        <w:t> </w:t>
      </w:r>
      <w:r>
        <w:rPr/>
        <w:t>rates</w:t>
      </w:r>
      <w:r>
        <w:rPr>
          <w:spacing w:val="-3"/>
        </w:rPr>
        <w:t> </w:t>
      </w:r>
      <w:r>
        <w:rPr/>
        <w:t>at</w:t>
      </w:r>
      <w:r>
        <w:rPr>
          <w:spacing w:val="-3"/>
        </w:rPr>
        <w:t> </w:t>
      </w:r>
      <w:r>
        <w:rPr/>
        <w:t>the</w:t>
      </w:r>
      <w:r>
        <w:rPr>
          <w:spacing w:val="-3"/>
        </w:rPr>
        <w:t> </w:t>
      </w:r>
      <w:r>
        <w:rPr/>
        <w:t>end</w:t>
      </w:r>
      <w:r>
        <w:rPr>
          <w:spacing w:val="-2"/>
        </w:rPr>
        <w:t> </w:t>
      </w:r>
      <w:r>
        <w:rPr/>
        <w:t>of each reporting period:</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84"/>
        <w:gridCol w:w="4074"/>
        <w:gridCol w:w="1602"/>
      </w:tblGrid>
      <w:tr>
        <w:trPr>
          <w:trHeight w:val="245" w:hRule="atLeast"/>
        </w:trPr>
        <w:tc>
          <w:tcPr>
            <w:tcW w:w="4584" w:type="dxa"/>
            <w:tcBorders>
              <w:top w:val="single" w:sz="4" w:space="0" w:color="000000"/>
              <w:bottom w:val="single" w:sz="4" w:space="0" w:color="000000"/>
            </w:tcBorders>
          </w:tcPr>
          <w:p>
            <w:pPr>
              <w:pStyle w:val="TableParagraph"/>
              <w:rPr>
                <w:sz w:val="16"/>
              </w:rPr>
            </w:pPr>
          </w:p>
        </w:tc>
        <w:tc>
          <w:tcPr>
            <w:tcW w:w="4074" w:type="dxa"/>
            <w:tcBorders>
              <w:top w:val="single" w:sz="4" w:space="0" w:color="000000"/>
              <w:bottom w:val="single" w:sz="4" w:space="0" w:color="000000"/>
            </w:tcBorders>
          </w:tcPr>
          <w:p>
            <w:pPr>
              <w:pStyle w:val="TableParagraph"/>
              <w:spacing w:before="13"/>
              <w:ind w:right="155"/>
              <w:jc w:val="right"/>
              <w:rPr>
                <w:sz w:val="18"/>
              </w:rPr>
            </w:pPr>
            <w:r>
              <w:rPr>
                <w:sz w:val="18"/>
              </w:rPr>
              <w:t>September</w:t>
            </w:r>
            <w:r>
              <w:rPr>
                <w:spacing w:val="-1"/>
                <w:sz w:val="18"/>
              </w:rPr>
              <w:t> </w:t>
            </w:r>
            <w:r>
              <w:rPr>
                <w:sz w:val="18"/>
              </w:rPr>
              <w:t>30, </w:t>
            </w:r>
            <w:r>
              <w:rPr>
                <w:spacing w:val="-4"/>
                <w:sz w:val="18"/>
              </w:rPr>
              <w:t>2023</w:t>
            </w:r>
          </w:p>
        </w:tc>
        <w:tc>
          <w:tcPr>
            <w:tcW w:w="1602" w:type="dxa"/>
            <w:tcBorders>
              <w:top w:val="single" w:sz="4" w:space="0" w:color="000000"/>
              <w:bottom w:val="single" w:sz="4" w:space="0" w:color="000000"/>
            </w:tcBorders>
          </w:tcPr>
          <w:p>
            <w:pPr>
              <w:pStyle w:val="TableParagraph"/>
              <w:spacing w:before="13"/>
              <w:ind w:left="92"/>
              <w:rPr>
                <w:sz w:val="18"/>
              </w:rPr>
            </w:pPr>
            <w:r>
              <w:rPr>
                <w:sz w:val="18"/>
              </w:rPr>
              <w:t>December</w:t>
            </w:r>
            <w:r>
              <w:rPr>
                <w:spacing w:val="-1"/>
                <w:sz w:val="18"/>
              </w:rPr>
              <w:t> </w:t>
            </w:r>
            <w:r>
              <w:rPr>
                <w:sz w:val="18"/>
              </w:rPr>
              <w:t>31, </w:t>
            </w:r>
            <w:r>
              <w:rPr>
                <w:spacing w:val="-4"/>
                <w:sz w:val="18"/>
              </w:rPr>
              <w:t>2022</w:t>
            </w:r>
          </w:p>
        </w:tc>
      </w:tr>
      <w:tr>
        <w:trPr>
          <w:trHeight w:val="250" w:hRule="atLeast"/>
        </w:trPr>
        <w:tc>
          <w:tcPr>
            <w:tcW w:w="4584" w:type="dxa"/>
            <w:tcBorders>
              <w:top w:val="single" w:sz="4" w:space="0" w:color="000000"/>
            </w:tcBorders>
            <w:shd w:val="clear" w:color="auto" w:fill="CCEDFF"/>
          </w:tcPr>
          <w:p>
            <w:pPr>
              <w:pStyle w:val="TableParagraph"/>
              <w:spacing w:before="13"/>
              <w:ind w:left="52"/>
              <w:rPr>
                <w:sz w:val="18"/>
              </w:rPr>
            </w:pPr>
            <w:r>
              <w:rPr>
                <w:sz w:val="18"/>
              </w:rPr>
              <w:t>Increase</w:t>
            </w:r>
            <w:r>
              <w:rPr>
                <w:spacing w:val="-1"/>
                <w:sz w:val="18"/>
              </w:rPr>
              <w:t> </w:t>
            </w:r>
            <w:r>
              <w:rPr>
                <w:sz w:val="18"/>
              </w:rPr>
              <w:t>of 200</w:t>
            </w:r>
            <w:r>
              <w:rPr>
                <w:spacing w:val="-1"/>
                <w:sz w:val="18"/>
              </w:rPr>
              <w:t> </w:t>
            </w:r>
            <w:r>
              <w:rPr>
                <w:sz w:val="18"/>
              </w:rPr>
              <w:t>basis</w:t>
            </w:r>
            <w:r>
              <w:rPr>
                <w:spacing w:val="-1"/>
                <w:sz w:val="18"/>
              </w:rPr>
              <w:t> </w:t>
            </w:r>
            <w:r>
              <w:rPr>
                <w:spacing w:val="-2"/>
                <w:sz w:val="18"/>
              </w:rPr>
              <w:t>points</w:t>
            </w:r>
          </w:p>
        </w:tc>
        <w:tc>
          <w:tcPr>
            <w:tcW w:w="4074" w:type="dxa"/>
            <w:tcBorders>
              <w:top w:val="single" w:sz="4" w:space="0" w:color="000000"/>
            </w:tcBorders>
            <w:shd w:val="clear" w:color="auto" w:fill="CCEDFF"/>
          </w:tcPr>
          <w:p>
            <w:pPr>
              <w:pStyle w:val="TableParagraph"/>
              <w:spacing w:before="13"/>
              <w:ind w:right="150"/>
              <w:jc w:val="right"/>
              <w:rPr>
                <w:sz w:val="18"/>
              </w:rPr>
            </w:pPr>
            <w:r>
              <w:rPr>
                <w:spacing w:val="-4"/>
                <w:sz w:val="18"/>
              </w:rPr>
              <w:t>9.6%</w:t>
            </w:r>
          </w:p>
        </w:tc>
        <w:tc>
          <w:tcPr>
            <w:tcW w:w="1602" w:type="dxa"/>
            <w:tcBorders>
              <w:top w:val="single" w:sz="4" w:space="0" w:color="000000"/>
            </w:tcBorders>
            <w:shd w:val="clear" w:color="auto" w:fill="CCEDFF"/>
          </w:tcPr>
          <w:p>
            <w:pPr>
              <w:pStyle w:val="TableParagraph"/>
              <w:spacing w:before="13"/>
              <w:ind w:right="72"/>
              <w:jc w:val="right"/>
              <w:rPr>
                <w:sz w:val="18"/>
              </w:rPr>
            </w:pPr>
            <w:r>
              <w:rPr>
                <w:spacing w:val="-4"/>
                <w:sz w:val="18"/>
              </w:rPr>
              <w:t>7.3%</w:t>
            </w:r>
          </w:p>
        </w:tc>
      </w:tr>
      <w:tr>
        <w:trPr>
          <w:trHeight w:val="255" w:hRule="atLeast"/>
        </w:trPr>
        <w:tc>
          <w:tcPr>
            <w:tcW w:w="4584" w:type="dxa"/>
          </w:tcPr>
          <w:p>
            <w:pPr>
              <w:pStyle w:val="TableParagraph"/>
              <w:spacing w:before="18"/>
              <w:ind w:left="52"/>
              <w:rPr>
                <w:sz w:val="18"/>
              </w:rPr>
            </w:pPr>
            <w:r>
              <w:rPr>
                <w:sz w:val="18"/>
              </w:rPr>
              <w:t>Increase</w:t>
            </w:r>
            <w:r>
              <w:rPr>
                <w:spacing w:val="-1"/>
                <w:sz w:val="18"/>
              </w:rPr>
              <w:t> </w:t>
            </w:r>
            <w:r>
              <w:rPr>
                <w:sz w:val="18"/>
              </w:rPr>
              <w:t>of 100</w:t>
            </w:r>
            <w:r>
              <w:rPr>
                <w:spacing w:val="-1"/>
                <w:sz w:val="18"/>
              </w:rPr>
              <w:t> </w:t>
            </w:r>
            <w:r>
              <w:rPr>
                <w:sz w:val="18"/>
              </w:rPr>
              <w:t>basis</w:t>
            </w:r>
            <w:r>
              <w:rPr>
                <w:spacing w:val="-1"/>
                <w:sz w:val="18"/>
              </w:rPr>
              <w:t> </w:t>
            </w:r>
            <w:r>
              <w:rPr>
                <w:spacing w:val="-2"/>
                <w:sz w:val="18"/>
              </w:rPr>
              <w:t>points</w:t>
            </w:r>
          </w:p>
        </w:tc>
        <w:tc>
          <w:tcPr>
            <w:tcW w:w="4074" w:type="dxa"/>
          </w:tcPr>
          <w:p>
            <w:pPr>
              <w:pStyle w:val="TableParagraph"/>
              <w:spacing w:before="18"/>
              <w:ind w:right="150"/>
              <w:jc w:val="right"/>
              <w:rPr>
                <w:sz w:val="18"/>
              </w:rPr>
            </w:pPr>
            <w:r>
              <w:rPr>
                <w:spacing w:val="-4"/>
                <w:sz w:val="18"/>
              </w:rPr>
              <w:t>5.2%</w:t>
            </w:r>
          </w:p>
        </w:tc>
        <w:tc>
          <w:tcPr>
            <w:tcW w:w="1602" w:type="dxa"/>
          </w:tcPr>
          <w:p>
            <w:pPr>
              <w:pStyle w:val="TableParagraph"/>
              <w:spacing w:before="18"/>
              <w:ind w:right="72"/>
              <w:jc w:val="right"/>
              <w:rPr>
                <w:sz w:val="18"/>
              </w:rPr>
            </w:pPr>
            <w:r>
              <w:rPr>
                <w:spacing w:val="-4"/>
                <w:sz w:val="18"/>
              </w:rPr>
              <w:t>3.6%</w:t>
            </w:r>
          </w:p>
        </w:tc>
      </w:tr>
      <w:tr>
        <w:trPr>
          <w:trHeight w:val="255" w:hRule="atLeast"/>
        </w:trPr>
        <w:tc>
          <w:tcPr>
            <w:tcW w:w="4584" w:type="dxa"/>
            <w:shd w:val="clear" w:color="auto" w:fill="CCEDFF"/>
          </w:tcPr>
          <w:p>
            <w:pPr>
              <w:pStyle w:val="TableParagraph"/>
              <w:spacing w:before="18"/>
              <w:ind w:left="52"/>
              <w:rPr>
                <w:sz w:val="18"/>
              </w:rPr>
            </w:pPr>
            <w:r>
              <w:rPr>
                <w:sz w:val="18"/>
              </w:rPr>
              <w:t>Increase</w:t>
            </w:r>
            <w:r>
              <w:rPr>
                <w:spacing w:val="-1"/>
                <w:sz w:val="18"/>
              </w:rPr>
              <w:t> </w:t>
            </w:r>
            <w:r>
              <w:rPr>
                <w:sz w:val="18"/>
              </w:rPr>
              <w:t>of 50</w:t>
            </w:r>
            <w:r>
              <w:rPr>
                <w:spacing w:val="-1"/>
                <w:sz w:val="18"/>
              </w:rPr>
              <w:t> </w:t>
            </w:r>
            <w:r>
              <w:rPr>
                <w:sz w:val="18"/>
              </w:rPr>
              <w:t>basis</w:t>
            </w:r>
            <w:r>
              <w:rPr>
                <w:spacing w:val="-1"/>
                <w:sz w:val="18"/>
              </w:rPr>
              <w:t> </w:t>
            </w:r>
            <w:r>
              <w:rPr>
                <w:spacing w:val="-2"/>
                <w:sz w:val="18"/>
              </w:rPr>
              <w:t>points</w:t>
            </w:r>
          </w:p>
        </w:tc>
        <w:tc>
          <w:tcPr>
            <w:tcW w:w="4074" w:type="dxa"/>
            <w:shd w:val="clear" w:color="auto" w:fill="CCEDFF"/>
          </w:tcPr>
          <w:p>
            <w:pPr>
              <w:pStyle w:val="TableParagraph"/>
              <w:spacing w:before="18"/>
              <w:ind w:right="150"/>
              <w:jc w:val="right"/>
              <w:rPr>
                <w:sz w:val="18"/>
              </w:rPr>
            </w:pPr>
            <w:r>
              <w:rPr>
                <w:spacing w:val="-4"/>
                <w:sz w:val="18"/>
              </w:rPr>
              <w:t>2.8%</w:t>
            </w:r>
          </w:p>
        </w:tc>
        <w:tc>
          <w:tcPr>
            <w:tcW w:w="1602" w:type="dxa"/>
            <w:shd w:val="clear" w:color="auto" w:fill="CCEDFF"/>
          </w:tcPr>
          <w:p>
            <w:pPr>
              <w:pStyle w:val="TableParagraph"/>
              <w:spacing w:before="18"/>
              <w:ind w:right="72"/>
              <w:jc w:val="right"/>
              <w:rPr>
                <w:sz w:val="18"/>
              </w:rPr>
            </w:pPr>
            <w:r>
              <w:rPr>
                <w:spacing w:val="-4"/>
                <w:sz w:val="18"/>
              </w:rPr>
              <w:t>1.7%</w:t>
            </w:r>
          </w:p>
        </w:tc>
      </w:tr>
      <w:tr>
        <w:trPr>
          <w:trHeight w:val="255" w:hRule="atLeast"/>
        </w:trPr>
        <w:tc>
          <w:tcPr>
            <w:tcW w:w="4584" w:type="dxa"/>
          </w:tcPr>
          <w:p>
            <w:pPr>
              <w:pStyle w:val="TableParagraph"/>
              <w:spacing w:before="18"/>
              <w:ind w:left="52"/>
              <w:rPr>
                <w:sz w:val="18"/>
              </w:rPr>
            </w:pPr>
            <w:r>
              <w:rPr>
                <w:sz w:val="18"/>
              </w:rPr>
              <w:t>Decrease</w:t>
            </w:r>
            <w:r>
              <w:rPr>
                <w:spacing w:val="-1"/>
                <w:sz w:val="18"/>
              </w:rPr>
              <w:t> </w:t>
            </w:r>
            <w:r>
              <w:rPr>
                <w:sz w:val="18"/>
              </w:rPr>
              <w:t>of</w:t>
            </w:r>
            <w:r>
              <w:rPr>
                <w:spacing w:val="-1"/>
                <w:sz w:val="18"/>
              </w:rPr>
              <w:t> </w:t>
            </w:r>
            <w:r>
              <w:rPr>
                <w:sz w:val="18"/>
              </w:rPr>
              <w:t>50</w:t>
            </w:r>
            <w:r>
              <w:rPr>
                <w:spacing w:val="-1"/>
                <w:sz w:val="18"/>
              </w:rPr>
              <w:t> </w:t>
            </w:r>
            <w:r>
              <w:rPr>
                <w:sz w:val="18"/>
              </w:rPr>
              <w:t>basis</w:t>
            </w:r>
            <w:r>
              <w:rPr>
                <w:spacing w:val="-1"/>
                <w:sz w:val="18"/>
              </w:rPr>
              <w:t> </w:t>
            </w:r>
            <w:r>
              <w:rPr>
                <w:spacing w:val="-2"/>
                <w:sz w:val="18"/>
              </w:rPr>
              <w:t>points</w:t>
            </w:r>
          </w:p>
        </w:tc>
        <w:tc>
          <w:tcPr>
            <w:tcW w:w="4074" w:type="dxa"/>
          </w:tcPr>
          <w:p>
            <w:pPr>
              <w:pStyle w:val="TableParagraph"/>
              <w:spacing w:before="18"/>
              <w:ind w:right="90"/>
              <w:jc w:val="right"/>
              <w:rPr>
                <w:sz w:val="18"/>
              </w:rPr>
            </w:pPr>
            <w:r>
              <w:rPr>
                <w:spacing w:val="-2"/>
                <w:sz w:val="18"/>
              </w:rPr>
              <w:t>(1.3)%</w:t>
            </w:r>
          </w:p>
        </w:tc>
        <w:tc>
          <w:tcPr>
            <w:tcW w:w="1602" w:type="dxa"/>
          </w:tcPr>
          <w:p>
            <w:pPr>
              <w:pStyle w:val="TableParagraph"/>
              <w:spacing w:before="18"/>
              <w:ind w:right="12"/>
              <w:jc w:val="right"/>
              <w:rPr>
                <w:sz w:val="18"/>
              </w:rPr>
            </w:pPr>
            <w:r>
              <w:rPr>
                <w:spacing w:val="-2"/>
                <w:sz w:val="18"/>
              </w:rPr>
              <w:t>(1.5)%</w:t>
            </w:r>
          </w:p>
        </w:tc>
      </w:tr>
      <w:tr>
        <w:trPr>
          <w:trHeight w:val="255" w:hRule="atLeast"/>
        </w:trPr>
        <w:tc>
          <w:tcPr>
            <w:tcW w:w="4584" w:type="dxa"/>
            <w:shd w:val="clear" w:color="auto" w:fill="CCEDFF"/>
          </w:tcPr>
          <w:p>
            <w:pPr>
              <w:pStyle w:val="TableParagraph"/>
              <w:spacing w:before="18"/>
              <w:ind w:left="52"/>
              <w:rPr>
                <w:sz w:val="18"/>
              </w:rPr>
            </w:pPr>
            <w:r>
              <w:rPr>
                <w:sz w:val="18"/>
              </w:rPr>
              <w:t>Decrease</w:t>
            </w:r>
            <w:r>
              <w:rPr>
                <w:spacing w:val="-1"/>
                <w:sz w:val="18"/>
              </w:rPr>
              <w:t> </w:t>
            </w:r>
            <w:r>
              <w:rPr>
                <w:sz w:val="18"/>
              </w:rPr>
              <w:t>of</w:t>
            </w:r>
            <w:r>
              <w:rPr>
                <w:spacing w:val="-1"/>
                <w:sz w:val="18"/>
              </w:rPr>
              <w:t> </w:t>
            </w:r>
            <w:r>
              <w:rPr>
                <w:sz w:val="18"/>
              </w:rPr>
              <w:t>100</w:t>
            </w:r>
            <w:r>
              <w:rPr>
                <w:spacing w:val="-1"/>
                <w:sz w:val="18"/>
              </w:rPr>
              <w:t> </w:t>
            </w:r>
            <w:r>
              <w:rPr>
                <w:sz w:val="18"/>
              </w:rPr>
              <w:t>basis</w:t>
            </w:r>
            <w:r>
              <w:rPr>
                <w:spacing w:val="-1"/>
                <w:sz w:val="18"/>
              </w:rPr>
              <w:t> </w:t>
            </w:r>
            <w:r>
              <w:rPr>
                <w:spacing w:val="-2"/>
                <w:sz w:val="18"/>
              </w:rPr>
              <w:t>points</w:t>
            </w:r>
          </w:p>
        </w:tc>
        <w:tc>
          <w:tcPr>
            <w:tcW w:w="4074" w:type="dxa"/>
            <w:shd w:val="clear" w:color="auto" w:fill="CCEDFF"/>
          </w:tcPr>
          <w:p>
            <w:pPr>
              <w:pStyle w:val="TableParagraph"/>
              <w:spacing w:before="18"/>
              <w:ind w:right="90"/>
              <w:jc w:val="right"/>
              <w:rPr>
                <w:sz w:val="18"/>
              </w:rPr>
            </w:pPr>
            <w:r>
              <w:rPr>
                <w:spacing w:val="-2"/>
                <w:sz w:val="18"/>
              </w:rPr>
              <w:t>(3.0)%</w:t>
            </w:r>
          </w:p>
        </w:tc>
        <w:tc>
          <w:tcPr>
            <w:tcW w:w="1602" w:type="dxa"/>
            <w:shd w:val="clear" w:color="auto" w:fill="CCEDFF"/>
          </w:tcPr>
          <w:p>
            <w:pPr>
              <w:pStyle w:val="TableParagraph"/>
              <w:spacing w:before="18"/>
              <w:ind w:right="12"/>
              <w:jc w:val="right"/>
              <w:rPr>
                <w:sz w:val="18"/>
              </w:rPr>
            </w:pPr>
            <w:r>
              <w:rPr>
                <w:spacing w:val="-2"/>
                <w:sz w:val="18"/>
              </w:rPr>
              <w:t>(3.2)%</w:t>
            </w:r>
          </w:p>
        </w:tc>
      </w:tr>
      <w:tr>
        <w:trPr>
          <w:trHeight w:val="250" w:hRule="atLeast"/>
        </w:trPr>
        <w:tc>
          <w:tcPr>
            <w:tcW w:w="4584" w:type="dxa"/>
            <w:tcBorders>
              <w:bottom w:val="single" w:sz="4" w:space="0" w:color="000000"/>
            </w:tcBorders>
          </w:tcPr>
          <w:p>
            <w:pPr>
              <w:pStyle w:val="TableParagraph"/>
              <w:spacing w:before="18"/>
              <w:ind w:left="52"/>
              <w:rPr>
                <w:sz w:val="18"/>
              </w:rPr>
            </w:pPr>
            <w:r>
              <w:rPr>
                <w:sz w:val="18"/>
              </w:rPr>
              <w:t>Decrease</w:t>
            </w:r>
            <w:r>
              <w:rPr>
                <w:spacing w:val="-1"/>
                <w:sz w:val="18"/>
              </w:rPr>
              <w:t> </w:t>
            </w:r>
            <w:r>
              <w:rPr>
                <w:sz w:val="18"/>
              </w:rPr>
              <w:t>of</w:t>
            </w:r>
            <w:r>
              <w:rPr>
                <w:spacing w:val="-1"/>
                <w:sz w:val="18"/>
              </w:rPr>
              <w:t> </w:t>
            </w:r>
            <w:r>
              <w:rPr>
                <w:sz w:val="18"/>
              </w:rPr>
              <w:t>200</w:t>
            </w:r>
            <w:r>
              <w:rPr>
                <w:spacing w:val="-1"/>
                <w:sz w:val="18"/>
              </w:rPr>
              <w:t> </w:t>
            </w:r>
            <w:r>
              <w:rPr>
                <w:sz w:val="18"/>
              </w:rPr>
              <w:t>basis</w:t>
            </w:r>
            <w:r>
              <w:rPr>
                <w:spacing w:val="-1"/>
                <w:sz w:val="18"/>
              </w:rPr>
              <w:t> </w:t>
            </w:r>
            <w:r>
              <w:rPr>
                <w:spacing w:val="-2"/>
                <w:sz w:val="18"/>
              </w:rPr>
              <w:t>points</w:t>
            </w:r>
          </w:p>
        </w:tc>
        <w:tc>
          <w:tcPr>
            <w:tcW w:w="4074" w:type="dxa"/>
            <w:tcBorders>
              <w:bottom w:val="single" w:sz="4" w:space="0" w:color="000000"/>
            </w:tcBorders>
          </w:tcPr>
          <w:p>
            <w:pPr>
              <w:pStyle w:val="TableParagraph"/>
              <w:spacing w:before="18"/>
              <w:ind w:right="90"/>
              <w:jc w:val="right"/>
              <w:rPr>
                <w:sz w:val="18"/>
              </w:rPr>
            </w:pPr>
            <w:r>
              <w:rPr>
                <w:spacing w:val="-2"/>
                <w:sz w:val="18"/>
              </w:rPr>
              <w:t>(6.8)%</w:t>
            </w:r>
          </w:p>
        </w:tc>
        <w:tc>
          <w:tcPr>
            <w:tcW w:w="1602" w:type="dxa"/>
            <w:tcBorders>
              <w:bottom w:val="single" w:sz="4" w:space="0" w:color="000000"/>
            </w:tcBorders>
          </w:tcPr>
          <w:p>
            <w:pPr>
              <w:pStyle w:val="TableParagraph"/>
              <w:spacing w:before="18"/>
              <w:ind w:right="12"/>
              <w:jc w:val="right"/>
              <w:rPr>
                <w:sz w:val="18"/>
              </w:rPr>
            </w:pPr>
            <w:r>
              <w:rPr>
                <w:spacing w:val="-2"/>
                <w:sz w:val="18"/>
              </w:rPr>
              <w:t>(6.7)%</w:t>
            </w:r>
          </w:p>
        </w:tc>
      </w:tr>
    </w:tbl>
    <w:p>
      <w:pPr>
        <w:pStyle w:val="BodyText"/>
        <w:spacing w:before="51"/>
      </w:pPr>
    </w:p>
    <w:p>
      <w:pPr>
        <w:pStyle w:val="BodyText"/>
        <w:spacing w:line="249" w:lineRule="auto" w:before="1"/>
        <w:ind w:left="470" w:right="500"/>
      </w:pPr>
      <w:r>
        <w:rPr/>
        <w:t>The Company’s simulated incremental increases in market interest rates had a larger impact on net interest revenue as of September 30, 2023 compared to December 31, 2022 primarily due to higher margin loan and cash balances, which was partially</w:t>
      </w:r>
      <w:r>
        <w:rPr>
          <w:spacing w:val="-3"/>
        </w:rPr>
        <w:t> </w:t>
      </w:r>
      <w:r>
        <w:rPr/>
        <w:t>offset</w:t>
      </w:r>
      <w:r>
        <w:rPr>
          <w:spacing w:val="-4"/>
        </w:rPr>
        <w:t> </w:t>
      </w:r>
      <w:r>
        <w:rPr/>
        <w:t>by</w:t>
      </w:r>
      <w:r>
        <w:rPr>
          <w:spacing w:val="-3"/>
        </w:rPr>
        <w:t> </w:t>
      </w:r>
      <w:r>
        <w:rPr/>
        <w:t>an</w:t>
      </w:r>
      <w:r>
        <w:rPr>
          <w:spacing w:val="-3"/>
        </w:rPr>
        <w:t> </w:t>
      </w:r>
      <w:r>
        <w:rPr/>
        <w:t>increased</w:t>
      </w:r>
      <w:r>
        <w:rPr>
          <w:spacing w:val="-3"/>
        </w:rPr>
        <w:t> </w:t>
      </w:r>
      <w:r>
        <w:rPr/>
        <w:t>allocation</w:t>
      </w:r>
      <w:r>
        <w:rPr>
          <w:spacing w:val="-3"/>
        </w:rPr>
        <w:t> </w:t>
      </w:r>
      <w:r>
        <w:rPr/>
        <w:t>to</w:t>
      </w:r>
      <w:r>
        <w:rPr>
          <w:spacing w:val="-3"/>
        </w:rPr>
        <w:t> </w:t>
      </w:r>
      <w:r>
        <w:rPr/>
        <w:t>FHLB</w:t>
      </w:r>
      <w:r>
        <w:rPr>
          <w:spacing w:val="-4"/>
        </w:rPr>
        <w:t> </w:t>
      </w:r>
      <w:r>
        <w:rPr/>
        <w:t>borrowings</w:t>
      </w:r>
      <w:r>
        <w:rPr>
          <w:spacing w:val="-4"/>
        </w:rPr>
        <w:t> </w:t>
      </w:r>
      <w:r>
        <w:rPr/>
        <w:t>and</w:t>
      </w:r>
      <w:r>
        <w:rPr>
          <w:spacing w:val="-3"/>
        </w:rPr>
        <w:t> </w:t>
      </w:r>
      <w:r>
        <w:rPr/>
        <w:t>other</w:t>
      </w:r>
      <w:r>
        <w:rPr>
          <w:spacing w:val="-3"/>
        </w:rPr>
        <w:t> </w:t>
      </w:r>
      <w:r>
        <w:rPr/>
        <w:t>short-term</w:t>
      </w:r>
      <w:r>
        <w:rPr>
          <w:spacing w:val="-4"/>
        </w:rPr>
        <w:t> </w:t>
      </w:r>
      <w:r>
        <w:rPr/>
        <w:t>borrowings</w:t>
      </w:r>
      <w:r>
        <w:rPr>
          <w:spacing w:val="-4"/>
        </w:rPr>
        <w:t> </w:t>
      </w:r>
      <w:r>
        <w:rPr/>
        <w:t>across</w:t>
      </w:r>
      <w:r>
        <w:rPr>
          <w:spacing w:val="-4"/>
        </w:rPr>
        <w:t> </w:t>
      </w:r>
      <w:r>
        <w:rPr/>
        <w:t>the</w:t>
      </w:r>
      <w:r>
        <w:rPr>
          <w:spacing w:val="-4"/>
        </w:rPr>
        <w:t> </w:t>
      </w:r>
      <w:r>
        <w:rPr/>
        <w:t>Company’s</w:t>
      </w:r>
      <w:r>
        <w:rPr>
          <w:spacing w:val="-4"/>
        </w:rPr>
        <w:t> </w:t>
      </w:r>
      <w:r>
        <w:rPr/>
        <w:t>banking subsidiaries. Simulated incremental decreases in market interest rates had a larger impact on net interest revenue as of September 30, 2023 compared to December 31, 2022 primarily due to higher margin loan and cash balances, while increased allocation to shorter-term liabilities contributed to lower interest expense in a lower rate environment.</w:t>
      </w:r>
    </w:p>
    <w:p>
      <w:pPr>
        <w:pStyle w:val="BodyText"/>
        <w:spacing w:before="14"/>
      </w:pPr>
    </w:p>
    <w:p>
      <w:pPr>
        <w:pStyle w:val="BodyText"/>
        <w:spacing w:line="249" w:lineRule="auto" w:before="1"/>
        <w:ind w:left="470" w:right="500"/>
      </w:pPr>
      <w:r>
        <w:rPr/>
        <w:t>In</w:t>
      </w:r>
      <w:r>
        <w:rPr>
          <w:spacing w:val="-3"/>
        </w:rPr>
        <w:t> </w:t>
      </w:r>
      <w:r>
        <w:rPr/>
        <w:t>addition</w:t>
      </w:r>
      <w:r>
        <w:rPr>
          <w:spacing w:val="-3"/>
        </w:rPr>
        <w:t> </w:t>
      </w:r>
      <w:r>
        <w:rPr/>
        <w:t>to</w:t>
      </w:r>
      <w:r>
        <w:rPr>
          <w:spacing w:val="-3"/>
        </w:rPr>
        <w:t> </w:t>
      </w:r>
      <w:r>
        <w:rPr/>
        <w:t>measuring</w:t>
      </w:r>
      <w:r>
        <w:rPr>
          <w:spacing w:val="-3"/>
        </w:rPr>
        <w:t> </w:t>
      </w:r>
      <w:r>
        <w:rPr/>
        <w:t>the</w:t>
      </w:r>
      <w:r>
        <w:rPr>
          <w:spacing w:val="-3"/>
        </w:rPr>
        <w:t> </w:t>
      </w:r>
      <w:r>
        <w:rPr/>
        <w:t>effect</w:t>
      </w:r>
      <w:r>
        <w:rPr>
          <w:spacing w:val="-3"/>
        </w:rPr>
        <w:t> </w:t>
      </w:r>
      <w:r>
        <w:rPr/>
        <w:t>of</w:t>
      </w:r>
      <w:r>
        <w:rPr>
          <w:spacing w:val="-3"/>
        </w:rPr>
        <w:t> </w:t>
      </w:r>
      <w:r>
        <w:rPr/>
        <w:t>gradual</w:t>
      </w:r>
      <w:r>
        <w:rPr>
          <w:spacing w:val="-3"/>
        </w:rPr>
        <w:t> </w:t>
      </w:r>
      <w:r>
        <w:rPr/>
        <w:t>parallel</w:t>
      </w:r>
      <w:r>
        <w:rPr>
          <w:spacing w:val="-3"/>
        </w:rPr>
        <w:t> </w:t>
      </w:r>
      <w:r>
        <w:rPr/>
        <w:t>increases</w:t>
      </w:r>
      <w:r>
        <w:rPr>
          <w:spacing w:val="-3"/>
        </w:rPr>
        <w:t> </w:t>
      </w:r>
      <w:r>
        <w:rPr/>
        <w:t>or</w:t>
      </w:r>
      <w:r>
        <w:rPr>
          <w:spacing w:val="-3"/>
        </w:rPr>
        <w:t> </w:t>
      </w:r>
      <w:r>
        <w:rPr/>
        <w:t>decreases</w:t>
      </w:r>
      <w:r>
        <w:rPr>
          <w:spacing w:val="-3"/>
        </w:rPr>
        <w:t> </w:t>
      </w:r>
      <w:r>
        <w:rPr/>
        <w:t>in</w:t>
      </w:r>
      <w:r>
        <w:rPr>
          <w:spacing w:val="-3"/>
        </w:rPr>
        <w:t> </w:t>
      </w:r>
      <w:r>
        <w:rPr/>
        <w:t>current</w:t>
      </w:r>
      <w:r>
        <w:rPr>
          <w:spacing w:val="-3"/>
        </w:rPr>
        <w:t> </w:t>
      </w:r>
      <w:r>
        <w:rPr/>
        <w:t>interest</w:t>
      </w:r>
      <w:r>
        <w:rPr>
          <w:spacing w:val="-3"/>
        </w:rPr>
        <w:t> </w:t>
      </w:r>
      <w:r>
        <w:rPr/>
        <w:t>rates,</w:t>
      </w:r>
      <w:r>
        <w:rPr>
          <w:spacing w:val="-3"/>
        </w:rPr>
        <w:t> </w:t>
      </w:r>
      <w:r>
        <w:rPr/>
        <w:t>we</w:t>
      </w:r>
      <w:r>
        <w:rPr>
          <w:spacing w:val="-3"/>
        </w:rPr>
        <w:t> </w:t>
      </w:r>
      <w:r>
        <w:rPr/>
        <w:t>regularly</w:t>
      </w:r>
      <w:r>
        <w:rPr>
          <w:spacing w:val="-3"/>
        </w:rPr>
        <w:t> </w:t>
      </w:r>
      <w:r>
        <w:rPr/>
        <w:t>simulate</w:t>
      </w:r>
      <w:r>
        <w:rPr>
          <w:spacing w:val="-3"/>
        </w:rPr>
        <w:t> </w:t>
      </w:r>
      <w:r>
        <w:rPr/>
        <w:t>the effects of non-parallel shifts and instantaneous shifts of interest rates on net interest revenue.</w:t>
      </w:r>
    </w:p>
    <w:p>
      <w:pPr>
        <w:spacing w:after="0" w:line="249" w:lineRule="auto"/>
        <w:sectPr>
          <w:pgSz w:w="12240" w:h="15840"/>
          <w:pgMar w:header="512" w:footer="201" w:top="1180" w:bottom="400" w:left="520" w:right="520"/>
        </w:sectPr>
      </w:pPr>
    </w:p>
    <w:p>
      <w:pPr>
        <w:spacing w:before="211"/>
        <w:ind w:left="470" w:right="0" w:firstLine="0"/>
        <w:jc w:val="left"/>
        <w:rPr>
          <w:i/>
          <w:sz w:val="20"/>
        </w:rPr>
      </w:pPr>
      <w:r>
        <w:rPr>
          <w:i/>
          <w:sz w:val="20"/>
        </w:rPr>
        <w:t>Effective</w:t>
      </w:r>
      <w:r>
        <w:rPr>
          <w:i/>
          <w:spacing w:val="-11"/>
          <w:sz w:val="20"/>
        </w:rPr>
        <w:t> </w:t>
      </w:r>
      <w:r>
        <w:rPr>
          <w:i/>
          <w:spacing w:val="-2"/>
          <w:sz w:val="20"/>
        </w:rPr>
        <w:t>Duration</w:t>
      </w:r>
    </w:p>
    <w:p>
      <w:pPr>
        <w:pStyle w:val="BodyText"/>
        <w:spacing w:before="20"/>
        <w:rPr>
          <w:i/>
        </w:rPr>
      </w:pPr>
    </w:p>
    <w:p>
      <w:pPr>
        <w:pStyle w:val="BodyText"/>
        <w:spacing w:line="249" w:lineRule="auto"/>
        <w:ind w:left="470" w:right="500"/>
      </w:pPr>
      <w:r>
        <w:rPr/>
        <w:t>Effective</w:t>
      </w:r>
      <w:r>
        <w:rPr>
          <w:spacing w:val="-4"/>
        </w:rPr>
        <w:t> </w:t>
      </w:r>
      <w:r>
        <w:rPr/>
        <w:t>duration</w:t>
      </w:r>
      <w:r>
        <w:rPr>
          <w:spacing w:val="-3"/>
        </w:rPr>
        <w:t> </w:t>
      </w:r>
      <w:r>
        <w:rPr/>
        <w:t>measures</w:t>
      </w:r>
      <w:r>
        <w:rPr>
          <w:spacing w:val="-4"/>
        </w:rPr>
        <w:t> </w:t>
      </w:r>
      <w:r>
        <w:rPr/>
        <w:t>price</w:t>
      </w:r>
      <w:r>
        <w:rPr>
          <w:spacing w:val="-4"/>
        </w:rPr>
        <w:t> </w:t>
      </w:r>
      <w:r>
        <w:rPr/>
        <w:t>sensitivity</w:t>
      </w:r>
      <w:r>
        <w:rPr>
          <w:spacing w:val="-3"/>
        </w:rPr>
        <w:t> </w:t>
      </w:r>
      <w:r>
        <w:rPr/>
        <w:t>relative</w:t>
      </w:r>
      <w:r>
        <w:rPr>
          <w:spacing w:val="-4"/>
        </w:rPr>
        <w:t> </w:t>
      </w:r>
      <w:r>
        <w:rPr/>
        <w:t>to</w:t>
      </w:r>
      <w:r>
        <w:rPr>
          <w:spacing w:val="-3"/>
        </w:rPr>
        <w:t> </w:t>
      </w:r>
      <w:r>
        <w:rPr/>
        <w:t>a</w:t>
      </w:r>
      <w:r>
        <w:rPr>
          <w:spacing w:val="-4"/>
        </w:rPr>
        <w:t> </w:t>
      </w:r>
      <w:r>
        <w:rPr/>
        <w:t>change</w:t>
      </w:r>
      <w:r>
        <w:rPr>
          <w:spacing w:val="-4"/>
        </w:rPr>
        <w:t> </w:t>
      </w:r>
      <w:r>
        <w:rPr/>
        <w:t>in</w:t>
      </w:r>
      <w:r>
        <w:rPr>
          <w:spacing w:val="-3"/>
        </w:rPr>
        <w:t> </w:t>
      </w:r>
      <w:r>
        <w:rPr/>
        <w:t>prevailing</w:t>
      </w:r>
      <w:r>
        <w:rPr>
          <w:spacing w:val="-3"/>
        </w:rPr>
        <w:t> </w:t>
      </w:r>
      <w:r>
        <w:rPr/>
        <w:t>interest</w:t>
      </w:r>
      <w:r>
        <w:rPr>
          <w:spacing w:val="-4"/>
        </w:rPr>
        <w:t> </w:t>
      </w:r>
      <w:r>
        <w:rPr/>
        <w:t>rates,</w:t>
      </w:r>
      <w:r>
        <w:rPr>
          <w:spacing w:val="-3"/>
        </w:rPr>
        <w:t> </w:t>
      </w:r>
      <w:r>
        <w:rPr/>
        <w:t>taking</w:t>
      </w:r>
      <w:r>
        <w:rPr>
          <w:spacing w:val="-3"/>
        </w:rPr>
        <w:t> </w:t>
      </w:r>
      <w:r>
        <w:rPr/>
        <w:t>account</w:t>
      </w:r>
      <w:r>
        <w:rPr>
          <w:spacing w:val="-4"/>
        </w:rPr>
        <w:t> </w:t>
      </w:r>
      <w:r>
        <w:rPr/>
        <w:t>of</w:t>
      </w:r>
      <w:r>
        <w:rPr>
          <w:spacing w:val="-3"/>
        </w:rPr>
        <w:t> </w:t>
      </w:r>
      <w:r>
        <w:rPr/>
        <w:t>amortizing</w:t>
      </w:r>
      <w:r>
        <w:rPr>
          <w:spacing w:val="-3"/>
        </w:rPr>
        <w:t> </w:t>
      </w:r>
      <w:r>
        <w:rPr/>
        <w:t>cash flows and prepayment optionality for mortgage-related securities and loans. Duration is measured in years and commonly interpreted as the average timing of principal and interest cash flows. We seek to manage the Company’s asset duration in relation to management’s estimate of the Company’s liability duration. The Company’s liability duration is impacted by the composition of funding sources, and typically decreases in periods of rising market interest rates and increases in periods of declining market interest rates. The Company’s estimated effective duration of consolidated total assets was approximately</w:t>
      </w:r>
    </w:p>
    <w:p>
      <w:pPr>
        <w:pStyle w:val="BodyText"/>
        <w:spacing w:line="249" w:lineRule="auto" w:before="5"/>
        <w:ind w:left="470" w:right="488"/>
      </w:pPr>
      <w:r>
        <w:rPr/>
        <w:t>2.5 years at both September 30, 2023 (inclusive of the impact of derivative instruments), and September 30, 2022. The</w:t>
      </w:r>
      <w:r>
        <w:rPr/>
        <w:t> estimated effective duration of our AFS investment securities portfolio was approximately 2.5 years (2.2 years inclusive of the impact of derivative instruments) and 3.3 years as of September 30, 2023 and 2022, respectively. This change in the estimated effective duration of our AFS portfolio was due primarily to the 2022 transfer of securities from the AFS category to the HTM category (see also Item 1 – Note 4). The estimated effective duration for the Company’s total AFS and HTM investment securities portfolio was approximately 4.0 years (3.9 years inclusive of the impact of derivative instruments on AFS securities) and 3.9 years as of September 30, 2023 and 2022, respectively. AFS and HTM securities comprised approximately 57% of the Company’s</w:t>
      </w:r>
      <w:r>
        <w:rPr>
          <w:spacing w:val="-4"/>
        </w:rPr>
        <w:t> </w:t>
      </w:r>
      <w:r>
        <w:rPr/>
        <w:t>consolidated</w:t>
      </w:r>
      <w:r>
        <w:rPr>
          <w:spacing w:val="-3"/>
        </w:rPr>
        <w:t> </w:t>
      </w:r>
      <w:r>
        <w:rPr/>
        <w:t>total</w:t>
      </w:r>
      <w:r>
        <w:rPr>
          <w:spacing w:val="-4"/>
        </w:rPr>
        <w:t> </w:t>
      </w:r>
      <w:r>
        <w:rPr/>
        <w:t>assets</w:t>
      </w:r>
      <w:r>
        <w:rPr>
          <w:spacing w:val="-4"/>
        </w:rPr>
        <w:t> </w:t>
      </w:r>
      <w:r>
        <w:rPr/>
        <w:t>as</w:t>
      </w:r>
      <w:r>
        <w:rPr>
          <w:spacing w:val="-4"/>
        </w:rPr>
        <w:t> </w:t>
      </w:r>
      <w:r>
        <w:rPr/>
        <w:t>of</w:t>
      </w:r>
      <w:r>
        <w:rPr>
          <w:spacing w:val="-3"/>
        </w:rPr>
        <w:t> </w:t>
      </w:r>
      <w:r>
        <w:rPr/>
        <w:t>both</w:t>
      </w:r>
      <w:r>
        <w:rPr>
          <w:spacing w:val="-3"/>
        </w:rPr>
        <w:t> </w:t>
      </w:r>
      <w:r>
        <w:rPr/>
        <w:t>September</w:t>
      </w:r>
      <w:r>
        <w:rPr>
          <w:spacing w:val="-3"/>
        </w:rPr>
        <w:t> </w:t>
      </w:r>
      <w:r>
        <w:rPr/>
        <w:t>30,</w:t>
      </w:r>
      <w:r>
        <w:rPr>
          <w:spacing w:val="-3"/>
        </w:rPr>
        <w:t> </w:t>
      </w:r>
      <w:r>
        <w:rPr/>
        <w:t>2023</w:t>
      </w:r>
      <w:r>
        <w:rPr>
          <w:spacing w:val="-3"/>
        </w:rPr>
        <w:t> </w:t>
      </w:r>
      <w:r>
        <w:rPr/>
        <w:t>and</w:t>
      </w:r>
      <w:r>
        <w:rPr>
          <w:spacing w:val="-3"/>
        </w:rPr>
        <w:t> </w:t>
      </w:r>
      <w:r>
        <w:rPr/>
        <w:t>2022.</w:t>
      </w:r>
      <w:r>
        <w:rPr>
          <w:spacing w:val="-3"/>
        </w:rPr>
        <w:t> </w:t>
      </w:r>
      <w:r>
        <w:rPr/>
        <w:t>The</w:t>
      </w:r>
      <w:r>
        <w:rPr>
          <w:spacing w:val="-4"/>
        </w:rPr>
        <w:t> </w:t>
      </w:r>
      <w:r>
        <w:rPr/>
        <w:t>estimated</w:t>
      </w:r>
      <w:r>
        <w:rPr>
          <w:spacing w:val="-3"/>
        </w:rPr>
        <w:t> </w:t>
      </w:r>
      <w:r>
        <w:rPr/>
        <w:t>effective</w:t>
      </w:r>
      <w:r>
        <w:rPr>
          <w:spacing w:val="-4"/>
        </w:rPr>
        <w:t> </w:t>
      </w:r>
      <w:r>
        <w:rPr/>
        <w:t>duration</w:t>
      </w:r>
      <w:r>
        <w:rPr>
          <w:spacing w:val="-3"/>
        </w:rPr>
        <w:t> </w:t>
      </w:r>
      <w:r>
        <w:rPr/>
        <w:t>of</w:t>
      </w:r>
      <w:r>
        <w:rPr>
          <w:spacing w:val="-3"/>
        </w:rPr>
        <w:t> </w:t>
      </w:r>
      <w:r>
        <w:rPr/>
        <w:t>the</w:t>
      </w:r>
      <w:r>
        <w:rPr>
          <w:spacing w:val="-4"/>
        </w:rPr>
        <w:t> </w:t>
      </w:r>
      <w:r>
        <w:rPr/>
        <w:t>remaining balance sheet assets in aggregate was less than one year as of both September 30, 2023 and 2022.</w:t>
      </w:r>
    </w:p>
    <w:p>
      <w:pPr>
        <w:pStyle w:val="BodyText"/>
        <w:spacing w:before="18"/>
      </w:pPr>
    </w:p>
    <w:p>
      <w:pPr>
        <w:spacing w:before="0"/>
        <w:ind w:left="470" w:right="0" w:firstLine="0"/>
        <w:jc w:val="left"/>
        <w:rPr>
          <w:i/>
          <w:sz w:val="20"/>
        </w:rPr>
      </w:pPr>
      <w:r>
        <w:rPr>
          <w:i/>
          <w:sz w:val="20"/>
        </w:rPr>
        <w:t>Economic</w:t>
      </w:r>
      <w:r>
        <w:rPr>
          <w:i/>
          <w:spacing w:val="-4"/>
          <w:sz w:val="20"/>
        </w:rPr>
        <w:t> </w:t>
      </w:r>
      <w:r>
        <w:rPr>
          <w:i/>
          <w:sz w:val="20"/>
        </w:rPr>
        <w:t>Value</w:t>
      </w:r>
      <w:r>
        <w:rPr>
          <w:i/>
          <w:spacing w:val="-3"/>
          <w:sz w:val="20"/>
        </w:rPr>
        <w:t> </w:t>
      </w:r>
      <w:r>
        <w:rPr>
          <w:i/>
          <w:sz w:val="20"/>
        </w:rPr>
        <w:t>of</w:t>
      </w:r>
      <w:r>
        <w:rPr>
          <w:i/>
          <w:spacing w:val="-3"/>
          <w:sz w:val="20"/>
        </w:rPr>
        <w:t> </w:t>
      </w:r>
      <w:r>
        <w:rPr>
          <w:i/>
          <w:sz w:val="20"/>
        </w:rPr>
        <w:t>Equity</w:t>
      </w:r>
      <w:r>
        <w:rPr>
          <w:i/>
          <w:spacing w:val="-3"/>
          <w:sz w:val="20"/>
        </w:rPr>
        <w:t> </w:t>
      </w:r>
      <w:r>
        <w:rPr>
          <w:i/>
          <w:spacing w:val="-2"/>
          <w:sz w:val="20"/>
        </w:rPr>
        <w:t>Simulation</w:t>
      </w:r>
    </w:p>
    <w:p>
      <w:pPr>
        <w:pStyle w:val="BodyText"/>
        <w:spacing w:before="19"/>
        <w:rPr>
          <w:i/>
        </w:rPr>
      </w:pPr>
    </w:p>
    <w:p>
      <w:pPr>
        <w:pStyle w:val="BodyText"/>
        <w:spacing w:line="249" w:lineRule="auto" w:before="1"/>
        <w:ind w:left="470" w:right="518"/>
      </w:pPr>
      <w:r>
        <w:rPr/>
        <w:t>Management</w:t>
      </w:r>
      <w:r>
        <w:rPr>
          <w:spacing w:val="-4"/>
        </w:rPr>
        <w:t> </w:t>
      </w:r>
      <w:r>
        <w:rPr/>
        <w:t>also</w:t>
      </w:r>
      <w:r>
        <w:rPr>
          <w:spacing w:val="-3"/>
        </w:rPr>
        <w:t> </w:t>
      </w:r>
      <w:r>
        <w:rPr/>
        <w:t>uses</w:t>
      </w:r>
      <w:r>
        <w:rPr>
          <w:spacing w:val="-4"/>
        </w:rPr>
        <w:t> </w:t>
      </w:r>
      <w:r>
        <w:rPr/>
        <w:t>EVE</w:t>
      </w:r>
      <w:r>
        <w:rPr>
          <w:spacing w:val="-4"/>
        </w:rPr>
        <w:t> </w:t>
      </w:r>
      <w:r>
        <w:rPr/>
        <w:t>simulations</w:t>
      </w:r>
      <w:r>
        <w:rPr>
          <w:spacing w:val="-4"/>
        </w:rPr>
        <w:t> </w:t>
      </w:r>
      <w:r>
        <w:rPr/>
        <w:t>to</w:t>
      </w:r>
      <w:r>
        <w:rPr>
          <w:spacing w:val="-3"/>
        </w:rPr>
        <w:t> </w:t>
      </w:r>
      <w:r>
        <w:rPr/>
        <w:t>measure</w:t>
      </w:r>
      <w:r>
        <w:rPr>
          <w:spacing w:val="-4"/>
        </w:rPr>
        <w:t> </w:t>
      </w:r>
      <w:r>
        <w:rPr/>
        <w:t>interest</w:t>
      </w:r>
      <w:r>
        <w:rPr>
          <w:spacing w:val="-4"/>
        </w:rPr>
        <w:t> </w:t>
      </w:r>
      <w:r>
        <w:rPr/>
        <w:t>rate</w:t>
      </w:r>
      <w:r>
        <w:rPr>
          <w:spacing w:val="-4"/>
        </w:rPr>
        <w:t> </w:t>
      </w:r>
      <w:r>
        <w:rPr/>
        <w:t>risk.</w:t>
      </w:r>
      <w:r>
        <w:rPr>
          <w:spacing w:val="-3"/>
        </w:rPr>
        <w:t> </w:t>
      </w:r>
      <w:r>
        <w:rPr/>
        <w:t>EVE</w:t>
      </w:r>
      <w:r>
        <w:rPr>
          <w:spacing w:val="-4"/>
        </w:rPr>
        <w:t> </w:t>
      </w:r>
      <w:r>
        <w:rPr/>
        <w:t>sensitivity</w:t>
      </w:r>
      <w:r>
        <w:rPr>
          <w:spacing w:val="-3"/>
        </w:rPr>
        <w:t> </w:t>
      </w:r>
      <w:r>
        <w:rPr/>
        <w:t>measures</w:t>
      </w:r>
      <w:r>
        <w:rPr>
          <w:spacing w:val="-4"/>
        </w:rPr>
        <w:t> </w:t>
      </w:r>
      <w:r>
        <w:rPr/>
        <w:t>the</w:t>
      </w:r>
      <w:r>
        <w:rPr>
          <w:spacing w:val="-4"/>
        </w:rPr>
        <w:t> </w:t>
      </w:r>
      <w:r>
        <w:rPr/>
        <w:t>long-term</w:t>
      </w:r>
      <w:r>
        <w:rPr>
          <w:spacing w:val="-4"/>
        </w:rPr>
        <w:t> </w:t>
      </w:r>
      <w:r>
        <w:rPr/>
        <w:t>impact</w:t>
      </w:r>
      <w:r>
        <w:rPr>
          <w:spacing w:val="-4"/>
        </w:rPr>
        <w:t> </w:t>
      </w:r>
      <w:r>
        <w:rPr/>
        <w:t>of</w:t>
      </w:r>
      <w:r>
        <w:rPr>
          <w:spacing w:val="-3"/>
        </w:rPr>
        <w:t> </w:t>
      </w:r>
      <w:r>
        <w:rPr/>
        <w:t>interest rate changes on the net present value of assets and liabilities, and includes the impact of derivative instruments. While EVE does not have a direct accounting relationship, the measure aims to capture a theoretical value of assets and liabilities under a variety of interest rate environments. EVE is calculated by subjecting the balance sheet to hypothetical instantaneous shifts in the level of interest rates. This analysis is highly dependent upon asset and liability assumptions based on historical behaviors. Key assumptions in our EVE calculation include projection of interest rate scenarios with rate floors, prepayment speeds of mortgage-related investments, term structure models of interest rates, behavior of non-maturity client cash held on the balance sheet, and pricing assumptions. We use both proprietary and independent third-party models to simulate EVE sensitivity and related analyses. We develop and maintain client credits and deposits run-off models internally based on historical experience and</w:t>
      </w:r>
      <w:r>
        <w:rPr>
          <w:spacing w:val="-2"/>
        </w:rPr>
        <w:t> </w:t>
      </w:r>
      <w:r>
        <w:rPr/>
        <w:t>prevailing</w:t>
      </w:r>
      <w:r>
        <w:rPr>
          <w:spacing w:val="-2"/>
        </w:rPr>
        <w:t> </w:t>
      </w:r>
      <w:r>
        <w:rPr/>
        <w:t>client</w:t>
      </w:r>
      <w:r>
        <w:rPr>
          <w:spacing w:val="-3"/>
        </w:rPr>
        <w:t> </w:t>
      </w:r>
      <w:r>
        <w:rPr/>
        <w:t>cash</w:t>
      </w:r>
      <w:r>
        <w:rPr>
          <w:spacing w:val="-2"/>
        </w:rPr>
        <w:t> </w:t>
      </w:r>
      <w:r>
        <w:rPr/>
        <w:t>realignment</w:t>
      </w:r>
      <w:r>
        <w:rPr>
          <w:spacing w:val="-3"/>
        </w:rPr>
        <w:t> </w:t>
      </w:r>
      <w:r>
        <w:rPr/>
        <w:t>behaviors.</w:t>
      </w:r>
      <w:r>
        <w:rPr>
          <w:spacing w:val="-2"/>
        </w:rPr>
        <w:t> </w:t>
      </w:r>
      <w:r>
        <w:rPr/>
        <w:t>We</w:t>
      </w:r>
      <w:r>
        <w:rPr>
          <w:spacing w:val="-3"/>
        </w:rPr>
        <w:t> </w:t>
      </w:r>
      <w:r>
        <w:rPr/>
        <w:t>rely</w:t>
      </w:r>
      <w:r>
        <w:rPr>
          <w:spacing w:val="-2"/>
        </w:rPr>
        <w:t> </w:t>
      </w:r>
      <w:r>
        <w:rPr/>
        <w:t>on</w:t>
      </w:r>
      <w:r>
        <w:rPr>
          <w:spacing w:val="-2"/>
        </w:rPr>
        <w:t> </w:t>
      </w:r>
      <w:r>
        <w:rPr/>
        <w:t>third-party</w:t>
      </w:r>
      <w:r>
        <w:rPr>
          <w:spacing w:val="-2"/>
        </w:rPr>
        <w:t> </w:t>
      </w:r>
      <w:r>
        <w:rPr/>
        <w:t>models</w:t>
      </w:r>
      <w:r>
        <w:rPr>
          <w:spacing w:val="-3"/>
        </w:rPr>
        <w:t> </w:t>
      </w:r>
      <w:r>
        <w:rPr/>
        <w:t>for</w:t>
      </w:r>
      <w:r>
        <w:rPr>
          <w:spacing w:val="-2"/>
        </w:rPr>
        <w:t> </w:t>
      </w:r>
      <w:r>
        <w:rPr/>
        <w:t>term</w:t>
      </w:r>
      <w:r>
        <w:rPr>
          <w:spacing w:val="-3"/>
        </w:rPr>
        <w:t> </w:t>
      </w:r>
      <w:r>
        <w:rPr/>
        <w:t>structure</w:t>
      </w:r>
      <w:r>
        <w:rPr>
          <w:spacing w:val="-3"/>
        </w:rPr>
        <w:t> </w:t>
      </w:r>
      <w:r>
        <w:rPr/>
        <w:t>modeling,</w:t>
      </w:r>
      <w:r>
        <w:rPr>
          <w:spacing w:val="-2"/>
        </w:rPr>
        <w:t> </w:t>
      </w:r>
      <w:r>
        <w:rPr/>
        <w:t>prepayment</w:t>
      </w:r>
      <w:r>
        <w:rPr>
          <w:spacing w:val="-3"/>
        </w:rPr>
        <w:t> </w:t>
      </w:r>
      <w:r>
        <w:rPr/>
        <w:t>speed modeling for mortgage-backed securities and mortgage loans, and cash flow projections based on interest income, contractual maturities, and prepayments.</w:t>
      </w:r>
    </w:p>
    <w:p>
      <w:pPr>
        <w:pStyle w:val="BodyText"/>
        <w:spacing w:before="19"/>
      </w:pPr>
    </w:p>
    <w:p>
      <w:pPr>
        <w:pStyle w:val="BodyText"/>
        <w:spacing w:line="249" w:lineRule="auto"/>
        <w:ind w:left="470" w:right="500"/>
      </w:pPr>
      <w:r>
        <w:rPr/>
        <w:t>As interest rates rose through the first nine months of 2023, EVE sensitivity generally trended higher due to a shortening of liability</w:t>
      </w:r>
      <w:r>
        <w:rPr>
          <w:spacing w:val="-3"/>
        </w:rPr>
        <w:t> </w:t>
      </w:r>
      <w:r>
        <w:rPr/>
        <w:t>duration.</w:t>
      </w:r>
      <w:r>
        <w:rPr>
          <w:spacing w:val="-3"/>
        </w:rPr>
        <w:t> </w:t>
      </w:r>
      <w:r>
        <w:rPr/>
        <w:t>While</w:t>
      </w:r>
      <w:r>
        <w:rPr>
          <w:spacing w:val="-4"/>
        </w:rPr>
        <w:t> </w:t>
      </w:r>
      <w:r>
        <w:rPr/>
        <w:t>the</w:t>
      </w:r>
      <w:r>
        <w:rPr>
          <w:spacing w:val="-4"/>
        </w:rPr>
        <w:t> </w:t>
      </w:r>
      <w:r>
        <w:rPr/>
        <w:t>Company’s</w:t>
      </w:r>
      <w:r>
        <w:rPr>
          <w:spacing w:val="-4"/>
        </w:rPr>
        <w:t> </w:t>
      </w:r>
      <w:r>
        <w:rPr/>
        <w:t>asset</w:t>
      </w:r>
      <w:r>
        <w:rPr>
          <w:spacing w:val="-4"/>
        </w:rPr>
        <w:t> </w:t>
      </w:r>
      <w:r>
        <w:rPr/>
        <w:t>duration</w:t>
      </w:r>
      <w:r>
        <w:rPr>
          <w:spacing w:val="-3"/>
        </w:rPr>
        <w:t> </w:t>
      </w:r>
      <w:r>
        <w:rPr/>
        <w:t>remained</w:t>
      </w:r>
      <w:r>
        <w:rPr>
          <w:spacing w:val="-3"/>
        </w:rPr>
        <w:t> </w:t>
      </w:r>
      <w:r>
        <w:rPr/>
        <w:t>largely</w:t>
      </w:r>
      <w:r>
        <w:rPr>
          <w:spacing w:val="-3"/>
        </w:rPr>
        <w:t> </w:t>
      </w:r>
      <w:r>
        <w:rPr/>
        <w:t>stable</w:t>
      </w:r>
      <w:r>
        <w:rPr>
          <w:spacing w:val="-4"/>
        </w:rPr>
        <w:t> </w:t>
      </w:r>
      <w:r>
        <w:rPr/>
        <w:t>during</w:t>
      </w:r>
      <w:r>
        <w:rPr>
          <w:spacing w:val="-3"/>
        </w:rPr>
        <w:t> </w:t>
      </w:r>
      <w:r>
        <w:rPr/>
        <w:t>the</w:t>
      </w:r>
      <w:r>
        <w:rPr>
          <w:spacing w:val="-4"/>
        </w:rPr>
        <w:t> </w:t>
      </w:r>
      <w:r>
        <w:rPr/>
        <w:t>period</w:t>
      </w:r>
      <w:r>
        <w:rPr>
          <w:spacing w:val="-3"/>
        </w:rPr>
        <w:t> </w:t>
      </w:r>
      <w:r>
        <w:rPr/>
        <w:t>of</w:t>
      </w:r>
      <w:r>
        <w:rPr>
          <w:spacing w:val="-3"/>
        </w:rPr>
        <w:t> </w:t>
      </w:r>
      <w:r>
        <w:rPr/>
        <w:t>rising</w:t>
      </w:r>
      <w:r>
        <w:rPr>
          <w:spacing w:val="-3"/>
        </w:rPr>
        <w:t> </w:t>
      </w:r>
      <w:r>
        <w:rPr/>
        <w:t>interest</w:t>
      </w:r>
      <w:r>
        <w:rPr>
          <w:spacing w:val="-4"/>
        </w:rPr>
        <w:t> </w:t>
      </w:r>
      <w:r>
        <w:rPr/>
        <w:t>rates,</w:t>
      </w:r>
      <w:r>
        <w:rPr>
          <w:spacing w:val="-3"/>
        </w:rPr>
        <w:t> </w:t>
      </w:r>
      <w:r>
        <w:rPr/>
        <w:t>liability duration shortened significantly and is now shorter than asset duration.</w:t>
      </w:r>
    </w:p>
    <w:p>
      <w:pPr>
        <w:pStyle w:val="BodyText"/>
        <w:spacing w:before="13"/>
      </w:pPr>
    </w:p>
    <w:p>
      <w:pPr>
        <w:spacing w:before="0"/>
        <w:ind w:left="470" w:right="0" w:firstLine="0"/>
        <w:jc w:val="left"/>
        <w:rPr>
          <w:i/>
          <w:sz w:val="20"/>
        </w:rPr>
      </w:pPr>
      <w:r>
        <w:rPr>
          <w:i/>
          <w:sz w:val="20"/>
        </w:rPr>
        <w:t>Bank</w:t>
      </w:r>
      <w:r>
        <w:rPr>
          <w:i/>
          <w:spacing w:val="-4"/>
          <w:sz w:val="20"/>
        </w:rPr>
        <w:t> </w:t>
      </w:r>
      <w:r>
        <w:rPr>
          <w:i/>
          <w:sz w:val="20"/>
        </w:rPr>
        <w:t>Deposit</w:t>
      </w:r>
      <w:r>
        <w:rPr>
          <w:i/>
          <w:spacing w:val="-4"/>
          <w:sz w:val="20"/>
        </w:rPr>
        <w:t> </w:t>
      </w:r>
      <w:r>
        <w:rPr>
          <w:i/>
          <w:sz w:val="20"/>
        </w:rPr>
        <w:t>Account</w:t>
      </w:r>
      <w:r>
        <w:rPr>
          <w:i/>
          <w:spacing w:val="-4"/>
          <w:sz w:val="20"/>
        </w:rPr>
        <w:t> </w:t>
      </w:r>
      <w:r>
        <w:rPr>
          <w:i/>
          <w:sz w:val="20"/>
        </w:rPr>
        <w:t>Fees</w:t>
      </w:r>
      <w:r>
        <w:rPr>
          <w:i/>
          <w:spacing w:val="-3"/>
          <w:sz w:val="20"/>
        </w:rPr>
        <w:t> </w:t>
      </w:r>
      <w:r>
        <w:rPr>
          <w:i/>
          <w:spacing w:val="-2"/>
          <w:sz w:val="20"/>
        </w:rPr>
        <w:t>Simulation</w:t>
      </w:r>
    </w:p>
    <w:p>
      <w:pPr>
        <w:pStyle w:val="BodyText"/>
        <w:spacing w:before="20"/>
        <w:rPr>
          <w:i/>
        </w:rPr>
      </w:pPr>
    </w:p>
    <w:p>
      <w:pPr>
        <w:pStyle w:val="BodyText"/>
        <w:spacing w:line="249" w:lineRule="auto"/>
        <w:ind w:left="470" w:right="500"/>
      </w:pPr>
      <w:r>
        <w:rPr/>
        <w:t>Consistent</w:t>
      </w:r>
      <w:r>
        <w:rPr>
          <w:spacing w:val="-4"/>
        </w:rPr>
        <w:t> </w:t>
      </w:r>
      <w:r>
        <w:rPr/>
        <w:t>with</w:t>
      </w:r>
      <w:r>
        <w:rPr>
          <w:spacing w:val="-3"/>
        </w:rPr>
        <w:t> </w:t>
      </w:r>
      <w:r>
        <w:rPr/>
        <w:t>the</w:t>
      </w:r>
      <w:r>
        <w:rPr>
          <w:spacing w:val="-4"/>
        </w:rPr>
        <w:t> </w:t>
      </w:r>
      <w:r>
        <w:rPr/>
        <w:t>presentation</w:t>
      </w:r>
      <w:r>
        <w:rPr>
          <w:spacing w:val="-3"/>
        </w:rPr>
        <w:t> </w:t>
      </w:r>
      <w:r>
        <w:rPr/>
        <w:t>on</w:t>
      </w:r>
      <w:r>
        <w:rPr>
          <w:spacing w:val="-3"/>
        </w:rPr>
        <w:t> </w:t>
      </w:r>
      <w:r>
        <w:rPr/>
        <w:t>the</w:t>
      </w:r>
      <w:r>
        <w:rPr>
          <w:spacing w:val="-4"/>
        </w:rPr>
        <w:t> </w:t>
      </w:r>
      <w:r>
        <w:rPr/>
        <w:t>consolidated</w:t>
      </w:r>
      <w:r>
        <w:rPr>
          <w:spacing w:val="-3"/>
        </w:rPr>
        <w:t> </w:t>
      </w:r>
      <w:r>
        <w:rPr/>
        <w:t>statement</w:t>
      </w:r>
      <w:r>
        <w:rPr>
          <w:spacing w:val="-4"/>
        </w:rPr>
        <w:t> </w:t>
      </w:r>
      <w:r>
        <w:rPr/>
        <w:t>of</w:t>
      </w:r>
      <w:r>
        <w:rPr>
          <w:spacing w:val="-3"/>
        </w:rPr>
        <w:t> </w:t>
      </w:r>
      <w:r>
        <w:rPr/>
        <w:t>income,</w:t>
      </w:r>
      <w:r>
        <w:rPr>
          <w:spacing w:val="-3"/>
        </w:rPr>
        <w:t> </w:t>
      </w:r>
      <w:r>
        <w:rPr/>
        <w:t>the</w:t>
      </w:r>
      <w:r>
        <w:rPr>
          <w:spacing w:val="-4"/>
        </w:rPr>
        <w:t> </w:t>
      </w:r>
      <w:r>
        <w:rPr/>
        <w:t>sensitivity</w:t>
      </w:r>
      <w:r>
        <w:rPr>
          <w:spacing w:val="-3"/>
        </w:rPr>
        <w:t> </w:t>
      </w:r>
      <w:r>
        <w:rPr/>
        <w:t>of</w:t>
      </w:r>
      <w:r>
        <w:rPr>
          <w:spacing w:val="-3"/>
        </w:rPr>
        <w:t> </w:t>
      </w:r>
      <w:r>
        <w:rPr/>
        <w:t>bank</w:t>
      </w:r>
      <w:r>
        <w:rPr>
          <w:spacing w:val="-3"/>
        </w:rPr>
        <w:t> </w:t>
      </w:r>
      <w:r>
        <w:rPr/>
        <w:t>deposit</w:t>
      </w:r>
      <w:r>
        <w:rPr>
          <w:spacing w:val="-4"/>
        </w:rPr>
        <w:t> </w:t>
      </w:r>
      <w:r>
        <w:rPr/>
        <w:t>account</w:t>
      </w:r>
      <w:r>
        <w:rPr>
          <w:spacing w:val="-4"/>
        </w:rPr>
        <w:t> </w:t>
      </w:r>
      <w:r>
        <w:rPr/>
        <w:t>fee</w:t>
      </w:r>
      <w:r>
        <w:rPr>
          <w:spacing w:val="-4"/>
        </w:rPr>
        <w:t> </w:t>
      </w:r>
      <w:r>
        <w:rPr/>
        <w:t>revenue</w:t>
      </w:r>
      <w:r>
        <w:rPr>
          <w:spacing w:val="-4"/>
        </w:rPr>
        <w:t> </w:t>
      </w:r>
      <w:r>
        <w:rPr/>
        <w:t>to interest</w:t>
      </w:r>
      <w:r>
        <w:rPr>
          <w:spacing w:val="-3"/>
        </w:rPr>
        <w:t> </w:t>
      </w:r>
      <w:r>
        <w:rPr/>
        <w:t>rate</w:t>
      </w:r>
      <w:r>
        <w:rPr>
          <w:spacing w:val="-3"/>
        </w:rPr>
        <w:t> </w:t>
      </w:r>
      <w:r>
        <w:rPr/>
        <w:t>changes</w:t>
      </w:r>
      <w:r>
        <w:rPr>
          <w:spacing w:val="-3"/>
        </w:rPr>
        <w:t> </w:t>
      </w:r>
      <w:r>
        <w:rPr/>
        <w:t>is</w:t>
      </w:r>
      <w:r>
        <w:rPr>
          <w:spacing w:val="-3"/>
        </w:rPr>
        <w:t> </w:t>
      </w:r>
      <w:r>
        <w:rPr/>
        <w:t>assessed</w:t>
      </w:r>
      <w:r>
        <w:rPr>
          <w:spacing w:val="-2"/>
        </w:rPr>
        <w:t> </w:t>
      </w:r>
      <w:r>
        <w:rPr/>
        <w:t>separately</w:t>
      </w:r>
      <w:r>
        <w:rPr>
          <w:spacing w:val="-2"/>
        </w:rPr>
        <w:t> </w:t>
      </w:r>
      <w:r>
        <w:rPr/>
        <w:t>from</w:t>
      </w:r>
      <w:r>
        <w:rPr>
          <w:spacing w:val="-3"/>
        </w:rPr>
        <w:t> </w:t>
      </w:r>
      <w:r>
        <w:rPr/>
        <w:t>the</w:t>
      </w:r>
      <w:r>
        <w:rPr>
          <w:spacing w:val="-3"/>
        </w:rPr>
        <w:t> </w:t>
      </w:r>
      <w:r>
        <w:rPr/>
        <w:t>net</w:t>
      </w:r>
      <w:r>
        <w:rPr>
          <w:spacing w:val="-3"/>
        </w:rPr>
        <w:t> </w:t>
      </w:r>
      <w:r>
        <w:rPr/>
        <w:t>interest</w:t>
      </w:r>
      <w:r>
        <w:rPr>
          <w:spacing w:val="-3"/>
        </w:rPr>
        <w:t> </w:t>
      </w:r>
      <w:r>
        <w:rPr/>
        <w:t>revenue</w:t>
      </w:r>
      <w:r>
        <w:rPr>
          <w:spacing w:val="-3"/>
        </w:rPr>
        <w:t> </w:t>
      </w:r>
      <w:r>
        <w:rPr/>
        <w:t>simulation</w:t>
      </w:r>
      <w:r>
        <w:rPr>
          <w:spacing w:val="-2"/>
        </w:rPr>
        <w:t> </w:t>
      </w:r>
      <w:r>
        <w:rPr/>
        <w:t>described</w:t>
      </w:r>
      <w:r>
        <w:rPr>
          <w:spacing w:val="-2"/>
        </w:rPr>
        <w:t> </w:t>
      </w:r>
      <w:r>
        <w:rPr/>
        <w:t>above.</w:t>
      </w:r>
      <w:r>
        <w:rPr>
          <w:spacing w:val="-2"/>
        </w:rPr>
        <w:t> </w:t>
      </w:r>
      <w:r>
        <w:rPr/>
        <w:t>As</w:t>
      </w:r>
      <w:r>
        <w:rPr>
          <w:spacing w:val="-3"/>
        </w:rPr>
        <w:t> </w:t>
      </w:r>
      <w:r>
        <w:rPr/>
        <w:t>of</w:t>
      </w:r>
      <w:r>
        <w:rPr>
          <w:spacing w:val="-2"/>
        </w:rPr>
        <w:t> </w:t>
      </w:r>
      <w:r>
        <w:rPr/>
        <w:t>September</w:t>
      </w:r>
      <w:r>
        <w:rPr>
          <w:spacing w:val="-2"/>
        </w:rPr>
        <w:t> </w:t>
      </w:r>
      <w:r>
        <w:rPr/>
        <w:t>30,</w:t>
      </w:r>
      <w:r>
        <w:rPr>
          <w:spacing w:val="-2"/>
        </w:rPr>
        <w:t> </w:t>
      </w:r>
      <w:r>
        <w:rPr/>
        <w:t>2023 and December 31, 2022, simulated changes in bank deposit account fee revenue from gradual changes in market interest rates relative to prevailing market rates, under the interest rate scenarios described above for net interest revenue, did not have a significant impact on the Company’s total net revenues. Our net interest revenue, EVE, and bank deposit account fee revenue simulations reflect the assumption of non-negative investment yields.</w:t>
      </w:r>
    </w:p>
    <w:p>
      <w:pPr>
        <w:pStyle w:val="BodyText"/>
        <w:spacing w:before="15"/>
      </w:pPr>
    </w:p>
    <w:p>
      <w:pPr>
        <w:spacing w:before="0"/>
        <w:ind w:left="470" w:right="0" w:firstLine="0"/>
        <w:jc w:val="left"/>
        <w:rPr>
          <w:i/>
          <w:sz w:val="20"/>
        </w:rPr>
      </w:pPr>
      <w:r>
        <w:rPr>
          <w:i/>
          <w:sz w:val="20"/>
          <w:u w:val="single"/>
        </w:rPr>
        <w:t>Phase-out</w:t>
      </w:r>
      <w:r>
        <w:rPr>
          <w:i/>
          <w:spacing w:val="-3"/>
          <w:sz w:val="20"/>
          <w:u w:val="single"/>
        </w:rPr>
        <w:t> </w:t>
      </w:r>
      <w:r>
        <w:rPr>
          <w:i/>
          <w:sz w:val="20"/>
          <w:u w:val="single"/>
        </w:rPr>
        <w:t>of</w:t>
      </w:r>
      <w:r>
        <w:rPr>
          <w:i/>
          <w:spacing w:val="-2"/>
          <w:sz w:val="20"/>
          <w:u w:val="single"/>
        </w:rPr>
        <w:t> LIBOR</w:t>
      </w:r>
    </w:p>
    <w:p>
      <w:pPr>
        <w:pStyle w:val="BodyText"/>
        <w:spacing w:before="20"/>
        <w:rPr>
          <w:i/>
        </w:rPr>
      </w:pPr>
    </w:p>
    <w:p>
      <w:pPr>
        <w:pStyle w:val="BodyText"/>
        <w:spacing w:line="249" w:lineRule="auto"/>
        <w:ind w:left="470" w:right="500"/>
      </w:pPr>
      <w:r>
        <w:rPr/>
        <w:t>Effective June 30, 2023, publication of the London Interbank Offered Rate (LIBOR) ceased. While we completed all LIBOR transition work that could be done prior to June 30, 2023, we continue to monitor and manage the LIBOR substitution for certain</w:t>
      </w:r>
      <w:r>
        <w:rPr>
          <w:spacing w:val="-2"/>
        </w:rPr>
        <w:t> </w:t>
      </w:r>
      <w:r>
        <w:rPr/>
        <w:t>investment</w:t>
      </w:r>
      <w:r>
        <w:rPr>
          <w:spacing w:val="-3"/>
        </w:rPr>
        <w:t> </w:t>
      </w:r>
      <w:r>
        <w:rPr/>
        <w:t>securities</w:t>
      </w:r>
      <w:r>
        <w:rPr>
          <w:spacing w:val="-3"/>
        </w:rPr>
        <w:t> </w:t>
      </w:r>
      <w:r>
        <w:rPr/>
        <w:t>that</w:t>
      </w:r>
      <w:r>
        <w:rPr>
          <w:spacing w:val="-3"/>
        </w:rPr>
        <w:t> </w:t>
      </w:r>
      <w:r>
        <w:rPr/>
        <w:t>we</w:t>
      </w:r>
      <w:r>
        <w:rPr>
          <w:spacing w:val="-3"/>
        </w:rPr>
        <w:t> </w:t>
      </w:r>
      <w:r>
        <w:rPr/>
        <w:t>hold</w:t>
      </w:r>
      <w:r>
        <w:rPr>
          <w:spacing w:val="-2"/>
        </w:rPr>
        <w:t> </w:t>
      </w:r>
      <w:r>
        <w:rPr/>
        <w:t>and</w:t>
      </w:r>
      <w:r>
        <w:rPr>
          <w:spacing w:val="-2"/>
        </w:rPr>
        <w:t> </w:t>
      </w:r>
      <w:r>
        <w:rPr/>
        <w:t>the</w:t>
      </w:r>
      <w:r>
        <w:rPr>
          <w:spacing w:val="-3"/>
        </w:rPr>
        <w:t> </w:t>
      </w:r>
      <w:r>
        <w:rPr/>
        <w:t>portfolio</w:t>
      </w:r>
      <w:r>
        <w:rPr>
          <w:spacing w:val="-2"/>
        </w:rPr>
        <w:t> </w:t>
      </w:r>
      <w:r>
        <w:rPr/>
        <w:t>of</w:t>
      </w:r>
      <w:r>
        <w:rPr>
          <w:spacing w:val="-2"/>
        </w:rPr>
        <w:t> </w:t>
      </w:r>
      <w:r>
        <w:rPr/>
        <w:t>legacy</w:t>
      </w:r>
      <w:r>
        <w:rPr>
          <w:spacing w:val="-2"/>
        </w:rPr>
        <w:t> </w:t>
      </w:r>
      <w:r>
        <w:rPr/>
        <w:t>loans</w:t>
      </w:r>
      <w:r>
        <w:rPr>
          <w:spacing w:val="-3"/>
        </w:rPr>
        <w:t> </w:t>
      </w:r>
      <w:r>
        <w:rPr/>
        <w:t>that</w:t>
      </w:r>
      <w:r>
        <w:rPr>
          <w:spacing w:val="-3"/>
        </w:rPr>
        <w:t> </w:t>
      </w:r>
      <w:r>
        <w:rPr/>
        <w:t>we</w:t>
      </w:r>
      <w:r>
        <w:rPr>
          <w:spacing w:val="-3"/>
        </w:rPr>
        <w:t> </w:t>
      </w:r>
      <w:r>
        <w:rPr/>
        <w:t>have</w:t>
      </w:r>
      <w:r>
        <w:rPr>
          <w:spacing w:val="-3"/>
        </w:rPr>
        <w:t> </w:t>
      </w:r>
      <w:r>
        <w:rPr/>
        <w:t>for</w:t>
      </w:r>
      <w:r>
        <w:rPr>
          <w:spacing w:val="-2"/>
        </w:rPr>
        <w:t> </w:t>
      </w:r>
      <w:r>
        <w:rPr/>
        <w:t>which</w:t>
      </w:r>
      <w:r>
        <w:rPr>
          <w:spacing w:val="-2"/>
        </w:rPr>
        <w:t> </w:t>
      </w:r>
      <w:r>
        <w:rPr/>
        <w:t>scheduled</w:t>
      </w:r>
      <w:r>
        <w:rPr>
          <w:spacing w:val="-2"/>
        </w:rPr>
        <w:t> </w:t>
      </w:r>
      <w:r>
        <w:rPr/>
        <w:t>interest</w:t>
      </w:r>
      <w:r>
        <w:rPr>
          <w:spacing w:val="-3"/>
        </w:rPr>
        <w:t> </w:t>
      </w:r>
      <w:r>
        <w:rPr/>
        <w:t>rate</w:t>
      </w:r>
      <w:r>
        <w:rPr>
          <w:spacing w:val="-3"/>
        </w:rPr>
        <w:t> </w:t>
      </w:r>
      <w:r>
        <w:rPr/>
        <w:t>resets or related interest rate transitions will occur in future periods. We also continue to monitor our financial models and systems that previously referenced LIBOR.</w:t>
      </w:r>
    </w:p>
    <w:p>
      <w:pPr>
        <w:pStyle w:val="BodyText"/>
        <w:spacing w:before="14"/>
      </w:pPr>
    </w:p>
    <w:p>
      <w:pPr>
        <w:pStyle w:val="BodyText"/>
        <w:spacing w:line="249" w:lineRule="auto"/>
        <w:ind w:left="470"/>
      </w:pPr>
      <w:r>
        <w:rPr/>
        <w:t>See</w:t>
      </w:r>
      <w:r>
        <w:rPr>
          <w:spacing w:val="-3"/>
        </w:rPr>
        <w:t> </w:t>
      </w:r>
      <w:r>
        <w:rPr/>
        <w:t>also</w:t>
      </w:r>
      <w:r>
        <w:rPr>
          <w:spacing w:val="-2"/>
        </w:rPr>
        <w:t> </w:t>
      </w:r>
      <w:r>
        <w:rPr/>
        <w:t>Part</w:t>
      </w:r>
      <w:r>
        <w:rPr>
          <w:spacing w:val="-3"/>
        </w:rPr>
        <w:t> </w:t>
      </w:r>
      <w:r>
        <w:rPr/>
        <w:t>II</w:t>
      </w:r>
      <w:r>
        <w:rPr>
          <w:spacing w:val="-2"/>
        </w:rPr>
        <w:t> </w:t>
      </w:r>
      <w:r>
        <w:rPr/>
        <w:t>–</w:t>
      </w:r>
      <w:r>
        <w:rPr>
          <w:spacing w:val="-2"/>
        </w:rPr>
        <w:t> </w:t>
      </w:r>
      <w:r>
        <w:rPr/>
        <w:t>Item</w:t>
      </w:r>
      <w:r>
        <w:rPr>
          <w:spacing w:val="-3"/>
        </w:rPr>
        <w:t> </w:t>
      </w:r>
      <w:r>
        <w:rPr/>
        <w:t>7</w:t>
      </w:r>
      <w:r>
        <w:rPr>
          <w:spacing w:val="-2"/>
        </w:rPr>
        <w:t> </w:t>
      </w:r>
      <w:r>
        <w:rPr/>
        <w:t>–</w:t>
      </w:r>
      <w:r>
        <w:rPr>
          <w:spacing w:val="-2"/>
        </w:rPr>
        <w:t> </w:t>
      </w:r>
      <w:r>
        <w:rPr/>
        <w:t>Management’s</w:t>
      </w:r>
      <w:r>
        <w:rPr>
          <w:spacing w:val="-3"/>
        </w:rPr>
        <w:t> </w:t>
      </w:r>
      <w:r>
        <w:rPr/>
        <w:t>Discussion</w:t>
      </w:r>
      <w:r>
        <w:rPr>
          <w:spacing w:val="-2"/>
        </w:rPr>
        <w:t> </w:t>
      </w:r>
      <w:r>
        <w:rPr/>
        <w:t>and</w:t>
      </w:r>
      <w:r>
        <w:rPr>
          <w:spacing w:val="-2"/>
        </w:rPr>
        <w:t> </w:t>
      </w:r>
      <w:r>
        <w:rPr/>
        <w:t>Analysis</w:t>
      </w:r>
      <w:r>
        <w:rPr>
          <w:spacing w:val="-3"/>
        </w:rPr>
        <w:t> </w:t>
      </w:r>
      <w:r>
        <w:rPr/>
        <w:t>of</w:t>
      </w:r>
      <w:r>
        <w:rPr>
          <w:spacing w:val="-2"/>
        </w:rPr>
        <w:t> </w:t>
      </w:r>
      <w:r>
        <w:rPr/>
        <w:t>Financial</w:t>
      </w:r>
      <w:r>
        <w:rPr>
          <w:spacing w:val="-3"/>
        </w:rPr>
        <w:t> </w:t>
      </w:r>
      <w:r>
        <w:rPr/>
        <w:t>Condition</w:t>
      </w:r>
      <w:r>
        <w:rPr>
          <w:spacing w:val="-2"/>
        </w:rPr>
        <w:t> </w:t>
      </w:r>
      <w:r>
        <w:rPr/>
        <w:t>and</w:t>
      </w:r>
      <w:r>
        <w:rPr>
          <w:spacing w:val="-2"/>
        </w:rPr>
        <w:t> </w:t>
      </w:r>
      <w:r>
        <w:rPr/>
        <w:t>Results</w:t>
      </w:r>
      <w:r>
        <w:rPr>
          <w:spacing w:val="-3"/>
        </w:rPr>
        <w:t> </w:t>
      </w:r>
      <w:r>
        <w:rPr/>
        <w:t>of</w:t>
      </w:r>
      <w:r>
        <w:rPr>
          <w:spacing w:val="-2"/>
        </w:rPr>
        <w:t> </w:t>
      </w:r>
      <w:r>
        <w:rPr/>
        <w:t>Operations</w:t>
      </w:r>
      <w:r>
        <w:rPr>
          <w:spacing w:val="-3"/>
        </w:rPr>
        <w:t> </w:t>
      </w:r>
      <w:r>
        <w:rPr/>
        <w:t>–</w:t>
      </w:r>
      <w:r>
        <w:rPr>
          <w:spacing w:val="-2"/>
        </w:rPr>
        <w:t> </w:t>
      </w:r>
      <w:r>
        <w:rPr/>
        <w:t>Risk Management in the 2022 Form 10-K.</w:t>
      </w:r>
    </w:p>
    <w:p>
      <w:pPr>
        <w:spacing w:after="0" w:line="249" w:lineRule="auto"/>
        <w:sectPr>
          <w:pgSz w:w="12240" w:h="15840"/>
          <w:pgMar w:header="512" w:footer="201" w:top="1180" w:bottom="400" w:left="520" w:right="520"/>
        </w:sectPr>
      </w:pPr>
    </w:p>
    <w:p>
      <w:pPr>
        <w:pStyle w:val="Heading2"/>
        <w:spacing w:before="208"/>
      </w:pPr>
      <w:bookmarkStart w:name="Liquidity Risk" w:id="19"/>
      <w:bookmarkEnd w:id="19"/>
      <w:r>
        <w:rPr>
          <w:b w:val="0"/>
        </w:rPr>
      </w:r>
      <w:r>
        <w:rPr/>
        <w:t>Liquidity</w:t>
      </w:r>
      <w:r>
        <w:rPr>
          <w:spacing w:val="-7"/>
        </w:rPr>
        <w:t> </w:t>
      </w:r>
      <w:r>
        <w:rPr>
          <w:spacing w:val="-4"/>
        </w:rPr>
        <w:t>Risk</w:t>
      </w:r>
    </w:p>
    <w:p>
      <w:pPr>
        <w:pStyle w:val="BodyText"/>
        <w:spacing w:before="23"/>
        <w:rPr>
          <w:b/>
        </w:rPr>
      </w:pPr>
    </w:p>
    <w:p>
      <w:pPr>
        <w:pStyle w:val="BodyText"/>
        <w:spacing w:line="249" w:lineRule="auto"/>
        <w:ind w:left="470" w:right="761"/>
      </w:pPr>
      <w:r>
        <w:rPr/>
        <w:t>Liquidity</w:t>
      </w:r>
      <w:r>
        <w:rPr>
          <w:spacing w:val="-2"/>
        </w:rPr>
        <w:t> </w:t>
      </w:r>
      <w:r>
        <w:rPr/>
        <w:t>risk</w:t>
      </w:r>
      <w:r>
        <w:rPr>
          <w:spacing w:val="-2"/>
        </w:rPr>
        <w:t> </w:t>
      </w:r>
      <w:r>
        <w:rPr/>
        <w:t>is</w:t>
      </w:r>
      <w:r>
        <w:rPr>
          <w:spacing w:val="-3"/>
        </w:rPr>
        <w:t> </w:t>
      </w:r>
      <w:r>
        <w:rPr/>
        <w:t>the</w:t>
      </w:r>
      <w:r>
        <w:rPr>
          <w:spacing w:val="-3"/>
        </w:rPr>
        <w:t> </w:t>
      </w:r>
      <w:r>
        <w:rPr/>
        <w:t>potential</w:t>
      </w:r>
      <w:r>
        <w:rPr>
          <w:spacing w:val="-3"/>
        </w:rPr>
        <w:t> </w:t>
      </w:r>
      <w:r>
        <w:rPr/>
        <w:t>that</w:t>
      </w:r>
      <w:r>
        <w:rPr>
          <w:spacing w:val="-3"/>
        </w:rPr>
        <w:t> </w:t>
      </w:r>
      <w:r>
        <w:rPr/>
        <w:t>Schwab</w:t>
      </w:r>
      <w:r>
        <w:rPr>
          <w:spacing w:val="-2"/>
        </w:rPr>
        <w:t> </w:t>
      </w:r>
      <w:r>
        <w:rPr/>
        <w:t>will</w:t>
      </w:r>
      <w:r>
        <w:rPr>
          <w:spacing w:val="-3"/>
        </w:rPr>
        <w:t> </w:t>
      </w:r>
      <w:r>
        <w:rPr/>
        <w:t>be</w:t>
      </w:r>
      <w:r>
        <w:rPr>
          <w:spacing w:val="-3"/>
        </w:rPr>
        <w:t> </w:t>
      </w:r>
      <w:r>
        <w:rPr/>
        <w:t>unable</w:t>
      </w:r>
      <w:r>
        <w:rPr>
          <w:spacing w:val="-3"/>
        </w:rPr>
        <w:t> </w:t>
      </w:r>
      <w:r>
        <w:rPr/>
        <w:t>to</w:t>
      </w:r>
      <w:r>
        <w:rPr>
          <w:spacing w:val="-2"/>
        </w:rPr>
        <w:t> </w:t>
      </w:r>
      <w:r>
        <w:rPr/>
        <w:t>sell</w:t>
      </w:r>
      <w:r>
        <w:rPr>
          <w:spacing w:val="-3"/>
        </w:rPr>
        <w:t> </w:t>
      </w:r>
      <w:r>
        <w:rPr/>
        <w:t>assets</w:t>
      </w:r>
      <w:r>
        <w:rPr>
          <w:spacing w:val="-3"/>
        </w:rPr>
        <w:t> </w:t>
      </w:r>
      <w:r>
        <w:rPr/>
        <w:t>or</w:t>
      </w:r>
      <w:r>
        <w:rPr>
          <w:spacing w:val="-2"/>
        </w:rPr>
        <w:t> </w:t>
      </w:r>
      <w:r>
        <w:rPr/>
        <w:t>meet</w:t>
      </w:r>
      <w:r>
        <w:rPr>
          <w:spacing w:val="-3"/>
        </w:rPr>
        <w:t> </w:t>
      </w:r>
      <w:r>
        <w:rPr/>
        <w:t>cash</w:t>
      </w:r>
      <w:r>
        <w:rPr>
          <w:spacing w:val="-2"/>
        </w:rPr>
        <w:t> </w:t>
      </w:r>
      <w:r>
        <w:rPr/>
        <w:t>flow</w:t>
      </w:r>
      <w:r>
        <w:rPr>
          <w:spacing w:val="-3"/>
        </w:rPr>
        <w:t> </w:t>
      </w:r>
      <w:r>
        <w:rPr/>
        <w:t>obligations</w:t>
      </w:r>
      <w:r>
        <w:rPr>
          <w:spacing w:val="-3"/>
        </w:rPr>
        <w:t> </w:t>
      </w:r>
      <w:r>
        <w:rPr/>
        <w:t>when</w:t>
      </w:r>
      <w:r>
        <w:rPr>
          <w:spacing w:val="-2"/>
        </w:rPr>
        <w:t> </w:t>
      </w:r>
      <w:r>
        <w:rPr/>
        <w:t>they</w:t>
      </w:r>
      <w:r>
        <w:rPr>
          <w:spacing w:val="-2"/>
        </w:rPr>
        <w:t> </w:t>
      </w:r>
      <w:r>
        <w:rPr/>
        <w:t>come</w:t>
      </w:r>
      <w:r>
        <w:rPr>
          <w:spacing w:val="-3"/>
        </w:rPr>
        <w:t> </w:t>
      </w:r>
      <w:r>
        <w:rPr/>
        <w:t>due without incurring unacceptable losses.</w:t>
      </w:r>
    </w:p>
    <w:p>
      <w:pPr>
        <w:pStyle w:val="BodyText"/>
        <w:spacing w:before="12"/>
      </w:pPr>
    </w:p>
    <w:p>
      <w:pPr>
        <w:pStyle w:val="BodyText"/>
        <w:spacing w:line="249" w:lineRule="auto"/>
        <w:ind w:left="470" w:right="513"/>
      </w:pPr>
      <w:r>
        <w:rPr/>
        <w:t>Due</w:t>
      </w:r>
      <w:r>
        <w:rPr>
          <w:spacing w:val="-3"/>
        </w:rPr>
        <w:t> </w:t>
      </w:r>
      <w:r>
        <w:rPr/>
        <w:t>to</w:t>
      </w:r>
      <w:r>
        <w:rPr>
          <w:spacing w:val="-2"/>
        </w:rPr>
        <w:t> </w:t>
      </w:r>
      <w:r>
        <w:rPr/>
        <w:t>its</w:t>
      </w:r>
      <w:r>
        <w:rPr>
          <w:spacing w:val="-3"/>
        </w:rPr>
        <w:t> </w:t>
      </w:r>
      <w:r>
        <w:rPr/>
        <w:t>role</w:t>
      </w:r>
      <w:r>
        <w:rPr>
          <w:spacing w:val="-3"/>
        </w:rPr>
        <w:t> </w:t>
      </w:r>
      <w:r>
        <w:rPr/>
        <w:t>as</w:t>
      </w:r>
      <w:r>
        <w:rPr>
          <w:spacing w:val="-3"/>
        </w:rPr>
        <w:t> </w:t>
      </w:r>
      <w:r>
        <w:rPr/>
        <w:t>a</w:t>
      </w:r>
      <w:r>
        <w:rPr>
          <w:spacing w:val="-3"/>
        </w:rPr>
        <w:t> </w:t>
      </w:r>
      <w:r>
        <w:rPr/>
        <w:t>source</w:t>
      </w:r>
      <w:r>
        <w:rPr>
          <w:spacing w:val="-3"/>
        </w:rPr>
        <w:t> </w:t>
      </w:r>
      <w:r>
        <w:rPr/>
        <w:t>of</w:t>
      </w:r>
      <w:r>
        <w:rPr>
          <w:spacing w:val="-2"/>
        </w:rPr>
        <w:t> </w:t>
      </w:r>
      <w:r>
        <w:rPr/>
        <w:t>financial</w:t>
      </w:r>
      <w:r>
        <w:rPr>
          <w:spacing w:val="-3"/>
        </w:rPr>
        <w:t> </w:t>
      </w:r>
      <w:r>
        <w:rPr/>
        <w:t>strength,</w:t>
      </w:r>
      <w:r>
        <w:rPr>
          <w:spacing w:val="-2"/>
        </w:rPr>
        <w:t> </w:t>
      </w:r>
      <w:r>
        <w:rPr/>
        <w:t>CSC’s</w:t>
      </w:r>
      <w:r>
        <w:rPr>
          <w:spacing w:val="-3"/>
        </w:rPr>
        <w:t> </w:t>
      </w:r>
      <w:r>
        <w:rPr/>
        <w:t>liquidity</w:t>
      </w:r>
      <w:r>
        <w:rPr>
          <w:spacing w:val="-2"/>
        </w:rPr>
        <w:t> </w:t>
      </w:r>
      <w:r>
        <w:rPr/>
        <w:t>needs</w:t>
      </w:r>
      <w:r>
        <w:rPr>
          <w:spacing w:val="-3"/>
        </w:rPr>
        <w:t> </w:t>
      </w:r>
      <w:r>
        <w:rPr/>
        <w:t>are</w:t>
      </w:r>
      <w:r>
        <w:rPr>
          <w:spacing w:val="-3"/>
        </w:rPr>
        <w:t> </w:t>
      </w:r>
      <w:r>
        <w:rPr/>
        <w:t>primarily</w:t>
      </w:r>
      <w:r>
        <w:rPr>
          <w:spacing w:val="-2"/>
        </w:rPr>
        <w:t> </w:t>
      </w:r>
      <w:r>
        <w:rPr/>
        <w:t>driven</w:t>
      </w:r>
      <w:r>
        <w:rPr>
          <w:spacing w:val="-2"/>
        </w:rPr>
        <w:t> </w:t>
      </w:r>
      <w:r>
        <w:rPr/>
        <w:t>by</w:t>
      </w:r>
      <w:r>
        <w:rPr>
          <w:spacing w:val="-2"/>
        </w:rPr>
        <w:t> </w:t>
      </w:r>
      <w:r>
        <w:rPr/>
        <w:t>the</w:t>
      </w:r>
      <w:r>
        <w:rPr>
          <w:spacing w:val="-3"/>
        </w:rPr>
        <w:t> </w:t>
      </w:r>
      <w:r>
        <w:rPr/>
        <w:t>liquidity</w:t>
      </w:r>
      <w:r>
        <w:rPr>
          <w:spacing w:val="-2"/>
        </w:rPr>
        <w:t> </w:t>
      </w:r>
      <w:r>
        <w:rPr/>
        <w:t>and</w:t>
      </w:r>
      <w:r>
        <w:rPr>
          <w:spacing w:val="-2"/>
        </w:rPr>
        <w:t> </w:t>
      </w:r>
      <w:r>
        <w:rPr/>
        <w:t>capital</w:t>
      </w:r>
      <w:r>
        <w:rPr>
          <w:spacing w:val="-3"/>
        </w:rPr>
        <w:t> </w:t>
      </w:r>
      <w:r>
        <w:rPr/>
        <w:t>needs</w:t>
      </w:r>
      <w:r>
        <w:rPr>
          <w:spacing w:val="-3"/>
        </w:rPr>
        <w:t> </w:t>
      </w:r>
      <w:r>
        <w:rPr/>
        <w:t>of: CS&amp;Co, TD Ameritrade, Inc., and TDAC, our principal broker-dealer subsidiaries; the capital needs of the banking subsidiaries; principal and interest due on corporate debt, and dividend payments on CSC’s preferred and common stock. The liquidity needs of our broker-dealer subsidiaries are primarily driven by client activity including trading and margin lending activities and capital expenditures. The capital needs of the banking subsidiaries are primarily driven by client deposit levels and other borrowings. We have established liquidity policies to support the successful execution of business strategies, while ensuring ongoing and sufficient liquidity to meet operational needs and satisfy applicable regulatory requirements under both normal and stressed conditions. We seek to maintain client confidence in the balance sheet and the safety of client assets by maintaining liquidity and diversity of funding sources to allow the Company to meet its obligations. To this end, we have established limits and contingency funding plans to support liquidity levels during both business as usual and stressed </w:t>
      </w:r>
      <w:r>
        <w:rPr>
          <w:spacing w:val="-2"/>
        </w:rPr>
        <w:t>conditions.</w:t>
      </w:r>
    </w:p>
    <w:p>
      <w:pPr>
        <w:pStyle w:val="BodyText"/>
        <w:spacing w:before="19"/>
      </w:pPr>
    </w:p>
    <w:p>
      <w:pPr>
        <w:pStyle w:val="BodyText"/>
        <w:spacing w:line="249" w:lineRule="auto"/>
        <w:ind w:left="470" w:right="566"/>
      </w:pPr>
      <w:r>
        <w:rPr/>
        <w:t>We</w:t>
      </w:r>
      <w:r>
        <w:rPr>
          <w:spacing w:val="-3"/>
        </w:rPr>
        <w:t> </w:t>
      </w:r>
      <w:r>
        <w:rPr/>
        <w:t>employ</w:t>
      </w:r>
      <w:r>
        <w:rPr>
          <w:spacing w:val="-2"/>
        </w:rPr>
        <w:t> </w:t>
      </w:r>
      <w:r>
        <w:rPr/>
        <w:t>a</w:t>
      </w:r>
      <w:r>
        <w:rPr>
          <w:spacing w:val="-3"/>
        </w:rPr>
        <w:t> </w:t>
      </w:r>
      <w:r>
        <w:rPr/>
        <w:t>variety</w:t>
      </w:r>
      <w:r>
        <w:rPr>
          <w:spacing w:val="-2"/>
        </w:rPr>
        <w:t> </w:t>
      </w:r>
      <w:r>
        <w:rPr/>
        <w:t>of</w:t>
      </w:r>
      <w:r>
        <w:rPr>
          <w:spacing w:val="-2"/>
        </w:rPr>
        <w:t> </w:t>
      </w:r>
      <w:r>
        <w:rPr/>
        <w:t>metrics</w:t>
      </w:r>
      <w:r>
        <w:rPr>
          <w:spacing w:val="-3"/>
        </w:rPr>
        <w:t> </w:t>
      </w:r>
      <w:r>
        <w:rPr/>
        <w:t>to</w:t>
      </w:r>
      <w:r>
        <w:rPr>
          <w:spacing w:val="-2"/>
        </w:rPr>
        <w:t> </w:t>
      </w:r>
      <w:r>
        <w:rPr/>
        <w:t>monitor</w:t>
      </w:r>
      <w:r>
        <w:rPr>
          <w:spacing w:val="-2"/>
        </w:rPr>
        <w:t> </w:t>
      </w:r>
      <w:r>
        <w:rPr/>
        <w:t>and</w:t>
      </w:r>
      <w:r>
        <w:rPr>
          <w:spacing w:val="-2"/>
        </w:rPr>
        <w:t> </w:t>
      </w:r>
      <w:r>
        <w:rPr/>
        <w:t>manage</w:t>
      </w:r>
      <w:r>
        <w:rPr>
          <w:spacing w:val="-3"/>
        </w:rPr>
        <w:t> </w:t>
      </w:r>
      <w:r>
        <w:rPr/>
        <w:t>liquidity.</w:t>
      </w:r>
      <w:r>
        <w:rPr>
          <w:spacing w:val="-2"/>
        </w:rPr>
        <w:t> </w:t>
      </w:r>
      <w:r>
        <w:rPr/>
        <w:t>We</w:t>
      </w:r>
      <w:r>
        <w:rPr>
          <w:spacing w:val="-3"/>
        </w:rPr>
        <w:t> </w:t>
      </w:r>
      <w:r>
        <w:rPr/>
        <w:t>conduct</w:t>
      </w:r>
      <w:r>
        <w:rPr>
          <w:spacing w:val="-3"/>
        </w:rPr>
        <w:t> </w:t>
      </w:r>
      <w:r>
        <w:rPr/>
        <w:t>regular</w:t>
      </w:r>
      <w:r>
        <w:rPr>
          <w:spacing w:val="-2"/>
        </w:rPr>
        <w:t> </w:t>
      </w:r>
      <w:r>
        <w:rPr/>
        <w:t>liquidity</w:t>
      </w:r>
      <w:r>
        <w:rPr>
          <w:spacing w:val="-2"/>
        </w:rPr>
        <w:t> </w:t>
      </w:r>
      <w:r>
        <w:rPr/>
        <w:t>stress</w:t>
      </w:r>
      <w:r>
        <w:rPr>
          <w:spacing w:val="-3"/>
        </w:rPr>
        <w:t> </w:t>
      </w:r>
      <w:r>
        <w:rPr/>
        <w:t>testing</w:t>
      </w:r>
      <w:r>
        <w:rPr>
          <w:spacing w:val="-2"/>
        </w:rPr>
        <w:t> </w:t>
      </w:r>
      <w:r>
        <w:rPr/>
        <w:t>to</w:t>
      </w:r>
      <w:r>
        <w:rPr>
          <w:spacing w:val="-2"/>
        </w:rPr>
        <w:t> </w:t>
      </w:r>
      <w:r>
        <w:rPr/>
        <w:t>develop</w:t>
      </w:r>
      <w:r>
        <w:rPr>
          <w:spacing w:val="-2"/>
        </w:rPr>
        <w:t> </w:t>
      </w:r>
      <w:r>
        <w:rPr/>
        <w:t>a</w:t>
      </w:r>
      <w:r>
        <w:rPr>
          <w:spacing w:val="-3"/>
        </w:rPr>
        <w:t> </w:t>
      </w:r>
      <w:r>
        <w:rPr/>
        <w:t>view of liquidity risk exposures</w:t>
      </w:r>
      <w:r>
        <w:rPr>
          <w:spacing w:val="-1"/>
        </w:rPr>
        <w:t> </w:t>
      </w:r>
      <w:r>
        <w:rPr/>
        <w:t>and to ensure</w:t>
      </w:r>
      <w:r>
        <w:rPr>
          <w:spacing w:val="-1"/>
        </w:rPr>
        <w:t> </w:t>
      </w:r>
      <w:r>
        <w:rPr/>
        <w:t>our ability to maintain sufficient</w:t>
      </w:r>
      <w:r>
        <w:rPr>
          <w:spacing w:val="-1"/>
        </w:rPr>
        <w:t> </w:t>
      </w:r>
      <w:r>
        <w:rPr/>
        <w:t>liquidity during market-related or company-specific liquidity stress events. Liquidity sources are also tested periodically and results are reported to the Financial Risk Oversight Committee. A number of early warning indicators are monitored to help identify emerging liquidity stresses in the market or within the organization and are reviewed with management periodically.</w:t>
      </w:r>
    </w:p>
    <w:p>
      <w:pPr>
        <w:pStyle w:val="BodyText"/>
        <w:spacing w:before="14"/>
      </w:pPr>
    </w:p>
    <w:p>
      <w:pPr>
        <w:spacing w:before="0"/>
        <w:ind w:left="470" w:right="0" w:firstLine="0"/>
        <w:jc w:val="left"/>
        <w:rPr>
          <w:i/>
          <w:sz w:val="20"/>
        </w:rPr>
      </w:pPr>
      <w:r>
        <w:rPr>
          <w:i/>
          <w:sz w:val="20"/>
        </w:rPr>
        <w:t>Funding</w:t>
      </w:r>
      <w:r>
        <w:rPr>
          <w:i/>
          <w:spacing w:val="-2"/>
          <w:sz w:val="20"/>
        </w:rPr>
        <w:t> Sources</w:t>
      </w:r>
    </w:p>
    <w:p>
      <w:pPr>
        <w:pStyle w:val="BodyText"/>
        <w:spacing w:before="20"/>
        <w:rPr>
          <w:i/>
        </w:rPr>
      </w:pPr>
    </w:p>
    <w:p>
      <w:pPr>
        <w:pStyle w:val="BodyText"/>
        <w:spacing w:line="249" w:lineRule="auto"/>
        <w:ind w:left="470" w:right="600"/>
        <w:jc w:val="both"/>
      </w:pPr>
      <w:r>
        <w:rPr/>
        <w:t>Schwab’s</w:t>
      </w:r>
      <w:r>
        <w:rPr>
          <w:spacing w:val="-3"/>
        </w:rPr>
        <w:t> </w:t>
      </w:r>
      <w:r>
        <w:rPr/>
        <w:t>primary</w:t>
      </w:r>
      <w:r>
        <w:rPr>
          <w:spacing w:val="-3"/>
        </w:rPr>
        <w:t> </w:t>
      </w:r>
      <w:r>
        <w:rPr/>
        <w:t>source</w:t>
      </w:r>
      <w:r>
        <w:rPr>
          <w:spacing w:val="-3"/>
        </w:rPr>
        <w:t> </w:t>
      </w:r>
      <w:r>
        <w:rPr/>
        <w:t>of</w:t>
      </w:r>
      <w:r>
        <w:rPr>
          <w:spacing w:val="-3"/>
        </w:rPr>
        <w:t> </w:t>
      </w:r>
      <w:r>
        <w:rPr/>
        <w:t>funds</w:t>
      </w:r>
      <w:r>
        <w:rPr>
          <w:spacing w:val="-3"/>
        </w:rPr>
        <w:t> </w:t>
      </w:r>
      <w:r>
        <w:rPr/>
        <w:t>is</w:t>
      </w:r>
      <w:r>
        <w:rPr>
          <w:spacing w:val="-3"/>
        </w:rPr>
        <w:t> </w:t>
      </w:r>
      <w:r>
        <w:rPr/>
        <w:t>cash</w:t>
      </w:r>
      <w:r>
        <w:rPr>
          <w:spacing w:val="-3"/>
        </w:rPr>
        <w:t> </w:t>
      </w:r>
      <w:r>
        <w:rPr/>
        <w:t>generated</w:t>
      </w:r>
      <w:r>
        <w:rPr>
          <w:spacing w:val="-3"/>
        </w:rPr>
        <w:t> </w:t>
      </w:r>
      <w:r>
        <w:rPr/>
        <w:t>by</w:t>
      </w:r>
      <w:r>
        <w:rPr>
          <w:spacing w:val="-3"/>
        </w:rPr>
        <w:t> </w:t>
      </w:r>
      <w:r>
        <w:rPr/>
        <w:t>client</w:t>
      </w:r>
      <w:r>
        <w:rPr>
          <w:spacing w:val="-3"/>
        </w:rPr>
        <w:t> </w:t>
      </w:r>
      <w:r>
        <w:rPr/>
        <w:t>activity</w:t>
      </w:r>
      <w:r>
        <w:rPr>
          <w:spacing w:val="-3"/>
        </w:rPr>
        <w:t> </w:t>
      </w:r>
      <w:r>
        <w:rPr/>
        <w:t>which</w:t>
      </w:r>
      <w:r>
        <w:rPr>
          <w:spacing w:val="-3"/>
        </w:rPr>
        <w:t> </w:t>
      </w:r>
      <w:r>
        <w:rPr/>
        <w:t>includes</w:t>
      </w:r>
      <w:r>
        <w:rPr>
          <w:spacing w:val="-3"/>
        </w:rPr>
        <w:t> </w:t>
      </w:r>
      <w:r>
        <w:rPr/>
        <w:t>bank</w:t>
      </w:r>
      <w:r>
        <w:rPr>
          <w:spacing w:val="-3"/>
        </w:rPr>
        <w:t> </w:t>
      </w:r>
      <w:r>
        <w:rPr/>
        <w:t>deposits</w:t>
      </w:r>
      <w:r>
        <w:rPr>
          <w:spacing w:val="-3"/>
        </w:rPr>
        <w:t> </w:t>
      </w:r>
      <w:r>
        <w:rPr/>
        <w:t>and</w:t>
      </w:r>
      <w:r>
        <w:rPr>
          <w:spacing w:val="-3"/>
        </w:rPr>
        <w:t> </w:t>
      </w:r>
      <w:r>
        <w:rPr/>
        <w:t>cash</w:t>
      </w:r>
      <w:r>
        <w:rPr>
          <w:spacing w:val="-3"/>
        </w:rPr>
        <w:t> </w:t>
      </w:r>
      <w:r>
        <w:rPr/>
        <w:t>balances</w:t>
      </w:r>
      <w:r>
        <w:rPr>
          <w:spacing w:val="-3"/>
        </w:rPr>
        <w:t> </w:t>
      </w:r>
      <w:r>
        <w:rPr/>
        <w:t>in</w:t>
      </w:r>
      <w:r>
        <w:rPr>
          <w:spacing w:val="-3"/>
        </w:rPr>
        <w:t> </w:t>
      </w:r>
      <w:r>
        <w:rPr/>
        <w:t>client brokerage</w:t>
      </w:r>
      <w:r>
        <w:rPr>
          <w:spacing w:val="-3"/>
        </w:rPr>
        <w:t> </w:t>
      </w:r>
      <w:r>
        <w:rPr/>
        <w:t>accounts.</w:t>
      </w:r>
      <w:r>
        <w:rPr>
          <w:spacing w:val="-2"/>
        </w:rPr>
        <w:t> </w:t>
      </w:r>
      <w:r>
        <w:rPr/>
        <w:t>These</w:t>
      </w:r>
      <w:r>
        <w:rPr>
          <w:spacing w:val="-3"/>
        </w:rPr>
        <w:t> </w:t>
      </w:r>
      <w:r>
        <w:rPr/>
        <w:t>funds</w:t>
      </w:r>
      <w:r>
        <w:rPr>
          <w:spacing w:val="-3"/>
        </w:rPr>
        <w:t> </w:t>
      </w:r>
      <w:r>
        <w:rPr/>
        <w:t>are</w:t>
      </w:r>
      <w:r>
        <w:rPr>
          <w:spacing w:val="-3"/>
        </w:rPr>
        <w:t> </w:t>
      </w:r>
      <w:r>
        <w:rPr/>
        <w:t>used</w:t>
      </w:r>
      <w:r>
        <w:rPr>
          <w:spacing w:val="-2"/>
        </w:rPr>
        <w:t> </w:t>
      </w:r>
      <w:r>
        <w:rPr/>
        <w:t>to</w:t>
      </w:r>
      <w:r>
        <w:rPr>
          <w:spacing w:val="-2"/>
        </w:rPr>
        <w:t> </w:t>
      </w:r>
      <w:r>
        <w:rPr/>
        <w:t>purchase</w:t>
      </w:r>
      <w:r>
        <w:rPr>
          <w:spacing w:val="-3"/>
        </w:rPr>
        <w:t> </w:t>
      </w:r>
      <w:r>
        <w:rPr/>
        <w:t>investment</w:t>
      </w:r>
      <w:r>
        <w:rPr>
          <w:spacing w:val="-3"/>
        </w:rPr>
        <w:t> </w:t>
      </w:r>
      <w:r>
        <w:rPr/>
        <w:t>securities</w:t>
      </w:r>
      <w:r>
        <w:rPr>
          <w:spacing w:val="-3"/>
        </w:rPr>
        <w:t> </w:t>
      </w:r>
      <w:r>
        <w:rPr/>
        <w:t>and</w:t>
      </w:r>
      <w:r>
        <w:rPr>
          <w:spacing w:val="-2"/>
        </w:rPr>
        <w:t> </w:t>
      </w:r>
      <w:r>
        <w:rPr/>
        <w:t>extend</w:t>
      </w:r>
      <w:r>
        <w:rPr>
          <w:spacing w:val="-2"/>
        </w:rPr>
        <w:t> </w:t>
      </w:r>
      <w:r>
        <w:rPr/>
        <w:t>loans</w:t>
      </w:r>
      <w:r>
        <w:rPr>
          <w:spacing w:val="-3"/>
        </w:rPr>
        <w:t> </w:t>
      </w:r>
      <w:r>
        <w:rPr/>
        <w:t>to</w:t>
      </w:r>
      <w:r>
        <w:rPr>
          <w:spacing w:val="-2"/>
        </w:rPr>
        <w:t> </w:t>
      </w:r>
      <w:r>
        <w:rPr/>
        <w:t>clients.</w:t>
      </w:r>
      <w:r>
        <w:rPr>
          <w:spacing w:val="-2"/>
        </w:rPr>
        <w:t> </w:t>
      </w:r>
      <w:r>
        <w:rPr/>
        <w:t>Other</w:t>
      </w:r>
      <w:r>
        <w:rPr>
          <w:spacing w:val="-2"/>
        </w:rPr>
        <w:t> </w:t>
      </w:r>
      <w:r>
        <w:rPr/>
        <w:t>sources</w:t>
      </w:r>
      <w:r>
        <w:rPr>
          <w:spacing w:val="-3"/>
        </w:rPr>
        <w:t> </w:t>
      </w:r>
      <w:r>
        <w:rPr/>
        <w:t>of</w:t>
      </w:r>
      <w:r>
        <w:rPr>
          <w:spacing w:val="-2"/>
        </w:rPr>
        <w:t> </w:t>
      </w:r>
      <w:r>
        <w:rPr/>
        <w:t>funds may include cash flows from operations, maturities and sales of investment securities, repayments on loans, securities lending of</w:t>
      </w:r>
      <w:r>
        <w:rPr>
          <w:spacing w:val="-1"/>
        </w:rPr>
        <w:t> </w:t>
      </w:r>
      <w:r>
        <w:rPr/>
        <w:t>assets</w:t>
      </w:r>
      <w:r>
        <w:rPr>
          <w:spacing w:val="-2"/>
        </w:rPr>
        <w:t> </w:t>
      </w:r>
      <w:r>
        <w:rPr/>
        <w:t>held</w:t>
      </w:r>
      <w:r>
        <w:rPr>
          <w:spacing w:val="-1"/>
        </w:rPr>
        <w:t> </w:t>
      </w:r>
      <w:r>
        <w:rPr/>
        <w:t>in</w:t>
      </w:r>
      <w:r>
        <w:rPr>
          <w:spacing w:val="-1"/>
        </w:rPr>
        <w:t> </w:t>
      </w:r>
      <w:r>
        <w:rPr/>
        <w:t>client</w:t>
      </w:r>
      <w:r>
        <w:rPr>
          <w:spacing w:val="-2"/>
        </w:rPr>
        <w:t> </w:t>
      </w:r>
      <w:r>
        <w:rPr/>
        <w:t>brokerage</w:t>
      </w:r>
      <w:r>
        <w:rPr>
          <w:spacing w:val="-2"/>
        </w:rPr>
        <w:t> </w:t>
      </w:r>
      <w:r>
        <w:rPr/>
        <w:t>accounts,</w:t>
      </w:r>
      <w:r>
        <w:rPr>
          <w:spacing w:val="-1"/>
        </w:rPr>
        <w:t> </w:t>
      </w:r>
      <w:r>
        <w:rPr/>
        <w:t>FHLB</w:t>
      </w:r>
      <w:r>
        <w:rPr>
          <w:spacing w:val="-2"/>
        </w:rPr>
        <w:t> </w:t>
      </w:r>
      <w:r>
        <w:rPr/>
        <w:t>borrowings,</w:t>
      </w:r>
      <w:r>
        <w:rPr>
          <w:spacing w:val="-1"/>
        </w:rPr>
        <w:t> </w:t>
      </w:r>
      <w:r>
        <w:rPr/>
        <w:t>issuance</w:t>
      </w:r>
      <w:r>
        <w:rPr>
          <w:spacing w:val="-2"/>
        </w:rPr>
        <w:t> </w:t>
      </w:r>
      <w:r>
        <w:rPr/>
        <w:t>of</w:t>
      </w:r>
      <w:r>
        <w:rPr>
          <w:spacing w:val="-1"/>
        </w:rPr>
        <w:t> </w:t>
      </w:r>
      <w:r>
        <w:rPr/>
        <w:t>CDs,</w:t>
      </w:r>
      <w:r>
        <w:rPr>
          <w:spacing w:val="-1"/>
        </w:rPr>
        <w:t> </w:t>
      </w:r>
      <w:r>
        <w:rPr/>
        <w:t>cash</w:t>
      </w:r>
      <w:r>
        <w:rPr>
          <w:spacing w:val="-1"/>
        </w:rPr>
        <w:t> </w:t>
      </w:r>
      <w:r>
        <w:rPr/>
        <w:t>provided</w:t>
      </w:r>
      <w:r>
        <w:rPr>
          <w:spacing w:val="-1"/>
        </w:rPr>
        <w:t> </w:t>
      </w:r>
      <w:r>
        <w:rPr/>
        <w:t>by</w:t>
      </w:r>
      <w:r>
        <w:rPr>
          <w:spacing w:val="-1"/>
        </w:rPr>
        <w:t> </w:t>
      </w:r>
      <w:r>
        <w:rPr/>
        <w:t>securities</w:t>
      </w:r>
      <w:r>
        <w:rPr>
          <w:spacing w:val="-2"/>
        </w:rPr>
        <w:t> </w:t>
      </w:r>
      <w:r>
        <w:rPr/>
        <w:t>issuances</w:t>
      </w:r>
      <w:r>
        <w:rPr>
          <w:spacing w:val="-2"/>
        </w:rPr>
        <w:t> </w:t>
      </w:r>
      <w:r>
        <w:rPr/>
        <w:t>by</w:t>
      </w:r>
      <w:r>
        <w:rPr>
          <w:spacing w:val="-1"/>
        </w:rPr>
        <w:t> </w:t>
      </w:r>
      <w:r>
        <w:rPr/>
        <w:t>CSC in the capital markets, and other facilities described below.</w:t>
      </w:r>
    </w:p>
    <w:p>
      <w:pPr>
        <w:pStyle w:val="BodyText"/>
        <w:spacing w:before="14"/>
      </w:pPr>
    </w:p>
    <w:p>
      <w:pPr>
        <w:pStyle w:val="BodyText"/>
        <w:spacing w:line="249" w:lineRule="auto"/>
        <w:ind w:left="470"/>
      </w:pPr>
      <w:r>
        <w:rPr/>
        <w:t>To</w:t>
      </w:r>
      <w:r>
        <w:rPr>
          <w:spacing w:val="-3"/>
        </w:rPr>
        <w:t> </w:t>
      </w:r>
      <w:r>
        <w:rPr/>
        <w:t>meet</w:t>
      </w:r>
      <w:r>
        <w:rPr>
          <w:spacing w:val="-4"/>
        </w:rPr>
        <w:t> </w:t>
      </w:r>
      <w:r>
        <w:rPr/>
        <w:t>daily</w:t>
      </w:r>
      <w:r>
        <w:rPr>
          <w:spacing w:val="-3"/>
        </w:rPr>
        <w:t> </w:t>
      </w:r>
      <w:r>
        <w:rPr/>
        <w:t>funding</w:t>
      </w:r>
      <w:r>
        <w:rPr>
          <w:spacing w:val="-3"/>
        </w:rPr>
        <w:t> </w:t>
      </w:r>
      <w:r>
        <w:rPr/>
        <w:t>needs,</w:t>
      </w:r>
      <w:r>
        <w:rPr>
          <w:spacing w:val="-3"/>
        </w:rPr>
        <w:t> </w:t>
      </w:r>
      <w:r>
        <w:rPr/>
        <w:t>we</w:t>
      </w:r>
      <w:r>
        <w:rPr>
          <w:spacing w:val="-4"/>
        </w:rPr>
        <w:t> </w:t>
      </w:r>
      <w:r>
        <w:rPr/>
        <w:t>maintain</w:t>
      </w:r>
      <w:r>
        <w:rPr>
          <w:spacing w:val="-3"/>
        </w:rPr>
        <w:t> </w:t>
      </w:r>
      <w:r>
        <w:rPr/>
        <w:t>liquidity</w:t>
      </w:r>
      <w:r>
        <w:rPr>
          <w:spacing w:val="-3"/>
        </w:rPr>
        <w:t> </w:t>
      </w:r>
      <w:r>
        <w:rPr/>
        <w:t>in</w:t>
      </w:r>
      <w:r>
        <w:rPr>
          <w:spacing w:val="-3"/>
        </w:rPr>
        <w:t> </w:t>
      </w:r>
      <w:r>
        <w:rPr/>
        <w:t>the</w:t>
      </w:r>
      <w:r>
        <w:rPr>
          <w:spacing w:val="-4"/>
        </w:rPr>
        <w:t> </w:t>
      </w:r>
      <w:r>
        <w:rPr/>
        <w:t>form</w:t>
      </w:r>
      <w:r>
        <w:rPr>
          <w:spacing w:val="-4"/>
        </w:rPr>
        <w:t> </w:t>
      </w:r>
      <w:r>
        <w:rPr/>
        <w:t>of</w:t>
      </w:r>
      <w:r>
        <w:rPr>
          <w:spacing w:val="-3"/>
        </w:rPr>
        <w:t> </w:t>
      </w:r>
      <w:r>
        <w:rPr/>
        <w:t>overnight</w:t>
      </w:r>
      <w:r>
        <w:rPr>
          <w:spacing w:val="-4"/>
        </w:rPr>
        <w:t> </w:t>
      </w:r>
      <w:r>
        <w:rPr/>
        <w:t>cash</w:t>
      </w:r>
      <w:r>
        <w:rPr>
          <w:spacing w:val="-3"/>
        </w:rPr>
        <w:t> </w:t>
      </w:r>
      <w:r>
        <w:rPr/>
        <w:t>deposits</w:t>
      </w:r>
      <w:r>
        <w:rPr>
          <w:spacing w:val="-4"/>
        </w:rPr>
        <w:t> </w:t>
      </w:r>
      <w:r>
        <w:rPr/>
        <w:t>and</w:t>
      </w:r>
      <w:r>
        <w:rPr>
          <w:spacing w:val="-3"/>
        </w:rPr>
        <w:t> </w:t>
      </w:r>
      <w:r>
        <w:rPr/>
        <w:t>short-term</w:t>
      </w:r>
      <w:r>
        <w:rPr>
          <w:spacing w:val="-4"/>
        </w:rPr>
        <w:t> </w:t>
      </w:r>
      <w:r>
        <w:rPr/>
        <w:t>investments.</w:t>
      </w:r>
      <w:r>
        <w:rPr>
          <w:spacing w:val="-3"/>
        </w:rPr>
        <w:t> </w:t>
      </w:r>
      <w:r>
        <w:rPr/>
        <w:t>For unanticipated liquidity needs, we also maintain a buffer of highly liquid investments, including U.S. Treasury securities.</w:t>
      </w:r>
    </w:p>
    <w:p>
      <w:pPr>
        <w:pStyle w:val="BodyText"/>
        <w:spacing w:before="12"/>
      </w:pPr>
    </w:p>
    <w:p>
      <w:pPr>
        <w:pStyle w:val="BodyText"/>
        <w:spacing w:line="249" w:lineRule="auto"/>
        <w:ind w:left="470" w:right="761"/>
      </w:pPr>
      <w:r>
        <w:rPr/>
        <w:t>Our</w:t>
      </w:r>
      <w:r>
        <w:rPr>
          <w:spacing w:val="-3"/>
        </w:rPr>
        <w:t> </w:t>
      </w:r>
      <w:r>
        <w:rPr/>
        <w:t>clients’</w:t>
      </w:r>
      <w:r>
        <w:rPr>
          <w:spacing w:val="-3"/>
        </w:rPr>
        <w:t> </w:t>
      </w:r>
      <w:r>
        <w:rPr/>
        <w:t>bank</w:t>
      </w:r>
      <w:r>
        <w:rPr>
          <w:spacing w:val="-3"/>
        </w:rPr>
        <w:t> </w:t>
      </w:r>
      <w:r>
        <w:rPr/>
        <w:t>deposits</w:t>
      </w:r>
      <w:r>
        <w:rPr>
          <w:spacing w:val="-4"/>
        </w:rPr>
        <w:t> </w:t>
      </w:r>
      <w:r>
        <w:rPr/>
        <w:t>and</w:t>
      </w:r>
      <w:r>
        <w:rPr>
          <w:spacing w:val="-3"/>
        </w:rPr>
        <w:t> </w:t>
      </w:r>
      <w:r>
        <w:rPr/>
        <w:t>brokerage</w:t>
      </w:r>
      <w:r>
        <w:rPr>
          <w:spacing w:val="-4"/>
        </w:rPr>
        <w:t> </w:t>
      </w:r>
      <w:r>
        <w:rPr/>
        <w:t>cash</w:t>
      </w:r>
      <w:r>
        <w:rPr>
          <w:spacing w:val="-3"/>
        </w:rPr>
        <w:t> </w:t>
      </w:r>
      <w:r>
        <w:rPr/>
        <w:t>balances</w:t>
      </w:r>
      <w:r>
        <w:rPr>
          <w:spacing w:val="-4"/>
        </w:rPr>
        <w:t> </w:t>
      </w:r>
      <w:r>
        <w:rPr/>
        <w:t>primarily</w:t>
      </w:r>
      <w:r>
        <w:rPr>
          <w:spacing w:val="-3"/>
        </w:rPr>
        <w:t> </w:t>
      </w:r>
      <w:r>
        <w:rPr/>
        <w:t>originate</w:t>
      </w:r>
      <w:r>
        <w:rPr>
          <w:spacing w:val="-4"/>
        </w:rPr>
        <w:t> </w:t>
      </w:r>
      <w:r>
        <w:rPr/>
        <w:t>from</w:t>
      </w:r>
      <w:r>
        <w:rPr>
          <w:spacing w:val="-4"/>
        </w:rPr>
        <w:t> </w:t>
      </w:r>
      <w:r>
        <w:rPr/>
        <w:t>our</w:t>
      </w:r>
      <w:r>
        <w:rPr>
          <w:spacing w:val="-3"/>
        </w:rPr>
        <w:t> </w:t>
      </w:r>
      <w:r>
        <w:rPr/>
        <w:t>34.5</w:t>
      </w:r>
      <w:r>
        <w:rPr>
          <w:spacing w:val="-3"/>
        </w:rPr>
        <w:t> </w:t>
      </w:r>
      <w:r>
        <w:rPr/>
        <w:t>million</w:t>
      </w:r>
      <w:r>
        <w:rPr>
          <w:spacing w:val="-3"/>
        </w:rPr>
        <w:t> </w:t>
      </w:r>
      <w:r>
        <w:rPr/>
        <w:t>active</w:t>
      </w:r>
      <w:r>
        <w:rPr>
          <w:spacing w:val="-4"/>
        </w:rPr>
        <w:t> </w:t>
      </w:r>
      <w:r>
        <w:rPr/>
        <w:t>brokerage</w:t>
      </w:r>
      <w:r>
        <w:rPr>
          <w:spacing w:val="-4"/>
        </w:rPr>
        <w:t> </w:t>
      </w:r>
      <w:r>
        <w:rPr/>
        <w:t>accounts. More</w:t>
      </w:r>
      <w:r>
        <w:rPr>
          <w:spacing w:val="-1"/>
        </w:rPr>
        <w:t> </w:t>
      </w:r>
      <w:r>
        <w:rPr/>
        <w:t>than 80% of our bank deposits</w:t>
      </w:r>
      <w:r>
        <w:rPr>
          <w:spacing w:val="-1"/>
        </w:rPr>
        <w:t> </w:t>
      </w:r>
      <w:r>
        <w:rPr/>
        <w:t>qualified for FDIC</w:t>
      </w:r>
      <w:r>
        <w:rPr>
          <w:spacing w:val="-1"/>
        </w:rPr>
        <w:t> </w:t>
      </w:r>
      <w:r>
        <w:rPr/>
        <w:t>insurance</w:t>
      </w:r>
      <w:r>
        <w:rPr>
          <w:spacing w:val="-1"/>
        </w:rPr>
        <w:t> </w:t>
      </w:r>
      <w:r>
        <w:rPr/>
        <w:t>as</w:t>
      </w:r>
      <w:r>
        <w:rPr>
          <w:spacing w:val="-1"/>
        </w:rPr>
        <w:t> </w:t>
      </w:r>
      <w:r>
        <w:rPr/>
        <w:t>of September 30, 2023. Our clients’ allocation of cash held on our balance sheet as bank deposits or payables to brokerage clients is sensitive to interest rate levels, with clients typically increasing their utilization of investment cash solutions such as purchased money market funds and certain fixed income products when those yields are higher than those of cash sweep features.</w:t>
      </w:r>
    </w:p>
    <w:p>
      <w:pPr>
        <w:pStyle w:val="BodyText"/>
        <w:spacing w:before="14"/>
      </w:pPr>
    </w:p>
    <w:p>
      <w:pPr>
        <w:pStyle w:val="BodyText"/>
        <w:spacing w:line="249" w:lineRule="auto"/>
        <w:ind w:left="470" w:right="470"/>
      </w:pPr>
      <w:r>
        <w:rPr/>
        <w:t>Schwab’s need for borrowings from external debt facilities arises primarily from timing differences between cash flow requirements,</w:t>
      </w:r>
      <w:r>
        <w:rPr>
          <w:spacing w:val="-1"/>
        </w:rPr>
        <w:t> </w:t>
      </w:r>
      <w:r>
        <w:rPr/>
        <w:t>including</w:t>
      </w:r>
      <w:r>
        <w:rPr>
          <w:spacing w:val="-1"/>
        </w:rPr>
        <w:t> </w:t>
      </w:r>
      <w:r>
        <w:rPr/>
        <w:t>in</w:t>
      </w:r>
      <w:r>
        <w:rPr>
          <w:spacing w:val="-1"/>
        </w:rPr>
        <w:t> </w:t>
      </w:r>
      <w:r>
        <w:rPr/>
        <w:t>the</w:t>
      </w:r>
      <w:r>
        <w:rPr>
          <w:spacing w:val="-2"/>
        </w:rPr>
        <w:t> </w:t>
      </w:r>
      <w:r>
        <w:rPr/>
        <w:t>event</w:t>
      </w:r>
      <w:r>
        <w:rPr>
          <w:spacing w:val="-2"/>
        </w:rPr>
        <w:t> </w:t>
      </w:r>
      <w:r>
        <w:rPr/>
        <w:t>the</w:t>
      </w:r>
      <w:r>
        <w:rPr>
          <w:spacing w:val="-2"/>
        </w:rPr>
        <w:t> </w:t>
      </w:r>
      <w:r>
        <w:rPr/>
        <w:t>outflow</w:t>
      </w:r>
      <w:r>
        <w:rPr>
          <w:spacing w:val="-2"/>
        </w:rPr>
        <w:t> </w:t>
      </w:r>
      <w:r>
        <w:rPr/>
        <w:t>of</w:t>
      </w:r>
      <w:r>
        <w:rPr>
          <w:spacing w:val="-1"/>
        </w:rPr>
        <w:t> </w:t>
      </w:r>
      <w:r>
        <w:rPr/>
        <w:t>client</w:t>
      </w:r>
      <w:r>
        <w:rPr>
          <w:spacing w:val="-2"/>
        </w:rPr>
        <w:t> </w:t>
      </w:r>
      <w:r>
        <w:rPr/>
        <w:t>cash</w:t>
      </w:r>
      <w:r>
        <w:rPr>
          <w:spacing w:val="-1"/>
        </w:rPr>
        <w:t> </w:t>
      </w:r>
      <w:r>
        <w:rPr/>
        <w:t>from</w:t>
      </w:r>
      <w:r>
        <w:rPr>
          <w:spacing w:val="-2"/>
        </w:rPr>
        <w:t> </w:t>
      </w:r>
      <w:r>
        <w:rPr/>
        <w:t>the</w:t>
      </w:r>
      <w:r>
        <w:rPr>
          <w:spacing w:val="-2"/>
        </w:rPr>
        <w:t> </w:t>
      </w:r>
      <w:r>
        <w:rPr/>
        <w:t>balance</w:t>
      </w:r>
      <w:r>
        <w:rPr>
          <w:spacing w:val="-2"/>
        </w:rPr>
        <w:t> </w:t>
      </w:r>
      <w:r>
        <w:rPr/>
        <w:t>sheet</w:t>
      </w:r>
      <w:r>
        <w:rPr>
          <w:spacing w:val="-2"/>
        </w:rPr>
        <w:t> </w:t>
      </w:r>
      <w:r>
        <w:rPr/>
        <w:t>is</w:t>
      </w:r>
      <w:r>
        <w:rPr>
          <w:spacing w:val="-2"/>
        </w:rPr>
        <w:t> </w:t>
      </w:r>
      <w:r>
        <w:rPr/>
        <w:t>greater</w:t>
      </w:r>
      <w:r>
        <w:rPr>
          <w:spacing w:val="-1"/>
        </w:rPr>
        <w:t> </w:t>
      </w:r>
      <w:r>
        <w:rPr/>
        <w:t>than</w:t>
      </w:r>
      <w:r>
        <w:rPr>
          <w:spacing w:val="-1"/>
        </w:rPr>
        <w:t> </w:t>
      </w:r>
      <w:r>
        <w:rPr/>
        <w:t>cash</w:t>
      </w:r>
      <w:r>
        <w:rPr>
          <w:spacing w:val="-1"/>
        </w:rPr>
        <w:t> </w:t>
      </w:r>
      <w:r>
        <w:rPr/>
        <w:t>flows</w:t>
      </w:r>
      <w:r>
        <w:rPr>
          <w:spacing w:val="-2"/>
        </w:rPr>
        <w:t> </w:t>
      </w:r>
      <w:r>
        <w:rPr/>
        <w:t>from</w:t>
      </w:r>
      <w:r>
        <w:rPr>
          <w:spacing w:val="-2"/>
        </w:rPr>
        <w:t> </w:t>
      </w:r>
      <w:r>
        <w:rPr/>
        <w:t>operations and investment securities and bank loans; payments on interest-earning investments; movements of cash to meet regulatory brokerage</w:t>
      </w:r>
      <w:r>
        <w:rPr>
          <w:spacing w:val="-4"/>
        </w:rPr>
        <w:t> </w:t>
      </w:r>
      <w:r>
        <w:rPr/>
        <w:t>client</w:t>
      </w:r>
      <w:r>
        <w:rPr>
          <w:spacing w:val="-4"/>
        </w:rPr>
        <w:t> </w:t>
      </w:r>
      <w:r>
        <w:rPr/>
        <w:t>cash</w:t>
      </w:r>
      <w:r>
        <w:rPr>
          <w:spacing w:val="-3"/>
        </w:rPr>
        <w:t> </w:t>
      </w:r>
      <w:r>
        <w:rPr/>
        <w:t>segregation</w:t>
      </w:r>
      <w:r>
        <w:rPr>
          <w:spacing w:val="-3"/>
        </w:rPr>
        <w:t> </w:t>
      </w:r>
      <w:r>
        <w:rPr/>
        <w:t>requirements;</w:t>
      </w:r>
      <w:r>
        <w:rPr>
          <w:spacing w:val="-4"/>
        </w:rPr>
        <w:t> </w:t>
      </w:r>
      <w:r>
        <w:rPr/>
        <w:t>and</w:t>
      </w:r>
      <w:r>
        <w:rPr>
          <w:spacing w:val="-3"/>
        </w:rPr>
        <w:t> </w:t>
      </w:r>
      <w:r>
        <w:rPr/>
        <w:t>general</w:t>
      </w:r>
      <w:r>
        <w:rPr>
          <w:spacing w:val="-4"/>
        </w:rPr>
        <w:t> </w:t>
      </w:r>
      <w:r>
        <w:rPr/>
        <w:t>corporate</w:t>
      </w:r>
      <w:r>
        <w:rPr>
          <w:spacing w:val="-4"/>
        </w:rPr>
        <w:t> </w:t>
      </w:r>
      <w:r>
        <w:rPr/>
        <w:t>purposes.</w:t>
      </w:r>
      <w:r>
        <w:rPr>
          <w:spacing w:val="-3"/>
        </w:rPr>
        <w:t> </w:t>
      </w:r>
      <w:r>
        <w:rPr/>
        <w:t>We</w:t>
      </w:r>
      <w:r>
        <w:rPr>
          <w:spacing w:val="-4"/>
        </w:rPr>
        <w:t> </w:t>
      </w:r>
      <w:r>
        <w:rPr/>
        <w:t>maintain</w:t>
      </w:r>
      <w:r>
        <w:rPr>
          <w:spacing w:val="-3"/>
        </w:rPr>
        <w:t> </w:t>
      </w:r>
      <w:r>
        <w:rPr/>
        <w:t>policies</w:t>
      </w:r>
      <w:r>
        <w:rPr>
          <w:spacing w:val="-4"/>
        </w:rPr>
        <w:t> </w:t>
      </w:r>
      <w:r>
        <w:rPr/>
        <w:t>and</w:t>
      </w:r>
      <w:r>
        <w:rPr>
          <w:spacing w:val="-3"/>
        </w:rPr>
        <w:t> </w:t>
      </w:r>
      <w:r>
        <w:rPr/>
        <w:t>procedures</w:t>
      </w:r>
      <w:r>
        <w:rPr>
          <w:spacing w:val="-4"/>
        </w:rPr>
        <w:t> </w:t>
      </w:r>
      <w:r>
        <w:rPr/>
        <w:t>necessary to access funding, and test borrowing procedures on a periodic basis. Rollover risk is the risk that we will not be able to refinance or payoff borrowings as they mature. We manage rollover risk on borrowings, taking into account expected principal paydowns on our investment and loan portfolios along with expected deposit flows.</w:t>
      </w:r>
    </w:p>
    <w:p>
      <w:pPr>
        <w:spacing w:after="0" w:line="249" w:lineRule="auto"/>
        <w:sectPr>
          <w:pgSz w:w="12240" w:h="15840"/>
          <w:pgMar w:header="512" w:footer="201" w:top="1180" w:bottom="400" w:left="520" w:right="520"/>
        </w:sectPr>
      </w:pPr>
    </w:p>
    <w:p>
      <w:pPr>
        <w:pStyle w:val="BodyText"/>
        <w:spacing w:before="4"/>
        <w:rPr>
          <w:sz w:val="10"/>
        </w:rPr>
      </w:pPr>
    </w:p>
    <w:p>
      <w:pPr>
        <w:spacing w:after="0"/>
        <w:rPr>
          <w:sz w:val="10"/>
        </w:rPr>
        <w:sectPr>
          <w:pgSz w:w="12240" w:h="15840"/>
          <w:pgMar w:header="512" w:footer="201" w:top="1180" w:bottom="400" w:left="520" w:right="520"/>
        </w:sectPr>
      </w:pPr>
    </w:p>
    <w:p>
      <w:pPr>
        <w:pStyle w:val="BodyText"/>
        <w:spacing w:before="92"/>
        <w:ind w:left="470"/>
      </w:pPr>
      <w:r>
        <w:rPr/>
        <mc:AlternateContent>
          <mc:Choice Requires="wps">
            <w:drawing>
              <wp:anchor distT="0" distB="0" distL="0" distR="0" allowOverlap="1" layoutInCell="1" locked="0" behindDoc="0" simplePos="0" relativeHeight="15736320">
                <wp:simplePos x="0" y="0"/>
                <wp:positionH relativeFrom="page">
                  <wp:posOffset>628650</wp:posOffset>
                </wp:positionH>
                <wp:positionV relativeFrom="paragraph">
                  <wp:posOffset>238506</wp:posOffset>
                </wp:positionV>
                <wp:extent cx="6515100" cy="635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6515100" cy="6350"/>
                          <a:chExt cx="6515100" cy="6350"/>
                        </a:xfrm>
                      </wpg:grpSpPr>
                      <wps:wsp>
                        <wps:cNvPr id="49" name="Graphic 49"/>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50" name="Graphic 50"/>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18.78002pt;width:513pt;height:.5pt;mso-position-horizontal-relative:page;mso-position-vertical-relative:paragraph;z-index:15736320" id="docshapegroup35" coordorigin="990,376" coordsize="10260,10">
                <v:shape style="position:absolute;left:990;top:380;width:10260;height:2" id="docshape36" coordorigin="990,381" coordsize="10260,0" path="m11250,381l990,381e" filled="true" fillcolor="#000000" stroked="false">
                  <v:path arrowok="t"/>
                  <v:fill opacity="0f" type="solid"/>
                </v:shape>
                <v:line style="position:absolute" from="990,381" to="11250,381" stroked="true" strokeweight=".5pt" strokecolor="#000000">
                  <v:stroke dashstyle="solid"/>
                </v:line>
                <w10:wrap type="none"/>
              </v:group>
            </w:pict>
          </mc:Fallback>
        </mc:AlternateContent>
      </w:r>
      <w:r>
        <w:rPr/>
        <w:t>The</w:t>
      </w:r>
      <w:r>
        <w:rPr>
          <w:spacing w:val="-7"/>
        </w:rPr>
        <w:t> </w:t>
      </w:r>
      <w:r>
        <w:rPr/>
        <w:t>following</w:t>
      </w:r>
      <w:r>
        <w:rPr>
          <w:spacing w:val="-4"/>
        </w:rPr>
        <w:t> </w:t>
      </w:r>
      <w:r>
        <w:rPr/>
        <w:t>table</w:t>
      </w:r>
      <w:r>
        <w:rPr>
          <w:spacing w:val="-4"/>
        </w:rPr>
        <w:t> </w:t>
      </w:r>
      <w:r>
        <w:rPr/>
        <w:t>describes</w:t>
      </w:r>
      <w:r>
        <w:rPr>
          <w:spacing w:val="-5"/>
        </w:rPr>
        <w:t> </w:t>
      </w:r>
      <w:r>
        <w:rPr/>
        <w:t>external</w:t>
      </w:r>
      <w:r>
        <w:rPr>
          <w:spacing w:val="-4"/>
        </w:rPr>
        <w:t> </w:t>
      </w:r>
      <w:r>
        <w:rPr/>
        <w:t>debt</w:t>
      </w:r>
      <w:r>
        <w:rPr>
          <w:spacing w:val="-5"/>
        </w:rPr>
        <w:t> </w:t>
      </w:r>
      <w:r>
        <w:rPr/>
        <w:t>facilities</w:t>
      </w:r>
      <w:r>
        <w:rPr>
          <w:spacing w:val="-4"/>
        </w:rPr>
        <w:t> </w:t>
      </w:r>
      <w:r>
        <w:rPr/>
        <w:t>available</w:t>
      </w:r>
      <w:r>
        <w:rPr>
          <w:spacing w:val="-5"/>
        </w:rPr>
        <w:t> </w:t>
      </w:r>
      <w:r>
        <w:rPr/>
        <w:t>at</w:t>
      </w:r>
      <w:r>
        <w:rPr>
          <w:spacing w:val="-4"/>
        </w:rPr>
        <w:t> </w:t>
      </w:r>
      <w:r>
        <w:rPr/>
        <w:t>September</w:t>
      </w:r>
      <w:r>
        <w:rPr>
          <w:spacing w:val="-4"/>
        </w:rPr>
        <w:t> </w:t>
      </w:r>
      <w:r>
        <w:rPr/>
        <w:t>30,</w:t>
      </w:r>
      <w:r>
        <w:rPr>
          <w:spacing w:val="-3"/>
        </w:rPr>
        <w:t> </w:t>
      </w:r>
      <w:r>
        <w:rPr>
          <w:spacing w:val="-2"/>
        </w:rPr>
        <w:t>2023:</w:t>
      </w:r>
    </w:p>
    <w:p>
      <w:pPr>
        <w:spacing w:line="240" w:lineRule="auto" w:before="0"/>
        <w:rPr>
          <w:sz w:val="16"/>
        </w:rPr>
      </w:pPr>
      <w:r>
        <w:rPr/>
        <w:br w:type="column"/>
      </w:r>
      <w:r>
        <w:rPr>
          <w:sz w:val="16"/>
        </w:rPr>
      </w:r>
    </w:p>
    <w:p>
      <w:pPr>
        <w:pStyle w:val="BodyText"/>
        <w:rPr>
          <w:sz w:val="16"/>
        </w:rPr>
      </w:pPr>
    </w:p>
    <w:p>
      <w:pPr>
        <w:pStyle w:val="BodyText"/>
        <w:spacing w:before="34"/>
        <w:rPr>
          <w:sz w:val="16"/>
        </w:rPr>
      </w:pPr>
    </w:p>
    <w:p>
      <w:pPr>
        <w:spacing w:line="208" w:lineRule="auto" w:before="0"/>
        <w:ind w:left="543" w:right="0" w:hanging="74"/>
        <w:jc w:val="left"/>
        <w:rPr>
          <w:sz w:val="16"/>
        </w:rPr>
      </w:pPr>
      <w:r>
        <w:rPr>
          <w:sz w:val="16"/>
        </w:rPr>
        <w:t>Maturity</w:t>
      </w:r>
      <w:r>
        <w:rPr>
          <w:spacing w:val="-10"/>
          <w:sz w:val="16"/>
        </w:rPr>
        <w:t> </w:t>
      </w:r>
      <w:r>
        <w:rPr>
          <w:sz w:val="16"/>
        </w:rPr>
        <w:t>of</w:t>
      </w:r>
      <w:r>
        <w:rPr>
          <w:spacing w:val="40"/>
          <w:sz w:val="16"/>
        </w:rPr>
        <w:t> </w:t>
      </w:r>
      <w:r>
        <w:rPr>
          <w:spacing w:val="-2"/>
          <w:sz w:val="16"/>
        </w:rPr>
        <w:t>Amounts</w:t>
      </w:r>
    </w:p>
    <w:p>
      <w:pPr>
        <w:spacing w:line="240" w:lineRule="auto" w:before="0"/>
        <w:rPr>
          <w:sz w:val="16"/>
        </w:rPr>
      </w:pPr>
      <w:r>
        <w:rPr/>
        <w:br w:type="column"/>
      </w:r>
      <w:r>
        <w:rPr>
          <w:sz w:val="16"/>
        </w:rPr>
      </w:r>
    </w:p>
    <w:p>
      <w:pPr>
        <w:pStyle w:val="BodyText"/>
        <w:spacing w:before="58"/>
        <w:rPr>
          <w:sz w:val="16"/>
        </w:rPr>
      </w:pPr>
    </w:p>
    <w:p>
      <w:pPr>
        <w:spacing w:line="208" w:lineRule="auto" w:before="0"/>
        <w:ind w:left="334" w:right="541" w:firstLine="0"/>
        <w:jc w:val="center"/>
        <w:rPr>
          <w:sz w:val="16"/>
        </w:rPr>
      </w:pPr>
      <w:r>
        <w:rPr>
          <w:spacing w:val="-2"/>
          <w:sz w:val="16"/>
        </w:rPr>
        <w:t>Weighted-Average</w:t>
      </w:r>
      <w:r>
        <w:rPr>
          <w:spacing w:val="40"/>
          <w:sz w:val="16"/>
        </w:rPr>
        <w:t> </w:t>
      </w:r>
      <w:r>
        <w:rPr>
          <w:sz w:val="16"/>
        </w:rPr>
        <w:t>Interest Rate on</w:t>
      </w:r>
      <w:r>
        <w:rPr>
          <w:spacing w:val="40"/>
          <w:sz w:val="16"/>
        </w:rPr>
        <w:t> </w:t>
      </w:r>
      <w:r>
        <w:rPr>
          <w:spacing w:val="-2"/>
          <w:sz w:val="16"/>
        </w:rPr>
        <w:t>Amounts</w:t>
      </w:r>
    </w:p>
    <w:p>
      <w:pPr>
        <w:spacing w:after="0" w:line="208" w:lineRule="auto"/>
        <w:jc w:val="center"/>
        <w:rPr>
          <w:sz w:val="16"/>
        </w:rPr>
        <w:sectPr>
          <w:type w:val="continuous"/>
          <w:pgSz w:w="12240" w:h="15840"/>
          <w:pgMar w:header="512" w:footer="201" w:top="320" w:bottom="280" w:left="520" w:right="520"/>
          <w:cols w:num="3" w:equalWidth="0">
            <w:col w:w="7379" w:space="482"/>
            <w:col w:w="1204" w:space="40"/>
            <w:col w:w="2095"/>
          </w:cols>
        </w:sect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3"/>
        <w:gridCol w:w="1902"/>
        <w:gridCol w:w="985"/>
        <w:gridCol w:w="1091"/>
        <w:gridCol w:w="1411"/>
        <w:gridCol w:w="1271"/>
      </w:tblGrid>
      <w:tr>
        <w:trPr>
          <w:trHeight w:val="201" w:hRule="atLeast"/>
        </w:trPr>
        <w:tc>
          <w:tcPr>
            <w:tcW w:w="3603" w:type="dxa"/>
            <w:tcBorders>
              <w:bottom w:val="single" w:sz="4" w:space="0" w:color="000000"/>
            </w:tcBorders>
          </w:tcPr>
          <w:p>
            <w:pPr>
              <w:pStyle w:val="TableParagraph"/>
              <w:spacing w:line="165" w:lineRule="exact"/>
              <w:ind w:left="52"/>
              <w:rPr>
                <w:sz w:val="16"/>
              </w:rPr>
            </w:pPr>
            <w:r>
              <w:rPr>
                <w:spacing w:val="-2"/>
                <w:sz w:val="16"/>
              </w:rPr>
              <w:t>Description</w:t>
            </w:r>
          </w:p>
        </w:tc>
        <w:tc>
          <w:tcPr>
            <w:tcW w:w="1902" w:type="dxa"/>
            <w:tcBorders>
              <w:bottom w:val="single" w:sz="4" w:space="0" w:color="000000"/>
            </w:tcBorders>
          </w:tcPr>
          <w:p>
            <w:pPr>
              <w:pStyle w:val="TableParagraph"/>
              <w:spacing w:line="165" w:lineRule="exact"/>
              <w:ind w:left="394"/>
              <w:rPr>
                <w:sz w:val="16"/>
              </w:rPr>
            </w:pPr>
            <w:r>
              <w:rPr>
                <w:spacing w:val="-2"/>
                <w:sz w:val="16"/>
              </w:rPr>
              <w:t>Borrower</w:t>
            </w:r>
          </w:p>
        </w:tc>
        <w:tc>
          <w:tcPr>
            <w:tcW w:w="985" w:type="dxa"/>
            <w:tcBorders>
              <w:bottom w:val="single" w:sz="4" w:space="0" w:color="000000"/>
            </w:tcBorders>
          </w:tcPr>
          <w:p>
            <w:pPr>
              <w:pStyle w:val="TableParagraph"/>
              <w:spacing w:line="165" w:lineRule="exact"/>
              <w:ind w:right="59"/>
              <w:jc w:val="right"/>
              <w:rPr>
                <w:sz w:val="16"/>
              </w:rPr>
            </w:pPr>
            <w:r>
              <w:rPr>
                <w:spacing w:val="-2"/>
                <w:sz w:val="16"/>
              </w:rPr>
              <w:t>Outstanding</w:t>
            </w:r>
          </w:p>
        </w:tc>
        <w:tc>
          <w:tcPr>
            <w:tcW w:w="1091" w:type="dxa"/>
            <w:tcBorders>
              <w:bottom w:val="single" w:sz="4" w:space="0" w:color="000000"/>
            </w:tcBorders>
          </w:tcPr>
          <w:p>
            <w:pPr>
              <w:pStyle w:val="TableParagraph"/>
              <w:spacing w:line="165" w:lineRule="exact"/>
              <w:ind w:left="106"/>
              <w:rPr>
                <w:sz w:val="16"/>
              </w:rPr>
            </w:pPr>
            <w:r>
              <w:rPr>
                <w:spacing w:val="-2"/>
                <w:sz w:val="16"/>
              </w:rPr>
              <w:t>Available</w:t>
            </w:r>
          </w:p>
        </w:tc>
        <w:tc>
          <w:tcPr>
            <w:tcW w:w="1411" w:type="dxa"/>
            <w:tcBorders>
              <w:bottom w:val="single" w:sz="4" w:space="0" w:color="000000"/>
            </w:tcBorders>
          </w:tcPr>
          <w:p>
            <w:pPr>
              <w:pStyle w:val="TableParagraph"/>
              <w:spacing w:line="165" w:lineRule="exact"/>
              <w:ind w:right="115"/>
              <w:jc w:val="center"/>
              <w:rPr>
                <w:sz w:val="16"/>
              </w:rPr>
            </w:pPr>
            <w:r>
              <w:rPr>
                <w:spacing w:val="-2"/>
                <w:sz w:val="16"/>
              </w:rPr>
              <w:t>Outstanding</w:t>
            </w:r>
          </w:p>
        </w:tc>
        <w:tc>
          <w:tcPr>
            <w:tcW w:w="1271" w:type="dxa"/>
            <w:tcBorders>
              <w:bottom w:val="single" w:sz="4" w:space="0" w:color="000000"/>
            </w:tcBorders>
          </w:tcPr>
          <w:p>
            <w:pPr>
              <w:pStyle w:val="TableParagraph"/>
              <w:spacing w:line="165" w:lineRule="exact"/>
              <w:ind w:right="97"/>
              <w:jc w:val="center"/>
              <w:rPr>
                <w:sz w:val="16"/>
              </w:rPr>
            </w:pPr>
            <w:r>
              <w:rPr>
                <w:spacing w:val="-2"/>
                <w:sz w:val="16"/>
              </w:rPr>
              <w:t>Outstanding</w:t>
            </w:r>
          </w:p>
        </w:tc>
      </w:tr>
      <w:tr>
        <w:trPr>
          <w:trHeight w:val="400" w:hRule="atLeast"/>
        </w:trPr>
        <w:tc>
          <w:tcPr>
            <w:tcW w:w="3603" w:type="dxa"/>
            <w:tcBorders>
              <w:top w:val="single" w:sz="4" w:space="0" w:color="000000"/>
            </w:tcBorders>
            <w:shd w:val="clear" w:color="auto" w:fill="CCEDFF"/>
          </w:tcPr>
          <w:p>
            <w:pPr>
              <w:pStyle w:val="TableParagraph"/>
              <w:spacing w:before="173"/>
              <w:ind w:left="52"/>
              <w:rPr>
                <w:sz w:val="16"/>
              </w:rPr>
            </w:pPr>
            <w:r>
              <w:rPr>
                <w:sz w:val="16"/>
              </w:rPr>
              <w:t>FHLB</w:t>
            </w:r>
            <w:r>
              <w:rPr>
                <w:spacing w:val="-2"/>
                <w:sz w:val="16"/>
              </w:rPr>
              <w:t> </w:t>
            </w:r>
            <w:r>
              <w:rPr>
                <w:sz w:val="16"/>
              </w:rPr>
              <w:t>secured</w:t>
            </w:r>
            <w:r>
              <w:rPr>
                <w:spacing w:val="-1"/>
                <w:sz w:val="16"/>
              </w:rPr>
              <w:t> </w:t>
            </w:r>
            <w:r>
              <w:rPr>
                <w:sz w:val="16"/>
              </w:rPr>
              <w:t>credit</w:t>
            </w:r>
            <w:r>
              <w:rPr>
                <w:spacing w:val="-1"/>
                <w:sz w:val="16"/>
              </w:rPr>
              <w:t> </w:t>
            </w:r>
            <w:r>
              <w:rPr>
                <w:spacing w:val="-2"/>
                <w:sz w:val="16"/>
              </w:rPr>
              <w:t>facilities</w:t>
            </w:r>
          </w:p>
        </w:tc>
        <w:tc>
          <w:tcPr>
            <w:tcW w:w="1902" w:type="dxa"/>
            <w:tcBorders>
              <w:top w:val="single" w:sz="4" w:space="0" w:color="000000"/>
            </w:tcBorders>
            <w:shd w:val="clear" w:color="auto" w:fill="CCEDFF"/>
          </w:tcPr>
          <w:p>
            <w:pPr>
              <w:pStyle w:val="TableParagraph"/>
              <w:spacing w:before="173"/>
              <w:ind w:left="394"/>
              <w:rPr>
                <w:sz w:val="16"/>
              </w:rPr>
            </w:pPr>
            <w:r>
              <w:rPr>
                <w:sz w:val="16"/>
              </w:rPr>
              <w:t>Banking</w:t>
            </w:r>
            <w:r>
              <w:rPr>
                <w:spacing w:val="-2"/>
                <w:sz w:val="16"/>
              </w:rPr>
              <w:t> subsidiaries</w:t>
            </w:r>
          </w:p>
        </w:tc>
        <w:tc>
          <w:tcPr>
            <w:tcW w:w="985" w:type="dxa"/>
            <w:tcBorders>
              <w:top w:val="single" w:sz="4" w:space="0" w:color="000000"/>
            </w:tcBorders>
            <w:shd w:val="clear" w:color="auto" w:fill="CCEDFF"/>
          </w:tcPr>
          <w:p>
            <w:pPr>
              <w:pStyle w:val="TableParagraph"/>
              <w:tabs>
                <w:tab w:pos="353" w:val="left" w:leader="none"/>
              </w:tabs>
              <w:spacing w:before="173"/>
              <w:ind w:right="61"/>
              <w:jc w:val="right"/>
              <w:rPr>
                <w:sz w:val="16"/>
              </w:rPr>
            </w:pPr>
            <w:r>
              <w:rPr>
                <w:spacing w:val="-10"/>
                <w:sz w:val="16"/>
              </w:rPr>
              <w:t>$</w:t>
            </w:r>
            <w:r>
              <w:rPr>
                <w:sz w:val="16"/>
              </w:rPr>
              <w:tab/>
            </w:r>
            <w:r>
              <w:rPr>
                <w:spacing w:val="-2"/>
                <w:sz w:val="16"/>
              </w:rPr>
              <w:t>31,800</w:t>
            </w:r>
          </w:p>
        </w:tc>
        <w:tc>
          <w:tcPr>
            <w:tcW w:w="1091" w:type="dxa"/>
            <w:tcBorders>
              <w:top w:val="single" w:sz="4" w:space="0" w:color="000000"/>
            </w:tcBorders>
            <w:shd w:val="clear" w:color="auto" w:fill="CCEDFF"/>
          </w:tcPr>
          <w:p>
            <w:pPr>
              <w:pStyle w:val="TableParagraph"/>
              <w:spacing w:line="109" w:lineRule="exact" w:before="70"/>
              <w:ind w:right="85"/>
              <w:jc w:val="right"/>
              <w:rPr>
                <w:sz w:val="10"/>
              </w:rPr>
            </w:pPr>
            <w:r>
              <w:rPr>
                <w:spacing w:val="-5"/>
                <w:w w:val="105"/>
                <w:sz w:val="10"/>
              </w:rPr>
              <w:t>(1)</w:t>
            </w:r>
          </w:p>
          <w:p>
            <w:pPr>
              <w:pStyle w:val="TableParagraph"/>
              <w:spacing w:line="178" w:lineRule="exact"/>
              <w:ind w:left="57"/>
              <w:rPr>
                <w:sz w:val="16"/>
              </w:rPr>
            </w:pPr>
            <w:r>
              <w:rPr>
                <w:sz w:val="16"/>
              </w:rPr>
              <w:t>$</w:t>
            </w:r>
            <w:r>
              <w:rPr>
                <w:spacing w:val="52"/>
                <w:sz w:val="16"/>
              </w:rPr>
              <w:t>  </w:t>
            </w:r>
            <w:r>
              <w:rPr>
                <w:spacing w:val="-2"/>
                <w:sz w:val="16"/>
              </w:rPr>
              <w:t>55,593</w:t>
            </w:r>
          </w:p>
        </w:tc>
        <w:tc>
          <w:tcPr>
            <w:tcW w:w="1411" w:type="dxa"/>
            <w:tcBorders>
              <w:top w:val="single" w:sz="4" w:space="0" w:color="000000"/>
            </w:tcBorders>
            <w:shd w:val="clear" w:color="auto" w:fill="CCEDFF"/>
          </w:tcPr>
          <w:p>
            <w:pPr>
              <w:pStyle w:val="TableParagraph"/>
              <w:spacing w:line="172" w:lineRule="exact" w:before="13"/>
              <w:ind w:left="162"/>
              <w:rPr>
                <w:sz w:val="16"/>
              </w:rPr>
            </w:pPr>
            <w:r>
              <w:rPr>
                <w:sz w:val="16"/>
              </w:rPr>
              <w:t>October</w:t>
            </w:r>
            <w:r>
              <w:rPr>
                <w:spacing w:val="-1"/>
                <w:sz w:val="16"/>
              </w:rPr>
              <w:t> </w:t>
            </w:r>
            <w:r>
              <w:rPr>
                <w:sz w:val="16"/>
              </w:rPr>
              <w:t>2023 </w:t>
            </w:r>
            <w:r>
              <w:rPr>
                <w:spacing w:val="-10"/>
                <w:sz w:val="16"/>
              </w:rPr>
              <w:t>-</w:t>
            </w:r>
          </w:p>
          <w:p>
            <w:pPr>
              <w:pStyle w:val="TableParagraph"/>
              <w:spacing w:line="172" w:lineRule="exact"/>
              <w:ind w:left="124"/>
              <w:rPr>
                <w:sz w:val="16"/>
              </w:rPr>
            </w:pPr>
            <w:r>
              <w:rPr>
                <w:sz w:val="16"/>
              </w:rPr>
              <w:t>September</w:t>
            </w:r>
            <w:r>
              <w:rPr>
                <w:spacing w:val="-1"/>
                <w:sz w:val="16"/>
              </w:rPr>
              <w:t> </w:t>
            </w:r>
            <w:r>
              <w:rPr>
                <w:spacing w:val="-4"/>
                <w:sz w:val="16"/>
              </w:rPr>
              <w:t>2024</w:t>
            </w:r>
          </w:p>
        </w:tc>
        <w:tc>
          <w:tcPr>
            <w:tcW w:w="1271" w:type="dxa"/>
            <w:tcBorders>
              <w:top w:val="single" w:sz="4" w:space="0" w:color="000000"/>
            </w:tcBorders>
            <w:shd w:val="clear" w:color="auto" w:fill="CCEDFF"/>
          </w:tcPr>
          <w:p>
            <w:pPr>
              <w:pStyle w:val="TableParagraph"/>
              <w:spacing w:before="173"/>
              <w:ind w:left="37" w:right="97"/>
              <w:jc w:val="center"/>
              <w:rPr>
                <w:sz w:val="16"/>
              </w:rPr>
            </w:pPr>
            <w:r>
              <w:rPr>
                <w:spacing w:val="-2"/>
                <w:sz w:val="16"/>
              </w:rPr>
              <w:t>5.17%</w:t>
            </w:r>
          </w:p>
        </w:tc>
      </w:tr>
      <w:tr>
        <w:trPr>
          <w:trHeight w:val="240" w:hRule="atLeast"/>
        </w:trPr>
        <w:tc>
          <w:tcPr>
            <w:tcW w:w="3603" w:type="dxa"/>
          </w:tcPr>
          <w:p>
            <w:pPr>
              <w:pStyle w:val="TableParagraph"/>
              <w:spacing w:before="13"/>
              <w:ind w:left="52"/>
              <w:rPr>
                <w:sz w:val="16"/>
              </w:rPr>
            </w:pPr>
            <w:r>
              <w:rPr>
                <w:sz w:val="16"/>
              </w:rPr>
              <w:t>Federal</w:t>
            </w:r>
            <w:r>
              <w:rPr>
                <w:spacing w:val="-1"/>
                <w:sz w:val="16"/>
              </w:rPr>
              <w:t> </w:t>
            </w:r>
            <w:r>
              <w:rPr>
                <w:sz w:val="16"/>
              </w:rPr>
              <w:t>Reserve</w:t>
            </w:r>
            <w:r>
              <w:rPr>
                <w:spacing w:val="-1"/>
                <w:sz w:val="16"/>
              </w:rPr>
              <w:t> </w:t>
            </w:r>
            <w:r>
              <w:rPr>
                <w:sz w:val="16"/>
              </w:rPr>
              <w:t>discount</w:t>
            </w:r>
            <w:r>
              <w:rPr>
                <w:spacing w:val="-1"/>
                <w:sz w:val="16"/>
              </w:rPr>
              <w:t> </w:t>
            </w:r>
            <w:r>
              <w:rPr>
                <w:spacing w:val="-2"/>
                <w:sz w:val="16"/>
              </w:rPr>
              <w:t>window</w:t>
            </w:r>
          </w:p>
        </w:tc>
        <w:tc>
          <w:tcPr>
            <w:tcW w:w="1902" w:type="dxa"/>
          </w:tcPr>
          <w:p>
            <w:pPr>
              <w:pStyle w:val="TableParagraph"/>
              <w:spacing w:before="13"/>
              <w:ind w:left="394"/>
              <w:rPr>
                <w:sz w:val="16"/>
              </w:rPr>
            </w:pPr>
            <w:r>
              <w:rPr>
                <w:sz w:val="16"/>
              </w:rPr>
              <w:t>Banking</w:t>
            </w:r>
            <w:r>
              <w:rPr>
                <w:spacing w:val="-2"/>
                <w:sz w:val="16"/>
              </w:rPr>
              <w:t> subsidiaries</w:t>
            </w:r>
          </w:p>
        </w:tc>
        <w:tc>
          <w:tcPr>
            <w:tcW w:w="985" w:type="dxa"/>
          </w:tcPr>
          <w:p>
            <w:pPr>
              <w:pStyle w:val="TableParagraph"/>
              <w:spacing w:before="13"/>
              <w:ind w:right="61"/>
              <w:jc w:val="right"/>
              <w:rPr>
                <w:sz w:val="16"/>
              </w:rPr>
            </w:pPr>
            <w:r>
              <w:rPr>
                <w:spacing w:val="-10"/>
                <w:sz w:val="16"/>
              </w:rPr>
              <w:t>—</w:t>
            </w:r>
          </w:p>
        </w:tc>
        <w:tc>
          <w:tcPr>
            <w:tcW w:w="1091" w:type="dxa"/>
          </w:tcPr>
          <w:p>
            <w:pPr>
              <w:pStyle w:val="TableParagraph"/>
              <w:spacing w:before="13"/>
              <w:ind w:right="85"/>
              <w:jc w:val="right"/>
              <w:rPr>
                <w:sz w:val="16"/>
              </w:rPr>
            </w:pPr>
            <w:r>
              <w:rPr>
                <w:w w:val="105"/>
                <w:sz w:val="16"/>
              </w:rPr>
              <w:t>7,225</w:t>
            </w:r>
            <w:r>
              <w:rPr>
                <w:spacing w:val="60"/>
                <w:w w:val="105"/>
                <w:sz w:val="16"/>
              </w:rPr>
              <w:t> </w:t>
            </w:r>
            <w:r>
              <w:rPr>
                <w:spacing w:val="-5"/>
                <w:w w:val="105"/>
                <w:sz w:val="16"/>
                <w:vertAlign w:val="superscript"/>
              </w:rPr>
              <w:t>(1)</w:t>
            </w:r>
          </w:p>
        </w:tc>
        <w:tc>
          <w:tcPr>
            <w:tcW w:w="1411" w:type="dxa"/>
          </w:tcPr>
          <w:p>
            <w:pPr>
              <w:pStyle w:val="TableParagraph"/>
              <w:spacing w:before="13"/>
              <w:ind w:right="115"/>
              <w:jc w:val="center"/>
              <w:rPr>
                <w:sz w:val="16"/>
              </w:rPr>
            </w:pPr>
            <w:r>
              <w:rPr>
                <w:spacing w:val="-5"/>
                <w:sz w:val="16"/>
              </w:rPr>
              <w:t>N/A</w:t>
            </w:r>
          </w:p>
        </w:tc>
        <w:tc>
          <w:tcPr>
            <w:tcW w:w="1271" w:type="dxa"/>
          </w:tcPr>
          <w:p>
            <w:pPr>
              <w:pStyle w:val="TableParagraph"/>
              <w:spacing w:before="13"/>
              <w:ind w:left="37" w:right="97"/>
              <w:jc w:val="center"/>
              <w:rPr>
                <w:sz w:val="16"/>
              </w:rPr>
            </w:pPr>
            <w:r>
              <w:rPr>
                <w:spacing w:val="-10"/>
                <w:sz w:val="16"/>
              </w:rPr>
              <w:t>—</w:t>
            </w:r>
          </w:p>
        </w:tc>
      </w:tr>
      <w:tr>
        <w:trPr>
          <w:trHeight w:val="240" w:hRule="atLeast"/>
        </w:trPr>
        <w:tc>
          <w:tcPr>
            <w:tcW w:w="3603" w:type="dxa"/>
            <w:shd w:val="clear" w:color="auto" w:fill="CCEDFF"/>
          </w:tcPr>
          <w:p>
            <w:pPr>
              <w:pStyle w:val="TableParagraph"/>
              <w:spacing w:before="13"/>
              <w:ind w:left="52"/>
              <w:rPr>
                <w:sz w:val="16"/>
              </w:rPr>
            </w:pPr>
            <w:r>
              <w:rPr>
                <w:sz w:val="16"/>
              </w:rPr>
              <w:t>Federal</w:t>
            </w:r>
            <w:r>
              <w:rPr>
                <w:spacing w:val="-1"/>
                <w:sz w:val="16"/>
              </w:rPr>
              <w:t> </w:t>
            </w:r>
            <w:r>
              <w:rPr>
                <w:sz w:val="16"/>
              </w:rPr>
              <w:t>Reserve</w:t>
            </w:r>
            <w:r>
              <w:rPr>
                <w:spacing w:val="-1"/>
                <w:sz w:val="16"/>
              </w:rPr>
              <w:t> </w:t>
            </w:r>
            <w:r>
              <w:rPr>
                <w:sz w:val="16"/>
              </w:rPr>
              <w:t>Bank</w:t>
            </w:r>
            <w:r>
              <w:rPr>
                <w:spacing w:val="-1"/>
                <w:sz w:val="16"/>
              </w:rPr>
              <w:t> </w:t>
            </w:r>
            <w:r>
              <w:rPr>
                <w:sz w:val="16"/>
              </w:rPr>
              <w:t>Term</w:t>
            </w:r>
            <w:r>
              <w:rPr>
                <w:spacing w:val="-1"/>
                <w:sz w:val="16"/>
              </w:rPr>
              <w:t> </w:t>
            </w:r>
            <w:r>
              <w:rPr>
                <w:sz w:val="16"/>
              </w:rPr>
              <w:t>Funding </w:t>
            </w:r>
            <w:r>
              <w:rPr>
                <w:spacing w:val="-2"/>
                <w:sz w:val="16"/>
              </w:rPr>
              <w:t>Program</w:t>
            </w:r>
          </w:p>
        </w:tc>
        <w:tc>
          <w:tcPr>
            <w:tcW w:w="1902" w:type="dxa"/>
            <w:shd w:val="clear" w:color="auto" w:fill="CCEDFF"/>
          </w:tcPr>
          <w:p>
            <w:pPr>
              <w:pStyle w:val="TableParagraph"/>
              <w:spacing w:before="13"/>
              <w:ind w:left="394"/>
              <w:rPr>
                <w:sz w:val="16"/>
              </w:rPr>
            </w:pPr>
            <w:r>
              <w:rPr>
                <w:sz w:val="16"/>
              </w:rPr>
              <w:t>Banking</w:t>
            </w:r>
            <w:r>
              <w:rPr>
                <w:spacing w:val="-2"/>
                <w:sz w:val="16"/>
              </w:rPr>
              <w:t> subsidiaries</w:t>
            </w:r>
          </w:p>
        </w:tc>
        <w:tc>
          <w:tcPr>
            <w:tcW w:w="985" w:type="dxa"/>
            <w:shd w:val="clear" w:color="auto" w:fill="CCEDFF"/>
          </w:tcPr>
          <w:p>
            <w:pPr>
              <w:pStyle w:val="TableParagraph"/>
              <w:spacing w:before="13"/>
              <w:ind w:right="61"/>
              <w:jc w:val="right"/>
              <w:rPr>
                <w:sz w:val="16"/>
              </w:rPr>
            </w:pPr>
            <w:r>
              <w:rPr>
                <w:spacing w:val="-10"/>
                <w:sz w:val="16"/>
              </w:rPr>
              <w:t>—</w:t>
            </w:r>
          </w:p>
        </w:tc>
        <w:tc>
          <w:tcPr>
            <w:tcW w:w="1091" w:type="dxa"/>
            <w:shd w:val="clear" w:color="auto" w:fill="CCEDFF"/>
          </w:tcPr>
          <w:p>
            <w:pPr>
              <w:pStyle w:val="TableParagraph"/>
              <w:spacing w:before="13"/>
              <w:ind w:right="85"/>
              <w:jc w:val="right"/>
              <w:rPr>
                <w:sz w:val="16"/>
              </w:rPr>
            </w:pPr>
            <w:r>
              <w:rPr>
                <w:w w:val="105"/>
                <w:sz w:val="16"/>
              </w:rPr>
              <w:t>40,157</w:t>
            </w:r>
            <w:r>
              <w:rPr>
                <w:spacing w:val="56"/>
                <w:w w:val="105"/>
                <w:sz w:val="16"/>
              </w:rPr>
              <w:t> </w:t>
            </w:r>
            <w:r>
              <w:rPr>
                <w:spacing w:val="-5"/>
                <w:w w:val="105"/>
                <w:sz w:val="16"/>
                <w:vertAlign w:val="superscript"/>
              </w:rPr>
              <w:t>(1)</w:t>
            </w:r>
          </w:p>
        </w:tc>
        <w:tc>
          <w:tcPr>
            <w:tcW w:w="1411" w:type="dxa"/>
            <w:shd w:val="clear" w:color="auto" w:fill="CCEDFF"/>
          </w:tcPr>
          <w:p>
            <w:pPr>
              <w:pStyle w:val="TableParagraph"/>
              <w:spacing w:before="13"/>
              <w:ind w:right="115"/>
              <w:jc w:val="center"/>
              <w:rPr>
                <w:sz w:val="16"/>
              </w:rPr>
            </w:pPr>
            <w:r>
              <w:rPr>
                <w:spacing w:val="-5"/>
                <w:sz w:val="16"/>
              </w:rPr>
              <w:t>N/A</w:t>
            </w:r>
          </w:p>
        </w:tc>
        <w:tc>
          <w:tcPr>
            <w:tcW w:w="1271" w:type="dxa"/>
            <w:shd w:val="clear" w:color="auto" w:fill="CCEDFF"/>
          </w:tcPr>
          <w:p>
            <w:pPr>
              <w:pStyle w:val="TableParagraph"/>
              <w:spacing w:before="13"/>
              <w:ind w:left="37" w:right="97"/>
              <w:jc w:val="center"/>
              <w:rPr>
                <w:sz w:val="16"/>
              </w:rPr>
            </w:pPr>
            <w:r>
              <w:rPr>
                <w:spacing w:val="-10"/>
                <w:sz w:val="16"/>
              </w:rPr>
              <w:t>—</w:t>
            </w:r>
          </w:p>
        </w:tc>
      </w:tr>
      <w:tr>
        <w:trPr>
          <w:trHeight w:val="405" w:hRule="atLeast"/>
        </w:trPr>
        <w:tc>
          <w:tcPr>
            <w:tcW w:w="3603" w:type="dxa"/>
          </w:tcPr>
          <w:p>
            <w:pPr>
              <w:pStyle w:val="TableParagraph"/>
              <w:spacing w:before="178"/>
              <w:ind w:left="52"/>
              <w:rPr>
                <w:sz w:val="16"/>
              </w:rPr>
            </w:pPr>
            <w:r>
              <w:rPr>
                <w:sz w:val="16"/>
              </w:rPr>
              <w:t>Repurchase</w:t>
            </w:r>
            <w:r>
              <w:rPr>
                <w:spacing w:val="-1"/>
                <w:sz w:val="16"/>
              </w:rPr>
              <w:t> </w:t>
            </w:r>
            <w:r>
              <w:rPr>
                <w:spacing w:val="-2"/>
                <w:sz w:val="16"/>
              </w:rPr>
              <w:t>agreements</w:t>
            </w:r>
          </w:p>
        </w:tc>
        <w:tc>
          <w:tcPr>
            <w:tcW w:w="1902" w:type="dxa"/>
          </w:tcPr>
          <w:p>
            <w:pPr>
              <w:pStyle w:val="TableParagraph"/>
              <w:spacing w:line="208" w:lineRule="auto" w:before="38"/>
              <w:ind w:left="394" w:right="120"/>
              <w:rPr>
                <w:sz w:val="16"/>
              </w:rPr>
            </w:pPr>
            <w:r>
              <w:rPr>
                <w:sz w:val="16"/>
              </w:rPr>
              <w:t>Banking</w:t>
            </w:r>
            <w:r>
              <w:rPr>
                <w:spacing w:val="-10"/>
                <w:sz w:val="16"/>
              </w:rPr>
              <w:t> </w:t>
            </w:r>
            <w:r>
              <w:rPr>
                <w:sz w:val="16"/>
              </w:rPr>
              <w:t>subsidiaries,</w:t>
            </w:r>
            <w:r>
              <w:rPr>
                <w:spacing w:val="40"/>
                <w:sz w:val="16"/>
              </w:rPr>
              <w:t> </w:t>
            </w:r>
            <w:r>
              <w:rPr>
                <w:spacing w:val="-4"/>
                <w:sz w:val="16"/>
              </w:rPr>
              <w:t>CSC</w:t>
            </w:r>
          </w:p>
        </w:tc>
        <w:tc>
          <w:tcPr>
            <w:tcW w:w="985" w:type="dxa"/>
          </w:tcPr>
          <w:p>
            <w:pPr>
              <w:pStyle w:val="TableParagraph"/>
              <w:spacing w:before="178"/>
              <w:ind w:right="61"/>
              <w:jc w:val="right"/>
              <w:rPr>
                <w:sz w:val="16"/>
              </w:rPr>
            </w:pPr>
            <w:r>
              <w:rPr>
                <w:spacing w:val="-2"/>
                <w:sz w:val="16"/>
              </w:rPr>
              <w:t>6,515</w:t>
            </w:r>
          </w:p>
        </w:tc>
        <w:tc>
          <w:tcPr>
            <w:tcW w:w="1091" w:type="dxa"/>
          </w:tcPr>
          <w:p>
            <w:pPr>
              <w:pStyle w:val="TableParagraph"/>
              <w:spacing w:line="109" w:lineRule="exact" w:before="75"/>
              <w:ind w:right="85"/>
              <w:jc w:val="right"/>
              <w:rPr>
                <w:sz w:val="10"/>
              </w:rPr>
            </w:pPr>
            <w:r>
              <w:rPr>
                <w:spacing w:val="-5"/>
                <w:w w:val="105"/>
                <w:sz w:val="10"/>
              </w:rPr>
              <w:t>(2)</w:t>
            </w:r>
          </w:p>
          <w:p>
            <w:pPr>
              <w:pStyle w:val="TableParagraph"/>
              <w:spacing w:line="178" w:lineRule="exact"/>
              <w:ind w:left="601"/>
              <w:rPr>
                <w:sz w:val="16"/>
              </w:rPr>
            </w:pPr>
            <w:r>
              <w:rPr>
                <w:spacing w:val="-10"/>
                <w:sz w:val="16"/>
              </w:rPr>
              <w:t>—</w:t>
            </w:r>
          </w:p>
        </w:tc>
        <w:tc>
          <w:tcPr>
            <w:tcW w:w="1411" w:type="dxa"/>
          </w:tcPr>
          <w:p>
            <w:pPr>
              <w:pStyle w:val="TableParagraph"/>
              <w:spacing w:line="172" w:lineRule="exact" w:before="18"/>
              <w:ind w:right="115"/>
              <w:jc w:val="center"/>
              <w:rPr>
                <w:sz w:val="16"/>
              </w:rPr>
            </w:pPr>
            <w:r>
              <w:rPr>
                <w:sz w:val="16"/>
              </w:rPr>
              <w:t>October</w:t>
            </w:r>
            <w:r>
              <w:rPr>
                <w:spacing w:val="-1"/>
                <w:sz w:val="16"/>
              </w:rPr>
              <w:t> </w:t>
            </w:r>
            <w:r>
              <w:rPr>
                <w:sz w:val="16"/>
              </w:rPr>
              <w:t>2023 </w:t>
            </w:r>
            <w:r>
              <w:rPr>
                <w:spacing w:val="-10"/>
                <w:sz w:val="16"/>
              </w:rPr>
              <w:t>-</w:t>
            </w:r>
          </w:p>
          <w:p>
            <w:pPr>
              <w:pStyle w:val="TableParagraph"/>
              <w:spacing w:line="172" w:lineRule="exact"/>
              <w:ind w:right="115"/>
              <w:jc w:val="center"/>
              <w:rPr>
                <w:sz w:val="16"/>
              </w:rPr>
            </w:pPr>
            <w:r>
              <w:rPr>
                <w:sz w:val="16"/>
              </w:rPr>
              <w:t>July</w:t>
            </w:r>
            <w:r>
              <w:rPr>
                <w:spacing w:val="-1"/>
                <w:sz w:val="16"/>
              </w:rPr>
              <w:t> </w:t>
            </w:r>
            <w:r>
              <w:rPr>
                <w:spacing w:val="-4"/>
                <w:sz w:val="16"/>
              </w:rPr>
              <w:t>2024</w:t>
            </w:r>
          </w:p>
        </w:tc>
        <w:tc>
          <w:tcPr>
            <w:tcW w:w="1271" w:type="dxa"/>
          </w:tcPr>
          <w:p>
            <w:pPr>
              <w:pStyle w:val="TableParagraph"/>
              <w:spacing w:before="178"/>
              <w:ind w:left="37" w:right="97"/>
              <w:jc w:val="center"/>
              <w:rPr>
                <w:sz w:val="16"/>
              </w:rPr>
            </w:pPr>
            <w:r>
              <w:rPr>
                <w:spacing w:val="-2"/>
                <w:sz w:val="16"/>
              </w:rPr>
              <w:t>5.34%</w:t>
            </w:r>
          </w:p>
        </w:tc>
      </w:tr>
      <w:tr>
        <w:trPr>
          <w:trHeight w:val="405" w:hRule="atLeast"/>
        </w:trPr>
        <w:tc>
          <w:tcPr>
            <w:tcW w:w="3603" w:type="dxa"/>
            <w:shd w:val="clear" w:color="auto" w:fill="CCEDFF"/>
          </w:tcPr>
          <w:p>
            <w:pPr>
              <w:pStyle w:val="TableParagraph"/>
              <w:spacing w:line="208" w:lineRule="auto" w:before="38"/>
              <w:ind w:left="132" w:right="288" w:hanging="80"/>
              <w:rPr>
                <w:sz w:val="16"/>
              </w:rPr>
            </w:pPr>
            <w:r>
              <w:rPr>
                <w:sz w:val="16"/>
              </w:rPr>
              <w:t>Uncommitted,</w:t>
            </w:r>
            <w:r>
              <w:rPr>
                <w:spacing w:val="-8"/>
                <w:sz w:val="16"/>
              </w:rPr>
              <w:t> </w:t>
            </w:r>
            <w:r>
              <w:rPr>
                <w:sz w:val="16"/>
              </w:rPr>
              <w:t>unsecured</w:t>
            </w:r>
            <w:r>
              <w:rPr>
                <w:spacing w:val="-8"/>
                <w:sz w:val="16"/>
              </w:rPr>
              <w:t> </w:t>
            </w:r>
            <w:r>
              <w:rPr>
                <w:sz w:val="16"/>
              </w:rPr>
              <w:t>lines</w:t>
            </w:r>
            <w:r>
              <w:rPr>
                <w:spacing w:val="-9"/>
                <w:sz w:val="16"/>
              </w:rPr>
              <w:t> </w:t>
            </w:r>
            <w:r>
              <w:rPr>
                <w:sz w:val="16"/>
              </w:rPr>
              <w:t>of</w:t>
            </w:r>
            <w:r>
              <w:rPr>
                <w:spacing w:val="-8"/>
                <w:sz w:val="16"/>
              </w:rPr>
              <w:t> </w:t>
            </w:r>
            <w:r>
              <w:rPr>
                <w:sz w:val="16"/>
              </w:rPr>
              <w:t>credit</w:t>
            </w:r>
            <w:r>
              <w:rPr>
                <w:spacing w:val="-8"/>
                <w:sz w:val="16"/>
              </w:rPr>
              <w:t> </w:t>
            </w:r>
            <w:r>
              <w:rPr>
                <w:sz w:val="16"/>
              </w:rPr>
              <w:t>with</w:t>
            </w:r>
            <w:r>
              <w:rPr>
                <w:spacing w:val="40"/>
                <w:sz w:val="16"/>
              </w:rPr>
              <w:t> </w:t>
            </w:r>
            <w:r>
              <w:rPr>
                <w:sz w:val="16"/>
              </w:rPr>
              <w:t>various external banks</w:t>
            </w:r>
          </w:p>
        </w:tc>
        <w:tc>
          <w:tcPr>
            <w:tcW w:w="1902" w:type="dxa"/>
            <w:shd w:val="clear" w:color="auto" w:fill="CCEDFF"/>
          </w:tcPr>
          <w:p>
            <w:pPr>
              <w:pStyle w:val="TableParagraph"/>
              <w:spacing w:before="178"/>
              <w:ind w:left="394"/>
              <w:rPr>
                <w:sz w:val="16"/>
              </w:rPr>
            </w:pPr>
            <w:r>
              <w:rPr>
                <w:sz w:val="16"/>
              </w:rPr>
              <w:t>CSC,</w:t>
            </w:r>
            <w:r>
              <w:rPr>
                <w:spacing w:val="-1"/>
                <w:sz w:val="16"/>
              </w:rPr>
              <w:t> </w:t>
            </w:r>
            <w:r>
              <w:rPr>
                <w:spacing w:val="-2"/>
                <w:sz w:val="16"/>
              </w:rPr>
              <w:t>CS&amp;Co</w:t>
            </w:r>
          </w:p>
        </w:tc>
        <w:tc>
          <w:tcPr>
            <w:tcW w:w="985" w:type="dxa"/>
            <w:shd w:val="clear" w:color="auto" w:fill="CCEDFF"/>
          </w:tcPr>
          <w:p>
            <w:pPr>
              <w:pStyle w:val="TableParagraph"/>
              <w:spacing w:before="178"/>
              <w:ind w:right="61"/>
              <w:jc w:val="right"/>
              <w:rPr>
                <w:sz w:val="16"/>
              </w:rPr>
            </w:pPr>
            <w:r>
              <w:rPr>
                <w:spacing w:val="-10"/>
                <w:sz w:val="16"/>
              </w:rPr>
              <w:t>—</w:t>
            </w:r>
          </w:p>
        </w:tc>
        <w:tc>
          <w:tcPr>
            <w:tcW w:w="1091" w:type="dxa"/>
            <w:shd w:val="clear" w:color="auto" w:fill="CCEDFF"/>
          </w:tcPr>
          <w:p>
            <w:pPr>
              <w:pStyle w:val="TableParagraph"/>
              <w:spacing w:before="178"/>
              <w:ind w:left="401"/>
              <w:rPr>
                <w:sz w:val="16"/>
              </w:rPr>
            </w:pPr>
            <w:r>
              <w:rPr>
                <w:spacing w:val="-2"/>
                <w:sz w:val="16"/>
              </w:rPr>
              <w:t>1,767</w:t>
            </w:r>
          </w:p>
        </w:tc>
        <w:tc>
          <w:tcPr>
            <w:tcW w:w="1411" w:type="dxa"/>
            <w:shd w:val="clear" w:color="auto" w:fill="CCEDFF"/>
          </w:tcPr>
          <w:p>
            <w:pPr>
              <w:pStyle w:val="TableParagraph"/>
              <w:spacing w:before="178"/>
              <w:ind w:right="115"/>
              <w:jc w:val="center"/>
              <w:rPr>
                <w:sz w:val="16"/>
              </w:rPr>
            </w:pPr>
            <w:r>
              <w:rPr>
                <w:spacing w:val="-5"/>
                <w:sz w:val="16"/>
              </w:rPr>
              <w:t>N/A</w:t>
            </w:r>
          </w:p>
        </w:tc>
        <w:tc>
          <w:tcPr>
            <w:tcW w:w="1271" w:type="dxa"/>
            <w:shd w:val="clear" w:color="auto" w:fill="CCEDFF"/>
          </w:tcPr>
          <w:p>
            <w:pPr>
              <w:pStyle w:val="TableParagraph"/>
              <w:spacing w:before="178"/>
              <w:ind w:left="37" w:right="97"/>
              <w:jc w:val="center"/>
              <w:rPr>
                <w:sz w:val="16"/>
              </w:rPr>
            </w:pPr>
            <w:r>
              <w:rPr>
                <w:spacing w:val="-10"/>
                <w:sz w:val="16"/>
              </w:rPr>
              <w:t>—</w:t>
            </w:r>
          </w:p>
        </w:tc>
      </w:tr>
      <w:tr>
        <w:trPr>
          <w:trHeight w:val="240" w:hRule="atLeast"/>
        </w:trPr>
        <w:tc>
          <w:tcPr>
            <w:tcW w:w="3603" w:type="dxa"/>
          </w:tcPr>
          <w:p>
            <w:pPr>
              <w:pStyle w:val="TableParagraph"/>
              <w:spacing w:before="13"/>
              <w:ind w:left="52"/>
              <w:rPr>
                <w:sz w:val="16"/>
              </w:rPr>
            </w:pPr>
            <w:r>
              <w:rPr>
                <w:sz w:val="16"/>
              </w:rPr>
              <w:t>Unsecured</w:t>
            </w:r>
            <w:r>
              <w:rPr>
                <w:spacing w:val="-1"/>
                <w:sz w:val="16"/>
              </w:rPr>
              <w:t> </w:t>
            </w:r>
            <w:r>
              <w:rPr>
                <w:sz w:val="16"/>
              </w:rPr>
              <w:t>commercial</w:t>
            </w:r>
            <w:r>
              <w:rPr>
                <w:spacing w:val="-1"/>
                <w:sz w:val="16"/>
              </w:rPr>
              <w:t> </w:t>
            </w:r>
            <w:r>
              <w:rPr>
                <w:spacing w:val="-2"/>
                <w:sz w:val="16"/>
              </w:rPr>
              <w:t>paper</w:t>
            </w:r>
          </w:p>
        </w:tc>
        <w:tc>
          <w:tcPr>
            <w:tcW w:w="1902" w:type="dxa"/>
          </w:tcPr>
          <w:p>
            <w:pPr>
              <w:pStyle w:val="TableParagraph"/>
              <w:spacing w:before="13"/>
              <w:ind w:left="394"/>
              <w:rPr>
                <w:sz w:val="16"/>
              </w:rPr>
            </w:pPr>
            <w:r>
              <w:rPr>
                <w:spacing w:val="-5"/>
                <w:sz w:val="16"/>
              </w:rPr>
              <w:t>CSC</w:t>
            </w:r>
          </w:p>
        </w:tc>
        <w:tc>
          <w:tcPr>
            <w:tcW w:w="985" w:type="dxa"/>
          </w:tcPr>
          <w:p>
            <w:pPr>
              <w:pStyle w:val="TableParagraph"/>
              <w:spacing w:before="13"/>
              <w:ind w:right="61"/>
              <w:jc w:val="right"/>
              <w:rPr>
                <w:sz w:val="16"/>
              </w:rPr>
            </w:pPr>
            <w:r>
              <w:rPr>
                <w:spacing w:val="-5"/>
                <w:sz w:val="16"/>
              </w:rPr>
              <w:t>85</w:t>
            </w:r>
          </w:p>
        </w:tc>
        <w:tc>
          <w:tcPr>
            <w:tcW w:w="1091" w:type="dxa"/>
          </w:tcPr>
          <w:p>
            <w:pPr>
              <w:pStyle w:val="TableParagraph"/>
              <w:spacing w:before="13"/>
              <w:ind w:left="401"/>
              <w:rPr>
                <w:sz w:val="16"/>
              </w:rPr>
            </w:pPr>
            <w:r>
              <w:rPr>
                <w:spacing w:val="-2"/>
                <w:sz w:val="16"/>
              </w:rPr>
              <w:t>4,915</w:t>
            </w:r>
          </w:p>
        </w:tc>
        <w:tc>
          <w:tcPr>
            <w:tcW w:w="1411" w:type="dxa"/>
          </w:tcPr>
          <w:p>
            <w:pPr>
              <w:pStyle w:val="TableParagraph"/>
              <w:spacing w:before="13"/>
              <w:ind w:right="115"/>
              <w:jc w:val="center"/>
              <w:rPr>
                <w:sz w:val="16"/>
              </w:rPr>
            </w:pPr>
            <w:r>
              <w:rPr>
                <w:sz w:val="16"/>
              </w:rPr>
              <w:t>December</w:t>
            </w:r>
            <w:r>
              <w:rPr>
                <w:spacing w:val="-1"/>
                <w:sz w:val="16"/>
              </w:rPr>
              <w:t> </w:t>
            </w:r>
            <w:r>
              <w:rPr>
                <w:spacing w:val="-4"/>
                <w:sz w:val="16"/>
              </w:rPr>
              <w:t>2023</w:t>
            </w:r>
          </w:p>
        </w:tc>
        <w:tc>
          <w:tcPr>
            <w:tcW w:w="1271" w:type="dxa"/>
          </w:tcPr>
          <w:p>
            <w:pPr>
              <w:pStyle w:val="TableParagraph"/>
              <w:spacing w:before="13"/>
              <w:ind w:left="37" w:right="97"/>
              <w:jc w:val="center"/>
              <w:rPr>
                <w:sz w:val="16"/>
              </w:rPr>
            </w:pPr>
            <w:r>
              <w:rPr>
                <w:spacing w:val="-2"/>
                <w:sz w:val="16"/>
              </w:rPr>
              <w:t>5.65%</w:t>
            </w:r>
          </w:p>
        </w:tc>
      </w:tr>
      <w:tr>
        <w:trPr>
          <w:trHeight w:val="405" w:hRule="atLeast"/>
        </w:trPr>
        <w:tc>
          <w:tcPr>
            <w:tcW w:w="3603" w:type="dxa"/>
            <w:shd w:val="clear" w:color="auto" w:fill="CCEDFF"/>
          </w:tcPr>
          <w:p>
            <w:pPr>
              <w:pStyle w:val="TableParagraph"/>
              <w:spacing w:line="208" w:lineRule="auto" w:before="38"/>
              <w:ind w:left="132" w:hanging="80"/>
              <w:rPr>
                <w:sz w:val="16"/>
              </w:rPr>
            </w:pPr>
            <w:r>
              <w:rPr>
                <w:sz w:val="16"/>
              </w:rPr>
              <w:t>Secured</w:t>
            </w:r>
            <w:r>
              <w:rPr>
                <w:spacing w:val="-7"/>
                <w:sz w:val="16"/>
              </w:rPr>
              <w:t> </w:t>
            </w:r>
            <w:r>
              <w:rPr>
                <w:sz w:val="16"/>
              </w:rPr>
              <w:t>uncommitted</w:t>
            </w:r>
            <w:r>
              <w:rPr>
                <w:spacing w:val="-7"/>
                <w:sz w:val="16"/>
              </w:rPr>
              <w:t> </w:t>
            </w:r>
            <w:r>
              <w:rPr>
                <w:sz w:val="16"/>
              </w:rPr>
              <w:t>lines</w:t>
            </w:r>
            <w:r>
              <w:rPr>
                <w:spacing w:val="-7"/>
                <w:sz w:val="16"/>
              </w:rPr>
              <w:t> </w:t>
            </w:r>
            <w:r>
              <w:rPr>
                <w:sz w:val="16"/>
              </w:rPr>
              <w:t>of</w:t>
            </w:r>
            <w:r>
              <w:rPr>
                <w:spacing w:val="-7"/>
                <w:sz w:val="16"/>
              </w:rPr>
              <w:t> </w:t>
            </w:r>
            <w:r>
              <w:rPr>
                <w:sz w:val="16"/>
              </w:rPr>
              <w:t>credit</w:t>
            </w:r>
            <w:r>
              <w:rPr>
                <w:spacing w:val="-7"/>
                <w:sz w:val="16"/>
              </w:rPr>
              <w:t> </w:t>
            </w:r>
            <w:r>
              <w:rPr>
                <w:sz w:val="16"/>
              </w:rPr>
              <w:t>with</w:t>
            </w:r>
            <w:r>
              <w:rPr>
                <w:spacing w:val="-7"/>
                <w:sz w:val="16"/>
              </w:rPr>
              <w:t> </w:t>
            </w:r>
            <w:r>
              <w:rPr>
                <w:sz w:val="16"/>
              </w:rPr>
              <w:t>various</w:t>
            </w:r>
            <w:r>
              <w:rPr>
                <w:spacing w:val="40"/>
                <w:sz w:val="16"/>
              </w:rPr>
              <w:t> </w:t>
            </w:r>
            <w:r>
              <w:rPr>
                <w:sz w:val="16"/>
              </w:rPr>
              <w:t>external</w:t>
            </w:r>
            <w:r>
              <w:rPr>
                <w:spacing w:val="-1"/>
                <w:sz w:val="16"/>
              </w:rPr>
              <w:t> </w:t>
            </w:r>
            <w:r>
              <w:rPr>
                <w:sz w:val="16"/>
              </w:rPr>
              <w:t>banks</w:t>
            </w:r>
          </w:p>
        </w:tc>
        <w:tc>
          <w:tcPr>
            <w:tcW w:w="1902" w:type="dxa"/>
            <w:shd w:val="clear" w:color="auto" w:fill="CCEDFF"/>
          </w:tcPr>
          <w:p>
            <w:pPr>
              <w:pStyle w:val="TableParagraph"/>
              <w:spacing w:before="178"/>
              <w:ind w:left="394"/>
              <w:rPr>
                <w:sz w:val="16"/>
              </w:rPr>
            </w:pPr>
            <w:r>
              <w:rPr>
                <w:spacing w:val="-2"/>
                <w:sz w:val="16"/>
              </w:rPr>
              <w:t>CS&amp;Co</w:t>
            </w:r>
          </w:p>
        </w:tc>
        <w:tc>
          <w:tcPr>
            <w:tcW w:w="985" w:type="dxa"/>
            <w:shd w:val="clear" w:color="auto" w:fill="CCEDFF"/>
          </w:tcPr>
          <w:p>
            <w:pPr>
              <w:pStyle w:val="TableParagraph"/>
              <w:spacing w:before="178"/>
              <w:ind w:right="61"/>
              <w:jc w:val="right"/>
              <w:rPr>
                <w:sz w:val="16"/>
              </w:rPr>
            </w:pPr>
            <w:r>
              <w:rPr>
                <w:spacing w:val="-5"/>
                <w:sz w:val="16"/>
              </w:rPr>
              <w:t>950</w:t>
            </w:r>
          </w:p>
        </w:tc>
        <w:tc>
          <w:tcPr>
            <w:tcW w:w="1091" w:type="dxa"/>
            <w:shd w:val="clear" w:color="auto" w:fill="CCEDFF"/>
          </w:tcPr>
          <w:p>
            <w:pPr>
              <w:pStyle w:val="TableParagraph"/>
              <w:spacing w:line="109" w:lineRule="exact" w:before="75"/>
              <w:ind w:right="85"/>
              <w:jc w:val="right"/>
              <w:rPr>
                <w:sz w:val="10"/>
              </w:rPr>
            </w:pPr>
            <w:r>
              <w:rPr>
                <w:spacing w:val="-5"/>
                <w:w w:val="105"/>
                <w:sz w:val="10"/>
              </w:rPr>
              <w:t>(3)</w:t>
            </w:r>
          </w:p>
          <w:p>
            <w:pPr>
              <w:pStyle w:val="TableParagraph"/>
              <w:spacing w:line="178" w:lineRule="exact"/>
              <w:ind w:left="601"/>
              <w:rPr>
                <w:sz w:val="16"/>
              </w:rPr>
            </w:pPr>
            <w:r>
              <w:rPr>
                <w:spacing w:val="-10"/>
                <w:sz w:val="16"/>
              </w:rPr>
              <w:t>—</w:t>
            </w:r>
          </w:p>
        </w:tc>
        <w:tc>
          <w:tcPr>
            <w:tcW w:w="1411" w:type="dxa"/>
            <w:shd w:val="clear" w:color="auto" w:fill="CCEDFF"/>
          </w:tcPr>
          <w:p>
            <w:pPr>
              <w:pStyle w:val="TableParagraph"/>
              <w:spacing w:line="172" w:lineRule="exact" w:before="18"/>
              <w:ind w:right="115"/>
              <w:jc w:val="center"/>
              <w:rPr>
                <w:sz w:val="16"/>
              </w:rPr>
            </w:pPr>
            <w:r>
              <w:rPr>
                <w:sz w:val="16"/>
              </w:rPr>
              <w:t>November</w:t>
            </w:r>
            <w:r>
              <w:rPr>
                <w:spacing w:val="-1"/>
                <w:sz w:val="16"/>
              </w:rPr>
              <w:t> </w:t>
            </w:r>
            <w:r>
              <w:rPr>
                <w:sz w:val="16"/>
              </w:rPr>
              <w:t>2023 </w:t>
            </w:r>
            <w:r>
              <w:rPr>
                <w:spacing w:val="-10"/>
                <w:sz w:val="16"/>
              </w:rPr>
              <w:t>-</w:t>
            </w:r>
          </w:p>
          <w:p>
            <w:pPr>
              <w:pStyle w:val="TableParagraph"/>
              <w:spacing w:line="172" w:lineRule="exact"/>
              <w:ind w:right="115"/>
              <w:jc w:val="center"/>
              <w:rPr>
                <w:sz w:val="16"/>
              </w:rPr>
            </w:pPr>
            <w:r>
              <w:rPr>
                <w:sz w:val="16"/>
              </w:rPr>
              <w:t>January</w:t>
            </w:r>
            <w:r>
              <w:rPr>
                <w:spacing w:val="-1"/>
                <w:sz w:val="16"/>
              </w:rPr>
              <w:t> </w:t>
            </w:r>
            <w:r>
              <w:rPr>
                <w:spacing w:val="-4"/>
                <w:sz w:val="16"/>
              </w:rPr>
              <w:t>2024</w:t>
            </w:r>
          </w:p>
        </w:tc>
        <w:tc>
          <w:tcPr>
            <w:tcW w:w="1271" w:type="dxa"/>
            <w:shd w:val="clear" w:color="auto" w:fill="CCEDFF"/>
          </w:tcPr>
          <w:p>
            <w:pPr>
              <w:pStyle w:val="TableParagraph"/>
              <w:spacing w:before="178"/>
              <w:ind w:left="37" w:right="97"/>
              <w:jc w:val="center"/>
              <w:rPr>
                <w:sz w:val="16"/>
              </w:rPr>
            </w:pPr>
            <w:r>
              <w:rPr>
                <w:spacing w:val="-2"/>
                <w:sz w:val="16"/>
              </w:rPr>
              <w:t>5.67%</w:t>
            </w:r>
          </w:p>
        </w:tc>
      </w:tr>
      <w:tr>
        <w:trPr>
          <w:trHeight w:val="400" w:hRule="atLeast"/>
        </w:trPr>
        <w:tc>
          <w:tcPr>
            <w:tcW w:w="3603" w:type="dxa"/>
            <w:tcBorders>
              <w:bottom w:val="single" w:sz="4" w:space="0" w:color="000000"/>
            </w:tcBorders>
          </w:tcPr>
          <w:p>
            <w:pPr>
              <w:pStyle w:val="TableParagraph"/>
              <w:spacing w:line="208" w:lineRule="auto" w:before="38"/>
              <w:ind w:left="132" w:hanging="80"/>
              <w:rPr>
                <w:sz w:val="16"/>
              </w:rPr>
            </w:pPr>
            <w:r>
              <w:rPr>
                <w:sz w:val="16"/>
              </w:rPr>
              <w:t>Secured</w:t>
            </w:r>
            <w:r>
              <w:rPr>
                <w:spacing w:val="-7"/>
                <w:sz w:val="16"/>
              </w:rPr>
              <w:t> </w:t>
            </w:r>
            <w:r>
              <w:rPr>
                <w:sz w:val="16"/>
              </w:rPr>
              <w:t>uncommitted</w:t>
            </w:r>
            <w:r>
              <w:rPr>
                <w:spacing w:val="-7"/>
                <w:sz w:val="16"/>
              </w:rPr>
              <w:t> </w:t>
            </w:r>
            <w:r>
              <w:rPr>
                <w:sz w:val="16"/>
              </w:rPr>
              <w:t>lines</w:t>
            </w:r>
            <w:r>
              <w:rPr>
                <w:spacing w:val="-7"/>
                <w:sz w:val="16"/>
              </w:rPr>
              <w:t> </w:t>
            </w:r>
            <w:r>
              <w:rPr>
                <w:sz w:val="16"/>
              </w:rPr>
              <w:t>of</w:t>
            </w:r>
            <w:r>
              <w:rPr>
                <w:spacing w:val="-7"/>
                <w:sz w:val="16"/>
              </w:rPr>
              <w:t> </w:t>
            </w:r>
            <w:r>
              <w:rPr>
                <w:sz w:val="16"/>
              </w:rPr>
              <w:t>credit</w:t>
            </w:r>
            <w:r>
              <w:rPr>
                <w:spacing w:val="-7"/>
                <w:sz w:val="16"/>
              </w:rPr>
              <w:t> </w:t>
            </w:r>
            <w:r>
              <w:rPr>
                <w:sz w:val="16"/>
              </w:rPr>
              <w:t>with</w:t>
            </w:r>
            <w:r>
              <w:rPr>
                <w:spacing w:val="-7"/>
                <w:sz w:val="16"/>
              </w:rPr>
              <w:t> </w:t>
            </w:r>
            <w:r>
              <w:rPr>
                <w:sz w:val="16"/>
              </w:rPr>
              <w:t>various</w:t>
            </w:r>
            <w:r>
              <w:rPr>
                <w:spacing w:val="40"/>
                <w:sz w:val="16"/>
              </w:rPr>
              <w:t> </w:t>
            </w:r>
            <w:r>
              <w:rPr>
                <w:sz w:val="16"/>
              </w:rPr>
              <w:t>external</w:t>
            </w:r>
            <w:r>
              <w:rPr>
                <w:spacing w:val="-1"/>
                <w:sz w:val="16"/>
              </w:rPr>
              <w:t> </w:t>
            </w:r>
            <w:r>
              <w:rPr>
                <w:sz w:val="16"/>
              </w:rPr>
              <w:t>banks</w:t>
            </w:r>
          </w:p>
        </w:tc>
        <w:tc>
          <w:tcPr>
            <w:tcW w:w="1902" w:type="dxa"/>
            <w:tcBorders>
              <w:bottom w:val="single" w:sz="4" w:space="0" w:color="000000"/>
            </w:tcBorders>
          </w:tcPr>
          <w:p>
            <w:pPr>
              <w:pStyle w:val="TableParagraph"/>
              <w:spacing w:before="178"/>
              <w:ind w:left="394"/>
              <w:rPr>
                <w:sz w:val="16"/>
              </w:rPr>
            </w:pPr>
            <w:r>
              <w:rPr>
                <w:spacing w:val="-4"/>
                <w:sz w:val="16"/>
              </w:rPr>
              <w:t>TDAC</w:t>
            </w:r>
          </w:p>
        </w:tc>
        <w:tc>
          <w:tcPr>
            <w:tcW w:w="985" w:type="dxa"/>
            <w:tcBorders>
              <w:bottom w:val="single" w:sz="4" w:space="0" w:color="000000"/>
            </w:tcBorders>
          </w:tcPr>
          <w:p>
            <w:pPr>
              <w:pStyle w:val="TableParagraph"/>
              <w:spacing w:before="178"/>
              <w:ind w:right="61"/>
              <w:jc w:val="right"/>
              <w:rPr>
                <w:sz w:val="16"/>
              </w:rPr>
            </w:pPr>
            <w:r>
              <w:rPr>
                <w:spacing w:val="-10"/>
                <w:sz w:val="16"/>
              </w:rPr>
              <w:t>—</w:t>
            </w:r>
          </w:p>
        </w:tc>
        <w:tc>
          <w:tcPr>
            <w:tcW w:w="1091" w:type="dxa"/>
            <w:tcBorders>
              <w:bottom w:val="single" w:sz="4" w:space="0" w:color="000000"/>
            </w:tcBorders>
          </w:tcPr>
          <w:p>
            <w:pPr>
              <w:pStyle w:val="TableParagraph"/>
              <w:spacing w:line="109" w:lineRule="exact" w:before="75"/>
              <w:ind w:right="85"/>
              <w:jc w:val="right"/>
              <w:rPr>
                <w:sz w:val="10"/>
              </w:rPr>
            </w:pPr>
            <w:r>
              <w:rPr>
                <w:spacing w:val="-5"/>
                <w:w w:val="105"/>
                <w:sz w:val="10"/>
              </w:rPr>
              <w:t>(4)</w:t>
            </w:r>
          </w:p>
          <w:p>
            <w:pPr>
              <w:pStyle w:val="TableParagraph"/>
              <w:spacing w:line="178" w:lineRule="exact"/>
              <w:ind w:left="601"/>
              <w:rPr>
                <w:sz w:val="16"/>
              </w:rPr>
            </w:pPr>
            <w:r>
              <w:rPr>
                <w:spacing w:val="-10"/>
                <w:sz w:val="16"/>
              </w:rPr>
              <w:t>—</w:t>
            </w:r>
          </w:p>
        </w:tc>
        <w:tc>
          <w:tcPr>
            <w:tcW w:w="1411" w:type="dxa"/>
            <w:tcBorders>
              <w:bottom w:val="single" w:sz="4" w:space="0" w:color="000000"/>
            </w:tcBorders>
          </w:tcPr>
          <w:p>
            <w:pPr>
              <w:pStyle w:val="TableParagraph"/>
              <w:spacing w:before="178"/>
              <w:ind w:right="115"/>
              <w:jc w:val="center"/>
              <w:rPr>
                <w:sz w:val="16"/>
              </w:rPr>
            </w:pPr>
            <w:r>
              <w:rPr>
                <w:spacing w:val="-5"/>
                <w:sz w:val="16"/>
              </w:rPr>
              <w:t>N/A</w:t>
            </w:r>
          </w:p>
        </w:tc>
        <w:tc>
          <w:tcPr>
            <w:tcW w:w="1271" w:type="dxa"/>
            <w:tcBorders>
              <w:bottom w:val="single" w:sz="4" w:space="0" w:color="000000"/>
            </w:tcBorders>
          </w:tcPr>
          <w:p>
            <w:pPr>
              <w:pStyle w:val="TableParagraph"/>
              <w:spacing w:before="178"/>
              <w:ind w:left="37" w:right="97"/>
              <w:jc w:val="center"/>
              <w:rPr>
                <w:sz w:val="16"/>
              </w:rPr>
            </w:pPr>
            <w:r>
              <w:rPr>
                <w:spacing w:val="-10"/>
                <w:sz w:val="16"/>
              </w:rPr>
              <w:t>—</w:t>
            </w:r>
          </w:p>
        </w:tc>
      </w:tr>
    </w:tbl>
    <w:p>
      <w:pPr>
        <w:spacing w:line="249" w:lineRule="auto" w:before="49"/>
        <w:ind w:left="650" w:right="500" w:hanging="180"/>
        <w:jc w:val="left"/>
        <w:rPr>
          <w:sz w:val="14"/>
        </w:rPr>
      </w:pPr>
      <w:r>
        <w:rPr>
          <w:sz w:val="14"/>
          <w:vertAlign w:val="superscript"/>
        </w:rPr>
        <w:t>(1)</w:t>
      </w:r>
      <w:r>
        <w:rPr>
          <w:spacing w:val="-13"/>
          <w:sz w:val="14"/>
          <w:vertAlign w:val="baseline"/>
        </w:rPr>
        <w:t> </w:t>
      </w:r>
      <w:r>
        <w:rPr>
          <w:sz w:val="14"/>
          <w:vertAlign w:val="baseline"/>
        </w:rPr>
        <w:t>Amounts</w:t>
      </w:r>
      <w:r>
        <w:rPr>
          <w:spacing w:val="-4"/>
          <w:sz w:val="14"/>
          <w:vertAlign w:val="baseline"/>
        </w:rPr>
        <w:t> </w:t>
      </w:r>
      <w:r>
        <w:rPr>
          <w:sz w:val="14"/>
          <w:vertAlign w:val="baseline"/>
        </w:rPr>
        <w:t>shown</w:t>
      </w:r>
      <w:r>
        <w:rPr>
          <w:spacing w:val="-2"/>
          <w:sz w:val="14"/>
          <w:vertAlign w:val="baseline"/>
        </w:rPr>
        <w:t> </w:t>
      </w:r>
      <w:r>
        <w:rPr>
          <w:sz w:val="14"/>
          <w:vertAlign w:val="baseline"/>
        </w:rPr>
        <w:t>as</w:t>
      </w:r>
      <w:r>
        <w:rPr>
          <w:spacing w:val="-3"/>
          <w:sz w:val="14"/>
          <w:vertAlign w:val="baseline"/>
        </w:rPr>
        <w:t> </w:t>
      </w:r>
      <w:r>
        <w:rPr>
          <w:sz w:val="14"/>
          <w:vertAlign w:val="baseline"/>
        </w:rPr>
        <w:t>available</w:t>
      </w:r>
      <w:r>
        <w:rPr>
          <w:spacing w:val="-3"/>
          <w:sz w:val="14"/>
          <w:vertAlign w:val="baseline"/>
        </w:rPr>
        <w:t> </w:t>
      </w:r>
      <w:r>
        <w:rPr>
          <w:sz w:val="14"/>
          <w:vertAlign w:val="baseline"/>
        </w:rPr>
        <w:t>from</w:t>
      </w:r>
      <w:r>
        <w:rPr>
          <w:spacing w:val="-2"/>
          <w:sz w:val="14"/>
          <w:vertAlign w:val="baseline"/>
        </w:rPr>
        <w:t> </w:t>
      </w:r>
      <w:r>
        <w:rPr>
          <w:sz w:val="14"/>
          <w:vertAlign w:val="baseline"/>
        </w:rPr>
        <w:t>the</w:t>
      </w:r>
      <w:r>
        <w:rPr>
          <w:spacing w:val="-3"/>
          <w:sz w:val="14"/>
          <w:vertAlign w:val="baseline"/>
        </w:rPr>
        <w:t> </w:t>
      </w:r>
      <w:r>
        <w:rPr>
          <w:sz w:val="14"/>
          <w:vertAlign w:val="baseline"/>
        </w:rPr>
        <w:t>FHLB</w:t>
      </w:r>
      <w:r>
        <w:rPr>
          <w:spacing w:val="-3"/>
          <w:sz w:val="14"/>
          <w:vertAlign w:val="baseline"/>
        </w:rPr>
        <w:t> </w:t>
      </w:r>
      <w:r>
        <w:rPr>
          <w:sz w:val="14"/>
          <w:vertAlign w:val="baseline"/>
        </w:rPr>
        <w:t>and</w:t>
      </w:r>
      <w:r>
        <w:rPr>
          <w:spacing w:val="-2"/>
          <w:sz w:val="14"/>
          <w:vertAlign w:val="baseline"/>
        </w:rPr>
        <w:t> </w:t>
      </w:r>
      <w:r>
        <w:rPr>
          <w:sz w:val="14"/>
          <w:vertAlign w:val="baseline"/>
        </w:rPr>
        <w:t>Federal</w:t>
      </w:r>
      <w:r>
        <w:rPr>
          <w:spacing w:val="-2"/>
          <w:sz w:val="14"/>
          <w:vertAlign w:val="baseline"/>
        </w:rPr>
        <w:t> </w:t>
      </w:r>
      <w:r>
        <w:rPr>
          <w:sz w:val="14"/>
          <w:vertAlign w:val="baseline"/>
        </w:rPr>
        <w:t>Reserve</w:t>
      </w:r>
      <w:r>
        <w:rPr>
          <w:spacing w:val="-3"/>
          <w:sz w:val="14"/>
          <w:vertAlign w:val="baseline"/>
        </w:rPr>
        <w:t> </w:t>
      </w:r>
      <w:r>
        <w:rPr>
          <w:sz w:val="14"/>
          <w:vertAlign w:val="baseline"/>
        </w:rPr>
        <w:t>facilities</w:t>
      </w:r>
      <w:r>
        <w:rPr>
          <w:spacing w:val="-3"/>
          <w:sz w:val="14"/>
          <w:vertAlign w:val="baseline"/>
        </w:rPr>
        <w:t> </w:t>
      </w:r>
      <w:r>
        <w:rPr>
          <w:sz w:val="14"/>
          <w:vertAlign w:val="baseline"/>
        </w:rPr>
        <w:t>represent</w:t>
      </w:r>
      <w:r>
        <w:rPr>
          <w:spacing w:val="-2"/>
          <w:sz w:val="14"/>
          <w:vertAlign w:val="baseline"/>
        </w:rPr>
        <w:t> </w:t>
      </w:r>
      <w:r>
        <w:rPr>
          <w:sz w:val="14"/>
          <w:vertAlign w:val="baseline"/>
        </w:rPr>
        <w:t>remaining</w:t>
      </w:r>
      <w:r>
        <w:rPr>
          <w:spacing w:val="-2"/>
          <w:sz w:val="14"/>
          <w:vertAlign w:val="baseline"/>
        </w:rPr>
        <w:t> </w:t>
      </w:r>
      <w:r>
        <w:rPr>
          <w:sz w:val="14"/>
          <w:vertAlign w:val="baseline"/>
        </w:rPr>
        <w:t>capacity</w:t>
      </w:r>
      <w:r>
        <w:rPr>
          <w:spacing w:val="-2"/>
          <w:sz w:val="14"/>
          <w:vertAlign w:val="baseline"/>
        </w:rPr>
        <w:t> </w:t>
      </w:r>
      <w:r>
        <w:rPr>
          <w:sz w:val="14"/>
          <w:vertAlign w:val="baseline"/>
        </w:rPr>
        <w:t>based</w:t>
      </w:r>
      <w:r>
        <w:rPr>
          <w:spacing w:val="-2"/>
          <w:sz w:val="14"/>
          <w:vertAlign w:val="baseline"/>
        </w:rPr>
        <w:t> </w:t>
      </w:r>
      <w:r>
        <w:rPr>
          <w:sz w:val="14"/>
          <w:vertAlign w:val="baseline"/>
        </w:rPr>
        <w:t>on</w:t>
      </w:r>
      <w:r>
        <w:rPr>
          <w:spacing w:val="-2"/>
          <w:sz w:val="14"/>
          <w:vertAlign w:val="baseline"/>
        </w:rPr>
        <w:t> </w:t>
      </w:r>
      <w:r>
        <w:rPr>
          <w:sz w:val="14"/>
          <w:vertAlign w:val="baseline"/>
        </w:rPr>
        <w:t>assets</w:t>
      </w:r>
      <w:r>
        <w:rPr>
          <w:spacing w:val="-3"/>
          <w:sz w:val="14"/>
          <w:vertAlign w:val="baseline"/>
        </w:rPr>
        <w:t> </w:t>
      </w:r>
      <w:r>
        <w:rPr>
          <w:sz w:val="14"/>
          <w:vertAlign w:val="baseline"/>
        </w:rPr>
        <w:t>pledged</w:t>
      </w:r>
      <w:r>
        <w:rPr>
          <w:spacing w:val="-2"/>
          <w:sz w:val="14"/>
          <w:vertAlign w:val="baseline"/>
        </w:rPr>
        <w:t> </w:t>
      </w:r>
      <w:r>
        <w:rPr>
          <w:sz w:val="14"/>
          <w:vertAlign w:val="baseline"/>
        </w:rPr>
        <w:t>as</w:t>
      </w:r>
      <w:r>
        <w:rPr>
          <w:spacing w:val="-3"/>
          <w:sz w:val="14"/>
          <w:vertAlign w:val="baseline"/>
        </w:rPr>
        <w:t> </w:t>
      </w:r>
      <w:r>
        <w:rPr>
          <w:sz w:val="14"/>
          <w:vertAlign w:val="baseline"/>
        </w:rPr>
        <w:t>of</w:t>
      </w:r>
      <w:r>
        <w:rPr>
          <w:spacing w:val="-7"/>
          <w:sz w:val="14"/>
          <w:vertAlign w:val="baseline"/>
        </w:rPr>
        <w:t> </w:t>
      </w:r>
      <w:r>
        <w:rPr>
          <w:sz w:val="14"/>
          <w:vertAlign w:val="baseline"/>
        </w:rPr>
        <w:t>September</w:t>
      </w:r>
      <w:r>
        <w:rPr>
          <w:spacing w:val="-2"/>
          <w:sz w:val="14"/>
          <w:vertAlign w:val="baseline"/>
        </w:rPr>
        <w:t> </w:t>
      </w:r>
      <w:r>
        <w:rPr>
          <w:sz w:val="14"/>
          <w:vertAlign w:val="baseline"/>
        </w:rPr>
        <w:t>30,</w:t>
      </w:r>
      <w:r>
        <w:rPr>
          <w:spacing w:val="-2"/>
          <w:sz w:val="14"/>
          <w:vertAlign w:val="baseline"/>
        </w:rPr>
        <w:t> </w:t>
      </w:r>
      <w:r>
        <w:rPr>
          <w:sz w:val="14"/>
          <w:vertAlign w:val="baseline"/>
        </w:rPr>
        <w:t>2023.</w:t>
      </w:r>
      <w:r>
        <w:rPr>
          <w:spacing w:val="-2"/>
          <w:sz w:val="14"/>
          <w:vertAlign w:val="baseline"/>
        </w:rPr>
        <w:t> </w:t>
      </w:r>
      <w:r>
        <w:rPr>
          <w:sz w:val="14"/>
          <w:vertAlign w:val="baseline"/>
        </w:rPr>
        <w:t>Incremental</w:t>
      </w:r>
      <w:r>
        <w:rPr>
          <w:spacing w:val="-2"/>
          <w:sz w:val="14"/>
          <w:vertAlign w:val="baseline"/>
        </w:rPr>
        <w:t> </w:t>
      </w:r>
      <w:r>
        <w:rPr>
          <w:sz w:val="14"/>
          <w:vertAlign w:val="baseline"/>
        </w:rPr>
        <w:t>borrowing</w:t>
      </w:r>
      <w:r>
        <w:rPr>
          <w:spacing w:val="40"/>
          <w:sz w:val="14"/>
          <w:vertAlign w:val="baseline"/>
        </w:rPr>
        <w:t> </w:t>
      </w:r>
      <w:r>
        <w:rPr>
          <w:sz w:val="14"/>
          <w:vertAlign w:val="baseline"/>
        </w:rPr>
        <w:t>capacity may be made available by pledging additional assets, subject to applicable facility terms. See below and Note</w:t>
      </w:r>
      <w:r>
        <w:rPr>
          <w:spacing w:val="-2"/>
          <w:sz w:val="14"/>
          <w:vertAlign w:val="baseline"/>
        </w:rPr>
        <w:t> </w:t>
      </w:r>
      <w:r>
        <w:rPr>
          <w:sz w:val="14"/>
          <w:vertAlign w:val="baseline"/>
        </w:rPr>
        <w:t>8 for additional information.</w:t>
      </w:r>
    </w:p>
    <w:p>
      <w:pPr>
        <w:spacing w:line="249" w:lineRule="auto" w:before="2"/>
        <w:ind w:left="650" w:right="470" w:hanging="180"/>
        <w:jc w:val="left"/>
        <w:rPr>
          <w:sz w:val="14"/>
        </w:rPr>
      </w:pPr>
      <w:r>
        <w:rPr>
          <w:sz w:val="14"/>
          <w:vertAlign w:val="superscript"/>
        </w:rPr>
        <w:t>(2)</w:t>
      </w:r>
      <w:r>
        <w:rPr>
          <w:spacing w:val="-13"/>
          <w:sz w:val="14"/>
          <w:vertAlign w:val="baseline"/>
        </w:rPr>
        <w:t> </w:t>
      </w:r>
      <w:r>
        <w:rPr>
          <w:sz w:val="14"/>
          <w:vertAlign w:val="baseline"/>
        </w:rPr>
        <w:t>Secured</w:t>
      </w:r>
      <w:r>
        <w:rPr>
          <w:spacing w:val="-3"/>
          <w:sz w:val="14"/>
          <w:vertAlign w:val="baseline"/>
        </w:rPr>
        <w:t> </w:t>
      </w:r>
      <w:r>
        <w:rPr>
          <w:sz w:val="14"/>
          <w:vertAlign w:val="baseline"/>
        </w:rPr>
        <w:t>borrowing</w:t>
      </w:r>
      <w:r>
        <w:rPr>
          <w:spacing w:val="-2"/>
          <w:sz w:val="14"/>
          <w:vertAlign w:val="baseline"/>
        </w:rPr>
        <w:t> </w:t>
      </w:r>
      <w:r>
        <w:rPr>
          <w:sz w:val="14"/>
          <w:vertAlign w:val="baseline"/>
        </w:rPr>
        <w:t>capacity</w:t>
      </w:r>
      <w:r>
        <w:rPr>
          <w:spacing w:val="-2"/>
          <w:sz w:val="14"/>
          <w:vertAlign w:val="baseline"/>
        </w:rPr>
        <w:t> </w:t>
      </w:r>
      <w:r>
        <w:rPr>
          <w:sz w:val="14"/>
          <w:vertAlign w:val="baseline"/>
        </w:rPr>
        <w:t>is</w:t>
      </w:r>
      <w:r>
        <w:rPr>
          <w:spacing w:val="-3"/>
          <w:sz w:val="14"/>
          <w:vertAlign w:val="baseline"/>
        </w:rPr>
        <w:t> </w:t>
      </w:r>
      <w:r>
        <w:rPr>
          <w:sz w:val="14"/>
          <w:vertAlign w:val="baseline"/>
        </w:rPr>
        <w:t>made</w:t>
      </w:r>
      <w:r>
        <w:rPr>
          <w:spacing w:val="-3"/>
          <w:sz w:val="14"/>
          <w:vertAlign w:val="baseline"/>
        </w:rPr>
        <w:t> </w:t>
      </w:r>
      <w:r>
        <w:rPr>
          <w:sz w:val="14"/>
          <w:vertAlign w:val="baseline"/>
        </w:rPr>
        <w:t>available</w:t>
      </w:r>
      <w:r>
        <w:rPr>
          <w:spacing w:val="-3"/>
          <w:sz w:val="14"/>
          <w:vertAlign w:val="baseline"/>
        </w:rPr>
        <w:t> </w:t>
      </w:r>
      <w:r>
        <w:rPr>
          <w:sz w:val="14"/>
          <w:vertAlign w:val="baseline"/>
        </w:rPr>
        <w:t>based</w:t>
      </w:r>
      <w:r>
        <w:rPr>
          <w:spacing w:val="-2"/>
          <w:sz w:val="14"/>
          <w:vertAlign w:val="baseline"/>
        </w:rPr>
        <w:t> </w:t>
      </w:r>
      <w:r>
        <w:rPr>
          <w:sz w:val="14"/>
          <w:vertAlign w:val="baseline"/>
        </w:rPr>
        <w:t>on</w:t>
      </w:r>
      <w:r>
        <w:rPr>
          <w:spacing w:val="-2"/>
          <w:sz w:val="14"/>
          <w:vertAlign w:val="baseline"/>
        </w:rPr>
        <w:t> </w:t>
      </w:r>
      <w:r>
        <w:rPr>
          <w:sz w:val="14"/>
          <w:vertAlign w:val="baseline"/>
        </w:rPr>
        <w:t>the</w:t>
      </w:r>
      <w:r>
        <w:rPr>
          <w:spacing w:val="-3"/>
          <w:sz w:val="14"/>
          <w:vertAlign w:val="baseline"/>
        </w:rPr>
        <w:t> </w:t>
      </w:r>
      <w:r>
        <w:rPr>
          <w:sz w:val="14"/>
          <w:vertAlign w:val="baseline"/>
        </w:rPr>
        <w:t>banking</w:t>
      </w:r>
      <w:r>
        <w:rPr>
          <w:spacing w:val="-2"/>
          <w:sz w:val="14"/>
          <w:vertAlign w:val="baseline"/>
        </w:rPr>
        <w:t> </w:t>
      </w:r>
      <w:r>
        <w:rPr>
          <w:sz w:val="14"/>
          <w:vertAlign w:val="baseline"/>
        </w:rPr>
        <w:t>subsidiaries’</w:t>
      </w:r>
      <w:r>
        <w:rPr>
          <w:spacing w:val="-2"/>
          <w:sz w:val="14"/>
          <w:vertAlign w:val="baseline"/>
        </w:rPr>
        <w:t> </w:t>
      </w:r>
      <w:r>
        <w:rPr>
          <w:sz w:val="14"/>
          <w:vertAlign w:val="baseline"/>
        </w:rPr>
        <w:t>or</w:t>
      </w:r>
      <w:r>
        <w:rPr>
          <w:spacing w:val="-2"/>
          <w:sz w:val="14"/>
          <w:vertAlign w:val="baseline"/>
        </w:rPr>
        <w:t> </w:t>
      </w:r>
      <w:r>
        <w:rPr>
          <w:sz w:val="14"/>
          <w:vertAlign w:val="baseline"/>
        </w:rPr>
        <w:t>CSC’s</w:t>
      </w:r>
      <w:r>
        <w:rPr>
          <w:spacing w:val="-3"/>
          <w:sz w:val="14"/>
          <w:vertAlign w:val="baseline"/>
        </w:rPr>
        <w:t> </w:t>
      </w:r>
      <w:r>
        <w:rPr>
          <w:sz w:val="14"/>
          <w:vertAlign w:val="baseline"/>
        </w:rPr>
        <w:t>ability</w:t>
      </w:r>
      <w:r>
        <w:rPr>
          <w:spacing w:val="-2"/>
          <w:sz w:val="14"/>
          <w:vertAlign w:val="baseline"/>
        </w:rPr>
        <w:t> </w:t>
      </w:r>
      <w:r>
        <w:rPr>
          <w:sz w:val="14"/>
          <w:vertAlign w:val="baseline"/>
        </w:rPr>
        <w:t>to</w:t>
      </w:r>
      <w:r>
        <w:rPr>
          <w:spacing w:val="-2"/>
          <w:sz w:val="14"/>
          <w:vertAlign w:val="baseline"/>
        </w:rPr>
        <w:t> </w:t>
      </w:r>
      <w:r>
        <w:rPr>
          <w:sz w:val="14"/>
          <w:vertAlign w:val="baseline"/>
        </w:rPr>
        <w:t>provide</w:t>
      </w:r>
      <w:r>
        <w:rPr>
          <w:spacing w:val="-3"/>
          <w:sz w:val="14"/>
          <w:vertAlign w:val="baseline"/>
        </w:rPr>
        <w:t> </w:t>
      </w:r>
      <w:r>
        <w:rPr>
          <w:sz w:val="14"/>
          <w:vertAlign w:val="baseline"/>
        </w:rPr>
        <w:t>collateral</w:t>
      </w:r>
      <w:r>
        <w:rPr>
          <w:spacing w:val="-2"/>
          <w:sz w:val="14"/>
          <w:vertAlign w:val="baseline"/>
        </w:rPr>
        <w:t> </w:t>
      </w:r>
      <w:r>
        <w:rPr>
          <w:sz w:val="14"/>
          <w:vertAlign w:val="baseline"/>
        </w:rPr>
        <w:t>deemed</w:t>
      </w:r>
      <w:r>
        <w:rPr>
          <w:spacing w:val="-2"/>
          <w:sz w:val="14"/>
          <w:vertAlign w:val="baseline"/>
        </w:rPr>
        <w:t> </w:t>
      </w:r>
      <w:r>
        <w:rPr>
          <w:sz w:val="14"/>
          <w:vertAlign w:val="baseline"/>
        </w:rPr>
        <w:t>acceptable</w:t>
      </w:r>
      <w:r>
        <w:rPr>
          <w:spacing w:val="-3"/>
          <w:sz w:val="14"/>
          <w:vertAlign w:val="baseline"/>
        </w:rPr>
        <w:t> </w:t>
      </w:r>
      <w:r>
        <w:rPr>
          <w:sz w:val="14"/>
          <w:vertAlign w:val="baseline"/>
        </w:rPr>
        <w:t>by</w:t>
      </w:r>
      <w:r>
        <w:rPr>
          <w:spacing w:val="-2"/>
          <w:sz w:val="14"/>
          <w:vertAlign w:val="baseline"/>
        </w:rPr>
        <w:t> </w:t>
      </w:r>
      <w:r>
        <w:rPr>
          <w:sz w:val="14"/>
          <w:vertAlign w:val="baseline"/>
        </w:rPr>
        <w:t>each</w:t>
      </w:r>
      <w:r>
        <w:rPr>
          <w:spacing w:val="-2"/>
          <w:sz w:val="14"/>
          <w:vertAlign w:val="baseline"/>
        </w:rPr>
        <w:t> </w:t>
      </w:r>
      <w:r>
        <w:rPr>
          <w:sz w:val="14"/>
          <w:vertAlign w:val="baseline"/>
        </w:rPr>
        <w:t>respective</w:t>
      </w:r>
      <w:r>
        <w:rPr>
          <w:spacing w:val="-3"/>
          <w:sz w:val="14"/>
          <w:vertAlign w:val="baseline"/>
        </w:rPr>
        <w:t> </w:t>
      </w:r>
      <w:r>
        <w:rPr>
          <w:sz w:val="14"/>
          <w:vertAlign w:val="baseline"/>
        </w:rPr>
        <w:t>counterparty.</w:t>
      </w:r>
      <w:r>
        <w:rPr>
          <w:spacing w:val="-2"/>
          <w:sz w:val="14"/>
          <w:vertAlign w:val="baseline"/>
        </w:rPr>
        <w:t> </w:t>
      </w:r>
      <w:r>
        <w:rPr>
          <w:sz w:val="14"/>
          <w:vertAlign w:val="baseline"/>
        </w:rPr>
        <w:t>See</w:t>
      </w:r>
      <w:r>
        <w:rPr>
          <w:spacing w:val="-3"/>
          <w:sz w:val="14"/>
          <w:vertAlign w:val="baseline"/>
        </w:rPr>
        <w:t> </w:t>
      </w:r>
      <w:r>
        <w:rPr>
          <w:sz w:val="14"/>
          <w:vertAlign w:val="baseline"/>
        </w:rPr>
        <w:t>Note</w:t>
      </w:r>
      <w:r>
        <w:rPr>
          <w:spacing w:val="40"/>
          <w:sz w:val="14"/>
          <w:vertAlign w:val="baseline"/>
        </w:rPr>
        <w:t> </w:t>
      </w:r>
      <w:r>
        <w:rPr>
          <w:sz w:val="14"/>
          <w:vertAlign w:val="baseline"/>
        </w:rPr>
        <w:t>12 for additional information.</w:t>
      </w:r>
    </w:p>
    <w:p>
      <w:pPr>
        <w:spacing w:line="249" w:lineRule="auto" w:before="1"/>
        <w:ind w:left="650" w:right="761" w:hanging="180"/>
        <w:jc w:val="left"/>
        <w:rPr>
          <w:sz w:val="14"/>
        </w:rPr>
      </w:pPr>
      <w:r>
        <w:rPr>
          <w:sz w:val="14"/>
          <w:vertAlign w:val="superscript"/>
        </w:rPr>
        <w:t>(3)</w:t>
      </w:r>
      <w:r>
        <w:rPr>
          <w:spacing w:val="-13"/>
          <w:sz w:val="14"/>
          <w:vertAlign w:val="baseline"/>
        </w:rPr>
        <w:t> </w:t>
      </w:r>
      <w:r>
        <w:rPr>
          <w:sz w:val="14"/>
          <w:vertAlign w:val="baseline"/>
        </w:rPr>
        <w:t>In</w:t>
      </w:r>
      <w:r>
        <w:rPr>
          <w:spacing w:val="-3"/>
          <w:sz w:val="14"/>
          <w:vertAlign w:val="baseline"/>
        </w:rPr>
        <w:t> </w:t>
      </w:r>
      <w:r>
        <w:rPr>
          <w:sz w:val="14"/>
          <w:vertAlign w:val="baseline"/>
        </w:rPr>
        <w:t>the</w:t>
      </w:r>
      <w:r>
        <w:rPr>
          <w:spacing w:val="-3"/>
          <w:sz w:val="14"/>
          <w:vertAlign w:val="baseline"/>
        </w:rPr>
        <w:t> </w:t>
      </w:r>
      <w:r>
        <w:rPr>
          <w:sz w:val="14"/>
          <w:vertAlign w:val="baseline"/>
        </w:rPr>
        <w:t>second</w:t>
      </w:r>
      <w:r>
        <w:rPr>
          <w:spacing w:val="-2"/>
          <w:sz w:val="14"/>
          <w:vertAlign w:val="baseline"/>
        </w:rPr>
        <w:t> </w:t>
      </w:r>
      <w:r>
        <w:rPr>
          <w:sz w:val="14"/>
          <w:vertAlign w:val="baseline"/>
        </w:rPr>
        <w:t>and</w:t>
      </w:r>
      <w:r>
        <w:rPr>
          <w:spacing w:val="-2"/>
          <w:sz w:val="14"/>
          <w:vertAlign w:val="baseline"/>
        </w:rPr>
        <w:t> </w:t>
      </w:r>
      <w:r>
        <w:rPr>
          <w:sz w:val="14"/>
          <w:vertAlign w:val="baseline"/>
        </w:rPr>
        <w:t>third</w:t>
      </w:r>
      <w:r>
        <w:rPr>
          <w:spacing w:val="-2"/>
          <w:sz w:val="14"/>
          <w:vertAlign w:val="baseline"/>
        </w:rPr>
        <w:t> </w:t>
      </w:r>
      <w:r>
        <w:rPr>
          <w:sz w:val="14"/>
          <w:vertAlign w:val="baseline"/>
        </w:rPr>
        <w:t>quarter</w:t>
      </w:r>
      <w:r>
        <w:rPr>
          <w:spacing w:val="-2"/>
          <w:sz w:val="14"/>
          <w:vertAlign w:val="baseline"/>
        </w:rPr>
        <w:t> </w:t>
      </w:r>
      <w:r>
        <w:rPr>
          <w:sz w:val="14"/>
          <w:vertAlign w:val="baseline"/>
        </w:rPr>
        <w:t>of</w:t>
      </w:r>
      <w:r>
        <w:rPr>
          <w:spacing w:val="-2"/>
          <w:sz w:val="14"/>
          <w:vertAlign w:val="baseline"/>
        </w:rPr>
        <w:t> </w:t>
      </w:r>
      <w:r>
        <w:rPr>
          <w:sz w:val="14"/>
          <w:vertAlign w:val="baseline"/>
        </w:rPr>
        <w:t>2023,</w:t>
      </w:r>
      <w:r>
        <w:rPr>
          <w:spacing w:val="-2"/>
          <w:sz w:val="14"/>
          <w:vertAlign w:val="baseline"/>
        </w:rPr>
        <w:t> </w:t>
      </w:r>
      <w:r>
        <w:rPr>
          <w:sz w:val="14"/>
          <w:vertAlign w:val="baseline"/>
        </w:rPr>
        <w:t>CS&amp;Co</w:t>
      </w:r>
      <w:r>
        <w:rPr>
          <w:spacing w:val="-2"/>
          <w:sz w:val="14"/>
          <w:vertAlign w:val="baseline"/>
        </w:rPr>
        <w:t> </w:t>
      </w:r>
      <w:r>
        <w:rPr>
          <w:sz w:val="14"/>
          <w:vertAlign w:val="baseline"/>
        </w:rPr>
        <w:t>entered</w:t>
      </w:r>
      <w:r>
        <w:rPr>
          <w:spacing w:val="-2"/>
          <w:sz w:val="14"/>
          <w:vertAlign w:val="baseline"/>
        </w:rPr>
        <w:t> </w:t>
      </w:r>
      <w:r>
        <w:rPr>
          <w:sz w:val="14"/>
          <w:vertAlign w:val="baseline"/>
        </w:rPr>
        <w:t>into</w:t>
      </w:r>
      <w:r>
        <w:rPr>
          <w:spacing w:val="-2"/>
          <w:sz w:val="14"/>
          <w:vertAlign w:val="baseline"/>
        </w:rPr>
        <w:t> </w:t>
      </w:r>
      <w:r>
        <w:rPr>
          <w:sz w:val="14"/>
          <w:vertAlign w:val="baseline"/>
        </w:rPr>
        <w:t>three</w:t>
      </w:r>
      <w:r>
        <w:rPr>
          <w:spacing w:val="-3"/>
          <w:sz w:val="14"/>
          <w:vertAlign w:val="baseline"/>
        </w:rPr>
        <w:t> </w:t>
      </w:r>
      <w:r>
        <w:rPr>
          <w:sz w:val="14"/>
          <w:vertAlign w:val="baseline"/>
        </w:rPr>
        <w:t>secured,</w:t>
      </w:r>
      <w:r>
        <w:rPr>
          <w:spacing w:val="-2"/>
          <w:sz w:val="14"/>
          <w:vertAlign w:val="baseline"/>
        </w:rPr>
        <w:t> </w:t>
      </w:r>
      <w:r>
        <w:rPr>
          <w:sz w:val="14"/>
          <w:vertAlign w:val="baseline"/>
        </w:rPr>
        <w:t>uncommitted</w:t>
      </w:r>
      <w:r>
        <w:rPr>
          <w:spacing w:val="-2"/>
          <w:sz w:val="14"/>
          <w:vertAlign w:val="baseline"/>
        </w:rPr>
        <w:t> </w:t>
      </w:r>
      <w:r>
        <w:rPr>
          <w:sz w:val="14"/>
          <w:vertAlign w:val="baseline"/>
        </w:rPr>
        <w:t>line</w:t>
      </w:r>
      <w:r>
        <w:rPr>
          <w:spacing w:val="-3"/>
          <w:sz w:val="14"/>
          <w:vertAlign w:val="baseline"/>
        </w:rPr>
        <w:t> </w:t>
      </w:r>
      <w:r>
        <w:rPr>
          <w:sz w:val="14"/>
          <w:vertAlign w:val="baseline"/>
        </w:rPr>
        <w:t>of</w:t>
      </w:r>
      <w:r>
        <w:rPr>
          <w:spacing w:val="-2"/>
          <w:sz w:val="14"/>
          <w:vertAlign w:val="baseline"/>
        </w:rPr>
        <w:t> </w:t>
      </w:r>
      <w:r>
        <w:rPr>
          <w:sz w:val="14"/>
          <w:vertAlign w:val="baseline"/>
        </w:rPr>
        <w:t>credit</w:t>
      </w:r>
      <w:r>
        <w:rPr>
          <w:spacing w:val="-2"/>
          <w:sz w:val="14"/>
          <w:vertAlign w:val="baseline"/>
        </w:rPr>
        <w:t> </w:t>
      </w:r>
      <w:r>
        <w:rPr>
          <w:sz w:val="14"/>
          <w:vertAlign w:val="baseline"/>
        </w:rPr>
        <w:t>agreements</w:t>
      </w:r>
      <w:r>
        <w:rPr>
          <w:spacing w:val="-3"/>
          <w:sz w:val="14"/>
          <w:vertAlign w:val="baseline"/>
        </w:rPr>
        <w:t> </w:t>
      </w:r>
      <w:r>
        <w:rPr>
          <w:sz w:val="14"/>
          <w:vertAlign w:val="baseline"/>
        </w:rPr>
        <w:t>with</w:t>
      </w:r>
      <w:r>
        <w:rPr>
          <w:spacing w:val="-2"/>
          <w:sz w:val="14"/>
          <w:vertAlign w:val="baseline"/>
        </w:rPr>
        <w:t> </w:t>
      </w:r>
      <w:r>
        <w:rPr>
          <w:sz w:val="14"/>
          <w:vertAlign w:val="baseline"/>
        </w:rPr>
        <w:t>external</w:t>
      </w:r>
      <w:r>
        <w:rPr>
          <w:spacing w:val="-2"/>
          <w:sz w:val="14"/>
          <w:vertAlign w:val="baseline"/>
        </w:rPr>
        <w:t> </w:t>
      </w:r>
      <w:r>
        <w:rPr>
          <w:sz w:val="14"/>
          <w:vertAlign w:val="baseline"/>
        </w:rPr>
        <w:t>banks.</w:t>
      </w:r>
      <w:r>
        <w:rPr>
          <w:spacing w:val="-2"/>
          <w:sz w:val="14"/>
          <w:vertAlign w:val="baseline"/>
        </w:rPr>
        <w:t> </w:t>
      </w:r>
      <w:r>
        <w:rPr>
          <w:sz w:val="14"/>
          <w:vertAlign w:val="baseline"/>
        </w:rPr>
        <w:t>Secured</w:t>
      </w:r>
      <w:r>
        <w:rPr>
          <w:spacing w:val="-2"/>
          <w:sz w:val="14"/>
          <w:vertAlign w:val="baseline"/>
        </w:rPr>
        <w:t> </w:t>
      </w:r>
      <w:r>
        <w:rPr>
          <w:sz w:val="14"/>
          <w:vertAlign w:val="baseline"/>
        </w:rPr>
        <w:t>borrowing</w:t>
      </w:r>
      <w:r>
        <w:rPr>
          <w:spacing w:val="-2"/>
          <w:sz w:val="14"/>
          <w:vertAlign w:val="baseline"/>
        </w:rPr>
        <w:t> </w:t>
      </w:r>
      <w:r>
        <w:rPr>
          <w:sz w:val="14"/>
          <w:vertAlign w:val="baseline"/>
        </w:rPr>
        <w:t>capacity</w:t>
      </w:r>
      <w:r>
        <w:rPr>
          <w:spacing w:val="-2"/>
          <w:sz w:val="14"/>
          <w:vertAlign w:val="baseline"/>
        </w:rPr>
        <w:t> </w:t>
      </w:r>
      <w:r>
        <w:rPr>
          <w:sz w:val="14"/>
          <w:vertAlign w:val="baseline"/>
        </w:rPr>
        <w:t>is</w:t>
      </w:r>
      <w:r>
        <w:rPr>
          <w:spacing w:val="-3"/>
          <w:sz w:val="14"/>
          <w:vertAlign w:val="baseline"/>
        </w:rPr>
        <w:t> </w:t>
      </w:r>
      <w:r>
        <w:rPr>
          <w:sz w:val="14"/>
          <w:vertAlign w:val="baseline"/>
        </w:rPr>
        <w:t>made</w:t>
      </w:r>
      <w:r>
        <w:rPr>
          <w:spacing w:val="40"/>
          <w:sz w:val="14"/>
          <w:vertAlign w:val="baseline"/>
        </w:rPr>
        <w:t> </w:t>
      </w:r>
      <w:r>
        <w:rPr>
          <w:sz w:val="14"/>
          <w:vertAlign w:val="baseline"/>
        </w:rPr>
        <w:t>available based on CS&amp;Co’s ability to provide acceptable collateral to the lenders as determined by the credit agreements.</w:t>
      </w:r>
    </w:p>
    <w:p>
      <w:pPr>
        <w:spacing w:line="249" w:lineRule="auto" w:before="1"/>
        <w:ind w:left="470" w:right="1574" w:firstLine="0"/>
        <w:jc w:val="left"/>
        <w:rPr>
          <w:sz w:val="14"/>
        </w:rPr>
      </w:pPr>
      <w:r>
        <w:rPr>
          <w:sz w:val="14"/>
          <w:vertAlign w:val="superscript"/>
        </w:rPr>
        <w:t>(4)</w:t>
      </w:r>
      <w:r>
        <w:rPr>
          <w:spacing w:val="-3"/>
          <w:sz w:val="14"/>
          <w:vertAlign w:val="baseline"/>
        </w:rPr>
        <w:t> </w:t>
      </w:r>
      <w:r>
        <w:rPr>
          <w:sz w:val="14"/>
          <w:vertAlign w:val="baseline"/>
        </w:rPr>
        <w:t>Secured</w:t>
      </w:r>
      <w:r>
        <w:rPr>
          <w:spacing w:val="-2"/>
          <w:sz w:val="14"/>
          <w:vertAlign w:val="baseline"/>
        </w:rPr>
        <w:t> </w:t>
      </w:r>
      <w:r>
        <w:rPr>
          <w:sz w:val="14"/>
          <w:vertAlign w:val="baseline"/>
        </w:rPr>
        <w:t>borrowing</w:t>
      </w:r>
      <w:r>
        <w:rPr>
          <w:spacing w:val="-2"/>
          <w:sz w:val="14"/>
          <w:vertAlign w:val="baseline"/>
        </w:rPr>
        <w:t> </w:t>
      </w:r>
      <w:r>
        <w:rPr>
          <w:sz w:val="14"/>
          <w:vertAlign w:val="baseline"/>
        </w:rPr>
        <w:t>capacity</w:t>
      </w:r>
      <w:r>
        <w:rPr>
          <w:spacing w:val="-2"/>
          <w:sz w:val="14"/>
          <w:vertAlign w:val="baseline"/>
        </w:rPr>
        <w:t> </w:t>
      </w:r>
      <w:r>
        <w:rPr>
          <w:sz w:val="14"/>
          <w:vertAlign w:val="baseline"/>
        </w:rPr>
        <w:t>is</w:t>
      </w:r>
      <w:r>
        <w:rPr>
          <w:spacing w:val="-3"/>
          <w:sz w:val="14"/>
          <w:vertAlign w:val="baseline"/>
        </w:rPr>
        <w:t> </w:t>
      </w:r>
      <w:r>
        <w:rPr>
          <w:sz w:val="14"/>
          <w:vertAlign w:val="baseline"/>
        </w:rPr>
        <w:t>made</w:t>
      </w:r>
      <w:r>
        <w:rPr>
          <w:spacing w:val="-3"/>
          <w:sz w:val="14"/>
          <w:vertAlign w:val="baseline"/>
        </w:rPr>
        <w:t> </w:t>
      </w:r>
      <w:r>
        <w:rPr>
          <w:sz w:val="14"/>
          <w:vertAlign w:val="baseline"/>
        </w:rPr>
        <w:t>available</w:t>
      </w:r>
      <w:r>
        <w:rPr>
          <w:spacing w:val="-3"/>
          <w:sz w:val="14"/>
          <w:vertAlign w:val="baseline"/>
        </w:rPr>
        <w:t> </w:t>
      </w:r>
      <w:r>
        <w:rPr>
          <w:sz w:val="14"/>
          <w:vertAlign w:val="baseline"/>
        </w:rPr>
        <w:t>based</w:t>
      </w:r>
      <w:r>
        <w:rPr>
          <w:spacing w:val="-2"/>
          <w:sz w:val="14"/>
          <w:vertAlign w:val="baseline"/>
        </w:rPr>
        <w:t> </w:t>
      </w:r>
      <w:r>
        <w:rPr>
          <w:sz w:val="14"/>
          <w:vertAlign w:val="baseline"/>
        </w:rPr>
        <w:t>on</w:t>
      </w:r>
      <w:r>
        <w:rPr>
          <w:spacing w:val="-2"/>
          <w:sz w:val="14"/>
          <w:vertAlign w:val="baseline"/>
        </w:rPr>
        <w:t> </w:t>
      </w:r>
      <w:r>
        <w:rPr>
          <w:sz w:val="14"/>
          <w:vertAlign w:val="baseline"/>
        </w:rPr>
        <w:t>TDAC’s</w:t>
      </w:r>
      <w:r>
        <w:rPr>
          <w:spacing w:val="-3"/>
          <w:sz w:val="14"/>
          <w:vertAlign w:val="baseline"/>
        </w:rPr>
        <w:t> </w:t>
      </w:r>
      <w:r>
        <w:rPr>
          <w:sz w:val="14"/>
          <w:vertAlign w:val="baseline"/>
        </w:rPr>
        <w:t>ability</w:t>
      </w:r>
      <w:r>
        <w:rPr>
          <w:spacing w:val="-2"/>
          <w:sz w:val="14"/>
          <w:vertAlign w:val="baseline"/>
        </w:rPr>
        <w:t> </w:t>
      </w:r>
      <w:r>
        <w:rPr>
          <w:sz w:val="14"/>
          <w:vertAlign w:val="baseline"/>
        </w:rPr>
        <w:t>to</w:t>
      </w:r>
      <w:r>
        <w:rPr>
          <w:spacing w:val="-2"/>
          <w:sz w:val="14"/>
          <w:vertAlign w:val="baseline"/>
        </w:rPr>
        <w:t> </w:t>
      </w:r>
      <w:r>
        <w:rPr>
          <w:sz w:val="14"/>
          <w:vertAlign w:val="baseline"/>
        </w:rPr>
        <w:t>provide</w:t>
      </w:r>
      <w:r>
        <w:rPr>
          <w:spacing w:val="-3"/>
          <w:sz w:val="14"/>
          <w:vertAlign w:val="baseline"/>
        </w:rPr>
        <w:t> </w:t>
      </w:r>
      <w:r>
        <w:rPr>
          <w:sz w:val="14"/>
          <w:vertAlign w:val="baseline"/>
        </w:rPr>
        <w:t>acceptable</w:t>
      </w:r>
      <w:r>
        <w:rPr>
          <w:spacing w:val="-3"/>
          <w:sz w:val="14"/>
          <w:vertAlign w:val="baseline"/>
        </w:rPr>
        <w:t> </w:t>
      </w:r>
      <w:r>
        <w:rPr>
          <w:sz w:val="14"/>
          <w:vertAlign w:val="baseline"/>
        </w:rPr>
        <w:t>collateral</w:t>
      </w:r>
      <w:r>
        <w:rPr>
          <w:spacing w:val="-2"/>
          <w:sz w:val="14"/>
          <w:vertAlign w:val="baseline"/>
        </w:rPr>
        <w:t> </w:t>
      </w:r>
      <w:r>
        <w:rPr>
          <w:sz w:val="14"/>
          <w:vertAlign w:val="baseline"/>
        </w:rPr>
        <w:t>to</w:t>
      </w:r>
      <w:r>
        <w:rPr>
          <w:spacing w:val="-2"/>
          <w:sz w:val="14"/>
          <w:vertAlign w:val="baseline"/>
        </w:rPr>
        <w:t> </w:t>
      </w:r>
      <w:r>
        <w:rPr>
          <w:sz w:val="14"/>
          <w:vertAlign w:val="baseline"/>
        </w:rPr>
        <w:t>the</w:t>
      </w:r>
      <w:r>
        <w:rPr>
          <w:spacing w:val="-3"/>
          <w:sz w:val="14"/>
          <w:vertAlign w:val="baseline"/>
        </w:rPr>
        <w:t> </w:t>
      </w:r>
      <w:r>
        <w:rPr>
          <w:sz w:val="14"/>
          <w:vertAlign w:val="baseline"/>
        </w:rPr>
        <w:t>lenders</w:t>
      </w:r>
      <w:r>
        <w:rPr>
          <w:spacing w:val="-3"/>
          <w:sz w:val="14"/>
          <w:vertAlign w:val="baseline"/>
        </w:rPr>
        <w:t> </w:t>
      </w:r>
      <w:r>
        <w:rPr>
          <w:sz w:val="14"/>
          <w:vertAlign w:val="baseline"/>
        </w:rPr>
        <w:t>as</w:t>
      </w:r>
      <w:r>
        <w:rPr>
          <w:spacing w:val="-3"/>
          <w:sz w:val="14"/>
          <w:vertAlign w:val="baseline"/>
        </w:rPr>
        <w:t> </w:t>
      </w:r>
      <w:r>
        <w:rPr>
          <w:sz w:val="14"/>
          <w:vertAlign w:val="baseline"/>
        </w:rPr>
        <w:t>determined</w:t>
      </w:r>
      <w:r>
        <w:rPr>
          <w:spacing w:val="-2"/>
          <w:sz w:val="14"/>
          <w:vertAlign w:val="baseline"/>
        </w:rPr>
        <w:t> </w:t>
      </w:r>
      <w:r>
        <w:rPr>
          <w:sz w:val="14"/>
          <w:vertAlign w:val="baseline"/>
        </w:rPr>
        <w:t>by</w:t>
      </w:r>
      <w:r>
        <w:rPr>
          <w:spacing w:val="-2"/>
          <w:sz w:val="14"/>
          <w:vertAlign w:val="baseline"/>
        </w:rPr>
        <w:t> </w:t>
      </w:r>
      <w:r>
        <w:rPr>
          <w:sz w:val="14"/>
          <w:vertAlign w:val="baseline"/>
        </w:rPr>
        <w:t>the</w:t>
      </w:r>
      <w:r>
        <w:rPr>
          <w:spacing w:val="-3"/>
          <w:sz w:val="14"/>
          <w:vertAlign w:val="baseline"/>
        </w:rPr>
        <w:t> </w:t>
      </w:r>
      <w:r>
        <w:rPr>
          <w:sz w:val="14"/>
          <w:vertAlign w:val="baseline"/>
        </w:rPr>
        <w:t>credit</w:t>
      </w:r>
      <w:r>
        <w:rPr>
          <w:spacing w:val="-2"/>
          <w:sz w:val="14"/>
          <w:vertAlign w:val="baseline"/>
        </w:rPr>
        <w:t> </w:t>
      </w:r>
      <w:r>
        <w:rPr>
          <w:sz w:val="14"/>
          <w:vertAlign w:val="baseline"/>
        </w:rPr>
        <w:t>agreements.</w:t>
      </w:r>
      <w:r>
        <w:rPr>
          <w:spacing w:val="40"/>
          <w:sz w:val="14"/>
          <w:vertAlign w:val="baseline"/>
        </w:rPr>
        <w:t> </w:t>
      </w:r>
      <w:r>
        <w:rPr>
          <w:sz w:val="14"/>
          <w:vertAlign w:val="baseline"/>
        </w:rPr>
        <w:t>N/A Not applicable.</w:t>
      </w:r>
    </w:p>
    <w:p>
      <w:pPr>
        <w:pStyle w:val="BodyText"/>
        <w:spacing w:before="77"/>
        <w:rPr>
          <w:sz w:val="14"/>
        </w:rPr>
      </w:pPr>
    </w:p>
    <w:p>
      <w:pPr>
        <w:pStyle w:val="BodyText"/>
        <w:spacing w:line="249" w:lineRule="auto" w:before="1"/>
        <w:ind w:left="470" w:right="566"/>
      </w:pPr>
      <w:r>
        <w:rPr/>
        <w:t>Available borrowing capacity from the FHLB and Federal Reserve facilities maintained by our banking subsidiaries is dependent on the value of assets pledged and the terms of the borrowing arrangements. As of September 30, 2023, the Company</w:t>
      </w:r>
      <w:r>
        <w:rPr>
          <w:spacing w:val="-3"/>
        </w:rPr>
        <w:t> </w:t>
      </w:r>
      <w:r>
        <w:rPr/>
        <w:t>had</w:t>
      </w:r>
      <w:r>
        <w:rPr>
          <w:spacing w:val="-3"/>
        </w:rPr>
        <w:t> </w:t>
      </w:r>
      <w:r>
        <w:rPr/>
        <w:t>additional</w:t>
      </w:r>
      <w:r>
        <w:rPr>
          <w:spacing w:val="-4"/>
        </w:rPr>
        <w:t> </w:t>
      </w:r>
      <w:r>
        <w:rPr/>
        <w:t>investment</w:t>
      </w:r>
      <w:r>
        <w:rPr>
          <w:spacing w:val="-4"/>
        </w:rPr>
        <w:t> </w:t>
      </w:r>
      <w:r>
        <w:rPr/>
        <w:t>securities</w:t>
      </w:r>
      <w:r>
        <w:rPr>
          <w:spacing w:val="-4"/>
        </w:rPr>
        <w:t> </w:t>
      </w:r>
      <w:r>
        <w:rPr/>
        <w:t>with</w:t>
      </w:r>
      <w:r>
        <w:rPr>
          <w:spacing w:val="-3"/>
        </w:rPr>
        <w:t> </w:t>
      </w:r>
      <w:r>
        <w:rPr/>
        <w:t>a</w:t>
      </w:r>
      <w:r>
        <w:rPr>
          <w:spacing w:val="-4"/>
        </w:rPr>
        <w:t> </w:t>
      </w:r>
      <w:r>
        <w:rPr/>
        <w:t>par</w:t>
      </w:r>
      <w:r>
        <w:rPr>
          <w:spacing w:val="-3"/>
        </w:rPr>
        <w:t> </w:t>
      </w:r>
      <w:r>
        <w:rPr/>
        <w:t>value</w:t>
      </w:r>
      <w:r>
        <w:rPr>
          <w:spacing w:val="-4"/>
        </w:rPr>
        <w:t> </w:t>
      </w:r>
      <w:r>
        <w:rPr/>
        <w:t>of</w:t>
      </w:r>
      <w:r>
        <w:rPr>
          <w:spacing w:val="-3"/>
        </w:rPr>
        <w:t> </w:t>
      </w:r>
      <w:r>
        <w:rPr/>
        <w:t>approximately</w:t>
      </w:r>
      <w:r>
        <w:rPr>
          <w:spacing w:val="-3"/>
        </w:rPr>
        <w:t> </w:t>
      </w:r>
      <w:r>
        <w:rPr/>
        <w:t>$146</w:t>
      </w:r>
      <w:r>
        <w:rPr>
          <w:spacing w:val="-3"/>
        </w:rPr>
        <w:t> </w:t>
      </w:r>
      <w:r>
        <w:rPr/>
        <w:t>billion</w:t>
      </w:r>
      <w:r>
        <w:rPr>
          <w:spacing w:val="-3"/>
        </w:rPr>
        <w:t> </w:t>
      </w:r>
      <w:r>
        <w:rPr/>
        <w:t>or</w:t>
      </w:r>
      <w:r>
        <w:rPr>
          <w:spacing w:val="-3"/>
        </w:rPr>
        <w:t> </w:t>
      </w:r>
      <w:r>
        <w:rPr/>
        <w:t>a</w:t>
      </w:r>
      <w:r>
        <w:rPr>
          <w:spacing w:val="-4"/>
        </w:rPr>
        <w:t> </w:t>
      </w:r>
      <w:r>
        <w:rPr/>
        <w:t>fair</w:t>
      </w:r>
      <w:r>
        <w:rPr>
          <w:spacing w:val="-3"/>
        </w:rPr>
        <w:t> </w:t>
      </w:r>
      <w:r>
        <w:rPr/>
        <w:t>value</w:t>
      </w:r>
      <w:r>
        <w:rPr>
          <w:spacing w:val="-4"/>
        </w:rPr>
        <w:t> </w:t>
      </w:r>
      <w:r>
        <w:rPr/>
        <w:t>of</w:t>
      </w:r>
      <w:r>
        <w:rPr>
          <w:spacing w:val="-3"/>
        </w:rPr>
        <w:t> </w:t>
      </w:r>
      <w:r>
        <w:rPr/>
        <w:t>approximately</w:t>
      </w:r>
    </w:p>
    <w:p>
      <w:pPr>
        <w:pStyle w:val="BodyText"/>
        <w:spacing w:line="249" w:lineRule="auto" w:before="2"/>
        <w:ind w:left="470" w:right="500"/>
      </w:pPr>
      <w:r>
        <w:rPr/>
        <w:t>$131 billion available to be pledged to obtain additional capacity. These securities could be used to provide additional borrowing</w:t>
      </w:r>
      <w:r>
        <w:rPr>
          <w:spacing w:val="-3"/>
        </w:rPr>
        <w:t> </w:t>
      </w:r>
      <w:r>
        <w:rPr/>
        <w:t>capacity</w:t>
      </w:r>
      <w:r>
        <w:rPr>
          <w:spacing w:val="-3"/>
        </w:rPr>
        <w:t> </w:t>
      </w:r>
      <w:r>
        <w:rPr/>
        <w:t>of</w:t>
      </w:r>
      <w:r>
        <w:rPr>
          <w:spacing w:val="-3"/>
        </w:rPr>
        <w:t> </w:t>
      </w:r>
      <w:r>
        <w:rPr/>
        <w:t>up</w:t>
      </w:r>
      <w:r>
        <w:rPr>
          <w:spacing w:val="-3"/>
        </w:rPr>
        <w:t> </w:t>
      </w:r>
      <w:r>
        <w:rPr/>
        <w:t>to</w:t>
      </w:r>
      <w:r>
        <w:rPr>
          <w:spacing w:val="-3"/>
        </w:rPr>
        <w:t> </w:t>
      </w:r>
      <w:r>
        <w:rPr/>
        <w:t>$146</w:t>
      </w:r>
      <w:r>
        <w:rPr>
          <w:spacing w:val="-3"/>
        </w:rPr>
        <w:t> </w:t>
      </w:r>
      <w:r>
        <w:rPr/>
        <w:t>billion,</w:t>
      </w:r>
      <w:r>
        <w:rPr>
          <w:spacing w:val="-3"/>
        </w:rPr>
        <w:t> </w:t>
      </w:r>
      <w:r>
        <w:rPr/>
        <w:t>dependent</w:t>
      </w:r>
      <w:r>
        <w:rPr>
          <w:spacing w:val="-4"/>
        </w:rPr>
        <w:t> </w:t>
      </w:r>
      <w:r>
        <w:rPr/>
        <w:t>on</w:t>
      </w:r>
      <w:r>
        <w:rPr>
          <w:spacing w:val="-3"/>
        </w:rPr>
        <w:t> </w:t>
      </w:r>
      <w:r>
        <w:rPr/>
        <w:t>the</w:t>
      </w:r>
      <w:r>
        <w:rPr>
          <w:spacing w:val="-4"/>
        </w:rPr>
        <w:t> </w:t>
      </w:r>
      <w:r>
        <w:rPr/>
        <w:t>facility</w:t>
      </w:r>
      <w:r>
        <w:rPr>
          <w:spacing w:val="-3"/>
        </w:rPr>
        <w:t> </w:t>
      </w:r>
      <w:r>
        <w:rPr/>
        <w:t>utilized.</w:t>
      </w:r>
      <w:r>
        <w:rPr>
          <w:spacing w:val="-3"/>
        </w:rPr>
        <w:t> </w:t>
      </w:r>
      <w:r>
        <w:rPr/>
        <w:t>Additional</w:t>
      </w:r>
      <w:r>
        <w:rPr>
          <w:spacing w:val="-4"/>
        </w:rPr>
        <w:t> </w:t>
      </w:r>
      <w:r>
        <w:rPr/>
        <w:t>details</w:t>
      </w:r>
      <w:r>
        <w:rPr>
          <w:spacing w:val="-4"/>
        </w:rPr>
        <w:t> </w:t>
      </w:r>
      <w:r>
        <w:rPr/>
        <w:t>regarding</w:t>
      </w:r>
      <w:r>
        <w:rPr>
          <w:spacing w:val="-3"/>
        </w:rPr>
        <w:t> </w:t>
      </w:r>
      <w:r>
        <w:rPr/>
        <w:t>availability</w:t>
      </w:r>
      <w:r>
        <w:rPr>
          <w:spacing w:val="-3"/>
        </w:rPr>
        <w:t> </w:t>
      </w:r>
      <w:r>
        <w:rPr/>
        <w:t>and</w:t>
      </w:r>
      <w:r>
        <w:rPr>
          <w:spacing w:val="-3"/>
        </w:rPr>
        <w:t> </w:t>
      </w:r>
      <w:r>
        <w:rPr/>
        <w:t>use</w:t>
      </w:r>
      <w:r>
        <w:rPr>
          <w:spacing w:val="-4"/>
        </w:rPr>
        <w:t> </w:t>
      </w:r>
      <w:r>
        <w:rPr/>
        <w:t>of these facilities is described below.</w:t>
      </w:r>
    </w:p>
    <w:p>
      <w:pPr>
        <w:pStyle w:val="BodyText"/>
        <w:spacing w:before="12"/>
      </w:pPr>
    </w:p>
    <w:p>
      <w:pPr>
        <w:pStyle w:val="BodyText"/>
        <w:spacing w:line="249" w:lineRule="auto" w:before="1"/>
        <w:ind w:left="470" w:right="500"/>
      </w:pPr>
      <w:r>
        <w:rPr/>
        <w:t>Amounts available under secured credit facilities with the FHLB are dependent on the value of our First Mortgages, home equity lines of credit (HELOCs), and the fair value of certain of our investment securities that are pledged as collateral. These credit facilities are also available as backup financing in the event the outflow of client cash from the banking subsidiaries’ respective balance sheets is greater than maturities and paydowns on investment securities and bank loans. CSC’s banking subsidiaries must each maintain positive tangible capital, as defined by the Federal Housing Finance Agency, in order to place new</w:t>
      </w:r>
      <w:r>
        <w:rPr>
          <w:spacing w:val="-4"/>
        </w:rPr>
        <w:t> </w:t>
      </w:r>
      <w:r>
        <w:rPr/>
        <w:t>draws</w:t>
      </w:r>
      <w:r>
        <w:rPr>
          <w:spacing w:val="-4"/>
        </w:rPr>
        <w:t> </w:t>
      </w:r>
      <w:r>
        <w:rPr/>
        <w:t>upon</w:t>
      </w:r>
      <w:r>
        <w:rPr>
          <w:spacing w:val="-3"/>
        </w:rPr>
        <w:t> </w:t>
      </w:r>
      <w:r>
        <w:rPr/>
        <w:t>these</w:t>
      </w:r>
      <w:r>
        <w:rPr>
          <w:spacing w:val="-4"/>
        </w:rPr>
        <w:t> </w:t>
      </w:r>
      <w:r>
        <w:rPr/>
        <w:t>credit</w:t>
      </w:r>
      <w:r>
        <w:rPr>
          <w:spacing w:val="-4"/>
        </w:rPr>
        <w:t> </w:t>
      </w:r>
      <w:r>
        <w:rPr/>
        <w:t>facilities,</w:t>
      </w:r>
      <w:r>
        <w:rPr>
          <w:spacing w:val="-3"/>
        </w:rPr>
        <w:t> </w:t>
      </w:r>
      <w:r>
        <w:rPr/>
        <w:t>and</w:t>
      </w:r>
      <w:r>
        <w:rPr>
          <w:spacing w:val="-3"/>
        </w:rPr>
        <w:t> </w:t>
      </w:r>
      <w:r>
        <w:rPr/>
        <w:t>the</w:t>
      </w:r>
      <w:r>
        <w:rPr>
          <w:spacing w:val="-4"/>
        </w:rPr>
        <w:t> </w:t>
      </w:r>
      <w:r>
        <w:rPr/>
        <w:t>Company</w:t>
      </w:r>
      <w:r>
        <w:rPr>
          <w:spacing w:val="-3"/>
        </w:rPr>
        <w:t> </w:t>
      </w:r>
      <w:r>
        <w:rPr/>
        <w:t>manages</w:t>
      </w:r>
      <w:r>
        <w:rPr>
          <w:spacing w:val="-4"/>
        </w:rPr>
        <w:t> </w:t>
      </w:r>
      <w:r>
        <w:rPr/>
        <w:t>capital</w:t>
      </w:r>
      <w:r>
        <w:rPr>
          <w:spacing w:val="-4"/>
        </w:rPr>
        <w:t> </w:t>
      </w:r>
      <w:r>
        <w:rPr/>
        <w:t>with</w:t>
      </w:r>
      <w:r>
        <w:rPr>
          <w:spacing w:val="-3"/>
        </w:rPr>
        <w:t> </w:t>
      </w:r>
      <w:r>
        <w:rPr/>
        <w:t>consideration</w:t>
      </w:r>
      <w:r>
        <w:rPr>
          <w:spacing w:val="-3"/>
        </w:rPr>
        <w:t> </w:t>
      </w:r>
      <w:r>
        <w:rPr/>
        <w:t>of</w:t>
      </w:r>
      <w:r>
        <w:rPr>
          <w:spacing w:val="-3"/>
        </w:rPr>
        <w:t> </w:t>
      </w:r>
      <w:r>
        <w:rPr/>
        <w:t>minimum</w:t>
      </w:r>
      <w:r>
        <w:rPr>
          <w:spacing w:val="-4"/>
        </w:rPr>
        <w:t> </w:t>
      </w:r>
      <w:r>
        <w:rPr/>
        <w:t>tangible</w:t>
      </w:r>
      <w:r>
        <w:rPr>
          <w:spacing w:val="-4"/>
        </w:rPr>
        <w:t> </w:t>
      </w:r>
      <w:r>
        <w:rPr/>
        <w:t>capital</w:t>
      </w:r>
      <w:r>
        <w:rPr>
          <w:spacing w:val="-4"/>
        </w:rPr>
        <w:t> </w:t>
      </w:r>
      <w:r>
        <w:rPr/>
        <w:t>ratios at our banking subsidiaries. Tangible capital pursuant to the requirements of the FHLB borrowing facilities for our banking subsidiaries is common equity less goodwill and intangible assets.</w:t>
      </w:r>
    </w:p>
    <w:p>
      <w:pPr>
        <w:pStyle w:val="BodyText"/>
        <w:spacing w:before="16"/>
      </w:pPr>
    </w:p>
    <w:p>
      <w:pPr>
        <w:pStyle w:val="BodyText"/>
        <w:spacing w:line="249" w:lineRule="auto"/>
        <w:ind w:left="470" w:right="583"/>
      </w:pPr>
      <w:r>
        <w:rPr/>
        <w:t>Our banking subsidiaries also have access to short-term secured funding through the Federal Reserve discount window. Amounts</w:t>
      </w:r>
      <w:r>
        <w:rPr>
          <w:spacing w:val="-2"/>
        </w:rPr>
        <w:t> </w:t>
      </w:r>
      <w:r>
        <w:rPr/>
        <w:t>available</w:t>
      </w:r>
      <w:r>
        <w:rPr>
          <w:spacing w:val="-2"/>
        </w:rPr>
        <w:t> </w:t>
      </w:r>
      <w:r>
        <w:rPr/>
        <w:t>under</w:t>
      </w:r>
      <w:r>
        <w:rPr>
          <w:spacing w:val="-1"/>
        </w:rPr>
        <w:t> </w:t>
      </w:r>
      <w:r>
        <w:rPr/>
        <w:t>the</w:t>
      </w:r>
      <w:r>
        <w:rPr>
          <w:spacing w:val="-2"/>
        </w:rPr>
        <w:t> </w:t>
      </w:r>
      <w:r>
        <w:rPr/>
        <w:t>Federal</w:t>
      </w:r>
      <w:r>
        <w:rPr>
          <w:spacing w:val="-2"/>
        </w:rPr>
        <w:t> </w:t>
      </w:r>
      <w:r>
        <w:rPr/>
        <w:t>Reserve</w:t>
      </w:r>
      <w:r>
        <w:rPr>
          <w:spacing w:val="-2"/>
        </w:rPr>
        <w:t> </w:t>
      </w:r>
      <w:r>
        <w:rPr/>
        <w:t>discount</w:t>
      </w:r>
      <w:r>
        <w:rPr>
          <w:spacing w:val="-2"/>
        </w:rPr>
        <w:t> </w:t>
      </w:r>
      <w:r>
        <w:rPr/>
        <w:t>window</w:t>
      </w:r>
      <w:r>
        <w:rPr>
          <w:spacing w:val="-2"/>
        </w:rPr>
        <w:t> </w:t>
      </w:r>
      <w:r>
        <w:rPr/>
        <w:t>are</w:t>
      </w:r>
      <w:r>
        <w:rPr>
          <w:spacing w:val="-2"/>
        </w:rPr>
        <w:t> </w:t>
      </w:r>
      <w:r>
        <w:rPr/>
        <w:t>dependent</w:t>
      </w:r>
      <w:r>
        <w:rPr>
          <w:spacing w:val="-2"/>
        </w:rPr>
        <w:t> </w:t>
      </w:r>
      <w:r>
        <w:rPr/>
        <w:t>on</w:t>
      </w:r>
      <w:r>
        <w:rPr>
          <w:spacing w:val="-1"/>
        </w:rPr>
        <w:t> </w:t>
      </w:r>
      <w:r>
        <w:rPr/>
        <w:t>the</w:t>
      </w:r>
      <w:r>
        <w:rPr>
          <w:spacing w:val="-2"/>
        </w:rPr>
        <w:t> </w:t>
      </w:r>
      <w:r>
        <w:rPr/>
        <w:t>fair</w:t>
      </w:r>
      <w:r>
        <w:rPr>
          <w:spacing w:val="-1"/>
        </w:rPr>
        <w:t> </w:t>
      </w:r>
      <w:r>
        <w:rPr/>
        <w:t>value</w:t>
      </w:r>
      <w:r>
        <w:rPr>
          <w:spacing w:val="-2"/>
        </w:rPr>
        <w:t> </w:t>
      </w:r>
      <w:r>
        <w:rPr/>
        <w:t>of</w:t>
      </w:r>
      <w:r>
        <w:rPr>
          <w:spacing w:val="-1"/>
        </w:rPr>
        <w:t> </w:t>
      </w:r>
      <w:r>
        <w:rPr/>
        <w:t>certain</w:t>
      </w:r>
      <w:r>
        <w:rPr>
          <w:spacing w:val="-1"/>
        </w:rPr>
        <w:t> </w:t>
      </w:r>
      <w:r>
        <w:rPr/>
        <w:t>investment</w:t>
      </w:r>
      <w:r>
        <w:rPr>
          <w:spacing w:val="-2"/>
        </w:rPr>
        <w:t> </w:t>
      </w:r>
      <w:r>
        <w:rPr/>
        <w:t>securities that are pledged as collateral. Our banking subsidiaries may also engage with external financial institutions in repurchase agreements collateralized by investment securities as another source of short-term liquidity. In addition, our banking subsidiaries</w:t>
      </w:r>
      <w:r>
        <w:rPr>
          <w:spacing w:val="-3"/>
        </w:rPr>
        <w:t> </w:t>
      </w:r>
      <w:r>
        <w:rPr/>
        <w:t>are</w:t>
      </w:r>
      <w:r>
        <w:rPr>
          <w:spacing w:val="-3"/>
        </w:rPr>
        <w:t> </w:t>
      </w:r>
      <w:r>
        <w:rPr/>
        <w:t>counterparties</w:t>
      </w:r>
      <w:r>
        <w:rPr>
          <w:spacing w:val="-3"/>
        </w:rPr>
        <w:t> </w:t>
      </w:r>
      <w:r>
        <w:rPr/>
        <w:t>to</w:t>
      </w:r>
      <w:r>
        <w:rPr>
          <w:spacing w:val="-2"/>
        </w:rPr>
        <w:t> </w:t>
      </w:r>
      <w:r>
        <w:rPr/>
        <w:t>the</w:t>
      </w:r>
      <w:r>
        <w:rPr>
          <w:spacing w:val="-3"/>
        </w:rPr>
        <w:t> </w:t>
      </w:r>
      <w:r>
        <w:rPr/>
        <w:t>standing</w:t>
      </w:r>
      <w:r>
        <w:rPr>
          <w:spacing w:val="-2"/>
        </w:rPr>
        <w:t> </w:t>
      </w:r>
      <w:r>
        <w:rPr/>
        <w:t>repo</w:t>
      </w:r>
      <w:r>
        <w:rPr>
          <w:spacing w:val="-2"/>
        </w:rPr>
        <w:t> </w:t>
      </w:r>
      <w:r>
        <w:rPr/>
        <w:t>facility</w:t>
      </w:r>
      <w:r>
        <w:rPr>
          <w:spacing w:val="-2"/>
        </w:rPr>
        <w:t> </w:t>
      </w:r>
      <w:r>
        <w:rPr/>
        <w:t>with</w:t>
      </w:r>
      <w:r>
        <w:rPr>
          <w:spacing w:val="-2"/>
        </w:rPr>
        <w:t> </w:t>
      </w:r>
      <w:r>
        <w:rPr/>
        <w:t>the</w:t>
      </w:r>
      <w:r>
        <w:rPr>
          <w:spacing w:val="-3"/>
        </w:rPr>
        <w:t> </w:t>
      </w:r>
      <w:r>
        <w:rPr/>
        <w:t>Federal</w:t>
      </w:r>
      <w:r>
        <w:rPr>
          <w:spacing w:val="-3"/>
        </w:rPr>
        <w:t> </w:t>
      </w:r>
      <w:r>
        <w:rPr/>
        <w:t>Reserve</w:t>
      </w:r>
      <w:r>
        <w:rPr>
          <w:spacing w:val="-3"/>
        </w:rPr>
        <w:t> </w:t>
      </w:r>
      <w:r>
        <w:rPr/>
        <w:t>Bank</w:t>
      </w:r>
      <w:r>
        <w:rPr>
          <w:spacing w:val="-2"/>
        </w:rPr>
        <w:t> </w:t>
      </w:r>
      <w:r>
        <w:rPr/>
        <w:t>of</w:t>
      </w:r>
      <w:r>
        <w:rPr>
          <w:spacing w:val="-2"/>
        </w:rPr>
        <w:t> </w:t>
      </w:r>
      <w:r>
        <w:rPr/>
        <w:t>New</w:t>
      </w:r>
      <w:r>
        <w:rPr>
          <w:spacing w:val="-3"/>
        </w:rPr>
        <w:t> </w:t>
      </w:r>
      <w:r>
        <w:rPr/>
        <w:t>York;</w:t>
      </w:r>
      <w:r>
        <w:rPr>
          <w:spacing w:val="-3"/>
        </w:rPr>
        <w:t> </w:t>
      </w:r>
      <w:r>
        <w:rPr/>
        <w:t>other</w:t>
      </w:r>
      <w:r>
        <w:rPr>
          <w:spacing w:val="-2"/>
        </w:rPr>
        <w:t> </w:t>
      </w:r>
      <w:r>
        <w:rPr/>
        <w:t>than</w:t>
      </w:r>
      <w:r>
        <w:rPr>
          <w:spacing w:val="-2"/>
        </w:rPr>
        <w:t> </w:t>
      </w:r>
      <w:r>
        <w:rPr/>
        <w:t>de</w:t>
      </w:r>
      <w:r>
        <w:rPr>
          <w:spacing w:val="-3"/>
        </w:rPr>
        <w:t> </w:t>
      </w:r>
      <w:r>
        <w:rPr/>
        <w:t>minimis tests performed to satisfy the Federal Reserve Bank of New York’s testing requirements, this facility was not used during the first nine months of 2023 and there were no amounts outstanding at September 30, 2023. Beginning in the second quarter of 2023,</w:t>
      </w:r>
      <w:r>
        <w:rPr>
          <w:spacing w:val="-3"/>
        </w:rPr>
        <w:t> </w:t>
      </w:r>
      <w:r>
        <w:rPr/>
        <w:t>CSC</w:t>
      </w:r>
      <w:r>
        <w:rPr>
          <w:spacing w:val="-4"/>
        </w:rPr>
        <w:t> </w:t>
      </w:r>
      <w:r>
        <w:rPr/>
        <w:t>maintains</w:t>
      </w:r>
      <w:r>
        <w:rPr>
          <w:spacing w:val="-4"/>
        </w:rPr>
        <w:t> </w:t>
      </w:r>
      <w:r>
        <w:rPr/>
        <w:t>a</w:t>
      </w:r>
      <w:r>
        <w:rPr>
          <w:spacing w:val="-4"/>
        </w:rPr>
        <w:t> </w:t>
      </w:r>
      <w:r>
        <w:rPr/>
        <w:t>standing</w:t>
      </w:r>
      <w:r>
        <w:rPr>
          <w:spacing w:val="-3"/>
        </w:rPr>
        <w:t> </w:t>
      </w:r>
      <w:r>
        <w:rPr/>
        <w:t>bilateral</w:t>
      </w:r>
      <w:r>
        <w:rPr>
          <w:spacing w:val="-4"/>
        </w:rPr>
        <w:t> </w:t>
      </w:r>
      <w:r>
        <w:rPr/>
        <w:t>repurchase</w:t>
      </w:r>
      <w:r>
        <w:rPr>
          <w:spacing w:val="-4"/>
        </w:rPr>
        <w:t> </w:t>
      </w:r>
      <w:r>
        <w:rPr/>
        <w:t>agreement</w:t>
      </w:r>
      <w:r>
        <w:rPr>
          <w:spacing w:val="-4"/>
        </w:rPr>
        <w:t> </w:t>
      </w:r>
      <w:r>
        <w:rPr/>
        <w:t>with</w:t>
      </w:r>
      <w:r>
        <w:rPr>
          <w:spacing w:val="-3"/>
        </w:rPr>
        <w:t> </w:t>
      </w:r>
      <w:r>
        <w:rPr/>
        <w:t>an</w:t>
      </w:r>
      <w:r>
        <w:rPr>
          <w:spacing w:val="-3"/>
        </w:rPr>
        <w:t> </w:t>
      </w:r>
      <w:r>
        <w:rPr/>
        <w:t>external</w:t>
      </w:r>
      <w:r>
        <w:rPr>
          <w:spacing w:val="-4"/>
        </w:rPr>
        <w:t> </w:t>
      </w:r>
      <w:r>
        <w:rPr/>
        <w:t>bank.</w:t>
      </w:r>
      <w:r>
        <w:rPr>
          <w:spacing w:val="-3"/>
        </w:rPr>
        <w:t> </w:t>
      </w:r>
      <w:r>
        <w:rPr/>
        <w:t>Other</w:t>
      </w:r>
      <w:r>
        <w:rPr>
          <w:spacing w:val="-3"/>
        </w:rPr>
        <w:t> </w:t>
      </w:r>
      <w:r>
        <w:rPr/>
        <w:t>than</w:t>
      </w:r>
      <w:r>
        <w:rPr>
          <w:spacing w:val="-3"/>
        </w:rPr>
        <w:t> </w:t>
      </w:r>
      <w:r>
        <w:rPr/>
        <w:t>de</w:t>
      </w:r>
      <w:r>
        <w:rPr>
          <w:spacing w:val="-4"/>
        </w:rPr>
        <w:t> </w:t>
      </w:r>
      <w:r>
        <w:rPr/>
        <w:t>minimis</w:t>
      </w:r>
      <w:r>
        <w:rPr>
          <w:spacing w:val="-4"/>
        </w:rPr>
        <w:t> </w:t>
      </w:r>
      <w:r>
        <w:rPr/>
        <w:t>tests,</w:t>
      </w:r>
      <w:r>
        <w:rPr>
          <w:spacing w:val="-3"/>
        </w:rPr>
        <w:t> </w:t>
      </w:r>
      <w:r>
        <w:rPr/>
        <w:t>this</w:t>
      </w:r>
      <w:r>
        <w:rPr>
          <w:spacing w:val="-4"/>
        </w:rPr>
        <w:t> </w:t>
      </w:r>
      <w:r>
        <w:rPr/>
        <w:t>facility was not used during the second or third quarter of 2023 and there were no amounts outstanding under this facility at</w:t>
      </w:r>
      <w:r>
        <w:rPr>
          <w:spacing w:val="40"/>
        </w:rPr>
        <w:t> </w:t>
      </w:r>
      <w:r>
        <w:rPr/>
        <w:t>September 30, 2023.</w:t>
      </w:r>
    </w:p>
    <w:p>
      <w:pPr>
        <w:pStyle w:val="BodyText"/>
        <w:spacing w:before="18"/>
      </w:pPr>
    </w:p>
    <w:p>
      <w:pPr>
        <w:pStyle w:val="BodyText"/>
        <w:spacing w:line="249" w:lineRule="auto"/>
        <w:ind w:left="470" w:right="585"/>
      </w:pPr>
      <w:r>
        <w:rPr/>
        <w:t>On March 12, 2023, the Federal Reserve Board announced the creation of a new Bank Term Funding Program, offering loans through</w:t>
      </w:r>
      <w:r>
        <w:rPr>
          <w:spacing w:val="-2"/>
        </w:rPr>
        <w:t> </w:t>
      </w:r>
      <w:r>
        <w:rPr/>
        <w:t>March</w:t>
      </w:r>
      <w:r>
        <w:rPr>
          <w:spacing w:val="-2"/>
        </w:rPr>
        <w:t> </w:t>
      </w:r>
      <w:r>
        <w:rPr/>
        <w:t>11,</w:t>
      </w:r>
      <w:r>
        <w:rPr>
          <w:spacing w:val="-2"/>
        </w:rPr>
        <w:t> </w:t>
      </w:r>
      <w:r>
        <w:rPr/>
        <w:t>2024</w:t>
      </w:r>
      <w:r>
        <w:rPr>
          <w:spacing w:val="-2"/>
        </w:rPr>
        <w:t> </w:t>
      </w:r>
      <w:r>
        <w:rPr/>
        <w:t>of</w:t>
      </w:r>
      <w:r>
        <w:rPr>
          <w:spacing w:val="-2"/>
        </w:rPr>
        <w:t> </w:t>
      </w:r>
      <w:r>
        <w:rPr/>
        <w:t>up</w:t>
      </w:r>
      <w:r>
        <w:rPr>
          <w:spacing w:val="-2"/>
        </w:rPr>
        <w:t> </w:t>
      </w:r>
      <w:r>
        <w:rPr/>
        <w:t>to</w:t>
      </w:r>
      <w:r>
        <w:rPr>
          <w:spacing w:val="-2"/>
        </w:rPr>
        <w:t> </w:t>
      </w:r>
      <w:r>
        <w:rPr/>
        <w:t>one</w:t>
      </w:r>
      <w:r>
        <w:rPr>
          <w:spacing w:val="-3"/>
        </w:rPr>
        <w:t> </w:t>
      </w:r>
      <w:r>
        <w:rPr/>
        <w:t>year</w:t>
      </w:r>
      <w:r>
        <w:rPr>
          <w:spacing w:val="-2"/>
        </w:rPr>
        <w:t> </w:t>
      </w:r>
      <w:r>
        <w:rPr/>
        <w:t>in</w:t>
      </w:r>
      <w:r>
        <w:rPr>
          <w:spacing w:val="-2"/>
        </w:rPr>
        <w:t> </w:t>
      </w:r>
      <w:r>
        <w:rPr/>
        <w:t>length</w:t>
      </w:r>
      <w:r>
        <w:rPr>
          <w:spacing w:val="-2"/>
        </w:rPr>
        <w:t> </w:t>
      </w:r>
      <w:r>
        <w:rPr/>
        <w:t>to</w:t>
      </w:r>
      <w:r>
        <w:rPr>
          <w:spacing w:val="-2"/>
        </w:rPr>
        <w:t> </w:t>
      </w:r>
      <w:r>
        <w:rPr/>
        <w:t>eligible</w:t>
      </w:r>
      <w:r>
        <w:rPr>
          <w:spacing w:val="-3"/>
        </w:rPr>
        <w:t> </w:t>
      </w:r>
      <w:r>
        <w:rPr/>
        <w:t>financial</w:t>
      </w:r>
      <w:r>
        <w:rPr>
          <w:spacing w:val="-3"/>
        </w:rPr>
        <w:t> </w:t>
      </w:r>
      <w:r>
        <w:rPr/>
        <w:t>institutions</w:t>
      </w:r>
      <w:r>
        <w:rPr>
          <w:spacing w:val="-3"/>
        </w:rPr>
        <w:t> </w:t>
      </w:r>
      <w:r>
        <w:rPr/>
        <w:t>with</w:t>
      </w:r>
      <w:r>
        <w:rPr>
          <w:spacing w:val="-2"/>
        </w:rPr>
        <w:t> </w:t>
      </w:r>
      <w:r>
        <w:rPr/>
        <w:t>U.S.</w:t>
      </w:r>
      <w:r>
        <w:rPr>
          <w:spacing w:val="-2"/>
        </w:rPr>
        <w:t> </w:t>
      </w:r>
      <w:r>
        <w:rPr/>
        <w:t>Treasury</w:t>
      </w:r>
      <w:r>
        <w:rPr>
          <w:spacing w:val="-2"/>
        </w:rPr>
        <w:t> </w:t>
      </w:r>
      <w:r>
        <w:rPr/>
        <w:t>securities,</w:t>
      </w:r>
      <w:r>
        <w:rPr>
          <w:spacing w:val="-2"/>
        </w:rPr>
        <w:t> </w:t>
      </w:r>
      <w:r>
        <w:rPr/>
        <w:t>agency</w:t>
      </w:r>
      <w:r>
        <w:rPr>
          <w:spacing w:val="-2"/>
        </w:rPr>
        <w:t> </w:t>
      </w:r>
      <w:r>
        <w:rPr/>
        <w:t>debt, mortgage-backed</w:t>
      </w:r>
      <w:r>
        <w:rPr>
          <w:spacing w:val="-4"/>
        </w:rPr>
        <w:t> </w:t>
      </w:r>
      <w:r>
        <w:rPr/>
        <w:t>securities,</w:t>
      </w:r>
      <w:r>
        <w:rPr>
          <w:spacing w:val="-4"/>
        </w:rPr>
        <w:t> </w:t>
      </w:r>
      <w:r>
        <w:rPr/>
        <w:t>and</w:t>
      </w:r>
      <w:r>
        <w:rPr>
          <w:spacing w:val="-4"/>
        </w:rPr>
        <w:t> </w:t>
      </w:r>
      <w:r>
        <w:rPr/>
        <w:t>other</w:t>
      </w:r>
      <w:r>
        <w:rPr>
          <w:spacing w:val="-4"/>
        </w:rPr>
        <w:t> </w:t>
      </w:r>
      <w:r>
        <w:rPr/>
        <w:t>qualifying</w:t>
      </w:r>
      <w:r>
        <w:rPr>
          <w:spacing w:val="-4"/>
        </w:rPr>
        <w:t> </w:t>
      </w:r>
      <w:r>
        <w:rPr/>
        <w:t>assets</w:t>
      </w:r>
      <w:r>
        <w:rPr>
          <w:spacing w:val="-5"/>
        </w:rPr>
        <w:t> </w:t>
      </w:r>
      <w:r>
        <w:rPr/>
        <w:t>pledged</w:t>
      </w:r>
      <w:r>
        <w:rPr>
          <w:spacing w:val="-4"/>
        </w:rPr>
        <w:t> </w:t>
      </w:r>
      <w:r>
        <w:rPr/>
        <w:t>as</w:t>
      </w:r>
      <w:r>
        <w:rPr>
          <w:spacing w:val="-5"/>
        </w:rPr>
        <w:t> </w:t>
      </w:r>
      <w:r>
        <w:rPr/>
        <w:t>collateral.</w:t>
      </w:r>
      <w:r>
        <w:rPr>
          <w:spacing w:val="-4"/>
        </w:rPr>
        <w:t> </w:t>
      </w:r>
      <w:r>
        <w:rPr/>
        <w:t>Borrowing</w:t>
      </w:r>
      <w:r>
        <w:rPr>
          <w:spacing w:val="-4"/>
        </w:rPr>
        <w:t> </w:t>
      </w:r>
      <w:r>
        <w:rPr/>
        <w:t>capacity</w:t>
      </w:r>
      <w:r>
        <w:rPr>
          <w:spacing w:val="-4"/>
        </w:rPr>
        <w:t> </w:t>
      </w:r>
      <w:r>
        <w:rPr/>
        <w:t>available</w:t>
      </w:r>
      <w:r>
        <w:rPr>
          <w:spacing w:val="-5"/>
        </w:rPr>
        <w:t> </w:t>
      </w:r>
      <w:r>
        <w:rPr/>
        <w:t>under</w:t>
      </w:r>
      <w:r>
        <w:rPr>
          <w:spacing w:val="-4"/>
        </w:rPr>
        <w:t> </w:t>
      </w:r>
      <w:r>
        <w:rPr/>
        <w:t>this</w:t>
      </w:r>
      <w:r>
        <w:rPr>
          <w:spacing w:val="-5"/>
        </w:rPr>
        <w:t> </w:t>
      </w:r>
      <w:r>
        <w:rPr/>
        <w:t>program is dependent upon the par value of the investment securities that are pledged as collateral. The Company is eligible to obtain advances under this program. This facility was not used during the first nine months of 2023.</w:t>
      </w:r>
    </w:p>
    <w:p>
      <w:pPr>
        <w:spacing w:after="0" w:line="249" w:lineRule="auto"/>
        <w:sectPr>
          <w:type w:val="continuous"/>
          <w:pgSz w:w="12240" w:h="15840"/>
          <w:pgMar w:header="512" w:footer="201" w:top="320" w:bottom="280" w:left="520" w:right="520"/>
        </w:sectPr>
      </w:pPr>
    </w:p>
    <w:p>
      <w:pPr>
        <w:pStyle w:val="BodyText"/>
        <w:spacing w:line="249" w:lineRule="auto" w:before="211"/>
        <w:ind w:left="470" w:right="500"/>
      </w:pPr>
      <w:r>
        <w:rPr/>
        <w:t>CSC’s</w:t>
      </w:r>
      <w:r>
        <w:rPr>
          <w:spacing w:val="-3"/>
        </w:rPr>
        <w:t> </w:t>
      </w:r>
      <w:r>
        <w:rPr/>
        <w:t>ratings</w:t>
      </w:r>
      <w:r>
        <w:rPr>
          <w:spacing w:val="-3"/>
        </w:rPr>
        <w:t> </w:t>
      </w:r>
      <w:r>
        <w:rPr/>
        <w:t>for</w:t>
      </w:r>
      <w:r>
        <w:rPr>
          <w:spacing w:val="-2"/>
        </w:rPr>
        <w:t> </w:t>
      </w:r>
      <w:r>
        <w:rPr/>
        <w:t>Commercial</w:t>
      </w:r>
      <w:r>
        <w:rPr>
          <w:spacing w:val="-3"/>
        </w:rPr>
        <w:t> </w:t>
      </w:r>
      <w:r>
        <w:rPr/>
        <w:t>Paper</w:t>
      </w:r>
      <w:r>
        <w:rPr>
          <w:spacing w:val="-2"/>
        </w:rPr>
        <w:t> </w:t>
      </w:r>
      <w:r>
        <w:rPr/>
        <w:t>Notes</w:t>
      </w:r>
      <w:r>
        <w:rPr>
          <w:spacing w:val="-3"/>
        </w:rPr>
        <w:t> </w:t>
      </w:r>
      <w:r>
        <w:rPr/>
        <w:t>were</w:t>
      </w:r>
      <w:r>
        <w:rPr>
          <w:spacing w:val="-3"/>
        </w:rPr>
        <w:t> </w:t>
      </w:r>
      <w:r>
        <w:rPr/>
        <w:t>P1</w:t>
      </w:r>
      <w:r>
        <w:rPr>
          <w:spacing w:val="-2"/>
        </w:rPr>
        <w:t> </w:t>
      </w:r>
      <w:r>
        <w:rPr/>
        <w:t>by</w:t>
      </w:r>
      <w:r>
        <w:rPr>
          <w:spacing w:val="-2"/>
        </w:rPr>
        <w:t> </w:t>
      </w:r>
      <w:r>
        <w:rPr/>
        <w:t>Moody’s</w:t>
      </w:r>
      <w:r>
        <w:rPr>
          <w:spacing w:val="-3"/>
        </w:rPr>
        <w:t> </w:t>
      </w:r>
      <w:r>
        <w:rPr/>
        <w:t>Investor</w:t>
      </w:r>
      <w:r>
        <w:rPr>
          <w:spacing w:val="-2"/>
        </w:rPr>
        <w:t> </w:t>
      </w:r>
      <w:r>
        <w:rPr/>
        <w:t>Service</w:t>
      </w:r>
      <w:r>
        <w:rPr>
          <w:spacing w:val="-3"/>
        </w:rPr>
        <w:t> </w:t>
      </w:r>
      <w:r>
        <w:rPr/>
        <w:t>(Moody’s),</w:t>
      </w:r>
      <w:r>
        <w:rPr>
          <w:spacing w:val="-2"/>
        </w:rPr>
        <w:t> </w:t>
      </w:r>
      <w:r>
        <w:rPr/>
        <w:t>A2</w:t>
      </w:r>
      <w:r>
        <w:rPr>
          <w:spacing w:val="-2"/>
        </w:rPr>
        <w:t> </w:t>
      </w:r>
      <w:r>
        <w:rPr/>
        <w:t>by</w:t>
      </w:r>
      <w:r>
        <w:rPr>
          <w:spacing w:val="-2"/>
        </w:rPr>
        <w:t> </w:t>
      </w:r>
      <w:r>
        <w:rPr/>
        <w:t>Standard</w:t>
      </w:r>
      <w:r>
        <w:rPr>
          <w:spacing w:val="-2"/>
        </w:rPr>
        <w:t> </w:t>
      </w:r>
      <w:r>
        <w:rPr/>
        <w:t>&amp;</w:t>
      </w:r>
      <w:r>
        <w:rPr>
          <w:spacing w:val="-3"/>
        </w:rPr>
        <w:t> </w:t>
      </w:r>
      <w:r>
        <w:rPr/>
        <w:t>Poor’s</w:t>
      </w:r>
      <w:r>
        <w:rPr>
          <w:spacing w:val="-3"/>
        </w:rPr>
        <w:t> </w:t>
      </w:r>
      <w:r>
        <w:rPr/>
        <w:t>Rating Group (Standard &amp; Poor’s), and F1 by Fitch Ratings, Ltd (Fitch) at September 30, 2023. During the second quarter of 2023, Standard</w:t>
      </w:r>
      <w:r>
        <w:rPr>
          <w:spacing w:val="-1"/>
        </w:rPr>
        <w:t> </w:t>
      </w:r>
      <w:r>
        <w:rPr/>
        <w:t>&amp;</w:t>
      </w:r>
      <w:r>
        <w:rPr>
          <w:spacing w:val="-2"/>
        </w:rPr>
        <w:t> </w:t>
      </w:r>
      <w:r>
        <w:rPr/>
        <w:t>Poor’s</w:t>
      </w:r>
      <w:r>
        <w:rPr>
          <w:spacing w:val="-2"/>
        </w:rPr>
        <w:t> </w:t>
      </w:r>
      <w:r>
        <w:rPr/>
        <w:t>downgraded</w:t>
      </w:r>
      <w:r>
        <w:rPr>
          <w:spacing w:val="-1"/>
        </w:rPr>
        <w:t> </w:t>
      </w:r>
      <w:r>
        <w:rPr/>
        <w:t>its</w:t>
      </w:r>
      <w:r>
        <w:rPr>
          <w:spacing w:val="-2"/>
        </w:rPr>
        <w:t> </w:t>
      </w:r>
      <w:r>
        <w:rPr/>
        <w:t>rating</w:t>
      </w:r>
      <w:r>
        <w:rPr>
          <w:spacing w:val="-1"/>
        </w:rPr>
        <w:t> </w:t>
      </w:r>
      <w:r>
        <w:rPr/>
        <w:t>of</w:t>
      </w:r>
      <w:r>
        <w:rPr>
          <w:spacing w:val="-1"/>
        </w:rPr>
        <w:t> </w:t>
      </w:r>
      <w:r>
        <w:rPr/>
        <w:t>CSC’s</w:t>
      </w:r>
      <w:r>
        <w:rPr>
          <w:spacing w:val="-2"/>
        </w:rPr>
        <w:t> </w:t>
      </w:r>
      <w:r>
        <w:rPr/>
        <w:t>Commercial</w:t>
      </w:r>
      <w:r>
        <w:rPr>
          <w:spacing w:val="-2"/>
        </w:rPr>
        <w:t> </w:t>
      </w:r>
      <w:r>
        <w:rPr/>
        <w:t>Paper</w:t>
      </w:r>
      <w:r>
        <w:rPr>
          <w:spacing w:val="-1"/>
        </w:rPr>
        <w:t> </w:t>
      </w:r>
      <w:r>
        <w:rPr/>
        <w:t>Notes</w:t>
      </w:r>
      <w:r>
        <w:rPr>
          <w:spacing w:val="-2"/>
        </w:rPr>
        <w:t> </w:t>
      </w:r>
      <w:r>
        <w:rPr/>
        <w:t>from</w:t>
      </w:r>
      <w:r>
        <w:rPr>
          <w:spacing w:val="-2"/>
        </w:rPr>
        <w:t> </w:t>
      </w:r>
      <w:r>
        <w:rPr/>
        <w:t>A1</w:t>
      </w:r>
      <w:r>
        <w:rPr>
          <w:spacing w:val="-1"/>
        </w:rPr>
        <w:t> </w:t>
      </w:r>
      <w:r>
        <w:rPr/>
        <w:t>to</w:t>
      </w:r>
      <w:r>
        <w:rPr>
          <w:spacing w:val="-1"/>
        </w:rPr>
        <w:t> </w:t>
      </w:r>
      <w:r>
        <w:rPr/>
        <w:t>A2,</w:t>
      </w:r>
      <w:r>
        <w:rPr>
          <w:spacing w:val="-1"/>
        </w:rPr>
        <w:t> </w:t>
      </w:r>
      <w:r>
        <w:rPr/>
        <w:t>and</w:t>
      </w:r>
      <w:r>
        <w:rPr>
          <w:spacing w:val="-1"/>
        </w:rPr>
        <w:t> </w:t>
      </w:r>
      <w:r>
        <w:rPr/>
        <w:t>Moody’s</w:t>
      </w:r>
      <w:r>
        <w:rPr>
          <w:spacing w:val="-2"/>
        </w:rPr>
        <w:t> </w:t>
      </w:r>
      <w:r>
        <w:rPr/>
        <w:t>changed</w:t>
      </w:r>
      <w:r>
        <w:rPr>
          <w:spacing w:val="-1"/>
        </w:rPr>
        <w:t> </w:t>
      </w:r>
      <w:r>
        <w:rPr/>
        <w:t>its</w:t>
      </w:r>
      <w:r>
        <w:rPr>
          <w:spacing w:val="-2"/>
        </w:rPr>
        <w:t> </w:t>
      </w:r>
      <w:r>
        <w:rPr/>
        <w:t>outlook from positive to stable.</w:t>
      </w:r>
    </w:p>
    <w:p>
      <w:pPr>
        <w:pStyle w:val="BodyText"/>
        <w:spacing w:before="13"/>
      </w:pPr>
    </w:p>
    <w:p>
      <w:pPr>
        <w:pStyle w:val="BodyText"/>
        <w:spacing w:line="249" w:lineRule="auto"/>
        <w:ind w:left="470" w:right="500"/>
      </w:pPr>
      <w:r>
        <w:rPr/>
        <w:t>CSC</w:t>
      </w:r>
      <w:r>
        <w:rPr>
          <w:spacing w:val="-3"/>
        </w:rPr>
        <w:t> </w:t>
      </w:r>
      <w:r>
        <w:rPr/>
        <w:t>also</w:t>
      </w:r>
      <w:r>
        <w:rPr>
          <w:spacing w:val="-2"/>
        </w:rPr>
        <w:t> </w:t>
      </w:r>
      <w:r>
        <w:rPr/>
        <w:t>has</w:t>
      </w:r>
      <w:r>
        <w:rPr>
          <w:spacing w:val="-3"/>
        </w:rPr>
        <w:t> </w:t>
      </w:r>
      <w:r>
        <w:rPr/>
        <w:t>a</w:t>
      </w:r>
      <w:r>
        <w:rPr>
          <w:spacing w:val="-3"/>
        </w:rPr>
        <w:t> </w:t>
      </w:r>
      <w:r>
        <w:rPr/>
        <w:t>universal</w:t>
      </w:r>
      <w:r>
        <w:rPr>
          <w:spacing w:val="-3"/>
        </w:rPr>
        <w:t> </w:t>
      </w:r>
      <w:r>
        <w:rPr/>
        <w:t>automatic</w:t>
      </w:r>
      <w:r>
        <w:rPr>
          <w:spacing w:val="-3"/>
        </w:rPr>
        <w:t> </w:t>
      </w:r>
      <w:r>
        <w:rPr/>
        <w:t>shelf</w:t>
      </w:r>
      <w:r>
        <w:rPr>
          <w:spacing w:val="-2"/>
        </w:rPr>
        <w:t> </w:t>
      </w:r>
      <w:r>
        <w:rPr/>
        <w:t>registration</w:t>
      </w:r>
      <w:r>
        <w:rPr>
          <w:spacing w:val="-2"/>
        </w:rPr>
        <w:t> </w:t>
      </w:r>
      <w:r>
        <w:rPr/>
        <w:t>statement</w:t>
      </w:r>
      <w:r>
        <w:rPr>
          <w:spacing w:val="-3"/>
        </w:rPr>
        <w:t> </w:t>
      </w:r>
      <w:r>
        <w:rPr/>
        <w:t>on</w:t>
      </w:r>
      <w:r>
        <w:rPr>
          <w:spacing w:val="-2"/>
        </w:rPr>
        <w:t> </w:t>
      </w:r>
      <w:r>
        <w:rPr/>
        <w:t>file</w:t>
      </w:r>
      <w:r>
        <w:rPr>
          <w:spacing w:val="-3"/>
        </w:rPr>
        <w:t> </w:t>
      </w:r>
      <w:r>
        <w:rPr/>
        <w:t>with</w:t>
      </w:r>
      <w:r>
        <w:rPr>
          <w:spacing w:val="-2"/>
        </w:rPr>
        <w:t> </w:t>
      </w:r>
      <w:r>
        <w:rPr/>
        <w:t>the</w:t>
      </w:r>
      <w:r>
        <w:rPr>
          <w:spacing w:val="-3"/>
        </w:rPr>
        <w:t> </w:t>
      </w:r>
      <w:r>
        <w:rPr/>
        <w:t>SEC,</w:t>
      </w:r>
      <w:r>
        <w:rPr>
          <w:spacing w:val="-2"/>
        </w:rPr>
        <w:t> </w:t>
      </w:r>
      <w:r>
        <w:rPr/>
        <w:t>which</w:t>
      </w:r>
      <w:r>
        <w:rPr>
          <w:spacing w:val="-2"/>
        </w:rPr>
        <w:t> </w:t>
      </w:r>
      <w:r>
        <w:rPr/>
        <w:t>enables</w:t>
      </w:r>
      <w:r>
        <w:rPr>
          <w:spacing w:val="-3"/>
        </w:rPr>
        <w:t> </w:t>
      </w:r>
      <w:r>
        <w:rPr/>
        <w:t>it</w:t>
      </w:r>
      <w:r>
        <w:rPr>
          <w:spacing w:val="-3"/>
        </w:rPr>
        <w:t> </w:t>
      </w:r>
      <w:r>
        <w:rPr/>
        <w:t>to</w:t>
      </w:r>
      <w:r>
        <w:rPr>
          <w:spacing w:val="-2"/>
        </w:rPr>
        <w:t> </w:t>
      </w:r>
      <w:r>
        <w:rPr/>
        <w:t>issue</w:t>
      </w:r>
      <w:r>
        <w:rPr>
          <w:spacing w:val="-3"/>
        </w:rPr>
        <w:t> </w:t>
      </w:r>
      <w:r>
        <w:rPr/>
        <w:t>debt,</w:t>
      </w:r>
      <w:r>
        <w:rPr>
          <w:spacing w:val="-2"/>
        </w:rPr>
        <w:t> </w:t>
      </w:r>
      <w:r>
        <w:rPr/>
        <w:t>equity,</w:t>
      </w:r>
      <w:r>
        <w:rPr>
          <w:spacing w:val="-2"/>
        </w:rPr>
        <w:t> </w:t>
      </w:r>
      <w:r>
        <w:rPr/>
        <w:t>and other securities.</w:t>
      </w:r>
    </w:p>
    <w:p>
      <w:pPr>
        <w:pStyle w:val="BodyText"/>
        <w:spacing w:before="12"/>
      </w:pPr>
    </w:p>
    <w:p>
      <w:pPr>
        <w:pStyle w:val="BodyText"/>
        <w:spacing w:line="249" w:lineRule="auto"/>
        <w:ind w:left="470" w:right="473"/>
      </w:pPr>
      <w:r>
        <w:rPr/>
        <w:t>CS&amp;Co maintains uncommitted, unsecured bank credit lines with a group of banks as a source of short-term liquidity, which</w:t>
      </w:r>
      <w:r>
        <w:rPr/>
        <w:t> can</w:t>
      </w:r>
      <w:r>
        <w:rPr>
          <w:spacing w:val="-3"/>
        </w:rPr>
        <w:t> </w:t>
      </w:r>
      <w:r>
        <w:rPr/>
        <w:t>also</w:t>
      </w:r>
      <w:r>
        <w:rPr>
          <w:spacing w:val="-3"/>
        </w:rPr>
        <w:t> </w:t>
      </w:r>
      <w:r>
        <w:rPr/>
        <w:t>be</w:t>
      </w:r>
      <w:r>
        <w:rPr>
          <w:spacing w:val="-4"/>
        </w:rPr>
        <w:t> </w:t>
      </w:r>
      <w:r>
        <w:rPr/>
        <w:t>accessed</w:t>
      </w:r>
      <w:r>
        <w:rPr>
          <w:spacing w:val="-3"/>
        </w:rPr>
        <w:t> </w:t>
      </w:r>
      <w:r>
        <w:rPr/>
        <w:t>by</w:t>
      </w:r>
      <w:r>
        <w:rPr>
          <w:spacing w:val="-3"/>
        </w:rPr>
        <w:t> </w:t>
      </w:r>
      <w:r>
        <w:rPr/>
        <w:t>CSC.</w:t>
      </w:r>
      <w:r>
        <w:rPr>
          <w:spacing w:val="-3"/>
        </w:rPr>
        <w:t> </w:t>
      </w:r>
      <w:r>
        <w:rPr/>
        <w:t>CS&amp;Co</w:t>
      </w:r>
      <w:r>
        <w:rPr>
          <w:spacing w:val="-3"/>
        </w:rPr>
        <w:t> </w:t>
      </w:r>
      <w:r>
        <w:rPr/>
        <w:t>also</w:t>
      </w:r>
      <w:r>
        <w:rPr>
          <w:spacing w:val="-3"/>
        </w:rPr>
        <w:t> </w:t>
      </w:r>
      <w:r>
        <w:rPr/>
        <w:t>maintains</w:t>
      </w:r>
      <w:r>
        <w:rPr>
          <w:spacing w:val="-4"/>
        </w:rPr>
        <w:t> </w:t>
      </w:r>
      <w:r>
        <w:rPr/>
        <w:t>secured,</w:t>
      </w:r>
      <w:r>
        <w:rPr>
          <w:spacing w:val="-3"/>
        </w:rPr>
        <w:t> </w:t>
      </w:r>
      <w:r>
        <w:rPr/>
        <w:t>uncommitted</w:t>
      </w:r>
      <w:r>
        <w:rPr>
          <w:spacing w:val="-3"/>
        </w:rPr>
        <w:t> </w:t>
      </w:r>
      <w:r>
        <w:rPr/>
        <w:t>lines</w:t>
      </w:r>
      <w:r>
        <w:rPr>
          <w:spacing w:val="-4"/>
        </w:rPr>
        <w:t> </w:t>
      </w:r>
      <w:r>
        <w:rPr/>
        <w:t>of</w:t>
      </w:r>
      <w:r>
        <w:rPr>
          <w:spacing w:val="-3"/>
        </w:rPr>
        <w:t> </w:t>
      </w:r>
      <w:r>
        <w:rPr/>
        <w:t>credit,</w:t>
      </w:r>
      <w:r>
        <w:rPr>
          <w:spacing w:val="-3"/>
        </w:rPr>
        <w:t> </w:t>
      </w:r>
      <w:r>
        <w:rPr/>
        <w:t>under</w:t>
      </w:r>
      <w:r>
        <w:rPr>
          <w:spacing w:val="-3"/>
        </w:rPr>
        <w:t> </w:t>
      </w:r>
      <w:r>
        <w:rPr/>
        <w:t>which</w:t>
      </w:r>
      <w:r>
        <w:rPr>
          <w:spacing w:val="-3"/>
        </w:rPr>
        <w:t> </w:t>
      </w:r>
      <w:r>
        <w:rPr/>
        <w:t>CS&amp;Co</w:t>
      </w:r>
      <w:r>
        <w:rPr>
          <w:spacing w:val="-3"/>
        </w:rPr>
        <w:t> </w:t>
      </w:r>
      <w:r>
        <w:rPr/>
        <w:t>may</w:t>
      </w:r>
      <w:r>
        <w:rPr>
          <w:spacing w:val="-3"/>
        </w:rPr>
        <w:t> </w:t>
      </w:r>
      <w:r>
        <w:rPr/>
        <w:t>borrow</w:t>
      </w:r>
      <w:r>
        <w:rPr>
          <w:spacing w:val="-4"/>
        </w:rPr>
        <w:t> </w:t>
      </w:r>
      <w:r>
        <w:rPr/>
        <w:t>on a short-term basis and pledge either client margin securities or firm securities as collateral, based on the terms of the agreements. TDAC maintains secured uncommitted lines of credit, under which TDAC borrows on either a demand or short- term basis and pledges client margin securities as collateral.</w:t>
      </w:r>
    </w:p>
    <w:p>
      <w:pPr>
        <w:pStyle w:val="BodyText"/>
        <w:spacing w:before="14"/>
      </w:pPr>
    </w:p>
    <w:p>
      <w:pPr>
        <w:pStyle w:val="BodyText"/>
        <w:spacing w:line="249" w:lineRule="auto"/>
        <w:ind w:left="470" w:right="500"/>
      </w:pPr>
      <w:r>
        <w:rPr/>
        <mc:AlternateContent>
          <mc:Choice Requires="wps">
            <w:drawing>
              <wp:anchor distT="0" distB="0" distL="0" distR="0" allowOverlap="1" layoutInCell="1" locked="0" behindDoc="1" simplePos="0" relativeHeight="487596032">
                <wp:simplePos x="0" y="0"/>
                <wp:positionH relativeFrom="page">
                  <wp:posOffset>628650</wp:posOffset>
                </wp:positionH>
                <wp:positionV relativeFrom="paragraph">
                  <wp:posOffset>332532</wp:posOffset>
                </wp:positionV>
                <wp:extent cx="6572250" cy="444500"/>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6572250" cy="444500"/>
                          <a:chExt cx="6572250" cy="444500"/>
                        </a:xfrm>
                      </wpg:grpSpPr>
                      <wps:wsp>
                        <wps:cNvPr id="52" name="Graphic 52"/>
                        <wps:cNvSpPr/>
                        <wps:spPr>
                          <a:xfrm>
                            <a:off x="0" y="279399"/>
                            <a:ext cx="6572250" cy="161925"/>
                          </a:xfrm>
                          <a:custGeom>
                            <a:avLst/>
                            <a:gdLst/>
                            <a:ahLst/>
                            <a:cxnLst/>
                            <a:rect l="l" t="t" r="r" b="b"/>
                            <a:pathLst>
                              <a:path w="6572250" h="161925">
                                <a:moveTo>
                                  <a:pt x="6572250" y="0"/>
                                </a:moveTo>
                                <a:lnTo>
                                  <a:pt x="5553075" y="0"/>
                                </a:lnTo>
                                <a:lnTo>
                                  <a:pt x="3762375" y="0"/>
                                </a:lnTo>
                                <a:lnTo>
                                  <a:pt x="2714625" y="0"/>
                                </a:lnTo>
                                <a:lnTo>
                                  <a:pt x="0" y="0"/>
                                </a:lnTo>
                                <a:lnTo>
                                  <a:pt x="0" y="161925"/>
                                </a:lnTo>
                                <a:lnTo>
                                  <a:pt x="2714625" y="161925"/>
                                </a:lnTo>
                                <a:lnTo>
                                  <a:pt x="3762375" y="161925"/>
                                </a:lnTo>
                                <a:lnTo>
                                  <a:pt x="5553075" y="161925"/>
                                </a:lnTo>
                                <a:lnTo>
                                  <a:pt x="6572250" y="161925"/>
                                </a:lnTo>
                                <a:lnTo>
                                  <a:pt x="6572250" y="0"/>
                                </a:lnTo>
                                <a:close/>
                              </a:path>
                            </a:pathLst>
                          </a:custGeom>
                          <a:solidFill>
                            <a:srgbClr val="CCEDFF"/>
                          </a:solidFill>
                        </wps:spPr>
                        <wps:bodyPr wrap="square" lIns="0" tIns="0" rIns="0" bIns="0" rtlCol="0">
                          <a:prstTxWarp prst="textNoShape">
                            <a:avLst/>
                          </a:prstTxWarp>
                          <a:noAutofit/>
                        </wps:bodyPr>
                      </wps:wsp>
                      <wps:wsp>
                        <wps:cNvPr id="53" name="Graphic 53"/>
                        <wps:cNvSpPr/>
                        <wps:spPr>
                          <a:xfrm>
                            <a:off x="0" y="3175"/>
                            <a:ext cx="6572250" cy="1270"/>
                          </a:xfrm>
                          <a:custGeom>
                            <a:avLst/>
                            <a:gdLst/>
                            <a:ahLst/>
                            <a:cxnLst/>
                            <a:rect l="l" t="t" r="r" b="b"/>
                            <a:pathLst>
                              <a:path w="6572250" h="0">
                                <a:moveTo>
                                  <a:pt x="6572250" y="0"/>
                                </a:moveTo>
                                <a:lnTo>
                                  <a:pt x="0" y="0"/>
                                </a:lnTo>
                              </a:path>
                            </a:pathLst>
                          </a:custGeom>
                          <a:solidFill>
                            <a:srgbClr val="000000"/>
                          </a:solidFill>
                        </wps:spPr>
                        <wps:bodyPr wrap="square" lIns="0" tIns="0" rIns="0" bIns="0" rtlCol="0">
                          <a:prstTxWarp prst="textNoShape">
                            <a:avLst/>
                          </a:prstTxWarp>
                          <a:noAutofit/>
                        </wps:bodyPr>
                      </wps:wsp>
                      <wps:wsp>
                        <wps:cNvPr id="54" name="Graphic 54"/>
                        <wps:cNvSpPr/>
                        <wps:spPr>
                          <a:xfrm>
                            <a:off x="0" y="3175"/>
                            <a:ext cx="6572250" cy="1270"/>
                          </a:xfrm>
                          <a:custGeom>
                            <a:avLst/>
                            <a:gdLst/>
                            <a:ahLst/>
                            <a:cxnLst/>
                            <a:rect l="l" t="t" r="r" b="b"/>
                            <a:pathLst>
                              <a:path w="6572250" h="0">
                                <a:moveTo>
                                  <a:pt x="0" y="0"/>
                                </a:moveTo>
                                <a:lnTo>
                                  <a:pt x="6572250" y="0"/>
                                </a:lnTo>
                              </a:path>
                            </a:pathLst>
                          </a:custGeom>
                          <a:ln w="6350">
                            <a:solidFill>
                              <a:srgbClr val="000000"/>
                            </a:solidFill>
                            <a:prstDash val="solid"/>
                          </a:ln>
                        </wps:spPr>
                        <wps:bodyPr wrap="square" lIns="0" tIns="0" rIns="0" bIns="0" rtlCol="0">
                          <a:prstTxWarp prst="textNoShape">
                            <a:avLst/>
                          </a:prstTxWarp>
                          <a:noAutofit/>
                        </wps:bodyPr>
                      </wps:wsp>
                      <wps:wsp>
                        <wps:cNvPr id="55" name="Graphic 55"/>
                        <wps:cNvSpPr/>
                        <wps:spPr>
                          <a:xfrm>
                            <a:off x="0" y="279400"/>
                            <a:ext cx="6572250" cy="1270"/>
                          </a:xfrm>
                          <a:custGeom>
                            <a:avLst/>
                            <a:gdLst/>
                            <a:ahLst/>
                            <a:cxnLst/>
                            <a:rect l="l" t="t" r="r" b="b"/>
                            <a:pathLst>
                              <a:path w="6572250" h="0">
                                <a:moveTo>
                                  <a:pt x="6572250" y="0"/>
                                </a:moveTo>
                                <a:lnTo>
                                  <a:pt x="0" y="0"/>
                                </a:lnTo>
                              </a:path>
                            </a:pathLst>
                          </a:custGeom>
                          <a:solidFill>
                            <a:srgbClr val="000000"/>
                          </a:solidFill>
                        </wps:spPr>
                        <wps:bodyPr wrap="square" lIns="0" tIns="0" rIns="0" bIns="0" rtlCol="0">
                          <a:prstTxWarp prst="textNoShape">
                            <a:avLst/>
                          </a:prstTxWarp>
                          <a:noAutofit/>
                        </wps:bodyPr>
                      </wps:wsp>
                      <wps:wsp>
                        <wps:cNvPr id="56" name="Graphic 56"/>
                        <wps:cNvSpPr/>
                        <wps:spPr>
                          <a:xfrm>
                            <a:off x="0" y="279400"/>
                            <a:ext cx="6572250" cy="1270"/>
                          </a:xfrm>
                          <a:custGeom>
                            <a:avLst/>
                            <a:gdLst/>
                            <a:ahLst/>
                            <a:cxnLst/>
                            <a:rect l="l" t="t" r="r" b="b"/>
                            <a:pathLst>
                              <a:path w="6572250" h="0">
                                <a:moveTo>
                                  <a:pt x="0" y="0"/>
                                </a:moveTo>
                                <a:lnTo>
                                  <a:pt x="6572250" y="0"/>
                                </a:lnTo>
                              </a:path>
                            </a:pathLst>
                          </a:custGeom>
                          <a:ln w="6350">
                            <a:solidFill>
                              <a:srgbClr val="000000"/>
                            </a:solidFill>
                            <a:prstDash val="solid"/>
                          </a:ln>
                        </wps:spPr>
                        <wps:bodyPr wrap="square" lIns="0" tIns="0" rIns="0" bIns="0" rtlCol="0">
                          <a:prstTxWarp prst="textNoShape">
                            <a:avLst/>
                          </a:prstTxWarp>
                          <a:noAutofit/>
                        </wps:bodyPr>
                      </wps:wsp>
                      <wps:wsp>
                        <wps:cNvPr id="57" name="Graphic 57"/>
                        <wps:cNvSpPr/>
                        <wps:spPr>
                          <a:xfrm>
                            <a:off x="0" y="441325"/>
                            <a:ext cx="6572250" cy="1270"/>
                          </a:xfrm>
                          <a:custGeom>
                            <a:avLst/>
                            <a:gdLst/>
                            <a:ahLst/>
                            <a:cxnLst/>
                            <a:rect l="l" t="t" r="r" b="b"/>
                            <a:pathLst>
                              <a:path w="6572250" h="0">
                                <a:moveTo>
                                  <a:pt x="6572250" y="0"/>
                                </a:moveTo>
                                <a:lnTo>
                                  <a:pt x="0" y="0"/>
                                </a:lnTo>
                              </a:path>
                            </a:pathLst>
                          </a:custGeom>
                          <a:solidFill>
                            <a:srgbClr val="000000"/>
                          </a:solidFill>
                        </wps:spPr>
                        <wps:bodyPr wrap="square" lIns="0" tIns="0" rIns="0" bIns="0" rtlCol="0">
                          <a:prstTxWarp prst="textNoShape">
                            <a:avLst/>
                          </a:prstTxWarp>
                          <a:noAutofit/>
                        </wps:bodyPr>
                      </wps:wsp>
                      <wps:wsp>
                        <wps:cNvPr id="58" name="Graphic 58"/>
                        <wps:cNvSpPr/>
                        <wps:spPr>
                          <a:xfrm>
                            <a:off x="0" y="441325"/>
                            <a:ext cx="6572250" cy="1270"/>
                          </a:xfrm>
                          <a:custGeom>
                            <a:avLst/>
                            <a:gdLst/>
                            <a:ahLst/>
                            <a:cxnLst/>
                            <a:rect l="l" t="t" r="r" b="b"/>
                            <a:pathLst>
                              <a:path w="6572250" h="0">
                                <a:moveTo>
                                  <a:pt x="0" y="0"/>
                                </a:moveTo>
                                <a:lnTo>
                                  <a:pt x="6572250" y="0"/>
                                </a:lnTo>
                              </a:path>
                            </a:pathLst>
                          </a:custGeom>
                          <a:ln w="6350">
                            <a:solidFill>
                              <a:srgbClr val="000000"/>
                            </a:solidFill>
                            <a:prstDash val="solid"/>
                          </a:ln>
                        </wps:spPr>
                        <wps:bodyPr wrap="square" lIns="0" tIns="0" rIns="0" bIns="0" rtlCol="0">
                          <a:prstTxWarp prst="textNoShape">
                            <a:avLst/>
                          </a:prstTxWarp>
                          <a:noAutofit/>
                        </wps:bodyPr>
                      </wps:wsp>
                      <wps:wsp>
                        <wps:cNvPr id="59" name="Textbox 59"/>
                        <wps:cNvSpPr txBox="1"/>
                        <wps:spPr>
                          <a:xfrm>
                            <a:off x="2757677" y="133857"/>
                            <a:ext cx="975360" cy="127000"/>
                          </a:xfrm>
                          <a:prstGeom prst="rect">
                            <a:avLst/>
                          </a:prstGeom>
                        </wps:spPr>
                        <wps:txbx>
                          <w:txbxContent>
                            <w:p>
                              <w:pPr>
                                <w:spacing w:line="199" w:lineRule="exact" w:before="0"/>
                                <w:ind w:left="0" w:right="0" w:firstLine="0"/>
                                <w:jc w:val="left"/>
                                <w:rPr>
                                  <w:sz w:val="18"/>
                                </w:rPr>
                              </w:pPr>
                              <w:r>
                                <w:rPr>
                                  <w:sz w:val="18"/>
                                </w:rPr>
                                <w:t>Amount</w:t>
                              </w:r>
                              <w:r>
                                <w:rPr>
                                  <w:spacing w:val="-1"/>
                                  <w:sz w:val="18"/>
                                </w:rPr>
                                <w:t> </w:t>
                              </w:r>
                              <w:r>
                                <w:rPr>
                                  <w:spacing w:val="-2"/>
                                  <w:sz w:val="18"/>
                                </w:rPr>
                                <w:t>Outstanding</w:t>
                              </w:r>
                            </w:p>
                          </w:txbxContent>
                        </wps:txbx>
                        <wps:bodyPr wrap="square" lIns="0" tIns="0" rIns="0" bIns="0" rtlCol="0">
                          <a:noAutofit/>
                        </wps:bodyPr>
                      </wps:wsp>
                      <wps:wsp>
                        <wps:cNvPr id="60" name="Textbox 60"/>
                        <wps:cNvSpPr txBox="1"/>
                        <wps:spPr>
                          <a:xfrm>
                            <a:off x="4457827" y="133857"/>
                            <a:ext cx="412750" cy="127000"/>
                          </a:xfrm>
                          <a:prstGeom prst="rect">
                            <a:avLst/>
                          </a:prstGeom>
                        </wps:spPr>
                        <wps:txbx>
                          <w:txbxContent>
                            <w:p>
                              <w:pPr>
                                <w:spacing w:line="199" w:lineRule="exact" w:before="0"/>
                                <w:ind w:left="0" w:right="0" w:firstLine="0"/>
                                <w:jc w:val="left"/>
                                <w:rPr>
                                  <w:sz w:val="18"/>
                                </w:rPr>
                              </w:pPr>
                              <w:r>
                                <w:rPr>
                                  <w:spacing w:val="-2"/>
                                  <w:sz w:val="18"/>
                                </w:rPr>
                                <w:t>Maturity</w:t>
                              </w:r>
                            </w:p>
                          </w:txbxContent>
                        </wps:txbx>
                        <wps:bodyPr wrap="square" lIns="0" tIns="0" rIns="0" bIns="0" rtlCol="0">
                          <a:noAutofit/>
                        </wps:bodyPr>
                      </wps:wsp>
                      <wps:wsp>
                        <wps:cNvPr id="61" name="Textbox 61"/>
                        <wps:cNvSpPr txBox="1"/>
                        <wps:spPr>
                          <a:xfrm>
                            <a:off x="5628259" y="19557"/>
                            <a:ext cx="882650" cy="241300"/>
                          </a:xfrm>
                          <a:prstGeom prst="rect">
                            <a:avLst/>
                          </a:prstGeom>
                        </wps:spPr>
                        <wps:txbx>
                          <w:txbxContent>
                            <w:p>
                              <w:pPr>
                                <w:spacing w:line="208" w:lineRule="auto" w:before="14"/>
                                <w:ind w:left="227" w:right="18" w:hanging="228"/>
                                <w:jc w:val="left"/>
                                <w:rPr>
                                  <w:sz w:val="18"/>
                                </w:rPr>
                              </w:pPr>
                              <w:r>
                                <w:rPr>
                                  <w:spacing w:val="-2"/>
                                  <w:sz w:val="18"/>
                                </w:rPr>
                                <w:t>Weighted-Average </w:t>
                              </w:r>
                              <w:r>
                                <w:rPr>
                                  <w:sz w:val="18"/>
                                </w:rPr>
                                <w:t>Interest Rate</w:t>
                              </w:r>
                            </w:p>
                          </w:txbxContent>
                        </wps:txbx>
                        <wps:bodyPr wrap="square" lIns="0" tIns="0" rIns="0" bIns="0" rtlCol="0">
                          <a:noAutofit/>
                        </wps:bodyPr>
                      </wps:wsp>
                      <wps:wsp>
                        <wps:cNvPr id="62" name="Textbox 62"/>
                        <wps:cNvSpPr txBox="1"/>
                        <wps:spPr>
                          <a:xfrm>
                            <a:off x="0" y="282575"/>
                            <a:ext cx="6572250" cy="155575"/>
                          </a:xfrm>
                          <a:prstGeom prst="rect">
                            <a:avLst/>
                          </a:prstGeom>
                        </wps:spPr>
                        <wps:txbx>
                          <w:txbxContent>
                            <w:p>
                              <w:pPr>
                                <w:tabs>
                                  <w:tab w:pos="4327" w:val="left" w:leader="none"/>
                                  <w:tab w:pos="5354" w:val="left" w:leader="none"/>
                                  <w:tab w:pos="6285" w:val="left" w:leader="none"/>
                                  <w:tab w:pos="9333" w:val="left" w:leader="none"/>
                                </w:tabs>
                                <w:spacing w:before="13"/>
                                <w:ind w:left="52" w:right="0" w:firstLine="0"/>
                                <w:jc w:val="left"/>
                                <w:rPr>
                                  <w:sz w:val="18"/>
                                </w:rPr>
                              </w:pPr>
                              <w:r>
                                <w:rPr>
                                  <w:sz w:val="18"/>
                                </w:rPr>
                                <w:t>Brokered </w:t>
                              </w:r>
                              <w:r>
                                <w:rPr>
                                  <w:spacing w:val="-5"/>
                                  <w:sz w:val="18"/>
                                </w:rPr>
                                <w:t>CDs</w:t>
                              </w:r>
                              <w:r>
                                <w:rPr>
                                  <w:sz w:val="18"/>
                                </w:rPr>
                                <w:tab/>
                              </w:r>
                              <w:r>
                                <w:rPr>
                                  <w:spacing w:val="-10"/>
                                  <w:sz w:val="18"/>
                                </w:rPr>
                                <w:t>$</w:t>
                              </w:r>
                              <w:r>
                                <w:rPr>
                                  <w:sz w:val="18"/>
                                </w:rPr>
                                <w:tab/>
                              </w:r>
                              <w:r>
                                <w:rPr>
                                  <w:spacing w:val="-2"/>
                                  <w:sz w:val="18"/>
                                </w:rPr>
                                <w:t>45,418</w:t>
                              </w:r>
                              <w:r>
                                <w:rPr>
                                  <w:sz w:val="18"/>
                                </w:rPr>
                                <w:tab/>
                                <w:t>November</w:t>
                              </w:r>
                              <w:r>
                                <w:rPr>
                                  <w:spacing w:val="-3"/>
                                  <w:sz w:val="18"/>
                                </w:rPr>
                                <w:t> </w:t>
                              </w:r>
                              <w:r>
                                <w:rPr>
                                  <w:sz w:val="18"/>
                                </w:rPr>
                                <w:t>2023 -</w:t>
                              </w:r>
                              <w:r>
                                <w:rPr>
                                  <w:spacing w:val="-1"/>
                                  <w:sz w:val="18"/>
                                </w:rPr>
                                <w:t> </w:t>
                              </w:r>
                              <w:r>
                                <w:rPr>
                                  <w:sz w:val="18"/>
                                </w:rPr>
                                <w:t>April </w:t>
                              </w:r>
                              <w:r>
                                <w:rPr>
                                  <w:spacing w:val="-4"/>
                                  <w:sz w:val="18"/>
                                </w:rPr>
                                <w:t>2025</w:t>
                              </w:r>
                              <w:r>
                                <w:rPr>
                                  <w:sz w:val="18"/>
                                </w:rPr>
                                <w:tab/>
                              </w:r>
                              <w:r>
                                <w:rPr>
                                  <w:spacing w:val="-2"/>
                                  <w:sz w:val="18"/>
                                </w:rPr>
                                <w:t>5.06%</w:t>
                              </w:r>
                            </w:p>
                          </w:txbxContent>
                        </wps:txbx>
                        <wps:bodyPr wrap="square" lIns="0" tIns="0" rIns="0" bIns="0" rtlCol="0">
                          <a:noAutofit/>
                        </wps:bodyPr>
                      </wps:wsp>
                    </wpg:wgp>
                  </a:graphicData>
                </a:graphic>
              </wp:anchor>
            </w:drawing>
          </mc:Choice>
          <mc:Fallback>
            <w:pict>
              <v:group style="position:absolute;margin-left:49.5pt;margin-top:26.183632pt;width:517.5pt;height:35pt;mso-position-horizontal-relative:page;mso-position-vertical-relative:paragraph;z-index:-15720448;mso-wrap-distance-left:0;mso-wrap-distance-right:0" id="docshapegroup37" coordorigin="990,524" coordsize="10350,700">
                <v:shape style="position:absolute;left:990;top:963;width:10350;height:255" id="docshape38" coordorigin="990,964" coordsize="10350,255" path="m11340,964l9735,964,6915,964,5265,964,990,964,990,1219,5265,1219,6915,1219,9735,1219,11340,1219,11340,964xe" filled="true" fillcolor="#ccedff" stroked="false">
                  <v:path arrowok="t"/>
                  <v:fill type="solid"/>
                </v:shape>
                <v:shape style="position:absolute;left:990;top:528;width:10350;height:2" id="docshape39" coordorigin="990,529" coordsize="10350,0" path="m11340,529l990,529e" filled="true" fillcolor="#000000" stroked="false">
                  <v:path arrowok="t"/>
                  <v:fill opacity="0f" type="solid"/>
                </v:shape>
                <v:line style="position:absolute" from="990,529" to="11340,529" stroked="true" strokeweight=".5pt" strokecolor="#000000">
                  <v:stroke dashstyle="solid"/>
                </v:line>
                <v:shape style="position:absolute;left:990;top:963;width:10350;height:2" id="docshape40" coordorigin="990,964" coordsize="10350,0" path="m11340,964l990,964e" filled="true" fillcolor="#000000" stroked="false">
                  <v:path arrowok="t"/>
                  <v:fill opacity="0f" type="solid"/>
                </v:shape>
                <v:line style="position:absolute" from="990,964" to="11340,964" stroked="true" strokeweight=".5pt" strokecolor="#000000">
                  <v:stroke dashstyle="solid"/>
                </v:line>
                <v:shape style="position:absolute;left:990;top:1218;width:10350;height:2" id="docshape41" coordorigin="990,1219" coordsize="10350,0" path="m11340,1219l990,1219e" filled="true" fillcolor="#000000" stroked="false">
                  <v:path arrowok="t"/>
                  <v:fill opacity="0f" type="solid"/>
                </v:shape>
                <v:line style="position:absolute" from="990,1219" to="11340,1219" stroked="true" strokeweight=".5pt" strokecolor="#000000">
                  <v:stroke dashstyle="solid"/>
                </v:line>
                <v:shape style="position:absolute;left:5332;top:734;width:1536;height:200" type="#_x0000_t202" id="docshape42" filled="false" stroked="false">
                  <v:textbox inset="0,0,0,0">
                    <w:txbxContent>
                      <w:p>
                        <w:pPr>
                          <w:spacing w:line="199" w:lineRule="exact" w:before="0"/>
                          <w:ind w:left="0" w:right="0" w:firstLine="0"/>
                          <w:jc w:val="left"/>
                          <w:rPr>
                            <w:sz w:val="18"/>
                          </w:rPr>
                        </w:pPr>
                        <w:r>
                          <w:rPr>
                            <w:sz w:val="18"/>
                          </w:rPr>
                          <w:t>Amount</w:t>
                        </w:r>
                        <w:r>
                          <w:rPr>
                            <w:spacing w:val="-1"/>
                            <w:sz w:val="18"/>
                          </w:rPr>
                          <w:t> </w:t>
                        </w:r>
                        <w:r>
                          <w:rPr>
                            <w:spacing w:val="-2"/>
                            <w:sz w:val="18"/>
                          </w:rPr>
                          <w:t>Outstanding</w:t>
                        </w:r>
                      </w:p>
                    </w:txbxContent>
                  </v:textbox>
                  <w10:wrap type="none"/>
                </v:shape>
                <v:shape style="position:absolute;left:8010;top:734;width:650;height:200" type="#_x0000_t202" id="docshape43" filled="false" stroked="false">
                  <v:textbox inset="0,0,0,0">
                    <w:txbxContent>
                      <w:p>
                        <w:pPr>
                          <w:spacing w:line="199" w:lineRule="exact" w:before="0"/>
                          <w:ind w:left="0" w:right="0" w:firstLine="0"/>
                          <w:jc w:val="left"/>
                          <w:rPr>
                            <w:sz w:val="18"/>
                          </w:rPr>
                        </w:pPr>
                        <w:r>
                          <w:rPr>
                            <w:spacing w:val="-2"/>
                            <w:sz w:val="18"/>
                          </w:rPr>
                          <w:t>Maturity</w:t>
                        </w:r>
                      </w:p>
                    </w:txbxContent>
                  </v:textbox>
                  <w10:wrap type="none"/>
                </v:shape>
                <v:shape style="position:absolute;left:9853;top:554;width:1390;height:380" type="#_x0000_t202" id="docshape44" filled="false" stroked="false">
                  <v:textbox inset="0,0,0,0">
                    <w:txbxContent>
                      <w:p>
                        <w:pPr>
                          <w:spacing w:line="208" w:lineRule="auto" w:before="14"/>
                          <w:ind w:left="227" w:right="18" w:hanging="228"/>
                          <w:jc w:val="left"/>
                          <w:rPr>
                            <w:sz w:val="18"/>
                          </w:rPr>
                        </w:pPr>
                        <w:r>
                          <w:rPr>
                            <w:spacing w:val="-2"/>
                            <w:sz w:val="18"/>
                          </w:rPr>
                          <w:t>Weighted-Average </w:t>
                        </w:r>
                        <w:r>
                          <w:rPr>
                            <w:sz w:val="18"/>
                          </w:rPr>
                          <w:t>Interest Rate</w:t>
                        </w:r>
                      </w:p>
                    </w:txbxContent>
                  </v:textbox>
                  <w10:wrap type="none"/>
                </v:shape>
                <v:shape style="position:absolute;left:990;top:968;width:10350;height:245" type="#_x0000_t202" id="docshape45" filled="false" stroked="false">
                  <v:textbox inset="0,0,0,0">
                    <w:txbxContent>
                      <w:p>
                        <w:pPr>
                          <w:tabs>
                            <w:tab w:pos="4327" w:val="left" w:leader="none"/>
                            <w:tab w:pos="5354" w:val="left" w:leader="none"/>
                            <w:tab w:pos="6285" w:val="left" w:leader="none"/>
                            <w:tab w:pos="9333" w:val="left" w:leader="none"/>
                          </w:tabs>
                          <w:spacing w:before="13"/>
                          <w:ind w:left="52" w:right="0" w:firstLine="0"/>
                          <w:jc w:val="left"/>
                          <w:rPr>
                            <w:sz w:val="18"/>
                          </w:rPr>
                        </w:pPr>
                        <w:r>
                          <w:rPr>
                            <w:sz w:val="18"/>
                          </w:rPr>
                          <w:t>Brokered </w:t>
                        </w:r>
                        <w:r>
                          <w:rPr>
                            <w:spacing w:val="-5"/>
                            <w:sz w:val="18"/>
                          </w:rPr>
                          <w:t>CDs</w:t>
                        </w:r>
                        <w:r>
                          <w:rPr>
                            <w:sz w:val="18"/>
                          </w:rPr>
                          <w:tab/>
                        </w:r>
                        <w:r>
                          <w:rPr>
                            <w:spacing w:val="-10"/>
                            <w:sz w:val="18"/>
                          </w:rPr>
                          <w:t>$</w:t>
                        </w:r>
                        <w:r>
                          <w:rPr>
                            <w:sz w:val="18"/>
                          </w:rPr>
                          <w:tab/>
                        </w:r>
                        <w:r>
                          <w:rPr>
                            <w:spacing w:val="-2"/>
                            <w:sz w:val="18"/>
                          </w:rPr>
                          <w:t>45,418</w:t>
                        </w:r>
                        <w:r>
                          <w:rPr>
                            <w:sz w:val="18"/>
                          </w:rPr>
                          <w:tab/>
                          <w:t>November</w:t>
                        </w:r>
                        <w:r>
                          <w:rPr>
                            <w:spacing w:val="-3"/>
                            <w:sz w:val="18"/>
                          </w:rPr>
                          <w:t> </w:t>
                        </w:r>
                        <w:r>
                          <w:rPr>
                            <w:sz w:val="18"/>
                          </w:rPr>
                          <w:t>2023 -</w:t>
                        </w:r>
                        <w:r>
                          <w:rPr>
                            <w:spacing w:val="-1"/>
                            <w:sz w:val="18"/>
                          </w:rPr>
                          <w:t> </w:t>
                        </w:r>
                        <w:r>
                          <w:rPr>
                            <w:sz w:val="18"/>
                          </w:rPr>
                          <w:t>April </w:t>
                        </w:r>
                        <w:r>
                          <w:rPr>
                            <w:spacing w:val="-4"/>
                            <w:sz w:val="18"/>
                          </w:rPr>
                          <w:t>2025</w:t>
                        </w:r>
                        <w:r>
                          <w:rPr>
                            <w:sz w:val="18"/>
                          </w:rPr>
                          <w:tab/>
                        </w:r>
                        <w:r>
                          <w:rPr>
                            <w:spacing w:val="-2"/>
                            <w:sz w:val="18"/>
                          </w:rPr>
                          <w:t>5.06%</w:t>
                        </w:r>
                      </w:p>
                    </w:txbxContent>
                  </v:textbox>
                  <w10:wrap type="none"/>
                </v:shape>
                <w10:wrap type="topAndBottom"/>
              </v:group>
            </w:pict>
          </mc:Fallback>
        </mc:AlternateContent>
      </w:r>
      <w:r>
        <w:rPr/>
        <w:t>In</w:t>
      </w:r>
      <w:r>
        <w:rPr>
          <w:spacing w:val="-2"/>
        </w:rPr>
        <w:t> </w:t>
      </w:r>
      <w:r>
        <w:rPr/>
        <w:t>the</w:t>
      </w:r>
      <w:r>
        <w:rPr>
          <w:spacing w:val="-3"/>
        </w:rPr>
        <w:t> </w:t>
      </w:r>
      <w:r>
        <w:rPr/>
        <w:t>fourth</w:t>
      </w:r>
      <w:r>
        <w:rPr>
          <w:spacing w:val="-2"/>
        </w:rPr>
        <w:t> </w:t>
      </w:r>
      <w:r>
        <w:rPr/>
        <w:t>quarter</w:t>
      </w:r>
      <w:r>
        <w:rPr>
          <w:spacing w:val="-2"/>
        </w:rPr>
        <w:t> </w:t>
      </w:r>
      <w:r>
        <w:rPr/>
        <w:t>of</w:t>
      </w:r>
      <w:r>
        <w:rPr>
          <w:spacing w:val="-2"/>
        </w:rPr>
        <w:t> </w:t>
      </w:r>
      <w:r>
        <w:rPr/>
        <w:t>2022</w:t>
      </w:r>
      <w:r>
        <w:rPr>
          <w:spacing w:val="-2"/>
        </w:rPr>
        <w:t> </w:t>
      </w:r>
      <w:r>
        <w:rPr/>
        <w:t>and</w:t>
      </w:r>
      <w:r>
        <w:rPr>
          <w:spacing w:val="-2"/>
        </w:rPr>
        <w:t> </w:t>
      </w:r>
      <w:r>
        <w:rPr/>
        <w:t>first</w:t>
      </w:r>
      <w:r>
        <w:rPr>
          <w:spacing w:val="-3"/>
        </w:rPr>
        <w:t> </w:t>
      </w:r>
      <w:r>
        <w:rPr/>
        <w:t>nine</w:t>
      </w:r>
      <w:r>
        <w:rPr>
          <w:spacing w:val="-3"/>
        </w:rPr>
        <w:t> </w:t>
      </w:r>
      <w:r>
        <w:rPr/>
        <w:t>months</w:t>
      </w:r>
      <w:r>
        <w:rPr>
          <w:spacing w:val="-3"/>
        </w:rPr>
        <w:t> </w:t>
      </w:r>
      <w:r>
        <w:rPr/>
        <w:t>of</w:t>
      </w:r>
      <w:r>
        <w:rPr>
          <w:spacing w:val="-2"/>
        </w:rPr>
        <w:t> </w:t>
      </w:r>
      <w:r>
        <w:rPr/>
        <w:t>2023,</w:t>
      </w:r>
      <w:r>
        <w:rPr>
          <w:spacing w:val="-2"/>
        </w:rPr>
        <w:t> </w:t>
      </w:r>
      <w:r>
        <w:rPr/>
        <w:t>CSB</w:t>
      </w:r>
      <w:r>
        <w:rPr>
          <w:spacing w:val="-3"/>
        </w:rPr>
        <w:t> </w:t>
      </w:r>
      <w:r>
        <w:rPr/>
        <w:t>issued</w:t>
      </w:r>
      <w:r>
        <w:rPr>
          <w:spacing w:val="-2"/>
        </w:rPr>
        <w:t> </w:t>
      </w:r>
      <w:r>
        <w:rPr/>
        <w:t>brokered</w:t>
      </w:r>
      <w:r>
        <w:rPr>
          <w:spacing w:val="-2"/>
        </w:rPr>
        <w:t> </w:t>
      </w:r>
      <w:r>
        <w:rPr/>
        <w:t>CDs</w:t>
      </w:r>
      <w:r>
        <w:rPr>
          <w:spacing w:val="-3"/>
        </w:rPr>
        <w:t> </w:t>
      </w:r>
      <w:r>
        <w:rPr/>
        <w:t>as</w:t>
      </w:r>
      <w:r>
        <w:rPr>
          <w:spacing w:val="-3"/>
        </w:rPr>
        <w:t> </w:t>
      </w:r>
      <w:r>
        <w:rPr/>
        <w:t>a</w:t>
      </w:r>
      <w:r>
        <w:rPr>
          <w:spacing w:val="-3"/>
        </w:rPr>
        <w:t> </w:t>
      </w:r>
      <w:r>
        <w:rPr/>
        <w:t>supplemental</w:t>
      </w:r>
      <w:r>
        <w:rPr>
          <w:spacing w:val="-3"/>
        </w:rPr>
        <w:t> </w:t>
      </w:r>
      <w:r>
        <w:rPr/>
        <w:t>funding</w:t>
      </w:r>
      <w:r>
        <w:rPr>
          <w:spacing w:val="-2"/>
        </w:rPr>
        <w:t> </w:t>
      </w:r>
      <w:r>
        <w:rPr/>
        <w:t>source.</w:t>
      </w:r>
      <w:r>
        <w:rPr>
          <w:spacing w:val="-2"/>
        </w:rPr>
        <w:t> </w:t>
      </w:r>
      <w:r>
        <w:rPr/>
        <w:t>The following table provides information about brokered CDs issued by CSB and outstanding as of September 30, 2023:</w:t>
      </w:r>
    </w:p>
    <w:p>
      <w:pPr>
        <w:pStyle w:val="BodyText"/>
        <w:spacing w:before="57"/>
      </w:pPr>
    </w:p>
    <w:p>
      <w:pPr>
        <w:spacing w:before="0"/>
        <w:ind w:left="470" w:right="0" w:firstLine="0"/>
        <w:jc w:val="left"/>
        <w:rPr>
          <w:i/>
          <w:sz w:val="20"/>
        </w:rPr>
      </w:pPr>
      <w:r>
        <w:rPr>
          <w:i/>
          <w:sz w:val="20"/>
        </w:rPr>
        <w:t>Cash</w:t>
      </w:r>
      <w:r>
        <w:rPr>
          <w:i/>
          <w:spacing w:val="-3"/>
          <w:sz w:val="20"/>
        </w:rPr>
        <w:t> </w:t>
      </w:r>
      <w:r>
        <w:rPr>
          <w:i/>
          <w:sz w:val="20"/>
        </w:rPr>
        <w:t>Flow</w:t>
      </w:r>
      <w:r>
        <w:rPr>
          <w:i/>
          <w:spacing w:val="-2"/>
          <w:sz w:val="20"/>
        </w:rPr>
        <w:t> Activity</w:t>
      </w:r>
    </w:p>
    <w:p>
      <w:pPr>
        <w:pStyle w:val="BodyText"/>
        <w:spacing w:before="19"/>
        <w:rPr>
          <w:i/>
        </w:rPr>
      </w:pPr>
    </w:p>
    <w:p>
      <w:pPr>
        <w:pStyle w:val="BodyText"/>
        <w:spacing w:line="249" w:lineRule="auto" w:before="1"/>
        <w:ind w:left="470" w:right="566"/>
      </w:pPr>
      <w:r>
        <w:rPr/>
        <w:t>As</w:t>
      </w:r>
      <w:r>
        <w:rPr>
          <w:spacing w:val="-3"/>
        </w:rPr>
        <w:t> </w:t>
      </w:r>
      <w:r>
        <w:rPr/>
        <w:t>a</w:t>
      </w:r>
      <w:r>
        <w:rPr>
          <w:spacing w:val="-3"/>
        </w:rPr>
        <w:t> </w:t>
      </w:r>
      <w:r>
        <w:rPr/>
        <w:t>result</w:t>
      </w:r>
      <w:r>
        <w:rPr>
          <w:spacing w:val="-3"/>
        </w:rPr>
        <w:t> </w:t>
      </w:r>
      <w:r>
        <w:rPr/>
        <w:t>of</w:t>
      </w:r>
      <w:r>
        <w:rPr>
          <w:spacing w:val="-2"/>
        </w:rPr>
        <w:t> </w:t>
      </w:r>
      <w:r>
        <w:rPr/>
        <w:t>rapidly</w:t>
      </w:r>
      <w:r>
        <w:rPr>
          <w:spacing w:val="-2"/>
        </w:rPr>
        <w:t> </w:t>
      </w:r>
      <w:r>
        <w:rPr/>
        <w:t>increasing</w:t>
      </w:r>
      <w:r>
        <w:rPr>
          <w:spacing w:val="-2"/>
        </w:rPr>
        <w:t> </w:t>
      </w:r>
      <w:r>
        <w:rPr/>
        <w:t>short-term</w:t>
      </w:r>
      <w:r>
        <w:rPr>
          <w:spacing w:val="-3"/>
        </w:rPr>
        <w:t> </w:t>
      </w:r>
      <w:r>
        <w:rPr/>
        <w:t>interest</w:t>
      </w:r>
      <w:r>
        <w:rPr>
          <w:spacing w:val="-3"/>
        </w:rPr>
        <w:t> </w:t>
      </w:r>
      <w:r>
        <w:rPr/>
        <w:t>rates</w:t>
      </w:r>
      <w:r>
        <w:rPr>
          <w:spacing w:val="-3"/>
        </w:rPr>
        <w:t> </w:t>
      </w:r>
      <w:r>
        <w:rPr/>
        <w:t>beginning</w:t>
      </w:r>
      <w:r>
        <w:rPr>
          <w:spacing w:val="-2"/>
        </w:rPr>
        <w:t> </w:t>
      </w:r>
      <w:r>
        <w:rPr/>
        <w:t>in</w:t>
      </w:r>
      <w:r>
        <w:rPr>
          <w:spacing w:val="-2"/>
        </w:rPr>
        <w:t> </w:t>
      </w:r>
      <w:r>
        <w:rPr/>
        <w:t>2022,</w:t>
      </w:r>
      <w:r>
        <w:rPr>
          <w:spacing w:val="-2"/>
        </w:rPr>
        <w:t> </w:t>
      </w:r>
      <w:r>
        <w:rPr/>
        <w:t>the</w:t>
      </w:r>
      <w:r>
        <w:rPr>
          <w:spacing w:val="-3"/>
        </w:rPr>
        <w:t> </w:t>
      </w:r>
      <w:r>
        <w:rPr/>
        <w:t>Company</w:t>
      </w:r>
      <w:r>
        <w:rPr>
          <w:spacing w:val="-2"/>
        </w:rPr>
        <w:t> </w:t>
      </w:r>
      <w:r>
        <w:rPr/>
        <w:t>saw</w:t>
      </w:r>
      <w:r>
        <w:rPr>
          <w:spacing w:val="-3"/>
        </w:rPr>
        <w:t> </w:t>
      </w:r>
      <w:r>
        <w:rPr/>
        <w:t>an</w:t>
      </w:r>
      <w:r>
        <w:rPr>
          <w:spacing w:val="-2"/>
        </w:rPr>
        <w:t> </w:t>
      </w:r>
      <w:r>
        <w:rPr/>
        <w:t>increase</w:t>
      </w:r>
      <w:r>
        <w:rPr>
          <w:spacing w:val="-3"/>
        </w:rPr>
        <w:t> </w:t>
      </w:r>
      <w:r>
        <w:rPr/>
        <w:t>in</w:t>
      </w:r>
      <w:r>
        <w:rPr>
          <w:spacing w:val="-2"/>
        </w:rPr>
        <w:t> </w:t>
      </w:r>
      <w:r>
        <w:rPr/>
        <w:t>the</w:t>
      </w:r>
      <w:r>
        <w:rPr>
          <w:spacing w:val="-3"/>
        </w:rPr>
        <w:t> </w:t>
      </w:r>
      <w:r>
        <w:rPr/>
        <w:t>pace</w:t>
      </w:r>
      <w:r>
        <w:rPr>
          <w:spacing w:val="-3"/>
        </w:rPr>
        <w:t> </w:t>
      </w:r>
      <w:r>
        <w:rPr/>
        <w:t>at</w:t>
      </w:r>
      <w:r>
        <w:rPr>
          <w:spacing w:val="-3"/>
        </w:rPr>
        <w:t> </w:t>
      </w:r>
      <w:r>
        <w:rPr/>
        <w:t>which clients moved certain cash balances out of our sweep features and into higher yielding alternatives. As a result of these outflows,</w:t>
      </w:r>
      <w:r>
        <w:rPr>
          <w:spacing w:val="-2"/>
        </w:rPr>
        <w:t> </w:t>
      </w:r>
      <w:r>
        <w:rPr/>
        <w:t>our</w:t>
      </w:r>
      <w:r>
        <w:rPr>
          <w:spacing w:val="-2"/>
        </w:rPr>
        <w:t> </w:t>
      </w:r>
      <w:r>
        <w:rPr/>
        <w:t>banking</w:t>
      </w:r>
      <w:r>
        <w:rPr>
          <w:spacing w:val="-2"/>
        </w:rPr>
        <w:t> </w:t>
      </w:r>
      <w:r>
        <w:rPr/>
        <w:t>subsidiaries</w:t>
      </w:r>
      <w:r>
        <w:rPr>
          <w:spacing w:val="-3"/>
        </w:rPr>
        <w:t> </w:t>
      </w:r>
      <w:r>
        <w:rPr/>
        <w:t>have</w:t>
      </w:r>
      <w:r>
        <w:rPr>
          <w:spacing w:val="-3"/>
        </w:rPr>
        <w:t> </w:t>
      </w:r>
      <w:r>
        <w:rPr/>
        <w:t>supplemented</w:t>
      </w:r>
      <w:r>
        <w:rPr>
          <w:spacing w:val="-2"/>
        </w:rPr>
        <w:t> </w:t>
      </w:r>
      <w:r>
        <w:rPr/>
        <w:t>excess</w:t>
      </w:r>
      <w:r>
        <w:rPr>
          <w:spacing w:val="-3"/>
        </w:rPr>
        <w:t> </w:t>
      </w:r>
      <w:r>
        <w:rPr/>
        <w:t>cash</w:t>
      </w:r>
      <w:r>
        <w:rPr>
          <w:spacing w:val="-2"/>
        </w:rPr>
        <w:t> </w:t>
      </w:r>
      <w:r>
        <w:rPr/>
        <w:t>on</w:t>
      </w:r>
      <w:r>
        <w:rPr>
          <w:spacing w:val="-2"/>
        </w:rPr>
        <w:t> </w:t>
      </w:r>
      <w:r>
        <w:rPr/>
        <w:t>hand</w:t>
      </w:r>
      <w:r>
        <w:rPr>
          <w:spacing w:val="-2"/>
        </w:rPr>
        <w:t> </w:t>
      </w:r>
      <w:r>
        <w:rPr/>
        <w:t>and</w:t>
      </w:r>
      <w:r>
        <w:rPr>
          <w:spacing w:val="-2"/>
        </w:rPr>
        <w:t> </w:t>
      </w:r>
      <w:r>
        <w:rPr/>
        <w:t>cash</w:t>
      </w:r>
      <w:r>
        <w:rPr>
          <w:spacing w:val="-2"/>
        </w:rPr>
        <w:t> </w:t>
      </w:r>
      <w:r>
        <w:rPr/>
        <w:t>generated</w:t>
      </w:r>
      <w:r>
        <w:rPr>
          <w:spacing w:val="-2"/>
        </w:rPr>
        <w:t> </w:t>
      </w:r>
      <w:r>
        <w:rPr/>
        <w:t>by</w:t>
      </w:r>
      <w:r>
        <w:rPr>
          <w:spacing w:val="-2"/>
        </w:rPr>
        <w:t> </w:t>
      </w:r>
      <w:r>
        <w:rPr/>
        <w:t>maturities</w:t>
      </w:r>
      <w:r>
        <w:rPr>
          <w:spacing w:val="-3"/>
        </w:rPr>
        <w:t> </w:t>
      </w:r>
      <w:r>
        <w:rPr/>
        <w:t>and</w:t>
      </w:r>
      <w:r>
        <w:rPr>
          <w:spacing w:val="-2"/>
        </w:rPr>
        <w:t> </w:t>
      </w:r>
      <w:r>
        <w:rPr/>
        <w:t>paydowns</w:t>
      </w:r>
      <w:r>
        <w:rPr>
          <w:spacing w:val="-3"/>
        </w:rPr>
        <w:t> </w:t>
      </w:r>
      <w:r>
        <w:rPr/>
        <w:t>on our investment securities portfolios with fixed- and floating-rate FHLB advances, repurchase agreements, and issuances of brokered CDs. The average daily pace of client cash allocations out of our sweep products into higher yielding investment solutions decreased significantly beginning in the second quarter of 2023, and, apart from an increase in August following the Federal Reserve’s July rate increase, continued to decline during the third quarter of 2023 to its slowest pace since the beginning of the current interest rate tightening cycle.</w:t>
      </w:r>
    </w:p>
    <w:p>
      <w:pPr>
        <w:pStyle w:val="BodyText"/>
        <w:spacing w:before="16"/>
      </w:pPr>
    </w:p>
    <w:p>
      <w:pPr>
        <w:pStyle w:val="BodyText"/>
        <w:spacing w:line="249" w:lineRule="auto"/>
        <w:ind w:left="470" w:right="470"/>
      </w:pPr>
      <w:r>
        <w:rPr/>
        <w:t>In the third quarter of 2023, the Company’s FHLB borrowings and other short-term borrowings decreased by $9.5 billion as a result</w:t>
      </w:r>
      <w:r>
        <w:rPr>
          <w:spacing w:val="-4"/>
        </w:rPr>
        <w:t> </w:t>
      </w:r>
      <w:r>
        <w:rPr/>
        <w:t>of</w:t>
      </w:r>
      <w:r>
        <w:rPr>
          <w:spacing w:val="-3"/>
        </w:rPr>
        <w:t> </w:t>
      </w:r>
      <w:r>
        <w:rPr/>
        <w:t>repayments</w:t>
      </w:r>
      <w:r>
        <w:rPr>
          <w:spacing w:val="-4"/>
        </w:rPr>
        <w:t> </w:t>
      </w:r>
      <w:r>
        <w:rPr/>
        <w:t>during</w:t>
      </w:r>
      <w:r>
        <w:rPr>
          <w:spacing w:val="-3"/>
        </w:rPr>
        <w:t> </w:t>
      </w:r>
      <w:r>
        <w:rPr/>
        <w:t>the</w:t>
      </w:r>
      <w:r>
        <w:rPr>
          <w:spacing w:val="-4"/>
        </w:rPr>
        <w:t> </w:t>
      </w:r>
      <w:r>
        <w:rPr/>
        <w:t>period.</w:t>
      </w:r>
      <w:r>
        <w:rPr>
          <w:spacing w:val="-3"/>
        </w:rPr>
        <w:t> </w:t>
      </w:r>
      <w:r>
        <w:rPr/>
        <w:t>Bank</w:t>
      </w:r>
      <w:r>
        <w:rPr>
          <w:spacing w:val="-3"/>
        </w:rPr>
        <w:t> </w:t>
      </w:r>
      <w:r>
        <w:rPr/>
        <w:t>deposits</w:t>
      </w:r>
      <w:r>
        <w:rPr>
          <w:spacing w:val="-4"/>
        </w:rPr>
        <w:t> </w:t>
      </w:r>
      <w:r>
        <w:rPr/>
        <w:t>decreased</w:t>
      </w:r>
      <w:r>
        <w:rPr>
          <w:spacing w:val="-3"/>
        </w:rPr>
        <w:t> </w:t>
      </w:r>
      <w:r>
        <w:rPr/>
        <w:t>during</w:t>
      </w:r>
      <w:r>
        <w:rPr>
          <w:spacing w:val="-3"/>
        </w:rPr>
        <w:t> </w:t>
      </w:r>
      <w:r>
        <w:rPr/>
        <w:t>the</w:t>
      </w:r>
      <w:r>
        <w:rPr>
          <w:spacing w:val="-4"/>
        </w:rPr>
        <w:t> </w:t>
      </w:r>
      <w:r>
        <w:rPr/>
        <w:t>third</w:t>
      </w:r>
      <w:r>
        <w:rPr>
          <w:spacing w:val="-3"/>
        </w:rPr>
        <w:t> </w:t>
      </w:r>
      <w:r>
        <w:rPr/>
        <w:t>quarter</w:t>
      </w:r>
      <w:r>
        <w:rPr>
          <w:spacing w:val="-3"/>
        </w:rPr>
        <w:t> </w:t>
      </w:r>
      <w:r>
        <w:rPr/>
        <w:t>of</w:t>
      </w:r>
      <w:r>
        <w:rPr>
          <w:spacing w:val="-3"/>
        </w:rPr>
        <w:t> </w:t>
      </w:r>
      <w:r>
        <w:rPr/>
        <w:t>2023</w:t>
      </w:r>
      <w:r>
        <w:rPr>
          <w:spacing w:val="-3"/>
        </w:rPr>
        <w:t> </w:t>
      </w:r>
      <w:r>
        <w:rPr/>
        <w:t>by</w:t>
      </w:r>
      <w:r>
        <w:rPr>
          <w:spacing w:val="-3"/>
        </w:rPr>
        <w:t> </w:t>
      </w:r>
      <w:r>
        <w:rPr/>
        <w:t>$20.0</w:t>
      </w:r>
      <w:r>
        <w:rPr>
          <w:spacing w:val="-3"/>
        </w:rPr>
        <w:t> </w:t>
      </w:r>
      <w:r>
        <w:rPr/>
        <w:t>billion,</w:t>
      </w:r>
      <w:r>
        <w:rPr>
          <w:spacing w:val="-3"/>
        </w:rPr>
        <w:t> </w:t>
      </w:r>
      <w:r>
        <w:rPr/>
        <w:t>resulting</w:t>
      </w:r>
      <w:r>
        <w:rPr>
          <w:spacing w:val="-3"/>
        </w:rPr>
        <w:t> </w:t>
      </w:r>
      <w:r>
        <w:rPr/>
        <w:t>from a decrease of $23.1 billion in deposits swept from brokerage accounts due to client cash allocations, partially offset by a net increase in brokered CDs of $4.1 billion.</w:t>
      </w:r>
    </w:p>
    <w:p>
      <w:pPr>
        <w:pStyle w:val="BodyText"/>
        <w:spacing w:before="13"/>
      </w:pPr>
    </w:p>
    <w:p>
      <w:pPr>
        <w:pStyle w:val="BodyText"/>
        <w:spacing w:before="1"/>
        <w:ind w:left="470"/>
      </w:pPr>
      <w:r>
        <w:rPr/>
        <w:t>During</w:t>
      </w:r>
      <w:r>
        <w:rPr>
          <w:spacing w:val="-5"/>
        </w:rPr>
        <w:t> </w:t>
      </w:r>
      <w:r>
        <w:rPr/>
        <w:t>the</w:t>
      </w:r>
      <w:r>
        <w:rPr>
          <w:spacing w:val="-4"/>
        </w:rPr>
        <w:t> </w:t>
      </w:r>
      <w:r>
        <w:rPr/>
        <w:t>first</w:t>
      </w:r>
      <w:r>
        <w:rPr>
          <w:spacing w:val="-4"/>
        </w:rPr>
        <w:t> </w:t>
      </w:r>
      <w:r>
        <w:rPr/>
        <w:t>nine</w:t>
      </w:r>
      <w:r>
        <w:rPr>
          <w:spacing w:val="-3"/>
        </w:rPr>
        <w:t> </w:t>
      </w:r>
      <w:r>
        <w:rPr/>
        <w:t>months</w:t>
      </w:r>
      <w:r>
        <w:rPr>
          <w:spacing w:val="-4"/>
        </w:rPr>
        <w:t> </w:t>
      </w:r>
      <w:r>
        <w:rPr/>
        <w:t>of</w:t>
      </w:r>
      <w:r>
        <w:rPr>
          <w:spacing w:val="-3"/>
        </w:rPr>
        <w:t> </w:t>
      </w:r>
      <w:r>
        <w:rPr/>
        <w:t>2023,</w:t>
      </w:r>
      <w:r>
        <w:rPr>
          <w:spacing w:val="-2"/>
        </w:rPr>
        <w:t> </w:t>
      </w:r>
      <w:r>
        <w:rPr/>
        <w:t>the</w:t>
      </w:r>
      <w:r>
        <w:rPr>
          <w:spacing w:val="-4"/>
        </w:rPr>
        <w:t> </w:t>
      </w:r>
      <w:r>
        <w:rPr/>
        <w:t>Company’s</w:t>
      </w:r>
      <w:r>
        <w:rPr>
          <w:spacing w:val="-4"/>
        </w:rPr>
        <w:t> </w:t>
      </w:r>
      <w:r>
        <w:rPr/>
        <w:t>cash</w:t>
      </w:r>
      <w:r>
        <w:rPr>
          <w:spacing w:val="-2"/>
        </w:rPr>
        <w:t> </w:t>
      </w:r>
      <w:r>
        <w:rPr/>
        <w:t>and</w:t>
      </w:r>
      <w:r>
        <w:rPr>
          <w:spacing w:val="-3"/>
        </w:rPr>
        <w:t> </w:t>
      </w:r>
      <w:r>
        <w:rPr/>
        <w:t>cash</w:t>
      </w:r>
      <w:r>
        <w:rPr>
          <w:spacing w:val="-3"/>
        </w:rPr>
        <w:t> </w:t>
      </w:r>
      <w:r>
        <w:rPr/>
        <w:t>equivalents,</w:t>
      </w:r>
      <w:r>
        <w:rPr>
          <w:spacing w:val="-3"/>
        </w:rPr>
        <w:t> </w:t>
      </w:r>
      <w:r>
        <w:rPr/>
        <w:t>excluding</w:t>
      </w:r>
      <w:r>
        <w:rPr>
          <w:spacing w:val="-2"/>
        </w:rPr>
        <w:t> </w:t>
      </w:r>
      <w:r>
        <w:rPr/>
        <w:t>amounts</w:t>
      </w:r>
      <w:r>
        <w:rPr>
          <w:spacing w:val="-4"/>
        </w:rPr>
        <w:t> </w:t>
      </w:r>
      <w:r>
        <w:rPr/>
        <w:t>restricted,</w:t>
      </w:r>
      <w:r>
        <w:rPr>
          <w:spacing w:val="-3"/>
        </w:rPr>
        <w:t> </w:t>
      </w:r>
      <w:r>
        <w:rPr/>
        <w:t>decreased</w:t>
      </w:r>
      <w:r>
        <w:rPr>
          <w:spacing w:val="-2"/>
        </w:rPr>
        <w:t> </w:t>
      </w:r>
      <w:r>
        <w:rPr>
          <w:spacing w:val="-5"/>
        </w:rPr>
        <w:t>by</w:t>
      </w:r>
    </w:p>
    <w:p>
      <w:pPr>
        <w:pStyle w:val="BodyText"/>
        <w:spacing w:line="249" w:lineRule="auto" w:before="10"/>
        <w:ind w:left="470" w:right="566"/>
      </w:pPr>
      <w:r>
        <w:rPr/>
        <w:t>$6.9 billion to $33.3 billion as of September 30, 2023. This decrease was driven by net cash used for financing activities, partially</w:t>
      </w:r>
      <w:r>
        <w:rPr>
          <w:spacing w:val="-2"/>
        </w:rPr>
        <w:t> </w:t>
      </w:r>
      <w:r>
        <w:rPr/>
        <w:t>offset</w:t>
      </w:r>
      <w:r>
        <w:rPr>
          <w:spacing w:val="-3"/>
        </w:rPr>
        <w:t> </w:t>
      </w:r>
      <w:r>
        <w:rPr/>
        <w:t>by</w:t>
      </w:r>
      <w:r>
        <w:rPr>
          <w:spacing w:val="-2"/>
        </w:rPr>
        <w:t> </w:t>
      </w:r>
      <w:r>
        <w:rPr/>
        <w:t>net</w:t>
      </w:r>
      <w:r>
        <w:rPr>
          <w:spacing w:val="-3"/>
        </w:rPr>
        <w:t> </w:t>
      </w:r>
      <w:r>
        <w:rPr/>
        <w:t>cash</w:t>
      </w:r>
      <w:r>
        <w:rPr>
          <w:spacing w:val="-2"/>
        </w:rPr>
        <w:t> </w:t>
      </w:r>
      <w:r>
        <w:rPr/>
        <w:t>provided</w:t>
      </w:r>
      <w:r>
        <w:rPr>
          <w:spacing w:val="-2"/>
        </w:rPr>
        <w:t> </w:t>
      </w:r>
      <w:r>
        <w:rPr/>
        <w:t>by</w:t>
      </w:r>
      <w:r>
        <w:rPr>
          <w:spacing w:val="-2"/>
        </w:rPr>
        <w:t> </w:t>
      </w:r>
      <w:r>
        <w:rPr/>
        <w:t>investing</w:t>
      </w:r>
      <w:r>
        <w:rPr>
          <w:spacing w:val="-2"/>
        </w:rPr>
        <w:t> </w:t>
      </w:r>
      <w:r>
        <w:rPr/>
        <w:t>activities.</w:t>
      </w:r>
      <w:r>
        <w:rPr>
          <w:spacing w:val="-2"/>
        </w:rPr>
        <w:t> </w:t>
      </w:r>
      <w:r>
        <w:rPr/>
        <w:t>Bank</w:t>
      </w:r>
      <w:r>
        <w:rPr>
          <w:spacing w:val="-2"/>
        </w:rPr>
        <w:t> </w:t>
      </w:r>
      <w:r>
        <w:rPr/>
        <w:t>deposits</w:t>
      </w:r>
      <w:r>
        <w:rPr>
          <w:spacing w:val="-3"/>
        </w:rPr>
        <w:t> </w:t>
      </w:r>
      <w:r>
        <w:rPr/>
        <w:t>decreased</w:t>
      </w:r>
      <w:r>
        <w:rPr>
          <w:spacing w:val="-2"/>
        </w:rPr>
        <w:t> </w:t>
      </w:r>
      <w:r>
        <w:rPr/>
        <w:t>by</w:t>
      </w:r>
      <w:r>
        <w:rPr>
          <w:spacing w:val="-2"/>
        </w:rPr>
        <w:t> </w:t>
      </w:r>
      <w:r>
        <w:rPr/>
        <w:t>a</w:t>
      </w:r>
      <w:r>
        <w:rPr>
          <w:spacing w:val="-3"/>
        </w:rPr>
        <w:t> </w:t>
      </w:r>
      <w:r>
        <w:rPr/>
        <w:t>total</w:t>
      </w:r>
      <w:r>
        <w:rPr>
          <w:spacing w:val="-3"/>
        </w:rPr>
        <w:t> </w:t>
      </w:r>
      <w:r>
        <w:rPr/>
        <w:t>of</w:t>
      </w:r>
      <w:r>
        <w:rPr>
          <w:spacing w:val="-2"/>
        </w:rPr>
        <w:t> </w:t>
      </w:r>
      <w:r>
        <w:rPr/>
        <w:t>$82.3</w:t>
      </w:r>
      <w:r>
        <w:rPr>
          <w:spacing w:val="-2"/>
        </w:rPr>
        <w:t> </w:t>
      </w:r>
      <w:r>
        <w:rPr/>
        <w:t>billion</w:t>
      </w:r>
      <w:r>
        <w:rPr>
          <w:spacing w:val="-2"/>
        </w:rPr>
        <w:t> </w:t>
      </w:r>
      <w:r>
        <w:rPr/>
        <w:t>during</w:t>
      </w:r>
      <w:r>
        <w:rPr>
          <w:spacing w:val="-2"/>
        </w:rPr>
        <w:t> </w:t>
      </w:r>
      <w:r>
        <w:rPr/>
        <w:t>the</w:t>
      </w:r>
      <w:r>
        <w:rPr>
          <w:spacing w:val="-3"/>
        </w:rPr>
        <w:t> </w:t>
      </w:r>
      <w:r>
        <w:rPr/>
        <w:t>first nine</w:t>
      </w:r>
      <w:r>
        <w:rPr>
          <w:spacing w:val="-3"/>
        </w:rPr>
        <w:t> </w:t>
      </w:r>
      <w:r>
        <w:rPr/>
        <w:t>months</w:t>
      </w:r>
      <w:r>
        <w:rPr>
          <w:spacing w:val="-3"/>
        </w:rPr>
        <w:t> </w:t>
      </w:r>
      <w:r>
        <w:rPr/>
        <w:t>of</w:t>
      </w:r>
      <w:r>
        <w:rPr>
          <w:spacing w:val="-2"/>
        </w:rPr>
        <w:t> </w:t>
      </w:r>
      <w:r>
        <w:rPr/>
        <w:t>2023;</w:t>
      </w:r>
      <w:r>
        <w:rPr>
          <w:spacing w:val="-3"/>
        </w:rPr>
        <w:t> </w:t>
      </w:r>
      <w:r>
        <w:rPr/>
        <w:t>this</w:t>
      </w:r>
      <w:r>
        <w:rPr>
          <w:spacing w:val="-3"/>
        </w:rPr>
        <w:t> </w:t>
      </w:r>
      <w:r>
        <w:rPr/>
        <w:t>was</w:t>
      </w:r>
      <w:r>
        <w:rPr>
          <w:spacing w:val="-3"/>
        </w:rPr>
        <w:t> </w:t>
      </w:r>
      <w:r>
        <w:rPr/>
        <w:t>driven</w:t>
      </w:r>
      <w:r>
        <w:rPr>
          <w:spacing w:val="-2"/>
        </w:rPr>
        <w:t> </w:t>
      </w:r>
      <w:r>
        <w:rPr/>
        <w:t>by</w:t>
      </w:r>
      <w:r>
        <w:rPr>
          <w:spacing w:val="-2"/>
        </w:rPr>
        <w:t> </w:t>
      </w:r>
      <w:r>
        <w:rPr/>
        <w:t>a</w:t>
      </w:r>
      <w:r>
        <w:rPr>
          <w:spacing w:val="-3"/>
        </w:rPr>
        <w:t> </w:t>
      </w:r>
      <w:r>
        <w:rPr/>
        <w:t>decrease</w:t>
      </w:r>
      <w:r>
        <w:rPr>
          <w:spacing w:val="-3"/>
        </w:rPr>
        <w:t> </w:t>
      </w:r>
      <w:r>
        <w:rPr/>
        <w:t>of</w:t>
      </w:r>
      <w:r>
        <w:rPr>
          <w:spacing w:val="-2"/>
        </w:rPr>
        <w:t> </w:t>
      </w:r>
      <w:r>
        <w:rPr/>
        <w:t>$116.2</w:t>
      </w:r>
      <w:r>
        <w:rPr>
          <w:spacing w:val="-2"/>
        </w:rPr>
        <w:t> </w:t>
      </w:r>
      <w:r>
        <w:rPr/>
        <w:t>billion</w:t>
      </w:r>
      <w:r>
        <w:rPr>
          <w:spacing w:val="-2"/>
        </w:rPr>
        <w:t> </w:t>
      </w:r>
      <w:r>
        <w:rPr/>
        <w:t>in</w:t>
      </w:r>
      <w:r>
        <w:rPr>
          <w:spacing w:val="-2"/>
        </w:rPr>
        <w:t> </w:t>
      </w:r>
      <w:r>
        <w:rPr/>
        <w:t>deposits</w:t>
      </w:r>
      <w:r>
        <w:rPr>
          <w:spacing w:val="-3"/>
        </w:rPr>
        <w:t> </w:t>
      </w:r>
      <w:r>
        <w:rPr/>
        <w:t>swept</w:t>
      </w:r>
      <w:r>
        <w:rPr>
          <w:spacing w:val="-3"/>
        </w:rPr>
        <w:t> </w:t>
      </w:r>
      <w:r>
        <w:rPr/>
        <w:t>from</w:t>
      </w:r>
      <w:r>
        <w:rPr>
          <w:spacing w:val="-3"/>
        </w:rPr>
        <w:t> </w:t>
      </w:r>
      <w:r>
        <w:rPr/>
        <w:t>brokerage</w:t>
      </w:r>
      <w:r>
        <w:rPr>
          <w:spacing w:val="-3"/>
        </w:rPr>
        <w:t> </w:t>
      </w:r>
      <w:r>
        <w:rPr/>
        <w:t>accounts</w:t>
      </w:r>
      <w:r>
        <w:rPr>
          <w:spacing w:val="-3"/>
        </w:rPr>
        <w:t> </w:t>
      </w:r>
      <w:r>
        <w:rPr/>
        <w:t>due</w:t>
      </w:r>
      <w:r>
        <w:rPr>
          <w:spacing w:val="-3"/>
        </w:rPr>
        <w:t> </w:t>
      </w:r>
      <w:r>
        <w:rPr/>
        <w:t>primarily to clients’ cash allocation decisions described above, partially offset by a net increase in brokered CDs of $39.4 billion.</w:t>
      </w:r>
    </w:p>
    <w:p>
      <w:pPr>
        <w:pStyle w:val="BodyText"/>
        <w:spacing w:line="249" w:lineRule="auto" w:before="3"/>
        <w:ind w:left="470" w:right="500"/>
      </w:pPr>
      <w:r>
        <w:rPr/>
        <w:t>Offsetting</w:t>
      </w:r>
      <w:r>
        <w:rPr>
          <w:spacing w:val="-2"/>
        </w:rPr>
        <w:t> </w:t>
      </w:r>
      <w:r>
        <w:rPr/>
        <w:t>the</w:t>
      </w:r>
      <w:r>
        <w:rPr>
          <w:spacing w:val="-3"/>
        </w:rPr>
        <w:t> </w:t>
      </w:r>
      <w:r>
        <w:rPr/>
        <w:t>decrease</w:t>
      </w:r>
      <w:r>
        <w:rPr>
          <w:spacing w:val="-3"/>
        </w:rPr>
        <w:t> </w:t>
      </w:r>
      <w:r>
        <w:rPr/>
        <w:t>in</w:t>
      </w:r>
      <w:r>
        <w:rPr>
          <w:spacing w:val="-2"/>
        </w:rPr>
        <w:t> </w:t>
      </w:r>
      <w:r>
        <w:rPr/>
        <w:t>bank</w:t>
      </w:r>
      <w:r>
        <w:rPr>
          <w:spacing w:val="-2"/>
        </w:rPr>
        <w:t> </w:t>
      </w:r>
      <w:r>
        <w:rPr/>
        <w:t>deposits,</w:t>
      </w:r>
      <w:r>
        <w:rPr>
          <w:spacing w:val="-2"/>
        </w:rPr>
        <w:t> </w:t>
      </w:r>
      <w:r>
        <w:rPr/>
        <w:t>investing</w:t>
      </w:r>
      <w:r>
        <w:rPr>
          <w:spacing w:val="-2"/>
        </w:rPr>
        <w:t> </w:t>
      </w:r>
      <w:r>
        <w:rPr/>
        <w:t>net</w:t>
      </w:r>
      <w:r>
        <w:rPr>
          <w:spacing w:val="-3"/>
        </w:rPr>
        <w:t> </w:t>
      </w:r>
      <w:r>
        <w:rPr/>
        <w:t>cash</w:t>
      </w:r>
      <w:r>
        <w:rPr>
          <w:spacing w:val="-2"/>
        </w:rPr>
        <w:t> </w:t>
      </w:r>
      <w:r>
        <w:rPr/>
        <w:t>flows</w:t>
      </w:r>
      <w:r>
        <w:rPr>
          <w:spacing w:val="-3"/>
        </w:rPr>
        <w:t> </w:t>
      </w:r>
      <w:r>
        <w:rPr/>
        <w:t>from</w:t>
      </w:r>
      <w:r>
        <w:rPr>
          <w:spacing w:val="-3"/>
        </w:rPr>
        <w:t> </w:t>
      </w:r>
      <w:r>
        <w:rPr/>
        <w:t>our</w:t>
      </w:r>
      <w:r>
        <w:rPr>
          <w:spacing w:val="-2"/>
        </w:rPr>
        <w:t> </w:t>
      </w:r>
      <w:r>
        <w:rPr/>
        <w:t>AFS</w:t>
      </w:r>
      <w:r>
        <w:rPr>
          <w:spacing w:val="-3"/>
        </w:rPr>
        <w:t> </w:t>
      </w:r>
      <w:r>
        <w:rPr/>
        <w:t>and</w:t>
      </w:r>
      <w:r>
        <w:rPr>
          <w:spacing w:val="-2"/>
        </w:rPr>
        <w:t> </w:t>
      </w:r>
      <w:r>
        <w:rPr/>
        <w:t>HTM</w:t>
      </w:r>
      <w:r>
        <w:rPr>
          <w:spacing w:val="-3"/>
        </w:rPr>
        <w:t> </w:t>
      </w:r>
      <w:r>
        <w:rPr/>
        <w:t>securities</w:t>
      </w:r>
      <w:r>
        <w:rPr>
          <w:spacing w:val="-3"/>
        </w:rPr>
        <w:t> </w:t>
      </w:r>
      <w:r>
        <w:rPr/>
        <w:t>totaled</w:t>
      </w:r>
      <w:r>
        <w:rPr>
          <w:spacing w:val="-2"/>
        </w:rPr>
        <w:t> </w:t>
      </w:r>
      <w:r>
        <w:rPr/>
        <w:t>$49.2</w:t>
      </w:r>
      <w:r>
        <w:rPr>
          <w:spacing w:val="-2"/>
        </w:rPr>
        <w:t> </w:t>
      </w:r>
      <w:r>
        <w:rPr/>
        <w:t>billion</w:t>
      </w:r>
      <w:r>
        <w:rPr>
          <w:spacing w:val="-2"/>
        </w:rPr>
        <w:t> </w:t>
      </w:r>
      <w:r>
        <w:rPr/>
        <w:t>in</w:t>
      </w:r>
      <w:r>
        <w:rPr>
          <w:spacing w:val="-2"/>
        </w:rPr>
        <w:t> </w:t>
      </w:r>
      <w:r>
        <w:rPr/>
        <w:t>the first nine months of 2023, and the Company increased its FHLB borrowings and other short-term borrowings by a total of</w:t>
      </w:r>
    </w:p>
    <w:p>
      <w:pPr>
        <w:pStyle w:val="BodyText"/>
        <w:spacing w:before="1"/>
        <w:ind w:left="470"/>
      </w:pPr>
      <w:r>
        <w:rPr/>
        <w:t>$22.3 </w:t>
      </w:r>
      <w:r>
        <w:rPr>
          <w:spacing w:val="-2"/>
        </w:rPr>
        <w:t>billion.</w:t>
      </w:r>
    </w:p>
    <w:p>
      <w:pPr>
        <w:spacing w:after="0"/>
        <w:sectPr>
          <w:pgSz w:w="12240" w:h="15840"/>
          <w:pgMar w:header="512" w:footer="201" w:top="1180" w:bottom="400" w:left="520" w:right="520"/>
        </w:sectPr>
      </w:pPr>
    </w:p>
    <w:p>
      <w:pPr>
        <w:spacing w:before="211"/>
        <w:ind w:left="470" w:right="0" w:firstLine="0"/>
        <w:jc w:val="left"/>
        <w:rPr>
          <w:i/>
          <w:sz w:val="20"/>
        </w:rPr>
      </w:pPr>
      <w:r>
        <w:rPr>
          <w:i/>
          <w:sz w:val="20"/>
        </w:rPr>
        <w:t>Liquidity</w:t>
      </w:r>
      <w:r>
        <w:rPr>
          <w:i/>
          <w:spacing w:val="-8"/>
          <w:sz w:val="20"/>
        </w:rPr>
        <w:t> </w:t>
      </w:r>
      <w:r>
        <w:rPr>
          <w:i/>
          <w:sz w:val="20"/>
        </w:rPr>
        <w:t>Coverage</w:t>
      </w:r>
      <w:r>
        <w:rPr>
          <w:i/>
          <w:spacing w:val="-5"/>
          <w:sz w:val="20"/>
        </w:rPr>
        <w:t> </w:t>
      </w:r>
      <w:r>
        <w:rPr>
          <w:i/>
          <w:spacing w:val="-4"/>
          <w:sz w:val="20"/>
        </w:rPr>
        <w:t>Ratio</w:t>
      </w:r>
    </w:p>
    <w:p>
      <w:pPr>
        <w:pStyle w:val="BodyText"/>
        <w:spacing w:before="20"/>
        <w:rPr>
          <w:i/>
        </w:rPr>
      </w:pPr>
    </w:p>
    <w:p>
      <w:pPr>
        <w:pStyle w:val="BodyText"/>
        <w:spacing w:line="249" w:lineRule="auto"/>
        <w:ind w:left="470" w:right="761"/>
      </w:pPr>
      <w:r>
        <w:rPr/>
        <w:t>Schwab</w:t>
      </w:r>
      <w:r>
        <w:rPr>
          <w:spacing w:val="-2"/>
        </w:rPr>
        <w:t> </w:t>
      </w:r>
      <w:r>
        <w:rPr/>
        <w:t>is</w:t>
      </w:r>
      <w:r>
        <w:rPr>
          <w:spacing w:val="-3"/>
        </w:rPr>
        <w:t> </w:t>
      </w:r>
      <w:r>
        <w:rPr/>
        <w:t>subject</w:t>
      </w:r>
      <w:r>
        <w:rPr>
          <w:spacing w:val="-3"/>
        </w:rPr>
        <w:t> </w:t>
      </w:r>
      <w:r>
        <w:rPr/>
        <w:t>to</w:t>
      </w:r>
      <w:r>
        <w:rPr>
          <w:spacing w:val="-2"/>
        </w:rPr>
        <w:t> </w:t>
      </w:r>
      <w:r>
        <w:rPr/>
        <w:t>the</w:t>
      </w:r>
      <w:r>
        <w:rPr>
          <w:spacing w:val="-3"/>
        </w:rPr>
        <w:t> </w:t>
      </w:r>
      <w:r>
        <w:rPr/>
        <w:t>full</w:t>
      </w:r>
      <w:r>
        <w:rPr>
          <w:spacing w:val="-3"/>
        </w:rPr>
        <w:t> </w:t>
      </w:r>
      <w:r>
        <w:rPr/>
        <w:t>LCR</w:t>
      </w:r>
      <w:r>
        <w:rPr>
          <w:spacing w:val="-3"/>
        </w:rPr>
        <w:t> </w:t>
      </w:r>
      <w:r>
        <w:rPr/>
        <w:t>rule,</w:t>
      </w:r>
      <w:r>
        <w:rPr>
          <w:spacing w:val="-2"/>
        </w:rPr>
        <w:t> </w:t>
      </w:r>
      <w:r>
        <w:rPr/>
        <w:t>which</w:t>
      </w:r>
      <w:r>
        <w:rPr>
          <w:spacing w:val="-2"/>
        </w:rPr>
        <w:t> </w:t>
      </w:r>
      <w:r>
        <w:rPr/>
        <w:t>requires</w:t>
      </w:r>
      <w:r>
        <w:rPr>
          <w:spacing w:val="-3"/>
        </w:rPr>
        <w:t> </w:t>
      </w:r>
      <w:r>
        <w:rPr/>
        <w:t>the</w:t>
      </w:r>
      <w:r>
        <w:rPr>
          <w:spacing w:val="-3"/>
        </w:rPr>
        <w:t> </w:t>
      </w:r>
      <w:r>
        <w:rPr/>
        <w:t>Company</w:t>
      </w:r>
      <w:r>
        <w:rPr>
          <w:spacing w:val="-2"/>
        </w:rPr>
        <w:t> </w:t>
      </w:r>
      <w:r>
        <w:rPr/>
        <w:t>to</w:t>
      </w:r>
      <w:r>
        <w:rPr>
          <w:spacing w:val="-2"/>
        </w:rPr>
        <w:t> </w:t>
      </w:r>
      <w:r>
        <w:rPr/>
        <w:t>hold</w:t>
      </w:r>
      <w:r>
        <w:rPr>
          <w:spacing w:val="-2"/>
        </w:rPr>
        <w:t> </w:t>
      </w:r>
      <w:r>
        <w:rPr/>
        <w:t>high</w:t>
      </w:r>
      <w:r>
        <w:rPr>
          <w:spacing w:val="-2"/>
        </w:rPr>
        <w:t> </w:t>
      </w:r>
      <w:r>
        <w:rPr/>
        <w:t>quality</w:t>
      </w:r>
      <w:r>
        <w:rPr>
          <w:spacing w:val="-2"/>
        </w:rPr>
        <w:t> </w:t>
      </w:r>
      <w:r>
        <w:rPr/>
        <w:t>liquid</w:t>
      </w:r>
      <w:r>
        <w:rPr>
          <w:spacing w:val="-2"/>
        </w:rPr>
        <w:t> </w:t>
      </w:r>
      <w:r>
        <w:rPr/>
        <w:t>assets</w:t>
      </w:r>
      <w:r>
        <w:rPr>
          <w:spacing w:val="-3"/>
        </w:rPr>
        <w:t> </w:t>
      </w:r>
      <w:r>
        <w:rPr/>
        <w:t>(HQLA)</w:t>
      </w:r>
      <w:r>
        <w:rPr>
          <w:spacing w:val="-2"/>
        </w:rPr>
        <w:t> </w:t>
      </w:r>
      <w:r>
        <w:rPr/>
        <w:t>in</w:t>
      </w:r>
      <w:r>
        <w:rPr>
          <w:spacing w:val="-2"/>
        </w:rPr>
        <w:t> </w:t>
      </w:r>
      <w:r>
        <w:rPr/>
        <w:t>an</w:t>
      </w:r>
      <w:r>
        <w:rPr>
          <w:spacing w:val="-2"/>
        </w:rPr>
        <w:t> </w:t>
      </w:r>
      <w:r>
        <w:rPr/>
        <w:t>amount equal to at least 100% of the Company’s projected net cash outflows over a prospective 30-calendar-day period of acute liquidity stress, calculated on each business day. See Part I – Item 1 – Business – Regulation in the 2022 Form 10-K for additional information. The Company was in compliance with the LCR rule at September 30, 2023, and the table below presents information about our average daily LCR:</w:t>
      </w:r>
    </w:p>
    <w:p>
      <w:pPr>
        <w:pStyle w:val="BodyText"/>
        <w:spacing w:before="8"/>
        <w:rPr>
          <w:sz w:val="10"/>
        </w:rPr>
      </w:pPr>
      <w:r>
        <w:rPr/>
        <mc:AlternateContent>
          <mc:Choice Requires="wps">
            <w:drawing>
              <wp:anchor distT="0" distB="0" distL="0" distR="0" allowOverlap="1" layoutInCell="1" locked="0" behindDoc="1" simplePos="0" relativeHeight="487596544">
                <wp:simplePos x="0" y="0"/>
                <wp:positionH relativeFrom="page">
                  <wp:posOffset>628650</wp:posOffset>
                </wp:positionH>
                <wp:positionV relativeFrom="paragraph">
                  <wp:posOffset>93809</wp:posOffset>
                </wp:positionV>
                <wp:extent cx="6515100" cy="6350"/>
                <wp:effectExtent l="0" t="0" r="0" b="0"/>
                <wp:wrapTopAndBottom/>
                <wp:docPr id="63" name="Group 63"/>
                <wp:cNvGraphicFramePr>
                  <a:graphicFrameLocks/>
                </wp:cNvGraphicFramePr>
                <a:graphic>
                  <a:graphicData uri="http://schemas.microsoft.com/office/word/2010/wordprocessingGroup">
                    <wpg:wgp>
                      <wpg:cNvPr id="63" name="Group 63"/>
                      <wpg:cNvGrpSpPr/>
                      <wpg:grpSpPr>
                        <a:xfrm>
                          <a:off x="0" y="0"/>
                          <a:ext cx="6515100" cy="6350"/>
                          <a:chExt cx="6515100" cy="6350"/>
                        </a:xfrm>
                      </wpg:grpSpPr>
                      <wps:wsp>
                        <wps:cNvPr id="64" name="Graphic 64"/>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65" name="Graphic 65"/>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7.386562pt;width:513pt;height:.5pt;mso-position-horizontal-relative:page;mso-position-vertical-relative:paragraph;z-index:-15719936;mso-wrap-distance-left:0;mso-wrap-distance-right:0" id="docshapegroup46" coordorigin="990,148" coordsize="10260,10">
                <v:shape style="position:absolute;left:990;top:152;width:10260;height:2" id="docshape47" coordorigin="990,153" coordsize="10260,0" path="m11250,153l990,153e" filled="true" fillcolor="#000000" stroked="false">
                  <v:path arrowok="t"/>
                  <v:fill opacity="0f" type="solid"/>
                </v:shape>
                <v:line style="position:absolute" from="990,153" to="11250,153" stroked="true" strokeweight=".5pt" strokecolor="#000000">
                  <v:stroke dashstyle="solid"/>
                </v:line>
                <w10:wrap type="topAndBottom"/>
              </v:group>
            </w:pict>
          </mc:Fallback>
        </mc:AlternateContent>
      </w:r>
    </w:p>
    <w:p>
      <w:pPr>
        <w:spacing w:before="13" w:after="30"/>
        <w:ind w:left="0" w:right="792" w:firstLine="0"/>
        <w:jc w:val="right"/>
        <w:rPr>
          <w:sz w:val="18"/>
        </w:rPr>
      </w:pPr>
      <w:r>
        <w:rPr>
          <w:sz w:val="18"/>
        </w:rPr>
        <w:t>Average</w:t>
      </w:r>
      <w:r>
        <w:rPr>
          <w:spacing w:val="-1"/>
          <w:sz w:val="18"/>
        </w:rPr>
        <w:t> </w:t>
      </w:r>
      <w:r>
        <w:rPr>
          <w:sz w:val="18"/>
        </w:rPr>
        <w:t>for the</w:t>
      </w:r>
      <w:r>
        <w:rPr>
          <w:spacing w:val="-1"/>
          <w:sz w:val="18"/>
        </w:rPr>
        <w:t> </w:t>
      </w:r>
      <w:r>
        <w:rPr>
          <w:sz w:val="18"/>
        </w:rPr>
        <w:t>Three Months</w:t>
      </w:r>
      <w:r>
        <w:rPr>
          <w:spacing w:val="-1"/>
          <w:sz w:val="18"/>
        </w:rPr>
        <w:t> </w:t>
      </w:r>
      <w:r>
        <w:rPr>
          <w:spacing w:val="-2"/>
          <w:sz w:val="18"/>
        </w:rPr>
        <w:t>Ended</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5"/>
        <w:gridCol w:w="1661"/>
        <w:gridCol w:w="1683"/>
      </w:tblGrid>
      <w:tr>
        <w:trPr>
          <w:trHeight w:val="245" w:hRule="atLeast"/>
        </w:trPr>
        <w:tc>
          <w:tcPr>
            <w:tcW w:w="6915" w:type="dxa"/>
            <w:tcBorders>
              <w:bottom w:val="single" w:sz="4" w:space="0" w:color="000000"/>
            </w:tcBorders>
          </w:tcPr>
          <w:p>
            <w:pPr>
              <w:pStyle w:val="TableParagraph"/>
              <w:rPr>
                <w:sz w:val="16"/>
              </w:rPr>
            </w:pPr>
          </w:p>
        </w:tc>
        <w:tc>
          <w:tcPr>
            <w:tcW w:w="1661" w:type="dxa"/>
            <w:tcBorders>
              <w:top w:val="single" w:sz="4" w:space="0" w:color="000000"/>
              <w:bottom w:val="single" w:sz="4" w:space="0" w:color="000000"/>
            </w:tcBorders>
          </w:tcPr>
          <w:p>
            <w:pPr>
              <w:pStyle w:val="TableParagraph"/>
              <w:spacing w:before="13"/>
              <w:ind w:right="118"/>
              <w:jc w:val="right"/>
              <w:rPr>
                <w:sz w:val="18"/>
              </w:rPr>
            </w:pPr>
            <w:r>
              <w:rPr>
                <w:sz w:val="18"/>
              </w:rPr>
              <w:t>September</w:t>
            </w:r>
            <w:r>
              <w:rPr>
                <w:spacing w:val="-1"/>
                <w:sz w:val="18"/>
              </w:rPr>
              <w:t> </w:t>
            </w:r>
            <w:r>
              <w:rPr>
                <w:sz w:val="18"/>
              </w:rPr>
              <w:t>30, </w:t>
            </w:r>
            <w:r>
              <w:rPr>
                <w:spacing w:val="-4"/>
                <w:sz w:val="18"/>
              </w:rPr>
              <w:t>2023</w:t>
            </w:r>
          </w:p>
        </w:tc>
        <w:tc>
          <w:tcPr>
            <w:tcW w:w="1683" w:type="dxa"/>
            <w:tcBorders>
              <w:top w:val="single" w:sz="4" w:space="0" w:color="000000"/>
              <w:bottom w:val="single" w:sz="4" w:space="0" w:color="000000"/>
            </w:tcBorders>
          </w:tcPr>
          <w:p>
            <w:pPr>
              <w:pStyle w:val="TableParagraph"/>
              <w:spacing w:before="13"/>
              <w:ind w:left="363"/>
              <w:rPr>
                <w:sz w:val="18"/>
              </w:rPr>
            </w:pPr>
            <w:r>
              <w:rPr>
                <w:sz w:val="18"/>
              </w:rPr>
              <w:t>June</w:t>
            </w:r>
            <w:r>
              <w:rPr>
                <w:spacing w:val="-1"/>
                <w:sz w:val="18"/>
              </w:rPr>
              <w:t> </w:t>
            </w:r>
            <w:r>
              <w:rPr>
                <w:sz w:val="18"/>
              </w:rPr>
              <w:t>30, </w:t>
            </w:r>
            <w:r>
              <w:rPr>
                <w:spacing w:val="-4"/>
                <w:sz w:val="18"/>
              </w:rPr>
              <w:t>2023</w:t>
            </w:r>
          </w:p>
        </w:tc>
      </w:tr>
      <w:tr>
        <w:trPr>
          <w:trHeight w:val="250" w:hRule="atLeast"/>
        </w:trPr>
        <w:tc>
          <w:tcPr>
            <w:tcW w:w="6915" w:type="dxa"/>
            <w:tcBorders>
              <w:top w:val="single" w:sz="4" w:space="0" w:color="000000"/>
            </w:tcBorders>
            <w:shd w:val="clear" w:color="auto" w:fill="CCEDFF"/>
          </w:tcPr>
          <w:p>
            <w:pPr>
              <w:pStyle w:val="TableParagraph"/>
              <w:spacing w:before="13"/>
              <w:ind w:left="52"/>
              <w:rPr>
                <w:sz w:val="18"/>
              </w:rPr>
            </w:pPr>
            <w:r>
              <w:rPr>
                <w:sz w:val="18"/>
              </w:rPr>
              <w:t>Total eligible </w:t>
            </w:r>
            <w:r>
              <w:rPr>
                <w:spacing w:val="-4"/>
                <w:sz w:val="18"/>
              </w:rPr>
              <w:t>HQLA</w:t>
            </w:r>
          </w:p>
        </w:tc>
        <w:tc>
          <w:tcPr>
            <w:tcW w:w="1661" w:type="dxa"/>
            <w:tcBorders>
              <w:top w:val="single" w:sz="4" w:space="0" w:color="000000"/>
            </w:tcBorders>
            <w:shd w:val="clear" w:color="auto" w:fill="CCEDFF"/>
          </w:tcPr>
          <w:p>
            <w:pPr>
              <w:pStyle w:val="TableParagraph"/>
              <w:tabs>
                <w:tab w:pos="915" w:val="left" w:leader="none"/>
              </w:tabs>
              <w:spacing w:before="13"/>
              <w:ind w:left="52"/>
              <w:rPr>
                <w:sz w:val="18"/>
              </w:rPr>
            </w:pPr>
            <w:r>
              <w:rPr>
                <w:spacing w:val="-10"/>
                <w:sz w:val="18"/>
              </w:rPr>
              <w:t>$</w:t>
            </w:r>
            <w:r>
              <w:rPr>
                <w:sz w:val="18"/>
              </w:rPr>
              <w:tab/>
            </w:r>
            <w:r>
              <w:rPr>
                <w:spacing w:val="-2"/>
                <w:sz w:val="18"/>
              </w:rPr>
              <w:t>60,781</w:t>
            </w:r>
          </w:p>
        </w:tc>
        <w:tc>
          <w:tcPr>
            <w:tcW w:w="1683" w:type="dxa"/>
            <w:tcBorders>
              <w:top w:val="single" w:sz="4" w:space="0" w:color="000000"/>
            </w:tcBorders>
            <w:shd w:val="clear" w:color="auto" w:fill="CCEDFF"/>
          </w:tcPr>
          <w:p>
            <w:pPr>
              <w:pStyle w:val="TableParagraph"/>
              <w:tabs>
                <w:tab w:pos="964" w:val="left" w:leader="none"/>
              </w:tabs>
              <w:spacing w:before="13"/>
              <w:ind w:left="101"/>
              <w:rPr>
                <w:sz w:val="18"/>
              </w:rPr>
            </w:pPr>
            <w:r>
              <w:rPr>
                <w:spacing w:val="-10"/>
                <w:sz w:val="18"/>
              </w:rPr>
              <w:t>$</w:t>
            </w:r>
            <w:r>
              <w:rPr>
                <w:sz w:val="18"/>
              </w:rPr>
              <w:tab/>
            </w:r>
            <w:r>
              <w:rPr>
                <w:spacing w:val="-2"/>
                <w:sz w:val="18"/>
              </w:rPr>
              <w:t>65,738</w:t>
            </w:r>
          </w:p>
        </w:tc>
      </w:tr>
      <w:tr>
        <w:trPr>
          <w:trHeight w:val="250" w:hRule="atLeast"/>
        </w:trPr>
        <w:tc>
          <w:tcPr>
            <w:tcW w:w="6915" w:type="dxa"/>
            <w:tcBorders>
              <w:bottom w:val="single" w:sz="4" w:space="0" w:color="000000"/>
            </w:tcBorders>
          </w:tcPr>
          <w:p>
            <w:pPr>
              <w:pStyle w:val="TableParagraph"/>
              <w:spacing w:before="18"/>
              <w:ind w:left="52"/>
              <w:rPr>
                <w:sz w:val="18"/>
              </w:rPr>
            </w:pPr>
            <w:r>
              <w:rPr>
                <w:sz w:val="18"/>
              </w:rPr>
              <w:t>Net</w:t>
            </w:r>
            <w:r>
              <w:rPr>
                <w:spacing w:val="-1"/>
                <w:sz w:val="18"/>
              </w:rPr>
              <w:t> </w:t>
            </w:r>
            <w:r>
              <w:rPr>
                <w:sz w:val="18"/>
              </w:rPr>
              <w:t>cash</w:t>
            </w:r>
            <w:r>
              <w:rPr>
                <w:spacing w:val="-1"/>
                <w:sz w:val="18"/>
              </w:rPr>
              <w:t> </w:t>
            </w:r>
            <w:r>
              <w:rPr>
                <w:spacing w:val="-2"/>
                <w:sz w:val="18"/>
              </w:rPr>
              <w:t>outflows</w:t>
            </w:r>
          </w:p>
        </w:tc>
        <w:tc>
          <w:tcPr>
            <w:tcW w:w="1661" w:type="dxa"/>
            <w:tcBorders>
              <w:bottom w:val="single" w:sz="4" w:space="0" w:color="000000"/>
            </w:tcBorders>
          </w:tcPr>
          <w:p>
            <w:pPr>
              <w:pStyle w:val="TableParagraph"/>
              <w:spacing w:before="18"/>
              <w:ind w:left="915"/>
              <w:rPr>
                <w:sz w:val="18"/>
              </w:rPr>
            </w:pPr>
            <w:r>
              <w:rPr>
                <w:spacing w:val="-2"/>
                <w:sz w:val="18"/>
              </w:rPr>
              <w:t>51,351</w:t>
            </w:r>
          </w:p>
        </w:tc>
        <w:tc>
          <w:tcPr>
            <w:tcW w:w="1683" w:type="dxa"/>
            <w:tcBorders>
              <w:bottom w:val="single" w:sz="4" w:space="0" w:color="000000"/>
            </w:tcBorders>
          </w:tcPr>
          <w:p>
            <w:pPr>
              <w:pStyle w:val="TableParagraph"/>
              <w:spacing w:before="18"/>
              <w:ind w:left="964"/>
              <w:rPr>
                <w:sz w:val="18"/>
              </w:rPr>
            </w:pPr>
            <w:r>
              <w:rPr>
                <w:spacing w:val="-2"/>
                <w:sz w:val="18"/>
              </w:rPr>
              <w:t>50,965</w:t>
            </w:r>
          </w:p>
        </w:tc>
      </w:tr>
      <w:tr>
        <w:trPr>
          <w:trHeight w:val="245" w:hRule="atLeast"/>
        </w:trPr>
        <w:tc>
          <w:tcPr>
            <w:tcW w:w="6915" w:type="dxa"/>
            <w:tcBorders>
              <w:top w:val="single" w:sz="4" w:space="0" w:color="000000"/>
              <w:bottom w:val="single" w:sz="4" w:space="0" w:color="000000"/>
            </w:tcBorders>
            <w:shd w:val="clear" w:color="auto" w:fill="CCEDFF"/>
          </w:tcPr>
          <w:p>
            <w:pPr>
              <w:pStyle w:val="TableParagraph"/>
              <w:spacing w:before="13"/>
              <w:ind w:left="52"/>
              <w:rPr>
                <w:sz w:val="18"/>
              </w:rPr>
            </w:pPr>
            <w:r>
              <w:rPr>
                <w:spacing w:val="-5"/>
                <w:sz w:val="18"/>
              </w:rPr>
              <w:t>LCR</w:t>
            </w:r>
          </w:p>
        </w:tc>
        <w:tc>
          <w:tcPr>
            <w:tcW w:w="1661" w:type="dxa"/>
            <w:tcBorders>
              <w:top w:val="single" w:sz="4" w:space="0" w:color="000000"/>
              <w:bottom w:val="single" w:sz="4" w:space="0" w:color="000000"/>
            </w:tcBorders>
            <w:shd w:val="clear" w:color="auto" w:fill="CCEDFF"/>
          </w:tcPr>
          <w:p>
            <w:pPr>
              <w:pStyle w:val="TableParagraph"/>
              <w:spacing w:before="13"/>
              <w:ind w:right="98"/>
              <w:jc w:val="right"/>
              <w:rPr>
                <w:sz w:val="18"/>
              </w:rPr>
            </w:pPr>
            <w:r>
              <w:rPr>
                <w:spacing w:val="-4"/>
                <w:sz w:val="18"/>
              </w:rPr>
              <w:t>119%</w:t>
            </w:r>
          </w:p>
        </w:tc>
        <w:tc>
          <w:tcPr>
            <w:tcW w:w="1683" w:type="dxa"/>
            <w:tcBorders>
              <w:top w:val="single" w:sz="4" w:space="0" w:color="000000"/>
              <w:bottom w:val="single" w:sz="4" w:space="0" w:color="000000"/>
            </w:tcBorders>
            <w:shd w:val="clear" w:color="auto" w:fill="CCEDFF"/>
          </w:tcPr>
          <w:p>
            <w:pPr>
              <w:pStyle w:val="TableParagraph"/>
              <w:spacing w:before="13"/>
              <w:ind w:right="71"/>
              <w:jc w:val="right"/>
              <w:rPr>
                <w:sz w:val="18"/>
              </w:rPr>
            </w:pPr>
            <w:r>
              <w:rPr>
                <w:spacing w:val="-4"/>
                <w:sz w:val="18"/>
              </w:rPr>
              <w:t>129%</w:t>
            </w:r>
          </w:p>
        </w:tc>
      </w:tr>
    </w:tbl>
    <w:p>
      <w:pPr>
        <w:pStyle w:val="BodyText"/>
        <w:spacing w:before="74"/>
        <w:rPr>
          <w:sz w:val="18"/>
        </w:rPr>
      </w:pPr>
    </w:p>
    <w:p>
      <w:pPr>
        <w:pStyle w:val="BodyText"/>
        <w:spacing w:line="249" w:lineRule="auto" w:before="1"/>
        <w:ind w:left="470" w:right="761"/>
      </w:pPr>
      <w:r>
        <w:rPr/>
        <w:t>To</w:t>
      </w:r>
      <w:r>
        <w:rPr>
          <w:spacing w:val="-3"/>
        </w:rPr>
        <w:t> </w:t>
      </w:r>
      <w:r>
        <w:rPr/>
        <w:t>support</w:t>
      </w:r>
      <w:r>
        <w:rPr>
          <w:spacing w:val="-4"/>
        </w:rPr>
        <w:t> </w:t>
      </w:r>
      <w:r>
        <w:rPr/>
        <w:t>growth</w:t>
      </w:r>
      <w:r>
        <w:rPr>
          <w:spacing w:val="-3"/>
        </w:rPr>
        <w:t> </w:t>
      </w:r>
      <w:r>
        <w:rPr/>
        <w:t>in</w:t>
      </w:r>
      <w:r>
        <w:rPr>
          <w:spacing w:val="-3"/>
        </w:rPr>
        <w:t> </w:t>
      </w:r>
      <w:r>
        <w:rPr/>
        <w:t>margin</w:t>
      </w:r>
      <w:r>
        <w:rPr>
          <w:spacing w:val="-3"/>
        </w:rPr>
        <w:t> </w:t>
      </w:r>
      <w:r>
        <w:rPr/>
        <w:t>loan</w:t>
      </w:r>
      <w:r>
        <w:rPr>
          <w:spacing w:val="-3"/>
        </w:rPr>
        <w:t> </w:t>
      </w:r>
      <w:r>
        <w:rPr/>
        <w:t>balances</w:t>
      </w:r>
      <w:r>
        <w:rPr>
          <w:spacing w:val="-4"/>
        </w:rPr>
        <w:t> </w:t>
      </w:r>
      <w:r>
        <w:rPr/>
        <w:t>at</w:t>
      </w:r>
      <w:r>
        <w:rPr>
          <w:spacing w:val="-4"/>
        </w:rPr>
        <w:t> </w:t>
      </w:r>
      <w:r>
        <w:rPr/>
        <w:t>our</w:t>
      </w:r>
      <w:r>
        <w:rPr>
          <w:spacing w:val="-3"/>
        </w:rPr>
        <w:t> </w:t>
      </w:r>
      <w:r>
        <w:rPr/>
        <w:t>broker-dealer</w:t>
      </w:r>
      <w:r>
        <w:rPr>
          <w:spacing w:val="-3"/>
        </w:rPr>
        <w:t> </w:t>
      </w:r>
      <w:r>
        <w:rPr/>
        <w:t>subsidiaries</w:t>
      </w:r>
      <w:r>
        <w:rPr>
          <w:spacing w:val="-4"/>
        </w:rPr>
        <w:t> </w:t>
      </w:r>
      <w:r>
        <w:rPr/>
        <w:t>while</w:t>
      </w:r>
      <w:r>
        <w:rPr>
          <w:spacing w:val="-4"/>
        </w:rPr>
        <w:t> </w:t>
      </w:r>
      <w:r>
        <w:rPr/>
        <w:t>meeting</w:t>
      </w:r>
      <w:r>
        <w:rPr>
          <w:spacing w:val="-3"/>
        </w:rPr>
        <w:t> </w:t>
      </w:r>
      <w:r>
        <w:rPr/>
        <w:t>our</w:t>
      </w:r>
      <w:r>
        <w:rPr>
          <w:spacing w:val="-3"/>
        </w:rPr>
        <w:t> </w:t>
      </w:r>
      <w:r>
        <w:rPr/>
        <w:t>LCR</w:t>
      </w:r>
      <w:r>
        <w:rPr>
          <w:spacing w:val="-4"/>
        </w:rPr>
        <w:t> </w:t>
      </w:r>
      <w:r>
        <w:rPr/>
        <w:t>requirements,</w:t>
      </w:r>
      <w:r>
        <w:rPr>
          <w:spacing w:val="-3"/>
        </w:rPr>
        <w:t> </w:t>
      </w:r>
      <w:r>
        <w:rPr/>
        <w:t>the Company may issue commercial paper or draw on secured lines of credit, in addition to capital markets issuances.</w:t>
      </w:r>
    </w:p>
    <w:p>
      <w:pPr>
        <w:pStyle w:val="BodyText"/>
        <w:spacing w:before="11"/>
      </w:pPr>
    </w:p>
    <w:p>
      <w:pPr>
        <w:spacing w:before="0"/>
        <w:ind w:left="470" w:right="0" w:firstLine="0"/>
        <w:jc w:val="left"/>
        <w:rPr>
          <w:i/>
          <w:sz w:val="20"/>
        </w:rPr>
      </w:pPr>
      <w:r>
        <w:rPr>
          <w:i/>
          <w:sz w:val="20"/>
        </w:rPr>
        <w:t>Net</w:t>
      </w:r>
      <w:r>
        <w:rPr>
          <w:i/>
          <w:spacing w:val="-5"/>
          <w:sz w:val="20"/>
        </w:rPr>
        <w:t> </w:t>
      </w:r>
      <w:r>
        <w:rPr>
          <w:i/>
          <w:sz w:val="20"/>
        </w:rPr>
        <w:t>Stable</w:t>
      </w:r>
      <w:r>
        <w:rPr>
          <w:i/>
          <w:spacing w:val="-3"/>
          <w:sz w:val="20"/>
        </w:rPr>
        <w:t> </w:t>
      </w:r>
      <w:r>
        <w:rPr>
          <w:i/>
          <w:sz w:val="20"/>
        </w:rPr>
        <w:t>Funding</w:t>
      </w:r>
      <w:r>
        <w:rPr>
          <w:i/>
          <w:spacing w:val="-2"/>
          <w:sz w:val="20"/>
        </w:rPr>
        <w:t> </w:t>
      </w:r>
      <w:r>
        <w:rPr>
          <w:i/>
          <w:spacing w:val="-4"/>
          <w:sz w:val="20"/>
        </w:rPr>
        <w:t>Ratio</w:t>
      </w:r>
    </w:p>
    <w:p>
      <w:pPr>
        <w:pStyle w:val="BodyText"/>
        <w:spacing w:before="20"/>
        <w:rPr>
          <w:i/>
        </w:rPr>
      </w:pPr>
    </w:p>
    <w:p>
      <w:pPr>
        <w:pStyle w:val="BodyText"/>
        <w:spacing w:line="249" w:lineRule="auto"/>
        <w:ind w:left="470" w:right="566"/>
      </w:pPr>
      <w:r>
        <w:rPr/>
        <w:t>Schwab is subject to disclosure requirements under the NSFR rule, which requires the semi-annual public disclosure of its NSFR</w:t>
      </w:r>
      <w:r>
        <w:rPr>
          <w:spacing w:val="-1"/>
        </w:rPr>
        <w:t> </w:t>
      </w:r>
      <w:r>
        <w:rPr/>
        <w:t>levels</w:t>
      </w:r>
      <w:r>
        <w:rPr>
          <w:spacing w:val="-1"/>
        </w:rPr>
        <w:t> </w:t>
      </w:r>
      <w:r>
        <w:rPr/>
        <w:t>beginning in the</w:t>
      </w:r>
      <w:r>
        <w:rPr>
          <w:spacing w:val="-1"/>
        </w:rPr>
        <w:t> </w:t>
      </w:r>
      <w:r>
        <w:rPr/>
        <w:t>second quarter of 2023. The</w:t>
      </w:r>
      <w:r>
        <w:rPr>
          <w:spacing w:val="-1"/>
        </w:rPr>
        <w:t> </w:t>
      </w:r>
      <w:r>
        <w:rPr/>
        <w:t>NSFR</w:t>
      </w:r>
      <w:r>
        <w:rPr>
          <w:spacing w:val="-1"/>
        </w:rPr>
        <w:t> </w:t>
      </w:r>
      <w:r>
        <w:rPr/>
        <w:t>rule</w:t>
      </w:r>
      <w:r>
        <w:rPr>
          <w:spacing w:val="-1"/>
        </w:rPr>
        <w:t> </w:t>
      </w:r>
      <w:r>
        <w:rPr/>
        <w:t>stipulates</w:t>
      </w:r>
      <w:r>
        <w:rPr>
          <w:spacing w:val="-1"/>
        </w:rPr>
        <w:t> </w:t>
      </w:r>
      <w:r>
        <w:rPr/>
        <w:t>that</w:t>
      </w:r>
      <w:r>
        <w:rPr>
          <w:spacing w:val="-1"/>
        </w:rPr>
        <w:t> </w:t>
      </w:r>
      <w:r>
        <w:rPr/>
        <w:t>the</w:t>
      </w:r>
      <w:r>
        <w:rPr>
          <w:spacing w:val="-1"/>
        </w:rPr>
        <w:t> </w:t>
      </w:r>
      <w:r>
        <w:rPr/>
        <w:t>Company’s</w:t>
      </w:r>
      <w:r>
        <w:rPr>
          <w:spacing w:val="-1"/>
        </w:rPr>
        <w:t> </w:t>
      </w:r>
      <w:r>
        <w:rPr/>
        <w:t>available</w:t>
      </w:r>
      <w:r>
        <w:rPr>
          <w:spacing w:val="-1"/>
        </w:rPr>
        <w:t> </w:t>
      </w:r>
      <w:r>
        <w:rPr/>
        <w:t>stable</w:t>
      </w:r>
      <w:r>
        <w:rPr>
          <w:spacing w:val="-1"/>
        </w:rPr>
        <w:t> </w:t>
      </w:r>
      <w:r>
        <w:rPr/>
        <w:t>funding (ASF)</w:t>
      </w:r>
      <w:r>
        <w:rPr>
          <w:spacing w:val="-2"/>
        </w:rPr>
        <w:t> </w:t>
      </w:r>
      <w:r>
        <w:rPr/>
        <w:t>must</w:t>
      </w:r>
      <w:r>
        <w:rPr>
          <w:spacing w:val="-3"/>
        </w:rPr>
        <w:t> </w:t>
      </w:r>
      <w:r>
        <w:rPr/>
        <w:t>be</w:t>
      </w:r>
      <w:r>
        <w:rPr>
          <w:spacing w:val="-3"/>
        </w:rPr>
        <w:t> </w:t>
      </w:r>
      <w:r>
        <w:rPr/>
        <w:t>at</w:t>
      </w:r>
      <w:r>
        <w:rPr>
          <w:spacing w:val="-3"/>
        </w:rPr>
        <w:t> </w:t>
      </w:r>
      <w:r>
        <w:rPr/>
        <w:t>least</w:t>
      </w:r>
      <w:r>
        <w:rPr>
          <w:spacing w:val="-3"/>
        </w:rPr>
        <w:t> </w:t>
      </w:r>
      <w:r>
        <w:rPr/>
        <w:t>100%</w:t>
      </w:r>
      <w:r>
        <w:rPr>
          <w:spacing w:val="-2"/>
        </w:rPr>
        <w:t> </w:t>
      </w:r>
      <w:r>
        <w:rPr/>
        <w:t>of</w:t>
      </w:r>
      <w:r>
        <w:rPr>
          <w:spacing w:val="-2"/>
        </w:rPr>
        <w:t> </w:t>
      </w:r>
      <w:r>
        <w:rPr/>
        <w:t>the</w:t>
      </w:r>
      <w:r>
        <w:rPr>
          <w:spacing w:val="-3"/>
        </w:rPr>
        <w:t> </w:t>
      </w:r>
      <w:r>
        <w:rPr/>
        <w:t>Company’s</w:t>
      </w:r>
      <w:r>
        <w:rPr>
          <w:spacing w:val="-3"/>
        </w:rPr>
        <w:t> </w:t>
      </w:r>
      <w:r>
        <w:rPr/>
        <w:t>required</w:t>
      </w:r>
      <w:r>
        <w:rPr>
          <w:spacing w:val="-2"/>
        </w:rPr>
        <w:t> </w:t>
      </w:r>
      <w:r>
        <w:rPr/>
        <w:t>stable</w:t>
      </w:r>
      <w:r>
        <w:rPr>
          <w:spacing w:val="-3"/>
        </w:rPr>
        <w:t> </w:t>
      </w:r>
      <w:r>
        <w:rPr/>
        <w:t>funding</w:t>
      </w:r>
      <w:r>
        <w:rPr>
          <w:spacing w:val="-2"/>
        </w:rPr>
        <w:t> </w:t>
      </w:r>
      <w:r>
        <w:rPr/>
        <w:t>(RSF).</w:t>
      </w:r>
      <w:r>
        <w:rPr>
          <w:spacing w:val="-2"/>
        </w:rPr>
        <w:t> </w:t>
      </w:r>
      <w:r>
        <w:rPr/>
        <w:t>ASF</w:t>
      </w:r>
      <w:r>
        <w:rPr>
          <w:spacing w:val="-3"/>
        </w:rPr>
        <w:t> </w:t>
      </w:r>
      <w:r>
        <w:rPr/>
        <w:t>is</w:t>
      </w:r>
      <w:r>
        <w:rPr>
          <w:spacing w:val="-3"/>
        </w:rPr>
        <w:t> </w:t>
      </w:r>
      <w:r>
        <w:rPr/>
        <w:t>calculated</w:t>
      </w:r>
      <w:r>
        <w:rPr>
          <w:spacing w:val="-2"/>
        </w:rPr>
        <w:t> </w:t>
      </w:r>
      <w:r>
        <w:rPr/>
        <w:t>by</w:t>
      </w:r>
      <w:r>
        <w:rPr>
          <w:spacing w:val="-2"/>
        </w:rPr>
        <w:t> </w:t>
      </w:r>
      <w:r>
        <w:rPr/>
        <w:t>assessing</w:t>
      </w:r>
      <w:r>
        <w:rPr>
          <w:spacing w:val="-2"/>
        </w:rPr>
        <w:t> </w:t>
      </w:r>
      <w:r>
        <w:rPr/>
        <w:t>the</w:t>
      </w:r>
      <w:r>
        <w:rPr>
          <w:spacing w:val="-3"/>
        </w:rPr>
        <w:t> </w:t>
      </w:r>
      <w:r>
        <w:rPr/>
        <w:t>stability</w:t>
      </w:r>
      <w:r>
        <w:rPr>
          <w:spacing w:val="-2"/>
        </w:rPr>
        <w:t> </w:t>
      </w:r>
      <w:r>
        <w:rPr/>
        <w:t>of the</w:t>
      </w:r>
      <w:r>
        <w:rPr>
          <w:spacing w:val="-3"/>
        </w:rPr>
        <w:t> </w:t>
      </w:r>
      <w:r>
        <w:rPr/>
        <w:t>Company’s</w:t>
      </w:r>
      <w:r>
        <w:rPr>
          <w:spacing w:val="-3"/>
        </w:rPr>
        <w:t> </w:t>
      </w:r>
      <w:r>
        <w:rPr/>
        <w:t>funding</w:t>
      </w:r>
      <w:r>
        <w:rPr>
          <w:spacing w:val="-2"/>
        </w:rPr>
        <w:t> </w:t>
      </w:r>
      <w:r>
        <w:rPr/>
        <w:t>sources</w:t>
      </w:r>
      <w:r>
        <w:rPr>
          <w:spacing w:val="-3"/>
        </w:rPr>
        <w:t> </w:t>
      </w:r>
      <w:r>
        <w:rPr/>
        <w:t>and</w:t>
      </w:r>
      <w:r>
        <w:rPr>
          <w:spacing w:val="-2"/>
        </w:rPr>
        <w:t> </w:t>
      </w:r>
      <w:r>
        <w:rPr/>
        <w:t>RSF</w:t>
      </w:r>
      <w:r>
        <w:rPr>
          <w:spacing w:val="-3"/>
        </w:rPr>
        <w:t> </w:t>
      </w:r>
      <w:r>
        <w:rPr/>
        <w:t>is</w:t>
      </w:r>
      <w:r>
        <w:rPr>
          <w:spacing w:val="-3"/>
        </w:rPr>
        <w:t> </w:t>
      </w:r>
      <w:r>
        <w:rPr/>
        <w:t>calculated</w:t>
      </w:r>
      <w:r>
        <w:rPr>
          <w:spacing w:val="-2"/>
        </w:rPr>
        <w:t> </w:t>
      </w:r>
      <w:r>
        <w:rPr/>
        <w:t>by</w:t>
      </w:r>
      <w:r>
        <w:rPr>
          <w:spacing w:val="-2"/>
        </w:rPr>
        <w:t> </w:t>
      </w:r>
      <w:r>
        <w:rPr/>
        <w:t>evaluating</w:t>
      </w:r>
      <w:r>
        <w:rPr>
          <w:spacing w:val="-2"/>
        </w:rPr>
        <w:t> </w:t>
      </w:r>
      <w:r>
        <w:rPr/>
        <w:t>the</w:t>
      </w:r>
      <w:r>
        <w:rPr>
          <w:spacing w:val="-3"/>
        </w:rPr>
        <w:t> </w:t>
      </w:r>
      <w:r>
        <w:rPr/>
        <w:t>characteristics</w:t>
      </w:r>
      <w:r>
        <w:rPr>
          <w:spacing w:val="-3"/>
        </w:rPr>
        <w:t> </w:t>
      </w:r>
      <w:r>
        <w:rPr/>
        <w:t>of</w:t>
      </w:r>
      <w:r>
        <w:rPr>
          <w:spacing w:val="-2"/>
        </w:rPr>
        <w:t> </w:t>
      </w:r>
      <w:r>
        <w:rPr/>
        <w:t>the</w:t>
      </w:r>
      <w:r>
        <w:rPr>
          <w:spacing w:val="-3"/>
        </w:rPr>
        <w:t> </w:t>
      </w:r>
      <w:r>
        <w:rPr/>
        <w:t>Company’s</w:t>
      </w:r>
      <w:r>
        <w:rPr>
          <w:spacing w:val="-3"/>
        </w:rPr>
        <w:t> </w:t>
      </w:r>
      <w:r>
        <w:rPr/>
        <w:t>assets,</w:t>
      </w:r>
      <w:r>
        <w:rPr>
          <w:spacing w:val="-2"/>
        </w:rPr>
        <w:t> </w:t>
      </w:r>
      <w:r>
        <w:rPr/>
        <w:t>derivatives, and off-balance-sheet exposures. The Company was in compliance with the NSFR rule at September 30, 2023.</w:t>
      </w:r>
    </w:p>
    <w:p>
      <w:pPr>
        <w:pStyle w:val="BodyText"/>
        <w:spacing w:before="14"/>
      </w:pPr>
    </w:p>
    <w:p>
      <w:pPr>
        <w:spacing w:before="1"/>
        <w:ind w:left="470" w:right="0" w:firstLine="0"/>
        <w:jc w:val="left"/>
        <w:rPr>
          <w:i/>
          <w:sz w:val="20"/>
        </w:rPr>
      </w:pPr>
      <w:r>
        <w:rPr>
          <w:i/>
          <w:sz w:val="20"/>
        </w:rPr>
        <w:t>Long-Term</w:t>
      </w:r>
      <w:r>
        <w:rPr>
          <w:i/>
          <w:spacing w:val="-5"/>
          <w:sz w:val="20"/>
        </w:rPr>
        <w:t> </w:t>
      </w:r>
      <w:r>
        <w:rPr>
          <w:i/>
          <w:spacing w:val="-2"/>
          <w:sz w:val="20"/>
        </w:rPr>
        <w:t>Borrowings</w:t>
      </w:r>
    </w:p>
    <w:p>
      <w:pPr>
        <w:pStyle w:val="BodyText"/>
        <w:spacing w:before="19"/>
        <w:rPr>
          <w:i/>
        </w:rPr>
      </w:pPr>
    </w:p>
    <w:p>
      <w:pPr>
        <w:pStyle w:val="BodyText"/>
        <w:spacing w:line="249" w:lineRule="auto"/>
        <w:ind w:left="470" w:right="761"/>
      </w:pPr>
      <w:r>
        <w:rPr/>
        <w:t>The</w:t>
      </w:r>
      <w:r>
        <w:rPr>
          <w:spacing w:val="-4"/>
        </w:rPr>
        <w:t> </w:t>
      </w:r>
      <w:r>
        <w:rPr/>
        <w:t>Company’s</w:t>
      </w:r>
      <w:r>
        <w:rPr>
          <w:spacing w:val="-4"/>
        </w:rPr>
        <w:t> </w:t>
      </w:r>
      <w:r>
        <w:rPr/>
        <w:t>long-term</w:t>
      </w:r>
      <w:r>
        <w:rPr>
          <w:spacing w:val="-4"/>
        </w:rPr>
        <w:t> </w:t>
      </w:r>
      <w:r>
        <w:rPr/>
        <w:t>debt</w:t>
      </w:r>
      <w:r>
        <w:rPr>
          <w:spacing w:val="-4"/>
        </w:rPr>
        <w:t> </w:t>
      </w:r>
      <w:r>
        <w:rPr/>
        <w:t>is</w:t>
      </w:r>
      <w:r>
        <w:rPr>
          <w:spacing w:val="-4"/>
        </w:rPr>
        <w:t> </w:t>
      </w:r>
      <w:r>
        <w:rPr/>
        <w:t>primarily</w:t>
      </w:r>
      <w:r>
        <w:rPr>
          <w:spacing w:val="-3"/>
        </w:rPr>
        <w:t> </w:t>
      </w:r>
      <w:r>
        <w:rPr/>
        <w:t>comprised</w:t>
      </w:r>
      <w:r>
        <w:rPr>
          <w:spacing w:val="-3"/>
        </w:rPr>
        <w:t> </w:t>
      </w:r>
      <w:r>
        <w:rPr/>
        <w:t>of</w:t>
      </w:r>
      <w:r>
        <w:rPr>
          <w:spacing w:val="-3"/>
        </w:rPr>
        <w:t> </w:t>
      </w:r>
      <w:r>
        <w:rPr/>
        <w:t>Senior</w:t>
      </w:r>
      <w:r>
        <w:rPr>
          <w:spacing w:val="-3"/>
        </w:rPr>
        <w:t> </w:t>
      </w:r>
      <w:r>
        <w:rPr/>
        <w:t>Notes</w:t>
      </w:r>
      <w:r>
        <w:rPr>
          <w:spacing w:val="-4"/>
        </w:rPr>
        <w:t> </w:t>
      </w:r>
      <w:r>
        <w:rPr/>
        <w:t>and</w:t>
      </w:r>
      <w:r>
        <w:rPr>
          <w:spacing w:val="-3"/>
        </w:rPr>
        <w:t> </w:t>
      </w:r>
      <w:r>
        <w:rPr/>
        <w:t>totaled</w:t>
      </w:r>
      <w:r>
        <w:rPr>
          <w:spacing w:val="-3"/>
        </w:rPr>
        <w:t> </w:t>
      </w:r>
      <w:r>
        <w:rPr/>
        <w:t>$24.8</w:t>
      </w:r>
      <w:r>
        <w:rPr>
          <w:spacing w:val="-3"/>
        </w:rPr>
        <w:t> </w:t>
      </w:r>
      <w:r>
        <w:rPr/>
        <w:t>billion</w:t>
      </w:r>
      <w:r>
        <w:rPr>
          <w:spacing w:val="-3"/>
        </w:rPr>
        <w:t> </w:t>
      </w:r>
      <w:r>
        <w:rPr/>
        <w:t>and</w:t>
      </w:r>
      <w:r>
        <w:rPr>
          <w:spacing w:val="-3"/>
        </w:rPr>
        <w:t> </w:t>
      </w:r>
      <w:r>
        <w:rPr/>
        <w:t>$20.8</w:t>
      </w:r>
      <w:r>
        <w:rPr>
          <w:spacing w:val="-3"/>
        </w:rPr>
        <w:t> </w:t>
      </w:r>
      <w:r>
        <w:rPr/>
        <w:t>billion</w:t>
      </w:r>
      <w:r>
        <w:rPr>
          <w:spacing w:val="-3"/>
        </w:rPr>
        <w:t> </w:t>
      </w:r>
      <w:r>
        <w:rPr/>
        <w:t>at September 30, 2023 and December 31, 2022, respectively.</w:t>
      </w:r>
    </w:p>
    <w:p>
      <w:pPr>
        <w:pStyle w:val="BodyText"/>
        <w:spacing w:before="12"/>
      </w:pPr>
    </w:p>
    <w:p>
      <w:pPr>
        <w:pStyle w:val="BodyText"/>
        <w:ind w:left="470"/>
      </w:pPr>
      <w:r>
        <w:rPr/>
        <w:t>The</w:t>
      </w:r>
      <w:r>
        <w:rPr>
          <w:spacing w:val="-6"/>
        </w:rPr>
        <w:t> </w:t>
      </w:r>
      <w:r>
        <w:rPr/>
        <w:t>following</w:t>
      </w:r>
      <w:r>
        <w:rPr>
          <w:spacing w:val="-3"/>
        </w:rPr>
        <w:t> </w:t>
      </w:r>
      <w:r>
        <w:rPr/>
        <w:t>table</w:t>
      </w:r>
      <w:r>
        <w:rPr>
          <w:spacing w:val="-3"/>
        </w:rPr>
        <w:t> </w:t>
      </w:r>
      <w:r>
        <w:rPr/>
        <w:t>provides</w:t>
      </w:r>
      <w:r>
        <w:rPr>
          <w:spacing w:val="-4"/>
        </w:rPr>
        <w:t> </w:t>
      </w:r>
      <w:r>
        <w:rPr/>
        <w:t>information</w:t>
      </w:r>
      <w:r>
        <w:rPr>
          <w:spacing w:val="-3"/>
        </w:rPr>
        <w:t> </w:t>
      </w:r>
      <w:r>
        <w:rPr/>
        <w:t>about</w:t>
      </w:r>
      <w:r>
        <w:rPr>
          <w:spacing w:val="-3"/>
        </w:rPr>
        <w:t> </w:t>
      </w:r>
      <w:r>
        <w:rPr/>
        <w:t>our</w:t>
      </w:r>
      <w:r>
        <w:rPr>
          <w:spacing w:val="-3"/>
        </w:rPr>
        <w:t> </w:t>
      </w:r>
      <w:r>
        <w:rPr/>
        <w:t>Senior</w:t>
      </w:r>
      <w:r>
        <w:rPr>
          <w:spacing w:val="-2"/>
        </w:rPr>
        <w:t> </w:t>
      </w:r>
      <w:r>
        <w:rPr/>
        <w:t>Notes</w:t>
      </w:r>
      <w:r>
        <w:rPr>
          <w:spacing w:val="-4"/>
        </w:rPr>
        <w:t> </w:t>
      </w:r>
      <w:r>
        <w:rPr/>
        <w:t>outstanding</w:t>
      </w:r>
      <w:r>
        <w:rPr>
          <w:spacing w:val="-3"/>
        </w:rPr>
        <w:t> </w:t>
      </w:r>
      <w:r>
        <w:rPr/>
        <w:t>at</w:t>
      </w:r>
      <w:r>
        <w:rPr>
          <w:spacing w:val="-3"/>
        </w:rPr>
        <w:t> </w:t>
      </w:r>
      <w:r>
        <w:rPr/>
        <w:t>September</w:t>
      </w:r>
      <w:r>
        <w:rPr>
          <w:spacing w:val="-3"/>
        </w:rPr>
        <w:t> </w:t>
      </w:r>
      <w:r>
        <w:rPr/>
        <w:t>30,</w:t>
      </w:r>
      <w:r>
        <w:rPr>
          <w:spacing w:val="-2"/>
        </w:rPr>
        <w:t> 2023:</w:t>
      </w:r>
    </w:p>
    <w:p>
      <w:pPr>
        <w:pStyle w:val="BodyText"/>
        <w:spacing w:before="9"/>
        <w:rPr>
          <w:sz w:val="13"/>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8"/>
        <w:gridCol w:w="2004"/>
        <w:gridCol w:w="1158"/>
        <w:gridCol w:w="1617"/>
        <w:gridCol w:w="1015"/>
        <w:gridCol w:w="1096"/>
        <w:gridCol w:w="652"/>
      </w:tblGrid>
      <w:tr>
        <w:trPr>
          <w:trHeight w:val="425" w:hRule="atLeast"/>
        </w:trPr>
        <w:tc>
          <w:tcPr>
            <w:tcW w:w="2718" w:type="dxa"/>
            <w:tcBorders>
              <w:top w:val="single" w:sz="4" w:space="0" w:color="000000"/>
              <w:bottom w:val="single" w:sz="4" w:space="0" w:color="000000"/>
            </w:tcBorders>
          </w:tcPr>
          <w:p>
            <w:pPr>
              <w:pStyle w:val="TableParagraph"/>
              <w:spacing w:before="193"/>
              <w:ind w:left="52"/>
              <w:rPr>
                <w:sz w:val="18"/>
              </w:rPr>
            </w:pPr>
            <w:r>
              <w:rPr>
                <w:sz w:val="18"/>
              </w:rPr>
              <w:t>September</w:t>
            </w:r>
            <w:r>
              <w:rPr>
                <w:spacing w:val="-1"/>
                <w:sz w:val="18"/>
              </w:rPr>
              <w:t> </w:t>
            </w:r>
            <w:r>
              <w:rPr>
                <w:sz w:val="18"/>
              </w:rPr>
              <w:t>30, </w:t>
            </w:r>
            <w:r>
              <w:rPr>
                <w:spacing w:val="-4"/>
                <w:sz w:val="18"/>
              </w:rPr>
              <w:t>2023</w:t>
            </w:r>
          </w:p>
        </w:tc>
        <w:tc>
          <w:tcPr>
            <w:tcW w:w="2004" w:type="dxa"/>
            <w:tcBorders>
              <w:top w:val="single" w:sz="4" w:space="0" w:color="000000"/>
              <w:bottom w:val="single" w:sz="4" w:space="0" w:color="000000"/>
            </w:tcBorders>
          </w:tcPr>
          <w:p>
            <w:pPr>
              <w:pStyle w:val="TableParagraph"/>
              <w:spacing w:line="208" w:lineRule="auto" w:before="35"/>
              <w:ind w:left="839" w:firstLine="320"/>
              <w:rPr>
                <w:sz w:val="18"/>
              </w:rPr>
            </w:pPr>
            <w:r>
              <w:rPr>
                <w:spacing w:val="-4"/>
                <w:sz w:val="18"/>
              </w:rPr>
              <w:t>Par </w:t>
            </w:r>
            <w:r>
              <w:rPr>
                <w:spacing w:val="-2"/>
                <w:sz w:val="18"/>
              </w:rPr>
              <w:t>Outstanding</w:t>
            </w:r>
          </w:p>
        </w:tc>
        <w:tc>
          <w:tcPr>
            <w:tcW w:w="1158" w:type="dxa"/>
            <w:tcBorders>
              <w:top w:val="single" w:sz="4" w:space="0" w:color="000000"/>
              <w:bottom w:val="single" w:sz="4" w:space="0" w:color="000000"/>
            </w:tcBorders>
          </w:tcPr>
          <w:p>
            <w:pPr>
              <w:pStyle w:val="TableParagraph"/>
              <w:spacing w:before="193"/>
              <w:ind w:left="3"/>
              <w:jc w:val="center"/>
              <w:rPr>
                <w:sz w:val="18"/>
              </w:rPr>
            </w:pPr>
            <w:r>
              <w:rPr>
                <w:spacing w:val="-2"/>
                <w:sz w:val="18"/>
              </w:rPr>
              <w:t>Maturity</w:t>
            </w:r>
          </w:p>
        </w:tc>
        <w:tc>
          <w:tcPr>
            <w:tcW w:w="1617" w:type="dxa"/>
            <w:tcBorders>
              <w:top w:val="single" w:sz="4" w:space="0" w:color="000000"/>
              <w:bottom w:val="single" w:sz="4" w:space="0" w:color="000000"/>
            </w:tcBorders>
          </w:tcPr>
          <w:p>
            <w:pPr>
              <w:pStyle w:val="TableParagraph"/>
              <w:spacing w:line="208" w:lineRule="auto" w:before="35"/>
              <w:ind w:left="360" w:right="114" w:hanging="220"/>
              <w:rPr>
                <w:sz w:val="18"/>
              </w:rPr>
            </w:pPr>
            <w:r>
              <w:rPr>
                <w:sz w:val="18"/>
              </w:rPr>
              <w:t>Weighted</w:t>
            </w:r>
            <w:r>
              <w:rPr>
                <w:spacing w:val="-12"/>
                <w:sz w:val="18"/>
              </w:rPr>
              <w:t> </w:t>
            </w:r>
            <w:r>
              <w:rPr>
                <w:sz w:val="18"/>
              </w:rPr>
              <w:t>Average Interest Rate</w:t>
            </w:r>
          </w:p>
        </w:tc>
        <w:tc>
          <w:tcPr>
            <w:tcW w:w="1015" w:type="dxa"/>
            <w:tcBorders>
              <w:top w:val="single" w:sz="4" w:space="0" w:color="000000"/>
              <w:bottom w:val="single" w:sz="4" w:space="0" w:color="000000"/>
            </w:tcBorders>
          </w:tcPr>
          <w:p>
            <w:pPr>
              <w:pStyle w:val="TableParagraph"/>
              <w:spacing w:before="193"/>
              <w:ind w:right="121"/>
              <w:jc w:val="center"/>
              <w:rPr>
                <w:sz w:val="18"/>
              </w:rPr>
            </w:pPr>
            <w:r>
              <w:rPr>
                <w:spacing w:val="-2"/>
                <w:sz w:val="18"/>
              </w:rPr>
              <w:t>Moody’s</w:t>
            </w:r>
          </w:p>
        </w:tc>
        <w:tc>
          <w:tcPr>
            <w:tcW w:w="1096" w:type="dxa"/>
            <w:tcBorders>
              <w:top w:val="single" w:sz="4" w:space="0" w:color="000000"/>
              <w:bottom w:val="single" w:sz="4" w:space="0" w:color="000000"/>
            </w:tcBorders>
          </w:tcPr>
          <w:p>
            <w:pPr>
              <w:pStyle w:val="TableParagraph"/>
              <w:spacing w:line="208" w:lineRule="auto" w:before="35"/>
              <w:ind w:left="243" w:right="189" w:firstLine="7"/>
              <w:rPr>
                <w:sz w:val="18"/>
              </w:rPr>
            </w:pPr>
            <w:r>
              <w:rPr>
                <w:spacing w:val="-2"/>
                <w:sz w:val="18"/>
              </w:rPr>
              <w:t>Standard </w:t>
            </w:r>
            <w:r>
              <w:rPr>
                <w:sz w:val="18"/>
              </w:rPr>
              <w:t>&amp; </w:t>
            </w:r>
            <w:r>
              <w:rPr>
                <w:spacing w:val="-2"/>
                <w:sz w:val="18"/>
              </w:rPr>
              <w:t>Poor’s</w:t>
            </w:r>
          </w:p>
        </w:tc>
        <w:tc>
          <w:tcPr>
            <w:tcW w:w="652" w:type="dxa"/>
            <w:tcBorders>
              <w:top w:val="single" w:sz="4" w:space="0" w:color="000000"/>
              <w:bottom w:val="single" w:sz="4" w:space="0" w:color="000000"/>
            </w:tcBorders>
          </w:tcPr>
          <w:p>
            <w:pPr>
              <w:pStyle w:val="TableParagraph"/>
              <w:spacing w:before="193"/>
              <w:ind w:left="149" w:right="37"/>
              <w:jc w:val="center"/>
              <w:rPr>
                <w:sz w:val="18"/>
              </w:rPr>
            </w:pPr>
            <w:r>
              <w:rPr>
                <w:spacing w:val="-2"/>
                <w:sz w:val="18"/>
              </w:rPr>
              <w:t>Fitch</w:t>
            </w:r>
          </w:p>
        </w:tc>
      </w:tr>
      <w:tr>
        <w:trPr>
          <w:trHeight w:val="250" w:hRule="atLeast"/>
        </w:trPr>
        <w:tc>
          <w:tcPr>
            <w:tcW w:w="2718" w:type="dxa"/>
            <w:tcBorders>
              <w:top w:val="single" w:sz="4" w:space="0" w:color="000000"/>
            </w:tcBorders>
            <w:shd w:val="clear" w:color="auto" w:fill="CCEDFF"/>
          </w:tcPr>
          <w:p>
            <w:pPr>
              <w:pStyle w:val="TableParagraph"/>
              <w:spacing w:before="13"/>
              <w:ind w:left="52"/>
              <w:rPr>
                <w:sz w:val="18"/>
              </w:rPr>
            </w:pPr>
            <w:r>
              <w:rPr>
                <w:sz w:val="18"/>
              </w:rPr>
              <w:t>CSC</w:t>
            </w:r>
            <w:r>
              <w:rPr>
                <w:spacing w:val="-1"/>
                <w:sz w:val="18"/>
              </w:rPr>
              <w:t> </w:t>
            </w:r>
            <w:r>
              <w:rPr>
                <w:sz w:val="18"/>
              </w:rPr>
              <w:t>Senior</w:t>
            </w:r>
            <w:r>
              <w:rPr>
                <w:spacing w:val="-1"/>
                <w:sz w:val="18"/>
              </w:rPr>
              <w:t> </w:t>
            </w:r>
            <w:r>
              <w:rPr>
                <w:spacing w:val="-2"/>
                <w:sz w:val="18"/>
              </w:rPr>
              <w:t>Notes</w:t>
            </w:r>
          </w:p>
        </w:tc>
        <w:tc>
          <w:tcPr>
            <w:tcW w:w="2004" w:type="dxa"/>
            <w:tcBorders>
              <w:top w:val="single" w:sz="4" w:space="0" w:color="000000"/>
            </w:tcBorders>
            <w:shd w:val="clear" w:color="auto" w:fill="CCEDFF"/>
          </w:tcPr>
          <w:p>
            <w:pPr>
              <w:pStyle w:val="TableParagraph"/>
              <w:tabs>
                <w:tab w:pos="682" w:val="left" w:leader="none"/>
              </w:tabs>
              <w:spacing w:before="13"/>
              <w:ind w:right="144"/>
              <w:jc w:val="right"/>
              <w:rPr>
                <w:sz w:val="18"/>
              </w:rPr>
            </w:pPr>
            <w:r>
              <w:rPr>
                <w:spacing w:val="-10"/>
                <w:sz w:val="18"/>
              </w:rPr>
              <w:t>$</w:t>
            </w:r>
            <w:r>
              <w:rPr>
                <w:sz w:val="18"/>
              </w:rPr>
              <w:tab/>
            </w:r>
            <w:r>
              <w:rPr>
                <w:spacing w:val="-2"/>
                <w:sz w:val="18"/>
              </w:rPr>
              <w:t>24,562</w:t>
            </w:r>
          </w:p>
        </w:tc>
        <w:tc>
          <w:tcPr>
            <w:tcW w:w="1158" w:type="dxa"/>
            <w:tcBorders>
              <w:top w:val="single" w:sz="4" w:space="0" w:color="000000"/>
            </w:tcBorders>
            <w:shd w:val="clear" w:color="auto" w:fill="CCEDFF"/>
          </w:tcPr>
          <w:p>
            <w:pPr>
              <w:pStyle w:val="TableParagraph"/>
              <w:spacing w:before="13"/>
              <w:ind w:left="3"/>
              <w:jc w:val="center"/>
              <w:rPr>
                <w:sz w:val="18"/>
              </w:rPr>
            </w:pPr>
            <w:r>
              <w:rPr>
                <w:sz w:val="18"/>
              </w:rPr>
              <w:t>2024 - </w:t>
            </w:r>
            <w:r>
              <w:rPr>
                <w:spacing w:val="-4"/>
                <w:sz w:val="18"/>
              </w:rPr>
              <w:t>2034</w:t>
            </w:r>
          </w:p>
        </w:tc>
        <w:tc>
          <w:tcPr>
            <w:tcW w:w="1617" w:type="dxa"/>
            <w:tcBorders>
              <w:top w:val="single" w:sz="4" w:space="0" w:color="000000"/>
            </w:tcBorders>
            <w:shd w:val="clear" w:color="auto" w:fill="CCEDFF"/>
          </w:tcPr>
          <w:p>
            <w:pPr>
              <w:pStyle w:val="TableParagraph"/>
              <w:spacing w:before="13"/>
              <w:ind w:left="55"/>
              <w:jc w:val="center"/>
              <w:rPr>
                <w:sz w:val="18"/>
              </w:rPr>
            </w:pPr>
            <w:r>
              <w:rPr>
                <w:spacing w:val="-2"/>
                <w:sz w:val="18"/>
              </w:rPr>
              <w:t>3.12%</w:t>
            </w:r>
          </w:p>
        </w:tc>
        <w:tc>
          <w:tcPr>
            <w:tcW w:w="1015" w:type="dxa"/>
            <w:tcBorders>
              <w:top w:val="single" w:sz="4" w:space="0" w:color="000000"/>
            </w:tcBorders>
            <w:shd w:val="clear" w:color="auto" w:fill="CCEDFF"/>
          </w:tcPr>
          <w:p>
            <w:pPr>
              <w:pStyle w:val="TableParagraph"/>
              <w:spacing w:before="13"/>
              <w:ind w:right="121"/>
              <w:jc w:val="center"/>
              <w:rPr>
                <w:sz w:val="18"/>
              </w:rPr>
            </w:pPr>
            <w:r>
              <w:rPr>
                <w:spacing w:val="-5"/>
                <w:sz w:val="18"/>
              </w:rPr>
              <w:t>A2</w:t>
            </w:r>
          </w:p>
        </w:tc>
        <w:tc>
          <w:tcPr>
            <w:tcW w:w="1096" w:type="dxa"/>
            <w:tcBorders>
              <w:top w:val="single" w:sz="4" w:space="0" w:color="000000"/>
            </w:tcBorders>
            <w:shd w:val="clear" w:color="auto" w:fill="CCEDFF"/>
          </w:tcPr>
          <w:p>
            <w:pPr>
              <w:pStyle w:val="TableParagraph"/>
              <w:spacing w:before="13"/>
              <w:ind w:left="45"/>
              <w:jc w:val="center"/>
              <w:rPr>
                <w:sz w:val="18"/>
              </w:rPr>
            </w:pPr>
            <w:r>
              <w:rPr>
                <w:spacing w:val="-5"/>
                <w:sz w:val="18"/>
              </w:rPr>
              <w:t>A-</w:t>
            </w:r>
          </w:p>
        </w:tc>
        <w:tc>
          <w:tcPr>
            <w:tcW w:w="652" w:type="dxa"/>
            <w:tcBorders>
              <w:top w:val="single" w:sz="4" w:space="0" w:color="000000"/>
            </w:tcBorders>
            <w:shd w:val="clear" w:color="auto" w:fill="CCEDFF"/>
          </w:tcPr>
          <w:p>
            <w:pPr>
              <w:pStyle w:val="TableParagraph"/>
              <w:spacing w:before="13"/>
              <w:ind w:left="149" w:right="38"/>
              <w:jc w:val="center"/>
              <w:rPr>
                <w:sz w:val="18"/>
              </w:rPr>
            </w:pPr>
            <w:r>
              <w:rPr>
                <w:spacing w:val="-10"/>
                <w:sz w:val="18"/>
              </w:rPr>
              <w:t>A</w:t>
            </w:r>
          </w:p>
        </w:tc>
      </w:tr>
      <w:tr>
        <w:trPr>
          <w:trHeight w:val="250" w:hRule="atLeast"/>
        </w:trPr>
        <w:tc>
          <w:tcPr>
            <w:tcW w:w="2718" w:type="dxa"/>
            <w:tcBorders>
              <w:bottom w:val="single" w:sz="4" w:space="0" w:color="000000"/>
            </w:tcBorders>
          </w:tcPr>
          <w:p>
            <w:pPr>
              <w:pStyle w:val="TableParagraph"/>
              <w:spacing w:before="13"/>
              <w:ind w:left="52"/>
              <w:rPr>
                <w:sz w:val="18"/>
              </w:rPr>
            </w:pPr>
            <w:r>
              <w:rPr>
                <w:sz w:val="18"/>
              </w:rPr>
              <w:t>TDA</w:t>
            </w:r>
            <w:r>
              <w:rPr>
                <w:spacing w:val="-2"/>
                <w:sz w:val="18"/>
              </w:rPr>
              <w:t> </w:t>
            </w:r>
            <w:r>
              <w:rPr>
                <w:sz w:val="18"/>
              </w:rPr>
              <w:t>Holding</w:t>
            </w:r>
            <w:r>
              <w:rPr>
                <w:spacing w:val="-1"/>
                <w:sz w:val="18"/>
              </w:rPr>
              <w:t> </w:t>
            </w:r>
            <w:r>
              <w:rPr>
                <w:sz w:val="18"/>
              </w:rPr>
              <w:t>Senior</w:t>
            </w:r>
            <w:r>
              <w:rPr>
                <w:spacing w:val="-1"/>
                <w:sz w:val="18"/>
              </w:rPr>
              <w:t> </w:t>
            </w:r>
            <w:r>
              <w:rPr>
                <w:spacing w:val="-2"/>
                <w:sz w:val="18"/>
              </w:rPr>
              <w:t>Notes</w:t>
            </w:r>
          </w:p>
        </w:tc>
        <w:tc>
          <w:tcPr>
            <w:tcW w:w="2004" w:type="dxa"/>
            <w:tcBorders>
              <w:bottom w:val="single" w:sz="4" w:space="0" w:color="000000"/>
            </w:tcBorders>
          </w:tcPr>
          <w:p>
            <w:pPr>
              <w:pStyle w:val="TableParagraph"/>
              <w:spacing w:before="18"/>
              <w:ind w:right="144"/>
              <w:jc w:val="right"/>
              <w:rPr>
                <w:sz w:val="18"/>
              </w:rPr>
            </w:pPr>
            <w:r>
              <w:rPr>
                <w:spacing w:val="-5"/>
                <w:sz w:val="18"/>
              </w:rPr>
              <w:t>213</w:t>
            </w:r>
          </w:p>
        </w:tc>
        <w:tc>
          <w:tcPr>
            <w:tcW w:w="1158" w:type="dxa"/>
            <w:tcBorders>
              <w:bottom w:val="single" w:sz="4" w:space="0" w:color="000000"/>
            </w:tcBorders>
          </w:tcPr>
          <w:p>
            <w:pPr>
              <w:pStyle w:val="TableParagraph"/>
              <w:spacing w:before="18"/>
              <w:ind w:left="3"/>
              <w:jc w:val="center"/>
              <w:rPr>
                <w:sz w:val="18"/>
              </w:rPr>
            </w:pPr>
            <w:r>
              <w:rPr>
                <w:sz w:val="18"/>
              </w:rPr>
              <w:t>2024 - </w:t>
            </w:r>
            <w:r>
              <w:rPr>
                <w:spacing w:val="-4"/>
                <w:sz w:val="18"/>
              </w:rPr>
              <w:t>2029</w:t>
            </w:r>
          </w:p>
        </w:tc>
        <w:tc>
          <w:tcPr>
            <w:tcW w:w="1617" w:type="dxa"/>
            <w:tcBorders>
              <w:bottom w:val="single" w:sz="4" w:space="0" w:color="000000"/>
            </w:tcBorders>
          </w:tcPr>
          <w:p>
            <w:pPr>
              <w:pStyle w:val="TableParagraph"/>
              <w:spacing w:before="18"/>
              <w:ind w:left="55"/>
              <w:jc w:val="center"/>
              <w:rPr>
                <w:sz w:val="18"/>
              </w:rPr>
            </w:pPr>
            <w:r>
              <w:rPr>
                <w:spacing w:val="-2"/>
                <w:sz w:val="18"/>
              </w:rPr>
              <w:t>3.47%</w:t>
            </w:r>
          </w:p>
        </w:tc>
        <w:tc>
          <w:tcPr>
            <w:tcW w:w="1015" w:type="dxa"/>
            <w:tcBorders>
              <w:bottom w:val="single" w:sz="4" w:space="0" w:color="000000"/>
            </w:tcBorders>
          </w:tcPr>
          <w:p>
            <w:pPr>
              <w:pStyle w:val="TableParagraph"/>
              <w:spacing w:before="18"/>
              <w:ind w:right="121"/>
              <w:jc w:val="center"/>
              <w:rPr>
                <w:sz w:val="18"/>
              </w:rPr>
            </w:pPr>
            <w:r>
              <w:rPr>
                <w:spacing w:val="-5"/>
                <w:sz w:val="18"/>
              </w:rPr>
              <w:t>A2</w:t>
            </w:r>
          </w:p>
        </w:tc>
        <w:tc>
          <w:tcPr>
            <w:tcW w:w="1096" w:type="dxa"/>
            <w:tcBorders>
              <w:bottom w:val="single" w:sz="4" w:space="0" w:color="000000"/>
            </w:tcBorders>
          </w:tcPr>
          <w:p>
            <w:pPr>
              <w:pStyle w:val="TableParagraph"/>
              <w:spacing w:before="18"/>
              <w:ind w:left="45"/>
              <w:jc w:val="center"/>
              <w:rPr>
                <w:sz w:val="18"/>
              </w:rPr>
            </w:pPr>
            <w:r>
              <w:rPr>
                <w:spacing w:val="-5"/>
                <w:sz w:val="18"/>
              </w:rPr>
              <w:t>A-</w:t>
            </w:r>
          </w:p>
        </w:tc>
        <w:tc>
          <w:tcPr>
            <w:tcW w:w="652" w:type="dxa"/>
            <w:tcBorders>
              <w:bottom w:val="single" w:sz="4" w:space="0" w:color="000000"/>
            </w:tcBorders>
          </w:tcPr>
          <w:p>
            <w:pPr>
              <w:pStyle w:val="TableParagraph"/>
              <w:spacing w:before="18"/>
              <w:ind w:left="149"/>
              <w:jc w:val="center"/>
              <w:rPr>
                <w:sz w:val="18"/>
              </w:rPr>
            </w:pPr>
            <w:r>
              <w:rPr>
                <w:spacing w:val="-10"/>
                <w:sz w:val="18"/>
              </w:rPr>
              <w:t>—</w:t>
            </w:r>
          </w:p>
        </w:tc>
      </w:tr>
    </w:tbl>
    <w:p>
      <w:pPr>
        <w:pStyle w:val="BodyText"/>
        <w:spacing w:before="51"/>
      </w:pPr>
    </w:p>
    <w:p>
      <w:pPr>
        <w:pStyle w:val="BodyText"/>
        <w:spacing w:line="249" w:lineRule="auto" w:before="1"/>
        <w:ind w:left="470" w:right="500"/>
      </w:pPr>
      <w:r>
        <w:rPr/>
        <w:t>During the second quarter of 2023, Standard and Poor’s downgraded CSC’s and TDA Holding’s long-term issuer credit and senior</w:t>
      </w:r>
      <w:r>
        <w:rPr>
          <w:spacing w:val="-2"/>
        </w:rPr>
        <w:t> </w:t>
      </w:r>
      <w:r>
        <w:rPr/>
        <w:t>unsecured</w:t>
      </w:r>
      <w:r>
        <w:rPr>
          <w:spacing w:val="-2"/>
        </w:rPr>
        <w:t> </w:t>
      </w:r>
      <w:r>
        <w:rPr/>
        <w:t>debt</w:t>
      </w:r>
      <w:r>
        <w:rPr>
          <w:spacing w:val="-3"/>
        </w:rPr>
        <w:t> </w:t>
      </w:r>
      <w:r>
        <w:rPr/>
        <w:t>ratings</w:t>
      </w:r>
      <w:r>
        <w:rPr>
          <w:spacing w:val="-3"/>
        </w:rPr>
        <w:t> </w:t>
      </w:r>
      <w:r>
        <w:rPr/>
        <w:t>from</w:t>
      </w:r>
      <w:r>
        <w:rPr>
          <w:spacing w:val="-3"/>
        </w:rPr>
        <w:t> </w:t>
      </w:r>
      <w:r>
        <w:rPr/>
        <w:t>A</w:t>
      </w:r>
      <w:r>
        <w:rPr>
          <w:spacing w:val="-3"/>
        </w:rPr>
        <w:t> </w:t>
      </w:r>
      <w:r>
        <w:rPr/>
        <w:t>to</w:t>
      </w:r>
      <w:r>
        <w:rPr>
          <w:spacing w:val="-2"/>
        </w:rPr>
        <w:t> </w:t>
      </w:r>
      <w:r>
        <w:rPr/>
        <w:t>A-</w:t>
      </w:r>
      <w:r>
        <w:rPr>
          <w:spacing w:val="-2"/>
        </w:rPr>
        <w:t> </w:t>
      </w:r>
      <w:r>
        <w:rPr/>
        <w:t>and</w:t>
      </w:r>
      <w:r>
        <w:rPr>
          <w:spacing w:val="-2"/>
        </w:rPr>
        <w:t> </w:t>
      </w:r>
      <w:r>
        <w:rPr/>
        <w:t>affirmed</w:t>
      </w:r>
      <w:r>
        <w:rPr>
          <w:spacing w:val="-2"/>
        </w:rPr>
        <w:t> </w:t>
      </w:r>
      <w:r>
        <w:rPr/>
        <w:t>its</w:t>
      </w:r>
      <w:r>
        <w:rPr>
          <w:spacing w:val="-3"/>
        </w:rPr>
        <w:t> </w:t>
      </w:r>
      <w:r>
        <w:rPr/>
        <w:t>outlook</w:t>
      </w:r>
      <w:r>
        <w:rPr>
          <w:spacing w:val="-2"/>
        </w:rPr>
        <w:t> </w:t>
      </w:r>
      <w:r>
        <w:rPr/>
        <w:t>remained</w:t>
      </w:r>
      <w:r>
        <w:rPr>
          <w:spacing w:val="-2"/>
        </w:rPr>
        <w:t> </w:t>
      </w:r>
      <w:r>
        <w:rPr/>
        <w:t>stable.</w:t>
      </w:r>
      <w:r>
        <w:rPr>
          <w:spacing w:val="-2"/>
        </w:rPr>
        <w:t> </w:t>
      </w:r>
      <w:r>
        <w:rPr/>
        <w:t>Moody’s</w:t>
      </w:r>
      <w:r>
        <w:rPr>
          <w:spacing w:val="-3"/>
        </w:rPr>
        <w:t> </w:t>
      </w:r>
      <w:r>
        <w:rPr/>
        <w:t>also</w:t>
      </w:r>
      <w:r>
        <w:rPr>
          <w:spacing w:val="-2"/>
        </w:rPr>
        <w:t> </w:t>
      </w:r>
      <w:r>
        <w:rPr/>
        <w:t>affirmed</w:t>
      </w:r>
      <w:r>
        <w:rPr>
          <w:spacing w:val="-2"/>
        </w:rPr>
        <w:t> </w:t>
      </w:r>
      <w:r>
        <w:rPr/>
        <w:t>its</w:t>
      </w:r>
      <w:r>
        <w:rPr>
          <w:spacing w:val="-3"/>
        </w:rPr>
        <w:t> </w:t>
      </w:r>
      <w:r>
        <w:rPr/>
        <w:t>rating</w:t>
      </w:r>
      <w:r>
        <w:rPr>
          <w:spacing w:val="-2"/>
        </w:rPr>
        <w:t> </w:t>
      </w:r>
      <w:r>
        <w:rPr/>
        <w:t>of</w:t>
      </w:r>
      <w:r>
        <w:rPr>
          <w:spacing w:val="-2"/>
        </w:rPr>
        <w:t> </w:t>
      </w:r>
      <w:r>
        <w:rPr/>
        <w:t>A2</w:t>
      </w:r>
      <w:r>
        <w:rPr>
          <w:spacing w:val="-2"/>
        </w:rPr>
        <w:t> </w:t>
      </w:r>
      <w:r>
        <w:rPr/>
        <w:t>for CSC and TDA Holding and changed its outlook from positive to stable.</w:t>
      </w:r>
    </w:p>
    <w:p>
      <w:pPr>
        <w:pStyle w:val="BodyText"/>
        <w:spacing w:before="12"/>
      </w:pPr>
    </w:p>
    <w:p>
      <w:pPr>
        <w:spacing w:before="0"/>
        <w:ind w:left="470" w:right="0" w:firstLine="0"/>
        <w:jc w:val="left"/>
        <w:rPr>
          <w:i/>
          <w:sz w:val="20"/>
        </w:rPr>
      </w:pPr>
      <w:r>
        <w:rPr>
          <w:i/>
          <w:sz w:val="20"/>
        </w:rPr>
        <w:t>New</w:t>
      </w:r>
      <w:r>
        <w:rPr>
          <w:i/>
          <w:spacing w:val="-5"/>
          <w:sz w:val="20"/>
        </w:rPr>
        <w:t> </w:t>
      </w:r>
      <w:r>
        <w:rPr>
          <w:i/>
          <w:sz w:val="20"/>
        </w:rPr>
        <w:t>Debt</w:t>
      </w:r>
      <w:r>
        <w:rPr>
          <w:i/>
          <w:spacing w:val="-3"/>
          <w:sz w:val="20"/>
        </w:rPr>
        <w:t> </w:t>
      </w:r>
      <w:r>
        <w:rPr>
          <w:i/>
          <w:spacing w:val="-2"/>
          <w:sz w:val="20"/>
        </w:rPr>
        <w:t>Issuances</w:t>
      </w:r>
    </w:p>
    <w:p>
      <w:pPr>
        <w:pStyle w:val="BodyText"/>
        <w:spacing w:before="20"/>
        <w:rPr>
          <w:i/>
        </w:rPr>
      </w:pPr>
    </w:p>
    <w:p>
      <w:pPr>
        <w:pStyle w:val="BodyText"/>
        <w:ind w:left="470"/>
      </w:pPr>
      <w:r>
        <w:rPr/>
        <w:t>The</w:t>
      </w:r>
      <w:r>
        <w:rPr>
          <w:spacing w:val="-6"/>
        </w:rPr>
        <w:t> </w:t>
      </w:r>
      <w:r>
        <w:rPr/>
        <w:t>below</w:t>
      </w:r>
      <w:r>
        <w:rPr>
          <w:spacing w:val="-3"/>
        </w:rPr>
        <w:t> </w:t>
      </w:r>
      <w:r>
        <w:rPr/>
        <w:t>debt</w:t>
      </w:r>
      <w:r>
        <w:rPr>
          <w:spacing w:val="-3"/>
        </w:rPr>
        <w:t> </w:t>
      </w:r>
      <w:r>
        <w:rPr/>
        <w:t>issuances</w:t>
      </w:r>
      <w:r>
        <w:rPr>
          <w:spacing w:val="-4"/>
        </w:rPr>
        <w:t> </w:t>
      </w:r>
      <w:r>
        <w:rPr/>
        <w:t>in</w:t>
      </w:r>
      <w:r>
        <w:rPr>
          <w:spacing w:val="-2"/>
        </w:rPr>
        <w:t> </w:t>
      </w:r>
      <w:r>
        <w:rPr/>
        <w:t>the</w:t>
      </w:r>
      <w:r>
        <w:rPr>
          <w:spacing w:val="-3"/>
        </w:rPr>
        <w:t> </w:t>
      </w:r>
      <w:r>
        <w:rPr/>
        <w:t>first</w:t>
      </w:r>
      <w:r>
        <w:rPr>
          <w:spacing w:val="-4"/>
        </w:rPr>
        <w:t> </w:t>
      </w:r>
      <w:r>
        <w:rPr/>
        <w:t>nine</w:t>
      </w:r>
      <w:r>
        <w:rPr>
          <w:spacing w:val="-3"/>
        </w:rPr>
        <w:t> </w:t>
      </w:r>
      <w:r>
        <w:rPr/>
        <w:t>months</w:t>
      </w:r>
      <w:r>
        <w:rPr>
          <w:spacing w:val="-3"/>
        </w:rPr>
        <w:t> </w:t>
      </w:r>
      <w:r>
        <w:rPr/>
        <w:t>of</w:t>
      </w:r>
      <w:r>
        <w:rPr>
          <w:spacing w:val="-3"/>
        </w:rPr>
        <w:t> </w:t>
      </w:r>
      <w:r>
        <w:rPr/>
        <w:t>2023</w:t>
      </w:r>
      <w:r>
        <w:rPr>
          <w:spacing w:val="-2"/>
        </w:rPr>
        <w:t> </w:t>
      </w:r>
      <w:r>
        <w:rPr/>
        <w:t>were</w:t>
      </w:r>
      <w:r>
        <w:rPr>
          <w:spacing w:val="-3"/>
        </w:rPr>
        <w:t> </w:t>
      </w:r>
      <w:r>
        <w:rPr/>
        <w:t>senior</w:t>
      </w:r>
      <w:r>
        <w:rPr>
          <w:spacing w:val="-3"/>
        </w:rPr>
        <w:t> </w:t>
      </w:r>
      <w:r>
        <w:rPr/>
        <w:t>unsecured</w:t>
      </w:r>
      <w:r>
        <w:rPr>
          <w:spacing w:val="-2"/>
        </w:rPr>
        <w:t> </w:t>
      </w:r>
      <w:r>
        <w:rPr/>
        <w:t>obligations.</w:t>
      </w:r>
      <w:r>
        <w:rPr>
          <w:spacing w:val="-2"/>
        </w:rPr>
        <w:t> </w:t>
      </w:r>
      <w:r>
        <w:rPr/>
        <w:t>Additional</w:t>
      </w:r>
      <w:r>
        <w:rPr>
          <w:spacing w:val="-4"/>
        </w:rPr>
        <w:t> </w:t>
      </w:r>
      <w:r>
        <w:rPr/>
        <w:t>details</w:t>
      </w:r>
      <w:r>
        <w:rPr>
          <w:spacing w:val="-3"/>
        </w:rPr>
        <w:t> </w:t>
      </w:r>
      <w:r>
        <w:rPr/>
        <w:t>are</w:t>
      </w:r>
      <w:r>
        <w:rPr>
          <w:spacing w:val="-3"/>
        </w:rPr>
        <w:t> </w:t>
      </w:r>
      <w:r>
        <w:rPr/>
        <w:t>as</w:t>
      </w:r>
      <w:r>
        <w:rPr>
          <w:spacing w:val="-3"/>
        </w:rPr>
        <w:t> </w:t>
      </w:r>
      <w:r>
        <w:rPr>
          <w:spacing w:val="-2"/>
        </w:rPr>
        <w:t>follows:</w:t>
      </w:r>
    </w:p>
    <w:p>
      <w:pPr>
        <w:pStyle w:val="BodyText"/>
        <w:spacing w:before="9"/>
        <w:rPr>
          <w:sz w:val="13"/>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8"/>
        <w:gridCol w:w="1624"/>
        <w:gridCol w:w="1946"/>
        <w:gridCol w:w="2116"/>
        <w:gridCol w:w="1905"/>
      </w:tblGrid>
      <w:tr>
        <w:trPr>
          <w:trHeight w:val="245" w:hRule="atLeast"/>
        </w:trPr>
        <w:tc>
          <w:tcPr>
            <w:tcW w:w="2668" w:type="dxa"/>
            <w:tcBorders>
              <w:top w:val="single" w:sz="4" w:space="0" w:color="000000"/>
              <w:bottom w:val="single" w:sz="4" w:space="0" w:color="000000"/>
            </w:tcBorders>
          </w:tcPr>
          <w:p>
            <w:pPr>
              <w:pStyle w:val="TableParagraph"/>
              <w:spacing w:before="13"/>
              <w:ind w:left="52"/>
              <w:rPr>
                <w:sz w:val="18"/>
              </w:rPr>
            </w:pPr>
            <w:r>
              <w:rPr>
                <w:sz w:val="18"/>
              </w:rPr>
              <w:t>Issuance</w:t>
            </w:r>
            <w:r>
              <w:rPr>
                <w:spacing w:val="-2"/>
                <w:sz w:val="18"/>
              </w:rPr>
              <w:t> </w:t>
            </w:r>
            <w:r>
              <w:rPr>
                <w:spacing w:val="-4"/>
                <w:sz w:val="18"/>
              </w:rPr>
              <w:t>Date</w:t>
            </w:r>
          </w:p>
        </w:tc>
        <w:tc>
          <w:tcPr>
            <w:tcW w:w="1624" w:type="dxa"/>
            <w:tcBorders>
              <w:top w:val="single" w:sz="4" w:space="0" w:color="000000"/>
              <w:bottom w:val="single" w:sz="4" w:space="0" w:color="000000"/>
            </w:tcBorders>
          </w:tcPr>
          <w:p>
            <w:pPr>
              <w:pStyle w:val="TableParagraph"/>
              <w:rPr>
                <w:sz w:val="16"/>
              </w:rPr>
            </w:pPr>
          </w:p>
        </w:tc>
        <w:tc>
          <w:tcPr>
            <w:tcW w:w="1946" w:type="dxa"/>
            <w:tcBorders>
              <w:top w:val="single" w:sz="4" w:space="0" w:color="000000"/>
              <w:bottom w:val="single" w:sz="4" w:space="0" w:color="000000"/>
            </w:tcBorders>
          </w:tcPr>
          <w:p>
            <w:pPr>
              <w:pStyle w:val="TableParagraph"/>
              <w:spacing w:before="13"/>
              <w:ind w:left="113"/>
              <w:rPr>
                <w:sz w:val="18"/>
              </w:rPr>
            </w:pPr>
            <w:r>
              <w:rPr>
                <w:sz w:val="18"/>
              </w:rPr>
              <w:t>Issuance</w:t>
            </w:r>
            <w:r>
              <w:rPr>
                <w:spacing w:val="-2"/>
                <w:sz w:val="18"/>
              </w:rPr>
              <w:t> Amount</w:t>
            </w:r>
          </w:p>
        </w:tc>
        <w:tc>
          <w:tcPr>
            <w:tcW w:w="2116" w:type="dxa"/>
            <w:tcBorders>
              <w:top w:val="single" w:sz="4" w:space="0" w:color="000000"/>
              <w:bottom w:val="single" w:sz="4" w:space="0" w:color="000000"/>
            </w:tcBorders>
          </w:tcPr>
          <w:p>
            <w:pPr>
              <w:pStyle w:val="TableParagraph"/>
              <w:spacing w:before="13"/>
              <w:ind w:left="282"/>
              <w:rPr>
                <w:sz w:val="18"/>
              </w:rPr>
            </w:pPr>
            <w:r>
              <w:rPr>
                <w:sz w:val="18"/>
              </w:rPr>
              <w:t>Maturity</w:t>
            </w:r>
            <w:r>
              <w:rPr>
                <w:spacing w:val="-3"/>
                <w:sz w:val="18"/>
              </w:rPr>
              <w:t> </w:t>
            </w:r>
            <w:r>
              <w:rPr>
                <w:spacing w:val="-4"/>
                <w:sz w:val="18"/>
              </w:rPr>
              <w:t>Date</w:t>
            </w:r>
          </w:p>
        </w:tc>
        <w:tc>
          <w:tcPr>
            <w:tcW w:w="1905" w:type="dxa"/>
            <w:tcBorders>
              <w:top w:val="single" w:sz="4" w:space="0" w:color="000000"/>
              <w:bottom w:val="single" w:sz="4" w:space="0" w:color="000000"/>
            </w:tcBorders>
          </w:tcPr>
          <w:p>
            <w:pPr>
              <w:pStyle w:val="TableParagraph"/>
              <w:spacing w:before="36"/>
              <w:ind w:left="382"/>
              <w:rPr>
                <w:sz w:val="16"/>
              </w:rPr>
            </w:pPr>
            <w:r>
              <w:rPr>
                <w:sz w:val="16"/>
              </w:rPr>
              <w:t>Interest</w:t>
            </w:r>
            <w:r>
              <w:rPr>
                <w:spacing w:val="-1"/>
                <w:sz w:val="16"/>
              </w:rPr>
              <w:t> </w:t>
            </w:r>
            <w:r>
              <w:rPr>
                <w:spacing w:val="-4"/>
                <w:sz w:val="16"/>
              </w:rPr>
              <w:t>Rate</w:t>
            </w:r>
          </w:p>
        </w:tc>
      </w:tr>
      <w:tr>
        <w:trPr>
          <w:trHeight w:val="250" w:hRule="atLeast"/>
        </w:trPr>
        <w:tc>
          <w:tcPr>
            <w:tcW w:w="2668" w:type="dxa"/>
            <w:tcBorders>
              <w:top w:val="single" w:sz="4" w:space="0" w:color="000000"/>
            </w:tcBorders>
            <w:shd w:val="clear" w:color="auto" w:fill="CCEDFF"/>
          </w:tcPr>
          <w:p>
            <w:pPr>
              <w:pStyle w:val="TableParagraph"/>
              <w:spacing w:before="13"/>
              <w:ind w:left="52"/>
              <w:rPr>
                <w:sz w:val="18"/>
              </w:rPr>
            </w:pPr>
            <w:r>
              <w:rPr>
                <w:sz w:val="18"/>
              </w:rPr>
              <w:t>May</w:t>
            </w:r>
            <w:r>
              <w:rPr>
                <w:spacing w:val="-1"/>
                <w:sz w:val="18"/>
              </w:rPr>
              <w:t> </w:t>
            </w:r>
            <w:r>
              <w:rPr>
                <w:sz w:val="18"/>
              </w:rPr>
              <w:t>19, </w:t>
            </w:r>
            <w:r>
              <w:rPr>
                <w:spacing w:val="-4"/>
                <w:sz w:val="18"/>
              </w:rPr>
              <w:t>2023</w:t>
            </w:r>
          </w:p>
        </w:tc>
        <w:tc>
          <w:tcPr>
            <w:tcW w:w="1624" w:type="dxa"/>
            <w:tcBorders>
              <w:top w:val="single" w:sz="4" w:space="0" w:color="000000"/>
            </w:tcBorders>
            <w:shd w:val="clear" w:color="auto" w:fill="CCEDFF"/>
          </w:tcPr>
          <w:p>
            <w:pPr>
              <w:pStyle w:val="TableParagraph"/>
              <w:spacing w:before="13"/>
              <w:ind w:right="112"/>
              <w:jc w:val="right"/>
              <w:rPr>
                <w:sz w:val="18"/>
              </w:rPr>
            </w:pPr>
            <w:r>
              <w:rPr>
                <w:spacing w:val="-10"/>
                <w:sz w:val="18"/>
              </w:rPr>
              <w:t>$</w:t>
            </w:r>
          </w:p>
        </w:tc>
        <w:tc>
          <w:tcPr>
            <w:tcW w:w="1946" w:type="dxa"/>
            <w:tcBorders>
              <w:top w:val="single" w:sz="4" w:space="0" w:color="000000"/>
            </w:tcBorders>
            <w:shd w:val="clear" w:color="auto" w:fill="CCEDFF"/>
          </w:tcPr>
          <w:p>
            <w:pPr>
              <w:pStyle w:val="TableParagraph"/>
              <w:spacing w:before="13"/>
              <w:ind w:right="280"/>
              <w:jc w:val="right"/>
              <w:rPr>
                <w:sz w:val="18"/>
              </w:rPr>
            </w:pPr>
            <w:r>
              <w:rPr>
                <w:spacing w:val="-2"/>
                <w:sz w:val="18"/>
              </w:rPr>
              <w:t>1,200</w:t>
            </w:r>
          </w:p>
        </w:tc>
        <w:tc>
          <w:tcPr>
            <w:tcW w:w="2116" w:type="dxa"/>
            <w:tcBorders>
              <w:top w:val="single" w:sz="4" w:space="0" w:color="000000"/>
            </w:tcBorders>
            <w:shd w:val="clear" w:color="auto" w:fill="CCEDFF"/>
          </w:tcPr>
          <w:p>
            <w:pPr>
              <w:pStyle w:val="TableParagraph"/>
              <w:spacing w:before="13"/>
              <w:ind w:right="379"/>
              <w:jc w:val="right"/>
              <w:rPr>
                <w:sz w:val="18"/>
              </w:rPr>
            </w:pPr>
            <w:r>
              <w:rPr>
                <w:spacing w:val="-2"/>
                <w:sz w:val="18"/>
              </w:rPr>
              <w:t>05/19/2029</w:t>
            </w:r>
          </w:p>
        </w:tc>
        <w:tc>
          <w:tcPr>
            <w:tcW w:w="1905" w:type="dxa"/>
            <w:tcBorders>
              <w:top w:val="single" w:sz="4" w:space="0" w:color="000000"/>
            </w:tcBorders>
            <w:shd w:val="clear" w:color="auto" w:fill="CCEDFF"/>
          </w:tcPr>
          <w:p>
            <w:pPr>
              <w:pStyle w:val="TableParagraph"/>
              <w:spacing w:before="13"/>
              <w:ind w:right="63"/>
              <w:jc w:val="right"/>
              <w:rPr>
                <w:sz w:val="18"/>
              </w:rPr>
            </w:pPr>
            <w:r>
              <w:rPr>
                <w:sz w:val="18"/>
              </w:rPr>
              <w:t>5.643%</w:t>
            </w:r>
            <w:r>
              <w:rPr>
                <w:spacing w:val="59"/>
                <w:w w:val="150"/>
                <w:sz w:val="18"/>
              </w:rPr>
              <w:t> </w:t>
            </w:r>
            <w:r>
              <w:rPr>
                <w:spacing w:val="-5"/>
                <w:sz w:val="18"/>
                <w:vertAlign w:val="superscript"/>
              </w:rPr>
              <w:t>(1)</w:t>
            </w:r>
          </w:p>
        </w:tc>
      </w:tr>
      <w:tr>
        <w:trPr>
          <w:trHeight w:val="255" w:hRule="atLeast"/>
        </w:trPr>
        <w:tc>
          <w:tcPr>
            <w:tcW w:w="2668" w:type="dxa"/>
          </w:tcPr>
          <w:p>
            <w:pPr>
              <w:pStyle w:val="TableParagraph"/>
              <w:spacing w:before="18"/>
              <w:ind w:left="52"/>
              <w:rPr>
                <w:sz w:val="18"/>
              </w:rPr>
            </w:pPr>
            <w:r>
              <w:rPr>
                <w:sz w:val="18"/>
              </w:rPr>
              <w:t>May</w:t>
            </w:r>
            <w:r>
              <w:rPr>
                <w:spacing w:val="-1"/>
                <w:sz w:val="18"/>
              </w:rPr>
              <w:t> </w:t>
            </w:r>
            <w:r>
              <w:rPr>
                <w:sz w:val="18"/>
              </w:rPr>
              <w:t>19, </w:t>
            </w:r>
            <w:r>
              <w:rPr>
                <w:spacing w:val="-4"/>
                <w:sz w:val="18"/>
              </w:rPr>
              <w:t>2023</w:t>
            </w:r>
          </w:p>
        </w:tc>
        <w:tc>
          <w:tcPr>
            <w:tcW w:w="1624" w:type="dxa"/>
          </w:tcPr>
          <w:p>
            <w:pPr>
              <w:pStyle w:val="TableParagraph"/>
              <w:rPr>
                <w:sz w:val="18"/>
              </w:rPr>
            </w:pPr>
          </w:p>
        </w:tc>
        <w:tc>
          <w:tcPr>
            <w:tcW w:w="1946" w:type="dxa"/>
          </w:tcPr>
          <w:p>
            <w:pPr>
              <w:pStyle w:val="TableParagraph"/>
              <w:spacing w:before="18"/>
              <w:ind w:right="280"/>
              <w:jc w:val="right"/>
              <w:rPr>
                <w:sz w:val="18"/>
              </w:rPr>
            </w:pPr>
            <w:r>
              <w:rPr>
                <w:spacing w:val="-2"/>
                <w:sz w:val="18"/>
              </w:rPr>
              <w:t>1,300</w:t>
            </w:r>
          </w:p>
        </w:tc>
        <w:tc>
          <w:tcPr>
            <w:tcW w:w="2116" w:type="dxa"/>
          </w:tcPr>
          <w:p>
            <w:pPr>
              <w:pStyle w:val="TableParagraph"/>
              <w:spacing w:before="18"/>
              <w:ind w:right="379"/>
              <w:jc w:val="right"/>
              <w:rPr>
                <w:sz w:val="18"/>
              </w:rPr>
            </w:pPr>
            <w:r>
              <w:rPr>
                <w:spacing w:val="-2"/>
                <w:sz w:val="18"/>
              </w:rPr>
              <w:t>05/19/2034</w:t>
            </w:r>
          </w:p>
        </w:tc>
        <w:tc>
          <w:tcPr>
            <w:tcW w:w="1905" w:type="dxa"/>
          </w:tcPr>
          <w:p>
            <w:pPr>
              <w:pStyle w:val="TableParagraph"/>
              <w:spacing w:before="18"/>
              <w:ind w:right="63"/>
              <w:jc w:val="right"/>
              <w:rPr>
                <w:sz w:val="18"/>
              </w:rPr>
            </w:pPr>
            <w:r>
              <w:rPr>
                <w:sz w:val="18"/>
              </w:rPr>
              <w:t>5.853%</w:t>
            </w:r>
            <w:r>
              <w:rPr>
                <w:spacing w:val="59"/>
                <w:w w:val="150"/>
                <w:sz w:val="18"/>
              </w:rPr>
              <w:t> </w:t>
            </w:r>
            <w:r>
              <w:rPr>
                <w:spacing w:val="-5"/>
                <w:sz w:val="18"/>
                <w:vertAlign w:val="superscript"/>
              </w:rPr>
              <w:t>(1)</w:t>
            </w:r>
          </w:p>
        </w:tc>
      </w:tr>
      <w:tr>
        <w:trPr>
          <w:trHeight w:val="255" w:hRule="atLeast"/>
        </w:trPr>
        <w:tc>
          <w:tcPr>
            <w:tcW w:w="2668" w:type="dxa"/>
            <w:shd w:val="clear" w:color="auto" w:fill="CCEDFF"/>
          </w:tcPr>
          <w:p>
            <w:pPr>
              <w:pStyle w:val="TableParagraph"/>
              <w:spacing w:before="18"/>
              <w:ind w:left="52"/>
              <w:rPr>
                <w:sz w:val="18"/>
              </w:rPr>
            </w:pPr>
            <w:r>
              <w:rPr>
                <w:sz w:val="18"/>
              </w:rPr>
              <w:t>August</w:t>
            </w:r>
            <w:r>
              <w:rPr>
                <w:spacing w:val="-3"/>
                <w:sz w:val="18"/>
              </w:rPr>
              <w:t> </w:t>
            </w:r>
            <w:r>
              <w:rPr>
                <w:sz w:val="18"/>
              </w:rPr>
              <w:t>24,</w:t>
            </w:r>
            <w:r>
              <w:rPr>
                <w:spacing w:val="-1"/>
                <w:sz w:val="18"/>
              </w:rPr>
              <w:t> </w:t>
            </w:r>
            <w:r>
              <w:rPr>
                <w:spacing w:val="-4"/>
                <w:sz w:val="18"/>
              </w:rPr>
              <w:t>2023</w:t>
            </w:r>
          </w:p>
        </w:tc>
        <w:tc>
          <w:tcPr>
            <w:tcW w:w="1624" w:type="dxa"/>
            <w:shd w:val="clear" w:color="auto" w:fill="CCEDFF"/>
          </w:tcPr>
          <w:p>
            <w:pPr>
              <w:pStyle w:val="TableParagraph"/>
              <w:rPr>
                <w:sz w:val="18"/>
              </w:rPr>
            </w:pPr>
          </w:p>
        </w:tc>
        <w:tc>
          <w:tcPr>
            <w:tcW w:w="1946" w:type="dxa"/>
            <w:shd w:val="clear" w:color="auto" w:fill="CCEDFF"/>
          </w:tcPr>
          <w:p>
            <w:pPr>
              <w:pStyle w:val="TableParagraph"/>
              <w:spacing w:before="18"/>
              <w:ind w:right="280"/>
              <w:jc w:val="right"/>
              <w:rPr>
                <w:sz w:val="18"/>
              </w:rPr>
            </w:pPr>
            <w:r>
              <w:rPr>
                <w:spacing w:val="-2"/>
                <w:sz w:val="18"/>
              </w:rPr>
              <w:t>1,350</w:t>
            </w:r>
          </w:p>
        </w:tc>
        <w:tc>
          <w:tcPr>
            <w:tcW w:w="2116" w:type="dxa"/>
            <w:shd w:val="clear" w:color="auto" w:fill="CCEDFF"/>
          </w:tcPr>
          <w:p>
            <w:pPr>
              <w:pStyle w:val="TableParagraph"/>
              <w:spacing w:before="18"/>
              <w:ind w:right="379"/>
              <w:jc w:val="right"/>
              <w:rPr>
                <w:sz w:val="18"/>
              </w:rPr>
            </w:pPr>
            <w:r>
              <w:rPr>
                <w:spacing w:val="-2"/>
                <w:sz w:val="18"/>
              </w:rPr>
              <w:t>08/24/2034</w:t>
            </w:r>
          </w:p>
        </w:tc>
        <w:tc>
          <w:tcPr>
            <w:tcW w:w="1905" w:type="dxa"/>
            <w:shd w:val="clear" w:color="auto" w:fill="CCEDFF"/>
          </w:tcPr>
          <w:p>
            <w:pPr>
              <w:pStyle w:val="TableParagraph"/>
              <w:spacing w:before="18"/>
              <w:ind w:right="63"/>
              <w:jc w:val="right"/>
              <w:rPr>
                <w:sz w:val="18"/>
              </w:rPr>
            </w:pPr>
            <w:r>
              <w:rPr>
                <w:sz w:val="18"/>
              </w:rPr>
              <w:t>6.136%</w:t>
            </w:r>
            <w:r>
              <w:rPr>
                <w:spacing w:val="59"/>
                <w:w w:val="150"/>
                <w:sz w:val="18"/>
              </w:rPr>
              <w:t> </w:t>
            </w:r>
            <w:r>
              <w:rPr>
                <w:spacing w:val="-5"/>
                <w:sz w:val="18"/>
                <w:vertAlign w:val="superscript"/>
              </w:rPr>
              <w:t>(1)</w:t>
            </w:r>
          </w:p>
        </w:tc>
      </w:tr>
      <w:tr>
        <w:trPr>
          <w:trHeight w:val="250" w:hRule="atLeast"/>
        </w:trPr>
        <w:tc>
          <w:tcPr>
            <w:tcW w:w="2668" w:type="dxa"/>
            <w:tcBorders>
              <w:bottom w:val="single" w:sz="4" w:space="0" w:color="000000"/>
            </w:tcBorders>
          </w:tcPr>
          <w:p>
            <w:pPr>
              <w:pStyle w:val="TableParagraph"/>
              <w:spacing w:before="18"/>
              <w:ind w:left="52"/>
              <w:rPr>
                <w:sz w:val="18"/>
              </w:rPr>
            </w:pPr>
            <w:r>
              <w:rPr>
                <w:sz w:val="18"/>
              </w:rPr>
              <w:t>August</w:t>
            </w:r>
            <w:r>
              <w:rPr>
                <w:spacing w:val="-3"/>
                <w:sz w:val="18"/>
              </w:rPr>
              <w:t> </w:t>
            </w:r>
            <w:r>
              <w:rPr>
                <w:sz w:val="18"/>
              </w:rPr>
              <w:t>24,</w:t>
            </w:r>
            <w:r>
              <w:rPr>
                <w:spacing w:val="-1"/>
                <w:sz w:val="18"/>
              </w:rPr>
              <w:t> </w:t>
            </w:r>
            <w:r>
              <w:rPr>
                <w:spacing w:val="-4"/>
                <w:sz w:val="18"/>
              </w:rPr>
              <w:t>2023</w:t>
            </w:r>
          </w:p>
        </w:tc>
        <w:tc>
          <w:tcPr>
            <w:tcW w:w="1624" w:type="dxa"/>
            <w:tcBorders>
              <w:bottom w:val="single" w:sz="4" w:space="0" w:color="000000"/>
            </w:tcBorders>
          </w:tcPr>
          <w:p>
            <w:pPr>
              <w:pStyle w:val="TableParagraph"/>
              <w:rPr>
                <w:sz w:val="18"/>
              </w:rPr>
            </w:pPr>
          </w:p>
        </w:tc>
        <w:tc>
          <w:tcPr>
            <w:tcW w:w="1946" w:type="dxa"/>
            <w:tcBorders>
              <w:bottom w:val="single" w:sz="4" w:space="0" w:color="000000"/>
            </w:tcBorders>
          </w:tcPr>
          <w:p>
            <w:pPr>
              <w:pStyle w:val="TableParagraph"/>
              <w:spacing w:before="18"/>
              <w:ind w:right="280"/>
              <w:jc w:val="right"/>
              <w:rPr>
                <w:sz w:val="18"/>
              </w:rPr>
            </w:pPr>
            <w:r>
              <w:rPr>
                <w:spacing w:val="-2"/>
                <w:sz w:val="18"/>
              </w:rPr>
              <w:t>1,000</w:t>
            </w:r>
          </w:p>
        </w:tc>
        <w:tc>
          <w:tcPr>
            <w:tcW w:w="2116" w:type="dxa"/>
            <w:tcBorders>
              <w:bottom w:val="single" w:sz="4" w:space="0" w:color="000000"/>
            </w:tcBorders>
          </w:tcPr>
          <w:p>
            <w:pPr>
              <w:pStyle w:val="TableParagraph"/>
              <w:spacing w:before="18"/>
              <w:ind w:right="379"/>
              <w:jc w:val="right"/>
              <w:rPr>
                <w:sz w:val="18"/>
              </w:rPr>
            </w:pPr>
            <w:r>
              <w:rPr>
                <w:spacing w:val="-2"/>
                <w:sz w:val="18"/>
              </w:rPr>
              <w:t>08/24/2026</w:t>
            </w:r>
          </w:p>
        </w:tc>
        <w:tc>
          <w:tcPr>
            <w:tcW w:w="1905" w:type="dxa"/>
            <w:tcBorders>
              <w:bottom w:val="single" w:sz="4" w:space="0" w:color="000000"/>
            </w:tcBorders>
          </w:tcPr>
          <w:p>
            <w:pPr>
              <w:pStyle w:val="TableParagraph"/>
              <w:spacing w:before="18"/>
              <w:ind w:left="1036"/>
              <w:rPr>
                <w:sz w:val="18"/>
              </w:rPr>
            </w:pPr>
            <w:r>
              <w:rPr>
                <w:spacing w:val="-2"/>
                <w:sz w:val="18"/>
              </w:rPr>
              <w:t>5.875%</w:t>
            </w:r>
          </w:p>
        </w:tc>
      </w:tr>
    </w:tbl>
    <w:p>
      <w:pPr>
        <w:spacing w:line="249" w:lineRule="auto" w:before="51"/>
        <w:ind w:left="650" w:right="500" w:hanging="180"/>
        <w:jc w:val="left"/>
        <w:rPr>
          <w:sz w:val="16"/>
        </w:rPr>
      </w:pPr>
      <w:r>
        <w:rPr>
          <w:sz w:val="16"/>
          <w:vertAlign w:val="superscript"/>
        </w:rPr>
        <w:t>(1)</w:t>
      </w:r>
      <w:r>
        <w:rPr>
          <w:spacing w:val="-15"/>
          <w:sz w:val="16"/>
          <w:vertAlign w:val="baseline"/>
        </w:rPr>
        <w:t> </w:t>
      </w:r>
      <w:r>
        <w:rPr>
          <w:sz w:val="16"/>
          <w:vertAlign w:val="baseline"/>
        </w:rPr>
        <w:t>Interest</w:t>
      </w:r>
      <w:r>
        <w:rPr>
          <w:spacing w:val="-3"/>
          <w:sz w:val="16"/>
          <w:vertAlign w:val="baseline"/>
        </w:rPr>
        <w:t> </w:t>
      </w:r>
      <w:r>
        <w:rPr>
          <w:sz w:val="16"/>
          <w:vertAlign w:val="baseline"/>
        </w:rPr>
        <w:t>rates</w:t>
      </w:r>
      <w:r>
        <w:rPr>
          <w:spacing w:val="-3"/>
          <w:sz w:val="16"/>
          <w:vertAlign w:val="baseline"/>
        </w:rPr>
        <w:t> </w:t>
      </w:r>
      <w:r>
        <w:rPr>
          <w:sz w:val="16"/>
          <w:vertAlign w:val="baseline"/>
        </w:rPr>
        <w:t>presented</w:t>
      </w:r>
      <w:r>
        <w:rPr>
          <w:spacing w:val="-2"/>
          <w:sz w:val="16"/>
          <w:vertAlign w:val="baseline"/>
        </w:rPr>
        <w:t> </w:t>
      </w:r>
      <w:r>
        <w:rPr>
          <w:sz w:val="16"/>
          <w:vertAlign w:val="baseline"/>
        </w:rPr>
        <w:t>are</w:t>
      </w:r>
      <w:r>
        <w:rPr>
          <w:spacing w:val="-2"/>
          <w:sz w:val="16"/>
          <w:vertAlign w:val="baseline"/>
        </w:rPr>
        <w:t> </w:t>
      </w:r>
      <w:r>
        <w:rPr>
          <w:sz w:val="16"/>
          <w:vertAlign w:val="baseline"/>
        </w:rPr>
        <w:t>those</w:t>
      </w:r>
      <w:r>
        <w:rPr>
          <w:spacing w:val="-2"/>
          <w:sz w:val="16"/>
          <w:vertAlign w:val="baseline"/>
        </w:rPr>
        <w:t> </w:t>
      </w:r>
      <w:r>
        <w:rPr>
          <w:sz w:val="16"/>
          <w:vertAlign w:val="baseline"/>
        </w:rPr>
        <w:t>in</w:t>
      </w:r>
      <w:r>
        <w:rPr>
          <w:spacing w:val="-2"/>
          <w:sz w:val="16"/>
          <w:vertAlign w:val="baseline"/>
        </w:rPr>
        <w:t> </w:t>
      </w:r>
      <w:r>
        <w:rPr>
          <w:sz w:val="16"/>
          <w:vertAlign w:val="baseline"/>
        </w:rPr>
        <w:t>effect</w:t>
      </w:r>
      <w:r>
        <w:rPr>
          <w:spacing w:val="-2"/>
          <w:sz w:val="16"/>
          <w:vertAlign w:val="baseline"/>
        </w:rPr>
        <w:t> </w:t>
      </w:r>
      <w:r>
        <w:rPr>
          <w:sz w:val="16"/>
          <w:vertAlign w:val="baseline"/>
        </w:rPr>
        <w:t>at</w:t>
      </w:r>
      <w:r>
        <w:rPr>
          <w:spacing w:val="-4"/>
          <w:sz w:val="16"/>
          <w:vertAlign w:val="baseline"/>
        </w:rPr>
        <w:t> </w:t>
      </w:r>
      <w:r>
        <w:rPr>
          <w:sz w:val="16"/>
          <w:vertAlign w:val="baseline"/>
        </w:rPr>
        <w:t>September</w:t>
      </w:r>
      <w:r>
        <w:rPr>
          <w:spacing w:val="-2"/>
          <w:sz w:val="16"/>
          <w:vertAlign w:val="baseline"/>
        </w:rPr>
        <w:t> </w:t>
      </w:r>
      <w:r>
        <w:rPr>
          <w:sz w:val="16"/>
          <w:vertAlign w:val="baseline"/>
        </w:rPr>
        <w:t>30,</w:t>
      </w:r>
      <w:r>
        <w:rPr>
          <w:spacing w:val="-2"/>
          <w:sz w:val="16"/>
          <w:vertAlign w:val="baseline"/>
        </w:rPr>
        <w:t> </w:t>
      </w:r>
      <w:r>
        <w:rPr>
          <w:sz w:val="16"/>
          <w:vertAlign w:val="baseline"/>
        </w:rPr>
        <w:t>2023.</w:t>
      </w:r>
      <w:r>
        <w:rPr>
          <w:spacing w:val="-2"/>
          <w:sz w:val="16"/>
          <w:vertAlign w:val="baseline"/>
        </w:rPr>
        <w:t> </w:t>
      </w:r>
      <w:r>
        <w:rPr>
          <w:sz w:val="16"/>
          <w:vertAlign w:val="baseline"/>
        </w:rPr>
        <w:t>For</w:t>
      </w:r>
      <w:r>
        <w:rPr>
          <w:spacing w:val="-2"/>
          <w:sz w:val="16"/>
          <w:vertAlign w:val="baseline"/>
        </w:rPr>
        <w:t> </w:t>
      </w:r>
      <w:r>
        <w:rPr>
          <w:sz w:val="16"/>
          <w:vertAlign w:val="baseline"/>
        </w:rPr>
        <w:t>additional</w:t>
      </w:r>
      <w:r>
        <w:rPr>
          <w:spacing w:val="-2"/>
          <w:sz w:val="16"/>
          <w:vertAlign w:val="baseline"/>
        </w:rPr>
        <w:t> </w:t>
      </w:r>
      <w:r>
        <w:rPr>
          <w:sz w:val="16"/>
          <w:vertAlign w:val="baseline"/>
        </w:rPr>
        <w:t>information</w:t>
      </w:r>
      <w:r>
        <w:rPr>
          <w:spacing w:val="-2"/>
          <w:sz w:val="16"/>
          <w:vertAlign w:val="baseline"/>
        </w:rPr>
        <w:t> </w:t>
      </w:r>
      <w:r>
        <w:rPr>
          <w:sz w:val="16"/>
          <w:vertAlign w:val="baseline"/>
        </w:rPr>
        <w:t>regarding</w:t>
      </w:r>
      <w:r>
        <w:rPr>
          <w:spacing w:val="-2"/>
          <w:sz w:val="16"/>
          <w:vertAlign w:val="baseline"/>
        </w:rPr>
        <w:t> </w:t>
      </w:r>
      <w:r>
        <w:rPr>
          <w:sz w:val="16"/>
          <w:vertAlign w:val="baseline"/>
        </w:rPr>
        <w:t>future</w:t>
      </w:r>
      <w:r>
        <w:rPr>
          <w:spacing w:val="-2"/>
          <w:sz w:val="16"/>
          <w:vertAlign w:val="baseline"/>
        </w:rPr>
        <w:t> </w:t>
      </w:r>
      <w:r>
        <w:rPr>
          <w:sz w:val="16"/>
          <w:vertAlign w:val="baseline"/>
        </w:rPr>
        <w:t>interest</w:t>
      </w:r>
      <w:r>
        <w:rPr>
          <w:spacing w:val="-2"/>
          <w:sz w:val="16"/>
          <w:vertAlign w:val="baseline"/>
        </w:rPr>
        <w:t> </w:t>
      </w:r>
      <w:r>
        <w:rPr>
          <w:sz w:val="16"/>
          <w:vertAlign w:val="baseline"/>
        </w:rPr>
        <w:t>rates</w:t>
      </w:r>
      <w:r>
        <w:rPr>
          <w:spacing w:val="-3"/>
          <w:sz w:val="16"/>
          <w:vertAlign w:val="baseline"/>
        </w:rPr>
        <w:t> </w:t>
      </w:r>
      <w:r>
        <w:rPr>
          <w:sz w:val="16"/>
          <w:vertAlign w:val="baseline"/>
        </w:rPr>
        <w:t>on</w:t>
      </w:r>
      <w:r>
        <w:rPr>
          <w:spacing w:val="-2"/>
          <w:sz w:val="16"/>
          <w:vertAlign w:val="baseline"/>
        </w:rPr>
        <w:t> </w:t>
      </w:r>
      <w:r>
        <w:rPr>
          <w:sz w:val="16"/>
          <w:vertAlign w:val="baseline"/>
        </w:rPr>
        <w:t>fixed-to-floating</w:t>
      </w:r>
      <w:r>
        <w:rPr>
          <w:spacing w:val="-2"/>
          <w:sz w:val="16"/>
          <w:vertAlign w:val="baseline"/>
        </w:rPr>
        <w:t> </w:t>
      </w:r>
      <w:r>
        <w:rPr>
          <w:sz w:val="16"/>
          <w:vertAlign w:val="baseline"/>
        </w:rPr>
        <w:t>rate</w:t>
      </w:r>
      <w:r>
        <w:rPr>
          <w:spacing w:val="-2"/>
          <w:sz w:val="16"/>
          <w:vertAlign w:val="baseline"/>
        </w:rPr>
        <w:t> </w:t>
      </w:r>
      <w:r>
        <w:rPr>
          <w:sz w:val="16"/>
          <w:vertAlign w:val="baseline"/>
        </w:rPr>
        <w:t>Senior</w:t>
      </w:r>
      <w:r>
        <w:rPr>
          <w:spacing w:val="40"/>
          <w:sz w:val="16"/>
          <w:vertAlign w:val="baseline"/>
        </w:rPr>
        <w:t> </w:t>
      </w:r>
      <w:r>
        <w:rPr>
          <w:sz w:val="16"/>
          <w:vertAlign w:val="baseline"/>
        </w:rPr>
        <w:t>Notes, see Item 1 – Note 8.</w:t>
      </w:r>
    </w:p>
    <w:p>
      <w:pPr>
        <w:pStyle w:val="BodyText"/>
        <w:spacing w:before="48"/>
        <w:rPr>
          <w:sz w:val="16"/>
        </w:rPr>
      </w:pPr>
    </w:p>
    <w:p>
      <w:pPr>
        <w:pStyle w:val="BodyText"/>
        <w:spacing w:line="249" w:lineRule="auto"/>
        <w:ind w:left="470" w:right="566"/>
      </w:pPr>
      <w:r>
        <w:rPr/>
        <w:t>Schwab</w:t>
      </w:r>
      <w:r>
        <w:rPr>
          <w:spacing w:val="-3"/>
        </w:rPr>
        <w:t> </w:t>
      </w:r>
      <w:r>
        <w:rPr/>
        <w:t>additionally</w:t>
      </w:r>
      <w:r>
        <w:rPr>
          <w:spacing w:val="-3"/>
        </w:rPr>
        <w:t> </w:t>
      </w:r>
      <w:r>
        <w:rPr/>
        <w:t>enters</w:t>
      </w:r>
      <w:r>
        <w:rPr>
          <w:spacing w:val="-4"/>
        </w:rPr>
        <w:t> </w:t>
      </w:r>
      <w:r>
        <w:rPr/>
        <w:t>into</w:t>
      </w:r>
      <w:r>
        <w:rPr>
          <w:spacing w:val="-3"/>
        </w:rPr>
        <w:t> </w:t>
      </w:r>
      <w:r>
        <w:rPr/>
        <w:t>guarantees</w:t>
      </w:r>
      <w:r>
        <w:rPr>
          <w:spacing w:val="-4"/>
        </w:rPr>
        <w:t> </w:t>
      </w:r>
      <w:r>
        <w:rPr/>
        <w:t>and</w:t>
      </w:r>
      <w:r>
        <w:rPr>
          <w:spacing w:val="-3"/>
        </w:rPr>
        <w:t> </w:t>
      </w:r>
      <w:r>
        <w:rPr/>
        <w:t>other</w:t>
      </w:r>
      <w:r>
        <w:rPr>
          <w:spacing w:val="-3"/>
        </w:rPr>
        <w:t> </w:t>
      </w:r>
      <w:r>
        <w:rPr/>
        <w:t>similar</w:t>
      </w:r>
      <w:r>
        <w:rPr>
          <w:spacing w:val="-3"/>
        </w:rPr>
        <w:t> </w:t>
      </w:r>
      <w:r>
        <w:rPr/>
        <w:t>arrangements</w:t>
      </w:r>
      <w:r>
        <w:rPr>
          <w:spacing w:val="-4"/>
        </w:rPr>
        <w:t> </w:t>
      </w:r>
      <w:r>
        <w:rPr/>
        <w:t>in</w:t>
      </w:r>
      <w:r>
        <w:rPr>
          <w:spacing w:val="-3"/>
        </w:rPr>
        <w:t> </w:t>
      </w:r>
      <w:r>
        <w:rPr/>
        <w:t>the</w:t>
      </w:r>
      <w:r>
        <w:rPr>
          <w:spacing w:val="-4"/>
        </w:rPr>
        <w:t> </w:t>
      </w:r>
      <w:r>
        <w:rPr/>
        <w:t>ordinary</w:t>
      </w:r>
      <w:r>
        <w:rPr>
          <w:spacing w:val="-3"/>
        </w:rPr>
        <w:t> </w:t>
      </w:r>
      <w:r>
        <w:rPr/>
        <w:t>course</w:t>
      </w:r>
      <w:r>
        <w:rPr>
          <w:spacing w:val="-4"/>
        </w:rPr>
        <w:t> </w:t>
      </w:r>
      <w:r>
        <w:rPr/>
        <w:t>of</w:t>
      </w:r>
      <w:r>
        <w:rPr>
          <w:spacing w:val="-3"/>
        </w:rPr>
        <w:t> </w:t>
      </w:r>
      <w:r>
        <w:rPr/>
        <w:t>business.</w:t>
      </w:r>
      <w:r>
        <w:rPr>
          <w:spacing w:val="-3"/>
        </w:rPr>
        <w:t> </w:t>
      </w:r>
      <w:r>
        <w:rPr/>
        <w:t>For</w:t>
      </w:r>
      <w:r>
        <w:rPr>
          <w:spacing w:val="-3"/>
        </w:rPr>
        <w:t> </w:t>
      </w:r>
      <w:r>
        <w:rPr/>
        <w:t>information on these arrangements, see Item 1 – Notes 5, 6, 8, 9, and 12.</w:t>
      </w:r>
    </w:p>
    <w:p>
      <w:pPr>
        <w:spacing w:after="0" w:line="249" w:lineRule="auto"/>
        <w:sectPr>
          <w:pgSz w:w="12240" w:h="15840"/>
          <w:pgMar w:header="512" w:footer="201" w:top="1180" w:bottom="400" w:left="520" w:right="520"/>
        </w:sectPr>
      </w:pPr>
    </w:p>
    <w:p>
      <w:pPr>
        <w:pStyle w:val="BodyText"/>
        <w:spacing w:line="249" w:lineRule="auto" w:before="211"/>
        <w:ind w:left="470" w:right="470"/>
      </w:pPr>
      <w:r>
        <w:rPr/>
        <w:t>Additional</w:t>
      </w:r>
      <w:r>
        <w:rPr>
          <w:spacing w:val="-3"/>
        </w:rPr>
        <w:t> </w:t>
      </w:r>
      <w:r>
        <w:rPr/>
        <w:t>information</w:t>
      </w:r>
      <w:r>
        <w:rPr>
          <w:spacing w:val="-2"/>
        </w:rPr>
        <w:t> </w:t>
      </w:r>
      <w:r>
        <w:rPr/>
        <w:t>regarding</w:t>
      </w:r>
      <w:r>
        <w:rPr>
          <w:spacing w:val="-2"/>
        </w:rPr>
        <w:t> </w:t>
      </w:r>
      <w:r>
        <w:rPr/>
        <w:t>our</w:t>
      </w:r>
      <w:r>
        <w:rPr>
          <w:spacing w:val="-2"/>
        </w:rPr>
        <w:t> </w:t>
      </w:r>
      <w:r>
        <w:rPr/>
        <w:t>sources</w:t>
      </w:r>
      <w:r>
        <w:rPr>
          <w:spacing w:val="-3"/>
        </w:rPr>
        <w:t> </w:t>
      </w:r>
      <w:r>
        <w:rPr/>
        <w:t>and</w:t>
      </w:r>
      <w:r>
        <w:rPr>
          <w:spacing w:val="-2"/>
        </w:rPr>
        <w:t> </w:t>
      </w:r>
      <w:r>
        <w:rPr/>
        <w:t>uses</w:t>
      </w:r>
      <w:r>
        <w:rPr>
          <w:spacing w:val="-3"/>
        </w:rPr>
        <w:t> </w:t>
      </w:r>
      <w:r>
        <w:rPr/>
        <w:t>of</w:t>
      </w:r>
      <w:r>
        <w:rPr>
          <w:spacing w:val="-2"/>
        </w:rPr>
        <w:t> </w:t>
      </w:r>
      <w:r>
        <w:rPr/>
        <w:t>liquidity</w:t>
      </w:r>
      <w:r>
        <w:rPr>
          <w:spacing w:val="-2"/>
        </w:rPr>
        <w:t> </w:t>
      </w:r>
      <w:r>
        <w:rPr/>
        <w:t>and</w:t>
      </w:r>
      <w:r>
        <w:rPr>
          <w:spacing w:val="-2"/>
        </w:rPr>
        <w:t> </w:t>
      </w:r>
      <w:r>
        <w:rPr/>
        <w:t>management</w:t>
      </w:r>
      <w:r>
        <w:rPr>
          <w:spacing w:val="-3"/>
        </w:rPr>
        <w:t> </w:t>
      </w:r>
      <w:r>
        <w:rPr/>
        <w:t>of</w:t>
      </w:r>
      <w:r>
        <w:rPr>
          <w:spacing w:val="-2"/>
        </w:rPr>
        <w:t> </w:t>
      </w:r>
      <w:r>
        <w:rPr/>
        <w:t>liquidity</w:t>
      </w:r>
      <w:r>
        <w:rPr>
          <w:spacing w:val="-2"/>
        </w:rPr>
        <w:t> </w:t>
      </w:r>
      <w:r>
        <w:rPr/>
        <w:t>risk</w:t>
      </w:r>
      <w:r>
        <w:rPr>
          <w:spacing w:val="-2"/>
        </w:rPr>
        <w:t> </w:t>
      </w:r>
      <w:r>
        <w:rPr/>
        <w:t>is</w:t>
      </w:r>
      <w:r>
        <w:rPr>
          <w:spacing w:val="-3"/>
        </w:rPr>
        <w:t> </w:t>
      </w:r>
      <w:r>
        <w:rPr/>
        <w:t>included</w:t>
      </w:r>
      <w:r>
        <w:rPr>
          <w:spacing w:val="-2"/>
        </w:rPr>
        <w:t> </w:t>
      </w:r>
      <w:r>
        <w:rPr/>
        <w:t>in</w:t>
      </w:r>
      <w:r>
        <w:rPr>
          <w:spacing w:val="-2"/>
        </w:rPr>
        <w:t> </w:t>
      </w:r>
      <w:r>
        <w:rPr/>
        <w:t>Part</w:t>
      </w:r>
      <w:r>
        <w:rPr>
          <w:spacing w:val="-3"/>
        </w:rPr>
        <w:t> </w:t>
      </w:r>
      <w:r>
        <w:rPr/>
        <w:t>II</w:t>
      </w:r>
      <w:r>
        <w:rPr>
          <w:spacing w:val="-2"/>
        </w:rPr>
        <w:t> </w:t>
      </w:r>
      <w:r>
        <w:rPr/>
        <w:t>–</w:t>
      </w:r>
      <w:r>
        <w:rPr>
          <w:spacing w:val="-2"/>
        </w:rPr>
        <w:t> </w:t>
      </w:r>
      <w:r>
        <w:rPr/>
        <w:t>Item 7 – Management’s Discussion and Analysis of Financial Condition and Results of Operations – Risk Management – Liquidity Risk in our 2022 Form 10-K. See also Item 1 – Condensed Consolidated Statements of Cash Flows, Item 1 – Note 7 for the Company’s bank deposits, Item 1 – Note 8 for the Company’s debt and borrowing facilities, and Item 1 – Note 14 for equity outstanding balances and activity.</w:t>
      </w:r>
    </w:p>
    <w:p>
      <w:pPr>
        <w:pStyle w:val="BodyText"/>
        <w:spacing w:before="11"/>
      </w:pPr>
    </w:p>
    <w:p>
      <w:pPr>
        <w:spacing w:before="0"/>
        <w:ind w:left="470" w:right="0" w:firstLine="0"/>
        <w:jc w:val="left"/>
        <w:rPr>
          <w:b/>
          <w:sz w:val="20"/>
        </w:rPr>
      </w:pPr>
      <w:bookmarkStart w:name="Capital Management" w:id="20"/>
      <w:bookmarkEnd w:id="20"/>
      <w:r>
        <w:rPr/>
      </w:r>
      <w:r>
        <w:rPr>
          <w:b/>
          <w:sz w:val="20"/>
          <w:u w:val="single"/>
        </w:rPr>
        <w:t>CAPITAL</w:t>
      </w:r>
      <w:r>
        <w:rPr>
          <w:b/>
          <w:spacing w:val="-7"/>
          <w:sz w:val="20"/>
          <w:u w:val="single"/>
        </w:rPr>
        <w:t> </w:t>
      </w:r>
      <w:r>
        <w:rPr>
          <w:b/>
          <w:spacing w:val="-2"/>
          <w:sz w:val="20"/>
          <w:u w:val="single"/>
        </w:rPr>
        <w:t>MANAGEMENT</w:t>
      </w:r>
    </w:p>
    <w:p>
      <w:pPr>
        <w:pStyle w:val="BodyText"/>
        <w:spacing w:before="23"/>
        <w:rPr>
          <w:b/>
        </w:rPr>
      </w:pPr>
    </w:p>
    <w:p>
      <w:pPr>
        <w:pStyle w:val="BodyText"/>
        <w:spacing w:line="249" w:lineRule="auto"/>
        <w:ind w:left="470" w:right="500"/>
      </w:pPr>
      <w:r>
        <w:rPr/>
        <w:t>Schwab seeks to manage capital to a level and composition sufficient to support execution of our business strategy, including balance</w:t>
      </w:r>
      <w:r>
        <w:rPr>
          <w:spacing w:val="-1"/>
        </w:rPr>
        <w:t> </w:t>
      </w:r>
      <w:r>
        <w:rPr/>
        <w:t>sheet</w:t>
      </w:r>
      <w:r>
        <w:rPr>
          <w:spacing w:val="-1"/>
        </w:rPr>
        <w:t> </w:t>
      </w:r>
      <w:r>
        <w:rPr/>
        <w:t>growth over time, management</w:t>
      </w:r>
      <w:r>
        <w:rPr>
          <w:spacing w:val="-1"/>
        </w:rPr>
        <w:t> </w:t>
      </w:r>
      <w:r>
        <w:rPr/>
        <w:t>of the</w:t>
      </w:r>
      <w:r>
        <w:rPr>
          <w:spacing w:val="-1"/>
        </w:rPr>
        <w:t> </w:t>
      </w:r>
      <w:r>
        <w:rPr/>
        <w:t>2023 IDA</w:t>
      </w:r>
      <w:r>
        <w:rPr>
          <w:spacing w:val="-1"/>
        </w:rPr>
        <w:t> </w:t>
      </w:r>
      <w:r>
        <w:rPr/>
        <w:t>agreement</w:t>
      </w:r>
      <w:r>
        <w:rPr>
          <w:spacing w:val="-1"/>
        </w:rPr>
        <w:t> </w:t>
      </w:r>
      <w:r>
        <w:rPr/>
        <w:t>inclusive</w:t>
      </w:r>
      <w:r>
        <w:rPr>
          <w:spacing w:val="-1"/>
        </w:rPr>
        <w:t> </w:t>
      </w:r>
      <w:r>
        <w:rPr/>
        <w:t>of potential</w:t>
      </w:r>
      <w:r>
        <w:rPr>
          <w:spacing w:val="-1"/>
        </w:rPr>
        <w:t> </w:t>
      </w:r>
      <w:r>
        <w:rPr/>
        <w:t>migration of IDA</w:t>
      </w:r>
      <w:r>
        <w:rPr>
          <w:spacing w:val="-1"/>
        </w:rPr>
        <w:t> </w:t>
      </w:r>
      <w:r>
        <w:rPr/>
        <w:t>balances</w:t>
      </w:r>
      <w:r>
        <w:rPr>
          <w:spacing w:val="-1"/>
        </w:rPr>
        <w:t> </w:t>
      </w:r>
      <w:r>
        <w:rPr/>
        <w:t>(see further discussion below), providing financial support to our subsidiaries, and sustained access to the capital markets, while at the same time meeting our regulatory capital requirements and serving as a source of financial strength to our banking subsidiaries.</w:t>
      </w:r>
      <w:r>
        <w:rPr>
          <w:spacing w:val="-3"/>
        </w:rPr>
        <w:t> </w:t>
      </w:r>
      <w:r>
        <w:rPr/>
        <w:t>Schwab</w:t>
      </w:r>
      <w:r>
        <w:rPr>
          <w:spacing w:val="-3"/>
        </w:rPr>
        <w:t> </w:t>
      </w:r>
      <w:r>
        <w:rPr/>
        <w:t>also</w:t>
      </w:r>
      <w:r>
        <w:rPr>
          <w:spacing w:val="-3"/>
        </w:rPr>
        <w:t> </w:t>
      </w:r>
      <w:r>
        <w:rPr/>
        <w:t>seeks</w:t>
      </w:r>
      <w:r>
        <w:rPr>
          <w:spacing w:val="-4"/>
        </w:rPr>
        <w:t> </w:t>
      </w:r>
      <w:r>
        <w:rPr/>
        <w:t>to</w:t>
      </w:r>
      <w:r>
        <w:rPr>
          <w:spacing w:val="-3"/>
        </w:rPr>
        <w:t> </w:t>
      </w:r>
      <w:r>
        <w:rPr/>
        <w:t>return</w:t>
      </w:r>
      <w:r>
        <w:rPr>
          <w:spacing w:val="-3"/>
        </w:rPr>
        <w:t> </w:t>
      </w:r>
      <w:r>
        <w:rPr/>
        <w:t>excess</w:t>
      </w:r>
      <w:r>
        <w:rPr>
          <w:spacing w:val="-4"/>
        </w:rPr>
        <w:t> </w:t>
      </w:r>
      <w:r>
        <w:rPr/>
        <w:t>capital</w:t>
      </w:r>
      <w:r>
        <w:rPr>
          <w:spacing w:val="-4"/>
        </w:rPr>
        <w:t> </w:t>
      </w:r>
      <w:r>
        <w:rPr/>
        <w:t>to</w:t>
      </w:r>
      <w:r>
        <w:rPr>
          <w:spacing w:val="-3"/>
        </w:rPr>
        <w:t> </w:t>
      </w:r>
      <w:r>
        <w:rPr/>
        <w:t>stockholders.</w:t>
      </w:r>
      <w:r>
        <w:rPr>
          <w:spacing w:val="-3"/>
        </w:rPr>
        <w:t> </w:t>
      </w:r>
      <w:r>
        <w:rPr/>
        <w:t>We</w:t>
      </w:r>
      <w:r>
        <w:rPr>
          <w:spacing w:val="-4"/>
        </w:rPr>
        <w:t> </w:t>
      </w:r>
      <w:r>
        <w:rPr/>
        <w:t>may</w:t>
      </w:r>
      <w:r>
        <w:rPr>
          <w:spacing w:val="-3"/>
        </w:rPr>
        <w:t> </w:t>
      </w:r>
      <w:r>
        <w:rPr/>
        <w:t>return</w:t>
      </w:r>
      <w:r>
        <w:rPr>
          <w:spacing w:val="-3"/>
        </w:rPr>
        <w:t> </w:t>
      </w:r>
      <w:r>
        <w:rPr/>
        <w:t>excess</w:t>
      </w:r>
      <w:r>
        <w:rPr>
          <w:spacing w:val="-4"/>
        </w:rPr>
        <w:t> </w:t>
      </w:r>
      <w:r>
        <w:rPr/>
        <w:t>capital</w:t>
      </w:r>
      <w:r>
        <w:rPr>
          <w:spacing w:val="-4"/>
        </w:rPr>
        <w:t> </w:t>
      </w:r>
      <w:r>
        <w:rPr/>
        <w:t>through</w:t>
      </w:r>
      <w:r>
        <w:rPr>
          <w:spacing w:val="-3"/>
        </w:rPr>
        <w:t> </w:t>
      </w:r>
      <w:r>
        <w:rPr/>
        <w:t>such</w:t>
      </w:r>
      <w:r>
        <w:rPr>
          <w:spacing w:val="-3"/>
        </w:rPr>
        <w:t> </w:t>
      </w:r>
      <w:r>
        <w:rPr/>
        <w:t>activities</w:t>
      </w:r>
      <w:r>
        <w:rPr>
          <w:spacing w:val="-4"/>
        </w:rPr>
        <w:t> </w:t>
      </w:r>
      <w:r>
        <w:rPr/>
        <w:t>as dividends, repurchases of common shares, preferred stock redemptions, and repurchases of our preferred stock represented by depositary shares. Schwab’s primary sources of capital are funds generated by the operations of subsidiaries and securities issuances</w:t>
      </w:r>
      <w:r>
        <w:rPr>
          <w:spacing w:val="-2"/>
        </w:rPr>
        <w:t> </w:t>
      </w:r>
      <w:r>
        <w:rPr/>
        <w:t>by</w:t>
      </w:r>
      <w:r>
        <w:rPr>
          <w:spacing w:val="-1"/>
        </w:rPr>
        <w:t> </w:t>
      </w:r>
      <w:r>
        <w:rPr/>
        <w:t>CSC</w:t>
      </w:r>
      <w:r>
        <w:rPr>
          <w:spacing w:val="-2"/>
        </w:rPr>
        <w:t> </w:t>
      </w:r>
      <w:r>
        <w:rPr/>
        <w:t>in</w:t>
      </w:r>
      <w:r>
        <w:rPr>
          <w:spacing w:val="-1"/>
        </w:rPr>
        <w:t> </w:t>
      </w:r>
      <w:r>
        <w:rPr/>
        <w:t>the</w:t>
      </w:r>
      <w:r>
        <w:rPr>
          <w:spacing w:val="-2"/>
        </w:rPr>
        <w:t> </w:t>
      </w:r>
      <w:r>
        <w:rPr/>
        <w:t>capital</w:t>
      </w:r>
      <w:r>
        <w:rPr>
          <w:spacing w:val="-2"/>
        </w:rPr>
        <w:t> </w:t>
      </w:r>
      <w:r>
        <w:rPr/>
        <w:t>markets.</w:t>
      </w:r>
      <w:r>
        <w:rPr>
          <w:spacing w:val="-1"/>
        </w:rPr>
        <w:t> </w:t>
      </w:r>
      <w:r>
        <w:rPr/>
        <w:t>To</w:t>
      </w:r>
      <w:r>
        <w:rPr>
          <w:spacing w:val="-1"/>
        </w:rPr>
        <w:t> </w:t>
      </w:r>
      <w:r>
        <w:rPr/>
        <w:t>ensure</w:t>
      </w:r>
      <w:r>
        <w:rPr>
          <w:spacing w:val="-2"/>
        </w:rPr>
        <w:t> </w:t>
      </w:r>
      <w:r>
        <w:rPr/>
        <w:t>that</w:t>
      </w:r>
      <w:r>
        <w:rPr>
          <w:spacing w:val="-2"/>
        </w:rPr>
        <w:t> </w:t>
      </w:r>
      <w:r>
        <w:rPr/>
        <w:t>Schwab</w:t>
      </w:r>
      <w:r>
        <w:rPr>
          <w:spacing w:val="-1"/>
        </w:rPr>
        <w:t> </w:t>
      </w:r>
      <w:r>
        <w:rPr/>
        <w:t>has</w:t>
      </w:r>
      <w:r>
        <w:rPr>
          <w:spacing w:val="-2"/>
        </w:rPr>
        <w:t> </w:t>
      </w:r>
      <w:r>
        <w:rPr/>
        <w:t>sufficient</w:t>
      </w:r>
      <w:r>
        <w:rPr>
          <w:spacing w:val="-2"/>
        </w:rPr>
        <w:t> </w:t>
      </w:r>
      <w:r>
        <w:rPr/>
        <w:t>capital</w:t>
      </w:r>
      <w:r>
        <w:rPr>
          <w:spacing w:val="-2"/>
        </w:rPr>
        <w:t> </w:t>
      </w:r>
      <w:r>
        <w:rPr/>
        <w:t>to</w:t>
      </w:r>
      <w:r>
        <w:rPr>
          <w:spacing w:val="-1"/>
        </w:rPr>
        <w:t> </w:t>
      </w:r>
      <w:r>
        <w:rPr/>
        <w:t>absorb</w:t>
      </w:r>
      <w:r>
        <w:rPr>
          <w:spacing w:val="-1"/>
        </w:rPr>
        <w:t> </w:t>
      </w:r>
      <w:r>
        <w:rPr/>
        <w:t>unanticipated</w:t>
      </w:r>
      <w:r>
        <w:rPr>
          <w:spacing w:val="-1"/>
        </w:rPr>
        <w:t> </w:t>
      </w:r>
      <w:r>
        <w:rPr/>
        <w:t>losses</w:t>
      </w:r>
      <w:r>
        <w:rPr>
          <w:spacing w:val="-2"/>
        </w:rPr>
        <w:t> </w:t>
      </w:r>
      <w:r>
        <w:rPr/>
        <w:t>or</w:t>
      </w:r>
      <w:r>
        <w:rPr>
          <w:spacing w:val="-1"/>
        </w:rPr>
        <w:t> </w:t>
      </w:r>
      <w:r>
        <w:rPr/>
        <w:t>declines in asset values, we have adopted a policy to remain well capitalized even in stressed scenarios.</w:t>
      </w:r>
    </w:p>
    <w:p>
      <w:pPr>
        <w:pStyle w:val="BodyText"/>
        <w:spacing w:before="14"/>
      </w:pPr>
    </w:p>
    <w:p>
      <w:pPr>
        <w:pStyle w:val="Heading2"/>
        <w:spacing w:before="1"/>
      </w:pPr>
      <w:r>
        <w:rPr/>
        <w:t>Regulatory</w:t>
      </w:r>
      <w:r>
        <w:rPr>
          <w:spacing w:val="-5"/>
        </w:rPr>
        <w:t> </w:t>
      </w:r>
      <w:r>
        <w:rPr/>
        <w:t>Capital</w:t>
      </w:r>
      <w:r>
        <w:rPr>
          <w:spacing w:val="-4"/>
        </w:rPr>
        <w:t> </w:t>
      </w:r>
      <w:r>
        <w:rPr>
          <w:spacing w:val="-2"/>
        </w:rPr>
        <w:t>Requirements</w:t>
      </w:r>
    </w:p>
    <w:p>
      <w:pPr>
        <w:pStyle w:val="BodyText"/>
        <w:spacing w:before="23"/>
        <w:rPr>
          <w:b/>
        </w:rPr>
      </w:pPr>
    </w:p>
    <w:p>
      <w:pPr>
        <w:pStyle w:val="BodyText"/>
        <w:spacing w:line="249" w:lineRule="auto"/>
        <w:ind w:left="470" w:right="566"/>
      </w:pPr>
      <w:r>
        <w:rPr/>
        <w:t>CSC</w:t>
      </w:r>
      <w:r>
        <w:rPr>
          <w:spacing w:val="-4"/>
        </w:rPr>
        <w:t> </w:t>
      </w:r>
      <w:r>
        <w:rPr/>
        <w:t>and</w:t>
      </w:r>
      <w:r>
        <w:rPr>
          <w:spacing w:val="-3"/>
        </w:rPr>
        <w:t> </w:t>
      </w:r>
      <w:r>
        <w:rPr/>
        <w:t>certain</w:t>
      </w:r>
      <w:r>
        <w:rPr>
          <w:spacing w:val="-3"/>
        </w:rPr>
        <w:t> </w:t>
      </w:r>
      <w:r>
        <w:rPr/>
        <w:t>subsidiaries</w:t>
      </w:r>
      <w:r>
        <w:rPr>
          <w:spacing w:val="-4"/>
        </w:rPr>
        <w:t> </w:t>
      </w:r>
      <w:r>
        <w:rPr/>
        <w:t>including</w:t>
      </w:r>
      <w:r>
        <w:rPr>
          <w:spacing w:val="-3"/>
        </w:rPr>
        <w:t> </w:t>
      </w:r>
      <w:r>
        <w:rPr/>
        <w:t>our</w:t>
      </w:r>
      <w:r>
        <w:rPr>
          <w:spacing w:val="-3"/>
        </w:rPr>
        <w:t> </w:t>
      </w:r>
      <w:r>
        <w:rPr/>
        <w:t>banking</w:t>
      </w:r>
      <w:r>
        <w:rPr>
          <w:spacing w:val="-3"/>
        </w:rPr>
        <w:t> </w:t>
      </w:r>
      <w:r>
        <w:rPr/>
        <w:t>and</w:t>
      </w:r>
      <w:r>
        <w:rPr>
          <w:spacing w:val="-3"/>
        </w:rPr>
        <w:t> </w:t>
      </w:r>
      <w:r>
        <w:rPr/>
        <w:t>broker-dealer</w:t>
      </w:r>
      <w:r>
        <w:rPr>
          <w:spacing w:val="-3"/>
        </w:rPr>
        <w:t> </w:t>
      </w:r>
      <w:r>
        <w:rPr/>
        <w:t>subsidiaries</w:t>
      </w:r>
      <w:r>
        <w:rPr>
          <w:spacing w:val="-4"/>
        </w:rPr>
        <w:t> </w:t>
      </w:r>
      <w:r>
        <w:rPr/>
        <w:t>are</w:t>
      </w:r>
      <w:r>
        <w:rPr>
          <w:spacing w:val="-4"/>
        </w:rPr>
        <w:t> </w:t>
      </w:r>
      <w:r>
        <w:rPr/>
        <w:t>subject</w:t>
      </w:r>
      <w:r>
        <w:rPr>
          <w:spacing w:val="-4"/>
        </w:rPr>
        <w:t> </w:t>
      </w:r>
      <w:r>
        <w:rPr/>
        <w:t>to</w:t>
      </w:r>
      <w:r>
        <w:rPr>
          <w:spacing w:val="-3"/>
        </w:rPr>
        <w:t> </w:t>
      </w:r>
      <w:r>
        <w:rPr/>
        <w:t>various</w:t>
      </w:r>
      <w:r>
        <w:rPr>
          <w:spacing w:val="-4"/>
        </w:rPr>
        <w:t> </w:t>
      </w:r>
      <w:r>
        <w:rPr/>
        <w:t>capital</w:t>
      </w:r>
      <w:r>
        <w:rPr>
          <w:spacing w:val="-4"/>
        </w:rPr>
        <w:t> </w:t>
      </w:r>
      <w:r>
        <w:rPr/>
        <w:t>requirements set by regulatory agencies as discussed in further detail in Part II – Item 7 – Management’s Discussion and Analysis of Financial</w:t>
      </w:r>
      <w:r>
        <w:rPr>
          <w:spacing w:val="-2"/>
        </w:rPr>
        <w:t> </w:t>
      </w:r>
      <w:r>
        <w:rPr/>
        <w:t>Condition</w:t>
      </w:r>
      <w:r>
        <w:rPr>
          <w:spacing w:val="-1"/>
        </w:rPr>
        <w:t> </w:t>
      </w:r>
      <w:r>
        <w:rPr/>
        <w:t>and</w:t>
      </w:r>
      <w:r>
        <w:rPr>
          <w:spacing w:val="-1"/>
        </w:rPr>
        <w:t> </w:t>
      </w:r>
      <w:r>
        <w:rPr/>
        <w:t>Results</w:t>
      </w:r>
      <w:r>
        <w:rPr>
          <w:spacing w:val="-2"/>
        </w:rPr>
        <w:t> </w:t>
      </w:r>
      <w:r>
        <w:rPr/>
        <w:t>of</w:t>
      </w:r>
      <w:r>
        <w:rPr>
          <w:spacing w:val="-1"/>
        </w:rPr>
        <w:t> </w:t>
      </w:r>
      <w:r>
        <w:rPr/>
        <w:t>Operations</w:t>
      </w:r>
      <w:r>
        <w:rPr>
          <w:spacing w:val="-2"/>
        </w:rPr>
        <w:t> </w:t>
      </w:r>
      <w:r>
        <w:rPr/>
        <w:t>–</w:t>
      </w:r>
      <w:r>
        <w:rPr>
          <w:spacing w:val="-1"/>
        </w:rPr>
        <w:t> </w:t>
      </w:r>
      <w:r>
        <w:rPr/>
        <w:t>Capital</w:t>
      </w:r>
      <w:r>
        <w:rPr>
          <w:spacing w:val="-2"/>
        </w:rPr>
        <w:t> </w:t>
      </w:r>
      <w:r>
        <w:rPr/>
        <w:t>Management</w:t>
      </w:r>
      <w:r>
        <w:rPr>
          <w:spacing w:val="-2"/>
        </w:rPr>
        <w:t> </w:t>
      </w:r>
      <w:r>
        <w:rPr/>
        <w:t>of</w:t>
      </w:r>
      <w:r>
        <w:rPr>
          <w:spacing w:val="-1"/>
        </w:rPr>
        <w:t> </w:t>
      </w:r>
      <w:r>
        <w:rPr/>
        <w:t>the</w:t>
      </w:r>
      <w:r>
        <w:rPr>
          <w:spacing w:val="-2"/>
        </w:rPr>
        <w:t> </w:t>
      </w:r>
      <w:r>
        <w:rPr/>
        <w:t>2022</w:t>
      </w:r>
      <w:r>
        <w:rPr>
          <w:spacing w:val="-1"/>
        </w:rPr>
        <w:t> </w:t>
      </w:r>
      <w:r>
        <w:rPr/>
        <w:t>Form</w:t>
      </w:r>
      <w:r>
        <w:rPr>
          <w:spacing w:val="-2"/>
        </w:rPr>
        <w:t> </w:t>
      </w:r>
      <w:r>
        <w:rPr/>
        <w:t>10-K</w:t>
      </w:r>
      <w:r>
        <w:rPr>
          <w:spacing w:val="-2"/>
        </w:rPr>
        <w:t> </w:t>
      </w:r>
      <w:r>
        <w:rPr/>
        <w:t>and</w:t>
      </w:r>
      <w:r>
        <w:rPr>
          <w:spacing w:val="-1"/>
        </w:rPr>
        <w:t> </w:t>
      </w:r>
      <w:r>
        <w:rPr/>
        <w:t>in</w:t>
      </w:r>
      <w:r>
        <w:rPr>
          <w:spacing w:val="-1"/>
        </w:rPr>
        <w:t> </w:t>
      </w:r>
      <w:r>
        <w:rPr/>
        <w:t>Item</w:t>
      </w:r>
      <w:r>
        <w:rPr>
          <w:spacing w:val="-2"/>
        </w:rPr>
        <w:t> </w:t>
      </w:r>
      <w:r>
        <w:rPr/>
        <w:t>1</w:t>
      </w:r>
      <w:r>
        <w:rPr>
          <w:spacing w:val="-1"/>
        </w:rPr>
        <w:t> </w:t>
      </w:r>
      <w:r>
        <w:rPr/>
        <w:t>–</w:t>
      </w:r>
      <w:r>
        <w:rPr>
          <w:spacing w:val="-1"/>
        </w:rPr>
        <w:t> </w:t>
      </w:r>
      <w:r>
        <w:rPr/>
        <w:t>Note</w:t>
      </w:r>
      <w:r>
        <w:rPr>
          <w:spacing w:val="-2"/>
        </w:rPr>
        <w:t> </w:t>
      </w:r>
      <w:r>
        <w:rPr/>
        <w:t>17.</w:t>
      </w:r>
      <w:r>
        <w:rPr>
          <w:spacing w:val="-1"/>
        </w:rPr>
        <w:t> </w:t>
      </w:r>
      <w:r>
        <w:rPr/>
        <w:t>As</w:t>
      </w:r>
      <w:r>
        <w:rPr>
          <w:spacing w:val="-2"/>
        </w:rPr>
        <w:t> </w:t>
      </w:r>
      <w:r>
        <w:rPr/>
        <w:t>of September 30, 2023, CSC and our banking subsidiaries are considered well capitalized, and CS&amp;Co, TDAC, and TD Ameritrade, Inc. are in compliance with their respective net capital requirements.</w:t>
      </w:r>
    </w:p>
    <w:p>
      <w:pPr>
        <w:pStyle w:val="BodyText"/>
        <w:spacing w:before="3"/>
        <w:rPr>
          <w:sz w:val="13"/>
        </w:rPr>
      </w:pPr>
    </w:p>
    <w:p>
      <w:pPr>
        <w:spacing w:after="0"/>
        <w:rPr>
          <w:sz w:val="13"/>
        </w:rPr>
        <w:sectPr>
          <w:pgSz w:w="12240" w:h="15840"/>
          <w:pgMar w:header="512" w:footer="201" w:top="1180" w:bottom="400" w:left="520" w:right="520"/>
        </w:sectPr>
      </w:pPr>
    </w:p>
    <w:p>
      <w:pPr>
        <w:pStyle w:val="BodyText"/>
        <w:spacing w:before="91"/>
        <w:ind w:left="470"/>
      </w:pPr>
      <w:r>
        <w:rPr/>
        <mc:AlternateContent>
          <mc:Choice Requires="wps">
            <w:drawing>
              <wp:anchor distT="0" distB="0" distL="0" distR="0" allowOverlap="1" layoutInCell="1" locked="0" behindDoc="0" simplePos="0" relativeHeight="15737856">
                <wp:simplePos x="0" y="0"/>
                <wp:positionH relativeFrom="page">
                  <wp:posOffset>628650</wp:posOffset>
                </wp:positionH>
                <wp:positionV relativeFrom="paragraph">
                  <wp:posOffset>301502</wp:posOffset>
                </wp:positionV>
                <wp:extent cx="6515100" cy="635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6515100" cy="6350"/>
                          <a:chExt cx="6515100" cy="6350"/>
                        </a:xfrm>
                      </wpg:grpSpPr>
                      <wps:wsp>
                        <wps:cNvPr id="67" name="Graphic 67"/>
                        <wps:cNvSpPr/>
                        <wps:spPr>
                          <a:xfrm>
                            <a:off x="0" y="3175"/>
                            <a:ext cx="5191125" cy="1270"/>
                          </a:xfrm>
                          <a:custGeom>
                            <a:avLst/>
                            <a:gdLst/>
                            <a:ahLst/>
                            <a:cxnLst/>
                            <a:rect l="l" t="t" r="r" b="b"/>
                            <a:pathLst>
                              <a:path w="5191125" h="0">
                                <a:moveTo>
                                  <a:pt x="5191125" y="0"/>
                                </a:moveTo>
                                <a:lnTo>
                                  <a:pt x="0" y="0"/>
                                </a:lnTo>
                              </a:path>
                            </a:pathLst>
                          </a:custGeom>
                          <a:solidFill>
                            <a:srgbClr val="000000"/>
                          </a:solidFill>
                        </wps:spPr>
                        <wps:bodyPr wrap="square" lIns="0" tIns="0" rIns="0" bIns="0" rtlCol="0">
                          <a:prstTxWarp prst="textNoShape">
                            <a:avLst/>
                          </a:prstTxWarp>
                          <a:noAutofit/>
                        </wps:bodyPr>
                      </wps:wsp>
                      <wps:wsp>
                        <wps:cNvPr id="68" name="Graphic 68"/>
                        <wps:cNvSpPr/>
                        <wps:spPr>
                          <a:xfrm>
                            <a:off x="0" y="3175"/>
                            <a:ext cx="5191125" cy="1270"/>
                          </a:xfrm>
                          <a:custGeom>
                            <a:avLst/>
                            <a:gdLst/>
                            <a:ahLst/>
                            <a:cxnLst/>
                            <a:rect l="l" t="t" r="r" b="b"/>
                            <a:pathLst>
                              <a:path w="5191125" h="0">
                                <a:moveTo>
                                  <a:pt x="0" y="0"/>
                                </a:moveTo>
                                <a:lnTo>
                                  <a:pt x="5191125" y="0"/>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5191125" y="3175"/>
                            <a:ext cx="1323975" cy="1270"/>
                          </a:xfrm>
                          <a:custGeom>
                            <a:avLst/>
                            <a:gdLst/>
                            <a:ahLst/>
                            <a:cxnLst/>
                            <a:rect l="l" t="t" r="r" b="b"/>
                            <a:pathLst>
                              <a:path w="1323975" h="0">
                                <a:moveTo>
                                  <a:pt x="1323975" y="0"/>
                                </a:moveTo>
                                <a:lnTo>
                                  <a:pt x="0" y="0"/>
                                </a:lnTo>
                              </a:path>
                            </a:pathLst>
                          </a:custGeom>
                          <a:solidFill>
                            <a:srgbClr val="000000"/>
                          </a:solidFill>
                        </wps:spPr>
                        <wps:bodyPr wrap="square" lIns="0" tIns="0" rIns="0" bIns="0" rtlCol="0">
                          <a:prstTxWarp prst="textNoShape">
                            <a:avLst/>
                          </a:prstTxWarp>
                          <a:noAutofit/>
                        </wps:bodyPr>
                      </wps:wsp>
                      <wps:wsp>
                        <wps:cNvPr id="70" name="Graphic 70"/>
                        <wps:cNvSpPr/>
                        <wps:spPr>
                          <a:xfrm>
                            <a:off x="5191125" y="3175"/>
                            <a:ext cx="1323975" cy="1270"/>
                          </a:xfrm>
                          <a:custGeom>
                            <a:avLst/>
                            <a:gdLst/>
                            <a:ahLst/>
                            <a:cxnLst/>
                            <a:rect l="l" t="t" r="r" b="b"/>
                            <a:pathLst>
                              <a:path w="1323975" h="0">
                                <a:moveTo>
                                  <a:pt x="0" y="0"/>
                                </a:moveTo>
                                <a:lnTo>
                                  <a:pt x="132397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23.740322pt;width:513pt;height:.5pt;mso-position-horizontal-relative:page;mso-position-vertical-relative:paragraph;z-index:15737856" id="docshapegroup48" coordorigin="990,475" coordsize="10260,10">
                <v:shape style="position:absolute;left:990;top:479;width:8175;height:2" id="docshape49" coordorigin="990,480" coordsize="8175,0" path="m9165,480l990,480e" filled="true" fillcolor="#000000" stroked="false">
                  <v:path arrowok="t"/>
                  <v:fill opacity="0f" type="solid"/>
                </v:shape>
                <v:line style="position:absolute" from="990,480" to="9165,480" stroked="true" strokeweight=".5pt" strokecolor="#000000">
                  <v:stroke dashstyle="solid"/>
                </v:line>
                <v:shape style="position:absolute;left:9165;top:479;width:2085;height:2" id="docshape50" coordorigin="9165,480" coordsize="2085,0" path="m11250,480l9165,480e" filled="true" fillcolor="#000000" stroked="false">
                  <v:path arrowok="t"/>
                  <v:fill opacity="0f" type="solid"/>
                </v:shape>
                <v:line style="position:absolute" from="9165,480" to="11250,480" stroked="true" strokeweight=".5pt" strokecolor="#000000">
                  <v:stroke dashstyle="solid"/>
                </v:line>
                <w10:wrap type="none"/>
              </v:group>
            </w:pict>
          </mc:Fallback>
        </mc:AlternateContent>
      </w:r>
      <w:r>
        <w:rPr/>
        <w:t>The</w:t>
      </w:r>
      <w:r>
        <w:rPr>
          <w:spacing w:val="-6"/>
        </w:rPr>
        <w:t> </w:t>
      </w:r>
      <w:r>
        <w:rPr/>
        <w:t>following</w:t>
      </w:r>
      <w:r>
        <w:rPr>
          <w:spacing w:val="-3"/>
        </w:rPr>
        <w:t> </w:t>
      </w:r>
      <w:r>
        <w:rPr/>
        <w:t>table</w:t>
      </w:r>
      <w:r>
        <w:rPr>
          <w:spacing w:val="-4"/>
        </w:rPr>
        <w:t> </w:t>
      </w:r>
      <w:r>
        <w:rPr/>
        <w:t>details</w:t>
      </w:r>
      <w:r>
        <w:rPr>
          <w:spacing w:val="-4"/>
        </w:rPr>
        <w:t> </w:t>
      </w:r>
      <w:r>
        <w:rPr/>
        <w:t>the</w:t>
      </w:r>
      <w:r>
        <w:rPr>
          <w:spacing w:val="-4"/>
        </w:rPr>
        <w:t> </w:t>
      </w:r>
      <w:r>
        <w:rPr/>
        <w:t>capital</w:t>
      </w:r>
      <w:r>
        <w:rPr>
          <w:spacing w:val="-4"/>
        </w:rPr>
        <w:t> </w:t>
      </w:r>
      <w:r>
        <w:rPr/>
        <w:t>ratios</w:t>
      </w:r>
      <w:r>
        <w:rPr>
          <w:spacing w:val="-4"/>
        </w:rPr>
        <w:t> </w:t>
      </w:r>
      <w:r>
        <w:rPr/>
        <w:t>for</w:t>
      </w:r>
      <w:r>
        <w:rPr>
          <w:spacing w:val="-3"/>
        </w:rPr>
        <w:t> </w:t>
      </w:r>
      <w:r>
        <w:rPr/>
        <w:t>CSC</w:t>
      </w:r>
      <w:r>
        <w:rPr>
          <w:spacing w:val="-4"/>
        </w:rPr>
        <w:t> </w:t>
      </w:r>
      <w:r>
        <w:rPr/>
        <w:t>consolidated</w:t>
      </w:r>
      <w:r>
        <w:rPr>
          <w:spacing w:val="-3"/>
        </w:rPr>
        <w:t> </w:t>
      </w:r>
      <w:r>
        <w:rPr/>
        <w:t>and</w:t>
      </w:r>
      <w:r>
        <w:rPr>
          <w:spacing w:val="-2"/>
        </w:rPr>
        <w:t> </w:t>
      </w:r>
      <w:r>
        <w:rPr>
          <w:spacing w:val="-4"/>
        </w:rPr>
        <w:t>CSB:</w:t>
      </w:r>
    </w:p>
    <w:p>
      <w:pPr>
        <w:spacing w:line="240" w:lineRule="auto" w:before="0"/>
        <w:rPr>
          <w:sz w:val="18"/>
        </w:rPr>
      </w:pPr>
      <w:r>
        <w:rPr/>
        <w:br w:type="column"/>
      </w:r>
      <w:r>
        <w:rPr>
          <w:sz w:val="18"/>
        </w:rPr>
      </w:r>
    </w:p>
    <w:p>
      <w:pPr>
        <w:pStyle w:val="BodyText"/>
        <w:spacing w:before="84"/>
        <w:rPr>
          <w:sz w:val="18"/>
        </w:rPr>
      </w:pPr>
    </w:p>
    <w:p>
      <w:pPr>
        <w:tabs>
          <w:tab w:pos="2361" w:val="left" w:leader="none"/>
        </w:tabs>
        <w:spacing w:before="0"/>
        <w:ind w:left="223" w:right="0" w:firstLine="0"/>
        <w:jc w:val="left"/>
        <w:rPr>
          <w:sz w:val="18"/>
        </w:rPr>
      </w:pPr>
      <w:r>
        <w:rPr>
          <w:sz w:val="18"/>
        </w:rPr>
        <w:t>September</w:t>
      </w:r>
      <w:r>
        <w:rPr>
          <w:spacing w:val="-1"/>
          <w:sz w:val="18"/>
        </w:rPr>
        <w:t> </w:t>
      </w:r>
      <w:r>
        <w:rPr>
          <w:sz w:val="18"/>
        </w:rPr>
        <w:t>30, </w:t>
      </w:r>
      <w:r>
        <w:rPr>
          <w:spacing w:val="-4"/>
          <w:sz w:val="18"/>
        </w:rPr>
        <w:t>2023</w:t>
      </w:r>
      <w:r>
        <w:rPr>
          <w:sz w:val="18"/>
        </w:rPr>
        <w:tab/>
        <w:t>December</w:t>
      </w:r>
      <w:r>
        <w:rPr>
          <w:spacing w:val="-3"/>
          <w:sz w:val="18"/>
        </w:rPr>
        <w:t> </w:t>
      </w:r>
      <w:r>
        <w:rPr>
          <w:sz w:val="18"/>
        </w:rPr>
        <w:t>31, </w:t>
      </w:r>
      <w:r>
        <w:rPr>
          <w:spacing w:val="-4"/>
          <w:sz w:val="18"/>
        </w:rPr>
        <w:t>2022</w:t>
      </w:r>
    </w:p>
    <w:p>
      <w:pPr>
        <w:spacing w:after="0"/>
        <w:jc w:val="left"/>
        <w:rPr>
          <w:sz w:val="18"/>
        </w:rPr>
        <w:sectPr>
          <w:type w:val="continuous"/>
          <w:pgSz w:w="12240" w:h="15840"/>
          <w:pgMar w:header="512" w:footer="201" w:top="320" w:bottom="280" w:left="520" w:right="520"/>
          <w:cols w:num="2" w:equalWidth="0">
            <w:col w:w="6580" w:space="40"/>
            <w:col w:w="4580"/>
          </w:cols>
        </w:sectPr>
      </w:pPr>
    </w:p>
    <w:p>
      <w:pPr>
        <w:pStyle w:val="BodyText"/>
        <w:spacing w:before="6"/>
        <w:rPr>
          <w:sz w:val="2"/>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15"/>
        <w:gridCol w:w="1031"/>
        <w:gridCol w:w="1080"/>
        <w:gridCol w:w="1080"/>
        <w:gridCol w:w="1054"/>
      </w:tblGrid>
      <w:tr>
        <w:trPr>
          <w:trHeight w:val="245" w:hRule="atLeast"/>
        </w:trPr>
        <w:tc>
          <w:tcPr>
            <w:tcW w:w="6015" w:type="dxa"/>
            <w:tcBorders>
              <w:bottom w:val="single" w:sz="4" w:space="0" w:color="000000"/>
            </w:tcBorders>
          </w:tcPr>
          <w:p>
            <w:pPr>
              <w:pStyle w:val="TableParagraph"/>
              <w:rPr>
                <w:sz w:val="16"/>
              </w:rPr>
            </w:pPr>
          </w:p>
        </w:tc>
        <w:tc>
          <w:tcPr>
            <w:tcW w:w="1031" w:type="dxa"/>
            <w:tcBorders>
              <w:top w:val="single" w:sz="4" w:space="0" w:color="000000"/>
              <w:bottom w:val="single" w:sz="4" w:space="0" w:color="000000"/>
            </w:tcBorders>
          </w:tcPr>
          <w:p>
            <w:pPr>
              <w:pStyle w:val="TableParagraph"/>
              <w:spacing w:before="13"/>
              <w:ind w:left="332"/>
              <w:rPr>
                <w:sz w:val="18"/>
              </w:rPr>
            </w:pPr>
            <w:r>
              <w:rPr>
                <w:spacing w:val="-5"/>
                <w:sz w:val="18"/>
              </w:rPr>
              <w:t>CSC</w:t>
            </w:r>
          </w:p>
        </w:tc>
        <w:tc>
          <w:tcPr>
            <w:tcW w:w="1080" w:type="dxa"/>
            <w:tcBorders>
              <w:top w:val="single" w:sz="4" w:space="0" w:color="000000"/>
              <w:bottom w:val="single" w:sz="4" w:space="0" w:color="000000"/>
            </w:tcBorders>
          </w:tcPr>
          <w:p>
            <w:pPr>
              <w:pStyle w:val="TableParagraph"/>
              <w:spacing w:before="13"/>
              <w:ind w:left="381"/>
              <w:rPr>
                <w:sz w:val="18"/>
              </w:rPr>
            </w:pPr>
            <w:r>
              <w:rPr>
                <w:spacing w:val="-5"/>
                <w:sz w:val="18"/>
              </w:rPr>
              <w:t>CSB</w:t>
            </w:r>
          </w:p>
        </w:tc>
        <w:tc>
          <w:tcPr>
            <w:tcW w:w="1080" w:type="dxa"/>
            <w:tcBorders>
              <w:top w:val="single" w:sz="4" w:space="0" w:color="000000"/>
              <w:bottom w:val="single" w:sz="4" w:space="0" w:color="000000"/>
            </w:tcBorders>
          </w:tcPr>
          <w:p>
            <w:pPr>
              <w:pStyle w:val="TableParagraph"/>
              <w:spacing w:before="13"/>
              <w:ind w:left="381"/>
              <w:rPr>
                <w:sz w:val="18"/>
              </w:rPr>
            </w:pPr>
            <w:r>
              <w:rPr>
                <w:spacing w:val="-5"/>
                <w:sz w:val="18"/>
              </w:rPr>
              <w:t>CSC</w:t>
            </w:r>
          </w:p>
        </w:tc>
        <w:tc>
          <w:tcPr>
            <w:tcW w:w="1054" w:type="dxa"/>
            <w:tcBorders>
              <w:top w:val="single" w:sz="4" w:space="0" w:color="000000"/>
              <w:bottom w:val="single" w:sz="4" w:space="0" w:color="000000"/>
            </w:tcBorders>
          </w:tcPr>
          <w:p>
            <w:pPr>
              <w:pStyle w:val="TableParagraph"/>
              <w:spacing w:before="13"/>
              <w:ind w:left="381"/>
              <w:rPr>
                <w:sz w:val="18"/>
              </w:rPr>
            </w:pPr>
            <w:r>
              <w:rPr>
                <w:spacing w:val="-5"/>
                <w:sz w:val="18"/>
              </w:rPr>
              <w:t>CSB</w:t>
            </w:r>
          </w:p>
        </w:tc>
      </w:tr>
      <w:tr>
        <w:trPr>
          <w:trHeight w:val="250" w:hRule="atLeast"/>
        </w:trPr>
        <w:tc>
          <w:tcPr>
            <w:tcW w:w="6015" w:type="dxa"/>
            <w:tcBorders>
              <w:top w:val="single" w:sz="4" w:space="0" w:color="000000"/>
            </w:tcBorders>
            <w:shd w:val="clear" w:color="auto" w:fill="CCEDFF"/>
          </w:tcPr>
          <w:p>
            <w:pPr>
              <w:pStyle w:val="TableParagraph"/>
              <w:spacing w:before="13"/>
              <w:ind w:left="52"/>
              <w:rPr>
                <w:b/>
                <w:sz w:val="18"/>
              </w:rPr>
            </w:pPr>
            <w:r>
              <w:rPr>
                <w:b/>
                <w:sz w:val="18"/>
              </w:rPr>
              <w:t>Total</w:t>
            </w:r>
            <w:r>
              <w:rPr>
                <w:b/>
                <w:spacing w:val="-3"/>
                <w:sz w:val="18"/>
              </w:rPr>
              <w:t> </w:t>
            </w:r>
            <w:r>
              <w:rPr>
                <w:b/>
                <w:sz w:val="18"/>
              </w:rPr>
              <w:t>stockholders’</w:t>
            </w:r>
            <w:r>
              <w:rPr>
                <w:b/>
                <w:spacing w:val="-2"/>
                <w:sz w:val="18"/>
              </w:rPr>
              <w:t> equity</w:t>
            </w:r>
          </w:p>
        </w:tc>
        <w:tc>
          <w:tcPr>
            <w:tcW w:w="1031" w:type="dxa"/>
            <w:tcBorders>
              <w:top w:val="single" w:sz="4" w:space="0" w:color="000000"/>
            </w:tcBorders>
            <w:shd w:val="clear" w:color="auto" w:fill="CCEDFF"/>
          </w:tcPr>
          <w:p>
            <w:pPr>
              <w:pStyle w:val="TableParagraph"/>
              <w:spacing w:before="13"/>
              <w:ind w:left="52"/>
              <w:rPr>
                <w:sz w:val="18"/>
              </w:rPr>
            </w:pPr>
            <w:r>
              <w:rPr>
                <w:sz w:val="18"/>
              </w:rPr>
              <w:t>$</w:t>
            </w:r>
            <w:r>
              <w:rPr>
                <w:spacing w:val="74"/>
                <w:w w:val="150"/>
                <w:sz w:val="18"/>
              </w:rPr>
              <w:t> </w:t>
            </w:r>
            <w:r>
              <w:rPr>
                <w:spacing w:val="-2"/>
                <w:sz w:val="18"/>
              </w:rPr>
              <w:t>37,784</w:t>
            </w:r>
          </w:p>
        </w:tc>
        <w:tc>
          <w:tcPr>
            <w:tcW w:w="1080" w:type="dxa"/>
            <w:tcBorders>
              <w:top w:val="single" w:sz="4" w:space="0" w:color="000000"/>
            </w:tcBorders>
            <w:shd w:val="clear" w:color="auto" w:fill="CCEDFF"/>
          </w:tcPr>
          <w:p>
            <w:pPr>
              <w:pStyle w:val="TableParagraph"/>
              <w:spacing w:before="13"/>
              <w:ind w:left="101"/>
              <w:rPr>
                <w:sz w:val="18"/>
              </w:rPr>
            </w:pPr>
            <w:r>
              <w:rPr>
                <w:sz w:val="18"/>
              </w:rPr>
              <w:t>$</w:t>
            </w:r>
            <w:r>
              <w:rPr>
                <w:spacing w:val="74"/>
                <w:w w:val="150"/>
                <w:sz w:val="18"/>
              </w:rPr>
              <w:t> </w:t>
            </w:r>
            <w:r>
              <w:rPr>
                <w:spacing w:val="-2"/>
                <w:sz w:val="18"/>
              </w:rPr>
              <w:t>13,669</w:t>
            </w:r>
          </w:p>
        </w:tc>
        <w:tc>
          <w:tcPr>
            <w:tcW w:w="1080" w:type="dxa"/>
            <w:tcBorders>
              <w:top w:val="single" w:sz="4" w:space="0" w:color="000000"/>
            </w:tcBorders>
            <w:shd w:val="clear" w:color="auto" w:fill="CCEDFF"/>
          </w:tcPr>
          <w:p>
            <w:pPr>
              <w:pStyle w:val="TableParagraph"/>
              <w:spacing w:before="13"/>
              <w:ind w:left="101"/>
              <w:rPr>
                <w:sz w:val="18"/>
              </w:rPr>
            </w:pPr>
            <w:r>
              <w:rPr>
                <w:sz w:val="18"/>
              </w:rPr>
              <w:t>$</w:t>
            </w:r>
            <w:r>
              <w:rPr>
                <w:spacing w:val="74"/>
                <w:w w:val="150"/>
                <w:sz w:val="18"/>
              </w:rPr>
              <w:t> </w:t>
            </w:r>
            <w:r>
              <w:rPr>
                <w:spacing w:val="-2"/>
                <w:sz w:val="18"/>
              </w:rPr>
              <w:t>36,608</w:t>
            </w:r>
          </w:p>
        </w:tc>
        <w:tc>
          <w:tcPr>
            <w:tcW w:w="1054" w:type="dxa"/>
            <w:tcBorders>
              <w:top w:val="single" w:sz="4" w:space="0" w:color="000000"/>
            </w:tcBorders>
            <w:shd w:val="clear" w:color="auto" w:fill="CCEDFF"/>
          </w:tcPr>
          <w:p>
            <w:pPr>
              <w:pStyle w:val="TableParagraph"/>
              <w:tabs>
                <w:tab w:pos="424" w:val="left" w:leader="none"/>
              </w:tabs>
              <w:spacing w:before="13"/>
              <w:ind w:left="101"/>
              <w:rPr>
                <w:sz w:val="18"/>
              </w:rPr>
            </w:pPr>
            <w:r>
              <w:rPr>
                <w:spacing w:val="-10"/>
                <w:sz w:val="18"/>
              </w:rPr>
              <w:t>$</w:t>
            </w:r>
            <w:r>
              <w:rPr>
                <w:sz w:val="18"/>
              </w:rPr>
              <w:tab/>
            </w:r>
            <w:r>
              <w:rPr>
                <w:spacing w:val="-2"/>
                <w:sz w:val="18"/>
              </w:rPr>
              <w:t>7,664</w:t>
            </w:r>
          </w:p>
        </w:tc>
      </w:tr>
      <w:tr>
        <w:trPr>
          <w:trHeight w:val="255" w:hRule="atLeast"/>
        </w:trPr>
        <w:tc>
          <w:tcPr>
            <w:tcW w:w="6015" w:type="dxa"/>
          </w:tcPr>
          <w:p>
            <w:pPr>
              <w:pStyle w:val="TableParagraph"/>
              <w:spacing w:before="18"/>
              <w:ind w:left="52"/>
              <w:rPr>
                <w:sz w:val="18"/>
              </w:rPr>
            </w:pPr>
            <w:r>
              <w:rPr>
                <w:spacing w:val="-2"/>
                <w:sz w:val="18"/>
              </w:rPr>
              <w:t>Less:</w:t>
            </w:r>
          </w:p>
        </w:tc>
        <w:tc>
          <w:tcPr>
            <w:tcW w:w="1031" w:type="dxa"/>
          </w:tcPr>
          <w:p>
            <w:pPr>
              <w:pStyle w:val="TableParagraph"/>
              <w:rPr>
                <w:sz w:val="18"/>
              </w:rPr>
            </w:pPr>
          </w:p>
        </w:tc>
        <w:tc>
          <w:tcPr>
            <w:tcW w:w="1080" w:type="dxa"/>
          </w:tcPr>
          <w:p>
            <w:pPr>
              <w:pStyle w:val="TableParagraph"/>
              <w:rPr>
                <w:sz w:val="18"/>
              </w:rPr>
            </w:pPr>
          </w:p>
        </w:tc>
        <w:tc>
          <w:tcPr>
            <w:tcW w:w="1080" w:type="dxa"/>
          </w:tcPr>
          <w:p>
            <w:pPr>
              <w:pStyle w:val="TableParagraph"/>
              <w:rPr>
                <w:sz w:val="18"/>
              </w:rPr>
            </w:pPr>
          </w:p>
        </w:tc>
        <w:tc>
          <w:tcPr>
            <w:tcW w:w="1054" w:type="dxa"/>
          </w:tcPr>
          <w:p>
            <w:pPr>
              <w:pStyle w:val="TableParagraph"/>
              <w:rPr>
                <w:sz w:val="18"/>
              </w:rPr>
            </w:pPr>
          </w:p>
        </w:tc>
      </w:tr>
      <w:tr>
        <w:trPr>
          <w:trHeight w:val="250" w:hRule="atLeast"/>
        </w:trPr>
        <w:tc>
          <w:tcPr>
            <w:tcW w:w="6015" w:type="dxa"/>
            <w:tcBorders>
              <w:bottom w:val="single" w:sz="4" w:space="0" w:color="000000"/>
            </w:tcBorders>
            <w:shd w:val="clear" w:color="auto" w:fill="CCEDFF"/>
          </w:tcPr>
          <w:p>
            <w:pPr>
              <w:pStyle w:val="TableParagraph"/>
              <w:spacing w:before="18"/>
              <w:ind w:left="187"/>
              <w:rPr>
                <w:sz w:val="18"/>
              </w:rPr>
            </w:pPr>
            <w:r>
              <w:rPr>
                <w:sz w:val="18"/>
              </w:rPr>
              <w:t>Preferred</w:t>
            </w:r>
            <w:r>
              <w:rPr>
                <w:spacing w:val="-1"/>
                <w:sz w:val="18"/>
              </w:rPr>
              <w:t> </w:t>
            </w:r>
            <w:r>
              <w:rPr>
                <w:spacing w:val="-2"/>
                <w:sz w:val="18"/>
              </w:rPr>
              <w:t>stock</w:t>
            </w:r>
          </w:p>
        </w:tc>
        <w:tc>
          <w:tcPr>
            <w:tcW w:w="1031" w:type="dxa"/>
            <w:tcBorders>
              <w:bottom w:val="single" w:sz="4" w:space="0" w:color="000000"/>
            </w:tcBorders>
            <w:shd w:val="clear" w:color="auto" w:fill="CCEDFF"/>
          </w:tcPr>
          <w:p>
            <w:pPr>
              <w:pStyle w:val="TableParagraph"/>
              <w:spacing w:before="18"/>
              <w:ind w:left="375"/>
              <w:rPr>
                <w:sz w:val="18"/>
              </w:rPr>
            </w:pPr>
            <w:r>
              <w:rPr>
                <w:spacing w:val="-2"/>
                <w:sz w:val="18"/>
              </w:rPr>
              <w:t>9,191</w:t>
            </w:r>
          </w:p>
        </w:tc>
        <w:tc>
          <w:tcPr>
            <w:tcW w:w="1080" w:type="dxa"/>
            <w:tcBorders>
              <w:bottom w:val="single" w:sz="4" w:space="0" w:color="000000"/>
            </w:tcBorders>
            <w:shd w:val="clear" w:color="auto" w:fill="CCEDFF"/>
          </w:tcPr>
          <w:p>
            <w:pPr>
              <w:pStyle w:val="TableParagraph"/>
              <w:spacing w:before="18"/>
              <w:ind w:left="649"/>
              <w:rPr>
                <w:sz w:val="18"/>
              </w:rPr>
            </w:pPr>
            <w:r>
              <w:rPr>
                <w:spacing w:val="-10"/>
                <w:sz w:val="18"/>
              </w:rPr>
              <w:t>—</w:t>
            </w:r>
          </w:p>
        </w:tc>
        <w:tc>
          <w:tcPr>
            <w:tcW w:w="1080" w:type="dxa"/>
            <w:tcBorders>
              <w:bottom w:val="single" w:sz="4" w:space="0" w:color="000000"/>
            </w:tcBorders>
            <w:shd w:val="clear" w:color="auto" w:fill="CCEDFF"/>
          </w:tcPr>
          <w:p>
            <w:pPr>
              <w:pStyle w:val="TableParagraph"/>
              <w:spacing w:before="18"/>
              <w:ind w:left="424"/>
              <w:rPr>
                <w:sz w:val="18"/>
              </w:rPr>
            </w:pPr>
            <w:r>
              <w:rPr>
                <w:spacing w:val="-2"/>
                <w:sz w:val="18"/>
              </w:rPr>
              <w:t>9,706</w:t>
            </w:r>
          </w:p>
        </w:tc>
        <w:tc>
          <w:tcPr>
            <w:tcW w:w="1054" w:type="dxa"/>
            <w:tcBorders>
              <w:bottom w:val="single" w:sz="4" w:space="0" w:color="000000"/>
            </w:tcBorders>
            <w:shd w:val="clear" w:color="auto" w:fill="CCEDFF"/>
          </w:tcPr>
          <w:p>
            <w:pPr>
              <w:pStyle w:val="TableParagraph"/>
              <w:spacing w:before="18"/>
              <w:ind w:left="649"/>
              <w:rPr>
                <w:sz w:val="18"/>
              </w:rPr>
            </w:pPr>
            <w:r>
              <w:rPr>
                <w:spacing w:val="-10"/>
                <w:sz w:val="18"/>
              </w:rPr>
              <w:t>—</w:t>
            </w:r>
          </w:p>
        </w:tc>
      </w:tr>
      <w:tr>
        <w:trPr>
          <w:trHeight w:val="245" w:hRule="atLeast"/>
        </w:trPr>
        <w:tc>
          <w:tcPr>
            <w:tcW w:w="6015" w:type="dxa"/>
            <w:tcBorders>
              <w:top w:val="single" w:sz="4" w:space="0" w:color="000000"/>
              <w:bottom w:val="single" w:sz="4" w:space="0" w:color="000000"/>
            </w:tcBorders>
          </w:tcPr>
          <w:p>
            <w:pPr>
              <w:pStyle w:val="TableParagraph"/>
              <w:spacing w:before="13"/>
              <w:ind w:left="52"/>
              <w:rPr>
                <w:sz w:val="18"/>
              </w:rPr>
            </w:pPr>
            <w:r>
              <w:rPr>
                <w:sz w:val="18"/>
              </w:rPr>
              <w:t>Common Equity Tier 1 Capital before regulatory </w:t>
            </w:r>
            <w:r>
              <w:rPr>
                <w:spacing w:val="-2"/>
                <w:sz w:val="18"/>
              </w:rPr>
              <w:t>adjustments</w:t>
            </w:r>
          </w:p>
        </w:tc>
        <w:tc>
          <w:tcPr>
            <w:tcW w:w="1031" w:type="dxa"/>
            <w:tcBorders>
              <w:top w:val="single" w:sz="4" w:space="0" w:color="000000"/>
              <w:bottom w:val="single" w:sz="4" w:space="0" w:color="000000"/>
            </w:tcBorders>
          </w:tcPr>
          <w:p>
            <w:pPr>
              <w:pStyle w:val="TableParagraph"/>
              <w:spacing w:before="13"/>
              <w:ind w:left="52"/>
              <w:rPr>
                <w:sz w:val="18"/>
              </w:rPr>
            </w:pPr>
            <w:r>
              <w:rPr>
                <w:sz w:val="18"/>
              </w:rPr>
              <w:t>$</w:t>
            </w:r>
            <w:r>
              <w:rPr>
                <w:spacing w:val="74"/>
                <w:w w:val="150"/>
                <w:sz w:val="18"/>
              </w:rPr>
              <w:t> </w:t>
            </w:r>
            <w:r>
              <w:rPr>
                <w:spacing w:val="-2"/>
                <w:sz w:val="18"/>
              </w:rPr>
              <w:t>28,593</w:t>
            </w:r>
          </w:p>
        </w:tc>
        <w:tc>
          <w:tcPr>
            <w:tcW w:w="1080" w:type="dxa"/>
            <w:tcBorders>
              <w:top w:val="single" w:sz="4" w:space="0" w:color="000000"/>
              <w:bottom w:val="single" w:sz="4" w:space="0" w:color="000000"/>
            </w:tcBorders>
          </w:tcPr>
          <w:p>
            <w:pPr>
              <w:pStyle w:val="TableParagraph"/>
              <w:spacing w:before="13"/>
              <w:ind w:left="101"/>
              <w:rPr>
                <w:sz w:val="18"/>
              </w:rPr>
            </w:pPr>
            <w:r>
              <w:rPr>
                <w:sz w:val="18"/>
              </w:rPr>
              <w:t>$</w:t>
            </w:r>
            <w:r>
              <w:rPr>
                <w:spacing w:val="74"/>
                <w:w w:val="150"/>
                <w:sz w:val="18"/>
              </w:rPr>
              <w:t> </w:t>
            </w:r>
            <w:r>
              <w:rPr>
                <w:spacing w:val="-2"/>
                <w:sz w:val="18"/>
              </w:rPr>
              <w:t>13,669</w:t>
            </w:r>
          </w:p>
        </w:tc>
        <w:tc>
          <w:tcPr>
            <w:tcW w:w="1080" w:type="dxa"/>
            <w:tcBorders>
              <w:top w:val="single" w:sz="4" w:space="0" w:color="000000"/>
              <w:bottom w:val="single" w:sz="4" w:space="0" w:color="000000"/>
            </w:tcBorders>
          </w:tcPr>
          <w:p>
            <w:pPr>
              <w:pStyle w:val="TableParagraph"/>
              <w:spacing w:before="13"/>
              <w:ind w:left="101"/>
              <w:rPr>
                <w:sz w:val="18"/>
              </w:rPr>
            </w:pPr>
            <w:r>
              <w:rPr>
                <w:sz w:val="18"/>
              </w:rPr>
              <w:t>$</w:t>
            </w:r>
            <w:r>
              <w:rPr>
                <w:spacing w:val="74"/>
                <w:w w:val="150"/>
                <w:sz w:val="18"/>
              </w:rPr>
              <w:t> </w:t>
            </w:r>
            <w:r>
              <w:rPr>
                <w:spacing w:val="-2"/>
                <w:sz w:val="18"/>
              </w:rPr>
              <w:t>26,902</w:t>
            </w:r>
          </w:p>
        </w:tc>
        <w:tc>
          <w:tcPr>
            <w:tcW w:w="1054" w:type="dxa"/>
            <w:tcBorders>
              <w:top w:val="single" w:sz="4" w:space="0" w:color="000000"/>
              <w:bottom w:val="single" w:sz="4" w:space="0" w:color="000000"/>
            </w:tcBorders>
          </w:tcPr>
          <w:p>
            <w:pPr>
              <w:pStyle w:val="TableParagraph"/>
              <w:tabs>
                <w:tab w:pos="424" w:val="left" w:leader="none"/>
              </w:tabs>
              <w:spacing w:before="13"/>
              <w:ind w:left="101"/>
              <w:rPr>
                <w:sz w:val="18"/>
              </w:rPr>
            </w:pPr>
            <w:r>
              <w:rPr>
                <w:spacing w:val="-10"/>
                <w:sz w:val="18"/>
              </w:rPr>
              <w:t>$</w:t>
            </w:r>
            <w:r>
              <w:rPr>
                <w:sz w:val="18"/>
              </w:rPr>
              <w:tab/>
            </w:r>
            <w:r>
              <w:rPr>
                <w:spacing w:val="-2"/>
                <w:sz w:val="18"/>
              </w:rPr>
              <w:t>7,664</w:t>
            </w:r>
          </w:p>
        </w:tc>
      </w:tr>
      <w:tr>
        <w:trPr>
          <w:trHeight w:val="250" w:hRule="atLeast"/>
        </w:trPr>
        <w:tc>
          <w:tcPr>
            <w:tcW w:w="6015" w:type="dxa"/>
            <w:tcBorders>
              <w:top w:val="single" w:sz="4" w:space="0" w:color="000000"/>
            </w:tcBorders>
            <w:shd w:val="clear" w:color="auto" w:fill="CCEDFF"/>
          </w:tcPr>
          <w:p>
            <w:pPr>
              <w:pStyle w:val="TableParagraph"/>
              <w:spacing w:before="13"/>
              <w:ind w:left="52"/>
              <w:rPr>
                <w:sz w:val="18"/>
              </w:rPr>
            </w:pPr>
            <w:r>
              <w:rPr>
                <w:spacing w:val="-2"/>
                <w:sz w:val="18"/>
              </w:rPr>
              <w:t>Less:</w:t>
            </w:r>
          </w:p>
        </w:tc>
        <w:tc>
          <w:tcPr>
            <w:tcW w:w="1031" w:type="dxa"/>
            <w:tcBorders>
              <w:top w:val="single" w:sz="4" w:space="0" w:color="000000"/>
            </w:tcBorders>
            <w:shd w:val="clear" w:color="auto" w:fill="CCEDFF"/>
          </w:tcPr>
          <w:p>
            <w:pPr>
              <w:pStyle w:val="TableParagraph"/>
              <w:rPr>
                <w:sz w:val="18"/>
              </w:rPr>
            </w:pPr>
          </w:p>
        </w:tc>
        <w:tc>
          <w:tcPr>
            <w:tcW w:w="1080" w:type="dxa"/>
            <w:tcBorders>
              <w:top w:val="single" w:sz="4" w:space="0" w:color="000000"/>
            </w:tcBorders>
            <w:shd w:val="clear" w:color="auto" w:fill="CCEDFF"/>
          </w:tcPr>
          <w:p>
            <w:pPr>
              <w:pStyle w:val="TableParagraph"/>
              <w:rPr>
                <w:sz w:val="18"/>
              </w:rPr>
            </w:pPr>
          </w:p>
        </w:tc>
        <w:tc>
          <w:tcPr>
            <w:tcW w:w="1080" w:type="dxa"/>
            <w:tcBorders>
              <w:top w:val="single" w:sz="4" w:space="0" w:color="000000"/>
            </w:tcBorders>
            <w:shd w:val="clear" w:color="auto" w:fill="CCEDFF"/>
          </w:tcPr>
          <w:p>
            <w:pPr>
              <w:pStyle w:val="TableParagraph"/>
              <w:rPr>
                <w:sz w:val="18"/>
              </w:rPr>
            </w:pPr>
          </w:p>
        </w:tc>
        <w:tc>
          <w:tcPr>
            <w:tcW w:w="1054" w:type="dxa"/>
            <w:tcBorders>
              <w:top w:val="single" w:sz="4" w:space="0" w:color="000000"/>
            </w:tcBorders>
            <w:shd w:val="clear" w:color="auto" w:fill="CCEDFF"/>
          </w:tcPr>
          <w:p>
            <w:pPr>
              <w:pStyle w:val="TableParagraph"/>
              <w:rPr>
                <w:sz w:val="18"/>
              </w:rPr>
            </w:pPr>
          </w:p>
        </w:tc>
      </w:tr>
      <w:tr>
        <w:trPr>
          <w:trHeight w:val="255" w:hRule="atLeast"/>
        </w:trPr>
        <w:tc>
          <w:tcPr>
            <w:tcW w:w="6015" w:type="dxa"/>
          </w:tcPr>
          <w:p>
            <w:pPr>
              <w:pStyle w:val="TableParagraph"/>
              <w:spacing w:before="18"/>
              <w:ind w:left="187"/>
              <w:rPr>
                <w:sz w:val="18"/>
              </w:rPr>
            </w:pPr>
            <w:r>
              <w:rPr>
                <w:sz w:val="18"/>
              </w:rPr>
              <w:t>Goodwill,</w:t>
            </w:r>
            <w:r>
              <w:rPr>
                <w:spacing w:val="-1"/>
                <w:sz w:val="18"/>
              </w:rPr>
              <w:t> </w:t>
            </w:r>
            <w:r>
              <w:rPr>
                <w:sz w:val="18"/>
              </w:rPr>
              <w:t>net</w:t>
            </w:r>
            <w:r>
              <w:rPr>
                <w:spacing w:val="-1"/>
                <w:sz w:val="18"/>
              </w:rPr>
              <w:t> </w:t>
            </w:r>
            <w:r>
              <w:rPr>
                <w:sz w:val="18"/>
              </w:rPr>
              <w:t>of associated</w:t>
            </w:r>
            <w:r>
              <w:rPr>
                <w:spacing w:val="-1"/>
                <w:sz w:val="18"/>
              </w:rPr>
              <w:t> </w:t>
            </w:r>
            <w:r>
              <w:rPr>
                <w:sz w:val="18"/>
              </w:rPr>
              <w:t>deferred</w:t>
            </w:r>
            <w:r>
              <w:rPr>
                <w:spacing w:val="-1"/>
                <w:sz w:val="18"/>
              </w:rPr>
              <w:t> </w:t>
            </w:r>
            <w:r>
              <w:rPr>
                <w:sz w:val="18"/>
              </w:rPr>
              <w:t>tax </w:t>
            </w:r>
            <w:r>
              <w:rPr>
                <w:spacing w:val="-2"/>
                <w:sz w:val="18"/>
              </w:rPr>
              <w:t>liabilities</w:t>
            </w:r>
          </w:p>
        </w:tc>
        <w:tc>
          <w:tcPr>
            <w:tcW w:w="1031" w:type="dxa"/>
          </w:tcPr>
          <w:p>
            <w:pPr>
              <w:pStyle w:val="TableParagraph"/>
              <w:spacing w:before="18"/>
              <w:ind w:left="52"/>
              <w:rPr>
                <w:sz w:val="18"/>
              </w:rPr>
            </w:pPr>
            <w:r>
              <w:rPr>
                <w:sz w:val="18"/>
              </w:rPr>
              <w:t>$</w:t>
            </w:r>
            <w:r>
              <w:rPr>
                <w:spacing w:val="74"/>
                <w:w w:val="150"/>
                <w:sz w:val="18"/>
              </w:rPr>
              <w:t> </w:t>
            </w:r>
            <w:r>
              <w:rPr>
                <w:spacing w:val="-2"/>
                <w:sz w:val="18"/>
              </w:rPr>
              <w:t>11,788</w:t>
            </w:r>
          </w:p>
        </w:tc>
        <w:tc>
          <w:tcPr>
            <w:tcW w:w="1080" w:type="dxa"/>
          </w:tcPr>
          <w:p>
            <w:pPr>
              <w:pStyle w:val="TableParagraph"/>
              <w:tabs>
                <w:tab w:pos="649" w:val="left" w:leader="none"/>
              </w:tabs>
              <w:spacing w:before="18"/>
              <w:ind w:left="101"/>
              <w:rPr>
                <w:sz w:val="18"/>
              </w:rPr>
            </w:pPr>
            <w:r>
              <w:rPr>
                <w:spacing w:val="-10"/>
                <w:sz w:val="18"/>
              </w:rPr>
              <w:t>$</w:t>
            </w:r>
            <w:r>
              <w:rPr>
                <w:sz w:val="18"/>
              </w:rPr>
              <w:tab/>
            </w:r>
            <w:r>
              <w:rPr>
                <w:spacing w:val="-5"/>
                <w:sz w:val="18"/>
              </w:rPr>
              <w:t>13</w:t>
            </w:r>
          </w:p>
        </w:tc>
        <w:tc>
          <w:tcPr>
            <w:tcW w:w="1080" w:type="dxa"/>
          </w:tcPr>
          <w:p>
            <w:pPr>
              <w:pStyle w:val="TableParagraph"/>
              <w:spacing w:before="18"/>
              <w:ind w:left="101"/>
              <w:rPr>
                <w:sz w:val="18"/>
              </w:rPr>
            </w:pPr>
            <w:r>
              <w:rPr>
                <w:sz w:val="18"/>
              </w:rPr>
              <w:t>$</w:t>
            </w:r>
            <w:r>
              <w:rPr>
                <w:spacing w:val="74"/>
                <w:w w:val="150"/>
                <w:sz w:val="18"/>
              </w:rPr>
              <w:t> </w:t>
            </w:r>
            <w:r>
              <w:rPr>
                <w:spacing w:val="-2"/>
                <w:sz w:val="18"/>
              </w:rPr>
              <w:t>11,816</w:t>
            </w:r>
          </w:p>
        </w:tc>
        <w:tc>
          <w:tcPr>
            <w:tcW w:w="1054" w:type="dxa"/>
          </w:tcPr>
          <w:p>
            <w:pPr>
              <w:pStyle w:val="TableParagraph"/>
              <w:tabs>
                <w:tab w:pos="649" w:val="left" w:leader="none"/>
              </w:tabs>
              <w:spacing w:before="18"/>
              <w:ind w:left="101"/>
              <w:rPr>
                <w:sz w:val="18"/>
              </w:rPr>
            </w:pPr>
            <w:r>
              <w:rPr>
                <w:spacing w:val="-10"/>
                <w:sz w:val="18"/>
              </w:rPr>
              <w:t>$</w:t>
            </w:r>
            <w:r>
              <w:rPr>
                <w:sz w:val="18"/>
              </w:rPr>
              <w:tab/>
            </w:r>
            <w:r>
              <w:rPr>
                <w:spacing w:val="-5"/>
                <w:sz w:val="18"/>
              </w:rPr>
              <w:t>13</w:t>
            </w:r>
          </w:p>
        </w:tc>
      </w:tr>
      <w:tr>
        <w:trPr>
          <w:trHeight w:val="255" w:hRule="atLeast"/>
        </w:trPr>
        <w:tc>
          <w:tcPr>
            <w:tcW w:w="6015" w:type="dxa"/>
            <w:shd w:val="clear" w:color="auto" w:fill="CCEDFF"/>
          </w:tcPr>
          <w:p>
            <w:pPr>
              <w:pStyle w:val="TableParagraph"/>
              <w:spacing w:before="18"/>
              <w:ind w:left="187"/>
              <w:rPr>
                <w:sz w:val="18"/>
              </w:rPr>
            </w:pPr>
            <w:r>
              <w:rPr>
                <w:sz w:val="18"/>
              </w:rPr>
              <w:t>Other</w:t>
            </w:r>
            <w:r>
              <w:rPr>
                <w:spacing w:val="-1"/>
                <w:sz w:val="18"/>
              </w:rPr>
              <w:t> </w:t>
            </w:r>
            <w:r>
              <w:rPr>
                <w:sz w:val="18"/>
              </w:rPr>
              <w:t>intangible</w:t>
            </w:r>
            <w:r>
              <w:rPr>
                <w:spacing w:val="-1"/>
                <w:sz w:val="18"/>
              </w:rPr>
              <w:t> </w:t>
            </w:r>
            <w:r>
              <w:rPr>
                <w:sz w:val="18"/>
              </w:rPr>
              <w:t>assets,</w:t>
            </w:r>
            <w:r>
              <w:rPr>
                <w:spacing w:val="-1"/>
                <w:sz w:val="18"/>
              </w:rPr>
              <w:t> </w:t>
            </w:r>
            <w:r>
              <w:rPr>
                <w:sz w:val="18"/>
              </w:rPr>
              <w:t>net of</w:t>
            </w:r>
            <w:r>
              <w:rPr>
                <w:spacing w:val="-1"/>
                <w:sz w:val="18"/>
              </w:rPr>
              <w:t> </w:t>
            </w:r>
            <w:r>
              <w:rPr>
                <w:sz w:val="18"/>
              </w:rPr>
              <w:t>associated</w:t>
            </w:r>
            <w:r>
              <w:rPr>
                <w:spacing w:val="-1"/>
                <w:sz w:val="18"/>
              </w:rPr>
              <w:t> </w:t>
            </w:r>
            <w:r>
              <w:rPr>
                <w:sz w:val="18"/>
              </w:rPr>
              <w:t>deferred</w:t>
            </w:r>
            <w:r>
              <w:rPr>
                <w:spacing w:val="-1"/>
                <w:sz w:val="18"/>
              </w:rPr>
              <w:t> </w:t>
            </w:r>
            <w:r>
              <w:rPr>
                <w:sz w:val="18"/>
              </w:rPr>
              <w:t>tax </w:t>
            </w:r>
            <w:r>
              <w:rPr>
                <w:spacing w:val="-2"/>
                <w:sz w:val="18"/>
              </w:rPr>
              <w:t>liabilities</w:t>
            </w:r>
          </w:p>
        </w:tc>
        <w:tc>
          <w:tcPr>
            <w:tcW w:w="1031" w:type="dxa"/>
            <w:shd w:val="clear" w:color="auto" w:fill="CCEDFF"/>
          </w:tcPr>
          <w:p>
            <w:pPr>
              <w:pStyle w:val="TableParagraph"/>
              <w:spacing w:before="18"/>
              <w:ind w:left="375"/>
              <w:rPr>
                <w:sz w:val="18"/>
              </w:rPr>
            </w:pPr>
            <w:r>
              <w:rPr>
                <w:spacing w:val="-2"/>
                <w:sz w:val="18"/>
              </w:rPr>
              <w:t>6,739</w:t>
            </w:r>
          </w:p>
        </w:tc>
        <w:tc>
          <w:tcPr>
            <w:tcW w:w="1080" w:type="dxa"/>
            <w:shd w:val="clear" w:color="auto" w:fill="CCEDFF"/>
          </w:tcPr>
          <w:p>
            <w:pPr>
              <w:pStyle w:val="TableParagraph"/>
              <w:spacing w:before="18"/>
              <w:ind w:left="649"/>
              <w:rPr>
                <w:sz w:val="18"/>
              </w:rPr>
            </w:pPr>
            <w:r>
              <w:rPr>
                <w:spacing w:val="-10"/>
                <w:sz w:val="18"/>
              </w:rPr>
              <w:t>—</w:t>
            </w:r>
          </w:p>
        </w:tc>
        <w:tc>
          <w:tcPr>
            <w:tcW w:w="1080" w:type="dxa"/>
            <w:shd w:val="clear" w:color="auto" w:fill="CCEDFF"/>
          </w:tcPr>
          <w:p>
            <w:pPr>
              <w:pStyle w:val="TableParagraph"/>
              <w:spacing w:before="18"/>
              <w:ind w:left="424"/>
              <w:rPr>
                <w:sz w:val="18"/>
              </w:rPr>
            </w:pPr>
            <w:r>
              <w:rPr>
                <w:spacing w:val="-2"/>
                <w:sz w:val="18"/>
              </w:rPr>
              <w:t>7,079</w:t>
            </w:r>
          </w:p>
        </w:tc>
        <w:tc>
          <w:tcPr>
            <w:tcW w:w="1054" w:type="dxa"/>
            <w:shd w:val="clear" w:color="auto" w:fill="CCEDFF"/>
          </w:tcPr>
          <w:p>
            <w:pPr>
              <w:pStyle w:val="TableParagraph"/>
              <w:spacing w:before="18"/>
              <w:ind w:left="649"/>
              <w:rPr>
                <w:sz w:val="18"/>
              </w:rPr>
            </w:pPr>
            <w:r>
              <w:rPr>
                <w:spacing w:val="-10"/>
                <w:sz w:val="18"/>
              </w:rPr>
              <w:t>—</w:t>
            </w:r>
          </w:p>
        </w:tc>
      </w:tr>
      <w:tr>
        <w:trPr>
          <w:trHeight w:val="255" w:hRule="atLeast"/>
        </w:trPr>
        <w:tc>
          <w:tcPr>
            <w:tcW w:w="6015" w:type="dxa"/>
          </w:tcPr>
          <w:p>
            <w:pPr>
              <w:pStyle w:val="TableParagraph"/>
              <w:spacing w:before="18"/>
              <w:ind w:left="187"/>
              <w:rPr>
                <w:sz w:val="18"/>
              </w:rPr>
            </w:pPr>
            <w:r>
              <w:rPr>
                <w:sz w:val="18"/>
              </w:rPr>
              <w:t>Deferred</w:t>
            </w:r>
            <w:r>
              <w:rPr>
                <w:spacing w:val="-3"/>
                <w:sz w:val="18"/>
              </w:rPr>
              <w:t> </w:t>
            </w:r>
            <w:r>
              <w:rPr>
                <w:sz w:val="18"/>
              </w:rPr>
              <w:t>tax assets,</w:t>
            </w:r>
            <w:r>
              <w:rPr>
                <w:spacing w:val="-1"/>
                <w:sz w:val="18"/>
              </w:rPr>
              <w:t> </w:t>
            </w:r>
            <w:r>
              <w:rPr>
                <w:sz w:val="18"/>
              </w:rPr>
              <w:t>net of</w:t>
            </w:r>
            <w:r>
              <w:rPr>
                <w:spacing w:val="-1"/>
                <w:sz w:val="18"/>
              </w:rPr>
              <w:t> </w:t>
            </w:r>
            <w:r>
              <w:rPr>
                <w:sz w:val="18"/>
              </w:rPr>
              <w:t>valuation allowances</w:t>
            </w:r>
            <w:r>
              <w:rPr>
                <w:spacing w:val="-2"/>
                <w:sz w:val="18"/>
              </w:rPr>
              <w:t> </w:t>
            </w:r>
            <w:r>
              <w:rPr>
                <w:sz w:val="18"/>
              </w:rPr>
              <w:t>and deferred</w:t>
            </w:r>
            <w:r>
              <w:rPr>
                <w:spacing w:val="-1"/>
                <w:sz w:val="18"/>
              </w:rPr>
              <w:t> </w:t>
            </w:r>
            <w:r>
              <w:rPr>
                <w:sz w:val="18"/>
              </w:rPr>
              <w:t>tax </w:t>
            </w:r>
            <w:r>
              <w:rPr>
                <w:spacing w:val="-2"/>
                <w:sz w:val="18"/>
              </w:rPr>
              <w:t>liabilities</w:t>
            </w:r>
          </w:p>
        </w:tc>
        <w:tc>
          <w:tcPr>
            <w:tcW w:w="1031" w:type="dxa"/>
          </w:tcPr>
          <w:p>
            <w:pPr>
              <w:pStyle w:val="TableParagraph"/>
              <w:spacing w:before="18"/>
              <w:ind w:left="600"/>
              <w:rPr>
                <w:sz w:val="18"/>
              </w:rPr>
            </w:pPr>
            <w:r>
              <w:rPr>
                <w:spacing w:val="-5"/>
                <w:sz w:val="18"/>
              </w:rPr>
              <w:t>37</w:t>
            </w:r>
          </w:p>
        </w:tc>
        <w:tc>
          <w:tcPr>
            <w:tcW w:w="1080" w:type="dxa"/>
          </w:tcPr>
          <w:p>
            <w:pPr>
              <w:pStyle w:val="TableParagraph"/>
              <w:spacing w:before="18"/>
              <w:ind w:left="649"/>
              <w:rPr>
                <w:sz w:val="18"/>
              </w:rPr>
            </w:pPr>
            <w:r>
              <w:rPr>
                <w:spacing w:val="-5"/>
                <w:sz w:val="18"/>
              </w:rPr>
              <w:t>35</w:t>
            </w:r>
          </w:p>
        </w:tc>
        <w:tc>
          <w:tcPr>
            <w:tcW w:w="1080" w:type="dxa"/>
          </w:tcPr>
          <w:p>
            <w:pPr>
              <w:pStyle w:val="TableParagraph"/>
              <w:spacing w:before="18"/>
              <w:ind w:left="649"/>
              <w:rPr>
                <w:sz w:val="18"/>
              </w:rPr>
            </w:pPr>
            <w:r>
              <w:rPr>
                <w:spacing w:val="-5"/>
                <w:sz w:val="18"/>
              </w:rPr>
              <w:t>37</w:t>
            </w:r>
          </w:p>
        </w:tc>
        <w:tc>
          <w:tcPr>
            <w:tcW w:w="1054" w:type="dxa"/>
          </w:tcPr>
          <w:p>
            <w:pPr>
              <w:pStyle w:val="TableParagraph"/>
              <w:spacing w:before="18"/>
              <w:ind w:left="649"/>
              <w:rPr>
                <w:sz w:val="18"/>
              </w:rPr>
            </w:pPr>
            <w:r>
              <w:rPr>
                <w:spacing w:val="-5"/>
                <w:sz w:val="18"/>
              </w:rPr>
              <w:t>35</w:t>
            </w:r>
          </w:p>
        </w:tc>
      </w:tr>
      <w:tr>
        <w:trPr>
          <w:trHeight w:val="250" w:hRule="atLeast"/>
        </w:trPr>
        <w:tc>
          <w:tcPr>
            <w:tcW w:w="6015" w:type="dxa"/>
            <w:tcBorders>
              <w:bottom w:val="single" w:sz="4" w:space="0" w:color="000000"/>
            </w:tcBorders>
            <w:shd w:val="clear" w:color="auto" w:fill="CCEDFF"/>
          </w:tcPr>
          <w:p>
            <w:pPr>
              <w:pStyle w:val="TableParagraph"/>
              <w:spacing w:before="18"/>
              <w:ind w:left="187"/>
              <w:rPr>
                <w:sz w:val="18"/>
              </w:rPr>
            </w:pPr>
            <w:r>
              <w:rPr>
                <w:sz w:val="18"/>
              </w:rPr>
              <w:t>AOCI</w:t>
            </w:r>
            <w:r>
              <w:rPr>
                <w:spacing w:val="-2"/>
                <w:sz w:val="18"/>
              </w:rPr>
              <w:t> </w:t>
            </w:r>
            <w:r>
              <w:rPr>
                <w:sz w:val="18"/>
              </w:rPr>
              <w:t>adjustment</w:t>
            </w:r>
            <w:r>
              <w:rPr>
                <w:spacing w:val="-2"/>
                <w:sz w:val="18"/>
              </w:rPr>
              <w:t> </w:t>
            </w:r>
            <w:r>
              <w:rPr>
                <w:spacing w:val="-5"/>
                <w:sz w:val="18"/>
                <w:vertAlign w:val="superscript"/>
              </w:rPr>
              <w:t>(1)</w:t>
            </w:r>
          </w:p>
        </w:tc>
        <w:tc>
          <w:tcPr>
            <w:tcW w:w="1031" w:type="dxa"/>
            <w:tcBorders>
              <w:bottom w:val="single" w:sz="4" w:space="0" w:color="000000"/>
            </w:tcBorders>
            <w:shd w:val="clear" w:color="auto" w:fill="CCEDFF"/>
          </w:tcPr>
          <w:p>
            <w:pPr>
              <w:pStyle w:val="TableParagraph"/>
              <w:spacing w:before="18"/>
              <w:ind w:left="225"/>
              <w:rPr>
                <w:sz w:val="18"/>
              </w:rPr>
            </w:pPr>
            <w:r>
              <w:rPr>
                <w:spacing w:val="-2"/>
                <w:sz w:val="18"/>
              </w:rPr>
              <w:t>(20,752)</w:t>
            </w:r>
          </w:p>
        </w:tc>
        <w:tc>
          <w:tcPr>
            <w:tcW w:w="1080" w:type="dxa"/>
            <w:tcBorders>
              <w:bottom w:val="single" w:sz="4" w:space="0" w:color="000000"/>
            </w:tcBorders>
            <w:shd w:val="clear" w:color="auto" w:fill="CCEDFF"/>
          </w:tcPr>
          <w:p>
            <w:pPr>
              <w:pStyle w:val="TableParagraph"/>
              <w:spacing w:before="18"/>
              <w:ind w:left="274"/>
              <w:rPr>
                <w:sz w:val="18"/>
              </w:rPr>
            </w:pPr>
            <w:r>
              <w:rPr>
                <w:spacing w:val="-2"/>
                <w:sz w:val="18"/>
              </w:rPr>
              <w:t>(18,144)</w:t>
            </w:r>
          </w:p>
        </w:tc>
        <w:tc>
          <w:tcPr>
            <w:tcW w:w="1080" w:type="dxa"/>
            <w:tcBorders>
              <w:bottom w:val="single" w:sz="4" w:space="0" w:color="000000"/>
            </w:tcBorders>
            <w:shd w:val="clear" w:color="auto" w:fill="CCEDFF"/>
          </w:tcPr>
          <w:p>
            <w:pPr>
              <w:pStyle w:val="TableParagraph"/>
              <w:spacing w:before="18"/>
              <w:ind w:left="274"/>
              <w:rPr>
                <w:sz w:val="18"/>
              </w:rPr>
            </w:pPr>
            <w:r>
              <w:rPr>
                <w:spacing w:val="-2"/>
                <w:sz w:val="18"/>
              </w:rPr>
              <w:t>(22,620)</w:t>
            </w:r>
          </w:p>
        </w:tc>
        <w:tc>
          <w:tcPr>
            <w:tcW w:w="1054" w:type="dxa"/>
            <w:tcBorders>
              <w:bottom w:val="single" w:sz="4" w:space="0" w:color="000000"/>
            </w:tcBorders>
            <w:shd w:val="clear" w:color="auto" w:fill="CCEDFF"/>
          </w:tcPr>
          <w:p>
            <w:pPr>
              <w:pStyle w:val="TableParagraph"/>
              <w:spacing w:before="18"/>
              <w:ind w:left="274"/>
              <w:rPr>
                <w:sz w:val="18"/>
              </w:rPr>
            </w:pPr>
            <w:r>
              <w:rPr>
                <w:spacing w:val="-2"/>
                <w:sz w:val="18"/>
              </w:rPr>
              <w:t>(19,680)</w:t>
            </w:r>
          </w:p>
        </w:tc>
      </w:tr>
      <w:tr>
        <w:trPr>
          <w:trHeight w:val="220" w:hRule="atLeast"/>
        </w:trPr>
        <w:tc>
          <w:tcPr>
            <w:tcW w:w="6015" w:type="dxa"/>
            <w:tcBorders>
              <w:top w:val="single" w:sz="4" w:space="0" w:color="000000"/>
              <w:bottom w:val="double" w:sz="8" w:space="0" w:color="000000"/>
            </w:tcBorders>
          </w:tcPr>
          <w:p>
            <w:pPr>
              <w:pStyle w:val="TableParagraph"/>
              <w:spacing w:line="187" w:lineRule="exact" w:before="13"/>
              <w:ind w:left="52"/>
              <w:rPr>
                <w:sz w:val="18"/>
              </w:rPr>
            </w:pPr>
            <w:r>
              <w:rPr>
                <w:sz w:val="18"/>
              </w:rPr>
              <w:t>Common Equity Tier 1 </w:t>
            </w:r>
            <w:r>
              <w:rPr>
                <w:spacing w:val="-2"/>
                <w:sz w:val="18"/>
              </w:rPr>
              <w:t>Capital</w:t>
            </w:r>
          </w:p>
        </w:tc>
        <w:tc>
          <w:tcPr>
            <w:tcW w:w="1031" w:type="dxa"/>
            <w:tcBorders>
              <w:top w:val="single" w:sz="4" w:space="0" w:color="000000"/>
              <w:bottom w:val="double" w:sz="8" w:space="0" w:color="000000"/>
            </w:tcBorders>
          </w:tcPr>
          <w:p>
            <w:pPr>
              <w:pStyle w:val="TableParagraph"/>
              <w:spacing w:line="187" w:lineRule="exact" w:before="13"/>
              <w:ind w:left="52"/>
              <w:rPr>
                <w:sz w:val="18"/>
              </w:rPr>
            </w:pPr>
            <w:r>
              <w:rPr>
                <w:sz w:val="18"/>
              </w:rPr>
              <w:t>$</w:t>
            </w:r>
            <w:r>
              <w:rPr>
                <w:spacing w:val="74"/>
                <w:w w:val="150"/>
                <w:sz w:val="18"/>
              </w:rPr>
              <w:t> </w:t>
            </w:r>
            <w:r>
              <w:rPr>
                <w:spacing w:val="-2"/>
                <w:sz w:val="18"/>
              </w:rPr>
              <w:t>30,781</w:t>
            </w:r>
          </w:p>
        </w:tc>
        <w:tc>
          <w:tcPr>
            <w:tcW w:w="1080" w:type="dxa"/>
            <w:tcBorders>
              <w:top w:val="single" w:sz="4" w:space="0" w:color="000000"/>
              <w:bottom w:val="double" w:sz="8" w:space="0" w:color="000000"/>
            </w:tcBorders>
          </w:tcPr>
          <w:p>
            <w:pPr>
              <w:pStyle w:val="TableParagraph"/>
              <w:spacing w:line="187" w:lineRule="exact" w:before="13"/>
              <w:ind w:left="101"/>
              <w:rPr>
                <w:sz w:val="18"/>
              </w:rPr>
            </w:pPr>
            <w:r>
              <w:rPr>
                <w:sz w:val="18"/>
              </w:rPr>
              <w:t>$</w:t>
            </w:r>
            <w:r>
              <w:rPr>
                <w:spacing w:val="74"/>
                <w:w w:val="150"/>
                <w:sz w:val="18"/>
              </w:rPr>
              <w:t> </w:t>
            </w:r>
            <w:r>
              <w:rPr>
                <w:spacing w:val="-2"/>
                <w:sz w:val="18"/>
              </w:rPr>
              <w:t>31,765</w:t>
            </w:r>
          </w:p>
        </w:tc>
        <w:tc>
          <w:tcPr>
            <w:tcW w:w="1080" w:type="dxa"/>
            <w:tcBorders>
              <w:top w:val="single" w:sz="4" w:space="0" w:color="000000"/>
              <w:bottom w:val="double" w:sz="8" w:space="0" w:color="000000"/>
            </w:tcBorders>
          </w:tcPr>
          <w:p>
            <w:pPr>
              <w:pStyle w:val="TableParagraph"/>
              <w:spacing w:line="187" w:lineRule="exact" w:before="13"/>
              <w:ind w:left="101"/>
              <w:rPr>
                <w:sz w:val="18"/>
              </w:rPr>
            </w:pPr>
            <w:r>
              <w:rPr>
                <w:sz w:val="18"/>
              </w:rPr>
              <w:t>$</w:t>
            </w:r>
            <w:r>
              <w:rPr>
                <w:spacing w:val="74"/>
                <w:w w:val="150"/>
                <w:sz w:val="18"/>
              </w:rPr>
              <w:t> </w:t>
            </w:r>
            <w:r>
              <w:rPr>
                <w:spacing w:val="-2"/>
                <w:sz w:val="18"/>
              </w:rPr>
              <w:t>30,590</w:t>
            </w:r>
          </w:p>
        </w:tc>
        <w:tc>
          <w:tcPr>
            <w:tcW w:w="1054" w:type="dxa"/>
            <w:tcBorders>
              <w:top w:val="single" w:sz="4" w:space="0" w:color="000000"/>
              <w:bottom w:val="double" w:sz="8" w:space="0" w:color="000000"/>
            </w:tcBorders>
          </w:tcPr>
          <w:p>
            <w:pPr>
              <w:pStyle w:val="TableParagraph"/>
              <w:spacing w:line="187" w:lineRule="exact" w:before="13"/>
              <w:ind w:left="101"/>
              <w:rPr>
                <w:sz w:val="18"/>
              </w:rPr>
            </w:pPr>
            <w:r>
              <w:rPr>
                <w:sz w:val="18"/>
              </w:rPr>
              <w:t>$</w:t>
            </w:r>
            <w:r>
              <w:rPr>
                <w:spacing w:val="74"/>
                <w:w w:val="150"/>
                <w:sz w:val="18"/>
              </w:rPr>
              <w:t> </w:t>
            </w:r>
            <w:r>
              <w:rPr>
                <w:spacing w:val="-2"/>
                <w:sz w:val="18"/>
              </w:rPr>
              <w:t>27,296</w:t>
            </w:r>
          </w:p>
        </w:tc>
      </w:tr>
      <w:tr>
        <w:trPr>
          <w:trHeight w:val="225" w:hRule="atLeast"/>
        </w:trPr>
        <w:tc>
          <w:tcPr>
            <w:tcW w:w="6015" w:type="dxa"/>
            <w:tcBorders>
              <w:top w:val="double" w:sz="8" w:space="0" w:color="000000"/>
            </w:tcBorders>
            <w:shd w:val="clear" w:color="auto" w:fill="CCEDFF"/>
          </w:tcPr>
          <w:p>
            <w:pPr>
              <w:pStyle w:val="TableParagraph"/>
              <w:spacing w:line="195" w:lineRule="exact"/>
              <w:ind w:left="52"/>
              <w:rPr>
                <w:sz w:val="18"/>
              </w:rPr>
            </w:pPr>
            <w:r>
              <w:rPr>
                <w:sz w:val="18"/>
              </w:rPr>
              <w:t>Tier 1 </w:t>
            </w:r>
            <w:r>
              <w:rPr>
                <w:spacing w:val="-2"/>
                <w:sz w:val="18"/>
              </w:rPr>
              <w:t>Capital</w:t>
            </w:r>
          </w:p>
        </w:tc>
        <w:tc>
          <w:tcPr>
            <w:tcW w:w="1031" w:type="dxa"/>
            <w:tcBorders>
              <w:top w:val="double" w:sz="8" w:space="0" w:color="000000"/>
            </w:tcBorders>
            <w:shd w:val="clear" w:color="auto" w:fill="CCEDFF"/>
          </w:tcPr>
          <w:p>
            <w:pPr>
              <w:pStyle w:val="TableParagraph"/>
              <w:spacing w:line="195" w:lineRule="exact"/>
              <w:ind w:left="52"/>
              <w:rPr>
                <w:sz w:val="18"/>
              </w:rPr>
            </w:pPr>
            <w:r>
              <w:rPr>
                <w:sz w:val="18"/>
              </w:rPr>
              <w:t>$</w:t>
            </w:r>
            <w:r>
              <w:rPr>
                <w:spacing w:val="74"/>
                <w:w w:val="150"/>
                <w:sz w:val="18"/>
              </w:rPr>
              <w:t> </w:t>
            </w:r>
            <w:r>
              <w:rPr>
                <w:spacing w:val="-2"/>
                <w:sz w:val="18"/>
              </w:rPr>
              <w:t>39,972</w:t>
            </w:r>
          </w:p>
        </w:tc>
        <w:tc>
          <w:tcPr>
            <w:tcW w:w="1080" w:type="dxa"/>
            <w:tcBorders>
              <w:top w:val="double" w:sz="8" w:space="0" w:color="000000"/>
            </w:tcBorders>
            <w:shd w:val="clear" w:color="auto" w:fill="CCEDFF"/>
          </w:tcPr>
          <w:p>
            <w:pPr>
              <w:pStyle w:val="TableParagraph"/>
              <w:spacing w:line="195" w:lineRule="exact"/>
              <w:ind w:left="101"/>
              <w:rPr>
                <w:sz w:val="18"/>
              </w:rPr>
            </w:pPr>
            <w:r>
              <w:rPr>
                <w:sz w:val="18"/>
              </w:rPr>
              <w:t>$</w:t>
            </w:r>
            <w:r>
              <w:rPr>
                <w:spacing w:val="74"/>
                <w:w w:val="150"/>
                <w:sz w:val="18"/>
              </w:rPr>
              <w:t> </w:t>
            </w:r>
            <w:r>
              <w:rPr>
                <w:spacing w:val="-2"/>
                <w:sz w:val="18"/>
              </w:rPr>
              <w:t>31,765</w:t>
            </w:r>
          </w:p>
        </w:tc>
        <w:tc>
          <w:tcPr>
            <w:tcW w:w="1080" w:type="dxa"/>
            <w:tcBorders>
              <w:top w:val="double" w:sz="8" w:space="0" w:color="000000"/>
            </w:tcBorders>
            <w:shd w:val="clear" w:color="auto" w:fill="CCEDFF"/>
          </w:tcPr>
          <w:p>
            <w:pPr>
              <w:pStyle w:val="TableParagraph"/>
              <w:spacing w:line="195" w:lineRule="exact"/>
              <w:ind w:left="101"/>
              <w:rPr>
                <w:sz w:val="18"/>
              </w:rPr>
            </w:pPr>
            <w:r>
              <w:rPr>
                <w:sz w:val="18"/>
              </w:rPr>
              <w:t>$</w:t>
            </w:r>
            <w:r>
              <w:rPr>
                <w:spacing w:val="74"/>
                <w:w w:val="150"/>
                <w:sz w:val="18"/>
              </w:rPr>
              <w:t> </w:t>
            </w:r>
            <w:r>
              <w:rPr>
                <w:spacing w:val="-2"/>
                <w:sz w:val="18"/>
              </w:rPr>
              <w:t>40,296</w:t>
            </w:r>
          </w:p>
        </w:tc>
        <w:tc>
          <w:tcPr>
            <w:tcW w:w="1054" w:type="dxa"/>
            <w:tcBorders>
              <w:top w:val="double" w:sz="8" w:space="0" w:color="000000"/>
            </w:tcBorders>
            <w:shd w:val="clear" w:color="auto" w:fill="CCEDFF"/>
          </w:tcPr>
          <w:p>
            <w:pPr>
              <w:pStyle w:val="TableParagraph"/>
              <w:spacing w:line="195" w:lineRule="exact"/>
              <w:ind w:left="101"/>
              <w:rPr>
                <w:sz w:val="18"/>
              </w:rPr>
            </w:pPr>
            <w:r>
              <w:rPr>
                <w:sz w:val="18"/>
              </w:rPr>
              <w:t>$</w:t>
            </w:r>
            <w:r>
              <w:rPr>
                <w:spacing w:val="74"/>
                <w:w w:val="150"/>
                <w:sz w:val="18"/>
              </w:rPr>
              <w:t> </w:t>
            </w:r>
            <w:r>
              <w:rPr>
                <w:spacing w:val="-2"/>
                <w:sz w:val="18"/>
              </w:rPr>
              <w:t>27,296</w:t>
            </w:r>
          </w:p>
        </w:tc>
      </w:tr>
      <w:tr>
        <w:trPr>
          <w:trHeight w:val="255" w:hRule="atLeast"/>
        </w:trPr>
        <w:tc>
          <w:tcPr>
            <w:tcW w:w="6015" w:type="dxa"/>
          </w:tcPr>
          <w:p>
            <w:pPr>
              <w:pStyle w:val="TableParagraph"/>
              <w:spacing w:before="18"/>
              <w:ind w:left="52"/>
              <w:rPr>
                <w:sz w:val="18"/>
              </w:rPr>
            </w:pPr>
            <w:r>
              <w:rPr>
                <w:sz w:val="18"/>
              </w:rPr>
              <w:t>Total </w:t>
            </w:r>
            <w:r>
              <w:rPr>
                <w:spacing w:val="-2"/>
                <w:sz w:val="18"/>
              </w:rPr>
              <w:t>Capital</w:t>
            </w:r>
          </w:p>
        </w:tc>
        <w:tc>
          <w:tcPr>
            <w:tcW w:w="1031" w:type="dxa"/>
          </w:tcPr>
          <w:p>
            <w:pPr>
              <w:pStyle w:val="TableParagraph"/>
              <w:spacing w:before="18"/>
              <w:ind w:left="285"/>
              <w:rPr>
                <w:sz w:val="18"/>
              </w:rPr>
            </w:pPr>
            <w:r>
              <w:rPr>
                <w:spacing w:val="-2"/>
                <w:sz w:val="18"/>
              </w:rPr>
              <w:t>40,032</w:t>
            </w:r>
          </w:p>
        </w:tc>
        <w:tc>
          <w:tcPr>
            <w:tcW w:w="1080" w:type="dxa"/>
          </w:tcPr>
          <w:p>
            <w:pPr>
              <w:pStyle w:val="TableParagraph"/>
              <w:spacing w:before="18"/>
              <w:ind w:left="334"/>
              <w:rPr>
                <w:sz w:val="18"/>
              </w:rPr>
            </w:pPr>
            <w:r>
              <w:rPr>
                <w:spacing w:val="-2"/>
                <w:sz w:val="18"/>
              </w:rPr>
              <w:t>31,820</w:t>
            </w:r>
          </w:p>
        </w:tc>
        <w:tc>
          <w:tcPr>
            <w:tcW w:w="1080" w:type="dxa"/>
          </w:tcPr>
          <w:p>
            <w:pPr>
              <w:pStyle w:val="TableParagraph"/>
              <w:spacing w:before="18"/>
              <w:ind w:left="334"/>
              <w:rPr>
                <w:sz w:val="18"/>
              </w:rPr>
            </w:pPr>
            <w:r>
              <w:rPr>
                <w:spacing w:val="-2"/>
                <w:sz w:val="18"/>
              </w:rPr>
              <w:t>40,376</w:t>
            </w:r>
          </w:p>
        </w:tc>
        <w:tc>
          <w:tcPr>
            <w:tcW w:w="1054" w:type="dxa"/>
          </w:tcPr>
          <w:p>
            <w:pPr>
              <w:pStyle w:val="TableParagraph"/>
              <w:spacing w:before="18"/>
              <w:ind w:left="334"/>
              <w:rPr>
                <w:sz w:val="18"/>
              </w:rPr>
            </w:pPr>
            <w:r>
              <w:rPr>
                <w:spacing w:val="-2"/>
                <w:sz w:val="18"/>
              </w:rPr>
              <w:t>27,370</w:t>
            </w:r>
          </w:p>
        </w:tc>
      </w:tr>
      <w:tr>
        <w:trPr>
          <w:trHeight w:val="255" w:hRule="atLeast"/>
        </w:trPr>
        <w:tc>
          <w:tcPr>
            <w:tcW w:w="6015" w:type="dxa"/>
            <w:shd w:val="clear" w:color="auto" w:fill="CCEDFF"/>
          </w:tcPr>
          <w:p>
            <w:pPr>
              <w:pStyle w:val="TableParagraph"/>
              <w:spacing w:before="18"/>
              <w:ind w:left="52"/>
              <w:rPr>
                <w:sz w:val="18"/>
              </w:rPr>
            </w:pPr>
            <w:r>
              <w:rPr>
                <w:sz w:val="18"/>
              </w:rPr>
              <w:t>Risk-Weighted</w:t>
            </w:r>
            <w:r>
              <w:rPr>
                <w:spacing w:val="-1"/>
                <w:sz w:val="18"/>
              </w:rPr>
              <w:t> </w:t>
            </w:r>
            <w:r>
              <w:rPr>
                <w:spacing w:val="-2"/>
                <w:sz w:val="18"/>
              </w:rPr>
              <w:t>Assets</w:t>
            </w:r>
          </w:p>
        </w:tc>
        <w:tc>
          <w:tcPr>
            <w:tcW w:w="1031" w:type="dxa"/>
            <w:shd w:val="clear" w:color="auto" w:fill="CCEDFF"/>
          </w:tcPr>
          <w:p>
            <w:pPr>
              <w:pStyle w:val="TableParagraph"/>
              <w:spacing w:before="18"/>
              <w:ind w:left="195"/>
              <w:rPr>
                <w:sz w:val="18"/>
              </w:rPr>
            </w:pPr>
            <w:r>
              <w:rPr>
                <w:spacing w:val="-2"/>
                <w:sz w:val="18"/>
              </w:rPr>
              <w:t>129,544</w:t>
            </w:r>
          </w:p>
        </w:tc>
        <w:tc>
          <w:tcPr>
            <w:tcW w:w="1080" w:type="dxa"/>
            <w:shd w:val="clear" w:color="auto" w:fill="CCEDFF"/>
          </w:tcPr>
          <w:p>
            <w:pPr>
              <w:pStyle w:val="TableParagraph"/>
              <w:spacing w:before="18"/>
              <w:ind w:left="334"/>
              <w:rPr>
                <w:sz w:val="18"/>
              </w:rPr>
            </w:pPr>
            <w:r>
              <w:rPr>
                <w:spacing w:val="-2"/>
                <w:sz w:val="18"/>
              </w:rPr>
              <w:t>91,481</w:t>
            </w:r>
          </w:p>
        </w:tc>
        <w:tc>
          <w:tcPr>
            <w:tcW w:w="1080" w:type="dxa"/>
            <w:shd w:val="clear" w:color="auto" w:fill="CCEDFF"/>
          </w:tcPr>
          <w:p>
            <w:pPr>
              <w:pStyle w:val="TableParagraph"/>
              <w:spacing w:before="18"/>
              <w:ind w:left="244"/>
              <w:rPr>
                <w:sz w:val="18"/>
              </w:rPr>
            </w:pPr>
            <w:r>
              <w:rPr>
                <w:spacing w:val="-2"/>
                <w:sz w:val="18"/>
              </w:rPr>
              <w:t>139,657</w:t>
            </w:r>
          </w:p>
        </w:tc>
        <w:tc>
          <w:tcPr>
            <w:tcW w:w="1054" w:type="dxa"/>
            <w:shd w:val="clear" w:color="auto" w:fill="CCEDFF"/>
          </w:tcPr>
          <w:p>
            <w:pPr>
              <w:pStyle w:val="TableParagraph"/>
              <w:spacing w:before="18"/>
              <w:ind w:left="334"/>
              <w:rPr>
                <w:sz w:val="18"/>
              </w:rPr>
            </w:pPr>
            <w:r>
              <w:rPr>
                <w:spacing w:val="-2"/>
                <w:sz w:val="18"/>
              </w:rPr>
              <w:t>99,631</w:t>
            </w:r>
          </w:p>
        </w:tc>
      </w:tr>
      <w:tr>
        <w:trPr>
          <w:trHeight w:val="255" w:hRule="atLeast"/>
        </w:trPr>
        <w:tc>
          <w:tcPr>
            <w:tcW w:w="6015" w:type="dxa"/>
          </w:tcPr>
          <w:p>
            <w:pPr>
              <w:pStyle w:val="TableParagraph"/>
              <w:spacing w:before="18"/>
              <w:ind w:left="52"/>
              <w:rPr>
                <w:sz w:val="18"/>
              </w:rPr>
            </w:pPr>
            <w:r>
              <w:rPr>
                <w:sz w:val="18"/>
              </w:rPr>
              <w:t>Average</w:t>
            </w:r>
            <w:r>
              <w:rPr>
                <w:spacing w:val="-2"/>
                <w:sz w:val="18"/>
              </w:rPr>
              <w:t> </w:t>
            </w:r>
            <w:r>
              <w:rPr>
                <w:sz w:val="18"/>
              </w:rPr>
              <w:t>Assets</w:t>
            </w:r>
            <w:r>
              <w:rPr>
                <w:spacing w:val="-2"/>
                <w:sz w:val="18"/>
              </w:rPr>
              <w:t> </w:t>
            </w:r>
            <w:r>
              <w:rPr>
                <w:sz w:val="18"/>
              </w:rPr>
              <w:t>with</w:t>
            </w:r>
            <w:r>
              <w:rPr>
                <w:spacing w:val="-1"/>
                <w:sz w:val="18"/>
              </w:rPr>
              <w:t> </w:t>
            </w:r>
            <w:r>
              <w:rPr>
                <w:sz w:val="18"/>
              </w:rPr>
              <w:t>regulatory</w:t>
            </w:r>
            <w:r>
              <w:rPr>
                <w:spacing w:val="-1"/>
                <w:sz w:val="18"/>
              </w:rPr>
              <w:t> </w:t>
            </w:r>
            <w:r>
              <w:rPr>
                <w:spacing w:val="-2"/>
                <w:sz w:val="18"/>
              </w:rPr>
              <w:t>adjustments</w:t>
            </w:r>
          </w:p>
        </w:tc>
        <w:tc>
          <w:tcPr>
            <w:tcW w:w="1031" w:type="dxa"/>
          </w:tcPr>
          <w:p>
            <w:pPr>
              <w:pStyle w:val="TableParagraph"/>
              <w:spacing w:before="18"/>
              <w:ind w:left="195"/>
              <w:rPr>
                <w:sz w:val="18"/>
              </w:rPr>
            </w:pPr>
            <w:r>
              <w:rPr>
                <w:spacing w:val="-2"/>
                <w:sz w:val="18"/>
              </w:rPr>
              <w:t>488,627</w:t>
            </w:r>
          </w:p>
        </w:tc>
        <w:tc>
          <w:tcPr>
            <w:tcW w:w="1080" w:type="dxa"/>
          </w:tcPr>
          <w:p>
            <w:pPr>
              <w:pStyle w:val="TableParagraph"/>
              <w:spacing w:before="18"/>
              <w:ind w:left="244"/>
              <w:rPr>
                <w:sz w:val="18"/>
              </w:rPr>
            </w:pPr>
            <w:r>
              <w:rPr>
                <w:spacing w:val="-2"/>
                <w:sz w:val="18"/>
              </w:rPr>
              <w:t>330,908</w:t>
            </w:r>
          </w:p>
        </w:tc>
        <w:tc>
          <w:tcPr>
            <w:tcW w:w="1080" w:type="dxa"/>
          </w:tcPr>
          <w:p>
            <w:pPr>
              <w:pStyle w:val="TableParagraph"/>
              <w:spacing w:before="18"/>
              <w:ind w:left="244"/>
              <w:rPr>
                <w:sz w:val="18"/>
              </w:rPr>
            </w:pPr>
            <w:r>
              <w:rPr>
                <w:spacing w:val="-2"/>
                <w:sz w:val="18"/>
              </w:rPr>
              <w:t>562,803</w:t>
            </w:r>
          </w:p>
        </w:tc>
        <w:tc>
          <w:tcPr>
            <w:tcW w:w="1054" w:type="dxa"/>
          </w:tcPr>
          <w:p>
            <w:pPr>
              <w:pStyle w:val="TableParagraph"/>
              <w:spacing w:before="18"/>
              <w:ind w:left="244"/>
              <w:rPr>
                <w:sz w:val="18"/>
              </w:rPr>
            </w:pPr>
            <w:r>
              <w:rPr>
                <w:spacing w:val="-2"/>
                <w:sz w:val="18"/>
              </w:rPr>
              <w:t>372,802</w:t>
            </w:r>
          </w:p>
        </w:tc>
      </w:tr>
      <w:tr>
        <w:trPr>
          <w:trHeight w:val="255" w:hRule="atLeast"/>
        </w:trPr>
        <w:tc>
          <w:tcPr>
            <w:tcW w:w="6015" w:type="dxa"/>
            <w:shd w:val="clear" w:color="auto" w:fill="CCEDFF"/>
          </w:tcPr>
          <w:p>
            <w:pPr>
              <w:pStyle w:val="TableParagraph"/>
              <w:spacing w:before="18"/>
              <w:ind w:left="52"/>
              <w:rPr>
                <w:sz w:val="18"/>
              </w:rPr>
            </w:pPr>
            <w:r>
              <w:rPr>
                <w:sz w:val="18"/>
              </w:rPr>
              <w:t>Total Leverage </w:t>
            </w:r>
            <w:r>
              <w:rPr>
                <w:spacing w:val="-2"/>
                <w:sz w:val="18"/>
              </w:rPr>
              <w:t>Exposure</w:t>
            </w:r>
          </w:p>
        </w:tc>
        <w:tc>
          <w:tcPr>
            <w:tcW w:w="1031" w:type="dxa"/>
            <w:shd w:val="clear" w:color="auto" w:fill="CCEDFF"/>
          </w:tcPr>
          <w:p>
            <w:pPr>
              <w:pStyle w:val="TableParagraph"/>
              <w:spacing w:before="18"/>
              <w:ind w:left="195"/>
              <w:rPr>
                <w:sz w:val="18"/>
              </w:rPr>
            </w:pPr>
            <w:r>
              <w:rPr>
                <w:spacing w:val="-2"/>
                <w:sz w:val="18"/>
              </w:rPr>
              <w:t>492,284</w:t>
            </w:r>
          </w:p>
        </w:tc>
        <w:tc>
          <w:tcPr>
            <w:tcW w:w="1080" w:type="dxa"/>
            <w:shd w:val="clear" w:color="auto" w:fill="CCEDFF"/>
          </w:tcPr>
          <w:p>
            <w:pPr>
              <w:pStyle w:val="TableParagraph"/>
              <w:spacing w:before="18"/>
              <w:ind w:left="244"/>
              <w:rPr>
                <w:sz w:val="18"/>
              </w:rPr>
            </w:pPr>
            <w:r>
              <w:rPr>
                <w:spacing w:val="-2"/>
                <w:sz w:val="18"/>
              </w:rPr>
              <w:t>333,402</w:t>
            </w:r>
          </w:p>
        </w:tc>
        <w:tc>
          <w:tcPr>
            <w:tcW w:w="1080" w:type="dxa"/>
            <w:shd w:val="clear" w:color="auto" w:fill="CCEDFF"/>
          </w:tcPr>
          <w:p>
            <w:pPr>
              <w:pStyle w:val="TableParagraph"/>
              <w:spacing w:before="18"/>
              <w:ind w:left="244"/>
              <w:rPr>
                <w:sz w:val="18"/>
              </w:rPr>
            </w:pPr>
            <w:r>
              <w:rPr>
                <w:spacing w:val="-2"/>
                <w:sz w:val="18"/>
              </w:rPr>
              <w:t>566,809</w:t>
            </w:r>
          </w:p>
        </w:tc>
        <w:tc>
          <w:tcPr>
            <w:tcW w:w="1054" w:type="dxa"/>
            <w:shd w:val="clear" w:color="auto" w:fill="CCEDFF"/>
          </w:tcPr>
          <w:p>
            <w:pPr>
              <w:pStyle w:val="TableParagraph"/>
              <w:spacing w:before="18"/>
              <w:ind w:left="244"/>
              <w:rPr>
                <w:sz w:val="18"/>
              </w:rPr>
            </w:pPr>
            <w:r>
              <w:rPr>
                <w:spacing w:val="-2"/>
                <w:sz w:val="18"/>
              </w:rPr>
              <w:t>375,846</w:t>
            </w:r>
          </w:p>
        </w:tc>
      </w:tr>
      <w:tr>
        <w:trPr>
          <w:trHeight w:val="250" w:hRule="atLeast"/>
        </w:trPr>
        <w:tc>
          <w:tcPr>
            <w:tcW w:w="6015" w:type="dxa"/>
            <w:tcBorders>
              <w:bottom w:val="single" w:sz="4" w:space="0" w:color="000000"/>
            </w:tcBorders>
          </w:tcPr>
          <w:p>
            <w:pPr>
              <w:pStyle w:val="TableParagraph"/>
              <w:spacing w:before="18"/>
              <w:ind w:left="52"/>
              <w:rPr>
                <w:sz w:val="18"/>
              </w:rPr>
            </w:pPr>
            <w:r>
              <w:rPr>
                <w:sz w:val="18"/>
              </w:rPr>
              <w:t>Common</w:t>
            </w:r>
            <w:r>
              <w:rPr>
                <w:spacing w:val="-3"/>
                <w:sz w:val="18"/>
              </w:rPr>
              <w:t> </w:t>
            </w:r>
            <w:r>
              <w:rPr>
                <w:sz w:val="18"/>
              </w:rPr>
              <w:t>Equity Tier 1 Capital/Risk-Weighted </w:t>
            </w:r>
            <w:r>
              <w:rPr>
                <w:spacing w:val="-2"/>
                <w:sz w:val="18"/>
              </w:rPr>
              <w:t>Assets</w:t>
            </w:r>
          </w:p>
        </w:tc>
        <w:tc>
          <w:tcPr>
            <w:tcW w:w="1031" w:type="dxa"/>
            <w:tcBorders>
              <w:bottom w:val="single" w:sz="4" w:space="0" w:color="000000"/>
            </w:tcBorders>
          </w:tcPr>
          <w:p>
            <w:pPr>
              <w:pStyle w:val="TableParagraph"/>
              <w:spacing w:before="18"/>
              <w:ind w:right="98"/>
              <w:jc w:val="right"/>
              <w:rPr>
                <w:sz w:val="18"/>
              </w:rPr>
            </w:pPr>
            <w:r>
              <w:rPr>
                <w:spacing w:val="-2"/>
                <w:sz w:val="18"/>
              </w:rPr>
              <w:t>23.8%</w:t>
            </w:r>
          </w:p>
        </w:tc>
        <w:tc>
          <w:tcPr>
            <w:tcW w:w="1080" w:type="dxa"/>
            <w:tcBorders>
              <w:bottom w:val="single" w:sz="4" w:space="0" w:color="000000"/>
            </w:tcBorders>
          </w:tcPr>
          <w:p>
            <w:pPr>
              <w:pStyle w:val="TableParagraph"/>
              <w:spacing w:before="18"/>
              <w:ind w:right="98"/>
              <w:jc w:val="right"/>
              <w:rPr>
                <w:sz w:val="18"/>
              </w:rPr>
            </w:pPr>
            <w:r>
              <w:rPr>
                <w:spacing w:val="-2"/>
                <w:sz w:val="18"/>
              </w:rPr>
              <w:t>34.7%</w:t>
            </w:r>
          </w:p>
        </w:tc>
        <w:tc>
          <w:tcPr>
            <w:tcW w:w="1080" w:type="dxa"/>
            <w:tcBorders>
              <w:bottom w:val="single" w:sz="4" w:space="0" w:color="000000"/>
            </w:tcBorders>
          </w:tcPr>
          <w:p>
            <w:pPr>
              <w:pStyle w:val="TableParagraph"/>
              <w:spacing w:before="18"/>
              <w:ind w:right="98"/>
              <w:jc w:val="right"/>
              <w:rPr>
                <w:sz w:val="18"/>
              </w:rPr>
            </w:pPr>
            <w:r>
              <w:rPr>
                <w:spacing w:val="-2"/>
                <w:sz w:val="18"/>
              </w:rPr>
              <w:t>21.9%</w:t>
            </w:r>
          </w:p>
        </w:tc>
        <w:tc>
          <w:tcPr>
            <w:tcW w:w="1054" w:type="dxa"/>
            <w:tcBorders>
              <w:bottom w:val="single" w:sz="4" w:space="0" w:color="000000"/>
            </w:tcBorders>
          </w:tcPr>
          <w:p>
            <w:pPr>
              <w:pStyle w:val="TableParagraph"/>
              <w:spacing w:before="18"/>
              <w:ind w:right="72"/>
              <w:jc w:val="right"/>
              <w:rPr>
                <w:sz w:val="18"/>
              </w:rPr>
            </w:pPr>
            <w:r>
              <w:rPr>
                <w:spacing w:val="-2"/>
                <w:sz w:val="18"/>
              </w:rPr>
              <w:t>27.4%</w:t>
            </w:r>
          </w:p>
        </w:tc>
      </w:tr>
      <w:tr>
        <w:trPr>
          <w:trHeight w:val="250" w:hRule="atLeast"/>
        </w:trPr>
        <w:tc>
          <w:tcPr>
            <w:tcW w:w="6015" w:type="dxa"/>
            <w:tcBorders>
              <w:top w:val="single" w:sz="4" w:space="0" w:color="000000"/>
            </w:tcBorders>
            <w:shd w:val="clear" w:color="auto" w:fill="CCEDFF"/>
          </w:tcPr>
          <w:p>
            <w:pPr>
              <w:pStyle w:val="TableParagraph"/>
              <w:spacing w:before="13"/>
              <w:ind w:left="52"/>
              <w:rPr>
                <w:sz w:val="18"/>
              </w:rPr>
            </w:pPr>
            <w:r>
              <w:rPr>
                <w:sz w:val="18"/>
              </w:rPr>
              <w:t>Tier</w:t>
            </w:r>
            <w:r>
              <w:rPr>
                <w:spacing w:val="-1"/>
                <w:sz w:val="18"/>
              </w:rPr>
              <w:t> </w:t>
            </w:r>
            <w:r>
              <w:rPr>
                <w:sz w:val="18"/>
              </w:rPr>
              <w:t>1 Capital/Risk-Weighted </w:t>
            </w:r>
            <w:r>
              <w:rPr>
                <w:spacing w:val="-2"/>
                <w:sz w:val="18"/>
              </w:rPr>
              <w:t>Assets</w:t>
            </w:r>
          </w:p>
        </w:tc>
        <w:tc>
          <w:tcPr>
            <w:tcW w:w="1031" w:type="dxa"/>
            <w:tcBorders>
              <w:top w:val="single" w:sz="4" w:space="0" w:color="000000"/>
            </w:tcBorders>
            <w:shd w:val="clear" w:color="auto" w:fill="CCEDFF"/>
          </w:tcPr>
          <w:p>
            <w:pPr>
              <w:pStyle w:val="TableParagraph"/>
              <w:spacing w:before="13"/>
              <w:ind w:right="98"/>
              <w:jc w:val="right"/>
              <w:rPr>
                <w:sz w:val="18"/>
              </w:rPr>
            </w:pPr>
            <w:r>
              <w:rPr>
                <w:spacing w:val="-2"/>
                <w:sz w:val="18"/>
              </w:rPr>
              <w:t>30.9%</w:t>
            </w:r>
          </w:p>
        </w:tc>
        <w:tc>
          <w:tcPr>
            <w:tcW w:w="1080" w:type="dxa"/>
            <w:tcBorders>
              <w:top w:val="single" w:sz="4" w:space="0" w:color="000000"/>
            </w:tcBorders>
            <w:shd w:val="clear" w:color="auto" w:fill="CCEDFF"/>
          </w:tcPr>
          <w:p>
            <w:pPr>
              <w:pStyle w:val="TableParagraph"/>
              <w:spacing w:before="13"/>
              <w:ind w:right="98"/>
              <w:jc w:val="right"/>
              <w:rPr>
                <w:sz w:val="18"/>
              </w:rPr>
            </w:pPr>
            <w:r>
              <w:rPr>
                <w:spacing w:val="-2"/>
                <w:sz w:val="18"/>
              </w:rPr>
              <w:t>34.7%</w:t>
            </w:r>
          </w:p>
        </w:tc>
        <w:tc>
          <w:tcPr>
            <w:tcW w:w="1080" w:type="dxa"/>
            <w:tcBorders>
              <w:top w:val="single" w:sz="4" w:space="0" w:color="000000"/>
            </w:tcBorders>
            <w:shd w:val="clear" w:color="auto" w:fill="CCEDFF"/>
          </w:tcPr>
          <w:p>
            <w:pPr>
              <w:pStyle w:val="TableParagraph"/>
              <w:spacing w:before="13"/>
              <w:ind w:right="98"/>
              <w:jc w:val="right"/>
              <w:rPr>
                <w:sz w:val="18"/>
              </w:rPr>
            </w:pPr>
            <w:r>
              <w:rPr>
                <w:spacing w:val="-2"/>
                <w:sz w:val="18"/>
              </w:rPr>
              <w:t>28.9%</w:t>
            </w:r>
          </w:p>
        </w:tc>
        <w:tc>
          <w:tcPr>
            <w:tcW w:w="1054" w:type="dxa"/>
            <w:tcBorders>
              <w:top w:val="single" w:sz="4" w:space="0" w:color="000000"/>
            </w:tcBorders>
            <w:shd w:val="clear" w:color="auto" w:fill="CCEDFF"/>
          </w:tcPr>
          <w:p>
            <w:pPr>
              <w:pStyle w:val="TableParagraph"/>
              <w:spacing w:before="13"/>
              <w:ind w:right="72"/>
              <w:jc w:val="right"/>
              <w:rPr>
                <w:sz w:val="18"/>
              </w:rPr>
            </w:pPr>
            <w:r>
              <w:rPr>
                <w:spacing w:val="-2"/>
                <w:sz w:val="18"/>
              </w:rPr>
              <w:t>27.4%</w:t>
            </w:r>
          </w:p>
        </w:tc>
      </w:tr>
      <w:tr>
        <w:trPr>
          <w:trHeight w:val="255" w:hRule="atLeast"/>
        </w:trPr>
        <w:tc>
          <w:tcPr>
            <w:tcW w:w="6015" w:type="dxa"/>
          </w:tcPr>
          <w:p>
            <w:pPr>
              <w:pStyle w:val="TableParagraph"/>
              <w:spacing w:before="18"/>
              <w:ind w:left="52"/>
              <w:rPr>
                <w:sz w:val="18"/>
              </w:rPr>
            </w:pPr>
            <w:r>
              <w:rPr>
                <w:sz w:val="18"/>
              </w:rPr>
              <w:t>Total</w:t>
            </w:r>
            <w:r>
              <w:rPr>
                <w:spacing w:val="-1"/>
                <w:sz w:val="18"/>
              </w:rPr>
              <w:t> </w:t>
            </w:r>
            <w:r>
              <w:rPr>
                <w:sz w:val="18"/>
              </w:rPr>
              <w:t>Capital/Risk-Weighted </w:t>
            </w:r>
            <w:r>
              <w:rPr>
                <w:spacing w:val="-2"/>
                <w:sz w:val="18"/>
              </w:rPr>
              <w:t>Assets</w:t>
            </w:r>
          </w:p>
        </w:tc>
        <w:tc>
          <w:tcPr>
            <w:tcW w:w="1031" w:type="dxa"/>
          </w:tcPr>
          <w:p>
            <w:pPr>
              <w:pStyle w:val="TableParagraph"/>
              <w:spacing w:before="18"/>
              <w:ind w:right="98"/>
              <w:jc w:val="right"/>
              <w:rPr>
                <w:sz w:val="18"/>
              </w:rPr>
            </w:pPr>
            <w:r>
              <w:rPr>
                <w:spacing w:val="-2"/>
                <w:sz w:val="18"/>
              </w:rPr>
              <w:t>30.9%</w:t>
            </w:r>
          </w:p>
        </w:tc>
        <w:tc>
          <w:tcPr>
            <w:tcW w:w="1080" w:type="dxa"/>
          </w:tcPr>
          <w:p>
            <w:pPr>
              <w:pStyle w:val="TableParagraph"/>
              <w:spacing w:before="18"/>
              <w:ind w:right="98"/>
              <w:jc w:val="right"/>
              <w:rPr>
                <w:sz w:val="18"/>
              </w:rPr>
            </w:pPr>
            <w:r>
              <w:rPr>
                <w:spacing w:val="-2"/>
                <w:sz w:val="18"/>
              </w:rPr>
              <w:t>34.8%</w:t>
            </w:r>
          </w:p>
        </w:tc>
        <w:tc>
          <w:tcPr>
            <w:tcW w:w="1080" w:type="dxa"/>
          </w:tcPr>
          <w:p>
            <w:pPr>
              <w:pStyle w:val="TableParagraph"/>
              <w:spacing w:before="18"/>
              <w:ind w:right="98"/>
              <w:jc w:val="right"/>
              <w:rPr>
                <w:sz w:val="18"/>
              </w:rPr>
            </w:pPr>
            <w:r>
              <w:rPr>
                <w:spacing w:val="-2"/>
                <w:sz w:val="18"/>
              </w:rPr>
              <w:t>28.9%</w:t>
            </w:r>
          </w:p>
        </w:tc>
        <w:tc>
          <w:tcPr>
            <w:tcW w:w="1054" w:type="dxa"/>
          </w:tcPr>
          <w:p>
            <w:pPr>
              <w:pStyle w:val="TableParagraph"/>
              <w:spacing w:before="18"/>
              <w:ind w:right="72"/>
              <w:jc w:val="right"/>
              <w:rPr>
                <w:sz w:val="18"/>
              </w:rPr>
            </w:pPr>
            <w:r>
              <w:rPr>
                <w:spacing w:val="-2"/>
                <w:sz w:val="18"/>
              </w:rPr>
              <w:t>27.5%</w:t>
            </w:r>
          </w:p>
        </w:tc>
      </w:tr>
      <w:tr>
        <w:trPr>
          <w:trHeight w:val="255" w:hRule="atLeast"/>
        </w:trPr>
        <w:tc>
          <w:tcPr>
            <w:tcW w:w="6015" w:type="dxa"/>
            <w:shd w:val="clear" w:color="auto" w:fill="CCEDFF"/>
          </w:tcPr>
          <w:p>
            <w:pPr>
              <w:pStyle w:val="TableParagraph"/>
              <w:spacing w:before="18"/>
              <w:ind w:left="52"/>
              <w:rPr>
                <w:sz w:val="18"/>
              </w:rPr>
            </w:pPr>
            <w:r>
              <w:rPr>
                <w:sz w:val="18"/>
              </w:rPr>
              <w:t>Tier 1 Leverage </w:t>
            </w:r>
            <w:r>
              <w:rPr>
                <w:spacing w:val="-2"/>
                <w:sz w:val="18"/>
              </w:rPr>
              <w:t>Ratio</w:t>
            </w:r>
          </w:p>
        </w:tc>
        <w:tc>
          <w:tcPr>
            <w:tcW w:w="1031" w:type="dxa"/>
            <w:shd w:val="clear" w:color="auto" w:fill="CCEDFF"/>
          </w:tcPr>
          <w:p>
            <w:pPr>
              <w:pStyle w:val="TableParagraph"/>
              <w:spacing w:before="18"/>
              <w:ind w:right="98"/>
              <w:jc w:val="right"/>
              <w:rPr>
                <w:sz w:val="18"/>
              </w:rPr>
            </w:pPr>
            <w:r>
              <w:rPr>
                <w:spacing w:val="-4"/>
                <w:sz w:val="18"/>
              </w:rPr>
              <w:t>8.2%</w:t>
            </w:r>
          </w:p>
        </w:tc>
        <w:tc>
          <w:tcPr>
            <w:tcW w:w="1080" w:type="dxa"/>
            <w:shd w:val="clear" w:color="auto" w:fill="CCEDFF"/>
          </w:tcPr>
          <w:p>
            <w:pPr>
              <w:pStyle w:val="TableParagraph"/>
              <w:spacing w:before="18"/>
              <w:ind w:right="98"/>
              <w:jc w:val="right"/>
              <w:rPr>
                <w:sz w:val="18"/>
              </w:rPr>
            </w:pPr>
            <w:r>
              <w:rPr>
                <w:spacing w:val="-4"/>
                <w:sz w:val="18"/>
              </w:rPr>
              <w:t>9.6%</w:t>
            </w:r>
          </w:p>
        </w:tc>
        <w:tc>
          <w:tcPr>
            <w:tcW w:w="1080" w:type="dxa"/>
            <w:shd w:val="clear" w:color="auto" w:fill="CCEDFF"/>
          </w:tcPr>
          <w:p>
            <w:pPr>
              <w:pStyle w:val="TableParagraph"/>
              <w:spacing w:before="18"/>
              <w:ind w:right="98"/>
              <w:jc w:val="right"/>
              <w:rPr>
                <w:sz w:val="18"/>
              </w:rPr>
            </w:pPr>
            <w:r>
              <w:rPr>
                <w:spacing w:val="-4"/>
                <w:sz w:val="18"/>
              </w:rPr>
              <w:t>7.2%</w:t>
            </w:r>
          </w:p>
        </w:tc>
        <w:tc>
          <w:tcPr>
            <w:tcW w:w="1054" w:type="dxa"/>
            <w:shd w:val="clear" w:color="auto" w:fill="CCEDFF"/>
          </w:tcPr>
          <w:p>
            <w:pPr>
              <w:pStyle w:val="TableParagraph"/>
              <w:spacing w:before="18"/>
              <w:ind w:right="72"/>
              <w:jc w:val="right"/>
              <w:rPr>
                <w:sz w:val="18"/>
              </w:rPr>
            </w:pPr>
            <w:r>
              <w:rPr>
                <w:spacing w:val="-4"/>
                <w:sz w:val="18"/>
              </w:rPr>
              <w:t>7.3%</w:t>
            </w:r>
          </w:p>
        </w:tc>
      </w:tr>
      <w:tr>
        <w:trPr>
          <w:trHeight w:val="250" w:hRule="atLeast"/>
        </w:trPr>
        <w:tc>
          <w:tcPr>
            <w:tcW w:w="6015" w:type="dxa"/>
            <w:tcBorders>
              <w:bottom w:val="single" w:sz="4" w:space="0" w:color="000000"/>
            </w:tcBorders>
          </w:tcPr>
          <w:p>
            <w:pPr>
              <w:pStyle w:val="TableParagraph"/>
              <w:spacing w:before="18"/>
              <w:ind w:left="52"/>
              <w:rPr>
                <w:sz w:val="18"/>
              </w:rPr>
            </w:pPr>
            <w:r>
              <w:rPr>
                <w:sz w:val="18"/>
              </w:rPr>
              <w:t>Supplementary</w:t>
            </w:r>
            <w:r>
              <w:rPr>
                <w:spacing w:val="-1"/>
                <w:sz w:val="18"/>
              </w:rPr>
              <w:t> </w:t>
            </w:r>
            <w:r>
              <w:rPr>
                <w:sz w:val="18"/>
              </w:rPr>
              <w:t>Leverage </w:t>
            </w:r>
            <w:r>
              <w:rPr>
                <w:spacing w:val="-2"/>
                <w:sz w:val="18"/>
              </w:rPr>
              <w:t>Ratio</w:t>
            </w:r>
          </w:p>
        </w:tc>
        <w:tc>
          <w:tcPr>
            <w:tcW w:w="1031" w:type="dxa"/>
            <w:tcBorders>
              <w:bottom w:val="single" w:sz="4" w:space="0" w:color="000000"/>
            </w:tcBorders>
          </w:tcPr>
          <w:p>
            <w:pPr>
              <w:pStyle w:val="TableParagraph"/>
              <w:spacing w:before="18"/>
              <w:ind w:right="98"/>
              <w:jc w:val="right"/>
              <w:rPr>
                <w:sz w:val="18"/>
              </w:rPr>
            </w:pPr>
            <w:r>
              <w:rPr>
                <w:spacing w:val="-4"/>
                <w:sz w:val="18"/>
              </w:rPr>
              <w:t>8.1%</w:t>
            </w:r>
          </w:p>
        </w:tc>
        <w:tc>
          <w:tcPr>
            <w:tcW w:w="1080" w:type="dxa"/>
            <w:tcBorders>
              <w:bottom w:val="single" w:sz="4" w:space="0" w:color="000000"/>
            </w:tcBorders>
          </w:tcPr>
          <w:p>
            <w:pPr>
              <w:pStyle w:val="TableParagraph"/>
              <w:spacing w:before="18"/>
              <w:ind w:right="98"/>
              <w:jc w:val="right"/>
              <w:rPr>
                <w:sz w:val="18"/>
              </w:rPr>
            </w:pPr>
            <w:r>
              <w:rPr>
                <w:spacing w:val="-4"/>
                <w:sz w:val="18"/>
              </w:rPr>
              <w:t>9.5%</w:t>
            </w:r>
          </w:p>
        </w:tc>
        <w:tc>
          <w:tcPr>
            <w:tcW w:w="1080" w:type="dxa"/>
            <w:tcBorders>
              <w:bottom w:val="single" w:sz="4" w:space="0" w:color="000000"/>
            </w:tcBorders>
          </w:tcPr>
          <w:p>
            <w:pPr>
              <w:pStyle w:val="TableParagraph"/>
              <w:spacing w:before="18"/>
              <w:ind w:right="98"/>
              <w:jc w:val="right"/>
              <w:rPr>
                <w:sz w:val="18"/>
              </w:rPr>
            </w:pPr>
            <w:r>
              <w:rPr>
                <w:spacing w:val="-4"/>
                <w:sz w:val="18"/>
              </w:rPr>
              <w:t>7.1%</w:t>
            </w:r>
          </w:p>
        </w:tc>
        <w:tc>
          <w:tcPr>
            <w:tcW w:w="1054" w:type="dxa"/>
            <w:tcBorders>
              <w:bottom w:val="single" w:sz="4" w:space="0" w:color="000000"/>
            </w:tcBorders>
          </w:tcPr>
          <w:p>
            <w:pPr>
              <w:pStyle w:val="TableParagraph"/>
              <w:spacing w:before="18"/>
              <w:ind w:right="72"/>
              <w:jc w:val="right"/>
              <w:rPr>
                <w:sz w:val="18"/>
              </w:rPr>
            </w:pPr>
            <w:r>
              <w:rPr>
                <w:spacing w:val="-4"/>
                <w:sz w:val="18"/>
              </w:rPr>
              <w:t>7.3%</w:t>
            </w:r>
          </w:p>
        </w:tc>
      </w:tr>
    </w:tbl>
    <w:p>
      <w:pPr>
        <w:spacing w:line="249" w:lineRule="auto" w:before="52"/>
        <w:ind w:left="650" w:right="761" w:hanging="180"/>
        <w:jc w:val="left"/>
        <w:rPr>
          <w:sz w:val="16"/>
        </w:rPr>
      </w:pPr>
      <w:r>
        <w:rPr>
          <w:sz w:val="16"/>
          <w:vertAlign w:val="superscript"/>
        </w:rPr>
        <w:t>(1)</w:t>
      </w:r>
      <w:r>
        <w:rPr>
          <w:spacing w:val="-2"/>
          <w:sz w:val="16"/>
          <w:vertAlign w:val="baseline"/>
        </w:rPr>
        <w:t> </w:t>
      </w:r>
      <w:r>
        <w:rPr>
          <w:sz w:val="16"/>
          <w:vertAlign w:val="baseline"/>
        </w:rPr>
        <w:t>Changes</w:t>
      </w:r>
      <w:r>
        <w:rPr>
          <w:spacing w:val="-2"/>
          <w:sz w:val="16"/>
          <w:vertAlign w:val="baseline"/>
        </w:rPr>
        <w:t> </w:t>
      </w:r>
      <w:r>
        <w:rPr>
          <w:sz w:val="16"/>
          <w:vertAlign w:val="baseline"/>
        </w:rPr>
        <w:t>in</w:t>
      </w:r>
      <w:r>
        <w:rPr>
          <w:spacing w:val="-2"/>
          <w:sz w:val="16"/>
          <w:vertAlign w:val="baseline"/>
        </w:rPr>
        <w:t> </w:t>
      </w:r>
      <w:r>
        <w:rPr>
          <w:sz w:val="16"/>
          <w:vertAlign w:val="baseline"/>
        </w:rPr>
        <w:t>market</w:t>
      </w:r>
      <w:r>
        <w:rPr>
          <w:spacing w:val="-2"/>
          <w:sz w:val="16"/>
          <w:vertAlign w:val="baseline"/>
        </w:rPr>
        <w:t> </w:t>
      </w:r>
      <w:r>
        <w:rPr>
          <w:sz w:val="16"/>
          <w:vertAlign w:val="baseline"/>
        </w:rPr>
        <w:t>interest</w:t>
      </w:r>
      <w:r>
        <w:rPr>
          <w:spacing w:val="-2"/>
          <w:sz w:val="16"/>
          <w:vertAlign w:val="baseline"/>
        </w:rPr>
        <w:t> </w:t>
      </w:r>
      <w:r>
        <w:rPr>
          <w:sz w:val="16"/>
          <w:vertAlign w:val="baseline"/>
        </w:rPr>
        <w:t>rates</w:t>
      </w:r>
      <w:r>
        <w:rPr>
          <w:spacing w:val="-2"/>
          <w:sz w:val="16"/>
          <w:vertAlign w:val="baseline"/>
        </w:rPr>
        <w:t> </w:t>
      </w:r>
      <w:r>
        <w:rPr>
          <w:sz w:val="16"/>
          <w:vertAlign w:val="baseline"/>
        </w:rPr>
        <w:t>can</w:t>
      </w:r>
      <w:r>
        <w:rPr>
          <w:spacing w:val="-2"/>
          <w:sz w:val="16"/>
          <w:vertAlign w:val="baseline"/>
        </w:rPr>
        <w:t> </w:t>
      </w:r>
      <w:r>
        <w:rPr>
          <w:sz w:val="16"/>
          <w:vertAlign w:val="baseline"/>
        </w:rPr>
        <w:t>result</w:t>
      </w:r>
      <w:r>
        <w:rPr>
          <w:spacing w:val="-2"/>
          <w:sz w:val="16"/>
          <w:vertAlign w:val="baseline"/>
        </w:rPr>
        <w:t> </w:t>
      </w:r>
      <w:r>
        <w:rPr>
          <w:sz w:val="16"/>
          <w:vertAlign w:val="baseline"/>
        </w:rPr>
        <w:t>in</w:t>
      </w:r>
      <w:r>
        <w:rPr>
          <w:spacing w:val="-2"/>
          <w:sz w:val="16"/>
          <w:vertAlign w:val="baseline"/>
        </w:rPr>
        <w:t> </w:t>
      </w:r>
      <w:r>
        <w:rPr>
          <w:sz w:val="16"/>
          <w:vertAlign w:val="baseline"/>
        </w:rPr>
        <w:t>unrealized</w:t>
      </w:r>
      <w:r>
        <w:rPr>
          <w:spacing w:val="-2"/>
          <w:sz w:val="16"/>
          <w:vertAlign w:val="baseline"/>
        </w:rPr>
        <w:t> </w:t>
      </w:r>
      <w:r>
        <w:rPr>
          <w:sz w:val="16"/>
          <w:vertAlign w:val="baseline"/>
        </w:rPr>
        <w:t>gains</w:t>
      </w:r>
      <w:r>
        <w:rPr>
          <w:spacing w:val="-2"/>
          <w:sz w:val="16"/>
          <w:vertAlign w:val="baseline"/>
        </w:rPr>
        <w:t> </w:t>
      </w:r>
      <w:r>
        <w:rPr>
          <w:sz w:val="16"/>
          <w:vertAlign w:val="baseline"/>
        </w:rPr>
        <w:t>or</w:t>
      </w:r>
      <w:r>
        <w:rPr>
          <w:spacing w:val="-2"/>
          <w:sz w:val="16"/>
          <w:vertAlign w:val="baseline"/>
        </w:rPr>
        <w:t> </w:t>
      </w:r>
      <w:r>
        <w:rPr>
          <w:sz w:val="16"/>
          <w:vertAlign w:val="baseline"/>
        </w:rPr>
        <w:t>losses</w:t>
      </w:r>
      <w:r>
        <w:rPr>
          <w:spacing w:val="-2"/>
          <w:sz w:val="16"/>
          <w:vertAlign w:val="baseline"/>
        </w:rPr>
        <w:t> </w:t>
      </w:r>
      <w:r>
        <w:rPr>
          <w:sz w:val="16"/>
          <w:vertAlign w:val="baseline"/>
        </w:rPr>
        <w:t>on</w:t>
      </w:r>
      <w:r>
        <w:rPr>
          <w:spacing w:val="-2"/>
          <w:sz w:val="16"/>
          <w:vertAlign w:val="baseline"/>
        </w:rPr>
        <w:t> </w:t>
      </w:r>
      <w:r>
        <w:rPr>
          <w:sz w:val="16"/>
          <w:vertAlign w:val="baseline"/>
        </w:rPr>
        <w:t>AFS</w:t>
      </w:r>
      <w:r>
        <w:rPr>
          <w:spacing w:val="-2"/>
          <w:sz w:val="16"/>
          <w:vertAlign w:val="baseline"/>
        </w:rPr>
        <w:t> </w:t>
      </w:r>
      <w:r>
        <w:rPr>
          <w:sz w:val="16"/>
          <w:vertAlign w:val="baseline"/>
        </w:rPr>
        <w:t>securities,</w:t>
      </w:r>
      <w:r>
        <w:rPr>
          <w:spacing w:val="-2"/>
          <w:sz w:val="16"/>
          <w:vertAlign w:val="baseline"/>
        </w:rPr>
        <w:t> </w:t>
      </w:r>
      <w:r>
        <w:rPr>
          <w:sz w:val="16"/>
          <w:vertAlign w:val="baseline"/>
        </w:rPr>
        <w:t>which</w:t>
      </w:r>
      <w:r>
        <w:rPr>
          <w:spacing w:val="-2"/>
          <w:sz w:val="16"/>
          <w:vertAlign w:val="baseline"/>
        </w:rPr>
        <w:t> </w:t>
      </w:r>
      <w:r>
        <w:rPr>
          <w:sz w:val="16"/>
          <w:vertAlign w:val="baseline"/>
        </w:rPr>
        <w:t>are</w:t>
      </w:r>
      <w:r>
        <w:rPr>
          <w:spacing w:val="-2"/>
          <w:sz w:val="16"/>
          <w:vertAlign w:val="baseline"/>
        </w:rPr>
        <w:t> </w:t>
      </w:r>
      <w:r>
        <w:rPr>
          <w:sz w:val="16"/>
          <w:vertAlign w:val="baseline"/>
        </w:rPr>
        <w:t>included</w:t>
      </w:r>
      <w:r>
        <w:rPr>
          <w:spacing w:val="-2"/>
          <w:sz w:val="16"/>
          <w:vertAlign w:val="baseline"/>
        </w:rPr>
        <w:t> </w:t>
      </w:r>
      <w:r>
        <w:rPr>
          <w:sz w:val="16"/>
          <w:vertAlign w:val="baseline"/>
        </w:rPr>
        <w:t>in</w:t>
      </w:r>
      <w:r>
        <w:rPr>
          <w:spacing w:val="-2"/>
          <w:sz w:val="16"/>
          <w:vertAlign w:val="baseline"/>
        </w:rPr>
        <w:t> </w:t>
      </w:r>
      <w:r>
        <w:rPr>
          <w:sz w:val="16"/>
          <w:vertAlign w:val="baseline"/>
        </w:rPr>
        <w:t>AOCI.</w:t>
      </w:r>
      <w:r>
        <w:rPr>
          <w:spacing w:val="-2"/>
          <w:sz w:val="16"/>
          <w:vertAlign w:val="baseline"/>
        </w:rPr>
        <w:t> </w:t>
      </w:r>
      <w:r>
        <w:rPr>
          <w:sz w:val="16"/>
          <w:vertAlign w:val="baseline"/>
        </w:rPr>
        <w:t>As</w:t>
      </w:r>
      <w:r>
        <w:rPr>
          <w:spacing w:val="-2"/>
          <w:sz w:val="16"/>
          <w:vertAlign w:val="baseline"/>
        </w:rPr>
        <w:t> </w:t>
      </w:r>
      <w:r>
        <w:rPr>
          <w:sz w:val="16"/>
          <w:vertAlign w:val="baseline"/>
        </w:rPr>
        <w:t>a</w:t>
      </w:r>
      <w:r>
        <w:rPr>
          <w:spacing w:val="-2"/>
          <w:sz w:val="16"/>
          <w:vertAlign w:val="baseline"/>
        </w:rPr>
        <w:t> </w:t>
      </w:r>
      <w:r>
        <w:rPr>
          <w:sz w:val="16"/>
          <w:vertAlign w:val="baseline"/>
        </w:rPr>
        <w:t>Category</w:t>
      </w:r>
      <w:r>
        <w:rPr>
          <w:spacing w:val="-2"/>
          <w:sz w:val="16"/>
          <w:vertAlign w:val="baseline"/>
        </w:rPr>
        <w:t> </w:t>
      </w:r>
      <w:r>
        <w:rPr>
          <w:sz w:val="16"/>
          <w:vertAlign w:val="baseline"/>
        </w:rPr>
        <w:t>III</w:t>
      </w:r>
      <w:r>
        <w:rPr>
          <w:spacing w:val="-2"/>
          <w:sz w:val="16"/>
          <w:vertAlign w:val="baseline"/>
        </w:rPr>
        <w:t> </w:t>
      </w:r>
      <w:r>
        <w:rPr>
          <w:sz w:val="16"/>
          <w:vertAlign w:val="baseline"/>
        </w:rPr>
        <w:t>banking</w:t>
      </w:r>
      <w:r>
        <w:rPr>
          <w:spacing w:val="40"/>
          <w:sz w:val="16"/>
          <w:vertAlign w:val="baseline"/>
        </w:rPr>
        <w:t> </w:t>
      </w:r>
      <w:r>
        <w:rPr>
          <w:sz w:val="16"/>
          <w:vertAlign w:val="baseline"/>
        </w:rPr>
        <w:t>organization, CSC has elected to exclude AOCI from regulatory capital.</w:t>
      </w:r>
    </w:p>
    <w:p>
      <w:pPr>
        <w:pStyle w:val="BodyText"/>
        <w:spacing w:before="48"/>
        <w:rPr>
          <w:sz w:val="16"/>
        </w:rPr>
      </w:pPr>
    </w:p>
    <w:p>
      <w:pPr>
        <w:pStyle w:val="BodyText"/>
        <w:spacing w:line="249" w:lineRule="auto"/>
        <w:ind w:left="470" w:right="500"/>
      </w:pPr>
      <w:r>
        <w:rPr/>
        <w:t>The Company’s consolidated Tier 1 Leverage Ratio increased to 8.2% at September 30, 2023 from 7.5% at June 30, 2023 and 7.2%</w:t>
      </w:r>
      <w:r>
        <w:rPr>
          <w:spacing w:val="-2"/>
        </w:rPr>
        <w:t> </w:t>
      </w:r>
      <w:r>
        <w:rPr/>
        <w:t>at</w:t>
      </w:r>
      <w:r>
        <w:rPr>
          <w:spacing w:val="-3"/>
        </w:rPr>
        <w:t> </w:t>
      </w:r>
      <w:r>
        <w:rPr/>
        <w:t>year-end</w:t>
      </w:r>
      <w:r>
        <w:rPr>
          <w:spacing w:val="-2"/>
        </w:rPr>
        <w:t> </w:t>
      </w:r>
      <w:r>
        <w:rPr/>
        <w:t>2022.</w:t>
      </w:r>
      <w:r>
        <w:rPr>
          <w:spacing w:val="-2"/>
        </w:rPr>
        <w:t> </w:t>
      </w:r>
      <w:r>
        <w:rPr/>
        <w:t>This</w:t>
      </w:r>
      <w:r>
        <w:rPr>
          <w:spacing w:val="-3"/>
        </w:rPr>
        <w:t> </w:t>
      </w:r>
      <w:r>
        <w:rPr/>
        <w:t>increase</w:t>
      </w:r>
      <w:r>
        <w:rPr>
          <w:spacing w:val="-3"/>
        </w:rPr>
        <w:t> </w:t>
      </w:r>
      <w:r>
        <w:rPr/>
        <w:t>during</w:t>
      </w:r>
      <w:r>
        <w:rPr>
          <w:spacing w:val="-2"/>
        </w:rPr>
        <w:t> </w:t>
      </w:r>
      <w:r>
        <w:rPr/>
        <w:t>the</w:t>
      </w:r>
      <w:r>
        <w:rPr>
          <w:spacing w:val="-3"/>
        </w:rPr>
        <w:t> </w:t>
      </w:r>
      <w:r>
        <w:rPr/>
        <w:t>third</w:t>
      </w:r>
      <w:r>
        <w:rPr>
          <w:spacing w:val="-2"/>
        </w:rPr>
        <w:t> </w:t>
      </w:r>
      <w:r>
        <w:rPr/>
        <w:t>quarter</w:t>
      </w:r>
      <w:r>
        <w:rPr>
          <w:spacing w:val="-2"/>
        </w:rPr>
        <w:t> </w:t>
      </w:r>
      <w:r>
        <w:rPr/>
        <w:t>was</w:t>
      </w:r>
      <w:r>
        <w:rPr>
          <w:spacing w:val="-3"/>
        </w:rPr>
        <w:t> </w:t>
      </w:r>
      <w:r>
        <w:rPr/>
        <w:t>primarily</w:t>
      </w:r>
      <w:r>
        <w:rPr>
          <w:spacing w:val="-2"/>
        </w:rPr>
        <w:t> </w:t>
      </w:r>
      <w:r>
        <w:rPr/>
        <w:t>due</w:t>
      </w:r>
      <w:r>
        <w:rPr>
          <w:spacing w:val="-3"/>
        </w:rPr>
        <w:t> </w:t>
      </w:r>
      <w:r>
        <w:rPr/>
        <w:t>to</w:t>
      </w:r>
      <w:r>
        <w:rPr>
          <w:spacing w:val="-2"/>
        </w:rPr>
        <w:t> </w:t>
      </w:r>
      <w:r>
        <w:rPr/>
        <w:t>net</w:t>
      </w:r>
      <w:r>
        <w:rPr>
          <w:spacing w:val="-3"/>
        </w:rPr>
        <w:t> </w:t>
      </w:r>
      <w:r>
        <w:rPr/>
        <w:t>income</w:t>
      </w:r>
      <w:r>
        <w:rPr>
          <w:spacing w:val="-3"/>
        </w:rPr>
        <w:t> </w:t>
      </w:r>
      <w:r>
        <w:rPr/>
        <w:t>during</w:t>
      </w:r>
      <w:r>
        <w:rPr>
          <w:spacing w:val="-2"/>
        </w:rPr>
        <w:t> </w:t>
      </w:r>
      <w:r>
        <w:rPr/>
        <w:t>the</w:t>
      </w:r>
      <w:r>
        <w:rPr>
          <w:spacing w:val="-3"/>
        </w:rPr>
        <w:t> </w:t>
      </w:r>
      <w:r>
        <w:rPr/>
        <w:t>quarter</w:t>
      </w:r>
      <w:r>
        <w:rPr>
          <w:spacing w:val="-2"/>
        </w:rPr>
        <w:t> </w:t>
      </w:r>
      <w:r>
        <w:rPr/>
        <w:t>and</w:t>
      </w:r>
      <w:r>
        <w:rPr>
          <w:spacing w:val="-2"/>
        </w:rPr>
        <w:t> </w:t>
      </w:r>
      <w:r>
        <w:rPr/>
        <w:t>a</w:t>
      </w:r>
      <w:r>
        <w:rPr>
          <w:spacing w:val="-3"/>
        </w:rPr>
        <w:t> </w:t>
      </w:r>
      <w:r>
        <w:rPr/>
        <w:t>decrease in the Company’s total assets. Total balance sheet assets decreased $36.3 billion, or 7%, during the third quarter of 2023 due</w:t>
      </w:r>
    </w:p>
    <w:p>
      <w:pPr>
        <w:spacing w:after="0" w:line="249" w:lineRule="auto"/>
        <w:sectPr>
          <w:type w:val="continuous"/>
          <w:pgSz w:w="12240" w:h="15840"/>
          <w:pgMar w:header="512" w:footer="201" w:top="320" w:bottom="280" w:left="520" w:right="520"/>
        </w:sectPr>
      </w:pPr>
    </w:p>
    <w:p>
      <w:pPr>
        <w:pStyle w:val="BodyText"/>
        <w:spacing w:line="249" w:lineRule="auto" w:before="211"/>
        <w:ind w:left="470" w:right="500"/>
      </w:pPr>
      <w:r>
        <w:rPr/>
        <w:t>primarily to a decrease of $32.0 billion, or 8%, in total bank deposits and payables to brokerage clients due to client cash allocation</w:t>
      </w:r>
      <w:r>
        <w:rPr>
          <w:spacing w:val="-3"/>
        </w:rPr>
        <w:t> </w:t>
      </w:r>
      <w:r>
        <w:rPr/>
        <w:t>decisions</w:t>
      </w:r>
      <w:r>
        <w:rPr>
          <w:spacing w:val="-4"/>
        </w:rPr>
        <w:t> </w:t>
      </w:r>
      <w:r>
        <w:rPr/>
        <w:t>resulting</w:t>
      </w:r>
      <w:r>
        <w:rPr>
          <w:spacing w:val="-3"/>
        </w:rPr>
        <w:t> </w:t>
      </w:r>
      <w:r>
        <w:rPr/>
        <w:t>from</w:t>
      </w:r>
      <w:r>
        <w:rPr>
          <w:spacing w:val="-4"/>
        </w:rPr>
        <w:t> </w:t>
      </w:r>
      <w:r>
        <w:rPr/>
        <w:t>the</w:t>
      </w:r>
      <w:r>
        <w:rPr>
          <w:spacing w:val="-4"/>
        </w:rPr>
        <w:t> </w:t>
      </w:r>
      <w:r>
        <w:rPr/>
        <w:t>rising</w:t>
      </w:r>
      <w:r>
        <w:rPr>
          <w:spacing w:val="-3"/>
        </w:rPr>
        <w:t> </w:t>
      </w:r>
      <w:r>
        <w:rPr/>
        <w:t>interest</w:t>
      </w:r>
      <w:r>
        <w:rPr>
          <w:spacing w:val="-4"/>
        </w:rPr>
        <w:t> </w:t>
      </w:r>
      <w:r>
        <w:rPr/>
        <w:t>rate</w:t>
      </w:r>
      <w:r>
        <w:rPr>
          <w:spacing w:val="-4"/>
        </w:rPr>
        <w:t> </w:t>
      </w:r>
      <w:r>
        <w:rPr/>
        <w:t>environment.</w:t>
      </w:r>
      <w:r>
        <w:rPr>
          <w:spacing w:val="-3"/>
        </w:rPr>
        <w:t> </w:t>
      </w:r>
      <w:r>
        <w:rPr/>
        <w:t>CSB’s</w:t>
      </w:r>
      <w:r>
        <w:rPr>
          <w:spacing w:val="-4"/>
        </w:rPr>
        <w:t> </w:t>
      </w:r>
      <w:r>
        <w:rPr/>
        <w:t>Tier</w:t>
      </w:r>
      <w:r>
        <w:rPr>
          <w:spacing w:val="-3"/>
        </w:rPr>
        <w:t> </w:t>
      </w:r>
      <w:r>
        <w:rPr/>
        <w:t>1</w:t>
      </w:r>
      <w:r>
        <w:rPr>
          <w:spacing w:val="-3"/>
        </w:rPr>
        <w:t> </w:t>
      </w:r>
      <w:r>
        <w:rPr/>
        <w:t>Leverage</w:t>
      </w:r>
      <w:r>
        <w:rPr>
          <w:spacing w:val="-4"/>
        </w:rPr>
        <w:t> </w:t>
      </w:r>
      <w:r>
        <w:rPr/>
        <w:t>Ratio</w:t>
      </w:r>
      <w:r>
        <w:rPr>
          <w:spacing w:val="-3"/>
        </w:rPr>
        <w:t> </w:t>
      </w:r>
      <w:r>
        <w:rPr/>
        <w:t>increased</w:t>
      </w:r>
      <w:r>
        <w:rPr>
          <w:spacing w:val="-3"/>
        </w:rPr>
        <w:t> </w:t>
      </w:r>
      <w:r>
        <w:rPr/>
        <w:t>from</w:t>
      </w:r>
      <w:r>
        <w:rPr>
          <w:spacing w:val="-4"/>
        </w:rPr>
        <w:t> </w:t>
      </w:r>
      <w:r>
        <w:rPr/>
        <w:t>year-end 2022, ending the third quarter of 2023 at 9.6% primarily as a result of capital contributions from CSC as well as net income.</w:t>
      </w:r>
    </w:p>
    <w:p>
      <w:pPr>
        <w:pStyle w:val="BodyText"/>
        <w:spacing w:before="12"/>
      </w:pPr>
    </w:p>
    <w:p>
      <w:pPr>
        <w:pStyle w:val="BodyText"/>
        <w:spacing w:line="249" w:lineRule="auto" w:before="1"/>
        <w:ind w:left="470" w:right="470"/>
      </w:pPr>
      <w:r>
        <w:rPr/>
        <w:t>The Board of Governors of the Federal Reserve System recently issued a notice of proposed changes to the regulatory capital rules</w:t>
      </w:r>
      <w:r>
        <w:rPr>
          <w:spacing w:val="-3"/>
        </w:rPr>
        <w:t> </w:t>
      </w:r>
      <w:r>
        <w:rPr/>
        <w:t>that</w:t>
      </w:r>
      <w:r>
        <w:rPr>
          <w:spacing w:val="-3"/>
        </w:rPr>
        <w:t> </w:t>
      </w:r>
      <w:r>
        <w:rPr/>
        <w:t>would</w:t>
      </w:r>
      <w:r>
        <w:rPr>
          <w:spacing w:val="-2"/>
        </w:rPr>
        <w:t> </w:t>
      </w:r>
      <w:r>
        <w:rPr/>
        <w:t>require</w:t>
      </w:r>
      <w:r>
        <w:rPr>
          <w:spacing w:val="-3"/>
        </w:rPr>
        <w:t> </w:t>
      </w:r>
      <w:r>
        <w:rPr/>
        <w:t>us</w:t>
      </w:r>
      <w:r>
        <w:rPr>
          <w:spacing w:val="-3"/>
        </w:rPr>
        <w:t> </w:t>
      </w:r>
      <w:r>
        <w:rPr/>
        <w:t>to</w:t>
      </w:r>
      <w:r>
        <w:rPr>
          <w:spacing w:val="-2"/>
        </w:rPr>
        <w:t> </w:t>
      </w:r>
      <w:r>
        <w:rPr/>
        <w:t>include</w:t>
      </w:r>
      <w:r>
        <w:rPr>
          <w:spacing w:val="-3"/>
        </w:rPr>
        <w:t> </w:t>
      </w:r>
      <w:r>
        <w:rPr/>
        <w:t>AOCI</w:t>
      </w:r>
      <w:r>
        <w:rPr>
          <w:spacing w:val="-2"/>
        </w:rPr>
        <w:t> </w:t>
      </w:r>
      <w:r>
        <w:rPr/>
        <w:t>in</w:t>
      </w:r>
      <w:r>
        <w:rPr>
          <w:spacing w:val="-2"/>
        </w:rPr>
        <w:t> </w:t>
      </w:r>
      <w:r>
        <w:rPr/>
        <w:t>regulatory</w:t>
      </w:r>
      <w:r>
        <w:rPr>
          <w:spacing w:val="-2"/>
        </w:rPr>
        <w:t> </w:t>
      </w:r>
      <w:r>
        <w:rPr/>
        <w:t>capital,</w:t>
      </w:r>
      <w:r>
        <w:rPr>
          <w:spacing w:val="-2"/>
        </w:rPr>
        <w:t> </w:t>
      </w:r>
      <w:r>
        <w:rPr/>
        <w:t>phased</w:t>
      </w:r>
      <w:r>
        <w:rPr>
          <w:spacing w:val="-3"/>
        </w:rPr>
        <w:t> </w:t>
      </w:r>
      <w:r>
        <w:rPr/>
        <w:t>in</w:t>
      </w:r>
      <w:r>
        <w:rPr>
          <w:spacing w:val="-2"/>
        </w:rPr>
        <w:t> </w:t>
      </w:r>
      <w:r>
        <w:rPr/>
        <w:t>over</w:t>
      </w:r>
      <w:r>
        <w:rPr>
          <w:spacing w:val="-2"/>
        </w:rPr>
        <w:t> </w:t>
      </w:r>
      <w:r>
        <w:rPr/>
        <w:t>a</w:t>
      </w:r>
      <w:r>
        <w:rPr>
          <w:spacing w:val="-3"/>
        </w:rPr>
        <w:t> </w:t>
      </w:r>
      <w:r>
        <w:rPr/>
        <w:t>three-year</w:t>
      </w:r>
      <w:r>
        <w:rPr>
          <w:spacing w:val="-2"/>
        </w:rPr>
        <w:t> </w:t>
      </w:r>
      <w:r>
        <w:rPr/>
        <w:t>transition</w:t>
      </w:r>
      <w:r>
        <w:rPr>
          <w:spacing w:val="-2"/>
        </w:rPr>
        <w:t> </w:t>
      </w:r>
      <w:r>
        <w:rPr/>
        <w:t>period</w:t>
      </w:r>
      <w:r>
        <w:rPr>
          <w:spacing w:val="-2"/>
        </w:rPr>
        <w:t> </w:t>
      </w:r>
      <w:r>
        <w:rPr/>
        <w:t>beginning</w:t>
      </w:r>
      <w:r>
        <w:rPr>
          <w:spacing w:val="-2"/>
        </w:rPr>
        <w:t> </w:t>
      </w:r>
      <w:r>
        <w:rPr/>
        <w:t>July</w:t>
      </w:r>
      <w:r>
        <w:rPr>
          <w:spacing w:val="-3"/>
        </w:rPr>
        <w:t> </w:t>
      </w:r>
      <w:r>
        <w:rPr/>
        <w:t>1, 2025 (see Current Regulatory and Other Developments). As of September 30, 2023, our adjusted Tier 1 Leverage Ratio, which reflects the inclusion of AOCI in the ratio, was 4.1% for CSC consolidated and 4.4% for CSB (see Non-GAAP Financial Measures for further details and a reconciliation of such measures to GAAP reported results). In anticipation of the rules being adopted, the Company is continuing to retain and accrete capital organically well ahead of the proposed transition period.</w:t>
      </w:r>
    </w:p>
    <w:p>
      <w:pPr>
        <w:pStyle w:val="BodyText"/>
        <w:spacing w:before="15"/>
      </w:pPr>
    </w:p>
    <w:p>
      <w:pPr>
        <w:spacing w:before="0"/>
        <w:ind w:left="470" w:right="0" w:firstLine="0"/>
        <w:jc w:val="left"/>
        <w:rPr>
          <w:i/>
          <w:sz w:val="20"/>
        </w:rPr>
      </w:pPr>
      <w:r>
        <w:rPr>
          <w:i/>
          <w:sz w:val="20"/>
        </w:rPr>
        <w:t>IDA</w:t>
      </w:r>
      <w:r>
        <w:rPr>
          <w:i/>
          <w:spacing w:val="-2"/>
          <w:sz w:val="20"/>
        </w:rPr>
        <w:t> Agreement</w:t>
      </w:r>
    </w:p>
    <w:p>
      <w:pPr>
        <w:pStyle w:val="BodyText"/>
        <w:spacing w:before="19"/>
        <w:rPr>
          <w:i/>
        </w:rPr>
      </w:pPr>
    </w:p>
    <w:p>
      <w:pPr>
        <w:pStyle w:val="BodyText"/>
        <w:spacing w:line="249" w:lineRule="auto" w:before="1"/>
        <w:ind w:left="470" w:right="500"/>
      </w:pPr>
      <w:r>
        <w:rPr/>
        <w:t>Certain brokerage client deposits are swept off-balance sheet to the TD Depository Institutions pursuant to the 2023 IDA agreement. During the first nine months of 2023, Schwab did not move IDA balances to its balance sheet. The Company’s overall capital management strategy includes supporting migration of IDA balances in future periods as available pursuant to the</w:t>
      </w:r>
      <w:r>
        <w:rPr>
          <w:spacing w:val="-1"/>
        </w:rPr>
        <w:t> </w:t>
      </w:r>
      <w:r>
        <w:rPr/>
        <w:t>terms</w:t>
      </w:r>
      <w:r>
        <w:rPr>
          <w:spacing w:val="-1"/>
        </w:rPr>
        <w:t> </w:t>
      </w:r>
      <w:r>
        <w:rPr/>
        <w:t>of the</w:t>
      </w:r>
      <w:r>
        <w:rPr>
          <w:spacing w:val="-1"/>
        </w:rPr>
        <w:t> </w:t>
      </w:r>
      <w:r>
        <w:rPr/>
        <w:t>2023 IDA</w:t>
      </w:r>
      <w:r>
        <w:rPr>
          <w:spacing w:val="-1"/>
        </w:rPr>
        <w:t> </w:t>
      </w:r>
      <w:r>
        <w:rPr/>
        <w:t>agreement. The</w:t>
      </w:r>
      <w:r>
        <w:rPr>
          <w:spacing w:val="-1"/>
        </w:rPr>
        <w:t> </w:t>
      </w:r>
      <w:r>
        <w:rPr/>
        <w:t>Company’s</w:t>
      </w:r>
      <w:r>
        <w:rPr>
          <w:spacing w:val="-1"/>
        </w:rPr>
        <w:t> </w:t>
      </w:r>
      <w:r>
        <w:rPr/>
        <w:t>ability to migrate</w:t>
      </w:r>
      <w:r>
        <w:rPr>
          <w:spacing w:val="-1"/>
        </w:rPr>
        <w:t> </w:t>
      </w:r>
      <w:r>
        <w:rPr/>
        <w:t>these</w:t>
      </w:r>
      <w:r>
        <w:rPr>
          <w:spacing w:val="-1"/>
        </w:rPr>
        <w:t> </w:t>
      </w:r>
      <w:r>
        <w:rPr/>
        <w:t>balances</w:t>
      </w:r>
      <w:r>
        <w:rPr>
          <w:spacing w:val="-1"/>
        </w:rPr>
        <w:t> </w:t>
      </w:r>
      <w:r>
        <w:rPr/>
        <w:t>to its</w:t>
      </w:r>
      <w:r>
        <w:rPr>
          <w:spacing w:val="-1"/>
        </w:rPr>
        <w:t> </w:t>
      </w:r>
      <w:r>
        <w:rPr/>
        <w:t>balance</w:t>
      </w:r>
      <w:r>
        <w:rPr>
          <w:spacing w:val="-1"/>
        </w:rPr>
        <w:t> </w:t>
      </w:r>
      <w:r>
        <w:rPr/>
        <w:t>sheet</w:t>
      </w:r>
      <w:r>
        <w:rPr>
          <w:spacing w:val="-1"/>
        </w:rPr>
        <w:t> </w:t>
      </w:r>
      <w:r>
        <w:rPr/>
        <w:t>is</w:t>
      </w:r>
      <w:r>
        <w:rPr>
          <w:spacing w:val="-1"/>
        </w:rPr>
        <w:t> </w:t>
      </w:r>
      <w:r>
        <w:rPr/>
        <w:t>dependent</w:t>
      </w:r>
      <w:r>
        <w:rPr>
          <w:spacing w:val="-1"/>
        </w:rPr>
        <w:t> </w:t>
      </w:r>
      <w:r>
        <w:rPr/>
        <w:t>upon multiple</w:t>
      </w:r>
      <w:r>
        <w:rPr>
          <w:spacing w:val="-3"/>
        </w:rPr>
        <w:t> </w:t>
      </w:r>
      <w:r>
        <w:rPr/>
        <w:t>factors</w:t>
      </w:r>
      <w:r>
        <w:rPr>
          <w:spacing w:val="-3"/>
        </w:rPr>
        <w:t> </w:t>
      </w:r>
      <w:r>
        <w:rPr/>
        <w:t>including</w:t>
      </w:r>
      <w:r>
        <w:rPr>
          <w:spacing w:val="-2"/>
        </w:rPr>
        <w:t> </w:t>
      </w:r>
      <w:r>
        <w:rPr/>
        <w:t>having</w:t>
      </w:r>
      <w:r>
        <w:rPr>
          <w:spacing w:val="-2"/>
        </w:rPr>
        <w:t> </w:t>
      </w:r>
      <w:r>
        <w:rPr/>
        <w:t>sufficient</w:t>
      </w:r>
      <w:r>
        <w:rPr>
          <w:spacing w:val="-3"/>
        </w:rPr>
        <w:t> </w:t>
      </w:r>
      <w:r>
        <w:rPr/>
        <w:t>capital</w:t>
      </w:r>
      <w:r>
        <w:rPr>
          <w:spacing w:val="-3"/>
        </w:rPr>
        <w:t> </w:t>
      </w:r>
      <w:r>
        <w:rPr/>
        <w:t>levels</w:t>
      </w:r>
      <w:r>
        <w:rPr>
          <w:spacing w:val="-3"/>
        </w:rPr>
        <w:t> </w:t>
      </w:r>
      <w:r>
        <w:rPr/>
        <w:t>to</w:t>
      </w:r>
      <w:r>
        <w:rPr>
          <w:spacing w:val="-2"/>
        </w:rPr>
        <w:t> </w:t>
      </w:r>
      <w:r>
        <w:rPr/>
        <w:t>sustain</w:t>
      </w:r>
      <w:r>
        <w:rPr>
          <w:spacing w:val="-2"/>
        </w:rPr>
        <w:t> </w:t>
      </w:r>
      <w:r>
        <w:rPr/>
        <w:t>these</w:t>
      </w:r>
      <w:r>
        <w:rPr>
          <w:spacing w:val="-3"/>
        </w:rPr>
        <w:t> </w:t>
      </w:r>
      <w:r>
        <w:rPr/>
        <w:t>incremental</w:t>
      </w:r>
      <w:r>
        <w:rPr>
          <w:spacing w:val="-3"/>
        </w:rPr>
        <w:t> </w:t>
      </w:r>
      <w:r>
        <w:rPr/>
        <w:t>deposits.</w:t>
      </w:r>
      <w:r>
        <w:rPr>
          <w:spacing w:val="-2"/>
        </w:rPr>
        <w:t> </w:t>
      </w:r>
      <w:r>
        <w:rPr/>
        <w:t>See</w:t>
      </w:r>
      <w:r>
        <w:rPr>
          <w:spacing w:val="-3"/>
        </w:rPr>
        <w:t> </w:t>
      </w:r>
      <w:r>
        <w:rPr/>
        <w:t>Item</w:t>
      </w:r>
      <w:r>
        <w:rPr>
          <w:spacing w:val="-3"/>
        </w:rPr>
        <w:t> </w:t>
      </w:r>
      <w:r>
        <w:rPr/>
        <w:t>1</w:t>
      </w:r>
      <w:r>
        <w:rPr>
          <w:spacing w:val="-2"/>
        </w:rPr>
        <w:t> </w:t>
      </w:r>
      <w:r>
        <w:rPr/>
        <w:t>–</w:t>
      </w:r>
      <w:r>
        <w:rPr>
          <w:spacing w:val="-2"/>
        </w:rPr>
        <w:t> </w:t>
      </w:r>
      <w:r>
        <w:rPr/>
        <w:t>Note</w:t>
      </w:r>
      <w:r>
        <w:rPr>
          <w:spacing w:val="-3"/>
        </w:rPr>
        <w:t> </w:t>
      </w:r>
      <w:r>
        <w:rPr/>
        <w:t>9</w:t>
      </w:r>
      <w:r>
        <w:rPr>
          <w:spacing w:val="-2"/>
        </w:rPr>
        <w:t> </w:t>
      </w:r>
      <w:r>
        <w:rPr/>
        <w:t>for</w:t>
      </w:r>
      <w:r>
        <w:rPr>
          <w:spacing w:val="-2"/>
        </w:rPr>
        <w:t> </w:t>
      </w:r>
      <w:r>
        <w:rPr/>
        <w:t>further information on the 2023 IDA agreement.</w:t>
      </w:r>
    </w:p>
    <w:p>
      <w:pPr>
        <w:pStyle w:val="BodyText"/>
        <w:spacing w:before="11"/>
      </w:pPr>
    </w:p>
    <w:p>
      <w:pPr>
        <w:pStyle w:val="Heading3"/>
        <w:rPr>
          <w:i/>
        </w:rPr>
      </w:pPr>
      <w:bookmarkStart w:name="Dividends" w:id="21"/>
      <w:bookmarkEnd w:id="21"/>
      <w:r>
        <w:rPr>
          <w:b w:val="0"/>
          <w:i w:val="0"/>
        </w:rPr>
      </w:r>
      <w:r>
        <w:rPr>
          <w:i/>
          <w:spacing w:val="-2"/>
        </w:rPr>
        <w:t>Dividends</w:t>
      </w:r>
    </w:p>
    <w:p>
      <w:pPr>
        <w:pStyle w:val="BodyText"/>
        <w:spacing w:before="23"/>
        <w:rPr>
          <w:b/>
          <w:i/>
        </w:rPr>
      </w:pPr>
    </w:p>
    <w:p>
      <w:pPr>
        <w:pStyle w:val="BodyText"/>
        <w:spacing w:line="249" w:lineRule="auto" w:before="1"/>
        <w:ind w:left="470" w:right="761"/>
      </w:pPr>
      <w:r>
        <w:rPr/>
        <w:t>On</w:t>
      </w:r>
      <w:r>
        <w:rPr>
          <w:spacing w:val="-2"/>
        </w:rPr>
        <w:t> </w:t>
      </w:r>
      <w:r>
        <w:rPr/>
        <w:t>January</w:t>
      </w:r>
      <w:r>
        <w:rPr>
          <w:spacing w:val="-2"/>
        </w:rPr>
        <w:t> </w:t>
      </w:r>
      <w:r>
        <w:rPr/>
        <w:t>26,</w:t>
      </w:r>
      <w:r>
        <w:rPr>
          <w:spacing w:val="-2"/>
        </w:rPr>
        <w:t> </w:t>
      </w:r>
      <w:r>
        <w:rPr/>
        <w:t>2023,</w:t>
      </w:r>
      <w:r>
        <w:rPr>
          <w:spacing w:val="-2"/>
        </w:rPr>
        <w:t> </w:t>
      </w:r>
      <w:r>
        <w:rPr/>
        <w:t>the</w:t>
      </w:r>
      <w:r>
        <w:rPr>
          <w:spacing w:val="-3"/>
        </w:rPr>
        <w:t> </w:t>
      </w:r>
      <w:r>
        <w:rPr/>
        <w:t>Board</w:t>
      </w:r>
      <w:r>
        <w:rPr>
          <w:spacing w:val="-2"/>
        </w:rPr>
        <w:t> </w:t>
      </w:r>
      <w:r>
        <w:rPr/>
        <w:t>of</w:t>
      </w:r>
      <w:r>
        <w:rPr>
          <w:spacing w:val="-2"/>
        </w:rPr>
        <w:t> </w:t>
      </w:r>
      <w:r>
        <w:rPr/>
        <w:t>Directors</w:t>
      </w:r>
      <w:r>
        <w:rPr>
          <w:spacing w:val="-3"/>
        </w:rPr>
        <w:t> </w:t>
      </w:r>
      <w:r>
        <w:rPr/>
        <w:t>(Board)</w:t>
      </w:r>
      <w:r>
        <w:rPr>
          <w:spacing w:val="-2"/>
        </w:rPr>
        <w:t> </w:t>
      </w:r>
      <w:r>
        <w:rPr/>
        <w:t>of</w:t>
      </w:r>
      <w:r>
        <w:rPr>
          <w:spacing w:val="-2"/>
        </w:rPr>
        <w:t> </w:t>
      </w:r>
      <w:r>
        <w:rPr/>
        <w:t>CSC</w:t>
      </w:r>
      <w:r>
        <w:rPr>
          <w:spacing w:val="-3"/>
        </w:rPr>
        <w:t> </w:t>
      </w:r>
      <w:r>
        <w:rPr/>
        <w:t>declared</w:t>
      </w:r>
      <w:r>
        <w:rPr>
          <w:spacing w:val="-2"/>
        </w:rPr>
        <w:t> </w:t>
      </w:r>
      <w:r>
        <w:rPr/>
        <w:t>a</w:t>
      </w:r>
      <w:r>
        <w:rPr>
          <w:spacing w:val="-3"/>
        </w:rPr>
        <w:t> </w:t>
      </w:r>
      <w:r>
        <w:rPr/>
        <w:t>three</w:t>
      </w:r>
      <w:r>
        <w:rPr>
          <w:spacing w:val="-3"/>
        </w:rPr>
        <w:t> </w:t>
      </w:r>
      <w:r>
        <w:rPr/>
        <w:t>cent,</w:t>
      </w:r>
      <w:r>
        <w:rPr>
          <w:spacing w:val="-2"/>
        </w:rPr>
        <w:t> </w:t>
      </w:r>
      <w:r>
        <w:rPr/>
        <w:t>or</w:t>
      </w:r>
      <w:r>
        <w:rPr>
          <w:spacing w:val="-2"/>
        </w:rPr>
        <w:t> </w:t>
      </w:r>
      <w:r>
        <w:rPr/>
        <w:t>14%,</w:t>
      </w:r>
      <w:r>
        <w:rPr>
          <w:spacing w:val="-2"/>
        </w:rPr>
        <w:t> </w:t>
      </w:r>
      <w:r>
        <w:rPr/>
        <w:t>increase</w:t>
      </w:r>
      <w:r>
        <w:rPr>
          <w:spacing w:val="-3"/>
        </w:rPr>
        <w:t> </w:t>
      </w:r>
      <w:r>
        <w:rPr/>
        <w:t>in</w:t>
      </w:r>
      <w:r>
        <w:rPr>
          <w:spacing w:val="-2"/>
        </w:rPr>
        <w:t> </w:t>
      </w:r>
      <w:r>
        <w:rPr/>
        <w:t>the</w:t>
      </w:r>
      <w:r>
        <w:rPr>
          <w:spacing w:val="-3"/>
        </w:rPr>
        <w:t> </w:t>
      </w:r>
      <w:r>
        <w:rPr/>
        <w:t>quarterly</w:t>
      </w:r>
      <w:r>
        <w:rPr>
          <w:spacing w:val="-2"/>
        </w:rPr>
        <w:t> </w:t>
      </w:r>
      <w:r>
        <w:rPr/>
        <w:t>cash dividend to $.25 per common share.</w:t>
      </w:r>
    </w:p>
    <w:p>
      <w:pPr>
        <w:pStyle w:val="BodyText"/>
        <w:spacing w:before="11"/>
      </w:pPr>
    </w:p>
    <w:p>
      <w:pPr>
        <w:pStyle w:val="BodyText"/>
        <w:spacing w:line="249" w:lineRule="auto"/>
        <w:ind w:left="470" w:right="761"/>
      </w:pPr>
      <w:r>
        <w:rPr/>
        <mc:AlternateContent>
          <mc:Choice Requires="wps">
            <w:drawing>
              <wp:anchor distT="0" distB="0" distL="0" distR="0" allowOverlap="1" layoutInCell="1" locked="0" behindDoc="0" simplePos="0" relativeHeight="15738368">
                <wp:simplePos x="0" y="0"/>
                <wp:positionH relativeFrom="page">
                  <wp:posOffset>628650</wp:posOffset>
                </wp:positionH>
                <wp:positionV relativeFrom="paragraph">
                  <wp:posOffset>396044</wp:posOffset>
                </wp:positionV>
                <wp:extent cx="6515100" cy="635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6515100" cy="6350"/>
                          <a:chExt cx="6515100" cy="6350"/>
                        </a:xfrm>
                      </wpg:grpSpPr>
                      <wps:wsp>
                        <wps:cNvPr id="72" name="Graphic 72"/>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73" name="Graphic 73"/>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31.184608pt;width:513pt;height:.5pt;mso-position-horizontal-relative:page;mso-position-vertical-relative:paragraph;z-index:15738368" id="docshapegroup51" coordorigin="990,624" coordsize="10260,10">
                <v:shape style="position:absolute;left:990;top:628;width:10260;height:2" id="docshape52" coordorigin="990,629" coordsize="10260,0" path="m11250,629l990,629e" filled="true" fillcolor="#000000" stroked="false">
                  <v:path arrowok="t"/>
                  <v:fill opacity="0f" type="solid"/>
                </v:shape>
                <v:line style="position:absolute" from="990,629" to="11250,629" stroked="true" strokeweight=".5pt" strokecolor="#000000">
                  <v:stroke dashstyle="solid"/>
                </v:line>
                <w10:wrap type="none"/>
              </v:group>
            </w:pict>
          </mc:Fallback>
        </mc:AlternateContent>
      </w:r>
      <w:r>
        <w:rPr/>
        <w:t>Cash</w:t>
      </w:r>
      <w:r>
        <w:rPr>
          <w:spacing w:val="-3"/>
        </w:rPr>
        <w:t> </w:t>
      </w:r>
      <w:r>
        <w:rPr/>
        <w:t>dividends</w:t>
      </w:r>
      <w:r>
        <w:rPr>
          <w:spacing w:val="-4"/>
        </w:rPr>
        <w:t> </w:t>
      </w:r>
      <w:r>
        <w:rPr/>
        <w:t>paid</w:t>
      </w:r>
      <w:r>
        <w:rPr>
          <w:spacing w:val="-3"/>
        </w:rPr>
        <w:t> </w:t>
      </w:r>
      <w:r>
        <w:rPr/>
        <w:t>and</w:t>
      </w:r>
      <w:r>
        <w:rPr>
          <w:spacing w:val="-3"/>
        </w:rPr>
        <w:t> </w:t>
      </w:r>
      <w:r>
        <w:rPr/>
        <w:t>per</w:t>
      </w:r>
      <w:r>
        <w:rPr>
          <w:spacing w:val="-3"/>
        </w:rPr>
        <w:t> </w:t>
      </w:r>
      <w:r>
        <w:rPr/>
        <w:t>share</w:t>
      </w:r>
      <w:r>
        <w:rPr>
          <w:spacing w:val="-4"/>
        </w:rPr>
        <w:t> </w:t>
      </w:r>
      <w:r>
        <w:rPr/>
        <w:t>amounts,</w:t>
      </w:r>
      <w:r>
        <w:rPr>
          <w:spacing w:val="-3"/>
        </w:rPr>
        <w:t> </w:t>
      </w:r>
      <w:r>
        <w:rPr/>
        <w:t>exclusive</w:t>
      </w:r>
      <w:r>
        <w:rPr>
          <w:spacing w:val="-4"/>
        </w:rPr>
        <w:t> </w:t>
      </w:r>
      <w:r>
        <w:rPr/>
        <w:t>of</w:t>
      </w:r>
      <w:r>
        <w:rPr>
          <w:spacing w:val="-3"/>
        </w:rPr>
        <w:t> </w:t>
      </w:r>
      <w:r>
        <w:rPr/>
        <w:t>amounts</w:t>
      </w:r>
      <w:r>
        <w:rPr>
          <w:spacing w:val="-4"/>
        </w:rPr>
        <w:t> </w:t>
      </w:r>
      <w:r>
        <w:rPr/>
        <w:t>related</w:t>
      </w:r>
      <w:r>
        <w:rPr>
          <w:spacing w:val="-3"/>
        </w:rPr>
        <w:t> </w:t>
      </w:r>
      <w:r>
        <w:rPr/>
        <w:t>to</w:t>
      </w:r>
      <w:r>
        <w:rPr>
          <w:spacing w:val="-3"/>
        </w:rPr>
        <w:t> </w:t>
      </w:r>
      <w:r>
        <w:rPr/>
        <w:t>preferred</w:t>
      </w:r>
      <w:r>
        <w:rPr>
          <w:spacing w:val="-3"/>
        </w:rPr>
        <w:t> </w:t>
      </w:r>
      <w:r>
        <w:rPr/>
        <w:t>stock</w:t>
      </w:r>
      <w:r>
        <w:rPr>
          <w:spacing w:val="-3"/>
        </w:rPr>
        <w:t> </w:t>
      </w:r>
      <w:r>
        <w:rPr/>
        <w:t>repurchases,</w:t>
      </w:r>
      <w:r>
        <w:rPr>
          <w:spacing w:val="-3"/>
        </w:rPr>
        <w:t> </w:t>
      </w:r>
      <w:r>
        <w:rPr/>
        <w:t>for</w:t>
      </w:r>
      <w:r>
        <w:rPr>
          <w:spacing w:val="-3"/>
        </w:rPr>
        <w:t> </w:t>
      </w:r>
      <w:r>
        <w:rPr/>
        <w:t>the</w:t>
      </w:r>
      <w:r>
        <w:rPr>
          <w:spacing w:val="-4"/>
        </w:rPr>
        <w:t> </w:t>
      </w:r>
      <w:r>
        <w:rPr/>
        <w:t>first</w:t>
      </w:r>
      <w:r>
        <w:rPr>
          <w:spacing w:val="-4"/>
        </w:rPr>
        <w:t> </w:t>
      </w:r>
      <w:r>
        <w:rPr/>
        <w:t>nine months of 2023 and 2022 are as follows:</w:t>
      </w:r>
    </w:p>
    <w:p>
      <w:pPr>
        <w:spacing w:after="0" w:line="249" w:lineRule="auto"/>
        <w:sectPr>
          <w:pgSz w:w="12240" w:h="15840"/>
          <w:pgMar w:header="512" w:footer="201" w:top="1180" w:bottom="400" w:left="520" w:right="520"/>
        </w:sectPr>
      </w:pPr>
    </w:p>
    <w:p>
      <w:pPr>
        <w:pStyle w:val="BodyText"/>
        <w:rPr>
          <w:sz w:val="18"/>
        </w:rPr>
      </w:pPr>
    </w:p>
    <w:p>
      <w:pPr>
        <w:pStyle w:val="BodyText"/>
        <w:spacing w:before="189"/>
        <w:rPr>
          <w:sz w:val="18"/>
        </w:rPr>
      </w:pPr>
    </w:p>
    <w:p>
      <w:pPr>
        <w:tabs>
          <w:tab w:pos="5942" w:val="left" w:leader="none"/>
        </w:tabs>
        <w:spacing w:before="0"/>
        <w:ind w:left="522" w:right="0" w:firstLine="0"/>
        <w:jc w:val="left"/>
        <w:rPr>
          <w:sz w:val="18"/>
        </w:rPr>
      </w:pPr>
      <w:r>
        <w:rPr>
          <w:sz w:val="18"/>
        </w:rPr>
        <w:t>Nine</w:t>
      </w:r>
      <w:r>
        <w:rPr>
          <w:spacing w:val="-1"/>
          <w:sz w:val="18"/>
        </w:rPr>
        <w:t> </w:t>
      </w:r>
      <w:r>
        <w:rPr>
          <w:sz w:val="18"/>
        </w:rPr>
        <w:t>Months</w:t>
      </w:r>
      <w:r>
        <w:rPr>
          <w:spacing w:val="-2"/>
          <w:sz w:val="18"/>
        </w:rPr>
        <w:t> </w:t>
      </w:r>
      <w:r>
        <w:rPr>
          <w:sz w:val="18"/>
        </w:rPr>
        <w:t>Ended</w:t>
      </w:r>
      <w:r>
        <w:rPr>
          <w:spacing w:val="-1"/>
          <w:sz w:val="18"/>
        </w:rPr>
        <w:t> </w:t>
      </w:r>
      <w:r>
        <w:rPr>
          <w:sz w:val="18"/>
        </w:rPr>
        <w:t>September </w:t>
      </w:r>
      <w:r>
        <w:rPr>
          <w:spacing w:val="-5"/>
          <w:sz w:val="18"/>
        </w:rPr>
        <w:t>30,</w:t>
      </w:r>
      <w:r>
        <w:rPr>
          <w:sz w:val="18"/>
        </w:rPr>
        <w:tab/>
        <w:t>Cash</w:t>
      </w:r>
      <w:r>
        <w:rPr>
          <w:spacing w:val="-1"/>
          <w:sz w:val="18"/>
        </w:rPr>
        <w:t> </w:t>
      </w:r>
      <w:r>
        <w:rPr>
          <w:spacing w:val="-4"/>
          <w:sz w:val="18"/>
        </w:rPr>
        <w:t>Paid</w:t>
      </w:r>
    </w:p>
    <w:p>
      <w:pPr>
        <w:tabs>
          <w:tab w:pos="2604" w:val="left" w:leader="none"/>
        </w:tabs>
        <w:spacing w:before="168"/>
        <w:ind w:left="54" w:right="0" w:firstLine="0"/>
        <w:jc w:val="left"/>
        <w:rPr>
          <w:sz w:val="18"/>
        </w:rPr>
      </w:pPr>
      <w:r>
        <w:rPr/>
        <w:br w:type="column"/>
      </w:r>
      <w:r>
        <w:rPr>
          <w:spacing w:val="-4"/>
          <w:sz w:val="18"/>
        </w:rPr>
        <w:t>2023</w:t>
      </w:r>
      <w:r>
        <w:rPr>
          <w:sz w:val="18"/>
        </w:rPr>
        <w:tab/>
      </w:r>
      <w:r>
        <w:rPr>
          <w:spacing w:val="-4"/>
          <w:sz w:val="18"/>
        </w:rPr>
        <w:t>2022</w:t>
      </w:r>
    </w:p>
    <w:p>
      <w:pPr>
        <w:spacing w:line="193" w:lineRule="exact" w:before="48"/>
        <w:ind w:left="525" w:right="0" w:firstLine="0"/>
        <w:jc w:val="left"/>
        <w:rPr>
          <w:sz w:val="18"/>
        </w:rPr>
      </w:pPr>
      <w:r>
        <w:rPr/>
        <mc:AlternateContent>
          <mc:Choice Requires="wps">
            <w:drawing>
              <wp:anchor distT="0" distB="0" distL="0" distR="0" allowOverlap="1" layoutInCell="1" locked="0" behindDoc="0" simplePos="0" relativeHeight="15738880">
                <wp:simplePos x="0" y="0"/>
                <wp:positionH relativeFrom="page">
                  <wp:posOffset>3952875</wp:posOffset>
                </wp:positionH>
                <wp:positionV relativeFrom="paragraph">
                  <wp:posOffset>16097</wp:posOffset>
                </wp:positionV>
                <wp:extent cx="1571625" cy="635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1571625" cy="6350"/>
                          <a:chExt cx="1571625" cy="6350"/>
                        </a:xfrm>
                      </wpg:grpSpPr>
                      <wps:wsp>
                        <wps:cNvPr id="75" name="Graphic 75"/>
                        <wps:cNvSpPr/>
                        <wps:spPr>
                          <a:xfrm>
                            <a:off x="0" y="3175"/>
                            <a:ext cx="1571625" cy="1270"/>
                          </a:xfrm>
                          <a:custGeom>
                            <a:avLst/>
                            <a:gdLst/>
                            <a:ahLst/>
                            <a:cxnLst/>
                            <a:rect l="l" t="t" r="r" b="b"/>
                            <a:pathLst>
                              <a:path w="1571625" h="0">
                                <a:moveTo>
                                  <a:pt x="1571625" y="0"/>
                                </a:moveTo>
                                <a:lnTo>
                                  <a:pt x="0" y="0"/>
                                </a:lnTo>
                              </a:path>
                            </a:pathLst>
                          </a:custGeom>
                          <a:solidFill>
                            <a:srgbClr val="000000"/>
                          </a:solidFill>
                        </wps:spPr>
                        <wps:bodyPr wrap="square" lIns="0" tIns="0" rIns="0" bIns="0" rtlCol="0">
                          <a:prstTxWarp prst="textNoShape">
                            <a:avLst/>
                          </a:prstTxWarp>
                          <a:noAutofit/>
                        </wps:bodyPr>
                      </wps:wsp>
                      <wps:wsp>
                        <wps:cNvPr id="76" name="Graphic 76"/>
                        <wps:cNvSpPr/>
                        <wps:spPr>
                          <a:xfrm>
                            <a:off x="0" y="3175"/>
                            <a:ext cx="1571625" cy="1270"/>
                          </a:xfrm>
                          <a:custGeom>
                            <a:avLst/>
                            <a:gdLst/>
                            <a:ahLst/>
                            <a:cxnLst/>
                            <a:rect l="l" t="t" r="r" b="b"/>
                            <a:pathLst>
                              <a:path w="1571625" h="0">
                                <a:moveTo>
                                  <a:pt x="0" y="0"/>
                                </a:moveTo>
                                <a:lnTo>
                                  <a:pt x="157162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1.25pt;margin-top:1.267519pt;width:123.75pt;height:.5pt;mso-position-horizontal-relative:page;mso-position-vertical-relative:paragraph;z-index:15738880" id="docshapegroup53" coordorigin="6225,25" coordsize="2475,10">
                <v:shape style="position:absolute;left:6225;top:30;width:2475;height:2" id="docshape54" coordorigin="6225,30" coordsize="2475,0" path="m8700,30l6225,30e" filled="true" fillcolor="#000000" stroked="false">
                  <v:path arrowok="t"/>
                  <v:fill opacity="0f" type="solid"/>
                </v:shape>
                <v:line style="position:absolute" from="6225,30" to="8700,30" stroked="true" strokeweight=".5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5572125</wp:posOffset>
                </wp:positionH>
                <wp:positionV relativeFrom="paragraph">
                  <wp:posOffset>16097</wp:posOffset>
                </wp:positionV>
                <wp:extent cx="1571625" cy="635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1571625" cy="6350"/>
                          <a:chExt cx="1571625" cy="6350"/>
                        </a:xfrm>
                      </wpg:grpSpPr>
                      <wps:wsp>
                        <wps:cNvPr id="78" name="Graphic 78"/>
                        <wps:cNvSpPr/>
                        <wps:spPr>
                          <a:xfrm>
                            <a:off x="0" y="3175"/>
                            <a:ext cx="1571625" cy="1270"/>
                          </a:xfrm>
                          <a:custGeom>
                            <a:avLst/>
                            <a:gdLst/>
                            <a:ahLst/>
                            <a:cxnLst/>
                            <a:rect l="l" t="t" r="r" b="b"/>
                            <a:pathLst>
                              <a:path w="1571625" h="0">
                                <a:moveTo>
                                  <a:pt x="1571625" y="0"/>
                                </a:moveTo>
                                <a:lnTo>
                                  <a:pt x="0" y="0"/>
                                </a:lnTo>
                              </a:path>
                            </a:pathLst>
                          </a:custGeom>
                          <a:solidFill>
                            <a:srgbClr val="000000"/>
                          </a:solidFill>
                        </wps:spPr>
                        <wps:bodyPr wrap="square" lIns="0" tIns="0" rIns="0" bIns="0" rtlCol="0">
                          <a:prstTxWarp prst="textNoShape">
                            <a:avLst/>
                          </a:prstTxWarp>
                          <a:noAutofit/>
                        </wps:bodyPr>
                      </wps:wsp>
                      <wps:wsp>
                        <wps:cNvPr id="79" name="Graphic 79"/>
                        <wps:cNvSpPr/>
                        <wps:spPr>
                          <a:xfrm>
                            <a:off x="0" y="3175"/>
                            <a:ext cx="1571625" cy="1270"/>
                          </a:xfrm>
                          <a:custGeom>
                            <a:avLst/>
                            <a:gdLst/>
                            <a:ahLst/>
                            <a:cxnLst/>
                            <a:rect l="l" t="t" r="r" b="b"/>
                            <a:pathLst>
                              <a:path w="1571625" h="0">
                                <a:moveTo>
                                  <a:pt x="0" y="0"/>
                                </a:moveTo>
                                <a:lnTo>
                                  <a:pt x="157162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8.75pt;margin-top:1.267519pt;width:123.75pt;height:.5pt;mso-position-horizontal-relative:page;mso-position-vertical-relative:paragraph;z-index:15739392" id="docshapegroup55" coordorigin="8775,25" coordsize="2475,10">
                <v:shape style="position:absolute;left:8775;top:30;width:2475;height:2" id="docshape56" coordorigin="8775,30" coordsize="2475,0" path="m11250,30l8775,30e" filled="true" fillcolor="#000000" stroked="false">
                  <v:path arrowok="t"/>
                  <v:fill opacity="0f" type="solid"/>
                </v:shape>
                <v:line style="position:absolute" from="8775,30" to="11250,30" stroked="true" strokeweight=".5pt" strokecolor="#000000">
                  <v:stroke dashstyle="solid"/>
                </v:line>
                <w10:wrap type="none"/>
              </v:group>
            </w:pict>
          </mc:Fallback>
        </mc:AlternateContent>
      </w:r>
      <w:r>
        <w:rPr>
          <w:sz w:val="18"/>
        </w:rPr>
        <w:t>Per</w:t>
      </w:r>
      <w:r>
        <w:rPr>
          <w:spacing w:val="-1"/>
          <w:sz w:val="18"/>
        </w:rPr>
        <w:t> </w:t>
      </w:r>
      <w:r>
        <w:rPr>
          <w:spacing w:val="-2"/>
          <w:sz w:val="18"/>
        </w:rPr>
        <w:t>Share</w:t>
      </w:r>
    </w:p>
    <w:p>
      <w:pPr>
        <w:tabs>
          <w:tab w:pos="1784" w:val="left" w:leader="none"/>
        </w:tabs>
        <w:spacing w:line="193" w:lineRule="exact" w:before="0"/>
        <w:ind w:left="577" w:right="0" w:firstLine="0"/>
        <w:jc w:val="left"/>
        <w:rPr>
          <w:sz w:val="18"/>
        </w:rPr>
      </w:pPr>
      <w:r>
        <w:rPr>
          <w:spacing w:val="-2"/>
          <w:sz w:val="18"/>
        </w:rPr>
        <w:t>Amount</w:t>
      </w:r>
      <w:r>
        <w:rPr>
          <w:sz w:val="18"/>
        </w:rPr>
        <w:tab/>
        <w:t>Cash</w:t>
      </w:r>
      <w:r>
        <w:rPr>
          <w:spacing w:val="-3"/>
          <w:sz w:val="18"/>
        </w:rPr>
        <w:t> </w:t>
      </w:r>
      <w:r>
        <w:rPr>
          <w:spacing w:val="-4"/>
          <w:sz w:val="18"/>
        </w:rPr>
        <w:t>Paid</w:t>
      </w:r>
    </w:p>
    <w:p>
      <w:pPr>
        <w:spacing w:line="240" w:lineRule="auto" w:before="0"/>
        <w:rPr>
          <w:sz w:val="18"/>
        </w:rPr>
      </w:pPr>
      <w:r>
        <w:rPr/>
        <w:br w:type="column"/>
      </w:r>
      <w:r>
        <w:rPr>
          <w:sz w:val="18"/>
        </w:rPr>
      </w:r>
    </w:p>
    <w:p>
      <w:pPr>
        <w:pStyle w:val="BodyText"/>
        <w:spacing w:before="31"/>
        <w:rPr>
          <w:sz w:val="18"/>
        </w:rPr>
      </w:pPr>
    </w:p>
    <w:p>
      <w:pPr>
        <w:spacing w:line="208" w:lineRule="auto" w:before="0"/>
        <w:ind w:left="122" w:right="720" w:hanging="52"/>
        <w:jc w:val="left"/>
        <w:rPr>
          <w:sz w:val="18"/>
        </w:rPr>
      </w:pPr>
      <w:r>
        <w:rPr>
          <w:sz w:val="18"/>
        </w:rPr>
        <w:t>Per</w:t>
      </w:r>
      <w:r>
        <w:rPr>
          <w:spacing w:val="-12"/>
          <w:sz w:val="18"/>
        </w:rPr>
        <w:t> </w:t>
      </w:r>
      <w:r>
        <w:rPr>
          <w:sz w:val="18"/>
        </w:rPr>
        <w:t>Share </w:t>
      </w:r>
      <w:r>
        <w:rPr>
          <w:spacing w:val="-2"/>
          <w:sz w:val="18"/>
        </w:rPr>
        <w:t>Amount</w:t>
      </w:r>
    </w:p>
    <w:p>
      <w:pPr>
        <w:spacing w:after="0" w:line="208" w:lineRule="auto"/>
        <w:jc w:val="left"/>
        <w:rPr>
          <w:sz w:val="18"/>
        </w:rPr>
        <w:sectPr>
          <w:type w:val="continuous"/>
          <w:pgSz w:w="12240" w:h="15840"/>
          <w:pgMar w:header="512" w:footer="201" w:top="320" w:bottom="280" w:left="520" w:right="520"/>
          <w:cols w:num="3" w:equalWidth="0">
            <w:col w:w="6668" w:space="40"/>
            <w:col w:w="2965" w:space="39"/>
            <w:col w:w="1488"/>
          </w:cols>
        </w:sectPr>
      </w:pPr>
    </w:p>
    <w:p>
      <w:pPr>
        <w:pStyle w:val="BodyText"/>
        <w:spacing w:before="7"/>
        <w:rPr>
          <w:sz w:val="2"/>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50"/>
        <w:gridCol w:w="2341"/>
        <w:gridCol w:w="1275"/>
        <w:gridCol w:w="1245"/>
        <w:gridCol w:w="1249"/>
      </w:tblGrid>
      <w:tr>
        <w:trPr>
          <w:trHeight w:val="250" w:hRule="atLeast"/>
        </w:trPr>
        <w:tc>
          <w:tcPr>
            <w:tcW w:w="4150" w:type="dxa"/>
            <w:tcBorders>
              <w:top w:val="single" w:sz="4" w:space="0" w:color="000000"/>
            </w:tcBorders>
            <w:shd w:val="clear" w:color="auto" w:fill="CCEDFF"/>
          </w:tcPr>
          <w:p>
            <w:pPr>
              <w:pStyle w:val="TableParagraph"/>
              <w:spacing w:before="13"/>
              <w:ind w:left="52"/>
              <w:rPr>
                <w:sz w:val="18"/>
              </w:rPr>
            </w:pPr>
            <w:r>
              <w:rPr>
                <w:sz w:val="18"/>
              </w:rPr>
              <w:t>Common</w:t>
            </w:r>
            <w:r>
              <w:rPr>
                <w:spacing w:val="-1"/>
                <w:sz w:val="18"/>
              </w:rPr>
              <w:t> </w:t>
            </w:r>
            <w:r>
              <w:rPr>
                <w:sz w:val="18"/>
              </w:rPr>
              <w:t>and Nonvoting Common </w:t>
            </w:r>
            <w:r>
              <w:rPr>
                <w:spacing w:val="-2"/>
                <w:sz w:val="18"/>
              </w:rPr>
              <w:t>Stock</w:t>
            </w:r>
          </w:p>
        </w:tc>
        <w:tc>
          <w:tcPr>
            <w:tcW w:w="2341" w:type="dxa"/>
            <w:tcBorders>
              <w:top w:val="single" w:sz="4" w:space="0" w:color="000000"/>
            </w:tcBorders>
            <w:shd w:val="clear" w:color="auto" w:fill="CCEDFF"/>
          </w:tcPr>
          <w:p>
            <w:pPr>
              <w:pStyle w:val="TableParagraph"/>
              <w:tabs>
                <w:tab w:pos="667" w:val="left" w:leader="none"/>
              </w:tabs>
              <w:spacing w:before="13"/>
              <w:ind w:right="128"/>
              <w:jc w:val="right"/>
              <w:rPr>
                <w:sz w:val="18"/>
              </w:rPr>
            </w:pPr>
            <w:r>
              <w:rPr>
                <w:spacing w:val="-10"/>
                <w:sz w:val="18"/>
              </w:rPr>
              <w:t>$</w:t>
            </w:r>
            <w:r>
              <w:rPr>
                <w:sz w:val="18"/>
              </w:rPr>
              <w:tab/>
            </w:r>
            <w:r>
              <w:rPr>
                <w:spacing w:val="-2"/>
                <w:sz w:val="18"/>
              </w:rPr>
              <w:t>1,379</w:t>
            </w:r>
          </w:p>
        </w:tc>
        <w:tc>
          <w:tcPr>
            <w:tcW w:w="1275" w:type="dxa"/>
            <w:tcBorders>
              <w:top w:val="single" w:sz="4" w:space="0" w:color="000000"/>
            </w:tcBorders>
            <w:shd w:val="clear" w:color="auto" w:fill="CCEDFF"/>
          </w:tcPr>
          <w:p>
            <w:pPr>
              <w:pStyle w:val="TableParagraph"/>
              <w:tabs>
                <w:tab w:pos="918" w:val="left" w:leader="none"/>
              </w:tabs>
              <w:spacing w:before="13"/>
              <w:ind w:left="71"/>
              <w:rPr>
                <w:sz w:val="18"/>
              </w:rPr>
            </w:pPr>
            <w:r>
              <w:rPr>
                <w:spacing w:val="-10"/>
                <w:sz w:val="18"/>
              </w:rPr>
              <w:t>$</w:t>
            </w:r>
            <w:r>
              <w:rPr>
                <w:sz w:val="18"/>
              </w:rPr>
              <w:tab/>
            </w:r>
            <w:r>
              <w:rPr>
                <w:spacing w:val="-5"/>
                <w:sz w:val="18"/>
              </w:rPr>
              <w:t>.75</w:t>
            </w:r>
          </w:p>
        </w:tc>
        <w:tc>
          <w:tcPr>
            <w:tcW w:w="1245" w:type="dxa"/>
            <w:tcBorders>
              <w:top w:val="single" w:sz="4" w:space="0" w:color="000000"/>
            </w:tcBorders>
            <w:shd w:val="clear" w:color="auto" w:fill="CCEDFF"/>
          </w:tcPr>
          <w:p>
            <w:pPr>
              <w:pStyle w:val="TableParagraph"/>
              <w:tabs>
                <w:tab w:pos="667" w:val="left" w:leader="none"/>
              </w:tabs>
              <w:spacing w:before="13"/>
              <w:ind w:right="98"/>
              <w:jc w:val="right"/>
              <w:rPr>
                <w:sz w:val="18"/>
              </w:rPr>
            </w:pPr>
            <w:r>
              <w:rPr>
                <w:spacing w:val="-10"/>
                <w:sz w:val="18"/>
              </w:rPr>
              <w:t>$</w:t>
            </w:r>
            <w:r>
              <w:rPr>
                <w:sz w:val="18"/>
              </w:rPr>
              <w:tab/>
            </w:r>
            <w:r>
              <w:rPr>
                <w:spacing w:val="-2"/>
                <w:sz w:val="18"/>
              </w:rPr>
              <w:t>1,179</w:t>
            </w:r>
          </w:p>
        </w:tc>
        <w:tc>
          <w:tcPr>
            <w:tcW w:w="1249" w:type="dxa"/>
            <w:tcBorders>
              <w:top w:val="single" w:sz="4" w:space="0" w:color="000000"/>
            </w:tcBorders>
            <w:shd w:val="clear" w:color="auto" w:fill="CCEDFF"/>
          </w:tcPr>
          <w:p>
            <w:pPr>
              <w:pStyle w:val="TableParagraph"/>
              <w:tabs>
                <w:tab w:pos="847" w:val="left" w:leader="none"/>
              </w:tabs>
              <w:spacing w:before="13"/>
              <w:ind w:right="72"/>
              <w:jc w:val="right"/>
              <w:rPr>
                <w:sz w:val="18"/>
              </w:rPr>
            </w:pPr>
            <w:r>
              <w:rPr>
                <w:spacing w:val="-10"/>
                <w:sz w:val="18"/>
              </w:rPr>
              <w:t>$</w:t>
            </w:r>
            <w:r>
              <w:rPr>
                <w:sz w:val="18"/>
              </w:rPr>
              <w:tab/>
            </w:r>
            <w:r>
              <w:rPr>
                <w:spacing w:val="-5"/>
                <w:sz w:val="18"/>
              </w:rPr>
              <w:t>.62</w:t>
            </w:r>
          </w:p>
        </w:tc>
      </w:tr>
      <w:tr>
        <w:trPr>
          <w:trHeight w:val="255" w:hRule="atLeast"/>
        </w:trPr>
        <w:tc>
          <w:tcPr>
            <w:tcW w:w="4150" w:type="dxa"/>
          </w:tcPr>
          <w:p>
            <w:pPr>
              <w:pStyle w:val="TableParagraph"/>
              <w:spacing w:before="18"/>
              <w:ind w:left="52"/>
              <w:rPr>
                <w:sz w:val="18"/>
              </w:rPr>
            </w:pPr>
            <w:r>
              <w:rPr>
                <w:sz w:val="18"/>
              </w:rPr>
              <w:t>Preferred</w:t>
            </w:r>
            <w:r>
              <w:rPr>
                <w:spacing w:val="-1"/>
                <w:sz w:val="18"/>
              </w:rPr>
              <w:t> </w:t>
            </w:r>
            <w:r>
              <w:rPr>
                <w:spacing w:val="-2"/>
                <w:sz w:val="18"/>
              </w:rPr>
              <w:t>Stock:</w:t>
            </w:r>
          </w:p>
        </w:tc>
        <w:tc>
          <w:tcPr>
            <w:tcW w:w="2341" w:type="dxa"/>
          </w:tcPr>
          <w:p>
            <w:pPr>
              <w:pStyle w:val="TableParagraph"/>
              <w:rPr>
                <w:sz w:val="18"/>
              </w:rPr>
            </w:pPr>
          </w:p>
        </w:tc>
        <w:tc>
          <w:tcPr>
            <w:tcW w:w="1275" w:type="dxa"/>
          </w:tcPr>
          <w:p>
            <w:pPr>
              <w:pStyle w:val="TableParagraph"/>
              <w:rPr>
                <w:sz w:val="18"/>
              </w:rPr>
            </w:pPr>
          </w:p>
        </w:tc>
        <w:tc>
          <w:tcPr>
            <w:tcW w:w="1245" w:type="dxa"/>
          </w:tcPr>
          <w:p>
            <w:pPr>
              <w:pStyle w:val="TableParagraph"/>
              <w:rPr>
                <w:sz w:val="18"/>
              </w:rPr>
            </w:pPr>
          </w:p>
        </w:tc>
        <w:tc>
          <w:tcPr>
            <w:tcW w:w="1249" w:type="dxa"/>
          </w:tcPr>
          <w:p>
            <w:pPr>
              <w:pStyle w:val="TableParagraph"/>
              <w:rPr>
                <w:sz w:val="18"/>
              </w:rPr>
            </w:pPr>
          </w:p>
        </w:tc>
      </w:tr>
      <w:tr>
        <w:trPr>
          <w:trHeight w:val="255" w:hRule="atLeast"/>
        </w:trPr>
        <w:tc>
          <w:tcPr>
            <w:tcW w:w="4150" w:type="dxa"/>
            <w:shd w:val="clear" w:color="auto" w:fill="CCEDFF"/>
          </w:tcPr>
          <w:p>
            <w:pPr>
              <w:pStyle w:val="TableParagraph"/>
              <w:spacing w:before="18"/>
              <w:ind w:left="172"/>
              <w:rPr>
                <w:sz w:val="18"/>
              </w:rPr>
            </w:pPr>
            <w:r>
              <w:rPr>
                <w:sz w:val="18"/>
              </w:rPr>
              <w:t>Series</w:t>
            </w:r>
            <w:r>
              <w:rPr>
                <w:spacing w:val="-2"/>
                <w:sz w:val="18"/>
              </w:rPr>
              <w:t> </w:t>
            </w:r>
            <w:r>
              <w:rPr>
                <w:sz w:val="18"/>
              </w:rPr>
              <w:t>A</w:t>
            </w:r>
            <w:r>
              <w:rPr>
                <w:spacing w:val="-1"/>
                <w:sz w:val="18"/>
              </w:rPr>
              <w:t> </w:t>
            </w:r>
            <w:r>
              <w:rPr>
                <w:spacing w:val="-5"/>
                <w:sz w:val="18"/>
                <w:vertAlign w:val="superscript"/>
              </w:rPr>
              <w:t>(1)</w:t>
            </w:r>
          </w:p>
        </w:tc>
        <w:tc>
          <w:tcPr>
            <w:tcW w:w="2341" w:type="dxa"/>
            <w:shd w:val="clear" w:color="auto" w:fill="CCEDFF"/>
          </w:tcPr>
          <w:p>
            <w:pPr>
              <w:pStyle w:val="TableParagraph"/>
              <w:spacing w:before="18"/>
              <w:ind w:right="68"/>
              <w:jc w:val="right"/>
              <w:rPr>
                <w:sz w:val="18"/>
              </w:rPr>
            </w:pPr>
            <w:r>
              <w:rPr>
                <w:spacing w:val="-5"/>
                <w:sz w:val="18"/>
              </w:rPr>
              <w:t>N/A</w:t>
            </w:r>
          </w:p>
        </w:tc>
        <w:tc>
          <w:tcPr>
            <w:tcW w:w="1275" w:type="dxa"/>
            <w:shd w:val="clear" w:color="auto" w:fill="CCEDFF"/>
          </w:tcPr>
          <w:p>
            <w:pPr>
              <w:pStyle w:val="TableParagraph"/>
              <w:spacing w:before="18"/>
              <w:ind w:right="68"/>
              <w:jc w:val="right"/>
              <w:rPr>
                <w:sz w:val="18"/>
              </w:rPr>
            </w:pPr>
            <w:r>
              <w:rPr>
                <w:spacing w:val="-5"/>
                <w:sz w:val="18"/>
              </w:rPr>
              <w:t>N/A</w:t>
            </w:r>
          </w:p>
        </w:tc>
        <w:tc>
          <w:tcPr>
            <w:tcW w:w="1245" w:type="dxa"/>
            <w:shd w:val="clear" w:color="auto" w:fill="CCEDFF"/>
          </w:tcPr>
          <w:p>
            <w:pPr>
              <w:pStyle w:val="TableParagraph"/>
              <w:spacing w:before="18"/>
              <w:ind w:right="98"/>
              <w:jc w:val="right"/>
              <w:rPr>
                <w:sz w:val="18"/>
              </w:rPr>
            </w:pPr>
            <w:r>
              <w:rPr>
                <w:spacing w:val="-5"/>
                <w:sz w:val="18"/>
              </w:rPr>
              <w:t>25</w:t>
            </w:r>
          </w:p>
        </w:tc>
        <w:tc>
          <w:tcPr>
            <w:tcW w:w="1249" w:type="dxa"/>
            <w:shd w:val="clear" w:color="auto" w:fill="CCEDFF"/>
          </w:tcPr>
          <w:p>
            <w:pPr>
              <w:pStyle w:val="TableParagraph"/>
              <w:spacing w:before="18"/>
              <w:ind w:right="72"/>
              <w:jc w:val="right"/>
              <w:rPr>
                <w:sz w:val="18"/>
              </w:rPr>
            </w:pPr>
            <w:r>
              <w:rPr>
                <w:spacing w:val="-2"/>
                <w:sz w:val="18"/>
              </w:rPr>
              <w:t>63.30</w:t>
            </w:r>
          </w:p>
        </w:tc>
      </w:tr>
      <w:tr>
        <w:trPr>
          <w:trHeight w:val="255" w:hRule="atLeast"/>
        </w:trPr>
        <w:tc>
          <w:tcPr>
            <w:tcW w:w="4150" w:type="dxa"/>
          </w:tcPr>
          <w:p>
            <w:pPr>
              <w:pStyle w:val="TableParagraph"/>
              <w:spacing w:before="18"/>
              <w:ind w:left="172"/>
              <w:rPr>
                <w:sz w:val="18"/>
              </w:rPr>
            </w:pPr>
            <w:r>
              <w:rPr>
                <w:sz w:val="18"/>
              </w:rPr>
              <w:t>Series</w:t>
            </w:r>
            <w:r>
              <w:rPr>
                <w:spacing w:val="-2"/>
                <w:sz w:val="18"/>
              </w:rPr>
              <w:t> </w:t>
            </w:r>
            <w:r>
              <w:rPr>
                <w:sz w:val="18"/>
              </w:rPr>
              <w:t>D</w:t>
            </w:r>
            <w:r>
              <w:rPr>
                <w:spacing w:val="-1"/>
                <w:sz w:val="18"/>
              </w:rPr>
              <w:t> </w:t>
            </w:r>
            <w:r>
              <w:rPr>
                <w:spacing w:val="-5"/>
                <w:sz w:val="18"/>
                <w:vertAlign w:val="superscript"/>
              </w:rPr>
              <w:t>(2)</w:t>
            </w:r>
          </w:p>
        </w:tc>
        <w:tc>
          <w:tcPr>
            <w:tcW w:w="2341" w:type="dxa"/>
          </w:tcPr>
          <w:p>
            <w:pPr>
              <w:pStyle w:val="TableParagraph"/>
              <w:spacing w:before="18"/>
              <w:ind w:right="128"/>
              <w:jc w:val="right"/>
              <w:rPr>
                <w:sz w:val="18"/>
              </w:rPr>
            </w:pPr>
            <w:r>
              <w:rPr>
                <w:spacing w:val="-5"/>
                <w:sz w:val="18"/>
              </w:rPr>
              <w:t>33</w:t>
            </w:r>
          </w:p>
        </w:tc>
        <w:tc>
          <w:tcPr>
            <w:tcW w:w="1275" w:type="dxa"/>
          </w:tcPr>
          <w:p>
            <w:pPr>
              <w:pStyle w:val="TableParagraph"/>
              <w:spacing w:before="18"/>
              <w:ind w:right="128"/>
              <w:jc w:val="right"/>
              <w:rPr>
                <w:sz w:val="18"/>
              </w:rPr>
            </w:pPr>
            <w:r>
              <w:rPr>
                <w:spacing w:val="-2"/>
                <w:sz w:val="18"/>
              </w:rPr>
              <w:t>44.64</w:t>
            </w:r>
          </w:p>
        </w:tc>
        <w:tc>
          <w:tcPr>
            <w:tcW w:w="1245" w:type="dxa"/>
          </w:tcPr>
          <w:p>
            <w:pPr>
              <w:pStyle w:val="TableParagraph"/>
              <w:spacing w:before="18"/>
              <w:ind w:right="98"/>
              <w:jc w:val="right"/>
              <w:rPr>
                <w:sz w:val="18"/>
              </w:rPr>
            </w:pPr>
            <w:r>
              <w:rPr>
                <w:spacing w:val="-5"/>
                <w:sz w:val="18"/>
              </w:rPr>
              <w:t>33</w:t>
            </w:r>
          </w:p>
        </w:tc>
        <w:tc>
          <w:tcPr>
            <w:tcW w:w="1249" w:type="dxa"/>
          </w:tcPr>
          <w:p>
            <w:pPr>
              <w:pStyle w:val="TableParagraph"/>
              <w:spacing w:before="18"/>
              <w:ind w:right="72"/>
              <w:jc w:val="right"/>
              <w:rPr>
                <w:sz w:val="18"/>
              </w:rPr>
            </w:pPr>
            <w:r>
              <w:rPr>
                <w:spacing w:val="-2"/>
                <w:sz w:val="18"/>
              </w:rPr>
              <w:t>44.64</w:t>
            </w:r>
          </w:p>
        </w:tc>
      </w:tr>
      <w:tr>
        <w:trPr>
          <w:trHeight w:val="255" w:hRule="atLeast"/>
        </w:trPr>
        <w:tc>
          <w:tcPr>
            <w:tcW w:w="4150" w:type="dxa"/>
            <w:shd w:val="clear" w:color="auto" w:fill="CCEDFF"/>
          </w:tcPr>
          <w:p>
            <w:pPr>
              <w:pStyle w:val="TableParagraph"/>
              <w:spacing w:before="18"/>
              <w:ind w:left="172"/>
              <w:rPr>
                <w:sz w:val="18"/>
              </w:rPr>
            </w:pPr>
            <w:r>
              <w:rPr>
                <w:sz w:val="18"/>
              </w:rPr>
              <w:t>Series</w:t>
            </w:r>
            <w:r>
              <w:rPr>
                <w:spacing w:val="-2"/>
                <w:sz w:val="18"/>
              </w:rPr>
              <w:t> </w:t>
            </w:r>
            <w:r>
              <w:rPr>
                <w:sz w:val="18"/>
              </w:rPr>
              <w:t>E</w:t>
            </w:r>
            <w:r>
              <w:rPr>
                <w:spacing w:val="-1"/>
                <w:sz w:val="18"/>
              </w:rPr>
              <w:t> </w:t>
            </w:r>
            <w:r>
              <w:rPr>
                <w:spacing w:val="-5"/>
                <w:sz w:val="18"/>
                <w:vertAlign w:val="superscript"/>
              </w:rPr>
              <w:t>(3)</w:t>
            </w:r>
          </w:p>
        </w:tc>
        <w:tc>
          <w:tcPr>
            <w:tcW w:w="2341" w:type="dxa"/>
            <w:shd w:val="clear" w:color="auto" w:fill="CCEDFF"/>
          </w:tcPr>
          <w:p>
            <w:pPr>
              <w:pStyle w:val="TableParagraph"/>
              <w:spacing w:before="18"/>
              <w:ind w:right="68"/>
              <w:jc w:val="right"/>
              <w:rPr>
                <w:sz w:val="18"/>
              </w:rPr>
            </w:pPr>
            <w:r>
              <w:rPr>
                <w:spacing w:val="-5"/>
                <w:sz w:val="18"/>
              </w:rPr>
              <w:t>N/A</w:t>
            </w:r>
          </w:p>
        </w:tc>
        <w:tc>
          <w:tcPr>
            <w:tcW w:w="1275" w:type="dxa"/>
            <w:shd w:val="clear" w:color="auto" w:fill="CCEDFF"/>
          </w:tcPr>
          <w:p>
            <w:pPr>
              <w:pStyle w:val="TableParagraph"/>
              <w:spacing w:before="18"/>
              <w:ind w:right="68"/>
              <w:jc w:val="right"/>
              <w:rPr>
                <w:sz w:val="18"/>
              </w:rPr>
            </w:pPr>
            <w:r>
              <w:rPr>
                <w:spacing w:val="-5"/>
                <w:sz w:val="18"/>
              </w:rPr>
              <w:t>N/A</w:t>
            </w:r>
          </w:p>
        </w:tc>
        <w:tc>
          <w:tcPr>
            <w:tcW w:w="1245" w:type="dxa"/>
            <w:shd w:val="clear" w:color="auto" w:fill="CCEDFF"/>
          </w:tcPr>
          <w:p>
            <w:pPr>
              <w:pStyle w:val="TableParagraph"/>
              <w:spacing w:before="18"/>
              <w:ind w:right="98"/>
              <w:jc w:val="right"/>
              <w:rPr>
                <w:sz w:val="18"/>
              </w:rPr>
            </w:pPr>
            <w:r>
              <w:rPr>
                <w:spacing w:val="-5"/>
                <w:sz w:val="18"/>
              </w:rPr>
              <w:t>27</w:t>
            </w:r>
          </w:p>
        </w:tc>
        <w:tc>
          <w:tcPr>
            <w:tcW w:w="1249" w:type="dxa"/>
            <w:shd w:val="clear" w:color="auto" w:fill="CCEDFF"/>
          </w:tcPr>
          <w:p>
            <w:pPr>
              <w:pStyle w:val="TableParagraph"/>
              <w:spacing w:before="18"/>
              <w:ind w:right="72"/>
              <w:jc w:val="right"/>
              <w:rPr>
                <w:sz w:val="18"/>
              </w:rPr>
            </w:pPr>
            <w:r>
              <w:rPr>
                <w:spacing w:val="-2"/>
                <w:sz w:val="18"/>
              </w:rPr>
              <w:t>4,544.37</w:t>
            </w:r>
          </w:p>
        </w:tc>
      </w:tr>
      <w:tr>
        <w:trPr>
          <w:trHeight w:val="255" w:hRule="atLeast"/>
        </w:trPr>
        <w:tc>
          <w:tcPr>
            <w:tcW w:w="4150" w:type="dxa"/>
          </w:tcPr>
          <w:p>
            <w:pPr>
              <w:pStyle w:val="TableParagraph"/>
              <w:spacing w:before="18"/>
              <w:ind w:left="172"/>
              <w:rPr>
                <w:sz w:val="18"/>
              </w:rPr>
            </w:pPr>
            <w:r>
              <w:rPr>
                <w:sz w:val="18"/>
              </w:rPr>
              <w:t>Series</w:t>
            </w:r>
            <w:r>
              <w:rPr>
                <w:spacing w:val="-2"/>
                <w:sz w:val="18"/>
              </w:rPr>
              <w:t> </w:t>
            </w:r>
            <w:r>
              <w:rPr>
                <w:sz w:val="18"/>
              </w:rPr>
              <w:t>F</w:t>
            </w:r>
            <w:r>
              <w:rPr>
                <w:spacing w:val="-1"/>
                <w:sz w:val="18"/>
              </w:rPr>
              <w:t> </w:t>
            </w:r>
            <w:r>
              <w:rPr>
                <w:spacing w:val="-5"/>
                <w:sz w:val="18"/>
                <w:vertAlign w:val="superscript"/>
              </w:rPr>
              <w:t>(4)</w:t>
            </w:r>
          </w:p>
        </w:tc>
        <w:tc>
          <w:tcPr>
            <w:tcW w:w="2341" w:type="dxa"/>
          </w:tcPr>
          <w:p>
            <w:pPr>
              <w:pStyle w:val="TableParagraph"/>
              <w:spacing w:before="18"/>
              <w:ind w:right="128"/>
              <w:jc w:val="right"/>
              <w:rPr>
                <w:sz w:val="18"/>
              </w:rPr>
            </w:pPr>
            <w:r>
              <w:rPr>
                <w:spacing w:val="-5"/>
                <w:sz w:val="18"/>
              </w:rPr>
              <w:t>12</w:t>
            </w:r>
          </w:p>
        </w:tc>
        <w:tc>
          <w:tcPr>
            <w:tcW w:w="1275" w:type="dxa"/>
          </w:tcPr>
          <w:p>
            <w:pPr>
              <w:pStyle w:val="TableParagraph"/>
              <w:spacing w:before="18"/>
              <w:ind w:right="128"/>
              <w:jc w:val="right"/>
              <w:rPr>
                <w:sz w:val="18"/>
              </w:rPr>
            </w:pPr>
            <w:r>
              <w:rPr>
                <w:spacing w:val="-2"/>
                <w:sz w:val="18"/>
              </w:rPr>
              <w:t>2,500.00</w:t>
            </w:r>
          </w:p>
        </w:tc>
        <w:tc>
          <w:tcPr>
            <w:tcW w:w="1245" w:type="dxa"/>
          </w:tcPr>
          <w:p>
            <w:pPr>
              <w:pStyle w:val="TableParagraph"/>
              <w:spacing w:before="18"/>
              <w:ind w:right="98"/>
              <w:jc w:val="right"/>
              <w:rPr>
                <w:sz w:val="18"/>
              </w:rPr>
            </w:pPr>
            <w:r>
              <w:rPr>
                <w:spacing w:val="-5"/>
                <w:sz w:val="18"/>
              </w:rPr>
              <w:t>13</w:t>
            </w:r>
          </w:p>
        </w:tc>
        <w:tc>
          <w:tcPr>
            <w:tcW w:w="1249" w:type="dxa"/>
          </w:tcPr>
          <w:p>
            <w:pPr>
              <w:pStyle w:val="TableParagraph"/>
              <w:spacing w:before="18"/>
              <w:ind w:right="72"/>
              <w:jc w:val="right"/>
              <w:rPr>
                <w:sz w:val="18"/>
              </w:rPr>
            </w:pPr>
            <w:r>
              <w:rPr>
                <w:spacing w:val="-2"/>
                <w:sz w:val="18"/>
              </w:rPr>
              <w:t>2,500.00</w:t>
            </w:r>
          </w:p>
        </w:tc>
      </w:tr>
      <w:tr>
        <w:trPr>
          <w:trHeight w:val="255" w:hRule="atLeast"/>
        </w:trPr>
        <w:tc>
          <w:tcPr>
            <w:tcW w:w="4150" w:type="dxa"/>
            <w:shd w:val="clear" w:color="auto" w:fill="CCEDFF"/>
          </w:tcPr>
          <w:p>
            <w:pPr>
              <w:pStyle w:val="TableParagraph"/>
              <w:spacing w:before="18"/>
              <w:ind w:left="172"/>
              <w:rPr>
                <w:sz w:val="18"/>
              </w:rPr>
            </w:pPr>
            <w:r>
              <w:rPr>
                <w:sz w:val="18"/>
              </w:rPr>
              <w:t>Series</w:t>
            </w:r>
            <w:r>
              <w:rPr>
                <w:spacing w:val="-2"/>
                <w:sz w:val="18"/>
              </w:rPr>
              <w:t> </w:t>
            </w:r>
            <w:r>
              <w:rPr>
                <w:sz w:val="18"/>
              </w:rPr>
              <w:t>G</w:t>
            </w:r>
            <w:r>
              <w:rPr>
                <w:spacing w:val="-1"/>
                <w:sz w:val="18"/>
              </w:rPr>
              <w:t> </w:t>
            </w:r>
            <w:r>
              <w:rPr>
                <w:spacing w:val="-5"/>
                <w:sz w:val="18"/>
                <w:vertAlign w:val="superscript"/>
              </w:rPr>
              <w:t>(2)</w:t>
            </w:r>
          </w:p>
        </w:tc>
        <w:tc>
          <w:tcPr>
            <w:tcW w:w="2341" w:type="dxa"/>
            <w:shd w:val="clear" w:color="auto" w:fill="CCEDFF"/>
          </w:tcPr>
          <w:p>
            <w:pPr>
              <w:pStyle w:val="TableParagraph"/>
              <w:spacing w:before="18"/>
              <w:ind w:right="128"/>
              <w:jc w:val="right"/>
              <w:rPr>
                <w:sz w:val="18"/>
              </w:rPr>
            </w:pPr>
            <w:r>
              <w:rPr>
                <w:spacing w:val="-5"/>
                <w:sz w:val="18"/>
              </w:rPr>
              <w:t>100</w:t>
            </w:r>
          </w:p>
        </w:tc>
        <w:tc>
          <w:tcPr>
            <w:tcW w:w="1275" w:type="dxa"/>
            <w:shd w:val="clear" w:color="auto" w:fill="CCEDFF"/>
          </w:tcPr>
          <w:p>
            <w:pPr>
              <w:pStyle w:val="TableParagraph"/>
              <w:spacing w:before="18"/>
              <w:ind w:right="128"/>
              <w:jc w:val="right"/>
              <w:rPr>
                <w:sz w:val="18"/>
              </w:rPr>
            </w:pPr>
            <w:r>
              <w:rPr>
                <w:spacing w:val="-2"/>
                <w:sz w:val="18"/>
              </w:rPr>
              <w:t>4,031.25</w:t>
            </w:r>
          </w:p>
        </w:tc>
        <w:tc>
          <w:tcPr>
            <w:tcW w:w="1245" w:type="dxa"/>
            <w:shd w:val="clear" w:color="auto" w:fill="CCEDFF"/>
          </w:tcPr>
          <w:p>
            <w:pPr>
              <w:pStyle w:val="TableParagraph"/>
              <w:spacing w:before="18"/>
              <w:ind w:right="98"/>
              <w:jc w:val="right"/>
              <w:rPr>
                <w:sz w:val="18"/>
              </w:rPr>
            </w:pPr>
            <w:r>
              <w:rPr>
                <w:spacing w:val="-5"/>
                <w:sz w:val="18"/>
              </w:rPr>
              <w:t>101</w:t>
            </w:r>
          </w:p>
        </w:tc>
        <w:tc>
          <w:tcPr>
            <w:tcW w:w="1249" w:type="dxa"/>
            <w:shd w:val="clear" w:color="auto" w:fill="CCEDFF"/>
          </w:tcPr>
          <w:p>
            <w:pPr>
              <w:pStyle w:val="TableParagraph"/>
              <w:spacing w:before="18"/>
              <w:ind w:right="72"/>
              <w:jc w:val="right"/>
              <w:rPr>
                <w:sz w:val="18"/>
              </w:rPr>
            </w:pPr>
            <w:r>
              <w:rPr>
                <w:spacing w:val="-2"/>
                <w:sz w:val="18"/>
              </w:rPr>
              <w:t>4,031.25</w:t>
            </w:r>
          </w:p>
        </w:tc>
      </w:tr>
      <w:tr>
        <w:trPr>
          <w:trHeight w:val="255" w:hRule="atLeast"/>
        </w:trPr>
        <w:tc>
          <w:tcPr>
            <w:tcW w:w="4150" w:type="dxa"/>
          </w:tcPr>
          <w:p>
            <w:pPr>
              <w:pStyle w:val="TableParagraph"/>
              <w:spacing w:before="18"/>
              <w:ind w:left="172"/>
              <w:rPr>
                <w:sz w:val="18"/>
              </w:rPr>
            </w:pPr>
            <w:r>
              <w:rPr>
                <w:sz w:val="18"/>
              </w:rPr>
              <w:t>Series</w:t>
            </w:r>
            <w:r>
              <w:rPr>
                <w:spacing w:val="-2"/>
                <w:sz w:val="18"/>
              </w:rPr>
              <w:t> </w:t>
            </w:r>
            <w:r>
              <w:rPr>
                <w:sz w:val="18"/>
              </w:rPr>
              <w:t>H</w:t>
            </w:r>
            <w:r>
              <w:rPr>
                <w:spacing w:val="-1"/>
                <w:sz w:val="18"/>
              </w:rPr>
              <w:t> </w:t>
            </w:r>
            <w:r>
              <w:rPr>
                <w:spacing w:val="-5"/>
                <w:sz w:val="18"/>
                <w:vertAlign w:val="superscript"/>
              </w:rPr>
              <w:t>(2)</w:t>
            </w:r>
          </w:p>
        </w:tc>
        <w:tc>
          <w:tcPr>
            <w:tcW w:w="2341" w:type="dxa"/>
          </w:tcPr>
          <w:p>
            <w:pPr>
              <w:pStyle w:val="TableParagraph"/>
              <w:spacing w:before="18"/>
              <w:ind w:right="128"/>
              <w:jc w:val="right"/>
              <w:rPr>
                <w:sz w:val="18"/>
              </w:rPr>
            </w:pPr>
            <w:r>
              <w:rPr>
                <w:spacing w:val="-5"/>
                <w:sz w:val="18"/>
              </w:rPr>
              <w:t>68</w:t>
            </w:r>
          </w:p>
        </w:tc>
        <w:tc>
          <w:tcPr>
            <w:tcW w:w="1275" w:type="dxa"/>
          </w:tcPr>
          <w:p>
            <w:pPr>
              <w:pStyle w:val="TableParagraph"/>
              <w:spacing w:before="18"/>
              <w:ind w:right="128"/>
              <w:jc w:val="right"/>
              <w:rPr>
                <w:sz w:val="18"/>
              </w:rPr>
            </w:pPr>
            <w:r>
              <w:rPr>
                <w:spacing w:val="-2"/>
                <w:sz w:val="18"/>
              </w:rPr>
              <w:t>3,000.00</w:t>
            </w:r>
          </w:p>
        </w:tc>
        <w:tc>
          <w:tcPr>
            <w:tcW w:w="1245" w:type="dxa"/>
          </w:tcPr>
          <w:p>
            <w:pPr>
              <w:pStyle w:val="TableParagraph"/>
              <w:spacing w:before="18"/>
              <w:ind w:right="98"/>
              <w:jc w:val="right"/>
              <w:rPr>
                <w:sz w:val="18"/>
              </w:rPr>
            </w:pPr>
            <w:r>
              <w:rPr>
                <w:spacing w:val="-5"/>
                <w:sz w:val="18"/>
              </w:rPr>
              <w:t>75</w:t>
            </w:r>
          </w:p>
        </w:tc>
        <w:tc>
          <w:tcPr>
            <w:tcW w:w="1249" w:type="dxa"/>
          </w:tcPr>
          <w:p>
            <w:pPr>
              <w:pStyle w:val="TableParagraph"/>
              <w:spacing w:before="18"/>
              <w:ind w:right="72"/>
              <w:jc w:val="right"/>
              <w:rPr>
                <w:sz w:val="18"/>
              </w:rPr>
            </w:pPr>
            <w:r>
              <w:rPr>
                <w:spacing w:val="-2"/>
                <w:sz w:val="18"/>
              </w:rPr>
              <w:t>3,000.00</w:t>
            </w:r>
          </w:p>
        </w:tc>
      </w:tr>
      <w:tr>
        <w:trPr>
          <w:trHeight w:val="255" w:hRule="atLeast"/>
        </w:trPr>
        <w:tc>
          <w:tcPr>
            <w:tcW w:w="4150" w:type="dxa"/>
            <w:shd w:val="clear" w:color="auto" w:fill="CCEDFF"/>
          </w:tcPr>
          <w:p>
            <w:pPr>
              <w:pStyle w:val="TableParagraph"/>
              <w:spacing w:before="18"/>
              <w:ind w:left="172"/>
              <w:rPr>
                <w:sz w:val="18"/>
              </w:rPr>
            </w:pPr>
            <w:r>
              <w:rPr>
                <w:sz w:val="18"/>
              </w:rPr>
              <w:t>Series</w:t>
            </w:r>
            <w:r>
              <w:rPr>
                <w:spacing w:val="-2"/>
                <w:sz w:val="18"/>
              </w:rPr>
              <w:t> </w:t>
            </w:r>
            <w:r>
              <w:rPr>
                <w:sz w:val="18"/>
              </w:rPr>
              <w:t>I</w:t>
            </w:r>
            <w:r>
              <w:rPr>
                <w:spacing w:val="-1"/>
                <w:sz w:val="18"/>
              </w:rPr>
              <w:t> </w:t>
            </w:r>
            <w:r>
              <w:rPr>
                <w:spacing w:val="-5"/>
                <w:sz w:val="18"/>
                <w:vertAlign w:val="superscript"/>
              </w:rPr>
              <w:t>(2)</w:t>
            </w:r>
          </w:p>
        </w:tc>
        <w:tc>
          <w:tcPr>
            <w:tcW w:w="2341" w:type="dxa"/>
            <w:shd w:val="clear" w:color="auto" w:fill="CCEDFF"/>
          </w:tcPr>
          <w:p>
            <w:pPr>
              <w:pStyle w:val="TableParagraph"/>
              <w:spacing w:before="18"/>
              <w:ind w:right="128"/>
              <w:jc w:val="right"/>
              <w:rPr>
                <w:sz w:val="18"/>
              </w:rPr>
            </w:pPr>
            <w:r>
              <w:rPr>
                <w:spacing w:val="-5"/>
                <w:sz w:val="18"/>
              </w:rPr>
              <w:t>63</w:t>
            </w:r>
          </w:p>
        </w:tc>
        <w:tc>
          <w:tcPr>
            <w:tcW w:w="1275" w:type="dxa"/>
            <w:shd w:val="clear" w:color="auto" w:fill="CCEDFF"/>
          </w:tcPr>
          <w:p>
            <w:pPr>
              <w:pStyle w:val="TableParagraph"/>
              <w:spacing w:before="18"/>
              <w:ind w:right="128"/>
              <w:jc w:val="right"/>
              <w:rPr>
                <w:sz w:val="18"/>
              </w:rPr>
            </w:pPr>
            <w:r>
              <w:rPr>
                <w:spacing w:val="-2"/>
                <w:sz w:val="18"/>
              </w:rPr>
              <w:t>3,000.00</w:t>
            </w:r>
          </w:p>
        </w:tc>
        <w:tc>
          <w:tcPr>
            <w:tcW w:w="1245" w:type="dxa"/>
            <w:shd w:val="clear" w:color="auto" w:fill="CCEDFF"/>
          </w:tcPr>
          <w:p>
            <w:pPr>
              <w:pStyle w:val="TableParagraph"/>
              <w:spacing w:before="18"/>
              <w:ind w:right="98"/>
              <w:jc w:val="right"/>
              <w:rPr>
                <w:sz w:val="18"/>
              </w:rPr>
            </w:pPr>
            <w:r>
              <w:rPr>
                <w:spacing w:val="-5"/>
                <w:sz w:val="18"/>
              </w:rPr>
              <w:t>68</w:t>
            </w:r>
          </w:p>
        </w:tc>
        <w:tc>
          <w:tcPr>
            <w:tcW w:w="1249" w:type="dxa"/>
            <w:shd w:val="clear" w:color="auto" w:fill="CCEDFF"/>
          </w:tcPr>
          <w:p>
            <w:pPr>
              <w:pStyle w:val="TableParagraph"/>
              <w:spacing w:before="18"/>
              <w:ind w:right="72"/>
              <w:jc w:val="right"/>
              <w:rPr>
                <w:sz w:val="18"/>
              </w:rPr>
            </w:pPr>
            <w:r>
              <w:rPr>
                <w:spacing w:val="-2"/>
                <w:sz w:val="18"/>
              </w:rPr>
              <w:t>3,000.00</w:t>
            </w:r>
          </w:p>
        </w:tc>
      </w:tr>
      <w:tr>
        <w:trPr>
          <w:trHeight w:val="255" w:hRule="atLeast"/>
        </w:trPr>
        <w:tc>
          <w:tcPr>
            <w:tcW w:w="4150" w:type="dxa"/>
          </w:tcPr>
          <w:p>
            <w:pPr>
              <w:pStyle w:val="TableParagraph"/>
              <w:spacing w:before="18"/>
              <w:ind w:left="172"/>
              <w:rPr>
                <w:sz w:val="18"/>
              </w:rPr>
            </w:pPr>
            <w:r>
              <w:rPr>
                <w:sz w:val="18"/>
              </w:rPr>
              <w:t>Series</w:t>
            </w:r>
            <w:r>
              <w:rPr>
                <w:spacing w:val="-2"/>
                <w:sz w:val="18"/>
              </w:rPr>
              <w:t> </w:t>
            </w:r>
            <w:r>
              <w:rPr>
                <w:sz w:val="18"/>
              </w:rPr>
              <w:t>J</w:t>
            </w:r>
            <w:r>
              <w:rPr>
                <w:spacing w:val="-1"/>
                <w:sz w:val="18"/>
              </w:rPr>
              <w:t> </w:t>
            </w:r>
            <w:r>
              <w:rPr>
                <w:spacing w:val="-5"/>
                <w:sz w:val="18"/>
                <w:vertAlign w:val="superscript"/>
              </w:rPr>
              <w:t>(2)</w:t>
            </w:r>
          </w:p>
        </w:tc>
        <w:tc>
          <w:tcPr>
            <w:tcW w:w="2341" w:type="dxa"/>
          </w:tcPr>
          <w:p>
            <w:pPr>
              <w:pStyle w:val="TableParagraph"/>
              <w:spacing w:before="18"/>
              <w:ind w:right="128"/>
              <w:jc w:val="right"/>
              <w:rPr>
                <w:sz w:val="18"/>
              </w:rPr>
            </w:pPr>
            <w:r>
              <w:rPr>
                <w:spacing w:val="-5"/>
                <w:sz w:val="18"/>
              </w:rPr>
              <w:t>20</w:t>
            </w:r>
          </w:p>
        </w:tc>
        <w:tc>
          <w:tcPr>
            <w:tcW w:w="1275" w:type="dxa"/>
          </w:tcPr>
          <w:p>
            <w:pPr>
              <w:pStyle w:val="TableParagraph"/>
              <w:spacing w:before="18"/>
              <w:ind w:right="128"/>
              <w:jc w:val="right"/>
              <w:rPr>
                <w:sz w:val="18"/>
              </w:rPr>
            </w:pPr>
            <w:r>
              <w:rPr>
                <w:spacing w:val="-2"/>
                <w:sz w:val="18"/>
              </w:rPr>
              <w:t>33.39</w:t>
            </w:r>
          </w:p>
        </w:tc>
        <w:tc>
          <w:tcPr>
            <w:tcW w:w="1245" w:type="dxa"/>
          </w:tcPr>
          <w:p>
            <w:pPr>
              <w:pStyle w:val="TableParagraph"/>
              <w:spacing w:before="18"/>
              <w:ind w:right="98"/>
              <w:jc w:val="right"/>
              <w:rPr>
                <w:sz w:val="18"/>
              </w:rPr>
            </w:pPr>
            <w:r>
              <w:rPr>
                <w:spacing w:val="-5"/>
                <w:sz w:val="18"/>
              </w:rPr>
              <w:t>20</w:t>
            </w:r>
          </w:p>
        </w:tc>
        <w:tc>
          <w:tcPr>
            <w:tcW w:w="1249" w:type="dxa"/>
          </w:tcPr>
          <w:p>
            <w:pPr>
              <w:pStyle w:val="TableParagraph"/>
              <w:spacing w:before="18"/>
              <w:ind w:right="72"/>
              <w:jc w:val="right"/>
              <w:rPr>
                <w:sz w:val="18"/>
              </w:rPr>
            </w:pPr>
            <w:r>
              <w:rPr>
                <w:spacing w:val="-2"/>
                <w:sz w:val="18"/>
              </w:rPr>
              <w:t>33.39</w:t>
            </w:r>
          </w:p>
        </w:tc>
      </w:tr>
      <w:tr>
        <w:trPr>
          <w:trHeight w:val="250" w:hRule="atLeast"/>
        </w:trPr>
        <w:tc>
          <w:tcPr>
            <w:tcW w:w="4150" w:type="dxa"/>
            <w:tcBorders>
              <w:bottom w:val="single" w:sz="4" w:space="0" w:color="000000"/>
            </w:tcBorders>
            <w:shd w:val="clear" w:color="auto" w:fill="CCEDFF"/>
          </w:tcPr>
          <w:p>
            <w:pPr>
              <w:pStyle w:val="TableParagraph"/>
              <w:spacing w:before="18"/>
              <w:ind w:left="172"/>
              <w:rPr>
                <w:sz w:val="18"/>
              </w:rPr>
            </w:pPr>
            <w:r>
              <w:rPr>
                <w:sz w:val="18"/>
              </w:rPr>
              <w:t>Series</w:t>
            </w:r>
            <w:r>
              <w:rPr>
                <w:spacing w:val="-2"/>
                <w:sz w:val="18"/>
              </w:rPr>
              <w:t> </w:t>
            </w:r>
            <w:r>
              <w:rPr>
                <w:sz w:val="18"/>
              </w:rPr>
              <w:t>K</w:t>
            </w:r>
            <w:r>
              <w:rPr>
                <w:spacing w:val="-1"/>
                <w:sz w:val="18"/>
              </w:rPr>
              <w:t> </w:t>
            </w:r>
            <w:r>
              <w:rPr>
                <w:spacing w:val="-5"/>
                <w:sz w:val="18"/>
                <w:vertAlign w:val="superscript"/>
              </w:rPr>
              <w:t>(5)</w:t>
            </w:r>
          </w:p>
        </w:tc>
        <w:tc>
          <w:tcPr>
            <w:tcW w:w="2341" w:type="dxa"/>
            <w:tcBorders>
              <w:bottom w:val="single" w:sz="4" w:space="0" w:color="000000"/>
            </w:tcBorders>
            <w:shd w:val="clear" w:color="auto" w:fill="CCEDFF"/>
          </w:tcPr>
          <w:p>
            <w:pPr>
              <w:pStyle w:val="TableParagraph"/>
              <w:spacing w:before="18"/>
              <w:ind w:right="128"/>
              <w:jc w:val="right"/>
              <w:rPr>
                <w:sz w:val="18"/>
              </w:rPr>
            </w:pPr>
            <w:r>
              <w:rPr>
                <w:spacing w:val="-5"/>
                <w:sz w:val="18"/>
              </w:rPr>
              <w:t>28</w:t>
            </w:r>
          </w:p>
        </w:tc>
        <w:tc>
          <w:tcPr>
            <w:tcW w:w="1275" w:type="dxa"/>
            <w:tcBorders>
              <w:bottom w:val="single" w:sz="4" w:space="0" w:color="000000"/>
            </w:tcBorders>
            <w:shd w:val="clear" w:color="auto" w:fill="CCEDFF"/>
          </w:tcPr>
          <w:p>
            <w:pPr>
              <w:pStyle w:val="TableParagraph"/>
              <w:spacing w:before="18"/>
              <w:ind w:right="128"/>
              <w:jc w:val="right"/>
              <w:rPr>
                <w:sz w:val="18"/>
              </w:rPr>
            </w:pPr>
            <w:r>
              <w:rPr>
                <w:spacing w:val="-2"/>
                <w:sz w:val="18"/>
              </w:rPr>
              <w:t>3,750.00</w:t>
            </w:r>
          </w:p>
        </w:tc>
        <w:tc>
          <w:tcPr>
            <w:tcW w:w="1245" w:type="dxa"/>
            <w:tcBorders>
              <w:bottom w:val="single" w:sz="4" w:space="0" w:color="000000"/>
            </w:tcBorders>
            <w:shd w:val="clear" w:color="auto" w:fill="CCEDFF"/>
          </w:tcPr>
          <w:p>
            <w:pPr>
              <w:pStyle w:val="TableParagraph"/>
              <w:spacing w:before="18"/>
              <w:ind w:right="98"/>
              <w:jc w:val="right"/>
              <w:rPr>
                <w:sz w:val="18"/>
              </w:rPr>
            </w:pPr>
            <w:r>
              <w:rPr>
                <w:spacing w:val="-5"/>
                <w:sz w:val="18"/>
              </w:rPr>
              <w:t>18</w:t>
            </w:r>
          </w:p>
        </w:tc>
        <w:tc>
          <w:tcPr>
            <w:tcW w:w="1249" w:type="dxa"/>
            <w:tcBorders>
              <w:bottom w:val="single" w:sz="4" w:space="0" w:color="000000"/>
            </w:tcBorders>
            <w:shd w:val="clear" w:color="auto" w:fill="CCEDFF"/>
          </w:tcPr>
          <w:p>
            <w:pPr>
              <w:pStyle w:val="TableParagraph"/>
              <w:spacing w:before="18"/>
              <w:ind w:right="72"/>
              <w:jc w:val="right"/>
              <w:rPr>
                <w:sz w:val="18"/>
              </w:rPr>
            </w:pPr>
            <w:r>
              <w:rPr>
                <w:spacing w:val="-2"/>
                <w:sz w:val="18"/>
              </w:rPr>
              <w:t>2,458.33</w:t>
            </w:r>
          </w:p>
        </w:tc>
      </w:tr>
    </w:tbl>
    <w:p>
      <w:pPr>
        <w:spacing w:line="249" w:lineRule="auto" w:before="51"/>
        <w:ind w:left="650" w:right="500" w:hanging="180"/>
        <w:jc w:val="left"/>
        <w:rPr>
          <w:sz w:val="16"/>
        </w:rPr>
      </w:pPr>
      <w:r>
        <w:rPr>
          <w:sz w:val="16"/>
          <w:vertAlign w:val="superscript"/>
        </w:rPr>
        <w:t>(1)</w:t>
      </w:r>
      <w:r>
        <w:rPr>
          <w:spacing w:val="-15"/>
          <w:sz w:val="16"/>
          <w:vertAlign w:val="baseline"/>
        </w:rPr>
        <w:t> </w:t>
      </w:r>
      <w:r>
        <w:rPr>
          <w:sz w:val="16"/>
          <w:vertAlign w:val="baseline"/>
        </w:rPr>
        <w:t>Series</w:t>
      </w:r>
      <w:r>
        <w:rPr>
          <w:spacing w:val="-3"/>
          <w:sz w:val="16"/>
          <w:vertAlign w:val="baseline"/>
        </w:rPr>
        <w:t> </w:t>
      </w:r>
      <w:r>
        <w:rPr>
          <w:sz w:val="16"/>
          <w:vertAlign w:val="baseline"/>
        </w:rPr>
        <w:t>A</w:t>
      </w:r>
      <w:r>
        <w:rPr>
          <w:spacing w:val="-3"/>
          <w:sz w:val="16"/>
          <w:vertAlign w:val="baseline"/>
        </w:rPr>
        <w:t> </w:t>
      </w:r>
      <w:r>
        <w:rPr>
          <w:sz w:val="16"/>
          <w:vertAlign w:val="baseline"/>
        </w:rPr>
        <w:t>was</w:t>
      </w:r>
      <w:r>
        <w:rPr>
          <w:spacing w:val="-3"/>
          <w:sz w:val="16"/>
          <w:vertAlign w:val="baseline"/>
        </w:rPr>
        <w:t> </w:t>
      </w:r>
      <w:r>
        <w:rPr>
          <w:sz w:val="16"/>
          <w:vertAlign w:val="baseline"/>
        </w:rPr>
        <w:t>redeemed</w:t>
      </w:r>
      <w:r>
        <w:rPr>
          <w:spacing w:val="-2"/>
          <w:sz w:val="16"/>
          <w:vertAlign w:val="baseline"/>
        </w:rPr>
        <w:t> </w:t>
      </w:r>
      <w:r>
        <w:rPr>
          <w:sz w:val="16"/>
          <w:vertAlign w:val="baseline"/>
        </w:rPr>
        <w:t>on</w:t>
      </w:r>
      <w:r>
        <w:rPr>
          <w:spacing w:val="-2"/>
          <w:sz w:val="16"/>
          <w:vertAlign w:val="baseline"/>
        </w:rPr>
        <w:t> </w:t>
      </w:r>
      <w:r>
        <w:rPr>
          <w:sz w:val="16"/>
          <w:vertAlign w:val="baseline"/>
        </w:rPr>
        <w:t>November</w:t>
      </w:r>
      <w:r>
        <w:rPr>
          <w:spacing w:val="-2"/>
          <w:sz w:val="16"/>
          <w:vertAlign w:val="baseline"/>
        </w:rPr>
        <w:t> </w:t>
      </w:r>
      <w:r>
        <w:rPr>
          <w:sz w:val="16"/>
          <w:vertAlign w:val="baseline"/>
        </w:rPr>
        <w:t>1,</w:t>
      </w:r>
      <w:r>
        <w:rPr>
          <w:spacing w:val="-2"/>
          <w:sz w:val="16"/>
          <w:vertAlign w:val="baseline"/>
        </w:rPr>
        <w:t> </w:t>
      </w:r>
      <w:r>
        <w:rPr>
          <w:sz w:val="16"/>
          <w:vertAlign w:val="baseline"/>
        </w:rPr>
        <w:t>2022.</w:t>
      </w:r>
      <w:r>
        <w:rPr>
          <w:spacing w:val="-2"/>
          <w:sz w:val="16"/>
          <w:vertAlign w:val="baseline"/>
        </w:rPr>
        <w:t> </w:t>
      </w:r>
      <w:r>
        <w:rPr>
          <w:sz w:val="16"/>
          <w:vertAlign w:val="baseline"/>
        </w:rPr>
        <w:t>Prior</w:t>
      </w:r>
      <w:r>
        <w:rPr>
          <w:spacing w:val="-2"/>
          <w:sz w:val="16"/>
          <w:vertAlign w:val="baseline"/>
        </w:rPr>
        <w:t> </w:t>
      </w:r>
      <w:r>
        <w:rPr>
          <w:sz w:val="16"/>
          <w:vertAlign w:val="baseline"/>
        </w:rPr>
        <w:t>to</w:t>
      </w:r>
      <w:r>
        <w:rPr>
          <w:spacing w:val="-2"/>
          <w:sz w:val="16"/>
          <w:vertAlign w:val="baseline"/>
        </w:rPr>
        <w:t> </w:t>
      </w:r>
      <w:r>
        <w:rPr>
          <w:sz w:val="16"/>
          <w:vertAlign w:val="baseline"/>
        </w:rPr>
        <w:t>redemption,</w:t>
      </w:r>
      <w:r>
        <w:rPr>
          <w:spacing w:val="-2"/>
          <w:sz w:val="16"/>
          <w:vertAlign w:val="baseline"/>
        </w:rPr>
        <w:t> </w:t>
      </w:r>
      <w:r>
        <w:rPr>
          <w:sz w:val="16"/>
          <w:vertAlign w:val="baseline"/>
        </w:rPr>
        <w:t>dividends</w:t>
      </w:r>
      <w:r>
        <w:rPr>
          <w:spacing w:val="-3"/>
          <w:sz w:val="16"/>
          <w:vertAlign w:val="baseline"/>
        </w:rPr>
        <w:t> </w:t>
      </w:r>
      <w:r>
        <w:rPr>
          <w:sz w:val="16"/>
          <w:vertAlign w:val="baseline"/>
        </w:rPr>
        <w:t>were</w:t>
      </w:r>
      <w:r>
        <w:rPr>
          <w:spacing w:val="-2"/>
          <w:sz w:val="16"/>
          <w:vertAlign w:val="baseline"/>
        </w:rPr>
        <w:t> </w:t>
      </w:r>
      <w:r>
        <w:rPr>
          <w:sz w:val="16"/>
          <w:vertAlign w:val="baseline"/>
        </w:rPr>
        <w:t>paid</w:t>
      </w:r>
      <w:r>
        <w:rPr>
          <w:spacing w:val="-2"/>
          <w:sz w:val="16"/>
          <w:vertAlign w:val="baseline"/>
        </w:rPr>
        <w:t> </w:t>
      </w:r>
      <w:r>
        <w:rPr>
          <w:sz w:val="16"/>
          <w:vertAlign w:val="baseline"/>
        </w:rPr>
        <w:t>semi-annually</w:t>
      </w:r>
      <w:r>
        <w:rPr>
          <w:spacing w:val="-2"/>
          <w:sz w:val="16"/>
          <w:vertAlign w:val="baseline"/>
        </w:rPr>
        <w:t> </w:t>
      </w:r>
      <w:r>
        <w:rPr>
          <w:sz w:val="16"/>
          <w:vertAlign w:val="baseline"/>
        </w:rPr>
        <w:t>until</w:t>
      </w:r>
      <w:r>
        <w:rPr>
          <w:spacing w:val="-2"/>
          <w:sz w:val="16"/>
          <w:vertAlign w:val="baseline"/>
        </w:rPr>
        <w:t> </w:t>
      </w:r>
      <w:r>
        <w:rPr>
          <w:sz w:val="16"/>
          <w:vertAlign w:val="baseline"/>
        </w:rPr>
        <w:t>February</w:t>
      </w:r>
      <w:r>
        <w:rPr>
          <w:spacing w:val="-2"/>
          <w:sz w:val="16"/>
          <w:vertAlign w:val="baseline"/>
        </w:rPr>
        <w:t> </w:t>
      </w:r>
      <w:r>
        <w:rPr>
          <w:sz w:val="16"/>
          <w:vertAlign w:val="baseline"/>
        </w:rPr>
        <w:t>1,</w:t>
      </w:r>
      <w:r>
        <w:rPr>
          <w:spacing w:val="-2"/>
          <w:sz w:val="16"/>
          <w:vertAlign w:val="baseline"/>
        </w:rPr>
        <w:t> </w:t>
      </w:r>
      <w:r>
        <w:rPr>
          <w:sz w:val="16"/>
          <w:vertAlign w:val="baseline"/>
        </w:rPr>
        <w:t>2022</w:t>
      </w:r>
      <w:r>
        <w:rPr>
          <w:spacing w:val="-2"/>
          <w:sz w:val="16"/>
          <w:vertAlign w:val="baseline"/>
        </w:rPr>
        <w:t> </w:t>
      </w:r>
      <w:r>
        <w:rPr>
          <w:sz w:val="16"/>
          <w:vertAlign w:val="baseline"/>
        </w:rPr>
        <w:t>and</w:t>
      </w:r>
      <w:r>
        <w:rPr>
          <w:spacing w:val="-2"/>
          <w:sz w:val="16"/>
          <w:vertAlign w:val="baseline"/>
        </w:rPr>
        <w:t> </w:t>
      </w:r>
      <w:r>
        <w:rPr>
          <w:sz w:val="16"/>
          <w:vertAlign w:val="baseline"/>
        </w:rPr>
        <w:t>quarterly</w:t>
      </w:r>
      <w:r>
        <w:rPr>
          <w:spacing w:val="-2"/>
          <w:sz w:val="16"/>
          <w:vertAlign w:val="baseline"/>
        </w:rPr>
        <w:t> </w:t>
      </w:r>
      <w:r>
        <w:rPr>
          <w:sz w:val="16"/>
          <w:vertAlign w:val="baseline"/>
        </w:rPr>
        <w:t>thereafter.</w:t>
      </w:r>
      <w:r>
        <w:rPr>
          <w:spacing w:val="-2"/>
          <w:sz w:val="16"/>
          <w:vertAlign w:val="baseline"/>
        </w:rPr>
        <w:t> </w:t>
      </w:r>
      <w:r>
        <w:rPr>
          <w:sz w:val="16"/>
          <w:vertAlign w:val="baseline"/>
        </w:rPr>
        <w:t>The</w:t>
      </w:r>
      <w:r>
        <w:rPr>
          <w:spacing w:val="40"/>
          <w:sz w:val="16"/>
          <w:vertAlign w:val="baseline"/>
        </w:rPr>
        <w:t> </w:t>
      </w:r>
      <w:r>
        <w:rPr>
          <w:sz w:val="16"/>
          <w:vertAlign w:val="baseline"/>
        </w:rPr>
        <w:t>final dividend was paid on November 1, 2022.</w:t>
      </w:r>
    </w:p>
    <w:p>
      <w:pPr>
        <w:spacing w:before="2"/>
        <w:ind w:left="470" w:right="0" w:firstLine="0"/>
        <w:jc w:val="left"/>
        <w:rPr>
          <w:sz w:val="16"/>
        </w:rPr>
      </w:pPr>
      <w:r>
        <w:rPr>
          <w:sz w:val="16"/>
          <w:vertAlign w:val="superscript"/>
        </w:rPr>
        <w:t>(2)</w:t>
      </w:r>
      <w:r>
        <w:rPr>
          <w:spacing w:val="-13"/>
          <w:sz w:val="16"/>
          <w:vertAlign w:val="baseline"/>
        </w:rPr>
        <w:t> </w:t>
      </w:r>
      <w:r>
        <w:rPr>
          <w:sz w:val="16"/>
          <w:vertAlign w:val="baseline"/>
        </w:rPr>
        <w:t>Dividends</w:t>
      </w:r>
      <w:r>
        <w:rPr>
          <w:spacing w:val="2"/>
          <w:sz w:val="16"/>
          <w:vertAlign w:val="baseline"/>
        </w:rPr>
        <w:t> </w:t>
      </w:r>
      <w:r>
        <w:rPr>
          <w:sz w:val="16"/>
          <w:vertAlign w:val="baseline"/>
        </w:rPr>
        <w:t>paid</w:t>
      </w:r>
      <w:r>
        <w:rPr>
          <w:spacing w:val="3"/>
          <w:sz w:val="16"/>
          <w:vertAlign w:val="baseline"/>
        </w:rPr>
        <w:t> </w:t>
      </w:r>
      <w:r>
        <w:rPr>
          <w:spacing w:val="-2"/>
          <w:sz w:val="16"/>
          <w:vertAlign w:val="baseline"/>
        </w:rPr>
        <w:t>quarterly.</w:t>
      </w:r>
    </w:p>
    <w:p>
      <w:pPr>
        <w:spacing w:line="249" w:lineRule="auto" w:before="8"/>
        <w:ind w:left="650" w:right="761" w:hanging="180"/>
        <w:jc w:val="left"/>
        <w:rPr>
          <w:sz w:val="16"/>
        </w:rPr>
      </w:pPr>
      <w:r>
        <w:rPr>
          <w:sz w:val="16"/>
          <w:vertAlign w:val="superscript"/>
        </w:rPr>
        <w:t>(3)</w:t>
      </w:r>
      <w:r>
        <w:rPr>
          <w:spacing w:val="-15"/>
          <w:sz w:val="16"/>
          <w:vertAlign w:val="baseline"/>
        </w:rPr>
        <w:t> </w:t>
      </w:r>
      <w:r>
        <w:rPr>
          <w:sz w:val="16"/>
          <w:vertAlign w:val="baseline"/>
        </w:rPr>
        <w:t>Series</w:t>
      </w:r>
      <w:r>
        <w:rPr>
          <w:spacing w:val="-3"/>
          <w:sz w:val="16"/>
          <w:vertAlign w:val="baseline"/>
        </w:rPr>
        <w:t> </w:t>
      </w:r>
      <w:r>
        <w:rPr>
          <w:sz w:val="16"/>
          <w:vertAlign w:val="baseline"/>
        </w:rPr>
        <w:t>E</w:t>
      </w:r>
      <w:r>
        <w:rPr>
          <w:spacing w:val="-3"/>
          <w:sz w:val="16"/>
          <w:vertAlign w:val="baseline"/>
        </w:rPr>
        <w:t> </w:t>
      </w:r>
      <w:r>
        <w:rPr>
          <w:sz w:val="16"/>
          <w:vertAlign w:val="baseline"/>
        </w:rPr>
        <w:t>was</w:t>
      </w:r>
      <w:r>
        <w:rPr>
          <w:spacing w:val="-3"/>
          <w:sz w:val="16"/>
          <w:vertAlign w:val="baseline"/>
        </w:rPr>
        <w:t> </w:t>
      </w:r>
      <w:r>
        <w:rPr>
          <w:sz w:val="16"/>
          <w:vertAlign w:val="baseline"/>
        </w:rPr>
        <w:t>redeemed</w:t>
      </w:r>
      <w:r>
        <w:rPr>
          <w:spacing w:val="-2"/>
          <w:sz w:val="16"/>
          <w:vertAlign w:val="baseline"/>
        </w:rPr>
        <w:t> </w:t>
      </w:r>
      <w:r>
        <w:rPr>
          <w:sz w:val="16"/>
          <w:vertAlign w:val="baseline"/>
        </w:rPr>
        <w:t>on</w:t>
      </w:r>
      <w:r>
        <w:rPr>
          <w:spacing w:val="-2"/>
          <w:sz w:val="16"/>
          <w:vertAlign w:val="baseline"/>
        </w:rPr>
        <w:t> </w:t>
      </w:r>
      <w:r>
        <w:rPr>
          <w:sz w:val="16"/>
          <w:vertAlign w:val="baseline"/>
        </w:rPr>
        <w:t>December</w:t>
      </w:r>
      <w:r>
        <w:rPr>
          <w:spacing w:val="-2"/>
          <w:sz w:val="16"/>
          <w:vertAlign w:val="baseline"/>
        </w:rPr>
        <w:t> </w:t>
      </w:r>
      <w:r>
        <w:rPr>
          <w:sz w:val="16"/>
          <w:vertAlign w:val="baseline"/>
        </w:rPr>
        <w:t>1,</w:t>
      </w:r>
      <w:r>
        <w:rPr>
          <w:spacing w:val="-2"/>
          <w:sz w:val="16"/>
          <w:vertAlign w:val="baseline"/>
        </w:rPr>
        <w:t> </w:t>
      </w:r>
      <w:r>
        <w:rPr>
          <w:sz w:val="16"/>
          <w:vertAlign w:val="baseline"/>
        </w:rPr>
        <w:t>2022.</w:t>
      </w:r>
      <w:r>
        <w:rPr>
          <w:spacing w:val="-2"/>
          <w:sz w:val="16"/>
          <w:vertAlign w:val="baseline"/>
        </w:rPr>
        <w:t> </w:t>
      </w:r>
      <w:r>
        <w:rPr>
          <w:sz w:val="16"/>
          <w:vertAlign w:val="baseline"/>
        </w:rPr>
        <w:t>Prior</w:t>
      </w:r>
      <w:r>
        <w:rPr>
          <w:spacing w:val="-2"/>
          <w:sz w:val="16"/>
          <w:vertAlign w:val="baseline"/>
        </w:rPr>
        <w:t> </w:t>
      </w:r>
      <w:r>
        <w:rPr>
          <w:sz w:val="16"/>
          <w:vertAlign w:val="baseline"/>
        </w:rPr>
        <w:t>to</w:t>
      </w:r>
      <w:r>
        <w:rPr>
          <w:spacing w:val="-2"/>
          <w:sz w:val="16"/>
          <w:vertAlign w:val="baseline"/>
        </w:rPr>
        <w:t> </w:t>
      </w:r>
      <w:r>
        <w:rPr>
          <w:sz w:val="16"/>
          <w:vertAlign w:val="baseline"/>
        </w:rPr>
        <w:t>redemption,</w:t>
      </w:r>
      <w:r>
        <w:rPr>
          <w:spacing w:val="-2"/>
          <w:sz w:val="16"/>
          <w:vertAlign w:val="baseline"/>
        </w:rPr>
        <w:t> </w:t>
      </w:r>
      <w:r>
        <w:rPr>
          <w:sz w:val="16"/>
          <w:vertAlign w:val="baseline"/>
        </w:rPr>
        <w:t>dividends</w:t>
      </w:r>
      <w:r>
        <w:rPr>
          <w:spacing w:val="-3"/>
          <w:sz w:val="16"/>
          <w:vertAlign w:val="baseline"/>
        </w:rPr>
        <w:t> </w:t>
      </w:r>
      <w:r>
        <w:rPr>
          <w:sz w:val="16"/>
          <w:vertAlign w:val="baseline"/>
        </w:rPr>
        <w:t>were</w:t>
      </w:r>
      <w:r>
        <w:rPr>
          <w:spacing w:val="-2"/>
          <w:sz w:val="16"/>
          <w:vertAlign w:val="baseline"/>
        </w:rPr>
        <w:t> </w:t>
      </w:r>
      <w:r>
        <w:rPr>
          <w:sz w:val="16"/>
          <w:vertAlign w:val="baseline"/>
        </w:rPr>
        <w:t>paid</w:t>
      </w:r>
      <w:r>
        <w:rPr>
          <w:spacing w:val="-2"/>
          <w:sz w:val="16"/>
          <w:vertAlign w:val="baseline"/>
        </w:rPr>
        <w:t> </w:t>
      </w:r>
      <w:r>
        <w:rPr>
          <w:sz w:val="16"/>
          <w:vertAlign w:val="baseline"/>
        </w:rPr>
        <w:t>semi-annually</w:t>
      </w:r>
      <w:r>
        <w:rPr>
          <w:spacing w:val="-2"/>
          <w:sz w:val="16"/>
          <w:vertAlign w:val="baseline"/>
        </w:rPr>
        <w:t> </w:t>
      </w:r>
      <w:r>
        <w:rPr>
          <w:sz w:val="16"/>
          <w:vertAlign w:val="baseline"/>
        </w:rPr>
        <w:t>until</w:t>
      </w:r>
      <w:r>
        <w:rPr>
          <w:spacing w:val="-2"/>
          <w:sz w:val="16"/>
          <w:vertAlign w:val="baseline"/>
        </w:rPr>
        <w:t> </w:t>
      </w:r>
      <w:r>
        <w:rPr>
          <w:sz w:val="16"/>
          <w:vertAlign w:val="baseline"/>
        </w:rPr>
        <w:t>March</w:t>
      </w:r>
      <w:r>
        <w:rPr>
          <w:spacing w:val="-2"/>
          <w:sz w:val="16"/>
          <w:vertAlign w:val="baseline"/>
        </w:rPr>
        <w:t> </w:t>
      </w:r>
      <w:r>
        <w:rPr>
          <w:sz w:val="16"/>
          <w:vertAlign w:val="baseline"/>
        </w:rPr>
        <w:t>1,</w:t>
      </w:r>
      <w:r>
        <w:rPr>
          <w:spacing w:val="-2"/>
          <w:sz w:val="16"/>
          <w:vertAlign w:val="baseline"/>
        </w:rPr>
        <w:t> </w:t>
      </w:r>
      <w:r>
        <w:rPr>
          <w:sz w:val="16"/>
          <w:vertAlign w:val="baseline"/>
        </w:rPr>
        <w:t>2022</w:t>
      </w:r>
      <w:r>
        <w:rPr>
          <w:spacing w:val="-2"/>
          <w:sz w:val="16"/>
          <w:vertAlign w:val="baseline"/>
        </w:rPr>
        <w:t> </w:t>
      </w:r>
      <w:r>
        <w:rPr>
          <w:sz w:val="16"/>
          <w:vertAlign w:val="baseline"/>
        </w:rPr>
        <w:t>and</w:t>
      </w:r>
      <w:r>
        <w:rPr>
          <w:spacing w:val="-2"/>
          <w:sz w:val="16"/>
          <w:vertAlign w:val="baseline"/>
        </w:rPr>
        <w:t> </w:t>
      </w:r>
      <w:r>
        <w:rPr>
          <w:sz w:val="16"/>
          <w:vertAlign w:val="baseline"/>
        </w:rPr>
        <w:t>quarterly</w:t>
      </w:r>
      <w:r>
        <w:rPr>
          <w:spacing w:val="-2"/>
          <w:sz w:val="16"/>
          <w:vertAlign w:val="baseline"/>
        </w:rPr>
        <w:t> </w:t>
      </w:r>
      <w:r>
        <w:rPr>
          <w:sz w:val="16"/>
          <w:vertAlign w:val="baseline"/>
        </w:rPr>
        <w:t>thereafter.</w:t>
      </w:r>
      <w:r>
        <w:rPr>
          <w:spacing w:val="-2"/>
          <w:sz w:val="16"/>
          <w:vertAlign w:val="baseline"/>
        </w:rPr>
        <w:t> </w:t>
      </w:r>
      <w:r>
        <w:rPr>
          <w:sz w:val="16"/>
          <w:vertAlign w:val="baseline"/>
        </w:rPr>
        <w:t>The</w:t>
      </w:r>
      <w:r>
        <w:rPr>
          <w:spacing w:val="40"/>
          <w:sz w:val="16"/>
          <w:vertAlign w:val="baseline"/>
        </w:rPr>
        <w:t> </w:t>
      </w:r>
      <w:r>
        <w:rPr>
          <w:sz w:val="16"/>
          <w:vertAlign w:val="baseline"/>
        </w:rPr>
        <w:t>final dividend was paid on December 1, 2022.</w:t>
      </w:r>
    </w:p>
    <w:p>
      <w:pPr>
        <w:spacing w:before="1"/>
        <w:ind w:left="470" w:right="0" w:firstLine="0"/>
        <w:jc w:val="left"/>
        <w:rPr>
          <w:sz w:val="16"/>
        </w:rPr>
      </w:pPr>
      <w:r>
        <w:rPr>
          <w:sz w:val="16"/>
          <w:vertAlign w:val="superscript"/>
        </w:rPr>
        <w:t>(4)</w:t>
      </w:r>
      <w:r>
        <w:rPr>
          <w:spacing w:val="-1"/>
          <w:sz w:val="16"/>
          <w:vertAlign w:val="baseline"/>
        </w:rPr>
        <w:t> </w:t>
      </w:r>
      <w:r>
        <w:rPr>
          <w:sz w:val="16"/>
          <w:vertAlign w:val="baseline"/>
        </w:rPr>
        <w:t>Dividends paid semi-annually</w:t>
      </w:r>
      <w:r>
        <w:rPr>
          <w:spacing w:val="1"/>
          <w:sz w:val="16"/>
          <w:vertAlign w:val="baseline"/>
        </w:rPr>
        <w:t> </w:t>
      </w:r>
      <w:r>
        <w:rPr>
          <w:sz w:val="16"/>
          <w:vertAlign w:val="baseline"/>
        </w:rPr>
        <w:t>until</w:t>
      </w:r>
      <w:r>
        <w:rPr>
          <w:spacing w:val="1"/>
          <w:sz w:val="16"/>
          <w:vertAlign w:val="baseline"/>
        </w:rPr>
        <w:t> </w:t>
      </w:r>
      <w:r>
        <w:rPr>
          <w:sz w:val="16"/>
          <w:vertAlign w:val="baseline"/>
        </w:rPr>
        <w:t>December 1,</w:t>
      </w:r>
      <w:r>
        <w:rPr>
          <w:spacing w:val="1"/>
          <w:sz w:val="16"/>
          <w:vertAlign w:val="baseline"/>
        </w:rPr>
        <w:t> </w:t>
      </w:r>
      <w:r>
        <w:rPr>
          <w:sz w:val="16"/>
          <w:vertAlign w:val="baseline"/>
        </w:rPr>
        <w:t>2027</w:t>
      </w:r>
      <w:r>
        <w:rPr>
          <w:spacing w:val="1"/>
          <w:sz w:val="16"/>
          <w:vertAlign w:val="baseline"/>
        </w:rPr>
        <w:t> </w:t>
      </w:r>
      <w:r>
        <w:rPr>
          <w:sz w:val="16"/>
          <w:vertAlign w:val="baseline"/>
        </w:rPr>
        <w:t>and quarterly</w:t>
      </w:r>
      <w:r>
        <w:rPr>
          <w:spacing w:val="1"/>
          <w:sz w:val="16"/>
          <w:vertAlign w:val="baseline"/>
        </w:rPr>
        <w:t> </w:t>
      </w:r>
      <w:r>
        <w:rPr>
          <w:spacing w:val="-2"/>
          <w:sz w:val="16"/>
          <w:vertAlign w:val="baseline"/>
        </w:rPr>
        <w:t>thereafter.</w:t>
      </w:r>
    </w:p>
    <w:p>
      <w:pPr>
        <w:spacing w:line="249" w:lineRule="auto" w:before="8"/>
        <w:ind w:left="470" w:right="3052" w:firstLine="0"/>
        <w:jc w:val="left"/>
        <w:rPr>
          <w:sz w:val="16"/>
        </w:rPr>
      </w:pPr>
      <w:r>
        <w:rPr>
          <w:sz w:val="16"/>
          <w:vertAlign w:val="superscript"/>
        </w:rPr>
        <w:t>(5)</w:t>
      </w:r>
      <w:r>
        <w:rPr>
          <w:spacing w:val="-15"/>
          <w:sz w:val="16"/>
          <w:vertAlign w:val="baseline"/>
        </w:rPr>
        <w:t> </w:t>
      </w:r>
      <w:r>
        <w:rPr>
          <w:sz w:val="16"/>
          <w:vertAlign w:val="baseline"/>
        </w:rPr>
        <w:t>Series</w:t>
      </w:r>
      <w:r>
        <w:rPr>
          <w:spacing w:val="-3"/>
          <w:sz w:val="16"/>
          <w:vertAlign w:val="baseline"/>
        </w:rPr>
        <w:t> </w:t>
      </w:r>
      <w:r>
        <w:rPr>
          <w:sz w:val="16"/>
          <w:vertAlign w:val="baseline"/>
        </w:rPr>
        <w:t>K</w:t>
      </w:r>
      <w:r>
        <w:rPr>
          <w:spacing w:val="-3"/>
          <w:sz w:val="16"/>
          <w:vertAlign w:val="baseline"/>
        </w:rPr>
        <w:t> </w:t>
      </w:r>
      <w:r>
        <w:rPr>
          <w:sz w:val="16"/>
          <w:vertAlign w:val="baseline"/>
        </w:rPr>
        <w:t>was</w:t>
      </w:r>
      <w:r>
        <w:rPr>
          <w:spacing w:val="-3"/>
          <w:sz w:val="16"/>
          <w:vertAlign w:val="baseline"/>
        </w:rPr>
        <w:t> </w:t>
      </w:r>
      <w:r>
        <w:rPr>
          <w:sz w:val="16"/>
          <w:vertAlign w:val="baseline"/>
        </w:rPr>
        <w:t>issued</w:t>
      </w:r>
      <w:r>
        <w:rPr>
          <w:spacing w:val="-2"/>
          <w:sz w:val="16"/>
          <w:vertAlign w:val="baseline"/>
        </w:rPr>
        <w:t> </w:t>
      </w:r>
      <w:r>
        <w:rPr>
          <w:sz w:val="16"/>
          <w:vertAlign w:val="baseline"/>
        </w:rPr>
        <w:t>on</w:t>
      </w:r>
      <w:r>
        <w:rPr>
          <w:spacing w:val="-2"/>
          <w:sz w:val="16"/>
          <w:vertAlign w:val="baseline"/>
        </w:rPr>
        <w:t> </w:t>
      </w:r>
      <w:r>
        <w:rPr>
          <w:sz w:val="16"/>
          <w:vertAlign w:val="baseline"/>
        </w:rPr>
        <w:t>March</w:t>
      </w:r>
      <w:r>
        <w:rPr>
          <w:spacing w:val="-2"/>
          <w:sz w:val="16"/>
          <w:vertAlign w:val="baseline"/>
        </w:rPr>
        <w:t> </w:t>
      </w:r>
      <w:r>
        <w:rPr>
          <w:sz w:val="16"/>
          <w:vertAlign w:val="baseline"/>
        </w:rPr>
        <w:t>4,</w:t>
      </w:r>
      <w:r>
        <w:rPr>
          <w:spacing w:val="-2"/>
          <w:sz w:val="16"/>
          <w:vertAlign w:val="baseline"/>
        </w:rPr>
        <w:t> </w:t>
      </w:r>
      <w:r>
        <w:rPr>
          <w:sz w:val="16"/>
          <w:vertAlign w:val="baseline"/>
        </w:rPr>
        <w:t>2022.</w:t>
      </w:r>
      <w:r>
        <w:rPr>
          <w:spacing w:val="-2"/>
          <w:sz w:val="16"/>
          <w:vertAlign w:val="baseline"/>
        </w:rPr>
        <w:t> </w:t>
      </w:r>
      <w:r>
        <w:rPr>
          <w:sz w:val="16"/>
          <w:vertAlign w:val="baseline"/>
        </w:rPr>
        <w:t>Dividends</w:t>
      </w:r>
      <w:r>
        <w:rPr>
          <w:spacing w:val="-3"/>
          <w:sz w:val="16"/>
          <w:vertAlign w:val="baseline"/>
        </w:rPr>
        <w:t> </w:t>
      </w:r>
      <w:r>
        <w:rPr>
          <w:sz w:val="16"/>
          <w:vertAlign w:val="baseline"/>
        </w:rPr>
        <w:t>are</w:t>
      </w:r>
      <w:r>
        <w:rPr>
          <w:spacing w:val="-2"/>
          <w:sz w:val="16"/>
          <w:vertAlign w:val="baseline"/>
        </w:rPr>
        <w:t> </w:t>
      </w:r>
      <w:r>
        <w:rPr>
          <w:sz w:val="16"/>
          <w:vertAlign w:val="baseline"/>
        </w:rPr>
        <w:t>paid</w:t>
      </w:r>
      <w:r>
        <w:rPr>
          <w:spacing w:val="-2"/>
          <w:sz w:val="16"/>
          <w:vertAlign w:val="baseline"/>
        </w:rPr>
        <w:t> </w:t>
      </w:r>
      <w:r>
        <w:rPr>
          <w:sz w:val="16"/>
          <w:vertAlign w:val="baseline"/>
        </w:rPr>
        <w:t>quarterly,</w:t>
      </w:r>
      <w:r>
        <w:rPr>
          <w:spacing w:val="-2"/>
          <w:sz w:val="16"/>
          <w:vertAlign w:val="baseline"/>
        </w:rPr>
        <w:t> </w:t>
      </w:r>
      <w:r>
        <w:rPr>
          <w:sz w:val="16"/>
          <w:vertAlign w:val="baseline"/>
        </w:rPr>
        <w:t>and</w:t>
      </w:r>
      <w:r>
        <w:rPr>
          <w:spacing w:val="-2"/>
          <w:sz w:val="16"/>
          <w:vertAlign w:val="baseline"/>
        </w:rPr>
        <w:t> </w:t>
      </w:r>
      <w:r>
        <w:rPr>
          <w:sz w:val="16"/>
          <w:vertAlign w:val="baseline"/>
        </w:rPr>
        <w:t>the</w:t>
      </w:r>
      <w:r>
        <w:rPr>
          <w:spacing w:val="-2"/>
          <w:sz w:val="16"/>
          <w:vertAlign w:val="baseline"/>
        </w:rPr>
        <w:t> </w:t>
      </w:r>
      <w:r>
        <w:rPr>
          <w:sz w:val="16"/>
          <w:vertAlign w:val="baseline"/>
        </w:rPr>
        <w:t>first</w:t>
      </w:r>
      <w:r>
        <w:rPr>
          <w:spacing w:val="-2"/>
          <w:sz w:val="16"/>
          <w:vertAlign w:val="baseline"/>
        </w:rPr>
        <w:t> </w:t>
      </w:r>
      <w:r>
        <w:rPr>
          <w:sz w:val="16"/>
          <w:vertAlign w:val="baseline"/>
        </w:rPr>
        <w:t>dividend</w:t>
      </w:r>
      <w:r>
        <w:rPr>
          <w:spacing w:val="-2"/>
          <w:sz w:val="16"/>
          <w:vertAlign w:val="baseline"/>
        </w:rPr>
        <w:t> </w:t>
      </w:r>
      <w:r>
        <w:rPr>
          <w:sz w:val="16"/>
          <w:vertAlign w:val="baseline"/>
        </w:rPr>
        <w:t>was</w:t>
      </w:r>
      <w:r>
        <w:rPr>
          <w:spacing w:val="-3"/>
          <w:sz w:val="16"/>
          <w:vertAlign w:val="baseline"/>
        </w:rPr>
        <w:t> </w:t>
      </w:r>
      <w:r>
        <w:rPr>
          <w:sz w:val="16"/>
          <w:vertAlign w:val="baseline"/>
        </w:rPr>
        <w:t>paid</w:t>
      </w:r>
      <w:r>
        <w:rPr>
          <w:spacing w:val="-2"/>
          <w:sz w:val="16"/>
          <w:vertAlign w:val="baseline"/>
        </w:rPr>
        <w:t> </w:t>
      </w:r>
      <w:r>
        <w:rPr>
          <w:sz w:val="16"/>
          <w:vertAlign w:val="baseline"/>
        </w:rPr>
        <w:t>on</w:t>
      </w:r>
      <w:r>
        <w:rPr>
          <w:spacing w:val="-2"/>
          <w:sz w:val="16"/>
          <w:vertAlign w:val="baseline"/>
        </w:rPr>
        <w:t> </w:t>
      </w:r>
      <w:r>
        <w:rPr>
          <w:sz w:val="16"/>
          <w:vertAlign w:val="baseline"/>
        </w:rPr>
        <w:t>June</w:t>
      </w:r>
      <w:r>
        <w:rPr>
          <w:spacing w:val="-2"/>
          <w:sz w:val="16"/>
          <w:vertAlign w:val="baseline"/>
        </w:rPr>
        <w:t> </w:t>
      </w:r>
      <w:r>
        <w:rPr>
          <w:sz w:val="16"/>
          <w:vertAlign w:val="baseline"/>
        </w:rPr>
        <w:t>1,</w:t>
      </w:r>
      <w:r>
        <w:rPr>
          <w:spacing w:val="-2"/>
          <w:sz w:val="16"/>
          <w:vertAlign w:val="baseline"/>
        </w:rPr>
        <w:t> </w:t>
      </w:r>
      <w:r>
        <w:rPr>
          <w:sz w:val="16"/>
          <w:vertAlign w:val="baseline"/>
        </w:rPr>
        <w:t>2022.</w:t>
      </w:r>
      <w:r>
        <w:rPr>
          <w:spacing w:val="40"/>
          <w:sz w:val="16"/>
          <w:vertAlign w:val="baseline"/>
        </w:rPr>
        <w:t> </w:t>
      </w:r>
      <w:r>
        <w:rPr>
          <w:sz w:val="16"/>
          <w:vertAlign w:val="baseline"/>
        </w:rPr>
        <w:t>N/A Not applicable.</w:t>
      </w:r>
    </w:p>
    <w:p>
      <w:pPr>
        <w:pStyle w:val="BodyText"/>
        <w:spacing w:before="45"/>
        <w:rPr>
          <w:sz w:val="16"/>
        </w:rPr>
      </w:pPr>
    </w:p>
    <w:p>
      <w:pPr>
        <w:pStyle w:val="Heading3"/>
        <w:rPr>
          <w:i/>
        </w:rPr>
      </w:pPr>
      <w:bookmarkStart w:name="Share Repurchases" w:id="22"/>
      <w:bookmarkEnd w:id="22"/>
      <w:r>
        <w:rPr>
          <w:b w:val="0"/>
          <w:i w:val="0"/>
        </w:rPr>
      </w:r>
      <w:r>
        <w:rPr>
          <w:i/>
        </w:rPr>
        <w:t>Share</w:t>
      </w:r>
      <w:r>
        <w:rPr>
          <w:i/>
          <w:spacing w:val="-4"/>
        </w:rPr>
        <w:t> </w:t>
      </w:r>
      <w:r>
        <w:rPr>
          <w:i/>
          <w:spacing w:val="-2"/>
        </w:rPr>
        <w:t>Repurchases</w:t>
      </w:r>
    </w:p>
    <w:p>
      <w:pPr>
        <w:pStyle w:val="BodyText"/>
        <w:spacing w:before="23"/>
        <w:rPr>
          <w:b/>
          <w:i/>
        </w:rPr>
      </w:pPr>
    </w:p>
    <w:p>
      <w:pPr>
        <w:pStyle w:val="BodyText"/>
        <w:spacing w:line="249" w:lineRule="auto"/>
        <w:ind w:left="470" w:right="500"/>
      </w:pPr>
      <w:r>
        <w:rPr/>
        <w:t>On July 27, 2022, CSC publicly announced that its Board of Directors approved a new share repurchase authorization to repurchase up to $15.0 billion of common stock, replacing the previous and now terminated share repurchase authorization of up to $4.0 billion of common stock. The new share repurchase authorization does not have an expiration date. There were no repurchases</w:t>
      </w:r>
      <w:r>
        <w:rPr>
          <w:spacing w:val="-4"/>
        </w:rPr>
        <w:t> </w:t>
      </w:r>
      <w:r>
        <w:rPr/>
        <w:t>of</w:t>
      </w:r>
      <w:r>
        <w:rPr>
          <w:spacing w:val="-3"/>
        </w:rPr>
        <w:t> </w:t>
      </w:r>
      <w:r>
        <w:rPr/>
        <w:t>CSC’s</w:t>
      </w:r>
      <w:r>
        <w:rPr>
          <w:spacing w:val="-4"/>
        </w:rPr>
        <w:t> </w:t>
      </w:r>
      <w:r>
        <w:rPr/>
        <w:t>common</w:t>
      </w:r>
      <w:r>
        <w:rPr>
          <w:spacing w:val="-3"/>
        </w:rPr>
        <w:t> </w:t>
      </w:r>
      <w:r>
        <w:rPr/>
        <w:t>stock</w:t>
      </w:r>
      <w:r>
        <w:rPr>
          <w:spacing w:val="-3"/>
        </w:rPr>
        <w:t> </w:t>
      </w:r>
      <w:r>
        <w:rPr/>
        <w:t>during</w:t>
      </w:r>
      <w:r>
        <w:rPr>
          <w:spacing w:val="-3"/>
        </w:rPr>
        <w:t> </w:t>
      </w:r>
      <w:r>
        <w:rPr/>
        <w:t>the</w:t>
      </w:r>
      <w:r>
        <w:rPr>
          <w:spacing w:val="-4"/>
        </w:rPr>
        <w:t> </w:t>
      </w:r>
      <w:r>
        <w:rPr/>
        <w:t>three</w:t>
      </w:r>
      <w:r>
        <w:rPr>
          <w:spacing w:val="-4"/>
        </w:rPr>
        <w:t> </w:t>
      </w:r>
      <w:r>
        <w:rPr/>
        <w:t>months</w:t>
      </w:r>
      <w:r>
        <w:rPr>
          <w:spacing w:val="-4"/>
        </w:rPr>
        <w:t> </w:t>
      </w:r>
      <w:r>
        <w:rPr/>
        <w:t>ended</w:t>
      </w:r>
      <w:r>
        <w:rPr>
          <w:spacing w:val="-3"/>
        </w:rPr>
        <w:t> </w:t>
      </w:r>
      <w:r>
        <w:rPr/>
        <w:t>September</w:t>
      </w:r>
      <w:r>
        <w:rPr>
          <w:spacing w:val="-3"/>
        </w:rPr>
        <w:t> </w:t>
      </w:r>
      <w:r>
        <w:rPr/>
        <w:t>30,</w:t>
      </w:r>
      <w:r>
        <w:rPr>
          <w:spacing w:val="-3"/>
        </w:rPr>
        <w:t> </w:t>
      </w:r>
      <w:r>
        <w:rPr/>
        <w:t>2023.</w:t>
      </w:r>
      <w:r>
        <w:rPr>
          <w:spacing w:val="-3"/>
        </w:rPr>
        <w:t> </w:t>
      </w:r>
      <w:r>
        <w:rPr/>
        <w:t>CSC</w:t>
      </w:r>
      <w:r>
        <w:rPr>
          <w:spacing w:val="-4"/>
        </w:rPr>
        <w:t> </w:t>
      </w:r>
      <w:r>
        <w:rPr/>
        <w:t>repurchased</w:t>
      </w:r>
      <w:r>
        <w:rPr>
          <w:spacing w:val="-3"/>
        </w:rPr>
        <w:t> </w:t>
      </w:r>
      <w:r>
        <w:rPr/>
        <w:t>37</w:t>
      </w:r>
      <w:r>
        <w:rPr>
          <w:spacing w:val="-3"/>
        </w:rPr>
        <w:t> </w:t>
      </w:r>
      <w:r>
        <w:rPr/>
        <w:t>million</w:t>
      </w:r>
      <w:r>
        <w:rPr>
          <w:spacing w:val="-3"/>
        </w:rPr>
        <w:t> </w:t>
      </w:r>
      <w:r>
        <w:rPr/>
        <w:t>shares</w:t>
      </w:r>
      <w:r>
        <w:rPr>
          <w:spacing w:val="-4"/>
        </w:rPr>
        <w:t> </w:t>
      </w:r>
      <w:r>
        <w:rPr/>
        <w:t>of</w:t>
      </w:r>
    </w:p>
    <w:p>
      <w:pPr>
        <w:spacing w:after="0" w:line="249" w:lineRule="auto"/>
        <w:sectPr>
          <w:type w:val="continuous"/>
          <w:pgSz w:w="12240" w:h="15840"/>
          <w:pgMar w:header="512" w:footer="201" w:top="320" w:bottom="280" w:left="520" w:right="520"/>
        </w:sectPr>
      </w:pPr>
    </w:p>
    <w:p>
      <w:pPr>
        <w:pStyle w:val="BodyText"/>
        <w:spacing w:before="211"/>
        <w:ind w:left="470"/>
      </w:pPr>
      <w:r>
        <w:rPr/>
        <w:t>its</w:t>
      </w:r>
      <w:r>
        <w:rPr>
          <w:spacing w:val="-5"/>
        </w:rPr>
        <w:t> </w:t>
      </w:r>
      <w:r>
        <w:rPr/>
        <w:t>common</w:t>
      </w:r>
      <w:r>
        <w:rPr>
          <w:spacing w:val="-2"/>
        </w:rPr>
        <w:t> </w:t>
      </w:r>
      <w:r>
        <w:rPr/>
        <w:t>stock</w:t>
      </w:r>
      <w:r>
        <w:rPr>
          <w:spacing w:val="-2"/>
        </w:rPr>
        <w:t> </w:t>
      </w:r>
      <w:r>
        <w:rPr/>
        <w:t>for</w:t>
      </w:r>
      <w:r>
        <w:rPr>
          <w:spacing w:val="-1"/>
        </w:rPr>
        <w:t> </w:t>
      </w:r>
      <w:r>
        <w:rPr/>
        <w:t>$2.8</w:t>
      </w:r>
      <w:r>
        <w:rPr>
          <w:spacing w:val="-2"/>
        </w:rPr>
        <w:t> </w:t>
      </w:r>
      <w:r>
        <w:rPr/>
        <w:t>billion</w:t>
      </w:r>
      <w:r>
        <w:rPr>
          <w:spacing w:val="-2"/>
        </w:rPr>
        <w:t> </w:t>
      </w:r>
      <w:r>
        <w:rPr/>
        <w:t>during</w:t>
      </w:r>
      <w:r>
        <w:rPr>
          <w:spacing w:val="-1"/>
        </w:rPr>
        <w:t> </w:t>
      </w:r>
      <w:r>
        <w:rPr/>
        <w:t>the</w:t>
      </w:r>
      <w:r>
        <w:rPr>
          <w:spacing w:val="-3"/>
        </w:rPr>
        <w:t> </w:t>
      </w:r>
      <w:r>
        <w:rPr/>
        <w:t>nine</w:t>
      </w:r>
      <w:r>
        <w:rPr>
          <w:spacing w:val="-3"/>
        </w:rPr>
        <w:t> </w:t>
      </w:r>
      <w:r>
        <w:rPr/>
        <w:t>months</w:t>
      </w:r>
      <w:r>
        <w:rPr>
          <w:spacing w:val="-2"/>
        </w:rPr>
        <w:t> </w:t>
      </w:r>
      <w:r>
        <w:rPr/>
        <w:t>ended</w:t>
      </w:r>
      <w:r>
        <w:rPr>
          <w:spacing w:val="-2"/>
        </w:rPr>
        <w:t> </w:t>
      </w:r>
      <w:r>
        <w:rPr/>
        <w:t>September</w:t>
      </w:r>
      <w:r>
        <w:rPr>
          <w:spacing w:val="-2"/>
        </w:rPr>
        <w:t> </w:t>
      </w:r>
      <w:r>
        <w:rPr/>
        <w:t>30,</w:t>
      </w:r>
      <w:r>
        <w:rPr>
          <w:spacing w:val="-1"/>
        </w:rPr>
        <w:t> </w:t>
      </w:r>
      <w:r>
        <w:rPr/>
        <w:t>2023.</w:t>
      </w:r>
      <w:r>
        <w:rPr>
          <w:spacing w:val="-2"/>
        </w:rPr>
        <w:t> </w:t>
      </w:r>
      <w:r>
        <w:rPr/>
        <w:t>As</w:t>
      </w:r>
      <w:r>
        <w:rPr>
          <w:spacing w:val="-3"/>
        </w:rPr>
        <w:t> </w:t>
      </w:r>
      <w:r>
        <w:rPr/>
        <w:t>of</w:t>
      </w:r>
      <w:r>
        <w:rPr>
          <w:spacing w:val="-1"/>
        </w:rPr>
        <w:t> </w:t>
      </w:r>
      <w:r>
        <w:rPr/>
        <w:t>September</w:t>
      </w:r>
      <w:r>
        <w:rPr>
          <w:spacing w:val="-2"/>
        </w:rPr>
        <w:t> </w:t>
      </w:r>
      <w:r>
        <w:rPr/>
        <w:t>30,</w:t>
      </w:r>
      <w:r>
        <w:rPr>
          <w:spacing w:val="-2"/>
        </w:rPr>
        <w:t> </w:t>
      </w:r>
      <w:r>
        <w:rPr/>
        <w:t>2023,</w:t>
      </w:r>
      <w:r>
        <w:rPr>
          <w:spacing w:val="-1"/>
        </w:rPr>
        <w:t> </w:t>
      </w:r>
      <w:r>
        <w:rPr>
          <w:spacing w:val="-2"/>
        </w:rPr>
        <w:t>approximately</w:t>
      </w:r>
    </w:p>
    <w:p>
      <w:pPr>
        <w:pStyle w:val="BodyText"/>
        <w:spacing w:before="10"/>
        <w:ind w:left="470"/>
      </w:pPr>
      <w:r>
        <w:rPr/>
        <w:t>$8.7</w:t>
      </w:r>
      <w:r>
        <w:rPr>
          <w:spacing w:val="-2"/>
        </w:rPr>
        <w:t> </w:t>
      </w:r>
      <w:r>
        <w:rPr/>
        <w:t>billion</w:t>
      </w:r>
      <w:r>
        <w:rPr>
          <w:spacing w:val="-2"/>
        </w:rPr>
        <w:t> </w:t>
      </w:r>
      <w:r>
        <w:rPr/>
        <w:t>remained</w:t>
      </w:r>
      <w:r>
        <w:rPr>
          <w:spacing w:val="-2"/>
        </w:rPr>
        <w:t> </w:t>
      </w:r>
      <w:r>
        <w:rPr/>
        <w:t>on</w:t>
      </w:r>
      <w:r>
        <w:rPr>
          <w:spacing w:val="-2"/>
        </w:rPr>
        <w:t> </w:t>
      </w:r>
      <w:r>
        <w:rPr/>
        <w:t>the</w:t>
      </w:r>
      <w:r>
        <w:rPr>
          <w:spacing w:val="-3"/>
        </w:rPr>
        <w:t> </w:t>
      </w:r>
      <w:r>
        <w:rPr/>
        <w:t>new</w:t>
      </w:r>
      <w:r>
        <w:rPr>
          <w:spacing w:val="-2"/>
        </w:rPr>
        <w:t> authorization.</w:t>
      </w:r>
    </w:p>
    <w:p>
      <w:pPr>
        <w:pStyle w:val="BodyText"/>
        <w:spacing w:before="20"/>
      </w:pPr>
    </w:p>
    <w:p>
      <w:pPr>
        <w:pStyle w:val="BodyText"/>
        <w:spacing w:line="249" w:lineRule="auto"/>
        <w:ind w:left="470" w:right="470"/>
      </w:pPr>
      <w:r>
        <w:rPr/>
        <w:t>There were no repurchases of CSC’s preferred stock during the three months ended September 30, 2023. The Company repurchased</w:t>
      </w:r>
      <w:r>
        <w:rPr>
          <w:spacing w:val="-3"/>
        </w:rPr>
        <w:t> </w:t>
      </w:r>
      <w:r>
        <w:rPr/>
        <w:t>11,620</w:t>
      </w:r>
      <w:r>
        <w:rPr>
          <w:spacing w:val="-3"/>
        </w:rPr>
        <w:t> </w:t>
      </w:r>
      <w:r>
        <w:rPr/>
        <w:t>depositary</w:t>
      </w:r>
      <w:r>
        <w:rPr>
          <w:spacing w:val="-3"/>
        </w:rPr>
        <w:t> </w:t>
      </w:r>
      <w:r>
        <w:rPr/>
        <w:t>shares</w:t>
      </w:r>
      <w:r>
        <w:rPr>
          <w:spacing w:val="-4"/>
        </w:rPr>
        <w:t> </w:t>
      </w:r>
      <w:r>
        <w:rPr/>
        <w:t>representing</w:t>
      </w:r>
      <w:r>
        <w:rPr>
          <w:spacing w:val="-3"/>
        </w:rPr>
        <w:t> </w:t>
      </w:r>
      <w:r>
        <w:rPr/>
        <w:t>interests</w:t>
      </w:r>
      <w:r>
        <w:rPr>
          <w:spacing w:val="-4"/>
        </w:rPr>
        <w:t> </w:t>
      </w:r>
      <w:r>
        <w:rPr/>
        <w:t>in</w:t>
      </w:r>
      <w:r>
        <w:rPr>
          <w:spacing w:val="-3"/>
        </w:rPr>
        <w:t> </w:t>
      </w:r>
      <w:r>
        <w:rPr/>
        <w:t>Series</w:t>
      </w:r>
      <w:r>
        <w:rPr>
          <w:spacing w:val="-4"/>
        </w:rPr>
        <w:t> </w:t>
      </w:r>
      <w:r>
        <w:rPr/>
        <w:t>F</w:t>
      </w:r>
      <w:r>
        <w:rPr>
          <w:spacing w:val="-4"/>
        </w:rPr>
        <w:t> </w:t>
      </w:r>
      <w:r>
        <w:rPr/>
        <w:t>preferred</w:t>
      </w:r>
      <w:r>
        <w:rPr>
          <w:spacing w:val="-3"/>
        </w:rPr>
        <w:t> </w:t>
      </w:r>
      <w:r>
        <w:rPr/>
        <w:t>stock</w:t>
      </w:r>
      <w:r>
        <w:rPr>
          <w:spacing w:val="-3"/>
        </w:rPr>
        <w:t> </w:t>
      </w:r>
      <w:r>
        <w:rPr/>
        <w:t>for</w:t>
      </w:r>
      <w:r>
        <w:rPr>
          <w:spacing w:val="-3"/>
        </w:rPr>
        <w:t> </w:t>
      </w:r>
      <w:r>
        <w:rPr/>
        <w:t>$11</w:t>
      </w:r>
      <w:r>
        <w:rPr>
          <w:spacing w:val="-3"/>
        </w:rPr>
        <w:t> </w:t>
      </w:r>
      <w:r>
        <w:rPr/>
        <w:t>million,</w:t>
      </w:r>
      <w:r>
        <w:rPr>
          <w:spacing w:val="-3"/>
        </w:rPr>
        <w:t> </w:t>
      </w:r>
      <w:r>
        <w:rPr/>
        <w:t>42,036</w:t>
      </w:r>
      <w:r>
        <w:rPr>
          <w:spacing w:val="-3"/>
        </w:rPr>
        <w:t> </w:t>
      </w:r>
      <w:r>
        <w:rPr/>
        <w:t>depositary</w:t>
      </w:r>
      <w:r>
        <w:rPr>
          <w:spacing w:val="-3"/>
        </w:rPr>
        <w:t> </w:t>
      </w:r>
      <w:r>
        <w:rPr/>
        <w:t>shares representing interests in Series G preferred stock for $42 million, 273,251 depositary shares representing interests in Series H preferred stock for $235 million, and 194,567 depositary shares representing interests in Series I preferred stock for</w:t>
      </w:r>
    </w:p>
    <w:p>
      <w:pPr>
        <w:pStyle w:val="BodyText"/>
        <w:spacing w:before="4"/>
        <w:ind w:left="470"/>
      </w:pPr>
      <w:r>
        <w:rPr/>
        <w:t>$179</w:t>
      </w:r>
      <w:r>
        <w:rPr>
          <w:spacing w:val="-4"/>
        </w:rPr>
        <w:t> </w:t>
      </w:r>
      <w:r>
        <w:rPr/>
        <w:t>million</w:t>
      </w:r>
      <w:r>
        <w:rPr>
          <w:spacing w:val="-2"/>
        </w:rPr>
        <w:t> </w:t>
      </w:r>
      <w:r>
        <w:rPr/>
        <w:t>on</w:t>
      </w:r>
      <w:r>
        <w:rPr>
          <w:spacing w:val="-2"/>
        </w:rPr>
        <w:t> </w:t>
      </w:r>
      <w:r>
        <w:rPr/>
        <w:t>the</w:t>
      </w:r>
      <w:r>
        <w:rPr>
          <w:spacing w:val="-3"/>
        </w:rPr>
        <w:t> </w:t>
      </w:r>
      <w:r>
        <w:rPr/>
        <w:t>open</w:t>
      </w:r>
      <w:r>
        <w:rPr>
          <w:spacing w:val="-2"/>
        </w:rPr>
        <w:t> </w:t>
      </w:r>
      <w:r>
        <w:rPr/>
        <w:t>market</w:t>
      </w:r>
      <w:r>
        <w:rPr>
          <w:spacing w:val="-3"/>
        </w:rPr>
        <w:t> </w:t>
      </w:r>
      <w:r>
        <w:rPr/>
        <w:t>during</w:t>
      </w:r>
      <w:r>
        <w:rPr>
          <w:spacing w:val="-2"/>
        </w:rPr>
        <w:t> </w:t>
      </w:r>
      <w:r>
        <w:rPr/>
        <w:t>the</w:t>
      </w:r>
      <w:r>
        <w:rPr>
          <w:spacing w:val="-3"/>
        </w:rPr>
        <w:t> </w:t>
      </w:r>
      <w:r>
        <w:rPr/>
        <w:t>nine</w:t>
      </w:r>
      <w:r>
        <w:rPr>
          <w:spacing w:val="-3"/>
        </w:rPr>
        <w:t> </w:t>
      </w:r>
      <w:r>
        <w:rPr/>
        <w:t>months</w:t>
      </w:r>
      <w:r>
        <w:rPr>
          <w:spacing w:val="-3"/>
        </w:rPr>
        <w:t> </w:t>
      </w:r>
      <w:r>
        <w:rPr/>
        <w:t>ended</w:t>
      </w:r>
      <w:r>
        <w:rPr>
          <w:spacing w:val="-2"/>
        </w:rPr>
        <w:t> </w:t>
      </w:r>
      <w:r>
        <w:rPr/>
        <w:t>September</w:t>
      </w:r>
      <w:r>
        <w:rPr>
          <w:spacing w:val="-2"/>
        </w:rPr>
        <w:t> </w:t>
      </w:r>
      <w:r>
        <w:rPr/>
        <w:t>30,</w:t>
      </w:r>
      <w:r>
        <w:rPr>
          <w:spacing w:val="-2"/>
        </w:rPr>
        <w:t> </w:t>
      </w:r>
      <w:r>
        <w:rPr/>
        <w:t>2023.</w:t>
      </w:r>
      <w:r>
        <w:rPr>
          <w:spacing w:val="-2"/>
        </w:rPr>
        <w:t> </w:t>
      </w:r>
      <w:r>
        <w:rPr/>
        <w:t>The</w:t>
      </w:r>
      <w:r>
        <w:rPr>
          <w:spacing w:val="-3"/>
        </w:rPr>
        <w:t> </w:t>
      </w:r>
      <w:r>
        <w:rPr/>
        <w:t>repurchase</w:t>
      </w:r>
      <w:r>
        <w:rPr>
          <w:spacing w:val="-3"/>
        </w:rPr>
        <w:t> </w:t>
      </w:r>
      <w:r>
        <w:rPr/>
        <w:t>prices</w:t>
      </w:r>
      <w:r>
        <w:rPr>
          <w:spacing w:val="-3"/>
        </w:rPr>
        <w:t> </w:t>
      </w:r>
      <w:r>
        <w:rPr/>
        <w:t>are</w:t>
      </w:r>
      <w:r>
        <w:rPr>
          <w:spacing w:val="-3"/>
        </w:rPr>
        <w:t> </w:t>
      </w:r>
      <w:r>
        <w:rPr/>
        <w:t>inclusive</w:t>
      </w:r>
      <w:r>
        <w:rPr>
          <w:spacing w:val="-2"/>
        </w:rPr>
        <w:t> </w:t>
      </w:r>
      <w:r>
        <w:rPr>
          <w:spacing w:val="-5"/>
        </w:rPr>
        <w:t>of</w:t>
      </w:r>
    </w:p>
    <w:p>
      <w:pPr>
        <w:pStyle w:val="BodyText"/>
        <w:spacing w:before="10"/>
        <w:ind w:left="470"/>
      </w:pPr>
      <w:r>
        <w:rPr/>
        <w:t>$3</w:t>
      </w:r>
      <w:r>
        <w:rPr>
          <w:spacing w:val="-5"/>
        </w:rPr>
        <w:t> </w:t>
      </w:r>
      <w:r>
        <w:rPr/>
        <w:t>million</w:t>
      </w:r>
      <w:r>
        <w:rPr>
          <w:spacing w:val="-2"/>
        </w:rPr>
        <w:t> </w:t>
      </w:r>
      <w:r>
        <w:rPr/>
        <w:t>of</w:t>
      </w:r>
      <w:r>
        <w:rPr>
          <w:spacing w:val="-2"/>
        </w:rPr>
        <w:t> </w:t>
      </w:r>
      <w:r>
        <w:rPr/>
        <w:t>dividends</w:t>
      </w:r>
      <w:r>
        <w:rPr>
          <w:spacing w:val="-3"/>
        </w:rPr>
        <w:t> </w:t>
      </w:r>
      <w:r>
        <w:rPr/>
        <w:t>accrued</w:t>
      </w:r>
      <w:r>
        <w:rPr>
          <w:spacing w:val="-2"/>
        </w:rPr>
        <w:t> </w:t>
      </w:r>
      <w:r>
        <w:rPr/>
        <w:t>by</w:t>
      </w:r>
      <w:r>
        <w:rPr>
          <w:spacing w:val="-2"/>
        </w:rPr>
        <w:t> </w:t>
      </w:r>
      <w:r>
        <w:rPr/>
        <w:t>the</w:t>
      </w:r>
      <w:r>
        <w:rPr>
          <w:spacing w:val="-3"/>
        </w:rPr>
        <w:t> </w:t>
      </w:r>
      <w:r>
        <w:rPr/>
        <w:t>stockholders</w:t>
      </w:r>
      <w:r>
        <w:rPr>
          <w:spacing w:val="-3"/>
        </w:rPr>
        <w:t> </w:t>
      </w:r>
      <w:r>
        <w:rPr/>
        <w:t>as</w:t>
      </w:r>
      <w:r>
        <w:rPr>
          <w:spacing w:val="-3"/>
        </w:rPr>
        <w:t> </w:t>
      </w:r>
      <w:r>
        <w:rPr/>
        <w:t>of</w:t>
      </w:r>
      <w:r>
        <w:rPr>
          <w:spacing w:val="-2"/>
        </w:rPr>
        <w:t> </w:t>
      </w:r>
      <w:r>
        <w:rPr/>
        <w:t>the</w:t>
      </w:r>
      <w:r>
        <w:rPr>
          <w:spacing w:val="-3"/>
        </w:rPr>
        <w:t> </w:t>
      </w:r>
      <w:r>
        <w:rPr/>
        <w:t>repurchase</w:t>
      </w:r>
      <w:r>
        <w:rPr>
          <w:spacing w:val="-2"/>
        </w:rPr>
        <w:t> date.</w:t>
      </w:r>
    </w:p>
    <w:p>
      <w:pPr>
        <w:pStyle w:val="BodyText"/>
        <w:spacing w:before="3"/>
      </w:pPr>
    </w:p>
    <w:p>
      <w:pPr>
        <w:pStyle w:val="BodyText"/>
        <w:spacing w:line="249" w:lineRule="auto" w:before="1"/>
        <w:ind w:left="470" w:right="500"/>
      </w:pPr>
      <w:r>
        <w:rPr/>
        <w:t>Beginning</w:t>
      </w:r>
      <w:r>
        <w:rPr>
          <w:spacing w:val="-2"/>
        </w:rPr>
        <w:t> </w:t>
      </w:r>
      <w:r>
        <w:rPr/>
        <w:t>in</w:t>
      </w:r>
      <w:r>
        <w:rPr>
          <w:spacing w:val="-2"/>
        </w:rPr>
        <w:t> </w:t>
      </w:r>
      <w:r>
        <w:rPr/>
        <w:t>2023,</w:t>
      </w:r>
      <w:r>
        <w:rPr>
          <w:spacing w:val="-2"/>
        </w:rPr>
        <w:t> </w:t>
      </w:r>
      <w:r>
        <w:rPr/>
        <w:t>share</w:t>
      </w:r>
      <w:r>
        <w:rPr>
          <w:spacing w:val="-3"/>
        </w:rPr>
        <w:t> </w:t>
      </w:r>
      <w:r>
        <w:rPr/>
        <w:t>repurchases,</w:t>
      </w:r>
      <w:r>
        <w:rPr>
          <w:spacing w:val="-2"/>
        </w:rPr>
        <w:t> </w:t>
      </w:r>
      <w:r>
        <w:rPr/>
        <w:t>net</w:t>
      </w:r>
      <w:r>
        <w:rPr>
          <w:spacing w:val="-3"/>
        </w:rPr>
        <w:t> </w:t>
      </w:r>
      <w:r>
        <w:rPr/>
        <w:t>of</w:t>
      </w:r>
      <w:r>
        <w:rPr>
          <w:spacing w:val="-2"/>
        </w:rPr>
        <w:t> </w:t>
      </w:r>
      <w:r>
        <w:rPr/>
        <w:t>issuances,</w:t>
      </w:r>
      <w:r>
        <w:rPr>
          <w:spacing w:val="-2"/>
        </w:rPr>
        <w:t> </w:t>
      </w:r>
      <w:r>
        <w:rPr/>
        <w:t>are</w:t>
      </w:r>
      <w:r>
        <w:rPr>
          <w:spacing w:val="-3"/>
        </w:rPr>
        <w:t> </w:t>
      </w:r>
      <w:r>
        <w:rPr/>
        <w:t>subject</w:t>
      </w:r>
      <w:r>
        <w:rPr>
          <w:spacing w:val="-3"/>
        </w:rPr>
        <w:t> </w:t>
      </w:r>
      <w:r>
        <w:rPr/>
        <w:t>to</w:t>
      </w:r>
      <w:r>
        <w:rPr>
          <w:spacing w:val="-2"/>
        </w:rPr>
        <w:t> </w:t>
      </w:r>
      <w:r>
        <w:rPr/>
        <w:t>a</w:t>
      </w:r>
      <w:r>
        <w:rPr>
          <w:spacing w:val="-3"/>
        </w:rPr>
        <w:t> </w:t>
      </w:r>
      <w:r>
        <w:rPr/>
        <w:t>nondeductible</w:t>
      </w:r>
      <w:r>
        <w:rPr>
          <w:spacing w:val="-3"/>
        </w:rPr>
        <w:t> </w:t>
      </w:r>
      <w:r>
        <w:rPr/>
        <w:t>1%</w:t>
      </w:r>
      <w:r>
        <w:rPr>
          <w:spacing w:val="-2"/>
        </w:rPr>
        <w:t> </w:t>
      </w:r>
      <w:r>
        <w:rPr/>
        <w:t>excise</w:t>
      </w:r>
      <w:r>
        <w:rPr>
          <w:spacing w:val="-3"/>
        </w:rPr>
        <w:t> </w:t>
      </w:r>
      <w:r>
        <w:rPr/>
        <w:t>tax</w:t>
      </w:r>
      <w:r>
        <w:rPr>
          <w:spacing w:val="-2"/>
        </w:rPr>
        <w:t> </w:t>
      </w:r>
      <w:r>
        <w:rPr/>
        <w:t>which</w:t>
      </w:r>
      <w:r>
        <w:rPr>
          <w:spacing w:val="-2"/>
        </w:rPr>
        <w:t> </w:t>
      </w:r>
      <w:r>
        <w:rPr/>
        <w:t>was</w:t>
      </w:r>
      <w:r>
        <w:rPr>
          <w:spacing w:val="-3"/>
        </w:rPr>
        <w:t> </w:t>
      </w:r>
      <w:r>
        <w:rPr/>
        <w:t>recognized</w:t>
      </w:r>
      <w:r>
        <w:rPr>
          <w:spacing w:val="-2"/>
        </w:rPr>
        <w:t> </w:t>
      </w:r>
      <w:r>
        <w:rPr/>
        <w:t>as</w:t>
      </w:r>
      <w:r>
        <w:rPr>
          <w:spacing w:val="-3"/>
        </w:rPr>
        <w:t> </w:t>
      </w:r>
      <w:r>
        <w:rPr/>
        <w:t>a direct and incremental cost associated with these transactions. For repurchases of common stock, the tax is recorded as part of the cost basis of the treasury stock repurchased, resulting in no impact to the condensed consolidated statement of income. For repurchases of preferred stock, the tax impact is included within preferred stock dividends and other on the condensed consolidated statement of income.</w:t>
      </w:r>
    </w:p>
    <w:p>
      <w:pPr>
        <w:pStyle w:val="BodyText"/>
        <w:spacing w:before="10"/>
      </w:pPr>
    </w:p>
    <w:p>
      <w:pPr>
        <w:spacing w:before="0"/>
        <w:ind w:left="470" w:right="0" w:firstLine="0"/>
        <w:jc w:val="left"/>
        <w:rPr>
          <w:b/>
          <w:sz w:val="20"/>
        </w:rPr>
      </w:pPr>
      <w:bookmarkStart w:name="Foreign Exposure" w:id="23"/>
      <w:bookmarkEnd w:id="23"/>
      <w:r>
        <w:rPr/>
      </w:r>
      <w:r>
        <w:rPr>
          <w:b/>
          <w:spacing w:val="-2"/>
          <w:sz w:val="20"/>
          <w:u w:val="single"/>
        </w:rPr>
        <w:t>OTHER</w:t>
      </w:r>
    </w:p>
    <w:p>
      <w:pPr>
        <w:pStyle w:val="BodyText"/>
        <w:spacing w:before="20"/>
        <w:rPr>
          <w:b/>
        </w:rPr>
      </w:pPr>
    </w:p>
    <w:p>
      <w:pPr>
        <w:pStyle w:val="Heading2"/>
        <w:spacing w:before="1"/>
      </w:pPr>
      <w:r>
        <w:rPr/>
        <w:t>Foreign</w:t>
      </w:r>
      <w:r>
        <w:rPr>
          <w:spacing w:val="-5"/>
        </w:rPr>
        <w:t> </w:t>
      </w:r>
      <w:r>
        <w:rPr>
          <w:spacing w:val="-2"/>
        </w:rPr>
        <w:t>Exposure</w:t>
      </w:r>
    </w:p>
    <w:p>
      <w:pPr>
        <w:pStyle w:val="BodyText"/>
        <w:spacing w:line="249" w:lineRule="auto" w:before="193"/>
        <w:ind w:left="470" w:right="548"/>
      </w:pPr>
      <w:r>
        <w:rPr/>
        <w:t>At</w:t>
      </w:r>
      <w:r>
        <w:rPr>
          <w:spacing w:val="-1"/>
        </w:rPr>
        <w:t> </w:t>
      </w:r>
      <w:r>
        <w:rPr/>
        <w:t>September 30, 2023, Schwab had exposure</w:t>
      </w:r>
      <w:r>
        <w:rPr>
          <w:spacing w:val="-1"/>
        </w:rPr>
        <w:t> </w:t>
      </w:r>
      <w:r>
        <w:rPr/>
        <w:t>to non-sovereign financial</w:t>
      </w:r>
      <w:r>
        <w:rPr>
          <w:spacing w:val="-1"/>
        </w:rPr>
        <w:t> </w:t>
      </w:r>
      <w:r>
        <w:rPr/>
        <w:t>and non-financial</w:t>
      </w:r>
      <w:r>
        <w:rPr>
          <w:spacing w:val="-1"/>
        </w:rPr>
        <w:t> </w:t>
      </w:r>
      <w:r>
        <w:rPr/>
        <w:t>institutions</w:t>
      </w:r>
      <w:r>
        <w:rPr>
          <w:spacing w:val="-1"/>
        </w:rPr>
        <w:t> </w:t>
      </w:r>
      <w:r>
        <w:rPr/>
        <w:t>in foreign countries, as well as agencies of foreign governments. At September 30, 2023, the fair value of these holdings totaled $7.8 billion, with the top three exposures being to issuers and counterparties domiciled in France at $2.0 billion, Canada at $1.5 billion, and the United Kingdom at $908 million. At December 31, 2022, the fair value of these holdings totaled $16.4 billion, with the top three</w:t>
      </w:r>
      <w:r>
        <w:rPr>
          <w:spacing w:val="-3"/>
        </w:rPr>
        <w:t> </w:t>
      </w:r>
      <w:r>
        <w:rPr/>
        <w:t>exposures</w:t>
      </w:r>
      <w:r>
        <w:rPr>
          <w:spacing w:val="-3"/>
        </w:rPr>
        <w:t> </w:t>
      </w:r>
      <w:r>
        <w:rPr/>
        <w:t>being</w:t>
      </w:r>
      <w:r>
        <w:rPr>
          <w:spacing w:val="-2"/>
        </w:rPr>
        <w:t> </w:t>
      </w:r>
      <w:r>
        <w:rPr/>
        <w:t>to</w:t>
      </w:r>
      <w:r>
        <w:rPr>
          <w:spacing w:val="-2"/>
        </w:rPr>
        <w:t> </w:t>
      </w:r>
      <w:r>
        <w:rPr/>
        <w:t>issuers</w:t>
      </w:r>
      <w:r>
        <w:rPr>
          <w:spacing w:val="-3"/>
        </w:rPr>
        <w:t> </w:t>
      </w:r>
      <w:r>
        <w:rPr/>
        <w:t>and</w:t>
      </w:r>
      <w:r>
        <w:rPr>
          <w:spacing w:val="-2"/>
        </w:rPr>
        <w:t> </w:t>
      </w:r>
      <w:r>
        <w:rPr/>
        <w:t>counterparties</w:t>
      </w:r>
      <w:r>
        <w:rPr>
          <w:spacing w:val="-3"/>
        </w:rPr>
        <w:t> </w:t>
      </w:r>
      <w:r>
        <w:rPr/>
        <w:t>domiciled</w:t>
      </w:r>
      <w:r>
        <w:rPr>
          <w:spacing w:val="-2"/>
        </w:rPr>
        <w:t> </w:t>
      </w:r>
      <w:r>
        <w:rPr/>
        <w:t>in</w:t>
      </w:r>
      <w:r>
        <w:rPr>
          <w:spacing w:val="-2"/>
        </w:rPr>
        <w:t> </w:t>
      </w:r>
      <w:r>
        <w:rPr/>
        <w:t>France</w:t>
      </w:r>
      <w:r>
        <w:rPr>
          <w:spacing w:val="-3"/>
        </w:rPr>
        <w:t> </w:t>
      </w:r>
      <w:r>
        <w:rPr/>
        <w:t>at</w:t>
      </w:r>
      <w:r>
        <w:rPr>
          <w:spacing w:val="-3"/>
        </w:rPr>
        <w:t> </w:t>
      </w:r>
      <w:r>
        <w:rPr/>
        <w:t>$5.1</w:t>
      </w:r>
      <w:r>
        <w:rPr>
          <w:spacing w:val="-2"/>
        </w:rPr>
        <w:t> </w:t>
      </w:r>
      <w:r>
        <w:rPr/>
        <w:t>billion,</w:t>
      </w:r>
      <w:r>
        <w:rPr>
          <w:spacing w:val="-2"/>
        </w:rPr>
        <w:t> </w:t>
      </w:r>
      <w:r>
        <w:rPr/>
        <w:t>the</w:t>
      </w:r>
      <w:r>
        <w:rPr>
          <w:spacing w:val="-3"/>
        </w:rPr>
        <w:t> </w:t>
      </w:r>
      <w:r>
        <w:rPr/>
        <w:t>United</w:t>
      </w:r>
      <w:r>
        <w:rPr>
          <w:spacing w:val="-2"/>
        </w:rPr>
        <w:t> </w:t>
      </w:r>
      <w:r>
        <w:rPr/>
        <w:t>Kingdom</w:t>
      </w:r>
      <w:r>
        <w:rPr>
          <w:spacing w:val="-3"/>
        </w:rPr>
        <w:t> </w:t>
      </w:r>
      <w:r>
        <w:rPr/>
        <w:t>at</w:t>
      </w:r>
      <w:r>
        <w:rPr>
          <w:spacing w:val="-3"/>
        </w:rPr>
        <w:t> </w:t>
      </w:r>
      <w:r>
        <w:rPr/>
        <w:t>$4.8</w:t>
      </w:r>
      <w:r>
        <w:rPr>
          <w:spacing w:val="-2"/>
        </w:rPr>
        <w:t> </w:t>
      </w:r>
      <w:r>
        <w:rPr/>
        <w:t>billion,</w:t>
      </w:r>
      <w:r>
        <w:rPr>
          <w:spacing w:val="-2"/>
        </w:rPr>
        <w:t> </w:t>
      </w:r>
      <w:r>
        <w:rPr/>
        <w:t>and Canada</w:t>
      </w:r>
      <w:r>
        <w:rPr>
          <w:spacing w:val="-3"/>
        </w:rPr>
        <w:t> </w:t>
      </w:r>
      <w:r>
        <w:rPr/>
        <w:t>at</w:t>
      </w:r>
      <w:r>
        <w:rPr>
          <w:spacing w:val="-3"/>
        </w:rPr>
        <w:t> </w:t>
      </w:r>
      <w:r>
        <w:rPr/>
        <w:t>$1.7</w:t>
      </w:r>
      <w:r>
        <w:rPr>
          <w:spacing w:val="-2"/>
        </w:rPr>
        <w:t> </w:t>
      </w:r>
      <w:r>
        <w:rPr/>
        <w:t>billion.</w:t>
      </w:r>
      <w:r>
        <w:rPr>
          <w:spacing w:val="-2"/>
        </w:rPr>
        <w:t> </w:t>
      </w:r>
      <w:r>
        <w:rPr/>
        <w:t>In</w:t>
      </w:r>
      <w:r>
        <w:rPr>
          <w:spacing w:val="-2"/>
        </w:rPr>
        <w:t> </w:t>
      </w:r>
      <w:r>
        <w:rPr/>
        <w:t>addition,</w:t>
      </w:r>
      <w:r>
        <w:rPr>
          <w:spacing w:val="-2"/>
        </w:rPr>
        <w:t> </w:t>
      </w:r>
      <w:r>
        <w:rPr/>
        <w:t>Schwab</w:t>
      </w:r>
      <w:r>
        <w:rPr>
          <w:spacing w:val="-2"/>
        </w:rPr>
        <w:t> </w:t>
      </w:r>
      <w:r>
        <w:rPr/>
        <w:t>had</w:t>
      </w:r>
      <w:r>
        <w:rPr>
          <w:spacing w:val="-2"/>
        </w:rPr>
        <w:t> </w:t>
      </w:r>
      <w:r>
        <w:rPr/>
        <w:t>outstanding</w:t>
      </w:r>
      <w:r>
        <w:rPr>
          <w:spacing w:val="-2"/>
        </w:rPr>
        <w:t> </w:t>
      </w:r>
      <w:r>
        <w:rPr/>
        <w:t>margin</w:t>
      </w:r>
      <w:r>
        <w:rPr>
          <w:spacing w:val="-2"/>
        </w:rPr>
        <w:t> </w:t>
      </w:r>
      <w:r>
        <w:rPr/>
        <w:t>loans</w:t>
      </w:r>
      <w:r>
        <w:rPr>
          <w:spacing w:val="-3"/>
        </w:rPr>
        <w:t> </w:t>
      </w:r>
      <w:r>
        <w:rPr/>
        <w:t>to</w:t>
      </w:r>
      <w:r>
        <w:rPr>
          <w:spacing w:val="-2"/>
        </w:rPr>
        <w:t> </w:t>
      </w:r>
      <w:r>
        <w:rPr/>
        <w:t>foreign</w:t>
      </w:r>
      <w:r>
        <w:rPr>
          <w:spacing w:val="-2"/>
        </w:rPr>
        <w:t> </w:t>
      </w:r>
      <w:r>
        <w:rPr/>
        <w:t>residents</w:t>
      </w:r>
      <w:r>
        <w:rPr>
          <w:spacing w:val="-3"/>
        </w:rPr>
        <w:t> </w:t>
      </w:r>
      <w:r>
        <w:rPr/>
        <w:t>of</w:t>
      </w:r>
      <w:r>
        <w:rPr>
          <w:spacing w:val="-2"/>
        </w:rPr>
        <w:t> </w:t>
      </w:r>
      <w:r>
        <w:rPr/>
        <w:t>$2.7</w:t>
      </w:r>
      <w:r>
        <w:rPr>
          <w:spacing w:val="-2"/>
        </w:rPr>
        <w:t> </w:t>
      </w:r>
      <w:r>
        <w:rPr/>
        <w:t>billion</w:t>
      </w:r>
      <w:r>
        <w:rPr>
          <w:spacing w:val="-2"/>
        </w:rPr>
        <w:t> </w:t>
      </w:r>
      <w:r>
        <w:rPr/>
        <w:t>and</w:t>
      </w:r>
      <w:r>
        <w:rPr>
          <w:spacing w:val="-2"/>
        </w:rPr>
        <w:t> </w:t>
      </w:r>
      <w:r>
        <w:rPr/>
        <w:t>$2.5</w:t>
      </w:r>
      <w:r>
        <w:rPr>
          <w:spacing w:val="-2"/>
        </w:rPr>
        <w:t> </w:t>
      </w:r>
      <w:r>
        <w:rPr/>
        <w:t>billion</w:t>
      </w:r>
      <w:r>
        <w:rPr>
          <w:spacing w:val="-2"/>
        </w:rPr>
        <w:t> </w:t>
      </w:r>
      <w:r>
        <w:rPr/>
        <w:t>at September 30, 2023 and December 31, 2022, respectively.</w:t>
      </w:r>
    </w:p>
    <w:p>
      <w:pPr>
        <w:pStyle w:val="BodyText"/>
        <w:spacing w:before="12"/>
      </w:pPr>
    </w:p>
    <w:p>
      <w:pPr>
        <w:spacing w:before="0"/>
        <w:ind w:left="470" w:right="0" w:firstLine="0"/>
        <w:jc w:val="left"/>
        <w:rPr>
          <w:b/>
          <w:sz w:val="20"/>
        </w:rPr>
      </w:pPr>
      <w:bookmarkStart w:name="Critical Accounting Estimates" w:id="24"/>
      <w:bookmarkEnd w:id="24"/>
      <w:r>
        <w:rPr/>
      </w:r>
      <w:r>
        <w:rPr>
          <w:b/>
          <w:sz w:val="20"/>
          <w:u w:val="single"/>
        </w:rPr>
        <w:t>CRITICAL</w:t>
      </w:r>
      <w:r>
        <w:rPr>
          <w:b/>
          <w:spacing w:val="-9"/>
          <w:sz w:val="20"/>
          <w:u w:val="single"/>
        </w:rPr>
        <w:t> </w:t>
      </w:r>
      <w:r>
        <w:rPr>
          <w:b/>
          <w:sz w:val="20"/>
          <w:u w:val="single"/>
        </w:rPr>
        <w:t>ACCOUNTING</w:t>
      </w:r>
      <w:r>
        <w:rPr>
          <w:b/>
          <w:spacing w:val="-9"/>
          <w:sz w:val="20"/>
          <w:u w:val="single"/>
        </w:rPr>
        <w:t> </w:t>
      </w:r>
      <w:r>
        <w:rPr>
          <w:b/>
          <w:spacing w:val="-2"/>
          <w:sz w:val="20"/>
          <w:u w:val="single"/>
        </w:rPr>
        <w:t>ESTIMATES</w:t>
      </w:r>
    </w:p>
    <w:p>
      <w:pPr>
        <w:pStyle w:val="BodyText"/>
        <w:spacing w:before="23"/>
        <w:rPr>
          <w:b/>
        </w:rPr>
      </w:pPr>
    </w:p>
    <w:p>
      <w:pPr>
        <w:pStyle w:val="BodyText"/>
        <w:spacing w:line="249" w:lineRule="auto" w:before="1"/>
        <w:ind w:left="470" w:right="683"/>
        <w:jc w:val="both"/>
      </w:pPr>
      <w:r>
        <w:rPr/>
        <w:t>Certain</w:t>
      </w:r>
      <w:r>
        <w:rPr>
          <w:spacing w:val="-2"/>
        </w:rPr>
        <w:t> </w:t>
      </w:r>
      <w:r>
        <w:rPr/>
        <w:t>of</w:t>
      </w:r>
      <w:r>
        <w:rPr>
          <w:spacing w:val="-2"/>
        </w:rPr>
        <w:t> </w:t>
      </w:r>
      <w:r>
        <w:rPr/>
        <w:t>our</w:t>
      </w:r>
      <w:r>
        <w:rPr>
          <w:spacing w:val="-2"/>
        </w:rPr>
        <w:t> </w:t>
      </w:r>
      <w:r>
        <w:rPr/>
        <w:t>accounting</w:t>
      </w:r>
      <w:r>
        <w:rPr>
          <w:spacing w:val="-2"/>
        </w:rPr>
        <w:t> </w:t>
      </w:r>
      <w:r>
        <w:rPr/>
        <w:t>policies</w:t>
      </w:r>
      <w:r>
        <w:rPr>
          <w:spacing w:val="-3"/>
        </w:rPr>
        <w:t> </w:t>
      </w:r>
      <w:r>
        <w:rPr/>
        <w:t>that</w:t>
      </w:r>
      <w:r>
        <w:rPr>
          <w:spacing w:val="-3"/>
        </w:rPr>
        <w:t> </w:t>
      </w:r>
      <w:r>
        <w:rPr/>
        <w:t>involve</w:t>
      </w:r>
      <w:r>
        <w:rPr>
          <w:spacing w:val="-3"/>
        </w:rPr>
        <w:t> </w:t>
      </w:r>
      <w:r>
        <w:rPr/>
        <w:t>a</w:t>
      </w:r>
      <w:r>
        <w:rPr>
          <w:spacing w:val="-3"/>
        </w:rPr>
        <w:t> </w:t>
      </w:r>
      <w:r>
        <w:rPr/>
        <w:t>higher</w:t>
      </w:r>
      <w:r>
        <w:rPr>
          <w:spacing w:val="-2"/>
        </w:rPr>
        <w:t> </w:t>
      </w:r>
      <w:r>
        <w:rPr/>
        <w:t>degree</w:t>
      </w:r>
      <w:r>
        <w:rPr>
          <w:spacing w:val="-3"/>
        </w:rPr>
        <w:t> </w:t>
      </w:r>
      <w:r>
        <w:rPr/>
        <w:t>of</w:t>
      </w:r>
      <w:r>
        <w:rPr>
          <w:spacing w:val="-2"/>
        </w:rPr>
        <w:t> </w:t>
      </w:r>
      <w:r>
        <w:rPr/>
        <w:t>judgment</w:t>
      </w:r>
      <w:r>
        <w:rPr>
          <w:spacing w:val="-3"/>
        </w:rPr>
        <w:t> </w:t>
      </w:r>
      <w:r>
        <w:rPr/>
        <w:t>and</w:t>
      </w:r>
      <w:r>
        <w:rPr>
          <w:spacing w:val="-2"/>
        </w:rPr>
        <w:t> </w:t>
      </w:r>
      <w:r>
        <w:rPr/>
        <w:t>complexity</w:t>
      </w:r>
      <w:r>
        <w:rPr>
          <w:spacing w:val="-2"/>
        </w:rPr>
        <w:t> </w:t>
      </w:r>
      <w:r>
        <w:rPr/>
        <w:t>are</w:t>
      </w:r>
      <w:r>
        <w:rPr>
          <w:spacing w:val="-3"/>
        </w:rPr>
        <w:t> </w:t>
      </w:r>
      <w:r>
        <w:rPr/>
        <w:t>discussed</w:t>
      </w:r>
      <w:r>
        <w:rPr>
          <w:spacing w:val="-2"/>
        </w:rPr>
        <w:t> </w:t>
      </w:r>
      <w:r>
        <w:rPr/>
        <w:t>in</w:t>
      </w:r>
      <w:r>
        <w:rPr>
          <w:spacing w:val="-2"/>
        </w:rPr>
        <w:t> </w:t>
      </w:r>
      <w:r>
        <w:rPr/>
        <w:t>Part</w:t>
      </w:r>
      <w:r>
        <w:rPr>
          <w:spacing w:val="-3"/>
        </w:rPr>
        <w:t> </w:t>
      </w:r>
      <w:r>
        <w:rPr/>
        <w:t>II</w:t>
      </w:r>
      <w:r>
        <w:rPr>
          <w:spacing w:val="-2"/>
        </w:rPr>
        <w:t> </w:t>
      </w:r>
      <w:r>
        <w:rPr/>
        <w:t>–</w:t>
      </w:r>
      <w:r>
        <w:rPr>
          <w:spacing w:val="-2"/>
        </w:rPr>
        <w:t> </w:t>
      </w:r>
      <w:r>
        <w:rPr/>
        <w:t>Item</w:t>
      </w:r>
      <w:r>
        <w:rPr>
          <w:spacing w:val="-3"/>
        </w:rPr>
        <w:t> </w:t>
      </w:r>
      <w:r>
        <w:rPr/>
        <w:t>7</w:t>
      </w:r>
      <w:r>
        <w:rPr>
          <w:spacing w:val="-2"/>
        </w:rPr>
        <w:t> </w:t>
      </w:r>
      <w:r>
        <w:rPr/>
        <w:t>– Management’s</w:t>
      </w:r>
      <w:r>
        <w:rPr>
          <w:spacing w:val="-1"/>
        </w:rPr>
        <w:t> </w:t>
      </w:r>
      <w:r>
        <w:rPr/>
        <w:t>Discussion and Analysis</w:t>
      </w:r>
      <w:r>
        <w:rPr>
          <w:spacing w:val="-1"/>
        </w:rPr>
        <w:t> </w:t>
      </w:r>
      <w:r>
        <w:rPr/>
        <w:t>of Financial</w:t>
      </w:r>
      <w:r>
        <w:rPr>
          <w:spacing w:val="-1"/>
        </w:rPr>
        <w:t> </w:t>
      </w:r>
      <w:r>
        <w:rPr/>
        <w:t>Condition and Results</w:t>
      </w:r>
      <w:r>
        <w:rPr>
          <w:spacing w:val="-1"/>
        </w:rPr>
        <w:t> </w:t>
      </w:r>
      <w:r>
        <w:rPr/>
        <w:t>of Operations</w:t>
      </w:r>
      <w:r>
        <w:rPr>
          <w:spacing w:val="-1"/>
        </w:rPr>
        <w:t> </w:t>
      </w:r>
      <w:r>
        <w:rPr/>
        <w:t>– Critical</w:t>
      </w:r>
      <w:r>
        <w:rPr>
          <w:spacing w:val="-1"/>
        </w:rPr>
        <w:t> </w:t>
      </w:r>
      <w:r>
        <w:rPr/>
        <w:t>Accounting Estimates</w:t>
      </w:r>
      <w:r>
        <w:rPr>
          <w:spacing w:val="-1"/>
        </w:rPr>
        <w:t> </w:t>
      </w:r>
      <w:r>
        <w:rPr/>
        <w:t>in the 2022 Form 10-K. There have been no changes to critical accounting estimates during the first nine months of 2023.</w:t>
      </w:r>
    </w:p>
    <w:p>
      <w:pPr>
        <w:pStyle w:val="BodyText"/>
        <w:spacing w:before="9"/>
      </w:pPr>
    </w:p>
    <w:p>
      <w:pPr>
        <w:spacing w:before="0"/>
        <w:ind w:left="470" w:right="0" w:firstLine="0"/>
        <w:jc w:val="both"/>
        <w:rPr>
          <w:b/>
          <w:sz w:val="20"/>
        </w:rPr>
      </w:pPr>
      <w:bookmarkStart w:name="Non-GAAP Measures" w:id="25"/>
      <w:bookmarkEnd w:id="25"/>
      <w:r>
        <w:rPr/>
      </w:r>
      <w:r>
        <w:rPr>
          <w:b/>
          <w:sz w:val="20"/>
          <w:u w:val="single"/>
        </w:rPr>
        <w:t>NON-GAAP</w:t>
      </w:r>
      <w:r>
        <w:rPr>
          <w:b/>
          <w:spacing w:val="-8"/>
          <w:sz w:val="20"/>
          <w:u w:val="single"/>
        </w:rPr>
        <w:t> </w:t>
      </w:r>
      <w:r>
        <w:rPr>
          <w:b/>
          <w:sz w:val="20"/>
          <w:u w:val="single"/>
        </w:rPr>
        <w:t>FINANCIAL</w:t>
      </w:r>
      <w:r>
        <w:rPr>
          <w:b/>
          <w:spacing w:val="-8"/>
          <w:sz w:val="20"/>
          <w:u w:val="single"/>
        </w:rPr>
        <w:t> </w:t>
      </w:r>
      <w:r>
        <w:rPr>
          <w:b/>
          <w:spacing w:val="-2"/>
          <w:sz w:val="20"/>
          <w:u w:val="single"/>
        </w:rPr>
        <w:t>MEASURES</w:t>
      </w:r>
    </w:p>
    <w:p>
      <w:pPr>
        <w:pStyle w:val="BodyText"/>
        <w:spacing w:before="23"/>
        <w:rPr>
          <w:b/>
        </w:rPr>
      </w:pPr>
    </w:p>
    <w:p>
      <w:pPr>
        <w:pStyle w:val="BodyText"/>
        <w:spacing w:line="249" w:lineRule="auto"/>
        <w:ind w:left="470" w:right="473"/>
      </w:pPr>
      <w:r>
        <w:rPr/>
        <w:t>In addition to disclosing financial results in accordance with generally accepted accounting principles in the U.S. (GAAP), Management’s Discussion and Analysis of Financial Condition and Results of Operations contain references to the non-GAAP financial measures described below. We believe these non-GAAP financial measures provide useful supplemental information about</w:t>
      </w:r>
      <w:r>
        <w:rPr>
          <w:spacing w:val="-4"/>
        </w:rPr>
        <w:t> </w:t>
      </w:r>
      <w:r>
        <w:rPr/>
        <w:t>the</w:t>
      </w:r>
      <w:r>
        <w:rPr>
          <w:spacing w:val="-4"/>
        </w:rPr>
        <w:t> </w:t>
      </w:r>
      <w:r>
        <w:rPr/>
        <w:t>financial</w:t>
      </w:r>
      <w:r>
        <w:rPr>
          <w:spacing w:val="-4"/>
        </w:rPr>
        <w:t> </w:t>
      </w:r>
      <w:r>
        <w:rPr/>
        <w:t>performance</w:t>
      </w:r>
      <w:r>
        <w:rPr>
          <w:spacing w:val="-4"/>
        </w:rPr>
        <w:t> </w:t>
      </w:r>
      <w:r>
        <w:rPr/>
        <w:t>of</w:t>
      </w:r>
      <w:r>
        <w:rPr>
          <w:spacing w:val="-3"/>
        </w:rPr>
        <w:t> </w:t>
      </w:r>
      <w:r>
        <w:rPr/>
        <w:t>the</w:t>
      </w:r>
      <w:r>
        <w:rPr>
          <w:spacing w:val="-4"/>
        </w:rPr>
        <w:t> </w:t>
      </w:r>
      <w:r>
        <w:rPr/>
        <w:t>Company,</w:t>
      </w:r>
      <w:r>
        <w:rPr>
          <w:spacing w:val="-3"/>
        </w:rPr>
        <w:t> </w:t>
      </w:r>
      <w:r>
        <w:rPr/>
        <w:t>and</w:t>
      </w:r>
      <w:r>
        <w:rPr>
          <w:spacing w:val="-3"/>
        </w:rPr>
        <w:t> </w:t>
      </w:r>
      <w:r>
        <w:rPr/>
        <w:t>facilitate</w:t>
      </w:r>
      <w:r>
        <w:rPr>
          <w:spacing w:val="-4"/>
        </w:rPr>
        <w:t> </w:t>
      </w:r>
      <w:r>
        <w:rPr/>
        <w:t>meaningful</w:t>
      </w:r>
      <w:r>
        <w:rPr>
          <w:spacing w:val="-4"/>
        </w:rPr>
        <w:t> </w:t>
      </w:r>
      <w:r>
        <w:rPr/>
        <w:t>comparison</w:t>
      </w:r>
      <w:r>
        <w:rPr>
          <w:spacing w:val="-3"/>
        </w:rPr>
        <w:t> </w:t>
      </w:r>
      <w:r>
        <w:rPr/>
        <w:t>of</w:t>
      </w:r>
      <w:r>
        <w:rPr>
          <w:spacing w:val="-3"/>
        </w:rPr>
        <w:t> </w:t>
      </w:r>
      <w:r>
        <w:rPr/>
        <w:t>Schwab’s</w:t>
      </w:r>
      <w:r>
        <w:rPr>
          <w:spacing w:val="-4"/>
        </w:rPr>
        <w:t> </w:t>
      </w:r>
      <w:r>
        <w:rPr/>
        <w:t>results</w:t>
      </w:r>
      <w:r>
        <w:rPr>
          <w:spacing w:val="-4"/>
        </w:rPr>
        <w:t> </w:t>
      </w:r>
      <w:r>
        <w:rPr/>
        <w:t>in</w:t>
      </w:r>
      <w:r>
        <w:rPr>
          <w:spacing w:val="-3"/>
        </w:rPr>
        <w:t> </w:t>
      </w:r>
      <w:r>
        <w:rPr/>
        <w:t>the</w:t>
      </w:r>
      <w:r>
        <w:rPr>
          <w:spacing w:val="-4"/>
        </w:rPr>
        <w:t> </w:t>
      </w:r>
      <w:r>
        <w:rPr/>
        <w:t>current</w:t>
      </w:r>
      <w:r>
        <w:rPr>
          <w:spacing w:val="-4"/>
        </w:rPr>
        <w:t> </w:t>
      </w:r>
      <w:r>
        <w:rPr/>
        <w:t>period to</w:t>
      </w:r>
      <w:r>
        <w:rPr>
          <w:spacing w:val="-1"/>
        </w:rPr>
        <w:t> </w:t>
      </w:r>
      <w:r>
        <w:rPr/>
        <w:t>both</w:t>
      </w:r>
      <w:r>
        <w:rPr>
          <w:spacing w:val="-1"/>
        </w:rPr>
        <w:t> </w:t>
      </w:r>
      <w:r>
        <w:rPr/>
        <w:t>historic</w:t>
      </w:r>
      <w:r>
        <w:rPr>
          <w:spacing w:val="-2"/>
        </w:rPr>
        <w:t> </w:t>
      </w:r>
      <w:r>
        <w:rPr/>
        <w:t>and</w:t>
      </w:r>
      <w:r>
        <w:rPr>
          <w:spacing w:val="-1"/>
        </w:rPr>
        <w:t> </w:t>
      </w:r>
      <w:r>
        <w:rPr/>
        <w:t>future</w:t>
      </w:r>
      <w:r>
        <w:rPr>
          <w:spacing w:val="-2"/>
        </w:rPr>
        <w:t> </w:t>
      </w:r>
      <w:r>
        <w:rPr/>
        <w:t>results.</w:t>
      </w:r>
      <w:r>
        <w:rPr>
          <w:spacing w:val="-1"/>
        </w:rPr>
        <w:t> </w:t>
      </w:r>
      <w:r>
        <w:rPr/>
        <w:t>These</w:t>
      </w:r>
      <w:r>
        <w:rPr>
          <w:spacing w:val="-2"/>
        </w:rPr>
        <w:t> </w:t>
      </w:r>
      <w:r>
        <w:rPr/>
        <w:t>non-GAAP</w:t>
      </w:r>
      <w:r>
        <w:rPr>
          <w:spacing w:val="-2"/>
        </w:rPr>
        <w:t> </w:t>
      </w:r>
      <w:r>
        <w:rPr/>
        <w:t>measures</w:t>
      </w:r>
      <w:r>
        <w:rPr>
          <w:spacing w:val="-2"/>
        </w:rPr>
        <w:t> </w:t>
      </w:r>
      <w:r>
        <w:rPr/>
        <w:t>should</w:t>
      </w:r>
      <w:r>
        <w:rPr>
          <w:spacing w:val="-1"/>
        </w:rPr>
        <w:t> </w:t>
      </w:r>
      <w:r>
        <w:rPr/>
        <w:t>not</w:t>
      </w:r>
      <w:r>
        <w:rPr>
          <w:spacing w:val="-2"/>
        </w:rPr>
        <w:t> </w:t>
      </w:r>
      <w:r>
        <w:rPr/>
        <w:t>be</w:t>
      </w:r>
      <w:r>
        <w:rPr>
          <w:spacing w:val="-2"/>
        </w:rPr>
        <w:t> </w:t>
      </w:r>
      <w:r>
        <w:rPr/>
        <w:t>considered</w:t>
      </w:r>
      <w:r>
        <w:rPr>
          <w:spacing w:val="-1"/>
        </w:rPr>
        <w:t> </w:t>
      </w:r>
      <w:r>
        <w:rPr/>
        <w:t>a</w:t>
      </w:r>
      <w:r>
        <w:rPr>
          <w:spacing w:val="-2"/>
        </w:rPr>
        <w:t> </w:t>
      </w:r>
      <w:r>
        <w:rPr/>
        <w:t>substitute</w:t>
      </w:r>
      <w:r>
        <w:rPr>
          <w:spacing w:val="-2"/>
        </w:rPr>
        <w:t> </w:t>
      </w:r>
      <w:r>
        <w:rPr/>
        <w:t>for,</w:t>
      </w:r>
      <w:r>
        <w:rPr>
          <w:spacing w:val="-1"/>
        </w:rPr>
        <w:t> </w:t>
      </w:r>
      <w:r>
        <w:rPr/>
        <w:t>or</w:t>
      </w:r>
      <w:r>
        <w:rPr>
          <w:spacing w:val="-1"/>
        </w:rPr>
        <w:t> </w:t>
      </w:r>
      <w:r>
        <w:rPr/>
        <w:t>superior</w:t>
      </w:r>
      <w:r>
        <w:rPr>
          <w:spacing w:val="-1"/>
        </w:rPr>
        <w:t> </w:t>
      </w:r>
      <w:r>
        <w:rPr/>
        <w:t>to,</w:t>
      </w:r>
      <w:r>
        <w:rPr>
          <w:spacing w:val="-1"/>
        </w:rPr>
        <w:t> </w:t>
      </w:r>
      <w:r>
        <w:rPr/>
        <w:t>financial measures calculated in accordance with GAAP, and may not be comparable to non-GAAP financial measures presented by</w:t>
      </w:r>
      <w:r>
        <w:rPr/>
        <w:t> other companies.</w:t>
      </w:r>
    </w:p>
    <w:p>
      <w:pPr>
        <w:spacing w:after="0" w:line="249" w:lineRule="auto"/>
        <w:sectPr>
          <w:pgSz w:w="12240" w:h="15840"/>
          <w:pgMar w:header="512" w:footer="201" w:top="1180" w:bottom="400" w:left="520" w:right="520"/>
        </w:sectPr>
      </w:pPr>
    </w:p>
    <w:p>
      <w:pPr>
        <w:pStyle w:val="BodyText"/>
        <w:spacing w:line="249" w:lineRule="auto" w:before="211"/>
        <w:ind w:left="470" w:right="500"/>
      </w:pPr>
      <w:r>
        <w:rPr/>
        <w:t>Schwab’s use of non-GAAP measures is reflective of certain adjustments made to GAAP financial measures as described below. Beginning in the third quarter of 2023, these adjustments also include restructuring costs, which the Company began incurring</w:t>
      </w:r>
      <w:r>
        <w:rPr>
          <w:spacing w:val="-3"/>
        </w:rPr>
        <w:t> </w:t>
      </w:r>
      <w:r>
        <w:rPr/>
        <w:t>in</w:t>
      </w:r>
      <w:r>
        <w:rPr>
          <w:spacing w:val="-3"/>
        </w:rPr>
        <w:t> </w:t>
      </w:r>
      <w:r>
        <w:rPr/>
        <w:t>connection</w:t>
      </w:r>
      <w:r>
        <w:rPr>
          <w:spacing w:val="-3"/>
        </w:rPr>
        <w:t> </w:t>
      </w:r>
      <w:r>
        <w:rPr/>
        <w:t>with</w:t>
      </w:r>
      <w:r>
        <w:rPr>
          <w:spacing w:val="-3"/>
        </w:rPr>
        <w:t> </w:t>
      </w:r>
      <w:r>
        <w:rPr/>
        <w:t>its</w:t>
      </w:r>
      <w:r>
        <w:rPr>
          <w:spacing w:val="-4"/>
        </w:rPr>
        <w:t> </w:t>
      </w:r>
      <w:r>
        <w:rPr/>
        <w:t>previously</w:t>
      </w:r>
      <w:r>
        <w:rPr>
          <w:spacing w:val="-3"/>
        </w:rPr>
        <w:t> </w:t>
      </w:r>
      <w:r>
        <w:rPr/>
        <w:t>announced</w:t>
      </w:r>
      <w:r>
        <w:rPr>
          <w:spacing w:val="-3"/>
        </w:rPr>
        <w:t> </w:t>
      </w:r>
      <w:r>
        <w:rPr/>
        <w:t>plans</w:t>
      </w:r>
      <w:r>
        <w:rPr>
          <w:spacing w:val="-4"/>
        </w:rPr>
        <w:t> </w:t>
      </w:r>
      <w:r>
        <w:rPr/>
        <w:t>to</w:t>
      </w:r>
      <w:r>
        <w:rPr>
          <w:spacing w:val="-3"/>
        </w:rPr>
        <w:t> </w:t>
      </w:r>
      <w:r>
        <w:rPr/>
        <w:t>streamline</w:t>
      </w:r>
      <w:r>
        <w:rPr>
          <w:spacing w:val="-4"/>
        </w:rPr>
        <w:t> </w:t>
      </w:r>
      <w:r>
        <w:rPr/>
        <w:t>its</w:t>
      </w:r>
      <w:r>
        <w:rPr>
          <w:spacing w:val="-4"/>
        </w:rPr>
        <w:t> </w:t>
      </w:r>
      <w:r>
        <w:rPr/>
        <w:t>operations</w:t>
      </w:r>
      <w:r>
        <w:rPr>
          <w:spacing w:val="-4"/>
        </w:rPr>
        <w:t> </w:t>
      </w:r>
      <w:r>
        <w:rPr/>
        <w:t>to</w:t>
      </w:r>
      <w:r>
        <w:rPr>
          <w:spacing w:val="-3"/>
        </w:rPr>
        <w:t> </w:t>
      </w:r>
      <w:r>
        <w:rPr/>
        <w:t>prepare</w:t>
      </w:r>
      <w:r>
        <w:rPr>
          <w:spacing w:val="-4"/>
        </w:rPr>
        <w:t> </w:t>
      </w:r>
      <w:r>
        <w:rPr/>
        <w:t>for</w:t>
      </w:r>
      <w:r>
        <w:rPr>
          <w:spacing w:val="-3"/>
        </w:rPr>
        <w:t> </w:t>
      </w:r>
      <w:r>
        <w:rPr/>
        <w:t>post-integration</w:t>
      </w:r>
      <w:r>
        <w:rPr>
          <w:spacing w:val="-3"/>
        </w:rPr>
        <w:t> </w:t>
      </w:r>
      <w:r>
        <w:rPr/>
        <w:t>of</w:t>
      </w:r>
      <w:r>
        <w:rPr>
          <w:spacing w:val="-3"/>
        </w:rPr>
        <w:t> </w:t>
      </w:r>
      <w:r>
        <w:rPr/>
        <w:t>TD Ameritrade. See Part I – Item 1 – Note 10 for additional information.</w:t>
      </w:r>
    </w:p>
    <w:p>
      <w:pPr>
        <w:pStyle w:val="BodyText"/>
        <w:spacing w:before="8" w:after="1"/>
        <w:rPr>
          <w:sz w:val="12"/>
        </w:rPr>
      </w:pPr>
    </w:p>
    <w:tbl>
      <w:tblPr>
        <w:tblW w:w="0" w:type="auto"/>
        <w:jc w:val="left"/>
        <w:tblInd w:w="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3765"/>
        <w:gridCol w:w="4680"/>
      </w:tblGrid>
      <w:tr>
        <w:trPr>
          <w:trHeight w:val="665" w:hRule="atLeast"/>
        </w:trPr>
        <w:tc>
          <w:tcPr>
            <w:tcW w:w="1800" w:type="dxa"/>
          </w:tcPr>
          <w:p>
            <w:pPr>
              <w:pStyle w:val="TableParagraph"/>
              <w:spacing w:line="215" w:lineRule="exact" w:before="3"/>
              <w:ind w:left="12" w:right="2"/>
              <w:jc w:val="center"/>
              <w:rPr>
                <w:b/>
                <w:sz w:val="20"/>
              </w:rPr>
            </w:pPr>
            <w:r>
              <w:rPr>
                <w:b/>
                <w:spacing w:val="-2"/>
                <w:sz w:val="20"/>
              </w:rPr>
              <w:t>Non-</w:t>
            </w:r>
            <w:r>
              <w:rPr>
                <w:b/>
                <w:spacing w:val="-4"/>
                <w:sz w:val="20"/>
              </w:rPr>
              <w:t>GAAP</w:t>
            </w:r>
          </w:p>
          <w:p>
            <w:pPr>
              <w:pStyle w:val="TableParagraph"/>
              <w:spacing w:line="208" w:lineRule="auto" w:before="9"/>
              <w:ind w:left="12"/>
              <w:jc w:val="center"/>
              <w:rPr>
                <w:b/>
                <w:sz w:val="20"/>
              </w:rPr>
            </w:pPr>
            <w:r>
              <w:rPr>
                <w:b/>
                <w:sz w:val="20"/>
              </w:rPr>
              <w:t>Adjustment</w:t>
            </w:r>
            <w:r>
              <w:rPr>
                <w:b/>
                <w:spacing w:val="-13"/>
                <w:sz w:val="20"/>
              </w:rPr>
              <w:t> </w:t>
            </w:r>
            <w:r>
              <w:rPr>
                <w:b/>
                <w:sz w:val="20"/>
              </w:rPr>
              <w:t>or </w:t>
            </w:r>
            <w:r>
              <w:rPr>
                <w:b/>
                <w:spacing w:val="-2"/>
                <w:sz w:val="20"/>
              </w:rPr>
              <w:t>Measure</w:t>
            </w:r>
          </w:p>
        </w:tc>
        <w:tc>
          <w:tcPr>
            <w:tcW w:w="3765" w:type="dxa"/>
          </w:tcPr>
          <w:p>
            <w:pPr>
              <w:pStyle w:val="TableParagraph"/>
              <w:spacing w:before="203"/>
              <w:ind w:left="9"/>
              <w:jc w:val="center"/>
              <w:rPr>
                <w:b/>
                <w:sz w:val="20"/>
              </w:rPr>
            </w:pPr>
            <w:r>
              <w:rPr>
                <w:b/>
                <w:spacing w:val="-2"/>
                <w:sz w:val="20"/>
              </w:rPr>
              <w:t>Definition</w:t>
            </w:r>
          </w:p>
        </w:tc>
        <w:tc>
          <w:tcPr>
            <w:tcW w:w="4680" w:type="dxa"/>
          </w:tcPr>
          <w:p>
            <w:pPr>
              <w:pStyle w:val="TableParagraph"/>
              <w:spacing w:before="203"/>
              <w:ind w:left="241"/>
              <w:rPr>
                <w:b/>
                <w:sz w:val="20"/>
              </w:rPr>
            </w:pPr>
            <w:r>
              <w:rPr>
                <w:b/>
                <w:sz w:val="20"/>
              </w:rPr>
              <w:t>Usefulness</w:t>
            </w:r>
            <w:r>
              <w:rPr>
                <w:b/>
                <w:spacing w:val="-4"/>
                <w:sz w:val="20"/>
              </w:rPr>
              <w:t> </w:t>
            </w:r>
            <w:r>
              <w:rPr>
                <w:b/>
                <w:sz w:val="20"/>
              </w:rPr>
              <w:t>to</w:t>
            </w:r>
            <w:r>
              <w:rPr>
                <w:b/>
                <w:spacing w:val="-4"/>
                <w:sz w:val="20"/>
              </w:rPr>
              <w:t> </w:t>
            </w:r>
            <w:r>
              <w:rPr>
                <w:b/>
                <w:sz w:val="20"/>
              </w:rPr>
              <w:t>Investors</w:t>
            </w:r>
            <w:r>
              <w:rPr>
                <w:b/>
                <w:spacing w:val="-3"/>
                <w:sz w:val="20"/>
              </w:rPr>
              <w:t> </w:t>
            </w:r>
            <w:r>
              <w:rPr>
                <w:b/>
                <w:sz w:val="20"/>
              </w:rPr>
              <w:t>and</w:t>
            </w:r>
            <w:r>
              <w:rPr>
                <w:b/>
                <w:spacing w:val="-4"/>
                <w:sz w:val="20"/>
              </w:rPr>
              <w:t> </w:t>
            </w:r>
            <w:r>
              <w:rPr>
                <w:b/>
                <w:sz w:val="20"/>
              </w:rPr>
              <w:t>Uses</w:t>
            </w:r>
            <w:r>
              <w:rPr>
                <w:b/>
                <w:spacing w:val="-4"/>
                <w:sz w:val="20"/>
              </w:rPr>
              <w:t> </w:t>
            </w:r>
            <w:r>
              <w:rPr>
                <w:b/>
                <w:sz w:val="20"/>
              </w:rPr>
              <w:t>by</w:t>
            </w:r>
            <w:r>
              <w:rPr>
                <w:b/>
                <w:spacing w:val="-3"/>
                <w:sz w:val="20"/>
              </w:rPr>
              <w:t> </w:t>
            </w:r>
            <w:r>
              <w:rPr>
                <w:b/>
                <w:spacing w:val="-2"/>
                <w:sz w:val="20"/>
              </w:rPr>
              <w:t>Management</w:t>
            </w:r>
          </w:p>
        </w:tc>
      </w:tr>
      <w:tr>
        <w:trPr>
          <w:trHeight w:val="3725" w:hRule="atLeast"/>
        </w:trPr>
        <w:tc>
          <w:tcPr>
            <w:tcW w:w="1800" w:type="dxa"/>
          </w:tcPr>
          <w:p>
            <w:pPr>
              <w:pStyle w:val="TableParagraph"/>
              <w:spacing w:line="208" w:lineRule="auto" w:before="23"/>
              <w:ind w:left="52" w:right="83"/>
              <w:rPr>
                <w:sz w:val="20"/>
              </w:rPr>
            </w:pPr>
            <w:r>
              <w:rPr>
                <w:sz w:val="20"/>
              </w:rPr>
              <w:t>Acquisition and </w:t>
            </w:r>
            <w:r>
              <w:rPr>
                <w:spacing w:val="-2"/>
                <w:sz w:val="20"/>
              </w:rPr>
              <w:t>integration-related </w:t>
            </w:r>
            <w:r>
              <w:rPr>
                <w:sz w:val="20"/>
              </w:rPr>
              <w:t>costs, amortization of acquired intangible</w:t>
            </w:r>
            <w:r>
              <w:rPr>
                <w:spacing w:val="-13"/>
                <w:sz w:val="20"/>
              </w:rPr>
              <w:t> </w:t>
            </w:r>
            <w:r>
              <w:rPr>
                <w:sz w:val="20"/>
              </w:rPr>
              <w:t>assets</w:t>
            </w:r>
            <w:r>
              <w:rPr>
                <w:spacing w:val="-12"/>
                <w:sz w:val="20"/>
              </w:rPr>
              <w:t> </w:t>
            </w:r>
            <w:r>
              <w:rPr>
                <w:sz w:val="20"/>
              </w:rPr>
              <w:t>and restructuring costs</w:t>
            </w:r>
          </w:p>
        </w:tc>
        <w:tc>
          <w:tcPr>
            <w:tcW w:w="3765" w:type="dxa"/>
          </w:tcPr>
          <w:p>
            <w:pPr>
              <w:pStyle w:val="TableParagraph"/>
              <w:spacing w:line="208" w:lineRule="auto" w:before="23"/>
              <w:ind w:left="52"/>
              <w:rPr>
                <w:sz w:val="20"/>
              </w:rPr>
            </w:pPr>
            <w:r>
              <w:rPr>
                <w:sz w:val="20"/>
              </w:rPr>
              <w:t>Schwab adjusts certain GAAP financial measures</w:t>
            </w:r>
            <w:r>
              <w:rPr>
                <w:spacing w:val="-8"/>
                <w:sz w:val="20"/>
              </w:rPr>
              <w:t> </w:t>
            </w:r>
            <w:r>
              <w:rPr>
                <w:sz w:val="20"/>
              </w:rPr>
              <w:t>to</w:t>
            </w:r>
            <w:r>
              <w:rPr>
                <w:spacing w:val="-7"/>
                <w:sz w:val="20"/>
              </w:rPr>
              <w:t> </w:t>
            </w:r>
            <w:r>
              <w:rPr>
                <w:sz w:val="20"/>
              </w:rPr>
              <w:t>exclude</w:t>
            </w:r>
            <w:r>
              <w:rPr>
                <w:spacing w:val="-8"/>
                <w:sz w:val="20"/>
              </w:rPr>
              <w:t> </w:t>
            </w:r>
            <w:r>
              <w:rPr>
                <w:sz w:val="20"/>
              </w:rPr>
              <w:t>the</w:t>
            </w:r>
            <w:r>
              <w:rPr>
                <w:spacing w:val="-8"/>
                <w:sz w:val="20"/>
              </w:rPr>
              <w:t> </w:t>
            </w:r>
            <w:r>
              <w:rPr>
                <w:sz w:val="20"/>
              </w:rPr>
              <w:t>impact</w:t>
            </w:r>
            <w:r>
              <w:rPr>
                <w:spacing w:val="-8"/>
                <w:sz w:val="20"/>
              </w:rPr>
              <w:t> </w:t>
            </w:r>
            <w:r>
              <w:rPr>
                <w:sz w:val="20"/>
              </w:rPr>
              <w:t>of</w:t>
            </w:r>
            <w:r>
              <w:rPr>
                <w:spacing w:val="-7"/>
                <w:sz w:val="20"/>
              </w:rPr>
              <w:t> </w:t>
            </w:r>
            <w:r>
              <w:rPr>
                <w:sz w:val="20"/>
              </w:rPr>
              <w:t>acquisition and integration-related costs incurred as a result of the Company’s acquisitions, amortization of acquired intangible assets, restructuring costs</w:t>
            </w:r>
            <w:r>
              <w:rPr>
                <w:spacing w:val="-1"/>
                <w:sz w:val="20"/>
              </w:rPr>
              <w:t> </w:t>
            </w:r>
            <w:r>
              <w:rPr>
                <w:sz w:val="20"/>
              </w:rPr>
              <w:t>and, where</w:t>
            </w:r>
            <w:r>
              <w:rPr>
                <w:spacing w:val="-1"/>
                <w:sz w:val="20"/>
              </w:rPr>
              <w:t> </w:t>
            </w:r>
            <w:r>
              <w:rPr>
                <w:sz w:val="20"/>
              </w:rPr>
              <w:t>applicable, the income tax effect of these expenses.</w:t>
            </w:r>
          </w:p>
          <w:p>
            <w:pPr>
              <w:pStyle w:val="TableParagraph"/>
              <w:spacing w:line="208" w:lineRule="auto" w:before="200"/>
              <w:ind w:left="52"/>
              <w:rPr>
                <w:sz w:val="20"/>
              </w:rPr>
            </w:pPr>
            <w:r>
              <w:rPr>
                <w:sz w:val="20"/>
              </w:rPr>
              <w:t>Adjustments</w:t>
            </w:r>
            <w:r>
              <w:rPr>
                <w:spacing w:val="-9"/>
                <w:sz w:val="20"/>
              </w:rPr>
              <w:t> </w:t>
            </w:r>
            <w:r>
              <w:rPr>
                <w:sz w:val="20"/>
              </w:rPr>
              <w:t>made</w:t>
            </w:r>
            <w:r>
              <w:rPr>
                <w:spacing w:val="-9"/>
                <w:sz w:val="20"/>
              </w:rPr>
              <w:t> </w:t>
            </w:r>
            <w:r>
              <w:rPr>
                <w:sz w:val="20"/>
              </w:rPr>
              <w:t>to</w:t>
            </w:r>
            <w:r>
              <w:rPr>
                <w:spacing w:val="-8"/>
                <w:sz w:val="20"/>
              </w:rPr>
              <w:t> </w:t>
            </w:r>
            <w:r>
              <w:rPr>
                <w:sz w:val="20"/>
              </w:rPr>
              <w:t>exclude</w:t>
            </w:r>
            <w:r>
              <w:rPr>
                <w:spacing w:val="-9"/>
                <w:sz w:val="20"/>
              </w:rPr>
              <w:t> </w:t>
            </w:r>
            <w:r>
              <w:rPr>
                <w:sz w:val="20"/>
              </w:rPr>
              <w:t>amortization</w:t>
            </w:r>
            <w:r>
              <w:rPr>
                <w:spacing w:val="-8"/>
                <w:sz w:val="20"/>
              </w:rPr>
              <w:t> </w:t>
            </w:r>
            <w:r>
              <w:rPr>
                <w:sz w:val="20"/>
              </w:rPr>
              <w:t>of acquired</w:t>
            </w:r>
            <w:r>
              <w:rPr>
                <w:spacing w:val="-2"/>
                <w:sz w:val="20"/>
              </w:rPr>
              <w:t> </w:t>
            </w:r>
            <w:r>
              <w:rPr>
                <w:sz w:val="20"/>
              </w:rPr>
              <w:t>intangible</w:t>
            </w:r>
            <w:r>
              <w:rPr>
                <w:spacing w:val="-3"/>
                <w:sz w:val="20"/>
              </w:rPr>
              <w:t> </w:t>
            </w:r>
            <w:r>
              <w:rPr>
                <w:sz w:val="20"/>
              </w:rPr>
              <w:t>assets</w:t>
            </w:r>
            <w:r>
              <w:rPr>
                <w:spacing w:val="-3"/>
                <w:sz w:val="20"/>
              </w:rPr>
              <w:t> </w:t>
            </w:r>
            <w:r>
              <w:rPr>
                <w:sz w:val="20"/>
              </w:rPr>
              <w:t>are</w:t>
            </w:r>
            <w:r>
              <w:rPr>
                <w:spacing w:val="-3"/>
                <w:sz w:val="20"/>
              </w:rPr>
              <w:t> </w:t>
            </w:r>
            <w:r>
              <w:rPr>
                <w:sz w:val="20"/>
              </w:rPr>
              <w:t>reflective</w:t>
            </w:r>
            <w:r>
              <w:rPr>
                <w:spacing w:val="-3"/>
                <w:sz w:val="20"/>
              </w:rPr>
              <w:t> </w:t>
            </w:r>
            <w:r>
              <w:rPr>
                <w:sz w:val="20"/>
              </w:rPr>
              <w:t>of</w:t>
            </w:r>
            <w:r>
              <w:rPr>
                <w:spacing w:val="-2"/>
                <w:sz w:val="20"/>
              </w:rPr>
              <w:t> </w:t>
            </w:r>
            <w:r>
              <w:rPr>
                <w:sz w:val="20"/>
              </w:rPr>
              <w:t>all acquired intangible assets, which were recorded as part of purchase accounting.</w:t>
            </w:r>
          </w:p>
          <w:p>
            <w:pPr>
              <w:pStyle w:val="TableParagraph"/>
              <w:spacing w:line="208" w:lineRule="auto"/>
              <w:ind w:left="52"/>
              <w:rPr>
                <w:sz w:val="20"/>
              </w:rPr>
            </w:pPr>
            <w:r>
              <w:rPr>
                <w:sz w:val="20"/>
              </w:rPr>
              <w:t>These</w:t>
            </w:r>
            <w:r>
              <w:rPr>
                <w:spacing w:val="-9"/>
                <w:sz w:val="20"/>
              </w:rPr>
              <w:t> </w:t>
            </w:r>
            <w:r>
              <w:rPr>
                <w:sz w:val="20"/>
              </w:rPr>
              <w:t>acquired</w:t>
            </w:r>
            <w:r>
              <w:rPr>
                <w:spacing w:val="-8"/>
                <w:sz w:val="20"/>
              </w:rPr>
              <w:t> </w:t>
            </w:r>
            <w:r>
              <w:rPr>
                <w:sz w:val="20"/>
              </w:rPr>
              <w:t>intangible</w:t>
            </w:r>
            <w:r>
              <w:rPr>
                <w:spacing w:val="-9"/>
                <w:sz w:val="20"/>
              </w:rPr>
              <w:t> </w:t>
            </w:r>
            <w:r>
              <w:rPr>
                <w:sz w:val="20"/>
              </w:rPr>
              <w:t>assets</w:t>
            </w:r>
            <w:r>
              <w:rPr>
                <w:spacing w:val="-9"/>
                <w:sz w:val="20"/>
              </w:rPr>
              <w:t> </w:t>
            </w:r>
            <w:r>
              <w:rPr>
                <w:sz w:val="20"/>
              </w:rPr>
              <w:t>contribute</w:t>
            </w:r>
            <w:r>
              <w:rPr>
                <w:spacing w:val="-9"/>
                <w:sz w:val="20"/>
              </w:rPr>
              <w:t> </w:t>
            </w:r>
            <w:r>
              <w:rPr>
                <w:sz w:val="20"/>
              </w:rPr>
              <w:t>to the Company’s revenue generation.</w:t>
            </w:r>
          </w:p>
          <w:p>
            <w:pPr>
              <w:pStyle w:val="TableParagraph"/>
              <w:spacing w:line="208" w:lineRule="auto"/>
              <w:ind w:left="52" w:right="92"/>
              <w:rPr>
                <w:sz w:val="20"/>
              </w:rPr>
            </w:pPr>
            <w:r>
              <w:rPr>
                <w:sz w:val="20"/>
              </w:rPr>
              <w:t>Amortization</w:t>
            </w:r>
            <w:r>
              <w:rPr>
                <w:spacing w:val="-10"/>
                <w:sz w:val="20"/>
              </w:rPr>
              <w:t> </w:t>
            </w:r>
            <w:r>
              <w:rPr>
                <w:sz w:val="20"/>
              </w:rPr>
              <w:t>of</w:t>
            </w:r>
            <w:r>
              <w:rPr>
                <w:spacing w:val="-10"/>
                <w:sz w:val="20"/>
              </w:rPr>
              <w:t> </w:t>
            </w:r>
            <w:r>
              <w:rPr>
                <w:sz w:val="20"/>
              </w:rPr>
              <w:t>acquired</w:t>
            </w:r>
            <w:r>
              <w:rPr>
                <w:spacing w:val="-10"/>
                <w:sz w:val="20"/>
              </w:rPr>
              <w:t> </w:t>
            </w:r>
            <w:r>
              <w:rPr>
                <w:sz w:val="20"/>
              </w:rPr>
              <w:t>intangible</w:t>
            </w:r>
            <w:r>
              <w:rPr>
                <w:spacing w:val="-11"/>
                <w:sz w:val="20"/>
              </w:rPr>
              <w:t> </w:t>
            </w:r>
            <w:r>
              <w:rPr>
                <w:sz w:val="20"/>
              </w:rPr>
              <w:t>assets will continue in future periods over their remaining useful lives.</w:t>
            </w:r>
          </w:p>
        </w:tc>
        <w:tc>
          <w:tcPr>
            <w:tcW w:w="4680" w:type="dxa"/>
          </w:tcPr>
          <w:p>
            <w:pPr>
              <w:pStyle w:val="TableParagraph"/>
              <w:spacing w:line="208" w:lineRule="auto" w:before="23"/>
              <w:ind w:left="52" w:right="81"/>
              <w:rPr>
                <w:sz w:val="20"/>
              </w:rPr>
            </w:pPr>
            <w:r>
              <w:rPr>
                <w:sz w:val="20"/>
              </w:rPr>
              <w:t>We exclude acquisition and integration-related costs, amortization of acquired intangible assets and restructuring costs for the purpose of calculating certain non-GAAP measures because we believe doing so provides additional transparency of Schwab’s ongoing operations,</w:t>
            </w:r>
            <w:r>
              <w:rPr>
                <w:spacing w:val="-5"/>
                <w:sz w:val="20"/>
              </w:rPr>
              <w:t> </w:t>
            </w:r>
            <w:r>
              <w:rPr>
                <w:sz w:val="20"/>
              </w:rPr>
              <w:t>and</w:t>
            </w:r>
            <w:r>
              <w:rPr>
                <w:spacing w:val="-5"/>
                <w:sz w:val="20"/>
              </w:rPr>
              <w:t> </w:t>
            </w:r>
            <w:r>
              <w:rPr>
                <w:sz w:val="20"/>
              </w:rPr>
              <w:t>is</w:t>
            </w:r>
            <w:r>
              <w:rPr>
                <w:spacing w:val="-6"/>
                <w:sz w:val="20"/>
              </w:rPr>
              <w:t> </w:t>
            </w:r>
            <w:r>
              <w:rPr>
                <w:sz w:val="20"/>
              </w:rPr>
              <w:t>useful</w:t>
            </w:r>
            <w:r>
              <w:rPr>
                <w:spacing w:val="-6"/>
                <w:sz w:val="20"/>
              </w:rPr>
              <w:t> </w:t>
            </w:r>
            <w:r>
              <w:rPr>
                <w:sz w:val="20"/>
              </w:rPr>
              <w:t>in</w:t>
            </w:r>
            <w:r>
              <w:rPr>
                <w:spacing w:val="-5"/>
                <w:sz w:val="20"/>
              </w:rPr>
              <w:t> </w:t>
            </w:r>
            <w:r>
              <w:rPr>
                <w:sz w:val="20"/>
              </w:rPr>
              <w:t>both</w:t>
            </w:r>
            <w:r>
              <w:rPr>
                <w:spacing w:val="-5"/>
                <w:sz w:val="20"/>
              </w:rPr>
              <w:t> </w:t>
            </w:r>
            <w:r>
              <w:rPr>
                <w:sz w:val="20"/>
              </w:rPr>
              <w:t>evaluating</w:t>
            </w:r>
            <w:r>
              <w:rPr>
                <w:spacing w:val="-5"/>
                <w:sz w:val="20"/>
              </w:rPr>
              <w:t> </w:t>
            </w:r>
            <w:r>
              <w:rPr>
                <w:sz w:val="20"/>
              </w:rPr>
              <w:t>the</w:t>
            </w:r>
            <w:r>
              <w:rPr>
                <w:spacing w:val="-6"/>
                <w:sz w:val="20"/>
              </w:rPr>
              <w:t> </w:t>
            </w:r>
            <w:r>
              <w:rPr>
                <w:sz w:val="20"/>
              </w:rPr>
              <w:t>operating performance of the business and facilitating comparison of results with prior and future periods.</w:t>
            </w:r>
          </w:p>
          <w:p>
            <w:pPr>
              <w:pStyle w:val="TableParagraph"/>
              <w:spacing w:line="208" w:lineRule="auto" w:before="200"/>
              <w:ind w:left="52" w:right="81"/>
              <w:rPr>
                <w:sz w:val="20"/>
              </w:rPr>
            </w:pPr>
            <w:r>
              <w:rPr>
                <w:sz w:val="20"/>
              </w:rPr>
              <w:t>Costs related to acquisition and integration or restructuring fluctuate based on the timing of acquisitions, integration and restructuring activities, thereby</w:t>
            </w:r>
            <w:r>
              <w:rPr>
                <w:spacing w:val="-7"/>
                <w:sz w:val="20"/>
              </w:rPr>
              <w:t> </w:t>
            </w:r>
            <w:r>
              <w:rPr>
                <w:sz w:val="20"/>
              </w:rPr>
              <w:t>limiting</w:t>
            </w:r>
            <w:r>
              <w:rPr>
                <w:spacing w:val="-7"/>
                <w:sz w:val="20"/>
              </w:rPr>
              <w:t> </w:t>
            </w:r>
            <w:r>
              <w:rPr>
                <w:sz w:val="20"/>
              </w:rPr>
              <w:t>comparability</w:t>
            </w:r>
            <w:r>
              <w:rPr>
                <w:spacing w:val="-7"/>
                <w:sz w:val="20"/>
              </w:rPr>
              <w:t> </w:t>
            </w:r>
            <w:r>
              <w:rPr>
                <w:sz w:val="20"/>
              </w:rPr>
              <w:t>of</w:t>
            </w:r>
            <w:r>
              <w:rPr>
                <w:spacing w:val="-7"/>
                <w:sz w:val="20"/>
              </w:rPr>
              <w:t> </w:t>
            </w:r>
            <w:r>
              <w:rPr>
                <w:sz w:val="20"/>
              </w:rPr>
              <w:t>results</w:t>
            </w:r>
            <w:r>
              <w:rPr>
                <w:spacing w:val="-8"/>
                <w:sz w:val="20"/>
              </w:rPr>
              <w:t> </w:t>
            </w:r>
            <w:r>
              <w:rPr>
                <w:sz w:val="20"/>
              </w:rPr>
              <w:t>among</w:t>
            </w:r>
            <w:r>
              <w:rPr>
                <w:spacing w:val="-7"/>
                <w:sz w:val="20"/>
              </w:rPr>
              <w:t> </w:t>
            </w:r>
            <w:r>
              <w:rPr>
                <w:sz w:val="20"/>
              </w:rPr>
              <w:t>periods, and are not representative of the costs of running the Company’s</w:t>
            </w:r>
            <w:r>
              <w:rPr>
                <w:spacing w:val="-2"/>
                <w:sz w:val="20"/>
              </w:rPr>
              <w:t> </w:t>
            </w:r>
            <w:r>
              <w:rPr>
                <w:sz w:val="20"/>
              </w:rPr>
              <w:t>ongoing</w:t>
            </w:r>
            <w:r>
              <w:rPr>
                <w:spacing w:val="-1"/>
                <w:sz w:val="20"/>
              </w:rPr>
              <w:t> </w:t>
            </w:r>
            <w:r>
              <w:rPr>
                <w:sz w:val="20"/>
              </w:rPr>
              <w:t>business.</w:t>
            </w:r>
            <w:r>
              <w:rPr>
                <w:spacing w:val="-1"/>
                <w:sz w:val="20"/>
              </w:rPr>
              <w:t> </w:t>
            </w:r>
            <w:r>
              <w:rPr>
                <w:sz w:val="20"/>
              </w:rPr>
              <w:t>Amortization</w:t>
            </w:r>
            <w:r>
              <w:rPr>
                <w:spacing w:val="-1"/>
                <w:sz w:val="20"/>
              </w:rPr>
              <w:t> </w:t>
            </w:r>
            <w:r>
              <w:rPr>
                <w:sz w:val="20"/>
              </w:rPr>
              <w:t>of</w:t>
            </w:r>
            <w:r>
              <w:rPr>
                <w:spacing w:val="-1"/>
                <w:sz w:val="20"/>
              </w:rPr>
              <w:t> </w:t>
            </w:r>
            <w:r>
              <w:rPr>
                <w:sz w:val="20"/>
              </w:rPr>
              <w:t>acquired intangible assets is excluded because management does not believe it is indicative of the Company’s underlying operating performance.</w:t>
            </w:r>
          </w:p>
        </w:tc>
      </w:tr>
      <w:tr>
        <w:trPr>
          <w:trHeight w:val="1535" w:hRule="atLeast"/>
        </w:trPr>
        <w:tc>
          <w:tcPr>
            <w:tcW w:w="1800" w:type="dxa"/>
          </w:tcPr>
          <w:p>
            <w:pPr>
              <w:pStyle w:val="TableParagraph"/>
              <w:spacing w:line="208" w:lineRule="auto" w:before="23"/>
              <w:ind w:left="52" w:right="83"/>
              <w:rPr>
                <w:sz w:val="20"/>
              </w:rPr>
            </w:pPr>
            <w:r>
              <w:rPr>
                <w:sz w:val="20"/>
              </w:rPr>
              <w:t>Return</w:t>
            </w:r>
            <w:r>
              <w:rPr>
                <w:spacing w:val="-13"/>
                <w:sz w:val="20"/>
              </w:rPr>
              <w:t> </w:t>
            </w:r>
            <w:r>
              <w:rPr>
                <w:sz w:val="20"/>
              </w:rPr>
              <w:t>on</w:t>
            </w:r>
            <w:r>
              <w:rPr>
                <w:spacing w:val="-12"/>
                <w:sz w:val="20"/>
              </w:rPr>
              <w:t> </w:t>
            </w:r>
            <w:r>
              <w:rPr>
                <w:sz w:val="20"/>
              </w:rPr>
              <w:t>tangible common equity</w:t>
            </w:r>
          </w:p>
        </w:tc>
        <w:tc>
          <w:tcPr>
            <w:tcW w:w="3765" w:type="dxa"/>
          </w:tcPr>
          <w:p>
            <w:pPr>
              <w:pStyle w:val="TableParagraph"/>
              <w:spacing w:line="208" w:lineRule="auto" w:before="23"/>
              <w:ind w:left="52" w:right="54"/>
              <w:rPr>
                <w:sz w:val="20"/>
              </w:rPr>
            </w:pPr>
            <w:r>
              <w:rPr>
                <w:sz w:val="20"/>
              </w:rPr>
              <w:t>Return</w:t>
            </w:r>
            <w:r>
              <w:rPr>
                <w:spacing w:val="-8"/>
                <w:sz w:val="20"/>
              </w:rPr>
              <w:t> </w:t>
            </w:r>
            <w:r>
              <w:rPr>
                <w:sz w:val="20"/>
              </w:rPr>
              <w:t>on</w:t>
            </w:r>
            <w:r>
              <w:rPr>
                <w:spacing w:val="-8"/>
                <w:sz w:val="20"/>
              </w:rPr>
              <w:t> </w:t>
            </w:r>
            <w:r>
              <w:rPr>
                <w:sz w:val="20"/>
              </w:rPr>
              <w:t>tangible</w:t>
            </w:r>
            <w:r>
              <w:rPr>
                <w:spacing w:val="-9"/>
                <w:sz w:val="20"/>
              </w:rPr>
              <w:t> </w:t>
            </w:r>
            <w:r>
              <w:rPr>
                <w:sz w:val="20"/>
              </w:rPr>
              <w:t>common</w:t>
            </w:r>
            <w:r>
              <w:rPr>
                <w:spacing w:val="-8"/>
                <w:sz w:val="20"/>
              </w:rPr>
              <w:t> </w:t>
            </w:r>
            <w:r>
              <w:rPr>
                <w:sz w:val="20"/>
              </w:rPr>
              <w:t>equity</w:t>
            </w:r>
            <w:r>
              <w:rPr>
                <w:spacing w:val="-8"/>
                <w:sz w:val="20"/>
              </w:rPr>
              <w:t> </w:t>
            </w:r>
            <w:r>
              <w:rPr>
                <w:sz w:val="20"/>
              </w:rPr>
              <w:t>represents annualized adjusted net income available to common stockholders as a percentage of average tangible common equity. Tangible common equity represents common equity less goodwill, acquired intangible assets – net, and related deferred tax liabilities.</w:t>
            </w:r>
          </w:p>
        </w:tc>
        <w:tc>
          <w:tcPr>
            <w:tcW w:w="4680" w:type="dxa"/>
          </w:tcPr>
          <w:p>
            <w:pPr>
              <w:pStyle w:val="TableParagraph"/>
              <w:spacing w:line="208" w:lineRule="auto" w:before="23"/>
              <w:ind w:left="52" w:right="81"/>
              <w:rPr>
                <w:sz w:val="20"/>
              </w:rPr>
            </w:pPr>
            <w:r>
              <w:rPr>
                <w:sz w:val="20"/>
              </w:rPr>
              <w:t>Acquisitions typically result in the recognition of significant</w:t>
            </w:r>
            <w:r>
              <w:rPr>
                <w:spacing w:val="-1"/>
                <w:sz w:val="20"/>
              </w:rPr>
              <w:t> </w:t>
            </w:r>
            <w:r>
              <w:rPr>
                <w:sz w:val="20"/>
              </w:rPr>
              <w:t>amounts</w:t>
            </w:r>
            <w:r>
              <w:rPr>
                <w:spacing w:val="-1"/>
                <w:sz w:val="20"/>
              </w:rPr>
              <w:t> </w:t>
            </w:r>
            <w:r>
              <w:rPr>
                <w:sz w:val="20"/>
              </w:rPr>
              <w:t>of goodwill</w:t>
            </w:r>
            <w:r>
              <w:rPr>
                <w:spacing w:val="-1"/>
                <w:sz w:val="20"/>
              </w:rPr>
              <w:t> </w:t>
            </w:r>
            <w:r>
              <w:rPr>
                <w:sz w:val="20"/>
              </w:rPr>
              <w:t>and acquired intangible assets. We believe return on tangible common equity may</w:t>
            </w:r>
            <w:r>
              <w:rPr>
                <w:spacing w:val="-1"/>
                <w:sz w:val="20"/>
              </w:rPr>
              <w:t> </w:t>
            </w:r>
            <w:r>
              <w:rPr>
                <w:sz w:val="20"/>
              </w:rPr>
              <w:t>be</w:t>
            </w:r>
            <w:r>
              <w:rPr>
                <w:spacing w:val="-2"/>
                <w:sz w:val="20"/>
              </w:rPr>
              <w:t> </w:t>
            </w:r>
            <w:r>
              <w:rPr>
                <w:sz w:val="20"/>
              </w:rPr>
              <w:t>useful</w:t>
            </w:r>
            <w:r>
              <w:rPr>
                <w:spacing w:val="-2"/>
                <w:sz w:val="20"/>
              </w:rPr>
              <w:t> </w:t>
            </w:r>
            <w:r>
              <w:rPr>
                <w:sz w:val="20"/>
              </w:rPr>
              <w:t>to</w:t>
            </w:r>
            <w:r>
              <w:rPr>
                <w:spacing w:val="-1"/>
                <w:sz w:val="20"/>
              </w:rPr>
              <w:t> </w:t>
            </w:r>
            <w:r>
              <w:rPr>
                <w:sz w:val="20"/>
              </w:rPr>
              <w:t>investors</w:t>
            </w:r>
            <w:r>
              <w:rPr>
                <w:spacing w:val="-2"/>
                <w:sz w:val="20"/>
              </w:rPr>
              <w:t> </w:t>
            </w:r>
            <w:r>
              <w:rPr>
                <w:sz w:val="20"/>
              </w:rPr>
              <w:t>as</w:t>
            </w:r>
            <w:r>
              <w:rPr>
                <w:spacing w:val="-2"/>
                <w:sz w:val="20"/>
              </w:rPr>
              <w:t> </w:t>
            </w:r>
            <w:r>
              <w:rPr>
                <w:sz w:val="20"/>
              </w:rPr>
              <w:t>a</w:t>
            </w:r>
            <w:r>
              <w:rPr>
                <w:spacing w:val="-2"/>
                <w:sz w:val="20"/>
              </w:rPr>
              <w:t> </w:t>
            </w:r>
            <w:r>
              <w:rPr>
                <w:sz w:val="20"/>
              </w:rPr>
              <w:t>supplemental</w:t>
            </w:r>
            <w:r>
              <w:rPr>
                <w:spacing w:val="-2"/>
                <w:sz w:val="20"/>
              </w:rPr>
              <w:t> </w:t>
            </w:r>
            <w:r>
              <w:rPr>
                <w:sz w:val="20"/>
              </w:rPr>
              <w:t>measure</w:t>
            </w:r>
            <w:r>
              <w:rPr>
                <w:spacing w:val="-2"/>
                <w:sz w:val="20"/>
              </w:rPr>
              <w:t> </w:t>
            </w:r>
            <w:r>
              <w:rPr>
                <w:sz w:val="20"/>
              </w:rPr>
              <w:t>to facilitate</w:t>
            </w:r>
            <w:r>
              <w:rPr>
                <w:spacing w:val="-8"/>
                <w:sz w:val="20"/>
              </w:rPr>
              <w:t> </w:t>
            </w:r>
            <w:r>
              <w:rPr>
                <w:sz w:val="20"/>
              </w:rPr>
              <w:t>assessing</w:t>
            </w:r>
            <w:r>
              <w:rPr>
                <w:spacing w:val="-7"/>
                <w:sz w:val="20"/>
              </w:rPr>
              <w:t> </w:t>
            </w:r>
            <w:r>
              <w:rPr>
                <w:sz w:val="20"/>
              </w:rPr>
              <w:t>capital</w:t>
            </w:r>
            <w:r>
              <w:rPr>
                <w:spacing w:val="-8"/>
                <w:sz w:val="20"/>
              </w:rPr>
              <w:t> </w:t>
            </w:r>
            <w:r>
              <w:rPr>
                <w:sz w:val="20"/>
              </w:rPr>
              <w:t>efficiency</w:t>
            </w:r>
            <w:r>
              <w:rPr>
                <w:spacing w:val="-7"/>
                <w:sz w:val="20"/>
              </w:rPr>
              <w:t> </w:t>
            </w:r>
            <w:r>
              <w:rPr>
                <w:sz w:val="20"/>
              </w:rPr>
              <w:t>and</w:t>
            </w:r>
            <w:r>
              <w:rPr>
                <w:spacing w:val="-7"/>
                <w:sz w:val="20"/>
              </w:rPr>
              <w:t> </w:t>
            </w:r>
            <w:r>
              <w:rPr>
                <w:sz w:val="20"/>
              </w:rPr>
              <w:t>returns</w:t>
            </w:r>
            <w:r>
              <w:rPr>
                <w:spacing w:val="-8"/>
                <w:sz w:val="20"/>
              </w:rPr>
              <w:t> </w:t>
            </w:r>
            <w:r>
              <w:rPr>
                <w:sz w:val="20"/>
              </w:rPr>
              <w:t>relative to the composition of Schwab’s balance sheet.</w:t>
            </w:r>
          </w:p>
        </w:tc>
      </w:tr>
      <w:tr>
        <w:trPr>
          <w:trHeight w:val="1325" w:hRule="atLeast"/>
        </w:trPr>
        <w:tc>
          <w:tcPr>
            <w:tcW w:w="1800" w:type="dxa"/>
          </w:tcPr>
          <w:p>
            <w:pPr>
              <w:pStyle w:val="TableParagraph"/>
              <w:spacing w:line="208" w:lineRule="auto" w:before="23"/>
              <w:ind w:left="52" w:right="83"/>
              <w:rPr>
                <w:sz w:val="20"/>
              </w:rPr>
            </w:pPr>
            <w:r>
              <w:rPr>
                <w:sz w:val="20"/>
              </w:rPr>
              <w:t>Adjusted</w:t>
            </w:r>
            <w:r>
              <w:rPr>
                <w:spacing w:val="-13"/>
                <w:sz w:val="20"/>
              </w:rPr>
              <w:t> </w:t>
            </w:r>
            <w:r>
              <w:rPr>
                <w:sz w:val="20"/>
              </w:rPr>
              <w:t>Tier</w:t>
            </w:r>
            <w:r>
              <w:rPr>
                <w:spacing w:val="-12"/>
                <w:sz w:val="20"/>
              </w:rPr>
              <w:t> </w:t>
            </w:r>
            <w:r>
              <w:rPr>
                <w:sz w:val="20"/>
              </w:rPr>
              <w:t>1 Leverage</w:t>
            </w:r>
            <w:r>
              <w:rPr>
                <w:spacing w:val="-5"/>
                <w:sz w:val="20"/>
              </w:rPr>
              <w:t> </w:t>
            </w:r>
            <w:r>
              <w:rPr>
                <w:spacing w:val="-2"/>
                <w:sz w:val="20"/>
              </w:rPr>
              <w:t>Ratio</w:t>
            </w:r>
          </w:p>
        </w:tc>
        <w:tc>
          <w:tcPr>
            <w:tcW w:w="3765" w:type="dxa"/>
          </w:tcPr>
          <w:p>
            <w:pPr>
              <w:pStyle w:val="TableParagraph"/>
              <w:spacing w:line="208" w:lineRule="auto" w:before="23"/>
              <w:ind w:left="52" w:right="92"/>
              <w:rPr>
                <w:sz w:val="20"/>
              </w:rPr>
            </w:pPr>
            <w:r>
              <w:rPr>
                <w:sz w:val="20"/>
              </w:rPr>
              <w:t>Adjusted Tier 1 Leverage Ratio represents the Tier 1 Leverage Ratio as prescribed by bank regulatory guidance for the consolidated</w:t>
            </w:r>
            <w:r>
              <w:rPr>
                <w:spacing w:val="-8"/>
                <w:sz w:val="20"/>
              </w:rPr>
              <w:t> </w:t>
            </w:r>
            <w:r>
              <w:rPr>
                <w:sz w:val="20"/>
              </w:rPr>
              <w:t>company</w:t>
            </w:r>
            <w:r>
              <w:rPr>
                <w:spacing w:val="-8"/>
                <w:sz w:val="20"/>
              </w:rPr>
              <w:t> </w:t>
            </w:r>
            <w:r>
              <w:rPr>
                <w:sz w:val="20"/>
              </w:rPr>
              <w:t>and</w:t>
            </w:r>
            <w:r>
              <w:rPr>
                <w:spacing w:val="-8"/>
                <w:sz w:val="20"/>
              </w:rPr>
              <w:t> </w:t>
            </w:r>
            <w:r>
              <w:rPr>
                <w:sz w:val="20"/>
              </w:rPr>
              <w:t>for</w:t>
            </w:r>
            <w:r>
              <w:rPr>
                <w:spacing w:val="-8"/>
                <w:sz w:val="20"/>
              </w:rPr>
              <w:t> </w:t>
            </w:r>
            <w:r>
              <w:rPr>
                <w:sz w:val="20"/>
              </w:rPr>
              <w:t>CSB,</w:t>
            </w:r>
            <w:r>
              <w:rPr>
                <w:spacing w:val="-8"/>
                <w:sz w:val="20"/>
              </w:rPr>
              <w:t> </w:t>
            </w:r>
            <w:r>
              <w:rPr>
                <w:sz w:val="20"/>
              </w:rPr>
              <w:t>adjusted to reflect the inclusion of AOCI in the ratio.</w:t>
            </w:r>
          </w:p>
        </w:tc>
        <w:tc>
          <w:tcPr>
            <w:tcW w:w="4680" w:type="dxa"/>
          </w:tcPr>
          <w:p>
            <w:pPr>
              <w:pStyle w:val="TableParagraph"/>
              <w:spacing w:line="208" w:lineRule="auto" w:before="23"/>
              <w:ind w:left="52" w:right="81"/>
              <w:rPr>
                <w:sz w:val="20"/>
              </w:rPr>
            </w:pPr>
            <w:r>
              <w:rPr>
                <w:sz w:val="20"/>
              </w:rPr>
              <w:t>Inclusion</w:t>
            </w:r>
            <w:r>
              <w:rPr>
                <w:spacing w:val="-5"/>
                <w:sz w:val="20"/>
              </w:rPr>
              <w:t> </w:t>
            </w:r>
            <w:r>
              <w:rPr>
                <w:sz w:val="20"/>
              </w:rPr>
              <w:t>of</w:t>
            </w:r>
            <w:r>
              <w:rPr>
                <w:spacing w:val="-5"/>
                <w:sz w:val="20"/>
              </w:rPr>
              <w:t> </w:t>
            </w:r>
            <w:r>
              <w:rPr>
                <w:sz w:val="20"/>
              </w:rPr>
              <w:t>the</w:t>
            </w:r>
            <w:r>
              <w:rPr>
                <w:spacing w:val="-6"/>
                <w:sz w:val="20"/>
              </w:rPr>
              <w:t> </w:t>
            </w:r>
            <w:r>
              <w:rPr>
                <w:sz w:val="20"/>
              </w:rPr>
              <w:t>impacts</w:t>
            </w:r>
            <w:r>
              <w:rPr>
                <w:spacing w:val="-6"/>
                <w:sz w:val="20"/>
              </w:rPr>
              <w:t> </w:t>
            </w:r>
            <w:r>
              <w:rPr>
                <w:sz w:val="20"/>
              </w:rPr>
              <w:t>of</w:t>
            </w:r>
            <w:r>
              <w:rPr>
                <w:spacing w:val="-5"/>
                <w:sz w:val="20"/>
              </w:rPr>
              <w:t> </w:t>
            </w:r>
            <w:r>
              <w:rPr>
                <w:sz w:val="20"/>
              </w:rPr>
              <w:t>AOCI</w:t>
            </w:r>
            <w:r>
              <w:rPr>
                <w:spacing w:val="-5"/>
                <w:sz w:val="20"/>
              </w:rPr>
              <w:t> </w:t>
            </w:r>
            <w:r>
              <w:rPr>
                <w:sz w:val="20"/>
              </w:rPr>
              <w:t>in</w:t>
            </w:r>
            <w:r>
              <w:rPr>
                <w:spacing w:val="-5"/>
                <w:sz w:val="20"/>
              </w:rPr>
              <w:t> </w:t>
            </w:r>
            <w:r>
              <w:rPr>
                <w:sz w:val="20"/>
              </w:rPr>
              <w:t>the</w:t>
            </w:r>
            <w:r>
              <w:rPr>
                <w:spacing w:val="-6"/>
                <w:sz w:val="20"/>
              </w:rPr>
              <w:t> </w:t>
            </w:r>
            <w:r>
              <w:rPr>
                <w:sz w:val="20"/>
              </w:rPr>
              <w:t>Company’s</w:t>
            </w:r>
            <w:r>
              <w:rPr>
                <w:spacing w:val="-6"/>
                <w:sz w:val="20"/>
              </w:rPr>
              <w:t> </w:t>
            </w:r>
            <w:r>
              <w:rPr>
                <w:sz w:val="20"/>
              </w:rPr>
              <w:t>Tier 1 Leverage Ratio provides additional information regarding the Company’s current capital position. We believe</w:t>
            </w:r>
            <w:r>
              <w:rPr>
                <w:spacing w:val="-6"/>
                <w:sz w:val="20"/>
              </w:rPr>
              <w:t> </w:t>
            </w:r>
            <w:r>
              <w:rPr>
                <w:sz w:val="20"/>
              </w:rPr>
              <w:t>Adjusted</w:t>
            </w:r>
            <w:r>
              <w:rPr>
                <w:spacing w:val="-5"/>
                <w:sz w:val="20"/>
              </w:rPr>
              <w:t> </w:t>
            </w:r>
            <w:r>
              <w:rPr>
                <w:sz w:val="20"/>
              </w:rPr>
              <w:t>Tier</w:t>
            </w:r>
            <w:r>
              <w:rPr>
                <w:spacing w:val="-5"/>
                <w:sz w:val="20"/>
              </w:rPr>
              <w:t> </w:t>
            </w:r>
            <w:r>
              <w:rPr>
                <w:sz w:val="20"/>
              </w:rPr>
              <w:t>1</w:t>
            </w:r>
            <w:r>
              <w:rPr>
                <w:spacing w:val="-5"/>
                <w:sz w:val="20"/>
              </w:rPr>
              <w:t> </w:t>
            </w:r>
            <w:r>
              <w:rPr>
                <w:sz w:val="20"/>
              </w:rPr>
              <w:t>Leverage</w:t>
            </w:r>
            <w:r>
              <w:rPr>
                <w:spacing w:val="-6"/>
                <w:sz w:val="20"/>
              </w:rPr>
              <w:t> </w:t>
            </w:r>
            <w:r>
              <w:rPr>
                <w:sz w:val="20"/>
              </w:rPr>
              <w:t>Ratio</w:t>
            </w:r>
            <w:r>
              <w:rPr>
                <w:spacing w:val="-5"/>
                <w:sz w:val="20"/>
              </w:rPr>
              <w:t> </w:t>
            </w:r>
            <w:r>
              <w:rPr>
                <w:sz w:val="20"/>
              </w:rPr>
              <w:t>may</w:t>
            </w:r>
            <w:r>
              <w:rPr>
                <w:spacing w:val="-5"/>
                <w:sz w:val="20"/>
              </w:rPr>
              <w:t> </w:t>
            </w:r>
            <w:r>
              <w:rPr>
                <w:sz w:val="20"/>
              </w:rPr>
              <w:t>be</w:t>
            </w:r>
            <w:r>
              <w:rPr>
                <w:spacing w:val="-6"/>
                <w:sz w:val="20"/>
              </w:rPr>
              <w:t> </w:t>
            </w:r>
            <w:r>
              <w:rPr>
                <w:sz w:val="20"/>
              </w:rPr>
              <w:t>useful</w:t>
            </w:r>
            <w:r>
              <w:rPr>
                <w:spacing w:val="-6"/>
                <w:sz w:val="20"/>
              </w:rPr>
              <w:t> </w:t>
            </w:r>
            <w:r>
              <w:rPr>
                <w:sz w:val="20"/>
              </w:rPr>
              <w:t>to investors as a supplemental measure of the Company’s capital levels.</w:t>
            </w:r>
          </w:p>
        </w:tc>
      </w:tr>
    </w:tbl>
    <w:p>
      <w:pPr>
        <w:pStyle w:val="BodyText"/>
        <w:spacing w:before="56"/>
      </w:pPr>
    </w:p>
    <w:p>
      <w:pPr>
        <w:pStyle w:val="BodyText"/>
        <w:spacing w:line="249" w:lineRule="auto" w:before="1"/>
        <w:ind w:left="470" w:right="500"/>
      </w:pPr>
      <w:r>
        <w:rPr/>
        <w:t>The</w:t>
      </w:r>
      <w:r>
        <w:rPr>
          <w:spacing w:val="-4"/>
        </w:rPr>
        <w:t> </w:t>
      </w:r>
      <w:r>
        <w:rPr/>
        <w:t>Company</w:t>
      </w:r>
      <w:r>
        <w:rPr>
          <w:spacing w:val="-3"/>
        </w:rPr>
        <w:t> </w:t>
      </w:r>
      <w:r>
        <w:rPr/>
        <w:t>also</w:t>
      </w:r>
      <w:r>
        <w:rPr>
          <w:spacing w:val="-3"/>
        </w:rPr>
        <w:t> </w:t>
      </w:r>
      <w:r>
        <w:rPr/>
        <w:t>uses</w:t>
      </w:r>
      <w:r>
        <w:rPr>
          <w:spacing w:val="-4"/>
        </w:rPr>
        <w:t> </w:t>
      </w:r>
      <w:r>
        <w:rPr/>
        <w:t>adjusted</w:t>
      </w:r>
      <w:r>
        <w:rPr>
          <w:spacing w:val="-3"/>
        </w:rPr>
        <w:t> </w:t>
      </w:r>
      <w:r>
        <w:rPr/>
        <w:t>diluted</w:t>
      </w:r>
      <w:r>
        <w:rPr>
          <w:spacing w:val="-3"/>
        </w:rPr>
        <w:t> </w:t>
      </w:r>
      <w:r>
        <w:rPr/>
        <w:t>EPS</w:t>
      </w:r>
      <w:r>
        <w:rPr>
          <w:spacing w:val="-4"/>
        </w:rPr>
        <w:t> </w:t>
      </w:r>
      <w:r>
        <w:rPr/>
        <w:t>and</w:t>
      </w:r>
      <w:r>
        <w:rPr>
          <w:spacing w:val="-3"/>
        </w:rPr>
        <w:t> </w:t>
      </w:r>
      <w:r>
        <w:rPr/>
        <w:t>return</w:t>
      </w:r>
      <w:r>
        <w:rPr>
          <w:spacing w:val="-3"/>
        </w:rPr>
        <w:t> </w:t>
      </w:r>
      <w:r>
        <w:rPr/>
        <w:t>on</w:t>
      </w:r>
      <w:r>
        <w:rPr>
          <w:spacing w:val="-3"/>
        </w:rPr>
        <w:t> </w:t>
      </w:r>
      <w:r>
        <w:rPr/>
        <w:t>tangible</w:t>
      </w:r>
      <w:r>
        <w:rPr>
          <w:spacing w:val="-4"/>
        </w:rPr>
        <w:t> </w:t>
      </w:r>
      <w:r>
        <w:rPr/>
        <w:t>common</w:t>
      </w:r>
      <w:r>
        <w:rPr>
          <w:spacing w:val="-3"/>
        </w:rPr>
        <w:t> </w:t>
      </w:r>
      <w:r>
        <w:rPr/>
        <w:t>equity</w:t>
      </w:r>
      <w:r>
        <w:rPr>
          <w:spacing w:val="-3"/>
        </w:rPr>
        <w:t> </w:t>
      </w:r>
      <w:r>
        <w:rPr/>
        <w:t>as</w:t>
      </w:r>
      <w:r>
        <w:rPr>
          <w:spacing w:val="-4"/>
        </w:rPr>
        <w:t> </w:t>
      </w:r>
      <w:r>
        <w:rPr/>
        <w:t>components</w:t>
      </w:r>
      <w:r>
        <w:rPr>
          <w:spacing w:val="-4"/>
        </w:rPr>
        <w:t> </w:t>
      </w:r>
      <w:r>
        <w:rPr/>
        <w:t>of</w:t>
      </w:r>
      <w:r>
        <w:rPr>
          <w:spacing w:val="-3"/>
        </w:rPr>
        <w:t> </w:t>
      </w:r>
      <w:r>
        <w:rPr/>
        <w:t>performance</w:t>
      </w:r>
      <w:r>
        <w:rPr>
          <w:spacing w:val="-4"/>
        </w:rPr>
        <w:t> </w:t>
      </w:r>
      <w:r>
        <w:rPr/>
        <w:t>criteria</w:t>
      </w:r>
      <w:r>
        <w:rPr>
          <w:spacing w:val="-4"/>
        </w:rPr>
        <w:t> </w:t>
      </w:r>
      <w:r>
        <w:rPr/>
        <w:t>for employee bonus and certain executive management incentive compensation arrangements. The Compensation Committee of CSC’s Board of Directors maintains discretion in evaluating performance against these criteria.</w:t>
      </w:r>
    </w:p>
    <w:p>
      <w:pPr>
        <w:pStyle w:val="BodyText"/>
        <w:spacing w:before="12"/>
      </w:pPr>
    </w:p>
    <w:p>
      <w:pPr>
        <w:pStyle w:val="BodyText"/>
        <w:ind w:left="470"/>
      </w:pPr>
      <w:r>
        <w:rPr/>
        <w:t>The</w:t>
      </w:r>
      <w:r>
        <w:rPr>
          <w:spacing w:val="-5"/>
        </w:rPr>
        <w:t> </w:t>
      </w:r>
      <w:r>
        <w:rPr/>
        <w:t>following</w:t>
      </w:r>
      <w:r>
        <w:rPr>
          <w:spacing w:val="-3"/>
        </w:rPr>
        <w:t> </w:t>
      </w:r>
      <w:r>
        <w:rPr/>
        <w:t>tables</w:t>
      </w:r>
      <w:r>
        <w:rPr>
          <w:spacing w:val="-4"/>
        </w:rPr>
        <w:t> </w:t>
      </w:r>
      <w:r>
        <w:rPr/>
        <w:t>present</w:t>
      </w:r>
      <w:r>
        <w:rPr>
          <w:spacing w:val="-5"/>
        </w:rPr>
        <w:t> </w:t>
      </w:r>
      <w:r>
        <w:rPr/>
        <w:t>reconciliations</w:t>
      </w:r>
      <w:r>
        <w:rPr>
          <w:spacing w:val="-4"/>
        </w:rPr>
        <w:t> </w:t>
      </w:r>
      <w:r>
        <w:rPr/>
        <w:t>of</w:t>
      </w:r>
      <w:r>
        <w:rPr>
          <w:spacing w:val="-3"/>
        </w:rPr>
        <w:t> </w:t>
      </w:r>
      <w:r>
        <w:rPr/>
        <w:t>GAAP</w:t>
      </w:r>
      <w:r>
        <w:rPr>
          <w:spacing w:val="-5"/>
        </w:rPr>
        <w:t> </w:t>
      </w:r>
      <w:r>
        <w:rPr/>
        <w:t>measures</w:t>
      </w:r>
      <w:r>
        <w:rPr>
          <w:spacing w:val="-4"/>
        </w:rPr>
        <w:t> </w:t>
      </w:r>
      <w:r>
        <w:rPr/>
        <w:t>to</w:t>
      </w:r>
      <w:r>
        <w:rPr>
          <w:spacing w:val="-3"/>
        </w:rPr>
        <w:t> </w:t>
      </w:r>
      <w:r>
        <w:rPr/>
        <w:t>non-GAAP</w:t>
      </w:r>
      <w:r>
        <w:rPr>
          <w:spacing w:val="-4"/>
        </w:rPr>
        <w:t> </w:t>
      </w:r>
      <w:r>
        <w:rPr>
          <w:spacing w:val="-2"/>
        </w:rPr>
        <w:t>measures:</w:t>
      </w:r>
    </w:p>
    <w:p>
      <w:pPr>
        <w:pStyle w:val="BodyText"/>
        <w:spacing w:before="3"/>
        <w:rPr>
          <w:sz w:val="11"/>
        </w:rPr>
      </w:pPr>
      <w:r>
        <w:rPr/>
        <mc:AlternateContent>
          <mc:Choice Requires="wps">
            <w:drawing>
              <wp:anchor distT="0" distB="0" distL="0" distR="0" allowOverlap="1" layoutInCell="1" locked="0" behindDoc="1" simplePos="0" relativeHeight="487599104">
                <wp:simplePos x="0" y="0"/>
                <wp:positionH relativeFrom="page">
                  <wp:posOffset>628650</wp:posOffset>
                </wp:positionH>
                <wp:positionV relativeFrom="paragraph">
                  <wp:posOffset>97484</wp:posOffset>
                </wp:positionV>
                <wp:extent cx="6515100" cy="488950"/>
                <wp:effectExtent l="0" t="0" r="0" b="0"/>
                <wp:wrapTopAndBottom/>
                <wp:docPr id="80" name="Group 80"/>
                <wp:cNvGraphicFramePr>
                  <a:graphicFrameLocks/>
                </wp:cNvGraphicFramePr>
                <a:graphic>
                  <a:graphicData uri="http://schemas.microsoft.com/office/word/2010/wordprocessingGroup">
                    <wpg:wgp>
                      <wpg:cNvPr id="80" name="Group 80"/>
                      <wpg:cNvGrpSpPr/>
                      <wpg:grpSpPr>
                        <a:xfrm>
                          <a:off x="0" y="0"/>
                          <a:ext cx="6515100" cy="488950"/>
                          <a:chExt cx="6515100" cy="488950"/>
                        </a:xfrm>
                      </wpg:grpSpPr>
                      <wps:wsp>
                        <wps:cNvPr id="81" name="Graphic 81"/>
                        <wps:cNvSpPr/>
                        <wps:spPr>
                          <a:xfrm>
                            <a:off x="0" y="327025"/>
                            <a:ext cx="6515100" cy="161925"/>
                          </a:xfrm>
                          <a:custGeom>
                            <a:avLst/>
                            <a:gdLst/>
                            <a:ahLst/>
                            <a:cxnLst/>
                            <a:rect l="l" t="t" r="r" b="b"/>
                            <a:pathLst>
                              <a:path w="6515100" h="161925">
                                <a:moveTo>
                                  <a:pt x="6515100" y="0"/>
                                </a:moveTo>
                                <a:lnTo>
                                  <a:pt x="0" y="0"/>
                                </a:lnTo>
                                <a:lnTo>
                                  <a:pt x="0" y="161925"/>
                                </a:lnTo>
                                <a:lnTo>
                                  <a:pt x="6515100" y="161925"/>
                                </a:lnTo>
                                <a:lnTo>
                                  <a:pt x="6515100" y="0"/>
                                </a:lnTo>
                                <a:close/>
                              </a:path>
                            </a:pathLst>
                          </a:custGeom>
                          <a:solidFill>
                            <a:srgbClr val="CCEDFF"/>
                          </a:solidFill>
                        </wps:spPr>
                        <wps:bodyPr wrap="square" lIns="0" tIns="0" rIns="0" bIns="0" rtlCol="0">
                          <a:prstTxWarp prst="textNoShape">
                            <a:avLst/>
                          </a:prstTxWarp>
                          <a:noAutofit/>
                        </wps:bodyPr>
                      </wps:wsp>
                      <wps:wsp>
                        <wps:cNvPr id="82" name="Graphic 82"/>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83" name="Graphic 83"/>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84" name="Graphic 84"/>
                        <wps:cNvSpPr/>
                        <wps:spPr>
                          <a:xfrm>
                            <a:off x="2476500" y="165100"/>
                            <a:ext cx="2000250" cy="1270"/>
                          </a:xfrm>
                          <a:custGeom>
                            <a:avLst/>
                            <a:gdLst/>
                            <a:ahLst/>
                            <a:cxnLst/>
                            <a:rect l="l" t="t" r="r" b="b"/>
                            <a:pathLst>
                              <a:path w="2000250" h="0">
                                <a:moveTo>
                                  <a:pt x="2000250" y="0"/>
                                </a:moveTo>
                                <a:lnTo>
                                  <a:pt x="0" y="0"/>
                                </a:lnTo>
                              </a:path>
                            </a:pathLst>
                          </a:custGeom>
                          <a:solidFill>
                            <a:srgbClr val="000000"/>
                          </a:solidFill>
                        </wps:spPr>
                        <wps:bodyPr wrap="square" lIns="0" tIns="0" rIns="0" bIns="0" rtlCol="0">
                          <a:prstTxWarp prst="textNoShape">
                            <a:avLst/>
                          </a:prstTxWarp>
                          <a:noAutofit/>
                        </wps:bodyPr>
                      </wps:wsp>
                      <wps:wsp>
                        <wps:cNvPr id="85" name="Graphic 85"/>
                        <wps:cNvSpPr/>
                        <wps:spPr>
                          <a:xfrm>
                            <a:off x="2476500" y="165100"/>
                            <a:ext cx="2000250" cy="1270"/>
                          </a:xfrm>
                          <a:custGeom>
                            <a:avLst/>
                            <a:gdLst/>
                            <a:ahLst/>
                            <a:cxnLst/>
                            <a:rect l="l" t="t" r="r" b="b"/>
                            <a:pathLst>
                              <a:path w="2000250" h="0">
                                <a:moveTo>
                                  <a:pt x="0" y="0"/>
                                </a:moveTo>
                                <a:lnTo>
                                  <a:pt x="2000250" y="0"/>
                                </a:lnTo>
                              </a:path>
                            </a:pathLst>
                          </a:custGeom>
                          <a:ln w="6350">
                            <a:solidFill>
                              <a:srgbClr val="000000"/>
                            </a:solidFill>
                            <a:prstDash val="solid"/>
                          </a:ln>
                        </wps:spPr>
                        <wps:bodyPr wrap="square" lIns="0" tIns="0" rIns="0" bIns="0" rtlCol="0">
                          <a:prstTxWarp prst="textNoShape">
                            <a:avLst/>
                          </a:prstTxWarp>
                          <a:noAutofit/>
                        </wps:bodyPr>
                      </wps:wsp>
                      <wps:wsp>
                        <wps:cNvPr id="86" name="Graphic 86"/>
                        <wps:cNvSpPr/>
                        <wps:spPr>
                          <a:xfrm>
                            <a:off x="4514850" y="165100"/>
                            <a:ext cx="2000250" cy="1270"/>
                          </a:xfrm>
                          <a:custGeom>
                            <a:avLst/>
                            <a:gdLst/>
                            <a:ahLst/>
                            <a:cxnLst/>
                            <a:rect l="l" t="t" r="r" b="b"/>
                            <a:pathLst>
                              <a:path w="2000250" h="0">
                                <a:moveTo>
                                  <a:pt x="2000250" y="0"/>
                                </a:moveTo>
                                <a:lnTo>
                                  <a:pt x="0" y="0"/>
                                </a:lnTo>
                              </a:path>
                            </a:pathLst>
                          </a:custGeom>
                          <a:solidFill>
                            <a:srgbClr val="000000"/>
                          </a:solidFill>
                        </wps:spPr>
                        <wps:bodyPr wrap="square" lIns="0" tIns="0" rIns="0" bIns="0" rtlCol="0">
                          <a:prstTxWarp prst="textNoShape">
                            <a:avLst/>
                          </a:prstTxWarp>
                          <a:noAutofit/>
                        </wps:bodyPr>
                      </wps:wsp>
                      <wps:wsp>
                        <wps:cNvPr id="87" name="Graphic 87"/>
                        <wps:cNvSpPr/>
                        <wps:spPr>
                          <a:xfrm>
                            <a:off x="4514850" y="165100"/>
                            <a:ext cx="2000250" cy="1270"/>
                          </a:xfrm>
                          <a:custGeom>
                            <a:avLst/>
                            <a:gdLst/>
                            <a:ahLst/>
                            <a:cxnLst/>
                            <a:rect l="l" t="t" r="r" b="b"/>
                            <a:pathLst>
                              <a:path w="2000250" h="0">
                                <a:moveTo>
                                  <a:pt x="0" y="0"/>
                                </a:moveTo>
                                <a:lnTo>
                                  <a:pt x="2000250" y="0"/>
                                </a:lnTo>
                              </a:path>
                            </a:pathLst>
                          </a:custGeom>
                          <a:ln w="6350">
                            <a:solidFill>
                              <a:srgbClr val="000000"/>
                            </a:solidFill>
                            <a:prstDash val="solid"/>
                          </a:ln>
                        </wps:spPr>
                        <wps:bodyPr wrap="square" lIns="0" tIns="0" rIns="0" bIns="0" rtlCol="0">
                          <a:prstTxWarp prst="textNoShape">
                            <a:avLst/>
                          </a:prstTxWarp>
                          <a:noAutofit/>
                        </wps:bodyPr>
                      </wps:wsp>
                      <wps:wsp>
                        <wps:cNvPr id="88" name="Graphic 88"/>
                        <wps:cNvSpPr/>
                        <wps:spPr>
                          <a:xfrm>
                            <a:off x="0" y="32702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89" name="Graphic 89"/>
                        <wps:cNvSpPr/>
                        <wps:spPr>
                          <a:xfrm>
                            <a:off x="0" y="32702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90" name="Textbox 90"/>
                        <wps:cNvSpPr txBox="1"/>
                        <wps:spPr>
                          <a:xfrm>
                            <a:off x="2650108" y="19557"/>
                            <a:ext cx="1666875" cy="127000"/>
                          </a:xfrm>
                          <a:prstGeom prst="rect">
                            <a:avLst/>
                          </a:prstGeom>
                        </wps:spPr>
                        <wps:txbx>
                          <w:txbxContent>
                            <w:p>
                              <w:pPr>
                                <w:spacing w:line="199" w:lineRule="exact" w:before="0"/>
                                <w:ind w:left="0" w:right="0" w:firstLine="0"/>
                                <w:jc w:val="left"/>
                                <w:rPr>
                                  <w:sz w:val="18"/>
                                </w:rPr>
                              </w:pPr>
                              <w:r>
                                <w:rPr>
                                  <w:sz w:val="18"/>
                                </w:rPr>
                                <w:t>Three</w:t>
                              </w:r>
                              <w:r>
                                <w:rPr>
                                  <w:spacing w:val="-1"/>
                                  <w:sz w:val="18"/>
                                </w:rPr>
                                <w:t> </w:t>
                              </w:r>
                              <w:r>
                                <w:rPr>
                                  <w:sz w:val="18"/>
                                </w:rPr>
                                <w:t>Months</w:t>
                              </w:r>
                              <w:r>
                                <w:rPr>
                                  <w:spacing w:val="-1"/>
                                  <w:sz w:val="18"/>
                                </w:rPr>
                                <w:t> </w:t>
                              </w:r>
                              <w:r>
                                <w:rPr>
                                  <w:sz w:val="18"/>
                                </w:rPr>
                                <w:t>Ended</w:t>
                              </w:r>
                              <w:r>
                                <w:rPr>
                                  <w:spacing w:val="-1"/>
                                  <w:sz w:val="18"/>
                                </w:rPr>
                                <w:t> </w:t>
                              </w:r>
                              <w:r>
                                <w:rPr>
                                  <w:sz w:val="18"/>
                                </w:rPr>
                                <w:t>September </w:t>
                              </w:r>
                              <w:r>
                                <w:rPr>
                                  <w:spacing w:val="-5"/>
                                  <w:sz w:val="18"/>
                                </w:rPr>
                                <w:t>30,</w:t>
                              </w:r>
                            </w:p>
                          </w:txbxContent>
                        </wps:txbx>
                        <wps:bodyPr wrap="square" lIns="0" tIns="0" rIns="0" bIns="0" rtlCol="0">
                          <a:noAutofit/>
                        </wps:bodyPr>
                      </wps:wsp>
                      <wps:wsp>
                        <wps:cNvPr id="91" name="Textbox 91"/>
                        <wps:cNvSpPr txBox="1"/>
                        <wps:spPr>
                          <a:xfrm>
                            <a:off x="4710557" y="19557"/>
                            <a:ext cx="1622425" cy="127000"/>
                          </a:xfrm>
                          <a:prstGeom prst="rect">
                            <a:avLst/>
                          </a:prstGeom>
                        </wps:spPr>
                        <wps:txbx>
                          <w:txbxContent>
                            <w:p>
                              <w:pPr>
                                <w:spacing w:line="199" w:lineRule="exact" w:before="0"/>
                                <w:ind w:left="0" w:right="0" w:firstLine="0"/>
                                <w:jc w:val="left"/>
                                <w:rPr>
                                  <w:sz w:val="18"/>
                                </w:rPr>
                              </w:pPr>
                              <w:r>
                                <w:rPr>
                                  <w:sz w:val="18"/>
                                </w:rPr>
                                <w:t>Nine</w:t>
                              </w:r>
                              <w:r>
                                <w:rPr>
                                  <w:spacing w:val="-1"/>
                                  <w:sz w:val="18"/>
                                </w:rPr>
                                <w:t> </w:t>
                              </w:r>
                              <w:r>
                                <w:rPr>
                                  <w:sz w:val="18"/>
                                </w:rPr>
                                <w:t>Months</w:t>
                              </w:r>
                              <w:r>
                                <w:rPr>
                                  <w:spacing w:val="-2"/>
                                  <w:sz w:val="18"/>
                                </w:rPr>
                                <w:t> </w:t>
                              </w:r>
                              <w:r>
                                <w:rPr>
                                  <w:sz w:val="18"/>
                                </w:rPr>
                                <w:t>Ended</w:t>
                              </w:r>
                              <w:r>
                                <w:rPr>
                                  <w:spacing w:val="-1"/>
                                  <w:sz w:val="18"/>
                                </w:rPr>
                                <w:t> </w:t>
                              </w:r>
                              <w:r>
                                <w:rPr>
                                  <w:sz w:val="18"/>
                                </w:rPr>
                                <w:t>September </w:t>
                              </w:r>
                              <w:r>
                                <w:rPr>
                                  <w:spacing w:val="-5"/>
                                  <w:sz w:val="18"/>
                                </w:rPr>
                                <w:t>30,</w:t>
                              </w:r>
                            </w:p>
                          </w:txbxContent>
                        </wps:txbx>
                        <wps:bodyPr wrap="square" lIns="0" tIns="0" rIns="0" bIns="0" rtlCol="0">
                          <a:noAutofit/>
                        </wps:bodyPr>
                      </wps:wsp>
                      <wps:wsp>
                        <wps:cNvPr id="92" name="Textbox 92"/>
                        <wps:cNvSpPr txBox="1"/>
                        <wps:spPr>
                          <a:xfrm>
                            <a:off x="2852673" y="181482"/>
                            <a:ext cx="3298825" cy="127000"/>
                          </a:xfrm>
                          <a:prstGeom prst="rect">
                            <a:avLst/>
                          </a:prstGeom>
                        </wps:spPr>
                        <wps:txbx>
                          <w:txbxContent>
                            <w:p>
                              <w:pPr>
                                <w:tabs>
                                  <w:tab w:pos="1604" w:val="left" w:leader="none"/>
                                  <w:tab w:pos="3209" w:val="left" w:leader="none"/>
                                  <w:tab w:pos="4814" w:val="left" w:leader="none"/>
                                </w:tabs>
                                <w:spacing w:line="199" w:lineRule="exact" w:before="0"/>
                                <w:ind w:left="0" w:right="0" w:firstLine="0"/>
                                <w:jc w:val="left"/>
                                <w:rPr>
                                  <w:sz w:val="18"/>
                                </w:rPr>
                              </w:pPr>
                              <w:r>
                                <w:rPr>
                                  <w:spacing w:val="-4"/>
                                  <w:sz w:val="18"/>
                                </w:rPr>
                                <w:t>2023</w:t>
                              </w:r>
                              <w:r>
                                <w:rPr>
                                  <w:sz w:val="18"/>
                                </w:rPr>
                                <w:tab/>
                              </w:r>
                              <w:r>
                                <w:rPr>
                                  <w:spacing w:val="-4"/>
                                  <w:sz w:val="18"/>
                                </w:rPr>
                                <w:t>2022</w:t>
                              </w:r>
                              <w:r>
                                <w:rPr>
                                  <w:sz w:val="18"/>
                                </w:rPr>
                                <w:tab/>
                              </w:r>
                              <w:r>
                                <w:rPr>
                                  <w:spacing w:val="-4"/>
                                  <w:sz w:val="18"/>
                                </w:rPr>
                                <w:t>2023</w:t>
                              </w:r>
                              <w:r>
                                <w:rPr>
                                  <w:sz w:val="18"/>
                                </w:rPr>
                                <w:tab/>
                              </w:r>
                              <w:r>
                                <w:rPr>
                                  <w:spacing w:val="-4"/>
                                  <w:sz w:val="18"/>
                                </w:rPr>
                                <w:t>2022</w:t>
                              </w:r>
                            </w:p>
                          </w:txbxContent>
                        </wps:txbx>
                        <wps:bodyPr wrap="square" lIns="0" tIns="0" rIns="0" bIns="0" rtlCol="0">
                          <a:noAutofit/>
                        </wps:bodyPr>
                      </wps:wsp>
                      <wps:wsp>
                        <wps:cNvPr id="93" name="Textbox 93"/>
                        <wps:cNvSpPr txBox="1"/>
                        <wps:spPr>
                          <a:xfrm>
                            <a:off x="0" y="330200"/>
                            <a:ext cx="6515100" cy="158750"/>
                          </a:xfrm>
                          <a:prstGeom prst="rect">
                            <a:avLst/>
                          </a:prstGeom>
                        </wps:spPr>
                        <wps:txbx>
                          <w:txbxContent>
                            <w:p>
                              <w:pPr>
                                <w:tabs>
                                  <w:tab w:pos="3952" w:val="left" w:leader="none"/>
                                  <w:tab w:pos="4965" w:val="left" w:leader="none"/>
                                  <w:tab w:pos="6570" w:val="left" w:leader="none"/>
                                  <w:tab w:pos="8175" w:val="left" w:leader="none"/>
                                  <w:tab w:pos="9780" w:val="left" w:leader="none"/>
                                </w:tabs>
                                <w:spacing w:before="13"/>
                                <w:ind w:left="52" w:right="0" w:firstLine="0"/>
                                <w:jc w:val="left"/>
                                <w:rPr>
                                  <w:sz w:val="18"/>
                                </w:rPr>
                              </w:pPr>
                              <w:r>
                                <w:rPr>
                                  <w:b/>
                                  <w:sz w:val="18"/>
                                </w:rPr>
                                <w:t>Total</w:t>
                              </w:r>
                              <w:r>
                                <w:rPr>
                                  <w:b/>
                                  <w:spacing w:val="-3"/>
                                  <w:sz w:val="18"/>
                                </w:rPr>
                                <w:t> </w:t>
                              </w:r>
                              <w:r>
                                <w:rPr>
                                  <w:b/>
                                  <w:sz w:val="18"/>
                                </w:rPr>
                                <w:t>expenses</w:t>
                              </w:r>
                              <w:r>
                                <w:rPr>
                                  <w:b/>
                                  <w:spacing w:val="-2"/>
                                  <w:sz w:val="18"/>
                                </w:rPr>
                                <w:t> </w:t>
                              </w:r>
                              <w:r>
                                <w:rPr>
                                  <w:b/>
                                  <w:sz w:val="18"/>
                                </w:rPr>
                                <w:t>excluding</w:t>
                              </w:r>
                              <w:r>
                                <w:rPr>
                                  <w:b/>
                                  <w:spacing w:val="-2"/>
                                  <w:sz w:val="18"/>
                                </w:rPr>
                                <w:t> </w:t>
                              </w:r>
                              <w:r>
                                <w:rPr>
                                  <w:b/>
                                  <w:sz w:val="18"/>
                                </w:rPr>
                                <w:t>interest</w:t>
                              </w:r>
                              <w:r>
                                <w:rPr>
                                  <w:b/>
                                  <w:spacing w:val="-2"/>
                                  <w:sz w:val="18"/>
                                </w:rPr>
                                <w:t> (GAAP)</w:t>
                              </w:r>
                              <w:r>
                                <w:rPr>
                                  <w:b/>
                                  <w:sz w:val="18"/>
                                </w:rPr>
                                <w:tab/>
                              </w:r>
                              <w:r>
                                <w:rPr>
                                  <w:spacing w:val="-10"/>
                                  <w:sz w:val="18"/>
                                </w:rPr>
                                <w:t>$</w:t>
                              </w:r>
                              <w:r>
                                <w:rPr>
                                  <w:sz w:val="18"/>
                                </w:rPr>
                                <w:tab/>
                                <w:t>3,223</w:t>
                              </w:r>
                              <w:r>
                                <w:rPr>
                                  <w:spacing w:val="48"/>
                                  <w:sz w:val="18"/>
                                </w:rPr>
                                <w:t>  </w:t>
                              </w:r>
                              <w:r>
                                <w:rPr>
                                  <w:spacing w:val="-10"/>
                                  <w:sz w:val="18"/>
                                </w:rPr>
                                <w:t>$</w:t>
                              </w:r>
                              <w:r>
                                <w:rPr>
                                  <w:sz w:val="18"/>
                                </w:rPr>
                                <w:tab/>
                                <w:t>2,823</w:t>
                              </w:r>
                              <w:r>
                                <w:rPr>
                                  <w:spacing w:val="48"/>
                                  <w:sz w:val="18"/>
                                </w:rPr>
                                <w:t>  </w:t>
                              </w:r>
                              <w:r>
                                <w:rPr>
                                  <w:spacing w:val="-10"/>
                                  <w:sz w:val="18"/>
                                </w:rPr>
                                <w:t>$</w:t>
                              </w:r>
                              <w:r>
                                <w:rPr>
                                  <w:sz w:val="18"/>
                                </w:rPr>
                                <w:tab/>
                                <w:t>9,194</w:t>
                              </w:r>
                              <w:r>
                                <w:rPr>
                                  <w:spacing w:val="48"/>
                                  <w:sz w:val="18"/>
                                </w:rPr>
                                <w:t>  </w:t>
                              </w:r>
                              <w:r>
                                <w:rPr>
                                  <w:spacing w:val="-10"/>
                                  <w:sz w:val="18"/>
                                </w:rPr>
                                <w:t>$</w:t>
                              </w:r>
                              <w:r>
                                <w:rPr>
                                  <w:sz w:val="18"/>
                                </w:rPr>
                                <w:tab/>
                              </w:r>
                              <w:r>
                                <w:rPr>
                                  <w:spacing w:val="-2"/>
                                  <w:sz w:val="18"/>
                                </w:rPr>
                                <w:t>8,475</w:t>
                              </w:r>
                            </w:p>
                          </w:txbxContent>
                        </wps:txbx>
                        <wps:bodyPr wrap="square" lIns="0" tIns="0" rIns="0" bIns="0" rtlCol="0">
                          <a:noAutofit/>
                        </wps:bodyPr>
                      </wps:wsp>
                    </wpg:wgp>
                  </a:graphicData>
                </a:graphic>
              </wp:anchor>
            </w:drawing>
          </mc:Choice>
          <mc:Fallback>
            <w:pict>
              <v:group style="position:absolute;margin-left:49.5pt;margin-top:7.675977pt;width:513pt;height:38.5pt;mso-position-horizontal-relative:page;mso-position-vertical-relative:paragraph;z-index:-15717376;mso-wrap-distance-left:0;mso-wrap-distance-right:0" id="docshapegroup57" coordorigin="990,154" coordsize="10260,770">
                <v:rect style="position:absolute;left:990;top:668;width:10260;height:255" id="docshape58" filled="true" fillcolor="#ccedff" stroked="false">
                  <v:fill type="solid"/>
                </v:rect>
                <v:shape style="position:absolute;left:990;top:158;width:10260;height:2" id="docshape59" coordorigin="990,159" coordsize="10260,0" path="m11250,159l990,159e" filled="true" fillcolor="#000000" stroked="false">
                  <v:path arrowok="t"/>
                  <v:fill opacity="0f" type="solid"/>
                </v:shape>
                <v:line style="position:absolute" from="990,159" to="11250,159" stroked="true" strokeweight=".5pt" strokecolor="#000000">
                  <v:stroke dashstyle="solid"/>
                </v:line>
                <v:shape style="position:absolute;left:4890;top:413;width:3150;height:2" id="docshape60" coordorigin="4890,414" coordsize="3150,0" path="m8040,414l4890,414e" filled="true" fillcolor="#000000" stroked="false">
                  <v:path arrowok="t"/>
                  <v:fill opacity="0f" type="solid"/>
                </v:shape>
                <v:line style="position:absolute" from="4890,414" to="8040,414" stroked="true" strokeweight=".5pt" strokecolor="#000000">
                  <v:stroke dashstyle="solid"/>
                </v:line>
                <v:shape style="position:absolute;left:8100;top:413;width:3150;height:2" id="docshape61" coordorigin="8100,414" coordsize="3150,0" path="m11250,414l8100,414e" filled="true" fillcolor="#000000" stroked="false">
                  <v:path arrowok="t"/>
                  <v:fill opacity="0f" type="solid"/>
                </v:shape>
                <v:line style="position:absolute" from="8100,414" to="11250,414" stroked="true" strokeweight=".5pt" strokecolor="#000000">
                  <v:stroke dashstyle="solid"/>
                </v:line>
                <v:shape style="position:absolute;left:990;top:668;width:10260;height:2" id="docshape62" coordorigin="990,669" coordsize="10260,0" path="m11250,669l990,669e" filled="true" fillcolor="#000000" stroked="false">
                  <v:path arrowok="t"/>
                  <v:fill opacity="0f" type="solid"/>
                </v:shape>
                <v:line style="position:absolute" from="990,669" to="11250,669" stroked="true" strokeweight=".5pt" strokecolor="#000000">
                  <v:stroke dashstyle="solid"/>
                </v:line>
                <v:shape style="position:absolute;left:5163;top:184;width:2625;height:200" type="#_x0000_t202" id="docshape63" filled="false" stroked="false">
                  <v:textbox inset="0,0,0,0">
                    <w:txbxContent>
                      <w:p>
                        <w:pPr>
                          <w:spacing w:line="199" w:lineRule="exact" w:before="0"/>
                          <w:ind w:left="0" w:right="0" w:firstLine="0"/>
                          <w:jc w:val="left"/>
                          <w:rPr>
                            <w:sz w:val="18"/>
                          </w:rPr>
                        </w:pPr>
                        <w:r>
                          <w:rPr>
                            <w:sz w:val="18"/>
                          </w:rPr>
                          <w:t>Three</w:t>
                        </w:r>
                        <w:r>
                          <w:rPr>
                            <w:spacing w:val="-1"/>
                            <w:sz w:val="18"/>
                          </w:rPr>
                          <w:t> </w:t>
                        </w:r>
                        <w:r>
                          <w:rPr>
                            <w:sz w:val="18"/>
                          </w:rPr>
                          <w:t>Months</w:t>
                        </w:r>
                        <w:r>
                          <w:rPr>
                            <w:spacing w:val="-1"/>
                            <w:sz w:val="18"/>
                          </w:rPr>
                          <w:t> </w:t>
                        </w:r>
                        <w:r>
                          <w:rPr>
                            <w:sz w:val="18"/>
                          </w:rPr>
                          <w:t>Ended</w:t>
                        </w:r>
                        <w:r>
                          <w:rPr>
                            <w:spacing w:val="-1"/>
                            <w:sz w:val="18"/>
                          </w:rPr>
                          <w:t> </w:t>
                        </w:r>
                        <w:r>
                          <w:rPr>
                            <w:sz w:val="18"/>
                          </w:rPr>
                          <w:t>September </w:t>
                        </w:r>
                        <w:r>
                          <w:rPr>
                            <w:spacing w:val="-5"/>
                            <w:sz w:val="18"/>
                          </w:rPr>
                          <w:t>30,</w:t>
                        </w:r>
                      </w:p>
                    </w:txbxContent>
                  </v:textbox>
                  <w10:wrap type="none"/>
                </v:shape>
                <v:shape style="position:absolute;left:8408;top:184;width:2555;height:200" type="#_x0000_t202" id="docshape64" filled="false" stroked="false">
                  <v:textbox inset="0,0,0,0">
                    <w:txbxContent>
                      <w:p>
                        <w:pPr>
                          <w:spacing w:line="199" w:lineRule="exact" w:before="0"/>
                          <w:ind w:left="0" w:right="0" w:firstLine="0"/>
                          <w:jc w:val="left"/>
                          <w:rPr>
                            <w:sz w:val="18"/>
                          </w:rPr>
                        </w:pPr>
                        <w:r>
                          <w:rPr>
                            <w:sz w:val="18"/>
                          </w:rPr>
                          <w:t>Nine</w:t>
                        </w:r>
                        <w:r>
                          <w:rPr>
                            <w:spacing w:val="-1"/>
                            <w:sz w:val="18"/>
                          </w:rPr>
                          <w:t> </w:t>
                        </w:r>
                        <w:r>
                          <w:rPr>
                            <w:sz w:val="18"/>
                          </w:rPr>
                          <w:t>Months</w:t>
                        </w:r>
                        <w:r>
                          <w:rPr>
                            <w:spacing w:val="-2"/>
                            <w:sz w:val="18"/>
                          </w:rPr>
                          <w:t> </w:t>
                        </w:r>
                        <w:r>
                          <w:rPr>
                            <w:sz w:val="18"/>
                          </w:rPr>
                          <w:t>Ended</w:t>
                        </w:r>
                        <w:r>
                          <w:rPr>
                            <w:spacing w:val="-1"/>
                            <w:sz w:val="18"/>
                          </w:rPr>
                          <w:t> </w:t>
                        </w:r>
                        <w:r>
                          <w:rPr>
                            <w:sz w:val="18"/>
                          </w:rPr>
                          <w:t>September </w:t>
                        </w:r>
                        <w:r>
                          <w:rPr>
                            <w:spacing w:val="-5"/>
                            <w:sz w:val="18"/>
                          </w:rPr>
                          <w:t>30,</w:t>
                        </w:r>
                      </w:p>
                    </w:txbxContent>
                  </v:textbox>
                  <w10:wrap type="none"/>
                </v:shape>
                <v:shape style="position:absolute;left:5482;top:439;width:5195;height:200" type="#_x0000_t202" id="docshape65" filled="false" stroked="false">
                  <v:textbox inset="0,0,0,0">
                    <w:txbxContent>
                      <w:p>
                        <w:pPr>
                          <w:tabs>
                            <w:tab w:pos="1604" w:val="left" w:leader="none"/>
                            <w:tab w:pos="3209" w:val="left" w:leader="none"/>
                            <w:tab w:pos="4814" w:val="left" w:leader="none"/>
                          </w:tabs>
                          <w:spacing w:line="199" w:lineRule="exact" w:before="0"/>
                          <w:ind w:left="0" w:right="0" w:firstLine="0"/>
                          <w:jc w:val="left"/>
                          <w:rPr>
                            <w:sz w:val="18"/>
                          </w:rPr>
                        </w:pPr>
                        <w:r>
                          <w:rPr>
                            <w:spacing w:val="-4"/>
                            <w:sz w:val="18"/>
                          </w:rPr>
                          <w:t>2023</w:t>
                        </w:r>
                        <w:r>
                          <w:rPr>
                            <w:sz w:val="18"/>
                          </w:rPr>
                          <w:tab/>
                        </w:r>
                        <w:r>
                          <w:rPr>
                            <w:spacing w:val="-4"/>
                            <w:sz w:val="18"/>
                          </w:rPr>
                          <w:t>2022</w:t>
                        </w:r>
                        <w:r>
                          <w:rPr>
                            <w:sz w:val="18"/>
                          </w:rPr>
                          <w:tab/>
                        </w:r>
                        <w:r>
                          <w:rPr>
                            <w:spacing w:val="-4"/>
                            <w:sz w:val="18"/>
                          </w:rPr>
                          <w:t>2023</w:t>
                        </w:r>
                        <w:r>
                          <w:rPr>
                            <w:sz w:val="18"/>
                          </w:rPr>
                          <w:tab/>
                        </w:r>
                        <w:r>
                          <w:rPr>
                            <w:spacing w:val="-4"/>
                            <w:sz w:val="18"/>
                          </w:rPr>
                          <w:t>2022</w:t>
                        </w:r>
                      </w:p>
                    </w:txbxContent>
                  </v:textbox>
                  <w10:wrap type="none"/>
                </v:shape>
                <v:shape style="position:absolute;left:990;top:673;width:10260;height:250" type="#_x0000_t202" id="docshape66" filled="false" stroked="false">
                  <v:textbox inset="0,0,0,0">
                    <w:txbxContent>
                      <w:p>
                        <w:pPr>
                          <w:tabs>
                            <w:tab w:pos="3952" w:val="left" w:leader="none"/>
                            <w:tab w:pos="4965" w:val="left" w:leader="none"/>
                            <w:tab w:pos="6570" w:val="left" w:leader="none"/>
                            <w:tab w:pos="8175" w:val="left" w:leader="none"/>
                            <w:tab w:pos="9780" w:val="left" w:leader="none"/>
                          </w:tabs>
                          <w:spacing w:before="13"/>
                          <w:ind w:left="52" w:right="0" w:firstLine="0"/>
                          <w:jc w:val="left"/>
                          <w:rPr>
                            <w:sz w:val="18"/>
                          </w:rPr>
                        </w:pPr>
                        <w:r>
                          <w:rPr>
                            <w:b/>
                            <w:sz w:val="18"/>
                          </w:rPr>
                          <w:t>Total</w:t>
                        </w:r>
                        <w:r>
                          <w:rPr>
                            <w:b/>
                            <w:spacing w:val="-3"/>
                            <w:sz w:val="18"/>
                          </w:rPr>
                          <w:t> </w:t>
                        </w:r>
                        <w:r>
                          <w:rPr>
                            <w:b/>
                            <w:sz w:val="18"/>
                          </w:rPr>
                          <w:t>expenses</w:t>
                        </w:r>
                        <w:r>
                          <w:rPr>
                            <w:b/>
                            <w:spacing w:val="-2"/>
                            <w:sz w:val="18"/>
                          </w:rPr>
                          <w:t> </w:t>
                        </w:r>
                        <w:r>
                          <w:rPr>
                            <w:b/>
                            <w:sz w:val="18"/>
                          </w:rPr>
                          <w:t>excluding</w:t>
                        </w:r>
                        <w:r>
                          <w:rPr>
                            <w:b/>
                            <w:spacing w:val="-2"/>
                            <w:sz w:val="18"/>
                          </w:rPr>
                          <w:t> </w:t>
                        </w:r>
                        <w:r>
                          <w:rPr>
                            <w:b/>
                            <w:sz w:val="18"/>
                          </w:rPr>
                          <w:t>interest</w:t>
                        </w:r>
                        <w:r>
                          <w:rPr>
                            <w:b/>
                            <w:spacing w:val="-2"/>
                            <w:sz w:val="18"/>
                          </w:rPr>
                          <w:t> (GAAP)</w:t>
                        </w:r>
                        <w:r>
                          <w:rPr>
                            <w:b/>
                            <w:sz w:val="18"/>
                          </w:rPr>
                          <w:tab/>
                        </w:r>
                        <w:r>
                          <w:rPr>
                            <w:spacing w:val="-10"/>
                            <w:sz w:val="18"/>
                          </w:rPr>
                          <w:t>$</w:t>
                        </w:r>
                        <w:r>
                          <w:rPr>
                            <w:sz w:val="18"/>
                          </w:rPr>
                          <w:tab/>
                          <w:t>3,223</w:t>
                        </w:r>
                        <w:r>
                          <w:rPr>
                            <w:spacing w:val="48"/>
                            <w:sz w:val="18"/>
                          </w:rPr>
                          <w:t>  </w:t>
                        </w:r>
                        <w:r>
                          <w:rPr>
                            <w:spacing w:val="-10"/>
                            <w:sz w:val="18"/>
                          </w:rPr>
                          <w:t>$</w:t>
                        </w:r>
                        <w:r>
                          <w:rPr>
                            <w:sz w:val="18"/>
                          </w:rPr>
                          <w:tab/>
                          <w:t>2,823</w:t>
                        </w:r>
                        <w:r>
                          <w:rPr>
                            <w:spacing w:val="48"/>
                            <w:sz w:val="18"/>
                          </w:rPr>
                          <w:t>  </w:t>
                        </w:r>
                        <w:r>
                          <w:rPr>
                            <w:spacing w:val="-10"/>
                            <w:sz w:val="18"/>
                          </w:rPr>
                          <w:t>$</w:t>
                        </w:r>
                        <w:r>
                          <w:rPr>
                            <w:sz w:val="18"/>
                          </w:rPr>
                          <w:tab/>
                          <w:t>9,194</w:t>
                        </w:r>
                        <w:r>
                          <w:rPr>
                            <w:spacing w:val="48"/>
                            <w:sz w:val="18"/>
                          </w:rPr>
                          <w:t>  </w:t>
                        </w:r>
                        <w:r>
                          <w:rPr>
                            <w:spacing w:val="-10"/>
                            <w:sz w:val="18"/>
                          </w:rPr>
                          <w:t>$</w:t>
                        </w:r>
                        <w:r>
                          <w:rPr>
                            <w:sz w:val="18"/>
                          </w:rPr>
                          <w:tab/>
                        </w:r>
                        <w:r>
                          <w:rPr>
                            <w:spacing w:val="-2"/>
                            <w:sz w:val="18"/>
                          </w:rPr>
                          <w:t>8,475</w:t>
                        </w:r>
                      </w:p>
                    </w:txbxContent>
                  </v:textbox>
                  <w10:wrap type="none"/>
                </v:shape>
                <w10:wrap type="topAndBottom"/>
              </v:group>
            </w:pict>
          </mc:Fallback>
        </mc:AlternateContent>
      </w:r>
    </w:p>
    <w:p>
      <w:pPr>
        <w:tabs>
          <w:tab w:pos="5510" w:val="left" w:leader="none"/>
          <w:tab w:pos="7115" w:val="left" w:leader="none"/>
          <w:tab w:pos="8720" w:val="left" w:leader="none"/>
          <w:tab w:pos="10325" w:val="left" w:leader="none"/>
        </w:tabs>
        <w:spacing w:before="18" w:after="30"/>
        <w:ind w:left="642" w:right="0" w:firstLine="0"/>
        <w:jc w:val="left"/>
        <w:rPr>
          <w:sz w:val="18"/>
        </w:rPr>
      </w:pPr>
      <w:r>
        <w:rPr>
          <w:sz w:val="18"/>
        </w:rPr>
        <w:t>Acquisition</w:t>
      </w:r>
      <w:r>
        <w:rPr>
          <w:spacing w:val="-1"/>
          <w:sz w:val="18"/>
        </w:rPr>
        <w:t> </w:t>
      </w:r>
      <w:r>
        <w:rPr>
          <w:sz w:val="18"/>
        </w:rPr>
        <w:t>and</w:t>
      </w:r>
      <w:r>
        <w:rPr>
          <w:spacing w:val="-1"/>
          <w:sz w:val="18"/>
        </w:rPr>
        <w:t> </w:t>
      </w:r>
      <w:r>
        <w:rPr>
          <w:sz w:val="18"/>
        </w:rPr>
        <w:t>integration-related</w:t>
      </w:r>
      <w:r>
        <w:rPr>
          <w:spacing w:val="-1"/>
          <w:sz w:val="18"/>
        </w:rPr>
        <w:t> </w:t>
      </w:r>
      <w:r>
        <w:rPr>
          <w:sz w:val="18"/>
        </w:rPr>
        <w:t>costs</w:t>
      </w:r>
      <w:r>
        <w:rPr>
          <w:spacing w:val="-3"/>
          <w:sz w:val="18"/>
        </w:rPr>
        <w:t> </w:t>
      </w:r>
      <w:r>
        <w:rPr>
          <w:spacing w:val="-5"/>
          <w:sz w:val="18"/>
          <w:vertAlign w:val="superscript"/>
        </w:rPr>
        <w:t>(1)</w:t>
      </w:r>
      <w:r>
        <w:rPr>
          <w:sz w:val="18"/>
          <w:vertAlign w:val="baseline"/>
        </w:rPr>
        <w:tab/>
      </w:r>
      <w:r>
        <w:rPr>
          <w:spacing w:val="-2"/>
          <w:sz w:val="18"/>
          <w:vertAlign w:val="baseline"/>
        </w:rPr>
        <w:t>(106)</w:t>
      </w:r>
      <w:r>
        <w:rPr>
          <w:sz w:val="18"/>
          <w:vertAlign w:val="baseline"/>
        </w:rPr>
        <w:tab/>
      </w:r>
      <w:r>
        <w:rPr>
          <w:spacing w:val="-2"/>
          <w:sz w:val="18"/>
          <w:vertAlign w:val="baseline"/>
        </w:rPr>
        <w:t>(101)</w:t>
      </w:r>
      <w:r>
        <w:rPr>
          <w:sz w:val="18"/>
          <w:vertAlign w:val="baseline"/>
        </w:rPr>
        <w:tab/>
      </w:r>
      <w:r>
        <w:rPr>
          <w:spacing w:val="-2"/>
          <w:sz w:val="18"/>
          <w:vertAlign w:val="baseline"/>
        </w:rPr>
        <w:t>(334)</w:t>
      </w:r>
      <w:r>
        <w:rPr>
          <w:sz w:val="18"/>
          <w:vertAlign w:val="baseline"/>
        </w:rPr>
        <w:tab/>
      </w:r>
      <w:r>
        <w:rPr>
          <w:spacing w:val="-2"/>
          <w:sz w:val="18"/>
          <w:vertAlign w:val="baseline"/>
        </w:rPr>
        <w:t>(291)</w:t>
      </w:r>
    </w:p>
    <w:p>
      <w:pPr>
        <w:pStyle w:val="BodyText"/>
        <w:ind w:left="470"/>
      </w:pPr>
      <w:r>
        <w:rPr/>
        <mc:AlternateContent>
          <mc:Choice Requires="wps">
            <w:drawing>
              <wp:inline distT="0" distB="0" distL="0" distR="0">
                <wp:extent cx="6515100" cy="161925"/>
                <wp:effectExtent l="0" t="0" r="0" b="0"/>
                <wp:docPr id="94" name="Textbox 94"/>
                <wp:cNvGraphicFramePr>
                  <a:graphicFrameLocks/>
                </wp:cNvGraphicFramePr>
                <a:graphic>
                  <a:graphicData uri="http://schemas.microsoft.com/office/word/2010/wordprocessingShape">
                    <wps:wsp>
                      <wps:cNvPr id="94" name="Textbox 94"/>
                      <wps:cNvSpPr txBox="1"/>
                      <wps:spPr>
                        <a:xfrm>
                          <a:off x="0" y="0"/>
                          <a:ext cx="6515100" cy="161925"/>
                        </a:xfrm>
                        <a:prstGeom prst="rect">
                          <a:avLst/>
                        </a:prstGeom>
                        <a:solidFill>
                          <a:srgbClr val="CCEDFF"/>
                        </a:solidFill>
                      </wps:spPr>
                      <wps:txbx>
                        <w:txbxContent>
                          <w:p>
                            <w:pPr>
                              <w:tabs>
                                <w:tab w:pos="5040" w:val="left" w:leader="none"/>
                                <w:tab w:pos="6645" w:val="left" w:leader="none"/>
                                <w:tab w:pos="8250" w:val="left" w:leader="none"/>
                                <w:tab w:pos="9855" w:val="left" w:leader="none"/>
                              </w:tabs>
                              <w:spacing w:before="18"/>
                              <w:ind w:left="187" w:right="0" w:firstLine="0"/>
                              <w:jc w:val="left"/>
                              <w:rPr>
                                <w:color w:val="000000"/>
                                <w:sz w:val="18"/>
                              </w:rPr>
                            </w:pPr>
                            <w:r>
                              <w:rPr>
                                <w:color w:val="000000"/>
                                <w:sz w:val="18"/>
                              </w:rPr>
                              <w:t>Amortization</w:t>
                            </w:r>
                            <w:r>
                              <w:rPr>
                                <w:color w:val="000000"/>
                                <w:spacing w:val="-1"/>
                                <w:sz w:val="18"/>
                              </w:rPr>
                              <w:t> </w:t>
                            </w:r>
                            <w:r>
                              <w:rPr>
                                <w:color w:val="000000"/>
                                <w:sz w:val="18"/>
                              </w:rPr>
                              <w:t>of acquired intangible </w:t>
                            </w:r>
                            <w:r>
                              <w:rPr>
                                <w:color w:val="000000"/>
                                <w:spacing w:val="-2"/>
                                <w:sz w:val="18"/>
                              </w:rPr>
                              <w:t>assets</w:t>
                            </w:r>
                            <w:r>
                              <w:rPr>
                                <w:color w:val="000000"/>
                                <w:sz w:val="18"/>
                              </w:rPr>
                              <w:tab/>
                            </w:r>
                            <w:r>
                              <w:rPr>
                                <w:color w:val="000000"/>
                                <w:spacing w:val="-2"/>
                                <w:sz w:val="18"/>
                              </w:rPr>
                              <w:t>(135)</w:t>
                            </w:r>
                            <w:r>
                              <w:rPr>
                                <w:color w:val="000000"/>
                                <w:sz w:val="18"/>
                              </w:rPr>
                              <w:tab/>
                            </w:r>
                            <w:r>
                              <w:rPr>
                                <w:color w:val="000000"/>
                                <w:spacing w:val="-2"/>
                                <w:sz w:val="18"/>
                              </w:rPr>
                              <w:t>(152)</w:t>
                            </w:r>
                            <w:r>
                              <w:rPr>
                                <w:color w:val="000000"/>
                                <w:sz w:val="18"/>
                              </w:rPr>
                              <w:tab/>
                            </w:r>
                            <w:r>
                              <w:rPr>
                                <w:color w:val="000000"/>
                                <w:spacing w:val="-2"/>
                                <w:sz w:val="18"/>
                              </w:rPr>
                              <w:t>(404)</w:t>
                            </w:r>
                            <w:r>
                              <w:rPr>
                                <w:color w:val="000000"/>
                                <w:sz w:val="18"/>
                              </w:rPr>
                              <w:tab/>
                            </w:r>
                            <w:r>
                              <w:rPr>
                                <w:color w:val="000000"/>
                                <w:spacing w:val="-2"/>
                                <w:sz w:val="18"/>
                              </w:rPr>
                              <w:t>(460)</w:t>
                            </w:r>
                          </w:p>
                        </w:txbxContent>
                      </wps:txbx>
                      <wps:bodyPr wrap="square" lIns="0" tIns="0" rIns="0" bIns="0" rtlCol="0">
                        <a:noAutofit/>
                      </wps:bodyPr>
                    </wps:wsp>
                  </a:graphicData>
                </a:graphic>
              </wp:inline>
            </w:drawing>
          </mc:Choice>
          <mc:Fallback>
            <w:pict>
              <v:shape style="width:513pt;height:12.75pt;mso-position-horizontal-relative:char;mso-position-vertical-relative:line" type="#_x0000_t202" id="docshape67" filled="true" fillcolor="#ccedff" stroked="false">
                <w10:anchorlock/>
                <v:textbox inset="0,0,0,0">
                  <w:txbxContent>
                    <w:p>
                      <w:pPr>
                        <w:tabs>
                          <w:tab w:pos="5040" w:val="left" w:leader="none"/>
                          <w:tab w:pos="6645" w:val="left" w:leader="none"/>
                          <w:tab w:pos="8250" w:val="left" w:leader="none"/>
                          <w:tab w:pos="9855" w:val="left" w:leader="none"/>
                        </w:tabs>
                        <w:spacing w:before="18"/>
                        <w:ind w:left="187" w:right="0" w:firstLine="0"/>
                        <w:jc w:val="left"/>
                        <w:rPr>
                          <w:color w:val="000000"/>
                          <w:sz w:val="18"/>
                        </w:rPr>
                      </w:pPr>
                      <w:r>
                        <w:rPr>
                          <w:color w:val="000000"/>
                          <w:sz w:val="18"/>
                        </w:rPr>
                        <w:t>Amortization</w:t>
                      </w:r>
                      <w:r>
                        <w:rPr>
                          <w:color w:val="000000"/>
                          <w:spacing w:val="-1"/>
                          <w:sz w:val="18"/>
                        </w:rPr>
                        <w:t> </w:t>
                      </w:r>
                      <w:r>
                        <w:rPr>
                          <w:color w:val="000000"/>
                          <w:sz w:val="18"/>
                        </w:rPr>
                        <w:t>of acquired intangible </w:t>
                      </w:r>
                      <w:r>
                        <w:rPr>
                          <w:color w:val="000000"/>
                          <w:spacing w:val="-2"/>
                          <w:sz w:val="18"/>
                        </w:rPr>
                        <w:t>assets</w:t>
                      </w:r>
                      <w:r>
                        <w:rPr>
                          <w:color w:val="000000"/>
                          <w:sz w:val="18"/>
                        </w:rPr>
                        <w:tab/>
                      </w:r>
                      <w:r>
                        <w:rPr>
                          <w:color w:val="000000"/>
                          <w:spacing w:val="-2"/>
                          <w:sz w:val="18"/>
                        </w:rPr>
                        <w:t>(135)</w:t>
                      </w:r>
                      <w:r>
                        <w:rPr>
                          <w:color w:val="000000"/>
                          <w:sz w:val="18"/>
                        </w:rPr>
                        <w:tab/>
                      </w:r>
                      <w:r>
                        <w:rPr>
                          <w:color w:val="000000"/>
                          <w:spacing w:val="-2"/>
                          <w:sz w:val="18"/>
                        </w:rPr>
                        <w:t>(152)</w:t>
                      </w:r>
                      <w:r>
                        <w:rPr>
                          <w:color w:val="000000"/>
                          <w:sz w:val="18"/>
                        </w:rPr>
                        <w:tab/>
                      </w:r>
                      <w:r>
                        <w:rPr>
                          <w:color w:val="000000"/>
                          <w:spacing w:val="-2"/>
                          <w:sz w:val="18"/>
                        </w:rPr>
                        <w:t>(404)</w:t>
                      </w:r>
                      <w:r>
                        <w:rPr>
                          <w:color w:val="000000"/>
                          <w:sz w:val="18"/>
                        </w:rPr>
                        <w:tab/>
                      </w:r>
                      <w:r>
                        <w:rPr>
                          <w:color w:val="000000"/>
                          <w:spacing w:val="-2"/>
                          <w:sz w:val="18"/>
                        </w:rPr>
                        <w:t>(460)</w:t>
                      </w:r>
                    </w:p>
                  </w:txbxContent>
                </v:textbox>
                <v:fill type="solid"/>
              </v:shape>
            </w:pict>
          </mc:Fallback>
        </mc:AlternateContent>
      </w:r>
      <w:r>
        <w:rPr/>
      </w:r>
    </w:p>
    <w:p>
      <w:pPr>
        <w:tabs>
          <w:tab w:pos="5510" w:val="left" w:leader="none"/>
          <w:tab w:pos="7265" w:val="left" w:leader="none"/>
          <w:tab w:pos="8720" w:val="left" w:leader="none"/>
          <w:tab w:pos="10475" w:val="left" w:leader="none"/>
        </w:tabs>
        <w:spacing w:before="3"/>
        <w:ind w:left="657" w:right="0" w:firstLine="0"/>
        <w:jc w:val="left"/>
        <w:rPr>
          <w:sz w:val="18"/>
        </w:rPr>
      </w:pPr>
      <w:r>
        <w:rPr/>
        <mc:AlternateContent>
          <mc:Choice Requires="wps">
            <w:drawing>
              <wp:anchor distT="0" distB="0" distL="0" distR="0" allowOverlap="1" layoutInCell="1" locked="0" behindDoc="1" simplePos="0" relativeHeight="487600128">
                <wp:simplePos x="0" y="0"/>
                <wp:positionH relativeFrom="page">
                  <wp:posOffset>628650</wp:posOffset>
                </wp:positionH>
                <wp:positionV relativeFrom="paragraph">
                  <wp:posOffset>149225</wp:posOffset>
                </wp:positionV>
                <wp:extent cx="6515100" cy="184150"/>
                <wp:effectExtent l="0" t="0" r="0" b="0"/>
                <wp:wrapTopAndBottom/>
                <wp:docPr id="95" name="Group 95"/>
                <wp:cNvGraphicFramePr>
                  <a:graphicFrameLocks/>
                </wp:cNvGraphicFramePr>
                <a:graphic>
                  <a:graphicData uri="http://schemas.microsoft.com/office/word/2010/wordprocessingGroup">
                    <wpg:wgp>
                      <wpg:cNvPr id="95" name="Group 95"/>
                      <wpg:cNvGrpSpPr/>
                      <wpg:grpSpPr>
                        <a:xfrm>
                          <a:off x="0" y="0"/>
                          <a:ext cx="6515100" cy="184150"/>
                          <a:chExt cx="6515100" cy="184150"/>
                        </a:xfrm>
                      </wpg:grpSpPr>
                      <wps:wsp>
                        <wps:cNvPr id="96" name="Graphic 96"/>
                        <wps:cNvSpPr/>
                        <wps:spPr>
                          <a:xfrm>
                            <a:off x="0" y="3175"/>
                            <a:ext cx="6515100" cy="161925"/>
                          </a:xfrm>
                          <a:custGeom>
                            <a:avLst/>
                            <a:gdLst/>
                            <a:ahLst/>
                            <a:cxnLst/>
                            <a:rect l="l" t="t" r="r" b="b"/>
                            <a:pathLst>
                              <a:path w="6515100" h="161925">
                                <a:moveTo>
                                  <a:pt x="6515100" y="0"/>
                                </a:moveTo>
                                <a:lnTo>
                                  <a:pt x="0" y="0"/>
                                </a:lnTo>
                                <a:lnTo>
                                  <a:pt x="0" y="161925"/>
                                </a:lnTo>
                                <a:lnTo>
                                  <a:pt x="6515100" y="161925"/>
                                </a:lnTo>
                                <a:lnTo>
                                  <a:pt x="6515100" y="0"/>
                                </a:lnTo>
                                <a:close/>
                              </a:path>
                            </a:pathLst>
                          </a:custGeom>
                          <a:solidFill>
                            <a:srgbClr val="CCEDFF"/>
                          </a:solidFill>
                        </wps:spPr>
                        <wps:bodyPr wrap="square" lIns="0" tIns="0" rIns="0" bIns="0" rtlCol="0">
                          <a:prstTxWarp prst="textNoShape">
                            <a:avLst/>
                          </a:prstTxWarp>
                          <a:noAutofit/>
                        </wps:bodyPr>
                      </wps:wsp>
                      <wps:wsp>
                        <wps:cNvPr id="97" name="Graphic 97"/>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98" name="Graphic 98"/>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99" name="Graphic 99"/>
                        <wps:cNvSpPr/>
                        <wps:spPr>
                          <a:xfrm>
                            <a:off x="0" y="146050"/>
                            <a:ext cx="6515100" cy="12700"/>
                          </a:xfrm>
                          <a:custGeom>
                            <a:avLst/>
                            <a:gdLst/>
                            <a:ahLst/>
                            <a:cxnLst/>
                            <a:rect l="l" t="t" r="r" b="b"/>
                            <a:pathLst>
                              <a:path w="6515100" h="12700">
                                <a:moveTo>
                                  <a:pt x="0" y="12700"/>
                                </a:moveTo>
                                <a:lnTo>
                                  <a:pt x="6515100" y="12700"/>
                                </a:lnTo>
                                <a:lnTo>
                                  <a:pt x="65151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0" y="177800"/>
                            <a:ext cx="6515100" cy="1270"/>
                          </a:xfrm>
                          <a:custGeom>
                            <a:avLst/>
                            <a:gdLst/>
                            <a:ahLst/>
                            <a:cxnLst/>
                            <a:rect l="l" t="t" r="r" b="b"/>
                            <a:pathLst>
                              <a:path w="6515100" h="0">
                                <a:moveTo>
                                  <a:pt x="0" y="0"/>
                                </a:moveTo>
                                <a:lnTo>
                                  <a:pt x="6515100" y="0"/>
                                </a:lnTo>
                              </a:path>
                            </a:pathLst>
                          </a:custGeom>
                          <a:ln w="12700">
                            <a:solidFill>
                              <a:srgbClr val="000000"/>
                            </a:solidFill>
                            <a:prstDash val="solid"/>
                          </a:ln>
                        </wps:spPr>
                        <wps:bodyPr wrap="square" lIns="0" tIns="0" rIns="0" bIns="0" rtlCol="0">
                          <a:prstTxWarp prst="textNoShape">
                            <a:avLst/>
                          </a:prstTxWarp>
                          <a:noAutofit/>
                        </wps:bodyPr>
                      </wps:wsp>
                      <wps:wsp>
                        <wps:cNvPr id="101" name="Textbox 101"/>
                        <wps:cNvSpPr txBox="1"/>
                        <wps:spPr>
                          <a:xfrm>
                            <a:off x="0" y="6350"/>
                            <a:ext cx="6515100" cy="152400"/>
                          </a:xfrm>
                          <a:prstGeom prst="rect">
                            <a:avLst/>
                          </a:prstGeom>
                        </wps:spPr>
                        <wps:txbx>
                          <w:txbxContent>
                            <w:p>
                              <w:pPr>
                                <w:tabs>
                                  <w:tab w:pos="3952" w:val="left" w:leader="none"/>
                                  <w:tab w:pos="4965" w:val="left" w:leader="none"/>
                                  <w:tab w:pos="6570" w:val="left" w:leader="none"/>
                                  <w:tab w:pos="8175" w:val="left" w:leader="none"/>
                                  <w:tab w:pos="9780" w:val="left" w:leader="none"/>
                                </w:tabs>
                                <w:spacing w:before="13"/>
                                <w:ind w:left="52" w:right="0" w:firstLine="0"/>
                                <w:jc w:val="left"/>
                                <w:rPr>
                                  <w:sz w:val="18"/>
                                </w:rPr>
                              </w:pPr>
                              <w:r>
                                <w:rPr>
                                  <w:b/>
                                  <w:sz w:val="18"/>
                                </w:rPr>
                                <w:t>Adjusted</w:t>
                              </w:r>
                              <w:r>
                                <w:rPr>
                                  <w:b/>
                                  <w:spacing w:val="-4"/>
                                  <w:sz w:val="18"/>
                                </w:rPr>
                                <w:t> </w:t>
                              </w:r>
                              <w:r>
                                <w:rPr>
                                  <w:b/>
                                  <w:sz w:val="18"/>
                                </w:rPr>
                                <w:t>total</w:t>
                              </w:r>
                              <w:r>
                                <w:rPr>
                                  <w:b/>
                                  <w:spacing w:val="-4"/>
                                  <w:sz w:val="18"/>
                                </w:rPr>
                                <w:t> </w:t>
                              </w:r>
                              <w:r>
                                <w:rPr>
                                  <w:b/>
                                  <w:sz w:val="18"/>
                                </w:rPr>
                                <w:t>expenses</w:t>
                              </w:r>
                              <w:r>
                                <w:rPr>
                                  <w:b/>
                                  <w:spacing w:val="-3"/>
                                  <w:sz w:val="18"/>
                                </w:rPr>
                                <w:t> </w:t>
                              </w:r>
                              <w:r>
                                <w:rPr>
                                  <w:b/>
                                  <w:sz w:val="18"/>
                                </w:rPr>
                                <w:t>(non-</w:t>
                              </w:r>
                              <w:r>
                                <w:rPr>
                                  <w:b/>
                                  <w:spacing w:val="-4"/>
                                  <w:sz w:val="18"/>
                                </w:rPr>
                                <w:t>GAAP)</w:t>
                              </w:r>
                              <w:r>
                                <w:rPr>
                                  <w:b/>
                                  <w:sz w:val="18"/>
                                </w:rPr>
                                <w:tab/>
                              </w:r>
                              <w:r>
                                <w:rPr>
                                  <w:spacing w:val="-10"/>
                                  <w:sz w:val="18"/>
                                </w:rPr>
                                <w:t>$</w:t>
                              </w:r>
                              <w:r>
                                <w:rPr>
                                  <w:sz w:val="18"/>
                                </w:rPr>
                                <w:tab/>
                                <w:t>2,703</w:t>
                              </w:r>
                              <w:r>
                                <w:rPr>
                                  <w:spacing w:val="48"/>
                                  <w:sz w:val="18"/>
                                </w:rPr>
                                <w:t>  </w:t>
                              </w:r>
                              <w:r>
                                <w:rPr>
                                  <w:spacing w:val="-10"/>
                                  <w:sz w:val="18"/>
                                </w:rPr>
                                <w:t>$</w:t>
                              </w:r>
                              <w:r>
                                <w:rPr>
                                  <w:sz w:val="18"/>
                                </w:rPr>
                                <w:tab/>
                                <w:t>2,570</w:t>
                              </w:r>
                              <w:r>
                                <w:rPr>
                                  <w:spacing w:val="48"/>
                                  <w:sz w:val="18"/>
                                </w:rPr>
                                <w:t>  </w:t>
                              </w:r>
                              <w:r>
                                <w:rPr>
                                  <w:spacing w:val="-10"/>
                                  <w:sz w:val="18"/>
                                </w:rPr>
                                <w:t>$</w:t>
                              </w:r>
                              <w:r>
                                <w:rPr>
                                  <w:sz w:val="18"/>
                                </w:rPr>
                                <w:tab/>
                                <w:t>8,177</w:t>
                              </w:r>
                              <w:r>
                                <w:rPr>
                                  <w:spacing w:val="48"/>
                                  <w:sz w:val="18"/>
                                </w:rPr>
                                <w:t>  </w:t>
                              </w:r>
                              <w:r>
                                <w:rPr>
                                  <w:spacing w:val="-10"/>
                                  <w:sz w:val="18"/>
                                </w:rPr>
                                <w:t>$</w:t>
                              </w:r>
                              <w:r>
                                <w:rPr>
                                  <w:sz w:val="18"/>
                                </w:rPr>
                                <w:tab/>
                              </w:r>
                              <w:r>
                                <w:rPr>
                                  <w:spacing w:val="-2"/>
                                  <w:sz w:val="18"/>
                                </w:rPr>
                                <w:t>7,724</w:t>
                              </w:r>
                            </w:p>
                          </w:txbxContent>
                        </wps:txbx>
                        <wps:bodyPr wrap="square" lIns="0" tIns="0" rIns="0" bIns="0" rtlCol="0">
                          <a:noAutofit/>
                        </wps:bodyPr>
                      </wps:wsp>
                    </wpg:wgp>
                  </a:graphicData>
                </a:graphic>
              </wp:anchor>
            </w:drawing>
          </mc:Choice>
          <mc:Fallback>
            <w:pict>
              <v:group style="position:absolute;margin-left:49.5pt;margin-top:11.75pt;width:513pt;height:14.5pt;mso-position-horizontal-relative:page;mso-position-vertical-relative:paragraph;z-index:-15716352;mso-wrap-distance-left:0;mso-wrap-distance-right:0" id="docshapegroup68" coordorigin="990,235" coordsize="10260,290">
                <v:rect style="position:absolute;left:990;top:240;width:10260;height:255" id="docshape69" filled="true" fillcolor="#ccedff" stroked="false">
                  <v:fill type="solid"/>
                </v:rect>
                <v:shape style="position:absolute;left:990;top:240;width:10260;height:2" id="docshape70" coordorigin="990,240" coordsize="10260,0" path="m11250,240l990,240e" filled="true" fillcolor="#000000" stroked="false">
                  <v:path arrowok="t"/>
                  <v:fill opacity="0f" type="solid"/>
                </v:shape>
                <v:line style="position:absolute" from="990,240" to="11250,240" stroked="true" strokeweight=".5pt" strokecolor="#000000">
                  <v:stroke dashstyle="solid"/>
                </v:line>
                <v:rect style="position:absolute;left:990;top:465;width:10260;height:20" id="docshape71" filled="true" fillcolor="#000000" stroked="false">
                  <v:fill opacity="0f" type="solid"/>
                </v:rect>
                <v:line style="position:absolute" from="990,515" to="11250,515" stroked="true" strokeweight="1pt" strokecolor="#000000">
                  <v:stroke dashstyle="solid"/>
                </v:line>
                <v:shape style="position:absolute;left:990;top:245;width:10260;height:240" type="#_x0000_t202" id="docshape72" filled="false" stroked="false">
                  <v:textbox inset="0,0,0,0">
                    <w:txbxContent>
                      <w:p>
                        <w:pPr>
                          <w:tabs>
                            <w:tab w:pos="3952" w:val="left" w:leader="none"/>
                            <w:tab w:pos="4965" w:val="left" w:leader="none"/>
                            <w:tab w:pos="6570" w:val="left" w:leader="none"/>
                            <w:tab w:pos="8175" w:val="left" w:leader="none"/>
                            <w:tab w:pos="9780" w:val="left" w:leader="none"/>
                          </w:tabs>
                          <w:spacing w:before="13"/>
                          <w:ind w:left="52" w:right="0" w:firstLine="0"/>
                          <w:jc w:val="left"/>
                          <w:rPr>
                            <w:sz w:val="18"/>
                          </w:rPr>
                        </w:pPr>
                        <w:r>
                          <w:rPr>
                            <w:b/>
                            <w:sz w:val="18"/>
                          </w:rPr>
                          <w:t>Adjusted</w:t>
                        </w:r>
                        <w:r>
                          <w:rPr>
                            <w:b/>
                            <w:spacing w:val="-4"/>
                            <w:sz w:val="18"/>
                          </w:rPr>
                          <w:t> </w:t>
                        </w:r>
                        <w:r>
                          <w:rPr>
                            <w:b/>
                            <w:sz w:val="18"/>
                          </w:rPr>
                          <w:t>total</w:t>
                        </w:r>
                        <w:r>
                          <w:rPr>
                            <w:b/>
                            <w:spacing w:val="-4"/>
                            <w:sz w:val="18"/>
                          </w:rPr>
                          <w:t> </w:t>
                        </w:r>
                        <w:r>
                          <w:rPr>
                            <w:b/>
                            <w:sz w:val="18"/>
                          </w:rPr>
                          <w:t>expenses</w:t>
                        </w:r>
                        <w:r>
                          <w:rPr>
                            <w:b/>
                            <w:spacing w:val="-3"/>
                            <w:sz w:val="18"/>
                          </w:rPr>
                          <w:t> </w:t>
                        </w:r>
                        <w:r>
                          <w:rPr>
                            <w:b/>
                            <w:sz w:val="18"/>
                          </w:rPr>
                          <w:t>(non-</w:t>
                        </w:r>
                        <w:r>
                          <w:rPr>
                            <w:b/>
                            <w:spacing w:val="-4"/>
                            <w:sz w:val="18"/>
                          </w:rPr>
                          <w:t>GAAP)</w:t>
                        </w:r>
                        <w:r>
                          <w:rPr>
                            <w:b/>
                            <w:sz w:val="18"/>
                          </w:rPr>
                          <w:tab/>
                        </w:r>
                        <w:r>
                          <w:rPr>
                            <w:spacing w:val="-10"/>
                            <w:sz w:val="18"/>
                          </w:rPr>
                          <w:t>$</w:t>
                        </w:r>
                        <w:r>
                          <w:rPr>
                            <w:sz w:val="18"/>
                          </w:rPr>
                          <w:tab/>
                          <w:t>2,703</w:t>
                        </w:r>
                        <w:r>
                          <w:rPr>
                            <w:spacing w:val="48"/>
                            <w:sz w:val="18"/>
                          </w:rPr>
                          <w:t>  </w:t>
                        </w:r>
                        <w:r>
                          <w:rPr>
                            <w:spacing w:val="-10"/>
                            <w:sz w:val="18"/>
                          </w:rPr>
                          <w:t>$</w:t>
                        </w:r>
                        <w:r>
                          <w:rPr>
                            <w:sz w:val="18"/>
                          </w:rPr>
                          <w:tab/>
                          <w:t>2,570</w:t>
                        </w:r>
                        <w:r>
                          <w:rPr>
                            <w:spacing w:val="48"/>
                            <w:sz w:val="18"/>
                          </w:rPr>
                          <w:t>  </w:t>
                        </w:r>
                        <w:r>
                          <w:rPr>
                            <w:spacing w:val="-10"/>
                            <w:sz w:val="18"/>
                          </w:rPr>
                          <w:t>$</w:t>
                        </w:r>
                        <w:r>
                          <w:rPr>
                            <w:sz w:val="18"/>
                          </w:rPr>
                          <w:tab/>
                          <w:t>8,177</w:t>
                        </w:r>
                        <w:r>
                          <w:rPr>
                            <w:spacing w:val="48"/>
                            <w:sz w:val="18"/>
                          </w:rPr>
                          <w:t>  </w:t>
                        </w:r>
                        <w:r>
                          <w:rPr>
                            <w:spacing w:val="-10"/>
                            <w:sz w:val="18"/>
                          </w:rPr>
                          <w:t>$</w:t>
                        </w:r>
                        <w:r>
                          <w:rPr>
                            <w:sz w:val="18"/>
                          </w:rPr>
                          <w:tab/>
                        </w:r>
                        <w:r>
                          <w:rPr>
                            <w:spacing w:val="-2"/>
                            <w:sz w:val="18"/>
                          </w:rPr>
                          <w:t>7,724</w:t>
                        </w:r>
                      </w:p>
                    </w:txbxContent>
                  </v:textbox>
                  <w10:wrap type="none"/>
                </v:shape>
                <w10:wrap type="topAndBottom"/>
              </v:group>
            </w:pict>
          </mc:Fallback>
        </mc:AlternateContent>
      </w:r>
      <w:r>
        <w:rPr>
          <w:sz w:val="18"/>
        </w:rPr>
        <w:t>Restructuring</w:t>
      </w:r>
      <w:r>
        <w:rPr>
          <w:spacing w:val="-2"/>
          <w:sz w:val="18"/>
        </w:rPr>
        <w:t> </w:t>
      </w:r>
      <w:r>
        <w:rPr>
          <w:sz w:val="18"/>
        </w:rPr>
        <w:t>costs</w:t>
      </w:r>
      <w:r>
        <w:rPr>
          <w:spacing w:val="-1"/>
          <w:sz w:val="18"/>
        </w:rPr>
        <w:t> </w:t>
      </w:r>
      <w:r>
        <w:rPr>
          <w:spacing w:val="-5"/>
          <w:sz w:val="18"/>
          <w:vertAlign w:val="superscript"/>
        </w:rPr>
        <w:t>(2)</w:t>
      </w:r>
      <w:r>
        <w:rPr>
          <w:sz w:val="18"/>
          <w:vertAlign w:val="baseline"/>
        </w:rPr>
        <w:tab/>
      </w:r>
      <w:r>
        <w:rPr>
          <w:spacing w:val="-2"/>
          <w:sz w:val="18"/>
          <w:vertAlign w:val="baseline"/>
        </w:rPr>
        <w:t>(279)</w:t>
      </w:r>
      <w:r>
        <w:rPr>
          <w:sz w:val="18"/>
          <w:vertAlign w:val="baseline"/>
        </w:rPr>
        <w:tab/>
      </w:r>
      <w:r>
        <w:rPr>
          <w:spacing w:val="-10"/>
          <w:sz w:val="18"/>
          <w:vertAlign w:val="baseline"/>
        </w:rPr>
        <w:t>—</w:t>
      </w:r>
      <w:r>
        <w:rPr>
          <w:sz w:val="18"/>
          <w:vertAlign w:val="baseline"/>
        </w:rPr>
        <w:tab/>
      </w:r>
      <w:r>
        <w:rPr>
          <w:spacing w:val="-2"/>
          <w:sz w:val="18"/>
          <w:vertAlign w:val="baseline"/>
        </w:rPr>
        <w:t>(279)</w:t>
      </w:r>
      <w:r>
        <w:rPr>
          <w:sz w:val="18"/>
          <w:vertAlign w:val="baseline"/>
        </w:rPr>
        <w:tab/>
      </w:r>
      <w:r>
        <w:rPr>
          <w:spacing w:val="-10"/>
          <w:sz w:val="18"/>
          <w:vertAlign w:val="baseline"/>
        </w:rPr>
        <w:t>—</w:t>
      </w:r>
    </w:p>
    <w:p>
      <w:pPr>
        <w:spacing w:line="249" w:lineRule="auto" w:before="31"/>
        <w:ind w:left="650" w:right="500" w:hanging="180"/>
        <w:jc w:val="left"/>
        <w:rPr>
          <w:sz w:val="16"/>
        </w:rPr>
      </w:pPr>
      <w:r>
        <w:rPr>
          <w:sz w:val="16"/>
          <w:vertAlign w:val="superscript"/>
        </w:rPr>
        <w:t>(1)</w:t>
      </w:r>
      <w:r>
        <w:rPr>
          <w:sz w:val="16"/>
          <w:vertAlign w:val="baseline"/>
        </w:rPr>
        <w:t> Acquisition and integration-related costs for the three and nine months ended September 30, 2023 primarily consist of $52 million and $158 million of</w:t>
      </w:r>
      <w:r>
        <w:rPr>
          <w:spacing w:val="40"/>
          <w:sz w:val="16"/>
          <w:vertAlign w:val="baseline"/>
        </w:rPr>
        <w:t> </w:t>
      </w:r>
      <w:r>
        <w:rPr>
          <w:sz w:val="16"/>
          <w:vertAlign w:val="baseline"/>
        </w:rPr>
        <w:t>compensation and benefits, $37 million and $111 million of professional services, $7 million and $21 million of occupancy and equipment, and $4 million</w:t>
      </w:r>
      <w:r>
        <w:rPr>
          <w:spacing w:val="40"/>
          <w:sz w:val="16"/>
          <w:vertAlign w:val="baseline"/>
        </w:rPr>
        <w:t> </w:t>
      </w:r>
      <w:r>
        <w:rPr>
          <w:sz w:val="16"/>
          <w:vertAlign w:val="baseline"/>
        </w:rPr>
        <w:t>and</w:t>
      </w:r>
      <w:r>
        <w:rPr>
          <w:spacing w:val="-2"/>
          <w:sz w:val="16"/>
          <w:vertAlign w:val="baseline"/>
        </w:rPr>
        <w:t> </w:t>
      </w:r>
      <w:r>
        <w:rPr>
          <w:sz w:val="16"/>
          <w:vertAlign w:val="baseline"/>
        </w:rPr>
        <w:t>$26</w:t>
      </w:r>
      <w:r>
        <w:rPr>
          <w:spacing w:val="-2"/>
          <w:sz w:val="16"/>
          <w:vertAlign w:val="baseline"/>
        </w:rPr>
        <w:t> </w:t>
      </w:r>
      <w:r>
        <w:rPr>
          <w:sz w:val="16"/>
          <w:vertAlign w:val="baseline"/>
        </w:rPr>
        <w:t>million</w:t>
      </w:r>
      <w:r>
        <w:rPr>
          <w:spacing w:val="-2"/>
          <w:sz w:val="16"/>
          <w:vertAlign w:val="baseline"/>
        </w:rPr>
        <w:t> </w:t>
      </w:r>
      <w:r>
        <w:rPr>
          <w:sz w:val="16"/>
          <w:vertAlign w:val="baseline"/>
        </w:rPr>
        <w:t>of</w:t>
      </w:r>
      <w:r>
        <w:rPr>
          <w:spacing w:val="-2"/>
          <w:sz w:val="16"/>
          <w:vertAlign w:val="baseline"/>
        </w:rPr>
        <w:t> </w:t>
      </w:r>
      <w:r>
        <w:rPr>
          <w:sz w:val="16"/>
          <w:vertAlign w:val="baseline"/>
        </w:rPr>
        <w:t>other.</w:t>
      </w:r>
      <w:r>
        <w:rPr>
          <w:spacing w:val="-2"/>
          <w:sz w:val="16"/>
          <w:vertAlign w:val="baseline"/>
        </w:rPr>
        <w:t> </w:t>
      </w:r>
      <w:r>
        <w:rPr>
          <w:sz w:val="16"/>
          <w:vertAlign w:val="baseline"/>
        </w:rPr>
        <w:t>Acquisition</w:t>
      </w:r>
      <w:r>
        <w:rPr>
          <w:spacing w:val="-2"/>
          <w:sz w:val="16"/>
          <w:vertAlign w:val="baseline"/>
        </w:rPr>
        <w:t> </w:t>
      </w:r>
      <w:r>
        <w:rPr>
          <w:sz w:val="16"/>
          <w:vertAlign w:val="baseline"/>
        </w:rPr>
        <w:t>and</w:t>
      </w:r>
      <w:r>
        <w:rPr>
          <w:spacing w:val="-2"/>
          <w:sz w:val="16"/>
          <w:vertAlign w:val="baseline"/>
        </w:rPr>
        <w:t> </w:t>
      </w:r>
      <w:r>
        <w:rPr>
          <w:sz w:val="16"/>
          <w:vertAlign w:val="baseline"/>
        </w:rPr>
        <w:t>integration-related</w:t>
      </w:r>
      <w:r>
        <w:rPr>
          <w:spacing w:val="-2"/>
          <w:sz w:val="16"/>
          <w:vertAlign w:val="baseline"/>
        </w:rPr>
        <w:t> </w:t>
      </w:r>
      <w:r>
        <w:rPr>
          <w:sz w:val="16"/>
          <w:vertAlign w:val="baseline"/>
        </w:rPr>
        <w:t>costs</w:t>
      </w:r>
      <w:r>
        <w:rPr>
          <w:spacing w:val="-3"/>
          <w:sz w:val="16"/>
          <w:vertAlign w:val="baseline"/>
        </w:rPr>
        <w:t> </w:t>
      </w:r>
      <w:r>
        <w:rPr>
          <w:sz w:val="16"/>
          <w:vertAlign w:val="baseline"/>
        </w:rPr>
        <w:t>for</w:t>
      </w:r>
      <w:r>
        <w:rPr>
          <w:spacing w:val="-2"/>
          <w:sz w:val="16"/>
          <w:vertAlign w:val="baseline"/>
        </w:rPr>
        <w:t> </w:t>
      </w:r>
      <w:r>
        <w:rPr>
          <w:sz w:val="16"/>
          <w:vertAlign w:val="baseline"/>
        </w:rPr>
        <w:t>the</w:t>
      </w:r>
      <w:r>
        <w:rPr>
          <w:spacing w:val="-5"/>
          <w:sz w:val="16"/>
          <w:vertAlign w:val="baseline"/>
        </w:rPr>
        <w:t> </w:t>
      </w:r>
      <w:r>
        <w:rPr>
          <w:sz w:val="16"/>
          <w:vertAlign w:val="baseline"/>
        </w:rPr>
        <w:t>three</w:t>
      </w:r>
      <w:r>
        <w:rPr>
          <w:spacing w:val="-2"/>
          <w:sz w:val="16"/>
          <w:vertAlign w:val="baseline"/>
        </w:rPr>
        <w:t> </w:t>
      </w:r>
      <w:r>
        <w:rPr>
          <w:sz w:val="16"/>
          <w:vertAlign w:val="baseline"/>
        </w:rPr>
        <w:t>and</w:t>
      </w:r>
      <w:r>
        <w:rPr>
          <w:spacing w:val="-2"/>
          <w:sz w:val="16"/>
          <w:vertAlign w:val="baseline"/>
        </w:rPr>
        <w:t> </w:t>
      </w:r>
      <w:r>
        <w:rPr>
          <w:sz w:val="16"/>
          <w:vertAlign w:val="baseline"/>
        </w:rPr>
        <w:t>nine</w:t>
      </w:r>
      <w:r>
        <w:rPr>
          <w:spacing w:val="-3"/>
          <w:sz w:val="16"/>
          <w:vertAlign w:val="baseline"/>
        </w:rPr>
        <w:t> </w:t>
      </w:r>
      <w:r>
        <w:rPr>
          <w:sz w:val="16"/>
          <w:vertAlign w:val="baseline"/>
        </w:rPr>
        <w:t>months</w:t>
      </w:r>
      <w:r>
        <w:rPr>
          <w:spacing w:val="-3"/>
          <w:sz w:val="16"/>
          <w:vertAlign w:val="baseline"/>
        </w:rPr>
        <w:t> </w:t>
      </w:r>
      <w:r>
        <w:rPr>
          <w:sz w:val="16"/>
          <w:vertAlign w:val="baseline"/>
        </w:rPr>
        <w:t>ended</w:t>
      </w:r>
      <w:r>
        <w:rPr>
          <w:spacing w:val="-3"/>
          <w:sz w:val="16"/>
          <w:vertAlign w:val="baseline"/>
        </w:rPr>
        <w:t> </w:t>
      </w:r>
      <w:r>
        <w:rPr>
          <w:sz w:val="16"/>
          <w:vertAlign w:val="baseline"/>
        </w:rPr>
        <w:t>September</w:t>
      </w:r>
      <w:r>
        <w:rPr>
          <w:spacing w:val="-2"/>
          <w:sz w:val="16"/>
          <w:vertAlign w:val="baseline"/>
        </w:rPr>
        <w:t> </w:t>
      </w:r>
      <w:r>
        <w:rPr>
          <w:sz w:val="16"/>
          <w:vertAlign w:val="baseline"/>
        </w:rPr>
        <w:t>30,</w:t>
      </w:r>
      <w:r>
        <w:rPr>
          <w:spacing w:val="-2"/>
          <w:sz w:val="16"/>
          <w:vertAlign w:val="baseline"/>
        </w:rPr>
        <w:t> </w:t>
      </w:r>
      <w:r>
        <w:rPr>
          <w:sz w:val="16"/>
          <w:vertAlign w:val="baseline"/>
        </w:rPr>
        <w:t>2022</w:t>
      </w:r>
      <w:r>
        <w:rPr>
          <w:spacing w:val="-3"/>
          <w:sz w:val="16"/>
          <w:vertAlign w:val="baseline"/>
        </w:rPr>
        <w:t> </w:t>
      </w:r>
      <w:r>
        <w:rPr>
          <w:sz w:val="16"/>
          <w:vertAlign w:val="baseline"/>
        </w:rPr>
        <w:t>primarily</w:t>
      </w:r>
      <w:r>
        <w:rPr>
          <w:spacing w:val="-2"/>
          <w:sz w:val="16"/>
          <w:vertAlign w:val="baseline"/>
        </w:rPr>
        <w:t> </w:t>
      </w:r>
      <w:r>
        <w:rPr>
          <w:sz w:val="16"/>
          <w:vertAlign w:val="baseline"/>
        </w:rPr>
        <w:t>consist</w:t>
      </w:r>
      <w:r>
        <w:rPr>
          <w:spacing w:val="-2"/>
          <w:sz w:val="16"/>
          <w:vertAlign w:val="baseline"/>
        </w:rPr>
        <w:t> </w:t>
      </w:r>
      <w:r>
        <w:rPr>
          <w:sz w:val="16"/>
          <w:vertAlign w:val="baseline"/>
        </w:rPr>
        <w:t>of</w:t>
      </w:r>
      <w:r>
        <w:rPr>
          <w:spacing w:val="-2"/>
          <w:sz w:val="16"/>
          <w:vertAlign w:val="baseline"/>
        </w:rPr>
        <w:t> </w:t>
      </w:r>
      <w:r>
        <w:rPr>
          <w:sz w:val="16"/>
          <w:vertAlign w:val="baseline"/>
        </w:rPr>
        <w:t>$57</w:t>
      </w:r>
      <w:r>
        <w:rPr>
          <w:spacing w:val="-2"/>
          <w:sz w:val="16"/>
          <w:vertAlign w:val="baseline"/>
        </w:rPr>
        <w:t> </w:t>
      </w:r>
      <w:r>
        <w:rPr>
          <w:sz w:val="16"/>
          <w:vertAlign w:val="baseline"/>
        </w:rPr>
        <w:t>million</w:t>
      </w:r>
      <w:r>
        <w:rPr>
          <w:spacing w:val="40"/>
          <w:sz w:val="16"/>
          <w:vertAlign w:val="baseline"/>
        </w:rPr>
        <w:t> </w:t>
      </w:r>
      <w:r>
        <w:rPr>
          <w:sz w:val="16"/>
          <w:vertAlign w:val="baseline"/>
        </w:rPr>
        <w:t>and $166 million of compensation and benefits, $36 million and $102 million of professional services, and $6 million and $14 million of occupancy and</w:t>
      </w:r>
      <w:r>
        <w:rPr>
          <w:spacing w:val="40"/>
          <w:sz w:val="16"/>
          <w:vertAlign w:val="baseline"/>
        </w:rPr>
        <w:t> </w:t>
      </w:r>
      <w:r>
        <w:rPr>
          <w:spacing w:val="-2"/>
          <w:sz w:val="16"/>
          <w:vertAlign w:val="baseline"/>
        </w:rPr>
        <w:t>equipment.</w:t>
      </w:r>
    </w:p>
    <w:p>
      <w:pPr>
        <w:spacing w:line="249" w:lineRule="auto" w:before="3"/>
        <w:ind w:left="650" w:right="0" w:hanging="180"/>
        <w:jc w:val="left"/>
        <w:rPr>
          <w:sz w:val="16"/>
        </w:rPr>
      </w:pPr>
      <w:r>
        <w:rPr>
          <w:sz w:val="16"/>
          <w:vertAlign w:val="superscript"/>
        </w:rPr>
        <w:t>(2)</w:t>
      </w:r>
      <w:r>
        <w:rPr>
          <w:spacing w:val="-3"/>
          <w:sz w:val="16"/>
          <w:vertAlign w:val="baseline"/>
        </w:rPr>
        <w:t> </w:t>
      </w:r>
      <w:r>
        <w:rPr>
          <w:sz w:val="16"/>
          <w:vertAlign w:val="baseline"/>
        </w:rPr>
        <w:t>Restructuring</w:t>
      </w:r>
      <w:r>
        <w:rPr>
          <w:spacing w:val="-2"/>
          <w:sz w:val="16"/>
          <w:vertAlign w:val="baseline"/>
        </w:rPr>
        <w:t> </w:t>
      </w:r>
      <w:r>
        <w:rPr>
          <w:sz w:val="16"/>
          <w:vertAlign w:val="baseline"/>
        </w:rPr>
        <w:t>costs</w:t>
      </w:r>
      <w:r>
        <w:rPr>
          <w:spacing w:val="-3"/>
          <w:sz w:val="16"/>
          <w:vertAlign w:val="baseline"/>
        </w:rPr>
        <w:t> </w:t>
      </w:r>
      <w:r>
        <w:rPr>
          <w:sz w:val="16"/>
          <w:vertAlign w:val="baseline"/>
        </w:rPr>
        <w:t>for</w:t>
      </w:r>
      <w:r>
        <w:rPr>
          <w:spacing w:val="-2"/>
          <w:sz w:val="16"/>
          <w:vertAlign w:val="baseline"/>
        </w:rPr>
        <w:t> </w:t>
      </w:r>
      <w:r>
        <w:rPr>
          <w:sz w:val="16"/>
          <w:vertAlign w:val="baseline"/>
        </w:rPr>
        <w:t>the</w:t>
      </w:r>
      <w:r>
        <w:rPr>
          <w:spacing w:val="-4"/>
          <w:sz w:val="16"/>
          <w:vertAlign w:val="baseline"/>
        </w:rPr>
        <w:t> </w:t>
      </w:r>
      <w:r>
        <w:rPr>
          <w:sz w:val="16"/>
          <w:vertAlign w:val="baseline"/>
        </w:rPr>
        <w:t>three</w:t>
      </w:r>
      <w:r>
        <w:rPr>
          <w:spacing w:val="-2"/>
          <w:sz w:val="16"/>
          <w:vertAlign w:val="baseline"/>
        </w:rPr>
        <w:t> </w:t>
      </w:r>
      <w:r>
        <w:rPr>
          <w:sz w:val="16"/>
          <w:vertAlign w:val="baseline"/>
        </w:rPr>
        <w:t>and</w:t>
      </w:r>
      <w:r>
        <w:rPr>
          <w:spacing w:val="-2"/>
          <w:sz w:val="16"/>
          <w:vertAlign w:val="baseline"/>
        </w:rPr>
        <w:t> </w:t>
      </w:r>
      <w:r>
        <w:rPr>
          <w:sz w:val="16"/>
          <w:vertAlign w:val="baseline"/>
        </w:rPr>
        <w:t>nine</w:t>
      </w:r>
      <w:r>
        <w:rPr>
          <w:spacing w:val="-3"/>
          <w:sz w:val="16"/>
          <w:vertAlign w:val="baseline"/>
        </w:rPr>
        <w:t> </w:t>
      </w:r>
      <w:r>
        <w:rPr>
          <w:sz w:val="16"/>
          <w:vertAlign w:val="baseline"/>
        </w:rPr>
        <w:t>months</w:t>
      </w:r>
      <w:r>
        <w:rPr>
          <w:spacing w:val="-3"/>
          <w:sz w:val="16"/>
          <w:vertAlign w:val="baseline"/>
        </w:rPr>
        <w:t> </w:t>
      </w:r>
      <w:r>
        <w:rPr>
          <w:sz w:val="16"/>
          <w:vertAlign w:val="baseline"/>
        </w:rPr>
        <w:t>ended</w:t>
      </w:r>
      <w:r>
        <w:rPr>
          <w:spacing w:val="-3"/>
          <w:sz w:val="16"/>
          <w:vertAlign w:val="baseline"/>
        </w:rPr>
        <w:t> </w:t>
      </w:r>
      <w:r>
        <w:rPr>
          <w:sz w:val="16"/>
          <w:vertAlign w:val="baseline"/>
        </w:rPr>
        <w:t>September</w:t>
      </w:r>
      <w:r>
        <w:rPr>
          <w:spacing w:val="-2"/>
          <w:sz w:val="16"/>
          <w:vertAlign w:val="baseline"/>
        </w:rPr>
        <w:t> </w:t>
      </w:r>
      <w:r>
        <w:rPr>
          <w:sz w:val="16"/>
          <w:vertAlign w:val="baseline"/>
        </w:rPr>
        <w:t>30,</w:t>
      </w:r>
      <w:r>
        <w:rPr>
          <w:spacing w:val="-2"/>
          <w:sz w:val="16"/>
          <w:vertAlign w:val="baseline"/>
        </w:rPr>
        <w:t> </w:t>
      </w:r>
      <w:r>
        <w:rPr>
          <w:sz w:val="16"/>
          <w:vertAlign w:val="baseline"/>
        </w:rPr>
        <w:t>2023</w:t>
      </w:r>
      <w:r>
        <w:rPr>
          <w:spacing w:val="-3"/>
          <w:sz w:val="16"/>
          <w:vertAlign w:val="baseline"/>
        </w:rPr>
        <w:t> </w:t>
      </w:r>
      <w:r>
        <w:rPr>
          <w:sz w:val="16"/>
          <w:vertAlign w:val="baseline"/>
        </w:rPr>
        <w:t>primarily</w:t>
      </w:r>
      <w:r>
        <w:rPr>
          <w:spacing w:val="-2"/>
          <w:sz w:val="16"/>
          <w:vertAlign w:val="baseline"/>
        </w:rPr>
        <w:t> </w:t>
      </w:r>
      <w:r>
        <w:rPr>
          <w:sz w:val="16"/>
          <w:vertAlign w:val="baseline"/>
        </w:rPr>
        <w:t>consist</w:t>
      </w:r>
      <w:r>
        <w:rPr>
          <w:spacing w:val="-2"/>
          <w:sz w:val="16"/>
          <w:vertAlign w:val="baseline"/>
        </w:rPr>
        <w:t> </w:t>
      </w:r>
      <w:r>
        <w:rPr>
          <w:sz w:val="16"/>
          <w:vertAlign w:val="baseline"/>
        </w:rPr>
        <w:t>of</w:t>
      </w:r>
      <w:r>
        <w:rPr>
          <w:spacing w:val="-2"/>
          <w:sz w:val="16"/>
          <w:vertAlign w:val="baseline"/>
        </w:rPr>
        <w:t> </w:t>
      </w:r>
      <w:r>
        <w:rPr>
          <w:sz w:val="16"/>
          <w:vertAlign w:val="baseline"/>
        </w:rPr>
        <w:t>$276</w:t>
      </w:r>
      <w:r>
        <w:rPr>
          <w:spacing w:val="-2"/>
          <w:sz w:val="16"/>
          <w:vertAlign w:val="baseline"/>
        </w:rPr>
        <w:t> </w:t>
      </w:r>
      <w:r>
        <w:rPr>
          <w:sz w:val="16"/>
          <w:vertAlign w:val="baseline"/>
        </w:rPr>
        <w:t>million</w:t>
      </w:r>
      <w:r>
        <w:rPr>
          <w:spacing w:val="-2"/>
          <w:sz w:val="16"/>
          <w:vertAlign w:val="baseline"/>
        </w:rPr>
        <w:t> </w:t>
      </w:r>
      <w:r>
        <w:rPr>
          <w:sz w:val="16"/>
          <w:vertAlign w:val="baseline"/>
        </w:rPr>
        <w:t>of</w:t>
      </w:r>
      <w:r>
        <w:rPr>
          <w:spacing w:val="-2"/>
          <w:sz w:val="16"/>
          <w:vertAlign w:val="baseline"/>
        </w:rPr>
        <w:t> </w:t>
      </w:r>
      <w:r>
        <w:rPr>
          <w:sz w:val="16"/>
          <w:vertAlign w:val="baseline"/>
        </w:rPr>
        <w:t>compensation</w:t>
      </w:r>
      <w:r>
        <w:rPr>
          <w:spacing w:val="-2"/>
          <w:sz w:val="16"/>
          <w:vertAlign w:val="baseline"/>
        </w:rPr>
        <w:t> </w:t>
      </w:r>
      <w:r>
        <w:rPr>
          <w:sz w:val="16"/>
          <w:vertAlign w:val="baseline"/>
        </w:rPr>
        <w:t>and</w:t>
      </w:r>
      <w:r>
        <w:rPr>
          <w:spacing w:val="-2"/>
          <w:sz w:val="16"/>
          <w:vertAlign w:val="baseline"/>
        </w:rPr>
        <w:t> </w:t>
      </w:r>
      <w:r>
        <w:rPr>
          <w:sz w:val="16"/>
          <w:vertAlign w:val="baseline"/>
        </w:rPr>
        <w:t>benefits.</w:t>
      </w:r>
      <w:r>
        <w:rPr>
          <w:spacing w:val="-2"/>
          <w:sz w:val="16"/>
          <w:vertAlign w:val="baseline"/>
        </w:rPr>
        <w:t> </w:t>
      </w:r>
      <w:r>
        <w:rPr>
          <w:sz w:val="16"/>
          <w:vertAlign w:val="baseline"/>
        </w:rPr>
        <w:t>There</w:t>
      </w:r>
      <w:r>
        <w:rPr>
          <w:spacing w:val="-2"/>
          <w:sz w:val="16"/>
          <w:vertAlign w:val="baseline"/>
        </w:rPr>
        <w:t> </w:t>
      </w:r>
      <w:r>
        <w:rPr>
          <w:sz w:val="16"/>
          <w:vertAlign w:val="baseline"/>
        </w:rPr>
        <w:t>were</w:t>
      </w:r>
      <w:r>
        <w:rPr>
          <w:spacing w:val="-2"/>
          <w:sz w:val="16"/>
          <w:vertAlign w:val="baseline"/>
        </w:rPr>
        <w:t> </w:t>
      </w:r>
      <w:r>
        <w:rPr>
          <w:sz w:val="16"/>
          <w:vertAlign w:val="baseline"/>
        </w:rPr>
        <w:t>no</w:t>
      </w:r>
      <w:r>
        <w:rPr>
          <w:spacing w:val="40"/>
          <w:sz w:val="16"/>
          <w:vertAlign w:val="baseline"/>
        </w:rPr>
        <w:t> </w:t>
      </w:r>
      <w:r>
        <w:rPr>
          <w:sz w:val="16"/>
          <w:vertAlign w:val="baseline"/>
        </w:rPr>
        <w:t>restructuring costs for the three and nine months ended September 30, 2022.</w:t>
      </w:r>
    </w:p>
    <w:p>
      <w:pPr>
        <w:spacing w:after="0" w:line="249" w:lineRule="auto"/>
        <w:jc w:val="left"/>
        <w:rPr>
          <w:sz w:val="16"/>
        </w:rPr>
        <w:sectPr>
          <w:pgSz w:w="12240" w:h="15840"/>
          <w:pgMar w:header="512" w:footer="201" w:top="1180" w:bottom="400" w:left="520" w:right="520"/>
        </w:sectPr>
      </w:pPr>
    </w:p>
    <w:p>
      <w:pPr>
        <w:pStyle w:val="BodyText"/>
        <w:spacing w:before="24"/>
      </w:pPr>
    </w:p>
    <w:p>
      <w:pPr>
        <w:pStyle w:val="BodyText"/>
        <w:spacing w:line="20" w:lineRule="exact"/>
        <w:ind w:left="465"/>
        <w:rPr>
          <w:sz w:val="2"/>
        </w:rPr>
      </w:pPr>
      <w:r>
        <w:rPr>
          <w:sz w:val="2"/>
        </w:rPr>
        <mc:AlternateContent>
          <mc:Choice Requires="wps">
            <w:drawing>
              <wp:inline distT="0" distB="0" distL="0" distR="0">
                <wp:extent cx="6515100" cy="6350"/>
                <wp:effectExtent l="9525" t="0" r="0" b="3175"/>
                <wp:docPr id="102" name="Group 102"/>
                <wp:cNvGraphicFramePr>
                  <a:graphicFrameLocks/>
                </wp:cNvGraphicFramePr>
                <a:graphic>
                  <a:graphicData uri="http://schemas.microsoft.com/office/word/2010/wordprocessingGroup">
                    <wpg:wgp>
                      <wpg:cNvPr id="102" name="Group 102"/>
                      <wpg:cNvGrpSpPr/>
                      <wpg:grpSpPr>
                        <a:xfrm>
                          <a:off x="0" y="0"/>
                          <a:ext cx="6515100" cy="6350"/>
                          <a:chExt cx="6515100" cy="6350"/>
                        </a:xfrm>
                      </wpg:grpSpPr>
                      <wps:wsp>
                        <wps:cNvPr id="103" name="Graphic 103"/>
                        <wps:cNvSpPr/>
                        <wps:spPr>
                          <a:xfrm>
                            <a:off x="0" y="3175"/>
                            <a:ext cx="4676775" cy="1270"/>
                          </a:xfrm>
                          <a:custGeom>
                            <a:avLst/>
                            <a:gdLst/>
                            <a:ahLst/>
                            <a:cxnLst/>
                            <a:rect l="l" t="t" r="r" b="b"/>
                            <a:pathLst>
                              <a:path w="4676775" h="0">
                                <a:moveTo>
                                  <a:pt x="4676775" y="0"/>
                                </a:moveTo>
                                <a:lnTo>
                                  <a:pt x="0" y="0"/>
                                </a:lnTo>
                              </a:path>
                            </a:pathLst>
                          </a:custGeom>
                          <a:solidFill>
                            <a:srgbClr val="000000"/>
                          </a:solidFill>
                        </wps:spPr>
                        <wps:bodyPr wrap="square" lIns="0" tIns="0" rIns="0" bIns="0" rtlCol="0">
                          <a:prstTxWarp prst="textNoShape">
                            <a:avLst/>
                          </a:prstTxWarp>
                          <a:noAutofit/>
                        </wps:bodyPr>
                      </wps:wsp>
                      <wps:wsp>
                        <wps:cNvPr id="104" name="Graphic 104"/>
                        <wps:cNvSpPr/>
                        <wps:spPr>
                          <a:xfrm>
                            <a:off x="0" y="3175"/>
                            <a:ext cx="4676775" cy="1270"/>
                          </a:xfrm>
                          <a:custGeom>
                            <a:avLst/>
                            <a:gdLst/>
                            <a:ahLst/>
                            <a:cxnLst/>
                            <a:rect l="l" t="t" r="r" b="b"/>
                            <a:pathLst>
                              <a:path w="4676775" h="0">
                                <a:moveTo>
                                  <a:pt x="0" y="0"/>
                                </a:moveTo>
                                <a:lnTo>
                                  <a:pt x="4676775" y="0"/>
                                </a:lnTo>
                              </a:path>
                            </a:pathLst>
                          </a:custGeom>
                          <a:ln w="6350">
                            <a:solidFill>
                              <a:srgbClr val="000000"/>
                            </a:solidFill>
                            <a:prstDash val="solid"/>
                          </a:ln>
                        </wps:spPr>
                        <wps:bodyPr wrap="square" lIns="0" tIns="0" rIns="0" bIns="0" rtlCol="0">
                          <a:prstTxWarp prst="textNoShape">
                            <a:avLst/>
                          </a:prstTxWarp>
                          <a:noAutofit/>
                        </wps:bodyPr>
                      </wps:wsp>
                      <wps:wsp>
                        <wps:cNvPr id="105" name="Graphic 105"/>
                        <wps:cNvSpPr/>
                        <wps:spPr>
                          <a:xfrm>
                            <a:off x="4676775" y="3175"/>
                            <a:ext cx="1838325" cy="1270"/>
                          </a:xfrm>
                          <a:custGeom>
                            <a:avLst/>
                            <a:gdLst/>
                            <a:ahLst/>
                            <a:cxnLst/>
                            <a:rect l="l" t="t" r="r" b="b"/>
                            <a:pathLst>
                              <a:path w="1838325" h="0">
                                <a:moveTo>
                                  <a:pt x="1838325" y="0"/>
                                </a:moveTo>
                                <a:lnTo>
                                  <a:pt x="0" y="0"/>
                                </a:lnTo>
                              </a:path>
                            </a:pathLst>
                          </a:custGeom>
                          <a:solidFill>
                            <a:srgbClr val="000000"/>
                          </a:solidFill>
                        </wps:spPr>
                        <wps:bodyPr wrap="square" lIns="0" tIns="0" rIns="0" bIns="0" rtlCol="0">
                          <a:prstTxWarp prst="textNoShape">
                            <a:avLst/>
                          </a:prstTxWarp>
                          <a:noAutofit/>
                        </wps:bodyPr>
                      </wps:wsp>
                      <wps:wsp>
                        <wps:cNvPr id="106" name="Graphic 106"/>
                        <wps:cNvSpPr/>
                        <wps:spPr>
                          <a:xfrm>
                            <a:off x="4676775" y="3175"/>
                            <a:ext cx="1838325" cy="1270"/>
                          </a:xfrm>
                          <a:custGeom>
                            <a:avLst/>
                            <a:gdLst/>
                            <a:ahLst/>
                            <a:cxnLst/>
                            <a:rect l="l" t="t" r="r" b="b"/>
                            <a:pathLst>
                              <a:path w="1838325" h="0">
                                <a:moveTo>
                                  <a:pt x="0" y="0"/>
                                </a:moveTo>
                                <a:lnTo>
                                  <a:pt x="1838325"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3pt;height:.5pt;mso-position-horizontal-relative:char;mso-position-vertical-relative:line" id="docshapegroup73" coordorigin="0,0" coordsize="10260,10">
                <v:shape style="position:absolute;left:0;top:5;width:7365;height:2" id="docshape74" coordorigin="0,5" coordsize="7365,0" path="m7365,5l0,5e" filled="true" fillcolor="#000000" stroked="false">
                  <v:path arrowok="t"/>
                  <v:fill opacity="0f" type="solid"/>
                </v:shape>
                <v:line style="position:absolute" from="0,5" to="7365,5" stroked="true" strokeweight=".5pt" strokecolor="#000000">
                  <v:stroke dashstyle="solid"/>
                </v:line>
                <v:shape style="position:absolute;left:7365;top:5;width:2895;height:2" id="docshape75" coordorigin="7365,5" coordsize="2895,0" path="m10260,5l7365,5e" filled="true" fillcolor="#000000" stroked="false">
                  <v:path arrowok="t"/>
                  <v:fill opacity="0f" type="solid"/>
                </v:shape>
                <v:line style="position:absolute" from="7365,5" to="10260,5" stroked="true" strokeweight=".5pt" strokecolor="#000000">
                  <v:stroke dashstyle="solid"/>
                </v:line>
              </v:group>
            </w:pict>
          </mc:Fallback>
        </mc:AlternateContent>
      </w:r>
      <w:r>
        <w:rPr>
          <w:sz w:val="2"/>
        </w:rPr>
      </w:r>
    </w:p>
    <w:p>
      <w:pPr>
        <w:tabs>
          <w:tab w:pos="8015" w:val="left" w:leader="none"/>
        </w:tabs>
        <w:spacing w:before="3" w:after="30"/>
        <w:ind w:left="5018" w:right="0" w:firstLine="0"/>
        <w:jc w:val="left"/>
        <w:rPr>
          <w:sz w:val="18"/>
        </w:rPr>
      </w:pPr>
      <w:r>
        <w:rPr>
          <w:sz w:val="18"/>
        </w:rPr>
        <w:t>Three</w:t>
      </w:r>
      <w:r>
        <w:rPr>
          <w:spacing w:val="-1"/>
          <w:sz w:val="18"/>
        </w:rPr>
        <w:t> </w:t>
      </w:r>
      <w:r>
        <w:rPr>
          <w:sz w:val="18"/>
        </w:rPr>
        <w:t>Months</w:t>
      </w:r>
      <w:r>
        <w:rPr>
          <w:spacing w:val="-1"/>
          <w:sz w:val="18"/>
        </w:rPr>
        <w:t> </w:t>
      </w:r>
      <w:r>
        <w:rPr>
          <w:sz w:val="18"/>
        </w:rPr>
        <w:t>Ended</w:t>
      </w:r>
      <w:r>
        <w:rPr>
          <w:spacing w:val="-1"/>
          <w:sz w:val="18"/>
        </w:rPr>
        <w:t> </w:t>
      </w:r>
      <w:r>
        <w:rPr>
          <w:sz w:val="18"/>
        </w:rPr>
        <w:t>September </w:t>
      </w:r>
      <w:r>
        <w:rPr>
          <w:spacing w:val="-5"/>
          <w:sz w:val="18"/>
        </w:rPr>
        <w:t>30,</w:t>
      </w:r>
      <w:r>
        <w:rPr>
          <w:sz w:val="18"/>
        </w:rPr>
        <w:tab/>
        <w:t>Nine</w:t>
      </w:r>
      <w:r>
        <w:rPr>
          <w:spacing w:val="-3"/>
          <w:sz w:val="18"/>
        </w:rPr>
        <w:t> </w:t>
      </w:r>
      <w:r>
        <w:rPr>
          <w:sz w:val="18"/>
        </w:rPr>
        <w:t>Months</w:t>
      </w:r>
      <w:r>
        <w:rPr>
          <w:spacing w:val="-2"/>
          <w:sz w:val="18"/>
        </w:rPr>
        <w:t> </w:t>
      </w:r>
      <w:r>
        <w:rPr>
          <w:sz w:val="18"/>
        </w:rPr>
        <w:t>Ended</w:t>
      </w:r>
      <w:r>
        <w:rPr>
          <w:spacing w:val="-1"/>
          <w:sz w:val="18"/>
        </w:rPr>
        <w:t> </w:t>
      </w:r>
      <w:r>
        <w:rPr>
          <w:sz w:val="18"/>
        </w:rPr>
        <w:t>September </w:t>
      </w:r>
      <w:r>
        <w:rPr>
          <w:spacing w:val="-5"/>
          <w:sz w:val="18"/>
        </w:rPr>
        <w:t>30,</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5"/>
        <w:gridCol w:w="784"/>
        <w:gridCol w:w="705"/>
        <w:gridCol w:w="735"/>
        <w:gridCol w:w="735"/>
        <w:gridCol w:w="750"/>
        <w:gridCol w:w="705"/>
        <w:gridCol w:w="765"/>
        <w:gridCol w:w="686"/>
      </w:tblGrid>
      <w:tr>
        <w:trPr>
          <w:trHeight w:val="245" w:hRule="atLeast"/>
        </w:trPr>
        <w:tc>
          <w:tcPr>
            <w:tcW w:w="5884" w:type="dxa"/>
            <w:gridSpan w:val="3"/>
            <w:tcBorders>
              <w:top w:val="single" w:sz="4" w:space="0" w:color="000000"/>
            </w:tcBorders>
          </w:tcPr>
          <w:p>
            <w:pPr>
              <w:pStyle w:val="TableParagraph"/>
              <w:spacing w:before="13"/>
              <w:ind w:right="553"/>
              <w:jc w:val="right"/>
              <w:rPr>
                <w:sz w:val="18"/>
              </w:rPr>
            </w:pPr>
            <w:r>
              <w:rPr>
                <w:spacing w:val="-4"/>
                <w:sz w:val="18"/>
              </w:rPr>
              <w:t>2023</w:t>
            </w:r>
          </w:p>
        </w:tc>
        <w:tc>
          <w:tcPr>
            <w:tcW w:w="1470" w:type="dxa"/>
            <w:gridSpan w:val="2"/>
            <w:tcBorders>
              <w:top w:val="single" w:sz="4" w:space="0" w:color="000000"/>
              <w:bottom w:val="single" w:sz="4" w:space="0" w:color="000000"/>
            </w:tcBorders>
          </w:tcPr>
          <w:p>
            <w:pPr>
              <w:pStyle w:val="TableParagraph"/>
              <w:spacing w:before="13"/>
              <w:ind w:right="28"/>
              <w:jc w:val="center"/>
              <w:rPr>
                <w:sz w:val="18"/>
              </w:rPr>
            </w:pPr>
            <w:r>
              <w:rPr>
                <w:spacing w:val="-4"/>
                <w:sz w:val="18"/>
              </w:rPr>
              <w:t>2022</w:t>
            </w:r>
          </w:p>
        </w:tc>
        <w:tc>
          <w:tcPr>
            <w:tcW w:w="1455" w:type="dxa"/>
            <w:gridSpan w:val="2"/>
            <w:tcBorders>
              <w:top w:val="single" w:sz="4" w:space="0" w:color="000000"/>
              <w:bottom w:val="single" w:sz="4" w:space="0" w:color="000000"/>
            </w:tcBorders>
          </w:tcPr>
          <w:p>
            <w:pPr>
              <w:pStyle w:val="TableParagraph"/>
              <w:spacing w:before="13"/>
              <w:ind w:left="29"/>
              <w:jc w:val="center"/>
              <w:rPr>
                <w:sz w:val="18"/>
              </w:rPr>
            </w:pPr>
            <w:r>
              <w:rPr>
                <w:spacing w:val="-4"/>
                <w:sz w:val="18"/>
              </w:rPr>
              <w:t>2023</w:t>
            </w:r>
          </w:p>
        </w:tc>
        <w:tc>
          <w:tcPr>
            <w:tcW w:w="1451" w:type="dxa"/>
            <w:gridSpan w:val="2"/>
            <w:tcBorders>
              <w:top w:val="single" w:sz="4" w:space="0" w:color="000000"/>
              <w:bottom w:val="single" w:sz="4" w:space="0" w:color="000000"/>
            </w:tcBorders>
          </w:tcPr>
          <w:p>
            <w:pPr>
              <w:pStyle w:val="TableParagraph"/>
              <w:spacing w:before="13"/>
              <w:ind w:left="18"/>
              <w:jc w:val="center"/>
              <w:rPr>
                <w:sz w:val="18"/>
              </w:rPr>
            </w:pPr>
            <w:r>
              <w:rPr>
                <w:spacing w:val="-4"/>
                <w:sz w:val="18"/>
              </w:rPr>
              <w:t>2022</w:t>
            </w:r>
          </w:p>
        </w:tc>
      </w:tr>
      <w:tr>
        <w:trPr>
          <w:trHeight w:val="425" w:hRule="atLeast"/>
        </w:trPr>
        <w:tc>
          <w:tcPr>
            <w:tcW w:w="4395" w:type="dxa"/>
            <w:tcBorders>
              <w:bottom w:val="single" w:sz="4" w:space="0" w:color="000000"/>
            </w:tcBorders>
          </w:tcPr>
          <w:p>
            <w:pPr>
              <w:pStyle w:val="TableParagraph"/>
              <w:rPr>
                <w:sz w:val="16"/>
              </w:rPr>
            </w:pPr>
          </w:p>
        </w:tc>
        <w:tc>
          <w:tcPr>
            <w:tcW w:w="784" w:type="dxa"/>
            <w:tcBorders>
              <w:top w:val="single" w:sz="4" w:space="0" w:color="000000"/>
              <w:bottom w:val="single" w:sz="4" w:space="0" w:color="000000"/>
            </w:tcBorders>
          </w:tcPr>
          <w:p>
            <w:pPr>
              <w:pStyle w:val="TableParagraph"/>
              <w:spacing w:before="193"/>
              <w:ind w:left="87"/>
              <w:rPr>
                <w:sz w:val="18"/>
              </w:rPr>
            </w:pPr>
            <w:r>
              <w:rPr>
                <w:spacing w:val="-2"/>
                <w:sz w:val="18"/>
              </w:rPr>
              <w:t>Amount</w:t>
            </w:r>
          </w:p>
        </w:tc>
        <w:tc>
          <w:tcPr>
            <w:tcW w:w="705" w:type="dxa"/>
            <w:tcBorders>
              <w:top w:val="single" w:sz="4" w:space="0" w:color="000000"/>
              <w:bottom w:val="single" w:sz="4" w:space="0" w:color="000000"/>
            </w:tcBorders>
          </w:tcPr>
          <w:p>
            <w:pPr>
              <w:pStyle w:val="TableParagraph"/>
              <w:spacing w:line="208" w:lineRule="auto" w:before="35"/>
              <w:ind w:left="178" w:right="96" w:hanging="115"/>
              <w:rPr>
                <w:sz w:val="18"/>
              </w:rPr>
            </w:pPr>
            <w:r>
              <w:rPr>
                <w:spacing w:val="-2"/>
                <w:sz w:val="18"/>
              </w:rPr>
              <w:t>Diluted </w:t>
            </w:r>
            <w:r>
              <w:rPr>
                <w:spacing w:val="-4"/>
                <w:sz w:val="18"/>
              </w:rPr>
              <w:t>EPS</w:t>
            </w:r>
          </w:p>
        </w:tc>
        <w:tc>
          <w:tcPr>
            <w:tcW w:w="735" w:type="dxa"/>
            <w:tcBorders>
              <w:top w:val="single" w:sz="4" w:space="0" w:color="000000"/>
              <w:bottom w:val="single" w:sz="4" w:space="0" w:color="000000"/>
            </w:tcBorders>
          </w:tcPr>
          <w:p>
            <w:pPr>
              <w:pStyle w:val="TableParagraph"/>
              <w:spacing w:before="193"/>
              <w:ind w:left="53"/>
              <w:rPr>
                <w:sz w:val="18"/>
              </w:rPr>
            </w:pPr>
            <w:r>
              <w:rPr>
                <w:spacing w:val="-2"/>
                <w:sz w:val="18"/>
              </w:rPr>
              <w:t>Amount</w:t>
            </w:r>
          </w:p>
        </w:tc>
        <w:tc>
          <w:tcPr>
            <w:tcW w:w="735" w:type="dxa"/>
            <w:tcBorders>
              <w:top w:val="single" w:sz="4" w:space="0" w:color="000000"/>
              <w:bottom w:val="single" w:sz="4" w:space="0" w:color="000000"/>
            </w:tcBorders>
          </w:tcPr>
          <w:p>
            <w:pPr>
              <w:pStyle w:val="TableParagraph"/>
              <w:spacing w:line="208" w:lineRule="auto" w:before="35"/>
              <w:ind w:left="178" w:right="126" w:hanging="115"/>
              <w:rPr>
                <w:sz w:val="18"/>
              </w:rPr>
            </w:pPr>
            <w:r>
              <w:rPr>
                <w:spacing w:val="-2"/>
                <w:sz w:val="18"/>
              </w:rPr>
              <w:t>Diluted </w:t>
            </w:r>
            <w:r>
              <w:rPr>
                <w:spacing w:val="-4"/>
                <w:sz w:val="18"/>
              </w:rPr>
              <w:t>EPS</w:t>
            </w:r>
          </w:p>
        </w:tc>
        <w:tc>
          <w:tcPr>
            <w:tcW w:w="750" w:type="dxa"/>
            <w:tcBorders>
              <w:top w:val="single" w:sz="4" w:space="0" w:color="000000"/>
              <w:bottom w:val="single" w:sz="4" w:space="0" w:color="000000"/>
            </w:tcBorders>
          </w:tcPr>
          <w:p>
            <w:pPr>
              <w:pStyle w:val="TableParagraph"/>
              <w:spacing w:before="193"/>
              <w:ind w:right="83"/>
              <w:jc w:val="right"/>
              <w:rPr>
                <w:sz w:val="18"/>
              </w:rPr>
            </w:pPr>
            <w:r>
              <w:rPr>
                <w:spacing w:val="-2"/>
                <w:sz w:val="18"/>
              </w:rPr>
              <w:t>Amount</w:t>
            </w:r>
          </w:p>
        </w:tc>
        <w:tc>
          <w:tcPr>
            <w:tcW w:w="705" w:type="dxa"/>
            <w:tcBorders>
              <w:top w:val="single" w:sz="4" w:space="0" w:color="000000"/>
              <w:bottom w:val="single" w:sz="4" w:space="0" w:color="000000"/>
            </w:tcBorders>
          </w:tcPr>
          <w:p>
            <w:pPr>
              <w:pStyle w:val="TableParagraph"/>
              <w:spacing w:line="208" w:lineRule="auto" w:before="35"/>
              <w:ind w:left="178" w:right="96" w:hanging="115"/>
              <w:rPr>
                <w:sz w:val="18"/>
              </w:rPr>
            </w:pPr>
            <w:r>
              <w:rPr>
                <w:spacing w:val="-2"/>
                <w:sz w:val="18"/>
              </w:rPr>
              <w:t>Diluted </w:t>
            </w:r>
            <w:r>
              <w:rPr>
                <w:spacing w:val="-4"/>
                <w:sz w:val="18"/>
              </w:rPr>
              <w:t>EPS</w:t>
            </w:r>
          </w:p>
        </w:tc>
        <w:tc>
          <w:tcPr>
            <w:tcW w:w="765" w:type="dxa"/>
            <w:tcBorders>
              <w:top w:val="single" w:sz="4" w:space="0" w:color="000000"/>
              <w:bottom w:val="single" w:sz="4" w:space="0" w:color="000000"/>
            </w:tcBorders>
          </w:tcPr>
          <w:p>
            <w:pPr>
              <w:pStyle w:val="TableParagraph"/>
              <w:spacing w:before="193"/>
              <w:ind w:left="68"/>
              <w:rPr>
                <w:sz w:val="18"/>
              </w:rPr>
            </w:pPr>
            <w:r>
              <w:rPr>
                <w:spacing w:val="-2"/>
                <w:sz w:val="18"/>
              </w:rPr>
              <w:t>Amount</w:t>
            </w:r>
          </w:p>
        </w:tc>
        <w:tc>
          <w:tcPr>
            <w:tcW w:w="686" w:type="dxa"/>
            <w:tcBorders>
              <w:top w:val="single" w:sz="4" w:space="0" w:color="000000"/>
              <w:bottom w:val="single" w:sz="4" w:space="0" w:color="000000"/>
            </w:tcBorders>
          </w:tcPr>
          <w:p>
            <w:pPr>
              <w:pStyle w:val="TableParagraph"/>
              <w:spacing w:line="208" w:lineRule="auto" w:before="35"/>
              <w:ind w:left="178" w:right="77" w:hanging="115"/>
              <w:rPr>
                <w:sz w:val="18"/>
              </w:rPr>
            </w:pPr>
            <w:r>
              <w:rPr>
                <w:spacing w:val="-2"/>
                <w:sz w:val="18"/>
              </w:rPr>
              <w:t>Diluted </w:t>
            </w:r>
            <w:r>
              <w:rPr>
                <w:spacing w:val="-4"/>
                <w:sz w:val="18"/>
              </w:rPr>
              <w:t>EPS</w:t>
            </w:r>
          </w:p>
        </w:tc>
      </w:tr>
      <w:tr>
        <w:trPr>
          <w:trHeight w:val="430" w:hRule="atLeast"/>
        </w:trPr>
        <w:tc>
          <w:tcPr>
            <w:tcW w:w="4395" w:type="dxa"/>
            <w:tcBorders>
              <w:top w:val="single" w:sz="4" w:space="0" w:color="000000"/>
            </w:tcBorders>
            <w:shd w:val="clear" w:color="auto" w:fill="CCEDFF"/>
          </w:tcPr>
          <w:p>
            <w:pPr>
              <w:pStyle w:val="TableParagraph"/>
              <w:spacing w:line="208" w:lineRule="auto" w:before="35"/>
              <w:ind w:left="142" w:hanging="90"/>
              <w:rPr>
                <w:b/>
                <w:sz w:val="18"/>
              </w:rPr>
            </w:pPr>
            <w:r>
              <w:rPr>
                <w:b/>
                <w:sz w:val="18"/>
              </w:rPr>
              <w:t>Net</w:t>
            </w:r>
            <w:r>
              <w:rPr>
                <w:b/>
                <w:spacing w:val="-6"/>
                <w:sz w:val="18"/>
              </w:rPr>
              <w:t> </w:t>
            </w:r>
            <w:r>
              <w:rPr>
                <w:b/>
                <w:sz w:val="18"/>
              </w:rPr>
              <w:t>income</w:t>
            </w:r>
            <w:r>
              <w:rPr>
                <w:b/>
                <w:spacing w:val="-6"/>
                <w:sz w:val="18"/>
              </w:rPr>
              <w:t> </w:t>
            </w:r>
            <w:r>
              <w:rPr>
                <w:b/>
                <w:sz w:val="18"/>
              </w:rPr>
              <w:t>available</w:t>
            </w:r>
            <w:r>
              <w:rPr>
                <w:b/>
                <w:spacing w:val="-6"/>
                <w:sz w:val="18"/>
              </w:rPr>
              <w:t> </w:t>
            </w:r>
            <w:r>
              <w:rPr>
                <w:b/>
                <w:sz w:val="18"/>
              </w:rPr>
              <w:t>to</w:t>
            </w:r>
            <w:r>
              <w:rPr>
                <w:b/>
                <w:spacing w:val="-6"/>
                <w:sz w:val="18"/>
              </w:rPr>
              <w:t> </w:t>
            </w:r>
            <w:r>
              <w:rPr>
                <w:b/>
                <w:sz w:val="18"/>
              </w:rPr>
              <w:t>common</w:t>
            </w:r>
            <w:r>
              <w:rPr>
                <w:b/>
                <w:spacing w:val="-7"/>
                <w:sz w:val="18"/>
              </w:rPr>
              <w:t> </w:t>
            </w:r>
            <w:r>
              <w:rPr>
                <w:b/>
                <w:sz w:val="18"/>
              </w:rPr>
              <w:t>stockholders</w:t>
            </w:r>
            <w:r>
              <w:rPr>
                <w:b/>
                <w:spacing w:val="-7"/>
                <w:sz w:val="18"/>
              </w:rPr>
              <w:t> </w:t>
            </w:r>
            <w:r>
              <w:rPr>
                <w:b/>
                <w:sz w:val="18"/>
              </w:rPr>
              <w:t>(GAAP), Earnings per common share — diluted (GAAP)</w:t>
            </w:r>
          </w:p>
        </w:tc>
        <w:tc>
          <w:tcPr>
            <w:tcW w:w="784" w:type="dxa"/>
            <w:tcBorders>
              <w:top w:val="single" w:sz="4" w:space="0" w:color="000000"/>
            </w:tcBorders>
            <w:shd w:val="clear" w:color="auto" w:fill="CCEDFF"/>
          </w:tcPr>
          <w:p>
            <w:pPr>
              <w:pStyle w:val="TableParagraph"/>
              <w:spacing w:before="193"/>
              <w:ind w:left="52"/>
              <w:rPr>
                <w:sz w:val="18"/>
              </w:rPr>
            </w:pPr>
            <w:r>
              <w:rPr>
                <w:sz w:val="18"/>
              </w:rPr>
              <w:t>$</w:t>
            </w:r>
            <w:r>
              <w:rPr>
                <w:spacing w:val="74"/>
                <w:w w:val="150"/>
                <w:sz w:val="18"/>
              </w:rPr>
              <w:t> </w:t>
            </w:r>
            <w:r>
              <w:rPr>
                <w:spacing w:val="-2"/>
                <w:sz w:val="18"/>
              </w:rPr>
              <w:t>1,017</w:t>
            </w:r>
          </w:p>
        </w:tc>
        <w:tc>
          <w:tcPr>
            <w:tcW w:w="705" w:type="dxa"/>
            <w:tcBorders>
              <w:top w:val="single" w:sz="4" w:space="0" w:color="000000"/>
            </w:tcBorders>
            <w:shd w:val="clear" w:color="auto" w:fill="CCEDFF"/>
          </w:tcPr>
          <w:p>
            <w:pPr>
              <w:pStyle w:val="TableParagraph"/>
              <w:tabs>
                <w:tab w:pos="385" w:val="left" w:leader="none"/>
              </w:tabs>
              <w:spacing w:before="193"/>
              <w:ind w:left="33"/>
              <w:rPr>
                <w:sz w:val="18"/>
              </w:rPr>
            </w:pPr>
            <w:r>
              <w:rPr>
                <w:spacing w:val="-10"/>
                <w:sz w:val="18"/>
              </w:rPr>
              <w:t>$</w:t>
            </w:r>
            <w:r>
              <w:rPr>
                <w:sz w:val="18"/>
              </w:rPr>
              <w:tab/>
            </w:r>
            <w:r>
              <w:rPr>
                <w:spacing w:val="-5"/>
                <w:sz w:val="18"/>
              </w:rPr>
              <w:t>.56</w:t>
            </w:r>
          </w:p>
        </w:tc>
        <w:tc>
          <w:tcPr>
            <w:tcW w:w="735" w:type="dxa"/>
            <w:tcBorders>
              <w:top w:val="single" w:sz="4" w:space="0" w:color="000000"/>
            </w:tcBorders>
            <w:shd w:val="clear" w:color="auto" w:fill="CCEDFF"/>
          </w:tcPr>
          <w:p>
            <w:pPr>
              <w:pStyle w:val="TableParagraph"/>
              <w:spacing w:before="193"/>
              <w:ind w:left="33"/>
              <w:rPr>
                <w:sz w:val="18"/>
              </w:rPr>
            </w:pPr>
            <w:r>
              <w:rPr>
                <w:sz w:val="18"/>
              </w:rPr>
              <w:t>$</w:t>
            </w:r>
            <w:r>
              <w:rPr>
                <w:spacing w:val="67"/>
                <w:sz w:val="18"/>
              </w:rPr>
              <w:t> </w:t>
            </w:r>
            <w:r>
              <w:rPr>
                <w:spacing w:val="-2"/>
                <w:sz w:val="18"/>
              </w:rPr>
              <w:t>1,884</w:t>
            </w:r>
          </w:p>
        </w:tc>
        <w:tc>
          <w:tcPr>
            <w:tcW w:w="735" w:type="dxa"/>
            <w:tcBorders>
              <w:top w:val="single" w:sz="4" w:space="0" w:color="000000"/>
            </w:tcBorders>
            <w:shd w:val="clear" w:color="auto" w:fill="CCEDFF"/>
          </w:tcPr>
          <w:p>
            <w:pPr>
              <w:pStyle w:val="TableParagraph"/>
              <w:tabs>
                <w:tab w:pos="385" w:val="left" w:leader="none"/>
              </w:tabs>
              <w:spacing w:before="193"/>
              <w:ind w:left="33"/>
              <w:rPr>
                <w:sz w:val="18"/>
              </w:rPr>
            </w:pPr>
            <w:r>
              <w:rPr>
                <w:spacing w:val="-10"/>
                <w:sz w:val="18"/>
              </w:rPr>
              <w:t>$</w:t>
            </w:r>
            <w:r>
              <w:rPr>
                <w:sz w:val="18"/>
              </w:rPr>
              <w:tab/>
            </w:r>
            <w:r>
              <w:rPr>
                <w:spacing w:val="-5"/>
                <w:sz w:val="18"/>
              </w:rPr>
              <w:t>.99</w:t>
            </w:r>
          </w:p>
        </w:tc>
        <w:tc>
          <w:tcPr>
            <w:tcW w:w="750" w:type="dxa"/>
            <w:tcBorders>
              <w:top w:val="single" w:sz="4" w:space="0" w:color="000000"/>
            </w:tcBorders>
            <w:shd w:val="clear" w:color="auto" w:fill="CCEDFF"/>
          </w:tcPr>
          <w:p>
            <w:pPr>
              <w:pStyle w:val="TableParagraph"/>
              <w:spacing w:before="193"/>
              <w:ind w:right="91"/>
              <w:jc w:val="right"/>
              <w:rPr>
                <w:sz w:val="18"/>
              </w:rPr>
            </w:pPr>
            <w:r>
              <w:rPr>
                <w:sz w:val="18"/>
              </w:rPr>
              <w:t>$</w:t>
            </w:r>
            <w:r>
              <w:rPr>
                <w:spacing w:val="52"/>
                <w:sz w:val="18"/>
              </w:rPr>
              <w:t> </w:t>
            </w:r>
            <w:r>
              <w:rPr>
                <w:spacing w:val="-2"/>
                <w:sz w:val="18"/>
              </w:rPr>
              <w:t>3,723</w:t>
            </w:r>
          </w:p>
        </w:tc>
        <w:tc>
          <w:tcPr>
            <w:tcW w:w="705" w:type="dxa"/>
            <w:tcBorders>
              <w:top w:val="single" w:sz="4" w:space="0" w:color="000000"/>
            </w:tcBorders>
            <w:shd w:val="clear" w:color="auto" w:fill="CCEDFF"/>
          </w:tcPr>
          <w:p>
            <w:pPr>
              <w:pStyle w:val="TableParagraph"/>
              <w:spacing w:before="193"/>
              <w:ind w:left="33"/>
              <w:rPr>
                <w:sz w:val="18"/>
              </w:rPr>
            </w:pPr>
            <w:r>
              <w:rPr>
                <w:sz w:val="18"/>
              </w:rPr>
              <w:t>$</w:t>
            </w:r>
            <w:r>
              <w:rPr>
                <w:spacing w:val="41"/>
                <w:sz w:val="18"/>
              </w:rPr>
              <w:t>  </w:t>
            </w:r>
            <w:r>
              <w:rPr>
                <w:spacing w:val="-4"/>
                <w:sz w:val="18"/>
              </w:rPr>
              <w:t>2.03</w:t>
            </w:r>
          </w:p>
        </w:tc>
        <w:tc>
          <w:tcPr>
            <w:tcW w:w="765" w:type="dxa"/>
            <w:tcBorders>
              <w:top w:val="single" w:sz="4" w:space="0" w:color="000000"/>
            </w:tcBorders>
            <w:shd w:val="clear" w:color="auto" w:fill="CCEDFF"/>
          </w:tcPr>
          <w:p>
            <w:pPr>
              <w:pStyle w:val="TableParagraph"/>
              <w:spacing w:before="193"/>
              <w:ind w:left="33"/>
              <w:rPr>
                <w:sz w:val="18"/>
              </w:rPr>
            </w:pPr>
            <w:r>
              <w:rPr>
                <w:sz w:val="18"/>
              </w:rPr>
              <w:t>$</w:t>
            </w:r>
            <w:r>
              <w:rPr>
                <w:spacing w:val="74"/>
                <w:w w:val="150"/>
                <w:sz w:val="18"/>
              </w:rPr>
              <w:t> </w:t>
            </w:r>
            <w:r>
              <w:rPr>
                <w:spacing w:val="-2"/>
                <w:sz w:val="18"/>
              </w:rPr>
              <w:t>4,814</w:t>
            </w:r>
          </w:p>
        </w:tc>
        <w:tc>
          <w:tcPr>
            <w:tcW w:w="686" w:type="dxa"/>
            <w:tcBorders>
              <w:top w:val="single" w:sz="4" w:space="0" w:color="000000"/>
            </w:tcBorders>
            <w:shd w:val="clear" w:color="auto" w:fill="CCEDFF"/>
          </w:tcPr>
          <w:p>
            <w:pPr>
              <w:pStyle w:val="TableParagraph"/>
              <w:spacing w:before="193"/>
              <w:ind w:right="72"/>
              <w:jc w:val="right"/>
              <w:rPr>
                <w:sz w:val="18"/>
              </w:rPr>
            </w:pPr>
            <w:r>
              <w:rPr>
                <w:sz w:val="18"/>
              </w:rPr>
              <w:t>$</w:t>
            </w:r>
            <w:r>
              <w:rPr>
                <w:spacing w:val="41"/>
                <w:sz w:val="18"/>
              </w:rPr>
              <w:t>  </w:t>
            </w:r>
            <w:r>
              <w:rPr>
                <w:spacing w:val="-4"/>
                <w:sz w:val="18"/>
              </w:rPr>
              <w:t>2.53</w:t>
            </w:r>
          </w:p>
        </w:tc>
      </w:tr>
      <w:tr>
        <w:trPr>
          <w:trHeight w:val="255" w:hRule="atLeast"/>
        </w:trPr>
        <w:tc>
          <w:tcPr>
            <w:tcW w:w="4395" w:type="dxa"/>
          </w:tcPr>
          <w:p>
            <w:pPr>
              <w:pStyle w:val="TableParagraph"/>
              <w:spacing w:before="18"/>
              <w:ind w:left="277"/>
              <w:rPr>
                <w:sz w:val="18"/>
              </w:rPr>
            </w:pPr>
            <w:r>
              <w:rPr>
                <w:sz w:val="18"/>
              </w:rPr>
              <w:t>Acquisition</w:t>
            </w:r>
            <w:r>
              <w:rPr>
                <w:spacing w:val="-1"/>
                <w:sz w:val="18"/>
              </w:rPr>
              <w:t> </w:t>
            </w:r>
            <w:r>
              <w:rPr>
                <w:sz w:val="18"/>
              </w:rPr>
              <w:t>and</w:t>
            </w:r>
            <w:r>
              <w:rPr>
                <w:spacing w:val="-1"/>
                <w:sz w:val="18"/>
              </w:rPr>
              <w:t> </w:t>
            </w:r>
            <w:r>
              <w:rPr>
                <w:sz w:val="18"/>
              </w:rPr>
              <w:t>integration-related </w:t>
            </w:r>
            <w:r>
              <w:rPr>
                <w:spacing w:val="-4"/>
                <w:sz w:val="18"/>
              </w:rPr>
              <w:t>costs</w:t>
            </w:r>
          </w:p>
        </w:tc>
        <w:tc>
          <w:tcPr>
            <w:tcW w:w="784" w:type="dxa"/>
          </w:tcPr>
          <w:p>
            <w:pPr>
              <w:pStyle w:val="TableParagraph"/>
              <w:spacing w:before="18"/>
              <w:ind w:right="91"/>
              <w:jc w:val="right"/>
              <w:rPr>
                <w:sz w:val="18"/>
              </w:rPr>
            </w:pPr>
            <w:r>
              <w:rPr>
                <w:spacing w:val="-5"/>
                <w:sz w:val="18"/>
              </w:rPr>
              <w:t>106</w:t>
            </w:r>
          </w:p>
        </w:tc>
        <w:tc>
          <w:tcPr>
            <w:tcW w:w="705" w:type="dxa"/>
          </w:tcPr>
          <w:p>
            <w:pPr>
              <w:pStyle w:val="TableParagraph"/>
              <w:spacing w:before="18"/>
              <w:ind w:left="386"/>
              <w:rPr>
                <w:sz w:val="18"/>
              </w:rPr>
            </w:pPr>
            <w:r>
              <w:rPr>
                <w:spacing w:val="-5"/>
                <w:sz w:val="18"/>
              </w:rPr>
              <w:t>.06</w:t>
            </w:r>
          </w:p>
        </w:tc>
        <w:tc>
          <w:tcPr>
            <w:tcW w:w="735" w:type="dxa"/>
          </w:tcPr>
          <w:p>
            <w:pPr>
              <w:pStyle w:val="TableParagraph"/>
              <w:spacing w:before="18"/>
              <w:ind w:right="91"/>
              <w:jc w:val="right"/>
              <w:rPr>
                <w:sz w:val="18"/>
              </w:rPr>
            </w:pPr>
            <w:r>
              <w:rPr>
                <w:spacing w:val="-5"/>
                <w:sz w:val="18"/>
              </w:rPr>
              <w:t>101</w:t>
            </w:r>
          </w:p>
        </w:tc>
        <w:tc>
          <w:tcPr>
            <w:tcW w:w="735" w:type="dxa"/>
          </w:tcPr>
          <w:p>
            <w:pPr>
              <w:pStyle w:val="TableParagraph"/>
              <w:spacing w:before="18"/>
              <w:ind w:left="386"/>
              <w:rPr>
                <w:sz w:val="18"/>
              </w:rPr>
            </w:pPr>
            <w:r>
              <w:rPr>
                <w:spacing w:val="-5"/>
                <w:sz w:val="18"/>
              </w:rPr>
              <w:t>.05</w:t>
            </w:r>
          </w:p>
        </w:tc>
        <w:tc>
          <w:tcPr>
            <w:tcW w:w="750" w:type="dxa"/>
          </w:tcPr>
          <w:p>
            <w:pPr>
              <w:pStyle w:val="TableParagraph"/>
              <w:spacing w:before="18"/>
              <w:ind w:right="91"/>
              <w:jc w:val="right"/>
              <w:rPr>
                <w:sz w:val="18"/>
              </w:rPr>
            </w:pPr>
            <w:r>
              <w:rPr>
                <w:spacing w:val="-5"/>
                <w:sz w:val="18"/>
              </w:rPr>
              <w:t>334</w:t>
            </w:r>
          </w:p>
        </w:tc>
        <w:tc>
          <w:tcPr>
            <w:tcW w:w="705" w:type="dxa"/>
          </w:tcPr>
          <w:p>
            <w:pPr>
              <w:pStyle w:val="TableParagraph"/>
              <w:spacing w:before="18"/>
              <w:ind w:right="91"/>
              <w:jc w:val="right"/>
              <w:rPr>
                <w:sz w:val="18"/>
              </w:rPr>
            </w:pPr>
            <w:r>
              <w:rPr>
                <w:spacing w:val="-5"/>
                <w:sz w:val="18"/>
              </w:rPr>
              <w:t>.18</w:t>
            </w:r>
          </w:p>
        </w:tc>
        <w:tc>
          <w:tcPr>
            <w:tcW w:w="765" w:type="dxa"/>
          </w:tcPr>
          <w:p>
            <w:pPr>
              <w:pStyle w:val="TableParagraph"/>
              <w:spacing w:before="18"/>
              <w:ind w:right="91"/>
              <w:jc w:val="right"/>
              <w:rPr>
                <w:sz w:val="18"/>
              </w:rPr>
            </w:pPr>
            <w:r>
              <w:rPr>
                <w:spacing w:val="-5"/>
                <w:sz w:val="18"/>
              </w:rPr>
              <w:t>291</w:t>
            </w:r>
          </w:p>
        </w:tc>
        <w:tc>
          <w:tcPr>
            <w:tcW w:w="686" w:type="dxa"/>
          </w:tcPr>
          <w:p>
            <w:pPr>
              <w:pStyle w:val="TableParagraph"/>
              <w:spacing w:before="18"/>
              <w:ind w:right="72"/>
              <w:jc w:val="right"/>
              <w:rPr>
                <w:sz w:val="18"/>
              </w:rPr>
            </w:pPr>
            <w:r>
              <w:rPr>
                <w:spacing w:val="-5"/>
                <w:sz w:val="18"/>
              </w:rPr>
              <w:t>.15</w:t>
            </w:r>
          </w:p>
        </w:tc>
      </w:tr>
      <w:tr>
        <w:trPr>
          <w:trHeight w:val="255" w:hRule="atLeast"/>
        </w:trPr>
        <w:tc>
          <w:tcPr>
            <w:tcW w:w="4395" w:type="dxa"/>
            <w:shd w:val="clear" w:color="auto" w:fill="CCEDFF"/>
          </w:tcPr>
          <w:p>
            <w:pPr>
              <w:pStyle w:val="TableParagraph"/>
              <w:spacing w:before="18"/>
              <w:ind w:left="277"/>
              <w:rPr>
                <w:sz w:val="18"/>
              </w:rPr>
            </w:pPr>
            <w:r>
              <w:rPr>
                <w:sz w:val="18"/>
              </w:rPr>
              <w:t>Amortization</w:t>
            </w:r>
            <w:r>
              <w:rPr>
                <w:spacing w:val="-1"/>
                <w:sz w:val="18"/>
              </w:rPr>
              <w:t> </w:t>
            </w:r>
            <w:r>
              <w:rPr>
                <w:sz w:val="18"/>
              </w:rPr>
              <w:t>of acquired intangible </w:t>
            </w:r>
            <w:r>
              <w:rPr>
                <w:spacing w:val="-2"/>
                <w:sz w:val="18"/>
              </w:rPr>
              <w:t>assets</w:t>
            </w:r>
          </w:p>
        </w:tc>
        <w:tc>
          <w:tcPr>
            <w:tcW w:w="784" w:type="dxa"/>
            <w:shd w:val="clear" w:color="auto" w:fill="CCEDFF"/>
          </w:tcPr>
          <w:p>
            <w:pPr>
              <w:pStyle w:val="TableParagraph"/>
              <w:spacing w:before="18"/>
              <w:ind w:right="91"/>
              <w:jc w:val="right"/>
              <w:rPr>
                <w:sz w:val="18"/>
              </w:rPr>
            </w:pPr>
            <w:r>
              <w:rPr>
                <w:spacing w:val="-5"/>
                <w:sz w:val="18"/>
              </w:rPr>
              <w:t>135</w:t>
            </w:r>
          </w:p>
        </w:tc>
        <w:tc>
          <w:tcPr>
            <w:tcW w:w="705" w:type="dxa"/>
            <w:shd w:val="clear" w:color="auto" w:fill="CCEDFF"/>
          </w:tcPr>
          <w:p>
            <w:pPr>
              <w:pStyle w:val="TableParagraph"/>
              <w:spacing w:before="18"/>
              <w:ind w:left="386"/>
              <w:rPr>
                <w:sz w:val="18"/>
              </w:rPr>
            </w:pPr>
            <w:r>
              <w:rPr>
                <w:spacing w:val="-5"/>
                <w:sz w:val="18"/>
              </w:rPr>
              <w:t>.07</w:t>
            </w:r>
          </w:p>
        </w:tc>
        <w:tc>
          <w:tcPr>
            <w:tcW w:w="735" w:type="dxa"/>
            <w:shd w:val="clear" w:color="auto" w:fill="CCEDFF"/>
          </w:tcPr>
          <w:p>
            <w:pPr>
              <w:pStyle w:val="TableParagraph"/>
              <w:spacing w:before="18"/>
              <w:ind w:right="91"/>
              <w:jc w:val="right"/>
              <w:rPr>
                <w:sz w:val="18"/>
              </w:rPr>
            </w:pPr>
            <w:r>
              <w:rPr>
                <w:spacing w:val="-5"/>
                <w:sz w:val="18"/>
              </w:rPr>
              <w:t>152</w:t>
            </w:r>
          </w:p>
        </w:tc>
        <w:tc>
          <w:tcPr>
            <w:tcW w:w="735" w:type="dxa"/>
            <w:shd w:val="clear" w:color="auto" w:fill="CCEDFF"/>
          </w:tcPr>
          <w:p>
            <w:pPr>
              <w:pStyle w:val="TableParagraph"/>
              <w:spacing w:before="18"/>
              <w:ind w:left="386"/>
              <w:rPr>
                <w:sz w:val="18"/>
              </w:rPr>
            </w:pPr>
            <w:r>
              <w:rPr>
                <w:spacing w:val="-5"/>
                <w:sz w:val="18"/>
              </w:rPr>
              <w:t>.08</w:t>
            </w:r>
          </w:p>
        </w:tc>
        <w:tc>
          <w:tcPr>
            <w:tcW w:w="750" w:type="dxa"/>
            <w:shd w:val="clear" w:color="auto" w:fill="CCEDFF"/>
          </w:tcPr>
          <w:p>
            <w:pPr>
              <w:pStyle w:val="TableParagraph"/>
              <w:spacing w:before="18"/>
              <w:ind w:right="91"/>
              <w:jc w:val="right"/>
              <w:rPr>
                <w:sz w:val="18"/>
              </w:rPr>
            </w:pPr>
            <w:r>
              <w:rPr>
                <w:spacing w:val="-5"/>
                <w:sz w:val="18"/>
              </w:rPr>
              <w:t>404</w:t>
            </w:r>
          </w:p>
        </w:tc>
        <w:tc>
          <w:tcPr>
            <w:tcW w:w="705" w:type="dxa"/>
            <w:shd w:val="clear" w:color="auto" w:fill="CCEDFF"/>
          </w:tcPr>
          <w:p>
            <w:pPr>
              <w:pStyle w:val="TableParagraph"/>
              <w:spacing w:before="18"/>
              <w:ind w:right="91"/>
              <w:jc w:val="right"/>
              <w:rPr>
                <w:sz w:val="18"/>
              </w:rPr>
            </w:pPr>
            <w:r>
              <w:rPr>
                <w:spacing w:val="-5"/>
                <w:sz w:val="18"/>
              </w:rPr>
              <w:t>.22</w:t>
            </w:r>
          </w:p>
        </w:tc>
        <w:tc>
          <w:tcPr>
            <w:tcW w:w="765" w:type="dxa"/>
            <w:shd w:val="clear" w:color="auto" w:fill="CCEDFF"/>
          </w:tcPr>
          <w:p>
            <w:pPr>
              <w:pStyle w:val="TableParagraph"/>
              <w:spacing w:before="18"/>
              <w:ind w:right="91"/>
              <w:jc w:val="right"/>
              <w:rPr>
                <w:sz w:val="18"/>
              </w:rPr>
            </w:pPr>
            <w:r>
              <w:rPr>
                <w:spacing w:val="-5"/>
                <w:sz w:val="18"/>
              </w:rPr>
              <w:t>460</w:t>
            </w:r>
          </w:p>
        </w:tc>
        <w:tc>
          <w:tcPr>
            <w:tcW w:w="686" w:type="dxa"/>
            <w:shd w:val="clear" w:color="auto" w:fill="CCEDFF"/>
          </w:tcPr>
          <w:p>
            <w:pPr>
              <w:pStyle w:val="TableParagraph"/>
              <w:spacing w:before="18"/>
              <w:ind w:right="72"/>
              <w:jc w:val="right"/>
              <w:rPr>
                <w:sz w:val="18"/>
              </w:rPr>
            </w:pPr>
            <w:r>
              <w:rPr>
                <w:spacing w:val="-5"/>
                <w:sz w:val="18"/>
              </w:rPr>
              <w:t>.24</w:t>
            </w:r>
          </w:p>
        </w:tc>
      </w:tr>
      <w:tr>
        <w:trPr>
          <w:trHeight w:val="255" w:hRule="atLeast"/>
        </w:trPr>
        <w:tc>
          <w:tcPr>
            <w:tcW w:w="4395" w:type="dxa"/>
          </w:tcPr>
          <w:p>
            <w:pPr>
              <w:pStyle w:val="TableParagraph"/>
              <w:spacing w:before="18"/>
              <w:ind w:left="277"/>
              <w:rPr>
                <w:sz w:val="18"/>
              </w:rPr>
            </w:pPr>
            <w:r>
              <w:rPr>
                <w:sz w:val="18"/>
              </w:rPr>
              <w:t>Restructuring</w:t>
            </w:r>
            <w:r>
              <w:rPr>
                <w:spacing w:val="-1"/>
                <w:sz w:val="18"/>
              </w:rPr>
              <w:t> </w:t>
            </w:r>
            <w:r>
              <w:rPr>
                <w:spacing w:val="-2"/>
                <w:sz w:val="18"/>
              </w:rPr>
              <w:t>costs</w:t>
            </w:r>
          </w:p>
        </w:tc>
        <w:tc>
          <w:tcPr>
            <w:tcW w:w="784" w:type="dxa"/>
          </w:tcPr>
          <w:p>
            <w:pPr>
              <w:pStyle w:val="TableParagraph"/>
              <w:spacing w:before="18"/>
              <w:ind w:right="91"/>
              <w:jc w:val="right"/>
              <w:rPr>
                <w:sz w:val="18"/>
              </w:rPr>
            </w:pPr>
            <w:r>
              <w:rPr>
                <w:spacing w:val="-5"/>
                <w:sz w:val="18"/>
              </w:rPr>
              <w:t>279</w:t>
            </w:r>
          </w:p>
        </w:tc>
        <w:tc>
          <w:tcPr>
            <w:tcW w:w="705" w:type="dxa"/>
          </w:tcPr>
          <w:p>
            <w:pPr>
              <w:pStyle w:val="TableParagraph"/>
              <w:spacing w:before="18"/>
              <w:ind w:left="386"/>
              <w:rPr>
                <w:sz w:val="18"/>
              </w:rPr>
            </w:pPr>
            <w:r>
              <w:rPr>
                <w:spacing w:val="-5"/>
                <w:sz w:val="18"/>
              </w:rPr>
              <w:t>.15</w:t>
            </w:r>
          </w:p>
        </w:tc>
        <w:tc>
          <w:tcPr>
            <w:tcW w:w="735" w:type="dxa"/>
          </w:tcPr>
          <w:p>
            <w:pPr>
              <w:pStyle w:val="TableParagraph"/>
              <w:spacing w:before="18"/>
              <w:ind w:right="91"/>
              <w:jc w:val="right"/>
              <w:rPr>
                <w:sz w:val="18"/>
              </w:rPr>
            </w:pPr>
            <w:r>
              <w:rPr>
                <w:spacing w:val="-10"/>
                <w:sz w:val="18"/>
              </w:rPr>
              <w:t>—</w:t>
            </w:r>
          </w:p>
        </w:tc>
        <w:tc>
          <w:tcPr>
            <w:tcW w:w="735" w:type="dxa"/>
          </w:tcPr>
          <w:p>
            <w:pPr>
              <w:pStyle w:val="TableParagraph"/>
              <w:spacing w:before="18"/>
              <w:ind w:right="121"/>
              <w:jc w:val="right"/>
              <w:rPr>
                <w:sz w:val="18"/>
              </w:rPr>
            </w:pPr>
            <w:r>
              <w:rPr>
                <w:spacing w:val="-10"/>
                <w:sz w:val="18"/>
              </w:rPr>
              <w:t>—</w:t>
            </w:r>
          </w:p>
        </w:tc>
        <w:tc>
          <w:tcPr>
            <w:tcW w:w="750" w:type="dxa"/>
          </w:tcPr>
          <w:p>
            <w:pPr>
              <w:pStyle w:val="TableParagraph"/>
              <w:spacing w:before="18"/>
              <w:ind w:right="91"/>
              <w:jc w:val="right"/>
              <w:rPr>
                <w:sz w:val="18"/>
              </w:rPr>
            </w:pPr>
            <w:r>
              <w:rPr>
                <w:spacing w:val="-5"/>
                <w:sz w:val="18"/>
              </w:rPr>
              <w:t>279</w:t>
            </w:r>
          </w:p>
        </w:tc>
        <w:tc>
          <w:tcPr>
            <w:tcW w:w="705" w:type="dxa"/>
          </w:tcPr>
          <w:p>
            <w:pPr>
              <w:pStyle w:val="TableParagraph"/>
              <w:spacing w:before="18"/>
              <w:ind w:right="91"/>
              <w:jc w:val="right"/>
              <w:rPr>
                <w:sz w:val="18"/>
              </w:rPr>
            </w:pPr>
            <w:r>
              <w:rPr>
                <w:spacing w:val="-5"/>
                <w:sz w:val="18"/>
              </w:rPr>
              <w:t>.15</w:t>
            </w:r>
          </w:p>
        </w:tc>
        <w:tc>
          <w:tcPr>
            <w:tcW w:w="765" w:type="dxa"/>
          </w:tcPr>
          <w:p>
            <w:pPr>
              <w:pStyle w:val="TableParagraph"/>
              <w:spacing w:before="18"/>
              <w:ind w:right="91"/>
              <w:jc w:val="right"/>
              <w:rPr>
                <w:sz w:val="18"/>
              </w:rPr>
            </w:pPr>
            <w:r>
              <w:rPr>
                <w:spacing w:val="-10"/>
                <w:sz w:val="18"/>
              </w:rPr>
              <w:t>—</w:t>
            </w:r>
          </w:p>
        </w:tc>
        <w:tc>
          <w:tcPr>
            <w:tcW w:w="686" w:type="dxa"/>
          </w:tcPr>
          <w:p>
            <w:pPr>
              <w:pStyle w:val="TableParagraph"/>
              <w:spacing w:before="18"/>
              <w:ind w:right="72"/>
              <w:jc w:val="right"/>
              <w:rPr>
                <w:sz w:val="18"/>
              </w:rPr>
            </w:pPr>
            <w:r>
              <w:rPr>
                <w:spacing w:val="-10"/>
                <w:sz w:val="18"/>
              </w:rPr>
              <w:t>—</w:t>
            </w:r>
          </w:p>
        </w:tc>
      </w:tr>
      <w:tr>
        <w:trPr>
          <w:trHeight w:val="250" w:hRule="atLeast"/>
        </w:trPr>
        <w:tc>
          <w:tcPr>
            <w:tcW w:w="4395" w:type="dxa"/>
            <w:tcBorders>
              <w:bottom w:val="single" w:sz="4" w:space="0" w:color="000000"/>
            </w:tcBorders>
            <w:shd w:val="clear" w:color="auto" w:fill="CCEDFF"/>
          </w:tcPr>
          <w:p>
            <w:pPr>
              <w:pStyle w:val="TableParagraph"/>
              <w:spacing w:before="18"/>
              <w:ind w:left="277"/>
              <w:rPr>
                <w:sz w:val="18"/>
              </w:rPr>
            </w:pPr>
            <w:r>
              <w:rPr>
                <w:sz w:val="18"/>
              </w:rPr>
              <w:t>Income tax effects</w:t>
            </w:r>
            <w:r>
              <w:rPr>
                <w:spacing w:val="-2"/>
                <w:sz w:val="18"/>
              </w:rPr>
              <w:t> </w:t>
            </w:r>
            <w:r>
              <w:rPr>
                <w:spacing w:val="-5"/>
                <w:sz w:val="18"/>
                <w:vertAlign w:val="superscript"/>
              </w:rPr>
              <w:t>(1)</w:t>
            </w:r>
          </w:p>
        </w:tc>
        <w:tc>
          <w:tcPr>
            <w:tcW w:w="784" w:type="dxa"/>
            <w:tcBorders>
              <w:bottom w:val="single" w:sz="4" w:space="0" w:color="000000"/>
            </w:tcBorders>
            <w:shd w:val="clear" w:color="auto" w:fill="CCEDFF"/>
          </w:tcPr>
          <w:p>
            <w:pPr>
              <w:pStyle w:val="TableParagraph"/>
              <w:spacing w:before="18"/>
              <w:ind w:right="31"/>
              <w:jc w:val="right"/>
              <w:rPr>
                <w:sz w:val="18"/>
              </w:rPr>
            </w:pPr>
            <w:r>
              <w:rPr>
                <w:spacing w:val="-2"/>
                <w:sz w:val="18"/>
              </w:rPr>
              <w:t>(127)</w:t>
            </w:r>
          </w:p>
        </w:tc>
        <w:tc>
          <w:tcPr>
            <w:tcW w:w="705" w:type="dxa"/>
            <w:tcBorders>
              <w:bottom w:val="single" w:sz="4" w:space="0" w:color="000000"/>
            </w:tcBorders>
            <w:shd w:val="clear" w:color="auto" w:fill="CCEDFF"/>
          </w:tcPr>
          <w:p>
            <w:pPr>
              <w:pStyle w:val="TableParagraph"/>
              <w:spacing w:before="18"/>
              <w:ind w:left="326"/>
              <w:rPr>
                <w:sz w:val="18"/>
              </w:rPr>
            </w:pPr>
            <w:r>
              <w:rPr>
                <w:spacing w:val="-2"/>
                <w:sz w:val="18"/>
              </w:rPr>
              <w:t>(.07)</w:t>
            </w:r>
          </w:p>
        </w:tc>
        <w:tc>
          <w:tcPr>
            <w:tcW w:w="735" w:type="dxa"/>
            <w:tcBorders>
              <w:bottom w:val="single" w:sz="4" w:space="0" w:color="000000"/>
            </w:tcBorders>
            <w:shd w:val="clear" w:color="auto" w:fill="CCEDFF"/>
          </w:tcPr>
          <w:p>
            <w:pPr>
              <w:pStyle w:val="TableParagraph"/>
              <w:spacing w:before="18"/>
              <w:ind w:right="31"/>
              <w:jc w:val="right"/>
              <w:rPr>
                <w:sz w:val="18"/>
              </w:rPr>
            </w:pPr>
            <w:r>
              <w:rPr>
                <w:spacing w:val="-4"/>
                <w:sz w:val="18"/>
              </w:rPr>
              <w:t>(62)</w:t>
            </w:r>
          </w:p>
        </w:tc>
        <w:tc>
          <w:tcPr>
            <w:tcW w:w="735" w:type="dxa"/>
            <w:tcBorders>
              <w:bottom w:val="single" w:sz="4" w:space="0" w:color="000000"/>
            </w:tcBorders>
            <w:shd w:val="clear" w:color="auto" w:fill="CCEDFF"/>
          </w:tcPr>
          <w:p>
            <w:pPr>
              <w:pStyle w:val="TableParagraph"/>
              <w:spacing w:before="18"/>
              <w:ind w:right="61"/>
              <w:jc w:val="right"/>
              <w:rPr>
                <w:sz w:val="18"/>
              </w:rPr>
            </w:pPr>
            <w:r>
              <w:rPr>
                <w:spacing w:val="-2"/>
                <w:sz w:val="18"/>
              </w:rPr>
              <w:t>(.02)</w:t>
            </w:r>
          </w:p>
        </w:tc>
        <w:tc>
          <w:tcPr>
            <w:tcW w:w="750" w:type="dxa"/>
            <w:tcBorders>
              <w:bottom w:val="single" w:sz="4" w:space="0" w:color="000000"/>
            </w:tcBorders>
            <w:shd w:val="clear" w:color="auto" w:fill="CCEDFF"/>
          </w:tcPr>
          <w:p>
            <w:pPr>
              <w:pStyle w:val="TableParagraph"/>
              <w:spacing w:before="18"/>
              <w:ind w:right="31"/>
              <w:jc w:val="right"/>
              <w:rPr>
                <w:sz w:val="18"/>
              </w:rPr>
            </w:pPr>
            <w:r>
              <w:rPr>
                <w:spacing w:val="-2"/>
                <w:sz w:val="18"/>
              </w:rPr>
              <w:t>(247)</w:t>
            </w:r>
          </w:p>
        </w:tc>
        <w:tc>
          <w:tcPr>
            <w:tcW w:w="705" w:type="dxa"/>
            <w:tcBorders>
              <w:bottom w:val="single" w:sz="4" w:space="0" w:color="000000"/>
            </w:tcBorders>
            <w:shd w:val="clear" w:color="auto" w:fill="CCEDFF"/>
          </w:tcPr>
          <w:p>
            <w:pPr>
              <w:pStyle w:val="TableParagraph"/>
              <w:spacing w:before="18"/>
              <w:ind w:right="31"/>
              <w:jc w:val="right"/>
              <w:rPr>
                <w:sz w:val="18"/>
              </w:rPr>
            </w:pPr>
            <w:r>
              <w:rPr>
                <w:spacing w:val="-2"/>
                <w:sz w:val="18"/>
              </w:rPr>
              <w:t>(.13)</w:t>
            </w:r>
          </w:p>
        </w:tc>
        <w:tc>
          <w:tcPr>
            <w:tcW w:w="765" w:type="dxa"/>
            <w:tcBorders>
              <w:bottom w:val="single" w:sz="4" w:space="0" w:color="000000"/>
            </w:tcBorders>
            <w:shd w:val="clear" w:color="auto" w:fill="CCEDFF"/>
          </w:tcPr>
          <w:p>
            <w:pPr>
              <w:pStyle w:val="TableParagraph"/>
              <w:spacing w:before="18"/>
              <w:ind w:right="31"/>
              <w:jc w:val="right"/>
              <w:rPr>
                <w:sz w:val="18"/>
              </w:rPr>
            </w:pPr>
            <w:r>
              <w:rPr>
                <w:spacing w:val="-2"/>
                <w:sz w:val="18"/>
              </w:rPr>
              <w:t>(183)</w:t>
            </w:r>
          </w:p>
        </w:tc>
        <w:tc>
          <w:tcPr>
            <w:tcW w:w="686" w:type="dxa"/>
            <w:tcBorders>
              <w:bottom w:val="single" w:sz="4" w:space="0" w:color="000000"/>
            </w:tcBorders>
            <w:shd w:val="clear" w:color="auto" w:fill="CCEDFF"/>
          </w:tcPr>
          <w:p>
            <w:pPr>
              <w:pStyle w:val="TableParagraph"/>
              <w:spacing w:before="18"/>
              <w:ind w:right="12"/>
              <w:jc w:val="right"/>
              <w:rPr>
                <w:sz w:val="18"/>
              </w:rPr>
            </w:pPr>
            <w:r>
              <w:rPr>
                <w:spacing w:val="-2"/>
                <w:sz w:val="18"/>
              </w:rPr>
              <w:t>(.09)</w:t>
            </w:r>
          </w:p>
        </w:tc>
      </w:tr>
    </w:tbl>
    <w:p>
      <w:pPr>
        <w:pStyle w:val="BodyText"/>
        <w:rPr>
          <w:sz w:val="18"/>
        </w:rPr>
      </w:pPr>
    </w:p>
    <w:p>
      <w:pPr>
        <w:pStyle w:val="BodyText"/>
        <w:spacing w:before="72"/>
        <w:rPr>
          <w:sz w:val="18"/>
        </w:rPr>
      </w:pPr>
    </w:p>
    <w:p>
      <w:pPr>
        <w:spacing w:line="249" w:lineRule="auto" w:before="0"/>
        <w:ind w:left="650" w:right="500" w:hanging="180"/>
        <w:jc w:val="left"/>
        <w:rPr>
          <w:sz w:val="16"/>
        </w:rPr>
      </w:pPr>
      <w:r>
        <w:rPr/>
        <mc:AlternateContent>
          <mc:Choice Requires="wps">
            <w:drawing>
              <wp:anchor distT="0" distB="0" distL="0" distR="0" allowOverlap="1" layoutInCell="1" locked="0" behindDoc="0" simplePos="0" relativeHeight="15744000">
                <wp:simplePos x="0" y="0"/>
                <wp:positionH relativeFrom="page">
                  <wp:posOffset>590550</wp:posOffset>
                </wp:positionH>
                <wp:positionV relativeFrom="paragraph">
                  <wp:posOffset>-311762</wp:posOffset>
                </wp:positionV>
                <wp:extent cx="6591300" cy="29146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6591300" cy="2914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5"/>
                              <w:gridCol w:w="244"/>
                              <w:gridCol w:w="825"/>
                              <w:gridCol w:w="630"/>
                              <w:gridCol w:w="765"/>
                              <w:gridCol w:w="495"/>
                              <w:gridCol w:w="990"/>
                              <w:gridCol w:w="690"/>
                              <w:gridCol w:w="780"/>
                              <w:gridCol w:w="476"/>
                            </w:tblGrid>
                            <w:tr>
                              <w:trPr>
                                <w:trHeight w:val="210" w:hRule="atLeast"/>
                              </w:trPr>
                              <w:tc>
                                <w:tcPr>
                                  <w:tcW w:w="4365" w:type="dxa"/>
                                </w:tcPr>
                                <w:p>
                                  <w:pPr>
                                    <w:pStyle w:val="TableParagraph"/>
                                    <w:spacing w:line="177" w:lineRule="exact" w:before="13"/>
                                    <w:ind w:left="52"/>
                                    <w:rPr>
                                      <w:b/>
                                      <w:sz w:val="18"/>
                                    </w:rPr>
                                  </w:pPr>
                                  <w:r>
                                    <w:rPr>
                                      <w:b/>
                                      <w:sz w:val="18"/>
                                    </w:rPr>
                                    <w:t>Adjusted</w:t>
                                  </w:r>
                                  <w:r>
                                    <w:rPr>
                                      <w:b/>
                                      <w:spacing w:val="-3"/>
                                      <w:sz w:val="18"/>
                                    </w:rPr>
                                    <w:t> </w:t>
                                  </w:r>
                                  <w:r>
                                    <w:rPr>
                                      <w:b/>
                                      <w:sz w:val="18"/>
                                    </w:rPr>
                                    <w:t>net</w:t>
                                  </w:r>
                                  <w:r>
                                    <w:rPr>
                                      <w:b/>
                                      <w:spacing w:val="-1"/>
                                      <w:sz w:val="18"/>
                                    </w:rPr>
                                    <w:t> </w:t>
                                  </w:r>
                                  <w:r>
                                    <w:rPr>
                                      <w:b/>
                                      <w:sz w:val="18"/>
                                    </w:rPr>
                                    <w:t>income</w:t>
                                  </w:r>
                                  <w:r>
                                    <w:rPr>
                                      <w:b/>
                                      <w:spacing w:val="-1"/>
                                      <w:sz w:val="18"/>
                                    </w:rPr>
                                    <w:t> </w:t>
                                  </w:r>
                                  <w:r>
                                    <w:rPr>
                                      <w:b/>
                                      <w:sz w:val="18"/>
                                    </w:rPr>
                                    <w:t>available</w:t>
                                  </w:r>
                                  <w:r>
                                    <w:rPr>
                                      <w:b/>
                                      <w:spacing w:val="-1"/>
                                      <w:sz w:val="18"/>
                                    </w:rPr>
                                    <w:t> </w:t>
                                  </w:r>
                                  <w:r>
                                    <w:rPr>
                                      <w:b/>
                                      <w:sz w:val="18"/>
                                    </w:rPr>
                                    <w:t>to</w:t>
                                  </w:r>
                                  <w:r>
                                    <w:rPr>
                                      <w:b/>
                                      <w:spacing w:val="-1"/>
                                      <w:sz w:val="18"/>
                                    </w:rPr>
                                    <w:t> </w:t>
                                  </w:r>
                                  <w:r>
                                    <w:rPr>
                                      <w:b/>
                                      <w:sz w:val="18"/>
                                    </w:rPr>
                                    <w:t>common</w:t>
                                  </w:r>
                                  <w:r>
                                    <w:rPr>
                                      <w:b/>
                                      <w:spacing w:val="-2"/>
                                      <w:sz w:val="18"/>
                                    </w:rPr>
                                    <w:t> stockholders</w:t>
                                  </w:r>
                                </w:p>
                              </w:tc>
                              <w:tc>
                                <w:tcPr>
                                  <w:tcW w:w="5895" w:type="dxa"/>
                                  <w:gridSpan w:val="9"/>
                                </w:tcPr>
                                <w:p>
                                  <w:pPr>
                                    <w:pStyle w:val="TableParagraph"/>
                                    <w:rPr>
                                      <w:sz w:val="14"/>
                                    </w:rPr>
                                  </w:pPr>
                                </w:p>
                              </w:tc>
                            </w:tr>
                            <w:tr>
                              <w:trPr>
                                <w:trHeight w:val="189" w:hRule="atLeast"/>
                              </w:trPr>
                              <w:tc>
                                <w:tcPr>
                                  <w:tcW w:w="4365" w:type="dxa"/>
                                  <w:tcBorders>
                                    <w:bottom w:val="double" w:sz="8" w:space="0" w:color="000000"/>
                                  </w:tcBorders>
                                </w:tcPr>
                                <w:p>
                                  <w:pPr>
                                    <w:pStyle w:val="TableParagraph"/>
                                    <w:spacing w:line="170" w:lineRule="exact"/>
                                    <w:ind w:left="142"/>
                                    <w:rPr>
                                      <w:b/>
                                      <w:sz w:val="18"/>
                                    </w:rPr>
                                  </w:pPr>
                                  <w:r>
                                    <w:rPr>
                                      <w:b/>
                                      <w:sz w:val="18"/>
                                    </w:rPr>
                                    <w:t>(non-GAAP),</w:t>
                                  </w:r>
                                  <w:r>
                                    <w:rPr>
                                      <w:b/>
                                      <w:spacing w:val="-4"/>
                                      <w:sz w:val="18"/>
                                    </w:rPr>
                                    <w:t> </w:t>
                                  </w:r>
                                  <w:r>
                                    <w:rPr>
                                      <w:b/>
                                      <w:sz w:val="18"/>
                                    </w:rPr>
                                    <w:t>Adjusted</w:t>
                                  </w:r>
                                  <w:r>
                                    <w:rPr>
                                      <w:b/>
                                      <w:spacing w:val="-4"/>
                                      <w:sz w:val="18"/>
                                    </w:rPr>
                                    <w:t> </w:t>
                                  </w:r>
                                  <w:r>
                                    <w:rPr>
                                      <w:b/>
                                      <w:sz w:val="18"/>
                                    </w:rPr>
                                    <w:t>diluted</w:t>
                                  </w:r>
                                  <w:r>
                                    <w:rPr>
                                      <w:b/>
                                      <w:spacing w:val="-4"/>
                                      <w:sz w:val="18"/>
                                    </w:rPr>
                                    <w:t> </w:t>
                                  </w:r>
                                  <w:r>
                                    <w:rPr>
                                      <w:b/>
                                      <w:sz w:val="18"/>
                                    </w:rPr>
                                    <w:t>EPS</w:t>
                                  </w:r>
                                  <w:r>
                                    <w:rPr>
                                      <w:b/>
                                      <w:spacing w:val="-3"/>
                                      <w:sz w:val="18"/>
                                    </w:rPr>
                                    <w:t> </w:t>
                                  </w:r>
                                  <w:r>
                                    <w:rPr>
                                      <w:b/>
                                      <w:sz w:val="18"/>
                                    </w:rPr>
                                    <w:t>(non-</w:t>
                                  </w:r>
                                  <w:r>
                                    <w:rPr>
                                      <w:b/>
                                      <w:spacing w:val="-4"/>
                                      <w:sz w:val="18"/>
                                    </w:rPr>
                                    <w:t>GAAP)</w:t>
                                  </w:r>
                                </w:p>
                              </w:tc>
                              <w:tc>
                                <w:tcPr>
                                  <w:tcW w:w="244" w:type="dxa"/>
                                  <w:tcBorders>
                                    <w:bottom w:val="double" w:sz="8" w:space="0" w:color="000000"/>
                                  </w:tcBorders>
                                </w:tcPr>
                                <w:p>
                                  <w:pPr>
                                    <w:pStyle w:val="TableParagraph"/>
                                    <w:spacing w:line="170" w:lineRule="exact"/>
                                    <w:ind w:left="82"/>
                                    <w:rPr>
                                      <w:sz w:val="18"/>
                                    </w:rPr>
                                  </w:pPr>
                                  <w:r>
                                    <w:rPr>
                                      <w:spacing w:val="-10"/>
                                      <w:sz w:val="18"/>
                                    </w:rPr>
                                    <w:t>$</w:t>
                                  </w:r>
                                </w:p>
                              </w:tc>
                              <w:tc>
                                <w:tcPr>
                                  <w:tcW w:w="825" w:type="dxa"/>
                                  <w:tcBorders>
                                    <w:bottom w:val="double" w:sz="8" w:space="0" w:color="000000"/>
                                  </w:tcBorders>
                                </w:tcPr>
                                <w:p>
                                  <w:pPr>
                                    <w:pStyle w:val="TableParagraph"/>
                                    <w:spacing w:line="170" w:lineRule="exact"/>
                                    <w:ind w:left="71"/>
                                    <w:rPr>
                                      <w:sz w:val="18"/>
                                    </w:rPr>
                                  </w:pPr>
                                  <w:r>
                                    <w:rPr>
                                      <w:sz w:val="18"/>
                                    </w:rPr>
                                    <w:t>1,410</w:t>
                                  </w:r>
                                  <w:r>
                                    <w:rPr>
                                      <w:spacing w:val="59"/>
                                      <w:w w:val="150"/>
                                      <w:sz w:val="18"/>
                                    </w:rPr>
                                    <w:t> </w:t>
                                  </w:r>
                                  <w:r>
                                    <w:rPr>
                                      <w:spacing w:val="-10"/>
                                      <w:sz w:val="18"/>
                                    </w:rPr>
                                    <w:t>$</w:t>
                                  </w:r>
                                </w:p>
                              </w:tc>
                              <w:tc>
                                <w:tcPr>
                                  <w:tcW w:w="630" w:type="dxa"/>
                                  <w:tcBorders>
                                    <w:bottom w:val="double" w:sz="8" w:space="0" w:color="000000"/>
                                  </w:tcBorders>
                                </w:tcPr>
                                <w:p>
                                  <w:pPr>
                                    <w:pStyle w:val="TableParagraph"/>
                                    <w:spacing w:line="170" w:lineRule="exact"/>
                                    <w:ind w:left="131"/>
                                    <w:rPr>
                                      <w:sz w:val="18"/>
                                    </w:rPr>
                                  </w:pPr>
                                  <w:r>
                                    <w:rPr>
                                      <w:sz w:val="18"/>
                                    </w:rPr>
                                    <w:t>.77</w:t>
                                  </w:r>
                                  <w:r>
                                    <w:rPr>
                                      <w:spacing w:val="59"/>
                                      <w:w w:val="150"/>
                                      <w:sz w:val="18"/>
                                    </w:rPr>
                                    <w:t> </w:t>
                                  </w:r>
                                  <w:r>
                                    <w:rPr>
                                      <w:spacing w:val="-10"/>
                                      <w:sz w:val="18"/>
                                    </w:rPr>
                                    <w:t>$</w:t>
                                  </w:r>
                                </w:p>
                              </w:tc>
                              <w:tc>
                                <w:tcPr>
                                  <w:tcW w:w="765" w:type="dxa"/>
                                  <w:tcBorders>
                                    <w:bottom w:val="double" w:sz="8" w:space="0" w:color="000000"/>
                                  </w:tcBorders>
                                </w:tcPr>
                                <w:p>
                                  <w:pPr>
                                    <w:pStyle w:val="TableParagraph"/>
                                    <w:spacing w:line="170" w:lineRule="exact"/>
                                    <w:ind w:left="56"/>
                                    <w:rPr>
                                      <w:sz w:val="18"/>
                                    </w:rPr>
                                  </w:pPr>
                                  <w:r>
                                    <w:rPr>
                                      <w:sz w:val="18"/>
                                    </w:rPr>
                                    <w:t>2,075</w:t>
                                  </w:r>
                                  <w:r>
                                    <w:rPr>
                                      <w:spacing w:val="59"/>
                                      <w:w w:val="150"/>
                                      <w:sz w:val="18"/>
                                    </w:rPr>
                                    <w:t> </w:t>
                                  </w:r>
                                  <w:r>
                                    <w:rPr>
                                      <w:spacing w:val="-10"/>
                                      <w:sz w:val="18"/>
                                    </w:rPr>
                                    <w:t>$</w:t>
                                  </w:r>
                                </w:p>
                              </w:tc>
                              <w:tc>
                                <w:tcPr>
                                  <w:tcW w:w="495" w:type="dxa"/>
                                  <w:tcBorders>
                                    <w:bottom w:val="double" w:sz="8" w:space="0" w:color="000000"/>
                                  </w:tcBorders>
                                </w:tcPr>
                                <w:p>
                                  <w:pPr>
                                    <w:pStyle w:val="TableParagraph"/>
                                    <w:spacing w:line="170" w:lineRule="exact"/>
                                    <w:ind w:left="86"/>
                                    <w:rPr>
                                      <w:sz w:val="18"/>
                                    </w:rPr>
                                  </w:pPr>
                                  <w:r>
                                    <w:rPr>
                                      <w:spacing w:val="-4"/>
                                      <w:sz w:val="18"/>
                                    </w:rPr>
                                    <w:t>1.10</w:t>
                                  </w:r>
                                </w:p>
                              </w:tc>
                              <w:tc>
                                <w:tcPr>
                                  <w:tcW w:w="990" w:type="dxa"/>
                                  <w:tcBorders>
                                    <w:bottom w:val="double" w:sz="8" w:space="0" w:color="000000"/>
                                  </w:tcBorders>
                                </w:tcPr>
                                <w:p>
                                  <w:pPr>
                                    <w:pStyle w:val="TableParagraph"/>
                                    <w:spacing w:line="170" w:lineRule="exact"/>
                                    <w:ind w:left="93"/>
                                    <w:rPr>
                                      <w:sz w:val="18"/>
                                    </w:rPr>
                                  </w:pPr>
                                  <w:r>
                                    <w:rPr>
                                      <w:sz w:val="18"/>
                                    </w:rPr>
                                    <w:t>$</w:t>
                                  </w:r>
                                  <w:r>
                                    <w:rPr>
                                      <w:spacing w:val="52"/>
                                      <w:sz w:val="18"/>
                                    </w:rPr>
                                    <w:t> </w:t>
                                  </w:r>
                                  <w:r>
                                    <w:rPr>
                                      <w:sz w:val="18"/>
                                    </w:rPr>
                                    <w:t>4,493</w:t>
                                  </w:r>
                                  <w:r>
                                    <w:rPr>
                                      <w:spacing w:val="59"/>
                                      <w:w w:val="150"/>
                                      <w:sz w:val="18"/>
                                    </w:rPr>
                                    <w:t> </w:t>
                                  </w:r>
                                  <w:r>
                                    <w:rPr>
                                      <w:spacing w:val="-10"/>
                                      <w:sz w:val="18"/>
                                    </w:rPr>
                                    <w:t>$</w:t>
                                  </w:r>
                                </w:p>
                              </w:tc>
                              <w:tc>
                                <w:tcPr>
                                  <w:tcW w:w="690" w:type="dxa"/>
                                  <w:tcBorders>
                                    <w:bottom w:val="double" w:sz="8" w:space="0" w:color="000000"/>
                                  </w:tcBorders>
                                </w:tcPr>
                                <w:p>
                                  <w:pPr>
                                    <w:pStyle w:val="TableParagraph"/>
                                    <w:spacing w:line="170" w:lineRule="exact"/>
                                    <w:ind w:left="86"/>
                                    <w:rPr>
                                      <w:sz w:val="18"/>
                                    </w:rPr>
                                  </w:pPr>
                                  <w:r>
                                    <w:rPr>
                                      <w:sz w:val="18"/>
                                    </w:rPr>
                                    <w:t>2.45</w:t>
                                  </w:r>
                                  <w:r>
                                    <w:rPr>
                                      <w:spacing w:val="59"/>
                                      <w:w w:val="150"/>
                                      <w:sz w:val="18"/>
                                    </w:rPr>
                                    <w:t> </w:t>
                                  </w:r>
                                  <w:r>
                                    <w:rPr>
                                      <w:spacing w:val="-10"/>
                                      <w:sz w:val="18"/>
                                    </w:rPr>
                                    <w:t>$</w:t>
                                  </w:r>
                                </w:p>
                              </w:tc>
                              <w:tc>
                                <w:tcPr>
                                  <w:tcW w:w="780" w:type="dxa"/>
                                  <w:tcBorders>
                                    <w:bottom w:val="double" w:sz="8" w:space="0" w:color="000000"/>
                                  </w:tcBorders>
                                </w:tcPr>
                                <w:p>
                                  <w:pPr>
                                    <w:pStyle w:val="TableParagraph"/>
                                    <w:spacing w:line="170" w:lineRule="exact"/>
                                    <w:ind w:left="71"/>
                                    <w:rPr>
                                      <w:sz w:val="18"/>
                                    </w:rPr>
                                  </w:pPr>
                                  <w:r>
                                    <w:rPr>
                                      <w:sz w:val="18"/>
                                    </w:rPr>
                                    <w:t>5,382</w:t>
                                  </w:r>
                                  <w:r>
                                    <w:rPr>
                                      <w:spacing w:val="59"/>
                                      <w:w w:val="150"/>
                                      <w:sz w:val="18"/>
                                    </w:rPr>
                                    <w:t> </w:t>
                                  </w:r>
                                  <w:r>
                                    <w:rPr>
                                      <w:spacing w:val="-10"/>
                                      <w:sz w:val="18"/>
                                    </w:rPr>
                                    <w:t>$</w:t>
                                  </w:r>
                                </w:p>
                              </w:tc>
                              <w:tc>
                                <w:tcPr>
                                  <w:tcW w:w="476" w:type="dxa"/>
                                  <w:tcBorders>
                                    <w:bottom w:val="double" w:sz="8" w:space="0" w:color="000000"/>
                                  </w:tcBorders>
                                </w:tcPr>
                                <w:p>
                                  <w:pPr>
                                    <w:pStyle w:val="TableParagraph"/>
                                    <w:spacing w:line="170" w:lineRule="exact"/>
                                    <w:ind w:left="86"/>
                                    <w:rPr>
                                      <w:sz w:val="18"/>
                                    </w:rPr>
                                  </w:pPr>
                                  <w:r>
                                    <w:rPr>
                                      <w:spacing w:val="-4"/>
                                      <w:sz w:val="18"/>
                                    </w:rPr>
                                    <w:t>2.83</w:t>
                                  </w:r>
                                </w:p>
                              </w:tc>
                            </w:tr>
                          </w:tbl>
                          <w:p>
                            <w:pPr>
                              <w:pStyle w:val="BodyText"/>
                            </w:pPr>
                          </w:p>
                        </w:txbxContent>
                      </wps:txbx>
                      <wps:bodyPr wrap="square" lIns="0" tIns="0" rIns="0" bIns="0" rtlCol="0">
                        <a:noAutofit/>
                      </wps:bodyPr>
                    </wps:wsp>
                  </a:graphicData>
                </a:graphic>
              </wp:anchor>
            </w:drawing>
          </mc:Choice>
          <mc:Fallback>
            <w:pict>
              <v:shape style="position:absolute;margin-left:46.5pt;margin-top:-24.548243pt;width:519pt;height:22.95pt;mso-position-horizontal-relative:page;mso-position-vertical-relative:paragraph;z-index:15744000" type="#_x0000_t202" id="docshape7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5"/>
                        <w:gridCol w:w="244"/>
                        <w:gridCol w:w="825"/>
                        <w:gridCol w:w="630"/>
                        <w:gridCol w:w="765"/>
                        <w:gridCol w:w="495"/>
                        <w:gridCol w:w="990"/>
                        <w:gridCol w:w="690"/>
                        <w:gridCol w:w="780"/>
                        <w:gridCol w:w="476"/>
                      </w:tblGrid>
                      <w:tr>
                        <w:trPr>
                          <w:trHeight w:val="210" w:hRule="atLeast"/>
                        </w:trPr>
                        <w:tc>
                          <w:tcPr>
                            <w:tcW w:w="4365" w:type="dxa"/>
                          </w:tcPr>
                          <w:p>
                            <w:pPr>
                              <w:pStyle w:val="TableParagraph"/>
                              <w:spacing w:line="177" w:lineRule="exact" w:before="13"/>
                              <w:ind w:left="52"/>
                              <w:rPr>
                                <w:b/>
                                <w:sz w:val="18"/>
                              </w:rPr>
                            </w:pPr>
                            <w:r>
                              <w:rPr>
                                <w:b/>
                                <w:sz w:val="18"/>
                              </w:rPr>
                              <w:t>Adjusted</w:t>
                            </w:r>
                            <w:r>
                              <w:rPr>
                                <w:b/>
                                <w:spacing w:val="-3"/>
                                <w:sz w:val="18"/>
                              </w:rPr>
                              <w:t> </w:t>
                            </w:r>
                            <w:r>
                              <w:rPr>
                                <w:b/>
                                <w:sz w:val="18"/>
                              </w:rPr>
                              <w:t>net</w:t>
                            </w:r>
                            <w:r>
                              <w:rPr>
                                <w:b/>
                                <w:spacing w:val="-1"/>
                                <w:sz w:val="18"/>
                              </w:rPr>
                              <w:t> </w:t>
                            </w:r>
                            <w:r>
                              <w:rPr>
                                <w:b/>
                                <w:sz w:val="18"/>
                              </w:rPr>
                              <w:t>income</w:t>
                            </w:r>
                            <w:r>
                              <w:rPr>
                                <w:b/>
                                <w:spacing w:val="-1"/>
                                <w:sz w:val="18"/>
                              </w:rPr>
                              <w:t> </w:t>
                            </w:r>
                            <w:r>
                              <w:rPr>
                                <w:b/>
                                <w:sz w:val="18"/>
                              </w:rPr>
                              <w:t>available</w:t>
                            </w:r>
                            <w:r>
                              <w:rPr>
                                <w:b/>
                                <w:spacing w:val="-1"/>
                                <w:sz w:val="18"/>
                              </w:rPr>
                              <w:t> </w:t>
                            </w:r>
                            <w:r>
                              <w:rPr>
                                <w:b/>
                                <w:sz w:val="18"/>
                              </w:rPr>
                              <w:t>to</w:t>
                            </w:r>
                            <w:r>
                              <w:rPr>
                                <w:b/>
                                <w:spacing w:val="-1"/>
                                <w:sz w:val="18"/>
                              </w:rPr>
                              <w:t> </w:t>
                            </w:r>
                            <w:r>
                              <w:rPr>
                                <w:b/>
                                <w:sz w:val="18"/>
                              </w:rPr>
                              <w:t>common</w:t>
                            </w:r>
                            <w:r>
                              <w:rPr>
                                <w:b/>
                                <w:spacing w:val="-2"/>
                                <w:sz w:val="18"/>
                              </w:rPr>
                              <w:t> stockholders</w:t>
                            </w:r>
                          </w:p>
                        </w:tc>
                        <w:tc>
                          <w:tcPr>
                            <w:tcW w:w="5895" w:type="dxa"/>
                            <w:gridSpan w:val="9"/>
                          </w:tcPr>
                          <w:p>
                            <w:pPr>
                              <w:pStyle w:val="TableParagraph"/>
                              <w:rPr>
                                <w:sz w:val="14"/>
                              </w:rPr>
                            </w:pPr>
                          </w:p>
                        </w:tc>
                      </w:tr>
                      <w:tr>
                        <w:trPr>
                          <w:trHeight w:val="189" w:hRule="atLeast"/>
                        </w:trPr>
                        <w:tc>
                          <w:tcPr>
                            <w:tcW w:w="4365" w:type="dxa"/>
                            <w:tcBorders>
                              <w:bottom w:val="double" w:sz="8" w:space="0" w:color="000000"/>
                            </w:tcBorders>
                          </w:tcPr>
                          <w:p>
                            <w:pPr>
                              <w:pStyle w:val="TableParagraph"/>
                              <w:spacing w:line="170" w:lineRule="exact"/>
                              <w:ind w:left="142"/>
                              <w:rPr>
                                <w:b/>
                                <w:sz w:val="18"/>
                              </w:rPr>
                            </w:pPr>
                            <w:r>
                              <w:rPr>
                                <w:b/>
                                <w:sz w:val="18"/>
                              </w:rPr>
                              <w:t>(non-GAAP),</w:t>
                            </w:r>
                            <w:r>
                              <w:rPr>
                                <w:b/>
                                <w:spacing w:val="-4"/>
                                <w:sz w:val="18"/>
                              </w:rPr>
                              <w:t> </w:t>
                            </w:r>
                            <w:r>
                              <w:rPr>
                                <w:b/>
                                <w:sz w:val="18"/>
                              </w:rPr>
                              <w:t>Adjusted</w:t>
                            </w:r>
                            <w:r>
                              <w:rPr>
                                <w:b/>
                                <w:spacing w:val="-4"/>
                                <w:sz w:val="18"/>
                              </w:rPr>
                              <w:t> </w:t>
                            </w:r>
                            <w:r>
                              <w:rPr>
                                <w:b/>
                                <w:sz w:val="18"/>
                              </w:rPr>
                              <w:t>diluted</w:t>
                            </w:r>
                            <w:r>
                              <w:rPr>
                                <w:b/>
                                <w:spacing w:val="-4"/>
                                <w:sz w:val="18"/>
                              </w:rPr>
                              <w:t> </w:t>
                            </w:r>
                            <w:r>
                              <w:rPr>
                                <w:b/>
                                <w:sz w:val="18"/>
                              </w:rPr>
                              <w:t>EPS</w:t>
                            </w:r>
                            <w:r>
                              <w:rPr>
                                <w:b/>
                                <w:spacing w:val="-3"/>
                                <w:sz w:val="18"/>
                              </w:rPr>
                              <w:t> </w:t>
                            </w:r>
                            <w:r>
                              <w:rPr>
                                <w:b/>
                                <w:sz w:val="18"/>
                              </w:rPr>
                              <w:t>(non-</w:t>
                            </w:r>
                            <w:r>
                              <w:rPr>
                                <w:b/>
                                <w:spacing w:val="-4"/>
                                <w:sz w:val="18"/>
                              </w:rPr>
                              <w:t>GAAP)</w:t>
                            </w:r>
                          </w:p>
                        </w:tc>
                        <w:tc>
                          <w:tcPr>
                            <w:tcW w:w="244" w:type="dxa"/>
                            <w:tcBorders>
                              <w:bottom w:val="double" w:sz="8" w:space="0" w:color="000000"/>
                            </w:tcBorders>
                          </w:tcPr>
                          <w:p>
                            <w:pPr>
                              <w:pStyle w:val="TableParagraph"/>
                              <w:spacing w:line="170" w:lineRule="exact"/>
                              <w:ind w:left="82"/>
                              <w:rPr>
                                <w:sz w:val="18"/>
                              </w:rPr>
                            </w:pPr>
                            <w:r>
                              <w:rPr>
                                <w:spacing w:val="-10"/>
                                <w:sz w:val="18"/>
                              </w:rPr>
                              <w:t>$</w:t>
                            </w:r>
                          </w:p>
                        </w:tc>
                        <w:tc>
                          <w:tcPr>
                            <w:tcW w:w="825" w:type="dxa"/>
                            <w:tcBorders>
                              <w:bottom w:val="double" w:sz="8" w:space="0" w:color="000000"/>
                            </w:tcBorders>
                          </w:tcPr>
                          <w:p>
                            <w:pPr>
                              <w:pStyle w:val="TableParagraph"/>
                              <w:spacing w:line="170" w:lineRule="exact"/>
                              <w:ind w:left="71"/>
                              <w:rPr>
                                <w:sz w:val="18"/>
                              </w:rPr>
                            </w:pPr>
                            <w:r>
                              <w:rPr>
                                <w:sz w:val="18"/>
                              </w:rPr>
                              <w:t>1,410</w:t>
                            </w:r>
                            <w:r>
                              <w:rPr>
                                <w:spacing w:val="59"/>
                                <w:w w:val="150"/>
                                <w:sz w:val="18"/>
                              </w:rPr>
                              <w:t> </w:t>
                            </w:r>
                            <w:r>
                              <w:rPr>
                                <w:spacing w:val="-10"/>
                                <w:sz w:val="18"/>
                              </w:rPr>
                              <w:t>$</w:t>
                            </w:r>
                          </w:p>
                        </w:tc>
                        <w:tc>
                          <w:tcPr>
                            <w:tcW w:w="630" w:type="dxa"/>
                            <w:tcBorders>
                              <w:bottom w:val="double" w:sz="8" w:space="0" w:color="000000"/>
                            </w:tcBorders>
                          </w:tcPr>
                          <w:p>
                            <w:pPr>
                              <w:pStyle w:val="TableParagraph"/>
                              <w:spacing w:line="170" w:lineRule="exact"/>
                              <w:ind w:left="131"/>
                              <w:rPr>
                                <w:sz w:val="18"/>
                              </w:rPr>
                            </w:pPr>
                            <w:r>
                              <w:rPr>
                                <w:sz w:val="18"/>
                              </w:rPr>
                              <w:t>.77</w:t>
                            </w:r>
                            <w:r>
                              <w:rPr>
                                <w:spacing w:val="59"/>
                                <w:w w:val="150"/>
                                <w:sz w:val="18"/>
                              </w:rPr>
                              <w:t> </w:t>
                            </w:r>
                            <w:r>
                              <w:rPr>
                                <w:spacing w:val="-10"/>
                                <w:sz w:val="18"/>
                              </w:rPr>
                              <w:t>$</w:t>
                            </w:r>
                          </w:p>
                        </w:tc>
                        <w:tc>
                          <w:tcPr>
                            <w:tcW w:w="765" w:type="dxa"/>
                            <w:tcBorders>
                              <w:bottom w:val="double" w:sz="8" w:space="0" w:color="000000"/>
                            </w:tcBorders>
                          </w:tcPr>
                          <w:p>
                            <w:pPr>
                              <w:pStyle w:val="TableParagraph"/>
                              <w:spacing w:line="170" w:lineRule="exact"/>
                              <w:ind w:left="56"/>
                              <w:rPr>
                                <w:sz w:val="18"/>
                              </w:rPr>
                            </w:pPr>
                            <w:r>
                              <w:rPr>
                                <w:sz w:val="18"/>
                              </w:rPr>
                              <w:t>2,075</w:t>
                            </w:r>
                            <w:r>
                              <w:rPr>
                                <w:spacing w:val="59"/>
                                <w:w w:val="150"/>
                                <w:sz w:val="18"/>
                              </w:rPr>
                              <w:t> </w:t>
                            </w:r>
                            <w:r>
                              <w:rPr>
                                <w:spacing w:val="-10"/>
                                <w:sz w:val="18"/>
                              </w:rPr>
                              <w:t>$</w:t>
                            </w:r>
                          </w:p>
                        </w:tc>
                        <w:tc>
                          <w:tcPr>
                            <w:tcW w:w="495" w:type="dxa"/>
                            <w:tcBorders>
                              <w:bottom w:val="double" w:sz="8" w:space="0" w:color="000000"/>
                            </w:tcBorders>
                          </w:tcPr>
                          <w:p>
                            <w:pPr>
                              <w:pStyle w:val="TableParagraph"/>
                              <w:spacing w:line="170" w:lineRule="exact"/>
                              <w:ind w:left="86"/>
                              <w:rPr>
                                <w:sz w:val="18"/>
                              </w:rPr>
                            </w:pPr>
                            <w:r>
                              <w:rPr>
                                <w:spacing w:val="-4"/>
                                <w:sz w:val="18"/>
                              </w:rPr>
                              <w:t>1.10</w:t>
                            </w:r>
                          </w:p>
                        </w:tc>
                        <w:tc>
                          <w:tcPr>
                            <w:tcW w:w="990" w:type="dxa"/>
                            <w:tcBorders>
                              <w:bottom w:val="double" w:sz="8" w:space="0" w:color="000000"/>
                            </w:tcBorders>
                          </w:tcPr>
                          <w:p>
                            <w:pPr>
                              <w:pStyle w:val="TableParagraph"/>
                              <w:spacing w:line="170" w:lineRule="exact"/>
                              <w:ind w:left="93"/>
                              <w:rPr>
                                <w:sz w:val="18"/>
                              </w:rPr>
                            </w:pPr>
                            <w:r>
                              <w:rPr>
                                <w:sz w:val="18"/>
                              </w:rPr>
                              <w:t>$</w:t>
                            </w:r>
                            <w:r>
                              <w:rPr>
                                <w:spacing w:val="52"/>
                                <w:sz w:val="18"/>
                              </w:rPr>
                              <w:t> </w:t>
                            </w:r>
                            <w:r>
                              <w:rPr>
                                <w:sz w:val="18"/>
                              </w:rPr>
                              <w:t>4,493</w:t>
                            </w:r>
                            <w:r>
                              <w:rPr>
                                <w:spacing w:val="59"/>
                                <w:w w:val="150"/>
                                <w:sz w:val="18"/>
                              </w:rPr>
                              <w:t> </w:t>
                            </w:r>
                            <w:r>
                              <w:rPr>
                                <w:spacing w:val="-10"/>
                                <w:sz w:val="18"/>
                              </w:rPr>
                              <w:t>$</w:t>
                            </w:r>
                          </w:p>
                        </w:tc>
                        <w:tc>
                          <w:tcPr>
                            <w:tcW w:w="690" w:type="dxa"/>
                            <w:tcBorders>
                              <w:bottom w:val="double" w:sz="8" w:space="0" w:color="000000"/>
                            </w:tcBorders>
                          </w:tcPr>
                          <w:p>
                            <w:pPr>
                              <w:pStyle w:val="TableParagraph"/>
                              <w:spacing w:line="170" w:lineRule="exact"/>
                              <w:ind w:left="86"/>
                              <w:rPr>
                                <w:sz w:val="18"/>
                              </w:rPr>
                            </w:pPr>
                            <w:r>
                              <w:rPr>
                                <w:sz w:val="18"/>
                              </w:rPr>
                              <w:t>2.45</w:t>
                            </w:r>
                            <w:r>
                              <w:rPr>
                                <w:spacing w:val="59"/>
                                <w:w w:val="150"/>
                                <w:sz w:val="18"/>
                              </w:rPr>
                              <w:t> </w:t>
                            </w:r>
                            <w:r>
                              <w:rPr>
                                <w:spacing w:val="-10"/>
                                <w:sz w:val="18"/>
                              </w:rPr>
                              <w:t>$</w:t>
                            </w:r>
                          </w:p>
                        </w:tc>
                        <w:tc>
                          <w:tcPr>
                            <w:tcW w:w="780" w:type="dxa"/>
                            <w:tcBorders>
                              <w:bottom w:val="double" w:sz="8" w:space="0" w:color="000000"/>
                            </w:tcBorders>
                          </w:tcPr>
                          <w:p>
                            <w:pPr>
                              <w:pStyle w:val="TableParagraph"/>
                              <w:spacing w:line="170" w:lineRule="exact"/>
                              <w:ind w:left="71"/>
                              <w:rPr>
                                <w:sz w:val="18"/>
                              </w:rPr>
                            </w:pPr>
                            <w:r>
                              <w:rPr>
                                <w:sz w:val="18"/>
                              </w:rPr>
                              <w:t>5,382</w:t>
                            </w:r>
                            <w:r>
                              <w:rPr>
                                <w:spacing w:val="59"/>
                                <w:w w:val="150"/>
                                <w:sz w:val="18"/>
                              </w:rPr>
                              <w:t> </w:t>
                            </w:r>
                            <w:r>
                              <w:rPr>
                                <w:spacing w:val="-10"/>
                                <w:sz w:val="18"/>
                              </w:rPr>
                              <w:t>$</w:t>
                            </w:r>
                          </w:p>
                        </w:tc>
                        <w:tc>
                          <w:tcPr>
                            <w:tcW w:w="476" w:type="dxa"/>
                            <w:tcBorders>
                              <w:bottom w:val="double" w:sz="8" w:space="0" w:color="000000"/>
                            </w:tcBorders>
                          </w:tcPr>
                          <w:p>
                            <w:pPr>
                              <w:pStyle w:val="TableParagraph"/>
                              <w:spacing w:line="170" w:lineRule="exact"/>
                              <w:ind w:left="86"/>
                              <w:rPr>
                                <w:sz w:val="18"/>
                              </w:rPr>
                            </w:pPr>
                            <w:r>
                              <w:rPr>
                                <w:spacing w:val="-4"/>
                                <w:sz w:val="18"/>
                              </w:rPr>
                              <w:t>2.83</w:t>
                            </w:r>
                          </w:p>
                        </w:tc>
                      </w:tr>
                    </w:tbl>
                    <w:p>
                      <w:pPr>
                        <w:pStyle w:val="BodyText"/>
                      </w:pPr>
                    </w:p>
                  </w:txbxContent>
                </v:textbox>
                <w10:wrap type="none"/>
              </v:shape>
            </w:pict>
          </mc:Fallback>
        </mc:AlternateContent>
      </w:r>
      <w:r>
        <w:rPr>
          <w:sz w:val="16"/>
          <w:vertAlign w:val="superscript"/>
        </w:rPr>
        <w:t>(1)</w:t>
      </w:r>
      <w:r>
        <w:rPr>
          <w:spacing w:val="-3"/>
          <w:sz w:val="16"/>
          <w:vertAlign w:val="baseline"/>
        </w:rPr>
        <w:t> </w:t>
      </w:r>
      <w:r>
        <w:rPr>
          <w:sz w:val="16"/>
          <w:vertAlign w:val="baseline"/>
        </w:rPr>
        <w:t>The</w:t>
      </w:r>
      <w:r>
        <w:rPr>
          <w:spacing w:val="-2"/>
          <w:sz w:val="16"/>
          <w:vertAlign w:val="baseline"/>
        </w:rPr>
        <w:t> </w:t>
      </w:r>
      <w:r>
        <w:rPr>
          <w:sz w:val="16"/>
          <w:vertAlign w:val="baseline"/>
        </w:rPr>
        <w:t>income</w:t>
      </w:r>
      <w:r>
        <w:rPr>
          <w:spacing w:val="-2"/>
          <w:sz w:val="16"/>
          <w:vertAlign w:val="baseline"/>
        </w:rPr>
        <w:t> </w:t>
      </w:r>
      <w:r>
        <w:rPr>
          <w:sz w:val="16"/>
          <w:vertAlign w:val="baseline"/>
        </w:rPr>
        <w:t>tax</w:t>
      </w:r>
      <w:r>
        <w:rPr>
          <w:spacing w:val="-2"/>
          <w:sz w:val="16"/>
          <w:vertAlign w:val="baseline"/>
        </w:rPr>
        <w:t> </w:t>
      </w:r>
      <w:r>
        <w:rPr>
          <w:sz w:val="16"/>
          <w:vertAlign w:val="baseline"/>
        </w:rPr>
        <w:t>effects</w:t>
      </w:r>
      <w:r>
        <w:rPr>
          <w:spacing w:val="-3"/>
          <w:sz w:val="16"/>
          <w:vertAlign w:val="baseline"/>
        </w:rPr>
        <w:t> </w:t>
      </w:r>
      <w:r>
        <w:rPr>
          <w:sz w:val="16"/>
          <w:vertAlign w:val="baseline"/>
        </w:rPr>
        <w:t>of</w:t>
      </w:r>
      <w:r>
        <w:rPr>
          <w:spacing w:val="-2"/>
          <w:sz w:val="16"/>
          <w:vertAlign w:val="baseline"/>
        </w:rPr>
        <w:t> </w:t>
      </w:r>
      <w:r>
        <w:rPr>
          <w:sz w:val="16"/>
          <w:vertAlign w:val="baseline"/>
        </w:rPr>
        <w:t>the</w:t>
      </w:r>
      <w:r>
        <w:rPr>
          <w:spacing w:val="-2"/>
          <w:sz w:val="16"/>
          <w:vertAlign w:val="baseline"/>
        </w:rPr>
        <w:t> </w:t>
      </w:r>
      <w:r>
        <w:rPr>
          <w:sz w:val="16"/>
          <w:vertAlign w:val="baseline"/>
        </w:rPr>
        <w:t>non-GAAP</w:t>
      </w:r>
      <w:r>
        <w:rPr>
          <w:spacing w:val="-3"/>
          <w:sz w:val="16"/>
          <w:vertAlign w:val="baseline"/>
        </w:rPr>
        <w:t> </w:t>
      </w:r>
      <w:r>
        <w:rPr>
          <w:sz w:val="16"/>
          <w:vertAlign w:val="baseline"/>
        </w:rPr>
        <w:t>adjustments</w:t>
      </w:r>
      <w:r>
        <w:rPr>
          <w:spacing w:val="-3"/>
          <w:sz w:val="16"/>
          <w:vertAlign w:val="baseline"/>
        </w:rPr>
        <w:t> </w:t>
      </w:r>
      <w:r>
        <w:rPr>
          <w:sz w:val="16"/>
          <w:vertAlign w:val="baseline"/>
        </w:rPr>
        <w:t>are</w:t>
      </w:r>
      <w:r>
        <w:rPr>
          <w:spacing w:val="-2"/>
          <w:sz w:val="16"/>
          <w:vertAlign w:val="baseline"/>
        </w:rPr>
        <w:t> </w:t>
      </w:r>
      <w:r>
        <w:rPr>
          <w:sz w:val="16"/>
          <w:vertAlign w:val="baseline"/>
        </w:rPr>
        <w:t>determined</w:t>
      </w:r>
      <w:r>
        <w:rPr>
          <w:spacing w:val="-2"/>
          <w:sz w:val="16"/>
          <w:vertAlign w:val="baseline"/>
        </w:rPr>
        <w:t> </w:t>
      </w:r>
      <w:r>
        <w:rPr>
          <w:sz w:val="16"/>
          <w:vertAlign w:val="baseline"/>
        </w:rPr>
        <w:t>using</w:t>
      </w:r>
      <w:r>
        <w:rPr>
          <w:spacing w:val="-2"/>
          <w:sz w:val="16"/>
          <w:vertAlign w:val="baseline"/>
        </w:rPr>
        <w:t> </w:t>
      </w:r>
      <w:r>
        <w:rPr>
          <w:sz w:val="16"/>
          <w:vertAlign w:val="baseline"/>
        </w:rPr>
        <w:t>an</w:t>
      </w:r>
      <w:r>
        <w:rPr>
          <w:spacing w:val="-2"/>
          <w:sz w:val="16"/>
          <w:vertAlign w:val="baseline"/>
        </w:rPr>
        <w:t> </w:t>
      </w:r>
      <w:r>
        <w:rPr>
          <w:sz w:val="16"/>
          <w:vertAlign w:val="baseline"/>
        </w:rPr>
        <w:t>effective</w:t>
      </w:r>
      <w:r>
        <w:rPr>
          <w:spacing w:val="-2"/>
          <w:sz w:val="16"/>
          <w:vertAlign w:val="baseline"/>
        </w:rPr>
        <w:t> </w:t>
      </w:r>
      <w:r>
        <w:rPr>
          <w:sz w:val="16"/>
          <w:vertAlign w:val="baseline"/>
        </w:rPr>
        <w:t>tax</w:t>
      </w:r>
      <w:r>
        <w:rPr>
          <w:spacing w:val="-2"/>
          <w:sz w:val="16"/>
          <w:vertAlign w:val="baseline"/>
        </w:rPr>
        <w:t> </w:t>
      </w:r>
      <w:r>
        <w:rPr>
          <w:sz w:val="16"/>
          <w:vertAlign w:val="baseline"/>
        </w:rPr>
        <w:t>rate</w:t>
      </w:r>
      <w:r>
        <w:rPr>
          <w:spacing w:val="-2"/>
          <w:sz w:val="16"/>
          <w:vertAlign w:val="baseline"/>
        </w:rPr>
        <w:t> </w:t>
      </w:r>
      <w:r>
        <w:rPr>
          <w:sz w:val="16"/>
          <w:vertAlign w:val="baseline"/>
        </w:rPr>
        <w:t>reflecting</w:t>
      </w:r>
      <w:r>
        <w:rPr>
          <w:spacing w:val="-2"/>
          <w:sz w:val="16"/>
          <w:vertAlign w:val="baseline"/>
        </w:rPr>
        <w:t> </w:t>
      </w:r>
      <w:r>
        <w:rPr>
          <w:sz w:val="16"/>
          <w:vertAlign w:val="baseline"/>
        </w:rPr>
        <w:t>the</w:t>
      </w:r>
      <w:r>
        <w:rPr>
          <w:spacing w:val="-2"/>
          <w:sz w:val="16"/>
          <w:vertAlign w:val="baseline"/>
        </w:rPr>
        <w:t> </w:t>
      </w:r>
      <w:r>
        <w:rPr>
          <w:sz w:val="16"/>
          <w:vertAlign w:val="baseline"/>
        </w:rPr>
        <w:t>exclusion</w:t>
      </w:r>
      <w:r>
        <w:rPr>
          <w:spacing w:val="-2"/>
          <w:sz w:val="16"/>
          <w:vertAlign w:val="baseline"/>
        </w:rPr>
        <w:t> </w:t>
      </w:r>
      <w:r>
        <w:rPr>
          <w:sz w:val="16"/>
          <w:vertAlign w:val="baseline"/>
        </w:rPr>
        <w:t>of</w:t>
      </w:r>
      <w:r>
        <w:rPr>
          <w:spacing w:val="-2"/>
          <w:sz w:val="16"/>
          <w:vertAlign w:val="baseline"/>
        </w:rPr>
        <w:t> </w:t>
      </w:r>
      <w:r>
        <w:rPr>
          <w:sz w:val="16"/>
          <w:vertAlign w:val="baseline"/>
        </w:rPr>
        <w:t>non-deductible</w:t>
      </w:r>
      <w:r>
        <w:rPr>
          <w:spacing w:val="-2"/>
          <w:sz w:val="16"/>
          <w:vertAlign w:val="baseline"/>
        </w:rPr>
        <w:t> </w:t>
      </w:r>
      <w:r>
        <w:rPr>
          <w:sz w:val="16"/>
          <w:vertAlign w:val="baseline"/>
        </w:rPr>
        <w:t>acquisition</w:t>
      </w:r>
      <w:r>
        <w:rPr>
          <w:spacing w:val="-2"/>
          <w:sz w:val="16"/>
          <w:vertAlign w:val="baseline"/>
        </w:rPr>
        <w:t> </w:t>
      </w:r>
      <w:r>
        <w:rPr>
          <w:sz w:val="16"/>
          <w:vertAlign w:val="baseline"/>
        </w:rPr>
        <w:t>costs</w:t>
      </w:r>
      <w:r>
        <w:rPr>
          <w:spacing w:val="40"/>
          <w:sz w:val="16"/>
          <w:vertAlign w:val="baseline"/>
        </w:rPr>
        <w:t> </w:t>
      </w:r>
      <w:r>
        <w:rPr>
          <w:sz w:val="16"/>
          <w:vertAlign w:val="baseline"/>
        </w:rPr>
        <w:t>and</w:t>
      </w:r>
      <w:r>
        <w:rPr>
          <w:spacing w:val="-3"/>
          <w:sz w:val="16"/>
          <w:vertAlign w:val="baseline"/>
        </w:rPr>
        <w:t> </w:t>
      </w:r>
      <w:r>
        <w:rPr>
          <w:sz w:val="16"/>
          <w:vertAlign w:val="baseline"/>
        </w:rPr>
        <w:t>are used</w:t>
      </w:r>
      <w:r>
        <w:rPr>
          <w:spacing w:val="-1"/>
          <w:sz w:val="16"/>
          <w:vertAlign w:val="baseline"/>
        </w:rPr>
        <w:t> </w:t>
      </w:r>
      <w:r>
        <w:rPr>
          <w:sz w:val="16"/>
          <w:vertAlign w:val="baseline"/>
        </w:rPr>
        <w:t>to present</w:t>
      </w:r>
      <w:r>
        <w:rPr>
          <w:spacing w:val="-1"/>
          <w:sz w:val="16"/>
          <w:vertAlign w:val="baseline"/>
        </w:rPr>
        <w:t> </w:t>
      </w:r>
      <w:r>
        <w:rPr>
          <w:sz w:val="16"/>
          <w:vertAlign w:val="baseline"/>
        </w:rPr>
        <w:t>the acquisition and</w:t>
      </w:r>
      <w:r>
        <w:rPr>
          <w:spacing w:val="-1"/>
          <w:sz w:val="16"/>
          <w:vertAlign w:val="baseline"/>
        </w:rPr>
        <w:t> </w:t>
      </w:r>
      <w:r>
        <w:rPr>
          <w:sz w:val="16"/>
          <w:vertAlign w:val="baseline"/>
        </w:rPr>
        <w:t>integration-related costs,</w:t>
      </w:r>
      <w:r>
        <w:rPr>
          <w:spacing w:val="-1"/>
          <w:sz w:val="16"/>
          <w:vertAlign w:val="baseline"/>
        </w:rPr>
        <w:t> </w:t>
      </w:r>
      <w:r>
        <w:rPr>
          <w:sz w:val="16"/>
          <w:vertAlign w:val="baseline"/>
        </w:rPr>
        <w:t>amortization of</w:t>
      </w:r>
      <w:r>
        <w:rPr>
          <w:spacing w:val="-1"/>
          <w:sz w:val="16"/>
          <w:vertAlign w:val="baseline"/>
        </w:rPr>
        <w:t> </w:t>
      </w:r>
      <w:r>
        <w:rPr>
          <w:sz w:val="16"/>
          <w:vertAlign w:val="baseline"/>
        </w:rPr>
        <w:t>acquired intangible</w:t>
      </w:r>
      <w:r>
        <w:rPr>
          <w:spacing w:val="-1"/>
          <w:sz w:val="16"/>
          <w:vertAlign w:val="baseline"/>
        </w:rPr>
        <w:t> </w:t>
      </w:r>
      <w:r>
        <w:rPr>
          <w:sz w:val="16"/>
          <w:vertAlign w:val="baseline"/>
        </w:rPr>
        <w:t>assets</w:t>
      </w:r>
      <w:r>
        <w:rPr>
          <w:spacing w:val="-1"/>
          <w:sz w:val="16"/>
          <w:vertAlign w:val="baseline"/>
        </w:rPr>
        <w:t> </w:t>
      </w:r>
      <w:r>
        <w:rPr>
          <w:sz w:val="16"/>
          <w:vertAlign w:val="baseline"/>
        </w:rPr>
        <w:t>and restructuring</w:t>
      </w:r>
      <w:r>
        <w:rPr>
          <w:spacing w:val="-1"/>
          <w:sz w:val="16"/>
          <w:vertAlign w:val="baseline"/>
        </w:rPr>
        <w:t> </w:t>
      </w:r>
      <w:r>
        <w:rPr>
          <w:sz w:val="16"/>
          <w:vertAlign w:val="baseline"/>
        </w:rPr>
        <w:t>costs</w:t>
      </w:r>
      <w:r>
        <w:rPr>
          <w:spacing w:val="-1"/>
          <w:sz w:val="16"/>
          <w:vertAlign w:val="baseline"/>
        </w:rPr>
        <w:t> </w:t>
      </w:r>
      <w:r>
        <w:rPr>
          <w:sz w:val="16"/>
          <w:vertAlign w:val="baseline"/>
        </w:rPr>
        <w:t>on</w:t>
      </w:r>
      <w:r>
        <w:rPr>
          <w:spacing w:val="-1"/>
          <w:sz w:val="16"/>
          <w:vertAlign w:val="baseline"/>
        </w:rPr>
        <w:t> </w:t>
      </w:r>
      <w:r>
        <w:rPr>
          <w:sz w:val="16"/>
          <w:vertAlign w:val="baseline"/>
        </w:rPr>
        <w:t>an after-tax </w:t>
      </w:r>
      <w:r>
        <w:rPr>
          <w:spacing w:val="-2"/>
          <w:sz w:val="16"/>
          <w:vertAlign w:val="baseline"/>
        </w:rPr>
        <w:t>basis.</w:t>
      </w:r>
    </w:p>
    <w:p>
      <w:pPr>
        <w:tabs>
          <w:tab w:pos="7171" w:val="left" w:leader="none"/>
          <w:tab w:pos="8547" w:val="left" w:leader="none"/>
          <w:tab w:pos="10242" w:val="right" w:leader="none"/>
        </w:tabs>
        <w:spacing w:line="295" w:lineRule="auto" w:before="310"/>
        <w:ind w:left="5813" w:right="535" w:hanging="473"/>
        <w:jc w:val="left"/>
        <w:rPr>
          <w:sz w:val="18"/>
        </w:rPr>
      </w:pPr>
      <w:r>
        <w:rPr/>
        <mc:AlternateContent>
          <mc:Choice Requires="wps">
            <w:drawing>
              <wp:anchor distT="0" distB="0" distL="0" distR="0" allowOverlap="1" layoutInCell="1" locked="0" behindDoc="0" simplePos="0" relativeHeight="15742464">
                <wp:simplePos x="0" y="0"/>
                <wp:positionH relativeFrom="page">
                  <wp:posOffset>628650</wp:posOffset>
                </wp:positionH>
                <wp:positionV relativeFrom="paragraph">
                  <wp:posOffset>182465</wp:posOffset>
                </wp:positionV>
                <wp:extent cx="6515100" cy="635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6515100" cy="6350"/>
                          <a:chExt cx="6515100" cy="6350"/>
                        </a:xfrm>
                      </wpg:grpSpPr>
                      <wps:wsp>
                        <wps:cNvPr id="109" name="Graphic 109"/>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110" name="Graphic 110"/>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14.367383pt;width:513pt;height:.5pt;mso-position-horizontal-relative:page;mso-position-vertical-relative:paragraph;z-index:15742464" id="docshapegroup77" coordorigin="990,287" coordsize="10260,10">
                <v:shape style="position:absolute;left:990;top:292;width:10260;height:2" id="docshape78" coordorigin="990,292" coordsize="10260,0" path="m11250,292l990,292e" filled="true" fillcolor="#000000" stroked="false">
                  <v:path arrowok="t"/>
                  <v:fill opacity="0f" type="solid"/>
                </v:shape>
                <v:line style="position:absolute" from="990,292" to="11250,292" stroked="true" strokeweight=".5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3686175</wp:posOffset>
                </wp:positionH>
                <wp:positionV relativeFrom="paragraph">
                  <wp:posOffset>344390</wp:posOffset>
                </wp:positionV>
                <wp:extent cx="3457575" cy="635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3457575" cy="6350"/>
                          <a:chExt cx="3457575" cy="6350"/>
                        </a:xfrm>
                      </wpg:grpSpPr>
                      <wps:wsp>
                        <wps:cNvPr id="112" name="Graphic 112"/>
                        <wps:cNvSpPr/>
                        <wps:spPr>
                          <a:xfrm>
                            <a:off x="0" y="3175"/>
                            <a:ext cx="1724025" cy="1270"/>
                          </a:xfrm>
                          <a:custGeom>
                            <a:avLst/>
                            <a:gdLst/>
                            <a:ahLst/>
                            <a:cxnLst/>
                            <a:rect l="l" t="t" r="r" b="b"/>
                            <a:pathLst>
                              <a:path w="1724025" h="0">
                                <a:moveTo>
                                  <a:pt x="1724025" y="0"/>
                                </a:moveTo>
                                <a:lnTo>
                                  <a:pt x="0" y="0"/>
                                </a:lnTo>
                              </a:path>
                            </a:pathLst>
                          </a:custGeom>
                          <a:solidFill>
                            <a:srgbClr val="000000"/>
                          </a:solidFill>
                        </wps:spPr>
                        <wps:bodyPr wrap="square" lIns="0" tIns="0" rIns="0" bIns="0" rtlCol="0">
                          <a:prstTxWarp prst="textNoShape">
                            <a:avLst/>
                          </a:prstTxWarp>
                          <a:noAutofit/>
                        </wps:bodyPr>
                      </wps:wsp>
                      <wps:wsp>
                        <wps:cNvPr id="113" name="Graphic 113"/>
                        <wps:cNvSpPr/>
                        <wps:spPr>
                          <a:xfrm>
                            <a:off x="0" y="3175"/>
                            <a:ext cx="1724025" cy="1270"/>
                          </a:xfrm>
                          <a:custGeom>
                            <a:avLst/>
                            <a:gdLst/>
                            <a:ahLst/>
                            <a:cxnLst/>
                            <a:rect l="l" t="t" r="r" b="b"/>
                            <a:pathLst>
                              <a:path w="1724025" h="0">
                                <a:moveTo>
                                  <a:pt x="0" y="0"/>
                                </a:moveTo>
                                <a:lnTo>
                                  <a:pt x="1724025" y="0"/>
                                </a:lnTo>
                              </a:path>
                            </a:pathLst>
                          </a:custGeom>
                          <a:ln w="6350">
                            <a:solidFill>
                              <a:srgbClr val="000000"/>
                            </a:solidFill>
                            <a:prstDash val="solid"/>
                          </a:ln>
                        </wps:spPr>
                        <wps:bodyPr wrap="square" lIns="0" tIns="0" rIns="0" bIns="0" rtlCol="0">
                          <a:prstTxWarp prst="textNoShape">
                            <a:avLst/>
                          </a:prstTxWarp>
                          <a:noAutofit/>
                        </wps:bodyPr>
                      </wps:wsp>
                      <wps:wsp>
                        <wps:cNvPr id="114" name="Graphic 114"/>
                        <wps:cNvSpPr/>
                        <wps:spPr>
                          <a:xfrm>
                            <a:off x="1762125" y="3175"/>
                            <a:ext cx="1695450" cy="1270"/>
                          </a:xfrm>
                          <a:custGeom>
                            <a:avLst/>
                            <a:gdLst/>
                            <a:ahLst/>
                            <a:cxnLst/>
                            <a:rect l="l" t="t" r="r" b="b"/>
                            <a:pathLst>
                              <a:path w="1695450" h="0">
                                <a:moveTo>
                                  <a:pt x="1695450" y="0"/>
                                </a:moveTo>
                                <a:lnTo>
                                  <a:pt x="0" y="0"/>
                                </a:lnTo>
                              </a:path>
                            </a:pathLst>
                          </a:custGeom>
                          <a:solidFill>
                            <a:srgbClr val="000000"/>
                          </a:solidFill>
                        </wps:spPr>
                        <wps:bodyPr wrap="square" lIns="0" tIns="0" rIns="0" bIns="0" rtlCol="0">
                          <a:prstTxWarp prst="textNoShape">
                            <a:avLst/>
                          </a:prstTxWarp>
                          <a:noAutofit/>
                        </wps:bodyPr>
                      </wps:wsp>
                      <wps:wsp>
                        <wps:cNvPr id="115" name="Graphic 115"/>
                        <wps:cNvSpPr/>
                        <wps:spPr>
                          <a:xfrm>
                            <a:off x="1762125" y="3175"/>
                            <a:ext cx="1695450" cy="1270"/>
                          </a:xfrm>
                          <a:custGeom>
                            <a:avLst/>
                            <a:gdLst/>
                            <a:ahLst/>
                            <a:cxnLst/>
                            <a:rect l="l" t="t" r="r" b="b"/>
                            <a:pathLst>
                              <a:path w="1695450" h="0">
                                <a:moveTo>
                                  <a:pt x="0" y="0"/>
                                </a:moveTo>
                                <a:lnTo>
                                  <a:pt x="169545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0.25pt;margin-top:27.117382pt;width:272.25pt;height:.5pt;mso-position-horizontal-relative:page;mso-position-vertical-relative:paragraph;z-index:15742976" id="docshapegroup79" coordorigin="5805,542" coordsize="5445,10">
                <v:shape style="position:absolute;left:5805;top:547;width:2715;height:2" id="docshape80" coordorigin="5805,547" coordsize="2715,0" path="m8520,547l5805,547e" filled="true" fillcolor="#000000" stroked="false">
                  <v:path arrowok="t"/>
                  <v:fill opacity="0f" type="solid"/>
                </v:shape>
                <v:line style="position:absolute" from="5805,547" to="8520,547" stroked="true" strokeweight=".5pt" strokecolor="#000000">
                  <v:stroke dashstyle="solid"/>
                </v:line>
                <v:shape style="position:absolute;left:8580;top:547;width:2670;height:2" id="docshape81" coordorigin="8580,547" coordsize="2670,0" path="m11250,547l8580,547e" filled="true" fillcolor="#000000" stroked="false">
                  <v:path arrowok="t"/>
                  <v:fill opacity="0f" type="solid"/>
                </v:shape>
                <v:line style="position:absolute" from="8580,547" to="11250,547" stroked="true" strokeweight=".5pt" strokecolor="#000000">
                  <v:stroke dashstyle="solid"/>
                </v:line>
                <w10:wrap type="none"/>
              </v:group>
            </w:pict>
          </mc:Fallback>
        </mc:AlternateContent>
      </w:r>
      <w:r>
        <w:rPr>
          <w:sz w:val="18"/>
        </w:rPr>
        <w:t>Three</w:t>
      </w:r>
      <w:r>
        <w:rPr>
          <w:spacing w:val="-3"/>
          <w:sz w:val="18"/>
        </w:rPr>
        <w:t> </w:t>
      </w:r>
      <w:r>
        <w:rPr>
          <w:sz w:val="18"/>
        </w:rPr>
        <w:t>Months</w:t>
      </w:r>
      <w:r>
        <w:rPr>
          <w:spacing w:val="-4"/>
          <w:sz w:val="18"/>
        </w:rPr>
        <w:t> </w:t>
      </w:r>
      <w:r>
        <w:rPr>
          <w:sz w:val="18"/>
        </w:rPr>
        <w:t>Ended</w:t>
      </w:r>
      <w:r>
        <w:rPr>
          <w:spacing w:val="-3"/>
          <w:sz w:val="18"/>
        </w:rPr>
        <w:t> </w:t>
      </w:r>
      <w:r>
        <w:rPr>
          <w:sz w:val="18"/>
        </w:rPr>
        <w:t>September</w:t>
      </w:r>
      <w:r>
        <w:rPr>
          <w:spacing w:val="-3"/>
          <w:sz w:val="18"/>
        </w:rPr>
        <w:t> </w:t>
      </w:r>
      <w:r>
        <w:rPr>
          <w:sz w:val="18"/>
        </w:rPr>
        <w:t>30,</w:t>
      </w:r>
      <w:r>
        <w:rPr>
          <w:spacing w:val="80"/>
          <w:w w:val="150"/>
          <w:sz w:val="18"/>
        </w:rPr>
        <w:t> </w:t>
      </w:r>
      <w:r>
        <w:rPr>
          <w:sz w:val="18"/>
        </w:rPr>
        <w:t>Nine</w:t>
      </w:r>
      <w:r>
        <w:rPr>
          <w:spacing w:val="-3"/>
          <w:sz w:val="18"/>
        </w:rPr>
        <w:t> </w:t>
      </w:r>
      <w:r>
        <w:rPr>
          <w:sz w:val="18"/>
        </w:rPr>
        <w:t>Months</w:t>
      </w:r>
      <w:r>
        <w:rPr>
          <w:spacing w:val="-4"/>
          <w:sz w:val="18"/>
        </w:rPr>
        <w:t> </w:t>
      </w:r>
      <w:r>
        <w:rPr>
          <w:sz w:val="18"/>
        </w:rPr>
        <w:t>Ended</w:t>
      </w:r>
      <w:r>
        <w:rPr>
          <w:spacing w:val="-3"/>
          <w:sz w:val="18"/>
        </w:rPr>
        <w:t> </w:t>
      </w:r>
      <w:r>
        <w:rPr>
          <w:sz w:val="18"/>
        </w:rPr>
        <w:t>September</w:t>
      </w:r>
      <w:r>
        <w:rPr>
          <w:spacing w:val="-3"/>
          <w:sz w:val="18"/>
        </w:rPr>
        <w:t> </w:t>
      </w:r>
      <w:r>
        <w:rPr>
          <w:sz w:val="18"/>
        </w:rPr>
        <w:t>30, </w:t>
      </w:r>
      <w:r>
        <w:rPr>
          <w:spacing w:val="-4"/>
          <w:sz w:val="18"/>
        </w:rPr>
        <w:t>2023</w:t>
      </w:r>
      <w:r>
        <w:rPr>
          <w:sz w:val="18"/>
        </w:rPr>
        <w:tab/>
      </w:r>
      <w:r>
        <w:rPr>
          <w:spacing w:val="-4"/>
          <w:sz w:val="18"/>
        </w:rPr>
        <w:t>2022</w:t>
      </w:r>
      <w:r>
        <w:rPr>
          <w:sz w:val="18"/>
        </w:rPr>
        <w:tab/>
      </w:r>
      <w:r>
        <w:rPr>
          <w:spacing w:val="-4"/>
          <w:sz w:val="18"/>
        </w:rPr>
        <w:t>2023</w:t>
      </w:r>
      <w:r>
        <w:rPr>
          <w:sz w:val="18"/>
        </w:rPr>
        <w:tab/>
      </w:r>
      <w:r>
        <w:rPr>
          <w:spacing w:val="-4"/>
          <w:sz w:val="18"/>
        </w:rPr>
        <w:t>2022</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7"/>
        <w:gridCol w:w="1436"/>
        <w:gridCol w:w="1364"/>
        <w:gridCol w:w="1364"/>
        <w:gridCol w:w="1345"/>
      </w:tblGrid>
      <w:tr>
        <w:trPr>
          <w:trHeight w:val="250" w:hRule="atLeast"/>
        </w:trPr>
        <w:tc>
          <w:tcPr>
            <w:tcW w:w="4747" w:type="dxa"/>
            <w:tcBorders>
              <w:top w:val="single" w:sz="4" w:space="0" w:color="000000"/>
            </w:tcBorders>
            <w:shd w:val="clear" w:color="auto" w:fill="CCEDFF"/>
          </w:tcPr>
          <w:p>
            <w:pPr>
              <w:pStyle w:val="TableParagraph"/>
              <w:spacing w:line="203" w:lineRule="exact"/>
              <w:ind w:left="52"/>
              <w:rPr>
                <w:b/>
                <w:sz w:val="18"/>
              </w:rPr>
            </w:pPr>
            <w:r>
              <w:rPr>
                <w:b/>
                <w:sz w:val="18"/>
              </w:rPr>
              <w:t>Return</w:t>
            </w:r>
            <w:r>
              <w:rPr>
                <w:b/>
                <w:spacing w:val="-3"/>
                <w:sz w:val="18"/>
              </w:rPr>
              <w:t> </w:t>
            </w:r>
            <w:r>
              <w:rPr>
                <w:b/>
                <w:sz w:val="18"/>
              </w:rPr>
              <w:t>on</w:t>
            </w:r>
            <w:r>
              <w:rPr>
                <w:b/>
                <w:spacing w:val="-2"/>
                <w:sz w:val="18"/>
              </w:rPr>
              <w:t> </w:t>
            </w:r>
            <w:r>
              <w:rPr>
                <w:b/>
                <w:sz w:val="18"/>
              </w:rPr>
              <w:t>average</w:t>
            </w:r>
            <w:r>
              <w:rPr>
                <w:b/>
                <w:spacing w:val="-2"/>
                <w:sz w:val="18"/>
              </w:rPr>
              <w:t> </w:t>
            </w:r>
            <w:r>
              <w:rPr>
                <w:b/>
                <w:sz w:val="18"/>
              </w:rPr>
              <w:t>common</w:t>
            </w:r>
            <w:r>
              <w:rPr>
                <w:b/>
                <w:spacing w:val="-2"/>
                <w:sz w:val="18"/>
              </w:rPr>
              <w:t> </w:t>
            </w:r>
            <w:r>
              <w:rPr>
                <w:b/>
                <w:sz w:val="18"/>
              </w:rPr>
              <w:t>stockholders’</w:t>
            </w:r>
            <w:r>
              <w:rPr>
                <w:b/>
                <w:spacing w:val="-2"/>
                <w:sz w:val="18"/>
              </w:rPr>
              <w:t> </w:t>
            </w:r>
            <w:r>
              <w:rPr>
                <w:b/>
                <w:sz w:val="18"/>
              </w:rPr>
              <w:t>equity</w:t>
            </w:r>
            <w:r>
              <w:rPr>
                <w:b/>
                <w:spacing w:val="-1"/>
                <w:sz w:val="18"/>
              </w:rPr>
              <w:t> </w:t>
            </w:r>
            <w:r>
              <w:rPr>
                <w:b/>
                <w:spacing w:val="-2"/>
                <w:sz w:val="18"/>
              </w:rPr>
              <w:t>(GAAP)</w:t>
            </w:r>
          </w:p>
        </w:tc>
        <w:tc>
          <w:tcPr>
            <w:tcW w:w="1436" w:type="dxa"/>
            <w:tcBorders>
              <w:top w:val="single" w:sz="4" w:space="0" w:color="000000"/>
            </w:tcBorders>
            <w:shd w:val="clear" w:color="auto" w:fill="CCEDFF"/>
          </w:tcPr>
          <w:p>
            <w:pPr>
              <w:pStyle w:val="TableParagraph"/>
              <w:spacing w:line="203" w:lineRule="exact"/>
              <w:ind w:right="60"/>
              <w:jc w:val="right"/>
              <w:rPr>
                <w:sz w:val="18"/>
              </w:rPr>
            </w:pPr>
            <w:r>
              <w:rPr>
                <w:spacing w:val="-5"/>
                <w:sz w:val="18"/>
              </w:rPr>
              <w:t>14%</w:t>
            </w:r>
          </w:p>
        </w:tc>
        <w:tc>
          <w:tcPr>
            <w:tcW w:w="1364" w:type="dxa"/>
            <w:tcBorders>
              <w:top w:val="single" w:sz="4" w:space="0" w:color="000000"/>
            </w:tcBorders>
            <w:shd w:val="clear" w:color="auto" w:fill="CCEDFF"/>
          </w:tcPr>
          <w:p>
            <w:pPr>
              <w:pStyle w:val="TableParagraph"/>
              <w:spacing w:line="203" w:lineRule="exact"/>
              <w:ind w:right="89"/>
              <w:jc w:val="right"/>
              <w:rPr>
                <w:sz w:val="18"/>
              </w:rPr>
            </w:pPr>
            <w:r>
              <w:rPr>
                <w:spacing w:val="-5"/>
                <w:sz w:val="18"/>
              </w:rPr>
              <w:t>25%</w:t>
            </w:r>
          </w:p>
        </w:tc>
        <w:tc>
          <w:tcPr>
            <w:tcW w:w="1364" w:type="dxa"/>
            <w:tcBorders>
              <w:top w:val="single" w:sz="4" w:space="0" w:color="000000"/>
            </w:tcBorders>
            <w:shd w:val="clear" w:color="auto" w:fill="CCEDFF"/>
          </w:tcPr>
          <w:p>
            <w:pPr>
              <w:pStyle w:val="TableParagraph"/>
              <w:spacing w:line="203" w:lineRule="exact"/>
              <w:ind w:right="58"/>
              <w:jc w:val="right"/>
              <w:rPr>
                <w:sz w:val="18"/>
              </w:rPr>
            </w:pPr>
            <w:r>
              <w:rPr>
                <w:spacing w:val="-5"/>
                <w:sz w:val="18"/>
              </w:rPr>
              <w:t>18%</w:t>
            </w:r>
          </w:p>
        </w:tc>
        <w:tc>
          <w:tcPr>
            <w:tcW w:w="1345" w:type="dxa"/>
            <w:tcBorders>
              <w:top w:val="single" w:sz="4" w:space="0" w:color="000000"/>
            </w:tcBorders>
            <w:shd w:val="clear" w:color="auto" w:fill="CCEDFF"/>
          </w:tcPr>
          <w:p>
            <w:pPr>
              <w:pStyle w:val="TableParagraph"/>
              <w:spacing w:line="203" w:lineRule="exact"/>
              <w:ind w:right="68"/>
              <w:jc w:val="right"/>
              <w:rPr>
                <w:sz w:val="18"/>
              </w:rPr>
            </w:pPr>
            <w:r>
              <w:rPr>
                <w:spacing w:val="-5"/>
                <w:sz w:val="18"/>
              </w:rPr>
              <w:t>18%</w:t>
            </w:r>
          </w:p>
        </w:tc>
      </w:tr>
      <w:tr>
        <w:trPr>
          <w:trHeight w:val="255" w:hRule="atLeast"/>
        </w:trPr>
        <w:tc>
          <w:tcPr>
            <w:tcW w:w="4747" w:type="dxa"/>
          </w:tcPr>
          <w:p>
            <w:pPr>
              <w:pStyle w:val="TableParagraph"/>
              <w:spacing w:before="1"/>
              <w:ind w:left="187"/>
              <w:rPr>
                <w:sz w:val="18"/>
              </w:rPr>
            </w:pPr>
            <w:r>
              <w:rPr>
                <w:sz w:val="18"/>
              </w:rPr>
              <w:t>Average</w:t>
            </w:r>
            <w:r>
              <w:rPr>
                <w:spacing w:val="-1"/>
                <w:sz w:val="18"/>
              </w:rPr>
              <w:t> </w:t>
            </w:r>
            <w:r>
              <w:rPr>
                <w:sz w:val="18"/>
              </w:rPr>
              <w:t>common</w:t>
            </w:r>
            <w:r>
              <w:rPr>
                <w:spacing w:val="-1"/>
                <w:sz w:val="18"/>
              </w:rPr>
              <w:t> </w:t>
            </w:r>
            <w:r>
              <w:rPr>
                <w:sz w:val="18"/>
              </w:rPr>
              <w:t>stockholders’</w:t>
            </w:r>
            <w:r>
              <w:rPr>
                <w:spacing w:val="-1"/>
                <w:sz w:val="18"/>
              </w:rPr>
              <w:t> </w:t>
            </w:r>
            <w:r>
              <w:rPr>
                <w:spacing w:val="-2"/>
                <w:sz w:val="18"/>
              </w:rPr>
              <w:t>equity</w:t>
            </w:r>
          </w:p>
        </w:tc>
        <w:tc>
          <w:tcPr>
            <w:tcW w:w="1436" w:type="dxa"/>
          </w:tcPr>
          <w:p>
            <w:pPr>
              <w:pStyle w:val="TableParagraph"/>
              <w:tabs>
                <w:tab w:pos="728" w:val="left" w:leader="none"/>
              </w:tabs>
              <w:spacing w:before="1"/>
              <w:ind w:left="120"/>
              <w:rPr>
                <w:sz w:val="18"/>
              </w:rPr>
            </w:pPr>
            <w:r>
              <w:rPr>
                <w:spacing w:val="-10"/>
                <w:sz w:val="18"/>
              </w:rPr>
              <w:t>$</w:t>
            </w:r>
            <w:r>
              <w:rPr>
                <w:sz w:val="18"/>
              </w:rPr>
              <w:tab/>
            </w:r>
            <w:r>
              <w:rPr>
                <w:spacing w:val="-2"/>
                <w:sz w:val="18"/>
              </w:rPr>
              <w:t>28,274</w:t>
            </w:r>
          </w:p>
        </w:tc>
        <w:tc>
          <w:tcPr>
            <w:tcW w:w="1364" w:type="dxa"/>
          </w:tcPr>
          <w:p>
            <w:pPr>
              <w:pStyle w:val="TableParagraph"/>
              <w:tabs>
                <w:tab w:pos="627" w:val="left" w:leader="none"/>
              </w:tabs>
              <w:spacing w:before="1"/>
              <w:ind w:left="64"/>
              <w:rPr>
                <w:sz w:val="18"/>
              </w:rPr>
            </w:pPr>
            <w:r>
              <w:rPr>
                <w:spacing w:val="-10"/>
                <w:sz w:val="18"/>
              </w:rPr>
              <w:t>$</w:t>
            </w:r>
            <w:r>
              <w:rPr>
                <w:sz w:val="18"/>
              </w:rPr>
              <w:tab/>
            </w:r>
            <w:r>
              <w:rPr>
                <w:spacing w:val="-2"/>
                <w:sz w:val="18"/>
              </w:rPr>
              <w:t>30,282</w:t>
            </w:r>
          </w:p>
        </w:tc>
        <w:tc>
          <w:tcPr>
            <w:tcW w:w="1364" w:type="dxa"/>
          </w:tcPr>
          <w:p>
            <w:pPr>
              <w:pStyle w:val="TableParagraph"/>
              <w:tabs>
                <w:tab w:pos="658" w:val="left" w:leader="none"/>
              </w:tabs>
              <w:spacing w:before="1"/>
              <w:ind w:left="95"/>
              <w:rPr>
                <w:sz w:val="18"/>
              </w:rPr>
            </w:pPr>
            <w:r>
              <w:rPr>
                <w:spacing w:val="-10"/>
                <w:sz w:val="18"/>
              </w:rPr>
              <w:t>$</w:t>
            </w:r>
            <w:r>
              <w:rPr>
                <w:sz w:val="18"/>
              </w:rPr>
              <w:tab/>
            </w:r>
            <w:r>
              <w:rPr>
                <w:spacing w:val="-2"/>
                <w:sz w:val="18"/>
              </w:rPr>
              <w:t>27,747</w:t>
            </w:r>
          </w:p>
        </w:tc>
        <w:tc>
          <w:tcPr>
            <w:tcW w:w="1345" w:type="dxa"/>
          </w:tcPr>
          <w:p>
            <w:pPr>
              <w:pStyle w:val="TableParagraph"/>
              <w:tabs>
                <w:tab w:pos="629" w:val="left" w:leader="none"/>
              </w:tabs>
              <w:spacing w:before="1"/>
              <w:ind w:left="66"/>
              <w:rPr>
                <w:sz w:val="18"/>
              </w:rPr>
            </w:pPr>
            <w:r>
              <w:rPr>
                <w:spacing w:val="-10"/>
                <w:sz w:val="18"/>
              </w:rPr>
              <w:t>$</w:t>
            </w:r>
            <w:r>
              <w:rPr>
                <w:sz w:val="18"/>
              </w:rPr>
              <w:tab/>
            </w:r>
            <w:r>
              <w:rPr>
                <w:spacing w:val="-2"/>
                <w:sz w:val="18"/>
              </w:rPr>
              <w:t>36,526</w:t>
            </w:r>
          </w:p>
        </w:tc>
      </w:tr>
      <w:tr>
        <w:trPr>
          <w:trHeight w:val="255" w:hRule="atLeast"/>
        </w:trPr>
        <w:tc>
          <w:tcPr>
            <w:tcW w:w="4747" w:type="dxa"/>
            <w:shd w:val="clear" w:color="auto" w:fill="CCEDFF"/>
          </w:tcPr>
          <w:p>
            <w:pPr>
              <w:pStyle w:val="TableParagraph"/>
              <w:spacing w:before="1"/>
              <w:ind w:left="277"/>
              <w:rPr>
                <w:sz w:val="18"/>
              </w:rPr>
            </w:pPr>
            <w:r>
              <w:rPr>
                <w:sz w:val="18"/>
              </w:rPr>
              <w:t>Less:</w:t>
            </w:r>
            <w:r>
              <w:rPr>
                <w:spacing w:val="-2"/>
                <w:sz w:val="18"/>
              </w:rPr>
              <w:t> </w:t>
            </w:r>
            <w:r>
              <w:rPr>
                <w:sz w:val="18"/>
              </w:rPr>
              <w:t>Average</w:t>
            </w:r>
            <w:r>
              <w:rPr>
                <w:spacing w:val="-1"/>
                <w:sz w:val="18"/>
              </w:rPr>
              <w:t> </w:t>
            </w:r>
            <w:r>
              <w:rPr>
                <w:spacing w:val="-2"/>
                <w:sz w:val="18"/>
              </w:rPr>
              <w:t>goodwill</w:t>
            </w:r>
          </w:p>
        </w:tc>
        <w:tc>
          <w:tcPr>
            <w:tcW w:w="1436" w:type="dxa"/>
            <w:shd w:val="clear" w:color="auto" w:fill="CCEDFF"/>
          </w:tcPr>
          <w:p>
            <w:pPr>
              <w:pStyle w:val="TableParagraph"/>
              <w:spacing w:before="1"/>
              <w:ind w:left="668"/>
              <w:rPr>
                <w:sz w:val="18"/>
              </w:rPr>
            </w:pPr>
            <w:r>
              <w:rPr>
                <w:spacing w:val="-2"/>
                <w:sz w:val="18"/>
              </w:rPr>
              <w:t>(11,951)</w:t>
            </w:r>
          </w:p>
        </w:tc>
        <w:tc>
          <w:tcPr>
            <w:tcW w:w="1364" w:type="dxa"/>
            <w:shd w:val="clear" w:color="auto" w:fill="CCEDFF"/>
          </w:tcPr>
          <w:p>
            <w:pPr>
              <w:pStyle w:val="TableParagraph"/>
              <w:spacing w:before="1"/>
              <w:ind w:left="567"/>
              <w:rPr>
                <w:sz w:val="18"/>
              </w:rPr>
            </w:pPr>
            <w:r>
              <w:rPr>
                <w:spacing w:val="-2"/>
                <w:sz w:val="18"/>
              </w:rPr>
              <w:t>(11,951)</w:t>
            </w:r>
          </w:p>
        </w:tc>
        <w:tc>
          <w:tcPr>
            <w:tcW w:w="1364" w:type="dxa"/>
            <w:shd w:val="clear" w:color="auto" w:fill="CCEDFF"/>
          </w:tcPr>
          <w:p>
            <w:pPr>
              <w:pStyle w:val="TableParagraph"/>
              <w:spacing w:before="1"/>
              <w:ind w:left="598"/>
              <w:rPr>
                <w:sz w:val="18"/>
              </w:rPr>
            </w:pPr>
            <w:r>
              <w:rPr>
                <w:spacing w:val="-2"/>
                <w:sz w:val="18"/>
              </w:rPr>
              <w:t>(11,951)</w:t>
            </w:r>
          </w:p>
        </w:tc>
        <w:tc>
          <w:tcPr>
            <w:tcW w:w="1345" w:type="dxa"/>
            <w:shd w:val="clear" w:color="auto" w:fill="CCEDFF"/>
          </w:tcPr>
          <w:p>
            <w:pPr>
              <w:pStyle w:val="TableParagraph"/>
              <w:spacing w:before="1"/>
              <w:ind w:right="158"/>
              <w:jc w:val="right"/>
              <w:rPr>
                <w:sz w:val="18"/>
              </w:rPr>
            </w:pPr>
            <w:r>
              <w:rPr>
                <w:spacing w:val="-2"/>
                <w:sz w:val="18"/>
              </w:rPr>
              <w:t>(11,952)</w:t>
            </w:r>
          </w:p>
        </w:tc>
      </w:tr>
      <w:tr>
        <w:trPr>
          <w:trHeight w:val="255" w:hRule="atLeast"/>
        </w:trPr>
        <w:tc>
          <w:tcPr>
            <w:tcW w:w="4747" w:type="dxa"/>
          </w:tcPr>
          <w:p>
            <w:pPr>
              <w:pStyle w:val="TableParagraph"/>
              <w:spacing w:before="1"/>
              <w:ind w:left="277"/>
              <w:rPr>
                <w:sz w:val="18"/>
              </w:rPr>
            </w:pPr>
            <w:r>
              <w:rPr>
                <w:sz w:val="18"/>
              </w:rPr>
              <w:t>Less:</w:t>
            </w:r>
            <w:r>
              <w:rPr>
                <w:spacing w:val="-3"/>
                <w:sz w:val="18"/>
              </w:rPr>
              <w:t> </w:t>
            </w:r>
            <w:r>
              <w:rPr>
                <w:sz w:val="18"/>
              </w:rPr>
              <w:t>Average</w:t>
            </w:r>
            <w:r>
              <w:rPr>
                <w:spacing w:val="-1"/>
                <w:sz w:val="18"/>
              </w:rPr>
              <w:t> </w:t>
            </w:r>
            <w:r>
              <w:rPr>
                <w:sz w:val="18"/>
              </w:rPr>
              <w:t>acquired</w:t>
            </w:r>
            <w:r>
              <w:rPr>
                <w:spacing w:val="-1"/>
                <w:sz w:val="18"/>
              </w:rPr>
              <w:t> </w:t>
            </w:r>
            <w:r>
              <w:rPr>
                <w:sz w:val="18"/>
              </w:rPr>
              <w:t>intangible</w:t>
            </w:r>
            <w:r>
              <w:rPr>
                <w:spacing w:val="-1"/>
                <w:sz w:val="18"/>
              </w:rPr>
              <w:t> </w:t>
            </w:r>
            <w:r>
              <w:rPr>
                <w:sz w:val="18"/>
              </w:rPr>
              <w:t>assets</w:t>
            </w:r>
            <w:r>
              <w:rPr>
                <w:spacing w:val="-2"/>
                <w:sz w:val="18"/>
              </w:rPr>
              <w:t> </w:t>
            </w:r>
            <w:r>
              <w:rPr>
                <w:sz w:val="18"/>
              </w:rPr>
              <w:t>— </w:t>
            </w:r>
            <w:r>
              <w:rPr>
                <w:spacing w:val="-5"/>
                <w:sz w:val="18"/>
              </w:rPr>
              <w:t>net</w:t>
            </w:r>
          </w:p>
        </w:tc>
        <w:tc>
          <w:tcPr>
            <w:tcW w:w="1436" w:type="dxa"/>
          </w:tcPr>
          <w:p>
            <w:pPr>
              <w:pStyle w:val="TableParagraph"/>
              <w:spacing w:before="1"/>
              <w:ind w:left="758"/>
              <w:rPr>
                <w:sz w:val="18"/>
              </w:rPr>
            </w:pPr>
            <w:r>
              <w:rPr>
                <w:spacing w:val="-2"/>
                <w:sz w:val="18"/>
              </w:rPr>
              <w:t>(8,457)</w:t>
            </w:r>
          </w:p>
        </w:tc>
        <w:tc>
          <w:tcPr>
            <w:tcW w:w="1364" w:type="dxa"/>
          </w:tcPr>
          <w:p>
            <w:pPr>
              <w:pStyle w:val="TableParagraph"/>
              <w:spacing w:before="1"/>
              <w:ind w:left="657"/>
              <w:rPr>
                <w:sz w:val="18"/>
              </w:rPr>
            </w:pPr>
            <w:r>
              <w:rPr>
                <w:spacing w:val="-2"/>
                <w:sz w:val="18"/>
              </w:rPr>
              <w:t>(8,999)</w:t>
            </w:r>
          </w:p>
        </w:tc>
        <w:tc>
          <w:tcPr>
            <w:tcW w:w="1364" w:type="dxa"/>
          </w:tcPr>
          <w:p>
            <w:pPr>
              <w:pStyle w:val="TableParagraph"/>
              <w:spacing w:before="1"/>
              <w:ind w:left="688"/>
              <w:rPr>
                <w:sz w:val="18"/>
              </w:rPr>
            </w:pPr>
            <w:r>
              <w:rPr>
                <w:spacing w:val="-2"/>
                <w:sz w:val="18"/>
              </w:rPr>
              <w:t>(8,589)</w:t>
            </w:r>
          </w:p>
        </w:tc>
        <w:tc>
          <w:tcPr>
            <w:tcW w:w="1345" w:type="dxa"/>
          </w:tcPr>
          <w:p>
            <w:pPr>
              <w:pStyle w:val="TableParagraph"/>
              <w:spacing w:before="1"/>
              <w:ind w:right="158"/>
              <w:jc w:val="right"/>
              <w:rPr>
                <w:sz w:val="18"/>
              </w:rPr>
            </w:pPr>
            <w:r>
              <w:rPr>
                <w:spacing w:val="-2"/>
                <w:sz w:val="18"/>
              </w:rPr>
              <w:t>(9,151)</w:t>
            </w:r>
          </w:p>
        </w:tc>
      </w:tr>
      <w:tr>
        <w:trPr>
          <w:trHeight w:val="430" w:hRule="atLeast"/>
        </w:trPr>
        <w:tc>
          <w:tcPr>
            <w:tcW w:w="4747" w:type="dxa"/>
            <w:tcBorders>
              <w:bottom w:val="single" w:sz="4" w:space="0" w:color="000000"/>
            </w:tcBorders>
            <w:shd w:val="clear" w:color="auto" w:fill="CCEDFF"/>
          </w:tcPr>
          <w:p>
            <w:pPr>
              <w:pStyle w:val="TableParagraph"/>
              <w:spacing w:line="208" w:lineRule="auto" w:before="23"/>
              <w:ind w:left="277"/>
              <w:rPr>
                <w:sz w:val="18"/>
              </w:rPr>
            </w:pPr>
            <w:r>
              <w:rPr>
                <w:sz w:val="18"/>
              </w:rPr>
              <w:t>Plus:</w:t>
            </w:r>
            <w:r>
              <w:rPr>
                <w:spacing w:val="-5"/>
                <w:sz w:val="18"/>
              </w:rPr>
              <w:t> </w:t>
            </w:r>
            <w:r>
              <w:rPr>
                <w:sz w:val="18"/>
              </w:rPr>
              <w:t>Average</w:t>
            </w:r>
            <w:r>
              <w:rPr>
                <w:spacing w:val="-5"/>
                <w:sz w:val="18"/>
              </w:rPr>
              <w:t> </w:t>
            </w:r>
            <w:r>
              <w:rPr>
                <w:sz w:val="18"/>
              </w:rPr>
              <w:t>deferred</w:t>
            </w:r>
            <w:r>
              <w:rPr>
                <w:spacing w:val="-5"/>
                <w:sz w:val="18"/>
              </w:rPr>
              <w:t> </w:t>
            </w:r>
            <w:r>
              <w:rPr>
                <w:sz w:val="18"/>
              </w:rPr>
              <w:t>tax</w:t>
            </w:r>
            <w:r>
              <w:rPr>
                <w:spacing w:val="-5"/>
                <w:sz w:val="18"/>
              </w:rPr>
              <w:t> </w:t>
            </w:r>
            <w:r>
              <w:rPr>
                <w:sz w:val="18"/>
              </w:rPr>
              <w:t>liabilities</w:t>
            </w:r>
            <w:r>
              <w:rPr>
                <w:spacing w:val="-6"/>
                <w:sz w:val="18"/>
              </w:rPr>
              <w:t> </w:t>
            </w:r>
            <w:r>
              <w:rPr>
                <w:sz w:val="18"/>
              </w:rPr>
              <w:t>related</w:t>
            </w:r>
            <w:r>
              <w:rPr>
                <w:spacing w:val="-5"/>
                <w:sz w:val="18"/>
              </w:rPr>
              <w:t> </w:t>
            </w:r>
            <w:r>
              <w:rPr>
                <w:sz w:val="18"/>
              </w:rPr>
              <w:t>to</w:t>
            </w:r>
            <w:r>
              <w:rPr>
                <w:spacing w:val="-5"/>
                <w:sz w:val="18"/>
              </w:rPr>
              <w:t> </w:t>
            </w:r>
            <w:r>
              <w:rPr>
                <w:sz w:val="18"/>
              </w:rPr>
              <w:t>goodwill</w:t>
            </w:r>
            <w:r>
              <w:rPr>
                <w:spacing w:val="-5"/>
                <w:sz w:val="18"/>
              </w:rPr>
              <w:t> </w:t>
            </w:r>
            <w:r>
              <w:rPr>
                <w:sz w:val="18"/>
              </w:rPr>
              <w:t>and acquired intangible assets — net</w:t>
            </w:r>
          </w:p>
        </w:tc>
        <w:tc>
          <w:tcPr>
            <w:tcW w:w="1436" w:type="dxa"/>
            <w:tcBorders>
              <w:bottom w:val="single" w:sz="4" w:space="0" w:color="000000"/>
            </w:tcBorders>
            <w:shd w:val="clear" w:color="auto" w:fill="CCEDFF"/>
          </w:tcPr>
          <w:p>
            <w:pPr>
              <w:pStyle w:val="TableParagraph"/>
              <w:spacing w:before="181"/>
              <w:ind w:left="818"/>
              <w:rPr>
                <w:sz w:val="18"/>
              </w:rPr>
            </w:pPr>
            <w:r>
              <w:rPr>
                <w:spacing w:val="-2"/>
                <w:sz w:val="18"/>
              </w:rPr>
              <w:t>1,822</w:t>
            </w:r>
          </w:p>
        </w:tc>
        <w:tc>
          <w:tcPr>
            <w:tcW w:w="1364" w:type="dxa"/>
            <w:tcBorders>
              <w:bottom w:val="single" w:sz="4" w:space="0" w:color="000000"/>
            </w:tcBorders>
            <w:shd w:val="clear" w:color="auto" w:fill="CCEDFF"/>
          </w:tcPr>
          <w:p>
            <w:pPr>
              <w:pStyle w:val="TableParagraph"/>
              <w:spacing w:before="181"/>
              <w:ind w:left="717"/>
              <w:rPr>
                <w:sz w:val="18"/>
              </w:rPr>
            </w:pPr>
            <w:r>
              <w:rPr>
                <w:spacing w:val="-2"/>
                <w:sz w:val="18"/>
              </w:rPr>
              <w:t>1,848</w:t>
            </w:r>
          </w:p>
        </w:tc>
        <w:tc>
          <w:tcPr>
            <w:tcW w:w="1364" w:type="dxa"/>
            <w:tcBorders>
              <w:bottom w:val="single" w:sz="4" w:space="0" w:color="000000"/>
            </w:tcBorders>
            <w:shd w:val="clear" w:color="auto" w:fill="CCEDFF"/>
          </w:tcPr>
          <w:p>
            <w:pPr>
              <w:pStyle w:val="TableParagraph"/>
              <w:spacing w:before="181"/>
              <w:ind w:left="748"/>
              <w:rPr>
                <w:sz w:val="18"/>
              </w:rPr>
            </w:pPr>
            <w:r>
              <w:rPr>
                <w:spacing w:val="-2"/>
                <w:sz w:val="18"/>
              </w:rPr>
              <w:t>1,830</w:t>
            </w:r>
          </w:p>
        </w:tc>
        <w:tc>
          <w:tcPr>
            <w:tcW w:w="1345" w:type="dxa"/>
            <w:tcBorders>
              <w:bottom w:val="single" w:sz="4" w:space="0" w:color="000000"/>
            </w:tcBorders>
            <w:shd w:val="clear" w:color="auto" w:fill="CCEDFF"/>
          </w:tcPr>
          <w:p>
            <w:pPr>
              <w:pStyle w:val="TableParagraph"/>
              <w:spacing w:before="181"/>
              <w:ind w:left="719"/>
              <w:rPr>
                <w:sz w:val="18"/>
              </w:rPr>
            </w:pPr>
            <w:r>
              <w:rPr>
                <w:spacing w:val="-2"/>
                <w:sz w:val="18"/>
              </w:rPr>
              <w:t>1,867</w:t>
            </w:r>
          </w:p>
        </w:tc>
      </w:tr>
      <w:tr>
        <w:trPr>
          <w:trHeight w:val="245" w:hRule="atLeast"/>
        </w:trPr>
        <w:tc>
          <w:tcPr>
            <w:tcW w:w="4747" w:type="dxa"/>
            <w:tcBorders>
              <w:top w:val="single" w:sz="4" w:space="0" w:color="000000"/>
              <w:bottom w:val="single" w:sz="4" w:space="0" w:color="000000"/>
            </w:tcBorders>
          </w:tcPr>
          <w:p>
            <w:pPr>
              <w:pStyle w:val="TableParagraph"/>
              <w:spacing w:line="203" w:lineRule="exact"/>
              <w:ind w:left="187"/>
              <w:rPr>
                <w:sz w:val="18"/>
              </w:rPr>
            </w:pPr>
            <w:r>
              <w:rPr>
                <w:sz w:val="18"/>
              </w:rPr>
              <w:t>Average</w:t>
            </w:r>
            <w:r>
              <w:rPr>
                <w:spacing w:val="-1"/>
                <w:sz w:val="18"/>
              </w:rPr>
              <w:t> </w:t>
            </w:r>
            <w:r>
              <w:rPr>
                <w:sz w:val="18"/>
              </w:rPr>
              <w:t>tangible common </w:t>
            </w:r>
            <w:r>
              <w:rPr>
                <w:spacing w:val="-2"/>
                <w:sz w:val="18"/>
              </w:rPr>
              <w:t>equity</w:t>
            </w:r>
          </w:p>
        </w:tc>
        <w:tc>
          <w:tcPr>
            <w:tcW w:w="1436" w:type="dxa"/>
            <w:tcBorders>
              <w:top w:val="single" w:sz="4" w:space="0" w:color="000000"/>
              <w:bottom w:val="single" w:sz="4" w:space="0" w:color="000000"/>
            </w:tcBorders>
          </w:tcPr>
          <w:p>
            <w:pPr>
              <w:pStyle w:val="TableParagraph"/>
              <w:tabs>
                <w:tab w:pos="818" w:val="left" w:leader="none"/>
              </w:tabs>
              <w:spacing w:line="203" w:lineRule="exact"/>
              <w:ind w:left="120"/>
              <w:rPr>
                <w:sz w:val="18"/>
              </w:rPr>
            </w:pPr>
            <w:r>
              <w:rPr>
                <w:spacing w:val="-10"/>
                <w:sz w:val="18"/>
              </w:rPr>
              <w:t>$</w:t>
            </w:r>
            <w:r>
              <w:rPr>
                <w:sz w:val="18"/>
              </w:rPr>
              <w:tab/>
            </w:r>
            <w:r>
              <w:rPr>
                <w:spacing w:val="-2"/>
                <w:sz w:val="18"/>
              </w:rPr>
              <w:t>9,688</w:t>
            </w:r>
          </w:p>
        </w:tc>
        <w:tc>
          <w:tcPr>
            <w:tcW w:w="1364" w:type="dxa"/>
            <w:tcBorders>
              <w:top w:val="single" w:sz="4" w:space="0" w:color="000000"/>
              <w:bottom w:val="single" w:sz="4" w:space="0" w:color="000000"/>
            </w:tcBorders>
          </w:tcPr>
          <w:p>
            <w:pPr>
              <w:pStyle w:val="TableParagraph"/>
              <w:tabs>
                <w:tab w:pos="627" w:val="left" w:leader="none"/>
              </w:tabs>
              <w:spacing w:line="203" w:lineRule="exact"/>
              <w:ind w:left="64"/>
              <w:rPr>
                <w:sz w:val="18"/>
              </w:rPr>
            </w:pPr>
            <w:r>
              <w:rPr>
                <w:spacing w:val="-10"/>
                <w:sz w:val="18"/>
              </w:rPr>
              <w:t>$</w:t>
            </w:r>
            <w:r>
              <w:rPr>
                <w:sz w:val="18"/>
              </w:rPr>
              <w:tab/>
            </w:r>
            <w:r>
              <w:rPr>
                <w:spacing w:val="-2"/>
                <w:sz w:val="18"/>
              </w:rPr>
              <w:t>11,180</w:t>
            </w:r>
          </w:p>
        </w:tc>
        <w:tc>
          <w:tcPr>
            <w:tcW w:w="1364" w:type="dxa"/>
            <w:tcBorders>
              <w:top w:val="single" w:sz="4" w:space="0" w:color="000000"/>
              <w:bottom w:val="single" w:sz="4" w:space="0" w:color="000000"/>
            </w:tcBorders>
          </w:tcPr>
          <w:p>
            <w:pPr>
              <w:pStyle w:val="TableParagraph"/>
              <w:tabs>
                <w:tab w:pos="748" w:val="left" w:leader="none"/>
              </w:tabs>
              <w:spacing w:line="203" w:lineRule="exact"/>
              <w:ind w:left="95"/>
              <w:rPr>
                <w:sz w:val="18"/>
              </w:rPr>
            </w:pPr>
            <w:r>
              <w:rPr>
                <w:spacing w:val="-10"/>
                <w:sz w:val="18"/>
              </w:rPr>
              <w:t>$</w:t>
            </w:r>
            <w:r>
              <w:rPr>
                <w:sz w:val="18"/>
              </w:rPr>
              <w:tab/>
            </w:r>
            <w:r>
              <w:rPr>
                <w:spacing w:val="-2"/>
                <w:sz w:val="18"/>
              </w:rPr>
              <w:t>9,037</w:t>
            </w:r>
          </w:p>
        </w:tc>
        <w:tc>
          <w:tcPr>
            <w:tcW w:w="1345" w:type="dxa"/>
            <w:tcBorders>
              <w:top w:val="single" w:sz="4" w:space="0" w:color="000000"/>
              <w:bottom w:val="single" w:sz="4" w:space="0" w:color="000000"/>
            </w:tcBorders>
          </w:tcPr>
          <w:p>
            <w:pPr>
              <w:pStyle w:val="TableParagraph"/>
              <w:tabs>
                <w:tab w:pos="629" w:val="left" w:leader="none"/>
              </w:tabs>
              <w:spacing w:line="203" w:lineRule="exact"/>
              <w:ind w:left="66"/>
              <w:rPr>
                <w:sz w:val="18"/>
              </w:rPr>
            </w:pPr>
            <w:r>
              <w:rPr>
                <w:spacing w:val="-10"/>
                <w:sz w:val="18"/>
              </w:rPr>
              <w:t>$</w:t>
            </w:r>
            <w:r>
              <w:rPr>
                <w:sz w:val="18"/>
              </w:rPr>
              <w:tab/>
            </w:r>
            <w:r>
              <w:rPr>
                <w:spacing w:val="-2"/>
                <w:sz w:val="18"/>
              </w:rPr>
              <w:t>17,290</w:t>
            </w:r>
          </w:p>
        </w:tc>
      </w:tr>
      <w:tr>
        <w:trPr>
          <w:trHeight w:val="250" w:hRule="atLeast"/>
        </w:trPr>
        <w:tc>
          <w:tcPr>
            <w:tcW w:w="4747" w:type="dxa"/>
            <w:tcBorders>
              <w:top w:val="single" w:sz="4" w:space="0" w:color="000000"/>
            </w:tcBorders>
            <w:shd w:val="clear" w:color="auto" w:fill="CCEDFF"/>
          </w:tcPr>
          <w:p>
            <w:pPr>
              <w:pStyle w:val="TableParagraph"/>
              <w:spacing w:line="203" w:lineRule="exact"/>
              <w:ind w:left="187"/>
              <w:rPr>
                <w:sz w:val="18"/>
              </w:rPr>
            </w:pPr>
            <w:r>
              <w:rPr>
                <w:sz w:val="18"/>
              </w:rPr>
              <w:t>Adjusted</w:t>
            </w:r>
            <w:r>
              <w:rPr>
                <w:spacing w:val="-3"/>
                <w:sz w:val="18"/>
              </w:rPr>
              <w:t> </w:t>
            </w:r>
            <w:r>
              <w:rPr>
                <w:sz w:val="18"/>
              </w:rPr>
              <w:t>net income</w:t>
            </w:r>
            <w:r>
              <w:rPr>
                <w:spacing w:val="-1"/>
                <w:sz w:val="18"/>
              </w:rPr>
              <w:t> </w:t>
            </w:r>
            <w:r>
              <w:rPr>
                <w:sz w:val="18"/>
              </w:rPr>
              <w:t>available to</w:t>
            </w:r>
            <w:r>
              <w:rPr>
                <w:spacing w:val="-1"/>
                <w:sz w:val="18"/>
              </w:rPr>
              <w:t> </w:t>
            </w:r>
            <w:r>
              <w:rPr>
                <w:sz w:val="18"/>
              </w:rPr>
              <w:t>common stockholders</w:t>
            </w:r>
            <w:r>
              <w:rPr>
                <w:spacing w:val="-3"/>
                <w:sz w:val="18"/>
              </w:rPr>
              <w:t> </w:t>
            </w:r>
            <w:r>
              <w:rPr>
                <w:spacing w:val="-5"/>
                <w:sz w:val="18"/>
                <w:vertAlign w:val="superscript"/>
              </w:rPr>
              <w:t>(1)</w:t>
            </w:r>
          </w:p>
        </w:tc>
        <w:tc>
          <w:tcPr>
            <w:tcW w:w="1436" w:type="dxa"/>
            <w:tcBorders>
              <w:top w:val="single" w:sz="4" w:space="0" w:color="000000"/>
            </w:tcBorders>
            <w:shd w:val="clear" w:color="auto" w:fill="CCEDFF"/>
          </w:tcPr>
          <w:p>
            <w:pPr>
              <w:pStyle w:val="TableParagraph"/>
              <w:tabs>
                <w:tab w:pos="818" w:val="left" w:leader="none"/>
              </w:tabs>
              <w:spacing w:line="203" w:lineRule="exact"/>
              <w:ind w:left="120"/>
              <w:rPr>
                <w:sz w:val="18"/>
              </w:rPr>
            </w:pPr>
            <w:r>
              <w:rPr>
                <w:spacing w:val="-10"/>
                <w:sz w:val="18"/>
              </w:rPr>
              <w:t>$</w:t>
            </w:r>
            <w:r>
              <w:rPr>
                <w:sz w:val="18"/>
              </w:rPr>
              <w:tab/>
            </w:r>
            <w:r>
              <w:rPr>
                <w:spacing w:val="-2"/>
                <w:sz w:val="18"/>
              </w:rPr>
              <w:t>1,410</w:t>
            </w:r>
          </w:p>
        </w:tc>
        <w:tc>
          <w:tcPr>
            <w:tcW w:w="1364" w:type="dxa"/>
            <w:tcBorders>
              <w:top w:val="single" w:sz="4" w:space="0" w:color="000000"/>
            </w:tcBorders>
            <w:shd w:val="clear" w:color="auto" w:fill="CCEDFF"/>
          </w:tcPr>
          <w:p>
            <w:pPr>
              <w:pStyle w:val="TableParagraph"/>
              <w:tabs>
                <w:tab w:pos="717" w:val="left" w:leader="none"/>
              </w:tabs>
              <w:spacing w:line="203" w:lineRule="exact"/>
              <w:ind w:left="64"/>
              <w:rPr>
                <w:sz w:val="18"/>
              </w:rPr>
            </w:pPr>
            <w:r>
              <w:rPr>
                <w:spacing w:val="-10"/>
                <w:sz w:val="18"/>
              </w:rPr>
              <w:t>$</w:t>
            </w:r>
            <w:r>
              <w:rPr>
                <w:sz w:val="18"/>
              </w:rPr>
              <w:tab/>
            </w:r>
            <w:r>
              <w:rPr>
                <w:spacing w:val="-2"/>
                <w:sz w:val="18"/>
              </w:rPr>
              <w:t>2,075</w:t>
            </w:r>
          </w:p>
        </w:tc>
        <w:tc>
          <w:tcPr>
            <w:tcW w:w="1364" w:type="dxa"/>
            <w:tcBorders>
              <w:top w:val="single" w:sz="4" w:space="0" w:color="000000"/>
            </w:tcBorders>
            <w:shd w:val="clear" w:color="auto" w:fill="CCEDFF"/>
          </w:tcPr>
          <w:p>
            <w:pPr>
              <w:pStyle w:val="TableParagraph"/>
              <w:tabs>
                <w:tab w:pos="748" w:val="left" w:leader="none"/>
              </w:tabs>
              <w:spacing w:line="203" w:lineRule="exact"/>
              <w:ind w:left="95"/>
              <w:rPr>
                <w:sz w:val="18"/>
              </w:rPr>
            </w:pPr>
            <w:r>
              <w:rPr>
                <w:spacing w:val="-10"/>
                <w:sz w:val="18"/>
              </w:rPr>
              <w:t>$</w:t>
            </w:r>
            <w:r>
              <w:rPr>
                <w:sz w:val="18"/>
              </w:rPr>
              <w:tab/>
            </w:r>
            <w:r>
              <w:rPr>
                <w:spacing w:val="-2"/>
                <w:sz w:val="18"/>
              </w:rPr>
              <w:t>4,493</w:t>
            </w:r>
          </w:p>
        </w:tc>
        <w:tc>
          <w:tcPr>
            <w:tcW w:w="1345" w:type="dxa"/>
            <w:tcBorders>
              <w:top w:val="single" w:sz="4" w:space="0" w:color="000000"/>
            </w:tcBorders>
            <w:shd w:val="clear" w:color="auto" w:fill="CCEDFF"/>
          </w:tcPr>
          <w:p>
            <w:pPr>
              <w:pStyle w:val="TableParagraph"/>
              <w:tabs>
                <w:tab w:pos="719" w:val="left" w:leader="none"/>
              </w:tabs>
              <w:spacing w:line="203" w:lineRule="exact"/>
              <w:ind w:left="66"/>
              <w:rPr>
                <w:sz w:val="18"/>
              </w:rPr>
            </w:pPr>
            <w:r>
              <w:rPr>
                <w:spacing w:val="-10"/>
                <w:sz w:val="18"/>
              </w:rPr>
              <w:t>$</w:t>
            </w:r>
            <w:r>
              <w:rPr>
                <w:sz w:val="18"/>
              </w:rPr>
              <w:tab/>
            </w:r>
            <w:r>
              <w:rPr>
                <w:spacing w:val="-2"/>
                <w:sz w:val="18"/>
              </w:rPr>
              <w:t>5,382</w:t>
            </w:r>
          </w:p>
        </w:tc>
      </w:tr>
      <w:tr>
        <w:trPr>
          <w:trHeight w:val="250" w:hRule="atLeast"/>
        </w:trPr>
        <w:tc>
          <w:tcPr>
            <w:tcW w:w="4747" w:type="dxa"/>
            <w:tcBorders>
              <w:bottom w:val="single" w:sz="4" w:space="0" w:color="000000"/>
            </w:tcBorders>
          </w:tcPr>
          <w:p>
            <w:pPr>
              <w:pStyle w:val="TableParagraph"/>
              <w:spacing w:before="1"/>
              <w:ind w:left="52"/>
              <w:rPr>
                <w:b/>
                <w:sz w:val="18"/>
              </w:rPr>
            </w:pPr>
            <w:r>
              <w:rPr>
                <w:b/>
                <w:sz w:val="18"/>
              </w:rPr>
              <w:t>Return</w:t>
            </w:r>
            <w:r>
              <w:rPr>
                <w:b/>
                <w:spacing w:val="-3"/>
                <w:sz w:val="18"/>
              </w:rPr>
              <w:t> </w:t>
            </w:r>
            <w:r>
              <w:rPr>
                <w:b/>
                <w:sz w:val="18"/>
              </w:rPr>
              <w:t>on</w:t>
            </w:r>
            <w:r>
              <w:rPr>
                <w:b/>
                <w:spacing w:val="-3"/>
                <w:sz w:val="18"/>
              </w:rPr>
              <w:t> </w:t>
            </w:r>
            <w:r>
              <w:rPr>
                <w:b/>
                <w:sz w:val="18"/>
              </w:rPr>
              <w:t>tangible</w:t>
            </w:r>
            <w:r>
              <w:rPr>
                <w:b/>
                <w:spacing w:val="-1"/>
                <w:sz w:val="18"/>
              </w:rPr>
              <w:t> </w:t>
            </w:r>
            <w:r>
              <w:rPr>
                <w:b/>
                <w:sz w:val="18"/>
              </w:rPr>
              <w:t>common</w:t>
            </w:r>
            <w:r>
              <w:rPr>
                <w:b/>
                <w:spacing w:val="-3"/>
                <w:sz w:val="18"/>
              </w:rPr>
              <w:t> </w:t>
            </w:r>
            <w:r>
              <w:rPr>
                <w:b/>
                <w:sz w:val="18"/>
              </w:rPr>
              <w:t>equity</w:t>
            </w:r>
            <w:r>
              <w:rPr>
                <w:b/>
                <w:spacing w:val="-1"/>
                <w:sz w:val="18"/>
              </w:rPr>
              <w:t> </w:t>
            </w:r>
            <w:r>
              <w:rPr>
                <w:b/>
                <w:sz w:val="18"/>
              </w:rPr>
              <w:t>(non-</w:t>
            </w:r>
            <w:r>
              <w:rPr>
                <w:b/>
                <w:spacing w:val="-4"/>
                <w:sz w:val="18"/>
              </w:rPr>
              <w:t>GAAP)</w:t>
            </w:r>
          </w:p>
        </w:tc>
        <w:tc>
          <w:tcPr>
            <w:tcW w:w="1436" w:type="dxa"/>
            <w:tcBorders>
              <w:bottom w:val="single" w:sz="4" w:space="0" w:color="000000"/>
            </w:tcBorders>
          </w:tcPr>
          <w:p>
            <w:pPr>
              <w:pStyle w:val="TableParagraph"/>
              <w:spacing w:before="1"/>
              <w:ind w:right="60"/>
              <w:jc w:val="right"/>
              <w:rPr>
                <w:sz w:val="18"/>
              </w:rPr>
            </w:pPr>
            <w:r>
              <w:rPr>
                <w:spacing w:val="-5"/>
                <w:sz w:val="18"/>
              </w:rPr>
              <w:t>58%</w:t>
            </w:r>
          </w:p>
        </w:tc>
        <w:tc>
          <w:tcPr>
            <w:tcW w:w="1364" w:type="dxa"/>
            <w:tcBorders>
              <w:bottom w:val="single" w:sz="4" w:space="0" w:color="000000"/>
            </w:tcBorders>
          </w:tcPr>
          <w:p>
            <w:pPr>
              <w:pStyle w:val="TableParagraph"/>
              <w:spacing w:before="1"/>
              <w:ind w:right="89"/>
              <w:jc w:val="right"/>
              <w:rPr>
                <w:sz w:val="18"/>
              </w:rPr>
            </w:pPr>
            <w:r>
              <w:rPr>
                <w:spacing w:val="-5"/>
                <w:sz w:val="18"/>
              </w:rPr>
              <w:t>74%</w:t>
            </w:r>
          </w:p>
        </w:tc>
        <w:tc>
          <w:tcPr>
            <w:tcW w:w="1364" w:type="dxa"/>
            <w:tcBorders>
              <w:bottom w:val="single" w:sz="4" w:space="0" w:color="000000"/>
            </w:tcBorders>
          </w:tcPr>
          <w:p>
            <w:pPr>
              <w:pStyle w:val="TableParagraph"/>
              <w:spacing w:before="1"/>
              <w:ind w:right="58"/>
              <w:jc w:val="right"/>
              <w:rPr>
                <w:sz w:val="18"/>
              </w:rPr>
            </w:pPr>
            <w:r>
              <w:rPr>
                <w:spacing w:val="-5"/>
                <w:sz w:val="18"/>
              </w:rPr>
              <w:t>66%</w:t>
            </w:r>
          </w:p>
        </w:tc>
        <w:tc>
          <w:tcPr>
            <w:tcW w:w="1345" w:type="dxa"/>
            <w:tcBorders>
              <w:bottom w:val="single" w:sz="4" w:space="0" w:color="000000"/>
            </w:tcBorders>
          </w:tcPr>
          <w:p>
            <w:pPr>
              <w:pStyle w:val="TableParagraph"/>
              <w:spacing w:before="1"/>
              <w:ind w:right="68"/>
              <w:jc w:val="right"/>
              <w:rPr>
                <w:sz w:val="18"/>
              </w:rPr>
            </w:pPr>
            <w:r>
              <w:rPr>
                <w:spacing w:val="-5"/>
                <w:sz w:val="18"/>
              </w:rPr>
              <w:t>42%</w:t>
            </w:r>
          </w:p>
        </w:tc>
      </w:tr>
    </w:tbl>
    <w:p>
      <w:pPr>
        <w:spacing w:line="249" w:lineRule="auto" w:before="34"/>
        <w:ind w:left="650" w:right="761" w:hanging="180"/>
        <w:jc w:val="left"/>
        <w:rPr>
          <w:sz w:val="16"/>
        </w:rPr>
      </w:pPr>
      <w:r>
        <w:rPr/>
        <mc:AlternateContent>
          <mc:Choice Requires="wps">
            <w:drawing>
              <wp:anchor distT="0" distB="0" distL="0" distR="0" allowOverlap="1" layoutInCell="1" locked="0" behindDoc="0" simplePos="0" relativeHeight="15743488">
                <wp:simplePos x="0" y="0"/>
                <wp:positionH relativeFrom="page">
                  <wp:posOffset>5386323</wp:posOffset>
                </wp:positionH>
                <wp:positionV relativeFrom="paragraph">
                  <wp:posOffset>570973</wp:posOffset>
                </wp:positionV>
                <wp:extent cx="1752600" cy="6350"/>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1752600" cy="6350"/>
                          <a:chExt cx="1752600" cy="6350"/>
                        </a:xfrm>
                      </wpg:grpSpPr>
                      <wps:wsp>
                        <wps:cNvPr id="117" name="Graphic 117"/>
                        <wps:cNvSpPr/>
                        <wps:spPr>
                          <a:xfrm>
                            <a:off x="0" y="3175"/>
                            <a:ext cx="1752600" cy="1270"/>
                          </a:xfrm>
                          <a:custGeom>
                            <a:avLst/>
                            <a:gdLst/>
                            <a:ahLst/>
                            <a:cxnLst/>
                            <a:rect l="l" t="t" r="r" b="b"/>
                            <a:pathLst>
                              <a:path w="1752600" h="0">
                                <a:moveTo>
                                  <a:pt x="1752600" y="0"/>
                                </a:moveTo>
                                <a:lnTo>
                                  <a:pt x="0" y="0"/>
                                </a:lnTo>
                              </a:path>
                            </a:pathLst>
                          </a:custGeom>
                          <a:solidFill>
                            <a:srgbClr val="000000"/>
                          </a:solidFill>
                        </wps:spPr>
                        <wps:bodyPr wrap="square" lIns="0" tIns="0" rIns="0" bIns="0" rtlCol="0">
                          <a:prstTxWarp prst="textNoShape">
                            <a:avLst/>
                          </a:prstTxWarp>
                          <a:noAutofit/>
                        </wps:bodyPr>
                      </wps:wsp>
                      <wps:wsp>
                        <wps:cNvPr id="118" name="Graphic 118"/>
                        <wps:cNvSpPr/>
                        <wps:spPr>
                          <a:xfrm>
                            <a:off x="0" y="3175"/>
                            <a:ext cx="1752600" cy="1270"/>
                          </a:xfrm>
                          <a:custGeom>
                            <a:avLst/>
                            <a:gdLst/>
                            <a:ahLst/>
                            <a:cxnLst/>
                            <a:rect l="l" t="t" r="r" b="b"/>
                            <a:pathLst>
                              <a:path w="1752600" h="0">
                                <a:moveTo>
                                  <a:pt x="0" y="0"/>
                                </a:moveTo>
                                <a:lnTo>
                                  <a:pt x="17526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119995pt;margin-top:44.958546pt;width:138pt;height:.5pt;mso-position-horizontal-relative:page;mso-position-vertical-relative:paragraph;z-index:15743488" id="docshapegroup82" coordorigin="8482,899" coordsize="2760,10">
                <v:shape style="position:absolute;left:8482;top:904;width:2760;height:2" id="docshape83" coordorigin="8482,904" coordsize="2760,0" path="m11242,904l8482,904e" filled="true" fillcolor="#000000" stroked="false">
                  <v:path arrowok="t"/>
                  <v:fill opacity="0f" type="solid"/>
                </v:shape>
                <v:line style="position:absolute" from="8482,904" to="11242,904" stroked="true" strokeweight=".5pt" strokecolor="#000000">
                  <v:stroke dashstyle="solid"/>
                </v:line>
                <w10:wrap type="none"/>
              </v:group>
            </w:pict>
          </mc:Fallback>
        </mc:AlternateContent>
      </w:r>
      <w:r>
        <w:rPr>
          <w:sz w:val="16"/>
          <w:vertAlign w:val="superscript"/>
        </w:rPr>
        <w:t>(1)</w:t>
      </w:r>
      <w:r>
        <w:rPr>
          <w:spacing w:val="-3"/>
          <w:sz w:val="16"/>
          <w:vertAlign w:val="baseline"/>
        </w:rPr>
        <w:t> </w:t>
      </w:r>
      <w:r>
        <w:rPr>
          <w:sz w:val="16"/>
          <w:vertAlign w:val="baseline"/>
        </w:rPr>
        <w:t>See</w:t>
      </w:r>
      <w:r>
        <w:rPr>
          <w:spacing w:val="-2"/>
          <w:sz w:val="16"/>
          <w:vertAlign w:val="baseline"/>
        </w:rPr>
        <w:t> </w:t>
      </w:r>
      <w:r>
        <w:rPr>
          <w:sz w:val="16"/>
          <w:vertAlign w:val="baseline"/>
        </w:rPr>
        <w:t>table</w:t>
      </w:r>
      <w:r>
        <w:rPr>
          <w:spacing w:val="-2"/>
          <w:sz w:val="16"/>
          <w:vertAlign w:val="baseline"/>
        </w:rPr>
        <w:t> </w:t>
      </w:r>
      <w:r>
        <w:rPr>
          <w:sz w:val="16"/>
          <w:vertAlign w:val="baseline"/>
        </w:rPr>
        <w:t>above</w:t>
      </w:r>
      <w:r>
        <w:rPr>
          <w:spacing w:val="-2"/>
          <w:sz w:val="16"/>
          <w:vertAlign w:val="baseline"/>
        </w:rPr>
        <w:t> </w:t>
      </w:r>
      <w:r>
        <w:rPr>
          <w:sz w:val="16"/>
          <w:vertAlign w:val="baseline"/>
        </w:rPr>
        <w:t>for</w:t>
      </w:r>
      <w:r>
        <w:rPr>
          <w:spacing w:val="-2"/>
          <w:sz w:val="16"/>
          <w:vertAlign w:val="baseline"/>
        </w:rPr>
        <w:t> </w:t>
      </w:r>
      <w:r>
        <w:rPr>
          <w:sz w:val="16"/>
          <w:vertAlign w:val="baseline"/>
        </w:rPr>
        <w:t>the</w:t>
      </w:r>
      <w:r>
        <w:rPr>
          <w:spacing w:val="-2"/>
          <w:sz w:val="16"/>
          <w:vertAlign w:val="baseline"/>
        </w:rPr>
        <w:t> </w:t>
      </w:r>
      <w:r>
        <w:rPr>
          <w:sz w:val="16"/>
          <w:vertAlign w:val="baseline"/>
        </w:rPr>
        <w:t>reconciliation</w:t>
      </w:r>
      <w:r>
        <w:rPr>
          <w:spacing w:val="-2"/>
          <w:sz w:val="16"/>
          <w:vertAlign w:val="baseline"/>
        </w:rPr>
        <w:t> </w:t>
      </w:r>
      <w:r>
        <w:rPr>
          <w:sz w:val="16"/>
          <w:vertAlign w:val="baseline"/>
        </w:rPr>
        <w:t>of</w:t>
      </w:r>
      <w:r>
        <w:rPr>
          <w:spacing w:val="-2"/>
          <w:sz w:val="16"/>
          <w:vertAlign w:val="baseline"/>
        </w:rPr>
        <w:t> </w:t>
      </w:r>
      <w:r>
        <w:rPr>
          <w:sz w:val="16"/>
          <w:vertAlign w:val="baseline"/>
        </w:rPr>
        <w:t>net</w:t>
      </w:r>
      <w:r>
        <w:rPr>
          <w:spacing w:val="-2"/>
          <w:sz w:val="16"/>
          <w:vertAlign w:val="baseline"/>
        </w:rPr>
        <w:t> </w:t>
      </w:r>
      <w:r>
        <w:rPr>
          <w:sz w:val="16"/>
          <w:vertAlign w:val="baseline"/>
        </w:rPr>
        <w:t>income</w:t>
      </w:r>
      <w:r>
        <w:rPr>
          <w:spacing w:val="-2"/>
          <w:sz w:val="16"/>
          <w:vertAlign w:val="baseline"/>
        </w:rPr>
        <w:t> </w:t>
      </w:r>
      <w:r>
        <w:rPr>
          <w:sz w:val="16"/>
          <w:vertAlign w:val="baseline"/>
        </w:rPr>
        <w:t>available</w:t>
      </w:r>
      <w:r>
        <w:rPr>
          <w:spacing w:val="-2"/>
          <w:sz w:val="16"/>
          <w:vertAlign w:val="baseline"/>
        </w:rPr>
        <w:t> </w:t>
      </w:r>
      <w:r>
        <w:rPr>
          <w:sz w:val="16"/>
          <w:vertAlign w:val="baseline"/>
        </w:rPr>
        <w:t>to</w:t>
      </w:r>
      <w:r>
        <w:rPr>
          <w:spacing w:val="-2"/>
          <w:sz w:val="16"/>
          <w:vertAlign w:val="baseline"/>
        </w:rPr>
        <w:t> </w:t>
      </w:r>
      <w:r>
        <w:rPr>
          <w:sz w:val="16"/>
          <w:vertAlign w:val="baseline"/>
        </w:rPr>
        <w:t>common</w:t>
      </w:r>
      <w:r>
        <w:rPr>
          <w:spacing w:val="-2"/>
          <w:sz w:val="16"/>
          <w:vertAlign w:val="baseline"/>
        </w:rPr>
        <w:t> </w:t>
      </w:r>
      <w:r>
        <w:rPr>
          <w:sz w:val="16"/>
          <w:vertAlign w:val="baseline"/>
        </w:rPr>
        <w:t>stockholders</w:t>
      </w:r>
      <w:r>
        <w:rPr>
          <w:spacing w:val="-3"/>
          <w:sz w:val="16"/>
          <w:vertAlign w:val="baseline"/>
        </w:rPr>
        <w:t> </w:t>
      </w:r>
      <w:r>
        <w:rPr>
          <w:sz w:val="16"/>
          <w:vertAlign w:val="baseline"/>
        </w:rPr>
        <w:t>to</w:t>
      </w:r>
      <w:r>
        <w:rPr>
          <w:spacing w:val="-2"/>
          <w:sz w:val="16"/>
          <w:vertAlign w:val="baseline"/>
        </w:rPr>
        <w:t> </w:t>
      </w:r>
      <w:r>
        <w:rPr>
          <w:sz w:val="16"/>
          <w:vertAlign w:val="baseline"/>
        </w:rPr>
        <w:t>adjusted</w:t>
      </w:r>
      <w:r>
        <w:rPr>
          <w:spacing w:val="-2"/>
          <w:sz w:val="16"/>
          <w:vertAlign w:val="baseline"/>
        </w:rPr>
        <w:t> </w:t>
      </w:r>
      <w:r>
        <w:rPr>
          <w:sz w:val="16"/>
          <w:vertAlign w:val="baseline"/>
        </w:rPr>
        <w:t>net</w:t>
      </w:r>
      <w:r>
        <w:rPr>
          <w:spacing w:val="-2"/>
          <w:sz w:val="16"/>
          <w:vertAlign w:val="baseline"/>
        </w:rPr>
        <w:t> </w:t>
      </w:r>
      <w:r>
        <w:rPr>
          <w:sz w:val="16"/>
          <w:vertAlign w:val="baseline"/>
        </w:rPr>
        <w:t>income</w:t>
      </w:r>
      <w:r>
        <w:rPr>
          <w:spacing w:val="-2"/>
          <w:sz w:val="16"/>
          <w:vertAlign w:val="baseline"/>
        </w:rPr>
        <w:t> </w:t>
      </w:r>
      <w:r>
        <w:rPr>
          <w:sz w:val="16"/>
          <w:vertAlign w:val="baseline"/>
        </w:rPr>
        <w:t>available</w:t>
      </w:r>
      <w:r>
        <w:rPr>
          <w:spacing w:val="-2"/>
          <w:sz w:val="16"/>
          <w:vertAlign w:val="baseline"/>
        </w:rPr>
        <w:t> </w:t>
      </w:r>
      <w:r>
        <w:rPr>
          <w:sz w:val="16"/>
          <w:vertAlign w:val="baseline"/>
        </w:rPr>
        <w:t>to</w:t>
      </w:r>
      <w:r>
        <w:rPr>
          <w:spacing w:val="-2"/>
          <w:sz w:val="16"/>
          <w:vertAlign w:val="baseline"/>
        </w:rPr>
        <w:t> </w:t>
      </w:r>
      <w:r>
        <w:rPr>
          <w:sz w:val="16"/>
          <w:vertAlign w:val="baseline"/>
        </w:rPr>
        <w:t>common</w:t>
      </w:r>
      <w:r>
        <w:rPr>
          <w:spacing w:val="-2"/>
          <w:sz w:val="16"/>
          <w:vertAlign w:val="baseline"/>
        </w:rPr>
        <w:t> </w:t>
      </w:r>
      <w:r>
        <w:rPr>
          <w:sz w:val="16"/>
          <w:vertAlign w:val="baseline"/>
        </w:rPr>
        <w:t>stockholders</w:t>
      </w:r>
      <w:r>
        <w:rPr>
          <w:spacing w:val="-3"/>
          <w:sz w:val="16"/>
          <w:vertAlign w:val="baseline"/>
        </w:rPr>
        <w:t> </w:t>
      </w:r>
      <w:r>
        <w:rPr>
          <w:sz w:val="16"/>
          <w:vertAlign w:val="baseline"/>
        </w:rPr>
        <w:t>(non-</w:t>
      </w:r>
      <w:r>
        <w:rPr>
          <w:spacing w:val="40"/>
          <w:sz w:val="16"/>
          <w:vertAlign w:val="baseline"/>
        </w:rPr>
        <w:t> </w:t>
      </w:r>
      <w:r>
        <w:rPr>
          <w:spacing w:val="-2"/>
          <w:sz w:val="16"/>
          <w:vertAlign w:val="baseline"/>
        </w:rPr>
        <w:t>GAAP).</w:t>
      </w:r>
    </w:p>
    <w:p>
      <w:pPr>
        <w:pStyle w:val="BodyText"/>
        <w:spacing w:before="8"/>
        <w:rPr>
          <w:sz w:val="17"/>
        </w:rPr>
      </w:pPr>
      <w:r>
        <w:rPr/>
        <mc:AlternateContent>
          <mc:Choice Requires="wps">
            <w:drawing>
              <wp:anchor distT="0" distB="0" distL="0" distR="0" allowOverlap="1" layoutInCell="1" locked="0" behindDoc="1" simplePos="0" relativeHeight="487601152">
                <wp:simplePos x="0" y="0"/>
                <wp:positionH relativeFrom="page">
                  <wp:posOffset>633348</wp:posOffset>
                </wp:positionH>
                <wp:positionV relativeFrom="paragraph">
                  <wp:posOffset>144451</wp:posOffset>
                </wp:positionV>
                <wp:extent cx="6505575" cy="6350"/>
                <wp:effectExtent l="0" t="0" r="0" b="0"/>
                <wp:wrapTopAndBottom/>
                <wp:docPr id="119" name="Group 119"/>
                <wp:cNvGraphicFramePr>
                  <a:graphicFrameLocks/>
                </wp:cNvGraphicFramePr>
                <a:graphic>
                  <a:graphicData uri="http://schemas.microsoft.com/office/word/2010/wordprocessingGroup">
                    <wpg:wgp>
                      <wpg:cNvPr id="119" name="Group 119"/>
                      <wpg:cNvGrpSpPr/>
                      <wpg:grpSpPr>
                        <a:xfrm>
                          <a:off x="0" y="0"/>
                          <a:ext cx="6505575" cy="6350"/>
                          <a:chExt cx="6505575" cy="6350"/>
                        </a:xfrm>
                      </wpg:grpSpPr>
                      <wps:wsp>
                        <wps:cNvPr id="120" name="Graphic 120"/>
                        <wps:cNvSpPr/>
                        <wps:spPr>
                          <a:xfrm>
                            <a:off x="0" y="3175"/>
                            <a:ext cx="6505575" cy="1270"/>
                          </a:xfrm>
                          <a:custGeom>
                            <a:avLst/>
                            <a:gdLst/>
                            <a:ahLst/>
                            <a:cxnLst/>
                            <a:rect l="l" t="t" r="r" b="b"/>
                            <a:pathLst>
                              <a:path w="6505575" h="0">
                                <a:moveTo>
                                  <a:pt x="6505575" y="0"/>
                                </a:moveTo>
                                <a:lnTo>
                                  <a:pt x="0" y="0"/>
                                </a:lnTo>
                              </a:path>
                            </a:pathLst>
                          </a:custGeom>
                          <a:solidFill>
                            <a:srgbClr val="000000"/>
                          </a:solidFill>
                        </wps:spPr>
                        <wps:bodyPr wrap="square" lIns="0" tIns="0" rIns="0" bIns="0" rtlCol="0">
                          <a:prstTxWarp prst="textNoShape">
                            <a:avLst/>
                          </a:prstTxWarp>
                          <a:noAutofit/>
                        </wps:bodyPr>
                      </wps:wsp>
                      <wps:wsp>
                        <wps:cNvPr id="121" name="Graphic 121"/>
                        <wps:cNvSpPr/>
                        <wps:spPr>
                          <a:xfrm>
                            <a:off x="0" y="3175"/>
                            <a:ext cx="6505575" cy="1270"/>
                          </a:xfrm>
                          <a:custGeom>
                            <a:avLst/>
                            <a:gdLst/>
                            <a:ahLst/>
                            <a:cxnLst/>
                            <a:rect l="l" t="t" r="r" b="b"/>
                            <a:pathLst>
                              <a:path w="6505575" h="0">
                                <a:moveTo>
                                  <a:pt x="0" y="0"/>
                                </a:moveTo>
                                <a:lnTo>
                                  <a:pt x="650557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869999pt;margin-top:11.37417pt;width:512.25pt;height:.5pt;mso-position-horizontal-relative:page;mso-position-vertical-relative:paragraph;z-index:-15715328;mso-wrap-distance-left:0;mso-wrap-distance-right:0" id="docshapegroup84" coordorigin="997,227" coordsize="10245,10">
                <v:shape style="position:absolute;left:997;top:232;width:10245;height:2" id="docshape85" coordorigin="997,232" coordsize="10245,0" path="m11242,232l997,232e" filled="true" fillcolor="#000000" stroked="false">
                  <v:path arrowok="t"/>
                  <v:fill opacity="0f" type="solid"/>
                </v:shape>
                <v:line style="position:absolute" from="997,232" to="11242,232" stroked="true" strokeweight=".5pt" strokecolor="#000000">
                  <v:stroke dashstyle="solid"/>
                </v:line>
                <w10:wrap type="topAndBottom"/>
              </v:group>
            </w:pict>
          </mc:Fallback>
        </mc:AlternateContent>
      </w:r>
    </w:p>
    <w:p>
      <w:pPr>
        <w:tabs>
          <w:tab w:pos="9862" w:val="left" w:leader="none"/>
        </w:tabs>
        <w:spacing w:line="295" w:lineRule="auto" w:before="13"/>
        <w:ind w:left="8482" w:right="995" w:firstLine="137"/>
        <w:jc w:val="left"/>
        <w:rPr>
          <w:sz w:val="18"/>
        </w:rPr>
      </w:pPr>
      <w:r>
        <w:rPr>
          <w:sz w:val="18"/>
        </w:rPr>
        <w:t>September 30, 2023 </w:t>
      </w:r>
      <w:r>
        <w:rPr>
          <w:spacing w:val="-4"/>
          <w:sz w:val="18"/>
        </w:rPr>
        <w:t>CSC</w:t>
      </w:r>
      <w:r>
        <w:rPr>
          <w:sz w:val="18"/>
        </w:rPr>
        <w:tab/>
      </w:r>
      <w:r>
        <w:rPr>
          <w:spacing w:val="-4"/>
          <w:sz w:val="18"/>
        </w:rPr>
        <w:t>CSB</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0"/>
        <w:gridCol w:w="3052"/>
        <w:gridCol w:w="1399"/>
      </w:tblGrid>
      <w:tr>
        <w:trPr>
          <w:trHeight w:val="250" w:hRule="atLeast"/>
        </w:trPr>
        <w:tc>
          <w:tcPr>
            <w:tcW w:w="10261" w:type="dxa"/>
            <w:gridSpan w:val="3"/>
            <w:tcBorders>
              <w:top w:val="single" w:sz="4" w:space="0" w:color="000000"/>
            </w:tcBorders>
            <w:shd w:val="clear" w:color="auto" w:fill="CCEDFF"/>
          </w:tcPr>
          <w:p>
            <w:pPr>
              <w:pStyle w:val="TableParagraph"/>
              <w:tabs>
                <w:tab w:pos="8422" w:val="left" w:leader="none"/>
                <w:tab w:pos="9802" w:val="left" w:leader="none"/>
              </w:tabs>
              <w:spacing w:line="203" w:lineRule="exact"/>
              <w:ind w:left="60"/>
              <w:rPr>
                <w:sz w:val="18"/>
              </w:rPr>
            </w:pPr>
            <w:r>
              <w:rPr>
                <w:b/>
                <w:sz w:val="18"/>
              </w:rPr>
              <w:t>Tier</w:t>
            </w:r>
            <w:r>
              <w:rPr>
                <w:b/>
                <w:spacing w:val="-3"/>
                <w:sz w:val="18"/>
              </w:rPr>
              <w:t> </w:t>
            </w:r>
            <w:r>
              <w:rPr>
                <w:b/>
                <w:sz w:val="18"/>
              </w:rPr>
              <w:t>1 Leverage Ratio </w:t>
            </w:r>
            <w:r>
              <w:rPr>
                <w:b/>
                <w:spacing w:val="-2"/>
                <w:sz w:val="18"/>
              </w:rPr>
              <w:t>(GAAP)</w:t>
            </w:r>
            <w:r>
              <w:rPr>
                <w:b/>
                <w:sz w:val="18"/>
              </w:rPr>
              <w:tab/>
            </w:r>
            <w:r>
              <w:rPr>
                <w:spacing w:val="-4"/>
                <w:sz w:val="18"/>
              </w:rPr>
              <w:t>8.2%</w:t>
            </w:r>
            <w:r>
              <w:rPr>
                <w:sz w:val="18"/>
              </w:rPr>
              <w:tab/>
            </w:r>
            <w:r>
              <w:rPr>
                <w:spacing w:val="-4"/>
                <w:sz w:val="18"/>
              </w:rPr>
              <w:t>9.6%</w:t>
            </w:r>
          </w:p>
        </w:tc>
      </w:tr>
      <w:tr>
        <w:trPr>
          <w:trHeight w:val="255" w:hRule="atLeast"/>
        </w:trPr>
        <w:tc>
          <w:tcPr>
            <w:tcW w:w="5810" w:type="dxa"/>
          </w:tcPr>
          <w:p>
            <w:pPr>
              <w:pStyle w:val="TableParagraph"/>
              <w:spacing w:before="1"/>
              <w:ind w:left="300"/>
              <w:rPr>
                <w:sz w:val="18"/>
              </w:rPr>
            </w:pPr>
            <w:r>
              <w:rPr>
                <w:sz w:val="18"/>
              </w:rPr>
              <w:t>Tier 1 </w:t>
            </w:r>
            <w:r>
              <w:rPr>
                <w:spacing w:val="-2"/>
                <w:sz w:val="18"/>
              </w:rPr>
              <w:t>Capital</w:t>
            </w:r>
          </w:p>
        </w:tc>
        <w:tc>
          <w:tcPr>
            <w:tcW w:w="3052" w:type="dxa"/>
          </w:tcPr>
          <w:p>
            <w:pPr>
              <w:pStyle w:val="TableParagraph"/>
              <w:tabs>
                <w:tab w:pos="2342" w:val="left" w:leader="none"/>
              </w:tabs>
              <w:spacing w:before="1"/>
              <w:ind w:left="1735"/>
              <w:rPr>
                <w:sz w:val="18"/>
              </w:rPr>
            </w:pPr>
            <w:r>
              <w:rPr>
                <w:spacing w:val="-10"/>
                <w:sz w:val="18"/>
              </w:rPr>
              <w:t>$</w:t>
            </w:r>
            <w:r>
              <w:rPr>
                <w:sz w:val="18"/>
              </w:rPr>
              <w:tab/>
            </w:r>
            <w:r>
              <w:rPr>
                <w:spacing w:val="-2"/>
                <w:sz w:val="18"/>
              </w:rPr>
              <w:t>39,972</w:t>
            </w:r>
          </w:p>
        </w:tc>
        <w:tc>
          <w:tcPr>
            <w:tcW w:w="1399" w:type="dxa"/>
          </w:tcPr>
          <w:p>
            <w:pPr>
              <w:pStyle w:val="TableParagraph"/>
              <w:tabs>
                <w:tab w:pos="670" w:val="left" w:leader="none"/>
              </w:tabs>
              <w:spacing w:before="1"/>
              <w:ind w:left="62"/>
              <w:rPr>
                <w:sz w:val="18"/>
              </w:rPr>
            </w:pPr>
            <w:r>
              <w:rPr>
                <w:spacing w:val="-10"/>
                <w:sz w:val="18"/>
              </w:rPr>
              <w:t>$</w:t>
            </w:r>
            <w:r>
              <w:rPr>
                <w:sz w:val="18"/>
              </w:rPr>
              <w:tab/>
            </w:r>
            <w:r>
              <w:rPr>
                <w:spacing w:val="-2"/>
                <w:sz w:val="18"/>
              </w:rPr>
              <w:t>31,765</w:t>
            </w:r>
          </w:p>
        </w:tc>
      </w:tr>
      <w:tr>
        <w:trPr>
          <w:trHeight w:val="250" w:hRule="atLeast"/>
        </w:trPr>
        <w:tc>
          <w:tcPr>
            <w:tcW w:w="5810" w:type="dxa"/>
            <w:tcBorders>
              <w:bottom w:val="single" w:sz="4" w:space="0" w:color="000000"/>
            </w:tcBorders>
            <w:shd w:val="clear" w:color="auto" w:fill="CCEDFF"/>
          </w:tcPr>
          <w:p>
            <w:pPr>
              <w:pStyle w:val="TableParagraph"/>
              <w:spacing w:before="1"/>
              <w:ind w:left="420"/>
              <w:rPr>
                <w:sz w:val="18"/>
              </w:rPr>
            </w:pPr>
            <w:r>
              <w:rPr>
                <w:sz w:val="18"/>
              </w:rPr>
              <w:t>Plus:</w:t>
            </w:r>
            <w:r>
              <w:rPr>
                <w:spacing w:val="-2"/>
                <w:sz w:val="18"/>
              </w:rPr>
              <w:t> </w:t>
            </w:r>
            <w:r>
              <w:rPr>
                <w:sz w:val="18"/>
              </w:rPr>
              <w:t>AOCI</w:t>
            </w:r>
            <w:r>
              <w:rPr>
                <w:spacing w:val="-2"/>
                <w:sz w:val="18"/>
              </w:rPr>
              <w:t> adjustment</w:t>
            </w:r>
          </w:p>
        </w:tc>
        <w:tc>
          <w:tcPr>
            <w:tcW w:w="3052" w:type="dxa"/>
            <w:tcBorders>
              <w:bottom w:val="single" w:sz="4" w:space="0" w:color="000000"/>
            </w:tcBorders>
            <w:shd w:val="clear" w:color="auto" w:fill="CCEDFF"/>
          </w:tcPr>
          <w:p>
            <w:pPr>
              <w:pStyle w:val="TableParagraph"/>
              <w:spacing w:before="1"/>
              <w:ind w:right="152"/>
              <w:jc w:val="right"/>
              <w:rPr>
                <w:sz w:val="18"/>
              </w:rPr>
            </w:pPr>
            <w:r>
              <w:rPr>
                <w:spacing w:val="-2"/>
                <w:sz w:val="18"/>
              </w:rPr>
              <w:t>(20,752)</w:t>
            </w:r>
          </w:p>
        </w:tc>
        <w:tc>
          <w:tcPr>
            <w:tcW w:w="1399" w:type="dxa"/>
            <w:tcBorders>
              <w:bottom w:val="single" w:sz="4" w:space="0" w:color="000000"/>
            </w:tcBorders>
            <w:shd w:val="clear" w:color="auto" w:fill="CCEDFF"/>
          </w:tcPr>
          <w:p>
            <w:pPr>
              <w:pStyle w:val="TableParagraph"/>
              <w:spacing w:before="1"/>
              <w:ind w:left="610"/>
              <w:rPr>
                <w:sz w:val="18"/>
              </w:rPr>
            </w:pPr>
            <w:r>
              <w:rPr>
                <w:spacing w:val="-2"/>
                <w:sz w:val="18"/>
              </w:rPr>
              <w:t>(18,144)</w:t>
            </w:r>
          </w:p>
        </w:tc>
      </w:tr>
      <w:tr>
        <w:trPr>
          <w:trHeight w:val="245" w:hRule="atLeast"/>
        </w:trPr>
        <w:tc>
          <w:tcPr>
            <w:tcW w:w="5810" w:type="dxa"/>
            <w:tcBorders>
              <w:top w:val="single" w:sz="4" w:space="0" w:color="000000"/>
              <w:bottom w:val="single" w:sz="4" w:space="0" w:color="000000"/>
            </w:tcBorders>
          </w:tcPr>
          <w:p>
            <w:pPr>
              <w:pStyle w:val="TableParagraph"/>
              <w:spacing w:line="203" w:lineRule="exact"/>
              <w:ind w:left="300"/>
              <w:rPr>
                <w:sz w:val="18"/>
              </w:rPr>
            </w:pPr>
            <w:r>
              <w:rPr>
                <w:sz w:val="18"/>
              </w:rPr>
              <w:t>Adjusted</w:t>
            </w:r>
            <w:r>
              <w:rPr>
                <w:spacing w:val="-3"/>
                <w:sz w:val="18"/>
              </w:rPr>
              <w:t> </w:t>
            </w:r>
            <w:r>
              <w:rPr>
                <w:sz w:val="18"/>
              </w:rPr>
              <w:t>Tier</w:t>
            </w:r>
            <w:r>
              <w:rPr>
                <w:spacing w:val="-1"/>
                <w:sz w:val="18"/>
              </w:rPr>
              <w:t> </w:t>
            </w:r>
            <w:r>
              <w:rPr>
                <w:sz w:val="18"/>
              </w:rPr>
              <w:t>1 </w:t>
            </w:r>
            <w:r>
              <w:rPr>
                <w:spacing w:val="-2"/>
                <w:sz w:val="18"/>
              </w:rPr>
              <w:t>Capital</w:t>
            </w:r>
          </w:p>
        </w:tc>
        <w:tc>
          <w:tcPr>
            <w:tcW w:w="3052" w:type="dxa"/>
            <w:tcBorders>
              <w:top w:val="single" w:sz="4" w:space="0" w:color="000000"/>
              <w:bottom w:val="single" w:sz="4" w:space="0" w:color="000000"/>
            </w:tcBorders>
          </w:tcPr>
          <w:p>
            <w:pPr>
              <w:pStyle w:val="TableParagraph"/>
              <w:spacing w:line="203" w:lineRule="exact"/>
              <w:ind w:right="212"/>
              <w:jc w:val="right"/>
              <w:rPr>
                <w:sz w:val="18"/>
              </w:rPr>
            </w:pPr>
            <w:r>
              <w:rPr>
                <w:spacing w:val="-2"/>
                <w:sz w:val="18"/>
              </w:rPr>
              <w:t>19,220</w:t>
            </w:r>
          </w:p>
        </w:tc>
        <w:tc>
          <w:tcPr>
            <w:tcW w:w="1399" w:type="dxa"/>
            <w:tcBorders>
              <w:top w:val="single" w:sz="4" w:space="0" w:color="000000"/>
              <w:bottom w:val="single" w:sz="4" w:space="0" w:color="000000"/>
            </w:tcBorders>
          </w:tcPr>
          <w:p>
            <w:pPr>
              <w:pStyle w:val="TableParagraph"/>
              <w:spacing w:line="203" w:lineRule="exact"/>
              <w:ind w:left="670"/>
              <w:rPr>
                <w:sz w:val="18"/>
              </w:rPr>
            </w:pPr>
            <w:r>
              <w:rPr>
                <w:spacing w:val="-2"/>
                <w:sz w:val="18"/>
              </w:rPr>
              <w:t>13,621</w:t>
            </w:r>
          </w:p>
        </w:tc>
      </w:tr>
      <w:tr>
        <w:trPr>
          <w:trHeight w:val="250" w:hRule="atLeast"/>
        </w:trPr>
        <w:tc>
          <w:tcPr>
            <w:tcW w:w="5810" w:type="dxa"/>
            <w:tcBorders>
              <w:top w:val="single" w:sz="4" w:space="0" w:color="000000"/>
            </w:tcBorders>
            <w:shd w:val="clear" w:color="auto" w:fill="CCEDFF"/>
          </w:tcPr>
          <w:p>
            <w:pPr>
              <w:pStyle w:val="TableParagraph"/>
              <w:spacing w:line="203" w:lineRule="exact"/>
              <w:ind w:left="300"/>
              <w:rPr>
                <w:sz w:val="18"/>
              </w:rPr>
            </w:pPr>
            <w:r>
              <w:rPr>
                <w:sz w:val="18"/>
              </w:rPr>
              <w:t>Average</w:t>
            </w:r>
            <w:r>
              <w:rPr>
                <w:spacing w:val="-1"/>
                <w:sz w:val="18"/>
              </w:rPr>
              <w:t> </w:t>
            </w:r>
            <w:r>
              <w:rPr>
                <w:sz w:val="18"/>
              </w:rPr>
              <w:t>assets</w:t>
            </w:r>
            <w:r>
              <w:rPr>
                <w:spacing w:val="-2"/>
                <w:sz w:val="18"/>
              </w:rPr>
              <w:t> </w:t>
            </w:r>
            <w:r>
              <w:rPr>
                <w:sz w:val="18"/>
              </w:rPr>
              <w:t>with</w:t>
            </w:r>
            <w:r>
              <w:rPr>
                <w:spacing w:val="-1"/>
                <w:sz w:val="18"/>
              </w:rPr>
              <w:t> </w:t>
            </w:r>
            <w:r>
              <w:rPr>
                <w:sz w:val="18"/>
              </w:rPr>
              <w:t>regulatory</w:t>
            </w:r>
            <w:r>
              <w:rPr>
                <w:spacing w:val="-1"/>
                <w:sz w:val="18"/>
              </w:rPr>
              <w:t> </w:t>
            </w:r>
            <w:r>
              <w:rPr>
                <w:spacing w:val="-2"/>
                <w:sz w:val="18"/>
              </w:rPr>
              <w:t>adjustments</w:t>
            </w:r>
          </w:p>
        </w:tc>
        <w:tc>
          <w:tcPr>
            <w:tcW w:w="3052" w:type="dxa"/>
            <w:tcBorders>
              <w:top w:val="single" w:sz="4" w:space="0" w:color="000000"/>
            </w:tcBorders>
            <w:shd w:val="clear" w:color="auto" w:fill="CCEDFF"/>
          </w:tcPr>
          <w:p>
            <w:pPr>
              <w:pStyle w:val="TableParagraph"/>
              <w:spacing w:line="203" w:lineRule="exact"/>
              <w:ind w:right="212"/>
              <w:jc w:val="right"/>
              <w:rPr>
                <w:sz w:val="18"/>
              </w:rPr>
            </w:pPr>
            <w:r>
              <w:rPr>
                <w:spacing w:val="-2"/>
                <w:sz w:val="18"/>
              </w:rPr>
              <w:t>488,627</w:t>
            </w:r>
          </w:p>
        </w:tc>
        <w:tc>
          <w:tcPr>
            <w:tcW w:w="1399" w:type="dxa"/>
            <w:tcBorders>
              <w:top w:val="single" w:sz="4" w:space="0" w:color="000000"/>
            </w:tcBorders>
            <w:shd w:val="clear" w:color="auto" w:fill="CCEDFF"/>
          </w:tcPr>
          <w:p>
            <w:pPr>
              <w:pStyle w:val="TableParagraph"/>
              <w:spacing w:line="203" w:lineRule="exact"/>
              <w:ind w:left="580"/>
              <w:rPr>
                <w:sz w:val="18"/>
              </w:rPr>
            </w:pPr>
            <w:r>
              <w:rPr>
                <w:spacing w:val="-2"/>
                <w:sz w:val="18"/>
              </w:rPr>
              <w:t>330,908</w:t>
            </w:r>
          </w:p>
        </w:tc>
      </w:tr>
      <w:tr>
        <w:trPr>
          <w:trHeight w:val="250" w:hRule="atLeast"/>
        </w:trPr>
        <w:tc>
          <w:tcPr>
            <w:tcW w:w="5810" w:type="dxa"/>
            <w:tcBorders>
              <w:bottom w:val="single" w:sz="4" w:space="0" w:color="000000"/>
            </w:tcBorders>
          </w:tcPr>
          <w:p>
            <w:pPr>
              <w:pStyle w:val="TableParagraph"/>
              <w:spacing w:before="1"/>
              <w:ind w:left="420"/>
              <w:rPr>
                <w:sz w:val="18"/>
              </w:rPr>
            </w:pPr>
            <w:r>
              <w:rPr>
                <w:sz w:val="18"/>
              </w:rPr>
              <w:t>Plus:</w:t>
            </w:r>
            <w:r>
              <w:rPr>
                <w:spacing w:val="-2"/>
                <w:sz w:val="18"/>
              </w:rPr>
              <w:t> </w:t>
            </w:r>
            <w:r>
              <w:rPr>
                <w:sz w:val="18"/>
              </w:rPr>
              <w:t>AOCI</w:t>
            </w:r>
            <w:r>
              <w:rPr>
                <w:spacing w:val="-2"/>
                <w:sz w:val="18"/>
              </w:rPr>
              <w:t> adjustment</w:t>
            </w:r>
          </w:p>
        </w:tc>
        <w:tc>
          <w:tcPr>
            <w:tcW w:w="3052" w:type="dxa"/>
            <w:tcBorders>
              <w:bottom w:val="single" w:sz="4" w:space="0" w:color="000000"/>
            </w:tcBorders>
          </w:tcPr>
          <w:p>
            <w:pPr>
              <w:pStyle w:val="TableParagraph"/>
              <w:spacing w:before="1"/>
              <w:ind w:right="152"/>
              <w:jc w:val="right"/>
              <w:rPr>
                <w:sz w:val="18"/>
              </w:rPr>
            </w:pPr>
            <w:r>
              <w:rPr>
                <w:spacing w:val="-2"/>
                <w:sz w:val="18"/>
              </w:rPr>
              <w:t>(20,033)</w:t>
            </w:r>
          </w:p>
        </w:tc>
        <w:tc>
          <w:tcPr>
            <w:tcW w:w="1399" w:type="dxa"/>
            <w:tcBorders>
              <w:bottom w:val="single" w:sz="4" w:space="0" w:color="000000"/>
            </w:tcBorders>
          </w:tcPr>
          <w:p>
            <w:pPr>
              <w:pStyle w:val="TableParagraph"/>
              <w:spacing w:before="1"/>
              <w:ind w:left="610"/>
              <w:rPr>
                <w:sz w:val="18"/>
              </w:rPr>
            </w:pPr>
            <w:r>
              <w:rPr>
                <w:spacing w:val="-2"/>
                <w:sz w:val="18"/>
              </w:rPr>
              <w:t>(17,950)</w:t>
            </w:r>
          </w:p>
        </w:tc>
      </w:tr>
      <w:tr>
        <w:trPr>
          <w:trHeight w:val="245" w:hRule="atLeast"/>
        </w:trPr>
        <w:tc>
          <w:tcPr>
            <w:tcW w:w="5810" w:type="dxa"/>
            <w:tcBorders>
              <w:top w:val="single" w:sz="4" w:space="0" w:color="000000"/>
              <w:bottom w:val="single" w:sz="4" w:space="0" w:color="000000"/>
            </w:tcBorders>
            <w:shd w:val="clear" w:color="auto" w:fill="CCEDFF"/>
          </w:tcPr>
          <w:p>
            <w:pPr>
              <w:pStyle w:val="TableParagraph"/>
              <w:spacing w:line="203" w:lineRule="exact"/>
              <w:ind w:left="300"/>
              <w:rPr>
                <w:sz w:val="18"/>
              </w:rPr>
            </w:pPr>
            <w:r>
              <w:rPr>
                <w:sz w:val="18"/>
              </w:rPr>
              <w:t>Adjusted</w:t>
            </w:r>
            <w:r>
              <w:rPr>
                <w:spacing w:val="-1"/>
                <w:sz w:val="18"/>
              </w:rPr>
              <w:t> </w:t>
            </w:r>
            <w:r>
              <w:rPr>
                <w:sz w:val="18"/>
              </w:rPr>
              <w:t>average</w:t>
            </w:r>
            <w:r>
              <w:rPr>
                <w:spacing w:val="-1"/>
                <w:sz w:val="18"/>
              </w:rPr>
              <w:t> </w:t>
            </w:r>
            <w:r>
              <w:rPr>
                <w:sz w:val="18"/>
              </w:rPr>
              <w:t>assets</w:t>
            </w:r>
            <w:r>
              <w:rPr>
                <w:spacing w:val="-2"/>
                <w:sz w:val="18"/>
              </w:rPr>
              <w:t> </w:t>
            </w:r>
            <w:r>
              <w:rPr>
                <w:sz w:val="18"/>
              </w:rPr>
              <w:t>with</w:t>
            </w:r>
            <w:r>
              <w:rPr>
                <w:spacing w:val="-1"/>
                <w:sz w:val="18"/>
              </w:rPr>
              <w:t> </w:t>
            </w:r>
            <w:r>
              <w:rPr>
                <w:sz w:val="18"/>
              </w:rPr>
              <w:t>regulatory</w:t>
            </w:r>
            <w:r>
              <w:rPr>
                <w:spacing w:val="-1"/>
                <w:sz w:val="18"/>
              </w:rPr>
              <w:t> </w:t>
            </w:r>
            <w:r>
              <w:rPr>
                <w:spacing w:val="-2"/>
                <w:sz w:val="18"/>
              </w:rPr>
              <w:t>adjustments</w:t>
            </w:r>
          </w:p>
        </w:tc>
        <w:tc>
          <w:tcPr>
            <w:tcW w:w="3052" w:type="dxa"/>
            <w:tcBorders>
              <w:top w:val="single" w:sz="4" w:space="0" w:color="000000"/>
              <w:bottom w:val="single" w:sz="4" w:space="0" w:color="000000"/>
            </w:tcBorders>
            <w:shd w:val="clear" w:color="auto" w:fill="CCEDFF"/>
          </w:tcPr>
          <w:p>
            <w:pPr>
              <w:pStyle w:val="TableParagraph"/>
              <w:tabs>
                <w:tab w:pos="2252" w:val="left" w:leader="none"/>
              </w:tabs>
              <w:spacing w:line="203" w:lineRule="exact"/>
              <w:ind w:left="1735"/>
              <w:rPr>
                <w:sz w:val="18"/>
              </w:rPr>
            </w:pPr>
            <w:r>
              <w:rPr>
                <w:spacing w:val="-10"/>
                <w:sz w:val="18"/>
              </w:rPr>
              <w:t>$</w:t>
            </w:r>
            <w:r>
              <w:rPr>
                <w:sz w:val="18"/>
              </w:rPr>
              <w:tab/>
            </w:r>
            <w:r>
              <w:rPr>
                <w:spacing w:val="-2"/>
                <w:sz w:val="18"/>
              </w:rPr>
              <w:t>468,594</w:t>
            </w:r>
          </w:p>
        </w:tc>
        <w:tc>
          <w:tcPr>
            <w:tcW w:w="1399" w:type="dxa"/>
            <w:tcBorders>
              <w:top w:val="single" w:sz="4" w:space="0" w:color="000000"/>
              <w:bottom w:val="single" w:sz="4" w:space="0" w:color="000000"/>
            </w:tcBorders>
            <w:shd w:val="clear" w:color="auto" w:fill="CCEDFF"/>
          </w:tcPr>
          <w:p>
            <w:pPr>
              <w:pStyle w:val="TableParagraph"/>
              <w:tabs>
                <w:tab w:pos="580" w:val="left" w:leader="none"/>
              </w:tabs>
              <w:spacing w:line="203" w:lineRule="exact"/>
              <w:ind w:left="62"/>
              <w:rPr>
                <w:sz w:val="18"/>
              </w:rPr>
            </w:pPr>
            <w:r>
              <w:rPr>
                <w:spacing w:val="-10"/>
                <w:sz w:val="18"/>
              </w:rPr>
              <w:t>$</w:t>
            </w:r>
            <w:r>
              <w:rPr>
                <w:sz w:val="18"/>
              </w:rPr>
              <w:tab/>
            </w:r>
            <w:r>
              <w:rPr>
                <w:spacing w:val="-2"/>
                <w:sz w:val="18"/>
              </w:rPr>
              <w:t>312,958</w:t>
            </w:r>
          </w:p>
        </w:tc>
      </w:tr>
      <w:tr>
        <w:trPr>
          <w:trHeight w:val="244" w:hRule="atLeast"/>
        </w:trPr>
        <w:tc>
          <w:tcPr>
            <w:tcW w:w="5810" w:type="dxa"/>
            <w:tcBorders>
              <w:top w:val="single" w:sz="4" w:space="0" w:color="000000"/>
              <w:bottom w:val="single" w:sz="4" w:space="0" w:color="000000"/>
            </w:tcBorders>
          </w:tcPr>
          <w:p>
            <w:pPr>
              <w:pStyle w:val="TableParagraph"/>
              <w:spacing w:line="203" w:lineRule="exact"/>
              <w:ind w:left="60"/>
              <w:rPr>
                <w:b/>
                <w:sz w:val="18"/>
              </w:rPr>
            </w:pPr>
            <w:r>
              <w:rPr>
                <w:b/>
                <w:sz w:val="18"/>
              </w:rPr>
              <w:t>Adjusted</w:t>
            </w:r>
            <w:r>
              <w:rPr>
                <w:b/>
                <w:spacing w:val="-5"/>
                <w:sz w:val="18"/>
              </w:rPr>
              <w:t> </w:t>
            </w:r>
            <w:r>
              <w:rPr>
                <w:b/>
                <w:sz w:val="18"/>
              </w:rPr>
              <w:t>Tier</w:t>
            </w:r>
            <w:r>
              <w:rPr>
                <w:b/>
                <w:spacing w:val="-1"/>
                <w:sz w:val="18"/>
              </w:rPr>
              <w:t> </w:t>
            </w:r>
            <w:r>
              <w:rPr>
                <w:b/>
                <w:sz w:val="18"/>
              </w:rPr>
              <w:t>1</w:t>
            </w:r>
            <w:r>
              <w:rPr>
                <w:b/>
                <w:spacing w:val="-2"/>
                <w:sz w:val="18"/>
              </w:rPr>
              <w:t> </w:t>
            </w:r>
            <w:r>
              <w:rPr>
                <w:b/>
                <w:sz w:val="18"/>
              </w:rPr>
              <w:t>Leverage</w:t>
            </w:r>
            <w:r>
              <w:rPr>
                <w:b/>
                <w:spacing w:val="-1"/>
                <w:sz w:val="18"/>
              </w:rPr>
              <w:t> </w:t>
            </w:r>
            <w:r>
              <w:rPr>
                <w:b/>
                <w:sz w:val="18"/>
              </w:rPr>
              <w:t>Ratio</w:t>
            </w:r>
            <w:r>
              <w:rPr>
                <w:b/>
                <w:spacing w:val="-1"/>
                <w:sz w:val="18"/>
              </w:rPr>
              <w:t> </w:t>
            </w:r>
            <w:r>
              <w:rPr>
                <w:b/>
                <w:sz w:val="18"/>
              </w:rPr>
              <w:t>(non-</w:t>
            </w:r>
            <w:r>
              <w:rPr>
                <w:b/>
                <w:spacing w:val="-4"/>
                <w:sz w:val="18"/>
              </w:rPr>
              <w:t>GAAP)</w:t>
            </w:r>
          </w:p>
        </w:tc>
        <w:tc>
          <w:tcPr>
            <w:tcW w:w="3052" w:type="dxa"/>
            <w:tcBorders>
              <w:top w:val="single" w:sz="4" w:space="0" w:color="000000"/>
              <w:bottom w:val="single" w:sz="4" w:space="0" w:color="000000"/>
            </w:tcBorders>
          </w:tcPr>
          <w:p>
            <w:pPr>
              <w:pStyle w:val="TableParagraph"/>
              <w:spacing w:line="203" w:lineRule="exact"/>
              <w:ind w:right="62"/>
              <w:jc w:val="right"/>
              <w:rPr>
                <w:sz w:val="18"/>
              </w:rPr>
            </w:pPr>
            <w:r>
              <w:rPr>
                <w:spacing w:val="-4"/>
                <w:sz w:val="18"/>
              </w:rPr>
              <w:t>4.1%</w:t>
            </w:r>
          </w:p>
        </w:tc>
        <w:tc>
          <w:tcPr>
            <w:tcW w:w="1399" w:type="dxa"/>
            <w:tcBorders>
              <w:top w:val="single" w:sz="4" w:space="0" w:color="000000"/>
              <w:bottom w:val="single" w:sz="4" w:space="0" w:color="000000"/>
            </w:tcBorders>
          </w:tcPr>
          <w:p>
            <w:pPr>
              <w:pStyle w:val="TableParagraph"/>
              <w:spacing w:line="203" w:lineRule="exact"/>
              <w:ind w:right="81"/>
              <w:jc w:val="right"/>
              <w:rPr>
                <w:sz w:val="18"/>
              </w:rPr>
            </w:pPr>
            <w:r>
              <w:rPr>
                <w:spacing w:val="-4"/>
                <w:sz w:val="18"/>
              </w:rPr>
              <w:t>4.4%</w:t>
            </w:r>
          </w:p>
        </w:tc>
      </w:tr>
    </w:tbl>
    <w:p>
      <w:pPr>
        <w:pStyle w:val="BodyText"/>
        <w:spacing w:before="32"/>
      </w:pPr>
    </w:p>
    <w:p>
      <w:pPr>
        <w:pStyle w:val="Heading2"/>
        <w:tabs>
          <w:tab w:pos="1319" w:val="left" w:leader="none"/>
        </w:tabs>
      </w:pPr>
      <w:bookmarkStart w:name="Item 3. Quantitative and Qualitative Dis" w:id="26"/>
      <w:bookmarkEnd w:id="26"/>
      <w:r>
        <w:rPr>
          <w:b w:val="0"/>
        </w:rPr>
      </w:r>
      <w:bookmarkStart w:name="_bookmark1" w:id="27"/>
      <w:bookmarkEnd w:id="27"/>
      <w:r>
        <w:rPr>
          <w:b w:val="0"/>
        </w:rPr>
      </w:r>
      <w:r>
        <w:rPr/>
        <w:t>Item</w:t>
      </w:r>
      <w:r>
        <w:rPr>
          <w:spacing w:val="-2"/>
        </w:rPr>
        <w:t> </w:t>
      </w:r>
      <w:r>
        <w:rPr>
          <w:spacing w:val="-5"/>
        </w:rPr>
        <w:t>3.</w:t>
      </w:r>
      <w:r>
        <w:rPr/>
        <w:tab/>
        <w:t>Quantitative</w:t>
      </w:r>
      <w:r>
        <w:rPr>
          <w:spacing w:val="-8"/>
        </w:rPr>
        <w:t> </w:t>
      </w:r>
      <w:r>
        <w:rPr/>
        <w:t>and</w:t>
      </w:r>
      <w:r>
        <w:rPr>
          <w:spacing w:val="-5"/>
        </w:rPr>
        <w:t> </w:t>
      </w:r>
      <w:r>
        <w:rPr/>
        <w:t>Qualitative</w:t>
      </w:r>
      <w:r>
        <w:rPr>
          <w:spacing w:val="-6"/>
        </w:rPr>
        <w:t> </w:t>
      </w:r>
      <w:r>
        <w:rPr/>
        <w:t>Disclosures</w:t>
      </w:r>
      <w:r>
        <w:rPr>
          <w:spacing w:val="-5"/>
        </w:rPr>
        <w:t> </w:t>
      </w:r>
      <w:r>
        <w:rPr/>
        <w:t>About</w:t>
      </w:r>
      <w:r>
        <w:rPr>
          <w:spacing w:val="-5"/>
        </w:rPr>
        <w:t> </w:t>
      </w:r>
      <w:r>
        <w:rPr/>
        <w:t>Market</w:t>
      </w:r>
      <w:r>
        <w:rPr>
          <w:spacing w:val="-4"/>
        </w:rPr>
        <w:t> Risk</w:t>
      </w:r>
    </w:p>
    <w:p>
      <w:pPr>
        <w:pStyle w:val="BodyText"/>
        <w:spacing w:before="23"/>
        <w:rPr>
          <w:b/>
        </w:rPr>
      </w:pPr>
    </w:p>
    <w:p>
      <w:pPr>
        <w:pStyle w:val="BodyText"/>
        <w:ind w:left="470"/>
      </w:pPr>
      <w:r>
        <w:rPr/>
        <w:t>For</w:t>
      </w:r>
      <w:r>
        <w:rPr>
          <w:spacing w:val="-6"/>
        </w:rPr>
        <w:t> </w:t>
      </w:r>
      <w:r>
        <w:rPr/>
        <w:t>discussion</w:t>
      </w:r>
      <w:r>
        <w:rPr>
          <w:spacing w:val="-3"/>
        </w:rPr>
        <w:t> </w:t>
      </w:r>
      <w:r>
        <w:rPr/>
        <w:t>of</w:t>
      </w:r>
      <w:r>
        <w:rPr>
          <w:spacing w:val="-3"/>
        </w:rPr>
        <w:t> </w:t>
      </w:r>
      <w:r>
        <w:rPr/>
        <w:t>the</w:t>
      </w:r>
      <w:r>
        <w:rPr>
          <w:spacing w:val="-4"/>
        </w:rPr>
        <w:t> </w:t>
      </w:r>
      <w:r>
        <w:rPr/>
        <w:t>quantitative</w:t>
      </w:r>
      <w:r>
        <w:rPr>
          <w:spacing w:val="-4"/>
        </w:rPr>
        <w:t> </w:t>
      </w:r>
      <w:r>
        <w:rPr/>
        <w:t>and</w:t>
      </w:r>
      <w:r>
        <w:rPr>
          <w:spacing w:val="-3"/>
        </w:rPr>
        <w:t> </w:t>
      </w:r>
      <w:r>
        <w:rPr/>
        <w:t>qualitative</w:t>
      </w:r>
      <w:r>
        <w:rPr>
          <w:spacing w:val="-4"/>
        </w:rPr>
        <w:t> </w:t>
      </w:r>
      <w:r>
        <w:rPr/>
        <w:t>disclosures</w:t>
      </w:r>
      <w:r>
        <w:rPr>
          <w:spacing w:val="-4"/>
        </w:rPr>
        <w:t> </w:t>
      </w:r>
      <w:r>
        <w:rPr/>
        <w:t>about</w:t>
      </w:r>
      <w:r>
        <w:rPr>
          <w:spacing w:val="-4"/>
        </w:rPr>
        <w:t> </w:t>
      </w:r>
      <w:r>
        <w:rPr/>
        <w:t>market</w:t>
      </w:r>
      <w:r>
        <w:rPr>
          <w:spacing w:val="-4"/>
        </w:rPr>
        <w:t> </w:t>
      </w:r>
      <w:r>
        <w:rPr/>
        <w:t>risk,</w:t>
      </w:r>
      <w:r>
        <w:rPr>
          <w:spacing w:val="-3"/>
        </w:rPr>
        <w:t> </w:t>
      </w:r>
      <w:r>
        <w:rPr/>
        <w:t>see</w:t>
      </w:r>
      <w:r>
        <w:rPr>
          <w:spacing w:val="-4"/>
        </w:rPr>
        <w:t> </w:t>
      </w:r>
      <w:r>
        <w:rPr/>
        <w:t>Risk</w:t>
      </w:r>
      <w:r>
        <w:rPr>
          <w:spacing w:val="-3"/>
        </w:rPr>
        <w:t> </w:t>
      </w:r>
      <w:r>
        <w:rPr/>
        <w:t>Management</w:t>
      </w:r>
      <w:r>
        <w:rPr>
          <w:spacing w:val="-4"/>
        </w:rPr>
        <w:t> </w:t>
      </w:r>
      <w:r>
        <w:rPr/>
        <w:t>in</w:t>
      </w:r>
      <w:r>
        <w:rPr>
          <w:spacing w:val="-3"/>
        </w:rPr>
        <w:t> </w:t>
      </w:r>
      <w:r>
        <w:rPr/>
        <w:t>Item</w:t>
      </w:r>
      <w:r>
        <w:rPr>
          <w:spacing w:val="-4"/>
        </w:rPr>
        <w:t> </w:t>
      </w:r>
      <w:r>
        <w:rPr>
          <w:spacing w:val="-5"/>
        </w:rPr>
        <w:t>2.</w:t>
      </w:r>
    </w:p>
    <w:p>
      <w:pPr>
        <w:spacing w:after="0"/>
        <w:sectPr>
          <w:pgSz w:w="12240" w:h="15840"/>
          <w:pgMar w:header="512" w:footer="201" w:top="1180" w:bottom="400" w:left="520" w:right="520"/>
        </w:sectPr>
      </w:pPr>
    </w:p>
    <w:p>
      <w:pPr>
        <w:spacing w:before="78"/>
        <w:ind w:left="470" w:right="0" w:firstLine="0"/>
        <w:jc w:val="left"/>
        <w:rPr>
          <w:b/>
          <w:sz w:val="20"/>
        </w:rPr>
      </w:pPr>
      <w:r>
        <w:rPr>
          <w:b/>
          <w:sz w:val="20"/>
        </w:rPr>
        <w:t>Part</w:t>
      </w:r>
      <w:r>
        <w:rPr>
          <w:b/>
          <w:spacing w:val="-3"/>
          <w:sz w:val="20"/>
        </w:rPr>
        <w:t> </w:t>
      </w:r>
      <w:r>
        <w:rPr>
          <w:b/>
          <w:sz w:val="20"/>
        </w:rPr>
        <w:t>I</w:t>
      </w:r>
      <w:r>
        <w:rPr>
          <w:b/>
          <w:spacing w:val="-3"/>
          <w:sz w:val="20"/>
        </w:rPr>
        <w:t> </w:t>
      </w:r>
      <w:r>
        <w:rPr>
          <w:b/>
          <w:sz w:val="20"/>
        </w:rPr>
        <w:t>-</w:t>
      </w:r>
      <w:r>
        <w:rPr>
          <w:b/>
          <w:spacing w:val="-3"/>
          <w:sz w:val="20"/>
        </w:rPr>
        <w:t> </w:t>
      </w:r>
      <w:r>
        <w:rPr>
          <w:b/>
          <w:sz w:val="20"/>
        </w:rPr>
        <w:t>FINANCIAL</w:t>
      </w:r>
      <w:r>
        <w:rPr>
          <w:b/>
          <w:spacing w:val="-3"/>
          <w:sz w:val="20"/>
        </w:rPr>
        <w:t> </w:t>
      </w:r>
      <w:r>
        <w:rPr>
          <w:b/>
          <w:spacing w:val="-2"/>
          <w:sz w:val="20"/>
        </w:rPr>
        <w:t>INFORMATION</w:t>
      </w:r>
    </w:p>
    <w:p>
      <w:pPr>
        <w:spacing w:before="10"/>
        <w:ind w:left="470" w:right="0" w:firstLine="0"/>
        <w:jc w:val="left"/>
        <w:rPr>
          <w:b/>
          <w:sz w:val="20"/>
        </w:rPr>
      </w:pPr>
      <w:r>
        <w:rPr>
          <w:b/>
          <w:sz w:val="20"/>
        </w:rPr>
        <w:t>Item</w:t>
      </w:r>
      <w:r>
        <w:rPr>
          <w:b/>
          <w:spacing w:val="-4"/>
          <w:sz w:val="20"/>
        </w:rPr>
        <w:t> </w:t>
      </w:r>
      <w:r>
        <w:rPr>
          <w:b/>
          <w:sz w:val="20"/>
        </w:rPr>
        <w:t>1.</w:t>
      </w:r>
      <w:r>
        <w:rPr>
          <w:b/>
          <w:spacing w:val="42"/>
          <w:sz w:val="20"/>
        </w:rPr>
        <w:t> </w:t>
      </w:r>
      <w:r>
        <w:rPr>
          <w:b/>
          <w:sz w:val="20"/>
        </w:rPr>
        <w:t>Condensed</w:t>
      </w:r>
      <w:r>
        <w:rPr>
          <w:b/>
          <w:spacing w:val="-4"/>
          <w:sz w:val="20"/>
        </w:rPr>
        <w:t> </w:t>
      </w:r>
      <w:r>
        <w:rPr>
          <w:b/>
          <w:sz w:val="20"/>
        </w:rPr>
        <w:t>Consolidated</w:t>
      </w:r>
      <w:r>
        <w:rPr>
          <w:b/>
          <w:spacing w:val="-5"/>
          <w:sz w:val="20"/>
        </w:rPr>
        <w:t> </w:t>
      </w:r>
      <w:r>
        <w:rPr>
          <w:b/>
          <w:sz w:val="20"/>
        </w:rPr>
        <w:t>Financial</w:t>
      </w:r>
      <w:r>
        <w:rPr>
          <w:b/>
          <w:spacing w:val="-4"/>
          <w:sz w:val="20"/>
        </w:rPr>
        <w:t> </w:t>
      </w:r>
      <w:r>
        <w:rPr>
          <w:b/>
          <w:spacing w:val="-2"/>
          <w:sz w:val="20"/>
        </w:rPr>
        <w:t>Statements</w:t>
      </w:r>
    </w:p>
    <w:p>
      <w:pPr>
        <w:pStyle w:val="BodyText"/>
        <w:spacing w:before="20"/>
        <w:rPr>
          <w:b/>
        </w:rPr>
      </w:pPr>
    </w:p>
    <w:p>
      <w:pPr>
        <w:pStyle w:val="Heading1"/>
        <w:spacing w:before="0"/>
        <w:ind w:left="89" w:right="89"/>
        <w:jc w:val="center"/>
      </w:pPr>
      <w:r>
        <w:rPr/>
        <w:t>THE</w:t>
      </w:r>
      <w:r>
        <w:rPr>
          <w:spacing w:val="-5"/>
        </w:rPr>
        <w:t> </w:t>
      </w:r>
      <w:r>
        <w:rPr/>
        <w:t>CHARLES</w:t>
      </w:r>
      <w:r>
        <w:rPr>
          <w:spacing w:val="-5"/>
        </w:rPr>
        <w:t> </w:t>
      </w:r>
      <w:r>
        <w:rPr/>
        <w:t>SCHWAB</w:t>
      </w:r>
      <w:r>
        <w:rPr>
          <w:spacing w:val="-5"/>
        </w:rPr>
        <w:t> </w:t>
      </w:r>
      <w:r>
        <w:rPr>
          <w:spacing w:val="-2"/>
        </w:rPr>
        <w:t>CORPORATION</w:t>
      </w:r>
    </w:p>
    <w:p>
      <w:pPr>
        <w:pStyle w:val="Heading2"/>
        <w:spacing w:before="10"/>
        <w:ind w:left="89" w:right="89"/>
        <w:jc w:val="center"/>
      </w:pPr>
      <w:r>
        <w:rPr/>
        <w:t>Condensed</w:t>
      </w:r>
      <w:r>
        <w:rPr>
          <w:spacing w:val="-6"/>
        </w:rPr>
        <w:t> </w:t>
      </w:r>
      <w:r>
        <w:rPr/>
        <w:t>Consolidated</w:t>
      </w:r>
      <w:r>
        <w:rPr>
          <w:spacing w:val="-5"/>
        </w:rPr>
        <w:t> </w:t>
      </w:r>
      <w:r>
        <w:rPr/>
        <w:t>Statements</w:t>
      </w:r>
      <w:r>
        <w:rPr>
          <w:spacing w:val="-6"/>
        </w:rPr>
        <w:t> </w:t>
      </w:r>
      <w:r>
        <w:rPr/>
        <w:t>of</w:t>
      </w:r>
      <w:r>
        <w:rPr>
          <w:spacing w:val="-4"/>
        </w:rPr>
        <w:t> </w:t>
      </w:r>
      <w:r>
        <w:rPr>
          <w:spacing w:val="-2"/>
        </w:rPr>
        <w:t>Income</w:t>
      </w:r>
    </w:p>
    <w:p>
      <w:pPr>
        <w:spacing w:line="249" w:lineRule="auto" w:before="23"/>
        <w:ind w:left="3950" w:right="3947" w:firstLine="0"/>
        <w:jc w:val="center"/>
        <w:rPr>
          <w:sz w:val="16"/>
        </w:rPr>
      </w:pPr>
      <w:r>
        <w:rPr>
          <w:sz w:val="16"/>
        </w:rPr>
        <w:t>(In</w:t>
      </w:r>
      <w:r>
        <w:rPr>
          <w:spacing w:val="-8"/>
          <w:sz w:val="16"/>
        </w:rPr>
        <w:t> </w:t>
      </w:r>
      <w:r>
        <w:rPr>
          <w:sz w:val="16"/>
        </w:rPr>
        <w:t>Millions,</w:t>
      </w:r>
      <w:r>
        <w:rPr>
          <w:spacing w:val="-8"/>
          <w:sz w:val="16"/>
        </w:rPr>
        <w:t> </w:t>
      </w:r>
      <w:r>
        <w:rPr>
          <w:sz w:val="16"/>
        </w:rPr>
        <w:t>Except</w:t>
      </w:r>
      <w:r>
        <w:rPr>
          <w:spacing w:val="-8"/>
          <w:sz w:val="16"/>
        </w:rPr>
        <w:t> </w:t>
      </w:r>
      <w:r>
        <w:rPr>
          <w:sz w:val="16"/>
        </w:rPr>
        <w:t>Per</w:t>
      </w:r>
      <w:r>
        <w:rPr>
          <w:spacing w:val="-8"/>
          <w:sz w:val="16"/>
        </w:rPr>
        <w:t> </w:t>
      </w:r>
      <w:r>
        <w:rPr>
          <w:sz w:val="16"/>
        </w:rPr>
        <w:t>Share</w:t>
      </w:r>
      <w:r>
        <w:rPr>
          <w:spacing w:val="-8"/>
          <w:sz w:val="16"/>
        </w:rPr>
        <w:t> </w:t>
      </w:r>
      <w:r>
        <w:rPr>
          <w:sz w:val="16"/>
        </w:rPr>
        <w:t>Amounts)</w:t>
      </w:r>
      <w:r>
        <w:rPr>
          <w:spacing w:val="40"/>
          <w:sz w:val="16"/>
        </w:rPr>
        <w:t> </w:t>
      </w:r>
      <w:r>
        <w:rPr>
          <w:spacing w:val="-2"/>
          <w:sz w:val="16"/>
        </w:rPr>
        <w:t>(Unaudited)</w:t>
      </w:r>
    </w:p>
    <w:p>
      <w:pPr>
        <w:pStyle w:val="BodyText"/>
        <w:spacing w:before="12"/>
      </w:pPr>
    </w:p>
    <w:p>
      <w:pPr>
        <w:spacing w:after="0"/>
        <w:sectPr>
          <w:headerReference w:type="default" r:id="rId12"/>
          <w:footerReference w:type="default" r:id="rId13"/>
          <w:pgSz w:w="12240" w:h="15840"/>
          <w:pgMar w:header="0" w:footer="201" w:top="380" w:bottom="400" w:left="520" w:right="520"/>
        </w:sectPr>
      </w:pPr>
    </w:p>
    <w:p>
      <w:pPr>
        <w:spacing w:line="208" w:lineRule="auto" w:before="114"/>
        <w:ind w:left="6925" w:right="0" w:hanging="240"/>
        <w:jc w:val="left"/>
        <w:rPr>
          <w:sz w:val="18"/>
        </w:rPr>
      </w:pPr>
      <w:bookmarkStart w:name="Part I - Financial Information - Condens" w:id="28"/>
      <w:bookmarkEnd w:id="28"/>
      <w:r>
        <w:rPr/>
      </w:r>
      <w:bookmarkStart w:name="_bookmark2" w:id="29"/>
      <w:bookmarkEnd w:id="29"/>
      <w:r>
        <w:rPr/>
      </w:r>
      <w:r>
        <w:rPr>
          <w:sz w:val="18"/>
        </w:rPr>
        <w:t>Three</w:t>
      </w:r>
      <w:r>
        <w:rPr>
          <w:spacing w:val="-12"/>
          <w:sz w:val="18"/>
        </w:rPr>
        <w:t> </w:t>
      </w:r>
      <w:r>
        <w:rPr>
          <w:sz w:val="18"/>
        </w:rPr>
        <w:t>Months</w:t>
      </w:r>
      <w:r>
        <w:rPr>
          <w:spacing w:val="-11"/>
          <w:sz w:val="18"/>
        </w:rPr>
        <w:t> </w:t>
      </w:r>
      <w:r>
        <w:rPr>
          <w:sz w:val="18"/>
        </w:rPr>
        <w:t>Ended September 30,</w:t>
      </w:r>
    </w:p>
    <w:p>
      <w:pPr>
        <w:spacing w:line="208" w:lineRule="auto" w:before="114"/>
        <w:ind w:left="900" w:right="807" w:hanging="205"/>
        <w:jc w:val="left"/>
        <w:rPr>
          <w:sz w:val="18"/>
        </w:rPr>
      </w:pPr>
      <w:r>
        <w:rPr/>
        <w:br w:type="column"/>
      </w:r>
      <w:r>
        <w:rPr>
          <w:sz w:val="18"/>
        </w:rPr>
        <w:t>Nine</w:t>
      </w:r>
      <w:r>
        <w:rPr>
          <w:spacing w:val="-12"/>
          <w:sz w:val="18"/>
        </w:rPr>
        <w:t> </w:t>
      </w:r>
      <w:r>
        <w:rPr>
          <w:sz w:val="18"/>
        </w:rPr>
        <w:t>Months</w:t>
      </w:r>
      <w:r>
        <w:rPr>
          <w:spacing w:val="-11"/>
          <w:sz w:val="18"/>
        </w:rPr>
        <w:t> </w:t>
      </w:r>
      <w:r>
        <w:rPr>
          <w:sz w:val="18"/>
        </w:rPr>
        <w:t>Ended September 30,</w:t>
      </w:r>
    </w:p>
    <w:p>
      <w:pPr>
        <w:spacing w:after="0" w:line="208" w:lineRule="auto"/>
        <w:jc w:val="left"/>
        <w:rPr>
          <w:sz w:val="18"/>
        </w:rPr>
        <w:sectPr>
          <w:type w:val="continuous"/>
          <w:pgSz w:w="12240" w:h="15840"/>
          <w:pgMar w:header="0" w:footer="201" w:top="320" w:bottom="280" w:left="520" w:right="520"/>
          <w:cols w:num="2" w:equalWidth="0">
            <w:col w:w="8206" w:space="40"/>
            <w:col w:w="2954"/>
          </w:cols>
        </w:sectPr>
      </w:pPr>
    </w:p>
    <w:p>
      <w:pPr>
        <w:pStyle w:val="BodyText"/>
        <w:rPr>
          <w:sz w:val="3"/>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0"/>
        <w:gridCol w:w="1136"/>
        <w:gridCol w:w="1102"/>
        <w:gridCol w:w="1095"/>
        <w:gridCol w:w="1046"/>
      </w:tblGrid>
      <w:tr>
        <w:trPr>
          <w:trHeight w:val="290" w:hRule="atLeast"/>
        </w:trPr>
        <w:tc>
          <w:tcPr>
            <w:tcW w:w="5880" w:type="dxa"/>
            <w:tcBorders>
              <w:bottom w:val="single" w:sz="4" w:space="0" w:color="000000"/>
            </w:tcBorders>
          </w:tcPr>
          <w:p>
            <w:pPr>
              <w:pStyle w:val="TableParagraph"/>
              <w:rPr>
                <w:sz w:val="16"/>
              </w:rPr>
            </w:pPr>
          </w:p>
        </w:tc>
        <w:tc>
          <w:tcPr>
            <w:tcW w:w="1136" w:type="dxa"/>
            <w:tcBorders>
              <w:top w:val="single" w:sz="4" w:space="0" w:color="000000"/>
              <w:bottom w:val="single" w:sz="4" w:space="0" w:color="000000"/>
            </w:tcBorders>
          </w:tcPr>
          <w:p>
            <w:pPr>
              <w:pStyle w:val="TableParagraph"/>
              <w:spacing w:before="58"/>
              <w:ind w:left="360"/>
              <w:rPr>
                <w:sz w:val="18"/>
              </w:rPr>
            </w:pPr>
            <w:r>
              <w:rPr>
                <w:spacing w:val="-4"/>
                <w:sz w:val="18"/>
              </w:rPr>
              <w:t>2023</w:t>
            </w:r>
          </w:p>
        </w:tc>
        <w:tc>
          <w:tcPr>
            <w:tcW w:w="1102" w:type="dxa"/>
            <w:tcBorders>
              <w:top w:val="single" w:sz="4" w:space="0" w:color="000000"/>
              <w:bottom w:val="single" w:sz="4" w:space="0" w:color="000000"/>
            </w:tcBorders>
          </w:tcPr>
          <w:p>
            <w:pPr>
              <w:pStyle w:val="TableParagraph"/>
              <w:spacing w:before="58"/>
              <w:ind w:left="356"/>
              <w:rPr>
                <w:sz w:val="18"/>
              </w:rPr>
            </w:pPr>
            <w:r>
              <w:rPr>
                <w:spacing w:val="-4"/>
                <w:sz w:val="18"/>
              </w:rPr>
              <w:t>2022</w:t>
            </w:r>
          </w:p>
        </w:tc>
        <w:tc>
          <w:tcPr>
            <w:tcW w:w="1095" w:type="dxa"/>
            <w:tcBorders>
              <w:top w:val="single" w:sz="4" w:space="0" w:color="000000"/>
              <w:bottom w:val="single" w:sz="4" w:space="0" w:color="000000"/>
            </w:tcBorders>
          </w:tcPr>
          <w:p>
            <w:pPr>
              <w:pStyle w:val="TableParagraph"/>
              <w:spacing w:before="58"/>
              <w:ind w:left="349"/>
              <w:rPr>
                <w:sz w:val="18"/>
              </w:rPr>
            </w:pPr>
            <w:r>
              <w:rPr>
                <w:spacing w:val="-4"/>
                <w:sz w:val="18"/>
              </w:rPr>
              <w:t>2023</w:t>
            </w:r>
          </w:p>
        </w:tc>
        <w:tc>
          <w:tcPr>
            <w:tcW w:w="1046" w:type="dxa"/>
            <w:tcBorders>
              <w:top w:val="single" w:sz="4" w:space="0" w:color="000000"/>
              <w:bottom w:val="single" w:sz="4" w:space="0" w:color="000000"/>
            </w:tcBorders>
          </w:tcPr>
          <w:p>
            <w:pPr>
              <w:pStyle w:val="TableParagraph"/>
              <w:spacing w:before="58"/>
              <w:ind w:left="349"/>
              <w:rPr>
                <w:sz w:val="18"/>
              </w:rPr>
            </w:pPr>
            <w:r>
              <w:rPr>
                <w:spacing w:val="-4"/>
                <w:sz w:val="18"/>
              </w:rPr>
              <w:t>2022</w:t>
            </w:r>
          </w:p>
        </w:tc>
      </w:tr>
      <w:tr>
        <w:trPr>
          <w:trHeight w:val="280" w:hRule="atLeast"/>
        </w:trPr>
        <w:tc>
          <w:tcPr>
            <w:tcW w:w="5880" w:type="dxa"/>
            <w:tcBorders>
              <w:top w:val="single" w:sz="4" w:space="0" w:color="000000"/>
            </w:tcBorders>
          </w:tcPr>
          <w:p>
            <w:pPr>
              <w:pStyle w:val="TableParagraph"/>
              <w:spacing w:before="43"/>
              <w:ind w:left="52"/>
              <w:rPr>
                <w:b/>
                <w:sz w:val="18"/>
              </w:rPr>
            </w:pPr>
            <w:r>
              <w:rPr>
                <w:b/>
                <w:sz w:val="18"/>
              </w:rPr>
              <w:t>Net</w:t>
            </w:r>
            <w:r>
              <w:rPr>
                <w:b/>
                <w:spacing w:val="-1"/>
                <w:sz w:val="18"/>
              </w:rPr>
              <w:t> </w:t>
            </w:r>
            <w:r>
              <w:rPr>
                <w:b/>
                <w:spacing w:val="-2"/>
                <w:sz w:val="18"/>
              </w:rPr>
              <w:t>Revenues</w:t>
            </w:r>
          </w:p>
        </w:tc>
        <w:tc>
          <w:tcPr>
            <w:tcW w:w="1136" w:type="dxa"/>
            <w:tcBorders>
              <w:top w:val="single" w:sz="4" w:space="0" w:color="000000"/>
            </w:tcBorders>
          </w:tcPr>
          <w:p>
            <w:pPr>
              <w:pStyle w:val="TableParagraph"/>
              <w:rPr>
                <w:sz w:val="16"/>
              </w:rPr>
            </w:pPr>
          </w:p>
        </w:tc>
        <w:tc>
          <w:tcPr>
            <w:tcW w:w="1102" w:type="dxa"/>
            <w:tcBorders>
              <w:top w:val="single" w:sz="4" w:space="0" w:color="000000"/>
            </w:tcBorders>
          </w:tcPr>
          <w:p>
            <w:pPr>
              <w:pStyle w:val="TableParagraph"/>
              <w:rPr>
                <w:sz w:val="16"/>
              </w:rPr>
            </w:pPr>
          </w:p>
        </w:tc>
        <w:tc>
          <w:tcPr>
            <w:tcW w:w="1095" w:type="dxa"/>
            <w:tcBorders>
              <w:top w:val="single" w:sz="4" w:space="0" w:color="000000"/>
            </w:tcBorders>
          </w:tcPr>
          <w:p>
            <w:pPr>
              <w:pStyle w:val="TableParagraph"/>
              <w:rPr>
                <w:sz w:val="16"/>
              </w:rPr>
            </w:pPr>
          </w:p>
        </w:tc>
        <w:tc>
          <w:tcPr>
            <w:tcW w:w="1046" w:type="dxa"/>
            <w:tcBorders>
              <w:top w:val="single" w:sz="4" w:space="0" w:color="000000"/>
            </w:tcBorders>
          </w:tcPr>
          <w:p>
            <w:pPr>
              <w:pStyle w:val="TableParagraph"/>
              <w:rPr>
                <w:sz w:val="16"/>
              </w:rPr>
            </w:pPr>
          </w:p>
        </w:tc>
      </w:tr>
      <w:tr>
        <w:trPr>
          <w:trHeight w:val="285" w:hRule="atLeast"/>
        </w:trPr>
        <w:tc>
          <w:tcPr>
            <w:tcW w:w="5880" w:type="dxa"/>
            <w:shd w:val="clear" w:color="auto" w:fill="CCEDFF"/>
          </w:tcPr>
          <w:p>
            <w:pPr>
              <w:pStyle w:val="TableParagraph"/>
              <w:spacing w:before="48"/>
              <w:ind w:left="412"/>
              <w:rPr>
                <w:sz w:val="18"/>
              </w:rPr>
            </w:pPr>
            <w:r>
              <w:rPr>
                <w:sz w:val="18"/>
              </w:rPr>
              <w:t>Interest</w:t>
            </w:r>
            <w:r>
              <w:rPr>
                <w:spacing w:val="-1"/>
                <w:sz w:val="18"/>
              </w:rPr>
              <w:t> </w:t>
            </w:r>
            <w:r>
              <w:rPr>
                <w:spacing w:val="-2"/>
                <w:sz w:val="18"/>
              </w:rPr>
              <w:t>revenue</w:t>
            </w:r>
          </w:p>
        </w:tc>
        <w:tc>
          <w:tcPr>
            <w:tcW w:w="1136" w:type="dxa"/>
            <w:shd w:val="clear" w:color="auto" w:fill="CCEDFF"/>
          </w:tcPr>
          <w:p>
            <w:pPr>
              <w:pStyle w:val="TableParagraph"/>
              <w:tabs>
                <w:tab w:pos="600" w:val="left" w:leader="none"/>
              </w:tabs>
              <w:spacing w:before="48"/>
              <w:ind w:left="52"/>
              <w:rPr>
                <w:sz w:val="18"/>
              </w:rPr>
            </w:pPr>
            <w:r>
              <w:rPr>
                <w:spacing w:val="-10"/>
                <w:sz w:val="18"/>
              </w:rPr>
              <w:t>$</w:t>
            </w:r>
            <w:r>
              <w:rPr>
                <w:sz w:val="18"/>
              </w:rPr>
              <w:tab/>
            </w:r>
            <w:r>
              <w:rPr>
                <w:spacing w:val="-2"/>
                <w:sz w:val="18"/>
              </w:rPr>
              <w:t>4,028</w:t>
            </w:r>
          </w:p>
        </w:tc>
        <w:tc>
          <w:tcPr>
            <w:tcW w:w="1102" w:type="dxa"/>
            <w:shd w:val="clear" w:color="auto" w:fill="CCEDFF"/>
          </w:tcPr>
          <w:p>
            <w:pPr>
              <w:pStyle w:val="TableParagraph"/>
              <w:tabs>
                <w:tab w:pos="574" w:val="left" w:leader="none"/>
              </w:tabs>
              <w:spacing w:before="48"/>
              <w:ind w:left="71"/>
              <w:rPr>
                <w:sz w:val="18"/>
              </w:rPr>
            </w:pPr>
            <w:r>
              <w:rPr>
                <w:spacing w:val="-10"/>
                <w:sz w:val="18"/>
              </w:rPr>
              <w:t>$</w:t>
            </w:r>
            <w:r>
              <w:rPr>
                <w:sz w:val="18"/>
              </w:rPr>
              <w:tab/>
            </w:r>
            <w:r>
              <w:rPr>
                <w:spacing w:val="-2"/>
                <w:sz w:val="18"/>
              </w:rPr>
              <w:t>3,357</w:t>
            </w:r>
          </w:p>
        </w:tc>
        <w:tc>
          <w:tcPr>
            <w:tcW w:w="1095" w:type="dxa"/>
            <w:shd w:val="clear" w:color="auto" w:fill="CCEDFF"/>
          </w:tcPr>
          <w:p>
            <w:pPr>
              <w:pStyle w:val="TableParagraph"/>
              <w:tabs>
                <w:tab w:pos="412" w:val="left" w:leader="none"/>
              </w:tabs>
              <w:spacing w:before="48"/>
              <w:ind w:right="120"/>
              <w:jc w:val="right"/>
              <w:rPr>
                <w:sz w:val="18"/>
              </w:rPr>
            </w:pPr>
            <w:r>
              <w:rPr>
                <w:spacing w:val="-10"/>
                <w:sz w:val="18"/>
              </w:rPr>
              <w:t>$</w:t>
            </w:r>
            <w:r>
              <w:rPr>
                <w:sz w:val="18"/>
              </w:rPr>
              <w:tab/>
            </w:r>
            <w:r>
              <w:rPr>
                <w:spacing w:val="-2"/>
                <w:sz w:val="18"/>
              </w:rPr>
              <w:t>12,148</w:t>
            </w:r>
          </w:p>
        </w:tc>
        <w:tc>
          <w:tcPr>
            <w:tcW w:w="1046" w:type="dxa"/>
            <w:shd w:val="clear" w:color="auto" w:fill="CCEDFF"/>
          </w:tcPr>
          <w:p>
            <w:pPr>
              <w:pStyle w:val="TableParagraph"/>
              <w:tabs>
                <w:tab w:pos="502" w:val="left" w:leader="none"/>
              </w:tabs>
              <w:spacing w:before="48"/>
              <w:ind w:right="71"/>
              <w:jc w:val="right"/>
              <w:rPr>
                <w:sz w:val="18"/>
              </w:rPr>
            </w:pPr>
            <w:r>
              <w:rPr>
                <w:spacing w:val="-10"/>
                <w:sz w:val="18"/>
              </w:rPr>
              <w:t>$</w:t>
            </w:r>
            <w:r>
              <w:rPr>
                <w:sz w:val="18"/>
              </w:rPr>
              <w:tab/>
            </w:r>
            <w:r>
              <w:rPr>
                <w:spacing w:val="-2"/>
                <w:sz w:val="18"/>
              </w:rPr>
              <w:t>8,386</w:t>
            </w:r>
          </w:p>
        </w:tc>
      </w:tr>
      <w:tr>
        <w:trPr>
          <w:trHeight w:val="280" w:hRule="atLeast"/>
        </w:trPr>
        <w:tc>
          <w:tcPr>
            <w:tcW w:w="5880" w:type="dxa"/>
          </w:tcPr>
          <w:p>
            <w:pPr>
              <w:pStyle w:val="TableParagraph"/>
              <w:spacing w:before="48"/>
              <w:ind w:left="412"/>
              <w:rPr>
                <w:sz w:val="18"/>
              </w:rPr>
            </w:pPr>
            <w:r>
              <w:rPr>
                <w:sz w:val="18"/>
              </w:rPr>
              <w:t>Interest</w:t>
            </w:r>
            <w:r>
              <w:rPr>
                <w:spacing w:val="-1"/>
                <w:sz w:val="18"/>
              </w:rPr>
              <w:t> </w:t>
            </w:r>
            <w:r>
              <w:rPr>
                <w:spacing w:val="-2"/>
                <w:sz w:val="18"/>
              </w:rPr>
              <w:t>expense</w:t>
            </w:r>
          </w:p>
        </w:tc>
        <w:tc>
          <w:tcPr>
            <w:tcW w:w="1136" w:type="dxa"/>
            <w:tcBorders>
              <w:bottom w:val="single" w:sz="4" w:space="0" w:color="000000"/>
            </w:tcBorders>
          </w:tcPr>
          <w:p>
            <w:pPr>
              <w:pStyle w:val="TableParagraph"/>
              <w:spacing w:before="48"/>
              <w:ind w:right="68"/>
              <w:jc w:val="right"/>
              <w:rPr>
                <w:sz w:val="18"/>
              </w:rPr>
            </w:pPr>
            <w:r>
              <w:rPr>
                <w:spacing w:val="-2"/>
                <w:sz w:val="18"/>
              </w:rPr>
              <w:t>(1,791)</w:t>
            </w:r>
          </w:p>
        </w:tc>
        <w:tc>
          <w:tcPr>
            <w:tcW w:w="1102" w:type="dxa"/>
            <w:tcBorders>
              <w:bottom w:val="single" w:sz="4" w:space="0" w:color="000000"/>
            </w:tcBorders>
          </w:tcPr>
          <w:p>
            <w:pPr>
              <w:pStyle w:val="TableParagraph"/>
              <w:spacing w:before="48"/>
              <w:ind w:right="60"/>
              <w:jc w:val="right"/>
              <w:rPr>
                <w:sz w:val="18"/>
              </w:rPr>
            </w:pPr>
            <w:r>
              <w:rPr>
                <w:spacing w:val="-2"/>
                <w:sz w:val="18"/>
              </w:rPr>
              <w:t>(431)</w:t>
            </w:r>
          </w:p>
        </w:tc>
        <w:tc>
          <w:tcPr>
            <w:tcW w:w="1095" w:type="dxa"/>
            <w:tcBorders>
              <w:bottom w:val="single" w:sz="4" w:space="0" w:color="000000"/>
            </w:tcBorders>
          </w:tcPr>
          <w:p>
            <w:pPr>
              <w:pStyle w:val="TableParagraph"/>
              <w:spacing w:before="48"/>
              <w:ind w:right="60"/>
              <w:jc w:val="right"/>
              <w:rPr>
                <w:sz w:val="18"/>
              </w:rPr>
            </w:pPr>
            <w:r>
              <w:rPr>
                <w:spacing w:val="-2"/>
                <w:sz w:val="18"/>
              </w:rPr>
              <w:t>(4,851)</w:t>
            </w:r>
          </w:p>
        </w:tc>
        <w:tc>
          <w:tcPr>
            <w:tcW w:w="1046" w:type="dxa"/>
            <w:tcBorders>
              <w:bottom w:val="single" w:sz="4" w:space="0" w:color="000000"/>
            </w:tcBorders>
          </w:tcPr>
          <w:p>
            <w:pPr>
              <w:pStyle w:val="TableParagraph"/>
              <w:spacing w:before="48"/>
              <w:ind w:right="11"/>
              <w:jc w:val="right"/>
              <w:rPr>
                <w:sz w:val="18"/>
              </w:rPr>
            </w:pPr>
            <w:r>
              <w:rPr>
                <w:spacing w:val="-2"/>
                <w:sz w:val="18"/>
              </w:rPr>
              <w:t>(733)</w:t>
            </w:r>
          </w:p>
        </w:tc>
      </w:tr>
      <w:tr>
        <w:trPr>
          <w:trHeight w:val="280" w:hRule="atLeast"/>
        </w:trPr>
        <w:tc>
          <w:tcPr>
            <w:tcW w:w="5880" w:type="dxa"/>
            <w:shd w:val="clear" w:color="auto" w:fill="CCEDFF"/>
          </w:tcPr>
          <w:p>
            <w:pPr>
              <w:pStyle w:val="TableParagraph"/>
              <w:spacing w:before="43"/>
              <w:ind w:left="277"/>
              <w:rPr>
                <w:sz w:val="18"/>
              </w:rPr>
            </w:pPr>
            <w:r>
              <w:rPr>
                <w:sz w:val="18"/>
              </w:rPr>
              <w:t>Net</w:t>
            </w:r>
            <w:r>
              <w:rPr>
                <w:spacing w:val="-1"/>
                <w:sz w:val="18"/>
              </w:rPr>
              <w:t> </w:t>
            </w:r>
            <w:r>
              <w:rPr>
                <w:sz w:val="18"/>
              </w:rPr>
              <w:t>interest</w:t>
            </w:r>
            <w:r>
              <w:rPr>
                <w:spacing w:val="-1"/>
                <w:sz w:val="18"/>
              </w:rPr>
              <w:t> </w:t>
            </w:r>
            <w:r>
              <w:rPr>
                <w:spacing w:val="-2"/>
                <w:sz w:val="18"/>
              </w:rPr>
              <w:t>revenue</w:t>
            </w:r>
          </w:p>
        </w:tc>
        <w:tc>
          <w:tcPr>
            <w:tcW w:w="1136" w:type="dxa"/>
            <w:tcBorders>
              <w:top w:val="single" w:sz="4" w:space="0" w:color="000000"/>
            </w:tcBorders>
            <w:shd w:val="clear" w:color="auto" w:fill="CCEDFF"/>
          </w:tcPr>
          <w:p>
            <w:pPr>
              <w:pStyle w:val="TableParagraph"/>
              <w:spacing w:before="43"/>
              <w:ind w:right="128"/>
              <w:jc w:val="right"/>
              <w:rPr>
                <w:sz w:val="18"/>
              </w:rPr>
            </w:pPr>
            <w:r>
              <w:rPr>
                <w:spacing w:val="-2"/>
                <w:sz w:val="18"/>
              </w:rPr>
              <w:t>2,237</w:t>
            </w:r>
          </w:p>
        </w:tc>
        <w:tc>
          <w:tcPr>
            <w:tcW w:w="1102" w:type="dxa"/>
            <w:tcBorders>
              <w:top w:val="single" w:sz="4" w:space="0" w:color="000000"/>
            </w:tcBorders>
            <w:shd w:val="clear" w:color="auto" w:fill="CCEDFF"/>
          </w:tcPr>
          <w:p>
            <w:pPr>
              <w:pStyle w:val="TableParagraph"/>
              <w:spacing w:before="43"/>
              <w:ind w:right="120"/>
              <w:jc w:val="right"/>
              <w:rPr>
                <w:sz w:val="18"/>
              </w:rPr>
            </w:pPr>
            <w:r>
              <w:rPr>
                <w:spacing w:val="-2"/>
                <w:sz w:val="18"/>
              </w:rPr>
              <w:t>2,926</w:t>
            </w:r>
          </w:p>
        </w:tc>
        <w:tc>
          <w:tcPr>
            <w:tcW w:w="1095" w:type="dxa"/>
            <w:tcBorders>
              <w:top w:val="single" w:sz="4" w:space="0" w:color="000000"/>
            </w:tcBorders>
            <w:shd w:val="clear" w:color="auto" w:fill="CCEDFF"/>
          </w:tcPr>
          <w:p>
            <w:pPr>
              <w:pStyle w:val="TableParagraph"/>
              <w:spacing w:before="43"/>
              <w:ind w:right="120"/>
              <w:jc w:val="right"/>
              <w:rPr>
                <w:sz w:val="18"/>
              </w:rPr>
            </w:pPr>
            <w:r>
              <w:rPr>
                <w:spacing w:val="-2"/>
                <w:sz w:val="18"/>
              </w:rPr>
              <w:t>7,297</w:t>
            </w:r>
          </w:p>
        </w:tc>
        <w:tc>
          <w:tcPr>
            <w:tcW w:w="1046" w:type="dxa"/>
            <w:tcBorders>
              <w:top w:val="single" w:sz="4" w:space="0" w:color="000000"/>
            </w:tcBorders>
            <w:shd w:val="clear" w:color="auto" w:fill="CCEDFF"/>
          </w:tcPr>
          <w:p>
            <w:pPr>
              <w:pStyle w:val="TableParagraph"/>
              <w:spacing w:before="43"/>
              <w:ind w:right="71"/>
              <w:jc w:val="right"/>
              <w:rPr>
                <w:sz w:val="18"/>
              </w:rPr>
            </w:pPr>
            <w:r>
              <w:rPr>
                <w:spacing w:val="-2"/>
                <w:sz w:val="18"/>
              </w:rPr>
              <w:t>7,653</w:t>
            </w:r>
          </w:p>
        </w:tc>
      </w:tr>
      <w:tr>
        <w:trPr>
          <w:trHeight w:val="285" w:hRule="atLeast"/>
        </w:trPr>
        <w:tc>
          <w:tcPr>
            <w:tcW w:w="5880" w:type="dxa"/>
          </w:tcPr>
          <w:p>
            <w:pPr>
              <w:pStyle w:val="TableParagraph"/>
              <w:spacing w:before="48"/>
              <w:ind w:left="277"/>
              <w:rPr>
                <w:sz w:val="18"/>
              </w:rPr>
            </w:pPr>
            <w:r>
              <w:rPr>
                <w:sz w:val="18"/>
              </w:rPr>
              <w:t>Asset</w:t>
            </w:r>
            <w:r>
              <w:rPr>
                <w:spacing w:val="-1"/>
                <w:sz w:val="18"/>
              </w:rPr>
              <w:t> </w:t>
            </w:r>
            <w:r>
              <w:rPr>
                <w:sz w:val="18"/>
              </w:rPr>
              <w:t>management</w:t>
            </w:r>
            <w:r>
              <w:rPr>
                <w:spacing w:val="-1"/>
                <w:sz w:val="18"/>
              </w:rPr>
              <w:t> </w:t>
            </w:r>
            <w:r>
              <w:rPr>
                <w:sz w:val="18"/>
              </w:rPr>
              <w:t>and</w:t>
            </w:r>
            <w:r>
              <w:rPr>
                <w:spacing w:val="-1"/>
                <w:sz w:val="18"/>
              </w:rPr>
              <w:t> </w:t>
            </w:r>
            <w:r>
              <w:rPr>
                <w:sz w:val="18"/>
              </w:rPr>
              <w:t>administration</w:t>
            </w:r>
            <w:r>
              <w:rPr>
                <w:spacing w:val="-1"/>
                <w:sz w:val="18"/>
              </w:rPr>
              <w:t> </w:t>
            </w:r>
            <w:r>
              <w:rPr>
                <w:sz w:val="18"/>
              </w:rPr>
              <w:t>fees</w:t>
            </w:r>
            <w:r>
              <w:rPr>
                <w:spacing w:val="-3"/>
                <w:sz w:val="18"/>
              </w:rPr>
              <w:t> </w:t>
            </w:r>
            <w:r>
              <w:rPr>
                <w:spacing w:val="-5"/>
                <w:sz w:val="18"/>
                <w:vertAlign w:val="superscript"/>
              </w:rPr>
              <w:t>(1)</w:t>
            </w:r>
          </w:p>
        </w:tc>
        <w:tc>
          <w:tcPr>
            <w:tcW w:w="1136" w:type="dxa"/>
          </w:tcPr>
          <w:p>
            <w:pPr>
              <w:pStyle w:val="TableParagraph"/>
              <w:spacing w:before="48"/>
              <w:ind w:right="128"/>
              <w:jc w:val="right"/>
              <w:rPr>
                <w:sz w:val="18"/>
              </w:rPr>
            </w:pPr>
            <w:r>
              <w:rPr>
                <w:spacing w:val="-2"/>
                <w:sz w:val="18"/>
              </w:rPr>
              <w:t>1,224</w:t>
            </w:r>
          </w:p>
        </w:tc>
        <w:tc>
          <w:tcPr>
            <w:tcW w:w="1102" w:type="dxa"/>
          </w:tcPr>
          <w:p>
            <w:pPr>
              <w:pStyle w:val="TableParagraph"/>
              <w:spacing w:before="48"/>
              <w:ind w:right="120"/>
              <w:jc w:val="right"/>
              <w:rPr>
                <w:sz w:val="18"/>
              </w:rPr>
            </w:pPr>
            <w:r>
              <w:rPr>
                <w:spacing w:val="-2"/>
                <w:sz w:val="18"/>
              </w:rPr>
              <w:t>1,047</w:t>
            </w:r>
          </w:p>
        </w:tc>
        <w:tc>
          <w:tcPr>
            <w:tcW w:w="1095" w:type="dxa"/>
          </w:tcPr>
          <w:p>
            <w:pPr>
              <w:pStyle w:val="TableParagraph"/>
              <w:spacing w:before="48"/>
              <w:ind w:right="120"/>
              <w:jc w:val="right"/>
              <w:rPr>
                <w:sz w:val="18"/>
              </w:rPr>
            </w:pPr>
            <w:r>
              <w:rPr>
                <w:spacing w:val="-2"/>
                <w:sz w:val="18"/>
              </w:rPr>
              <w:t>3,515</w:t>
            </w:r>
          </w:p>
        </w:tc>
        <w:tc>
          <w:tcPr>
            <w:tcW w:w="1046" w:type="dxa"/>
          </w:tcPr>
          <w:p>
            <w:pPr>
              <w:pStyle w:val="TableParagraph"/>
              <w:spacing w:before="48"/>
              <w:ind w:right="71"/>
              <w:jc w:val="right"/>
              <w:rPr>
                <w:sz w:val="18"/>
              </w:rPr>
            </w:pPr>
            <w:r>
              <w:rPr>
                <w:spacing w:val="-2"/>
                <w:sz w:val="18"/>
              </w:rPr>
              <w:t>3,167</w:t>
            </w:r>
          </w:p>
        </w:tc>
      </w:tr>
      <w:tr>
        <w:trPr>
          <w:trHeight w:val="285" w:hRule="atLeast"/>
        </w:trPr>
        <w:tc>
          <w:tcPr>
            <w:tcW w:w="5880" w:type="dxa"/>
            <w:shd w:val="clear" w:color="auto" w:fill="CCEDFF"/>
          </w:tcPr>
          <w:p>
            <w:pPr>
              <w:pStyle w:val="TableParagraph"/>
              <w:spacing w:before="48"/>
              <w:ind w:left="277"/>
              <w:rPr>
                <w:sz w:val="18"/>
              </w:rPr>
            </w:pPr>
            <w:r>
              <w:rPr>
                <w:sz w:val="18"/>
              </w:rPr>
              <w:t>Trading </w:t>
            </w:r>
            <w:r>
              <w:rPr>
                <w:spacing w:val="-2"/>
                <w:sz w:val="18"/>
              </w:rPr>
              <w:t>revenue</w:t>
            </w:r>
          </w:p>
        </w:tc>
        <w:tc>
          <w:tcPr>
            <w:tcW w:w="1136" w:type="dxa"/>
            <w:shd w:val="clear" w:color="auto" w:fill="CCEDFF"/>
          </w:tcPr>
          <w:p>
            <w:pPr>
              <w:pStyle w:val="TableParagraph"/>
              <w:spacing w:before="48"/>
              <w:ind w:right="128"/>
              <w:jc w:val="right"/>
              <w:rPr>
                <w:sz w:val="18"/>
              </w:rPr>
            </w:pPr>
            <w:r>
              <w:rPr>
                <w:spacing w:val="-5"/>
                <w:sz w:val="18"/>
              </w:rPr>
              <w:t>768</w:t>
            </w:r>
          </w:p>
        </w:tc>
        <w:tc>
          <w:tcPr>
            <w:tcW w:w="1102" w:type="dxa"/>
            <w:shd w:val="clear" w:color="auto" w:fill="CCEDFF"/>
          </w:tcPr>
          <w:p>
            <w:pPr>
              <w:pStyle w:val="TableParagraph"/>
              <w:spacing w:before="48"/>
              <w:ind w:right="120"/>
              <w:jc w:val="right"/>
              <w:rPr>
                <w:sz w:val="18"/>
              </w:rPr>
            </w:pPr>
            <w:r>
              <w:rPr>
                <w:spacing w:val="-5"/>
                <w:sz w:val="18"/>
              </w:rPr>
              <w:t>930</w:t>
            </w:r>
          </w:p>
        </w:tc>
        <w:tc>
          <w:tcPr>
            <w:tcW w:w="1095" w:type="dxa"/>
            <w:shd w:val="clear" w:color="auto" w:fill="CCEDFF"/>
          </w:tcPr>
          <w:p>
            <w:pPr>
              <w:pStyle w:val="TableParagraph"/>
              <w:spacing w:before="48"/>
              <w:ind w:right="120"/>
              <w:jc w:val="right"/>
              <w:rPr>
                <w:sz w:val="18"/>
              </w:rPr>
            </w:pPr>
            <w:r>
              <w:rPr>
                <w:spacing w:val="-2"/>
                <w:sz w:val="18"/>
              </w:rPr>
              <w:t>2,463</w:t>
            </w:r>
          </w:p>
        </w:tc>
        <w:tc>
          <w:tcPr>
            <w:tcW w:w="1046" w:type="dxa"/>
            <w:shd w:val="clear" w:color="auto" w:fill="CCEDFF"/>
          </w:tcPr>
          <w:p>
            <w:pPr>
              <w:pStyle w:val="TableParagraph"/>
              <w:spacing w:before="48"/>
              <w:ind w:right="71"/>
              <w:jc w:val="right"/>
              <w:rPr>
                <w:sz w:val="18"/>
              </w:rPr>
            </w:pPr>
            <w:r>
              <w:rPr>
                <w:spacing w:val="-2"/>
                <w:sz w:val="18"/>
              </w:rPr>
              <w:t>2,778</w:t>
            </w:r>
          </w:p>
        </w:tc>
      </w:tr>
      <w:tr>
        <w:trPr>
          <w:trHeight w:val="285" w:hRule="atLeast"/>
        </w:trPr>
        <w:tc>
          <w:tcPr>
            <w:tcW w:w="5880" w:type="dxa"/>
          </w:tcPr>
          <w:p>
            <w:pPr>
              <w:pStyle w:val="TableParagraph"/>
              <w:spacing w:before="48"/>
              <w:ind w:left="292"/>
              <w:rPr>
                <w:sz w:val="18"/>
              </w:rPr>
            </w:pPr>
            <w:r>
              <w:rPr>
                <w:sz w:val="18"/>
              </w:rPr>
              <w:t>Bank</w:t>
            </w:r>
            <w:r>
              <w:rPr>
                <w:spacing w:val="-1"/>
                <w:sz w:val="18"/>
              </w:rPr>
              <w:t> </w:t>
            </w:r>
            <w:r>
              <w:rPr>
                <w:sz w:val="18"/>
              </w:rPr>
              <w:t>deposit account </w:t>
            </w:r>
            <w:r>
              <w:rPr>
                <w:spacing w:val="-4"/>
                <w:sz w:val="18"/>
              </w:rPr>
              <w:t>fees</w:t>
            </w:r>
          </w:p>
        </w:tc>
        <w:tc>
          <w:tcPr>
            <w:tcW w:w="1136" w:type="dxa"/>
          </w:tcPr>
          <w:p>
            <w:pPr>
              <w:pStyle w:val="TableParagraph"/>
              <w:spacing w:before="48"/>
              <w:ind w:right="128"/>
              <w:jc w:val="right"/>
              <w:rPr>
                <w:sz w:val="18"/>
              </w:rPr>
            </w:pPr>
            <w:r>
              <w:rPr>
                <w:spacing w:val="-5"/>
                <w:sz w:val="18"/>
              </w:rPr>
              <w:t>205</w:t>
            </w:r>
          </w:p>
        </w:tc>
        <w:tc>
          <w:tcPr>
            <w:tcW w:w="1102" w:type="dxa"/>
          </w:tcPr>
          <w:p>
            <w:pPr>
              <w:pStyle w:val="TableParagraph"/>
              <w:spacing w:before="48"/>
              <w:ind w:right="120"/>
              <w:jc w:val="right"/>
              <w:rPr>
                <w:sz w:val="18"/>
              </w:rPr>
            </w:pPr>
            <w:r>
              <w:rPr>
                <w:spacing w:val="-5"/>
                <w:sz w:val="18"/>
              </w:rPr>
              <w:t>413</w:t>
            </w:r>
          </w:p>
        </w:tc>
        <w:tc>
          <w:tcPr>
            <w:tcW w:w="1095" w:type="dxa"/>
          </w:tcPr>
          <w:p>
            <w:pPr>
              <w:pStyle w:val="TableParagraph"/>
              <w:spacing w:before="48"/>
              <w:ind w:right="120"/>
              <w:jc w:val="right"/>
              <w:rPr>
                <w:sz w:val="18"/>
              </w:rPr>
            </w:pPr>
            <w:r>
              <w:rPr>
                <w:spacing w:val="-5"/>
                <w:sz w:val="18"/>
              </w:rPr>
              <w:t>531</w:t>
            </w:r>
          </w:p>
        </w:tc>
        <w:tc>
          <w:tcPr>
            <w:tcW w:w="1046" w:type="dxa"/>
          </w:tcPr>
          <w:p>
            <w:pPr>
              <w:pStyle w:val="TableParagraph"/>
              <w:spacing w:before="48"/>
              <w:ind w:right="71"/>
              <w:jc w:val="right"/>
              <w:rPr>
                <w:sz w:val="18"/>
              </w:rPr>
            </w:pPr>
            <w:r>
              <w:rPr>
                <w:spacing w:val="-2"/>
                <w:sz w:val="18"/>
              </w:rPr>
              <w:t>1,059</w:t>
            </w:r>
          </w:p>
        </w:tc>
      </w:tr>
      <w:tr>
        <w:trPr>
          <w:trHeight w:val="280" w:hRule="atLeast"/>
        </w:trPr>
        <w:tc>
          <w:tcPr>
            <w:tcW w:w="5880" w:type="dxa"/>
            <w:tcBorders>
              <w:bottom w:val="single" w:sz="4" w:space="0" w:color="000000"/>
            </w:tcBorders>
            <w:shd w:val="clear" w:color="auto" w:fill="CCEDFF"/>
          </w:tcPr>
          <w:p>
            <w:pPr>
              <w:pStyle w:val="TableParagraph"/>
              <w:spacing w:before="48"/>
              <w:ind w:left="292"/>
              <w:rPr>
                <w:sz w:val="18"/>
              </w:rPr>
            </w:pPr>
            <w:r>
              <w:rPr>
                <w:spacing w:val="-2"/>
                <w:sz w:val="18"/>
              </w:rPr>
              <w:t>Other</w:t>
            </w:r>
          </w:p>
        </w:tc>
        <w:tc>
          <w:tcPr>
            <w:tcW w:w="1136" w:type="dxa"/>
            <w:tcBorders>
              <w:bottom w:val="single" w:sz="4" w:space="0" w:color="000000"/>
            </w:tcBorders>
            <w:shd w:val="clear" w:color="auto" w:fill="CCEDFF"/>
          </w:tcPr>
          <w:p>
            <w:pPr>
              <w:pStyle w:val="TableParagraph"/>
              <w:spacing w:before="48"/>
              <w:ind w:right="128"/>
              <w:jc w:val="right"/>
              <w:rPr>
                <w:sz w:val="18"/>
              </w:rPr>
            </w:pPr>
            <w:r>
              <w:rPr>
                <w:spacing w:val="-5"/>
                <w:sz w:val="18"/>
              </w:rPr>
              <w:t>172</w:t>
            </w:r>
          </w:p>
        </w:tc>
        <w:tc>
          <w:tcPr>
            <w:tcW w:w="1102" w:type="dxa"/>
            <w:tcBorders>
              <w:bottom w:val="single" w:sz="4" w:space="0" w:color="000000"/>
            </w:tcBorders>
            <w:shd w:val="clear" w:color="auto" w:fill="CCEDFF"/>
          </w:tcPr>
          <w:p>
            <w:pPr>
              <w:pStyle w:val="TableParagraph"/>
              <w:spacing w:before="48"/>
              <w:ind w:right="120"/>
              <w:jc w:val="right"/>
              <w:rPr>
                <w:sz w:val="18"/>
              </w:rPr>
            </w:pPr>
            <w:r>
              <w:rPr>
                <w:spacing w:val="-5"/>
                <w:sz w:val="18"/>
              </w:rPr>
              <w:t>184</w:t>
            </w:r>
          </w:p>
        </w:tc>
        <w:tc>
          <w:tcPr>
            <w:tcW w:w="1095" w:type="dxa"/>
            <w:tcBorders>
              <w:bottom w:val="single" w:sz="4" w:space="0" w:color="000000"/>
            </w:tcBorders>
            <w:shd w:val="clear" w:color="auto" w:fill="CCEDFF"/>
          </w:tcPr>
          <w:p>
            <w:pPr>
              <w:pStyle w:val="TableParagraph"/>
              <w:spacing w:before="48"/>
              <w:ind w:right="120"/>
              <w:jc w:val="right"/>
              <w:rPr>
                <w:sz w:val="18"/>
              </w:rPr>
            </w:pPr>
            <w:r>
              <w:rPr>
                <w:spacing w:val="-5"/>
                <w:sz w:val="18"/>
              </w:rPr>
              <w:t>572</w:t>
            </w:r>
          </w:p>
        </w:tc>
        <w:tc>
          <w:tcPr>
            <w:tcW w:w="1046" w:type="dxa"/>
            <w:tcBorders>
              <w:bottom w:val="single" w:sz="4" w:space="0" w:color="000000"/>
            </w:tcBorders>
            <w:shd w:val="clear" w:color="auto" w:fill="CCEDFF"/>
          </w:tcPr>
          <w:p>
            <w:pPr>
              <w:pStyle w:val="TableParagraph"/>
              <w:spacing w:before="48"/>
              <w:ind w:right="71"/>
              <w:jc w:val="right"/>
              <w:rPr>
                <w:sz w:val="18"/>
              </w:rPr>
            </w:pPr>
            <w:r>
              <w:rPr>
                <w:spacing w:val="-5"/>
                <w:sz w:val="18"/>
              </w:rPr>
              <w:t>608</w:t>
            </w:r>
          </w:p>
        </w:tc>
      </w:tr>
      <w:tr>
        <w:trPr>
          <w:trHeight w:val="275" w:hRule="atLeast"/>
        </w:trPr>
        <w:tc>
          <w:tcPr>
            <w:tcW w:w="5880" w:type="dxa"/>
            <w:tcBorders>
              <w:top w:val="single" w:sz="4" w:space="0" w:color="000000"/>
              <w:bottom w:val="single" w:sz="4" w:space="0" w:color="000000"/>
            </w:tcBorders>
          </w:tcPr>
          <w:p>
            <w:pPr>
              <w:pStyle w:val="TableParagraph"/>
              <w:spacing w:before="43"/>
              <w:ind w:left="547"/>
              <w:rPr>
                <w:sz w:val="18"/>
              </w:rPr>
            </w:pPr>
            <w:r>
              <w:rPr>
                <w:sz w:val="18"/>
              </w:rPr>
              <w:t>Total net </w:t>
            </w:r>
            <w:r>
              <w:rPr>
                <w:spacing w:val="-2"/>
                <w:sz w:val="18"/>
              </w:rPr>
              <w:t>revenues</w:t>
            </w:r>
          </w:p>
        </w:tc>
        <w:tc>
          <w:tcPr>
            <w:tcW w:w="1136" w:type="dxa"/>
            <w:tcBorders>
              <w:top w:val="single" w:sz="4" w:space="0" w:color="000000"/>
              <w:bottom w:val="single" w:sz="4" w:space="0" w:color="000000"/>
            </w:tcBorders>
          </w:tcPr>
          <w:p>
            <w:pPr>
              <w:pStyle w:val="TableParagraph"/>
              <w:spacing w:before="43"/>
              <w:ind w:right="128"/>
              <w:jc w:val="right"/>
              <w:rPr>
                <w:sz w:val="18"/>
              </w:rPr>
            </w:pPr>
            <w:r>
              <w:rPr>
                <w:spacing w:val="-2"/>
                <w:sz w:val="18"/>
              </w:rPr>
              <w:t>4,606</w:t>
            </w:r>
          </w:p>
        </w:tc>
        <w:tc>
          <w:tcPr>
            <w:tcW w:w="1102" w:type="dxa"/>
            <w:tcBorders>
              <w:top w:val="single" w:sz="4" w:space="0" w:color="000000"/>
              <w:bottom w:val="single" w:sz="4" w:space="0" w:color="000000"/>
            </w:tcBorders>
          </w:tcPr>
          <w:p>
            <w:pPr>
              <w:pStyle w:val="TableParagraph"/>
              <w:spacing w:before="43"/>
              <w:ind w:right="120"/>
              <w:jc w:val="right"/>
              <w:rPr>
                <w:sz w:val="18"/>
              </w:rPr>
            </w:pPr>
            <w:r>
              <w:rPr>
                <w:spacing w:val="-2"/>
                <w:sz w:val="18"/>
              </w:rPr>
              <w:t>5,500</w:t>
            </w:r>
          </w:p>
        </w:tc>
        <w:tc>
          <w:tcPr>
            <w:tcW w:w="1095" w:type="dxa"/>
            <w:tcBorders>
              <w:top w:val="single" w:sz="4" w:space="0" w:color="000000"/>
              <w:bottom w:val="single" w:sz="4" w:space="0" w:color="000000"/>
            </w:tcBorders>
          </w:tcPr>
          <w:p>
            <w:pPr>
              <w:pStyle w:val="TableParagraph"/>
              <w:spacing w:before="43"/>
              <w:ind w:right="120"/>
              <w:jc w:val="right"/>
              <w:rPr>
                <w:sz w:val="18"/>
              </w:rPr>
            </w:pPr>
            <w:r>
              <w:rPr>
                <w:spacing w:val="-2"/>
                <w:sz w:val="18"/>
              </w:rPr>
              <w:t>14,378</w:t>
            </w:r>
          </w:p>
        </w:tc>
        <w:tc>
          <w:tcPr>
            <w:tcW w:w="1046" w:type="dxa"/>
            <w:tcBorders>
              <w:top w:val="single" w:sz="4" w:space="0" w:color="000000"/>
              <w:bottom w:val="single" w:sz="4" w:space="0" w:color="000000"/>
            </w:tcBorders>
          </w:tcPr>
          <w:p>
            <w:pPr>
              <w:pStyle w:val="TableParagraph"/>
              <w:spacing w:before="43"/>
              <w:ind w:right="71"/>
              <w:jc w:val="right"/>
              <w:rPr>
                <w:sz w:val="18"/>
              </w:rPr>
            </w:pPr>
            <w:r>
              <w:rPr>
                <w:spacing w:val="-2"/>
                <w:sz w:val="18"/>
              </w:rPr>
              <w:t>15,265</w:t>
            </w:r>
          </w:p>
        </w:tc>
      </w:tr>
      <w:tr>
        <w:trPr>
          <w:trHeight w:val="280" w:hRule="atLeast"/>
        </w:trPr>
        <w:tc>
          <w:tcPr>
            <w:tcW w:w="5880" w:type="dxa"/>
            <w:tcBorders>
              <w:top w:val="single" w:sz="4" w:space="0" w:color="000000"/>
            </w:tcBorders>
            <w:shd w:val="clear" w:color="auto" w:fill="CCEDFF"/>
          </w:tcPr>
          <w:p>
            <w:pPr>
              <w:pStyle w:val="TableParagraph"/>
              <w:spacing w:before="43"/>
              <w:ind w:left="52"/>
              <w:rPr>
                <w:b/>
                <w:sz w:val="18"/>
              </w:rPr>
            </w:pPr>
            <w:r>
              <w:rPr>
                <w:b/>
                <w:sz w:val="18"/>
              </w:rPr>
              <w:t>Expenses</w:t>
            </w:r>
            <w:r>
              <w:rPr>
                <w:b/>
                <w:spacing w:val="-4"/>
                <w:sz w:val="18"/>
              </w:rPr>
              <w:t> </w:t>
            </w:r>
            <w:r>
              <w:rPr>
                <w:b/>
                <w:sz w:val="18"/>
              </w:rPr>
              <w:t>Excluding</w:t>
            </w:r>
            <w:r>
              <w:rPr>
                <w:b/>
                <w:spacing w:val="-3"/>
                <w:sz w:val="18"/>
              </w:rPr>
              <w:t> </w:t>
            </w:r>
            <w:r>
              <w:rPr>
                <w:b/>
                <w:spacing w:val="-2"/>
                <w:sz w:val="18"/>
              </w:rPr>
              <w:t>Interest</w:t>
            </w:r>
          </w:p>
        </w:tc>
        <w:tc>
          <w:tcPr>
            <w:tcW w:w="1136" w:type="dxa"/>
            <w:tcBorders>
              <w:top w:val="single" w:sz="4" w:space="0" w:color="000000"/>
            </w:tcBorders>
            <w:shd w:val="clear" w:color="auto" w:fill="CCEDFF"/>
          </w:tcPr>
          <w:p>
            <w:pPr>
              <w:pStyle w:val="TableParagraph"/>
              <w:rPr>
                <w:sz w:val="16"/>
              </w:rPr>
            </w:pPr>
          </w:p>
        </w:tc>
        <w:tc>
          <w:tcPr>
            <w:tcW w:w="1102" w:type="dxa"/>
            <w:tcBorders>
              <w:top w:val="single" w:sz="4" w:space="0" w:color="000000"/>
            </w:tcBorders>
            <w:shd w:val="clear" w:color="auto" w:fill="CCEDFF"/>
          </w:tcPr>
          <w:p>
            <w:pPr>
              <w:pStyle w:val="TableParagraph"/>
              <w:rPr>
                <w:sz w:val="16"/>
              </w:rPr>
            </w:pPr>
          </w:p>
        </w:tc>
        <w:tc>
          <w:tcPr>
            <w:tcW w:w="1095" w:type="dxa"/>
            <w:tcBorders>
              <w:top w:val="single" w:sz="4" w:space="0" w:color="000000"/>
            </w:tcBorders>
            <w:shd w:val="clear" w:color="auto" w:fill="CCEDFF"/>
          </w:tcPr>
          <w:p>
            <w:pPr>
              <w:pStyle w:val="TableParagraph"/>
              <w:rPr>
                <w:sz w:val="16"/>
              </w:rPr>
            </w:pPr>
          </w:p>
        </w:tc>
        <w:tc>
          <w:tcPr>
            <w:tcW w:w="1046" w:type="dxa"/>
            <w:tcBorders>
              <w:top w:val="single" w:sz="4" w:space="0" w:color="000000"/>
            </w:tcBorders>
            <w:shd w:val="clear" w:color="auto" w:fill="CCEDFF"/>
          </w:tcPr>
          <w:p>
            <w:pPr>
              <w:pStyle w:val="TableParagraph"/>
              <w:rPr>
                <w:sz w:val="16"/>
              </w:rPr>
            </w:pPr>
          </w:p>
        </w:tc>
      </w:tr>
      <w:tr>
        <w:trPr>
          <w:trHeight w:val="285" w:hRule="atLeast"/>
        </w:trPr>
        <w:tc>
          <w:tcPr>
            <w:tcW w:w="5880" w:type="dxa"/>
          </w:tcPr>
          <w:p>
            <w:pPr>
              <w:pStyle w:val="TableParagraph"/>
              <w:spacing w:before="48"/>
              <w:ind w:left="277"/>
              <w:rPr>
                <w:sz w:val="18"/>
              </w:rPr>
            </w:pPr>
            <w:r>
              <w:rPr>
                <w:sz w:val="18"/>
              </w:rPr>
              <w:t>Compensation</w:t>
            </w:r>
            <w:r>
              <w:rPr>
                <w:spacing w:val="-3"/>
                <w:sz w:val="18"/>
              </w:rPr>
              <w:t> </w:t>
            </w:r>
            <w:r>
              <w:rPr>
                <w:sz w:val="18"/>
              </w:rPr>
              <w:t>and </w:t>
            </w:r>
            <w:r>
              <w:rPr>
                <w:spacing w:val="-2"/>
                <w:sz w:val="18"/>
              </w:rPr>
              <w:t>benefits</w:t>
            </w:r>
          </w:p>
        </w:tc>
        <w:tc>
          <w:tcPr>
            <w:tcW w:w="1136" w:type="dxa"/>
          </w:tcPr>
          <w:p>
            <w:pPr>
              <w:pStyle w:val="TableParagraph"/>
              <w:spacing w:before="48"/>
              <w:ind w:right="128"/>
              <w:jc w:val="right"/>
              <w:rPr>
                <w:sz w:val="18"/>
              </w:rPr>
            </w:pPr>
            <w:r>
              <w:rPr>
                <w:spacing w:val="-2"/>
                <w:sz w:val="18"/>
              </w:rPr>
              <w:t>1,770</w:t>
            </w:r>
          </w:p>
        </w:tc>
        <w:tc>
          <w:tcPr>
            <w:tcW w:w="1102" w:type="dxa"/>
          </w:tcPr>
          <w:p>
            <w:pPr>
              <w:pStyle w:val="TableParagraph"/>
              <w:spacing w:before="48"/>
              <w:ind w:right="120"/>
              <w:jc w:val="right"/>
              <w:rPr>
                <w:sz w:val="18"/>
              </w:rPr>
            </w:pPr>
            <w:r>
              <w:rPr>
                <w:spacing w:val="-2"/>
                <w:sz w:val="18"/>
              </w:rPr>
              <w:t>1,476</w:t>
            </w:r>
          </w:p>
        </w:tc>
        <w:tc>
          <w:tcPr>
            <w:tcW w:w="1095" w:type="dxa"/>
          </w:tcPr>
          <w:p>
            <w:pPr>
              <w:pStyle w:val="TableParagraph"/>
              <w:spacing w:before="48"/>
              <w:ind w:right="120"/>
              <w:jc w:val="right"/>
              <w:rPr>
                <w:sz w:val="18"/>
              </w:rPr>
            </w:pPr>
            <w:r>
              <w:rPr>
                <w:spacing w:val="-2"/>
                <w:sz w:val="18"/>
              </w:rPr>
              <w:t>4,906</w:t>
            </w:r>
          </w:p>
        </w:tc>
        <w:tc>
          <w:tcPr>
            <w:tcW w:w="1046" w:type="dxa"/>
          </w:tcPr>
          <w:p>
            <w:pPr>
              <w:pStyle w:val="TableParagraph"/>
              <w:spacing w:before="48"/>
              <w:ind w:right="71"/>
              <w:jc w:val="right"/>
              <w:rPr>
                <w:sz w:val="18"/>
              </w:rPr>
            </w:pPr>
            <w:r>
              <w:rPr>
                <w:spacing w:val="-2"/>
                <w:sz w:val="18"/>
              </w:rPr>
              <w:t>4,448</w:t>
            </w:r>
          </w:p>
        </w:tc>
      </w:tr>
      <w:tr>
        <w:trPr>
          <w:trHeight w:val="285" w:hRule="atLeast"/>
        </w:trPr>
        <w:tc>
          <w:tcPr>
            <w:tcW w:w="5880" w:type="dxa"/>
            <w:shd w:val="clear" w:color="auto" w:fill="CCEDFF"/>
          </w:tcPr>
          <w:p>
            <w:pPr>
              <w:pStyle w:val="TableParagraph"/>
              <w:spacing w:before="48"/>
              <w:ind w:left="277"/>
              <w:rPr>
                <w:sz w:val="18"/>
              </w:rPr>
            </w:pPr>
            <w:r>
              <w:rPr>
                <w:sz w:val="18"/>
              </w:rPr>
              <w:t>Professional</w:t>
            </w:r>
            <w:r>
              <w:rPr>
                <w:spacing w:val="-5"/>
                <w:sz w:val="18"/>
              </w:rPr>
              <w:t> </w:t>
            </w:r>
            <w:r>
              <w:rPr>
                <w:spacing w:val="-2"/>
                <w:sz w:val="18"/>
              </w:rPr>
              <w:t>services</w:t>
            </w:r>
          </w:p>
        </w:tc>
        <w:tc>
          <w:tcPr>
            <w:tcW w:w="1136" w:type="dxa"/>
            <w:shd w:val="clear" w:color="auto" w:fill="CCEDFF"/>
          </w:tcPr>
          <w:p>
            <w:pPr>
              <w:pStyle w:val="TableParagraph"/>
              <w:spacing w:before="48"/>
              <w:ind w:right="128"/>
              <w:jc w:val="right"/>
              <w:rPr>
                <w:sz w:val="18"/>
              </w:rPr>
            </w:pPr>
            <w:r>
              <w:rPr>
                <w:spacing w:val="-5"/>
                <w:sz w:val="18"/>
              </w:rPr>
              <w:t>275</w:t>
            </w:r>
          </w:p>
        </w:tc>
        <w:tc>
          <w:tcPr>
            <w:tcW w:w="1102" w:type="dxa"/>
            <w:shd w:val="clear" w:color="auto" w:fill="CCEDFF"/>
          </w:tcPr>
          <w:p>
            <w:pPr>
              <w:pStyle w:val="TableParagraph"/>
              <w:spacing w:before="48"/>
              <w:ind w:right="120"/>
              <w:jc w:val="right"/>
              <w:rPr>
                <w:sz w:val="18"/>
              </w:rPr>
            </w:pPr>
            <w:r>
              <w:rPr>
                <w:spacing w:val="-5"/>
                <w:sz w:val="18"/>
              </w:rPr>
              <w:t>264</w:t>
            </w:r>
          </w:p>
        </w:tc>
        <w:tc>
          <w:tcPr>
            <w:tcW w:w="1095" w:type="dxa"/>
            <w:shd w:val="clear" w:color="auto" w:fill="CCEDFF"/>
          </w:tcPr>
          <w:p>
            <w:pPr>
              <w:pStyle w:val="TableParagraph"/>
              <w:spacing w:before="48"/>
              <w:ind w:right="120"/>
              <w:jc w:val="right"/>
              <w:rPr>
                <w:sz w:val="18"/>
              </w:rPr>
            </w:pPr>
            <w:r>
              <w:rPr>
                <w:spacing w:val="-5"/>
                <w:sz w:val="18"/>
              </w:rPr>
              <w:t>805</w:t>
            </w:r>
          </w:p>
        </w:tc>
        <w:tc>
          <w:tcPr>
            <w:tcW w:w="1046" w:type="dxa"/>
            <w:shd w:val="clear" w:color="auto" w:fill="CCEDFF"/>
          </w:tcPr>
          <w:p>
            <w:pPr>
              <w:pStyle w:val="TableParagraph"/>
              <w:spacing w:before="48"/>
              <w:ind w:right="71"/>
              <w:jc w:val="right"/>
              <w:rPr>
                <w:sz w:val="18"/>
              </w:rPr>
            </w:pPr>
            <w:r>
              <w:rPr>
                <w:spacing w:val="-5"/>
                <w:sz w:val="18"/>
              </w:rPr>
              <w:t>766</w:t>
            </w:r>
          </w:p>
        </w:tc>
      </w:tr>
      <w:tr>
        <w:trPr>
          <w:trHeight w:val="285" w:hRule="atLeast"/>
        </w:trPr>
        <w:tc>
          <w:tcPr>
            <w:tcW w:w="5880" w:type="dxa"/>
          </w:tcPr>
          <w:p>
            <w:pPr>
              <w:pStyle w:val="TableParagraph"/>
              <w:spacing w:before="48"/>
              <w:ind w:left="277"/>
              <w:rPr>
                <w:sz w:val="18"/>
              </w:rPr>
            </w:pPr>
            <w:r>
              <w:rPr>
                <w:sz w:val="18"/>
              </w:rPr>
              <w:t>Occupancy</w:t>
            </w:r>
            <w:r>
              <w:rPr>
                <w:spacing w:val="-1"/>
                <w:sz w:val="18"/>
              </w:rPr>
              <w:t> </w:t>
            </w:r>
            <w:r>
              <w:rPr>
                <w:sz w:val="18"/>
              </w:rPr>
              <w:t>and </w:t>
            </w:r>
            <w:r>
              <w:rPr>
                <w:spacing w:val="-2"/>
                <w:sz w:val="18"/>
              </w:rPr>
              <w:t>equipment</w:t>
            </w:r>
          </w:p>
        </w:tc>
        <w:tc>
          <w:tcPr>
            <w:tcW w:w="1136" w:type="dxa"/>
          </w:tcPr>
          <w:p>
            <w:pPr>
              <w:pStyle w:val="TableParagraph"/>
              <w:spacing w:before="48"/>
              <w:ind w:right="128"/>
              <w:jc w:val="right"/>
              <w:rPr>
                <w:sz w:val="18"/>
              </w:rPr>
            </w:pPr>
            <w:r>
              <w:rPr>
                <w:spacing w:val="-5"/>
                <w:sz w:val="18"/>
              </w:rPr>
              <w:t>305</w:t>
            </w:r>
          </w:p>
        </w:tc>
        <w:tc>
          <w:tcPr>
            <w:tcW w:w="1102" w:type="dxa"/>
          </w:tcPr>
          <w:p>
            <w:pPr>
              <w:pStyle w:val="TableParagraph"/>
              <w:spacing w:before="48"/>
              <w:ind w:right="120"/>
              <w:jc w:val="right"/>
              <w:rPr>
                <w:sz w:val="18"/>
              </w:rPr>
            </w:pPr>
            <w:r>
              <w:rPr>
                <w:spacing w:val="-5"/>
                <w:sz w:val="18"/>
              </w:rPr>
              <w:t>292</w:t>
            </w:r>
          </w:p>
        </w:tc>
        <w:tc>
          <w:tcPr>
            <w:tcW w:w="1095" w:type="dxa"/>
          </w:tcPr>
          <w:p>
            <w:pPr>
              <w:pStyle w:val="TableParagraph"/>
              <w:spacing w:before="48"/>
              <w:ind w:right="120"/>
              <w:jc w:val="right"/>
              <w:rPr>
                <w:sz w:val="18"/>
              </w:rPr>
            </w:pPr>
            <w:r>
              <w:rPr>
                <w:spacing w:val="-5"/>
                <w:sz w:val="18"/>
              </w:rPr>
              <w:t>923</w:t>
            </w:r>
          </w:p>
        </w:tc>
        <w:tc>
          <w:tcPr>
            <w:tcW w:w="1046" w:type="dxa"/>
          </w:tcPr>
          <w:p>
            <w:pPr>
              <w:pStyle w:val="TableParagraph"/>
              <w:spacing w:before="48"/>
              <w:ind w:right="71"/>
              <w:jc w:val="right"/>
              <w:rPr>
                <w:sz w:val="18"/>
              </w:rPr>
            </w:pPr>
            <w:r>
              <w:rPr>
                <w:spacing w:val="-5"/>
                <w:sz w:val="18"/>
              </w:rPr>
              <w:t>855</w:t>
            </w:r>
          </w:p>
        </w:tc>
      </w:tr>
      <w:tr>
        <w:trPr>
          <w:trHeight w:val="285" w:hRule="atLeast"/>
        </w:trPr>
        <w:tc>
          <w:tcPr>
            <w:tcW w:w="5880" w:type="dxa"/>
            <w:shd w:val="clear" w:color="auto" w:fill="CCEDFF"/>
          </w:tcPr>
          <w:p>
            <w:pPr>
              <w:pStyle w:val="TableParagraph"/>
              <w:spacing w:before="48"/>
              <w:ind w:left="277"/>
              <w:rPr>
                <w:sz w:val="18"/>
              </w:rPr>
            </w:pPr>
            <w:r>
              <w:rPr>
                <w:sz w:val="18"/>
              </w:rPr>
              <w:t>Advertising</w:t>
            </w:r>
            <w:r>
              <w:rPr>
                <w:spacing w:val="-3"/>
                <w:sz w:val="18"/>
              </w:rPr>
              <w:t> </w:t>
            </w:r>
            <w:r>
              <w:rPr>
                <w:sz w:val="18"/>
              </w:rPr>
              <w:t>and</w:t>
            </w:r>
            <w:r>
              <w:rPr>
                <w:spacing w:val="-1"/>
                <w:sz w:val="18"/>
              </w:rPr>
              <w:t> </w:t>
            </w:r>
            <w:r>
              <w:rPr>
                <w:sz w:val="18"/>
              </w:rPr>
              <w:t>market </w:t>
            </w:r>
            <w:r>
              <w:rPr>
                <w:spacing w:val="-2"/>
                <w:sz w:val="18"/>
              </w:rPr>
              <w:t>development</w:t>
            </w:r>
          </w:p>
        </w:tc>
        <w:tc>
          <w:tcPr>
            <w:tcW w:w="1136" w:type="dxa"/>
            <w:shd w:val="clear" w:color="auto" w:fill="CCEDFF"/>
          </w:tcPr>
          <w:p>
            <w:pPr>
              <w:pStyle w:val="TableParagraph"/>
              <w:spacing w:before="48"/>
              <w:ind w:right="128"/>
              <w:jc w:val="right"/>
              <w:rPr>
                <w:sz w:val="18"/>
              </w:rPr>
            </w:pPr>
            <w:r>
              <w:rPr>
                <w:spacing w:val="-5"/>
                <w:sz w:val="18"/>
              </w:rPr>
              <w:t>102</w:t>
            </w:r>
          </w:p>
        </w:tc>
        <w:tc>
          <w:tcPr>
            <w:tcW w:w="1102" w:type="dxa"/>
            <w:shd w:val="clear" w:color="auto" w:fill="CCEDFF"/>
          </w:tcPr>
          <w:p>
            <w:pPr>
              <w:pStyle w:val="TableParagraph"/>
              <w:spacing w:before="48"/>
              <w:ind w:right="120"/>
              <w:jc w:val="right"/>
              <w:rPr>
                <w:sz w:val="18"/>
              </w:rPr>
            </w:pPr>
            <w:r>
              <w:rPr>
                <w:spacing w:val="-5"/>
                <w:sz w:val="18"/>
              </w:rPr>
              <w:t>89</w:t>
            </w:r>
          </w:p>
        </w:tc>
        <w:tc>
          <w:tcPr>
            <w:tcW w:w="1095" w:type="dxa"/>
            <w:shd w:val="clear" w:color="auto" w:fill="CCEDFF"/>
          </w:tcPr>
          <w:p>
            <w:pPr>
              <w:pStyle w:val="TableParagraph"/>
              <w:spacing w:before="48"/>
              <w:ind w:right="120"/>
              <w:jc w:val="right"/>
              <w:rPr>
                <w:sz w:val="18"/>
              </w:rPr>
            </w:pPr>
            <w:r>
              <w:rPr>
                <w:spacing w:val="-5"/>
                <w:sz w:val="18"/>
              </w:rPr>
              <w:t>293</w:t>
            </w:r>
          </w:p>
        </w:tc>
        <w:tc>
          <w:tcPr>
            <w:tcW w:w="1046" w:type="dxa"/>
            <w:shd w:val="clear" w:color="auto" w:fill="CCEDFF"/>
          </w:tcPr>
          <w:p>
            <w:pPr>
              <w:pStyle w:val="TableParagraph"/>
              <w:spacing w:before="48"/>
              <w:ind w:right="71"/>
              <w:jc w:val="right"/>
              <w:rPr>
                <w:sz w:val="18"/>
              </w:rPr>
            </w:pPr>
            <w:r>
              <w:rPr>
                <w:spacing w:val="-5"/>
                <w:sz w:val="18"/>
              </w:rPr>
              <w:t>296</w:t>
            </w:r>
          </w:p>
        </w:tc>
      </w:tr>
      <w:tr>
        <w:trPr>
          <w:trHeight w:val="285" w:hRule="atLeast"/>
        </w:trPr>
        <w:tc>
          <w:tcPr>
            <w:tcW w:w="5880" w:type="dxa"/>
          </w:tcPr>
          <w:p>
            <w:pPr>
              <w:pStyle w:val="TableParagraph"/>
              <w:spacing w:before="48"/>
              <w:ind w:left="277"/>
              <w:rPr>
                <w:sz w:val="18"/>
              </w:rPr>
            </w:pPr>
            <w:r>
              <w:rPr>
                <w:spacing w:val="-2"/>
                <w:sz w:val="18"/>
              </w:rPr>
              <w:t>Communications</w:t>
            </w:r>
          </w:p>
        </w:tc>
        <w:tc>
          <w:tcPr>
            <w:tcW w:w="1136" w:type="dxa"/>
          </w:tcPr>
          <w:p>
            <w:pPr>
              <w:pStyle w:val="TableParagraph"/>
              <w:spacing w:before="48"/>
              <w:ind w:right="128"/>
              <w:jc w:val="right"/>
              <w:rPr>
                <w:sz w:val="18"/>
              </w:rPr>
            </w:pPr>
            <w:r>
              <w:rPr>
                <w:spacing w:val="-5"/>
                <w:sz w:val="18"/>
              </w:rPr>
              <w:t>151</w:t>
            </w:r>
          </w:p>
        </w:tc>
        <w:tc>
          <w:tcPr>
            <w:tcW w:w="1102" w:type="dxa"/>
          </w:tcPr>
          <w:p>
            <w:pPr>
              <w:pStyle w:val="TableParagraph"/>
              <w:spacing w:before="48"/>
              <w:ind w:right="120"/>
              <w:jc w:val="right"/>
              <w:rPr>
                <w:sz w:val="18"/>
              </w:rPr>
            </w:pPr>
            <w:r>
              <w:rPr>
                <w:spacing w:val="-5"/>
                <w:sz w:val="18"/>
              </w:rPr>
              <w:t>131</w:t>
            </w:r>
          </w:p>
        </w:tc>
        <w:tc>
          <w:tcPr>
            <w:tcW w:w="1095" w:type="dxa"/>
          </w:tcPr>
          <w:p>
            <w:pPr>
              <w:pStyle w:val="TableParagraph"/>
              <w:spacing w:before="48"/>
              <w:ind w:right="120"/>
              <w:jc w:val="right"/>
              <w:rPr>
                <w:sz w:val="18"/>
              </w:rPr>
            </w:pPr>
            <w:r>
              <w:rPr>
                <w:spacing w:val="-5"/>
                <w:sz w:val="18"/>
              </w:rPr>
              <w:t>485</w:t>
            </w:r>
          </w:p>
        </w:tc>
        <w:tc>
          <w:tcPr>
            <w:tcW w:w="1046" w:type="dxa"/>
          </w:tcPr>
          <w:p>
            <w:pPr>
              <w:pStyle w:val="TableParagraph"/>
              <w:spacing w:before="48"/>
              <w:ind w:right="71"/>
              <w:jc w:val="right"/>
              <w:rPr>
                <w:sz w:val="18"/>
              </w:rPr>
            </w:pPr>
            <w:r>
              <w:rPr>
                <w:spacing w:val="-5"/>
                <w:sz w:val="18"/>
              </w:rPr>
              <w:t>444</w:t>
            </w:r>
          </w:p>
        </w:tc>
      </w:tr>
      <w:tr>
        <w:trPr>
          <w:trHeight w:val="285" w:hRule="atLeast"/>
        </w:trPr>
        <w:tc>
          <w:tcPr>
            <w:tcW w:w="5880" w:type="dxa"/>
            <w:shd w:val="clear" w:color="auto" w:fill="CCEDFF"/>
          </w:tcPr>
          <w:p>
            <w:pPr>
              <w:pStyle w:val="TableParagraph"/>
              <w:spacing w:before="48"/>
              <w:ind w:left="292"/>
              <w:rPr>
                <w:sz w:val="18"/>
              </w:rPr>
            </w:pPr>
            <w:r>
              <w:rPr>
                <w:sz w:val="18"/>
              </w:rPr>
              <w:t>Depreciation</w:t>
            </w:r>
            <w:r>
              <w:rPr>
                <w:spacing w:val="-3"/>
                <w:sz w:val="18"/>
              </w:rPr>
              <w:t> </w:t>
            </w:r>
            <w:r>
              <w:rPr>
                <w:sz w:val="18"/>
              </w:rPr>
              <w:t>and </w:t>
            </w:r>
            <w:r>
              <w:rPr>
                <w:spacing w:val="-2"/>
                <w:sz w:val="18"/>
              </w:rPr>
              <w:t>amortization</w:t>
            </w:r>
          </w:p>
        </w:tc>
        <w:tc>
          <w:tcPr>
            <w:tcW w:w="1136" w:type="dxa"/>
            <w:shd w:val="clear" w:color="auto" w:fill="CCEDFF"/>
          </w:tcPr>
          <w:p>
            <w:pPr>
              <w:pStyle w:val="TableParagraph"/>
              <w:spacing w:before="48"/>
              <w:ind w:right="128"/>
              <w:jc w:val="right"/>
              <w:rPr>
                <w:sz w:val="18"/>
              </w:rPr>
            </w:pPr>
            <w:r>
              <w:rPr>
                <w:spacing w:val="-5"/>
                <w:sz w:val="18"/>
              </w:rPr>
              <w:t>198</w:t>
            </w:r>
          </w:p>
        </w:tc>
        <w:tc>
          <w:tcPr>
            <w:tcW w:w="1102" w:type="dxa"/>
            <w:shd w:val="clear" w:color="auto" w:fill="CCEDFF"/>
          </w:tcPr>
          <w:p>
            <w:pPr>
              <w:pStyle w:val="TableParagraph"/>
              <w:spacing w:before="48"/>
              <w:ind w:right="120"/>
              <w:jc w:val="right"/>
              <w:rPr>
                <w:sz w:val="18"/>
              </w:rPr>
            </w:pPr>
            <w:r>
              <w:rPr>
                <w:spacing w:val="-5"/>
                <w:sz w:val="18"/>
              </w:rPr>
              <w:t>167</w:t>
            </w:r>
          </w:p>
        </w:tc>
        <w:tc>
          <w:tcPr>
            <w:tcW w:w="1095" w:type="dxa"/>
            <w:shd w:val="clear" w:color="auto" w:fill="CCEDFF"/>
          </w:tcPr>
          <w:p>
            <w:pPr>
              <w:pStyle w:val="TableParagraph"/>
              <w:spacing w:before="48"/>
              <w:ind w:right="120"/>
              <w:jc w:val="right"/>
              <w:rPr>
                <w:sz w:val="18"/>
              </w:rPr>
            </w:pPr>
            <w:r>
              <w:rPr>
                <w:spacing w:val="-5"/>
                <w:sz w:val="18"/>
              </w:rPr>
              <w:t>566</w:t>
            </w:r>
          </w:p>
        </w:tc>
        <w:tc>
          <w:tcPr>
            <w:tcW w:w="1046" w:type="dxa"/>
            <w:shd w:val="clear" w:color="auto" w:fill="CCEDFF"/>
          </w:tcPr>
          <w:p>
            <w:pPr>
              <w:pStyle w:val="TableParagraph"/>
              <w:spacing w:before="48"/>
              <w:ind w:right="71"/>
              <w:jc w:val="right"/>
              <w:rPr>
                <w:sz w:val="18"/>
              </w:rPr>
            </w:pPr>
            <w:r>
              <w:rPr>
                <w:spacing w:val="-5"/>
                <w:sz w:val="18"/>
              </w:rPr>
              <w:t>476</w:t>
            </w:r>
          </w:p>
        </w:tc>
      </w:tr>
      <w:tr>
        <w:trPr>
          <w:trHeight w:val="285" w:hRule="atLeast"/>
        </w:trPr>
        <w:tc>
          <w:tcPr>
            <w:tcW w:w="5880" w:type="dxa"/>
          </w:tcPr>
          <w:p>
            <w:pPr>
              <w:pStyle w:val="TableParagraph"/>
              <w:spacing w:before="48"/>
              <w:ind w:left="292"/>
              <w:rPr>
                <w:sz w:val="18"/>
              </w:rPr>
            </w:pPr>
            <w:r>
              <w:rPr>
                <w:sz w:val="18"/>
              </w:rPr>
              <w:t>Amortization</w:t>
            </w:r>
            <w:r>
              <w:rPr>
                <w:spacing w:val="-1"/>
                <w:sz w:val="18"/>
              </w:rPr>
              <w:t> </w:t>
            </w:r>
            <w:r>
              <w:rPr>
                <w:sz w:val="18"/>
              </w:rPr>
              <w:t>of acquired intangible </w:t>
            </w:r>
            <w:r>
              <w:rPr>
                <w:spacing w:val="-2"/>
                <w:sz w:val="18"/>
              </w:rPr>
              <w:t>assets</w:t>
            </w:r>
          </w:p>
        </w:tc>
        <w:tc>
          <w:tcPr>
            <w:tcW w:w="1136" w:type="dxa"/>
          </w:tcPr>
          <w:p>
            <w:pPr>
              <w:pStyle w:val="TableParagraph"/>
              <w:spacing w:before="48"/>
              <w:ind w:right="128"/>
              <w:jc w:val="right"/>
              <w:rPr>
                <w:sz w:val="18"/>
              </w:rPr>
            </w:pPr>
            <w:r>
              <w:rPr>
                <w:spacing w:val="-5"/>
                <w:sz w:val="18"/>
              </w:rPr>
              <w:t>135</w:t>
            </w:r>
          </w:p>
        </w:tc>
        <w:tc>
          <w:tcPr>
            <w:tcW w:w="1102" w:type="dxa"/>
          </w:tcPr>
          <w:p>
            <w:pPr>
              <w:pStyle w:val="TableParagraph"/>
              <w:spacing w:before="48"/>
              <w:ind w:right="120"/>
              <w:jc w:val="right"/>
              <w:rPr>
                <w:sz w:val="18"/>
              </w:rPr>
            </w:pPr>
            <w:r>
              <w:rPr>
                <w:spacing w:val="-5"/>
                <w:sz w:val="18"/>
              </w:rPr>
              <w:t>152</w:t>
            </w:r>
          </w:p>
        </w:tc>
        <w:tc>
          <w:tcPr>
            <w:tcW w:w="1095" w:type="dxa"/>
          </w:tcPr>
          <w:p>
            <w:pPr>
              <w:pStyle w:val="TableParagraph"/>
              <w:spacing w:before="48"/>
              <w:ind w:right="120"/>
              <w:jc w:val="right"/>
              <w:rPr>
                <w:sz w:val="18"/>
              </w:rPr>
            </w:pPr>
            <w:r>
              <w:rPr>
                <w:spacing w:val="-5"/>
                <w:sz w:val="18"/>
              </w:rPr>
              <w:t>404</w:t>
            </w:r>
          </w:p>
        </w:tc>
        <w:tc>
          <w:tcPr>
            <w:tcW w:w="1046" w:type="dxa"/>
          </w:tcPr>
          <w:p>
            <w:pPr>
              <w:pStyle w:val="TableParagraph"/>
              <w:spacing w:before="48"/>
              <w:ind w:right="71"/>
              <w:jc w:val="right"/>
              <w:rPr>
                <w:sz w:val="18"/>
              </w:rPr>
            </w:pPr>
            <w:r>
              <w:rPr>
                <w:spacing w:val="-5"/>
                <w:sz w:val="18"/>
              </w:rPr>
              <w:t>460</w:t>
            </w:r>
          </w:p>
        </w:tc>
      </w:tr>
      <w:tr>
        <w:trPr>
          <w:trHeight w:val="285" w:hRule="atLeast"/>
        </w:trPr>
        <w:tc>
          <w:tcPr>
            <w:tcW w:w="5880" w:type="dxa"/>
            <w:shd w:val="clear" w:color="auto" w:fill="CCEDFF"/>
          </w:tcPr>
          <w:p>
            <w:pPr>
              <w:pStyle w:val="TableParagraph"/>
              <w:spacing w:before="48"/>
              <w:ind w:left="277"/>
              <w:rPr>
                <w:sz w:val="18"/>
              </w:rPr>
            </w:pPr>
            <w:r>
              <w:rPr>
                <w:sz w:val="18"/>
              </w:rPr>
              <w:t>Regulatory fees</w:t>
            </w:r>
            <w:r>
              <w:rPr>
                <w:spacing w:val="-1"/>
                <w:sz w:val="18"/>
              </w:rPr>
              <w:t> </w:t>
            </w:r>
            <w:r>
              <w:rPr>
                <w:sz w:val="18"/>
              </w:rPr>
              <w:t>and </w:t>
            </w:r>
            <w:r>
              <w:rPr>
                <w:spacing w:val="-2"/>
                <w:sz w:val="18"/>
              </w:rPr>
              <w:t>assessments</w:t>
            </w:r>
          </w:p>
        </w:tc>
        <w:tc>
          <w:tcPr>
            <w:tcW w:w="1136" w:type="dxa"/>
            <w:shd w:val="clear" w:color="auto" w:fill="CCEDFF"/>
          </w:tcPr>
          <w:p>
            <w:pPr>
              <w:pStyle w:val="TableParagraph"/>
              <w:spacing w:before="48"/>
              <w:ind w:right="128"/>
              <w:jc w:val="right"/>
              <w:rPr>
                <w:sz w:val="18"/>
              </w:rPr>
            </w:pPr>
            <w:r>
              <w:rPr>
                <w:spacing w:val="-5"/>
                <w:sz w:val="18"/>
              </w:rPr>
              <w:t>114</w:t>
            </w:r>
          </w:p>
        </w:tc>
        <w:tc>
          <w:tcPr>
            <w:tcW w:w="1102" w:type="dxa"/>
            <w:shd w:val="clear" w:color="auto" w:fill="CCEDFF"/>
          </w:tcPr>
          <w:p>
            <w:pPr>
              <w:pStyle w:val="TableParagraph"/>
              <w:spacing w:before="48"/>
              <w:ind w:right="120"/>
              <w:jc w:val="right"/>
              <w:rPr>
                <w:sz w:val="18"/>
              </w:rPr>
            </w:pPr>
            <w:r>
              <w:rPr>
                <w:spacing w:val="-5"/>
                <w:sz w:val="18"/>
              </w:rPr>
              <w:t>65</w:t>
            </w:r>
          </w:p>
        </w:tc>
        <w:tc>
          <w:tcPr>
            <w:tcW w:w="1095" w:type="dxa"/>
            <w:shd w:val="clear" w:color="auto" w:fill="CCEDFF"/>
          </w:tcPr>
          <w:p>
            <w:pPr>
              <w:pStyle w:val="TableParagraph"/>
              <w:spacing w:before="48"/>
              <w:ind w:right="120"/>
              <w:jc w:val="right"/>
              <w:rPr>
                <w:sz w:val="18"/>
              </w:rPr>
            </w:pPr>
            <w:r>
              <w:rPr>
                <w:spacing w:val="-5"/>
                <w:sz w:val="18"/>
              </w:rPr>
              <w:t>277</w:t>
            </w:r>
          </w:p>
        </w:tc>
        <w:tc>
          <w:tcPr>
            <w:tcW w:w="1046" w:type="dxa"/>
            <w:shd w:val="clear" w:color="auto" w:fill="CCEDFF"/>
          </w:tcPr>
          <w:p>
            <w:pPr>
              <w:pStyle w:val="TableParagraph"/>
              <w:spacing w:before="48"/>
              <w:ind w:right="71"/>
              <w:jc w:val="right"/>
              <w:rPr>
                <w:sz w:val="18"/>
              </w:rPr>
            </w:pPr>
            <w:r>
              <w:rPr>
                <w:spacing w:val="-5"/>
                <w:sz w:val="18"/>
              </w:rPr>
              <w:t>200</w:t>
            </w:r>
          </w:p>
        </w:tc>
      </w:tr>
      <w:tr>
        <w:trPr>
          <w:trHeight w:val="280" w:hRule="atLeast"/>
        </w:trPr>
        <w:tc>
          <w:tcPr>
            <w:tcW w:w="5880" w:type="dxa"/>
            <w:tcBorders>
              <w:bottom w:val="single" w:sz="4" w:space="0" w:color="000000"/>
            </w:tcBorders>
          </w:tcPr>
          <w:p>
            <w:pPr>
              <w:pStyle w:val="TableParagraph"/>
              <w:spacing w:before="48"/>
              <w:ind w:left="277"/>
              <w:rPr>
                <w:sz w:val="18"/>
              </w:rPr>
            </w:pPr>
            <w:r>
              <w:rPr>
                <w:spacing w:val="-2"/>
                <w:sz w:val="18"/>
              </w:rPr>
              <w:t>Other</w:t>
            </w:r>
          </w:p>
        </w:tc>
        <w:tc>
          <w:tcPr>
            <w:tcW w:w="1136" w:type="dxa"/>
            <w:tcBorders>
              <w:bottom w:val="single" w:sz="4" w:space="0" w:color="000000"/>
            </w:tcBorders>
          </w:tcPr>
          <w:p>
            <w:pPr>
              <w:pStyle w:val="TableParagraph"/>
              <w:spacing w:before="48"/>
              <w:ind w:right="128"/>
              <w:jc w:val="right"/>
              <w:rPr>
                <w:sz w:val="18"/>
              </w:rPr>
            </w:pPr>
            <w:r>
              <w:rPr>
                <w:spacing w:val="-5"/>
                <w:sz w:val="18"/>
              </w:rPr>
              <w:t>173</w:t>
            </w:r>
          </w:p>
        </w:tc>
        <w:tc>
          <w:tcPr>
            <w:tcW w:w="1102" w:type="dxa"/>
            <w:tcBorders>
              <w:bottom w:val="single" w:sz="4" w:space="0" w:color="000000"/>
            </w:tcBorders>
          </w:tcPr>
          <w:p>
            <w:pPr>
              <w:pStyle w:val="TableParagraph"/>
              <w:spacing w:before="48"/>
              <w:ind w:right="120"/>
              <w:jc w:val="right"/>
              <w:rPr>
                <w:sz w:val="18"/>
              </w:rPr>
            </w:pPr>
            <w:r>
              <w:rPr>
                <w:spacing w:val="-5"/>
                <w:sz w:val="18"/>
              </w:rPr>
              <w:t>187</w:t>
            </w:r>
          </w:p>
        </w:tc>
        <w:tc>
          <w:tcPr>
            <w:tcW w:w="1095" w:type="dxa"/>
            <w:tcBorders>
              <w:bottom w:val="single" w:sz="4" w:space="0" w:color="000000"/>
            </w:tcBorders>
          </w:tcPr>
          <w:p>
            <w:pPr>
              <w:pStyle w:val="TableParagraph"/>
              <w:spacing w:before="48"/>
              <w:ind w:right="120"/>
              <w:jc w:val="right"/>
              <w:rPr>
                <w:sz w:val="18"/>
              </w:rPr>
            </w:pPr>
            <w:r>
              <w:rPr>
                <w:spacing w:val="-5"/>
                <w:sz w:val="18"/>
              </w:rPr>
              <w:t>535</w:t>
            </w:r>
          </w:p>
        </w:tc>
        <w:tc>
          <w:tcPr>
            <w:tcW w:w="1046" w:type="dxa"/>
            <w:tcBorders>
              <w:bottom w:val="single" w:sz="4" w:space="0" w:color="000000"/>
            </w:tcBorders>
          </w:tcPr>
          <w:p>
            <w:pPr>
              <w:pStyle w:val="TableParagraph"/>
              <w:spacing w:before="48"/>
              <w:ind w:right="71"/>
              <w:jc w:val="right"/>
              <w:rPr>
                <w:sz w:val="18"/>
              </w:rPr>
            </w:pPr>
            <w:r>
              <w:rPr>
                <w:spacing w:val="-5"/>
                <w:sz w:val="18"/>
              </w:rPr>
              <w:t>530</w:t>
            </w:r>
          </w:p>
        </w:tc>
      </w:tr>
      <w:tr>
        <w:trPr>
          <w:trHeight w:val="275" w:hRule="atLeast"/>
        </w:trPr>
        <w:tc>
          <w:tcPr>
            <w:tcW w:w="5880" w:type="dxa"/>
            <w:tcBorders>
              <w:top w:val="single" w:sz="4" w:space="0" w:color="000000"/>
              <w:bottom w:val="single" w:sz="4" w:space="0" w:color="000000"/>
            </w:tcBorders>
            <w:shd w:val="clear" w:color="auto" w:fill="CCEDFF"/>
          </w:tcPr>
          <w:p>
            <w:pPr>
              <w:pStyle w:val="TableParagraph"/>
              <w:spacing w:before="43"/>
              <w:ind w:left="547"/>
              <w:rPr>
                <w:sz w:val="18"/>
              </w:rPr>
            </w:pPr>
            <w:r>
              <w:rPr>
                <w:sz w:val="18"/>
              </w:rPr>
              <w:t>Total</w:t>
            </w:r>
            <w:r>
              <w:rPr>
                <w:spacing w:val="-1"/>
                <w:sz w:val="18"/>
              </w:rPr>
              <w:t> </w:t>
            </w:r>
            <w:r>
              <w:rPr>
                <w:sz w:val="18"/>
              </w:rPr>
              <w:t>expenses</w:t>
            </w:r>
            <w:r>
              <w:rPr>
                <w:spacing w:val="-1"/>
                <w:sz w:val="18"/>
              </w:rPr>
              <w:t> </w:t>
            </w:r>
            <w:r>
              <w:rPr>
                <w:sz w:val="18"/>
              </w:rPr>
              <w:t>excluding </w:t>
            </w:r>
            <w:r>
              <w:rPr>
                <w:spacing w:val="-2"/>
                <w:sz w:val="18"/>
              </w:rPr>
              <w:t>interest</w:t>
            </w:r>
          </w:p>
        </w:tc>
        <w:tc>
          <w:tcPr>
            <w:tcW w:w="1136" w:type="dxa"/>
            <w:tcBorders>
              <w:top w:val="single" w:sz="4" w:space="0" w:color="000000"/>
              <w:bottom w:val="single" w:sz="4" w:space="0" w:color="000000"/>
            </w:tcBorders>
            <w:shd w:val="clear" w:color="auto" w:fill="CCEDFF"/>
          </w:tcPr>
          <w:p>
            <w:pPr>
              <w:pStyle w:val="TableParagraph"/>
              <w:spacing w:before="43"/>
              <w:ind w:right="128"/>
              <w:jc w:val="right"/>
              <w:rPr>
                <w:sz w:val="18"/>
              </w:rPr>
            </w:pPr>
            <w:r>
              <w:rPr>
                <w:spacing w:val="-2"/>
                <w:sz w:val="18"/>
              </w:rPr>
              <w:t>3,223</w:t>
            </w:r>
          </w:p>
        </w:tc>
        <w:tc>
          <w:tcPr>
            <w:tcW w:w="1102" w:type="dxa"/>
            <w:tcBorders>
              <w:top w:val="single" w:sz="4" w:space="0" w:color="000000"/>
              <w:bottom w:val="single" w:sz="4" w:space="0" w:color="000000"/>
            </w:tcBorders>
            <w:shd w:val="clear" w:color="auto" w:fill="CCEDFF"/>
          </w:tcPr>
          <w:p>
            <w:pPr>
              <w:pStyle w:val="TableParagraph"/>
              <w:spacing w:before="43"/>
              <w:ind w:right="120"/>
              <w:jc w:val="right"/>
              <w:rPr>
                <w:sz w:val="18"/>
              </w:rPr>
            </w:pPr>
            <w:r>
              <w:rPr>
                <w:spacing w:val="-2"/>
                <w:sz w:val="18"/>
              </w:rPr>
              <w:t>2,823</w:t>
            </w:r>
          </w:p>
        </w:tc>
        <w:tc>
          <w:tcPr>
            <w:tcW w:w="1095" w:type="dxa"/>
            <w:tcBorders>
              <w:top w:val="single" w:sz="4" w:space="0" w:color="000000"/>
              <w:bottom w:val="single" w:sz="4" w:space="0" w:color="000000"/>
            </w:tcBorders>
            <w:shd w:val="clear" w:color="auto" w:fill="CCEDFF"/>
          </w:tcPr>
          <w:p>
            <w:pPr>
              <w:pStyle w:val="TableParagraph"/>
              <w:spacing w:before="43"/>
              <w:ind w:right="120"/>
              <w:jc w:val="right"/>
              <w:rPr>
                <w:sz w:val="18"/>
              </w:rPr>
            </w:pPr>
            <w:r>
              <w:rPr>
                <w:spacing w:val="-2"/>
                <w:sz w:val="18"/>
              </w:rPr>
              <w:t>9,194</w:t>
            </w:r>
          </w:p>
        </w:tc>
        <w:tc>
          <w:tcPr>
            <w:tcW w:w="1046" w:type="dxa"/>
            <w:tcBorders>
              <w:top w:val="single" w:sz="4" w:space="0" w:color="000000"/>
              <w:bottom w:val="single" w:sz="4" w:space="0" w:color="000000"/>
            </w:tcBorders>
            <w:shd w:val="clear" w:color="auto" w:fill="CCEDFF"/>
          </w:tcPr>
          <w:p>
            <w:pPr>
              <w:pStyle w:val="TableParagraph"/>
              <w:spacing w:before="43"/>
              <w:ind w:right="71"/>
              <w:jc w:val="right"/>
              <w:rPr>
                <w:sz w:val="18"/>
              </w:rPr>
            </w:pPr>
            <w:r>
              <w:rPr>
                <w:spacing w:val="-2"/>
                <w:sz w:val="18"/>
              </w:rPr>
              <w:t>8,475</w:t>
            </w:r>
          </w:p>
        </w:tc>
      </w:tr>
      <w:tr>
        <w:trPr>
          <w:trHeight w:val="280" w:hRule="atLeast"/>
        </w:trPr>
        <w:tc>
          <w:tcPr>
            <w:tcW w:w="5880" w:type="dxa"/>
            <w:tcBorders>
              <w:top w:val="single" w:sz="4" w:space="0" w:color="000000"/>
            </w:tcBorders>
          </w:tcPr>
          <w:p>
            <w:pPr>
              <w:pStyle w:val="TableParagraph"/>
              <w:spacing w:before="43"/>
              <w:ind w:left="52"/>
              <w:rPr>
                <w:sz w:val="18"/>
              </w:rPr>
            </w:pPr>
            <w:r>
              <w:rPr>
                <w:sz w:val="18"/>
              </w:rPr>
              <w:t>Income before taxes</w:t>
            </w:r>
            <w:r>
              <w:rPr>
                <w:spacing w:val="-1"/>
                <w:sz w:val="18"/>
              </w:rPr>
              <w:t> </w:t>
            </w:r>
            <w:r>
              <w:rPr>
                <w:sz w:val="18"/>
              </w:rPr>
              <w:t>on </w:t>
            </w:r>
            <w:r>
              <w:rPr>
                <w:spacing w:val="-2"/>
                <w:sz w:val="18"/>
              </w:rPr>
              <w:t>income</w:t>
            </w:r>
          </w:p>
        </w:tc>
        <w:tc>
          <w:tcPr>
            <w:tcW w:w="1136" w:type="dxa"/>
            <w:tcBorders>
              <w:top w:val="single" w:sz="4" w:space="0" w:color="000000"/>
            </w:tcBorders>
          </w:tcPr>
          <w:p>
            <w:pPr>
              <w:pStyle w:val="TableParagraph"/>
              <w:spacing w:before="43"/>
              <w:ind w:right="128"/>
              <w:jc w:val="right"/>
              <w:rPr>
                <w:sz w:val="18"/>
              </w:rPr>
            </w:pPr>
            <w:r>
              <w:rPr>
                <w:spacing w:val="-2"/>
                <w:sz w:val="18"/>
              </w:rPr>
              <w:t>1,383</w:t>
            </w:r>
          </w:p>
        </w:tc>
        <w:tc>
          <w:tcPr>
            <w:tcW w:w="1102" w:type="dxa"/>
            <w:tcBorders>
              <w:top w:val="single" w:sz="4" w:space="0" w:color="000000"/>
            </w:tcBorders>
          </w:tcPr>
          <w:p>
            <w:pPr>
              <w:pStyle w:val="TableParagraph"/>
              <w:spacing w:before="43"/>
              <w:ind w:right="120"/>
              <w:jc w:val="right"/>
              <w:rPr>
                <w:sz w:val="18"/>
              </w:rPr>
            </w:pPr>
            <w:r>
              <w:rPr>
                <w:spacing w:val="-2"/>
                <w:sz w:val="18"/>
              </w:rPr>
              <w:t>2,677</w:t>
            </w:r>
          </w:p>
        </w:tc>
        <w:tc>
          <w:tcPr>
            <w:tcW w:w="1095" w:type="dxa"/>
            <w:tcBorders>
              <w:top w:val="single" w:sz="4" w:space="0" w:color="000000"/>
            </w:tcBorders>
          </w:tcPr>
          <w:p>
            <w:pPr>
              <w:pStyle w:val="TableParagraph"/>
              <w:spacing w:before="43"/>
              <w:ind w:right="120"/>
              <w:jc w:val="right"/>
              <w:rPr>
                <w:sz w:val="18"/>
              </w:rPr>
            </w:pPr>
            <w:r>
              <w:rPr>
                <w:spacing w:val="-2"/>
                <w:sz w:val="18"/>
              </w:rPr>
              <w:t>5,184</w:t>
            </w:r>
          </w:p>
        </w:tc>
        <w:tc>
          <w:tcPr>
            <w:tcW w:w="1046" w:type="dxa"/>
            <w:tcBorders>
              <w:top w:val="single" w:sz="4" w:space="0" w:color="000000"/>
            </w:tcBorders>
          </w:tcPr>
          <w:p>
            <w:pPr>
              <w:pStyle w:val="TableParagraph"/>
              <w:spacing w:before="43"/>
              <w:ind w:right="71"/>
              <w:jc w:val="right"/>
              <w:rPr>
                <w:sz w:val="18"/>
              </w:rPr>
            </w:pPr>
            <w:r>
              <w:rPr>
                <w:spacing w:val="-2"/>
                <w:sz w:val="18"/>
              </w:rPr>
              <w:t>6,790</w:t>
            </w:r>
          </w:p>
        </w:tc>
      </w:tr>
      <w:tr>
        <w:trPr>
          <w:trHeight w:val="280" w:hRule="atLeast"/>
        </w:trPr>
        <w:tc>
          <w:tcPr>
            <w:tcW w:w="5880" w:type="dxa"/>
            <w:tcBorders>
              <w:bottom w:val="single" w:sz="4" w:space="0" w:color="000000"/>
            </w:tcBorders>
            <w:shd w:val="clear" w:color="auto" w:fill="CCEDFF"/>
          </w:tcPr>
          <w:p>
            <w:pPr>
              <w:pStyle w:val="TableParagraph"/>
              <w:spacing w:before="48"/>
              <w:ind w:left="52"/>
              <w:rPr>
                <w:sz w:val="18"/>
              </w:rPr>
            </w:pPr>
            <w:r>
              <w:rPr>
                <w:sz w:val="18"/>
              </w:rPr>
              <w:t>Taxes</w:t>
            </w:r>
            <w:r>
              <w:rPr>
                <w:spacing w:val="-1"/>
                <w:sz w:val="18"/>
              </w:rPr>
              <w:t> </w:t>
            </w:r>
            <w:r>
              <w:rPr>
                <w:sz w:val="18"/>
              </w:rPr>
              <w:t>on </w:t>
            </w:r>
            <w:r>
              <w:rPr>
                <w:spacing w:val="-2"/>
                <w:sz w:val="18"/>
              </w:rPr>
              <w:t>income</w:t>
            </w:r>
          </w:p>
        </w:tc>
        <w:tc>
          <w:tcPr>
            <w:tcW w:w="1136" w:type="dxa"/>
            <w:tcBorders>
              <w:bottom w:val="single" w:sz="4" w:space="0" w:color="000000"/>
            </w:tcBorders>
            <w:shd w:val="clear" w:color="auto" w:fill="CCEDFF"/>
          </w:tcPr>
          <w:p>
            <w:pPr>
              <w:pStyle w:val="TableParagraph"/>
              <w:spacing w:before="48"/>
              <w:ind w:right="128"/>
              <w:jc w:val="right"/>
              <w:rPr>
                <w:sz w:val="18"/>
              </w:rPr>
            </w:pPr>
            <w:r>
              <w:rPr>
                <w:spacing w:val="-5"/>
                <w:sz w:val="18"/>
              </w:rPr>
              <w:t>258</w:t>
            </w:r>
          </w:p>
        </w:tc>
        <w:tc>
          <w:tcPr>
            <w:tcW w:w="1102" w:type="dxa"/>
            <w:tcBorders>
              <w:bottom w:val="single" w:sz="4" w:space="0" w:color="000000"/>
            </w:tcBorders>
            <w:shd w:val="clear" w:color="auto" w:fill="CCEDFF"/>
          </w:tcPr>
          <w:p>
            <w:pPr>
              <w:pStyle w:val="TableParagraph"/>
              <w:spacing w:before="48"/>
              <w:ind w:right="120"/>
              <w:jc w:val="right"/>
              <w:rPr>
                <w:sz w:val="18"/>
              </w:rPr>
            </w:pPr>
            <w:r>
              <w:rPr>
                <w:spacing w:val="-5"/>
                <w:sz w:val="18"/>
              </w:rPr>
              <w:t>657</w:t>
            </w:r>
          </w:p>
        </w:tc>
        <w:tc>
          <w:tcPr>
            <w:tcW w:w="1095" w:type="dxa"/>
            <w:tcBorders>
              <w:bottom w:val="single" w:sz="4" w:space="0" w:color="000000"/>
            </w:tcBorders>
            <w:shd w:val="clear" w:color="auto" w:fill="CCEDFF"/>
          </w:tcPr>
          <w:p>
            <w:pPr>
              <w:pStyle w:val="TableParagraph"/>
              <w:spacing w:before="48"/>
              <w:ind w:right="120"/>
              <w:jc w:val="right"/>
              <w:rPr>
                <w:sz w:val="18"/>
              </w:rPr>
            </w:pPr>
            <w:r>
              <w:rPr>
                <w:spacing w:val="-2"/>
                <w:sz w:val="18"/>
              </w:rPr>
              <w:t>1,162</w:t>
            </w:r>
          </w:p>
        </w:tc>
        <w:tc>
          <w:tcPr>
            <w:tcW w:w="1046" w:type="dxa"/>
            <w:tcBorders>
              <w:bottom w:val="single" w:sz="4" w:space="0" w:color="000000"/>
            </w:tcBorders>
            <w:shd w:val="clear" w:color="auto" w:fill="CCEDFF"/>
          </w:tcPr>
          <w:p>
            <w:pPr>
              <w:pStyle w:val="TableParagraph"/>
              <w:spacing w:before="48"/>
              <w:ind w:right="71"/>
              <w:jc w:val="right"/>
              <w:rPr>
                <w:sz w:val="18"/>
              </w:rPr>
            </w:pPr>
            <w:r>
              <w:rPr>
                <w:spacing w:val="-2"/>
                <w:sz w:val="18"/>
              </w:rPr>
              <w:t>1,575</w:t>
            </w:r>
          </w:p>
        </w:tc>
      </w:tr>
      <w:tr>
        <w:trPr>
          <w:trHeight w:val="275" w:hRule="atLeast"/>
        </w:trPr>
        <w:tc>
          <w:tcPr>
            <w:tcW w:w="5880" w:type="dxa"/>
            <w:tcBorders>
              <w:top w:val="single" w:sz="4" w:space="0" w:color="000000"/>
              <w:bottom w:val="single" w:sz="4" w:space="0" w:color="000000"/>
            </w:tcBorders>
          </w:tcPr>
          <w:p>
            <w:pPr>
              <w:pStyle w:val="TableParagraph"/>
              <w:spacing w:before="43"/>
              <w:ind w:left="52"/>
              <w:rPr>
                <w:b/>
                <w:sz w:val="18"/>
              </w:rPr>
            </w:pPr>
            <w:r>
              <w:rPr>
                <w:b/>
                <w:sz w:val="18"/>
              </w:rPr>
              <w:t>Net</w:t>
            </w:r>
            <w:r>
              <w:rPr>
                <w:b/>
                <w:spacing w:val="-1"/>
                <w:sz w:val="18"/>
              </w:rPr>
              <w:t> </w:t>
            </w:r>
            <w:r>
              <w:rPr>
                <w:b/>
                <w:spacing w:val="-2"/>
                <w:sz w:val="18"/>
              </w:rPr>
              <w:t>Income</w:t>
            </w:r>
          </w:p>
        </w:tc>
        <w:tc>
          <w:tcPr>
            <w:tcW w:w="1136" w:type="dxa"/>
            <w:tcBorders>
              <w:top w:val="single" w:sz="4" w:space="0" w:color="000000"/>
              <w:bottom w:val="single" w:sz="4" w:space="0" w:color="000000"/>
            </w:tcBorders>
          </w:tcPr>
          <w:p>
            <w:pPr>
              <w:pStyle w:val="TableParagraph"/>
              <w:spacing w:before="43"/>
              <w:ind w:right="128"/>
              <w:jc w:val="right"/>
              <w:rPr>
                <w:sz w:val="18"/>
              </w:rPr>
            </w:pPr>
            <w:r>
              <w:rPr>
                <w:spacing w:val="-2"/>
                <w:sz w:val="18"/>
              </w:rPr>
              <w:t>1,125</w:t>
            </w:r>
          </w:p>
        </w:tc>
        <w:tc>
          <w:tcPr>
            <w:tcW w:w="1102" w:type="dxa"/>
            <w:tcBorders>
              <w:top w:val="single" w:sz="4" w:space="0" w:color="000000"/>
              <w:bottom w:val="single" w:sz="4" w:space="0" w:color="000000"/>
            </w:tcBorders>
          </w:tcPr>
          <w:p>
            <w:pPr>
              <w:pStyle w:val="TableParagraph"/>
              <w:spacing w:before="43"/>
              <w:ind w:right="120"/>
              <w:jc w:val="right"/>
              <w:rPr>
                <w:sz w:val="18"/>
              </w:rPr>
            </w:pPr>
            <w:r>
              <w:rPr>
                <w:spacing w:val="-2"/>
                <w:sz w:val="18"/>
              </w:rPr>
              <w:t>2,020</w:t>
            </w:r>
          </w:p>
        </w:tc>
        <w:tc>
          <w:tcPr>
            <w:tcW w:w="1095" w:type="dxa"/>
            <w:tcBorders>
              <w:top w:val="single" w:sz="4" w:space="0" w:color="000000"/>
              <w:bottom w:val="single" w:sz="4" w:space="0" w:color="000000"/>
            </w:tcBorders>
          </w:tcPr>
          <w:p>
            <w:pPr>
              <w:pStyle w:val="TableParagraph"/>
              <w:spacing w:before="43"/>
              <w:ind w:right="120"/>
              <w:jc w:val="right"/>
              <w:rPr>
                <w:sz w:val="18"/>
              </w:rPr>
            </w:pPr>
            <w:r>
              <w:rPr>
                <w:spacing w:val="-2"/>
                <w:sz w:val="18"/>
              </w:rPr>
              <w:t>4,022</w:t>
            </w:r>
          </w:p>
        </w:tc>
        <w:tc>
          <w:tcPr>
            <w:tcW w:w="1046" w:type="dxa"/>
            <w:tcBorders>
              <w:top w:val="single" w:sz="4" w:space="0" w:color="000000"/>
              <w:bottom w:val="single" w:sz="4" w:space="0" w:color="000000"/>
            </w:tcBorders>
          </w:tcPr>
          <w:p>
            <w:pPr>
              <w:pStyle w:val="TableParagraph"/>
              <w:spacing w:before="43"/>
              <w:ind w:right="71"/>
              <w:jc w:val="right"/>
              <w:rPr>
                <w:sz w:val="18"/>
              </w:rPr>
            </w:pPr>
            <w:r>
              <w:rPr>
                <w:spacing w:val="-2"/>
                <w:sz w:val="18"/>
              </w:rPr>
              <w:t>5,215</w:t>
            </w:r>
          </w:p>
        </w:tc>
      </w:tr>
      <w:tr>
        <w:trPr>
          <w:trHeight w:val="275" w:hRule="atLeast"/>
        </w:trPr>
        <w:tc>
          <w:tcPr>
            <w:tcW w:w="5880" w:type="dxa"/>
            <w:tcBorders>
              <w:top w:val="single" w:sz="4" w:space="0" w:color="000000"/>
              <w:bottom w:val="single" w:sz="4" w:space="0" w:color="000000"/>
            </w:tcBorders>
            <w:shd w:val="clear" w:color="auto" w:fill="CCEDFF"/>
          </w:tcPr>
          <w:p>
            <w:pPr>
              <w:pStyle w:val="TableParagraph"/>
              <w:spacing w:before="43"/>
              <w:ind w:left="52"/>
              <w:rPr>
                <w:sz w:val="18"/>
              </w:rPr>
            </w:pPr>
            <w:r>
              <w:rPr>
                <w:sz w:val="18"/>
              </w:rPr>
              <w:t>Preferred</w:t>
            </w:r>
            <w:r>
              <w:rPr>
                <w:spacing w:val="-1"/>
                <w:sz w:val="18"/>
              </w:rPr>
              <w:t> </w:t>
            </w:r>
            <w:r>
              <w:rPr>
                <w:sz w:val="18"/>
              </w:rPr>
              <w:t>stock dividends</w:t>
            </w:r>
            <w:r>
              <w:rPr>
                <w:spacing w:val="-2"/>
                <w:sz w:val="18"/>
              </w:rPr>
              <w:t> </w:t>
            </w:r>
            <w:r>
              <w:rPr>
                <w:sz w:val="18"/>
              </w:rPr>
              <w:t>and </w:t>
            </w:r>
            <w:r>
              <w:rPr>
                <w:spacing w:val="-2"/>
                <w:sz w:val="18"/>
              </w:rPr>
              <w:t>other</w:t>
            </w:r>
          </w:p>
        </w:tc>
        <w:tc>
          <w:tcPr>
            <w:tcW w:w="1136" w:type="dxa"/>
            <w:tcBorders>
              <w:top w:val="single" w:sz="4" w:space="0" w:color="000000"/>
              <w:bottom w:val="single" w:sz="4" w:space="0" w:color="000000"/>
            </w:tcBorders>
            <w:shd w:val="clear" w:color="auto" w:fill="CCEDFF"/>
          </w:tcPr>
          <w:p>
            <w:pPr>
              <w:pStyle w:val="TableParagraph"/>
              <w:spacing w:before="43"/>
              <w:ind w:right="128"/>
              <w:jc w:val="right"/>
              <w:rPr>
                <w:sz w:val="18"/>
              </w:rPr>
            </w:pPr>
            <w:r>
              <w:rPr>
                <w:spacing w:val="-5"/>
                <w:sz w:val="18"/>
              </w:rPr>
              <w:t>108</w:t>
            </w:r>
          </w:p>
        </w:tc>
        <w:tc>
          <w:tcPr>
            <w:tcW w:w="1102" w:type="dxa"/>
            <w:tcBorders>
              <w:top w:val="single" w:sz="4" w:space="0" w:color="000000"/>
              <w:bottom w:val="single" w:sz="4" w:space="0" w:color="000000"/>
            </w:tcBorders>
            <w:shd w:val="clear" w:color="auto" w:fill="CCEDFF"/>
          </w:tcPr>
          <w:p>
            <w:pPr>
              <w:pStyle w:val="TableParagraph"/>
              <w:spacing w:before="43"/>
              <w:ind w:right="120"/>
              <w:jc w:val="right"/>
              <w:rPr>
                <w:sz w:val="18"/>
              </w:rPr>
            </w:pPr>
            <w:r>
              <w:rPr>
                <w:spacing w:val="-5"/>
                <w:sz w:val="18"/>
              </w:rPr>
              <w:t>136</w:t>
            </w:r>
          </w:p>
        </w:tc>
        <w:tc>
          <w:tcPr>
            <w:tcW w:w="1095" w:type="dxa"/>
            <w:tcBorders>
              <w:top w:val="single" w:sz="4" w:space="0" w:color="000000"/>
              <w:bottom w:val="single" w:sz="4" w:space="0" w:color="000000"/>
            </w:tcBorders>
            <w:shd w:val="clear" w:color="auto" w:fill="CCEDFF"/>
          </w:tcPr>
          <w:p>
            <w:pPr>
              <w:pStyle w:val="TableParagraph"/>
              <w:spacing w:before="43"/>
              <w:ind w:right="120"/>
              <w:jc w:val="right"/>
              <w:rPr>
                <w:sz w:val="18"/>
              </w:rPr>
            </w:pPr>
            <w:r>
              <w:rPr>
                <w:spacing w:val="-5"/>
                <w:sz w:val="18"/>
              </w:rPr>
              <w:t>299</w:t>
            </w:r>
          </w:p>
        </w:tc>
        <w:tc>
          <w:tcPr>
            <w:tcW w:w="1046" w:type="dxa"/>
            <w:tcBorders>
              <w:top w:val="single" w:sz="4" w:space="0" w:color="000000"/>
              <w:bottom w:val="single" w:sz="4" w:space="0" w:color="000000"/>
            </w:tcBorders>
            <w:shd w:val="clear" w:color="auto" w:fill="CCEDFF"/>
          </w:tcPr>
          <w:p>
            <w:pPr>
              <w:pStyle w:val="TableParagraph"/>
              <w:spacing w:before="43"/>
              <w:ind w:right="71"/>
              <w:jc w:val="right"/>
              <w:rPr>
                <w:sz w:val="18"/>
              </w:rPr>
            </w:pPr>
            <w:r>
              <w:rPr>
                <w:spacing w:val="-5"/>
                <w:sz w:val="18"/>
              </w:rPr>
              <w:t>401</w:t>
            </w:r>
          </w:p>
        </w:tc>
      </w:tr>
      <w:tr>
        <w:trPr>
          <w:trHeight w:val="250" w:hRule="atLeast"/>
        </w:trPr>
        <w:tc>
          <w:tcPr>
            <w:tcW w:w="5880" w:type="dxa"/>
            <w:tcBorders>
              <w:top w:val="single" w:sz="4" w:space="0" w:color="000000"/>
              <w:bottom w:val="double" w:sz="8" w:space="0" w:color="auto"/>
            </w:tcBorders>
          </w:tcPr>
          <w:p>
            <w:pPr>
              <w:pStyle w:val="TableParagraph"/>
              <w:spacing w:line="187" w:lineRule="exact" w:before="43"/>
              <w:ind w:left="52"/>
              <w:rPr>
                <w:b/>
                <w:sz w:val="18"/>
              </w:rPr>
            </w:pPr>
            <w:r>
              <w:rPr>
                <w:b/>
                <w:sz w:val="18"/>
              </w:rPr>
              <w:t>Net</w:t>
            </w:r>
            <w:r>
              <w:rPr>
                <w:b/>
                <w:spacing w:val="-2"/>
                <w:sz w:val="18"/>
              </w:rPr>
              <w:t> </w:t>
            </w:r>
            <w:r>
              <w:rPr>
                <w:b/>
                <w:sz w:val="18"/>
              </w:rPr>
              <w:t>Income</w:t>
            </w:r>
            <w:r>
              <w:rPr>
                <w:b/>
                <w:spacing w:val="-1"/>
                <w:sz w:val="18"/>
              </w:rPr>
              <w:t> </w:t>
            </w:r>
            <w:r>
              <w:rPr>
                <w:b/>
                <w:sz w:val="18"/>
              </w:rPr>
              <w:t>Available</w:t>
            </w:r>
            <w:r>
              <w:rPr>
                <w:b/>
                <w:spacing w:val="-1"/>
                <w:sz w:val="18"/>
              </w:rPr>
              <w:t> </w:t>
            </w:r>
            <w:r>
              <w:rPr>
                <w:b/>
                <w:sz w:val="18"/>
              </w:rPr>
              <w:t>to</w:t>
            </w:r>
            <w:r>
              <w:rPr>
                <w:b/>
                <w:spacing w:val="-1"/>
                <w:sz w:val="18"/>
              </w:rPr>
              <w:t> </w:t>
            </w:r>
            <w:r>
              <w:rPr>
                <w:b/>
                <w:sz w:val="18"/>
              </w:rPr>
              <w:t>Common</w:t>
            </w:r>
            <w:r>
              <w:rPr>
                <w:b/>
                <w:spacing w:val="-2"/>
                <w:sz w:val="18"/>
              </w:rPr>
              <w:t> Stockholders</w:t>
            </w:r>
          </w:p>
        </w:tc>
        <w:tc>
          <w:tcPr>
            <w:tcW w:w="1136" w:type="dxa"/>
            <w:tcBorders>
              <w:top w:val="single" w:sz="4" w:space="0" w:color="000000"/>
              <w:bottom w:val="double" w:sz="8" w:space="0" w:color="auto"/>
            </w:tcBorders>
          </w:tcPr>
          <w:p>
            <w:pPr>
              <w:pStyle w:val="TableParagraph"/>
              <w:tabs>
                <w:tab w:pos="600" w:val="left" w:leader="none"/>
              </w:tabs>
              <w:spacing w:line="187" w:lineRule="exact" w:before="43"/>
              <w:ind w:left="52"/>
              <w:rPr>
                <w:sz w:val="18"/>
              </w:rPr>
            </w:pPr>
            <w:r>
              <w:rPr>
                <w:spacing w:val="-10"/>
                <w:sz w:val="18"/>
              </w:rPr>
              <w:t>$</w:t>
            </w:r>
            <w:r>
              <w:rPr>
                <w:sz w:val="18"/>
              </w:rPr>
              <w:tab/>
            </w:r>
            <w:r>
              <w:rPr>
                <w:spacing w:val="-2"/>
                <w:sz w:val="18"/>
              </w:rPr>
              <w:t>1,017</w:t>
            </w:r>
          </w:p>
        </w:tc>
        <w:tc>
          <w:tcPr>
            <w:tcW w:w="1102" w:type="dxa"/>
            <w:tcBorders>
              <w:top w:val="single" w:sz="4" w:space="0" w:color="000000"/>
              <w:bottom w:val="double" w:sz="8" w:space="0" w:color="auto"/>
            </w:tcBorders>
          </w:tcPr>
          <w:p>
            <w:pPr>
              <w:pStyle w:val="TableParagraph"/>
              <w:tabs>
                <w:tab w:pos="574" w:val="left" w:leader="none"/>
              </w:tabs>
              <w:spacing w:line="187" w:lineRule="exact" w:before="43"/>
              <w:ind w:left="71"/>
              <w:rPr>
                <w:sz w:val="18"/>
              </w:rPr>
            </w:pPr>
            <w:r>
              <w:rPr>
                <w:spacing w:val="-10"/>
                <w:sz w:val="18"/>
              </w:rPr>
              <w:t>$</w:t>
            </w:r>
            <w:r>
              <w:rPr>
                <w:sz w:val="18"/>
              </w:rPr>
              <w:tab/>
            </w:r>
            <w:r>
              <w:rPr>
                <w:spacing w:val="-2"/>
                <w:sz w:val="18"/>
              </w:rPr>
              <w:t>1,884</w:t>
            </w:r>
          </w:p>
        </w:tc>
        <w:tc>
          <w:tcPr>
            <w:tcW w:w="1095" w:type="dxa"/>
            <w:tcBorders>
              <w:top w:val="single" w:sz="4" w:space="0" w:color="000000"/>
              <w:bottom w:val="double" w:sz="8" w:space="0" w:color="auto"/>
            </w:tcBorders>
          </w:tcPr>
          <w:p>
            <w:pPr>
              <w:pStyle w:val="TableParagraph"/>
              <w:tabs>
                <w:tab w:pos="502" w:val="left" w:leader="none"/>
              </w:tabs>
              <w:spacing w:line="187" w:lineRule="exact" w:before="43"/>
              <w:ind w:right="120"/>
              <w:jc w:val="right"/>
              <w:rPr>
                <w:sz w:val="18"/>
              </w:rPr>
            </w:pPr>
            <w:r>
              <w:rPr>
                <w:spacing w:val="-10"/>
                <w:sz w:val="18"/>
              </w:rPr>
              <w:t>$</w:t>
            </w:r>
            <w:r>
              <w:rPr>
                <w:sz w:val="18"/>
              </w:rPr>
              <w:tab/>
            </w:r>
            <w:r>
              <w:rPr>
                <w:spacing w:val="-2"/>
                <w:sz w:val="18"/>
              </w:rPr>
              <w:t>3,723</w:t>
            </w:r>
          </w:p>
        </w:tc>
        <w:tc>
          <w:tcPr>
            <w:tcW w:w="1046" w:type="dxa"/>
            <w:tcBorders>
              <w:top w:val="single" w:sz="4" w:space="0" w:color="000000"/>
              <w:bottom w:val="double" w:sz="8" w:space="0" w:color="auto"/>
            </w:tcBorders>
          </w:tcPr>
          <w:p>
            <w:pPr>
              <w:pStyle w:val="TableParagraph"/>
              <w:tabs>
                <w:tab w:pos="502" w:val="left" w:leader="none"/>
              </w:tabs>
              <w:spacing w:line="187" w:lineRule="exact" w:before="43"/>
              <w:ind w:right="71"/>
              <w:jc w:val="right"/>
              <w:rPr>
                <w:sz w:val="18"/>
              </w:rPr>
            </w:pPr>
            <w:r>
              <w:rPr>
                <w:spacing w:val="-10"/>
                <w:sz w:val="18"/>
              </w:rPr>
              <w:t>$</w:t>
            </w:r>
            <w:r>
              <w:rPr>
                <w:sz w:val="18"/>
              </w:rPr>
              <w:tab/>
            </w:r>
            <w:r>
              <w:rPr>
                <w:spacing w:val="-2"/>
                <w:sz w:val="18"/>
              </w:rPr>
              <w:t>4,814</w:t>
            </w:r>
          </w:p>
        </w:tc>
      </w:tr>
      <w:tr>
        <w:trPr>
          <w:trHeight w:val="255" w:hRule="atLeast"/>
        </w:trPr>
        <w:tc>
          <w:tcPr>
            <w:tcW w:w="5880" w:type="dxa"/>
            <w:tcBorders>
              <w:top w:val="double" w:sz="8" w:space="0" w:color="CCEDFF"/>
            </w:tcBorders>
            <w:shd w:val="clear" w:color="auto" w:fill="CCEDFF"/>
          </w:tcPr>
          <w:p>
            <w:pPr>
              <w:pStyle w:val="TableParagraph"/>
              <w:spacing w:before="18"/>
              <w:ind w:left="52"/>
              <w:rPr>
                <w:b/>
                <w:sz w:val="18"/>
              </w:rPr>
            </w:pPr>
            <w:r>
              <w:rPr>
                <w:b/>
                <w:sz w:val="18"/>
              </w:rPr>
              <w:t>Weighted-Average</w:t>
            </w:r>
            <w:r>
              <w:rPr>
                <w:b/>
                <w:spacing w:val="-3"/>
                <w:sz w:val="18"/>
              </w:rPr>
              <w:t> </w:t>
            </w:r>
            <w:r>
              <w:rPr>
                <w:b/>
                <w:sz w:val="18"/>
              </w:rPr>
              <w:t>Common</w:t>
            </w:r>
            <w:r>
              <w:rPr>
                <w:b/>
                <w:spacing w:val="-3"/>
                <w:sz w:val="18"/>
              </w:rPr>
              <w:t> </w:t>
            </w:r>
            <w:r>
              <w:rPr>
                <w:b/>
                <w:sz w:val="18"/>
              </w:rPr>
              <w:t>Shares</w:t>
            </w:r>
            <w:r>
              <w:rPr>
                <w:b/>
                <w:spacing w:val="-2"/>
                <w:sz w:val="18"/>
              </w:rPr>
              <w:t> Outstanding:</w:t>
            </w:r>
          </w:p>
        </w:tc>
        <w:tc>
          <w:tcPr>
            <w:tcW w:w="1136" w:type="dxa"/>
            <w:tcBorders>
              <w:top w:val="double" w:sz="8" w:space="0" w:color="CCEDFF"/>
            </w:tcBorders>
            <w:shd w:val="clear" w:color="auto" w:fill="CCEDFF"/>
          </w:tcPr>
          <w:p>
            <w:pPr>
              <w:pStyle w:val="TableParagraph"/>
              <w:rPr>
                <w:sz w:val="16"/>
              </w:rPr>
            </w:pPr>
          </w:p>
        </w:tc>
        <w:tc>
          <w:tcPr>
            <w:tcW w:w="1102" w:type="dxa"/>
            <w:tcBorders>
              <w:top w:val="double" w:sz="8" w:space="0" w:color="CCEDFF"/>
            </w:tcBorders>
            <w:shd w:val="clear" w:color="auto" w:fill="CCEDFF"/>
          </w:tcPr>
          <w:p>
            <w:pPr>
              <w:pStyle w:val="TableParagraph"/>
              <w:rPr>
                <w:sz w:val="16"/>
              </w:rPr>
            </w:pPr>
          </w:p>
        </w:tc>
        <w:tc>
          <w:tcPr>
            <w:tcW w:w="1095" w:type="dxa"/>
            <w:tcBorders>
              <w:top w:val="double" w:sz="8" w:space="0" w:color="CCEDFF"/>
            </w:tcBorders>
            <w:shd w:val="clear" w:color="auto" w:fill="CCEDFF"/>
          </w:tcPr>
          <w:p>
            <w:pPr>
              <w:pStyle w:val="TableParagraph"/>
              <w:rPr>
                <w:sz w:val="16"/>
              </w:rPr>
            </w:pPr>
          </w:p>
        </w:tc>
        <w:tc>
          <w:tcPr>
            <w:tcW w:w="1046" w:type="dxa"/>
            <w:tcBorders>
              <w:top w:val="double" w:sz="8" w:space="0" w:color="CCEDFF"/>
            </w:tcBorders>
            <w:shd w:val="clear" w:color="auto" w:fill="CCEDFF"/>
          </w:tcPr>
          <w:p>
            <w:pPr>
              <w:pStyle w:val="TableParagraph"/>
              <w:rPr>
                <w:sz w:val="16"/>
              </w:rPr>
            </w:pPr>
          </w:p>
        </w:tc>
      </w:tr>
      <w:tr>
        <w:trPr>
          <w:trHeight w:val="285" w:hRule="atLeast"/>
        </w:trPr>
        <w:tc>
          <w:tcPr>
            <w:tcW w:w="5880" w:type="dxa"/>
          </w:tcPr>
          <w:p>
            <w:pPr>
              <w:pStyle w:val="TableParagraph"/>
              <w:spacing w:before="48"/>
              <w:ind w:left="412"/>
              <w:rPr>
                <w:sz w:val="18"/>
              </w:rPr>
            </w:pPr>
            <w:r>
              <w:rPr>
                <w:spacing w:val="-2"/>
                <w:sz w:val="18"/>
              </w:rPr>
              <w:t>Basic</w:t>
            </w:r>
          </w:p>
        </w:tc>
        <w:tc>
          <w:tcPr>
            <w:tcW w:w="1136" w:type="dxa"/>
          </w:tcPr>
          <w:p>
            <w:pPr>
              <w:pStyle w:val="TableParagraph"/>
              <w:spacing w:before="48"/>
              <w:ind w:right="128"/>
              <w:jc w:val="right"/>
              <w:rPr>
                <w:sz w:val="18"/>
              </w:rPr>
            </w:pPr>
            <w:r>
              <w:rPr>
                <w:spacing w:val="-2"/>
                <w:sz w:val="18"/>
              </w:rPr>
              <w:t>1,821</w:t>
            </w:r>
          </w:p>
        </w:tc>
        <w:tc>
          <w:tcPr>
            <w:tcW w:w="1102" w:type="dxa"/>
          </w:tcPr>
          <w:p>
            <w:pPr>
              <w:pStyle w:val="TableParagraph"/>
              <w:spacing w:before="48"/>
              <w:ind w:right="120"/>
              <w:jc w:val="right"/>
              <w:rPr>
                <w:sz w:val="18"/>
              </w:rPr>
            </w:pPr>
            <w:r>
              <w:rPr>
                <w:spacing w:val="-2"/>
                <w:sz w:val="18"/>
              </w:rPr>
              <w:t>1,887</w:t>
            </w:r>
          </w:p>
        </w:tc>
        <w:tc>
          <w:tcPr>
            <w:tcW w:w="1095" w:type="dxa"/>
          </w:tcPr>
          <w:p>
            <w:pPr>
              <w:pStyle w:val="TableParagraph"/>
              <w:spacing w:before="48"/>
              <w:ind w:right="120"/>
              <w:jc w:val="right"/>
              <w:rPr>
                <w:sz w:val="18"/>
              </w:rPr>
            </w:pPr>
            <w:r>
              <w:rPr>
                <w:spacing w:val="-2"/>
                <w:sz w:val="18"/>
              </w:rPr>
              <w:t>1,825</w:t>
            </w:r>
          </w:p>
        </w:tc>
        <w:tc>
          <w:tcPr>
            <w:tcW w:w="1046" w:type="dxa"/>
          </w:tcPr>
          <w:p>
            <w:pPr>
              <w:pStyle w:val="TableParagraph"/>
              <w:spacing w:before="48"/>
              <w:ind w:right="71"/>
              <w:jc w:val="right"/>
              <w:rPr>
                <w:sz w:val="18"/>
              </w:rPr>
            </w:pPr>
            <w:r>
              <w:rPr>
                <w:spacing w:val="-2"/>
                <w:sz w:val="18"/>
              </w:rPr>
              <w:t>1,892</w:t>
            </w:r>
          </w:p>
        </w:tc>
      </w:tr>
      <w:tr>
        <w:trPr>
          <w:trHeight w:val="280" w:hRule="atLeast"/>
        </w:trPr>
        <w:tc>
          <w:tcPr>
            <w:tcW w:w="5880" w:type="dxa"/>
            <w:tcBorders>
              <w:bottom w:val="single" w:sz="4" w:space="0" w:color="000000"/>
            </w:tcBorders>
            <w:shd w:val="clear" w:color="auto" w:fill="CCEDFF"/>
          </w:tcPr>
          <w:p>
            <w:pPr>
              <w:pStyle w:val="TableParagraph"/>
              <w:spacing w:before="48"/>
              <w:ind w:left="412"/>
              <w:rPr>
                <w:sz w:val="18"/>
              </w:rPr>
            </w:pPr>
            <w:r>
              <w:rPr>
                <w:spacing w:val="-2"/>
                <w:sz w:val="18"/>
              </w:rPr>
              <w:t>Diluted</w:t>
            </w:r>
          </w:p>
        </w:tc>
        <w:tc>
          <w:tcPr>
            <w:tcW w:w="1136" w:type="dxa"/>
            <w:tcBorders>
              <w:bottom w:val="single" w:sz="4" w:space="0" w:color="000000"/>
            </w:tcBorders>
            <w:shd w:val="clear" w:color="auto" w:fill="CCEDFF"/>
          </w:tcPr>
          <w:p>
            <w:pPr>
              <w:pStyle w:val="TableParagraph"/>
              <w:spacing w:before="48"/>
              <w:ind w:right="128"/>
              <w:jc w:val="right"/>
              <w:rPr>
                <w:sz w:val="18"/>
              </w:rPr>
            </w:pPr>
            <w:r>
              <w:rPr>
                <w:spacing w:val="-2"/>
                <w:sz w:val="18"/>
              </w:rPr>
              <w:t>1,827</w:t>
            </w:r>
          </w:p>
        </w:tc>
        <w:tc>
          <w:tcPr>
            <w:tcW w:w="1102" w:type="dxa"/>
            <w:tcBorders>
              <w:bottom w:val="single" w:sz="4" w:space="0" w:color="000000"/>
            </w:tcBorders>
            <w:shd w:val="clear" w:color="auto" w:fill="CCEDFF"/>
          </w:tcPr>
          <w:p>
            <w:pPr>
              <w:pStyle w:val="TableParagraph"/>
              <w:spacing w:before="48"/>
              <w:ind w:right="120"/>
              <w:jc w:val="right"/>
              <w:rPr>
                <w:sz w:val="18"/>
              </w:rPr>
            </w:pPr>
            <w:r>
              <w:rPr>
                <w:spacing w:val="-2"/>
                <w:sz w:val="18"/>
              </w:rPr>
              <w:t>1,895</w:t>
            </w:r>
          </w:p>
        </w:tc>
        <w:tc>
          <w:tcPr>
            <w:tcW w:w="1095" w:type="dxa"/>
            <w:tcBorders>
              <w:bottom w:val="single" w:sz="4" w:space="0" w:color="000000"/>
            </w:tcBorders>
            <w:shd w:val="clear" w:color="auto" w:fill="CCEDFF"/>
          </w:tcPr>
          <w:p>
            <w:pPr>
              <w:pStyle w:val="TableParagraph"/>
              <w:spacing w:before="48"/>
              <w:ind w:right="120"/>
              <w:jc w:val="right"/>
              <w:rPr>
                <w:sz w:val="18"/>
              </w:rPr>
            </w:pPr>
            <w:r>
              <w:rPr>
                <w:spacing w:val="-2"/>
                <w:sz w:val="18"/>
              </w:rPr>
              <w:t>1,832</w:t>
            </w:r>
          </w:p>
        </w:tc>
        <w:tc>
          <w:tcPr>
            <w:tcW w:w="1046" w:type="dxa"/>
            <w:tcBorders>
              <w:bottom w:val="single" w:sz="4" w:space="0" w:color="000000"/>
            </w:tcBorders>
            <w:shd w:val="clear" w:color="auto" w:fill="CCEDFF"/>
          </w:tcPr>
          <w:p>
            <w:pPr>
              <w:pStyle w:val="TableParagraph"/>
              <w:spacing w:before="48"/>
              <w:ind w:right="71"/>
              <w:jc w:val="right"/>
              <w:rPr>
                <w:sz w:val="18"/>
              </w:rPr>
            </w:pPr>
            <w:r>
              <w:rPr>
                <w:spacing w:val="-2"/>
                <w:sz w:val="18"/>
              </w:rPr>
              <w:t>1,901</w:t>
            </w:r>
          </w:p>
        </w:tc>
      </w:tr>
      <w:tr>
        <w:trPr>
          <w:trHeight w:val="280" w:hRule="atLeast"/>
        </w:trPr>
        <w:tc>
          <w:tcPr>
            <w:tcW w:w="5880" w:type="dxa"/>
            <w:tcBorders>
              <w:top w:val="single" w:sz="4" w:space="0" w:color="000000"/>
            </w:tcBorders>
          </w:tcPr>
          <w:p>
            <w:pPr>
              <w:pStyle w:val="TableParagraph"/>
              <w:spacing w:before="43"/>
              <w:ind w:left="52"/>
              <w:rPr>
                <w:b/>
                <w:sz w:val="18"/>
              </w:rPr>
            </w:pPr>
            <w:r>
              <w:rPr>
                <w:b/>
                <w:sz w:val="18"/>
              </w:rPr>
              <w:t>Earnings</w:t>
            </w:r>
            <w:r>
              <w:rPr>
                <w:b/>
                <w:spacing w:val="-3"/>
                <w:sz w:val="18"/>
              </w:rPr>
              <w:t> </w:t>
            </w:r>
            <w:r>
              <w:rPr>
                <w:b/>
                <w:sz w:val="18"/>
              </w:rPr>
              <w:t>Per</w:t>
            </w:r>
            <w:r>
              <w:rPr>
                <w:b/>
                <w:spacing w:val="-3"/>
                <w:sz w:val="18"/>
              </w:rPr>
              <w:t> </w:t>
            </w:r>
            <w:r>
              <w:rPr>
                <w:b/>
                <w:sz w:val="18"/>
              </w:rPr>
              <w:t>Common</w:t>
            </w:r>
            <w:r>
              <w:rPr>
                <w:b/>
                <w:spacing w:val="-3"/>
                <w:sz w:val="18"/>
              </w:rPr>
              <w:t> </w:t>
            </w:r>
            <w:r>
              <w:rPr>
                <w:b/>
                <w:sz w:val="18"/>
              </w:rPr>
              <w:t>Shares</w:t>
            </w:r>
            <w:r>
              <w:rPr>
                <w:b/>
                <w:spacing w:val="-3"/>
                <w:sz w:val="18"/>
              </w:rPr>
              <w:t> </w:t>
            </w:r>
            <w:r>
              <w:rPr>
                <w:b/>
                <w:sz w:val="18"/>
              </w:rPr>
              <w:t>Outstanding</w:t>
            </w:r>
            <w:r>
              <w:rPr>
                <w:b/>
                <w:spacing w:val="-4"/>
                <w:sz w:val="18"/>
              </w:rPr>
              <w:t> </w:t>
            </w:r>
            <w:r>
              <w:rPr>
                <w:b/>
                <w:spacing w:val="-4"/>
                <w:sz w:val="18"/>
                <w:vertAlign w:val="superscript"/>
              </w:rPr>
              <w:t>(2)</w:t>
            </w:r>
            <w:r>
              <w:rPr>
                <w:b/>
                <w:spacing w:val="-4"/>
                <w:sz w:val="18"/>
                <w:vertAlign w:val="baseline"/>
              </w:rPr>
              <w:t>:</w:t>
            </w:r>
          </w:p>
        </w:tc>
        <w:tc>
          <w:tcPr>
            <w:tcW w:w="1136" w:type="dxa"/>
            <w:tcBorders>
              <w:top w:val="single" w:sz="4" w:space="0" w:color="000000"/>
            </w:tcBorders>
          </w:tcPr>
          <w:p>
            <w:pPr>
              <w:pStyle w:val="TableParagraph"/>
              <w:rPr>
                <w:sz w:val="16"/>
              </w:rPr>
            </w:pPr>
          </w:p>
        </w:tc>
        <w:tc>
          <w:tcPr>
            <w:tcW w:w="1102" w:type="dxa"/>
            <w:tcBorders>
              <w:top w:val="single" w:sz="4" w:space="0" w:color="000000"/>
            </w:tcBorders>
          </w:tcPr>
          <w:p>
            <w:pPr>
              <w:pStyle w:val="TableParagraph"/>
              <w:rPr>
                <w:sz w:val="16"/>
              </w:rPr>
            </w:pPr>
          </w:p>
        </w:tc>
        <w:tc>
          <w:tcPr>
            <w:tcW w:w="1095" w:type="dxa"/>
            <w:tcBorders>
              <w:top w:val="single" w:sz="4" w:space="0" w:color="000000"/>
            </w:tcBorders>
          </w:tcPr>
          <w:p>
            <w:pPr>
              <w:pStyle w:val="TableParagraph"/>
              <w:rPr>
                <w:sz w:val="16"/>
              </w:rPr>
            </w:pPr>
          </w:p>
        </w:tc>
        <w:tc>
          <w:tcPr>
            <w:tcW w:w="1046" w:type="dxa"/>
            <w:tcBorders>
              <w:top w:val="single" w:sz="4" w:space="0" w:color="000000"/>
            </w:tcBorders>
          </w:tcPr>
          <w:p>
            <w:pPr>
              <w:pStyle w:val="TableParagraph"/>
              <w:rPr>
                <w:sz w:val="16"/>
              </w:rPr>
            </w:pPr>
          </w:p>
        </w:tc>
      </w:tr>
      <w:tr>
        <w:trPr>
          <w:trHeight w:val="285" w:hRule="atLeast"/>
        </w:trPr>
        <w:tc>
          <w:tcPr>
            <w:tcW w:w="5880" w:type="dxa"/>
            <w:shd w:val="clear" w:color="auto" w:fill="CCEDFF"/>
          </w:tcPr>
          <w:p>
            <w:pPr>
              <w:pStyle w:val="TableParagraph"/>
              <w:spacing w:before="48"/>
              <w:ind w:left="412"/>
              <w:rPr>
                <w:sz w:val="18"/>
              </w:rPr>
            </w:pPr>
            <w:r>
              <w:rPr>
                <w:spacing w:val="-2"/>
                <w:sz w:val="18"/>
              </w:rPr>
              <w:t>Basic</w:t>
            </w:r>
          </w:p>
        </w:tc>
        <w:tc>
          <w:tcPr>
            <w:tcW w:w="1136" w:type="dxa"/>
            <w:shd w:val="clear" w:color="auto" w:fill="CCEDFF"/>
          </w:tcPr>
          <w:p>
            <w:pPr>
              <w:pStyle w:val="TableParagraph"/>
              <w:tabs>
                <w:tab w:pos="780" w:val="left" w:leader="none"/>
              </w:tabs>
              <w:spacing w:before="48"/>
              <w:ind w:left="52"/>
              <w:rPr>
                <w:sz w:val="18"/>
              </w:rPr>
            </w:pPr>
            <w:r>
              <w:rPr>
                <w:spacing w:val="-10"/>
                <w:sz w:val="18"/>
              </w:rPr>
              <w:t>$</w:t>
            </w:r>
            <w:r>
              <w:rPr>
                <w:sz w:val="18"/>
              </w:rPr>
              <w:tab/>
            </w:r>
            <w:r>
              <w:rPr>
                <w:spacing w:val="-5"/>
                <w:sz w:val="18"/>
              </w:rPr>
              <w:t>.56</w:t>
            </w:r>
          </w:p>
        </w:tc>
        <w:tc>
          <w:tcPr>
            <w:tcW w:w="1102" w:type="dxa"/>
            <w:shd w:val="clear" w:color="auto" w:fill="CCEDFF"/>
          </w:tcPr>
          <w:p>
            <w:pPr>
              <w:pStyle w:val="TableParagraph"/>
              <w:tabs>
                <w:tab w:pos="664" w:val="left" w:leader="none"/>
              </w:tabs>
              <w:spacing w:before="48"/>
              <w:ind w:left="71"/>
              <w:rPr>
                <w:sz w:val="18"/>
              </w:rPr>
            </w:pPr>
            <w:r>
              <w:rPr>
                <w:spacing w:val="-10"/>
                <w:sz w:val="18"/>
              </w:rPr>
              <w:t>$</w:t>
            </w:r>
            <w:r>
              <w:rPr>
                <w:sz w:val="18"/>
              </w:rPr>
              <w:tab/>
            </w:r>
            <w:r>
              <w:rPr>
                <w:spacing w:val="-4"/>
                <w:sz w:val="18"/>
              </w:rPr>
              <w:t>1.00</w:t>
            </w:r>
          </w:p>
        </w:tc>
        <w:tc>
          <w:tcPr>
            <w:tcW w:w="1095" w:type="dxa"/>
            <w:shd w:val="clear" w:color="auto" w:fill="CCEDFF"/>
          </w:tcPr>
          <w:p>
            <w:pPr>
              <w:pStyle w:val="TableParagraph"/>
              <w:tabs>
                <w:tab w:pos="592" w:val="left" w:leader="none"/>
              </w:tabs>
              <w:spacing w:before="48"/>
              <w:ind w:right="120"/>
              <w:jc w:val="right"/>
              <w:rPr>
                <w:sz w:val="18"/>
              </w:rPr>
            </w:pPr>
            <w:r>
              <w:rPr>
                <w:spacing w:val="-10"/>
                <w:sz w:val="18"/>
              </w:rPr>
              <w:t>$</w:t>
            </w:r>
            <w:r>
              <w:rPr>
                <w:sz w:val="18"/>
              </w:rPr>
              <w:tab/>
            </w:r>
            <w:r>
              <w:rPr>
                <w:spacing w:val="-4"/>
                <w:sz w:val="18"/>
              </w:rPr>
              <w:t>2.04</w:t>
            </w:r>
          </w:p>
        </w:tc>
        <w:tc>
          <w:tcPr>
            <w:tcW w:w="1046" w:type="dxa"/>
            <w:shd w:val="clear" w:color="auto" w:fill="CCEDFF"/>
          </w:tcPr>
          <w:p>
            <w:pPr>
              <w:pStyle w:val="TableParagraph"/>
              <w:tabs>
                <w:tab w:pos="592" w:val="left" w:leader="none"/>
              </w:tabs>
              <w:spacing w:before="48"/>
              <w:ind w:right="71"/>
              <w:jc w:val="right"/>
              <w:rPr>
                <w:sz w:val="18"/>
              </w:rPr>
            </w:pPr>
            <w:r>
              <w:rPr>
                <w:spacing w:val="-10"/>
                <w:sz w:val="18"/>
              </w:rPr>
              <w:t>$</w:t>
            </w:r>
            <w:r>
              <w:rPr>
                <w:sz w:val="18"/>
              </w:rPr>
              <w:tab/>
            </w:r>
            <w:r>
              <w:rPr>
                <w:spacing w:val="-4"/>
                <w:sz w:val="18"/>
              </w:rPr>
              <w:t>2.54</w:t>
            </w:r>
          </w:p>
        </w:tc>
      </w:tr>
      <w:tr>
        <w:trPr>
          <w:trHeight w:val="280" w:hRule="atLeast"/>
        </w:trPr>
        <w:tc>
          <w:tcPr>
            <w:tcW w:w="5880" w:type="dxa"/>
            <w:tcBorders>
              <w:bottom w:val="single" w:sz="4" w:space="0" w:color="000000"/>
            </w:tcBorders>
          </w:tcPr>
          <w:p>
            <w:pPr>
              <w:pStyle w:val="TableParagraph"/>
              <w:spacing w:before="48"/>
              <w:ind w:left="412"/>
              <w:rPr>
                <w:sz w:val="18"/>
              </w:rPr>
            </w:pPr>
            <w:r>
              <w:rPr>
                <w:spacing w:val="-2"/>
                <w:sz w:val="18"/>
              </w:rPr>
              <w:t>Diluted</w:t>
            </w:r>
          </w:p>
        </w:tc>
        <w:tc>
          <w:tcPr>
            <w:tcW w:w="1136" w:type="dxa"/>
            <w:tcBorders>
              <w:bottom w:val="single" w:sz="4" w:space="0" w:color="000000"/>
            </w:tcBorders>
          </w:tcPr>
          <w:p>
            <w:pPr>
              <w:pStyle w:val="TableParagraph"/>
              <w:tabs>
                <w:tab w:pos="780" w:val="left" w:leader="none"/>
              </w:tabs>
              <w:spacing w:before="48"/>
              <w:ind w:left="52"/>
              <w:rPr>
                <w:sz w:val="18"/>
              </w:rPr>
            </w:pPr>
            <w:r>
              <w:rPr>
                <w:spacing w:val="-10"/>
                <w:sz w:val="18"/>
              </w:rPr>
              <w:t>$</w:t>
            </w:r>
            <w:r>
              <w:rPr>
                <w:sz w:val="18"/>
              </w:rPr>
              <w:tab/>
            </w:r>
            <w:r>
              <w:rPr>
                <w:spacing w:val="-5"/>
                <w:sz w:val="18"/>
              </w:rPr>
              <w:t>.56</w:t>
            </w:r>
          </w:p>
        </w:tc>
        <w:tc>
          <w:tcPr>
            <w:tcW w:w="1102" w:type="dxa"/>
            <w:tcBorders>
              <w:bottom w:val="single" w:sz="4" w:space="0" w:color="000000"/>
            </w:tcBorders>
          </w:tcPr>
          <w:p>
            <w:pPr>
              <w:pStyle w:val="TableParagraph"/>
              <w:tabs>
                <w:tab w:pos="754" w:val="left" w:leader="none"/>
              </w:tabs>
              <w:spacing w:before="48"/>
              <w:ind w:left="71"/>
              <w:rPr>
                <w:sz w:val="18"/>
              </w:rPr>
            </w:pPr>
            <w:r>
              <w:rPr>
                <w:spacing w:val="-10"/>
                <w:sz w:val="18"/>
              </w:rPr>
              <w:t>$</w:t>
            </w:r>
            <w:r>
              <w:rPr>
                <w:sz w:val="18"/>
              </w:rPr>
              <w:tab/>
            </w:r>
            <w:r>
              <w:rPr>
                <w:spacing w:val="-5"/>
                <w:sz w:val="18"/>
              </w:rPr>
              <w:t>.99</w:t>
            </w:r>
          </w:p>
        </w:tc>
        <w:tc>
          <w:tcPr>
            <w:tcW w:w="1095" w:type="dxa"/>
            <w:tcBorders>
              <w:bottom w:val="single" w:sz="4" w:space="0" w:color="000000"/>
            </w:tcBorders>
          </w:tcPr>
          <w:p>
            <w:pPr>
              <w:pStyle w:val="TableParagraph"/>
              <w:tabs>
                <w:tab w:pos="592" w:val="left" w:leader="none"/>
              </w:tabs>
              <w:spacing w:before="48"/>
              <w:ind w:right="120"/>
              <w:jc w:val="right"/>
              <w:rPr>
                <w:sz w:val="18"/>
              </w:rPr>
            </w:pPr>
            <w:r>
              <w:rPr>
                <w:spacing w:val="-10"/>
                <w:sz w:val="18"/>
              </w:rPr>
              <w:t>$</w:t>
            </w:r>
            <w:r>
              <w:rPr>
                <w:sz w:val="18"/>
              </w:rPr>
              <w:tab/>
            </w:r>
            <w:r>
              <w:rPr>
                <w:spacing w:val="-4"/>
                <w:sz w:val="18"/>
              </w:rPr>
              <w:t>2.03</w:t>
            </w:r>
          </w:p>
        </w:tc>
        <w:tc>
          <w:tcPr>
            <w:tcW w:w="1046" w:type="dxa"/>
            <w:tcBorders>
              <w:bottom w:val="single" w:sz="4" w:space="0" w:color="000000"/>
            </w:tcBorders>
          </w:tcPr>
          <w:p>
            <w:pPr>
              <w:pStyle w:val="TableParagraph"/>
              <w:tabs>
                <w:tab w:pos="592" w:val="left" w:leader="none"/>
              </w:tabs>
              <w:spacing w:before="48"/>
              <w:ind w:right="71"/>
              <w:jc w:val="right"/>
              <w:rPr>
                <w:sz w:val="18"/>
              </w:rPr>
            </w:pPr>
            <w:r>
              <w:rPr>
                <w:spacing w:val="-10"/>
                <w:sz w:val="18"/>
              </w:rPr>
              <w:t>$</w:t>
            </w:r>
            <w:r>
              <w:rPr>
                <w:sz w:val="18"/>
              </w:rPr>
              <w:tab/>
            </w:r>
            <w:r>
              <w:rPr>
                <w:spacing w:val="-4"/>
                <w:sz w:val="18"/>
              </w:rPr>
              <w:t>2.53</w:t>
            </w:r>
          </w:p>
        </w:tc>
      </w:tr>
    </w:tbl>
    <w:p>
      <w:pPr>
        <w:spacing w:line="249" w:lineRule="auto" w:before="52"/>
        <w:ind w:left="650" w:right="500" w:hanging="180"/>
        <w:jc w:val="left"/>
        <w:rPr>
          <w:sz w:val="16"/>
        </w:rPr>
      </w:pPr>
      <w:r>
        <w:rPr>
          <w:sz w:val="16"/>
          <w:vertAlign w:val="superscript"/>
        </w:rPr>
        <w:t>(1)</w:t>
      </w:r>
      <w:r>
        <w:rPr>
          <w:spacing w:val="-2"/>
          <w:sz w:val="16"/>
          <w:vertAlign w:val="baseline"/>
        </w:rPr>
        <w:t> </w:t>
      </w:r>
      <w:r>
        <w:rPr>
          <w:sz w:val="16"/>
          <w:vertAlign w:val="baseline"/>
        </w:rPr>
        <w:t>No</w:t>
      </w:r>
      <w:r>
        <w:rPr>
          <w:spacing w:val="-2"/>
          <w:sz w:val="16"/>
          <w:vertAlign w:val="baseline"/>
        </w:rPr>
        <w:t> </w:t>
      </w:r>
      <w:r>
        <w:rPr>
          <w:sz w:val="16"/>
          <w:vertAlign w:val="baseline"/>
        </w:rPr>
        <w:t>fee</w:t>
      </w:r>
      <w:r>
        <w:rPr>
          <w:spacing w:val="-1"/>
          <w:sz w:val="16"/>
          <w:vertAlign w:val="baseline"/>
        </w:rPr>
        <w:t> </w:t>
      </w:r>
      <w:r>
        <w:rPr>
          <w:sz w:val="16"/>
          <w:vertAlign w:val="baseline"/>
        </w:rPr>
        <w:t>waivers</w:t>
      </w:r>
      <w:r>
        <w:rPr>
          <w:spacing w:val="-2"/>
          <w:sz w:val="16"/>
          <w:vertAlign w:val="baseline"/>
        </w:rPr>
        <w:t> </w:t>
      </w:r>
      <w:r>
        <w:rPr>
          <w:sz w:val="16"/>
          <w:vertAlign w:val="baseline"/>
        </w:rPr>
        <w:t>were</w:t>
      </w:r>
      <w:r>
        <w:rPr>
          <w:spacing w:val="-1"/>
          <w:sz w:val="16"/>
          <w:vertAlign w:val="baseline"/>
        </w:rPr>
        <w:t> </w:t>
      </w:r>
      <w:r>
        <w:rPr>
          <w:sz w:val="16"/>
          <w:vertAlign w:val="baseline"/>
        </w:rPr>
        <w:t>recognized</w:t>
      </w:r>
      <w:r>
        <w:rPr>
          <w:spacing w:val="-1"/>
          <w:sz w:val="16"/>
          <w:vertAlign w:val="baseline"/>
        </w:rPr>
        <w:t> </w:t>
      </w:r>
      <w:r>
        <w:rPr>
          <w:sz w:val="16"/>
          <w:vertAlign w:val="baseline"/>
        </w:rPr>
        <w:t>for</w:t>
      </w:r>
      <w:r>
        <w:rPr>
          <w:spacing w:val="-1"/>
          <w:sz w:val="16"/>
          <w:vertAlign w:val="baseline"/>
        </w:rPr>
        <w:t> </w:t>
      </w:r>
      <w:r>
        <w:rPr>
          <w:sz w:val="16"/>
          <w:vertAlign w:val="baseline"/>
        </w:rPr>
        <w:t>the</w:t>
      </w:r>
      <w:r>
        <w:rPr>
          <w:spacing w:val="-3"/>
          <w:sz w:val="16"/>
          <w:vertAlign w:val="baseline"/>
        </w:rPr>
        <w:t> </w:t>
      </w:r>
      <w:r>
        <w:rPr>
          <w:sz w:val="16"/>
          <w:vertAlign w:val="baseline"/>
        </w:rPr>
        <w:t>three</w:t>
      </w:r>
      <w:r>
        <w:rPr>
          <w:spacing w:val="-1"/>
          <w:sz w:val="16"/>
          <w:vertAlign w:val="baseline"/>
        </w:rPr>
        <w:t> </w:t>
      </w:r>
      <w:r>
        <w:rPr>
          <w:sz w:val="16"/>
          <w:vertAlign w:val="baseline"/>
        </w:rPr>
        <w:t>and</w:t>
      </w:r>
      <w:r>
        <w:rPr>
          <w:spacing w:val="-1"/>
          <w:sz w:val="16"/>
          <w:vertAlign w:val="baseline"/>
        </w:rPr>
        <w:t> </w:t>
      </w:r>
      <w:r>
        <w:rPr>
          <w:sz w:val="16"/>
          <w:vertAlign w:val="baseline"/>
        </w:rPr>
        <w:t>nine</w:t>
      </w:r>
      <w:r>
        <w:rPr>
          <w:spacing w:val="-2"/>
          <w:sz w:val="16"/>
          <w:vertAlign w:val="baseline"/>
        </w:rPr>
        <w:t> </w:t>
      </w:r>
      <w:r>
        <w:rPr>
          <w:sz w:val="16"/>
          <w:vertAlign w:val="baseline"/>
        </w:rPr>
        <w:t>months</w:t>
      </w:r>
      <w:r>
        <w:rPr>
          <w:spacing w:val="-2"/>
          <w:sz w:val="16"/>
          <w:vertAlign w:val="baseline"/>
        </w:rPr>
        <w:t> </w:t>
      </w:r>
      <w:r>
        <w:rPr>
          <w:sz w:val="16"/>
          <w:vertAlign w:val="baseline"/>
        </w:rPr>
        <w:t>ended</w:t>
      </w:r>
      <w:r>
        <w:rPr>
          <w:spacing w:val="-2"/>
          <w:sz w:val="16"/>
          <w:vertAlign w:val="baseline"/>
        </w:rPr>
        <w:t> </w:t>
      </w:r>
      <w:r>
        <w:rPr>
          <w:sz w:val="16"/>
          <w:vertAlign w:val="baseline"/>
        </w:rPr>
        <w:t>September</w:t>
      </w:r>
      <w:r>
        <w:rPr>
          <w:spacing w:val="-1"/>
          <w:sz w:val="16"/>
          <w:vertAlign w:val="baseline"/>
        </w:rPr>
        <w:t> </w:t>
      </w:r>
      <w:r>
        <w:rPr>
          <w:sz w:val="16"/>
          <w:vertAlign w:val="baseline"/>
        </w:rPr>
        <w:t>30,</w:t>
      </w:r>
      <w:r>
        <w:rPr>
          <w:spacing w:val="-1"/>
          <w:sz w:val="16"/>
          <w:vertAlign w:val="baseline"/>
        </w:rPr>
        <w:t> </w:t>
      </w:r>
      <w:r>
        <w:rPr>
          <w:sz w:val="16"/>
          <w:vertAlign w:val="baseline"/>
        </w:rPr>
        <w:t>2023,</w:t>
      </w:r>
      <w:r>
        <w:rPr>
          <w:spacing w:val="-1"/>
          <w:sz w:val="16"/>
          <w:vertAlign w:val="baseline"/>
        </w:rPr>
        <w:t> </w:t>
      </w:r>
      <w:r>
        <w:rPr>
          <w:sz w:val="16"/>
          <w:vertAlign w:val="baseline"/>
        </w:rPr>
        <w:t>or</w:t>
      </w:r>
      <w:r>
        <w:rPr>
          <w:spacing w:val="-1"/>
          <w:sz w:val="16"/>
          <w:vertAlign w:val="baseline"/>
        </w:rPr>
        <w:t> </w:t>
      </w:r>
      <w:r>
        <w:rPr>
          <w:sz w:val="16"/>
          <w:vertAlign w:val="baseline"/>
        </w:rPr>
        <w:t>for</w:t>
      </w:r>
      <w:r>
        <w:rPr>
          <w:spacing w:val="-1"/>
          <w:sz w:val="16"/>
          <w:vertAlign w:val="baseline"/>
        </w:rPr>
        <w:t> </w:t>
      </w:r>
      <w:r>
        <w:rPr>
          <w:sz w:val="16"/>
          <w:vertAlign w:val="baseline"/>
        </w:rPr>
        <w:t>the</w:t>
      </w:r>
      <w:r>
        <w:rPr>
          <w:spacing w:val="-1"/>
          <w:sz w:val="16"/>
          <w:vertAlign w:val="baseline"/>
        </w:rPr>
        <w:t> </w:t>
      </w:r>
      <w:r>
        <w:rPr>
          <w:sz w:val="16"/>
          <w:vertAlign w:val="baseline"/>
        </w:rPr>
        <w:t>three</w:t>
      </w:r>
      <w:r>
        <w:rPr>
          <w:spacing w:val="-1"/>
          <w:sz w:val="16"/>
          <w:vertAlign w:val="baseline"/>
        </w:rPr>
        <w:t> </w:t>
      </w:r>
      <w:r>
        <w:rPr>
          <w:sz w:val="16"/>
          <w:vertAlign w:val="baseline"/>
        </w:rPr>
        <w:t>months</w:t>
      </w:r>
      <w:r>
        <w:rPr>
          <w:spacing w:val="-2"/>
          <w:sz w:val="16"/>
          <w:vertAlign w:val="baseline"/>
        </w:rPr>
        <w:t> </w:t>
      </w:r>
      <w:r>
        <w:rPr>
          <w:sz w:val="16"/>
          <w:vertAlign w:val="baseline"/>
        </w:rPr>
        <w:t>ended</w:t>
      </w:r>
      <w:r>
        <w:rPr>
          <w:spacing w:val="-2"/>
          <w:sz w:val="16"/>
          <w:vertAlign w:val="baseline"/>
        </w:rPr>
        <w:t> </w:t>
      </w:r>
      <w:r>
        <w:rPr>
          <w:sz w:val="16"/>
          <w:vertAlign w:val="baseline"/>
        </w:rPr>
        <w:t>September</w:t>
      </w:r>
      <w:r>
        <w:rPr>
          <w:spacing w:val="-1"/>
          <w:sz w:val="16"/>
          <w:vertAlign w:val="baseline"/>
        </w:rPr>
        <w:t> </w:t>
      </w:r>
      <w:r>
        <w:rPr>
          <w:sz w:val="16"/>
          <w:vertAlign w:val="baseline"/>
        </w:rPr>
        <w:t>30,</w:t>
      </w:r>
      <w:r>
        <w:rPr>
          <w:spacing w:val="-1"/>
          <w:sz w:val="16"/>
          <w:vertAlign w:val="baseline"/>
        </w:rPr>
        <w:t> </w:t>
      </w:r>
      <w:r>
        <w:rPr>
          <w:sz w:val="16"/>
          <w:vertAlign w:val="baseline"/>
        </w:rPr>
        <w:t>2022.</w:t>
      </w:r>
      <w:r>
        <w:rPr>
          <w:spacing w:val="-1"/>
          <w:sz w:val="16"/>
          <w:vertAlign w:val="baseline"/>
        </w:rPr>
        <w:t> </w:t>
      </w:r>
      <w:r>
        <w:rPr>
          <w:sz w:val="16"/>
          <w:vertAlign w:val="baseline"/>
        </w:rPr>
        <w:t>Includes</w:t>
      </w:r>
      <w:r>
        <w:rPr>
          <w:spacing w:val="-2"/>
          <w:sz w:val="16"/>
          <w:vertAlign w:val="baseline"/>
        </w:rPr>
        <w:t> </w:t>
      </w:r>
      <w:r>
        <w:rPr>
          <w:sz w:val="16"/>
          <w:vertAlign w:val="baseline"/>
        </w:rPr>
        <w:t>fee</w:t>
      </w:r>
      <w:r>
        <w:rPr>
          <w:spacing w:val="40"/>
          <w:sz w:val="16"/>
          <w:vertAlign w:val="baseline"/>
        </w:rPr>
        <w:t> </w:t>
      </w:r>
      <w:r>
        <w:rPr>
          <w:sz w:val="16"/>
          <w:vertAlign w:val="baseline"/>
        </w:rPr>
        <w:t>waivers of $57 million for the nine months ended September 30, 2022.</w:t>
      </w:r>
    </w:p>
    <w:p>
      <w:pPr>
        <w:spacing w:line="249" w:lineRule="auto" w:before="1"/>
        <w:ind w:left="650" w:right="761" w:hanging="180"/>
        <w:jc w:val="left"/>
        <w:rPr>
          <w:sz w:val="16"/>
        </w:rPr>
      </w:pPr>
      <w:r>
        <w:rPr>
          <w:sz w:val="16"/>
          <w:vertAlign w:val="superscript"/>
        </w:rPr>
        <w:t>(2)</w:t>
      </w:r>
      <w:r>
        <w:rPr>
          <w:sz w:val="16"/>
          <w:vertAlign w:val="baseline"/>
        </w:rPr>
        <w:t> The Company has voting and nonvoting common stock outstanding. As the participation rights, including dividend and liquidation rights, are identical</w:t>
      </w:r>
      <w:r>
        <w:rPr>
          <w:spacing w:val="40"/>
          <w:sz w:val="16"/>
          <w:vertAlign w:val="baseline"/>
        </w:rPr>
        <w:t> </w:t>
      </w:r>
      <w:r>
        <w:rPr>
          <w:sz w:val="16"/>
          <w:vertAlign w:val="baseline"/>
        </w:rPr>
        <w:t>between</w:t>
      </w:r>
      <w:r>
        <w:rPr>
          <w:spacing w:val="-2"/>
          <w:sz w:val="16"/>
          <w:vertAlign w:val="baseline"/>
        </w:rPr>
        <w:t> </w:t>
      </w:r>
      <w:r>
        <w:rPr>
          <w:sz w:val="16"/>
          <w:vertAlign w:val="baseline"/>
        </w:rPr>
        <w:t>the</w:t>
      </w:r>
      <w:r>
        <w:rPr>
          <w:spacing w:val="-2"/>
          <w:sz w:val="16"/>
          <w:vertAlign w:val="baseline"/>
        </w:rPr>
        <w:t> </w:t>
      </w:r>
      <w:r>
        <w:rPr>
          <w:sz w:val="16"/>
          <w:vertAlign w:val="baseline"/>
        </w:rPr>
        <w:t>voting</w:t>
      </w:r>
      <w:r>
        <w:rPr>
          <w:spacing w:val="-2"/>
          <w:sz w:val="16"/>
          <w:vertAlign w:val="baseline"/>
        </w:rPr>
        <w:t> </w:t>
      </w:r>
      <w:r>
        <w:rPr>
          <w:sz w:val="16"/>
          <w:vertAlign w:val="baseline"/>
        </w:rPr>
        <w:t>and</w:t>
      </w:r>
      <w:r>
        <w:rPr>
          <w:spacing w:val="-2"/>
          <w:sz w:val="16"/>
          <w:vertAlign w:val="baseline"/>
        </w:rPr>
        <w:t> </w:t>
      </w:r>
      <w:r>
        <w:rPr>
          <w:sz w:val="16"/>
          <w:vertAlign w:val="baseline"/>
        </w:rPr>
        <w:t>nonvoting</w:t>
      </w:r>
      <w:r>
        <w:rPr>
          <w:spacing w:val="-2"/>
          <w:sz w:val="16"/>
          <w:vertAlign w:val="baseline"/>
        </w:rPr>
        <w:t> </w:t>
      </w:r>
      <w:r>
        <w:rPr>
          <w:sz w:val="16"/>
          <w:vertAlign w:val="baseline"/>
        </w:rPr>
        <w:t>stock</w:t>
      </w:r>
      <w:r>
        <w:rPr>
          <w:spacing w:val="-2"/>
          <w:sz w:val="16"/>
          <w:vertAlign w:val="baseline"/>
        </w:rPr>
        <w:t> </w:t>
      </w:r>
      <w:r>
        <w:rPr>
          <w:sz w:val="16"/>
          <w:vertAlign w:val="baseline"/>
        </w:rPr>
        <w:t>classes,</w:t>
      </w:r>
      <w:r>
        <w:rPr>
          <w:spacing w:val="-2"/>
          <w:sz w:val="16"/>
          <w:vertAlign w:val="baseline"/>
        </w:rPr>
        <w:t> </w:t>
      </w:r>
      <w:r>
        <w:rPr>
          <w:sz w:val="16"/>
          <w:vertAlign w:val="baseline"/>
        </w:rPr>
        <w:t>basic</w:t>
      </w:r>
      <w:r>
        <w:rPr>
          <w:spacing w:val="-2"/>
          <w:sz w:val="16"/>
          <w:vertAlign w:val="baseline"/>
        </w:rPr>
        <w:t> </w:t>
      </w:r>
      <w:r>
        <w:rPr>
          <w:sz w:val="16"/>
          <w:vertAlign w:val="baseline"/>
        </w:rPr>
        <w:t>and</w:t>
      </w:r>
      <w:r>
        <w:rPr>
          <w:spacing w:val="-2"/>
          <w:sz w:val="16"/>
          <w:vertAlign w:val="baseline"/>
        </w:rPr>
        <w:t> </w:t>
      </w:r>
      <w:r>
        <w:rPr>
          <w:sz w:val="16"/>
          <w:vertAlign w:val="baseline"/>
        </w:rPr>
        <w:t>diluted</w:t>
      </w:r>
      <w:r>
        <w:rPr>
          <w:spacing w:val="-2"/>
          <w:sz w:val="16"/>
          <w:vertAlign w:val="baseline"/>
        </w:rPr>
        <w:t> </w:t>
      </w:r>
      <w:r>
        <w:rPr>
          <w:sz w:val="16"/>
          <w:vertAlign w:val="baseline"/>
        </w:rPr>
        <w:t>earnings</w:t>
      </w:r>
      <w:r>
        <w:rPr>
          <w:spacing w:val="-3"/>
          <w:sz w:val="16"/>
          <w:vertAlign w:val="baseline"/>
        </w:rPr>
        <w:t> </w:t>
      </w:r>
      <w:r>
        <w:rPr>
          <w:sz w:val="16"/>
          <w:vertAlign w:val="baseline"/>
        </w:rPr>
        <w:t>per</w:t>
      </w:r>
      <w:r>
        <w:rPr>
          <w:spacing w:val="-2"/>
          <w:sz w:val="16"/>
          <w:vertAlign w:val="baseline"/>
        </w:rPr>
        <w:t> </w:t>
      </w:r>
      <w:r>
        <w:rPr>
          <w:sz w:val="16"/>
          <w:vertAlign w:val="baseline"/>
        </w:rPr>
        <w:t>share</w:t>
      </w:r>
      <w:r>
        <w:rPr>
          <w:spacing w:val="-2"/>
          <w:sz w:val="16"/>
          <w:vertAlign w:val="baseline"/>
        </w:rPr>
        <w:t> </w:t>
      </w:r>
      <w:r>
        <w:rPr>
          <w:sz w:val="16"/>
          <w:vertAlign w:val="baseline"/>
        </w:rPr>
        <w:t>are</w:t>
      </w:r>
      <w:r>
        <w:rPr>
          <w:spacing w:val="-2"/>
          <w:sz w:val="16"/>
          <w:vertAlign w:val="baseline"/>
        </w:rPr>
        <w:t> </w:t>
      </w:r>
      <w:r>
        <w:rPr>
          <w:sz w:val="16"/>
          <w:vertAlign w:val="baseline"/>
        </w:rPr>
        <w:t>the</w:t>
      </w:r>
      <w:r>
        <w:rPr>
          <w:spacing w:val="-2"/>
          <w:sz w:val="16"/>
          <w:vertAlign w:val="baseline"/>
        </w:rPr>
        <w:t> </w:t>
      </w:r>
      <w:r>
        <w:rPr>
          <w:sz w:val="16"/>
          <w:vertAlign w:val="baseline"/>
        </w:rPr>
        <w:t>same</w:t>
      </w:r>
      <w:r>
        <w:rPr>
          <w:spacing w:val="-2"/>
          <w:sz w:val="16"/>
          <w:vertAlign w:val="baseline"/>
        </w:rPr>
        <w:t> </w:t>
      </w:r>
      <w:r>
        <w:rPr>
          <w:sz w:val="16"/>
          <w:vertAlign w:val="baseline"/>
        </w:rPr>
        <w:t>for</w:t>
      </w:r>
      <w:r>
        <w:rPr>
          <w:spacing w:val="-2"/>
          <w:sz w:val="16"/>
          <w:vertAlign w:val="baseline"/>
        </w:rPr>
        <w:t> </w:t>
      </w:r>
      <w:r>
        <w:rPr>
          <w:sz w:val="16"/>
          <w:vertAlign w:val="baseline"/>
        </w:rPr>
        <w:t>each</w:t>
      </w:r>
      <w:r>
        <w:rPr>
          <w:spacing w:val="-2"/>
          <w:sz w:val="16"/>
          <w:vertAlign w:val="baseline"/>
        </w:rPr>
        <w:t> </w:t>
      </w:r>
      <w:r>
        <w:rPr>
          <w:sz w:val="16"/>
          <w:vertAlign w:val="baseline"/>
        </w:rPr>
        <w:t>class.</w:t>
      </w:r>
      <w:r>
        <w:rPr>
          <w:spacing w:val="-2"/>
          <w:sz w:val="16"/>
          <w:vertAlign w:val="baseline"/>
        </w:rPr>
        <w:t> </w:t>
      </w:r>
      <w:r>
        <w:rPr>
          <w:sz w:val="16"/>
          <w:vertAlign w:val="baseline"/>
        </w:rPr>
        <w:t>See</w:t>
      </w:r>
      <w:r>
        <w:rPr>
          <w:spacing w:val="-2"/>
          <w:sz w:val="16"/>
          <w:vertAlign w:val="baseline"/>
        </w:rPr>
        <w:t> </w:t>
      </w:r>
      <w:r>
        <w:rPr>
          <w:sz w:val="16"/>
          <w:vertAlign w:val="baseline"/>
        </w:rPr>
        <w:t>Note</w:t>
      </w:r>
      <w:r>
        <w:rPr>
          <w:spacing w:val="-6"/>
          <w:sz w:val="16"/>
          <w:vertAlign w:val="baseline"/>
        </w:rPr>
        <w:t> </w:t>
      </w:r>
      <w:r>
        <w:rPr>
          <w:sz w:val="16"/>
          <w:vertAlign w:val="baseline"/>
        </w:rPr>
        <w:t>16</w:t>
      </w:r>
      <w:r>
        <w:rPr>
          <w:spacing w:val="-2"/>
          <w:sz w:val="16"/>
          <w:vertAlign w:val="baseline"/>
        </w:rPr>
        <w:t> </w:t>
      </w:r>
      <w:r>
        <w:rPr>
          <w:sz w:val="16"/>
          <w:vertAlign w:val="baseline"/>
        </w:rPr>
        <w:t>for</w:t>
      </w:r>
      <w:r>
        <w:rPr>
          <w:spacing w:val="-2"/>
          <w:sz w:val="16"/>
          <w:vertAlign w:val="baseline"/>
        </w:rPr>
        <w:t> </w:t>
      </w:r>
      <w:r>
        <w:rPr>
          <w:sz w:val="16"/>
          <w:vertAlign w:val="baseline"/>
        </w:rPr>
        <w:t>additional</w:t>
      </w:r>
      <w:r>
        <w:rPr>
          <w:spacing w:val="-2"/>
          <w:sz w:val="16"/>
          <w:vertAlign w:val="baseline"/>
        </w:rPr>
        <w:t> </w:t>
      </w:r>
      <w:r>
        <w:rPr>
          <w:sz w:val="16"/>
          <w:vertAlign w:val="baseline"/>
        </w:rPr>
        <w:t>information.</w:t>
      </w:r>
    </w:p>
    <w:p>
      <w:pPr>
        <w:pStyle w:val="BodyText"/>
        <w:spacing w:before="5"/>
        <w:rPr>
          <w:sz w:val="16"/>
        </w:rPr>
      </w:pPr>
    </w:p>
    <w:p>
      <w:pPr>
        <w:spacing w:before="0"/>
        <w:ind w:left="470" w:right="0" w:firstLine="0"/>
        <w:jc w:val="left"/>
        <w:rPr>
          <w:i/>
          <w:sz w:val="18"/>
        </w:rPr>
      </w:pPr>
      <w:r>
        <w:rPr>
          <w:i/>
          <w:sz w:val="18"/>
        </w:rPr>
        <w:t>See</w:t>
      </w:r>
      <w:r>
        <w:rPr>
          <w:i/>
          <w:spacing w:val="-1"/>
          <w:sz w:val="18"/>
        </w:rPr>
        <w:t> </w:t>
      </w:r>
      <w:r>
        <w:rPr>
          <w:i/>
          <w:sz w:val="18"/>
        </w:rPr>
        <w:t>Notes</w:t>
      </w:r>
      <w:r>
        <w:rPr>
          <w:i/>
          <w:spacing w:val="-1"/>
          <w:sz w:val="18"/>
        </w:rPr>
        <w:t> </w:t>
      </w:r>
      <w:r>
        <w:rPr>
          <w:i/>
          <w:sz w:val="18"/>
        </w:rPr>
        <w:t>to Condensed</w:t>
      </w:r>
      <w:r>
        <w:rPr>
          <w:i/>
          <w:spacing w:val="-1"/>
          <w:sz w:val="18"/>
        </w:rPr>
        <w:t> </w:t>
      </w:r>
      <w:r>
        <w:rPr>
          <w:i/>
          <w:sz w:val="18"/>
        </w:rPr>
        <w:t>Consolidated Financial </w:t>
      </w:r>
      <w:r>
        <w:rPr>
          <w:i/>
          <w:spacing w:val="-2"/>
          <w:sz w:val="18"/>
        </w:rPr>
        <w:t>Statements.</w:t>
      </w:r>
    </w:p>
    <w:p>
      <w:pPr>
        <w:spacing w:after="0"/>
        <w:jc w:val="left"/>
        <w:rPr>
          <w:sz w:val="18"/>
        </w:rPr>
        <w:sectPr>
          <w:type w:val="continuous"/>
          <w:pgSz w:w="12240" w:h="15840"/>
          <w:pgMar w:header="0" w:footer="201" w:top="320" w:bottom="280" w:left="520" w:right="520"/>
        </w:sectPr>
      </w:pPr>
    </w:p>
    <w:p>
      <w:pPr>
        <w:pStyle w:val="Heading2"/>
        <w:spacing w:before="18"/>
        <w:ind w:left="89" w:right="89"/>
        <w:jc w:val="center"/>
      </w:pPr>
      <w:r>
        <w:rPr/>
        <w:t>Condensed</w:t>
      </w:r>
      <w:r>
        <w:rPr>
          <w:spacing w:val="-9"/>
        </w:rPr>
        <w:t> </w:t>
      </w:r>
      <w:r>
        <w:rPr/>
        <w:t>Consolidated</w:t>
      </w:r>
      <w:r>
        <w:rPr>
          <w:spacing w:val="-6"/>
        </w:rPr>
        <w:t> </w:t>
      </w:r>
      <w:r>
        <w:rPr/>
        <w:t>Statements</w:t>
      </w:r>
      <w:r>
        <w:rPr>
          <w:spacing w:val="-7"/>
        </w:rPr>
        <w:t> </w:t>
      </w:r>
      <w:r>
        <w:rPr/>
        <w:t>of</w:t>
      </w:r>
      <w:r>
        <w:rPr>
          <w:spacing w:val="-5"/>
        </w:rPr>
        <w:t> </w:t>
      </w:r>
      <w:r>
        <w:rPr/>
        <w:t>Comprehensive</w:t>
      </w:r>
      <w:r>
        <w:rPr>
          <w:spacing w:val="-6"/>
        </w:rPr>
        <w:t> </w:t>
      </w:r>
      <w:r>
        <w:rPr>
          <w:spacing w:val="-2"/>
        </w:rPr>
        <w:t>Income</w:t>
      </w:r>
    </w:p>
    <w:p>
      <w:pPr>
        <w:spacing w:line="249" w:lineRule="auto" w:before="23"/>
        <w:ind w:left="4839" w:right="4836" w:firstLine="0"/>
        <w:jc w:val="center"/>
        <w:rPr>
          <w:sz w:val="16"/>
        </w:rPr>
      </w:pPr>
      <w:r>
        <w:rPr>
          <w:sz w:val="16"/>
        </w:rPr>
        <w:t>(In</w:t>
      </w:r>
      <w:r>
        <w:rPr>
          <w:spacing w:val="-10"/>
          <w:sz w:val="16"/>
        </w:rPr>
        <w:t> </w:t>
      </w:r>
      <w:r>
        <w:rPr>
          <w:sz w:val="16"/>
        </w:rPr>
        <w:t>Millions)</w:t>
      </w:r>
      <w:r>
        <w:rPr>
          <w:spacing w:val="40"/>
          <w:sz w:val="16"/>
        </w:rPr>
        <w:t> </w:t>
      </w:r>
      <w:r>
        <w:rPr>
          <w:spacing w:val="-2"/>
          <w:sz w:val="16"/>
        </w:rPr>
        <w:t>(Unaudited)</w:t>
      </w:r>
    </w:p>
    <w:p>
      <w:pPr>
        <w:spacing w:after="0" w:line="249" w:lineRule="auto"/>
        <w:jc w:val="center"/>
        <w:rPr>
          <w:sz w:val="16"/>
        </w:rPr>
        <w:sectPr>
          <w:headerReference w:type="default" r:id="rId14"/>
          <w:footerReference w:type="default" r:id="rId15"/>
          <w:pgSz w:w="12240" w:h="15840"/>
          <w:pgMar w:header="467" w:footer="201" w:top="680" w:bottom="400" w:left="520" w:right="520"/>
        </w:sectPr>
      </w:pPr>
    </w:p>
    <w:p>
      <w:pPr>
        <w:spacing w:line="208" w:lineRule="auto" w:before="176"/>
        <w:ind w:left="7217" w:right="0" w:hanging="240"/>
        <w:jc w:val="left"/>
        <w:rPr>
          <w:sz w:val="18"/>
        </w:rPr>
      </w:pPr>
      <w:bookmarkStart w:name="Comprehensive Income" w:id="30"/>
      <w:bookmarkEnd w:id="30"/>
      <w:r>
        <w:rPr/>
      </w:r>
      <w:bookmarkStart w:name="_bookmark3" w:id="31"/>
      <w:bookmarkEnd w:id="31"/>
      <w:r>
        <w:rPr/>
      </w:r>
      <w:r>
        <w:rPr>
          <w:sz w:val="18"/>
        </w:rPr>
        <w:t>Three</w:t>
      </w:r>
      <w:r>
        <w:rPr>
          <w:spacing w:val="-12"/>
          <w:sz w:val="18"/>
        </w:rPr>
        <w:t> </w:t>
      </w:r>
      <w:r>
        <w:rPr>
          <w:sz w:val="18"/>
        </w:rPr>
        <w:t>Months</w:t>
      </w:r>
      <w:r>
        <w:rPr>
          <w:spacing w:val="-11"/>
          <w:sz w:val="18"/>
        </w:rPr>
        <w:t> </w:t>
      </w:r>
      <w:r>
        <w:rPr>
          <w:sz w:val="18"/>
        </w:rPr>
        <w:t>Ended September 30,</w:t>
      </w:r>
    </w:p>
    <w:p>
      <w:pPr>
        <w:spacing w:line="208" w:lineRule="auto" w:before="176"/>
        <w:ind w:left="697" w:right="717" w:hanging="205"/>
        <w:jc w:val="left"/>
        <w:rPr>
          <w:sz w:val="18"/>
        </w:rPr>
      </w:pPr>
      <w:r>
        <w:rPr/>
        <w:br w:type="column"/>
      </w:r>
      <w:r>
        <w:rPr>
          <w:sz w:val="18"/>
        </w:rPr>
        <w:t>Nine</w:t>
      </w:r>
      <w:r>
        <w:rPr>
          <w:spacing w:val="-12"/>
          <w:sz w:val="18"/>
        </w:rPr>
        <w:t> </w:t>
      </w:r>
      <w:r>
        <w:rPr>
          <w:sz w:val="18"/>
        </w:rPr>
        <w:t>Months</w:t>
      </w:r>
      <w:r>
        <w:rPr>
          <w:spacing w:val="-11"/>
          <w:sz w:val="18"/>
        </w:rPr>
        <w:t> </w:t>
      </w:r>
      <w:r>
        <w:rPr>
          <w:sz w:val="18"/>
        </w:rPr>
        <w:t>Ended September 30,</w:t>
      </w:r>
    </w:p>
    <w:p>
      <w:pPr>
        <w:spacing w:after="0" w:line="208" w:lineRule="auto"/>
        <w:jc w:val="left"/>
        <w:rPr>
          <w:sz w:val="18"/>
        </w:rPr>
        <w:sectPr>
          <w:type w:val="continuous"/>
          <w:pgSz w:w="12240" w:h="15840"/>
          <w:pgMar w:header="467" w:footer="201" w:top="320" w:bottom="280" w:left="520" w:right="520"/>
          <w:cols w:num="2" w:equalWidth="0">
            <w:col w:w="8498" w:space="40"/>
            <w:col w:w="2662"/>
          </w:cols>
        </w:sectPr>
      </w:pPr>
    </w:p>
    <w:p>
      <w:pPr>
        <w:pStyle w:val="BodyText"/>
        <w:rPr>
          <w:sz w:val="3"/>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5"/>
        <w:gridCol w:w="1001"/>
        <w:gridCol w:w="1012"/>
        <w:gridCol w:w="1004"/>
        <w:gridCol w:w="955"/>
      </w:tblGrid>
      <w:tr>
        <w:trPr>
          <w:trHeight w:val="275" w:hRule="atLeast"/>
        </w:trPr>
        <w:tc>
          <w:tcPr>
            <w:tcW w:w="6285" w:type="dxa"/>
            <w:tcBorders>
              <w:bottom w:val="single" w:sz="4" w:space="0" w:color="000000"/>
            </w:tcBorders>
          </w:tcPr>
          <w:p>
            <w:pPr>
              <w:pStyle w:val="TableParagraph"/>
              <w:rPr>
                <w:sz w:val="18"/>
              </w:rPr>
            </w:pPr>
          </w:p>
        </w:tc>
        <w:tc>
          <w:tcPr>
            <w:tcW w:w="1001" w:type="dxa"/>
            <w:tcBorders>
              <w:top w:val="single" w:sz="4" w:space="0" w:color="000000"/>
              <w:bottom w:val="single" w:sz="4" w:space="0" w:color="000000"/>
            </w:tcBorders>
          </w:tcPr>
          <w:p>
            <w:pPr>
              <w:pStyle w:val="TableParagraph"/>
              <w:spacing w:before="23"/>
              <w:ind w:left="292"/>
              <w:rPr>
                <w:sz w:val="18"/>
              </w:rPr>
            </w:pPr>
            <w:r>
              <w:rPr>
                <w:spacing w:val="-4"/>
                <w:sz w:val="18"/>
              </w:rPr>
              <w:t>2023</w:t>
            </w:r>
          </w:p>
        </w:tc>
        <w:tc>
          <w:tcPr>
            <w:tcW w:w="1012" w:type="dxa"/>
            <w:tcBorders>
              <w:top w:val="single" w:sz="4" w:space="0" w:color="000000"/>
              <w:bottom w:val="single" w:sz="4" w:space="0" w:color="000000"/>
            </w:tcBorders>
          </w:tcPr>
          <w:p>
            <w:pPr>
              <w:pStyle w:val="TableParagraph"/>
              <w:spacing w:before="23"/>
              <w:ind w:left="311"/>
              <w:rPr>
                <w:sz w:val="18"/>
              </w:rPr>
            </w:pPr>
            <w:r>
              <w:rPr>
                <w:spacing w:val="-4"/>
                <w:sz w:val="18"/>
              </w:rPr>
              <w:t>2022</w:t>
            </w:r>
          </w:p>
        </w:tc>
        <w:tc>
          <w:tcPr>
            <w:tcW w:w="1004" w:type="dxa"/>
            <w:tcBorders>
              <w:top w:val="single" w:sz="4" w:space="0" w:color="000000"/>
              <w:bottom w:val="single" w:sz="4" w:space="0" w:color="000000"/>
            </w:tcBorders>
          </w:tcPr>
          <w:p>
            <w:pPr>
              <w:pStyle w:val="TableParagraph"/>
              <w:spacing w:before="23"/>
              <w:ind w:left="304"/>
              <w:rPr>
                <w:sz w:val="18"/>
              </w:rPr>
            </w:pPr>
            <w:r>
              <w:rPr>
                <w:spacing w:val="-4"/>
                <w:sz w:val="18"/>
              </w:rPr>
              <w:t>2023</w:t>
            </w:r>
          </w:p>
        </w:tc>
        <w:tc>
          <w:tcPr>
            <w:tcW w:w="955" w:type="dxa"/>
            <w:tcBorders>
              <w:top w:val="single" w:sz="4" w:space="0" w:color="000000"/>
              <w:bottom w:val="single" w:sz="4" w:space="0" w:color="000000"/>
            </w:tcBorders>
          </w:tcPr>
          <w:p>
            <w:pPr>
              <w:pStyle w:val="TableParagraph"/>
              <w:spacing w:before="23"/>
              <w:ind w:left="305"/>
              <w:rPr>
                <w:sz w:val="18"/>
              </w:rPr>
            </w:pPr>
            <w:r>
              <w:rPr>
                <w:spacing w:val="-4"/>
                <w:sz w:val="18"/>
              </w:rPr>
              <w:t>2022</w:t>
            </w:r>
          </w:p>
        </w:tc>
      </w:tr>
      <w:tr>
        <w:trPr>
          <w:trHeight w:val="280" w:hRule="atLeast"/>
        </w:trPr>
        <w:tc>
          <w:tcPr>
            <w:tcW w:w="6285" w:type="dxa"/>
            <w:tcBorders>
              <w:top w:val="single" w:sz="4" w:space="0" w:color="000000"/>
            </w:tcBorders>
            <w:shd w:val="clear" w:color="auto" w:fill="CCEDFF"/>
          </w:tcPr>
          <w:p>
            <w:pPr>
              <w:pStyle w:val="TableParagraph"/>
              <w:spacing w:before="43"/>
              <w:ind w:left="52"/>
              <w:rPr>
                <w:sz w:val="18"/>
              </w:rPr>
            </w:pPr>
            <w:r>
              <w:rPr>
                <w:sz w:val="18"/>
              </w:rPr>
              <w:t>Net</w:t>
            </w:r>
            <w:r>
              <w:rPr>
                <w:spacing w:val="-1"/>
                <w:sz w:val="18"/>
              </w:rPr>
              <w:t> </w:t>
            </w:r>
            <w:r>
              <w:rPr>
                <w:spacing w:val="-2"/>
                <w:sz w:val="18"/>
              </w:rPr>
              <w:t>income</w:t>
            </w:r>
          </w:p>
        </w:tc>
        <w:tc>
          <w:tcPr>
            <w:tcW w:w="1001" w:type="dxa"/>
            <w:tcBorders>
              <w:top w:val="single" w:sz="4" w:space="0" w:color="000000"/>
            </w:tcBorders>
            <w:shd w:val="clear" w:color="auto" w:fill="CCEDFF"/>
          </w:tcPr>
          <w:p>
            <w:pPr>
              <w:pStyle w:val="TableParagraph"/>
              <w:tabs>
                <w:tab w:pos="465" w:val="left" w:leader="none"/>
              </w:tabs>
              <w:spacing w:before="43"/>
              <w:ind w:left="52"/>
              <w:rPr>
                <w:sz w:val="18"/>
              </w:rPr>
            </w:pPr>
            <w:r>
              <w:rPr>
                <w:spacing w:val="-10"/>
                <w:sz w:val="18"/>
              </w:rPr>
              <w:t>$</w:t>
            </w:r>
            <w:r>
              <w:rPr>
                <w:sz w:val="18"/>
              </w:rPr>
              <w:tab/>
            </w:r>
            <w:r>
              <w:rPr>
                <w:spacing w:val="-2"/>
                <w:sz w:val="18"/>
              </w:rPr>
              <w:t>1,125</w:t>
            </w:r>
          </w:p>
        </w:tc>
        <w:tc>
          <w:tcPr>
            <w:tcW w:w="1012" w:type="dxa"/>
            <w:tcBorders>
              <w:top w:val="single" w:sz="4" w:space="0" w:color="000000"/>
            </w:tcBorders>
            <w:shd w:val="clear" w:color="auto" w:fill="CCEDFF"/>
          </w:tcPr>
          <w:p>
            <w:pPr>
              <w:pStyle w:val="TableParagraph"/>
              <w:tabs>
                <w:tab w:pos="412" w:val="left" w:leader="none"/>
              </w:tabs>
              <w:spacing w:before="43"/>
              <w:ind w:right="120"/>
              <w:jc w:val="right"/>
              <w:rPr>
                <w:sz w:val="18"/>
              </w:rPr>
            </w:pPr>
            <w:r>
              <w:rPr>
                <w:spacing w:val="-10"/>
                <w:sz w:val="18"/>
              </w:rPr>
              <w:t>$</w:t>
            </w:r>
            <w:r>
              <w:rPr>
                <w:sz w:val="18"/>
              </w:rPr>
              <w:tab/>
            </w:r>
            <w:r>
              <w:rPr>
                <w:spacing w:val="-2"/>
                <w:sz w:val="18"/>
              </w:rPr>
              <w:t>2,020</w:t>
            </w:r>
          </w:p>
        </w:tc>
        <w:tc>
          <w:tcPr>
            <w:tcW w:w="1004" w:type="dxa"/>
            <w:tcBorders>
              <w:top w:val="single" w:sz="4" w:space="0" w:color="000000"/>
            </w:tcBorders>
            <w:shd w:val="clear" w:color="auto" w:fill="CCEDFF"/>
          </w:tcPr>
          <w:p>
            <w:pPr>
              <w:pStyle w:val="TableParagraph"/>
              <w:tabs>
                <w:tab w:pos="412" w:val="left" w:leader="none"/>
              </w:tabs>
              <w:spacing w:before="43"/>
              <w:ind w:right="119"/>
              <w:jc w:val="right"/>
              <w:rPr>
                <w:sz w:val="18"/>
              </w:rPr>
            </w:pPr>
            <w:r>
              <w:rPr>
                <w:spacing w:val="-10"/>
                <w:sz w:val="18"/>
              </w:rPr>
              <w:t>$</w:t>
            </w:r>
            <w:r>
              <w:rPr>
                <w:sz w:val="18"/>
              </w:rPr>
              <w:tab/>
            </w:r>
            <w:r>
              <w:rPr>
                <w:spacing w:val="-2"/>
                <w:sz w:val="18"/>
              </w:rPr>
              <w:t>4,022</w:t>
            </w:r>
          </w:p>
        </w:tc>
        <w:tc>
          <w:tcPr>
            <w:tcW w:w="955" w:type="dxa"/>
            <w:tcBorders>
              <w:top w:val="single" w:sz="4" w:space="0" w:color="000000"/>
            </w:tcBorders>
            <w:shd w:val="clear" w:color="auto" w:fill="CCEDFF"/>
          </w:tcPr>
          <w:p>
            <w:pPr>
              <w:pStyle w:val="TableParagraph"/>
              <w:tabs>
                <w:tab w:pos="412" w:val="left" w:leader="none"/>
              </w:tabs>
              <w:spacing w:before="23"/>
              <w:ind w:right="69"/>
              <w:jc w:val="right"/>
              <w:rPr>
                <w:sz w:val="18"/>
              </w:rPr>
            </w:pPr>
            <w:r>
              <w:rPr>
                <w:spacing w:val="-10"/>
                <w:sz w:val="18"/>
              </w:rPr>
              <w:t>$</w:t>
            </w:r>
            <w:r>
              <w:rPr>
                <w:sz w:val="18"/>
              </w:rPr>
              <w:tab/>
            </w:r>
            <w:r>
              <w:rPr>
                <w:spacing w:val="-2"/>
                <w:sz w:val="18"/>
              </w:rPr>
              <w:t>5,215</w:t>
            </w:r>
          </w:p>
        </w:tc>
      </w:tr>
      <w:tr>
        <w:trPr>
          <w:trHeight w:val="285" w:hRule="atLeast"/>
        </w:trPr>
        <w:tc>
          <w:tcPr>
            <w:tcW w:w="6285" w:type="dxa"/>
          </w:tcPr>
          <w:p>
            <w:pPr>
              <w:pStyle w:val="TableParagraph"/>
              <w:spacing w:before="48"/>
              <w:ind w:left="52"/>
              <w:rPr>
                <w:sz w:val="18"/>
              </w:rPr>
            </w:pPr>
            <w:r>
              <w:rPr>
                <w:sz w:val="18"/>
              </w:rPr>
              <w:t>Other</w:t>
            </w:r>
            <w:r>
              <w:rPr>
                <w:spacing w:val="-1"/>
                <w:sz w:val="18"/>
              </w:rPr>
              <w:t> </w:t>
            </w:r>
            <w:r>
              <w:rPr>
                <w:sz w:val="18"/>
              </w:rPr>
              <w:t>comprehensive</w:t>
            </w:r>
            <w:r>
              <w:rPr>
                <w:spacing w:val="-1"/>
                <w:sz w:val="18"/>
              </w:rPr>
              <w:t> </w:t>
            </w:r>
            <w:r>
              <w:rPr>
                <w:sz w:val="18"/>
              </w:rPr>
              <w:t>income</w:t>
            </w:r>
            <w:r>
              <w:rPr>
                <w:spacing w:val="-1"/>
                <w:sz w:val="18"/>
              </w:rPr>
              <w:t> </w:t>
            </w:r>
            <w:r>
              <w:rPr>
                <w:sz w:val="18"/>
              </w:rPr>
              <w:t>(loss),</w:t>
            </w:r>
            <w:r>
              <w:rPr>
                <w:spacing w:val="-1"/>
                <w:sz w:val="18"/>
              </w:rPr>
              <w:t> </w:t>
            </w:r>
            <w:r>
              <w:rPr>
                <w:sz w:val="18"/>
              </w:rPr>
              <w:t>before </w:t>
            </w:r>
            <w:r>
              <w:rPr>
                <w:spacing w:val="-4"/>
                <w:sz w:val="18"/>
              </w:rPr>
              <w:t>tax:</w:t>
            </w:r>
          </w:p>
        </w:tc>
        <w:tc>
          <w:tcPr>
            <w:tcW w:w="1001" w:type="dxa"/>
          </w:tcPr>
          <w:p>
            <w:pPr>
              <w:pStyle w:val="TableParagraph"/>
              <w:rPr>
                <w:sz w:val="18"/>
              </w:rPr>
            </w:pPr>
          </w:p>
        </w:tc>
        <w:tc>
          <w:tcPr>
            <w:tcW w:w="1012" w:type="dxa"/>
          </w:tcPr>
          <w:p>
            <w:pPr>
              <w:pStyle w:val="TableParagraph"/>
              <w:rPr>
                <w:sz w:val="18"/>
              </w:rPr>
            </w:pPr>
          </w:p>
        </w:tc>
        <w:tc>
          <w:tcPr>
            <w:tcW w:w="1004" w:type="dxa"/>
          </w:tcPr>
          <w:p>
            <w:pPr>
              <w:pStyle w:val="TableParagraph"/>
              <w:rPr>
                <w:sz w:val="18"/>
              </w:rPr>
            </w:pPr>
          </w:p>
        </w:tc>
        <w:tc>
          <w:tcPr>
            <w:tcW w:w="955" w:type="dxa"/>
          </w:tcPr>
          <w:p>
            <w:pPr>
              <w:pStyle w:val="TableParagraph"/>
              <w:rPr>
                <w:sz w:val="18"/>
              </w:rPr>
            </w:pPr>
          </w:p>
        </w:tc>
      </w:tr>
      <w:tr>
        <w:trPr>
          <w:trHeight w:val="285" w:hRule="atLeast"/>
        </w:trPr>
        <w:tc>
          <w:tcPr>
            <w:tcW w:w="6285" w:type="dxa"/>
            <w:shd w:val="clear" w:color="auto" w:fill="CCEDFF"/>
          </w:tcPr>
          <w:p>
            <w:pPr>
              <w:pStyle w:val="TableParagraph"/>
              <w:spacing w:before="48"/>
              <w:ind w:left="277"/>
              <w:rPr>
                <w:sz w:val="18"/>
              </w:rPr>
            </w:pPr>
            <w:r>
              <w:rPr>
                <w:sz w:val="18"/>
              </w:rPr>
              <w:t>Change</w:t>
            </w:r>
            <w:r>
              <w:rPr>
                <w:spacing w:val="-1"/>
                <w:sz w:val="18"/>
              </w:rPr>
              <w:t> </w:t>
            </w:r>
            <w:r>
              <w:rPr>
                <w:sz w:val="18"/>
              </w:rPr>
              <w:t>in net unrealized</w:t>
            </w:r>
            <w:r>
              <w:rPr>
                <w:spacing w:val="-1"/>
                <w:sz w:val="18"/>
              </w:rPr>
              <w:t> </w:t>
            </w:r>
            <w:r>
              <w:rPr>
                <w:sz w:val="18"/>
              </w:rPr>
              <w:t>gain (loss) on</w:t>
            </w:r>
            <w:r>
              <w:rPr>
                <w:spacing w:val="-1"/>
                <w:sz w:val="18"/>
              </w:rPr>
              <w:t> </w:t>
            </w:r>
            <w:r>
              <w:rPr>
                <w:sz w:val="18"/>
              </w:rPr>
              <w:t>available for sale </w:t>
            </w:r>
            <w:r>
              <w:rPr>
                <w:spacing w:val="-2"/>
                <w:sz w:val="18"/>
              </w:rPr>
              <w:t>securities:</w:t>
            </w:r>
          </w:p>
        </w:tc>
        <w:tc>
          <w:tcPr>
            <w:tcW w:w="1001" w:type="dxa"/>
            <w:shd w:val="clear" w:color="auto" w:fill="CCEDFF"/>
          </w:tcPr>
          <w:p>
            <w:pPr>
              <w:pStyle w:val="TableParagraph"/>
              <w:rPr>
                <w:sz w:val="18"/>
              </w:rPr>
            </w:pPr>
          </w:p>
        </w:tc>
        <w:tc>
          <w:tcPr>
            <w:tcW w:w="1012" w:type="dxa"/>
            <w:shd w:val="clear" w:color="auto" w:fill="CCEDFF"/>
          </w:tcPr>
          <w:p>
            <w:pPr>
              <w:pStyle w:val="TableParagraph"/>
              <w:rPr>
                <w:sz w:val="18"/>
              </w:rPr>
            </w:pPr>
          </w:p>
        </w:tc>
        <w:tc>
          <w:tcPr>
            <w:tcW w:w="1004" w:type="dxa"/>
            <w:shd w:val="clear" w:color="auto" w:fill="CCEDFF"/>
          </w:tcPr>
          <w:p>
            <w:pPr>
              <w:pStyle w:val="TableParagraph"/>
              <w:rPr>
                <w:sz w:val="18"/>
              </w:rPr>
            </w:pPr>
          </w:p>
        </w:tc>
        <w:tc>
          <w:tcPr>
            <w:tcW w:w="955" w:type="dxa"/>
            <w:shd w:val="clear" w:color="auto" w:fill="CCEDFF"/>
          </w:tcPr>
          <w:p>
            <w:pPr>
              <w:pStyle w:val="TableParagraph"/>
              <w:rPr>
                <w:sz w:val="18"/>
              </w:rPr>
            </w:pPr>
          </w:p>
        </w:tc>
      </w:tr>
      <w:tr>
        <w:trPr>
          <w:trHeight w:val="285" w:hRule="atLeast"/>
        </w:trPr>
        <w:tc>
          <w:tcPr>
            <w:tcW w:w="6285" w:type="dxa"/>
          </w:tcPr>
          <w:p>
            <w:pPr>
              <w:pStyle w:val="TableParagraph"/>
              <w:spacing w:before="48"/>
              <w:ind w:left="547"/>
              <w:rPr>
                <w:sz w:val="18"/>
              </w:rPr>
            </w:pPr>
            <w:r>
              <w:rPr>
                <w:sz w:val="18"/>
              </w:rPr>
              <w:t>Net</w:t>
            </w:r>
            <w:r>
              <w:rPr>
                <w:spacing w:val="-1"/>
                <w:sz w:val="18"/>
              </w:rPr>
              <w:t> </w:t>
            </w:r>
            <w:r>
              <w:rPr>
                <w:sz w:val="18"/>
              </w:rPr>
              <w:t>unrealized gain</w:t>
            </w:r>
            <w:r>
              <w:rPr>
                <w:spacing w:val="-1"/>
                <w:sz w:val="18"/>
              </w:rPr>
              <w:t> </w:t>
            </w:r>
            <w:r>
              <w:rPr>
                <w:sz w:val="18"/>
              </w:rPr>
              <w:t>(loss) excluding</w:t>
            </w:r>
            <w:r>
              <w:rPr>
                <w:spacing w:val="-1"/>
                <w:sz w:val="18"/>
              </w:rPr>
              <w:t> </w:t>
            </w:r>
            <w:r>
              <w:rPr>
                <w:sz w:val="18"/>
              </w:rPr>
              <w:t>transfers</w:t>
            </w:r>
            <w:r>
              <w:rPr>
                <w:spacing w:val="-1"/>
                <w:sz w:val="18"/>
              </w:rPr>
              <w:t> </w:t>
            </w:r>
            <w:r>
              <w:rPr>
                <w:sz w:val="18"/>
              </w:rPr>
              <w:t>to</w:t>
            </w:r>
            <w:r>
              <w:rPr>
                <w:spacing w:val="-1"/>
                <w:sz w:val="18"/>
              </w:rPr>
              <w:t> </w:t>
            </w:r>
            <w:r>
              <w:rPr>
                <w:sz w:val="18"/>
              </w:rPr>
              <w:t>held to </w:t>
            </w:r>
            <w:r>
              <w:rPr>
                <w:spacing w:val="-2"/>
                <w:sz w:val="18"/>
              </w:rPr>
              <w:t>maturity</w:t>
            </w:r>
          </w:p>
        </w:tc>
        <w:tc>
          <w:tcPr>
            <w:tcW w:w="1001" w:type="dxa"/>
          </w:tcPr>
          <w:p>
            <w:pPr>
              <w:pStyle w:val="TableParagraph"/>
              <w:spacing w:before="48"/>
              <w:ind w:right="68"/>
              <w:jc w:val="right"/>
              <w:rPr>
                <w:sz w:val="18"/>
              </w:rPr>
            </w:pPr>
            <w:r>
              <w:rPr>
                <w:spacing w:val="-2"/>
                <w:sz w:val="18"/>
              </w:rPr>
              <w:t>(720)</w:t>
            </w:r>
          </w:p>
        </w:tc>
        <w:tc>
          <w:tcPr>
            <w:tcW w:w="1012" w:type="dxa"/>
          </w:tcPr>
          <w:p>
            <w:pPr>
              <w:pStyle w:val="TableParagraph"/>
              <w:spacing w:before="48"/>
              <w:ind w:right="60"/>
              <w:jc w:val="right"/>
              <w:rPr>
                <w:sz w:val="18"/>
              </w:rPr>
            </w:pPr>
            <w:r>
              <w:rPr>
                <w:spacing w:val="-2"/>
                <w:sz w:val="18"/>
              </w:rPr>
              <w:t>(9,493)</w:t>
            </w:r>
          </w:p>
        </w:tc>
        <w:tc>
          <w:tcPr>
            <w:tcW w:w="1004" w:type="dxa"/>
          </w:tcPr>
          <w:p>
            <w:pPr>
              <w:pStyle w:val="TableParagraph"/>
              <w:spacing w:before="48"/>
              <w:ind w:right="119"/>
              <w:jc w:val="right"/>
              <w:rPr>
                <w:sz w:val="18"/>
              </w:rPr>
            </w:pPr>
            <w:r>
              <w:rPr>
                <w:spacing w:val="-5"/>
                <w:sz w:val="18"/>
              </w:rPr>
              <w:t>446</w:t>
            </w:r>
          </w:p>
        </w:tc>
        <w:tc>
          <w:tcPr>
            <w:tcW w:w="955" w:type="dxa"/>
          </w:tcPr>
          <w:p>
            <w:pPr>
              <w:pStyle w:val="TableParagraph"/>
              <w:spacing w:before="48"/>
              <w:ind w:right="9"/>
              <w:jc w:val="right"/>
              <w:rPr>
                <w:sz w:val="18"/>
              </w:rPr>
            </w:pPr>
            <w:r>
              <w:rPr>
                <w:spacing w:val="-2"/>
                <w:sz w:val="18"/>
              </w:rPr>
              <w:t>(29,299)</w:t>
            </w:r>
          </w:p>
        </w:tc>
      </w:tr>
      <w:tr>
        <w:trPr>
          <w:trHeight w:val="285" w:hRule="atLeast"/>
        </w:trPr>
        <w:tc>
          <w:tcPr>
            <w:tcW w:w="6285" w:type="dxa"/>
            <w:shd w:val="clear" w:color="auto" w:fill="CCEDFF"/>
          </w:tcPr>
          <w:p>
            <w:pPr>
              <w:pStyle w:val="TableParagraph"/>
              <w:spacing w:before="48"/>
              <w:ind w:left="547"/>
              <w:rPr>
                <w:sz w:val="18"/>
              </w:rPr>
            </w:pPr>
            <w:r>
              <w:rPr>
                <w:sz w:val="18"/>
              </w:rPr>
              <w:t>Reclassification</w:t>
            </w:r>
            <w:r>
              <w:rPr>
                <w:spacing w:val="-3"/>
                <w:sz w:val="18"/>
              </w:rPr>
              <w:t> </w:t>
            </w:r>
            <w:r>
              <w:rPr>
                <w:sz w:val="18"/>
              </w:rPr>
              <w:t>of net</w:t>
            </w:r>
            <w:r>
              <w:rPr>
                <w:spacing w:val="-1"/>
                <w:sz w:val="18"/>
              </w:rPr>
              <w:t> </w:t>
            </w:r>
            <w:r>
              <w:rPr>
                <w:sz w:val="18"/>
              </w:rPr>
              <w:t>unrealized loss</w:t>
            </w:r>
            <w:r>
              <w:rPr>
                <w:spacing w:val="-2"/>
                <w:sz w:val="18"/>
              </w:rPr>
              <w:t> </w:t>
            </w:r>
            <w:r>
              <w:rPr>
                <w:sz w:val="18"/>
              </w:rPr>
              <w:t>transferred to</w:t>
            </w:r>
            <w:r>
              <w:rPr>
                <w:spacing w:val="-1"/>
                <w:sz w:val="18"/>
              </w:rPr>
              <w:t> </w:t>
            </w:r>
            <w:r>
              <w:rPr>
                <w:sz w:val="18"/>
              </w:rPr>
              <w:t>held to </w:t>
            </w:r>
            <w:r>
              <w:rPr>
                <w:spacing w:val="-2"/>
                <w:sz w:val="18"/>
              </w:rPr>
              <w:t>maturity</w:t>
            </w:r>
          </w:p>
        </w:tc>
        <w:tc>
          <w:tcPr>
            <w:tcW w:w="1001" w:type="dxa"/>
            <w:shd w:val="clear" w:color="auto" w:fill="CCEDFF"/>
          </w:tcPr>
          <w:p>
            <w:pPr>
              <w:pStyle w:val="TableParagraph"/>
              <w:spacing w:before="48"/>
              <w:ind w:right="128"/>
              <w:jc w:val="right"/>
              <w:rPr>
                <w:sz w:val="18"/>
              </w:rPr>
            </w:pPr>
            <w:r>
              <w:rPr>
                <w:spacing w:val="-10"/>
                <w:sz w:val="18"/>
              </w:rPr>
              <w:t>—</w:t>
            </w:r>
          </w:p>
        </w:tc>
        <w:tc>
          <w:tcPr>
            <w:tcW w:w="1012" w:type="dxa"/>
            <w:shd w:val="clear" w:color="auto" w:fill="CCEDFF"/>
          </w:tcPr>
          <w:p>
            <w:pPr>
              <w:pStyle w:val="TableParagraph"/>
              <w:spacing w:before="48"/>
              <w:ind w:right="120"/>
              <w:jc w:val="right"/>
              <w:rPr>
                <w:sz w:val="18"/>
              </w:rPr>
            </w:pPr>
            <w:r>
              <w:rPr>
                <w:spacing w:val="-10"/>
                <w:sz w:val="18"/>
              </w:rPr>
              <w:t>—</w:t>
            </w:r>
          </w:p>
        </w:tc>
        <w:tc>
          <w:tcPr>
            <w:tcW w:w="1004" w:type="dxa"/>
            <w:shd w:val="clear" w:color="auto" w:fill="CCEDFF"/>
          </w:tcPr>
          <w:p>
            <w:pPr>
              <w:pStyle w:val="TableParagraph"/>
              <w:spacing w:before="48"/>
              <w:ind w:right="119"/>
              <w:jc w:val="right"/>
              <w:rPr>
                <w:sz w:val="18"/>
              </w:rPr>
            </w:pPr>
            <w:r>
              <w:rPr>
                <w:spacing w:val="-10"/>
                <w:sz w:val="18"/>
              </w:rPr>
              <w:t>—</w:t>
            </w:r>
          </w:p>
        </w:tc>
        <w:tc>
          <w:tcPr>
            <w:tcW w:w="955" w:type="dxa"/>
            <w:shd w:val="clear" w:color="auto" w:fill="CCEDFF"/>
          </w:tcPr>
          <w:p>
            <w:pPr>
              <w:pStyle w:val="TableParagraph"/>
              <w:spacing w:before="48"/>
              <w:ind w:right="69"/>
              <w:jc w:val="right"/>
              <w:rPr>
                <w:sz w:val="18"/>
              </w:rPr>
            </w:pPr>
            <w:r>
              <w:rPr>
                <w:spacing w:val="-2"/>
                <w:sz w:val="18"/>
              </w:rPr>
              <w:t>2,429</w:t>
            </w:r>
          </w:p>
        </w:tc>
      </w:tr>
      <w:tr>
        <w:trPr>
          <w:trHeight w:val="285" w:hRule="atLeast"/>
        </w:trPr>
        <w:tc>
          <w:tcPr>
            <w:tcW w:w="6285" w:type="dxa"/>
          </w:tcPr>
          <w:p>
            <w:pPr>
              <w:pStyle w:val="TableParagraph"/>
              <w:spacing w:before="48"/>
              <w:ind w:left="547"/>
              <w:rPr>
                <w:sz w:val="18"/>
              </w:rPr>
            </w:pPr>
            <w:r>
              <w:rPr>
                <w:sz w:val="18"/>
              </w:rPr>
              <w:t>Other</w:t>
            </w:r>
            <w:r>
              <w:rPr>
                <w:spacing w:val="-1"/>
                <w:sz w:val="18"/>
              </w:rPr>
              <w:t> </w:t>
            </w:r>
            <w:r>
              <w:rPr>
                <w:sz w:val="18"/>
              </w:rPr>
              <w:t>reclassifications</w:t>
            </w:r>
            <w:r>
              <w:rPr>
                <w:spacing w:val="-2"/>
                <w:sz w:val="18"/>
              </w:rPr>
              <w:t> </w:t>
            </w:r>
            <w:r>
              <w:rPr>
                <w:sz w:val="18"/>
              </w:rPr>
              <w:t>included in</w:t>
            </w:r>
            <w:r>
              <w:rPr>
                <w:spacing w:val="-1"/>
                <w:sz w:val="18"/>
              </w:rPr>
              <w:t> </w:t>
            </w:r>
            <w:r>
              <w:rPr>
                <w:sz w:val="18"/>
              </w:rPr>
              <w:t>other </w:t>
            </w:r>
            <w:r>
              <w:rPr>
                <w:spacing w:val="-2"/>
                <w:sz w:val="18"/>
              </w:rPr>
              <w:t>revenue</w:t>
            </w:r>
          </w:p>
        </w:tc>
        <w:tc>
          <w:tcPr>
            <w:tcW w:w="1001" w:type="dxa"/>
          </w:tcPr>
          <w:p>
            <w:pPr>
              <w:pStyle w:val="TableParagraph"/>
              <w:spacing w:before="48"/>
              <w:ind w:right="128"/>
              <w:jc w:val="right"/>
              <w:rPr>
                <w:sz w:val="18"/>
              </w:rPr>
            </w:pPr>
            <w:r>
              <w:rPr>
                <w:spacing w:val="-5"/>
                <w:sz w:val="18"/>
              </w:rPr>
              <w:t>24</w:t>
            </w:r>
          </w:p>
        </w:tc>
        <w:tc>
          <w:tcPr>
            <w:tcW w:w="1012" w:type="dxa"/>
          </w:tcPr>
          <w:p>
            <w:pPr>
              <w:pStyle w:val="TableParagraph"/>
              <w:spacing w:before="48"/>
              <w:ind w:right="120"/>
              <w:jc w:val="right"/>
              <w:rPr>
                <w:sz w:val="18"/>
              </w:rPr>
            </w:pPr>
            <w:r>
              <w:rPr>
                <w:spacing w:val="-5"/>
                <w:sz w:val="18"/>
              </w:rPr>
              <w:t>16</w:t>
            </w:r>
          </w:p>
        </w:tc>
        <w:tc>
          <w:tcPr>
            <w:tcW w:w="1004" w:type="dxa"/>
          </w:tcPr>
          <w:p>
            <w:pPr>
              <w:pStyle w:val="TableParagraph"/>
              <w:spacing w:before="48"/>
              <w:ind w:right="119"/>
              <w:jc w:val="right"/>
              <w:rPr>
                <w:sz w:val="18"/>
              </w:rPr>
            </w:pPr>
            <w:r>
              <w:rPr>
                <w:spacing w:val="-5"/>
                <w:sz w:val="18"/>
              </w:rPr>
              <w:t>44</w:t>
            </w:r>
          </w:p>
        </w:tc>
        <w:tc>
          <w:tcPr>
            <w:tcW w:w="955" w:type="dxa"/>
          </w:tcPr>
          <w:p>
            <w:pPr>
              <w:pStyle w:val="TableParagraph"/>
              <w:spacing w:before="48"/>
              <w:ind w:right="9"/>
              <w:jc w:val="right"/>
              <w:rPr>
                <w:sz w:val="18"/>
              </w:rPr>
            </w:pPr>
            <w:r>
              <w:rPr>
                <w:spacing w:val="-5"/>
                <w:sz w:val="18"/>
              </w:rPr>
              <w:t>(1)</w:t>
            </w:r>
          </w:p>
        </w:tc>
      </w:tr>
      <w:tr>
        <w:trPr>
          <w:trHeight w:val="285" w:hRule="atLeast"/>
        </w:trPr>
        <w:tc>
          <w:tcPr>
            <w:tcW w:w="6285" w:type="dxa"/>
            <w:shd w:val="clear" w:color="auto" w:fill="CCEDFF"/>
          </w:tcPr>
          <w:p>
            <w:pPr>
              <w:pStyle w:val="TableParagraph"/>
              <w:spacing w:before="48"/>
              <w:ind w:left="277"/>
              <w:rPr>
                <w:sz w:val="18"/>
              </w:rPr>
            </w:pPr>
            <w:r>
              <w:rPr>
                <w:sz w:val="18"/>
              </w:rPr>
              <w:t>Change</w:t>
            </w:r>
            <w:r>
              <w:rPr>
                <w:spacing w:val="-1"/>
                <w:sz w:val="18"/>
              </w:rPr>
              <w:t> </w:t>
            </w:r>
            <w:r>
              <w:rPr>
                <w:sz w:val="18"/>
              </w:rPr>
              <w:t>in net unrealized gain (loss)</w:t>
            </w:r>
            <w:r>
              <w:rPr>
                <w:spacing w:val="-1"/>
                <w:sz w:val="18"/>
              </w:rPr>
              <w:t> </w:t>
            </w:r>
            <w:r>
              <w:rPr>
                <w:sz w:val="18"/>
              </w:rPr>
              <w:t>on held to maturity </w:t>
            </w:r>
            <w:r>
              <w:rPr>
                <w:spacing w:val="-2"/>
                <w:sz w:val="18"/>
              </w:rPr>
              <w:t>securities:</w:t>
            </w:r>
          </w:p>
        </w:tc>
        <w:tc>
          <w:tcPr>
            <w:tcW w:w="1001" w:type="dxa"/>
            <w:shd w:val="clear" w:color="auto" w:fill="CCEDFF"/>
          </w:tcPr>
          <w:p>
            <w:pPr>
              <w:pStyle w:val="TableParagraph"/>
              <w:rPr>
                <w:sz w:val="18"/>
              </w:rPr>
            </w:pPr>
          </w:p>
        </w:tc>
        <w:tc>
          <w:tcPr>
            <w:tcW w:w="1012" w:type="dxa"/>
            <w:shd w:val="clear" w:color="auto" w:fill="CCEDFF"/>
          </w:tcPr>
          <w:p>
            <w:pPr>
              <w:pStyle w:val="TableParagraph"/>
              <w:rPr>
                <w:sz w:val="18"/>
              </w:rPr>
            </w:pPr>
          </w:p>
        </w:tc>
        <w:tc>
          <w:tcPr>
            <w:tcW w:w="1004" w:type="dxa"/>
            <w:shd w:val="clear" w:color="auto" w:fill="CCEDFF"/>
          </w:tcPr>
          <w:p>
            <w:pPr>
              <w:pStyle w:val="TableParagraph"/>
              <w:rPr>
                <w:sz w:val="18"/>
              </w:rPr>
            </w:pPr>
          </w:p>
        </w:tc>
        <w:tc>
          <w:tcPr>
            <w:tcW w:w="955" w:type="dxa"/>
            <w:shd w:val="clear" w:color="auto" w:fill="CCEDFF"/>
          </w:tcPr>
          <w:p>
            <w:pPr>
              <w:pStyle w:val="TableParagraph"/>
              <w:rPr>
                <w:sz w:val="18"/>
              </w:rPr>
            </w:pPr>
          </w:p>
        </w:tc>
      </w:tr>
      <w:tr>
        <w:trPr>
          <w:trHeight w:val="285" w:hRule="atLeast"/>
        </w:trPr>
        <w:tc>
          <w:tcPr>
            <w:tcW w:w="6285" w:type="dxa"/>
          </w:tcPr>
          <w:p>
            <w:pPr>
              <w:pStyle w:val="TableParagraph"/>
              <w:spacing w:before="48"/>
              <w:ind w:left="547"/>
              <w:rPr>
                <w:sz w:val="18"/>
              </w:rPr>
            </w:pPr>
            <w:r>
              <w:rPr>
                <w:sz w:val="18"/>
              </w:rPr>
              <w:t>Reclassification</w:t>
            </w:r>
            <w:r>
              <w:rPr>
                <w:spacing w:val="-1"/>
                <w:sz w:val="18"/>
              </w:rPr>
              <w:t> </w:t>
            </w:r>
            <w:r>
              <w:rPr>
                <w:sz w:val="18"/>
              </w:rPr>
              <w:t>of net</w:t>
            </w:r>
            <w:r>
              <w:rPr>
                <w:spacing w:val="-1"/>
                <w:sz w:val="18"/>
              </w:rPr>
              <w:t> </w:t>
            </w:r>
            <w:r>
              <w:rPr>
                <w:sz w:val="18"/>
              </w:rPr>
              <w:t>unrealized loss</w:t>
            </w:r>
            <w:r>
              <w:rPr>
                <w:spacing w:val="-2"/>
                <w:sz w:val="18"/>
              </w:rPr>
              <w:t> </w:t>
            </w:r>
            <w:r>
              <w:rPr>
                <w:sz w:val="18"/>
              </w:rPr>
              <w:t>transferred from</w:t>
            </w:r>
            <w:r>
              <w:rPr>
                <w:spacing w:val="-1"/>
                <w:sz w:val="18"/>
              </w:rPr>
              <w:t> </w:t>
            </w:r>
            <w:r>
              <w:rPr>
                <w:sz w:val="18"/>
              </w:rPr>
              <w:t>available for </w:t>
            </w:r>
            <w:r>
              <w:rPr>
                <w:spacing w:val="-4"/>
                <w:sz w:val="18"/>
              </w:rPr>
              <w:t>sale</w:t>
            </w:r>
          </w:p>
        </w:tc>
        <w:tc>
          <w:tcPr>
            <w:tcW w:w="3017" w:type="dxa"/>
            <w:gridSpan w:val="3"/>
          </w:tcPr>
          <w:p>
            <w:pPr>
              <w:pStyle w:val="TableParagraph"/>
              <w:tabs>
                <w:tab w:pos="1710" w:val="left" w:leader="none"/>
                <w:tab w:pos="2715" w:val="left" w:leader="none"/>
              </w:tabs>
              <w:spacing w:before="48"/>
              <w:ind w:left="690"/>
              <w:rPr>
                <w:sz w:val="18"/>
              </w:rPr>
            </w:pPr>
            <w:r>
              <w:rPr>
                <w:spacing w:val="-10"/>
                <w:sz w:val="18"/>
              </w:rPr>
              <w:t>—</w:t>
            </w:r>
            <w:r>
              <w:rPr>
                <w:sz w:val="18"/>
              </w:rPr>
              <w:tab/>
            </w:r>
            <w:r>
              <w:rPr>
                <w:spacing w:val="-10"/>
                <w:sz w:val="18"/>
              </w:rPr>
              <w:t>—</w:t>
            </w:r>
            <w:r>
              <w:rPr>
                <w:sz w:val="18"/>
              </w:rPr>
              <w:tab/>
            </w:r>
            <w:r>
              <w:rPr>
                <w:spacing w:val="-10"/>
                <w:sz w:val="18"/>
              </w:rPr>
              <w:t>—</w:t>
            </w:r>
          </w:p>
        </w:tc>
        <w:tc>
          <w:tcPr>
            <w:tcW w:w="955" w:type="dxa"/>
          </w:tcPr>
          <w:p>
            <w:pPr>
              <w:pStyle w:val="TableParagraph"/>
              <w:spacing w:before="48"/>
              <w:ind w:right="9"/>
              <w:jc w:val="right"/>
              <w:rPr>
                <w:sz w:val="18"/>
              </w:rPr>
            </w:pPr>
            <w:r>
              <w:rPr>
                <w:spacing w:val="-2"/>
                <w:sz w:val="18"/>
              </w:rPr>
              <w:t>(2,429)</w:t>
            </w:r>
          </w:p>
        </w:tc>
      </w:tr>
      <w:tr>
        <w:trPr>
          <w:trHeight w:val="465" w:hRule="atLeast"/>
        </w:trPr>
        <w:tc>
          <w:tcPr>
            <w:tcW w:w="6285" w:type="dxa"/>
            <w:shd w:val="clear" w:color="auto" w:fill="CCEDFF"/>
          </w:tcPr>
          <w:p>
            <w:pPr>
              <w:pStyle w:val="TableParagraph"/>
              <w:spacing w:line="208" w:lineRule="auto" w:before="70"/>
              <w:ind w:left="622" w:hanging="90"/>
              <w:rPr>
                <w:sz w:val="18"/>
              </w:rPr>
            </w:pPr>
            <w:r>
              <w:rPr>
                <w:sz w:val="18"/>
              </w:rPr>
              <w:t>Amortization</w:t>
            </w:r>
            <w:r>
              <w:rPr>
                <w:spacing w:val="-4"/>
                <w:sz w:val="18"/>
              </w:rPr>
              <w:t> </w:t>
            </w:r>
            <w:r>
              <w:rPr>
                <w:sz w:val="18"/>
              </w:rPr>
              <w:t>of</w:t>
            </w:r>
            <w:r>
              <w:rPr>
                <w:spacing w:val="-4"/>
                <w:sz w:val="18"/>
              </w:rPr>
              <w:t> </w:t>
            </w:r>
            <w:r>
              <w:rPr>
                <w:sz w:val="18"/>
              </w:rPr>
              <w:t>amounts</w:t>
            </w:r>
            <w:r>
              <w:rPr>
                <w:spacing w:val="-5"/>
                <w:sz w:val="18"/>
              </w:rPr>
              <w:t> </w:t>
            </w:r>
            <w:r>
              <w:rPr>
                <w:sz w:val="18"/>
              </w:rPr>
              <w:t>previously</w:t>
            </w:r>
            <w:r>
              <w:rPr>
                <w:spacing w:val="-4"/>
                <w:sz w:val="18"/>
              </w:rPr>
              <w:t> </w:t>
            </w:r>
            <w:r>
              <w:rPr>
                <w:sz w:val="18"/>
              </w:rPr>
              <w:t>recorded</w:t>
            </w:r>
            <w:r>
              <w:rPr>
                <w:spacing w:val="-4"/>
                <w:sz w:val="18"/>
              </w:rPr>
              <w:t> </w:t>
            </w:r>
            <w:r>
              <w:rPr>
                <w:sz w:val="18"/>
              </w:rPr>
              <w:t>upon</w:t>
            </w:r>
            <w:r>
              <w:rPr>
                <w:spacing w:val="-4"/>
                <w:sz w:val="18"/>
              </w:rPr>
              <w:t> </w:t>
            </w:r>
            <w:r>
              <w:rPr>
                <w:sz w:val="18"/>
              </w:rPr>
              <w:t>transfer</w:t>
            </w:r>
            <w:r>
              <w:rPr>
                <w:spacing w:val="-4"/>
                <w:sz w:val="18"/>
              </w:rPr>
              <w:t> </w:t>
            </w:r>
            <w:r>
              <w:rPr>
                <w:sz w:val="18"/>
              </w:rPr>
              <w:t>to</w:t>
            </w:r>
            <w:r>
              <w:rPr>
                <w:spacing w:val="-4"/>
                <w:sz w:val="18"/>
              </w:rPr>
              <w:t> </w:t>
            </w:r>
            <w:r>
              <w:rPr>
                <w:sz w:val="18"/>
              </w:rPr>
              <w:t>held</w:t>
            </w:r>
            <w:r>
              <w:rPr>
                <w:spacing w:val="-4"/>
                <w:sz w:val="18"/>
              </w:rPr>
              <w:t> </w:t>
            </w:r>
            <w:r>
              <w:rPr>
                <w:sz w:val="18"/>
              </w:rPr>
              <w:t>to</w:t>
            </w:r>
            <w:r>
              <w:rPr>
                <w:spacing w:val="-4"/>
                <w:sz w:val="18"/>
              </w:rPr>
              <w:t> </w:t>
            </w:r>
            <w:r>
              <w:rPr>
                <w:sz w:val="18"/>
              </w:rPr>
              <w:t>maturity from available for sale</w:t>
            </w:r>
          </w:p>
        </w:tc>
        <w:tc>
          <w:tcPr>
            <w:tcW w:w="3017" w:type="dxa"/>
            <w:gridSpan w:val="3"/>
            <w:shd w:val="clear" w:color="auto" w:fill="CCEDFF"/>
          </w:tcPr>
          <w:p>
            <w:pPr>
              <w:pStyle w:val="TableParagraph"/>
              <w:spacing w:before="21"/>
              <w:rPr>
                <w:sz w:val="18"/>
              </w:rPr>
            </w:pPr>
          </w:p>
          <w:p>
            <w:pPr>
              <w:pStyle w:val="TableParagraph"/>
              <w:tabs>
                <w:tab w:pos="1710" w:val="left" w:leader="none"/>
                <w:tab w:pos="2490" w:val="left" w:leader="none"/>
              </w:tabs>
              <w:ind w:left="600"/>
              <w:rPr>
                <w:sz w:val="18"/>
              </w:rPr>
            </w:pPr>
            <w:r>
              <w:rPr>
                <w:spacing w:val="-5"/>
                <w:sz w:val="18"/>
              </w:rPr>
              <w:t>645</w:t>
            </w:r>
            <w:r>
              <w:rPr>
                <w:sz w:val="18"/>
              </w:rPr>
              <w:tab/>
            </w:r>
            <w:r>
              <w:rPr>
                <w:spacing w:val="-5"/>
                <w:sz w:val="18"/>
              </w:rPr>
              <w:t>83</w:t>
            </w:r>
            <w:r>
              <w:rPr>
                <w:sz w:val="18"/>
              </w:rPr>
              <w:tab/>
            </w:r>
            <w:r>
              <w:rPr>
                <w:spacing w:val="-2"/>
                <w:sz w:val="18"/>
              </w:rPr>
              <w:t>1,896</w:t>
            </w:r>
          </w:p>
        </w:tc>
        <w:tc>
          <w:tcPr>
            <w:tcW w:w="955" w:type="dxa"/>
            <w:shd w:val="clear" w:color="auto" w:fill="CCEDFF"/>
          </w:tcPr>
          <w:p>
            <w:pPr>
              <w:pStyle w:val="TableParagraph"/>
              <w:spacing w:before="21"/>
              <w:rPr>
                <w:sz w:val="18"/>
              </w:rPr>
            </w:pPr>
          </w:p>
          <w:p>
            <w:pPr>
              <w:pStyle w:val="TableParagraph"/>
              <w:ind w:right="69"/>
              <w:jc w:val="right"/>
              <w:rPr>
                <w:sz w:val="18"/>
              </w:rPr>
            </w:pPr>
            <w:r>
              <w:rPr>
                <w:spacing w:val="-5"/>
                <w:sz w:val="18"/>
              </w:rPr>
              <w:t>297</w:t>
            </w:r>
          </w:p>
        </w:tc>
      </w:tr>
      <w:tr>
        <w:trPr>
          <w:trHeight w:val="280" w:hRule="atLeast"/>
        </w:trPr>
        <w:tc>
          <w:tcPr>
            <w:tcW w:w="6285" w:type="dxa"/>
          </w:tcPr>
          <w:p>
            <w:pPr>
              <w:pStyle w:val="TableParagraph"/>
              <w:spacing w:before="48"/>
              <w:ind w:left="277"/>
              <w:rPr>
                <w:sz w:val="18"/>
              </w:rPr>
            </w:pPr>
            <w:r>
              <w:rPr>
                <w:spacing w:val="-2"/>
                <w:sz w:val="18"/>
              </w:rPr>
              <w:t>Other</w:t>
            </w:r>
          </w:p>
        </w:tc>
        <w:tc>
          <w:tcPr>
            <w:tcW w:w="3017" w:type="dxa"/>
            <w:gridSpan w:val="3"/>
          </w:tcPr>
          <w:p>
            <w:pPr>
              <w:pStyle w:val="TableParagraph"/>
              <w:tabs>
                <w:tab w:pos="1710" w:val="left" w:leader="none"/>
                <w:tab w:pos="2745" w:val="left" w:leader="none"/>
              </w:tabs>
              <w:spacing w:before="48"/>
              <w:ind w:left="690"/>
              <w:rPr>
                <w:sz w:val="18"/>
              </w:rPr>
            </w:pPr>
            <w:r>
              <w:rPr>
                <w:spacing w:val="-10"/>
                <w:sz w:val="18"/>
              </w:rPr>
              <w:t>—</w:t>
            </w:r>
            <w:r>
              <w:rPr>
                <w:sz w:val="18"/>
              </w:rPr>
              <w:tab/>
            </w:r>
            <w:r>
              <w:rPr>
                <w:spacing w:val="-10"/>
                <w:sz w:val="18"/>
              </w:rPr>
              <w:t>—</w:t>
            </w:r>
            <w:r>
              <w:rPr>
                <w:sz w:val="18"/>
              </w:rPr>
              <w:tab/>
            </w:r>
            <w:r>
              <w:rPr>
                <w:spacing w:val="-5"/>
                <w:sz w:val="18"/>
              </w:rPr>
              <w:t>(9)</w:t>
            </w:r>
          </w:p>
        </w:tc>
        <w:tc>
          <w:tcPr>
            <w:tcW w:w="955" w:type="dxa"/>
          </w:tcPr>
          <w:p>
            <w:pPr>
              <w:pStyle w:val="TableParagraph"/>
              <w:spacing w:before="48"/>
              <w:ind w:right="69"/>
              <w:jc w:val="right"/>
              <w:rPr>
                <w:sz w:val="18"/>
              </w:rPr>
            </w:pPr>
            <w:r>
              <w:rPr>
                <w:spacing w:val="-10"/>
                <w:sz w:val="18"/>
              </w:rPr>
              <w:t>—</w:t>
            </w:r>
          </w:p>
        </w:tc>
      </w:tr>
      <w:tr>
        <w:trPr>
          <w:trHeight w:val="275" w:hRule="atLeast"/>
        </w:trPr>
        <w:tc>
          <w:tcPr>
            <w:tcW w:w="6285" w:type="dxa"/>
            <w:tcBorders>
              <w:top w:val="single" w:sz="4" w:space="0" w:color="000000"/>
              <w:bottom w:val="single" w:sz="4" w:space="0" w:color="000000"/>
            </w:tcBorders>
            <w:shd w:val="clear" w:color="auto" w:fill="CCEDFF"/>
          </w:tcPr>
          <w:p>
            <w:pPr>
              <w:pStyle w:val="TableParagraph"/>
              <w:spacing w:before="22"/>
              <w:ind w:left="52"/>
              <w:rPr>
                <w:b/>
                <w:sz w:val="18"/>
              </w:rPr>
            </w:pPr>
            <w:r>
              <w:rPr>
                <w:b/>
                <w:sz w:val="18"/>
              </w:rPr>
              <w:t>Other</w:t>
            </w:r>
            <w:r>
              <w:rPr>
                <w:b/>
                <w:spacing w:val="-2"/>
                <w:sz w:val="18"/>
              </w:rPr>
              <w:t> </w:t>
            </w:r>
            <w:r>
              <w:rPr>
                <w:b/>
                <w:sz w:val="18"/>
              </w:rPr>
              <w:t>comprehensive</w:t>
            </w:r>
            <w:r>
              <w:rPr>
                <w:b/>
                <w:spacing w:val="-2"/>
                <w:sz w:val="18"/>
              </w:rPr>
              <w:t> </w:t>
            </w:r>
            <w:r>
              <w:rPr>
                <w:b/>
                <w:sz w:val="18"/>
              </w:rPr>
              <w:t>income</w:t>
            </w:r>
            <w:r>
              <w:rPr>
                <w:b/>
                <w:spacing w:val="-2"/>
                <w:sz w:val="18"/>
              </w:rPr>
              <w:t> </w:t>
            </w:r>
            <w:r>
              <w:rPr>
                <w:b/>
                <w:sz w:val="18"/>
              </w:rPr>
              <w:t>(loss),</w:t>
            </w:r>
            <w:r>
              <w:rPr>
                <w:b/>
                <w:spacing w:val="-2"/>
                <w:sz w:val="18"/>
              </w:rPr>
              <w:t> </w:t>
            </w:r>
            <w:r>
              <w:rPr>
                <w:b/>
                <w:sz w:val="18"/>
              </w:rPr>
              <w:t>before</w:t>
            </w:r>
            <w:r>
              <w:rPr>
                <w:b/>
                <w:spacing w:val="-1"/>
                <w:sz w:val="18"/>
              </w:rPr>
              <w:t> </w:t>
            </w:r>
            <w:r>
              <w:rPr>
                <w:b/>
                <w:spacing w:val="-5"/>
                <w:sz w:val="18"/>
              </w:rPr>
              <w:t>tax</w:t>
            </w:r>
          </w:p>
        </w:tc>
        <w:tc>
          <w:tcPr>
            <w:tcW w:w="1001" w:type="dxa"/>
            <w:tcBorders>
              <w:top w:val="single" w:sz="4" w:space="0" w:color="000000"/>
              <w:bottom w:val="single" w:sz="4" w:space="0" w:color="000000"/>
            </w:tcBorders>
            <w:shd w:val="clear" w:color="auto" w:fill="CCEDFF"/>
          </w:tcPr>
          <w:p>
            <w:pPr>
              <w:pStyle w:val="TableParagraph"/>
              <w:spacing w:before="43"/>
              <w:ind w:right="68"/>
              <w:jc w:val="right"/>
              <w:rPr>
                <w:sz w:val="18"/>
              </w:rPr>
            </w:pPr>
            <w:r>
              <w:rPr>
                <w:spacing w:val="-4"/>
                <w:sz w:val="18"/>
              </w:rPr>
              <w:t>(51)</w:t>
            </w:r>
          </w:p>
        </w:tc>
        <w:tc>
          <w:tcPr>
            <w:tcW w:w="1012" w:type="dxa"/>
            <w:tcBorders>
              <w:top w:val="single" w:sz="4" w:space="0" w:color="000000"/>
              <w:bottom w:val="single" w:sz="4" w:space="0" w:color="000000"/>
            </w:tcBorders>
            <w:shd w:val="clear" w:color="auto" w:fill="CCEDFF"/>
          </w:tcPr>
          <w:p>
            <w:pPr>
              <w:pStyle w:val="TableParagraph"/>
              <w:spacing w:before="23"/>
              <w:ind w:right="60"/>
              <w:jc w:val="right"/>
              <w:rPr>
                <w:sz w:val="18"/>
              </w:rPr>
            </w:pPr>
            <w:r>
              <w:rPr>
                <w:spacing w:val="-2"/>
                <w:sz w:val="18"/>
              </w:rPr>
              <w:t>(9,394)</w:t>
            </w:r>
          </w:p>
        </w:tc>
        <w:tc>
          <w:tcPr>
            <w:tcW w:w="1004" w:type="dxa"/>
            <w:tcBorders>
              <w:top w:val="single" w:sz="4" w:space="0" w:color="000000"/>
              <w:bottom w:val="single" w:sz="4" w:space="0" w:color="000000"/>
            </w:tcBorders>
            <w:shd w:val="clear" w:color="auto" w:fill="CCEDFF"/>
          </w:tcPr>
          <w:p>
            <w:pPr>
              <w:pStyle w:val="TableParagraph"/>
              <w:spacing w:before="43"/>
              <w:ind w:right="119"/>
              <w:jc w:val="right"/>
              <w:rPr>
                <w:sz w:val="18"/>
              </w:rPr>
            </w:pPr>
            <w:r>
              <w:rPr>
                <w:spacing w:val="-2"/>
                <w:sz w:val="18"/>
              </w:rPr>
              <w:t>2,377</w:t>
            </w:r>
          </w:p>
        </w:tc>
        <w:tc>
          <w:tcPr>
            <w:tcW w:w="955" w:type="dxa"/>
            <w:tcBorders>
              <w:top w:val="single" w:sz="4" w:space="0" w:color="000000"/>
              <w:bottom w:val="single" w:sz="4" w:space="0" w:color="000000"/>
            </w:tcBorders>
            <w:shd w:val="clear" w:color="auto" w:fill="CCEDFF"/>
          </w:tcPr>
          <w:p>
            <w:pPr>
              <w:pStyle w:val="TableParagraph"/>
              <w:spacing w:before="43"/>
              <w:ind w:right="9"/>
              <w:jc w:val="right"/>
              <w:rPr>
                <w:sz w:val="18"/>
              </w:rPr>
            </w:pPr>
            <w:r>
              <w:rPr>
                <w:spacing w:val="-2"/>
                <w:sz w:val="18"/>
              </w:rPr>
              <w:t>(29,003)</w:t>
            </w:r>
          </w:p>
        </w:tc>
      </w:tr>
      <w:tr>
        <w:trPr>
          <w:trHeight w:val="275" w:hRule="atLeast"/>
        </w:trPr>
        <w:tc>
          <w:tcPr>
            <w:tcW w:w="6285" w:type="dxa"/>
            <w:tcBorders>
              <w:top w:val="single" w:sz="4" w:space="0" w:color="000000"/>
              <w:bottom w:val="single" w:sz="4" w:space="0" w:color="000000"/>
            </w:tcBorders>
          </w:tcPr>
          <w:p>
            <w:pPr>
              <w:pStyle w:val="TableParagraph"/>
              <w:spacing w:before="43"/>
              <w:ind w:left="277"/>
              <w:rPr>
                <w:sz w:val="18"/>
              </w:rPr>
            </w:pPr>
            <w:r>
              <w:rPr>
                <w:sz w:val="18"/>
              </w:rPr>
              <w:t>Income tax </w:t>
            </w:r>
            <w:r>
              <w:rPr>
                <w:spacing w:val="-2"/>
                <w:sz w:val="18"/>
              </w:rPr>
              <w:t>effect</w:t>
            </w:r>
          </w:p>
        </w:tc>
        <w:tc>
          <w:tcPr>
            <w:tcW w:w="1001" w:type="dxa"/>
            <w:tcBorders>
              <w:top w:val="single" w:sz="4" w:space="0" w:color="000000"/>
              <w:bottom w:val="single" w:sz="4" w:space="0" w:color="000000"/>
            </w:tcBorders>
          </w:tcPr>
          <w:p>
            <w:pPr>
              <w:pStyle w:val="TableParagraph"/>
              <w:spacing w:before="43"/>
              <w:ind w:right="128"/>
              <w:jc w:val="right"/>
              <w:rPr>
                <w:sz w:val="18"/>
              </w:rPr>
            </w:pPr>
            <w:r>
              <w:rPr>
                <w:spacing w:val="-5"/>
                <w:sz w:val="18"/>
              </w:rPr>
              <w:t>29</w:t>
            </w:r>
          </w:p>
        </w:tc>
        <w:tc>
          <w:tcPr>
            <w:tcW w:w="1012" w:type="dxa"/>
            <w:tcBorders>
              <w:top w:val="single" w:sz="4" w:space="0" w:color="000000"/>
              <w:bottom w:val="single" w:sz="4" w:space="0" w:color="000000"/>
            </w:tcBorders>
          </w:tcPr>
          <w:p>
            <w:pPr>
              <w:pStyle w:val="TableParagraph"/>
              <w:spacing w:before="43"/>
              <w:ind w:right="120"/>
              <w:jc w:val="right"/>
              <w:rPr>
                <w:sz w:val="18"/>
              </w:rPr>
            </w:pPr>
            <w:r>
              <w:rPr>
                <w:spacing w:val="-2"/>
                <w:sz w:val="18"/>
              </w:rPr>
              <w:t>2,264</w:t>
            </w:r>
          </w:p>
        </w:tc>
        <w:tc>
          <w:tcPr>
            <w:tcW w:w="1004" w:type="dxa"/>
            <w:tcBorders>
              <w:top w:val="single" w:sz="4" w:space="0" w:color="000000"/>
              <w:bottom w:val="single" w:sz="4" w:space="0" w:color="000000"/>
            </w:tcBorders>
          </w:tcPr>
          <w:p>
            <w:pPr>
              <w:pStyle w:val="TableParagraph"/>
              <w:spacing w:before="43"/>
              <w:ind w:right="59"/>
              <w:jc w:val="right"/>
              <w:rPr>
                <w:sz w:val="18"/>
              </w:rPr>
            </w:pPr>
            <w:r>
              <w:rPr>
                <w:spacing w:val="-2"/>
                <w:sz w:val="18"/>
              </w:rPr>
              <w:t>(508)</w:t>
            </w:r>
          </w:p>
        </w:tc>
        <w:tc>
          <w:tcPr>
            <w:tcW w:w="955" w:type="dxa"/>
            <w:tcBorders>
              <w:top w:val="single" w:sz="4" w:space="0" w:color="000000"/>
              <w:bottom w:val="single" w:sz="4" w:space="0" w:color="000000"/>
            </w:tcBorders>
          </w:tcPr>
          <w:p>
            <w:pPr>
              <w:pStyle w:val="TableParagraph"/>
              <w:spacing w:before="43"/>
              <w:ind w:right="69"/>
              <w:jc w:val="right"/>
              <w:rPr>
                <w:sz w:val="18"/>
              </w:rPr>
            </w:pPr>
            <w:r>
              <w:rPr>
                <w:spacing w:val="-2"/>
                <w:sz w:val="18"/>
              </w:rPr>
              <w:t>6,960</w:t>
            </w:r>
          </w:p>
        </w:tc>
      </w:tr>
      <w:tr>
        <w:trPr>
          <w:trHeight w:val="275" w:hRule="atLeast"/>
        </w:trPr>
        <w:tc>
          <w:tcPr>
            <w:tcW w:w="6285" w:type="dxa"/>
            <w:tcBorders>
              <w:top w:val="single" w:sz="4" w:space="0" w:color="000000"/>
              <w:bottom w:val="single" w:sz="4" w:space="0" w:color="000000"/>
            </w:tcBorders>
            <w:shd w:val="clear" w:color="auto" w:fill="CCEDFF"/>
          </w:tcPr>
          <w:p>
            <w:pPr>
              <w:pStyle w:val="TableParagraph"/>
              <w:spacing w:before="22"/>
              <w:ind w:left="52"/>
              <w:rPr>
                <w:b/>
                <w:sz w:val="18"/>
              </w:rPr>
            </w:pPr>
            <w:r>
              <w:rPr>
                <w:b/>
                <w:sz w:val="18"/>
              </w:rPr>
              <w:t>Other</w:t>
            </w:r>
            <w:r>
              <w:rPr>
                <w:b/>
                <w:spacing w:val="-2"/>
                <w:sz w:val="18"/>
              </w:rPr>
              <w:t> </w:t>
            </w:r>
            <w:r>
              <w:rPr>
                <w:b/>
                <w:sz w:val="18"/>
              </w:rPr>
              <w:t>comprehensive</w:t>
            </w:r>
            <w:r>
              <w:rPr>
                <w:b/>
                <w:spacing w:val="-1"/>
                <w:sz w:val="18"/>
              </w:rPr>
              <w:t> </w:t>
            </w:r>
            <w:r>
              <w:rPr>
                <w:b/>
                <w:sz w:val="18"/>
              </w:rPr>
              <w:t>income</w:t>
            </w:r>
            <w:r>
              <w:rPr>
                <w:b/>
                <w:spacing w:val="-2"/>
                <w:sz w:val="18"/>
              </w:rPr>
              <w:t> </w:t>
            </w:r>
            <w:r>
              <w:rPr>
                <w:b/>
                <w:sz w:val="18"/>
              </w:rPr>
              <w:t>(loss),</w:t>
            </w:r>
            <w:r>
              <w:rPr>
                <w:b/>
                <w:spacing w:val="-1"/>
                <w:sz w:val="18"/>
              </w:rPr>
              <w:t> </w:t>
            </w:r>
            <w:r>
              <w:rPr>
                <w:b/>
                <w:sz w:val="18"/>
              </w:rPr>
              <w:t>net</w:t>
            </w:r>
            <w:r>
              <w:rPr>
                <w:b/>
                <w:spacing w:val="-2"/>
                <w:sz w:val="18"/>
              </w:rPr>
              <w:t> </w:t>
            </w:r>
            <w:r>
              <w:rPr>
                <w:b/>
                <w:sz w:val="18"/>
              </w:rPr>
              <w:t>of</w:t>
            </w:r>
            <w:r>
              <w:rPr>
                <w:b/>
                <w:spacing w:val="-1"/>
                <w:sz w:val="18"/>
              </w:rPr>
              <w:t> </w:t>
            </w:r>
            <w:r>
              <w:rPr>
                <w:b/>
                <w:spacing w:val="-5"/>
                <w:sz w:val="18"/>
              </w:rPr>
              <w:t>tax</w:t>
            </w:r>
          </w:p>
        </w:tc>
        <w:tc>
          <w:tcPr>
            <w:tcW w:w="1001" w:type="dxa"/>
            <w:tcBorders>
              <w:top w:val="single" w:sz="4" w:space="0" w:color="000000"/>
              <w:bottom w:val="single" w:sz="4" w:space="0" w:color="000000"/>
            </w:tcBorders>
            <w:shd w:val="clear" w:color="auto" w:fill="CCEDFF"/>
          </w:tcPr>
          <w:p>
            <w:pPr>
              <w:pStyle w:val="TableParagraph"/>
              <w:spacing w:before="43"/>
              <w:ind w:right="68"/>
              <w:jc w:val="right"/>
              <w:rPr>
                <w:sz w:val="18"/>
              </w:rPr>
            </w:pPr>
            <w:r>
              <w:rPr>
                <w:spacing w:val="-4"/>
                <w:sz w:val="18"/>
              </w:rPr>
              <w:t>(22)</w:t>
            </w:r>
          </w:p>
        </w:tc>
        <w:tc>
          <w:tcPr>
            <w:tcW w:w="1012" w:type="dxa"/>
            <w:tcBorders>
              <w:top w:val="single" w:sz="4" w:space="0" w:color="000000"/>
              <w:bottom w:val="single" w:sz="4" w:space="0" w:color="000000"/>
            </w:tcBorders>
            <w:shd w:val="clear" w:color="auto" w:fill="CCEDFF"/>
          </w:tcPr>
          <w:p>
            <w:pPr>
              <w:pStyle w:val="TableParagraph"/>
              <w:spacing w:before="23"/>
              <w:ind w:right="60"/>
              <w:jc w:val="right"/>
              <w:rPr>
                <w:sz w:val="18"/>
              </w:rPr>
            </w:pPr>
            <w:r>
              <w:rPr>
                <w:spacing w:val="-2"/>
                <w:sz w:val="18"/>
              </w:rPr>
              <w:t>(7,130)</w:t>
            </w:r>
          </w:p>
        </w:tc>
        <w:tc>
          <w:tcPr>
            <w:tcW w:w="1004" w:type="dxa"/>
            <w:tcBorders>
              <w:top w:val="single" w:sz="4" w:space="0" w:color="000000"/>
              <w:bottom w:val="single" w:sz="4" w:space="0" w:color="000000"/>
            </w:tcBorders>
            <w:shd w:val="clear" w:color="auto" w:fill="CCEDFF"/>
          </w:tcPr>
          <w:p>
            <w:pPr>
              <w:pStyle w:val="TableParagraph"/>
              <w:spacing w:before="43"/>
              <w:ind w:right="119"/>
              <w:jc w:val="right"/>
              <w:rPr>
                <w:sz w:val="18"/>
              </w:rPr>
            </w:pPr>
            <w:r>
              <w:rPr>
                <w:spacing w:val="-2"/>
                <w:sz w:val="18"/>
              </w:rPr>
              <w:t>1,869</w:t>
            </w:r>
          </w:p>
        </w:tc>
        <w:tc>
          <w:tcPr>
            <w:tcW w:w="955" w:type="dxa"/>
            <w:tcBorders>
              <w:top w:val="single" w:sz="4" w:space="0" w:color="000000"/>
              <w:bottom w:val="single" w:sz="4" w:space="0" w:color="000000"/>
            </w:tcBorders>
            <w:shd w:val="clear" w:color="auto" w:fill="CCEDFF"/>
          </w:tcPr>
          <w:p>
            <w:pPr>
              <w:pStyle w:val="TableParagraph"/>
              <w:spacing w:before="43"/>
              <w:ind w:right="9"/>
              <w:jc w:val="right"/>
              <w:rPr>
                <w:sz w:val="18"/>
              </w:rPr>
            </w:pPr>
            <w:r>
              <w:rPr>
                <w:spacing w:val="-2"/>
                <w:sz w:val="18"/>
              </w:rPr>
              <w:t>(22,043)</w:t>
            </w:r>
          </w:p>
        </w:tc>
      </w:tr>
      <w:tr>
        <w:trPr>
          <w:trHeight w:val="250" w:hRule="atLeast"/>
        </w:trPr>
        <w:tc>
          <w:tcPr>
            <w:tcW w:w="6285" w:type="dxa"/>
            <w:tcBorders>
              <w:top w:val="single" w:sz="4" w:space="0" w:color="000000"/>
              <w:bottom w:val="double" w:sz="8" w:space="0" w:color="000000"/>
            </w:tcBorders>
          </w:tcPr>
          <w:p>
            <w:pPr>
              <w:pStyle w:val="TableParagraph"/>
              <w:spacing w:line="187" w:lineRule="exact" w:before="43"/>
              <w:ind w:left="52"/>
              <w:rPr>
                <w:b/>
                <w:sz w:val="18"/>
              </w:rPr>
            </w:pPr>
            <w:r>
              <w:rPr>
                <w:b/>
                <w:sz w:val="18"/>
              </w:rPr>
              <w:t>Comprehensive</w:t>
            </w:r>
            <w:r>
              <w:rPr>
                <w:b/>
                <w:spacing w:val="-4"/>
                <w:sz w:val="18"/>
              </w:rPr>
              <w:t> </w:t>
            </w:r>
            <w:r>
              <w:rPr>
                <w:b/>
                <w:sz w:val="18"/>
              </w:rPr>
              <w:t>Income</w:t>
            </w:r>
            <w:r>
              <w:rPr>
                <w:b/>
                <w:spacing w:val="-3"/>
                <w:sz w:val="18"/>
              </w:rPr>
              <w:t> </w:t>
            </w:r>
            <w:r>
              <w:rPr>
                <w:b/>
                <w:spacing w:val="-2"/>
                <w:sz w:val="18"/>
              </w:rPr>
              <w:t>(Loss)</w:t>
            </w:r>
          </w:p>
        </w:tc>
        <w:tc>
          <w:tcPr>
            <w:tcW w:w="1001" w:type="dxa"/>
            <w:tcBorders>
              <w:top w:val="single" w:sz="4" w:space="0" w:color="000000"/>
              <w:bottom w:val="double" w:sz="8" w:space="0" w:color="000000"/>
            </w:tcBorders>
          </w:tcPr>
          <w:p>
            <w:pPr>
              <w:pStyle w:val="TableParagraph"/>
              <w:tabs>
                <w:tab w:pos="465" w:val="left" w:leader="none"/>
              </w:tabs>
              <w:spacing w:line="187" w:lineRule="exact" w:before="43"/>
              <w:ind w:left="52"/>
              <w:rPr>
                <w:sz w:val="18"/>
              </w:rPr>
            </w:pPr>
            <w:r>
              <w:rPr>
                <w:spacing w:val="-10"/>
                <w:sz w:val="18"/>
              </w:rPr>
              <w:t>$</w:t>
            </w:r>
            <w:r>
              <w:rPr>
                <w:sz w:val="18"/>
              </w:rPr>
              <w:tab/>
            </w:r>
            <w:r>
              <w:rPr>
                <w:spacing w:val="-2"/>
                <w:sz w:val="18"/>
              </w:rPr>
              <w:t>1,103</w:t>
            </w:r>
          </w:p>
        </w:tc>
        <w:tc>
          <w:tcPr>
            <w:tcW w:w="1012" w:type="dxa"/>
            <w:tcBorders>
              <w:top w:val="single" w:sz="4" w:space="0" w:color="000000"/>
              <w:bottom w:val="double" w:sz="8" w:space="0" w:color="000000"/>
            </w:tcBorders>
          </w:tcPr>
          <w:p>
            <w:pPr>
              <w:pStyle w:val="TableParagraph"/>
              <w:tabs>
                <w:tab w:pos="352" w:val="left" w:leader="none"/>
              </w:tabs>
              <w:spacing w:line="187" w:lineRule="exact" w:before="43"/>
              <w:ind w:right="60"/>
              <w:jc w:val="right"/>
              <w:rPr>
                <w:sz w:val="18"/>
              </w:rPr>
            </w:pPr>
            <w:r>
              <w:rPr>
                <w:spacing w:val="-10"/>
                <w:sz w:val="18"/>
              </w:rPr>
              <w:t>$</w:t>
            </w:r>
            <w:r>
              <w:rPr>
                <w:sz w:val="18"/>
              </w:rPr>
              <w:tab/>
            </w:r>
            <w:r>
              <w:rPr>
                <w:spacing w:val="-2"/>
                <w:sz w:val="18"/>
              </w:rPr>
              <w:t>(5,110)</w:t>
            </w:r>
          </w:p>
        </w:tc>
        <w:tc>
          <w:tcPr>
            <w:tcW w:w="1004" w:type="dxa"/>
            <w:tcBorders>
              <w:top w:val="single" w:sz="4" w:space="0" w:color="000000"/>
              <w:bottom w:val="double" w:sz="8" w:space="0" w:color="000000"/>
            </w:tcBorders>
          </w:tcPr>
          <w:p>
            <w:pPr>
              <w:pStyle w:val="TableParagraph"/>
              <w:tabs>
                <w:tab w:pos="412" w:val="left" w:leader="none"/>
              </w:tabs>
              <w:spacing w:line="187" w:lineRule="exact" w:before="43"/>
              <w:ind w:right="119"/>
              <w:jc w:val="right"/>
              <w:rPr>
                <w:sz w:val="18"/>
              </w:rPr>
            </w:pPr>
            <w:r>
              <w:rPr>
                <w:spacing w:val="-10"/>
                <w:sz w:val="18"/>
              </w:rPr>
              <w:t>$</w:t>
            </w:r>
            <w:r>
              <w:rPr>
                <w:sz w:val="18"/>
              </w:rPr>
              <w:tab/>
            </w:r>
            <w:r>
              <w:rPr>
                <w:spacing w:val="-2"/>
                <w:sz w:val="18"/>
              </w:rPr>
              <w:t>5,891</w:t>
            </w:r>
          </w:p>
        </w:tc>
        <w:tc>
          <w:tcPr>
            <w:tcW w:w="955" w:type="dxa"/>
            <w:tcBorders>
              <w:top w:val="single" w:sz="4" w:space="0" w:color="000000"/>
              <w:bottom w:val="double" w:sz="8" w:space="0" w:color="000000"/>
            </w:tcBorders>
          </w:tcPr>
          <w:p>
            <w:pPr>
              <w:pStyle w:val="TableParagraph"/>
              <w:spacing w:line="187" w:lineRule="exact" w:before="43"/>
              <w:ind w:right="9"/>
              <w:jc w:val="right"/>
              <w:rPr>
                <w:sz w:val="18"/>
              </w:rPr>
            </w:pPr>
            <w:r>
              <w:rPr>
                <w:sz w:val="18"/>
              </w:rPr>
              <w:t>$</w:t>
            </w:r>
            <w:r>
              <w:rPr>
                <w:spacing w:val="39"/>
                <w:sz w:val="18"/>
              </w:rPr>
              <w:t>  </w:t>
            </w:r>
            <w:r>
              <w:rPr>
                <w:spacing w:val="-2"/>
                <w:sz w:val="18"/>
              </w:rPr>
              <w:t>(16,828)</w:t>
            </w:r>
          </w:p>
        </w:tc>
      </w:tr>
      <w:tr>
        <w:trPr>
          <w:trHeight w:val="473" w:hRule="atLeast"/>
        </w:trPr>
        <w:tc>
          <w:tcPr>
            <w:tcW w:w="6285" w:type="dxa"/>
            <w:tcBorders>
              <w:top w:val="double" w:sz="8" w:space="0" w:color="000000"/>
            </w:tcBorders>
          </w:tcPr>
          <w:p>
            <w:pPr>
              <w:pStyle w:val="TableParagraph"/>
              <w:spacing w:before="59"/>
              <w:rPr>
                <w:sz w:val="18"/>
              </w:rPr>
            </w:pPr>
          </w:p>
          <w:p>
            <w:pPr>
              <w:pStyle w:val="TableParagraph"/>
              <w:spacing w:line="187" w:lineRule="exact"/>
              <w:rPr>
                <w:i/>
                <w:sz w:val="18"/>
              </w:rPr>
            </w:pPr>
            <w:r>
              <w:rPr>
                <w:i/>
                <w:sz w:val="18"/>
              </w:rPr>
              <w:t>See</w:t>
            </w:r>
            <w:r>
              <w:rPr>
                <w:i/>
                <w:spacing w:val="-1"/>
                <w:sz w:val="18"/>
              </w:rPr>
              <w:t> </w:t>
            </w:r>
            <w:r>
              <w:rPr>
                <w:i/>
                <w:sz w:val="18"/>
              </w:rPr>
              <w:t>Notes</w:t>
            </w:r>
            <w:r>
              <w:rPr>
                <w:i/>
                <w:spacing w:val="-1"/>
                <w:sz w:val="18"/>
              </w:rPr>
              <w:t> </w:t>
            </w:r>
            <w:r>
              <w:rPr>
                <w:i/>
                <w:sz w:val="18"/>
              </w:rPr>
              <w:t>to Condensed</w:t>
            </w:r>
            <w:r>
              <w:rPr>
                <w:i/>
                <w:spacing w:val="-1"/>
                <w:sz w:val="18"/>
              </w:rPr>
              <w:t> </w:t>
            </w:r>
            <w:r>
              <w:rPr>
                <w:i/>
                <w:sz w:val="18"/>
              </w:rPr>
              <w:t>Consolidated Financial </w:t>
            </w:r>
            <w:r>
              <w:rPr>
                <w:i/>
                <w:spacing w:val="-2"/>
                <w:sz w:val="18"/>
              </w:rPr>
              <w:t>Statements.</w:t>
            </w:r>
          </w:p>
        </w:tc>
        <w:tc>
          <w:tcPr>
            <w:tcW w:w="1001" w:type="dxa"/>
            <w:tcBorders>
              <w:top w:val="double" w:sz="8" w:space="0" w:color="000000"/>
            </w:tcBorders>
          </w:tcPr>
          <w:p>
            <w:pPr>
              <w:pStyle w:val="TableParagraph"/>
              <w:rPr>
                <w:sz w:val="18"/>
              </w:rPr>
            </w:pPr>
          </w:p>
        </w:tc>
        <w:tc>
          <w:tcPr>
            <w:tcW w:w="1012" w:type="dxa"/>
            <w:tcBorders>
              <w:top w:val="double" w:sz="8" w:space="0" w:color="000000"/>
            </w:tcBorders>
          </w:tcPr>
          <w:p>
            <w:pPr>
              <w:pStyle w:val="TableParagraph"/>
              <w:rPr>
                <w:sz w:val="18"/>
              </w:rPr>
            </w:pPr>
          </w:p>
        </w:tc>
        <w:tc>
          <w:tcPr>
            <w:tcW w:w="1004" w:type="dxa"/>
            <w:tcBorders>
              <w:top w:val="double" w:sz="8" w:space="0" w:color="000000"/>
            </w:tcBorders>
          </w:tcPr>
          <w:p>
            <w:pPr>
              <w:pStyle w:val="TableParagraph"/>
              <w:rPr>
                <w:sz w:val="18"/>
              </w:rPr>
            </w:pPr>
          </w:p>
        </w:tc>
        <w:tc>
          <w:tcPr>
            <w:tcW w:w="955" w:type="dxa"/>
            <w:tcBorders>
              <w:top w:val="double" w:sz="8" w:space="0" w:color="000000"/>
            </w:tcBorders>
          </w:tcPr>
          <w:p>
            <w:pPr>
              <w:pStyle w:val="TableParagraph"/>
              <w:rPr>
                <w:sz w:val="18"/>
              </w:rPr>
            </w:pPr>
          </w:p>
        </w:tc>
      </w:tr>
    </w:tbl>
    <w:p>
      <w:pPr>
        <w:spacing w:after="0"/>
        <w:rPr>
          <w:sz w:val="18"/>
        </w:rPr>
        <w:sectPr>
          <w:type w:val="continuous"/>
          <w:pgSz w:w="12240" w:h="15840"/>
          <w:pgMar w:header="467" w:footer="201" w:top="320" w:bottom="280" w:left="520" w:right="520"/>
        </w:sectPr>
      </w:pPr>
    </w:p>
    <w:p>
      <w:pPr>
        <w:spacing w:line="256" w:lineRule="auto" w:before="18"/>
        <w:ind w:left="3727" w:right="3725" w:firstLine="0"/>
        <w:jc w:val="center"/>
        <w:rPr>
          <w:sz w:val="16"/>
        </w:rPr>
      </w:pPr>
      <w:r>
        <w:rPr>
          <w:b/>
          <w:sz w:val="20"/>
        </w:rPr>
        <w:t>Condensed</w:t>
      </w:r>
      <w:r>
        <w:rPr>
          <w:b/>
          <w:spacing w:val="-10"/>
          <w:sz w:val="20"/>
        </w:rPr>
        <w:t> </w:t>
      </w:r>
      <w:r>
        <w:rPr>
          <w:b/>
          <w:sz w:val="20"/>
        </w:rPr>
        <w:t>Consolidated</w:t>
      </w:r>
      <w:r>
        <w:rPr>
          <w:b/>
          <w:spacing w:val="-10"/>
          <w:sz w:val="20"/>
        </w:rPr>
        <w:t> </w:t>
      </w:r>
      <w:r>
        <w:rPr>
          <w:b/>
          <w:sz w:val="20"/>
        </w:rPr>
        <w:t>Balance</w:t>
      </w:r>
      <w:r>
        <w:rPr>
          <w:b/>
          <w:spacing w:val="-10"/>
          <w:sz w:val="20"/>
        </w:rPr>
        <w:t> </w:t>
      </w:r>
      <w:r>
        <w:rPr>
          <w:b/>
          <w:sz w:val="20"/>
        </w:rPr>
        <w:t>Sheets</w:t>
      </w:r>
      <w:r>
        <w:rPr>
          <w:b/>
          <w:spacing w:val="-10"/>
          <w:sz w:val="20"/>
        </w:rPr>
        <w:t> </w:t>
      </w:r>
      <w:r>
        <w:rPr>
          <w:b/>
          <w:sz w:val="20"/>
          <w:vertAlign w:val="superscript"/>
        </w:rPr>
        <w:t>(1)</w:t>
      </w:r>
      <w:r>
        <w:rPr>
          <w:b/>
          <w:sz w:val="20"/>
          <w:vertAlign w:val="baseline"/>
        </w:rPr>
        <w:t> </w:t>
      </w:r>
      <w:r>
        <w:rPr>
          <w:sz w:val="16"/>
          <w:vertAlign w:val="baseline"/>
        </w:rPr>
        <w:t>(In Millions, Except Per Share and Share Amounts)</w:t>
      </w:r>
      <w:r>
        <w:rPr>
          <w:spacing w:val="40"/>
          <w:sz w:val="16"/>
          <w:vertAlign w:val="baseline"/>
        </w:rPr>
        <w:t> </w:t>
      </w:r>
      <w:r>
        <w:rPr>
          <w:spacing w:val="-2"/>
          <w:sz w:val="16"/>
          <w:vertAlign w:val="baseline"/>
        </w:rPr>
        <w:t>(Unaudited)</w:t>
      </w:r>
    </w:p>
    <w:p>
      <w:pPr>
        <w:pStyle w:val="BodyText"/>
        <w:spacing w:before="122"/>
        <w:rPr>
          <w:sz w:val="18"/>
        </w:rPr>
      </w:pPr>
    </w:p>
    <w:p>
      <w:pPr>
        <w:tabs>
          <w:tab w:pos="9242" w:val="left" w:leader="none"/>
        </w:tabs>
        <w:spacing w:before="1"/>
        <w:ind w:left="7592" w:right="0" w:firstLine="0"/>
        <w:jc w:val="left"/>
        <w:rPr>
          <w:sz w:val="18"/>
        </w:rPr>
      </w:pPr>
      <w:r>
        <w:rPr/>
        <mc:AlternateContent>
          <mc:Choice Requires="wps">
            <w:drawing>
              <wp:anchor distT="0" distB="0" distL="0" distR="0" allowOverlap="1" layoutInCell="1" locked="0" behindDoc="1" simplePos="0" relativeHeight="487603712">
                <wp:simplePos x="0" y="0"/>
                <wp:positionH relativeFrom="page">
                  <wp:posOffset>633348</wp:posOffset>
                </wp:positionH>
                <wp:positionV relativeFrom="paragraph">
                  <wp:posOffset>147813</wp:posOffset>
                </wp:positionV>
                <wp:extent cx="6505575" cy="6350"/>
                <wp:effectExtent l="0" t="0" r="0" b="0"/>
                <wp:wrapTopAndBottom/>
                <wp:docPr id="125" name="Group 125"/>
                <wp:cNvGraphicFramePr>
                  <a:graphicFrameLocks/>
                </wp:cNvGraphicFramePr>
                <a:graphic>
                  <a:graphicData uri="http://schemas.microsoft.com/office/word/2010/wordprocessingGroup">
                    <wpg:wgp>
                      <wpg:cNvPr id="125" name="Group 125"/>
                      <wpg:cNvGrpSpPr/>
                      <wpg:grpSpPr>
                        <a:xfrm>
                          <a:off x="0" y="0"/>
                          <a:ext cx="6505575" cy="6350"/>
                          <a:chExt cx="6505575" cy="6350"/>
                        </a:xfrm>
                      </wpg:grpSpPr>
                      <wps:wsp>
                        <wps:cNvPr id="126" name="Graphic 126"/>
                        <wps:cNvSpPr/>
                        <wps:spPr>
                          <a:xfrm>
                            <a:off x="0" y="3175"/>
                            <a:ext cx="6505575" cy="1270"/>
                          </a:xfrm>
                          <a:custGeom>
                            <a:avLst/>
                            <a:gdLst/>
                            <a:ahLst/>
                            <a:cxnLst/>
                            <a:rect l="l" t="t" r="r" b="b"/>
                            <a:pathLst>
                              <a:path w="6505575" h="0">
                                <a:moveTo>
                                  <a:pt x="6505575" y="0"/>
                                </a:moveTo>
                                <a:lnTo>
                                  <a:pt x="0" y="0"/>
                                </a:lnTo>
                              </a:path>
                            </a:pathLst>
                          </a:custGeom>
                          <a:solidFill>
                            <a:srgbClr val="000000"/>
                          </a:solidFill>
                        </wps:spPr>
                        <wps:bodyPr wrap="square" lIns="0" tIns="0" rIns="0" bIns="0" rtlCol="0">
                          <a:prstTxWarp prst="textNoShape">
                            <a:avLst/>
                          </a:prstTxWarp>
                          <a:noAutofit/>
                        </wps:bodyPr>
                      </wps:wsp>
                      <wps:wsp>
                        <wps:cNvPr id="127" name="Graphic 127"/>
                        <wps:cNvSpPr/>
                        <wps:spPr>
                          <a:xfrm>
                            <a:off x="0" y="3175"/>
                            <a:ext cx="6505575" cy="1270"/>
                          </a:xfrm>
                          <a:custGeom>
                            <a:avLst/>
                            <a:gdLst/>
                            <a:ahLst/>
                            <a:cxnLst/>
                            <a:rect l="l" t="t" r="r" b="b"/>
                            <a:pathLst>
                              <a:path w="6505575" h="0">
                                <a:moveTo>
                                  <a:pt x="0" y="0"/>
                                </a:moveTo>
                                <a:lnTo>
                                  <a:pt x="650557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869999pt;margin-top:11.638832pt;width:512.25pt;height:.5pt;mso-position-horizontal-relative:page;mso-position-vertical-relative:paragraph;z-index:-15712768;mso-wrap-distance-left:0;mso-wrap-distance-right:0" id="docshapegroup89" coordorigin="997,233" coordsize="10245,10">
                <v:shape style="position:absolute;left:997;top:237;width:10245;height:2" id="docshape90" coordorigin="997,238" coordsize="10245,0" path="m11242,238l997,238e" filled="true" fillcolor="#000000" stroked="false">
                  <v:path arrowok="t"/>
                  <v:fill opacity="0f" type="solid"/>
                </v:shape>
                <v:line style="position:absolute" from="997,238" to="11242,238" stroked="true" strokeweight=".5pt" strokecolor="#000000">
                  <v:stroke dashstyle="solid"/>
                </v:line>
                <w10:wrap type="topAndBottom"/>
              </v:group>
            </w:pict>
          </mc:Fallback>
        </mc:AlternateContent>
      </w:r>
      <w:bookmarkStart w:name="Balance Sheets" w:id="32"/>
      <w:bookmarkEnd w:id="32"/>
      <w:r>
        <w:rPr/>
      </w:r>
      <w:bookmarkStart w:name="_bookmark4" w:id="33"/>
      <w:bookmarkEnd w:id="33"/>
      <w:r>
        <w:rPr/>
      </w:r>
      <w:r>
        <w:rPr>
          <w:sz w:val="18"/>
        </w:rPr>
        <w:t>September</w:t>
      </w:r>
      <w:r>
        <w:rPr>
          <w:spacing w:val="-1"/>
          <w:sz w:val="18"/>
        </w:rPr>
        <w:t> </w:t>
      </w:r>
      <w:r>
        <w:rPr>
          <w:sz w:val="18"/>
        </w:rPr>
        <w:t>30, </w:t>
      </w:r>
      <w:r>
        <w:rPr>
          <w:spacing w:val="-4"/>
          <w:sz w:val="18"/>
        </w:rPr>
        <w:t>2023</w:t>
      </w:r>
      <w:r>
        <w:rPr>
          <w:sz w:val="18"/>
        </w:rPr>
        <w:tab/>
        <w:t>December</w:t>
      </w:r>
      <w:r>
        <w:rPr>
          <w:spacing w:val="-3"/>
          <w:sz w:val="18"/>
        </w:rPr>
        <w:t> </w:t>
      </w:r>
      <w:r>
        <w:rPr>
          <w:sz w:val="18"/>
        </w:rPr>
        <w:t>31, </w:t>
      </w:r>
      <w:r>
        <w:rPr>
          <w:spacing w:val="-4"/>
          <w:sz w:val="18"/>
        </w:rPr>
        <w:t>2022</w:t>
      </w:r>
    </w:p>
    <w:p>
      <w:pPr>
        <w:spacing w:before="43" w:after="30"/>
        <w:ind w:left="530" w:right="0" w:firstLine="0"/>
        <w:jc w:val="left"/>
        <w:rPr>
          <w:b/>
          <w:sz w:val="18"/>
        </w:rPr>
      </w:pPr>
      <w:r>
        <w:rPr>
          <w:b/>
          <w:spacing w:val="-2"/>
          <w:sz w:val="18"/>
        </w:rPr>
        <w:t>Assets</w:t>
      </w: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4"/>
        <w:gridCol w:w="1678"/>
        <w:gridCol w:w="1564"/>
      </w:tblGrid>
      <w:tr>
        <w:trPr>
          <w:trHeight w:val="285" w:hRule="atLeast"/>
        </w:trPr>
        <w:tc>
          <w:tcPr>
            <w:tcW w:w="7004" w:type="dxa"/>
            <w:shd w:val="clear" w:color="auto" w:fill="CCEDFF"/>
          </w:tcPr>
          <w:p>
            <w:pPr>
              <w:pStyle w:val="TableParagraph"/>
              <w:spacing w:before="48"/>
              <w:ind w:left="277"/>
              <w:rPr>
                <w:sz w:val="18"/>
              </w:rPr>
            </w:pPr>
            <w:r>
              <w:rPr>
                <w:sz w:val="18"/>
              </w:rPr>
              <w:t>Cash</w:t>
            </w:r>
            <w:r>
              <w:rPr>
                <w:spacing w:val="-1"/>
                <w:sz w:val="18"/>
              </w:rPr>
              <w:t> </w:t>
            </w:r>
            <w:r>
              <w:rPr>
                <w:sz w:val="18"/>
              </w:rPr>
              <w:t>and</w:t>
            </w:r>
            <w:r>
              <w:rPr>
                <w:spacing w:val="-1"/>
                <w:sz w:val="18"/>
              </w:rPr>
              <w:t> </w:t>
            </w:r>
            <w:r>
              <w:rPr>
                <w:sz w:val="18"/>
              </w:rPr>
              <w:t>cash </w:t>
            </w:r>
            <w:r>
              <w:rPr>
                <w:spacing w:val="-2"/>
                <w:sz w:val="18"/>
              </w:rPr>
              <w:t>equivalents</w:t>
            </w:r>
          </w:p>
        </w:tc>
        <w:tc>
          <w:tcPr>
            <w:tcW w:w="1678" w:type="dxa"/>
            <w:shd w:val="clear" w:color="auto" w:fill="CCEDFF"/>
          </w:tcPr>
          <w:p>
            <w:pPr>
              <w:pStyle w:val="TableParagraph"/>
              <w:tabs>
                <w:tab w:pos="1051" w:val="left" w:leader="none"/>
              </w:tabs>
              <w:spacing w:before="48"/>
              <w:ind w:left="98"/>
              <w:rPr>
                <w:sz w:val="18"/>
              </w:rPr>
            </w:pPr>
            <w:r>
              <w:rPr>
                <w:spacing w:val="-10"/>
                <w:sz w:val="18"/>
              </w:rPr>
              <w:t>$</w:t>
            </w:r>
            <w:r>
              <w:rPr>
                <w:sz w:val="18"/>
              </w:rPr>
              <w:tab/>
            </w:r>
            <w:r>
              <w:rPr>
                <w:spacing w:val="-2"/>
                <w:sz w:val="18"/>
              </w:rPr>
              <w:t>33,251</w:t>
            </w:r>
          </w:p>
        </w:tc>
        <w:tc>
          <w:tcPr>
            <w:tcW w:w="1564" w:type="dxa"/>
            <w:shd w:val="clear" w:color="auto" w:fill="CCEDFF"/>
          </w:tcPr>
          <w:p>
            <w:pPr>
              <w:pStyle w:val="TableParagraph"/>
              <w:tabs>
                <w:tab w:pos="922" w:val="left" w:leader="none"/>
              </w:tabs>
              <w:spacing w:before="48"/>
              <w:ind w:right="73"/>
              <w:jc w:val="right"/>
              <w:rPr>
                <w:sz w:val="18"/>
              </w:rPr>
            </w:pPr>
            <w:r>
              <w:rPr>
                <w:spacing w:val="-10"/>
                <w:sz w:val="18"/>
              </w:rPr>
              <w:t>$</w:t>
            </w:r>
            <w:r>
              <w:rPr>
                <w:sz w:val="18"/>
              </w:rPr>
              <w:tab/>
            </w:r>
            <w:r>
              <w:rPr>
                <w:spacing w:val="-2"/>
                <w:sz w:val="18"/>
              </w:rPr>
              <w:t>40,195</w:t>
            </w:r>
          </w:p>
        </w:tc>
      </w:tr>
      <w:tr>
        <w:trPr>
          <w:trHeight w:val="615" w:hRule="atLeast"/>
        </w:trPr>
        <w:tc>
          <w:tcPr>
            <w:tcW w:w="7004" w:type="dxa"/>
          </w:tcPr>
          <w:p>
            <w:pPr>
              <w:pStyle w:val="TableParagraph"/>
              <w:spacing w:line="208" w:lineRule="auto" w:before="40"/>
              <w:ind w:left="367" w:hanging="90"/>
              <w:rPr>
                <w:sz w:val="18"/>
              </w:rPr>
            </w:pPr>
            <w:r>
              <w:rPr>
                <w:sz w:val="18"/>
              </w:rPr>
              <w:t>Cash</w:t>
            </w:r>
            <w:r>
              <w:rPr>
                <w:spacing w:val="-4"/>
                <w:sz w:val="18"/>
              </w:rPr>
              <w:t> </w:t>
            </w:r>
            <w:r>
              <w:rPr>
                <w:sz w:val="18"/>
              </w:rPr>
              <w:t>and</w:t>
            </w:r>
            <w:r>
              <w:rPr>
                <w:spacing w:val="-4"/>
                <w:sz w:val="18"/>
              </w:rPr>
              <w:t> </w:t>
            </w:r>
            <w:r>
              <w:rPr>
                <w:sz w:val="18"/>
              </w:rPr>
              <w:t>investments</w:t>
            </w:r>
            <w:r>
              <w:rPr>
                <w:spacing w:val="-5"/>
                <w:sz w:val="18"/>
              </w:rPr>
              <w:t> </w:t>
            </w:r>
            <w:r>
              <w:rPr>
                <w:sz w:val="18"/>
              </w:rPr>
              <w:t>segregated</w:t>
            </w:r>
            <w:r>
              <w:rPr>
                <w:spacing w:val="-4"/>
                <w:sz w:val="18"/>
              </w:rPr>
              <w:t> </w:t>
            </w:r>
            <w:r>
              <w:rPr>
                <w:sz w:val="18"/>
              </w:rPr>
              <w:t>and</w:t>
            </w:r>
            <w:r>
              <w:rPr>
                <w:spacing w:val="-4"/>
                <w:sz w:val="18"/>
              </w:rPr>
              <w:t> </w:t>
            </w:r>
            <w:r>
              <w:rPr>
                <w:sz w:val="18"/>
              </w:rPr>
              <w:t>on</w:t>
            </w:r>
            <w:r>
              <w:rPr>
                <w:spacing w:val="-4"/>
                <w:sz w:val="18"/>
              </w:rPr>
              <w:t> </w:t>
            </w:r>
            <w:r>
              <w:rPr>
                <w:sz w:val="18"/>
              </w:rPr>
              <w:t>deposit</w:t>
            </w:r>
            <w:r>
              <w:rPr>
                <w:spacing w:val="-4"/>
                <w:sz w:val="18"/>
              </w:rPr>
              <w:t> </w:t>
            </w:r>
            <w:r>
              <w:rPr>
                <w:sz w:val="18"/>
              </w:rPr>
              <w:t>for</w:t>
            </w:r>
            <w:r>
              <w:rPr>
                <w:spacing w:val="-4"/>
                <w:sz w:val="18"/>
              </w:rPr>
              <w:t> </w:t>
            </w:r>
            <w:r>
              <w:rPr>
                <w:sz w:val="18"/>
              </w:rPr>
              <w:t>regulatory</w:t>
            </w:r>
            <w:r>
              <w:rPr>
                <w:spacing w:val="-4"/>
                <w:sz w:val="18"/>
              </w:rPr>
              <w:t> </w:t>
            </w:r>
            <w:r>
              <w:rPr>
                <w:sz w:val="18"/>
              </w:rPr>
              <w:t>purposes</w:t>
            </w:r>
            <w:r>
              <w:rPr>
                <w:spacing w:val="-5"/>
                <w:sz w:val="18"/>
              </w:rPr>
              <w:t> </w:t>
            </w:r>
            <w:r>
              <w:rPr>
                <w:sz w:val="18"/>
              </w:rPr>
              <w:t>(including</w:t>
            </w:r>
            <w:r>
              <w:rPr>
                <w:spacing w:val="-4"/>
                <w:sz w:val="18"/>
              </w:rPr>
              <w:t> </w:t>
            </w:r>
            <w:r>
              <w:rPr>
                <w:sz w:val="18"/>
              </w:rPr>
              <w:t>resale agreements of $3,010 and $12,159 at September 30, 2023 and December 31, 2022, </w:t>
            </w:r>
            <w:r>
              <w:rPr>
                <w:spacing w:val="-2"/>
                <w:sz w:val="18"/>
              </w:rPr>
              <w:t>respectively)</w:t>
            </w:r>
          </w:p>
        </w:tc>
        <w:tc>
          <w:tcPr>
            <w:tcW w:w="1678" w:type="dxa"/>
          </w:tcPr>
          <w:p>
            <w:pPr>
              <w:pStyle w:val="TableParagraph"/>
              <w:spacing w:before="171"/>
              <w:rPr>
                <w:b/>
                <w:sz w:val="18"/>
              </w:rPr>
            </w:pPr>
          </w:p>
          <w:p>
            <w:pPr>
              <w:pStyle w:val="TableParagraph"/>
              <w:ind w:right="129"/>
              <w:jc w:val="right"/>
              <w:rPr>
                <w:sz w:val="18"/>
              </w:rPr>
            </w:pPr>
            <w:r>
              <w:rPr>
                <w:spacing w:val="-2"/>
                <w:sz w:val="18"/>
              </w:rPr>
              <w:t>18,576</w:t>
            </w:r>
          </w:p>
        </w:tc>
        <w:tc>
          <w:tcPr>
            <w:tcW w:w="1564" w:type="dxa"/>
          </w:tcPr>
          <w:p>
            <w:pPr>
              <w:pStyle w:val="TableParagraph"/>
              <w:spacing w:before="171"/>
              <w:rPr>
                <w:b/>
                <w:sz w:val="18"/>
              </w:rPr>
            </w:pPr>
          </w:p>
          <w:p>
            <w:pPr>
              <w:pStyle w:val="TableParagraph"/>
              <w:ind w:right="73"/>
              <w:jc w:val="right"/>
              <w:rPr>
                <w:sz w:val="18"/>
              </w:rPr>
            </w:pPr>
            <w:r>
              <w:rPr>
                <w:spacing w:val="-2"/>
                <w:sz w:val="18"/>
              </w:rPr>
              <w:t>42,983</w:t>
            </w:r>
          </w:p>
        </w:tc>
      </w:tr>
      <w:tr>
        <w:trPr>
          <w:trHeight w:val="285" w:hRule="atLeast"/>
        </w:trPr>
        <w:tc>
          <w:tcPr>
            <w:tcW w:w="7004" w:type="dxa"/>
            <w:shd w:val="clear" w:color="auto" w:fill="CCEDFF"/>
          </w:tcPr>
          <w:p>
            <w:pPr>
              <w:pStyle w:val="TableParagraph"/>
              <w:spacing w:before="48"/>
              <w:ind w:left="277"/>
              <w:rPr>
                <w:sz w:val="18"/>
              </w:rPr>
            </w:pPr>
            <w:r>
              <w:rPr>
                <w:sz w:val="18"/>
              </w:rPr>
              <w:t>Receivables</w:t>
            </w:r>
            <w:r>
              <w:rPr>
                <w:spacing w:val="-1"/>
                <w:sz w:val="18"/>
              </w:rPr>
              <w:t> </w:t>
            </w:r>
            <w:r>
              <w:rPr>
                <w:sz w:val="18"/>
              </w:rPr>
              <w:t>from brokerage clients</w:t>
            </w:r>
            <w:r>
              <w:rPr>
                <w:spacing w:val="-1"/>
                <w:sz w:val="18"/>
              </w:rPr>
              <w:t> </w:t>
            </w:r>
            <w:r>
              <w:rPr>
                <w:sz w:val="18"/>
              </w:rPr>
              <w:t>— </w:t>
            </w:r>
            <w:r>
              <w:rPr>
                <w:spacing w:val="-5"/>
                <w:sz w:val="18"/>
              </w:rPr>
              <w:t>net</w:t>
            </w:r>
          </w:p>
        </w:tc>
        <w:tc>
          <w:tcPr>
            <w:tcW w:w="1678" w:type="dxa"/>
            <w:shd w:val="clear" w:color="auto" w:fill="CCEDFF"/>
          </w:tcPr>
          <w:p>
            <w:pPr>
              <w:pStyle w:val="TableParagraph"/>
              <w:spacing w:before="48"/>
              <w:ind w:right="129"/>
              <w:jc w:val="right"/>
              <w:rPr>
                <w:sz w:val="18"/>
              </w:rPr>
            </w:pPr>
            <w:r>
              <w:rPr>
                <w:spacing w:val="-2"/>
                <w:sz w:val="18"/>
              </w:rPr>
              <w:t>69,062</w:t>
            </w:r>
          </w:p>
        </w:tc>
        <w:tc>
          <w:tcPr>
            <w:tcW w:w="1564" w:type="dxa"/>
            <w:shd w:val="clear" w:color="auto" w:fill="CCEDFF"/>
          </w:tcPr>
          <w:p>
            <w:pPr>
              <w:pStyle w:val="TableParagraph"/>
              <w:spacing w:before="48"/>
              <w:ind w:right="73"/>
              <w:jc w:val="right"/>
              <w:rPr>
                <w:sz w:val="18"/>
              </w:rPr>
            </w:pPr>
            <w:r>
              <w:rPr>
                <w:spacing w:val="-2"/>
                <w:sz w:val="18"/>
              </w:rPr>
              <w:t>66,591</w:t>
            </w:r>
          </w:p>
        </w:tc>
      </w:tr>
      <w:tr>
        <w:trPr>
          <w:trHeight w:val="435" w:hRule="atLeast"/>
        </w:trPr>
        <w:tc>
          <w:tcPr>
            <w:tcW w:w="7004" w:type="dxa"/>
          </w:tcPr>
          <w:p>
            <w:pPr>
              <w:pStyle w:val="TableParagraph"/>
              <w:spacing w:line="193" w:lineRule="exact" w:before="18"/>
              <w:ind w:left="277"/>
              <w:rPr>
                <w:sz w:val="18"/>
              </w:rPr>
            </w:pPr>
            <w:r>
              <w:rPr>
                <w:sz w:val="18"/>
              </w:rPr>
              <w:t>Available</w:t>
            </w:r>
            <w:r>
              <w:rPr>
                <w:spacing w:val="-1"/>
                <w:sz w:val="18"/>
              </w:rPr>
              <w:t> </w:t>
            </w:r>
            <w:r>
              <w:rPr>
                <w:sz w:val="18"/>
              </w:rPr>
              <w:t>for sale</w:t>
            </w:r>
            <w:r>
              <w:rPr>
                <w:spacing w:val="-1"/>
                <w:sz w:val="18"/>
              </w:rPr>
              <w:t> </w:t>
            </w:r>
            <w:r>
              <w:rPr>
                <w:sz w:val="18"/>
              </w:rPr>
              <w:t>securities</w:t>
            </w:r>
            <w:r>
              <w:rPr>
                <w:spacing w:val="-1"/>
                <w:sz w:val="18"/>
              </w:rPr>
              <w:t> </w:t>
            </w:r>
            <w:r>
              <w:rPr>
                <w:sz w:val="18"/>
              </w:rPr>
              <w:t>(amortized</w:t>
            </w:r>
            <w:r>
              <w:rPr>
                <w:spacing w:val="-1"/>
                <w:sz w:val="18"/>
              </w:rPr>
              <w:t> </w:t>
            </w:r>
            <w:r>
              <w:rPr>
                <w:sz w:val="18"/>
              </w:rPr>
              <w:t>cost of</w:t>
            </w:r>
            <w:r>
              <w:rPr>
                <w:spacing w:val="-3"/>
                <w:sz w:val="18"/>
              </w:rPr>
              <w:t> </w:t>
            </w:r>
            <w:r>
              <w:rPr>
                <w:sz w:val="18"/>
              </w:rPr>
              <w:t>$122,072</w:t>
            </w:r>
            <w:r>
              <w:rPr>
                <w:spacing w:val="-1"/>
                <w:sz w:val="18"/>
              </w:rPr>
              <w:t> </w:t>
            </w:r>
            <w:r>
              <w:rPr>
                <w:sz w:val="18"/>
              </w:rPr>
              <w:t>at</w:t>
            </w:r>
            <w:r>
              <w:rPr>
                <w:spacing w:val="-1"/>
                <w:sz w:val="18"/>
              </w:rPr>
              <w:t> </w:t>
            </w:r>
            <w:r>
              <w:rPr>
                <w:sz w:val="18"/>
              </w:rPr>
              <w:t>September</w:t>
            </w:r>
            <w:r>
              <w:rPr>
                <w:spacing w:val="-1"/>
                <w:sz w:val="18"/>
              </w:rPr>
              <w:t> </w:t>
            </w:r>
            <w:r>
              <w:rPr>
                <w:sz w:val="18"/>
              </w:rPr>
              <w:t>30, 2023</w:t>
            </w:r>
            <w:r>
              <w:rPr>
                <w:spacing w:val="-1"/>
                <w:sz w:val="18"/>
              </w:rPr>
              <w:t> </w:t>
            </w:r>
            <w:r>
              <w:rPr>
                <w:spacing w:val="-5"/>
                <w:sz w:val="18"/>
              </w:rPr>
              <w:t>and</w:t>
            </w:r>
          </w:p>
          <w:p>
            <w:pPr>
              <w:pStyle w:val="TableParagraph"/>
              <w:spacing w:line="193" w:lineRule="exact"/>
              <w:ind w:left="367"/>
              <w:rPr>
                <w:sz w:val="18"/>
              </w:rPr>
            </w:pPr>
            <w:r>
              <w:rPr>
                <w:sz w:val="18"/>
              </w:rPr>
              <w:t>$160,162</w:t>
            </w:r>
            <w:r>
              <w:rPr>
                <w:spacing w:val="-1"/>
                <w:sz w:val="18"/>
              </w:rPr>
              <w:t> </w:t>
            </w:r>
            <w:r>
              <w:rPr>
                <w:sz w:val="18"/>
              </w:rPr>
              <w:t>at</w:t>
            </w:r>
            <w:r>
              <w:rPr>
                <w:spacing w:val="-1"/>
                <w:sz w:val="18"/>
              </w:rPr>
              <w:t> </w:t>
            </w:r>
            <w:r>
              <w:rPr>
                <w:sz w:val="18"/>
              </w:rPr>
              <w:t>December 31,</w:t>
            </w:r>
            <w:r>
              <w:rPr>
                <w:spacing w:val="-1"/>
                <w:sz w:val="18"/>
              </w:rPr>
              <w:t> </w:t>
            </w:r>
            <w:r>
              <w:rPr>
                <w:sz w:val="18"/>
              </w:rPr>
              <w:t>2022; including</w:t>
            </w:r>
            <w:r>
              <w:rPr>
                <w:spacing w:val="-1"/>
                <w:sz w:val="18"/>
              </w:rPr>
              <w:t> </w:t>
            </w:r>
            <w:r>
              <w:rPr>
                <w:sz w:val="18"/>
              </w:rPr>
              <w:t>assets</w:t>
            </w:r>
            <w:r>
              <w:rPr>
                <w:spacing w:val="-1"/>
                <w:sz w:val="18"/>
              </w:rPr>
              <w:t> </w:t>
            </w:r>
            <w:r>
              <w:rPr>
                <w:sz w:val="18"/>
              </w:rPr>
              <w:t>pledged of</w:t>
            </w:r>
            <w:r>
              <w:rPr>
                <w:spacing w:val="-2"/>
                <w:sz w:val="18"/>
              </w:rPr>
              <w:t> </w:t>
            </w:r>
            <w:r>
              <w:rPr>
                <w:sz w:val="18"/>
              </w:rPr>
              <w:t>$1,773</w:t>
            </w:r>
            <w:r>
              <w:rPr>
                <w:spacing w:val="-1"/>
                <w:sz w:val="18"/>
              </w:rPr>
              <w:t> </w:t>
            </w:r>
            <w:r>
              <w:rPr>
                <w:sz w:val="18"/>
              </w:rPr>
              <w:t>and</w:t>
            </w:r>
            <w:r>
              <w:rPr>
                <w:spacing w:val="-1"/>
                <w:sz w:val="18"/>
              </w:rPr>
              <w:t> </w:t>
            </w:r>
            <w:r>
              <w:rPr>
                <w:sz w:val="18"/>
              </w:rPr>
              <w:t>$41, </w:t>
            </w:r>
            <w:r>
              <w:rPr>
                <w:spacing w:val="-2"/>
                <w:sz w:val="18"/>
              </w:rPr>
              <w:t>respectively)</w:t>
            </w:r>
          </w:p>
        </w:tc>
        <w:tc>
          <w:tcPr>
            <w:tcW w:w="1678" w:type="dxa"/>
          </w:tcPr>
          <w:p>
            <w:pPr>
              <w:pStyle w:val="TableParagraph"/>
              <w:spacing w:before="198"/>
              <w:ind w:right="129"/>
              <w:jc w:val="right"/>
              <w:rPr>
                <w:sz w:val="18"/>
              </w:rPr>
            </w:pPr>
            <w:r>
              <w:rPr>
                <w:spacing w:val="-2"/>
                <w:sz w:val="18"/>
              </w:rPr>
              <w:t>110,272</w:t>
            </w:r>
          </w:p>
        </w:tc>
        <w:tc>
          <w:tcPr>
            <w:tcW w:w="1564" w:type="dxa"/>
          </w:tcPr>
          <w:p>
            <w:pPr>
              <w:pStyle w:val="TableParagraph"/>
              <w:spacing w:before="198"/>
              <w:ind w:right="73"/>
              <w:jc w:val="right"/>
              <w:rPr>
                <w:sz w:val="18"/>
              </w:rPr>
            </w:pPr>
            <w:r>
              <w:rPr>
                <w:spacing w:val="-2"/>
                <w:sz w:val="18"/>
              </w:rPr>
              <w:t>147,871</w:t>
            </w:r>
          </w:p>
        </w:tc>
      </w:tr>
      <w:tr>
        <w:trPr>
          <w:trHeight w:val="465" w:hRule="atLeast"/>
        </w:trPr>
        <w:tc>
          <w:tcPr>
            <w:tcW w:w="7004" w:type="dxa"/>
            <w:shd w:val="clear" w:color="auto" w:fill="CCEDFF"/>
          </w:tcPr>
          <w:p>
            <w:pPr>
              <w:pStyle w:val="TableParagraph"/>
              <w:spacing w:line="249" w:lineRule="auto" w:before="12"/>
              <w:ind w:left="322" w:right="423" w:hanging="45"/>
              <w:rPr>
                <w:sz w:val="18"/>
              </w:rPr>
            </w:pPr>
            <w:r>
              <w:rPr>
                <w:sz w:val="18"/>
              </w:rPr>
              <w:t>Held</w:t>
            </w:r>
            <w:r>
              <w:rPr>
                <w:spacing w:val="-3"/>
                <w:sz w:val="18"/>
              </w:rPr>
              <w:t> </w:t>
            </w:r>
            <w:r>
              <w:rPr>
                <w:sz w:val="18"/>
              </w:rPr>
              <w:t>to</w:t>
            </w:r>
            <w:r>
              <w:rPr>
                <w:spacing w:val="-3"/>
                <w:sz w:val="18"/>
              </w:rPr>
              <w:t> </w:t>
            </w:r>
            <w:r>
              <w:rPr>
                <w:sz w:val="18"/>
              </w:rPr>
              <w:t>maturity</w:t>
            </w:r>
            <w:r>
              <w:rPr>
                <w:spacing w:val="-3"/>
                <w:sz w:val="18"/>
              </w:rPr>
              <w:t> </w:t>
            </w:r>
            <w:r>
              <w:rPr>
                <w:sz w:val="18"/>
              </w:rPr>
              <w:t>securities</w:t>
            </w:r>
            <w:r>
              <w:rPr>
                <w:spacing w:val="-4"/>
                <w:sz w:val="18"/>
              </w:rPr>
              <w:t> </w:t>
            </w:r>
            <w:r>
              <w:rPr>
                <w:sz w:val="18"/>
              </w:rPr>
              <w:t>(including</w:t>
            </w:r>
            <w:r>
              <w:rPr>
                <w:spacing w:val="-3"/>
                <w:sz w:val="18"/>
              </w:rPr>
              <w:t> </w:t>
            </w:r>
            <w:r>
              <w:rPr>
                <w:sz w:val="18"/>
              </w:rPr>
              <w:t>assets</w:t>
            </w:r>
            <w:r>
              <w:rPr>
                <w:spacing w:val="-4"/>
                <w:sz w:val="18"/>
              </w:rPr>
              <w:t> </w:t>
            </w:r>
            <w:r>
              <w:rPr>
                <w:sz w:val="18"/>
              </w:rPr>
              <w:t>pledged</w:t>
            </w:r>
            <w:r>
              <w:rPr>
                <w:spacing w:val="-3"/>
                <w:sz w:val="18"/>
              </w:rPr>
              <w:t> </w:t>
            </w:r>
            <w:r>
              <w:rPr>
                <w:sz w:val="18"/>
              </w:rPr>
              <w:t>of</w:t>
            </w:r>
            <w:r>
              <w:rPr>
                <w:spacing w:val="-6"/>
                <w:sz w:val="18"/>
              </w:rPr>
              <w:t> </w:t>
            </w:r>
            <w:r>
              <w:rPr>
                <w:sz w:val="18"/>
              </w:rPr>
              <w:t>$5,346</w:t>
            </w:r>
            <w:r>
              <w:rPr>
                <w:spacing w:val="-3"/>
                <w:sz w:val="18"/>
              </w:rPr>
              <w:t> </w:t>
            </w:r>
            <w:r>
              <w:rPr>
                <w:sz w:val="18"/>
              </w:rPr>
              <w:t>at</w:t>
            </w:r>
            <w:r>
              <w:rPr>
                <w:spacing w:val="-4"/>
                <w:sz w:val="18"/>
              </w:rPr>
              <w:t> </w:t>
            </w:r>
            <w:r>
              <w:rPr>
                <w:sz w:val="18"/>
              </w:rPr>
              <w:t>September</w:t>
            </w:r>
            <w:r>
              <w:rPr>
                <w:spacing w:val="-3"/>
                <w:sz w:val="18"/>
              </w:rPr>
              <w:t> </w:t>
            </w:r>
            <w:r>
              <w:rPr>
                <w:sz w:val="18"/>
              </w:rPr>
              <w:t>30,</w:t>
            </w:r>
            <w:r>
              <w:rPr>
                <w:spacing w:val="-3"/>
                <w:sz w:val="18"/>
              </w:rPr>
              <w:t> </w:t>
            </w:r>
            <w:r>
              <w:rPr>
                <w:sz w:val="18"/>
              </w:rPr>
              <w:t>2023 and $4,522 at December 31, 2022)</w:t>
            </w:r>
          </w:p>
        </w:tc>
        <w:tc>
          <w:tcPr>
            <w:tcW w:w="1678" w:type="dxa"/>
            <w:shd w:val="clear" w:color="auto" w:fill="CCEDFF"/>
          </w:tcPr>
          <w:p>
            <w:pPr>
              <w:pStyle w:val="TableParagraph"/>
              <w:spacing w:before="21"/>
              <w:rPr>
                <w:b/>
                <w:sz w:val="18"/>
              </w:rPr>
            </w:pPr>
          </w:p>
          <w:p>
            <w:pPr>
              <w:pStyle w:val="TableParagraph"/>
              <w:ind w:right="129"/>
              <w:jc w:val="right"/>
              <w:rPr>
                <w:sz w:val="18"/>
              </w:rPr>
            </w:pPr>
            <w:r>
              <w:rPr>
                <w:spacing w:val="-2"/>
                <w:sz w:val="18"/>
              </w:rPr>
              <w:t>162,452</w:t>
            </w:r>
          </w:p>
        </w:tc>
        <w:tc>
          <w:tcPr>
            <w:tcW w:w="1564" w:type="dxa"/>
            <w:shd w:val="clear" w:color="auto" w:fill="CCEDFF"/>
          </w:tcPr>
          <w:p>
            <w:pPr>
              <w:pStyle w:val="TableParagraph"/>
              <w:spacing w:before="21"/>
              <w:rPr>
                <w:b/>
                <w:sz w:val="18"/>
              </w:rPr>
            </w:pPr>
          </w:p>
          <w:p>
            <w:pPr>
              <w:pStyle w:val="TableParagraph"/>
              <w:ind w:right="73"/>
              <w:jc w:val="right"/>
              <w:rPr>
                <w:sz w:val="18"/>
              </w:rPr>
            </w:pPr>
            <w:r>
              <w:rPr>
                <w:spacing w:val="-2"/>
                <w:sz w:val="18"/>
              </w:rPr>
              <w:t>173,074</w:t>
            </w:r>
          </w:p>
        </w:tc>
      </w:tr>
      <w:tr>
        <w:trPr>
          <w:trHeight w:val="285" w:hRule="atLeast"/>
        </w:trPr>
        <w:tc>
          <w:tcPr>
            <w:tcW w:w="7004" w:type="dxa"/>
          </w:tcPr>
          <w:p>
            <w:pPr>
              <w:pStyle w:val="TableParagraph"/>
              <w:spacing w:before="48"/>
              <w:ind w:left="277"/>
              <w:rPr>
                <w:sz w:val="18"/>
              </w:rPr>
            </w:pPr>
            <w:r>
              <w:rPr>
                <w:sz w:val="18"/>
              </w:rPr>
              <w:t>Bank loans</w:t>
            </w:r>
            <w:r>
              <w:rPr>
                <w:spacing w:val="-1"/>
                <w:sz w:val="18"/>
              </w:rPr>
              <w:t> </w:t>
            </w:r>
            <w:r>
              <w:rPr>
                <w:sz w:val="18"/>
              </w:rPr>
              <w:t>— </w:t>
            </w:r>
            <w:r>
              <w:rPr>
                <w:spacing w:val="-5"/>
                <w:sz w:val="18"/>
              </w:rPr>
              <w:t>net</w:t>
            </w:r>
          </w:p>
        </w:tc>
        <w:tc>
          <w:tcPr>
            <w:tcW w:w="1678" w:type="dxa"/>
          </w:tcPr>
          <w:p>
            <w:pPr>
              <w:pStyle w:val="TableParagraph"/>
              <w:spacing w:before="48"/>
              <w:ind w:right="129"/>
              <w:jc w:val="right"/>
              <w:rPr>
                <w:sz w:val="18"/>
              </w:rPr>
            </w:pPr>
            <w:r>
              <w:rPr>
                <w:spacing w:val="-2"/>
                <w:sz w:val="18"/>
              </w:rPr>
              <w:t>40,327</w:t>
            </w:r>
          </w:p>
        </w:tc>
        <w:tc>
          <w:tcPr>
            <w:tcW w:w="1564" w:type="dxa"/>
          </w:tcPr>
          <w:p>
            <w:pPr>
              <w:pStyle w:val="TableParagraph"/>
              <w:spacing w:before="48"/>
              <w:ind w:right="73"/>
              <w:jc w:val="right"/>
              <w:rPr>
                <w:sz w:val="18"/>
              </w:rPr>
            </w:pPr>
            <w:r>
              <w:rPr>
                <w:spacing w:val="-2"/>
                <w:sz w:val="18"/>
              </w:rPr>
              <w:t>40,505</w:t>
            </w:r>
          </w:p>
        </w:tc>
      </w:tr>
      <w:tr>
        <w:trPr>
          <w:trHeight w:val="285" w:hRule="atLeast"/>
        </w:trPr>
        <w:tc>
          <w:tcPr>
            <w:tcW w:w="7004" w:type="dxa"/>
            <w:shd w:val="clear" w:color="auto" w:fill="CCEDFF"/>
          </w:tcPr>
          <w:p>
            <w:pPr>
              <w:pStyle w:val="TableParagraph"/>
              <w:spacing w:before="48"/>
              <w:ind w:left="277"/>
              <w:rPr>
                <w:sz w:val="18"/>
              </w:rPr>
            </w:pPr>
            <w:r>
              <w:rPr>
                <w:sz w:val="18"/>
              </w:rPr>
              <w:t>Equipment,</w:t>
            </w:r>
            <w:r>
              <w:rPr>
                <w:spacing w:val="-1"/>
                <w:sz w:val="18"/>
              </w:rPr>
              <w:t> </w:t>
            </w:r>
            <w:r>
              <w:rPr>
                <w:sz w:val="18"/>
              </w:rPr>
              <w:t>office facilities, and property — </w:t>
            </w:r>
            <w:r>
              <w:rPr>
                <w:spacing w:val="-5"/>
                <w:sz w:val="18"/>
              </w:rPr>
              <w:t>net</w:t>
            </w:r>
          </w:p>
        </w:tc>
        <w:tc>
          <w:tcPr>
            <w:tcW w:w="1678" w:type="dxa"/>
            <w:shd w:val="clear" w:color="auto" w:fill="CCEDFF"/>
          </w:tcPr>
          <w:p>
            <w:pPr>
              <w:pStyle w:val="TableParagraph"/>
              <w:spacing w:before="48"/>
              <w:ind w:right="129"/>
              <w:jc w:val="right"/>
              <w:rPr>
                <w:sz w:val="18"/>
              </w:rPr>
            </w:pPr>
            <w:r>
              <w:rPr>
                <w:spacing w:val="-2"/>
                <w:sz w:val="18"/>
              </w:rPr>
              <w:t>3,730</w:t>
            </w:r>
          </w:p>
        </w:tc>
        <w:tc>
          <w:tcPr>
            <w:tcW w:w="1564" w:type="dxa"/>
            <w:shd w:val="clear" w:color="auto" w:fill="CCEDFF"/>
          </w:tcPr>
          <w:p>
            <w:pPr>
              <w:pStyle w:val="TableParagraph"/>
              <w:spacing w:before="48"/>
              <w:ind w:right="73"/>
              <w:jc w:val="right"/>
              <w:rPr>
                <w:sz w:val="18"/>
              </w:rPr>
            </w:pPr>
            <w:r>
              <w:rPr>
                <w:spacing w:val="-2"/>
                <w:sz w:val="18"/>
              </w:rPr>
              <w:t>3,714</w:t>
            </w:r>
          </w:p>
        </w:tc>
      </w:tr>
      <w:tr>
        <w:trPr>
          <w:trHeight w:val="285" w:hRule="atLeast"/>
        </w:trPr>
        <w:tc>
          <w:tcPr>
            <w:tcW w:w="7004" w:type="dxa"/>
          </w:tcPr>
          <w:p>
            <w:pPr>
              <w:pStyle w:val="TableParagraph"/>
              <w:spacing w:before="48"/>
              <w:ind w:left="277"/>
              <w:rPr>
                <w:sz w:val="18"/>
              </w:rPr>
            </w:pPr>
            <w:r>
              <w:rPr>
                <w:spacing w:val="-2"/>
                <w:sz w:val="18"/>
              </w:rPr>
              <w:t>Goodwill</w:t>
            </w:r>
          </w:p>
        </w:tc>
        <w:tc>
          <w:tcPr>
            <w:tcW w:w="1678" w:type="dxa"/>
          </w:tcPr>
          <w:p>
            <w:pPr>
              <w:pStyle w:val="TableParagraph"/>
              <w:spacing w:before="48"/>
              <w:ind w:right="129"/>
              <w:jc w:val="right"/>
              <w:rPr>
                <w:sz w:val="18"/>
              </w:rPr>
            </w:pPr>
            <w:r>
              <w:rPr>
                <w:spacing w:val="-2"/>
                <w:sz w:val="18"/>
              </w:rPr>
              <w:t>11,951</w:t>
            </w:r>
          </w:p>
        </w:tc>
        <w:tc>
          <w:tcPr>
            <w:tcW w:w="1564" w:type="dxa"/>
          </w:tcPr>
          <w:p>
            <w:pPr>
              <w:pStyle w:val="TableParagraph"/>
              <w:spacing w:before="48"/>
              <w:ind w:right="73"/>
              <w:jc w:val="right"/>
              <w:rPr>
                <w:sz w:val="18"/>
              </w:rPr>
            </w:pPr>
            <w:r>
              <w:rPr>
                <w:spacing w:val="-2"/>
                <w:sz w:val="18"/>
              </w:rPr>
              <w:t>11,951</w:t>
            </w:r>
          </w:p>
        </w:tc>
      </w:tr>
      <w:tr>
        <w:trPr>
          <w:trHeight w:val="285" w:hRule="atLeast"/>
        </w:trPr>
        <w:tc>
          <w:tcPr>
            <w:tcW w:w="7004" w:type="dxa"/>
            <w:shd w:val="clear" w:color="auto" w:fill="CCEDFF"/>
          </w:tcPr>
          <w:p>
            <w:pPr>
              <w:pStyle w:val="TableParagraph"/>
              <w:spacing w:before="48"/>
              <w:ind w:left="277"/>
              <w:rPr>
                <w:sz w:val="18"/>
              </w:rPr>
            </w:pPr>
            <w:r>
              <w:rPr>
                <w:sz w:val="18"/>
              </w:rPr>
              <w:t>Acquired</w:t>
            </w:r>
            <w:r>
              <w:rPr>
                <w:spacing w:val="-1"/>
                <w:sz w:val="18"/>
              </w:rPr>
              <w:t> </w:t>
            </w:r>
            <w:r>
              <w:rPr>
                <w:sz w:val="18"/>
              </w:rPr>
              <w:t>intangible</w:t>
            </w:r>
            <w:r>
              <w:rPr>
                <w:spacing w:val="-1"/>
                <w:sz w:val="18"/>
              </w:rPr>
              <w:t> </w:t>
            </w:r>
            <w:r>
              <w:rPr>
                <w:sz w:val="18"/>
              </w:rPr>
              <w:t>assets</w:t>
            </w:r>
            <w:r>
              <w:rPr>
                <w:spacing w:val="-2"/>
                <w:sz w:val="18"/>
              </w:rPr>
              <w:t> </w:t>
            </w:r>
            <w:r>
              <w:rPr>
                <w:sz w:val="18"/>
              </w:rPr>
              <w:t>— </w:t>
            </w:r>
            <w:r>
              <w:rPr>
                <w:spacing w:val="-5"/>
                <w:sz w:val="18"/>
              </w:rPr>
              <w:t>net</w:t>
            </w:r>
          </w:p>
        </w:tc>
        <w:tc>
          <w:tcPr>
            <w:tcW w:w="1678" w:type="dxa"/>
            <w:shd w:val="clear" w:color="auto" w:fill="CCEDFF"/>
          </w:tcPr>
          <w:p>
            <w:pPr>
              <w:pStyle w:val="TableParagraph"/>
              <w:spacing w:before="48"/>
              <w:ind w:right="129"/>
              <w:jc w:val="right"/>
              <w:rPr>
                <w:sz w:val="18"/>
              </w:rPr>
            </w:pPr>
            <w:r>
              <w:rPr>
                <w:spacing w:val="-2"/>
                <w:sz w:val="18"/>
              </w:rPr>
              <w:t>8,390</w:t>
            </w:r>
          </w:p>
        </w:tc>
        <w:tc>
          <w:tcPr>
            <w:tcW w:w="1564" w:type="dxa"/>
            <w:shd w:val="clear" w:color="auto" w:fill="CCEDFF"/>
          </w:tcPr>
          <w:p>
            <w:pPr>
              <w:pStyle w:val="TableParagraph"/>
              <w:spacing w:before="48"/>
              <w:ind w:right="73"/>
              <w:jc w:val="right"/>
              <w:rPr>
                <w:sz w:val="18"/>
              </w:rPr>
            </w:pPr>
            <w:r>
              <w:rPr>
                <w:spacing w:val="-2"/>
                <w:sz w:val="18"/>
              </w:rPr>
              <w:t>8,789</w:t>
            </w:r>
          </w:p>
        </w:tc>
      </w:tr>
      <w:tr>
        <w:trPr>
          <w:trHeight w:val="280" w:hRule="atLeast"/>
        </w:trPr>
        <w:tc>
          <w:tcPr>
            <w:tcW w:w="7004" w:type="dxa"/>
            <w:tcBorders>
              <w:bottom w:val="single" w:sz="4" w:space="0" w:color="000000"/>
            </w:tcBorders>
          </w:tcPr>
          <w:p>
            <w:pPr>
              <w:pStyle w:val="TableParagraph"/>
              <w:spacing w:before="48"/>
              <w:ind w:left="277"/>
              <w:rPr>
                <w:sz w:val="18"/>
              </w:rPr>
            </w:pPr>
            <w:r>
              <w:rPr>
                <w:sz w:val="18"/>
              </w:rPr>
              <w:t>Other</w:t>
            </w:r>
            <w:r>
              <w:rPr>
                <w:spacing w:val="-1"/>
                <w:sz w:val="18"/>
              </w:rPr>
              <w:t> </w:t>
            </w:r>
            <w:r>
              <w:rPr>
                <w:spacing w:val="-2"/>
                <w:sz w:val="18"/>
              </w:rPr>
              <w:t>assets</w:t>
            </w:r>
          </w:p>
        </w:tc>
        <w:tc>
          <w:tcPr>
            <w:tcW w:w="1678" w:type="dxa"/>
            <w:tcBorders>
              <w:bottom w:val="single" w:sz="4" w:space="0" w:color="000000"/>
            </w:tcBorders>
          </w:tcPr>
          <w:p>
            <w:pPr>
              <w:pStyle w:val="TableParagraph"/>
              <w:spacing w:before="48"/>
              <w:ind w:right="129"/>
              <w:jc w:val="right"/>
              <w:rPr>
                <w:sz w:val="18"/>
              </w:rPr>
            </w:pPr>
            <w:r>
              <w:rPr>
                <w:spacing w:val="-2"/>
                <w:sz w:val="18"/>
              </w:rPr>
              <w:t>17,193</w:t>
            </w:r>
          </w:p>
        </w:tc>
        <w:tc>
          <w:tcPr>
            <w:tcW w:w="1564" w:type="dxa"/>
            <w:tcBorders>
              <w:bottom w:val="single" w:sz="4" w:space="0" w:color="000000"/>
            </w:tcBorders>
          </w:tcPr>
          <w:p>
            <w:pPr>
              <w:pStyle w:val="TableParagraph"/>
              <w:spacing w:before="48"/>
              <w:ind w:right="73"/>
              <w:jc w:val="right"/>
              <w:rPr>
                <w:sz w:val="18"/>
              </w:rPr>
            </w:pPr>
            <w:r>
              <w:rPr>
                <w:spacing w:val="-2"/>
                <w:sz w:val="18"/>
              </w:rPr>
              <w:t>16,099</w:t>
            </w:r>
          </w:p>
        </w:tc>
      </w:tr>
      <w:tr>
        <w:trPr>
          <w:trHeight w:val="250" w:hRule="atLeast"/>
        </w:trPr>
        <w:tc>
          <w:tcPr>
            <w:tcW w:w="7004" w:type="dxa"/>
            <w:tcBorders>
              <w:top w:val="single" w:sz="4" w:space="0" w:color="000000"/>
              <w:bottom w:val="double" w:sz="8" w:space="0" w:color="000000"/>
            </w:tcBorders>
            <w:shd w:val="clear" w:color="auto" w:fill="CCEDFF"/>
          </w:tcPr>
          <w:p>
            <w:pPr>
              <w:pStyle w:val="TableParagraph"/>
              <w:spacing w:line="187" w:lineRule="exact" w:before="43"/>
              <w:ind w:left="652"/>
              <w:rPr>
                <w:b/>
                <w:sz w:val="18"/>
              </w:rPr>
            </w:pPr>
            <w:r>
              <w:rPr>
                <w:b/>
                <w:sz w:val="18"/>
              </w:rPr>
              <w:t>Total</w:t>
            </w:r>
            <w:r>
              <w:rPr>
                <w:b/>
                <w:spacing w:val="-2"/>
                <w:sz w:val="18"/>
              </w:rPr>
              <w:t> assets</w:t>
            </w:r>
          </w:p>
        </w:tc>
        <w:tc>
          <w:tcPr>
            <w:tcW w:w="1678" w:type="dxa"/>
            <w:tcBorders>
              <w:top w:val="single" w:sz="4" w:space="0" w:color="000000"/>
              <w:bottom w:val="double" w:sz="8" w:space="0" w:color="000000"/>
            </w:tcBorders>
            <w:shd w:val="clear" w:color="auto" w:fill="CCEDFF"/>
          </w:tcPr>
          <w:p>
            <w:pPr>
              <w:pStyle w:val="TableParagraph"/>
              <w:tabs>
                <w:tab w:pos="961" w:val="left" w:leader="none"/>
              </w:tabs>
              <w:spacing w:line="187" w:lineRule="exact" w:before="43"/>
              <w:ind w:left="98"/>
              <w:rPr>
                <w:sz w:val="18"/>
              </w:rPr>
            </w:pPr>
            <w:r>
              <w:rPr>
                <w:spacing w:val="-10"/>
                <w:sz w:val="18"/>
              </w:rPr>
              <w:t>$</w:t>
            </w:r>
            <w:r>
              <w:rPr>
                <w:sz w:val="18"/>
              </w:rPr>
              <w:tab/>
            </w:r>
            <w:r>
              <w:rPr>
                <w:spacing w:val="-2"/>
                <w:sz w:val="18"/>
              </w:rPr>
              <w:t>475,204</w:t>
            </w:r>
          </w:p>
        </w:tc>
        <w:tc>
          <w:tcPr>
            <w:tcW w:w="1564" w:type="dxa"/>
            <w:tcBorders>
              <w:top w:val="single" w:sz="4" w:space="0" w:color="000000"/>
              <w:bottom w:val="double" w:sz="8" w:space="0" w:color="000000"/>
            </w:tcBorders>
            <w:shd w:val="clear" w:color="auto" w:fill="CCEDFF"/>
          </w:tcPr>
          <w:p>
            <w:pPr>
              <w:pStyle w:val="TableParagraph"/>
              <w:tabs>
                <w:tab w:pos="832" w:val="left" w:leader="none"/>
              </w:tabs>
              <w:spacing w:line="187" w:lineRule="exact" w:before="43"/>
              <w:ind w:right="73"/>
              <w:jc w:val="right"/>
              <w:rPr>
                <w:sz w:val="18"/>
              </w:rPr>
            </w:pPr>
            <w:r>
              <w:rPr>
                <w:spacing w:val="-10"/>
                <w:sz w:val="18"/>
              </w:rPr>
              <w:t>$</w:t>
            </w:r>
            <w:r>
              <w:rPr>
                <w:sz w:val="18"/>
              </w:rPr>
              <w:tab/>
            </w:r>
            <w:r>
              <w:rPr>
                <w:spacing w:val="-2"/>
                <w:sz w:val="18"/>
              </w:rPr>
              <w:t>551,772</w:t>
            </w:r>
          </w:p>
        </w:tc>
      </w:tr>
      <w:tr>
        <w:trPr>
          <w:trHeight w:val="255" w:hRule="atLeast"/>
        </w:trPr>
        <w:tc>
          <w:tcPr>
            <w:tcW w:w="7004" w:type="dxa"/>
            <w:tcBorders>
              <w:top w:val="double" w:sz="8" w:space="0" w:color="000000"/>
            </w:tcBorders>
          </w:tcPr>
          <w:p>
            <w:pPr>
              <w:pStyle w:val="TableParagraph"/>
              <w:spacing w:before="18"/>
              <w:ind w:left="52"/>
              <w:rPr>
                <w:b/>
                <w:sz w:val="18"/>
              </w:rPr>
            </w:pPr>
            <w:r>
              <w:rPr>
                <w:b/>
                <w:sz w:val="18"/>
              </w:rPr>
              <w:t>Liabilities</w:t>
            </w:r>
            <w:r>
              <w:rPr>
                <w:b/>
                <w:spacing w:val="-4"/>
                <w:sz w:val="18"/>
              </w:rPr>
              <w:t> </w:t>
            </w:r>
            <w:r>
              <w:rPr>
                <w:b/>
                <w:sz w:val="18"/>
              </w:rPr>
              <w:t>and</w:t>
            </w:r>
            <w:r>
              <w:rPr>
                <w:b/>
                <w:spacing w:val="-3"/>
                <w:sz w:val="18"/>
              </w:rPr>
              <w:t> </w:t>
            </w:r>
            <w:r>
              <w:rPr>
                <w:b/>
                <w:sz w:val="18"/>
              </w:rPr>
              <w:t>Stockholders’</w:t>
            </w:r>
            <w:r>
              <w:rPr>
                <w:b/>
                <w:spacing w:val="-2"/>
                <w:sz w:val="18"/>
              </w:rPr>
              <w:t> Equity</w:t>
            </w:r>
          </w:p>
        </w:tc>
        <w:tc>
          <w:tcPr>
            <w:tcW w:w="1678" w:type="dxa"/>
            <w:tcBorders>
              <w:top w:val="double" w:sz="8" w:space="0" w:color="000000"/>
            </w:tcBorders>
          </w:tcPr>
          <w:p>
            <w:pPr>
              <w:pStyle w:val="TableParagraph"/>
              <w:rPr>
                <w:sz w:val="16"/>
              </w:rPr>
            </w:pPr>
          </w:p>
        </w:tc>
        <w:tc>
          <w:tcPr>
            <w:tcW w:w="1564" w:type="dxa"/>
            <w:tcBorders>
              <w:top w:val="double" w:sz="8" w:space="0" w:color="000000"/>
            </w:tcBorders>
          </w:tcPr>
          <w:p>
            <w:pPr>
              <w:pStyle w:val="TableParagraph"/>
              <w:rPr>
                <w:sz w:val="16"/>
              </w:rPr>
            </w:pPr>
          </w:p>
        </w:tc>
      </w:tr>
      <w:tr>
        <w:trPr>
          <w:trHeight w:val="285" w:hRule="atLeast"/>
        </w:trPr>
        <w:tc>
          <w:tcPr>
            <w:tcW w:w="7004" w:type="dxa"/>
            <w:shd w:val="clear" w:color="auto" w:fill="CCEDFF"/>
          </w:tcPr>
          <w:p>
            <w:pPr>
              <w:pStyle w:val="TableParagraph"/>
              <w:spacing w:before="48"/>
              <w:ind w:left="277"/>
              <w:rPr>
                <w:sz w:val="18"/>
              </w:rPr>
            </w:pPr>
            <w:r>
              <w:rPr>
                <w:sz w:val="18"/>
              </w:rPr>
              <w:t>Bank </w:t>
            </w:r>
            <w:r>
              <w:rPr>
                <w:spacing w:val="-2"/>
                <w:sz w:val="18"/>
              </w:rPr>
              <w:t>deposits</w:t>
            </w:r>
          </w:p>
        </w:tc>
        <w:tc>
          <w:tcPr>
            <w:tcW w:w="1678" w:type="dxa"/>
            <w:shd w:val="clear" w:color="auto" w:fill="CCEDFF"/>
          </w:tcPr>
          <w:p>
            <w:pPr>
              <w:pStyle w:val="TableParagraph"/>
              <w:tabs>
                <w:tab w:pos="961" w:val="left" w:leader="none"/>
              </w:tabs>
              <w:spacing w:before="48"/>
              <w:ind w:left="98"/>
              <w:rPr>
                <w:sz w:val="18"/>
              </w:rPr>
            </w:pPr>
            <w:r>
              <w:rPr>
                <w:spacing w:val="-10"/>
                <w:sz w:val="18"/>
              </w:rPr>
              <w:t>$</w:t>
            </w:r>
            <w:r>
              <w:rPr>
                <w:sz w:val="18"/>
              </w:rPr>
              <w:tab/>
            </w:r>
            <w:r>
              <w:rPr>
                <w:spacing w:val="-2"/>
                <w:sz w:val="18"/>
              </w:rPr>
              <w:t>284,408</w:t>
            </w:r>
          </w:p>
        </w:tc>
        <w:tc>
          <w:tcPr>
            <w:tcW w:w="1564" w:type="dxa"/>
            <w:shd w:val="clear" w:color="auto" w:fill="CCEDFF"/>
          </w:tcPr>
          <w:p>
            <w:pPr>
              <w:pStyle w:val="TableParagraph"/>
              <w:tabs>
                <w:tab w:pos="832" w:val="left" w:leader="none"/>
              </w:tabs>
              <w:spacing w:before="48"/>
              <w:ind w:right="73"/>
              <w:jc w:val="right"/>
              <w:rPr>
                <w:sz w:val="18"/>
              </w:rPr>
            </w:pPr>
            <w:r>
              <w:rPr>
                <w:spacing w:val="-10"/>
                <w:sz w:val="18"/>
              </w:rPr>
              <w:t>$</w:t>
            </w:r>
            <w:r>
              <w:rPr>
                <w:sz w:val="18"/>
              </w:rPr>
              <w:tab/>
            </w:r>
            <w:r>
              <w:rPr>
                <w:spacing w:val="-2"/>
                <w:sz w:val="18"/>
              </w:rPr>
              <w:t>366,724</w:t>
            </w:r>
          </w:p>
        </w:tc>
      </w:tr>
      <w:tr>
        <w:trPr>
          <w:trHeight w:val="285" w:hRule="atLeast"/>
        </w:trPr>
        <w:tc>
          <w:tcPr>
            <w:tcW w:w="7004" w:type="dxa"/>
          </w:tcPr>
          <w:p>
            <w:pPr>
              <w:pStyle w:val="TableParagraph"/>
              <w:spacing w:before="48"/>
              <w:ind w:left="277"/>
              <w:rPr>
                <w:sz w:val="18"/>
              </w:rPr>
            </w:pPr>
            <w:r>
              <w:rPr>
                <w:sz w:val="18"/>
              </w:rPr>
              <w:t>Payables</w:t>
            </w:r>
            <w:r>
              <w:rPr>
                <w:spacing w:val="-2"/>
                <w:sz w:val="18"/>
              </w:rPr>
              <w:t> </w:t>
            </w:r>
            <w:r>
              <w:rPr>
                <w:sz w:val="18"/>
              </w:rPr>
              <w:t>to brokerage </w:t>
            </w:r>
            <w:r>
              <w:rPr>
                <w:spacing w:val="-2"/>
                <w:sz w:val="18"/>
              </w:rPr>
              <w:t>clients</w:t>
            </w:r>
          </w:p>
        </w:tc>
        <w:tc>
          <w:tcPr>
            <w:tcW w:w="1678" w:type="dxa"/>
          </w:tcPr>
          <w:p>
            <w:pPr>
              <w:pStyle w:val="TableParagraph"/>
              <w:spacing w:before="48"/>
              <w:ind w:right="129"/>
              <w:jc w:val="right"/>
              <w:rPr>
                <w:sz w:val="18"/>
              </w:rPr>
            </w:pPr>
            <w:r>
              <w:rPr>
                <w:spacing w:val="-2"/>
                <w:sz w:val="18"/>
              </w:rPr>
              <w:t>72,818</w:t>
            </w:r>
          </w:p>
        </w:tc>
        <w:tc>
          <w:tcPr>
            <w:tcW w:w="1564" w:type="dxa"/>
          </w:tcPr>
          <w:p>
            <w:pPr>
              <w:pStyle w:val="TableParagraph"/>
              <w:spacing w:before="48"/>
              <w:ind w:right="73"/>
              <w:jc w:val="right"/>
              <w:rPr>
                <w:sz w:val="18"/>
              </w:rPr>
            </w:pPr>
            <w:r>
              <w:rPr>
                <w:spacing w:val="-2"/>
                <w:sz w:val="18"/>
              </w:rPr>
              <w:t>97,438</w:t>
            </w:r>
          </w:p>
        </w:tc>
      </w:tr>
      <w:tr>
        <w:trPr>
          <w:trHeight w:val="285" w:hRule="atLeast"/>
        </w:trPr>
        <w:tc>
          <w:tcPr>
            <w:tcW w:w="7004" w:type="dxa"/>
            <w:shd w:val="clear" w:color="auto" w:fill="CCEDFF"/>
          </w:tcPr>
          <w:p>
            <w:pPr>
              <w:pStyle w:val="TableParagraph"/>
              <w:spacing w:before="48"/>
              <w:ind w:left="277"/>
              <w:rPr>
                <w:sz w:val="18"/>
              </w:rPr>
            </w:pPr>
            <w:r>
              <w:rPr>
                <w:sz w:val="18"/>
              </w:rPr>
              <w:t>Accrued</w:t>
            </w:r>
            <w:r>
              <w:rPr>
                <w:spacing w:val="-1"/>
                <w:sz w:val="18"/>
              </w:rPr>
              <w:t> </w:t>
            </w:r>
            <w:r>
              <w:rPr>
                <w:sz w:val="18"/>
              </w:rPr>
              <w:t>expenses</w:t>
            </w:r>
            <w:r>
              <w:rPr>
                <w:spacing w:val="-1"/>
                <w:sz w:val="18"/>
              </w:rPr>
              <w:t> </w:t>
            </w:r>
            <w:r>
              <w:rPr>
                <w:sz w:val="18"/>
              </w:rPr>
              <w:t>and</w:t>
            </w:r>
            <w:r>
              <w:rPr>
                <w:spacing w:val="-1"/>
                <w:sz w:val="18"/>
              </w:rPr>
              <w:t> </w:t>
            </w:r>
            <w:r>
              <w:rPr>
                <w:sz w:val="18"/>
              </w:rPr>
              <w:t>other </w:t>
            </w:r>
            <w:r>
              <w:rPr>
                <w:spacing w:val="-2"/>
                <w:sz w:val="18"/>
              </w:rPr>
              <w:t>liabilities</w:t>
            </w:r>
          </w:p>
        </w:tc>
        <w:tc>
          <w:tcPr>
            <w:tcW w:w="1678" w:type="dxa"/>
            <w:shd w:val="clear" w:color="auto" w:fill="CCEDFF"/>
          </w:tcPr>
          <w:p>
            <w:pPr>
              <w:pStyle w:val="TableParagraph"/>
              <w:spacing w:before="48"/>
              <w:ind w:right="129"/>
              <w:jc w:val="right"/>
              <w:rPr>
                <w:sz w:val="18"/>
              </w:rPr>
            </w:pPr>
            <w:r>
              <w:rPr>
                <w:spacing w:val="-2"/>
                <w:sz w:val="18"/>
              </w:rPr>
              <w:t>16,041</w:t>
            </w:r>
          </w:p>
        </w:tc>
        <w:tc>
          <w:tcPr>
            <w:tcW w:w="1564" w:type="dxa"/>
            <w:shd w:val="clear" w:color="auto" w:fill="CCEDFF"/>
          </w:tcPr>
          <w:p>
            <w:pPr>
              <w:pStyle w:val="TableParagraph"/>
              <w:spacing w:before="48"/>
              <w:ind w:right="73"/>
              <w:jc w:val="right"/>
              <w:rPr>
                <w:sz w:val="18"/>
              </w:rPr>
            </w:pPr>
            <w:r>
              <w:rPr>
                <w:spacing w:val="-2"/>
                <w:sz w:val="18"/>
              </w:rPr>
              <w:t>13,124</w:t>
            </w:r>
          </w:p>
        </w:tc>
      </w:tr>
      <w:tr>
        <w:trPr>
          <w:trHeight w:val="285" w:hRule="atLeast"/>
        </w:trPr>
        <w:tc>
          <w:tcPr>
            <w:tcW w:w="7004" w:type="dxa"/>
          </w:tcPr>
          <w:p>
            <w:pPr>
              <w:pStyle w:val="TableParagraph"/>
              <w:spacing w:before="48"/>
              <w:ind w:left="277"/>
              <w:rPr>
                <w:sz w:val="18"/>
              </w:rPr>
            </w:pPr>
            <w:r>
              <w:rPr>
                <w:sz w:val="18"/>
              </w:rPr>
              <w:t>Other</w:t>
            </w:r>
            <w:r>
              <w:rPr>
                <w:spacing w:val="-1"/>
                <w:sz w:val="18"/>
              </w:rPr>
              <w:t> </w:t>
            </w:r>
            <w:r>
              <w:rPr>
                <w:sz w:val="18"/>
              </w:rPr>
              <w:t>short-term</w:t>
            </w:r>
            <w:r>
              <w:rPr>
                <w:spacing w:val="-1"/>
                <w:sz w:val="18"/>
              </w:rPr>
              <w:t> </w:t>
            </w:r>
            <w:r>
              <w:rPr>
                <w:spacing w:val="-2"/>
                <w:sz w:val="18"/>
              </w:rPr>
              <w:t>borrowings</w:t>
            </w:r>
          </w:p>
        </w:tc>
        <w:tc>
          <w:tcPr>
            <w:tcW w:w="1678" w:type="dxa"/>
          </w:tcPr>
          <w:p>
            <w:pPr>
              <w:pStyle w:val="TableParagraph"/>
              <w:spacing w:before="48"/>
              <w:ind w:right="129"/>
              <w:jc w:val="right"/>
              <w:rPr>
                <w:sz w:val="18"/>
              </w:rPr>
            </w:pPr>
            <w:r>
              <w:rPr>
                <w:spacing w:val="-2"/>
                <w:sz w:val="18"/>
              </w:rPr>
              <w:t>7,550</w:t>
            </w:r>
          </w:p>
        </w:tc>
        <w:tc>
          <w:tcPr>
            <w:tcW w:w="1564" w:type="dxa"/>
          </w:tcPr>
          <w:p>
            <w:pPr>
              <w:pStyle w:val="TableParagraph"/>
              <w:spacing w:before="48"/>
              <w:ind w:right="73"/>
              <w:jc w:val="right"/>
              <w:rPr>
                <w:sz w:val="18"/>
              </w:rPr>
            </w:pPr>
            <w:r>
              <w:rPr>
                <w:spacing w:val="-2"/>
                <w:sz w:val="18"/>
              </w:rPr>
              <w:t>4,650</w:t>
            </w:r>
          </w:p>
        </w:tc>
      </w:tr>
      <w:tr>
        <w:trPr>
          <w:trHeight w:val="285" w:hRule="atLeast"/>
        </w:trPr>
        <w:tc>
          <w:tcPr>
            <w:tcW w:w="7004" w:type="dxa"/>
            <w:shd w:val="clear" w:color="auto" w:fill="CCEDFF"/>
          </w:tcPr>
          <w:p>
            <w:pPr>
              <w:pStyle w:val="TableParagraph"/>
              <w:spacing w:before="48"/>
              <w:ind w:left="292"/>
              <w:rPr>
                <w:sz w:val="18"/>
              </w:rPr>
            </w:pPr>
            <w:r>
              <w:rPr>
                <w:sz w:val="18"/>
              </w:rPr>
              <w:t>Federal</w:t>
            </w:r>
            <w:r>
              <w:rPr>
                <w:spacing w:val="-1"/>
                <w:sz w:val="18"/>
              </w:rPr>
              <w:t> </w:t>
            </w:r>
            <w:r>
              <w:rPr>
                <w:sz w:val="18"/>
              </w:rPr>
              <w:t>Home Loan</w:t>
            </w:r>
            <w:r>
              <w:rPr>
                <w:spacing w:val="-1"/>
                <w:sz w:val="18"/>
              </w:rPr>
              <w:t> </w:t>
            </w:r>
            <w:r>
              <w:rPr>
                <w:sz w:val="18"/>
              </w:rPr>
              <w:t>Bank </w:t>
            </w:r>
            <w:r>
              <w:rPr>
                <w:spacing w:val="-2"/>
                <w:sz w:val="18"/>
              </w:rPr>
              <w:t>borrowings</w:t>
            </w:r>
          </w:p>
        </w:tc>
        <w:tc>
          <w:tcPr>
            <w:tcW w:w="1678" w:type="dxa"/>
            <w:shd w:val="clear" w:color="auto" w:fill="CCEDFF"/>
          </w:tcPr>
          <w:p>
            <w:pPr>
              <w:pStyle w:val="TableParagraph"/>
              <w:spacing w:before="48"/>
              <w:ind w:right="129"/>
              <w:jc w:val="right"/>
              <w:rPr>
                <w:sz w:val="18"/>
              </w:rPr>
            </w:pPr>
            <w:r>
              <w:rPr>
                <w:spacing w:val="-2"/>
                <w:sz w:val="18"/>
              </w:rPr>
              <w:t>31,800</w:t>
            </w:r>
          </w:p>
        </w:tc>
        <w:tc>
          <w:tcPr>
            <w:tcW w:w="1564" w:type="dxa"/>
            <w:shd w:val="clear" w:color="auto" w:fill="CCEDFF"/>
          </w:tcPr>
          <w:p>
            <w:pPr>
              <w:pStyle w:val="TableParagraph"/>
              <w:spacing w:before="48"/>
              <w:ind w:right="73"/>
              <w:jc w:val="right"/>
              <w:rPr>
                <w:sz w:val="18"/>
              </w:rPr>
            </w:pPr>
            <w:r>
              <w:rPr>
                <w:spacing w:val="-2"/>
                <w:sz w:val="18"/>
              </w:rPr>
              <w:t>12,400</w:t>
            </w:r>
          </w:p>
        </w:tc>
      </w:tr>
      <w:tr>
        <w:trPr>
          <w:trHeight w:val="280" w:hRule="atLeast"/>
        </w:trPr>
        <w:tc>
          <w:tcPr>
            <w:tcW w:w="7004" w:type="dxa"/>
            <w:tcBorders>
              <w:bottom w:val="single" w:sz="4" w:space="0" w:color="000000"/>
            </w:tcBorders>
          </w:tcPr>
          <w:p>
            <w:pPr>
              <w:pStyle w:val="TableParagraph"/>
              <w:spacing w:before="48"/>
              <w:ind w:left="277"/>
              <w:rPr>
                <w:sz w:val="18"/>
              </w:rPr>
            </w:pPr>
            <w:r>
              <w:rPr>
                <w:sz w:val="18"/>
              </w:rPr>
              <w:t>Long-term </w:t>
            </w:r>
            <w:r>
              <w:rPr>
                <w:spacing w:val="-4"/>
                <w:sz w:val="18"/>
              </w:rPr>
              <w:t>debt</w:t>
            </w:r>
          </w:p>
        </w:tc>
        <w:tc>
          <w:tcPr>
            <w:tcW w:w="1678" w:type="dxa"/>
            <w:tcBorders>
              <w:bottom w:val="single" w:sz="4" w:space="0" w:color="000000"/>
            </w:tcBorders>
          </w:tcPr>
          <w:p>
            <w:pPr>
              <w:pStyle w:val="TableParagraph"/>
              <w:spacing w:before="48"/>
              <w:ind w:right="129"/>
              <w:jc w:val="right"/>
              <w:rPr>
                <w:sz w:val="18"/>
              </w:rPr>
            </w:pPr>
            <w:r>
              <w:rPr>
                <w:spacing w:val="-2"/>
                <w:sz w:val="18"/>
              </w:rPr>
              <w:t>24,803</w:t>
            </w:r>
          </w:p>
        </w:tc>
        <w:tc>
          <w:tcPr>
            <w:tcW w:w="1564" w:type="dxa"/>
            <w:tcBorders>
              <w:bottom w:val="single" w:sz="4" w:space="0" w:color="000000"/>
            </w:tcBorders>
          </w:tcPr>
          <w:p>
            <w:pPr>
              <w:pStyle w:val="TableParagraph"/>
              <w:spacing w:before="48"/>
              <w:ind w:right="73"/>
              <w:jc w:val="right"/>
              <w:rPr>
                <w:sz w:val="18"/>
              </w:rPr>
            </w:pPr>
            <w:r>
              <w:rPr>
                <w:spacing w:val="-2"/>
                <w:sz w:val="18"/>
              </w:rPr>
              <w:t>20,828</w:t>
            </w:r>
          </w:p>
        </w:tc>
      </w:tr>
      <w:tr>
        <w:trPr>
          <w:trHeight w:val="275" w:hRule="atLeast"/>
        </w:trPr>
        <w:tc>
          <w:tcPr>
            <w:tcW w:w="7004" w:type="dxa"/>
            <w:tcBorders>
              <w:top w:val="single" w:sz="4" w:space="0" w:color="000000"/>
              <w:bottom w:val="single" w:sz="4" w:space="0" w:color="000000"/>
            </w:tcBorders>
            <w:shd w:val="clear" w:color="auto" w:fill="CCEDFF"/>
          </w:tcPr>
          <w:p>
            <w:pPr>
              <w:pStyle w:val="TableParagraph"/>
              <w:spacing w:before="43"/>
              <w:ind w:left="517"/>
              <w:rPr>
                <w:sz w:val="18"/>
              </w:rPr>
            </w:pPr>
            <w:r>
              <w:rPr>
                <w:sz w:val="18"/>
              </w:rPr>
              <w:t>Total </w:t>
            </w:r>
            <w:r>
              <w:rPr>
                <w:spacing w:val="-2"/>
                <w:sz w:val="18"/>
              </w:rPr>
              <w:t>liabilities</w:t>
            </w:r>
          </w:p>
        </w:tc>
        <w:tc>
          <w:tcPr>
            <w:tcW w:w="1678" w:type="dxa"/>
            <w:tcBorders>
              <w:top w:val="single" w:sz="4" w:space="0" w:color="000000"/>
              <w:bottom w:val="single" w:sz="4" w:space="0" w:color="000000"/>
            </w:tcBorders>
            <w:shd w:val="clear" w:color="auto" w:fill="CCEDFF"/>
          </w:tcPr>
          <w:p>
            <w:pPr>
              <w:pStyle w:val="TableParagraph"/>
              <w:spacing w:before="43"/>
              <w:ind w:right="129"/>
              <w:jc w:val="right"/>
              <w:rPr>
                <w:sz w:val="18"/>
              </w:rPr>
            </w:pPr>
            <w:r>
              <w:rPr>
                <w:spacing w:val="-2"/>
                <w:sz w:val="18"/>
              </w:rPr>
              <w:t>437,420</w:t>
            </w:r>
          </w:p>
        </w:tc>
        <w:tc>
          <w:tcPr>
            <w:tcW w:w="1564" w:type="dxa"/>
            <w:tcBorders>
              <w:top w:val="single" w:sz="4" w:space="0" w:color="000000"/>
              <w:bottom w:val="single" w:sz="4" w:space="0" w:color="000000"/>
            </w:tcBorders>
            <w:shd w:val="clear" w:color="auto" w:fill="CCEDFF"/>
          </w:tcPr>
          <w:p>
            <w:pPr>
              <w:pStyle w:val="TableParagraph"/>
              <w:spacing w:before="43"/>
              <w:ind w:right="73"/>
              <w:jc w:val="right"/>
              <w:rPr>
                <w:sz w:val="18"/>
              </w:rPr>
            </w:pPr>
            <w:r>
              <w:rPr>
                <w:spacing w:val="-2"/>
                <w:sz w:val="18"/>
              </w:rPr>
              <w:t>515,164</w:t>
            </w:r>
          </w:p>
        </w:tc>
      </w:tr>
      <w:tr>
        <w:trPr>
          <w:trHeight w:val="280" w:hRule="atLeast"/>
        </w:trPr>
        <w:tc>
          <w:tcPr>
            <w:tcW w:w="7004" w:type="dxa"/>
            <w:tcBorders>
              <w:top w:val="single" w:sz="4" w:space="0" w:color="000000"/>
            </w:tcBorders>
          </w:tcPr>
          <w:p>
            <w:pPr>
              <w:pStyle w:val="TableParagraph"/>
              <w:spacing w:before="43"/>
              <w:ind w:left="277"/>
              <w:rPr>
                <w:sz w:val="18"/>
              </w:rPr>
            </w:pPr>
            <w:r>
              <w:rPr>
                <w:sz w:val="18"/>
              </w:rPr>
              <w:t>Stockholders’</w:t>
            </w:r>
            <w:r>
              <w:rPr>
                <w:spacing w:val="-2"/>
                <w:sz w:val="18"/>
              </w:rPr>
              <w:t> equity:</w:t>
            </w:r>
          </w:p>
        </w:tc>
        <w:tc>
          <w:tcPr>
            <w:tcW w:w="1678" w:type="dxa"/>
            <w:tcBorders>
              <w:top w:val="single" w:sz="4" w:space="0" w:color="000000"/>
            </w:tcBorders>
          </w:tcPr>
          <w:p>
            <w:pPr>
              <w:pStyle w:val="TableParagraph"/>
              <w:rPr>
                <w:sz w:val="16"/>
              </w:rPr>
            </w:pPr>
          </w:p>
        </w:tc>
        <w:tc>
          <w:tcPr>
            <w:tcW w:w="1564" w:type="dxa"/>
            <w:tcBorders>
              <w:top w:val="single" w:sz="4" w:space="0" w:color="000000"/>
            </w:tcBorders>
          </w:tcPr>
          <w:p>
            <w:pPr>
              <w:pStyle w:val="TableParagraph"/>
              <w:rPr>
                <w:sz w:val="16"/>
              </w:rPr>
            </w:pPr>
          </w:p>
        </w:tc>
      </w:tr>
      <w:tr>
        <w:trPr>
          <w:trHeight w:val="465" w:hRule="atLeast"/>
        </w:trPr>
        <w:tc>
          <w:tcPr>
            <w:tcW w:w="7004" w:type="dxa"/>
            <w:shd w:val="clear" w:color="auto" w:fill="CCEDFF"/>
          </w:tcPr>
          <w:p>
            <w:pPr>
              <w:pStyle w:val="TableParagraph"/>
              <w:spacing w:line="208" w:lineRule="auto" w:before="70"/>
              <w:ind w:left="517" w:right="140" w:hanging="90"/>
              <w:rPr>
                <w:sz w:val="18"/>
              </w:rPr>
            </w:pPr>
            <w:r>
              <w:rPr>
                <w:sz w:val="18"/>
              </w:rPr>
              <w:t>Preferred</w:t>
            </w:r>
            <w:r>
              <w:rPr>
                <w:spacing w:val="-4"/>
                <w:sz w:val="18"/>
              </w:rPr>
              <w:t> </w:t>
            </w:r>
            <w:r>
              <w:rPr>
                <w:sz w:val="18"/>
              </w:rPr>
              <w:t>stock</w:t>
            </w:r>
            <w:r>
              <w:rPr>
                <w:spacing w:val="-4"/>
                <w:sz w:val="18"/>
              </w:rPr>
              <w:t> </w:t>
            </w:r>
            <w:r>
              <w:rPr>
                <w:sz w:val="18"/>
              </w:rPr>
              <w:t>—</w:t>
            </w:r>
            <w:r>
              <w:rPr>
                <w:spacing w:val="-4"/>
                <w:sz w:val="18"/>
              </w:rPr>
              <w:t> </w:t>
            </w:r>
            <w:r>
              <w:rPr>
                <w:sz w:val="18"/>
              </w:rPr>
              <w:t>$.01</w:t>
            </w:r>
            <w:r>
              <w:rPr>
                <w:spacing w:val="-4"/>
                <w:sz w:val="18"/>
              </w:rPr>
              <w:t> </w:t>
            </w:r>
            <w:r>
              <w:rPr>
                <w:sz w:val="18"/>
              </w:rPr>
              <w:t>par</w:t>
            </w:r>
            <w:r>
              <w:rPr>
                <w:spacing w:val="-4"/>
                <w:sz w:val="18"/>
              </w:rPr>
              <w:t> </w:t>
            </w:r>
            <w:r>
              <w:rPr>
                <w:sz w:val="18"/>
              </w:rPr>
              <w:t>value</w:t>
            </w:r>
            <w:r>
              <w:rPr>
                <w:spacing w:val="-4"/>
                <w:sz w:val="18"/>
              </w:rPr>
              <w:t> </w:t>
            </w:r>
            <w:r>
              <w:rPr>
                <w:sz w:val="18"/>
              </w:rPr>
              <w:t>per</w:t>
            </w:r>
            <w:r>
              <w:rPr>
                <w:spacing w:val="-4"/>
                <w:sz w:val="18"/>
              </w:rPr>
              <w:t> </w:t>
            </w:r>
            <w:r>
              <w:rPr>
                <w:sz w:val="18"/>
              </w:rPr>
              <w:t>share;</w:t>
            </w:r>
            <w:r>
              <w:rPr>
                <w:spacing w:val="-4"/>
                <w:sz w:val="18"/>
              </w:rPr>
              <w:t> </w:t>
            </w:r>
            <w:r>
              <w:rPr>
                <w:sz w:val="18"/>
              </w:rPr>
              <w:t>aggregate</w:t>
            </w:r>
            <w:r>
              <w:rPr>
                <w:spacing w:val="-4"/>
                <w:sz w:val="18"/>
              </w:rPr>
              <w:t> </w:t>
            </w:r>
            <w:r>
              <w:rPr>
                <w:sz w:val="18"/>
              </w:rPr>
              <w:t>liquidation</w:t>
            </w:r>
            <w:r>
              <w:rPr>
                <w:spacing w:val="-4"/>
                <w:sz w:val="18"/>
              </w:rPr>
              <w:t> </w:t>
            </w:r>
            <w:r>
              <w:rPr>
                <w:sz w:val="18"/>
              </w:rPr>
              <w:t>preference</w:t>
            </w:r>
            <w:r>
              <w:rPr>
                <w:spacing w:val="-4"/>
                <w:sz w:val="18"/>
              </w:rPr>
              <w:t> </w:t>
            </w:r>
            <w:r>
              <w:rPr>
                <w:sz w:val="18"/>
              </w:rPr>
              <w:t>of</w:t>
            </w:r>
            <w:r>
              <w:rPr>
                <w:spacing w:val="-7"/>
                <w:sz w:val="18"/>
              </w:rPr>
              <w:t> </w:t>
            </w:r>
            <w:r>
              <w:rPr>
                <w:sz w:val="18"/>
              </w:rPr>
              <w:t>$9,329 and $9,850 at September 30, 2023 and December 31, 2022, respectively</w:t>
            </w:r>
          </w:p>
        </w:tc>
        <w:tc>
          <w:tcPr>
            <w:tcW w:w="1678" w:type="dxa"/>
            <w:shd w:val="clear" w:color="auto" w:fill="CCEDFF"/>
          </w:tcPr>
          <w:p>
            <w:pPr>
              <w:pStyle w:val="TableParagraph"/>
              <w:spacing w:before="21"/>
              <w:rPr>
                <w:b/>
                <w:sz w:val="18"/>
              </w:rPr>
            </w:pPr>
          </w:p>
          <w:p>
            <w:pPr>
              <w:pStyle w:val="TableParagraph"/>
              <w:ind w:right="129"/>
              <w:jc w:val="right"/>
              <w:rPr>
                <w:sz w:val="18"/>
              </w:rPr>
            </w:pPr>
            <w:r>
              <w:rPr>
                <w:spacing w:val="-2"/>
                <w:sz w:val="18"/>
              </w:rPr>
              <w:t>9,191</w:t>
            </w:r>
          </w:p>
        </w:tc>
        <w:tc>
          <w:tcPr>
            <w:tcW w:w="1564" w:type="dxa"/>
            <w:shd w:val="clear" w:color="auto" w:fill="CCEDFF"/>
          </w:tcPr>
          <w:p>
            <w:pPr>
              <w:pStyle w:val="TableParagraph"/>
              <w:spacing w:before="21"/>
              <w:rPr>
                <w:b/>
                <w:sz w:val="18"/>
              </w:rPr>
            </w:pPr>
          </w:p>
          <w:p>
            <w:pPr>
              <w:pStyle w:val="TableParagraph"/>
              <w:ind w:right="73"/>
              <w:jc w:val="right"/>
              <w:rPr>
                <w:sz w:val="18"/>
              </w:rPr>
            </w:pPr>
            <w:r>
              <w:rPr>
                <w:spacing w:val="-2"/>
                <w:sz w:val="18"/>
              </w:rPr>
              <w:t>9,706</w:t>
            </w:r>
          </w:p>
        </w:tc>
      </w:tr>
      <w:tr>
        <w:trPr>
          <w:trHeight w:val="435" w:hRule="atLeast"/>
        </w:trPr>
        <w:tc>
          <w:tcPr>
            <w:tcW w:w="7004" w:type="dxa"/>
          </w:tcPr>
          <w:p>
            <w:pPr>
              <w:pStyle w:val="TableParagraph"/>
              <w:spacing w:line="208" w:lineRule="auto" w:before="40"/>
              <w:ind w:left="517" w:right="423" w:hanging="90"/>
              <w:rPr>
                <w:sz w:val="18"/>
              </w:rPr>
            </w:pPr>
            <w:r>
              <w:rPr>
                <w:sz w:val="18"/>
              </w:rPr>
              <w:t>Common stock — 3 billion shares authorized; $.01 par value per share; 2,023,295,180</w:t>
            </w:r>
            <w:r>
              <w:rPr>
                <w:spacing w:val="-4"/>
                <w:sz w:val="18"/>
              </w:rPr>
              <w:t> </w:t>
            </w:r>
            <w:r>
              <w:rPr>
                <w:sz w:val="18"/>
              </w:rPr>
              <w:t>shares</w:t>
            </w:r>
            <w:r>
              <w:rPr>
                <w:spacing w:val="-5"/>
                <w:sz w:val="18"/>
              </w:rPr>
              <w:t> </w:t>
            </w:r>
            <w:r>
              <w:rPr>
                <w:sz w:val="18"/>
              </w:rPr>
              <w:t>issued</w:t>
            </w:r>
            <w:r>
              <w:rPr>
                <w:spacing w:val="-4"/>
                <w:sz w:val="18"/>
              </w:rPr>
              <w:t> </w:t>
            </w:r>
            <w:r>
              <w:rPr>
                <w:sz w:val="18"/>
              </w:rPr>
              <w:t>at</w:t>
            </w:r>
            <w:r>
              <w:rPr>
                <w:spacing w:val="-5"/>
                <w:sz w:val="18"/>
              </w:rPr>
              <w:t> </w:t>
            </w:r>
            <w:r>
              <w:rPr>
                <w:sz w:val="18"/>
              </w:rPr>
              <w:t>September</w:t>
            </w:r>
            <w:r>
              <w:rPr>
                <w:spacing w:val="-4"/>
                <w:sz w:val="18"/>
              </w:rPr>
              <w:t> </w:t>
            </w:r>
            <w:r>
              <w:rPr>
                <w:sz w:val="18"/>
              </w:rPr>
              <w:t>30,</w:t>
            </w:r>
            <w:r>
              <w:rPr>
                <w:spacing w:val="-4"/>
                <w:sz w:val="18"/>
              </w:rPr>
              <w:t> </w:t>
            </w:r>
            <w:r>
              <w:rPr>
                <w:sz w:val="18"/>
              </w:rPr>
              <w:t>2023</w:t>
            </w:r>
            <w:r>
              <w:rPr>
                <w:spacing w:val="-5"/>
                <w:sz w:val="18"/>
              </w:rPr>
              <w:t> </w:t>
            </w:r>
            <w:r>
              <w:rPr>
                <w:sz w:val="18"/>
              </w:rPr>
              <w:t>and</w:t>
            </w:r>
            <w:r>
              <w:rPr>
                <w:spacing w:val="-5"/>
                <w:sz w:val="18"/>
              </w:rPr>
              <w:t> </w:t>
            </w:r>
            <w:r>
              <w:rPr>
                <w:sz w:val="18"/>
              </w:rPr>
              <w:t>December</w:t>
            </w:r>
            <w:r>
              <w:rPr>
                <w:spacing w:val="-4"/>
                <w:sz w:val="18"/>
              </w:rPr>
              <w:t> </w:t>
            </w:r>
            <w:r>
              <w:rPr>
                <w:sz w:val="18"/>
              </w:rPr>
              <w:t>31,</w:t>
            </w:r>
            <w:r>
              <w:rPr>
                <w:spacing w:val="-4"/>
                <w:sz w:val="18"/>
              </w:rPr>
              <w:t> </w:t>
            </w:r>
            <w:r>
              <w:rPr>
                <w:sz w:val="18"/>
              </w:rPr>
              <w:t>2022</w:t>
            </w:r>
          </w:p>
        </w:tc>
        <w:tc>
          <w:tcPr>
            <w:tcW w:w="1678" w:type="dxa"/>
          </w:tcPr>
          <w:p>
            <w:pPr>
              <w:pStyle w:val="TableParagraph"/>
              <w:spacing w:before="198"/>
              <w:ind w:right="129"/>
              <w:jc w:val="right"/>
              <w:rPr>
                <w:sz w:val="18"/>
              </w:rPr>
            </w:pPr>
            <w:r>
              <w:rPr>
                <w:spacing w:val="-5"/>
                <w:sz w:val="18"/>
              </w:rPr>
              <w:t>20</w:t>
            </w:r>
          </w:p>
        </w:tc>
        <w:tc>
          <w:tcPr>
            <w:tcW w:w="1564" w:type="dxa"/>
          </w:tcPr>
          <w:p>
            <w:pPr>
              <w:pStyle w:val="TableParagraph"/>
              <w:spacing w:before="198"/>
              <w:ind w:right="73"/>
              <w:jc w:val="right"/>
              <w:rPr>
                <w:sz w:val="18"/>
              </w:rPr>
            </w:pPr>
            <w:r>
              <w:rPr>
                <w:spacing w:val="-5"/>
                <w:sz w:val="18"/>
              </w:rPr>
              <w:t>20</w:t>
            </w:r>
          </w:p>
        </w:tc>
      </w:tr>
      <w:tr>
        <w:trPr>
          <w:trHeight w:val="465" w:hRule="atLeast"/>
        </w:trPr>
        <w:tc>
          <w:tcPr>
            <w:tcW w:w="7004" w:type="dxa"/>
            <w:shd w:val="clear" w:color="auto" w:fill="CCEDFF"/>
          </w:tcPr>
          <w:p>
            <w:pPr>
              <w:pStyle w:val="TableParagraph"/>
              <w:spacing w:line="208" w:lineRule="auto" w:before="70"/>
              <w:ind w:left="517" w:hanging="90"/>
              <w:rPr>
                <w:sz w:val="18"/>
              </w:rPr>
            </w:pPr>
            <w:r>
              <w:rPr>
                <w:sz w:val="18"/>
              </w:rPr>
              <w:t>Nonvoting</w:t>
            </w:r>
            <w:r>
              <w:rPr>
                <w:spacing w:val="-3"/>
                <w:sz w:val="18"/>
              </w:rPr>
              <w:t> </w:t>
            </w:r>
            <w:r>
              <w:rPr>
                <w:sz w:val="18"/>
              </w:rPr>
              <w:t>common</w:t>
            </w:r>
            <w:r>
              <w:rPr>
                <w:spacing w:val="-4"/>
                <w:sz w:val="18"/>
              </w:rPr>
              <w:t> </w:t>
            </w:r>
            <w:r>
              <w:rPr>
                <w:sz w:val="18"/>
              </w:rPr>
              <w:t>stock</w:t>
            </w:r>
            <w:r>
              <w:rPr>
                <w:spacing w:val="-3"/>
                <w:sz w:val="18"/>
              </w:rPr>
              <w:t> </w:t>
            </w:r>
            <w:r>
              <w:rPr>
                <w:sz w:val="18"/>
              </w:rPr>
              <w:t>—</w:t>
            </w:r>
            <w:r>
              <w:rPr>
                <w:spacing w:val="-4"/>
                <w:sz w:val="18"/>
              </w:rPr>
              <w:t> </w:t>
            </w:r>
            <w:r>
              <w:rPr>
                <w:sz w:val="18"/>
              </w:rPr>
              <w:t>300</w:t>
            </w:r>
            <w:r>
              <w:rPr>
                <w:spacing w:val="-3"/>
                <w:sz w:val="18"/>
              </w:rPr>
              <w:t> </w:t>
            </w:r>
            <w:r>
              <w:rPr>
                <w:sz w:val="18"/>
              </w:rPr>
              <w:t>million</w:t>
            </w:r>
            <w:r>
              <w:rPr>
                <w:spacing w:val="-4"/>
                <w:sz w:val="18"/>
              </w:rPr>
              <w:t> </w:t>
            </w:r>
            <w:r>
              <w:rPr>
                <w:sz w:val="18"/>
              </w:rPr>
              <w:t>shares</w:t>
            </w:r>
            <w:r>
              <w:rPr>
                <w:spacing w:val="-4"/>
                <w:sz w:val="18"/>
              </w:rPr>
              <w:t> </w:t>
            </w:r>
            <w:r>
              <w:rPr>
                <w:sz w:val="18"/>
              </w:rPr>
              <w:t>authorized;</w:t>
            </w:r>
            <w:r>
              <w:rPr>
                <w:spacing w:val="-4"/>
                <w:sz w:val="18"/>
              </w:rPr>
              <w:t> </w:t>
            </w:r>
            <w:r>
              <w:rPr>
                <w:sz w:val="18"/>
              </w:rPr>
              <w:t>$.01</w:t>
            </w:r>
            <w:r>
              <w:rPr>
                <w:spacing w:val="-3"/>
                <w:sz w:val="18"/>
              </w:rPr>
              <w:t> </w:t>
            </w:r>
            <w:r>
              <w:rPr>
                <w:sz w:val="18"/>
              </w:rPr>
              <w:t>par</w:t>
            </w:r>
            <w:r>
              <w:rPr>
                <w:spacing w:val="-4"/>
                <w:sz w:val="18"/>
              </w:rPr>
              <w:t> </w:t>
            </w:r>
            <w:r>
              <w:rPr>
                <w:sz w:val="18"/>
              </w:rPr>
              <w:t>value</w:t>
            </w:r>
            <w:r>
              <w:rPr>
                <w:spacing w:val="-3"/>
                <w:sz w:val="18"/>
              </w:rPr>
              <w:t> </w:t>
            </w:r>
            <w:r>
              <w:rPr>
                <w:sz w:val="18"/>
              </w:rPr>
              <w:t>per</w:t>
            </w:r>
            <w:r>
              <w:rPr>
                <w:spacing w:val="-4"/>
                <w:sz w:val="18"/>
              </w:rPr>
              <w:t> </w:t>
            </w:r>
            <w:r>
              <w:rPr>
                <w:sz w:val="18"/>
              </w:rPr>
              <w:t>share; 50,893,695 shares issued at September 30, 2023 and December 31, 2022</w:t>
            </w:r>
          </w:p>
        </w:tc>
        <w:tc>
          <w:tcPr>
            <w:tcW w:w="1678" w:type="dxa"/>
            <w:shd w:val="clear" w:color="auto" w:fill="CCEDFF"/>
          </w:tcPr>
          <w:p>
            <w:pPr>
              <w:pStyle w:val="TableParagraph"/>
              <w:spacing w:before="21"/>
              <w:rPr>
                <w:b/>
                <w:sz w:val="18"/>
              </w:rPr>
            </w:pPr>
          </w:p>
          <w:p>
            <w:pPr>
              <w:pStyle w:val="TableParagraph"/>
              <w:ind w:right="129"/>
              <w:jc w:val="right"/>
              <w:rPr>
                <w:sz w:val="18"/>
              </w:rPr>
            </w:pPr>
            <w:r>
              <w:rPr>
                <w:spacing w:val="-10"/>
                <w:sz w:val="18"/>
              </w:rPr>
              <w:t>1</w:t>
            </w:r>
          </w:p>
        </w:tc>
        <w:tc>
          <w:tcPr>
            <w:tcW w:w="1564" w:type="dxa"/>
            <w:shd w:val="clear" w:color="auto" w:fill="CCEDFF"/>
          </w:tcPr>
          <w:p>
            <w:pPr>
              <w:pStyle w:val="TableParagraph"/>
              <w:spacing w:before="21"/>
              <w:rPr>
                <w:b/>
                <w:sz w:val="18"/>
              </w:rPr>
            </w:pPr>
          </w:p>
          <w:p>
            <w:pPr>
              <w:pStyle w:val="TableParagraph"/>
              <w:ind w:right="73"/>
              <w:jc w:val="right"/>
              <w:rPr>
                <w:sz w:val="18"/>
              </w:rPr>
            </w:pPr>
            <w:r>
              <w:rPr>
                <w:spacing w:val="-10"/>
                <w:sz w:val="18"/>
              </w:rPr>
              <w:t>1</w:t>
            </w:r>
          </w:p>
        </w:tc>
      </w:tr>
      <w:tr>
        <w:trPr>
          <w:trHeight w:val="285" w:hRule="atLeast"/>
        </w:trPr>
        <w:tc>
          <w:tcPr>
            <w:tcW w:w="7004" w:type="dxa"/>
          </w:tcPr>
          <w:p>
            <w:pPr>
              <w:pStyle w:val="TableParagraph"/>
              <w:spacing w:before="48"/>
              <w:ind w:left="427"/>
              <w:rPr>
                <w:sz w:val="18"/>
              </w:rPr>
            </w:pPr>
            <w:r>
              <w:rPr>
                <w:sz w:val="18"/>
              </w:rPr>
              <w:t>Additional</w:t>
            </w:r>
            <w:r>
              <w:rPr>
                <w:spacing w:val="-1"/>
                <w:sz w:val="18"/>
              </w:rPr>
              <w:t> </w:t>
            </w:r>
            <w:r>
              <w:rPr>
                <w:sz w:val="18"/>
              </w:rPr>
              <w:t>paid-in </w:t>
            </w:r>
            <w:r>
              <w:rPr>
                <w:spacing w:val="-2"/>
                <w:sz w:val="18"/>
              </w:rPr>
              <w:t>capital</w:t>
            </w:r>
          </w:p>
        </w:tc>
        <w:tc>
          <w:tcPr>
            <w:tcW w:w="1678" w:type="dxa"/>
          </w:tcPr>
          <w:p>
            <w:pPr>
              <w:pStyle w:val="TableParagraph"/>
              <w:spacing w:before="48"/>
              <w:ind w:right="129"/>
              <w:jc w:val="right"/>
              <w:rPr>
                <w:sz w:val="18"/>
              </w:rPr>
            </w:pPr>
            <w:r>
              <w:rPr>
                <w:spacing w:val="-2"/>
                <w:sz w:val="18"/>
              </w:rPr>
              <w:t>27,293</w:t>
            </w:r>
          </w:p>
        </w:tc>
        <w:tc>
          <w:tcPr>
            <w:tcW w:w="1564" w:type="dxa"/>
          </w:tcPr>
          <w:p>
            <w:pPr>
              <w:pStyle w:val="TableParagraph"/>
              <w:spacing w:before="48"/>
              <w:ind w:right="73"/>
              <w:jc w:val="right"/>
              <w:rPr>
                <w:sz w:val="18"/>
              </w:rPr>
            </w:pPr>
            <w:r>
              <w:rPr>
                <w:spacing w:val="-2"/>
                <w:sz w:val="18"/>
              </w:rPr>
              <w:t>27,075</w:t>
            </w:r>
          </w:p>
        </w:tc>
      </w:tr>
      <w:tr>
        <w:trPr>
          <w:trHeight w:val="285" w:hRule="atLeast"/>
        </w:trPr>
        <w:tc>
          <w:tcPr>
            <w:tcW w:w="7004" w:type="dxa"/>
            <w:shd w:val="clear" w:color="auto" w:fill="CCEDFF"/>
          </w:tcPr>
          <w:p>
            <w:pPr>
              <w:pStyle w:val="TableParagraph"/>
              <w:spacing w:before="48"/>
              <w:ind w:left="427"/>
              <w:rPr>
                <w:sz w:val="18"/>
              </w:rPr>
            </w:pPr>
            <w:r>
              <w:rPr>
                <w:sz w:val="18"/>
              </w:rPr>
              <w:t>Retained </w:t>
            </w:r>
            <w:r>
              <w:rPr>
                <w:spacing w:val="-2"/>
                <w:sz w:val="18"/>
              </w:rPr>
              <w:t>earnings</w:t>
            </w:r>
          </w:p>
        </w:tc>
        <w:tc>
          <w:tcPr>
            <w:tcW w:w="1678" w:type="dxa"/>
            <w:shd w:val="clear" w:color="auto" w:fill="CCEDFF"/>
          </w:tcPr>
          <w:p>
            <w:pPr>
              <w:pStyle w:val="TableParagraph"/>
              <w:spacing w:before="48"/>
              <w:ind w:right="129"/>
              <w:jc w:val="right"/>
              <w:rPr>
                <w:sz w:val="18"/>
              </w:rPr>
            </w:pPr>
            <w:r>
              <w:rPr>
                <w:spacing w:val="-2"/>
                <w:sz w:val="18"/>
              </w:rPr>
              <w:t>33,429</w:t>
            </w:r>
          </w:p>
        </w:tc>
        <w:tc>
          <w:tcPr>
            <w:tcW w:w="1564" w:type="dxa"/>
            <w:shd w:val="clear" w:color="auto" w:fill="CCEDFF"/>
          </w:tcPr>
          <w:p>
            <w:pPr>
              <w:pStyle w:val="TableParagraph"/>
              <w:spacing w:before="48"/>
              <w:ind w:right="73"/>
              <w:jc w:val="right"/>
              <w:rPr>
                <w:sz w:val="18"/>
              </w:rPr>
            </w:pPr>
            <w:r>
              <w:rPr>
                <w:spacing w:val="-2"/>
                <w:sz w:val="18"/>
              </w:rPr>
              <w:t>31,066</w:t>
            </w:r>
          </w:p>
        </w:tc>
      </w:tr>
      <w:tr>
        <w:trPr>
          <w:trHeight w:val="465" w:hRule="atLeast"/>
        </w:trPr>
        <w:tc>
          <w:tcPr>
            <w:tcW w:w="7004" w:type="dxa"/>
          </w:tcPr>
          <w:p>
            <w:pPr>
              <w:pStyle w:val="TableParagraph"/>
              <w:spacing w:line="193" w:lineRule="exact" w:before="48"/>
              <w:ind w:left="427"/>
              <w:rPr>
                <w:sz w:val="18"/>
              </w:rPr>
            </w:pPr>
            <w:r>
              <w:rPr>
                <w:sz w:val="18"/>
              </w:rPr>
              <w:t>Treasury</w:t>
            </w:r>
            <w:r>
              <w:rPr>
                <w:spacing w:val="-3"/>
                <w:sz w:val="18"/>
              </w:rPr>
              <w:t> </w:t>
            </w:r>
            <w:r>
              <w:rPr>
                <w:sz w:val="18"/>
              </w:rPr>
              <w:t>stock, at</w:t>
            </w:r>
            <w:r>
              <w:rPr>
                <w:spacing w:val="-1"/>
                <w:sz w:val="18"/>
              </w:rPr>
              <w:t> </w:t>
            </w:r>
            <w:r>
              <w:rPr>
                <w:sz w:val="18"/>
              </w:rPr>
              <w:t>cost —</w:t>
            </w:r>
            <w:r>
              <w:rPr>
                <w:spacing w:val="-3"/>
                <w:sz w:val="18"/>
              </w:rPr>
              <w:t> </w:t>
            </w:r>
            <w:r>
              <w:rPr>
                <w:sz w:val="18"/>
              </w:rPr>
              <w:t>252,889,055 and</w:t>
            </w:r>
            <w:r>
              <w:rPr>
                <w:spacing w:val="-1"/>
                <w:sz w:val="18"/>
              </w:rPr>
              <w:t> </w:t>
            </w:r>
            <w:r>
              <w:rPr>
                <w:sz w:val="18"/>
              </w:rPr>
              <w:t>221,033,042</w:t>
            </w:r>
            <w:r>
              <w:rPr>
                <w:spacing w:val="-1"/>
                <w:sz w:val="18"/>
              </w:rPr>
              <w:t> </w:t>
            </w:r>
            <w:r>
              <w:rPr>
                <w:sz w:val="18"/>
              </w:rPr>
              <w:t>shares</w:t>
            </w:r>
            <w:r>
              <w:rPr>
                <w:spacing w:val="-1"/>
                <w:sz w:val="18"/>
              </w:rPr>
              <w:t> </w:t>
            </w:r>
            <w:r>
              <w:rPr>
                <w:sz w:val="18"/>
              </w:rPr>
              <w:t>at</w:t>
            </w:r>
            <w:r>
              <w:rPr>
                <w:spacing w:val="-2"/>
                <w:sz w:val="18"/>
              </w:rPr>
              <w:t> </w:t>
            </w:r>
            <w:r>
              <w:rPr>
                <w:sz w:val="18"/>
              </w:rPr>
              <w:t>September 30, </w:t>
            </w:r>
            <w:r>
              <w:rPr>
                <w:spacing w:val="-4"/>
                <w:sz w:val="18"/>
              </w:rPr>
              <w:t>2023</w:t>
            </w:r>
          </w:p>
          <w:p>
            <w:pPr>
              <w:pStyle w:val="TableParagraph"/>
              <w:spacing w:line="193" w:lineRule="exact"/>
              <w:ind w:left="517"/>
              <w:rPr>
                <w:sz w:val="18"/>
              </w:rPr>
            </w:pPr>
            <w:r>
              <w:rPr>
                <w:sz w:val="18"/>
              </w:rPr>
              <w:t>and</w:t>
            </w:r>
            <w:r>
              <w:rPr>
                <w:spacing w:val="-2"/>
                <w:sz w:val="18"/>
              </w:rPr>
              <w:t> </w:t>
            </w:r>
            <w:r>
              <w:rPr>
                <w:sz w:val="18"/>
              </w:rPr>
              <w:t>December 31,</w:t>
            </w:r>
            <w:r>
              <w:rPr>
                <w:spacing w:val="-1"/>
                <w:sz w:val="18"/>
              </w:rPr>
              <w:t> </w:t>
            </w:r>
            <w:r>
              <w:rPr>
                <w:sz w:val="18"/>
              </w:rPr>
              <w:t>2022, </w:t>
            </w:r>
            <w:r>
              <w:rPr>
                <w:spacing w:val="-2"/>
                <w:sz w:val="18"/>
              </w:rPr>
              <w:t>respectively</w:t>
            </w:r>
          </w:p>
        </w:tc>
        <w:tc>
          <w:tcPr>
            <w:tcW w:w="1678" w:type="dxa"/>
          </w:tcPr>
          <w:p>
            <w:pPr>
              <w:pStyle w:val="TableParagraph"/>
              <w:spacing w:before="21"/>
              <w:rPr>
                <w:b/>
                <w:sz w:val="18"/>
              </w:rPr>
            </w:pPr>
          </w:p>
          <w:p>
            <w:pPr>
              <w:pStyle w:val="TableParagraph"/>
              <w:ind w:right="69"/>
              <w:jc w:val="right"/>
              <w:rPr>
                <w:sz w:val="18"/>
              </w:rPr>
            </w:pPr>
            <w:r>
              <w:rPr>
                <w:spacing w:val="-2"/>
                <w:sz w:val="18"/>
              </w:rPr>
              <w:t>(11,398)</w:t>
            </w:r>
          </w:p>
        </w:tc>
        <w:tc>
          <w:tcPr>
            <w:tcW w:w="1564" w:type="dxa"/>
          </w:tcPr>
          <w:p>
            <w:pPr>
              <w:pStyle w:val="TableParagraph"/>
              <w:spacing w:before="21"/>
              <w:rPr>
                <w:b/>
                <w:sz w:val="18"/>
              </w:rPr>
            </w:pPr>
          </w:p>
          <w:p>
            <w:pPr>
              <w:pStyle w:val="TableParagraph"/>
              <w:ind w:right="13"/>
              <w:jc w:val="right"/>
              <w:rPr>
                <w:sz w:val="18"/>
              </w:rPr>
            </w:pPr>
            <w:r>
              <w:rPr>
                <w:spacing w:val="-2"/>
                <w:sz w:val="18"/>
              </w:rPr>
              <w:t>(8,639)</w:t>
            </w:r>
          </w:p>
        </w:tc>
      </w:tr>
      <w:tr>
        <w:trPr>
          <w:trHeight w:val="280" w:hRule="atLeast"/>
        </w:trPr>
        <w:tc>
          <w:tcPr>
            <w:tcW w:w="7004" w:type="dxa"/>
            <w:tcBorders>
              <w:bottom w:val="single" w:sz="4" w:space="0" w:color="000000"/>
            </w:tcBorders>
            <w:shd w:val="clear" w:color="auto" w:fill="CCEDFF"/>
          </w:tcPr>
          <w:p>
            <w:pPr>
              <w:pStyle w:val="TableParagraph"/>
              <w:spacing w:before="48"/>
              <w:ind w:left="427"/>
              <w:rPr>
                <w:sz w:val="18"/>
              </w:rPr>
            </w:pPr>
            <w:r>
              <w:rPr>
                <w:sz w:val="18"/>
              </w:rPr>
              <w:t>Accumulated</w:t>
            </w:r>
            <w:r>
              <w:rPr>
                <w:spacing w:val="-1"/>
                <w:sz w:val="18"/>
              </w:rPr>
              <w:t> </w:t>
            </w:r>
            <w:r>
              <w:rPr>
                <w:sz w:val="18"/>
              </w:rPr>
              <w:t>other comprehensive</w:t>
            </w:r>
            <w:r>
              <w:rPr>
                <w:spacing w:val="-1"/>
                <w:sz w:val="18"/>
              </w:rPr>
              <w:t> </w:t>
            </w:r>
            <w:r>
              <w:rPr>
                <w:sz w:val="18"/>
              </w:rPr>
              <w:t>income </w:t>
            </w:r>
            <w:r>
              <w:rPr>
                <w:spacing w:val="-2"/>
                <w:sz w:val="18"/>
              </w:rPr>
              <w:t>(loss)</w:t>
            </w:r>
          </w:p>
        </w:tc>
        <w:tc>
          <w:tcPr>
            <w:tcW w:w="1678" w:type="dxa"/>
            <w:tcBorders>
              <w:bottom w:val="single" w:sz="4" w:space="0" w:color="000000"/>
            </w:tcBorders>
            <w:shd w:val="clear" w:color="auto" w:fill="CCEDFF"/>
          </w:tcPr>
          <w:p>
            <w:pPr>
              <w:pStyle w:val="TableParagraph"/>
              <w:spacing w:before="48"/>
              <w:ind w:right="69"/>
              <w:jc w:val="right"/>
              <w:rPr>
                <w:sz w:val="18"/>
              </w:rPr>
            </w:pPr>
            <w:r>
              <w:rPr>
                <w:spacing w:val="-2"/>
                <w:sz w:val="18"/>
              </w:rPr>
              <w:t>(20,752)</w:t>
            </w:r>
          </w:p>
        </w:tc>
        <w:tc>
          <w:tcPr>
            <w:tcW w:w="1564" w:type="dxa"/>
            <w:tcBorders>
              <w:bottom w:val="single" w:sz="4" w:space="0" w:color="000000"/>
            </w:tcBorders>
            <w:shd w:val="clear" w:color="auto" w:fill="CCEDFF"/>
          </w:tcPr>
          <w:p>
            <w:pPr>
              <w:pStyle w:val="TableParagraph"/>
              <w:spacing w:before="48"/>
              <w:ind w:right="13"/>
              <w:jc w:val="right"/>
              <w:rPr>
                <w:sz w:val="18"/>
              </w:rPr>
            </w:pPr>
            <w:r>
              <w:rPr>
                <w:spacing w:val="-2"/>
                <w:sz w:val="18"/>
              </w:rPr>
              <w:t>(22,621)</w:t>
            </w:r>
          </w:p>
        </w:tc>
      </w:tr>
      <w:tr>
        <w:trPr>
          <w:trHeight w:val="275" w:hRule="atLeast"/>
        </w:trPr>
        <w:tc>
          <w:tcPr>
            <w:tcW w:w="7004" w:type="dxa"/>
            <w:tcBorders>
              <w:top w:val="single" w:sz="4" w:space="0" w:color="000000"/>
              <w:bottom w:val="single" w:sz="4" w:space="0" w:color="000000"/>
            </w:tcBorders>
          </w:tcPr>
          <w:p>
            <w:pPr>
              <w:pStyle w:val="TableParagraph"/>
              <w:spacing w:before="43"/>
              <w:ind w:left="637"/>
              <w:rPr>
                <w:sz w:val="18"/>
              </w:rPr>
            </w:pPr>
            <w:r>
              <w:rPr>
                <w:sz w:val="18"/>
              </w:rPr>
              <w:t>Total</w:t>
            </w:r>
            <w:r>
              <w:rPr>
                <w:spacing w:val="-1"/>
                <w:sz w:val="18"/>
              </w:rPr>
              <w:t> </w:t>
            </w:r>
            <w:r>
              <w:rPr>
                <w:sz w:val="18"/>
              </w:rPr>
              <w:t>stockholders’</w:t>
            </w:r>
            <w:r>
              <w:rPr>
                <w:spacing w:val="-1"/>
                <w:sz w:val="18"/>
              </w:rPr>
              <w:t> </w:t>
            </w:r>
            <w:r>
              <w:rPr>
                <w:spacing w:val="-2"/>
                <w:sz w:val="18"/>
              </w:rPr>
              <w:t>equity</w:t>
            </w:r>
          </w:p>
        </w:tc>
        <w:tc>
          <w:tcPr>
            <w:tcW w:w="1678" w:type="dxa"/>
            <w:tcBorders>
              <w:top w:val="single" w:sz="4" w:space="0" w:color="000000"/>
              <w:bottom w:val="single" w:sz="4" w:space="0" w:color="000000"/>
            </w:tcBorders>
          </w:tcPr>
          <w:p>
            <w:pPr>
              <w:pStyle w:val="TableParagraph"/>
              <w:spacing w:before="43"/>
              <w:ind w:right="129"/>
              <w:jc w:val="right"/>
              <w:rPr>
                <w:sz w:val="18"/>
              </w:rPr>
            </w:pPr>
            <w:r>
              <w:rPr>
                <w:spacing w:val="-2"/>
                <w:sz w:val="18"/>
              </w:rPr>
              <w:t>37,784</w:t>
            </w:r>
          </w:p>
        </w:tc>
        <w:tc>
          <w:tcPr>
            <w:tcW w:w="1564" w:type="dxa"/>
            <w:tcBorders>
              <w:top w:val="single" w:sz="4" w:space="0" w:color="000000"/>
              <w:bottom w:val="single" w:sz="4" w:space="0" w:color="000000"/>
            </w:tcBorders>
          </w:tcPr>
          <w:p>
            <w:pPr>
              <w:pStyle w:val="TableParagraph"/>
              <w:spacing w:before="43"/>
              <w:ind w:right="73"/>
              <w:jc w:val="right"/>
              <w:rPr>
                <w:sz w:val="18"/>
              </w:rPr>
            </w:pPr>
            <w:r>
              <w:rPr>
                <w:spacing w:val="-2"/>
                <w:sz w:val="18"/>
              </w:rPr>
              <w:t>36,608</w:t>
            </w:r>
          </w:p>
        </w:tc>
      </w:tr>
      <w:tr>
        <w:trPr>
          <w:trHeight w:val="250" w:hRule="atLeast"/>
        </w:trPr>
        <w:tc>
          <w:tcPr>
            <w:tcW w:w="7004" w:type="dxa"/>
            <w:tcBorders>
              <w:top w:val="single" w:sz="4" w:space="0" w:color="000000"/>
              <w:bottom w:val="double" w:sz="8" w:space="0" w:color="000000"/>
            </w:tcBorders>
            <w:shd w:val="clear" w:color="auto" w:fill="CCEDFF"/>
          </w:tcPr>
          <w:p>
            <w:pPr>
              <w:pStyle w:val="TableParagraph"/>
              <w:spacing w:line="187" w:lineRule="exact" w:before="43"/>
              <w:ind w:left="772"/>
              <w:rPr>
                <w:b/>
                <w:sz w:val="18"/>
              </w:rPr>
            </w:pPr>
            <w:r>
              <w:rPr>
                <w:b/>
                <w:sz w:val="18"/>
              </w:rPr>
              <w:t>Total</w:t>
            </w:r>
            <w:r>
              <w:rPr>
                <w:b/>
                <w:spacing w:val="-2"/>
                <w:sz w:val="18"/>
              </w:rPr>
              <w:t> </w:t>
            </w:r>
            <w:r>
              <w:rPr>
                <w:b/>
                <w:sz w:val="18"/>
              </w:rPr>
              <w:t>liabilities</w:t>
            </w:r>
            <w:r>
              <w:rPr>
                <w:b/>
                <w:spacing w:val="-3"/>
                <w:sz w:val="18"/>
              </w:rPr>
              <w:t> </w:t>
            </w:r>
            <w:r>
              <w:rPr>
                <w:b/>
                <w:sz w:val="18"/>
              </w:rPr>
              <w:t>and</w:t>
            </w:r>
            <w:r>
              <w:rPr>
                <w:b/>
                <w:spacing w:val="-3"/>
                <w:sz w:val="18"/>
              </w:rPr>
              <w:t> </w:t>
            </w:r>
            <w:r>
              <w:rPr>
                <w:b/>
                <w:sz w:val="18"/>
              </w:rPr>
              <w:t>stockholders’</w:t>
            </w:r>
            <w:r>
              <w:rPr>
                <w:b/>
                <w:spacing w:val="-1"/>
                <w:sz w:val="18"/>
              </w:rPr>
              <w:t> </w:t>
            </w:r>
            <w:r>
              <w:rPr>
                <w:b/>
                <w:spacing w:val="-2"/>
                <w:sz w:val="18"/>
              </w:rPr>
              <w:t>equity</w:t>
            </w:r>
          </w:p>
        </w:tc>
        <w:tc>
          <w:tcPr>
            <w:tcW w:w="1678" w:type="dxa"/>
            <w:tcBorders>
              <w:top w:val="single" w:sz="4" w:space="0" w:color="000000"/>
              <w:bottom w:val="double" w:sz="8" w:space="0" w:color="000000"/>
            </w:tcBorders>
            <w:shd w:val="clear" w:color="auto" w:fill="CCEDFF"/>
          </w:tcPr>
          <w:p>
            <w:pPr>
              <w:pStyle w:val="TableParagraph"/>
              <w:tabs>
                <w:tab w:pos="961" w:val="left" w:leader="none"/>
              </w:tabs>
              <w:spacing w:line="187" w:lineRule="exact" w:before="43"/>
              <w:ind w:left="98"/>
              <w:rPr>
                <w:sz w:val="18"/>
              </w:rPr>
            </w:pPr>
            <w:r>
              <w:rPr>
                <w:spacing w:val="-10"/>
                <w:sz w:val="18"/>
              </w:rPr>
              <w:t>$</w:t>
            </w:r>
            <w:r>
              <w:rPr>
                <w:sz w:val="18"/>
              </w:rPr>
              <w:tab/>
            </w:r>
            <w:r>
              <w:rPr>
                <w:spacing w:val="-2"/>
                <w:sz w:val="18"/>
              </w:rPr>
              <w:t>475,204</w:t>
            </w:r>
          </w:p>
        </w:tc>
        <w:tc>
          <w:tcPr>
            <w:tcW w:w="1564" w:type="dxa"/>
            <w:tcBorders>
              <w:top w:val="single" w:sz="4" w:space="0" w:color="000000"/>
              <w:bottom w:val="double" w:sz="8" w:space="0" w:color="000000"/>
            </w:tcBorders>
            <w:shd w:val="clear" w:color="auto" w:fill="CCEDFF"/>
          </w:tcPr>
          <w:p>
            <w:pPr>
              <w:pStyle w:val="TableParagraph"/>
              <w:tabs>
                <w:tab w:pos="832" w:val="left" w:leader="none"/>
              </w:tabs>
              <w:spacing w:line="187" w:lineRule="exact" w:before="43"/>
              <w:ind w:right="73"/>
              <w:jc w:val="right"/>
              <w:rPr>
                <w:sz w:val="18"/>
              </w:rPr>
            </w:pPr>
            <w:r>
              <w:rPr>
                <w:spacing w:val="-10"/>
                <w:sz w:val="18"/>
              </w:rPr>
              <w:t>$</w:t>
            </w:r>
            <w:r>
              <w:rPr>
                <w:sz w:val="18"/>
              </w:rPr>
              <w:tab/>
            </w:r>
            <w:r>
              <w:rPr>
                <w:spacing w:val="-2"/>
                <w:sz w:val="18"/>
              </w:rPr>
              <w:t>551,772</w:t>
            </w:r>
          </w:p>
        </w:tc>
      </w:tr>
    </w:tbl>
    <w:p>
      <w:pPr>
        <w:spacing w:before="31"/>
        <w:ind w:left="470" w:right="0" w:firstLine="0"/>
        <w:jc w:val="left"/>
        <w:rPr>
          <w:sz w:val="16"/>
        </w:rPr>
      </w:pPr>
      <w:r>
        <w:rPr>
          <w:sz w:val="16"/>
          <w:vertAlign w:val="superscript"/>
        </w:rPr>
        <w:t>(1)</w:t>
      </w:r>
      <w:r>
        <w:rPr>
          <w:spacing w:val="-1"/>
          <w:sz w:val="16"/>
          <w:vertAlign w:val="baseline"/>
        </w:rPr>
        <w:t> </w:t>
      </w:r>
      <w:r>
        <w:rPr>
          <w:sz w:val="16"/>
          <w:vertAlign w:val="baseline"/>
        </w:rPr>
        <w:t>Certain prior year amounts have been reclassified to conform</w:t>
      </w:r>
      <w:r>
        <w:rPr>
          <w:spacing w:val="1"/>
          <w:sz w:val="16"/>
          <w:vertAlign w:val="baseline"/>
        </w:rPr>
        <w:t> </w:t>
      </w:r>
      <w:r>
        <w:rPr>
          <w:sz w:val="16"/>
          <w:vertAlign w:val="baseline"/>
        </w:rPr>
        <w:t>to the current year</w:t>
      </w:r>
      <w:r>
        <w:rPr>
          <w:spacing w:val="1"/>
          <w:sz w:val="16"/>
          <w:vertAlign w:val="baseline"/>
        </w:rPr>
        <w:t> </w:t>
      </w:r>
      <w:r>
        <w:rPr>
          <w:sz w:val="16"/>
          <w:vertAlign w:val="baseline"/>
        </w:rPr>
        <w:t>presentation. See Note 1 for</w:t>
      </w:r>
      <w:r>
        <w:rPr>
          <w:spacing w:val="1"/>
          <w:sz w:val="16"/>
          <w:vertAlign w:val="baseline"/>
        </w:rPr>
        <w:t> </w:t>
      </w:r>
      <w:r>
        <w:rPr>
          <w:sz w:val="16"/>
          <w:vertAlign w:val="baseline"/>
        </w:rPr>
        <w:t>additional </w:t>
      </w:r>
      <w:r>
        <w:rPr>
          <w:spacing w:val="-2"/>
          <w:sz w:val="16"/>
          <w:vertAlign w:val="baseline"/>
        </w:rPr>
        <w:t>information.</w:t>
      </w:r>
    </w:p>
    <w:p>
      <w:pPr>
        <w:pStyle w:val="BodyText"/>
        <w:spacing w:before="35"/>
        <w:rPr>
          <w:sz w:val="16"/>
        </w:rPr>
      </w:pPr>
    </w:p>
    <w:p>
      <w:pPr>
        <w:spacing w:before="0"/>
        <w:ind w:left="470" w:right="0" w:firstLine="0"/>
        <w:jc w:val="left"/>
        <w:rPr>
          <w:i/>
          <w:sz w:val="18"/>
        </w:rPr>
      </w:pPr>
      <w:r>
        <w:rPr>
          <w:i/>
          <w:sz w:val="18"/>
        </w:rPr>
        <w:t>See</w:t>
      </w:r>
      <w:r>
        <w:rPr>
          <w:i/>
          <w:spacing w:val="-1"/>
          <w:sz w:val="18"/>
        </w:rPr>
        <w:t> </w:t>
      </w:r>
      <w:r>
        <w:rPr>
          <w:i/>
          <w:sz w:val="18"/>
        </w:rPr>
        <w:t>Notes</w:t>
      </w:r>
      <w:r>
        <w:rPr>
          <w:i/>
          <w:spacing w:val="-1"/>
          <w:sz w:val="18"/>
        </w:rPr>
        <w:t> </w:t>
      </w:r>
      <w:r>
        <w:rPr>
          <w:i/>
          <w:sz w:val="18"/>
        </w:rPr>
        <w:t>to Condensed</w:t>
      </w:r>
      <w:r>
        <w:rPr>
          <w:i/>
          <w:spacing w:val="-1"/>
          <w:sz w:val="18"/>
        </w:rPr>
        <w:t> </w:t>
      </w:r>
      <w:r>
        <w:rPr>
          <w:i/>
          <w:sz w:val="18"/>
        </w:rPr>
        <w:t>Consolidated Financial </w:t>
      </w:r>
      <w:r>
        <w:rPr>
          <w:i/>
          <w:spacing w:val="-2"/>
          <w:sz w:val="18"/>
        </w:rPr>
        <w:t>Statements.</w:t>
      </w:r>
    </w:p>
    <w:p>
      <w:pPr>
        <w:spacing w:after="0"/>
        <w:jc w:val="left"/>
        <w:rPr>
          <w:sz w:val="18"/>
        </w:rPr>
        <w:sectPr>
          <w:pgSz w:w="12240" w:h="15840"/>
          <w:pgMar w:header="467" w:footer="201" w:top="680" w:bottom="400" w:left="520" w:right="520"/>
        </w:sectPr>
      </w:pPr>
    </w:p>
    <w:p>
      <w:pPr>
        <w:pStyle w:val="BodyText"/>
        <w:spacing w:before="35"/>
        <w:rPr>
          <w:i/>
        </w:rPr>
      </w:pPr>
    </w:p>
    <w:p>
      <w:pPr>
        <w:spacing w:after="0"/>
        <w:sectPr>
          <w:headerReference w:type="default" r:id="rId16"/>
          <w:footerReference w:type="default" r:id="rId17"/>
          <w:pgSz w:w="12240" w:h="15840"/>
          <w:pgMar w:header="467" w:footer="201" w:top="1320" w:bottom="400" w:left="520" w:right="520"/>
        </w:sectPr>
      </w:pPr>
    </w:p>
    <w:p>
      <w:pPr>
        <w:pStyle w:val="BodyText"/>
        <w:spacing w:before="69"/>
        <w:rPr>
          <w:i/>
          <w:sz w:val="16"/>
        </w:rPr>
      </w:pPr>
    </w:p>
    <w:p>
      <w:pPr>
        <w:spacing w:before="1"/>
        <w:ind w:left="0" w:right="0" w:firstLine="0"/>
        <w:jc w:val="right"/>
        <w:rPr>
          <w:sz w:val="16"/>
        </w:rPr>
      </w:pPr>
      <w:r>
        <w:rPr/>
        <mc:AlternateContent>
          <mc:Choice Requires="wps">
            <w:drawing>
              <wp:anchor distT="0" distB="0" distL="0" distR="0" allowOverlap="1" layoutInCell="1" locked="0" behindDoc="0" simplePos="0" relativeHeight="15745024">
                <wp:simplePos x="0" y="0"/>
                <wp:positionH relativeFrom="page">
                  <wp:posOffset>2981325</wp:posOffset>
                </wp:positionH>
                <wp:positionV relativeFrom="paragraph">
                  <wp:posOffset>72787</wp:posOffset>
                </wp:positionV>
                <wp:extent cx="1590675" cy="635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1590675" cy="6350"/>
                          <a:chExt cx="1590675" cy="6350"/>
                        </a:xfrm>
                      </wpg:grpSpPr>
                      <wps:wsp>
                        <wps:cNvPr id="131" name="Graphic 131"/>
                        <wps:cNvSpPr/>
                        <wps:spPr>
                          <a:xfrm>
                            <a:off x="0" y="3175"/>
                            <a:ext cx="1590675" cy="1270"/>
                          </a:xfrm>
                          <a:custGeom>
                            <a:avLst/>
                            <a:gdLst/>
                            <a:ahLst/>
                            <a:cxnLst/>
                            <a:rect l="l" t="t" r="r" b="b"/>
                            <a:pathLst>
                              <a:path w="1590675" h="0">
                                <a:moveTo>
                                  <a:pt x="1590675" y="0"/>
                                </a:moveTo>
                                <a:lnTo>
                                  <a:pt x="0" y="0"/>
                                </a:lnTo>
                              </a:path>
                            </a:pathLst>
                          </a:custGeom>
                          <a:solidFill>
                            <a:srgbClr val="000000"/>
                          </a:solidFill>
                        </wps:spPr>
                        <wps:bodyPr wrap="square" lIns="0" tIns="0" rIns="0" bIns="0" rtlCol="0">
                          <a:prstTxWarp prst="textNoShape">
                            <a:avLst/>
                          </a:prstTxWarp>
                          <a:noAutofit/>
                        </wps:bodyPr>
                      </wps:wsp>
                      <wps:wsp>
                        <wps:cNvPr id="132" name="Graphic 132"/>
                        <wps:cNvSpPr/>
                        <wps:spPr>
                          <a:xfrm>
                            <a:off x="0" y="3175"/>
                            <a:ext cx="1590675" cy="1270"/>
                          </a:xfrm>
                          <a:custGeom>
                            <a:avLst/>
                            <a:gdLst/>
                            <a:ahLst/>
                            <a:cxnLst/>
                            <a:rect l="l" t="t" r="r" b="b"/>
                            <a:pathLst>
                              <a:path w="1590675" h="0">
                                <a:moveTo>
                                  <a:pt x="0" y="0"/>
                                </a:moveTo>
                                <a:lnTo>
                                  <a:pt x="159067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4.75pt;margin-top:5.731289pt;width:125.25pt;height:.5pt;mso-position-horizontal-relative:page;mso-position-vertical-relative:paragraph;z-index:15745024" id="docshapegroup93" coordorigin="4695,115" coordsize="2505,10">
                <v:shape style="position:absolute;left:4695;top:119;width:2505;height:2" id="docshape94" coordorigin="4695,120" coordsize="2505,0" path="m7200,120l4695,120e" filled="true" fillcolor="#000000" stroked="false">
                  <v:path arrowok="t"/>
                  <v:fill opacity="0f" type="solid"/>
                </v:shape>
                <v:line style="position:absolute" from="4695,120" to="7200,120" stroked="true" strokeweight=".5pt" strokecolor="#000000">
                  <v:stroke dashstyle="solid"/>
                </v:line>
                <w10:wrap type="none"/>
              </v:group>
            </w:pict>
          </mc:Fallback>
        </mc:AlternateContent>
      </w:r>
      <w:bookmarkStart w:name="Stockholders' Equity" w:id="34"/>
      <w:bookmarkEnd w:id="34"/>
      <w:r>
        <w:rPr/>
      </w:r>
      <w:bookmarkStart w:name="_bookmark5" w:id="35"/>
      <w:bookmarkEnd w:id="35"/>
      <w:r>
        <w:rPr/>
      </w:r>
      <w:r>
        <w:rPr>
          <w:spacing w:val="-2"/>
          <w:sz w:val="16"/>
        </w:rPr>
        <w:t>Stock,</w:t>
      </w:r>
    </w:p>
    <w:p>
      <w:pPr>
        <w:spacing w:before="94"/>
        <w:ind w:left="520" w:right="0" w:firstLine="0"/>
        <w:jc w:val="left"/>
        <w:rPr>
          <w:sz w:val="16"/>
        </w:rPr>
      </w:pPr>
      <w:r>
        <w:rPr/>
        <w:br w:type="column"/>
      </w:r>
      <w:r>
        <w:rPr>
          <w:spacing w:val="-2"/>
          <w:sz w:val="16"/>
        </w:rPr>
        <w:t>Other</w:t>
      </w:r>
    </w:p>
    <w:p>
      <w:pPr>
        <w:spacing w:after="0"/>
        <w:jc w:val="left"/>
        <w:rPr>
          <w:sz w:val="16"/>
        </w:rPr>
        <w:sectPr>
          <w:type w:val="continuous"/>
          <w:pgSz w:w="12240" w:h="15840"/>
          <w:pgMar w:header="467" w:footer="201" w:top="320" w:bottom="280" w:left="520" w:right="520"/>
          <w:cols w:num="2" w:equalWidth="0">
            <w:col w:w="8844" w:space="40"/>
            <w:col w:w="2316"/>
          </w:cols>
        </w:sectPr>
      </w:pPr>
    </w:p>
    <w:p>
      <w:pPr>
        <w:pStyle w:val="BodyText"/>
      </w:pPr>
      <w:r>
        <w:rPr/>
        <mc:AlternateContent>
          <mc:Choice Requires="wps">
            <w:drawing>
              <wp:anchor distT="0" distB="0" distL="0" distR="0" allowOverlap="1" layoutInCell="1" locked="0" behindDoc="0" simplePos="0" relativeHeight="15745536">
                <wp:simplePos x="0" y="0"/>
                <wp:positionH relativeFrom="page">
                  <wp:posOffset>476250</wp:posOffset>
                </wp:positionH>
                <wp:positionV relativeFrom="page">
                  <wp:posOffset>973468</wp:posOffset>
                </wp:positionV>
                <wp:extent cx="6819900" cy="275018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6819900" cy="275018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5"/>
                              <w:gridCol w:w="804"/>
                              <w:gridCol w:w="541"/>
                              <w:gridCol w:w="678"/>
                              <w:gridCol w:w="608"/>
                              <w:gridCol w:w="636"/>
                              <w:gridCol w:w="869"/>
                              <w:gridCol w:w="736"/>
                              <w:gridCol w:w="2057"/>
                              <w:gridCol w:w="584"/>
                            </w:tblGrid>
                            <w:tr>
                              <w:trPr>
                                <w:trHeight w:val="483" w:hRule="atLeast"/>
                              </w:trPr>
                              <w:tc>
                                <w:tcPr>
                                  <w:tcW w:w="3125" w:type="dxa"/>
                                  <w:vMerge w:val="restart"/>
                                  <w:tcBorders>
                                    <w:bottom w:val="single" w:sz="4" w:space="0" w:color="000000"/>
                                  </w:tcBorders>
                                </w:tcPr>
                                <w:p>
                                  <w:pPr>
                                    <w:pStyle w:val="TableParagraph"/>
                                    <w:rPr>
                                      <w:sz w:val="16"/>
                                    </w:rPr>
                                  </w:pPr>
                                </w:p>
                              </w:tc>
                              <w:tc>
                                <w:tcPr>
                                  <w:tcW w:w="804" w:type="dxa"/>
                                </w:tcPr>
                                <w:p>
                                  <w:pPr>
                                    <w:pStyle w:val="TableParagraph"/>
                                    <w:spacing w:before="129"/>
                                    <w:rPr>
                                      <w:i/>
                                      <w:sz w:val="16"/>
                                    </w:rPr>
                                  </w:pPr>
                                </w:p>
                                <w:p>
                                  <w:pPr>
                                    <w:pStyle w:val="TableParagraph"/>
                                    <w:spacing w:line="150" w:lineRule="exact"/>
                                    <w:ind w:left="128"/>
                                    <w:rPr>
                                      <w:sz w:val="16"/>
                                    </w:rPr>
                                  </w:pPr>
                                  <w:r>
                                    <w:rPr>
                                      <w:spacing w:val="-2"/>
                                      <w:sz w:val="16"/>
                                    </w:rPr>
                                    <w:t>Preferred</w:t>
                                  </w:r>
                                </w:p>
                              </w:tc>
                              <w:tc>
                                <w:tcPr>
                                  <w:tcW w:w="541" w:type="dxa"/>
                                </w:tcPr>
                                <w:p>
                                  <w:pPr>
                                    <w:pStyle w:val="TableParagraph"/>
                                    <w:spacing w:before="34"/>
                                    <w:rPr>
                                      <w:i/>
                                      <w:sz w:val="16"/>
                                    </w:rPr>
                                  </w:pPr>
                                </w:p>
                                <w:p>
                                  <w:pPr>
                                    <w:pStyle w:val="TableParagraph"/>
                                    <w:ind w:right="13"/>
                                    <w:jc w:val="right"/>
                                    <w:rPr>
                                      <w:sz w:val="16"/>
                                    </w:rPr>
                                  </w:pPr>
                                  <w:r>
                                    <w:rPr>
                                      <w:spacing w:val="-4"/>
                                      <w:sz w:val="16"/>
                                    </w:rPr>
                                    <w:t>Comm</w:t>
                                  </w:r>
                                </w:p>
                              </w:tc>
                              <w:tc>
                                <w:tcPr>
                                  <w:tcW w:w="678" w:type="dxa"/>
                                </w:tcPr>
                                <w:p>
                                  <w:pPr>
                                    <w:pStyle w:val="TableParagraph"/>
                                    <w:spacing w:before="34"/>
                                    <w:rPr>
                                      <w:i/>
                                      <w:sz w:val="16"/>
                                    </w:rPr>
                                  </w:pPr>
                                </w:p>
                                <w:p>
                                  <w:pPr>
                                    <w:pStyle w:val="TableParagraph"/>
                                    <w:ind w:left="-16"/>
                                    <w:rPr>
                                      <w:sz w:val="16"/>
                                    </w:rPr>
                                  </w:pPr>
                                  <w:r>
                                    <w:rPr>
                                      <w:sz w:val="16"/>
                                    </w:rPr>
                                    <w:t>on </w:t>
                                  </w:r>
                                  <w:r>
                                    <w:rPr>
                                      <w:spacing w:val="-2"/>
                                      <w:sz w:val="16"/>
                                    </w:rPr>
                                    <w:t>Stock</w:t>
                                  </w:r>
                                </w:p>
                              </w:tc>
                              <w:tc>
                                <w:tcPr>
                                  <w:tcW w:w="1244" w:type="dxa"/>
                                  <w:gridSpan w:val="2"/>
                                </w:tcPr>
                                <w:p>
                                  <w:pPr>
                                    <w:pStyle w:val="TableParagraph"/>
                                    <w:spacing w:line="208" w:lineRule="auto" w:before="77"/>
                                    <w:ind w:left="123" w:right="118" w:firstLine="157"/>
                                    <w:rPr>
                                      <w:sz w:val="16"/>
                                    </w:rPr>
                                  </w:pPr>
                                  <w:r>
                                    <w:rPr>
                                      <w:spacing w:val="-2"/>
                                      <w:sz w:val="16"/>
                                    </w:rPr>
                                    <w:t>Nonvoting</w:t>
                                  </w:r>
                                  <w:r>
                                    <w:rPr>
                                      <w:spacing w:val="40"/>
                                      <w:sz w:val="16"/>
                                    </w:rPr>
                                    <w:t> </w:t>
                                  </w:r>
                                  <w:r>
                                    <w:rPr>
                                      <w:sz w:val="16"/>
                                    </w:rPr>
                                    <w:t>Common</w:t>
                                  </w:r>
                                  <w:r>
                                    <w:rPr>
                                      <w:spacing w:val="-10"/>
                                      <w:sz w:val="16"/>
                                    </w:rPr>
                                    <w:t> </w:t>
                                  </w:r>
                                  <w:r>
                                    <w:rPr>
                                      <w:sz w:val="16"/>
                                    </w:rPr>
                                    <w:t>Stock</w:t>
                                  </w:r>
                                </w:p>
                              </w:tc>
                              <w:tc>
                                <w:tcPr>
                                  <w:tcW w:w="869" w:type="dxa"/>
                                </w:tcPr>
                                <w:p>
                                  <w:pPr>
                                    <w:pStyle w:val="TableParagraph"/>
                                    <w:spacing w:line="160" w:lineRule="exact" w:before="143"/>
                                    <w:ind w:left="205" w:right="87" w:hanging="111"/>
                                    <w:rPr>
                                      <w:sz w:val="16"/>
                                    </w:rPr>
                                  </w:pPr>
                                  <w:r>
                                    <w:rPr>
                                      <w:spacing w:val="-2"/>
                                      <w:sz w:val="16"/>
                                    </w:rPr>
                                    <w:t>Additional</w:t>
                                  </w:r>
                                  <w:r>
                                    <w:rPr>
                                      <w:spacing w:val="40"/>
                                      <w:sz w:val="16"/>
                                    </w:rPr>
                                    <w:t> </w:t>
                                  </w:r>
                                  <w:r>
                                    <w:rPr>
                                      <w:spacing w:val="-2"/>
                                      <w:sz w:val="16"/>
                                    </w:rPr>
                                    <w:t>Paid-in</w:t>
                                  </w:r>
                                </w:p>
                              </w:tc>
                              <w:tc>
                                <w:tcPr>
                                  <w:tcW w:w="736" w:type="dxa"/>
                                </w:tcPr>
                                <w:p>
                                  <w:pPr>
                                    <w:pStyle w:val="TableParagraph"/>
                                    <w:spacing w:before="129"/>
                                    <w:rPr>
                                      <w:i/>
                                      <w:sz w:val="16"/>
                                    </w:rPr>
                                  </w:pPr>
                                </w:p>
                                <w:p>
                                  <w:pPr>
                                    <w:pStyle w:val="TableParagraph"/>
                                    <w:spacing w:line="150" w:lineRule="exact"/>
                                    <w:ind w:left="71"/>
                                    <w:rPr>
                                      <w:sz w:val="16"/>
                                    </w:rPr>
                                  </w:pPr>
                                  <w:r>
                                    <w:rPr>
                                      <w:spacing w:val="-2"/>
                                      <w:sz w:val="16"/>
                                    </w:rPr>
                                    <w:t>Retained</w:t>
                                  </w:r>
                                </w:p>
                              </w:tc>
                              <w:tc>
                                <w:tcPr>
                                  <w:tcW w:w="2057" w:type="dxa"/>
                                </w:tcPr>
                                <w:p>
                                  <w:pPr>
                                    <w:pStyle w:val="TableParagraph"/>
                                    <w:spacing w:line="165" w:lineRule="exact"/>
                                    <w:ind w:left="873"/>
                                    <w:rPr>
                                      <w:sz w:val="16"/>
                                    </w:rPr>
                                  </w:pPr>
                                  <w:r>
                                    <w:rPr>
                                      <w:spacing w:val="-2"/>
                                      <w:sz w:val="16"/>
                                    </w:rPr>
                                    <w:t>Accumulated</w:t>
                                  </w:r>
                                </w:p>
                                <w:p>
                                  <w:pPr>
                                    <w:pStyle w:val="TableParagraph"/>
                                    <w:spacing w:line="160" w:lineRule="exact"/>
                                    <w:ind w:left="70"/>
                                    <w:rPr>
                                      <w:sz w:val="16"/>
                                    </w:rPr>
                                  </w:pPr>
                                  <w:r>
                                    <w:rPr>
                                      <w:spacing w:val="-2"/>
                                      <w:sz w:val="16"/>
                                    </w:rPr>
                                    <w:t>Treasury</w:t>
                                  </w:r>
                                </w:p>
                                <w:p>
                                  <w:pPr>
                                    <w:pStyle w:val="TableParagraph"/>
                                    <w:spacing w:line="138" w:lineRule="exact"/>
                                    <w:ind w:left="797"/>
                                    <w:rPr>
                                      <w:sz w:val="16"/>
                                    </w:rPr>
                                  </w:pPr>
                                  <w:r>
                                    <w:rPr>
                                      <w:spacing w:val="-2"/>
                                      <w:sz w:val="16"/>
                                    </w:rPr>
                                    <w:t>Comprehensive</w:t>
                                  </w:r>
                                </w:p>
                              </w:tc>
                              <w:tc>
                                <w:tcPr>
                                  <w:tcW w:w="584" w:type="dxa"/>
                                </w:tcPr>
                                <w:p>
                                  <w:pPr>
                                    <w:pStyle w:val="TableParagraph"/>
                                    <w:rPr>
                                      <w:sz w:val="16"/>
                                    </w:rPr>
                                  </w:pPr>
                                </w:p>
                              </w:tc>
                            </w:tr>
                            <w:tr>
                              <w:trPr>
                                <w:trHeight w:val="188" w:hRule="atLeast"/>
                              </w:trPr>
                              <w:tc>
                                <w:tcPr>
                                  <w:tcW w:w="3125" w:type="dxa"/>
                                  <w:vMerge/>
                                  <w:tcBorders>
                                    <w:top w:val="nil"/>
                                    <w:bottom w:val="single" w:sz="4" w:space="0" w:color="000000"/>
                                  </w:tcBorders>
                                </w:tcPr>
                                <w:p>
                                  <w:pPr>
                                    <w:rPr>
                                      <w:sz w:val="2"/>
                                      <w:szCs w:val="2"/>
                                    </w:rPr>
                                  </w:pPr>
                                </w:p>
                              </w:tc>
                              <w:tc>
                                <w:tcPr>
                                  <w:tcW w:w="804" w:type="dxa"/>
                                  <w:tcBorders>
                                    <w:bottom w:val="single" w:sz="4" w:space="0" w:color="000000"/>
                                  </w:tcBorders>
                                </w:tcPr>
                                <w:p>
                                  <w:pPr>
                                    <w:pStyle w:val="TableParagraph"/>
                                    <w:spacing w:line="164" w:lineRule="exact"/>
                                    <w:ind w:left="244"/>
                                    <w:rPr>
                                      <w:sz w:val="16"/>
                                    </w:rPr>
                                  </w:pPr>
                                  <w:r>
                                    <w:rPr>
                                      <w:spacing w:val="-2"/>
                                      <w:sz w:val="16"/>
                                    </w:rPr>
                                    <w:t>Stock</w:t>
                                  </w:r>
                                </w:p>
                              </w:tc>
                              <w:tc>
                                <w:tcPr>
                                  <w:tcW w:w="541" w:type="dxa"/>
                                  <w:tcBorders>
                                    <w:bottom w:val="single" w:sz="4" w:space="0" w:color="000000"/>
                                  </w:tcBorders>
                                </w:tcPr>
                                <w:p>
                                  <w:pPr>
                                    <w:pStyle w:val="TableParagraph"/>
                                    <w:spacing w:line="164" w:lineRule="exact"/>
                                    <w:ind w:right="58"/>
                                    <w:jc w:val="right"/>
                                    <w:rPr>
                                      <w:sz w:val="16"/>
                                    </w:rPr>
                                  </w:pPr>
                                  <w:r>
                                    <w:rPr>
                                      <w:spacing w:val="-2"/>
                                      <w:sz w:val="16"/>
                                    </w:rPr>
                                    <w:t>Shares</w:t>
                                  </w:r>
                                </w:p>
                              </w:tc>
                              <w:tc>
                                <w:tcPr>
                                  <w:tcW w:w="678" w:type="dxa"/>
                                  <w:tcBorders>
                                    <w:bottom w:val="single" w:sz="4" w:space="0" w:color="000000"/>
                                  </w:tcBorders>
                                </w:tcPr>
                                <w:p>
                                  <w:pPr>
                                    <w:pStyle w:val="TableParagraph"/>
                                    <w:spacing w:line="164" w:lineRule="exact"/>
                                    <w:ind w:left="79"/>
                                    <w:rPr>
                                      <w:sz w:val="16"/>
                                    </w:rPr>
                                  </w:pPr>
                                  <w:r>
                                    <w:rPr>
                                      <w:spacing w:val="-2"/>
                                      <w:sz w:val="16"/>
                                    </w:rPr>
                                    <w:t>Amount</w:t>
                                  </w:r>
                                </w:p>
                              </w:tc>
                              <w:tc>
                                <w:tcPr>
                                  <w:tcW w:w="608" w:type="dxa"/>
                                  <w:tcBorders>
                                    <w:bottom w:val="single" w:sz="4" w:space="0" w:color="000000"/>
                                  </w:tcBorders>
                                </w:tcPr>
                                <w:p>
                                  <w:pPr>
                                    <w:pStyle w:val="TableParagraph"/>
                                    <w:spacing w:line="164" w:lineRule="exact"/>
                                    <w:ind w:left="61"/>
                                    <w:rPr>
                                      <w:sz w:val="16"/>
                                    </w:rPr>
                                  </w:pPr>
                                  <w:r>
                                    <w:rPr>
                                      <w:spacing w:val="-2"/>
                                      <w:sz w:val="16"/>
                                    </w:rPr>
                                    <w:t>Shares</w:t>
                                  </w:r>
                                </w:p>
                              </w:tc>
                              <w:tc>
                                <w:tcPr>
                                  <w:tcW w:w="636" w:type="dxa"/>
                                  <w:tcBorders>
                                    <w:bottom w:val="single" w:sz="4" w:space="0" w:color="000000"/>
                                  </w:tcBorders>
                                </w:tcPr>
                                <w:p>
                                  <w:pPr>
                                    <w:pStyle w:val="TableParagraph"/>
                                    <w:spacing w:line="164" w:lineRule="exact"/>
                                    <w:ind w:left="41"/>
                                    <w:rPr>
                                      <w:sz w:val="16"/>
                                    </w:rPr>
                                  </w:pPr>
                                  <w:r>
                                    <w:rPr>
                                      <w:spacing w:val="-2"/>
                                      <w:sz w:val="16"/>
                                    </w:rPr>
                                    <w:t>Amount</w:t>
                                  </w:r>
                                </w:p>
                              </w:tc>
                              <w:tc>
                                <w:tcPr>
                                  <w:tcW w:w="869" w:type="dxa"/>
                                  <w:tcBorders>
                                    <w:bottom w:val="single" w:sz="4" w:space="0" w:color="000000"/>
                                  </w:tcBorders>
                                </w:tcPr>
                                <w:p>
                                  <w:pPr>
                                    <w:pStyle w:val="TableParagraph"/>
                                    <w:spacing w:line="164" w:lineRule="exact"/>
                                    <w:ind w:left="205"/>
                                    <w:rPr>
                                      <w:sz w:val="16"/>
                                    </w:rPr>
                                  </w:pPr>
                                  <w:r>
                                    <w:rPr>
                                      <w:spacing w:val="-2"/>
                                      <w:sz w:val="16"/>
                                    </w:rPr>
                                    <w:t>Capital</w:t>
                                  </w:r>
                                </w:p>
                              </w:tc>
                              <w:tc>
                                <w:tcPr>
                                  <w:tcW w:w="736" w:type="dxa"/>
                                  <w:tcBorders>
                                    <w:bottom w:val="single" w:sz="4" w:space="0" w:color="000000"/>
                                  </w:tcBorders>
                                </w:tcPr>
                                <w:p>
                                  <w:pPr>
                                    <w:pStyle w:val="TableParagraph"/>
                                    <w:spacing w:line="164" w:lineRule="exact"/>
                                    <w:ind w:left="71"/>
                                    <w:rPr>
                                      <w:sz w:val="16"/>
                                    </w:rPr>
                                  </w:pPr>
                                  <w:r>
                                    <w:rPr>
                                      <w:spacing w:val="-2"/>
                                      <w:sz w:val="16"/>
                                    </w:rPr>
                                    <w:t>Earnings</w:t>
                                  </w:r>
                                </w:p>
                              </w:tc>
                              <w:tc>
                                <w:tcPr>
                                  <w:tcW w:w="2057" w:type="dxa"/>
                                  <w:tcBorders>
                                    <w:bottom w:val="single" w:sz="4" w:space="0" w:color="000000"/>
                                  </w:tcBorders>
                                </w:tcPr>
                                <w:p>
                                  <w:pPr>
                                    <w:pStyle w:val="TableParagraph"/>
                                    <w:tabs>
                                      <w:tab w:pos="835" w:val="left" w:leader="none"/>
                                    </w:tabs>
                                    <w:spacing w:line="164" w:lineRule="exact"/>
                                    <w:ind w:left="147"/>
                                    <w:rPr>
                                      <w:sz w:val="16"/>
                                    </w:rPr>
                                  </w:pPr>
                                  <w:r>
                                    <w:rPr>
                                      <w:sz w:val="16"/>
                                    </w:rPr>
                                    <w:t>at </w:t>
                                  </w:r>
                                  <w:r>
                                    <w:rPr>
                                      <w:spacing w:val="-4"/>
                                      <w:sz w:val="16"/>
                                    </w:rPr>
                                    <w:t>cost</w:t>
                                  </w:r>
                                  <w:r>
                                    <w:rPr>
                                      <w:sz w:val="16"/>
                                    </w:rPr>
                                    <w:tab/>
                                    <w:t>Income </w:t>
                                  </w:r>
                                  <w:r>
                                    <w:rPr>
                                      <w:spacing w:val="-2"/>
                                      <w:sz w:val="16"/>
                                    </w:rPr>
                                    <w:t>(Loss)</w:t>
                                  </w:r>
                                </w:p>
                              </w:tc>
                              <w:tc>
                                <w:tcPr>
                                  <w:tcW w:w="584" w:type="dxa"/>
                                  <w:tcBorders>
                                    <w:bottom w:val="single" w:sz="4" w:space="0" w:color="000000"/>
                                  </w:tcBorders>
                                </w:tcPr>
                                <w:p>
                                  <w:pPr>
                                    <w:pStyle w:val="TableParagraph"/>
                                    <w:spacing w:line="164" w:lineRule="exact"/>
                                    <w:ind w:left="33"/>
                                    <w:rPr>
                                      <w:sz w:val="16"/>
                                    </w:rPr>
                                  </w:pPr>
                                  <w:r>
                                    <w:rPr>
                                      <w:spacing w:val="-2"/>
                                      <w:sz w:val="16"/>
                                    </w:rPr>
                                    <w:t>Total</w:t>
                                  </w:r>
                                </w:p>
                              </w:tc>
                            </w:tr>
                            <w:tr>
                              <w:trPr>
                                <w:trHeight w:val="220" w:hRule="atLeast"/>
                              </w:trPr>
                              <w:tc>
                                <w:tcPr>
                                  <w:tcW w:w="3125" w:type="dxa"/>
                                  <w:tcBorders>
                                    <w:top w:val="single" w:sz="4" w:space="0" w:color="000000"/>
                                    <w:bottom w:val="double" w:sz="8" w:space="0" w:color="000000"/>
                                  </w:tcBorders>
                                  <w:shd w:val="clear" w:color="auto" w:fill="CCEDFF"/>
                                </w:tcPr>
                                <w:p>
                                  <w:pPr>
                                    <w:pStyle w:val="TableParagraph"/>
                                    <w:spacing w:line="164" w:lineRule="exact" w:before="36"/>
                                    <w:ind w:left="52"/>
                                    <w:rPr>
                                      <w:sz w:val="16"/>
                                    </w:rPr>
                                  </w:pPr>
                                  <w:r>
                                    <w:rPr>
                                      <w:sz w:val="16"/>
                                    </w:rPr>
                                    <w:t>Balance</w:t>
                                  </w:r>
                                  <w:r>
                                    <w:rPr>
                                      <w:spacing w:val="-1"/>
                                      <w:sz w:val="16"/>
                                    </w:rPr>
                                    <w:t> </w:t>
                                  </w:r>
                                  <w:r>
                                    <w:rPr>
                                      <w:sz w:val="16"/>
                                    </w:rPr>
                                    <w:t>at June 30, </w:t>
                                  </w:r>
                                  <w:r>
                                    <w:rPr>
                                      <w:spacing w:val="-4"/>
                                      <w:sz w:val="16"/>
                                    </w:rPr>
                                    <w:t>2022</w:t>
                                  </w:r>
                                </w:p>
                              </w:tc>
                              <w:tc>
                                <w:tcPr>
                                  <w:tcW w:w="804" w:type="dxa"/>
                                  <w:tcBorders>
                                    <w:top w:val="single" w:sz="4" w:space="0" w:color="000000"/>
                                    <w:bottom w:val="double" w:sz="8" w:space="0" w:color="000000"/>
                                  </w:tcBorders>
                                  <w:shd w:val="clear" w:color="auto" w:fill="CCEDFF"/>
                                </w:tcPr>
                                <w:p>
                                  <w:pPr>
                                    <w:pStyle w:val="TableParagraph"/>
                                    <w:spacing w:line="164" w:lineRule="exact" w:before="36"/>
                                    <w:ind w:left="107"/>
                                    <w:rPr>
                                      <w:sz w:val="16"/>
                                    </w:rPr>
                                  </w:pPr>
                                  <w:r>
                                    <w:rPr>
                                      <w:sz w:val="16"/>
                                    </w:rPr>
                                    <w:t>$</w:t>
                                  </w:r>
                                  <w:r>
                                    <w:rPr>
                                      <w:spacing w:val="24"/>
                                      <w:sz w:val="16"/>
                                    </w:rPr>
                                    <w:t> </w:t>
                                  </w:r>
                                  <w:r>
                                    <w:rPr>
                                      <w:spacing w:val="-2"/>
                                      <w:sz w:val="16"/>
                                    </w:rPr>
                                    <w:t>10,694</w:t>
                                  </w:r>
                                </w:p>
                              </w:tc>
                              <w:tc>
                                <w:tcPr>
                                  <w:tcW w:w="541" w:type="dxa"/>
                                  <w:tcBorders>
                                    <w:top w:val="single" w:sz="4" w:space="0" w:color="000000"/>
                                    <w:bottom w:val="double" w:sz="8" w:space="0" w:color="000000"/>
                                  </w:tcBorders>
                                  <w:shd w:val="clear" w:color="auto" w:fill="CCEDFF"/>
                                </w:tcPr>
                                <w:p>
                                  <w:pPr>
                                    <w:pStyle w:val="TableParagraph"/>
                                    <w:spacing w:line="164" w:lineRule="exact" w:before="36"/>
                                    <w:ind w:right="66"/>
                                    <w:jc w:val="right"/>
                                    <w:rPr>
                                      <w:sz w:val="16"/>
                                    </w:rPr>
                                  </w:pPr>
                                  <w:r>
                                    <w:rPr>
                                      <w:spacing w:val="-2"/>
                                      <w:sz w:val="16"/>
                                    </w:rPr>
                                    <w:t>1,995</w:t>
                                  </w:r>
                                </w:p>
                              </w:tc>
                              <w:tc>
                                <w:tcPr>
                                  <w:tcW w:w="678" w:type="dxa"/>
                                  <w:tcBorders>
                                    <w:top w:val="single" w:sz="4" w:space="0" w:color="000000"/>
                                    <w:bottom w:val="double" w:sz="8" w:space="0" w:color="000000"/>
                                  </w:tcBorders>
                                  <w:shd w:val="clear" w:color="auto" w:fill="CCEDFF"/>
                                </w:tcPr>
                                <w:p>
                                  <w:pPr>
                                    <w:pStyle w:val="TableParagraph"/>
                                    <w:tabs>
                                      <w:tab w:pos="416" w:val="left" w:leader="none"/>
                                    </w:tabs>
                                    <w:spacing w:line="164" w:lineRule="exact" w:before="36"/>
                                    <w:ind w:left="52"/>
                                    <w:rPr>
                                      <w:sz w:val="16"/>
                                    </w:rPr>
                                  </w:pPr>
                                  <w:r>
                                    <w:rPr>
                                      <w:spacing w:val="-10"/>
                                      <w:sz w:val="16"/>
                                    </w:rPr>
                                    <w:t>$</w:t>
                                  </w:r>
                                  <w:r>
                                    <w:rPr>
                                      <w:sz w:val="16"/>
                                    </w:rPr>
                                    <w:tab/>
                                  </w:r>
                                  <w:r>
                                    <w:rPr>
                                      <w:spacing w:val="-5"/>
                                      <w:sz w:val="16"/>
                                    </w:rPr>
                                    <w:t>20</w:t>
                                  </w:r>
                                </w:p>
                              </w:tc>
                              <w:tc>
                                <w:tcPr>
                                  <w:tcW w:w="608" w:type="dxa"/>
                                  <w:tcBorders>
                                    <w:top w:val="single" w:sz="4" w:space="0" w:color="000000"/>
                                    <w:bottom w:val="double" w:sz="8" w:space="0" w:color="000000"/>
                                  </w:tcBorders>
                                  <w:shd w:val="clear" w:color="auto" w:fill="CCEDFF"/>
                                </w:tcPr>
                                <w:p>
                                  <w:pPr>
                                    <w:pStyle w:val="TableParagraph"/>
                                    <w:spacing w:line="164" w:lineRule="exact" w:before="36"/>
                                    <w:ind w:left="353"/>
                                    <w:rPr>
                                      <w:sz w:val="16"/>
                                    </w:rPr>
                                  </w:pPr>
                                  <w:r>
                                    <w:rPr>
                                      <w:spacing w:val="-5"/>
                                      <w:sz w:val="16"/>
                                    </w:rPr>
                                    <w:t>79</w:t>
                                  </w:r>
                                </w:p>
                              </w:tc>
                              <w:tc>
                                <w:tcPr>
                                  <w:tcW w:w="636" w:type="dxa"/>
                                  <w:tcBorders>
                                    <w:top w:val="single" w:sz="4" w:space="0" w:color="000000"/>
                                    <w:bottom w:val="double" w:sz="8" w:space="0" w:color="000000"/>
                                  </w:tcBorders>
                                  <w:shd w:val="clear" w:color="auto" w:fill="CCEDFF"/>
                                </w:tcPr>
                                <w:p>
                                  <w:pPr>
                                    <w:pStyle w:val="TableParagraph"/>
                                    <w:tabs>
                                      <w:tab w:pos="485" w:val="left" w:leader="none"/>
                                    </w:tabs>
                                    <w:spacing w:line="164" w:lineRule="exact" w:before="36"/>
                                    <w:ind w:left="26"/>
                                    <w:rPr>
                                      <w:sz w:val="16"/>
                                    </w:rPr>
                                  </w:pPr>
                                  <w:r>
                                    <w:rPr>
                                      <w:spacing w:val="-10"/>
                                      <w:sz w:val="16"/>
                                    </w:rPr>
                                    <w:t>$</w:t>
                                  </w:r>
                                  <w:r>
                                    <w:rPr>
                                      <w:sz w:val="16"/>
                                    </w:rPr>
                                    <w:tab/>
                                  </w:r>
                                  <w:r>
                                    <w:rPr>
                                      <w:spacing w:val="-10"/>
                                      <w:sz w:val="16"/>
                                    </w:rPr>
                                    <w:t>1</w:t>
                                  </w:r>
                                </w:p>
                              </w:tc>
                              <w:tc>
                                <w:tcPr>
                                  <w:tcW w:w="869" w:type="dxa"/>
                                  <w:tcBorders>
                                    <w:top w:val="single" w:sz="4" w:space="0" w:color="000000"/>
                                    <w:bottom w:val="double" w:sz="8" w:space="0" w:color="000000"/>
                                  </w:tcBorders>
                                  <w:shd w:val="clear" w:color="auto" w:fill="CCEDFF"/>
                                </w:tcPr>
                                <w:p>
                                  <w:pPr>
                                    <w:pStyle w:val="TableParagraph"/>
                                    <w:spacing w:line="164" w:lineRule="exact" w:before="36"/>
                                    <w:ind w:left="50"/>
                                    <w:rPr>
                                      <w:sz w:val="16"/>
                                    </w:rPr>
                                  </w:pPr>
                                  <w:r>
                                    <w:rPr>
                                      <w:sz w:val="16"/>
                                    </w:rPr>
                                    <w:t>$</w:t>
                                  </w:r>
                                  <w:r>
                                    <w:rPr>
                                      <w:spacing w:val="59"/>
                                      <w:sz w:val="16"/>
                                    </w:rPr>
                                    <w:t>  </w:t>
                                  </w:r>
                                  <w:r>
                                    <w:rPr>
                                      <w:spacing w:val="-2"/>
                                      <w:sz w:val="16"/>
                                    </w:rPr>
                                    <w:t>26,918</w:t>
                                  </w:r>
                                </w:p>
                              </w:tc>
                              <w:tc>
                                <w:tcPr>
                                  <w:tcW w:w="736" w:type="dxa"/>
                                  <w:tcBorders>
                                    <w:top w:val="single" w:sz="4" w:space="0" w:color="000000"/>
                                    <w:bottom w:val="double" w:sz="8" w:space="0" w:color="000000"/>
                                  </w:tcBorders>
                                  <w:shd w:val="clear" w:color="auto" w:fill="CCEDFF"/>
                                </w:tcPr>
                                <w:p>
                                  <w:pPr>
                                    <w:pStyle w:val="TableParagraph"/>
                                    <w:spacing w:line="164" w:lineRule="exact" w:before="36"/>
                                    <w:ind w:left="21"/>
                                    <w:rPr>
                                      <w:sz w:val="16"/>
                                    </w:rPr>
                                  </w:pPr>
                                  <w:r>
                                    <w:rPr>
                                      <w:sz w:val="16"/>
                                    </w:rPr>
                                    <w:t>$</w:t>
                                  </w:r>
                                  <w:r>
                                    <w:rPr>
                                      <w:spacing w:val="54"/>
                                      <w:sz w:val="16"/>
                                    </w:rPr>
                                    <w:t> </w:t>
                                  </w:r>
                                  <w:r>
                                    <w:rPr>
                                      <w:spacing w:val="-2"/>
                                      <w:sz w:val="16"/>
                                    </w:rPr>
                                    <w:t>28,174</w:t>
                                  </w:r>
                                </w:p>
                              </w:tc>
                              <w:tc>
                                <w:tcPr>
                                  <w:tcW w:w="2057" w:type="dxa"/>
                                  <w:tcBorders>
                                    <w:top w:val="single" w:sz="4" w:space="0" w:color="000000"/>
                                    <w:bottom w:val="double" w:sz="8" w:space="0" w:color="000000"/>
                                  </w:tcBorders>
                                  <w:shd w:val="clear" w:color="auto" w:fill="CCEDFF"/>
                                </w:tcPr>
                                <w:p>
                                  <w:pPr>
                                    <w:pStyle w:val="TableParagraph"/>
                                    <w:tabs>
                                      <w:tab w:pos="1296" w:val="left" w:leader="none"/>
                                    </w:tabs>
                                    <w:spacing w:line="164" w:lineRule="exact" w:before="36"/>
                                    <w:ind w:left="20"/>
                                    <w:rPr>
                                      <w:sz w:val="16"/>
                                    </w:rPr>
                                  </w:pPr>
                                  <w:r>
                                    <w:rPr>
                                      <w:sz w:val="16"/>
                                    </w:rPr>
                                    <w:t>$</w:t>
                                  </w:r>
                                  <w:r>
                                    <w:rPr>
                                      <w:spacing w:val="60"/>
                                      <w:w w:val="150"/>
                                      <w:sz w:val="16"/>
                                    </w:rPr>
                                    <w:t> </w:t>
                                  </w:r>
                                  <w:r>
                                    <w:rPr>
                                      <w:sz w:val="16"/>
                                    </w:rPr>
                                    <w:t>(5,272)</w:t>
                                  </w:r>
                                  <w:r>
                                    <w:rPr>
                                      <w:spacing w:val="27"/>
                                      <w:sz w:val="16"/>
                                    </w:rPr>
                                    <w:t> </w:t>
                                  </w:r>
                                  <w:r>
                                    <w:rPr>
                                      <w:spacing w:val="-10"/>
                                      <w:sz w:val="16"/>
                                    </w:rPr>
                                    <w:t>$</w:t>
                                  </w:r>
                                  <w:r>
                                    <w:rPr>
                                      <w:sz w:val="16"/>
                                    </w:rPr>
                                    <w:tab/>
                                    <w:t>(16,022)</w:t>
                                  </w:r>
                                  <w:r>
                                    <w:rPr>
                                      <w:spacing w:val="25"/>
                                      <w:sz w:val="16"/>
                                    </w:rPr>
                                    <w:t> </w:t>
                                  </w:r>
                                  <w:r>
                                    <w:rPr>
                                      <w:spacing w:val="-10"/>
                                      <w:sz w:val="16"/>
                                    </w:rPr>
                                    <w:t>$</w:t>
                                  </w:r>
                                </w:p>
                              </w:tc>
                              <w:tc>
                                <w:tcPr>
                                  <w:tcW w:w="584" w:type="dxa"/>
                                  <w:tcBorders>
                                    <w:top w:val="single" w:sz="4" w:space="0" w:color="000000"/>
                                    <w:bottom w:val="double" w:sz="8" w:space="0" w:color="000000"/>
                                  </w:tcBorders>
                                  <w:shd w:val="clear" w:color="auto" w:fill="CCEDFF"/>
                                </w:tcPr>
                                <w:p>
                                  <w:pPr>
                                    <w:pStyle w:val="TableParagraph"/>
                                    <w:spacing w:line="164" w:lineRule="exact" w:before="36"/>
                                    <w:ind w:left="57"/>
                                    <w:rPr>
                                      <w:sz w:val="16"/>
                                    </w:rPr>
                                  </w:pPr>
                                  <w:r>
                                    <w:rPr>
                                      <w:spacing w:val="-2"/>
                                      <w:sz w:val="16"/>
                                    </w:rPr>
                                    <w:t>44,513</w:t>
                                  </w:r>
                                </w:p>
                              </w:tc>
                            </w:tr>
                            <w:tr>
                              <w:trPr>
                                <w:trHeight w:val="225" w:hRule="atLeast"/>
                              </w:trPr>
                              <w:tc>
                                <w:tcPr>
                                  <w:tcW w:w="3125" w:type="dxa"/>
                                  <w:tcBorders>
                                    <w:top w:val="double" w:sz="8" w:space="0" w:color="000000"/>
                                  </w:tcBorders>
                                </w:tcPr>
                                <w:p>
                                  <w:pPr>
                                    <w:pStyle w:val="TableParagraph"/>
                                    <w:spacing w:before="11"/>
                                    <w:ind w:left="52"/>
                                    <w:rPr>
                                      <w:sz w:val="16"/>
                                    </w:rPr>
                                  </w:pPr>
                                  <w:r>
                                    <w:rPr>
                                      <w:sz w:val="16"/>
                                    </w:rPr>
                                    <w:t>Net</w:t>
                                  </w:r>
                                  <w:r>
                                    <w:rPr>
                                      <w:spacing w:val="-1"/>
                                      <w:sz w:val="16"/>
                                    </w:rPr>
                                    <w:t> </w:t>
                                  </w:r>
                                  <w:r>
                                    <w:rPr>
                                      <w:spacing w:val="-2"/>
                                      <w:sz w:val="16"/>
                                    </w:rPr>
                                    <w:t>income</w:t>
                                  </w:r>
                                </w:p>
                              </w:tc>
                              <w:tc>
                                <w:tcPr>
                                  <w:tcW w:w="804" w:type="dxa"/>
                                  <w:tcBorders>
                                    <w:top w:val="double" w:sz="8" w:space="0" w:color="000000"/>
                                  </w:tcBorders>
                                </w:tcPr>
                                <w:p>
                                  <w:pPr>
                                    <w:pStyle w:val="TableParagraph"/>
                                    <w:spacing w:before="11"/>
                                    <w:ind w:left="531"/>
                                    <w:rPr>
                                      <w:sz w:val="16"/>
                                    </w:rPr>
                                  </w:pPr>
                                  <w:r>
                                    <w:rPr>
                                      <w:spacing w:val="-10"/>
                                      <w:sz w:val="16"/>
                                    </w:rPr>
                                    <w:t>—</w:t>
                                  </w:r>
                                </w:p>
                              </w:tc>
                              <w:tc>
                                <w:tcPr>
                                  <w:tcW w:w="541" w:type="dxa"/>
                                  <w:tcBorders>
                                    <w:top w:val="double" w:sz="8" w:space="0" w:color="000000"/>
                                  </w:tcBorders>
                                </w:tcPr>
                                <w:p>
                                  <w:pPr>
                                    <w:pStyle w:val="TableParagraph"/>
                                    <w:spacing w:before="11"/>
                                    <w:ind w:right="66"/>
                                    <w:jc w:val="right"/>
                                    <w:rPr>
                                      <w:sz w:val="16"/>
                                    </w:rPr>
                                  </w:pPr>
                                  <w:r>
                                    <w:rPr>
                                      <w:spacing w:val="-10"/>
                                      <w:sz w:val="16"/>
                                    </w:rPr>
                                    <w:t>—</w:t>
                                  </w:r>
                                </w:p>
                              </w:tc>
                              <w:tc>
                                <w:tcPr>
                                  <w:tcW w:w="678" w:type="dxa"/>
                                  <w:tcBorders>
                                    <w:top w:val="double" w:sz="8" w:space="0" w:color="000000"/>
                                  </w:tcBorders>
                                </w:tcPr>
                                <w:p>
                                  <w:pPr>
                                    <w:pStyle w:val="TableParagraph"/>
                                    <w:spacing w:before="11"/>
                                    <w:ind w:left="416"/>
                                    <w:rPr>
                                      <w:sz w:val="16"/>
                                    </w:rPr>
                                  </w:pPr>
                                  <w:r>
                                    <w:rPr>
                                      <w:spacing w:val="-10"/>
                                      <w:sz w:val="16"/>
                                    </w:rPr>
                                    <w:t>—</w:t>
                                  </w:r>
                                </w:p>
                              </w:tc>
                              <w:tc>
                                <w:tcPr>
                                  <w:tcW w:w="608" w:type="dxa"/>
                                  <w:tcBorders>
                                    <w:top w:val="double" w:sz="8" w:space="0" w:color="000000"/>
                                  </w:tcBorders>
                                </w:tcPr>
                                <w:p>
                                  <w:pPr>
                                    <w:pStyle w:val="TableParagraph"/>
                                    <w:spacing w:before="11"/>
                                    <w:ind w:left="353"/>
                                    <w:rPr>
                                      <w:sz w:val="16"/>
                                    </w:rPr>
                                  </w:pPr>
                                  <w:r>
                                    <w:rPr>
                                      <w:spacing w:val="-10"/>
                                      <w:sz w:val="16"/>
                                    </w:rPr>
                                    <w:t>—</w:t>
                                  </w:r>
                                </w:p>
                              </w:tc>
                              <w:tc>
                                <w:tcPr>
                                  <w:tcW w:w="636" w:type="dxa"/>
                                  <w:tcBorders>
                                    <w:top w:val="double" w:sz="8" w:space="0" w:color="000000"/>
                                  </w:tcBorders>
                                </w:tcPr>
                                <w:p>
                                  <w:pPr>
                                    <w:pStyle w:val="TableParagraph"/>
                                    <w:spacing w:before="11"/>
                                    <w:ind w:left="405"/>
                                    <w:rPr>
                                      <w:sz w:val="16"/>
                                    </w:rPr>
                                  </w:pPr>
                                  <w:r>
                                    <w:rPr>
                                      <w:spacing w:val="-10"/>
                                      <w:sz w:val="16"/>
                                    </w:rPr>
                                    <w:t>—</w:t>
                                  </w:r>
                                </w:p>
                              </w:tc>
                              <w:tc>
                                <w:tcPr>
                                  <w:tcW w:w="869" w:type="dxa"/>
                                  <w:tcBorders>
                                    <w:top w:val="double" w:sz="8" w:space="0" w:color="000000"/>
                                  </w:tcBorders>
                                </w:tcPr>
                                <w:p>
                                  <w:pPr>
                                    <w:pStyle w:val="TableParagraph"/>
                                    <w:spacing w:before="11"/>
                                    <w:ind w:right="97"/>
                                    <w:jc w:val="right"/>
                                    <w:rPr>
                                      <w:sz w:val="16"/>
                                    </w:rPr>
                                  </w:pPr>
                                  <w:r>
                                    <w:rPr>
                                      <w:spacing w:val="-10"/>
                                      <w:sz w:val="16"/>
                                    </w:rPr>
                                    <w:t>—</w:t>
                                  </w:r>
                                </w:p>
                              </w:tc>
                              <w:tc>
                                <w:tcPr>
                                  <w:tcW w:w="736" w:type="dxa"/>
                                  <w:tcBorders>
                                    <w:top w:val="double" w:sz="8" w:space="0" w:color="000000"/>
                                  </w:tcBorders>
                                </w:tcPr>
                                <w:p>
                                  <w:pPr>
                                    <w:pStyle w:val="TableParagraph"/>
                                    <w:spacing w:before="11"/>
                                    <w:ind w:left="275"/>
                                    <w:rPr>
                                      <w:sz w:val="16"/>
                                    </w:rPr>
                                  </w:pPr>
                                  <w:r>
                                    <w:rPr>
                                      <w:spacing w:val="-2"/>
                                      <w:sz w:val="16"/>
                                    </w:rPr>
                                    <w:t>2,020</w:t>
                                  </w:r>
                                </w:p>
                              </w:tc>
                              <w:tc>
                                <w:tcPr>
                                  <w:tcW w:w="2057" w:type="dxa"/>
                                  <w:tcBorders>
                                    <w:top w:val="double" w:sz="8" w:space="0" w:color="000000"/>
                                  </w:tcBorders>
                                </w:tcPr>
                                <w:p>
                                  <w:pPr>
                                    <w:pStyle w:val="TableParagraph"/>
                                    <w:tabs>
                                      <w:tab w:pos="1629" w:val="left" w:leader="none"/>
                                    </w:tabs>
                                    <w:spacing w:before="11"/>
                                    <w:ind w:left="474"/>
                                    <w:rPr>
                                      <w:sz w:val="16"/>
                                    </w:rPr>
                                  </w:pPr>
                                  <w:r>
                                    <w:rPr>
                                      <w:spacing w:val="-10"/>
                                      <w:sz w:val="16"/>
                                    </w:rPr>
                                    <w:t>—</w:t>
                                  </w:r>
                                  <w:r>
                                    <w:rPr>
                                      <w:sz w:val="16"/>
                                    </w:rPr>
                                    <w:tab/>
                                  </w:r>
                                  <w:r>
                                    <w:rPr>
                                      <w:spacing w:val="-10"/>
                                      <w:sz w:val="16"/>
                                    </w:rPr>
                                    <w:t>—</w:t>
                                  </w:r>
                                </w:p>
                              </w:tc>
                              <w:tc>
                                <w:tcPr>
                                  <w:tcW w:w="584" w:type="dxa"/>
                                  <w:tcBorders>
                                    <w:top w:val="double" w:sz="8" w:space="0" w:color="000000"/>
                                  </w:tcBorders>
                                </w:tcPr>
                                <w:p>
                                  <w:pPr>
                                    <w:pStyle w:val="TableParagraph"/>
                                    <w:spacing w:before="11"/>
                                    <w:ind w:right="84"/>
                                    <w:jc w:val="right"/>
                                    <w:rPr>
                                      <w:sz w:val="16"/>
                                    </w:rPr>
                                  </w:pPr>
                                  <w:r>
                                    <w:rPr>
                                      <w:spacing w:val="-2"/>
                                      <w:sz w:val="16"/>
                                    </w:rPr>
                                    <w:t>2,020</w:t>
                                  </w:r>
                                </w:p>
                              </w:tc>
                            </w:tr>
                            <w:tr>
                              <w:trPr>
                                <w:trHeight w:val="255" w:hRule="atLeast"/>
                              </w:trPr>
                              <w:tc>
                                <w:tcPr>
                                  <w:tcW w:w="3125" w:type="dxa"/>
                                  <w:shd w:val="clear" w:color="auto" w:fill="CCEDFF"/>
                                </w:tcPr>
                                <w:p>
                                  <w:pPr>
                                    <w:pStyle w:val="TableParagraph"/>
                                    <w:spacing w:before="41"/>
                                    <w:ind w:left="52"/>
                                    <w:rPr>
                                      <w:sz w:val="16"/>
                                    </w:rPr>
                                  </w:pPr>
                                  <w:r>
                                    <w:rPr>
                                      <w:sz w:val="16"/>
                                    </w:rPr>
                                    <w:t>Other</w:t>
                                  </w:r>
                                  <w:r>
                                    <w:rPr>
                                      <w:spacing w:val="-1"/>
                                      <w:sz w:val="16"/>
                                    </w:rPr>
                                    <w:t> </w:t>
                                  </w:r>
                                  <w:r>
                                    <w:rPr>
                                      <w:sz w:val="16"/>
                                    </w:rPr>
                                    <w:t>comprehensive</w:t>
                                  </w:r>
                                  <w:r>
                                    <w:rPr>
                                      <w:spacing w:val="-1"/>
                                      <w:sz w:val="16"/>
                                    </w:rPr>
                                    <w:t> </w:t>
                                  </w:r>
                                  <w:r>
                                    <w:rPr>
                                      <w:sz w:val="16"/>
                                    </w:rPr>
                                    <w:t>income (loss),</w:t>
                                  </w:r>
                                  <w:r>
                                    <w:rPr>
                                      <w:spacing w:val="-1"/>
                                      <w:sz w:val="16"/>
                                    </w:rPr>
                                    <w:t> </w:t>
                                  </w:r>
                                  <w:r>
                                    <w:rPr>
                                      <w:sz w:val="16"/>
                                    </w:rPr>
                                    <w:t>net</w:t>
                                  </w:r>
                                  <w:r>
                                    <w:rPr>
                                      <w:spacing w:val="-1"/>
                                      <w:sz w:val="16"/>
                                    </w:rPr>
                                    <w:t> </w:t>
                                  </w:r>
                                  <w:r>
                                    <w:rPr>
                                      <w:sz w:val="16"/>
                                    </w:rPr>
                                    <w:t>of </w:t>
                                  </w:r>
                                  <w:r>
                                    <w:rPr>
                                      <w:spacing w:val="-5"/>
                                      <w:sz w:val="16"/>
                                    </w:rPr>
                                    <w:t>tax</w:t>
                                  </w:r>
                                </w:p>
                              </w:tc>
                              <w:tc>
                                <w:tcPr>
                                  <w:tcW w:w="804" w:type="dxa"/>
                                  <w:shd w:val="clear" w:color="auto" w:fill="CCEDFF"/>
                                </w:tcPr>
                                <w:p>
                                  <w:pPr>
                                    <w:pStyle w:val="TableParagraph"/>
                                    <w:spacing w:before="41"/>
                                    <w:ind w:left="531"/>
                                    <w:rPr>
                                      <w:sz w:val="16"/>
                                    </w:rPr>
                                  </w:pPr>
                                  <w:r>
                                    <w:rPr>
                                      <w:spacing w:val="-10"/>
                                      <w:sz w:val="16"/>
                                    </w:rPr>
                                    <w:t>—</w:t>
                                  </w:r>
                                </w:p>
                              </w:tc>
                              <w:tc>
                                <w:tcPr>
                                  <w:tcW w:w="541" w:type="dxa"/>
                                  <w:shd w:val="clear" w:color="auto" w:fill="CCEDFF"/>
                                </w:tcPr>
                                <w:p>
                                  <w:pPr>
                                    <w:pStyle w:val="TableParagraph"/>
                                    <w:spacing w:before="41"/>
                                    <w:ind w:right="66"/>
                                    <w:jc w:val="right"/>
                                    <w:rPr>
                                      <w:sz w:val="16"/>
                                    </w:rPr>
                                  </w:pPr>
                                  <w:r>
                                    <w:rPr>
                                      <w:spacing w:val="-10"/>
                                      <w:sz w:val="16"/>
                                    </w:rPr>
                                    <w:t>—</w:t>
                                  </w:r>
                                </w:p>
                              </w:tc>
                              <w:tc>
                                <w:tcPr>
                                  <w:tcW w:w="678" w:type="dxa"/>
                                  <w:shd w:val="clear" w:color="auto" w:fill="CCEDFF"/>
                                </w:tcPr>
                                <w:p>
                                  <w:pPr>
                                    <w:pStyle w:val="TableParagraph"/>
                                    <w:spacing w:before="41"/>
                                    <w:ind w:left="416"/>
                                    <w:rPr>
                                      <w:sz w:val="16"/>
                                    </w:rPr>
                                  </w:pPr>
                                  <w:r>
                                    <w:rPr>
                                      <w:spacing w:val="-10"/>
                                      <w:sz w:val="16"/>
                                    </w:rPr>
                                    <w:t>—</w:t>
                                  </w:r>
                                </w:p>
                              </w:tc>
                              <w:tc>
                                <w:tcPr>
                                  <w:tcW w:w="608" w:type="dxa"/>
                                  <w:shd w:val="clear" w:color="auto" w:fill="CCEDFF"/>
                                </w:tcPr>
                                <w:p>
                                  <w:pPr>
                                    <w:pStyle w:val="TableParagraph"/>
                                    <w:spacing w:before="41"/>
                                    <w:ind w:left="353"/>
                                    <w:rPr>
                                      <w:sz w:val="16"/>
                                    </w:rPr>
                                  </w:pPr>
                                  <w:r>
                                    <w:rPr>
                                      <w:spacing w:val="-10"/>
                                      <w:sz w:val="16"/>
                                    </w:rPr>
                                    <w:t>—</w:t>
                                  </w:r>
                                </w:p>
                              </w:tc>
                              <w:tc>
                                <w:tcPr>
                                  <w:tcW w:w="636" w:type="dxa"/>
                                  <w:shd w:val="clear" w:color="auto" w:fill="CCEDFF"/>
                                </w:tcPr>
                                <w:p>
                                  <w:pPr>
                                    <w:pStyle w:val="TableParagraph"/>
                                    <w:spacing w:before="41"/>
                                    <w:ind w:left="405"/>
                                    <w:rPr>
                                      <w:sz w:val="16"/>
                                    </w:rPr>
                                  </w:pPr>
                                  <w:r>
                                    <w:rPr>
                                      <w:spacing w:val="-10"/>
                                      <w:sz w:val="16"/>
                                    </w:rPr>
                                    <w:t>—</w:t>
                                  </w:r>
                                </w:p>
                              </w:tc>
                              <w:tc>
                                <w:tcPr>
                                  <w:tcW w:w="869" w:type="dxa"/>
                                  <w:shd w:val="clear" w:color="auto" w:fill="CCEDFF"/>
                                </w:tcPr>
                                <w:p>
                                  <w:pPr>
                                    <w:pStyle w:val="TableParagraph"/>
                                    <w:spacing w:before="41"/>
                                    <w:ind w:right="97"/>
                                    <w:jc w:val="right"/>
                                    <w:rPr>
                                      <w:sz w:val="16"/>
                                    </w:rPr>
                                  </w:pPr>
                                  <w:r>
                                    <w:rPr>
                                      <w:spacing w:val="-10"/>
                                      <w:sz w:val="16"/>
                                    </w:rPr>
                                    <w:t>—</w:t>
                                  </w:r>
                                </w:p>
                              </w:tc>
                              <w:tc>
                                <w:tcPr>
                                  <w:tcW w:w="736" w:type="dxa"/>
                                  <w:shd w:val="clear" w:color="auto" w:fill="CCEDFF"/>
                                </w:tcPr>
                                <w:p>
                                  <w:pPr>
                                    <w:pStyle w:val="TableParagraph"/>
                                    <w:spacing w:before="41"/>
                                    <w:ind w:right="98"/>
                                    <w:jc w:val="right"/>
                                    <w:rPr>
                                      <w:sz w:val="16"/>
                                    </w:rPr>
                                  </w:pPr>
                                  <w:r>
                                    <w:rPr>
                                      <w:spacing w:val="-10"/>
                                      <w:sz w:val="16"/>
                                    </w:rPr>
                                    <w:t>—</w:t>
                                  </w:r>
                                </w:p>
                              </w:tc>
                              <w:tc>
                                <w:tcPr>
                                  <w:tcW w:w="2057" w:type="dxa"/>
                                  <w:shd w:val="clear" w:color="auto" w:fill="CCEDFF"/>
                                </w:tcPr>
                                <w:p>
                                  <w:pPr>
                                    <w:pStyle w:val="TableParagraph"/>
                                    <w:tabs>
                                      <w:tab w:pos="1376" w:val="left" w:leader="none"/>
                                    </w:tabs>
                                    <w:spacing w:before="41"/>
                                    <w:ind w:left="474"/>
                                    <w:rPr>
                                      <w:sz w:val="16"/>
                                    </w:rPr>
                                  </w:pPr>
                                  <w:r>
                                    <w:rPr>
                                      <w:spacing w:val="-10"/>
                                      <w:sz w:val="16"/>
                                    </w:rPr>
                                    <w:t>—</w:t>
                                  </w:r>
                                  <w:r>
                                    <w:rPr>
                                      <w:sz w:val="16"/>
                                    </w:rPr>
                                    <w:tab/>
                                  </w:r>
                                  <w:r>
                                    <w:rPr>
                                      <w:spacing w:val="-2"/>
                                      <w:sz w:val="16"/>
                                    </w:rPr>
                                    <w:t>(7,130)</w:t>
                                  </w:r>
                                </w:p>
                              </w:tc>
                              <w:tc>
                                <w:tcPr>
                                  <w:tcW w:w="584" w:type="dxa"/>
                                  <w:shd w:val="clear" w:color="auto" w:fill="CCEDFF"/>
                                </w:tcPr>
                                <w:p>
                                  <w:pPr>
                                    <w:pStyle w:val="TableParagraph"/>
                                    <w:spacing w:before="41"/>
                                    <w:ind w:left="84"/>
                                    <w:rPr>
                                      <w:sz w:val="16"/>
                                    </w:rPr>
                                  </w:pPr>
                                  <w:r>
                                    <w:rPr>
                                      <w:spacing w:val="-2"/>
                                      <w:sz w:val="16"/>
                                    </w:rPr>
                                    <w:t>(7,130)</w:t>
                                  </w:r>
                                </w:p>
                              </w:tc>
                            </w:tr>
                            <w:tr>
                              <w:trPr>
                                <w:trHeight w:val="255" w:hRule="atLeast"/>
                              </w:trPr>
                              <w:tc>
                                <w:tcPr>
                                  <w:tcW w:w="3125" w:type="dxa"/>
                                </w:tcPr>
                                <w:p>
                                  <w:pPr>
                                    <w:pStyle w:val="TableParagraph"/>
                                    <w:spacing w:before="41"/>
                                    <w:ind w:left="52"/>
                                    <w:rPr>
                                      <w:sz w:val="16"/>
                                    </w:rPr>
                                  </w:pPr>
                                  <w:r>
                                    <w:rPr>
                                      <w:sz w:val="16"/>
                                    </w:rPr>
                                    <w:t>Call of preferred </w:t>
                                  </w:r>
                                  <w:r>
                                    <w:rPr>
                                      <w:spacing w:val="-2"/>
                                      <w:sz w:val="16"/>
                                    </w:rPr>
                                    <w:t>stock</w:t>
                                  </w:r>
                                </w:p>
                              </w:tc>
                              <w:tc>
                                <w:tcPr>
                                  <w:tcW w:w="804" w:type="dxa"/>
                                </w:tcPr>
                                <w:p>
                                  <w:pPr>
                                    <w:pStyle w:val="TableParagraph"/>
                                    <w:spacing w:before="41"/>
                                    <w:ind w:left="398"/>
                                    <w:rPr>
                                      <w:sz w:val="16"/>
                                    </w:rPr>
                                  </w:pPr>
                                  <w:r>
                                    <w:rPr>
                                      <w:spacing w:val="-2"/>
                                      <w:sz w:val="16"/>
                                    </w:rPr>
                                    <w:t>(397)</w:t>
                                  </w:r>
                                </w:p>
                              </w:tc>
                              <w:tc>
                                <w:tcPr>
                                  <w:tcW w:w="541" w:type="dxa"/>
                                </w:tcPr>
                                <w:p>
                                  <w:pPr>
                                    <w:pStyle w:val="TableParagraph"/>
                                    <w:spacing w:before="41"/>
                                    <w:ind w:right="66"/>
                                    <w:jc w:val="right"/>
                                    <w:rPr>
                                      <w:sz w:val="16"/>
                                    </w:rPr>
                                  </w:pPr>
                                  <w:r>
                                    <w:rPr>
                                      <w:spacing w:val="-10"/>
                                      <w:sz w:val="16"/>
                                    </w:rPr>
                                    <w:t>—</w:t>
                                  </w:r>
                                </w:p>
                              </w:tc>
                              <w:tc>
                                <w:tcPr>
                                  <w:tcW w:w="678" w:type="dxa"/>
                                </w:tcPr>
                                <w:p>
                                  <w:pPr>
                                    <w:pStyle w:val="TableParagraph"/>
                                    <w:spacing w:before="41"/>
                                    <w:ind w:left="416"/>
                                    <w:rPr>
                                      <w:sz w:val="16"/>
                                    </w:rPr>
                                  </w:pPr>
                                  <w:r>
                                    <w:rPr>
                                      <w:spacing w:val="-10"/>
                                      <w:sz w:val="16"/>
                                    </w:rPr>
                                    <w:t>—</w:t>
                                  </w:r>
                                </w:p>
                              </w:tc>
                              <w:tc>
                                <w:tcPr>
                                  <w:tcW w:w="608" w:type="dxa"/>
                                </w:tcPr>
                                <w:p>
                                  <w:pPr>
                                    <w:pStyle w:val="TableParagraph"/>
                                    <w:spacing w:before="41"/>
                                    <w:ind w:left="353"/>
                                    <w:rPr>
                                      <w:sz w:val="16"/>
                                    </w:rPr>
                                  </w:pPr>
                                  <w:r>
                                    <w:rPr>
                                      <w:spacing w:val="-10"/>
                                      <w:sz w:val="16"/>
                                    </w:rPr>
                                    <w:t>—</w:t>
                                  </w:r>
                                </w:p>
                              </w:tc>
                              <w:tc>
                                <w:tcPr>
                                  <w:tcW w:w="636" w:type="dxa"/>
                                </w:tcPr>
                                <w:p>
                                  <w:pPr>
                                    <w:pStyle w:val="TableParagraph"/>
                                    <w:spacing w:before="41"/>
                                    <w:ind w:left="405"/>
                                    <w:rPr>
                                      <w:sz w:val="16"/>
                                    </w:rPr>
                                  </w:pPr>
                                  <w:r>
                                    <w:rPr>
                                      <w:spacing w:val="-10"/>
                                      <w:sz w:val="16"/>
                                    </w:rPr>
                                    <w:t>—</w:t>
                                  </w:r>
                                </w:p>
                              </w:tc>
                              <w:tc>
                                <w:tcPr>
                                  <w:tcW w:w="869" w:type="dxa"/>
                                </w:tcPr>
                                <w:p>
                                  <w:pPr>
                                    <w:pStyle w:val="TableParagraph"/>
                                    <w:spacing w:before="41"/>
                                    <w:ind w:right="97"/>
                                    <w:jc w:val="right"/>
                                    <w:rPr>
                                      <w:sz w:val="16"/>
                                    </w:rPr>
                                  </w:pPr>
                                  <w:r>
                                    <w:rPr>
                                      <w:spacing w:val="-10"/>
                                      <w:sz w:val="16"/>
                                    </w:rPr>
                                    <w:t>—</w:t>
                                  </w:r>
                                </w:p>
                              </w:tc>
                              <w:tc>
                                <w:tcPr>
                                  <w:tcW w:w="736" w:type="dxa"/>
                                </w:tcPr>
                                <w:p>
                                  <w:pPr>
                                    <w:pStyle w:val="TableParagraph"/>
                                    <w:spacing w:before="41"/>
                                    <w:ind w:right="44"/>
                                    <w:jc w:val="right"/>
                                    <w:rPr>
                                      <w:sz w:val="16"/>
                                    </w:rPr>
                                  </w:pPr>
                                  <w:r>
                                    <w:rPr>
                                      <w:spacing w:val="-5"/>
                                      <w:sz w:val="16"/>
                                    </w:rPr>
                                    <w:t>(3)</w:t>
                                  </w:r>
                                </w:p>
                              </w:tc>
                              <w:tc>
                                <w:tcPr>
                                  <w:tcW w:w="2057" w:type="dxa"/>
                                </w:tcPr>
                                <w:p>
                                  <w:pPr>
                                    <w:pStyle w:val="TableParagraph"/>
                                    <w:tabs>
                                      <w:tab w:pos="1629" w:val="left" w:leader="none"/>
                                    </w:tabs>
                                    <w:spacing w:before="41"/>
                                    <w:ind w:left="474"/>
                                    <w:rPr>
                                      <w:sz w:val="16"/>
                                    </w:rPr>
                                  </w:pPr>
                                  <w:r>
                                    <w:rPr>
                                      <w:spacing w:val="-10"/>
                                      <w:sz w:val="16"/>
                                    </w:rPr>
                                    <w:t>—</w:t>
                                  </w:r>
                                  <w:r>
                                    <w:rPr>
                                      <w:sz w:val="16"/>
                                    </w:rPr>
                                    <w:tab/>
                                  </w:r>
                                  <w:r>
                                    <w:rPr>
                                      <w:spacing w:val="-10"/>
                                      <w:sz w:val="16"/>
                                    </w:rPr>
                                    <w:t>—</w:t>
                                  </w:r>
                                </w:p>
                              </w:tc>
                              <w:tc>
                                <w:tcPr>
                                  <w:tcW w:w="584" w:type="dxa"/>
                                </w:tcPr>
                                <w:p>
                                  <w:pPr>
                                    <w:pStyle w:val="TableParagraph"/>
                                    <w:spacing w:before="41"/>
                                    <w:ind w:right="30"/>
                                    <w:jc w:val="right"/>
                                    <w:rPr>
                                      <w:sz w:val="16"/>
                                    </w:rPr>
                                  </w:pPr>
                                  <w:r>
                                    <w:rPr>
                                      <w:spacing w:val="-2"/>
                                      <w:sz w:val="16"/>
                                    </w:rPr>
                                    <w:t>(400)</w:t>
                                  </w:r>
                                </w:p>
                              </w:tc>
                            </w:tr>
                            <w:tr>
                              <w:trPr>
                                <w:trHeight w:val="255" w:hRule="atLeast"/>
                              </w:trPr>
                              <w:tc>
                                <w:tcPr>
                                  <w:tcW w:w="3125" w:type="dxa"/>
                                  <w:shd w:val="clear" w:color="auto" w:fill="CCEDFF"/>
                                </w:tcPr>
                                <w:p>
                                  <w:pPr>
                                    <w:pStyle w:val="TableParagraph"/>
                                    <w:spacing w:before="41"/>
                                    <w:ind w:left="52"/>
                                    <w:rPr>
                                      <w:sz w:val="16"/>
                                    </w:rPr>
                                  </w:pPr>
                                  <w:r>
                                    <w:rPr>
                                      <w:sz w:val="16"/>
                                    </w:rPr>
                                    <w:t>Dividends</w:t>
                                  </w:r>
                                  <w:r>
                                    <w:rPr>
                                      <w:spacing w:val="-2"/>
                                      <w:sz w:val="16"/>
                                    </w:rPr>
                                    <w:t> </w:t>
                                  </w:r>
                                  <w:r>
                                    <w:rPr>
                                      <w:sz w:val="16"/>
                                    </w:rPr>
                                    <w:t>declared on preferred </w:t>
                                  </w:r>
                                  <w:r>
                                    <w:rPr>
                                      <w:spacing w:val="-2"/>
                                      <w:sz w:val="16"/>
                                    </w:rPr>
                                    <w:t>stock</w:t>
                                  </w:r>
                                </w:p>
                              </w:tc>
                              <w:tc>
                                <w:tcPr>
                                  <w:tcW w:w="804" w:type="dxa"/>
                                  <w:shd w:val="clear" w:color="auto" w:fill="CCEDFF"/>
                                </w:tcPr>
                                <w:p>
                                  <w:pPr>
                                    <w:pStyle w:val="TableParagraph"/>
                                    <w:spacing w:before="41"/>
                                    <w:ind w:left="531"/>
                                    <w:rPr>
                                      <w:sz w:val="16"/>
                                    </w:rPr>
                                  </w:pPr>
                                  <w:r>
                                    <w:rPr>
                                      <w:spacing w:val="-10"/>
                                      <w:sz w:val="16"/>
                                    </w:rPr>
                                    <w:t>—</w:t>
                                  </w:r>
                                </w:p>
                              </w:tc>
                              <w:tc>
                                <w:tcPr>
                                  <w:tcW w:w="541" w:type="dxa"/>
                                  <w:shd w:val="clear" w:color="auto" w:fill="CCEDFF"/>
                                </w:tcPr>
                                <w:p>
                                  <w:pPr>
                                    <w:pStyle w:val="TableParagraph"/>
                                    <w:spacing w:before="41"/>
                                    <w:ind w:right="66"/>
                                    <w:jc w:val="right"/>
                                    <w:rPr>
                                      <w:sz w:val="16"/>
                                    </w:rPr>
                                  </w:pPr>
                                  <w:r>
                                    <w:rPr>
                                      <w:spacing w:val="-10"/>
                                      <w:sz w:val="16"/>
                                    </w:rPr>
                                    <w:t>—</w:t>
                                  </w:r>
                                </w:p>
                              </w:tc>
                              <w:tc>
                                <w:tcPr>
                                  <w:tcW w:w="678" w:type="dxa"/>
                                  <w:shd w:val="clear" w:color="auto" w:fill="CCEDFF"/>
                                </w:tcPr>
                                <w:p>
                                  <w:pPr>
                                    <w:pStyle w:val="TableParagraph"/>
                                    <w:spacing w:before="41"/>
                                    <w:ind w:left="416"/>
                                    <w:rPr>
                                      <w:sz w:val="16"/>
                                    </w:rPr>
                                  </w:pPr>
                                  <w:r>
                                    <w:rPr>
                                      <w:spacing w:val="-10"/>
                                      <w:sz w:val="16"/>
                                    </w:rPr>
                                    <w:t>—</w:t>
                                  </w:r>
                                </w:p>
                              </w:tc>
                              <w:tc>
                                <w:tcPr>
                                  <w:tcW w:w="608" w:type="dxa"/>
                                  <w:shd w:val="clear" w:color="auto" w:fill="CCEDFF"/>
                                </w:tcPr>
                                <w:p>
                                  <w:pPr>
                                    <w:pStyle w:val="TableParagraph"/>
                                    <w:spacing w:before="41"/>
                                    <w:ind w:left="353"/>
                                    <w:rPr>
                                      <w:sz w:val="16"/>
                                    </w:rPr>
                                  </w:pPr>
                                  <w:r>
                                    <w:rPr>
                                      <w:spacing w:val="-10"/>
                                      <w:sz w:val="16"/>
                                    </w:rPr>
                                    <w:t>—</w:t>
                                  </w:r>
                                </w:p>
                              </w:tc>
                              <w:tc>
                                <w:tcPr>
                                  <w:tcW w:w="636" w:type="dxa"/>
                                  <w:shd w:val="clear" w:color="auto" w:fill="CCEDFF"/>
                                </w:tcPr>
                                <w:p>
                                  <w:pPr>
                                    <w:pStyle w:val="TableParagraph"/>
                                    <w:spacing w:before="41"/>
                                    <w:ind w:left="405"/>
                                    <w:rPr>
                                      <w:sz w:val="16"/>
                                    </w:rPr>
                                  </w:pPr>
                                  <w:r>
                                    <w:rPr>
                                      <w:spacing w:val="-10"/>
                                      <w:sz w:val="16"/>
                                    </w:rPr>
                                    <w:t>—</w:t>
                                  </w:r>
                                </w:p>
                              </w:tc>
                              <w:tc>
                                <w:tcPr>
                                  <w:tcW w:w="869" w:type="dxa"/>
                                  <w:shd w:val="clear" w:color="auto" w:fill="CCEDFF"/>
                                </w:tcPr>
                                <w:p>
                                  <w:pPr>
                                    <w:pStyle w:val="TableParagraph"/>
                                    <w:spacing w:before="41"/>
                                    <w:ind w:right="97"/>
                                    <w:jc w:val="right"/>
                                    <w:rPr>
                                      <w:sz w:val="16"/>
                                    </w:rPr>
                                  </w:pPr>
                                  <w:r>
                                    <w:rPr>
                                      <w:spacing w:val="-10"/>
                                      <w:sz w:val="16"/>
                                    </w:rPr>
                                    <w:t>—</w:t>
                                  </w:r>
                                </w:p>
                              </w:tc>
                              <w:tc>
                                <w:tcPr>
                                  <w:tcW w:w="736" w:type="dxa"/>
                                  <w:shd w:val="clear" w:color="auto" w:fill="CCEDFF"/>
                                </w:tcPr>
                                <w:p>
                                  <w:pPr>
                                    <w:pStyle w:val="TableParagraph"/>
                                    <w:spacing w:before="41"/>
                                    <w:ind w:right="44"/>
                                    <w:jc w:val="right"/>
                                    <w:rPr>
                                      <w:sz w:val="16"/>
                                    </w:rPr>
                                  </w:pPr>
                                  <w:r>
                                    <w:rPr>
                                      <w:spacing w:val="-2"/>
                                      <w:sz w:val="16"/>
                                    </w:rPr>
                                    <w:t>(123)</w:t>
                                  </w:r>
                                </w:p>
                              </w:tc>
                              <w:tc>
                                <w:tcPr>
                                  <w:tcW w:w="2057" w:type="dxa"/>
                                  <w:shd w:val="clear" w:color="auto" w:fill="CCEDFF"/>
                                </w:tcPr>
                                <w:p>
                                  <w:pPr>
                                    <w:pStyle w:val="TableParagraph"/>
                                    <w:tabs>
                                      <w:tab w:pos="1629" w:val="left" w:leader="none"/>
                                    </w:tabs>
                                    <w:spacing w:before="41"/>
                                    <w:ind w:left="474"/>
                                    <w:rPr>
                                      <w:sz w:val="16"/>
                                    </w:rPr>
                                  </w:pPr>
                                  <w:r>
                                    <w:rPr>
                                      <w:spacing w:val="-10"/>
                                      <w:sz w:val="16"/>
                                    </w:rPr>
                                    <w:t>—</w:t>
                                  </w:r>
                                  <w:r>
                                    <w:rPr>
                                      <w:sz w:val="16"/>
                                    </w:rPr>
                                    <w:tab/>
                                  </w:r>
                                  <w:r>
                                    <w:rPr>
                                      <w:spacing w:val="-10"/>
                                      <w:sz w:val="16"/>
                                    </w:rPr>
                                    <w:t>—</w:t>
                                  </w:r>
                                </w:p>
                              </w:tc>
                              <w:tc>
                                <w:tcPr>
                                  <w:tcW w:w="584" w:type="dxa"/>
                                  <w:shd w:val="clear" w:color="auto" w:fill="CCEDFF"/>
                                </w:tcPr>
                                <w:p>
                                  <w:pPr>
                                    <w:pStyle w:val="TableParagraph"/>
                                    <w:spacing w:before="41"/>
                                    <w:ind w:right="30"/>
                                    <w:jc w:val="right"/>
                                    <w:rPr>
                                      <w:sz w:val="16"/>
                                    </w:rPr>
                                  </w:pPr>
                                  <w:r>
                                    <w:rPr>
                                      <w:spacing w:val="-2"/>
                                      <w:sz w:val="16"/>
                                    </w:rPr>
                                    <w:t>(123)</w:t>
                                  </w:r>
                                </w:p>
                              </w:tc>
                            </w:tr>
                            <w:tr>
                              <w:trPr>
                                <w:trHeight w:val="405" w:hRule="atLeast"/>
                              </w:trPr>
                              <w:tc>
                                <w:tcPr>
                                  <w:tcW w:w="3125" w:type="dxa"/>
                                </w:tcPr>
                                <w:p>
                                  <w:pPr>
                                    <w:pStyle w:val="TableParagraph"/>
                                    <w:spacing w:line="208" w:lineRule="auto" w:before="50"/>
                                    <w:ind w:left="52"/>
                                    <w:rPr>
                                      <w:sz w:val="16"/>
                                    </w:rPr>
                                  </w:pPr>
                                  <w:r>
                                    <w:rPr>
                                      <w:sz w:val="16"/>
                                    </w:rPr>
                                    <w:t>Dividends</w:t>
                                  </w:r>
                                  <w:r>
                                    <w:rPr>
                                      <w:spacing w:val="-7"/>
                                      <w:sz w:val="16"/>
                                    </w:rPr>
                                    <w:t> </w:t>
                                  </w:r>
                                  <w:r>
                                    <w:rPr>
                                      <w:sz w:val="16"/>
                                    </w:rPr>
                                    <w:t>declared</w:t>
                                  </w:r>
                                  <w:r>
                                    <w:rPr>
                                      <w:spacing w:val="-7"/>
                                      <w:sz w:val="16"/>
                                    </w:rPr>
                                    <w:t> </w:t>
                                  </w:r>
                                  <w:r>
                                    <w:rPr>
                                      <w:sz w:val="16"/>
                                    </w:rPr>
                                    <w:t>on</w:t>
                                  </w:r>
                                  <w:r>
                                    <w:rPr>
                                      <w:spacing w:val="-7"/>
                                      <w:sz w:val="16"/>
                                    </w:rPr>
                                    <w:t> </w:t>
                                  </w:r>
                                  <w:r>
                                    <w:rPr>
                                      <w:sz w:val="16"/>
                                    </w:rPr>
                                    <w:t>common</w:t>
                                  </w:r>
                                  <w:r>
                                    <w:rPr>
                                      <w:spacing w:val="-7"/>
                                      <w:sz w:val="16"/>
                                    </w:rPr>
                                    <w:t> </w:t>
                                  </w:r>
                                  <w:r>
                                    <w:rPr>
                                      <w:sz w:val="16"/>
                                    </w:rPr>
                                    <w:t>stock</w:t>
                                  </w:r>
                                  <w:r>
                                    <w:rPr>
                                      <w:spacing w:val="-7"/>
                                      <w:sz w:val="16"/>
                                    </w:rPr>
                                    <w:t> </w:t>
                                  </w:r>
                                  <w:r>
                                    <w:rPr>
                                      <w:sz w:val="16"/>
                                    </w:rPr>
                                    <w:t>—</w:t>
                                  </w:r>
                                  <w:r>
                                    <w:rPr>
                                      <w:spacing w:val="-8"/>
                                      <w:sz w:val="16"/>
                                    </w:rPr>
                                    <w:t> </w:t>
                                  </w:r>
                                  <w:r>
                                    <w:rPr>
                                      <w:sz w:val="16"/>
                                    </w:rPr>
                                    <w:t>$.22</w:t>
                                  </w:r>
                                  <w:r>
                                    <w:rPr>
                                      <w:spacing w:val="40"/>
                                      <w:sz w:val="16"/>
                                    </w:rPr>
                                    <w:t> </w:t>
                                  </w:r>
                                  <w:r>
                                    <w:rPr>
                                      <w:sz w:val="16"/>
                                    </w:rPr>
                                    <w:t>per</w:t>
                                  </w:r>
                                  <w:r>
                                    <w:rPr>
                                      <w:spacing w:val="-1"/>
                                      <w:sz w:val="16"/>
                                    </w:rPr>
                                    <w:t> </w:t>
                                  </w:r>
                                  <w:r>
                                    <w:rPr>
                                      <w:sz w:val="16"/>
                                    </w:rPr>
                                    <w:t>share</w:t>
                                  </w:r>
                                </w:p>
                              </w:tc>
                              <w:tc>
                                <w:tcPr>
                                  <w:tcW w:w="804" w:type="dxa"/>
                                </w:tcPr>
                                <w:p>
                                  <w:pPr>
                                    <w:pStyle w:val="TableParagraph"/>
                                    <w:spacing w:before="7"/>
                                    <w:rPr>
                                      <w:i/>
                                      <w:sz w:val="16"/>
                                    </w:rPr>
                                  </w:pPr>
                                </w:p>
                                <w:p>
                                  <w:pPr>
                                    <w:pStyle w:val="TableParagraph"/>
                                    <w:ind w:left="531"/>
                                    <w:rPr>
                                      <w:sz w:val="16"/>
                                    </w:rPr>
                                  </w:pPr>
                                  <w:r>
                                    <w:rPr>
                                      <w:spacing w:val="-10"/>
                                      <w:sz w:val="16"/>
                                    </w:rPr>
                                    <w:t>—</w:t>
                                  </w:r>
                                </w:p>
                              </w:tc>
                              <w:tc>
                                <w:tcPr>
                                  <w:tcW w:w="541" w:type="dxa"/>
                                </w:tcPr>
                                <w:p>
                                  <w:pPr>
                                    <w:pStyle w:val="TableParagraph"/>
                                    <w:spacing w:before="7"/>
                                    <w:rPr>
                                      <w:i/>
                                      <w:sz w:val="16"/>
                                    </w:rPr>
                                  </w:pPr>
                                </w:p>
                                <w:p>
                                  <w:pPr>
                                    <w:pStyle w:val="TableParagraph"/>
                                    <w:ind w:right="66"/>
                                    <w:jc w:val="right"/>
                                    <w:rPr>
                                      <w:sz w:val="16"/>
                                    </w:rPr>
                                  </w:pPr>
                                  <w:r>
                                    <w:rPr>
                                      <w:spacing w:val="-10"/>
                                      <w:sz w:val="16"/>
                                    </w:rPr>
                                    <w:t>—</w:t>
                                  </w:r>
                                </w:p>
                              </w:tc>
                              <w:tc>
                                <w:tcPr>
                                  <w:tcW w:w="678" w:type="dxa"/>
                                </w:tcPr>
                                <w:p>
                                  <w:pPr>
                                    <w:pStyle w:val="TableParagraph"/>
                                    <w:spacing w:before="7"/>
                                    <w:rPr>
                                      <w:i/>
                                      <w:sz w:val="16"/>
                                    </w:rPr>
                                  </w:pPr>
                                </w:p>
                                <w:p>
                                  <w:pPr>
                                    <w:pStyle w:val="TableParagraph"/>
                                    <w:ind w:left="416"/>
                                    <w:rPr>
                                      <w:sz w:val="16"/>
                                    </w:rPr>
                                  </w:pPr>
                                  <w:r>
                                    <w:rPr>
                                      <w:spacing w:val="-10"/>
                                      <w:sz w:val="16"/>
                                    </w:rPr>
                                    <w:t>—</w:t>
                                  </w:r>
                                </w:p>
                              </w:tc>
                              <w:tc>
                                <w:tcPr>
                                  <w:tcW w:w="608" w:type="dxa"/>
                                </w:tcPr>
                                <w:p>
                                  <w:pPr>
                                    <w:pStyle w:val="TableParagraph"/>
                                    <w:spacing w:before="7"/>
                                    <w:rPr>
                                      <w:i/>
                                      <w:sz w:val="16"/>
                                    </w:rPr>
                                  </w:pPr>
                                </w:p>
                                <w:p>
                                  <w:pPr>
                                    <w:pStyle w:val="TableParagraph"/>
                                    <w:ind w:left="353"/>
                                    <w:rPr>
                                      <w:sz w:val="16"/>
                                    </w:rPr>
                                  </w:pPr>
                                  <w:r>
                                    <w:rPr>
                                      <w:spacing w:val="-10"/>
                                      <w:sz w:val="16"/>
                                    </w:rPr>
                                    <w:t>—</w:t>
                                  </w:r>
                                </w:p>
                              </w:tc>
                              <w:tc>
                                <w:tcPr>
                                  <w:tcW w:w="636" w:type="dxa"/>
                                </w:tcPr>
                                <w:p>
                                  <w:pPr>
                                    <w:pStyle w:val="TableParagraph"/>
                                    <w:spacing w:before="7"/>
                                    <w:rPr>
                                      <w:i/>
                                      <w:sz w:val="16"/>
                                    </w:rPr>
                                  </w:pPr>
                                </w:p>
                                <w:p>
                                  <w:pPr>
                                    <w:pStyle w:val="TableParagraph"/>
                                    <w:ind w:left="405"/>
                                    <w:rPr>
                                      <w:sz w:val="16"/>
                                    </w:rPr>
                                  </w:pPr>
                                  <w:r>
                                    <w:rPr>
                                      <w:spacing w:val="-10"/>
                                      <w:sz w:val="16"/>
                                    </w:rPr>
                                    <w:t>—</w:t>
                                  </w:r>
                                </w:p>
                              </w:tc>
                              <w:tc>
                                <w:tcPr>
                                  <w:tcW w:w="869" w:type="dxa"/>
                                </w:tcPr>
                                <w:p>
                                  <w:pPr>
                                    <w:pStyle w:val="TableParagraph"/>
                                    <w:spacing w:before="7"/>
                                    <w:rPr>
                                      <w:i/>
                                      <w:sz w:val="16"/>
                                    </w:rPr>
                                  </w:pPr>
                                </w:p>
                                <w:p>
                                  <w:pPr>
                                    <w:pStyle w:val="TableParagraph"/>
                                    <w:ind w:right="97"/>
                                    <w:jc w:val="right"/>
                                    <w:rPr>
                                      <w:sz w:val="16"/>
                                    </w:rPr>
                                  </w:pPr>
                                  <w:r>
                                    <w:rPr>
                                      <w:spacing w:val="-10"/>
                                      <w:sz w:val="16"/>
                                    </w:rPr>
                                    <w:t>—</w:t>
                                  </w:r>
                                </w:p>
                              </w:tc>
                              <w:tc>
                                <w:tcPr>
                                  <w:tcW w:w="736" w:type="dxa"/>
                                </w:tcPr>
                                <w:p>
                                  <w:pPr>
                                    <w:pStyle w:val="TableParagraph"/>
                                    <w:spacing w:before="7"/>
                                    <w:rPr>
                                      <w:i/>
                                      <w:sz w:val="16"/>
                                    </w:rPr>
                                  </w:pPr>
                                </w:p>
                                <w:p>
                                  <w:pPr>
                                    <w:pStyle w:val="TableParagraph"/>
                                    <w:ind w:right="44"/>
                                    <w:jc w:val="right"/>
                                    <w:rPr>
                                      <w:sz w:val="16"/>
                                    </w:rPr>
                                  </w:pPr>
                                  <w:r>
                                    <w:rPr>
                                      <w:spacing w:val="-2"/>
                                      <w:sz w:val="16"/>
                                    </w:rPr>
                                    <w:t>(417)</w:t>
                                  </w:r>
                                </w:p>
                              </w:tc>
                              <w:tc>
                                <w:tcPr>
                                  <w:tcW w:w="2057" w:type="dxa"/>
                                </w:tcPr>
                                <w:p>
                                  <w:pPr>
                                    <w:pStyle w:val="TableParagraph"/>
                                    <w:spacing w:before="7"/>
                                    <w:rPr>
                                      <w:i/>
                                      <w:sz w:val="16"/>
                                    </w:rPr>
                                  </w:pPr>
                                </w:p>
                                <w:p>
                                  <w:pPr>
                                    <w:pStyle w:val="TableParagraph"/>
                                    <w:tabs>
                                      <w:tab w:pos="1629" w:val="left" w:leader="none"/>
                                    </w:tabs>
                                    <w:ind w:left="474"/>
                                    <w:rPr>
                                      <w:sz w:val="16"/>
                                    </w:rPr>
                                  </w:pPr>
                                  <w:r>
                                    <w:rPr>
                                      <w:spacing w:val="-10"/>
                                      <w:sz w:val="16"/>
                                    </w:rPr>
                                    <w:t>—</w:t>
                                  </w:r>
                                  <w:r>
                                    <w:rPr>
                                      <w:sz w:val="16"/>
                                    </w:rPr>
                                    <w:tab/>
                                  </w:r>
                                  <w:r>
                                    <w:rPr>
                                      <w:spacing w:val="-10"/>
                                      <w:sz w:val="16"/>
                                    </w:rPr>
                                    <w:t>—</w:t>
                                  </w:r>
                                </w:p>
                              </w:tc>
                              <w:tc>
                                <w:tcPr>
                                  <w:tcW w:w="584" w:type="dxa"/>
                                </w:tcPr>
                                <w:p>
                                  <w:pPr>
                                    <w:pStyle w:val="TableParagraph"/>
                                    <w:spacing w:before="7"/>
                                    <w:rPr>
                                      <w:i/>
                                      <w:sz w:val="16"/>
                                    </w:rPr>
                                  </w:pPr>
                                </w:p>
                                <w:p>
                                  <w:pPr>
                                    <w:pStyle w:val="TableParagraph"/>
                                    <w:ind w:right="30"/>
                                    <w:jc w:val="right"/>
                                    <w:rPr>
                                      <w:sz w:val="16"/>
                                    </w:rPr>
                                  </w:pPr>
                                  <w:r>
                                    <w:rPr>
                                      <w:spacing w:val="-2"/>
                                      <w:sz w:val="16"/>
                                    </w:rPr>
                                    <w:t>(417)</w:t>
                                  </w:r>
                                </w:p>
                              </w:tc>
                            </w:tr>
                            <w:tr>
                              <w:trPr>
                                <w:trHeight w:val="255" w:hRule="atLeast"/>
                              </w:trPr>
                              <w:tc>
                                <w:tcPr>
                                  <w:tcW w:w="3125" w:type="dxa"/>
                                  <w:shd w:val="clear" w:color="auto" w:fill="CCEDFF"/>
                                </w:tcPr>
                                <w:p>
                                  <w:pPr>
                                    <w:pStyle w:val="TableParagraph"/>
                                    <w:spacing w:before="41"/>
                                    <w:ind w:left="52"/>
                                    <w:rPr>
                                      <w:sz w:val="16"/>
                                    </w:rPr>
                                  </w:pPr>
                                  <w:r>
                                    <w:rPr>
                                      <w:sz w:val="16"/>
                                    </w:rPr>
                                    <w:t>Repurchase</w:t>
                                  </w:r>
                                  <w:r>
                                    <w:rPr>
                                      <w:spacing w:val="-1"/>
                                      <w:sz w:val="16"/>
                                    </w:rPr>
                                    <w:t> </w:t>
                                  </w:r>
                                  <w:r>
                                    <w:rPr>
                                      <w:sz w:val="16"/>
                                    </w:rPr>
                                    <w:t>of common </w:t>
                                  </w:r>
                                  <w:r>
                                    <w:rPr>
                                      <w:spacing w:val="-2"/>
                                      <w:sz w:val="16"/>
                                    </w:rPr>
                                    <w:t>stock</w:t>
                                  </w:r>
                                </w:p>
                              </w:tc>
                              <w:tc>
                                <w:tcPr>
                                  <w:tcW w:w="804" w:type="dxa"/>
                                  <w:shd w:val="clear" w:color="auto" w:fill="CCEDFF"/>
                                </w:tcPr>
                                <w:p>
                                  <w:pPr>
                                    <w:pStyle w:val="TableParagraph"/>
                                    <w:spacing w:before="41"/>
                                    <w:ind w:left="531"/>
                                    <w:rPr>
                                      <w:sz w:val="16"/>
                                    </w:rPr>
                                  </w:pPr>
                                  <w:r>
                                    <w:rPr>
                                      <w:spacing w:val="-10"/>
                                      <w:sz w:val="16"/>
                                    </w:rPr>
                                    <w:t>—</w:t>
                                  </w:r>
                                </w:p>
                              </w:tc>
                              <w:tc>
                                <w:tcPr>
                                  <w:tcW w:w="541" w:type="dxa"/>
                                  <w:shd w:val="clear" w:color="auto" w:fill="CCEDFF"/>
                                </w:tcPr>
                                <w:p>
                                  <w:pPr>
                                    <w:pStyle w:val="TableParagraph"/>
                                    <w:spacing w:before="41"/>
                                    <w:ind w:right="66"/>
                                    <w:jc w:val="right"/>
                                    <w:rPr>
                                      <w:sz w:val="16"/>
                                    </w:rPr>
                                  </w:pPr>
                                  <w:r>
                                    <w:rPr>
                                      <w:spacing w:val="-10"/>
                                      <w:sz w:val="16"/>
                                    </w:rPr>
                                    <w:t>—</w:t>
                                  </w:r>
                                </w:p>
                              </w:tc>
                              <w:tc>
                                <w:tcPr>
                                  <w:tcW w:w="678" w:type="dxa"/>
                                  <w:shd w:val="clear" w:color="auto" w:fill="CCEDFF"/>
                                </w:tcPr>
                                <w:p>
                                  <w:pPr>
                                    <w:pStyle w:val="TableParagraph"/>
                                    <w:spacing w:before="41"/>
                                    <w:ind w:left="416"/>
                                    <w:rPr>
                                      <w:sz w:val="16"/>
                                    </w:rPr>
                                  </w:pPr>
                                  <w:r>
                                    <w:rPr>
                                      <w:spacing w:val="-10"/>
                                      <w:sz w:val="16"/>
                                    </w:rPr>
                                    <w:t>—</w:t>
                                  </w:r>
                                </w:p>
                              </w:tc>
                              <w:tc>
                                <w:tcPr>
                                  <w:tcW w:w="608" w:type="dxa"/>
                                  <w:shd w:val="clear" w:color="auto" w:fill="CCEDFF"/>
                                </w:tcPr>
                                <w:p>
                                  <w:pPr>
                                    <w:pStyle w:val="TableParagraph"/>
                                    <w:spacing w:before="41"/>
                                    <w:ind w:left="353"/>
                                    <w:rPr>
                                      <w:sz w:val="16"/>
                                    </w:rPr>
                                  </w:pPr>
                                  <w:r>
                                    <w:rPr>
                                      <w:spacing w:val="-10"/>
                                      <w:sz w:val="16"/>
                                    </w:rPr>
                                    <w:t>—</w:t>
                                  </w:r>
                                </w:p>
                              </w:tc>
                              <w:tc>
                                <w:tcPr>
                                  <w:tcW w:w="636" w:type="dxa"/>
                                  <w:shd w:val="clear" w:color="auto" w:fill="CCEDFF"/>
                                </w:tcPr>
                                <w:p>
                                  <w:pPr>
                                    <w:pStyle w:val="TableParagraph"/>
                                    <w:spacing w:before="41"/>
                                    <w:ind w:left="405"/>
                                    <w:rPr>
                                      <w:sz w:val="16"/>
                                    </w:rPr>
                                  </w:pPr>
                                  <w:r>
                                    <w:rPr>
                                      <w:spacing w:val="-10"/>
                                      <w:sz w:val="16"/>
                                    </w:rPr>
                                    <w:t>—</w:t>
                                  </w:r>
                                </w:p>
                              </w:tc>
                              <w:tc>
                                <w:tcPr>
                                  <w:tcW w:w="869" w:type="dxa"/>
                                  <w:shd w:val="clear" w:color="auto" w:fill="CCEDFF"/>
                                </w:tcPr>
                                <w:p>
                                  <w:pPr>
                                    <w:pStyle w:val="TableParagraph"/>
                                    <w:spacing w:before="41"/>
                                    <w:ind w:right="97"/>
                                    <w:jc w:val="right"/>
                                    <w:rPr>
                                      <w:sz w:val="16"/>
                                    </w:rPr>
                                  </w:pPr>
                                  <w:r>
                                    <w:rPr>
                                      <w:spacing w:val="-10"/>
                                      <w:sz w:val="16"/>
                                    </w:rPr>
                                    <w:t>—</w:t>
                                  </w:r>
                                </w:p>
                              </w:tc>
                              <w:tc>
                                <w:tcPr>
                                  <w:tcW w:w="736" w:type="dxa"/>
                                  <w:shd w:val="clear" w:color="auto" w:fill="CCEDFF"/>
                                </w:tcPr>
                                <w:p>
                                  <w:pPr>
                                    <w:pStyle w:val="TableParagraph"/>
                                    <w:spacing w:before="41"/>
                                    <w:ind w:right="98"/>
                                    <w:jc w:val="right"/>
                                    <w:rPr>
                                      <w:sz w:val="16"/>
                                    </w:rPr>
                                  </w:pPr>
                                  <w:r>
                                    <w:rPr>
                                      <w:spacing w:val="-10"/>
                                      <w:sz w:val="16"/>
                                    </w:rPr>
                                    <w:t>—</w:t>
                                  </w:r>
                                </w:p>
                              </w:tc>
                              <w:tc>
                                <w:tcPr>
                                  <w:tcW w:w="2057" w:type="dxa"/>
                                  <w:shd w:val="clear" w:color="auto" w:fill="CCEDFF"/>
                                </w:tcPr>
                                <w:p>
                                  <w:pPr>
                                    <w:pStyle w:val="TableParagraph"/>
                                    <w:tabs>
                                      <w:tab w:pos="1629" w:val="left" w:leader="none"/>
                                    </w:tabs>
                                    <w:spacing w:before="41"/>
                                    <w:ind w:left="341"/>
                                    <w:rPr>
                                      <w:sz w:val="16"/>
                                    </w:rPr>
                                  </w:pPr>
                                  <w:r>
                                    <w:rPr>
                                      <w:spacing w:val="-2"/>
                                      <w:sz w:val="16"/>
                                    </w:rPr>
                                    <w:t>(500)</w:t>
                                  </w:r>
                                  <w:r>
                                    <w:rPr>
                                      <w:sz w:val="16"/>
                                    </w:rPr>
                                    <w:tab/>
                                  </w:r>
                                  <w:r>
                                    <w:rPr>
                                      <w:spacing w:val="-10"/>
                                      <w:sz w:val="16"/>
                                    </w:rPr>
                                    <w:t>—</w:t>
                                  </w:r>
                                </w:p>
                              </w:tc>
                              <w:tc>
                                <w:tcPr>
                                  <w:tcW w:w="584" w:type="dxa"/>
                                  <w:shd w:val="clear" w:color="auto" w:fill="CCEDFF"/>
                                </w:tcPr>
                                <w:p>
                                  <w:pPr>
                                    <w:pStyle w:val="TableParagraph"/>
                                    <w:spacing w:before="41"/>
                                    <w:ind w:right="30"/>
                                    <w:jc w:val="right"/>
                                    <w:rPr>
                                      <w:sz w:val="16"/>
                                    </w:rPr>
                                  </w:pPr>
                                  <w:r>
                                    <w:rPr>
                                      <w:spacing w:val="-2"/>
                                      <w:sz w:val="16"/>
                                    </w:rPr>
                                    <w:t>(500)</w:t>
                                  </w:r>
                                </w:p>
                              </w:tc>
                            </w:tr>
                            <w:tr>
                              <w:trPr>
                                <w:trHeight w:val="255" w:hRule="atLeast"/>
                              </w:trPr>
                              <w:tc>
                                <w:tcPr>
                                  <w:tcW w:w="3125" w:type="dxa"/>
                                </w:tcPr>
                                <w:p>
                                  <w:pPr>
                                    <w:pStyle w:val="TableParagraph"/>
                                    <w:spacing w:before="41"/>
                                    <w:ind w:left="52"/>
                                    <w:rPr>
                                      <w:sz w:val="16"/>
                                    </w:rPr>
                                  </w:pPr>
                                  <w:r>
                                    <w:rPr>
                                      <w:sz w:val="16"/>
                                    </w:rPr>
                                    <w:t>Repurchase</w:t>
                                  </w:r>
                                  <w:r>
                                    <w:rPr>
                                      <w:spacing w:val="-1"/>
                                      <w:sz w:val="16"/>
                                    </w:rPr>
                                    <w:t> </w:t>
                                  </w:r>
                                  <w:r>
                                    <w:rPr>
                                      <w:sz w:val="16"/>
                                    </w:rPr>
                                    <w:t>of nonvoting common </w:t>
                                  </w:r>
                                  <w:r>
                                    <w:rPr>
                                      <w:spacing w:val="-2"/>
                                      <w:sz w:val="16"/>
                                    </w:rPr>
                                    <w:t>stock</w:t>
                                  </w:r>
                                </w:p>
                              </w:tc>
                              <w:tc>
                                <w:tcPr>
                                  <w:tcW w:w="804" w:type="dxa"/>
                                </w:tcPr>
                                <w:p>
                                  <w:pPr>
                                    <w:pStyle w:val="TableParagraph"/>
                                    <w:spacing w:before="41"/>
                                    <w:ind w:left="531"/>
                                    <w:rPr>
                                      <w:sz w:val="16"/>
                                    </w:rPr>
                                  </w:pPr>
                                  <w:r>
                                    <w:rPr>
                                      <w:spacing w:val="-10"/>
                                      <w:sz w:val="16"/>
                                    </w:rPr>
                                    <w:t>—</w:t>
                                  </w:r>
                                </w:p>
                              </w:tc>
                              <w:tc>
                                <w:tcPr>
                                  <w:tcW w:w="541" w:type="dxa"/>
                                </w:tcPr>
                                <w:p>
                                  <w:pPr>
                                    <w:pStyle w:val="TableParagraph"/>
                                    <w:spacing w:before="41"/>
                                    <w:ind w:right="66"/>
                                    <w:jc w:val="right"/>
                                    <w:rPr>
                                      <w:sz w:val="16"/>
                                    </w:rPr>
                                  </w:pPr>
                                  <w:r>
                                    <w:rPr>
                                      <w:spacing w:val="-5"/>
                                      <w:sz w:val="16"/>
                                    </w:rPr>
                                    <w:t>15</w:t>
                                  </w:r>
                                </w:p>
                              </w:tc>
                              <w:tc>
                                <w:tcPr>
                                  <w:tcW w:w="678" w:type="dxa"/>
                                </w:tcPr>
                                <w:p>
                                  <w:pPr>
                                    <w:pStyle w:val="TableParagraph"/>
                                    <w:spacing w:before="41"/>
                                    <w:ind w:left="416"/>
                                    <w:rPr>
                                      <w:sz w:val="16"/>
                                    </w:rPr>
                                  </w:pPr>
                                  <w:r>
                                    <w:rPr>
                                      <w:spacing w:val="-10"/>
                                      <w:sz w:val="16"/>
                                    </w:rPr>
                                    <w:t>—</w:t>
                                  </w:r>
                                </w:p>
                              </w:tc>
                              <w:tc>
                                <w:tcPr>
                                  <w:tcW w:w="608" w:type="dxa"/>
                                </w:tcPr>
                                <w:p>
                                  <w:pPr>
                                    <w:pStyle w:val="TableParagraph"/>
                                    <w:spacing w:before="41"/>
                                    <w:ind w:right="38"/>
                                    <w:jc w:val="right"/>
                                    <w:rPr>
                                      <w:sz w:val="16"/>
                                    </w:rPr>
                                  </w:pPr>
                                  <w:r>
                                    <w:rPr>
                                      <w:spacing w:val="-4"/>
                                      <w:sz w:val="16"/>
                                    </w:rPr>
                                    <w:t>(15)</w:t>
                                  </w:r>
                                </w:p>
                              </w:tc>
                              <w:tc>
                                <w:tcPr>
                                  <w:tcW w:w="636" w:type="dxa"/>
                                </w:tcPr>
                                <w:p>
                                  <w:pPr>
                                    <w:pStyle w:val="TableParagraph"/>
                                    <w:spacing w:before="41"/>
                                    <w:ind w:left="405"/>
                                    <w:rPr>
                                      <w:sz w:val="16"/>
                                    </w:rPr>
                                  </w:pPr>
                                  <w:r>
                                    <w:rPr>
                                      <w:spacing w:val="-10"/>
                                      <w:sz w:val="16"/>
                                    </w:rPr>
                                    <w:t>—</w:t>
                                  </w:r>
                                </w:p>
                              </w:tc>
                              <w:tc>
                                <w:tcPr>
                                  <w:tcW w:w="869" w:type="dxa"/>
                                </w:tcPr>
                                <w:p>
                                  <w:pPr>
                                    <w:pStyle w:val="TableParagraph"/>
                                    <w:spacing w:before="41"/>
                                    <w:ind w:right="97"/>
                                    <w:jc w:val="right"/>
                                    <w:rPr>
                                      <w:sz w:val="16"/>
                                    </w:rPr>
                                  </w:pPr>
                                  <w:r>
                                    <w:rPr>
                                      <w:spacing w:val="-10"/>
                                      <w:sz w:val="16"/>
                                    </w:rPr>
                                    <w:t>—</w:t>
                                  </w:r>
                                </w:p>
                              </w:tc>
                              <w:tc>
                                <w:tcPr>
                                  <w:tcW w:w="736" w:type="dxa"/>
                                </w:tcPr>
                                <w:p>
                                  <w:pPr>
                                    <w:pStyle w:val="TableParagraph"/>
                                    <w:spacing w:before="41"/>
                                    <w:ind w:right="98"/>
                                    <w:jc w:val="right"/>
                                    <w:rPr>
                                      <w:sz w:val="16"/>
                                    </w:rPr>
                                  </w:pPr>
                                  <w:r>
                                    <w:rPr>
                                      <w:spacing w:val="-10"/>
                                      <w:sz w:val="16"/>
                                    </w:rPr>
                                    <w:t>—</w:t>
                                  </w:r>
                                </w:p>
                              </w:tc>
                              <w:tc>
                                <w:tcPr>
                                  <w:tcW w:w="2057" w:type="dxa"/>
                                </w:tcPr>
                                <w:p>
                                  <w:pPr>
                                    <w:pStyle w:val="TableParagraph"/>
                                    <w:tabs>
                                      <w:tab w:pos="1629" w:val="left" w:leader="none"/>
                                    </w:tabs>
                                    <w:spacing w:before="41"/>
                                    <w:ind w:left="221"/>
                                    <w:rPr>
                                      <w:sz w:val="16"/>
                                    </w:rPr>
                                  </w:pPr>
                                  <w:r>
                                    <w:rPr>
                                      <w:spacing w:val="-2"/>
                                      <w:sz w:val="16"/>
                                    </w:rPr>
                                    <w:t>(1,000)</w:t>
                                  </w:r>
                                  <w:r>
                                    <w:rPr>
                                      <w:sz w:val="16"/>
                                    </w:rPr>
                                    <w:tab/>
                                  </w:r>
                                  <w:r>
                                    <w:rPr>
                                      <w:spacing w:val="-10"/>
                                      <w:sz w:val="16"/>
                                    </w:rPr>
                                    <w:t>—</w:t>
                                  </w:r>
                                </w:p>
                              </w:tc>
                              <w:tc>
                                <w:tcPr>
                                  <w:tcW w:w="584" w:type="dxa"/>
                                </w:tcPr>
                                <w:p>
                                  <w:pPr>
                                    <w:pStyle w:val="TableParagraph"/>
                                    <w:spacing w:before="41"/>
                                    <w:ind w:left="84"/>
                                    <w:rPr>
                                      <w:sz w:val="16"/>
                                    </w:rPr>
                                  </w:pPr>
                                  <w:r>
                                    <w:rPr>
                                      <w:spacing w:val="-2"/>
                                      <w:sz w:val="16"/>
                                    </w:rPr>
                                    <w:t>(1,000)</w:t>
                                  </w:r>
                                </w:p>
                              </w:tc>
                            </w:tr>
                            <w:tr>
                              <w:trPr>
                                <w:trHeight w:val="405" w:hRule="atLeast"/>
                              </w:trPr>
                              <w:tc>
                                <w:tcPr>
                                  <w:tcW w:w="3125" w:type="dxa"/>
                                  <w:shd w:val="clear" w:color="auto" w:fill="CCEDFF"/>
                                </w:tcPr>
                                <w:p>
                                  <w:pPr>
                                    <w:pStyle w:val="TableParagraph"/>
                                    <w:spacing w:line="208" w:lineRule="auto" w:before="50"/>
                                    <w:ind w:left="52"/>
                                    <w:rPr>
                                      <w:sz w:val="16"/>
                                    </w:rPr>
                                  </w:pPr>
                                  <w:r>
                                    <w:rPr>
                                      <w:sz w:val="16"/>
                                    </w:rPr>
                                    <w:t>Conversion</w:t>
                                  </w:r>
                                  <w:r>
                                    <w:rPr>
                                      <w:spacing w:val="-8"/>
                                      <w:sz w:val="16"/>
                                    </w:rPr>
                                    <w:t> </w:t>
                                  </w:r>
                                  <w:r>
                                    <w:rPr>
                                      <w:sz w:val="16"/>
                                    </w:rPr>
                                    <w:t>of</w:t>
                                  </w:r>
                                  <w:r>
                                    <w:rPr>
                                      <w:spacing w:val="-8"/>
                                      <w:sz w:val="16"/>
                                    </w:rPr>
                                    <w:t> </w:t>
                                  </w:r>
                                  <w:r>
                                    <w:rPr>
                                      <w:sz w:val="16"/>
                                    </w:rPr>
                                    <w:t>nonvoting</w:t>
                                  </w:r>
                                  <w:r>
                                    <w:rPr>
                                      <w:spacing w:val="-8"/>
                                      <w:sz w:val="16"/>
                                    </w:rPr>
                                    <w:t> </w:t>
                                  </w:r>
                                  <w:r>
                                    <w:rPr>
                                      <w:sz w:val="16"/>
                                    </w:rPr>
                                    <w:t>common</w:t>
                                  </w:r>
                                  <w:r>
                                    <w:rPr>
                                      <w:spacing w:val="-8"/>
                                      <w:sz w:val="16"/>
                                    </w:rPr>
                                    <w:t> </w:t>
                                  </w:r>
                                  <w:r>
                                    <w:rPr>
                                      <w:sz w:val="16"/>
                                    </w:rPr>
                                    <w:t>stock</w:t>
                                  </w:r>
                                  <w:r>
                                    <w:rPr>
                                      <w:spacing w:val="-8"/>
                                      <w:sz w:val="16"/>
                                    </w:rPr>
                                    <w:t> </w:t>
                                  </w:r>
                                  <w:r>
                                    <w:rPr>
                                      <w:sz w:val="16"/>
                                    </w:rPr>
                                    <w:t>to</w:t>
                                  </w:r>
                                  <w:r>
                                    <w:rPr>
                                      <w:spacing w:val="40"/>
                                      <w:sz w:val="16"/>
                                    </w:rPr>
                                    <w:t> </w:t>
                                  </w:r>
                                  <w:r>
                                    <w:rPr>
                                      <w:sz w:val="16"/>
                                    </w:rPr>
                                    <w:t>common</w:t>
                                  </w:r>
                                  <w:r>
                                    <w:rPr>
                                      <w:spacing w:val="-1"/>
                                      <w:sz w:val="16"/>
                                    </w:rPr>
                                    <w:t> </w:t>
                                  </w:r>
                                  <w:r>
                                    <w:rPr>
                                      <w:sz w:val="16"/>
                                    </w:rPr>
                                    <w:t>stock</w:t>
                                  </w:r>
                                </w:p>
                              </w:tc>
                              <w:tc>
                                <w:tcPr>
                                  <w:tcW w:w="804" w:type="dxa"/>
                                  <w:shd w:val="clear" w:color="auto" w:fill="CCEDFF"/>
                                </w:tcPr>
                                <w:p>
                                  <w:pPr>
                                    <w:pStyle w:val="TableParagraph"/>
                                    <w:spacing w:before="7"/>
                                    <w:rPr>
                                      <w:i/>
                                      <w:sz w:val="16"/>
                                    </w:rPr>
                                  </w:pPr>
                                </w:p>
                                <w:p>
                                  <w:pPr>
                                    <w:pStyle w:val="TableParagraph"/>
                                    <w:ind w:left="531"/>
                                    <w:rPr>
                                      <w:sz w:val="16"/>
                                    </w:rPr>
                                  </w:pPr>
                                  <w:r>
                                    <w:rPr>
                                      <w:spacing w:val="-10"/>
                                      <w:sz w:val="16"/>
                                    </w:rPr>
                                    <w:t>—</w:t>
                                  </w:r>
                                </w:p>
                              </w:tc>
                              <w:tc>
                                <w:tcPr>
                                  <w:tcW w:w="541" w:type="dxa"/>
                                  <w:shd w:val="clear" w:color="auto" w:fill="CCEDFF"/>
                                </w:tcPr>
                                <w:p>
                                  <w:pPr>
                                    <w:pStyle w:val="TableParagraph"/>
                                    <w:spacing w:before="7"/>
                                    <w:rPr>
                                      <w:i/>
                                      <w:sz w:val="16"/>
                                    </w:rPr>
                                  </w:pPr>
                                </w:p>
                                <w:p>
                                  <w:pPr>
                                    <w:pStyle w:val="TableParagraph"/>
                                    <w:ind w:right="66"/>
                                    <w:jc w:val="right"/>
                                    <w:rPr>
                                      <w:sz w:val="16"/>
                                    </w:rPr>
                                  </w:pPr>
                                  <w:r>
                                    <w:rPr>
                                      <w:spacing w:val="-5"/>
                                      <w:sz w:val="16"/>
                                    </w:rPr>
                                    <w:t>13</w:t>
                                  </w:r>
                                </w:p>
                              </w:tc>
                              <w:tc>
                                <w:tcPr>
                                  <w:tcW w:w="678" w:type="dxa"/>
                                  <w:shd w:val="clear" w:color="auto" w:fill="CCEDFF"/>
                                </w:tcPr>
                                <w:p>
                                  <w:pPr>
                                    <w:pStyle w:val="TableParagraph"/>
                                    <w:spacing w:before="7"/>
                                    <w:rPr>
                                      <w:i/>
                                      <w:sz w:val="16"/>
                                    </w:rPr>
                                  </w:pPr>
                                </w:p>
                                <w:p>
                                  <w:pPr>
                                    <w:pStyle w:val="TableParagraph"/>
                                    <w:ind w:left="416"/>
                                    <w:rPr>
                                      <w:sz w:val="16"/>
                                    </w:rPr>
                                  </w:pPr>
                                  <w:r>
                                    <w:rPr>
                                      <w:spacing w:val="-10"/>
                                      <w:sz w:val="16"/>
                                    </w:rPr>
                                    <w:t>—</w:t>
                                  </w:r>
                                </w:p>
                              </w:tc>
                              <w:tc>
                                <w:tcPr>
                                  <w:tcW w:w="608" w:type="dxa"/>
                                  <w:shd w:val="clear" w:color="auto" w:fill="CCEDFF"/>
                                </w:tcPr>
                                <w:p>
                                  <w:pPr>
                                    <w:pStyle w:val="TableParagraph"/>
                                    <w:spacing w:before="7"/>
                                    <w:rPr>
                                      <w:i/>
                                      <w:sz w:val="16"/>
                                    </w:rPr>
                                  </w:pPr>
                                </w:p>
                                <w:p>
                                  <w:pPr>
                                    <w:pStyle w:val="TableParagraph"/>
                                    <w:ind w:right="38"/>
                                    <w:jc w:val="right"/>
                                    <w:rPr>
                                      <w:sz w:val="16"/>
                                    </w:rPr>
                                  </w:pPr>
                                  <w:r>
                                    <w:rPr>
                                      <w:spacing w:val="-4"/>
                                      <w:sz w:val="16"/>
                                    </w:rPr>
                                    <w:t>(13)</w:t>
                                  </w:r>
                                </w:p>
                              </w:tc>
                              <w:tc>
                                <w:tcPr>
                                  <w:tcW w:w="636" w:type="dxa"/>
                                  <w:shd w:val="clear" w:color="auto" w:fill="CCEDFF"/>
                                </w:tcPr>
                                <w:p>
                                  <w:pPr>
                                    <w:pStyle w:val="TableParagraph"/>
                                    <w:spacing w:before="7"/>
                                    <w:rPr>
                                      <w:i/>
                                      <w:sz w:val="16"/>
                                    </w:rPr>
                                  </w:pPr>
                                </w:p>
                                <w:p>
                                  <w:pPr>
                                    <w:pStyle w:val="TableParagraph"/>
                                    <w:ind w:left="405"/>
                                    <w:rPr>
                                      <w:sz w:val="16"/>
                                    </w:rPr>
                                  </w:pPr>
                                  <w:r>
                                    <w:rPr>
                                      <w:spacing w:val="-10"/>
                                      <w:sz w:val="16"/>
                                    </w:rPr>
                                    <w:t>—</w:t>
                                  </w:r>
                                </w:p>
                              </w:tc>
                              <w:tc>
                                <w:tcPr>
                                  <w:tcW w:w="869" w:type="dxa"/>
                                  <w:shd w:val="clear" w:color="auto" w:fill="CCEDFF"/>
                                </w:tcPr>
                                <w:p>
                                  <w:pPr>
                                    <w:pStyle w:val="TableParagraph"/>
                                    <w:spacing w:before="7"/>
                                    <w:rPr>
                                      <w:i/>
                                      <w:sz w:val="16"/>
                                    </w:rPr>
                                  </w:pPr>
                                </w:p>
                                <w:p>
                                  <w:pPr>
                                    <w:pStyle w:val="TableParagraph"/>
                                    <w:ind w:right="97"/>
                                    <w:jc w:val="right"/>
                                    <w:rPr>
                                      <w:sz w:val="16"/>
                                    </w:rPr>
                                  </w:pPr>
                                  <w:r>
                                    <w:rPr>
                                      <w:spacing w:val="-10"/>
                                      <w:sz w:val="16"/>
                                    </w:rPr>
                                    <w:t>—</w:t>
                                  </w:r>
                                </w:p>
                              </w:tc>
                              <w:tc>
                                <w:tcPr>
                                  <w:tcW w:w="736" w:type="dxa"/>
                                  <w:shd w:val="clear" w:color="auto" w:fill="CCEDFF"/>
                                </w:tcPr>
                                <w:p>
                                  <w:pPr>
                                    <w:pStyle w:val="TableParagraph"/>
                                    <w:spacing w:before="7"/>
                                    <w:rPr>
                                      <w:i/>
                                      <w:sz w:val="16"/>
                                    </w:rPr>
                                  </w:pPr>
                                </w:p>
                                <w:p>
                                  <w:pPr>
                                    <w:pStyle w:val="TableParagraph"/>
                                    <w:ind w:right="98"/>
                                    <w:jc w:val="right"/>
                                    <w:rPr>
                                      <w:sz w:val="16"/>
                                    </w:rPr>
                                  </w:pPr>
                                  <w:r>
                                    <w:rPr>
                                      <w:spacing w:val="-10"/>
                                      <w:sz w:val="16"/>
                                    </w:rPr>
                                    <w:t>—</w:t>
                                  </w:r>
                                </w:p>
                              </w:tc>
                              <w:tc>
                                <w:tcPr>
                                  <w:tcW w:w="2057" w:type="dxa"/>
                                  <w:shd w:val="clear" w:color="auto" w:fill="CCEDFF"/>
                                </w:tcPr>
                                <w:p>
                                  <w:pPr>
                                    <w:pStyle w:val="TableParagraph"/>
                                    <w:spacing w:before="7"/>
                                    <w:rPr>
                                      <w:i/>
                                      <w:sz w:val="16"/>
                                    </w:rPr>
                                  </w:pPr>
                                </w:p>
                                <w:p>
                                  <w:pPr>
                                    <w:pStyle w:val="TableParagraph"/>
                                    <w:tabs>
                                      <w:tab w:pos="1629" w:val="left" w:leader="none"/>
                                    </w:tabs>
                                    <w:ind w:left="474"/>
                                    <w:rPr>
                                      <w:sz w:val="16"/>
                                    </w:rPr>
                                  </w:pPr>
                                  <w:r>
                                    <w:rPr>
                                      <w:spacing w:val="-10"/>
                                      <w:sz w:val="16"/>
                                    </w:rPr>
                                    <w:t>—</w:t>
                                  </w:r>
                                  <w:r>
                                    <w:rPr>
                                      <w:sz w:val="16"/>
                                    </w:rPr>
                                    <w:tab/>
                                  </w:r>
                                  <w:r>
                                    <w:rPr>
                                      <w:spacing w:val="-10"/>
                                      <w:sz w:val="16"/>
                                    </w:rPr>
                                    <w:t>—</w:t>
                                  </w:r>
                                </w:p>
                              </w:tc>
                              <w:tc>
                                <w:tcPr>
                                  <w:tcW w:w="584" w:type="dxa"/>
                                  <w:shd w:val="clear" w:color="auto" w:fill="CCEDFF"/>
                                </w:tcPr>
                                <w:p>
                                  <w:pPr>
                                    <w:pStyle w:val="TableParagraph"/>
                                    <w:spacing w:before="7"/>
                                    <w:rPr>
                                      <w:i/>
                                      <w:sz w:val="16"/>
                                    </w:rPr>
                                  </w:pPr>
                                </w:p>
                                <w:p>
                                  <w:pPr>
                                    <w:pStyle w:val="TableParagraph"/>
                                    <w:ind w:right="84"/>
                                    <w:jc w:val="right"/>
                                    <w:rPr>
                                      <w:sz w:val="16"/>
                                    </w:rPr>
                                  </w:pPr>
                                  <w:r>
                                    <w:rPr>
                                      <w:spacing w:val="-10"/>
                                      <w:sz w:val="16"/>
                                    </w:rPr>
                                    <w:t>—</w:t>
                                  </w:r>
                                </w:p>
                              </w:tc>
                            </w:tr>
                            <w:tr>
                              <w:trPr>
                                <w:trHeight w:val="255" w:hRule="atLeast"/>
                              </w:trPr>
                              <w:tc>
                                <w:tcPr>
                                  <w:tcW w:w="3125" w:type="dxa"/>
                                </w:tcPr>
                                <w:p>
                                  <w:pPr>
                                    <w:pStyle w:val="TableParagraph"/>
                                    <w:spacing w:before="41"/>
                                    <w:ind w:left="52"/>
                                    <w:rPr>
                                      <w:sz w:val="16"/>
                                    </w:rPr>
                                  </w:pPr>
                                  <w:r>
                                    <w:rPr>
                                      <w:sz w:val="16"/>
                                    </w:rPr>
                                    <w:t>Stock</w:t>
                                  </w:r>
                                  <w:r>
                                    <w:rPr>
                                      <w:spacing w:val="-1"/>
                                      <w:sz w:val="16"/>
                                    </w:rPr>
                                    <w:t> </w:t>
                                  </w:r>
                                  <w:r>
                                    <w:rPr>
                                      <w:sz w:val="16"/>
                                    </w:rPr>
                                    <w:t>option exercises</w:t>
                                  </w:r>
                                  <w:r>
                                    <w:rPr>
                                      <w:spacing w:val="-2"/>
                                      <w:sz w:val="16"/>
                                    </w:rPr>
                                    <w:t> </w:t>
                                  </w:r>
                                  <w:r>
                                    <w:rPr>
                                      <w:sz w:val="16"/>
                                    </w:rPr>
                                    <w:t>and </w:t>
                                  </w:r>
                                  <w:r>
                                    <w:rPr>
                                      <w:spacing w:val="-2"/>
                                      <w:sz w:val="16"/>
                                    </w:rPr>
                                    <w:t>other</w:t>
                                  </w:r>
                                </w:p>
                              </w:tc>
                              <w:tc>
                                <w:tcPr>
                                  <w:tcW w:w="804" w:type="dxa"/>
                                </w:tcPr>
                                <w:p>
                                  <w:pPr>
                                    <w:pStyle w:val="TableParagraph"/>
                                    <w:spacing w:before="41"/>
                                    <w:ind w:left="531"/>
                                    <w:rPr>
                                      <w:sz w:val="16"/>
                                    </w:rPr>
                                  </w:pPr>
                                  <w:r>
                                    <w:rPr>
                                      <w:spacing w:val="-10"/>
                                      <w:sz w:val="16"/>
                                    </w:rPr>
                                    <w:t>—</w:t>
                                  </w:r>
                                </w:p>
                              </w:tc>
                              <w:tc>
                                <w:tcPr>
                                  <w:tcW w:w="541" w:type="dxa"/>
                                </w:tcPr>
                                <w:p>
                                  <w:pPr>
                                    <w:pStyle w:val="TableParagraph"/>
                                    <w:spacing w:before="41"/>
                                    <w:ind w:right="66"/>
                                    <w:jc w:val="right"/>
                                    <w:rPr>
                                      <w:sz w:val="16"/>
                                    </w:rPr>
                                  </w:pPr>
                                  <w:r>
                                    <w:rPr>
                                      <w:spacing w:val="-10"/>
                                      <w:sz w:val="16"/>
                                    </w:rPr>
                                    <w:t>—</w:t>
                                  </w:r>
                                </w:p>
                              </w:tc>
                              <w:tc>
                                <w:tcPr>
                                  <w:tcW w:w="678" w:type="dxa"/>
                                </w:tcPr>
                                <w:p>
                                  <w:pPr>
                                    <w:pStyle w:val="TableParagraph"/>
                                    <w:spacing w:before="41"/>
                                    <w:ind w:left="416"/>
                                    <w:rPr>
                                      <w:sz w:val="16"/>
                                    </w:rPr>
                                  </w:pPr>
                                  <w:r>
                                    <w:rPr>
                                      <w:spacing w:val="-10"/>
                                      <w:sz w:val="16"/>
                                    </w:rPr>
                                    <w:t>—</w:t>
                                  </w:r>
                                </w:p>
                              </w:tc>
                              <w:tc>
                                <w:tcPr>
                                  <w:tcW w:w="608" w:type="dxa"/>
                                </w:tcPr>
                                <w:p>
                                  <w:pPr>
                                    <w:pStyle w:val="TableParagraph"/>
                                    <w:spacing w:before="41"/>
                                    <w:ind w:left="353"/>
                                    <w:rPr>
                                      <w:sz w:val="16"/>
                                    </w:rPr>
                                  </w:pPr>
                                  <w:r>
                                    <w:rPr>
                                      <w:spacing w:val="-10"/>
                                      <w:sz w:val="16"/>
                                    </w:rPr>
                                    <w:t>—</w:t>
                                  </w:r>
                                </w:p>
                              </w:tc>
                              <w:tc>
                                <w:tcPr>
                                  <w:tcW w:w="636" w:type="dxa"/>
                                </w:tcPr>
                                <w:p>
                                  <w:pPr>
                                    <w:pStyle w:val="TableParagraph"/>
                                    <w:spacing w:before="41"/>
                                    <w:ind w:left="405"/>
                                    <w:rPr>
                                      <w:sz w:val="16"/>
                                    </w:rPr>
                                  </w:pPr>
                                  <w:r>
                                    <w:rPr>
                                      <w:spacing w:val="-10"/>
                                      <w:sz w:val="16"/>
                                    </w:rPr>
                                    <w:t>—</w:t>
                                  </w:r>
                                </w:p>
                              </w:tc>
                              <w:tc>
                                <w:tcPr>
                                  <w:tcW w:w="869" w:type="dxa"/>
                                </w:tcPr>
                                <w:p>
                                  <w:pPr>
                                    <w:pStyle w:val="TableParagraph"/>
                                    <w:spacing w:before="41"/>
                                    <w:ind w:left="556"/>
                                    <w:rPr>
                                      <w:sz w:val="16"/>
                                    </w:rPr>
                                  </w:pPr>
                                  <w:r>
                                    <w:rPr>
                                      <w:spacing w:val="-4"/>
                                      <w:sz w:val="16"/>
                                    </w:rPr>
                                    <w:t>(12)</w:t>
                                  </w:r>
                                </w:p>
                              </w:tc>
                              <w:tc>
                                <w:tcPr>
                                  <w:tcW w:w="736" w:type="dxa"/>
                                </w:tcPr>
                                <w:p>
                                  <w:pPr>
                                    <w:pStyle w:val="TableParagraph"/>
                                    <w:spacing w:before="41"/>
                                    <w:ind w:right="98"/>
                                    <w:jc w:val="right"/>
                                    <w:rPr>
                                      <w:sz w:val="16"/>
                                    </w:rPr>
                                  </w:pPr>
                                  <w:r>
                                    <w:rPr>
                                      <w:spacing w:val="-10"/>
                                      <w:sz w:val="16"/>
                                    </w:rPr>
                                    <w:t>—</w:t>
                                  </w:r>
                                </w:p>
                              </w:tc>
                              <w:tc>
                                <w:tcPr>
                                  <w:tcW w:w="2057" w:type="dxa"/>
                                </w:tcPr>
                                <w:p>
                                  <w:pPr>
                                    <w:pStyle w:val="TableParagraph"/>
                                    <w:tabs>
                                      <w:tab w:pos="1629" w:val="left" w:leader="none"/>
                                    </w:tabs>
                                    <w:spacing w:before="41"/>
                                    <w:ind w:left="474"/>
                                    <w:rPr>
                                      <w:sz w:val="16"/>
                                    </w:rPr>
                                  </w:pPr>
                                  <w:r>
                                    <w:rPr>
                                      <w:spacing w:val="-5"/>
                                      <w:sz w:val="16"/>
                                    </w:rPr>
                                    <w:t>21</w:t>
                                  </w:r>
                                  <w:r>
                                    <w:rPr>
                                      <w:sz w:val="16"/>
                                    </w:rPr>
                                    <w:tab/>
                                  </w:r>
                                  <w:r>
                                    <w:rPr>
                                      <w:spacing w:val="-10"/>
                                      <w:sz w:val="16"/>
                                    </w:rPr>
                                    <w:t>—</w:t>
                                  </w:r>
                                </w:p>
                              </w:tc>
                              <w:tc>
                                <w:tcPr>
                                  <w:tcW w:w="584" w:type="dxa"/>
                                </w:tcPr>
                                <w:p>
                                  <w:pPr>
                                    <w:pStyle w:val="TableParagraph"/>
                                    <w:spacing w:before="41"/>
                                    <w:ind w:right="84"/>
                                    <w:jc w:val="right"/>
                                    <w:rPr>
                                      <w:sz w:val="16"/>
                                    </w:rPr>
                                  </w:pPr>
                                  <w:r>
                                    <w:rPr>
                                      <w:spacing w:val="-10"/>
                                      <w:sz w:val="16"/>
                                    </w:rPr>
                                    <w:t>9</w:t>
                                  </w:r>
                                </w:p>
                              </w:tc>
                            </w:tr>
                            <w:tr>
                              <w:trPr>
                                <w:trHeight w:val="255" w:hRule="atLeast"/>
                              </w:trPr>
                              <w:tc>
                                <w:tcPr>
                                  <w:tcW w:w="3125" w:type="dxa"/>
                                  <w:shd w:val="clear" w:color="auto" w:fill="CCEDFF"/>
                                </w:tcPr>
                                <w:p>
                                  <w:pPr>
                                    <w:pStyle w:val="TableParagraph"/>
                                    <w:spacing w:before="41"/>
                                    <w:ind w:left="52"/>
                                    <w:rPr>
                                      <w:sz w:val="16"/>
                                    </w:rPr>
                                  </w:pPr>
                                  <w:r>
                                    <w:rPr>
                                      <w:sz w:val="16"/>
                                    </w:rPr>
                                    <w:t>Share-based</w:t>
                                  </w:r>
                                  <w:r>
                                    <w:rPr>
                                      <w:spacing w:val="-2"/>
                                      <w:sz w:val="16"/>
                                    </w:rPr>
                                    <w:t> compensation</w:t>
                                  </w:r>
                                </w:p>
                              </w:tc>
                              <w:tc>
                                <w:tcPr>
                                  <w:tcW w:w="804" w:type="dxa"/>
                                  <w:shd w:val="clear" w:color="auto" w:fill="CCEDFF"/>
                                </w:tcPr>
                                <w:p>
                                  <w:pPr>
                                    <w:pStyle w:val="TableParagraph"/>
                                    <w:spacing w:before="41"/>
                                    <w:ind w:left="531"/>
                                    <w:rPr>
                                      <w:sz w:val="16"/>
                                    </w:rPr>
                                  </w:pPr>
                                  <w:r>
                                    <w:rPr>
                                      <w:spacing w:val="-10"/>
                                      <w:sz w:val="16"/>
                                    </w:rPr>
                                    <w:t>—</w:t>
                                  </w:r>
                                </w:p>
                              </w:tc>
                              <w:tc>
                                <w:tcPr>
                                  <w:tcW w:w="541" w:type="dxa"/>
                                  <w:shd w:val="clear" w:color="auto" w:fill="CCEDFF"/>
                                </w:tcPr>
                                <w:p>
                                  <w:pPr>
                                    <w:pStyle w:val="TableParagraph"/>
                                    <w:spacing w:before="41"/>
                                    <w:ind w:right="66"/>
                                    <w:jc w:val="right"/>
                                    <w:rPr>
                                      <w:sz w:val="16"/>
                                    </w:rPr>
                                  </w:pPr>
                                  <w:r>
                                    <w:rPr>
                                      <w:spacing w:val="-10"/>
                                      <w:sz w:val="16"/>
                                    </w:rPr>
                                    <w:t>—</w:t>
                                  </w:r>
                                </w:p>
                              </w:tc>
                              <w:tc>
                                <w:tcPr>
                                  <w:tcW w:w="678" w:type="dxa"/>
                                  <w:shd w:val="clear" w:color="auto" w:fill="CCEDFF"/>
                                </w:tcPr>
                                <w:p>
                                  <w:pPr>
                                    <w:pStyle w:val="TableParagraph"/>
                                    <w:spacing w:before="41"/>
                                    <w:ind w:left="416"/>
                                    <w:rPr>
                                      <w:sz w:val="16"/>
                                    </w:rPr>
                                  </w:pPr>
                                  <w:r>
                                    <w:rPr>
                                      <w:spacing w:val="-10"/>
                                      <w:sz w:val="16"/>
                                    </w:rPr>
                                    <w:t>—</w:t>
                                  </w:r>
                                </w:p>
                              </w:tc>
                              <w:tc>
                                <w:tcPr>
                                  <w:tcW w:w="608" w:type="dxa"/>
                                  <w:shd w:val="clear" w:color="auto" w:fill="CCEDFF"/>
                                </w:tcPr>
                                <w:p>
                                  <w:pPr>
                                    <w:pStyle w:val="TableParagraph"/>
                                    <w:spacing w:before="41"/>
                                    <w:ind w:left="353"/>
                                    <w:rPr>
                                      <w:sz w:val="16"/>
                                    </w:rPr>
                                  </w:pPr>
                                  <w:r>
                                    <w:rPr>
                                      <w:spacing w:val="-10"/>
                                      <w:sz w:val="16"/>
                                    </w:rPr>
                                    <w:t>—</w:t>
                                  </w:r>
                                </w:p>
                              </w:tc>
                              <w:tc>
                                <w:tcPr>
                                  <w:tcW w:w="636" w:type="dxa"/>
                                  <w:shd w:val="clear" w:color="auto" w:fill="CCEDFF"/>
                                </w:tcPr>
                                <w:p>
                                  <w:pPr>
                                    <w:pStyle w:val="TableParagraph"/>
                                    <w:spacing w:before="41"/>
                                    <w:ind w:left="405"/>
                                    <w:rPr>
                                      <w:sz w:val="16"/>
                                    </w:rPr>
                                  </w:pPr>
                                  <w:r>
                                    <w:rPr>
                                      <w:spacing w:val="-10"/>
                                      <w:sz w:val="16"/>
                                    </w:rPr>
                                    <w:t>—</w:t>
                                  </w:r>
                                </w:p>
                              </w:tc>
                              <w:tc>
                                <w:tcPr>
                                  <w:tcW w:w="869" w:type="dxa"/>
                                  <w:shd w:val="clear" w:color="auto" w:fill="CCEDFF"/>
                                </w:tcPr>
                                <w:p>
                                  <w:pPr>
                                    <w:pStyle w:val="TableParagraph"/>
                                    <w:spacing w:before="41"/>
                                    <w:ind w:right="97"/>
                                    <w:jc w:val="right"/>
                                    <w:rPr>
                                      <w:sz w:val="16"/>
                                    </w:rPr>
                                  </w:pPr>
                                  <w:r>
                                    <w:rPr>
                                      <w:spacing w:val="-5"/>
                                      <w:sz w:val="16"/>
                                    </w:rPr>
                                    <w:t>50</w:t>
                                  </w:r>
                                </w:p>
                              </w:tc>
                              <w:tc>
                                <w:tcPr>
                                  <w:tcW w:w="736" w:type="dxa"/>
                                  <w:shd w:val="clear" w:color="auto" w:fill="CCEDFF"/>
                                </w:tcPr>
                                <w:p>
                                  <w:pPr>
                                    <w:pStyle w:val="TableParagraph"/>
                                    <w:spacing w:before="41"/>
                                    <w:ind w:right="98"/>
                                    <w:jc w:val="right"/>
                                    <w:rPr>
                                      <w:sz w:val="16"/>
                                    </w:rPr>
                                  </w:pPr>
                                  <w:r>
                                    <w:rPr>
                                      <w:spacing w:val="-10"/>
                                      <w:sz w:val="16"/>
                                    </w:rPr>
                                    <w:t>—</w:t>
                                  </w:r>
                                </w:p>
                              </w:tc>
                              <w:tc>
                                <w:tcPr>
                                  <w:tcW w:w="2057" w:type="dxa"/>
                                  <w:shd w:val="clear" w:color="auto" w:fill="CCEDFF"/>
                                </w:tcPr>
                                <w:p>
                                  <w:pPr>
                                    <w:pStyle w:val="TableParagraph"/>
                                    <w:tabs>
                                      <w:tab w:pos="1629" w:val="left" w:leader="none"/>
                                    </w:tabs>
                                    <w:spacing w:before="41"/>
                                    <w:ind w:left="474"/>
                                    <w:rPr>
                                      <w:sz w:val="16"/>
                                    </w:rPr>
                                  </w:pPr>
                                  <w:r>
                                    <w:rPr>
                                      <w:spacing w:val="-10"/>
                                      <w:sz w:val="16"/>
                                    </w:rPr>
                                    <w:t>—</w:t>
                                  </w:r>
                                  <w:r>
                                    <w:rPr>
                                      <w:sz w:val="16"/>
                                    </w:rPr>
                                    <w:tab/>
                                  </w:r>
                                  <w:r>
                                    <w:rPr>
                                      <w:spacing w:val="-10"/>
                                      <w:sz w:val="16"/>
                                    </w:rPr>
                                    <w:t>—</w:t>
                                  </w:r>
                                </w:p>
                              </w:tc>
                              <w:tc>
                                <w:tcPr>
                                  <w:tcW w:w="584" w:type="dxa"/>
                                  <w:shd w:val="clear" w:color="auto" w:fill="CCEDFF"/>
                                </w:tcPr>
                                <w:p>
                                  <w:pPr>
                                    <w:pStyle w:val="TableParagraph"/>
                                    <w:spacing w:before="41"/>
                                    <w:ind w:right="84"/>
                                    <w:jc w:val="right"/>
                                    <w:rPr>
                                      <w:sz w:val="16"/>
                                    </w:rPr>
                                  </w:pPr>
                                  <w:r>
                                    <w:rPr>
                                      <w:spacing w:val="-5"/>
                                      <w:sz w:val="16"/>
                                    </w:rPr>
                                    <w:t>50</w:t>
                                  </w:r>
                                </w:p>
                              </w:tc>
                            </w:tr>
                            <w:tr>
                              <w:trPr>
                                <w:trHeight w:val="250" w:hRule="atLeast"/>
                              </w:trPr>
                              <w:tc>
                                <w:tcPr>
                                  <w:tcW w:w="3125" w:type="dxa"/>
                                  <w:tcBorders>
                                    <w:bottom w:val="single" w:sz="4" w:space="0" w:color="000000"/>
                                  </w:tcBorders>
                                </w:tcPr>
                                <w:p>
                                  <w:pPr>
                                    <w:pStyle w:val="TableParagraph"/>
                                    <w:spacing w:before="41"/>
                                    <w:ind w:left="52"/>
                                    <w:rPr>
                                      <w:sz w:val="16"/>
                                    </w:rPr>
                                  </w:pPr>
                                  <w:r>
                                    <w:rPr>
                                      <w:spacing w:val="-2"/>
                                      <w:sz w:val="16"/>
                                    </w:rPr>
                                    <w:t>Other</w:t>
                                  </w:r>
                                </w:p>
                              </w:tc>
                              <w:tc>
                                <w:tcPr>
                                  <w:tcW w:w="804" w:type="dxa"/>
                                  <w:tcBorders>
                                    <w:bottom w:val="single" w:sz="4" w:space="0" w:color="000000"/>
                                  </w:tcBorders>
                                </w:tcPr>
                                <w:p>
                                  <w:pPr>
                                    <w:pStyle w:val="TableParagraph"/>
                                    <w:spacing w:before="41"/>
                                    <w:ind w:left="531"/>
                                    <w:rPr>
                                      <w:sz w:val="16"/>
                                    </w:rPr>
                                  </w:pPr>
                                  <w:r>
                                    <w:rPr>
                                      <w:spacing w:val="-10"/>
                                      <w:sz w:val="16"/>
                                    </w:rPr>
                                    <w:t>—</w:t>
                                  </w:r>
                                </w:p>
                              </w:tc>
                              <w:tc>
                                <w:tcPr>
                                  <w:tcW w:w="541" w:type="dxa"/>
                                  <w:tcBorders>
                                    <w:bottom w:val="single" w:sz="4" w:space="0" w:color="000000"/>
                                  </w:tcBorders>
                                </w:tcPr>
                                <w:p>
                                  <w:pPr>
                                    <w:pStyle w:val="TableParagraph"/>
                                    <w:spacing w:before="41"/>
                                    <w:ind w:right="66"/>
                                    <w:jc w:val="right"/>
                                    <w:rPr>
                                      <w:sz w:val="16"/>
                                    </w:rPr>
                                  </w:pPr>
                                  <w:r>
                                    <w:rPr>
                                      <w:spacing w:val="-10"/>
                                      <w:sz w:val="16"/>
                                    </w:rPr>
                                    <w:t>—</w:t>
                                  </w:r>
                                </w:p>
                              </w:tc>
                              <w:tc>
                                <w:tcPr>
                                  <w:tcW w:w="678" w:type="dxa"/>
                                  <w:tcBorders>
                                    <w:bottom w:val="single" w:sz="4" w:space="0" w:color="000000"/>
                                  </w:tcBorders>
                                </w:tcPr>
                                <w:p>
                                  <w:pPr>
                                    <w:pStyle w:val="TableParagraph"/>
                                    <w:spacing w:before="41"/>
                                    <w:ind w:left="416"/>
                                    <w:rPr>
                                      <w:sz w:val="16"/>
                                    </w:rPr>
                                  </w:pPr>
                                  <w:r>
                                    <w:rPr>
                                      <w:spacing w:val="-10"/>
                                      <w:sz w:val="16"/>
                                    </w:rPr>
                                    <w:t>—</w:t>
                                  </w:r>
                                </w:p>
                              </w:tc>
                              <w:tc>
                                <w:tcPr>
                                  <w:tcW w:w="608" w:type="dxa"/>
                                  <w:tcBorders>
                                    <w:bottom w:val="single" w:sz="4" w:space="0" w:color="000000"/>
                                  </w:tcBorders>
                                </w:tcPr>
                                <w:p>
                                  <w:pPr>
                                    <w:pStyle w:val="TableParagraph"/>
                                    <w:spacing w:before="41"/>
                                    <w:ind w:left="353"/>
                                    <w:rPr>
                                      <w:sz w:val="16"/>
                                    </w:rPr>
                                  </w:pPr>
                                  <w:r>
                                    <w:rPr>
                                      <w:spacing w:val="-10"/>
                                      <w:sz w:val="16"/>
                                    </w:rPr>
                                    <w:t>—</w:t>
                                  </w:r>
                                </w:p>
                              </w:tc>
                              <w:tc>
                                <w:tcPr>
                                  <w:tcW w:w="636" w:type="dxa"/>
                                  <w:tcBorders>
                                    <w:bottom w:val="single" w:sz="4" w:space="0" w:color="000000"/>
                                  </w:tcBorders>
                                </w:tcPr>
                                <w:p>
                                  <w:pPr>
                                    <w:pStyle w:val="TableParagraph"/>
                                    <w:spacing w:before="41"/>
                                    <w:ind w:left="405"/>
                                    <w:rPr>
                                      <w:sz w:val="16"/>
                                    </w:rPr>
                                  </w:pPr>
                                  <w:r>
                                    <w:rPr>
                                      <w:spacing w:val="-10"/>
                                      <w:sz w:val="16"/>
                                    </w:rPr>
                                    <w:t>—</w:t>
                                  </w:r>
                                </w:p>
                              </w:tc>
                              <w:tc>
                                <w:tcPr>
                                  <w:tcW w:w="869" w:type="dxa"/>
                                  <w:tcBorders>
                                    <w:bottom w:val="single" w:sz="4" w:space="0" w:color="000000"/>
                                  </w:tcBorders>
                                </w:tcPr>
                                <w:p>
                                  <w:pPr>
                                    <w:pStyle w:val="TableParagraph"/>
                                    <w:spacing w:before="41"/>
                                    <w:ind w:right="97"/>
                                    <w:jc w:val="right"/>
                                    <w:rPr>
                                      <w:sz w:val="16"/>
                                    </w:rPr>
                                  </w:pPr>
                                  <w:r>
                                    <w:rPr>
                                      <w:spacing w:val="-5"/>
                                      <w:sz w:val="16"/>
                                    </w:rPr>
                                    <w:t>19</w:t>
                                  </w:r>
                                </w:p>
                              </w:tc>
                              <w:tc>
                                <w:tcPr>
                                  <w:tcW w:w="736" w:type="dxa"/>
                                  <w:tcBorders>
                                    <w:bottom w:val="single" w:sz="4" w:space="0" w:color="000000"/>
                                  </w:tcBorders>
                                </w:tcPr>
                                <w:p>
                                  <w:pPr>
                                    <w:pStyle w:val="TableParagraph"/>
                                    <w:spacing w:before="41"/>
                                    <w:ind w:right="98"/>
                                    <w:jc w:val="right"/>
                                    <w:rPr>
                                      <w:sz w:val="16"/>
                                    </w:rPr>
                                  </w:pPr>
                                  <w:r>
                                    <w:rPr>
                                      <w:spacing w:val="-10"/>
                                      <w:sz w:val="16"/>
                                    </w:rPr>
                                    <w:t>—</w:t>
                                  </w:r>
                                </w:p>
                              </w:tc>
                              <w:tc>
                                <w:tcPr>
                                  <w:tcW w:w="2057" w:type="dxa"/>
                                  <w:tcBorders>
                                    <w:bottom w:val="single" w:sz="4" w:space="0" w:color="000000"/>
                                  </w:tcBorders>
                                </w:tcPr>
                                <w:p>
                                  <w:pPr>
                                    <w:pStyle w:val="TableParagraph"/>
                                    <w:tabs>
                                      <w:tab w:pos="1629" w:val="left" w:leader="none"/>
                                    </w:tabs>
                                    <w:spacing w:before="41"/>
                                    <w:ind w:left="474"/>
                                    <w:rPr>
                                      <w:sz w:val="16"/>
                                    </w:rPr>
                                  </w:pPr>
                                  <w:r>
                                    <w:rPr>
                                      <w:spacing w:val="-10"/>
                                      <w:sz w:val="16"/>
                                    </w:rPr>
                                    <w:t>—</w:t>
                                  </w:r>
                                  <w:r>
                                    <w:rPr>
                                      <w:sz w:val="16"/>
                                    </w:rPr>
                                    <w:tab/>
                                  </w:r>
                                  <w:r>
                                    <w:rPr>
                                      <w:spacing w:val="-10"/>
                                      <w:sz w:val="16"/>
                                    </w:rPr>
                                    <w:t>—</w:t>
                                  </w:r>
                                </w:p>
                              </w:tc>
                              <w:tc>
                                <w:tcPr>
                                  <w:tcW w:w="584" w:type="dxa"/>
                                  <w:tcBorders>
                                    <w:bottom w:val="single" w:sz="4" w:space="0" w:color="000000"/>
                                  </w:tcBorders>
                                </w:tcPr>
                                <w:p>
                                  <w:pPr>
                                    <w:pStyle w:val="TableParagraph"/>
                                    <w:spacing w:before="41"/>
                                    <w:ind w:right="84"/>
                                    <w:jc w:val="right"/>
                                    <w:rPr>
                                      <w:sz w:val="16"/>
                                    </w:rPr>
                                  </w:pPr>
                                  <w:r>
                                    <w:rPr>
                                      <w:spacing w:val="-5"/>
                                      <w:sz w:val="16"/>
                                    </w:rPr>
                                    <w:t>19</w:t>
                                  </w:r>
                                </w:p>
                              </w:tc>
                            </w:tr>
                            <w:tr>
                              <w:trPr>
                                <w:trHeight w:val="220" w:hRule="atLeast"/>
                              </w:trPr>
                              <w:tc>
                                <w:tcPr>
                                  <w:tcW w:w="3125" w:type="dxa"/>
                                  <w:tcBorders>
                                    <w:top w:val="single" w:sz="4" w:space="0" w:color="000000"/>
                                    <w:bottom w:val="double" w:sz="8" w:space="0" w:color="000000"/>
                                  </w:tcBorders>
                                  <w:shd w:val="clear" w:color="auto" w:fill="CCEDFF"/>
                                </w:tcPr>
                                <w:p>
                                  <w:pPr>
                                    <w:pStyle w:val="TableParagraph"/>
                                    <w:spacing w:line="164" w:lineRule="exact" w:before="36"/>
                                    <w:ind w:left="52"/>
                                    <w:rPr>
                                      <w:sz w:val="16"/>
                                    </w:rPr>
                                  </w:pPr>
                                  <w:r>
                                    <w:rPr>
                                      <w:sz w:val="16"/>
                                    </w:rPr>
                                    <w:t>Balance</w:t>
                                  </w:r>
                                  <w:r>
                                    <w:rPr>
                                      <w:spacing w:val="-1"/>
                                      <w:sz w:val="16"/>
                                    </w:rPr>
                                    <w:t> </w:t>
                                  </w:r>
                                  <w:r>
                                    <w:rPr>
                                      <w:sz w:val="16"/>
                                    </w:rPr>
                                    <w:t>at September 30, </w:t>
                                  </w:r>
                                  <w:r>
                                    <w:rPr>
                                      <w:spacing w:val="-4"/>
                                      <w:sz w:val="16"/>
                                    </w:rPr>
                                    <w:t>2022</w:t>
                                  </w:r>
                                </w:p>
                              </w:tc>
                              <w:tc>
                                <w:tcPr>
                                  <w:tcW w:w="804" w:type="dxa"/>
                                  <w:tcBorders>
                                    <w:top w:val="single" w:sz="4" w:space="0" w:color="000000"/>
                                    <w:bottom w:val="double" w:sz="8" w:space="0" w:color="000000"/>
                                  </w:tcBorders>
                                  <w:shd w:val="clear" w:color="auto" w:fill="CCEDFF"/>
                                </w:tcPr>
                                <w:p>
                                  <w:pPr>
                                    <w:pStyle w:val="TableParagraph"/>
                                    <w:spacing w:line="164" w:lineRule="exact" w:before="36"/>
                                    <w:ind w:left="107"/>
                                    <w:rPr>
                                      <w:sz w:val="16"/>
                                    </w:rPr>
                                  </w:pPr>
                                  <w:r>
                                    <w:rPr>
                                      <w:sz w:val="16"/>
                                    </w:rPr>
                                    <w:t>$</w:t>
                                  </w:r>
                                  <w:r>
                                    <w:rPr>
                                      <w:spacing w:val="24"/>
                                      <w:sz w:val="16"/>
                                    </w:rPr>
                                    <w:t> </w:t>
                                  </w:r>
                                  <w:r>
                                    <w:rPr>
                                      <w:spacing w:val="-2"/>
                                      <w:sz w:val="16"/>
                                    </w:rPr>
                                    <w:t>10,297</w:t>
                                  </w:r>
                                </w:p>
                              </w:tc>
                              <w:tc>
                                <w:tcPr>
                                  <w:tcW w:w="541" w:type="dxa"/>
                                  <w:tcBorders>
                                    <w:top w:val="single" w:sz="4" w:space="0" w:color="000000"/>
                                    <w:bottom w:val="double" w:sz="8" w:space="0" w:color="000000"/>
                                  </w:tcBorders>
                                  <w:shd w:val="clear" w:color="auto" w:fill="CCEDFF"/>
                                </w:tcPr>
                                <w:p>
                                  <w:pPr>
                                    <w:pStyle w:val="TableParagraph"/>
                                    <w:spacing w:line="164" w:lineRule="exact" w:before="36"/>
                                    <w:ind w:right="66"/>
                                    <w:jc w:val="right"/>
                                    <w:rPr>
                                      <w:sz w:val="16"/>
                                    </w:rPr>
                                  </w:pPr>
                                  <w:r>
                                    <w:rPr>
                                      <w:spacing w:val="-2"/>
                                      <w:sz w:val="16"/>
                                    </w:rPr>
                                    <w:t>2,023</w:t>
                                  </w:r>
                                </w:p>
                              </w:tc>
                              <w:tc>
                                <w:tcPr>
                                  <w:tcW w:w="678" w:type="dxa"/>
                                  <w:tcBorders>
                                    <w:top w:val="single" w:sz="4" w:space="0" w:color="000000"/>
                                    <w:bottom w:val="double" w:sz="8" w:space="0" w:color="000000"/>
                                  </w:tcBorders>
                                  <w:shd w:val="clear" w:color="auto" w:fill="CCEDFF"/>
                                </w:tcPr>
                                <w:p>
                                  <w:pPr>
                                    <w:pStyle w:val="TableParagraph"/>
                                    <w:tabs>
                                      <w:tab w:pos="416" w:val="left" w:leader="none"/>
                                    </w:tabs>
                                    <w:spacing w:line="164" w:lineRule="exact" w:before="36"/>
                                    <w:ind w:left="52"/>
                                    <w:rPr>
                                      <w:sz w:val="16"/>
                                    </w:rPr>
                                  </w:pPr>
                                  <w:r>
                                    <w:rPr>
                                      <w:spacing w:val="-10"/>
                                      <w:sz w:val="16"/>
                                    </w:rPr>
                                    <w:t>$</w:t>
                                  </w:r>
                                  <w:r>
                                    <w:rPr>
                                      <w:sz w:val="16"/>
                                    </w:rPr>
                                    <w:tab/>
                                  </w:r>
                                  <w:r>
                                    <w:rPr>
                                      <w:spacing w:val="-5"/>
                                      <w:sz w:val="16"/>
                                    </w:rPr>
                                    <w:t>20</w:t>
                                  </w:r>
                                </w:p>
                              </w:tc>
                              <w:tc>
                                <w:tcPr>
                                  <w:tcW w:w="608" w:type="dxa"/>
                                  <w:tcBorders>
                                    <w:top w:val="single" w:sz="4" w:space="0" w:color="000000"/>
                                    <w:bottom w:val="double" w:sz="8" w:space="0" w:color="000000"/>
                                  </w:tcBorders>
                                  <w:shd w:val="clear" w:color="auto" w:fill="CCEDFF"/>
                                </w:tcPr>
                                <w:p>
                                  <w:pPr>
                                    <w:pStyle w:val="TableParagraph"/>
                                    <w:spacing w:line="164" w:lineRule="exact" w:before="36"/>
                                    <w:ind w:left="353"/>
                                    <w:rPr>
                                      <w:sz w:val="16"/>
                                    </w:rPr>
                                  </w:pPr>
                                  <w:r>
                                    <w:rPr>
                                      <w:spacing w:val="-5"/>
                                      <w:sz w:val="16"/>
                                    </w:rPr>
                                    <w:t>51</w:t>
                                  </w:r>
                                </w:p>
                              </w:tc>
                              <w:tc>
                                <w:tcPr>
                                  <w:tcW w:w="636" w:type="dxa"/>
                                  <w:tcBorders>
                                    <w:top w:val="single" w:sz="4" w:space="0" w:color="000000"/>
                                    <w:bottom w:val="double" w:sz="8" w:space="0" w:color="000000"/>
                                  </w:tcBorders>
                                  <w:shd w:val="clear" w:color="auto" w:fill="CCEDFF"/>
                                </w:tcPr>
                                <w:p>
                                  <w:pPr>
                                    <w:pStyle w:val="TableParagraph"/>
                                    <w:tabs>
                                      <w:tab w:pos="485" w:val="left" w:leader="none"/>
                                    </w:tabs>
                                    <w:spacing w:line="164" w:lineRule="exact" w:before="36"/>
                                    <w:ind w:left="26"/>
                                    <w:rPr>
                                      <w:sz w:val="16"/>
                                    </w:rPr>
                                  </w:pPr>
                                  <w:r>
                                    <w:rPr>
                                      <w:spacing w:val="-10"/>
                                      <w:sz w:val="16"/>
                                    </w:rPr>
                                    <w:t>$</w:t>
                                  </w:r>
                                  <w:r>
                                    <w:rPr>
                                      <w:sz w:val="16"/>
                                    </w:rPr>
                                    <w:tab/>
                                  </w:r>
                                  <w:r>
                                    <w:rPr>
                                      <w:spacing w:val="-10"/>
                                      <w:sz w:val="16"/>
                                    </w:rPr>
                                    <w:t>1</w:t>
                                  </w:r>
                                </w:p>
                              </w:tc>
                              <w:tc>
                                <w:tcPr>
                                  <w:tcW w:w="869" w:type="dxa"/>
                                  <w:tcBorders>
                                    <w:top w:val="single" w:sz="4" w:space="0" w:color="000000"/>
                                    <w:bottom w:val="double" w:sz="8" w:space="0" w:color="000000"/>
                                  </w:tcBorders>
                                  <w:shd w:val="clear" w:color="auto" w:fill="CCEDFF"/>
                                </w:tcPr>
                                <w:p>
                                  <w:pPr>
                                    <w:pStyle w:val="TableParagraph"/>
                                    <w:spacing w:line="164" w:lineRule="exact" w:before="36"/>
                                    <w:ind w:left="50"/>
                                    <w:rPr>
                                      <w:sz w:val="16"/>
                                    </w:rPr>
                                  </w:pPr>
                                  <w:r>
                                    <w:rPr>
                                      <w:sz w:val="16"/>
                                    </w:rPr>
                                    <w:t>$</w:t>
                                  </w:r>
                                  <w:r>
                                    <w:rPr>
                                      <w:spacing w:val="59"/>
                                      <w:sz w:val="16"/>
                                    </w:rPr>
                                    <w:t>  </w:t>
                                  </w:r>
                                  <w:r>
                                    <w:rPr>
                                      <w:spacing w:val="-2"/>
                                      <w:sz w:val="16"/>
                                    </w:rPr>
                                    <w:t>26,975</w:t>
                                  </w:r>
                                </w:p>
                              </w:tc>
                              <w:tc>
                                <w:tcPr>
                                  <w:tcW w:w="736" w:type="dxa"/>
                                  <w:tcBorders>
                                    <w:top w:val="single" w:sz="4" w:space="0" w:color="000000"/>
                                    <w:bottom w:val="double" w:sz="8" w:space="0" w:color="000000"/>
                                  </w:tcBorders>
                                  <w:shd w:val="clear" w:color="auto" w:fill="CCEDFF"/>
                                </w:tcPr>
                                <w:p>
                                  <w:pPr>
                                    <w:pStyle w:val="TableParagraph"/>
                                    <w:spacing w:line="164" w:lineRule="exact" w:before="36"/>
                                    <w:ind w:left="21"/>
                                    <w:rPr>
                                      <w:sz w:val="16"/>
                                    </w:rPr>
                                  </w:pPr>
                                  <w:r>
                                    <w:rPr>
                                      <w:sz w:val="16"/>
                                    </w:rPr>
                                    <w:t>$</w:t>
                                  </w:r>
                                  <w:r>
                                    <w:rPr>
                                      <w:spacing w:val="54"/>
                                      <w:sz w:val="16"/>
                                    </w:rPr>
                                    <w:t> </w:t>
                                  </w:r>
                                  <w:r>
                                    <w:rPr>
                                      <w:spacing w:val="-2"/>
                                      <w:sz w:val="16"/>
                                    </w:rPr>
                                    <w:t>29,651</w:t>
                                  </w:r>
                                </w:p>
                              </w:tc>
                              <w:tc>
                                <w:tcPr>
                                  <w:tcW w:w="2057" w:type="dxa"/>
                                  <w:tcBorders>
                                    <w:top w:val="single" w:sz="4" w:space="0" w:color="000000"/>
                                    <w:bottom w:val="double" w:sz="8" w:space="0" w:color="000000"/>
                                  </w:tcBorders>
                                  <w:shd w:val="clear" w:color="auto" w:fill="CCEDFF"/>
                                </w:tcPr>
                                <w:p>
                                  <w:pPr>
                                    <w:pStyle w:val="TableParagraph"/>
                                    <w:tabs>
                                      <w:tab w:pos="1296" w:val="left" w:leader="none"/>
                                    </w:tabs>
                                    <w:spacing w:line="164" w:lineRule="exact" w:before="36"/>
                                    <w:ind w:left="20"/>
                                    <w:rPr>
                                      <w:sz w:val="16"/>
                                    </w:rPr>
                                  </w:pPr>
                                  <w:r>
                                    <w:rPr>
                                      <w:sz w:val="16"/>
                                    </w:rPr>
                                    <w:t>$</w:t>
                                  </w:r>
                                  <w:r>
                                    <w:rPr>
                                      <w:spacing w:val="60"/>
                                      <w:w w:val="150"/>
                                      <w:sz w:val="16"/>
                                    </w:rPr>
                                    <w:t> </w:t>
                                  </w:r>
                                  <w:r>
                                    <w:rPr>
                                      <w:sz w:val="16"/>
                                    </w:rPr>
                                    <w:t>(6,751)</w:t>
                                  </w:r>
                                  <w:r>
                                    <w:rPr>
                                      <w:spacing w:val="27"/>
                                      <w:sz w:val="16"/>
                                    </w:rPr>
                                    <w:t> </w:t>
                                  </w:r>
                                  <w:r>
                                    <w:rPr>
                                      <w:spacing w:val="-10"/>
                                      <w:sz w:val="16"/>
                                    </w:rPr>
                                    <w:t>$</w:t>
                                  </w:r>
                                  <w:r>
                                    <w:rPr>
                                      <w:sz w:val="16"/>
                                    </w:rPr>
                                    <w:tab/>
                                    <w:t>(23,152)</w:t>
                                  </w:r>
                                  <w:r>
                                    <w:rPr>
                                      <w:spacing w:val="25"/>
                                      <w:sz w:val="16"/>
                                    </w:rPr>
                                    <w:t> </w:t>
                                  </w:r>
                                  <w:r>
                                    <w:rPr>
                                      <w:spacing w:val="-10"/>
                                      <w:sz w:val="16"/>
                                    </w:rPr>
                                    <w:t>$</w:t>
                                  </w:r>
                                </w:p>
                              </w:tc>
                              <w:tc>
                                <w:tcPr>
                                  <w:tcW w:w="584" w:type="dxa"/>
                                  <w:tcBorders>
                                    <w:top w:val="single" w:sz="4" w:space="0" w:color="000000"/>
                                    <w:bottom w:val="double" w:sz="8" w:space="0" w:color="000000"/>
                                  </w:tcBorders>
                                  <w:shd w:val="clear" w:color="auto" w:fill="CCEDFF"/>
                                </w:tcPr>
                                <w:p>
                                  <w:pPr>
                                    <w:pStyle w:val="TableParagraph"/>
                                    <w:spacing w:line="164" w:lineRule="exact" w:before="36"/>
                                    <w:ind w:left="57"/>
                                    <w:rPr>
                                      <w:sz w:val="16"/>
                                    </w:rPr>
                                  </w:pPr>
                                  <w:r>
                                    <w:rPr>
                                      <w:spacing w:val="-2"/>
                                      <w:sz w:val="16"/>
                                    </w:rPr>
                                    <w:t>37,041</w:t>
                                  </w:r>
                                </w:p>
                              </w:tc>
                            </w:tr>
                          </w:tbl>
                          <w:p>
                            <w:pPr>
                              <w:pStyle w:val="BodyText"/>
                            </w:pPr>
                          </w:p>
                        </w:txbxContent>
                      </wps:txbx>
                      <wps:bodyPr wrap="square" lIns="0" tIns="0" rIns="0" bIns="0" rtlCol="0">
                        <a:noAutofit/>
                      </wps:bodyPr>
                    </wps:wsp>
                  </a:graphicData>
                </a:graphic>
              </wp:anchor>
            </w:drawing>
          </mc:Choice>
          <mc:Fallback>
            <w:pict>
              <v:shape style="position:absolute;margin-left:37.5pt;margin-top:76.651093pt;width:537pt;height:216.55pt;mso-position-horizontal-relative:page;mso-position-vertical-relative:page;z-index:15745536" type="#_x0000_t202" id="docshape9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5"/>
                        <w:gridCol w:w="804"/>
                        <w:gridCol w:w="541"/>
                        <w:gridCol w:w="678"/>
                        <w:gridCol w:w="608"/>
                        <w:gridCol w:w="636"/>
                        <w:gridCol w:w="869"/>
                        <w:gridCol w:w="736"/>
                        <w:gridCol w:w="2057"/>
                        <w:gridCol w:w="584"/>
                      </w:tblGrid>
                      <w:tr>
                        <w:trPr>
                          <w:trHeight w:val="483" w:hRule="atLeast"/>
                        </w:trPr>
                        <w:tc>
                          <w:tcPr>
                            <w:tcW w:w="3125" w:type="dxa"/>
                            <w:vMerge w:val="restart"/>
                            <w:tcBorders>
                              <w:bottom w:val="single" w:sz="4" w:space="0" w:color="000000"/>
                            </w:tcBorders>
                          </w:tcPr>
                          <w:p>
                            <w:pPr>
                              <w:pStyle w:val="TableParagraph"/>
                              <w:rPr>
                                <w:sz w:val="16"/>
                              </w:rPr>
                            </w:pPr>
                          </w:p>
                        </w:tc>
                        <w:tc>
                          <w:tcPr>
                            <w:tcW w:w="804" w:type="dxa"/>
                          </w:tcPr>
                          <w:p>
                            <w:pPr>
                              <w:pStyle w:val="TableParagraph"/>
                              <w:spacing w:before="129"/>
                              <w:rPr>
                                <w:i/>
                                <w:sz w:val="16"/>
                              </w:rPr>
                            </w:pPr>
                          </w:p>
                          <w:p>
                            <w:pPr>
                              <w:pStyle w:val="TableParagraph"/>
                              <w:spacing w:line="150" w:lineRule="exact"/>
                              <w:ind w:left="128"/>
                              <w:rPr>
                                <w:sz w:val="16"/>
                              </w:rPr>
                            </w:pPr>
                            <w:r>
                              <w:rPr>
                                <w:spacing w:val="-2"/>
                                <w:sz w:val="16"/>
                              </w:rPr>
                              <w:t>Preferred</w:t>
                            </w:r>
                          </w:p>
                        </w:tc>
                        <w:tc>
                          <w:tcPr>
                            <w:tcW w:w="541" w:type="dxa"/>
                          </w:tcPr>
                          <w:p>
                            <w:pPr>
                              <w:pStyle w:val="TableParagraph"/>
                              <w:spacing w:before="34"/>
                              <w:rPr>
                                <w:i/>
                                <w:sz w:val="16"/>
                              </w:rPr>
                            </w:pPr>
                          </w:p>
                          <w:p>
                            <w:pPr>
                              <w:pStyle w:val="TableParagraph"/>
                              <w:ind w:right="13"/>
                              <w:jc w:val="right"/>
                              <w:rPr>
                                <w:sz w:val="16"/>
                              </w:rPr>
                            </w:pPr>
                            <w:r>
                              <w:rPr>
                                <w:spacing w:val="-4"/>
                                <w:sz w:val="16"/>
                              </w:rPr>
                              <w:t>Comm</w:t>
                            </w:r>
                          </w:p>
                        </w:tc>
                        <w:tc>
                          <w:tcPr>
                            <w:tcW w:w="678" w:type="dxa"/>
                          </w:tcPr>
                          <w:p>
                            <w:pPr>
                              <w:pStyle w:val="TableParagraph"/>
                              <w:spacing w:before="34"/>
                              <w:rPr>
                                <w:i/>
                                <w:sz w:val="16"/>
                              </w:rPr>
                            </w:pPr>
                          </w:p>
                          <w:p>
                            <w:pPr>
                              <w:pStyle w:val="TableParagraph"/>
                              <w:ind w:left="-16"/>
                              <w:rPr>
                                <w:sz w:val="16"/>
                              </w:rPr>
                            </w:pPr>
                            <w:r>
                              <w:rPr>
                                <w:sz w:val="16"/>
                              </w:rPr>
                              <w:t>on </w:t>
                            </w:r>
                            <w:r>
                              <w:rPr>
                                <w:spacing w:val="-2"/>
                                <w:sz w:val="16"/>
                              </w:rPr>
                              <w:t>Stock</w:t>
                            </w:r>
                          </w:p>
                        </w:tc>
                        <w:tc>
                          <w:tcPr>
                            <w:tcW w:w="1244" w:type="dxa"/>
                            <w:gridSpan w:val="2"/>
                          </w:tcPr>
                          <w:p>
                            <w:pPr>
                              <w:pStyle w:val="TableParagraph"/>
                              <w:spacing w:line="208" w:lineRule="auto" w:before="77"/>
                              <w:ind w:left="123" w:right="118" w:firstLine="157"/>
                              <w:rPr>
                                <w:sz w:val="16"/>
                              </w:rPr>
                            </w:pPr>
                            <w:r>
                              <w:rPr>
                                <w:spacing w:val="-2"/>
                                <w:sz w:val="16"/>
                              </w:rPr>
                              <w:t>Nonvoting</w:t>
                            </w:r>
                            <w:r>
                              <w:rPr>
                                <w:spacing w:val="40"/>
                                <w:sz w:val="16"/>
                              </w:rPr>
                              <w:t> </w:t>
                            </w:r>
                            <w:r>
                              <w:rPr>
                                <w:sz w:val="16"/>
                              </w:rPr>
                              <w:t>Common</w:t>
                            </w:r>
                            <w:r>
                              <w:rPr>
                                <w:spacing w:val="-10"/>
                                <w:sz w:val="16"/>
                              </w:rPr>
                              <w:t> </w:t>
                            </w:r>
                            <w:r>
                              <w:rPr>
                                <w:sz w:val="16"/>
                              </w:rPr>
                              <w:t>Stock</w:t>
                            </w:r>
                          </w:p>
                        </w:tc>
                        <w:tc>
                          <w:tcPr>
                            <w:tcW w:w="869" w:type="dxa"/>
                          </w:tcPr>
                          <w:p>
                            <w:pPr>
                              <w:pStyle w:val="TableParagraph"/>
                              <w:spacing w:line="160" w:lineRule="exact" w:before="143"/>
                              <w:ind w:left="205" w:right="87" w:hanging="111"/>
                              <w:rPr>
                                <w:sz w:val="16"/>
                              </w:rPr>
                            </w:pPr>
                            <w:r>
                              <w:rPr>
                                <w:spacing w:val="-2"/>
                                <w:sz w:val="16"/>
                              </w:rPr>
                              <w:t>Additional</w:t>
                            </w:r>
                            <w:r>
                              <w:rPr>
                                <w:spacing w:val="40"/>
                                <w:sz w:val="16"/>
                              </w:rPr>
                              <w:t> </w:t>
                            </w:r>
                            <w:r>
                              <w:rPr>
                                <w:spacing w:val="-2"/>
                                <w:sz w:val="16"/>
                              </w:rPr>
                              <w:t>Paid-in</w:t>
                            </w:r>
                          </w:p>
                        </w:tc>
                        <w:tc>
                          <w:tcPr>
                            <w:tcW w:w="736" w:type="dxa"/>
                          </w:tcPr>
                          <w:p>
                            <w:pPr>
                              <w:pStyle w:val="TableParagraph"/>
                              <w:spacing w:before="129"/>
                              <w:rPr>
                                <w:i/>
                                <w:sz w:val="16"/>
                              </w:rPr>
                            </w:pPr>
                          </w:p>
                          <w:p>
                            <w:pPr>
                              <w:pStyle w:val="TableParagraph"/>
                              <w:spacing w:line="150" w:lineRule="exact"/>
                              <w:ind w:left="71"/>
                              <w:rPr>
                                <w:sz w:val="16"/>
                              </w:rPr>
                            </w:pPr>
                            <w:r>
                              <w:rPr>
                                <w:spacing w:val="-2"/>
                                <w:sz w:val="16"/>
                              </w:rPr>
                              <w:t>Retained</w:t>
                            </w:r>
                          </w:p>
                        </w:tc>
                        <w:tc>
                          <w:tcPr>
                            <w:tcW w:w="2057" w:type="dxa"/>
                          </w:tcPr>
                          <w:p>
                            <w:pPr>
                              <w:pStyle w:val="TableParagraph"/>
                              <w:spacing w:line="165" w:lineRule="exact"/>
                              <w:ind w:left="873"/>
                              <w:rPr>
                                <w:sz w:val="16"/>
                              </w:rPr>
                            </w:pPr>
                            <w:r>
                              <w:rPr>
                                <w:spacing w:val="-2"/>
                                <w:sz w:val="16"/>
                              </w:rPr>
                              <w:t>Accumulated</w:t>
                            </w:r>
                          </w:p>
                          <w:p>
                            <w:pPr>
                              <w:pStyle w:val="TableParagraph"/>
                              <w:spacing w:line="160" w:lineRule="exact"/>
                              <w:ind w:left="70"/>
                              <w:rPr>
                                <w:sz w:val="16"/>
                              </w:rPr>
                            </w:pPr>
                            <w:r>
                              <w:rPr>
                                <w:spacing w:val="-2"/>
                                <w:sz w:val="16"/>
                              </w:rPr>
                              <w:t>Treasury</w:t>
                            </w:r>
                          </w:p>
                          <w:p>
                            <w:pPr>
                              <w:pStyle w:val="TableParagraph"/>
                              <w:spacing w:line="138" w:lineRule="exact"/>
                              <w:ind w:left="797"/>
                              <w:rPr>
                                <w:sz w:val="16"/>
                              </w:rPr>
                            </w:pPr>
                            <w:r>
                              <w:rPr>
                                <w:spacing w:val="-2"/>
                                <w:sz w:val="16"/>
                              </w:rPr>
                              <w:t>Comprehensive</w:t>
                            </w:r>
                          </w:p>
                        </w:tc>
                        <w:tc>
                          <w:tcPr>
                            <w:tcW w:w="584" w:type="dxa"/>
                          </w:tcPr>
                          <w:p>
                            <w:pPr>
                              <w:pStyle w:val="TableParagraph"/>
                              <w:rPr>
                                <w:sz w:val="16"/>
                              </w:rPr>
                            </w:pPr>
                          </w:p>
                        </w:tc>
                      </w:tr>
                      <w:tr>
                        <w:trPr>
                          <w:trHeight w:val="188" w:hRule="atLeast"/>
                        </w:trPr>
                        <w:tc>
                          <w:tcPr>
                            <w:tcW w:w="3125" w:type="dxa"/>
                            <w:vMerge/>
                            <w:tcBorders>
                              <w:top w:val="nil"/>
                              <w:bottom w:val="single" w:sz="4" w:space="0" w:color="000000"/>
                            </w:tcBorders>
                          </w:tcPr>
                          <w:p>
                            <w:pPr>
                              <w:rPr>
                                <w:sz w:val="2"/>
                                <w:szCs w:val="2"/>
                              </w:rPr>
                            </w:pPr>
                          </w:p>
                        </w:tc>
                        <w:tc>
                          <w:tcPr>
                            <w:tcW w:w="804" w:type="dxa"/>
                            <w:tcBorders>
                              <w:bottom w:val="single" w:sz="4" w:space="0" w:color="000000"/>
                            </w:tcBorders>
                          </w:tcPr>
                          <w:p>
                            <w:pPr>
                              <w:pStyle w:val="TableParagraph"/>
                              <w:spacing w:line="164" w:lineRule="exact"/>
                              <w:ind w:left="244"/>
                              <w:rPr>
                                <w:sz w:val="16"/>
                              </w:rPr>
                            </w:pPr>
                            <w:r>
                              <w:rPr>
                                <w:spacing w:val="-2"/>
                                <w:sz w:val="16"/>
                              </w:rPr>
                              <w:t>Stock</w:t>
                            </w:r>
                          </w:p>
                        </w:tc>
                        <w:tc>
                          <w:tcPr>
                            <w:tcW w:w="541" w:type="dxa"/>
                            <w:tcBorders>
                              <w:bottom w:val="single" w:sz="4" w:space="0" w:color="000000"/>
                            </w:tcBorders>
                          </w:tcPr>
                          <w:p>
                            <w:pPr>
                              <w:pStyle w:val="TableParagraph"/>
                              <w:spacing w:line="164" w:lineRule="exact"/>
                              <w:ind w:right="58"/>
                              <w:jc w:val="right"/>
                              <w:rPr>
                                <w:sz w:val="16"/>
                              </w:rPr>
                            </w:pPr>
                            <w:r>
                              <w:rPr>
                                <w:spacing w:val="-2"/>
                                <w:sz w:val="16"/>
                              </w:rPr>
                              <w:t>Shares</w:t>
                            </w:r>
                          </w:p>
                        </w:tc>
                        <w:tc>
                          <w:tcPr>
                            <w:tcW w:w="678" w:type="dxa"/>
                            <w:tcBorders>
                              <w:bottom w:val="single" w:sz="4" w:space="0" w:color="000000"/>
                            </w:tcBorders>
                          </w:tcPr>
                          <w:p>
                            <w:pPr>
                              <w:pStyle w:val="TableParagraph"/>
                              <w:spacing w:line="164" w:lineRule="exact"/>
                              <w:ind w:left="79"/>
                              <w:rPr>
                                <w:sz w:val="16"/>
                              </w:rPr>
                            </w:pPr>
                            <w:r>
                              <w:rPr>
                                <w:spacing w:val="-2"/>
                                <w:sz w:val="16"/>
                              </w:rPr>
                              <w:t>Amount</w:t>
                            </w:r>
                          </w:p>
                        </w:tc>
                        <w:tc>
                          <w:tcPr>
                            <w:tcW w:w="608" w:type="dxa"/>
                            <w:tcBorders>
                              <w:bottom w:val="single" w:sz="4" w:space="0" w:color="000000"/>
                            </w:tcBorders>
                          </w:tcPr>
                          <w:p>
                            <w:pPr>
                              <w:pStyle w:val="TableParagraph"/>
                              <w:spacing w:line="164" w:lineRule="exact"/>
                              <w:ind w:left="61"/>
                              <w:rPr>
                                <w:sz w:val="16"/>
                              </w:rPr>
                            </w:pPr>
                            <w:r>
                              <w:rPr>
                                <w:spacing w:val="-2"/>
                                <w:sz w:val="16"/>
                              </w:rPr>
                              <w:t>Shares</w:t>
                            </w:r>
                          </w:p>
                        </w:tc>
                        <w:tc>
                          <w:tcPr>
                            <w:tcW w:w="636" w:type="dxa"/>
                            <w:tcBorders>
                              <w:bottom w:val="single" w:sz="4" w:space="0" w:color="000000"/>
                            </w:tcBorders>
                          </w:tcPr>
                          <w:p>
                            <w:pPr>
                              <w:pStyle w:val="TableParagraph"/>
                              <w:spacing w:line="164" w:lineRule="exact"/>
                              <w:ind w:left="41"/>
                              <w:rPr>
                                <w:sz w:val="16"/>
                              </w:rPr>
                            </w:pPr>
                            <w:r>
                              <w:rPr>
                                <w:spacing w:val="-2"/>
                                <w:sz w:val="16"/>
                              </w:rPr>
                              <w:t>Amount</w:t>
                            </w:r>
                          </w:p>
                        </w:tc>
                        <w:tc>
                          <w:tcPr>
                            <w:tcW w:w="869" w:type="dxa"/>
                            <w:tcBorders>
                              <w:bottom w:val="single" w:sz="4" w:space="0" w:color="000000"/>
                            </w:tcBorders>
                          </w:tcPr>
                          <w:p>
                            <w:pPr>
                              <w:pStyle w:val="TableParagraph"/>
                              <w:spacing w:line="164" w:lineRule="exact"/>
                              <w:ind w:left="205"/>
                              <w:rPr>
                                <w:sz w:val="16"/>
                              </w:rPr>
                            </w:pPr>
                            <w:r>
                              <w:rPr>
                                <w:spacing w:val="-2"/>
                                <w:sz w:val="16"/>
                              </w:rPr>
                              <w:t>Capital</w:t>
                            </w:r>
                          </w:p>
                        </w:tc>
                        <w:tc>
                          <w:tcPr>
                            <w:tcW w:w="736" w:type="dxa"/>
                            <w:tcBorders>
                              <w:bottom w:val="single" w:sz="4" w:space="0" w:color="000000"/>
                            </w:tcBorders>
                          </w:tcPr>
                          <w:p>
                            <w:pPr>
                              <w:pStyle w:val="TableParagraph"/>
                              <w:spacing w:line="164" w:lineRule="exact"/>
                              <w:ind w:left="71"/>
                              <w:rPr>
                                <w:sz w:val="16"/>
                              </w:rPr>
                            </w:pPr>
                            <w:r>
                              <w:rPr>
                                <w:spacing w:val="-2"/>
                                <w:sz w:val="16"/>
                              </w:rPr>
                              <w:t>Earnings</w:t>
                            </w:r>
                          </w:p>
                        </w:tc>
                        <w:tc>
                          <w:tcPr>
                            <w:tcW w:w="2057" w:type="dxa"/>
                            <w:tcBorders>
                              <w:bottom w:val="single" w:sz="4" w:space="0" w:color="000000"/>
                            </w:tcBorders>
                          </w:tcPr>
                          <w:p>
                            <w:pPr>
                              <w:pStyle w:val="TableParagraph"/>
                              <w:tabs>
                                <w:tab w:pos="835" w:val="left" w:leader="none"/>
                              </w:tabs>
                              <w:spacing w:line="164" w:lineRule="exact"/>
                              <w:ind w:left="147"/>
                              <w:rPr>
                                <w:sz w:val="16"/>
                              </w:rPr>
                            </w:pPr>
                            <w:r>
                              <w:rPr>
                                <w:sz w:val="16"/>
                              </w:rPr>
                              <w:t>at </w:t>
                            </w:r>
                            <w:r>
                              <w:rPr>
                                <w:spacing w:val="-4"/>
                                <w:sz w:val="16"/>
                              </w:rPr>
                              <w:t>cost</w:t>
                            </w:r>
                            <w:r>
                              <w:rPr>
                                <w:sz w:val="16"/>
                              </w:rPr>
                              <w:tab/>
                              <w:t>Income </w:t>
                            </w:r>
                            <w:r>
                              <w:rPr>
                                <w:spacing w:val="-2"/>
                                <w:sz w:val="16"/>
                              </w:rPr>
                              <w:t>(Loss)</w:t>
                            </w:r>
                          </w:p>
                        </w:tc>
                        <w:tc>
                          <w:tcPr>
                            <w:tcW w:w="584" w:type="dxa"/>
                            <w:tcBorders>
                              <w:bottom w:val="single" w:sz="4" w:space="0" w:color="000000"/>
                            </w:tcBorders>
                          </w:tcPr>
                          <w:p>
                            <w:pPr>
                              <w:pStyle w:val="TableParagraph"/>
                              <w:spacing w:line="164" w:lineRule="exact"/>
                              <w:ind w:left="33"/>
                              <w:rPr>
                                <w:sz w:val="16"/>
                              </w:rPr>
                            </w:pPr>
                            <w:r>
                              <w:rPr>
                                <w:spacing w:val="-2"/>
                                <w:sz w:val="16"/>
                              </w:rPr>
                              <w:t>Total</w:t>
                            </w:r>
                          </w:p>
                        </w:tc>
                      </w:tr>
                      <w:tr>
                        <w:trPr>
                          <w:trHeight w:val="220" w:hRule="atLeast"/>
                        </w:trPr>
                        <w:tc>
                          <w:tcPr>
                            <w:tcW w:w="3125" w:type="dxa"/>
                            <w:tcBorders>
                              <w:top w:val="single" w:sz="4" w:space="0" w:color="000000"/>
                              <w:bottom w:val="double" w:sz="8" w:space="0" w:color="000000"/>
                            </w:tcBorders>
                            <w:shd w:val="clear" w:color="auto" w:fill="CCEDFF"/>
                          </w:tcPr>
                          <w:p>
                            <w:pPr>
                              <w:pStyle w:val="TableParagraph"/>
                              <w:spacing w:line="164" w:lineRule="exact" w:before="36"/>
                              <w:ind w:left="52"/>
                              <w:rPr>
                                <w:sz w:val="16"/>
                              </w:rPr>
                            </w:pPr>
                            <w:r>
                              <w:rPr>
                                <w:sz w:val="16"/>
                              </w:rPr>
                              <w:t>Balance</w:t>
                            </w:r>
                            <w:r>
                              <w:rPr>
                                <w:spacing w:val="-1"/>
                                <w:sz w:val="16"/>
                              </w:rPr>
                              <w:t> </w:t>
                            </w:r>
                            <w:r>
                              <w:rPr>
                                <w:sz w:val="16"/>
                              </w:rPr>
                              <w:t>at June 30, </w:t>
                            </w:r>
                            <w:r>
                              <w:rPr>
                                <w:spacing w:val="-4"/>
                                <w:sz w:val="16"/>
                              </w:rPr>
                              <w:t>2022</w:t>
                            </w:r>
                          </w:p>
                        </w:tc>
                        <w:tc>
                          <w:tcPr>
                            <w:tcW w:w="804" w:type="dxa"/>
                            <w:tcBorders>
                              <w:top w:val="single" w:sz="4" w:space="0" w:color="000000"/>
                              <w:bottom w:val="double" w:sz="8" w:space="0" w:color="000000"/>
                            </w:tcBorders>
                            <w:shd w:val="clear" w:color="auto" w:fill="CCEDFF"/>
                          </w:tcPr>
                          <w:p>
                            <w:pPr>
                              <w:pStyle w:val="TableParagraph"/>
                              <w:spacing w:line="164" w:lineRule="exact" w:before="36"/>
                              <w:ind w:left="107"/>
                              <w:rPr>
                                <w:sz w:val="16"/>
                              </w:rPr>
                            </w:pPr>
                            <w:r>
                              <w:rPr>
                                <w:sz w:val="16"/>
                              </w:rPr>
                              <w:t>$</w:t>
                            </w:r>
                            <w:r>
                              <w:rPr>
                                <w:spacing w:val="24"/>
                                <w:sz w:val="16"/>
                              </w:rPr>
                              <w:t> </w:t>
                            </w:r>
                            <w:r>
                              <w:rPr>
                                <w:spacing w:val="-2"/>
                                <w:sz w:val="16"/>
                              </w:rPr>
                              <w:t>10,694</w:t>
                            </w:r>
                          </w:p>
                        </w:tc>
                        <w:tc>
                          <w:tcPr>
                            <w:tcW w:w="541" w:type="dxa"/>
                            <w:tcBorders>
                              <w:top w:val="single" w:sz="4" w:space="0" w:color="000000"/>
                              <w:bottom w:val="double" w:sz="8" w:space="0" w:color="000000"/>
                            </w:tcBorders>
                            <w:shd w:val="clear" w:color="auto" w:fill="CCEDFF"/>
                          </w:tcPr>
                          <w:p>
                            <w:pPr>
                              <w:pStyle w:val="TableParagraph"/>
                              <w:spacing w:line="164" w:lineRule="exact" w:before="36"/>
                              <w:ind w:right="66"/>
                              <w:jc w:val="right"/>
                              <w:rPr>
                                <w:sz w:val="16"/>
                              </w:rPr>
                            </w:pPr>
                            <w:r>
                              <w:rPr>
                                <w:spacing w:val="-2"/>
                                <w:sz w:val="16"/>
                              </w:rPr>
                              <w:t>1,995</w:t>
                            </w:r>
                          </w:p>
                        </w:tc>
                        <w:tc>
                          <w:tcPr>
                            <w:tcW w:w="678" w:type="dxa"/>
                            <w:tcBorders>
                              <w:top w:val="single" w:sz="4" w:space="0" w:color="000000"/>
                              <w:bottom w:val="double" w:sz="8" w:space="0" w:color="000000"/>
                            </w:tcBorders>
                            <w:shd w:val="clear" w:color="auto" w:fill="CCEDFF"/>
                          </w:tcPr>
                          <w:p>
                            <w:pPr>
                              <w:pStyle w:val="TableParagraph"/>
                              <w:tabs>
                                <w:tab w:pos="416" w:val="left" w:leader="none"/>
                              </w:tabs>
                              <w:spacing w:line="164" w:lineRule="exact" w:before="36"/>
                              <w:ind w:left="52"/>
                              <w:rPr>
                                <w:sz w:val="16"/>
                              </w:rPr>
                            </w:pPr>
                            <w:r>
                              <w:rPr>
                                <w:spacing w:val="-10"/>
                                <w:sz w:val="16"/>
                              </w:rPr>
                              <w:t>$</w:t>
                            </w:r>
                            <w:r>
                              <w:rPr>
                                <w:sz w:val="16"/>
                              </w:rPr>
                              <w:tab/>
                            </w:r>
                            <w:r>
                              <w:rPr>
                                <w:spacing w:val="-5"/>
                                <w:sz w:val="16"/>
                              </w:rPr>
                              <w:t>20</w:t>
                            </w:r>
                          </w:p>
                        </w:tc>
                        <w:tc>
                          <w:tcPr>
                            <w:tcW w:w="608" w:type="dxa"/>
                            <w:tcBorders>
                              <w:top w:val="single" w:sz="4" w:space="0" w:color="000000"/>
                              <w:bottom w:val="double" w:sz="8" w:space="0" w:color="000000"/>
                            </w:tcBorders>
                            <w:shd w:val="clear" w:color="auto" w:fill="CCEDFF"/>
                          </w:tcPr>
                          <w:p>
                            <w:pPr>
                              <w:pStyle w:val="TableParagraph"/>
                              <w:spacing w:line="164" w:lineRule="exact" w:before="36"/>
                              <w:ind w:left="353"/>
                              <w:rPr>
                                <w:sz w:val="16"/>
                              </w:rPr>
                            </w:pPr>
                            <w:r>
                              <w:rPr>
                                <w:spacing w:val="-5"/>
                                <w:sz w:val="16"/>
                              </w:rPr>
                              <w:t>79</w:t>
                            </w:r>
                          </w:p>
                        </w:tc>
                        <w:tc>
                          <w:tcPr>
                            <w:tcW w:w="636" w:type="dxa"/>
                            <w:tcBorders>
                              <w:top w:val="single" w:sz="4" w:space="0" w:color="000000"/>
                              <w:bottom w:val="double" w:sz="8" w:space="0" w:color="000000"/>
                            </w:tcBorders>
                            <w:shd w:val="clear" w:color="auto" w:fill="CCEDFF"/>
                          </w:tcPr>
                          <w:p>
                            <w:pPr>
                              <w:pStyle w:val="TableParagraph"/>
                              <w:tabs>
                                <w:tab w:pos="485" w:val="left" w:leader="none"/>
                              </w:tabs>
                              <w:spacing w:line="164" w:lineRule="exact" w:before="36"/>
                              <w:ind w:left="26"/>
                              <w:rPr>
                                <w:sz w:val="16"/>
                              </w:rPr>
                            </w:pPr>
                            <w:r>
                              <w:rPr>
                                <w:spacing w:val="-10"/>
                                <w:sz w:val="16"/>
                              </w:rPr>
                              <w:t>$</w:t>
                            </w:r>
                            <w:r>
                              <w:rPr>
                                <w:sz w:val="16"/>
                              </w:rPr>
                              <w:tab/>
                            </w:r>
                            <w:r>
                              <w:rPr>
                                <w:spacing w:val="-10"/>
                                <w:sz w:val="16"/>
                              </w:rPr>
                              <w:t>1</w:t>
                            </w:r>
                          </w:p>
                        </w:tc>
                        <w:tc>
                          <w:tcPr>
                            <w:tcW w:w="869" w:type="dxa"/>
                            <w:tcBorders>
                              <w:top w:val="single" w:sz="4" w:space="0" w:color="000000"/>
                              <w:bottom w:val="double" w:sz="8" w:space="0" w:color="000000"/>
                            </w:tcBorders>
                            <w:shd w:val="clear" w:color="auto" w:fill="CCEDFF"/>
                          </w:tcPr>
                          <w:p>
                            <w:pPr>
                              <w:pStyle w:val="TableParagraph"/>
                              <w:spacing w:line="164" w:lineRule="exact" w:before="36"/>
                              <w:ind w:left="50"/>
                              <w:rPr>
                                <w:sz w:val="16"/>
                              </w:rPr>
                            </w:pPr>
                            <w:r>
                              <w:rPr>
                                <w:sz w:val="16"/>
                              </w:rPr>
                              <w:t>$</w:t>
                            </w:r>
                            <w:r>
                              <w:rPr>
                                <w:spacing w:val="59"/>
                                <w:sz w:val="16"/>
                              </w:rPr>
                              <w:t>  </w:t>
                            </w:r>
                            <w:r>
                              <w:rPr>
                                <w:spacing w:val="-2"/>
                                <w:sz w:val="16"/>
                              </w:rPr>
                              <w:t>26,918</w:t>
                            </w:r>
                          </w:p>
                        </w:tc>
                        <w:tc>
                          <w:tcPr>
                            <w:tcW w:w="736" w:type="dxa"/>
                            <w:tcBorders>
                              <w:top w:val="single" w:sz="4" w:space="0" w:color="000000"/>
                              <w:bottom w:val="double" w:sz="8" w:space="0" w:color="000000"/>
                            </w:tcBorders>
                            <w:shd w:val="clear" w:color="auto" w:fill="CCEDFF"/>
                          </w:tcPr>
                          <w:p>
                            <w:pPr>
                              <w:pStyle w:val="TableParagraph"/>
                              <w:spacing w:line="164" w:lineRule="exact" w:before="36"/>
                              <w:ind w:left="21"/>
                              <w:rPr>
                                <w:sz w:val="16"/>
                              </w:rPr>
                            </w:pPr>
                            <w:r>
                              <w:rPr>
                                <w:sz w:val="16"/>
                              </w:rPr>
                              <w:t>$</w:t>
                            </w:r>
                            <w:r>
                              <w:rPr>
                                <w:spacing w:val="54"/>
                                <w:sz w:val="16"/>
                              </w:rPr>
                              <w:t> </w:t>
                            </w:r>
                            <w:r>
                              <w:rPr>
                                <w:spacing w:val="-2"/>
                                <w:sz w:val="16"/>
                              </w:rPr>
                              <w:t>28,174</w:t>
                            </w:r>
                          </w:p>
                        </w:tc>
                        <w:tc>
                          <w:tcPr>
                            <w:tcW w:w="2057" w:type="dxa"/>
                            <w:tcBorders>
                              <w:top w:val="single" w:sz="4" w:space="0" w:color="000000"/>
                              <w:bottom w:val="double" w:sz="8" w:space="0" w:color="000000"/>
                            </w:tcBorders>
                            <w:shd w:val="clear" w:color="auto" w:fill="CCEDFF"/>
                          </w:tcPr>
                          <w:p>
                            <w:pPr>
                              <w:pStyle w:val="TableParagraph"/>
                              <w:tabs>
                                <w:tab w:pos="1296" w:val="left" w:leader="none"/>
                              </w:tabs>
                              <w:spacing w:line="164" w:lineRule="exact" w:before="36"/>
                              <w:ind w:left="20"/>
                              <w:rPr>
                                <w:sz w:val="16"/>
                              </w:rPr>
                            </w:pPr>
                            <w:r>
                              <w:rPr>
                                <w:sz w:val="16"/>
                              </w:rPr>
                              <w:t>$</w:t>
                            </w:r>
                            <w:r>
                              <w:rPr>
                                <w:spacing w:val="60"/>
                                <w:w w:val="150"/>
                                <w:sz w:val="16"/>
                              </w:rPr>
                              <w:t> </w:t>
                            </w:r>
                            <w:r>
                              <w:rPr>
                                <w:sz w:val="16"/>
                              </w:rPr>
                              <w:t>(5,272)</w:t>
                            </w:r>
                            <w:r>
                              <w:rPr>
                                <w:spacing w:val="27"/>
                                <w:sz w:val="16"/>
                              </w:rPr>
                              <w:t> </w:t>
                            </w:r>
                            <w:r>
                              <w:rPr>
                                <w:spacing w:val="-10"/>
                                <w:sz w:val="16"/>
                              </w:rPr>
                              <w:t>$</w:t>
                            </w:r>
                            <w:r>
                              <w:rPr>
                                <w:sz w:val="16"/>
                              </w:rPr>
                              <w:tab/>
                              <w:t>(16,022)</w:t>
                            </w:r>
                            <w:r>
                              <w:rPr>
                                <w:spacing w:val="25"/>
                                <w:sz w:val="16"/>
                              </w:rPr>
                              <w:t> </w:t>
                            </w:r>
                            <w:r>
                              <w:rPr>
                                <w:spacing w:val="-10"/>
                                <w:sz w:val="16"/>
                              </w:rPr>
                              <w:t>$</w:t>
                            </w:r>
                          </w:p>
                        </w:tc>
                        <w:tc>
                          <w:tcPr>
                            <w:tcW w:w="584" w:type="dxa"/>
                            <w:tcBorders>
                              <w:top w:val="single" w:sz="4" w:space="0" w:color="000000"/>
                              <w:bottom w:val="double" w:sz="8" w:space="0" w:color="000000"/>
                            </w:tcBorders>
                            <w:shd w:val="clear" w:color="auto" w:fill="CCEDFF"/>
                          </w:tcPr>
                          <w:p>
                            <w:pPr>
                              <w:pStyle w:val="TableParagraph"/>
                              <w:spacing w:line="164" w:lineRule="exact" w:before="36"/>
                              <w:ind w:left="57"/>
                              <w:rPr>
                                <w:sz w:val="16"/>
                              </w:rPr>
                            </w:pPr>
                            <w:r>
                              <w:rPr>
                                <w:spacing w:val="-2"/>
                                <w:sz w:val="16"/>
                              </w:rPr>
                              <w:t>44,513</w:t>
                            </w:r>
                          </w:p>
                        </w:tc>
                      </w:tr>
                      <w:tr>
                        <w:trPr>
                          <w:trHeight w:val="225" w:hRule="atLeast"/>
                        </w:trPr>
                        <w:tc>
                          <w:tcPr>
                            <w:tcW w:w="3125" w:type="dxa"/>
                            <w:tcBorders>
                              <w:top w:val="double" w:sz="8" w:space="0" w:color="000000"/>
                            </w:tcBorders>
                          </w:tcPr>
                          <w:p>
                            <w:pPr>
                              <w:pStyle w:val="TableParagraph"/>
                              <w:spacing w:before="11"/>
                              <w:ind w:left="52"/>
                              <w:rPr>
                                <w:sz w:val="16"/>
                              </w:rPr>
                            </w:pPr>
                            <w:r>
                              <w:rPr>
                                <w:sz w:val="16"/>
                              </w:rPr>
                              <w:t>Net</w:t>
                            </w:r>
                            <w:r>
                              <w:rPr>
                                <w:spacing w:val="-1"/>
                                <w:sz w:val="16"/>
                              </w:rPr>
                              <w:t> </w:t>
                            </w:r>
                            <w:r>
                              <w:rPr>
                                <w:spacing w:val="-2"/>
                                <w:sz w:val="16"/>
                              </w:rPr>
                              <w:t>income</w:t>
                            </w:r>
                          </w:p>
                        </w:tc>
                        <w:tc>
                          <w:tcPr>
                            <w:tcW w:w="804" w:type="dxa"/>
                            <w:tcBorders>
                              <w:top w:val="double" w:sz="8" w:space="0" w:color="000000"/>
                            </w:tcBorders>
                          </w:tcPr>
                          <w:p>
                            <w:pPr>
                              <w:pStyle w:val="TableParagraph"/>
                              <w:spacing w:before="11"/>
                              <w:ind w:left="531"/>
                              <w:rPr>
                                <w:sz w:val="16"/>
                              </w:rPr>
                            </w:pPr>
                            <w:r>
                              <w:rPr>
                                <w:spacing w:val="-10"/>
                                <w:sz w:val="16"/>
                              </w:rPr>
                              <w:t>—</w:t>
                            </w:r>
                          </w:p>
                        </w:tc>
                        <w:tc>
                          <w:tcPr>
                            <w:tcW w:w="541" w:type="dxa"/>
                            <w:tcBorders>
                              <w:top w:val="double" w:sz="8" w:space="0" w:color="000000"/>
                            </w:tcBorders>
                          </w:tcPr>
                          <w:p>
                            <w:pPr>
                              <w:pStyle w:val="TableParagraph"/>
                              <w:spacing w:before="11"/>
                              <w:ind w:right="66"/>
                              <w:jc w:val="right"/>
                              <w:rPr>
                                <w:sz w:val="16"/>
                              </w:rPr>
                            </w:pPr>
                            <w:r>
                              <w:rPr>
                                <w:spacing w:val="-10"/>
                                <w:sz w:val="16"/>
                              </w:rPr>
                              <w:t>—</w:t>
                            </w:r>
                          </w:p>
                        </w:tc>
                        <w:tc>
                          <w:tcPr>
                            <w:tcW w:w="678" w:type="dxa"/>
                            <w:tcBorders>
                              <w:top w:val="double" w:sz="8" w:space="0" w:color="000000"/>
                            </w:tcBorders>
                          </w:tcPr>
                          <w:p>
                            <w:pPr>
                              <w:pStyle w:val="TableParagraph"/>
                              <w:spacing w:before="11"/>
                              <w:ind w:left="416"/>
                              <w:rPr>
                                <w:sz w:val="16"/>
                              </w:rPr>
                            </w:pPr>
                            <w:r>
                              <w:rPr>
                                <w:spacing w:val="-10"/>
                                <w:sz w:val="16"/>
                              </w:rPr>
                              <w:t>—</w:t>
                            </w:r>
                          </w:p>
                        </w:tc>
                        <w:tc>
                          <w:tcPr>
                            <w:tcW w:w="608" w:type="dxa"/>
                            <w:tcBorders>
                              <w:top w:val="double" w:sz="8" w:space="0" w:color="000000"/>
                            </w:tcBorders>
                          </w:tcPr>
                          <w:p>
                            <w:pPr>
                              <w:pStyle w:val="TableParagraph"/>
                              <w:spacing w:before="11"/>
                              <w:ind w:left="353"/>
                              <w:rPr>
                                <w:sz w:val="16"/>
                              </w:rPr>
                            </w:pPr>
                            <w:r>
                              <w:rPr>
                                <w:spacing w:val="-10"/>
                                <w:sz w:val="16"/>
                              </w:rPr>
                              <w:t>—</w:t>
                            </w:r>
                          </w:p>
                        </w:tc>
                        <w:tc>
                          <w:tcPr>
                            <w:tcW w:w="636" w:type="dxa"/>
                            <w:tcBorders>
                              <w:top w:val="double" w:sz="8" w:space="0" w:color="000000"/>
                            </w:tcBorders>
                          </w:tcPr>
                          <w:p>
                            <w:pPr>
                              <w:pStyle w:val="TableParagraph"/>
                              <w:spacing w:before="11"/>
                              <w:ind w:left="405"/>
                              <w:rPr>
                                <w:sz w:val="16"/>
                              </w:rPr>
                            </w:pPr>
                            <w:r>
                              <w:rPr>
                                <w:spacing w:val="-10"/>
                                <w:sz w:val="16"/>
                              </w:rPr>
                              <w:t>—</w:t>
                            </w:r>
                          </w:p>
                        </w:tc>
                        <w:tc>
                          <w:tcPr>
                            <w:tcW w:w="869" w:type="dxa"/>
                            <w:tcBorders>
                              <w:top w:val="double" w:sz="8" w:space="0" w:color="000000"/>
                            </w:tcBorders>
                          </w:tcPr>
                          <w:p>
                            <w:pPr>
                              <w:pStyle w:val="TableParagraph"/>
                              <w:spacing w:before="11"/>
                              <w:ind w:right="97"/>
                              <w:jc w:val="right"/>
                              <w:rPr>
                                <w:sz w:val="16"/>
                              </w:rPr>
                            </w:pPr>
                            <w:r>
                              <w:rPr>
                                <w:spacing w:val="-10"/>
                                <w:sz w:val="16"/>
                              </w:rPr>
                              <w:t>—</w:t>
                            </w:r>
                          </w:p>
                        </w:tc>
                        <w:tc>
                          <w:tcPr>
                            <w:tcW w:w="736" w:type="dxa"/>
                            <w:tcBorders>
                              <w:top w:val="double" w:sz="8" w:space="0" w:color="000000"/>
                            </w:tcBorders>
                          </w:tcPr>
                          <w:p>
                            <w:pPr>
                              <w:pStyle w:val="TableParagraph"/>
                              <w:spacing w:before="11"/>
                              <w:ind w:left="275"/>
                              <w:rPr>
                                <w:sz w:val="16"/>
                              </w:rPr>
                            </w:pPr>
                            <w:r>
                              <w:rPr>
                                <w:spacing w:val="-2"/>
                                <w:sz w:val="16"/>
                              </w:rPr>
                              <w:t>2,020</w:t>
                            </w:r>
                          </w:p>
                        </w:tc>
                        <w:tc>
                          <w:tcPr>
                            <w:tcW w:w="2057" w:type="dxa"/>
                            <w:tcBorders>
                              <w:top w:val="double" w:sz="8" w:space="0" w:color="000000"/>
                            </w:tcBorders>
                          </w:tcPr>
                          <w:p>
                            <w:pPr>
                              <w:pStyle w:val="TableParagraph"/>
                              <w:tabs>
                                <w:tab w:pos="1629" w:val="left" w:leader="none"/>
                              </w:tabs>
                              <w:spacing w:before="11"/>
                              <w:ind w:left="474"/>
                              <w:rPr>
                                <w:sz w:val="16"/>
                              </w:rPr>
                            </w:pPr>
                            <w:r>
                              <w:rPr>
                                <w:spacing w:val="-10"/>
                                <w:sz w:val="16"/>
                              </w:rPr>
                              <w:t>—</w:t>
                            </w:r>
                            <w:r>
                              <w:rPr>
                                <w:sz w:val="16"/>
                              </w:rPr>
                              <w:tab/>
                            </w:r>
                            <w:r>
                              <w:rPr>
                                <w:spacing w:val="-10"/>
                                <w:sz w:val="16"/>
                              </w:rPr>
                              <w:t>—</w:t>
                            </w:r>
                          </w:p>
                        </w:tc>
                        <w:tc>
                          <w:tcPr>
                            <w:tcW w:w="584" w:type="dxa"/>
                            <w:tcBorders>
                              <w:top w:val="double" w:sz="8" w:space="0" w:color="000000"/>
                            </w:tcBorders>
                          </w:tcPr>
                          <w:p>
                            <w:pPr>
                              <w:pStyle w:val="TableParagraph"/>
                              <w:spacing w:before="11"/>
                              <w:ind w:right="84"/>
                              <w:jc w:val="right"/>
                              <w:rPr>
                                <w:sz w:val="16"/>
                              </w:rPr>
                            </w:pPr>
                            <w:r>
                              <w:rPr>
                                <w:spacing w:val="-2"/>
                                <w:sz w:val="16"/>
                              </w:rPr>
                              <w:t>2,020</w:t>
                            </w:r>
                          </w:p>
                        </w:tc>
                      </w:tr>
                      <w:tr>
                        <w:trPr>
                          <w:trHeight w:val="255" w:hRule="atLeast"/>
                        </w:trPr>
                        <w:tc>
                          <w:tcPr>
                            <w:tcW w:w="3125" w:type="dxa"/>
                            <w:shd w:val="clear" w:color="auto" w:fill="CCEDFF"/>
                          </w:tcPr>
                          <w:p>
                            <w:pPr>
                              <w:pStyle w:val="TableParagraph"/>
                              <w:spacing w:before="41"/>
                              <w:ind w:left="52"/>
                              <w:rPr>
                                <w:sz w:val="16"/>
                              </w:rPr>
                            </w:pPr>
                            <w:r>
                              <w:rPr>
                                <w:sz w:val="16"/>
                              </w:rPr>
                              <w:t>Other</w:t>
                            </w:r>
                            <w:r>
                              <w:rPr>
                                <w:spacing w:val="-1"/>
                                <w:sz w:val="16"/>
                              </w:rPr>
                              <w:t> </w:t>
                            </w:r>
                            <w:r>
                              <w:rPr>
                                <w:sz w:val="16"/>
                              </w:rPr>
                              <w:t>comprehensive</w:t>
                            </w:r>
                            <w:r>
                              <w:rPr>
                                <w:spacing w:val="-1"/>
                                <w:sz w:val="16"/>
                              </w:rPr>
                              <w:t> </w:t>
                            </w:r>
                            <w:r>
                              <w:rPr>
                                <w:sz w:val="16"/>
                              </w:rPr>
                              <w:t>income (loss),</w:t>
                            </w:r>
                            <w:r>
                              <w:rPr>
                                <w:spacing w:val="-1"/>
                                <w:sz w:val="16"/>
                              </w:rPr>
                              <w:t> </w:t>
                            </w:r>
                            <w:r>
                              <w:rPr>
                                <w:sz w:val="16"/>
                              </w:rPr>
                              <w:t>net</w:t>
                            </w:r>
                            <w:r>
                              <w:rPr>
                                <w:spacing w:val="-1"/>
                                <w:sz w:val="16"/>
                              </w:rPr>
                              <w:t> </w:t>
                            </w:r>
                            <w:r>
                              <w:rPr>
                                <w:sz w:val="16"/>
                              </w:rPr>
                              <w:t>of </w:t>
                            </w:r>
                            <w:r>
                              <w:rPr>
                                <w:spacing w:val="-5"/>
                                <w:sz w:val="16"/>
                              </w:rPr>
                              <w:t>tax</w:t>
                            </w:r>
                          </w:p>
                        </w:tc>
                        <w:tc>
                          <w:tcPr>
                            <w:tcW w:w="804" w:type="dxa"/>
                            <w:shd w:val="clear" w:color="auto" w:fill="CCEDFF"/>
                          </w:tcPr>
                          <w:p>
                            <w:pPr>
                              <w:pStyle w:val="TableParagraph"/>
                              <w:spacing w:before="41"/>
                              <w:ind w:left="531"/>
                              <w:rPr>
                                <w:sz w:val="16"/>
                              </w:rPr>
                            </w:pPr>
                            <w:r>
                              <w:rPr>
                                <w:spacing w:val="-10"/>
                                <w:sz w:val="16"/>
                              </w:rPr>
                              <w:t>—</w:t>
                            </w:r>
                          </w:p>
                        </w:tc>
                        <w:tc>
                          <w:tcPr>
                            <w:tcW w:w="541" w:type="dxa"/>
                            <w:shd w:val="clear" w:color="auto" w:fill="CCEDFF"/>
                          </w:tcPr>
                          <w:p>
                            <w:pPr>
                              <w:pStyle w:val="TableParagraph"/>
                              <w:spacing w:before="41"/>
                              <w:ind w:right="66"/>
                              <w:jc w:val="right"/>
                              <w:rPr>
                                <w:sz w:val="16"/>
                              </w:rPr>
                            </w:pPr>
                            <w:r>
                              <w:rPr>
                                <w:spacing w:val="-10"/>
                                <w:sz w:val="16"/>
                              </w:rPr>
                              <w:t>—</w:t>
                            </w:r>
                          </w:p>
                        </w:tc>
                        <w:tc>
                          <w:tcPr>
                            <w:tcW w:w="678" w:type="dxa"/>
                            <w:shd w:val="clear" w:color="auto" w:fill="CCEDFF"/>
                          </w:tcPr>
                          <w:p>
                            <w:pPr>
                              <w:pStyle w:val="TableParagraph"/>
                              <w:spacing w:before="41"/>
                              <w:ind w:left="416"/>
                              <w:rPr>
                                <w:sz w:val="16"/>
                              </w:rPr>
                            </w:pPr>
                            <w:r>
                              <w:rPr>
                                <w:spacing w:val="-10"/>
                                <w:sz w:val="16"/>
                              </w:rPr>
                              <w:t>—</w:t>
                            </w:r>
                          </w:p>
                        </w:tc>
                        <w:tc>
                          <w:tcPr>
                            <w:tcW w:w="608" w:type="dxa"/>
                            <w:shd w:val="clear" w:color="auto" w:fill="CCEDFF"/>
                          </w:tcPr>
                          <w:p>
                            <w:pPr>
                              <w:pStyle w:val="TableParagraph"/>
                              <w:spacing w:before="41"/>
                              <w:ind w:left="353"/>
                              <w:rPr>
                                <w:sz w:val="16"/>
                              </w:rPr>
                            </w:pPr>
                            <w:r>
                              <w:rPr>
                                <w:spacing w:val="-10"/>
                                <w:sz w:val="16"/>
                              </w:rPr>
                              <w:t>—</w:t>
                            </w:r>
                          </w:p>
                        </w:tc>
                        <w:tc>
                          <w:tcPr>
                            <w:tcW w:w="636" w:type="dxa"/>
                            <w:shd w:val="clear" w:color="auto" w:fill="CCEDFF"/>
                          </w:tcPr>
                          <w:p>
                            <w:pPr>
                              <w:pStyle w:val="TableParagraph"/>
                              <w:spacing w:before="41"/>
                              <w:ind w:left="405"/>
                              <w:rPr>
                                <w:sz w:val="16"/>
                              </w:rPr>
                            </w:pPr>
                            <w:r>
                              <w:rPr>
                                <w:spacing w:val="-10"/>
                                <w:sz w:val="16"/>
                              </w:rPr>
                              <w:t>—</w:t>
                            </w:r>
                          </w:p>
                        </w:tc>
                        <w:tc>
                          <w:tcPr>
                            <w:tcW w:w="869" w:type="dxa"/>
                            <w:shd w:val="clear" w:color="auto" w:fill="CCEDFF"/>
                          </w:tcPr>
                          <w:p>
                            <w:pPr>
                              <w:pStyle w:val="TableParagraph"/>
                              <w:spacing w:before="41"/>
                              <w:ind w:right="97"/>
                              <w:jc w:val="right"/>
                              <w:rPr>
                                <w:sz w:val="16"/>
                              </w:rPr>
                            </w:pPr>
                            <w:r>
                              <w:rPr>
                                <w:spacing w:val="-10"/>
                                <w:sz w:val="16"/>
                              </w:rPr>
                              <w:t>—</w:t>
                            </w:r>
                          </w:p>
                        </w:tc>
                        <w:tc>
                          <w:tcPr>
                            <w:tcW w:w="736" w:type="dxa"/>
                            <w:shd w:val="clear" w:color="auto" w:fill="CCEDFF"/>
                          </w:tcPr>
                          <w:p>
                            <w:pPr>
                              <w:pStyle w:val="TableParagraph"/>
                              <w:spacing w:before="41"/>
                              <w:ind w:right="98"/>
                              <w:jc w:val="right"/>
                              <w:rPr>
                                <w:sz w:val="16"/>
                              </w:rPr>
                            </w:pPr>
                            <w:r>
                              <w:rPr>
                                <w:spacing w:val="-10"/>
                                <w:sz w:val="16"/>
                              </w:rPr>
                              <w:t>—</w:t>
                            </w:r>
                          </w:p>
                        </w:tc>
                        <w:tc>
                          <w:tcPr>
                            <w:tcW w:w="2057" w:type="dxa"/>
                            <w:shd w:val="clear" w:color="auto" w:fill="CCEDFF"/>
                          </w:tcPr>
                          <w:p>
                            <w:pPr>
                              <w:pStyle w:val="TableParagraph"/>
                              <w:tabs>
                                <w:tab w:pos="1376" w:val="left" w:leader="none"/>
                              </w:tabs>
                              <w:spacing w:before="41"/>
                              <w:ind w:left="474"/>
                              <w:rPr>
                                <w:sz w:val="16"/>
                              </w:rPr>
                            </w:pPr>
                            <w:r>
                              <w:rPr>
                                <w:spacing w:val="-10"/>
                                <w:sz w:val="16"/>
                              </w:rPr>
                              <w:t>—</w:t>
                            </w:r>
                            <w:r>
                              <w:rPr>
                                <w:sz w:val="16"/>
                              </w:rPr>
                              <w:tab/>
                            </w:r>
                            <w:r>
                              <w:rPr>
                                <w:spacing w:val="-2"/>
                                <w:sz w:val="16"/>
                              </w:rPr>
                              <w:t>(7,130)</w:t>
                            </w:r>
                          </w:p>
                        </w:tc>
                        <w:tc>
                          <w:tcPr>
                            <w:tcW w:w="584" w:type="dxa"/>
                            <w:shd w:val="clear" w:color="auto" w:fill="CCEDFF"/>
                          </w:tcPr>
                          <w:p>
                            <w:pPr>
                              <w:pStyle w:val="TableParagraph"/>
                              <w:spacing w:before="41"/>
                              <w:ind w:left="84"/>
                              <w:rPr>
                                <w:sz w:val="16"/>
                              </w:rPr>
                            </w:pPr>
                            <w:r>
                              <w:rPr>
                                <w:spacing w:val="-2"/>
                                <w:sz w:val="16"/>
                              </w:rPr>
                              <w:t>(7,130)</w:t>
                            </w:r>
                          </w:p>
                        </w:tc>
                      </w:tr>
                      <w:tr>
                        <w:trPr>
                          <w:trHeight w:val="255" w:hRule="atLeast"/>
                        </w:trPr>
                        <w:tc>
                          <w:tcPr>
                            <w:tcW w:w="3125" w:type="dxa"/>
                          </w:tcPr>
                          <w:p>
                            <w:pPr>
                              <w:pStyle w:val="TableParagraph"/>
                              <w:spacing w:before="41"/>
                              <w:ind w:left="52"/>
                              <w:rPr>
                                <w:sz w:val="16"/>
                              </w:rPr>
                            </w:pPr>
                            <w:r>
                              <w:rPr>
                                <w:sz w:val="16"/>
                              </w:rPr>
                              <w:t>Call of preferred </w:t>
                            </w:r>
                            <w:r>
                              <w:rPr>
                                <w:spacing w:val="-2"/>
                                <w:sz w:val="16"/>
                              </w:rPr>
                              <w:t>stock</w:t>
                            </w:r>
                          </w:p>
                        </w:tc>
                        <w:tc>
                          <w:tcPr>
                            <w:tcW w:w="804" w:type="dxa"/>
                          </w:tcPr>
                          <w:p>
                            <w:pPr>
                              <w:pStyle w:val="TableParagraph"/>
                              <w:spacing w:before="41"/>
                              <w:ind w:left="398"/>
                              <w:rPr>
                                <w:sz w:val="16"/>
                              </w:rPr>
                            </w:pPr>
                            <w:r>
                              <w:rPr>
                                <w:spacing w:val="-2"/>
                                <w:sz w:val="16"/>
                              </w:rPr>
                              <w:t>(397)</w:t>
                            </w:r>
                          </w:p>
                        </w:tc>
                        <w:tc>
                          <w:tcPr>
                            <w:tcW w:w="541" w:type="dxa"/>
                          </w:tcPr>
                          <w:p>
                            <w:pPr>
                              <w:pStyle w:val="TableParagraph"/>
                              <w:spacing w:before="41"/>
                              <w:ind w:right="66"/>
                              <w:jc w:val="right"/>
                              <w:rPr>
                                <w:sz w:val="16"/>
                              </w:rPr>
                            </w:pPr>
                            <w:r>
                              <w:rPr>
                                <w:spacing w:val="-10"/>
                                <w:sz w:val="16"/>
                              </w:rPr>
                              <w:t>—</w:t>
                            </w:r>
                          </w:p>
                        </w:tc>
                        <w:tc>
                          <w:tcPr>
                            <w:tcW w:w="678" w:type="dxa"/>
                          </w:tcPr>
                          <w:p>
                            <w:pPr>
                              <w:pStyle w:val="TableParagraph"/>
                              <w:spacing w:before="41"/>
                              <w:ind w:left="416"/>
                              <w:rPr>
                                <w:sz w:val="16"/>
                              </w:rPr>
                            </w:pPr>
                            <w:r>
                              <w:rPr>
                                <w:spacing w:val="-10"/>
                                <w:sz w:val="16"/>
                              </w:rPr>
                              <w:t>—</w:t>
                            </w:r>
                          </w:p>
                        </w:tc>
                        <w:tc>
                          <w:tcPr>
                            <w:tcW w:w="608" w:type="dxa"/>
                          </w:tcPr>
                          <w:p>
                            <w:pPr>
                              <w:pStyle w:val="TableParagraph"/>
                              <w:spacing w:before="41"/>
                              <w:ind w:left="353"/>
                              <w:rPr>
                                <w:sz w:val="16"/>
                              </w:rPr>
                            </w:pPr>
                            <w:r>
                              <w:rPr>
                                <w:spacing w:val="-10"/>
                                <w:sz w:val="16"/>
                              </w:rPr>
                              <w:t>—</w:t>
                            </w:r>
                          </w:p>
                        </w:tc>
                        <w:tc>
                          <w:tcPr>
                            <w:tcW w:w="636" w:type="dxa"/>
                          </w:tcPr>
                          <w:p>
                            <w:pPr>
                              <w:pStyle w:val="TableParagraph"/>
                              <w:spacing w:before="41"/>
                              <w:ind w:left="405"/>
                              <w:rPr>
                                <w:sz w:val="16"/>
                              </w:rPr>
                            </w:pPr>
                            <w:r>
                              <w:rPr>
                                <w:spacing w:val="-10"/>
                                <w:sz w:val="16"/>
                              </w:rPr>
                              <w:t>—</w:t>
                            </w:r>
                          </w:p>
                        </w:tc>
                        <w:tc>
                          <w:tcPr>
                            <w:tcW w:w="869" w:type="dxa"/>
                          </w:tcPr>
                          <w:p>
                            <w:pPr>
                              <w:pStyle w:val="TableParagraph"/>
                              <w:spacing w:before="41"/>
                              <w:ind w:right="97"/>
                              <w:jc w:val="right"/>
                              <w:rPr>
                                <w:sz w:val="16"/>
                              </w:rPr>
                            </w:pPr>
                            <w:r>
                              <w:rPr>
                                <w:spacing w:val="-10"/>
                                <w:sz w:val="16"/>
                              </w:rPr>
                              <w:t>—</w:t>
                            </w:r>
                          </w:p>
                        </w:tc>
                        <w:tc>
                          <w:tcPr>
                            <w:tcW w:w="736" w:type="dxa"/>
                          </w:tcPr>
                          <w:p>
                            <w:pPr>
                              <w:pStyle w:val="TableParagraph"/>
                              <w:spacing w:before="41"/>
                              <w:ind w:right="44"/>
                              <w:jc w:val="right"/>
                              <w:rPr>
                                <w:sz w:val="16"/>
                              </w:rPr>
                            </w:pPr>
                            <w:r>
                              <w:rPr>
                                <w:spacing w:val="-5"/>
                                <w:sz w:val="16"/>
                              </w:rPr>
                              <w:t>(3)</w:t>
                            </w:r>
                          </w:p>
                        </w:tc>
                        <w:tc>
                          <w:tcPr>
                            <w:tcW w:w="2057" w:type="dxa"/>
                          </w:tcPr>
                          <w:p>
                            <w:pPr>
                              <w:pStyle w:val="TableParagraph"/>
                              <w:tabs>
                                <w:tab w:pos="1629" w:val="left" w:leader="none"/>
                              </w:tabs>
                              <w:spacing w:before="41"/>
                              <w:ind w:left="474"/>
                              <w:rPr>
                                <w:sz w:val="16"/>
                              </w:rPr>
                            </w:pPr>
                            <w:r>
                              <w:rPr>
                                <w:spacing w:val="-10"/>
                                <w:sz w:val="16"/>
                              </w:rPr>
                              <w:t>—</w:t>
                            </w:r>
                            <w:r>
                              <w:rPr>
                                <w:sz w:val="16"/>
                              </w:rPr>
                              <w:tab/>
                            </w:r>
                            <w:r>
                              <w:rPr>
                                <w:spacing w:val="-10"/>
                                <w:sz w:val="16"/>
                              </w:rPr>
                              <w:t>—</w:t>
                            </w:r>
                          </w:p>
                        </w:tc>
                        <w:tc>
                          <w:tcPr>
                            <w:tcW w:w="584" w:type="dxa"/>
                          </w:tcPr>
                          <w:p>
                            <w:pPr>
                              <w:pStyle w:val="TableParagraph"/>
                              <w:spacing w:before="41"/>
                              <w:ind w:right="30"/>
                              <w:jc w:val="right"/>
                              <w:rPr>
                                <w:sz w:val="16"/>
                              </w:rPr>
                            </w:pPr>
                            <w:r>
                              <w:rPr>
                                <w:spacing w:val="-2"/>
                                <w:sz w:val="16"/>
                              </w:rPr>
                              <w:t>(400)</w:t>
                            </w:r>
                          </w:p>
                        </w:tc>
                      </w:tr>
                      <w:tr>
                        <w:trPr>
                          <w:trHeight w:val="255" w:hRule="atLeast"/>
                        </w:trPr>
                        <w:tc>
                          <w:tcPr>
                            <w:tcW w:w="3125" w:type="dxa"/>
                            <w:shd w:val="clear" w:color="auto" w:fill="CCEDFF"/>
                          </w:tcPr>
                          <w:p>
                            <w:pPr>
                              <w:pStyle w:val="TableParagraph"/>
                              <w:spacing w:before="41"/>
                              <w:ind w:left="52"/>
                              <w:rPr>
                                <w:sz w:val="16"/>
                              </w:rPr>
                            </w:pPr>
                            <w:r>
                              <w:rPr>
                                <w:sz w:val="16"/>
                              </w:rPr>
                              <w:t>Dividends</w:t>
                            </w:r>
                            <w:r>
                              <w:rPr>
                                <w:spacing w:val="-2"/>
                                <w:sz w:val="16"/>
                              </w:rPr>
                              <w:t> </w:t>
                            </w:r>
                            <w:r>
                              <w:rPr>
                                <w:sz w:val="16"/>
                              </w:rPr>
                              <w:t>declared on preferred </w:t>
                            </w:r>
                            <w:r>
                              <w:rPr>
                                <w:spacing w:val="-2"/>
                                <w:sz w:val="16"/>
                              </w:rPr>
                              <w:t>stock</w:t>
                            </w:r>
                          </w:p>
                        </w:tc>
                        <w:tc>
                          <w:tcPr>
                            <w:tcW w:w="804" w:type="dxa"/>
                            <w:shd w:val="clear" w:color="auto" w:fill="CCEDFF"/>
                          </w:tcPr>
                          <w:p>
                            <w:pPr>
                              <w:pStyle w:val="TableParagraph"/>
                              <w:spacing w:before="41"/>
                              <w:ind w:left="531"/>
                              <w:rPr>
                                <w:sz w:val="16"/>
                              </w:rPr>
                            </w:pPr>
                            <w:r>
                              <w:rPr>
                                <w:spacing w:val="-10"/>
                                <w:sz w:val="16"/>
                              </w:rPr>
                              <w:t>—</w:t>
                            </w:r>
                          </w:p>
                        </w:tc>
                        <w:tc>
                          <w:tcPr>
                            <w:tcW w:w="541" w:type="dxa"/>
                            <w:shd w:val="clear" w:color="auto" w:fill="CCEDFF"/>
                          </w:tcPr>
                          <w:p>
                            <w:pPr>
                              <w:pStyle w:val="TableParagraph"/>
                              <w:spacing w:before="41"/>
                              <w:ind w:right="66"/>
                              <w:jc w:val="right"/>
                              <w:rPr>
                                <w:sz w:val="16"/>
                              </w:rPr>
                            </w:pPr>
                            <w:r>
                              <w:rPr>
                                <w:spacing w:val="-10"/>
                                <w:sz w:val="16"/>
                              </w:rPr>
                              <w:t>—</w:t>
                            </w:r>
                          </w:p>
                        </w:tc>
                        <w:tc>
                          <w:tcPr>
                            <w:tcW w:w="678" w:type="dxa"/>
                            <w:shd w:val="clear" w:color="auto" w:fill="CCEDFF"/>
                          </w:tcPr>
                          <w:p>
                            <w:pPr>
                              <w:pStyle w:val="TableParagraph"/>
                              <w:spacing w:before="41"/>
                              <w:ind w:left="416"/>
                              <w:rPr>
                                <w:sz w:val="16"/>
                              </w:rPr>
                            </w:pPr>
                            <w:r>
                              <w:rPr>
                                <w:spacing w:val="-10"/>
                                <w:sz w:val="16"/>
                              </w:rPr>
                              <w:t>—</w:t>
                            </w:r>
                          </w:p>
                        </w:tc>
                        <w:tc>
                          <w:tcPr>
                            <w:tcW w:w="608" w:type="dxa"/>
                            <w:shd w:val="clear" w:color="auto" w:fill="CCEDFF"/>
                          </w:tcPr>
                          <w:p>
                            <w:pPr>
                              <w:pStyle w:val="TableParagraph"/>
                              <w:spacing w:before="41"/>
                              <w:ind w:left="353"/>
                              <w:rPr>
                                <w:sz w:val="16"/>
                              </w:rPr>
                            </w:pPr>
                            <w:r>
                              <w:rPr>
                                <w:spacing w:val="-10"/>
                                <w:sz w:val="16"/>
                              </w:rPr>
                              <w:t>—</w:t>
                            </w:r>
                          </w:p>
                        </w:tc>
                        <w:tc>
                          <w:tcPr>
                            <w:tcW w:w="636" w:type="dxa"/>
                            <w:shd w:val="clear" w:color="auto" w:fill="CCEDFF"/>
                          </w:tcPr>
                          <w:p>
                            <w:pPr>
                              <w:pStyle w:val="TableParagraph"/>
                              <w:spacing w:before="41"/>
                              <w:ind w:left="405"/>
                              <w:rPr>
                                <w:sz w:val="16"/>
                              </w:rPr>
                            </w:pPr>
                            <w:r>
                              <w:rPr>
                                <w:spacing w:val="-10"/>
                                <w:sz w:val="16"/>
                              </w:rPr>
                              <w:t>—</w:t>
                            </w:r>
                          </w:p>
                        </w:tc>
                        <w:tc>
                          <w:tcPr>
                            <w:tcW w:w="869" w:type="dxa"/>
                            <w:shd w:val="clear" w:color="auto" w:fill="CCEDFF"/>
                          </w:tcPr>
                          <w:p>
                            <w:pPr>
                              <w:pStyle w:val="TableParagraph"/>
                              <w:spacing w:before="41"/>
                              <w:ind w:right="97"/>
                              <w:jc w:val="right"/>
                              <w:rPr>
                                <w:sz w:val="16"/>
                              </w:rPr>
                            </w:pPr>
                            <w:r>
                              <w:rPr>
                                <w:spacing w:val="-10"/>
                                <w:sz w:val="16"/>
                              </w:rPr>
                              <w:t>—</w:t>
                            </w:r>
                          </w:p>
                        </w:tc>
                        <w:tc>
                          <w:tcPr>
                            <w:tcW w:w="736" w:type="dxa"/>
                            <w:shd w:val="clear" w:color="auto" w:fill="CCEDFF"/>
                          </w:tcPr>
                          <w:p>
                            <w:pPr>
                              <w:pStyle w:val="TableParagraph"/>
                              <w:spacing w:before="41"/>
                              <w:ind w:right="44"/>
                              <w:jc w:val="right"/>
                              <w:rPr>
                                <w:sz w:val="16"/>
                              </w:rPr>
                            </w:pPr>
                            <w:r>
                              <w:rPr>
                                <w:spacing w:val="-2"/>
                                <w:sz w:val="16"/>
                              </w:rPr>
                              <w:t>(123)</w:t>
                            </w:r>
                          </w:p>
                        </w:tc>
                        <w:tc>
                          <w:tcPr>
                            <w:tcW w:w="2057" w:type="dxa"/>
                            <w:shd w:val="clear" w:color="auto" w:fill="CCEDFF"/>
                          </w:tcPr>
                          <w:p>
                            <w:pPr>
                              <w:pStyle w:val="TableParagraph"/>
                              <w:tabs>
                                <w:tab w:pos="1629" w:val="left" w:leader="none"/>
                              </w:tabs>
                              <w:spacing w:before="41"/>
                              <w:ind w:left="474"/>
                              <w:rPr>
                                <w:sz w:val="16"/>
                              </w:rPr>
                            </w:pPr>
                            <w:r>
                              <w:rPr>
                                <w:spacing w:val="-10"/>
                                <w:sz w:val="16"/>
                              </w:rPr>
                              <w:t>—</w:t>
                            </w:r>
                            <w:r>
                              <w:rPr>
                                <w:sz w:val="16"/>
                              </w:rPr>
                              <w:tab/>
                            </w:r>
                            <w:r>
                              <w:rPr>
                                <w:spacing w:val="-10"/>
                                <w:sz w:val="16"/>
                              </w:rPr>
                              <w:t>—</w:t>
                            </w:r>
                          </w:p>
                        </w:tc>
                        <w:tc>
                          <w:tcPr>
                            <w:tcW w:w="584" w:type="dxa"/>
                            <w:shd w:val="clear" w:color="auto" w:fill="CCEDFF"/>
                          </w:tcPr>
                          <w:p>
                            <w:pPr>
                              <w:pStyle w:val="TableParagraph"/>
                              <w:spacing w:before="41"/>
                              <w:ind w:right="30"/>
                              <w:jc w:val="right"/>
                              <w:rPr>
                                <w:sz w:val="16"/>
                              </w:rPr>
                            </w:pPr>
                            <w:r>
                              <w:rPr>
                                <w:spacing w:val="-2"/>
                                <w:sz w:val="16"/>
                              </w:rPr>
                              <w:t>(123)</w:t>
                            </w:r>
                          </w:p>
                        </w:tc>
                      </w:tr>
                      <w:tr>
                        <w:trPr>
                          <w:trHeight w:val="405" w:hRule="atLeast"/>
                        </w:trPr>
                        <w:tc>
                          <w:tcPr>
                            <w:tcW w:w="3125" w:type="dxa"/>
                          </w:tcPr>
                          <w:p>
                            <w:pPr>
                              <w:pStyle w:val="TableParagraph"/>
                              <w:spacing w:line="208" w:lineRule="auto" w:before="50"/>
                              <w:ind w:left="52"/>
                              <w:rPr>
                                <w:sz w:val="16"/>
                              </w:rPr>
                            </w:pPr>
                            <w:r>
                              <w:rPr>
                                <w:sz w:val="16"/>
                              </w:rPr>
                              <w:t>Dividends</w:t>
                            </w:r>
                            <w:r>
                              <w:rPr>
                                <w:spacing w:val="-7"/>
                                <w:sz w:val="16"/>
                              </w:rPr>
                              <w:t> </w:t>
                            </w:r>
                            <w:r>
                              <w:rPr>
                                <w:sz w:val="16"/>
                              </w:rPr>
                              <w:t>declared</w:t>
                            </w:r>
                            <w:r>
                              <w:rPr>
                                <w:spacing w:val="-7"/>
                                <w:sz w:val="16"/>
                              </w:rPr>
                              <w:t> </w:t>
                            </w:r>
                            <w:r>
                              <w:rPr>
                                <w:sz w:val="16"/>
                              </w:rPr>
                              <w:t>on</w:t>
                            </w:r>
                            <w:r>
                              <w:rPr>
                                <w:spacing w:val="-7"/>
                                <w:sz w:val="16"/>
                              </w:rPr>
                              <w:t> </w:t>
                            </w:r>
                            <w:r>
                              <w:rPr>
                                <w:sz w:val="16"/>
                              </w:rPr>
                              <w:t>common</w:t>
                            </w:r>
                            <w:r>
                              <w:rPr>
                                <w:spacing w:val="-7"/>
                                <w:sz w:val="16"/>
                              </w:rPr>
                              <w:t> </w:t>
                            </w:r>
                            <w:r>
                              <w:rPr>
                                <w:sz w:val="16"/>
                              </w:rPr>
                              <w:t>stock</w:t>
                            </w:r>
                            <w:r>
                              <w:rPr>
                                <w:spacing w:val="-7"/>
                                <w:sz w:val="16"/>
                              </w:rPr>
                              <w:t> </w:t>
                            </w:r>
                            <w:r>
                              <w:rPr>
                                <w:sz w:val="16"/>
                              </w:rPr>
                              <w:t>—</w:t>
                            </w:r>
                            <w:r>
                              <w:rPr>
                                <w:spacing w:val="-8"/>
                                <w:sz w:val="16"/>
                              </w:rPr>
                              <w:t> </w:t>
                            </w:r>
                            <w:r>
                              <w:rPr>
                                <w:sz w:val="16"/>
                              </w:rPr>
                              <w:t>$.22</w:t>
                            </w:r>
                            <w:r>
                              <w:rPr>
                                <w:spacing w:val="40"/>
                                <w:sz w:val="16"/>
                              </w:rPr>
                              <w:t> </w:t>
                            </w:r>
                            <w:r>
                              <w:rPr>
                                <w:sz w:val="16"/>
                              </w:rPr>
                              <w:t>per</w:t>
                            </w:r>
                            <w:r>
                              <w:rPr>
                                <w:spacing w:val="-1"/>
                                <w:sz w:val="16"/>
                              </w:rPr>
                              <w:t> </w:t>
                            </w:r>
                            <w:r>
                              <w:rPr>
                                <w:sz w:val="16"/>
                              </w:rPr>
                              <w:t>share</w:t>
                            </w:r>
                          </w:p>
                        </w:tc>
                        <w:tc>
                          <w:tcPr>
                            <w:tcW w:w="804" w:type="dxa"/>
                          </w:tcPr>
                          <w:p>
                            <w:pPr>
                              <w:pStyle w:val="TableParagraph"/>
                              <w:spacing w:before="7"/>
                              <w:rPr>
                                <w:i/>
                                <w:sz w:val="16"/>
                              </w:rPr>
                            </w:pPr>
                          </w:p>
                          <w:p>
                            <w:pPr>
                              <w:pStyle w:val="TableParagraph"/>
                              <w:ind w:left="531"/>
                              <w:rPr>
                                <w:sz w:val="16"/>
                              </w:rPr>
                            </w:pPr>
                            <w:r>
                              <w:rPr>
                                <w:spacing w:val="-10"/>
                                <w:sz w:val="16"/>
                              </w:rPr>
                              <w:t>—</w:t>
                            </w:r>
                          </w:p>
                        </w:tc>
                        <w:tc>
                          <w:tcPr>
                            <w:tcW w:w="541" w:type="dxa"/>
                          </w:tcPr>
                          <w:p>
                            <w:pPr>
                              <w:pStyle w:val="TableParagraph"/>
                              <w:spacing w:before="7"/>
                              <w:rPr>
                                <w:i/>
                                <w:sz w:val="16"/>
                              </w:rPr>
                            </w:pPr>
                          </w:p>
                          <w:p>
                            <w:pPr>
                              <w:pStyle w:val="TableParagraph"/>
                              <w:ind w:right="66"/>
                              <w:jc w:val="right"/>
                              <w:rPr>
                                <w:sz w:val="16"/>
                              </w:rPr>
                            </w:pPr>
                            <w:r>
                              <w:rPr>
                                <w:spacing w:val="-10"/>
                                <w:sz w:val="16"/>
                              </w:rPr>
                              <w:t>—</w:t>
                            </w:r>
                          </w:p>
                        </w:tc>
                        <w:tc>
                          <w:tcPr>
                            <w:tcW w:w="678" w:type="dxa"/>
                          </w:tcPr>
                          <w:p>
                            <w:pPr>
                              <w:pStyle w:val="TableParagraph"/>
                              <w:spacing w:before="7"/>
                              <w:rPr>
                                <w:i/>
                                <w:sz w:val="16"/>
                              </w:rPr>
                            </w:pPr>
                          </w:p>
                          <w:p>
                            <w:pPr>
                              <w:pStyle w:val="TableParagraph"/>
                              <w:ind w:left="416"/>
                              <w:rPr>
                                <w:sz w:val="16"/>
                              </w:rPr>
                            </w:pPr>
                            <w:r>
                              <w:rPr>
                                <w:spacing w:val="-10"/>
                                <w:sz w:val="16"/>
                              </w:rPr>
                              <w:t>—</w:t>
                            </w:r>
                          </w:p>
                        </w:tc>
                        <w:tc>
                          <w:tcPr>
                            <w:tcW w:w="608" w:type="dxa"/>
                          </w:tcPr>
                          <w:p>
                            <w:pPr>
                              <w:pStyle w:val="TableParagraph"/>
                              <w:spacing w:before="7"/>
                              <w:rPr>
                                <w:i/>
                                <w:sz w:val="16"/>
                              </w:rPr>
                            </w:pPr>
                          </w:p>
                          <w:p>
                            <w:pPr>
                              <w:pStyle w:val="TableParagraph"/>
                              <w:ind w:left="353"/>
                              <w:rPr>
                                <w:sz w:val="16"/>
                              </w:rPr>
                            </w:pPr>
                            <w:r>
                              <w:rPr>
                                <w:spacing w:val="-10"/>
                                <w:sz w:val="16"/>
                              </w:rPr>
                              <w:t>—</w:t>
                            </w:r>
                          </w:p>
                        </w:tc>
                        <w:tc>
                          <w:tcPr>
                            <w:tcW w:w="636" w:type="dxa"/>
                          </w:tcPr>
                          <w:p>
                            <w:pPr>
                              <w:pStyle w:val="TableParagraph"/>
                              <w:spacing w:before="7"/>
                              <w:rPr>
                                <w:i/>
                                <w:sz w:val="16"/>
                              </w:rPr>
                            </w:pPr>
                          </w:p>
                          <w:p>
                            <w:pPr>
                              <w:pStyle w:val="TableParagraph"/>
                              <w:ind w:left="405"/>
                              <w:rPr>
                                <w:sz w:val="16"/>
                              </w:rPr>
                            </w:pPr>
                            <w:r>
                              <w:rPr>
                                <w:spacing w:val="-10"/>
                                <w:sz w:val="16"/>
                              </w:rPr>
                              <w:t>—</w:t>
                            </w:r>
                          </w:p>
                        </w:tc>
                        <w:tc>
                          <w:tcPr>
                            <w:tcW w:w="869" w:type="dxa"/>
                          </w:tcPr>
                          <w:p>
                            <w:pPr>
                              <w:pStyle w:val="TableParagraph"/>
                              <w:spacing w:before="7"/>
                              <w:rPr>
                                <w:i/>
                                <w:sz w:val="16"/>
                              </w:rPr>
                            </w:pPr>
                          </w:p>
                          <w:p>
                            <w:pPr>
                              <w:pStyle w:val="TableParagraph"/>
                              <w:ind w:right="97"/>
                              <w:jc w:val="right"/>
                              <w:rPr>
                                <w:sz w:val="16"/>
                              </w:rPr>
                            </w:pPr>
                            <w:r>
                              <w:rPr>
                                <w:spacing w:val="-10"/>
                                <w:sz w:val="16"/>
                              </w:rPr>
                              <w:t>—</w:t>
                            </w:r>
                          </w:p>
                        </w:tc>
                        <w:tc>
                          <w:tcPr>
                            <w:tcW w:w="736" w:type="dxa"/>
                          </w:tcPr>
                          <w:p>
                            <w:pPr>
                              <w:pStyle w:val="TableParagraph"/>
                              <w:spacing w:before="7"/>
                              <w:rPr>
                                <w:i/>
                                <w:sz w:val="16"/>
                              </w:rPr>
                            </w:pPr>
                          </w:p>
                          <w:p>
                            <w:pPr>
                              <w:pStyle w:val="TableParagraph"/>
                              <w:ind w:right="44"/>
                              <w:jc w:val="right"/>
                              <w:rPr>
                                <w:sz w:val="16"/>
                              </w:rPr>
                            </w:pPr>
                            <w:r>
                              <w:rPr>
                                <w:spacing w:val="-2"/>
                                <w:sz w:val="16"/>
                              </w:rPr>
                              <w:t>(417)</w:t>
                            </w:r>
                          </w:p>
                        </w:tc>
                        <w:tc>
                          <w:tcPr>
                            <w:tcW w:w="2057" w:type="dxa"/>
                          </w:tcPr>
                          <w:p>
                            <w:pPr>
                              <w:pStyle w:val="TableParagraph"/>
                              <w:spacing w:before="7"/>
                              <w:rPr>
                                <w:i/>
                                <w:sz w:val="16"/>
                              </w:rPr>
                            </w:pPr>
                          </w:p>
                          <w:p>
                            <w:pPr>
                              <w:pStyle w:val="TableParagraph"/>
                              <w:tabs>
                                <w:tab w:pos="1629" w:val="left" w:leader="none"/>
                              </w:tabs>
                              <w:ind w:left="474"/>
                              <w:rPr>
                                <w:sz w:val="16"/>
                              </w:rPr>
                            </w:pPr>
                            <w:r>
                              <w:rPr>
                                <w:spacing w:val="-10"/>
                                <w:sz w:val="16"/>
                              </w:rPr>
                              <w:t>—</w:t>
                            </w:r>
                            <w:r>
                              <w:rPr>
                                <w:sz w:val="16"/>
                              </w:rPr>
                              <w:tab/>
                            </w:r>
                            <w:r>
                              <w:rPr>
                                <w:spacing w:val="-10"/>
                                <w:sz w:val="16"/>
                              </w:rPr>
                              <w:t>—</w:t>
                            </w:r>
                          </w:p>
                        </w:tc>
                        <w:tc>
                          <w:tcPr>
                            <w:tcW w:w="584" w:type="dxa"/>
                          </w:tcPr>
                          <w:p>
                            <w:pPr>
                              <w:pStyle w:val="TableParagraph"/>
                              <w:spacing w:before="7"/>
                              <w:rPr>
                                <w:i/>
                                <w:sz w:val="16"/>
                              </w:rPr>
                            </w:pPr>
                          </w:p>
                          <w:p>
                            <w:pPr>
                              <w:pStyle w:val="TableParagraph"/>
                              <w:ind w:right="30"/>
                              <w:jc w:val="right"/>
                              <w:rPr>
                                <w:sz w:val="16"/>
                              </w:rPr>
                            </w:pPr>
                            <w:r>
                              <w:rPr>
                                <w:spacing w:val="-2"/>
                                <w:sz w:val="16"/>
                              </w:rPr>
                              <w:t>(417)</w:t>
                            </w:r>
                          </w:p>
                        </w:tc>
                      </w:tr>
                      <w:tr>
                        <w:trPr>
                          <w:trHeight w:val="255" w:hRule="atLeast"/>
                        </w:trPr>
                        <w:tc>
                          <w:tcPr>
                            <w:tcW w:w="3125" w:type="dxa"/>
                            <w:shd w:val="clear" w:color="auto" w:fill="CCEDFF"/>
                          </w:tcPr>
                          <w:p>
                            <w:pPr>
                              <w:pStyle w:val="TableParagraph"/>
                              <w:spacing w:before="41"/>
                              <w:ind w:left="52"/>
                              <w:rPr>
                                <w:sz w:val="16"/>
                              </w:rPr>
                            </w:pPr>
                            <w:r>
                              <w:rPr>
                                <w:sz w:val="16"/>
                              </w:rPr>
                              <w:t>Repurchase</w:t>
                            </w:r>
                            <w:r>
                              <w:rPr>
                                <w:spacing w:val="-1"/>
                                <w:sz w:val="16"/>
                              </w:rPr>
                              <w:t> </w:t>
                            </w:r>
                            <w:r>
                              <w:rPr>
                                <w:sz w:val="16"/>
                              </w:rPr>
                              <w:t>of common </w:t>
                            </w:r>
                            <w:r>
                              <w:rPr>
                                <w:spacing w:val="-2"/>
                                <w:sz w:val="16"/>
                              </w:rPr>
                              <w:t>stock</w:t>
                            </w:r>
                          </w:p>
                        </w:tc>
                        <w:tc>
                          <w:tcPr>
                            <w:tcW w:w="804" w:type="dxa"/>
                            <w:shd w:val="clear" w:color="auto" w:fill="CCEDFF"/>
                          </w:tcPr>
                          <w:p>
                            <w:pPr>
                              <w:pStyle w:val="TableParagraph"/>
                              <w:spacing w:before="41"/>
                              <w:ind w:left="531"/>
                              <w:rPr>
                                <w:sz w:val="16"/>
                              </w:rPr>
                            </w:pPr>
                            <w:r>
                              <w:rPr>
                                <w:spacing w:val="-10"/>
                                <w:sz w:val="16"/>
                              </w:rPr>
                              <w:t>—</w:t>
                            </w:r>
                          </w:p>
                        </w:tc>
                        <w:tc>
                          <w:tcPr>
                            <w:tcW w:w="541" w:type="dxa"/>
                            <w:shd w:val="clear" w:color="auto" w:fill="CCEDFF"/>
                          </w:tcPr>
                          <w:p>
                            <w:pPr>
                              <w:pStyle w:val="TableParagraph"/>
                              <w:spacing w:before="41"/>
                              <w:ind w:right="66"/>
                              <w:jc w:val="right"/>
                              <w:rPr>
                                <w:sz w:val="16"/>
                              </w:rPr>
                            </w:pPr>
                            <w:r>
                              <w:rPr>
                                <w:spacing w:val="-10"/>
                                <w:sz w:val="16"/>
                              </w:rPr>
                              <w:t>—</w:t>
                            </w:r>
                          </w:p>
                        </w:tc>
                        <w:tc>
                          <w:tcPr>
                            <w:tcW w:w="678" w:type="dxa"/>
                            <w:shd w:val="clear" w:color="auto" w:fill="CCEDFF"/>
                          </w:tcPr>
                          <w:p>
                            <w:pPr>
                              <w:pStyle w:val="TableParagraph"/>
                              <w:spacing w:before="41"/>
                              <w:ind w:left="416"/>
                              <w:rPr>
                                <w:sz w:val="16"/>
                              </w:rPr>
                            </w:pPr>
                            <w:r>
                              <w:rPr>
                                <w:spacing w:val="-10"/>
                                <w:sz w:val="16"/>
                              </w:rPr>
                              <w:t>—</w:t>
                            </w:r>
                          </w:p>
                        </w:tc>
                        <w:tc>
                          <w:tcPr>
                            <w:tcW w:w="608" w:type="dxa"/>
                            <w:shd w:val="clear" w:color="auto" w:fill="CCEDFF"/>
                          </w:tcPr>
                          <w:p>
                            <w:pPr>
                              <w:pStyle w:val="TableParagraph"/>
                              <w:spacing w:before="41"/>
                              <w:ind w:left="353"/>
                              <w:rPr>
                                <w:sz w:val="16"/>
                              </w:rPr>
                            </w:pPr>
                            <w:r>
                              <w:rPr>
                                <w:spacing w:val="-10"/>
                                <w:sz w:val="16"/>
                              </w:rPr>
                              <w:t>—</w:t>
                            </w:r>
                          </w:p>
                        </w:tc>
                        <w:tc>
                          <w:tcPr>
                            <w:tcW w:w="636" w:type="dxa"/>
                            <w:shd w:val="clear" w:color="auto" w:fill="CCEDFF"/>
                          </w:tcPr>
                          <w:p>
                            <w:pPr>
                              <w:pStyle w:val="TableParagraph"/>
                              <w:spacing w:before="41"/>
                              <w:ind w:left="405"/>
                              <w:rPr>
                                <w:sz w:val="16"/>
                              </w:rPr>
                            </w:pPr>
                            <w:r>
                              <w:rPr>
                                <w:spacing w:val="-10"/>
                                <w:sz w:val="16"/>
                              </w:rPr>
                              <w:t>—</w:t>
                            </w:r>
                          </w:p>
                        </w:tc>
                        <w:tc>
                          <w:tcPr>
                            <w:tcW w:w="869" w:type="dxa"/>
                            <w:shd w:val="clear" w:color="auto" w:fill="CCEDFF"/>
                          </w:tcPr>
                          <w:p>
                            <w:pPr>
                              <w:pStyle w:val="TableParagraph"/>
                              <w:spacing w:before="41"/>
                              <w:ind w:right="97"/>
                              <w:jc w:val="right"/>
                              <w:rPr>
                                <w:sz w:val="16"/>
                              </w:rPr>
                            </w:pPr>
                            <w:r>
                              <w:rPr>
                                <w:spacing w:val="-10"/>
                                <w:sz w:val="16"/>
                              </w:rPr>
                              <w:t>—</w:t>
                            </w:r>
                          </w:p>
                        </w:tc>
                        <w:tc>
                          <w:tcPr>
                            <w:tcW w:w="736" w:type="dxa"/>
                            <w:shd w:val="clear" w:color="auto" w:fill="CCEDFF"/>
                          </w:tcPr>
                          <w:p>
                            <w:pPr>
                              <w:pStyle w:val="TableParagraph"/>
                              <w:spacing w:before="41"/>
                              <w:ind w:right="98"/>
                              <w:jc w:val="right"/>
                              <w:rPr>
                                <w:sz w:val="16"/>
                              </w:rPr>
                            </w:pPr>
                            <w:r>
                              <w:rPr>
                                <w:spacing w:val="-10"/>
                                <w:sz w:val="16"/>
                              </w:rPr>
                              <w:t>—</w:t>
                            </w:r>
                          </w:p>
                        </w:tc>
                        <w:tc>
                          <w:tcPr>
                            <w:tcW w:w="2057" w:type="dxa"/>
                            <w:shd w:val="clear" w:color="auto" w:fill="CCEDFF"/>
                          </w:tcPr>
                          <w:p>
                            <w:pPr>
                              <w:pStyle w:val="TableParagraph"/>
                              <w:tabs>
                                <w:tab w:pos="1629" w:val="left" w:leader="none"/>
                              </w:tabs>
                              <w:spacing w:before="41"/>
                              <w:ind w:left="341"/>
                              <w:rPr>
                                <w:sz w:val="16"/>
                              </w:rPr>
                            </w:pPr>
                            <w:r>
                              <w:rPr>
                                <w:spacing w:val="-2"/>
                                <w:sz w:val="16"/>
                              </w:rPr>
                              <w:t>(500)</w:t>
                            </w:r>
                            <w:r>
                              <w:rPr>
                                <w:sz w:val="16"/>
                              </w:rPr>
                              <w:tab/>
                            </w:r>
                            <w:r>
                              <w:rPr>
                                <w:spacing w:val="-10"/>
                                <w:sz w:val="16"/>
                              </w:rPr>
                              <w:t>—</w:t>
                            </w:r>
                          </w:p>
                        </w:tc>
                        <w:tc>
                          <w:tcPr>
                            <w:tcW w:w="584" w:type="dxa"/>
                            <w:shd w:val="clear" w:color="auto" w:fill="CCEDFF"/>
                          </w:tcPr>
                          <w:p>
                            <w:pPr>
                              <w:pStyle w:val="TableParagraph"/>
                              <w:spacing w:before="41"/>
                              <w:ind w:right="30"/>
                              <w:jc w:val="right"/>
                              <w:rPr>
                                <w:sz w:val="16"/>
                              </w:rPr>
                            </w:pPr>
                            <w:r>
                              <w:rPr>
                                <w:spacing w:val="-2"/>
                                <w:sz w:val="16"/>
                              </w:rPr>
                              <w:t>(500)</w:t>
                            </w:r>
                          </w:p>
                        </w:tc>
                      </w:tr>
                      <w:tr>
                        <w:trPr>
                          <w:trHeight w:val="255" w:hRule="atLeast"/>
                        </w:trPr>
                        <w:tc>
                          <w:tcPr>
                            <w:tcW w:w="3125" w:type="dxa"/>
                          </w:tcPr>
                          <w:p>
                            <w:pPr>
                              <w:pStyle w:val="TableParagraph"/>
                              <w:spacing w:before="41"/>
                              <w:ind w:left="52"/>
                              <w:rPr>
                                <w:sz w:val="16"/>
                              </w:rPr>
                            </w:pPr>
                            <w:r>
                              <w:rPr>
                                <w:sz w:val="16"/>
                              </w:rPr>
                              <w:t>Repurchase</w:t>
                            </w:r>
                            <w:r>
                              <w:rPr>
                                <w:spacing w:val="-1"/>
                                <w:sz w:val="16"/>
                              </w:rPr>
                              <w:t> </w:t>
                            </w:r>
                            <w:r>
                              <w:rPr>
                                <w:sz w:val="16"/>
                              </w:rPr>
                              <w:t>of nonvoting common </w:t>
                            </w:r>
                            <w:r>
                              <w:rPr>
                                <w:spacing w:val="-2"/>
                                <w:sz w:val="16"/>
                              </w:rPr>
                              <w:t>stock</w:t>
                            </w:r>
                          </w:p>
                        </w:tc>
                        <w:tc>
                          <w:tcPr>
                            <w:tcW w:w="804" w:type="dxa"/>
                          </w:tcPr>
                          <w:p>
                            <w:pPr>
                              <w:pStyle w:val="TableParagraph"/>
                              <w:spacing w:before="41"/>
                              <w:ind w:left="531"/>
                              <w:rPr>
                                <w:sz w:val="16"/>
                              </w:rPr>
                            </w:pPr>
                            <w:r>
                              <w:rPr>
                                <w:spacing w:val="-10"/>
                                <w:sz w:val="16"/>
                              </w:rPr>
                              <w:t>—</w:t>
                            </w:r>
                          </w:p>
                        </w:tc>
                        <w:tc>
                          <w:tcPr>
                            <w:tcW w:w="541" w:type="dxa"/>
                          </w:tcPr>
                          <w:p>
                            <w:pPr>
                              <w:pStyle w:val="TableParagraph"/>
                              <w:spacing w:before="41"/>
                              <w:ind w:right="66"/>
                              <w:jc w:val="right"/>
                              <w:rPr>
                                <w:sz w:val="16"/>
                              </w:rPr>
                            </w:pPr>
                            <w:r>
                              <w:rPr>
                                <w:spacing w:val="-5"/>
                                <w:sz w:val="16"/>
                              </w:rPr>
                              <w:t>15</w:t>
                            </w:r>
                          </w:p>
                        </w:tc>
                        <w:tc>
                          <w:tcPr>
                            <w:tcW w:w="678" w:type="dxa"/>
                          </w:tcPr>
                          <w:p>
                            <w:pPr>
                              <w:pStyle w:val="TableParagraph"/>
                              <w:spacing w:before="41"/>
                              <w:ind w:left="416"/>
                              <w:rPr>
                                <w:sz w:val="16"/>
                              </w:rPr>
                            </w:pPr>
                            <w:r>
                              <w:rPr>
                                <w:spacing w:val="-10"/>
                                <w:sz w:val="16"/>
                              </w:rPr>
                              <w:t>—</w:t>
                            </w:r>
                          </w:p>
                        </w:tc>
                        <w:tc>
                          <w:tcPr>
                            <w:tcW w:w="608" w:type="dxa"/>
                          </w:tcPr>
                          <w:p>
                            <w:pPr>
                              <w:pStyle w:val="TableParagraph"/>
                              <w:spacing w:before="41"/>
                              <w:ind w:right="38"/>
                              <w:jc w:val="right"/>
                              <w:rPr>
                                <w:sz w:val="16"/>
                              </w:rPr>
                            </w:pPr>
                            <w:r>
                              <w:rPr>
                                <w:spacing w:val="-4"/>
                                <w:sz w:val="16"/>
                              </w:rPr>
                              <w:t>(15)</w:t>
                            </w:r>
                          </w:p>
                        </w:tc>
                        <w:tc>
                          <w:tcPr>
                            <w:tcW w:w="636" w:type="dxa"/>
                          </w:tcPr>
                          <w:p>
                            <w:pPr>
                              <w:pStyle w:val="TableParagraph"/>
                              <w:spacing w:before="41"/>
                              <w:ind w:left="405"/>
                              <w:rPr>
                                <w:sz w:val="16"/>
                              </w:rPr>
                            </w:pPr>
                            <w:r>
                              <w:rPr>
                                <w:spacing w:val="-10"/>
                                <w:sz w:val="16"/>
                              </w:rPr>
                              <w:t>—</w:t>
                            </w:r>
                          </w:p>
                        </w:tc>
                        <w:tc>
                          <w:tcPr>
                            <w:tcW w:w="869" w:type="dxa"/>
                          </w:tcPr>
                          <w:p>
                            <w:pPr>
                              <w:pStyle w:val="TableParagraph"/>
                              <w:spacing w:before="41"/>
                              <w:ind w:right="97"/>
                              <w:jc w:val="right"/>
                              <w:rPr>
                                <w:sz w:val="16"/>
                              </w:rPr>
                            </w:pPr>
                            <w:r>
                              <w:rPr>
                                <w:spacing w:val="-10"/>
                                <w:sz w:val="16"/>
                              </w:rPr>
                              <w:t>—</w:t>
                            </w:r>
                          </w:p>
                        </w:tc>
                        <w:tc>
                          <w:tcPr>
                            <w:tcW w:w="736" w:type="dxa"/>
                          </w:tcPr>
                          <w:p>
                            <w:pPr>
                              <w:pStyle w:val="TableParagraph"/>
                              <w:spacing w:before="41"/>
                              <w:ind w:right="98"/>
                              <w:jc w:val="right"/>
                              <w:rPr>
                                <w:sz w:val="16"/>
                              </w:rPr>
                            </w:pPr>
                            <w:r>
                              <w:rPr>
                                <w:spacing w:val="-10"/>
                                <w:sz w:val="16"/>
                              </w:rPr>
                              <w:t>—</w:t>
                            </w:r>
                          </w:p>
                        </w:tc>
                        <w:tc>
                          <w:tcPr>
                            <w:tcW w:w="2057" w:type="dxa"/>
                          </w:tcPr>
                          <w:p>
                            <w:pPr>
                              <w:pStyle w:val="TableParagraph"/>
                              <w:tabs>
                                <w:tab w:pos="1629" w:val="left" w:leader="none"/>
                              </w:tabs>
                              <w:spacing w:before="41"/>
                              <w:ind w:left="221"/>
                              <w:rPr>
                                <w:sz w:val="16"/>
                              </w:rPr>
                            </w:pPr>
                            <w:r>
                              <w:rPr>
                                <w:spacing w:val="-2"/>
                                <w:sz w:val="16"/>
                              </w:rPr>
                              <w:t>(1,000)</w:t>
                            </w:r>
                            <w:r>
                              <w:rPr>
                                <w:sz w:val="16"/>
                              </w:rPr>
                              <w:tab/>
                            </w:r>
                            <w:r>
                              <w:rPr>
                                <w:spacing w:val="-10"/>
                                <w:sz w:val="16"/>
                              </w:rPr>
                              <w:t>—</w:t>
                            </w:r>
                          </w:p>
                        </w:tc>
                        <w:tc>
                          <w:tcPr>
                            <w:tcW w:w="584" w:type="dxa"/>
                          </w:tcPr>
                          <w:p>
                            <w:pPr>
                              <w:pStyle w:val="TableParagraph"/>
                              <w:spacing w:before="41"/>
                              <w:ind w:left="84"/>
                              <w:rPr>
                                <w:sz w:val="16"/>
                              </w:rPr>
                            </w:pPr>
                            <w:r>
                              <w:rPr>
                                <w:spacing w:val="-2"/>
                                <w:sz w:val="16"/>
                              </w:rPr>
                              <w:t>(1,000)</w:t>
                            </w:r>
                          </w:p>
                        </w:tc>
                      </w:tr>
                      <w:tr>
                        <w:trPr>
                          <w:trHeight w:val="405" w:hRule="atLeast"/>
                        </w:trPr>
                        <w:tc>
                          <w:tcPr>
                            <w:tcW w:w="3125" w:type="dxa"/>
                            <w:shd w:val="clear" w:color="auto" w:fill="CCEDFF"/>
                          </w:tcPr>
                          <w:p>
                            <w:pPr>
                              <w:pStyle w:val="TableParagraph"/>
                              <w:spacing w:line="208" w:lineRule="auto" w:before="50"/>
                              <w:ind w:left="52"/>
                              <w:rPr>
                                <w:sz w:val="16"/>
                              </w:rPr>
                            </w:pPr>
                            <w:r>
                              <w:rPr>
                                <w:sz w:val="16"/>
                              </w:rPr>
                              <w:t>Conversion</w:t>
                            </w:r>
                            <w:r>
                              <w:rPr>
                                <w:spacing w:val="-8"/>
                                <w:sz w:val="16"/>
                              </w:rPr>
                              <w:t> </w:t>
                            </w:r>
                            <w:r>
                              <w:rPr>
                                <w:sz w:val="16"/>
                              </w:rPr>
                              <w:t>of</w:t>
                            </w:r>
                            <w:r>
                              <w:rPr>
                                <w:spacing w:val="-8"/>
                                <w:sz w:val="16"/>
                              </w:rPr>
                              <w:t> </w:t>
                            </w:r>
                            <w:r>
                              <w:rPr>
                                <w:sz w:val="16"/>
                              </w:rPr>
                              <w:t>nonvoting</w:t>
                            </w:r>
                            <w:r>
                              <w:rPr>
                                <w:spacing w:val="-8"/>
                                <w:sz w:val="16"/>
                              </w:rPr>
                              <w:t> </w:t>
                            </w:r>
                            <w:r>
                              <w:rPr>
                                <w:sz w:val="16"/>
                              </w:rPr>
                              <w:t>common</w:t>
                            </w:r>
                            <w:r>
                              <w:rPr>
                                <w:spacing w:val="-8"/>
                                <w:sz w:val="16"/>
                              </w:rPr>
                              <w:t> </w:t>
                            </w:r>
                            <w:r>
                              <w:rPr>
                                <w:sz w:val="16"/>
                              </w:rPr>
                              <w:t>stock</w:t>
                            </w:r>
                            <w:r>
                              <w:rPr>
                                <w:spacing w:val="-8"/>
                                <w:sz w:val="16"/>
                              </w:rPr>
                              <w:t> </w:t>
                            </w:r>
                            <w:r>
                              <w:rPr>
                                <w:sz w:val="16"/>
                              </w:rPr>
                              <w:t>to</w:t>
                            </w:r>
                            <w:r>
                              <w:rPr>
                                <w:spacing w:val="40"/>
                                <w:sz w:val="16"/>
                              </w:rPr>
                              <w:t> </w:t>
                            </w:r>
                            <w:r>
                              <w:rPr>
                                <w:sz w:val="16"/>
                              </w:rPr>
                              <w:t>common</w:t>
                            </w:r>
                            <w:r>
                              <w:rPr>
                                <w:spacing w:val="-1"/>
                                <w:sz w:val="16"/>
                              </w:rPr>
                              <w:t> </w:t>
                            </w:r>
                            <w:r>
                              <w:rPr>
                                <w:sz w:val="16"/>
                              </w:rPr>
                              <w:t>stock</w:t>
                            </w:r>
                          </w:p>
                        </w:tc>
                        <w:tc>
                          <w:tcPr>
                            <w:tcW w:w="804" w:type="dxa"/>
                            <w:shd w:val="clear" w:color="auto" w:fill="CCEDFF"/>
                          </w:tcPr>
                          <w:p>
                            <w:pPr>
                              <w:pStyle w:val="TableParagraph"/>
                              <w:spacing w:before="7"/>
                              <w:rPr>
                                <w:i/>
                                <w:sz w:val="16"/>
                              </w:rPr>
                            </w:pPr>
                          </w:p>
                          <w:p>
                            <w:pPr>
                              <w:pStyle w:val="TableParagraph"/>
                              <w:ind w:left="531"/>
                              <w:rPr>
                                <w:sz w:val="16"/>
                              </w:rPr>
                            </w:pPr>
                            <w:r>
                              <w:rPr>
                                <w:spacing w:val="-10"/>
                                <w:sz w:val="16"/>
                              </w:rPr>
                              <w:t>—</w:t>
                            </w:r>
                          </w:p>
                        </w:tc>
                        <w:tc>
                          <w:tcPr>
                            <w:tcW w:w="541" w:type="dxa"/>
                            <w:shd w:val="clear" w:color="auto" w:fill="CCEDFF"/>
                          </w:tcPr>
                          <w:p>
                            <w:pPr>
                              <w:pStyle w:val="TableParagraph"/>
                              <w:spacing w:before="7"/>
                              <w:rPr>
                                <w:i/>
                                <w:sz w:val="16"/>
                              </w:rPr>
                            </w:pPr>
                          </w:p>
                          <w:p>
                            <w:pPr>
                              <w:pStyle w:val="TableParagraph"/>
                              <w:ind w:right="66"/>
                              <w:jc w:val="right"/>
                              <w:rPr>
                                <w:sz w:val="16"/>
                              </w:rPr>
                            </w:pPr>
                            <w:r>
                              <w:rPr>
                                <w:spacing w:val="-5"/>
                                <w:sz w:val="16"/>
                              </w:rPr>
                              <w:t>13</w:t>
                            </w:r>
                          </w:p>
                        </w:tc>
                        <w:tc>
                          <w:tcPr>
                            <w:tcW w:w="678" w:type="dxa"/>
                            <w:shd w:val="clear" w:color="auto" w:fill="CCEDFF"/>
                          </w:tcPr>
                          <w:p>
                            <w:pPr>
                              <w:pStyle w:val="TableParagraph"/>
                              <w:spacing w:before="7"/>
                              <w:rPr>
                                <w:i/>
                                <w:sz w:val="16"/>
                              </w:rPr>
                            </w:pPr>
                          </w:p>
                          <w:p>
                            <w:pPr>
                              <w:pStyle w:val="TableParagraph"/>
                              <w:ind w:left="416"/>
                              <w:rPr>
                                <w:sz w:val="16"/>
                              </w:rPr>
                            </w:pPr>
                            <w:r>
                              <w:rPr>
                                <w:spacing w:val="-10"/>
                                <w:sz w:val="16"/>
                              </w:rPr>
                              <w:t>—</w:t>
                            </w:r>
                          </w:p>
                        </w:tc>
                        <w:tc>
                          <w:tcPr>
                            <w:tcW w:w="608" w:type="dxa"/>
                            <w:shd w:val="clear" w:color="auto" w:fill="CCEDFF"/>
                          </w:tcPr>
                          <w:p>
                            <w:pPr>
                              <w:pStyle w:val="TableParagraph"/>
                              <w:spacing w:before="7"/>
                              <w:rPr>
                                <w:i/>
                                <w:sz w:val="16"/>
                              </w:rPr>
                            </w:pPr>
                          </w:p>
                          <w:p>
                            <w:pPr>
                              <w:pStyle w:val="TableParagraph"/>
                              <w:ind w:right="38"/>
                              <w:jc w:val="right"/>
                              <w:rPr>
                                <w:sz w:val="16"/>
                              </w:rPr>
                            </w:pPr>
                            <w:r>
                              <w:rPr>
                                <w:spacing w:val="-4"/>
                                <w:sz w:val="16"/>
                              </w:rPr>
                              <w:t>(13)</w:t>
                            </w:r>
                          </w:p>
                        </w:tc>
                        <w:tc>
                          <w:tcPr>
                            <w:tcW w:w="636" w:type="dxa"/>
                            <w:shd w:val="clear" w:color="auto" w:fill="CCEDFF"/>
                          </w:tcPr>
                          <w:p>
                            <w:pPr>
                              <w:pStyle w:val="TableParagraph"/>
                              <w:spacing w:before="7"/>
                              <w:rPr>
                                <w:i/>
                                <w:sz w:val="16"/>
                              </w:rPr>
                            </w:pPr>
                          </w:p>
                          <w:p>
                            <w:pPr>
                              <w:pStyle w:val="TableParagraph"/>
                              <w:ind w:left="405"/>
                              <w:rPr>
                                <w:sz w:val="16"/>
                              </w:rPr>
                            </w:pPr>
                            <w:r>
                              <w:rPr>
                                <w:spacing w:val="-10"/>
                                <w:sz w:val="16"/>
                              </w:rPr>
                              <w:t>—</w:t>
                            </w:r>
                          </w:p>
                        </w:tc>
                        <w:tc>
                          <w:tcPr>
                            <w:tcW w:w="869" w:type="dxa"/>
                            <w:shd w:val="clear" w:color="auto" w:fill="CCEDFF"/>
                          </w:tcPr>
                          <w:p>
                            <w:pPr>
                              <w:pStyle w:val="TableParagraph"/>
                              <w:spacing w:before="7"/>
                              <w:rPr>
                                <w:i/>
                                <w:sz w:val="16"/>
                              </w:rPr>
                            </w:pPr>
                          </w:p>
                          <w:p>
                            <w:pPr>
                              <w:pStyle w:val="TableParagraph"/>
                              <w:ind w:right="97"/>
                              <w:jc w:val="right"/>
                              <w:rPr>
                                <w:sz w:val="16"/>
                              </w:rPr>
                            </w:pPr>
                            <w:r>
                              <w:rPr>
                                <w:spacing w:val="-10"/>
                                <w:sz w:val="16"/>
                              </w:rPr>
                              <w:t>—</w:t>
                            </w:r>
                          </w:p>
                        </w:tc>
                        <w:tc>
                          <w:tcPr>
                            <w:tcW w:w="736" w:type="dxa"/>
                            <w:shd w:val="clear" w:color="auto" w:fill="CCEDFF"/>
                          </w:tcPr>
                          <w:p>
                            <w:pPr>
                              <w:pStyle w:val="TableParagraph"/>
                              <w:spacing w:before="7"/>
                              <w:rPr>
                                <w:i/>
                                <w:sz w:val="16"/>
                              </w:rPr>
                            </w:pPr>
                          </w:p>
                          <w:p>
                            <w:pPr>
                              <w:pStyle w:val="TableParagraph"/>
                              <w:ind w:right="98"/>
                              <w:jc w:val="right"/>
                              <w:rPr>
                                <w:sz w:val="16"/>
                              </w:rPr>
                            </w:pPr>
                            <w:r>
                              <w:rPr>
                                <w:spacing w:val="-10"/>
                                <w:sz w:val="16"/>
                              </w:rPr>
                              <w:t>—</w:t>
                            </w:r>
                          </w:p>
                        </w:tc>
                        <w:tc>
                          <w:tcPr>
                            <w:tcW w:w="2057" w:type="dxa"/>
                            <w:shd w:val="clear" w:color="auto" w:fill="CCEDFF"/>
                          </w:tcPr>
                          <w:p>
                            <w:pPr>
                              <w:pStyle w:val="TableParagraph"/>
                              <w:spacing w:before="7"/>
                              <w:rPr>
                                <w:i/>
                                <w:sz w:val="16"/>
                              </w:rPr>
                            </w:pPr>
                          </w:p>
                          <w:p>
                            <w:pPr>
                              <w:pStyle w:val="TableParagraph"/>
                              <w:tabs>
                                <w:tab w:pos="1629" w:val="left" w:leader="none"/>
                              </w:tabs>
                              <w:ind w:left="474"/>
                              <w:rPr>
                                <w:sz w:val="16"/>
                              </w:rPr>
                            </w:pPr>
                            <w:r>
                              <w:rPr>
                                <w:spacing w:val="-10"/>
                                <w:sz w:val="16"/>
                              </w:rPr>
                              <w:t>—</w:t>
                            </w:r>
                            <w:r>
                              <w:rPr>
                                <w:sz w:val="16"/>
                              </w:rPr>
                              <w:tab/>
                            </w:r>
                            <w:r>
                              <w:rPr>
                                <w:spacing w:val="-10"/>
                                <w:sz w:val="16"/>
                              </w:rPr>
                              <w:t>—</w:t>
                            </w:r>
                          </w:p>
                        </w:tc>
                        <w:tc>
                          <w:tcPr>
                            <w:tcW w:w="584" w:type="dxa"/>
                            <w:shd w:val="clear" w:color="auto" w:fill="CCEDFF"/>
                          </w:tcPr>
                          <w:p>
                            <w:pPr>
                              <w:pStyle w:val="TableParagraph"/>
                              <w:spacing w:before="7"/>
                              <w:rPr>
                                <w:i/>
                                <w:sz w:val="16"/>
                              </w:rPr>
                            </w:pPr>
                          </w:p>
                          <w:p>
                            <w:pPr>
                              <w:pStyle w:val="TableParagraph"/>
                              <w:ind w:right="84"/>
                              <w:jc w:val="right"/>
                              <w:rPr>
                                <w:sz w:val="16"/>
                              </w:rPr>
                            </w:pPr>
                            <w:r>
                              <w:rPr>
                                <w:spacing w:val="-10"/>
                                <w:sz w:val="16"/>
                              </w:rPr>
                              <w:t>—</w:t>
                            </w:r>
                          </w:p>
                        </w:tc>
                      </w:tr>
                      <w:tr>
                        <w:trPr>
                          <w:trHeight w:val="255" w:hRule="atLeast"/>
                        </w:trPr>
                        <w:tc>
                          <w:tcPr>
                            <w:tcW w:w="3125" w:type="dxa"/>
                          </w:tcPr>
                          <w:p>
                            <w:pPr>
                              <w:pStyle w:val="TableParagraph"/>
                              <w:spacing w:before="41"/>
                              <w:ind w:left="52"/>
                              <w:rPr>
                                <w:sz w:val="16"/>
                              </w:rPr>
                            </w:pPr>
                            <w:r>
                              <w:rPr>
                                <w:sz w:val="16"/>
                              </w:rPr>
                              <w:t>Stock</w:t>
                            </w:r>
                            <w:r>
                              <w:rPr>
                                <w:spacing w:val="-1"/>
                                <w:sz w:val="16"/>
                              </w:rPr>
                              <w:t> </w:t>
                            </w:r>
                            <w:r>
                              <w:rPr>
                                <w:sz w:val="16"/>
                              </w:rPr>
                              <w:t>option exercises</w:t>
                            </w:r>
                            <w:r>
                              <w:rPr>
                                <w:spacing w:val="-2"/>
                                <w:sz w:val="16"/>
                              </w:rPr>
                              <w:t> </w:t>
                            </w:r>
                            <w:r>
                              <w:rPr>
                                <w:sz w:val="16"/>
                              </w:rPr>
                              <w:t>and </w:t>
                            </w:r>
                            <w:r>
                              <w:rPr>
                                <w:spacing w:val="-2"/>
                                <w:sz w:val="16"/>
                              </w:rPr>
                              <w:t>other</w:t>
                            </w:r>
                          </w:p>
                        </w:tc>
                        <w:tc>
                          <w:tcPr>
                            <w:tcW w:w="804" w:type="dxa"/>
                          </w:tcPr>
                          <w:p>
                            <w:pPr>
                              <w:pStyle w:val="TableParagraph"/>
                              <w:spacing w:before="41"/>
                              <w:ind w:left="531"/>
                              <w:rPr>
                                <w:sz w:val="16"/>
                              </w:rPr>
                            </w:pPr>
                            <w:r>
                              <w:rPr>
                                <w:spacing w:val="-10"/>
                                <w:sz w:val="16"/>
                              </w:rPr>
                              <w:t>—</w:t>
                            </w:r>
                          </w:p>
                        </w:tc>
                        <w:tc>
                          <w:tcPr>
                            <w:tcW w:w="541" w:type="dxa"/>
                          </w:tcPr>
                          <w:p>
                            <w:pPr>
                              <w:pStyle w:val="TableParagraph"/>
                              <w:spacing w:before="41"/>
                              <w:ind w:right="66"/>
                              <w:jc w:val="right"/>
                              <w:rPr>
                                <w:sz w:val="16"/>
                              </w:rPr>
                            </w:pPr>
                            <w:r>
                              <w:rPr>
                                <w:spacing w:val="-10"/>
                                <w:sz w:val="16"/>
                              </w:rPr>
                              <w:t>—</w:t>
                            </w:r>
                          </w:p>
                        </w:tc>
                        <w:tc>
                          <w:tcPr>
                            <w:tcW w:w="678" w:type="dxa"/>
                          </w:tcPr>
                          <w:p>
                            <w:pPr>
                              <w:pStyle w:val="TableParagraph"/>
                              <w:spacing w:before="41"/>
                              <w:ind w:left="416"/>
                              <w:rPr>
                                <w:sz w:val="16"/>
                              </w:rPr>
                            </w:pPr>
                            <w:r>
                              <w:rPr>
                                <w:spacing w:val="-10"/>
                                <w:sz w:val="16"/>
                              </w:rPr>
                              <w:t>—</w:t>
                            </w:r>
                          </w:p>
                        </w:tc>
                        <w:tc>
                          <w:tcPr>
                            <w:tcW w:w="608" w:type="dxa"/>
                          </w:tcPr>
                          <w:p>
                            <w:pPr>
                              <w:pStyle w:val="TableParagraph"/>
                              <w:spacing w:before="41"/>
                              <w:ind w:left="353"/>
                              <w:rPr>
                                <w:sz w:val="16"/>
                              </w:rPr>
                            </w:pPr>
                            <w:r>
                              <w:rPr>
                                <w:spacing w:val="-10"/>
                                <w:sz w:val="16"/>
                              </w:rPr>
                              <w:t>—</w:t>
                            </w:r>
                          </w:p>
                        </w:tc>
                        <w:tc>
                          <w:tcPr>
                            <w:tcW w:w="636" w:type="dxa"/>
                          </w:tcPr>
                          <w:p>
                            <w:pPr>
                              <w:pStyle w:val="TableParagraph"/>
                              <w:spacing w:before="41"/>
                              <w:ind w:left="405"/>
                              <w:rPr>
                                <w:sz w:val="16"/>
                              </w:rPr>
                            </w:pPr>
                            <w:r>
                              <w:rPr>
                                <w:spacing w:val="-10"/>
                                <w:sz w:val="16"/>
                              </w:rPr>
                              <w:t>—</w:t>
                            </w:r>
                          </w:p>
                        </w:tc>
                        <w:tc>
                          <w:tcPr>
                            <w:tcW w:w="869" w:type="dxa"/>
                          </w:tcPr>
                          <w:p>
                            <w:pPr>
                              <w:pStyle w:val="TableParagraph"/>
                              <w:spacing w:before="41"/>
                              <w:ind w:left="556"/>
                              <w:rPr>
                                <w:sz w:val="16"/>
                              </w:rPr>
                            </w:pPr>
                            <w:r>
                              <w:rPr>
                                <w:spacing w:val="-4"/>
                                <w:sz w:val="16"/>
                              </w:rPr>
                              <w:t>(12)</w:t>
                            </w:r>
                          </w:p>
                        </w:tc>
                        <w:tc>
                          <w:tcPr>
                            <w:tcW w:w="736" w:type="dxa"/>
                          </w:tcPr>
                          <w:p>
                            <w:pPr>
                              <w:pStyle w:val="TableParagraph"/>
                              <w:spacing w:before="41"/>
                              <w:ind w:right="98"/>
                              <w:jc w:val="right"/>
                              <w:rPr>
                                <w:sz w:val="16"/>
                              </w:rPr>
                            </w:pPr>
                            <w:r>
                              <w:rPr>
                                <w:spacing w:val="-10"/>
                                <w:sz w:val="16"/>
                              </w:rPr>
                              <w:t>—</w:t>
                            </w:r>
                          </w:p>
                        </w:tc>
                        <w:tc>
                          <w:tcPr>
                            <w:tcW w:w="2057" w:type="dxa"/>
                          </w:tcPr>
                          <w:p>
                            <w:pPr>
                              <w:pStyle w:val="TableParagraph"/>
                              <w:tabs>
                                <w:tab w:pos="1629" w:val="left" w:leader="none"/>
                              </w:tabs>
                              <w:spacing w:before="41"/>
                              <w:ind w:left="474"/>
                              <w:rPr>
                                <w:sz w:val="16"/>
                              </w:rPr>
                            </w:pPr>
                            <w:r>
                              <w:rPr>
                                <w:spacing w:val="-5"/>
                                <w:sz w:val="16"/>
                              </w:rPr>
                              <w:t>21</w:t>
                            </w:r>
                            <w:r>
                              <w:rPr>
                                <w:sz w:val="16"/>
                              </w:rPr>
                              <w:tab/>
                            </w:r>
                            <w:r>
                              <w:rPr>
                                <w:spacing w:val="-10"/>
                                <w:sz w:val="16"/>
                              </w:rPr>
                              <w:t>—</w:t>
                            </w:r>
                          </w:p>
                        </w:tc>
                        <w:tc>
                          <w:tcPr>
                            <w:tcW w:w="584" w:type="dxa"/>
                          </w:tcPr>
                          <w:p>
                            <w:pPr>
                              <w:pStyle w:val="TableParagraph"/>
                              <w:spacing w:before="41"/>
                              <w:ind w:right="84"/>
                              <w:jc w:val="right"/>
                              <w:rPr>
                                <w:sz w:val="16"/>
                              </w:rPr>
                            </w:pPr>
                            <w:r>
                              <w:rPr>
                                <w:spacing w:val="-10"/>
                                <w:sz w:val="16"/>
                              </w:rPr>
                              <w:t>9</w:t>
                            </w:r>
                          </w:p>
                        </w:tc>
                      </w:tr>
                      <w:tr>
                        <w:trPr>
                          <w:trHeight w:val="255" w:hRule="atLeast"/>
                        </w:trPr>
                        <w:tc>
                          <w:tcPr>
                            <w:tcW w:w="3125" w:type="dxa"/>
                            <w:shd w:val="clear" w:color="auto" w:fill="CCEDFF"/>
                          </w:tcPr>
                          <w:p>
                            <w:pPr>
                              <w:pStyle w:val="TableParagraph"/>
                              <w:spacing w:before="41"/>
                              <w:ind w:left="52"/>
                              <w:rPr>
                                <w:sz w:val="16"/>
                              </w:rPr>
                            </w:pPr>
                            <w:r>
                              <w:rPr>
                                <w:sz w:val="16"/>
                              </w:rPr>
                              <w:t>Share-based</w:t>
                            </w:r>
                            <w:r>
                              <w:rPr>
                                <w:spacing w:val="-2"/>
                                <w:sz w:val="16"/>
                              </w:rPr>
                              <w:t> compensation</w:t>
                            </w:r>
                          </w:p>
                        </w:tc>
                        <w:tc>
                          <w:tcPr>
                            <w:tcW w:w="804" w:type="dxa"/>
                            <w:shd w:val="clear" w:color="auto" w:fill="CCEDFF"/>
                          </w:tcPr>
                          <w:p>
                            <w:pPr>
                              <w:pStyle w:val="TableParagraph"/>
                              <w:spacing w:before="41"/>
                              <w:ind w:left="531"/>
                              <w:rPr>
                                <w:sz w:val="16"/>
                              </w:rPr>
                            </w:pPr>
                            <w:r>
                              <w:rPr>
                                <w:spacing w:val="-10"/>
                                <w:sz w:val="16"/>
                              </w:rPr>
                              <w:t>—</w:t>
                            </w:r>
                          </w:p>
                        </w:tc>
                        <w:tc>
                          <w:tcPr>
                            <w:tcW w:w="541" w:type="dxa"/>
                            <w:shd w:val="clear" w:color="auto" w:fill="CCEDFF"/>
                          </w:tcPr>
                          <w:p>
                            <w:pPr>
                              <w:pStyle w:val="TableParagraph"/>
                              <w:spacing w:before="41"/>
                              <w:ind w:right="66"/>
                              <w:jc w:val="right"/>
                              <w:rPr>
                                <w:sz w:val="16"/>
                              </w:rPr>
                            </w:pPr>
                            <w:r>
                              <w:rPr>
                                <w:spacing w:val="-10"/>
                                <w:sz w:val="16"/>
                              </w:rPr>
                              <w:t>—</w:t>
                            </w:r>
                          </w:p>
                        </w:tc>
                        <w:tc>
                          <w:tcPr>
                            <w:tcW w:w="678" w:type="dxa"/>
                            <w:shd w:val="clear" w:color="auto" w:fill="CCEDFF"/>
                          </w:tcPr>
                          <w:p>
                            <w:pPr>
                              <w:pStyle w:val="TableParagraph"/>
                              <w:spacing w:before="41"/>
                              <w:ind w:left="416"/>
                              <w:rPr>
                                <w:sz w:val="16"/>
                              </w:rPr>
                            </w:pPr>
                            <w:r>
                              <w:rPr>
                                <w:spacing w:val="-10"/>
                                <w:sz w:val="16"/>
                              </w:rPr>
                              <w:t>—</w:t>
                            </w:r>
                          </w:p>
                        </w:tc>
                        <w:tc>
                          <w:tcPr>
                            <w:tcW w:w="608" w:type="dxa"/>
                            <w:shd w:val="clear" w:color="auto" w:fill="CCEDFF"/>
                          </w:tcPr>
                          <w:p>
                            <w:pPr>
                              <w:pStyle w:val="TableParagraph"/>
                              <w:spacing w:before="41"/>
                              <w:ind w:left="353"/>
                              <w:rPr>
                                <w:sz w:val="16"/>
                              </w:rPr>
                            </w:pPr>
                            <w:r>
                              <w:rPr>
                                <w:spacing w:val="-10"/>
                                <w:sz w:val="16"/>
                              </w:rPr>
                              <w:t>—</w:t>
                            </w:r>
                          </w:p>
                        </w:tc>
                        <w:tc>
                          <w:tcPr>
                            <w:tcW w:w="636" w:type="dxa"/>
                            <w:shd w:val="clear" w:color="auto" w:fill="CCEDFF"/>
                          </w:tcPr>
                          <w:p>
                            <w:pPr>
                              <w:pStyle w:val="TableParagraph"/>
                              <w:spacing w:before="41"/>
                              <w:ind w:left="405"/>
                              <w:rPr>
                                <w:sz w:val="16"/>
                              </w:rPr>
                            </w:pPr>
                            <w:r>
                              <w:rPr>
                                <w:spacing w:val="-10"/>
                                <w:sz w:val="16"/>
                              </w:rPr>
                              <w:t>—</w:t>
                            </w:r>
                          </w:p>
                        </w:tc>
                        <w:tc>
                          <w:tcPr>
                            <w:tcW w:w="869" w:type="dxa"/>
                            <w:shd w:val="clear" w:color="auto" w:fill="CCEDFF"/>
                          </w:tcPr>
                          <w:p>
                            <w:pPr>
                              <w:pStyle w:val="TableParagraph"/>
                              <w:spacing w:before="41"/>
                              <w:ind w:right="97"/>
                              <w:jc w:val="right"/>
                              <w:rPr>
                                <w:sz w:val="16"/>
                              </w:rPr>
                            </w:pPr>
                            <w:r>
                              <w:rPr>
                                <w:spacing w:val="-5"/>
                                <w:sz w:val="16"/>
                              </w:rPr>
                              <w:t>50</w:t>
                            </w:r>
                          </w:p>
                        </w:tc>
                        <w:tc>
                          <w:tcPr>
                            <w:tcW w:w="736" w:type="dxa"/>
                            <w:shd w:val="clear" w:color="auto" w:fill="CCEDFF"/>
                          </w:tcPr>
                          <w:p>
                            <w:pPr>
                              <w:pStyle w:val="TableParagraph"/>
                              <w:spacing w:before="41"/>
                              <w:ind w:right="98"/>
                              <w:jc w:val="right"/>
                              <w:rPr>
                                <w:sz w:val="16"/>
                              </w:rPr>
                            </w:pPr>
                            <w:r>
                              <w:rPr>
                                <w:spacing w:val="-10"/>
                                <w:sz w:val="16"/>
                              </w:rPr>
                              <w:t>—</w:t>
                            </w:r>
                          </w:p>
                        </w:tc>
                        <w:tc>
                          <w:tcPr>
                            <w:tcW w:w="2057" w:type="dxa"/>
                            <w:shd w:val="clear" w:color="auto" w:fill="CCEDFF"/>
                          </w:tcPr>
                          <w:p>
                            <w:pPr>
                              <w:pStyle w:val="TableParagraph"/>
                              <w:tabs>
                                <w:tab w:pos="1629" w:val="left" w:leader="none"/>
                              </w:tabs>
                              <w:spacing w:before="41"/>
                              <w:ind w:left="474"/>
                              <w:rPr>
                                <w:sz w:val="16"/>
                              </w:rPr>
                            </w:pPr>
                            <w:r>
                              <w:rPr>
                                <w:spacing w:val="-10"/>
                                <w:sz w:val="16"/>
                              </w:rPr>
                              <w:t>—</w:t>
                            </w:r>
                            <w:r>
                              <w:rPr>
                                <w:sz w:val="16"/>
                              </w:rPr>
                              <w:tab/>
                            </w:r>
                            <w:r>
                              <w:rPr>
                                <w:spacing w:val="-10"/>
                                <w:sz w:val="16"/>
                              </w:rPr>
                              <w:t>—</w:t>
                            </w:r>
                          </w:p>
                        </w:tc>
                        <w:tc>
                          <w:tcPr>
                            <w:tcW w:w="584" w:type="dxa"/>
                            <w:shd w:val="clear" w:color="auto" w:fill="CCEDFF"/>
                          </w:tcPr>
                          <w:p>
                            <w:pPr>
                              <w:pStyle w:val="TableParagraph"/>
                              <w:spacing w:before="41"/>
                              <w:ind w:right="84"/>
                              <w:jc w:val="right"/>
                              <w:rPr>
                                <w:sz w:val="16"/>
                              </w:rPr>
                            </w:pPr>
                            <w:r>
                              <w:rPr>
                                <w:spacing w:val="-5"/>
                                <w:sz w:val="16"/>
                              </w:rPr>
                              <w:t>50</w:t>
                            </w:r>
                          </w:p>
                        </w:tc>
                      </w:tr>
                      <w:tr>
                        <w:trPr>
                          <w:trHeight w:val="250" w:hRule="atLeast"/>
                        </w:trPr>
                        <w:tc>
                          <w:tcPr>
                            <w:tcW w:w="3125" w:type="dxa"/>
                            <w:tcBorders>
                              <w:bottom w:val="single" w:sz="4" w:space="0" w:color="000000"/>
                            </w:tcBorders>
                          </w:tcPr>
                          <w:p>
                            <w:pPr>
                              <w:pStyle w:val="TableParagraph"/>
                              <w:spacing w:before="41"/>
                              <w:ind w:left="52"/>
                              <w:rPr>
                                <w:sz w:val="16"/>
                              </w:rPr>
                            </w:pPr>
                            <w:r>
                              <w:rPr>
                                <w:spacing w:val="-2"/>
                                <w:sz w:val="16"/>
                              </w:rPr>
                              <w:t>Other</w:t>
                            </w:r>
                          </w:p>
                        </w:tc>
                        <w:tc>
                          <w:tcPr>
                            <w:tcW w:w="804" w:type="dxa"/>
                            <w:tcBorders>
                              <w:bottom w:val="single" w:sz="4" w:space="0" w:color="000000"/>
                            </w:tcBorders>
                          </w:tcPr>
                          <w:p>
                            <w:pPr>
                              <w:pStyle w:val="TableParagraph"/>
                              <w:spacing w:before="41"/>
                              <w:ind w:left="531"/>
                              <w:rPr>
                                <w:sz w:val="16"/>
                              </w:rPr>
                            </w:pPr>
                            <w:r>
                              <w:rPr>
                                <w:spacing w:val="-10"/>
                                <w:sz w:val="16"/>
                              </w:rPr>
                              <w:t>—</w:t>
                            </w:r>
                          </w:p>
                        </w:tc>
                        <w:tc>
                          <w:tcPr>
                            <w:tcW w:w="541" w:type="dxa"/>
                            <w:tcBorders>
                              <w:bottom w:val="single" w:sz="4" w:space="0" w:color="000000"/>
                            </w:tcBorders>
                          </w:tcPr>
                          <w:p>
                            <w:pPr>
                              <w:pStyle w:val="TableParagraph"/>
                              <w:spacing w:before="41"/>
                              <w:ind w:right="66"/>
                              <w:jc w:val="right"/>
                              <w:rPr>
                                <w:sz w:val="16"/>
                              </w:rPr>
                            </w:pPr>
                            <w:r>
                              <w:rPr>
                                <w:spacing w:val="-10"/>
                                <w:sz w:val="16"/>
                              </w:rPr>
                              <w:t>—</w:t>
                            </w:r>
                          </w:p>
                        </w:tc>
                        <w:tc>
                          <w:tcPr>
                            <w:tcW w:w="678" w:type="dxa"/>
                            <w:tcBorders>
                              <w:bottom w:val="single" w:sz="4" w:space="0" w:color="000000"/>
                            </w:tcBorders>
                          </w:tcPr>
                          <w:p>
                            <w:pPr>
                              <w:pStyle w:val="TableParagraph"/>
                              <w:spacing w:before="41"/>
                              <w:ind w:left="416"/>
                              <w:rPr>
                                <w:sz w:val="16"/>
                              </w:rPr>
                            </w:pPr>
                            <w:r>
                              <w:rPr>
                                <w:spacing w:val="-10"/>
                                <w:sz w:val="16"/>
                              </w:rPr>
                              <w:t>—</w:t>
                            </w:r>
                          </w:p>
                        </w:tc>
                        <w:tc>
                          <w:tcPr>
                            <w:tcW w:w="608" w:type="dxa"/>
                            <w:tcBorders>
                              <w:bottom w:val="single" w:sz="4" w:space="0" w:color="000000"/>
                            </w:tcBorders>
                          </w:tcPr>
                          <w:p>
                            <w:pPr>
                              <w:pStyle w:val="TableParagraph"/>
                              <w:spacing w:before="41"/>
                              <w:ind w:left="353"/>
                              <w:rPr>
                                <w:sz w:val="16"/>
                              </w:rPr>
                            </w:pPr>
                            <w:r>
                              <w:rPr>
                                <w:spacing w:val="-10"/>
                                <w:sz w:val="16"/>
                              </w:rPr>
                              <w:t>—</w:t>
                            </w:r>
                          </w:p>
                        </w:tc>
                        <w:tc>
                          <w:tcPr>
                            <w:tcW w:w="636" w:type="dxa"/>
                            <w:tcBorders>
                              <w:bottom w:val="single" w:sz="4" w:space="0" w:color="000000"/>
                            </w:tcBorders>
                          </w:tcPr>
                          <w:p>
                            <w:pPr>
                              <w:pStyle w:val="TableParagraph"/>
                              <w:spacing w:before="41"/>
                              <w:ind w:left="405"/>
                              <w:rPr>
                                <w:sz w:val="16"/>
                              </w:rPr>
                            </w:pPr>
                            <w:r>
                              <w:rPr>
                                <w:spacing w:val="-10"/>
                                <w:sz w:val="16"/>
                              </w:rPr>
                              <w:t>—</w:t>
                            </w:r>
                          </w:p>
                        </w:tc>
                        <w:tc>
                          <w:tcPr>
                            <w:tcW w:w="869" w:type="dxa"/>
                            <w:tcBorders>
                              <w:bottom w:val="single" w:sz="4" w:space="0" w:color="000000"/>
                            </w:tcBorders>
                          </w:tcPr>
                          <w:p>
                            <w:pPr>
                              <w:pStyle w:val="TableParagraph"/>
                              <w:spacing w:before="41"/>
                              <w:ind w:right="97"/>
                              <w:jc w:val="right"/>
                              <w:rPr>
                                <w:sz w:val="16"/>
                              </w:rPr>
                            </w:pPr>
                            <w:r>
                              <w:rPr>
                                <w:spacing w:val="-5"/>
                                <w:sz w:val="16"/>
                              </w:rPr>
                              <w:t>19</w:t>
                            </w:r>
                          </w:p>
                        </w:tc>
                        <w:tc>
                          <w:tcPr>
                            <w:tcW w:w="736" w:type="dxa"/>
                            <w:tcBorders>
                              <w:bottom w:val="single" w:sz="4" w:space="0" w:color="000000"/>
                            </w:tcBorders>
                          </w:tcPr>
                          <w:p>
                            <w:pPr>
                              <w:pStyle w:val="TableParagraph"/>
                              <w:spacing w:before="41"/>
                              <w:ind w:right="98"/>
                              <w:jc w:val="right"/>
                              <w:rPr>
                                <w:sz w:val="16"/>
                              </w:rPr>
                            </w:pPr>
                            <w:r>
                              <w:rPr>
                                <w:spacing w:val="-10"/>
                                <w:sz w:val="16"/>
                              </w:rPr>
                              <w:t>—</w:t>
                            </w:r>
                          </w:p>
                        </w:tc>
                        <w:tc>
                          <w:tcPr>
                            <w:tcW w:w="2057" w:type="dxa"/>
                            <w:tcBorders>
                              <w:bottom w:val="single" w:sz="4" w:space="0" w:color="000000"/>
                            </w:tcBorders>
                          </w:tcPr>
                          <w:p>
                            <w:pPr>
                              <w:pStyle w:val="TableParagraph"/>
                              <w:tabs>
                                <w:tab w:pos="1629" w:val="left" w:leader="none"/>
                              </w:tabs>
                              <w:spacing w:before="41"/>
                              <w:ind w:left="474"/>
                              <w:rPr>
                                <w:sz w:val="16"/>
                              </w:rPr>
                            </w:pPr>
                            <w:r>
                              <w:rPr>
                                <w:spacing w:val="-10"/>
                                <w:sz w:val="16"/>
                              </w:rPr>
                              <w:t>—</w:t>
                            </w:r>
                            <w:r>
                              <w:rPr>
                                <w:sz w:val="16"/>
                              </w:rPr>
                              <w:tab/>
                            </w:r>
                            <w:r>
                              <w:rPr>
                                <w:spacing w:val="-10"/>
                                <w:sz w:val="16"/>
                              </w:rPr>
                              <w:t>—</w:t>
                            </w:r>
                          </w:p>
                        </w:tc>
                        <w:tc>
                          <w:tcPr>
                            <w:tcW w:w="584" w:type="dxa"/>
                            <w:tcBorders>
                              <w:bottom w:val="single" w:sz="4" w:space="0" w:color="000000"/>
                            </w:tcBorders>
                          </w:tcPr>
                          <w:p>
                            <w:pPr>
                              <w:pStyle w:val="TableParagraph"/>
                              <w:spacing w:before="41"/>
                              <w:ind w:right="84"/>
                              <w:jc w:val="right"/>
                              <w:rPr>
                                <w:sz w:val="16"/>
                              </w:rPr>
                            </w:pPr>
                            <w:r>
                              <w:rPr>
                                <w:spacing w:val="-5"/>
                                <w:sz w:val="16"/>
                              </w:rPr>
                              <w:t>19</w:t>
                            </w:r>
                          </w:p>
                        </w:tc>
                      </w:tr>
                      <w:tr>
                        <w:trPr>
                          <w:trHeight w:val="220" w:hRule="atLeast"/>
                        </w:trPr>
                        <w:tc>
                          <w:tcPr>
                            <w:tcW w:w="3125" w:type="dxa"/>
                            <w:tcBorders>
                              <w:top w:val="single" w:sz="4" w:space="0" w:color="000000"/>
                              <w:bottom w:val="double" w:sz="8" w:space="0" w:color="000000"/>
                            </w:tcBorders>
                            <w:shd w:val="clear" w:color="auto" w:fill="CCEDFF"/>
                          </w:tcPr>
                          <w:p>
                            <w:pPr>
                              <w:pStyle w:val="TableParagraph"/>
                              <w:spacing w:line="164" w:lineRule="exact" w:before="36"/>
                              <w:ind w:left="52"/>
                              <w:rPr>
                                <w:sz w:val="16"/>
                              </w:rPr>
                            </w:pPr>
                            <w:r>
                              <w:rPr>
                                <w:sz w:val="16"/>
                              </w:rPr>
                              <w:t>Balance</w:t>
                            </w:r>
                            <w:r>
                              <w:rPr>
                                <w:spacing w:val="-1"/>
                                <w:sz w:val="16"/>
                              </w:rPr>
                              <w:t> </w:t>
                            </w:r>
                            <w:r>
                              <w:rPr>
                                <w:sz w:val="16"/>
                              </w:rPr>
                              <w:t>at September 30, </w:t>
                            </w:r>
                            <w:r>
                              <w:rPr>
                                <w:spacing w:val="-4"/>
                                <w:sz w:val="16"/>
                              </w:rPr>
                              <w:t>2022</w:t>
                            </w:r>
                          </w:p>
                        </w:tc>
                        <w:tc>
                          <w:tcPr>
                            <w:tcW w:w="804" w:type="dxa"/>
                            <w:tcBorders>
                              <w:top w:val="single" w:sz="4" w:space="0" w:color="000000"/>
                              <w:bottom w:val="double" w:sz="8" w:space="0" w:color="000000"/>
                            </w:tcBorders>
                            <w:shd w:val="clear" w:color="auto" w:fill="CCEDFF"/>
                          </w:tcPr>
                          <w:p>
                            <w:pPr>
                              <w:pStyle w:val="TableParagraph"/>
                              <w:spacing w:line="164" w:lineRule="exact" w:before="36"/>
                              <w:ind w:left="107"/>
                              <w:rPr>
                                <w:sz w:val="16"/>
                              </w:rPr>
                            </w:pPr>
                            <w:r>
                              <w:rPr>
                                <w:sz w:val="16"/>
                              </w:rPr>
                              <w:t>$</w:t>
                            </w:r>
                            <w:r>
                              <w:rPr>
                                <w:spacing w:val="24"/>
                                <w:sz w:val="16"/>
                              </w:rPr>
                              <w:t> </w:t>
                            </w:r>
                            <w:r>
                              <w:rPr>
                                <w:spacing w:val="-2"/>
                                <w:sz w:val="16"/>
                              </w:rPr>
                              <w:t>10,297</w:t>
                            </w:r>
                          </w:p>
                        </w:tc>
                        <w:tc>
                          <w:tcPr>
                            <w:tcW w:w="541" w:type="dxa"/>
                            <w:tcBorders>
                              <w:top w:val="single" w:sz="4" w:space="0" w:color="000000"/>
                              <w:bottom w:val="double" w:sz="8" w:space="0" w:color="000000"/>
                            </w:tcBorders>
                            <w:shd w:val="clear" w:color="auto" w:fill="CCEDFF"/>
                          </w:tcPr>
                          <w:p>
                            <w:pPr>
                              <w:pStyle w:val="TableParagraph"/>
                              <w:spacing w:line="164" w:lineRule="exact" w:before="36"/>
                              <w:ind w:right="66"/>
                              <w:jc w:val="right"/>
                              <w:rPr>
                                <w:sz w:val="16"/>
                              </w:rPr>
                            </w:pPr>
                            <w:r>
                              <w:rPr>
                                <w:spacing w:val="-2"/>
                                <w:sz w:val="16"/>
                              </w:rPr>
                              <w:t>2,023</w:t>
                            </w:r>
                          </w:p>
                        </w:tc>
                        <w:tc>
                          <w:tcPr>
                            <w:tcW w:w="678" w:type="dxa"/>
                            <w:tcBorders>
                              <w:top w:val="single" w:sz="4" w:space="0" w:color="000000"/>
                              <w:bottom w:val="double" w:sz="8" w:space="0" w:color="000000"/>
                            </w:tcBorders>
                            <w:shd w:val="clear" w:color="auto" w:fill="CCEDFF"/>
                          </w:tcPr>
                          <w:p>
                            <w:pPr>
                              <w:pStyle w:val="TableParagraph"/>
                              <w:tabs>
                                <w:tab w:pos="416" w:val="left" w:leader="none"/>
                              </w:tabs>
                              <w:spacing w:line="164" w:lineRule="exact" w:before="36"/>
                              <w:ind w:left="52"/>
                              <w:rPr>
                                <w:sz w:val="16"/>
                              </w:rPr>
                            </w:pPr>
                            <w:r>
                              <w:rPr>
                                <w:spacing w:val="-10"/>
                                <w:sz w:val="16"/>
                              </w:rPr>
                              <w:t>$</w:t>
                            </w:r>
                            <w:r>
                              <w:rPr>
                                <w:sz w:val="16"/>
                              </w:rPr>
                              <w:tab/>
                            </w:r>
                            <w:r>
                              <w:rPr>
                                <w:spacing w:val="-5"/>
                                <w:sz w:val="16"/>
                              </w:rPr>
                              <w:t>20</w:t>
                            </w:r>
                          </w:p>
                        </w:tc>
                        <w:tc>
                          <w:tcPr>
                            <w:tcW w:w="608" w:type="dxa"/>
                            <w:tcBorders>
                              <w:top w:val="single" w:sz="4" w:space="0" w:color="000000"/>
                              <w:bottom w:val="double" w:sz="8" w:space="0" w:color="000000"/>
                            </w:tcBorders>
                            <w:shd w:val="clear" w:color="auto" w:fill="CCEDFF"/>
                          </w:tcPr>
                          <w:p>
                            <w:pPr>
                              <w:pStyle w:val="TableParagraph"/>
                              <w:spacing w:line="164" w:lineRule="exact" w:before="36"/>
                              <w:ind w:left="353"/>
                              <w:rPr>
                                <w:sz w:val="16"/>
                              </w:rPr>
                            </w:pPr>
                            <w:r>
                              <w:rPr>
                                <w:spacing w:val="-5"/>
                                <w:sz w:val="16"/>
                              </w:rPr>
                              <w:t>51</w:t>
                            </w:r>
                          </w:p>
                        </w:tc>
                        <w:tc>
                          <w:tcPr>
                            <w:tcW w:w="636" w:type="dxa"/>
                            <w:tcBorders>
                              <w:top w:val="single" w:sz="4" w:space="0" w:color="000000"/>
                              <w:bottom w:val="double" w:sz="8" w:space="0" w:color="000000"/>
                            </w:tcBorders>
                            <w:shd w:val="clear" w:color="auto" w:fill="CCEDFF"/>
                          </w:tcPr>
                          <w:p>
                            <w:pPr>
                              <w:pStyle w:val="TableParagraph"/>
                              <w:tabs>
                                <w:tab w:pos="485" w:val="left" w:leader="none"/>
                              </w:tabs>
                              <w:spacing w:line="164" w:lineRule="exact" w:before="36"/>
                              <w:ind w:left="26"/>
                              <w:rPr>
                                <w:sz w:val="16"/>
                              </w:rPr>
                            </w:pPr>
                            <w:r>
                              <w:rPr>
                                <w:spacing w:val="-10"/>
                                <w:sz w:val="16"/>
                              </w:rPr>
                              <w:t>$</w:t>
                            </w:r>
                            <w:r>
                              <w:rPr>
                                <w:sz w:val="16"/>
                              </w:rPr>
                              <w:tab/>
                            </w:r>
                            <w:r>
                              <w:rPr>
                                <w:spacing w:val="-10"/>
                                <w:sz w:val="16"/>
                              </w:rPr>
                              <w:t>1</w:t>
                            </w:r>
                          </w:p>
                        </w:tc>
                        <w:tc>
                          <w:tcPr>
                            <w:tcW w:w="869" w:type="dxa"/>
                            <w:tcBorders>
                              <w:top w:val="single" w:sz="4" w:space="0" w:color="000000"/>
                              <w:bottom w:val="double" w:sz="8" w:space="0" w:color="000000"/>
                            </w:tcBorders>
                            <w:shd w:val="clear" w:color="auto" w:fill="CCEDFF"/>
                          </w:tcPr>
                          <w:p>
                            <w:pPr>
                              <w:pStyle w:val="TableParagraph"/>
                              <w:spacing w:line="164" w:lineRule="exact" w:before="36"/>
                              <w:ind w:left="50"/>
                              <w:rPr>
                                <w:sz w:val="16"/>
                              </w:rPr>
                            </w:pPr>
                            <w:r>
                              <w:rPr>
                                <w:sz w:val="16"/>
                              </w:rPr>
                              <w:t>$</w:t>
                            </w:r>
                            <w:r>
                              <w:rPr>
                                <w:spacing w:val="59"/>
                                <w:sz w:val="16"/>
                              </w:rPr>
                              <w:t>  </w:t>
                            </w:r>
                            <w:r>
                              <w:rPr>
                                <w:spacing w:val="-2"/>
                                <w:sz w:val="16"/>
                              </w:rPr>
                              <w:t>26,975</w:t>
                            </w:r>
                          </w:p>
                        </w:tc>
                        <w:tc>
                          <w:tcPr>
                            <w:tcW w:w="736" w:type="dxa"/>
                            <w:tcBorders>
                              <w:top w:val="single" w:sz="4" w:space="0" w:color="000000"/>
                              <w:bottom w:val="double" w:sz="8" w:space="0" w:color="000000"/>
                            </w:tcBorders>
                            <w:shd w:val="clear" w:color="auto" w:fill="CCEDFF"/>
                          </w:tcPr>
                          <w:p>
                            <w:pPr>
                              <w:pStyle w:val="TableParagraph"/>
                              <w:spacing w:line="164" w:lineRule="exact" w:before="36"/>
                              <w:ind w:left="21"/>
                              <w:rPr>
                                <w:sz w:val="16"/>
                              </w:rPr>
                            </w:pPr>
                            <w:r>
                              <w:rPr>
                                <w:sz w:val="16"/>
                              </w:rPr>
                              <w:t>$</w:t>
                            </w:r>
                            <w:r>
                              <w:rPr>
                                <w:spacing w:val="54"/>
                                <w:sz w:val="16"/>
                              </w:rPr>
                              <w:t> </w:t>
                            </w:r>
                            <w:r>
                              <w:rPr>
                                <w:spacing w:val="-2"/>
                                <w:sz w:val="16"/>
                              </w:rPr>
                              <w:t>29,651</w:t>
                            </w:r>
                          </w:p>
                        </w:tc>
                        <w:tc>
                          <w:tcPr>
                            <w:tcW w:w="2057" w:type="dxa"/>
                            <w:tcBorders>
                              <w:top w:val="single" w:sz="4" w:space="0" w:color="000000"/>
                              <w:bottom w:val="double" w:sz="8" w:space="0" w:color="000000"/>
                            </w:tcBorders>
                            <w:shd w:val="clear" w:color="auto" w:fill="CCEDFF"/>
                          </w:tcPr>
                          <w:p>
                            <w:pPr>
                              <w:pStyle w:val="TableParagraph"/>
                              <w:tabs>
                                <w:tab w:pos="1296" w:val="left" w:leader="none"/>
                              </w:tabs>
                              <w:spacing w:line="164" w:lineRule="exact" w:before="36"/>
                              <w:ind w:left="20"/>
                              <w:rPr>
                                <w:sz w:val="16"/>
                              </w:rPr>
                            </w:pPr>
                            <w:r>
                              <w:rPr>
                                <w:sz w:val="16"/>
                              </w:rPr>
                              <w:t>$</w:t>
                            </w:r>
                            <w:r>
                              <w:rPr>
                                <w:spacing w:val="60"/>
                                <w:w w:val="150"/>
                                <w:sz w:val="16"/>
                              </w:rPr>
                              <w:t> </w:t>
                            </w:r>
                            <w:r>
                              <w:rPr>
                                <w:sz w:val="16"/>
                              </w:rPr>
                              <w:t>(6,751)</w:t>
                            </w:r>
                            <w:r>
                              <w:rPr>
                                <w:spacing w:val="27"/>
                                <w:sz w:val="16"/>
                              </w:rPr>
                              <w:t> </w:t>
                            </w:r>
                            <w:r>
                              <w:rPr>
                                <w:spacing w:val="-10"/>
                                <w:sz w:val="16"/>
                              </w:rPr>
                              <w:t>$</w:t>
                            </w:r>
                            <w:r>
                              <w:rPr>
                                <w:sz w:val="16"/>
                              </w:rPr>
                              <w:tab/>
                              <w:t>(23,152)</w:t>
                            </w:r>
                            <w:r>
                              <w:rPr>
                                <w:spacing w:val="25"/>
                                <w:sz w:val="16"/>
                              </w:rPr>
                              <w:t> </w:t>
                            </w:r>
                            <w:r>
                              <w:rPr>
                                <w:spacing w:val="-10"/>
                                <w:sz w:val="16"/>
                              </w:rPr>
                              <w:t>$</w:t>
                            </w:r>
                          </w:p>
                        </w:tc>
                        <w:tc>
                          <w:tcPr>
                            <w:tcW w:w="584" w:type="dxa"/>
                            <w:tcBorders>
                              <w:top w:val="single" w:sz="4" w:space="0" w:color="000000"/>
                              <w:bottom w:val="double" w:sz="8" w:space="0" w:color="000000"/>
                            </w:tcBorders>
                            <w:shd w:val="clear" w:color="auto" w:fill="CCEDFF"/>
                          </w:tcPr>
                          <w:p>
                            <w:pPr>
                              <w:pStyle w:val="TableParagraph"/>
                              <w:spacing w:line="164" w:lineRule="exact" w:before="36"/>
                              <w:ind w:left="57"/>
                              <w:rPr>
                                <w:sz w:val="16"/>
                              </w:rPr>
                            </w:pPr>
                            <w:r>
                              <w:rPr>
                                <w:spacing w:val="-2"/>
                                <w:sz w:val="16"/>
                              </w:rPr>
                              <w:t>37,041</w:t>
                            </w:r>
                          </w:p>
                        </w:tc>
                      </w:tr>
                    </w:tbl>
                    <w:p>
                      <w:pPr>
                        <w:pStyle w:val="BodyText"/>
                      </w:pPr>
                    </w:p>
                  </w:txbxContent>
                </v:textbox>
                <w10:wrap type="none"/>
              </v:shape>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9" w:after="1"/>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5"/>
        <w:gridCol w:w="261"/>
        <w:gridCol w:w="543"/>
        <w:gridCol w:w="541"/>
        <w:gridCol w:w="280"/>
        <w:gridCol w:w="398"/>
        <w:gridCol w:w="608"/>
        <w:gridCol w:w="304"/>
        <w:gridCol w:w="331"/>
        <w:gridCol w:w="241"/>
        <w:gridCol w:w="628"/>
        <w:gridCol w:w="736"/>
        <w:gridCol w:w="1080"/>
        <w:gridCol w:w="975"/>
        <w:gridCol w:w="583"/>
      </w:tblGrid>
      <w:tr>
        <w:trPr>
          <w:trHeight w:val="220" w:hRule="atLeast"/>
        </w:trPr>
        <w:tc>
          <w:tcPr>
            <w:tcW w:w="3125" w:type="dxa"/>
            <w:tcBorders>
              <w:top w:val="single" w:sz="4" w:space="0" w:color="000000"/>
              <w:bottom w:val="double" w:sz="8" w:space="0" w:color="000000"/>
            </w:tcBorders>
            <w:shd w:val="clear" w:color="auto" w:fill="CCEDFF"/>
          </w:tcPr>
          <w:p>
            <w:pPr>
              <w:pStyle w:val="TableParagraph"/>
              <w:spacing w:line="164" w:lineRule="exact" w:before="36"/>
              <w:ind w:left="52"/>
              <w:rPr>
                <w:sz w:val="16"/>
              </w:rPr>
            </w:pPr>
            <w:r>
              <w:rPr>
                <w:sz w:val="16"/>
              </w:rPr>
              <w:t>Balance</w:t>
            </w:r>
            <w:r>
              <w:rPr>
                <w:spacing w:val="-1"/>
                <w:sz w:val="16"/>
              </w:rPr>
              <w:t> </w:t>
            </w:r>
            <w:r>
              <w:rPr>
                <w:sz w:val="16"/>
              </w:rPr>
              <w:t>at June 30, </w:t>
            </w:r>
            <w:r>
              <w:rPr>
                <w:spacing w:val="-4"/>
                <w:sz w:val="16"/>
              </w:rPr>
              <w:t>2023</w:t>
            </w:r>
          </w:p>
        </w:tc>
        <w:tc>
          <w:tcPr>
            <w:tcW w:w="261" w:type="dxa"/>
            <w:tcBorders>
              <w:top w:val="single" w:sz="4" w:space="0" w:color="000000"/>
              <w:bottom w:val="double" w:sz="8" w:space="0" w:color="000000"/>
            </w:tcBorders>
            <w:shd w:val="clear" w:color="auto" w:fill="CCEDFF"/>
          </w:tcPr>
          <w:p>
            <w:pPr>
              <w:pStyle w:val="TableParagraph"/>
              <w:spacing w:line="164" w:lineRule="exact" w:before="36"/>
              <w:ind w:right="71"/>
              <w:jc w:val="right"/>
              <w:rPr>
                <w:sz w:val="16"/>
              </w:rPr>
            </w:pPr>
            <w:r>
              <w:rPr>
                <w:spacing w:val="-10"/>
                <w:sz w:val="16"/>
              </w:rPr>
              <w:t>$</w:t>
            </w:r>
          </w:p>
        </w:tc>
        <w:tc>
          <w:tcPr>
            <w:tcW w:w="543" w:type="dxa"/>
            <w:tcBorders>
              <w:top w:val="single" w:sz="4" w:space="0" w:color="000000"/>
              <w:bottom w:val="double" w:sz="8" w:space="0" w:color="000000"/>
            </w:tcBorders>
            <w:shd w:val="clear" w:color="auto" w:fill="CCEDFF"/>
          </w:tcPr>
          <w:p>
            <w:pPr>
              <w:pStyle w:val="TableParagraph"/>
              <w:spacing w:line="164" w:lineRule="exact" w:before="36"/>
              <w:ind w:right="39"/>
              <w:jc w:val="center"/>
              <w:rPr>
                <w:sz w:val="16"/>
              </w:rPr>
            </w:pPr>
            <w:r>
              <w:rPr>
                <w:spacing w:val="-2"/>
                <w:sz w:val="16"/>
              </w:rPr>
              <w:t>9,191</w:t>
            </w:r>
          </w:p>
        </w:tc>
        <w:tc>
          <w:tcPr>
            <w:tcW w:w="541" w:type="dxa"/>
            <w:tcBorders>
              <w:top w:val="single" w:sz="4" w:space="0" w:color="000000"/>
              <w:bottom w:val="double" w:sz="8" w:space="0" w:color="000000"/>
            </w:tcBorders>
            <w:shd w:val="clear" w:color="auto" w:fill="CCEDFF"/>
          </w:tcPr>
          <w:p>
            <w:pPr>
              <w:pStyle w:val="TableParagraph"/>
              <w:spacing w:line="164" w:lineRule="exact" w:before="36"/>
              <w:ind w:left="44"/>
              <w:jc w:val="center"/>
              <w:rPr>
                <w:sz w:val="16"/>
              </w:rPr>
            </w:pPr>
            <w:r>
              <w:rPr>
                <w:spacing w:val="-2"/>
                <w:sz w:val="16"/>
              </w:rPr>
              <w:t>2,023</w:t>
            </w:r>
          </w:p>
        </w:tc>
        <w:tc>
          <w:tcPr>
            <w:tcW w:w="280" w:type="dxa"/>
            <w:tcBorders>
              <w:top w:val="single" w:sz="4" w:space="0" w:color="000000"/>
              <w:bottom w:val="double" w:sz="8" w:space="0" w:color="000000"/>
            </w:tcBorders>
            <w:shd w:val="clear" w:color="auto" w:fill="CCEDFF"/>
          </w:tcPr>
          <w:p>
            <w:pPr>
              <w:pStyle w:val="TableParagraph"/>
              <w:spacing w:line="164" w:lineRule="exact" w:before="36"/>
              <w:ind w:right="92"/>
              <w:jc w:val="center"/>
              <w:rPr>
                <w:sz w:val="16"/>
              </w:rPr>
            </w:pPr>
            <w:r>
              <w:rPr>
                <w:spacing w:val="-10"/>
                <w:sz w:val="16"/>
              </w:rPr>
              <w:t>$</w:t>
            </w:r>
          </w:p>
        </w:tc>
        <w:tc>
          <w:tcPr>
            <w:tcW w:w="398" w:type="dxa"/>
            <w:tcBorders>
              <w:top w:val="single" w:sz="4" w:space="0" w:color="000000"/>
              <w:bottom w:val="double" w:sz="8" w:space="0" w:color="000000"/>
            </w:tcBorders>
            <w:shd w:val="clear" w:color="auto" w:fill="CCEDFF"/>
          </w:tcPr>
          <w:p>
            <w:pPr>
              <w:pStyle w:val="TableParagraph"/>
              <w:spacing w:line="164" w:lineRule="exact" w:before="36"/>
              <w:ind w:left="35"/>
              <w:jc w:val="center"/>
              <w:rPr>
                <w:sz w:val="16"/>
              </w:rPr>
            </w:pPr>
            <w:r>
              <w:rPr>
                <w:spacing w:val="-5"/>
                <w:sz w:val="16"/>
              </w:rPr>
              <w:t>20</w:t>
            </w:r>
          </w:p>
        </w:tc>
        <w:tc>
          <w:tcPr>
            <w:tcW w:w="608" w:type="dxa"/>
            <w:tcBorders>
              <w:top w:val="single" w:sz="4" w:space="0" w:color="000000"/>
              <w:bottom w:val="double" w:sz="8" w:space="0" w:color="000000"/>
            </w:tcBorders>
            <w:shd w:val="clear" w:color="auto" w:fill="CCEDFF"/>
          </w:tcPr>
          <w:p>
            <w:pPr>
              <w:pStyle w:val="TableParagraph"/>
              <w:spacing w:line="164" w:lineRule="exact" w:before="36"/>
              <w:ind w:right="92"/>
              <w:jc w:val="right"/>
              <w:rPr>
                <w:sz w:val="16"/>
              </w:rPr>
            </w:pPr>
            <w:r>
              <w:rPr>
                <w:spacing w:val="-5"/>
                <w:sz w:val="16"/>
              </w:rPr>
              <w:t>51</w:t>
            </w:r>
          </w:p>
        </w:tc>
        <w:tc>
          <w:tcPr>
            <w:tcW w:w="304" w:type="dxa"/>
            <w:tcBorders>
              <w:top w:val="single" w:sz="4" w:space="0" w:color="000000"/>
              <w:bottom w:val="double" w:sz="8" w:space="0" w:color="000000"/>
            </w:tcBorders>
            <w:shd w:val="clear" w:color="auto" w:fill="CCEDFF"/>
          </w:tcPr>
          <w:p>
            <w:pPr>
              <w:pStyle w:val="TableParagraph"/>
              <w:spacing w:line="164" w:lineRule="exact" w:before="36"/>
              <w:ind w:left="26"/>
              <w:rPr>
                <w:sz w:val="16"/>
              </w:rPr>
            </w:pPr>
            <w:r>
              <w:rPr>
                <w:spacing w:val="-10"/>
                <w:sz w:val="16"/>
              </w:rPr>
              <w:t>$</w:t>
            </w:r>
          </w:p>
        </w:tc>
        <w:tc>
          <w:tcPr>
            <w:tcW w:w="331" w:type="dxa"/>
            <w:tcBorders>
              <w:top w:val="single" w:sz="4" w:space="0" w:color="000000"/>
              <w:bottom w:val="double" w:sz="8" w:space="0" w:color="000000"/>
            </w:tcBorders>
            <w:shd w:val="clear" w:color="auto" w:fill="CCEDFF"/>
          </w:tcPr>
          <w:p>
            <w:pPr>
              <w:pStyle w:val="TableParagraph"/>
              <w:spacing w:line="164" w:lineRule="exact" w:before="36"/>
              <w:ind w:left="112"/>
              <w:jc w:val="center"/>
              <w:rPr>
                <w:sz w:val="16"/>
              </w:rPr>
            </w:pPr>
            <w:r>
              <w:rPr>
                <w:spacing w:val="-10"/>
                <w:sz w:val="16"/>
              </w:rPr>
              <w:t>1</w:t>
            </w:r>
          </w:p>
        </w:tc>
        <w:tc>
          <w:tcPr>
            <w:tcW w:w="241" w:type="dxa"/>
            <w:tcBorders>
              <w:top w:val="single" w:sz="4" w:space="0" w:color="000000"/>
              <w:bottom w:val="double" w:sz="8" w:space="0" w:color="000000"/>
            </w:tcBorders>
            <w:shd w:val="clear" w:color="auto" w:fill="CCEDFF"/>
          </w:tcPr>
          <w:p>
            <w:pPr>
              <w:pStyle w:val="TableParagraph"/>
              <w:spacing w:line="164" w:lineRule="exact" w:before="36"/>
              <w:ind w:right="55"/>
              <w:jc w:val="center"/>
              <w:rPr>
                <w:sz w:val="16"/>
              </w:rPr>
            </w:pPr>
            <w:r>
              <w:rPr>
                <w:spacing w:val="-10"/>
                <w:sz w:val="16"/>
              </w:rPr>
              <w:t>$</w:t>
            </w:r>
          </w:p>
        </w:tc>
        <w:tc>
          <w:tcPr>
            <w:tcW w:w="628" w:type="dxa"/>
            <w:tcBorders>
              <w:top w:val="single" w:sz="4" w:space="0" w:color="000000"/>
              <w:bottom w:val="double" w:sz="8" w:space="0" w:color="000000"/>
            </w:tcBorders>
            <w:shd w:val="clear" w:color="auto" w:fill="CCEDFF"/>
          </w:tcPr>
          <w:p>
            <w:pPr>
              <w:pStyle w:val="TableParagraph"/>
              <w:spacing w:line="164" w:lineRule="exact" w:before="36"/>
              <w:ind w:right="6"/>
              <w:jc w:val="center"/>
              <w:rPr>
                <w:sz w:val="16"/>
              </w:rPr>
            </w:pPr>
            <w:r>
              <w:rPr>
                <w:spacing w:val="-2"/>
                <w:sz w:val="16"/>
              </w:rPr>
              <w:t>27,220</w:t>
            </w:r>
          </w:p>
        </w:tc>
        <w:tc>
          <w:tcPr>
            <w:tcW w:w="736" w:type="dxa"/>
            <w:tcBorders>
              <w:top w:val="single" w:sz="4" w:space="0" w:color="000000"/>
              <w:bottom w:val="double" w:sz="8" w:space="0" w:color="000000"/>
            </w:tcBorders>
            <w:shd w:val="clear" w:color="auto" w:fill="CCEDFF"/>
          </w:tcPr>
          <w:p>
            <w:pPr>
              <w:pStyle w:val="TableParagraph"/>
              <w:spacing w:line="164" w:lineRule="exact" w:before="36"/>
              <w:ind w:left="22"/>
              <w:rPr>
                <w:sz w:val="16"/>
              </w:rPr>
            </w:pPr>
            <w:r>
              <w:rPr>
                <w:sz w:val="16"/>
              </w:rPr>
              <w:t>$</w:t>
            </w:r>
            <w:r>
              <w:rPr>
                <w:spacing w:val="54"/>
                <w:sz w:val="16"/>
              </w:rPr>
              <w:t> </w:t>
            </w:r>
            <w:r>
              <w:rPr>
                <w:spacing w:val="-2"/>
                <w:sz w:val="16"/>
              </w:rPr>
              <w:t>32,865</w:t>
            </w:r>
          </w:p>
        </w:tc>
        <w:tc>
          <w:tcPr>
            <w:tcW w:w="1080" w:type="dxa"/>
            <w:tcBorders>
              <w:top w:val="single" w:sz="4" w:space="0" w:color="000000"/>
              <w:bottom w:val="double" w:sz="8" w:space="0" w:color="000000"/>
            </w:tcBorders>
            <w:shd w:val="clear" w:color="auto" w:fill="CCEDFF"/>
          </w:tcPr>
          <w:p>
            <w:pPr>
              <w:pStyle w:val="TableParagraph"/>
              <w:spacing w:line="164" w:lineRule="exact" w:before="36"/>
              <w:ind w:left="21"/>
              <w:rPr>
                <w:sz w:val="16"/>
              </w:rPr>
            </w:pPr>
            <w:r>
              <w:rPr>
                <w:sz w:val="16"/>
              </w:rPr>
              <w:t>$ (11,420)</w:t>
            </w:r>
            <w:r>
              <w:rPr>
                <w:spacing w:val="27"/>
                <w:sz w:val="16"/>
              </w:rPr>
              <w:t> </w:t>
            </w:r>
            <w:r>
              <w:rPr>
                <w:spacing w:val="-10"/>
                <w:sz w:val="16"/>
              </w:rPr>
              <w:t>$</w:t>
            </w:r>
          </w:p>
        </w:tc>
        <w:tc>
          <w:tcPr>
            <w:tcW w:w="975" w:type="dxa"/>
            <w:tcBorders>
              <w:top w:val="single" w:sz="4" w:space="0" w:color="000000"/>
              <w:bottom w:val="double" w:sz="8" w:space="0" w:color="000000"/>
            </w:tcBorders>
            <w:shd w:val="clear" w:color="auto" w:fill="CCEDFF"/>
          </w:tcPr>
          <w:p>
            <w:pPr>
              <w:pStyle w:val="TableParagraph"/>
              <w:spacing w:line="164" w:lineRule="exact" w:before="36"/>
              <w:ind w:left="154"/>
              <w:jc w:val="center"/>
              <w:rPr>
                <w:sz w:val="16"/>
              </w:rPr>
            </w:pPr>
            <w:r>
              <w:rPr>
                <w:sz w:val="16"/>
              </w:rPr>
              <w:t>(20,730)</w:t>
            </w:r>
            <w:r>
              <w:rPr>
                <w:spacing w:val="27"/>
                <w:sz w:val="16"/>
              </w:rPr>
              <w:t> </w:t>
            </w:r>
            <w:r>
              <w:rPr>
                <w:spacing w:val="-10"/>
                <w:sz w:val="16"/>
              </w:rPr>
              <w:t>$</w:t>
            </w:r>
          </w:p>
        </w:tc>
        <w:tc>
          <w:tcPr>
            <w:tcW w:w="583" w:type="dxa"/>
            <w:tcBorders>
              <w:top w:val="single" w:sz="4" w:space="0" w:color="000000"/>
              <w:bottom w:val="double" w:sz="8" w:space="0" w:color="000000"/>
            </w:tcBorders>
            <w:shd w:val="clear" w:color="auto" w:fill="CCEDFF"/>
          </w:tcPr>
          <w:p>
            <w:pPr>
              <w:pStyle w:val="TableParagraph"/>
              <w:spacing w:line="164" w:lineRule="exact" w:before="36"/>
              <w:ind w:right="80"/>
              <w:jc w:val="right"/>
              <w:rPr>
                <w:sz w:val="16"/>
              </w:rPr>
            </w:pPr>
            <w:r>
              <w:rPr>
                <w:spacing w:val="-2"/>
                <w:sz w:val="16"/>
              </w:rPr>
              <w:t>37,147</w:t>
            </w:r>
          </w:p>
        </w:tc>
      </w:tr>
      <w:tr>
        <w:trPr>
          <w:trHeight w:val="225" w:hRule="atLeast"/>
        </w:trPr>
        <w:tc>
          <w:tcPr>
            <w:tcW w:w="3125" w:type="dxa"/>
          </w:tcPr>
          <w:p>
            <w:pPr>
              <w:pStyle w:val="TableParagraph"/>
              <w:spacing w:before="11"/>
              <w:ind w:left="52"/>
              <w:rPr>
                <w:sz w:val="16"/>
              </w:rPr>
            </w:pPr>
            <w:r>
              <w:rPr>
                <w:sz w:val="16"/>
              </w:rPr>
              <w:t>Net</w:t>
            </w:r>
            <w:r>
              <w:rPr>
                <w:spacing w:val="-1"/>
                <w:sz w:val="16"/>
              </w:rPr>
              <w:t> </w:t>
            </w:r>
            <w:r>
              <w:rPr>
                <w:spacing w:val="-2"/>
                <w:sz w:val="16"/>
              </w:rPr>
              <w:t>income</w:t>
            </w:r>
          </w:p>
        </w:tc>
        <w:tc>
          <w:tcPr>
            <w:tcW w:w="4135" w:type="dxa"/>
            <w:gridSpan w:val="10"/>
          </w:tcPr>
          <w:p>
            <w:pPr>
              <w:pStyle w:val="TableParagraph"/>
              <w:tabs>
                <w:tab w:pos="1116" w:val="left" w:leader="none"/>
                <w:tab w:pos="1761" w:val="left" w:leader="none"/>
                <w:tab w:pos="2376" w:val="left" w:leader="none"/>
                <w:tab w:pos="3036" w:val="left" w:leader="none"/>
                <w:tab w:pos="3876" w:val="left" w:leader="none"/>
              </w:tabs>
              <w:spacing w:before="11"/>
              <w:ind w:left="531"/>
              <w:rPr>
                <w:sz w:val="16"/>
              </w:rPr>
            </w:pP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p>
        </w:tc>
        <w:tc>
          <w:tcPr>
            <w:tcW w:w="736" w:type="dxa"/>
          </w:tcPr>
          <w:p>
            <w:pPr>
              <w:pStyle w:val="TableParagraph"/>
              <w:spacing w:before="11"/>
              <w:ind w:left="276"/>
              <w:rPr>
                <w:sz w:val="16"/>
              </w:rPr>
            </w:pPr>
            <w:r>
              <w:rPr>
                <w:spacing w:val="-2"/>
                <w:sz w:val="16"/>
              </w:rPr>
              <w:t>1,125</w:t>
            </w:r>
          </w:p>
        </w:tc>
        <w:tc>
          <w:tcPr>
            <w:tcW w:w="1080" w:type="dxa"/>
          </w:tcPr>
          <w:p>
            <w:pPr>
              <w:pStyle w:val="TableParagraph"/>
              <w:spacing w:before="11"/>
              <w:ind w:left="111" w:right="80"/>
              <w:jc w:val="center"/>
              <w:rPr>
                <w:sz w:val="16"/>
              </w:rPr>
            </w:pPr>
            <w:r>
              <w:rPr>
                <w:spacing w:val="-10"/>
                <w:sz w:val="16"/>
              </w:rPr>
              <w:t>—</w:t>
            </w:r>
          </w:p>
        </w:tc>
        <w:tc>
          <w:tcPr>
            <w:tcW w:w="975" w:type="dxa"/>
          </w:tcPr>
          <w:p>
            <w:pPr>
              <w:pStyle w:val="TableParagraph"/>
              <w:spacing w:before="11"/>
              <w:ind w:left="286"/>
              <w:jc w:val="center"/>
              <w:rPr>
                <w:sz w:val="16"/>
              </w:rPr>
            </w:pPr>
            <w:r>
              <w:rPr>
                <w:spacing w:val="-10"/>
                <w:sz w:val="16"/>
              </w:rPr>
              <w:t>—</w:t>
            </w:r>
          </w:p>
        </w:tc>
        <w:tc>
          <w:tcPr>
            <w:tcW w:w="583" w:type="dxa"/>
          </w:tcPr>
          <w:p>
            <w:pPr>
              <w:pStyle w:val="TableParagraph"/>
              <w:spacing w:before="11"/>
              <w:ind w:right="80"/>
              <w:jc w:val="right"/>
              <w:rPr>
                <w:sz w:val="16"/>
              </w:rPr>
            </w:pPr>
            <w:r>
              <w:rPr>
                <w:spacing w:val="-2"/>
                <w:sz w:val="16"/>
              </w:rPr>
              <w:t>1,125</w:t>
            </w:r>
          </w:p>
        </w:tc>
      </w:tr>
      <w:tr>
        <w:trPr>
          <w:trHeight w:val="255" w:hRule="atLeast"/>
        </w:trPr>
        <w:tc>
          <w:tcPr>
            <w:tcW w:w="3125" w:type="dxa"/>
            <w:shd w:val="clear" w:color="auto" w:fill="CCEDFF"/>
          </w:tcPr>
          <w:p>
            <w:pPr>
              <w:pStyle w:val="TableParagraph"/>
              <w:spacing w:before="41"/>
              <w:ind w:left="52"/>
              <w:rPr>
                <w:sz w:val="16"/>
              </w:rPr>
            </w:pPr>
            <w:r>
              <w:rPr>
                <w:sz w:val="16"/>
              </w:rPr>
              <w:t>Other</w:t>
            </w:r>
            <w:r>
              <w:rPr>
                <w:spacing w:val="-1"/>
                <w:sz w:val="16"/>
              </w:rPr>
              <w:t> </w:t>
            </w:r>
            <w:r>
              <w:rPr>
                <w:sz w:val="16"/>
              </w:rPr>
              <w:t>comprehensive</w:t>
            </w:r>
            <w:r>
              <w:rPr>
                <w:spacing w:val="-1"/>
                <w:sz w:val="16"/>
              </w:rPr>
              <w:t> </w:t>
            </w:r>
            <w:r>
              <w:rPr>
                <w:sz w:val="16"/>
              </w:rPr>
              <w:t>income (loss),</w:t>
            </w:r>
            <w:r>
              <w:rPr>
                <w:spacing w:val="-1"/>
                <w:sz w:val="16"/>
              </w:rPr>
              <w:t> </w:t>
            </w:r>
            <w:r>
              <w:rPr>
                <w:sz w:val="16"/>
              </w:rPr>
              <w:t>net</w:t>
            </w:r>
            <w:r>
              <w:rPr>
                <w:spacing w:val="-1"/>
                <w:sz w:val="16"/>
              </w:rPr>
              <w:t> </w:t>
            </w:r>
            <w:r>
              <w:rPr>
                <w:sz w:val="16"/>
              </w:rPr>
              <w:t>of </w:t>
            </w:r>
            <w:r>
              <w:rPr>
                <w:spacing w:val="-5"/>
                <w:sz w:val="16"/>
              </w:rPr>
              <w:t>tax</w:t>
            </w:r>
          </w:p>
        </w:tc>
        <w:tc>
          <w:tcPr>
            <w:tcW w:w="4135" w:type="dxa"/>
            <w:gridSpan w:val="10"/>
            <w:shd w:val="clear" w:color="auto" w:fill="CCEDFF"/>
          </w:tcPr>
          <w:p>
            <w:pPr>
              <w:pStyle w:val="TableParagraph"/>
              <w:tabs>
                <w:tab w:pos="1116" w:val="left" w:leader="none"/>
                <w:tab w:pos="1761" w:val="left" w:leader="none"/>
                <w:tab w:pos="2376" w:val="left" w:leader="none"/>
                <w:tab w:pos="3036" w:val="left" w:leader="none"/>
                <w:tab w:pos="3876" w:val="left" w:leader="none"/>
              </w:tabs>
              <w:spacing w:before="41"/>
              <w:ind w:left="531"/>
              <w:rPr>
                <w:sz w:val="16"/>
              </w:rPr>
            </w:pP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p>
        </w:tc>
        <w:tc>
          <w:tcPr>
            <w:tcW w:w="736" w:type="dxa"/>
            <w:shd w:val="clear" w:color="auto" w:fill="CCEDFF"/>
          </w:tcPr>
          <w:p>
            <w:pPr>
              <w:pStyle w:val="TableParagraph"/>
              <w:spacing w:before="41"/>
              <w:ind w:right="97"/>
              <w:jc w:val="right"/>
              <w:rPr>
                <w:sz w:val="16"/>
              </w:rPr>
            </w:pPr>
            <w:r>
              <w:rPr>
                <w:spacing w:val="-10"/>
                <w:sz w:val="16"/>
              </w:rPr>
              <w:t>—</w:t>
            </w:r>
          </w:p>
        </w:tc>
        <w:tc>
          <w:tcPr>
            <w:tcW w:w="1080" w:type="dxa"/>
            <w:shd w:val="clear" w:color="auto" w:fill="CCEDFF"/>
          </w:tcPr>
          <w:p>
            <w:pPr>
              <w:pStyle w:val="TableParagraph"/>
              <w:spacing w:before="41"/>
              <w:ind w:left="111" w:right="80"/>
              <w:jc w:val="center"/>
              <w:rPr>
                <w:sz w:val="16"/>
              </w:rPr>
            </w:pPr>
            <w:r>
              <w:rPr>
                <w:spacing w:val="-10"/>
                <w:sz w:val="16"/>
              </w:rPr>
              <w:t>—</w:t>
            </w:r>
          </w:p>
        </w:tc>
        <w:tc>
          <w:tcPr>
            <w:tcW w:w="975" w:type="dxa"/>
            <w:shd w:val="clear" w:color="auto" w:fill="CCEDFF"/>
          </w:tcPr>
          <w:p>
            <w:pPr>
              <w:pStyle w:val="TableParagraph"/>
              <w:spacing w:before="41"/>
              <w:ind w:left="286"/>
              <w:jc w:val="center"/>
              <w:rPr>
                <w:sz w:val="16"/>
              </w:rPr>
            </w:pPr>
            <w:r>
              <w:rPr>
                <w:spacing w:val="-4"/>
                <w:sz w:val="16"/>
              </w:rPr>
              <w:t>(22)</w:t>
            </w:r>
          </w:p>
        </w:tc>
        <w:tc>
          <w:tcPr>
            <w:tcW w:w="583" w:type="dxa"/>
            <w:shd w:val="clear" w:color="auto" w:fill="CCEDFF"/>
          </w:tcPr>
          <w:p>
            <w:pPr>
              <w:pStyle w:val="TableParagraph"/>
              <w:spacing w:before="41"/>
              <w:ind w:right="26"/>
              <w:jc w:val="right"/>
              <w:rPr>
                <w:sz w:val="16"/>
              </w:rPr>
            </w:pPr>
            <w:r>
              <w:rPr>
                <w:spacing w:val="-4"/>
                <w:sz w:val="16"/>
              </w:rPr>
              <w:t>(22)</w:t>
            </w:r>
          </w:p>
        </w:tc>
      </w:tr>
      <w:tr>
        <w:trPr>
          <w:trHeight w:val="255" w:hRule="atLeast"/>
        </w:trPr>
        <w:tc>
          <w:tcPr>
            <w:tcW w:w="3125" w:type="dxa"/>
          </w:tcPr>
          <w:p>
            <w:pPr>
              <w:pStyle w:val="TableParagraph"/>
              <w:spacing w:before="41"/>
              <w:ind w:left="52"/>
              <w:rPr>
                <w:sz w:val="16"/>
              </w:rPr>
            </w:pPr>
            <w:r>
              <w:rPr>
                <w:sz w:val="16"/>
              </w:rPr>
              <w:t>Dividends</w:t>
            </w:r>
            <w:r>
              <w:rPr>
                <w:spacing w:val="-2"/>
                <w:sz w:val="16"/>
              </w:rPr>
              <w:t> </w:t>
            </w:r>
            <w:r>
              <w:rPr>
                <w:sz w:val="16"/>
              </w:rPr>
              <w:t>declared on preferred </w:t>
            </w:r>
            <w:r>
              <w:rPr>
                <w:spacing w:val="-2"/>
                <w:sz w:val="16"/>
              </w:rPr>
              <w:t>stock</w:t>
            </w:r>
          </w:p>
        </w:tc>
        <w:tc>
          <w:tcPr>
            <w:tcW w:w="4135" w:type="dxa"/>
            <w:gridSpan w:val="10"/>
          </w:tcPr>
          <w:p>
            <w:pPr>
              <w:pStyle w:val="TableParagraph"/>
              <w:tabs>
                <w:tab w:pos="1116" w:val="left" w:leader="none"/>
                <w:tab w:pos="1761" w:val="left" w:leader="none"/>
                <w:tab w:pos="2376" w:val="left" w:leader="none"/>
                <w:tab w:pos="3036" w:val="left" w:leader="none"/>
                <w:tab w:pos="3876" w:val="left" w:leader="none"/>
              </w:tabs>
              <w:spacing w:before="41"/>
              <w:ind w:left="531"/>
              <w:rPr>
                <w:sz w:val="16"/>
              </w:rPr>
            </w:pP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p>
        </w:tc>
        <w:tc>
          <w:tcPr>
            <w:tcW w:w="736" w:type="dxa"/>
          </w:tcPr>
          <w:p>
            <w:pPr>
              <w:pStyle w:val="TableParagraph"/>
              <w:spacing w:before="41"/>
              <w:ind w:right="43"/>
              <w:jc w:val="right"/>
              <w:rPr>
                <w:sz w:val="16"/>
              </w:rPr>
            </w:pPr>
            <w:r>
              <w:rPr>
                <w:spacing w:val="-2"/>
                <w:sz w:val="16"/>
              </w:rPr>
              <w:t>(103)</w:t>
            </w:r>
          </w:p>
        </w:tc>
        <w:tc>
          <w:tcPr>
            <w:tcW w:w="1080" w:type="dxa"/>
          </w:tcPr>
          <w:p>
            <w:pPr>
              <w:pStyle w:val="TableParagraph"/>
              <w:spacing w:before="41"/>
              <w:ind w:left="111" w:right="80"/>
              <w:jc w:val="center"/>
              <w:rPr>
                <w:sz w:val="16"/>
              </w:rPr>
            </w:pPr>
            <w:r>
              <w:rPr>
                <w:spacing w:val="-10"/>
                <w:sz w:val="16"/>
              </w:rPr>
              <w:t>—</w:t>
            </w:r>
          </w:p>
        </w:tc>
        <w:tc>
          <w:tcPr>
            <w:tcW w:w="975" w:type="dxa"/>
          </w:tcPr>
          <w:p>
            <w:pPr>
              <w:pStyle w:val="TableParagraph"/>
              <w:spacing w:before="41"/>
              <w:ind w:left="286"/>
              <w:jc w:val="center"/>
              <w:rPr>
                <w:sz w:val="16"/>
              </w:rPr>
            </w:pPr>
            <w:r>
              <w:rPr>
                <w:spacing w:val="-10"/>
                <w:sz w:val="16"/>
              </w:rPr>
              <w:t>—</w:t>
            </w:r>
          </w:p>
        </w:tc>
        <w:tc>
          <w:tcPr>
            <w:tcW w:w="583" w:type="dxa"/>
          </w:tcPr>
          <w:p>
            <w:pPr>
              <w:pStyle w:val="TableParagraph"/>
              <w:spacing w:before="41"/>
              <w:ind w:right="26"/>
              <w:jc w:val="right"/>
              <w:rPr>
                <w:sz w:val="16"/>
              </w:rPr>
            </w:pPr>
            <w:r>
              <w:rPr>
                <w:spacing w:val="-2"/>
                <w:sz w:val="16"/>
              </w:rPr>
              <w:t>(103)</w:t>
            </w:r>
          </w:p>
        </w:tc>
      </w:tr>
      <w:tr>
        <w:trPr>
          <w:trHeight w:val="405" w:hRule="atLeast"/>
        </w:trPr>
        <w:tc>
          <w:tcPr>
            <w:tcW w:w="3125" w:type="dxa"/>
            <w:shd w:val="clear" w:color="auto" w:fill="CCEDFF"/>
          </w:tcPr>
          <w:p>
            <w:pPr>
              <w:pStyle w:val="TableParagraph"/>
              <w:spacing w:line="208" w:lineRule="auto" w:before="50"/>
              <w:ind w:left="52"/>
              <w:rPr>
                <w:sz w:val="16"/>
              </w:rPr>
            </w:pPr>
            <w:r>
              <w:rPr>
                <w:sz w:val="16"/>
              </w:rPr>
              <w:t>Dividends</w:t>
            </w:r>
            <w:r>
              <w:rPr>
                <w:spacing w:val="-7"/>
                <w:sz w:val="16"/>
              </w:rPr>
              <w:t> </w:t>
            </w:r>
            <w:r>
              <w:rPr>
                <w:sz w:val="16"/>
              </w:rPr>
              <w:t>declared</w:t>
            </w:r>
            <w:r>
              <w:rPr>
                <w:spacing w:val="-7"/>
                <w:sz w:val="16"/>
              </w:rPr>
              <w:t> </w:t>
            </w:r>
            <w:r>
              <w:rPr>
                <w:sz w:val="16"/>
              </w:rPr>
              <w:t>on</w:t>
            </w:r>
            <w:r>
              <w:rPr>
                <w:spacing w:val="-7"/>
                <w:sz w:val="16"/>
              </w:rPr>
              <w:t> </w:t>
            </w:r>
            <w:r>
              <w:rPr>
                <w:sz w:val="16"/>
              </w:rPr>
              <w:t>common</w:t>
            </w:r>
            <w:r>
              <w:rPr>
                <w:spacing w:val="-7"/>
                <w:sz w:val="16"/>
              </w:rPr>
              <w:t> </w:t>
            </w:r>
            <w:r>
              <w:rPr>
                <w:sz w:val="16"/>
              </w:rPr>
              <w:t>stock</w:t>
            </w:r>
            <w:r>
              <w:rPr>
                <w:spacing w:val="-7"/>
                <w:sz w:val="16"/>
              </w:rPr>
              <w:t> </w:t>
            </w:r>
            <w:r>
              <w:rPr>
                <w:sz w:val="16"/>
              </w:rPr>
              <w:t>—</w:t>
            </w:r>
            <w:r>
              <w:rPr>
                <w:spacing w:val="-8"/>
                <w:sz w:val="16"/>
              </w:rPr>
              <w:t> </w:t>
            </w:r>
            <w:r>
              <w:rPr>
                <w:sz w:val="16"/>
              </w:rPr>
              <w:t>$.25</w:t>
            </w:r>
            <w:r>
              <w:rPr>
                <w:spacing w:val="40"/>
                <w:sz w:val="16"/>
              </w:rPr>
              <w:t> </w:t>
            </w:r>
            <w:r>
              <w:rPr>
                <w:sz w:val="16"/>
              </w:rPr>
              <w:t>per</w:t>
            </w:r>
            <w:r>
              <w:rPr>
                <w:spacing w:val="-1"/>
                <w:sz w:val="16"/>
              </w:rPr>
              <w:t> </w:t>
            </w:r>
            <w:r>
              <w:rPr>
                <w:sz w:val="16"/>
              </w:rPr>
              <w:t>share</w:t>
            </w:r>
          </w:p>
        </w:tc>
        <w:tc>
          <w:tcPr>
            <w:tcW w:w="4135" w:type="dxa"/>
            <w:gridSpan w:val="10"/>
            <w:shd w:val="clear" w:color="auto" w:fill="CCEDFF"/>
          </w:tcPr>
          <w:p>
            <w:pPr>
              <w:pStyle w:val="TableParagraph"/>
              <w:spacing w:before="7"/>
              <w:rPr>
                <w:sz w:val="16"/>
              </w:rPr>
            </w:pPr>
          </w:p>
          <w:p>
            <w:pPr>
              <w:pStyle w:val="TableParagraph"/>
              <w:tabs>
                <w:tab w:pos="1116" w:val="left" w:leader="none"/>
                <w:tab w:pos="1761" w:val="left" w:leader="none"/>
                <w:tab w:pos="2376" w:val="left" w:leader="none"/>
                <w:tab w:pos="3036" w:val="left" w:leader="none"/>
                <w:tab w:pos="3876" w:val="left" w:leader="none"/>
              </w:tabs>
              <w:ind w:left="531"/>
              <w:rPr>
                <w:sz w:val="16"/>
              </w:rPr>
            </w:pP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p>
        </w:tc>
        <w:tc>
          <w:tcPr>
            <w:tcW w:w="736" w:type="dxa"/>
            <w:shd w:val="clear" w:color="auto" w:fill="CCEDFF"/>
          </w:tcPr>
          <w:p>
            <w:pPr>
              <w:pStyle w:val="TableParagraph"/>
              <w:spacing w:before="7"/>
              <w:rPr>
                <w:sz w:val="16"/>
              </w:rPr>
            </w:pPr>
          </w:p>
          <w:p>
            <w:pPr>
              <w:pStyle w:val="TableParagraph"/>
              <w:ind w:right="43"/>
              <w:jc w:val="right"/>
              <w:rPr>
                <w:sz w:val="16"/>
              </w:rPr>
            </w:pPr>
            <w:r>
              <w:rPr>
                <w:spacing w:val="-2"/>
                <w:sz w:val="16"/>
              </w:rPr>
              <w:t>(458)</w:t>
            </w:r>
          </w:p>
        </w:tc>
        <w:tc>
          <w:tcPr>
            <w:tcW w:w="1080" w:type="dxa"/>
            <w:shd w:val="clear" w:color="auto" w:fill="CCEDFF"/>
          </w:tcPr>
          <w:p>
            <w:pPr>
              <w:pStyle w:val="TableParagraph"/>
              <w:spacing w:before="7"/>
              <w:rPr>
                <w:sz w:val="16"/>
              </w:rPr>
            </w:pPr>
          </w:p>
          <w:p>
            <w:pPr>
              <w:pStyle w:val="TableParagraph"/>
              <w:ind w:left="111" w:right="80"/>
              <w:jc w:val="center"/>
              <w:rPr>
                <w:sz w:val="16"/>
              </w:rPr>
            </w:pPr>
            <w:r>
              <w:rPr>
                <w:spacing w:val="-10"/>
                <w:sz w:val="16"/>
              </w:rPr>
              <w:t>—</w:t>
            </w:r>
          </w:p>
        </w:tc>
        <w:tc>
          <w:tcPr>
            <w:tcW w:w="975" w:type="dxa"/>
            <w:shd w:val="clear" w:color="auto" w:fill="CCEDFF"/>
          </w:tcPr>
          <w:p>
            <w:pPr>
              <w:pStyle w:val="TableParagraph"/>
              <w:spacing w:before="7"/>
              <w:rPr>
                <w:sz w:val="16"/>
              </w:rPr>
            </w:pPr>
          </w:p>
          <w:p>
            <w:pPr>
              <w:pStyle w:val="TableParagraph"/>
              <w:ind w:left="286"/>
              <w:jc w:val="center"/>
              <w:rPr>
                <w:sz w:val="16"/>
              </w:rPr>
            </w:pPr>
            <w:r>
              <w:rPr>
                <w:spacing w:val="-10"/>
                <w:sz w:val="16"/>
              </w:rPr>
              <w:t>—</w:t>
            </w:r>
          </w:p>
        </w:tc>
        <w:tc>
          <w:tcPr>
            <w:tcW w:w="583" w:type="dxa"/>
            <w:shd w:val="clear" w:color="auto" w:fill="CCEDFF"/>
          </w:tcPr>
          <w:p>
            <w:pPr>
              <w:pStyle w:val="TableParagraph"/>
              <w:spacing w:before="7"/>
              <w:rPr>
                <w:sz w:val="16"/>
              </w:rPr>
            </w:pPr>
          </w:p>
          <w:p>
            <w:pPr>
              <w:pStyle w:val="TableParagraph"/>
              <w:ind w:right="26"/>
              <w:jc w:val="right"/>
              <w:rPr>
                <w:sz w:val="16"/>
              </w:rPr>
            </w:pPr>
            <w:r>
              <w:rPr>
                <w:spacing w:val="-2"/>
                <w:sz w:val="16"/>
              </w:rPr>
              <w:t>(458)</w:t>
            </w:r>
          </w:p>
        </w:tc>
      </w:tr>
      <w:tr>
        <w:trPr>
          <w:trHeight w:val="255" w:hRule="atLeast"/>
        </w:trPr>
        <w:tc>
          <w:tcPr>
            <w:tcW w:w="3125" w:type="dxa"/>
          </w:tcPr>
          <w:p>
            <w:pPr>
              <w:pStyle w:val="TableParagraph"/>
              <w:spacing w:before="41"/>
              <w:ind w:left="52"/>
              <w:rPr>
                <w:sz w:val="16"/>
              </w:rPr>
            </w:pPr>
            <w:r>
              <w:rPr>
                <w:sz w:val="16"/>
              </w:rPr>
              <w:t>Stock</w:t>
            </w:r>
            <w:r>
              <w:rPr>
                <w:spacing w:val="-1"/>
                <w:sz w:val="16"/>
              </w:rPr>
              <w:t> </w:t>
            </w:r>
            <w:r>
              <w:rPr>
                <w:sz w:val="16"/>
              </w:rPr>
              <w:t>option exercises</w:t>
            </w:r>
            <w:r>
              <w:rPr>
                <w:spacing w:val="-2"/>
                <w:sz w:val="16"/>
              </w:rPr>
              <w:t> </w:t>
            </w:r>
            <w:r>
              <w:rPr>
                <w:sz w:val="16"/>
              </w:rPr>
              <w:t>and </w:t>
            </w:r>
            <w:r>
              <w:rPr>
                <w:spacing w:val="-2"/>
                <w:sz w:val="16"/>
              </w:rPr>
              <w:t>other</w:t>
            </w:r>
          </w:p>
        </w:tc>
        <w:tc>
          <w:tcPr>
            <w:tcW w:w="4135" w:type="dxa"/>
            <w:gridSpan w:val="10"/>
          </w:tcPr>
          <w:p>
            <w:pPr>
              <w:pStyle w:val="TableParagraph"/>
              <w:tabs>
                <w:tab w:pos="1116" w:val="left" w:leader="none"/>
                <w:tab w:pos="1761" w:val="left" w:leader="none"/>
                <w:tab w:pos="2376" w:val="left" w:leader="none"/>
                <w:tab w:pos="3036" w:val="left" w:leader="none"/>
                <w:tab w:pos="3903" w:val="left" w:leader="none"/>
              </w:tabs>
              <w:spacing w:before="41"/>
              <w:ind w:left="531"/>
              <w:rPr>
                <w:sz w:val="16"/>
              </w:rPr>
            </w:pP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5"/>
                <w:sz w:val="16"/>
              </w:rPr>
              <w:t>(9)</w:t>
            </w:r>
          </w:p>
        </w:tc>
        <w:tc>
          <w:tcPr>
            <w:tcW w:w="736" w:type="dxa"/>
          </w:tcPr>
          <w:p>
            <w:pPr>
              <w:pStyle w:val="TableParagraph"/>
              <w:spacing w:before="41"/>
              <w:ind w:right="97"/>
              <w:jc w:val="right"/>
              <w:rPr>
                <w:sz w:val="16"/>
              </w:rPr>
            </w:pPr>
            <w:r>
              <w:rPr>
                <w:spacing w:val="-10"/>
                <w:sz w:val="16"/>
              </w:rPr>
              <w:t>—</w:t>
            </w:r>
          </w:p>
        </w:tc>
        <w:tc>
          <w:tcPr>
            <w:tcW w:w="1080" w:type="dxa"/>
          </w:tcPr>
          <w:p>
            <w:pPr>
              <w:pStyle w:val="TableParagraph"/>
              <w:spacing w:before="41"/>
              <w:ind w:left="111" w:right="80"/>
              <w:jc w:val="center"/>
              <w:rPr>
                <w:sz w:val="16"/>
              </w:rPr>
            </w:pPr>
            <w:r>
              <w:rPr>
                <w:spacing w:val="-5"/>
                <w:sz w:val="16"/>
              </w:rPr>
              <w:t>18</w:t>
            </w:r>
          </w:p>
        </w:tc>
        <w:tc>
          <w:tcPr>
            <w:tcW w:w="975" w:type="dxa"/>
          </w:tcPr>
          <w:p>
            <w:pPr>
              <w:pStyle w:val="TableParagraph"/>
              <w:spacing w:before="41"/>
              <w:ind w:left="286"/>
              <w:jc w:val="center"/>
              <w:rPr>
                <w:sz w:val="16"/>
              </w:rPr>
            </w:pPr>
            <w:r>
              <w:rPr>
                <w:spacing w:val="-10"/>
                <w:sz w:val="16"/>
              </w:rPr>
              <w:t>—</w:t>
            </w:r>
          </w:p>
        </w:tc>
        <w:tc>
          <w:tcPr>
            <w:tcW w:w="583" w:type="dxa"/>
          </w:tcPr>
          <w:p>
            <w:pPr>
              <w:pStyle w:val="TableParagraph"/>
              <w:spacing w:before="41"/>
              <w:ind w:right="80"/>
              <w:jc w:val="right"/>
              <w:rPr>
                <w:sz w:val="16"/>
              </w:rPr>
            </w:pPr>
            <w:r>
              <w:rPr>
                <w:spacing w:val="-10"/>
                <w:sz w:val="16"/>
              </w:rPr>
              <w:t>9</w:t>
            </w:r>
          </w:p>
        </w:tc>
      </w:tr>
      <w:tr>
        <w:trPr>
          <w:trHeight w:val="255" w:hRule="atLeast"/>
        </w:trPr>
        <w:tc>
          <w:tcPr>
            <w:tcW w:w="3125" w:type="dxa"/>
            <w:shd w:val="clear" w:color="auto" w:fill="CCEDFF"/>
          </w:tcPr>
          <w:p>
            <w:pPr>
              <w:pStyle w:val="TableParagraph"/>
              <w:spacing w:before="41"/>
              <w:ind w:left="52"/>
              <w:rPr>
                <w:sz w:val="16"/>
              </w:rPr>
            </w:pPr>
            <w:r>
              <w:rPr>
                <w:sz w:val="16"/>
              </w:rPr>
              <w:t>Share-based</w:t>
            </w:r>
            <w:r>
              <w:rPr>
                <w:spacing w:val="-2"/>
                <w:sz w:val="16"/>
              </w:rPr>
              <w:t> compensation</w:t>
            </w:r>
          </w:p>
        </w:tc>
        <w:tc>
          <w:tcPr>
            <w:tcW w:w="4135" w:type="dxa"/>
            <w:gridSpan w:val="10"/>
            <w:shd w:val="clear" w:color="auto" w:fill="CCEDFF"/>
          </w:tcPr>
          <w:p>
            <w:pPr>
              <w:pStyle w:val="TableParagraph"/>
              <w:tabs>
                <w:tab w:pos="1116" w:val="left" w:leader="none"/>
                <w:tab w:pos="1761" w:val="left" w:leader="none"/>
                <w:tab w:pos="2376" w:val="left" w:leader="none"/>
                <w:tab w:pos="3036" w:val="left" w:leader="none"/>
                <w:tab w:pos="3876" w:val="left" w:leader="none"/>
              </w:tabs>
              <w:spacing w:before="41"/>
              <w:ind w:left="531"/>
              <w:rPr>
                <w:sz w:val="16"/>
              </w:rPr>
            </w:pP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5"/>
                <w:sz w:val="16"/>
              </w:rPr>
              <w:t>60</w:t>
            </w:r>
          </w:p>
        </w:tc>
        <w:tc>
          <w:tcPr>
            <w:tcW w:w="736" w:type="dxa"/>
            <w:shd w:val="clear" w:color="auto" w:fill="CCEDFF"/>
          </w:tcPr>
          <w:p>
            <w:pPr>
              <w:pStyle w:val="TableParagraph"/>
              <w:spacing w:before="41"/>
              <w:ind w:right="97"/>
              <w:jc w:val="right"/>
              <w:rPr>
                <w:sz w:val="16"/>
              </w:rPr>
            </w:pPr>
            <w:r>
              <w:rPr>
                <w:spacing w:val="-10"/>
                <w:sz w:val="16"/>
              </w:rPr>
              <w:t>—</w:t>
            </w:r>
          </w:p>
        </w:tc>
        <w:tc>
          <w:tcPr>
            <w:tcW w:w="1080" w:type="dxa"/>
            <w:shd w:val="clear" w:color="auto" w:fill="CCEDFF"/>
          </w:tcPr>
          <w:p>
            <w:pPr>
              <w:pStyle w:val="TableParagraph"/>
              <w:spacing w:before="41"/>
              <w:ind w:left="111" w:right="80"/>
              <w:jc w:val="center"/>
              <w:rPr>
                <w:sz w:val="16"/>
              </w:rPr>
            </w:pPr>
            <w:r>
              <w:rPr>
                <w:spacing w:val="-10"/>
                <w:sz w:val="16"/>
              </w:rPr>
              <w:t>—</w:t>
            </w:r>
          </w:p>
        </w:tc>
        <w:tc>
          <w:tcPr>
            <w:tcW w:w="975" w:type="dxa"/>
            <w:shd w:val="clear" w:color="auto" w:fill="CCEDFF"/>
          </w:tcPr>
          <w:p>
            <w:pPr>
              <w:pStyle w:val="TableParagraph"/>
              <w:spacing w:before="41"/>
              <w:ind w:left="286"/>
              <w:jc w:val="center"/>
              <w:rPr>
                <w:sz w:val="16"/>
              </w:rPr>
            </w:pPr>
            <w:r>
              <w:rPr>
                <w:spacing w:val="-10"/>
                <w:sz w:val="16"/>
              </w:rPr>
              <w:t>—</w:t>
            </w:r>
          </w:p>
        </w:tc>
        <w:tc>
          <w:tcPr>
            <w:tcW w:w="583" w:type="dxa"/>
            <w:shd w:val="clear" w:color="auto" w:fill="CCEDFF"/>
          </w:tcPr>
          <w:p>
            <w:pPr>
              <w:pStyle w:val="TableParagraph"/>
              <w:spacing w:before="41"/>
              <w:ind w:right="80"/>
              <w:jc w:val="right"/>
              <w:rPr>
                <w:sz w:val="16"/>
              </w:rPr>
            </w:pPr>
            <w:r>
              <w:rPr>
                <w:spacing w:val="-5"/>
                <w:sz w:val="16"/>
              </w:rPr>
              <w:t>60</w:t>
            </w:r>
          </w:p>
        </w:tc>
      </w:tr>
      <w:tr>
        <w:trPr>
          <w:trHeight w:val="250" w:hRule="atLeast"/>
        </w:trPr>
        <w:tc>
          <w:tcPr>
            <w:tcW w:w="3125" w:type="dxa"/>
          </w:tcPr>
          <w:p>
            <w:pPr>
              <w:pStyle w:val="TableParagraph"/>
              <w:spacing w:before="41"/>
              <w:ind w:left="52"/>
              <w:rPr>
                <w:sz w:val="16"/>
              </w:rPr>
            </w:pPr>
            <w:r>
              <w:rPr>
                <w:spacing w:val="-2"/>
                <w:sz w:val="16"/>
              </w:rPr>
              <w:t>Other</w:t>
            </w:r>
          </w:p>
        </w:tc>
        <w:tc>
          <w:tcPr>
            <w:tcW w:w="4135" w:type="dxa"/>
            <w:gridSpan w:val="10"/>
          </w:tcPr>
          <w:p>
            <w:pPr>
              <w:pStyle w:val="TableParagraph"/>
              <w:tabs>
                <w:tab w:pos="1116" w:val="left" w:leader="none"/>
                <w:tab w:pos="1761" w:val="left" w:leader="none"/>
                <w:tab w:pos="2376" w:val="left" w:leader="none"/>
                <w:tab w:pos="3036" w:val="left" w:leader="none"/>
                <w:tab w:pos="3876" w:val="left" w:leader="none"/>
              </w:tabs>
              <w:spacing w:before="41"/>
              <w:ind w:left="531"/>
              <w:rPr>
                <w:sz w:val="16"/>
              </w:rPr>
            </w:pP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5"/>
                <w:sz w:val="16"/>
              </w:rPr>
              <w:t>22</w:t>
            </w:r>
          </w:p>
        </w:tc>
        <w:tc>
          <w:tcPr>
            <w:tcW w:w="736" w:type="dxa"/>
          </w:tcPr>
          <w:p>
            <w:pPr>
              <w:pStyle w:val="TableParagraph"/>
              <w:spacing w:before="41"/>
              <w:ind w:right="97"/>
              <w:jc w:val="right"/>
              <w:rPr>
                <w:sz w:val="16"/>
              </w:rPr>
            </w:pPr>
            <w:r>
              <w:rPr>
                <w:spacing w:val="-10"/>
                <w:sz w:val="16"/>
              </w:rPr>
              <w:t>—</w:t>
            </w:r>
          </w:p>
        </w:tc>
        <w:tc>
          <w:tcPr>
            <w:tcW w:w="1080" w:type="dxa"/>
          </w:tcPr>
          <w:p>
            <w:pPr>
              <w:pStyle w:val="TableParagraph"/>
              <w:spacing w:before="41"/>
              <w:ind w:left="111"/>
              <w:jc w:val="center"/>
              <w:rPr>
                <w:sz w:val="16"/>
              </w:rPr>
            </w:pPr>
            <w:r>
              <w:rPr>
                <w:spacing w:val="-10"/>
                <w:sz w:val="16"/>
              </w:rPr>
              <w:t>4</w:t>
            </w:r>
          </w:p>
        </w:tc>
        <w:tc>
          <w:tcPr>
            <w:tcW w:w="975" w:type="dxa"/>
          </w:tcPr>
          <w:p>
            <w:pPr>
              <w:pStyle w:val="TableParagraph"/>
              <w:spacing w:before="41"/>
              <w:ind w:left="286"/>
              <w:jc w:val="center"/>
              <w:rPr>
                <w:sz w:val="16"/>
              </w:rPr>
            </w:pPr>
            <w:r>
              <w:rPr>
                <w:spacing w:val="-10"/>
                <w:sz w:val="16"/>
              </w:rPr>
              <w:t>—</w:t>
            </w:r>
          </w:p>
        </w:tc>
        <w:tc>
          <w:tcPr>
            <w:tcW w:w="583" w:type="dxa"/>
          </w:tcPr>
          <w:p>
            <w:pPr>
              <w:pStyle w:val="TableParagraph"/>
              <w:spacing w:before="41"/>
              <w:ind w:right="80"/>
              <w:jc w:val="right"/>
              <w:rPr>
                <w:sz w:val="16"/>
              </w:rPr>
            </w:pPr>
            <w:r>
              <w:rPr>
                <w:spacing w:val="-5"/>
                <w:sz w:val="16"/>
              </w:rPr>
              <w:t>26</w:t>
            </w:r>
          </w:p>
        </w:tc>
      </w:tr>
      <w:tr>
        <w:trPr>
          <w:trHeight w:val="220" w:hRule="atLeast"/>
        </w:trPr>
        <w:tc>
          <w:tcPr>
            <w:tcW w:w="3125" w:type="dxa"/>
            <w:tcBorders>
              <w:top w:val="single" w:sz="4" w:space="0" w:color="000000"/>
              <w:bottom w:val="double" w:sz="8" w:space="0" w:color="000000"/>
            </w:tcBorders>
            <w:shd w:val="clear" w:color="auto" w:fill="CCEDFF"/>
          </w:tcPr>
          <w:p>
            <w:pPr>
              <w:pStyle w:val="TableParagraph"/>
              <w:spacing w:line="164" w:lineRule="exact" w:before="36"/>
              <w:ind w:left="52"/>
              <w:rPr>
                <w:sz w:val="16"/>
              </w:rPr>
            </w:pPr>
            <w:r>
              <w:rPr>
                <w:sz w:val="16"/>
              </w:rPr>
              <w:t>Balance</w:t>
            </w:r>
            <w:r>
              <w:rPr>
                <w:spacing w:val="-1"/>
                <w:sz w:val="16"/>
              </w:rPr>
              <w:t> </w:t>
            </w:r>
            <w:r>
              <w:rPr>
                <w:sz w:val="16"/>
              </w:rPr>
              <w:t>at September 30, </w:t>
            </w:r>
            <w:r>
              <w:rPr>
                <w:spacing w:val="-4"/>
                <w:sz w:val="16"/>
              </w:rPr>
              <w:t>2023</w:t>
            </w:r>
          </w:p>
        </w:tc>
        <w:tc>
          <w:tcPr>
            <w:tcW w:w="261" w:type="dxa"/>
            <w:tcBorders>
              <w:top w:val="single" w:sz="4" w:space="0" w:color="000000"/>
              <w:bottom w:val="double" w:sz="8" w:space="0" w:color="000000"/>
            </w:tcBorders>
            <w:shd w:val="clear" w:color="auto" w:fill="CCEDFF"/>
          </w:tcPr>
          <w:p>
            <w:pPr>
              <w:pStyle w:val="TableParagraph"/>
              <w:spacing w:line="164" w:lineRule="exact" w:before="36"/>
              <w:ind w:right="71"/>
              <w:jc w:val="right"/>
              <w:rPr>
                <w:sz w:val="16"/>
              </w:rPr>
            </w:pPr>
            <w:r>
              <w:rPr>
                <w:spacing w:val="-10"/>
                <w:sz w:val="16"/>
              </w:rPr>
              <w:t>$</w:t>
            </w:r>
          </w:p>
        </w:tc>
        <w:tc>
          <w:tcPr>
            <w:tcW w:w="543" w:type="dxa"/>
            <w:tcBorders>
              <w:top w:val="single" w:sz="4" w:space="0" w:color="000000"/>
              <w:bottom w:val="double" w:sz="8" w:space="0" w:color="000000"/>
            </w:tcBorders>
            <w:shd w:val="clear" w:color="auto" w:fill="CCEDFF"/>
          </w:tcPr>
          <w:p>
            <w:pPr>
              <w:pStyle w:val="TableParagraph"/>
              <w:spacing w:line="164" w:lineRule="exact" w:before="36"/>
              <w:ind w:right="39"/>
              <w:jc w:val="center"/>
              <w:rPr>
                <w:sz w:val="16"/>
              </w:rPr>
            </w:pPr>
            <w:r>
              <w:rPr>
                <w:spacing w:val="-2"/>
                <w:sz w:val="16"/>
              </w:rPr>
              <w:t>9,191</w:t>
            </w:r>
          </w:p>
        </w:tc>
        <w:tc>
          <w:tcPr>
            <w:tcW w:w="541" w:type="dxa"/>
            <w:tcBorders>
              <w:top w:val="single" w:sz="4" w:space="0" w:color="000000"/>
              <w:bottom w:val="double" w:sz="8" w:space="0" w:color="000000"/>
            </w:tcBorders>
            <w:shd w:val="clear" w:color="auto" w:fill="CCEDFF"/>
          </w:tcPr>
          <w:p>
            <w:pPr>
              <w:pStyle w:val="TableParagraph"/>
              <w:spacing w:line="164" w:lineRule="exact" w:before="36"/>
              <w:ind w:left="44"/>
              <w:jc w:val="center"/>
              <w:rPr>
                <w:sz w:val="16"/>
              </w:rPr>
            </w:pPr>
            <w:r>
              <w:rPr>
                <w:spacing w:val="-2"/>
                <w:sz w:val="16"/>
              </w:rPr>
              <w:t>2,023</w:t>
            </w:r>
          </w:p>
        </w:tc>
        <w:tc>
          <w:tcPr>
            <w:tcW w:w="280" w:type="dxa"/>
            <w:tcBorders>
              <w:top w:val="single" w:sz="4" w:space="0" w:color="000000"/>
              <w:bottom w:val="double" w:sz="8" w:space="0" w:color="000000"/>
            </w:tcBorders>
            <w:shd w:val="clear" w:color="auto" w:fill="CCEDFF"/>
          </w:tcPr>
          <w:p>
            <w:pPr>
              <w:pStyle w:val="TableParagraph"/>
              <w:spacing w:line="164" w:lineRule="exact" w:before="36"/>
              <w:ind w:right="92"/>
              <w:jc w:val="center"/>
              <w:rPr>
                <w:sz w:val="16"/>
              </w:rPr>
            </w:pPr>
            <w:r>
              <w:rPr>
                <w:spacing w:val="-10"/>
                <w:sz w:val="16"/>
              </w:rPr>
              <w:t>$</w:t>
            </w:r>
          </w:p>
        </w:tc>
        <w:tc>
          <w:tcPr>
            <w:tcW w:w="398" w:type="dxa"/>
            <w:tcBorders>
              <w:top w:val="single" w:sz="4" w:space="0" w:color="000000"/>
              <w:bottom w:val="double" w:sz="8" w:space="0" w:color="000000"/>
            </w:tcBorders>
            <w:shd w:val="clear" w:color="auto" w:fill="CCEDFF"/>
          </w:tcPr>
          <w:p>
            <w:pPr>
              <w:pStyle w:val="TableParagraph"/>
              <w:spacing w:line="164" w:lineRule="exact" w:before="36"/>
              <w:ind w:left="35"/>
              <w:jc w:val="center"/>
              <w:rPr>
                <w:sz w:val="16"/>
              </w:rPr>
            </w:pPr>
            <w:r>
              <w:rPr>
                <w:spacing w:val="-5"/>
                <w:sz w:val="16"/>
              </w:rPr>
              <w:t>20</w:t>
            </w:r>
          </w:p>
        </w:tc>
        <w:tc>
          <w:tcPr>
            <w:tcW w:w="608" w:type="dxa"/>
            <w:tcBorders>
              <w:top w:val="single" w:sz="4" w:space="0" w:color="000000"/>
              <w:bottom w:val="double" w:sz="8" w:space="0" w:color="000000"/>
            </w:tcBorders>
            <w:shd w:val="clear" w:color="auto" w:fill="CCEDFF"/>
          </w:tcPr>
          <w:p>
            <w:pPr>
              <w:pStyle w:val="TableParagraph"/>
              <w:spacing w:line="164" w:lineRule="exact" w:before="36"/>
              <w:ind w:right="92"/>
              <w:jc w:val="right"/>
              <w:rPr>
                <w:sz w:val="16"/>
              </w:rPr>
            </w:pPr>
            <w:r>
              <w:rPr>
                <w:spacing w:val="-5"/>
                <w:sz w:val="16"/>
              </w:rPr>
              <w:t>51</w:t>
            </w:r>
          </w:p>
        </w:tc>
        <w:tc>
          <w:tcPr>
            <w:tcW w:w="304" w:type="dxa"/>
            <w:tcBorders>
              <w:top w:val="single" w:sz="4" w:space="0" w:color="000000"/>
              <w:bottom w:val="double" w:sz="8" w:space="0" w:color="000000"/>
            </w:tcBorders>
            <w:shd w:val="clear" w:color="auto" w:fill="CCEDFF"/>
          </w:tcPr>
          <w:p>
            <w:pPr>
              <w:pStyle w:val="TableParagraph"/>
              <w:spacing w:line="164" w:lineRule="exact" w:before="36"/>
              <w:ind w:left="26"/>
              <w:rPr>
                <w:sz w:val="16"/>
              </w:rPr>
            </w:pPr>
            <w:r>
              <w:rPr>
                <w:spacing w:val="-10"/>
                <w:sz w:val="16"/>
              </w:rPr>
              <w:t>$</w:t>
            </w:r>
          </w:p>
        </w:tc>
        <w:tc>
          <w:tcPr>
            <w:tcW w:w="331" w:type="dxa"/>
            <w:tcBorders>
              <w:top w:val="single" w:sz="4" w:space="0" w:color="000000"/>
              <w:bottom w:val="double" w:sz="8" w:space="0" w:color="000000"/>
            </w:tcBorders>
            <w:shd w:val="clear" w:color="auto" w:fill="CCEDFF"/>
          </w:tcPr>
          <w:p>
            <w:pPr>
              <w:pStyle w:val="TableParagraph"/>
              <w:spacing w:line="164" w:lineRule="exact" w:before="36"/>
              <w:ind w:left="112"/>
              <w:jc w:val="center"/>
              <w:rPr>
                <w:sz w:val="16"/>
              </w:rPr>
            </w:pPr>
            <w:r>
              <w:rPr>
                <w:spacing w:val="-10"/>
                <w:sz w:val="16"/>
              </w:rPr>
              <w:t>1</w:t>
            </w:r>
          </w:p>
        </w:tc>
        <w:tc>
          <w:tcPr>
            <w:tcW w:w="241" w:type="dxa"/>
            <w:tcBorders>
              <w:top w:val="single" w:sz="4" w:space="0" w:color="000000"/>
              <w:bottom w:val="double" w:sz="8" w:space="0" w:color="000000"/>
            </w:tcBorders>
            <w:shd w:val="clear" w:color="auto" w:fill="CCEDFF"/>
          </w:tcPr>
          <w:p>
            <w:pPr>
              <w:pStyle w:val="TableParagraph"/>
              <w:spacing w:line="164" w:lineRule="exact" w:before="36"/>
              <w:ind w:right="55"/>
              <w:jc w:val="center"/>
              <w:rPr>
                <w:sz w:val="16"/>
              </w:rPr>
            </w:pPr>
            <w:r>
              <w:rPr>
                <w:spacing w:val="-10"/>
                <w:sz w:val="16"/>
              </w:rPr>
              <w:t>$</w:t>
            </w:r>
          </w:p>
        </w:tc>
        <w:tc>
          <w:tcPr>
            <w:tcW w:w="628" w:type="dxa"/>
            <w:tcBorders>
              <w:top w:val="single" w:sz="4" w:space="0" w:color="000000"/>
              <w:bottom w:val="double" w:sz="8" w:space="0" w:color="000000"/>
            </w:tcBorders>
            <w:shd w:val="clear" w:color="auto" w:fill="CCEDFF"/>
          </w:tcPr>
          <w:p>
            <w:pPr>
              <w:pStyle w:val="TableParagraph"/>
              <w:spacing w:line="164" w:lineRule="exact" w:before="36"/>
              <w:ind w:right="6"/>
              <w:jc w:val="center"/>
              <w:rPr>
                <w:sz w:val="16"/>
              </w:rPr>
            </w:pPr>
            <w:r>
              <w:rPr>
                <w:spacing w:val="-2"/>
                <w:sz w:val="16"/>
              </w:rPr>
              <w:t>27,293</w:t>
            </w:r>
          </w:p>
        </w:tc>
        <w:tc>
          <w:tcPr>
            <w:tcW w:w="736" w:type="dxa"/>
            <w:tcBorders>
              <w:top w:val="single" w:sz="4" w:space="0" w:color="000000"/>
              <w:bottom w:val="double" w:sz="8" w:space="0" w:color="000000"/>
            </w:tcBorders>
            <w:shd w:val="clear" w:color="auto" w:fill="CCEDFF"/>
          </w:tcPr>
          <w:p>
            <w:pPr>
              <w:pStyle w:val="TableParagraph"/>
              <w:spacing w:line="164" w:lineRule="exact" w:before="36"/>
              <w:ind w:left="22"/>
              <w:rPr>
                <w:sz w:val="16"/>
              </w:rPr>
            </w:pPr>
            <w:r>
              <w:rPr>
                <w:sz w:val="16"/>
              </w:rPr>
              <w:t>$</w:t>
            </w:r>
            <w:r>
              <w:rPr>
                <w:spacing w:val="54"/>
                <w:sz w:val="16"/>
              </w:rPr>
              <w:t> </w:t>
            </w:r>
            <w:r>
              <w:rPr>
                <w:spacing w:val="-2"/>
                <w:sz w:val="16"/>
              </w:rPr>
              <w:t>33,429</w:t>
            </w:r>
          </w:p>
        </w:tc>
        <w:tc>
          <w:tcPr>
            <w:tcW w:w="1080" w:type="dxa"/>
            <w:tcBorders>
              <w:top w:val="single" w:sz="4" w:space="0" w:color="000000"/>
              <w:bottom w:val="double" w:sz="8" w:space="0" w:color="000000"/>
            </w:tcBorders>
            <w:shd w:val="clear" w:color="auto" w:fill="CCEDFF"/>
          </w:tcPr>
          <w:p>
            <w:pPr>
              <w:pStyle w:val="TableParagraph"/>
              <w:spacing w:line="164" w:lineRule="exact" w:before="36"/>
              <w:ind w:left="21"/>
              <w:rPr>
                <w:sz w:val="16"/>
              </w:rPr>
            </w:pPr>
            <w:r>
              <w:rPr>
                <w:sz w:val="16"/>
              </w:rPr>
              <w:t>$ (11,398)</w:t>
            </w:r>
            <w:r>
              <w:rPr>
                <w:spacing w:val="27"/>
                <w:sz w:val="16"/>
              </w:rPr>
              <w:t> </w:t>
            </w:r>
            <w:r>
              <w:rPr>
                <w:spacing w:val="-10"/>
                <w:sz w:val="16"/>
              </w:rPr>
              <w:t>$</w:t>
            </w:r>
          </w:p>
        </w:tc>
        <w:tc>
          <w:tcPr>
            <w:tcW w:w="975" w:type="dxa"/>
            <w:tcBorders>
              <w:top w:val="single" w:sz="4" w:space="0" w:color="000000"/>
              <w:bottom w:val="double" w:sz="8" w:space="0" w:color="000000"/>
            </w:tcBorders>
            <w:shd w:val="clear" w:color="auto" w:fill="CCEDFF"/>
          </w:tcPr>
          <w:p>
            <w:pPr>
              <w:pStyle w:val="TableParagraph"/>
              <w:spacing w:line="164" w:lineRule="exact" w:before="36"/>
              <w:ind w:left="154"/>
              <w:jc w:val="center"/>
              <w:rPr>
                <w:sz w:val="16"/>
              </w:rPr>
            </w:pPr>
            <w:r>
              <w:rPr>
                <w:sz w:val="16"/>
              </w:rPr>
              <w:t>(20,752)</w:t>
            </w:r>
            <w:r>
              <w:rPr>
                <w:spacing w:val="27"/>
                <w:sz w:val="16"/>
              </w:rPr>
              <w:t> </w:t>
            </w:r>
            <w:r>
              <w:rPr>
                <w:spacing w:val="-10"/>
                <w:sz w:val="16"/>
              </w:rPr>
              <w:t>$</w:t>
            </w:r>
          </w:p>
        </w:tc>
        <w:tc>
          <w:tcPr>
            <w:tcW w:w="583" w:type="dxa"/>
            <w:tcBorders>
              <w:top w:val="single" w:sz="4" w:space="0" w:color="000000"/>
              <w:bottom w:val="double" w:sz="8" w:space="0" w:color="000000"/>
            </w:tcBorders>
            <w:shd w:val="clear" w:color="auto" w:fill="CCEDFF"/>
          </w:tcPr>
          <w:p>
            <w:pPr>
              <w:pStyle w:val="TableParagraph"/>
              <w:spacing w:line="164" w:lineRule="exact" w:before="36"/>
              <w:ind w:right="80"/>
              <w:jc w:val="right"/>
              <w:rPr>
                <w:sz w:val="16"/>
              </w:rPr>
            </w:pPr>
            <w:r>
              <w:rPr>
                <w:spacing w:val="-2"/>
                <w:sz w:val="16"/>
              </w:rPr>
              <w:t>37,784</w:t>
            </w:r>
          </w:p>
        </w:tc>
      </w:tr>
    </w:tbl>
    <w:p>
      <w:pPr>
        <w:pStyle w:val="BodyText"/>
        <w:spacing w:before="54"/>
        <w:rPr>
          <w:sz w:val="18"/>
        </w:rPr>
      </w:pPr>
    </w:p>
    <w:p>
      <w:pPr>
        <w:spacing w:before="0"/>
        <w:ind w:left="290" w:right="0" w:firstLine="0"/>
        <w:jc w:val="left"/>
        <w:rPr>
          <w:i/>
          <w:sz w:val="18"/>
        </w:rPr>
      </w:pPr>
      <w:r>
        <w:rPr>
          <w:i/>
          <w:sz w:val="18"/>
        </w:rPr>
        <w:t>Continued on following </w:t>
      </w:r>
      <w:r>
        <w:rPr>
          <w:i/>
          <w:spacing w:val="-2"/>
          <w:sz w:val="18"/>
        </w:rPr>
        <w:t>page.</w:t>
      </w:r>
    </w:p>
    <w:p>
      <w:pPr>
        <w:spacing w:after="0"/>
        <w:jc w:val="left"/>
        <w:rPr>
          <w:sz w:val="18"/>
        </w:rPr>
        <w:sectPr>
          <w:type w:val="continuous"/>
          <w:pgSz w:w="12240" w:h="15840"/>
          <w:pgMar w:header="467" w:footer="201" w:top="320" w:bottom="280" w:left="520" w:right="520"/>
        </w:sectPr>
      </w:pPr>
    </w:p>
    <w:p>
      <w:pPr>
        <w:spacing w:before="69"/>
        <w:ind w:left="290" w:right="0" w:firstLine="0"/>
        <w:jc w:val="left"/>
        <w:rPr>
          <w:i/>
          <w:sz w:val="18"/>
        </w:rPr>
      </w:pPr>
      <w:r>
        <w:rPr>
          <w:i/>
          <w:sz w:val="18"/>
        </w:rPr>
        <w:t>Continued</w:t>
      </w:r>
      <w:r>
        <w:rPr>
          <w:i/>
          <w:spacing w:val="-1"/>
          <w:sz w:val="18"/>
        </w:rPr>
        <w:t> </w:t>
      </w:r>
      <w:r>
        <w:rPr>
          <w:i/>
          <w:sz w:val="18"/>
        </w:rPr>
        <w:t>from</w:t>
      </w:r>
      <w:r>
        <w:rPr>
          <w:i/>
          <w:spacing w:val="-2"/>
          <w:sz w:val="18"/>
        </w:rPr>
        <w:t> </w:t>
      </w:r>
      <w:r>
        <w:rPr>
          <w:i/>
          <w:sz w:val="18"/>
        </w:rPr>
        <w:t>previous</w:t>
      </w:r>
      <w:r>
        <w:rPr>
          <w:i/>
          <w:spacing w:val="-1"/>
          <w:sz w:val="18"/>
        </w:rPr>
        <w:t> </w:t>
      </w:r>
      <w:r>
        <w:rPr>
          <w:i/>
          <w:spacing w:val="-2"/>
          <w:sz w:val="18"/>
        </w:rPr>
        <w:t>page.</w:t>
      </w:r>
    </w:p>
    <w:p>
      <w:pPr>
        <w:pStyle w:val="BodyText"/>
        <w:spacing w:before="10"/>
        <w:rPr>
          <w:i/>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2"/>
        <w:gridCol w:w="781"/>
        <w:gridCol w:w="546"/>
        <w:gridCol w:w="671"/>
        <w:gridCol w:w="618"/>
        <w:gridCol w:w="635"/>
        <w:gridCol w:w="868"/>
        <w:gridCol w:w="737"/>
        <w:gridCol w:w="2623"/>
      </w:tblGrid>
      <w:tr>
        <w:trPr>
          <w:trHeight w:val="483" w:hRule="atLeast"/>
        </w:trPr>
        <w:tc>
          <w:tcPr>
            <w:tcW w:w="3152" w:type="dxa"/>
            <w:vMerge w:val="restart"/>
            <w:tcBorders>
              <w:bottom w:val="single" w:sz="4" w:space="0" w:color="000000"/>
            </w:tcBorders>
          </w:tcPr>
          <w:p>
            <w:pPr>
              <w:pStyle w:val="TableParagraph"/>
              <w:rPr>
                <w:sz w:val="16"/>
              </w:rPr>
            </w:pPr>
          </w:p>
        </w:tc>
        <w:tc>
          <w:tcPr>
            <w:tcW w:w="781" w:type="dxa"/>
          </w:tcPr>
          <w:p>
            <w:pPr>
              <w:pStyle w:val="TableParagraph"/>
              <w:spacing w:before="129"/>
              <w:rPr>
                <w:i/>
                <w:sz w:val="16"/>
              </w:rPr>
            </w:pPr>
          </w:p>
          <w:p>
            <w:pPr>
              <w:pStyle w:val="TableParagraph"/>
              <w:spacing w:line="150" w:lineRule="exact"/>
              <w:ind w:right="85"/>
              <w:jc w:val="right"/>
              <w:rPr>
                <w:sz w:val="16"/>
              </w:rPr>
            </w:pPr>
            <w:r>
              <w:rPr>
                <w:spacing w:val="-2"/>
                <w:sz w:val="16"/>
              </w:rPr>
              <w:t>Preferred</w:t>
            </w:r>
          </w:p>
        </w:tc>
        <w:tc>
          <w:tcPr>
            <w:tcW w:w="546" w:type="dxa"/>
          </w:tcPr>
          <w:p>
            <w:pPr>
              <w:pStyle w:val="TableParagraph"/>
              <w:spacing w:before="49"/>
              <w:rPr>
                <w:i/>
                <w:sz w:val="16"/>
              </w:rPr>
            </w:pPr>
          </w:p>
          <w:p>
            <w:pPr>
              <w:pStyle w:val="TableParagraph"/>
              <w:ind w:right="26"/>
              <w:jc w:val="right"/>
              <w:rPr>
                <w:sz w:val="16"/>
              </w:rPr>
            </w:pPr>
            <w:r>
              <w:rPr>
                <w:spacing w:val="-4"/>
                <w:sz w:val="16"/>
              </w:rPr>
              <w:t>Comm</w:t>
            </w:r>
          </w:p>
        </w:tc>
        <w:tc>
          <w:tcPr>
            <w:tcW w:w="671" w:type="dxa"/>
          </w:tcPr>
          <w:p>
            <w:pPr>
              <w:pStyle w:val="TableParagraph"/>
              <w:spacing w:before="49"/>
              <w:rPr>
                <w:i/>
                <w:sz w:val="16"/>
              </w:rPr>
            </w:pPr>
          </w:p>
          <w:p>
            <w:pPr>
              <w:pStyle w:val="TableParagraph"/>
              <w:ind w:left="-29" w:right="132"/>
              <w:jc w:val="right"/>
              <w:rPr>
                <w:sz w:val="16"/>
              </w:rPr>
            </w:pPr>
            <w:r>
              <w:rPr>
                <w:sz w:val="16"/>
              </w:rPr>
              <w:t>on </w:t>
            </w:r>
            <w:r>
              <w:rPr>
                <w:spacing w:val="-2"/>
                <w:sz w:val="16"/>
              </w:rPr>
              <w:t>Stock</w:t>
            </w:r>
          </w:p>
        </w:tc>
        <w:tc>
          <w:tcPr>
            <w:tcW w:w="618" w:type="dxa"/>
          </w:tcPr>
          <w:p>
            <w:pPr>
              <w:pStyle w:val="TableParagraph"/>
              <w:spacing w:line="208" w:lineRule="auto" w:before="92"/>
              <w:ind w:left="117" w:right="-29" w:firstLine="157"/>
              <w:rPr>
                <w:sz w:val="16"/>
              </w:rPr>
            </w:pPr>
            <w:r>
              <w:rPr>
                <w:spacing w:val="-4"/>
                <w:sz w:val="16"/>
              </w:rPr>
              <w:t>Nonv</w:t>
            </w:r>
            <w:r>
              <w:rPr>
                <w:spacing w:val="40"/>
                <w:sz w:val="16"/>
              </w:rPr>
              <w:t> </w:t>
            </w:r>
            <w:r>
              <w:rPr>
                <w:spacing w:val="-2"/>
                <w:sz w:val="16"/>
              </w:rPr>
              <w:t>Commo</w:t>
            </w:r>
          </w:p>
        </w:tc>
        <w:tc>
          <w:tcPr>
            <w:tcW w:w="635" w:type="dxa"/>
          </w:tcPr>
          <w:p>
            <w:pPr>
              <w:pStyle w:val="TableParagraph"/>
              <w:spacing w:line="172" w:lineRule="exact" w:before="73"/>
              <w:ind w:left="12"/>
              <w:rPr>
                <w:sz w:val="16"/>
              </w:rPr>
            </w:pPr>
            <w:r>
              <w:rPr>
                <w:spacing w:val="-2"/>
                <w:sz w:val="16"/>
              </w:rPr>
              <w:t>oting</w:t>
            </w:r>
          </w:p>
          <w:p>
            <w:pPr>
              <w:pStyle w:val="TableParagraph"/>
              <w:spacing w:line="172" w:lineRule="exact"/>
              <w:ind w:left="15"/>
              <w:rPr>
                <w:sz w:val="16"/>
              </w:rPr>
            </w:pPr>
            <w:r>
              <w:rPr>
                <w:sz w:val="16"/>
              </w:rPr>
              <w:t>n </w:t>
            </w:r>
            <w:r>
              <w:rPr>
                <w:spacing w:val="-2"/>
                <w:sz w:val="16"/>
              </w:rPr>
              <w:t>Stock</w:t>
            </w:r>
          </w:p>
        </w:tc>
        <w:tc>
          <w:tcPr>
            <w:tcW w:w="868" w:type="dxa"/>
          </w:tcPr>
          <w:p>
            <w:pPr>
              <w:pStyle w:val="TableParagraph"/>
              <w:spacing w:line="160" w:lineRule="exact" w:before="143"/>
              <w:ind w:left="191" w:right="101" w:hanging="111"/>
              <w:rPr>
                <w:sz w:val="16"/>
              </w:rPr>
            </w:pPr>
            <w:r>
              <w:rPr>
                <w:spacing w:val="-2"/>
                <w:sz w:val="16"/>
              </w:rPr>
              <w:t>Additional</w:t>
            </w:r>
            <w:r>
              <w:rPr>
                <w:spacing w:val="40"/>
                <w:sz w:val="16"/>
              </w:rPr>
              <w:t> </w:t>
            </w:r>
            <w:r>
              <w:rPr>
                <w:spacing w:val="-2"/>
                <w:sz w:val="16"/>
              </w:rPr>
              <w:t>Paid-in</w:t>
            </w:r>
          </w:p>
        </w:tc>
        <w:tc>
          <w:tcPr>
            <w:tcW w:w="737" w:type="dxa"/>
          </w:tcPr>
          <w:p>
            <w:pPr>
              <w:pStyle w:val="TableParagraph"/>
              <w:spacing w:before="129"/>
              <w:rPr>
                <w:i/>
                <w:sz w:val="16"/>
              </w:rPr>
            </w:pPr>
          </w:p>
          <w:p>
            <w:pPr>
              <w:pStyle w:val="TableParagraph"/>
              <w:spacing w:line="150" w:lineRule="exact"/>
              <w:ind w:right="110"/>
              <w:jc w:val="right"/>
              <w:rPr>
                <w:sz w:val="16"/>
              </w:rPr>
            </w:pPr>
            <w:r>
              <w:rPr>
                <w:spacing w:val="-2"/>
                <w:sz w:val="16"/>
              </w:rPr>
              <w:t>Retained</w:t>
            </w:r>
          </w:p>
        </w:tc>
        <w:tc>
          <w:tcPr>
            <w:tcW w:w="2623" w:type="dxa"/>
          </w:tcPr>
          <w:p>
            <w:pPr>
              <w:pStyle w:val="TableParagraph"/>
              <w:spacing w:line="165" w:lineRule="exact"/>
              <w:ind w:left="858"/>
              <w:rPr>
                <w:sz w:val="16"/>
              </w:rPr>
            </w:pPr>
            <w:r>
              <w:rPr>
                <w:spacing w:val="-2"/>
                <w:sz w:val="16"/>
              </w:rPr>
              <w:t>Accumulated</w:t>
            </w:r>
          </w:p>
          <w:p>
            <w:pPr>
              <w:pStyle w:val="TableParagraph"/>
              <w:tabs>
                <w:tab w:pos="782" w:val="left" w:leader="none"/>
                <w:tab w:pos="1102" w:val="left" w:leader="none"/>
              </w:tabs>
              <w:spacing w:line="160" w:lineRule="exact"/>
              <w:ind w:left="137" w:right="834" w:hanging="82"/>
              <w:rPr>
                <w:sz w:val="16"/>
              </w:rPr>
            </w:pPr>
            <w:r>
              <w:rPr>
                <w:spacing w:val="-2"/>
                <w:sz w:val="16"/>
              </w:rPr>
              <w:t>Treasury</w:t>
            </w:r>
            <w:r>
              <w:rPr>
                <w:sz w:val="16"/>
              </w:rPr>
              <w:tab/>
              <w:tab/>
            </w:r>
            <w:r>
              <w:rPr>
                <w:spacing w:val="-2"/>
                <w:sz w:val="16"/>
              </w:rPr>
              <w:t>Other</w:t>
            </w:r>
            <w:r>
              <w:rPr>
                <w:spacing w:val="40"/>
                <w:sz w:val="16"/>
              </w:rPr>
              <w:t> </w:t>
            </w:r>
            <w:r>
              <w:rPr>
                <w:spacing w:val="-2"/>
                <w:sz w:val="16"/>
              </w:rPr>
              <w:t>Stock,</w:t>
            </w:r>
            <w:r>
              <w:rPr>
                <w:sz w:val="16"/>
              </w:rPr>
              <w:tab/>
            </w:r>
            <w:r>
              <w:rPr>
                <w:spacing w:val="-2"/>
                <w:sz w:val="16"/>
              </w:rPr>
              <w:t>Comprehensive</w:t>
            </w:r>
          </w:p>
        </w:tc>
      </w:tr>
      <w:tr>
        <w:trPr>
          <w:trHeight w:val="186" w:hRule="atLeast"/>
        </w:trPr>
        <w:tc>
          <w:tcPr>
            <w:tcW w:w="3152" w:type="dxa"/>
            <w:vMerge/>
            <w:tcBorders>
              <w:top w:val="nil"/>
              <w:bottom w:val="single" w:sz="4" w:space="0" w:color="000000"/>
            </w:tcBorders>
          </w:tcPr>
          <w:p>
            <w:pPr>
              <w:rPr>
                <w:sz w:val="2"/>
                <w:szCs w:val="2"/>
              </w:rPr>
            </w:pPr>
          </w:p>
        </w:tc>
        <w:tc>
          <w:tcPr>
            <w:tcW w:w="781" w:type="dxa"/>
            <w:tcBorders>
              <w:bottom w:val="single" w:sz="4" w:space="0" w:color="000000"/>
            </w:tcBorders>
          </w:tcPr>
          <w:p>
            <w:pPr>
              <w:pStyle w:val="TableParagraph"/>
              <w:spacing w:line="162" w:lineRule="exact"/>
              <w:ind w:left="213"/>
              <w:rPr>
                <w:sz w:val="16"/>
              </w:rPr>
            </w:pPr>
            <w:r>
              <w:rPr>
                <w:spacing w:val="-2"/>
                <w:sz w:val="16"/>
              </w:rPr>
              <w:t>Stock</w:t>
            </w:r>
          </w:p>
        </w:tc>
        <w:tc>
          <w:tcPr>
            <w:tcW w:w="546" w:type="dxa"/>
            <w:tcBorders>
              <w:bottom w:val="single" w:sz="4" w:space="0" w:color="000000"/>
            </w:tcBorders>
          </w:tcPr>
          <w:p>
            <w:pPr>
              <w:pStyle w:val="TableParagraph"/>
              <w:spacing w:line="162" w:lineRule="exact"/>
              <w:ind w:right="71"/>
              <w:jc w:val="right"/>
              <w:rPr>
                <w:sz w:val="16"/>
              </w:rPr>
            </w:pPr>
            <w:r>
              <w:rPr/>
              <mc:AlternateContent>
                <mc:Choice Requires="wps">
                  <w:drawing>
                    <wp:anchor distT="0" distB="0" distL="0" distR="0" allowOverlap="1" layoutInCell="1" locked="0" behindDoc="1" simplePos="0" relativeHeight="475917824">
                      <wp:simplePos x="0" y="0"/>
                      <wp:positionH relativeFrom="column">
                        <wp:posOffset>-20460</wp:posOffset>
                      </wp:positionH>
                      <wp:positionV relativeFrom="paragraph">
                        <wp:posOffset>-33793</wp:posOffset>
                      </wp:positionV>
                      <wp:extent cx="1590675" cy="635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1590675" cy="6350"/>
                                <a:chExt cx="1590675" cy="6350"/>
                              </a:xfrm>
                            </wpg:grpSpPr>
                            <wps:wsp>
                              <wps:cNvPr id="135" name="Graphic 135"/>
                              <wps:cNvSpPr/>
                              <wps:spPr>
                                <a:xfrm>
                                  <a:off x="0" y="3175"/>
                                  <a:ext cx="1590675" cy="1270"/>
                                </a:xfrm>
                                <a:custGeom>
                                  <a:avLst/>
                                  <a:gdLst/>
                                  <a:ahLst/>
                                  <a:cxnLst/>
                                  <a:rect l="l" t="t" r="r" b="b"/>
                                  <a:pathLst>
                                    <a:path w="1590675" h="0">
                                      <a:moveTo>
                                        <a:pt x="1590675" y="0"/>
                                      </a:moveTo>
                                      <a:lnTo>
                                        <a:pt x="0" y="0"/>
                                      </a:lnTo>
                                    </a:path>
                                  </a:pathLst>
                                </a:custGeom>
                                <a:solidFill>
                                  <a:srgbClr val="000000"/>
                                </a:solidFill>
                              </wps:spPr>
                              <wps:bodyPr wrap="square" lIns="0" tIns="0" rIns="0" bIns="0" rtlCol="0">
                                <a:prstTxWarp prst="textNoShape">
                                  <a:avLst/>
                                </a:prstTxWarp>
                                <a:noAutofit/>
                              </wps:bodyPr>
                            </wps:wsp>
                            <wps:wsp>
                              <wps:cNvPr id="136" name="Graphic 136"/>
                              <wps:cNvSpPr/>
                              <wps:spPr>
                                <a:xfrm>
                                  <a:off x="0" y="3175"/>
                                  <a:ext cx="1590675" cy="1270"/>
                                </a:xfrm>
                                <a:custGeom>
                                  <a:avLst/>
                                  <a:gdLst/>
                                  <a:ahLst/>
                                  <a:cxnLst/>
                                  <a:rect l="l" t="t" r="r" b="b"/>
                                  <a:pathLst>
                                    <a:path w="1590675" h="0">
                                      <a:moveTo>
                                        <a:pt x="0" y="0"/>
                                      </a:moveTo>
                                      <a:lnTo>
                                        <a:pt x="159067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1032pt;margin-top:-2.660877pt;width:125.25pt;height:.5pt;mso-position-horizontal-relative:column;mso-position-vertical-relative:paragraph;z-index:-27398656" id="docshapegroup96" coordorigin="-32,-53" coordsize="2505,10">
                      <v:shape style="position:absolute;left:-33;top:-49;width:2505;height:2" id="docshape97" coordorigin="-32,-48" coordsize="2505,0" path="m2473,-48l-32,-48e" filled="true" fillcolor="#000000" stroked="false">
                        <v:path arrowok="t"/>
                        <v:fill opacity="0f" type="solid"/>
                      </v:shape>
                      <v:line style="position:absolute" from="-32,-48" to="2473,-48" stroked="true" strokeweight=".5pt" strokecolor="#000000">
                        <v:stroke dashstyle="solid"/>
                      </v:line>
                      <w10:wrap type="none"/>
                    </v:group>
                  </w:pict>
                </mc:Fallback>
              </mc:AlternateContent>
            </w:r>
            <w:r>
              <w:rPr>
                <w:spacing w:val="-2"/>
                <w:sz w:val="16"/>
              </w:rPr>
              <w:t>Shares</w:t>
            </w:r>
          </w:p>
        </w:tc>
        <w:tc>
          <w:tcPr>
            <w:tcW w:w="671" w:type="dxa"/>
            <w:tcBorders>
              <w:bottom w:val="single" w:sz="4" w:space="0" w:color="000000"/>
            </w:tcBorders>
          </w:tcPr>
          <w:p>
            <w:pPr>
              <w:pStyle w:val="TableParagraph"/>
              <w:spacing w:line="162" w:lineRule="exact"/>
              <w:ind w:left="-29" w:right="78"/>
              <w:jc w:val="right"/>
              <w:rPr>
                <w:sz w:val="16"/>
              </w:rPr>
            </w:pPr>
            <w:r>
              <w:rPr>
                <w:spacing w:val="-2"/>
                <w:sz w:val="16"/>
              </w:rPr>
              <w:t>Amount</w:t>
            </w:r>
          </w:p>
        </w:tc>
        <w:tc>
          <w:tcPr>
            <w:tcW w:w="618" w:type="dxa"/>
            <w:tcBorders>
              <w:bottom w:val="single" w:sz="4" w:space="0" w:color="000000"/>
            </w:tcBorders>
          </w:tcPr>
          <w:p>
            <w:pPr>
              <w:pStyle w:val="TableParagraph"/>
              <w:spacing w:line="162" w:lineRule="exact"/>
              <w:ind w:right="115"/>
              <w:jc w:val="right"/>
              <w:rPr>
                <w:sz w:val="16"/>
              </w:rPr>
            </w:pPr>
            <w:r>
              <w:rPr>
                <w:spacing w:val="-2"/>
                <w:sz w:val="16"/>
              </w:rPr>
              <w:t>Shares</w:t>
            </w:r>
          </w:p>
        </w:tc>
        <w:tc>
          <w:tcPr>
            <w:tcW w:w="635" w:type="dxa"/>
            <w:tcBorders>
              <w:bottom w:val="single" w:sz="4" w:space="0" w:color="000000"/>
            </w:tcBorders>
          </w:tcPr>
          <w:p>
            <w:pPr>
              <w:pStyle w:val="TableParagraph"/>
              <w:spacing w:line="162" w:lineRule="exact"/>
              <w:ind w:right="63"/>
              <w:jc w:val="right"/>
              <w:rPr>
                <w:sz w:val="16"/>
              </w:rPr>
            </w:pPr>
            <w:r>
              <w:rPr>
                <w:spacing w:val="-2"/>
                <w:sz w:val="16"/>
              </w:rPr>
              <w:t>Amount</w:t>
            </w:r>
          </w:p>
        </w:tc>
        <w:tc>
          <w:tcPr>
            <w:tcW w:w="868" w:type="dxa"/>
            <w:tcBorders>
              <w:bottom w:val="single" w:sz="4" w:space="0" w:color="000000"/>
            </w:tcBorders>
          </w:tcPr>
          <w:p>
            <w:pPr>
              <w:pStyle w:val="TableParagraph"/>
              <w:spacing w:line="162" w:lineRule="exact"/>
              <w:ind w:left="191"/>
              <w:rPr>
                <w:sz w:val="16"/>
              </w:rPr>
            </w:pPr>
            <w:r>
              <w:rPr>
                <w:spacing w:val="-2"/>
                <w:sz w:val="16"/>
              </w:rPr>
              <w:t>Capital</w:t>
            </w:r>
          </w:p>
        </w:tc>
        <w:tc>
          <w:tcPr>
            <w:tcW w:w="737" w:type="dxa"/>
            <w:tcBorders>
              <w:bottom w:val="single" w:sz="4" w:space="0" w:color="000000"/>
            </w:tcBorders>
          </w:tcPr>
          <w:p>
            <w:pPr>
              <w:pStyle w:val="TableParagraph"/>
              <w:spacing w:line="162" w:lineRule="exact"/>
              <w:ind w:right="109"/>
              <w:jc w:val="right"/>
              <w:rPr>
                <w:sz w:val="16"/>
              </w:rPr>
            </w:pPr>
            <w:r>
              <w:rPr>
                <w:spacing w:val="-2"/>
                <w:sz w:val="16"/>
              </w:rPr>
              <w:t>Earnings</w:t>
            </w:r>
          </w:p>
        </w:tc>
        <w:tc>
          <w:tcPr>
            <w:tcW w:w="2623" w:type="dxa"/>
            <w:tcBorders>
              <w:bottom w:val="single" w:sz="4" w:space="0" w:color="000000"/>
            </w:tcBorders>
          </w:tcPr>
          <w:p>
            <w:pPr>
              <w:pStyle w:val="TableParagraph"/>
              <w:tabs>
                <w:tab w:pos="820" w:val="left" w:leader="none"/>
                <w:tab w:pos="2068" w:val="left" w:leader="none"/>
              </w:tabs>
              <w:spacing w:line="162" w:lineRule="exact"/>
              <w:ind w:left="133"/>
              <w:rPr>
                <w:sz w:val="16"/>
              </w:rPr>
            </w:pPr>
            <w:r>
              <w:rPr>
                <w:sz w:val="16"/>
              </w:rPr>
              <w:t>at </w:t>
            </w:r>
            <w:r>
              <w:rPr>
                <w:spacing w:val="-4"/>
                <w:sz w:val="16"/>
              </w:rPr>
              <w:t>cost</w:t>
            </w:r>
            <w:r>
              <w:rPr>
                <w:sz w:val="16"/>
              </w:rPr>
              <w:tab/>
              <w:t>Income </w:t>
            </w:r>
            <w:r>
              <w:rPr>
                <w:spacing w:val="-2"/>
                <w:sz w:val="16"/>
              </w:rPr>
              <w:t>(Loss)</w:t>
            </w:r>
            <w:r>
              <w:rPr>
                <w:sz w:val="16"/>
              </w:rPr>
              <w:tab/>
            </w:r>
            <w:r>
              <w:rPr>
                <w:spacing w:val="-2"/>
                <w:sz w:val="16"/>
              </w:rPr>
              <w:t>Total</w:t>
            </w:r>
          </w:p>
        </w:tc>
      </w:tr>
      <w:tr>
        <w:trPr>
          <w:trHeight w:val="220" w:hRule="atLeast"/>
        </w:trPr>
        <w:tc>
          <w:tcPr>
            <w:tcW w:w="3152" w:type="dxa"/>
            <w:tcBorders>
              <w:top w:val="single" w:sz="4" w:space="0" w:color="000000"/>
              <w:bottom w:val="double" w:sz="8" w:space="0" w:color="000000"/>
            </w:tcBorders>
            <w:shd w:val="clear" w:color="auto" w:fill="CCEDFF"/>
          </w:tcPr>
          <w:p>
            <w:pPr>
              <w:pStyle w:val="TableParagraph"/>
              <w:spacing w:line="164" w:lineRule="exact" w:before="36"/>
              <w:ind w:left="52"/>
              <w:rPr>
                <w:sz w:val="16"/>
              </w:rPr>
            </w:pPr>
            <w:r>
              <w:rPr>
                <w:sz w:val="16"/>
              </w:rPr>
              <w:t>Balance</w:t>
            </w:r>
            <w:r>
              <w:rPr>
                <w:spacing w:val="-1"/>
                <w:sz w:val="16"/>
              </w:rPr>
              <w:t> </w:t>
            </w:r>
            <w:r>
              <w:rPr>
                <w:sz w:val="16"/>
              </w:rPr>
              <w:t>at December 31, </w:t>
            </w:r>
            <w:r>
              <w:rPr>
                <w:spacing w:val="-4"/>
                <w:sz w:val="16"/>
              </w:rPr>
              <w:t>2021</w:t>
            </w:r>
          </w:p>
        </w:tc>
        <w:tc>
          <w:tcPr>
            <w:tcW w:w="781" w:type="dxa"/>
            <w:tcBorders>
              <w:top w:val="single" w:sz="4" w:space="0" w:color="000000"/>
              <w:bottom w:val="double" w:sz="8" w:space="0" w:color="000000"/>
            </w:tcBorders>
            <w:shd w:val="clear" w:color="auto" w:fill="CCEDFF"/>
          </w:tcPr>
          <w:p>
            <w:pPr>
              <w:pStyle w:val="TableParagraph"/>
              <w:spacing w:line="164" w:lineRule="exact" w:before="36"/>
              <w:ind w:right="99"/>
              <w:jc w:val="right"/>
              <w:rPr>
                <w:sz w:val="16"/>
              </w:rPr>
            </w:pPr>
            <w:r>
              <w:rPr>
                <w:sz w:val="16"/>
              </w:rPr>
              <w:t>$</w:t>
            </w:r>
            <w:r>
              <w:rPr>
                <w:spacing w:val="32"/>
                <w:sz w:val="16"/>
              </w:rPr>
              <w:t>  </w:t>
            </w:r>
            <w:r>
              <w:rPr>
                <w:spacing w:val="-2"/>
                <w:sz w:val="16"/>
              </w:rPr>
              <w:t>9,954</w:t>
            </w:r>
          </w:p>
        </w:tc>
        <w:tc>
          <w:tcPr>
            <w:tcW w:w="546" w:type="dxa"/>
            <w:tcBorders>
              <w:top w:val="single" w:sz="4" w:space="0" w:color="000000"/>
              <w:bottom w:val="double" w:sz="8" w:space="0" w:color="000000"/>
            </w:tcBorders>
            <w:shd w:val="clear" w:color="auto" w:fill="CCEDFF"/>
          </w:tcPr>
          <w:p>
            <w:pPr>
              <w:pStyle w:val="TableParagraph"/>
              <w:spacing w:line="164" w:lineRule="exact" w:before="36"/>
              <w:ind w:right="60"/>
              <w:jc w:val="right"/>
              <w:rPr>
                <w:sz w:val="16"/>
              </w:rPr>
            </w:pPr>
            <w:r>
              <w:rPr>
                <w:spacing w:val="-2"/>
                <w:sz w:val="16"/>
              </w:rPr>
              <w:t>1,995</w:t>
            </w:r>
          </w:p>
        </w:tc>
        <w:tc>
          <w:tcPr>
            <w:tcW w:w="671" w:type="dxa"/>
            <w:tcBorders>
              <w:top w:val="single" w:sz="4" w:space="0" w:color="000000"/>
              <w:bottom w:val="double" w:sz="8" w:space="0" w:color="000000"/>
            </w:tcBorders>
            <w:shd w:val="clear" w:color="auto" w:fill="CCEDFF"/>
          </w:tcPr>
          <w:p>
            <w:pPr>
              <w:pStyle w:val="TableParagraph"/>
              <w:tabs>
                <w:tab w:pos="364" w:val="left" w:leader="none"/>
              </w:tabs>
              <w:spacing w:line="164" w:lineRule="exact" w:before="36"/>
              <w:ind w:right="86"/>
              <w:jc w:val="right"/>
              <w:rPr>
                <w:sz w:val="16"/>
              </w:rPr>
            </w:pPr>
            <w:r>
              <w:rPr>
                <w:spacing w:val="-10"/>
                <w:sz w:val="16"/>
              </w:rPr>
              <w:t>$</w:t>
            </w:r>
            <w:r>
              <w:rPr>
                <w:sz w:val="16"/>
              </w:rPr>
              <w:tab/>
            </w:r>
            <w:r>
              <w:rPr>
                <w:spacing w:val="-5"/>
                <w:sz w:val="16"/>
              </w:rPr>
              <w:t>20</w:t>
            </w:r>
          </w:p>
        </w:tc>
        <w:tc>
          <w:tcPr>
            <w:tcW w:w="618" w:type="dxa"/>
            <w:tcBorders>
              <w:top w:val="single" w:sz="4" w:space="0" w:color="000000"/>
              <w:bottom w:val="double" w:sz="8" w:space="0" w:color="000000"/>
            </w:tcBorders>
            <w:shd w:val="clear" w:color="auto" w:fill="CCEDFF"/>
          </w:tcPr>
          <w:p>
            <w:pPr>
              <w:pStyle w:val="TableParagraph"/>
              <w:spacing w:line="164" w:lineRule="exact" w:before="36"/>
              <w:ind w:right="89"/>
              <w:jc w:val="right"/>
              <w:rPr>
                <w:sz w:val="16"/>
              </w:rPr>
            </w:pPr>
            <w:r>
              <w:rPr>
                <w:spacing w:val="-5"/>
                <w:sz w:val="16"/>
              </w:rPr>
              <w:t>79</w:t>
            </w:r>
          </w:p>
        </w:tc>
        <w:tc>
          <w:tcPr>
            <w:tcW w:w="635" w:type="dxa"/>
            <w:tcBorders>
              <w:top w:val="single" w:sz="4" w:space="0" w:color="000000"/>
              <w:bottom w:val="double" w:sz="8" w:space="0" w:color="000000"/>
            </w:tcBorders>
            <w:shd w:val="clear" w:color="auto" w:fill="CCEDFF"/>
          </w:tcPr>
          <w:p>
            <w:pPr>
              <w:pStyle w:val="TableParagraph"/>
              <w:tabs>
                <w:tab w:pos="459" w:val="left" w:leader="none"/>
              </w:tabs>
              <w:spacing w:line="164" w:lineRule="exact" w:before="36"/>
              <w:ind w:right="64"/>
              <w:jc w:val="right"/>
              <w:rPr>
                <w:sz w:val="16"/>
              </w:rPr>
            </w:pPr>
            <w:r>
              <w:rPr>
                <w:spacing w:val="-10"/>
                <w:sz w:val="16"/>
              </w:rPr>
              <w:t>$</w:t>
            </w:r>
            <w:r>
              <w:rPr>
                <w:sz w:val="16"/>
              </w:rPr>
              <w:tab/>
            </w:r>
            <w:r>
              <w:rPr>
                <w:spacing w:val="-10"/>
                <w:sz w:val="16"/>
              </w:rPr>
              <w:t>1</w:t>
            </w:r>
          </w:p>
        </w:tc>
        <w:tc>
          <w:tcPr>
            <w:tcW w:w="868" w:type="dxa"/>
            <w:tcBorders>
              <w:top w:val="single" w:sz="4" w:space="0" w:color="000000"/>
              <w:bottom w:val="double" w:sz="8" w:space="0" w:color="000000"/>
            </w:tcBorders>
            <w:shd w:val="clear" w:color="auto" w:fill="CCEDFF"/>
          </w:tcPr>
          <w:p>
            <w:pPr>
              <w:pStyle w:val="TableParagraph"/>
              <w:spacing w:line="164" w:lineRule="exact" w:before="36"/>
              <w:ind w:left="54"/>
              <w:rPr>
                <w:sz w:val="16"/>
              </w:rPr>
            </w:pPr>
            <w:r>
              <w:rPr>
                <w:sz w:val="16"/>
              </w:rPr>
              <w:t>$</w:t>
            </w:r>
            <w:r>
              <w:rPr>
                <w:spacing w:val="59"/>
                <w:sz w:val="16"/>
              </w:rPr>
              <w:t>  </w:t>
            </w:r>
            <w:r>
              <w:rPr>
                <w:spacing w:val="-2"/>
                <w:sz w:val="16"/>
              </w:rPr>
              <w:t>26,741</w:t>
            </w:r>
          </w:p>
        </w:tc>
        <w:tc>
          <w:tcPr>
            <w:tcW w:w="737" w:type="dxa"/>
            <w:tcBorders>
              <w:top w:val="single" w:sz="4" w:space="0" w:color="000000"/>
              <w:bottom w:val="double" w:sz="8" w:space="0" w:color="000000"/>
            </w:tcBorders>
            <w:shd w:val="clear" w:color="auto" w:fill="CCEDFF"/>
          </w:tcPr>
          <w:p>
            <w:pPr>
              <w:pStyle w:val="TableParagraph"/>
              <w:spacing w:line="164" w:lineRule="exact" w:before="36"/>
              <w:ind w:right="94"/>
              <w:jc w:val="right"/>
              <w:rPr>
                <w:sz w:val="16"/>
              </w:rPr>
            </w:pPr>
            <w:r>
              <w:rPr>
                <w:sz w:val="16"/>
              </w:rPr>
              <w:t>$</w:t>
            </w:r>
            <w:r>
              <w:rPr>
                <w:spacing w:val="54"/>
                <w:sz w:val="16"/>
              </w:rPr>
              <w:t> </w:t>
            </w:r>
            <w:r>
              <w:rPr>
                <w:spacing w:val="-2"/>
                <w:sz w:val="16"/>
              </w:rPr>
              <w:t>25,992</w:t>
            </w:r>
          </w:p>
        </w:tc>
        <w:tc>
          <w:tcPr>
            <w:tcW w:w="2623" w:type="dxa"/>
            <w:tcBorders>
              <w:top w:val="single" w:sz="4" w:space="0" w:color="000000"/>
              <w:bottom w:val="double" w:sz="8" w:space="0" w:color="000000"/>
            </w:tcBorders>
            <w:shd w:val="clear" w:color="auto" w:fill="CCEDFF"/>
          </w:tcPr>
          <w:p>
            <w:pPr>
              <w:pStyle w:val="TableParagraph"/>
              <w:tabs>
                <w:tab w:pos="1355" w:val="left" w:leader="none"/>
              </w:tabs>
              <w:spacing w:line="164" w:lineRule="exact" w:before="36"/>
              <w:ind w:right="77"/>
              <w:jc w:val="right"/>
              <w:rPr>
                <w:sz w:val="16"/>
              </w:rPr>
            </w:pPr>
            <w:r>
              <w:rPr>
                <w:sz w:val="16"/>
              </w:rPr>
              <w:t>$</w:t>
            </w:r>
            <w:r>
              <w:rPr>
                <w:spacing w:val="60"/>
                <w:w w:val="150"/>
                <w:sz w:val="16"/>
              </w:rPr>
              <w:t> </w:t>
            </w:r>
            <w:r>
              <w:rPr>
                <w:sz w:val="16"/>
              </w:rPr>
              <w:t>(5,338)</w:t>
            </w:r>
            <w:r>
              <w:rPr>
                <w:spacing w:val="27"/>
                <w:sz w:val="16"/>
              </w:rPr>
              <w:t> </w:t>
            </w:r>
            <w:r>
              <w:rPr>
                <w:spacing w:val="-10"/>
                <w:sz w:val="16"/>
              </w:rPr>
              <w:t>$</w:t>
            </w:r>
            <w:r>
              <w:rPr>
                <w:sz w:val="16"/>
              </w:rPr>
              <w:tab/>
              <w:t>(1,109)</w:t>
            </w:r>
            <w:r>
              <w:rPr>
                <w:spacing w:val="27"/>
                <w:sz w:val="16"/>
              </w:rPr>
              <w:t> </w:t>
            </w:r>
            <w:r>
              <w:rPr>
                <w:sz w:val="16"/>
              </w:rPr>
              <w:t>$</w:t>
            </w:r>
            <w:r>
              <w:rPr>
                <w:spacing w:val="69"/>
                <w:sz w:val="16"/>
              </w:rPr>
              <w:t> </w:t>
            </w:r>
            <w:r>
              <w:rPr>
                <w:spacing w:val="-2"/>
                <w:sz w:val="16"/>
              </w:rPr>
              <w:t>56,261</w:t>
            </w:r>
          </w:p>
        </w:tc>
      </w:tr>
      <w:tr>
        <w:trPr>
          <w:trHeight w:val="225" w:hRule="atLeast"/>
        </w:trPr>
        <w:tc>
          <w:tcPr>
            <w:tcW w:w="3152" w:type="dxa"/>
            <w:tcBorders>
              <w:top w:val="double" w:sz="8" w:space="0" w:color="000000"/>
            </w:tcBorders>
          </w:tcPr>
          <w:p>
            <w:pPr>
              <w:pStyle w:val="TableParagraph"/>
              <w:spacing w:before="11"/>
              <w:ind w:left="52"/>
              <w:rPr>
                <w:sz w:val="16"/>
              </w:rPr>
            </w:pPr>
            <w:r>
              <w:rPr>
                <w:sz w:val="16"/>
              </w:rPr>
              <w:t>Net</w:t>
            </w:r>
            <w:r>
              <w:rPr>
                <w:spacing w:val="-1"/>
                <w:sz w:val="16"/>
              </w:rPr>
              <w:t> </w:t>
            </w:r>
            <w:r>
              <w:rPr>
                <w:spacing w:val="-2"/>
                <w:sz w:val="16"/>
              </w:rPr>
              <w:t>income</w:t>
            </w:r>
          </w:p>
        </w:tc>
        <w:tc>
          <w:tcPr>
            <w:tcW w:w="781" w:type="dxa"/>
            <w:tcBorders>
              <w:top w:val="double" w:sz="8" w:space="0" w:color="000000"/>
            </w:tcBorders>
          </w:tcPr>
          <w:p>
            <w:pPr>
              <w:pStyle w:val="TableParagraph"/>
              <w:spacing w:before="11"/>
              <w:ind w:right="99"/>
              <w:jc w:val="right"/>
              <w:rPr>
                <w:sz w:val="16"/>
              </w:rPr>
            </w:pPr>
            <w:r>
              <w:rPr>
                <w:spacing w:val="-10"/>
                <w:sz w:val="16"/>
              </w:rPr>
              <w:t>—</w:t>
            </w:r>
          </w:p>
        </w:tc>
        <w:tc>
          <w:tcPr>
            <w:tcW w:w="546" w:type="dxa"/>
            <w:tcBorders>
              <w:top w:val="double" w:sz="8" w:space="0" w:color="000000"/>
            </w:tcBorders>
          </w:tcPr>
          <w:p>
            <w:pPr>
              <w:pStyle w:val="TableParagraph"/>
              <w:spacing w:before="11"/>
              <w:ind w:right="60"/>
              <w:jc w:val="right"/>
              <w:rPr>
                <w:sz w:val="16"/>
              </w:rPr>
            </w:pPr>
            <w:r>
              <w:rPr>
                <w:spacing w:val="-10"/>
                <w:sz w:val="16"/>
              </w:rPr>
              <w:t>—</w:t>
            </w:r>
          </w:p>
        </w:tc>
        <w:tc>
          <w:tcPr>
            <w:tcW w:w="671" w:type="dxa"/>
            <w:tcBorders>
              <w:top w:val="double" w:sz="8" w:space="0" w:color="000000"/>
            </w:tcBorders>
          </w:tcPr>
          <w:p>
            <w:pPr>
              <w:pStyle w:val="TableParagraph"/>
              <w:spacing w:before="11"/>
              <w:ind w:left="-29" w:right="86"/>
              <w:jc w:val="right"/>
              <w:rPr>
                <w:sz w:val="16"/>
              </w:rPr>
            </w:pPr>
            <w:r>
              <w:rPr>
                <w:spacing w:val="-10"/>
                <w:sz w:val="16"/>
              </w:rPr>
              <w:t>—</w:t>
            </w:r>
          </w:p>
        </w:tc>
        <w:tc>
          <w:tcPr>
            <w:tcW w:w="618" w:type="dxa"/>
            <w:tcBorders>
              <w:top w:val="double" w:sz="8" w:space="0" w:color="000000"/>
            </w:tcBorders>
          </w:tcPr>
          <w:p>
            <w:pPr>
              <w:pStyle w:val="TableParagraph"/>
              <w:spacing w:before="11"/>
              <w:ind w:right="89"/>
              <w:jc w:val="right"/>
              <w:rPr>
                <w:sz w:val="16"/>
              </w:rPr>
            </w:pPr>
            <w:r>
              <w:rPr>
                <w:spacing w:val="-10"/>
                <w:sz w:val="16"/>
              </w:rPr>
              <w:t>—</w:t>
            </w:r>
          </w:p>
        </w:tc>
        <w:tc>
          <w:tcPr>
            <w:tcW w:w="635" w:type="dxa"/>
            <w:tcBorders>
              <w:top w:val="double" w:sz="8" w:space="0" w:color="000000"/>
            </w:tcBorders>
          </w:tcPr>
          <w:p>
            <w:pPr>
              <w:pStyle w:val="TableParagraph"/>
              <w:spacing w:before="11"/>
              <w:ind w:right="64"/>
              <w:jc w:val="right"/>
              <w:rPr>
                <w:sz w:val="16"/>
              </w:rPr>
            </w:pPr>
            <w:r>
              <w:rPr>
                <w:spacing w:val="-10"/>
                <w:sz w:val="16"/>
              </w:rPr>
              <w:t>—</w:t>
            </w:r>
          </w:p>
        </w:tc>
        <w:tc>
          <w:tcPr>
            <w:tcW w:w="868" w:type="dxa"/>
            <w:tcBorders>
              <w:top w:val="double" w:sz="8" w:space="0" w:color="000000"/>
            </w:tcBorders>
          </w:tcPr>
          <w:p>
            <w:pPr>
              <w:pStyle w:val="TableParagraph"/>
              <w:spacing w:before="11"/>
              <w:ind w:right="92"/>
              <w:jc w:val="right"/>
              <w:rPr>
                <w:sz w:val="16"/>
              </w:rPr>
            </w:pPr>
            <w:r>
              <w:rPr>
                <w:spacing w:val="-10"/>
                <w:sz w:val="16"/>
              </w:rPr>
              <w:t>—</w:t>
            </w:r>
          </w:p>
        </w:tc>
        <w:tc>
          <w:tcPr>
            <w:tcW w:w="737" w:type="dxa"/>
            <w:tcBorders>
              <w:top w:val="double" w:sz="8" w:space="0" w:color="000000"/>
            </w:tcBorders>
          </w:tcPr>
          <w:p>
            <w:pPr>
              <w:pStyle w:val="TableParagraph"/>
              <w:spacing w:before="11"/>
              <w:ind w:right="94"/>
              <w:jc w:val="right"/>
              <w:rPr>
                <w:sz w:val="16"/>
              </w:rPr>
            </w:pPr>
            <w:r>
              <w:rPr>
                <w:spacing w:val="-2"/>
                <w:sz w:val="16"/>
              </w:rPr>
              <w:t>5,215</w:t>
            </w:r>
          </w:p>
        </w:tc>
        <w:tc>
          <w:tcPr>
            <w:tcW w:w="2623" w:type="dxa"/>
            <w:tcBorders>
              <w:top w:val="double" w:sz="8" w:space="0" w:color="000000"/>
            </w:tcBorders>
          </w:tcPr>
          <w:p>
            <w:pPr>
              <w:pStyle w:val="TableParagraph"/>
              <w:tabs>
                <w:tab w:pos="1154" w:val="left" w:leader="none"/>
                <w:tab w:pos="1704" w:val="left" w:leader="none"/>
              </w:tabs>
              <w:spacing w:before="11"/>
              <w:ind w:right="77"/>
              <w:jc w:val="right"/>
              <w:rPr>
                <w:sz w:val="16"/>
              </w:rPr>
            </w:pPr>
            <w:r>
              <w:rPr>
                <w:spacing w:val="-10"/>
                <w:sz w:val="16"/>
              </w:rPr>
              <w:t>—</w:t>
            </w:r>
            <w:r>
              <w:rPr>
                <w:sz w:val="16"/>
              </w:rPr>
              <w:tab/>
            </w:r>
            <w:r>
              <w:rPr>
                <w:spacing w:val="-10"/>
                <w:sz w:val="16"/>
              </w:rPr>
              <w:t>—</w:t>
            </w:r>
            <w:r>
              <w:rPr>
                <w:sz w:val="16"/>
              </w:rPr>
              <w:tab/>
            </w:r>
            <w:r>
              <w:rPr>
                <w:spacing w:val="-2"/>
                <w:sz w:val="16"/>
              </w:rPr>
              <w:t>5,215</w:t>
            </w:r>
          </w:p>
        </w:tc>
      </w:tr>
      <w:tr>
        <w:trPr>
          <w:trHeight w:val="255" w:hRule="atLeast"/>
        </w:trPr>
        <w:tc>
          <w:tcPr>
            <w:tcW w:w="3152" w:type="dxa"/>
            <w:shd w:val="clear" w:color="auto" w:fill="CCEDFF"/>
          </w:tcPr>
          <w:p>
            <w:pPr>
              <w:pStyle w:val="TableParagraph"/>
              <w:spacing w:before="41"/>
              <w:ind w:left="52"/>
              <w:rPr>
                <w:sz w:val="16"/>
              </w:rPr>
            </w:pPr>
            <w:r>
              <w:rPr>
                <w:sz w:val="16"/>
              </w:rPr>
              <w:t>Other</w:t>
            </w:r>
            <w:r>
              <w:rPr>
                <w:spacing w:val="-1"/>
                <w:sz w:val="16"/>
              </w:rPr>
              <w:t> </w:t>
            </w:r>
            <w:r>
              <w:rPr>
                <w:sz w:val="16"/>
              </w:rPr>
              <w:t>comprehensive</w:t>
            </w:r>
            <w:r>
              <w:rPr>
                <w:spacing w:val="-1"/>
                <w:sz w:val="16"/>
              </w:rPr>
              <w:t> </w:t>
            </w:r>
            <w:r>
              <w:rPr>
                <w:sz w:val="16"/>
              </w:rPr>
              <w:t>income (loss),</w:t>
            </w:r>
            <w:r>
              <w:rPr>
                <w:spacing w:val="-1"/>
                <w:sz w:val="16"/>
              </w:rPr>
              <w:t> </w:t>
            </w:r>
            <w:r>
              <w:rPr>
                <w:sz w:val="16"/>
              </w:rPr>
              <w:t>net</w:t>
            </w:r>
            <w:r>
              <w:rPr>
                <w:spacing w:val="-1"/>
                <w:sz w:val="16"/>
              </w:rPr>
              <w:t> </w:t>
            </w:r>
            <w:r>
              <w:rPr>
                <w:sz w:val="16"/>
              </w:rPr>
              <w:t>of </w:t>
            </w:r>
            <w:r>
              <w:rPr>
                <w:spacing w:val="-5"/>
                <w:sz w:val="16"/>
              </w:rPr>
              <w:t>tax</w:t>
            </w:r>
          </w:p>
        </w:tc>
        <w:tc>
          <w:tcPr>
            <w:tcW w:w="781" w:type="dxa"/>
            <w:shd w:val="clear" w:color="auto" w:fill="CCEDFF"/>
          </w:tcPr>
          <w:p>
            <w:pPr>
              <w:pStyle w:val="TableParagraph"/>
              <w:spacing w:before="41"/>
              <w:ind w:right="99"/>
              <w:jc w:val="right"/>
              <w:rPr>
                <w:sz w:val="16"/>
              </w:rPr>
            </w:pPr>
            <w:r>
              <w:rPr>
                <w:spacing w:val="-10"/>
                <w:sz w:val="16"/>
              </w:rPr>
              <w:t>—</w:t>
            </w:r>
          </w:p>
        </w:tc>
        <w:tc>
          <w:tcPr>
            <w:tcW w:w="546" w:type="dxa"/>
            <w:shd w:val="clear" w:color="auto" w:fill="CCEDFF"/>
          </w:tcPr>
          <w:p>
            <w:pPr>
              <w:pStyle w:val="TableParagraph"/>
              <w:spacing w:before="41"/>
              <w:ind w:right="60"/>
              <w:jc w:val="right"/>
              <w:rPr>
                <w:sz w:val="16"/>
              </w:rPr>
            </w:pPr>
            <w:r>
              <w:rPr>
                <w:spacing w:val="-10"/>
                <w:sz w:val="16"/>
              </w:rPr>
              <w:t>—</w:t>
            </w:r>
          </w:p>
        </w:tc>
        <w:tc>
          <w:tcPr>
            <w:tcW w:w="671" w:type="dxa"/>
            <w:shd w:val="clear" w:color="auto" w:fill="CCEDFF"/>
          </w:tcPr>
          <w:p>
            <w:pPr>
              <w:pStyle w:val="TableParagraph"/>
              <w:spacing w:before="41"/>
              <w:ind w:left="-29" w:right="86"/>
              <w:jc w:val="right"/>
              <w:rPr>
                <w:sz w:val="16"/>
              </w:rPr>
            </w:pPr>
            <w:r>
              <w:rPr>
                <w:spacing w:val="-10"/>
                <w:sz w:val="16"/>
              </w:rPr>
              <w:t>—</w:t>
            </w:r>
          </w:p>
        </w:tc>
        <w:tc>
          <w:tcPr>
            <w:tcW w:w="618" w:type="dxa"/>
            <w:shd w:val="clear" w:color="auto" w:fill="CCEDFF"/>
          </w:tcPr>
          <w:p>
            <w:pPr>
              <w:pStyle w:val="TableParagraph"/>
              <w:spacing w:before="41"/>
              <w:ind w:right="89"/>
              <w:jc w:val="right"/>
              <w:rPr>
                <w:sz w:val="16"/>
              </w:rPr>
            </w:pPr>
            <w:r>
              <w:rPr>
                <w:spacing w:val="-10"/>
                <w:sz w:val="16"/>
              </w:rPr>
              <w:t>—</w:t>
            </w:r>
          </w:p>
        </w:tc>
        <w:tc>
          <w:tcPr>
            <w:tcW w:w="635" w:type="dxa"/>
            <w:shd w:val="clear" w:color="auto" w:fill="CCEDFF"/>
          </w:tcPr>
          <w:p>
            <w:pPr>
              <w:pStyle w:val="TableParagraph"/>
              <w:spacing w:before="41"/>
              <w:ind w:right="64"/>
              <w:jc w:val="right"/>
              <w:rPr>
                <w:sz w:val="16"/>
              </w:rPr>
            </w:pPr>
            <w:r>
              <w:rPr>
                <w:spacing w:val="-10"/>
                <w:sz w:val="16"/>
              </w:rPr>
              <w:t>—</w:t>
            </w:r>
          </w:p>
        </w:tc>
        <w:tc>
          <w:tcPr>
            <w:tcW w:w="868" w:type="dxa"/>
            <w:shd w:val="clear" w:color="auto" w:fill="CCEDFF"/>
          </w:tcPr>
          <w:p>
            <w:pPr>
              <w:pStyle w:val="TableParagraph"/>
              <w:spacing w:before="41"/>
              <w:ind w:right="92"/>
              <w:jc w:val="right"/>
              <w:rPr>
                <w:sz w:val="16"/>
              </w:rPr>
            </w:pPr>
            <w:r>
              <w:rPr>
                <w:spacing w:val="-10"/>
                <w:sz w:val="16"/>
              </w:rPr>
              <w:t>—</w:t>
            </w:r>
          </w:p>
        </w:tc>
        <w:tc>
          <w:tcPr>
            <w:tcW w:w="737" w:type="dxa"/>
            <w:shd w:val="clear" w:color="auto" w:fill="CCEDFF"/>
          </w:tcPr>
          <w:p>
            <w:pPr>
              <w:pStyle w:val="TableParagraph"/>
              <w:spacing w:before="41"/>
              <w:ind w:right="94"/>
              <w:jc w:val="right"/>
              <w:rPr>
                <w:sz w:val="16"/>
              </w:rPr>
            </w:pPr>
            <w:r>
              <w:rPr>
                <w:spacing w:val="-10"/>
                <w:sz w:val="16"/>
              </w:rPr>
              <w:t>—</w:t>
            </w:r>
          </w:p>
        </w:tc>
        <w:tc>
          <w:tcPr>
            <w:tcW w:w="2623" w:type="dxa"/>
            <w:shd w:val="clear" w:color="auto" w:fill="CCEDFF"/>
          </w:tcPr>
          <w:p>
            <w:pPr>
              <w:pStyle w:val="TableParagraph"/>
              <w:tabs>
                <w:tab w:pos="821" w:val="left" w:leader="none"/>
                <w:tab w:pos="1571" w:val="left" w:leader="none"/>
              </w:tabs>
              <w:spacing w:before="41"/>
              <w:ind w:right="23"/>
              <w:jc w:val="right"/>
              <w:rPr>
                <w:sz w:val="16"/>
              </w:rPr>
            </w:pPr>
            <w:r>
              <w:rPr>
                <w:spacing w:val="-10"/>
                <w:sz w:val="16"/>
              </w:rPr>
              <w:t>—</w:t>
            </w:r>
            <w:r>
              <w:rPr>
                <w:sz w:val="16"/>
              </w:rPr>
              <w:tab/>
            </w:r>
            <w:r>
              <w:rPr>
                <w:spacing w:val="-2"/>
                <w:sz w:val="16"/>
              </w:rPr>
              <w:t>(22,043)</w:t>
            </w:r>
            <w:r>
              <w:rPr>
                <w:sz w:val="16"/>
              </w:rPr>
              <w:tab/>
            </w:r>
            <w:r>
              <w:rPr>
                <w:spacing w:val="-2"/>
                <w:sz w:val="16"/>
              </w:rPr>
              <w:t>(22,043)</w:t>
            </w:r>
          </w:p>
        </w:tc>
      </w:tr>
      <w:tr>
        <w:trPr>
          <w:trHeight w:val="240" w:hRule="atLeast"/>
        </w:trPr>
        <w:tc>
          <w:tcPr>
            <w:tcW w:w="3152" w:type="dxa"/>
          </w:tcPr>
          <w:p>
            <w:pPr>
              <w:pStyle w:val="TableParagraph"/>
              <w:spacing w:before="26"/>
              <w:ind w:left="52"/>
              <w:rPr>
                <w:sz w:val="16"/>
              </w:rPr>
            </w:pPr>
            <w:r>
              <w:rPr>
                <w:sz w:val="16"/>
              </w:rPr>
              <w:t>Issuance</w:t>
            </w:r>
            <w:r>
              <w:rPr>
                <w:spacing w:val="-1"/>
                <w:sz w:val="16"/>
              </w:rPr>
              <w:t> </w:t>
            </w:r>
            <w:r>
              <w:rPr>
                <w:sz w:val="16"/>
              </w:rPr>
              <w:t>of</w:t>
            </w:r>
            <w:r>
              <w:rPr>
                <w:spacing w:val="-1"/>
                <w:sz w:val="16"/>
              </w:rPr>
              <w:t> </w:t>
            </w:r>
            <w:r>
              <w:rPr>
                <w:sz w:val="16"/>
              </w:rPr>
              <w:t>preferred</w:t>
            </w:r>
            <w:r>
              <w:rPr>
                <w:spacing w:val="-1"/>
                <w:sz w:val="16"/>
              </w:rPr>
              <w:t> </w:t>
            </w:r>
            <w:r>
              <w:rPr>
                <w:sz w:val="16"/>
              </w:rPr>
              <w:t>stock, </w:t>
            </w:r>
            <w:r>
              <w:rPr>
                <w:spacing w:val="-5"/>
                <w:sz w:val="16"/>
              </w:rPr>
              <w:t>net</w:t>
            </w:r>
          </w:p>
        </w:tc>
        <w:tc>
          <w:tcPr>
            <w:tcW w:w="781" w:type="dxa"/>
          </w:tcPr>
          <w:p>
            <w:pPr>
              <w:pStyle w:val="TableParagraph"/>
              <w:spacing w:before="26"/>
              <w:ind w:right="99"/>
              <w:jc w:val="right"/>
              <w:rPr>
                <w:sz w:val="16"/>
              </w:rPr>
            </w:pPr>
            <w:r>
              <w:rPr>
                <w:spacing w:val="-5"/>
                <w:sz w:val="16"/>
              </w:rPr>
              <w:t>740</w:t>
            </w:r>
          </w:p>
        </w:tc>
        <w:tc>
          <w:tcPr>
            <w:tcW w:w="546" w:type="dxa"/>
          </w:tcPr>
          <w:p>
            <w:pPr>
              <w:pStyle w:val="TableParagraph"/>
              <w:spacing w:before="26"/>
              <w:ind w:right="60"/>
              <w:jc w:val="right"/>
              <w:rPr>
                <w:sz w:val="16"/>
              </w:rPr>
            </w:pPr>
            <w:r>
              <w:rPr>
                <w:spacing w:val="-10"/>
                <w:sz w:val="16"/>
              </w:rPr>
              <w:t>—</w:t>
            </w:r>
          </w:p>
        </w:tc>
        <w:tc>
          <w:tcPr>
            <w:tcW w:w="671" w:type="dxa"/>
          </w:tcPr>
          <w:p>
            <w:pPr>
              <w:pStyle w:val="TableParagraph"/>
              <w:spacing w:before="26"/>
              <w:ind w:left="-29" w:right="86"/>
              <w:jc w:val="right"/>
              <w:rPr>
                <w:sz w:val="16"/>
              </w:rPr>
            </w:pPr>
            <w:r>
              <w:rPr>
                <w:spacing w:val="-10"/>
                <w:sz w:val="16"/>
              </w:rPr>
              <w:t>—</w:t>
            </w:r>
          </w:p>
        </w:tc>
        <w:tc>
          <w:tcPr>
            <w:tcW w:w="618" w:type="dxa"/>
          </w:tcPr>
          <w:p>
            <w:pPr>
              <w:pStyle w:val="TableParagraph"/>
              <w:spacing w:before="26"/>
              <w:ind w:right="89"/>
              <w:jc w:val="right"/>
              <w:rPr>
                <w:sz w:val="16"/>
              </w:rPr>
            </w:pPr>
            <w:r>
              <w:rPr>
                <w:spacing w:val="-10"/>
                <w:sz w:val="16"/>
              </w:rPr>
              <w:t>—</w:t>
            </w:r>
          </w:p>
        </w:tc>
        <w:tc>
          <w:tcPr>
            <w:tcW w:w="635" w:type="dxa"/>
          </w:tcPr>
          <w:p>
            <w:pPr>
              <w:pStyle w:val="TableParagraph"/>
              <w:spacing w:before="26"/>
              <w:ind w:right="64"/>
              <w:jc w:val="right"/>
              <w:rPr>
                <w:sz w:val="16"/>
              </w:rPr>
            </w:pPr>
            <w:r>
              <w:rPr>
                <w:spacing w:val="-10"/>
                <w:sz w:val="16"/>
              </w:rPr>
              <w:t>—</w:t>
            </w:r>
          </w:p>
        </w:tc>
        <w:tc>
          <w:tcPr>
            <w:tcW w:w="868" w:type="dxa"/>
          </w:tcPr>
          <w:p>
            <w:pPr>
              <w:pStyle w:val="TableParagraph"/>
              <w:spacing w:before="26"/>
              <w:ind w:right="92"/>
              <w:jc w:val="right"/>
              <w:rPr>
                <w:sz w:val="16"/>
              </w:rPr>
            </w:pPr>
            <w:r>
              <w:rPr>
                <w:spacing w:val="-10"/>
                <w:sz w:val="16"/>
              </w:rPr>
              <w:t>—</w:t>
            </w:r>
          </w:p>
        </w:tc>
        <w:tc>
          <w:tcPr>
            <w:tcW w:w="737" w:type="dxa"/>
          </w:tcPr>
          <w:p>
            <w:pPr>
              <w:pStyle w:val="TableParagraph"/>
              <w:spacing w:before="26"/>
              <w:ind w:right="94"/>
              <w:jc w:val="right"/>
              <w:rPr>
                <w:sz w:val="16"/>
              </w:rPr>
            </w:pPr>
            <w:r>
              <w:rPr>
                <w:spacing w:val="-10"/>
                <w:sz w:val="16"/>
              </w:rPr>
              <w:t>—</w:t>
            </w:r>
          </w:p>
        </w:tc>
        <w:tc>
          <w:tcPr>
            <w:tcW w:w="2623" w:type="dxa"/>
          </w:tcPr>
          <w:p>
            <w:pPr>
              <w:pStyle w:val="TableParagraph"/>
              <w:tabs>
                <w:tab w:pos="1154" w:val="left" w:leader="none"/>
                <w:tab w:pos="1824" w:val="left" w:leader="none"/>
              </w:tabs>
              <w:spacing w:before="26"/>
              <w:ind w:right="77"/>
              <w:jc w:val="right"/>
              <w:rPr>
                <w:sz w:val="16"/>
              </w:rPr>
            </w:pPr>
            <w:r>
              <w:rPr>
                <w:spacing w:val="-10"/>
                <w:sz w:val="16"/>
              </w:rPr>
              <w:t>—</w:t>
            </w:r>
            <w:r>
              <w:rPr>
                <w:sz w:val="16"/>
              </w:rPr>
              <w:tab/>
            </w:r>
            <w:r>
              <w:rPr>
                <w:spacing w:val="-10"/>
                <w:sz w:val="16"/>
              </w:rPr>
              <w:t>—</w:t>
            </w:r>
            <w:r>
              <w:rPr>
                <w:sz w:val="16"/>
              </w:rPr>
              <w:tab/>
            </w:r>
            <w:r>
              <w:rPr>
                <w:spacing w:val="-5"/>
                <w:sz w:val="16"/>
              </w:rPr>
              <w:t>740</w:t>
            </w:r>
          </w:p>
        </w:tc>
      </w:tr>
      <w:tr>
        <w:trPr>
          <w:trHeight w:val="255" w:hRule="atLeast"/>
        </w:trPr>
        <w:tc>
          <w:tcPr>
            <w:tcW w:w="3152" w:type="dxa"/>
            <w:shd w:val="clear" w:color="auto" w:fill="CCEDFF"/>
          </w:tcPr>
          <w:p>
            <w:pPr>
              <w:pStyle w:val="TableParagraph"/>
              <w:spacing w:before="41"/>
              <w:ind w:left="52"/>
              <w:rPr>
                <w:sz w:val="16"/>
              </w:rPr>
            </w:pPr>
            <w:r>
              <w:rPr>
                <w:sz w:val="16"/>
              </w:rPr>
              <w:t>Call of preferred </w:t>
            </w:r>
            <w:r>
              <w:rPr>
                <w:spacing w:val="-2"/>
                <w:sz w:val="16"/>
              </w:rPr>
              <w:t>stock</w:t>
            </w:r>
          </w:p>
        </w:tc>
        <w:tc>
          <w:tcPr>
            <w:tcW w:w="781" w:type="dxa"/>
            <w:shd w:val="clear" w:color="auto" w:fill="CCEDFF"/>
          </w:tcPr>
          <w:p>
            <w:pPr>
              <w:pStyle w:val="TableParagraph"/>
              <w:spacing w:before="41"/>
              <w:ind w:right="45"/>
              <w:jc w:val="right"/>
              <w:rPr>
                <w:sz w:val="16"/>
              </w:rPr>
            </w:pPr>
            <w:r>
              <w:rPr>
                <w:spacing w:val="-2"/>
                <w:sz w:val="16"/>
              </w:rPr>
              <w:t>(397)</w:t>
            </w:r>
          </w:p>
        </w:tc>
        <w:tc>
          <w:tcPr>
            <w:tcW w:w="546" w:type="dxa"/>
            <w:shd w:val="clear" w:color="auto" w:fill="CCEDFF"/>
          </w:tcPr>
          <w:p>
            <w:pPr>
              <w:pStyle w:val="TableParagraph"/>
              <w:spacing w:before="41"/>
              <w:ind w:right="60"/>
              <w:jc w:val="right"/>
              <w:rPr>
                <w:sz w:val="16"/>
              </w:rPr>
            </w:pPr>
            <w:r>
              <w:rPr>
                <w:spacing w:val="-10"/>
                <w:sz w:val="16"/>
              </w:rPr>
              <w:t>—</w:t>
            </w:r>
          </w:p>
        </w:tc>
        <w:tc>
          <w:tcPr>
            <w:tcW w:w="671" w:type="dxa"/>
            <w:shd w:val="clear" w:color="auto" w:fill="CCEDFF"/>
          </w:tcPr>
          <w:p>
            <w:pPr>
              <w:pStyle w:val="TableParagraph"/>
              <w:spacing w:before="41"/>
              <w:ind w:left="-29" w:right="86"/>
              <w:jc w:val="right"/>
              <w:rPr>
                <w:sz w:val="16"/>
              </w:rPr>
            </w:pPr>
            <w:r>
              <w:rPr>
                <w:spacing w:val="-10"/>
                <w:sz w:val="16"/>
              </w:rPr>
              <w:t>—</w:t>
            </w:r>
          </w:p>
        </w:tc>
        <w:tc>
          <w:tcPr>
            <w:tcW w:w="618" w:type="dxa"/>
            <w:shd w:val="clear" w:color="auto" w:fill="CCEDFF"/>
          </w:tcPr>
          <w:p>
            <w:pPr>
              <w:pStyle w:val="TableParagraph"/>
              <w:spacing w:before="41"/>
              <w:ind w:right="89"/>
              <w:jc w:val="right"/>
              <w:rPr>
                <w:sz w:val="16"/>
              </w:rPr>
            </w:pPr>
            <w:r>
              <w:rPr>
                <w:spacing w:val="-10"/>
                <w:sz w:val="16"/>
              </w:rPr>
              <w:t>—</w:t>
            </w:r>
          </w:p>
        </w:tc>
        <w:tc>
          <w:tcPr>
            <w:tcW w:w="635" w:type="dxa"/>
            <w:shd w:val="clear" w:color="auto" w:fill="CCEDFF"/>
          </w:tcPr>
          <w:p>
            <w:pPr>
              <w:pStyle w:val="TableParagraph"/>
              <w:spacing w:before="41"/>
              <w:ind w:right="64"/>
              <w:jc w:val="right"/>
              <w:rPr>
                <w:sz w:val="16"/>
              </w:rPr>
            </w:pPr>
            <w:r>
              <w:rPr>
                <w:spacing w:val="-10"/>
                <w:sz w:val="16"/>
              </w:rPr>
              <w:t>—</w:t>
            </w:r>
          </w:p>
        </w:tc>
        <w:tc>
          <w:tcPr>
            <w:tcW w:w="868" w:type="dxa"/>
            <w:shd w:val="clear" w:color="auto" w:fill="CCEDFF"/>
          </w:tcPr>
          <w:p>
            <w:pPr>
              <w:pStyle w:val="TableParagraph"/>
              <w:spacing w:before="41"/>
              <w:ind w:right="92"/>
              <w:jc w:val="right"/>
              <w:rPr>
                <w:sz w:val="16"/>
              </w:rPr>
            </w:pPr>
            <w:r>
              <w:rPr>
                <w:spacing w:val="-10"/>
                <w:sz w:val="16"/>
              </w:rPr>
              <w:t>—</w:t>
            </w:r>
          </w:p>
        </w:tc>
        <w:tc>
          <w:tcPr>
            <w:tcW w:w="737" w:type="dxa"/>
            <w:shd w:val="clear" w:color="auto" w:fill="CCEDFF"/>
          </w:tcPr>
          <w:p>
            <w:pPr>
              <w:pStyle w:val="TableParagraph"/>
              <w:spacing w:before="41"/>
              <w:ind w:right="40"/>
              <w:jc w:val="right"/>
              <w:rPr>
                <w:sz w:val="16"/>
              </w:rPr>
            </w:pPr>
            <w:r>
              <w:rPr>
                <w:spacing w:val="-5"/>
                <w:sz w:val="16"/>
              </w:rPr>
              <w:t>(3)</w:t>
            </w:r>
          </w:p>
        </w:tc>
        <w:tc>
          <w:tcPr>
            <w:tcW w:w="2623" w:type="dxa"/>
            <w:shd w:val="clear" w:color="auto" w:fill="CCEDFF"/>
          </w:tcPr>
          <w:p>
            <w:pPr>
              <w:pStyle w:val="TableParagraph"/>
              <w:tabs>
                <w:tab w:pos="1154" w:val="left" w:leader="none"/>
                <w:tab w:pos="1771" w:val="left" w:leader="none"/>
              </w:tabs>
              <w:spacing w:before="41"/>
              <w:ind w:right="23"/>
              <w:jc w:val="right"/>
              <w:rPr>
                <w:sz w:val="16"/>
              </w:rPr>
            </w:pPr>
            <w:r>
              <w:rPr>
                <w:spacing w:val="-10"/>
                <w:sz w:val="16"/>
              </w:rPr>
              <w:t>—</w:t>
            </w:r>
            <w:r>
              <w:rPr>
                <w:sz w:val="16"/>
              </w:rPr>
              <w:tab/>
            </w:r>
            <w:r>
              <w:rPr>
                <w:spacing w:val="-10"/>
                <w:sz w:val="16"/>
              </w:rPr>
              <w:t>—</w:t>
            </w:r>
            <w:r>
              <w:rPr>
                <w:sz w:val="16"/>
              </w:rPr>
              <w:tab/>
            </w:r>
            <w:r>
              <w:rPr>
                <w:spacing w:val="-2"/>
                <w:sz w:val="16"/>
              </w:rPr>
              <w:t>(400)</w:t>
            </w:r>
          </w:p>
        </w:tc>
      </w:tr>
      <w:tr>
        <w:trPr>
          <w:trHeight w:val="255" w:hRule="atLeast"/>
        </w:trPr>
        <w:tc>
          <w:tcPr>
            <w:tcW w:w="3152" w:type="dxa"/>
          </w:tcPr>
          <w:p>
            <w:pPr>
              <w:pStyle w:val="TableParagraph"/>
              <w:spacing w:before="41"/>
              <w:ind w:left="52"/>
              <w:rPr>
                <w:sz w:val="16"/>
              </w:rPr>
            </w:pPr>
            <w:r>
              <w:rPr>
                <w:sz w:val="16"/>
              </w:rPr>
              <w:t>Dividends</w:t>
            </w:r>
            <w:r>
              <w:rPr>
                <w:spacing w:val="-2"/>
                <w:sz w:val="16"/>
              </w:rPr>
              <w:t> </w:t>
            </w:r>
            <w:r>
              <w:rPr>
                <w:sz w:val="16"/>
              </w:rPr>
              <w:t>declared on preferred </w:t>
            </w:r>
            <w:r>
              <w:rPr>
                <w:spacing w:val="-2"/>
                <w:sz w:val="16"/>
              </w:rPr>
              <w:t>stock</w:t>
            </w:r>
          </w:p>
        </w:tc>
        <w:tc>
          <w:tcPr>
            <w:tcW w:w="781" w:type="dxa"/>
          </w:tcPr>
          <w:p>
            <w:pPr>
              <w:pStyle w:val="TableParagraph"/>
              <w:spacing w:before="41"/>
              <w:ind w:right="99"/>
              <w:jc w:val="right"/>
              <w:rPr>
                <w:sz w:val="16"/>
              </w:rPr>
            </w:pPr>
            <w:r>
              <w:rPr>
                <w:spacing w:val="-10"/>
                <w:sz w:val="16"/>
              </w:rPr>
              <w:t>—</w:t>
            </w:r>
          </w:p>
        </w:tc>
        <w:tc>
          <w:tcPr>
            <w:tcW w:w="546" w:type="dxa"/>
          </w:tcPr>
          <w:p>
            <w:pPr>
              <w:pStyle w:val="TableParagraph"/>
              <w:spacing w:before="41"/>
              <w:ind w:right="60"/>
              <w:jc w:val="right"/>
              <w:rPr>
                <w:sz w:val="16"/>
              </w:rPr>
            </w:pPr>
            <w:r>
              <w:rPr>
                <w:spacing w:val="-10"/>
                <w:sz w:val="16"/>
              </w:rPr>
              <w:t>—</w:t>
            </w:r>
          </w:p>
        </w:tc>
        <w:tc>
          <w:tcPr>
            <w:tcW w:w="671" w:type="dxa"/>
          </w:tcPr>
          <w:p>
            <w:pPr>
              <w:pStyle w:val="TableParagraph"/>
              <w:spacing w:before="41"/>
              <w:ind w:left="-29" w:right="86"/>
              <w:jc w:val="right"/>
              <w:rPr>
                <w:sz w:val="16"/>
              </w:rPr>
            </w:pPr>
            <w:r>
              <w:rPr>
                <w:spacing w:val="-10"/>
                <w:sz w:val="16"/>
              </w:rPr>
              <w:t>—</w:t>
            </w:r>
          </w:p>
        </w:tc>
        <w:tc>
          <w:tcPr>
            <w:tcW w:w="618" w:type="dxa"/>
          </w:tcPr>
          <w:p>
            <w:pPr>
              <w:pStyle w:val="TableParagraph"/>
              <w:spacing w:before="41"/>
              <w:ind w:right="89"/>
              <w:jc w:val="right"/>
              <w:rPr>
                <w:sz w:val="16"/>
              </w:rPr>
            </w:pPr>
            <w:r>
              <w:rPr>
                <w:spacing w:val="-10"/>
                <w:sz w:val="16"/>
              </w:rPr>
              <w:t>—</w:t>
            </w:r>
          </w:p>
        </w:tc>
        <w:tc>
          <w:tcPr>
            <w:tcW w:w="635" w:type="dxa"/>
          </w:tcPr>
          <w:p>
            <w:pPr>
              <w:pStyle w:val="TableParagraph"/>
              <w:spacing w:before="41"/>
              <w:ind w:right="64"/>
              <w:jc w:val="right"/>
              <w:rPr>
                <w:sz w:val="16"/>
              </w:rPr>
            </w:pPr>
            <w:r>
              <w:rPr>
                <w:spacing w:val="-10"/>
                <w:sz w:val="16"/>
              </w:rPr>
              <w:t>—</w:t>
            </w:r>
          </w:p>
        </w:tc>
        <w:tc>
          <w:tcPr>
            <w:tcW w:w="868" w:type="dxa"/>
          </w:tcPr>
          <w:p>
            <w:pPr>
              <w:pStyle w:val="TableParagraph"/>
              <w:spacing w:before="41"/>
              <w:ind w:right="92"/>
              <w:jc w:val="right"/>
              <w:rPr>
                <w:sz w:val="16"/>
              </w:rPr>
            </w:pPr>
            <w:r>
              <w:rPr>
                <w:spacing w:val="-10"/>
                <w:sz w:val="16"/>
              </w:rPr>
              <w:t>—</w:t>
            </w:r>
          </w:p>
        </w:tc>
        <w:tc>
          <w:tcPr>
            <w:tcW w:w="737" w:type="dxa"/>
          </w:tcPr>
          <w:p>
            <w:pPr>
              <w:pStyle w:val="TableParagraph"/>
              <w:spacing w:before="41"/>
              <w:ind w:right="40"/>
              <w:jc w:val="right"/>
              <w:rPr>
                <w:sz w:val="16"/>
              </w:rPr>
            </w:pPr>
            <w:r>
              <w:rPr>
                <w:spacing w:val="-2"/>
                <w:sz w:val="16"/>
              </w:rPr>
              <w:t>(374)</w:t>
            </w:r>
          </w:p>
        </w:tc>
        <w:tc>
          <w:tcPr>
            <w:tcW w:w="2623" w:type="dxa"/>
          </w:tcPr>
          <w:p>
            <w:pPr>
              <w:pStyle w:val="TableParagraph"/>
              <w:tabs>
                <w:tab w:pos="1154" w:val="left" w:leader="none"/>
                <w:tab w:pos="1771" w:val="left" w:leader="none"/>
              </w:tabs>
              <w:spacing w:before="41"/>
              <w:ind w:right="23"/>
              <w:jc w:val="right"/>
              <w:rPr>
                <w:sz w:val="16"/>
              </w:rPr>
            </w:pPr>
            <w:r>
              <w:rPr>
                <w:spacing w:val="-10"/>
                <w:sz w:val="16"/>
              </w:rPr>
              <w:t>—</w:t>
            </w:r>
            <w:r>
              <w:rPr>
                <w:sz w:val="16"/>
              </w:rPr>
              <w:tab/>
            </w:r>
            <w:r>
              <w:rPr>
                <w:spacing w:val="-10"/>
                <w:sz w:val="16"/>
              </w:rPr>
              <w:t>—</w:t>
            </w:r>
            <w:r>
              <w:rPr>
                <w:sz w:val="16"/>
              </w:rPr>
              <w:tab/>
            </w:r>
            <w:r>
              <w:rPr>
                <w:spacing w:val="-2"/>
                <w:sz w:val="16"/>
              </w:rPr>
              <w:t>(374)</w:t>
            </w:r>
          </w:p>
        </w:tc>
      </w:tr>
      <w:tr>
        <w:trPr>
          <w:trHeight w:val="405" w:hRule="atLeast"/>
        </w:trPr>
        <w:tc>
          <w:tcPr>
            <w:tcW w:w="3152" w:type="dxa"/>
            <w:shd w:val="clear" w:color="auto" w:fill="CCEDFF"/>
          </w:tcPr>
          <w:p>
            <w:pPr>
              <w:pStyle w:val="TableParagraph"/>
              <w:spacing w:line="208" w:lineRule="auto" w:before="50"/>
              <w:ind w:left="132" w:right="21" w:hanging="80"/>
              <w:rPr>
                <w:sz w:val="16"/>
              </w:rPr>
            </w:pPr>
            <w:r>
              <w:rPr>
                <w:sz w:val="16"/>
              </w:rPr>
              <w:t>Dividends</w:t>
            </w:r>
            <w:r>
              <w:rPr>
                <w:spacing w:val="-7"/>
                <w:sz w:val="16"/>
              </w:rPr>
              <w:t> </w:t>
            </w:r>
            <w:r>
              <w:rPr>
                <w:sz w:val="16"/>
              </w:rPr>
              <w:t>declared</w:t>
            </w:r>
            <w:r>
              <w:rPr>
                <w:spacing w:val="-7"/>
                <w:sz w:val="16"/>
              </w:rPr>
              <w:t> </w:t>
            </w:r>
            <w:r>
              <w:rPr>
                <w:sz w:val="16"/>
              </w:rPr>
              <w:t>on</w:t>
            </w:r>
            <w:r>
              <w:rPr>
                <w:spacing w:val="-7"/>
                <w:sz w:val="16"/>
              </w:rPr>
              <w:t> </w:t>
            </w:r>
            <w:r>
              <w:rPr>
                <w:sz w:val="16"/>
              </w:rPr>
              <w:t>common</w:t>
            </w:r>
            <w:r>
              <w:rPr>
                <w:spacing w:val="-7"/>
                <w:sz w:val="16"/>
              </w:rPr>
              <w:t> </w:t>
            </w:r>
            <w:r>
              <w:rPr>
                <w:sz w:val="16"/>
              </w:rPr>
              <w:t>stock</w:t>
            </w:r>
            <w:r>
              <w:rPr>
                <w:spacing w:val="-7"/>
                <w:sz w:val="16"/>
              </w:rPr>
              <w:t> </w:t>
            </w:r>
            <w:r>
              <w:rPr>
                <w:sz w:val="16"/>
              </w:rPr>
              <w:t>—</w:t>
            </w:r>
            <w:r>
              <w:rPr>
                <w:spacing w:val="-8"/>
                <w:sz w:val="16"/>
              </w:rPr>
              <w:t> </w:t>
            </w:r>
            <w:r>
              <w:rPr>
                <w:sz w:val="16"/>
              </w:rPr>
              <w:t>$.62</w:t>
            </w:r>
            <w:r>
              <w:rPr>
                <w:spacing w:val="40"/>
                <w:sz w:val="16"/>
              </w:rPr>
              <w:t> </w:t>
            </w:r>
            <w:r>
              <w:rPr>
                <w:sz w:val="16"/>
              </w:rPr>
              <w:t>per</w:t>
            </w:r>
            <w:r>
              <w:rPr>
                <w:spacing w:val="-1"/>
                <w:sz w:val="16"/>
              </w:rPr>
              <w:t> </w:t>
            </w:r>
            <w:r>
              <w:rPr>
                <w:sz w:val="16"/>
              </w:rPr>
              <w:t>share</w:t>
            </w:r>
          </w:p>
        </w:tc>
        <w:tc>
          <w:tcPr>
            <w:tcW w:w="781" w:type="dxa"/>
            <w:shd w:val="clear" w:color="auto" w:fill="CCEDFF"/>
          </w:tcPr>
          <w:p>
            <w:pPr>
              <w:pStyle w:val="TableParagraph"/>
              <w:spacing w:before="7"/>
              <w:rPr>
                <w:i/>
                <w:sz w:val="16"/>
              </w:rPr>
            </w:pPr>
          </w:p>
          <w:p>
            <w:pPr>
              <w:pStyle w:val="TableParagraph"/>
              <w:ind w:right="99"/>
              <w:jc w:val="right"/>
              <w:rPr>
                <w:sz w:val="16"/>
              </w:rPr>
            </w:pPr>
            <w:r>
              <w:rPr>
                <w:spacing w:val="-10"/>
                <w:sz w:val="16"/>
              </w:rPr>
              <w:t>—</w:t>
            </w:r>
          </w:p>
        </w:tc>
        <w:tc>
          <w:tcPr>
            <w:tcW w:w="546" w:type="dxa"/>
            <w:shd w:val="clear" w:color="auto" w:fill="CCEDFF"/>
          </w:tcPr>
          <w:p>
            <w:pPr>
              <w:pStyle w:val="TableParagraph"/>
              <w:spacing w:before="7"/>
              <w:rPr>
                <w:i/>
                <w:sz w:val="16"/>
              </w:rPr>
            </w:pPr>
          </w:p>
          <w:p>
            <w:pPr>
              <w:pStyle w:val="TableParagraph"/>
              <w:ind w:right="60"/>
              <w:jc w:val="right"/>
              <w:rPr>
                <w:sz w:val="16"/>
              </w:rPr>
            </w:pPr>
            <w:r>
              <w:rPr>
                <w:spacing w:val="-10"/>
                <w:sz w:val="16"/>
              </w:rPr>
              <w:t>—</w:t>
            </w:r>
          </w:p>
        </w:tc>
        <w:tc>
          <w:tcPr>
            <w:tcW w:w="671" w:type="dxa"/>
            <w:shd w:val="clear" w:color="auto" w:fill="CCEDFF"/>
          </w:tcPr>
          <w:p>
            <w:pPr>
              <w:pStyle w:val="TableParagraph"/>
              <w:spacing w:before="7"/>
              <w:rPr>
                <w:i/>
                <w:sz w:val="16"/>
              </w:rPr>
            </w:pPr>
          </w:p>
          <w:p>
            <w:pPr>
              <w:pStyle w:val="TableParagraph"/>
              <w:ind w:left="-29" w:right="86"/>
              <w:jc w:val="right"/>
              <w:rPr>
                <w:sz w:val="16"/>
              </w:rPr>
            </w:pPr>
            <w:r>
              <w:rPr>
                <w:spacing w:val="-10"/>
                <w:sz w:val="16"/>
              </w:rPr>
              <w:t>—</w:t>
            </w:r>
          </w:p>
        </w:tc>
        <w:tc>
          <w:tcPr>
            <w:tcW w:w="618" w:type="dxa"/>
            <w:shd w:val="clear" w:color="auto" w:fill="CCEDFF"/>
          </w:tcPr>
          <w:p>
            <w:pPr>
              <w:pStyle w:val="TableParagraph"/>
              <w:spacing w:before="7"/>
              <w:rPr>
                <w:i/>
                <w:sz w:val="16"/>
              </w:rPr>
            </w:pPr>
          </w:p>
          <w:p>
            <w:pPr>
              <w:pStyle w:val="TableParagraph"/>
              <w:ind w:right="89"/>
              <w:jc w:val="right"/>
              <w:rPr>
                <w:sz w:val="16"/>
              </w:rPr>
            </w:pPr>
            <w:r>
              <w:rPr>
                <w:spacing w:val="-10"/>
                <w:sz w:val="16"/>
              </w:rPr>
              <w:t>—</w:t>
            </w:r>
          </w:p>
        </w:tc>
        <w:tc>
          <w:tcPr>
            <w:tcW w:w="635" w:type="dxa"/>
            <w:shd w:val="clear" w:color="auto" w:fill="CCEDFF"/>
          </w:tcPr>
          <w:p>
            <w:pPr>
              <w:pStyle w:val="TableParagraph"/>
              <w:spacing w:before="7"/>
              <w:rPr>
                <w:i/>
                <w:sz w:val="16"/>
              </w:rPr>
            </w:pPr>
          </w:p>
          <w:p>
            <w:pPr>
              <w:pStyle w:val="TableParagraph"/>
              <w:ind w:right="64"/>
              <w:jc w:val="right"/>
              <w:rPr>
                <w:sz w:val="16"/>
              </w:rPr>
            </w:pPr>
            <w:r>
              <w:rPr>
                <w:spacing w:val="-10"/>
                <w:sz w:val="16"/>
              </w:rPr>
              <w:t>—</w:t>
            </w:r>
          </w:p>
        </w:tc>
        <w:tc>
          <w:tcPr>
            <w:tcW w:w="868" w:type="dxa"/>
            <w:shd w:val="clear" w:color="auto" w:fill="CCEDFF"/>
          </w:tcPr>
          <w:p>
            <w:pPr>
              <w:pStyle w:val="TableParagraph"/>
              <w:spacing w:before="7"/>
              <w:rPr>
                <w:i/>
                <w:sz w:val="16"/>
              </w:rPr>
            </w:pPr>
          </w:p>
          <w:p>
            <w:pPr>
              <w:pStyle w:val="TableParagraph"/>
              <w:ind w:right="92"/>
              <w:jc w:val="right"/>
              <w:rPr>
                <w:sz w:val="16"/>
              </w:rPr>
            </w:pPr>
            <w:r>
              <w:rPr>
                <w:spacing w:val="-10"/>
                <w:sz w:val="16"/>
              </w:rPr>
              <w:t>—</w:t>
            </w:r>
          </w:p>
        </w:tc>
        <w:tc>
          <w:tcPr>
            <w:tcW w:w="737" w:type="dxa"/>
            <w:shd w:val="clear" w:color="auto" w:fill="CCEDFF"/>
          </w:tcPr>
          <w:p>
            <w:pPr>
              <w:pStyle w:val="TableParagraph"/>
              <w:spacing w:before="7"/>
              <w:rPr>
                <w:i/>
                <w:sz w:val="16"/>
              </w:rPr>
            </w:pPr>
          </w:p>
          <w:p>
            <w:pPr>
              <w:pStyle w:val="TableParagraph"/>
              <w:ind w:right="40"/>
              <w:jc w:val="right"/>
              <w:rPr>
                <w:sz w:val="16"/>
              </w:rPr>
            </w:pPr>
            <w:r>
              <w:rPr>
                <w:spacing w:val="-2"/>
                <w:sz w:val="16"/>
              </w:rPr>
              <w:t>(1,179)</w:t>
            </w:r>
          </w:p>
        </w:tc>
        <w:tc>
          <w:tcPr>
            <w:tcW w:w="2623" w:type="dxa"/>
            <w:shd w:val="clear" w:color="auto" w:fill="CCEDFF"/>
          </w:tcPr>
          <w:p>
            <w:pPr>
              <w:pStyle w:val="TableParagraph"/>
              <w:spacing w:before="7"/>
              <w:rPr>
                <w:i/>
                <w:sz w:val="16"/>
              </w:rPr>
            </w:pPr>
          </w:p>
          <w:p>
            <w:pPr>
              <w:pStyle w:val="TableParagraph"/>
              <w:tabs>
                <w:tab w:pos="1154" w:val="left" w:leader="none"/>
                <w:tab w:pos="1651" w:val="left" w:leader="none"/>
              </w:tabs>
              <w:ind w:right="23"/>
              <w:jc w:val="right"/>
              <w:rPr>
                <w:sz w:val="16"/>
              </w:rPr>
            </w:pPr>
            <w:r>
              <w:rPr>
                <w:spacing w:val="-10"/>
                <w:sz w:val="16"/>
              </w:rPr>
              <w:t>—</w:t>
            </w:r>
            <w:r>
              <w:rPr>
                <w:sz w:val="16"/>
              </w:rPr>
              <w:tab/>
            </w:r>
            <w:r>
              <w:rPr>
                <w:spacing w:val="-10"/>
                <w:sz w:val="16"/>
              </w:rPr>
              <w:t>—</w:t>
            </w:r>
            <w:r>
              <w:rPr>
                <w:sz w:val="16"/>
              </w:rPr>
              <w:tab/>
            </w:r>
            <w:r>
              <w:rPr>
                <w:spacing w:val="-2"/>
                <w:sz w:val="16"/>
              </w:rPr>
              <w:t>(1,179)</w:t>
            </w:r>
          </w:p>
        </w:tc>
      </w:tr>
      <w:tr>
        <w:trPr>
          <w:trHeight w:val="240" w:hRule="atLeast"/>
        </w:trPr>
        <w:tc>
          <w:tcPr>
            <w:tcW w:w="3152" w:type="dxa"/>
          </w:tcPr>
          <w:p>
            <w:pPr>
              <w:pStyle w:val="TableParagraph"/>
              <w:spacing w:before="26"/>
              <w:ind w:left="52"/>
              <w:rPr>
                <w:sz w:val="16"/>
              </w:rPr>
            </w:pPr>
            <w:r>
              <w:rPr>
                <w:sz w:val="16"/>
              </w:rPr>
              <w:t>Repurchase</w:t>
            </w:r>
            <w:r>
              <w:rPr>
                <w:spacing w:val="-1"/>
                <w:sz w:val="16"/>
              </w:rPr>
              <w:t> </w:t>
            </w:r>
            <w:r>
              <w:rPr>
                <w:sz w:val="16"/>
              </w:rPr>
              <w:t>of common </w:t>
            </w:r>
            <w:r>
              <w:rPr>
                <w:spacing w:val="-2"/>
                <w:sz w:val="16"/>
              </w:rPr>
              <w:t>stock</w:t>
            </w:r>
          </w:p>
        </w:tc>
        <w:tc>
          <w:tcPr>
            <w:tcW w:w="781" w:type="dxa"/>
          </w:tcPr>
          <w:p>
            <w:pPr>
              <w:pStyle w:val="TableParagraph"/>
              <w:spacing w:before="26"/>
              <w:ind w:right="99"/>
              <w:jc w:val="right"/>
              <w:rPr>
                <w:sz w:val="16"/>
              </w:rPr>
            </w:pPr>
            <w:r>
              <w:rPr>
                <w:spacing w:val="-10"/>
                <w:sz w:val="16"/>
              </w:rPr>
              <w:t>—</w:t>
            </w:r>
          </w:p>
        </w:tc>
        <w:tc>
          <w:tcPr>
            <w:tcW w:w="546" w:type="dxa"/>
          </w:tcPr>
          <w:p>
            <w:pPr>
              <w:pStyle w:val="TableParagraph"/>
              <w:spacing w:before="26"/>
              <w:ind w:right="60"/>
              <w:jc w:val="right"/>
              <w:rPr>
                <w:sz w:val="16"/>
              </w:rPr>
            </w:pPr>
            <w:r>
              <w:rPr>
                <w:spacing w:val="-10"/>
                <w:sz w:val="16"/>
              </w:rPr>
              <w:t>—</w:t>
            </w:r>
          </w:p>
        </w:tc>
        <w:tc>
          <w:tcPr>
            <w:tcW w:w="671" w:type="dxa"/>
          </w:tcPr>
          <w:p>
            <w:pPr>
              <w:pStyle w:val="TableParagraph"/>
              <w:spacing w:before="26"/>
              <w:ind w:left="-29" w:right="86"/>
              <w:jc w:val="right"/>
              <w:rPr>
                <w:sz w:val="16"/>
              </w:rPr>
            </w:pPr>
            <w:r>
              <w:rPr>
                <w:spacing w:val="-10"/>
                <w:sz w:val="16"/>
              </w:rPr>
              <w:t>—</w:t>
            </w:r>
          </w:p>
        </w:tc>
        <w:tc>
          <w:tcPr>
            <w:tcW w:w="618" w:type="dxa"/>
          </w:tcPr>
          <w:p>
            <w:pPr>
              <w:pStyle w:val="TableParagraph"/>
              <w:spacing w:before="26"/>
              <w:ind w:right="89"/>
              <w:jc w:val="right"/>
              <w:rPr>
                <w:sz w:val="16"/>
              </w:rPr>
            </w:pPr>
            <w:r>
              <w:rPr>
                <w:spacing w:val="-10"/>
                <w:sz w:val="16"/>
              </w:rPr>
              <w:t>—</w:t>
            </w:r>
          </w:p>
        </w:tc>
        <w:tc>
          <w:tcPr>
            <w:tcW w:w="635" w:type="dxa"/>
          </w:tcPr>
          <w:p>
            <w:pPr>
              <w:pStyle w:val="TableParagraph"/>
              <w:spacing w:before="26"/>
              <w:ind w:right="64"/>
              <w:jc w:val="right"/>
              <w:rPr>
                <w:sz w:val="16"/>
              </w:rPr>
            </w:pPr>
            <w:r>
              <w:rPr>
                <w:spacing w:val="-10"/>
                <w:sz w:val="16"/>
              </w:rPr>
              <w:t>—</w:t>
            </w:r>
          </w:p>
        </w:tc>
        <w:tc>
          <w:tcPr>
            <w:tcW w:w="868" w:type="dxa"/>
          </w:tcPr>
          <w:p>
            <w:pPr>
              <w:pStyle w:val="TableParagraph"/>
              <w:spacing w:before="26"/>
              <w:ind w:right="92"/>
              <w:jc w:val="right"/>
              <w:rPr>
                <w:sz w:val="16"/>
              </w:rPr>
            </w:pPr>
            <w:r>
              <w:rPr>
                <w:spacing w:val="-10"/>
                <w:sz w:val="16"/>
              </w:rPr>
              <w:t>—</w:t>
            </w:r>
          </w:p>
        </w:tc>
        <w:tc>
          <w:tcPr>
            <w:tcW w:w="737" w:type="dxa"/>
          </w:tcPr>
          <w:p>
            <w:pPr>
              <w:pStyle w:val="TableParagraph"/>
              <w:spacing w:before="26"/>
              <w:ind w:right="94"/>
              <w:jc w:val="right"/>
              <w:rPr>
                <w:sz w:val="16"/>
              </w:rPr>
            </w:pPr>
            <w:r>
              <w:rPr>
                <w:spacing w:val="-10"/>
                <w:sz w:val="16"/>
              </w:rPr>
              <w:t>—</w:t>
            </w:r>
          </w:p>
        </w:tc>
        <w:tc>
          <w:tcPr>
            <w:tcW w:w="2623" w:type="dxa"/>
          </w:tcPr>
          <w:p>
            <w:pPr>
              <w:pStyle w:val="TableParagraph"/>
              <w:tabs>
                <w:tab w:pos="1288" w:val="left" w:leader="none"/>
                <w:tab w:pos="1904" w:val="left" w:leader="none"/>
              </w:tabs>
              <w:spacing w:before="26"/>
              <w:ind w:right="23"/>
              <w:jc w:val="right"/>
              <w:rPr>
                <w:sz w:val="16"/>
              </w:rPr>
            </w:pPr>
            <w:r>
              <w:rPr>
                <w:spacing w:val="-2"/>
                <w:sz w:val="16"/>
              </w:rPr>
              <w:t>(500)</w:t>
            </w:r>
            <w:r>
              <w:rPr>
                <w:sz w:val="16"/>
              </w:rPr>
              <w:tab/>
            </w:r>
            <w:r>
              <w:rPr>
                <w:spacing w:val="-10"/>
                <w:sz w:val="16"/>
              </w:rPr>
              <w:t>—</w:t>
            </w:r>
            <w:r>
              <w:rPr>
                <w:sz w:val="16"/>
              </w:rPr>
              <w:tab/>
            </w:r>
            <w:r>
              <w:rPr>
                <w:spacing w:val="-2"/>
                <w:sz w:val="16"/>
              </w:rPr>
              <w:t>(500)</w:t>
            </w:r>
          </w:p>
        </w:tc>
      </w:tr>
      <w:tr>
        <w:trPr>
          <w:trHeight w:val="255" w:hRule="atLeast"/>
        </w:trPr>
        <w:tc>
          <w:tcPr>
            <w:tcW w:w="3152" w:type="dxa"/>
            <w:shd w:val="clear" w:color="auto" w:fill="CCEDFF"/>
          </w:tcPr>
          <w:p>
            <w:pPr>
              <w:pStyle w:val="TableParagraph"/>
              <w:spacing w:before="41"/>
              <w:ind w:left="52"/>
              <w:rPr>
                <w:sz w:val="16"/>
              </w:rPr>
            </w:pPr>
            <w:r>
              <w:rPr>
                <w:sz w:val="16"/>
              </w:rPr>
              <w:t>Repurchase</w:t>
            </w:r>
            <w:r>
              <w:rPr>
                <w:spacing w:val="-1"/>
                <w:sz w:val="16"/>
              </w:rPr>
              <w:t> </w:t>
            </w:r>
            <w:r>
              <w:rPr>
                <w:sz w:val="16"/>
              </w:rPr>
              <w:t>of nonvoting common </w:t>
            </w:r>
            <w:r>
              <w:rPr>
                <w:spacing w:val="-2"/>
                <w:sz w:val="16"/>
              </w:rPr>
              <w:t>stock</w:t>
            </w:r>
          </w:p>
        </w:tc>
        <w:tc>
          <w:tcPr>
            <w:tcW w:w="781" w:type="dxa"/>
            <w:shd w:val="clear" w:color="auto" w:fill="CCEDFF"/>
          </w:tcPr>
          <w:p>
            <w:pPr>
              <w:pStyle w:val="TableParagraph"/>
              <w:spacing w:before="41"/>
              <w:ind w:right="99"/>
              <w:jc w:val="right"/>
              <w:rPr>
                <w:sz w:val="16"/>
              </w:rPr>
            </w:pPr>
            <w:r>
              <w:rPr>
                <w:spacing w:val="-10"/>
                <w:sz w:val="16"/>
              </w:rPr>
              <w:t>—</w:t>
            </w:r>
          </w:p>
        </w:tc>
        <w:tc>
          <w:tcPr>
            <w:tcW w:w="546" w:type="dxa"/>
            <w:shd w:val="clear" w:color="auto" w:fill="CCEDFF"/>
          </w:tcPr>
          <w:p>
            <w:pPr>
              <w:pStyle w:val="TableParagraph"/>
              <w:spacing w:before="41"/>
              <w:ind w:right="60"/>
              <w:jc w:val="right"/>
              <w:rPr>
                <w:sz w:val="16"/>
              </w:rPr>
            </w:pPr>
            <w:r>
              <w:rPr>
                <w:spacing w:val="-5"/>
                <w:sz w:val="16"/>
              </w:rPr>
              <w:t>15</w:t>
            </w:r>
          </w:p>
        </w:tc>
        <w:tc>
          <w:tcPr>
            <w:tcW w:w="671" w:type="dxa"/>
            <w:shd w:val="clear" w:color="auto" w:fill="CCEDFF"/>
          </w:tcPr>
          <w:p>
            <w:pPr>
              <w:pStyle w:val="TableParagraph"/>
              <w:spacing w:before="41"/>
              <w:ind w:left="-29" w:right="86"/>
              <w:jc w:val="right"/>
              <w:rPr>
                <w:sz w:val="16"/>
              </w:rPr>
            </w:pPr>
            <w:r>
              <w:rPr>
                <w:spacing w:val="-10"/>
                <w:sz w:val="16"/>
              </w:rPr>
              <w:t>—</w:t>
            </w:r>
          </w:p>
        </w:tc>
        <w:tc>
          <w:tcPr>
            <w:tcW w:w="618" w:type="dxa"/>
            <w:shd w:val="clear" w:color="auto" w:fill="CCEDFF"/>
          </w:tcPr>
          <w:p>
            <w:pPr>
              <w:pStyle w:val="TableParagraph"/>
              <w:spacing w:before="41"/>
              <w:ind w:right="35"/>
              <w:jc w:val="right"/>
              <w:rPr>
                <w:sz w:val="16"/>
              </w:rPr>
            </w:pPr>
            <w:r>
              <w:rPr>
                <w:spacing w:val="-4"/>
                <w:sz w:val="16"/>
              </w:rPr>
              <w:t>(15)</w:t>
            </w:r>
          </w:p>
        </w:tc>
        <w:tc>
          <w:tcPr>
            <w:tcW w:w="635" w:type="dxa"/>
            <w:shd w:val="clear" w:color="auto" w:fill="CCEDFF"/>
          </w:tcPr>
          <w:p>
            <w:pPr>
              <w:pStyle w:val="TableParagraph"/>
              <w:spacing w:before="41"/>
              <w:ind w:right="64"/>
              <w:jc w:val="right"/>
              <w:rPr>
                <w:sz w:val="16"/>
              </w:rPr>
            </w:pPr>
            <w:r>
              <w:rPr>
                <w:spacing w:val="-10"/>
                <w:sz w:val="16"/>
              </w:rPr>
              <w:t>—</w:t>
            </w:r>
          </w:p>
        </w:tc>
        <w:tc>
          <w:tcPr>
            <w:tcW w:w="868" w:type="dxa"/>
            <w:shd w:val="clear" w:color="auto" w:fill="CCEDFF"/>
          </w:tcPr>
          <w:p>
            <w:pPr>
              <w:pStyle w:val="TableParagraph"/>
              <w:spacing w:before="41"/>
              <w:ind w:right="92"/>
              <w:jc w:val="right"/>
              <w:rPr>
                <w:sz w:val="16"/>
              </w:rPr>
            </w:pPr>
            <w:r>
              <w:rPr>
                <w:spacing w:val="-10"/>
                <w:sz w:val="16"/>
              </w:rPr>
              <w:t>—</w:t>
            </w:r>
          </w:p>
        </w:tc>
        <w:tc>
          <w:tcPr>
            <w:tcW w:w="737" w:type="dxa"/>
            <w:shd w:val="clear" w:color="auto" w:fill="CCEDFF"/>
          </w:tcPr>
          <w:p>
            <w:pPr>
              <w:pStyle w:val="TableParagraph"/>
              <w:spacing w:before="41"/>
              <w:ind w:right="94"/>
              <w:jc w:val="right"/>
              <w:rPr>
                <w:sz w:val="16"/>
              </w:rPr>
            </w:pPr>
            <w:r>
              <w:rPr>
                <w:spacing w:val="-10"/>
                <w:sz w:val="16"/>
              </w:rPr>
              <w:t>—</w:t>
            </w:r>
          </w:p>
        </w:tc>
        <w:tc>
          <w:tcPr>
            <w:tcW w:w="2623" w:type="dxa"/>
            <w:shd w:val="clear" w:color="auto" w:fill="CCEDFF"/>
          </w:tcPr>
          <w:p>
            <w:pPr>
              <w:pStyle w:val="TableParagraph"/>
              <w:tabs>
                <w:tab w:pos="1408" w:val="left" w:leader="none"/>
                <w:tab w:pos="1904" w:val="left" w:leader="none"/>
              </w:tabs>
              <w:spacing w:before="41"/>
              <w:ind w:right="23"/>
              <w:jc w:val="right"/>
              <w:rPr>
                <w:sz w:val="16"/>
              </w:rPr>
            </w:pPr>
            <w:r>
              <w:rPr>
                <w:spacing w:val="-2"/>
                <w:sz w:val="16"/>
              </w:rPr>
              <w:t>(1,000)</w:t>
            </w:r>
            <w:r>
              <w:rPr>
                <w:sz w:val="16"/>
              </w:rPr>
              <w:tab/>
            </w:r>
            <w:r>
              <w:rPr>
                <w:spacing w:val="-10"/>
                <w:sz w:val="16"/>
              </w:rPr>
              <w:t>—</w:t>
            </w:r>
            <w:r>
              <w:rPr>
                <w:sz w:val="16"/>
              </w:rPr>
              <w:tab/>
            </w:r>
            <w:r>
              <w:rPr>
                <w:spacing w:val="-2"/>
                <w:sz w:val="16"/>
              </w:rPr>
              <w:t>(1,000)</w:t>
            </w:r>
          </w:p>
        </w:tc>
      </w:tr>
      <w:tr>
        <w:trPr>
          <w:trHeight w:val="405" w:hRule="atLeast"/>
        </w:trPr>
        <w:tc>
          <w:tcPr>
            <w:tcW w:w="3152" w:type="dxa"/>
          </w:tcPr>
          <w:p>
            <w:pPr>
              <w:pStyle w:val="TableParagraph"/>
              <w:spacing w:line="208" w:lineRule="auto" w:before="50"/>
              <w:ind w:left="52"/>
              <w:rPr>
                <w:sz w:val="16"/>
              </w:rPr>
            </w:pPr>
            <w:r>
              <w:rPr>
                <w:sz w:val="16"/>
              </w:rPr>
              <w:t>Conversion</w:t>
            </w:r>
            <w:r>
              <w:rPr>
                <w:spacing w:val="-8"/>
                <w:sz w:val="16"/>
              </w:rPr>
              <w:t> </w:t>
            </w:r>
            <w:r>
              <w:rPr>
                <w:sz w:val="16"/>
              </w:rPr>
              <w:t>of</w:t>
            </w:r>
            <w:r>
              <w:rPr>
                <w:spacing w:val="-8"/>
                <w:sz w:val="16"/>
              </w:rPr>
              <w:t> </w:t>
            </w:r>
            <w:r>
              <w:rPr>
                <w:sz w:val="16"/>
              </w:rPr>
              <w:t>nonvoting</w:t>
            </w:r>
            <w:r>
              <w:rPr>
                <w:spacing w:val="-8"/>
                <w:sz w:val="16"/>
              </w:rPr>
              <w:t> </w:t>
            </w:r>
            <w:r>
              <w:rPr>
                <w:sz w:val="16"/>
              </w:rPr>
              <w:t>common</w:t>
            </w:r>
            <w:r>
              <w:rPr>
                <w:spacing w:val="-8"/>
                <w:sz w:val="16"/>
              </w:rPr>
              <w:t> </w:t>
            </w:r>
            <w:r>
              <w:rPr>
                <w:sz w:val="16"/>
              </w:rPr>
              <w:t>stock</w:t>
            </w:r>
            <w:r>
              <w:rPr>
                <w:spacing w:val="-8"/>
                <w:sz w:val="16"/>
              </w:rPr>
              <w:t> </w:t>
            </w:r>
            <w:r>
              <w:rPr>
                <w:sz w:val="16"/>
              </w:rPr>
              <w:t>to</w:t>
            </w:r>
            <w:r>
              <w:rPr>
                <w:spacing w:val="40"/>
                <w:sz w:val="16"/>
              </w:rPr>
              <w:t> </w:t>
            </w:r>
            <w:r>
              <w:rPr>
                <w:sz w:val="16"/>
              </w:rPr>
              <w:t>common</w:t>
            </w:r>
            <w:r>
              <w:rPr>
                <w:spacing w:val="-1"/>
                <w:sz w:val="16"/>
              </w:rPr>
              <w:t> </w:t>
            </w:r>
            <w:r>
              <w:rPr>
                <w:sz w:val="16"/>
              </w:rPr>
              <w:t>stock</w:t>
            </w:r>
          </w:p>
        </w:tc>
        <w:tc>
          <w:tcPr>
            <w:tcW w:w="781" w:type="dxa"/>
          </w:tcPr>
          <w:p>
            <w:pPr>
              <w:pStyle w:val="TableParagraph"/>
              <w:spacing w:before="7"/>
              <w:rPr>
                <w:i/>
                <w:sz w:val="16"/>
              </w:rPr>
            </w:pPr>
          </w:p>
          <w:p>
            <w:pPr>
              <w:pStyle w:val="TableParagraph"/>
              <w:ind w:right="99"/>
              <w:jc w:val="right"/>
              <w:rPr>
                <w:sz w:val="16"/>
              </w:rPr>
            </w:pPr>
            <w:r>
              <w:rPr>
                <w:spacing w:val="-10"/>
                <w:sz w:val="16"/>
              </w:rPr>
              <w:t>—</w:t>
            </w:r>
          </w:p>
        </w:tc>
        <w:tc>
          <w:tcPr>
            <w:tcW w:w="546" w:type="dxa"/>
          </w:tcPr>
          <w:p>
            <w:pPr>
              <w:pStyle w:val="TableParagraph"/>
              <w:spacing w:before="7"/>
              <w:rPr>
                <w:i/>
                <w:sz w:val="16"/>
              </w:rPr>
            </w:pPr>
          </w:p>
          <w:p>
            <w:pPr>
              <w:pStyle w:val="TableParagraph"/>
              <w:ind w:right="60"/>
              <w:jc w:val="right"/>
              <w:rPr>
                <w:sz w:val="16"/>
              </w:rPr>
            </w:pPr>
            <w:r>
              <w:rPr>
                <w:spacing w:val="-5"/>
                <w:sz w:val="16"/>
              </w:rPr>
              <w:t>13</w:t>
            </w:r>
          </w:p>
        </w:tc>
        <w:tc>
          <w:tcPr>
            <w:tcW w:w="671" w:type="dxa"/>
          </w:tcPr>
          <w:p>
            <w:pPr>
              <w:pStyle w:val="TableParagraph"/>
              <w:spacing w:before="7"/>
              <w:rPr>
                <w:i/>
                <w:sz w:val="16"/>
              </w:rPr>
            </w:pPr>
          </w:p>
          <w:p>
            <w:pPr>
              <w:pStyle w:val="TableParagraph"/>
              <w:ind w:left="-29" w:right="86"/>
              <w:jc w:val="right"/>
              <w:rPr>
                <w:sz w:val="16"/>
              </w:rPr>
            </w:pPr>
            <w:r>
              <w:rPr>
                <w:spacing w:val="-10"/>
                <w:sz w:val="16"/>
              </w:rPr>
              <w:t>—</w:t>
            </w:r>
          </w:p>
        </w:tc>
        <w:tc>
          <w:tcPr>
            <w:tcW w:w="618" w:type="dxa"/>
          </w:tcPr>
          <w:p>
            <w:pPr>
              <w:pStyle w:val="TableParagraph"/>
              <w:spacing w:before="7"/>
              <w:rPr>
                <w:i/>
                <w:sz w:val="16"/>
              </w:rPr>
            </w:pPr>
          </w:p>
          <w:p>
            <w:pPr>
              <w:pStyle w:val="TableParagraph"/>
              <w:ind w:right="35"/>
              <w:jc w:val="right"/>
              <w:rPr>
                <w:sz w:val="16"/>
              </w:rPr>
            </w:pPr>
            <w:r>
              <w:rPr>
                <w:spacing w:val="-4"/>
                <w:sz w:val="16"/>
              </w:rPr>
              <w:t>(13)</w:t>
            </w:r>
          </w:p>
        </w:tc>
        <w:tc>
          <w:tcPr>
            <w:tcW w:w="635" w:type="dxa"/>
          </w:tcPr>
          <w:p>
            <w:pPr>
              <w:pStyle w:val="TableParagraph"/>
              <w:spacing w:before="7"/>
              <w:rPr>
                <w:i/>
                <w:sz w:val="16"/>
              </w:rPr>
            </w:pPr>
          </w:p>
          <w:p>
            <w:pPr>
              <w:pStyle w:val="TableParagraph"/>
              <w:ind w:right="64"/>
              <w:jc w:val="right"/>
              <w:rPr>
                <w:sz w:val="16"/>
              </w:rPr>
            </w:pPr>
            <w:r>
              <w:rPr>
                <w:spacing w:val="-10"/>
                <w:sz w:val="16"/>
              </w:rPr>
              <w:t>—</w:t>
            </w:r>
          </w:p>
        </w:tc>
        <w:tc>
          <w:tcPr>
            <w:tcW w:w="868" w:type="dxa"/>
          </w:tcPr>
          <w:p>
            <w:pPr>
              <w:pStyle w:val="TableParagraph"/>
              <w:spacing w:before="7"/>
              <w:rPr>
                <w:i/>
                <w:sz w:val="16"/>
              </w:rPr>
            </w:pPr>
          </w:p>
          <w:p>
            <w:pPr>
              <w:pStyle w:val="TableParagraph"/>
              <w:ind w:right="92"/>
              <w:jc w:val="right"/>
              <w:rPr>
                <w:sz w:val="16"/>
              </w:rPr>
            </w:pPr>
            <w:r>
              <w:rPr>
                <w:spacing w:val="-10"/>
                <w:sz w:val="16"/>
              </w:rPr>
              <w:t>—</w:t>
            </w:r>
          </w:p>
        </w:tc>
        <w:tc>
          <w:tcPr>
            <w:tcW w:w="737" w:type="dxa"/>
          </w:tcPr>
          <w:p>
            <w:pPr>
              <w:pStyle w:val="TableParagraph"/>
              <w:spacing w:before="7"/>
              <w:rPr>
                <w:i/>
                <w:sz w:val="16"/>
              </w:rPr>
            </w:pPr>
          </w:p>
          <w:p>
            <w:pPr>
              <w:pStyle w:val="TableParagraph"/>
              <w:ind w:right="94"/>
              <w:jc w:val="right"/>
              <w:rPr>
                <w:sz w:val="16"/>
              </w:rPr>
            </w:pPr>
            <w:r>
              <w:rPr>
                <w:spacing w:val="-10"/>
                <w:sz w:val="16"/>
              </w:rPr>
              <w:t>—</w:t>
            </w:r>
          </w:p>
        </w:tc>
        <w:tc>
          <w:tcPr>
            <w:tcW w:w="2623" w:type="dxa"/>
          </w:tcPr>
          <w:p>
            <w:pPr>
              <w:pStyle w:val="TableParagraph"/>
              <w:spacing w:before="7"/>
              <w:rPr>
                <w:i/>
                <w:sz w:val="16"/>
              </w:rPr>
            </w:pPr>
          </w:p>
          <w:p>
            <w:pPr>
              <w:pStyle w:val="TableParagraph"/>
              <w:tabs>
                <w:tab w:pos="1154" w:val="left" w:leader="none"/>
                <w:tab w:pos="1904" w:val="left" w:leader="none"/>
              </w:tabs>
              <w:ind w:right="77"/>
              <w:jc w:val="right"/>
              <w:rPr>
                <w:sz w:val="16"/>
              </w:rPr>
            </w:pPr>
            <w:r>
              <w:rPr>
                <w:spacing w:val="-10"/>
                <w:sz w:val="16"/>
              </w:rPr>
              <w:t>—</w:t>
            </w:r>
            <w:r>
              <w:rPr>
                <w:sz w:val="16"/>
              </w:rPr>
              <w:tab/>
            </w:r>
            <w:r>
              <w:rPr>
                <w:spacing w:val="-10"/>
                <w:sz w:val="16"/>
              </w:rPr>
              <w:t>—</w:t>
            </w:r>
            <w:r>
              <w:rPr>
                <w:sz w:val="16"/>
              </w:rPr>
              <w:tab/>
            </w:r>
            <w:r>
              <w:rPr>
                <w:spacing w:val="-10"/>
                <w:sz w:val="16"/>
              </w:rPr>
              <w:t>—</w:t>
            </w:r>
          </w:p>
        </w:tc>
      </w:tr>
      <w:tr>
        <w:trPr>
          <w:trHeight w:val="255" w:hRule="atLeast"/>
        </w:trPr>
        <w:tc>
          <w:tcPr>
            <w:tcW w:w="3152" w:type="dxa"/>
            <w:shd w:val="clear" w:color="auto" w:fill="CCEDFF"/>
          </w:tcPr>
          <w:p>
            <w:pPr>
              <w:pStyle w:val="TableParagraph"/>
              <w:spacing w:before="41"/>
              <w:ind w:left="52"/>
              <w:rPr>
                <w:sz w:val="16"/>
              </w:rPr>
            </w:pPr>
            <w:r>
              <w:rPr>
                <w:sz w:val="16"/>
              </w:rPr>
              <w:t>Stock</w:t>
            </w:r>
            <w:r>
              <w:rPr>
                <w:spacing w:val="-1"/>
                <w:sz w:val="16"/>
              </w:rPr>
              <w:t> </w:t>
            </w:r>
            <w:r>
              <w:rPr>
                <w:sz w:val="16"/>
              </w:rPr>
              <w:t>option exercises</w:t>
            </w:r>
            <w:r>
              <w:rPr>
                <w:spacing w:val="-2"/>
                <w:sz w:val="16"/>
              </w:rPr>
              <w:t> </w:t>
            </w:r>
            <w:r>
              <w:rPr>
                <w:sz w:val="16"/>
              </w:rPr>
              <w:t>and </w:t>
            </w:r>
            <w:r>
              <w:rPr>
                <w:spacing w:val="-2"/>
                <w:sz w:val="16"/>
              </w:rPr>
              <w:t>other</w:t>
            </w:r>
          </w:p>
        </w:tc>
        <w:tc>
          <w:tcPr>
            <w:tcW w:w="781" w:type="dxa"/>
            <w:shd w:val="clear" w:color="auto" w:fill="CCEDFF"/>
          </w:tcPr>
          <w:p>
            <w:pPr>
              <w:pStyle w:val="TableParagraph"/>
              <w:spacing w:before="41"/>
              <w:ind w:right="99"/>
              <w:jc w:val="right"/>
              <w:rPr>
                <w:sz w:val="16"/>
              </w:rPr>
            </w:pPr>
            <w:r>
              <w:rPr>
                <w:spacing w:val="-10"/>
                <w:sz w:val="16"/>
              </w:rPr>
              <w:t>—</w:t>
            </w:r>
          </w:p>
        </w:tc>
        <w:tc>
          <w:tcPr>
            <w:tcW w:w="546" w:type="dxa"/>
            <w:shd w:val="clear" w:color="auto" w:fill="CCEDFF"/>
          </w:tcPr>
          <w:p>
            <w:pPr>
              <w:pStyle w:val="TableParagraph"/>
              <w:spacing w:before="41"/>
              <w:ind w:right="60"/>
              <w:jc w:val="right"/>
              <w:rPr>
                <w:sz w:val="16"/>
              </w:rPr>
            </w:pPr>
            <w:r>
              <w:rPr>
                <w:spacing w:val="-10"/>
                <w:sz w:val="16"/>
              </w:rPr>
              <w:t>—</w:t>
            </w:r>
          </w:p>
        </w:tc>
        <w:tc>
          <w:tcPr>
            <w:tcW w:w="671" w:type="dxa"/>
            <w:shd w:val="clear" w:color="auto" w:fill="CCEDFF"/>
          </w:tcPr>
          <w:p>
            <w:pPr>
              <w:pStyle w:val="TableParagraph"/>
              <w:spacing w:before="41"/>
              <w:ind w:left="-29" w:right="86"/>
              <w:jc w:val="right"/>
              <w:rPr>
                <w:sz w:val="16"/>
              </w:rPr>
            </w:pPr>
            <w:r>
              <w:rPr>
                <w:spacing w:val="-10"/>
                <w:sz w:val="16"/>
              </w:rPr>
              <w:t>—</w:t>
            </w:r>
          </w:p>
        </w:tc>
        <w:tc>
          <w:tcPr>
            <w:tcW w:w="618" w:type="dxa"/>
            <w:shd w:val="clear" w:color="auto" w:fill="CCEDFF"/>
          </w:tcPr>
          <w:p>
            <w:pPr>
              <w:pStyle w:val="TableParagraph"/>
              <w:spacing w:before="41"/>
              <w:ind w:right="89"/>
              <w:jc w:val="right"/>
              <w:rPr>
                <w:sz w:val="16"/>
              </w:rPr>
            </w:pPr>
            <w:r>
              <w:rPr>
                <w:spacing w:val="-10"/>
                <w:sz w:val="16"/>
              </w:rPr>
              <w:t>—</w:t>
            </w:r>
          </w:p>
        </w:tc>
        <w:tc>
          <w:tcPr>
            <w:tcW w:w="635" w:type="dxa"/>
            <w:shd w:val="clear" w:color="auto" w:fill="CCEDFF"/>
          </w:tcPr>
          <w:p>
            <w:pPr>
              <w:pStyle w:val="TableParagraph"/>
              <w:spacing w:before="41"/>
              <w:ind w:right="64"/>
              <w:jc w:val="right"/>
              <w:rPr>
                <w:sz w:val="16"/>
              </w:rPr>
            </w:pPr>
            <w:r>
              <w:rPr>
                <w:spacing w:val="-10"/>
                <w:sz w:val="16"/>
              </w:rPr>
              <w:t>—</w:t>
            </w:r>
          </w:p>
        </w:tc>
        <w:tc>
          <w:tcPr>
            <w:tcW w:w="868" w:type="dxa"/>
            <w:shd w:val="clear" w:color="auto" w:fill="CCEDFF"/>
          </w:tcPr>
          <w:p>
            <w:pPr>
              <w:pStyle w:val="TableParagraph"/>
              <w:spacing w:before="41"/>
              <w:ind w:right="38"/>
              <w:jc w:val="right"/>
              <w:rPr>
                <w:sz w:val="16"/>
              </w:rPr>
            </w:pPr>
            <w:r>
              <w:rPr>
                <w:spacing w:val="-4"/>
                <w:sz w:val="16"/>
              </w:rPr>
              <w:t>(68)</w:t>
            </w:r>
          </w:p>
        </w:tc>
        <w:tc>
          <w:tcPr>
            <w:tcW w:w="737" w:type="dxa"/>
            <w:shd w:val="clear" w:color="auto" w:fill="CCEDFF"/>
          </w:tcPr>
          <w:p>
            <w:pPr>
              <w:pStyle w:val="TableParagraph"/>
              <w:spacing w:before="41"/>
              <w:ind w:right="94"/>
              <w:jc w:val="right"/>
              <w:rPr>
                <w:sz w:val="16"/>
              </w:rPr>
            </w:pPr>
            <w:r>
              <w:rPr>
                <w:spacing w:val="-10"/>
                <w:sz w:val="16"/>
              </w:rPr>
              <w:t>—</w:t>
            </w:r>
          </w:p>
        </w:tc>
        <w:tc>
          <w:tcPr>
            <w:tcW w:w="2623" w:type="dxa"/>
            <w:shd w:val="clear" w:color="auto" w:fill="CCEDFF"/>
          </w:tcPr>
          <w:p>
            <w:pPr>
              <w:pStyle w:val="TableParagraph"/>
              <w:tabs>
                <w:tab w:pos="1234" w:val="left" w:leader="none"/>
                <w:tab w:pos="1984" w:val="left" w:leader="none"/>
              </w:tabs>
              <w:spacing w:before="41"/>
              <w:ind w:right="77"/>
              <w:jc w:val="right"/>
              <w:rPr>
                <w:sz w:val="16"/>
              </w:rPr>
            </w:pPr>
            <w:r>
              <w:rPr>
                <w:spacing w:val="-5"/>
                <w:sz w:val="16"/>
              </w:rPr>
              <w:t>110</w:t>
            </w:r>
            <w:r>
              <w:rPr>
                <w:sz w:val="16"/>
              </w:rPr>
              <w:tab/>
            </w:r>
            <w:r>
              <w:rPr>
                <w:spacing w:val="-10"/>
                <w:sz w:val="16"/>
              </w:rPr>
              <w:t>—</w:t>
            </w:r>
            <w:r>
              <w:rPr>
                <w:sz w:val="16"/>
              </w:rPr>
              <w:tab/>
            </w:r>
            <w:r>
              <w:rPr>
                <w:spacing w:val="-5"/>
                <w:sz w:val="16"/>
              </w:rPr>
              <w:t>42</w:t>
            </w:r>
          </w:p>
        </w:tc>
      </w:tr>
      <w:tr>
        <w:trPr>
          <w:trHeight w:val="255" w:hRule="atLeast"/>
        </w:trPr>
        <w:tc>
          <w:tcPr>
            <w:tcW w:w="3152" w:type="dxa"/>
          </w:tcPr>
          <w:p>
            <w:pPr>
              <w:pStyle w:val="TableParagraph"/>
              <w:spacing w:before="41"/>
              <w:ind w:left="52"/>
              <w:rPr>
                <w:sz w:val="16"/>
              </w:rPr>
            </w:pPr>
            <w:r>
              <w:rPr>
                <w:sz w:val="16"/>
              </w:rPr>
              <w:t>Share-based</w:t>
            </w:r>
            <w:r>
              <w:rPr>
                <w:spacing w:val="-2"/>
                <w:sz w:val="16"/>
              </w:rPr>
              <w:t> compensation</w:t>
            </w:r>
          </w:p>
        </w:tc>
        <w:tc>
          <w:tcPr>
            <w:tcW w:w="781" w:type="dxa"/>
          </w:tcPr>
          <w:p>
            <w:pPr>
              <w:pStyle w:val="TableParagraph"/>
              <w:spacing w:before="41"/>
              <w:ind w:right="99"/>
              <w:jc w:val="right"/>
              <w:rPr>
                <w:sz w:val="16"/>
              </w:rPr>
            </w:pPr>
            <w:r>
              <w:rPr>
                <w:spacing w:val="-10"/>
                <w:sz w:val="16"/>
              </w:rPr>
              <w:t>—</w:t>
            </w:r>
          </w:p>
        </w:tc>
        <w:tc>
          <w:tcPr>
            <w:tcW w:w="546" w:type="dxa"/>
          </w:tcPr>
          <w:p>
            <w:pPr>
              <w:pStyle w:val="TableParagraph"/>
              <w:spacing w:before="41"/>
              <w:ind w:right="60"/>
              <w:jc w:val="right"/>
              <w:rPr>
                <w:sz w:val="16"/>
              </w:rPr>
            </w:pPr>
            <w:r>
              <w:rPr>
                <w:spacing w:val="-10"/>
                <w:sz w:val="16"/>
              </w:rPr>
              <w:t>—</w:t>
            </w:r>
          </w:p>
        </w:tc>
        <w:tc>
          <w:tcPr>
            <w:tcW w:w="671" w:type="dxa"/>
          </w:tcPr>
          <w:p>
            <w:pPr>
              <w:pStyle w:val="TableParagraph"/>
              <w:spacing w:before="41"/>
              <w:ind w:left="-29" w:right="86"/>
              <w:jc w:val="right"/>
              <w:rPr>
                <w:sz w:val="16"/>
              </w:rPr>
            </w:pPr>
            <w:r>
              <w:rPr>
                <w:spacing w:val="-10"/>
                <w:sz w:val="16"/>
              </w:rPr>
              <w:t>—</w:t>
            </w:r>
          </w:p>
        </w:tc>
        <w:tc>
          <w:tcPr>
            <w:tcW w:w="618" w:type="dxa"/>
          </w:tcPr>
          <w:p>
            <w:pPr>
              <w:pStyle w:val="TableParagraph"/>
              <w:spacing w:before="41"/>
              <w:ind w:right="89"/>
              <w:jc w:val="right"/>
              <w:rPr>
                <w:sz w:val="16"/>
              </w:rPr>
            </w:pPr>
            <w:r>
              <w:rPr>
                <w:spacing w:val="-10"/>
                <w:sz w:val="16"/>
              </w:rPr>
              <w:t>—</w:t>
            </w:r>
          </w:p>
        </w:tc>
        <w:tc>
          <w:tcPr>
            <w:tcW w:w="635" w:type="dxa"/>
          </w:tcPr>
          <w:p>
            <w:pPr>
              <w:pStyle w:val="TableParagraph"/>
              <w:spacing w:before="41"/>
              <w:ind w:right="64"/>
              <w:jc w:val="right"/>
              <w:rPr>
                <w:sz w:val="16"/>
              </w:rPr>
            </w:pPr>
            <w:r>
              <w:rPr>
                <w:spacing w:val="-10"/>
                <w:sz w:val="16"/>
              </w:rPr>
              <w:t>—</w:t>
            </w:r>
          </w:p>
        </w:tc>
        <w:tc>
          <w:tcPr>
            <w:tcW w:w="868" w:type="dxa"/>
          </w:tcPr>
          <w:p>
            <w:pPr>
              <w:pStyle w:val="TableParagraph"/>
              <w:spacing w:before="41"/>
              <w:ind w:right="92"/>
              <w:jc w:val="right"/>
              <w:rPr>
                <w:sz w:val="16"/>
              </w:rPr>
            </w:pPr>
            <w:r>
              <w:rPr>
                <w:spacing w:val="-5"/>
                <w:sz w:val="16"/>
              </w:rPr>
              <w:t>215</w:t>
            </w:r>
          </w:p>
        </w:tc>
        <w:tc>
          <w:tcPr>
            <w:tcW w:w="737" w:type="dxa"/>
          </w:tcPr>
          <w:p>
            <w:pPr>
              <w:pStyle w:val="TableParagraph"/>
              <w:spacing w:before="41"/>
              <w:ind w:right="94"/>
              <w:jc w:val="right"/>
              <w:rPr>
                <w:sz w:val="16"/>
              </w:rPr>
            </w:pPr>
            <w:r>
              <w:rPr>
                <w:spacing w:val="-10"/>
                <w:sz w:val="16"/>
              </w:rPr>
              <w:t>—</w:t>
            </w:r>
          </w:p>
        </w:tc>
        <w:tc>
          <w:tcPr>
            <w:tcW w:w="2623" w:type="dxa"/>
          </w:tcPr>
          <w:p>
            <w:pPr>
              <w:pStyle w:val="TableParagraph"/>
              <w:tabs>
                <w:tab w:pos="1154" w:val="left" w:leader="none"/>
                <w:tab w:pos="1824" w:val="left" w:leader="none"/>
              </w:tabs>
              <w:spacing w:before="41"/>
              <w:ind w:right="77"/>
              <w:jc w:val="right"/>
              <w:rPr>
                <w:sz w:val="16"/>
              </w:rPr>
            </w:pPr>
            <w:r>
              <w:rPr>
                <w:spacing w:val="-10"/>
                <w:sz w:val="16"/>
              </w:rPr>
              <w:t>—</w:t>
            </w:r>
            <w:r>
              <w:rPr>
                <w:sz w:val="16"/>
              </w:rPr>
              <w:tab/>
            </w:r>
            <w:r>
              <w:rPr>
                <w:spacing w:val="-10"/>
                <w:sz w:val="16"/>
              </w:rPr>
              <w:t>—</w:t>
            </w:r>
            <w:r>
              <w:rPr>
                <w:sz w:val="16"/>
              </w:rPr>
              <w:tab/>
            </w:r>
            <w:r>
              <w:rPr>
                <w:spacing w:val="-5"/>
                <w:sz w:val="16"/>
              </w:rPr>
              <w:t>215</w:t>
            </w:r>
          </w:p>
        </w:tc>
      </w:tr>
      <w:tr>
        <w:trPr>
          <w:trHeight w:val="250" w:hRule="atLeast"/>
        </w:trPr>
        <w:tc>
          <w:tcPr>
            <w:tcW w:w="3152" w:type="dxa"/>
            <w:tcBorders>
              <w:bottom w:val="single" w:sz="4" w:space="0" w:color="000000"/>
            </w:tcBorders>
            <w:shd w:val="clear" w:color="auto" w:fill="CCEDFF"/>
          </w:tcPr>
          <w:p>
            <w:pPr>
              <w:pStyle w:val="TableParagraph"/>
              <w:spacing w:before="41"/>
              <w:ind w:left="52"/>
              <w:rPr>
                <w:sz w:val="16"/>
              </w:rPr>
            </w:pPr>
            <w:r>
              <w:rPr>
                <w:spacing w:val="-2"/>
                <w:sz w:val="16"/>
              </w:rPr>
              <w:t>Other</w:t>
            </w:r>
          </w:p>
        </w:tc>
        <w:tc>
          <w:tcPr>
            <w:tcW w:w="781" w:type="dxa"/>
            <w:tcBorders>
              <w:bottom w:val="single" w:sz="4" w:space="0" w:color="000000"/>
            </w:tcBorders>
            <w:shd w:val="clear" w:color="auto" w:fill="CCEDFF"/>
          </w:tcPr>
          <w:p>
            <w:pPr>
              <w:pStyle w:val="TableParagraph"/>
              <w:spacing w:before="41"/>
              <w:ind w:right="99"/>
              <w:jc w:val="right"/>
              <w:rPr>
                <w:sz w:val="16"/>
              </w:rPr>
            </w:pPr>
            <w:r>
              <w:rPr>
                <w:spacing w:val="-10"/>
                <w:sz w:val="16"/>
              </w:rPr>
              <w:t>—</w:t>
            </w:r>
          </w:p>
        </w:tc>
        <w:tc>
          <w:tcPr>
            <w:tcW w:w="546" w:type="dxa"/>
            <w:tcBorders>
              <w:bottom w:val="single" w:sz="4" w:space="0" w:color="000000"/>
            </w:tcBorders>
            <w:shd w:val="clear" w:color="auto" w:fill="CCEDFF"/>
          </w:tcPr>
          <w:p>
            <w:pPr>
              <w:pStyle w:val="TableParagraph"/>
              <w:spacing w:before="41"/>
              <w:ind w:right="60"/>
              <w:jc w:val="right"/>
              <w:rPr>
                <w:sz w:val="16"/>
              </w:rPr>
            </w:pPr>
            <w:r>
              <w:rPr>
                <w:spacing w:val="-10"/>
                <w:sz w:val="16"/>
              </w:rPr>
              <w:t>—</w:t>
            </w:r>
          </w:p>
        </w:tc>
        <w:tc>
          <w:tcPr>
            <w:tcW w:w="671" w:type="dxa"/>
            <w:tcBorders>
              <w:bottom w:val="single" w:sz="4" w:space="0" w:color="000000"/>
            </w:tcBorders>
            <w:shd w:val="clear" w:color="auto" w:fill="CCEDFF"/>
          </w:tcPr>
          <w:p>
            <w:pPr>
              <w:pStyle w:val="TableParagraph"/>
              <w:spacing w:before="41"/>
              <w:ind w:left="-29" w:right="86"/>
              <w:jc w:val="right"/>
              <w:rPr>
                <w:sz w:val="16"/>
              </w:rPr>
            </w:pPr>
            <w:r>
              <w:rPr>
                <w:spacing w:val="-10"/>
                <w:sz w:val="16"/>
              </w:rPr>
              <w:t>—</w:t>
            </w:r>
          </w:p>
        </w:tc>
        <w:tc>
          <w:tcPr>
            <w:tcW w:w="618" w:type="dxa"/>
            <w:tcBorders>
              <w:bottom w:val="single" w:sz="4" w:space="0" w:color="000000"/>
            </w:tcBorders>
            <w:shd w:val="clear" w:color="auto" w:fill="CCEDFF"/>
          </w:tcPr>
          <w:p>
            <w:pPr>
              <w:pStyle w:val="TableParagraph"/>
              <w:spacing w:before="41"/>
              <w:ind w:right="89"/>
              <w:jc w:val="right"/>
              <w:rPr>
                <w:sz w:val="16"/>
              </w:rPr>
            </w:pPr>
            <w:r>
              <w:rPr>
                <w:spacing w:val="-10"/>
                <w:sz w:val="16"/>
              </w:rPr>
              <w:t>—</w:t>
            </w:r>
          </w:p>
        </w:tc>
        <w:tc>
          <w:tcPr>
            <w:tcW w:w="635" w:type="dxa"/>
            <w:tcBorders>
              <w:bottom w:val="single" w:sz="4" w:space="0" w:color="000000"/>
            </w:tcBorders>
            <w:shd w:val="clear" w:color="auto" w:fill="CCEDFF"/>
          </w:tcPr>
          <w:p>
            <w:pPr>
              <w:pStyle w:val="TableParagraph"/>
              <w:spacing w:before="41"/>
              <w:ind w:right="64"/>
              <w:jc w:val="right"/>
              <w:rPr>
                <w:sz w:val="16"/>
              </w:rPr>
            </w:pPr>
            <w:r>
              <w:rPr>
                <w:spacing w:val="-10"/>
                <w:sz w:val="16"/>
              </w:rPr>
              <w:t>—</w:t>
            </w:r>
          </w:p>
        </w:tc>
        <w:tc>
          <w:tcPr>
            <w:tcW w:w="868" w:type="dxa"/>
            <w:tcBorders>
              <w:bottom w:val="single" w:sz="4" w:space="0" w:color="000000"/>
            </w:tcBorders>
            <w:shd w:val="clear" w:color="auto" w:fill="CCEDFF"/>
          </w:tcPr>
          <w:p>
            <w:pPr>
              <w:pStyle w:val="TableParagraph"/>
              <w:spacing w:before="41"/>
              <w:ind w:right="92"/>
              <w:jc w:val="right"/>
              <w:rPr>
                <w:sz w:val="16"/>
              </w:rPr>
            </w:pPr>
            <w:r>
              <w:rPr>
                <w:spacing w:val="-5"/>
                <w:sz w:val="16"/>
              </w:rPr>
              <w:t>87</w:t>
            </w:r>
          </w:p>
        </w:tc>
        <w:tc>
          <w:tcPr>
            <w:tcW w:w="737" w:type="dxa"/>
            <w:tcBorders>
              <w:bottom w:val="single" w:sz="4" w:space="0" w:color="000000"/>
            </w:tcBorders>
            <w:shd w:val="clear" w:color="auto" w:fill="CCEDFF"/>
          </w:tcPr>
          <w:p>
            <w:pPr>
              <w:pStyle w:val="TableParagraph"/>
              <w:spacing w:before="41"/>
              <w:ind w:right="94"/>
              <w:jc w:val="right"/>
              <w:rPr>
                <w:sz w:val="16"/>
              </w:rPr>
            </w:pPr>
            <w:r>
              <w:rPr>
                <w:spacing w:val="-10"/>
                <w:sz w:val="16"/>
              </w:rPr>
              <w:t>—</w:t>
            </w:r>
          </w:p>
        </w:tc>
        <w:tc>
          <w:tcPr>
            <w:tcW w:w="2623" w:type="dxa"/>
            <w:tcBorders>
              <w:bottom w:val="single" w:sz="4" w:space="0" w:color="000000"/>
            </w:tcBorders>
            <w:shd w:val="clear" w:color="auto" w:fill="CCEDFF"/>
          </w:tcPr>
          <w:p>
            <w:pPr>
              <w:pStyle w:val="TableParagraph"/>
              <w:tabs>
                <w:tab w:pos="1208" w:val="left" w:leader="none"/>
                <w:tab w:pos="1958" w:val="left" w:leader="none"/>
              </w:tabs>
              <w:spacing w:before="41"/>
              <w:ind w:right="77"/>
              <w:jc w:val="right"/>
              <w:rPr>
                <w:sz w:val="16"/>
              </w:rPr>
            </w:pPr>
            <w:r>
              <w:rPr>
                <w:spacing w:val="-4"/>
                <w:sz w:val="16"/>
              </w:rPr>
              <w:t>(23)</w:t>
            </w:r>
            <w:r>
              <w:rPr>
                <w:sz w:val="16"/>
              </w:rPr>
              <w:tab/>
            </w:r>
            <w:r>
              <w:rPr>
                <w:spacing w:val="-10"/>
                <w:sz w:val="16"/>
              </w:rPr>
              <w:t>—</w:t>
            </w:r>
            <w:r>
              <w:rPr>
                <w:sz w:val="16"/>
              </w:rPr>
              <w:tab/>
            </w:r>
            <w:r>
              <w:rPr>
                <w:spacing w:val="-5"/>
                <w:sz w:val="16"/>
              </w:rPr>
              <w:t>64</w:t>
            </w:r>
          </w:p>
        </w:tc>
      </w:tr>
      <w:tr>
        <w:trPr>
          <w:trHeight w:val="220" w:hRule="atLeast"/>
        </w:trPr>
        <w:tc>
          <w:tcPr>
            <w:tcW w:w="3152" w:type="dxa"/>
            <w:tcBorders>
              <w:top w:val="single" w:sz="4" w:space="0" w:color="000000"/>
              <w:bottom w:val="double" w:sz="8" w:space="0" w:color="000000"/>
            </w:tcBorders>
          </w:tcPr>
          <w:p>
            <w:pPr>
              <w:pStyle w:val="TableParagraph"/>
              <w:spacing w:line="164" w:lineRule="exact" w:before="36"/>
              <w:ind w:left="52"/>
              <w:rPr>
                <w:sz w:val="16"/>
              </w:rPr>
            </w:pPr>
            <w:r>
              <w:rPr>
                <w:sz w:val="16"/>
              </w:rPr>
              <w:t>Balance</w:t>
            </w:r>
            <w:r>
              <w:rPr>
                <w:spacing w:val="-1"/>
                <w:sz w:val="16"/>
              </w:rPr>
              <w:t> </w:t>
            </w:r>
            <w:r>
              <w:rPr>
                <w:sz w:val="16"/>
              </w:rPr>
              <w:t>at September 30, </w:t>
            </w:r>
            <w:r>
              <w:rPr>
                <w:spacing w:val="-4"/>
                <w:sz w:val="16"/>
              </w:rPr>
              <w:t>2022</w:t>
            </w:r>
          </w:p>
        </w:tc>
        <w:tc>
          <w:tcPr>
            <w:tcW w:w="781" w:type="dxa"/>
            <w:tcBorders>
              <w:top w:val="single" w:sz="4" w:space="0" w:color="000000"/>
              <w:bottom w:val="double" w:sz="8" w:space="0" w:color="000000"/>
            </w:tcBorders>
          </w:tcPr>
          <w:p>
            <w:pPr>
              <w:pStyle w:val="TableParagraph"/>
              <w:spacing w:line="164" w:lineRule="exact" w:before="36"/>
              <w:ind w:right="99"/>
              <w:jc w:val="right"/>
              <w:rPr>
                <w:sz w:val="16"/>
              </w:rPr>
            </w:pPr>
            <w:r>
              <w:rPr>
                <w:sz w:val="16"/>
              </w:rPr>
              <w:t>$</w:t>
            </w:r>
            <w:r>
              <w:rPr>
                <w:spacing w:val="24"/>
                <w:sz w:val="16"/>
              </w:rPr>
              <w:t> </w:t>
            </w:r>
            <w:r>
              <w:rPr>
                <w:spacing w:val="-2"/>
                <w:sz w:val="16"/>
              </w:rPr>
              <w:t>10,297</w:t>
            </w:r>
          </w:p>
        </w:tc>
        <w:tc>
          <w:tcPr>
            <w:tcW w:w="546" w:type="dxa"/>
            <w:tcBorders>
              <w:top w:val="single" w:sz="4" w:space="0" w:color="000000"/>
              <w:bottom w:val="double" w:sz="8" w:space="0" w:color="000000"/>
            </w:tcBorders>
          </w:tcPr>
          <w:p>
            <w:pPr>
              <w:pStyle w:val="TableParagraph"/>
              <w:spacing w:line="164" w:lineRule="exact" w:before="36"/>
              <w:ind w:right="60"/>
              <w:jc w:val="right"/>
              <w:rPr>
                <w:sz w:val="16"/>
              </w:rPr>
            </w:pPr>
            <w:r>
              <w:rPr>
                <w:spacing w:val="-2"/>
                <w:sz w:val="16"/>
              </w:rPr>
              <w:t>2,023</w:t>
            </w:r>
          </w:p>
        </w:tc>
        <w:tc>
          <w:tcPr>
            <w:tcW w:w="671" w:type="dxa"/>
            <w:tcBorders>
              <w:top w:val="single" w:sz="4" w:space="0" w:color="000000"/>
              <w:bottom w:val="double" w:sz="8" w:space="0" w:color="000000"/>
            </w:tcBorders>
          </w:tcPr>
          <w:p>
            <w:pPr>
              <w:pStyle w:val="TableParagraph"/>
              <w:tabs>
                <w:tab w:pos="364" w:val="left" w:leader="none"/>
              </w:tabs>
              <w:spacing w:line="164" w:lineRule="exact" w:before="36"/>
              <w:ind w:right="86"/>
              <w:jc w:val="right"/>
              <w:rPr>
                <w:sz w:val="16"/>
              </w:rPr>
            </w:pPr>
            <w:r>
              <w:rPr>
                <w:spacing w:val="-10"/>
                <w:sz w:val="16"/>
              </w:rPr>
              <w:t>$</w:t>
            </w:r>
            <w:r>
              <w:rPr>
                <w:sz w:val="16"/>
              </w:rPr>
              <w:tab/>
            </w:r>
            <w:r>
              <w:rPr>
                <w:spacing w:val="-5"/>
                <w:sz w:val="16"/>
              </w:rPr>
              <w:t>20</w:t>
            </w:r>
          </w:p>
        </w:tc>
        <w:tc>
          <w:tcPr>
            <w:tcW w:w="618" w:type="dxa"/>
            <w:tcBorders>
              <w:top w:val="single" w:sz="4" w:space="0" w:color="000000"/>
              <w:bottom w:val="double" w:sz="8" w:space="0" w:color="000000"/>
            </w:tcBorders>
          </w:tcPr>
          <w:p>
            <w:pPr>
              <w:pStyle w:val="TableParagraph"/>
              <w:spacing w:line="164" w:lineRule="exact" w:before="36"/>
              <w:ind w:right="89"/>
              <w:jc w:val="right"/>
              <w:rPr>
                <w:sz w:val="16"/>
              </w:rPr>
            </w:pPr>
            <w:r>
              <w:rPr>
                <w:spacing w:val="-5"/>
                <w:sz w:val="16"/>
              </w:rPr>
              <w:t>51</w:t>
            </w:r>
          </w:p>
        </w:tc>
        <w:tc>
          <w:tcPr>
            <w:tcW w:w="635" w:type="dxa"/>
            <w:tcBorders>
              <w:top w:val="single" w:sz="4" w:space="0" w:color="000000"/>
              <w:bottom w:val="double" w:sz="8" w:space="0" w:color="000000"/>
            </w:tcBorders>
          </w:tcPr>
          <w:p>
            <w:pPr>
              <w:pStyle w:val="TableParagraph"/>
              <w:tabs>
                <w:tab w:pos="459" w:val="left" w:leader="none"/>
              </w:tabs>
              <w:spacing w:line="164" w:lineRule="exact" w:before="36"/>
              <w:ind w:right="64"/>
              <w:jc w:val="right"/>
              <w:rPr>
                <w:sz w:val="16"/>
              </w:rPr>
            </w:pPr>
            <w:r>
              <w:rPr>
                <w:spacing w:val="-10"/>
                <w:sz w:val="16"/>
              </w:rPr>
              <w:t>$</w:t>
            </w:r>
            <w:r>
              <w:rPr>
                <w:sz w:val="16"/>
              </w:rPr>
              <w:tab/>
            </w:r>
            <w:r>
              <w:rPr>
                <w:spacing w:val="-10"/>
                <w:sz w:val="16"/>
              </w:rPr>
              <w:t>1</w:t>
            </w:r>
          </w:p>
        </w:tc>
        <w:tc>
          <w:tcPr>
            <w:tcW w:w="868" w:type="dxa"/>
            <w:tcBorders>
              <w:top w:val="single" w:sz="4" w:space="0" w:color="000000"/>
              <w:bottom w:val="double" w:sz="8" w:space="0" w:color="000000"/>
            </w:tcBorders>
          </w:tcPr>
          <w:p>
            <w:pPr>
              <w:pStyle w:val="TableParagraph"/>
              <w:spacing w:line="164" w:lineRule="exact" w:before="36"/>
              <w:ind w:left="54"/>
              <w:rPr>
                <w:sz w:val="16"/>
              </w:rPr>
            </w:pPr>
            <w:r>
              <w:rPr>
                <w:sz w:val="16"/>
              </w:rPr>
              <w:t>$</w:t>
            </w:r>
            <w:r>
              <w:rPr>
                <w:spacing w:val="59"/>
                <w:sz w:val="16"/>
              </w:rPr>
              <w:t>  </w:t>
            </w:r>
            <w:r>
              <w:rPr>
                <w:spacing w:val="-2"/>
                <w:sz w:val="16"/>
              </w:rPr>
              <w:t>26,975</w:t>
            </w:r>
          </w:p>
        </w:tc>
        <w:tc>
          <w:tcPr>
            <w:tcW w:w="737" w:type="dxa"/>
            <w:tcBorders>
              <w:top w:val="single" w:sz="4" w:space="0" w:color="000000"/>
              <w:bottom w:val="double" w:sz="8" w:space="0" w:color="000000"/>
            </w:tcBorders>
          </w:tcPr>
          <w:p>
            <w:pPr>
              <w:pStyle w:val="TableParagraph"/>
              <w:spacing w:line="164" w:lineRule="exact" w:before="36"/>
              <w:ind w:right="94"/>
              <w:jc w:val="right"/>
              <w:rPr>
                <w:sz w:val="16"/>
              </w:rPr>
            </w:pPr>
            <w:r>
              <w:rPr>
                <w:sz w:val="16"/>
              </w:rPr>
              <w:t>$</w:t>
            </w:r>
            <w:r>
              <w:rPr>
                <w:spacing w:val="54"/>
                <w:sz w:val="16"/>
              </w:rPr>
              <w:t> </w:t>
            </w:r>
            <w:r>
              <w:rPr>
                <w:spacing w:val="-2"/>
                <w:sz w:val="16"/>
              </w:rPr>
              <w:t>29,651</w:t>
            </w:r>
          </w:p>
        </w:tc>
        <w:tc>
          <w:tcPr>
            <w:tcW w:w="2623" w:type="dxa"/>
            <w:tcBorders>
              <w:top w:val="single" w:sz="4" w:space="0" w:color="000000"/>
              <w:bottom w:val="double" w:sz="8" w:space="0" w:color="000000"/>
            </w:tcBorders>
          </w:tcPr>
          <w:p>
            <w:pPr>
              <w:pStyle w:val="TableParagraph"/>
              <w:tabs>
                <w:tab w:pos="1275" w:val="left" w:leader="none"/>
              </w:tabs>
              <w:spacing w:line="164" w:lineRule="exact" w:before="36"/>
              <w:ind w:right="77"/>
              <w:jc w:val="right"/>
              <w:rPr>
                <w:sz w:val="16"/>
              </w:rPr>
            </w:pPr>
            <w:r>
              <w:rPr>
                <w:sz w:val="16"/>
              </w:rPr>
              <w:t>$</w:t>
            </w:r>
            <w:r>
              <w:rPr>
                <w:spacing w:val="60"/>
                <w:w w:val="150"/>
                <w:sz w:val="16"/>
              </w:rPr>
              <w:t> </w:t>
            </w:r>
            <w:r>
              <w:rPr>
                <w:sz w:val="16"/>
              </w:rPr>
              <w:t>(6,751)</w:t>
            </w:r>
            <w:r>
              <w:rPr>
                <w:spacing w:val="27"/>
                <w:sz w:val="16"/>
              </w:rPr>
              <w:t> </w:t>
            </w:r>
            <w:r>
              <w:rPr>
                <w:spacing w:val="-10"/>
                <w:sz w:val="16"/>
              </w:rPr>
              <w:t>$</w:t>
            </w:r>
            <w:r>
              <w:rPr>
                <w:sz w:val="16"/>
              </w:rPr>
              <w:tab/>
              <w:t>(23,152)</w:t>
            </w:r>
            <w:r>
              <w:rPr>
                <w:spacing w:val="27"/>
                <w:sz w:val="16"/>
              </w:rPr>
              <w:t> </w:t>
            </w:r>
            <w:r>
              <w:rPr>
                <w:sz w:val="16"/>
              </w:rPr>
              <w:t>$</w:t>
            </w:r>
            <w:r>
              <w:rPr>
                <w:spacing w:val="69"/>
                <w:sz w:val="16"/>
              </w:rPr>
              <w:t> </w:t>
            </w:r>
            <w:r>
              <w:rPr>
                <w:spacing w:val="-2"/>
                <w:sz w:val="16"/>
              </w:rPr>
              <w:t>37,041</w:t>
            </w:r>
          </w:p>
        </w:tc>
      </w:tr>
      <w:tr>
        <w:trPr>
          <w:trHeight w:val="190" w:hRule="atLeast"/>
        </w:trPr>
        <w:tc>
          <w:tcPr>
            <w:tcW w:w="3152" w:type="dxa"/>
            <w:tcBorders>
              <w:top w:val="double" w:sz="8" w:space="0" w:color="000000"/>
              <w:bottom w:val="single" w:sz="4" w:space="0" w:color="000000"/>
            </w:tcBorders>
          </w:tcPr>
          <w:p>
            <w:pPr>
              <w:pStyle w:val="TableParagraph"/>
              <w:rPr>
                <w:sz w:val="12"/>
              </w:rPr>
            </w:pPr>
          </w:p>
        </w:tc>
        <w:tc>
          <w:tcPr>
            <w:tcW w:w="781" w:type="dxa"/>
            <w:tcBorders>
              <w:top w:val="double" w:sz="8" w:space="0" w:color="000000"/>
              <w:bottom w:val="single" w:sz="4" w:space="0" w:color="000000"/>
            </w:tcBorders>
          </w:tcPr>
          <w:p>
            <w:pPr>
              <w:pStyle w:val="TableParagraph"/>
              <w:rPr>
                <w:sz w:val="12"/>
              </w:rPr>
            </w:pPr>
          </w:p>
        </w:tc>
        <w:tc>
          <w:tcPr>
            <w:tcW w:w="546" w:type="dxa"/>
            <w:tcBorders>
              <w:top w:val="double" w:sz="8" w:space="0" w:color="000000"/>
              <w:bottom w:val="single" w:sz="4" w:space="0" w:color="000000"/>
            </w:tcBorders>
          </w:tcPr>
          <w:p>
            <w:pPr>
              <w:pStyle w:val="TableParagraph"/>
              <w:rPr>
                <w:sz w:val="12"/>
              </w:rPr>
            </w:pPr>
          </w:p>
        </w:tc>
        <w:tc>
          <w:tcPr>
            <w:tcW w:w="671" w:type="dxa"/>
            <w:tcBorders>
              <w:top w:val="double" w:sz="8" w:space="0" w:color="000000"/>
              <w:bottom w:val="single" w:sz="4" w:space="0" w:color="000000"/>
            </w:tcBorders>
          </w:tcPr>
          <w:p>
            <w:pPr>
              <w:pStyle w:val="TableParagraph"/>
              <w:rPr>
                <w:sz w:val="12"/>
              </w:rPr>
            </w:pPr>
          </w:p>
        </w:tc>
        <w:tc>
          <w:tcPr>
            <w:tcW w:w="618" w:type="dxa"/>
            <w:tcBorders>
              <w:top w:val="double" w:sz="8" w:space="0" w:color="000000"/>
              <w:bottom w:val="single" w:sz="4" w:space="0" w:color="000000"/>
            </w:tcBorders>
          </w:tcPr>
          <w:p>
            <w:pPr>
              <w:pStyle w:val="TableParagraph"/>
              <w:rPr>
                <w:sz w:val="12"/>
              </w:rPr>
            </w:pPr>
          </w:p>
        </w:tc>
        <w:tc>
          <w:tcPr>
            <w:tcW w:w="635" w:type="dxa"/>
            <w:tcBorders>
              <w:top w:val="double" w:sz="8" w:space="0" w:color="000000"/>
              <w:bottom w:val="single" w:sz="4" w:space="0" w:color="000000"/>
            </w:tcBorders>
          </w:tcPr>
          <w:p>
            <w:pPr>
              <w:pStyle w:val="TableParagraph"/>
              <w:rPr>
                <w:sz w:val="12"/>
              </w:rPr>
            </w:pPr>
          </w:p>
        </w:tc>
        <w:tc>
          <w:tcPr>
            <w:tcW w:w="868" w:type="dxa"/>
            <w:tcBorders>
              <w:top w:val="double" w:sz="8" w:space="0" w:color="000000"/>
              <w:bottom w:val="single" w:sz="4" w:space="0" w:color="000000"/>
            </w:tcBorders>
          </w:tcPr>
          <w:p>
            <w:pPr>
              <w:pStyle w:val="TableParagraph"/>
              <w:rPr>
                <w:sz w:val="12"/>
              </w:rPr>
            </w:pPr>
          </w:p>
        </w:tc>
        <w:tc>
          <w:tcPr>
            <w:tcW w:w="737" w:type="dxa"/>
            <w:tcBorders>
              <w:top w:val="double" w:sz="8" w:space="0" w:color="000000"/>
              <w:bottom w:val="single" w:sz="4" w:space="0" w:color="000000"/>
            </w:tcBorders>
          </w:tcPr>
          <w:p>
            <w:pPr>
              <w:pStyle w:val="TableParagraph"/>
              <w:rPr>
                <w:sz w:val="12"/>
              </w:rPr>
            </w:pPr>
          </w:p>
        </w:tc>
        <w:tc>
          <w:tcPr>
            <w:tcW w:w="2623" w:type="dxa"/>
            <w:tcBorders>
              <w:top w:val="double" w:sz="8" w:space="0" w:color="000000"/>
              <w:bottom w:val="single" w:sz="4" w:space="0" w:color="000000"/>
            </w:tcBorders>
          </w:tcPr>
          <w:p>
            <w:pPr>
              <w:pStyle w:val="TableParagraph"/>
              <w:rPr>
                <w:sz w:val="12"/>
              </w:rPr>
            </w:pPr>
          </w:p>
        </w:tc>
      </w:tr>
      <w:tr>
        <w:trPr>
          <w:trHeight w:val="220" w:hRule="atLeast"/>
        </w:trPr>
        <w:tc>
          <w:tcPr>
            <w:tcW w:w="3152" w:type="dxa"/>
            <w:tcBorders>
              <w:top w:val="single" w:sz="4" w:space="0" w:color="000000"/>
              <w:bottom w:val="double" w:sz="8" w:space="0" w:color="000000"/>
            </w:tcBorders>
            <w:shd w:val="clear" w:color="auto" w:fill="CCEDFF"/>
          </w:tcPr>
          <w:p>
            <w:pPr>
              <w:pStyle w:val="TableParagraph"/>
              <w:spacing w:before="9"/>
              <w:ind w:left="52"/>
              <w:rPr>
                <w:sz w:val="16"/>
              </w:rPr>
            </w:pPr>
            <w:r>
              <w:rPr>
                <w:sz w:val="16"/>
              </w:rPr>
              <w:t>Balance</w:t>
            </w:r>
            <w:r>
              <w:rPr>
                <w:spacing w:val="-1"/>
                <w:sz w:val="16"/>
              </w:rPr>
              <w:t> </w:t>
            </w:r>
            <w:r>
              <w:rPr>
                <w:sz w:val="16"/>
              </w:rPr>
              <w:t>at December 31, </w:t>
            </w:r>
            <w:r>
              <w:rPr>
                <w:spacing w:val="-4"/>
                <w:sz w:val="16"/>
              </w:rPr>
              <w:t>2022</w:t>
            </w:r>
          </w:p>
        </w:tc>
        <w:tc>
          <w:tcPr>
            <w:tcW w:w="781" w:type="dxa"/>
            <w:tcBorders>
              <w:top w:val="single" w:sz="4" w:space="0" w:color="000000"/>
              <w:bottom w:val="double" w:sz="8" w:space="0" w:color="000000"/>
            </w:tcBorders>
            <w:shd w:val="clear" w:color="auto" w:fill="CCEDFF"/>
          </w:tcPr>
          <w:p>
            <w:pPr>
              <w:pStyle w:val="TableParagraph"/>
              <w:spacing w:line="164" w:lineRule="exact" w:before="36"/>
              <w:ind w:right="99"/>
              <w:jc w:val="right"/>
              <w:rPr>
                <w:sz w:val="16"/>
              </w:rPr>
            </w:pPr>
            <w:r>
              <w:rPr>
                <w:sz w:val="16"/>
              </w:rPr>
              <w:t>$</w:t>
            </w:r>
            <w:r>
              <w:rPr>
                <w:spacing w:val="32"/>
                <w:sz w:val="16"/>
              </w:rPr>
              <w:t>  </w:t>
            </w:r>
            <w:r>
              <w:rPr>
                <w:spacing w:val="-2"/>
                <w:sz w:val="16"/>
              </w:rPr>
              <w:t>9,706</w:t>
            </w:r>
          </w:p>
        </w:tc>
        <w:tc>
          <w:tcPr>
            <w:tcW w:w="546" w:type="dxa"/>
            <w:tcBorders>
              <w:top w:val="single" w:sz="4" w:space="0" w:color="000000"/>
              <w:bottom w:val="double" w:sz="8" w:space="0" w:color="000000"/>
            </w:tcBorders>
            <w:shd w:val="clear" w:color="auto" w:fill="CCEDFF"/>
          </w:tcPr>
          <w:p>
            <w:pPr>
              <w:pStyle w:val="TableParagraph"/>
              <w:spacing w:line="164" w:lineRule="exact" w:before="36"/>
              <w:ind w:right="60"/>
              <w:jc w:val="right"/>
              <w:rPr>
                <w:sz w:val="16"/>
              </w:rPr>
            </w:pPr>
            <w:r>
              <w:rPr>
                <w:spacing w:val="-2"/>
                <w:sz w:val="16"/>
              </w:rPr>
              <w:t>2,023</w:t>
            </w:r>
          </w:p>
        </w:tc>
        <w:tc>
          <w:tcPr>
            <w:tcW w:w="671" w:type="dxa"/>
            <w:tcBorders>
              <w:top w:val="single" w:sz="4" w:space="0" w:color="000000"/>
              <w:bottom w:val="double" w:sz="8" w:space="0" w:color="000000"/>
            </w:tcBorders>
            <w:shd w:val="clear" w:color="auto" w:fill="CCEDFF"/>
          </w:tcPr>
          <w:p>
            <w:pPr>
              <w:pStyle w:val="TableParagraph"/>
              <w:tabs>
                <w:tab w:pos="364" w:val="left" w:leader="none"/>
              </w:tabs>
              <w:spacing w:line="164" w:lineRule="exact" w:before="36"/>
              <w:ind w:right="86"/>
              <w:jc w:val="right"/>
              <w:rPr>
                <w:sz w:val="16"/>
              </w:rPr>
            </w:pPr>
            <w:r>
              <w:rPr>
                <w:spacing w:val="-10"/>
                <w:sz w:val="16"/>
              </w:rPr>
              <w:t>$</w:t>
            </w:r>
            <w:r>
              <w:rPr>
                <w:sz w:val="16"/>
              </w:rPr>
              <w:tab/>
            </w:r>
            <w:r>
              <w:rPr>
                <w:spacing w:val="-5"/>
                <w:sz w:val="16"/>
              </w:rPr>
              <w:t>20</w:t>
            </w:r>
          </w:p>
        </w:tc>
        <w:tc>
          <w:tcPr>
            <w:tcW w:w="618" w:type="dxa"/>
            <w:tcBorders>
              <w:top w:val="single" w:sz="4" w:space="0" w:color="000000"/>
              <w:bottom w:val="double" w:sz="8" w:space="0" w:color="000000"/>
            </w:tcBorders>
            <w:shd w:val="clear" w:color="auto" w:fill="CCEDFF"/>
          </w:tcPr>
          <w:p>
            <w:pPr>
              <w:pStyle w:val="TableParagraph"/>
              <w:spacing w:line="164" w:lineRule="exact" w:before="36"/>
              <w:ind w:right="89"/>
              <w:jc w:val="right"/>
              <w:rPr>
                <w:sz w:val="16"/>
              </w:rPr>
            </w:pPr>
            <w:r>
              <w:rPr>
                <w:spacing w:val="-5"/>
                <w:sz w:val="16"/>
              </w:rPr>
              <w:t>51</w:t>
            </w:r>
          </w:p>
        </w:tc>
        <w:tc>
          <w:tcPr>
            <w:tcW w:w="635" w:type="dxa"/>
            <w:tcBorders>
              <w:top w:val="single" w:sz="4" w:space="0" w:color="000000"/>
              <w:bottom w:val="double" w:sz="8" w:space="0" w:color="000000"/>
            </w:tcBorders>
            <w:shd w:val="clear" w:color="auto" w:fill="CCEDFF"/>
          </w:tcPr>
          <w:p>
            <w:pPr>
              <w:pStyle w:val="TableParagraph"/>
              <w:tabs>
                <w:tab w:pos="459" w:val="left" w:leader="none"/>
              </w:tabs>
              <w:spacing w:line="164" w:lineRule="exact" w:before="36"/>
              <w:ind w:right="64"/>
              <w:jc w:val="right"/>
              <w:rPr>
                <w:sz w:val="16"/>
              </w:rPr>
            </w:pPr>
            <w:r>
              <w:rPr>
                <w:spacing w:val="-10"/>
                <w:sz w:val="16"/>
              </w:rPr>
              <w:t>$</w:t>
            </w:r>
            <w:r>
              <w:rPr>
                <w:sz w:val="16"/>
              </w:rPr>
              <w:tab/>
            </w:r>
            <w:r>
              <w:rPr>
                <w:spacing w:val="-10"/>
                <w:sz w:val="16"/>
              </w:rPr>
              <w:t>1</w:t>
            </w:r>
          </w:p>
        </w:tc>
        <w:tc>
          <w:tcPr>
            <w:tcW w:w="868" w:type="dxa"/>
            <w:tcBorders>
              <w:top w:val="single" w:sz="4" w:space="0" w:color="000000"/>
              <w:bottom w:val="double" w:sz="8" w:space="0" w:color="000000"/>
            </w:tcBorders>
            <w:shd w:val="clear" w:color="auto" w:fill="CCEDFF"/>
          </w:tcPr>
          <w:p>
            <w:pPr>
              <w:pStyle w:val="TableParagraph"/>
              <w:spacing w:line="164" w:lineRule="exact" w:before="36"/>
              <w:ind w:left="54"/>
              <w:rPr>
                <w:sz w:val="16"/>
              </w:rPr>
            </w:pPr>
            <w:r>
              <w:rPr>
                <w:sz w:val="16"/>
              </w:rPr>
              <w:t>$</w:t>
            </w:r>
            <w:r>
              <w:rPr>
                <w:spacing w:val="59"/>
                <w:sz w:val="16"/>
              </w:rPr>
              <w:t>  </w:t>
            </w:r>
            <w:r>
              <w:rPr>
                <w:spacing w:val="-2"/>
                <w:sz w:val="16"/>
              </w:rPr>
              <w:t>27,075</w:t>
            </w:r>
          </w:p>
        </w:tc>
        <w:tc>
          <w:tcPr>
            <w:tcW w:w="737" w:type="dxa"/>
            <w:tcBorders>
              <w:top w:val="single" w:sz="4" w:space="0" w:color="000000"/>
              <w:bottom w:val="double" w:sz="8" w:space="0" w:color="000000"/>
            </w:tcBorders>
            <w:shd w:val="clear" w:color="auto" w:fill="CCEDFF"/>
          </w:tcPr>
          <w:p>
            <w:pPr>
              <w:pStyle w:val="TableParagraph"/>
              <w:spacing w:line="164" w:lineRule="exact" w:before="36"/>
              <w:ind w:right="94"/>
              <w:jc w:val="right"/>
              <w:rPr>
                <w:sz w:val="16"/>
              </w:rPr>
            </w:pPr>
            <w:r>
              <w:rPr>
                <w:sz w:val="16"/>
              </w:rPr>
              <w:t>$</w:t>
            </w:r>
            <w:r>
              <w:rPr>
                <w:spacing w:val="54"/>
                <w:sz w:val="16"/>
              </w:rPr>
              <w:t> </w:t>
            </w:r>
            <w:r>
              <w:rPr>
                <w:spacing w:val="-2"/>
                <w:sz w:val="16"/>
              </w:rPr>
              <w:t>31,066</w:t>
            </w:r>
          </w:p>
        </w:tc>
        <w:tc>
          <w:tcPr>
            <w:tcW w:w="2623" w:type="dxa"/>
            <w:tcBorders>
              <w:top w:val="single" w:sz="4" w:space="0" w:color="000000"/>
              <w:bottom w:val="double" w:sz="8" w:space="0" w:color="000000"/>
            </w:tcBorders>
            <w:shd w:val="clear" w:color="auto" w:fill="CCEDFF"/>
          </w:tcPr>
          <w:p>
            <w:pPr>
              <w:pStyle w:val="TableParagraph"/>
              <w:tabs>
                <w:tab w:pos="1275" w:val="left" w:leader="none"/>
              </w:tabs>
              <w:spacing w:line="164" w:lineRule="exact" w:before="36"/>
              <w:ind w:right="77"/>
              <w:jc w:val="right"/>
              <w:rPr>
                <w:sz w:val="16"/>
              </w:rPr>
            </w:pPr>
            <w:r>
              <w:rPr>
                <w:sz w:val="16"/>
              </w:rPr>
              <w:t>$</w:t>
            </w:r>
            <w:r>
              <w:rPr>
                <w:spacing w:val="60"/>
                <w:w w:val="150"/>
                <w:sz w:val="16"/>
              </w:rPr>
              <w:t> </w:t>
            </w:r>
            <w:r>
              <w:rPr>
                <w:sz w:val="16"/>
              </w:rPr>
              <w:t>(8,639)</w:t>
            </w:r>
            <w:r>
              <w:rPr>
                <w:spacing w:val="27"/>
                <w:sz w:val="16"/>
              </w:rPr>
              <w:t> </w:t>
            </w:r>
            <w:r>
              <w:rPr>
                <w:spacing w:val="-10"/>
                <w:sz w:val="16"/>
              </w:rPr>
              <w:t>$</w:t>
            </w:r>
            <w:r>
              <w:rPr>
                <w:sz w:val="16"/>
              </w:rPr>
              <w:tab/>
              <w:t>(22,621)</w:t>
            </w:r>
            <w:r>
              <w:rPr>
                <w:spacing w:val="27"/>
                <w:sz w:val="16"/>
              </w:rPr>
              <w:t> </w:t>
            </w:r>
            <w:r>
              <w:rPr>
                <w:sz w:val="16"/>
              </w:rPr>
              <w:t>$</w:t>
            </w:r>
            <w:r>
              <w:rPr>
                <w:spacing w:val="69"/>
                <w:sz w:val="16"/>
              </w:rPr>
              <w:t> </w:t>
            </w:r>
            <w:r>
              <w:rPr>
                <w:spacing w:val="-2"/>
                <w:sz w:val="16"/>
              </w:rPr>
              <w:t>36,608</w:t>
            </w:r>
          </w:p>
        </w:tc>
      </w:tr>
      <w:tr>
        <w:trPr>
          <w:trHeight w:val="225" w:hRule="atLeast"/>
        </w:trPr>
        <w:tc>
          <w:tcPr>
            <w:tcW w:w="3152" w:type="dxa"/>
            <w:tcBorders>
              <w:top w:val="double" w:sz="8" w:space="0" w:color="000000"/>
            </w:tcBorders>
          </w:tcPr>
          <w:p>
            <w:pPr>
              <w:pStyle w:val="TableParagraph"/>
              <w:spacing w:before="11"/>
              <w:ind w:left="52"/>
              <w:rPr>
                <w:sz w:val="16"/>
              </w:rPr>
            </w:pPr>
            <w:r>
              <w:rPr>
                <w:sz w:val="16"/>
              </w:rPr>
              <w:t>Net</w:t>
            </w:r>
            <w:r>
              <w:rPr>
                <w:spacing w:val="-1"/>
                <w:sz w:val="16"/>
              </w:rPr>
              <w:t> </w:t>
            </w:r>
            <w:r>
              <w:rPr>
                <w:spacing w:val="-2"/>
                <w:sz w:val="16"/>
              </w:rPr>
              <w:t>income</w:t>
            </w:r>
          </w:p>
        </w:tc>
        <w:tc>
          <w:tcPr>
            <w:tcW w:w="781" w:type="dxa"/>
            <w:tcBorders>
              <w:top w:val="double" w:sz="8" w:space="0" w:color="000000"/>
            </w:tcBorders>
          </w:tcPr>
          <w:p>
            <w:pPr>
              <w:pStyle w:val="TableParagraph"/>
              <w:spacing w:before="11"/>
              <w:ind w:right="99"/>
              <w:jc w:val="right"/>
              <w:rPr>
                <w:sz w:val="16"/>
              </w:rPr>
            </w:pPr>
            <w:r>
              <w:rPr>
                <w:spacing w:val="-10"/>
                <w:sz w:val="16"/>
              </w:rPr>
              <w:t>—</w:t>
            </w:r>
          </w:p>
        </w:tc>
        <w:tc>
          <w:tcPr>
            <w:tcW w:w="546" w:type="dxa"/>
            <w:tcBorders>
              <w:top w:val="double" w:sz="8" w:space="0" w:color="000000"/>
            </w:tcBorders>
          </w:tcPr>
          <w:p>
            <w:pPr>
              <w:pStyle w:val="TableParagraph"/>
              <w:spacing w:before="11"/>
              <w:ind w:right="60"/>
              <w:jc w:val="right"/>
              <w:rPr>
                <w:sz w:val="16"/>
              </w:rPr>
            </w:pPr>
            <w:r>
              <w:rPr>
                <w:spacing w:val="-10"/>
                <w:sz w:val="16"/>
              </w:rPr>
              <w:t>—</w:t>
            </w:r>
          </w:p>
        </w:tc>
        <w:tc>
          <w:tcPr>
            <w:tcW w:w="671" w:type="dxa"/>
            <w:tcBorders>
              <w:top w:val="double" w:sz="8" w:space="0" w:color="000000"/>
            </w:tcBorders>
          </w:tcPr>
          <w:p>
            <w:pPr>
              <w:pStyle w:val="TableParagraph"/>
              <w:spacing w:before="11"/>
              <w:ind w:left="-29" w:right="86"/>
              <w:jc w:val="right"/>
              <w:rPr>
                <w:sz w:val="16"/>
              </w:rPr>
            </w:pPr>
            <w:r>
              <w:rPr>
                <w:spacing w:val="-10"/>
                <w:sz w:val="16"/>
              </w:rPr>
              <w:t>—</w:t>
            </w:r>
          </w:p>
        </w:tc>
        <w:tc>
          <w:tcPr>
            <w:tcW w:w="618" w:type="dxa"/>
            <w:tcBorders>
              <w:top w:val="double" w:sz="8" w:space="0" w:color="000000"/>
            </w:tcBorders>
          </w:tcPr>
          <w:p>
            <w:pPr>
              <w:pStyle w:val="TableParagraph"/>
              <w:spacing w:before="11"/>
              <w:ind w:right="89"/>
              <w:jc w:val="right"/>
              <w:rPr>
                <w:sz w:val="16"/>
              </w:rPr>
            </w:pPr>
            <w:r>
              <w:rPr>
                <w:spacing w:val="-10"/>
                <w:sz w:val="16"/>
              </w:rPr>
              <w:t>—</w:t>
            </w:r>
          </w:p>
        </w:tc>
        <w:tc>
          <w:tcPr>
            <w:tcW w:w="635" w:type="dxa"/>
            <w:tcBorders>
              <w:top w:val="double" w:sz="8" w:space="0" w:color="000000"/>
            </w:tcBorders>
          </w:tcPr>
          <w:p>
            <w:pPr>
              <w:pStyle w:val="TableParagraph"/>
              <w:spacing w:before="11"/>
              <w:ind w:right="64"/>
              <w:jc w:val="right"/>
              <w:rPr>
                <w:sz w:val="16"/>
              </w:rPr>
            </w:pPr>
            <w:r>
              <w:rPr>
                <w:spacing w:val="-10"/>
                <w:sz w:val="16"/>
              </w:rPr>
              <w:t>—</w:t>
            </w:r>
          </w:p>
        </w:tc>
        <w:tc>
          <w:tcPr>
            <w:tcW w:w="868" w:type="dxa"/>
            <w:tcBorders>
              <w:top w:val="double" w:sz="8" w:space="0" w:color="000000"/>
            </w:tcBorders>
          </w:tcPr>
          <w:p>
            <w:pPr>
              <w:pStyle w:val="TableParagraph"/>
              <w:spacing w:before="11"/>
              <w:ind w:right="92"/>
              <w:jc w:val="right"/>
              <w:rPr>
                <w:sz w:val="16"/>
              </w:rPr>
            </w:pPr>
            <w:r>
              <w:rPr>
                <w:spacing w:val="-10"/>
                <w:sz w:val="16"/>
              </w:rPr>
              <w:t>—</w:t>
            </w:r>
          </w:p>
        </w:tc>
        <w:tc>
          <w:tcPr>
            <w:tcW w:w="737" w:type="dxa"/>
            <w:tcBorders>
              <w:top w:val="double" w:sz="8" w:space="0" w:color="000000"/>
            </w:tcBorders>
          </w:tcPr>
          <w:p>
            <w:pPr>
              <w:pStyle w:val="TableParagraph"/>
              <w:spacing w:before="11"/>
              <w:ind w:right="94"/>
              <w:jc w:val="right"/>
              <w:rPr>
                <w:sz w:val="16"/>
              </w:rPr>
            </w:pPr>
            <w:r>
              <w:rPr>
                <w:spacing w:val="-2"/>
                <w:sz w:val="16"/>
              </w:rPr>
              <w:t>4,022</w:t>
            </w:r>
          </w:p>
        </w:tc>
        <w:tc>
          <w:tcPr>
            <w:tcW w:w="2623" w:type="dxa"/>
            <w:tcBorders>
              <w:top w:val="double" w:sz="8" w:space="0" w:color="000000"/>
            </w:tcBorders>
          </w:tcPr>
          <w:p>
            <w:pPr>
              <w:pStyle w:val="TableParagraph"/>
              <w:tabs>
                <w:tab w:pos="1154" w:val="left" w:leader="none"/>
                <w:tab w:pos="1704" w:val="left" w:leader="none"/>
              </w:tabs>
              <w:spacing w:before="11"/>
              <w:ind w:right="77"/>
              <w:jc w:val="right"/>
              <w:rPr>
                <w:sz w:val="16"/>
              </w:rPr>
            </w:pPr>
            <w:r>
              <w:rPr>
                <w:spacing w:val="-10"/>
                <w:sz w:val="16"/>
              </w:rPr>
              <w:t>—</w:t>
            </w:r>
            <w:r>
              <w:rPr>
                <w:sz w:val="16"/>
              </w:rPr>
              <w:tab/>
            </w:r>
            <w:r>
              <w:rPr>
                <w:spacing w:val="-10"/>
                <w:sz w:val="16"/>
              </w:rPr>
              <w:t>—</w:t>
            </w:r>
            <w:r>
              <w:rPr>
                <w:sz w:val="16"/>
              </w:rPr>
              <w:tab/>
            </w:r>
            <w:r>
              <w:rPr>
                <w:spacing w:val="-2"/>
                <w:sz w:val="16"/>
              </w:rPr>
              <w:t>4,022</w:t>
            </w:r>
          </w:p>
        </w:tc>
      </w:tr>
      <w:tr>
        <w:trPr>
          <w:trHeight w:val="255" w:hRule="atLeast"/>
        </w:trPr>
        <w:tc>
          <w:tcPr>
            <w:tcW w:w="3152" w:type="dxa"/>
            <w:shd w:val="clear" w:color="auto" w:fill="CCEDFF"/>
          </w:tcPr>
          <w:p>
            <w:pPr>
              <w:pStyle w:val="TableParagraph"/>
              <w:spacing w:before="14"/>
              <w:ind w:left="52"/>
              <w:rPr>
                <w:sz w:val="16"/>
              </w:rPr>
            </w:pPr>
            <w:r>
              <w:rPr>
                <w:sz w:val="16"/>
              </w:rPr>
              <w:t>Other</w:t>
            </w:r>
            <w:r>
              <w:rPr>
                <w:spacing w:val="-1"/>
                <w:sz w:val="16"/>
              </w:rPr>
              <w:t> </w:t>
            </w:r>
            <w:r>
              <w:rPr>
                <w:sz w:val="16"/>
              </w:rPr>
              <w:t>comprehensive</w:t>
            </w:r>
            <w:r>
              <w:rPr>
                <w:spacing w:val="-1"/>
                <w:sz w:val="16"/>
              </w:rPr>
              <w:t> </w:t>
            </w:r>
            <w:r>
              <w:rPr>
                <w:sz w:val="16"/>
              </w:rPr>
              <w:t>income (loss),</w:t>
            </w:r>
            <w:r>
              <w:rPr>
                <w:spacing w:val="-1"/>
                <w:sz w:val="16"/>
              </w:rPr>
              <w:t> </w:t>
            </w:r>
            <w:r>
              <w:rPr>
                <w:sz w:val="16"/>
              </w:rPr>
              <w:t>net</w:t>
            </w:r>
            <w:r>
              <w:rPr>
                <w:spacing w:val="-1"/>
                <w:sz w:val="16"/>
              </w:rPr>
              <w:t> </w:t>
            </w:r>
            <w:r>
              <w:rPr>
                <w:sz w:val="16"/>
              </w:rPr>
              <w:t>of </w:t>
            </w:r>
            <w:r>
              <w:rPr>
                <w:spacing w:val="-5"/>
                <w:sz w:val="16"/>
              </w:rPr>
              <w:t>tax</w:t>
            </w:r>
          </w:p>
        </w:tc>
        <w:tc>
          <w:tcPr>
            <w:tcW w:w="781" w:type="dxa"/>
            <w:shd w:val="clear" w:color="auto" w:fill="CCEDFF"/>
          </w:tcPr>
          <w:p>
            <w:pPr>
              <w:pStyle w:val="TableParagraph"/>
              <w:spacing w:before="41"/>
              <w:ind w:right="99"/>
              <w:jc w:val="right"/>
              <w:rPr>
                <w:sz w:val="16"/>
              </w:rPr>
            </w:pPr>
            <w:r>
              <w:rPr>
                <w:spacing w:val="-10"/>
                <w:sz w:val="16"/>
              </w:rPr>
              <w:t>—</w:t>
            </w:r>
          </w:p>
        </w:tc>
        <w:tc>
          <w:tcPr>
            <w:tcW w:w="546" w:type="dxa"/>
            <w:shd w:val="clear" w:color="auto" w:fill="CCEDFF"/>
          </w:tcPr>
          <w:p>
            <w:pPr>
              <w:pStyle w:val="TableParagraph"/>
              <w:spacing w:before="41"/>
              <w:ind w:right="60"/>
              <w:jc w:val="right"/>
              <w:rPr>
                <w:sz w:val="16"/>
              </w:rPr>
            </w:pPr>
            <w:r>
              <w:rPr>
                <w:spacing w:val="-10"/>
                <w:sz w:val="16"/>
              </w:rPr>
              <w:t>—</w:t>
            </w:r>
          </w:p>
        </w:tc>
        <w:tc>
          <w:tcPr>
            <w:tcW w:w="671" w:type="dxa"/>
            <w:shd w:val="clear" w:color="auto" w:fill="CCEDFF"/>
          </w:tcPr>
          <w:p>
            <w:pPr>
              <w:pStyle w:val="TableParagraph"/>
              <w:spacing w:before="41"/>
              <w:ind w:left="-29" w:right="86"/>
              <w:jc w:val="right"/>
              <w:rPr>
                <w:sz w:val="16"/>
              </w:rPr>
            </w:pPr>
            <w:r>
              <w:rPr>
                <w:spacing w:val="-10"/>
                <w:sz w:val="16"/>
              </w:rPr>
              <w:t>—</w:t>
            </w:r>
          </w:p>
        </w:tc>
        <w:tc>
          <w:tcPr>
            <w:tcW w:w="618" w:type="dxa"/>
            <w:shd w:val="clear" w:color="auto" w:fill="CCEDFF"/>
          </w:tcPr>
          <w:p>
            <w:pPr>
              <w:pStyle w:val="TableParagraph"/>
              <w:spacing w:before="41"/>
              <w:ind w:right="89"/>
              <w:jc w:val="right"/>
              <w:rPr>
                <w:sz w:val="16"/>
              </w:rPr>
            </w:pPr>
            <w:r>
              <w:rPr>
                <w:spacing w:val="-10"/>
                <w:sz w:val="16"/>
              </w:rPr>
              <w:t>—</w:t>
            </w:r>
          </w:p>
        </w:tc>
        <w:tc>
          <w:tcPr>
            <w:tcW w:w="635" w:type="dxa"/>
            <w:shd w:val="clear" w:color="auto" w:fill="CCEDFF"/>
          </w:tcPr>
          <w:p>
            <w:pPr>
              <w:pStyle w:val="TableParagraph"/>
              <w:spacing w:before="41"/>
              <w:ind w:right="64"/>
              <w:jc w:val="right"/>
              <w:rPr>
                <w:sz w:val="16"/>
              </w:rPr>
            </w:pPr>
            <w:r>
              <w:rPr>
                <w:spacing w:val="-10"/>
                <w:sz w:val="16"/>
              </w:rPr>
              <w:t>—</w:t>
            </w:r>
          </w:p>
        </w:tc>
        <w:tc>
          <w:tcPr>
            <w:tcW w:w="868" w:type="dxa"/>
            <w:shd w:val="clear" w:color="auto" w:fill="CCEDFF"/>
          </w:tcPr>
          <w:p>
            <w:pPr>
              <w:pStyle w:val="TableParagraph"/>
              <w:spacing w:before="41"/>
              <w:ind w:right="92"/>
              <w:jc w:val="right"/>
              <w:rPr>
                <w:sz w:val="16"/>
              </w:rPr>
            </w:pPr>
            <w:r>
              <w:rPr>
                <w:spacing w:val="-10"/>
                <w:sz w:val="16"/>
              </w:rPr>
              <w:t>—</w:t>
            </w:r>
          </w:p>
        </w:tc>
        <w:tc>
          <w:tcPr>
            <w:tcW w:w="737" w:type="dxa"/>
            <w:shd w:val="clear" w:color="auto" w:fill="CCEDFF"/>
          </w:tcPr>
          <w:p>
            <w:pPr>
              <w:pStyle w:val="TableParagraph"/>
              <w:spacing w:before="41"/>
              <w:ind w:right="94"/>
              <w:jc w:val="right"/>
              <w:rPr>
                <w:sz w:val="16"/>
              </w:rPr>
            </w:pPr>
            <w:r>
              <w:rPr>
                <w:spacing w:val="-10"/>
                <w:sz w:val="16"/>
              </w:rPr>
              <w:t>—</w:t>
            </w:r>
          </w:p>
        </w:tc>
        <w:tc>
          <w:tcPr>
            <w:tcW w:w="2623" w:type="dxa"/>
            <w:shd w:val="clear" w:color="auto" w:fill="CCEDFF"/>
          </w:tcPr>
          <w:p>
            <w:pPr>
              <w:pStyle w:val="TableParagraph"/>
              <w:tabs>
                <w:tab w:pos="954" w:val="left" w:leader="none"/>
                <w:tab w:pos="1704" w:val="left" w:leader="none"/>
              </w:tabs>
              <w:spacing w:before="41"/>
              <w:ind w:right="77"/>
              <w:jc w:val="right"/>
              <w:rPr>
                <w:sz w:val="16"/>
              </w:rPr>
            </w:pPr>
            <w:r>
              <w:rPr>
                <w:spacing w:val="-10"/>
                <w:sz w:val="16"/>
              </w:rPr>
              <w:t>—</w:t>
            </w:r>
            <w:r>
              <w:rPr>
                <w:sz w:val="16"/>
              </w:rPr>
              <w:tab/>
            </w:r>
            <w:r>
              <w:rPr>
                <w:spacing w:val="-2"/>
                <w:sz w:val="16"/>
              </w:rPr>
              <w:t>1,869</w:t>
            </w:r>
            <w:r>
              <w:rPr>
                <w:sz w:val="16"/>
              </w:rPr>
              <w:tab/>
            </w:r>
            <w:r>
              <w:rPr>
                <w:spacing w:val="-2"/>
                <w:sz w:val="16"/>
              </w:rPr>
              <w:t>1,869</w:t>
            </w:r>
          </w:p>
        </w:tc>
      </w:tr>
      <w:tr>
        <w:trPr>
          <w:trHeight w:val="405" w:hRule="atLeast"/>
        </w:trPr>
        <w:tc>
          <w:tcPr>
            <w:tcW w:w="3152" w:type="dxa"/>
          </w:tcPr>
          <w:p>
            <w:pPr>
              <w:pStyle w:val="TableParagraph"/>
              <w:spacing w:line="208" w:lineRule="auto" w:before="50"/>
              <w:ind w:left="52"/>
              <w:rPr>
                <w:sz w:val="16"/>
              </w:rPr>
            </w:pPr>
            <w:r>
              <w:rPr>
                <w:sz w:val="16"/>
              </w:rPr>
              <w:t>Redemption</w:t>
            </w:r>
            <w:r>
              <w:rPr>
                <w:spacing w:val="-8"/>
                <w:sz w:val="16"/>
              </w:rPr>
              <w:t> </w:t>
            </w:r>
            <w:r>
              <w:rPr>
                <w:sz w:val="16"/>
              </w:rPr>
              <w:t>and</w:t>
            </w:r>
            <w:r>
              <w:rPr>
                <w:spacing w:val="-8"/>
                <w:sz w:val="16"/>
              </w:rPr>
              <w:t> </w:t>
            </w:r>
            <w:r>
              <w:rPr>
                <w:sz w:val="16"/>
              </w:rPr>
              <w:t>repurchase</w:t>
            </w:r>
            <w:r>
              <w:rPr>
                <w:spacing w:val="-8"/>
                <w:sz w:val="16"/>
              </w:rPr>
              <w:t> </w:t>
            </w:r>
            <w:r>
              <w:rPr>
                <w:sz w:val="16"/>
              </w:rPr>
              <w:t>of</w:t>
            </w:r>
            <w:r>
              <w:rPr>
                <w:spacing w:val="-8"/>
                <w:sz w:val="16"/>
              </w:rPr>
              <w:t> </w:t>
            </w:r>
            <w:r>
              <w:rPr>
                <w:sz w:val="16"/>
              </w:rPr>
              <w:t>preferred</w:t>
            </w:r>
            <w:r>
              <w:rPr>
                <w:spacing w:val="-8"/>
                <w:sz w:val="16"/>
              </w:rPr>
              <w:t> </w:t>
            </w:r>
            <w:r>
              <w:rPr>
                <w:sz w:val="16"/>
              </w:rPr>
              <w:t>stock,</w:t>
            </w:r>
            <w:r>
              <w:rPr>
                <w:spacing w:val="40"/>
                <w:sz w:val="16"/>
              </w:rPr>
              <w:t> </w:t>
            </w:r>
            <w:r>
              <w:rPr>
                <w:sz w:val="16"/>
              </w:rPr>
              <w:t>inclusive of tax</w:t>
            </w:r>
          </w:p>
        </w:tc>
        <w:tc>
          <w:tcPr>
            <w:tcW w:w="781" w:type="dxa"/>
          </w:tcPr>
          <w:p>
            <w:pPr>
              <w:pStyle w:val="TableParagraph"/>
              <w:spacing w:before="7"/>
              <w:rPr>
                <w:i/>
                <w:sz w:val="16"/>
              </w:rPr>
            </w:pPr>
          </w:p>
          <w:p>
            <w:pPr>
              <w:pStyle w:val="TableParagraph"/>
              <w:ind w:right="45"/>
              <w:jc w:val="right"/>
              <w:rPr>
                <w:sz w:val="16"/>
              </w:rPr>
            </w:pPr>
            <w:r>
              <w:rPr>
                <w:spacing w:val="-2"/>
                <w:sz w:val="16"/>
              </w:rPr>
              <w:t>(515)</w:t>
            </w:r>
          </w:p>
        </w:tc>
        <w:tc>
          <w:tcPr>
            <w:tcW w:w="546" w:type="dxa"/>
          </w:tcPr>
          <w:p>
            <w:pPr>
              <w:pStyle w:val="TableParagraph"/>
              <w:spacing w:before="7"/>
              <w:rPr>
                <w:i/>
                <w:sz w:val="16"/>
              </w:rPr>
            </w:pPr>
          </w:p>
          <w:p>
            <w:pPr>
              <w:pStyle w:val="TableParagraph"/>
              <w:ind w:right="60"/>
              <w:jc w:val="right"/>
              <w:rPr>
                <w:sz w:val="16"/>
              </w:rPr>
            </w:pPr>
            <w:r>
              <w:rPr>
                <w:spacing w:val="-10"/>
                <w:sz w:val="16"/>
              </w:rPr>
              <w:t>—</w:t>
            </w:r>
          </w:p>
        </w:tc>
        <w:tc>
          <w:tcPr>
            <w:tcW w:w="671" w:type="dxa"/>
          </w:tcPr>
          <w:p>
            <w:pPr>
              <w:pStyle w:val="TableParagraph"/>
              <w:spacing w:before="7"/>
              <w:rPr>
                <w:i/>
                <w:sz w:val="16"/>
              </w:rPr>
            </w:pPr>
          </w:p>
          <w:p>
            <w:pPr>
              <w:pStyle w:val="TableParagraph"/>
              <w:ind w:left="-29" w:right="86"/>
              <w:jc w:val="right"/>
              <w:rPr>
                <w:sz w:val="16"/>
              </w:rPr>
            </w:pPr>
            <w:r>
              <w:rPr>
                <w:spacing w:val="-10"/>
                <w:sz w:val="16"/>
              </w:rPr>
              <w:t>—</w:t>
            </w:r>
          </w:p>
        </w:tc>
        <w:tc>
          <w:tcPr>
            <w:tcW w:w="618" w:type="dxa"/>
          </w:tcPr>
          <w:p>
            <w:pPr>
              <w:pStyle w:val="TableParagraph"/>
              <w:spacing w:before="7"/>
              <w:rPr>
                <w:i/>
                <w:sz w:val="16"/>
              </w:rPr>
            </w:pPr>
          </w:p>
          <w:p>
            <w:pPr>
              <w:pStyle w:val="TableParagraph"/>
              <w:ind w:right="89"/>
              <w:jc w:val="right"/>
              <w:rPr>
                <w:sz w:val="16"/>
              </w:rPr>
            </w:pPr>
            <w:r>
              <w:rPr>
                <w:spacing w:val="-10"/>
                <w:sz w:val="16"/>
              </w:rPr>
              <w:t>—</w:t>
            </w:r>
          </w:p>
        </w:tc>
        <w:tc>
          <w:tcPr>
            <w:tcW w:w="635" w:type="dxa"/>
          </w:tcPr>
          <w:p>
            <w:pPr>
              <w:pStyle w:val="TableParagraph"/>
              <w:spacing w:before="7"/>
              <w:rPr>
                <w:i/>
                <w:sz w:val="16"/>
              </w:rPr>
            </w:pPr>
          </w:p>
          <w:p>
            <w:pPr>
              <w:pStyle w:val="TableParagraph"/>
              <w:ind w:right="64"/>
              <w:jc w:val="right"/>
              <w:rPr>
                <w:sz w:val="16"/>
              </w:rPr>
            </w:pPr>
            <w:r>
              <w:rPr>
                <w:spacing w:val="-10"/>
                <w:sz w:val="16"/>
              </w:rPr>
              <w:t>—</w:t>
            </w:r>
          </w:p>
        </w:tc>
        <w:tc>
          <w:tcPr>
            <w:tcW w:w="868" w:type="dxa"/>
          </w:tcPr>
          <w:p>
            <w:pPr>
              <w:pStyle w:val="TableParagraph"/>
              <w:spacing w:before="7"/>
              <w:rPr>
                <w:i/>
                <w:sz w:val="16"/>
              </w:rPr>
            </w:pPr>
          </w:p>
          <w:p>
            <w:pPr>
              <w:pStyle w:val="TableParagraph"/>
              <w:ind w:right="92"/>
              <w:jc w:val="right"/>
              <w:rPr>
                <w:sz w:val="16"/>
              </w:rPr>
            </w:pPr>
            <w:r>
              <w:rPr>
                <w:spacing w:val="-10"/>
                <w:sz w:val="16"/>
              </w:rPr>
              <w:t>—</w:t>
            </w:r>
          </w:p>
        </w:tc>
        <w:tc>
          <w:tcPr>
            <w:tcW w:w="737" w:type="dxa"/>
          </w:tcPr>
          <w:p>
            <w:pPr>
              <w:pStyle w:val="TableParagraph"/>
              <w:spacing w:before="7"/>
              <w:rPr>
                <w:i/>
                <w:sz w:val="16"/>
              </w:rPr>
            </w:pPr>
          </w:p>
          <w:p>
            <w:pPr>
              <w:pStyle w:val="TableParagraph"/>
              <w:ind w:right="94"/>
              <w:jc w:val="right"/>
              <w:rPr>
                <w:sz w:val="16"/>
              </w:rPr>
            </w:pPr>
            <w:r>
              <w:rPr>
                <w:spacing w:val="-5"/>
                <w:sz w:val="16"/>
              </w:rPr>
              <w:t>44</w:t>
            </w:r>
          </w:p>
        </w:tc>
        <w:tc>
          <w:tcPr>
            <w:tcW w:w="2623" w:type="dxa"/>
          </w:tcPr>
          <w:p>
            <w:pPr>
              <w:pStyle w:val="TableParagraph"/>
              <w:spacing w:before="7"/>
              <w:rPr>
                <w:i/>
                <w:sz w:val="16"/>
              </w:rPr>
            </w:pPr>
          </w:p>
          <w:p>
            <w:pPr>
              <w:pStyle w:val="TableParagraph"/>
              <w:tabs>
                <w:tab w:pos="1154" w:val="left" w:leader="none"/>
                <w:tab w:pos="1771" w:val="left" w:leader="none"/>
              </w:tabs>
              <w:ind w:right="23"/>
              <w:jc w:val="right"/>
              <w:rPr>
                <w:sz w:val="16"/>
              </w:rPr>
            </w:pPr>
            <w:r>
              <w:rPr>
                <w:spacing w:val="-10"/>
                <w:sz w:val="16"/>
              </w:rPr>
              <w:t>—</w:t>
            </w:r>
            <w:r>
              <w:rPr>
                <w:sz w:val="16"/>
              </w:rPr>
              <w:tab/>
            </w:r>
            <w:r>
              <w:rPr>
                <w:spacing w:val="-10"/>
                <w:sz w:val="16"/>
              </w:rPr>
              <w:t>—</w:t>
            </w:r>
            <w:r>
              <w:rPr>
                <w:sz w:val="16"/>
              </w:rPr>
              <w:tab/>
            </w:r>
            <w:r>
              <w:rPr>
                <w:spacing w:val="-2"/>
                <w:sz w:val="16"/>
              </w:rPr>
              <w:t>(471)</w:t>
            </w:r>
          </w:p>
        </w:tc>
      </w:tr>
      <w:tr>
        <w:trPr>
          <w:trHeight w:val="255" w:hRule="atLeast"/>
        </w:trPr>
        <w:tc>
          <w:tcPr>
            <w:tcW w:w="3152" w:type="dxa"/>
            <w:shd w:val="clear" w:color="auto" w:fill="CCEDFF"/>
          </w:tcPr>
          <w:p>
            <w:pPr>
              <w:pStyle w:val="TableParagraph"/>
              <w:spacing w:before="41"/>
              <w:ind w:left="52"/>
              <w:rPr>
                <w:sz w:val="16"/>
              </w:rPr>
            </w:pPr>
            <w:r>
              <w:rPr>
                <w:sz w:val="16"/>
              </w:rPr>
              <w:t>Dividends</w:t>
            </w:r>
            <w:r>
              <w:rPr>
                <w:spacing w:val="-2"/>
                <w:sz w:val="16"/>
              </w:rPr>
              <w:t> </w:t>
            </w:r>
            <w:r>
              <w:rPr>
                <w:sz w:val="16"/>
              </w:rPr>
              <w:t>declared on preferred </w:t>
            </w:r>
            <w:r>
              <w:rPr>
                <w:spacing w:val="-2"/>
                <w:sz w:val="16"/>
              </w:rPr>
              <w:t>stock</w:t>
            </w:r>
          </w:p>
        </w:tc>
        <w:tc>
          <w:tcPr>
            <w:tcW w:w="781" w:type="dxa"/>
            <w:shd w:val="clear" w:color="auto" w:fill="CCEDFF"/>
          </w:tcPr>
          <w:p>
            <w:pPr>
              <w:pStyle w:val="TableParagraph"/>
              <w:spacing w:before="41"/>
              <w:ind w:right="99"/>
              <w:jc w:val="right"/>
              <w:rPr>
                <w:sz w:val="16"/>
              </w:rPr>
            </w:pPr>
            <w:r>
              <w:rPr>
                <w:spacing w:val="-10"/>
                <w:sz w:val="16"/>
              </w:rPr>
              <w:t>—</w:t>
            </w:r>
          </w:p>
        </w:tc>
        <w:tc>
          <w:tcPr>
            <w:tcW w:w="546" w:type="dxa"/>
            <w:shd w:val="clear" w:color="auto" w:fill="CCEDFF"/>
          </w:tcPr>
          <w:p>
            <w:pPr>
              <w:pStyle w:val="TableParagraph"/>
              <w:spacing w:before="41"/>
              <w:ind w:right="60"/>
              <w:jc w:val="right"/>
              <w:rPr>
                <w:sz w:val="16"/>
              </w:rPr>
            </w:pPr>
            <w:r>
              <w:rPr>
                <w:spacing w:val="-10"/>
                <w:sz w:val="16"/>
              </w:rPr>
              <w:t>—</w:t>
            </w:r>
          </w:p>
        </w:tc>
        <w:tc>
          <w:tcPr>
            <w:tcW w:w="671" w:type="dxa"/>
            <w:shd w:val="clear" w:color="auto" w:fill="CCEDFF"/>
          </w:tcPr>
          <w:p>
            <w:pPr>
              <w:pStyle w:val="TableParagraph"/>
              <w:spacing w:before="41"/>
              <w:ind w:left="-29" w:right="86"/>
              <w:jc w:val="right"/>
              <w:rPr>
                <w:sz w:val="16"/>
              </w:rPr>
            </w:pPr>
            <w:r>
              <w:rPr>
                <w:spacing w:val="-10"/>
                <w:sz w:val="16"/>
              </w:rPr>
              <w:t>—</w:t>
            </w:r>
          </w:p>
        </w:tc>
        <w:tc>
          <w:tcPr>
            <w:tcW w:w="618" w:type="dxa"/>
            <w:shd w:val="clear" w:color="auto" w:fill="CCEDFF"/>
          </w:tcPr>
          <w:p>
            <w:pPr>
              <w:pStyle w:val="TableParagraph"/>
              <w:spacing w:before="41"/>
              <w:ind w:right="89"/>
              <w:jc w:val="right"/>
              <w:rPr>
                <w:sz w:val="16"/>
              </w:rPr>
            </w:pPr>
            <w:r>
              <w:rPr>
                <w:spacing w:val="-10"/>
                <w:sz w:val="16"/>
              </w:rPr>
              <w:t>—</w:t>
            </w:r>
          </w:p>
        </w:tc>
        <w:tc>
          <w:tcPr>
            <w:tcW w:w="635" w:type="dxa"/>
            <w:shd w:val="clear" w:color="auto" w:fill="CCEDFF"/>
          </w:tcPr>
          <w:p>
            <w:pPr>
              <w:pStyle w:val="TableParagraph"/>
              <w:spacing w:before="41"/>
              <w:ind w:right="64"/>
              <w:jc w:val="right"/>
              <w:rPr>
                <w:sz w:val="16"/>
              </w:rPr>
            </w:pPr>
            <w:r>
              <w:rPr>
                <w:spacing w:val="-10"/>
                <w:sz w:val="16"/>
              </w:rPr>
              <w:t>—</w:t>
            </w:r>
          </w:p>
        </w:tc>
        <w:tc>
          <w:tcPr>
            <w:tcW w:w="868" w:type="dxa"/>
            <w:shd w:val="clear" w:color="auto" w:fill="CCEDFF"/>
          </w:tcPr>
          <w:p>
            <w:pPr>
              <w:pStyle w:val="TableParagraph"/>
              <w:spacing w:before="41"/>
              <w:ind w:right="92"/>
              <w:jc w:val="right"/>
              <w:rPr>
                <w:sz w:val="16"/>
              </w:rPr>
            </w:pPr>
            <w:r>
              <w:rPr>
                <w:spacing w:val="-10"/>
                <w:sz w:val="16"/>
              </w:rPr>
              <w:t>—</w:t>
            </w:r>
          </w:p>
        </w:tc>
        <w:tc>
          <w:tcPr>
            <w:tcW w:w="737" w:type="dxa"/>
            <w:shd w:val="clear" w:color="auto" w:fill="CCEDFF"/>
          </w:tcPr>
          <w:p>
            <w:pPr>
              <w:pStyle w:val="TableParagraph"/>
              <w:spacing w:before="41"/>
              <w:ind w:right="40"/>
              <w:jc w:val="right"/>
              <w:rPr>
                <w:sz w:val="16"/>
              </w:rPr>
            </w:pPr>
            <w:r>
              <w:rPr>
                <w:spacing w:val="-2"/>
                <w:sz w:val="16"/>
              </w:rPr>
              <w:t>(324)</w:t>
            </w:r>
          </w:p>
        </w:tc>
        <w:tc>
          <w:tcPr>
            <w:tcW w:w="2623" w:type="dxa"/>
            <w:shd w:val="clear" w:color="auto" w:fill="CCEDFF"/>
          </w:tcPr>
          <w:p>
            <w:pPr>
              <w:pStyle w:val="TableParagraph"/>
              <w:tabs>
                <w:tab w:pos="1154" w:val="left" w:leader="none"/>
                <w:tab w:pos="1771" w:val="left" w:leader="none"/>
              </w:tabs>
              <w:spacing w:before="41"/>
              <w:ind w:right="23"/>
              <w:jc w:val="right"/>
              <w:rPr>
                <w:sz w:val="16"/>
              </w:rPr>
            </w:pPr>
            <w:r>
              <w:rPr>
                <w:spacing w:val="-10"/>
                <w:sz w:val="16"/>
              </w:rPr>
              <w:t>—</w:t>
            </w:r>
            <w:r>
              <w:rPr>
                <w:sz w:val="16"/>
              </w:rPr>
              <w:tab/>
            </w:r>
            <w:r>
              <w:rPr>
                <w:spacing w:val="-10"/>
                <w:sz w:val="16"/>
              </w:rPr>
              <w:t>—</w:t>
            </w:r>
            <w:r>
              <w:rPr>
                <w:sz w:val="16"/>
              </w:rPr>
              <w:tab/>
            </w:r>
            <w:r>
              <w:rPr>
                <w:spacing w:val="-2"/>
                <w:sz w:val="16"/>
              </w:rPr>
              <w:t>(324)</w:t>
            </w:r>
          </w:p>
        </w:tc>
      </w:tr>
      <w:tr>
        <w:trPr>
          <w:trHeight w:val="420" w:hRule="atLeast"/>
        </w:trPr>
        <w:tc>
          <w:tcPr>
            <w:tcW w:w="3152" w:type="dxa"/>
          </w:tcPr>
          <w:p>
            <w:pPr>
              <w:pStyle w:val="TableParagraph"/>
              <w:spacing w:line="208" w:lineRule="auto" w:before="65"/>
              <w:ind w:left="132" w:right="21" w:hanging="80"/>
              <w:rPr>
                <w:sz w:val="16"/>
              </w:rPr>
            </w:pPr>
            <w:r>
              <w:rPr>
                <w:sz w:val="16"/>
              </w:rPr>
              <w:t>Dividends</w:t>
            </w:r>
            <w:r>
              <w:rPr>
                <w:spacing w:val="-7"/>
                <w:sz w:val="16"/>
              </w:rPr>
              <w:t> </w:t>
            </w:r>
            <w:r>
              <w:rPr>
                <w:sz w:val="16"/>
              </w:rPr>
              <w:t>declared</w:t>
            </w:r>
            <w:r>
              <w:rPr>
                <w:spacing w:val="-7"/>
                <w:sz w:val="16"/>
              </w:rPr>
              <w:t> </w:t>
            </w:r>
            <w:r>
              <w:rPr>
                <w:sz w:val="16"/>
              </w:rPr>
              <w:t>on</w:t>
            </w:r>
            <w:r>
              <w:rPr>
                <w:spacing w:val="-7"/>
                <w:sz w:val="16"/>
              </w:rPr>
              <w:t> </w:t>
            </w:r>
            <w:r>
              <w:rPr>
                <w:sz w:val="16"/>
              </w:rPr>
              <w:t>common</w:t>
            </w:r>
            <w:r>
              <w:rPr>
                <w:spacing w:val="-7"/>
                <w:sz w:val="16"/>
              </w:rPr>
              <w:t> </w:t>
            </w:r>
            <w:r>
              <w:rPr>
                <w:sz w:val="16"/>
              </w:rPr>
              <w:t>stock</w:t>
            </w:r>
            <w:r>
              <w:rPr>
                <w:spacing w:val="-7"/>
                <w:sz w:val="16"/>
              </w:rPr>
              <w:t> </w:t>
            </w:r>
            <w:r>
              <w:rPr>
                <w:sz w:val="16"/>
              </w:rPr>
              <w:t>—</w:t>
            </w:r>
            <w:r>
              <w:rPr>
                <w:spacing w:val="-8"/>
                <w:sz w:val="16"/>
              </w:rPr>
              <w:t> </w:t>
            </w:r>
            <w:r>
              <w:rPr>
                <w:sz w:val="16"/>
              </w:rPr>
              <w:t>$.75</w:t>
            </w:r>
            <w:r>
              <w:rPr>
                <w:spacing w:val="40"/>
                <w:sz w:val="16"/>
              </w:rPr>
              <w:t> </w:t>
            </w:r>
            <w:r>
              <w:rPr>
                <w:sz w:val="16"/>
              </w:rPr>
              <w:t>per</w:t>
            </w:r>
            <w:r>
              <w:rPr>
                <w:spacing w:val="-1"/>
                <w:sz w:val="16"/>
              </w:rPr>
              <w:t> </w:t>
            </w:r>
            <w:r>
              <w:rPr>
                <w:sz w:val="16"/>
              </w:rPr>
              <w:t>share</w:t>
            </w:r>
          </w:p>
        </w:tc>
        <w:tc>
          <w:tcPr>
            <w:tcW w:w="781" w:type="dxa"/>
          </w:tcPr>
          <w:p>
            <w:pPr>
              <w:pStyle w:val="TableParagraph"/>
              <w:spacing w:before="22"/>
              <w:rPr>
                <w:i/>
                <w:sz w:val="16"/>
              </w:rPr>
            </w:pPr>
          </w:p>
          <w:p>
            <w:pPr>
              <w:pStyle w:val="TableParagraph"/>
              <w:ind w:right="99"/>
              <w:jc w:val="right"/>
              <w:rPr>
                <w:sz w:val="16"/>
              </w:rPr>
            </w:pPr>
            <w:r>
              <w:rPr>
                <w:spacing w:val="-10"/>
                <w:sz w:val="16"/>
              </w:rPr>
              <w:t>—</w:t>
            </w:r>
          </w:p>
        </w:tc>
        <w:tc>
          <w:tcPr>
            <w:tcW w:w="546" w:type="dxa"/>
          </w:tcPr>
          <w:p>
            <w:pPr>
              <w:pStyle w:val="TableParagraph"/>
              <w:spacing w:before="22"/>
              <w:rPr>
                <w:i/>
                <w:sz w:val="16"/>
              </w:rPr>
            </w:pPr>
          </w:p>
          <w:p>
            <w:pPr>
              <w:pStyle w:val="TableParagraph"/>
              <w:ind w:right="60"/>
              <w:jc w:val="right"/>
              <w:rPr>
                <w:sz w:val="16"/>
              </w:rPr>
            </w:pPr>
            <w:r>
              <w:rPr>
                <w:spacing w:val="-10"/>
                <w:sz w:val="16"/>
              </w:rPr>
              <w:t>—</w:t>
            </w:r>
          </w:p>
        </w:tc>
        <w:tc>
          <w:tcPr>
            <w:tcW w:w="671" w:type="dxa"/>
          </w:tcPr>
          <w:p>
            <w:pPr>
              <w:pStyle w:val="TableParagraph"/>
              <w:spacing w:before="22"/>
              <w:rPr>
                <w:i/>
                <w:sz w:val="16"/>
              </w:rPr>
            </w:pPr>
          </w:p>
          <w:p>
            <w:pPr>
              <w:pStyle w:val="TableParagraph"/>
              <w:ind w:left="-29" w:right="86"/>
              <w:jc w:val="right"/>
              <w:rPr>
                <w:sz w:val="16"/>
              </w:rPr>
            </w:pPr>
            <w:r>
              <w:rPr>
                <w:spacing w:val="-10"/>
                <w:sz w:val="16"/>
              </w:rPr>
              <w:t>—</w:t>
            </w:r>
          </w:p>
        </w:tc>
        <w:tc>
          <w:tcPr>
            <w:tcW w:w="618" w:type="dxa"/>
          </w:tcPr>
          <w:p>
            <w:pPr>
              <w:pStyle w:val="TableParagraph"/>
              <w:spacing w:before="22"/>
              <w:rPr>
                <w:i/>
                <w:sz w:val="16"/>
              </w:rPr>
            </w:pPr>
          </w:p>
          <w:p>
            <w:pPr>
              <w:pStyle w:val="TableParagraph"/>
              <w:ind w:right="89"/>
              <w:jc w:val="right"/>
              <w:rPr>
                <w:sz w:val="16"/>
              </w:rPr>
            </w:pPr>
            <w:r>
              <w:rPr>
                <w:spacing w:val="-10"/>
                <w:sz w:val="16"/>
              </w:rPr>
              <w:t>—</w:t>
            </w:r>
          </w:p>
        </w:tc>
        <w:tc>
          <w:tcPr>
            <w:tcW w:w="635" w:type="dxa"/>
          </w:tcPr>
          <w:p>
            <w:pPr>
              <w:pStyle w:val="TableParagraph"/>
              <w:spacing w:before="22"/>
              <w:rPr>
                <w:i/>
                <w:sz w:val="16"/>
              </w:rPr>
            </w:pPr>
          </w:p>
          <w:p>
            <w:pPr>
              <w:pStyle w:val="TableParagraph"/>
              <w:ind w:right="64"/>
              <w:jc w:val="right"/>
              <w:rPr>
                <w:sz w:val="16"/>
              </w:rPr>
            </w:pPr>
            <w:r>
              <w:rPr>
                <w:spacing w:val="-10"/>
                <w:sz w:val="16"/>
              </w:rPr>
              <w:t>—</w:t>
            </w:r>
          </w:p>
        </w:tc>
        <w:tc>
          <w:tcPr>
            <w:tcW w:w="868" w:type="dxa"/>
          </w:tcPr>
          <w:p>
            <w:pPr>
              <w:pStyle w:val="TableParagraph"/>
              <w:spacing w:before="22"/>
              <w:rPr>
                <w:i/>
                <w:sz w:val="16"/>
              </w:rPr>
            </w:pPr>
          </w:p>
          <w:p>
            <w:pPr>
              <w:pStyle w:val="TableParagraph"/>
              <w:ind w:right="92"/>
              <w:jc w:val="right"/>
              <w:rPr>
                <w:sz w:val="16"/>
              </w:rPr>
            </w:pPr>
            <w:r>
              <w:rPr>
                <w:spacing w:val="-10"/>
                <w:sz w:val="16"/>
              </w:rPr>
              <w:t>—</w:t>
            </w:r>
          </w:p>
        </w:tc>
        <w:tc>
          <w:tcPr>
            <w:tcW w:w="737" w:type="dxa"/>
          </w:tcPr>
          <w:p>
            <w:pPr>
              <w:pStyle w:val="TableParagraph"/>
              <w:spacing w:before="22"/>
              <w:rPr>
                <w:i/>
                <w:sz w:val="16"/>
              </w:rPr>
            </w:pPr>
          </w:p>
          <w:p>
            <w:pPr>
              <w:pStyle w:val="TableParagraph"/>
              <w:ind w:right="40"/>
              <w:jc w:val="right"/>
              <w:rPr>
                <w:sz w:val="16"/>
              </w:rPr>
            </w:pPr>
            <w:r>
              <w:rPr>
                <w:spacing w:val="-2"/>
                <w:sz w:val="16"/>
              </w:rPr>
              <w:t>(1,379)</w:t>
            </w:r>
          </w:p>
        </w:tc>
        <w:tc>
          <w:tcPr>
            <w:tcW w:w="2623" w:type="dxa"/>
          </w:tcPr>
          <w:p>
            <w:pPr>
              <w:pStyle w:val="TableParagraph"/>
              <w:spacing w:before="22"/>
              <w:rPr>
                <w:i/>
                <w:sz w:val="16"/>
              </w:rPr>
            </w:pPr>
          </w:p>
          <w:p>
            <w:pPr>
              <w:pStyle w:val="TableParagraph"/>
              <w:tabs>
                <w:tab w:pos="1154" w:val="left" w:leader="none"/>
                <w:tab w:pos="1651" w:val="left" w:leader="none"/>
              </w:tabs>
              <w:ind w:right="23"/>
              <w:jc w:val="right"/>
              <w:rPr>
                <w:sz w:val="16"/>
              </w:rPr>
            </w:pPr>
            <w:r>
              <w:rPr>
                <w:spacing w:val="-10"/>
                <w:sz w:val="16"/>
              </w:rPr>
              <w:t>—</w:t>
            </w:r>
            <w:r>
              <w:rPr>
                <w:sz w:val="16"/>
              </w:rPr>
              <w:tab/>
            </w:r>
            <w:r>
              <w:rPr>
                <w:spacing w:val="-10"/>
                <w:sz w:val="16"/>
              </w:rPr>
              <w:t>—</w:t>
            </w:r>
            <w:r>
              <w:rPr>
                <w:sz w:val="16"/>
              </w:rPr>
              <w:tab/>
            </w:r>
            <w:r>
              <w:rPr>
                <w:spacing w:val="-2"/>
                <w:sz w:val="16"/>
              </w:rPr>
              <w:t>(1,379)</w:t>
            </w:r>
          </w:p>
        </w:tc>
      </w:tr>
      <w:tr>
        <w:trPr>
          <w:trHeight w:val="255" w:hRule="atLeast"/>
        </w:trPr>
        <w:tc>
          <w:tcPr>
            <w:tcW w:w="3152" w:type="dxa"/>
            <w:shd w:val="clear" w:color="auto" w:fill="CCEDFF"/>
          </w:tcPr>
          <w:p>
            <w:pPr>
              <w:pStyle w:val="TableParagraph"/>
              <w:spacing w:before="41"/>
              <w:ind w:left="52"/>
              <w:rPr>
                <w:sz w:val="16"/>
              </w:rPr>
            </w:pPr>
            <w:r>
              <w:rPr>
                <w:sz w:val="16"/>
              </w:rPr>
              <w:t>Repurchase</w:t>
            </w:r>
            <w:r>
              <w:rPr>
                <w:spacing w:val="-1"/>
                <w:sz w:val="16"/>
              </w:rPr>
              <w:t> </w:t>
            </w:r>
            <w:r>
              <w:rPr>
                <w:sz w:val="16"/>
              </w:rPr>
              <w:t>of common</w:t>
            </w:r>
            <w:r>
              <w:rPr>
                <w:spacing w:val="-1"/>
                <w:sz w:val="16"/>
              </w:rPr>
              <w:t> </w:t>
            </w:r>
            <w:r>
              <w:rPr>
                <w:sz w:val="16"/>
              </w:rPr>
              <w:t>stock, inclusive</w:t>
            </w:r>
            <w:r>
              <w:rPr>
                <w:spacing w:val="-1"/>
                <w:sz w:val="16"/>
              </w:rPr>
              <w:t> </w:t>
            </w:r>
            <w:r>
              <w:rPr>
                <w:sz w:val="16"/>
              </w:rPr>
              <w:t>of </w:t>
            </w:r>
            <w:r>
              <w:rPr>
                <w:spacing w:val="-5"/>
                <w:sz w:val="16"/>
              </w:rPr>
              <w:t>tax</w:t>
            </w:r>
          </w:p>
        </w:tc>
        <w:tc>
          <w:tcPr>
            <w:tcW w:w="781" w:type="dxa"/>
            <w:shd w:val="clear" w:color="auto" w:fill="CCEDFF"/>
          </w:tcPr>
          <w:p>
            <w:pPr>
              <w:pStyle w:val="TableParagraph"/>
              <w:spacing w:before="41"/>
              <w:ind w:right="99"/>
              <w:jc w:val="right"/>
              <w:rPr>
                <w:sz w:val="16"/>
              </w:rPr>
            </w:pPr>
            <w:r>
              <w:rPr>
                <w:spacing w:val="-10"/>
                <w:sz w:val="16"/>
              </w:rPr>
              <w:t>—</w:t>
            </w:r>
          </w:p>
        </w:tc>
        <w:tc>
          <w:tcPr>
            <w:tcW w:w="546" w:type="dxa"/>
            <w:shd w:val="clear" w:color="auto" w:fill="CCEDFF"/>
          </w:tcPr>
          <w:p>
            <w:pPr>
              <w:pStyle w:val="TableParagraph"/>
              <w:spacing w:before="41"/>
              <w:ind w:right="60"/>
              <w:jc w:val="right"/>
              <w:rPr>
                <w:sz w:val="16"/>
              </w:rPr>
            </w:pPr>
            <w:r>
              <w:rPr>
                <w:spacing w:val="-10"/>
                <w:sz w:val="16"/>
              </w:rPr>
              <w:t>—</w:t>
            </w:r>
          </w:p>
        </w:tc>
        <w:tc>
          <w:tcPr>
            <w:tcW w:w="671" w:type="dxa"/>
            <w:shd w:val="clear" w:color="auto" w:fill="CCEDFF"/>
          </w:tcPr>
          <w:p>
            <w:pPr>
              <w:pStyle w:val="TableParagraph"/>
              <w:spacing w:before="41"/>
              <w:ind w:left="-29" w:right="86"/>
              <w:jc w:val="right"/>
              <w:rPr>
                <w:sz w:val="16"/>
              </w:rPr>
            </w:pPr>
            <w:r>
              <w:rPr>
                <w:spacing w:val="-10"/>
                <w:sz w:val="16"/>
              </w:rPr>
              <w:t>—</w:t>
            </w:r>
          </w:p>
        </w:tc>
        <w:tc>
          <w:tcPr>
            <w:tcW w:w="618" w:type="dxa"/>
            <w:shd w:val="clear" w:color="auto" w:fill="CCEDFF"/>
          </w:tcPr>
          <w:p>
            <w:pPr>
              <w:pStyle w:val="TableParagraph"/>
              <w:spacing w:before="41"/>
              <w:ind w:right="89"/>
              <w:jc w:val="right"/>
              <w:rPr>
                <w:sz w:val="16"/>
              </w:rPr>
            </w:pPr>
            <w:r>
              <w:rPr>
                <w:spacing w:val="-10"/>
                <w:sz w:val="16"/>
              </w:rPr>
              <w:t>—</w:t>
            </w:r>
          </w:p>
        </w:tc>
        <w:tc>
          <w:tcPr>
            <w:tcW w:w="635" w:type="dxa"/>
            <w:shd w:val="clear" w:color="auto" w:fill="CCEDFF"/>
          </w:tcPr>
          <w:p>
            <w:pPr>
              <w:pStyle w:val="TableParagraph"/>
              <w:spacing w:before="41"/>
              <w:ind w:right="64"/>
              <w:jc w:val="right"/>
              <w:rPr>
                <w:sz w:val="16"/>
              </w:rPr>
            </w:pPr>
            <w:r>
              <w:rPr>
                <w:spacing w:val="-10"/>
                <w:sz w:val="16"/>
              </w:rPr>
              <w:t>—</w:t>
            </w:r>
          </w:p>
        </w:tc>
        <w:tc>
          <w:tcPr>
            <w:tcW w:w="868" w:type="dxa"/>
            <w:shd w:val="clear" w:color="auto" w:fill="CCEDFF"/>
          </w:tcPr>
          <w:p>
            <w:pPr>
              <w:pStyle w:val="TableParagraph"/>
              <w:spacing w:before="41"/>
              <w:ind w:right="92"/>
              <w:jc w:val="right"/>
              <w:rPr>
                <w:sz w:val="16"/>
              </w:rPr>
            </w:pPr>
            <w:r>
              <w:rPr>
                <w:spacing w:val="-10"/>
                <w:sz w:val="16"/>
              </w:rPr>
              <w:t>—</w:t>
            </w:r>
          </w:p>
        </w:tc>
        <w:tc>
          <w:tcPr>
            <w:tcW w:w="737" w:type="dxa"/>
            <w:shd w:val="clear" w:color="auto" w:fill="CCEDFF"/>
          </w:tcPr>
          <w:p>
            <w:pPr>
              <w:pStyle w:val="TableParagraph"/>
              <w:spacing w:before="41"/>
              <w:ind w:right="94"/>
              <w:jc w:val="right"/>
              <w:rPr>
                <w:sz w:val="16"/>
              </w:rPr>
            </w:pPr>
            <w:r>
              <w:rPr>
                <w:spacing w:val="-10"/>
                <w:sz w:val="16"/>
              </w:rPr>
              <w:t>—</w:t>
            </w:r>
          </w:p>
        </w:tc>
        <w:tc>
          <w:tcPr>
            <w:tcW w:w="2623" w:type="dxa"/>
            <w:shd w:val="clear" w:color="auto" w:fill="CCEDFF"/>
          </w:tcPr>
          <w:p>
            <w:pPr>
              <w:pStyle w:val="TableParagraph"/>
              <w:tabs>
                <w:tab w:pos="1408" w:val="left" w:leader="none"/>
                <w:tab w:pos="1904" w:val="left" w:leader="none"/>
              </w:tabs>
              <w:spacing w:before="41"/>
              <w:ind w:right="23"/>
              <w:jc w:val="right"/>
              <w:rPr>
                <w:sz w:val="16"/>
              </w:rPr>
            </w:pPr>
            <w:r>
              <w:rPr>
                <w:spacing w:val="-2"/>
                <w:sz w:val="16"/>
              </w:rPr>
              <w:t>(2,869)</w:t>
            </w:r>
            <w:r>
              <w:rPr>
                <w:sz w:val="16"/>
              </w:rPr>
              <w:tab/>
            </w:r>
            <w:r>
              <w:rPr>
                <w:spacing w:val="-10"/>
                <w:sz w:val="16"/>
              </w:rPr>
              <w:t>—</w:t>
            </w:r>
            <w:r>
              <w:rPr>
                <w:sz w:val="16"/>
              </w:rPr>
              <w:tab/>
            </w:r>
            <w:r>
              <w:rPr>
                <w:spacing w:val="-2"/>
                <w:sz w:val="16"/>
              </w:rPr>
              <w:t>(2,869)</w:t>
            </w:r>
          </w:p>
        </w:tc>
      </w:tr>
      <w:tr>
        <w:trPr>
          <w:trHeight w:val="255" w:hRule="atLeast"/>
        </w:trPr>
        <w:tc>
          <w:tcPr>
            <w:tcW w:w="3152" w:type="dxa"/>
          </w:tcPr>
          <w:p>
            <w:pPr>
              <w:pStyle w:val="TableParagraph"/>
              <w:spacing w:before="41"/>
              <w:ind w:left="52"/>
              <w:rPr>
                <w:sz w:val="16"/>
              </w:rPr>
            </w:pPr>
            <w:r>
              <w:rPr>
                <w:sz w:val="16"/>
              </w:rPr>
              <w:t>Stock</w:t>
            </w:r>
            <w:r>
              <w:rPr>
                <w:spacing w:val="-1"/>
                <w:sz w:val="16"/>
              </w:rPr>
              <w:t> </w:t>
            </w:r>
            <w:r>
              <w:rPr>
                <w:sz w:val="16"/>
              </w:rPr>
              <w:t>option exercises</w:t>
            </w:r>
            <w:r>
              <w:rPr>
                <w:spacing w:val="-2"/>
                <w:sz w:val="16"/>
              </w:rPr>
              <w:t> </w:t>
            </w:r>
            <w:r>
              <w:rPr>
                <w:sz w:val="16"/>
              </w:rPr>
              <w:t>and </w:t>
            </w:r>
            <w:r>
              <w:rPr>
                <w:spacing w:val="-2"/>
                <w:sz w:val="16"/>
              </w:rPr>
              <w:t>other</w:t>
            </w:r>
          </w:p>
        </w:tc>
        <w:tc>
          <w:tcPr>
            <w:tcW w:w="781" w:type="dxa"/>
          </w:tcPr>
          <w:p>
            <w:pPr>
              <w:pStyle w:val="TableParagraph"/>
              <w:spacing w:before="41"/>
              <w:ind w:right="99"/>
              <w:jc w:val="right"/>
              <w:rPr>
                <w:sz w:val="16"/>
              </w:rPr>
            </w:pPr>
            <w:r>
              <w:rPr>
                <w:spacing w:val="-10"/>
                <w:sz w:val="16"/>
              </w:rPr>
              <w:t>—</w:t>
            </w:r>
          </w:p>
        </w:tc>
        <w:tc>
          <w:tcPr>
            <w:tcW w:w="546" w:type="dxa"/>
          </w:tcPr>
          <w:p>
            <w:pPr>
              <w:pStyle w:val="TableParagraph"/>
              <w:spacing w:before="41"/>
              <w:ind w:right="60"/>
              <w:jc w:val="right"/>
              <w:rPr>
                <w:sz w:val="16"/>
              </w:rPr>
            </w:pPr>
            <w:r>
              <w:rPr>
                <w:spacing w:val="-10"/>
                <w:sz w:val="16"/>
              </w:rPr>
              <w:t>—</w:t>
            </w:r>
          </w:p>
        </w:tc>
        <w:tc>
          <w:tcPr>
            <w:tcW w:w="671" w:type="dxa"/>
          </w:tcPr>
          <w:p>
            <w:pPr>
              <w:pStyle w:val="TableParagraph"/>
              <w:spacing w:before="41"/>
              <w:ind w:left="-29" w:right="86"/>
              <w:jc w:val="right"/>
              <w:rPr>
                <w:sz w:val="16"/>
              </w:rPr>
            </w:pPr>
            <w:r>
              <w:rPr>
                <w:spacing w:val="-10"/>
                <w:sz w:val="16"/>
              </w:rPr>
              <w:t>—</w:t>
            </w:r>
          </w:p>
        </w:tc>
        <w:tc>
          <w:tcPr>
            <w:tcW w:w="618" w:type="dxa"/>
          </w:tcPr>
          <w:p>
            <w:pPr>
              <w:pStyle w:val="TableParagraph"/>
              <w:spacing w:before="41"/>
              <w:ind w:right="89"/>
              <w:jc w:val="right"/>
              <w:rPr>
                <w:sz w:val="16"/>
              </w:rPr>
            </w:pPr>
            <w:r>
              <w:rPr>
                <w:spacing w:val="-10"/>
                <w:sz w:val="16"/>
              </w:rPr>
              <w:t>—</w:t>
            </w:r>
          </w:p>
        </w:tc>
        <w:tc>
          <w:tcPr>
            <w:tcW w:w="635" w:type="dxa"/>
          </w:tcPr>
          <w:p>
            <w:pPr>
              <w:pStyle w:val="TableParagraph"/>
              <w:spacing w:before="41"/>
              <w:ind w:right="64"/>
              <w:jc w:val="right"/>
              <w:rPr>
                <w:sz w:val="16"/>
              </w:rPr>
            </w:pPr>
            <w:r>
              <w:rPr>
                <w:spacing w:val="-10"/>
                <w:sz w:val="16"/>
              </w:rPr>
              <w:t>—</w:t>
            </w:r>
          </w:p>
        </w:tc>
        <w:tc>
          <w:tcPr>
            <w:tcW w:w="868" w:type="dxa"/>
          </w:tcPr>
          <w:p>
            <w:pPr>
              <w:pStyle w:val="TableParagraph"/>
              <w:spacing w:before="41"/>
              <w:ind w:right="38"/>
              <w:jc w:val="right"/>
              <w:rPr>
                <w:sz w:val="16"/>
              </w:rPr>
            </w:pPr>
            <w:r>
              <w:rPr>
                <w:spacing w:val="-2"/>
                <w:sz w:val="16"/>
              </w:rPr>
              <w:t>(110)</w:t>
            </w:r>
          </w:p>
        </w:tc>
        <w:tc>
          <w:tcPr>
            <w:tcW w:w="737" w:type="dxa"/>
          </w:tcPr>
          <w:p>
            <w:pPr>
              <w:pStyle w:val="TableParagraph"/>
              <w:spacing w:before="41"/>
              <w:ind w:right="94"/>
              <w:jc w:val="right"/>
              <w:rPr>
                <w:sz w:val="16"/>
              </w:rPr>
            </w:pPr>
            <w:r>
              <w:rPr>
                <w:spacing w:val="-10"/>
                <w:sz w:val="16"/>
              </w:rPr>
              <w:t>—</w:t>
            </w:r>
          </w:p>
        </w:tc>
        <w:tc>
          <w:tcPr>
            <w:tcW w:w="2623" w:type="dxa"/>
          </w:tcPr>
          <w:p>
            <w:pPr>
              <w:pStyle w:val="TableParagraph"/>
              <w:tabs>
                <w:tab w:pos="1234" w:val="left" w:leader="none"/>
                <w:tab w:pos="1984" w:val="left" w:leader="none"/>
              </w:tabs>
              <w:spacing w:before="41"/>
              <w:ind w:right="77"/>
              <w:jc w:val="right"/>
              <w:rPr>
                <w:sz w:val="16"/>
              </w:rPr>
            </w:pPr>
            <w:r>
              <w:rPr>
                <w:spacing w:val="-5"/>
                <w:sz w:val="16"/>
              </w:rPr>
              <w:t>143</w:t>
            </w:r>
            <w:r>
              <w:rPr>
                <w:sz w:val="16"/>
              </w:rPr>
              <w:tab/>
            </w:r>
            <w:r>
              <w:rPr>
                <w:spacing w:val="-10"/>
                <w:sz w:val="16"/>
              </w:rPr>
              <w:t>—</w:t>
            </w:r>
            <w:r>
              <w:rPr>
                <w:sz w:val="16"/>
              </w:rPr>
              <w:tab/>
            </w:r>
            <w:r>
              <w:rPr>
                <w:spacing w:val="-5"/>
                <w:sz w:val="16"/>
              </w:rPr>
              <w:t>33</w:t>
            </w:r>
          </w:p>
        </w:tc>
      </w:tr>
      <w:tr>
        <w:trPr>
          <w:trHeight w:val="255" w:hRule="atLeast"/>
        </w:trPr>
        <w:tc>
          <w:tcPr>
            <w:tcW w:w="3152" w:type="dxa"/>
            <w:shd w:val="clear" w:color="auto" w:fill="CCEDFF"/>
          </w:tcPr>
          <w:p>
            <w:pPr>
              <w:pStyle w:val="TableParagraph"/>
              <w:spacing w:before="41"/>
              <w:ind w:left="52"/>
              <w:rPr>
                <w:sz w:val="16"/>
              </w:rPr>
            </w:pPr>
            <w:r>
              <w:rPr>
                <w:sz w:val="16"/>
              </w:rPr>
              <w:t>Share-based</w:t>
            </w:r>
            <w:r>
              <w:rPr>
                <w:spacing w:val="-2"/>
                <w:sz w:val="16"/>
              </w:rPr>
              <w:t> compensation</w:t>
            </w:r>
          </w:p>
        </w:tc>
        <w:tc>
          <w:tcPr>
            <w:tcW w:w="781" w:type="dxa"/>
            <w:shd w:val="clear" w:color="auto" w:fill="CCEDFF"/>
          </w:tcPr>
          <w:p>
            <w:pPr>
              <w:pStyle w:val="TableParagraph"/>
              <w:spacing w:before="41"/>
              <w:ind w:right="99"/>
              <w:jc w:val="right"/>
              <w:rPr>
                <w:sz w:val="16"/>
              </w:rPr>
            </w:pPr>
            <w:r>
              <w:rPr>
                <w:spacing w:val="-10"/>
                <w:sz w:val="16"/>
              </w:rPr>
              <w:t>—</w:t>
            </w:r>
          </w:p>
        </w:tc>
        <w:tc>
          <w:tcPr>
            <w:tcW w:w="546" w:type="dxa"/>
            <w:shd w:val="clear" w:color="auto" w:fill="CCEDFF"/>
          </w:tcPr>
          <w:p>
            <w:pPr>
              <w:pStyle w:val="TableParagraph"/>
              <w:spacing w:before="41"/>
              <w:ind w:right="60"/>
              <w:jc w:val="right"/>
              <w:rPr>
                <w:sz w:val="16"/>
              </w:rPr>
            </w:pPr>
            <w:r>
              <w:rPr>
                <w:spacing w:val="-10"/>
                <w:sz w:val="16"/>
              </w:rPr>
              <w:t>—</w:t>
            </w:r>
          </w:p>
        </w:tc>
        <w:tc>
          <w:tcPr>
            <w:tcW w:w="671" w:type="dxa"/>
            <w:shd w:val="clear" w:color="auto" w:fill="CCEDFF"/>
          </w:tcPr>
          <w:p>
            <w:pPr>
              <w:pStyle w:val="TableParagraph"/>
              <w:spacing w:before="41"/>
              <w:ind w:left="-29" w:right="86"/>
              <w:jc w:val="right"/>
              <w:rPr>
                <w:sz w:val="16"/>
              </w:rPr>
            </w:pPr>
            <w:r>
              <w:rPr>
                <w:spacing w:val="-10"/>
                <w:sz w:val="16"/>
              </w:rPr>
              <w:t>—</w:t>
            </w:r>
          </w:p>
        </w:tc>
        <w:tc>
          <w:tcPr>
            <w:tcW w:w="618" w:type="dxa"/>
            <w:shd w:val="clear" w:color="auto" w:fill="CCEDFF"/>
          </w:tcPr>
          <w:p>
            <w:pPr>
              <w:pStyle w:val="TableParagraph"/>
              <w:spacing w:before="41"/>
              <w:ind w:right="89"/>
              <w:jc w:val="right"/>
              <w:rPr>
                <w:sz w:val="16"/>
              </w:rPr>
            </w:pPr>
            <w:r>
              <w:rPr>
                <w:spacing w:val="-10"/>
                <w:sz w:val="16"/>
              </w:rPr>
              <w:t>—</w:t>
            </w:r>
          </w:p>
        </w:tc>
        <w:tc>
          <w:tcPr>
            <w:tcW w:w="635" w:type="dxa"/>
            <w:shd w:val="clear" w:color="auto" w:fill="CCEDFF"/>
          </w:tcPr>
          <w:p>
            <w:pPr>
              <w:pStyle w:val="TableParagraph"/>
              <w:spacing w:before="41"/>
              <w:ind w:right="64"/>
              <w:jc w:val="right"/>
              <w:rPr>
                <w:sz w:val="16"/>
              </w:rPr>
            </w:pPr>
            <w:r>
              <w:rPr>
                <w:spacing w:val="-10"/>
                <w:sz w:val="16"/>
              </w:rPr>
              <w:t>—</w:t>
            </w:r>
          </w:p>
        </w:tc>
        <w:tc>
          <w:tcPr>
            <w:tcW w:w="868" w:type="dxa"/>
            <w:shd w:val="clear" w:color="auto" w:fill="CCEDFF"/>
          </w:tcPr>
          <w:p>
            <w:pPr>
              <w:pStyle w:val="TableParagraph"/>
              <w:spacing w:before="41"/>
              <w:ind w:right="92"/>
              <w:jc w:val="right"/>
              <w:rPr>
                <w:sz w:val="16"/>
              </w:rPr>
            </w:pPr>
            <w:r>
              <w:rPr>
                <w:spacing w:val="-5"/>
                <w:sz w:val="16"/>
              </w:rPr>
              <w:t>242</w:t>
            </w:r>
          </w:p>
        </w:tc>
        <w:tc>
          <w:tcPr>
            <w:tcW w:w="737" w:type="dxa"/>
            <w:shd w:val="clear" w:color="auto" w:fill="CCEDFF"/>
          </w:tcPr>
          <w:p>
            <w:pPr>
              <w:pStyle w:val="TableParagraph"/>
              <w:spacing w:before="41"/>
              <w:ind w:right="94"/>
              <w:jc w:val="right"/>
              <w:rPr>
                <w:sz w:val="16"/>
              </w:rPr>
            </w:pPr>
            <w:r>
              <w:rPr>
                <w:spacing w:val="-10"/>
                <w:sz w:val="16"/>
              </w:rPr>
              <w:t>—</w:t>
            </w:r>
          </w:p>
        </w:tc>
        <w:tc>
          <w:tcPr>
            <w:tcW w:w="2623" w:type="dxa"/>
            <w:shd w:val="clear" w:color="auto" w:fill="CCEDFF"/>
          </w:tcPr>
          <w:p>
            <w:pPr>
              <w:pStyle w:val="TableParagraph"/>
              <w:tabs>
                <w:tab w:pos="1154" w:val="left" w:leader="none"/>
                <w:tab w:pos="1824" w:val="left" w:leader="none"/>
              </w:tabs>
              <w:spacing w:before="41"/>
              <w:ind w:right="77"/>
              <w:jc w:val="right"/>
              <w:rPr>
                <w:sz w:val="16"/>
              </w:rPr>
            </w:pPr>
            <w:r>
              <w:rPr>
                <w:spacing w:val="-10"/>
                <w:sz w:val="16"/>
              </w:rPr>
              <w:t>—</w:t>
            </w:r>
            <w:r>
              <w:rPr>
                <w:sz w:val="16"/>
              </w:rPr>
              <w:tab/>
            </w:r>
            <w:r>
              <w:rPr>
                <w:spacing w:val="-10"/>
                <w:sz w:val="16"/>
              </w:rPr>
              <w:t>—</w:t>
            </w:r>
            <w:r>
              <w:rPr>
                <w:sz w:val="16"/>
              </w:rPr>
              <w:tab/>
            </w:r>
            <w:r>
              <w:rPr>
                <w:spacing w:val="-5"/>
                <w:sz w:val="16"/>
              </w:rPr>
              <w:t>242</w:t>
            </w:r>
          </w:p>
        </w:tc>
      </w:tr>
      <w:tr>
        <w:trPr>
          <w:trHeight w:val="250" w:hRule="atLeast"/>
        </w:trPr>
        <w:tc>
          <w:tcPr>
            <w:tcW w:w="3152" w:type="dxa"/>
            <w:tcBorders>
              <w:bottom w:val="single" w:sz="4" w:space="0" w:color="000000"/>
            </w:tcBorders>
          </w:tcPr>
          <w:p>
            <w:pPr>
              <w:pStyle w:val="TableParagraph"/>
              <w:spacing w:before="41"/>
              <w:ind w:left="52"/>
              <w:rPr>
                <w:sz w:val="16"/>
              </w:rPr>
            </w:pPr>
            <w:r>
              <w:rPr>
                <w:spacing w:val="-2"/>
                <w:sz w:val="16"/>
              </w:rPr>
              <w:t>Other</w:t>
            </w:r>
          </w:p>
        </w:tc>
        <w:tc>
          <w:tcPr>
            <w:tcW w:w="781" w:type="dxa"/>
            <w:tcBorders>
              <w:bottom w:val="single" w:sz="4" w:space="0" w:color="000000"/>
            </w:tcBorders>
          </w:tcPr>
          <w:p>
            <w:pPr>
              <w:pStyle w:val="TableParagraph"/>
              <w:spacing w:before="41"/>
              <w:ind w:right="99"/>
              <w:jc w:val="right"/>
              <w:rPr>
                <w:sz w:val="16"/>
              </w:rPr>
            </w:pPr>
            <w:r>
              <w:rPr>
                <w:spacing w:val="-10"/>
                <w:sz w:val="16"/>
              </w:rPr>
              <w:t>—</w:t>
            </w:r>
          </w:p>
        </w:tc>
        <w:tc>
          <w:tcPr>
            <w:tcW w:w="546" w:type="dxa"/>
            <w:tcBorders>
              <w:bottom w:val="single" w:sz="4" w:space="0" w:color="000000"/>
            </w:tcBorders>
          </w:tcPr>
          <w:p>
            <w:pPr>
              <w:pStyle w:val="TableParagraph"/>
              <w:spacing w:before="41"/>
              <w:ind w:right="60"/>
              <w:jc w:val="right"/>
              <w:rPr>
                <w:sz w:val="16"/>
              </w:rPr>
            </w:pPr>
            <w:r>
              <w:rPr>
                <w:spacing w:val="-10"/>
                <w:sz w:val="16"/>
              </w:rPr>
              <w:t>—</w:t>
            </w:r>
          </w:p>
        </w:tc>
        <w:tc>
          <w:tcPr>
            <w:tcW w:w="671" w:type="dxa"/>
            <w:tcBorders>
              <w:bottom w:val="single" w:sz="4" w:space="0" w:color="000000"/>
            </w:tcBorders>
          </w:tcPr>
          <w:p>
            <w:pPr>
              <w:pStyle w:val="TableParagraph"/>
              <w:spacing w:before="41"/>
              <w:ind w:left="-29" w:right="86"/>
              <w:jc w:val="right"/>
              <w:rPr>
                <w:sz w:val="16"/>
              </w:rPr>
            </w:pPr>
            <w:r>
              <w:rPr>
                <w:spacing w:val="-10"/>
                <w:sz w:val="16"/>
              </w:rPr>
              <w:t>—</w:t>
            </w:r>
          </w:p>
        </w:tc>
        <w:tc>
          <w:tcPr>
            <w:tcW w:w="618" w:type="dxa"/>
            <w:tcBorders>
              <w:bottom w:val="single" w:sz="4" w:space="0" w:color="000000"/>
            </w:tcBorders>
          </w:tcPr>
          <w:p>
            <w:pPr>
              <w:pStyle w:val="TableParagraph"/>
              <w:spacing w:before="41"/>
              <w:ind w:right="89"/>
              <w:jc w:val="right"/>
              <w:rPr>
                <w:sz w:val="16"/>
              </w:rPr>
            </w:pPr>
            <w:r>
              <w:rPr>
                <w:spacing w:val="-10"/>
                <w:sz w:val="16"/>
              </w:rPr>
              <w:t>—</w:t>
            </w:r>
          </w:p>
        </w:tc>
        <w:tc>
          <w:tcPr>
            <w:tcW w:w="635" w:type="dxa"/>
            <w:tcBorders>
              <w:bottom w:val="single" w:sz="4" w:space="0" w:color="000000"/>
            </w:tcBorders>
          </w:tcPr>
          <w:p>
            <w:pPr>
              <w:pStyle w:val="TableParagraph"/>
              <w:spacing w:before="41"/>
              <w:ind w:right="64"/>
              <w:jc w:val="right"/>
              <w:rPr>
                <w:sz w:val="16"/>
              </w:rPr>
            </w:pPr>
            <w:r>
              <w:rPr>
                <w:spacing w:val="-10"/>
                <w:sz w:val="16"/>
              </w:rPr>
              <w:t>—</w:t>
            </w:r>
          </w:p>
        </w:tc>
        <w:tc>
          <w:tcPr>
            <w:tcW w:w="868" w:type="dxa"/>
            <w:tcBorders>
              <w:bottom w:val="single" w:sz="4" w:space="0" w:color="000000"/>
            </w:tcBorders>
          </w:tcPr>
          <w:p>
            <w:pPr>
              <w:pStyle w:val="TableParagraph"/>
              <w:spacing w:before="41"/>
              <w:ind w:right="92"/>
              <w:jc w:val="right"/>
              <w:rPr>
                <w:sz w:val="16"/>
              </w:rPr>
            </w:pPr>
            <w:r>
              <w:rPr>
                <w:spacing w:val="-5"/>
                <w:sz w:val="16"/>
              </w:rPr>
              <w:t>86</w:t>
            </w:r>
          </w:p>
        </w:tc>
        <w:tc>
          <w:tcPr>
            <w:tcW w:w="737" w:type="dxa"/>
            <w:tcBorders>
              <w:bottom w:val="single" w:sz="4" w:space="0" w:color="000000"/>
            </w:tcBorders>
          </w:tcPr>
          <w:p>
            <w:pPr>
              <w:pStyle w:val="TableParagraph"/>
              <w:spacing w:before="41"/>
              <w:ind w:right="94"/>
              <w:jc w:val="right"/>
              <w:rPr>
                <w:sz w:val="16"/>
              </w:rPr>
            </w:pPr>
            <w:r>
              <w:rPr>
                <w:spacing w:val="-10"/>
                <w:sz w:val="16"/>
              </w:rPr>
              <w:t>—</w:t>
            </w:r>
          </w:p>
        </w:tc>
        <w:tc>
          <w:tcPr>
            <w:tcW w:w="2623" w:type="dxa"/>
            <w:tcBorders>
              <w:bottom w:val="single" w:sz="4" w:space="0" w:color="000000"/>
            </w:tcBorders>
          </w:tcPr>
          <w:p>
            <w:pPr>
              <w:pStyle w:val="TableParagraph"/>
              <w:tabs>
                <w:tab w:pos="1208" w:val="left" w:leader="none"/>
                <w:tab w:pos="1958" w:val="left" w:leader="none"/>
              </w:tabs>
              <w:spacing w:before="41"/>
              <w:ind w:right="77"/>
              <w:jc w:val="right"/>
              <w:rPr>
                <w:sz w:val="16"/>
              </w:rPr>
            </w:pPr>
            <w:r>
              <w:rPr>
                <w:spacing w:val="-4"/>
                <w:sz w:val="16"/>
              </w:rPr>
              <w:t>(33)</w:t>
            </w:r>
            <w:r>
              <w:rPr>
                <w:sz w:val="16"/>
              </w:rPr>
              <w:tab/>
            </w:r>
            <w:r>
              <w:rPr>
                <w:spacing w:val="-10"/>
                <w:sz w:val="16"/>
              </w:rPr>
              <w:t>—</w:t>
            </w:r>
            <w:r>
              <w:rPr>
                <w:sz w:val="16"/>
              </w:rPr>
              <w:tab/>
            </w:r>
            <w:r>
              <w:rPr>
                <w:spacing w:val="-5"/>
                <w:sz w:val="16"/>
              </w:rPr>
              <w:t>53</w:t>
            </w:r>
          </w:p>
        </w:tc>
      </w:tr>
      <w:tr>
        <w:trPr>
          <w:trHeight w:val="220" w:hRule="atLeast"/>
        </w:trPr>
        <w:tc>
          <w:tcPr>
            <w:tcW w:w="3152" w:type="dxa"/>
            <w:tcBorders>
              <w:top w:val="single" w:sz="4" w:space="0" w:color="000000"/>
              <w:bottom w:val="double" w:sz="8" w:space="0" w:color="000000"/>
            </w:tcBorders>
            <w:shd w:val="clear" w:color="auto" w:fill="CCEDFF"/>
          </w:tcPr>
          <w:p>
            <w:pPr>
              <w:pStyle w:val="TableParagraph"/>
              <w:spacing w:line="164" w:lineRule="exact" w:before="36"/>
              <w:ind w:left="52"/>
              <w:rPr>
                <w:sz w:val="16"/>
              </w:rPr>
            </w:pPr>
            <w:r>
              <w:rPr>
                <w:sz w:val="16"/>
              </w:rPr>
              <w:t>Balance</w:t>
            </w:r>
            <w:r>
              <w:rPr>
                <w:spacing w:val="-1"/>
                <w:sz w:val="16"/>
              </w:rPr>
              <w:t> </w:t>
            </w:r>
            <w:r>
              <w:rPr>
                <w:sz w:val="16"/>
              </w:rPr>
              <w:t>at September 30, </w:t>
            </w:r>
            <w:r>
              <w:rPr>
                <w:spacing w:val="-4"/>
                <w:sz w:val="16"/>
              </w:rPr>
              <w:t>2023</w:t>
            </w:r>
          </w:p>
        </w:tc>
        <w:tc>
          <w:tcPr>
            <w:tcW w:w="781" w:type="dxa"/>
            <w:tcBorders>
              <w:top w:val="single" w:sz="4" w:space="0" w:color="000000"/>
              <w:bottom w:val="double" w:sz="8" w:space="0" w:color="000000"/>
            </w:tcBorders>
            <w:shd w:val="clear" w:color="auto" w:fill="CCEDFF"/>
          </w:tcPr>
          <w:p>
            <w:pPr>
              <w:pStyle w:val="TableParagraph"/>
              <w:spacing w:line="164" w:lineRule="exact" w:before="36"/>
              <w:ind w:right="99"/>
              <w:jc w:val="right"/>
              <w:rPr>
                <w:sz w:val="16"/>
              </w:rPr>
            </w:pPr>
            <w:r>
              <w:rPr>
                <w:sz w:val="16"/>
              </w:rPr>
              <w:t>$</w:t>
            </w:r>
            <w:r>
              <w:rPr>
                <w:spacing w:val="32"/>
                <w:sz w:val="16"/>
              </w:rPr>
              <w:t>  </w:t>
            </w:r>
            <w:r>
              <w:rPr>
                <w:spacing w:val="-2"/>
                <w:sz w:val="16"/>
              </w:rPr>
              <w:t>9,191</w:t>
            </w:r>
          </w:p>
        </w:tc>
        <w:tc>
          <w:tcPr>
            <w:tcW w:w="546" w:type="dxa"/>
            <w:tcBorders>
              <w:top w:val="single" w:sz="4" w:space="0" w:color="000000"/>
              <w:bottom w:val="double" w:sz="8" w:space="0" w:color="000000"/>
            </w:tcBorders>
            <w:shd w:val="clear" w:color="auto" w:fill="CCEDFF"/>
          </w:tcPr>
          <w:p>
            <w:pPr>
              <w:pStyle w:val="TableParagraph"/>
              <w:spacing w:line="164" w:lineRule="exact" w:before="36"/>
              <w:ind w:right="60"/>
              <w:jc w:val="right"/>
              <w:rPr>
                <w:sz w:val="16"/>
              </w:rPr>
            </w:pPr>
            <w:r>
              <w:rPr>
                <w:spacing w:val="-2"/>
                <w:sz w:val="16"/>
              </w:rPr>
              <w:t>2,023</w:t>
            </w:r>
          </w:p>
        </w:tc>
        <w:tc>
          <w:tcPr>
            <w:tcW w:w="671" w:type="dxa"/>
            <w:tcBorders>
              <w:top w:val="single" w:sz="4" w:space="0" w:color="000000"/>
              <w:bottom w:val="double" w:sz="8" w:space="0" w:color="000000"/>
            </w:tcBorders>
            <w:shd w:val="clear" w:color="auto" w:fill="CCEDFF"/>
          </w:tcPr>
          <w:p>
            <w:pPr>
              <w:pStyle w:val="TableParagraph"/>
              <w:tabs>
                <w:tab w:pos="364" w:val="left" w:leader="none"/>
              </w:tabs>
              <w:spacing w:line="164" w:lineRule="exact" w:before="36"/>
              <w:ind w:right="86"/>
              <w:jc w:val="right"/>
              <w:rPr>
                <w:sz w:val="16"/>
              </w:rPr>
            </w:pPr>
            <w:r>
              <w:rPr>
                <w:spacing w:val="-10"/>
                <w:sz w:val="16"/>
              </w:rPr>
              <w:t>$</w:t>
            </w:r>
            <w:r>
              <w:rPr>
                <w:sz w:val="16"/>
              </w:rPr>
              <w:tab/>
            </w:r>
            <w:r>
              <w:rPr>
                <w:spacing w:val="-5"/>
                <w:sz w:val="16"/>
              </w:rPr>
              <w:t>20</w:t>
            </w:r>
          </w:p>
        </w:tc>
        <w:tc>
          <w:tcPr>
            <w:tcW w:w="618" w:type="dxa"/>
            <w:tcBorders>
              <w:top w:val="single" w:sz="4" w:space="0" w:color="000000"/>
              <w:bottom w:val="double" w:sz="8" w:space="0" w:color="000000"/>
            </w:tcBorders>
            <w:shd w:val="clear" w:color="auto" w:fill="CCEDFF"/>
          </w:tcPr>
          <w:p>
            <w:pPr>
              <w:pStyle w:val="TableParagraph"/>
              <w:spacing w:line="164" w:lineRule="exact" w:before="36"/>
              <w:ind w:right="89"/>
              <w:jc w:val="right"/>
              <w:rPr>
                <w:sz w:val="16"/>
              </w:rPr>
            </w:pPr>
            <w:r>
              <w:rPr>
                <w:spacing w:val="-5"/>
                <w:sz w:val="16"/>
              </w:rPr>
              <w:t>51</w:t>
            </w:r>
          </w:p>
        </w:tc>
        <w:tc>
          <w:tcPr>
            <w:tcW w:w="635" w:type="dxa"/>
            <w:tcBorders>
              <w:top w:val="single" w:sz="4" w:space="0" w:color="000000"/>
              <w:bottom w:val="double" w:sz="8" w:space="0" w:color="000000"/>
            </w:tcBorders>
            <w:shd w:val="clear" w:color="auto" w:fill="CCEDFF"/>
          </w:tcPr>
          <w:p>
            <w:pPr>
              <w:pStyle w:val="TableParagraph"/>
              <w:tabs>
                <w:tab w:pos="459" w:val="left" w:leader="none"/>
              </w:tabs>
              <w:spacing w:line="164" w:lineRule="exact" w:before="36"/>
              <w:ind w:right="64"/>
              <w:jc w:val="right"/>
              <w:rPr>
                <w:sz w:val="16"/>
              </w:rPr>
            </w:pPr>
            <w:r>
              <w:rPr>
                <w:spacing w:val="-10"/>
                <w:sz w:val="16"/>
              </w:rPr>
              <w:t>$</w:t>
            </w:r>
            <w:r>
              <w:rPr>
                <w:sz w:val="16"/>
              </w:rPr>
              <w:tab/>
            </w:r>
            <w:r>
              <w:rPr>
                <w:spacing w:val="-10"/>
                <w:sz w:val="16"/>
              </w:rPr>
              <w:t>1</w:t>
            </w:r>
          </w:p>
        </w:tc>
        <w:tc>
          <w:tcPr>
            <w:tcW w:w="868" w:type="dxa"/>
            <w:tcBorders>
              <w:top w:val="single" w:sz="4" w:space="0" w:color="000000"/>
              <w:bottom w:val="double" w:sz="8" w:space="0" w:color="000000"/>
            </w:tcBorders>
            <w:shd w:val="clear" w:color="auto" w:fill="CCEDFF"/>
          </w:tcPr>
          <w:p>
            <w:pPr>
              <w:pStyle w:val="TableParagraph"/>
              <w:spacing w:line="164" w:lineRule="exact" w:before="36"/>
              <w:ind w:left="54"/>
              <w:rPr>
                <w:sz w:val="16"/>
              </w:rPr>
            </w:pPr>
            <w:r>
              <w:rPr>
                <w:sz w:val="16"/>
              </w:rPr>
              <w:t>$</w:t>
            </w:r>
            <w:r>
              <w:rPr>
                <w:spacing w:val="59"/>
                <w:sz w:val="16"/>
              </w:rPr>
              <w:t>  </w:t>
            </w:r>
            <w:r>
              <w:rPr>
                <w:spacing w:val="-2"/>
                <w:sz w:val="16"/>
              </w:rPr>
              <w:t>27,293</w:t>
            </w:r>
          </w:p>
        </w:tc>
        <w:tc>
          <w:tcPr>
            <w:tcW w:w="737" w:type="dxa"/>
            <w:tcBorders>
              <w:top w:val="single" w:sz="4" w:space="0" w:color="000000"/>
              <w:bottom w:val="double" w:sz="8" w:space="0" w:color="000000"/>
            </w:tcBorders>
            <w:shd w:val="clear" w:color="auto" w:fill="CCEDFF"/>
          </w:tcPr>
          <w:p>
            <w:pPr>
              <w:pStyle w:val="TableParagraph"/>
              <w:spacing w:line="164" w:lineRule="exact" w:before="36"/>
              <w:ind w:right="94"/>
              <w:jc w:val="right"/>
              <w:rPr>
                <w:sz w:val="16"/>
              </w:rPr>
            </w:pPr>
            <w:r>
              <w:rPr>
                <w:sz w:val="16"/>
              </w:rPr>
              <w:t>$</w:t>
            </w:r>
            <w:r>
              <w:rPr>
                <w:spacing w:val="54"/>
                <w:sz w:val="16"/>
              </w:rPr>
              <w:t> </w:t>
            </w:r>
            <w:r>
              <w:rPr>
                <w:spacing w:val="-2"/>
                <w:sz w:val="16"/>
              </w:rPr>
              <w:t>33,429</w:t>
            </w:r>
          </w:p>
        </w:tc>
        <w:tc>
          <w:tcPr>
            <w:tcW w:w="2623" w:type="dxa"/>
            <w:tcBorders>
              <w:top w:val="single" w:sz="4" w:space="0" w:color="000000"/>
              <w:bottom w:val="double" w:sz="8" w:space="0" w:color="000000"/>
            </w:tcBorders>
            <w:shd w:val="clear" w:color="auto" w:fill="CCEDFF"/>
          </w:tcPr>
          <w:p>
            <w:pPr>
              <w:pStyle w:val="TableParagraph"/>
              <w:tabs>
                <w:tab w:pos="1275" w:val="left" w:leader="none"/>
              </w:tabs>
              <w:spacing w:line="164" w:lineRule="exact" w:before="36"/>
              <w:ind w:right="77"/>
              <w:jc w:val="right"/>
              <w:rPr>
                <w:sz w:val="16"/>
              </w:rPr>
            </w:pPr>
            <w:r>
              <w:rPr>
                <w:sz w:val="16"/>
              </w:rPr>
              <w:t>$ (11,398)</w:t>
            </w:r>
            <w:r>
              <w:rPr>
                <w:spacing w:val="27"/>
                <w:sz w:val="16"/>
              </w:rPr>
              <w:t> </w:t>
            </w:r>
            <w:r>
              <w:rPr>
                <w:spacing w:val="-10"/>
                <w:sz w:val="16"/>
              </w:rPr>
              <w:t>$</w:t>
            </w:r>
            <w:r>
              <w:rPr>
                <w:sz w:val="16"/>
              </w:rPr>
              <w:tab/>
              <w:t>(20,752)</w:t>
            </w:r>
            <w:r>
              <w:rPr>
                <w:spacing w:val="27"/>
                <w:sz w:val="16"/>
              </w:rPr>
              <w:t> </w:t>
            </w:r>
            <w:r>
              <w:rPr>
                <w:sz w:val="16"/>
              </w:rPr>
              <w:t>$</w:t>
            </w:r>
            <w:r>
              <w:rPr>
                <w:spacing w:val="69"/>
                <w:sz w:val="16"/>
              </w:rPr>
              <w:t> </w:t>
            </w:r>
            <w:r>
              <w:rPr>
                <w:spacing w:val="-2"/>
                <w:sz w:val="16"/>
              </w:rPr>
              <w:t>37,784</w:t>
            </w:r>
          </w:p>
        </w:tc>
      </w:tr>
    </w:tbl>
    <w:p>
      <w:pPr>
        <w:pStyle w:val="BodyText"/>
        <w:spacing w:before="36"/>
        <w:rPr>
          <w:i/>
          <w:sz w:val="18"/>
        </w:rPr>
      </w:pPr>
    </w:p>
    <w:p>
      <w:pPr>
        <w:spacing w:before="0"/>
        <w:ind w:left="290" w:right="0" w:firstLine="0"/>
        <w:jc w:val="left"/>
        <w:rPr>
          <w:sz w:val="18"/>
        </w:rPr>
      </w:pPr>
      <w:r>
        <w:rPr>
          <w:i/>
          <w:sz w:val="18"/>
        </w:rPr>
        <w:t>See</w:t>
      </w:r>
      <w:r>
        <w:rPr>
          <w:i/>
          <w:spacing w:val="-1"/>
          <w:sz w:val="18"/>
        </w:rPr>
        <w:t> </w:t>
      </w:r>
      <w:r>
        <w:rPr>
          <w:i/>
          <w:sz w:val="18"/>
        </w:rPr>
        <w:t>Notes</w:t>
      </w:r>
      <w:r>
        <w:rPr>
          <w:i/>
          <w:spacing w:val="-1"/>
          <w:sz w:val="18"/>
        </w:rPr>
        <w:t> </w:t>
      </w:r>
      <w:r>
        <w:rPr>
          <w:i/>
          <w:sz w:val="18"/>
        </w:rPr>
        <w:t>to the</w:t>
      </w:r>
      <w:r>
        <w:rPr>
          <w:i/>
          <w:spacing w:val="-1"/>
          <w:sz w:val="18"/>
        </w:rPr>
        <w:t> </w:t>
      </w:r>
      <w:r>
        <w:rPr>
          <w:i/>
          <w:sz w:val="18"/>
        </w:rPr>
        <w:t>Condensed Consolidated Financial </w:t>
      </w:r>
      <w:r>
        <w:rPr>
          <w:i/>
          <w:spacing w:val="-2"/>
          <w:sz w:val="18"/>
        </w:rPr>
        <w:t>Statements</w:t>
      </w:r>
      <w:r>
        <w:rPr>
          <w:spacing w:val="-2"/>
          <w:sz w:val="18"/>
        </w:rPr>
        <w:t>.</w:t>
      </w:r>
    </w:p>
    <w:p>
      <w:pPr>
        <w:spacing w:after="0"/>
        <w:jc w:val="left"/>
        <w:rPr>
          <w:sz w:val="18"/>
        </w:rPr>
        <w:sectPr>
          <w:pgSz w:w="12240" w:h="15840"/>
          <w:pgMar w:header="467" w:footer="201" w:top="1320" w:bottom="400" w:left="520" w:right="520"/>
        </w:sectPr>
      </w:pPr>
    </w:p>
    <w:p>
      <w:pPr>
        <w:spacing w:line="208" w:lineRule="auto" w:before="152" w:after="35"/>
        <w:ind w:left="8991" w:right="761" w:hanging="205"/>
        <w:jc w:val="left"/>
        <w:rPr>
          <w:sz w:val="18"/>
        </w:rPr>
      </w:pPr>
      <w:bookmarkStart w:name="Cash Flows" w:id="36"/>
      <w:bookmarkEnd w:id="36"/>
      <w:r>
        <w:rPr/>
      </w:r>
      <w:bookmarkStart w:name="_bookmark6" w:id="37"/>
      <w:bookmarkEnd w:id="37"/>
      <w:r>
        <w:rPr/>
      </w:r>
      <w:r>
        <w:rPr>
          <w:sz w:val="18"/>
        </w:rPr>
        <w:t>Nine</w:t>
      </w:r>
      <w:r>
        <w:rPr>
          <w:spacing w:val="-12"/>
          <w:sz w:val="18"/>
        </w:rPr>
        <w:t> </w:t>
      </w:r>
      <w:r>
        <w:rPr>
          <w:sz w:val="18"/>
        </w:rPr>
        <w:t>Months</w:t>
      </w:r>
      <w:r>
        <w:rPr>
          <w:spacing w:val="-11"/>
          <w:sz w:val="18"/>
        </w:rPr>
        <w:t> </w:t>
      </w:r>
      <w:r>
        <w:rPr>
          <w:sz w:val="18"/>
        </w:rPr>
        <w:t>Ended September 30,</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85"/>
        <w:gridCol w:w="1256"/>
        <w:gridCol w:w="1218"/>
      </w:tblGrid>
      <w:tr>
        <w:trPr>
          <w:trHeight w:val="245" w:hRule="atLeast"/>
        </w:trPr>
        <w:tc>
          <w:tcPr>
            <w:tcW w:w="7785" w:type="dxa"/>
            <w:tcBorders>
              <w:bottom w:val="single" w:sz="4" w:space="0" w:color="000000"/>
            </w:tcBorders>
          </w:tcPr>
          <w:p>
            <w:pPr>
              <w:pStyle w:val="TableParagraph"/>
              <w:rPr>
                <w:sz w:val="16"/>
              </w:rPr>
            </w:pPr>
          </w:p>
        </w:tc>
        <w:tc>
          <w:tcPr>
            <w:tcW w:w="1256" w:type="dxa"/>
            <w:tcBorders>
              <w:top w:val="single" w:sz="4" w:space="0" w:color="000000"/>
              <w:bottom w:val="single" w:sz="4" w:space="0" w:color="000000"/>
            </w:tcBorders>
          </w:tcPr>
          <w:p>
            <w:pPr>
              <w:pStyle w:val="TableParagraph"/>
              <w:spacing w:before="13"/>
              <w:ind w:right="55"/>
              <w:jc w:val="center"/>
              <w:rPr>
                <w:sz w:val="18"/>
              </w:rPr>
            </w:pPr>
            <w:r>
              <w:rPr>
                <w:spacing w:val="-4"/>
                <w:sz w:val="18"/>
              </w:rPr>
              <w:t>2023</w:t>
            </w:r>
          </w:p>
        </w:tc>
        <w:tc>
          <w:tcPr>
            <w:tcW w:w="1218" w:type="dxa"/>
            <w:tcBorders>
              <w:top w:val="single" w:sz="4" w:space="0" w:color="000000"/>
              <w:bottom w:val="single" w:sz="4" w:space="0" w:color="000000"/>
            </w:tcBorders>
          </w:tcPr>
          <w:p>
            <w:pPr>
              <w:pStyle w:val="TableParagraph"/>
              <w:spacing w:before="13"/>
              <w:ind w:left="20"/>
              <w:jc w:val="center"/>
              <w:rPr>
                <w:sz w:val="18"/>
              </w:rPr>
            </w:pPr>
            <w:r>
              <w:rPr>
                <w:spacing w:val="-4"/>
                <w:sz w:val="18"/>
              </w:rPr>
              <w:t>2022</w:t>
            </w:r>
          </w:p>
        </w:tc>
      </w:tr>
      <w:tr>
        <w:trPr>
          <w:trHeight w:val="250" w:hRule="atLeast"/>
        </w:trPr>
        <w:tc>
          <w:tcPr>
            <w:tcW w:w="7785" w:type="dxa"/>
            <w:tcBorders>
              <w:top w:val="single" w:sz="4" w:space="0" w:color="000000"/>
            </w:tcBorders>
          </w:tcPr>
          <w:p>
            <w:pPr>
              <w:pStyle w:val="TableParagraph"/>
              <w:spacing w:before="13"/>
              <w:ind w:left="52"/>
              <w:rPr>
                <w:b/>
                <w:sz w:val="18"/>
              </w:rPr>
            </w:pPr>
            <w:r>
              <w:rPr>
                <w:b/>
                <w:sz w:val="18"/>
              </w:rPr>
              <w:t>Cash</w:t>
            </w:r>
            <w:r>
              <w:rPr>
                <w:b/>
                <w:spacing w:val="-3"/>
                <w:sz w:val="18"/>
              </w:rPr>
              <w:t> </w:t>
            </w:r>
            <w:r>
              <w:rPr>
                <w:b/>
                <w:sz w:val="18"/>
              </w:rPr>
              <w:t>Flows</w:t>
            </w:r>
            <w:r>
              <w:rPr>
                <w:b/>
                <w:spacing w:val="-2"/>
                <w:sz w:val="18"/>
              </w:rPr>
              <w:t> </w:t>
            </w:r>
            <w:r>
              <w:rPr>
                <w:b/>
                <w:sz w:val="18"/>
              </w:rPr>
              <w:t>from</w:t>
            </w:r>
            <w:r>
              <w:rPr>
                <w:b/>
                <w:spacing w:val="-1"/>
                <w:sz w:val="18"/>
              </w:rPr>
              <w:t> </w:t>
            </w:r>
            <w:r>
              <w:rPr>
                <w:b/>
                <w:sz w:val="18"/>
              </w:rPr>
              <w:t>Operating</w:t>
            </w:r>
            <w:r>
              <w:rPr>
                <w:b/>
                <w:spacing w:val="-1"/>
                <w:sz w:val="18"/>
              </w:rPr>
              <w:t> </w:t>
            </w:r>
            <w:r>
              <w:rPr>
                <w:b/>
                <w:spacing w:val="-2"/>
                <w:sz w:val="18"/>
              </w:rPr>
              <w:t>Activities</w:t>
            </w:r>
          </w:p>
        </w:tc>
        <w:tc>
          <w:tcPr>
            <w:tcW w:w="1256" w:type="dxa"/>
            <w:tcBorders>
              <w:top w:val="single" w:sz="4" w:space="0" w:color="000000"/>
            </w:tcBorders>
          </w:tcPr>
          <w:p>
            <w:pPr>
              <w:pStyle w:val="TableParagraph"/>
              <w:rPr>
                <w:sz w:val="18"/>
              </w:rPr>
            </w:pPr>
          </w:p>
        </w:tc>
        <w:tc>
          <w:tcPr>
            <w:tcW w:w="1218" w:type="dxa"/>
            <w:tcBorders>
              <w:top w:val="single" w:sz="4" w:space="0" w:color="000000"/>
            </w:tcBorders>
          </w:tcPr>
          <w:p>
            <w:pPr>
              <w:pStyle w:val="TableParagraph"/>
              <w:rPr>
                <w:sz w:val="18"/>
              </w:rPr>
            </w:pPr>
          </w:p>
        </w:tc>
      </w:tr>
      <w:tr>
        <w:trPr>
          <w:trHeight w:val="240" w:hRule="atLeast"/>
        </w:trPr>
        <w:tc>
          <w:tcPr>
            <w:tcW w:w="7785" w:type="dxa"/>
            <w:shd w:val="clear" w:color="auto" w:fill="CCEDFF"/>
          </w:tcPr>
          <w:p>
            <w:pPr>
              <w:pStyle w:val="TableParagraph"/>
              <w:spacing w:before="3"/>
              <w:ind w:left="187"/>
              <w:rPr>
                <w:sz w:val="18"/>
              </w:rPr>
            </w:pPr>
            <w:r>
              <w:rPr>
                <w:sz w:val="18"/>
              </w:rPr>
              <w:t>Net</w:t>
            </w:r>
            <w:r>
              <w:rPr>
                <w:spacing w:val="-1"/>
                <w:sz w:val="18"/>
              </w:rPr>
              <w:t> </w:t>
            </w:r>
            <w:r>
              <w:rPr>
                <w:spacing w:val="-2"/>
                <w:sz w:val="18"/>
              </w:rPr>
              <w:t>income</w:t>
            </w:r>
          </w:p>
        </w:tc>
        <w:tc>
          <w:tcPr>
            <w:tcW w:w="1256" w:type="dxa"/>
            <w:shd w:val="clear" w:color="auto" w:fill="CCEDFF"/>
          </w:tcPr>
          <w:p>
            <w:pPr>
              <w:pStyle w:val="TableParagraph"/>
              <w:tabs>
                <w:tab w:pos="719" w:val="left" w:leader="none"/>
              </w:tabs>
              <w:spacing w:before="3"/>
              <w:ind w:left="52"/>
              <w:rPr>
                <w:sz w:val="18"/>
              </w:rPr>
            </w:pPr>
            <w:r>
              <w:rPr>
                <w:spacing w:val="-10"/>
                <w:sz w:val="18"/>
              </w:rPr>
              <w:t>$</w:t>
            </w:r>
            <w:r>
              <w:rPr>
                <w:sz w:val="18"/>
              </w:rPr>
              <w:tab/>
            </w:r>
            <w:r>
              <w:rPr>
                <w:spacing w:val="-2"/>
                <w:sz w:val="18"/>
              </w:rPr>
              <w:t>4,022</w:t>
            </w:r>
          </w:p>
        </w:tc>
        <w:tc>
          <w:tcPr>
            <w:tcW w:w="1218" w:type="dxa"/>
            <w:shd w:val="clear" w:color="auto" w:fill="CCEDFF"/>
          </w:tcPr>
          <w:p>
            <w:pPr>
              <w:pStyle w:val="TableParagraph"/>
              <w:tabs>
                <w:tab w:pos="667" w:val="left" w:leader="none"/>
              </w:tabs>
              <w:spacing w:before="3"/>
              <w:ind w:right="71"/>
              <w:jc w:val="right"/>
              <w:rPr>
                <w:sz w:val="18"/>
              </w:rPr>
            </w:pPr>
            <w:r>
              <w:rPr>
                <w:spacing w:val="-10"/>
                <w:sz w:val="18"/>
              </w:rPr>
              <w:t>$</w:t>
            </w:r>
            <w:r>
              <w:rPr>
                <w:sz w:val="18"/>
              </w:rPr>
              <w:tab/>
            </w:r>
            <w:r>
              <w:rPr>
                <w:spacing w:val="-2"/>
                <w:sz w:val="18"/>
              </w:rPr>
              <w:t>5,215</w:t>
            </w:r>
          </w:p>
        </w:tc>
      </w:tr>
      <w:tr>
        <w:trPr>
          <w:trHeight w:val="240" w:hRule="atLeast"/>
        </w:trPr>
        <w:tc>
          <w:tcPr>
            <w:tcW w:w="7785" w:type="dxa"/>
          </w:tcPr>
          <w:p>
            <w:pPr>
              <w:pStyle w:val="TableParagraph"/>
              <w:spacing w:before="3"/>
              <w:ind w:left="277"/>
              <w:rPr>
                <w:sz w:val="18"/>
              </w:rPr>
            </w:pPr>
            <w:r>
              <w:rPr>
                <w:sz w:val="18"/>
              </w:rPr>
              <w:t>Adjustments</w:t>
            </w:r>
            <w:r>
              <w:rPr>
                <w:spacing w:val="-2"/>
                <w:sz w:val="18"/>
              </w:rPr>
              <w:t> </w:t>
            </w:r>
            <w:r>
              <w:rPr>
                <w:sz w:val="18"/>
              </w:rPr>
              <w:t>to reconcile net</w:t>
            </w:r>
            <w:r>
              <w:rPr>
                <w:spacing w:val="-1"/>
                <w:sz w:val="18"/>
              </w:rPr>
              <w:t> </w:t>
            </w:r>
            <w:r>
              <w:rPr>
                <w:sz w:val="18"/>
              </w:rPr>
              <w:t>income to net</w:t>
            </w:r>
            <w:r>
              <w:rPr>
                <w:spacing w:val="-1"/>
                <w:sz w:val="18"/>
              </w:rPr>
              <w:t> </w:t>
            </w:r>
            <w:r>
              <w:rPr>
                <w:sz w:val="18"/>
              </w:rPr>
              <w:t>cash provided by</w:t>
            </w:r>
            <w:r>
              <w:rPr>
                <w:spacing w:val="-1"/>
                <w:sz w:val="18"/>
              </w:rPr>
              <w:t> </w:t>
            </w:r>
            <w:r>
              <w:rPr>
                <w:sz w:val="18"/>
              </w:rPr>
              <w:t>(used for) operating </w:t>
            </w:r>
            <w:r>
              <w:rPr>
                <w:spacing w:val="-2"/>
                <w:sz w:val="18"/>
              </w:rPr>
              <w:t>activities:</w:t>
            </w:r>
          </w:p>
        </w:tc>
        <w:tc>
          <w:tcPr>
            <w:tcW w:w="1256" w:type="dxa"/>
          </w:tcPr>
          <w:p>
            <w:pPr>
              <w:pStyle w:val="TableParagraph"/>
              <w:rPr>
                <w:sz w:val="16"/>
              </w:rPr>
            </w:pPr>
          </w:p>
        </w:tc>
        <w:tc>
          <w:tcPr>
            <w:tcW w:w="1218" w:type="dxa"/>
          </w:tcPr>
          <w:p>
            <w:pPr>
              <w:pStyle w:val="TableParagraph"/>
              <w:rPr>
                <w:sz w:val="16"/>
              </w:rPr>
            </w:pPr>
          </w:p>
        </w:tc>
      </w:tr>
      <w:tr>
        <w:trPr>
          <w:trHeight w:val="240" w:hRule="atLeast"/>
        </w:trPr>
        <w:tc>
          <w:tcPr>
            <w:tcW w:w="7785" w:type="dxa"/>
            <w:shd w:val="clear" w:color="auto" w:fill="CCEDFF"/>
          </w:tcPr>
          <w:p>
            <w:pPr>
              <w:pStyle w:val="TableParagraph"/>
              <w:spacing w:before="3"/>
              <w:ind w:left="547"/>
              <w:rPr>
                <w:sz w:val="18"/>
              </w:rPr>
            </w:pPr>
            <w:r>
              <w:rPr>
                <w:sz w:val="18"/>
              </w:rPr>
              <w:t>Share-based</w:t>
            </w:r>
            <w:r>
              <w:rPr>
                <w:spacing w:val="-2"/>
                <w:sz w:val="18"/>
              </w:rPr>
              <w:t> compensation</w:t>
            </w:r>
          </w:p>
        </w:tc>
        <w:tc>
          <w:tcPr>
            <w:tcW w:w="1256" w:type="dxa"/>
            <w:shd w:val="clear" w:color="auto" w:fill="CCEDFF"/>
          </w:tcPr>
          <w:p>
            <w:pPr>
              <w:pStyle w:val="TableParagraph"/>
              <w:spacing w:before="3"/>
              <w:ind w:right="128"/>
              <w:jc w:val="right"/>
              <w:rPr>
                <w:sz w:val="18"/>
              </w:rPr>
            </w:pPr>
            <w:r>
              <w:rPr>
                <w:spacing w:val="-5"/>
                <w:sz w:val="18"/>
              </w:rPr>
              <w:t>260</w:t>
            </w:r>
          </w:p>
        </w:tc>
        <w:tc>
          <w:tcPr>
            <w:tcW w:w="1218" w:type="dxa"/>
            <w:shd w:val="clear" w:color="auto" w:fill="CCEDFF"/>
          </w:tcPr>
          <w:p>
            <w:pPr>
              <w:pStyle w:val="TableParagraph"/>
              <w:spacing w:before="3"/>
              <w:ind w:right="71"/>
              <w:jc w:val="right"/>
              <w:rPr>
                <w:sz w:val="18"/>
              </w:rPr>
            </w:pPr>
            <w:r>
              <w:rPr>
                <w:spacing w:val="-5"/>
                <w:sz w:val="18"/>
              </w:rPr>
              <w:t>281</w:t>
            </w:r>
          </w:p>
        </w:tc>
      </w:tr>
      <w:tr>
        <w:trPr>
          <w:trHeight w:val="240" w:hRule="atLeast"/>
        </w:trPr>
        <w:tc>
          <w:tcPr>
            <w:tcW w:w="7785" w:type="dxa"/>
          </w:tcPr>
          <w:p>
            <w:pPr>
              <w:pStyle w:val="TableParagraph"/>
              <w:spacing w:before="3"/>
              <w:ind w:left="547"/>
              <w:rPr>
                <w:sz w:val="18"/>
              </w:rPr>
            </w:pPr>
            <w:r>
              <w:rPr>
                <w:sz w:val="18"/>
              </w:rPr>
              <w:t>Depreciation</w:t>
            </w:r>
            <w:r>
              <w:rPr>
                <w:spacing w:val="-3"/>
                <w:sz w:val="18"/>
              </w:rPr>
              <w:t> </w:t>
            </w:r>
            <w:r>
              <w:rPr>
                <w:sz w:val="18"/>
              </w:rPr>
              <w:t>and </w:t>
            </w:r>
            <w:r>
              <w:rPr>
                <w:spacing w:val="-2"/>
                <w:sz w:val="18"/>
              </w:rPr>
              <w:t>amortization</w:t>
            </w:r>
          </w:p>
        </w:tc>
        <w:tc>
          <w:tcPr>
            <w:tcW w:w="1256" w:type="dxa"/>
          </w:tcPr>
          <w:p>
            <w:pPr>
              <w:pStyle w:val="TableParagraph"/>
              <w:spacing w:before="3"/>
              <w:ind w:right="128"/>
              <w:jc w:val="right"/>
              <w:rPr>
                <w:sz w:val="18"/>
              </w:rPr>
            </w:pPr>
            <w:r>
              <w:rPr>
                <w:spacing w:val="-5"/>
                <w:sz w:val="18"/>
              </w:rPr>
              <w:t>566</w:t>
            </w:r>
          </w:p>
        </w:tc>
        <w:tc>
          <w:tcPr>
            <w:tcW w:w="1218" w:type="dxa"/>
          </w:tcPr>
          <w:p>
            <w:pPr>
              <w:pStyle w:val="TableParagraph"/>
              <w:spacing w:before="3"/>
              <w:ind w:right="71"/>
              <w:jc w:val="right"/>
              <w:rPr>
                <w:sz w:val="18"/>
              </w:rPr>
            </w:pPr>
            <w:r>
              <w:rPr>
                <w:spacing w:val="-5"/>
                <w:sz w:val="18"/>
              </w:rPr>
              <w:t>476</w:t>
            </w:r>
          </w:p>
        </w:tc>
      </w:tr>
      <w:tr>
        <w:trPr>
          <w:trHeight w:val="240" w:hRule="atLeast"/>
        </w:trPr>
        <w:tc>
          <w:tcPr>
            <w:tcW w:w="7785" w:type="dxa"/>
            <w:shd w:val="clear" w:color="auto" w:fill="CCEDFF"/>
          </w:tcPr>
          <w:p>
            <w:pPr>
              <w:pStyle w:val="TableParagraph"/>
              <w:spacing w:before="3"/>
              <w:ind w:left="547"/>
              <w:rPr>
                <w:sz w:val="18"/>
              </w:rPr>
            </w:pPr>
            <w:r>
              <w:rPr>
                <w:sz w:val="18"/>
              </w:rPr>
              <w:t>Amortization</w:t>
            </w:r>
            <w:r>
              <w:rPr>
                <w:spacing w:val="-1"/>
                <w:sz w:val="18"/>
              </w:rPr>
              <w:t> </w:t>
            </w:r>
            <w:r>
              <w:rPr>
                <w:sz w:val="18"/>
              </w:rPr>
              <w:t>of acquired intangible </w:t>
            </w:r>
            <w:r>
              <w:rPr>
                <w:spacing w:val="-2"/>
                <w:sz w:val="18"/>
              </w:rPr>
              <w:t>assets</w:t>
            </w:r>
          </w:p>
        </w:tc>
        <w:tc>
          <w:tcPr>
            <w:tcW w:w="1256" w:type="dxa"/>
            <w:shd w:val="clear" w:color="auto" w:fill="CCEDFF"/>
          </w:tcPr>
          <w:p>
            <w:pPr>
              <w:pStyle w:val="TableParagraph"/>
              <w:spacing w:before="3"/>
              <w:ind w:right="128"/>
              <w:jc w:val="right"/>
              <w:rPr>
                <w:sz w:val="18"/>
              </w:rPr>
            </w:pPr>
            <w:r>
              <w:rPr>
                <w:spacing w:val="-5"/>
                <w:sz w:val="18"/>
              </w:rPr>
              <w:t>404</w:t>
            </w:r>
          </w:p>
        </w:tc>
        <w:tc>
          <w:tcPr>
            <w:tcW w:w="1218" w:type="dxa"/>
            <w:shd w:val="clear" w:color="auto" w:fill="CCEDFF"/>
          </w:tcPr>
          <w:p>
            <w:pPr>
              <w:pStyle w:val="TableParagraph"/>
              <w:spacing w:before="3"/>
              <w:ind w:right="71"/>
              <w:jc w:val="right"/>
              <w:rPr>
                <w:sz w:val="18"/>
              </w:rPr>
            </w:pPr>
            <w:r>
              <w:rPr>
                <w:spacing w:val="-5"/>
                <w:sz w:val="18"/>
              </w:rPr>
              <w:t>460</w:t>
            </w:r>
          </w:p>
        </w:tc>
      </w:tr>
      <w:tr>
        <w:trPr>
          <w:trHeight w:val="240" w:hRule="atLeast"/>
        </w:trPr>
        <w:tc>
          <w:tcPr>
            <w:tcW w:w="7785" w:type="dxa"/>
          </w:tcPr>
          <w:p>
            <w:pPr>
              <w:pStyle w:val="TableParagraph"/>
              <w:spacing w:before="3"/>
              <w:ind w:left="547"/>
              <w:rPr>
                <w:sz w:val="18"/>
              </w:rPr>
            </w:pPr>
            <w:r>
              <w:rPr>
                <w:sz w:val="18"/>
              </w:rPr>
              <w:t>Provision</w:t>
            </w:r>
            <w:r>
              <w:rPr>
                <w:spacing w:val="-1"/>
                <w:sz w:val="18"/>
              </w:rPr>
              <w:t> </w:t>
            </w:r>
            <w:r>
              <w:rPr>
                <w:sz w:val="18"/>
              </w:rPr>
              <w:t>(benefit) for</w:t>
            </w:r>
            <w:r>
              <w:rPr>
                <w:spacing w:val="-1"/>
                <w:sz w:val="18"/>
              </w:rPr>
              <w:t> </w:t>
            </w:r>
            <w:r>
              <w:rPr>
                <w:sz w:val="18"/>
              </w:rPr>
              <w:t>deferred income </w:t>
            </w:r>
            <w:r>
              <w:rPr>
                <w:spacing w:val="-2"/>
                <w:sz w:val="18"/>
              </w:rPr>
              <w:t>taxes</w:t>
            </w:r>
          </w:p>
        </w:tc>
        <w:tc>
          <w:tcPr>
            <w:tcW w:w="1256" w:type="dxa"/>
          </w:tcPr>
          <w:p>
            <w:pPr>
              <w:pStyle w:val="TableParagraph"/>
              <w:spacing w:before="3"/>
              <w:ind w:right="128"/>
              <w:jc w:val="right"/>
              <w:rPr>
                <w:sz w:val="18"/>
              </w:rPr>
            </w:pPr>
            <w:r>
              <w:rPr>
                <w:spacing w:val="-10"/>
                <w:sz w:val="18"/>
              </w:rPr>
              <w:t>5</w:t>
            </w:r>
          </w:p>
        </w:tc>
        <w:tc>
          <w:tcPr>
            <w:tcW w:w="1218" w:type="dxa"/>
          </w:tcPr>
          <w:p>
            <w:pPr>
              <w:pStyle w:val="TableParagraph"/>
              <w:spacing w:before="3"/>
              <w:ind w:right="11"/>
              <w:jc w:val="right"/>
              <w:rPr>
                <w:sz w:val="18"/>
              </w:rPr>
            </w:pPr>
            <w:r>
              <w:rPr>
                <w:spacing w:val="-4"/>
                <w:sz w:val="18"/>
              </w:rPr>
              <w:t>(57)</w:t>
            </w:r>
          </w:p>
        </w:tc>
      </w:tr>
      <w:tr>
        <w:trPr>
          <w:trHeight w:val="240" w:hRule="atLeast"/>
        </w:trPr>
        <w:tc>
          <w:tcPr>
            <w:tcW w:w="7785" w:type="dxa"/>
            <w:shd w:val="clear" w:color="auto" w:fill="CCEDFF"/>
          </w:tcPr>
          <w:p>
            <w:pPr>
              <w:pStyle w:val="TableParagraph"/>
              <w:spacing w:before="3"/>
              <w:ind w:left="547"/>
              <w:rPr>
                <w:sz w:val="18"/>
              </w:rPr>
            </w:pPr>
            <w:r>
              <w:rPr>
                <w:sz w:val="18"/>
              </w:rPr>
              <w:t>Premium</w:t>
            </w:r>
            <w:r>
              <w:rPr>
                <w:spacing w:val="-1"/>
                <w:sz w:val="18"/>
              </w:rPr>
              <w:t> </w:t>
            </w:r>
            <w:r>
              <w:rPr>
                <w:sz w:val="18"/>
              </w:rPr>
              <w:t>amortization, net, on available for</w:t>
            </w:r>
            <w:r>
              <w:rPr>
                <w:spacing w:val="-1"/>
                <w:sz w:val="18"/>
              </w:rPr>
              <w:t> </w:t>
            </w:r>
            <w:r>
              <w:rPr>
                <w:sz w:val="18"/>
              </w:rPr>
              <w:t>sale and held to maturity </w:t>
            </w:r>
            <w:r>
              <w:rPr>
                <w:spacing w:val="-2"/>
                <w:sz w:val="18"/>
              </w:rPr>
              <w:t>securities</w:t>
            </w:r>
          </w:p>
        </w:tc>
        <w:tc>
          <w:tcPr>
            <w:tcW w:w="1256" w:type="dxa"/>
            <w:shd w:val="clear" w:color="auto" w:fill="CCEDFF"/>
          </w:tcPr>
          <w:p>
            <w:pPr>
              <w:pStyle w:val="TableParagraph"/>
              <w:spacing w:before="3"/>
              <w:ind w:right="128"/>
              <w:jc w:val="right"/>
              <w:rPr>
                <w:sz w:val="18"/>
              </w:rPr>
            </w:pPr>
            <w:r>
              <w:rPr>
                <w:spacing w:val="-5"/>
                <w:sz w:val="18"/>
              </w:rPr>
              <w:t>614</w:t>
            </w:r>
          </w:p>
        </w:tc>
        <w:tc>
          <w:tcPr>
            <w:tcW w:w="1218" w:type="dxa"/>
            <w:shd w:val="clear" w:color="auto" w:fill="CCEDFF"/>
          </w:tcPr>
          <w:p>
            <w:pPr>
              <w:pStyle w:val="TableParagraph"/>
              <w:spacing w:before="3"/>
              <w:ind w:right="71"/>
              <w:jc w:val="right"/>
              <w:rPr>
                <w:sz w:val="18"/>
              </w:rPr>
            </w:pPr>
            <w:r>
              <w:rPr>
                <w:spacing w:val="-2"/>
                <w:sz w:val="18"/>
              </w:rPr>
              <w:t>1,163</w:t>
            </w:r>
          </w:p>
        </w:tc>
      </w:tr>
      <w:tr>
        <w:trPr>
          <w:trHeight w:val="240" w:hRule="atLeast"/>
        </w:trPr>
        <w:tc>
          <w:tcPr>
            <w:tcW w:w="7785" w:type="dxa"/>
          </w:tcPr>
          <w:p>
            <w:pPr>
              <w:pStyle w:val="TableParagraph"/>
              <w:spacing w:before="3"/>
              <w:ind w:left="547"/>
              <w:rPr>
                <w:sz w:val="18"/>
              </w:rPr>
            </w:pPr>
            <w:r>
              <w:rPr>
                <w:spacing w:val="-2"/>
                <w:sz w:val="18"/>
              </w:rPr>
              <w:t>Other</w:t>
            </w:r>
          </w:p>
        </w:tc>
        <w:tc>
          <w:tcPr>
            <w:tcW w:w="1256" w:type="dxa"/>
          </w:tcPr>
          <w:p>
            <w:pPr>
              <w:pStyle w:val="TableParagraph"/>
              <w:spacing w:before="3"/>
              <w:ind w:right="128"/>
              <w:jc w:val="right"/>
              <w:rPr>
                <w:sz w:val="18"/>
              </w:rPr>
            </w:pPr>
            <w:r>
              <w:rPr>
                <w:spacing w:val="-5"/>
                <w:sz w:val="18"/>
              </w:rPr>
              <w:t>391</w:t>
            </w:r>
          </w:p>
        </w:tc>
        <w:tc>
          <w:tcPr>
            <w:tcW w:w="1218" w:type="dxa"/>
          </w:tcPr>
          <w:p>
            <w:pPr>
              <w:pStyle w:val="TableParagraph"/>
              <w:spacing w:before="3"/>
              <w:ind w:right="71"/>
              <w:jc w:val="right"/>
              <w:rPr>
                <w:sz w:val="18"/>
              </w:rPr>
            </w:pPr>
            <w:r>
              <w:rPr>
                <w:spacing w:val="-5"/>
                <w:sz w:val="18"/>
              </w:rPr>
              <w:t>339</w:t>
            </w:r>
          </w:p>
        </w:tc>
      </w:tr>
      <w:tr>
        <w:trPr>
          <w:trHeight w:val="240" w:hRule="atLeast"/>
        </w:trPr>
        <w:tc>
          <w:tcPr>
            <w:tcW w:w="7785" w:type="dxa"/>
            <w:shd w:val="clear" w:color="auto" w:fill="CCEDFF"/>
          </w:tcPr>
          <w:p>
            <w:pPr>
              <w:pStyle w:val="TableParagraph"/>
              <w:spacing w:before="3"/>
              <w:ind w:left="277"/>
              <w:rPr>
                <w:sz w:val="18"/>
              </w:rPr>
            </w:pPr>
            <w:r>
              <w:rPr>
                <w:sz w:val="18"/>
              </w:rPr>
              <w:t>Net</w:t>
            </w:r>
            <w:r>
              <w:rPr>
                <w:spacing w:val="-1"/>
                <w:sz w:val="18"/>
              </w:rPr>
              <w:t> </w:t>
            </w:r>
            <w:r>
              <w:rPr>
                <w:sz w:val="18"/>
              </w:rPr>
              <w:t>change </w:t>
            </w:r>
            <w:r>
              <w:rPr>
                <w:spacing w:val="-5"/>
                <w:sz w:val="18"/>
              </w:rPr>
              <w:t>in:</w:t>
            </w:r>
          </w:p>
        </w:tc>
        <w:tc>
          <w:tcPr>
            <w:tcW w:w="1256" w:type="dxa"/>
            <w:shd w:val="clear" w:color="auto" w:fill="CCEDFF"/>
          </w:tcPr>
          <w:p>
            <w:pPr>
              <w:pStyle w:val="TableParagraph"/>
              <w:rPr>
                <w:sz w:val="16"/>
              </w:rPr>
            </w:pPr>
          </w:p>
        </w:tc>
        <w:tc>
          <w:tcPr>
            <w:tcW w:w="1218" w:type="dxa"/>
            <w:shd w:val="clear" w:color="auto" w:fill="CCEDFF"/>
          </w:tcPr>
          <w:p>
            <w:pPr>
              <w:pStyle w:val="TableParagraph"/>
              <w:rPr>
                <w:sz w:val="16"/>
              </w:rPr>
            </w:pPr>
          </w:p>
        </w:tc>
      </w:tr>
      <w:tr>
        <w:trPr>
          <w:trHeight w:val="240" w:hRule="atLeast"/>
        </w:trPr>
        <w:tc>
          <w:tcPr>
            <w:tcW w:w="7785" w:type="dxa"/>
          </w:tcPr>
          <w:p>
            <w:pPr>
              <w:pStyle w:val="TableParagraph"/>
              <w:spacing w:before="3"/>
              <w:ind w:left="547"/>
              <w:rPr>
                <w:sz w:val="18"/>
              </w:rPr>
            </w:pPr>
            <w:r>
              <w:rPr>
                <w:sz w:val="18"/>
              </w:rPr>
              <w:t>Investments</w:t>
            </w:r>
            <w:r>
              <w:rPr>
                <w:spacing w:val="-2"/>
                <w:sz w:val="18"/>
              </w:rPr>
              <w:t> </w:t>
            </w:r>
            <w:r>
              <w:rPr>
                <w:sz w:val="18"/>
              </w:rPr>
              <w:t>segregated and</w:t>
            </w:r>
            <w:r>
              <w:rPr>
                <w:spacing w:val="-1"/>
                <w:sz w:val="18"/>
              </w:rPr>
              <w:t> </w:t>
            </w:r>
            <w:r>
              <w:rPr>
                <w:sz w:val="18"/>
              </w:rPr>
              <w:t>on deposit</w:t>
            </w:r>
            <w:r>
              <w:rPr>
                <w:spacing w:val="-1"/>
                <w:sz w:val="18"/>
              </w:rPr>
              <w:t> </w:t>
            </w:r>
            <w:r>
              <w:rPr>
                <w:sz w:val="18"/>
              </w:rPr>
              <w:t>for regulatory </w:t>
            </w:r>
            <w:r>
              <w:rPr>
                <w:spacing w:val="-2"/>
                <w:sz w:val="18"/>
              </w:rPr>
              <w:t>purposes</w:t>
            </w:r>
          </w:p>
        </w:tc>
        <w:tc>
          <w:tcPr>
            <w:tcW w:w="1256" w:type="dxa"/>
          </w:tcPr>
          <w:p>
            <w:pPr>
              <w:pStyle w:val="TableParagraph"/>
              <w:spacing w:before="3"/>
              <w:ind w:right="128"/>
              <w:jc w:val="right"/>
              <w:rPr>
                <w:sz w:val="18"/>
              </w:rPr>
            </w:pPr>
            <w:r>
              <w:rPr>
                <w:spacing w:val="-2"/>
                <w:sz w:val="18"/>
              </w:rPr>
              <w:t>17,539</w:t>
            </w:r>
          </w:p>
        </w:tc>
        <w:tc>
          <w:tcPr>
            <w:tcW w:w="1218" w:type="dxa"/>
          </w:tcPr>
          <w:p>
            <w:pPr>
              <w:pStyle w:val="TableParagraph"/>
              <w:spacing w:before="3"/>
              <w:ind w:right="11"/>
              <w:jc w:val="right"/>
              <w:rPr>
                <w:sz w:val="18"/>
              </w:rPr>
            </w:pPr>
            <w:r>
              <w:rPr>
                <w:spacing w:val="-2"/>
                <w:sz w:val="18"/>
              </w:rPr>
              <w:t>(1,774)</w:t>
            </w:r>
          </w:p>
        </w:tc>
      </w:tr>
      <w:tr>
        <w:trPr>
          <w:trHeight w:val="240" w:hRule="atLeast"/>
        </w:trPr>
        <w:tc>
          <w:tcPr>
            <w:tcW w:w="7785" w:type="dxa"/>
            <w:shd w:val="clear" w:color="auto" w:fill="CCEDFF"/>
          </w:tcPr>
          <w:p>
            <w:pPr>
              <w:pStyle w:val="TableParagraph"/>
              <w:spacing w:before="3"/>
              <w:ind w:left="547"/>
              <w:rPr>
                <w:sz w:val="18"/>
              </w:rPr>
            </w:pPr>
            <w:r>
              <w:rPr>
                <w:sz w:val="18"/>
              </w:rPr>
              <w:t>Receivables</w:t>
            </w:r>
            <w:r>
              <w:rPr>
                <w:spacing w:val="-1"/>
                <w:sz w:val="18"/>
              </w:rPr>
              <w:t> </w:t>
            </w:r>
            <w:r>
              <w:rPr>
                <w:sz w:val="18"/>
              </w:rPr>
              <w:t>from brokerage </w:t>
            </w:r>
            <w:r>
              <w:rPr>
                <w:spacing w:val="-2"/>
                <w:sz w:val="18"/>
              </w:rPr>
              <w:t>clients</w:t>
            </w:r>
          </w:p>
        </w:tc>
        <w:tc>
          <w:tcPr>
            <w:tcW w:w="1256" w:type="dxa"/>
            <w:shd w:val="clear" w:color="auto" w:fill="CCEDFF"/>
          </w:tcPr>
          <w:p>
            <w:pPr>
              <w:pStyle w:val="TableParagraph"/>
              <w:spacing w:before="3"/>
              <w:ind w:right="68"/>
              <w:jc w:val="right"/>
              <w:rPr>
                <w:sz w:val="18"/>
              </w:rPr>
            </w:pPr>
            <w:r>
              <w:rPr>
                <w:spacing w:val="-2"/>
                <w:sz w:val="18"/>
              </w:rPr>
              <w:t>(2,502)</w:t>
            </w:r>
          </w:p>
        </w:tc>
        <w:tc>
          <w:tcPr>
            <w:tcW w:w="1218" w:type="dxa"/>
            <w:shd w:val="clear" w:color="auto" w:fill="CCEDFF"/>
          </w:tcPr>
          <w:p>
            <w:pPr>
              <w:pStyle w:val="TableParagraph"/>
              <w:spacing w:before="3"/>
              <w:ind w:right="71"/>
              <w:jc w:val="right"/>
              <w:rPr>
                <w:sz w:val="18"/>
              </w:rPr>
            </w:pPr>
            <w:r>
              <w:rPr>
                <w:spacing w:val="-2"/>
                <w:sz w:val="18"/>
              </w:rPr>
              <w:t>16,683</w:t>
            </w:r>
          </w:p>
        </w:tc>
      </w:tr>
      <w:tr>
        <w:trPr>
          <w:trHeight w:val="240" w:hRule="atLeast"/>
        </w:trPr>
        <w:tc>
          <w:tcPr>
            <w:tcW w:w="7785" w:type="dxa"/>
          </w:tcPr>
          <w:p>
            <w:pPr>
              <w:pStyle w:val="TableParagraph"/>
              <w:spacing w:before="3"/>
              <w:ind w:left="547"/>
              <w:rPr>
                <w:sz w:val="18"/>
              </w:rPr>
            </w:pPr>
            <w:r>
              <w:rPr>
                <w:sz w:val="18"/>
              </w:rPr>
              <w:t>Other</w:t>
            </w:r>
            <w:r>
              <w:rPr>
                <w:spacing w:val="-1"/>
                <w:sz w:val="18"/>
              </w:rPr>
              <w:t> </w:t>
            </w:r>
            <w:r>
              <w:rPr>
                <w:spacing w:val="-2"/>
                <w:sz w:val="18"/>
              </w:rPr>
              <w:t>assets</w:t>
            </w:r>
          </w:p>
        </w:tc>
        <w:tc>
          <w:tcPr>
            <w:tcW w:w="1256" w:type="dxa"/>
          </w:tcPr>
          <w:p>
            <w:pPr>
              <w:pStyle w:val="TableParagraph"/>
              <w:spacing w:before="3"/>
              <w:ind w:right="128"/>
              <w:jc w:val="right"/>
              <w:rPr>
                <w:sz w:val="18"/>
              </w:rPr>
            </w:pPr>
            <w:r>
              <w:rPr>
                <w:spacing w:val="-5"/>
                <w:sz w:val="18"/>
              </w:rPr>
              <w:t>202</w:t>
            </w:r>
          </w:p>
        </w:tc>
        <w:tc>
          <w:tcPr>
            <w:tcW w:w="1218" w:type="dxa"/>
          </w:tcPr>
          <w:p>
            <w:pPr>
              <w:pStyle w:val="TableParagraph"/>
              <w:spacing w:before="3"/>
              <w:ind w:right="71"/>
              <w:jc w:val="right"/>
              <w:rPr>
                <w:sz w:val="18"/>
              </w:rPr>
            </w:pPr>
            <w:r>
              <w:rPr>
                <w:spacing w:val="-5"/>
                <w:sz w:val="18"/>
              </w:rPr>
              <w:t>655</w:t>
            </w:r>
          </w:p>
        </w:tc>
      </w:tr>
      <w:tr>
        <w:trPr>
          <w:trHeight w:val="240" w:hRule="atLeast"/>
        </w:trPr>
        <w:tc>
          <w:tcPr>
            <w:tcW w:w="7785" w:type="dxa"/>
            <w:shd w:val="clear" w:color="auto" w:fill="CCEDFF"/>
          </w:tcPr>
          <w:p>
            <w:pPr>
              <w:pStyle w:val="TableParagraph"/>
              <w:spacing w:before="3"/>
              <w:ind w:left="547"/>
              <w:rPr>
                <w:sz w:val="18"/>
              </w:rPr>
            </w:pPr>
            <w:r>
              <w:rPr>
                <w:sz w:val="18"/>
              </w:rPr>
              <w:t>Payables</w:t>
            </w:r>
            <w:r>
              <w:rPr>
                <w:spacing w:val="-2"/>
                <w:sz w:val="18"/>
              </w:rPr>
              <w:t> </w:t>
            </w:r>
            <w:r>
              <w:rPr>
                <w:sz w:val="18"/>
              </w:rPr>
              <w:t>to brokerage </w:t>
            </w:r>
            <w:r>
              <w:rPr>
                <w:spacing w:val="-2"/>
                <w:sz w:val="18"/>
              </w:rPr>
              <w:t>clients</w:t>
            </w:r>
          </w:p>
        </w:tc>
        <w:tc>
          <w:tcPr>
            <w:tcW w:w="1256" w:type="dxa"/>
            <w:shd w:val="clear" w:color="auto" w:fill="CCEDFF"/>
          </w:tcPr>
          <w:p>
            <w:pPr>
              <w:pStyle w:val="TableParagraph"/>
              <w:spacing w:before="3"/>
              <w:ind w:right="68"/>
              <w:jc w:val="right"/>
              <w:rPr>
                <w:sz w:val="18"/>
              </w:rPr>
            </w:pPr>
            <w:r>
              <w:rPr>
                <w:spacing w:val="-2"/>
                <w:sz w:val="18"/>
              </w:rPr>
              <w:t>(24,620)</w:t>
            </w:r>
          </w:p>
        </w:tc>
        <w:tc>
          <w:tcPr>
            <w:tcW w:w="1218" w:type="dxa"/>
            <w:shd w:val="clear" w:color="auto" w:fill="CCEDFF"/>
          </w:tcPr>
          <w:p>
            <w:pPr>
              <w:pStyle w:val="TableParagraph"/>
              <w:spacing w:before="3"/>
              <w:ind w:right="11"/>
              <w:jc w:val="right"/>
              <w:rPr>
                <w:sz w:val="18"/>
              </w:rPr>
            </w:pPr>
            <w:r>
              <w:rPr>
                <w:spacing w:val="-2"/>
                <w:sz w:val="18"/>
              </w:rPr>
              <w:t>(15,659)</w:t>
            </w:r>
          </w:p>
        </w:tc>
      </w:tr>
      <w:tr>
        <w:trPr>
          <w:trHeight w:val="235" w:hRule="atLeast"/>
        </w:trPr>
        <w:tc>
          <w:tcPr>
            <w:tcW w:w="7785" w:type="dxa"/>
            <w:tcBorders>
              <w:bottom w:val="single" w:sz="4" w:space="0" w:color="000000"/>
            </w:tcBorders>
          </w:tcPr>
          <w:p>
            <w:pPr>
              <w:pStyle w:val="TableParagraph"/>
              <w:spacing w:before="3"/>
              <w:ind w:left="547"/>
              <w:rPr>
                <w:sz w:val="18"/>
              </w:rPr>
            </w:pPr>
            <w:r>
              <w:rPr>
                <w:sz w:val="18"/>
              </w:rPr>
              <w:t>Accrued</w:t>
            </w:r>
            <w:r>
              <w:rPr>
                <w:spacing w:val="-1"/>
                <w:sz w:val="18"/>
              </w:rPr>
              <w:t> </w:t>
            </w:r>
            <w:r>
              <w:rPr>
                <w:sz w:val="18"/>
              </w:rPr>
              <w:t>expenses</w:t>
            </w:r>
            <w:r>
              <w:rPr>
                <w:spacing w:val="-1"/>
                <w:sz w:val="18"/>
              </w:rPr>
              <w:t> </w:t>
            </w:r>
            <w:r>
              <w:rPr>
                <w:sz w:val="18"/>
              </w:rPr>
              <w:t>and</w:t>
            </w:r>
            <w:r>
              <w:rPr>
                <w:spacing w:val="-1"/>
                <w:sz w:val="18"/>
              </w:rPr>
              <w:t> </w:t>
            </w:r>
            <w:r>
              <w:rPr>
                <w:sz w:val="18"/>
              </w:rPr>
              <w:t>other </w:t>
            </w:r>
            <w:r>
              <w:rPr>
                <w:spacing w:val="-2"/>
                <w:sz w:val="18"/>
              </w:rPr>
              <w:t>liabilities</w:t>
            </w:r>
          </w:p>
        </w:tc>
        <w:tc>
          <w:tcPr>
            <w:tcW w:w="1256" w:type="dxa"/>
            <w:tcBorders>
              <w:bottom w:val="single" w:sz="4" w:space="0" w:color="000000"/>
            </w:tcBorders>
          </w:tcPr>
          <w:p>
            <w:pPr>
              <w:pStyle w:val="TableParagraph"/>
              <w:spacing w:before="3"/>
              <w:ind w:right="128"/>
              <w:jc w:val="right"/>
              <w:rPr>
                <w:sz w:val="18"/>
              </w:rPr>
            </w:pPr>
            <w:r>
              <w:rPr>
                <w:spacing w:val="-2"/>
                <w:sz w:val="18"/>
              </w:rPr>
              <w:t>2,669</w:t>
            </w:r>
          </w:p>
        </w:tc>
        <w:tc>
          <w:tcPr>
            <w:tcW w:w="1218" w:type="dxa"/>
            <w:tcBorders>
              <w:bottom w:val="single" w:sz="4" w:space="0" w:color="000000"/>
            </w:tcBorders>
          </w:tcPr>
          <w:p>
            <w:pPr>
              <w:pStyle w:val="TableParagraph"/>
              <w:spacing w:before="3"/>
              <w:ind w:right="11"/>
              <w:jc w:val="right"/>
              <w:rPr>
                <w:sz w:val="18"/>
              </w:rPr>
            </w:pPr>
            <w:r>
              <w:rPr>
                <w:spacing w:val="-2"/>
                <w:sz w:val="18"/>
              </w:rPr>
              <w:t>(3,618)</w:t>
            </w:r>
          </w:p>
        </w:tc>
      </w:tr>
      <w:tr>
        <w:trPr>
          <w:trHeight w:val="230" w:hRule="atLeast"/>
        </w:trPr>
        <w:tc>
          <w:tcPr>
            <w:tcW w:w="7785" w:type="dxa"/>
            <w:tcBorders>
              <w:top w:val="single" w:sz="4" w:space="0" w:color="000000"/>
              <w:bottom w:val="single" w:sz="4" w:space="0" w:color="000000"/>
            </w:tcBorders>
            <w:shd w:val="clear" w:color="auto" w:fill="CCEDFF"/>
          </w:tcPr>
          <w:p>
            <w:pPr>
              <w:pStyle w:val="TableParagraph"/>
              <w:spacing w:line="205" w:lineRule="exact"/>
              <w:ind w:left="772"/>
              <w:rPr>
                <w:sz w:val="18"/>
              </w:rPr>
            </w:pPr>
            <w:r>
              <w:rPr>
                <w:sz w:val="18"/>
              </w:rPr>
              <w:t>Net</w:t>
            </w:r>
            <w:r>
              <w:rPr>
                <w:spacing w:val="-1"/>
                <w:sz w:val="18"/>
              </w:rPr>
              <w:t> </w:t>
            </w:r>
            <w:r>
              <w:rPr>
                <w:sz w:val="18"/>
              </w:rPr>
              <w:t>cash provided</w:t>
            </w:r>
            <w:r>
              <w:rPr>
                <w:spacing w:val="-1"/>
                <w:sz w:val="18"/>
              </w:rPr>
              <w:t> </w:t>
            </w:r>
            <w:r>
              <w:rPr>
                <w:sz w:val="18"/>
              </w:rPr>
              <w:t>by (used</w:t>
            </w:r>
            <w:r>
              <w:rPr>
                <w:spacing w:val="-1"/>
                <w:sz w:val="18"/>
              </w:rPr>
              <w:t> </w:t>
            </w:r>
            <w:r>
              <w:rPr>
                <w:sz w:val="18"/>
              </w:rPr>
              <w:t>for) operating </w:t>
            </w:r>
            <w:r>
              <w:rPr>
                <w:spacing w:val="-2"/>
                <w:sz w:val="18"/>
              </w:rPr>
              <w:t>activities</w:t>
            </w:r>
          </w:p>
        </w:tc>
        <w:tc>
          <w:tcPr>
            <w:tcW w:w="1256" w:type="dxa"/>
            <w:tcBorders>
              <w:top w:val="single" w:sz="4" w:space="0" w:color="000000"/>
              <w:bottom w:val="single" w:sz="4" w:space="0" w:color="000000"/>
            </w:tcBorders>
            <w:shd w:val="clear" w:color="auto" w:fill="CCEDFF"/>
          </w:tcPr>
          <w:p>
            <w:pPr>
              <w:pStyle w:val="TableParagraph"/>
              <w:spacing w:line="205" w:lineRule="exact"/>
              <w:ind w:right="68"/>
              <w:jc w:val="right"/>
              <w:rPr>
                <w:sz w:val="18"/>
              </w:rPr>
            </w:pPr>
            <w:r>
              <w:rPr>
                <w:spacing w:val="-2"/>
                <w:sz w:val="18"/>
              </w:rPr>
              <w:t>(450)</w:t>
            </w:r>
          </w:p>
        </w:tc>
        <w:tc>
          <w:tcPr>
            <w:tcW w:w="1218" w:type="dxa"/>
            <w:tcBorders>
              <w:top w:val="single" w:sz="4" w:space="0" w:color="000000"/>
              <w:bottom w:val="single" w:sz="4" w:space="0" w:color="000000"/>
            </w:tcBorders>
            <w:shd w:val="clear" w:color="auto" w:fill="CCEDFF"/>
          </w:tcPr>
          <w:p>
            <w:pPr>
              <w:pStyle w:val="TableParagraph"/>
              <w:spacing w:line="205" w:lineRule="exact"/>
              <w:ind w:right="71"/>
              <w:jc w:val="right"/>
              <w:rPr>
                <w:sz w:val="18"/>
              </w:rPr>
            </w:pPr>
            <w:r>
              <w:rPr>
                <w:spacing w:val="-2"/>
                <w:sz w:val="18"/>
              </w:rPr>
              <w:t>4,164</w:t>
            </w:r>
          </w:p>
        </w:tc>
      </w:tr>
      <w:tr>
        <w:trPr>
          <w:trHeight w:val="235" w:hRule="atLeast"/>
        </w:trPr>
        <w:tc>
          <w:tcPr>
            <w:tcW w:w="7785" w:type="dxa"/>
            <w:tcBorders>
              <w:top w:val="single" w:sz="4" w:space="0" w:color="000000"/>
            </w:tcBorders>
          </w:tcPr>
          <w:p>
            <w:pPr>
              <w:pStyle w:val="TableParagraph"/>
              <w:spacing w:line="205" w:lineRule="exact"/>
              <w:ind w:left="52"/>
              <w:rPr>
                <w:b/>
                <w:sz w:val="18"/>
              </w:rPr>
            </w:pPr>
            <w:r>
              <w:rPr>
                <w:b/>
                <w:sz w:val="18"/>
              </w:rPr>
              <w:t>Cash</w:t>
            </w:r>
            <w:r>
              <w:rPr>
                <w:b/>
                <w:spacing w:val="-3"/>
                <w:sz w:val="18"/>
              </w:rPr>
              <w:t> </w:t>
            </w:r>
            <w:r>
              <w:rPr>
                <w:b/>
                <w:sz w:val="18"/>
              </w:rPr>
              <w:t>Flows</w:t>
            </w:r>
            <w:r>
              <w:rPr>
                <w:b/>
                <w:spacing w:val="-3"/>
                <w:sz w:val="18"/>
              </w:rPr>
              <w:t> </w:t>
            </w:r>
            <w:r>
              <w:rPr>
                <w:b/>
                <w:sz w:val="18"/>
              </w:rPr>
              <w:t>from</w:t>
            </w:r>
            <w:r>
              <w:rPr>
                <w:b/>
                <w:spacing w:val="-2"/>
                <w:sz w:val="18"/>
              </w:rPr>
              <w:t> </w:t>
            </w:r>
            <w:r>
              <w:rPr>
                <w:b/>
                <w:sz w:val="18"/>
              </w:rPr>
              <w:t>Investing</w:t>
            </w:r>
            <w:r>
              <w:rPr>
                <w:b/>
                <w:spacing w:val="-1"/>
                <w:sz w:val="18"/>
              </w:rPr>
              <w:t> </w:t>
            </w:r>
            <w:r>
              <w:rPr>
                <w:b/>
                <w:spacing w:val="-2"/>
                <w:sz w:val="18"/>
              </w:rPr>
              <w:t>Activities</w:t>
            </w:r>
          </w:p>
        </w:tc>
        <w:tc>
          <w:tcPr>
            <w:tcW w:w="1256" w:type="dxa"/>
            <w:tcBorders>
              <w:top w:val="single" w:sz="4" w:space="0" w:color="000000"/>
            </w:tcBorders>
          </w:tcPr>
          <w:p>
            <w:pPr>
              <w:pStyle w:val="TableParagraph"/>
              <w:rPr>
                <w:sz w:val="16"/>
              </w:rPr>
            </w:pPr>
          </w:p>
        </w:tc>
        <w:tc>
          <w:tcPr>
            <w:tcW w:w="1218" w:type="dxa"/>
            <w:tcBorders>
              <w:top w:val="single" w:sz="4" w:space="0" w:color="000000"/>
            </w:tcBorders>
          </w:tcPr>
          <w:p>
            <w:pPr>
              <w:pStyle w:val="TableParagraph"/>
              <w:rPr>
                <w:sz w:val="16"/>
              </w:rPr>
            </w:pPr>
          </w:p>
        </w:tc>
      </w:tr>
      <w:tr>
        <w:trPr>
          <w:trHeight w:val="240" w:hRule="atLeast"/>
        </w:trPr>
        <w:tc>
          <w:tcPr>
            <w:tcW w:w="7785" w:type="dxa"/>
            <w:shd w:val="clear" w:color="auto" w:fill="CCEDFF"/>
          </w:tcPr>
          <w:p>
            <w:pPr>
              <w:pStyle w:val="TableParagraph"/>
              <w:spacing w:before="3"/>
              <w:ind w:left="547"/>
              <w:rPr>
                <w:sz w:val="18"/>
              </w:rPr>
            </w:pPr>
            <w:r>
              <w:rPr>
                <w:sz w:val="18"/>
              </w:rPr>
              <w:t>Purchases</w:t>
            </w:r>
            <w:r>
              <w:rPr>
                <w:spacing w:val="-2"/>
                <w:sz w:val="18"/>
              </w:rPr>
              <w:t> </w:t>
            </w:r>
            <w:r>
              <w:rPr>
                <w:sz w:val="18"/>
              </w:rPr>
              <w:t>of</w:t>
            </w:r>
            <w:r>
              <w:rPr>
                <w:spacing w:val="-1"/>
                <w:sz w:val="18"/>
              </w:rPr>
              <w:t> </w:t>
            </w:r>
            <w:r>
              <w:rPr>
                <w:sz w:val="18"/>
              </w:rPr>
              <w:t>available for</w:t>
            </w:r>
            <w:r>
              <w:rPr>
                <w:spacing w:val="-1"/>
                <w:sz w:val="18"/>
              </w:rPr>
              <w:t> </w:t>
            </w:r>
            <w:r>
              <w:rPr>
                <w:sz w:val="18"/>
              </w:rPr>
              <w:t>sale </w:t>
            </w:r>
            <w:r>
              <w:rPr>
                <w:spacing w:val="-2"/>
                <w:sz w:val="18"/>
              </w:rPr>
              <w:t>securities</w:t>
            </w:r>
          </w:p>
        </w:tc>
        <w:tc>
          <w:tcPr>
            <w:tcW w:w="1256" w:type="dxa"/>
            <w:shd w:val="clear" w:color="auto" w:fill="CCEDFF"/>
          </w:tcPr>
          <w:p>
            <w:pPr>
              <w:pStyle w:val="TableParagraph"/>
              <w:spacing w:before="3"/>
              <w:ind w:right="68"/>
              <w:jc w:val="right"/>
              <w:rPr>
                <w:sz w:val="18"/>
              </w:rPr>
            </w:pPr>
            <w:r>
              <w:rPr>
                <w:spacing w:val="-2"/>
                <w:sz w:val="18"/>
              </w:rPr>
              <w:t>(775)</w:t>
            </w:r>
          </w:p>
        </w:tc>
        <w:tc>
          <w:tcPr>
            <w:tcW w:w="1218" w:type="dxa"/>
            <w:shd w:val="clear" w:color="auto" w:fill="CCEDFF"/>
          </w:tcPr>
          <w:p>
            <w:pPr>
              <w:pStyle w:val="TableParagraph"/>
              <w:spacing w:before="3"/>
              <w:ind w:right="11"/>
              <w:jc w:val="right"/>
              <w:rPr>
                <w:sz w:val="18"/>
              </w:rPr>
            </w:pPr>
            <w:r>
              <w:rPr>
                <w:spacing w:val="-2"/>
                <w:sz w:val="18"/>
              </w:rPr>
              <w:t>(49,897)</w:t>
            </w:r>
          </w:p>
        </w:tc>
      </w:tr>
      <w:tr>
        <w:trPr>
          <w:trHeight w:val="240" w:hRule="atLeast"/>
        </w:trPr>
        <w:tc>
          <w:tcPr>
            <w:tcW w:w="7785" w:type="dxa"/>
          </w:tcPr>
          <w:p>
            <w:pPr>
              <w:pStyle w:val="TableParagraph"/>
              <w:spacing w:before="3"/>
              <w:ind w:left="547"/>
              <w:rPr>
                <w:sz w:val="18"/>
              </w:rPr>
            </w:pPr>
            <w:r>
              <w:rPr>
                <w:sz w:val="18"/>
              </w:rPr>
              <w:t>Proceeds</w:t>
            </w:r>
            <w:r>
              <w:rPr>
                <w:spacing w:val="-2"/>
                <w:sz w:val="18"/>
              </w:rPr>
              <w:t> </w:t>
            </w:r>
            <w:r>
              <w:rPr>
                <w:sz w:val="18"/>
              </w:rPr>
              <w:t>from sales</w:t>
            </w:r>
            <w:r>
              <w:rPr>
                <w:spacing w:val="-2"/>
                <w:sz w:val="18"/>
              </w:rPr>
              <w:t> </w:t>
            </w:r>
            <w:r>
              <w:rPr>
                <w:sz w:val="18"/>
              </w:rPr>
              <w:t>of available</w:t>
            </w:r>
            <w:r>
              <w:rPr>
                <w:spacing w:val="-1"/>
                <w:sz w:val="18"/>
              </w:rPr>
              <w:t> </w:t>
            </w:r>
            <w:r>
              <w:rPr>
                <w:sz w:val="18"/>
              </w:rPr>
              <w:t>for sale </w:t>
            </w:r>
            <w:r>
              <w:rPr>
                <w:spacing w:val="-2"/>
                <w:sz w:val="18"/>
              </w:rPr>
              <w:t>securities</w:t>
            </w:r>
          </w:p>
        </w:tc>
        <w:tc>
          <w:tcPr>
            <w:tcW w:w="1256" w:type="dxa"/>
          </w:tcPr>
          <w:p>
            <w:pPr>
              <w:pStyle w:val="TableParagraph"/>
              <w:spacing w:before="3"/>
              <w:ind w:right="128"/>
              <w:jc w:val="right"/>
              <w:rPr>
                <w:sz w:val="18"/>
              </w:rPr>
            </w:pPr>
            <w:r>
              <w:rPr>
                <w:spacing w:val="-2"/>
                <w:sz w:val="18"/>
              </w:rPr>
              <w:t>6,385</w:t>
            </w:r>
          </w:p>
        </w:tc>
        <w:tc>
          <w:tcPr>
            <w:tcW w:w="1218" w:type="dxa"/>
          </w:tcPr>
          <w:p>
            <w:pPr>
              <w:pStyle w:val="TableParagraph"/>
              <w:spacing w:before="3"/>
              <w:ind w:right="71"/>
              <w:jc w:val="right"/>
              <w:rPr>
                <w:sz w:val="18"/>
              </w:rPr>
            </w:pPr>
            <w:r>
              <w:rPr>
                <w:spacing w:val="-2"/>
                <w:sz w:val="18"/>
              </w:rPr>
              <w:t>24,019</w:t>
            </w:r>
          </w:p>
        </w:tc>
      </w:tr>
      <w:tr>
        <w:trPr>
          <w:trHeight w:val="240" w:hRule="atLeast"/>
        </w:trPr>
        <w:tc>
          <w:tcPr>
            <w:tcW w:w="7785" w:type="dxa"/>
            <w:shd w:val="clear" w:color="auto" w:fill="CCEDFF"/>
          </w:tcPr>
          <w:p>
            <w:pPr>
              <w:pStyle w:val="TableParagraph"/>
              <w:spacing w:before="3"/>
              <w:ind w:left="547"/>
              <w:rPr>
                <w:sz w:val="18"/>
              </w:rPr>
            </w:pPr>
            <w:r>
              <w:rPr>
                <w:sz w:val="18"/>
              </w:rPr>
              <w:t>Principal</w:t>
            </w:r>
            <w:r>
              <w:rPr>
                <w:spacing w:val="-3"/>
                <w:sz w:val="18"/>
              </w:rPr>
              <w:t> </w:t>
            </w:r>
            <w:r>
              <w:rPr>
                <w:sz w:val="18"/>
              </w:rPr>
              <w:t>payments</w:t>
            </w:r>
            <w:r>
              <w:rPr>
                <w:spacing w:val="-1"/>
                <w:sz w:val="18"/>
              </w:rPr>
              <w:t> </w:t>
            </w:r>
            <w:r>
              <w:rPr>
                <w:sz w:val="18"/>
              </w:rPr>
              <w:t>on available</w:t>
            </w:r>
            <w:r>
              <w:rPr>
                <w:spacing w:val="-1"/>
                <w:sz w:val="18"/>
              </w:rPr>
              <w:t> </w:t>
            </w:r>
            <w:r>
              <w:rPr>
                <w:sz w:val="18"/>
              </w:rPr>
              <w:t>for sale </w:t>
            </w:r>
            <w:r>
              <w:rPr>
                <w:spacing w:val="-2"/>
                <w:sz w:val="18"/>
              </w:rPr>
              <w:t>securities</w:t>
            </w:r>
          </w:p>
        </w:tc>
        <w:tc>
          <w:tcPr>
            <w:tcW w:w="1256" w:type="dxa"/>
            <w:shd w:val="clear" w:color="auto" w:fill="CCEDFF"/>
          </w:tcPr>
          <w:p>
            <w:pPr>
              <w:pStyle w:val="TableParagraph"/>
              <w:spacing w:before="3"/>
              <w:ind w:right="128"/>
              <w:jc w:val="right"/>
              <w:rPr>
                <w:sz w:val="18"/>
              </w:rPr>
            </w:pPr>
            <w:r>
              <w:rPr>
                <w:spacing w:val="-2"/>
                <w:sz w:val="18"/>
              </w:rPr>
              <w:t>31,593</w:t>
            </w:r>
          </w:p>
        </w:tc>
        <w:tc>
          <w:tcPr>
            <w:tcW w:w="1218" w:type="dxa"/>
            <w:shd w:val="clear" w:color="auto" w:fill="CCEDFF"/>
          </w:tcPr>
          <w:p>
            <w:pPr>
              <w:pStyle w:val="TableParagraph"/>
              <w:spacing w:before="3"/>
              <w:ind w:right="71"/>
              <w:jc w:val="right"/>
              <w:rPr>
                <w:sz w:val="18"/>
              </w:rPr>
            </w:pPr>
            <w:r>
              <w:rPr>
                <w:spacing w:val="-2"/>
                <w:sz w:val="18"/>
              </w:rPr>
              <w:t>40,503</w:t>
            </w:r>
          </w:p>
        </w:tc>
      </w:tr>
      <w:tr>
        <w:trPr>
          <w:trHeight w:val="240" w:hRule="atLeast"/>
        </w:trPr>
        <w:tc>
          <w:tcPr>
            <w:tcW w:w="7785" w:type="dxa"/>
          </w:tcPr>
          <w:p>
            <w:pPr>
              <w:pStyle w:val="TableParagraph"/>
              <w:spacing w:before="3"/>
              <w:ind w:left="547"/>
              <w:rPr>
                <w:sz w:val="18"/>
              </w:rPr>
            </w:pPr>
            <w:r>
              <w:rPr>
                <w:sz w:val="18"/>
              </w:rPr>
              <w:t>Principal</w:t>
            </w:r>
            <w:r>
              <w:rPr>
                <w:spacing w:val="-1"/>
                <w:sz w:val="18"/>
              </w:rPr>
              <w:t> </w:t>
            </w:r>
            <w:r>
              <w:rPr>
                <w:sz w:val="18"/>
              </w:rPr>
              <w:t>payments</w:t>
            </w:r>
            <w:r>
              <w:rPr>
                <w:spacing w:val="-1"/>
                <w:sz w:val="18"/>
              </w:rPr>
              <w:t> </w:t>
            </w:r>
            <w:r>
              <w:rPr>
                <w:sz w:val="18"/>
              </w:rPr>
              <w:t>on held to maturity </w:t>
            </w:r>
            <w:r>
              <w:rPr>
                <w:spacing w:val="-2"/>
                <w:sz w:val="18"/>
              </w:rPr>
              <w:t>securities</w:t>
            </w:r>
          </w:p>
        </w:tc>
        <w:tc>
          <w:tcPr>
            <w:tcW w:w="1256" w:type="dxa"/>
          </w:tcPr>
          <w:p>
            <w:pPr>
              <w:pStyle w:val="TableParagraph"/>
              <w:spacing w:before="3"/>
              <w:ind w:right="128"/>
              <w:jc w:val="right"/>
              <w:rPr>
                <w:sz w:val="18"/>
              </w:rPr>
            </w:pPr>
            <w:r>
              <w:rPr>
                <w:spacing w:val="-2"/>
                <w:sz w:val="18"/>
              </w:rPr>
              <w:t>12,030</w:t>
            </w:r>
          </w:p>
        </w:tc>
        <w:tc>
          <w:tcPr>
            <w:tcW w:w="1218" w:type="dxa"/>
          </w:tcPr>
          <w:p>
            <w:pPr>
              <w:pStyle w:val="TableParagraph"/>
              <w:spacing w:before="3"/>
              <w:ind w:right="71"/>
              <w:jc w:val="right"/>
              <w:rPr>
                <w:sz w:val="18"/>
              </w:rPr>
            </w:pPr>
            <w:r>
              <w:rPr>
                <w:spacing w:val="-2"/>
                <w:sz w:val="18"/>
              </w:rPr>
              <w:t>12,433</w:t>
            </w:r>
          </w:p>
        </w:tc>
      </w:tr>
      <w:tr>
        <w:trPr>
          <w:trHeight w:val="240" w:hRule="atLeast"/>
        </w:trPr>
        <w:tc>
          <w:tcPr>
            <w:tcW w:w="7785" w:type="dxa"/>
            <w:shd w:val="clear" w:color="auto" w:fill="CCEDFF"/>
          </w:tcPr>
          <w:p>
            <w:pPr>
              <w:pStyle w:val="TableParagraph"/>
              <w:spacing w:before="3"/>
              <w:ind w:left="547"/>
              <w:rPr>
                <w:sz w:val="18"/>
              </w:rPr>
            </w:pPr>
            <w:r>
              <w:rPr>
                <w:sz w:val="18"/>
              </w:rPr>
              <w:t>Net</w:t>
            </w:r>
            <w:r>
              <w:rPr>
                <w:spacing w:val="-1"/>
                <w:sz w:val="18"/>
              </w:rPr>
              <w:t> </w:t>
            </w:r>
            <w:r>
              <w:rPr>
                <w:sz w:val="18"/>
              </w:rPr>
              <w:t>change in bank </w:t>
            </w:r>
            <w:r>
              <w:rPr>
                <w:spacing w:val="-2"/>
                <w:sz w:val="18"/>
              </w:rPr>
              <w:t>loans</w:t>
            </w:r>
          </w:p>
        </w:tc>
        <w:tc>
          <w:tcPr>
            <w:tcW w:w="1256" w:type="dxa"/>
            <w:shd w:val="clear" w:color="auto" w:fill="CCEDFF"/>
          </w:tcPr>
          <w:p>
            <w:pPr>
              <w:pStyle w:val="TableParagraph"/>
              <w:spacing w:before="3"/>
              <w:ind w:right="128"/>
              <w:jc w:val="right"/>
              <w:rPr>
                <w:sz w:val="18"/>
              </w:rPr>
            </w:pPr>
            <w:r>
              <w:rPr>
                <w:spacing w:val="-5"/>
                <w:sz w:val="18"/>
              </w:rPr>
              <w:t>194</w:t>
            </w:r>
          </w:p>
        </w:tc>
        <w:tc>
          <w:tcPr>
            <w:tcW w:w="1218" w:type="dxa"/>
            <w:shd w:val="clear" w:color="auto" w:fill="CCEDFF"/>
          </w:tcPr>
          <w:p>
            <w:pPr>
              <w:pStyle w:val="TableParagraph"/>
              <w:spacing w:before="3"/>
              <w:ind w:right="11"/>
              <w:jc w:val="right"/>
              <w:rPr>
                <w:sz w:val="18"/>
              </w:rPr>
            </w:pPr>
            <w:r>
              <w:rPr>
                <w:spacing w:val="-2"/>
                <w:sz w:val="18"/>
              </w:rPr>
              <w:t>(5,653)</w:t>
            </w:r>
          </w:p>
        </w:tc>
      </w:tr>
      <w:tr>
        <w:trPr>
          <w:trHeight w:val="240" w:hRule="atLeast"/>
        </w:trPr>
        <w:tc>
          <w:tcPr>
            <w:tcW w:w="7785" w:type="dxa"/>
          </w:tcPr>
          <w:p>
            <w:pPr>
              <w:pStyle w:val="TableParagraph"/>
              <w:spacing w:before="3"/>
              <w:ind w:left="547"/>
              <w:rPr>
                <w:sz w:val="18"/>
              </w:rPr>
            </w:pPr>
            <w:r>
              <w:rPr>
                <w:sz w:val="18"/>
              </w:rPr>
              <w:t>Purchases</w:t>
            </w:r>
            <w:r>
              <w:rPr>
                <w:spacing w:val="-4"/>
                <w:sz w:val="18"/>
              </w:rPr>
              <w:t> </w:t>
            </w:r>
            <w:r>
              <w:rPr>
                <w:sz w:val="18"/>
              </w:rPr>
              <w:t>of equipment,</w:t>
            </w:r>
            <w:r>
              <w:rPr>
                <w:spacing w:val="-1"/>
                <w:sz w:val="18"/>
              </w:rPr>
              <w:t> </w:t>
            </w:r>
            <w:r>
              <w:rPr>
                <w:sz w:val="18"/>
              </w:rPr>
              <w:t>office facilities,</w:t>
            </w:r>
            <w:r>
              <w:rPr>
                <w:spacing w:val="-1"/>
                <w:sz w:val="18"/>
              </w:rPr>
              <w:t> </w:t>
            </w:r>
            <w:r>
              <w:rPr>
                <w:sz w:val="18"/>
              </w:rPr>
              <w:t>and </w:t>
            </w:r>
            <w:r>
              <w:rPr>
                <w:spacing w:val="-2"/>
                <w:sz w:val="18"/>
              </w:rPr>
              <w:t>property</w:t>
            </w:r>
          </w:p>
        </w:tc>
        <w:tc>
          <w:tcPr>
            <w:tcW w:w="1256" w:type="dxa"/>
          </w:tcPr>
          <w:p>
            <w:pPr>
              <w:pStyle w:val="TableParagraph"/>
              <w:spacing w:before="3"/>
              <w:ind w:right="68"/>
              <w:jc w:val="right"/>
              <w:rPr>
                <w:sz w:val="18"/>
              </w:rPr>
            </w:pPr>
            <w:r>
              <w:rPr>
                <w:spacing w:val="-2"/>
                <w:sz w:val="18"/>
              </w:rPr>
              <w:t>(637)</w:t>
            </w:r>
          </w:p>
        </w:tc>
        <w:tc>
          <w:tcPr>
            <w:tcW w:w="1218" w:type="dxa"/>
          </w:tcPr>
          <w:p>
            <w:pPr>
              <w:pStyle w:val="TableParagraph"/>
              <w:spacing w:before="3"/>
              <w:ind w:right="11"/>
              <w:jc w:val="right"/>
              <w:rPr>
                <w:sz w:val="18"/>
              </w:rPr>
            </w:pPr>
            <w:r>
              <w:rPr>
                <w:spacing w:val="-2"/>
                <w:sz w:val="18"/>
              </w:rPr>
              <w:t>(769)</w:t>
            </w:r>
          </w:p>
        </w:tc>
      </w:tr>
      <w:tr>
        <w:trPr>
          <w:trHeight w:val="240" w:hRule="atLeast"/>
        </w:trPr>
        <w:tc>
          <w:tcPr>
            <w:tcW w:w="7785" w:type="dxa"/>
            <w:shd w:val="clear" w:color="auto" w:fill="CCEDFF"/>
          </w:tcPr>
          <w:p>
            <w:pPr>
              <w:pStyle w:val="TableParagraph"/>
              <w:spacing w:before="3"/>
              <w:ind w:left="547"/>
              <w:rPr>
                <w:sz w:val="18"/>
              </w:rPr>
            </w:pPr>
            <w:r>
              <w:rPr>
                <w:sz w:val="18"/>
              </w:rPr>
              <w:t>Purchases</w:t>
            </w:r>
            <w:r>
              <w:rPr>
                <w:spacing w:val="-5"/>
                <w:sz w:val="18"/>
              </w:rPr>
              <w:t> </w:t>
            </w:r>
            <w:r>
              <w:rPr>
                <w:sz w:val="18"/>
              </w:rPr>
              <w:t>of</w:t>
            </w:r>
            <w:r>
              <w:rPr>
                <w:spacing w:val="-1"/>
                <w:sz w:val="18"/>
              </w:rPr>
              <w:t> </w:t>
            </w:r>
            <w:r>
              <w:rPr>
                <w:sz w:val="18"/>
              </w:rPr>
              <w:t>FHLB</w:t>
            </w:r>
            <w:r>
              <w:rPr>
                <w:spacing w:val="-1"/>
                <w:sz w:val="18"/>
              </w:rPr>
              <w:t> </w:t>
            </w:r>
            <w:r>
              <w:rPr>
                <w:spacing w:val="-2"/>
                <w:sz w:val="18"/>
              </w:rPr>
              <w:t>stock</w:t>
            </w:r>
          </w:p>
        </w:tc>
        <w:tc>
          <w:tcPr>
            <w:tcW w:w="1256" w:type="dxa"/>
            <w:shd w:val="clear" w:color="auto" w:fill="CCEDFF"/>
          </w:tcPr>
          <w:p>
            <w:pPr>
              <w:pStyle w:val="TableParagraph"/>
              <w:spacing w:before="3"/>
              <w:ind w:right="68"/>
              <w:jc w:val="right"/>
              <w:rPr>
                <w:sz w:val="18"/>
              </w:rPr>
            </w:pPr>
            <w:r>
              <w:rPr>
                <w:spacing w:val="-2"/>
                <w:sz w:val="18"/>
              </w:rPr>
              <w:t>(1,652)</w:t>
            </w:r>
          </w:p>
        </w:tc>
        <w:tc>
          <w:tcPr>
            <w:tcW w:w="1218" w:type="dxa"/>
            <w:shd w:val="clear" w:color="auto" w:fill="CCEDFF"/>
          </w:tcPr>
          <w:p>
            <w:pPr>
              <w:pStyle w:val="TableParagraph"/>
              <w:spacing w:before="3"/>
              <w:ind w:right="71"/>
              <w:jc w:val="right"/>
              <w:rPr>
                <w:sz w:val="18"/>
              </w:rPr>
            </w:pPr>
            <w:r>
              <w:rPr>
                <w:spacing w:val="-10"/>
                <w:sz w:val="18"/>
              </w:rPr>
              <w:t>—</w:t>
            </w:r>
          </w:p>
        </w:tc>
      </w:tr>
      <w:tr>
        <w:trPr>
          <w:trHeight w:val="240" w:hRule="atLeast"/>
        </w:trPr>
        <w:tc>
          <w:tcPr>
            <w:tcW w:w="7785" w:type="dxa"/>
          </w:tcPr>
          <w:p>
            <w:pPr>
              <w:pStyle w:val="TableParagraph"/>
              <w:spacing w:before="3"/>
              <w:ind w:left="547"/>
              <w:rPr>
                <w:sz w:val="18"/>
              </w:rPr>
            </w:pPr>
            <w:r>
              <w:rPr>
                <w:sz w:val="18"/>
              </w:rPr>
              <w:t>Proceeds</w:t>
            </w:r>
            <w:r>
              <w:rPr>
                <w:spacing w:val="-2"/>
                <w:sz w:val="18"/>
              </w:rPr>
              <w:t> </w:t>
            </w:r>
            <w:r>
              <w:rPr>
                <w:sz w:val="18"/>
              </w:rPr>
              <w:t>from</w:t>
            </w:r>
            <w:r>
              <w:rPr>
                <w:spacing w:val="-1"/>
                <w:sz w:val="18"/>
              </w:rPr>
              <w:t> </w:t>
            </w:r>
            <w:r>
              <w:rPr>
                <w:sz w:val="18"/>
              </w:rPr>
              <w:t>sales</w:t>
            </w:r>
            <w:r>
              <w:rPr>
                <w:spacing w:val="-2"/>
                <w:sz w:val="18"/>
              </w:rPr>
              <w:t> </w:t>
            </w:r>
            <w:r>
              <w:rPr>
                <w:sz w:val="18"/>
              </w:rPr>
              <w:t>of</w:t>
            </w:r>
            <w:r>
              <w:rPr>
                <w:spacing w:val="-1"/>
                <w:sz w:val="18"/>
              </w:rPr>
              <w:t> </w:t>
            </w:r>
            <w:r>
              <w:rPr>
                <w:sz w:val="18"/>
              </w:rPr>
              <w:t>FHLB </w:t>
            </w:r>
            <w:r>
              <w:rPr>
                <w:spacing w:val="-2"/>
                <w:sz w:val="18"/>
              </w:rPr>
              <w:t>stock</w:t>
            </w:r>
          </w:p>
        </w:tc>
        <w:tc>
          <w:tcPr>
            <w:tcW w:w="1256" w:type="dxa"/>
          </w:tcPr>
          <w:p>
            <w:pPr>
              <w:pStyle w:val="TableParagraph"/>
              <w:spacing w:before="3"/>
              <w:ind w:right="128"/>
              <w:jc w:val="right"/>
              <w:rPr>
                <w:sz w:val="18"/>
              </w:rPr>
            </w:pPr>
            <w:r>
              <w:rPr>
                <w:spacing w:val="-5"/>
                <w:sz w:val="18"/>
              </w:rPr>
              <w:t>876</w:t>
            </w:r>
          </w:p>
        </w:tc>
        <w:tc>
          <w:tcPr>
            <w:tcW w:w="1218" w:type="dxa"/>
          </w:tcPr>
          <w:p>
            <w:pPr>
              <w:pStyle w:val="TableParagraph"/>
              <w:spacing w:before="3"/>
              <w:ind w:right="71"/>
              <w:jc w:val="right"/>
              <w:rPr>
                <w:sz w:val="18"/>
              </w:rPr>
            </w:pPr>
            <w:r>
              <w:rPr>
                <w:spacing w:val="-10"/>
                <w:sz w:val="18"/>
              </w:rPr>
              <w:t>—</w:t>
            </w:r>
          </w:p>
        </w:tc>
      </w:tr>
      <w:tr>
        <w:trPr>
          <w:trHeight w:val="240" w:hRule="atLeast"/>
        </w:trPr>
        <w:tc>
          <w:tcPr>
            <w:tcW w:w="7785" w:type="dxa"/>
            <w:shd w:val="clear" w:color="auto" w:fill="CCEDFF"/>
          </w:tcPr>
          <w:p>
            <w:pPr>
              <w:pStyle w:val="TableParagraph"/>
              <w:spacing w:before="3"/>
              <w:ind w:left="547"/>
              <w:rPr>
                <w:sz w:val="18"/>
              </w:rPr>
            </w:pPr>
            <w:r>
              <w:rPr>
                <w:sz w:val="18"/>
              </w:rPr>
              <w:t>Purchases</w:t>
            </w:r>
            <w:r>
              <w:rPr>
                <w:spacing w:val="-2"/>
                <w:sz w:val="18"/>
              </w:rPr>
              <w:t> </w:t>
            </w:r>
            <w:r>
              <w:rPr>
                <w:sz w:val="18"/>
              </w:rPr>
              <w:t>of</w:t>
            </w:r>
            <w:r>
              <w:rPr>
                <w:spacing w:val="-1"/>
                <w:sz w:val="18"/>
              </w:rPr>
              <w:t> </w:t>
            </w:r>
            <w:r>
              <w:rPr>
                <w:sz w:val="18"/>
              </w:rPr>
              <w:t>Federal</w:t>
            </w:r>
            <w:r>
              <w:rPr>
                <w:spacing w:val="-1"/>
                <w:sz w:val="18"/>
              </w:rPr>
              <w:t> </w:t>
            </w:r>
            <w:r>
              <w:rPr>
                <w:sz w:val="18"/>
              </w:rPr>
              <w:t>Reserve</w:t>
            </w:r>
            <w:r>
              <w:rPr>
                <w:spacing w:val="-1"/>
                <w:sz w:val="18"/>
              </w:rPr>
              <w:t> </w:t>
            </w:r>
            <w:r>
              <w:rPr>
                <w:spacing w:val="-2"/>
                <w:sz w:val="18"/>
              </w:rPr>
              <w:t>stock</w:t>
            </w:r>
          </w:p>
        </w:tc>
        <w:tc>
          <w:tcPr>
            <w:tcW w:w="1256" w:type="dxa"/>
            <w:shd w:val="clear" w:color="auto" w:fill="CCEDFF"/>
          </w:tcPr>
          <w:p>
            <w:pPr>
              <w:pStyle w:val="TableParagraph"/>
              <w:spacing w:before="3"/>
              <w:ind w:right="68"/>
              <w:jc w:val="right"/>
              <w:rPr>
                <w:sz w:val="18"/>
              </w:rPr>
            </w:pPr>
            <w:r>
              <w:rPr>
                <w:spacing w:val="-2"/>
                <w:sz w:val="18"/>
              </w:rPr>
              <w:t>(212)</w:t>
            </w:r>
          </w:p>
        </w:tc>
        <w:tc>
          <w:tcPr>
            <w:tcW w:w="1218" w:type="dxa"/>
            <w:shd w:val="clear" w:color="auto" w:fill="CCEDFF"/>
          </w:tcPr>
          <w:p>
            <w:pPr>
              <w:pStyle w:val="TableParagraph"/>
              <w:spacing w:before="3"/>
              <w:ind w:right="11"/>
              <w:jc w:val="right"/>
              <w:rPr>
                <w:sz w:val="18"/>
              </w:rPr>
            </w:pPr>
            <w:r>
              <w:rPr>
                <w:spacing w:val="-4"/>
                <w:sz w:val="18"/>
              </w:rPr>
              <w:t>(85)</w:t>
            </w:r>
          </w:p>
        </w:tc>
      </w:tr>
      <w:tr>
        <w:trPr>
          <w:trHeight w:val="240" w:hRule="atLeast"/>
        </w:trPr>
        <w:tc>
          <w:tcPr>
            <w:tcW w:w="7785" w:type="dxa"/>
          </w:tcPr>
          <w:p>
            <w:pPr>
              <w:pStyle w:val="TableParagraph"/>
              <w:spacing w:before="3"/>
              <w:ind w:left="532"/>
              <w:rPr>
                <w:sz w:val="18"/>
              </w:rPr>
            </w:pPr>
            <w:r>
              <w:rPr>
                <w:sz w:val="18"/>
              </w:rPr>
              <w:t>Proceeds</w:t>
            </w:r>
            <w:r>
              <w:rPr>
                <w:spacing w:val="-2"/>
                <w:sz w:val="18"/>
              </w:rPr>
              <w:t> </w:t>
            </w:r>
            <w:r>
              <w:rPr>
                <w:sz w:val="18"/>
              </w:rPr>
              <w:t>from</w:t>
            </w:r>
            <w:r>
              <w:rPr>
                <w:spacing w:val="-1"/>
                <w:sz w:val="18"/>
              </w:rPr>
              <w:t> </w:t>
            </w:r>
            <w:r>
              <w:rPr>
                <w:sz w:val="18"/>
              </w:rPr>
              <w:t>sales</w:t>
            </w:r>
            <w:r>
              <w:rPr>
                <w:spacing w:val="-1"/>
                <w:sz w:val="18"/>
              </w:rPr>
              <w:t> </w:t>
            </w:r>
            <w:r>
              <w:rPr>
                <w:sz w:val="18"/>
              </w:rPr>
              <w:t>of</w:t>
            </w:r>
            <w:r>
              <w:rPr>
                <w:spacing w:val="-1"/>
                <w:sz w:val="18"/>
              </w:rPr>
              <w:t> </w:t>
            </w:r>
            <w:r>
              <w:rPr>
                <w:sz w:val="18"/>
              </w:rPr>
              <w:t>Federal</w:t>
            </w:r>
            <w:r>
              <w:rPr>
                <w:spacing w:val="-1"/>
                <w:sz w:val="18"/>
              </w:rPr>
              <w:t> </w:t>
            </w:r>
            <w:r>
              <w:rPr>
                <w:sz w:val="18"/>
              </w:rPr>
              <w:t>Reserve </w:t>
            </w:r>
            <w:r>
              <w:rPr>
                <w:spacing w:val="-2"/>
                <w:sz w:val="18"/>
              </w:rPr>
              <w:t>stock</w:t>
            </w:r>
          </w:p>
        </w:tc>
        <w:tc>
          <w:tcPr>
            <w:tcW w:w="1256" w:type="dxa"/>
          </w:tcPr>
          <w:p>
            <w:pPr>
              <w:pStyle w:val="TableParagraph"/>
              <w:spacing w:before="3"/>
              <w:ind w:right="128"/>
              <w:jc w:val="right"/>
              <w:rPr>
                <w:sz w:val="18"/>
              </w:rPr>
            </w:pPr>
            <w:r>
              <w:rPr>
                <w:spacing w:val="-5"/>
                <w:sz w:val="18"/>
              </w:rPr>
              <w:t>98</w:t>
            </w:r>
          </w:p>
        </w:tc>
        <w:tc>
          <w:tcPr>
            <w:tcW w:w="1218" w:type="dxa"/>
          </w:tcPr>
          <w:p>
            <w:pPr>
              <w:pStyle w:val="TableParagraph"/>
              <w:spacing w:before="3"/>
              <w:ind w:right="71"/>
              <w:jc w:val="right"/>
              <w:rPr>
                <w:sz w:val="18"/>
              </w:rPr>
            </w:pPr>
            <w:r>
              <w:rPr>
                <w:spacing w:val="-5"/>
                <w:sz w:val="18"/>
              </w:rPr>
              <w:t>16</w:t>
            </w:r>
          </w:p>
        </w:tc>
      </w:tr>
      <w:tr>
        <w:trPr>
          <w:trHeight w:val="235" w:hRule="atLeast"/>
        </w:trPr>
        <w:tc>
          <w:tcPr>
            <w:tcW w:w="7785" w:type="dxa"/>
            <w:tcBorders>
              <w:bottom w:val="single" w:sz="4" w:space="0" w:color="000000"/>
            </w:tcBorders>
            <w:shd w:val="clear" w:color="auto" w:fill="CCEDFF"/>
          </w:tcPr>
          <w:p>
            <w:pPr>
              <w:pStyle w:val="TableParagraph"/>
              <w:spacing w:before="3"/>
              <w:ind w:left="547"/>
              <w:rPr>
                <w:sz w:val="18"/>
              </w:rPr>
            </w:pPr>
            <w:r>
              <w:rPr>
                <w:sz w:val="18"/>
              </w:rPr>
              <w:t>Other</w:t>
            </w:r>
            <w:r>
              <w:rPr>
                <w:spacing w:val="-1"/>
                <w:sz w:val="18"/>
              </w:rPr>
              <w:t> </w:t>
            </w:r>
            <w:r>
              <w:rPr>
                <w:sz w:val="18"/>
              </w:rPr>
              <w:t>investing</w:t>
            </w:r>
            <w:r>
              <w:rPr>
                <w:spacing w:val="-1"/>
                <w:sz w:val="18"/>
              </w:rPr>
              <w:t> </w:t>
            </w:r>
            <w:r>
              <w:rPr>
                <w:spacing w:val="-2"/>
                <w:sz w:val="18"/>
              </w:rPr>
              <w:t>activities</w:t>
            </w:r>
          </w:p>
        </w:tc>
        <w:tc>
          <w:tcPr>
            <w:tcW w:w="1256" w:type="dxa"/>
            <w:tcBorders>
              <w:bottom w:val="single" w:sz="4" w:space="0" w:color="000000"/>
            </w:tcBorders>
            <w:shd w:val="clear" w:color="auto" w:fill="CCEDFF"/>
          </w:tcPr>
          <w:p>
            <w:pPr>
              <w:pStyle w:val="TableParagraph"/>
              <w:spacing w:before="3"/>
              <w:ind w:right="68"/>
              <w:jc w:val="right"/>
              <w:rPr>
                <w:sz w:val="18"/>
              </w:rPr>
            </w:pPr>
            <w:r>
              <w:rPr>
                <w:spacing w:val="-2"/>
                <w:sz w:val="18"/>
              </w:rPr>
              <w:t>(171)</w:t>
            </w:r>
          </w:p>
        </w:tc>
        <w:tc>
          <w:tcPr>
            <w:tcW w:w="1218" w:type="dxa"/>
            <w:tcBorders>
              <w:bottom w:val="single" w:sz="4" w:space="0" w:color="000000"/>
            </w:tcBorders>
            <w:shd w:val="clear" w:color="auto" w:fill="CCEDFF"/>
          </w:tcPr>
          <w:p>
            <w:pPr>
              <w:pStyle w:val="TableParagraph"/>
              <w:spacing w:before="3"/>
              <w:ind w:right="11"/>
              <w:jc w:val="right"/>
              <w:rPr>
                <w:sz w:val="18"/>
              </w:rPr>
            </w:pPr>
            <w:r>
              <w:rPr>
                <w:spacing w:val="-4"/>
                <w:sz w:val="18"/>
              </w:rPr>
              <w:t>(59)</w:t>
            </w:r>
          </w:p>
        </w:tc>
      </w:tr>
      <w:tr>
        <w:trPr>
          <w:trHeight w:val="230" w:hRule="atLeast"/>
        </w:trPr>
        <w:tc>
          <w:tcPr>
            <w:tcW w:w="7785" w:type="dxa"/>
            <w:tcBorders>
              <w:top w:val="single" w:sz="4" w:space="0" w:color="000000"/>
              <w:bottom w:val="single" w:sz="4" w:space="0" w:color="000000"/>
            </w:tcBorders>
          </w:tcPr>
          <w:p>
            <w:pPr>
              <w:pStyle w:val="TableParagraph"/>
              <w:spacing w:line="205" w:lineRule="exact"/>
              <w:ind w:left="772"/>
              <w:rPr>
                <w:sz w:val="18"/>
              </w:rPr>
            </w:pPr>
            <w:r>
              <w:rPr>
                <w:sz w:val="18"/>
              </w:rPr>
              <w:t>Net</w:t>
            </w:r>
            <w:r>
              <w:rPr>
                <w:spacing w:val="-1"/>
                <w:sz w:val="18"/>
              </w:rPr>
              <w:t> </w:t>
            </w:r>
            <w:r>
              <w:rPr>
                <w:sz w:val="18"/>
              </w:rPr>
              <w:t>cash</w:t>
            </w:r>
            <w:r>
              <w:rPr>
                <w:spacing w:val="-1"/>
                <w:sz w:val="18"/>
              </w:rPr>
              <w:t> </w:t>
            </w:r>
            <w:r>
              <w:rPr>
                <w:sz w:val="18"/>
              </w:rPr>
              <w:t>provided by</w:t>
            </w:r>
            <w:r>
              <w:rPr>
                <w:spacing w:val="-1"/>
                <w:sz w:val="18"/>
              </w:rPr>
              <w:t> </w:t>
            </w:r>
            <w:r>
              <w:rPr>
                <w:sz w:val="18"/>
              </w:rPr>
              <w:t>(used for)</w:t>
            </w:r>
            <w:r>
              <w:rPr>
                <w:spacing w:val="-1"/>
                <w:sz w:val="18"/>
              </w:rPr>
              <w:t> </w:t>
            </w:r>
            <w:r>
              <w:rPr>
                <w:sz w:val="18"/>
              </w:rPr>
              <w:t>investing </w:t>
            </w:r>
            <w:r>
              <w:rPr>
                <w:spacing w:val="-2"/>
                <w:sz w:val="18"/>
              </w:rPr>
              <w:t>activities</w:t>
            </w:r>
          </w:p>
        </w:tc>
        <w:tc>
          <w:tcPr>
            <w:tcW w:w="1256" w:type="dxa"/>
            <w:tcBorders>
              <w:top w:val="single" w:sz="4" w:space="0" w:color="000000"/>
              <w:bottom w:val="single" w:sz="4" w:space="0" w:color="000000"/>
            </w:tcBorders>
          </w:tcPr>
          <w:p>
            <w:pPr>
              <w:pStyle w:val="TableParagraph"/>
              <w:spacing w:line="205" w:lineRule="exact"/>
              <w:ind w:right="128"/>
              <w:jc w:val="right"/>
              <w:rPr>
                <w:sz w:val="18"/>
              </w:rPr>
            </w:pPr>
            <w:r>
              <w:rPr>
                <w:spacing w:val="-2"/>
                <w:sz w:val="18"/>
              </w:rPr>
              <w:t>47,729</w:t>
            </w:r>
          </w:p>
        </w:tc>
        <w:tc>
          <w:tcPr>
            <w:tcW w:w="1218" w:type="dxa"/>
            <w:tcBorders>
              <w:top w:val="single" w:sz="4" w:space="0" w:color="000000"/>
              <w:bottom w:val="single" w:sz="4" w:space="0" w:color="000000"/>
            </w:tcBorders>
          </w:tcPr>
          <w:p>
            <w:pPr>
              <w:pStyle w:val="TableParagraph"/>
              <w:spacing w:line="205" w:lineRule="exact"/>
              <w:ind w:right="71"/>
              <w:jc w:val="right"/>
              <w:rPr>
                <w:sz w:val="18"/>
              </w:rPr>
            </w:pPr>
            <w:r>
              <w:rPr>
                <w:spacing w:val="-2"/>
                <w:sz w:val="18"/>
              </w:rPr>
              <w:t>20,508</w:t>
            </w:r>
          </w:p>
        </w:tc>
      </w:tr>
      <w:tr>
        <w:trPr>
          <w:trHeight w:val="235" w:hRule="atLeast"/>
        </w:trPr>
        <w:tc>
          <w:tcPr>
            <w:tcW w:w="7785" w:type="dxa"/>
            <w:tcBorders>
              <w:top w:val="single" w:sz="4" w:space="0" w:color="000000"/>
            </w:tcBorders>
            <w:shd w:val="clear" w:color="auto" w:fill="CCEDFF"/>
          </w:tcPr>
          <w:p>
            <w:pPr>
              <w:pStyle w:val="TableParagraph"/>
              <w:spacing w:line="205" w:lineRule="exact"/>
              <w:ind w:left="52"/>
              <w:rPr>
                <w:b/>
                <w:sz w:val="18"/>
              </w:rPr>
            </w:pPr>
            <w:r>
              <w:rPr>
                <w:b/>
                <w:sz w:val="18"/>
              </w:rPr>
              <w:t>Cash</w:t>
            </w:r>
            <w:r>
              <w:rPr>
                <w:b/>
                <w:spacing w:val="-3"/>
                <w:sz w:val="18"/>
              </w:rPr>
              <w:t> </w:t>
            </w:r>
            <w:r>
              <w:rPr>
                <w:b/>
                <w:sz w:val="18"/>
              </w:rPr>
              <w:t>Flows</w:t>
            </w:r>
            <w:r>
              <w:rPr>
                <w:b/>
                <w:spacing w:val="-2"/>
                <w:sz w:val="18"/>
              </w:rPr>
              <w:t> </w:t>
            </w:r>
            <w:r>
              <w:rPr>
                <w:b/>
                <w:sz w:val="18"/>
              </w:rPr>
              <w:t>from</w:t>
            </w:r>
            <w:r>
              <w:rPr>
                <w:b/>
                <w:spacing w:val="-2"/>
                <w:sz w:val="18"/>
              </w:rPr>
              <w:t> </w:t>
            </w:r>
            <w:r>
              <w:rPr>
                <w:b/>
                <w:sz w:val="18"/>
              </w:rPr>
              <w:t>Financing</w:t>
            </w:r>
            <w:r>
              <w:rPr>
                <w:b/>
                <w:spacing w:val="-1"/>
                <w:sz w:val="18"/>
              </w:rPr>
              <w:t> </w:t>
            </w:r>
            <w:r>
              <w:rPr>
                <w:b/>
                <w:spacing w:val="-2"/>
                <w:sz w:val="18"/>
              </w:rPr>
              <w:t>Activities</w:t>
            </w:r>
          </w:p>
        </w:tc>
        <w:tc>
          <w:tcPr>
            <w:tcW w:w="1256" w:type="dxa"/>
            <w:tcBorders>
              <w:top w:val="single" w:sz="4" w:space="0" w:color="000000"/>
            </w:tcBorders>
            <w:shd w:val="clear" w:color="auto" w:fill="CCEDFF"/>
          </w:tcPr>
          <w:p>
            <w:pPr>
              <w:pStyle w:val="TableParagraph"/>
              <w:rPr>
                <w:sz w:val="16"/>
              </w:rPr>
            </w:pPr>
          </w:p>
        </w:tc>
        <w:tc>
          <w:tcPr>
            <w:tcW w:w="1218" w:type="dxa"/>
            <w:tcBorders>
              <w:top w:val="single" w:sz="4" w:space="0" w:color="000000"/>
            </w:tcBorders>
            <w:shd w:val="clear" w:color="auto" w:fill="CCEDFF"/>
          </w:tcPr>
          <w:p>
            <w:pPr>
              <w:pStyle w:val="TableParagraph"/>
              <w:rPr>
                <w:sz w:val="16"/>
              </w:rPr>
            </w:pPr>
          </w:p>
        </w:tc>
      </w:tr>
      <w:tr>
        <w:trPr>
          <w:trHeight w:val="240" w:hRule="atLeast"/>
        </w:trPr>
        <w:tc>
          <w:tcPr>
            <w:tcW w:w="7785" w:type="dxa"/>
          </w:tcPr>
          <w:p>
            <w:pPr>
              <w:pStyle w:val="TableParagraph"/>
              <w:spacing w:before="3"/>
              <w:ind w:left="547"/>
              <w:rPr>
                <w:sz w:val="18"/>
              </w:rPr>
            </w:pPr>
            <w:r>
              <w:rPr>
                <w:sz w:val="18"/>
              </w:rPr>
              <w:t>Net</w:t>
            </w:r>
            <w:r>
              <w:rPr>
                <w:spacing w:val="-1"/>
                <w:sz w:val="18"/>
              </w:rPr>
              <w:t> </w:t>
            </w:r>
            <w:r>
              <w:rPr>
                <w:sz w:val="18"/>
              </w:rPr>
              <w:t>change in bank </w:t>
            </w:r>
            <w:r>
              <w:rPr>
                <w:spacing w:val="-2"/>
                <w:sz w:val="18"/>
              </w:rPr>
              <w:t>deposits</w:t>
            </w:r>
          </w:p>
        </w:tc>
        <w:tc>
          <w:tcPr>
            <w:tcW w:w="1256" w:type="dxa"/>
          </w:tcPr>
          <w:p>
            <w:pPr>
              <w:pStyle w:val="TableParagraph"/>
              <w:spacing w:before="3"/>
              <w:ind w:right="68"/>
              <w:jc w:val="right"/>
              <w:rPr>
                <w:sz w:val="18"/>
              </w:rPr>
            </w:pPr>
            <w:r>
              <w:rPr>
                <w:spacing w:val="-2"/>
                <w:sz w:val="18"/>
              </w:rPr>
              <w:t>(82,316)</w:t>
            </w:r>
          </w:p>
        </w:tc>
        <w:tc>
          <w:tcPr>
            <w:tcW w:w="1218" w:type="dxa"/>
          </w:tcPr>
          <w:p>
            <w:pPr>
              <w:pStyle w:val="TableParagraph"/>
              <w:spacing w:before="3"/>
              <w:ind w:right="11"/>
              <w:jc w:val="right"/>
              <w:rPr>
                <w:sz w:val="18"/>
              </w:rPr>
            </w:pPr>
            <w:r>
              <w:rPr>
                <w:spacing w:val="-2"/>
                <w:sz w:val="18"/>
              </w:rPr>
              <w:t>(48,063)</w:t>
            </w:r>
          </w:p>
        </w:tc>
      </w:tr>
      <w:tr>
        <w:trPr>
          <w:trHeight w:val="240" w:hRule="atLeast"/>
        </w:trPr>
        <w:tc>
          <w:tcPr>
            <w:tcW w:w="7785" w:type="dxa"/>
            <w:shd w:val="clear" w:color="auto" w:fill="CCEDFF"/>
          </w:tcPr>
          <w:p>
            <w:pPr>
              <w:pStyle w:val="TableParagraph"/>
              <w:spacing w:before="3"/>
              <w:ind w:left="532"/>
              <w:rPr>
                <w:sz w:val="18"/>
              </w:rPr>
            </w:pPr>
            <w:r>
              <w:rPr>
                <w:sz w:val="18"/>
              </w:rPr>
              <w:t>Proceeds</w:t>
            </w:r>
            <w:r>
              <w:rPr>
                <w:spacing w:val="-2"/>
                <w:sz w:val="18"/>
              </w:rPr>
              <w:t> </w:t>
            </w:r>
            <w:r>
              <w:rPr>
                <w:sz w:val="18"/>
              </w:rPr>
              <w:t>from</w:t>
            </w:r>
            <w:r>
              <w:rPr>
                <w:spacing w:val="-1"/>
                <w:sz w:val="18"/>
              </w:rPr>
              <w:t> </w:t>
            </w:r>
            <w:r>
              <w:rPr>
                <w:sz w:val="18"/>
              </w:rPr>
              <w:t>FHLB</w:t>
            </w:r>
            <w:r>
              <w:rPr>
                <w:spacing w:val="-1"/>
                <w:sz w:val="18"/>
              </w:rPr>
              <w:t> </w:t>
            </w:r>
            <w:r>
              <w:rPr>
                <w:spacing w:val="-2"/>
                <w:sz w:val="18"/>
              </w:rPr>
              <w:t>borrowings</w:t>
            </w:r>
          </w:p>
        </w:tc>
        <w:tc>
          <w:tcPr>
            <w:tcW w:w="1256" w:type="dxa"/>
            <w:shd w:val="clear" w:color="auto" w:fill="CCEDFF"/>
          </w:tcPr>
          <w:p>
            <w:pPr>
              <w:pStyle w:val="TableParagraph"/>
              <w:spacing w:before="3"/>
              <w:ind w:right="128"/>
              <w:jc w:val="right"/>
              <w:rPr>
                <w:sz w:val="18"/>
              </w:rPr>
            </w:pPr>
            <w:r>
              <w:rPr>
                <w:spacing w:val="-2"/>
                <w:sz w:val="18"/>
              </w:rPr>
              <w:t>41,800</w:t>
            </w:r>
          </w:p>
        </w:tc>
        <w:tc>
          <w:tcPr>
            <w:tcW w:w="1218" w:type="dxa"/>
            <w:shd w:val="clear" w:color="auto" w:fill="CCEDFF"/>
          </w:tcPr>
          <w:p>
            <w:pPr>
              <w:pStyle w:val="TableParagraph"/>
              <w:spacing w:before="3"/>
              <w:ind w:right="71"/>
              <w:jc w:val="right"/>
              <w:rPr>
                <w:sz w:val="18"/>
              </w:rPr>
            </w:pPr>
            <w:r>
              <w:rPr>
                <w:spacing w:val="-10"/>
                <w:sz w:val="18"/>
              </w:rPr>
              <w:t>4</w:t>
            </w:r>
          </w:p>
        </w:tc>
      </w:tr>
      <w:tr>
        <w:trPr>
          <w:trHeight w:val="240" w:hRule="atLeast"/>
        </w:trPr>
        <w:tc>
          <w:tcPr>
            <w:tcW w:w="7785" w:type="dxa"/>
          </w:tcPr>
          <w:p>
            <w:pPr>
              <w:pStyle w:val="TableParagraph"/>
              <w:spacing w:before="3"/>
              <w:ind w:left="532"/>
              <w:rPr>
                <w:sz w:val="18"/>
              </w:rPr>
            </w:pPr>
            <w:r>
              <w:rPr>
                <w:sz w:val="18"/>
              </w:rPr>
              <w:t>Repayments</w:t>
            </w:r>
            <w:r>
              <w:rPr>
                <w:spacing w:val="-2"/>
                <w:sz w:val="18"/>
              </w:rPr>
              <w:t> </w:t>
            </w:r>
            <w:r>
              <w:rPr>
                <w:sz w:val="18"/>
              </w:rPr>
              <w:t>of</w:t>
            </w:r>
            <w:r>
              <w:rPr>
                <w:spacing w:val="-1"/>
                <w:sz w:val="18"/>
              </w:rPr>
              <w:t> </w:t>
            </w:r>
            <w:r>
              <w:rPr>
                <w:sz w:val="18"/>
              </w:rPr>
              <w:t>FHLB </w:t>
            </w:r>
            <w:r>
              <w:rPr>
                <w:spacing w:val="-2"/>
                <w:sz w:val="18"/>
              </w:rPr>
              <w:t>borrowings</w:t>
            </w:r>
          </w:p>
        </w:tc>
        <w:tc>
          <w:tcPr>
            <w:tcW w:w="1256" w:type="dxa"/>
          </w:tcPr>
          <w:p>
            <w:pPr>
              <w:pStyle w:val="TableParagraph"/>
              <w:spacing w:before="3"/>
              <w:ind w:right="68"/>
              <w:jc w:val="right"/>
              <w:rPr>
                <w:sz w:val="18"/>
              </w:rPr>
            </w:pPr>
            <w:r>
              <w:rPr>
                <w:spacing w:val="-2"/>
                <w:sz w:val="18"/>
              </w:rPr>
              <w:t>(22,400)</w:t>
            </w:r>
          </w:p>
        </w:tc>
        <w:tc>
          <w:tcPr>
            <w:tcW w:w="1218" w:type="dxa"/>
          </w:tcPr>
          <w:p>
            <w:pPr>
              <w:pStyle w:val="TableParagraph"/>
              <w:spacing w:before="3"/>
              <w:ind w:right="11"/>
              <w:jc w:val="right"/>
              <w:rPr>
                <w:sz w:val="18"/>
              </w:rPr>
            </w:pPr>
            <w:r>
              <w:rPr>
                <w:spacing w:val="-5"/>
                <w:sz w:val="18"/>
              </w:rPr>
              <w:t>(4)</w:t>
            </w:r>
          </w:p>
        </w:tc>
      </w:tr>
      <w:tr>
        <w:trPr>
          <w:trHeight w:val="240" w:hRule="atLeast"/>
        </w:trPr>
        <w:tc>
          <w:tcPr>
            <w:tcW w:w="7785" w:type="dxa"/>
            <w:shd w:val="clear" w:color="auto" w:fill="CCEDFF"/>
          </w:tcPr>
          <w:p>
            <w:pPr>
              <w:pStyle w:val="TableParagraph"/>
              <w:spacing w:before="3"/>
              <w:ind w:left="532"/>
              <w:rPr>
                <w:sz w:val="18"/>
              </w:rPr>
            </w:pPr>
            <w:r>
              <w:rPr>
                <w:sz w:val="18"/>
              </w:rPr>
              <w:t>Proceeds</w:t>
            </w:r>
            <w:r>
              <w:rPr>
                <w:spacing w:val="-2"/>
                <w:sz w:val="18"/>
              </w:rPr>
              <w:t> </w:t>
            </w:r>
            <w:r>
              <w:rPr>
                <w:sz w:val="18"/>
              </w:rPr>
              <w:t>from other</w:t>
            </w:r>
            <w:r>
              <w:rPr>
                <w:spacing w:val="-1"/>
                <w:sz w:val="18"/>
              </w:rPr>
              <w:t> </w:t>
            </w:r>
            <w:r>
              <w:rPr>
                <w:sz w:val="18"/>
              </w:rPr>
              <w:t>short-term </w:t>
            </w:r>
            <w:r>
              <w:rPr>
                <w:spacing w:val="-2"/>
                <w:sz w:val="18"/>
              </w:rPr>
              <w:t>borrowings</w:t>
            </w:r>
          </w:p>
        </w:tc>
        <w:tc>
          <w:tcPr>
            <w:tcW w:w="1256" w:type="dxa"/>
            <w:shd w:val="clear" w:color="auto" w:fill="CCEDFF"/>
          </w:tcPr>
          <w:p>
            <w:pPr>
              <w:pStyle w:val="TableParagraph"/>
              <w:spacing w:before="3"/>
              <w:ind w:right="128"/>
              <w:jc w:val="right"/>
              <w:rPr>
                <w:sz w:val="18"/>
              </w:rPr>
            </w:pPr>
            <w:r>
              <w:rPr>
                <w:spacing w:val="-2"/>
                <w:sz w:val="18"/>
              </w:rPr>
              <w:t>14,190</w:t>
            </w:r>
          </w:p>
        </w:tc>
        <w:tc>
          <w:tcPr>
            <w:tcW w:w="1218" w:type="dxa"/>
            <w:shd w:val="clear" w:color="auto" w:fill="CCEDFF"/>
          </w:tcPr>
          <w:p>
            <w:pPr>
              <w:pStyle w:val="TableParagraph"/>
              <w:spacing w:before="3"/>
              <w:ind w:right="71"/>
              <w:jc w:val="right"/>
              <w:rPr>
                <w:sz w:val="18"/>
              </w:rPr>
            </w:pPr>
            <w:r>
              <w:rPr>
                <w:spacing w:val="-2"/>
                <w:sz w:val="18"/>
              </w:rPr>
              <w:t>14,999</w:t>
            </w:r>
          </w:p>
        </w:tc>
      </w:tr>
      <w:tr>
        <w:trPr>
          <w:trHeight w:val="240" w:hRule="atLeast"/>
        </w:trPr>
        <w:tc>
          <w:tcPr>
            <w:tcW w:w="7785" w:type="dxa"/>
          </w:tcPr>
          <w:p>
            <w:pPr>
              <w:pStyle w:val="TableParagraph"/>
              <w:spacing w:before="3"/>
              <w:ind w:left="532"/>
              <w:rPr>
                <w:sz w:val="18"/>
              </w:rPr>
            </w:pPr>
            <w:r>
              <w:rPr>
                <w:sz w:val="18"/>
              </w:rPr>
              <w:t>Repayments</w:t>
            </w:r>
            <w:r>
              <w:rPr>
                <w:spacing w:val="-2"/>
                <w:sz w:val="18"/>
              </w:rPr>
              <w:t> </w:t>
            </w:r>
            <w:r>
              <w:rPr>
                <w:sz w:val="18"/>
              </w:rPr>
              <w:t>of other short-term </w:t>
            </w:r>
            <w:r>
              <w:rPr>
                <w:spacing w:val="-2"/>
                <w:sz w:val="18"/>
              </w:rPr>
              <w:t>borrowings</w:t>
            </w:r>
          </w:p>
        </w:tc>
        <w:tc>
          <w:tcPr>
            <w:tcW w:w="1256" w:type="dxa"/>
          </w:tcPr>
          <w:p>
            <w:pPr>
              <w:pStyle w:val="TableParagraph"/>
              <w:spacing w:before="3"/>
              <w:ind w:right="68"/>
              <w:jc w:val="right"/>
              <w:rPr>
                <w:sz w:val="18"/>
              </w:rPr>
            </w:pPr>
            <w:r>
              <w:rPr>
                <w:spacing w:val="-2"/>
                <w:sz w:val="18"/>
              </w:rPr>
              <w:t>(11,296)</w:t>
            </w:r>
          </w:p>
        </w:tc>
        <w:tc>
          <w:tcPr>
            <w:tcW w:w="1218" w:type="dxa"/>
          </w:tcPr>
          <w:p>
            <w:pPr>
              <w:pStyle w:val="TableParagraph"/>
              <w:spacing w:before="3"/>
              <w:ind w:right="11"/>
              <w:jc w:val="right"/>
              <w:rPr>
                <w:sz w:val="18"/>
              </w:rPr>
            </w:pPr>
            <w:r>
              <w:rPr>
                <w:spacing w:val="-2"/>
                <w:sz w:val="18"/>
              </w:rPr>
              <w:t>(19,357)</w:t>
            </w:r>
          </w:p>
        </w:tc>
      </w:tr>
      <w:tr>
        <w:trPr>
          <w:trHeight w:val="240" w:hRule="atLeast"/>
        </w:trPr>
        <w:tc>
          <w:tcPr>
            <w:tcW w:w="7785" w:type="dxa"/>
            <w:shd w:val="clear" w:color="auto" w:fill="CCEDFF"/>
          </w:tcPr>
          <w:p>
            <w:pPr>
              <w:pStyle w:val="TableParagraph"/>
              <w:spacing w:before="3"/>
              <w:ind w:left="547"/>
              <w:rPr>
                <w:sz w:val="18"/>
              </w:rPr>
            </w:pPr>
            <w:r>
              <w:rPr>
                <w:sz w:val="18"/>
              </w:rPr>
              <w:t>Issuances</w:t>
            </w:r>
            <w:r>
              <w:rPr>
                <w:spacing w:val="-2"/>
                <w:sz w:val="18"/>
              </w:rPr>
              <w:t> </w:t>
            </w:r>
            <w:r>
              <w:rPr>
                <w:sz w:val="18"/>
              </w:rPr>
              <w:t>of</w:t>
            </w:r>
            <w:r>
              <w:rPr>
                <w:spacing w:val="-1"/>
                <w:sz w:val="18"/>
              </w:rPr>
              <w:t> </w:t>
            </w:r>
            <w:r>
              <w:rPr>
                <w:sz w:val="18"/>
              </w:rPr>
              <w:t>long-term </w:t>
            </w:r>
            <w:r>
              <w:rPr>
                <w:spacing w:val="-4"/>
                <w:sz w:val="18"/>
              </w:rPr>
              <w:t>debt</w:t>
            </w:r>
          </w:p>
        </w:tc>
        <w:tc>
          <w:tcPr>
            <w:tcW w:w="1256" w:type="dxa"/>
            <w:shd w:val="clear" w:color="auto" w:fill="CCEDFF"/>
          </w:tcPr>
          <w:p>
            <w:pPr>
              <w:pStyle w:val="TableParagraph"/>
              <w:spacing w:before="3"/>
              <w:ind w:right="128"/>
              <w:jc w:val="right"/>
              <w:rPr>
                <w:sz w:val="18"/>
              </w:rPr>
            </w:pPr>
            <w:r>
              <w:rPr>
                <w:spacing w:val="-2"/>
                <w:sz w:val="18"/>
              </w:rPr>
              <w:t>4,809</w:t>
            </w:r>
          </w:p>
        </w:tc>
        <w:tc>
          <w:tcPr>
            <w:tcW w:w="1218" w:type="dxa"/>
            <w:shd w:val="clear" w:color="auto" w:fill="CCEDFF"/>
          </w:tcPr>
          <w:p>
            <w:pPr>
              <w:pStyle w:val="TableParagraph"/>
              <w:spacing w:before="3"/>
              <w:ind w:right="71"/>
              <w:jc w:val="right"/>
              <w:rPr>
                <w:sz w:val="18"/>
              </w:rPr>
            </w:pPr>
            <w:r>
              <w:rPr>
                <w:spacing w:val="-2"/>
                <w:sz w:val="18"/>
              </w:rPr>
              <w:t>2,971</w:t>
            </w:r>
          </w:p>
        </w:tc>
      </w:tr>
      <w:tr>
        <w:trPr>
          <w:trHeight w:val="240" w:hRule="atLeast"/>
        </w:trPr>
        <w:tc>
          <w:tcPr>
            <w:tcW w:w="7785" w:type="dxa"/>
          </w:tcPr>
          <w:p>
            <w:pPr>
              <w:pStyle w:val="TableParagraph"/>
              <w:spacing w:before="3"/>
              <w:ind w:left="547"/>
              <w:rPr>
                <w:sz w:val="18"/>
              </w:rPr>
            </w:pPr>
            <w:r>
              <w:rPr>
                <w:sz w:val="18"/>
              </w:rPr>
              <w:t>Repayments</w:t>
            </w:r>
            <w:r>
              <w:rPr>
                <w:spacing w:val="-1"/>
                <w:sz w:val="18"/>
              </w:rPr>
              <w:t> </w:t>
            </w:r>
            <w:r>
              <w:rPr>
                <w:sz w:val="18"/>
              </w:rPr>
              <w:t>of long-term </w:t>
            </w:r>
            <w:r>
              <w:rPr>
                <w:spacing w:val="-4"/>
                <w:sz w:val="18"/>
              </w:rPr>
              <w:t>debt</w:t>
            </w:r>
          </w:p>
        </w:tc>
        <w:tc>
          <w:tcPr>
            <w:tcW w:w="1256" w:type="dxa"/>
          </w:tcPr>
          <w:p>
            <w:pPr>
              <w:pStyle w:val="TableParagraph"/>
              <w:spacing w:before="3"/>
              <w:ind w:right="68"/>
              <w:jc w:val="right"/>
              <w:rPr>
                <w:sz w:val="18"/>
              </w:rPr>
            </w:pPr>
            <w:r>
              <w:rPr>
                <w:spacing w:val="-2"/>
                <w:sz w:val="18"/>
              </w:rPr>
              <w:t>(823)</w:t>
            </w:r>
          </w:p>
        </w:tc>
        <w:tc>
          <w:tcPr>
            <w:tcW w:w="1218" w:type="dxa"/>
          </w:tcPr>
          <w:p>
            <w:pPr>
              <w:pStyle w:val="TableParagraph"/>
              <w:spacing w:before="3"/>
              <w:ind w:right="11"/>
              <w:jc w:val="right"/>
              <w:rPr>
                <w:sz w:val="18"/>
              </w:rPr>
            </w:pPr>
            <w:r>
              <w:rPr>
                <w:spacing w:val="-2"/>
                <w:sz w:val="18"/>
              </w:rPr>
              <w:t>(1,029)</w:t>
            </w:r>
          </w:p>
        </w:tc>
      </w:tr>
      <w:tr>
        <w:trPr>
          <w:trHeight w:val="240" w:hRule="atLeast"/>
        </w:trPr>
        <w:tc>
          <w:tcPr>
            <w:tcW w:w="7785" w:type="dxa"/>
            <w:shd w:val="clear" w:color="auto" w:fill="CCEDFF"/>
          </w:tcPr>
          <w:p>
            <w:pPr>
              <w:pStyle w:val="TableParagraph"/>
              <w:spacing w:before="3"/>
              <w:ind w:left="547"/>
              <w:rPr>
                <w:sz w:val="18"/>
              </w:rPr>
            </w:pPr>
            <w:r>
              <w:rPr>
                <w:sz w:val="18"/>
              </w:rPr>
              <w:t>Net</w:t>
            </w:r>
            <w:r>
              <w:rPr>
                <w:spacing w:val="-1"/>
                <w:sz w:val="18"/>
              </w:rPr>
              <w:t> </w:t>
            </w:r>
            <w:r>
              <w:rPr>
                <w:sz w:val="18"/>
              </w:rPr>
              <w:t>proceeds</w:t>
            </w:r>
            <w:r>
              <w:rPr>
                <w:spacing w:val="-1"/>
                <w:sz w:val="18"/>
              </w:rPr>
              <w:t> </w:t>
            </w:r>
            <w:r>
              <w:rPr>
                <w:sz w:val="18"/>
              </w:rPr>
              <w:t>from</w:t>
            </w:r>
            <w:r>
              <w:rPr>
                <w:spacing w:val="-1"/>
                <w:sz w:val="18"/>
              </w:rPr>
              <w:t> </w:t>
            </w:r>
            <w:r>
              <w:rPr>
                <w:sz w:val="18"/>
              </w:rPr>
              <w:t>preferred stock </w:t>
            </w:r>
            <w:r>
              <w:rPr>
                <w:spacing w:val="-2"/>
                <w:sz w:val="18"/>
              </w:rPr>
              <w:t>offerings</w:t>
            </w:r>
          </w:p>
        </w:tc>
        <w:tc>
          <w:tcPr>
            <w:tcW w:w="1256" w:type="dxa"/>
            <w:shd w:val="clear" w:color="auto" w:fill="CCEDFF"/>
          </w:tcPr>
          <w:p>
            <w:pPr>
              <w:pStyle w:val="TableParagraph"/>
              <w:spacing w:before="3"/>
              <w:ind w:right="128"/>
              <w:jc w:val="right"/>
              <w:rPr>
                <w:sz w:val="18"/>
              </w:rPr>
            </w:pPr>
            <w:r>
              <w:rPr>
                <w:spacing w:val="-10"/>
                <w:sz w:val="18"/>
              </w:rPr>
              <w:t>—</w:t>
            </w:r>
          </w:p>
        </w:tc>
        <w:tc>
          <w:tcPr>
            <w:tcW w:w="1218" w:type="dxa"/>
            <w:shd w:val="clear" w:color="auto" w:fill="CCEDFF"/>
          </w:tcPr>
          <w:p>
            <w:pPr>
              <w:pStyle w:val="TableParagraph"/>
              <w:spacing w:before="3"/>
              <w:ind w:right="71"/>
              <w:jc w:val="right"/>
              <w:rPr>
                <w:sz w:val="18"/>
              </w:rPr>
            </w:pPr>
            <w:r>
              <w:rPr>
                <w:spacing w:val="-5"/>
                <w:sz w:val="18"/>
              </w:rPr>
              <w:t>740</w:t>
            </w:r>
          </w:p>
        </w:tc>
      </w:tr>
      <w:tr>
        <w:trPr>
          <w:trHeight w:val="240" w:hRule="atLeast"/>
        </w:trPr>
        <w:tc>
          <w:tcPr>
            <w:tcW w:w="7785" w:type="dxa"/>
          </w:tcPr>
          <w:p>
            <w:pPr>
              <w:pStyle w:val="TableParagraph"/>
              <w:spacing w:before="3"/>
              <w:ind w:left="532"/>
              <w:rPr>
                <w:sz w:val="18"/>
              </w:rPr>
            </w:pPr>
            <w:r>
              <w:rPr>
                <w:sz w:val="18"/>
              </w:rPr>
              <w:t>Redemption</w:t>
            </w:r>
            <w:r>
              <w:rPr>
                <w:spacing w:val="-1"/>
                <w:sz w:val="18"/>
              </w:rPr>
              <w:t> </w:t>
            </w:r>
            <w:r>
              <w:rPr>
                <w:sz w:val="18"/>
              </w:rPr>
              <w:t>and repurchase of preferred </w:t>
            </w:r>
            <w:r>
              <w:rPr>
                <w:spacing w:val="-2"/>
                <w:sz w:val="18"/>
              </w:rPr>
              <w:t>stock</w:t>
            </w:r>
          </w:p>
        </w:tc>
        <w:tc>
          <w:tcPr>
            <w:tcW w:w="1256" w:type="dxa"/>
          </w:tcPr>
          <w:p>
            <w:pPr>
              <w:pStyle w:val="TableParagraph"/>
              <w:spacing w:before="3"/>
              <w:ind w:right="68"/>
              <w:jc w:val="right"/>
              <w:rPr>
                <w:sz w:val="18"/>
              </w:rPr>
            </w:pPr>
            <w:r>
              <w:rPr>
                <w:spacing w:val="-2"/>
                <w:sz w:val="18"/>
              </w:rPr>
              <w:t>(467)</w:t>
            </w:r>
          </w:p>
        </w:tc>
        <w:tc>
          <w:tcPr>
            <w:tcW w:w="1218" w:type="dxa"/>
          </w:tcPr>
          <w:p>
            <w:pPr>
              <w:pStyle w:val="TableParagraph"/>
              <w:spacing w:before="3"/>
              <w:ind w:right="71"/>
              <w:jc w:val="right"/>
              <w:rPr>
                <w:sz w:val="18"/>
              </w:rPr>
            </w:pPr>
            <w:r>
              <w:rPr>
                <w:spacing w:val="-10"/>
                <w:sz w:val="18"/>
              </w:rPr>
              <w:t>—</w:t>
            </w:r>
          </w:p>
        </w:tc>
      </w:tr>
      <w:tr>
        <w:trPr>
          <w:trHeight w:val="240" w:hRule="atLeast"/>
        </w:trPr>
        <w:tc>
          <w:tcPr>
            <w:tcW w:w="7785" w:type="dxa"/>
            <w:shd w:val="clear" w:color="auto" w:fill="CCEDFF"/>
          </w:tcPr>
          <w:p>
            <w:pPr>
              <w:pStyle w:val="TableParagraph"/>
              <w:spacing w:before="3"/>
              <w:ind w:left="547"/>
              <w:rPr>
                <w:sz w:val="18"/>
              </w:rPr>
            </w:pPr>
            <w:r>
              <w:rPr>
                <w:sz w:val="18"/>
              </w:rPr>
              <w:t>Dividends</w:t>
            </w:r>
            <w:r>
              <w:rPr>
                <w:spacing w:val="-2"/>
                <w:sz w:val="18"/>
              </w:rPr>
              <w:t> </w:t>
            </w:r>
            <w:r>
              <w:rPr>
                <w:spacing w:val="-4"/>
                <w:sz w:val="18"/>
              </w:rPr>
              <w:t>paid</w:t>
            </w:r>
          </w:p>
        </w:tc>
        <w:tc>
          <w:tcPr>
            <w:tcW w:w="1256" w:type="dxa"/>
            <w:shd w:val="clear" w:color="auto" w:fill="CCEDFF"/>
          </w:tcPr>
          <w:p>
            <w:pPr>
              <w:pStyle w:val="TableParagraph"/>
              <w:spacing w:before="3"/>
              <w:ind w:right="68"/>
              <w:jc w:val="right"/>
              <w:rPr>
                <w:sz w:val="18"/>
              </w:rPr>
            </w:pPr>
            <w:r>
              <w:rPr>
                <w:spacing w:val="-2"/>
                <w:sz w:val="18"/>
              </w:rPr>
              <w:t>(1,703)</w:t>
            </w:r>
          </w:p>
        </w:tc>
        <w:tc>
          <w:tcPr>
            <w:tcW w:w="1218" w:type="dxa"/>
            <w:shd w:val="clear" w:color="auto" w:fill="CCEDFF"/>
          </w:tcPr>
          <w:p>
            <w:pPr>
              <w:pStyle w:val="TableParagraph"/>
              <w:spacing w:before="3"/>
              <w:ind w:right="11"/>
              <w:jc w:val="right"/>
              <w:rPr>
                <w:sz w:val="18"/>
              </w:rPr>
            </w:pPr>
            <w:r>
              <w:rPr>
                <w:spacing w:val="-2"/>
                <w:sz w:val="18"/>
              </w:rPr>
              <w:t>(1,559)</w:t>
            </w:r>
          </w:p>
        </w:tc>
      </w:tr>
      <w:tr>
        <w:trPr>
          <w:trHeight w:val="240" w:hRule="atLeast"/>
        </w:trPr>
        <w:tc>
          <w:tcPr>
            <w:tcW w:w="7785" w:type="dxa"/>
          </w:tcPr>
          <w:p>
            <w:pPr>
              <w:pStyle w:val="TableParagraph"/>
              <w:spacing w:before="3"/>
              <w:ind w:left="547"/>
              <w:rPr>
                <w:sz w:val="18"/>
              </w:rPr>
            </w:pPr>
            <w:r>
              <w:rPr>
                <w:sz w:val="18"/>
              </w:rPr>
              <w:t>Proceeds</w:t>
            </w:r>
            <w:r>
              <w:rPr>
                <w:spacing w:val="-2"/>
                <w:sz w:val="18"/>
              </w:rPr>
              <w:t> </w:t>
            </w:r>
            <w:r>
              <w:rPr>
                <w:sz w:val="18"/>
              </w:rPr>
              <w:t>from stock</w:t>
            </w:r>
            <w:r>
              <w:rPr>
                <w:spacing w:val="-1"/>
                <w:sz w:val="18"/>
              </w:rPr>
              <w:t> </w:t>
            </w:r>
            <w:r>
              <w:rPr>
                <w:sz w:val="18"/>
              </w:rPr>
              <w:t>options</w:t>
            </w:r>
            <w:r>
              <w:rPr>
                <w:spacing w:val="-1"/>
                <w:sz w:val="18"/>
              </w:rPr>
              <w:t> </w:t>
            </w:r>
            <w:r>
              <w:rPr>
                <w:spacing w:val="-2"/>
                <w:sz w:val="18"/>
              </w:rPr>
              <w:t>exercised</w:t>
            </w:r>
          </w:p>
        </w:tc>
        <w:tc>
          <w:tcPr>
            <w:tcW w:w="1256" w:type="dxa"/>
          </w:tcPr>
          <w:p>
            <w:pPr>
              <w:pStyle w:val="TableParagraph"/>
              <w:spacing w:before="3"/>
              <w:ind w:right="128"/>
              <w:jc w:val="right"/>
              <w:rPr>
                <w:sz w:val="18"/>
              </w:rPr>
            </w:pPr>
            <w:r>
              <w:rPr>
                <w:spacing w:val="-5"/>
                <w:sz w:val="18"/>
              </w:rPr>
              <w:t>33</w:t>
            </w:r>
          </w:p>
        </w:tc>
        <w:tc>
          <w:tcPr>
            <w:tcW w:w="1218" w:type="dxa"/>
          </w:tcPr>
          <w:p>
            <w:pPr>
              <w:pStyle w:val="TableParagraph"/>
              <w:spacing w:before="3"/>
              <w:ind w:right="71"/>
              <w:jc w:val="right"/>
              <w:rPr>
                <w:sz w:val="18"/>
              </w:rPr>
            </w:pPr>
            <w:r>
              <w:rPr>
                <w:spacing w:val="-5"/>
                <w:sz w:val="18"/>
              </w:rPr>
              <w:t>42</w:t>
            </w:r>
          </w:p>
        </w:tc>
      </w:tr>
      <w:tr>
        <w:trPr>
          <w:trHeight w:val="240" w:hRule="atLeast"/>
        </w:trPr>
        <w:tc>
          <w:tcPr>
            <w:tcW w:w="7785" w:type="dxa"/>
            <w:shd w:val="clear" w:color="auto" w:fill="CCEDFF"/>
          </w:tcPr>
          <w:p>
            <w:pPr>
              <w:pStyle w:val="TableParagraph"/>
              <w:spacing w:before="3"/>
              <w:ind w:left="547"/>
              <w:rPr>
                <w:sz w:val="18"/>
              </w:rPr>
            </w:pPr>
            <w:r>
              <w:rPr>
                <w:sz w:val="18"/>
              </w:rPr>
              <w:t>Repurchases</w:t>
            </w:r>
            <w:r>
              <w:rPr>
                <w:spacing w:val="-2"/>
                <w:sz w:val="18"/>
              </w:rPr>
              <w:t> </w:t>
            </w:r>
            <w:r>
              <w:rPr>
                <w:sz w:val="18"/>
              </w:rPr>
              <w:t>of common stock</w:t>
            </w:r>
            <w:r>
              <w:rPr>
                <w:spacing w:val="-1"/>
                <w:sz w:val="18"/>
              </w:rPr>
              <w:t> </w:t>
            </w:r>
            <w:r>
              <w:rPr>
                <w:sz w:val="18"/>
              </w:rPr>
              <w:t>and nonvoting common </w:t>
            </w:r>
            <w:r>
              <w:rPr>
                <w:spacing w:val="-2"/>
                <w:sz w:val="18"/>
              </w:rPr>
              <w:t>stock</w:t>
            </w:r>
          </w:p>
        </w:tc>
        <w:tc>
          <w:tcPr>
            <w:tcW w:w="1256" w:type="dxa"/>
            <w:shd w:val="clear" w:color="auto" w:fill="CCEDFF"/>
          </w:tcPr>
          <w:p>
            <w:pPr>
              <w:pStyle w:val="TableParagraph"/>
              <w:spacing w:before="3"/>
              <w:ind w:right="68"/>
              <w:jc w:val="right"/>
              <w:rPr>
                <w:sz w:val="18"/>
              </w:rPr>
            </w:pPr>
            <w:r>
              <w:rPr>
                <w:spacing w:val="-2"/>
                <w:sz w:val="18"/>
              </w:rPr>
              <w:t>(2,842)</w:t>
            </w:r>
          </w:p>
        </w:tc>
        <w:tc>
          <w:tcPr>
            <w:tcW w:w="1218" w:type="dxa"/>
            <w:shd w:val="clear" w:color="auto" w:fill="CCEDFF"/>
          </w:tcPr>
          <w:p>
            <w:pPr>
              <w:pStyle w:val="TableParagraph"/>
              <w:spacing w:before="3"/>
              <w:ind w:right="11"/>
              <w:jc w:val="right"/>
              <w:rPr>
                <w:sz w:val="18"/>
              </w:rPr>
            </w:pPr>
            <w:r>
              <w:rPr>
                <w:spacing w:val="-2"/>
                <w:sz w:val="18"/>
              </w:rPr>
              <w:t>(1,455)</w:t>
            </w:r>
          </w:p>
        </w:tc>
      </w:tr>
      <w:tr>
        <w:trPr>
          <w:trHeight w:val="235" w:hRule="atLeast"/>
        </w:trPr>
        <w:tc>
          <w:tcPr>
            <w:tcW w:w="7785" w:type="dxa"/>
            <w:tcBorders>
              <w:bottom w:val="single" w:sz="4" w:space="0" w:color="000000"/>
            </w:tcBorders>
          </w:tcPr>
          <w:p>
            <w:pPr>
              <w:pStyle w:val="TableParagraph"/>
              <w:spacing w:before="3"/>
              <w:ind w:left="547"/>
              <w:rPr>
                <w:sz w:val="18"/>
              </w:rPr>
            </w:pPr>
            <w:r>
              <w:rPr>
                <w:sz w:val="18"/>
              </w:rPr>
              <w:t>Other</w:t>
            </w:r>
            <w:r>
              <w:rPr>
                <w:spacing w:val="-1"/>
                <w:sz w:val="18"/>
              </w:rPr>
              <w:t> </w:t>
            </w:r>
            <w:r>
              <w:rPr>
                <w:sz w:val="18"/>
              </w:rPr>
              <w:t>financing </w:t>
            </w:r>
            <w:r>
              <w:rPr>
                <w:spacing w:val="-2"/>
                <w:sz w:val="18"/>
              </w:rPr>
              <w:t>activities</w:t>
            </w:r>
          </w:p>
        </w:tc>
        <w:tc>
          <w:tcPr>
            <w:tcW w:w="1256" w:type="dxa"/>
            <w:tcBorders>
              <w:bottom w:val="single" w:sz="4" w:space="0" w:color="000000"/>
            </w:tcBorders>
          </w:tcPr>
          <w:p>
            <w:pPr>
              <w:pStyle w:val="TableParagraph"/>
              <w:spacing w:before="3"/>
              <w:ind w:right="68"/>
              <w:jc w:val="right"/>
              <w:rPr>
                <w:sz w:val="18"/>
              </w:rPr>
            </w:pPr>
            <w:r>
              <w:rPr>
                <w:spacing w:val="-4"/>
                <w:sz w:val="18"/>
              </w:rPr>
              <w:t>(77)</w:t>
            </w:r>
          </w:p>
        </w:tc>
        <w:tc>
          <w:tcPr>
            <w:tcW w:w="1218" w:type="dxa"/>
            <w:tcBorders>
              <w:bottom w:val="single" w:sz="4" w:space="0" w:color="000000"/>
            </w:tcBorders>
          </w:tcPr>
          <w:p>
            <w:pPr>
              <w:pStyle w:val="TableParagraph"/>
              <w:spacing w:before="3"/>
              <w:ind w:right="11"/>
              <w:jc w:val="right"/>
              <w:rPr>
                <w:sz w:val="18"/>
              </w:rPr>
            </w:pPr>
            <w:r>
              <w:rPr>
                <w:spacing w:val="-4"/>
                <w:sz w:val="18"/>
              </w:rPr>
              <w:t>(53)</w:t>
            </w:r>
          </w:p>
        </w:tc>
      </w:tr>
      <w:tr>
        <w:trPr>
          <w:trHeight w:val="230" w:hRule="atLeast"/>
        </w:trPr>
        <w:tc>
          <w:tcPr>
            <w:tcW w:w="7785" w:type="dxa"/>
            <w:tcBorders>
              <w:top w:val="single" w:sz="4" w:space="0" w:color="000000"/>
              <w:bottom w:val="single" w:sz="4" w:space="0" w:color="000000"/>
            </w:tcBorders>
            <w:shd w:val="clear" w:color="auto" w:fill="CCEDFF"/>
          </w:tcPr>
          <w:p>
            <w:pPr>
              <w:pStyle w:val="TableParagraph"/>
              <w:spacing w:line="205" w:lineRule="exact"/>
              <w:ind w:left="772"/>
              <w:rPr>
                <w:sz w:val="18"/>
              </w:rPr>
            </w:pPr>
            <w:r>
              <w:rPr>
                <w:sz w:val="18"/>
              </w:rPr>
              <w:t>Net</w:t>
            </w:r>
            <w:r>
              <w:rPr>
                <w:spacing w:val="-1"/>
                <w:sz w:val="18"/>
              </w:rPr>
              <w:t> </w:t>
            </w:r>
            <w:r>
              <w:rPr>
                <w:sz w:val="18"/>
              </w:rPr>
              <w:t>cash provided</w:t>
            </w:r>
            <w:r>
              <w:rPr>
                <w:spacing w:val="-1"/>
                <w:sz w:val="18"/>
              </w:rPr>
              <w:t> </w:t>
            </w:r>
            <w:r>
              <w:rPr>
                <w:sz w:val="18"/>
              </w:rPr>
              <w:t>by (used</w:t>
            </w:r>
            <w:r>
              <w:rPr>
                <w:spacing w:val="-1"/>
                <w:sz w:val="18"/>
              </w:rPr>
              <w:t> </w:t>
            </w:r>
            <w:r>
              <w:rPr>
                <w:sz w:val="18"/>
              </w:rPr>
              <w:t>for) financing </w:t>
            </w:r>
            <w:r>
              <w:rPr>
                <w:spacing w:val="-2"/>
                <w:sz w:val="18"/>
              </w:rPr>
              <w:t>activities</w:t>
            </w:r>
          </w:p>
        </w:tc>
        <w:tc>
          <w:tcPr>
            <w:tcW w:w="1256" w:type="dxa"/>
            <w:tcBorders>
              <w:top w:val="single" w:sz="4" w:space="0" w:color="000000"/>
              <w:bottom w:val="single" w:sz="4" w:space="0" w:color="000000"/>
            </w:tcBorders>
            <w:shd w:val="clear" w:color="auto" w:fill="CCEDFF"/>
          </w:tcPr>
          <w:p>
            <w:pPr>
              <w:pStyle w:val="TableParagraph"/>
              <w:spacing w:line="205" w:lineRule="exact"/>
              <w:ind w:right="68"/>
              <w:jc w:val="right"/>
              <w:rPr>
                <w:sz w:val="18"/>
              </w:rPr>
            </w:pPr>
            <w:r>
              <w:rPr>
                <w:spacing w:val="-2"/>
                <w:sz w:val="18"/>
              </w:rPr>
              <w:t>(61,092)</w:t>
            </w:r>
          </w:p>
        </w:tc>
        <w:tc>
          <w:tcPr>
            <w:tcW w:w="1218" w:type="dxa"/>
            <w:tcBorders>
              <w:top w:val="single" w:sz="4" w:space="0" w:color="000000"/>
              <w:bottom w:val="single" w:sz="4" w:space="0" w:color="000000"/>
            </w:tcBorders>
            <w:shd w:val="clear" w:color="auto" w:fill="CCEDFF"/>
          </w:tcPr>
          <w:p>
            <w:pPr>
              <w:pStyle w:val="TableParagraph"/>
              <w:spacing w:line="205" w:lineRule="exact"/>
              <w:ind w:right="11"/>
              <w:jc w:val="right"/>
              <w:rPr>
                <w:sz w:val="18"/>
              </w:rPr>
            </w:pPr>
            <w:r>
              <w:rPr>
                <w:spacing w:val="-2"/>
                <w:sz w:val="18"/>
              </w:rPr>
              <w:t>(52,764)</w:t>
            </w:r>
          </w:p>
        </w:tc>
      </w:tr>
      <w:tr>
        <w:trPr>
          <w:trHeight w:val="235" w:hRule="atLeast"/>
        </w:trPr>
        <w:tc>
          <w:tcPr>
            <w:tcW w:w="7785" w:type="dxa"/>
            <w:tcBorders>
              <w:top w:val="single" w:sz="4" w:space="0" w:color="000000"/>
            </w:tcBorders>
          </w:tcPr>
          <w:p>
            <w:pPr>
              <w:pStyle w:val="TableParagraph"/>
              <w:spacing w:line="205" w:lineRule="exact"/>
              <w:ind w:left="52"/>
              <w:rPr>
                <w:b/>
                <w:sz w:val="18"/>
              </w:rPr>
            </w:pPr>
            <w:r>
              <w:rPr>
                <w:b/>
                <w:sz w:val="18"/>
              </w:rPr>
              <w:t>Increase</w:t>
            </w:r>
            <w:r>
              <w:rPr>
                <w:b/>
                <w:spacing w:val="-5"/>
                <w:sz w:val="18"/>
              </w:rPr>
              <w:t> </w:t>
            </w:r>
            <w:r>
              <w:rPr>
                <w:b/>
                <w:sz w:val="18"/>
              </w:rPr>
              <w:t>(Decrease)</w:t>
            </w:r>
            <w:r>
              <w:rPr>
                <w:b/>
                <w:spacing w:val="-2"/>
                <w:sz w:val="18"/>
              </w:rPr>
              <w:t> </w:t>
            </w:r>
            <w:r>
              <w:rPr>
                <w:b/>
                <w:sz w:val="18"/>
              </w:rPr>
              <w:t>in</w:t>
            </w:r>
            <w:r>
              <w:rPr>
                <w:b/>
                <w:spacing w:val="-4"/>
                <w:sz w:val="18"/>
              </w:rPr>
              <w:t> </w:t>
            </w:r>
            <w:r>
              <w:rPr>
                <w:b/>
                <w:sz w:val="18"/>
              </w:rPr>
              <w:t>Cash</w:t>
            </w:r>
            <w:r>
              <w:rPr>
                <w:b/>
                <w:spacing w:val="-3"/>
                <w:sz w:val="18"/>
              </w:rPr>
              <w:t> </w:t>
            </w:r>
            <w:r>
              <w:rPr>
                <w:b/>
                <w:sz w:val="18"/>
              </w:rPr>
              <w:t>and</w:t>
            </w:r>
            <w:r>
              <w:rPr>
                <w:b/>
                <w:spacing w:val="-3"/>
                <w:sz w:val="18"/>
              </w:rPr>
              <w:t> </w:t>
            </w:r>
            <w:r>
              <w:rPr>
                <w:b/>
                <w:sz w:val="18"/>
              </w:rPr>
              <w:t>Cash</w:t>
            </w:r>
            <w:r>
              <w:rPr>
                <w:b/>
                <w:spacing w:val="-3"/>
                <w:sz w:val="18"/>
              </w:rPr>
              <w:t> </w:t>
            </w:r>
            <w:r>
              <w:rPr>
                <w:b/>
                <w:sz w:val="18"/>
              </w:rPr>
              <w:t>Equivalents,</w:t>
            </w:r>
            <w:r>
              <w:rPr>
                <w:b/>
                <w:spacing w:val="-3"/>
                <w:sz w:val="18"/>
              </w:rPr>
              <w:t> </w:t>
            </w:r>
            <w:r>
              <w:rPr>
                <w:b/>
                <w:sz w:val="18"/>
              </w:rPr>
              <w:t>including</w:t>
            </w:r>
            <w:r>
              <w:rPr>
                <w:b/>
                <w:spacing w:val="-2"/>
                <w:sz w:val="18"/>
              </w:rPr>
              <w:t> </w:t>
            </w:r>
            <w:r>
              <w:rPr>
                <w:b/>
                <w:sz w:val="18"/>
              </w:rPr>
              <w:t>Amounts</w:t>
            </w:r>
            <w:r>
              <w:rPr>
                <w:b/>
                <w:spacing w:val="-3"/>
                <w:sz w:val="18"/>
              </w:rPr>
              <w:t> </w:t>
            </w:r>
            <w:r>
              <w:rPr>
                <w:b/>
                <w:spacing w:val="-2"/>
                <w:sz w:val="18"/>
              </w:rPr>
              <w:t>Restricted</w:t>
            </w:r>
          </w:p>
        </w:tc>
        <w:tc>
          <w:tcPr>
            <w:tcW w:w="1256" w:type="dxa"/>
            <w:tcBorders>
              <w:top w:val="single" w:sz="4" w:space="0" w:color="000000"/>
            </w:tcBorders>
          </w:tcPr>
          <w:p>
            <w:pPr>
              <w:pStyle w:val="TableParagraph"/>
              <w:spacing w:line="205" w:lineRule="exact"/>
              <w:ind w:right="68"/>
              <w:jc w:val="right"/>
              <w:rPr>
                <w:sz w:val="18"/>
              </w:rPr>
            </w:pPr>
            <w:r>
              <w:rPr>
                <w:spacing w:val="-2"/>
                <w:sz w:val="18"/>
              </w:rPr>
              <w:t>(13,813)</w:t>
            </w:r>
          </w:p>
        </w:tc>
        <w:tc>
          <w:tcPr>
            <w:tcW w:w="1218" w:type="dxa"/>
            <w:tcBorders>
              <w:top w:val="single" w:sz="4" w:space="0" w:color="000000"/>
            </w:tcBorders>
          </w:tcPr>
          <w:p>
            <w:pPr>
              <w:pStyle w:val="TableParagraph"/>
              <w:spacing w:line="205" w:lineRule="exact"/>
              <w:ind w:right="11"/>
              <w:jc w:val="right"/>
              <w:rPr>
                <w:sz w:val="18"/>
              </w:rPr>
            </w:pPr>
            <w:r>
              <w:rPr>
                <w:spacing w:val="-2"/>
                <w:sz w:val="18"/>
              </w:rPr>
              <w:t>(28,092)</w:t>
            </w:r>
          </w:p>
        </w:tc>
      </w:tr>
      <w:tr>
        <w:trPr>
          <w:trHeight w:val="235" w:hRule="atLeast"/>
        </w:trPr>
        <w:tc>
          <w:tcPr>
            <w:tcW w:w="7785" w:type="dxa"/>
            <w:tcBorders>
              <w:bottom w:val="single" w:sz="4" w:space="0" w:color="000000"/>
            </w:tcBorders>
            <w:shd w:val="clear" w:color="auto" w:fill="CCEDFF"/>
          </w:tcPr>
          <w:p>
            <w:pPr>
              <w:pStyle w:val="TableParagraph"/>
              <w:spacing w:before="3"/>
              <w:ind w:left="52"/>
              <w:rPr>
                <w:b/>
                <w:sz w:val="18"/>
              </w:rPr>
            </w:pPr>
            <w:r>
              <w:rPr>
                <w:b/>
                <w:sz w:val="18"/>
              </w:rPr>
              <w:t>Cash</w:t>
            </w:r>
            <w:r>
              <w:rPr>
                <w:b/>
                <w:spacing w:val="-4"/>
                <w:sz w:val="18"/>
              </w:rPr>
              <w:t> </w:t>
            </w:r>
            <w:r>
              <w:rPr>
                <w:b/>
                <w:sz w:val="18"/>
              </w:rPr>
              <w:t>and</w:t>
            </w:r>
            <w:r>
              <w:rPr>
                <w:b/>
                <w:spacing w:val="-3"/>
                <w:sz w:val="18"/>
              </w:rPr>
              <w:t> </w:t>
            </w:r>
            <w:r>
              <w:rPr>
                <w:b/>
                <w:sz w:val="18"/>
              </w:rPr>
              <w:t>Cash</w:t>
            </w:r>
            <w:r>
              <w:rPr>
                <w:b/>
                <w:spacing w:val="-3"/>
                <w:sz w:val="18"/>
              </w:rPr>
              <w:t> </w:t>
            </w:r>
            <w:r>
              <w:rPr>
                <w:b/>
                <w:sz w:val="18"/>
              </w:rPr>
              <w:t>Equivalents,</w:t>
            </w:r>
            <w:r>
              <w:rPr>
                <w:b/>
                <w:spacing w:val="-2"/>
                <w:sz w:val="18"/>
              </w:rPr>
              <w:t> </w:t>
            </w:r>
            <w:r>
              <w:rPr>
                <w:b/>
                <w:sz w:val="18"/>
              </w:rPr>
              <w:t>including</w:t>
            </w:r>
            <w:r>
              <w:rPr>
                <w:b/>
                <w:spacing w:val="-2"/>
                <w:sz w:val="18"/>
              </w:rPr>
              <w:t> </w:t>
            </w:r>
            <w:r>
              <w:rPr>
                <w:b/>
                <w:sz w:val="18"/>
              </w:rPr>
              <w:t>Amounts</w:t>
            </w:r>
            <w:r>
              <w:rPr>
                <w:b/>
                <w:spacing w:val="-3"/>
                <w:sz w:val="18"/>
              </w:rPr>
              <w:t> </w:t>
            </w:r>
            <w:r>
              <w:rPr>
                <w:b/>
                <w:sz w:val="18"/>
              </w:rPr>
              <w:t>Restricted</w:t>
            </w:r>
            <w:r>
              <w:rPr>
                <w:b/>
                <w:spacing w:val="-3"/>
                <w:sz w:val="18"/>
              </w:rPr>
              <w:t> </w:t>
            </w:r>
            <w:r>
              <w:rPr>
                <w:b/>
                <w:sz w:val="18"/>
              </w:rPr>
              <w:t>at</w:t>
            </w:r>
            <w:r>
              <w:rPr>
                <w:b/>
                <w:spacing w:val="-2"/>
                <w:sz w:val="18"/>
              </w:rPr>
              <w:t> </w:t>
            </w:r>
            <w:r>
              <w:rPr>
                <w:b/>
                <w:sz w:val="18"/>
              </w:rPr>
              <w:t>Beginning</w:t>
            </w:r>
            <w:r>
              <w:rPr>
                <w:b/>
                <w:spacing w:val="-2"/>
                <w:sz w:val="18"/>
              </w:rPr>
              <w:t> </w:t>
            </w:r>
            <w:r>
              <w:rPr>
                <w:b/>
                <w:sz w:val="18"/>
              </w:rPr>
              <w:t>of</w:t>
            </w:r>
            <w:r>
              <w:rPr>
                <w:b/>
                <w:spacing w:val="-2"/>
                <w:sz w:val="18"/>
              </w:rPr>
              <w:t> </w:t>
            </w:r>
            <w:r>
              <w:rPr>
                <w:b/>
                <w:spacing w:val="-4"/>
                <w:sz w:val="18"/>
              </w:rPr>
              <w:t>Year</w:t>
            </w:r>
          </w:p>
        </w:tc>
        <w:tc>
          <w:tcPr>
            <w:tcW w:w="1256" w:type="dxa"/>
            <w:tcBorders>
              <w:bottom w:val="single" w:sz="4" w:space="0" w:color="000000"/>
            </w:tcBorders>
            <w:shd w:val="clear" w:color="auto" w:fill="CCEDFF"/>
          </w:tcPr>
          <w:p>
            <w:pPr>
              <w:pStyle w:val="TableParagraph"/>
              <w:spacing w:before="3"/>
              <w:ind w:right="128"/>
              <w:jc w:val="right"/>
              <w:rPr>
                <w:sz w:val="18"/>
              </w:rPr>
            </w:pPr>
            <w:r>
              <w:rPr>
                <w:spacing w:val="-2"/>
                <w:sz w:val="18"/>
              </w:rPr>
              <w:t>58,720</w:t>
            </w:r>
          </w:p>
        </w:tc>
        <w:tc>
          <w:tcPr>
            <w:tcW w:w="1218" w:type="dxa"/>
            <w:tcBorders>
              <w:bottom w:val="single" w:sz="4" w:space="0" w:color="000000"/>
            </w:tcBorders>
            <w:shd w:val="clear" w:color="auto" w:fill="CCEDFF"/>
          </w:tcPr>
          <w:p>
            <w:pPr>
              <w:pStyle w:val="TableParagraph"/>
              <w:spacing w:before="3"/>
              <w:ind w:right="71"/>
              <w:jc w:val="right"/>
              <w:rPr>
                <w:sz w:val="18"/>
              </w:rPr>
            </w:pPr>
            <w:r>
              <w:rPr>
                <w:spacing w:val="-2"/>
                <w:sz w:val="18"/>
              </w:rPr>
              <w:t>93,338</w:t>
            </w:r>
          </w:p>
        </w:tc>
      </w:tr>
      <w:tr>
        <w:trPr>
          <w:trHeight w:val="205" w:hRule="atLeast"/>
        </w:trPr>
        <w:tc>
          <w:tcPr>
            <w:tcW w:w="7785" w:type="dxa"/>
            <w:tcBorders>
              <w:top w:val="single" w:sz="4" w:space="0" w:color="000000"/>
              <w:bottom w:val="double" w:sz="8" w:space="0" w:color="000000"/>
            </w:tcBorders>
          </w:tcPr>
          <w:p>
            <w:pPr>
              <w:pStyle w:val="TableParagraph"/>
              <w:spacing w:line="185" w:lineRule="exact"/>
              <w:ind w:left="52"/>
              <w:rPr>
                <w:b/>
                <w:sz w:val="18"/>
              </w:rPr>
            </w:pPr>
            <w:r>
              <w:rPr>
                <w:b/>
                <w:sz w:val="18"/>
              </w:rPr>
              <w:t>Cash</w:t>
            </w:r>
            <w:r>
              <w:rPr>
                <w:b/>
                <w:spacing w:val="-5"/>
                <w:sz w:val="18"/>
              </w:rPr>
              <w:t> </w:t>
            </w:r>
            <w:r>
              <w:rPr>
                <w:b/>
                <w:sz w:val="18"/>
              </w:rPr>
              <w:t>and</w:t>
            </w:r>
            <w:r>
              <w:rPr>
                <w:b/>
                <w:spacing w:val="-3"/>
                <w:sz w:val="18"/>
              </w:rPr>
              <w:t> </w:t>
            </w:r>
            <w:r>
              <w:rPr>
                <w:b/>
                <w:sz w:val="18"/>
              </w:rPr>
              <w:t>Cash</w:t>
            </w:r>
            <w:r>
              <w:rPr>
                <w:b/>
                <w:spacing w:val="-3"/>
                <w:sz w:val="18"/>
              </w:rPr>
              <w:t> </w:t>
            </w:r>
            <w:r>
              <w:rPr>
                <w:b/>
                <w:sz w:val="18"/>
              </w:rPr>
              <w:t>Equivalents,</w:t>
            </w:r>
            <w:r>
              <w:rPr>
                <w:b/>
                <w:spacing w:val="-2"/>
                <w:sz w:val="18"/>
              </w:rPr>
              <w:t> </w:t>
            </w:r>
            <w:r>
              <w:rPr>
                <w:b/>
                <w:sz w:val="18"/>
              </w:rPr>
              <w:t>including</w:t>
            </w:r>
            <w:r>
              <w:rPr>
                <w:b/>
                <w:spacing w:val="-2"/>
                <w:sz w:val="18"/>
              </w:rPr>
              <w:t> </w:t>
            </w:r>
            <w:r>
              <w:rPr>
                <w:b/>
                <w:sz w:val="18"/>
              </w:rPr>
              <w:t>Amounts</w:t>
            </w:r>
            <w:r>
              <w:rPr>
                <w:b/>
                <w:spacing w:val="-3"/>
                <w:sz w:val="18"/>
              </w:rPr>
              <w:t> </w:t>
            </w:r>
            <w:r>
              <w:rPr>
                <w:b/>
                <w:sz w:val="18"/>
              </w:rPr>
              <w:t>Restricted</w:t>
            </w:r>
            <w:r>
              <w:rPr>
                <w:b/>
                <w:spacing w:val="-3"/>
                <w:sz w:val="18"/>
              </w:rPr>
              <w:t> </w:t>
            </w:r>
            <w:r>
              <w:rPr>
                <w:b/>
                <w:sz w:val="18"/>
              </w:rPr>
              <w:t>at</w:t>
            </w:r>
            <w:r>
              <w:rPr>
                <w:b/>
                <w:spacing w:val="-2"/>
                <w:sz w:val="18"/>
              </w:rPr>
              <w:t> </w:t>
            </w:r>
            <w:r>
              <w:rPr>
                <w:b/>
                <w:sz w:val="18"/>
              </w:rPr>
              <w:t>End</w:t>
            </w:r>
            <w:r>
              <w:rPr>
                <w:b/>
                <w:spacing w:val="-3"/>
                <w:sz w:val="18"/>
              </w:rPr>
              <w:t> </w:t>
            </w:r>
            <w:r>
              <w:rPr>
                <w:b/>
                <w:sz w:val="18"/>
              </w:rPr>
              <w:t>of</w:t>
            </w:r>
            <w:r>
              <w:rPr>
                <w:b/>
                <w:spacing w:val="-1"/>
                <w:sz w:val="18"/>
              </w:rPr>
              <w:t> </w:t>
            </w:r>
            <w:r>
              <w:rPr>
                <w:b/>
                <w:spacing w:val="-2"/>
                <w:sz w:val="18"/>
              </w:rPr>
              <w:t>Period</w:t>
            </w:r>
          </w:p>
        </w:tc>
        <w:tc>
          <w:tcPr>
            <w:tcW w:w="1256" w:type="dxa"/>
            <w:tcBorders>
              <w:top w:val="single" w:sz="4" w:space="0" w:color="000000"/>
              <w:bottom w:val="double" w:sz="8" w:space="0" w:color="000000"/>
            </w:tcBorders>
          </w:tcPr>
          <w:p>
            <w:pPr>
              <w:pStyle w:val="TableParagraph"/>
              <w:tabs>
                <w:tab w:pos="629" w:val="left" w:leader="none"/>
              </w:tabs>
              <w:spacing w:line="185" w:lineRule="exact"/>
              <w:ind w:left="52"/>
              <w:rPr>
                <w:sz w:val="18"/>
              </w:rPr>
            </w:pPr>
            <w:r>
              <w:rPr>
                <w:spacing w:val="-10"/>
                <w:sz w:val="18"/>
              </w:rPr>
              <w:t>$</w:t>
            </w:r>
            <w:r>
              <w:rPr>
                <w:sz w:val="18"/>
              </w:rPr>
              <w:tab/>
            </w:r>
            <w:r>
              <w:rPr>
                <w:spacing w:val="-2"/>
                <w:sz w:val="18"/>
              </w:rPr>
              <w:t>44,907</w:t>
            </w:r>
          </w:p>
        </w:tc>
        <w:tc>
          <w:tcPr>
            <w:tcW w:w="1218" w:type="dxa"/>
            <w:tcBorders>
              <w:top w:val="single" w:sz="4" w:space="0" w:color="000000"/>
              <w:bottom w:val="double" w:sz="8" w:space="0" w:color="000000"/>
            </w:tcBorders>
          </w:tcPr>
          <w:p>
            <w:pPr>
              <w:pStyle w:val="TableParagraph"/>
              <w:tabs>
                <w:tab w:pos="577" w:val="left" w:leader="none"/>
              </w:tabs>
              <w:spacing w:line="185" w:lineRule="exact"/>
              <w:ind w:right="71"/>
              <w:jc w:val="right"/>
              <w:rPr>
                <w:sz w:val="18"/>
              </w:rPr>
            </w:pPr>
            <w:r>
              <w:rPr>
                <w:spacing w:val="-10"/>
                <w:sz w:val="18"/>
              </w:rPr>
              <w:t>$</w:t>
            </w:r>
            <w:r>
              <w:rPr>
                <w:sz w:val="18"/>
              </w:rPr>
              <w:tab/>
            </w:r>
            <w:r>
              <w:rPr>
                <w:spacing w:val="-2"/>
                <w:sz w:val="18"/>
              </w:rPr>
              <w:t>65,246</w:t>
            </w:r>
          </w:p>
        </w:tc>
      </w:tr>
      <w:tr>
        <w:trPr>
          <w:trHeight w:val="425" w:hRule="atLeast"/>
        </w:trPr>
        <w:tc>
          <w:tcPr>
            <w:tcW w:w="7785" w:type="dxa"/>
            <w:tcBorders>
              <w:top w:val="double" w:sz="8" w:space="0" w:color="000000"/>
            </w:tcBorders>
          </w:tcPr>
          <w:p>
            <w:pPr>
              <w:pStyle w:val="TableParagraph"/>
              <w:spacing w:before="11"/>
              <w:rPr>
                <w:sz w:val="18"/>
              </w:rPr>
            </w:pPr>
          </w:p>
          <w:p>
            <w:pPr>
              <w:pStyle w:val="TableParagraph"/>
              <w:spacing w:line="187" w:lineRule="exact"/>
              <w:rPr>
                <w:i/>
                <w:sz w:val="18"/>
              </w:rPr>
            </w:pPr>
            <w:r>
              <w:rPr>
                <w:i/>
                <w:sz w:val="18"/>
              </w:rPr>
              <w:t>Continued on following </w:t>
            </w:r>
            <w:r>
              <w:rPr>
                <w:i/>
                <w:spacing w:val="-2"/>
                <w:sz w:val="18"/>
              </w:rPr>
              <w:t>page.</w:t>
            </w:r>
          </w:p>
        </w:tc>
        <w:tc>
          <w:tcPr>
            <w:tcW w:w="1256" w:type="dxa"/>
            <w:tcBorders>
              <w:top w:val="double" w:sz="8" w:space="0" w:color="000000"/>
            </w:tcBorders>
          </w:tcPr>
          <w:p>
            <w:pPr>
              <w:pStyle w:val="TableParagraph"/>
              <w:rPr>
                <w:sz w:val="18"/>
              </w:rPr>
            </w:pPr>
          </w:p>
        </w:tc>
        <w:tc>
          <w:tcPr>
            <w:tcW w:w="1218" w:type="dxa"/>
            <w:tcBorders>
              <w:top w:val="double" w:sz="8" w:space="0" w:color="000000"/>
            </w:tcBorders>
          </w:tcPr>
          <w:p>
            <w:pPr>
              <w:pStyle w:val="TableParagraph"/>
              <w:rPr>
                <w:sz w:val="18"/>
              </w:rPr>
            </w:pPr>
          </w:p>
        </w:tc>
      </w:tr>
    </w:tbl>
    <w:p>
      <w:pPr>
        <w:spacing w:after="0"/>
        <w:rPr>
          <w:sz w:val="18"/>
        </w:rPr>
        <w:sectPr>
          <w:headerReference w:type="default" r:id="rId18"/>
          <w:footerReference w:type="default" r:id="rId19"/>
          <w:pgSz w:w="12240" w:h="15840"/>
          <w:pgMar w:header="467" w:footer="201" w:top="1320" w:bottom="400" w:left="520" w:right="520"/>
        </w:sectPr>
      </w:pPr>
    </w:p>
    <w:p>
      <w:pPr>
        <w:spacing w:before="69"/>
        <w:ind w:left="470" w:right="0" w:firstLine="0"/>
        <w:jc w:val="left"/>
        <w:rPr>
          <w:i/>
          <w:sz w:val="18"/>
        </w:rPr>
      </w:pPr>
      <w:r>
        <w:rPr>
          <w:i/>
          <w:sz w:val="18"/>
        </w:rPr>
        <w:t>Continued</w:t>
      </w:r>
      <w:r>
        <w:rPr>
          <w:i/>
          <w:spacing w:val="-1"/>
          <w:sz w:val="18"/>
        </w:rPr>
        <w:t> </w:t>
      </w:r>
      <w:r>
        <w:rPr>
          <w:i/>
          <w:sz w:val="18"/>
        </w:rPr>
        <w:t>from</w:t>
      </w:r>
      <w:r>
        <w:rPr>
          <w:i/>
          <w:spacing w:val="-2"/>
          <w:sz w:val="18"/>
        </w:rPr>
        <w:t> </w:t>
      </w:r>
      <w:r>
        <w:rPr>
          <w:i/>
          <w:sz w:val="18"/>
        </w:rPr>
        <w:t>previous</w:t>
      </w:r>
      <w:r>
        <w:rPr>
          <w:i/>
          <w:spacing w:val="-1"/>
          <w:sz w:val="18"/>
        </w:rPr>
        <w:t> </w:t>
      </w:r>
      <w:r>
        <w:rPr>
          <w:i/>
          <w:spacing w:val="-2"/>
          <w:sz w:val="18"/>
        </w:rPr>
        <w:t>page.</w:t>
      </w:r>
    </w:p>
    <w:p>
      <w:pPr>
        <w:pStyle w:val="BodyText"/>
        <w:spacing w:before="15"/>
        <w:rPr>
          <w:i/>
          <w:sz w:val="18"/>
        </w:rPr>
      </w:pPr>
    </w:p>
    <w:p>
      <w:pPr>
        <w:spacing w:line="208" w:lineRule="auto" w:before="0" w:after="35"/>
        <w:ind w:left="8586" w:right="761" w:hanging="205"/>
        <w:jc w:val="left"/>
        <w:rPr>
          <w:sz w:val="18"/>
        </w:rPr>
      </w:pPr>
      <w:r>
        <w:rPr>
          <w:sz w:val="18"/>
        </w:rPr>
        <w:t>Nine</w:t>
      </w:r>
      <w:r>
        <w:rPr>
          <w:spacing w:val="-12"/>
          <w:sz w:val="18"/>
        </w:rPr>
        <w:t> </w:t>
      </w:r>
      <w:r>
        <w:rPr>
          <w:sz w:val="18"/>
        </w:rPr>
        <w:t>Months</w:t>
      </w:r>
      <w:r>
        <w:rPr>
          <w:spacing w:val="-11"/>
          <w:sz w:val="18"/>
        </w:rPr>
        <w:t> </w:t>
      </w:r>
      <w:r>
        <w:rPr>
          <w:sz w:val="18"/>
        </w:rPr>
        <w:t>Ended September 30,</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5"/>
        <w:gridCol w:w="383"/>
        <w:gridCol w:w="739"/>
        <w:gridCol w:w="540"/>
        <w:gridCol w:w="720"/>
        <w:gridCol w:w="904"/>
      </w:tblGrid>
      <w:tr>
        <w:trPr>
          <w:trHeight w:val="275" w:hRule="atLeast"/>
        </w:trPr>
        <w:tc>
          <w:tcPr>
            <w:tcW w:w="7358" w:type="dxa"/>
            <w:gridSpan w:val="2"/>
            <w:tcBorders>
              <w:bottom w:val="single" w:sz="4" w:space="0" w:color="000000"/>
            </w:tcBorders>
          </w:tcPr>
          <w:p>
            <w:pPr>
              <w:pStyle w:val="TableParagraph"/>
              <w:rPr>
                <w:sz w:val="16"/>
              </w:rPr>
            </w:pPr>
          </w:p>
        </w:tc>
        <w:tc>
          <w:tcPr>
            <w:tcW w:w="739" w:type="dxa"/>
            <w:tcBorders>
              <w:top w:val="single" w:sz="4" w:space="0" w:color="000000"/>
              <w:bottom w:val="single" w:sz="4" w:space="0" w:color="000000"/>
            </w:tcBorders>
          </w:tcPr>
          <w:p>
            <w:pPr>
              <w:pStyle w:val="TableParagraph"/>
              <w:spacing w:before="43"/>
              <w:ind w:left="239"/>
              <w:rPr>
                <w:sz w:val="18"/>
              </w:rPr>
            </w:pPr>
            <w:r>
              <w:rPr>
                <w:spacing w:val="-4"/>
                <w:sz w:val="18"/>
              </w:rPr>
              <w:t>2023</w:t>
            </w:r>
          </w:p>
        </w:tc>
        <w:tc>
          <w:tcPr>
            <w:tcW w:w="540" w:type="dxa"/>
            <w:tcBorders>
              <w:top w:val="single" w:sz="4" w:space="0" w:color="000000"/>
              <w:bottom w:val="single" w:sz="4" w:space="0" w:color="000000"/>
            </w:tcBorders>
          </w:tcPr>
          <w:p>
            <w:pPr>
              <w:pStyle w:val="TableParagraph"/>
              <w:rPr>
                <w:sz w:val="16"/>
              </w:rPr>
            </w:pPr>
          </w:p>
        </w:tc>
        <w:tc>
          <w:tcPr>
            <w:tcW w:w="1624" w:type="dxa"/>
            <w:gridSpan w:val="2"/>
            <w:tcBorders>
              <w:top w:val="single" w:sz="4" w:space="0" w:color="000000"/>
              <w:bottom w:val="single" w:sz="4" w:space="0" w:color="000000"/>
            </w:tcBorders>
          </w:tcPr>
          <w:p>
            <w:pPr>
              <w:pStyle w:val="TableParagraph"/>
              <w:spacing w:before="43"/>
              <w:ind w:left="16"/>
              <w:jc w:val="center"/>
              <w:rPr>
                <w:sz w:val="18"/>
              </w:rPr>
            </w:pPr>
            <w:r>
              <w:rPr>
                <w:spacing w:val="-4"/>
                <w:sz w:val="18"/>
              </w:rPr>
              <w:t>2022</w:t>
            </w:r>
          </w:p>
        </w:tc>
      </w:tr>
      <w:tr>
        <w:trPr>
          <w:trHeight w:val="275" w:hRule="atLeast"/>
        </w:trPr>
        <w:tc>
          <w:tcPr>
            <w:tcW w:w="6975" w:type="dxa"/>
            <w:tcBorders>
              <w:top w:val="single" w:sz="4" w:space="0" w:color="000000"/>
              <w:bottom w:val="single" w:sz="4" w:space="0" w:color="000000"/>
            </w:tcBorders>
          </w:tcPr>
          <w:p>
            <w:pPr>
              <w:pStyle w:val="TableParagraph"/>
              <w:spacing w:before="43"/>
              <w:ind w:left="52"/>
              <w:rPr>
                <w:b/>
                <w:sz w:val="18"/>
              </w:rPr>
            </w:pPr>
            <w:r>
              <w:rPr>
                <w:b/>
                <w:sz w:val="18"/>
              </w:rPr>
              <w:t>Supplemental</w:t>
            </w:r>
            <w:r>
              <w:rPr>
                <w:b/>
                <w:spacing w:val="-3"/>
                <w:sz w:val="18"/>
              </w:rPr>
              <w:t> </w:t>
            </w:r>
            <w:r>
              <w:rPr>
                <w:b/>
                <w:sz w:val="18"/>
              </w:rPr>
              <w:t>Cash</w:t>
            </w:r>
            <w:r>
              <w:rPr>
                <w:b/>
                <w:spacing w:val="-3"/>
                <w:sz w:val="18"/>
              </w:rPr>
              <w:t> </w:t>
            </w:r>
            <w:r>
              <w:rPr>
                <w:b/>
                <w:sz w:val="18"/>
              </w:rPr>
              <w:t>Flow</w:t>
            </w:r>
            <w:r>
              <w:rPr>
                <w:b/>
                <w:spacing w:val="-3"/>
                <w:sz w:val="18"/>
              </w:rPr>
              <w:t> </w:t>
            </w:r>
            <w:r>
              <w:rPr>
                <w:b/>
                <w:spacing w:val="-2"/>
                <w:sz w:val="18"/>
              </w:rPr>
              <w:t>Information</w:t>
            </w:r>
          </w:p>
        </w:tc>
        <w:tc>
          <w:tcPr>
            <w:tcW w:w="383" w:type="dxa"/>
            <w:tcBorders>
              <w:top w:val="single" w:sz="4" w:space="0" w:color="000000"/>
              <w:bottom w:val="single" w:sz="4" w:space="0" w:color="000000"/>
            </w:tcBorders>
          </w:tcPr>
          <w:p>
            <w:pPr>
              <w:pStyle w:val="TableParagraph"/>
              <w:rPr>
                <w:sz w:val="16"/>
              </w:rPr>
            </w:pPr>
          </w:p>
        </w:tc>
        <w:tc>
          <w:tcPr>
            <w:tcW w:w="739" w:type="dxa"/>
            <w:tcBorders>
              <w:top w:val="single" w:sz="4" w:space="0" w:color="000000"/>
              <w:bottom w:val="single" w:sz="4" w:space="0" w:color="000000"/>
            </w:tcBorders>
          </w:tcPr>
          <w:p>
            <w:pPr>
              <w:pStyle w:val="TableParagraph"/>
              <w:rPr>
                <w:sz w:val="16"/>
              </w:rPr>
            </w:pPr>
          </w:p>
        </w:tc>
        <w:tc>
          <w:tcPr>
            <w:tcW w:w="540" w:type="dxa"/>
            <w:tcBorders>
              <w:top w:val="single" w:sz="4" w:space="0" w:color="000000"/>
              <w:bottom w:val="single" w:sz="4" w:space="0" w:color="000000"/>
            </w:tcBorders>
          </w:tcPr>
          <w:p>
            <w:pPr>
              <w:pStyle w:val="TableParagraph"/>
              <w:rPr>
                <w:sz w:val="16"/>
              </w:rPr>
            </w:pPr>
          </w:p>
        </w:tc>
        <w:tc>
          <w:tcPr>
            <w:tcW w:w="1624" w:type="dxa"/>
            <w:gridSpan w:val="2"/>
            <w:tcBorders>
              <w:top w:val="single" w:sz="4" w:space="0" w:color="000000"/>
              <w:bottom w:val="single" w:sz="4" w:space="0" w:color="000000"/>
            </w:tcBorders>
          </w:tcPr>
          <w:p>
            <w:pPr>
              <w:pStyle w:val="TableParagraph"/>
              <w:rPr>
                <w:sz w:val="16"/>
              </w:rPr>
            </w:pPr>
          </w:p>
        </w:tc>
      </w:tr>
      <w:tr>
        <w:trPr>
          <w:trHeight w:val="280" w:hRule="atLeast"/>
        </w:trPr>
        <w:tc>
          <w:tcPr>
            <w:tcW w:w="6975" w:type="dxa"/>
            <w:tcBorders>
              <w:top w:val="single" w:sz="4" w:space="0" w:color="000000"/>
            </w:tcBorders>
          </w:tcPr>
          <w:p>
            <w:pPr>
              <w:pStyle w:val="TableParagraph"/>
              <w:spacing w:before="43"/>
              <w:ind w:left="52"/>
              <w:rPr>
                <w:sz w:val="18"/>
              </w:rPr>
            </w:pPr>
            <w:r>
              <w:rPr>
                <w:sz w:val="18"/>
              </w:rPr>
              <w:t>Non-cash</w:t>
            </w:r>
            <w:r>
              <w:rPr>
                <w:spacing w:val="-4"/>
                <w:sz w:val="18"/>
              </w:rPr>
              <w:t> </w:t>
            </w:r>
            <w:r>
              <w:rPr>
                <w:sz w:val="18"/>
              </w:rPr>
              <w:t>investing</w:t>
            </w:r>
            <w:r>
              <w:rPr>
                <w:spacing w:val="-1"/>
                <w:sz w:val="18"/>
              </w:rPr>
              <w:t> </w:t>
            </w:r>
            <w:r>
              <w:rPr>
                <w:spacing w:val="-2"/>
                <w:sz w:val="18"/>
              </w:rPr>
              <w:t>activity:</w:t>
            </w:r>
          </w:p>
        </w:tc>
        <w:tc>
          <w:tcPr>
            <w:tcW w:w="383" w:type="dxa"/>
            <w:tcBorders>
              <w:top w:val="single" w:sz="4" w:space="0" w:color="000000"/>
            </w:tcBorders>
          </w:tcPr>
          <w:p>
            <w:pPr>
              <w:pStyle w:val="TableParagraph"/>
              <w:rPr>
                <w:sz w:val="16"/>
              </w:rPr>
            </w:pPr>
          </w:p>
        </w:tc>
        <w:tc>
          <w:tcPr>
            <w:tcW w:w="739" w:type="dxa"/>
            <w:tcBorders>
              <w:top w:val="single" w:sz="4" w:space="0" w:color="000000"/>
            </w:tcBorders>
          </w:tcPr>
          <w:p>
            <w:pPr>
              <w:pStyle w:val="TableParagraph"/>
              <w:rPr>
                <w:sz w:val="16"/>
              </w:rPr>
            </w:pPr>
          </w:p>
        </w:tc>
        <w:tc>
          <w:tcPr>
            <w:tcW w:w="540" w:type="dxa"/>
            <w:tcBorders>
              <w:top w:val="single" w:sz="4" w:space="0" w:color="000000"/>
            </w:tcBorders>
          </w:tcPr>
          <w:p>
            <w:pPr>
              <w:pStyle w:val="TableParagraph"/>
              <w:rPr>
                <w:sz w:val="16"/>
              </w:rPr>
            </w:pPr>
          </w:p>
        </w:tc>
        <w:tc>
          <w:tcPr>
            <w:tcW w:w="1624" w:type="dxa"/>
            <w:gridSpan w:val="2"/>
            <w:tcBorders>
              <w:top w:val="single" w:sz="4" w:space="0" w:color="000000"/>
            </w:tcBorders>
          </w:tcPr>
          <w:p>
            <w:pPr>
              <w:pStyle w:val="TableParagraph"/>
              <w:rPr>
                <w:sz w:val="16"/>
              </w:rPr>
            </w:pPr>
          </w:p>
        </w:tc>
      </w:tr>
      <w:tr>
        <w:trPr>
          <w:trHeight w:val="285" w:hRule="atLeast"/>
        </w:trPr>
        <w:tc>
          <w:tcPr>
            <w:tcW w:w="6975" w:type="dxa"/>
            <w:shd w:val="clear" w:color="auto" w:fill="CCEDFF"/>
          </w:tcPr>
          <w:p>
            <w:pPr>
              <w:pStyle w:val="TableParagraph"/>
              <w:spacing w:before="48"/>
              <w:ind w:left="187"/>
              <w:rPr>
                <w:sz w:val="18"/>
              </w:rPr>
            </w:pPr>
            <w:r>
              <w:rPr>
                <w:sz w:val="18"/>
              </w:rPr>
              <w:t>Securities</w:t>
            </w:r>
            <w:r>
              <w:rPr>
                <w:spacing w:val="-2"/>
                <w:sz w:val="18"/>
              </w:rPr>
              <w:t> </w:t>
            </w:r>
            <w:r>
              <w:rPr>
                <w:sz w:val="18"/>
              </w:rPr>
              <w:t>transferred from available for</w:t>
            </w:r>
            <w:r>
              <w:rPr>
                <w:spacing w:val="-1"/>
                <w:sz w:val="18"/>
              </w:rPr>
              <w:t> </w:t>
            </w:r>
            <w:r>
              <w:rPr>
                <w:sz w:val="18"/>
              </w:rPr>
              <w:t>sale to held to</w:t>
            </w:r>
            <w:r>
              <w:rPr>
                <w:spacing w:val="-1"/>
                <w:sz w:val="18"/>
              </w:rPr>
              <w:t> </w:t>
            </w:r>
            <w:r>
              <w:rPr>
                <w:sz w:val="18"/>
              </w:rPr>
              <w:t>maturity, at fair </w:t>
            </w:r>
            <w:r>
              <w:rPr>
                <w:spacing w:val="-2"/>
                <w:sz w:val="18"/>
              </w:rPr>
              <w:t>value</w:t>
            </w:r>
          </w:p>
        </w:tc>
        <w:tc>
          <w:tcPr>
            <w:tcW w:w="383" w:type="dxa"/>
            <w:shd w:val="clear" w:color="auto" w:fill="CCEDFF"/>
          </w:tcPr>
          <w:p>
            <w:pPr>
              <w:pStyle w:val="TableParagraph"/>
              <w:spacing w:before="48"/>
              <w:ind w:left="52"/>
              <w:rPr>
                <w:sz w:val="18"/>
              </w:rPr>
            </w:pPr>
            <w:r>
              <w:rPr>
                <w:spacing w:val="-10"/>
                <w:sz w:val="18"/>
              </w:rPr>
              <w:t>$</w:t>
            </w:r>
          </w:p>
        </w:tc>
        <w:tc>
          <w:tcPr>
            <w:tcW w:w="739" w:type="dxa"/>
            <w:shd w:val="clear" w:color="auto" w:fill="CCEDFF"/>
          </w:tcPr>
          <w:p>
            <w:pPr>
              <w:pStyle w:val="TableParagraph"/>
              <w:rPr>
                <w:sz w:val="16"/>
              </w:rPr>
            </w:pPr>
          </w:p>
        </w:tc>
        <w:tc>
          <w:tcPr>
            <w:tcW w:w="540" w:type="dxa"/>
            <w:shd w:val="clear" w:color="auto" w:fill="CCEDFF"/>
          </w:tcPr>
          <w:p>
            <w:pPr>
              <w:pStyle w:val="TableParagraph"/>
              <w:spacing w:before="48"/>
              <w:ind w:left="96"/>
              <w:jc w:val="center"/>
              <w:rPr>
                <w:sz w:val="18"/>
              </w:rPr>
            </w:pPr>
            <w:r>
              <w:rPr>
                <w:spacing w:val="-10"/>
                <w:sz w:val="18"/>
              </w:rPr>
              <w:t>—</w:t>
            </w:r>
          </w:p>
        </w:tc>
        <w:tc>
          <w:tcPr>
            <w:tcW w:w="1624" w:type="dxa"/>
            <w:gridSpan w:val="2"/>
            <w:shd w:val="clear" w:color="auto" w:fill="CCEDFF"/>
          </w:tcPr>
          <w:p>
            <w:pPr>
              <w:pStyle w:val="TableParagraph"/>
              <w:tabs>
                <w:tab w:pos="962" w:val="left" w:leader="none"/>
              </w:tabs>
              <w:spacing w:before="48"/>
              <w:ind w:left="70"/>
              <w:rPr>
                <w:sz w:val="18"/>
              </w:rPr>
            </w:pPr>
            <w:r>
              <w:rPr>
                <w:spacing w:val="-10"/>
                <w:sz w:val="18"/>
              </w:rPr>
              <w:t>$</w:t>
            </w:r>
            <w:r>
              <w:rPr>
                <w:sz w:val="18"/>
              </w:rPr>
              <w:tab/>
            </w:r>
            <w:r>
              <w:rPr>
                <w:spacing w:val="-2"/>
                <w:sz w:val="18"/>
              </w:rPr>
              <w:t>108,805</w:t>
            </w:r>
          </w:p>
        </w:tc>
      </w:tr>
      <w:tr>
        <w:trPr>
          <w:trHeight w:val="285" w:hRule="atLeast"/>
        </w:trPr>
        <w:tc>
          <w:tcPr>
            <w:tcW w:w="6975" w:type="dxa"/>
          </w:tcPr>
          <w:p>
            <w:pPr>
              <w:pStyle w:val="TableParagraph"/>
              <w:spacing w:before="48"/>
              <w:ind w:left="172"/>
              <w:rPr>
                <w:sz w:val="18"/>
              </w:rPr>
            </w:pPr>
            <w:r>
              <w:rPr>
                <w:sz w:val="18"/>
              </w:rPr>
              <w:t>Securities</w:t>
            </w:r>
            <w:r>
              <w:rPr>
                <w:spacing w:val="-2"/>
                <w:sz w:val="18"/>
              </w:rPr>
              <w:t> </w:t>
            </w:r>
            <w:r>
              <w:rPr>
                <w:sz w:val="18"/>
              </w:rPr>
              <w:t>matured during the period</w:t>
            </w:r>
            <w:r>
              <w:rPr>
                <w:spacing w:val="-1"/>
                <w:sz w:val="18"/>
              </w:rPr>
              <w:t> </w:t>
            </w:r>
            <w:r>
              <w:rPr>
                <w:sz w:val="18"/>
              </w:rPr>
              <w:t>but settled after period </w:t>
            </w:r>
            <w:r>
              <w:rPr>
                <w:spacing w:val="-5"/>
                <w:sz w:val="18"/>
              </w:rPr>
              <w:t>end</w:t>
            </w:r>
          </w:p>
        </w:tc>
        <w:tc>
          <w:tcPr>
            <w:tcW w:w="383" w:type="dxa"/>
          </w:tcPr>
          <w:p>
            <w:pPr>
              <w:pStyle w:val="TableParagraph"/>
              <w:spacing w:before="48"/>
              <w:ind w:left="52"/>
              <w:rPr>
                <w:sz w:val="18"/>
              </w:rPr>
            </w:pPr>
            <w:r>
              <w:rPr>
                <w:spacing w:val="-10"/>
                <w:sz w:val="18"/>
              </w:rPr>
              <w:t>$</w:t>
            </w:r>
          </w:p>
        </w:tc>
        <w:tc>
          <w:tcPr>
            <w:tcW w:w="739" w:type="dxa"/>
          </w:tcPr>
          <w:p>
            <w:pPr>
              <w:pStyle w:val="TableParagraph"/>
              <w:rPr>
                <w:sz w:val="16"/>
              </w:rPr>
            </w:pPr>
          </w:p>
        </w:tc>
        <w:tc>
          <w:tcPr>
            <w:tcW w:w="540" w:type="dxa"/>
          </w:tcPr>
          <w:p>
            <w:pPr>
              <w:pStyle w:val="TableParagraph"/>
              <w:spacing w:before="48"/>
              <w:ind w:left="6"/>
              <w:jc w:val="center"/>
              <w:rPr>
                <w:sz w:val="18"/>
              </w:rPr>
            </w:pPr>
            <w:r>
              <w:rPr>
                <w:spacing w:val="-5"/>
                <w:sz w:val="18"/>
              </w:rPr>
              <w:t>415</w:t>
            </w:r>
          </w:p>
        </w:tc>
        <w:tc>
          <w:tcPr>
            <w:tcW w:w="1624" w:type="dxa"/>
            <w:gridSpan w:val="2"/>
          </w:tcPr>
          <w:p>
            <w:pPr>
              <w:pStyle w:val="TableParagraph"/>
              <w:tabs>
                <w:tab w:pos="1367" w:val="left" w:leader="none"/>
              </w:tabs>
              <w:spacing w:before="48"/>
              <w:ind w:left="70"/>
              <w:rPr>
                <w:sz w:val="18"/>
              </w:rPr>
            </w:pPr>
            <w:r>
              <w:rPr>
                <w:spacing w:val="-10"/>
                <w:sz w:val="18"/>
              </w:rPr>
              <w:t>$</w:t>
            </w:r>
            <w:r>
              <w:rPr>
                <w:sz w:val="18"/>
              </w:rPr>
              <w:tab/>
            </w:r>
            <w:r>
              <w:rPr>
                <w:spacing w:val="-10"/>
                <w:sz w:val="18"/>
              </w:rPr>
              <w:t>—</w:t>
            </w:r>
          </w:p>
        </w:tc>
      </w:tr>
      <w:tr>
        <w:trPr>
          <w:trHeight w:val="285" w:hRule="atLeast"/>
        </w:trPr>
        <w:tc>
          <w:tcPr>
            <w:tcW w:w="6975" w:type="dxa"/>
            <w:shd w:val="clear" w:color="auto" w:fill="CCEDFF"/>
          </w:tcPr>
          <w:p>
            <w:pPr>
              <w:pStyle w:val="TableParagraph"/>
              <w:spacing w:before="48"/>
              <w:ind w:left="187"/>
              <w:rPr>
                <w:sz w:val="18"/>
              </w:rPr>
            </w:pPr>
            <w:r>
              <w:rPr>
                <w:sz w:val="18"/>
              </w:rPr>
              <w:t>Changes</w:t>
            </w:r>
            <w:r>
              <w:rPr>
                <w:spacing w:val="-2"/>
                <w:sz w:val="18"/>
              </w:rPr>
              <w:t> </w:t>
            </w:r>
            <w:r>
              <w:rPr>
                <w:sz w:val="18"/>
              </w:rPr>
              <w:t>in accrued equipment, office facilities, and property </w:t>
            </w:r>
            <w:r>
              <w:rPr>
                <w:spacing w:val="-2"/>
                <w:sz w:val="18"/>
              </w:rPr>
              <w:t>purchases</w:t>
            </w:r>
          </w:p>
        </w:tc>
        <w:tc>
          <w:tcPr>
            <w:tcW w:w="383" w:type="dxa"/>
            <w:shd w:val="clear" w:color="auto" w:fill="CCEDFF"/>
          </w:tcPr>
          <w:p>
            <w:pPr>
              <w:pStyle w:val="TableParagraph"/>
              <w:spacing w:before="48"/>
              <w:ind w:left="52"/>
              <w:rPr>
                <w:sz w:val="18"/>
              </w:rPr>
            </w:pPr>
            <w:r>
              <w:rPr>
                <w:spacing w:val="-10"/>
                <w:sz w:val="18"/>
              </w:rPr>
              <w:t>$</w:t>
            </w:r>
          </w:p>
        </w:tc>
        <w:tc>
          <w:tcPr>
            <w:tcW w:w="739" w:type="dxa"/>
            <w:shd w:val="clear" w:color="auto" w:fill="CCEDFF"/>
          </w:tcPr>
          <w:p>
            <w:pPr>
              <w:pStyle w:val="TableParagraph"/>
              <w:rPr>
                <w:sz w:val="16"/>
              </w:rPr>
            </w:pPr>
          </w:p>
        </w:tc>
        <w:tc>
          <w:tcPr>
            <w:tcW w:w="540" w:type="dxa"/>
            <w:shd w:val="clear" w:color="auto" w:fill="CCEDFF"/>
          </w:tcPr>
          <w:p>
            <w:pPr>
              <w:pStyle w:val="TableParagraph"/>
              <w:spacing w:before="48"/>
              <w:ind w:left="96"/>
              <w:jc w:val="center"/>
              <w:rPr>
                <w:sz w:val="18"/>
              </w:rPr>
            </w:pPr>
            <w:r>
              <w:rPr>
                <w:spacing w:val="-4"/>
                <w:sz w:val="18"/>
              </w:rPr>
              <w:t>(32)</w:t>
            </w:r>
          </w:p>
        </w:tc>
        <w:tc>
          <w:tcPr>
            <w:tcW w:w="1624" w:type="dxa"/>
            <w:gridSpan w:val="2"/>
            <w:shd w:val="clear" w:color="auto" w:fill="CCEDFF"/>
          </w:tcPr>
          <w:p>
            <w:pPr>
              <w:pStyle w:val="TableParagraph"/>
              <w:tabs>
                <w:tab w:pos="1308" w:val="left" w:leader="none"/>
              </w:tabs>
              <w:spacing w:before="48"/>
              <w:ind w:left="70"/>
              <w:rPr>
                <w:sz w:val="18"/>
              </w:rPr>
            </w:pPr>
            <w:r>
              <w:rPr>
                <w:spacing w:val="-10"/>
                <w:sz w:val="18"/>
              </w:rPr>
              <w:t>$</w:t>
            </w:r>
            <w:r>
              <w:rPr>
                <w:sz w:val="18"/>
              </w:rPr>
              <w:tab/>
            </w:r>
            <w:r>
              <w:rPr>
                <w:spacing w:val="-4"/>
                <w:sz w:val="18"/>
              </w:rPr>
              <w:t>(28)</w:t>
            </w:r>
          </w:p>
        </w:tc>
      </w:tr>
      <w:tr>
        <w:trPr>
          <w:trHeight w:val="285" w:hRule="atLeast"/>
        </w:trPr>
        <w:tc>
          <w:tcPr>
            <w:tcW w:w="6975" w:type="dxa"/>
          </w:tcPr>
          <w:p>
            <w:pPr>
              <w:pStyle w:val="TableParagraph"/>
              <w:spacing w:before="48"/>
              <w:ind w:left="52"/>
              <w:rPr>
                <w:sz w:val="18"/>
              </w:rPr>
            </w:pPr>
            <w:r>
              <w:rPr>
                <w:sz w:val="18"/>
              </w:rPr>
              <w:t>Non-cash</w:t>
            </w:r>
            <w:r>
              <w:rPr>
                <w:spacing w:val="-1"/>
                <w:sz w:val="18"/>
              </w:rPr>
              <w:t> </w:t>
            </w:r>
            <w:r>
              <w:rPr>
                <w:sz w:val="18"/>
              </w:rPr>
              <w:t>financing</w:t>
            </w:r>
            <w:r>
              <w:rPr>
                <w:spacing w:val="-1"/>
                <w:sz w:val="18"/>
              </w:rPr>
              <w:t> </w:t>
            </w:r>
            <w:r>
              <w:rPr>
                <w:spacing w:val="-2"/>
                <w:sz w:val="18"/>
              </w:rPr>
              <w:t>activity:</w:t>
            </w:r>
          </w:p>
        </w:tc>
        <w:tc>
          <w:tcPr>
            <w:tcW w:w="383" w:type="dxa"/>
          </w:tcPr>
          <w:p>
            <w:pPr>
              <w:pStyle w:val="TableParagraph"/>
              <w:rPr>
                <w:sz w:val="16"/>
              </w:rPr>
            </w:pPr>
          </w:p>
        </w:tc>
        <w:tc>
          <w:tcPr>
            <w:tcW w:w="739" w:type="dxa"/>
          </w:tcPr>
          <w:p>
            <w:pPr>
              <w:pStyle w:val="TableParagraph"/>
              <w:rPr>
                <w:sz w:val="16"/>
              </w:rPr>
            </w:pPr>
          </w:p>
        </w:tc>
        <w:tc>
          <w:tcPr>
            <w:tcW w:w="540" w:type="dxa"/>
          </w:tcPr>
          <w:p>
            <w:pPr>
              <w:pStyle w:val="TableParagraph"/>
              <w:rPr>
                <w:sz w:val="16"/>
              </w:rPr>
            </w:pPr>
          </w:p>
        </w:tc>
        <w:tc>
          <w:tcPr>
            <w:tcW w:w="1624" w:type="dxa"/>
            <w:gridSpan w:val="2"/>
          </w:tcPr>
          <w:p>
            <w:pPr>
              <w:pStyle w:val="TableParagraph"/>
              <w:rPr>
                <w:sz w:val="16"/>
              </w:rPr>
            </w:pPr>
          </w:p>
        </w:tc>
      </w:tr>
      <w:tr>
        <w:trPr>
          <w:trHeight w:val="285" w:hRule="atLeast"/>
        </w:trPr>
        <w:tc>
          <w:tcPr>
            <w:tcW w:w="6975" w:type="dxa"/>
            <w:shd w:val="clear" w:color="auto" w:fill="CCEDFF"/>
          </w:tcPr>
          <w:p>
            <w:pPr>
              <w:pStyle w:val="TableParagraph"/>
              <w:spacing w:before="48"/>
              <w:ind w:left="187"/>
              <w:rPr>
                <w:sz w:val="18"/>
              </w:rPr>
            </w:pPr>
            <w:r>
              <w:rPr>
                <w:sz w:val="18"/>
              </w:rPr>
              <w:t>Common</w:t>
            </w:r>
            <w:r>
              <w:rPr>
                <w:spacing w:val="-1"/>
                <w:sz w:val="18"/>
              </w:rPr>
              <w:t> </w:t>
            </w:r>
            <w:r>
              <w:rPr>
                <w:sz w:val="18"/>
              </w:rPr>
              <w:t>stock repurchased during</w:t>
            </w:r>
            <w:r>
              <w:rPr>
                <w:spacing w:val="-1"/>
                <w:sz w:val="18"/>
              </w:rPr>
              <w:t> </w:t>
            </w:r>
            <w:r>
              <w:rPr>
                <w:sz w:val="18"/>
              </w:rPr>
              <w:t>the period but</w:t>
            </w:r>
            <w:r>
              <w:rPr>
                <w:spacing w:val="-1"/>
                <w:sz w:val="18"/>
              </w:rPr>
              <w:t> </w:t>
            </w:r>
            <w:r>
              <w:rPr>
                <w:sz w:val="18"/>
              </w:rPr>
              <w:t>settled after period </w:t>
            </w:r>
            <w:r>
              <w:rPr>
                <w:spacing w:val="-5"/>
                <w:sz w:val="18"/>
              </w:rPr>
              <w:t>end</w:t>
            </w:r>
          </w:p>
        </w:tc>
        <w:tc>
          <w:tcPr>
            <w:tcW w:w="383" w:type="dxa"/>
            <w:shd w:val="clear" w:color="auto" w:fill="CCEDFF"/>
          </w:tcPr>
          <w:p>
            <w:pPr>
              <w:pStyle w:val="TableParagraph"/>
              <w:spacing w:before="48"/>
              <w:ind w:left="52"/>
              <w:rPr>
                <w:sz w:val="18"/>
              </w:rPr>
            </w:pPr>
            <w:r>
              <w:rPr>
                <w:spacing w:val="-10"/>
                <w:sz w:val="18"/>
              </w:rPr>
              <w:t>$</w:t>
            </w:r>
          </w:p>
        </w:tc>
        <w:tc>
          <w:tcPr>
            <w:tcW w:w="1999" w:type="dxa"/>
            <w:gridSpan w:val="3"/>
            <w:shd w:val="clear" w:color="auto" w:fill="CCEDFF"/>
          </w:tcPr>
          <w:p>
            <w:pPr>
              <w:pStyle w:val="TableParagraph"/>
              <w:tabs>
                <w:tab w:pos="1349" w:val="left" w:leader="none"/>
              </w:tabs>
              <w:spacing w:before="48"/>
              <w:ind w:left="967"/>
              <w:rPr>
                <w:sz w:val="18"/>
              </w:rPr>
            </w:pPr>
            <w:r>
              <w:rPr>
                <w:spacing w:val="-10"/>
                <w:sz w:val="18"/>
              </w:rPr>
              <w:t>—</w:t>
            </w:r>
            <w:r>
              <w:rPr>
                <w:sz w:val="18"/>
              </w:rPr>
              <w:tab/>
            </w:r>
            <w:r>
              <w:rPr>
                <w:spacing w:val="-10"/>
                <w:sz w:val="18"/>
              </w:rPr>
              <w:t>$</w:t>
            </w:r>
          </w:p>
        </w:tc>
        <w:tc>
          <w:tcPr>
            <w:tcW w:w="904" w:type="dxa"/>
            <w:shd w:val="clear" w:color="auto" w:fill="CCEDFF"/>
          </w:tcPr>
          <w:p>
            <w:pPr>
              <w:pStyle w:val="TableParagraph"/>
              <w:spacing w:before="48"/>
              <w:ind w:right="73"/>
              <w:jc w:val="right"/>
              <w:rPr>
                <w:sz w:val="18"/>
              </w:rPr>
            </w:pPr>
            <w:r>
              <w:rPr>
                <w:spacing w:val="-5"/>
                <w:sz w:val="18"/>
              </w:rPr>
              <w:t>45</w:t>
            </w:r>
          </w:p>
        </w:tc>
      </w:tr>
      <w:tr>
        <w:trPr>
          <w:trHeight w:val="285" w:hRule="atLeast"/>
        </w:trPr>
        <w:tc>
          <w:tcPr>
            <w:tcW w:w="6975" w:type="dxa"/>
          </w:tcPr>
          <w:p>
            <w:pPr>
              <w:pStyle w:val="TableParagraph"/>
              <w:spacing w:before="48"/>
              <w:ind w:left="172"/>
              <w:rPr>
                <w:sz w:val="18"/>
              </w:rPr>
            </w:pPr>
            <w:r>
              <w:rPr>
                <w:sz w:val="18"/>
              </w:rPr>
              <w:t>Call of preferred </w:t>
            </w:r>
            <w:r>
              <w:rPr>
                <w:spacing w:val="-2"/>
                <w:sz w:val="18"/>
              </w:rPr>
              <w:t>stock</w:t>
            </w:r>
          </w:p>
        </w:tc>
        <w:tc>
          <w:tcPr>
            <w:tcW w:w="383" w:type="dxa"/>
          </w:tcPr>
          <w:p>
            <w:pPr>
              <w:pStyle w:val="TableParagraph"/>
              <w:spacing w:before="48"/>
              <w:ind w:left="52"/>
              <w:rPr>
                <w:sz w:val="18"/>
              </w:rPr>
            </w:pPr>
            <w:r>
              <w:rPr>
                <w:spacing w:val="-10"/>
                <w:sz w:val="18"/>
              </w:rPr>
              <w:t>$</w:t>
            </w:r>
          </w:p>
        </w:tc>
        <w:tc>
          <w:tcPr>
            <w:tcW w:w="1999" w:type="dxa"/>
            <w:gridSpan w:val="3"/>
          </w:tcPr>
          <w:p>
            <w:pPr>
              <w:pStyle w:val="TableParagraph"/>
              <w:tabs>
                <w:tab w:pos="1349" w:val="left" w:leader="none"/>
              </w:tabs>
              <w:spacing w:before="48"/>
              <w:ind w:left="967"/>
              <w:rPr>
                <w:sz w:val="18"/>
              </w:rPr>
            </w:pPr>
            <w:r>
              <w:rPr>
                <w:spacing w:val="-10"/>
                <w:sz w:val="18"/>
              </w:rPr>
              <w:t>—</w:t>
            </w:r>
            <w:r>
              <w:rPr>
                <w:sz w:val="18"/>
              </w:rPr>
              <w:tab/>
            </w:r>
            <w:r>
              <w:rPr>
                <w:spacing w:val="-10"/>
                <w:sz w:val="18"/>
              </w:rPr>
              <w:t>$</w:t>
            </w:r>
          </w:p>
        </w:tc>
        <w:tc>
          <w:tcPr>
            <w:tcW w:w="904" w:type="dxa"/>
          </w:tcPr>
          <w:p>
            <w:pPr>
              <w:pStyle w:val="TableParagraph"/>
              <w:spacing w:before="48"/>
              <w:ind w:right="73"/>
              <w:jc w:val="right"/>
              <w:rPr>
                <w:sz w:val="18"/>
              </w:rPr>
            </w:pPr>
            <w:r>
              <w:rPr>
                <w:spacing w:val="-5"/>
                <w:sz w:val="18"/>
              </w:rPr>
              <w:t>400</w:t>
            </w:r>
          </w:p>
        </w:tc>
      </w:tr>
      <w:tr>
        <w:trPr>
          <w:trHeight w:val="285" w:hRule="atLeast"/>
        </w:trPr>
        <w:tc>
          <w:tcPr>
            <w:tcW w:w="10261" w:type="dxa"/>
            <w:gridSpan w:val="6"/>
            <w:shd w:val="clear" w:color="auto" w:fill="CCEDFF"/>
          </w:tcPr>
          <w:p>
            <w:pPr>
              <w:pStyle w:val="TableParagraph"/>
              <w:spacing w:before="48"/>
              <w:ind w:left="52"/>
              <w:rPr>
                <w:sz w:val="18"/>
              </w:rPr>
            </w:pPr>
            <w:r>
              <w:rPr>
                <w:sz w:val="18"/>
              </w:rPr>
              <w:t>Other</w:t>
            </w:r>
            <w:r>
              <w:rPr>
                <w:spacing w:val="-1"/>
                <w:sz w:val="18"/>
              </w:rPr>
              <w:t> </w:t>
            </w:r>
            <w:r>
              <w:rPr>
                <w:sz w:val="18"/>
              </w:rPr>
              <w:t>Supplemental</w:t>
            </w:r>
            <w:r>
              <w:rPr>
                <w:spacing w:val="-2"/>
                <w:sz w:val="18"/>
              </w:rPr>
              <w:t> </w:t>
            </w:r>
            <w:r>
              <w:rPr>
                <w:sz w:val="18"/>
              </w:rPr>
              <w:t>Cash</w:t>
            </w:r>
            <w:r>
              <w:rPr>
                <w:spacing w:val="-1"/>
                <w:sz w:val="18"/>
              </w:rPr>
              <w:t> </w:t>
            </w:r>
            <w:r>
              <w:rPr>
                <w:sz w:val="18"/>
              </w:rPr>
              <w:t>Flow</w:t>
            </w:r>
            <w:r>
              <w:rPr>
                <w:spacing w:val="-1"/>
                <w:sz w:val="18"/>
              </w:rPr>
              <w:t> </w:t>
            </w:r>
            <w:r>
              <w:rPr>
                <w:spacing w:val="-2"/>
                <w:sz w:val="18"/>
              </w:rPr>
              <w:t>Information:</w:t>
            </w:r>
          </w:p>
        </w:tc>
      </w:tr>
    </w:tbl>
    <w:p>
      <w:pPr>
        <w:spacing w:before="43" w:after="30"/>
        <w:ind w:left="657" w:right="0" w:firstLine="0"/>
        <w:jc w:val="left"/>
        <w:rPr>
          <w:sz w:val="18"/>
        </w:rPr>
      </w:pPr>
      <w:r>
        <w:rPr>
          <w:sz w:val="18"/>
        </w:rPr>
        <w:t>Cash</w:t>
      </w:r>
      <w:r>
        <w:rPr>
          <w:spacing w:val="-1"/>
          <w:sz w:val="18"/>
        </w:rPr>
        <w:t> </w:t>
      </w:r>
      <w:r>
        <w:rPr>
          <w:sz w:val="18"/>
        </w:rPr>
        <w:t>paid during the period </w:t>
      </w:r>
      <w:r>
        <w:rPr>
          <w:spacing w:val="-4"/>
          <w:sz w:val="18"/>
        </w:rPr>
        <w:t>for:</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5"/>
        <w:gridCol w:w="3305"/>
        <w:gridCol w:w="1624"/>
      </w:tblGrid>
      <w:tr>
        <w:trPr>
          <w:trHeight w:val="285" w:hRule="atLeast"/>
        </w:trPr>
        <w:tc>
          <w:tcPr>
            <w:tcW w:w="6975" w:type="dxa"/>
            <w:shd w:val="clear" w:color="auto" w:fill="CCEDFF"/>
          </w:tcPr>
          <w:p>
            <w:pPr>
              <w:pStyle w:val="TableParagraph"/>
              <w:spacing w:before="48"/>
              <w:ind w:left="277"/>
              <w:rPr>
                <w:sz w:val="18"/>
              </w:rPr>
            </w:pPr>
            <w:r>
              <w:rPr>
                <w:spacing w:val="-2"/>
                <w:sz w:val="18"/>
              </w:rPr>
              <w:t>Interest</w:t>
            </w:r>
          </w:p>
        </w:tc>
        <w:tc>
          <w:tcPr>
            <w:tcW w:w="3305" w:type="dxa"/>
            <w:shd w:val="clear" w:color="auto" w:fill="CCEDFF"/>
          </w:tcPr>
          <w:p>
            <w:pPr>
              <w:pStyle w:val="TableParagraph"/>
              <w:tabs>
                <w:tab w:pos="1124" w:val="left" w:leader="none"/>
              </w:tabs>
              <w:spacing w:before="48"/>
              <w:ind w:left="52"/>
              <w:rPr>
                <w:sz w:val="18"/>
              </w:rPr>
            </w:pPr>
            <w:r>
              <w:rPr>
                <w:spacing w:val="-10"/>
                <w:sz w:val="18"/>
              </w:rPr>
              <w:t>$</w:t>
            </w:r>
            <w:r>
              <w:rPr>
                <w:sz w:val="18"/>
              </w:rPr>
              <w:tab/>
            </w:r>
            <w:r>
              <w:rPr>
                <w:spacing w:val="-2"/>
                <w:sz w:val="18"/>
              </w:rPr>
              <w:t>3,851</w:t>
            </w:r>
          </w:p>
        </w:tc>
        <w:tc>
          <w:tcPr>
            <w:tcW w:w="1624" w:type="dxa"/>
            <w:shd w:val="clear" w:color="auto" w:fill="CCEDFF"/>
          </w:tcPr>
          <w:p>
            <w:pPr>
              <w:pStyle w:val="TableParagraph"/>
              <w:tabs>
                <w:tab w:pos="-366" w:val="left" w:leader="none"/>
              </w:tabs>
              <w:spacing w:before="48"/>
              <w:ind w:left="-1573"/>
              <w:rPr>
                <w:sz w:val="18"/>
              </w:rPr>
            </w:pPr>
            <w:r>
              <w:rPr>
                <w:spacing w:val="-10"/>
                <w:sz w:val="18"/>
              </w:rPr>
              <w:t>$</w:t>
            </w:r>
            <w:r>
              <w:rPr>
                <w:sz w:val="18"/>
              </w:rPr>
              <w:tab/>
            </w:r>
            <w:r>
              <w:rPr>
                <w:spacing w:val="-5"/>
                <w:sz w:val="18"/>
              </w:rPr>
              <w:t>722</w:t>
            </w:r>
          </w:p>
        </w:tc>
      </w:tr>
      <w:tr>
        <w:trPr>
          <w:trHeight w:val="285" w:hRule="atLeast"/>
        </w:trPr>
        <w:tc>
          <w:tcPr>
            <w:tcW w:w="6975" w:type="dxa"/>
          </w:tcPr>
          <w:p>
            <w:pPr>
              <w:pStyle w:val="TableParagraph"/>
              <w:spacing w:before="48"/>
              <w:ind w:left="277"/>
              <w:rPr>
                <w:sz w:val="18"/>
              </w:rPr>
            </w:pPr>
            <w:r>
              <w:rPr>
                <w:sz w:val="18"/>
              </w:rPr>
              <w:t>Income </w:t>
            </w:r>
            <w:r>
              <w:rPr>
                <w:spacing w:val="-2"/>
                <w:sz w:val="18"/>
              </w:rPr>
              <w:t>taxes</w:t>
            </w:r>
          </w:p>
        </w:tc>
        <w:tc>
          <w:tcPr>
            <w:tcW w:w="3305" w:type="dxa"/>
          </w:tcPr>
          <w:p>
            <w:pPr>
              <w:pStyle w:val="TableParagraph"/>
              <w:tabs>
                <w:tab w:pos="1124" w:val="left" w:leader="none"/>
              </w:tabs>
              <w:spacing w:before="48"/>
              <w:ind w:left="52"/>
              <w:rPr>
                <w:sz w:val="18"/>
              </w:rPr>
            </w:pPr>
            <w:r>
              <w:rPr>
                <w:spacing w:val="-10"/>
                <w:sz w:val="18"/>
              </w:rPr>
              <w:t>$</w:t>
            </w:r>
            <w:r>
              <w:rPr>
                <w:sz w:val="18"/>
              </w:rPr>
              <w:tab/>
            </w:r>
            <w:r>
              <w:rPr>
                <w:spacing w:val="-2"/>
                <w:sz w:val="18"/>
              </w:rPr>
              <w:t>1,243</w:t>
            </w:r>
          </w:p>
        </w:tc>
        <w:tc>
          <w:tcPr>
            <w:tcW w:w="1624" w:type="dxa"/>
          </w:tcPr>
          <w:p>
            <w:pPr>
              <w:pStyle w:val="TableParagraph"/>
              <w:tabs>
                <w:tab w:pos="-501" w:val="left" w:leader="none"/>
              </w:tabs>
              <w:spacing w:before="48"/>
              <w:ind w:left="-1573"/>
              <w:rPr>
                <w:sz w:val="18"/>
              </w:rPr>
            </w:pPr>
            <w:r>
              <w:rPr>
                <w:spacing w:val="-10"/>
                <w:sz w:val="18"/>
              </w:rPr>
              <w:t>$</w:t>
            </w:r>
            <w:r>
              <w:rPr>
                <w:sz w:val="18"/>
              </w:rPr>
              <w:tab/>
            </w:r>
            <w:r>
              <w:rPr>
                <w:spacing w:val="-2"/>
                <w:sz w:val="18"/>
              </w:rPr>
              <w:t>1,436</w:t>
            </w:r>
          </w:p>
        </w:tc>
      </w:tr>
      <w:tr>
        <w:trPr>
          <w:trHeight w:val="285" w:hRule="atLeast"/>
        </w:trPr>
        <w:tc>
          <w:tcPr>
            <w:tcW w:w="6975" w:type="dxa"/>
            <w:shd w:val="clear" w:color="auto" w:fill="CCEDFF"/>
          </w:tcPr>
          <w:p>
            <w:pPr>
              <w:pStyle w:val="TableParagraph"/>
              <w:spacing w:before="48"/>
              <w:ind w:left="292"/>
              <w:rPr>
                <w:sz w:val="18"/>
              </w:rPr>
            </w:pPr>
            <w:r>
              <w:rPr>
                <w:sz w:val="18"/>
              </w:rPr>
              <w:t>Amounts</w:t>
            </w:r>
            <w:r>
              <w:rPr>
                <w:spacing w:val="-2"/>
                <w:sz w:val="18"/>
              </w:rPr>
              <w:t> </w:t>
            </w:r>
            <w:r>
              <w:rPr>
                <w:sz w:val="18"/>
              </w:rPr>
              <w:t>included in</w:t>
            </w:r>
            <w:r>
              <w:rPr>
                <w:spacing w:val="-1"/>
                <w:sz w:val="18"/>
              </w:rPr>
              <w:t> </w:t>
            </w:r>
            <w:r>
              <w:rPr>
                <w:sz w:val="18"/>
              </w:rPr>
              <w:t>the measurement</w:t>
            </w:r>
            <w:r>
              <w:rPr>
                <w:spacing w:val="-1"/>
                <w:sz w:val="18"/>
              </w:rPr>
              <w:t> </w:t>
            </w:r>
            <w:r>
              <w:rPr>
                <w:sz w:val="18"/>
              </w:rPr>
              <w:t>of lease </w:t>
            </w:r>
            <w:r>
              <w:rPr>
                <w:spacing w:val="-2"/>
                <w:sz w:val="18"/>
              </w:rPr>
              <w:t>liabilities</w:t>
            </w:r>
          </w:p>
        </w:tc>
        <w:tc>
          <w:tcPr>
            <w:tcW w:w="3305" w:type="dxa"/>
            <w:shd w:val="clear" w:color="auto" w:fill="CCEDFF"/>
          </w:tcPr>
          <w:p>
            <w:pPr>
              <w:pStyle w:val="TableParagraph"/>
              <w:tabs>
                <w:tab w:pos="1259" w:val="left" w:leader="none"/>
              </w:tabs>
              <w:spacing w:before="48"/>
              <w:ind w:left="52"/>
              <w:rPr>
                <w:sz w:val="18"/>
              </w:rPr>
            </w:pPr>
            <w:r>
              <w:rPr>
                <w:spacing w:val="-10"/>
                <w:sz w:val="18"/>
              </w:rPr>
              <w:t>$</w:t>
            </w:r>
            <w:r>
              <w:rPr>
                <w:sz w:val="18"/>
              </w:rPr>
              <w:tab/>
            </w:r>
            <w:r>
              <w:rPr>
                <w:spacing w:val="-5"/>
                <w:sz w:val="18"/>
              </w:rPr>
              <w:t>190</w:t>
            </w:r>
          </w:p>
        </w:tc>
        <w:tc>
          <w:tcPr>
            <w:tcW w:w="1624" w:type="dxa"/>
            <w:shd w:val="clear" w:color="auto" w:fill="CCEDFF"/>
          </w:tcPr>
          <w:p>
            <w:pPr>
              <w:pStyle w:val="TableParagraph"/>
              <w:tabs>
                <w:tab w:pos="-366" w:val="left" w:leader="none"/>
              </w:tabs>
              <w:spacing w:before="48"/>
              <w:ind w:left="-1573"/>
              <w:rPr>
                <w:sz w:val="18"/>
              </w:rPr>
            </w:pPr>
            <w:r>
              <w:rPr>
                <w:spacing w:val="-10"/>
                <w:sz w:val="18"/>
              </w:rPr>
              <w:t>$</w:t>
            </w:r>
            <w:r>
              <w:rPr>
                <w:sz w:val="18"/>
              </w:rPr>
              <w:tab/>
            </w:r>
            <w:r>
              <w:rPr>
                <w:spacing w:val="-5"/>
                <w:sz w:val="18"/>
              </w:rPr>
              <w:t>162</w:t>
            </w:r>
          </w:p>
        </w:tc>
      </w:tr>
      <w:tr>
        <w:trPr>
          <w:trHeight w:val="285" w:hRule="atLeast"/>
        </w:trPr>
        <w:tc>
          <w:tcPr>
            <w:tcW w:w="6975" w:type="dxa"/>
          </w:tcPr>
          <w:p>
            <w:pPr>
              <w:pStyle w:val="TableParagraph"/>
              <w:spacing w:before="48"/>
              <w:ind w:left="172"/>
              <w:rPr>
                <w:sz w:val="18"/>
              </w:rPr>
            </w:pPr>
            <w:r>
              <w:rPr>
                <w:sz w:val="18"/>
              </w:rPr>
              <w:t>Leased</w:t>
            </w:r>
            <w:r>
              <w:rPr>
                <w:spacing w:val="-3"/>
                <w:sz w:val="18"/>
              </w:rPr>
              <w:t> </w:t>
            </w:r>
            <w:r>
              <w:rPr>
                <w:sz w:val="18"/>
              </w:rPr>
              <w:t>assets</w:t>
            </w:r>
            <w:r>
              <w:rPr>
                <w:spacing w:val="-1"/>
                <w:sz w:val="18"/>
              </w:rPr>
              <w:t> </w:t>
            </w:r>
            <w:r>
              <w:rPr>
                <w:sz w:val="18"/>
              </w:rPr>
              <w:t>obtained</w:t>
            </w:r>
            <w:r>
              <w:rPr>
                <w:spacing w:val="-1"/>
                <w:sz w:val="18"/>
              </w:rPr>
              <w:t> </w:t>
            </w:r>
            <w:r>
              <w:rPr>
                <w:sz w:val="18"/>
              </w:rPr>
              <w:t>in exchange</w:t>
            </w:r>
            <w:r>
              <w:rPr>
                <w:spacing w:val="-1"/>
                <w:sz w:val="18"/>
              </w:rPr>
              <w:t> </w:t>
            </w:r>
            <w:r>
              <w:rPr>
                <w:sz w:val="18"/>
              </w:rPr>
              <w:t>for new</w:t>
            </w:r>
            <w:r>
              <w:rPr>
                <w:spacing w:val="-2"/>
                <w:sz w:val="18"/>
              </w:rPr>
              <w:t> </w:t>
            </w:r>
            <w:r>
              <w:rPr>
                <w:sz w:val="18"/>
              </w:rPr>
              <w:t>operating lease </w:t>
            </w:r>
            <w:r>
              <w:rPr>
                <w:spacing w:val="-2"/>
                <w:sz w:val="18"/>
              </w:rPr>
              <w:t>liabilities</w:t>
            </w:r>
          </w:p>
        </w:tc>
        <w:tc>
          <w:tcPr>
            <w:tcW w:w="3305" w:type="dxa"/>
          </w:tcPr>
          <w:p>
            <w:pPr>
              <w:pStyle w:val="TableParagraph"/>
              <w:tabs>
                <w:tab w:pos="1349" w:val="left" w:leader="none"/>
              </w:tabs>
              <w:spacing w:before="48"/>
              <w:ind w:left="52"/>
              <w:rPr>
                <w:sz w:val="18"/>
              </w:rPr>
            </w:pPr>
            <w:r>
              <w:rPr>
                <w:spacing w:val="-10"/>
                <w:sz w:val="18"/>
              </w:rPr>
              <w:t>$</w:t>
            </w:r>
            <w:r>
              <w:rPr>
                <w:sz w:val="18"/>
              </w:rPr>
              <w:tab/>
            </w:r>
            <w:r>
              <w:rPr>
                <w:spacing w:val="-5"/>
                <w:sz w:val="18"/>
              </w:rPr>
              <w:t>88</w:t>
            </w:r>
          </w:p>
        </w:tc>
        <w:tc>
          <w:tcPr>
            <w:tcW w:w="1624" w:type="dxa"/>
          </w:tcPr>
          <w:p>
            <w:pPr>
              <w:pStyle w:val="TableParagraph"/>
              <w:tabs>
                <w:tab w:pos="-366" w:val="left" w:leader="none"/>
              </w:tabs>
              <w:spacing w:before="48"/>
              <w:ind w:left="-1573"/>
              <w:rPr>
                <w:sz w:val="18"/>
              </w:rPr>
            </w:pPr>
            <w:r>
              <w:rPr>
                <w:spacing w:val="-10"/>
                <w:sz w:val="18"/>
              </w:rPr>
              <w:t>$</w:t>
            </w:r>
            <w:r>
              <w:rPr>
                <w:sz w:val="18"/>
              </w:rPr>
              <w:tab/>
            </w:r>
            <w:r>
              <w:rPr>
                <w:spacing w:val="-5"/>
                <w:sz w:val="18"/>
              </w:rPr>
              <w:t>226</w:t>
            </w:r>
          </w:p>
        </w:tc>
      </w:tr>
      <w:tr>
        <w:trPr>
          <w:trHeight w:val="280" w:hRule="atLeast"/>
        </w:trPr>
        <w:tc>
          <w:tcPr>
            <w:tcW w:w="6975" w:type="dxa"/>
            <w:tcBorders>
              <w:bottom w:val="single" w:sz="4" w:space="0" w:color="000000"/>
            </w:tcBorders>
            <w:shd w:val="clear" w:color="auto" w:fill="CCEDFF"/>
          </w:tcPr>
          <w:p>
            <w:pPr>
              <w:pStyle w:val="TableParagraph"/>
              <w:spacing w:before="48"/>
              <w:ind w:left="172"/>
              <w:rPr>
                <w:sz w:val="18"/>
              </w:rPr>
            </w:pPr>
            <w:r>
              <w:rPr>
                <w:sz w:val="18"/>
              </w:rPr>
              <w:t>Leased</w:t>
            </w:r>
            <w:r>
              <w:rPr>
                <w:spacing w:val="-3"/>
                <w:sz w:val="18"/>
              </w:rPr>
              <w:t> </w:t>
            </w:r>
            <w:r>
              <w:rPr>
                <w:sz w:val="18"/>
              </w:rPr>
              <w:t>assets</w:t>
            </w:r>
            <w:r>
              <w:rPr>
                <w:spacing w:val="-1"/>
                <w:sz w:val="18"/>
              </w:rPr>
              <w:t> </w:t>
            </w:r>
            <w:r>
              <w:rPr>
                <w:sz w:val="18"/>
              </w:rPr>
              <w:t>obtained</w:t>
            </w:r>
            <w:r>
              <w:rPr>
                <w:spacing w:val="-1"/>
                <w:sz w:val="18"/>
              </w:rPr>
              <w:t> </w:t>
            </w:r>
            <w:r>
              <w:rPr>
                <w:sz w:val="18"/>
              </w:rPr>
              <w:t>in exchange</w:t>
            </w:r>
            <w:r>
              <w:rPr>
                <w:spacing w:val="-1"/>
                <w:sz w:val="18"/>
              </w:rPr>
              <w:t> </w:t>
            </w:r>
            <w:r>
              <w:rPr>
                <w:sz w:val="18"/>
              </w:rPr>
              <w:t>for new</w:t>
            </w:r>
            <w:r>
              <w:rPr>
                <w:spacing w:val="-2"/>
                <w:sz w:val="18"/>
              </w:rPr>
              <w:t> </w:t>
            </w:r>
            <w:r>
              <w:rPr>
                <w:sz w:val="18"/>
              </w:rPr>
              <w:t>finance lease </w:t>
            </w:r>
            <w:r>
              <w:rPr>
                <w:spacing w:val="-2"/>
                <w:sz w:val="18"/>
              </w:rPr>
              <w:t>liabilities</w:t>
            </w:r>
          </w:p>
        </w:tc>
        <w:tc>
          <w:tcPr>
            <w:tcW w:w="3305" w:type="dxa"/>
            <w:tcBorders>
              <w:bottom w:val="single" w:sz="4" w:space="0" w:color="000000"/>
            </w:tcBorders>
            <w:shd w:val="clear" w:color="auto" w:fill="CCEDFF"/>
          </w:tcPr>
          <w:p>
            <w:pPr>
              <w:pStyle w:val="TableParagraph"/>
              <w:tabs>
                <w:tab w:pos="1349" w:val="left" w:leader="none"/>
              </w:tabs>
              <w:spacing w:before="48"/>
              <w:ind w:left="52"/>
              <w:rPr>
                <w:sz w:val="18"/>
              </w:rPr>
            </w:pPr>
            <w:r>
              <w:rPr>
                <w:spacing w:val="-10"/>
                <w:sz w:val="18"/>
              </w:rPr>
              <w:t>$</w:t>
            </w:r>
            <w:r>
              <w:rPr>
                <w:sz w:val="18"/>
              </w:rPr>
              <w:tab/>
            </w:r>
            <w:r>
              <w:rPr>
                <w:spacing w:val="-10"/>
                <w:sz w:val="18"/>
              </w:rPr>
              <w:t>—</w:t>
            </w:r>
          </w:p>
        </w:tc>
        <w:tc>
          <w:tcPr>
            <w:tcW w:w="1624" w:type="dxa"/>
            <w:tcBorders>
              <w:bottom w:val="single" w:sz="4" w:space="0" w:color="000000"/>
            </w:tcBorders>
            <w:shd w:val="clear" w:color="auto" w:fill="CCEDFF"/>
          </w:tcPr>
          <w:p>
            <w:pPr>
              <w:pStyle w:val="TableParagraph"/>
              <w:tabs>
                <w:tab w:pos="-186" w:val="left" w:leader="none"/>
              </w:tabs>
              <w:spacing w:before="48"/>
              <w:ind w:left="-1573"/>
              <w:rPr>
                <w:sz w:val="18"/>
              </w:rPr>
            </w:pPr>
            <w:r>
              <w:rPr>
                <w:spacing w:val="-10"/>
                <w:sz w:val="18"/>
              </w:rPr>
              <w:t>$</w:t>
            </w:r>
            <w:r>
              <w:rPr>
                <w:sz w:val="18"/>
              </w:rPr>
              <w:tab/>
            </w:r>
            <w:r>
              <w:rPr>
                <w:spacing w:val="-10"/>
                <w:sz w:val="18"/>
              </w:rPr>
              <w:t>5</w:t>
            </w:r>
          </w:p>
        </w:tc>
      </w:tr>
    </w:tbl>
    <w:p>
      <w:pPr>
        <w:pStyle w:val="BodyText"/>
      </w:pPr>
    </w:p>
    <w:p>
      <w:pPr>
        <w:pStyle w:val="BodyText"/>
        <w:spacing w:before="55" w:after="1"/>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3"/>
        <w:gridCol w:w="601"/>
        <w:gridCol w:w="1043"/>
        <w:gridCol w:w="638"/>
        <w:gridCol w:w="1017"/>
      </w:tblGrid>
      <w:tr>
        <w:trPr>
          <w:trHeight w:val="224" w:hRule="atLeast"/>
        </w:trPr>
        <w:tc>
          <w:tcPr>
            <w:tcW w:w="6963" w:type="dxa"/>
            <w:tcBorders>
              <w:bottom w:val="single" w:sz="4" w:space="0" w:color="000000"/>
            </w:tcBorders>
          </w:tcPr>
          <w:p>
            <w:pPr>
              <w:pStyle w:val="TableParagraph"/>
              <w:rPr>
                <w:sz w:val="16"/>
              </w:rPr>
            </w:pPr>
          </w:p>
        </w:tc>
        <w:tc>
          <w:tcPr>
            <w:tcW w:w="1644" w:type="dxa"/>
            <w:gridSpan w:val="2"/>
            <w:tcBorders>
              <w:bottom w:val="single" w:sz="4" w:space="0" w:color="000000"/>
            </w:tcBorders>
          </w:tcPr>
          <w:p>
            <w:pPr>
              <w:pStyle w:val="TableParagraph"/>
              <w:spacing w:line="199" w:lineRule="exact"/>
              <w:ind w:left="92"/>
              <w:rPr>
                <w:sz w:val="18"/>
              </w:rPr>
            </w:pPr>
            <w:r>
              <w:rPr>
                <w:sz w:val="18"/>
              </w:rPr>
              <w:t>September</w:t>
            </w:r>
            <w:r>
              <w:rPr>
                <w:spacing w:val="-1"/>
                <w:sz w:val="18"/>
              </w:rPr>
              <w:t> </w:t>
            </w:r>
            <w:r>
              <w:rPr>
                <w:sz w:val="18"/>
              </w:rPr>
              <w:t>30, </w:t>
            </w:r>
            <w:r>
              <w:rPr>
                <w:spacing w:val="-4"/>
                <w:sz w:val="18"/>
              </w:rPr>
              <w:t>2023</w:t>
            </w:r>
          </w:p>
        </w:tc>
        <w:tc>
          <w:tcPr>
            <w:tcW w:w="1655" w:type="dxa"/>
            <w:gridSpan w:val="2"/>
            <w:tcBorders>
              <w:bottom w:val="single" w:sz="4" w:space="0" w:color="000000"/>
            </w:tcBorders>
          </w:tcPr>
          <w:p>
            <w:pPr>
              <w:pStyle w:val="TableParagraph"/>
              <w:spacing w:line="199" w:lineRule="exact"/>
              <w:ind w:left="128"/>
              <w:rPr>
                <w:sz w:val="18"/>
              </w:rPr>
            </w:pPr>
            <w:r>
              <w:rPr>
                <w:sz w:val="18"/>
              </w:rPr>
              <w:t>September</w:t>
            </w:r>
            <w:r>
              <w:rPr>
                <w:spacing w:val="-1"/>
                <w:sz w:val="18"/>
              </w:rPr>
              <w:t> </w:t>
            </w:r>
            <w:r>
              <w:rPr>
                <w:sz w:val="18"/>
              </w:rPr>
              <w:t>30, </w:t>
            </w:r>
            <w:r>
              <w:rPr>
                <w:spacing w:val="-4"/>
                <w:sz w:val="18"/>
              </w:rPr>
              <w:t>2022</w:t>
            </w:r>
          </w:p>
        </w:tc>
      </w:tr>
      <w:tr>
        <w:trPr>
          <w:trHeight w:val="275" w:hRule="atLeast"/>
        </w:trPr>
        <w:tc>
          <w:tcPr>
            <w:tcW w:w="6963" w:type="dxa"/>
            <w:tcBorders>
              <w:top w:val="single" w:sz="4" w:space="0" w:color="000000"/>
              <w:bottom w:val="single" w:sz="4" w:space="0" w:color="000000"/>
            </w:tcBorders>
          </w:tcPr>
          <w:p>
            <w:pPr>
              <w:pStyle w:val="TableParagraph"/>
              <w:spacing w:before="43"/>
              <w:ind w:left="52"/>
              <w:rPr>
                <w:sz w:val="18"/>
              </w:rPr>
            </w:pPr>
            <w:r>
              <w:rPr>
                <w:b/>
                <w:sz w:val="18"/>
              </w:rPr>
              <w:t>Reconciliation</w:t>
            </w:r>
            <w:r>
              <w:rPr>
                <w:b/>
                <w:spacing w:val="-5"/>
                <w:sz w:val="18"/>
              </w:rPr>
              <w:t> </w:t>
            </w:r>
            <w:r>
              <w:rPr>
                <w:b/>
                <w:sz w:val="18"/>
              </w:rPr>
              <w:t>of</w:t>
            </w:r>
            <w:r>
              <w:rPr>
                <w:b/>
                <w:spacing w:val="-2"/>
                <w:sz w:val="18"/>
              </w:rPr>
              <w:t> </w:t>
            </w:r>
            <w:r>
              <w:rPr>
                <w:b/>
                <w:sz w:val="18"/>
              </w:rPr>
              <w:t>cash,</w:t>
            </w:r>
            <w:r>
              <w:rPr>
                <w:b/>
                <w:spacing w:val="-1"/>
                <w:sz w:val="18"/>
              </w:rPr>
              <w:t> </w:t>
            </w:r>
            <w:r>
              <w:rPr>
                <w:b/>
                <w:sz w:val="18"/>
              </w:rPr>
              <w:t>cash</w:t>
            </w:r>
            <w:r>
              <w:rPr>
                <w:b/>
                <w:spacing w:val="-3"/>
                <w:sz w:val="18"/>
              </w:rPr>
              <w:t> </w:t>
            </w:r>
            <w:r>
              <w:rPr>
                <w:b/>
                <w:sz w:val="18"/>
              </w:rPr>
              <w:t>equivalents</w:t>
            </w:r>
            <w:r>
              <w:rPr>
                <w:b/>
                <w:spacing w:val="-2"/>
                <w:sz w:val="18"/>
              </w:rPr>
              <w:t> </w:t>
            </w:r>
            <w:r>
              <w:rPr>
                <w:b/>
                <w:sz w:val="18"/>
              </w:rPr>
              <w:t>and</w:t>
            </w:r>
            <w:r>
              <w:rPr>
                <w:b/>
                <w:spacing w:val="-3"/>
                <w:sz w:val="18"/>
              </w:rPr>
              <w:t> </w:t>
            </w:r>
            <w:r>
              <w:rPr>
                <w:b/>
                <w:sz w:val="18"/>
              </w:rPr>
              <w:t>amounts</w:t>
            </w:r>
            <w:r>
              <w:rPr>
                <w:b/>
                <w:spacing w:val="-3"/>
                <w:sz w:val="18"/>
              </w:rPr>
              <w:t> </w:t>
            </w:r>
            <w:r>
              <w:rPr>
                <w:b/>
                <w:sz w:val="18"/>
              </w:rPr>
              <w:t>reported</w:t>
            </w:r>
            <w:r>
              <w:rPr>
                <w:b/>
                <w:spacing w:val="-2"/>
                <w:sz w:val="18"/>
              </w:rPr>
              <w:t> </w:t>
            </w:r>
            <w:r>
              <w:rPr>
                <w:b/>
                <w:sz w:val="18"/>
              </w:rPr>
              <w:t>within</w:t>
            </w:r>
            <w:r>
              <w:rPr>
                <w:b/>
                <w:spacing w:val="-3"/>
                <w:sz w:val="18"/>
              </w:rPr>
              <w:t> </w:t>
            </w:r>
            <w:r>
              <w:rPr>
                <w:b/>
                <w:sz w:val="18"/>
              </w:rPr>
              <w:t>the</w:t>
            </w:r>
            <w:r>
              <w:rPr>
                <w:b/>
                <w:spacing w:val="-1"/>
                <w:sz w:val="18"/>
              </w:rPr>
              <w:t> </w:t>
            </w:r>
            <w:r>
              <w:rPr>
                <w:b/>
                <w:sz w:val="18"/>
              </w:rPr>
              <w:t>balance</w:t>
            </w:r>
            <w:r>
              <w:rPr>
                <w:b/>
                <w:spacing w:val="-2"/>
                <w:sz w:val="18"/>
              </w:rPr>
              <w:t> </w:t>
            </w:r>
            <w:r>
              <w:rPr>
                <w:b/>
                <w:sz w:val="18"/>
              </w:rPr>
              <w:t>sheet</w:t>
            </w:r>
            <w:r>
              <w:rPr>
                <w:b/>
                <w:spacing w:val="-7"/>
                <w:sz w:val="18"/>
              </w:rPr>
              <w:t> </w:t>
            </w:r>
            <w:r>
              <w:rPr>
                <w:spacing w:val="-5"/>
                <w:sz w:val="18"/>
                <w:vertAlign w:val="superscript"/>
              </w:rPr>
              <w:t>(2)</w:t>
            </w:r>
          </w:p>
        </w:tc>
        <w:tc>
          <w:tcPr>
            <w:tcW w:w="1644" w:type="dxa"/>
            <w:gridSpan w:val="2"/>
            <w:tcBorders>
              <w:top w:val="single" w:sz="4" w:space="0" w:color="000000"/>
              <w:bottom w:val="single" w:sz="4" w:space="0" w:color="000000"/>
            </w:tcBorders>
          </w:tcPr>
          <w:p>
            <w:pPr>
              <w:pStyle w:val="TableParagraph"/>
              <w:rPr>
                <w:sz w:val="16"/>
              </w:rPr>
            </w:pPr>
          </w:p>
        </w:tc>
        <w:tc>
          <w:tcPr>
            <w:tcW w:w="1655" w:type="dxa"/>
            <w:gridSpan w:val="2"/>
            <w:tcBorders>
              <w:top w:val="single" w:sz="4" w:space="0" w:color="000000"/>
              <w:bottom w:val="single" w:sz="4" w:space="0" w:color="000000"/>
            </w:tcBorders>
          </w:tcPr>
          <w:p>
            <w:pPr>
              <w:pStyle w:val="TableParagraph"/>
              <w:rPr>
                <w:sz w:val="16"/>
              </w:rPr>
            </w:pPr>
          </w:p>
        </w:tc>
      </w:tr>
      <w:tr>
        <w:trPr>
          <w:trHeight w:val="280" w:hRule="atLeast"/>
        </w:trPr>
        <w:tc>
          <w:tcPr>
            <w:tcW w:w="6963" w:type="dxa"/>
            <w:tcBorders>
              <w:top w:val="single" w:sz="4" w:space="0" w:color="000000"/>
            </w:tcBorders>
            <w:shd w:val="clear" w:color="auto" w:fill="CCEDFF"/>
          </w:tcPr>
          <w:p>
            <w:pPr>
              <w:pStyle w:val="TableParagraph"/>
              <w:spacing w:before="23"/>
              <w:ind w:left="52"/>
              <w:rPr>
                <w:sz w:val="18"/>
              </w:rPr>
            </w:pPr>
            <w:r>
              <w:rPr>
                <w:sz w:val="18"/>
              </w:rPr>
              <w:t>Cash</w:t>
            </w:r>
            <w:r>
              <w:rPr>
                <w:spacing w:val="-1"/>
                <w:sz w:val="18"/>
              </w:rPr>
              <w:t> </w:t>
            </w:r>
            <w:r>
              <w:rPr>
                <w:sz w:val="18"/>
              </w:rPr>
              <w:t>and</w:t>
            </w:r>
            <w:r>
              <w:rPr>
                <w:spacing w:val="-1"/>
                <w:sz w:val="18"/>
              </w:rPr>
              <w:t> </w:t>
            </w:r>
            <w:r>
              <w:rPr>
                <w:sz w:val="18"/>
              </w:rPr>
              <w:t>cash </w:t>
            </w:r>
            <w:r>
              <w:rPr>
                <w:spacing w:val="-2"/>
                <w:sz w:val="18"/>
              </w:rPr>
              <w:t>equivalents</w:t>
            </w:r>
          </w:p>
        </w:tc>
        <w:tc>
          <w:tcPr>
            <w:tcW w:w="1644" w:type="dxa"/>
            <w:gridSpan w:val="2"/>
            <w:tcBorders>
              <w:top w:val="single" w:sz="4" w:space="0" w:color="000000"/>
            </w:tcBorders>
            <w:shd w:val="clear" w:color="auto" w:fill="CCEDFF"/>
          </w:tcPr>
          <w:p>
            <w:pPr>
              <w:pStyle w:val="TableParagraph"/>
              <w:tabs>
                <w:tab w:pos="1046" w:val="left" w:leader="none"/>
              </w:tabs>
              <w:spacing w:before="23"/>
              <w:ind w:left="64"/>
              <w:rPr>
                <w:sz w:val="18"/>
              </w:rPr>
            </w:pPr>
            <w:r>
              <w:rPr>
                <w:spacing w:val="-10"/>
                <w:sz w:val="18"/>
              </w:rPr>
              <w:t>$</w:t>
            </w:r>
            <w:r>
              <w:rPr>
                <w:sz w:val="18"/>
              </w:rPr>
              <w:tab/>
            </w:r>
            <w:r>
              <w:rPr>
                <w:spacing w:val="-2"/>
                <w:sz w:val="18"/>
              </w:rPr>
              <w:t>33,251</w:t>
            </w:r>
          </w:p>
        </w:tc>
        <w:tc>
          <w:tcPr>
            <w:tcW w:w="1655" w:type="dxa"/>
            <w:gridSpan w:val="2"/>
            <w:tcBorders>
              <w:top w:val="single" w:sz="4" w:space="0" w:color="000000"/>
            </w:tcBorders>
            <w:shd w:val="clear" w:color="auto" w:fill="CCEDFF"/>
          </w:tcPr>
          <w:p>
            <w:pPr>
              <w:pStyle w:val="TableParagraph"/>
              <w:tabs>
                <w:tab w:pos="1082" w:val="left" w:leader="none"/>
              </w:tabs>
              <w:spacing w:before="23"/>
              <w:ind w:left="100"/>
              <w:rPr>
                <w:sz w:val="18"/>
              </w:rPr>
            </w:pPr>
            <w:r>
              <w:rPr>
                <w:spacing w:val="-10"/>
                <w:sz w:val="18"/>
              </w:rPr>
              <w:t>$</w:t>
            </w:r>
            <w:r>
              <w:rPr>
                <w:sz w:val="18"/>
              </w:rPr>
              <w:tab/>
            </w:r>
            <w:r>
              <w:rPr>
                <w:spacing w:val="-2"/>
                <w:sz w:val="18"/>
              </w:rPr>
              <w:t>46,486</w:t>
            </w:r>
          </w:p>
        </w:tc>
      </w:tr>
      <w:tr>
        <w:trPr>
          <w:trHeight w:val="460" w:hRule="atLeast"/>
        </w:trPr>
        <w:tc>
          <w:tcPr>
            <w:tcW w:w="6963" w:type="dxa"/>
            <w:tcBorders>
              <w:bottom w:val="single" w:sz="4" w:space="0" w:color="000000"/>
            </w:tcBorders>
          </w:tcPr>
          <w:p>
            <w:pPr>
              <w:pStyle w:val="TableParagraph"/>
              <w:spacing w:line="208" w:lineRule="auto" w:before="50"/>
              <w:ind w:left="142" w:right="192" w:hanging="90"/>
              <w:rPr>
                <w:sz w:val="18"/>
              </w:rPr>
            </w:pPr>
            <w:r>
              <w:rPr>
                <w:sz w:val="18"/>
              </w:rPr>
              <w:t>Restricted</w:t>
            </w:r>
            <w:r>
              <w:rPr>
                <w:spacing w:val="-4"/>
                <w:sz w:val="18"/>
              </w:rPr>
              <w:t> </w:t>
            </w:r>
            <w:r>
              <w:rPr>
                <w:sz w:val="18"/>
              </w:rPr>
              <w:t>cash</w:t>
            </w:r>
            <w:r>
              <w:rPr>
                <w:spacing w:val="-4"/>
                <w:sz w:val="18"/>
              </w:rPr>
              <w:t> </w:t>
            </w:r>
            <w:r>
              <w:rPr>
                <w:sz w:val="18"/>
              </w:rPr>
              <w:t>and</w:t>
            </w:r>
            <w:r>
              <w:rPr>
                <w:spacing w:val="-4"/>
                <w:sz w:val="18"/>
              </w:rPr>
              <w:t> </w:t>
            </w:r>
            <w:r>
              <w:rPr>
                <w:sz w:val="18"/>
              </w:rPr>
              <w:t>cash</w:t>
            </w:r>
            <w:r>
              <w:rPr>
                <w:spacing w:val="-4"/>
                <w:sz w:val="18"/>
              </w:rPr>
              <w:t> </w:t>
            </w:r>
            <w:r>
              <w:rPr>
                <w:sz w:val="18"/>
              </w:rPr>
              <w:t>equivalents</w:t>
            </w:r>
            <w:r>
              <w:rPr>
                <w:spacing w:val="-4"/>
                <w:sz w:val="18"/>
              </w:rPr>
              <w:t> </w:t>
            </w:r>
            <w:r>
              <w:rPr>
                <w:sz w:val="18"/>
              </w:rPr>
              <w:t>amounts</w:t>
            </w:r>
            <w:r>
              <w:rPr>
                <w:spacing w:val="-4"/>
                <w:sz w:val="18"/>
              </w:rPr>
              <w:t> </w:t>
            </w:r>
            <w:r>
              <w:rPr>
                <w:sz w:val="18"/>
              </w:rPr>
              <w:t>included</w:t>
            </w:r>
            <w:r>
              <w:rPr>
                <w:spacing w:val="-4"/>
                <w:sz w:val="18"/>
              </w:rPr>
              <w:t> </w:t>
            </w:r>
            <w:r>
              <w:rPr>
                <w:sz w:val="18"/>
              </w:rPr>
              <w:t>in</w:t>
            </w:r>
            <w:r>
              <w:rPr>
                <w:spacing w:val="-4"/>
                <w:sz w:val="18"/>
              </w:rPr>
              <w:t> </w:t>
            </w:r>
            <w:r>
              <w:rPr>
                <w:sz w:val="18"/>
              </w:rPr>
              <w:t>cash</w:t>
            </w:r>
            <w:r>
              <w:rPr>
                <w:spacing w:val="-4"/>
                <w:sz w:val="18"/>
              </w:rPr>
              <w:t> </w:t>
            </w:r>
            <w:r>
              <w:rPr>
                <w:sz w:val="18"/>
              </w:rPr>
              <w:t>and</w:t>
            </w:r>
            <w:r>
              <w:rPr>
                <w:spacing w:val="-4"/>
                <w:sz w:val="18"/>
              </w:rPr>
              <w:t> </w:t>
            </w:r>
            <w:r>
              <w:rPr>
                <w:sz w:val="18"/>
              </w:rPr>
              <w:t>investments</w:t>
            </w:r>
            <w:r>
              <w:rPr>
                <w:spacing w:val="-4"/>
                <w:sz w:val="18"/>
              </w:rPr>
              <w:t> </w:t>
            </w:r>
            <w:r>
              <w:rPr>
                <w:sz w:val="18"/>
              </w:rPr>
              <w:t>segregated and on deposit for regulatory purposes</w:t>
            </w:r>
          </w:p>
        </w:tc>
        <w:tc>
          <w:tcPr>
            <w:tcW w:w="1644" w:type="dxa"/>
            <w:gridSpan w:val="2"/>
            <w:tcBorders>
              <w:bottom w:val="single" w:sz="4" w:space="0" w:color="000000"/>
            </w:tcBorders>
          </w:tcPr>
          <w:p>
            <w:pPr>
              <w:pStyle w:val="TableParagraph"/>
              <w:spacing w:before="21"/>
              <w:rPr>
                <w:sz w:val="18"/>
              </w:rPr>
            </w:pPr>
          </w:p>
          <w:p>
            <w:pPr>
              <w:pStyle w:val="TableParagraph"/>
              <w:ind w:left="1047"/>
              <w:rPr>
                <w:sz w:val="18"/>
              </w:rPr>
            </w:pPr>
            <w:r>
              <w:rPr>
                <w:spacing w:val="-2"/>
                <w:sz w:val="18"/>
              </w:rPr>
              <w:t>11,656</w:t>
            </w:r>
          </w:p>
        </w:tc>
        <w:tc>
          <w:tcPr>
            <w:tcW w:w="1655" w:type="dxa"/>
            <w:gridSpan w:val="2"/>
            <w:tcBorders>
              <w:bottom w:val="single" w:sz="4" w:space="0" w:color="000000"/>
            </w:tcBorders>
          </w:tcPr>
          <w:p>
            <w:pPr>
              <w:pStyle w:val="TableParagraph"/>
              <w:spacing w:before="21"/>
              <w:rPr>
                <w:sz w:val="18"/>
              </w:rPr>
            </w:pPr>
          </w:p>
          <w:p>
            <w:pPr>
              <w:pStyle w:val="TableParagraph"/>
              <w:ind w:left="1083"/>
              <w:rPr>
                <w:sz w:val="18"/>
              </w:rPr>
            </w:pPr>
            <w:r>
              <w:rPr>
                <w:spacing w:val="-2"/>
                <w:sz w:val="18"/>
              </w:rPr>
              <w:t>18,760</w:t>
            </w:r>
          </w:p>
        </w:tc>
      </w:tr>
      <w:tr>
        <w:trPr>
          <w:trHeight w:val="430" w:hRule="atLeast"/>
        </w:trPr>
        <w:tc>
          <w:tcPr>
            <w:tcW w:w="6963" w:type="dxa"/>
            <w:tcBorders>
              <w:top w:val="single" w:sz="4" w:space="0" w:color="000000"/>
              <w:bottom w:val="double" w:sz="8" w:space="0" w:color="000000"/>
            </w:tcBorders>
            <w:shd w:val="clear" w:color="auto" w:fill="CCEDFF"/>
          </w:tcPr>
          <w:p>
            <w:pPr>
              <w:pStyle w:val="TableParagraph"/>
              <w:spacing w:line="180" w:lineRule="exact" w:before="50"/>
              <w:ind w:left="142" w:right="475" w:hanging="90"/>
              <w:rPr>
                <w:b/>
                <w:sz w:val="18"/>
              </w:rPr>
            </w:pPr>
            <w:r>
              <w:rPr>
                <w:b/>
                <w:sz w:val="18"/>
              </w:rPr>
              <w:t>Total</w:t>
            </w:r>
            <w:r>
              <w:rPr>
                <w:b/>
                <w:spacing w:val="-4"/>
                <w:sz w:val="18"/>
              </w:rPr>
              <w:t> </w:t>
            </w:r>
            <w:r>
              <w:rPr>
                <w:b/>
                <w:sz w:val="18"/>
              </w:rPr>
              <w:t>cash</w:t>
            </w:r>
            <w:r>
              <w:rPr>
                <w:b/>
                <w:spacing w:val="-4"/>
                <w:sz w:val="18"/>
              </w:rPr>
              <w:t> </w:t>
            </w:r>
            <w:r>
              <w:rPr>
                <w:b/>
                <w:sz w:val="18"/>
              </w:rPr>
              <w:t>and</w:t>
            </w:r>
            <w:r>
              <w:rPr>
                <w:b/>
                <w:spacing w:val="-4"/>
                <w:sz w:val="18"/>
              </w:rPr>
              <w:t> </w:t>
            </w:r>
            <w:r>
              <w:rPr>
                <w:b/>
                <w:sz w:val="18"/>
              </w:rPr>
              <w:t>cash</w:t>
            </w:r>
            <w:r>
              <w:rPr>
                <w:b/>
                <w:spacing w:val="-4"/>
                <w:sz w:val="18"/>
              </w:rPr>
              <w:t> </w:t>
            </w:r>
            <w:r>
              <w:rPr>
                <w:b/>
                <w:sz w:val="18"/>
              </w:rPr>
              <w:t>equivalents,</w:t>
            </w:r>
            <w:r>
              <w:rPr>
                <w:b/>
                <w:spacing w:val="-4"/>
                <w:sz w:val="18"/>
              </w:rPr>
              <w:t> </w:t>
            </w:r>
            <w:r>
              <w:rPr>
                <w:b/>
                <w:sz w:val="18"/>
              </w:rPr>
              <w:t>including</w:t>
            </w:r>
            <w:r>
              <w:rPr>
                <w:b/>
                <w:spacing w:val="-4"/>
                <w:sz w:val="18"/>
              </w:rPr>
              <w:t> </w:t>
            </w:r>
            <w:r>
              <w:rPr>
                <w:b/>
                <w:sz w:val="18"/>
              </w:rPr>
              <w:t>amounts</w:t>
            </w:r>
            <w:r>
              <w:rPr>
                <w:b/>
                <w:spacing w:val="-4"/>
                <w:sz w:val="18"/>
              </w:rPr>
              <w:t> </w:t>
            </w:r>
            <w:r>
              <w:rPr>
                <w:b/>
                <w:sz w:val="18"/>
              </w:rPr>
              <w:t>restricted</w:t>
            </w:r>
            <w:r>
              <w:rPr>
                <w:b/>
                <w:spacing w:val="-4"/>
                <w:sz w:val="18"/>
              </w:rPr>
              <w:t> </w:t>
            </w:r>
            <w:r>
              <w:rPr>
                <w:b/>
                <w:sz w:val="18"/>
              </w:rPr>
              <w:t>shown</w:t>
            </w:r>
            <w:r>
              <w:rPr>
                <w:b/>
                <w:spacing w:val="-4"/>
                <w:sz w:val="18"/>
              </w:rPr>
              <w:t> </w:t>
            </w:r>
            <w:r>
              <w:rPr>
                <w:b/>
                <w:sz w:val="18"/>
              </w:rPr>
              <w:t>in</w:t>
            </w:r>
            <w:r>
              <w:rPr>
                <w:b/>
                <w:spacing w:val="-4"/>
                <w:sz w:val="18"/>
              </w:rPr>
              <w:t> </w:t>
            </w:r>
            <w:r>
              <w:rPr>
                <w:b/>
                <w:sz w:val="18"/>
              </w:rPr>
              <w:t>the statement of cash flows</w:t>
            </w:r>
          </w:p>
        </w:tc>
        <w:tc>
          <w:tcPr>
            <w:tcW w:w="601" w:type="dxa"/>
            <w:tcBorders>
              <w:top w:val="single" w:sz="4" w:space="0" w:color="000000"/>
              <w:bottom w:val="double" w:sz="8" w:space="0" w:color="000000"/>
            </w:tcBorders>
            <w:shd w:val="clear" w:color="auto" w:fill="CCEDFF"/>
          </w:tcPr>
          <w:p>
            <w:pPr>
              <w:pStyle w:val="TableParagraph"/>
              <w:spacing w:before="16"/>
              <w:rPr>
                <w:sz w:val="18"/>
              </w:rPr>
            </w:pPr>
          </w:p>
          <w:p>
            <w:pPr>
              <w:pStyle w:val="TableParagraph"/>
              <w:spacing w:line="187" w:lineRule="exact"/>
              <w:ind w:left="64"/>
              <w:rPr>
                <w:sz w:val="18"/>
              </w:rPr>
            </w:pPr>
            <w:r>
              <w:rPr>
                <w:spacing w:val="-10"/>
                <w:sz w:val="18"/>
              </w:rPr>
              <w:t>$</w:t>
            </w:r>
          </w:p>
        </w:tc>
        <w:tc>
          <w:tcPr>
            <w:tcW w:w="1043" w:type="dxa"/>
            <w:tcBorders>
              <w:top w:val="single" w:sz="4" w:space="0" w:color="000000"/>
              <w:bottom w:val="double" w:sz="8" w:space="0" w:color="000000"/>
            </w:tcBorders>
            <w:shd w:val="clear" w:color="auto" w:fill="CCEDFF"/>
          </w:tcPr>
          <w:p>
            <w:pPr>
              <w:pStyle w:val="TableParagraph"/>
              <w:spacing w:before="16"/>
              <w:rPr>
                <w:sz w:val="18"/>
              </w:rPr>
            </w:pPr>
          </w:p>
          <w:p>
            <w:pPr>
              <w:pStyle w:val="TableParagraph"/>
              <w:spacing w:line="187" w:lineRule="exact"/>
              <w:ind w:left="446"/>
              <w:rPr>
                <w:sz w:val="18"/>
              </w:rPr>
            </w:pPr>
            <w:r>
              <w:rPr>
                <w:spacing w:val="-2"/>
                <w:sz w:val="18"/>
              </w:rPr>
              <w:t>44,907</w:t>
            </w:r>
          </w:p>
        </w:tc>
        <w:tc>
          <w:tcPr>
            <w:tcW w:w="638" w:type="dxa"/>
            <w:tcBorders>
              <w:top w:val="single" w:sz="4" w:space="0" w:color="000000"/>
              <w:bottom w:val="double" w:sz="8" w:space="0" w:color="000000"/>
            </w:tcBorders>
            <w:shd w:val="clear" w:color="auto" w:fill="CCEDFF"/>
          </w:tcPr>
          <w:p>
            <w:pPr>
              <w:pStyle w:val="TableParagraph"/>
              <w:spacing w:before="16"/>
              <w:rPr>
                <w:sz w:val="18"/>
              </w:rPr>
            </w:pPr>
          </w:p>
          <w:p>
            <w:pPr>
              <w:pStyle w:val="TableParagraph"/>
              <w:spacing w:line="187" w:lineRule="exact"/>
              <w:ind w:left="100"/>
              <w:rPr>
                <w:sz w:val="18"/>
              </w:rPr>
            </w:pPr>
            <w:r>
              <w:rPr>
                <w:spacing w:val="-10"/>
                <w:sz w:val="18"/>
              </w:rPr>
              <w:t>$</w:t>
            </w:r>
          </w:p>
        </w:tc>
        <w:tc>
          <w:tcPr>
            <w:tcW w:w="1017" w:type="dxa"/>
            <w:tcBorders>
              <w:top w:val="single" w:sz="4" w:space="0" w:color="000000"/>
              <w:bottom w:val="double" w:sz="8" w:space="0" w:color="000000"/>
            </w:tcBorders>
            <w:shd w:val="clear" w:color="auto" w:fill="CCEDFF"/>
          </w:tcPr>
          <w:p>
            <w:pPr>
              <w:pStyle w:val="TableParagraph"/>
              <w:spacing w:before="16"/>
              <w:rPr>
                <w:sz w:val="18"/>
              </w:rPr>
            </w:pPr>
          </w:p>
          <w:p>
            <w:pPr>
              <w:pStyle w:val="TableParagraph"/>
              <w:spacing w:line="187" w:lineRule="exact"/>
              <w:ind w:left="445"/>
              <w:rPr>
                <w:sz w:val="18"/>
              </w:rPr>
            </w:pPr>
            <w:r>
              <w:rPr>
                <w:spacing w:val="-2"/>
                <w:sz w:val="18"/>
              </w:rPr>
              <w:t>65,246</w:t>
            </w:r>
          </w:p>
        </w:tc>
      </w:tr>
    </w:tbl>
    <w:p>
      <w:pPr>
        <w:spacing w:before="31"/>
        <w:ind w:left="470" w:right="0" w:firstLine="0"/>
        <w:jc w:val="left"/>
        <w:rPr>
          <w:sz w:val="16"/>
        </w:rPr>
      </w:pPr>
      <w:r>
        <w:rPr>
          <w:sz w:val="16"/>
          <w:vertAlign w:val="superscript"/>
        </w:rPr>
        <w:t>(1)</w:t>
      </w:r>
      <w:r>
        <w:rPr>
          <w:spacing w:val="-1"/>
          <w:sz w:val="16"/>
          <w:vertAlign w:val="baseline"/>
        </w:rPr>
        <w:t> </w:t>
      </w:r>
      <w:r>
        <w:rPr>
          <w:sz w:val="16"/>
          <w:vertAlign w:val="baseline"/>
        </w:rPr>
        <w:t>Certain prior period amounts</w:t>
      </w:r>
      <w:r>
        <w:rPr>
          <w:spacing w:val="-1"/>
          <w:sz w:val="16"/>
          <w:vertAlign w:val="baseline"/>
        </w:rPr>
        <w:t> </w:t>
      </w:r>
      <w:r>
        <w:rPr>
          <w:sz w:val="16"/>
          <w:vertAlign w:val="baseline"/>
        </w:rPr>
        <w:t>have</w:t>
      </w:r>
      <w:r>
        <w:rPr>
          <w:spacing w:val="1"/>
          <w:sz w:val="16"/>
          <w:vertAlign w:val="baseline"/>
        </w:rPr>
        <w:t> </w:t>
      </w:r>
      <w:r>
        <w:rPr>
          <w:sz w:val="16"/>
          <w:vertAlign w:val="baseline"/>
        </w:rPr>
        <w:t>been reclassified to conform to the</w:t>
      </w:r>
      <w:r>
        <w:rPr>
          <w:spacing w:val="1"/>
          <w:sz w:val="16"/>
          <w:vertAlign w:val="baseline"/>
        </w:rPr>
        <w:t> </w:t>
      </w:r>
      <w:r>
        <w:rPr>
          <w:sz w:val="16"/>
          <w:vertAlign w:val="baseline"/>
        </w:rPr>
        <w:t>current year presentation. See Note 1</w:t>
      </w:r>
      <w:r>
        <w:rPr>
          <w:spacing w:val="1"/>
          <w:sz w:val="16"/>
          <w:vertAlign w:val="baseline"/>
        </w:rPr>
        <w:t> </w:t>
      </w:r>
      <w:r>
        <w:rPr>
          <w:sz w:val="16"/>
          <w:vertAlign w:val="baseline"/>
        </w:rPr>
        <w:t>for additional </w:t>
      </w:r>
      <w:r>
        <w:rPr>
          <w:spacing w:val="-2"/>
          <w:sz w:val="16"/>
          <w:vertAlign w:val="baseline"/>
        </w:rPr>
        <w:t>information.</w:t>
      </w:r>
    </w:p>
    <w:p>
      <w:pPr>
        <w:spacing w:before="0"/>
        <w:ind w:left="470" w:right="0" w:firstLine="0"/>
        <w:jc w:val="left"/>
        <w:rPr>
          <w:sz w:val="16"/>
        </w:rPr>
      </w:pPr>
      <w:r>
        <w:rPr>
          <w:sz w:val="16"/>
          <w:vertAlign w:val="superscript"/>
        </w:rPr>
        <w:t>(2)</w:t>
      </w:r>
      <w:r>
        <w:rPr>
          <w:spacing w:val="-1"/>
          <w:sz w:val="16"/>
          <w:vertAlign w:val="baseline"/>
        </w:rPr>
        <w:t> </w:t>
      </w:r>
      <w:r>
        <w:rPr>
          <w:sz w:val="16"/>
          <w:vertAlign w:val="baseline"/>
        </w:rPr>
        <w:t>For more information on the nature of restrictions</w:t>
      </w:r>
      <w:r>
        <w:rPr>
          <w:spacing w:val="-1"/>
          <w:sz w:val="16"/>
          <w:vertAlign w:val="baseline"/>
        </w:rPr>
        <w:t> </w:t>
      </w:r>
      <w:r>
        <w:rPr>
          <w:sz w:val="16"/>
          <w:vertAlign w:val="baseline"/>
        </w:rPr>
        <w:t>on restricted cash and</w:t>
      </w:r>
      <w:r>
        <w:rPr>
          <w:spacing w:val="1"/>
          <w:sz w:val="16"/>
          <w:vertAlign w:val="baseline"/>
        </w:rPr>
        <w:t> </w:t>
      </w:r>
      <w:r>
        <w:rPr>
          <w:sz w:val="16"/>
          <w:vertAlign w:val="baseline"/>
        </w:rPr>
        <w:t>cash equivalents, see Note</w:t>
      </w:r>
      <w:r>
        <w:rPr>
          <w:spacing w:val="-4"/>
          <w:sz w:val="16"/>
          <w:vertAlign w:val="baseline"/>
        </w:rPr>
        <w:t> </w:t>
      </w:r>
      <w:r>
        <w:rPr>
          <w:spacing w:val="-5"/>
          <w:sz w:val="16"/>
          <w:vertAlign w:val="baseline"/>
        </w:rPr>
        <w:t>17.</w:t>
      </w:r>
    </w:p>
    <w:p>
      <w:pPr>
        <w:pStyle w:val="BodyText"/>
        <w:spacing w:before="27"/>
        <w:rPr>
          <w:sz w:val="16"/>
        </w:rPr>
      </w:pPr>
    </w:p>
    <w:p>
      <w:pPr>
        <w:spacing w:before="0"/>
        <w:ind w:left="470" w:right="0" w:firstLine="0"/>
        <w:jc w:val="left"/>
        <w:rPr>
          <w:i/>
          <w:sz w:val="18"/>
        </w:rPr>
      </w:pPr>
      <w:r>
        <w:rPr>
          <w:i/>
          <w:sz w:val="18"/>
        </w:rPr>
        <w:t>See</w:t>
      </w:r>
      <w:r>
        <w:rPr>
          <w:i/>
          <w:spacing w:val="-1"/>
          <w:sz w:val="18"/>
        </w:rPr>
        <w:t> </w:t>
      </w:r>
      <w:r>
        <w:rPr>
          <w:i/>
          <w:sz w:val="18"/>
        </w:rPr>
        <w:t>Notes</w:t>
      </w:r>
      <w:r>
        <w:rPr>
          <w:i/>
          <w:spacing w:val="-1"/>
          <w:sz w:val="18"/>
        </w:rPr>
        <w:t> </w:t>
      </w:r>
      <w:r>
        <w:rPr>
          <w:i/>
          <w:sz w:val="18"/>
        </w:rPr>
        <w:t>to Condensed</w:t>
      </w:r>
      <w:r>
        <w:rPr>
          <w:i/>
          <w:spacing w:val="-1"/>
          <w:sz w:val="18"/>
        </w:rPr>
        <w:t> </w:t>
      </w:r>
      <w:r>
        <w:rPr>
          <w:i/>
          <w:sz w:val="18"/>
        </w:rPr>
        <w:t>Consolidated Financial </w:t>
      </w:r>
      <w:r>
        <w:rPr>
          <w:i/>
          <w:spacing w:val="-2"/>
          <w:sz w:val="18"/>
        </w:rPr>
        <w:t>Statements.</w:t>
      </w:r>
    </w:p>
    <w:p>
      <w:pPr>
        <w:spacing w:after="0"/>
        <w:jc w:val="left"/>
        <w:rPr>
          <w:sz w:val="18"/>
        </w:rPr>
        <w:sectPr>
          <w:pgSz w:w="12240" w:h="15840"/>
          <w:pgMar w:header="467" w:footer="201" w:top="1320" w:bottom="400" w:left="520" w:right="520"/>
        </w:sectPr>
      </w:pPr>
    </w:p>
    <w:p>
      <w:pPr>
        <w:pStyle w:val="BodyText"/>
        <w:spacing w:before="221"/>
        <w:rPr>
          <w:i/>
        </w:rPr>
      </w:pPr>
    </w:p>
    <w:p>
      <w:pPr>
        <w:pStyle w:val="Heading2"/>
        <w:numPr>
          <w:ilvl w:val="0"/>
          <w:numId w:val="4"/>
        </w:numPr>
        <w:tabs>
          <w:tab w:pos="1189" w:val="left" w:leader="none"/>
        </w:tabs>
        <w:spacing w:line="240" w:lineRule="auto" w:before="0" w:after="0"/>
        <w:ind w:left="1189" w:right="0" w:hanging="719"/>
        <w:jc w:val="left"/>
      </w:pPr>
      <w:bookmarkStart w:name="Notes to Condensed Consolidated Financia" w:id="38"/>
      <w:bookmarkEnd w:id="38"/>
      <w:r>
        <w:rPr>
          <w:b w:val="0"/>
        </w:rPr>
      </w:r>
      <w:bookmarkStart w:name="Note 1 Introduction and Basis of Present" w:id="39"/>
      <w:bookmarkEnd w:id="39"/>
      <w:r>
        <w:rPr>
          <w:b w:val="0"/>
        </w:rPr>
      </w:r>
      <w:bookmarkStart w:name="_bookmark7" w:id="40"/>
      <w:bookmarkEnd w:id="40"/>
      <w:r>
        <w:rPr>
          <w:b w:val="0"/>
        </w:rPr>
      </w:r>
      <w:r>
        <w:rPr/>
        <w:t>Introduction</w:t>
      </w:r>
      <w:r>
        <w:rPr>
          <w:spacing w:val="-4"/>
        </w:rPr>
        <w:t> </w:t>
      </w:r>
      <w:r>
        <w:rPr/>
        <w:t>and</w:t>
      </w:r>
      <w:r>
        <w:rPr>
          <w:spacing w:val="-4"/>
        </w:rPr>
        <w:t> </w:t>
      </w:r>
      <w:r>
        <w:rPr/>
        <w:t>Basis</w:t>
      </w:r>
      <w:r>
        <w:rPr>
          <w:spacing w:val="-4"/>
        </w:rPr>
        <w:t> </w:t>
      </w:r>
      <w:r>
        <w:rPr/>
        <w:t>of</w:t>
      </w:r>
      <w:r>
        <w:rPr>
          <w:spacing w:val="-2"/>
        </w:rPr>
        <w:t> Presentation</w:t>
      </w:r>
    </w:p>
    <w:p>
      <w:pPr>
        <w:pStyle w:val="BodyText"/>
        <w:spacing w:line="249" w:lineRule="auto" w:before="193"/>
        <w:ind w:left="470" w:right="500"/>
      </w:pPr>
      <w:r>
        <w:rPr/>
        <w:t>The Charles Schwab Corporation (CSC) is a savings and loan holding company. CSC engages, through its subsidiaries (collectively</w:t>
      </w:r>
      <w:r>
        <w:rPr>
          <w:spacing w:val="-3"/>
        </w:rPr>
        <w:t> </w:t>
      </w:r>
      <w:r>
        <w:rPr/>
        <w:t>referred</w:t>
      </w:r>
      <w:r>
        <w:rPr>
          <w:spacing w:val="-3"/>
        </w:rPr>
        <w:t> </w:t>
      </w:r>
      <w:r>
        <w:rPr/>
        <w:t>to</w:t>
      </w:r>
      <w:r>
        <w:rPr>
          <w:spacing w:val="-3"/>
        </w:rPr>
        <w:t> </w:t>
      </w:r>
      <w:r>
        <w:rPr/>
        <w:t>as</w:t>
      </w:r>
      <w:r>
        <w:rPr>
          <w:spacing w:val="-4"/>
        </w:rPr>
        <w:t> </w:t>
      </w:r>
      <w:r>
        <w:rPr/>
        <w:t>Schwab</w:t>
      </w:r>
      <w:r>
        <w:rPr>
          <w:spacing w:val="-3"/>
        </w:rPr>
        <w:t> </w:t>
      </w:r>
      <w:r>
        <w:rPr/>
        <w:t>or</w:t>
      </w:r>
      <w:r>
        <w:rPr>
          <w:spacing w:val="-3"/>
        </w:rPr>
        <w:t> </w:t>
      </w:r>
      <w:r>
        <w:rPr/>
        <w:t>the</w:t>
      </w:r>
      <w:r>
        <w:rPr>
          <w:spacing w:val="-4"/>
        </w:rPr>
        <w:t> </w:t>
      </w:r>
      <w:r>
        <w:rPr/>
        <w:t>Company),</w:t>
      </w:r>
      <w:r>
        <w:rPr>
          <w:spacing w:val="-3"/>
        </w:rPr>
        <w:t> </w:t>
      </w:r>
      <w:r>
        <w:rPr/>
        <w:t>in</w:t>
      </w:r>
      <w:r>
        <w:rPr>
          <w:spacing w:val="-3"/>
        </w:rPr>
        <w:t> </w:t>
      </w:r>
      <w:r>
        <w:rPr/>
        <w:t>wealth</w:t>
      </w:r>
      <w:r>
        <w:rPr>
          <w:spacing w:val="-3"/>
        </w:rPr>
        <w:t> </w:t>
      </w:r>
      <w:r>
        <w:rPr/>
        <w:t>management,</w:t>
      </w:r>
      <w:r>
        <w:rPr>
          <w:spacing w:val="-3"/>
        </w:rPr>
        <w:t> </w:t>
      </w:r>
      <w:r>
        <w:rPr/>
        <w:t>securities</w:t>
      </w:r>
      <w:r>
        <w:rPr>
          <w:spacing w:val="-4"/>
        </w:rPr>
        <w:t> </w:t>
      </w:r>
      <w:r>
        <w:rPr/>
        <w:t>brokerage,</w:t>
      </w:r>
      <w:r>
        <w:rPr>
          <w:spacing w:val="-3"/>
        </w:rPr>
        <w:t> </w:t>
      </w:r>
      <w:r>
        <w:rPr/>
        <w:t>banking,</w:t>
      </w:r>
      <w:r>
        <w:rPr>
          <w:spacing w:val="-3"/>
        </w:rPr>
        <w:t> </w:t>
      </w:r>
      <w:r>
        <w:rPr/>
        <w:t>asset</w:t>
      </w:r>
      <w:r>
        <w:rPr>
          <w:spacing w:val="-4"/>
        </w:rPr>
        <w:t> </w:t>
      </w:r>
      <w:r>
        <w:rPr/>
        <w:t>management, custody, and financial advisory services.</w:t>
      </w:r>
    </w:p>
    <w:p>
      <w:pPr>
        <w:pStyle w:val="BodyText"/>
        <w:spacing w:before="13"/>
      </w:pPr>
    </w:p>
    <w:p>
      <w:pPr>
        <w:pStyle w:val="BodyText"/>
        <w:ind w:left="470"/>
      </w:pPr>
      <w:r>
        <w:rPr/>
        <w:t>Principal</w:t>
      </w:r>
      <w:r>
        <w:rPr>
          <w:spacing w:val="-7"/>
        </w:rPr>
        <w:t> </w:t>
      </w:r>
      <w:r>
        <w:rPr/>
        <w:t>business</w:t>
      </w:r>
      <w:r>
        <w:rPr>
          <w:spacing w:val="-4"/>
        </w:rPr>
        <w:t> </w:t>
      </w:r>
      <w:r>
        <w:rPr/>
        <w:t>subsidiaries</w:t>
      </w:r>
      <w:r>
        <w:rPr>
          <w:spacing w:val="-4"/>
        </w:rPr>
        <w:t> </w:t>
      </w:r>
      <w:r>
        <w:rPr/>
        <w:t>of</w:t>
      </w:r>
      <w:r>
        <w:rPr>
          <w:spacing w:val="-3"/>
        </w:rPr>
        <w:t> </w:t>
      </w:r>
      <w:r>
        <w:rPr/>
        <w:t>CSC</w:t>
      </w:r>
      <w:r>
        <w:rPr>
          <w:spacing w:val="-4"/>
        </w:rPr>
        <w:t> </w:t>
      </w:r>
      <w:r>
        <w:rPr/>
        <w:t>include</w:t>
      </w:r>
      <w:r>
        <w:rPr>
          <w:spacing w:val="-4"/>
        </w:rPr>
        <w:t> </w:t>
      </w:r>
      <w:r>
        <w:rPr/>
        <w:t>the</w:t>
      </w:r>
      <w:r>
        <w:rPr>
          <w:spacing w:val="-4"/>
        </w:rPr>
        <w:t> </w:t>
      </w:r>
      <w:r>
        <w:rPr>
          <w:spacing w:val="-2"/>
        </w:rPr>
        <w:t>following:</w:t>
      </w:r>
    </w:p>
    <w:p>
      <w:pPr>
        <w:pStyle w:val="BodyText"/>
        <w:spacing w:before="20"/>
      </w:pPr>
    </w:p>
    <w:p>
      <w:pPr>
        <w:pStyle w:val="ListParagraph"/>
        <w:numPr>
          <w:ilvl w:val="0"/>
          <w:numId w:val="5"/>
        </w:numPr>
        <w:tabs>
          <w:tab w:pos="1189" w:val="left" w:leader="none"/>
        </w:tabs>
        <w:spacing w:line="240" w:lineRule="auto" w:before="0" w:after="0"/>
        <w:ind w:left="1189" w:right="0" w:hanging="359"/>
        <w:jc w:val="left"/>
        <w:rPr>
          <w:sz w:val="20"/>
        </w:rPr>
      </w:pPr>
      <w:r>
        <w:rPr>
          <w:sz w:val="20"/>
        </w:rPr>
        <w:t>Charles</w:t>
      </w:r>
      <w:r>
        <w:rPr>
          <w:spacing w:val="-6"/>
          <w:sz w:val="20"/>
        </w:rPr>
        <w:t> </w:t>
      </w:r>
      <w:r>
        <w:rPr>
          <w:sz w:val="20"/>
        </w:rPr>
        <w:t>Schwab</w:t>
      </w:r>
      <w:r>
        <w:rPr>
          <w:spacing w:val="-3"/>
          <w:sz w:val="20"/>
        </w:rPr>
        <w:t> </w:t>
      </w:r>
      <w:r>
        <w:rPr>
          <w:sz w:val="20"/>
        </w:rPr>
        <w:t>&amp;</w:t>
      </w:r>
      <w:r>
        <w:rPr>
          <w:spacing w:val="-3"/>
          <w:sz w:val="20"/>
        </w:rPr>
        <w:t> </w:t>
      </w:r>
      <w:r>
        <w:rPr>
          <w:sz w:val="20"/>
        </w:rPr>
        <w:t>Co.,</w:t>
      </w:r>
      <w:r>
        <w:rPr>
          <w:spacing w:val="-3"/>
          <w:sz w:val="20"/>
        </w:rPr>
        <w:t> </w:t>
      </w:r>
      <w:r>
        <w:rPr>
          <w:sz w:val="20"/>
        </w:rPr>
        <w:t>Inc.</w:t>
      </w:r>
      <w:r>
        <w:rPr>
          <w:spacing w:val="-2"/>
          <w:sz w:val="20"/>
        </w:rPr>
        <w:t> </w:t>
      </w:r>
      <w:r>
        <w:rPr>
          <w:sz w:val="20"/>
        </w:rPr>
        <w:t>(CS&amp;Co),</w:t>
      </w:r>
      <w:r>
        <w:rPr>
          <w:spacing w:val="-3"/>
          <w:sz w:val="20"/>
        </w:rPr>
        <w:t> </w:t>
      </w:r>
      <w:r>
        <w:rPr>
          <w:sz w:val="20"/>
        </w:rPr>
        <w:t>incorporated</w:t>
      </w:r>
      <w:r>
        <w:rPr>
          <w:spacing w:val="-2"/>
          <w:sz w:val="20"/>
        </w:rPr>
        <w:t> </w:t>
      </w:r>
      <w:r>
        <w:rPr>
          <w:sz w:val="20"/>
        </w:rPr>
        <w:t>in</w:t>
      </w:r>
      <w:r>
        <w:rPr>
          <w:spacing w:val="-3"/>
          <w:sz w:val="20"/>
        </w:rPr>
        <w:t> </w:t>
      </w:r>
      <w:r>
        <w:rPr>
          <w:sz w:val="20"/>
        </w:rPr>
        <w:t>1971,</w:t>
      </w:r>
      <w:r>
        <w:rPr>
          <w:spacing w:val="-2"/>
          <w:sz w:val="20"/>
        </w:rPr>
        <w:t> </w:t>
      </w:r>
      <w:r>
        <w:rPr>
          <w:sz w:val="20"/>
        </w:rPr>
        <w:t>a</w:t>
      </w:r>
      <w:r>
        <w:rPr>
          <w:spacing w:val="-4"/>
          <w:sz w:val="20"/>
        </w:rPr>
        <w:t> </w:t>
      </w:r>
      <w:r>
        <w:rPr>
          <w:sz w:val="20"/>
        </w:rPr>
        <w:t>securities</w:t>
      </w:r>
      <w:r>
        <w:rPr>
          <w:spacing w:val="-3"/>
          <w:sz w:val="20"/>
        </w:rPr>
        <w:t> </w:t>
      </w:r>
      <w:r>
        <w:rPr>
          <w:sz w:val="20"/>
        </w:rPr>
        <w:t>broker-</w:t>
      </w:r>
      <w:r>
        <w:rPr>
          <w:spacing w:val="-2"/>
          <w:sz w:val="20"/>
        </w:rPr>
        <w:t>dealer;</w:t>
      </w:r>
    </w:p>
    <w:p>
      <w:pPr>
        <w:pStyle w:val="ListParagraph"/>
        <w:numPr>
          <w:ilvl w:val="0"/>
          <w:numId w:val="5"/>
        </w:numPr>
        <w:tabs>
          <w:tab w:pos="1189" w:val="left" w:leader="none"/>
        </w:tabs>
        <w:spacing w:line="240" w:lineRule="auto" w:before="10" w:after="0"/>
        <w:ind w:left="1189" w:right="0" w:hanging="359"/>
        <w:jc w:val="left"/>
        <w:rPr>
          <w:sz w:val="20"/>
        </w:rPr>
      </w:pPr>
      <w:r>
        <w:rPr>
          <w:sz w:val="20"/>
        </w:rPr>
        <w:t>TD</w:t>
      </w:r>
      <w:r>
        <w:rPr>
          <w:spacing w:val="-5"/>
          <w:sz w:val="20"/>
        </w:rPr>
        <w:t> </w:t>
      </w:r>
      <w:r>
        <w:rPr>
          <w:sz w:val="20"/>
        </w:rPr>
        <w:t>Ameritrade,</w:t>
      </w:r>
      <w:r>
        <w:rPr>
          <w:spacing w:val="-4"/>
          <w:sz w:val="20"/>
        </w:rPr>
        <w:t> </w:t>
      </w:r>
      <w:r>
        <w:rPr>
          <w:sz w:val="20"/>
        </w:rPr>
        <w:t>Inc.,</w:t>
      </w:r>
      <w:r>
        <w:rPr>
          <w:spacing w:val="-3"/>
          <w:sz w:val="20"/>
        </w:rPr>
        <w:t> </w:t>
      </w:r>
      <w:r>
        <w:rPr>
          <w:sz w:val="20"/>
        </w:rPr>
        <w:t>an</w:t>
      </w:r>
      <w:r>
        <w:rPr>
          <w:spacing w:val="-4"/>
          <w:sz w:val="20"/>
        </w:rPr>
        <w:t> </w:t>
      </w:r>
      <w:r>
        <w:rPr>
          <w:sz w:val="20"/>
        </w:rPr>
        <w:t>introducing</w:t>
      </w:r>
      <w:r>
        <w:rPr>
          <w:spacing w:val="-4"/>
          <w:sz w:val="20"/>
        </w:rPr>
        <w:t> </w:t>
      </w:r>
      <w:r>
        <w:rPr>
          <w:sz w:val="20"/>
        </w:rPr>
        <w:t>securities</w:t>
      </w:r>
      <w:r>
        <w:rPr>
          <w:spacing w:val="-4"/>
          <w:sz w:val="20"/>
        </w:rPr>
        <w:t> </w:t>
      </w:r>
      <w:r>
        <w:rPr>
          <w:sz w:val="20"/>
        </w:rPr>
        <w:t>broker-</w:t>
      </w:r>
      <w:r>
        <w:rPr>
          <w:spacing w:val="-2"/>
          <w:sz w:val="20"/>
        </w:rPr>
        <w:t>dealer;</w:t>
      </w:r>
    </w:p>
    <w:p>
      <w:pPr>
        <w:pStyle w:val="ListParagraph"/>
        <w:numPr>
          <w:ilvl w:val="0"/>
          <w:numId w:val="5"/>
        </w:numPr>
        <w:tabs>
          <w:tab w:pos="1190" w:val="left" w:leader="none"/>
        </w:tabs>
        <w:spacing w:line="249" w:lineRule="auto" w:before="10" w:after="0"/>
        <w:ind w:left="1190" w:right="498" w:hanging="360"/>
        <w:jc w:val="left"/>
        <w:rPr>
          <w:sz w:val="20"/>
        </w:rPr>
      </w:pPr>
      <w:r>
        <w:rPr>
          <w:sz w:val="20"/>
        </w:rPr>
        <w:t>TD</w:t>
      </w:r>
      <w:r>
        <w:rPr>
          <w:spacing w:val="-4"/>
          <w:sz w:val="20"/>
        </w:rPr>
        <w:t> </w:t>
      </w:r>
      <w:r>
        <w:rPr>
          <w:sz w:val="20"/>
        </w:rPr>
        <w:t>Ameritrade</w:t>
      </w:r>
      <w:r>
        <w:rPr>
          <w:spacing w:val="-4"/>
          <w:sz w:val="20"/>
        </w:rPr>
        <w:t> </w:t>
      </w:r>
      <w:r>
        <w:rPr>
          <w:sz w:val="20"/>
        </w:rPr>
        <w:t>Clearing,</w:t>
      </w:r>
      <w:r>
        <w:rPr>
          <w:spacing w:val="-3"/>
          <w:sz w:val="20"/>
        </w:rPr>
        <w:t> </w:t>
      </w:r>
      <w:r>
        <w:rPr>
          <w:sz w:val="20"/>
        </w:rPr>
        <w:t>Inc.</w:t>
      </w:r>
      <w:r>
        <w:rPr>
          <w:spacing w:val="-3"/>
          <w:sz w:val="20"/>
        </w:rPr>
        <w:t> </w:t>
      </w:r>
      <w:r>
        <w:rPr>
          <w:sz w:val="20"/>
        </w:rPr>
        <w:t>(TDAC),</w:t>
      </w:r>
      <w:r>
        <w:rPr>
          <w:spacing w:val="-3"/>
          <w:sz w:val="20"/>
        </w:rPr>
        <w:t> </w:t>
      </w:r>
      <w:r>
        <w:rPr>
          <w:sz w:val="20"/>
        </w:rPr>
        <w:t>a</w:t>
      </w:r>
      <w:r>
        <w:rPr>
          <w:spacing w:val="-4"/>
          <w:sz w:val="20"/>
        </w:rPr>
        <w:t> </w:t>
      </w:r>
      <w:r>
        <w:rPr>
          <w:sz w:val="20"/>
        </w:rPr>
        <w:t>securities</w:t>
      </w:r>
      <w:r>
        <w:rPr>
          <w:spacing w:val="-4"/>
          <w:sz w:val="20"/>
        </w:rPr>
        <w:t> </w:t>
      </w:r>
      <w:r>
        <w:rPr>
          <w:sz w:val="20"/>
        </w:rPr>
        <w:t>broker-dealer</w:t>
      </w:r>
      <w:r>
        <w:rPr>
          <w:spacing w:val="-3"/>
          <w:sz w:val="20"/>
        </w:rPr>
        <w:t> </w:t>
      </w:r>
      <w:r>
        <w:rPr>
          <w:sz w:val="20"/>
        </w:rPr>
        <w:t>that</w:t>
      </w:r>
      <w:r>
        <w:rPr>
          <w:spacing w:val="-4"/>
          <w:sz w:val="20"/>
        </w:rPr>
        <w:t> </w:t>
      </w:r>
      <w:r>
        <w:rPr>
          <w:sz w:val="20"/>
        </w:rPr>
        <w:t>provides</w:t>
      </w:r>
      <w:r>
        <w:rPr>
          <w:spacing w:val="-4"/>
          <w:sz w:val="20"/>
        </w:rPr>
        <w:t> </w:t>
      </w:r>
      <w:r>
        <w:rPr>
          <w:sz w:val="20"/>
        </w:rPr>
        <w:t>trade</w:t>
      </w:r>
      <w:r>
        <w:rPr>
          <w:spacing w:val="-4"/>
          <w:sz w:val="20"/>
        </w:rPr>
        <w:t> </w:t>
      </w:r>
      <w:r>
        <w:rPr>
          <w:sz w:val="20"/>
        </w:rPr>
        <w:t>execution</w:t>
      </w:r>
      <w:r>
        <w:rPr>
          <w:spacing w:val="-3"/>
          <w:sz w:val="20"/>
        </w:rPr>
        <w:t> </w:t>
      </w:r>
      <w:r>
        <w:rPr>
          <w:sz w:val="20"/>
        </w:rPr>
        <w:t>and</w:t>
      </w:r>
      <w:r>
        <w:rPr>
          <w:spacing w:val="-3"/>
          <w:sz w:val="20"/>
        </w:rPr>
        <w:t> </w:t>
      </w:r>
      <w:r>
        <w:rPr>
          <w:sz w:val="20"/>
        </w:rPr>
        <w:t>clearing</w:t>
      </w:r>
      <w:r>
        <w:rPr>
          <w:spacing w:val="-3"/>
          <w:sz w:val="20"/>
        </w:rPr>
        <w:t> </w:t>
      </w:r>
      <w:r>
        <w:rPr>
          <w:sz w:val="20"/>
        </w:rPr>
        <w:t>services</w:t>
      </w:r>
      <w:r>
        <w:rPr>
          <w:spacing w:val="-4"/>
          <w:sz w:val="20"/>
        </w:rPr>
        <w:t> </w:t>
      </w:r>
      <w:r>
        <w:rPr>
          <w:sz w:val="20"/>
        </w:rPr>
        <w:t>to TD Ameritrade, Inc.;</w:t>
      </w:r>
    </w:p>
    <w:p>
      <w:pPr>
        <w:pStyle w:val="ListParagraph"/>
        <w:numPr>
          <w:ilvl w:val="0"/>
          <w:numId w:val="5"/>
        </w:numPr>
        <w:tabs>
          <w:tab w:pos="1189" w:val="left" w:leader="none"/>
        </w:tabs>
        <w:spacing w:line="240" w:lineRule="auto" w:before="1" w:after="0"/>
        <w:ind w:left="1189" w:right="0" w:hanging="359"/>
        <w:jc w:val="left"/>
        <w:rPr>
          <w:sz w:val="20"/>
        </w:rPr>
      </w:pPr>
      <w:r>
        <w:rPr>
          <w:sz w:val="20"/>
        </w:rPr>
        <w:t>Charles</w:t>
      </w:r>
      <w:r>
        <w:rPr>
          <w:spacing w:val="-6"/>
          <w:sz w:val="20"/>
        </w:rPr>
        <w:t> </w:t>
      </w:r>
      <w:r>
        <w:rPr>
          <w:sz w:val="20"/>
        </w:rPr>
        <w:t>Schwab</w:t>
      </w:r>
      <w:r>
        <w:rPr>
          <w:spacing w:val="-3"/>
          <w:sz w:val="20"/>
        </w:rPr>
        <w:t> </w:t>
      </w:r>
      <w:r>
        <w:rPr>
          <w:sz w:val="20"/>
        </w:rPr>
        <w:t>Bank,</w:t>
      </w:r>
      <w:r>
        <w:rPr>
          <w:spacing w:val="-3"/>
          <w:sz w:val="20"/>
        </w:rPr>
        <w:t> </w:t>
      </w:r>
      <w:r>
        <w:rPr>
          <w:sz w:val="20"/>
        </w:rPr>
        <w:t>SSB</w:t>
      </w:r>
      <w:r>
        <w:rPr>
          <w:spacing w:val="-4"/>
          <w:sz w:val="20"/>
        </w:rPr>
        <w:t> </w:t>
      </w:r>
      <w:r>
        <w:rPr>
          <w:sz w:val="20"/>
        </w:rPr>
        <w:t>(CSB),</w:t>
      </w:r>
      <w:r>
        <w:rPr>
          <w:spacing w:val="-2"/>
          <w:sz w:val="20"/>
        </w:rPr>
        <w:t> </w:t>
      </w:r>
      <w:r>
        <w:rPr>
          <w:sz w:val="20"/>
        </w:rPr>
        <w:t>our</w:t>
      </w:r>
      <w:r>
        <w:rPr>
          <w:spacing w:val="-3"/>
          <w:sz w:val="20"/>
        </w:rPr>
        <w:t> </w:t>
      </w:r>
      <w:r>
        <w:rPr>
          <w:sz w:val="20"/>
        </w:rPr>
        <w:t>principal</w:t>
      </w:r>
      <w:r>
        <w:rPr>
          <w:spacing w:val="-4"/>
          <w:sz w:val="20"/>
        </w:rPr>
        <w:t> </w:t>
      </w:r>
      <w:r>
        <w:rPr>
          <w:sz w:val="20"/>
        </w:rPr>
        <w:t>banking</w:t>
      </w:r>
      <w:r>
        <w:rPr>
          <w:spacing w:val="-3"/>
          <w:sz w:val="20"/>
        </w:rPr>
        <w:t> </w:t>
      </w:r>
      <w:r>
        <w:rPr>
          <w:sz w:val="20"/>
        </w:rPr>
        <w:t>entity;</w:t>
      </w:r>
      <w:r>
        <w:rPr>
          <w:spacing w:val="-3"/>
          <w:sz w:val="20"/>
        </w:rPr>
        <w:t> </w:t>
      </w:r>
      <w:r>
        <w:rPr>
          <w:spacing w:val="-5"/>
          <w:sz w:val="20"/>
        </w:rPr>
        <w:t>and</w:t>
      </w:r>
    </w:p>
    <w:p>
      <w:pPr>
        <w:pStyle w:val="ListParagraph"/>
        <w:numPr>
          <w:ilvl w:val="0"/>
          <w:numId w:val="5"/>
        </w:numPr>
        <w:tabs>
          <w:tab w:pos="1190" w:val="left" w:leader="none"/>
        </w:tabs>
        <w:spacing w:line="249" w:lineRule="auto" w:before="10" w:after="0"/>
        <w:ind w:left="1190" w:right="550" w:hanging="360"/>
        <w:jc w:val="left"/>
        <w:rPr>
          <w:sz w:val="20"/>
        </w:rPr>
      </w:pPr>
      <w:r>
        <w:rPr>
          <w:sz w:val="20"/>
        </w:rPr>
        <w:t>Charles</w:t>
      </w:r>
      <w:r>
        <w:rPr>
          <w:spacing w:val="-4"/>
          <w:sz w:val="20"/>
        </w:rPr>
        <w:t> </w:t>
      </w:r>
      <w:r>
        <w:rPr>
          <w:sz w:val="20"/>
        </w:rPr>
        <w:t>Schwab</w:t>
      </w:r>
      <w:r>
        <w:rPr>
          <w:spacing w:val="-3"/>
          <w:sz w:val="20"/>
        </w:rPr>
        <w:t> </w:t>
      </w:r>
      <w:r>
        <w:rPr>
          <w:sz w:val="20"/>
        </w:rPr>
        <w:t>Investment</w:t>
      </w:r>
      <w:r>
        <w:rPr>
          <w:spacing w:val="-4"/>
          <w:sz w:val="20"/>
        </w:rPr>
        <w:t> </w:t>
      </w:r>
      <w:r>
        <w:rPr>
          <w:sz w:val="20"/>
        </w:rPr>
        <w:t>Management,</w:t>
      </w:r>
      <w:r>
        <w:rPr>
          <w:spacing w:val="-3"/>
          <w:sz w:val="20"/>
        </w:rPr>
        <w:t> </w:t>
      </w:r>
      <w:r>
        <w:rPr>
          <w:sz w:val="20"/>
        </w:rPr>
        <w:t>Inc.</w:t>
      </w:r>
      <w:r>
        <w:rPr>
          <w:spacing w:val="-3"/>
          <w:sz w:val="20"/>
        </w:rPr>
        <w:t> </w:t>
      </w:r>
      <w:r>
        <w:rPr>
          <w:sz w:val="20"/>
        </w:rPr>
        <w:t>(CSIM),</w:t>
      </w:r>
      <w:r>
        <w:rPr>
          <w:spacing w:val="-3"/>
          <w:sz w:val="20"/>
        </w:rPr>
        <w:t> </w:t>
      </w:r>
      <w:r>
        <w:rPr>
          <w:sz w:val="20"/>
        </w:rPr>
        <w:t>the</w:t>
      </w:r>
      <w:r>
        <w:rPr>
          <w:spacing w:val="-4"/>
          <w:sz w:val="20"/>
        </w:rPr>
        <w:t> </w:t>
      </w:r>
      <w:r>
        <w:rPr>
          <w:sz w:val="20"/>
        </w:rPr>
        <w:t>investment</w:t>
      </w:r>
      <w:r>
        <w:rPr>
          <w:spacing w:val="-4"/>
          <w:sz w:val="20"/>
        </w:rPr>
        <w:t> </w:t>
      </w:r>
      <w:r>
        <w:rPr>
          <w:sz w:val="20"/>
        </w:rPr>
        <w:t>advisor</w:t>
      </w:r>
      <w:r>
        <w:rPr>
          <w:spacing w:val="-3"/>
          <w:sz w:val="20"/>
        </w:rPr>
        <w:t> </w:t>
      </w:r>
      <w:r>
        <w:rPr>
          <w:sz w:val="20"/>
        </w:rPr>
        <w:t>for</w:t>
      </w:r>
      <w:r>
        <w:rPr>
          <w:spacing w:val="-3"/>
          <w:sz w:val="20"/>
        </w:rPr>
        <w:t> </w:t>
      </w:r>
      <w:r>
        <w:rPr>
          <w:sz w:val="20"/>
        </w:rPr>
        <w:t>Schwab’s</w:t>
      </w:r>
      <w:r>
        <w:rPr>
          <w:spacing w:val="-4"/>
          <w:sz w:val="20"/>
        </w:rPr>
        <w:t> </w:t>
      </w:r>
      <w:r>
        <w:rPr>
          <w:sz w:val="20"/>
        </w:rPr>
        <w:t>proprietary</w:t>
      </w:r>
      <w:r>
        <w:rPr>
          <w:spacing w:val="-3"/>
          <w:sz w:val="20"/>
        </w:rPr>
        <w:t> </w:t>
      </w:r>
      <w:r>
        <w:rPr>
          <w:sz w:val="20"/>
        </w:rPr>
        <w:t>mutual</w:t>
      </w:r>
      <w:r>
        <w:rPr>
          <w:spacing w:val="-4"/>
          <w:sz w:val="20"/>
        </w:rPr>
        <w:t> </w:t>
      </w:r>
      <w:r>
        <w:rPr>
          <w:sz w:val="20"/>
        </w:rPr>
        <w:t>funds (Schwab Funds</w:t>
      </w:r>
      <w:r>
        <w:rPr>
          <w:sz w:val="20"/>
          <w:vertAlign w:val="superscript"/>
        </w:rPr>
        <w:t>®</w:t>
      </w:r>
      <w:r>
        <w:rPr>
          <w:sz w:val="20"/>
          <w:vertAlign w:val="baseline"/>
        </w:rPr>
        <w:t>) and for Schwab’s exchange-traded funds (Schwab ETFs</w:t>
      </w:r>
      <w:r>
        <w:rPr>
          <w:sz w:val="20"/>
          <w:vertAlign w:val="superscript"/>
        </w:rPr>
        <w:t>™</w:t>
      </w:r>
      <w:r>
        <w:rPr>
          <w:sz w:val="20"/>
          <w:vertAlign w:val="baseline"/>
        </w:rPr>
        <w:t>).</w:t>
      </w:r>
    </w:p>
    <w:p>
      <w:pPr>
        <w:pStyle w:val="BodyText"/>
        <w:spacing w:before="12"/>
      </w:pPr>
    </w:p>
    <w:p>
      <w:pPr>
        <w:pStyle w:val="BodyText"/>
        <w:spacing w:line="249" w:lineRule="auto"/>
        <w:ind w:left="470"/>
      </w:pPr>
      <w:r>
        <w:rPr/>
        <w:t>Unless</w:t>
      </w:r>
      <w:r>
        <w:rPr>
          <w:spacing w:val="-4"/>
        </w:rPr>
        <w:t> </w:t>
      </w:r>
      <w:r>
        <w:rPr/>
        <w:t>otherwise</w:t>
      </w:r>
      <w:r>
        <w:rPr>
          <w:spacing w:val="-4"/>
        </w:rPr>
        <w:t> </w:t>
      </w:r>
      <w:r>
        <w:rPr/>
        <w:t>indicated,</w:t>
      </w:r>
      <w:r>
        <w:rPr>
          <w:spacing w:val="-3"/>
        </w:rPr>
        <w:t> </w:t>
      </w:r>
      <w:r>
        <w:rPr/>
        <w:t>the</w:t>
      </w:r>
      <w:r>
        <w:rPr>
          <w:spacing w:val="-4"/>
        </w:rPr>
        <w:t> </w:t>
      </w:r>
      <w:r>
        <w:rPr/>
        <w:t>terms</w:t>
      </w:r>
      <w:r>
        <w:rPr>
          <w:spacing w:val="-4"/>
        </w:rPr>
        <w:t> </w:t>
      </w:r>
      <w:r>
        <w:rPr/>
        <w:t>“Schwab,”</w:t>
      </w:r>
      <w:r>
        <w:rPr>
          <w:spacing w:val="-4"/>
        </w:rPr>
        <w:t> </w:t>
      </w:r>
      <w:r>
        <w:rPr/>
        <w:t>“the</w:t>
      </w:r>
      <w:r>
        <w:rPr>
          <w:spacing w:val="-4"/>
        </w:rPr>
        <w:t> </w:t>
      </w:r>
      <w:r>
        <w:rPr/>
        <w:t>Company,”</w:t>
      </w:r>
      <w:r>
        <w:rPr>
          <w:spacing w:val="-4"/>
        </w:rPr>
        <w:t> </w:t>
      </w:r>
      <w:r>
        <w:rPr/>
        <w:t>“we,”</w:t>
      </w:r>
      <w:r>
        <w:rPr>
          <w:spacing w:val="-4"/>
        </w:rPr>
        <w:t> </w:t>
      </w:r>
      <w:r>
        <w:rPr/>
        <w:t>“us,”</w:t>
      </w:r>
      <w:r>
        <w:rPr>
          <w:spacing w:val="-4"/>
        </w:rPr>
        <w:t> </w:t>
      </w:r>
      <w:r>
        <w:rPr/>
        <w:t>or</w:t>
      </w:r>
      <w:r>
        <w:rPr>
          <w:spacing w:val="-3"/>
        </w:rPr>
        <w:t> </w:t>
      </w:r>
      <w:r>
        <w:rPr/>
        <w:t>“our”</w:t>
      </w:r>
      <w:r>
        <w:rPr>
          <w:spacing w:val="-4"/>
        </w:rPr>
        <w:t> </w:t>
      </w:r>
      <w:r>
        <w:rPr/>
        <w:t>mean</w:t>
      </w:r>
      <w:r>
        <w:rPr>
          <w:spacing w:val="-3"/>
        </w:rPr>
        <w:t> </w:t>
      </w:r>
      <w:r>
        <w:rPr/>
        <w:t>CSC</w:t>
      </w:r>
      <w:r>
        <w:rPr>
          <w:spacing w:val="-4"/>
        </w:rPr>
        <w:t> </w:t>
      </w:r>
      <w:r>
        <w:rPr/>
        <w:t>together</w:t>
      </w:r>
      <w:r>
        <w:rPr>
          <w:spacing w:val="-3"/>
        </w:rPr>
        <w:t> </w:t>
      </w:r>
      <w:r>
        <w:rPr/>
        <w:t>with</w:t>
      </w:r>
      <w:r>
        <w:rPr>
          <w:spacing w:val="-3"/>
        </w:rPr>
        <w:t> </w:t>
      </w:r>
      <w:r>
        <w:rPr/>
        <w:t>its</w:t>
      </w:r>
      <w:r>
        <w:rPr>
          <w:spacing w:val="-4"/>
        </w:rPr>
        <w:t> </w:t>
      </w:r>
      <w:r>
        <w:rPr/>
        <w:t>consolidated </w:t>
      </w:r>
      <w:r>
        <w:rPr>
          <w:spacing w:val="-2"/>
        </w:rPr>
        <w:t>subsidiaries.</w:t>
      </w:r>
    </w:p>
    <w:p>
      <w:pPr>
        <w:pStyle w:val="BodyText"/>
        <w:spacing w:before="12"/>
      </w:pPr>
    </w:p>
    <w:p>
      <w:pPr>
        <w:pStyle w:val="BodyText"/>
        <w:spacing w:line="249" w:lineRule="auto"/>
        <w:ind w:left="470" w:right="566"/>
      </w:pPr>
      <w:r>
        <w:rPr/>
        <w:t>These unaudited condensed consolidated financial statements have been prepared in conformity with GAAP, which require management to make certain estimates and assumptions that affect the reported amounts in the accompanying financial statements and in the related disclosures. These estimates are based on information available as of the date of the condensed consolidated financial statements. While management makes its best judgment, actual amounts or results could differ from these</w:t>
      </w:r>
      <w:r>
        <w:rPr>
          <w:spacing w:val="-4"/>
        </w:rPr>
        <w:t> </w:t>
      </w:r>
      <w:r>
        <w:rPr/>
        <w:t>estimates.</w:t>
      </w:r>
      <w:r>
        <w:rPr>
          <w:spacing w:val="-3"/>
        </w:rPr>
        <w:t> </w:t>
      </w:r>
      <w:r>
        <w:rPr/>
        <w:t>In</w:t>
      </w:r>
      <w:r>
        <w:rPr>
          <w:spacing w:val="-3"/>
        </w:rPr>
        <w:t> </w:t>
      </w:r>
      <w:r>
        <w:rPr/>
        <w:t>the</w:t>
      </w:r>
      <w:r>
        <w:rPr>
          <w:spacing w:val="-4"/>
        </w:rPr>
        <w:t> </w:t>
      </w:r>
      <w:r>
        <w:rPr/>
        <w:t>opinion</w:t>
      </w:r>
      <w:r>
        <w:rPr>
          <w:spacing w:val="-3"/>
        </w:rPr>
        <w:t> </w:t>
      </w:r>
      <w:r>
        <w:rPr/>
        <w:t>of</w:t>
      </w:r>
      <w:r>
        <w:rPr>
          <w:spacing w:val="-3"/>
        </w:rPr>
        <w:t> </w:t>
      </w:r>
      <w:r>
        <w:rPr/>
        <w:t>management,</w:t>
      </w:r>
      <w:r>
        <w:rPr>
          <w:spacing w:val="-3"/>
        </w:rPr>
        <w:t> </w:t>
      </w:r>
      <w:r>
        <w:rPr/>
        <w:t>all</w:t>
      </w:r>
      <w:r>
        <w:rPr>
          <w:spacing w:val="-4"/>
        </w:rPr>
        <w:t> </w:t>
      </w:r>
      <w:r>
        <w:rPr/>
        <w:t>normal,</w:t>
      </w:r>
      <w:r>
        <w:rPr>
          <w:spacing w:val="-3"/>
        </w:rPr>
        <w:t> </w:t>
      </w:r>
      <w:r>
        <w:rPr/>
        <w:t>recurring</w:t>
      </w:r>
      <w:r>
        <w:rPr>
          <w:spacing w:val="-3"/>
        </w:rPr>
        <w:t> </w:t>
      </w:r>
      <w:r>
        <w:rPr/>
        <w:t>adjustments</w:t>
      </w:r>
      <w:r>
        <w:rPr>
          <w:spacing w:val="-4"/>
        </w:rPr>
        <w:t> </w:t>
      </w:r>
      <w:r>
        <w:rPr/>
        <w:t>have</w:t>
      </w:r>
      <w:r>
        <w:rPr>
          <w:spacing w:val="-4"/>
        </w:rPr>
        <w:t> </w:t>
      </w:r>
      <w:r>
        <w:rPr/>
        <w:t>been</w:t>
      </w:r>
      <w:r>
        <w:rPr>
          <w:spacing w:val="-3"/>
        </w:rPr>
        <w:t> </w:t>
      </w:r>
      <w:r>
        <w:rPr/>
        <w:t>included</w:t>
      </w:r>
      <w:r>
        <w:rPr>
          <w:spacing w:val="-3"/>
        </w:rPr>
        <w:t> </w:t>
      </w:r>
      <w:r>
        <w:rPr/>
        <w:t>for</w:t>
      </w:r>
      <w:r>
        <w:rPr>
          <w:spacing w:val="-3"/>
        </w:rPr>
        <w:t> </w:t>
      </w:r>
      <w:r>
        <w:rPr/>
        <w:t>a</w:t>
      </w:r>
      <w:r>
        <w:rPr>
          <w:spacing w:val="-4"/>
        </w:rPr>
        <w:t> </w:t>
      </w:r>
      <w:r>
        <w:rPr/>
        <w:t>fair</w:t>
      </w:r>
      <w:r>
        <w:rPr>
          <w:spacing w:val="-3"/>
        </w:rPr>
        <w:t> </w:t>
      </w:r>
      <w:r>
        <w:rPr/>
        <w:t>statement</w:t>
      </w:r>
      <w:r>
        <w:rPr>
          <w:spacing w:val="-4"/>
        </w:rPr>
        <w:t> </w:t>
      </w:r>
      <w:r>
        <w:rPr/>
        <w:t>of</w:t>
      </w:r>
      <w:r>
        <w:rPr>
          <w:spacing w:val="-3"/>
        </w:rPr>
        <w:t> </w:t>
      </w:r>
      <w:r>
        <w:rPr/>
        <w:t>this interim financial information.</w:t>
      </w:r>
    </w:p>
    <w:p>
      <w:pPr>
        <w:pStyle w:val="BodyText"/>
        <w:spacing w:before="15"/>
      </w:pPr>
    </w:p>
    <w:p>
      <w:pPr>
        <w:pStyle w:val="BodyText"/>
        <w:spacing w:line="249" w:lineRule="auto"/>
        <w:ind w:left="470" w:right="500"/>
      </w:pPr>
      <w:r>
        <w:rPr/>
        <w:t>These</w:t>
      </w:r>
      <w:r>
        <w:rPr>
          <w:spacing w:val="-4"/>
        </w:rPr>
        <w:t> </w:t>
      </w:r>
      <w:r>
        <w:rPr/>
        <w:t>condensed</w:t>
      </w:r>
      <w:r>
        <w:rPr>
          <w:spacing w:val="-3"/>
        </w:rPr>
        <w:t> </w:t>
      </w:r>
      <w:r>
        <w:rPr/>
        <w:t>consolidated</w:t>
      </w:r>
      <w:r>
        <w:rPr>
          <w:spacing w:val="-3"/>
        </w:rPr>
        <w:t> </w:t>
      </w:r>
      <w:r>
        <w:rPr/>
        <w:t>financial</w:t>
      </w:r>
      <w:r>
        <w:rPr>
          <w:spacing w:val="-4"/>
        </w:rPr>
        <w:t> </w:t>
      </w:r>
      <w:r>
        <w:rPr/>
        <w:t>statements</w:t>
      </w:r>
      <w:r>
        <w:rPr>
          <w:spacing w:val="-4"/>
        </w:rPr>
        <w:t> </w:t>
      </w:r>
      <w:r>
        <w:rPr/>
        <w:t>should</w:t>
      </w:r>
      <w:r>
        <w:rPr>
          <w:spacing w:val="-3"/>
        </w:rPr>
        <w:t> </w:t>
      </w:r>
      <w:r>
        <w:rPr/>
        <w:t>be</w:t>
      </w:r>
      <w:r>
        <w:rPr>
          <w:spacing w:val="-4"/>
        </w:rPr>
        <w:t> </w:t>
      </w:r>
      <w:r>
        <w:rPr/>
        <w:t>read</w:t>
      </w:r>
      <w:r>
        <w:rPr>
          <w:spacing w:val="-3"/>
        </w:rPr>
        <w:t> </w:t>
      </w:r>
      <w:r>
        <w:rPr/>
        <w:t>in</w:t>
      </w:r>
      <w:r>
        <w:rPr>
          <w:spacing w:val="-3"/>
        </w:rPr>
        <w:t> </w:t>
      </w:r>
      <w:r>
        <w:rPr/>
        <w:t>conjunction</w:t>
      </w:r>
      <w:r>
        <w:rPr>
          <w:spacing w:val="-3"/>
        </w:rPr>
        <w:t> </w:t>
      </w:r>
      <w:r>
        <w:rPr/>
        <w:t>with</w:t>
      </w:r>
      <w:r>
        <w:rPr>
          <w:spacing w:val="-3"/>
        </w:rPr>
        <w:t> </w:t>
      </w:r>
      <w:r>
        <w:rPr/>
        <w:t>the</w:t>
      </w:r>
      <w:r>
        <w:rPr>
          <w:spacing w:val="-4"/>
        </w:rPr>
        <w:t> </w:t>
      </w:r>
      <w:r>
        <w:rPr/>
        <w:t>consolidated</w:t>
      </w:r>
      <w:r>
        <w:rPr>
          <w:spacing w:val="-3"/>
        </w:rPr>
        <w:t> </w:t>
      </w:r>
      <w:r>
        <w:rPr/>
        <w:t>financial</w:t>
      </w:r>
      <w:r>
        <w:rPr>
          <w:spacing w:val="-4"/>
        </w:rPr>
        <w:t> </w:t>
      </w:r>
      <w:r>
        <w:rPr/>
        <w:t>statements</w:t>
      </w:r>
      <w:r>
        <w:rPr>
          <w:spacing w:val="-4"/>
        </w:rPr>
        <w:t> </w:t>
      </w:r>
      <w:r>
        <w:rPr/>
        <w:t>and notes thereto, included in Schwab’s 2022 Form 10-K.</w:t>
      </w:r>
    </w:p>
    <w:p>
      <w:pPr>
        <w:pStyle w:val="BodyText"/>
        <w:spacing w:before="11"/>
      </w:pPr>
    </w:p>
    <w:p>
      <w:pPr>
        <w:pStyle w:val="BodyText"/>
        <w:spacing w:line="249" w:lineRule="auto" w:before="1"/>
        <w:ind w:left="470" w:right="500"/>
      </w:pPr>
      <w:r>
        <w:rPr>
          <w:i/>
        </w:rPr>
        <w:t>Reclassifications:</w:t>
      </w:r>
      <w:r>
        <w:rPr>
          <w:i/>
          <w:spacing w:val="-3"/>
        </w:rPr>
        <w:t> </w:t>
      </w:r>
      <w:r>
        <w:rPr/>
        <w:t>Certain</w:t>
      </w:r>
      <w:r>
        <w:rPr>
          <w:spacing w:val="-3"/>
        </w:rPr>
        <w:t> </w:t>
      </w:r>
      <w:r>
        <w:rPr/>
        <w:t>prior</w:t>
      </w:r>
      <w:r>
        <w:rPr>
          <w:spacing w:val="-3"/>
        </w:rPr>
        <w:t> </w:t>
      </w:r>
      <w:r>
        <w:rPr/>
        <w:t>period</w:t>
      </w:r>
      <w:r>
        <w:rPr>
          <w:spacing w:val="-3"/>
        </w:rPr>
        <w:t> </w:t>
      </w:r>
      <w:r>
        <w:rPr/>
        <w:t>amounts</w:t>
      </w:r>
      <w:r>
        <w:rPr>
          <w:spacing w:val="-4"/>
        </w:rPr>
        <w:t> </w:t>
      </w:r>
      <w:r>
        <w:rPr/>
        <w:t>have</w:t>
      </w:r>
      <w:r>
        <w:rPr>
          <w:spacing w:val="-4"/>
        </w:rPr>
        <w:t> </w:t>
      </w:r>
      <w:r>
        <w:rPr/>
        <w:t>been</w:t>
      </w:r>
      <w:r>
        <w:rPr>
          <w:spacing w:val="-3"/>
        </w:rPr>
        <w:t> </w:t>
      </w:r>
      <w:r>
        <w:rPr/>
        <w:t>reclassified</w:t>
      </w:r>
      <w:r>
        <w:rPr>
          <w:spacing w:val="-3"/>
        </w:rPr>
        <w:t> </w:t>
      </w:r>
      <w:r>
        <w:rPr/>
        <w:t>to</w:t>
      </w:r>
      <w:r>
        <w:rPr>
          <w:spacing w:val="-3"/>
        </w:rPr>
        <w:t> </w:t>
      </w:r>
      <w:r>
        <w:rPr/>
        <w:t>conform</w:t>
      </w:r>
      <w:r>
        <w:rPr>
          <w:spacing w:val="-4"/>
        </w:rPr>
        <w:t> </w:t>
      </w:r>
      <w:r>
        <w:rPr/>
        <w:t>to</w:t>
      </w:r>
      <w:r>
        <w:rPr>
          <w:spacing w:val="-3"/>
        </w:rPr>
        <w:t> </w:t>
      </w:r>
      <w:r>
        <w:rPr/>
        <w:t>the</w:t>
      </w:r>
      <w:r>
        <w:rPr>
          <w:spacing w:val="-4"/>
        </w:rPr>
        <w:t> </w:t>
      </w:r>
      <w:r>
        <w:rPr/>
        <w:t>current</w:t>
      </w:r>
      <w:r>
        <w:rPr>
          <w:spacing w:val="-4"/>
        </w:rPr>
        <w:t> </w:t>
      </w:r>
      <w:r>
        <w:rPr/>
        <w:t>period</w:t>
      </w:r>
      <w:r>
        <w:rPr>
          <w:spacing w:val="-3"/>
        </w:rPr>
        <w:t> </w:t>
      </w:r>
      <w:r>
        <w:rPr/>
        <w:t>presentation.</w:t>
      </w:r>
      <w:r>
        <w:rPr>
          <w:spacing w:val="-3"/>
        </w:rPr>
        <w:t> </w:t>
      </w:r>
      <w:r>
        <w:rPr/>
        <w:t>Beginning in 2023, Federal Home Loan Bank borrowings are presented separately from other short-term borrowings in the condensed consolidated balance sheets. Prior period amounts have been reclassified to reflect these changes. Corresponding presentation changes have been made to the condensed consolidated statements of cash flows and related notes.</w:t>
      </w:r>
    </w:p>
    <w:p>
      <w:pPr>
        <w:pStyle w:val="BodyText"/>
        <w:spacing w:before="12"/>
      </w:pPr>
    </w:p>
    <w:p>
      <w:pPr>
        <w:pStyle w:val="BodyText"/>
        <w:spacing w:line="249" w:lineRule="auto" w:before="1"/>
        <w:ind w:left="470" w:right="761"/>
      </w:pPr>
      <w:r>
        <w:rPr/>
        <w:t>The</w:t>
      </w:r>
      <w:r>
        <w:rPr>
          <w:spacing w:val="-3"/>
        </w:rPr>
        <w:t> </w:t>
      </w:r>
      <w:r>
        <w:rPr/>
        <w:t>significant</w:t>
      </w:r>
      <w:r>
        <w:rPr>
          <w:spacing w:val="-3"/>
        </w:rPr>
        <w:t> </w:t>
      </w:r>
      <w:r>
        <w:rPr/>
        <w:t>accounting</w:t>
      </w:r>
      <w:r>
        <w:rPr>
          <w:spacing w:val="-2"/>
        </w:rPr>
        <w:t> </w:t>
      </w:r>
      <w:r>
        <w:rPr/>
        <w:t>policies</w:t>
      </w:r>
      <w:r>
        <w:rPr>
          <w:spacing w:val="-3"/>
        </w:rPr>
        <w:t> </w:t>
      </w:r>
      <w:r>
        <w:rPr/>
        <w:t>are</w:t>
      </w:r>
      <w:r>
        <w:rPr>
          <w:spacing w:val="-3"/>
        </w:rPr>
        <w:t> </w:t>
      </w:r>
      <w:r>
        <w:rPr/>
        <w:t>included</w:t>
      </w:r>
      <w:r>
        <w:rPr>
          <w:spacing w:val="-2"/>
        </w:rPr>
        <w:t> </w:t>
      </w:r>
      <w:r>
        <w:rPr/>
        <w:t>in</w:t>
      </w:r>
      <w:r>
        <w:rPr>
          <w:spacing w:val="-2"/>
        </w:rPr>
        <w:t> </w:t>
      </w:r>
      <w:r>
        <w:rPr/>
        <w:t>Item</w:t>
      </w:r>
      <w:r>
        <w:rPr>
          <w:spacing w:val="-3"/>
        </w:rPr>
        <w:t> </w:t>
      </w:r>
      <w:r>
        <w:rPr/>
        <w:t>8</w:t>
      </w:r>
      <w:r>
        <w:rPr>
          <w:spacing w:val="-2"/>
        </w:rPr>
        <w:t> </w:t>
      </w:r>
      <w:r>
        <w:rPr/>
        <w:t>–</w:t>
      </w:r>
      <w:r>
        <w:rPr>
          <w:spacing w:val="-2"/>
        </w:rPr>
        <w:t> </w:t>
      </w:r>
      <w:r>
        <w:rPr/>
        <w:t>Note</w:t>
      </w:r>
      <w:r>
        <w:rPr>
          <w:spacing w:val="-3"/>
        </w:rPr>
        <w:t> </w:t>
      </w:r>
      <w:r>
        <w:rPr/>
        <w:t>2</w:t>
      </w:r>
      <w:r>
        <w:rPr>
          <w:spacing w:val="-2"/>
        </w:rPr>
        <w:t> </w:t>
      </w:r>
      <w:r>
        <w:rPr/>
        <w:t>in</w:t>
      </w:r>
      <w:r>
        <w:rPr>
          <w:spacing w:val="-2"/>
        </w:rPr>
        <w:t> </w:t>
      </w:r>
      <w:r>
        <w:rPr/>
        <w:t>the</w:t>
      </w:r>
      <w:r>
        <w:rPr>
          <w:spacing w:val="-3"/>
        </w:rPr>
        <w:t> </w:t>
      </w:r>
      <w:r>
        <w:rPr/>
        <w:t>2022</w:t>
      </w:r>
      <w:r>
        <w:rPr>
          <w:spacing w:val="-2"/>
        </w:rPr>
        <w:t> </w:t>
      </w:r>
      <w:r>
        <w:rPr/>
        <w:t>Form</w:t>
      </w:r>
      <w:r>
        <w:rPr>
          <w:spacing w:val="-3"/>
        </w:rPr>
        <w:t> </w:t>
      </w:r>
      <w:r>
        <w:rPr/>
        <w:t>10-K.</w:t>
      </w:r>
      <w:r>
        <w:rPr>
          <w:spacing w:val="-2"/>
        </w:rPr>
        <w:t> </w:t>
      </w:r>
      <w:r>
        <w:rPr/>
        <w:t>There</w:t>
      </w:r>
      <w:r>
        <w:rPr>
          <w:spacing w:val="-3"/>
        </w:rPr>
        <w:t> </w:t>
      </w:r>
      <w:r>
        <w:rPr/>
        <w:t>have</w:t>
      </w:r>
      <w:r>
        <w:rPr>
          <w:spacing w:val="-3"/>
        </w:rPr>
        <w:t> </w:t>
      </w:r>
      <w:r>
        <w:rPr/>
        <w:t>been</w:t>
      </w:r>
      <w:r>
        <w:rPr>
          <w:spacing w:val="-2"/>
        </w:rPr>
        <w:t> </w:t>
      </w:r>
      <w:r>
        <w:rPr/>
        <w:t>no</w:t>
      </w:r>
      <w:r>
        <w:rPr>
          <w:spacing w:val="-2"/>
        </w:rPr>
        <w:t> </w:t>
      </w:r>
      <w:r>
        <w:rPr/>
        <w:t>significant changes to these accounting policies during the first nine months of 2023, except as described in Note 2 below.</w:t>
      </w:r>
    </w:p>
    <w:p>
      <w:pPr>
        <w:pStyle w:val="BodyText"/>
      </w:pPr>
    </w:p>
    <w:p>
      <w:pPr>
        <w:pStyle w:val="BodyText"/>
        <w:spacing w:before="18"/>
      </w:pPr>
    </w:p>
    <w:p>
      <w:pPr>
        <w:pStyle w:val="Heading2"/>
        <w:numPr>
          <w:ilvl w:val="0"/>
          <w:numId w:val="4"/>
        </w:numPr>
        <w:tabs>
          <w:tab w:pos="1189" w:val="left" w:leader="none"/>
        </w:tabs>
        <w:spacing w:line="240" w:lineRule="auto" w:before="0" w:after="0"/>
        <w:ind w:left="1189" w:right="0" w:hanging="719"/>
        <w:jc w:val="left"/>
      </w:pPr>
      <w:bookmarkStart w:name="Note 2 Summary of Significant Accounting" w:id="41"/>
      <w:bookmarkEnd w:id="41"/>
      <w:r>
        <w:rPr>
          <w:b w:val="0"/>
        </w:rPr>
      </w:r>
      <w:r>
        <w:rPr/>
        <w:t>Summary</w:t>
      </w:r>
      <w:r>
        <w:rPr>
          <w:spacing w:val="-7"/>
        </w:rPr>
        <w:t> </w:t>
      </w:r>
      <w:r>
        <w:rPr/>
        <w:t>of</w:t>
      </w:r>
      <w:r>
        <w:rPr>
          <w:spacing w:val="-4"/>
        </w:rPr>
        <w:t> </w:t>
      </w:r>
      <w:r>
        <w:rPr/>
        <w:t>Significant</w:t>
      </w:r>
      <w:r>
        <w:rPr>
          <w:spacing w:val="-4"/>
        </w:rPr>
        <w:t> </w:t>
      </w:r>
      <w:r>
        <w:rPr/>
        <w:t>Accounting</w:t>
      </w:r>
      <w:r>
        <w:rPr>
          <w:spacing w:val="-4"/>
        </w:rPr>
        <w:t> </w:t>
      </w:r>
      <w:r>
        <w:rPr/>
        <w:t>Policies</w:t>
      </w:r>
      <w:r>
        <w:rPr>
          <w:spacing w:val="-5"/>
        </w:rPr>
        <w:t> </w:t>
      </w:r>
      <w:r>
        <w:rPr/>
        <w:t>and</w:t>
      </w:r>
      <w:r>
        <w:rPr>
          <w:spacing w:val="-5"/>
        </w:rPr>
        <w:t> </w:t>
      </w:r>
      <w:r>
        <w:rPr/>
        <w:t>New</w:t>
      </w:r>
      <w:r>
        <w:rPr>
          <w:spacing w:val="-5"/>
        </w:rPr>
        <w:t> </w:t>
      </w:r>
      <w:r>
        <w:rPr/>
        <w:t>Accounting</w:t>
      </w:r>
      <w:r>
        <w:rPr>
          <w:spacing w:val="-4"/>
        </w:rPr>
        <w:t> </w:t>
      </w:r>
      <w:r>
        <w:rPr>
          <w:spacing w:val="-2"/>
        </w:rPr>
        <w:t>Standards</w:t>
      </w:r>
    </w:p>
    <w:p>
      <w:pPr>
        <w:pStyle w:val="BodyText"/>
        <w:spacing w:before="23"/>
        <w:rPr>
          <w:b/>
        </w:rPr>
      </w:pPr>
    </w:p>
    <w:p>
      <w:pPr>
        <w:spacing w:before="1"/>
        <w:ind w:left="470" w:right="0" w:firstLine="0"/>
        <w:jc w:val="left"/>
        <w:rPr>
          <w:i/>
          <w:sz w:val="20"/>
        </w:rPr>
      </w:pPr>
      <w:r>
        <w:rPr>
          <w:i/>
          <w:sz w:val="20"/>
        </w:rPr>
        <w:t>Derivative</w:t>
      </w:r>
      <w:r>
        <w:rPr>
          <w:i/>
          <w:spacing w:val="-6"/>
          <w:sz w:val="20"/>
        </w:rPr>
        <w:t> </w:t>
      </w:r>
      <w:r>
        <w:rPr>
          <w:i/>
          <w:sz w:val="20"/>
        </w:rPr>
        <w:t>Instruments</w:t>
      </w:r>
      <w:r>
        <w:rPr>
          <w:i/>
          <w:spacing w:val="-5"/>
          <w:sz w:val="20"/>
        </w:rPr>
        <w:t> </w:t>
      </w:r>
      <w:r>
        <w:rPr>
          <w:i/>
          <w:sz w:val="20"/>
        </w:rPr>
        <w:t>and</w:t>
      </w:r>
      <w:r>
        <w:rPr>
          <w:i/>
          <w:spacing w:val="-4"/>
          <w:sz w:val="20"/>
        </w:rPr>
        <w:t> </w:t>
      </w:r>
      <w:r>
        <w:rPr>
          <w:i/>
          <w:sz w:val="20"/>
        </w:rPr>
        <w:t>Hedging</w:t>
      </w:r>
      <w:r>
        <w:rPr>
          <w:i/>
          <w:spacing w:val="-4"/>
          <w:sz w:val="20"/>
        </w:rPr>
        <w:t> </w:t>
      </w:r>
      <w:r>
        <w:rPr>
          <w:i/>
          <w:spacing w:val="-2"/>
          <w:sz w:val="20"/>
        </w:rPr>
        <w:t>Activities</w:t>
      </w:r>
    </w:p>
    <w:p>
      <w:pPr>
        <w:pStyle w:val="BodyText"/>
        <w:spacing w:before="3"/>
        <w:rPr>
          <w:i/>
        </w:rPr>
      </w:pPr>
    </w:p>
    <w:p>
      <w:pPr>
        <w:pStyle w:val="BodyText"/>
        <w:spacing w:line="249" w:lineRule="auto"/>
        <w:ind w:left="470" w:right="566"/>
        <w:rPr>
          <w:sz w:val="22"/>
        </w:rPr>
      </w:pPr>
      <w:r>
        <w:rPr/>
        <w:t>As</w:t>
      </w:r>
      <w:r>
        <w:rPr>
          <w:spacing w:val="-3"/>
        </w:rPr>
        <w:t> </w:t>
      </w:r>
      <w:r>
        <w:rPr/>
        <w:t>discussed</w:t>
      </w:r>
      <w:r>
        <w:rPr>
          <w:spacing w:val="-2"/>
        </w:rPr>
        <w:t> </w:t>
      </w:r>
      <w:r>
        <w:rPr/>
        <w:t>further</w:t>
      </w:r>
      <w:r>
        <w:rPr>
          <w:spacing w:val="-2"/>
        </w:rPr>
        <w:t> </w:t>
      </w:r>
      <w:r>
        <w:rPr/>
        <w:t>in</w:t>
      </w:r>
      <w:r>
        <w:rPr>
          <w:spacing w:val="-2"/>
        </w:rPr>
        <w:t> </w:t>
      </w:r>
      <w:r>
        <w:rPr/>
        <w:t>Note</w:t>
      </w:r>
      <w:r>
        <w:rPr>
          <w:spacing w:val="-3"/>
        </w:rPr>
        <w:t> </w:t>
      </w:r>
      <w:r>
        <w:rPr/>
        <w:t>11,</w:t>
      </w:r>
      <w:r>
        <w:rPr>
          <w:spacing w:val="-2"/>
        </w:rPr>
        <w:t> </w:t>
      </w:r>
      <w:r>
        <w:rPr/>
        <w:t>beginning</w:t>
      </w:r>
      <w:r>
        <w:rPr>
          <w:spacing w:val="-2"/>
        </w:rPr>
        <w:t> </w:t>
      </w:r>
      <w:r>
        <w:rPr/>
        <w:t>in</w:t>
      </w:r>
      <w:r>
        <w:rPr>
          <w:spacing w:val="-2"/>
        </w:rPr>
        <w:t> </w:t>
      </w:r>
      <w:r>
        <w:rPr/>
        <w:t>2023,</w:t>
      </w:r>
      <w:r>
        <w:rPr>
          <w:spacing w:val="-2"/>
        </w:rPr>
        <w:t> </w:t>
      </w:r>
      <w:r>
        <w:rPr/>
        <w:t>the</w:t>
      </w:r>
      <w:r>
        <w:rPr>
          <w:spacing w:val="-3"/>
        </w:rPr>
        <w:t> </w:t>
      </w:r>
      <w:r>
        <w:rPr/>
        <w:t>Company</w:t>
      </w:r>
      <w:r>
        <w:rPr>
          <w:spacing w:val="-2"/>
        </w:rPr>
        <w:t> </w:t>
      </w:r>
      <w:r>
        <w:rPr/>
        <w:t>utilizes</w:t>
      </w:r>
      <w:r>
        <w:rPr>
          <w:spacing w:val="-3"/>
        </w:rPr>
        <w:t> </w:t>
      </w:r>
      <w:r>
        <w:rPr/>
        <w:t>derivative</w:t>
      </w:r>
      <w:r>
        <w:rPr>
          <w:spacing w:val="-3"/>
        </w:rPr>
        <w:t> </w:t>
      </w:r>
      <w:r>
        <w:rPr/>
        <w:t>instruments</w:t>
      </w:r>
      <w:r>
        <w:rPr>
          <w:spacing w:val="-3"/>
        </w:rPr>
        <w:t> </w:t>
      </w:r>
      <w:r>
        <w:rPr/>
        <w:t>as</w:t>
      </w:r>
      <w:r>
        <w:rPr>
          <w:spacing w:val="-3"/>
        </w:rPr>
        <w:t> </w:t>
      </w:r>
      <w:r>
        <w:rPr/>
        <w:t>part</w:t>
      </w:r>
      <w:r>
        <w:rPr>
          <w:spacing w:val="-3"/>
        </w:rPr>
        <w:t> </w:t>
      </w:r>
      <w:r>
        <w:rPr/>
        <w:t>of</w:t>
      </w:r>
      <w:r>
        <w:rPr>
          <w:spacing w:val="-2"/>
        </w:rPr>
        <w:t> </w:t>
      </w:r>
      <w:r>
        <w:rPr/>
        <w:t>its</w:t>
      </w:r>
      <w:r>
        <w:rPr>
          <w:spacing w:val="-3"/>
        </w:rPr>
        <w:t> </w:t>
      </w:r>
      <w:r>
        <w:rPr/>
        <w:t>interest</w:t>
      </w:r>
      <w:r>
        <w:rPr>
          <w:spacing w:val="-3"/>
        </w:rPr>
        <w:t> </w:t>
      </w:r>
      <w:r>
        <w:rPr/>
        <w:t>rate</w:t>
      </w:r>
      <w:r>
        <w:rPr>
          <w:spacing w:val="-3"/>
        </w:rPr>
        <w:t> </w:t>
      </w:r>
      <w:r>
        <w:rPr/>
        <w:t>risk management. The Company records all derivatives on the balance sheet at fair value. Accounting for the changes in the fair values of derivatives depends on whether we qualify for and elect to apply hedge accounting and the type of hedging accounting</w:t>
      </w:r>
      <w:r>
        <w:rPr>
          <w:spacing w:val="-1"/>
        </w:rPr>
        <w:t> </w:t>
      </w:r>
      <w:r>
        <w:rPr/>
        <w:t>relationship</w:t>
      </w:r>
      <w:r>
        <w:rPr>
          <w:spacing w:val="-1"/>
        </w:rPr>
        <w:t> </w:t>
      </w:r>
      <w:r>
        <w:rPr/>
        <w:t>applied.</w:t>
      </w:r>
      <w:r>
        <w:rPr>
          <w:spacing w:val="-1"/>
        </w:rPr>
        <w:t> </w:t>
      </w:r>
      <w:r>
        <w:rPr/>
        <w:t>Hedge</w:t>
      </w:r>
      <w:r>
        <w:rPr>
          <w:spacing w:val="-2"/>
        </w:rPr>
        <w:t> </w:t>
      </w:r>
      <w:r>
        <w:rPr/>
        <w:t>accounting</w:t>
      </w:r>
      <w:r>
        <w:rPr>
          <w:spacing w:val="-1"/>
        </w:rPr>
        <w:t> </w:t>
      </w:r>
      <w:r>
        <w:rPr/>
        <w:t>generally</w:t>
      </w:r>
      <w:r>
        <w:rPr>
          <w:spacing w:val="-1"/>
        </w:rPr>
        <w:t> </w:t>
      </w:r>
      <w:r>
        <w:rPr/>
        <w:t>matches</w:t>
      </w:r>
      <w:r>
        <w:rPr>
          <w:spacing w:val="-2"/>
        </w:rPr>
        <w:t> </w:t>
      </w:r>
      <w:r>
        <w:rPr/>
        <w:t>the</w:t>
      </w:r>
      <w:r>
        <w:rPr>
          <w:spacing w:val="-2"/>
        </w:rPr>
        <w:t> </w:t>
      </w:r>
      <w:r>
        <w:rPr/>
        <w:t>timing</w:t>
      </w:r>
      <w:r>
        <w:rPr>
          <w:spacing w:val="-1"/>
        </w:rPr>
        <w:t> </w:t>
      </w:r>
      <w:r>
        <w:rPr/>
        <w:t>of</w:t>
      </w:r>
      <w:r>
        <w:rPr>
          <w:spacing w:val="-1"/>
        </w:rPr>
        <w:t> </w:t>
      </w:r>
      <w:r>
        <w:rPr/>
        <w:t>gain</w:t>
      </w:r>
      <w:r>
        <w:rPr>
          <w:spacing w:val="-1"/>
        </w:rPr>
        <w:t> </w:t>
      </w:r>
      <w:r>
        <w:rPr/>
        <w:t>or</w:t>
      </w:r>
      <w:r>
        <w:rPr>
          <w:spacing w:val="-1"/>
        </w:rPr>
        <w:t> </w:t>
      </w:r>
      <w:r>
        <w:rPr/>
        <w:t>loss</w:t>
      </w:r>
      <w:r>
        <w:rPr>
          <w:spacing w:val="-2"/>
        </w:rPr>
        <w:t> </w:t>
      </w:r>
      <w:r>
        <w:rPr/>
        <w:t>recognition</w:t>
      </w:r>
      <w:r>
        <w:rPr>
          <w:spacing w:val="-1"/>
        </w:rPr>
        <w:t> </w:t>
      </w:r>
      <w:r>
        <w:rPr/>
        <w:t>on</w:t>
      </w:r>
      <w:r>
        <w:rPr>
          <w:spacing w:val="-1"/>
        </w:rPr>
        <w:t> </w:t>
      </w:r>
      <w:r>
        <w:rPr/>
        <w:t>the</w:t>
      </w:r>
      <w:r>
        <w:rPr>
          <w:spacing w:val="-2"/>
        </w:rPr>
        <w:t> </w:t>
      </w:r>
      <w:r>
        <w:rPr/>
        <w:t>derivatives with the</w:t>
      </w:r>
      <w:r>
        <w:rPr>
          <w:spacing w:val="-1"/>
        </w:rPr>
        <w:t> </w:t>
      </w:r>
      <w:r>
        <w:rPr/>
        <w:t>recognition of the</w:t>
      </w:r>
      <w:r>
        <w:rPr>
          <w:spacing w:val="-1"/>
        </w:rPr>
        <w:t> </w:t>
      </w:r>
      <w:r>
        <w:rPr/>
        <w:t>changes</w:t>
      </w:r>
      <w:r>
        <w:rPr>
          <w:spacing w:val="-1"/>
        </w:rPr>
        <w:t> </w:t>
      </w:r>
      <w:r>
        <w:rPr/>
        <w:t>in the</w:t>
      </w:r>
      <w:r>
        <w:rPr>
          <w:spacing w:val="-1"/>
        </w:rPr>
        <w:t> </w:t>
      </w:r>
      <w:r>
        <w:rPr/>
        <w:t>fair values</w:t>
      </w:r>
      <w:r>
        <w:rPr>
          <w:spacing w:val="-1"/>
        </w:rPr>
        <w:t> </w:t>
      </w:r>
      <w:r>
        <w:rPr/>
        <w:t>or cash flows</w:t>
      </w:r>
      <w:r>
        <w:rPr>
          <w:spacing w:val="-1"/>
        </w:rPr>
        <w:t> </w:t>
      </w:r>
      <w:r>
        <w:rPr/>
        <w:t>attributable</w:t>
      </w:r>
      <w:r>
        <w:rPr>
          <w:spacing w:val="-1"/>
        </w:rPr>
        <w:t> </w:t>
      </w:r>
      <w:r>
        <w:rPr/>
        <w:t>to the</w:t>
      </w:r>
      <w:r>
        <w:rPr>
          <w:spacing w:val="-1"/>
        </w:rPr>
        <w:t> </w:t>
      </w:r>
      <w:r>
        <w:rPr/>
        <w:t>risk being hedged of the</w:t>
      </w:r>
      <w:r>
        <w:rPr>
          <w:spacing w:val="-1"/>
        </w:rPr>
        <w:t> </w:t>
      </w:r>
      <w:r>
        <w:rPr/>
        <w:t>hedged asset</w:t>
      </w:r>
      <w:r>
        <w:rPr>
          <w:spacing w:val="-1"/>
        </w:rPr>
        <w:t> </w:t>
      </w:r>
      <w:r>
        <w:rPr/>
        <w:t>or liability in a fair value hedge or the earnings effect of the hedged forecasted transactions in a cash flow hedge, respectively</w:t>
      </w:r>
      <w:r>
        <w:rPr>
          <w:sz w:val="22"/>
        </w:rPr>
        <w:t>.</w:t>
      </w:r>
    </w:p>
    <w:p>
      <w:pPr>
        <w:pStyle w:val="BodyText"/>
        <w:spacing w:line="249" w:lineRule="auto" w:before="5"/>
        <w:ind w:left="470" w:right="566"/>
      </w:pPr>
      <w:r>
        <w:rPr/>
        <w:t>Schwab’s policy is to designate all eligible derivatives in hedge accounting relationships. To qualify for hedge accounting, among other requirements, a derivative must be highly effective at reducing exposure to the hedged risk. The assessment of effectiveness</w:t>
      </w:r>
      <w:r>
        <w:rPr>
          <w:spacing w:val="-4"/>
        </w:rPr>
        <w:t> </w:t>
      </w:r>
      <w:r>
        <w:rPr/>
        <w:t>is</w:t>
      </w:r>
      <w:r>
        <w:rPr>
          <w:spacing w:val="-4"/>
        </w:rPr>
        <w:t> </w:t>
      </w:r>
      <w:r>
        <w:rPr/>
        <w:t>done</w:t>
      </w:r>
      <w:r>
        <w:rPr>
          <w:spacing w:val="-4"/>
        </w:rPr>
        <w:t> </w:t>
      </w:r>
      <w:r>
        <w:rPr/>
        <w:t>at</w:t>
      </w:r>
      <w:r>
        <w:rPr>
          <w:spacing w:val="-4"/>
        </w:rPr>
        <w:t> </w:t>
      </w:r>
      <w:r>
        <w:rPr/>
        <w:t>inception</w:t>
      </w:r>
      <w:r>
        <w:rPr>
          <w:spacing w:val="-3"/>
        </w:rPr>
        <w:t> </w:t>
      </w:r>
      <w:r>
        <w:rPr/>
        <w:t>and</w:t>
      </w:r>
      <w:r>
        <w:rPr>
          <w:spacing w:val="-3"/>
        </w:rPr>
        <w:t> </w:t>
      </w:r>
      <w:r>
        <w:rPr/>
        <w:t>on</w:t>
      </w:r>
      <w:r>
        <w:rPr>
          <w:spacing w:val="-3"/>
        </w:rPr>
        <w:t> </w:t>
      </w:r>
      <w:r>
        <w:rPr/>
        <w:t>an</w:t>
      </w:r>
      <w:r>
        <w:rPr>
          <w:spacing w:val="-3"/>
        </w:rPr>
        <w:t> </w:t>
      </w:r>
      <w:r>
        <w:rPr/>
        <w:t>ongoing</w:t>
      </w:r>
      <w:r>
        <w:rPr>
          <w:spacing w:val="-3"/>
        </w:rPr>
        <w:t> </w:t>
      </w:r>
      <w:r>
        <w:rPr/>
        <w:t>basis</w:t>
      </w:r>
      <w:r>
        <w:rPr>
          <w:spacing w:val="-4"/>
        </w:rPr>
        <w:t> </w:t>
      </w:r>
      <w:r>
        <w:rPr/>
        <w:t>for</w:t>
      </w:r>
      <w:r>
        <w:rPr>
          <w:spacing w:val="-3"/>
        </w:rPr>
        <w:t> </w:t>
      </w:r>
      <w:r>
        <w:rPr/>
        <w:t>hedging</w:t>
      </w:r>
      <w:r>
        <w:rPr>
          <w:spacing w:val="-3"/>
        </w:rPr>
        <w:t> </w:t>
      </w:r>
      <w:r>
        <w:rPr/>
        <w:t>relationships</w:t>
      </w:r>
      <w:r>
        <w:rPr>
          <w:spacing w:val="-4"/>
        </w:rPr>
        <w:t> </w:t>
      </w:r>
      <w:r>
        <w:rPr/>
        <w:t>and,</w:t>
      </w:r>
      <w:r>
        <w:rPr>
          <w:spacing w:val="-3"/>
        </w:rPr>
        <w:t> </w:t>
      </w:r>
      <w:r>
        <w:rPr/>
        <w:t>depending</w:t>
      </w:r>
      <w:r>
        <w:rPr>
          <w:spacing w:val="-3"/>
        </w:rPr>
        <w:t> </w:t>
      </w:r>
      <w:r>
        <w:rPr/>
        <w:t>on</w:t>
      </w:r>
      <w:r>
        <w:rPr>
          <w:spacing w:val="-3"/>
        </w:rPr>
        <w:t> </w:t>
      </w:r>
      <w:r>
        <w:rPr/>
        <w:t>certain</w:t>
      </w:r>
      <w:r>
        <w:rPr>
          <w:spacing w:val="-3"/>
        </w:rPr>
        <w:t> </w:t>
      </w:r>
      <w:r>
        <w:rPr/>
        <w:t>criteria,</w:t>
      </w:r>
      <w:r>
        <w:rPr>
          <w:spacing w:val="-3"/>
        </w:rPr>
        <w:t> </w:t>
      </w:r>
      <w:r>
        <w:rPr/>
        <w:t>may</w:t>
      </w:r>
      <w:r>
        <w:rPr>
          <w:spacing w:val="-3"/>
        </w:rPr>
        <w:t> </w:t>
      </w:r>
      <w:r>
        <w:rPr/>
        <w:t>be qualitative or quantitative. Schwab applies the “shortcut method” of hedge accounting for a portion of its fair value hedges, which assumes perfect effectiveness. Alternatively, when quantitative effectiveness assessments are required, the Company uses regression analysis, which is the method employed for the rest of our hedging relationships.</w:t>
      </w:r>
    </w:p>
    <w:p>
      <w:pPr>
        <w:pStyle w:val="BodyText"/>
        <w:spacing w:before="15"/>
      </w:pPr>
    </w:p>
    <w:p>
      <w:pPr>
        <w:pStyle w:val="BodyText"/>
        <w:spacing w:line="249" w:lineRule="auto"/>
        <w:ind w:left="470"/>
      </w:pPr>
      <w:r>
        <w:rPr/>
        <w:t>For derivatives the Company has designated and that qualify as fair value hedges of interest rate risk, the gain or loss on the derivatives</w:t>
      </w:r>
      <w:r>
        <w:rPr>
          <w:spacing w:val="-4"/>
        </w:rPr>
        <w:t> </w:t>
      </w:r>
      <w:r>
        <w:rPr/>
        <w:t>and</w:t>
      </w:r>
      <w:r>
        <w:rPr>
          <w:spacing w:val="-3"/>
        </w:rPr>
        <w:t> </w:t>
      </w:r>
      <w:r>
        <w:rPr/>
        <w:t>the</w:t>
      </w:r>
      <w:r>
        <w:rPr>
          <w:spacing w:val="-4"/>
        </w:rPr>
        <w:t> </w:t>
      </w:r>
      <w:r>
        <w:rPr/>
        <w:t>changes</w:t>
      </w:r>
      <w:r>
        <w:rPr>
          <w:spacing w:val="-4"/>
        </w:rPr>
        <w:t> </w:t>
      </w:r>
      <w:r>
        <w:rPr/>
        <w:t>in</w:t>
      </w:r>
      <w:r>
        <w:rPr>
          <w:spacing w:val="-3"/>
        </w:rPr>
        <w:t> </w:t>
      </w:r>
      <w:r>
        <w:rPr/>
        <w:t>fair</w:t>
      </w:r>
      <w:r>
        <w:rPr>
          <w:spacing w:val="-3"/>
        </w:rPr>
        <w:t> </w:t>
      </w:r>
      <w:r>
        <w:rPr/>
        <w:t>values</w:t>
      </w:r>
      <w:r>
        <w:rPr>
          <w:spacing w:val="-4"/>
        </w:rPr>
        <w:t> </w:t>
      </w:r>
      <w:r>
        <w:rPr/>
        <w:t>of</w:t>
      </w:r>
      <w:r>
        <w:rPr>
          <w:spacing w:val="-3"/>
        </w:rPr>
        <w:t> </w:t>
      </w:r>
      <w:r>
        <w:rPr/>
        <w:t>the</w:t>
      </w:r>
      <w:r>
        <w:rPr>
          <w:spacing w:val="-4"/>
        </w:rPr>
        <w:t> </w:t>
      </w:r>
      <w:r>
        <w:rPr/>
        <w:t>hedged</w:t>
      </w:r>
      <w:r>
        <w:rPr>
          <w:spacing w:val="-3"/>
        </w:rPr>
        <w:t> </w:t>
      </w:r>
      <w:r>
        <w:rPr/>
        <w:t>assets</w:t>
      </w:r>
      <w:r>
        <w:rPr>
          <w:spacing w:val="-4"/>
        </w:rPr>
        <w:t> </w:t>
      </w:r>
      <w:r>
        <w:rPr/>
        <w:t>attributable</w:t>
      </w:r>
      <w:r>
        <w:rPr>
          <w:spacing w:val="-4"/>
        </w:rPr>
        <w:t> </w:t>
      </w:r>
      <w:r>
        <w:rPr/>
        <w:t>to</w:t>
      </w:r>
      <w:r>
        <w:rPr>
          <w:spacing w:val="-3"/>
        </w:rPr>
        <w:t> </w:t>
      </w:r>
      <w:r>
        <w:rPr/>
        <w:t>benchmark</w:t>
      </w:r>
      <w:r>
        <w:rPr>
          <w:spacing w:val="-3"/>
        </w:rPr>
        <w:t> </w:t>
      </w:r>
      <w:r>
        <w:rPr/>
        <w:t>interest</w:t>
      </w:r>
      <w:r>
        <w:rPr>
          <w:spacing w:val="-4"/>
        </w:rPr>
        <w:t> </w:t>
      </w:r>
      <w:r>
        <w:rPr/>
        <w:t>rates</w:t>
      </w:r>
      <w:r>
        <w:rPr>
          <w:spacing w:val="-4"/>
        </w:rPr>
        <w:t> </w:t>
      </w:r>
      <w:r>
        <w:rPr/>
        <w:t>(basis</w:t>
      </w:r>
      <w:r>
        <w:rPr>
          <w:spacing w:val="-4"/>
        </w:rPr>
        <w:t> </w:t>
      </w:r>
      <w:r>
        <w:rPr/>
        <w:t>adjustments)</w:t>
      </w:r>
      <w:r>
        <w:rPr>
          <w:spacing w:val="-3"/>
        </w:rPr>
        <w:t> </w:t>
      </w:r>
      <w:r>
        <w:rPr/>
        <w:t>are</w:t>
      </w:r>
    </w:p>
    <w:p>
      <w:pPr>
        <w:spacing w:after="0" w:line="249" w:lineRule="auto"/>
        <w:sectPr>
          <w:headerReference w:type="default" r:id="rId20"/>
          <w:footerReference w:type="default" r:id="rId21"/>
          <w:pgSz w:w="12240" w:h="15840"/>
          <w:pgMar w:header="227" w:footer="201" w:top="1080" w:bottom="400" w:left="520" w:right="520"/>
        </w:sectPr>
      </w:pPr>
    </w:p>
    <w:p>
      <w:pPr>
        <w:pStyle w:val="BodyText"/>
        <w:spacing w:line="249" w:lineRule="auto" w:before="214"/>
        <w:ind w:left="470" w:right="500"/>
      </w:pPr>
      <w:r>
        <w:rPr/>
        <w:t>both</w:t>
      </w:r>
      <w:r>
        <w:rPr>
          <w:spacing w:val="-3"/>
        </w:rPr>
        <w:t> </w:t>
      </w:r>
      <w:r>
        <w:rPr/>
        <w:t>recorded</w:t>
      </w:r>
      <w:r>
        <w:rPr>
          <w:spacing w:val="-3"/>
        </w:rPr>
        <w:t> </w:t>
      </w:r>
      <w:r>
        <w:rPr/>
        <w:t>in</w:t>
      </w:r>
      <w:r>
        <w:rPr>
          <w:spacing w:val="-3"/>
        </w:rPr>
        <w:t> </w:t>
      </w:r>
      <w:r>
        <w:rPr/>
        <w:t>interest</w:t>
      </w:r>
      <w:r>
        <w:rPr>
          <w:spacing w:val="-4"/>
        </w:rPr>
        <w:t> </w:t>
      </w:r>
      <w:r>
        <w:rPr/>
        <w:t>revenue</w:t>
      </w:r>
      <w:r>
        <w:rPr>
          <w:spacing w:val="-4"/>
        </w:rPr>
        <w:t> </w:t>
      </w:r>
      <w:r>
        <w:rPr/>
        <w:t>on</w:t>
      </w:r>
      <w:r>
        <w:rPr>
          <w:spacing w:val="-3"/>
        </w:rPr>
        <w:t> </w:t>
      </w:r>
      <w:r>
        <w:rPr/>
        <w:t>the</w:t>
      </w:r>
      <w:r>
        <w:rPr>
          <w:spacing w:val="-4"/>
        </w:rPr>
        <w:t> </w:t>
      </w:r>
      <w:r>
        <w:rPr/>
        <w:t>condensed</w:t>
      </w:r>
      <w:r>
        <w:rPr>
          <w:spacing w:val="-3"/>
        </w:rPr>
        <w:t> </w:t>
      </w:r>
      <w:r>
        <w:rPr/>
        <w:t>consolidated</w:t>
      </w:r>
      <w:r>
        <w:rPr>
          <w:spacing w:val="-3"/>
        </w:rPr>
        <w:t> </w:t>
      </w:r>
      <w:r>
        <w:rPr/>
        <w:t>statement</w:t>
      </w:r>
      <w:r>
        <w:rPr>
          <w:spacing w:val="-4"/>
        </w:rPr>
        <w:t> </w:t>
      </w:r>
      <w:r>
        <w:rPr/>
        <w:t>of</w:t>
      </w:r>
      <w:r>
        <w:rPr>
          <w:spacing w:val="-3"/>
        </w:rPr>
        <w:t> </w:t>
      </w:r>
      <w:r>
        <w:rPr/>
        <w:t>income.</w:t>
      </w:r>
      <w:r>
        <w:rPr>
          <w:spacing w:val="-3"/>
        </w:rPr>
        <w:t> </w:t>
      </w:r>
      <w:r>
        <w:rPr/>
        <w:t>If</w:t>
      </w:r>
      <w:r>
        <w:rPr>
          <w:spacing w:val="-3"/>
        </w:rPr>
        <w:t> </w:t>
      </w:r>
      <w:r>
        <w:rPr/>
        <w:t>the</w:t>
      </w:r>
      <w:r>
        <w:rPr>
          <w:spacing w:val="-4"/>
        </w:rPr>
        <w:t> </w:t>
      </w:r>
      <w:r>
        <w:rPr/>
        <w:t>hedging</w:t>
      </w:r>
      <w:r>
        <w:rPr>
          <w:spacing w:val="-3"/>
        </w:rPr>
        <w:t> </w:t>
      </w:r>
      <w:r>
        <w:rPr/>
        <w:t>relationship</w:t>
      </w:r>
      <w:r>
        <w:rPr>
          <w:spacing w:val="-3"/>
        </w:rPr>
        <w:t> </w:t>
      </w:r>
      <w:r>
        <w:rPr/>
        <w:t>is</w:t>
      </w:r>
      <w:r>
        <w:rPr>
          <w:spacing w:val="-4"/>
        </w:rPr>
        <w:t> </w:t>
      </w:r>
      <w:r>
        <w:rPr/>
        <w:t>terminated, the basis adjustment remaining on the hedged asset continues to be reported as part of the amortized cost of that asset and is amortized to interest</w:t>
      </w:r>
      <w:r>
        <w:rPr>
          <w:spacing w:val="-1"/>
        </w:rPr>
        <w:t> </w:t>
      </w:r>
      <w:r>
        <w:rPr/>
        <w:t>revenue</w:t>
      </w:r>
      <w:r>
        <w:rPr>
          <w:spacing w:val="-1"/>
        </w:rPr>
        <w:t> </w:t>
      </w:r>
      <w:r>
        <w:rPr/>
        <w:t>over the</w:t>
      </w:r>
      <w:r>
        <w:rPr>
          <w:spacing w:val="-1"/>
        </w:rPr>
        <w:t> </w:t>
      </w:r>
      <w:r>
        <w:rPr/>
        <w:t>remaining life</w:t>
      </w:r>
      <w:r>
        <w:rPr>
          <w:spacing w:val="-1"/>
        </w:rPr>
        <w:t> </w:t>
      </w:r>
      <w:r>
        <w:rPr/>
        <w:t>of the</w:t>
      </w:r>
      <w:r>
        <w:rPr>
          <w:spacing w:val="-1"/>
        </w:rPr>
        <w:t> </w:t>
      </w:r>
      <w:r>
        <w:rPr/>
        <w:t>asset</w:t>
      </w:r>
      <w:r>
        <w:rPr>
          <w:spacing w:val="-1"/>
        </w:rPr>
        <w:t> </w:t>
      </w:r>
      <w:r>
        <w:rPr/>
        <w:t>as</w:t>
      </w:r>
      <w:r>
        <w:rPr>
          <w:spacing w:val="-1"/>
        </w:rPr>
        <w:t> </w:t>
      </w:r>
      <w:r>
        <w:rPr/>
        <w:t>a</w:t>
      </w:r>
      <w:r>
        <w:rPr>
          <w:spacing w:val="-1"/>
        </w:rPr>
        <w:t> </w:t>
      </w:r>
      <w:r>
        <w:rPr/>
        <w:t>yield adjustment</w:t>
      </w:r>
      <w:r>
        <w:rPr>
          <w:spacing w:val="-1"/>
        </w:rPr>
        <w:t> </w:t>
      </w:r>
      <w:r>
        <w:rPr/>
        <w:t>using the</w:t>
      </w:r>
      <w:r>
        <w:rPr>
          <w:spacing w:val="-1"/>
        </w:rPr>
        <w:t> </w:t>
      </w:r>
      <w:r>
        <w:rPr/>
        <w:t>effective</w:t>
      </w:r>
      <w:r>
        <w:rPr>
          <w:spacing w:val="-1"/>
        </w:rPr>
        <w:t> </w:t>
      </w:r>
      <w:r>
        <w:rPr/>
        <w:t>interest</w:t>
      </w:r>
      <w:r>
        <w:rPr>
          <w:spacing w:val="-1"/>
        </w:rPr>
        <w:t> </w:t>
      </w:r>
      <w:r>
        <w:rPr/>
        <w:t>method. The Company does not amortize basis adjustments prior to termination of the hedging relationship.</w:t>
      </w:r>
    </w:p>
    <w:p>
      <w:pPr>
        <w:pStyle w:val="BodyText"/>
        <w:spacing w:before="13"/>
      </w:pPr>
    </w:p>
    <w:p>
      <w:pPr>
        <w:pStyle w:val="BodyText"/>
        <w:spacing w:line="249" w:lineRule="auto"/>
        <w:ind w:left="470" w:right="500"/>
      </w:pPr>
      <w:r>
        <w:rPr/>
        <w:t>Certain fair value hedges may be designated under the portfolio layer method (PLM) of hedge accounting, which allows the Company to hedge the interest rate risk of prepayable and non-prepayable financial assets by designating a stated amount of a closed portfolio that is expected to be outstanding for the designated hedge period (a hedged layer) as the hedged item. A PLM hedging relationship may include multiple hedged layers. If at any point during the hedge period the aggregate amount of the hedged layers exceeds the amount of the closed portfolio (i.e., a breach of the hedged layer(s) has occurred) or is expected to exceed the amount of the closed portfolio at a future date during the hedge period (i.e., a breach of the hedged layer is anticipated),</w:t>
      </w:r>
      <w:r>
        <w:rPr>
          <w:spacing w:val="-3"/>
        </w:rPr>
        <w:t> </w:t>
      </w:r>
      <w:r>
        <w:rPr/>
        <w:t>the</w:t>
      </w:r>
      <w:r>
        <w:rPr>
          <w:spacing w:val="-4"/>
        </w:rPr>
        <w:t> </w:t>
      </w:r>
      <w:r>
        <w:rPr/>
        <w:t>PLM</w:t>
      </w:r>
      <w:r>
        <w:rPr>
          <w:spacing w:val="-4"/>
        </w:rPr>
        <w:t> </w:t>
      </w:r>
      <w:r>
        <w:rPr/>
        <w:t>hedge</w:t>
      </w:r>
      <w:r>
        <w:rPr>
          <w:spacing w:val="-4"/>
        </w:rPr>
        <w:t> </w:t>
      </w:r>
      <w:r>
        <w:rPr/>
        <w:t>must</w:t>
      </w:r>
      <w:r>
        <w:rPr>
          <w:spacing w:val="-4"/>
        </w:rPr>
        <w:t> </w:t>
      </w:r>
      <w:r>
        <w:rPr/>
        <w:t>be</w:t>
      </w:r>
      <w:r>
        <w:rPr>
          <w:spacing w:val="-4"/>
        </w:rPr>
        <w:t> </w:t>
      </w:r>
      <w:r>
        <w:rPr/>
        <w:t>fully</w:t>
      </w:r>
      <w:r>
        <w:rPr>
          <w:spacing w:val="-3"/>
        </w:rPr>
        <w:t> </w:t>
      </w:r>
      <w:r>
        <w:rPr/>
        <w:t>or</w:t>
      </w:r>
      <w:r>
        <w:rPr>
          <w:spacing w:val="-3"/>
        </w:rPr>
        <w:t> </w:t>
      </w:r>
      <w:r>
        <w:rPr/>
        <w:t>partially</w:t>
      </w:r>
      <w:r>
        <w:rPr>
          <w:spacing w:val="-3"/>
        </w:rPr>
        <w:t> </w:t>
      </w:r>
      <w:r>
        <w:rPr/>
        <w:t>terminated</w:t>
      </w:r>
      <w:r>
        <w:rPr>
          <w:spacing w:val="-3"/>
        </w:rPr>
        <w:t> </w:t>
      </w:r>
      <w:r>
        <w:rPr/>
        <w:t>to</w:t>
      </w:r>
      <w:r>
        <w:rPr>
          <w:spacing w:val="-3"/>
        </w:rPr>
        <w:t> </w:t>
      </w:r>
      <w:r>
        <w:rPr/>
        <w:t>cure</w:t>
      </w:r>
      <w:r>
        <w:rPr>
          <w:spacing w:val="-4"/>
        </w:rPr>
        <w:t> </w:t>
      </w:r>
      <w:r>
        <w:rPr/>
        <w:t>the</w:t>
      </w:r>
      <w:r>
        <w:rPr>
          <w:spacing w:val="-4"/>
        </w:rPr>
        <w:t> </w:t>
      </w:r>
      <w:r>
        <w:rPr/>
        <w:t>breach</w:t>
      </w:r>
      <w:r>
        <w:rPr>
          <w:spacing w:val="-3"/>
        </w:rPr>
        <w:t> </w:t>
      </w:r>
      <w:r>
        <w:rPr/>
        <w:t>or</w:t>
      </w:r>
      <w:r>
        <w:rPr>
          <w:spacing w:val="-3"/>
        </w:rPr>
        <w:t> </w:t>
      </w:r>
      <w:r>
        <w:rPr/>
        <w:t>anticipated</w:t>
      </w:r>
      <w:r>
        <w:rPr>
          <w:spacing w:val="-3"/>
        </w:rPr>
        <w:t> </w:t>
      </w:r>
      <w:r>
        <w:rPr/>
        <w:t>breach.</w:t>
      </w:r>
      <w:r>
        <w:rPr>
          <w:spacing w:val="-3"/>
        </w:rPr>
        <w:t> </w:t>
      </w:r>
      <w:r>
        <w:rPr/>
        <w:t>Basis</w:t>
      </w:r>
      <w:r>
        <w:rPr>
          <w:spacing w:val="-4"/>
        </w:rPr>
        <w:t> </w:t>
      </w:r>
      <w:r>
        <w:rPr/>
        <w:t>adjustments</w:t>
      </w:r>
      <w:r>
        <w:rPr>
          <w:spacing w:val="-4"/>
        </w:rPr>
        <w:t> </w:t>
      </w:r>
      <w:r>
        <w:rPr/>
        <w:t>for active PLM hedges are maintained at the closed portfolio level and are only allocated to individual assets remaining in the closed portfolio when the hedge is terminated, except for the portion of the basis adjustment related to the breach of the hedged layer(s) that has occurred, if any, which is recognized in interest revenue immediately. Allocated PLM basis adjustments are reported as part of the amortized cost of the assets and are amortized to interest revenue over the assets’ respective remaining lives as a yield adjustment using the effective interest method.</w:t>
      </w:r>
    </w:p>
    <w:p>
      <w:pPr>
        <w:pStyle w:val="BodyText"/>
        <w:spacing w:before="68"/>
      </w:pPr>
    </w:p>
    <w:p>
      <w:pPr>
        <w:pStyle w:val="BodyText"/>
        <w:spacing w:line="249" w:lineRule="auto"/>
        <w:ind w:left="470" w:right="500"/>
      </w:pPr>
      <w:r>
        <w:rPr/>
        <w:t>For derivatives the Company has designated and that qualify as cash flow hedges of interest rate risk, the gain or loss on the derivatives</w:t>
      </w:r>
      <w:r>
        <w:rPr>
          <w:spacing w:val="-4"/>
        </w:rPr>
        <w:t> </w:t>
      </w:r>
      <w:r>
        <w:rPr/>
        <w:t>is</w:t>
      </w:r>
      <w:r>
        <w:rPr>
          <w:spacing w:val="-4"/>
        </w:rPr>
        <w:t> </w:t>
      </w:r>
      <w:r>
        <w:rPr/>
        <w:t>recorded</w:t>
      </w:r>
      <w:r>
        <w:rPr>
          <w:spacing w:val="-3"/>
        </w:rPr>
        <w:t> </w:t>
      </w:r>
      <w:r>
        <w:rPr/>
        <w:t>in</w:t>
      </w:r>
      <w:r>
        <w:rPr>
          <w:spacing w:val="-3"/>
        </w:rPr>
        <w:t> </w:t>
      </w:r>
      <w:r>
        <w:rPr/>
        <w:t>AOCI</w:t>
      </w:r>
      <w:r>
        <w:rPr>
          <w:spacing w:val="-3"/>
        </w:rPr>
        <w:t> </w:t>
      </w:r>
      <w:r>
        <w:rPr/>
        <w:t>and</w:t>
      </w:r>
      <w:r>
        <w:rPr>
          <w:spacing w:val="-3"/>
        </w:rPr>
        <w:t> </w:t>
      </w:r>
      <w:r>
        <w:rPr/>
        <w:t>subsequently</w:t>
      </w:r>
      <w:r>
        <w:rPr>
          <w:spacing w:val="-3"/>
        </w:rPr>
        <w:t> </w:t>
      </w:r>
      <w:r>
        <w:rPr/>
        <w:t>reclassified</w:t>
      </w:r>
      <w:r>
        <w:rPr>
          <w:spacing w:val="-3"/>
        </w:rPr>
        <w:t> </w:t>
      </w:r>
      <w:r>
        <w:rPr/>
        <w:t>into</w:t>
      </w:r>
      <w:r>
        <w:rPr>
          <w:spacing w:val="-3"/>
        </w:rPr>
        <w:t> </w:t>
      </w:r>
      <w:r>
        <w:rPr/>
        <w:t>interest</w:t>
      </w:r>
      <w:r>
        <w:rPr>
          <w:spacing w:val="-4"/>
        </w:rPr>
        <w:t> </w:t>
      </w:r>
      <w:r>
        <w:rPr/>
        <w:t>revenue</w:t>
      </w:r>
      <w:r>
        <w:rPr>
          <w:spacing w:val="-4"/>
        </w:rPr>
        <w:t> </w:t>
      </w:r>
      <w:r>
        <w:rPr/>
        <w:t>or</w:t>
      </w:r>
      <w:r>
        <w:rPr>
          <w:spacing w:val="-3"/>
        </w:rPr>
        <w:t> </w:t>
      </w:r>
      <w:r>
        <w:rPr/>
        <w:t>interest</w:t>
      </w:r>
      <w:r>
        <w:rPr>
          <w:spacing w:val="-4"/>
        </w:rPr>
        <w:t> </w:t>
      </w:r>
      <w:r>
        <w:rPr/>
        <w:t>expense,</w:t>
      </w:r>
      <w:r>
        <w:rPr>
          <w:spacing w:val="-3"/>
        </w:rPr>
        <w:t> </w:t>
      </w:r>
      <w:r>
        <w:rPr/>
        <w:t>depending</w:t>
      </w:r>
      <w:r>
        <w:rPr>
          <w:spacing w:val="-3"/>
        </w:rPr>
        <w:t> </w:t>
      </w:r>
      <w:r>
        <w:rPr/>
        <w:t>on</w:t>
      </w:r>
      <w:r>
        <w:rPr>
          <w:spacing w:val="-3"/>
        </w:rPr>
        <w:t> </w:t>
      </w:r>
      <w:r>
        <w:rPr/>
        <w:t>where</w:t>
      </w:r>
      <w:r>
        <w:rPr>
          <w:spacing w:val="-4"/>
        </w:rPr>
        <w:t> </w:t>
      </w:r>
      <w:r>
        <w:rPr/>
        <w:t>the hedged cash flows are recognized, on the condensed consolidated statement of income in the same period during which the hedged transactions affect earnings. Amounts reported in AOCI for cash flow hedges of recognized financial assets and liabilities are reclassified into interest revenue or interest expense as interest payments are accrued or made. If the hedging relationship is terminated and transactions that were hedged are no longer probable of occurring, the gain or loss on the derivative(s) recorded in AOCI prior to termination is reclassified into interest revenue or interest expense immediately.</w:t>
      </w:r>
    </w:p>
    <w:p>
      <w:pPr>
        <w:pStyle w:val="BodyText"/>
        <w:spacing w:line="249" w:lineRule="auto" w:before="6"/>
        <w:ind w:left="470" w:right="761"/>
      </w:pPr>
      <w:r>
        <w:rPr/>
        <w:t>Otherwise,</w:t>
      </w:r>
      <w:r>
        <w:rPr>
          <w:spacing w:val="-2"/>
        </w:rPr>
        <w:t> </w:t>
      </w:r>
      <w:r>
        <w:rPr/>
        <w:t>the</w:t>
      </w:r>
      <w:r>
        <w:rPr>
          <w:spacing w:val="-3"/>
        </w:rPr>
        <w:t> </w:t>
      </w:r>
      <w:r>
        <w:rPr/>
        <w:t>derivative</w:t>
      </w:r>
      <w:r>
        <w:rPr>
          <w:spacing w:val="-3"/>
        </w:rPr>
        <w:t> </w:t>
      </w:r>
      <w:r>
        <w:rPr/>
        <w:t>gain</w:t>
      </w:r>
      <w:r>
        <w:rPr>
          <w:spacing w:val="-2"/>
        </w:rPr>
        <w:t> </w:t>
      </w:r>
      <w:r>
        <w:rPr/>
        <w:t>or</w:t>
      </w:r>
      <w:r>
        <w:rPr>
          <w:spacing w:val="-2"/>
        </w:rPr>
        <w:t> </w:t>
      </w:r>
      <w:r>
        <w:rPr/>
        <w:t>loss</w:t>
      </w:r>
      <w:r>
        <w:rPr>
          <w:spacing w:val="-3"/>
        </w:rPr>
        <w:t> </w:t>
      </w:r>
      <w:r>
        <w:rPr/>
        <w:t>in</w:t>
      </w:r>
      <w:r>
        <w:rPr>
          <w:spacing w:val="-2"/>
        </w:rPr>
        <w:t> </w:t>
      </w:r>
      <w:r>
        <w:rPr/>
        <w:t>AOCI</w:t>
      </w:r>
      <w:r>
        <w:rPr>
          <w:spacing w:val="-2"/>
        </w:rPr>
        <w:t> </w:t>
      </w:r>
      <w:r>
        <w:rPr/>
        <w:t>will</w:t>
      </w:r>
      <w:r>
        <w:rPr>
          <w:spacing w:val="-3"/>
        </w:rPr>
        <w:t> </w:t>
      </w:r>
      <w:r>
        <w:rPr/>
        <w:t>continue</w:t>
      </w:r>
      <w:r>
        <w:rPr>
          <w:spacing w:val="-3"/>
        </w:rPr>
        <w:t> </w:t>
      </w:r>
      <w:r>
        <w:rPr/>
        <w:t>to</w:t>
      </w:r>
      <w:r>
        <w:rPr>
          <w:spacing w:val="-2"/>
        </w:rPr>
        <w:t> </w:t>
      </w:r>
      <w:r>
        <w:rPr/>
        <w:t>be</w:t>
      </w:r>
      <w:r>
        <w:rPr>
          <w:spacing w:val="-3"/>
        </w:rPr>
        <w:t> </w:t>
      </w:r>
      <w:r>
        <w:rPr/>
        <w:t>reclassified</w:t>
      </w:r>
      <w:r>
        <w:rPr>
          <w:spacing w:val="-2"/>
        </w:rPr>
        <w:t> </w:t>
      </w:r>
      <w:r>
        <w:rPr/>
        <w:t>into</w:t>
      </w:r>
      <w:r>
        <w:rPr>
          <w:spacing w:val="-2"/>
        </w:rPr>
        <w:t> </w:t>
      </w:r>
      <w:r>
        <w:rPr/>
        <w:t>interest</w:t>
      </w:r>
      <w:r>
        <w:rPr>
          <w:spacing w:val="-3"/>
        </w:rPr>
        <w:t> </w:t>
      </w:r>
      <w:r>
        <w:rPr/>
        <w:t>revenue</w:t>
      </w:r>
      <w:r>
        <w:rPr>
          <w:spacing w:val="-3"/>
        </w:rPr>
        <w:t> </w:t>
      </w:r>
      <w:r>
        <w:rPr/>
        <w:t>or</w:t>
      </w:r>
      <w:r>
        <w:rPr>
          <w:spacing w:val="-2"/>
        </w:rPr>
        <w:t> </w:t>
      </w:r>
      <w:r>
        <w:rPr/>
        <w:t>interest</w:t>
      </w:r>
      <w:r>
        <w:rPr>
          <w:spacing w:val="-3"/>
        </w:rPr>
        <w:t> </w:t>
      </w:r>
      <w:r>
        <w:rPr/>
        <w:t>expense</w:t>
      </w:r>
      <w:r>
        <w:rPr>
          <w:spacing w:val="-3"/>
        </w:rPr>
        <w:t> </w:t>
      </w:r>
      <w:r>
        <w:rPr/>
        <w:t>in</w:t>
      </w:r>
      <w:r>
        <w:rPr>
          <w:spacing w:val="-2"/>
        </w:rPr>
        <w:t> </w:t>
      </w:r>
      <w:r>
        <w:rPr/>
        <w:t>the periods during which the transactions that were hedged affect earnings.</w:t>
      </w:r>
    </w:p>
    <w:p>
      <w:pPr>
        <w:pStyle w:val="BodyText"/>
        <w:spacing w:before="36"/>
      </w:pPr>
    </w:p>
    <w:p>
      <w:pPr>
        <w:pStyle w:val="BodyText"/>
        <w:spacing w:line="249" w:lineRule="auto"/>
        <w:ind w:left="470" w:right="500"/>
      </w:pPr>
      <w:r>
        <w:rPr/>
        <w:t>Cash</w:t>
      </w:r>
      <w:r>
        <w:rPr>
          <w:spacing w:val="-3"/>
        </w:rPr>
        <w:t> </w:t>
      </w:r>
      <w:r>
        <w:rPr/>
        <w:t>flows</w:t>
      </w:r>
      <w:r>
        <w:rPr>
          <w:spacing w:val="-4"/>
        </w:rPr>
        <w:t> </w:t>
      </w:r>
      <w:r>
        <w:rPr/>
        <w:t>associated</w:t>
      </w:r>
      <w:r>
        <w:rPr>
          <w:spacing w:val="-3"/>
        </w:rPr>
        <w:t> </w:t>
      </w:r>
      <w:r>
        <w:rPr/>
        <w:t>with</w:t>
      </w:r>
      <w:r>
        <w:rPr>
          <w:spacing w:val="-3"/>
        </w:rPr>
        <w:t> </w:t>
      </w:r>
      <w:r>
        <w:rPr/>
        <w:t>derivative</w:t>
      </w:r>
      <w:r>
        <w:rPr>
          <w:spacing w:val="-4"/>
        </w:rPr>
        <w:t> </w:t>
      </w:r>
      <w:r>
        <w:rPr/>
        <w:t>instruments</w:t>
      </w:r>
      <w:r>
        <w:rPr>
          <w:spacing w:val="-4"/>
        </w:rPr>
        <w:t> </w:t>
      </w:r>
      <w:r>
        <w:rPr/>
        <w:t>are</w:t>
      </w:r>
      <w:r>
        <w:rPr>
          <w:spacing w:val="-4"/>
        </w:rPr>
        <w:t> </w:t>
      </w:r>
      <w:r>
        <w:rPr/>
        <w:t>reflected</w:t>
      </w:r>
      <w:r>
        <w:rPr>
          <w:spacing w:val="-3"/>
        </w:rPr>
        <w:t> </w:t>
      </w:r>
      <w:r>
        <w:rPr/>
        <w:t>as</w:t>
      </w:r>
      <w:r>
        <w:rPr>
          <w:spacing w:val="-4"/>
        </w:rPr>
        <w:t> </w:t>
      </w:r>
      <w:r>
        <w:rPr/>
        <w:t>cash</w:t>
      </w:r>
      <w:r>
        <w:rPr>
          <w:spacing w:val="-3"/>
        </w:rPr>
        <w:t> </w:t>
      </w:r>
      <w:r>
        <w:rPr/>
        <w:t>flows</w:t>
      </w:r>
      <w:r>
        <w:rPr>
          <w:spacing w:val="-4"/>
        </w:rPr>
        <w:t> </w:t>
      </w:r>
      <w:r>
        <w:rPr/>
        <w:t>from</w:t>
      </w:r>
      <w:r>
        <w:rPr>
          <w:spacing w:val="-4"/>
        </w:rPr>
        <w:t> </w:t>
      </w:r>
      <w:r>
        <w:rPr/>
        <w:t>operating</w:t>
      </w:r>
      <w:r>
        <w:rPr>
          <w:spacing w:val="-3"/>
        </w:rPr>
        <w:t> </w:t>
      </w:r>
      <w:r>
        <w:rPr/>
        <w:t>activities</w:t>
      </w:r>
      <w:r>
        <w:rPr>
          <w:spacing w:val="-4"/>
        </w:rPr>
        <w:t> </w:t>
      </w:r>
      <w:r>
        <w:rPr/>
        <w:t>in</w:t>
      </w:r>
      <w:r>
        <w:rPr>
          <w:spacing w:val="-3"/>
        </w:rPr>
        <w:t> </w:t>
      </w:r>
      <w:r>
        <w:rPr/>
        <w:t>the</w:t>
      </w:r>
      <w:r>
        <w:rPr>
          <w:spacing w:val="-4"/>
        </w:rPr>
        <w:t> </w:t>
      </w:r>
      <w:r>
        <w:rPr/>
        <w:t>statement</w:t>
      </w:r>
      <w:r>
        <w:rPr>
          <w:spacing w:val="-4"/>
        </w:rPr>
        <w:t> </w:t>
      </w:r>
      <w:r>
        <w:rPr/>
        <w:t>of</w:t>
      </w:r>
      <w:r>
        <w:rPr>
          <w:spacing w:val="-3"/>
        </w:rPr>
        <w:t> </w:t>
      </w:r>
      <w:r>
        <w:rPr/>
        <w:t>cash flows consistent with the treatment and nature of the items being hedged.</w:t>
      </w:r>
    </w:p>
    <w:p>
      <w:pPr>
        <w:spacing w:before="226"/>
        <w:ind w:left="470" w:right="0" w:firstLine="0"/>
        <w:jc w:val="left"/>
        <w:rPr>
          <w:i/>
          <w:sz w:val="20"/>
        </w:rPr>
      </w:pPr>
      <w:r>
        <w:rPr>
          <w:i/>
          <w:sz w:val="20"/>
        </w:rPr>
        <w:t>Adoption</w:t>
      </w:r>
      <w:r>
        <w:rPr>
          <w:i/>
          <w:spacing w:val="-3"/>
          <w:sz w:val="20"/>
        </w:rPr>
        <w:t> </w:t>
      </w:r>
      <w:r>
        <w:rPr>
          <w:i/>
          <w:sz w:val="20"/>
        </w:rPr>
        <w:t>of</w:t>
      </w:r>
      <w:r>
        <w:rPr>
          <w:i/>
          <w:spacing w:val="-3"/>
          <w:sz w:val="20"/>
        </w:rPr>
        <w:t> </w:t>
      </w:r>
      <w:r>
        <w:rPr>
          <w:i/>
          <w:sz w:val="20"/>
        </w:rPr>
        <w:t>New</w:t>
      </w:r>
      <w:r>
        <w:rPr>
          <w:i/>
          <w:spacing w:val="-4"/>
          <w:sz w:val="20"/>
        </w:rPr>
        <w:t> </w:t>
      </w:r>
      <w:r>
        <w:rPr>
          <w:i/>
          <w:sz w:val="20"/>
        </w:rPr>
        <w:t>Accounting</w:t>
      </w:r>
      <w:r>
        <w:rPr>
          <w:i/>
          <w:spacing w:val="-2"/>
          <w:sz w:val="20"/>
        </w:rPr>
        <w:t> Standards</w:t>
      </w:r>
    </w:p>
    <w:p>
      <w:pPr>
        <w:pStyle w:val="BodyText"/>
        <w:spacing w:before="46" w:after="1"/>
        <w:rPr>
          <w:i/>
        </w:rPr>
      </w:pPr>
    </w:p>
    <w:tbl>
      <w:tblPr>
        <w:tblW w:w="0" w:type="auto"/>
        <w:jc w:val="left"/>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5685"/>
        <w:gridCol w:w="900"/>
        <w:gridCol w:w="2055"/>
      </w:tblGrid>
      <w:tr>
        <w:trPr>
          <w:trHeight w:val="665" w:hRule="atLeast"/>
        </w:trPr>
        <w:tc>
          <w:tcPr>
            <w:tcW w:w="1620" w:type="dxa"/>
          </w:tcPr>
          <w:p>
            <w:pPr>
              <w:pStyle w:val="TableParagraph"/>
              <w:spacing w:before="10"/>
              <w:rPr>
                <w:i/>
                <w:sz w:val="18"/>
              </w:rPr>
            </w:pPr>
          </w:p>
          <w:p>
            <w:pPr>
              <w:pStyle w:val="TableParagraph"/>
              <w:ind w:left="52"/>
              <w:rPr>
                <w:b/>
                <w:sz w:val="18"/>
              </w:rPr>
            </w:pPr>
            <w:r>
              <w:rPr>
                <w:b/>
                <w:spacing w:val="-2"/>
                <w:sz w:val="18"/>
              </w:rPr>
              <w:t>Standard</w:t>
            </w:r>
          </w:p>
        </w:tc>
        <w:tc>
          <w:tcPr>
            <w:tcW w:w="5685" w:type="dxa"/>
          </w:tcPr>
          <w:p>
            <w:pPr>
              <w:pStyle w:val="TableParagraph"/>
              <w:spacing w:before="10"/>
              <w:rPr>
                <w:i/>
                <w:sz w:val="18"/>
              </w:rPr>
            </w:pPr>
          </w:p>
          <w:p>
            <w:pPr>
              <w:pStyle w:val="TableParagraph"/>
              <w:ind w:left="52"/>
              <w:rPr>
                <w:b/>
                <w:sz w:val="18"/>
              </w:rPr>
            </w:pPr>
            <w:r>
              <w:rPr>
                <w:b/>
                <w:spacing w:val="-2"/>
                <w:sz w:val="18"/>
              </w:rPr>
              <w:t>Description</w:t>
            </w:r>
          </w:p>
        </w:tc>
        <w:tc>
          <w:tcPr>
            <w:tcW w:w="900" w:type="dxa"/>
          </w:tcPr>
          <w:p>
            <w:pPr>
              <w:pStyle w:val="TableParagraph"/>
              <w:spacing w:line="208" w:lineRule="auto" w:before="149"/>
              <w:ind w:left="52" w:right="113"/>
              <w:rPr>
                <w:b/>
                <w:sz w:val="18"/>
              </w:rPr>
            </w:pPr>
            <w:r>
              <w:rPr>
                <w:b/>
                <w:sz w:val="18"/>
              </w:rPr>
              <w:t>Date of </w:t>
            </w:r>
            <w:r>
              <w:rPr>
                <w:b/>
                <w:spacing w:val="-2"/>
                <w:sz w:val="18"/>
              </w:rPr>
              <w:t>Adoption</w:t>
            </w:r>
          </w:p>
        </w:tc>
        <w:tc>
          <w:tcPr>
            <w:tcW w:w="2055" w:type="dxa"/>
          </w:tcPr>
          <w:p>
            <w:pPr>
              <w:pStyle w:val="TableParagraph"/>
              <w:spacing w:line="208" w:lineRule="auto" w:before="59"/>
              <w:ind w:left="52"/>
              <w:rPr>
                <w:b/>
                <w:sz w:val="18"/>
              </w:rPr>
            </w:pPr>
            <w:r>
              <w:rPr>
                <w:b/>
                <w:sz w:val="18"/>
              </w:rPr>
              <w:t>Effects</w:t>
            </w:r>
            <w:r>
              <w:rPr>
                <w:b/>
                <w:spacing w:val="-12"/>
                <w:sz w:val="18"/>
              </w:rPr>
              <w:t> </w:t>
            </w:r>
            <w:r>
              <w:rPr>
                <w:b/>
                <w:sz w:val="18"/>
              </w:rPr>
              <w:t>on</w:t>
            </w:r>
            <w:r>
              <w:rPr>
                <w:b/>
                <w:spacing w:val="-11"/>
                <w:sz w:val="18"/>
              </w:rPr>
              <w:t> </w:t>
            </w:r>
            <w:r>
              <w:rPr>
                <w:b/>
                <w:sz w:val="18"/>
              </w:rPr>
              <w:t>the</w:t>
            </w:r>
            <w:r>
              <w:rPr>
                <w:b/>
                <w:spacing w:val="-11"/>
                <w:sz w:val="18"/>
              </w:rPr>
              <w:t> </w:t>
            </w:r>
            <w:r>
              <w:rPr>
                <w:b/>
                <w:sz w:val="18"/>
              </w:rPr>
              <w:t>Financial Statements or Other Significant Matters</w:t>
            </w:r>
          </w:p>
        </w:tc>
      </w:tr>
      <w:tr>
        <w:trPr>
          <w:trHeight w:val="2631" w:hRule="atLeast"/>
        </w:trPr>
        <w:tc>
          <w:tcPr>
            <w:tcW w:w="1620" w:type="dxa"/>
            <w:tcBorders>
              <w:bottom w:val="nil"/>
            </w:tcBorders>
          </w:tcPr>
          <w:p>
            <w:pPr>
              <w:pStyle w:val="TableParagraph"/>
              <w:spacing w:line="208" w:lineRule="auto" w:before="26"/>
              <w:ind w:left="52" w:right="275"/>
              <w:rPr>
                <w:sz w:val="18"/>
              </w:rPr>
            </w:pPr>
            <w:r>
              <w:rPr>
                <w:spacing w:val="-2"/>
                <w:sz w:val="18"/>
              </w:rPr>
              <w:t>Accounting </w:t>
            </w:r>
            <w:r>
              <w:rPr>
                <w:sz w:val="18"/>
              </w:rPr>
              <w:t>Standards</w:t>
            </w:r>
            <w:r>
              <w:rPr>
                <w:spacing w:val="-12"/>
                <w:sz w:val="18"/>
              </w:rPr>
              <w:t> </w:t>
            </w:r>
            <w:r>
              <w:rPr>
                <w:sz w:val="18"/>
              </w:rPr>
              <w:t>Update (ASU) 2022-02,</w:t>
            </w:r>
          </w:p>
          <w:p>
            <w:pPr>
              <w:pStyle w:val="TableParagraph"/>
              <w:spacing w:line="208" w:lineRule="auto"/>
              <w:ind w:left="52" w:right="86"/>
              <w:rPr>
                <w:sz w:val="18"/>
              </w:rPr>
            </w:pPr>
            <w:r>
              <w:rPr>
                <w:spacing w:val="-2"/>
                <w:sz w:val="18"/>
              </w:rPr>
              <w:t>“Financial Instruments—Credit </w:t>
            </w:r>
            <w:r>
              <w:rPr>
                <w:sz w:val="18"/>
              </w:rPr>
              <w:t>Losses (Topic 326): Troubled Debt Restructurings and </w:t>
            </w:r>
            <w:r>
              <w:rPr>
                <w:spacing w:val="-2"/>
                <w:sz w:val="18"/>
              </w:rPr>
              <w:t>Vintage</w:t>
            </w:r>
            <w:r>
              <w:rPr>
                <w:spacing w:val="40"/>
                <w:sz w:val="18"/>
              </w:rPr>
              <w:t> </w:t>
            </w:r>
            <w:r>
              <w:rPr>
                <w:spacing w:val="-2"/>
                <w:sz w:val="18"/>
              </w:rPr>
              <w:t>Disclosures”</w:t>
            </w:r>
          </w:p>
        </w:tc>
        <w:tc>
          <w:tcPr>
            <w:tcW w:w="5685" w:type="dxa"/>
            <w:tcBorders>
              <w:bottom w:val="nil"/>
            </w:tcBorders>
          </w:tcPr>
          <w:p>
            <w:pPr>
              <w:pStyle w:val="TableParagraph"/>
              <w:spacing w:line="195" w:lineRule="exact" w:before="1"/>
              <w:ind w:left="52"/>
              <w:rPr>
                <w:b/>
                <w:i/>
                <w:sz w:val="18"/>
              </w:rPr>
            </w:pPr>
            <w:r>
              <w:rPr>
                <w:b/>
                <w:i/>
                <w:sz w:val="18"/>
              </w:rPr>
              <w:t>Troubled</w:t>
            </w:r>
            <w:r>
              <w:rPr>
                <w:b/>
                <w:i/>
                <w:spacing w:val="-4"/>
                <w:sz w:val="18"/>
              </w:rPr>
              <w:t> </w:t>
            </w:r>
            <w:r>
              <w:rPr>
                <w:b/>
                <w:i/>
                <w:sz w:val="18"/>
              </w:rPr>
              <w:t>Debt</w:t>
            </w:r>
            <w:r>
              <w:rPr>
                <w:b/>
                <w:i/>
                <w:spacing w:val="-3"/>
                <w:sz w:val="18"/>
              </w:rPr>
              <w:t> </w:t>
            </w:r>
            <w:r>
              <w:rPr>
                <w:b/>
                <w:i/>
                <w:sz w:val="18"/>
              </w:rPr>
              <w:t>Restructurings</w:t>
            </w:r>
            <w:r>
              <w:rPr>
                <w:b/>
                <w:i/>
                <w:spacing w:val="-3"/>
                <w:sz w:val="18"/>
              </w:rPr>
              <w:t> </w:t>
            </w:r>
            <w:r>
              <w:rPr>
                <w:b/>
                <w:i/>
                <w:spacing w:val="-2"/>
                <w:sz w:val="18"/>
              </w:rPr>
              <w:t>(TDRs)</w:t>
            </w:r>
          </w:p>
          <w:p>
            <w:pPr>
              <w:pStyle w:val="TableParagraph"/>
              <w:spacing w:line="208" w:lineRule="auto" w:before="10"/>
              <w:ind w:left="52" w:right="40"/>
              <w:rPr>
                <w:sz w:val="18"/>
              </w:rPr>
            </w:pPr>
            <w:r>
              <w:rPr>
                <w:sz w:val="18"/>
              </w:rPr>
              <w:t>Eliminates the accounting guidance for TDRs. Rather than applying the specific guidance for TDRs, creditors will apply the recognition and measurement guidance for loan refinancings and restructurings to determine whether a modification results in a new loan or a continuation of an existing loan. The guidance requires enhanced disclosures for certain loan refinancings</w:t>
            </w:r>
            <w:r>
              <w:rPr>
                <w:spacing w:val="-5"/>
                <w:sz w:val="18"/>
              </w:rPr>
              <w:t> </w:t>
            </w:r>
            <w:r>
              <w:rPr>
                <w:sz w:val="18"/>
              </w:rPr>
              <w:t>and</w:t>
            </w:r>
            <w:r>
              <w:rPr>
                <w:spacing w:val="-4"/>
                <w:sz w:val="18"/>
              </w:rPr>
              <w:t> </w:t>
            </w:r>
            <w:r>
              <w:rPr>
                <w:sz w:val="18"/>
              </w:rPr>
              <w:t>restructurings</w:t>
            </w:r>
            <w:r>
              <w:rPr>
                <w:spacing w:val="-5"/>
                <w:sz w:val="18"/>
              </w:rPr>
              <w:t> </w:t>
            </w:r>
            <w:r>
              <w:rPr>
                <w:sz w:val="18"/>
              </w:rPr>
              <w:t>by</w:t>
            </w:r>
            <w:r>
              <w:rPr>
                <w:spacing w:val="-4"/>
                <w:sz w:val="18"/>
              </w:rPr>
              <w:t> </w:t>
            </w:r>
            <w:r>
              <w:rPr>
                <w:sz w:val="18"/>
              </w:rPr>
              <w:t>creditors</w:t>
            </w:r>
            <w:r>
              <w:rPr>
                <w:spacing w:val="-5"/>
                <w:sz w:val="18"/>
              </w:rPr>
              <w:t> </w:t>
            </w:r>
            <w:r>
              <w:rPr>
                <w:sz w:val="18"/>
              </w:rPr>
              <w:t>when</w:t>
            </w:r>
            <w:r>
              <w:rPr>
                <w:spacing w:val="-4"/>
                <w:sz w:val="18"/>
              </w:rPr>
              <w:t> </w:t>
            </w:r>
            <w:r>
              <w:rPr>
                <w:sz w:val="18"/>
              </w:rPr>
              <w:t>a</w:t>
            </w:r>
            <w:r>
              <w:rPr>
                <w:spacing w:val="-4"/>
                <w:sz w:val="18"/>
              </w:rPr>
              <w:t> </w:t>
            </w:r>
            <w:r>
              <w:rPr>
                <w:sz w:val="18"/>
              </w:rPr>
              <w:t>borrower</w:t>
            </w:r>
            <w:r>
              <w:rPr>
                <w:spacing w:val="-4"/>
                <w:sz w:val="18"/>
              </w:rPr>
              <w:t> </w:t>
            </w:r>
            <w:r>
              <w:rPr>
                <w:sz w:val="18"/>
              </w:rPr>
              <w:t>is</w:t>
            </w:r>
            <w:r>
              <w:rPr>
                <w:spacing w:val="-5"/>
                <w:sz w:val="18"/>
              </w:rPr>
              <w:t> </w:t>
            </w:r>
            <w:r>
              <w:rPr>
                <w:sz w:val="18"/>
              </w:rPr>
              <w:t>experiencing financial difficulty.</w:t>
            </w:r>
          </w:p>
          <w:p>
            <w:pPr>
              <w:pStyle w:val="TableParagraph"/>
              <w:spacing w:line="195" w:lineRule="exact" w:before="155"/>
              <w:ind w:left="52"/>
              <w:rPr>
                <w:b/>
                <w:i/>
                <w:sz w:val="18"/>
              </w:rPr>
            </w:pPr>
            <w:r>
              <w:rPr>
                <w:b/>
                <w:i/>
                <w:sz w:val="18"/>
              </w:rPr>
              <w:t>Vintage</w:t>
            </w:r>
            <w:r>
              <w:rPr>
                <w:b/>
                <w:i/>
                <w:spacing w:val="-1"/>
                <w:sz w:val="18"/>
              </w:rPr>
              <w:t> </w:t>
            </w:r>
            <w:r>
              <w:rPr>
                <w:b/>
                <w:i/>
                <w:spacing w:val="-2"/>
                <w:sz w:val="18"/>
              </w:rPr>
              <w:t>Disclosures</w:t>
            </w:r>
          </w:p>
          <w:p>
            <w:pPr>
              <w:pStyle w:val="TableParagraph"/>
              <w:spacing w:line="208" w:lineRule="auto" w:before="9"/>
              <w:ind w:left="52" w:right="40"/>
              <w:rPr>
                <w:sz w:val="18"/>
              </w:rPr>
            </w:pPr>
            <w:r>
              <w:rPr>
                <w:sz w:val="18"/>
              </w:rPr>
              <w:t>Requires that an entity disclose current-period gross writeoffs by year of origination</w:t>
            </w:r>
            <w:r>
              <w:rPr>
                <w:spacing w:val="-1"/>
                <w:sz w:val="18"/>
              </w:rPr>
              <w:t> </w:t>
            </w:r>
            <w:r>
              <w:rPr>
                <w:sz w:val="18"/>
              </w:rPr>
              <w:t>for</w:t>
            </w:r>
            <w:r>
              <w:rPr>
                <w:spacing w:val="-1"/>
                <w:sz w:val="18"/>
              </w:rPr>
              <w:t> </w:t>
            </w:r>
            <w:r>
              <w:rPr>
                <w:sz w:val="18"/>
              </w:rPr>
              <w:t>financing</w:t>
            </w:r>
            <w:r>
              <w:rPr>
                <w:spacing w:val="-1"/>
                <w:sz w:val="18"/>
              </w:rPr>
              <w:t> </w:t>
            </w:r>
            <w:r>
              <w:rPr>
                <w:sz w:val="18"/>
              </w:rPr>
              <w:t>receivables</w:t>
            </w:r>
            <w:r>
              <w:rPr>
                <w:spacing w:val="-2"/>
                <w:sz w:val="18"/>
              </w:rPr>
              <w:t> </w:t>
            </w:r>
            <w:r>
              <w:rPr>
                <w:sz w:val="18"/>
              </w:rPr>
              <w:t>and</w:t>
            </w:r>
            <w:r>
              <w:rPr>
                <w:spacing w:val="-1"/>
                <w:sz w:val="18"/>
              </w:rPr>
              <w:t> </w:t>
            </w:r>
            <w:r>
              <w:rPr>
                <w:sz w:val="18"/>
              </w:rPr>
              <w:t>net</w:t>
            </w:r>
            <w:r>
              <w:rPr>
                <w:spacing w:val="-1"/>
                <w:sz w:val="18"/>
              </w:rPr>
              <w:t> </w:t>
            </w:r>
            <w:r>
              <w:rPr>
                <w:sz w:val="18"/>
              </w:rPr>
              <w:t>investments</w:t>
            </w:r>
            <w:r>
              <w:rPr>
                <w:spacing w:val="-2"/>
                <w:sz w:val="18"/>
              </w:rPr>
              <w:t> </w:t>
            </w:r>
            <w:r>
              <w:rPr>
                <w:sz w:val="18"/>
              </w:rPr>
              <w:t>in</w:t>
            </w:r>
            <w:r>
              <w:rPr>
                <w:spacing w:val="-1"/>
                <w:sz w:val="18"/>
              </w:rPr>
              <w:t> </w:t>
            </w:r>
            <w:r>
              <w:rPr>
                <w:sz w:val="18"/>
              </w:rPr>
              <w:t>leases</w:t>
            </w:r>
            <w:r>
              <w:rPr>
                <w:spacing w:val="-2"/>
                <w:sz w:val="18"/>
              </w:rPr>
              <w:t> </w:t>
            </w:r>
            <w:r>
              <w:rPr>
                <w:sz w:val="18"/>
              </w:rPr>
              <w:t>within</w:t>
            </w:r>
            <w:r>
              <w:rPr>
                <w:spacing w:val="-1"/>
                <w:sz w:val="18"/>
              </w:rPr>
              <w:t> </w:t>
            </w:r>
            <w:r>
              <w:rPr>
                <w:sz w:val="18"/>
              </w:rPr>
              <w:t>the scope</w:t>
            </w:r>
            <w:r>
              <w:rPr>
                <w:spacing w:val="-7"/>
                <w:sz w:val="18"/>
              </w:rPr>
              <w:t> </w:t>
            </w:r>
            <w:r>
              <w:rPr>
                <w:sz w:val="18"/>
              </w:rPr>
              <w:t>of</w:t>
            </w:r>
            <w:r>
              <w:rPr>
                <w:spacing w:val="-7"/>
                <w:sz w:val="18"/>
              </w:rPr>
              <w:t> </w:t>
            </w:r>
            <w:r>
              <w:rPr>
                <w:sz w:val="18"/>
              </w:rPr>
              <w:t>Subtopic</w:t>
            </w:r>
            <w:r>
              <w:rPr>
                <w:spacing w:val="-7"/>
                <w:sz w:val="18"/>
              </w:rPr>
              <w:t> </w:t>
            </w:r>
            <w:r>
              <w:rPr>
                <w:sz w:val="18"/>
              </w:rPr>
              <w:t>326-20,</w:t>
            </w:r>
            <w:r>
              <w:rPr>
                <w:spacing w:val="-7"/>
                <w:sz w:val="18"/>
              </w:rPr>
              <w:t> </w:t>
            </w:r>
            <w:r>
              <w:rPr>
                <w:sz w:val="18"/>
              </w:rPr>
              <w:t>Financial</w:t>
            </w:r>
            <w:r>
              <w:rPr>
                <w:spacing w:val="-7"/>
                <w:sz w:val="18"/>
              </w:rPr>
              <w:t> </w:t>
            </w:r>
            <w:r>
              <w:rPr>
                <w:sz w:val="18"/>
              </w:rPr>
              <w:t>Instruments—Credit</w:t>
            </w:r>
            <w:r>
              <w:rPr>
                <w:spacing w:val="-7"/>
                <w:sz w:val="18"/>
              </w:rPr>
              <w:t> </w:t>
            </w:r>
            <w:r>
              <w:rPr>
                <w:sz w:val="18"/>
              </w:rPr>
              <w:t>Losses—Measured at Amortized Cost.</w:t>
            </w:r>
          </w:p>
        </w:tc>
        <w:tc>
          <w:tcPr>
            <w:tcW w:w="900" w:type="dxa"/>
            <w:tcBorders>
              <w:bottom w:val="nil"/>
            </w:tcBorders>
          </w:tcPr>
          <w:p>
            <w:pPr>
              <w:pStyle w:val="TableParagraph"/>
              <w:spacing w:line="193" w:lineRule="exact" w:before="4"/>
              <w:ind w:left="52"/>
              <w:rPr>
                <w:sz w:val="18"/>
              </w:rPr>
            </w:pPr>
            <w:r>
              <w:rPr>
                <w:sz w:val="18"/>
              </w:rPr>
              <w:t>January</w:t>
            </w:r>
            <w:r>
              <w:rPr>
                <w:spacing w:val="-1"/>
                <w:sz w:val="18"/>
              </w:rPr>
              <w:t> </w:t>
            </w:r>
            <w:r>
              <w:rPr>
                <w:spacing w:val="-5"/>
                <w:sz w:val="18"/>
              </w:rPr>
              <w:t>1,</w:t>
            </w:r>
          </w:p>
          <w:p>
            <w:pPr>
              <w:pStyle w:val="TableParagraph"/>
              <w:spacing w:line="193" w:lineRule="exact"/>
              <w:ind w:left="52"/>
              <w:rPr>
                <w:sz w:val="18"/>
              </w:rPr>
            </w:pPr>
            <w:r>
              <w:rPr>
                <w:spacing w:val="-4"/>
                <w:sz w:val="18"/>
              </w:rPr>
              <w:t>2023</w:t>
            </w:r>
          </w:p>
        </w:tc>
        <w:tc>
          <w:tcPr>
            <w:tcW w:w="2055" w:type="dxa"/>
            <w:tcBorders>
              <w:bottom w:val="nil"/>
            </w:tcBorders>
          </w:tcPr>
          <w:p>
            <w:pPr>
              <w:pStyle w:val="TableParagraph"/>
              <w:spacing w:line="208" w:lineRule="auto" w:before="26"/>
              <w:ind w:left="52"/>
              <w:rPr>
                <w:sz w:val="18"/>
              </w:rPr>
            </w:pPr>
            <w:r>
              <w:rPr>
                <w:sz w:val="18"/>
              </w:rPr>
              <w:t>The</w:t>
            </w:r>
            <w:r>
              <w:rPr>
                <w:spacing w:val="-12"/>
                <w:sz w:val="18"/>
              </w:rPr>
              <w:t> </w:t>
            </w:r>
            <w:r>
              <w:rPr>
                <w:sz w:val="18"/>
              </w:rPr>
              <w:t>Company</w:t>
            </w:r>
            <w:r>
              <w:rPr>
                <w:spacing w:val="-11"/>
                <w:sz w:val="18"/>
              </w:rPr>
              <w:t> </w:t>
            </w:r>
            <w:r>
              <w:rPr>
                <w:sz w:val="18"/>
              </w:rPr>
              <w:t>adopted</w:t>
            </w:r>
            <w:r>
              <w:rPr>
                <w:spacing w:val="-11"/>
                <w:sz w:val="18"/>
              </w:rPr>
              <w:t> </w:t>
            </w:r>
            <w:r>
              <w:rPr>
                <w:sz w:val="18"/>
              </w:rPr>
              <w:t>this guidance on January 1, 2023</w:t>
            </w:r>
            <w:r>
              <w:rPr>
                <w:spacing w:val="-9"/>
                <w:sz w:val="18"/>
              </w:rPr>
              <w:t> </w:t>
            </w:r>
            <w:r>
              <w:rPr>
                <w:sz w:val="18"/>
              </w:rPr>
              <w:t>using</w:t>
            </w:r>
            <w:r>
              <w:rPr>
                <w:spacing w:val="-9"/>
                <w:sz w:val="18"/>
              </w:rPr>
              <w:t> </w:t>
            </w:r>
            <w:r>
              <w:rPr>
                <w:sz w:val="18"/>
              </w:rPr>
              <w:t>the</w:t>
            </w:r>
            <w:r>
              <w:rPr>
                <w:spacing w:val="-9"/>
                <w:sz w:val="18"/>
              </w:rPr>
              <w:t> </w:t>
            </w:r>
            <w:r>
              <w:rPr>
                <w:sz w:val="18"/>
              </w:rPr>
              <w:t>prospective transition method. The adoption of this guidance did not have a material impact on the Company’s financial statements.</w:t>
            </w:r>
          </w:p>
        </w:tc>
      </w:tr>
      <w:tr>
        <w:trPr>
          <w:trHeight w:val="853" w:hRule="atLeast"/>
        </w:trPr>
        <w:tc>
          <w:tcPr>
            <w:tcW w:w="1620" w:type="dxa"/>
            <w:tcBorders>
              <w:top w:val="nil"/>
            </w:tcBorders>
          </w:tcPr>
          <w:p>
            <w:pPr>
              <w:pStyle w:val="TableParagraph"/>
              <w:rPr>
                <w:sz w:val="18"/>
              </w:rPr>
            </w:pPr>
          </w:p>
        </w:tc>
        <w:tc>
          <w:tcPr>
            <w:tcW w:w="5685" w:type="dxa"/>
            <w:tcBorders>
              <w:top w:val="nil"/>
            </w:tcBorders>
          </w:tcPr>
          <w:p>
            <w:pPr>
              <w:pStyle w:val="TableParagraph"/>
              <w:spacing w:line="208" w:lineRule="auto" w:before="94"/>
              <w:ind w:left="52" w:right="256"/>
              <w:jc w:val="both"/>
              <w:rPr>
                <w:sz w:val="18"/>
              </w:rPr>
            </w:pPr>
            <w:r>
              <w:rPr>
                <w:sz w:val="18"/>
              </w:rPr>
              <w:t>Adoption</w:t>
            </w:r>
            <w:r>
              <w:rPr>
                <w:spacing w:val="-2"/>
                <w:sz w:val="18"/>
              </w:rPr>
              <w:t> </w:t>
            </w:r>
            <w:r>
              <w:rPr>
                <w:sz w:val="18"/>
              </w:rPr>
              <w:t>provides</w:t>
            </w:r>
            <w:r>
              <w:rPr>
                <w:spacing w:val="-3"/>
                <w:sz w:val="18"/>
              </w:rPr>
              <w:t> </w:t>
            </w:r>
            <w:r>
              <w:rPr>
                <w:sz w:val="18"/>
              </w:rPr>
              <w:t>for</w:t>
            </w:r>
            <w:r>
              <w:rPr>
                <w:spacing w:val="-2"/>
                <w:sz w:val="18"/>
              </w:rPr>
              <w:t> </w:t>
            </w:r>
            <w:r>
              <w:rPr>
                <w:sz w:val="18"/>
              </w:rPr>
              <w:t>prospective</w:t>
            </w:r>
            <w:r>
              <w:rPr>
                <w:spacing w:val="-2"/>
                <w:sz w:val="18"/>
              </w:rPr>
              <w:t> </w:t>
            </w:r>
            <w:r>
              <w:rPr>
                <w:sz w:val="18"/>
              </w:rPr>
              <w:t>application,</w:t>
            </w:r>
            <w:r>
              <w:rPr>
                <w:spacing w:val="-2"/>
                <w:sz w:val="18"/>
              </w:rPr>
              <w:t> </w:t>
            </w:r>
            <w:r>
              <w:rPr>
                <w:sz w:val="18"/>
              </w:rPr>
              <w:t>with</w:t>
            </w:r>
            <w:r>
              <w:rPr>
                <w:spacing w:val="-2"/>
                <w:sz w:val="18"/>
              </w:rPr>
              <w:t> </w:t>
            </w:r>
            <w:r>
              <w:rPr>
                <w:sz w:val="18"/>
              </w:rPr>
              <w:t>an</w:t>
            </w:r>
            <w:r>
              <w:rPr>
                <w:spacing w:val="-2"/>
                <w:sz w:val="18"/>
              </w:rPr>
              <w:t> </w:t>
            </w:r>
            <w:r>
              <w:rPr>
                <w:sz w:val="18"/>
              </w:rPr>
              <w:t>option</w:t>
            </w:r>
            <w:r>
              <w:rPr>
                <w:spacing w:val="-2"/>
                <w:sz w:val="18"/>
              </w:rPr>
              <w:t> </w:t>
            </w:r>
            <w:r>
              <w:rPr>
                <w:sz w:val="18"/>
              </w:rPr>
              <w:t>to</w:t>
            </w:r>
            <w:r>
              <w:rPr>
                <w:spacing w:val="-2"/>
                <w:sz w:val="18"/>
              </w:rPr>
              <w:t> </w:t>
            </w:r>
            <w:r>
              <w:rPr>
                <w:sz w:val="18"/>
              </w:rPr>
              <w:t>apply</w:t>
            </w:r>
            <w:r>
              <w:rPr>
                <w:spacing w:val="-2"/>
                <w:sz w:val="18"/>
              </w:rPr>
              <w:t> </w:t>
            </w:r>
            <w:r>
              <w:rPr>
                <w:sz w:val="18"/>
              </w:rPr>
              <w:t>the modified</w:t>
            </w:r>
            <w:r>
              <w:rPr>
                <w:spacing w:val="-5"/>
                <w:sz w:val="18"/>
              </w:rPr>
              <w:t> </w:t>
            </w:r>
            <w:r>
              <w:rPr>
                <w:sz w:val="18"/>
              </w:rPr>
              <w:t>retrospective</w:t>
            </w:r>
            <w:r>
              <w:rPr>
                <w:spacing w:val="-5"/>
                <w:sz w:val="18"/>
              </w:rPr>
              <w:t> </w:t>
            </w:r>
            <w:r>
              <w:rPr>
                <w:sz w:val="18"/>
              </w:rPr>
              <w:t>transition</w:t>
            </w:r>
            <w:r>
              <w:rPr>
                <w:spacing w:val="-5"/>
                <w:sz w:val="18"/>
              </w:rPr>
              <w:t> </w:t>
            </w:r>
            <w:r>
              <w:rPr>
                <w:sz w:val="18"/>
              </w:rPr>
              <w:t>method</w:t>
            </w:r>
            <w:r>
              <w:rPr>
                <w:spacing w:val="-5"/>
                <w:sz w:val="18"/>
              </w:rPr>
              <w:t> </w:t>
            </w:r>
            <w:r>
              <w:rPr>
                <w:sz w:val="18"/>
              </w:rPr>
              <w:t>for</w:t>
            </w:r>
            <w:r>
              <w:rPr>
                <w:spacing w:val="-5"/>
                <w:sz w:val="18"/>
              </w:rPr>
              <w:t> </w:t>
            </w:r>
            <w:r>
              <w:rPr>
                <w:sz w:val="18"/>
              </w:rPr>
              <w:t>the</w:t>
            </w:r>
            <w:r>
              <w:rPr>
                <w:spacing w:val="-5"/>
                <w:sz w:val="18"/>
              </w:rPr>
              <w:t> </w:t>
            </w:r>
            <w:r>
              <w:rPr>
                <w:sz w:val="18"/>
              </w:rPr>
              <w:t>change</w:t>
            </w:r>
            <w:r>
              <w:rPr>
                <w:spacing w:val="-5"/>
                <w:sz w:val="18"/>
              </w:rPr>
              <w:t> </w:t>
            </w:r>
            <w:r>
              <w:rPr>
                <w:sz w:val="18"/>
              </w:rPr>
              <w:t>in</w:t>
            </w:r>
            <w:r>
              <w:rPr>
                <w:spacing w:val="-5"/>
                <w:sz w:val="18"/>
              </w:rPr>
              <w:t> </w:t>
            </w:r>
            <w:r>
              <w:rPr>
                <w:sz w:val="18"/>
              </w:rPr>
              <w:t>recognition</w:t>
            </w:r>
            <w:r>
              <w:rPr>
                <w:spacing w:val="-5"/>
                <w:sz w:val="18"/>
              </w:rPr>
              <w:t> </w:t>
            </w:r>
            <w:r>
              <w:rPr>
                <w:sz w:val="18"/>
              </w:rPr>
              <w:t>and measurement of TDRs.</w:t>
            </w:r>
          </w:p>
        </w:tc>
        <w:tc>
          <w:tcPr>
            <w:tcW w:w="900" w:type="dxa"/>
            <w:tcBorders>
              <w:top w:val="nil"/>
            </w:tcBorders>
          </w:tcPr>
          <w:p>
            <w:pPr>
              <w:pStyle w:val="TableParagraph"/>
              <w:rPr>
                <w:sz w:val="18"/>
              </w:rPr>
            </w:pPr>
          </w:p>
        </w:tc>
        <w:tc>
          <w:tcPr>
            <w:tcW w:w="2055" w:type="dxa"/>
            <w:tcBorders>
              <w:top w:val="nil"/>
            </w:tcBorders>
          </w:tcPr>
          <w:p>
            <w:pPr>
              <w:pStyle w:val="TableParagraph"/>
              <w:rPr>
                <w:sz w:val="18"/>
              </w:rPr>
            </w:pPr>
          </w:p>
        </w:tc>
      </w:tr>
    </w:tbl>
    <w:p>
      <w:pPr>
        <w:pStyle w:val="BodyText"/>
        <w:spacing w:before="38"/>
        <w:rPr>
          <w:i/>
        </w:rPr>
      </w:pPr>
    </w:p>
    <w:p>
      <w:pPr>
        <w:spacing w:before="0"/>
        <w:ind w:left="470" w:right="0" w:firstLine="0"/>
        <w:jc w:val="left"/>
        <w:rPr>
          <w:i/>
          <w:sz w:val="20"/>
        </w:rPr>
      </w:pPr>
      <w:r>
        <w:rPr>
          <w:i/>
          <w:sz w:val="20"/>
        </w:rPr>
        <w:t>New</w:t>
      </w:r>
      <w:r>
        <w:rPr>
          <w:i/>
          <w:spacing w:val="-4"/>
          <w:sz w:val="20"/>
        </w:rPr>
        <w:t> </w:t>
      </w:r>
      <w:r>
        <w:rPr>
          <w:i/>
          <w:sz w:val="20"/>
        </w:rPr>
        <w:t>Accounting</w:t>
      </w:r>
      <w:r>
        <w:rPr>
          <w:i/>
          <w:spacing w:val="-2"/>
          <w:sz w:val="20"/>
        </w:rPr>
        <w:t> </w:t>
      </w:r>
      <w:r>
        <w:rPr>
          <w:i/>
          <w:sz w:val="20"/>
        </w:rPr>
        <w:t>Standards</w:t>
      </w:r>
      <w:r>
        <w:rPr>
          <w:i/>
          <w:spacing w:val="-4"/>
          <w:sz w:val="20"/>
        </w:rPr>
        <w:t> </w:t>
      </w:r>
      <w:r>
        <w:rPr>
          <w:i/>
          <w:sz w:val="20"/>
        </w:rPr>
        <w:t>Not</w:t>
      </w:r>
      <w:r>
        <w:rPr>
          <w:i/>
          <w:spacing w:val="-3"/>
          <w:sz w:val="20"/>
        </w:rPr>
        <w:t> </w:t>
      </w:r>
      <w:r>
        <w:rPr>
          <w:i/>
          <w:sz w:val="20"/>
        </w:rPr>
        <w:t>Yet</w:t>
      </w:r>
      <w:r>
        <w:rPr>
          <w:i/>
          <w:spacing w:val="-3"/>
          <w:sz w:val="20"/>
        </w:rPr>
        <w:t> </w:t>
      </w:r>
      <w:r>
        <w:rPr>
          <w:i/>
          <w:spacing w:val="-2"/>
          <w:sz w:val="20"/>
        </w:rPr>
        <w:t>Adopted</w:t>
      </w:r>
    </w:p>
    <w:p>
      <w:pPr>
        <w:pStyle w:val="BodyText"/>
        <w:spacing w:before="19"/>
        <w:rPr>
          <w:i/>
        </w:rPr>
      </w:pPr>
    </w:p>
    <w:p>
      <w:pPr>
        <w:pStyle w:val="BodyText"/>
        <w:spacing w:before="1"/>
        <w:ind w:left="470"/>
      </w:pPr>
      <w:r>
        <w:rPr/>
        <w:t>There</w:t>
      </w:r>
      <w:r>
        <w:rPr>
          <w:spacing w:val="-6"/>
        </w:rPr>
        <w:t> </w:t>
      </w:r>
      <w:r>
        <w:rPr/>
        <w:t>are</w:t>
      </w:r>
      <w:r>
        <w:rPr>
          <w:spacing w:val="-3"/>
        </w:rPr>
        <w:t> </w:t>
      </w:r>
      <w:r>
        <w:rPr/>
        <w:t>currently</w:t>
      </w:r>
      <w:r>
        <w:rPr>
          <w:spacing w:val="-2"/>
        </w:rPr>
        <w:t> </w:t>
      </w:r>
      <w:r>
        <w:rPr/>
        <w:t>no</w:t>
      </w:r>
      <w:r>
        <w:rPr>
          <w:spacing w:val="-2"/>
        </w:rPr>
        <w:t> </w:t>
      </w:r>
      <w:r>
        <w:rPr/>
        <w:t>new</w:t>
      </w:r>
      <w:r>
        <w:rPr>
          <w:spacing w:val="-3"/>
        </w:rPr>
        <w:t> </w:t>
      </w:r>
      <w:r>
        <w:rPr/>
        <w:t>accounting</w:t>
      </w:r>
      <w:r>
        <w:rPr>
          <w:spacing w:val="-2"/>
        </w:rPr>
        <w:t> </w:t>
      </w:r>
      <w:r>
        <w:rPr/>
        <w:t>standards</w:t>
      </w:r>
      <w:r>
        <w:rPr>
          <w:spacing w:val="-3"/>
        </w:rPr>
        <w:t> </w:t>
      </w:r>
      <w:r>
        <w:rPr/>
        <w:t>not</w:t>
      </w:r>
      <w:r>
        <w:rPr>
          <w:spacing w:val="-4"/>
        </w:rPr>
        <w:t> </w:t>
      </w:r>
      <w:r>
        <w:rPr/>
        <w:t>yet</w:t>
      </w:r>
      <w:r>
        <w:rPr>
          <w:spacing w:val="-3"/>
        </w:rPr>
        <w:t> </w:t>
      </w:r>
      <w:r>
        <w:rPr/>
        <w:t>adopted</w:t>
      </w:r>
      <w:r>
        <w:rPr>
          <w:spacing w:val="-2"/>
        </w:rPr>
        <w:t> </w:t>
      </w:r>
      <w:r>
        <w:rPr/>
        <w:t>that</w:t>
      </w:r>
      <w:r>
        <w:rPr>
          <w:spacing w:val="-3"/>
        </w:rPr>
        <w:t> </w:t>
      </w:r>
      <w:r>
        <w:rPr/>
        <w:t>are</w:t>
      </w:r>
      <w:r>
        <w:rPr>
          <w:spacing w:val="-3"/>
        </w:rPr>
        <w:t> </w:t>
      </w:r>
      <w:r>
        <w:rPr/>
        <w:t>material</w:t>
      </w:r>
      <w:r>
        <w:rPr>
          <w:spacing w:val="-3"/>
        </w:rPr>
        <w:t> </w:t>
      </w:r>
      <w:r>
        <w:rPr/>
        <w:t>to</w:t>
      </w:r>
      <w:r>
        <w:rPr>
          <w:spacing w:val="-2"/>
        </w:rPr>
        <w:t> </w:t>
      </w:r>
      <w:r>
        <w:rPr/>
        <w:t>the</w:t>
      </w:r>
      <w:r>
        <w:rPr>
          <w:spacing w:val="-3"/>
        </w:rPr>
        <w:t> </w:t>
      </w:r>
      <w:r>
        <w:rPr>
          <w:spacing w:val="-2"/>
        </w:rPr>
        <w:t>Company.</w:t>
      </w:r>
    </w:p>
    <w:p>
      <w:pPr>
        <w:spacing w:after="0"/>
        <w:sectPr>
          <w:pgSz w:w="12240" w:h="15840"/>
          <w:pgMar w:header="227" w:footer="201" w:top="1080" w:bottom="400" w:left="520" w:right="520"/>
        </w:sectPr>
      </w:pPr>
    </w:p>
    <w:p>
      <w:pPr>
        <w:pStyle w:val="BodyText"/>
        <w:spacing w:before="4"/>
        <w:rPr>
          <w:sz w:val="10"/>
        </w:rPr>
      </w:pPr>
    </w:p>
    <w:p>
      <w:pPr>
        <w:spacing w:after="0"/>
        <w:rPr>
          <w:sz w:val="10"/>
        </w:rPr>
        <w:sectPr>
          <w:pgSz w:w="12240" w:h="15840"/>
          <w:pgMar w:header="227" w:footer="201" w:top="1080" w:bottom="400" w:left="520" w:right="520"/>
        </w:sectPr>
      </w:pPr>
    </w:p>
    <w:p>
      <w:pPr>
        <w:pStyle w:val="Heading2"/>
        <w:numPr>
          <w:ilvl w:val="0"/>
          <w:numId w:val="4"/>
        </w:numPr>
        <w:tabs>
          <w:tab w:pos="1189" w:val="left" w:leader="none"/>
        </w:tabs>
        <w:spacing w:line="240" w:lineRule="auto" w:before="92" w:after="0"/>
        <w:ind w:left="1189" w:right="0" w:hanging="719"/>
        <w:jc w:val="left"/>
      </w:pPr>
      <w:bookmarkStart w:name="Note 3 Revenue Recognition" w:id="42"/>
      <w:bookmarkEnd w:id="42"/>
      <w:r>
        <w:rPr>
          <w:b w:val="0"/>
        </w:rPr>
      </w:r>
      <w:r>
        <w:rPr/>
        <w:t>Revenue</w:t>
      </w:r>
      <w:r>
        <w:rPr>
          <w:spacing w:val="-6"/>
        </w:rPr>
        <w:t> </w:t>
      </w:r>
      <w:r>
        <w:rPr>
          <w:spacing w:val="-2"/>
        </w:rPr>
        <w:t>Recognition</w:t>
      </w:r>
    </w:p>
    <w:p>
      <w:pPr>
        <w:pStyle w:val="BodyText"/>
        <w:spacing w:before="193"/>
        <w:ind w:left="470"/>
      </w:pPr>
      <w:r>
        <w:rPr/>
        <mc:AlternateContent>
          <mc:Choice Requires="wps">
            <w:drawing>
              <wp:anchor distT="0" distB="0" distL="0" distR="0" allowOverlap="1" layoutInCell="1" locked="0" behindDoc="0" simplePos="0" relativeHeight="15746560">
                <wp:simplePos x="0" y="0"/>
                <wp:positionH relativeFrom="page">
                  <wp:posOffset>628650</wp:posOffset>
                </wp:positionH>
                <wp:positionV relativeFrom="paragraph">
                  <wp:posOffset>340753</wp:posOffset>
                </wp:positionV>
                <wp:extent cx="6515100" cy="635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6515100" cy="6350"/>
                          <a:chExt cx="6515100" cy="6350"/>
                        </a:xfrm>
                      </wpg:grpSpPr>
                      <wps:wsp>
                        <wps:cNvPr id="142" name="Graphic 142"/>
                        <wps:cNvSpPr/>
                        <wps:spPr>
                          <a:xfrm>
                            <a:off x="0" y="3175"/>
                            <a:ext cx="5010150" cy="1270"/>
                          </a:xfrm>
                          <a:custGeom>
                            <a:avLst/>
                            <a:gdLst/>
                            <a:ahLst/>
                            <a:cxnLst/>
                            <a:rect l="l" t="t" r="r" b="b"/>
                            <a:pathLst>
                              <a:path w="5010150" h="0">
                                <a:moveTo>
                                  <a:pt x="5010150" y="0"/>
                                </a:moveTo>
                                <a:lnTo>
                                  <a:pt x="0" y="0"/>
                                </a:lnTo>
                              </a:path>
                            </a:pathLst>
                          </a:custGeom>
                          <a:solidFill>
                            <a:srgbClr val="000000"/>
                          </a:solidFill>
                        </wps:spPr>
                        <wps:bodyPr wrap="square" lIns="0" tIns="0" rIns="0" bIns="0" rtlCol="0">
                          <a:prstTxWarp prst="textNoShape">
                            <a:avLst/>
                          </a:prstTxWarp>
                          <a:noAutofit/>
                        </wps:bodyPr>
                      </wps:wsp>
                      <wps:wsp>
                        <wps:cNvPr id="143" name="Graphic 143"/>
                        <wps:cNvSpPr/>
                        <wps:spPr>
                          <a:xfrm>
                            <a:off x="0" y="3175"/>
                            <a:ext cx="5010150" cy="1270"/>
                          </a:xfrm>
                          <a:custGeom>
                            <a:avLst/>
                            <a:gdLst/>
                            <a:ahLst/>
                            <a:cxnLst/>
                            <a:rect l="l" t="t" r="r" b="b"/>
                            <a:pathLst>
                              <a:path w="5010150" h="0">
                                <a:moveTo>
                                  <a:pt x="0" y="0"/>
                                </a:moveTo>
                                <a:lnTo>
                                  <a:pt x="5010150" y="0"/>
                                </a:lnTo>
                              </a:path>
                            </a:pathLst>
                          </a:custGeom>
                          <a:ln w="6350">
                            <a:solidFill>
                              <a:srgbClr val="000000"/>
                            </a:solidFill>
                            <a:prstDash val="solid"/>
                          </a:ln>
                        </wps:spPr>
                        <wps:bodyPr wrap="square" lIns="0" tIns="0" rIns="0" bIns="0" rtlCol="0">
                          <a:prstTxWarp prst="textNoShape">
                            <a:avLst/>
                          </a:prstTxWarp>
                          <a:noAutofit/>
                        </wps:bodyPr>
                      </wps:wsp>
                      <wps:wsp>
                        <wps:cNvPr id="144" name="Graphic 144"/>
                        <wps:cNvSpPr/>
                        <wps:spPr>
                          <a:xfrm>
                            <a:off x="5010150" y="3175"/>
                            <a:ext cx="38100" cy="1270"/>
                          </a:xfrm>
                          <a:custGeom>
                            <a:avLst/>
                            <a:gdLst/>
                            <a:ahLst/>
                            <a:cxnLst/>
                            <a:rect l="l" t="t" r="r" b="b"/>
                            <a:pathLst>
                              <a:path w="38100" h="0">
                                <a:moveTo>
                                  <a:pt x="38100" y="0"/>
                                </a:moveTo>
                                <a:lnTo>
                                  <a:pt x="0" y="0"/>
                                </a:lnTo>
                              </a:path>
                            </a:pathLst>
                          </a:custGeom>
                          <a:solidFill>
                            <a:srgbClr val="000000"/>
                          </a:solidFill>
                        </wps:spPr>
                        <wps:bodyPr wrap="square" lIns="0" tIns="0" rIns="0" bIns="0" rtlCol="0">
                          <a:prstTxWarp prst="textNoShape">
                            <a:avLst/>
                          </a:prstTxWarp>
                          <a:noAutofit/>
                        </wps:bodyPr>
                      </wps:wsp>
                      <wps:wsp>
                        <wps:cNvPr id="145" name="Graphic 145"/>
                        <wps:cNvSpPr/>
                        <wps:spPr>
                          <a:xfrm>
                            <a:off x="5010150" y="3175"/>
                            <a:ext cx="38100" cy="1270"/>
                          </a:xfrm>
                          <a:custGeom>
                            <a:avLst/>
                            <a:gdLst/>
                            <a:ahLst/>
                            <a:cxnLst/>
                            <a:rect l="l" t="t" r="r" b="b"/>
                            <a:pathLst>
                              <a:path w="38100" h="0">
                                <a:moveTo>
                                  <a:pt x="0" y="0"/>
                                </a:moveTo>
                                <a:lnTo>
                                  <a:pt x="38100" y="0"/>
                                </a:lnTo>
                              </a:path>
                            </a:pathLst>
                          </a:custGeom>
                          <a:ln w="6350">
                            <a:solidFill>
                              <a:srgbClr val="000000"/>
                            </a:solidFill>
                            <a:prstDash val="solid"/>
                          </a:ln>
                        </wps:spPr>
                        <wps:bodyPr wrap="square" lIns="0" tIns="0" rIns="0" bIns="0" rtlCol="0">
                          <a:prstTxWarp prst="textNoShape">
                            <a:avLst/>
                          </a:prstTxWarp>
                          <a:noAutofit/>
                        </wps:bodyPr>
                      </wps:wsp>
                      <wps:wsp>
                        <wps:cNvPr id="146" name="Graphic 146"/>
                        <wps:cNvSpPr/>
                        <wps:spPr>
                          <a:xfrm>
                            <a:off x="5048250" y="3175"/>
                            <a:ext cx="1466850" cy="1270"/>
                          </a:xfrm>
                          <a:custGeom>
                            <a:avLst/>
                            <a:gdLst/>
                            <a:ahLst/>
                            <a:cxnLst/>
                            <a:rect l="l" t="t" r="r" b="b"/>
                            <a:pathLst>
                              <a:path w="1466850" h="0">
                                <a:moveTo>
                                  <a:pt x="1466850" y="0"/>
                                </a:moveTo>
                                <a:lnTo>
                                  <a:pt x="0" y="0"/>
                                </a:lnTo>
                              </a:path>
                            </a:pathLst>
                          </a:custGeom>
                          <a:solidFill>
                            <a:srgbClr val="000000"/>
                          </a:solidFill>
                        </wps:spPr>
                        <wps:bodyPr wrap="square" lIns="0" tIns="0" rIns="0" bIns="0" rtlCol="0">
                          <a:prstTxWarp prst="textNoShape">
                            <a:avLst/>
                          </a:prstTxWarp>
                          <a:noAutofit/>
                        </wps:bodyPr>
                      </wps:wsp>
                      <wps:wsp>
                        <wps:cNvPr id="147" name="Graphic 147"/>
                        <wps:cNvSpPr/>
                        <wps:spPr>
                          <a:xfrm>
                            <a:off x="5048250" y="3175"/>
                            <a:ext cx="1466850" cy="1270"/>
                          </a:xfrm>
                          <a:custGeom>
                            <a:avLst/>
                            <a:gdLst/>
                            <a:ahLst/>
                            <a:cxnLst/>
                            <a:rect l="l" t="t" r="r" b="b"/>
                            <a:pathLst>
                              <a:path w="1466850" h="0">
                                <a:moveTo>
                                  <a:pt x="0" y="0"/>
                                </a:moveTo>
                                <a:lnTo>
                                  <a:pt x="146685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26.830996pt;width:513pt;height:.5pt;mso-position-horizontal-relative:page;mso-position-vertical-relative:paragraph;z-index:15746560" id="docshapegroup102" coordorigin="990,537" coordsize="10260,10">
                <v:shape style="position:absolute;left:990;top:541;width:7890;height:2" id="docshape103" coordorigin="990,542" coordsize="7890,0" path="m8880,542l990,542e" filled="true" fillcolor="#000000" stroked="false">
                  <v:path arrowok="t"/>
                  <v:fill opacity="0f" type="solid"/>
                </v:shape>
                <v:line style="position:absolute" from="990,542" to="8880,542" stroked="true" strokeweight=".5pt" strokecolor="#000000">
                  <v:stroke dashstyle="solid"/>
                </v:line>
                <v:shape style="position:absolute;left:8880;top:541;width:60;height:2" id="docshape104" coordorigin="8880,542" coordsize="60,0" path="m8940,542l8880,542e" filled="true" fillcolor="#000000" stroked="false">
                  <v:path arrowok="t"/>
                  <v:fill opacity="0f" type="solid"/>
                </v:shape>
                <v:line style="position:absolute" from="8880,542" to="8940,542" stroked="true" strokeweight=".5pt" strokecolor="#000000">
                  <v:stroke dashstyle="solid"/>
                </v:line>
                <v:shape style="position:absolute;left:8940;top:541;width:2310;height:2" id="docshape105" coordorigin="8940,542" coordsize="2310,0" path="m11250,542l8940,542e" filled="true" fillcolor="#000000" stroked="false">
                  <v:path arrowok="t"/>
                  <v:fill opacity="0f" type="solid"/>
                </v:shape>
                <v:line style="position:absolute" from="8940,542" to="11250,542" stroked="true" strokeweight=".5pt" strokecolor="#000000">
                  <v:stroke dashstyle="solid"/>
                </v:line>
                <w10:wrap type="none"/>
              </v:group>
            </w:pict>
          </mc:Fallback>
        </mc:AlternateContent>
      </w:r>
      <w:r>
        <w:rPr/>
        <w:t>Disaggregation</w:t>
      </w:r>
      <w:r>
        <w:rPr>
          <w:spacing w:val="-5"/>
        </w:rPr>
        <w:t> </w:t>
      </w:r>
      <w:r>
        <w:rPr/>
        <w:t>of</w:t>
      </w:r>
      <w:r>
        <w:rPr>
          <w:spacing w:val="-2"/>
        </w:rPr>
        <w:t> </w:t>
      </w:r>
      <w:r>
        <w:rPr/>
        <w:t>Schwab’s</w:t>
      </w:r>
      <w:r>
        <w:rPr>
          <w:spacing w:val="-4"/>
        </w:rPr>
        <w:t> </w:t>
      </w:r>
      <w:r>
        <w:rPr/>
        <w:t>revenue</w:t>
      </w:r>
      <w:r>
        <w:rPr>
          <w:spacing w:val="-3"/>
        </w:rPr>
        <w:t> </w:t>
      </w:r>
      <w:r>
        <w:rPr/>
        <w:t>by</w:t>
      </w:r>
      <w:r>
        <w:rPr>
          <w:spacing w:val="-2"/>
        </w:rPr>
        <w:t> </w:t>
      </w:r>
      <w:r>
        <w:rPr/>
        <w:t>major</w:t>
      </w:r>
      <w:r>
        <w:rPr>
          <w:spacing w:val="-3"/>
        </w:rPr>
        <w:t> </w:t>
      </w:r>
      <w:r>
        <w:rPr/>
        <w:t>source</w:t>
      </w:r>
      <w:r>
        <w:rPr>
          <w:spacing w:val="-3"/>
        </w:rPr>
        <w:t> </w:t>
      </w:r>
      <w:r>
        <w:rPr/>
        <w:t>is</w:t>
      </w:r>
      <w:r>
        <w:rPr>
          <w:spacing w:val="-3"/>
        </w:rPr>
        <w:t> </w:t>
      </w:r>
      <w:r>
        <w:rPr/>
        <w:t>as</w:t>
      </w:r>
      <w:r>
        <w:rPr>
          <w:spacing w:val="-3"/>
        </w:rPr>
        <w:t> </w:t>
      </w:r>
      <w:r>
        <w:rPr>
          <w:spacing w:val="-2"/>
        </w:rPr>
        <w:t>follows:</w:t>
      </w:r>
    </w:p>
    <w:p>
      <w:pPr>
        <w:spacing w:line="240" w:lineRule="auto" w:before="0"/>
        <w:rPr>
          <w:sz w:val="18"/>
        </w:rPr>
      </w:pPr>
      <w:r>
        <w:rPr/>
        <w:br w:type="column"/>
      </w:r>
      <w:r>
        <w:rPr>
          <w:sz w:val="18"/>
        </w:rPr>
      </w:r>
    </w:p>
    <w:p>
      <w:pPr>
        <w:pStyle w:val="BodyText"/>
        <w:rPr>
          <w:sz w:val="18"/>
        </w:rPr>
      </w:pPr>
    </w:p>
    <w:p>
      <w:pPr>
        <w:pStyle w:val="BodyText"/>
        <w:rPr>
          <w:sz w:val="18"/>
        </w:rPr>
      </w:pPr>
    </w:p>
    <w:p>
      <w:pPr>
        <w:pStyle w:val="BodyText"/>
        <w:spacing w:before="86"/>
        <w:rPr>
          <w:sz w:val="18"/>
        </w:rPr>
      </w:pPr>
    </w:p>
    <w:p>
      <w:pPr>
        <w:spacing w:line="208" w:lineRule="auto" w:before="0"/>
        <w:ind w:left="709" w:right="38" w:hanging="240"/>
        <w:jc w:val="left"/>
        <w:rPr>
          <w:sz w:val="18"/>
        </w:rPr>
      </w:pPr>
      <w:r>
        <w:rPr>
          <w:sz w:val="18"/>
        </w:rPr>
        <w:t>Three</w:t>
      </w:r>
      <w:r>
        <w:rPr>
          <w:spacing w:val="-12"/>
          <w:sz w:val="18"/>
        </w:rPr>
        <w:t> </w:t>
      </w:r>
      <w:r>
        <w:rPr>
          <w:sz w:val="18"/>
        </w:rPr>
        <w:t>Months</w:t>
      </w:r>
      <w:r>
        <w:rPr>
          <w:spacing w:val="-11"/>
          <w:sz w:val="18"/>
        </w:rPr>
        <w:t> </w:t>
      </w:r>
      <w:r>
        <w:rPr>
          <w:sz w:val="18"/>
        </w:rPr>
        <w:t>Ended September 30,</w:t>
      </w:r>
    </w:p>
    <w:p>
      <w:pPr>
        <w:spacing w:line="240" w:lineRule="auto" w:before="0"/>
        <w:rPr>
          <w:sz w:val="18"/>
        </w:rPr>
      </w:pPr>
      <w:r>
        <w:rPr/>
        <w:br w:type="column"/>
      </w:r>
      <w:r>
        <w:rPr>
          <w:sz w:val="18"/>
        </w:rPr>
      </w:r>
    </w:p>
    <w:p>
      <w:pPr>
        <w:pStyle w:val="BodyText"/>
        <w:rPr>
          <w:sz w:val="18"/>
        </w:rPr>
      </w:pPr>
    </w:p>
    <w:p>
      <w:pPr>
        <w:pStyle w:val="BodyText"/>
        <w:rPr>
          <w:sz w:val="18"/>
        </w:rPr>
      </w:pPr>
    </w:p>
    <w:p>
      <w:pPr>
        <w:pStyle w:val="BodyText"/>
        <w:spacing w:before="86"/>
        <w:rPr>
          <w:sz w:val="18"/>
        </w:rPr>
      </w:pPr>
    </w:p>
    <w:p>
      <w:pPr>
        <w:spacing w:line="208" w:lineRule="auto" w:before="0"/>
        <w:ind w:left="675" w:right="897" w:hanging="205"/>
        <w:jc w:val="left"/>
        <w:rPr>
          <w:sz w:val="18"/>
        </w:rPr>
      </w:pPr>
      <w:r>
        <w:rPr>
          <w:sz w:val="18"/>
        </w:rPr>
        <w:t>Nine</w:t>
      </w:r>
      <w:r>
        <w:rPr>
          <w:spacing w:val="-12"/>
          <w:sz w:val="18"/>
        </w:rPr>
        <w:t> </w:t>
      </w:r>
      <w:r>
        <w:rPr>
          <w:sz w:val="18"/>
        </w:rPr>
        <w:t>Months</w:t>
      </w:r>
      <w:r>
        <w:rPr>
          <w:spacing w:val="-11"/>
          <w:sz w:val="18"/>
        </w:rPr>
        <w:t> </w:t>
      </w:r>
      <w:r>
        <w:rPr>
          <w:sz w:val="18"/>
        </w:rPr>
        <w:t>Ended September 30,</w:t>
      </w:r>
    </w:p>
    <w:p>
      <w:pPr>
        <w:spacing w:after="0" w:line="208" w:lineRule="auto"/>
        <w:jc w:val="left"/>
        <w:rPr>
          <w:sz w:val="18"/>
        </w:rPr>
        <w:sectPr>
          <w:type w:val="continuous"/>
          <w:pgSz w:w="12240" w:h="15840"/>
          <w:pgMar w:header="227" w:footer="201" w:top="320" w:bottom="280" w:left="520" w:right="520"/>
          <w:cols w:num="3" w:equalWidth="0">
            <w:col w:w="5860" w:space="78"/>
            <w:col w:w="2030" w:space="412"/>
            <w:col w:w="2820"/>
          </w:cols>
        </w:sectPr>
      </w:pPr>
    </w:p>
    <w:p>
      <w:pPr>
        <w:pStyle w:val="BodyText"/>
        <w:spacing w:before="8"/>
        <w:rPr>
          <w:sz w:val="4"/>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5"/>
        <w:gridCol w:w="1241"/>
        <w:gridCol w:w="1192"/>
        <w:gridCol w:w="1184"/>
        <w:gridCol w:w="1135"/>
      </w:tblGrid>
      <w:tr>
        <w:trPr>
          <w:trHeight w:val="245" w:hRule="atLeast"/>
        </w:trPr>
        <w:tc>
          <w:tcPr>
            <w:tcW w:w="5505" w:type="dxa"/>
            <w:tcBorders>
              <w:bottom w:val="single" w:sz="4" w:space="0" w:color="000000"/>
            </w:tcBorders>
          </w:tcPr>
          <w:p>
            <w:pPr>
              <w:pStyle w:val="TableParagraph"/>
              <w:rPr>
                <w:sz w:val="16"/>
              </w:rPr>
            </w:pPr>
          </w:p>
        </w:tc>
        <w:tc>
          <w:tcPr>
            <w:tcW w:w="1241" w:type="dxa"/>
            <w:tcBorders>
              <w:top w:val="single" w:sz="4" w:space="0" w:color="000000"/>
              <w:bottom w:val="single" w:sz="4" w:space="0" w:color="000000"/>
            </w:tcBorders>
          </w:tcPr>
          <w:p>
            <w:pPr>
              <w:pStyle w:val="TableParagraph"/>
              <w:spacing w:before="8"/>
              <w:ind w:left="19"/>
              <w:jc w:val="center"/>
              <w:rPr>
                <w:sz w:val="18"/>
              </w:rPr>
            </w:pPr>
            <w:r>
              <w:rPr>
                <w:spacing w:val="-4"/>
                <w:sz w:val="18"/>
              </w:rPr>
              <w:t>2023</w:t>
            </w:r>
          </w:p>
        </w:tc>
        <w:tc>
          <w:tcPr>
            <w:tcW w:w="1192" w:type="dxa"/>
            <w:tcBorders>
              <w:top w:val="single" w:sz="4" w:space="0" w:color="000000"/>
              <w:bottom w:val="single" w:sz="4" w:space="0" w:color="000000"/>
            </w:tcBorders>
          </w:tcPr>
          <w:p>
            <w:pPr>
              <w:pStyle w:val="TableParagraph"/>
              <w:spacing w:before="8"/>
              <w:ind w:right="27"/>
              <w:jc w:val="center"/>
              <w:rPr>
                <w:sz w:val="18"/>
              </w:rPr>
            </w:pPr>
            <w:r>
              <w:rPr>
                <w:spacing w:val="-4"/>
                <w:sz w:val="18"/>
              </w:rPr>
              <w:t>2022</w:t>
            </w:r>
          </w:p>
        </w:tc>
        <w:tc>
          <w:tcPr>
            <w:tcW w:w="1184" w:type="dxa"/>
            <w:tcBorders>
              <w:top w:val="single" w:sz="4" w:space="0" w:color="000000"/>
              <w:bottom w:val="single" w:sz="4" w:space="0" w:color="000000"/>
            </w:tcBorders>
          </w:tcPr>
          <w:p>
            <w:pPr>
              <w:pStyle w:val="TableParagraph"/>
              <w:spacing w:before="8"/>
              <w:ind w:left="24"/>
              <w:jc w:val="center"/>
              <w:rPr>
                <w:sz w:val="18"/>
              </w:rPr>
            </w:pPr>
            <w:r>
              <w:rPr>
                <w:spacing w:val="-4"/>
                <w:sz w:val="18"/>
              </w:rPr>
              <w:t>2023</w:t>
            </w:r>
          </w:p>
        </w:tc>
        <w:tc>
          <w:tcPr>
            <w:tcW w:w="1135" w:type="dxa"/>
            <w:tcBorders>
              <w:top w:val="single" w:sz="4" w:space="0" w:color="000000"/>
              <w:bottom w:val="single" w:sz="4" w:space="0" w:color="000000"/>
            </w:tcBorders>
          </w:tcPr>
          <w:p>
            <w:pPr>
              <w:pStyle w:val="TableParagraph"/>
              <w:spacing w:before="8"/>
              <w:ind w:left="15"/>
              <w:jc w:val="center"/>
              <w:rPr>
                <w:sz w:val="18"/>
              </w:rPr>
            </w:pPr>
            <w:r>
              <w:rPr>
                <w:spacing w:val="-4"/>
                <w:sz w:val="18"/>
              </w:rPr>
              <w:t>2022</w:t>
            </w:r>
          </w:p>
        </w:tc>
      </w:tr>
      <w:tr>
        <w:trPr>
          <w:trHeight w:val="250" w:hRule="atLeast"/>
        </w:trPr>
        <w:tc>
          <w:tcPr>
            <w:tcW w:w="5505" w:type="dxa"/>
            <w:tcBorders>
              <w:top w:val="single" w:sz="4" w:space="0" w:color="000000"/>
            </w:tcBorders>
          </w:tcPr>
          <w:p>
            <w:pPr>
              <w:pStyle w:val="TableParagraph"/>
              <w:spacing w:before="13"/>
              <w:ind w:left="52"/>
              <w:rPr>
                <w:b/>
                <w:sz w:val="18"/>
              </w:rPr>
            </w:pPr>
            <w:r>
              <w:rPr>
                <w:b/>
                <w:sz w:val="18"/>
              </w:rPr>
              <w:t>Net</w:t>
            </w:r>
            <w:r>
              <w:rPr>
                <w:b/>
                <w:spacing w:val="-2"/>
                <w:sz w:val="18"/>
              </w:rPr>
              <w:t> </w:t>
            </w:r>
            <w:r>
              <w:rPr>
                <w:b/>
                <w:sz w:val="18"/>
              </w:rPr>
              <w:t>interest</w:t>
            </w:r>
            <w:r>
              <w:rPr>
                <w:b/>
                <w:spacing w:val="-1"/>
                <w:sz w:val="18"/>
              </w:rPr>
              <w:t> </w:t>
            </w:r>
            <w:r>
              <w:rPr>
                <w:b/>
                <w:spacing w:val="-2"/>
                <w:sz w:val="18"/>
              </w:rPr>
              <w:t>revenue</w:t>
            </w:r>
          </w:p>
        </w:tc>
        <w:tc>
          <w:tcPr>
            <w:tcW w:w="1241" w:type="dxa"/>
            <w:tcBorders>
              <w:top w:val="single" w:sz="4" w:space="0" w:color="000000"/>
            </w:tcBorders>
          </w:tcPr>
          <w:p>
            <w:pPr>
              <w:pStyle w:val="TableParagraph"/>
              <w:rPr>
                <w:sz w:val="18"/>
              </w:rPr>
            </w:pPr>
          </w:p>
        </w:tc>
        <w:tc>
          <w:tcPr>
            <w:tcW w:w="1192" w:type="dxa"/>
            <w:tcBorders>
              <w:top w:val="single" w:sz="4" w:space="0" w:color="000000"/>
            </w:tcBorders>
          </w:tcPr>
          <w:p>
            <w:pPr>
              <w:pStyle w:val="TableParagraph"/>
              <w:rPr>
                <w:sz w:val="18"/>
              </w:rPr>
            </w:pPr>
          </w:p>
        </w:tc>
        <w:tc>
          <w:tcPr>
            <w:tcW w:w="1184" w:type="dxa"/>
            <w:tcBorders>
              <w:top w:val="single" w:sz="4" w:space="0" w:color="000000"/>
            </w:tcBorders>
          </w:tcPr>
          <w:p>
            <w:pPr>
              <w:pStyle w:val="TableParagraph"/>
              <w:rPr>
                <w:sz w:val="18"/>
              </w:rPr>
            </w:pPr>
          </w:p>
        </w:tc>
        <w:tc>
          <w:tcPr>
            <w:tcW w:w="1135" w:type="dxa"/>
            <w:tcBorders>
              <w:top w:val="single" w:sz="4" w:space="0" w:color="000000"/>
            </w:tcBorders>
          </w:tcPr>
          <w:p>
            <w:pPr>
              <w:pStyle w:val="TableParagraph"/>
              <w:rPr>
                <w:sz w:val="18"/>
              </w:rPr>
            </w:pPr>
          </w:p>
        </w:tc>
      </w:tr>
      <w:tr>
        <w:trPr>
          <w:trHeight w:val="255" w:hRule="atLeast"/>
        </w:trPr>
        <w:tc>
          <w:tcPr>
            <w:tcW w:w="5505" w:type="dxa"/>
            <w:shd w:val="clear" w:color="auto" w:fill="CCEDFF"/>
          </w:tcPr>
          <w:p>
            <w:pPr>
              <w:pStyle w:val="TableParagraph"/>
              <w:spacing w:before="18"/>
              <w:ind w:left="277"/>
              <w:rPr>
                <w:sz w:val="18"/>
              </w:rPr>
            </w:pPr>
            <w:r>
              <w:rPr>
                <w:sz w:val="18"/>
              </w:rPr>
              <w:t>Cash</w:t>
            </w:r>
            <w:r>
              <w:rPr>
                <w:spacing w:val="-1"/>
                <w:sz w:val="18"/>
              </w:rPr>
              <w:t> </w:t>
            </w:r>
            <w:r>
              <w:rPr>
                <w:sz w:val="18"/>
              </w:rPr>
              <w:t>and</w:t>
            </w:r>
            <w:r>
              <w:rPr>
                <w:spacing w:val="-1"/>
                <w:sz w:val="18"/>
              </w:rPr>
              <w:t> </w:t>
            </w:r>
            <w:r>
              <w:rPr>
                <w:sz w:val="18"/>
              </w:rPr>
              <w:t>cash </w:t>
            </w:r>
            <w:r>
              <w:rPr>
                <w:spacing w:val="-2"/>
                <w:sz w:val="18"/>
              </w:rPr>
              <w:t>equivalents</w:t>
            </w:r>
          </w:p>
        </w:tc>
        <w:tc>
          <w:tcPr>
            <w:tcW w:w="1241" w:type="dxa"/>
            <w:shd w:val="clear" w:color="auto" w:fill="CCEDFF"/>
          </w:tcPr>
          <w:p>
            <w:pPr>
              <w:pStyle w:val="TableParagraph"/>
              <w:tabs>
                <w:tab w:pos="787" w:val="left" w:leader="none"/>
              </w:tabs>
              <w:spacing w:before="18"/>
              <w:ind w:right="128"/>
              <w:jc w:val="right"/>
              <w:rPr>
                <w:sz w:val="18"/>
              </w:rPr>
            </w:pPr>
            <w:r>
              <w:rPr>
                <w:spacing w:val="-10"/>
                <w:sz w:val="18"/>
              </w:rPr>
              <w:t>$</w:t>
            </w:r>
            <w:r>
              <w:rPr>
                <w:sz w:val="18"/>
              </w:rPr>
              <w:tab/>
            </w:r>
            <w:r>
              <w:rPr>
                <w:spacing w:val="-5"/>
                <w:sz w:val="18"/>
              </w:rPr>
              <w:t>459</w:t>
            </w:r>
          </w:p>
        </w:tc>
        <w:tc>
          <w:tcPr>
            <w:tcW w:w="1192" w:type="dxa"/>
            <w:shd w:val="clear" w:color="auto" w:fill="CCEDFF"/>
          </w:tcPr>
          <w:p>
            <w:pPr>
              <w:pStyle w:val="TableParagraph"/>
              <w:tabs>
                <w:tab w:pos="727" w:val="left" w:leader="none"/>
              </w:tabs>
              <w:spacing w:before="18"/>
              <w:ind w:right="120"/>
              <w:jc w:val="right"/>
              <w:rPr>
                <w:sz w:val="18"/>
              </w:rPr>
            </w:pPr>
            <w:r>
              <w:rPr>
                <w:spacing w:val="-10"/>
                <w:sz w:val="18"/>
              </w:rPr>
              <w:t>$</w:t>
            </w:r>
            <w:r>
              <w:rPr>
                <w:sz w:val="18"/>
              </w:rPr>
              <w:tab/>
            </w:r>
            <w:r>
              <w:rPr>
                <w:spacing w:val="-5"/>
                <w:sz w:val="18"/>
              </w:rPr>
              <w:t>294</w:t>
            </w:r>
          </w:p>
        </w:tc>
        <w:tc>
          <w:tcPr>
            <w:tcW w:w="1184" w:type="dxa"/>
            <w:shd w:val="clear" w:color="auto" w:fill="CCEDFF"/>
          </w:tcPr>
          <w:p>
            <w:pPr>
              <w:pStyle w:val="TableParagraph"/>
              <w:tabs>
                <w:tab w:pos="657" w:val="left" w:leader="none"/>
              </w:tabs>
              <w:spacing w:before="18"/>
              <w:ind w:left="64"/>
              <w:rPr>
                <w:sz w:val="18"/>
              </w:rPr>
            </w:pPr>
            <w:r>
              <w:rPr>
                <w:spacing w:val="-10"/>
                <w:sz w:val="18"/>
              </w:rPr>
              <w:t>$</w:t>
            </w:r>
            <w:r>
              <w:rPr>
                <w:sz w:val="18"/>
              </w:rPr>
              <w:tab/>
            </w:r>
            <w:r>
              <w:rPr>
                <w:spacing w:val="-2"/>
                <w:sz w:val="18"/>
              </w:rPr>
              <w:t>1,419</w:t>
            </w:r>
          </w:p>
        </w:tc>
        <w:tc>
          <w:tcPr>
            <w:tcW w:w="1135" w:type="dxa"/>
            <w:shd w:val="clear" w:color="auto" w:fill="CCEDFF"/>
          </w:tcPr>
          <w:p>
            <w:pPr>
              <w:pStyle w:val="TableParagraph"/>
              <w:tabs>
                <w:tab w:pos="727" w:val="left" w:leader="none"/>
              </w:tabs>
              <w:spacing w:before="18"/>
              <w:ind w:right="69"/>
              <w:jc w:val="right"/>
              <w:rPr>
                <w:sz w:val="18"/>
              </w:rPr>
            </w:pPr>
            <w:r>
              <w:rPr>
                <w:spacing w:val="-10"/>
                <w:sz w:val="18"/>
              </w:rPr>
              <w:t>$</w:t>
            </w:r>
            <w:r>
              <w:rPr>
                <w:sz w:val="18"/>
              </w:rPr>
              <w:tab/>
            </w:r>
            <w:r>
              <w:rPr>
                <w:spacing w:val="-5"/>
                <w:sz w:val="18"/>
              </w:rPr>
              <w:t>461</w:t>
            </w:r>
          </w:p>
        </w:tc>
      </w:tr>
      <w:tr>
        <w:trPr>
          <w:trHeight w:val="255" w:hRule="atLeast"/>
        </w:trPr>
        <w:tc>
          <w:tcPr>
            <w:tcW w:w="5505" w:type="dxa"/>
          </w:tcPr>
          <w:p>
            <w:pPr>
              <w:pStyle w:val="TableParagraph"/>
              <w:spacing w:before="18"/>
              <w:ind w:left="277"/>
              <w:rPr>
                <w:sz w:val="18"/>
              </w:rPr>
            </w:pPr>
            <w:r>
              <w:rPr>
                <w:sz w:val="18"/>
              </w:rPr>
              <w:t>Cash</w:t>
            </w:r>
            <w:r>
              <w:rPr>
                <w:spacing w:val="-1"/>
                <w:sz w:val="18"/>
              </w:rPr>
              <w:t> </w:t>
            </w:r>
            <w:r>
              <w:rPr>
                <w:sz w:val="18"/>
              </w:rPr>
              <w:t>and</w:t>
            </w:r>
            <w:r>
              <w:rPr>
                <w:spacing w:val="-1"/>
                <w:sz w:val="18"/>
              </w:rPr>
              <w:t> </w:t>
            </w:r>
            <w:r>
              <w:rPr>
                <w:sz w:val="18"/>
              </w:rPr>
              <w:t>investments</w:t>
            </w:r>
            <w:r>
              <w:rPr>
                <w:spacing w:val="-1"/>
                <w:sz w:val="18"/>
              </w:rPr>
              <w:t> </w:t>
            </w:r>
            <w:r>
              <w:rPr>
                <w:spacing w:val="-2"/>
                <w:sz w:val="18"/>
              </w:rPr>
              <w:t>segregated</w:t>
            </w:r>
          </w:p>
        </w:tc>
        <w:tc>
          <w:tcPr>
            <w:tcW w:w="1241" w:type="dxa"/>
          </w:tcPr>
          <w:p>
            <w:pPr>
              <w:pStyle w:val="TableParagraph"/>
              <w:spacing w:before="18"/>
              <w:ind w:right="128"/>
              <w:jc w:val="right"/>
              <w:rPr>
                <w:sz w:val="18"/>
              </w:rPr>
            </w:pPr>
            <w:r>
              <w:rPr>
                <w:spacing w:val="-5"/>
                <w:sz w:val="18"/>
              </w:rPr>
              <w:t>285</w:t>
            </w:r>
          </w:p>
        </w:tc>
        <w:tc>
          <w:tcPr>
            <w:tcW w:w="1192" w:type="dxa"/>
          </w:tcPr>
          <w:p>
            <w:pPr>
              <w:pStyle w:val="TableParagraph"/>
              <w:spacing w:before="18"/>
              <w:ind w:right="120"/>
              <w:jc w:val="right"/>
              <w:rPr>
                <w:sz w:val="18"/>
              </w:rPr>
            </w:pPr>
            <w:r>
              <w:rPr>
                <w:spacing w:val="-5"/>
                <w:sz w:val="18"/>
              </w:rPr>
              <w:t>214</w:t>
            </w:r>
          </w:p>
        </w:tc>
        <w:tc>
          <w:tcPr>
            <w:tcW w:w="1184" w:type="dxa"/>
          </w:tcPr>
          <w:p>
            <w:pPr>
              <w:pStyle w:val="TableParagraph"/>
              <w:spacing w:before="18"/>
              <w:ind w:right="119"/>
              <w:jc w:val="right"/>
              <w:rPr>
                <w:sz w:val="18"/>
              </w:rPr>
            </w:pPr>
            <w:r>
              <w:rPr>
                <w:spacing w:val="-2"/>
                <w:sz w:val="18"/>
              </w:rPr>
              <w:t>1,041</w:t>
            </w:r>
          </w:p>
        </w:tc>
        <w:tc>
          <w:tcPr>
            <w:tcW w:w="1135" w:type="dxa"/>
          </w:tcPr>
          <w:p>
            <w:pPr>
              <w:pStyle w:val="TableParagraph"/>
              <w:spacing w:before="18"/>
              <w:ind w:right="69"/>
              <w:jc w:val="right"/>
              <w:rPr>
                <w:sz w:val="18"/>
              </w:rPr>
            </w:pPr>
            <w:r>
              <w:rPr>
                <w:spacing w:val="-5"/>
                <w:sz w:val="18"/>
              </w:rPr>
              <w:t>308</w:t>
            </w:r>
          </w:p>
        </w:tc>
      </w:tr>
      <w:tr>
        <w:trPr>
          <w:trHeight w:val="255" w:hRule="atLeast"/>
        </w:trPr>
        <w:tc>
          <w:tcPr>
            <w:tcW w:w="5505" w:type="dxa"/>
            <w:shd w:val="clear" w:color="auto" w:fill="CCEDFF"/>
          </w:tcPr>
          <w:p>
            <w:pPr>
              <w:pStyle w:val="TableParagraph"/>
              <w:spacing w:before="18"/>
              <w:ind w:left="277"/>
              <w:rPr>
                <w:sz w:val="18"/>
              </w:rPr>
            </w:pPr>
            <w:r>
              <w:rPr>
                <w:sz w:val="18"/>
              </w:rPr>
              <w:t>Receivables</w:t>
            </w:r>
            <w:r>
              <w:rPr>
                <w:spacing w:val="-1"/>
                <w:sz w:val="18"/>
              </w:rPr>
              <w:t> </w:t>
            </w:r>
            <w:r>
              <w:rPr>
                <w:sz w:val="18"/>
              </w:rPr>
              <w:t>from brokerage </w:t>
            </w:r>
            <w:r>
              <w:rPr>
                <w:spacing w:val="-2"/>
                <w:sz w:val="18"/>
              </w:rPr>
              <w:t>clients</w:t>
            </w:r>
          </w:p>
        </w:tc>
        <w:tc>
          <w:tcPr>
            <w:tcW w:w="1241" w:type="dxa"/>
            <w:shd w:val="clear" w:color="auto" w:fill="CCEDFF"/>
          </w:tcPr>
          <w:p>
            <w:pPr>
              <w:pStyle w:val="TableParagraph"/>
              <w:spacing w:before="18"/>
              <w:ind w:right="128"/>
              <w:jc w:val="right"/>
              <w:rPr>
                <w:sz w:val="18"/>
              </w:rPr>
            </w:pPr>
            <w:r>
              <w:rPr>
                <w:spacing w:val="-2"/>
                <w:sz w:val="18"/>
              </w:rPr>
              <w:t>1,282</w:t>
            </w:r>
          </w:p>
        </w:tc>
        <w:tc>
          <w:tcPr>
            <w:tcW w:w="1192" w:type="dxa"/>
            <w:shd w:val="clear" w:color="auto" w:fill="CCEDFF"/>
          </w:tcPr>
          <w:p>
            <w:pPr>
              <w:pStyle w:val="TableParagraph"/>
              <w:spacing w:before="18"/>
              <w:ind w:right="120"/>
              <w:jc w:val="right"/>
              <w:rPr>
                <w:sz w:val="18"/>
              </w:rPr>
            </w:pPr>
            <w:r>
              <w:rPr>
                <w:spacing w:val="-5"/>
                <w:sz w:val="18"/>
              </w:rPr>
              <w:t>912</w:t>
            </w:r>
          </w:p>
        </w:tc>
        <w:tc>
          <w:tcPr>
            <w:tcW w:w="1184" w:type="dxa"/>
            <w:shd w:val="clear" w:color="auto" w:fill="CCEDFF"/>
          </w:tcPr>
          <w:p>
            <w:pPr>
              <w:pStyle w:val="TableParagraph"/>
              <w:spacing w:before="18"/>
              <w:ind w:right="119"/>
              <w:jc w:val="right"/>
              <w:rPr>
                <w:sz w:val="18"/>
              </w:rPr>
            </w:pPr>
            <w:r>
              <w:rPr>
                <w:spacing w:val="-2"/>
                <w:sz w:val="18"/>
              </w:rPr>
              <w:t>3,533</w:t>
            </w:r>
          </w:p>
        </w:tc>
        <w:tc>
          <w:tcPr>
            <w:tcW w:w="1135" w:type="dxa"/>
            <w:shd w:val="clear" w:color="auto" w:fill="CCEDFF"/>
          </w:tcPr>
          <w:p>
            <w:pPr>
              <w:pStyle w:val="TableParagraph"/>
              <w:spacing w:before="18"/>
              <w:ind w:right="69"/>
              <w:jc w:val="right"/>
              <w:rPr>
                <w:sz w:val="18"/>
              </w:rPr>
            </w:pPr>
            <w:r>
              <w:rPr>
                <w:spacing w:val="-2"/>
                <w:sz w:val="18"/>
              </w:rPr>
              <w:t>2,244</w:t>
            </w:r>
          </w:p>
        </w:tc>
      </w:tr>
      <w:tr>
        <w:trPr>
          <w:trHeight w:val="255" w:hRule="atLeast"/>
        </w:trPr>
        <w:tc>
          <w:tcPr>
            <w:tcW w:w="5505" w:type="dxa"/>
          </w:tcPr>
          <w:p>
            <w:pPr>
              <w:pStyle w:val="TableParagraph"/>
              <w:spacing w:before="18"/>
              <w:ind w:left="277"/>
              <w:rPr>
                <w:sz w:val="18"/>
              </w:rPr>
            </w:pPr>
            <w:r>
              <w:rPr>
                <w:sz w:val="18"/>
              </w:rPr>
              <w:t>Available</w:t>
            </w:r>
            <w:r>
              <w:rPr>
                <w:spacing w:val="-1"/>
                <w:sz w:val="18"/>
              </w:rPr>
              <w:t> </w:t>
            </w:r>
            <w:r>
              <w:rPr>
                <w:sz w:val="18"/>
              </w:rPr>
              <w:t>for</w:t>
            </w:r>
            <w:r>
              <w:rPr>
                <w:spacing w:val="-1"/>
                <w:sz w:val="18"/>
              </w:rPr>
              <w:t> </w:t>
            </w:r>
            <w:r>
              <w:rPr>
                <w:sz w:val="18"/>
              </w:rPr>
              <w:t>sale </w:t>
            </w:r>
            <w:r>
              <w:rPr>
                <w:spacing w:val="-2"/>
                <w:sz w:val="18"/>
              </w:rPr>
              <w:t>securities</w:t>
            </w:r>
          </w:p>
        </w:tc>
        <w:tc>
          <w:tcPr>
            <w:tcW w:w="1241" w:type="dxa"/>
          </w:tcPr>
          <w:p>
            <w:pPr>
              <w:pStyle w:val="TableParagraph"/>
              <w:spacing w:before="18"/>
              <w:ind w:right="128"/>
              <w:jc w:val="right"/>
              <w:rPr>
                <w:sz w:val="18"/>
              </w:rPr>
            </w:pPr>
            <w:r>
              <w:rPr>
                <w:spacing w:val="-5"/>
                <w:sz w:val="18"/>
              </w:rPr>
              <w:t>724</w:t>
            </w:r>
          </w:p>
        </w:tc>
        <w:tc>
          <w:tcPr>
            <w:tcW w:w="1192" w:type="dxa"/>
          </w:tcPr>
          <w:p>
            <w:pPr>
              <w:pStyle w:val="TableParagraph"/>
              <w:spacing w:before="18"/>
              <w:ind w:right="120"/>
              <w:jc w:val="right"/>
              <w:rPr>
                <w:sz w:val="18"/>
              </w:rPr>
            </w:pPr>
            <w:r>
              <w:rPr>
                <w:spacing w:val="-2"/>
                <w:sz w:val="18"/>
              </w:rPr>
              <w:t>1,161</w:t>
            </w:r>
          </w:p>
        </w:tc>
        <w:tc>
          <w:tcPr>
            <w:tcW w:w="1184" w:type="dxa"/>
          </w:tcPr>
          <w:p>
            <w:pPr>
              <w:pStyle w:val="TableParagraph"/>
              <w:spacing w:before="18"/>
              <w:ind w:right="119"/>
              <w:jc w:val="right"/>
              <w:rPr>
                <w:sz w:val="18"/>
              </w:rPr>
            </w:pPr>
            <w:r>
              <w:rPr>
                <w:spacing w:val="-2"/>
                <w:sz w:val="18"/>
              </w:rPr>
              <w:t>2,340</w:t>
            </w:r>
          </w:p>
        </w:tc>
        <w:tc>
          <w:tcPr>
            <w:tcW w:w="1135" w:type="dxa"/>
          </w:tcPr>
          <w:p>
            <w:pPr>
              <w:pStyle w:val="TableParagraph"/>
              <w:spacing w:before="18"/>
              <w:ind w:right="69"/>
              <w:jc w:val="right"/>
              <w:rPr>
                <w:sz w:val="18"/>
              </w:rPr>
            </w:pPr>
            <w:r>
              <w:rPr>
                <w:spacing w:val="-2"/>
                <w:sz w:val="18"/>
              </w:rPr>
              <w:t>3,196</w:t>
            </w:r>
          </w:p>
        </w:tc>
      </w:tr>
      <w:tr>
        <w:trPr>
          <w:trHeight w:val="255" w:hRule="atLeast"/>
        </w:trPr>
        <w:tc>
          <w:tcPr>
            <w:tcW w:w="5505" w:type="dxa"/>
            <w:shd w:val="clear" w:color="auto" w:fill="CCEDFF"/>
          </w:tcPr>
          <w:p>
            <w:pPr>
              <w:pStyle w:val="TableParagraph"/>
              <w:spacing w:before="18"/>
              <w:ind w:left="277"/>
              <w:rPr>
                <w:sz w:val="18"/>
              </w:rPr>
            </w:pPr>
            <w:r>
              <w:rPr>
                <w:sz w:val="18"/>
              </w:rPr>
              <w:t>Held</w:t>
            </w:r>
            <w:r>
              <w:rPr>
                <w:spacing w:val="-1"/>
                <w:sz w:val="18"/>
              </w:rPr>
              <w:t> </w:t>
            </w:r>
            <w:r>
              <w:rPr>
                <w:sz w:val="18"/>
              </w:rPr>
              <w:t>to maturity </w:t>
            </w:r>
            <w:r>
              <w:rPr>
                <w:spacing w:val="-2"/>
                <w:sz w:val="18"/>
              </w:rPr>
              <w:t>securities</w:t>
            </w:r>
          </w:p>
        </w:tc>
        <w:tc>
          <w:tcPr>
            <w:tcW w:w="1241" w:type="dxa"/>
            <w:shd w:val="clear" w:color="auto" w:fill="CCEDFF"/>
          </w:tcPr>
          <w:p>
            <w:pPr>
              <w:pStyle w:val="TableParagraph"/>
              <w:spacing w:before="18"/>
              <w:ind w:right="128"/>
              <w:jc w:val="right"/>
              <w:rPr>
                <w:sz w:val="18"/>
              </w:rPr>
            </w:pPr>
            <w:r>
              <w:rPr>
                <w:spacing w:val="-5"/>
                <w:sz w:val="18"/>
              </w:rPr>
              <w:t>706</w:t>
            </w:r>
          </w:p>
        </w:tc>
        <w:tc>
          <w:tcPr>
            <w:tcW w:w="1192" w:type="dxa"/>
            <w:shd w:val="clear" w:color="auto" w:fill="CCEDFF"/>
          </w:tcPr>
          <w:p>
            <w:pPr>
              <w:pStyle w:val="TableParagraph"/>
              <w:spacing w:before="18"/>
              <w:ind w:right="120"/>
              <w:jc w:val="right"/>
              <w:rPr>
                <w:sz w:val="18"/>
              </w:rPr>
            </w:pPr>
            <w:r>
              <w:rPr>
                <w:spacing w:val="-5"/>
                <w:sz w:val="18"/>
              </w:rPr>
              <w:t>345</w:t>
            </w:r>
          </w:p>
        </w:tc>
        <w:tc>
          <w:tcPr>
            <w:tcW w:w="1184" w:type="dxa"/>
            <w:shd w:val="clear" w:color="auto" w:fill="CCEDFF"/>
          </w:tcPr>
          <w:p>
            <w:pPr>
              <w:pStyle w:val="TableParagraph"/>
              <w:spacing w:before="18"/>
              <w:ind w:right="119"/>
              <w:jc w:val="right"/>
              <w:rPr>
                <w:sz w:val="18"/>
              </w:rPr>
            </w:pPr>
            <w:r>
              <w:rPr>
                <w:spacing w:val="-2"/>
                <w:sz w:val="18"/>
              </w:rPr>
              <w:t>2,172</w:t>
            </w:r>
          </w:p>
        </w:tc>
        <w:tc>
          <w:tcPr>
            <w:tcW w:w="1135" w:type="dxa"/>
            <w:shd w:val="clear" w:color="auto" w:fill="CCEDFF"/>
          </w:tcPr>
          <w:p>
            <w:pPr>
              <w:pStyle w:val="TableParagraph"/>
              <w:spacing w:before="18"/>
              <w:ind w:right="69"/>
              <w:jc w:val="right"/>
              <w:rPr>
                <w:sz w:val="18"/>
              </w:rPr>
            </w:pPr>
            <w:r>
              <w:rPr>
                <w:spacing w:val="-2"/>
                <w:sz w:val="18"/>
              </w:rPr>
              <w:t>1,062</w:t>
            </w:r>
          </w:p>
        </w:tc>
      </w:tr>
      <w:tr>
        <w:trPr>
          <w:trHeight w:val="255" w:hRule="atLeast"/>
        </w:trPr>
        <w:tc>
          <w:tcPr>
            <w:tcW w:w="5505" w:type="dxa"/>
          </w:tcPr>
          <w:p>
            <w:pPr>
              <w:pStyle w:val="TableParagraph"/>
              <w:spacing w:before="18"/>
              <w:ind w:left="277"/>
              <w:rPr>
                <w:sz w:val="18"/>
              </w:rPr>
            </w:pPr>
            <w:r>
              <w:rPr>
                <w:sz w:val="18"/>
              </w:rPr>
              <w:t>Bank </w:t>
            </w:r>
            <w:r>
              <w:rPr>
                <w:spacing w:val="-2"/>
                <w:sz w:val="18"/>
              </w:rPr>
              <w:t>loans</w:t>
            </w:r>
          </w:p>
        </w:tc>
        <w:tc>
          <w:tcPr>
            <w:tcW w:w="1241" w:type="dxa"/>
          </w:tcPr>
          <w:p>
            <w:pPr>
              <w:pStyle w:val="TableParagraph"/>
              <w:spacing w:before="18"/>
              <w:ind w:right="128"/>
              <w:jc w:val="right"/>
              <w:rPr>
                <w:sz w:val="18"/>
              </w:rPr>
            </w:pPr>
            <w:r>
              <w:rPr>
                <w:spacing w:val="-5"/>
                <w:sz w:val="18"/>
              </w:rPr>
              <w:t>426</w:t>
            </w:r>
          </w:p>
        </w:tc>
        <w:tc>
          <w:tcPr>
            <w:tcW w:w="1192" w:type="dxa"/>
          </w:tcPr>
          <w:p>
            <w:pPr>
              <w:pStyle w:val="TableParagraph"/>
              <w:spacing w:before="18"/>
              <w:ind w:right="120"/>
              <w:jc w:val="right"/>
              <w:rPr>
                <w:sz w:val="18"/>
              </w:rPr>
            </w:pPr>
            <w:r>
              <w:rPr>
                <w:spacing w:val="-5"/>
                <w:sz w:val="18"/>
              </w:rPr>
              <w:t>300</w:t>
            </w:r>
          </w:p>
        </w:tc>
        <w:tc>
          <w:tcPr>
            <w:tcW w:w="1184" w:type="dxa"/>
          </w:tcPr>
          <w:p>
            <w:pPr>
              <w:pStyle w:val="TableParagraph"/>
              <w:spacing w:before="18"/>
              <w:ind w:right="119"/>
              <w:jc w:val="right"/>
              <w:rPr>
                <w:sz w:val="18"/>
              </w:rPr>
            </w:pPr>
            <w:r>
              <w:rPr>
                <w:spacing w:val="-2"/>
                <w:sz w:val="18"/>
              </w:rPr>
              <w:t>1,227</w:t>
            </w:r>
          </w:p>
        </w:tc>
        <w:tc>
          <w:tcPr>
            <w:tcW w:w="1135" w:type="dxa"/>
          </w:tcPr>
          <w:p>
            <w:pPr>
              <w:pStyle w:val="TableParagraph"/>
              <w:spacing w:before="18"/>
              <w:ind w:right="69"/>
              <w:jc w:val="right"/>
              <w:rPr>
                <w:sz w:val="18"/>
              </w:rPr>
            </w:pPr>
            <w:r>
              <w:rPr>
                <w:spacing w:val="-5"/>
                <w:sz w:val="18"/>
              </w:rPr>
              <w:t>717</w:t>
            </w:r>
          </w:p>
        </w:tc>
      </w:tr>
      <w:tr>
        <w:trPr>
          <w:trHeight w:val="255" w:hRule="atLeast"/>
        </w:trPr>
        <w:tc>
          <w:tcPr>
            <w:tcW w:w="5505" w:type="dxa"/>
            <w:shd w:val="clear" w:color="auto" w:fill="CCEDFF"/>
          </w:tcPr>
          <w:p>
            <w:pPr>
              <w:pStyle w:val="TableParagraph"/>
              <w:spacing w:before="18"/>
              <w:ind w:left="277"/>
              <w:rPr>
                <w:sz w:val="18"/>
              </w:rPr>
            </w:pPr>
            <w:r>
              <w:rPr>
                <w:sz w:val="18"/>
              </w:rPr>
              <w:t>Securities</w:t>
            </w:r>
            <w:r>
              <w:rPr>
                <w:spacing w:val="-2"/>
                <w:sz w:val="18"/>
              </w:rPr>
              <w:t> </w:t>
            </w:r>
            <w:r>
              <w:rPr>
                <w:sz w:val="18"/>
              </w:rPr>
              <w:t>lending </w:t>
            </w:r>
            <w:r>
              <w:rPr>
                <w:spacing w:val="-2"/>
                <w:sz w:val="18"/>
              </w:rPr>
              <w:t>revenue</w:t>
            </w:r>
          </w:p>
        </w:tc>
        <w:tc>
          <w:tcPr>
            <w:tcW w:w="1241" w:type="dxa"/>
            <w:shd w:val="clear" w:color="auto" w:fill="CCEDFF"/>
          </w:tcPr>
          <w:p>
            <w:pPr>
              <w:pStyle w:val="TableParagraph"/>
              <w:spacing w:before="18"/>
              <w:ind w:right="128"/>
              <w:jc w:val="right"/>
              <w:rPr>
                <w:sz w:val="18"/>
              </w:rPr>
            </w:pPr>
            <w:r>
              <w:rPr>
                <w:spacing w:val="-5"/>
                <w:sz w:val="18"/>
              </w:rPr>
              <w:t>105</w:t>
            </w:r>
          </w:p>
        </w:tc>
        <w:tc>
          <w:tcPr>
            <w:tcW w:w="1192" w:type="dxa"/>
            <w:shd w:val="clear" w:color="auto" w:fill="CCEDFF"/>
          </w:tcPr>
          <w:p>
            <w:pPr>
              <w:pStyle w:val="TableParagraph"/>
              <w:spacing w:before="18"/>
              <w:ind w:right="120"/>
              <w:jc w:val="right"/>
              <w:rPr>
                <w:sz w:val="18"/>
              </w:rPr>
            </w:pPr>
            <w:r>
              <w:rPr>
                <w:spacing w:val="-5"/>
                <w:sz w:val="18"/>
              </w:rPr>
              <w:t>124</w:t>
            </w:r>
          </w:p>
        </w:tc>
        <w:tc>
          <w:tcPr>
            <w:tcW w:w="1184" w:type="dxa"/>
            <w:shd w:val="clear" w:color="auto" w:fill="CCEDFF"/>
          </w:tcPr>
          <w:p>
            <w:pPr>
              <w:pStyle w:val="TableParagraph"/>
              <w:spacing w:before="18"/>
              <w:ind w:right="119"/>
              <w:jc w:val="right"/>
              <w:rPr>
                <w:sz w:val="18"/>
              </w:rPr>
            </w:pPr>
            <w:r>
              <w:rPr>
                <w:spacing w:val="-5"/>
                <w:sz w:val="18"/>
              </w:rPr>
              <w:t>341</w:t>
            </w:r>
          </w:p>
        </w:tc>
        <w:tc>
          <w:tcPr>
            <w:tcW w:w="1135" w:type="dxa"/>
            <w:shd w:val="clear" w:color="auto" w:fill="CCEDFF"/>
          </w:tcPr>
          <w:p>
            <w:pPr>
              <w:pStyle w:val="TableParagraph"/>
              <w:spacing w:before="18"/>
              <w:ind w:right="69"/>
              <w:jc w:val="right"/>
              <w:rPr>
                <w:sz w:val="18"/>
              </w:rPr>
            </w:pPr>
            <w:r>
              <w:rPr>
                <w:spacing w:val="-5"/>
                <w:sz w:val="18"/>
              </w:rPr>
              <w:t>383</w:t>
            </w:r>
          </w:p>
        </w:tc>
      </w:tr>
      <w:tr>
        <w:trPr>
          <w:trHeight w:val="250" w:hRule="atLeast"/>
        </w:trPr>
        <w:tc>
          <w:tcPr>
            <w:tcW w:w="5505" w:type="dxa"/>
            <w:tcBorders>
              <w:bottom w:val="single" w:sz="4" w:space="0" w:color="000000"/>
            </w:tcBorders>
          </w:tcPr>
          <w:p>
            <w:pPr>
              <w:pStyle w:val="TableParagraph"/>
              <w:spacing w:before="18"/>
              <w:ind w:left="277"/>
              <w:rPr>
                <w:sz w:val="18"/>
              </w:rPr>
            </w:pPr>
            <w:r>
              <w:rPr>
                <w:sz w:val="18"/>
              </w:rPr>
              <w:t>Other</w:t>
            </w:r>
            <w:r>
              <w:rPr>
                <w:spacing w:val="-1"/>
                <w:sz w:val="18"/>
              </w:rPr>
              <w:t> </w:t>
            </w:r>
            <w:r>
              <w:rPr>
                <w:sz w:val="18"/>
              </w:rPr>
              <w:t>interest</w:t>
            </w:r>
            <w:r>
              <w:rPr>
                <w:spacing w:val="-1"/>
                <w:sz w:val="18"/>
              </w:rPr>
              <w:t> </w:t>
            </w:r>
            <w:r>
              <w:rPr>
                <w:spacing w:val="-2"/>
                <w:sz w:val="18"/>
              </w:rPr>
              <w:t>revenue</w:t>
            </w:r>
          </w:p>
        </w:tc>
        <w:tc>
          <w:tcPr>
            <w:tcW w:w="1241" w:type="dxa"/>
            <w:tcBorders>
              <w:bottom w:val="single" w:sz="4" w:space="0" w:color="000000"/>
            </w:tcBorders>
          </w:tcPr>
          <w:p>
            <w:pPr>
              <w:pStyle w:val="TableParagraph"/>
              <w:spacing w:before="18"/>
              <w:ind w:right="128"/>
              <w:jc w:val="right"/>
              <w:rPr>
                <w:sz w:val="18"/>
              </w:rPr>
            </w:pPr>
            <w:r>
              <w:rPr>
                <w:spacing w:val="-5"/>
                <w:sz w:val="18"/>
              </w:rPr>
              <w:t>41</w:t>
            </w:r>
          </w:p>
        </w:tc>
        <w:tc>
          <w:tcPr>
            <w:tcW w:w="1192" w:type="dxa"/>
            <w:tcBorders>
              <w:bottom w:val="single" w:sz="4" w:space="0" w:color="000000"/>
            </w:tcBorders>
          </w:tcPr>
          <w:p>
            <w:pPr>
              <w:pStyle w:val="TableParagraph"/>
              <w:spacing w:before="18"/>
              <w:ind w:right="120"/>
              <w:jc w:val="right"/>
              <w:rPr>
                <w:sz w:val="18"/>
              </w:rPr>
            </w:pPr>
            <w:r>
              <w:rPr>
                <w:spacing w:val="-10"/>
                <w:sz w:val="18"/>
              </w:rPr>
              <w:t>7</w:t>
            </w:r>
          </w:p>
        </w:tc>
        <w:tc>
          <w:tcPr>
            <w:tcW w:w="1184" w:type="dxa"/>
            <w:tcBorders>
              <w:bottom w:val="single" w:sz="4" w:space="0" w:color="000000"/>
            </w:tcBorders>
          </w:tcPr>
          <w:p>
            <w:pPr>
              <w:pStyle w:val="TableParagraph"/>
              <w:spacing w:before="18"/>
              <w:ind w:right="119"/>
              <w:jc w:val="right"/>
              <w:rPr>
                <w:sz w:val="18"/>
              </w:rPr>
            </w:pPr>
            <w:r>
              <w:rPr>
                <w:spacing w:val="-5"/>
                <w:sz w:val="18"/>
              </w:rPr>
              <w:t>75</w:t>
            </w:r>
          </w:p>
        </w:tc>
        <w:tc>
          <w:tcPr>
            <w:tcW w:w="1135" w:type="dxa"/>
            <w:tcBorders>
              <w:bottom w:val="single" w:sz="4" w:space="0" w:color="000000"/>
            </w:tcBorders>
          </w:tcPr>
          <w:p>
            <w:pPr>
              <w:pStyle w:val="TableParagraph"/>
              <w:spacing w:before="18"/>
              <w:ind w:right="69"/>
              <w:jc w:val="right"/>
              <w:rPr>
                <w:sz w:val="18"/>
              </w:rPr>
            </w:pPr>
            <w:r>
              <w:rPr>
                <w:spacing w:val="-5"/>
                <w:sz w:val="18"/>
              </w:rPr>
              <w:t>15</w:t>
            </w:r>
          </w:p>
        </w:tc>
      </w:tr>
      <w:tr>
        <w:trPr>
          <w:trHeight w:val="245" w:hRule="atLeast"/>
        </w:trPr>
        <w:tc>
          <w:tcPr>
            <w:tcW w:w="5505" w:type="dxa"/>
            <w:tcBorders>
              <w:top w:val="single" w:sz="4" w:space="0" w:color="000000"/>
              <w:bottom w:val="single" w:sz="4" w:space="0" w:color="000000"/>
            </w:tcBorders>
            <w:shd w:val="clear" w:color="auto" w:fill="CCEDFF"/>
          </w:tcPr>
          <w:p>
            <w:pPr>
              <w:pStyle w:val="TableParagraph"/>
              <w:spacing w:before="13"/>
              <w:ind w:left="157"/>
              <w:rPr>
                <w:sz w:val="18"/>
              </w:rPr>
            </w:pPr>
            <w:r>
              <w:rPr>
                <w:sz w:val="18"/>
              </w:rPr>
              <w:t>Interest</w:t>
            </w:r>
            <w:r>
              <w:rPr>
                <w:spacing w:val="-1"/>
                <w:sz w:val="18"/>
              </w:rPr>
              <w:t> </w:t>
            </w:r>
            <w:r>
              <w:rPr>
                <w:spacing w:val="-2"/>
                <w:sz w:val="18"/>
              </w:rPr>
              <w:t>revenue</w:t>
            </w:r>
          </w:p>
        </w:tc>
        <w:tc>
          <w:tcPr>
            <w:tcW w:w="1241" w:type="dxa"/>
            <w:tcBorders>
              <w:top w:val="single" w:sz="4" w:space="0" w:color="000000"/>
              <w:bottom w:val="single" w:sz="4" w:space="0" w:color="000000"/>
            </w:tcBorders>
            <w:shd w:val="clear" w:color="auto" w:fill="CCEDFF"/>
          </w:tcPr>
          <w:p>
            <w:pPr>
              <w:pStyle w:val="TableParagraph"/>
              <w:spacing w:before="13"/>
              <w:ind w:right="128"/>
              <w:jc w:val="right"/>
              <w:rPr>
                <w:sz w:val="18"/>
              </w:rPr>
            </w:pPr>
            <w:r>
              <w:rPr>
                <w:spacing w:val="-2"/>
                <w:sz w:val="18"/>
              </w:rPr>
              <w:t>4,028</w:t>
            </w:r>
          </w:p>
        </w:tc>
        <w:tc>
          <w:tcPr>
            <w:tcW w:w="1192" w:type="dxa"/>
            <w:tcBorders>
              <w:top w:val="single" w:sz="4" w:space="0" w:color="000000"/>
              <w:bottom w:val="single" w:sz="4" w:space="0" w:color="000000"/>
            </w:tcBorders>
            <w:shd w:val="clear" w:color="auto" w:fill="CCEDFF"/>
          </w:tcPr>
          <w:p>
            <w:pPr>
              <w:pStyle w:val="TableParagraph"/>
              <w:spacing w:before="13"/>
              <w:ind w:right="120"/>
              <w:jc w:val="right"/>
              <w:rPr>
                <w:sz w:val="18"/>
              </w:rPr>
            </w:pPr>
            <w:r>
              <w:rPr>
                <w:spacing w:val="-2"/>
                <w:sz w:val="18"/>
              </w:rPr>
              <w:t>3,357</w:t>
            </w:r>
          </w:p>
        </w:tc>
        <w:tc>
          <w:tcPr>
            <w:tcW w:w="1184" w:type="dxa"/>
            <w:tcBorders>
              <w:top w:val="single" w:sz="4" w:space="0" w:color="000000"/>
              <w:bottom w:val="single" w:sz="4" w:space="0" w:color="000000"/>
            </w:tcBorders>
            <w:shd w:val="clear" w:color="auto" w:fill="CCEDFF"/>
          </w:tcPr>
          <w:p>
            <w:pPr>
              <w:pStyle w:val="TableParagraph"/>
              <w:spacing w:before="13"/>
              <w:ind w:right="119"/>
              <w:jc w:val="right"/>
              <w:rPr>
                <w:sz w:val="18"/>
              </w:rPr>
            </w:pPr>
            <w:r>
              <w:rPr>
                <w:spacing w:val="-2"/>
                <w:sz w:val="18"/>
              </w:rPr>
              <w:t>12,148</w:t>
            </w:r>
          </w:p>
        </w:tc>
        <w:tc>
          <w:tcPr>
            <w:tcW w:w="1135" w:type="dxa"/>
            <w:tcBorders>
              <w:top w:val="single" w:sz="4" w:space="0" w:color="000000"/>
              <w:bottom w:val="single" w:sz="4" w:space="0" w:color="000000"/>
            </w:tcBorders>
            <w:shd w:val="clear" w:color="auto" w:fill="CCEDFF"/>
          </w:tcPr>
          <w:p>
            <w:pPr>
              <w:pStyle w:val="TableParagraph"/>
              <w:spacing w:before="13"/>
              <w:ind w:right="69"/>
              <w:jc w:val="right"/>
              <w:rPr>
                <w:sz w:val="18"/>
              </w:rPr>
            </w:pPr>
            <w:r>
              <w:rPr>
                <w:spacing w:val="-2"/>
                <w:sz w:val="18"/>
              </w:rPr>
              <w:t>8,386</w:t>
            </w:r>
          </w:p>
        </w:tc>
      </w:tr>
      <w:tr>
        <w:trPr>
          <w:trHeight w:val="250" w:hRule="atLeast"/>
        </w:trPr>
        <w:tc>
          <w:tcPr>
            <w:tcW w:w="5505" w:type="dxa"/>
            <w:tcBorders>
              <w:top w:val="single" w:sz="4" w:space="0" w:color="000000"/>
            </w:tcBorders>
          </w:tcPr>
          <w:p>
            <w:pPr>
              <w:pStyle w:val="TableParagraph"/>
              <w:spacing w:before="13"/>
              <w:ind w:left="277"/>
              <w:rPr>
                <w:sz w:val="18"/>
              </w:rPr>
            </w:pPr>
            <w:r>
              <w:rPr>
                <w:sz w:val="18"/>
              </w:rPr>
              <w:t>Bank </w:t>
            </w:r>
            <w:r>
              <w:rPr>
                <w:spacing w:val="-2"/>
                <w:sz w:val="18"/>
              </w:rPr>
              <w:t>deposits</w:t>
            </w:r>
          </w:p>
        </w:tc>
        <w:tc>
          <w:tcPr>
            <w:tcW w:w="1241" w:type="dxa"/>
            <w:tcBorders>
              <w:top w:val="single" w:sz="4" w:space="0" w:color="000000"/>
            </w:tcBorders>
          </w:tcPr>
          <w:p>
            <w:pPr>
              <w:pStyle w:val="TableParagraph"/>
              <w:spacing w:before="13"/>
              <w:ind w:right="68"/>
              <w:jc w:val="right"/>
              <w:rPr>
                <w:sz w:val="18"/>
              </w:rPr>
            </w:pPr>
            <w:r>
              <w:rPr>
                <w:spacing w:val="-2"/>
                <w:sz w:val="18"/>
              </w:rPr>
              <w:t>(911)</w:t>
            </w:r>
          </w:p>
        </w:tc>
        <w:tc>
          <w:tcPr>
            <w:tcW w:w="1192" w:type="dxa"/>
            <w:tcBorders>
              <w:top w:val="single" w:sz="4" w:space="0" w:color="000000"/>
            </w:tcBorders>
          </w:tcPr>
          <w:p>
            <w:pPr>
              <w:pStyle w:val="TableParagraph"/>
              <w:spacing w:before="13"/>
              <w:ind w:right="60"/>
              <w:jc w:val="right"/>
              <w:rPr>
                <w:sz w:val="18"/>
              </w:rPr>
            </w:pPr>
            <w:r>
              <w:rPr>
                <w:spacing w:val="-2"/>
                <w:sz w:val="18"/>
              </w:rPr>
              <w:t>(241)</w:t>
            </w:r>
          </w:p>
        </w:tc>
        <w:tc>
          <w:tcPr>
            <w:tcW w:w="1184" w:type="dxa"/>
            <w:tcBorders>
              <w:top w:val="single" w:sz="4" w:space="0" w:color="000000"/>
            </w:tcBorders>
          </w:tcPr>
          <w:p>
            <w:pPr>
              <w:pStyle w:val="TableParagraph"/>
              <w:spacing w:before="13"/>
              <w:ind w:right="59"/>
              <w:jc w:val="right"/>
              <w:rPr>
                <w:sz w:val="18"/>
              </w:rPr>
            </w:pPr>
            <w:r>
              <w:rPr>
                <w:spacing w:val="-2"/>
                <w:sz w:val="18"/>
              </w:rPr>
              <w:t>(2,392)</w:t>
            </w:r>
          </w:p>
        </w:tc>
        <w:tc>
          <w:tcPr>
            <w:tcW w:w="1135" w:type="dxa"/>
            <w:tcBorders>
              <w:top w:val="single" w:sz="4" w:space="0" w:color="000000"/>
            </w:tcBorders>
          </w:tcPr>
          <w:p>
            <w:pPr>
              <w:pStyle w:val="TableParagraph"/>
              <w:spacing w:before="13"/>
              <w:ind w:right="9"/>
              <w:jc w:val="right"/>
              <w:rPr>
                <w:sz w:val="18"/>
              </w:rPr>
            </w:pPr>
            <w:r>
              <w:rPr>
                <w:spacing w:val="-2"/>
                <w:sz w:val="18"/>
              </w:rPr>
              <w:t>(285)</w:t>
            </w:r>
          </w:p>
        </w:tc>
      </w:tr>
      <w:tr>
        <w:trPr>
          <w:trHeight w:val="255" w:hRule="atLeast"/>
        </w:trPr>
        <w:tc>
          <w:tcPr>
            <w:tcW w:w="5505" w:type="dxa"/>
            <w:shd w:val="clear" w:color="auto" w:fill="CCEDFF"/>
          </w:tcPr>
          <w:p>
            <w:pPr>
              <w:pStyle w:val="TableParagraph"/>
              <w:spacing w:before="18"/>
              <w:ind w:left="277"/>
              <w:rPr>
                <w:sz w:val="18"/>
              </w:rPr>
            </w:pPr>
            <w:r>
              <w:rPr>
                <w:sz w:val="18"/>
              </w:rPr>
              <w:t>Payables</w:t>
            </w:r>
            <w:r>
              <w:rPr>
                <w:spacing w:val="-2"/>
                <w:sz w:val="18"/>
              </w:rPr>
              <w:t> </w:t>
            </w:r>
            <w:r>
              <w:rPr>
                <w:sz w:val="18"/>
              </w:rPr>
              <w:t>to brokerage </w:t>
            </w:r>
            <w:r>
              <w:rPr>
                <w:spacing w:val="-2"/>
                <w:sz w:val="18"/>
              </w:rPr>
              <w:t>clients</w:t>
            </w:r>
          </w:p>
        </w:tc>
        <w:tc>
          <w:tcPr>
            <w:tcW w:w="1241" w:type="dxa"/>
            <w:shd w:val="clear" w:color="auto" w:fill="CCEDFF"/>
          </w:tcPr>
          <w:p>
            <w:pPr>
              <w:pStyle w:val="TableParagraph"/>
              <w:spacing w:before="18"/>
              <w:ind w:right="68"/>
              <w:jc w:val="right"/>
              <w:rPr>
                <w:sz w:val="18"/>
              </w:rPr>
            </w:pPr>
            <w:r>
              <w:rPr>
                <w:spacing w:val="-4"/>
                <w:sz w:val="18"/>
              </w:rPr>
              <w:t>(66)</w:t>
            </w:r>
          </w:p>
        </w:tc>
        <w:tc>
          <w:tcPr>
            <w:tcW w:w="1192" w:type="dxa"/>
            <w:shd w:val="clear" w:color="auto" w:fill="CCEDFF"/>
          </w:tcPr>
          <w:p>
            <w:pPr>
              <w:pStyle w:val="TableParagraph"/>
              <w:spacing w:before="18"/>
              <w:ind w:right="60"/>
              <w:jc w:val="right"/>
              <w:rPr>
                <w:sz w:val="18"/>
              </w:rPr>
            </w:pPr>
            <w:r>
              <w:rPr>
                <w:spacing w:val="-4"/>
                <w:sz w:val="18"/>
              </w:rPr>
              <w:t>(41)</w:t>
            </w:r>
          </w:p>
        </w:tc>
        <w:tc>
          <w:tcPr>
            <w:tcW w:w="1184" w:type="dxa"/>
            <w:shd w:val="clear" w:color="auto" w:fill="CCEDFF"/>
          </w:tcPr>
          <w:p>
            <w:pPr>
              <w:pStyle w:val="TableParagraph"/>
              <w:spacing w:before="18"/>
              <w:ind w:right="59"/>
              <w:jc w:val="right"/>
              <w:rPr>
                <w:sz w:val="18"/>
              </w:rPr>
            </w:pPr>
            <w:r>
              <w:rPr>
                <w:spacing w:val="-2"/>
                <w:sz w:val="18"/>
              </w:rPr>
              <w:t>(205)</w:t>
            </w:r>
          </w:p>
        </w:tc>
        <w:tc>
          <w:tcPr>
            <w:tcW w:w="1135" w:type="dxa"/>
            <w:shd w:val="clear" w:color="auto" w:fill="CCEDFF"/>
          </w:tcPr>
          <w:p>
            <w:pPr>
              <w:pStyle w:val="TableParagraph"/>
              <w:spacing w:before="18"/>
              <w:ind w:right="9"/>
              <w:jc w:val="right"/>
              <w:rPr>
                <w:sz w:val="18"/>
              </w:rPr>
            </w:pPr>
            <w:r>
              <w:rPr>
                <w:spacing w:val="-4"/>
                <w:sz w:val="18"/>
              </w:rPr>
              <w:t>(47)</w:t>
            </w:r>
          </w:p>
        </w:tc>
      </w:tr>
      <w:tr>
        <w:trPr>
          <w:trHeight w:val="255" w:hRule="atLeast"/>
        </w:trPr>
        <w:tc>
          <w:tcPr>
            <w:tcW w:w="5505" w:type="dxa"/>
          </w:tcPr>
          <w:p>
            <w:pPr>
              <w:pStyle w:val="TableParagraph"/>
              <w:spacing w:before="18"/>
              <w:ind w:left="277"/>
              <w:rPr>
                <w:sz w:val="18"/>
              </w:rPr>
            </w:pPr>
            <w:r>
              <w:rPr>
                <w:sz w:val="18"/>
              </w:rPr>
              <w:t>Other</w:t>
            </w:r>
            <w:r>
              <w:rPr>
                <w:spacing w:val="-2"/>
                <w:sz w:val="18"/>
              </w:rPr>
              <w:t> </w:t>
            </w:r>
            <w:r>
              <w:rPr>
                <w:sz w:val="18"/>
              </w:rPr>
              <w:t>short-term</w:t>
            </w:r>
            <w:r>
              <w:rPr>
                <w:spacing w:val="-1"/>
                <w:sz w:val="18"/>
              </w:rPr>
              <w:t> </w:t>
            </w:r>
            <w:r>
              <w:rPr>
                <w:sz w:val="18"/>
              </w:rPr>
              <w:t>borrowings</w:t>
            </w:r>
            <w:r>
              <w:rPr>
                <w:spacing w:val="-2"/>
                <w:sz w:val="18"/>
              </w:rPr>
              <w:t> </w:t>
            </w:r>
            <w:r>
              <w:rPr>
                <w:spacing w:val="-5"/>
                <w:sz w:val="18"/>
                <w:vertAlign w:val="superscript"/>
              </w:rPr>
              <w:t>(1)</w:t>
            </w:r>
          </w:p>
        </w:tc>
        <w:tc>
          <w:tcPr>
            <w:tcW w:w="1241" w:type="dxa"/>
          </w:tcPr>
          <w:p>
            <w:pPr>
              <w:pStyle w:val="TableParagraph"/>
              <w:spacing w:before="18"/>
              <w:ind w:right="68"/>
              <w:jc w:val="right"/>
              <w:rPr>
                <w:sz w:val="18"/>
              </w:rPr>
            </w:pPr>
            <w:r>
              <w:rPr>
                <w:spacing w:val="-4"/>
                <w:sz w:val="18"/>
              </w:rPr>
              <w:t>(97)</w:t>
            </w:r>
          </w:p>
        </w:tc>
        <w:tc>
          <w:tcPr>
            <w:tcW w:w="1192" w:type="dxa"/>
          </w:tcPr>
          <w:p>
            <w:pPr>
              <w:pStyle w:val="TableParagraph"/>
              <w:spacing w:before="18"/>
              <w:ind w:right="60"/>
              <w:jc w:val="right"/>
              <w:rPr>
                <w:sz w:val="18"/>
              </w:rPr>
            </w:pPr>
            <w:r>
              <w:rPr>
                <w:spacing w:val="-5"/>
                <w:sz w:val="18"/>
              </w:rPr>
              <w:t>(4)</w:t>
            </w:r>
          </w:p>
        </w:tc>
        <w:tc>
          <w:tcPr>
            <w:tcW w:w="1184" w:type="dxa"/>
          </w:tcPr>
          <w:p>
            <w:pPr>
              <w:pStyle w:val="TableParagraph"/>
              <w:spacing w:before="18"/>
              <w:ind w:right="59"/>
              <w:jc w:val="right"/>
              <w:rPr>
                <w:sz w:val="18"/>
              </w:rPr>
            </w:pPr>
            <w:r>
              <w:rPr>
                <w:spacing w:val="-2"/>
                <w:sz w:val="18"/>
              </w:rPr>
              <w:t>(280)</w:t>
            </w:r>
          </w:p>
        </w:tc>
        <w:tc>
          <w:tcPr>
            <w:tcW w:w="1135" w:type="dxa"/>
          </w:tcPr>
          <w:p>
            <w:pPr>
              <w:pStyle w:val="TableParagraph"/>
              <w:spacing w:before="18"/>
              <w:ind w:right="9"/>
              <w:jc w:val="right"/>
              <w:rPr>
                <w:sz w:val="18"/>
              </w:rPr>
            </w:pPr>
            <w:r>
              <w:rPr>
                <w:spacing w:val="-4"/>
                <w:sz w:val="18"/>
              </w:rPr>
              <w:t>(12)</w:t>
            </w:r>
          </w:p>
        </w:tc>
      </w:tr>
      <w:tr>
        <w:trPr>
          <w:trHeight w:val="255" w:hRule="atLeast"/>
        </w:trPr>
        <w:tc>
          <w:tcPr>
            <w:tcW w:w="5505" w:type="dxa"/>
            <w:shd w:val="clear" w:color="auto" w:fill="CCEDFF"/>
          </w:tcPr>
          <w:p>
            <w:pPr>
              <w:pStyle w:val="TableParagraph"/>
              <w:spacing w:before="18"/>
              <w:ind w:left="292"/>
              <w:rPr>
                <w:sz w:val="18"/>
              </w:rPr>
            </w:pPr>
            <w:r>
              <w:rPr>
                <w:sz w:val="18"/>
              </w:rPr>
              <w:t>Federal</w:t>
            </w:r>
            <w:r>
              <w:rPr>
                <w:spacing w:val="-1"/>
                <w:sz w:val="18"/>
              </w:rPr>
              <w:t> </w:t>
            </w:r>
            <w:r>
              <w:rPr>
                <w:sz w:val="18"/>
              </w:rPr>
              <w:t>Home</w:t>
            </w:r>
            <w:r>
              <w:rPr>
                <w:spacing w:val="-1"/>
                <w:sz w:val="18"/>
              </w:rPr>
              <w:t> </w:t>
            </w:r>
            <w:r>
              <w:rPr>
                <w:sz w:val="18"/>
              </w:rPr>
              <w:t>Loan Bank</w:t>
            </w:r>
            <w:r>
              <w:rPr>
                <w:spacing w:val="-1"/>
                <w:sz w:val="18"/>
              </w:rPr>
              <w:t> </w:t>
            </w:r>
            <w:r>
              <w:rPr>
                <w:sz w:val="18"/>
              </w:rPr>
              <w:t>borrowings</w:t>
            </w:r>
            <w:r>
              <w:rPr>
                <w:spacing w:val="-2"/>
                <w:sz w:val="18"/>
              </w:rPr>
              <w:t> </w:t>
            </w:r>
            <w:r>
              <w:rPr>
                <w:spacing w:val="-5"/>
                <w:sz w:val="18"/>
                <w:vertAlign w:val="superscript"/>
              </w:rPr>
              <w:t>(1)</w:t>
            </w:r>
          </w:p>
        </w:tc>
        <w:tc>
          <w:tcPr>
            <w:tcW w:w="1241" w:type="dxa"/>
            <w:shd w:val="clear" w:color="auto" w:fill="CCEDFF"/>
          </w:tcPr>
          <w:p>
            <w:pPr>
              <w:pStyle w:val="TableParagraph"/>
              <w:spacing w:before="18"/>
              <w:ind w:right="68"/>
              <w:jc w:val="right"/>
              <w:rPr>
                <w:sz w:val="18"/>
              </w:rPr>
            </w:pPr>
            <w:r>
              <w:rPr>
                <w:spacing w:val="-2"/>
                <w:sz w:val="18"/>
              </w:rPr>
              <w:t>(477)</w:t>
            </w:r>
          </w:p>
        </w:tc>
        <w:tc>
          <w:tcPr>
            <w:tcW w:w="1192" w:type="dxa"/>
            <w:shd w:val="clear" w:color="auto" w:fill="CCEDFF"/>
          </w:tcPr>
          <w:p>
            <w:pPr>
              <w:pStyle w:val="TableParagraph"/>
              <w:spacing w:before="18"/>
              <w:ind w:right="120"/>
              <w:jc w:val="right"/>
              <w:rPr>
                <w:sz w:val="18"/>
              </w:rPr>
            </w:pPr>
            <w:r>
              <w:rPr>
                <w:spacing w:val="-10"/>
                <w:sz w:val="18"/>
              </w:rPr>
              <w:t>—</w:t>
            </w:r>
          </w:p>
        </w:tc>
        <w:tc>
          <w:tcPr>
            <w:tcW w:w="1184" w:type="dxa"/>
            <w:shd w:val="clear" w:color="auto" w:fill="CCEDFF"/>
          </w:tcPr>
          <w:p>
            <w:pPr>
              <w:pStyle w:val="TableParagraph"/>
              <w:spacing w:before="18"/>
              <w:ind w:right="59"/>
              <w:jc w:val="right"/>
              <w:rPr>
                <w:sz w:val="18"/>
              </w:rPr>
            </w:pPr>
            <w:r>
              <w:rPr>
                <w:spacing w:val="-2"/>
                <w:sz w:val="18"/>
              </w:rPr>
              <w:t>(1,387)</w:t>
            </w:r>
          </w:p>
        </w:tc>
        <w:tc>
          <w:tcPr>
            <w:tcW w:w="1135" w:type="dxa"/>
            <w:shd w:val="clear" w:color="auto" w:fill="CCEDFF"/>
          </w:tcPr>
          <w:p>
            <w:pPr>
              <w:pStyle w:val="TableParagraph"/>
              <w:spacing w:before="18"/>
              <w:ind w:right="69"/>
              <w:jc w:val="right"/>
              <w:rPr>
                <w:sz w:val="18"/>
              </w:rPr>
            </w:pPr>
            <w:r>
              <w:rPr>
                <w:spacing w:val="-10"/>
                <w:sz w:val="18"/>
              </w:rPr>
              <w:t>—</w:t>
            </w:r>
          </w:p>
        </w:tc>
      </w:tr>
      <w:tr>
        <w:trPr>
          <w:trHeight w:val="255" w:hRule="atLeast"/>
        </w:trPr>
        <w:tc>
          <w:tcPr>
            <w:tcW w:w="5505" w:type="dxa"/>
          </w:tcPr>
          <w:p>
            <w:pPr>
              <w:pStyle w:val="TableParagraph"/>
              <w:spacing w:before="18"/>
              <w:ind w:left="277"/>
              <w:rPr>
                <w:sz w:val="18"/>
              </w:rPr>
            </w:pPr>
            <w:r>
              <w:rPr>
                <w:sz w:val="18"/>
              </w:rPr>
              <w:t>Long-term </w:t>
            </w:r>
            <w:r>
              <w:rPr>
                <w:spacing w:val="-4"/>
                <w:sz w:val="18"/>
              </w:rPr>
              <w:t>debt</w:t>
            </w:r>
          </w:p>
        </w:tc>
        <w:tc>
          <w:tcPr>
            <w:tcW w:w="1241" w:type="dxa"/>
          </w:tcPr>
          <w:p>
            <w:pPr>
              <w:pStyle w:val="TableParagraph"/>
              <w:spacing w:before="18"/>
              <w:ind w:right="68"/>
              <w:jc w:val="right"/>
              <w:rPr>
                <w:sz w:val="18"/>
              </w:rPr>
            </w:pPr>
            <w:r>
              <w:rPr>
                <w:spacing w:val="-2"/>
                <w:sz w:val="18"/>
              </w:rPr>
              <w:t>(193)</w:t>
            </w:r>
          </w:p>
        </w:tc>
        <w:tc>
          <w:tcPr>
            <w:tcW w:w="1192" w:type="dxa"/>
          </w:tcPr>
          <w:p>
            <w:pPr>
              <w:pStyle w:val="TableParagraph"/>
              <w:spacing w:before="18"/>
              <w:ind w:right="60"/>
              <w:jc w:val="right"/>
              <w:rPr>
                <w:sz w:val="18"/>
              </w:rPr>
            </w:pPr>
            <w:r>
              <w:rPr>
                <w:spacing w:val="-2"/>
                <w:sz w:val="18"/>
              </w:rPr>
              <w:t>(131)</w:t>
            </w:r>
          </w:p>
        </w:tc>
        <w:tc>
          <w:tcPr>
            <w:tcW w:w="1184" w:type="dxa"/>
          </w:tcPr>
          <w:p>
            <w:pPr>
              <w:pStyle w:val="TableParagraph"/>
              <w:spacing w:before="18"/>
              <w:ind w:right="59"/>
              <w:jc w:val="right"/>
              <w:rPr>
                <w:sz w:val="18"/>
              </w:rPr>
            </w:pPr>
            <w:r>
              <w:rPr>
                <w:spacing w:val="-2"/>
                <w:sz w:val="18"/>
              </w:rPr>
              <w:t>(489)</w:t>
            </w:r>
          </w:p>
        </w:tc>
        <w:tc>
          <w:tcPr>
            <w:tcW w:w="1135" w:type="dxa"/>
          </w:tcPr>
          <w:p>
            <w:pPr>
              <w:pStyle w:val="TableParagraph"/>
              <w:spacing w:before="18"/>
              <w:ind w:right="9"/>
              <w:jc w:val="right"/>
              <w:rPr>
                <w:sz w:val="18"/>
              </w:rPr>
            </w:pPr>
            <w:r>
              <w:rPr>
                <w:spacing w:val="-2"/>
                <w:sz w:val="18"/>
              </w:rPr>
              <w:t>(363)</w:t>
            </w:r>
          </w:p>
        </w:tc>
      </w:tr>
      <w:tr>
        <w:trPr>
          <w:trHeight w:val="255" w:hRule="atLeast"/>
        </w:trPr>
        <w:tc>
          <w:tcPr>
            <w:tcW w:w="5505" w:type="dxa"/>
            <w:shd w:val="clear" w:color="auto" w:fill="CCEDFF"/>
          </w:tcPr>
          <w:p>
            <w:pPr>
              <w:pStyle w:val="TableParagraph"/>
              <w:spacing w:before="18"/>
              <w:ind w:left="277"/>
              <w:rPr>
                <w:sz w:val="18"/>
              </w:rPr>
            </w:pPr>
            <w:r>
              <w:rPr>
                <w:sz w:val="18"/>
              </w:rPr>
              <w:t>Securities</w:t>
            </w:r>
            <w:r>
              <w:rPr>
                <w:spacing w:val="-2"/>
                <w:sz w:val="18"/>
              </w:rPr>
              <w:t> </w:t>
            </w:r>
            <w:r>
              <w:rPr>
                <w:sz w:val="18"/>
              </w:rPr>
              <w:t>lending </w:t>
            </w:r>
            <w:r>
              <w:rPr>
                <w:spacing w:val="-2"/>
                <w:sz w:val="18"/>
              </w:rPr>
              <w:t>expense</w:t>
            </w:r>
          </w:p>
        </w:tc>
        <w:tc>
          <w:tcPr>
            <w:tcW w:w="1241" w:type="dxa"/>
            <w:shd w:val="clear" w:color="auto" w:fill="CCEDFF"/>
          </w:tcPr>
          <w:p>
            <w:pPr>
              <w:pStyle w:val="TableParagraph"/>
              <w:spacing w:before="18"/>
              <w:ind w:right="68"/>
              <w:jc w:val="right"/>
              <w:rPr>
                <w:sz w:val="18"/>
              </w:rPr>
            </w:pPr>
            <w:r>
              <w:rPr>
                <w:spacing w:val="-4"/>
                <w:sz w:val="18"/>
              </w:rPr>
              <w:t>(46)</w:t>
            </w:r>
          </w:p>
        </w:tc>
        <w:tc>
          <w:tcPr>
            <w:tcW w:w="1192" w:type="dxa"/>
            <w:shd w:val="clear" w:color="auto" w:fill="CCEDFF"/>
          </w:tcPr>
          <w:p>
            <w:pPr>
              <w:pStyle w:val="TableParagraph"/>
              <w:spacing w:before="18"/>
              <w:ind w:right="60"/>
              <w:jc w:val="right"/>
              <w:rPr>
                <w:sz w:val="18"/>
              </w:rPr>
            </w:pPr>
            <w:r>
              <w:rPr>
                <w:spacing w:val="-4"/>
                <w:sz w:val="18"/>
              </w:rPr>
              <w:t>(13)</w:t>
            </w:r>
          </w:p>
        </w:tc>
        <w:tc>
          <w:tcPr>
            <w:tcW w:w="1184" w:type="dxa"/>
            <w:shd w:val="clear" w:color="auto" w:fill="CCEDFF"/>
          </w:tcPr>
          <w:p>
            <w:pPr>
              <w:pStyle w:val="TableParagraph"/>
              <w:spacing w:before="18"/>
              <w:ind w:right="59"/>
              <w:jc w:val="right"/>
              <w:rPr>
                <w:sz w:val="18"/>
              </w:rPr>
            </w:pPr>
            <w:r>
              <w:rPr>
                <w:spacing w:val="-4"/>
                <w:sz w:val="18"/>
              </w:rPr>
              <w:t>(96)</w:t>
            </w:r>
          </w:p>
        </w:tc>
        <w:tc>
          <w:tcPr>
            <w:tcW w:w="1135" w:type="dxa"/>
            <w:shd w:val="clear" w:color="auto" w:fill="CCEDFF"/>
          </w:tcPr>
          <w:p>
            <w:pPr>
              <w:pStyle w:val="TableParagraph"/>
              <w:spacing w:before="18"/>
              <w:ind w:right="9"/>
              <w:jc w:val="right"/>
              <w:rPr>
                <w:sz w:val="18"/>
              </w:rPr>
            </w:pPr>
            <w:r>
              <w:rPr>
                <w:spacing w:val="-4"/>
                <w:sz w:val="18"/>
              </w:rPr>
              <w:t>(28)</w:t>
            </w:r>
          </w:p>
        </w:tc>
      </w:tr>
      <w:tr>
        <w:trPr>
          <w:trHeight w:val="250" w:hRule="atLeast"/>
        </w:trPr>
        <w:tc>
          <w:tcPr>
            <w:tcW w:w="5505" w:type="dxa"/>
            <w:tcBorders>
              <w:bottom w:val="single" w:sz="4" w:space="0" w:color="000000"/>
            </w:tcBorders>
          </w:tcPr>
          <w:p>
            <w:pPr>
              <w:pStyle w:val="TableParagraph"/>
              <w:spacing w:before="18"/>
              <w:ind w:left="277"/>
              <w:rPr>
                <w:sz w:val="18"/>
              </w:rPr>
            </w:pPr>
            <w:r>
              <w:rPr>
                <w:sz w:val="18"/>
              </w:rPr>
              <w:t>Other</w:t>
            </w:r>
            <w:r>
              <w:rPr>
                <w:spacing w:val="-1"/>
                <w:sz w:val="18"/>
              </w:rPr>
              <w:t> </w:t>
            </w:r>
            <w:r>
              <w:rPr>
                <w:sz w:val="18"/>
              </w:rPr>
              <w:t>interest</w:t>
            </w:r>
            <w:r>
              <w:rPr>
                <w:spacing w:val="-1"/>
                <w:sz w:val="18"/>
              </w:rPr>
              <w:t> </w:t>
            </w:r>
            <w:r>
              <w:rPr>
                <w:spacing w:val="-2"/>
                <w:sz w:val="18"/>
              </w:rPr>
              <w:t>expense</w:t>
            </w:r>
          </w:p>
        </w:tc>
        <w:tc>
          <w:tcPr>
            <w:tcW w:w="1241" w:type="dxa"/>
            <w:tcBorders>
              <w:bottom w:val="single" w:sz="4" w:space="0" w:color="000000"/>
            </w:tcBorders>
          </w:tcPr>
          <w:p>
            <w:pPr>
              <w:pStyle w:val="TableParagraph"/>
              <w:spacing w:before="18"/>
              <w:ind w:right="68"/>
              <w:jc w:val="right"/>
              <w:rPr>
                <w:sz w:val="18"/>
              </w:rPr>
            </w:pPr>
            <w:r>
              <w:rPr>
                <w:spacing w:val="-5"/>
                <w:sz w:val="18"/>
              </w:rPr>
              <w:t>(1)</w:t>
            </w:r>
          </w:p>
        </w:tc>
        <w:tc>
          <w:tcPr>
            <w:tcW w:w="1192" w:type="dxa"/>
            <w:tcBorders>
              <w:bottom w:val="single" w:sz="4" w:space="0" w:color="000000"/>
            </w:tcBorders>
          </w:tcPr>
          <w:p>
            <w:pPr>
              <w:pStyle w:val="TableParagraph"/>
              <w:spacing w:before="18"/>
              <w:ind w:right="60"/>
              <w:jc w:val="right"/>
              <w:rPr>
                <w:sz w:val="18"/>
              </w:rPr>
            </w:pPr>
            <w:r>
              <w:rPr>
                <w:spacing w:val="-5"/>
                <w:sz w:val="18"/>
              </w:rPr>
              <w:t>(1)</w:t>
            </w:r>
          </w:p>
        </w:tc>
        <w:tc>
          <w:tcPr>
            <w:tcW w:w="1184" w:type="dxa"/>
            <w:tcBorders>
              <w:bottom w:val="single" w:sz="4" w:space="0" w:color="000000"/>
            </w:tcBorders>
          </w:tcPr>
          <w:p>
            <w:pPr>
              <w:pStyle w:val="TableParagraph"/>
              <w:spacing w:before="18"/>
              <w:ind w:right="59"/>
              <w:jc w:val="right"/>
              <w:rPr>
                <w:sz w:val="18"/>
              </w:rPr>
            </w:pPr>
            <w:r>
              <w:rPr>
                <w:spacing w:val="-5"/>
                <w:sz w:val="18"/>
              </w:rPr>
              <w:t>(2)</w:t>
            </w:r>
          </w:p>
        </w:tc>
        <w:tc>
          <w:tcPr>
            <w:tcW w:w="1135" w:type="dxa"/>
            <w:tcBorders>
              <w:bottom w:val="single" w:sz="4" w:space="0" w:color="000000"/>
            </w:tcBorders>
          </w:tcPr>
          <w:p>
            <w:pPr>
              <w:pStyle w:val="TableParagraph"/>
              <w:spacing w:before="18"/>
              <w:ind w:right="69"/>
              <w:jc w:val="right"/>
              <w:rPr>
                <w:sz w:val="18"/>
              </w:rPr>
            </w:pPr>
            <w:r>
              <w:rPr>
                <w:spacing w:val="-10"/>
                <w:sz w:val="18"/>
              </w:rPr>
              <w:t>2</w:t>
            </w:r>
          </w:p>
        </w:tc>
      </w:tr>
      <w:tr>
        <w:trPr>
          <w:trHeight w:val="245" w:hRule="atLeast"/>
        </w:trPr>
        <w:tc>
          <w:tcPr>
            <w:tcW w:w="5505" w:type="dxa"/>
            <w:tcBorders>
              <w:top w:val="single" w:sz="4" w:space="0" w:color="000000"/>
              <w:bottom w:val="single" w:sz="4" w:space="0" w:color="000000"/>
            </w:tcBorders>
            <w:shd w:val="clear" w:color="auto" w:fill="CCEDFF"/>
          </w:tcPr>
          <w:p>
            <w:pPr>
              <w:pStyle w:val="TableParagraph"/>
              <w:spacing w:before="13"/>
              <w:ind w:left="157"/>
              <w:rPr>
                <w:sz w:val="18"/>
              </w:rPr>
            </w:pPr>
            <w:r>
              <w:rPr>
                <w:sz w:val="18"/>
              </w:rPr>
              <w:t>Interest</w:t>
            </w:r>
            <w:r>
              <w:rPr>
                <w:spacing w:val="-1"/>
                <w:sz w:val="18"/>
              </w:rPr>
              <w:t> </w:t>
            </w:r>
            <w:r>
              <w:rPr>
                <w:spacing w:val="-2"/>
                <w:sz w:val="18"/>
              </w:rPr>
              <w:t>expense</w:t>
            </w:r>
          </w:p>
        </w:tc>
        <w:tc>
          <w:tcPr>
            <w:tcW w:w="1241" w:type="dxa"/>
            <w:tcBorders>
              <w:top w:val="single" w:sz="4" w:space="0" w:color="000000"/>
              <w:bottom w:val="single" w:sz="4" w:space="0" w:color="000000"/>
            </w:tcBorders>
            <w:shd w:val="clear" w:color="auto" w:fill="CCEDFF"/>
          </w:tcPr>
          <w:p>
            <w:pPr>
              <w:pStyle w:val="TableParagraph"/>
              <w:spacing w:before="13"/>
              <w:ind w:right="68"/>
              <w:jc w:val="right"/>
              <w:rPr>
                <w:sz w:val="18"/>
              </w:rPr>
            </w:pPr>
            <w:r>
              <w:rPr>
                <w:spacing w:val="-2"/>
                <w:sz w:val="18"/>
              </w:rPr>
              <w:t>(1,791)</w:t>
            </w:r>
          </w:p>
        </w:tc>
        <w:tc>
          <w:tcPr>
            <w:tcW w:w="1192" w:type="dxa"/>
            <w:tcBorders>
              <w:top w:val="single" w:sz="4" w:space="0" w:color="000000"/>
              <w:bottom w:val="single" w:sz="4" w:space="0" w:color="000000"/>
            </w:tcBorders>
            <w:shd w:val="clear" w:color="auto" w:fill="CCEDFF"/>
          </w:tcPr>
          <w:p>
            <w:pPr>
              <w:pStyle w:val="TableParagraph"/>
              <w:spacing w:before="13"/>
              <w:ind w:right="60"/>
              <w:jc w:val="right"/>
              <w:rPr>
                <w:sz w:val="18"/>
              </w:rPr>
            </w:pPr>
            <w:r>
              <w:rPr>
                <w:spacing w:val="-2"/>
                <w:sz w:val="18"/>
              </w:rPr>
              <w:t>(431)</w:t>
            </w:r>
          </w:p>
        </w:tc>
        <w:tc>
          <w:tcPr>
            <w:tcW w:w="1184" w:type="dxa"/>
            <w:tcBorders>
              <w:top w:val="single" w:sz="4" w:space="0" w:color="000000"/>
              <w:bottom w:val="single" w:sz="4" w:space="0" w:color="000000"/>
            </w:tcBorders>
            <w:shd w:val="clear" w:color="auto" w:fill="CCEDFF"/>
          </w:tcPr>
          <w:p>
            <w:pPr>
              <w:pStyle w:val="TableParagraph"/>
              <w:spacing w:before="13"/>
              <w:ind w:right="59"/>
              <w:jc w:val="right"/>
              <w:rPr>
                <w:sz w:val="18"/>
              </w:rPr>
            </w:pPr>
            <w:r>
              <w:rPr>
                <w:spacing w:val="-2"/>
                <w:sz w:val="18"/>
              </w:rPr>
              <w:t>(4,851)</w:t>
            </w:r>
          </w:p>
        </w:tc>
        <w:tc>
          <w:tcPr>
            <w:tcW w:w="1135" w:type="dxa"/>
            <w:tcBorders>
              <w:top w:val="single" w:sz="4" w:space="0" w:color="000000"/>
              <w:bottom w:val="single" w:sz="4" w:space="0" w:color="000000"/>
            </w:tcBorders>
            <w:shd w:val="clear" w:color="auto" w:fill="CCEDFF"/>
          </w:tcPr>
          <w:p>
            <w:pPr>
              <w:pStyle w:val="TableParagraph"/>
              <w:spacing w:before="13"/>
              <w:ind w:right="9"/>
              <w:jc w:val="right"/>
              <w:rPr>
                <w:sz w:val="18"/>
              </w:rPr>
            </w:pPr>
            <w:r>
              <w:rPr>
                <w:spacing w:val="-2"/>
                <w:sz w:val="18"/>
              </w:rPr>
              <w:t>(733)</w:t>
            </w:r>
          </w:p>
        </w:tc>
      </w:tr>
      <w:tr>
        <w:trPr>
          <w:trHeight w:val="245" w:hRule="atLeast"/>
        </w:trPr>
        <w:tc>
          <w:tcPr>
            <w:tcW w:w="5505" w:type="dxa"/>
            <w:tcBorders>
              <w:top w:val="single" w:sz="4" w:space="0" w:color="000000"/>
              <w:bottom w:val="single" w:sz="4" w:space="0" w:color="000000"/>
            </w:tcBorders>
          </w:tcPr>
          <w:p>
            <w:pPr>
              <w:pStyle w:val="TableParagraph"/>
              <w:spacing w:before="13"/>
              <w:ind w:left="52"/>
              <w:rPr>
                <w:sz w:val="18"/>
              </w:rPr>
            </w:pPr>
            <w:r>
              <w:rPr>
                <w:sz w:val="18"/>
              </w:rPr>
              <w:t>Net</w:t>
            </w:r>
            <w:r>
              <w:rPr>
                <w:spacing w:val="-1"/>
                <w:sz w:val="18"/>
              </w:rPr>
              <w:t> </w:t>
            </w:r>
            <w:r>
              <w:rPr>
                <w:sz w:val="18"/>
              </w:rPr>
              <w:t>interest</w:t>
            </w:r>
            <w:r>
              <w:rPr>
                <w:spacing w:val="-1"/>
                <w:sz w:val="18"/>
              </w:rPr>
              <w:t> </w:t>
            </w:r>
            <w:r>
              <w:rPr>
                <w:spacing w:val="-2"/>
                <w:sz w:val="18"/>
              </w:rPr>
              <w:t>revenue</w:t>
            </w:r>
          </w:p>
        </w:tc>
        <w:tc>
          <w:tcPr>
            <w:tcW w:w="1241" w:type="dxa"/>
            <w:tcBorders>
              <w:top w:val="single" w:sz="4" w:space="0" w:color="000000"/>
              <w:bottom w:val="single" w:sz="4" w:space="0" w:color="000000"/>
            </w:tcBorders>
          </w:tcPr>
          <w:p>
            <w:pPr>
              <w:pStyle w:val="TableParagraph"/>
              <w:spacing w:before="13"/>
              <w:ind w:right="128"/>
              <w:jc w:val="right"/>
              <w:rPr>
                <w:sz w:val="18"/>
              </w:rPr>
            </w:pPr>
            <w:r>
              <w:rPr>
                <w:spacing w:val="-2"/>
                <w:sz w:val="18"/>
              </w:rPr>
              <w:t>2,237</w:t>
            </w:r>
          </w:p>
        </w:tc>
        <w:tc>
          <w:tcPr>
            <w:tcW w:w="1192" w:type="dxa"/>
            <w:tcBorders>
              <w:top w:val="single" w:sz="4" w:space="0" w:color="000000"/>
              <w:bottom w:val="single" w:sz="4" w:space="0" w:color="000000"/>
            </w:tcBorders>
          </w:tcPr>
          <w:p>
            <w:pPr>
              <w:pStyle w:val="TableParagraph"/>
              <w:spacing w:before="13"/>
              <w:ind w:right="120"/>
              <w:jc w:val="right"/>
              <w:rPr>
                <w:sz w:val="18"/>
              </w:rPr>
            </w:pPr>
            <w:r>
              <w:rPr>
                <w:spacing w:val="-2"/>
                <w:sz w:val="18"/>
              </w:rPr>
              <w:t>2,926</w:t>
            </w:r>
          </w:p>
        </w:tc>
        <w:tc>
          <w:tcPr>
            <w:tcW w:w="1184" w:type="dxa"/>
            <w:tcBorders>
              <w:top w:val="single" w:sz="4" w:space="0" w:color="000000"/>
              <w:bottom w:val="single" w:sz="4" w:space="0" w:color="000000"/>
            </w:tcBorders>
          </w:tcPr>
          <w:p>
            <w:pPr>
              <w:pStyle w:val="TableParagraph"/>
              <w:spacing w:before="13"/>
              <w:ind w:right="119"/>
              <w:jc w:val="right"/>
              <w:rPr>
                <w:sz w:val="18"/>
              </w:rPr>
            </w:pPr>
            <w:r>
              <w:rPr>
                <w:spacing w:val="-2"/>
                <w:sz w:val="18"/>
              </w:rPr>
              <w:t>7,297</w:t>
            </w:r>
          </w:p>
        </w:tc>
        <w:tc>
          <w:tcPr>
            <w:tcW w:w="1135" w:type="dxa"/>
            <w:tcBorders>
              <w:top w:val="single" w:sz="4" w:space="0" w:color="000000"/>
              <w:bottom w:val="single" w:sz="4" w:space="0" w:color="000000"/>
            </w:tcBorders>
          </w:tcPr>
          <w:p>
            <w:pPr>
              <w:pStyle w:val="TableParagraph"/>
              <w:spacing w:before="13"/>
              <w:ind w:right="69"/>
              <w:jc w:val="right"/>
              <w:rPr>
                <w:sz w:val="18"/>
              </w:rPr>
            </w:pPr>
            <w:r>
              <w:rPr>
                <w:spacing w:val="-2"/>
                <w:sz w:val="18"/>
              </w:rPr>
              <w:t>7,653</w:t>
            </w:r>
          </w:p>
        </w:tc>
      </w:tr>
      <w:tr>
        <w:trPr>
          <w:trHeight w:val="250" w:hRule="atLeast"/>
        </w:trPr>
        <w:tc>
          <w:tcPr>
            <w:tcW w:w="5505" w:type="dxa"/>
            <w:tcBorders>
              <w:top w:val="single" w:sz="4" w:space="0" w:color="000000"/>
            </w:tcBorders>
            <w:shd w:val="clear" w:color="auto" w:fill="CCEDFF"/>
          </w:tcPr>
          <w:p>
            <w:pPr>
              <w:pStyle w:val="TableParagraph"/>
              <w:spacing w:before="13"/>
              <w:ind w:left="52"/>
              <w:rPr>
                <w:b/>
                <w:sz w:val="18"/>
              </w:rPr>
            </w:pPr>
            <w:r>
              <w:rPr>
                <w:b/>
                <w:sz w:val="18"/>
              </w:rPr>
              <w:t>Asset</w:t>
            </w:r>
            <w:r>
              <w:rPr>
                <w:b/>
                <w:spacing w:val="-3"/>
                <w:sz w:val="18"/>
              </w:rPr>
              <w:t> </w:t>
            </w:r>
            <w:r>
              <w:rPr>
                <w:b/>
                <w:sz w:val="18"/>
              </w:rPr>
              <w:t>management</w:t>
            </w:r>
            <w:r>
              <w:rPr>
                <w:b/>
                <w:spacing w:val="-2"/>
                <w:sz w:val="18"/>
              </w:rPr>
              <w:t> </w:t>
            </w:r>
            <w:r>
              <w:rPr>
                <w:b/>
                <w:sz w:val="18"/>
              </w:rPr>
              <w:t>and</w:t>
            </w:r>
            <w:r>
              <w:rPr>
                <w:b/>
                <w:spacing w:val="-3"/>
                <w:sz w:val="18"/>
              </w:rPr>
              <w:t> </w:t>
            </w:r>
            <w:r>
              <w:rPr>
                <w:b/>
                <w:sz w:val="18"/>
              </w:rPr>
              <w:t>administration</w:t>
            </w:r>
            <w:r>
              <w:rPr>
                <w:b/>
                <w:spacing w:val="-3"/>
                <w:sz w:val="18"/>
              </w:rPr>
              <w:t> </w:t>
            </w:r>
            <w:r>
              <w:rPr>
                <w:b/>
                <w:spacing w:val="-4"/>
                <w:sz w:val="18"/>
              </w:rPr>
              <w:t>fees</w:t>
            </w:r>
          </w:p>
        </w:tc>
        <w:tc>
          <w:tcPr>
            <w:tcW w:w="1241" w:type="dxa"/>
            <w:tcBorders>
              <w:top w:val="single" w:sz="4" w:space="0" w:color="000000"/>
            </w:tcBorders>
            <w:shd w:val="clear" w:color="auto" w:fill="CCEDFF"/>
          </w:tcPr>
          <w:p>
            <w:pPr>
              <w:pStyle w:val="TableParagraph"/>
              <w:rPr>
                <w:sz w:val="18"/>
              </w:rPr>
            </w:pPr>
          </w:p>
        </w:tc>
        <w:tc>
          <w:tcPr>
            <w:tcW w:w="1192" w:type="dxa"/>
            <w:tcBorders>
              <w:top w:val="single" w:sz="4" w:space="0" w:color="000000"/>
            </w:tcBorders>
            <w:shd w:val="clear" w:color="auto" w:fill="CCEDFF"/>
          </w:tcPr>
          <w:p>
            <w:pPr>
              <w:pStyle w:val="TableParagraph"/>
              <w:rPr>
                <w:sz w:val="18"/>
              </w:rPr>
            </w:pPr>
          </w:p>
        </w:tc>
        <w:tc>
          <w:tcPr>
            <w:tcW w:w="1184" w:type="dxa"/>
            <w:tcBorders>
              <w:top w:val="single" w:sz="4" w:space="0" w:color="000000"/>
            </w:tcBorders>
            <w:shd w:val="clear" w:color="auto" w:fill="CCEDFF"/>
          </w:tcPr>
          <w:p>
            <w:pPr>
              <w:pStyle w:val="TableParagraph"/>
              <w:rPr>
                <w:sz w:val="18"/>
              </w:rPr>
            </w:pPr>
          </w:p>
        </w:tc>
        <w:tc>
          <w:tcPr>
            <w:tcW w:w="1135" w:type="dxa"/>
            <w:tcBorders>
              <w:top w:val="single" w:sz="4" w:space="0" w:color="000000"/>
            </w:tcBorders>
            <w:shd w:val="clear" w:color="auto" w:fill="CCEDFF"/>
          </w:tcPr>
          <w:p>
            <w:pPr>
              <w:pStyle w:val="TableParagraph"/>
              <w:rPr>
                <w:sz w:val="18"/>
              </w:rPr>
            </w:pPr>
          </w:p>
        </w:tc>
      </w:tr>
      <w:tr>
        <w:trPr>
          <w:trHeight w:val="255" w:hRule="atLeast"/>
        </w:trPr>
        <w:tc>
          <w:tcPr>
            <w:tcW w:w="5505" w:type="dxa"/>
          </w:tcPr>
          <w:p>
            <w:pPr>
              <w:pStyle w:val="TableParagraph"/>
              <w:spacing w:before="18"/>
              <w:ind w:left="172"/>
              <w:rPr>
                <w:sz w:val="18"/>
              </w:rPr>
            </w:pPr>
            <w:r>
              <w:rPr>
                <w:sz w:val="18"/>
              </w:rPr>
              <w:t>Mutual</w:t>
            </w:r>
            <w:r>
              <w:rPr>
                <w:spacing w:val="-3"/>
                <w:sz w:val="18"/>
              </w:rPr>
              <w:t> </w:t>
            </w:r>
            <w:r>
              <w:rPr>
                <w:sz w:val="18"/>
              </w:rPr>
              <w:t>funds,</w:t>
            </w:r>
            <w:r>
              <w:rPr>
                <w:spacing w:val="-1"/>
                <w:sz w:val="18"/>
              </w:rPr>
              <w:t> </w:t>
            </w:r>
            <w:r>
              <w:rPr>
                <w:sz w:val="18"/>
              </w:rPr>
              <w:t>ETFs,</w:t>
            </w:r>
            <w:r>
              <w:rPr>
                <w:spacing w:val="-1"/>
                <w:sz w:val="18"/>
              </w:rPr>
              <w:t> </w:t>
            </w:r>
            <w:r>
              <w:rPr>
                <w:sz w:val="18"/>
              </w:rPr>
              <w:t>and</w:t>
            </w:r>
            <w:r>
              <w:rPr>
                <w:spacing w:val="-1"/>
                <w:sz w:val="18"/>
              </w:rPr>
              <w:t> </w:t>
            </w:r>
            <w:r>
              <w:rPr>
                <w:spacing w:val="-4"/>
                <w:sz w:val="18"/>
              </w:rPr>
              <w:t>CTFs</w:t>
            </w:r>
          </w:p>
        </w:tc>
        <w:tc>
          <w:tcPr>
            <w:tcW w:w="1241" w:type="dxa"/>
          </w:tcPr>
          <w:p>
            <w:pPr>
              <w:pStyle w:val="TableParagraph"/>
              <w:spacing w:before="18"/>
              <w:ind w:right="128"/>
              <w:jc w:val="right"/>
              <w:rPr>
                <w:sz w:val="18"/>
              </w:rPr>
            </w:pPr>
            <w:r>
              <w:rPr>
                <w:spacing w:val="-5"/>
                <w:sz w:val="18"/>
              </w:rPr>
              <w:t>666</w:t>
            </w:r>
          </w:p>
        </w:tc>
        <w:tc>
          <w:tcPr>
            <w:tcW w:w="1192" w:type="dxa"/>
          </w:tcPr>
          <w:p>
            <w:pPr>
              <w:pStyle w:val="TableParagraph"/>
              <w:spacing w:before="18"/>
              <w:ind w:right="120"/>
              <w:jc w:val="right"/>
              <w:rPr>
                <w:sz w:val="18"/>
              </w:rPr>
            </w:pPr>
            <w:r>
              <w:rPr>
                <w:spacing w:val="-5"/>
                <w:sz w:val="18"/>
              </w:rPr>
              <w:t>520</w:t>
            </w:r>
          </w:p>
        </w:tc>
        <w:tc>
          <w:tcPr>
            <w:tcW w:w="1184" w:type="dxa"/>
          </w:tcPr>
          <w:p>
            <w:pPr>
              <w:pStyle w:val="TableParagraph"/>
              <w:spacing w:before="18"/>
              <w:ind w:right="119"/>
              <w:jc w:val="right"/>
              <w:rPr>
                <w:sz w:val="18"/>
              </w:rPr>
            </w:pPr>
            <w:r>
              <w:rPr>
                <w:spacing w:val="-2"/>
                <w:sz w:val="18"/>
              </w:rPr>
              <w:t>1,881</w:t>
            </w:r>
          </w:p>
        </w:tc>
        <w:tc>
          <w:tcPr>
            <w:tcW w:w="1135" w:type="dxa"/>
          </w:tcPr>
          <w:p>
            <w:pPr>
              <w:pStyle w:val="TableParagraph"/>
              <w:spacing w:before="18"/>
              <w:ind w:right="69"/>
              <w:jc w:val="right"/>
              <w:rPr>
                <w:sz w:val="18"/>
              </w:rPr>
            </w:pPr>
            <w:r>
              <w:rPr>
                <w:spacing w:val="-2"/>
                <w:sz w:val="18"/>
              </w:rPr>
              <w:t>1,524</w:t>
            </w:r>
          </w:p>
        </w:tc>
      </w:tr>
      <w:tr>
        <w:trPr>
          <w:trHeight w:val="255" w:hRule="atLeast"/>
        </w:trPr>
        <w:tc>
          <w:tcPr>
            <w:tcW w:w="5505" w:type="dxa"/>
            <w:shd w:val="clear" w:color="auto" w:fill="CCEDFF"/>
          </w:tcPr>
          <w:p>
            <w:pPr>
              <w:pStyle w:val="TableParagraph"/>
              <w:spacing w:before="18"/>
              <w:ind w:left="172"/>
              <w:rPr>
                <w:sz w:val="18"/>
              </w:rPr>
            </w:pPr>
            <w:r>
              <w:rPr>
                <w:sz w:val="18"/>
              </w:rPr>
              <w:t>Advice</w:t>
            </w:r>
            <w:r>
              <w:rPr>
                <w:spacing w:val="-1"/>
                <w:sz w:val="18"/>
              </w:rPr>
              <w:t> </w:t>
            </w:r>
            <w:r>
              <w:rPr>
                <w:spacing w:val="-2"/>
                <w:sz w:val="18"/>
              </w:rPr>
              <w:t>solutions</w:t>
            </w:r>
          </w:p>
        </w:tc>
        <w:tc>
          <w:tcPr>
            <w:tcW w:w="1241" w:type="dxa"/>
            <w:shd w:val="clear" w:color="auto" w:fill="CCEDFF"/>
          </w:tcPr>
          <w:p>
            <w:pPr>
              <w:pStyle w:val="TableParagraph"/>
              <w:spacing w:before="18"/>
              <w:ind w:right="128"/>
              <w:jc w:val="right"/>
              <w:rPr>
                <w:sz w:val="18"/>
              </w:rPr>
            </w:pPr>
            <w:r>
              <w:rPr>
                <w:spacing w:val="-5"/>
                <w:sz w:val="18"/>
              </w:rPr>
              <w:t>476</w:t>
            </w:r>
          </w:p>
        </w:tc>
        <w:tc>
          <w:tcPr>
            <w:tcW w:w="1192" w:type="dxa"/>
            <w:shd w:val="clear" w:color="auto" w:fill="CCEDFF"/>
          </w:tcPr>
          <w:p>
            <w:pPr>
              <w:pStyle w:val="TableParagraph"/>
              <w:spacing w:before="18"/>
              <w:ind w:right="120"/>
              <w:jc w:val="right"/>
              <w:rPr>
                <w:sz w:val="18"/>
              </w:rPr>
            </w:pPr>
            <w:r>
              <w:rPr>
                <w:spacing w:val="-5"/>
                <w:sz w:val="18"/>
              </w:rPr>
              <w:t>452</w:t>
            </w:r>
          </w:p>
        </w:tc>
        <w:tc>
          <w:tcPr>
            <w:tcW w:w="1184" w:type="dxa"/>
            <w:shd w:val="clear" w:color="auto" w:fill="CCEDFF"/>
          </w:tcPr>
          <w:p>
            <w:pPr>
              <w:pStyle w:val="TableParagraph"/>
              <w:spacing w:before="18"/>
              <w:ind w:right="119"/>
              <w:jc w:val="right"/>
              <w:rPr>
                <w:sz w:val="18"/>
              </w:rPr>
            </w:pPr>
            <w:r>
              <w:rPr>
                <w:spacing w:val="-2"/>
                <w:sz w:val="18"/>
              </w:rPr>
              <w:t>1,393</w:t>
            </w:r>
          </w:p>
        </w:tc>
        <w:tc>
          <w:tcPr>
            <w:tcW w:w="1135" w:type="dxa"/>
            <w:shd w:val="clear" w:color="auto" w:fill="CCEDFF"/>
          </w:tcPr>
          <w:p>
            <w:pPr>
              <w:pStyle w:val="TableParagraph"/>
              <w:spacing w:before="18"/>
              <w:ind w:right="69"/>
              <w:jc w:val="right"/>
              <w:rPr>
                <w:sz w:val="18"/>
              </w:rPr>
            </w:pPr>
            <w:r>
              <w:rPr>
                <w:spacing w:val="-2"/>
                <w:sz w:val="18"/>
              </w:rPr>
              <w:t>1,409</w:t>
            </w:r>
          </w:p>
        </w:tc>
      </w:tr>
      <w:tr>
        <w:trPr>
          <w:trHeight w:val="250" w:hRule="atLeast"/>
        </w:trPr>
        <w:tc>
          <w:tcPr>
            <w:tcW w:w="5505" w:type="dxa"/>
            <w:tcBorders>
              <w:bottom w:val="single" w:sz="4" w:space="0" w:color="000000"/>
            </w:tcBorders>
          </w:tcPr>
          <w:p>
            <w:pPr>
              <w:pStyle w:val="TableParagraph"/>
              <w:spacing w:before="18"/>
              <w:ind w:left="172"/>
              <w:rPr>
                <w:sz w:val="18"/>
              </w:rPr>
            </w:pPr>
            <w:r>
              <w:rPr>
                <w:spacing w:val="-2"/>
                <w:sz w:val="18"/>
              </w:rPr>
              <w:t>Other</w:t>
            </w:r>
          </w:p>
        </w:tc>
        <w:tc>
          <w:tcPr>
            <w:tcW w:w="1241" w:type="dxa"/>
            <w:tcBorders>
              <w:bottom w:val="single" w:sz="4" w:space="0" w:color="000000"/>
            </w:tcBorders>
          </w:tcPr>
          <w:p>
            <w:pPr>
              <w:pStyle w:val="TableParagraph"/>
              <w:spacing w:before="18"/>
              <w:ind w:right="128"/>
              <w:jc w:val="right"/>
              <w:rPr>
                <w:sz w:val="18"/>
              </w:rPr>
            </w:pPr>
            <w:r>
              <w:rPr>
                <w:spacing w:val="-5"/>
                <w:sz w:val="18"/>
              </w:rPr>
              <w:t>82</w:t>
            </w:r>
          </w:p>
        </w:tc>
        <w:tc>
          <w:tcPr>
            <w:tcW w:w="1192" w:type="dxa"/>
            <w:tcBorders>
              <w:bottom w:val="single" w:sz="4" w:space="0" w:color="000000"/>
            </w:tcBorders>
          </w:tcPr>
          <w:p>
            <w:pPr>
              <w:pStyle w:val="TableParagraph"/>
              <w:spacing w:before="18"/>
              <w:ind w:right="120"/>
              <w:jc w:val="right"/>
              <w:rPr>
                <w:sz w:val="18"/>
              </w:rPr>
            </w:pPr>
            <w:r>
              <w:rPr>
                <w:spacing w:val="-5"/>
                <w:sz w:val="18"/>
              </w:rPr>
              <w:t>75</w:t>
            </w:r>
          </w:p>
        </w:tc>
        <w:tc>
          <w:tcPr>
            <w:tcW w:w="1184" w:type="dxa"/>
            <w:tcBorders>
              <w:bottom w:val="single" w:sz="4" w:space="0" w:color="000000"/>
            </w:tcBorders>
          </w:tcPr>
          <w:p>
            <w:pPr>
              <w:pStyle w:val="TableParagraph"/>
              <w:spacing w:before="18"/>
              <w:ind w:right="119"/>
              <w:jc w:val="right"/>
              <w:rPr>
                <w:sz w:val="18"/>
              </w:rPr>
            </w:pPr>
            <w:r>
              <w:rPr>
                <w:spacing w:val="-5"/>
                <w:sz w:val="18"/>
              </w:rPr>
              <w:t>241</w:t>
            </w:r>
          </w:p>
        </w:tc>
        <w:tc>
          <w:tcPr>
            <w:tcW w:w="1135" w:type="dxa"/>
            <w:tcBorders>
              <w:bottom w:val="single" w:sz="4" w:space="0" w:color="000000"/>
            </w:tcBorders>
          </w:tcPr>
          <w:p>
            <w:pPr>
              <w:pStyle w:val="TableParagraph"/>
              <w:spacing w:before="18"/>
              <w:ind w:right="69"/>
              <w:jc w:val="right"/>
              <w:rPr>
                <w:sz w:val="18"/>
              </w:rPr>
            </w:pPr>
            <w:r>
              <w:rPr>
                <w:spacing w:val="-5"/>
                <w:sz w:val="18"/>
              </w:rPr>
              <w:t>234</w:t>
            </w:r>
          </w:p>
        </w:tc>
      </w:tr>
      <w:tr>
        <w:trPr>
          <w:trHeight w:val="245" w:hRule="atLeast"/>
        </w:trPr>
        <w:tc>
          <w:tcPr>
            <w:tcW w:w="5505" w:type="dxa"/>
            <w:tcBorders>
              <w:top w:val="single" w:sz="4" w:space="0" w:color="000000"/>
              <w:bottom w:val="single" w:sz="4" w:space="0" w:color="000000"/>
            </w:tcBorders>
            <w:shd w:val="clear" w:color="auto" w:fill="CCEDFF"/>
          </w:tcPr>
          <w:p>
            <w:pPr>
              <w:pStyle w:val="TableParagraph"/>
              <w:spacing w:before="13"/>
              <w:ind w:left="52"/>
              <w:rPr>
                <w:sz w:val="18"/>
              </w:rPr>
            </w:pPr>
            <w:r>
              <w:rPr>
                <w:sz w:val="18"/>
              </w:rPr>
              <w:t>Asset</w:t>
            </w:r>
            <w:r>
              <w:rPr>
                <w:spacing w:val="-1"/>
                <w:sz w:val="18"/>
              </w:rPr>
              <w:t> </w:t>
            </w:r>
            <w:r>
              <w:rPr>
                <w:sz w:val="18"/>
              </w:rPr>
              <w:t>management</w:t>
            </w:r>
            <w:r>
              <w:rPr>
                <w:spacing w:val="-1"/>
                <w:sz w:val="18"/>
              </w:rPr>
              <w:t> </w:t>
            </w:r>
            <w:r>
              <w:rPr>
                <w:sz w:val="18"/>
              </w:rPr>
              <w:t>and</w:t>
            </w:r>
            <w:r>
              <w:rPr>
                <w:spacing w:val="-1"/>
                <w:sz w:val="18"/>
              </w:rPr>
              <w:t> </w:t>
            </w:r>
            <w:r>
              <w:rPr>
                <w:sz w:val="18"/>
              </w:rPr>
              <w:t>administration</w:t>
            </w:r>
            <w:r>
              <w:rPr>
                <w:spacing w:val="-1"/>
                <w:sz w:val="18"/>
              </w:rPr>
              <w:t> </w:t>
            </w:r>
            <w:r>
              <w:rPr>
                <w:spacing w:val="-4"/>
                <w:sz w:val="18"/>
              </w:rPr>
              <w:t>fees</w:t>
            </w:r>
          </w:p>
        </w:tc>
        <w:tc>
          <w:tcPr>
            <w:tcW w:w="1241" w:type="dxa"/>
            <w:tcBorders>
              <w:top w:val="single" w:sz="4" w:space="0" w:color="000000"/>
              <w:bottom w:val="single" w:sz="4" w:space="0" w:color="000000"/>
            </w:tcBorders>
            <w:shd w:val="clear" w:color="auto" w:fill="CCEDFF"/>
          </w:tcPr>
          <w:p>
            <w:pPr>
              <w:pStyle w:val="TableParagraph"/>
              <w:spacing w:before="13"/>
              <w:ind w:right="128"/>
              <w:jc w:val="right"/>
              <w:rPr>
                <w:sz w:val="18"/>
              </w:rPr>
            </w:pPr>
            <w:r>
              <w:rPr>
                <w:spacing w:val="-2"/>
                <w:sz w:val="18"/>
              </w:rPr>
              <w:t>1,224</w:t>
            </w:r>
          </w:p>
        </w:tc>
        <w:tc>
          <w:tcPr>
            <w:tcW w:w="1192" w:type="dxa"/>
            <w:tcBorders>
              <w:top w:val="single" w:sz="4" w:space="0" w:color="000000"/>
              <w:bottom w:val="single" w:sz="4" w:space="0" w:color="000000"/>
            </w:tcBorders>
            <w:shd w:val="clear" w:color="auto" w:fill="CCEDFF"/>
          </w:tcPr>
          <w:p>
            <w:pPr>
              <w:pStyle w:val="TableParagraph"/>
              <w:spacing w:before="13"/>
              <w:ind w:right="120"/>
              <w:jc w:val="right"/>
              <w:rPr>
                <w:sz w:val="18"/>
              </w:rPr>
            </w:pPr>
            <w:r>
              <w:rPr>
                <w:spacing w:val="-2"/>
                <w:sz w:val="18"/>
              </w:rPr>
              <w:t>1,047</w:t>
            </w:r>
          </w:p>
        </w:tc>
        <w:tc>
          <w:tcPr>
            <w:tcW w:w="1184" w:type="dxa"/>
            <w:tcBorders>
              <w:top w:val="single" w:sz="4" w:space="0" w:color="000000"/>
              <w:bottom w:val="single" w:sz="4" w:space="0" w:color="000000"/>
            </w:tcBorders>
            <w:shd w:val="clear" w:color="auto" w:fill="CCEDFF"/>
          </w:tcPr>
          <w:p>
            <w:pPr>
              <w:pStyle w:val="TableParagraph"/>
              <w:spacing w:before="13"/>
              <w:ind w:right="119"/>
              <w:jc w:val="right"/>
              <w:rPr>
                <w:sz w:val="18"/>
              </w:rPr>
            </w:pPr>
            <w:r>
              <w:rPr>
                <w:spacing w:val="-2"/>
                <w:sz w:val="18"/>
              </w:rPr>
              <w:t>3,515</w:t>
            </w:r>
          </w:p>
        </w:tc>
        <w:tc>
          <w:tcPr>
            <w:tcW w:w="1135" w:type="dxa"/>
            <w:tcBorders>
              <w:top w:val="single" w:sz="4" w:space="0" w:color="000000"/>
              <w:bottom w:val="single" w:sz="4" w:space="0" w:color="000000"/>
            </w:tcBorders>
            <w:shd w:val="clear" w:color="auto" w:fill="CCEDFF"/>
          </w:tcPr>
          <w:p>
            <w:pPr>
              <w:pStyle w:val="TableParagraph"/>
              <w:spacing w:before="13"/>
              <w:ind w:right="69"/>
              <w:jc w:val="right"/>
              <w:rPr>
                <w:sz w:val="18"/>
              </w:rPr>
            </w:pPr>
            <w:r>
              <w:rPr>
                <w:spacing w:val="-2"/>
                <w:sz w:val="18"/>
              </w:rPr>
              <w:t>3,167</w:t>
            </w:r>
          </w:p>
        </w:tc>
      </w:tr>
      <w:tr>
        <w:trPr>
          <w:trHeight w:val="250" w:hRule="atLeast"/>
        </w:trPr>
        <w:tc>
          <w:tcPr>
            <w:tcW w:w="5505" w:type="dxa"/>
            <w:tcBorders>
              <w:top w:val="single" w:sz="4" w:space="0" w:color="000000"/>
            </w:tcBorders>
          </w:tcPr>
          <w:p>
            <w:pPr>
              <w:pStyle w:val="TableParagraph"/>
              <w:spacing w:before="13"/>
              <w:ind w:left="52"/>
              <w:rPr>
                <w:b/>
                <w:sz w:val="18"/>
              </w:rPr>
            </w:pPr>
            <w:r>
              <w:rPr>
                <w:b/>
                <w:sz w:val="18"/>
              </w:rPr>
              <w:t>Trading</w:t>
            </w:r>
            <w:r>
              <w:rPr>
                <w:b/>
                <w:spacing w:val="-4"/>
                <w:sz w:val="18"/>
              </w:rPr>
              <w:t> </w:t>
            </w:r>
            <w:r>
              <w:rPr>
                <w:b/>
                <w:spacing w:val="-2"/>
                <w:sz w:val="18"/>
              </w:rPr>
              <w:t>revenue</w:t>
            </w:r>
          </w:p>
        </w:tc>
        <w:tc>
          <w:tcPr>
            <w:tcW w:w="1241" w:type="dxa"/>
            <w:tcBorders>
              <w:top w:val="single" w:sz="4" w:space="0" w:color="000000"/>
            </w:tcBorders>
          </w:tcPr>
          <w:p>
            <w:pPr>
              <w:pStyle w:val="TableParagraph"/>
              <w:rPr>
                <w:sz w:val="18"/>
              </w:rPr>
            </w:pPr>
          </w:p>
        </w:tc>
        <w:tc>
          <w:tcPr>
            <w:tcW w:w="1192" w:type="dxa"/>
            <w:tcBorders>
              <w:top w:val="single" w:sz="4" w:space="0" w:color="000000"/>
            </w:tcBorders>
          </w:tcPr>
          <w:p>
            <w:pPr>
              <w:pStyle w:val="TableParagraph"/>
              <w:rPr>
                <w:sz w:val="18"/>
              </w:rPr>
            </w:pPr>
          </w:p>
        </w:tc>
        <w:tc>
          <w:tcPr>
            <w:tcW w:w="1184" w:type="dxa"/>
            <w:tcBorders>
              <w:top w:val="single" w:sz="4" w:space="0" w:color="000000"/>
            </w:tcBorders>
          </w:tcPr>
          <w:p>
            <w:pPr>
              <w:pStyle w:val="TableParagraph"/>
              <w:rPr>
                <w:sz w:val="18"/>
              </w:rPr>
            </w:pPr>
          </w:p>
        </w:tc>
        <w:tc>
          <w:tcPr>
            <w:tcW w:w="1135" w:type="dxa"/>
            <w:tcBorders>
              <w:top w:val="single" w:sz="4" w:space="0" w:color="000000"/>
            </w:tcBorders>
          </w:tcPr>
          <w:p>
            <w:pPr>
              <w:pStyle w:val="TableParagraph"/>
              <w:rPr>
                <w:sz w:val="18"/>
              </w:rPr>
            </w:pPr>
          </w:p>
        </w:tc>
      </w:tr>
      <w:tr>
        <w:trPr>
          <w:trHeight w:val="255" w:hRule="atLeast"/>
        </w:trPr>
        <w:tc>
          <w:tcPr>
            <w:tcW w:w="5505" w:type="dxa"/>
            <w:shd w:val="clear" w:color="auto" w:fill="CCEDFF"/>
          </w:tcPr>
          <w:p>
            <w:pPr>
              <w:pStyle w:val="TableParagraph"/>
              <w:spacing w:before="18"/>
              <w:ind w:left="157"/>
              <w:rPr>
                <w:sz w:val="18"/>
              </w:rPr>
            </w:pPr>
            <w:r>
              <w:rPr>
                <w:spacing w:val="-2"/>
                <w:sz w:val="18"/>
              </w:rPr>
              <w:t>Commissions</w:t>
            </w:r>
          </w:p>
        </w:tc>
        <w:tc>
          <w:tcPr>
            <w:tcW w:w="1241" w:type="dxa"/>
            <w:shd w:val="clear" w:color="auto" w:fill="CCEDFF"/>
          </w:tcPr>
          <w:p>
            <w:pPr>
              <w:pStyle w:val="TableParagraph"/>
              <w:spacing w:before="18"/>
              <w:ind w:right="128"/>
              <w:jc w:val="right"/>
              <w:rPr>
                <w:sz w:val="18"/>
              </w:rPr>
            </w:pPr>
            <w:r>
              <w:rPr>
                <w:spacing w:val="-5"/>
                <w:sz w:val="18"/>
              </w:rPr>
              <w:t>394</w:t>
            </w:r>
          </w:p>
        </w:tc>
        <w:tc>
          <w:tcPr>
            <w:tcW w:w="1192" w:type="dxa"/>
            <w:shd w:val="clear" w:color="auto" w:fill="CCEDFF"/>
          </w:tcPr>
          <w:p>
            <w:pPr>
              <w:pStyle w:val="TableParagraph"/>
              <w:spacing w:before="18"/>
              <w:ind w:right="120"/>
              <w:jc w:val="right"/>
              <w:rPr>
                <w:sz w:val="18"/>
              </w:rPr>
            </w:pPr>
            <w:r>
              <w:rPr>
                <w:spacing w:val="-5"/>
                <w:sz w:val="18"/>
              </w:rPr>
              <w:t>435</w:t>
            </w:r>
          </w:p>
        </w:tc>
        <w:tc>
          <w:tcPr>
            <w:tcW w:w="1184" w:type="dxa"/>
            <w:shd w:val="clear" w:color="auto" w:fill="CCEDFF"/>
          </w:tcPr>
          <w:p>
            <w:pPr>
              <w:pStyle w:val="TableParagraph"/>
              <w:spacing w:before="18"/>
              <w:ind w:right="119"/>
              <w:jc w:val="right"/>
              <w:rPr>
                <w:sz w:val="18"/>
              </w:rPr>
            </w:pPr>
            <w:r>
              <w:rPr>
                <w:spacing w:val="-2"/>
                <w:sz w:val="18"/>
              </w:rPr>
              <w:t>1,210</w:t>
            </w:r>
          </w:p>
        </w:tc>
        <w:tc>
          <w:tcPr>
            <w:tcW w:w="1135" w:type="dxa"/>
            <w:shd w:val="clear" w:color="auto" w:fill="CCEDFF"/>
          </w:tcPr>
          <w:p>
            <w:pPr>
              <w:pStyle w:val="TableParagraph"/>
              <w:spacing w:before="18"/>
              <w:ind w:right="69"/>
              <w:jc w:val="right"/>
              <w:rPr>
                <w:sz w:val="18"/>
              </w:rPr>
            </w:pPr>
            <w:r>
              <w:rPr>
                <w:spacing w:val="-2"/>
                <w:sz w:val="18"/>
              </w:rPr>
              <w:t>1,362</w:t>
            </w:r>
          </w:p>
        </w:tc>
      </w:tr>
      <w:tr>
        <w:trPr>
          <w:trHeight w:val="255" w:hRule="atLeast"/>
        </w:trPr>
        <w:tc>
          <w:tcPr>
            <w:tcW w:w="5505" w:type="dxa"/>
          </w:tcPr>
          <w:p>
            <w:pPr>
              <w:pStyle w:val="TableParagraph"/>
              <w:spacing w:before="18"/>
              <w:ind w:left="172"/>
              <w:rPr>
                <w:sz w:val="18"/>
              </w:rPr>
            </w:pPr>
            <w:r>
              <w:rPr>
                <w:sz w:val="18"/>
              </w:rPr>
              <w:t>Order</w:t>
            </w:r>
            <w:r>
              <w:rPr>
                <w:spacing w:val="-1"/>
                <w:sz w:val="18"/>
              </w:rPr>
              <w:t> </w:t>
            </w:r>
            <w:r>
              <w:rPr>
                <w:sz w:val="18"/>
              </w:rPr>
              <w:t>flow</w:t>
            </w:r>
            <w:r>
              <w:rPr>
                <w:spacing w:val="-1"/>
                <w:sz w:val="18"/>
              </w:rPr>
              <w:t> </w:t>
            </w:r>
            <w:r>
              <w:rPr>
                <w:spacing w:val="-2"/>
                <w:sz w:val="18"/>
              </w:rPr>
              <w:t>revenue</w:t>
            </w:r>
          </w:p>
        </w:tc>
        <w:tc>
          <w:tcPr>
            <w:tcW w:w="1241" w:type="dxa"/>
          </w:tcPr>
          <w:p>
            <w:pPr>
              <w:pStyle w:val="TableParagraph"/>
              <w:spacing w:before="18"/>
              <w:ind w:right="128"/>
              <w:jc w:val="right"/>
              <w:rPr>
                <w:sz w:val="18"/>
              </w:rPr>
            </w:pPr>
            <w:r>
              <w:rPr>
                <w:spacing w:val="-5"/>
                <w:sz w:val="18"/>
              </w:rPr>
              <w:t>325</w:t>
            </w:r>
          </w:p>
        </w:tc>
        <w:tc>
          <w:tcPr>
            <w:tcW w:w="1192" w:type="dxa"/>
          </w:tcPr>
          <w:p>
            <w:pPr>
              <w:pStyle w:val="TableParagraph"/>
              <w:spacing w:before="18"/>
              <w:ind w:right="120"/>
              <w:jc w:val="right"/>
              <w:rPr>
                <w:sz w:val="18"/>
              </w:rPr>
            </w:pPr>
            <w:r>
              <w:rPr>
                <w:spacing w:val="-5"/>
                <w:sz w:val="18"/>
              </w:rPr>
              <w:t>432</w:t>
            </w:r>
          </w:p>
        </w:tc>
        <w:tc>
          <w:tcPr>
            <w:tcW w:w="1184" w:type="dxa"/>
          </w:tcPr>
          <w:p>
            <w:pPr>
              <w:pStyle w:val="TableParagraph"/>
              <w:spacing w:before="18"/>
              <w:ind w:right="119"/>
              <w:jc w:val="right"/>
              <w:rPr>
                <w:sz w:val="18"/>
              </w:rPr>
            </w:pPr>
            <w:r>
              <w:rPr>
                <w:spacing w:val="-2"/>
                <w:sz w:val="18"/>
              </w:rPr>
              <w:t>1,104</w:t>
            </w:r>
          </w:p>
        </w:tc>
        <w:tc>
          <w:tcPr>
            <w:tcW w:w="1135" w:type="dxa"/>
          </w:tcPr>
          <w:p>
            <w:pPr>
              <w:pStyle w:val="TableParagraph"/>
              <w:spacing w:before="18"/>
              <w:ind w:right="69"/>
              <w:jc w:val="right"/>
              <w:rPr>
                <w:sz w:val="18"/>
              </w:rPr>
            </w:pPr>
            <w:r>
              <w:rPr>
                <w:spacing w:val="-2"/>
                <w:sz w:val="18"/>
              </w:rPr>
              <w:t>1,332</w:t>
            </w:r>
          </w:p>
        </w:tc>
      </w:tr>
      <w:tr>
        <w:trPr>
          <w:trHeight w:val="250" w:hRule="atLeast"/>
        </w:trPr>
        <w:tc>
          <w:tcPr>
            <w:tcW w:w="5505" w:type="dxa"/>
            <w:tcBorders>
              <w:bottom w:val="single" w:sz="4" w:space="0" w:color="000000"/>
            </w:tcBorders>
            <w:shd w:val="clear" w:color="auto" w:fill="CCEDFF"/>
          </w:tcPr>
          <w:p>
            <w:pPr>
              <w:pStyle w:val="TableParagraph"/>
              <w:spacing w:before="18"/>
              <w:ind w:left="172"/>
              <w:rPr>
                <w:sz w:val="18"/>
              </w:rPr>
            </w:pPr>
            <w:r>
              <w:rPr>
                <w:sz w:val="18"/>
              </w:rPr>
              <w:t>Principal</w:t>
            </w:r>
            <w:r>
              <w:rPr>
                <w:spacing w:val="-1"/>
                <w:sz w:val="18"/>
              </w:rPr>
              <w:t> </w:t>
            </w:r>
            <w:r>
              <w:rPr>
                <w:spacing w:val="-2"/>
                <w:sz w:val="18"/>
              </w:rPr>
              <w:t>transactions</w:t>
            </w:r>
          </w:p>
        </w:tc>
        <w:tc>
          <w:tcPr>
            <w:tcW w:w="1241" w:type="dxa"/>
            <w:tcBorders>
              <w:bottom w:val="single" w:sz="4" w:space="0" w:color="000000"/>
            </w:tcBorders>
            <w:shd w:val="clear" w:color="auto" w:fill="CCEDFF"/>
          </w:tcPr>
          <w:p>
            <w:pPr>
              <w:pStyle w:val="TableParagraph"/>
              <w:spacing w:before="18"/>
              <w:ind w:right="128"/>
              <w:jc w:val="right"/>
              <w:rPr>
                <w:sz w:val="18"/>
              </w:rPr>
            </w:pPr>
            <w:r>
              <w:rPr>
                <w:spacing w:val="-5"/>
                <w:sz w:val="18"/>
              </w:rPr>
              <w:t>49</w:t>
            </w:r>
          </w:p>
        </w:tc>
        <w:tc>
          <w:tcPr>
            <w:tcW w:w="1192" w:type="dxa"/>
            <w:tcBorders>
              <w:bottom w:val="single" w:sz="4" w:space="0" w:color="000000"/>
            </w:tcBorders>
            <w:shd w:val="clear" w:color="auto" w:fill="CCEDFF"/>
          </w:tcPr>
          <w:p>
            <w:pPr>
              <w:pStyle w:val="TableParagraph"/>
              <w:spacing w:before="18"/>
              <w:ind w:right="120"/>
              <w:jc w:val="right"/>
              <w:rPr>
                <w:sz w:val="18"/>
              </w:rPr>
            </w:pPr>
            <w:r>
              <w:rPr>
                <w:spacing w:val="-5"/>
                <w:sz w:val="18"/>
              </w:rPr>
              <w:t>63</w:t>
            </w:r>
          </w:p>
        </w:tc>
        <w:tc>
          <w:tcPr>
            <w:tcW w:w="1184" w:type="dxa"/>
            <w:tcBorders>
              <w:bottom w:val="single" w:sz="4" w:space="0" w:color="000000"/>
            </w:tcBorders>
            <w:shd w:val="clear" w:color="auto" w:fill="CCEDFF"/>
          </w:tcPr>
          <w:p>
            <w:pPr>
              <w:pStyle w:val="TableParagraph"/>
              <w:spacing w:before="18"/>
              <w:ind w:right="119"/>
              <w:jc w:val="right"/>
              <w:rPr>
                <w:sz w:val="18"/>
              </w:rPr>
            </w:pPr>
            <w:r>
              <w:rPr>
                <w:spacing w:val="-5"/>
                <w:sz w:val="18"/>
              </w:rPr>
              <w:t>149</w:t>
            </w:r>
          </w:p>
        </w:tc>
        <w:tc>
          <w:tcPr>
            <w:tcW w:w="1135" w:type="dxa"/>
            <w:tcBorders>
              <w:bottom w:val="single" w:sz="4" w:space="0" w:color="000000"/>
            </w:tcBorders>
            <w:shd w:val="clear" w:color="auto" w:fill="CCEDFF"/>
          </w:tcPr>
          <w:p>
            <w:pPr>
              <w:pStyle w:val="TableParagraph"/>
              <w:spacing w:before="18"/>
              <w:ind w:right="69"/>
              <w:jc w:val="right"/>
              <w:rPr>
                <w:sz w:val="18"/>
              </w:rPr>
            </w:pPr>
            <w:r>
              <w:rPr>
                <w:spacing w:val="-5"/>
                <w:sz w:val="18"/>
              </w:rPr>
              <w:t>84</w:t>
            </w:r>
          </w:p>
        </w:tc>
      </w:tr>
      <w:tr>
        <w:trPr>
          <w:trHeight w:val="245" w:hRule="atLeast"/>
        </w:trPr>
        <w:tc>
          <w:tcPr>
            <w:tcW w:w="5505" w:type="dxa"/>
            <w:tcBorders>
              <w:top w:val="single" w:sz="4" w:space="0" w:color="000000"/>
              <w:bottom w:val="single" w:sz="4" w:space="0" w:color="000000"/>
            </w:tcBorders>
          </w:tcPr>
          <w:p>
            <w:pPr>
              <w:pStyle w:val="TableParagraph"/>
              <w:spacing w:before="13"/>
              <w:ind w:left="52"/>
              <w:rPr>
                <w:sz w:val="18"/>
              </w:rPr>
            </w:pPr>
            <w:r>
              <w:rPr>
                <w:sz w:val="18"/>
              </w:rPr>
              <w:t>Trading </w:t>
            </w:r>
            <w:r>
              <w:rPr>
                <w:spacing w:val="-2"/>
                <w:sz w:val="18"/>
              </w:rPr>
              <w:t>revenue</w:t>
            </w:r>
          </w:p>
        </w:tc>
        <w:tc>
          <w:tcPr>
            <w:tcW w:w="1241" w:type="dxa"/>
            <w:tcBorders>
              <w:top w:val="single" w:sz="4" w:space="0" w:color="000000"/>
              <w:bottom w:val="single" w:sz="4" w:space="0" w:color="000000"/>
            </w:tcBorders>
          </w:tcPr>
          <w:p>
            <w:pPr>
              <w:pStyle w:val="TableParagraph"/>
              <w:spacing w:before="13"/>
              <w:ind w:right="128"/>
              <w:jc w:val="right"/>
              <w:rPr>
                <w:sz w:val="18"/>
              </w:rPr>
            </w:pPr>
            <w:r>
              <w:rPr>
                <w:spacing w:val="-5"/>
                <w:sz w:val="18"/>
              </w:rPr>
              <w:t>768</w:t>
            </w:r>
          </w:p>
        </w:tc>
        <w:tc>
          <w:tcPr>
            <w:tcW w:w="1192" w:type="dxa"/>
            <w:tcBorders>
              <w:top w:val="single" w:sz="4" w:space="0" w:color="000000"/>
              <w:bottom w:val="single" w:sz="4" w:space="0" w:color="000000"/>
            </w:tcBorders>
          </w:tcPr>
          <w:p>
            <w:pPr>
              <w:pStyle w:val="TableParagraph"/>
              <w:spacing w:before="13"/>
              <w:ind w:right="120"/>
              <w:jc w:val="right"/>
              <w:rPr>
                <w:sz w:val="18"/>
              </w:rPr>
            </w:pPr>
            <w:r>
              <w:rPr>
                <w:spacing w:val="-5"/>
                <w:sz w:val="18"/>
              </w:rPr>
              <w:t>930</w:t>
            </w:r>
          </w:p>
        </w:tc>
        <w:tc>
          <w:tcPr>
            <w:tcW w:w="1184" w:type="dxa"/>
            <w:tcBorders>
              <w:top w:val="single" w:sz="4" w:space="0" w:color="000000"/>
              <w:bottom w:val="single" w:sz="4" w:space="0" w:color="000000"/>
            </w:tcBorders>
          </w:tcPr>
          <w:p>
            <w:pPr>
              <w:pStyle w:val="TableParagraph"/>
              <w:spacing w:before="13"/>
              <w:ind w:right="119"/>
              <w:jc w:val="right"/>
              <w:rPr>
                <w:sz w:val="18"/>
              </w:rPr>
            </w:pPr>
            <w:r>
              <w:rPr>
                <w:spacing w:val="-2"/>
                <w:sz w:val="18"/>
              </w:rPr>
              <w:t>2,463</w:t>
            </w:r>
          </w:p>
        </w:tc>
        <w:tc>
          <w:tcPr>
            <w:tcW w:w="1135" w:type="dxa"/>
            <w:tcBorders>
              <w:top w:val="single" w:sz="4" w:space="0" w:color="000000"/>
              <w:bottom w:val="single" w:sz="4" w:space="0" w:color="000000"/>
            </w:tcBorders>
          </w:tcPr>
          <w:p>
            <w:pPr>
              <w:pStyle w:val="TableParagraph"/>
              <w:spacing w:before="13"/>
              <w:ind w:right="69"/>
              <w:jc w:val="right"/>
              <w:rPr>
                <w:sz w:val="18"/>
              </w:rPr>
            </w:pPr>
            <w:r>
              <w:rPr>
                <w:spacing w:val="-2"/>
                <w:sz w:val="18"/>
              </w:rPr>
              <w:t>2,778</w:t>
            </w:r>
          </w:p>
        </w:tc>
      </w:tr>
      <w:tr>
        <w:trPr>
          <w:trHeight w:val="250" w:hRule="atLeast"/>
        </w:trPr>
        <w:tc>
          <w:tcPr>
            <w:tcW w:w="5505" w:type="dxa"/>
            <w:tcBorders>
              <w:top w:val="single" w:sz="4" w:space="0" w:color="000000"/>
            </w:tcBorders>
            <w:shd w:val="clear" w:color="auto" w:fill="CCEDFF"/>
          </w:tcPr>
          <w:p>
            <w:pPr>
              <w:pStyle w:val="TableParagraph"/>
              <w:spacing w:before="13"/>
              <w:ind w:left="52"/>
              <w:rPr>
                <w:sz w:val="18"/>
              </w:rPr>
            </w:pPr>
            <w:r>
              <w:rPr>
                <w:sz w:val="18"/>
              </w:rPr>
              <w:t>Bank</w:t>
            </w:r>
            <w:r>
              <w:rPr>
                <w:spacing w:val="-1"/>
                <w:sz w:val="18"/>
              </w:rPr>
              <w:t> </w:t>
            </w:r>
            <w:r>
              <w:rPr>
                <w:sz w:val="18"/>
              </w:rPr>
              <w:t>deposit account </w:t>
            </w:r>
            <w:r>
              <w:rPr>
                <w:spacing w:val="-4"/>
                <w:sz w:val="18"/>
              </w:rPr>
              <w:t>fees</w:t>
            </w:r>
          </w:p>
        </w:tc>
        <w:tc>
          <w:tcPr>
            <w:tcW w:w="1241" w:type="dxa"/>
            <w:tcBorders>
              <w:top w:val="single" w:sz="4" w:space="0" w:color="000000"/>
            </w:tcBorders>
            <w:shd w:val="clear" w:color="auto" w:fill="CCEDFF"/>
          </w:tcPr>
          <w:p>
            <w:pPr>
              <w:pStyle w:val="TableParagraph"/>
              <w:spacing w:before="13"/>
              <w:ind w:right="128"/>
              <w:jc w:val="right"/>
              <w:rPr>
                <w:sz w:val="18"/>
              </w:rPr>
            </w:pPr>
            <w:r>
              <w:rPr>
                <w:spacing w:val="-5"/>
                <w:sz w:val="18"/>
              </w:rPr>
              <w:t>205</w:t>
            </w:r>
          </w:p>
        </w:tc>
        <w:tc>
          <w:tcPr>
            <w:tcW w:w="1192" w:type="dxa"/>
            <w:tcBorders>
              <w:top w:val="single" w:sz="4" w:space="0" w:color="000000"/>
            </w:tcBorders>
            <w:shd w:val="clear" w:color="auto" w:fill="CCEDFF"/>
          </w:tcPr>
          <w:p>
            <w:pPr>
              <w:pStyle w:val="TableParagraph"/>
              <w:spacing w:before="13"/>
              <w:ind w:right="120"/>
              <w:jc w:val="right"/>
              <w:rPr>
                <w:sz w:val="18"/>
              </w:rPr>
            </w:pPr>
            <w:r>
              <w:rPr>
                <w:spacing w:val="-5"/>
                <w:sz w:val="18"/>
              </w:rPr>
              <w:t>413</w:t>
            </w:r>
          </w:p>
        </w:tc>
        <w:tc>
          <w:tcPr>
            <w:tcW w:w="1184" w:type="dxa"/>
            <w:tcBorders>
              <w:top w:val="single" w:sz="4" w:space="0" w:color="000000"/>
            </w:tcBorders>
            <w:shd w:val="clear" w:color="auto" w:fill="CCEDFF"/>
          </w:tcPr>
          <w:p>
            <w:pPr>
              <w:pStyle w:val="TableParagraph"/>
              <w:spacing w:before="13"/>
              <w:ind w:right="119"/>
              <w:jc w:val="right"/>
              <w:rPr>
                <w:sz w:val="18"/>
              </w:rPr>
            </w:pPr>
            <w:r>
              <w:rPr>
                <w:spacing w:val="-5"/>
                <w:sz w:val="18"/>
              </w:rPr>
              <w:t>531</w:t>
            </w:r>
          </w:p>
        </w:tc>
        <w:tc>
          <w:tcPr>
            <w:tcW w:w="1135" w:type="dxa"/>
            <w:tcBorders>
              <w:top w:val="single" w:sz="4" w:space="0" w:color="000000"/>
            </w:tcBorders>
            <w:shd w:val="clear" w:color="auto" w:fill="CCEDFF"/>
          </w:tcPr>
          <w:p>
            <w:pPr>
              <w:pStyle w:val="TableParagraph"/>
              <w:spacing w:before="13"/>
              <w:ind w:right="69"/>
              <w:jc w:val="right"/>
              <w:rPr>
                <w:sz w:val="18"/>
              </w:rPr>
            </w:pPr>
            <w:r>
              <w:rPr>
                <w:spacing w:val="-2"/>
                <w:sz w:val="18"/>
              </w:rPr>
              <w:t>1,059</w:t>
            </w:r>
          </w:p>
        </w:tc>
      </w:tr>
      <w:tr>
        <w:trPr>
          <w:trHeight w:val="250" w:hRule="atLeast"/>
        </w:trPr>
        <w:tc>
          <w:tcPr>
            <w:tcW w:w="5505" w:type="dxa"/>
            <w:tcBorders>
              <w:bottom w:val="single" w:sz="4" w:space="0" w:color="000000"/>
            </w:tcBorders>
          </w:tcPr>
          <w:p>
            <w:pPr>
              <w:pStyle w:val="TableParagraph"/>
              <w:spacing w:before="18"/>
              <w:ind w:left="52"/>
              <w:rPr>
                <w:sz w:val="18"/>
              </w:rPr>
            </w:pPr>
            <w:r>
              <w:rPr>
                <w:spacing w:val="-2"/>
                <w:sz w:val="18"/>
              </w:rPr>
              <w:t>Other</w:t>
            </w:r>
          </w:p>
        </w:tc>
        <w:tc>
          <w:tcPr>
            <w:tcW w:w="1241" w:type="dxa"/>
            <w:tcBorders>
              <w:bottom w:val="single" w:sz="4" w:space="0" w:color="000000"/>
            </w:tcBorders>
          </w:tcPr>
          <w:p>
            <w:pPr>
              <w:pStyle w:val="TableParagraph"/>
              <w:spacing w:before="18"/>
              <w:ind w:right="128"/>
              <w:jc w:val="right"/>
              <w:rPr>
                <w:sz w:val="18"/>
              </w:rPr>
            </w:pPr>
            <w:r>
              <w:rPr>
                <w:spacing w:val="-5"/>
                <w:sz w:val="18"/>
              </w:rPr>
              <w:t>172</w:t>
            </w:r>
          </w:p>
        </w:tc>
        <w:tc>
          <w:tcPr>
            <w:tcW w:w="1192" w:type="dxa"/>
            <w:tcBorders>
              <w:bottom w:val="single" w:sz="4" w:space="0" w:color="000000"/>
            </w:tcBorders>
          </w:tcPr>
          <w:p>
            <w:pPr>
              <w:pStyle w:val="TableParagraph"/>
              <w:spacing w:before="18"/>
              <w:ind w:right="120"/>
              <w:jc w:val="right"/>
              <w:rPr>
                <w:sz w:val="18"/>
              </w:rPr>
            </w:pPr>
            <w:r>
              <w:rPr>
                <w:spacing w:val="-5"/>
                <w:sz w:val="18"/>
              </w:rPr>
              <w:t>184</w:t>
            </w:r>
          </w:p>
        </w:tc>
        <w:tc>
          <w:tcPr>
            <w:tcW w:w="1184" w:type="dxa"/>
            <w:tcBorders>
              <w:bottom w:val="single" w:sz="4" w:space="0" w:color="000000"/>
            </w:tcBorders>
          </w:tcPr>
          <w:p>
            <w:pPr>
              <w:pStyle w:val="TableParagraph"/>
              <w:spacing w:before="18"/>
              <w:ind w:right="119"/>
              <w:jc w:val="right"/>
              <w:rPr>
                <w:sz w:val="18"/>
              </w:rPr>
            </w:pPr>
            <w:r>
              <w:rPr>
                <w:spacing w:val="-5"/>
                <w:sz w:val="18"/>
              </w:rPr>
              <w:t>572</w:t>
            </w:r>
          </w:p>
        </w:tc>
        <w:tc>
          <w:tcPr>
            <w:tcW w:w="1135" w:type="dxa"/>
            <w:tcBorders>
              <w:bottom w:val="single" w:sz="4" w:space="0" w:color="000000"/>
            </w:tcBorders>
          </w:tcPr>
          <w:p>
            <w:pPr>
              <w:pStyle w:val="TableParagraph"/>
              <w:spacing w:before="18"/>
              <w:ind w:right="69"/>
              <w:jc w:val="right"/>
              <w:rPr>
                <w:sz w:val="18"/>
              </w:rPr>
            </w:pPr>
            <w:r>
              <w:rPr>
                <w:spacing w:val="-5"/>
                <w:sz w:val="18"/>
              </w:rPr>
              <w:t>608</w:t>
            </w:r>
          </w:p>
        </w:tc>
      </w:tr>
      <w:tr>
        <w:trPr>
          <w:trHeight w:val="220" w:hRule="atLeast"/>
        </w:trPr>
        <w:tc>
          <w:tcPr>
            <w:tcW w:w="5505" w:type="dxa"/>
            <w:tcBorders>
              <w:top w:val="single" w:sz="4" w:space="0" w:color="000000"/>
              <w:bottom w:val="double" w:sz="8" w:space="0" w:color="000000"/>
            </w:tcBorders>
            <w:shd w:val="clear" w:color="auto" w:fill="CCEDFF"/>
          </w:tcPr>
          <w:p>
            <w:pPr>
              <w:pStyle w:val="TableParagraph"/>
              <w:spacing w:line="187" w:lineRule="exact" w:before="13"/>
              <w:ind w:left="52"/>
              <w:rPr>
                <w:sz w:val="18"/>
              </w:rPr>
            </w:pPr>
            <w:r>
              <w:rPr>
                <w:sz w:val="18"/>
              </w:rPr>
              <w:t>Total net </w:t>
            </w:r>
            <w:r>
              <w:rPr>
                <w:spacing w:val="-2"/>
                <w:sz w:val="18"/>
              </w:rPr>
              <w:t>revenues</w:t>
            </w:r>
          </w:p>
        </w:tc>
        <w:tc>
          <w:tcPr>
            <w:tcW w:w="1241" w:type="dxa"/>
            <w:tcBorders>
              <w:top w:val="single" w:sz="4" w:space="0" w:color="000000"/>
              <w:bottom w:val="double" w:sz="8" w:space="0" w:color="000000"/>
            </w:tcBorders>
            <w:shd w:val="clear" w:color="auto" w:fill="CCEDFF"/>
          </w:tcPr>
          <w:p>
            <w:pPr>
              <w:pStyle w:val="TableParagraph"/>
              <w:tabs>
                <w:tab w:pos="652" w:val="left" w:leader="none"/>
              </w:tabs>
              <w:spacing w:line="187" w:lineRule="exact" w:before="13"/>
              <w:ind w:right="128"/>
              <w:jc w:val="right"/>
              <w:rPr>
                <w:sz w:val="18"/>
              </w:rPr>
            </w:pPr>
            <w:r>
              <w:rPr>
                <w:spacing w:val="-10"/>
                <w:sz w:val="18"/>
              </w:rPr>
              <w:t>$</w:t>
            </w:r>
            <w:r>
              <w:rPr>
                <w:sz w:val="18"/>
              </w:rPr>
              <w:tab/>
            </w:r>
            <w:r>
              <w:rPr>
                <w:spacing w:val="-2"/>
                <w:sz w:val="18"/>
              </w:rPr>
              <w:t>4,606</w:t>
            </w:r>
          </w:p>
        </w:tc>
        <w:tc>
          <w:tcPr>
            <w:tcW w:w="1192" w:type="dxa"/>
            <w:tcBorders>
              <w:top w:val="single" w:sz="4" w:space="0" w:color="000000"/>
              <w:bottom w:val="double" w:sz="8" w:space="0" w:color="000000"/>
            </w:tcBorders>
            <w:shd w:val="clear" w:color="auto" w:fill="CCEDFF"/>
          </w:tcPr>
          <w:p>
            <w:pPr>
              <w:pStyle w:val="TableParagraph"/>
              <w:tabs>
                <w:tab w:pos="592" w:val="left" w:leader="none"/>
              </w:tabs>
              <w:spacing w:line="187" w:lineRule="exact" w:before="13"/>
              <w:ind w:right="120"/>
              <w:jc w:val="right"/>
              <w:rPr>
                <w:sz w:val="18"/>
              </w:rPr>
            </w:pPr>
            <w:r>
              <w:rPr>
                <w:spacing w:val="-10"/>
                <w:sz w:val="18"/>
              </w:rPr>
              <w:t>$</w:t>
            </w:r>
            <w:r>
              <w:rPr>
                <w:sz w:val="18"/>
              </w:rPr>
              <w:tab/>
            </w:r>
            <w:r>
              <w:rPr>
                <w:spacing w:val="-2"/>
                <w:sz w:val="18"/>
              </w:rPr>
              <w:t>5,500</w:t>
            </w:r>
          </w:p>
        </w:tc>
        <w:tc>
          <w:tcPr>
            <w:tcW w:w="1184" w:type="dxa"/>
            <w:tcBorders>
              <w:top w:val="single" w:sz="4" w:space="0" w:color="000000"/>
              <w:bottom w:val="double" w:sz="8" w:space="0" w:color="000000"/>
            </w:tcBorders>
            <w:shd w:val="clear" w:color="auto" w:fill="CCEDFF"/>
          </w:tcPr>
          <w:p>
            <w:pPr>
              <w:pStyle w:val="TableParagraph"/>
              <w:tabs>
                <w:tab w:pos="567" w:val="left" w:leader="none"/>
              </w:tabs>
              <w:spacing w:line="187" w:lineRule="exact" w:before="13"/>
              <w:ind w:left="64"/>
              <w:rPr>
                <w:sz w:val="18"/>
              </w:rPr>
            </w:pPr>
            <w:r>
              <w:rPr>
                <w:spacing w:val="-10"/>
                <w:sz w:val="18"/>
              </w:rPr>
              <w:t>$</w:t>
            </w:r>
            <w:r>
              <w:rPr>
                <w:sz w:val="18"/>
              </w:rPr>
              <w:tab/>
            </w:r>
            <w:r>
              <w:rPr>
                <w:spacing w:val="-2"/>
                <w:sz w:val="18"/>
              </w:rPr>
              <w:t>14,378</w:t>
            </w:r>
          </w:p>
        </w:tc>
        <w:tc>
          <w:tcPr>
            <w:tcW w:w="1135" w:type="dxa"/>
            <w:tcBorders>
              <w:top w:val="single" w:sz="4" w:space="0" w:color="000000"/>
              <w:bottom w:val="double" w:sz="8" w:space="0" w:color="000000"/>
            </w:tcBorders>
            <w:shd w:val="clear" w:color="auto" w:fill="CCEDFF"/>
          </w:tcPr>
          <w:p>
            <w:pPr>
              <w:pStyle w:val="TableParagraph"/>
              <w:tabs>
                <w:tab w:pos="502" w:val="left" w:leader="none"/>
              </w:tabs>
              <w:spacing w:line="187" w:lineRule="exact" w:before="13"/>
              <w:ind w:right="69"/>
              <w:jc w:val="right"/>
              <w:rPr>
                <w:sz w:val="18"/>
              </w:rPr>
            </w:pPr>
            <w:r>
              <w:rPr>
                <w:spacing w:val="-10"/>
                <w:sz w:val="18"/>
              </w:rPr>
              <w:t>$</w:t>
            </w:r>
            <w:r>
              <w:rPr>
                <w:sz w:val="18"/>
              </w:rPr>
              <w:tab/>
            </w:r>
            <w:r>
              <w:rPr>
                <w:spacing w:val="-2"/>
                <w:sz w:val="18"/>
              </w:rPr>
              <w:t>15,265</w:t>
            </w:r>
          </w:p>
        </w:tc>
      </w:tr>
    </w:tbl>
    <w:p>
      <w:pPr>
        <w:spacing w:line="249" w:lineRule="auto" w:before="27"/>
        <w:ind w:left="920" w:right="500" w:hanging="450"/>
        <w:jc w:val="left"/>
        <w:rPr>
          <w:sz w:val="16"/>
        </w:rPr>
      </w:pPr>
      <w:r>
        <w:rPr>
          <w:sz w:val="16"/>
        </w:rPr>
        <w:t>Note:</w:t>
      </w:r>
      <w:r>
        <w:rPr>
          <w:spacing w:val="37"/>
          <w:sz w:val="16"/>
        </w:rPr>
        <w:t> </w:t>
      </w:r>
      <w:r>
        <w:rPr>
          <w:sz w:val="16"/>
        </w:rPr>
        <w:t>For</w:t>
      </w:r>
      <w:r>
        <w:rPr>
          <w:spacing w:val="-2"/>
          <w:sz w:val="16"/>
        </w:rPr>
        <w:t> </w:t>
      </w:r>
      <w:r>
        <w:rPr>
          <w:sz w:val="16"/>
        </w:rPr>
        <w:t>a</w:t>
      </w:r>
      <w:r>
        <w:rPr>
          <w:spacing w:val="-2"/>
          <w:sz w:val="16"/>
        </w:rPr>
        <w:t> </w:t>
      </w:r>
      <w:r>
        <w:rPr>
          <w:sz w:val="16"/>
        </w:rPr>
        <w:t>summary</w:t>
      </w:r>
      <w:r>
        <w:rPr>
          <w:spacing w:val="-2"/>
          <w:sz w:val="16"/>
        </w:rPr>
        <w:t> </w:t>
      </w:r>
      <w:r>
        <w:rPr>
          <w:sz w:val="16"/>
        </w:rPr>
        <w:t>of</w:t>
      </w:r>
      <w:r>
        <w:rPr>
          <w:spacing w:val="-2"/>
          <w:sz w:val="16"/>
        </w:rPr>
        <w:t> </w:t>
      </w:r>
      <w:r>
        <w:rPr>
          <w:sz w:val="16"/>
        </w:rPr>
        <w:t>revenue</w:t>
      </w:r>
      <w:r>
        <w:rPr>
          <w:spacing w:val="-2"/>
          <w:sz w:val="16"/>
        </w:rPr>
        <w:t> </w:t>
      </w:r>
      <w:r>
        <w:rPr>
          <w:sz w:val="16"/>
        </w:rPr>
        <w:t>provided</w:t>
      </w:r>
      <w:r>
        <w:rPr>
          <w:spacing w:val="-2"/>
          <w:sz w:val="16"/>
        </w:rPr>
        <w:t> </w:t>
      </w:r>
      <w:r>
        <w:rPr>
          <w:sz w:val="16"/>
        </w:rPr>
        <w:t>by</w:t>
      </w:r>
      <w:r>
        <w:rPr>
          <w:spacing w:val="-2"/>
          <w:sz w:val="16"/>
        </w:rPr>
        <w:t> </w:t>
      </w:r>
      <w:r>
        <w:rPr>
          <w:sz w:val="16"/>
        </w:rPr>
        <w:t>our</w:t>
      </w:r>
      <w:r>
        <w:rPr>
          <w:spacing w:val="-2"/>
          <w:sz w:val="16"/>
        </w:rPr>
        <w:t> </w:t>
      </w:r>
      <w:r>
        <w:rPr>
          <w:sz w:val="16"/>
        </w:rPr>
        <w:t>reportable</w:t>
      </w:r>
      <w:r>
        <w:rPr>
          <w:spacing w:val="-2"/>
          <w:sz w:val="16"/>
        </w:rPr>
        <w:t> </w:t>
      </w:r>
      <w:r>
        <w:rPr>
          <w:sz w:val="16"/>
        </w:rPr>
        <w:t>segments,</w:t>
      </w:r>
      <w:r>
        <w:rPr>
          <w:spacing w:val="-2"/>
          <w:sz w:val="16"/>
        </w:rPr>
        <w:t> </w:t>
      </w:r>
      <w:r>
        <w:rPr>
          <w:sz w:val="16"/>
        </w:rPr>
        <w:t>see</w:t>
      </w:r>
      <w:r>
        <w:rPr>
          <w:spacing w:val="-2"/>
          <w:sz w:val="16"/>
        </w:rPr>
        <w:t> </w:t>
      </w:r>
      <w:r>
        <w:rPr>
          <w:sz w:val="16"/>
        </w:rPr>
        <w:t>Note</w:t>
      </w:r>
      <w:r>
        <w:rPr>
          <w:spacing w:val="-5"/>
          <w:sz w:val="16"/>
        </w:rPr>
        <w:t> </w:t>
      </w:r>
      <w:r>
        <w:rPr>
          <w:sz w:val="16"/>
        </w:rPr>
        <w:t>18.</w:t>
      </w:r>
      <w:r>
        <w:rPr>
          <w:spacing w:val="-2"/>
          <w:sz w:val="16"/>
        </w:rPr>
        <w:t> </w:t>
      </w:r>
      <w:r>
        <w:rPr>
          <w:sz w:val="16"/>
        </w:rPr>
        <w:t>The</w:t>
      </w:r>
      <w:r>
        <w:rPr>
          <w:spacing w:val="-2"/>
          <w:sz w:val="16"/>
        </w:rPr>
        <w:t> </w:t>
      </w:r>
      <w:r>
        <w:rPr>
          <w:sz w:val="16"/>
        </w:rPr>
        <w:t>recognition</w:t>
      </w:r>
      <w:r>
        <w:rPr>
          <w:spacing w:val="-2"/>
          <w:sz w:val="16"/>
        </w:rPr>
        <w:t> </w:t>
      </w:r>
      <w:r>
        <w:rPr>
          <w:sz w:val="16"/>
        </w:rPr>
        <w:t>of</w:t>
      </w:r>
      <w:r>
        <w:rPr>
          <w:spacing w:val="-2"/>
          <w:sz w:val="16"/>
        </w:rPr>
        <w:t> </w:t>
      </w:r>
      <w:r>
        <w:rPr>
          <w:sz w:val="16"/>
        </w:rPr>
        <w:t>revenue</w:t>
      </w:r>
      <w:r>
        <w:rPr>
          <w:spacing w:val="-2"/>
          <w:sz w:val="16"/>
        </w:rPr>
        <w:t> </w:t>
      </w:r>
      <w:r>
        <w:rPr>
          <w:sz w:val="16"/>
        </w:rPr>
        <w:t>is</w:t>
      </w:r>
      <w:r>
        <w:rPr>
          <w:spacing w:val="-3"/>
          <w:sz w:val="16"/>
        </w:rPr>
        <w:t> </w:t>
      </w:r>
      <w:r>
        <w:rPr>
          <w:sz w:val="16"/>
        </w:rPr>
        <w:t>not</w:t>
      </w:r>
      <w:r>
        <w:rPr>
          <w:spacing w:val="-2"/>
          <w:sz w:val="16"/>
        </w:rPr>
        <w:t> </w:t>
      </w:r>
      <w:r>
        <w:rPr>
          <w:sz w:val="16"/>
        </w:rPr>
        <w:t>impacted</w:t>
      </w:r>
      <w:r>
        <w:rPr>
          <w:spacing w:val="-2"/>
          <w:sz w:val="16"/>
        </w:rPr>
        <w:t> </w:t>
      </w:r>
      <w:r>
        <w:rPr>
          <w:sz w:val="16"/>
        </w:rPr>
        <w:t>by</w:t>
      </w:r>
      <w:r>
        <w:rPr>
          <w:spacing w:val="-2"/>
          <w:sz w:val="16"/>
        </w:rPr>
        <w:t> </w:t>
      </w:r>
      <w:r>
        <w:rPr>
          <w:sz w:val="16"/>
        </w:rPr>
        <w:t>the</w:t>
      </w:r>
      <w:r>
        <w:rPr>
          <w:spacing w:val="-2"/>
          <w:sz w:val="16"/>
        </w:rPr>
        <w:t> </w:t>
      </w:r>
      <w:r>
        <w:rPr>
          <w:sz w:val="16"/>
        </w:rPr>
        <w:t>operating</w:t>
      </w:r>
      <w:r>
        <w:rPr>
          <w:spacing w:val="-2"/>
          <w:sz w:val="16"/>
        </w:rPr>
        <w:t> </w:t>
      </w:r>
      <w:r>
        <w:rPr>
          <w:sz w:val="16"/>
        </w:rPr>
        <w:t>segment</w:t>
      </w:r>
      <w:r>
        <w:rPr>
          <w:spacing w:val="-2"/>
          <w:sz w:val="16"/>
        </w:rPr>
        <w:t> </w:t>
      </w:r>
      <w:r>
        <w:rPr>
          <w:sz w:val="16"/>
        </w:rPr>
        <w:t>in</w:t>
      </w:r>
      <w:r>
        <w:rPr>
          <w:spacing w:val="40"/>
          <w:sz w:val="16"/>
        </w:rPr>
        <w:t> </w:t>
      </w:r>
      <w:r>
        <w:rPr>
          <w:sz w:val="16"/>
        </w:rPr>
        <w:t>which revenue is generated.</w:t>
      </w:r>
    </w:p>
    <w:p>
      <w:pPr>
        <w:tabs>
          <w:tab w:pos="903" w:val="left" w:leader="none"/>
        </w:tabs>
        <w:spacing w:before="1"/>
        <w:ind w:left="470" w:right="0" w:firstLine="0"/>
        <w:jc w:val="left"/>
        <w:rPr>
          <w:sz w:val="16"/>
        </w:rPr>
      </w:pPr>
      <w:r>
        <w:rPr>
          <w:spacing w:val="-5"/>
          <w:sz w:val="16"/>
          <w:vertAlign w:val="superscript"/>
        </w:rPr>
        <w:t>(1)</w:t>
      </w:r>
      <w:r>
        <w:rPr>
          <w:sz w:val="16"/>
          <w:vertAlign w:val="baseline"/>
        </w:rPr>
        <w:tab/>
        <w:t>Certain</w:t>
      </w:r>
      <w:r>
        <w:rPr>
          <w:spacing w:val="-1"/>
          <w:sz w:val="16"/>
          <w:vertAlign w:val="baseline"/>
        </w:rPr>
        <w:t> </w:t>
      </w:r>
      <w:r>
        <w:rPr>
          <w:sz w:val="16"/>
          <w:vertAlign w:val="baseline"/>
        </w:rPr>
        <w:t>prior year amounts</w:t>
      </w:r>
      <w:r>
        <w:rPr>
          <w:spacing w:val="-2"/>
          <w:sz w:val="16"/>
          <w:vertAlign w:val="baseline"/>
        </w:rPr>
        <w:t> </w:t>
      </w:r>
      <w:r>
        <w:rPr>
          <w:sz w:val="16"/>
          <w:vertAlign w:val="baseline"/>
        </w:rPr>
        <w:t>have been reclassified to</w:t>
      </w:r>
      <w:r>
        <w:rPr>
          <w:spacing w:val="-1"/>
          <w:sz w:val="16"/>
          <w:vertAlign w:val="baseline"/>
        </w:rPr>
        <w:t> </w:t>
      </w:r>
      <w:r>
        <w:rPr>
          <w:sz w:val="16"/>
          <w:vertAlign w:val="baseline"/>
        </w:rPr>
        <w:t>conform to the current</w:t>
      </w:r>
      <w:r>
        <w:rPr>
          <w:spacing w:val="-1"/>
          <w:sz w:val="16"/>
          <w:vertAlign w:val="baseline"/>
        </w:rPr>
        <w:t> </w:t>
      </w:r>
      <w:r>
        <w:rPr>
          <w:sz w:val="16"/>
          <w:vertAlign w:val="baseline"/>
        </w:rPr>
        <w:t>year presentation. See Note</w:t>
      </w:r>
      <w:r>
        <w:rPr>
          <w:spacing w:val="-1"/>
          <w:sz w:val="16"/>
          <w:vertAlign w:val="baseline"/>
        </w:rPr>
        <w:t> </w:t>
      </w:r>
      <w:r>
        <w:rPr>
          <w:sz w:val="16"/>
          <w:vertAlign w:val="baseline"/>
        </w:rPr>
        <w:t>1 for additional </w:t>
      </w:r>
      <w:r>
        <w:rPr>
          <w:spacing w:val="-2"/>
          <w:sz w:val="16"/>
          <w:vertAlign w:val="baseline"/>
        </w:rPr>
        <w:t>information.</w:t>
      </w:r>
    </w:p>
    <w:p>
      <w:pPr>
        <w:pStyle w:val="BodyText"/>
        <w:spacing w:before="66"/>
        <w:rPr>
          <w:sz w:val="16"/>
        </w:rPr>
      </w:pPr>
    </w:p>
    <w:p>
      <w:pPr>
        <w:pStyle w:val="BodyText"/>
        <w:spacing w:line="249" w:lineRule="auto" w:before="1"/>
        <w:ind w:left="470" w:right="761"/>
      </w:pPr>
      <w:r>
        <w:rPr>
          <w:i/>
        </w:rPr>
        <w:t>Contract balances: </w:t>
      </w:r>
      <w:r>
        <w:rPr/>
        <w:t>Substantially all receivables from contracts with customers within the scope of Accounting Standards Codification</w:t>
      </w:r>
      <w:r>
        <w:rPr>
          <w:spacing w:val="-3"/>
        </w:rPr>
        <w:t> </w:t>
      </w:r>
      <w:r>
        <w:rPr/>
        <w:t>(ASC)</w:t>
      </w:r>
      <w:r>
        <w:rPr>
          <w:spacing w:val="-3"/>
        </w:rPr>
        <w:t> </w:t>
      </w:r>
      <w:r>
        <w:rPr/>
        <w:t>606</w:t>
      </w:r>
      <w:r>
        <w:rPr>
          <w:spacing w:val="-3"/>
        </w:rPr>
        <w:t> </w:t>
      </w:r>
      <w:r>
        <w:rPr>
          <w:i/>
        </w:rPr>
        <w:t>Revenue</w:t>
      </w:r>
      <w:r>
        <w:rPr>
          <w:i/>
          <w:spacing w:val="-4"/>
        </w:rPr>
        <w:t> </w:t>
      </w:r>
      <w:r>
        <w:rPr>
          <w:i/>
        </w:rPr>
        <w:t>From</w:t>
      </w:r>
      <w:r>
        <w:rPr>
          <w:i/>
          <w:spacing w:val="-4"/>
        </w:rPr>
        <w:t> </w:t>
      </w:r>
      <w:r>
        <w:rPr>
          <w:i/>
        </w:rPr>
        <w:t>Contracts</w:t>
      </w:r>
      <w:r>
        <w:rPr>
          <w:i/>
          <w:spacing w:val="-4"/>
        </w:rPr>
        <w:t> </w:t>
      </w:r>
      <w:r>
        <w:rPr>
          <w:i/>
        </w:rPr>
        <w:t>With</w:t>
      </w:r>
      <w:r>
        <w:rPr>
          <w:i/>
          <w:spacing w:val="-3"/>
        </w:rPr>
        <w:t> </w:t>
      </w:r>
      <w:r>
        <w:rPr>
          <w:i/>
        </w:rPr>
        <w:t>Customers</w:t>
      </w:r>
      <w:r>
        <w:rPr>
          <w:i/>
          <w:spacing w:val="-4"/>
        </w:rPr>
        <w:t> </w:t>
      </w:r>
      <w:r>
        <w:rPr/>
        <w:t>(ASC</w:t>
      </w:r>
      <w:r>
        <w:rPr>
          <w:spacing w:val="-4"/>
        </w:rPr>
        <w:t> </w:t>
      </w:r>
      <w:r>
        <w:rPr/>
        <w:t>606),</w:t>
      </w:r>
      <w:r>
        <w:rPr>
          <w:spacing w:val="-3"/>
        </w:rPr>
        <w:t> </w:t>
      </w:r>
      <w:r>
        <w:rPr/>
        <w:t>are</w:t>
      </w:r>
      <w:r>
        <w:rPr>
          <w:spacing w:val="-4"/>
        </w:rPr>
        <w:t> </w:t>
      </w:r>
      <w:r>
        <w:rPr/>
        <w:t>included</w:t>
      </w:r>
      <w:r>
        <w:rPr>
          <w:spacing w:val="-3"/>
        </w:rPr>
        <w:t> </w:t>
      </w:r>
      <w:r>
        <w:rPr/>
        <w:t>in</w:t>
      </w:r>
      <w:r>
        <w:rPr>
          <w:spacing w:val="-3"/>
        </w:rPr>
        <w:t> </w:t>
      </w:r>
      <w:r>
        <w:rPr/>
        <w:t>other</w:t>
      </w:r>
      <w:r>
        <w:rPr>
          <w:spacing w:val="-3"/>
        </w:rPr>
        <w:t> </w:t>
      </w:r>
      <w:r>
        <w:rPr/>
        <w:t>assets</w:t>
      </w:r>
      <w:r>
        <w:rPr>
          <w:spacing w:val="-4"/>
        </w:rPr>
        <w:t> </w:t>
      </w:r>
      <w:r>
        <w:rPr/>
        <w:t>on</w:t>
      </w:r>
      <w:r>
        <w:rPr>
          <w:spacing w:val="-3"/>
        </w:rPr>
        <w:t> </w:t>
      </w:r>
      <w:r>
        <w:rPr/>
        <w:t>the</w:t>
      </w:r>
      <w:r>
        <w:rPr>
          <w:spacing w:val="-4"/>
        </w:rPr>
        <w:t> </w:t>
      </w:r>
      <w:r>
        <w:rPr/>
        <w:t>condensed consolidated balance sheets, and totaled $563 million and $560 million at September 30, 2023 and December 31, 2022, respectively. Schwab did not have any other significant contract assets as of December 31, 2022.</w:t>
      </w:r>
    </w:p>
    <w:p>
      <w:pPr>
        <w:pStyle w:val="BodyText"/>
        <w:spacing w:before="13"/>
      </w:pPr>
    </w:p>
    <w:p>
      <w:pPr>
        <w:pStyle w:val="BodyText"/>
        <w:spacing w:line="249" w:lineRule="auto"/>
        <w:ind w:left="470" w:right="500"/>
      </w:pPr>
      <w:r>
        <w:rPr/>
        <w:t>At September 30, 2023, the Company also had net contract assets of $221 million related to the buy down of fixed-rate obligation</w:t>
      </w:r>
      <w:r>
        <w:rPr>
          <w:spacing w:val="-3"/>
        </w:rPr>
        <w:t> </w:t>
      </w:r>
      <w:r>
        <w:rPr/>
        <w:t>amounts</w:t>
      </w:r>
      <w:r>
        <w:rPr>
          <w:spacing w:val="-4"/>
        </w:rPr>
        <w:t> </w:t>
      </w:r>
      <w:r>
        <w:rPr/>
        <w:t>pursuant</w:t>
      </w:r>
      <w:r>
        <w:rPr>
          <w:spacing w:val="-4"/>
        </w:rPr>
        <w:t> </w:t>
      </w:r>
      <w:r>
        <w:rPr/>
        <w:t>to</w:t>
      </w:r>
      <w:r>
        <w:rPr>
          <w:spacing w:val="-3"/>
        </w:rPr>
        <w:t> </w:t>
      </w:r>
      <w:r>
        <w:rPr/>
        <w:t>the</w:t>
      </w:r>
      <w:r>
        <w:rPr>
          <w:spacing w:val="-4"/>
        </w:rPr>
        <w:t> </w:t>
      </w:r>
      <w:r>
        <w:rPr/>
        <w:t>2023</w:t>
      </w:r>
      <w:r>
        <w:rPr>
          <w:spacing w:val="-3"/>
        </w:rPr>
        <w:t> </w:t>
      </w:r>
      <w:r>
        <w:rPr/>
        <w:t>IDA</w:t>
      </w:r>
      <w:r>
        <w:rPr>
          <w:spacing w:val="-4"/>
        </w:rPr>
        <w:t> </w:t>
      </w:r>
      <w:r>
        <w:rPr/>
        <w:t>agreement.</w:t>
      </w:r>
      <w:r>
        <w:rPr>
          <w:spacing w:val="-3"/>
        </w:rPr>
        <w:t> </w:t>
      </w:r>
      <w:r>
        <w:rPr/>
        <w:t>This</w:t>
      </w:r>
      <w:r>
        <w:rPr>
          <w:spacing w:val="-4"/>
        </w:rPr>
        <w:t> </w:t>
      </w:r>
      <w:r>
        <w:rPr/>
        <w:t>balance</w:t>
      </w:r>
      <w:r>
        <w:rPr>
          <w:spacing w:val="-4"/>
        </w:rPr>
        <w:t> </w:t>
      </w:r>
      <w:r>
        <w:rPr/>
        <w:t>is</w:t>
      </w:r>
      <w:r>
        <w:rPr>
          <w:spacing w:val="-4"/>
        </w:rPr>
        <w:t> </w:t>
      </w:r>
      <w:r>
        <w:rPr/>
        <w:t>included</w:t>
      </w:r>
      <w:r>
        <w:rPr>
          <w:spacing w:val="-3"/>
        </w:rPr>
        <w:t> </w:t>
      </w:r>
      <w:r>
        <w:rPr/>
        <w:t>in</w:t>
      </w:r>
      <w:r>
        <w:rPr>
          <w:spacing w:val="-3"/>
        </w:rPr>
        <w:t> </w:t>
      </w:r>
      <w:r>
        <w:rPr/>
        <w:t>other</w:t>
      </w:r>
      <w:r>
        <w:rPr>
          <w:spacing w:val="-3"/>
        </w:rPr>
        <w:t> </w:t>
      </w:r>
      <w:r>
        <w:rPr/>
        <w:t>assets</w:t>
      </w:r>
      <w:r>
        <w:rPr>
          <w:spacing w:val="-4"/>
        </w:rPr>
        <w:t> </w:t>
      </w:r>
      <w:r>
        <w:rPr/>
        <w:t>on</w:t>
      </w:r>
      <w:r>
        <w:rPr>
          <w:spacing w:val="-3"/>
        </w:rPr>
        <w:t> </w:t>
      </w:r>
      <w:r>
        <w:rPr/>
        <w:t>the</w:t>
      </w:r>
      <w:r>
        <w:rPr>
          <w:spacing w:val="-4"/>
        </w:rPr>
        <w:t> </w:t>
      </w:r>
      <w:r>
        <w:rPr/>
        <w:t>condensed</w:t>
      </w:r>
      <w:r>
        <w:rPr>
          <w:spacing w:val="-3"/>
        </w:rPr>
        <w:t> </w:t>
      </w:r>
      <w:r>
        <w:rPr/>
        <w:t>consolidated balance sheet, and is amortized on a straight-line basis over the remaining contract term as a reduction to bank deposit account fee revenue. For additional discussion of the 2023 IDA agreement, see Note 9. Schwab did not have any significant contract liability balances as of September 30, 2023 or December 31, 2022.</w:t>
      </w:r>
    </w:p>
    <w:p>
      <w:pPr>
        <w:pStyle w:val="BodyText"/>
        <w:spacing w:before="14"/>
      </w:pPr>
    </w:p>
    <w:p>
      <w:pPr>
        <w:pStyle w:val="BodyText"/>
        <w:spacing w:line="249" w:lineRule="auto"/>
        <w:ind w:left="470" w:right="500"/>
      </w:pPr>
      <w:r>
        <w:rPr>
          <w:i/>
        </w:rPr>
        <w:t>Unsatisfied</w:t>
      </w:r>
      <w:r>
        <w:rPr>
          <w:i/>
          <w:spacing w:val="-3"/>
        </w:rPr>
        <w:t> </w:t>
      </w:r>
      <w:r>
        <w:rPr>
          <w:i/>
        </w:rPr>
        <w:t>performance</w:t>
      </w:r>
      <w:r>
        <w:rPr>
          <w:i/>
          <w:spacing w:val="-4"/>
        </w:rPr>
        <w:t> </w:t>
      </w:r>
      <w:r>
        <w:rPr>
          <w:i/>
        </w:rPr>
        <w:t>obligations:</w:t>
      </w:r>
      <w:r>
        <w:rPr>
          <w:i/>
          <w:spacing w:val="-3"/>
        </w:rPr>
        <w:t> </w:t>
      </w:r>
      <w:r>
        <w:rPr/>
        <w:t>We</w:t>
      </w:r>
      <w:r>
        <w:rPr>
          <w:spacing w:val="-4"/>
        </w:rPr>
        <w:t> </w:t>
      </w:r>
      <w:r>
        <w:rPr/>
        <w:t>do</w:t>
      </w:r>
      <w:r>
        <w:rPr>
          <w:spacing w:val="-3"/>
        </w:rPr>
        <w:t> </w:t>
      </w:r>
      <w:r>
        <w:rPr/>
        <w:t>not</w:t>
      </w:r>
      <w:r>
        <w:rPr>
          <w:spacing w:val="-4"/>
        </w:rPr>
        <w:t> </w:t>
      </w:r>
      <w:r>
        <w:rPr/>
        <w:t>have</w:t>
      </w:r>
      <w:r>
        <w:rPr>
          <w:spacing w:val="-4"/>
        </w:rPr>
        <w:t> </w:t>
      </w:r>
      <w:r>
        <w:rPr/>
        <w:t>any</w:t>
      </w:r>
      <w:r>
        <w:rPr>
          <w:spacing w:val="-3"/>
        </w:rPr>
        <w:t> </w:t>
      </w:r>
      <w:r>
        <w:rPr/>
        <w:t>unsatisfied</w:t>
      </w:r>
      <w:r>
        <w:rPr>
          <w:spacing w:val="-3"/>
        </w:rPr>
        <w:t> </w:t>
      </w:r>
      <w:r>
        <w:rPr/>
        <w:t>performance</w:t>
      </w:r>
      <w:r>
        <w:rPr>
          <w:spacing w:val="-4"/>
        </w:rPr>
        <w:t> </w:t>
      </w:r>
      <w:r>
        <w:rPr/>
        <w:t>obligations</w:t>
      </w:r>
      <w:r>
        <w:rPr>
          <w:spacing w:val="-4"/>
        </w:rPr>
        <w:t> </w:t>
      </w:r>
      <w:r>
        <w:rPr/>
        <w:t>other</w:t>
      </w:r>
      <w:r>
        <w:rPr>
          <w:spacing w:val="-3"/>
        </w:rPr>
        <w:t> </w:t>
      </w:r>
      <w:r>
        <w:rPr/>
        <w:t>than</w:t>
      </w:r>
      <w:r>
        <w:rPr>
          <w:spacing w:val="-3"/>
        </w:rPr>
        <w:t> </w:t>
      </w:r>
      <w:r>
        <w:rPr/>
        <w:t>those</w:t>
      </w:r>
      <w:r>
        <w:rPr>
          <w:spacing w:val="-4"/>
        </w:rPr>
        <w:t> </w:t>
      </w:r>
      <w:r>
        <w:rPr/>
        <w:t>that</w:t>
      </w:r>
      <w:r>
        <w:rPr>
          <w:spacing w:val="-4"/>
        </w:rPr>
        <w:t> </w:t>
      </w:r>
      <w:r>
        <w:rPr/>
        <w:t>are</w:t>
      </w:r>
      <w:r>
        <w:rPr>
          <w:spacing w:val="-4"/>
        </w:rPr>
        <w:t> </w:t>
      </w:r>
      <w:r>
        <w:rPr/>
        <w:t>subject to an elective practical expedient under ASC 606. The practical expedient applies to and is elected for contracts where we recognize revenue at the amount to which we have the right to invoice for services performed.</w:t>
      </w:r>
    </w:p>
    <w:p>
      <w:pPr>
        <w:spacing w:after="0" w:line="249" w:lineRule="auto"/>
        <w:sectPr>
          <w:type w:val="continuous"/>
          <w:pgSz w:w="12240" w:h="15840"/>
          <w:pgMar w:header="227" w:footer="201" w:top="320" w:bottom="280" w:left="520" w:right="520"/>
        </w:sectPr>
      </w:pPr>
    </w:p>
    <w:p>
      <w:pPr>
        <w:pStyle w:val="Heading2"/>
        <w:numPr>
          <w:ilvl w:val="0"/>
          <w:numId w:val="4"/>
        </w:numPr>
        <w:tabs>
          <w:tab w:pos="1189" w:val="left" w:leader="none"/>
        </w:tabs>
        <w:spacing w:line="240" w:lineRule="auto" w:before="211" w:after="0"/>
        <w:ind w:left="1189" w:right="0" w:hanging="719"/>
        <w:jc w:val="left"/>
      </w:pPr>
      <w:bookmarkStart w:name="Note 4 Investment Securities" w:id="43"/>
      <w:bookmarkEnd w:id="43"/>
      <w:r>
        <w:rPr>
          <w:b w:val="0"/>
        </w:rPr>
      </w:r>
      <w:r>
        <w:rPr/>
        <w:t>Investment</w:t>
      </w:r>
      <w:r>
        <w:rPr>
          <w:spacing w:val="-6"/>
        </w:rPr>
        <w:t> </w:t>
      </w:r>
      <w:r>
        <w:rPr>
          <w:spacing w:val="-2"/>
        </w:rPr>
        <w:t>Securities</w:t>
      </w:r>
    </w:p>
    <w:p>
      <w:pPr>
        <w:pStyle w:val="BodyText"/>
        <w:spacing w:before="23"/>
        <w:rPr>
          <w:b/>
        </w:rPr>
      </w:pPr>
    </w:p>
    <w:p>
      <w:pPr>
        <w:pStyle w:val="BodyText"/>
        <w:spacing w:line="249" w:lineRule="auto"/>
        <w:ind w:left="470" w:right="500"/>
      </w:pPr>
      <w:r>
        <w:rPr/>
        <w:t>The</w:t>
      </w:r>
      <w:r>
        <w:rPr>
          <w:spacing w:val="-3"/>
        </w:rPr>
        <w:t> </w:t>
      </w:r>
      <w:r>
        <w:rPr/>
        <w:t>amortized</w:t>
      </w:r>
      <w:r>
        <w:rPr>
          <w:spacing w:val="-2"/>
        </w:rPr>
        <w:t> </w:t>
      </w:r>
      <w:r>
        <w:rPr/>
        <w:t>cost,</w:t>
      </w:r>
      <w:r>
        <w:rPr>
          <w:spacing w:val="-2"/>
        </w:rPr>
        <w:t> </w:t>
      </w:r>
      <w:r>
        <w:rPr/>
        <w:t>gross</w:t>
      </w:r>
      <w:r>
        <w:rPr>
          <w:spacing w:val="-3"/>
        </w:rPr>
        <w:t> </w:t>
      </w:r>
      <w:r>
        <w:rPr/>
        <w:t>unrealized</w:t>
      </w:r>
      <w:r>
        <w:rPr>
          <w:spacing w:val="-2"/>
        </w:rPr>
        <w:t> </w:t>
      </w:r>
      <w:r>
        <w:rPr/>
        <w:t>gains</w:t>
      </w:r>
      <w:r>
        <w:rPr>
          <w:spacing w:val="-3"/>
        </w:rPr>
        <w:t> </w:t>
      </w:r>
      <w:r>
        <w:rPr/>
        <w:t>and</w:t>
      </w:r>
      <w:r>
        <w:rPr>
          <w:spacing w:val="-2"/>
        </w:rPr>
        <w:t> </w:t>
      </w:r>
      <w:r>
        <w:rPr/>
        <w:t>losses,</w:t>
      </w:r>
      <w:r>
        <w:rPr>
          <w:spacing w:val="-2"/>
        </w:rPr>
        <w:t> </w:t>
      </w:r>
      <w:r>
        <w:rPr/>
        <w:t>and</w:t>
      </w:r>
      <w:r>
        <w:rPr>
          <w:spacing w:val="-2"/>
        </w:rPr>
        <w:t> </w:t>
      </w:r>
      <w:r>
        <w:rPr/>
        <w:t>fair</w:t>
      </w:r>
      <w:r>
        <w:rPr>
          <w:spacing w:val="-2"/>
        </w:rPr>
        <w:t> </w:t>
      </w:r>
      <w:r>
        <w:rPr/>
        <w:t>value</w:t>
      </w:r>
      <w:r>
        <w:rPr>
          <w:spacing w:val="-3"/>
        </w:rPr>
        <w:t> </w:t>
      </w:r>
      <w:r>
        <w:rPr/>
        <w:t>of</w:t>
      </w:r>
      <w:r>
        <w:rPr>
          <w:spacing w:val="-2"/>
        </w:rPr>
        <w:t> </w:t>
      </w:r>
      <w:r>
        <w:rPr/>
        <w:t>the</w:t>
      </w:r>
      <w:r>
        <w:rPr>
          <w:spacing w:val="-3"/>
        </w:rPr>
        <w:t> </w:t>
      </w:r>
      <w:r>
        <w:rPr/>
        <w:t>Company’s</w:t>
      </w:r>
      <w:r>
        <w:rPr>
          <w:spacing w:val="-3"/>
        </w:rPr>
        <w:t> </w:t>
      </w:r>
      <w:r>
        <w:rPr/>
        <w:t>AFS</w:t>
      </w:r>
      <w:r>
        <w:rPr>
          <w:spacing w:val="-3"/>
        </w:rPr>
        <w:t> </w:t>
      </w:r>
      <w:r>
        <w:rPr/>
        <w:t>and</w:t>
      </w:r>
      <w:r>
        <w:rPr>
          <w:spacing w:val="-2"/>
        </w:rPr>
        <w:t> </w:t>
      </w:r>
      <w:r>
        <w:rPr/>
        <w:t>HTM</w:t>
      </w:r>
      <w:r>
        <w:rPr>
          <w:spacing w:val="-3"/>
        </w:rPr>
        <w:t> </w:t>
      </w:r>
      <w:r>
        <w:rPr/>
        <w:t>investment</w:t>
      </w:r>
      <w:r>
        <w:rPr>
          <w:spacing w:val="-3"/>
        </w:rPr>
        <w:t> </w:t>
      </w:r>
      <w:r>
        <w:rPr/>
        <w:t>securities</w:t>
      </w:r>
      <w:r>
        <w:rPr>
          <w:spacing w:val="-3"/>
        </w:rPr>
        <w:t> </w:t>
      </w:r>
      <w:r>
        <w:rPr/>
        <w:t>are as follows:</w:t>
      </w:r>
    </w:p>
    <w:p>
      <w:pPr>
        <w:pStyle w:val="BodyText"/>
        <w:rPr>
          <w:sz w:val="13"/>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56"/>
        <w:gridCol w:w="672"/>
        <w:gridCol w:w="847"/>
        <w:gridCol w:w="502"/>
        <w:gridCol w:w="622"/>
        <w:gridCol w:w="374"/>
        <w:gridCol w:w="809"/>
        <w:gridCol w:w="329"/>
        <w:gridCol w:w="828"/>
      </w:tblGrid>
      <w:tr>
        <w:trPr>
          <w:trHeight w:val="605" w:hRule="atLeast"/>
        </w:trPr>
        <w:tc>
          <w:tcPr>
            <w:tcW w:w="5256" w:type="dxa"/>
            <w:tcBorders>
              <w:top w:val="single" w:sz="4" w:space="0" w:color="000000"/>
              <w:bottom w:val="single" w:sz="4" w:space="0" w:color="000000"/>
            </w:tcBorders>
          </w:tcPr>
          <w:p>
            <w:pPr>
              <w:pStyle w:val="TableParagraph"/>
              <w:spacing w:before="166"/>
              <w:rPr>
                <w:sz w:val="18"/>
              </w:rPr>
            </w:pPr>
          </w:p>
          <w:p>
            <w:pPr>
              <w:pStyle w:val="TableParagraph"/>
              <w:ind w:left="52"/>
              <w:rPr>
                <w:sz w:val="18"/>
              </w:rPr>
            </w:pPr>
            <w:r>
              <w:rPr>
                <w:sz w:val="18"/>
              </w:rPr>
              <w:t>September</w:t>
            </w:r>
            <w:r>
              <w:rPr>
                <w:spacing w:val="-1"/>
                <w:sz w:val="18"/>
              </w:rPr>
              <w:t> </w:t>
            </w:r>
            <w:r>
              <w:rPr>
                <w:sz w:val="18"/>
              </w:rPr>
              <w:t>30, </w:t>
            </w:r>
            <w:r>
              <w:rPr>
                <w:spacing w:val="-4"/>
                <w:sz w:val="18"/>
              </w:rPr>
              <w:t>2023</w:t>
            </w:r>
          </w:p>
        </w:tc>
        <w:tc>
          <w:tcPr>
            <w:tcW w:w="1519" w:type="dxa"/>
            <w:gridSpan w:val="2"/>
            <w:tcBorders>
              <w:top w:val="single" w:sz="4" w:space="0" w:color="000000"/>
              <w:bottom w:val="single" w:sz="4" w:space="0" w:color="000000"/>
            </w:tcBorders>
          </w:tcPr>
          <w:p>
            <w:pPr>
              <w:pStyle w:val="TableParagraph"/>
              <w:spacing w:before="8"/>
              <w:rPr>
                <w:sz w:val="18"/>
              </w:rPr>
            </w:pPr>
          </w:p>
          <w:p>
            <w:pPr>
              <w:pStyle w:val="TableParagraph"/>
              <w:spacing w:line="208" w:lineRule="auto"/>
              <w:ind w:left="766" w:hanging="220"/>
              <w:rPr>
                <w:sz w:val="18"/>
              </w:rPr>
            </w:pPr>
            <w:r>
              <w:rPr>
                <w:spacing w:val="-2"/>
                <w:sz w:val="18"/>
              </w:rPr>
              <w:t>Amortized </w:t>
            </w:r>
            <w:r>
              <w:rPr>
                <w:spacing w:val="-4"/>
                <w:sz w:val="18"/>
              </w:rPr>
              <w:t>Cost</w:t>
            </w:r>
          </w:p>
        </w:tc>
        <w:tc>
          <w:tcPr>
            <w:tcW w:w="1124" w:type="dxa"/>
            <w:gridSpan w:val="2"/>
            <w:tcBorders>
              <w:top w:val="single" w:sz="4" w:space="0" w:color="000000"/>
              <w:bottom w:val="single" w:sz="4" w:space="0" w:color="000000"/>
            </w:tcBorders>
          </w:tcPr>
          <w:p>
            <w:pPr>
              <w:pStyle w:val="TableParagraph"/>
              <w:spacing w:line="208" w:lineRule="auto" w:before="35"/>
              <w:ind w:left="165" w:right="166" w:hanging="1"/>
              <w:jc w:val="center"/>
              <w:rPr>
                <w:sz w:val="18"/>
              </w:rPr>
            </w:pPr>
            <w:r>
              <w:rPr>
                <w:spacing w:val="-2"/>
                <w:sz w:val="18"/>
              </w:rPr>
              <w:t>Gross Unrealized Gains</w:t>
            </w:r>
          </w:p>
        </w:tc>
        <w:tc>
          <w:tcPr>
            <w:tcW w:w="1183" w:type="dxa"/>
            <w:gridSpan w:val="2"/>
            <w:tcBorders>
              <w:top w:val="single" w:sz="4" w:space="0" w:color="000000"/>
              <w:bottom w:val="single" w:sz="4" w:space="0" w:color="000000"/>
            </w:tcBorders>
          </w:tcPr>
          <w:p>
            <w:pPr>
              <w:pStyle w:val="TableParagraph"/>
              <w:spacing w:line="208" w:lineRule="auto" w:before="35"/>
              <w:ind w:left="196" w:right="194" w:hanging="1"/>
              <w:jc w:val="center"/>
              <w:rPr>
                <w:sz w:val="18"/>
              </w:rPr>
            </w:pPr>
            <w:r>
              <w:rPr>
                <w:spacing w:val="-2"/>
                <w:sz w:val="18"/>
              </w:rPr>
              <w:t>Gross Unrealized Losses</w:t>
            </w:r>
          </w:p>
        </w:tc>
        <w:tc>
          <w:tcPr>
            <w:tcW w:w="1157" w:type="dxa"/>
            <w:gridSpan w:val="2"/>
            <w:tcBorders>
              <w:top w:val="single" w:sz="4" w:space="0" w:color="000000"/>
              <w:bottom w:val="single" w:sz="4" w:space="0" w:color="000000"/>
            </w:tcBorders>
          </w:tcPr>
          <w:p>
            <w:pPr>
              <w:pStyle w:val="TableParagraph"/>
              <w:spacing w:before="8"/>
              <w:rPr>
                <w:sz w:val="18"/>
              </w:rPr>
            </w:pPr>
          </w:p>
          <w:p>
            <w:pPr>
              <w:pStyle w:val="TableParagraph"/>
              <w:spacing w:line="208" w:lineRule="auto"/>
              <w:ind w:left="378" w:right="339" w:firstLine="70"/>
              <w:rPr>
                <w:sz w:val="18"/>
              </w:rPr>
            </w:pPr>
            <w:r>
              <w:rPr>
                <w:spacing w:val="-4"/>
                <w:sz w:val="18"/>
              </w:rPr>
              <w:t>Fair </w:t>
            </w:r>
            <w:r>
              <w:rPr>
                <w:spacing w:val="-2"/>
                <w:sz w:val="18"/>
              </w:rPr>
              <w:t>Value</w:t>
            </w:r>
          </w:p>
        </w:tc>
      </w:tr>
      <w:tr>
        <w:trPr>
          <w:trHeight w:val="250" w:hRule="atLeast"/>
        </w:trPr>
        <w:tc>
          <w:tcPr>
            <w:tcW w:w="5256" w:type="dxa"/>
            <w:tcBorders>
              <w:top w:val="single" w:sz="4" w:space="0" w:color="000000"/>
            </w:tcBorders>
          </w:tcPr>
          <w:p>
            <w:pPr>
              <w:pStyle w:val="TableParagraph"/>
              <w:spacing w:before="13"/>
              <w:ind w:left="52"/>
              <w:rPr>
                <w:b/>
                <w:sz w:val="18"/>
              </w:rPr>
            </w:pPr>
            <w:r>
              <w:rPr>
                <w:b/>
                <w:sz w:val="18"/>
              </w:rPr>
              <w:t>Available</w:t>
            </w:r>
            <w:r>
              <w:rPr>
                <w:b/>
                <w:spacing w:val="-3"/>
                <w:sz w:val="18"/>
              </w:rPr>
              <w:t> </w:t>
            </w:r>
            <w:r>
              <w:rPr>
                <w:b/>
                <w:sz w:val="18"/>
              </w:rPr>
              <w:t>for</w:t>
            </w:r>
            <w:r>
              <w:rPr>
                <w:b/>
                <w:spacing w:val="-1"/>
                <w:sz w:val="18"/>
              </w:rPr>
              <w:t> </w:t>
            </w:r>
            <w:r>
              <w:rPr>
                <w:b/>
                <w:sz w:val="18"/>
              </w:rPr>
              <w:t>sale</w:t>
            </w:r>
            <w:r>
              <w:rPr>
                <w:b/>
                <w:spacing w:val="-1"/>
                <w:sz w:val="18"/>
              </w:rPr>
              <w:t> </w:t>
            </w:r>
            <w:r>
              <w:rPr>
                <w:b/>
                <w:spacing w:val="-2"/>
                <w:sz w:val="18"/>
              </w:rPr>
              <w:t>securities</w:t>
            </w:r>
          </w:p>
        </w:tc>
        <w:tc>
          <w:tcPr>
            <w:tcW w:w="1519" w:type="dxa"/>
            <w:gridSpan w:val="2"/>
            <w:tcBorders>
              <w:top w:val="single" w:sz="4" w:space="0" w:color="000000"/>
            </w:tcBorders>
          </w:tcPr>
          <w:p>
            <w:pPr>
              <w:pStyle w:val="TableParagraph"/>
              <w:rPr>
                <w:sz w:val="16"/>
              </w:rPr>
            </w:pPr>
          </w:p>
        </w:tc>
        <w:tc>
          <w:tcPr>
            <w:tcW w:w="1124" w:type="dxa"/>
            <w:gridSpan w:val="2"/>
            <w:tcBorders>
              <w:top w:val="single" w:sz="4" w:space="0" w:color="000000"/>
            </w:tcBorders>
          </w:tcPr>
          <w:p>
            <w:pPr>
              <w:pStyle w:val="TableParagraph"/>
              <w:rPr>
                <w:sz w:val="16"/>
              </w:rPr>
            </w:pPr>
          </w:p>
        </w:tc>
        <w:tc>
          <w:tcPr>
            <w:tcW w:w="1183" w:type="dxa"/>
            <w:gridSpan w:val="2"/>
            <w:tcBorders>
              <w:top w:val="single" w:sz="4" w:space="0" w:color="000000"/>
            </w:tcBorders>
          </w:tcPr>
          <w:p>
            <w:pPr>
              <w:pStyle w:val="TableParagraph"/>
              <w:rPr>
                <w:sz w:val="16"/>
              </w:rPr>
            </w:pPr>
          </w:p>
        </w:tc>
        <w:tc>
          <w:tcPr>
            <w:tcW w:w="1157" w:type="dxa"/>
            <w:gridSpan w:val="2"/>
            <w:tcBorders>
              <w:top w:val="single" w:sz="4" w:space="0" w:color="000000"/>
            </w:tcBorders>
          </w:tcPr>
          <w:p>
            <w:pPr>
              <w:pStyle w:val="TableParagraph"/>
              <w:rPr>
                <w:sz w:val="16"/>
              </w:rPr>
            </w:pPr>
          </w:p>
        </w:tc>
      </w:tr>
      <w:tr>
        <w:trPr>
          <w:trHeight w:val="255" w:hRule="atLeast"/>
        </w:trPr>
        <w:tc>
          <w:tcPr>
            <w:tcW w:w="5256" w:type="dxa"/>
            <w:shd w:val="clear" w:color="auto" w:fill="CCEDFF"/>
          </w:tcPr>
          <w:p>
            <w:pPr>
              <w:pStyle w:val="TableParagraph"/>
              <w:spacing w:before="18"/>
              <w:ind w:left="52"/>
              <w:rPr>
                <w:sz w:val="18"/>
              </w:rPr>
            </w:pPr>
            <w:r>
              <w:rPr>
                <w:sz w:val="18"/>
              </w:rPr>
              <w:t>U.S.</w:t>
            </w:r>
            <w:r>
              <w:rPr>
                <w:spacing w:val="-1"/>
                <w:sz w:val="18"/>
              </w:rPr>
              <w:t> </w:t>
            </w:r>
            <w:r>
              <w:rPr>
                <w:sz w:val="18"/>
              </w:rPr>
              <w:t>agency</w:t>
            </w:r>
            <w:r>
              <w:rPr>
                <w:spacing w:val="-1"/>
                <w:sz w:val="18"/>
              </w:rPr>
              <w:t> </w:t>
            </w:r>
            <w:r>
              <w:rPr>
                <w:sz w:val="18"/>
              </w:rPr>
              <w:t>mortgage-backed </w:t>
            </w:r>
            <w:r>
              <w:rPr>
                <w:spacing w:val="-2"/>
                <w:sz w:val="18"/>
              </w:rPr>
              <w:t>securities</w:t>
            </w:r>
          </w:p>
        </w:tc>
        <w:tc>
          <w:tcPr>
            <w:tcW w:w="1519" w:type="dxa"/>
            <w:gridSpan w:val="2"/>
            <w:shd w:val="clear" w:color="auto" w:fill="CCEDFF"/>
          </w:tcPr>
          <w:p>
            <w:pPr>
              <w:pStyle w:val="TableParagraph"/>
              <w:tabs>
                <w:tab w:pos="893" w:val="left" w:leader="none"/>
              </w:tabs>
              <w:spacing w:before="18"/>
              <w:ind w:left="451"/>
              <w:rPr>
                <w:sz w:val="18"/>
              </w:rPr>
            </w:pPr>
            <w:r>
              <w:rPr>
                <w:spacing w:val="-10"/>
                <w:sz w:val="18"/>
              </w:rPr>
              <w:t>$</w:t>
            </w:r>
            <w:r>
              <w:rPr>
                <w:sz w:val="18"/>
              </w:rPr>
              <w:tab/>
            </w:r>
            <w:r>
              <w:rPr>
                <w:spacing w:val="-2"/>
                <w:sz w:val="18"/>
              </w:rPr>
              <w:t>73,518</w:t>
            </w:r>
          </w:p>
        </w:tc>
        <w:tc>
          <w:tcPr>
            <w:tcW w:w="1124" w:type="dxa"/>
            <w:gridSpan w:val="2"/>
            <w:shd w:val="clear" w:color="auto" w:fill="CCEDFF"/>
          </w:tcPr>
          <w:p>
            <w:pPr>
              <w:pStyle w:val="TableParagraph"/>
              <w:tabs>
                <w:tab w:pos="845" w:val="left" w:leader="none"/>
              </w:tabs>
              <w:spacing w:before="18"/>
              <w:ind w:left="72"/>
              <w:rPr>
                <w:sz w:val="18"/>
              </w:rPr>
            </w:pPr>
            <w:r>
              <w:rPr>
                <w:spacing w:val="-10"/>
                <w:sz w:val="18"/>
              </w:rPr>
              <w:t>$</w:t>
            </w:r>
            <w:r>
              <w:rPr>
                <w:sz w:val="18"/>
              </w:rPr>
              <w:tab/>
            </w:r>
            <w:r>
              <w:rPr>
                <w:spacing w:val="-10"/>
                <w:sz w:val="18"/>
              </w:rPr>
              <w:t>—</w:t>
            </w:r>
          </w:p>
        </w:tc>
        <w:tc>
          <w:tcPr>
            <w:tcW w:w="1183" w:type="dxa"/>
            <w:gridSpan w:val="2"/>
            <w:shd w:val="clear" w:color="auto" w:fill="CCEDFF"/>
          </w:tcPr>
          <w:p>
            <w:pPr>
              <w:pStyle w:val="TableParagraph"/>
              <w:tabs>
                <w:tab w:pos="651" w:val="left" w:leader="none"/>
              </w:tabs>
              <w:spacing w:before="18"/>
              <w:ind w:left="103"/>
              <w:rPr>
                <w:sz w:val="18"/>
              </w:rPr>
            </w:pPr>
            <w:r>
              <w:rPr>
                <w:spacing w:val="-10"/>
                <w:sz w:val="18"/>
              </w:rPr>
              <w:t>$</w:t>
            </w:r>
            <w:r>
              <w:rPr>
                <w:sz w:val="18"/>
              </w:rPr>
              <w:tab/>
            </w:r>
            <w:r>
              <w:rPr>
                <w:spacing w:val="-2"/>
                <w:sz w:val="18"/>
              </w:rPr>
              <w:t>8,657</w:t>
            </w:r>
          </w:p>
        </w:tc>
        <w:tc>
          <w:tcPr>
            <w:tcW w:w="1157" w:type="dxa"/>
            <w:gridSpan w:val="2"/>
            <w:shd w:val="clear" w:color="auto" w:fill="CCEDFF"/>
          </w:tcPr>
          <w:p>
            <w:pPr>
              <w:pStyle w:val="TableParagraph"/>
              <w:tabs>
                <w:tab w:pos="593" w:val="left" w:leader="none"/>
              </w:tabs>
              <w:spacing w:before="18"/>
              <w:ind w:left="75"/>
              <w:rPr>
                <w:sz w:val="18"/>
              </w:rPr>
            </w:pPr>
            <w:r>
              <w:rPr>
                <w:spacing w:val="-10"/>
                <w:sz w:val="18"/>
              </w:rPr>
              <w:t>$</w:t>
            </w:r>
            <w:r>
              <w:rPr>
                <w:sz w:val="18"/>
              </w:rPr>
              <w:tab/>
            </w:r>
            <w:r>
              <w:rPr>
                <w:spacing w:val="-2"/>
                <w:sz w:val="18"/>
              </w:rPr>
              <w:t>64,861</w:t>
            </w:r>
          </w:p>
        </w:tc>
      </w:tr>
      <w:tr>
        <w:trPr>
          <w:trHeight w:val="255" w:hRule="atLeast"/>
        </w:trPr>
        <w:tc>
          <w:tcPr>
            <w:tcW w:w="5256" w:type="dxa"/>
          </w:tcPr>
          <w:p>
            <w:pPr>
              <w:pStyle w:val="TableParagraph"/>
              <w:spacing w:before="18"/>
              <w:ind w:left="52"/>
              <w:rPr>
                <w:sz w:val="18"/>
              </w:rPr>
            </w:pPr>
            <w:r>
              <w:rPr>
                <w:sz w:val="18"/>
              </w:rPr>
              <w:t>U.S.</w:t>
            </w:r>
            <w:r>
              <w:rPr>
                <w:spacing w:val="-2"/>
                <w:sz w:val="18"/>
              </w:rPr>
              <w:t> </w:t>
            </w:r>
            <w:r>
              <w:rPr>
                <w:sz w:val="18"/>
              </w:rPr>
              <w:t>Treasury</w:t>
            </w:r>
            <w:r>
              <w:rPr>
                <w:spacing w:val="-1"/>
                <w:sz w:val="18"/>
              </w:rPr>
              <w:t> </w:t>
            </w:r>
            <w:r>
              <w:rPr>
                <w:spacing w:val="-2"/>
                <w:sz w:val="18"/>
              </w:rPr>
              <w:t>securities</w:t>
            </w:r>
          </w:p>
        </w:tc>
        <w:tc>
          <w:tcPr>
            <w:tcW w:w="1519" w:type="dxa"/>
            <w:gridSpan w:val="2"/>
          </w:tcPr>
          <w:p>
            <w:pPr>
              <w:pStyle w:val="TableParagraph"/>
              <w:spacing w:before="18"/>
              <w:ind w:left="894"/>
              <w:rPr>
                <w:sz w:val="18"/>
              </w:rPr>
            </w:pPr>
            <w:r>
              <w:rPr>
                <w:spacing w:val="-2"/>
                <w:sz w:val="18"/>
              </w:rPr>
              <w:t>23,139</w:t>
            </w:r>
          </w:p>
        </w:tc>
        <w:tc>
          <w:tcPr>
            <w:tcW w:w="1124" w:type="dxa"/>
            <w:gridSpan w:val="2"/>
          </w:tcPr>
          <w:p>
            <w:pPr>
              <w:pStyle w:val="TableParagraph"/>
              <w:spacing w:before="18"/>
              <w:ind w:right="96"/>
              <w:jc w:val="right"/>
              <w:rPr>
                <w:sz w:val="18"/>
              </w:rPr>
            </w:pPr>
            <w:r>
              <w:rPr>
                <w:spacing w:val="-10"/>
                <w:sz w:val="18"/>
              </w:rPr>
              <w:t>—</w:t>
            </w:r>
          </w:p>
        </w:tc>
        <w:tc>
          <w:tcPr>
            <w:tcW w:w="1183" w:type="dxa"/>
            <w:gridSpan w:val="2"/>
          </w:tcPr>
          <w:p>
            <w:pPr>
              <w:pStyle w:val="TableParagraph"/>
              <w:spacing w:before="18"/>
              <w:ind w:left="651"/>
              <w:rPr>
                <w:sz w:val="18"/>
              </w:rPr>
            </w:pPr>
            <w:r>
              <w:rPr>
                <w:spacing w:val="-2"/>
                <w:sz w:val="18"/>
              </w:rPr>
              <w:t>1,351</w:t>
            </w:r>
          </w:p>
        </w:tc>
        <w:tc>
          <w:tcPr>
            <w:tcW w:w="1157" w:type="dxa"/>
            <w:gridSpan w:val="2"/>
          </w:tcPr>
          <w:p>
            <w:pPr>
              <w:pStyle w:val="TableParagraph"/>
              <w:spacing w:before="18"/>
              <w:ind w:left="593"/>
              <w:rPr>
                <w:sz w:val="18"/>
              </w:rPr>
            </w:pPr>
            <w:r>
              <w:rPr>
                <w:spacing w:val="-2"/>
                <w:sz w:val="18"/>
              </w:rPr>
              <w:t>21,788</w:t>
            </w:r>
          </w:p>
        </w:tc>
      </w:tr>
      <w:tr>
        <w:trPr>
          <w:trHeight w:val="255" w:hRule="atLeast"/>
        </w:trPr>
        <w:tc>
          <w:tcPr>
            <w:tcW w:w="5256" w:type="dxa"/>
            <w:shd w:val="clear" w:color="auto" w:fill="CCEDFF"/>
          </w:tcPr>
          <w:p>
            <w:pPr>
              <w:pStyle w:val="TableParagraph"/>
              <w:spacing w:before="18"/>
              <w:ind w:left="52"/>
              <w:rPr>
                <w:sz w:val="18"/>
              </w:rPr>
            </w:pPr>
            <w:r>
              <w:rPr>
                <w:sz w:val="18"/>
              </w:rPr>
              <w:t>Asset-backed</w:t>
            </w:r>
            <w:r>
              <w:rPr>
                <w:spacing w:val="-3"/>
                <w:sz w:val="18"/>
              </w:rPr>
              <w:t> </w:t>
            </w:r>
            <w:r>
              <w:rPr>
                <w:sz w:val="18"/>
              </w:rPr>
              <w:t>securities</w:t>
            </w:r>
            <w:r>
              <w:rPr>
                <w:spacing w:val="-3"/>
                <w:sz w:val="18"/>
              </w:rPr>
              <w:t> </w:t>
            </w:r>
            <w:r>
              <w:rPr>
                <w:spacing w:val="-5"/>
                <w:sz w:val="18"/>
                <w:vertAlign w:val="superscript"/>
              </w:rPr>
              <w:t>(1)</w:t>
            </w:r>
          </w:p>
        </w:tc>
        <w:tc>
          <w:tcPr>
            <w:tcW w:w="1519" w:type="dxa"/>
            <w:gridSpan w:val="2"/>
            <w:shd w:val="clear" w:color="auto" w:fill="CCEDFF"/>
          </w:tcPr>
          <w:p>
            <w:pPr>
              <w:pStyle w:val="TableParagraph"/>
              <w:spacing w:before="18"/>
              <w:ind w:left="894"/>
              <w:rPr>
                <w:sz w:val="18"/>
              </w:rPr>
            </w:pPr>
            <w:r>
              <w:rPr>
                <w:spacing w:val="-2"/>
                <w:sz w:val="18"/>
              </w:rPr>
              <w:t>10,111</w:t>
            </w:r>
          </w:p>
        </w:tc>
        <w:tc>
          <w:tcPr>
            <w:tcW w:w="1124" w:type="dxa"/>
            <w:gridSpan w:val="2"/>
            <w:shd w:val="clear" w:color="auto" w:fill="CCEDFF"/>
          </w:tcPr>
          <w:p>
            <w:pPr>
              <w:pStyle w:val="TableParagraph"/>
              <w:spacing w:before="18"/>
              <w:ind w:right="96"/>
              <w:jc w:val="right"/>
              <w:rPr>
                <w:sz w:val="18"/>
              </w:rPr>
            </w:pPr>
            <w:r>
              <w:rPr>
                <w:spacing w:val="-10"/>
                <w:sz w:val="18"/>
              </w:rPr>
              <w:t>—</w:t>
            </w:r>
          </w:p>
        </w:tc>
        <w:tc>
          <w:tcPr>
            <w:tcW w:w="1183" w:type="dxa"/>
            <w:gridSpan w:val="2"/>
            <w:shd w:val="clear" w:color="auto" w:fill="CCEDFF"/>
          </w:tcPr>
          <w:p>
            <w:pPr>
              <w:pStyle w:val="TableParagraph"/>
              <w:spacing w:before="18"/>
              <w:ind w:left="786"/>
              <w:rPr>
                <w:sz w:val="18"/>
              </w:rPr>
            </w:pPr>
            <w:r>
              <w:rPr>
                <w:spacing w:val="-5"/>
                <w:sz w:val="18"/>
              </w:rPr>
              <w:t>487</w:t>
            </w:r>
          </w:p>
        </w:tc>
        <w:tc>
          <w:tcPr>
            <w:tcW w:w="1157" w:type="dxa"/>
            <w:gridSpan w:val="2"/>
            <w:shd w:val="clear" w:color="auto" w:fill="CCEDFF"/>
          </w:tcPr>
          <w:p>
            <w:pPr>
              <w:pStyle w:val="TableParagraph"/>
              <w:spacing w:before="18"/>
              <w:ind w:left="683"/>
              <w:rPr>
                <w:sz w:val="18"/>
              </w:rPr>
            </w:pPr>
            <w:r>
              <w:rPr>
                <w:spacing w:val="-2"/>
                <w:sz w:val="18"/>
              </w:rPr>
              <w:t>9,624</w:t>
            </w:r>
          </w:p>
        </w:tc>
      </w:tr>
      <w:tr>
        <w:trPr>
          <w:trHeight w:val="255" w:hRule="atLeast"/>
        </w:trPr>
        <w:tc>
          <w:tcPr>
            <w:tcW w:w="5256" w:type="dxa"/>
          </w:tcPr>
          <w:p>
            <w:pPr>
              <w:pStyle w:val="TableParagraph"/>
              <w:spacing w:before="18"/>
              <w:ind w:left="52"/>
              <w:rPr>
                <w:sz w:val="18"/>
              </w:rPr>
            </w:pPr>
            <w:r>
              <w:rPr>
                <w:sz w:val="18"/>
              </w:rPr>
              <w:t>Corporate</w:t>
            </w:r>
            <w:r>
              <w:rPr>
                <w:spacing w:val="-1"/>
                <w:sz w:val="18"/>
              </w:rPr>
              <w:t> </w:t>
            </w:r>
            <w:r>
              <w:rPr>
                <w:sz w:val="18"/>
              </w:rPr>
              <w:t>debt securities</w:t>
            </w:r>
            <w:r>
              <w:rPr>
                <w:spacing w:val="-2"/>
                <w:sz w:val="18"/>
              </w:rPr>
              <w:t> </w:t>
            </w:r>
            <w:r>
              <w:rPr>
                <w:spacing w:val="-5"/>
                <w:sz w:val="18"/>
                <w:vertAlign w:val="superscript"/>
              </w:rPr>
              <w:t>(2)</w:t>
            </w:r>
          </w:p>
        </w:tc>
        <w:tc>
          <w:tcPr>
            <w:tcW w:w="1519" w:type="dxa"/>
            <w:gridSpan w:val="2"/>
          </w:tcPr>
          <w:p>
            <w:pPr>
              <w:pStyle w:val="TableParagraph"/>
              <w:spacing w:before="18"/>
              <w:ind w:left="894"/>
              <w:rPr>
                <w:sz w:val="18"/>
              </w:rPr>
            </w:pPr>
            <w:r>
              <w:rPr>
                <w:spacing w:val="-2"/>
                <w:sz w:val="18"/>
              </w:rPr>
              <w:t>13,361</w:t>
            </w:r>
          </w:p>
        </w:tc>
        <w:tc>
          <w:tcPr>
            <w:tcW w:w="1124" w:type="dxa"/>
            <w:gridSpan w:val="2"/>
          </w:tcPr>
          <w:p>
            <w:pPr>
              <w:pStyle w:val="TableParagraph"/>
              <w:spacing w:before="18"/>
              <w:ind w:right="96"/>
              <w:jc w:val="right"/>
              <w:rPr>
                <w:sz w:val="18"/>
              </w:rPr>
            </w:pPr>
            <w:r>
              <w:rPr>
                <w:spacing w:val="-10"/>
                <w:sz w:val="18"/>
              </w:rPr>
              <w:t>—</w:t>
            </w:r>
          </w:p>
        </w:tc>
        <w:tc>
          <w:tcPr>
            <w:tcW w:w="1183" w:type="dxa"/>
            <w:gridSpan w:val="2"/>
          </w:tcPr>
          <w:p>
            <w:pPr>
              <w:pStyle w:val="TableParagraph"/>
              <w:spacing w:before="18"/>
              <w:ind w:left="651"/>
              <w:rPr>
                <w:sz w:val="18"/>
              </w:rPr>
            </w:pPr>
            <w:r>
              <w:rPr>
                <w:spacing w:val="-2"/>
                <w:sz w:val="18"/>
              </w:rPr>
              <w:t>1,207</w:t>
            </w:r>
          </w:p>
        </w:tc>
        <w:tc>
          <w:tcPr>
            <w:tcW w:w="1157" w:type="dxa"/>
            <w:gridSpan w:val="2"/>
          </w:tcPr>
          <w:p>
            <w:pPr>
              <w:pStyle w:val="TableParagraph"/>
              <w:spacing w:before="18"/>
              <w:ind w:left="593"/>
              <w:rPr>
                <w:sz w:val="18"/>
              </w:rPr>
            </w:pPr>
            <w:r>
              <w:rPr>
                <w:spacing w:val="-2"/>
                <w:sz w:val="18"/>
              </w:rPr>
              <w:t>12,154</w:t>
            </w:r>
          </w:p>
        </w:tc>
      </w:tr>
      <w:tr>
        <w:trPr>
          <w:trHeight w:val="255" w:hRule="atLeast"/>
        </w:trPr>
        <w:tc>
          <w:tcPr>
            <w:tcW w:w="5256" w:type="dxa"/>
            <w:shd w:val="clear" w:color="auto" w:fill="CCEDFF"/>
          </w:tcPr>
          <w:p>
            <w:pPr>
              <w:pStyle w:val="TableParagraph"/>
              <w:spacing w:before="18"/>
              <w:ind w:left="52"/>
              <w:rPr>
                <w:sz w:val="18"/>
              </w:rPr>
            </w:pPr>
            <w:r>
              <w:rPr>
                <w:sz w:val="18"/>
              </w:rPr>
              <w:t>Certificates</w:t>
            </w:r>
            <w:r>
              <w:rPr>
                <w:spacing w:val="-1"/>
                <w:sz w:val="18"/>
              </w:rPr>
              <w:t> </w:t>
            </w:r>
            <w:r>
              <w:rPr>
                <w:sz w:val="18"/>
              </w:rPr>
              <w:t>of </w:t>
            </w:r>
            <w:r>
              <w:rPr>
                <w:spacing w:val="-2"/>
                <w:sz w:val="18"/>
              </w:rPr>
              <w:t>deposit</w:t>
            </w:r>
          </w:p>
        </w:tc>
        <w:tc>
          <w:tcPr>
            <w:tcW w:w="1519" w:type="dxa"/>
            <w:gridSpan w:val="2"/>
            <w:shd w:val="clear" w:color="auto" w:fill="CCEDFF"/>
          </w:tcPr>
          <w:p>
            <w:pPr>
              <w:pStyle w:val="TableParagraph"/>
              <w:spacing w:before="18"/>
              <w:ind w:right="127"/>
              <w:jc w:val="right"/>
              <w:rPr>
                <w:sz w:val="18"/>
              </w:rPr>
            </w:pPr>
            <w:r>
              <w:rPr>
                <w:spacing w:val="-5"/>
                <w:sz w:val="18"/>
              </w:rPr>
              <w:t>100</w:t>
            </w:r>
          </w:p>
        </w:tc>
        <w:tc>
          <w:tcPr>
            <w:tcW w:w="1124" w:type="dxa"/>
            <w:gridSpan w:val="2"/>
            <w:shd w:val="clear" w:color="auto" w:fill="CCEDFF"/>
          </w:tcPr>
          <w:p>
            <w:pPr>
              <w:pStyle w:val="TableParagraph"/>
              <w:spacing w:before="18"/>
              <w:ind w:right="96"/>
              <w:jc w:val="right"/>
              <w:rPr>
                <w:sz w:val="18"/>
              </w:rPr>
            </w:pPr>
            <w:r>
              <w:rPr>
                <w:spacing w:val="-10"/>
                <w:sz w:val="18"/>
              </w:rPr>
              <w:t>—</w:t>
            </w:r>
          </w:p>
        </w:tc>
        <w:tc>
          <w:tcPr>
            <w:tcW w:w="1183" w:type="dxa"/>
            <w:gridSpan w:val="2"/>
            <w:shd w:val="clear" w:color="auto" w:fill="CCEDFF"/>
          </w:tcPr>
          <w:p>
            <w:pPr>
              <w:pStyle w:val="TableParagraph"/>
              <w:spacing w:before="18"/>
              <w:ind w:right="124"/>
              <w:jc w:val="right"/>
              <w:rPr>
                <w:sz w:val="18"/>
              </w:rPr>
            </w:pPr>
            <w:r>
              <w:rPr>
                <w:spacing w:val="-10"/>
                <w:sz w:val="18"/>
              </w:rPr>
              <w:t>1</w:t>
            </w:r>
          </w:p>
        </w:tc>
        <w:tc>
          <w:tcPr>
            <w:tcW w:w="1157" w:type="dxa"/>
            <w:gridSpan w:val="2"/>
            <w:shd w:val="clear" w:color="auto" w:fill="CCEDFF"/>
          </w:tcPr>
          <w:p>
            <w:pPr>
              <w:pStyle w:val="TableParagraph"/>
              <w:spacing w:before="18"/>
              <w:ind w:right="66"/>
              <w:jc w:val="right"/>
              <w:rPr>
                <w:sz w:val="18"/>
              </w:rPr>
            </w:pPr>
            <w:r>
              <w:rPr>
                <w:spacing w:val="-5"/>
                <w:sz w:val="18"/>
              </w:rPr>
              <w:t>99</w:t>
            </w:r>
          </w:p>
        </w:tc>
      </w:tr>
      <w:tr>
        <w:trPr>
          <w:trHeight w:val="255" w:hRule="atLeast"/>
        </w:trPr>
        <w:tc>
          <w:tcPr>
            <w:tcW w:w="5256" w:type="dxa"/>
          </w:tcPr>
          <w:p>
            <w:pPr>
              <w:pStyle w:val="TableParagraph"/>
              <w:spacing w:before="18"/>
              <w:ind w:left="52"/>
              <w:rPr>
                <w:sz w:val="18"/>
              </w:rPr>
            </w:pPr>
            <w:r>
              <w:rPr>
                <w:sz w:val="18"/>
              </w:rPr>
              <w:t>Foreign</w:t>
            </w:r>
            <w:r>
              <w:rPr>
                <w:spacing w:val="-1"/>
                <w:sz w:val="18"/>
              </w:rPr>
              <w:t> </w:t>
            </w:r>
            <w:r>
              <w:rPr>
                <w:sz w:val="18"/>
              </w:rPr>
              <w:t>government agency </w:t>
            </w:r>
            <w:r>
              <w:rPr>
                <w:spacing w:val="-2"/>
                <w:sz w:val="18"/>
              </w:rPr>
              <w:t>securities</w:t>
            </w:r>
          </w:p>
        </w:tc>
        <w:tc>
          <w:tcPr>
            <w:tcW w:w="1519" w:type="dxa"/>
            <w:gridSpan w:val="2"/>
          </w:tcPr>
          <w:p>
            <w:pPr>
              <w:pStyle w:val="TableParagraph"/>
              <w:spacing w:before="18"/>
              <w:ind w:left="984"/>
              <w:rPr>
                <w:sz w:val="18"/>
              </w:rPr>
            </w:pPr>
            <w:r>
              <w:rPr>
                <w:spacing w:val="-2"/>
                <w:sz w:val="18"/>
              </w:rPr>
              <w:t>1,034</w:t>
            </w:r>
          </w:p>
        </w:tc>
        <w:tc>
          <w:tcPr>
            <w:tcW w:w="1124" w:type="dxa"/>
            <w:gridSpan w:val="2"/>
          </w:tcPr>
          <w:p>
            <w:pPr>
              <w:pStyle w:val="TableParagraph"/>
              <w:spacing w:before="18"/>
              <w:ind w:right="96"/>
              <w:jc w:val="right"/>
              <w:rPr>
                <w:sz w:val="18"/>
              </w:rPr>
            </w:pPr>
            <w:r>
              <w:rPr>
                <w:spacing w:val="-10"/>
                <w:sz w:val="18"/>
              </w:rPr>
              <w:t>—</w:t>
            </w:r>
          </w:p>
        </w:tc>
        <w:tc>
          <w:tcPr>
            <w:tcW w:w="1183" w:type="dxa"/>
            <w:gridSpan w:val="2"/>
          </w:tcPr>
          <w:p>
            <w:pPr>
              <w:pStyle w:val="TableParagraph"/>
              <w:spacing w:before="18"/>
              <w:ind w:right="124"/>
              <w:jc w:val="right"/>
              <w:rPr>
                <w:sz w:val="18"/>
              </w:rPr>
            </w:pPr>
            <w:r>
              <w:rPr>
                <w:spacing w:val="-5"/>
                <w:sz w:val="18"/>
              </w:rPr>
              <w:t>49</w:t>
            </w:r>
          </w:p>
        </w:tc>
        <w:tc>
          <w:tcPr>
            <w:tcW w:w="1157" w:type="dxa"/>
            <w:gridSpan w:val="2"/>
          </w:tcPr>
          <w:p>
            <w:pPr>
              <w:pStyle w:val="TableParagraph"/>
              <w:spacing w:before="18"/>
              <w:ind w:right="66"/>
              <w:jc w:val="right"/>
              <w:rPr>
                <w:sz w:val="18"/>
              </w:rPr>
            </w:pPr>
            <w:r>
              <w:rPr>
                <w:spacing w:val="-5"/>
                <w:sz w:val="18"/>
              </w:rPr>
              <w:t>985</w:t>
            </w:r>
          </w:p>
        </w:tc>
      </w:tr>
      <w:tr>
        <w:trPr>
          <w:trHeight w:val="255" w:hRule="atLeast"/>
        </w:trPr>
        <w:tc>
          <w:tcPr>
            <w:tcW w:w="5256" w:type="dxa"/>
            <w:shd w:val="clear" w:color="auto" w:fill="CCEDFF"/>
          </w:tcPr>
          <w:p>
            <w:pPr>
              <w:pStyle w:val="TableParagraph"/>
              <w:spacing w:before="18"/>
              <w:ind w:left="52"/>
              <w:rPr>
                <w:sz w:val="18"/>
              </w:rPr>
            </w:pPr>
            <w:r>
              <w:rPr>
                <w:sz w:val="18"/>
              </w:rPr>
              <w:t>U.S.</w:t>
            </w:r>
            <w:r>
              <w:rPr>
                <w:spacing w:val="-1"/>
                <w:sz w:val="18"/>
              </w:rPr>
              <w:t> </w:t>
            </w:r>
            <w:r>
              <w:rPr>
                <w:sz w:val="18"/>
              </w:rPr>
              <w:t>state</w:t>
            </w:r>
            <w:r>
              <w:rPr>
                <w:spacing w:val="-1"/>
                <w:sz w:val="18"/>
              </w:rPr>
              <w:t> </w:t>
            </w:r>
            <w:r>
              <w:rPr>
                <w:sz w:val="18"/>
              </w:rPr>
              <w:t>and</w:t>
            </w:r>
            <w:r>
              <w:rPr>
                <w:spacing w:val="-1"/>
                <w:sz w:val="18"/>
              </w:rPr>
              <w:t> </w:t>
            </w:r>
            <w:r>
              <w:rPr>
                <w:sz w:val="18"/>
              </w:rPr>
              <w:t>municipal </w:t>
            </w:r>
            <w:r>
              <w:rPr>
                <w:spacing w:val="-2"/>
                <w:sz w:val="18"/>
              </w:rPr>
              <w:t>securities</w:t>
            </w:r>
          </w:p>
        </w:tc>
        <w:tc>
          <w:tcPr>
            <w:tcW w:w="1519" w:type="dxa"/>
            <w:gridSpan w:val="2"/>
            <w:shd w:val="clear" w:color="auto" w:fill="CCEDFF"/>
          </w:tcPr>
          <w:p>
            <w:pPr>
              <w:pStyle w:val="TableParagraph"/>
              <w:spacing w:before="18"/>
              <w:ind w:right="127"/>
              <w:jc w:val="right"/>
              <w:rPr>
                <w:sz w:val="18"/>
              </w:rPr>
            </w:pPr>
            <w:r>
              <w:rPr>
                <w:spacing w:val="-5"/>
                <w:sz w:val="18"/>
              </w:rPr>
              <w:t>636</w:t>
            </w:r>
          </w:p>
        </w:tc>
        <w:tc>
          <w:tcPr>
            <w:tcW w:w="1124" w:type="dxa"/>
            <w:gridSpan w:val="2"/>
            <w:shd w:val="clear" w:color="auto" w:fill="CCEDFF"/>
          </w:tcPr>
          <w:p>
            <w:pPr>
              <w:pStyle w:val="TableParagraph"/>
              <w:spacing w:before="18"/>
              <w:ind w:right="96"/>
              <w:jc w:val="right"/>
              <w:rPr>
                <w:sz w:val="18"/>
              </w:rPr>
            </w:pPr>
            <w:r>
              <w:rPr>
                <w:spacing w:val="-10"/>
                <w:sz w:val="18"/>
              </w:rPr>
              <w:t>—</w:t>
            </w:r>
          </w:p>
        </w:tc>
        <w:tc>
          <w:tcPr>
            <w:tcW w:w="1183" w:type="dxa"/>
            <w:gridSpan w:val="2"/>
            <w:shd w:val="clear" w:color="auto" w:fill="CCEDFF"/>
          </w:tcPr>
          <w:p>
            <w:pPr>
              <w:pStyle w:val="TableParagraph"/>
              <w:spacing w:before="18"/>
              <w:ind w:right="124"/>
              <w:jc w:val="right"/>
              <w:rPr>
                <w:sz w:val="18"/>
              </w:rPr>
            </w:pPr>
            <w:r>
              <w:rPr>
                <w:spacing w:val="-5"/>
                <w:sz w:val="18"/>
              </w:rPr>
              <w:t>81</w:t>
            </w:r>
          </w:p>
        </w:tc>
        <w:tc>
          <w:tcPr>
            <w:tcW w:w="1157" w:type="dxa"/>
            <w:gridSpan w:val="2"/>
            <w:shd w:val="clear" w:color="auto" w:fill="CCEDFF"/>
          </w:tcPr>
          <w:p>
            <w:pPr>
              <w:pStyle w:val="TableParagraph"/>
              <w:spacing w:before="18"/>
              <w:ind w:right="66"/>
              <w:jc w:val="right"/>
              <w:rPr>
                <w:sz w:val="18"/>
              </w:rPr>
            </w:pPr>
            <w:r>
              <w:rPr>
                <w:spacing w:val="-5"/>
                <w:sz w:val="18"/>
              </w:rPr>
              <w:t>555</w:t>
            </w:r>
          </w:p>
        </w:tc>
      </w:tr>
      <w:tr>
        <w:trPr>
          <w:trHeight w:val="255" w:hRule="atLeast"/>
        </w:trPr>
        <w:tc>
          <w:tcPr>
            <w:tcW w:w="5256" w:type="dxa"/>
          </w:tcPr>
          <w:p>
            <w:pPr>
              <w:pStyle w:val="TableParagraph"/>
              <w:spacing w:before="18"/>
              <w:ind w:left="52"/>
              <w:rPr>
                <w:sz w:val="18"/>
              </w:rPr>
            </w:pPr>
            <w:r>
              <w:rPr>
                <w:sz w:val="18"/>
              </w:rPr>
              <w:t>Non-agency</w:t>
            </w:r>
            <w:r>
              <w:rPr>
                <w:spacing w:val="-1"/>
                <w:sz w:val="18"/>
              </w:rPr>
              <w:t> </w:t>
            </w:r>
            <w:r>
              <w:rPr>
                <w:sz w:val="18"/>
              </w:rPr>
              <w:t>commercial mortgage-backed </w:t>
            </w:r>
            <w:r>
              <w:rPr>
                <w:spacing w:val="-2"/>
                <w:sz w:val="18"/>
              </w:rPr>
              <w:t>securities</w:t>
            </w:r>
          </w:p>
        </w:tc>
        <w:tc>
          <w:tcPr>
            <w:tcW w:w="1519" w:type="dxa"/>
            <w:gridSpan w:val="2"/>
          </w:tcPr>
          <w:p>
            <w:pPr>
              <w:pStyle w:val="TableParagraph"/>
              <w:spacing w:before="18"/>
              <w:ind w:right="127"/>
              <w:jc w:val="right"/>
              <w:rPr>
                <w:sz w:val="18"/>
              </w:rPr>
            </w:pPr>
            <w:r>
              <w:rPr>
                <w:spacing w:val="-5"/>
                <w:sz w:val="18"/>
              </w:rPr>
              <w:t>208</w:t>
            </w:r>
          </w:p>
        </w:tc>
        <w:tc>
          <w:tcPr>
            <w:tcW w:w="1124" w:type="dxa"/>
            <w:gridSpan w:val="2"/>
          </w:tcPr>
          <w:p>
            <w:pPr>
              <w:pStyle w:val="TableParagraph"/>
              <w:spacing w:before="18"/>
              <w:ind w:right="96"/>
              <w:jc w:val="right"/>
              <w:rPr>
                <w:sz w:val="18"/>
              </w:rPr>
            </w:pPr>
            <w:r>
              <w:rPr>
                <w:spacing w:val="-10"/>
                <w:sz w:val="18"/>
              </w:rPr>
              <w:t>—</w:t>
            </w:r>
          </w:p>
        </w:tc>
        <w:tc>
          <w:tcPr>
            <w:tcW w:w="1183" w:type="dxa"/>
            <w:gridSpan w:val="2"/>
          </w:tcPr>
          <w:p>
            <w:pPr>
              <w:pStyle w:val="TableParagraph"/>
              <w:spacing w:before="18"/>
              <w:ind w:right="124"/>
              <w:jc w:val="right"/>
              <w:rPr>
                <w:sz w:val="18"/>
              </w:rPr>
            </w:pPr>
            <w:r>
              <w:rPr>
                <w:spacing w:val="-5"/>
                <w:sz w:val="18"/>
              </w:rPr>
              <w:t>20</w:t>
            </w:r>
          </w:p>
        </w:tc>
        <w:tc>
          <w:tcPr>
            <w:tcW w:w="1157" w:type="dxa"/>
            <w:gridSpan w:val="2"/>
          </w:tcPr>
          <w:p>
            <w:pPr>
              <w:pStyle w:val="TableParagraph"/>
              <w:spacing w:before="18"/>
              <w:ind w:right="66"/>
              <w:jc w:val="right"/>
              <w:rPr>
                <w:sz w:val="18"/>
              </w:rPr>
            </w:pPr>
            <w:r>
              <w:rPr>
                <w:spacing w:val="-5"/>
                <w:sz w:val="18"/>
              </w:rPr>
              <w:t>188</w:t>
            </w:r>
          </w:p>
        </w:tc>
      </w:tr>
      <w:tr>
        <w:trPr>
          <w:trHeight w:val="255" w:hRule="atLeast"/>
        </w:trPr>
        <w:tc>
          <w:tcPr>
            <w:tcW w:w="5256" w:type="dxa"/>
            <w:shd w:val="clear" w:color="auto" w:fill="CCEDFF"/>
          </w:tcPr>
          <w:p>
            <w:pPr>
              <w:pStyle w:val="TableParagraph"/>
              <w:spacing w:before="18"/>
              <w:ind w:left="52"/>
              <w:rPr>
                <w:sz w:val="18"/>
              </w:rPr>
            </w:pPr>
            <w:r>
              <w:rPr>
                <w:spacing w:val="-2"/>
                <w:sz w:val="18"/>
              </w:rPr>
              <w:t>Other</w:t>
            </w:r>
          </w:p>
        </w:tc>
        <w:tc>
          <w:tcPr>
            <w:tcW w:w="1519" w:type="dxa"/>
            <w:gridSpan w:val="2"/>
            <w:shd w:val="clear" w:color="auto" w:fill="CCEDFF"/>
          </w:tcPr>
          <w:p>
            <w:pPr>
              <w:pStyle w:val="TableParagraph"/>
              <w:spacing w:before="18"/>
              <w:ind w:right="127"/>
              <w:jc w:val="right"/>
              <w:rPr>
                <w:sz w:val="18"/>
              </w:rPr>
            </w:pPr>
            <w:r>
              <w:rPr>
                <w:spacing w:val="-5"/>
                <w:sz w:val="18"/>
              </w:rPr>
              <w:t>22</w:t>
            </w:r>
          </w:p>
        </w:tc>
        <w:tc>
          <w:tcPr>
            <w:tcW w:w="1124" w:type="dxa"/>
            <w:gridSpan w:val="2"/>
            <w:shd w:val="clear" w:color="auto" w:fill="CCEDFF"/>
          </w:tcPr>
          <w:p>
            <w:pPr>
              <w:pStyle w:val="TableParagraph"/>
              <w:spacing w:before="18"/>
              <w:ind w:right="96"/>
              <w:jc w:val="right"/>
              <w:rPr>
                <w:sz w:val="18"/>
              </w:rPr>
            </w:pPr>
            <w:r>
              <w:rPr>
                <w:spacing w:val="-10"/>
                <w:sz w:val="18"/>
              </w:rPr>
              <w:t>—</w:t>
            </w:r>
          </w:p>
        </w:tc>
        <w:tc>
          <w:tcPr>
            <w:tcW w:w="1183" w:type="dxa"/>
            <w:gridSpan w:val="2"/>
            <w:shd w:val="clear" w:color="auto" w:fill="CCEDFF"/>
          </w:tcPr>
          <w:p>
            <w:pPr>
              <w:pStyle w:val="TableParagraph"/>
              <w:spacing w:before="18"/>
              <w:ind w:right="124"/>
              <w:jc w:val="right"/>
              <w:rPr>
                <w:sz w:val="18"/>
              </w:rPr>
            </w:pPr>
            <w:r>
              <w:rPr>
                <w:spacing w:val="-10"/>
                <w:sz w:val="18"/>
              </w:rPr>
              <w:t>4</w:t>
            </w:r>
          </w:p>
        </w:tc>
        <w:tc>
          <w:tcPr>
            <w:tcW w:w="1157" w:type="dxa"/>
            <w:gridSpan w:val="2"/>
            <w:shd w:val="clear" w:color="auto" w:fill="CCEDFF"/>
          </w:tcPr>
          <w:p>
            <w:pPr>
              <w:pStyle w:val="TableParagraph"/>
              <w:spacing w:before="18"/>
              <w:ind w:right="66"/>
              <w:jc w:val="right"/>
              <w:rPr>
                <w:sz w:val="18"/>
              </w:rPr>
            </w:pPr>
            <w:r>
              <w:rPr>
                <w:spacing w:val="-5"/>
                <w:sz w:val="18"/>
              </w:rPr>
              <w:t>18</w:t>
            </w:r>
          </w:p>
        </w:tc>
      </w:tr>
      <w:tr>
        <w:trPr>
          <w:trHeight w:val="250" w:hRule="atLeast"/>
        </w:trPr>
        <w:tc>
          <w:tcPr>
            <w:tcW w:w="5256" w:type="dxa"/>
            <w:tcBorders>
              <w:bottom w:val="single" w:sz="4" w:space="0" w:color="000000"/>
            </w:tcBorders>
          </w:tcPr>
          <w:p>
            <w:pPr>
              <w:pStyle w:val="TableParagraph"/>
              <w:spacing w:before="18"/>
              <w:ind w:left="52"/>
              <w:rPr>
                <w:sz w:val="18"/>
              </w:rPr>
            </w:pPr>
            <w:r>
              <w:rPr>
                <w:sz w:val="18"/>
              </w:rPr>
              <w:t>Unallocated</w:t>
            </w:r>
            <w:r>
              <w:rPr>
                <w:spacing w:val="-3"/>
                <w:sz w:val="18"/>
              </w:rPr>
              <w:t> </w:t>
            </w:r>
            <w:r>
              <w:rPr>
                <w:sz w:val="18"/>
              </w:rPr>
              <w:t>portfolio layer</w:t>
            </w:r>
            <w:r>
              <w:rPr>
                <w:spacing w:val="-1"/>
                <w:sz w:val="18"/>
              </w:rPr>
              <w:t> </w:t>
            </w:r>
            <w:r>
              <w:rPr>
                <w:sz w:val="18"/>
              </w:rPr>
              <w:t>method fair value</w:t>
            </w:r>
            <w:r>
              <w:rPr>
                <w:spacing w:val="-1"/>
                <w:sz w:val="18"/>
              </w:rPr>
              <w:t> </w:t>
            </w:r>
            <w:r>
              <w:rPr>
                <w:sz w:val="18"/>
              </w:rPr>
              <w:t>basis</w:t>
            </w:r>
            <w:r>
              <w:rPr>
                <w:spacing w:val="-1"/>
                <w:sz w:val="18"/>
              </w:rPr>
              <w:t> </w:t>
            </w:r>
            <w:r>
              <w:rPr>
                <w:sz w:val="18"/>
              </w:rPr>
              <w:t>adjustments</w:t>
            </w:r>
            <w:r>
              <w:rPr>
                <w:spacing w:val="-4"/>
                <w:sz w:val="18"/>
              </w:rPr>
              <w:t> </w:t>
            </w:r>
            <w:r>
              <w:rPr>
                <w:spacing w:val="-5"/>
                <w:sz w:val="18"/>
                <w:vertAlign w:val="superscript"/>
              </w:rPr>
              <w:t>(3)</w:t>
            </w:r>
          </w:p>
        </w:tc>
        <w:tc>
          <w:tcPr>
            <w:tcW w:w="1519" w:type="dxa"/>
            <w:gridSpan w:val="2"/>
            <w:tcBorders>
              <w:bottom w:val="single" w:sz="4" w:space="0" w:color="000000"/>
            </w:tcBorders>
          </w:tcPr>
          <w:p>
            <w:pPr>
              <w:pStyle w:val="TableParagraph"/>
              <w:spacing w:before="18"/>
              <w:ind w:right="67"/>
              <w:jc w:val="right"/>
              <w:rPr>
                <w:sz w:val="18"/>
              </w:rPr>
            </w:pPr>
            <w:r>
              <w:rPr>
                <w:spacing w:val="-4"/>
                <w:sz w:val="18"/>
              </w:rPr>
              <w:t>(57)</w:t>
            </w:r>
          </w:p>
        </w:tc>
        <w:tc>
          <w:tcPr>
            <w:tcW w:w="1124" w:type="dxa"/>
            <w:gridSpan w:val="2"/>
            <w:tcBorders>
              <w:bottom w:val="single" w:sz="4" w:space="0" w:color="000000"/>
            </w:tcBorders>
          </w:tcPr>
          <w:p>
            <w:pPr>
              <w:pStyle w:val="TableParagraph"/>
              <w:spacing w:before="18"/>
              <w:ind w:right="96"/>
              <w:jc w:val="right"/>
              <w:rPr>
                <w:sz w:val="18"/>
              </w:rPr>
            </w:pPr>
            <w:r>
              <w:rPr>
                <w:spacing w:val="-10"/>
                <w:sz w:val="18"/>
              </w:rPr>
              <w:t>—</w:t>
            </w:r>
          </w:p>
        </w:tc>
        <w:tc>
          <w:tcPr>
            <w:tcW w:w="1183" w:type="dxa"/>
            <w:gridSpan w:val="2"/>
            <w:tcBorders>
              <w:bottom w:val="single" w:sz="4" w:space="0" w:color="000000"/>
            </w:tcBorders>
          </w:tcPr>
          <w:p>
            <w:pPr>
              <w:pStyle w:val="TableParagraph"/>
              <w:spacing w:before="18"/>
              <w:ind w:right="64"/>
              <w:jc w:val="right"/>
              <w:rPr>
                <w:sz w:val="18"/>
              </w:rPr>
            </w:pPr>
            <w:r>
              <w:rPr>
                <w:spacing w:val="-4"/>
                <w:sz w:val="18"/>
              </w:rPr>
              <w:t>(57)</w:t>
            </w:r>
          </w:p>
        </w:tc>
        <w:tc>
          <w:tcPr>
            <w:tcW w:w="1157" w:type="dxa"/>
            <w:gridSpan w:val="2"/>
            <w:tcBorders>
              <w:bottom w:val="single" w:sz="4" w:space="0" w:color="000000"/>
            </w:tcBorders>
          </w:tcPr>
          <w:p>
            <w:pPr>
              <w:pStyle w:val="TableParagraph"/>
              <w:spacing w:before="18"/>
              <w:ind w:right="66"/>
              <w:jc w:val="right"/>
              <w:rPr>
                <w:sz w:val="18"/>
              </w:rPr>
            </w:pPr>
            <w:r>
              <w:rPr>
                <w:spacing w:val="-10"/>
                <w:sz w:val="18"/>
              </w:rPr>
              <w:t>—</w:t>
            </w:r>
          </w:p>
        </w:tc>
      </w:tr>
      <w:tr>
        <w:trPr>
          <w:trHeight w:val="220" w:hRule="atLeast"/>
        </w:trPr>
        <w:tc>
          <w:tcPr>
            <w:tcW w:w="5256" w:type="dxa"/>
            <w:tcBorders>
              <w:top w:val="single" w:sz="4" w:space="0" w:color="000000"/>
              <w:bottom w:val="double" w:sz="8" w:space="0" w:color="000000"/>
            </w:tcBorders>
            <w:shd w:val="clear" w:color="auto" w:fill="CCEDFF"/>
          </w:tcPr>
          <w:p>
            <w:pPr>
              <w:pStyle w:val="TableParagraph"/>
              <w:spacing w:line="187" w:lineRule="exact" w:before="13"/>
              <w:ind w:left="277"/>
              <w:rPr>
                <w:sz w:val="18"/>
              </w:rPr>
            </w:pPr>
            <w:r>
              <w:rPr>
                <w:sz w:val="18"/>
              </w:rPr>
              <w:t>Total</w:t>
            </w:r>
            <w:r>
              <w:rPr>
                <w:spacing w:val="-1"/>
                <w:sz w:val="18"/>
              </w:rPr>
              <w:t> </w:t>
            </w:r>
            <w:r>
              <w:rPr>
                <w:sz w:val="18"/>
              </w:rPr>
              <w:t>available for</w:t>
            </w:r>
            <w:r>
              <w:rPr>
                <w:spacing w:val="-1"/>
                <w:sz w:val="18"/>
              </w:rPr>
              <w:t> </w:t>
            </w:r>
            <w:r>
              <w:rPr>
                <w:sz w:val="18"/>
              </w:rPr>
              <w:t>sale securities</w:t>
            </w:r>
            <w:r>
              <w:rPr>
                <w:spacing w:val="-3"/>
                <w:sz w:val="18"/>
              </w:rPr>
              <w:t> </w:t>
            </w:r>
            <w:r>
              <w:rPr>
                <w:spacing w:val="-5"/>
                <w:sz w:val="18"/>
                <w:vertAlign w:val="superscript"/>
              </w:rPr>
              <w:t>(4)</w:t>
            </w:r>
          </w:p>
        </w:tc>
        <w:tc>
          <w:tcPr>
            <w:tcW w:w="1519" w:type="dxa"/>
            <w:gridSpan w:val="2"/>
            <w:tcBorders>
              <w:top w:val="single" w:sz="4" w:space="0" w:color="000000"/>
              <w:bottom w:val="double" w:sz="8" w:space="0" w:color="000000"/>
            </w:tcBorders>
            <w:shd w:val="clear" w:color="auto" w:fill="CCEDFF"/>
          </w:tcPr>
          <w:p>
            <w:pPr>
              <w:pStyle w:val="TableParagraph"/>
              <w:tabs>
                <w:tab w:pos="803" w:val="left" w:leader="none"/>
              </w:tabs>
              <w:spacing w:line="187" w:lineRule="exact" w:before="13"/>
              <w:ind w:left="451"/>
              <w:rPr>
                <w:sz w:val="18"/>
              </w:rPr>
            </w:pPr>
            <w:r>
              <w:rPr>
                <w:spacing w:val="-10"/>
                <w:sz w:val="18"/>
              </w:rPr>
              <w:t>$</w:t>
            </w:r>
            <w:r>
              <w:rPr>
                <w:sz w:val="18"/>
              </w:rPr>
              <w:tab/>
            </w:r>
            <w:r>
              <w:rPr>
                <w:spacing w:val="-2"/>
                <w:sz w:val="18"/>
              </w:rPr>
              <w:t>122,072</w:t>
            </w:r>
          </w:p>
        </w:tc>
        <w:tc>
          <w:tcPr>
            <w:tcW w:w="1124" w:type="dxa"/>
            <w:gridSpan w:val="2"/>
            <w:tcBorders>
              <w:top w:val="single" w:sz="4" w:space="0" w:color="000000"/>
              <w:bottom w:val="double" w:sz="8" w:space="0" w:color="000000"/>
            </w:tcBorders>
            <w:shd w:val="clear" w:color="auto" w:fill="CCEDFF"/>
          </w:tcPr>
          <w:p>
            <w:pPr>
              <w:pStyle w:val="TableParagraph"/>
              <w:tabs>
                <w:tab w:pos="845" w:val="left" w:leader="none"/>
              </w:tabs>
              <w:spacing w:line="187" w:lineRule="exact" w:before="13"/>
              <w:ind w:left="72"/>
              <w:rPr>
                <w:sz w:val="18"/>
              </w:rPr>
            </w:pPr>
            <w:r>
              <w:rPr>
                <w:spacing w:val="-10"/>
                <w:sz w:val="18"/>
              </w:rPr>
              <w:t>$</w:t>
            </w:r>
            <w:r>
              <w:rPr>
                <w:sz w:val="18"/>
              </w:rPr>
              <w:tab/>
            </w:r>
            <w:r>
              <w:rPr>
                <w:spacing w:val="-10"/>
                <w:sz w:val="18"/>
              </w:rPr>
              <w:t>—</w:t>
            </w:r>
          </w:p>
        </w:tc>
        <w:tc>
          <w:tcPr>
            <w:tcW w:w="1183" w:type="dxa"/>
            <w:gridSpan w:val="2"/>
            <w:tcBorders>
              <w:top w:val="single" w:sz="4" w:space="0" w:color="000000"/>
              <w:bottom w:val="double" w:sz="8" w:space="0" w:color="000000"/>
            </w:tcBorders>
            <w:shd w:val="clear" w:color="auto" w:fill="CCEDFF"/>
          </w:tcPr>
          <w:p>
            <w:pPr>
              <w:pStyle w:val="TableParagraph"/>
              <w:tabs>
                <w:tab w:pos="561" w:val="left" w:leader="none"/>
              </w:tabs>
              <w:spacing w:line="187" w:lineRule="exact" w:before="13"/>
              <w:ind w:left="103"/>
              <w:rPr>
                <w:sz w:val="18"/>
              </w:rPr>
            </w:pPr>
            <w:r>
              <w:rPr>
                <w:spacing w:val="-10"/>
                <w:sz w:val="18"/>
              </w:rPr>
              <w:t>$</w:t>
            </w:r>
            <w:r>
              <w:rPr>
                <w:sz w:val="18"/>
              </w:rPr>
              <w:tab/>
            </w:r>
            <w:r>
              <w:rPr>
                <w:spacing w:val="-2"/>
                <w:sz w:val="18"/>
              </w:rPr>
              <w:t>11,800</w:t>
            </w:r>
          </w:p>
        </w:tc>
        <w:tc>
          <w:tcPr>
            <w:tcW w:w="1157" w:type="dxa"/>
            <w:gridSpan w:val="2"/>
            <w:tcBorders>
              <w:top w:val="single" w:sz="4" w:space="0" w:color="000000"/>
              <w:bottom w:val="double" w:sz="8" w:space="0" w:color="000000"/>
            </w:tcBorders>
            <w:shd w:val="clear" w:color="auto" w:fill="CCEDFF"/>
          </w:tcPr>
          <w:p>
            <w:pPr>
              <w:pStyle w:val="TableParagraph"/>
              <w:tabs>
                <w:tab w:pos="503" w:val="left" w:leader="none"/>
              </w:tabs>
              <w:spacing w:line="187" w:lineRule="exact" w:before="13"/>
              <w:ind w:left="75"/>
              <w:rPr>
                <w:sz w:val="18"/>
              </w:rPr>
            </w:pPr>
            <w:r>
              <w:rPr>
                <w:spacing w:val="-10"/>
                <w:sz w:val="18"/>
              </w:rPr>
              <w:t>$</w:t>
            </w:r>
            <w:r>
              <w:rPr>
                <w:sz w:val="18"/>
              </w:rPr>
              <w:tab/>
            </w:r>
            <w:r>
              <w:rPr>
                <w:spacing w:val="-2"/>
                <w:sz w:val="18"/>
              </w:rPr>
              <w:t>110,272</w:t>
            </w:r>
          </w:p>
        </w:tc>
      </w:tr>
      <w:tr>
        <w:trPr>
          <w:trHeight w:val="225" w:hRule="atLeast"/>
        </w:trPr>
        <w:tc>
          <w:tcPr>
            <w:tcW w:w="5256" w:type="dxa"/>
            <w:tcBorders>
              <w:top w:val="double" w:sz="8" w:space="0" w:color="000000"/>
            </w:tcBorders>
          </w:tcPr>
          <w:p>
            <w:pPr>
              <w:pStyle w:val="TableParagraph"/>
              <w:spacing w:line="195" w:lineRule="exact"/>
              <w:ind w:left="52"/>
              <w:rPr>
                <w:b/>
                <w:sz w:val="18"/>
              </w:rPr>
            </w:pPr>
            <w:r>
              <w:rPr>
                <w:b/>
                <w:sz w:val="18"/>
              </w:rPr>
              <w:t>Held</w:t>
            </w:r>
            <w:r>
              <w:rPr>
                <w:b/>
                <w:spacing w:val="-2"/>
                <w:sz w:val="18"/>
              </w:rPr>
              <w:t> </w:t>
            </w:r>
            <w:r>
              <w:rPr>
                <w:b/>
                <w:sz w:val="18"/>
              </w:rPr>
              <w:t>to maturity </w:t>
            </w:r>
            <w:r>
              <w:rPr>
                <w:b/>
                <w:spacing w:val="-2"/>
                <w:sz w:val="18"/>
              </w:rPr>
              <w:t>securities</w:t>
            </w:r>
          </w:p>
        </w:tc>
        <w:tc>
          <w:tcPr>
            <w:tcW w:w="1519" w:type="dxa"/>
            <w:gridSpan w:val="2"/>
            <w:tcBorders>
              <w:top w:val="double" w:sz="8" w:space="0" w:color="000000"/>
            </w:tcBorders>
          </w:tcPr>
          <w:p>
            <w:pPr>
              <w:pStyle w:val="TableParagraph"/>
              <w:rPr>
                <w:sz w:val="16"/>
              </w:rPr>
            </w:pPr>
          </w:p>
        </w:tc>
        <w:tc>
          <w:tcPr>
            <w:tcW w:w="1124" w:type="dxa"/>
            <w:gridSpan w:val="2"/>
            <w:tcBorders>
              <w:top w:val="double" w:sz="8" w:space="0" w:color="000000"/>
            </w:tcBorders>
          </w:tcPr>
          <w:p>
            <w:pPr>
              <w:pStyle w:val="TableParagraph"/>
              <w:rPr>
                <w:sz w:val="16"/>
              </w:rPr>
            </w:pPr>
          </w:p>
        </w:tc>
        <w:tc>
          <w:tcPr>
            <w:tcW w:w="1183" w:type="dxa"/>
            <w:gridSpan w:val="2"/>
            <w:tcBorders>
              <w:top w:val="double" w:sz="8" w:space="0" w:color="000000"/>
            </w:tcBorders>
          </w:tcPr>
          <w:p>
            <w:pPr>
              <w:pStyle w:val="TableParagraph"/>
              <w:rPr>
                <w:sz w:val="16"/>
              </w:rPr>
            </w:pPr>
          </w:p>
        </w:tc>
        <w:tc>
          <w:tcPr>
            <w:tcW w:w="1157" w:type="dxa"/>
            <w:gridSpan w:val="2"/>
            <w:tcBorders>
              <w:top w:val="double" w:sz="8" w:space="0" w:color="000000"/>
            </w:tcBorders>
          </w:tcPr>
          <w:p>
            <w:pPr>
              <w:pStyle w:val="TableParagraph"/>
              <w:rPr>
                <w:sz w:val="16"/>
              </w:rPr>
            </w:pPr>
          </w:p>
        </w:tc>
      </w:tr>
      <w:tr>
        <w:trPr>
          <w:trHeight w:val="250" w:hRule="atLeast"/>
        </w:trPr>
        <w:tc>
          <w:tcPr>
            <w:tcW w:w="5256" w:type="dxa"/>
            <w:tcBorders>
              <w:bottom w:val="single" w:sz="4" w:space="0" w:color="000000"/>
            </w:tcBorders>
            <w:shd w:val="clear" w:color="auto" w:fill="CCEDFF"/>
          </w:tcPr>
          <w:p>
            <w:pPr>
              <w:pStyle w:val="TableParagraph"/>
              <w:spacing w:before="18"/>
              <w:ind w:left="52"/>
              <w:rPr>
                <w:sz w:val="18"/>
              </w:rPr>
            </w:pPr>
            <w:r>
              <w:rPr>
                <w:sz w:val="18"/>
              </w:rPr>
              <w:t>U.S.</w:t>
            </w:r>
            <w:r>
              <w:rPr>
                <w:spacing w:val="-1"/>
                <w:sz w:val="18"/>
              </w:rPr>
              <w:t> </w:t>
            </w:r>
            <w:r>
              <w:rPr>
                <w:sz w:val="18"/>
              </w:rPr>
              <w:t>agency</w:t>
            </w:r>
            <w:r>
              <w:rPr>
                <w:spacing w:val="-1"/>
                <w:sz w:val="18"/>
              </w:rPr>
              <w:t> </w:t>
            </w:r>
            <w:r>
              <w:rPr>
                <w:sz w:val="18"/>
              </w:rPr>
              <w:t>mortgage-backed </w:t>
            </w:r>
            <w:r>
              <w:rPr>
                <w:spacing w:val="-2"/>
                <w:sz w:val="18"/>
              </w:rPr>
              <w:t>securities</w:t>
            </w:r>
          </w:p>
        </w:tc>
        <w:tc>
          <w:tcPr>
            <w:tcW w:w="1519" w:type="dxa"/>
            <w:gridSpan w:val="2"/>
            <w:tcBorders>
              <w:bottom w:val="single" w:sz="4" w:space="0" w:color="000000"/>
            </w:tcBorders>
            <w:shd w:val="clear" w:color="auto" w:fill="CCEDFF"/>
          </w:tcPr>
          <w:p>
            <w:pPr>
              <w:pStyle w:val="TableParagraph"/>
              <w:tabs>
                <w:tab w:pos="803" w:val="left" w:leader="none"/>
              </w:tabs>
              <w:spacing w:before="18"/>
              <w:ind w:left="451"/>
              <w:rPr>
                <w:sz w:val="18"/>
              </w:rPr>
            </w:pPr>
            <w:r>
              <w:rPr>
                <w:spacing w:val="-10"/>
                <w:sz w:val="18"/>
              </w:rPr>
              <w:t>$</w:t>
            </w:r>
            <w:r>
              <w:rPr>
                <w:sz w:val="18"/>
              </w:rPr>
              <w:tab/>
            </w:r>
            <w:r>
              <w:rPr>
                <w:spacing w:val="-2"/>
                <w:sz w:val="18"/>
              </w:rPr>
              <w:t>162,452</w:t>
            </w:r>
          </w:p>
        </w:tc>
        <w:tc>
          <w:tcPr>
            <w:tcW w:w="1124" w:type="dxa"/>
            <w:gridSpan w:val="2"/>
            <w:tcBorders>
              <w:bottom w:val="single" w:sz="4" w:space="0" w:color="000000"/>
            </w:tcBorders>
            <w:shd w:val="clear" w:color="auto" w:fill="CCEDFF"/>
          </w:tcPr>
          <w:p>
            <w:pPr>
              <w:pStyle w:val="TableParagraph"/>
              <w:tabs>
                <w:tab w:pos="845" w:val="left" w:leader="none"/>
              </w:tabs>
              <w:spacing w:before="18"/>
              <w:ind w:left="72"/>
              <w:rPr>
                <w:sz w:val="18"/>
              </w:rPr>
            </w:pPr>
            <w:r>
              <w:rPr>
                <w:spacing w:val="-10"/>
                <w:sz w:val="18"/>
              </w:rPr>
              <w:t>$</w:t>
            </w:r>
            <w:r>
              <w:rPr>
                <w:sz w:val="18"/>
              </w:rPr>
              <w:tab/>
            </w:r>
            <w:r>
              <w:rPr>
                <w:spacing w:val="-10"/>
                <w:sz w:val="18"/>
              </w:rPr>
              <w:t>—</w:t>
            </w:r>
          </w:p>
        </w:tc>
        <w:tc>
          <w:tcPr>
            <w:tcW w:w="1183" w:type="dxa"/>
            <w:gridSpan w:val="2"/>
            <w:tcBorders>
              <w:bottom w:val="single" w:sz="4" w:space="0" w:color="000000"/>
            </w:tcBorders>
            <w:shd w:val="clear" w:color="auto" w:fill="CCEDFF"/>
          </w:tcPr>
          <w:p>
            <w:pPr>
              <w:pStyle w:val="TableParagraph"/>
              <w:tabs>
                <w:tab w:pos="561" w:val="left" w:leader="none"/>
              </w:tabs>
              <w:spacing w:before="18"/>
              <w:ind w:left="103"/>
              <w:rPr>
                <w:sz w:val="18"/>
              </w:rPr>
            </w:pPr>
            <w:r>
              <w:rPr>
                <w:spacing w:val="-10"/>
                <w:sz w:val="18"/>
              </w:rPr>
              <w:t>$</w:t>
            </w:r>
            <w:r>
              <w:rPr>
                <w:sz w:val="18"/>
              </w:rPr>
              <w:tab/>
            </w:r>
            <w:r>
              <w:rPr>
                <w:spacing w:val="-2"/>
                <w:sz w:val="18"/>
              </w:rPr>
              <w:t>19,449</w:t>
            </w:r>
          </w:p>
        </w:tc>
        <w:tc>
          <w:tcPr>
            <w:tcW w:w="1157" w:type="dxa"/>
            <w:gridSpan w:val="2"/>
            <w:tcBorders>
              <w:bottom w:val="single" w:sz="4" w:space="0" w:color="000000"/>
            </w:tcBorders>
            <w:shd w:val="clear" w:color="auto" w:fill="CCEDFF"/>
          </w:tcPr>
          <w:p>
            <w:pPr>
              <w:pStyle w:val="TableParagraph"/>
              <w:tabs>
                <w:tab w:pos="503" w:val="left" w:leader="none"/>
              </w:tabs>
              <w:spacing w:before="18"/>
              <w:ind w:left="75"/>
              <w:rPr>
                <w:sz w:val="18"/>
              </w:rPr>
            </w:pPr>
            <w:r>
              <w:rPr>
                <w:spacing w:val="-10"/>
                <w:sz w:val="18"/>
              </w:rPr>
              <w:t>$</w:t>
            </w:r>
            <w:r>
              <w:rPr>
                <w:sz w:val="18"/>
              </w:rPr>
              <w:tab/>
            </w:r>
            <w:r>
              <w:rPr>
                <w:spacing w:val="-2"/>
                <w:sz w:val="18"/>
              </w:rPr>
              <w:t>143,003</w:t>
            </w:r>
          </w:p>
        </w:tc>
      </w:tr>
      <w:tr>
        <w:trPr>
          <w:trHeight w:val="220" w:hRule="atLeast"/>
        </w:trPr>
        <w:tc>
          <w:tcPr>
            <w:tcW w:w="5256" w:type="dxa"/>
            <w:tcBorders>
              <w:top w:val="single" w:sz="4" w:space="0" w:color="000000"/>
              <w:bottom w:val="double" w:sz="8" w:space="0" w:color="000000"/>
            </w:tcBorders>
          </w:tcPr>
          <w:p>
            <w:pPr>
              <w:pStyle w:val="TableParagraph"/>
              <w:spacing w:line="187" w:lineRule="exact" w:before="13"/>
              <w:ind w:left="277"/>
              <w:rPr>
                <w:sz w:val="18"/>
              </w:rPr>
            </w:pPr>
            <w:r>
              <w:rPr>
                <w:sz w:val="18"/>
              </w:rPr>
              <w:t>Total held to maturity </w:t>
            </w:r>
            <w:r>
              <w:rPr>
                <w:spacing w:val="-2"/>
                <w:sz w:val="18"/>
              </w:rPr>
              <w:t>securities</w:t>
            </w:r>
          </w:p>
        </w:tc>
        <w:tc>
          <w:tcPr>
            <w:tcW w:w="1519" w:type="dxa"/>
            <w:gridSpan w:val="2"/>
            <w:tcBorders>
              <w:top w:val="single" w:sz="4" w:space="0" w:color="000000"/>
              <w:bottom w:val="double" w:sz="8" w:space="0" w:color="000000"/>
            </w:tcBorders>
          </w:tcPr>
          <w:p>
            <w:pPr>
              <w:pStyle w:val="TableParagraph"/>
              <w:tabs>
                <w:tab w:pos="803" w:val="left" w:leader="none"/>
              </w:tabs>
              <w:spacing w:line="187" w:lineRule="exact" w:before="13"/>
              <w:ind w:left="451"/>
              <w:rPr>
                <w:sz w:val="18"/>
              </w:rPr>
            </w:pPr>
            <w:r>
              <w:rPr>
                <w:spacing w:val="-10"/>
                <w:sz w:val="18"/>
              </w:rPr>
              <w:t>$</w:t>
            </w:r>
            <w:r>
              <w:rPr>
                <w:sz w:val="18"/>
              </w:rPr>
              <w:tab/>
            </w:r>
            <w:r>
              <w:rPr>
                <w:spacing w:val="-2"/>
                <w:sz w:val="18"/>
              </w:rPr>
              <w:t>162,452</w:t>
            </w:r>
          </w:p>
        </w:tc>
        <w:tc>
          <w:tcPr>
            <w:tcW w:w="1124" w:type="dxa"/>
            <w:gridSpan w:val="2"/>
            <w:tcBorders>
              <w:top w:val="single" w:sz="4" w:space="0" w:color="000000"/>
              <w:bottom w:val="double" w:sz="8" w:space="0" w:color="000000"/>
            </w:tcBorders>
          </w:tcPr>
          <w:p>
            <w:pPr>
              <w:pStyle w:val="TableParagraph"/>
              <w:tabs>
                <w:tab w:pos="845" w:val="left" w:leader="none"/>
              </w:tabs>
              <w:spacing w:line="187" w:lineRule="exact" w:before="13"/>
              <w:ind w:left="72"/>
              <w:rPr>
                <w:sz w:val="18"/>
              </w:rPr>
            </w:pPr>
            <w:r>
              <w:rPr>
                <w:spacing w:val="-10"/>
                <w:sz w:val="18"/>
              </w:rPr>
              <w:t>$</w:t>
            </w:r>
            <w:r>
              <w:rPr>
                <w:sz w:val="18"/>
              </w:rPr>
              <w:tab/>
            </w:r>
            <w:r>
              <w:rPr>
                <w:spacing w:val="-10"/>
                <w:sz w:val="18"/>
              </w:rPr>
              <w:t>—</w:t>
            </w:r>
          </w:p>
        </w:tc>
        <w:tc>
          <w:tcPr>
            <w:tcW w:w="1183" w:type="dxa"/>
            <w:gridSpan w:val="2"/>
            <w:tcBorders>
              <w:top w:val="single" w:sz="4" w:space="0" w:color="000000"/>
              <w:bottom w:val="double" w:sz="8" w:space="0" w:color="000000"/>
            </w:tcBorders>
          </w:tcPr>
          <w:p>
            <w:pPr>
              <w:pStyle w:val="TableParagraph"/>
              <w:tabs>
                <w:tab w:pos="561" w:val="left" w:leader="none"/>
              </w:tabs>
              <w:spacing w:line="187" w:lineRule="exact" w:before="13"/>
              <w:ind w:left="103"/>
              <w:rPr>
                <w:sz w:val="18"/>
              </w:rPr>
            </w:pPr>
            <w:r>
              <w:rPr>
                <w:spacing w:val="-10"/>
                <w:sz w:val="18"/>
              </w:rPr>
              <w:t>$</w:t>
            </w:r>
            <w:r>
              <w:rPr>
                <w:sz w:val="18"/>
              </w:rPr>
              <w:tab/>
            </w:r>
            <w:r>
              <w:rPr>
                <w:spacing w:val="-2"/>
                <w:sz w:val="18"/>
              </w:rPr>
              <w:t>19,449</w:t>
            </w:r>
          </w:p>
        </w:tc>
        <w:tc>
          <w:tcPr>
            <w:tcW w:w="1157" w:type="dxa"/>
            <w:gridSpan w:val="2"/>
            <w:tcBorders>
              <w:top w:val="single" w:sz="4" w:space="0" w:color="000000"/>
              <w:bottom w:val="double" w:sz="8" w:space="0" w:color="000000"/>
            </w:tcBorders>
          </w:tcPr>
          <w:p>
            <w:pPr>
              <w:pStyle w:val="TableParagraph"/>
              <w:tabs>
                <w:tab w:pos="503" w:val="left" w:leader="none"/>
              </w:tabs>
              <w:spacing w:line="187" w:lineRule="exact" w:before="13"/>
              <w:ind w:left="75"/>
              <w:rPr>
                <w:sz w:val="18"/>
              </w:rPr>
            </w:pPr>
            <w:r>
              <w:rPr>
                <w:spacing w:val="-10"/>
                <w:sz w:val="18"/>
              </w:rPr>
              <w:t>$</w:t>
            </w:r>
            <w:r>
              <w:rPr>
                <w:sz w:val="18"/>
              </w:rPr>
              <w:tab/>
            </w:r>
            <w:r>
              <w:rPr>
                <w:spacing w:val="-2"/>
                <w:sz w:val="18"/>
              </w:rPr>
              <w:t>143,003</w:t>
            </w:r>
          </w:p>
        </w:tc>
      </w:tr>
      <w:tr>
        <w:trPr>
          <w:trHeight w:val="465" w:hRule="atLeast"/>
        </w:trPr>
        <w:tc>
          <w:tcPr>
            <w:tcW w:w="5256" w:type="dxa"/>
            <w:tcBorders>
              <w:top w:val="double" w:sz="8" w:space="0" w:color="000000"/>
            </w:tcBorders>
          </w:tcPr>
          <w:p>
            <w:pPr>
              <w:pStyle w:val="TableParagraph"/>
              <w:rPr>
                <w:sz w:val="16"/>
              </w:rPr>
            </w:pPr>
          </w:p>
        </w:tc>
        <w:tc>
          <w:tcPr>
            <w:tcW w:w="1519" w:type="dxa"/>
            <w:gridSpan w:val="2"/>
            <w:tcBorders>
              <w:top w:val="double" w:sz="8" w:space="0" w:color="000000"/>
            </w:tcBorders>
          </w:tcPr>
          <w:p>
            <w:pPr>
              <w:pStyle w:val="TableParagraph"/>
              <w:spacing w:before="61"/>
              <w:rPr>
                <w:sz w:val="18"/>
              </w:rPr>
            </w:pPr>
          </w:p>
          <w:p>
            <w:pPr>
              <w:pStyle w:val="TableParagraph"/>
              <w:spacing w:line="177" w:lineRule="exact"/>
              <w:ind w:left="546"/>
              <w:rPr>
                <w:sz w:val="18"/>
              </w:rPr>
            </w:pPr>
            <w:r>
              <w:rPr>
                <w:spacing w:val="-2"/>
                <w:sz w:val="18"/>
              </w:rPr>
              <w:t>Amortized</w:t>
            </w:r>
          </w:p>
        </w:tc>
        <w:tc>
          <w:tcPr>
            <w:tcW w:w="1124" w:type="dxa"/>
            <w:gridSpan w:val="2"/>
            <w:tcBorders>
              <w:top w:val="double" w:sz="8" w:space="0" w:color="000000"/>
            </w:tcBorders>
          </w:tcPr>
          <w:p>
            <w:pPr>
              <w:pStyle w:val="TableParagraph"/>
              <w:spacing w:line="180" w:lineRule="exact" w:before="85"/>
              <w:ind w:left="165" w:firstLine="184"/>
              <w:rPr>
                <w:sz w:val="18"/>
              </w:rPr>
            </w:pPr>
            <w:r>
              <w:rPr>
                <w:spacing w:val="-2"/>
                <w:sz w:val="18"/>
              </w:rPr>
              <w:t>Gross Unrealized</w:t>
            </w:r>
          </w:p>
        </w:tc>
        <w:tc>
          <w:tcPr>
            <w:tcW w:w="1183" w:type="dxa"/>
            <w:gridSpan w:val="2"/>
            <w:tcBorders>
              <w:top w:val="double" w:sz="8" w:space="0" w:color="000000"/>
            </w:tcBorders>
          </w:tcPr>
          <w:p>
            <w:pPr>
              <w:pStyle w:val="TableParagraph"/>
              <w:spacing w:line="180" w:lineRule="exact" w:before="85"/>
              <w:ind w:left="196" w:firstLine="184"/>
              <w:rPr>
                <w:sz w:val="18"/>
              </w:rPr>
            </w:pPr>
            <w:r>
              <w:rPr>
                <w:spacing w:val="-2"/>
                <w:sz w:val="18"/>
              </w:rPr>
              <w:t>Gross Unrealized</w:t>
            </w:r>
          </w:p>
        </w:tc>
        <w:tc>
          <w:tcPr>
            <w:tcW w:w="1157" w:type="dxa"/>
            <w:gridSpan w:val="2"/>
            <w:tcBorders>
              <w:top w:val="double" w:sz="8" w:space="0" w:color="000000"/>
            </w:tcBorders>
          </w:tcPr>
          <w:p>
            <w:pPr>
              <w:pStyle w:val="TableParagraph"/>
              <w:spacing w:before="61"/>
              <w:rPr>
                <w:sz w:val="18"/>
              </w:rPr>
            </w:pPr>
          </w:p>
          <w:p>
            <w:pPr>
              <w:pStyle w:val="TableParagraph"/>
              <w:spacing w:line="177" w:lineRule="exact"/>
              <w:ind w:left="29"/>
              <w:jc w:val="center"/>
              <w:rPr>
                <w:sz w:val="18"/>
              </w:rPr>
            </w:pPr>
            <w:r>
              <w:rPr>
                <w:spacing w:val="-4"/>
                <w:sz w:val="18"/>
              </w:rPr>
              <w:t>Fair</w:t>
            </w:r>
          </w:p>
        </w:tc>
      </w:tr>
      <w:tr>
        <w:trPr>
          <w:trHeight w:val="214" w:hRule="atLeast"/>
        </w:trPr>
        <w:tc>
          <w:tcPr>
            <w:tcW w:w="5256" w:type="dxa"/>
            <w:tcBorders>
              <w:bottom w:val="single" w:sz="4" w:space="0" w:color="000000"/>
            </w:tcBorders>
          </w:tcPr>
          <w:p>
            <w:pPr>
              <w:pStyle w:val="TableParagraph"/>
              <w:spacing w:line="190" w:lineRule="exact"/>
              <w:ind w:left="52"/>
              <w:rPr>
                <w:sz w:val="18"/>
              </w:rPr>
            </w:pPr>
            <w:r>
              <w:rPr>
                <w:sz w:val="18"/>
              </w:rPr>
              <w:t>December</w:t>
            </w:r>
            <w:r>
              <w:rPr>
                <w:spacing w:val="-1"/>
                <w:sz w:val="18"/>
              </w:rPr>
              <w:t> </w:t>
            </w:r>
            <w:r>
              <w:rPr>
                <w:sz w:val="18"/>
              </w:rPr>
              <w:t>31, </w:t>
            </w:r>
            <w:r>
              <w:rPr>
                <w:spacing w:val="-4"/>
                <w:sz w:val="18"/>
              </w:rPr>
              <w:t>2022</w:t>
            </w:r>
          </w:p>
        </w:tc>
        <w:tc>
          <w:tcPr>
            <w:tcW w:w="1519" w:type="dxa"/>
            <w:gridSpan w:val="2"/>
            <w:tcBorders>
              <w:bottom w:val="single" w:sz="4" w:space="0" w:color="000000"/>
            </w:tcBorders>
          </w:tcPr>
          <w:p>
            <w:pPr>
              <w:pStyle w:val="TableParagraph"/>
              <w:spacing w:line="190" w:lineRule="exact"/>
              <w:ind w:left="766"/>
              <w:rPr>
                <w:sz w:val="18"/>
              </w:rPr>
            </w:pPr>
            <w:r>
              <w:rPr>
                <w:spacing w:val="-4"/>
                <w:sz w:val="18"/>
              </w:rPr>
              <w:t>Cost</w:t>
            </w:r>
          </w:p>
        </w:tc>
        <w:tc>
          <w:tcPr>
            <w:tcW w:w="1124" w:type="dxa"/>
            <w:gridSpan w:val="2"/>
            <w:tcBorders>
              <w:bottom w:val="single" w:sz="4" w:space="0" w:color="000000"/>
            </w:tcBorders>
          </w:tcPr>
          <w:p>
            <w:pPr>
              <w:pStyle w:val="TableParagraph"/>
              <w:spacing w:line="190" w:lineRule="exact"/>
              <w:ind w:left="350"/>
              <w:rPr>
                <w:sz w:val="18"/>
              </w:rPr>
            </w:pPr>
            <w:r>
              <w:rPr>
                <w:spacing w:val="-2"/>
                <w:sz w:val="18"/>
              </w:rPr>
              <w:t>Gains</w:t>
            </w:r>
          </w:p>
        </w:tc>
        <w:tc>
          <w:tcPr>
            <w:tcW w:w="1183" w:type="dxa"/>
            <w:gridSpan w:val="2"/>
            <w:tcBorders>
              <w:bottom w:val="single" w:sz="4" w:space="0" w:color="000000"/>
            </w:tcBorders>
          </w:tcPr>
          <w:p>
            <w:pPr>
              <w:pStyle w:val="TableParagraph"/>
              <w:spacing w:line="190" w:lineRule="exact"/>
              <w:ind w:left="346"/>
              <w:rPr>
                <w:sz w:val="18"/>
              </w:rPr>
            </w:pPr>
            <w:r>
              <w:rPr>
                <w:spacing w:val="-2"/>
                <w:sz w:val="18"/>
              </w:rPr>
              <w:t>Losses</w:t>
            </w:r>
          </w:p>
        </w:tc>
        <w:tc>
          <w:tcPr>
            <w:tcW w:w="1157" w:type="dxa"/>
            <w:gridSpan w:val="2"/>
            <w:tcBorders>
              <w:bottom w:val="single" w:sz="4" w:space="0" w:color="000000"/>
            </w:tcBorders>
          </w:tcPr>
          <w:p>
            <w:pPr>
              <w:pStyle w:val="TableParagraph"/>
              <w:spacing w:line="190" w:lineRule="exact"/>
              <w:ind w:left="378"/>
              <w:rPr>
                <w:sz w:val="18"/>
              </w:rPr>
            </w:pPr>
            <w:r>
              <w:rPr>
                <w:spacing w:val="-2"/>
                <w:sz w:val="18"/>
              </w:rPr>
              <w:t>Value</w:t>
            </w:r>
          </w:p>
        </w:tc>
      </w:tr>
      <w:tr>
        <w:trPr>
          <w:trHeight w:val="250" w:hRule="atLeast"/>
        </w:trPr>
        <w:tc>
          <w:tcPr>
            <w:tcW w:w="5256" w:type="dxa"/>
            <w:tcBorders>
              <w:top w:val="single" w:sz="4" w:space="0" w:color="000000"/>
            </w:tcBorders>
          </w:tcPr>
          <w:p>
            <w:pPr>
              <w:pStyle w:val="TableParagraph"/>
              <w:spacing w:before="13"/>
              <w:ind w:left="52"/>
              <w:rPr>
                <w:b/>
                <w:sz w:val="18"/>
              </w:rPr>
            </w:pPr>
            <w:r>
              <w:rPr>
                <w:b/>
                <w:sz w:val="18"/>
              </w:rPr>
              <w:t>Available</w:t>
            </w:r>
            <w:r>
              <w:rPr>
                <w:b/>
                <w:spacing w:val="-3"/>
                <w:sz w:val="18"/>
              </w:rPr>
              <w:t> </w:t>
            </w:r>
            <w:r>
              <w:rPr>
                <w:b/>
                <w:sz w:val="18"/>
              </w:rPr>
              <w:t>for</w:t>
            </w:r>
            <w:r>
              <w:rPr>
                <w:b/>
                <w:spacing w:val="-1"/>
                <w:sz w:val="18"/>
              </w:rPr>
              <w:t> </w:t>
            </w:r>
            <w:r>
              <w:rPr>
                <w:b/>
                <w:sz w:val="18"/>
              </w:rPr>
              <w:t>sale</w:t>
            </w:r>
            <w:r>
              <w:rPr>
                <w:b/>
                <w:spacing w:val="-1"/>
                <w:sz w:val="18"/>
              </w:rPr>
              <w:t> </w:t>
            </w:r>
            <w:r>
              <w:rPr>
                <w:b/>
                <w:spacing w:val="-2"/>
                <w:sz w:val="18"/>
              </w:rPr>
              <w:t>securities</w:t>
            </w:r>
          </w:p>
        </w:tc>
        <w:tc>
          <w:tcPr>
            <w:tcW w:w="1519" w:type="dxa"/>
            <w:gridSpan w:val="2"/>
            <w:tcBorders>
              <w:top w:val="single" w:sz="4" w:space="0" w:color="000000"/>
            </w:tcBorders>
          </w:tcPr>
          <w:p>
            <w:pPr>
              <w:pStyle w:val="TableParagraph"/>
              <w:rPr>
                <w:sz w:val="16"/>
              </w:rPr>
            </w:pPr>
          </w:p>
        </w:tc>
        <w:tc>
          <w:tcPr>
            <w:tcW w:w="1124" w:type="dxa"/>
            <w:gridSpan w:val="2"/>
            <w:tcBorders>
              <w:top w:val="single" w:sz="4" w:space="0" w:color="000000"/>
            </w:tcBorders>
          </w:tcPr>
          <w:p>
            <w:pPr>
              <w:pStyle w:val="TableParagraph"/>
              <w:rPr>
                <w:sz w:val="16"/>
              </w:rPr>
            </w:pPr>
          </w:p>
        </w:tc>
        <w:tc>
          <w:tcPr>
            <w:tcW w:w="1183" w:type="dxa"/>
            <w:gridSpan w:val="2"/>
            <w:tcBorders>
              <w:top w:val="single" w:sz="4" w:space="0" w:color="000000"/>
            </w:tcBorders>
          </w:tcPr>
          <w:p>
            <w:pPr>
              <w:pStyle w:val="TableParagraph"/>
              <w:rPr>
                <w:sz w:val="16"/>
              </w:rPr>
            </w:pPr>
          </w:p>
        </w:tc>
        <w:tc>
          <w:tcPr>
            <w:tcW w:w="1157" w:type="dxa"/>
            <w:gridSpan w:val="2"/>
            <w:tcBorders>
              <w:top w:val="single" w:sz="4" w:space="0" w:color="000000"/>
            </w:tcBorders>
          </w:tcPr>
          <w:p>
            <w:pPr>
              <w:pStyle w:val="TableParagraph"/>
              <w:rPr>
                <w:sz w:val="16"/>
              </w:rPr>
            </w:pPr>
          </w:p>
        </w:tc>
      </w:tr>
      <w:tr>
        <w:trPr>
          <w:trHeight w:val="255" w:hRule="atLeast"/>
        </w:trPr>
        <w:tc>
          <w:tcPr>
            <w:tcW w:w="5256" w:type="dxa"/>
            <w:shd w:val="clear" w:color="auto" w:fill="CCEDFF"/>
          </w:tcPr>
          <w:p>
            <w:pPr>
              <w:pStyle w:val="TableParagraph"/>
              <w:spacing w:before="18"/>
              <w:ind w:left="52"/>
              <w:rPr>
                <w:sz w:val="18"/>
              </w:rPr>
            </w:pPr>
            <w:r>
              <w:rPr>
                <w:sz w:val="18"/>
              </w:rPr>
              <w:t>U.S.</w:t>
            </w:r>
            <w:r>
              <w:rPr>
                <w:spacing w:val="-1"/>
                <w:sz w:val="18"/>
              </w:rPr>
              <w:t> </w:t>
            </w:r>
            <w:r>
              <w:rPr>
                <w:sz w:val="18"/>
              </w:rPr>
              <w:t>agency</w:t>
            </w:r>
            <w:r>
              <w:rPr>
                <w:spacing w:val="-1"/>
                <w:sz w:val="18"/>
              </w:rPr>
              <w:t> </w:t>
            </w:r>
            <w:r>
              <w:rPr>
                <w:sz w:val="18"/>
              </w:rPr>
              <w:t>mortgage-backed </w:t>
            </w:r>
            <w:r>
              <w:rPr>
                <w:spacing w:val="-2"/>
                <w:sz w:val="18"/>
              </w:rPr>
              <w:t>securities</w:t>
            </w:r>
          </w:p>
        </w:tc>
        <w:tc>
          <w:tcPr>
            <w:tcW w:w="672" w:type="dxa"/>
            <w:shd w:val="clear" w:color="auto" w:fill="CCEDFF"/>
          </w:tcPr>
          <w:p>
            <w:pPr>
              <w:pStyle w:val="TableParagraph"/>
              <w:spacing w:before="18"/>
              <w:ind w:right="128"/>
              <w:jc w:val="right"/>
              <w:rPr>
                <w:sz w:val="18"/>
              </w:rPr>
            </w:pPr>
            <w:r>
              <w:rPr>
                <w:spacing w:val="-10"/>
                <w:sz w:val="18"/>
              </w:rPr>
              <w:t>$</w:t>
            </w:r>
          </w:p>
        </w:tc>
        <w:tc>
          <w:tcPr>
            <w:tcW w:w="847" w:type="dxa"/>
            <w:shd w:val="clear" w:color="auto" w:fill="CCEDFF"/>
          </w:tcPr>
          <w:p>
            <w:pPr>
              <w:pStyle w:val="TableParagraph"/>
              <w:spacing w:before="18"/>
              <w:ind w:right="127"/>
              <w:jc w:val="right"/>
              <w:rPr>
                <w:sz w:val="18"/>
              </w:rPr>
            </w:pPr>
            <w:r>
              <w:rPr>
                <w:spacing w:val="-2"/>
                <w:sz w:val="18"/>
              </w:rPr>
              <w:t>85,994</w:t>
            </w:r>
          </w:p>
        </w:tc>
        <w:tc>
          <w:tcPr>
            <w:tcW w:w="502" w:type="dxa"/>
            <w:shd w:val="clear" w:color="auto" w:fill="CCEDFF"/>
          </w:tcPr>
          <w:p>
            <w:pPr>
              <w:pStyle w:val="TableParagraph"/>
              <w:spacing w:before="18"/>
              <w:ind w:left="72"/>
              <w:rPr>
                <w:sz w:val="18"/>
              </w:rPr>
            </w:pPr>
            <w:r>
              <w:rPr>
                <w:spacing w:val="-10"/>
                <w:sz w:val="18"/>
              </w:rPr>
              <w:t>$</w:t>
            </w:r>
          </w:p>
        </w:tc>
        <w:tc>
          <w:tcPr>
            <w:tcW w:w="622" w:type="dxa"/>
            <w:shd w:val="clear" w:color="auto" w:fill="CCEDFF"/>
          </w:tcPr>
          <w:p>
            <w:pPr>
              <w:pStyle w:val="TableParagraph"/>
              <w:spacing w:before="18"/>
              <w:ind w:right="96"/>
              <w:jc w:val="right"/>
              <w:rPr>
                <w:sz w:val="18"/>
              </w:rPr>
            </w:pPr>
            <w:r>
              <w:rPr>
                <w:spacing w:val="-10"/>
                <w:sz w:val="18"/>
              </w:rPr>
              <w:t>—</w:t>
            </w:r>
          </w:p>
        </w:tc>
        <w:tc>
          <w:tcPr>
            <w:tcW w:w="374" w:type="dxa"/>
            <w:shd w:val="clear" w:color="auto" w:fill="CCEDFF"/>
          </w:tcPr>
          <w:p>
            <w:pPr>
              <w:pStyle w:val="TableParagraph"/>
              <w:spacing w:before="18"/>
              <w:ind w:right="74"/>
              <w:jc w:val="center"/>
              <w:rPr>
                <w:sz w:val="18"/>
              </w:rPr>
            </w:pPr>
            <w:r>
              <w:rPr>
                <w:spacing w:val="-10"/>
                <w:sz w:val="18"/>
              </w:rPr>
              <w:t>$</w:t>
            </w:r>
          </w:p>
        </w:tc>
        <w:tc>
          <w:tcPr>
            <w:tcW w:w="809" w:type="dxa"/>
            <w:shd w:val="clear" w:color="auto" w:fill="CCEDFF"/>
          </w:tcPr>
          <w:p>
            <w:pPr>
              <w:pStyle w:val="TableParagraph"/>
              <w:spacing w:before="18"/>
              <w:ind w:right="124"/>
              <w:jc w:val="right"/>
              <w:rPr>
                <w:sz w:val="18"/>
              </w:rPr>
            </w:pPr>
            <w:r>
              <w:rPr>
                <w:spacing w:val="-2"/>
                <w:sz w:val="18"/>
              </w:rPr>
              <w:t>8,306</w:t>
            </w:r>
          </w:p>
        </w:tc>
        <w:tc>
          <w:tcPr>
            <w:tcW w:w="329" w:type="dxa"/>
            <w:shd w:val="clear" w:color="auto" w:fill="CCEDFF"/>
          </w:tcPr>
          <w:p>
            <w:pPr>
              <w:pStyle w:val="TableParagraph"/>
              <w:spacing w:before="18"/>
              <w:ind w:right="85"/>
              <w:jc w:val="center"/>
              <w:rPr>
                <w:sz w:val="18"/>
              </w:rPr>
            </w:pPr>
            <w:r>
              <w:rPr>
                <w:spacing w:val="-10"/>
                <w:sz w:val="18"/>
              </w:rPr>
              <w:t>$</w:t>
            </w:r>
          </w:p>
        </w:tc>
        <w:tc>
          <w:tcPr>
            <w:tcW w:w="828" w:type="dxa"/>
            <w:shd w:val="clear" w:color="auto" w:fill="CCEDFF"/>
          </w:tcPr>
          <w:p>
            <w:pPr>
              <w:pStyle w:val="TableParagraph"/>
              <w:spacing w:before="18"/>
              <w:ind w:right="66"/>
              <w:jc w:val="right"/>
              <w:rPr>
                <w:sz w:val="18"/>
              </w:rPr>
            </w:pPr>
            <w:r>
              <w:rPr>
                <w:spacing w:val="-2"/>
                <w:sz w:val="18"/>
              </w:rPr>
              <w:t>77,688</w:t>
            </w:r>
          </w:p>
        </w:tc>
      </w:tr>
      <w:tr>
        <w:trPr>
          <w:trHeight w:val="255" w:hRule="atLeast"/>
        </w:trPr>
        <w:tc>
          <w:tcPr>
            <w:tcW w:w="5256" w:type="dxa"/>
          </w:tcPr>
          <w:p>
            <w:pPr>
              <w:pStyle w:val="TableParagraph"/>
              <w:spacing w:before="18"/>
              <w:ind w:left="52"/>
              <w:rPr>
                <w:sz w:val="18"/>
              </w:rPr>
            </w:pPr>
            <w:r>
              <w:rPr>
                <w:sz w:val="18"/>
              </w:rPr>
              <w:t>U.S.</w:t>
            </w:r>
            <w:r>
              <w:rPr>
                <w:spacing w:val="-2"/>
                <w:sz w:val="18"/>
              </w:rPr>
              <w:t> </w:t>
            </w:r>
            <w:r>
              <w:rPr>
                <w:sz w:val="18"/>
              </w:rPr>
              <w:t>Treasury</w:t>
            </w:r>
            <w:r>
              <w:rPr>
                <w:spacing w:val="-1"/>
                <w:sz w:val="18"/>
              </w:rPr>
              <w:t> </w:t>
            </w:r>
            <w:r>
              <w:rPr>
                <w:spacing w:val="-2"/>
                <w:sz w:val="18"/>
              </w:rPr>
              <w:t>securities</w:t>
            </w:r>
          </w:p>
        </w:tc>
        <w:tc>
          <w:tcPr>
            <w:tcW w:w="672" w:type="dxa"/>
          </w:tcPr>
          <w:p>
            <w:pPr>
              <w:pStyle w:val="TableParagraph"/>
              <w:rPr>
                <w:sz w:val="16"/>
              </w:rPr>
            </w:pPr>
          </w:p>
        </w:tc>
        <w:tc>
          <w:tcPr>
            <w:tcW w:w="847" w:type="dxa"/>
          </w:tcPr>
          <w:p>
            <w:pPr>
              <w:pStyle w:val="TableParagraph"/>
              <w:spacing w:before="18"/>
              <w:ind w:right="127"/>
              <w:jc w:val="right"/>
              <w:rPr>
                <w:sz w:val="18"/>
              </w:rPr>
            </w:pPr>
            <w:r>
              <w:rPr>
                <w:spacing w:val="-2"/>
                <w:sz w:val="18"/>
              </w:rPr>
              <w:t>41,879</w:t>
            </w:r>
          </w:p>
        </w:tc>
        <w:tc>
          <w:tcPr>
            <w:tcW w:w="502" w:type="dxa"/>
          </w:tcPr>
          <w:p>
            <w:pPr>
              <w:pStyle w:val="TableParagraph"/>
              <w:rPr>
                <w:sz w:val="16"/>
              </w:rPr>
            </w:pPr>
          </w:p>
        </w:tc>
        <w:tc>
          <w:tcPr>
            <w:tcW w:w="622" w:type="dxa"/>
          </w:tcPr>
          <w:p>
            <w:pPr>
              <w:pStyle w:val="TableParagraph"/>
              <w:spacing w:before="18"/>
              <w:ind w:right="96"/>
              <w:jc w:val="right"/>
              <w:rPr>
                <w:sz w:val="18"/>
              </w:rPr>
            </w:pPr>
            <w:r>
              <w:rPr>
                <w:spacing w:val="-10"/>
                <w:sz w:val="18"/>
              </w:rPr>
              <w:t>—</w:t>
            </w:r>
          </w:p>
        </w:tc>
        <w:tc>
          <w:tcPr>
            <w:tcW w:w="374" w:type="dxa"/>
          </w:tcPr>
          <w:p>
            <w:pPr>
              <w:pStyle w:val="TableParagraph"/>
              <w:rPr>
                <w:sz w:val="16"/>
              </w:rPr>
            </w:pPr>
          </w:p>
        </w:tc>
        <w:tc>
          <w:tcPr>
            <w:tcW w:w="809" w:type="dxa"/>
          </w:tcPr>
          <w:p>
            <w:pPr>
              <w:pStyle w:val="TableParagraph"/>
              <w:spacing w:before="18"/>
              <w:ind w:right="124"/>
              <w:jc w:val="right"/>
              <w:rPr>
                <w:sz w:val="18"/>
              </w:rPr>
            </w:pPr>
            <w:r>
              <w:rPr>
                <w:spacing w:val="-2"/>
                <w:sz w:val="18"/>
              </w:rPr>
              <w:t>1,877</w:t>
            </w:r>
          </w:p>
        </w:tc>
        <w:tc>
          <w:tcPr>
            <w:tcW w:w="329" w:type="dxa"/>
          </w:tcPr>
          <w:p>
            <w:pPr>
              <w:pStyle w:val="TableParagraph"/>
              <w:rPr>
                <w:sz w:val="16"/>
              </w:rPr>
            </w:pPr>
          </w:p>
        </w:tc>
        <w:tc>
          <w:tcPr>
            <w:tcW w:w="828" w:type="dxa"/>
          </w:tcPr>
          <w:p>
            <w:pPr>
              <w:pStyle w:val="TableParagraph"/>
              <w:spacing w:before="18"/>
              <w:ind w:right="66"/>
              <w:jc w:val="right"/>
              <w:rPr>
                <w:sz w:val="18"/>
              </w:rPr>
            </w:pPr>
            <w:r>
              <w:rPr>
                <w:spacing w:val="-2"/>
                <w:sz w:val="18"/>
              </w:rPr>
              <w:t>40,002</w:t>
            </w:r>
          </w:p>
        </w:tc>
      </w:tr>
      <w:tr>
        <w:trPr>
          <w:trHeight w:val="255" w:hRule="atLeast"/>
        </w:trPr>
        <w:tc>
          <w:tcPr>
            <w:tcW w:w="5256" w:type="dxa"/>
            <w:shd w:val="clear" w:color="auto" w:fill="CCEDFF"/>
          </w:tcPr>
          <w:p>
            <w:pPr>
              <w:pStyle w:val="TableParagraph"/>
              <w:spacing w:before="18"/>
              <w:ind w:left="52"/>
              <w:rPr>
                <w:sz w:val="18"/>
              </w:rPr>
            </w:pPr>
            <w:r>
              <w:rPr>
                <w:sz w:val="18"/>
              </w:rPr>
              <w:t>Asset-backed</w:t>
            </w:r>
            <w:r>
              <w:rPr>
                <w:spacing w:val="-3"/>
                <w:sz w:val="18"/>
              </w:rPr>
              <w:t> </w:t>
            </w:r>
            <w:r>
              <w:rPr>
                <w:sz w:val="18"/>
              </w:rPr>
              <w:t>securities</w:t>
            </w:r>
            <w:r>
              <w:rPr>
                <w:spacing w:val="-3"/>
                <w:sz w:val="18"/>
              </w:rPr>
              <w:t> </w:t>
            </w:r>
            <w:r>
              <w:rPr>
                <w:spacing w:val="-5"/>
                <w:sz w:val="18"/>
                <w:vertAlign w:val="superscript"/>
              </w:rPr>
              <w:t>(1)</w:t>
            </w:r>
          </w:p>
        </w:tc>
        <w:tc>
          <w:tcPr>
            <w:tcW w:w="672" w:type="dxa"/>
            <w:shd w:val="clear" w:color="auto" w:fill="CCEDFF"/>
          </w:tcPr>
          <w:p>
            <w:pPr>
              <w:pStyle w:val="TableParagraph"/>
              <w:rPr>
                <w:sz w:val="16"/>
              </w:rPr>
            </w:pPr>
          </w:p>
        </w:tc>
        <w:tc>
          <w:tcPr>
            <w:tcW w:w="847" w:type="dxa"/>
            <w:shd w:val="clear" w:color="auto" w:fill="CCEDFF"/>
          </w:tcPr>
          <w:p>
            <w:pPr>
              <w:pStyle w:val="TableParagraph"/>
              <w:spacing w:before="18"/>
              <w:ind w:right="127"/>
              <w:jc w:val="right"/>
              <w:rPr>
                <w:sz w:val="18"/>
              </w:rPr>
            </w:pPr>
            <w:r>
              <w:rPr>
                <w:spacing w:val="-2"/>
                <w:sz w:val="18"/>
              </w:rPr>
              <w:t>13,672</w:t>
            </w:r>
          </w:p>
        </w:tc>
        <w:tc>
          <w:tcPr>
            <w:tcW w:w="502" w:type="dxa"/>
            <w:shd w:val="clear" w:color="auto" w:fill="CCEDFF"/>
          </w:tcPr>
          <w:p>
            <w:pPr>
              <w:pStyle w:val="TableParagraph"/>
              <w:rPr>
                <w:sz w:val="16"/>
              </w:rPr>
            </w:pPr>
          </w:p>
        </w:tc>
        <w:tc>
          <w:tcPr>
            <w:tcW w:w="622" w:type="dxa"/>
            <w:shd w:val="clear" w:color="auto" w:fill="CCEDFF"/>
          </w:tcPr>
          <w:p>
            <w:pPr>
              <w:pStyle w:val="TableParagraph"/>
              <w:spacing w:before="18"/>
              <w:ind w:right="96"/>
              <w:jc w:val="right"/>
              <w:rPr>
                <w:sz w:val="18"/>
              </w:rPr>
            </w:pPr>
            <w:r>
              <w:rPr>
                <w:spacing w:val="-10"/>
                <w:sz w:val="18"/>
              </w:rPr>
              <w:t>—</w:t>
            </w:r>
          </w:p>
        </w:tc>
        <w:tc>
          <w:tcPr>
            <w:tcW w:w="374" w:type="dxa"/>
            <w:shd w:val="clear" w:color="auto" w:fill="CCEDFF"/>
          </w:tcPr>
          <w:p>
            <w:pPr>
              <w:pStyle w:val="TableParagraph"/>
              <w:rPr>
                <w:sz w:val="16"/>
              </w:rPr>
            </w:pPr>
          </w:p>
        </w:tc>
        <w:tc>
          <w:tcPr>
            <w:tcW w:w="809" w:type="dxa"/>
            <w:shd w:val="clear" w:color="auto" w:fill="CCEDFF"/>
          </w:tcPr>
          <w:p>
            <w:pPr>
              <w:pStyle w:val="TableParagraph"/>
              <w:spacing w:before="18"/>
              <w:ind w:right="124"/>
              <w:jc w:val="right"/>
              <w:rPr>
                <w:sz w:val="18"/>
              </w:rPr>
            </w:pPr>
            <w:r>
              <w:rPr>
                <w:spacing w:val="-5"/>
                <w:sz w:val="18"/>
              </w:rPr>
              <w:t>649</w:t>
            </w:r>
          </w:p>
        </w:tc>
        <w:tc>
          <w:tcPr>
            <w:tcW w:w="329" w:type="dxa"/>
            <w:shd w:val="clear" w:color="auto" w:fill="CCEDFF"/>
          </w:tcPr>
          <w:p>
            <w:pPr>
              <w:pStyle w:val="TableParagraph"/>
              <w:rPr>
                <w:sz w:val="16"/>
              </w:rPr>
            </w:pPr>
          </w:p>
        </w:tc>
        <w:tc>
          <w:tcPr>
            <w:tcW w:w="828" w:type="dxa"/>
            <w:shd w:val="clear" w:color="auto" w:fill="CCEDFF"/>
          </w:tcPr>
          <w:p>
            <w:pPr>
              <w:pStyle w:val="TableParagraph"/>
              <w:spacing w:before="18"/>
              <w:ind w:right="66"/>
              <w:jc w:val="right"/>
              <w:rPr>
                <w:sz w:val="18"/>
              </w:rPr>
            </w:pPr>
            <w:r>
              <w:rPr>
                <w:spacing w:val="-2"/>
                <w:sz w:val="18"/>
              </w:rPr>
              <w:t>13,023</w:t>
            </w:r>
          </w:p>
        </w:tc>
      </w:tr>
      <w:tr>
        <w:trPr>
          <w:trHeight w:val="255" w:hRule="atLeast"/>
        </w:trPr>
        <w:tc>
          <w:tcPr>
            <w:tcW w:w="5256" w:type="dxa"/>
          </w:tcPr>
          <w:p>
            <w:pPr>
              <w:pStyle w:val="TableParagraph"/>
              <w:spacing w:before="18"/>
              <w:ind w:left="52"/>
              <w:rPr>
                <w:sz w:val="18"/>
              </w:rPr>
            </w:pPr>
            <w:r>
              <w:rPr>
                <w:sz w:val="18"/>
              </w:rPr>
              <w:t>Corporate</w:t>
            </w:r>
            <w:r>
              <w:rPr>
                <w:spacing w:val="-1"/>
                <w:sz w:val="18"/>
              </w:rPr>
              <w:t> </w:t>
            </w:r>
            <w:r>
              <w:rPr>
                <w:sz w:val="18"/>
              </w:rPr>
              <w:t>debt securities</w:t>
            </w:r>
            <w:r>
              <w:rPr>
                <w:spacing w:val="-2"/>
                <w:sz w:val="18"/>
              </w:rPr>
              <w:t> </w:t>
            </w:r>
            <w:r>
              <w:rPr>
                <w:spacing w:val="-5"/>
                <w:sz w:val="18"/>
                <w:vertAlign w:val="superscript"/>
              </w:rPr>
              <w:t>(2)</w:t>
            </w:r>
          </w:p>
        </w:tc>
        <w:tc>
          <w:tcPr>
            <w:tcW w:w="672" w:type="dxa"/>
          </w:tcPr>
          <w:p>
            <w:pPr>
              <w:pStyle w:val="TableParagraph"/>
              <w:rPr>
                <w:sz w:val="16"/>
              </w:rPr>
            </w:pPr>
          </w:p>
        </w:tc>
        <w:tc>
          <w:tcPr>
            <w:tcW w:w="847" w:type="dxa"/>
          </w:tcPr>
          <w:p>
            <w:pPr>
              <w:pStyle w:val="TableParagraph"/>
              <w:spacing w:before="18"/>
              <w:ind w:right="127"/>
              <w:jc w:val="right"/>
              <w:rPr>
                <w:sz w:val="18"/>
              </w:rPr>
            </w:pPr>
            <w:r>
              <w:rPr>
                <w:spacing w:val="-2"/>
                <w:sz w:val="18"/>
              </w:rPr>
              <w:t>13,830</w:t>
            </w:r>
          </w:p>
        </w:tc>
        <w:tc>
          <w:tcPr>
            <w:tcW w:w="502" w:type="dxa"/>
          </w:tcPr>
          <w:p>
            <w:pPr>
              <w:pStyle w:val="TableParagraph"/>
              <w:rPr>
                <w:sz w:val="16"/>
              </w:rPr>
            </w:pPr>
          </w:p>
        </w:tc>
        <w:tc>
          <w:tcPr>
            <w:tcW w:w="622" w:type="dxa"/>
          </w:tcPr>
          <w:p>
            <w:pPr>
              <w:pStyle w:val="TableParagraph"/>
              <w:spacing w:before="18"/>
              <w:ind w:right="96"/>
              <w:jc w:val="right"/>
              <w:rPr>
                <w:sz w:val="18"/>
              </w:rPr>
            </w:pPr>
            <w:r>
              <w:rPr>
                <w:spacing w:val="-10"/>
                <w:sz w:val="18"/>
              </w:rPr>
              <w:t>—</w:t>
            </w:r>
          </w:p>
        </w:tc>
        <w:tc>
          <w:tcPr>
            <w:tcW w:w="374" w:type="dxa"/>
          </w:tcPr>
          <w:p>
            <w:pPr>
              <w:pStyle w:val="TableParagraph"/>
              <w:rPr>
                <w:sz w:val="16"/>
              </w:rPr>
            </w:pPr>
          </w:p>
        </w:tc>
        <w:tc>
          <w:tcPr>
            <w:tcW w:w="809" w:type="dxa"/>
          </w:tcPr>
          <w:p>
            <w:pPr>
              <w:pStyle w:val="TableParagraph"/>
              <w:spacing w:before="18"/>
              <w:ind w:right="124"/>
              <w:jc w:val="right"/>
              <w:rPr>
                <w:sz w:val="18"/>
              </w:rPr>
            </w:pPr>
            <w:r>
              <w:rPr>
                <w:spacing w:val="-2"/>
                <w:sz w:val="18"/>
              </w:rPr>
              <w:t>1,275</w:t>
            </w:r>
          </w:p>
        </w:tc>
        <w:tc>
          <w:tcPr>
            <w:tcW w:w="329" w:type="dxa"/>
          </w:tcPr>
          <w:p>
            <w:pPr>
              <w:pStyle w:val="TableParagraph"/>
              <w:rPr>
                <w:sz w:val="16"/>
              </w:rPr>
            </w:pPr>
          </w:p>
        </w:tc>
        <w:tc>
          <w:tcPr>
            <w:tcW w:w="828" w:type="dxa"/>
          </w:tcPr>
          <w:p>
            <w:pPr>
              <w:pStyle w:val="TableParagraph"/>
              <w:spacing w:before="18"/>
              <w:ind w:right="66"/>
              <w:jc w:val="right"/>
              <w:rPr>
                <w:sz w:val="18"/>
              </w:rPr>
            </w:pPr>
            <w:r>
              <w:rPr>
                <w:spacing w:val="-2"/>
                <w:sz w:val="18"/>
              </w:rPr>
              <w:t>12,555</w:t>
            </w:r>
          </w:p>
        </w:tc>
      </w:tr>
      <w:tr>
        <w:trPr>
          <w:trHeight w:val="255" w:hRule="atLeast"/>
        </w:trPr>
        <w:tc>
          <w:tcPr>
            <w:tcW w:w="5256" w:type="dxa"/>
            <w:shd w:val="clear" w:color="auto" w:fill="CCEDFF"/>
          </w:tcPr>
          <w:p>
            <w:pPr>
              <w:pStyle w:val="TableParagraph"/>
              <w:spacing w:before="18"/>
              <w:ind w:left="52"/>
              <w:rPr>
                <w:sz w:val="18"/>
              </w:rPr>
            </w:pPr>
            <w:r>
              <w:rPr>
                <w:sz w:val="18"/>
              </w:rPr>
              <w:t>Certificates</w:t>
            </w:r>
            <w:r>
              <w:rPr>
                <w:spacing w:val="-1"/>
                <w:sz w:val="18"/>
              </w:rPr>
              <w:t> </w:t>
            </w:r>
            <w:r>
              <w:rPr>
                <w:sz w:val="18"/>
              </w:rPr>
              <w:t>of </w:t>
            </w:r>
            <w:r>
              <w:rPr>
                <w:spacing w:val="-2"/>
                <w:sz w:val="18"/>
              </w:rPr>
              <w:t>deposit</w:t>
            </w:r>
          </w:p>
        </w:tc>
        <w:tc>
          <w:tcPr>
            <w:tcW w:w="672" w:type="dxa"/>
            <w:shd w:val="clear" w:color="auto" w:fill="CCEDFF"/>
          </w:tcPr>
          <w:p>
            <w:pPr>
              <w:pStyle w:val="TableParagraph"/>
              <w:rPr>
                <w:sz w:val="16"/>
              </w:rPr>
            </w:pPr>
          </w:p>
        </w:tc>
        <w:tc>
          <w:tcPr>
            <w:tcW w:w="847" w:type="dxa"/>
            <w:shd w:val="clear" w:color="auto" w:fill="CCEDFF"/>
          </w:tcPr>
          <w:p>
            <w:pPr>
              <w:pStyle w:val="TableParagraph"/>
              <w:spacing w:before="18"/>
              <w:ind w:right="127"/>
              <w:jc w:val="right"/>
              <w:rPr>
                <w:sz w:val="18"/>
              </w:rPr>
            </w:pPr>
            <w:r>
              <w:rPr>
                <w:spacing w:val="-2"/>
                <w:sz w:val="18"/>
              </w:rPr>
              <w:t>2,245</w:t>
            </w:r>
          </w:p>
        </w:tc>
        <w:tc>
          <w:tcPr>
            <w:tcW w:w="502" w:type="dxa"/>
            <w:shd w:val="clear" w:color="auto" w:fill="CCEDFF"/>
          </w:tcPr>
          <w:p>
            <w:pPr>
              <w:pStyle w:val="TableParagraph"/>
              <w:rPr>
                <w:sz w:val="16"/>
              </w:rPr>
            </w:pPr>
          </w:p>
        </w:tc>
        <w:tc>
          <w:tcPr>
            <w:tcW w:w="622" w:type="dxa"/>
            <w:shd w:val="clear" w:color="auto" w:fill="CCEDFF"/>
          </w:tcPr>
          <w:p>
            <w:pPr>
              <w:pStyle w:val="TableParagraph"/>
              <w:spacing w:before="18"/>
              <w:ind w:right="96"/>
              <w:jc w:val="right"/>
              <w:rPr>
                <w:sz w:val="18"/>
              </w:rPr>
            </w:pPr>
            <w:r>
              <w:rPr>
                <w:spacing w:val="-10"/>
                <w:sz w:val="18"/>
              </w:rPr>
              <w:t>—</w:t>
            </w:r>
          </w:p>
        </w:tc>
        <w:tc>
          <w:tcPr>
            <w:tcW w:w="374" w:type="dxa"/>
            <w:shd w:val="clear" w:color="auto" w:fill="CCEDFF"/>
          </w:tcPr>
          <w:p>
            <w:pPr>
              <w:pStyle w:val="TableParagraph"/>
              <w:rPr>
                <w:sz w:val="16"/>
              </w:rPr>
            </w:pPr>
          </w:p>
        </w:tc>
        <w:tc>
          <w:tcPr>
            <w:tcW w:w="809" w:type="dxa"/>
            <w:shd w:val="clear" w:color="auto" w:fill="CCEDFF"/>
          </w:tcPr>
          <w:p>
            <w:pPr>
              <w:pStyle w:val="TableParagraph"/>
              <w:spacing w:before="18"/>
              <w:ind w:right="124"/>
              <w:jc w:val="right"/>
              <w:rPr>
                <w:sz w:val="18"/>
              </w:rPr>
            </w:pPr>
            <w:r>
              <w:rPr>
                <w:spacing w:val="-5"/>
                <w:sz w:val="18"/>
              </w:rPr>
              <w:t>14</w:t>
            </w:r>
          </w:p>
        </w:tc>
        <w:tc>
          <w:tcPr>
            <w:tcW w:w="329" w:type="dxa"/>
            <w:shd w:val="clear" w:color="auto" w:fill="CCEDFF"/>
          </w:tcPr>
          <w:p>
            <w:pPr>
              <w:pStyle w:val="TableParagraph"/>
              <w:rPr>
                <w:sz w:val="16"/>
              </w:rPr>
            </w:pPr>
          </w:p>
        </w:tc>
        <w:tc>
          <w:tcPr>
            <w:tcW w:w="828" w:type="dxa"/>
            <w:shd w:val="clear" w:color="auto" w:fill="CCEDFF"/>
          </w:tcPr>
          <w:p>
            <w:pPr>
              <w:pStyle w:val="TableParagraph"/>
              <w:spacing w:before="18"/>
              <w:ind w:right="66"/>
              <w:jc w:val="right"/>
              <w:rPr>
                <w:sz w:val="18"/>
              </w:rPr>
            </w:pPr>
            <w:r>
              <w:rPr>
                <w:spacing w:val="-2"/>
                <w:sz w:val="18"/>
              </w:rPr>
              <w:t>2,231</w:t>
            </w:r>
          </w:p>
        </w:tc>
      </w:tr>
      <w:tr>
        <w:trPr>
          <w:trHeight w:val="255" w:hRule="atLeast"/>
        </w:trPr>
        <w:tc>
          <w:tcPr>
            <w:tcW w:w="5256" w:type="dxa"/>
          </w:tcPr>
          <w:p>
            <w:pPr>
              <w:pStyle w:val="TableParagraph"/>
              <w:spacing w:before="18"/>
              <w:ind w:left="52"/>
              <w:rPr>
                <w:sz w:val="18"/>
              </w:rPr>
            </w:pPr>
            <w:r>
              <w:rPr>
                <w:sz w:val="18"/>
              </w:rPr>
              <w:t>Foreign</w:t>
            </w:r>
            <w:r>
              <w:rPr>
                <w:spacing w:val="-1"/>
                <w:sz w:val="18"/>
              </w:rPr>
              <w:t> </w:t>
            </w:r>
            <w:r>
              <w:rPr>
                <w:sz w:val="18"/>
              </w:rPr>
              <w:t>government agency </w:t>
            </w:r>
            <w:r>
              <w:rPr>
                <w:spacing w:val="-2"/>
                <w:sz w:val="18"/>
              </w:rPr>
              <w:t>securities</w:t>
            </w:r>
          </w:p>
        </w:tc>
        <w:tc>
          <w:tcPr>
            <w:tcW w:w="672" w:type="dxa"/>
          </w:tcPr>
          <w:p>
            <w:pPr>
              <w:pStyle w:val="TableParagraph"/>
              <w:rPr>
                <w:sz w:val="16"/>
              </w:rPr>
            </w:pPr>
          </w:p>
        </w:tc>
        <w:tc>
          <w:tcPr>
            <w:tcW w:w="847" w:type="dxa"/>
          </w:tcPr>
          <w:p>
            <w:pPr>
              <w:pStyle w:val="TableParagraph"/>
              <w:spacing w:before="18"/>
              <w:ind w:right="127"/>
              <w:jc w:val="right"/>
              <w:rPr>
                <w:sz w:val="18"/>
              </w:rPr>
            </w:pPr>
            <w:r>
              <w:rPr>
                <w:spacing w:val="-2"/>
                <w:sz w:val="18"/>
              </w:rPr>
              <w:t>1,033</w:t>
            </w:r>
          </w:p>
        </w:tc>
        <w:tc>
          <w:tcPr>
            <w:tcW w:w="502" w:type="dxa"/>
          </w:tcPr>
          <w:p>
            <w:pPr>
              <w:pStyle w:val="TableParagraph"/>
              <w:rPr>
                <w:sz w:val="16"/>
              </w:rPr>
            </w:pPr>
          </w:p>
        </w:tc>
        <w:tc>
          <w:tcPr>
            <w:tcW w:w="622" w:type="dxa"/>
          </w:tcPr>
          <w:p>
            <w:pPr>
              <w:pStyle w:val="TableParagraph"/>
              <w:spacing w:before="18"/>
              <w:ind w:right="96"/>
              <w:jc w:val="right"/>
              <w:rPr>
                <w:sz w:val="18"/>
              </w:rPr>
            </w:pPr>
            <w:r>
              <w:rPr>
                <w:spacing w:val="-10"/>
                <w:sz w:val="18"/>
              </w:rPr>
              <w:t>—</w:t>
            </w:r>
          </w:p>
        </w:tc>
        <w:tc>
          <w:tcPr>
            <w:tcW w:w="374" w:type="dxa"/>
          </w:tcPr>
          <w:p>
            <w:pPr>
              <w:pStyle w:val="TableParagraph"/>
              <w:rPr>
                <w:sz w:val="16"/>
              </w:rPr>
            </w:pPr>
          </w:p>
        </w:tc>
        <w:tc>
          <w:tcPr>
            <w:tcW w:w="809" w:type="dxa"/>
          </w:tcPr>
          <w:p>
            <w:pPr>
              <w:pStyle w:val="TableParagraph"/>
              <w:spacing w:before="18"/>
              <w:ind w:right="124"/>
              <w:jc w:val="right"/>
              <w:rPr>
                <w:sz w:val="18"/>
              </w:rPr>
            </w:pPr>
            <w:r>
              <w:rPr>
                <w:spacing w:val="-5"/>
                <w:sz w:val="18"/>
              </w:rPr>
              <w:t>64</w:t>
            </w:r>
          </w:p>
        </w:tc>
        <w:tc>
          <w:tcPr>
            <w:tcW w:w="329" w:type="dxa"/>
          </w:tcPr>
          <w:p>
            <w:pPr>
              <w:pStyle w:val="TableParagraph"/>
              <w:rPr>
                <w:sz w:val="16"/>
              </w:rPr>
            </w:pPr>
          </w:p>
        </w:tc>
        <w:tc>
          <w:tcPr>
            <w:tcW w:w="828" w:type="dxa"/>
          </w:tcPr>
          <w:p>
            <w:pPr>
              <w:pStyle w:val="TableParagraph"/>
              <w:spacing w:before="18"/>
              <w:ind w:right="66"/>
              <w:jc w:val="right"/>
              <w:rPr>
                <w:sz w:val="18"/>
              </w:rPr>
            </w:pPr>
            <w:r>
              <w:rPr>
                <w:spacing w:val="-5"/>
                <w:sz w:val="18"/>
              </w:rPr>
              <w:t>969</w:t>
            </w:r>
          </w:p>
        </w:tc>
      </w:tr>
      <w:tr>
        <w:trPr>
          <w:trHeight w:val="255" w:hRule="atLeast"/>
        </w:trPr>
        <w:tc>
          <w:tcPr>
            <w:tcW w:w="5256" w:type="dxa"/>
            <w:shd w:val="clear" w:color="auto" w:fill="CCEDFF"/>
          </w:tcPr>
          <w:p>
            <w:pPr>
              <w:pStyle w:val="TableParagraph"/>
              <w:spacing w:before="18"/>
              <w:ind w:left="52"/>
              <w:rPr>
                <w:sz w:val="18"/>
              </w:rPr>
            </w:pPr>
            <w:r>
              <w:rPr>
                <w:sz w:val="18"/>
              </w:rPr>
              <w:t>U.S.</w:t>
            </w:r>
            <w:r>
              <w:rPr>
                <w:spacing w:val="-1"/>
                <w:sz w:val="18"/>
              </w:rPr>
              <w:t> </w:t>
            </w:r>
            <w:r>
              <w:rPr>
                <w:sz w:val="18"/>
              </w:rPr>
              <w:t>state</w:t>
            </w:r>
            <w:r>
              <w:rPr>
                <w:spacing w:val="-1"/>
                <w:sz w:val="18"/>
              </w:rPr>
              <w:t> </w:t>
            </w:r>
            <w:r>
              <w:rPr>
                <w:sz w:val="18"/>
              </w:rPr>
              <w:t>and</w:t>
            </w:r>
            <w:r>
              <w:rPr>
                <w:spacing w:val="-1"/>
                <w:sz w:val="18"/>
              </w:rPr>
              <w:t> </w:t>
            </w:r>
            <w:r>
              <w:rPr>
                <w:sz w:val="18"/>
              </w:rPr>
              <w:t>municipal </w:t>
            </w:r>
            <w:r>
              <w:rPr>
                <w:spacing w:val="-2"/>
                <w:sz w:val="18"/>
              </w:rPr>
              <w:t>securities</w:t>
            </w:r>
          </w:p>
        </w:tc>
        <w:tc>
          <w:tcPr>
            <w:tcW w:w="672" w:type="dxa"/>
            <w:shd w:val="clear" w:color="auto" w:fill="CCEDFF"/>
          </w:tcPr>
          <w:p>
            <w:pPr>
              <w:pStyle w:val="TableParagraph"/>
              <w:rPr>
                <w:sz w:val="16"/>
              </w:rPr>
            </w:pPr>
          </w:p>
        </w:tc>
        <w:tc>
          <w:tcPr>
            <w:tcW w:w="847" w:type="dxa"/>
            <w:shd w:val="clear" w:color="auto" w:fill="CCEDFF"/>
          </w:tcPr>
          <w:p>
            <w:pPr>
              <w:pStyle w:val="TableParagraph"/>
              <w:spacing w:before="18"/>
              <w:ind w:right="127"/>
              <w:jc w:val="right"/>
              <w:rPr>
                <w:sz w:val="18"/>
              </w:rPr>
            </w:pPr>
            <w:r>
              <w:rPr>
                <w:spacing w:val="-5"/>
                <w:sz w:val="18"/>
              </w:rPr>
              <w:t>713</w:t>
            </w:r>
          </w:p>
        </w:tc>
        <w:tc>
          <w:tcPr>
            <w:tcW w:w="502" w:type="dxa"/>
            <w:shd w:val="clear" w:color="auto" w:fill="CCEDFF"/>
          </w:tcPr>
          <w:p>
            <w:pPr>
              <w:pStyle w:val="TableParagraph"/>
              <w:rPr>
                <w:sz w:val="16"/>
              </w:rPr>
            </w:pPr>
          </w:p>
        </w:tc>
        <w:tc>
          <w:tcPr>
            <w:tcW w:w="622" w:type="dxa"/>
            <w:shd w:val="clear" w:color="auto" w:fill="CCEDFF"/>
          </w:tcPr>
          <w:p>
            <w:pPr>
              <w:pStyle w:val="TableParagraph"/>
              <w:spacing w:before="18"/>
              <w:ind w:right="96"/>
              <w:jc w:val="right"/>
              <w:rPr>
                <w:sz w:val="18"/>
              </w:rPr>
            </w:pPr>
            <w:r>
              <w:rPr>
                <w:spacing w:val="-10"/>
                <w:sz w:val="18"/>
              </w:rPr>
              <w:t>—</w:t>
            </w:r>
          </w:p>
        </w:tc>
        <w:tc>
          <w:tcPr>
            <w:tcW w:w="374" w:type="dxa"/>
            <w:shd w:val="clear" w:color="auto" w:fill="CCEDFF"/>
          </w:tcPr>
          <w:p>
            <w:pPr>
              <w:pStyle w:val="TableParagraph"/>
              <w:rPr>
                <w:sz w:val="16"/>
              </w:rPr>
            </w:pPr>
          </w:p>
        </w:tc>
        <w:tc>
          <w:tcPr>
            <w:tcW w:w="809" w:type="dxa"/>
            <w:shd w:val="clear" w:color="auto" w:fill="CCEDFF"/>
          </w:tcPr>
          <w:p>
            <w:pPr>
              <w:pStyle w:val="TableParagraph"/>
              <w:spacing w:before="18"/>
              <w:ind w:right="124"/>
              <w:jc w:val="right"/>
              <w:rPr>
                <w:sz w:val="18"/>
              </w:rPr>
            </w:pPr>
            <w:r>
              <w:rPr>
                <w:spacing w:val="-5"/>
                <w:sz w:val="18"/>
              </w:rPr>
              <w:t>75</w:t>
            </w:r>
          </w:p>
        </w:tc>
        <w:tc>
          <w:tcPr>
            <w:tcW w:w="329" w:type="dxa"/>
            <w:shd w:val="clear" w:color="auto" w:fill="CCEDFF"/>
          </w:tcPr>
          <w:p>
            <w:pPr>
              <w:pStyle w:val="TableParagraph"/>
              <w:rPr>
                <w:sz w:val="16"/>
              </w:rPr>
            </w:pPr>
          </w:p>
        </w:tc>
        <w:tc>
          <w:tcPr>
            <w:tcW w:w="828" w:type="dxa"/>
            <w:shd w:val="clear" w:color="auto" w:fill="CCEDFF"/>
          </w:tcPr>
          <w:p>
            <w:pPr>
              <w:pStyle w:val="TableParagraph"/>
              <w:spacing w:before="18"/>
              <w:ind w:right="66"/>
              <w:jc w:val="right"/>
              <w:rPr>
                <w:sz w:val="18"/>
              </w:rPr>
            </w:pPr>
            <w:r>
              <w:rPr>
                <w:spacing w:val="-5"/>
                <w:sz w:val="18"/>
              </w:rPr>
              <w:t>638</w:t>
            </w:r>
          </w:p>
        </w:tc>
      </w:tr>
      <w:tr>
        <w:trPr>
          <w:trHeight w:val="255" w:hRule="atLeast"/>
        </w:trPr>
        <w:tc>
          <w:tcPr>
            <w:tcW w:w="5256" w:type="dxa"/>
          </w:tcPr>
          <w:p>
            <w:pPr>
              <w:pStyle w:val="TableParagraph"/>
              <w:spacing w:before="18"/>
              <w:ind w:left="52"/>
              <w:rPr>
                <w:sz w:val="18"/>
              </w:rPr>
            </w:pPr>
            <w:r>
              <w:rPr>
                <w:sz w:val="18"/>
              </w:rPr>
              <w:t>Non-agency</w:t>
            </w:r>
            <w:r>
              <w:rPr>
                <w:spacing w:val="-1"/>
                <w:sz w:val="18"/>
              </w:rPr>
              <w:t> </w:t>
            </w:r>
            <w:r>
              <w:rPr>
                <w:sz w:val="18"/>
              </w:rPr>
              <w:t>commercial mortgage-backed </w:t>
            </w:r>
            <w:r>
              <w:rPr>
                <w:spacing w:val="-2"/>
                <w:sz w:val="18"/>
              </w:rPr>
              <w:t>securities</w:t>
            </w:r>
          </w:p>
        </w:tc>
        <w:tc>
          <w:tcPr>
            <w:tcW w:w="672" w:type="dxa"/>
          </w:tcPr>
          <w:p>
            <w:pPr>
              <w:pStyle w:val="TableParagraph"/>
              <w:rPr>
                <w:sz w:val="16"/>
              </w:rPr>
            </w:pPr>
          </w:p>
        </w:tc>
        <w:tc>
          <w:tcPr>
            <w:tcW w:w="847" w:type="dxa"/>
          </w:tcPr>
          <w:p>
            <w:pPr>
              <w:pStyle w:val="TableParagraph"/>
              <w:spacing w:before="18"/>
              <w:ind w:right="127"/>
              <w:jc w:val="right"/>
              <w:rPr>
                <w:sz w:val="18"/>
              </w:rPr>
            </w:pPr>
            <w:r>
              <w:rPr>
                <w:spacing w:val="-5"/>
                <w:sz w:val="18"/>
              </w:rPr>
              <w:t>473</w:t>
            </w:r>
          </w:p>
        </w:tc>
        <w:tc>
          <w:tcPr>
            <w:tcW w:w="502" w:type="dxa"/>
          </w:tcPr>
          <w:p>
            <w:pPr>
              <w:pStyle w:val="TableParagraph"/>
              <w:rPr>
                <w:sz w:val="16"/>
              </w:rPr>
            </w:pPr>
          </w:p>
        </w:tc>
        <w:tc>
          <w:tcPr>
            <w:tcW w:w="622" w:type="dxa"/>
          </w:tcPr>
          <w:p>
            <w:pPr>
              <w:pStyle w:val="TableParagraph"/>
              <w:spacing w:before="18"/>
              <w:ind w:right="96"/>
              <w:jc w:val="right"/>
              <w:rPr>
                <w:sz w:val="18"/>
              </w:rPr>
            </w:pPr>
            <w:r>
              <w:rPr>
                <w:spacing w:val="-10"/>
                <w:sz w:val="18"/>
              </w:rPr>
              <w:t>—</w:t>
            </w:r>
          </w:p>
        </w:tc>
        <w:tc>
          <w:tcPr>
            <w:tcW w:w="374" w:type="dxa"/>
          </w:tcPr>
          <w:p>
            <w:pPr>
              <w:pStyle w:val="TableParagraph"/>
              <w:rPr>
                <w:sz w:val="16"/>
              </w:rPr>
            </w:pPr>
          </w:p>
        </w:tc>
        <w:tc>
          <w:tcPr>
            <w:tcW w:w="809" w:type="dxa"/>
          </w:tcPr>
          <w:p>
            <w:pPr>
              <w:pStyle w:val="TableParagraph"/>
              <w:spacing w:before="18"/>
              <w:ind w:right="124"/>
              <w:jc w:val="right"/>
              <w:rPr>
                <w:sz w:val="18"/>
              </w:rPr>
            </w:pPr>
            <w:r>
              <w:rPr>
                <w:spacing w:val="-5"/>
                <w:sz w:val="18"/>
              </w:rPr>
              <w:t>23</w:t>
            </w:r>
          </w:p>
        </w:tc>
        <w:tc>
          <w:tcPr>
            <w:tcW w:w="329" w:type="dxa"/>
          </w:tcPr>
          <w:p>
            <w:pPr>
              <w:pStyle w:val="TableParagraph"/>
              <w:rPr>
                <w:sz w:val="16"/>
              </w:rPr>
            </w:pPr>
          </w:p>
        </w:tc>
        <w:tc>
          <w:tcPr>
            <w:tcW w:w="828" w:type="dxa"/>
          </w:tcPr>
          <w:p>
            <w:pPr>
              <w:pStyle w:val="TableParagraph"/>
              <w:spacing w:before="18"/>
              <w:ind w:right="66"/>
              <w:jc w:val="right"/>
              <w:rPr>
                <w:sz w:val="18"/>
              </w:rPr>
            </w:pPr>
            <w:r>
              <w:rPr>
                <w:spacing w:val="-5"/>
                <w:sz w:val="18"/>
              </w:rPr>
              <w:t>450</w:t>
            </w:r>
          </w:p>
        </w:tc>
      </w:tr>
      <w:tr>
        <w:trPr>
          <w:trHeight w:val="250" w:hRule="atLeast"/>
        </w:trPr>
        <w:tc>
          <w:tcPr>
            <w:tcW w:w="5256" w:type="dxa"/>
            <w:tcBorders>
              <w:bottom w:val="single" w:sz="4" w:space="0" w:color="000000"/>
            </w:tcBorders>
            <w:shd w:val="clear" w:color="auto" w:fill="CCEDFF"/>
          </w:tcPr>
          <w:p>
            <w:pPr>
              <w:pStyle w:val="TableParagraph"/>
              <w:spacing w:before="18"/>
              <w:ind w:left="52"/>
              <w:rPr>
                <w:sz w:val="18"/>
              </w:rPr>
            </w:pPr>
            <w:r>
              <w:rPr>
                <w:spacing w:val="-2"/>
                <w:sz w:val="18"/>
              </w:rPr>
              <w:t>Other</w:t>
            </w:r>
          </w:p>
        </w:tc>
        <w:tc>
          <w:tcPr>
            <w:tcW w:w="672" w:type="dxa"/>
            <w:tcBorders>
              <w:bottom w:val="single" w:sz="4" w:space="0" w:color="000000"/>
            </w:tcBorders>
            <w:shd w:val="clear" w:color="auto" w:fill="CCEDFF"/>
          </w:tcPr>
          <w:p>
            <w:pPr>
              <w:pStyle w:val="TableParagraph"/>
              <w:rPr>
                <w:sz w:val="16"/>
              </w:rPr>
            </w:pPr>
          </w:p>
        </w:tc>
        <w:tc>
          <w:tcPr>
            <w:tcW w:w="847" w:type="dxa"/>
            <w:tcBorders>
              <w:bottom w:val="single" w:sz="4" w:space="0" w:color="000000"/>
            </w:tcBorders>
            <w:shd w:val="clear" w:color="auto" w:fill="CCEDFF"/>
          </w:tcPr>
          <w:p>
            <w:pPr>
              <w:pStyle w:val="TableParagraph"/>
              <w:spacing w:before="18"/>
              <w:ind w:right="127"/>
              <w:jc w:val="right"/>
              <w:rPr>
                <w:sz w:val="18"/>
              </w:rPr>
            </w:pPr>
            <w:r>
              <w:rPr>
                <w:spacing w:val="-5"/>
                <w:sz w:val="18"/>
              </w:rPr>
              <w:t>323</w:t>
            </w:r>
          </w:p>
        </w:tc>
        <w:tc>
          <w:tcPr>
            <w:tcW w:w="502" w:type="dxa"/>
            <w:tcBorders>
              <w:bottom w:val="single" w:sz="4" w:space="0" w:color="000000"/>
            </w:tcBorders>
            <w:shd w:val="clear" w:color="auto" w:fill="CCEDFF"/>
          </w:tcPr>
          <w:p>
            <w:pPr>
              <w:pStyle w:val="TableParagraph"/>
              <w:rPr>
                <w:sz w:val="16"/>
              </w:rPr>
            </w:pPr>
          </w:p>
        </w:tc>
        <w:tc>
          <w:tcPr>
            <w:tcW w:w="622" w:type="dxa"/>
            <w:tcBorders>
              <w:bottom w:val="single" w:sz="4" w:space="0" w:color="000000"/>
            </w:tcBorders>
            <w:shd w:val="clear" w:color="auto" w:fill="CCEDFF"/>
          </w:tcPr>
          <w:p>
            <w:pPr>
              <w:pStyle w:val="TableParagraph"/>
              <w:spacing w:before="18"/>
              <w:ind w:right="96"/>
              <w:jc w:val="right"/>
              <w:rPr>
                <w:sz w:val="18"/>
              </w:rPr>
            </w:pPr>
            <w:r>
              <w:rPr>
                <w:spacing w:val="-10"/>
                <w:sz w:val="18"/>
              </w:rPr>
              <w:t>—</w:t>
            </w:r>
          </w:p>
        </w:tc>
        <w:tc>
          <w:tcPr>
            <w:tcW w:w="374" w:type="dxa"/>
            <w:tcBorders>
              <w:bottom w:val="single" w:sz="4" w:space="0" w:color="000000"/>
            </w:tcBorders>
            <w:shd w:val="clear" w:color="auto" w:fill="CCEDFF"/>
          </w:tcPr>
          <w:p>
            <w:pPr>
              <w:pStyle w:val="TableParagraph"/>
              <w:rPr>
                <w:sz w:val="16"/>
              </w:rPr>
            </w:pPr>
          </w:p>
        </w:tc>
        <w:tc>
          <w:tcPr>
            <w:tcW w:w="809" w:type="dxa"/>
            <w:tcBorders>
              <w:bottom w:val="single" w:sz="4" w:space="0" w:color="000000"/>
            </w:tcBorders>
            <w:shd w:val="clear" w:color="auto" w:fill="CCEDFF"/>
          </w:tcPr>
          <w:p>
            <w:pPr>
              <w:pStyle w:val="TableParagraph"/>
              <w:spacing w:before="18"/>
              <w:ind w:right="124"/>
              <w:jc w:val="right"/>
              <w:rPr>
                <w:sz w:val="18"/>
              </w:rPr>
            </w:pPr>
            <w:r>
              <w:rPr>
                <w:spacing w:val="-10"/>
                <w:sz w:val="18"/>
              </w:rPr>
              <w:t>8</w:t>
            </w:r>
          </w:p>
        </w:tc>
        <w:tc>
          <w:tcPr>
            <w:tcW w:w="329" w:type="dxa"/>
            <w:tcBorders>
              <w:bottom w:val="single" w:sz="4" w:space="0" w:color="000000"/>
            </w:tcBorders>
            <w:shd w:val="clear" w:color="auto" w:fill="CCEDFF"/>
          </w:tcPr>
          <w:p>
            <w:pPr>
              <w:pStyle w:val="TableParagraph"/>
              <w:rPr>
                <w:sz w:val="16"/>
              </w:rPr>
            </w:pPr>
          </w:p>
        </w:tc>
        <w:tc>
          <w:tcPr>
            <w:tcW w:w="828" w:type="dxa"/>
            <w:tcBorders>
              <w:bottom w:val="single" w:sz="4" w:space="0" w:color="000000"/>
            </w:tcBorders>
            <w:shd w:val="clear" w:color="auto" w:fill="CCEDFF"/>
          </w:tcPr>
          <w:p>
            <w:pPr>
              <w:pStyle w:val="TableParagraph"/>
              <w:spacing w:before="18"/>
              <w:ind w:right="66"/>
              <w:jc w:val="right"/>
              <w:rPr>
                <w:sz w:val="18"/>
              </w:rPr>
            </w:pPr>
            <w:r>
              <w:rPr>
                <w:spacing w:val="-5"/>
                <w:sz w:val="18"/>
              </w:rPr>
              <w:t>315</w:t>
            </w:r>
          </w:p>
        </w:tc>
      </w:tr>
      <w:tr>
        <w:trPr>
          <w:trHeight w:val="220" w:hRule="atLeast"/>
        </w:trPr>
        <w:tc>
          <w:tcPr>
            <w:tcW w:w="5256" w:type="dxa"/>
            <w:tcBorders>
              <w:top w:val="single" w:sz="4" w:space="0" w:color="000000"/>
              <w:bottom w:val="double" w:sz="8" w:space="0" w:color="000000"/>
            </w:tcBorders>
          </w:tcPr>
          <w:p>
            <w:pPr>
              <w:pStyle w:val="TableParagraph"/>
              <w:spacing w:line="187" w:lineRule="exact" w:before="13"/>
              <w:ind w:left="292"/>
              <w:rPr>
                <w:sz w:val="18"/>
              </w:rPr>
            </w:pPr>
            <w:r>
              <w:rPr>
                <w:sz w:val="18"/>
              </w:rPr>
              <w:t>Total</w:t>
            </w:r>
            <w:r>
              <w:rPr>
                <w:spacing w:val="-1"/>
                <w:sz w:val="18"/>
              </w:rPr>
              <w:t> </w:t>
            </w:r>
            <w:r>
              <w:rPr>
                <w:sz w:val="18"/>
              </w:rPr>
              <w:t>available for</w:t>
            </w:r>
            <w:r>
              <w:rPr>
                <w:spacing w:val="-1"/>
                <w:sz w:val="18"/>
              </w:rPr>
              <w:t> </w:t>
            </w:r>
            <w:r>
              <w:rPr>
                <w:sz w:val="18"/>
              </w:rPr>
              <w:t>sale securities</w:t>
            </w:r>
            <w:r>
              <w:rPr>
                <w:spacing w:val="-3"/>
                <w:sz w:val="18"/>
              </w:rPr>
              <w:t> </w:t>
            </w:r>
            <w:r>
              <w:rPr>
                <w:spacing w:val="-5"/>
                <w:sz w:val="18"/>
                <w:vertAlign w:val="superscript"/>
              </w:rPr>
              <w:t>(4)</w:t>
            </w:r>
          </w:p>
        </w:tc>
        <w:tc>
          <w:tcPr>
            <w:tcW w:w="672" w:type="dxa"/>
            <w:tcBorders>
              <w:top w:val="single" w:sz="4" w:space="0" w:color="000000"/>
              <w:bottom w:val="double" w:sz="8" w:space="0" w:color="000000"/>
            </w:tcBorders>
          </w:tcPr>
          <w:p>
            <w:pPr>
              <w:pStyle w:val="TableParagraph"/>
              <w:spacing w:line="187" w:lineRule="exact" w:before="13"/>
              <w:ind w:right="128"/>
              <w:jc w:val="right"/>
              <w:rPr>
                <w:sz w:val="18"/>
              </w:rPr>
            </w:pPr>
            <w:r>
              <w:rPr>
                <w:spacing w:val="-10"/>
                <w:sz w:val="18"/>
              </w:rPr>
              <w:t>$</w:t>
            </w:r>
          </w:p>
        </w:tc>
        <w:tc>
          <w:tcPr>
            <w:tcW w:w="847" w:type="dxa"/>
            <w:tcBorders>
              <w:top w:val="single" w:sz="4" w:space="0" w:color="000000"/>
              <w:bottom w:val="double" w:sz="8" w:space="0" w:color="000000"/>
            </w:tcBorders>
          </w:tcPr>
          <w:p>
            <w:pPr>
              <w:pStyle w:val="TableParagraph"/>
              <w:spacing w:line="187" w:lineRule="exact" w:before="13"/>
              <w:ind w:right="127"/>
              <w:jc w:val="right"/>
              <w:rPr>
                <w:sz w:val="18"/>
              </w:rPr>
            </w:pPr>
            <w:r>
              <w:rPr>
                <w:spacing w:val="-2"/>
                <w:sz w:val="18"/>
              </w:rPr>
              <w:t>160,162</w:t>
            </w:r>
          </w:p>
        </w:tc>
        <w:tc>
          <w:tcPr>
            <w:tcW w:w="502" w:type="dxa"/>
            <w:tcBorders>
              <w:top w:val="single" w:sz="4" w:space="0" w:color="000000"/>
              <w:bottom w:val="double" w:sz="8" w:space="0" w:color="000000"/>
            </w:tcBorders>
          </w:tcPr>
          <w:p>
            <w:pPr>
              <w:pStyle w:val="TableParagraph"/>
              <w:spacing w:line="187" w:lineRule="exact" w:before="13"/>
              <w:ind w:left="72"/>
              <w:rPr>
                <w:sz w:val="18"/>
              </w:rPr>
            </w:pPr>
            <w:r>
              <w:rPr>
                <w:spacing w:val="-10"/>
                <w:sz w:val="18"/>
              </w:rPr>
              <w:t>$</w:t>
            </w:r>
          </w:p>
        </w:tc>
        <w:tc>
          <w:tcPr>
            <w:tcW w:w="622" w:type="dxa"/>
            <w:tcBorders>
              <w:top w:val="single" w:sz="4" w:space="0" w:color="000000"/>
              <w:bottom w:val="double" w:sz="8" w:space="0" w:color="000000"/>
            </w:tcBorders>
          </w:tcPr>
          <w:p>
            <w:pPr>
              <w:pStyle w:val="TableParagraph"/>
              <w:spacing w:line="187" w:lineRule="exact" w:before="13"/>
              <w:ind w:right="96"/>
              <w:jc w:val="right"/>
              <w:rPr>
                <w:sz w:val="18"/>
              </w:rPr>
            </w:pPr>
            <w:r>
              <w:rPr>
                <w:spacing w:val="-10"/>
                <w:sz w:val="18"/>
              </w:rPr>
              <w:t>—</w:t>
            </w:r>
          </w:p>
        </w:tc>
        <w:tc>
          <w:tcPr>
            <w:tcW w:w="374" w:type="dxa"/>
            <w:tcBorders>
              <w:top w:val="single" w:sz="4" w:space="0" w:color="000000"/>
              <w:bottom w:val="double" w:sz="8" w:space="0" w:color="000000"/>
            </w:tcBorders>
          </w:tcPr>
          <w:p>
            <w:pPr>
              <w:pStyle w:val="TableParagraph"/>
              <w:spacing w:line="187" w:lineRule="exact" w:before="13"/>
              <w:ind w:right="74"/>
              <w:jc w:val="center"/>
              <w:rPr>
                <w:sz w:val="18"/>
              </w:rPr>
            </w:pPr>
            <w:r>
              <w:rPr>
                <w:spacing w:val="-10"/>
                <w:sz w:val="18"/>
              </w:rPr>
              <w:t>$</w:t>
            </w:r>
          </w:p>
        </w:tc>
        <w:tc>
          <w:tcPr>
            <w:tcW w:w="809" w:type="dxa"/>
            <w:tcBorders>
              <w:top w:val="single" w:sz="4" w:space="0" w:color="000000"/>
              <w:bottom w:val="double" w:sz="8" w:space="0" w:color="000000"/>
            </w:tcBorders>
          </w:tcPr>
          <w:p>
            <w:pPr>
              <w:pStyle w:val="TableParagraph"/>
              <w:spacing w:line="187" w:lineRule="exact" w:before="13"/>
              <w:ind w:right="124"/>
              <w:jc w:val="right"/>
              <w:rPr>
                <w:sz w:val="18"/>
              </w:rPr>
            </w:pPr>
            <w:r>
              <w:rPr>
                <w:spacing w:val="-2"/>
                <w:sz w:val="18"/>
              </w:rPr>
              <w:t>12,291</w:t>
            </w:r>
          </w:p>
        </w:tc>
        <w:tc>
          <w:tcPr>
            <w:tcW w:w="329" w:type="dxa"/>
            <w:tcBorders>
              <w:top w:val="single" w:sz="4" w:space="0" w:color="000000"/>
              <w:bottom w:val="double" w:sz="8" w:space="0" w:color="000000"/>
            </w:tcBorders>
          </w:tcPr>
          <w:p>
            <w:pPr>
              <w:pStyle w:val="TableParagraph"/>
              <w:spacing w:line="187" w:lineRule="exact" w:before="13"/>
              <w:ind w:right="85"/>
              <w:jc w:val="center"/>
              <w:rPr>
                <w:sz w:val="18"/>
              </w:rPr>
            </w:pPr>
            <w:r>
              <w:rPr>
                <w:spacing w:val="-10"/>
                <w:sz w:val="18"/>
              </w:rPr>
              <w:t>$</w:t>
            </w:r>
          </w:p>
        </w:tc>
        <w:tc>
          <w:tcPr>
            <w:tcW w:w="828" w:type="dxa"/>
            <w:tcBorders>
              <w:top w:val="single" w:sz="4" w:space="0" w:color="000000"/>
              <w:bottom w:val="double" w:sz="8" w:space="0" w:color="000000"/>
            </w:tcBorders>
          </w:tcPr>
          <w:p>
            <w:pPr>
              <w:pStyle w:val="TableParagraph"/>
              <w:spacing w:line="187" w:lineRule="exact" w:before="13"/>
              <w:ind w:right="66"/>
              <w:jc w:val="right"/>
              <w:rPr>
                <w:sz w:val="18"/>
              </w:rPr>
            </w:pPr>
            <w:r>
              <w:rPr>
                <w:spacing w:val="-2"/>
                <w:sz w:val="18"/>
              </w:rPr>
              <w:t>147,871</w:t>
            </w:r>
          </w:p>
        </w:tc>
      </w:tr>
      <w:tr>
        <w:trPr>
          <w:trHeight w:val="225" w:hRule="atLeast"/>
        </w:trPr>
        <w:tc>
          <w:tcPr>
            <w:tcW w:w="10239" w:type="dxa"/>
            <w:gridSpan w:val="9"/>
            <w:tcBorders>
              <w:top w:val="double" w:sz="8" w:space="0" w:color="000000"/>
            </w:tcBorders>
            <w:shd w:val="clear" w:color="auto" w:fill="CCEDFF"/>
          </w:tcPr>
          <w:p>
            <w:pPr>
              <w:pStyle w:val="TableParagraph"/>
              <w:spacing w:line="195" w:lineRule="exact"/>
              <w:ind w:left="52"/>
              <w:rPr>
                <w:b/>
                <w:sz w:val="18"/>
              </w:rPr>
            </w:pPr>
            <w:r>
              <w:rPr>
                <w:b/>
                <w:sz w:val="18"/>
              </w:rPr>
              <w:t>Held</w:t>
            </w:r>
            <w:r>
              <w:rPr>
                <w:b/>
                <w:spacing w:val="-2"/>
                <w:sz w:val="18"/>
              </w:rPr>
              <w:t> </w:t>
            </w:r>
            <w:r>
              <w:rPr>
                <w:b/>
                <w:sz w:val="18"/>
              </w:rPr>
              <w:t>to maturity </w:t>
            </w:r>
            <w:r>
              <w:rPr>
                <w:b/>
                <w:spacing w:val="-2"/>
                <w:sz w:val="18"/>
              </w:rPr>
              <w:t>securities</w:t>
            </w:r>
          </w:p>
        </w:tc>
      </w:tr>
    </w:tbl>
    <w:p>
      <w:pPr>
        <w:tabs>
          <w:tab w:pos="6177" w:val="left" w:leader="none"/>
          <w:tab w:pos="6529" w:val="left" w:leader="none"/>
          <w:tab w:pos="7317" w:val="left" w:leader="none"/>
          <w:tab w:pos="7865" w:val="left" w:leader="none"/>
          <w:tab w:pos="8472" w:val="left" w:leader="none"/>
          <w:tab w:pos="8930" w:val="left" w:leader="none"/>
          <w:tab w:pos="9627" w:val="left" w:leader="none"/>
          <w:tab w:pos="10055" w:val="left" w:leader="none"/>
        </w:tabs>
        <w:spacing w:before="14"/>
        <w:ind w:left="522" w:right="0" w:firstLine="0"/>
        <w:jc w:val="left"/>
        <w:rPr>
          <w:sz w:val="18"/>
        </w:rPr>
      </w:pPr>
      <w:r>
        <w:rPr/>
        <mc:AlternateContent>
          <mc:Choice Requires="wps">
            <w:drawing>
              <wp:anchor distT="0" distB="0" distL="0" distR="0" allowOverlap="1" layoutInCell="1" locked="0" behindDoc="1" simplePos="0" relativeHeight="487606272">
                <wp:simplePos x="0" y="0"/>
                <wp:positionH relativeFrom="page">
                  <wp:posOffset>628650</wp:posOffset>
                </wp:positionH>
                <wp:positionV relativeFrom="paragraph">
                  <wp:posOffset>156210</wp:posOffset>
                </wp:positionV>
                <wp:extent cx="6505575" cy="184150"/>
                <wp:effectExtent l="0" t="0" r="0" b="0"/>
                <wp:wrapTopAndBottom/>
                <wp:docPr id="148" name="Group 148"/>
                <wp:cNvGraphicFramePr>
                  <a:graphicFrameLocks/>
                </wp:cNvGraphicFramePr>
                <a:graphic>
                  <a:graphicData uri="http://schemas.microsoft.com/office/word/2010/wordprocessingGroup">
                    <wpg:wgp>
                      <wpg:cNvPr id="148" name="Group 148"/>
                      <wpg:cNvGrpSpPr/>
                      <wpg:grpSpPr>
                        <a:xfrm>
                          <a:off x="0" y="0"/>
                          <a:ext cx="6505575" cy="184150"/>
                          <a:chExt cx="6505575" cy="184150"/>
                        </a:xfrm>
                      </wpg:grpSpPr>
                      <wps:wsp>
                        <wps:cNvPr id="149" name="Graphic 149"/>
                        <wps:cNvSpPr/>
                        <wps:spPr>
                          <a:xfrm>
                            <a:off x="0" y="3175"/>
                            <a:ext cx="6505575" cy="161925"/>
                          </a:xfrm>
                          <a:custGeom>
                            <a:avLst/>
                            <a:gdLst/>
                            <a:ahLst/>
                            <a:cxnLst/>
                            <a:rect l="l" t="t" r="r" b="b"/>
                            <a:pathLst>
                              <a:path w="6505575" h="161925">
                                <a:moveTo>
                                  <a:pt x="6505575" y="0"/>
                                </a:moveTo>
                                <a:lnTo>
                                  <a:pt x="0" y="0"/>
                                </a:lnTo>
                                <a:lnTo>
                                  <a:pt x="0" y="161925"/>
                                </a:lnTo>
                                <a:lnTo>
                                  <a:pt x="6505575" y="161925"/>
                                </a:lnTo>
                                <a:lnTo>
                                  <a:pt x="6505575" y="0"/>
                                </a:lnTo>
                                <a:close/>
                              </a:path>
                            </a:pathLst>
                          </a:custGeom>
                          <a:solidFill>
                            <a:srgbClr val="CCEDFF"/>
                          </a:solidFill>
                        </wps:spPr>
                        <wps:bodyPr wrap="square" lIns="0" tIns="0" rIns="0" bIns="0" rtlCol="0">
                          <a:prstTxWarp prst="textNoShape">
                            <a:avLst/>
                          </a:prstTxWarp>
                          <a:noAutofit/>
                        </wps:bodyPr>
                      </wps:wsp>
                      <wps:wsp>
                        <wps:cNvPr id="150" name="Graphic 150"/>
                        <wps:cNvSpPr/>
                        <wps:spPr>
                          <a:xfrm>
                            <a:off x="0" y="3175"/>
                            <a:ext cx="6505575" cy="1270"/>
                          </a:xfrm>
                          <a:custGeom>
                            <a:avLst/>
                            <a:gdLst/>
                            <a:ahLst/>
                            <a:cxnLst/>
                            <a:rect l="l" t="t" r="r" b="b"/>
                            <a:pathLst>
                              <a:path w="6505575" h="0">
                                <a:moveTo>
                                  <a:pt x="6505575" y="0"/>
                                </a:moveTo>
                                <a:lnTo>
                                  <a:pt x="0" y="0"/>
                                </a:lnTo>
                              </a:path>
                            </a:pathLst>
                          </a:custGeom>
                          <a:solidFill>
                            <a:srgbClr val="000000"/>
                          </a:solidFill>
                        </wps:spPr>
                        <wps:bodyPr wrap="square" lIns="0" tIns="0" rIns="0" bIns="0" rtlCol="0">
                          <a:prstTxWarp prst="textNoShape">
                            <a:avLst/>
                          </a:prstTxWarp>
                          <a:noAutofit/>
                        </wps:bodyPr>
                      </wps:wsp>
                      <wps:wsp>
                        <wps:cNvPr id="151" name="Graphic 151"/>
                        <wps:cNvSpPr/>
                        <wps:spPr>
                          <a:xfrm>
                            <a:off x="0" y="3175"/>
                            <a:ext cx="6505575" cy="1270"/>
                          </a:xfrm>
                          <a:custGeom>
                            <a:avLst/>
                            <a:gdLst/>
                            <a:ahLst/>
                            <a:cxnLst/>
                            <a:rect l="l" t="t" r="r" b="b"/>
                            <a:pathLst>
                              <a:path w="6505575" h="0">
                                <a:moveTo>
                                  <a:pt x="0" y="0"/>
                                </a:moveTo>
                                <a:lnTo>
                                  <a:pt x="6505575" y="0"/>
                                </a:lnTo>
                              </a:path>
                            </a:pathLst>
                          </a:custGeom>
                          <a:ln w="6350">
                            <a:solidFill>
                              <a:srgbClr val="000000"/>
                            </a:solidFill>
                            <a:prstDash val="solid"/>
                          </a:ln>
                        </wps:spPr>
                        <wps:bodyPr wrap="square" lIns="0" tIns="0" rIns="0" bIns="0" rtlCol="0">
                          <a:prstTxWarp prst="textNoShape">
                            <a:avLst/>
                          </a:prstTxWarp>
                          <a:noAutofit/>
                        </wps:bodyPr>
                      </wps:wsp>
                      <wps:wsp>
                        <wps:cNvPr id="152" name="Graphic 152"/>
                        <wps:cNvSpPr/>
                        <wps:spPr>
                          <a:xfrm>
                            <a:off x="0" y="146050"/>
                            <a:ext cx="6505575" cy="12700"/>
                          </a:xfrm>
                          <a:custGeom>
                            <a:avLst/>
                            <a:gdLst/>
                            <a:ahLst/>
                            <a:cxnLst/>
                            <a:rect l="l" t="t" r="r" b="b"/>
                            <a:pathLst>
                              <a:path w="6505575" h="12700">
                                <a:moveTo>
                                  <a:pt x="0" y="12700"/>
                                </a:moveTo>
                                <a:lnTo>
                                  <a:pt x="6505575" y="12700"/>
                                </a:lnTo>
                                <a:lnTo>
                                  <a:pt x="6505575"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0" y="177800"/>
                            <a:ext cx="6505575" cy="1270"/>
                          </a:xfrm>
                          <a:custGeom>
                            <a:avLst/>
                            <a:gdLst/>
                            <a:ahLst/>
                            <a:cxnLst/>
                            <a:rect l="l" t="t" r="r" b="b"/>
                            <a:pathLst>
                              <a:path w="6505575" h="0">
                                <a:moveTo>
                                  <a:pt x="0" y="0"/>
                                </a:moveTo>
                                <a:lnTo>
                                  <a:pt x="6505575" y="0"/>
                                </a:lnTo>
                              </a:path>
                            </a:pathLst>
                          </a:custGeom>
                          <a:ln w="12700">
                            <a:solidFill>
                              <a:srgbClr val="000000"/>
                            </a:solidFill>
                            <a:prstDash val="solid"/>
                          </a:ln>
                        </wps:spPr>
                        <wps:bodyPr wrap="square" lIns="0" tIns="0" rIns="0" bIns="0" rtlCol="0">
                          <a:prstTxWarp prst="textNoShape">
                            <a:avLst/>
                          </a:prstTxWarp>
                          <a:noAutofit/>
                        </wps:bodyPr>
                      </wps:wsp>
                      <wps:wsp>
                        <wps:cNvPr id="154" name="Textbox 154"/>
                        <wps:cNvSpPr txBox="1"/>
                        <wps:spPr>
                          <a:xfrm>
                            <a:off x="0" y="6350"/>
                            <a:ext cx="6505575" cy="152400"/>
                          </a:xfrm>
                          <a:prstGeom prst="rect">
                            <a:avLst/>
                          </a:prstGeom>
                        </wps:spPr>
                        <wps:txbx>
                          <w:txbxContent>
                            <w:p>
                              <w:pPr>
                                <w:tabs>
                                  <w:tab w:pos="5707" w:val="left" w:leader="none"/>
                                  <w:tab w:pos="6059" w:val="left" w:leader="none"/>
                                  <w:tab w:pos="6847" w:val="left" w:leader="none"/>
                                  <w:tab w:pos="7395" w:val="left" w:leader="none"/>
                                  <w:tab w:pos="8002" w:val="left" w:leader="none"/>
                                  <w:tab w:pos="8460" w:val="left" w:leader="none"/>
                                  <w:tab w:pos="9157" w:val="left" w:leader="none"/>
                                  <w:tab w:pos="9585" w:val="left" w:leader="none"/>
                                </w:tabs>
                                <w:spacing w:before="13"/>
                                <w:ind w:left="277" w:right="0" w:firstLine="0"/>
                                <w:jc w:val="left"/>
                                <w:rPr>
                                  <w:sz w:val="18"/>
                                </w:rPr>
                              </w:pPr>
                              <w:r>
                                <w:rPr>
                                  <w:sz w:val="18"/>
                                </w:rPr>
                                <w:t>Total held to maturity </w:t>
                              </w:r>
                              <w:r>
                                <w:rPr>
                                  <w:spacing w:val="-2"/>
                                  <w:sz w:val="18"/>
                                </w:rPr>
                                <w:t>securities</w:t>
                              </w:r>
                              <w:r>
                                <w:rPr>
                                  <w:sz w:val="18"/>
                                </w:rPr>
                                <w:tab/>
                              </w:r>
                              <w:r>
                                <w:rPr>
                                  <w:spacing w:val="-10"/>
                                  <w:sz w:val="18"/>
                                </w:rPr>
                                <w:t>$</w:t>
                              </w:r>
                              <w:r>
                                <w:rPr>
                                  <w:sz w:val="18"/>
                                </w:rPr>
                                <w:tab/>
                              </w:r>
                              <w:r>
                                <w:rPr>
                                  <w:spacing w:val="-2"/>
                                  <w:sz w:val="18"/>
                                </w:rPr>
                                <w:t>173,074</w:t>
                              </w:r>
                              <w:r>
                                <w:rPr>
                                  <w:sz w:val="18"/>
                                </w:rPr>
                                <w:tab/>
                              </w:r>
                              <w:r>
                                <w:rPr>
                                  <w:spacing w:val="-10"/>
                                  <w:sz w:val="18"/>
                                </w:rPr>
                                <w:t>$</w:t>
                              </w:r>
                              <w:r>
                                <w:rPr>
                                  <w:sz w:val="18"/>
                                </w:rPr>
                                <w:tab/>
                              </w:r>
                              <w:r>
                                <w:rPr>
                                  <w:spacing w:val="-2"/>
                                  <w:sz w:val="18"/>
                                </w:rPr>
                                <w:t>1,442</w:t>
                              </w:r>
                              <w:r>
                                <w:rPr>
                                  <w:sz w:val="18"/>
                                </w:rPr>
                                <w:tab/>
                              </w:r>
                              <w:r>
                                <w:rPr>
                                  <w:spacing w:val="-10"/>
                                  <w:sz w:val="18"/>
                                </w:rPr>
                                <w:t>$</w:t>
                              </w:r>
                              <w:r>
                                <w:rPr>
                                  <w:sz w:val="18"/>
                                </w:rPr>
                                <w:tab/>
                              </w:r>
                              <w:r>
                                <w:rPr>
                                  <w:spacing w:val="-2"/>
                                  <w:sz w:val="18"/>
                                </w:rPr>
                                <w:t>15,580</w:t>
                              </w:r>
                              <w:r>
                                <w:rPr>
                                  <w:sz w:val="18"/>
                                </w:rPr>
                                <w:tab/>
                              </w:r>
                              <w:r>
                                <w:rPr>
                                  <w:spacing w:val="-10"/>
                                  <w:sz w:val="18"/>
                                </w:rPr>
                                <w:t>$</w:t>
                              </w:r>
                              <w:r>
                                <w:rPr>
                                  <w:sz w:val="18"/>
                                </w:rPr>
                                <w:tab/>
                              </w:r>
                              <w:r>
                                <w:rPr>
                                  <w:spacing w:val="-2"/>
                                  <w:sz w:val="18"/>
                                </w:rPr>
                                <w:t>158,936</w:t>
                              </w:r>
                            </w:p>
                          </w:txbxContent>
                        </wps:txbx>
                        <wps:bodyPr wrap="square" lIns="0" tIns="0" rIns="0" bIns="0" rtlCol="0">
                          <a:noAutofit/>
                        </wps:bodyPr>
                      </wps:wsp>
                    </wpg:wgp>
                  </a:graphicData>
                </a:graphic>
              </wp:anchor>
            </w:drawing>
          </mc:Choice>
          <mc:Fallback>
            <w:pict>
              <v:group style="position:absolute;margin-left:49.5pt;margin-top:12.3pt;width:512.25pt;height:14.5pt;mso-position-horizontal-relative:page;mso-position-vertical-relative:paragraph;z-index:-15710208;mso-wrap-distance-left:0;mso-wrap-distance-right:0" id="docshapegroup106" coordorigin="990,246" coordsize="10245,290">
                <v:rect style="position:absolute;left:990;top:251;width:10245;height:255" id="docshape107" filled="true" fillcolor="#ccedff" stroked="false">
                  <v:fill type="solid"/>
                </v:rect>
                <v:shape style="position:absolute;left:990;top:251;width:10245;height:2" id="docshape108" coordorigin="990,251" coordsize="10245,0" path="m11235,251l990,251e" filled="true" fillcolor="#000000" stroked="false">
                  <v:path arrowok="t"/>
                  <v:fill opacity="0f" type="solid"/>
                </v:shape>
                <v:line style="position:absolute" from="990,251" to="11235,251" stroked="true" strokeweight=".5pt" strokecolor="#000000">
                  <v:stroke dashstyle="solid"/>
                </v:line>
                <v:rect style="position:absolute;left:990;top:476;width:10245;height:20" id="docshape109" filled="true" fillcolor="#000000" stroked="false">
                  <v:fill opacity="0f" type="solid"/>
                </v:rect>
                <v:line style="position:absolute" from="990,526" to="11235,526" stroked="true" strokeweight="1pt" strokecolor="#000000">
                  <v:stroke dashstyle="solid"/>
                </v:line>
                <v:shape style="position:absolute;left:990;top:256;width:10245;height:240" type="#_x0000_t202" id="docshape110" filled="false" stroked="false">
                  <v:textbox inset="0,0,0,0">
                    <w:txbxContent>
                      <w:p>
                        <w:pPr>
                          <w:tabs>
                            <w:tab w:pos="5707" w:val="left" w:leader="none"/>
                            <w:tab w:pos="6059" w:val="left" w:leader="none"/>
                            <w:tab w:pos="6847" w:val="left" w:leader="none"/>
                            <w:tab w:pos="7395" w:val="left" w:leader="none"/>
                            <w:tab w:pos="8002" w:val="left" w:leader="none"/>
                            <w:tab w:pos="8460" w:val="left" w:leader="none"/>
                            <w:tab w:pos="9157" w:val="left" w:leader="none"/>
                            <w:tab w:pos="9585" w:val="left" w:leader="none"/>
                          </w:tabs>
                          <w:spacing w:before="13"/>
                          <w:ind w:left="277" w:right="0" w:firstLine="0"/>
                          <w:jc w:val="left"/>
                          <w:rPr>
                            <w:sz w:val="18"/>
                          </w:rPr>
                        </w:pPr>
                        <w:r>
                          <w:rPr>
                            <w:sz w:val="18"/>
                          </w:rPr>
                          <w:t>Total held to maturity </w:t>
                        </w:r>
                        <w:r>
                          <w:rPr>
                            <w:spacing w:val="-2"/>
                            <w:sz w:val="18"/>
                          </w:rPr>
                          <w:t>securities</w:t>
                        </w:r>
                        <w:r>
                          <w:rPr>
                            <w:sz w:val="18"/>
                          </w:rPr>
                          <w:tab/>
                        </w:r>
                        <w:r>
                          <w:rPr>
                            <w:spacing w:val="-10"/>
                            <w:sz w:val="18"/>
                          </w:rPr>
                          <w:t>$</w:t>
                        </w:r>
                        <w:r>
                          <w:rPr>
                            <w:sz w:val="18"/>
                          </w:rPr>
                          <w:tab/>
                        </w:r>
                        <w:r>
                          <w:rPr>
                            <w:spacing w:val="-2"/>
                            <w:sz w:val="18"/>
                          </w:rPr>
                          <w:t>173,074</w:t>
                        </w:r>
                        <w:r>
                          <w:rPr>
                            <w:sz w:val="18"/>
                          </w:rPr>
                          <w:tab/>
                        </w:r>
                        <w:r>
                          <w:rPr>
                            <w:spacing w:val="-10"/>
                            <w:sz w:val="18"/>
                          </w:rPr>
                          <w:t>$</w:t>
                        </w:r>
                        <w:r>
                          <w:rPr>
                            <w:sz w:val="18"/>
                          </w:rPr>
                          <w:tab/>
                        </w:r>
                        <w:r>
                          <w:rPr>
                            <w:spacing w:val="-2"/>
                            <w:sz w:val="18"/>
                          </w:rPr>
                          <w:t>1,442</w:t>
                        </w:r>
                        <w:r>
                          <w:rPr>
                            <w:sz w:val="18"/>
                          </w:rPr>
                          <w:tab/>
                        </w:r>
                        <w:r>
                          <w:rPr>
                            <w:spacing w:val="-10"/>
                            <w:sz w:val="18"/>
                          </w:rPr>
                          <w:t>$</w:t>
                        </w:r>
                        <w:r>
                          <w:rPr>
                            <w:sz w:val="18"/>
                          </w:rPr>
                          <w:tab/>
                        </w:r>
                        <w:r>
                          <w:rPr>
                            <w:spacing w:val="-2"/>
                            <w:sz w:val="18"/>
                          </w:rPr>
                          <w:t>15,580</w:t>
                        </w:r>
                        <w:r>
                          <w:rPr>
                            <w:sz w:val="18"/>
                          </w:rPr>
                          <w:tab/>
                        </w:r>
                        <w:r>
                          <w:rPr>
                            <w:spacing w:val="-10"/>
                            <w:sz w:val="18"/>
                          </w:rPr>
                          <w:t>$</w:t>
                        </w:r>
                        <w:r>
                          <w:rPr>
                            <w:sz w:val="18"/>
                          </w:rPr>
                          <w:tab/>
                        </w:r>
                        <w:r>
                          <w:rPr>
                            <w:spacing w:val="-2"/>
                            <w:sz w:val="18"/>
                          </w:rPr>
                          <w:t>158,936</w:t>
                        </w:r>
                      </w:p>
                    </w:txbxContent>
                  </v:textbox>
                  <w10:wrap type="none"/>
                </v:shape>
                <w10:wrap type="topAndBottom"/>
              </v:group>
            </w:pict>
          </mc:Fallback>
        </mc:AlternateContent>
      </w:r>
      <w:r>
        <w:rPr>
          <w:sz w:val="18"/>
        </w:rPr>
        <w:t>U.S.</w:t>
      </w:r>
      <w:r>
        <w:rPr>
          <w:spacing w:val="-1"/>
          <w:sz w:val="18"/>
        </w:rPr>
        <w:t> </w:t>
      </w:r>
      <w:r>
        <w:rPr>
          <w:sz w:val="18"/>
        </w:rPr>
        <w:t>agency</w:t>
      </w:r>
      <w:r>
        <w:rPr>
          <w:spacing w:val="-1"/>
          <w:sz w:val="18"/>
        </w:rPr>
        <w:t> </w:t>
      </w:r>
      <w:r>
        <w:rPr>
          <w:sz w:val="18"/>
        </w:rPr>
        <w:t>mortgage-backed </w:t>
      </w:r>
      <w:r>
        <w:rPr>
          <w:spacing w:val="-2"/>
          <w:sz w:val="18"/>
        </w:rPr>
        <w:t>securities</w:t>
      </w:r>
      <w:r>
        <w:rPr>
          <w:sz w:val="18"/>
        </w:rPr>
        <w:tab/>
      </w:r>
      <w:r>
        <w:rPr>
          <w:spacing w:val="-10"/>
          <w:sz w:val="18"/>
        </w:rPr>
        <w:t>$</w:t>
      </w:r>
      <w:r>
        <w:rPr>
          <w:sz w:val="18"/>
        </w:rPr>
        <w:tab/>
      </w:r>
      <w:r>
        <w:rPr>
          <w:spacing w:val="-2"/>
          <w:sz w:val="18"/>
        </w:rPr>
        <w:t>173,074</w:t>
      </w:r>
      <w:r>
        <w:rPr>
          <w:sz w:val="18"/>
        </w:rPr>
        <w:tab/>
      </w:r>
      <w:r>
        <w:rPr>
          <w:spacing w:val="-10"/>
          <w:sz w:val="18"/>
        </w:rPr>
        <w:t>$</w:t>
      </w:r>
      <w:r>
        <w:rPr>
          <w:sz w:val="18"/>
        </w:rPr>
        <w:tab/>
      </w:r>
      <w:r>
        <w:rPr>
          <w:spacing w:val="-2"/>
          <w:sz w:val="18"/>
        </w:rPr>
        <w:t>1,442</w:t>
      </w:r>
      <w:r>
        <w:rPr>
          <w:sz w:val="18"/>
        </w:rPr>
        <w:tab/>
      </w:r>
      <w:r>
        <w:rPr>
          <w:spacing w:val="-10"/>
          <w:sz w:val="18"/>
        </w:rPr>
        <w:t>$</w:t>
      </w:r>
      <w:r>
        <w:rPr>
          <w:sz w:val="18"/>
        </w:rPr>
        <w:tab/>
      </w:r>
      <w:r>
        <w:rPr>
          <w:spacing w:val="-2"/>
          <w:sz w:val="18"/>
        </w:rPr>
        <w:t>15,580</w:t>
      </w:r>
      <w:r>
        <w:rPr>
          <w:sz w:val="18"/>
        </w:rPr>
        <w:tab/>
      </w:r>
      <w:r>
        <w:rPr>
          <w:spacing w:val="-10"/>
          <w:sz w:val="18"/>
        </w:rPr>
        <w:t>$</w:t>
      </w:r>
      <w:r>
        <w:rPr>
          <w:sz w:val="18"/>
        </w:rPr>
        <w:tab/>
      </w:r>
      <w:r>
        <w:rPr>
          <w:spacing w:val="-2"/>
          <w:sz w:val="18"/>
        </w:rPr>
        <w:t>158,936</w:t>
      </w:r>
    </w:p>
    <w:p>
      <w:pPr>
        <w:spacing w:line="249" w:lineRule="auto" w:before="31"/>
        <w:ind w:left="650" w:right="503" w:hanging="180"/>
        <w:jc w:val="left"/>
        <w:rPr>
          <w:sz w:val="16"/>
        </w:rPr>
      </w:pPr>
      <w:r>
        <w:rPr>
          <w:sz w:val="16"/>
          <w:vertAlign w:val="superscript"/>
        </w:rPr>
        <w:t>(1)</w:t>
      </w:r>
      <w:r>
        <w:rPr>
          <w:spacing w:val="-15"/>
          <w:sz w:val="16"/>
          <w:vertAlign w:val="baseline"/>
        </w:rPr>
        <w:t> </w:t>
      </w:r>
      <w:r>
        <w:rPr>
          <w:sz w:val="16"/>
          <w:vertAlign w:val="baseline"/>
        </w:rPr>
        <w:t>Approximately</w:t>
      </w:r>
      <w:r>
        <w:rPr>
          <w:spacing w:val="-3"/>
          <w:sz w:val="16"/>
          <w:vertAlign w:val="baseline"/>
        </w:rPr>
        <w:t> </w:t>
      </w:r>
      <w:r>
        <w:rPr>
          <w:sz w:val="16"/>
          <w:vertAlign w:val="baseline"/>
        </w:rPr>
        <w:t>61%</w:t>
      </w:r>
      <w:r>
        <w:rPr>
          <w:spacing w:val="-3"/>
          <w:sz w:val="16"/>
          <w:vertAlign w:val="baseline"/>
        </w:rPr>
        <w:t> </w:t>
      </w:r>
      <w:r>
        <w:rPr>
          <w:sz w:val="16"/>
          <w:vertAlign w:val="baseline"/>
        </w:rPr>
        <w:t>and</w:t>
      </w:r>
      <w:r>
        <w:rPr>
          <w:spacing w:val="-3"/>
          <w:sz w:val="16"/>
          <w:vertAlign w:val="baseline"/>
        </w:rPr>
        <w:t> </w:t>
      </w:r>
      <w:r>
        <w:rPr>
          <w:sz w:val="16"/>
          <w:vertAlign w:val="baseline"/>
        </w:rPr>
        <w:t>57%</w:t>
      </w:r>
      <w:r>
        <w:rPr>
          <w:spacing w:val="-3"/>
          <w:sz w:val="16"/>
          <w:vertAlign w:val="baseline"/>
        </w:rPr>
        <w:t> </w:t>
      </w:r>
      <w:r>
        <w:rPr>
          <w:sz w:val="16"/>
          <w:vertAlign w:val="baseline"/>
        </w:rPr>
        <w:t>of</w:t>
      </w:r>
      <w:r>
        <w:rPr>
          <w:spacing w:val="-2"/>
          <w:sz w:val="16"/>
          <w:vertAlign w:val="baseline"/>
        </w:rPr>
        <w:t> </w:t>
      </w:r>
      <w:r>
        <w:rPr>
          <w:sz w:val="16"/>
          <w:vertAlign w:val="baseline"/>
        </w:rPr>
        <w:t>asset-backed</w:t>
      </w:r>
      <w:r>
        <w:rPr>
          <w:spacing w:val="-2"/>
          <w:sz w:val="16"/>
          <w:vertAlign w:val="baseline"/>
        </w:rPr>
        <w:t> </w:t>
      </w:r>
      <w:r>
        <w:rPr>
          <w:sz w:val="16"/>
          <w:vertAlign w:val="baseline"/>
        </w:rPr>
        <w:t>securities</w:t>
      </w:r>
      <w:r>
        <w:rPr>
          <w:spacing w:val="-3"/>
          <w:sz w:val="16"/>
          <w:vertAlign w:val="baseline"/>
        </w:rPr>
        <w:t> </w:t>
      </w:r>
      <w:r>
        <w:rPr>
          <w:sz w:val="16"/>
          <w:vertAlign w:val="baseline"/>
        </w:rPr>
        <w:t>held</w:t>
      </w:r>
      <w:r>
        <w:rPr>
          <w:spacing w:val="-2"/>
          <w:sz w:val="16"/>
          <w:vertAlign w:val="baseline"/>
        </w:rPr>
        <w:t> </w:t>
      </w:r>
      <w:r>
        <w:rPr>
          <w:sz w:val="16"/>
          <w:vertAlign w:val="baseline"/>
        </w:rPr>
        <w:t>as</w:t>
      </w:r>
      <w:r>
        <w:rPr>
          <w:spacing w:val="-3"/>
          <w:sz w:val="16"/>
          <w:vertAlign w:val="baseline"/>
        </w:rPr>
        <w:t> </w:t>
      </w:r>
      <w:r>
        <w:rPr>
          <w:sz w:val="16"/>
          <w:vertAlign w:val="baseline"/>
        </w:rPr>
        <w:t>of</w:t>
      </w:r>
      <w:r>
        <w:rPr>
          <w:spacing w:val="-4"/>
          <w:sz w:val="16"/>
          <w:vertAlign w:val="baseline"/>
        </w:rPr>
        <w:t> </w:t>
      </w:r>
      <w:r>
        <w:rPr>
          <w:sz w:val="16"/>
          <w:vertAlign w:val="baseline"/>
        </w:rPr>
        <w:t>September</w:t>
      </w:r>
      <w:r>
        <w:rPr>
          <w:spacing w:val="-2"/>
          <w:sz w:val="16"/>
          <w:vertAlign w:val="baseline"/>
        </w:rPr>
        <w:t> </w:t>
      </w:r>
      <w:r>
        <w:rPr>
          <w:sz w:val="16"/>
          <w:vertAlign w:val="baseline"/>
        </w:rPr>
        <w:t>30,</w:t>
      </w:r>
      <w:r>
        <w:rPr>
          <w:spacing w:val="-2"/>
          <w:sz w:val="16"/>
          <w:vertAlign w:val="baseline"/>
        </w:rPr>
        <w:t> </w:t>
      </w:r>
      <w:r>
        <w:rPr>
          <w:sz w:val="16"/>
          <w:vertAlign w:val="baseline"/>
        </w:rPr>
        <w:t>2023</w:t>
      </w:r>
      <w:r>
        <w:rPr>
          <w:spacing w:val="-3"/>
          <w:sz w:val="16"/>
          <w:vertAlign w:val="baseline"/>
        </w:rPr>
        <w:t> </w:t>
      </w:r>
      <w:r>
        <w:rPr>
          <w:sz w:val="16"/>
          <w:vertAlign w:val="baseline"/>
        </w:rPr>
        <w:t>and</w:t>
      </w:r>
      <w:r>
        <w:rPr>
          <w:spacing w:val="-3"/>
          <w:sz w:val="16"/>
          <w:vertAlign w:val="baseline"/>
        </w:rPr>
        <w:t> </w:t>
      </w:r>
      <w:r>
        <w:rPr>
          <w:sz w:val="16"/>
          <w:vertAlign w:val="baseline"/>
        </w:rPr>
        <w:t>December</w:t>
      </w:r>
      <w:r>
        <w:rPr>
          <w:spacing w:val="-2"/>
          <w:sz w:val="16"/>
          <w:vertAlign w:val="baseline"/>
        </w:rPr>
        <w:t> </w:t>
      </w:r>
      <w:r>
        <w:rPr>
          <w:sz w:val="16"/>
          <w:vertAlign w:val="baseline"/>
        </w:rPr>
        <w:t>31,</w:t>
      </w:r>
      <w:r>
        <w:rPr>
          <w:spacing w:val="-2"/>
          <w:sz w:val="16"/>
          <w:vertAlign w:val="baseline"/>
        </w:rPr>
        <w:t> </w:t>
      </w:r>
      <w:r>
        <w:rPr>
          <w:sz w:val="16"/>
          <w:vertAlign w:val="baseline"/>
        </w:rPr>
        <w:t>2022,</w:t>
      </w:r>
      <w:r>
        <w:rPr>
          <w:spacing w:val="-2"/>
          <w:sz w:val="16"/>
          <w:vertAlign w:val="baseline"/>
        </w:rPr>
        <w:t> </w:t>
      </w:r>
      <w:r>
        <w:rPr>
          <w:sz w:val="16"/>
          <w:vertAlign w:val="baseline"/>
        </w:rPr>
        <w:t>respectively,</w:t>
      </w:r>
      <w:r>
        <w:rPr>
          <w:spacing w:val="-2"/>
          <w:sz w:val="16"/>
          <w:vertAlign w:val="baseline"/>
        </w:rPr>
        <w:t> </w:t>
      </w:r>
      <w:r>
        <w:rPr>
          <w:sz w:val="16"/>
          <w:vertAlign w:val="baseline"/>
        </w:rPr>
        <w:t>were</w:t>
      </w:r>
      <w:r>
        <w:rPr>
          <w:spacing w:val="-2"/>
          <w:sz w:val="16"/>
          <w:vertAlign w:val="baseline"/>
        </w:rPr>
        <w:t> </w:t>
      </w:r>
      <w:r>
        <w:rPr>
          <w:sz w:val="16"/>
          <w:vertAlign w:val="baseline"/>
        </w:rPr>
        <w:t>Federal</w:t>
      </w:r>
      <w:r>
        <w:rPr>
          <w:spacing w:val="-2"/>
          <w:sz w:val="16"/>
          <w:vertAlign w:val="baseline"/>
        </w:rPr>
        <w:t> </w:t>
      </w:r>
      <w:r>
        <w:rPr>
          <w:sz w:val="16"/>
          <w:vertAlign w:val="baseline"/>
        </w:rPr>
        <w:t>Family</w:t>
      </w:r>
      <w:r>
        <w:rPr>
          <w:spacing w:val="-2"/>
          <w:sz w:val="16"/>
          <w:vertAlign w:val="baseline"/>
        </w:rPr>
        <w:t> </w:t>
      </w:r>
      <w:r>
        <w:rPr>
          <w:sz w:val="16"/>
          <w:vertAlign w:val="baseline"/>
        </w:rPr>
        <w:t>Education</w:t>
      </w:r>
      <w:r>
        <w:rPr>
          <w:spacing w:val="40"/>
          <w:sz w:val="16"/>
          <w:vertAlign w:val="baseline"/>
        </w:rPr>
        <w:t> </w:t>
      </w:r>
      <w:r>
        <w:rPr>
          <w:sz w:val="16"/>
          <w:vertAlign w:val="baseline"/>
        </w:rPr>
        <w:t>Loan Program Asset-Backed Securities. Asset-backed securities collateralized by credit card receivables represented approximately 22% and 18% of the</w:t>
      </w:r>
      <w:r>
        <w:rPr>
          <w:spacing w:val="40"/>
          <w:sz w:val="16"/>
          <w:vertAlign w:val="baseline"/>
        </w:rPr>
        <w:t> </w:t>
      </w:r>
      <w:r>
        <w:rPr>
          <w:sz w:val="16"/>
          <w:vertAlign w:val="baseline"/>
        </w:rPr>
        <w:t>asset-backed securities held as of September 30, 2023 and December 31, 2022, respectively.</w:t>
      </w:r>
    </w:p>
    <w:p>
      <w:pPr>
        <w:spacing w:line="249" w:lineRule="auto" w:before="2"/>
        <w:ind w:left="650" w:right="500" w:hanging="180"/>
        <w:jc w:val="left"/>
        <w:rPr>
          <w:sz w:val="16"/>
        </w:rPr>
      </w:pPr>
      <w:r>
        <w:rPr>
          <w:sz w:val="16"/>
          <w:vertAlign w:val="superscript"/>
        </w:rPr>
        <w:t>(2)</w:t>
      </w:r>
      <w:r>
        <w:rPr>
          <w:spacing w:val="-15"/>
          <w:sz w:val="16"/>
          <w:vertAlign w:val="baseline"/>
        </w:rPr>
        <w:t> </w:t>
      </w:r>
      <w:r>
        <w:rPr>
          <w:sz w:val="16"/>
          <w:vertAlign w:val="baseline"/>
        </w:rPr>
        <w:t>As</w:t>
      </w:r>
      <w:r>
        <w:rPr>
          <w:spacing w:val="-3"/>
          <w:sz w:val="16"/>
          <w:vertAlign w:val="baseline"/>
        </w:rPr>
        <w:t> </w:t>
      </w:r>
      <w:r>
        <w:rPr>
          <w:sz w:val="16"/>
          <w:vertAlign w:val="baseline"/>
        </w:rPr>
        <w:t>of</w:t>
      </w:r>
      <w:r>
        <w:rPr>
          <w:spacing w:val="-1"/>
          <w:sz w:val="16"/>
          <w:vertAlign w:val="baseline"/>
        </w:rPr>
        <w:t> </w:t>
      </w:r>
      <w:r>
        <w:rPr>
          <w:sz w:val="16"/>
          <w:vertAlign w:val="baseline"/>
        </w:rPr>
        <w:t>both</w:t>
      </w:r>
      <w:r>
        <w:rPr>
          <w:spacing w:val="-2"/>
          <w:sz w:val="16"/>
          <w:vertAlign w:val="baseline"/>
        </w:rPr>
        <w:t> </w:t>
      </w:r>
      <w:r>
        <w:rPr>
          <w:sz w:val="16"/>
          <w:vertAlign w:val="baseline"/>
        </w:rPr>
        <w:t>September</w:t>
      </w:r>
      <w:r>
        <w:rPr>
          <w:spacing w:val="-1"/>
          <w:sz w:val="16"/>
          <w:vertAlign w:val="baseline"/>
        </w:rPr>
        <w:t> </w:t>
      </w:r>
      <w:r>
        <w:rPr>
          <w:sz w:val="16"/>
          <w:vertAlign w:val="baseline"/>
        </w:rPr>
        <w:t>30,</w:t>
      </w:r>
      <w:r>
        <w:rPr>
          <w:spacing w:val="-1"/>
          <w:sz w:val="16"/>
          <w:vertAlign w:val="baseline"/>
        </w:rPr>
        <w:t> </w:t>
      </w:r>
      <w:r>
        <w:rPr>
          <w:sz w:val="16"/>
          <w:vertAlign w:val="baseline"/>
        </w:rPr>
        <w:t>2023</w:t>
      </w:r>
      <w:r>
        <w:rPr>
          <w:spacing w:val="-2"/>
          <w:sz w:val="16"/>
          <w:vertAlign w:val="baseline"/>
        </w:rPr>
        <w:t> </w:t>
      </w:r>
      <w:r>
        <w:rPr>
          <w:sz w:val="16"/>
          <w:vertAlign w:val="baseline"/>
        </w:rPr>
        <w:t>and</w:t>
      </w:r>
      <w:r>
        <w:rPr>
          <w:spacing w:val="-2"/>
          <w:sz w:val="16"/>
          <w:vertAlign w:val="baseline"/>
        </w:rPr>
        <w:t> </w:t>
      </w:r>
      <w:r>
        <w:rPr>
          <w:sz w:val="16"/>
          <w:vertAlign w:val="baseline"/>
        </w:rPr>
        <w:t>December</w:t>
      </w:r>
      <w:r>
        <w:rPr>
          <w:spacing w:val="-1"/>
          <w:sz w:val="16"/>
          <w:vertAlign w:val="baseline"/>
        </w:rPr>
        <w:t> </w:t>
      </w:r>
      <w:r>
        <w:rPr>
          <w:sz w:val="16"/>
          <w:vertAlign w:val="baseline"/>
        </w:rPr>
        <w:t>31,</w:t>
      </w:r>
      <w:r>
        <w:rPr>
          <w:spacing w:val="-1"/>
          <w:sz w:val="16"/>
          <w:vertAlign w:val="baseline"/>
        </w:rPr>
        <w:t> </w:t>
      </w:r>
      <w:r>
        <w:rPr>
          <w:sz w:val="16"/>
          <w:vertAlign w:val="baseline"/>
        </w:rPr>
        <w:t>2022,</w:t>
      </w:r>
      <w:r>
        <w:rPr>
          <w:spacing w:val="-1"/>
          <w:sz w:val="16"/>
          <w:vertAlign w:val="baseline"/>
        </w:rPr>
        <w:t> </w:t>
      </w:r>
      <w:r>
        <w:rPr>
          <w:sz w:val="16"/>
          <w:vertAlign w:val="baseline"/>
        </w:rPr>
        <w:t>approximately</w:t>
      </w:r>
      <w:r>
        <w:rPr>
          <w:spacing w:val="-2"/>
          <w:sz w:val="16"/>
          <w:vertAlign w:val="baseline"/>
        </w:rPr>
        <w:t> </w:t>
      </w:r>
      <w:r>
        <w:rPr>
          <w:sz w:val="16"/>
          <w:vertAlign w:val="baseline"/>
        </w:rPr>
        <w:t>37%</w:t>
      </w:r>
      <w:r>
        <w:rPr>
          <w:spacing w:val="-2"/>
          <w:sz w:val="16"/>
          <w:vertAlign w:val="baseline"/>
        </w:rPr>
        <w:t> </w:t>
      </w:r>
      <w:r>
        <w:rPr>
          <w:sz w:val="16"/>
          <w:vertAlign w:val="baseline"/>
        </w:rPr>
        <w:t>of</w:t>
      </w:r>
      <w:r>
        <w:rPr>
          <w:spacing w:val="-1"/>
          <w:sz w:val="16"/>
          <w:vertAlign w:val="baseline"/>
        </w:rPr>
        <w:t> </w:t>
      </w:r>
      <w:r>
        <w:rPr>
          <w:sz w:val="16"/>
          <w:vertAlign w:val="baseline"/>
        </w:rPr>
        <w:t>the</w:t>
      </w:r>
      <w:r>
        <w:rPr>
          <w:spacing w:val="-1"/>
          <w:sz w:val="16"/>
          <w:vertAlign w:val="baseline"/>
        </w:rPr>
        <w:t> </w:t>
      </w:r>
      <w:r>
        <w:rPr>
          <w:sz w:val="16"/>
          <w:vertAlign w:val="baseline"/>
        </w:rPr>
        <w:t>total</w:t>
      </w:r>
      <w:r>
        <w:rPr>
          <w:spacing w:val="-1"/>
          <w:sz w:val="16"/>
          <w:vertAlign w:val="baseline"/>
        </w:rPr>
        <w:t> </w:t>
      </w:r>
      <w:r>
        <w:rPr>
          <w:sz w:val="16"/>
          <w:vertAlign w:val="baseline"/>
        </w:rPr>
        <w:t>AFS</w:t>
      </w:r>
      <w:r>
        <w:rPr>
          <w:spacing w:val="-2"/>
          <w:sz w:val="16"/>
          <w:vertAlign w:val="baseline"/>
        </w:rPr>
        <w:t> </w:t>
      </w:r>
      <w:r>
        <w:rPr>
          <w:sz w:val="16"/>
          <w:vertAlign w:val="baseline"/>
        </w:rPr>
        <w:t>in</w:t>
      </w:r>
      <w:r>
        <w:rPr>
          <w:spacing w:val="-1"/>
          <w:sz w:val="16"/>
          <w:vertAlign w:val="baseline"/>
        </w:rPr>
        <w:t> </w:t>
      </w:r>
      <w:r>
        <w:rPr>
          <w:sz w:val="16"/>
          <w:vertAlign w:val="baseline"/>
        </w:rPr>
        <w:t>corporate</w:t>
      </w:r>
      <w:r>
        <w:rPr>
          <w:spacing w:val="-1"/>
          <w:sz w:val="16"/>
          <w:vertAlign w:val="baseline"/>
        </w:rPr>
        <w:t> </w:t>
      </w:r>
      <w:r>
        <w:rPr>
          <w:sz w:val="16"/>
          <w:vertAlign w:val="baseline"/>
        </w:rPr>
        <w:t>debt</w:t>
      </w:r>
      <w:r>
        <w:rPr>
          <w:spacing w:val="-1"/>
          <w:sz w:val="16"/>
          <w:vertAlign w:val="baseline"/>
        </w:rPr>
        <w:t> </w:t>
      </w:r>
      <w:r>
        <w:rPr>
          <w:sz w:val="16"/>
          <w:vertAlign w:val="baseline"/>
        </w:rPr>
        <w:t>securities</w:t>
      </w:r>
      <w:r>
        <w:rPr>
          <w:spacing w:val="-2"/>
          <w:sz w:val="16"/>
          <w:vertAlign w:val="baseline"/>
        </w:rPr>
        <w:t> </w:t>
      </w:r>
      <w:r>
        <w:rPr>
          <w:sz w:val="16"/>
          <w:vertAlign w:val="baseline"/>
        </w:rPr>
        <w:t>were</w:t>
      </w:r>
      <w:r>
        <w:rPr>
          <w:spacing w:val="-1"/>
          <w:sz w:val="16"/>
          <w:vertAlign w:val="baseline"/>
        </w:rPr>
        <w:t> </w:t>
      </w:r>
      <w:r>
        <w:rPr>
          <w:sz w:val="16"/>
          <w:vertAlign w:val="baseline"/>
        </w:rPr>
        <w:t>issued</w:t>
      </w:r>
      <w:r>
        <w:rPr>
          <w:spacing w:val="-1"/>
          <w:sz w:val="16"/>
          <w:vertAlign w:val="baseline"/>
        </w:rPr>
        <w:t> </w:t>
      </w:r>
      <w:r>
        <w:rPr>
          <w:sz w:val="16"/>
          <w:vertAlign w:val="baseline"/>
        </w:rPr>
        <w:t>by</w:t>
      </w:r>
      <w:r>
        <w:rPr>
          <w:spacing w:val="-1"/>
          <w:sz w:val="16"/>
          <w:vertAlign w:val="baseline"/>
        </w:rPr>
        <w:t> </w:t>
      </w:r>
      <w:r>
        <w:rPr>
          <w:sz w:val="16"/>
          <w:vertAlign w:val="baseline"/>
        </w:rPr>
        <w:t>institutions</w:t>
      </w:r>
      <w:r>
        <w:rPr>
          <w:spacing w:val="-2"/>
          <w:sz w:val="16"/>
          <w:vertAlign w:val="baseline"/>
        </w:rPr>
        <w:t> </w:t>
      </w:r>
      <w:r>
        <w:rPr>
          <w:sz w:val="16"/>
          <w:vertAlign w:val="baseline"/>
        </w:rPr>
        <w:t>in</w:t>
      </w:r>
      <w:r>
        <w:rPr>
          <w:spacing w:val="-1"/>
          <w:sz w:val="16"/>
          <w:vertAlign w:val="baseline"/>
        </w:rPr>
        <w:t> </w:t>
      </w:r>
      <w:r>
        <w:rPr>
          <w:sz w:val="16"/>
          <w:vertAlign w:val="baseline"/>
        </w:rPr>
        <w:t>the</w:t>
      </w:r>
      <w:r>
        <w:rPr>
          <w:spacing w:val="40"/>
          <w:sz w:val="16"/>
          <w:vertAlign w:val="baseline"/>
        </w:rPr>
        <w:t> </w:t>
      </w:r>
      <w:r>
        <w:rPr>
          <w:sz w:val="16"/>
          <w:vertAlign w:val="baseline"/>
        </w:rPr>
        <w:t>financial services industry.</w:t>
      </w:r>
    </w:p>
    <w:p>
      <w:pPr>
        <w:spacing w:line="249" w:lineRule="auto" w:before="1"/>
        <w:ind w:left="650" w:right="0" w:hanging="180"/>
        <w:jc w:val="left"/>
        <w:rPr>
          <w:sz w:val="16"/>
        </w:rPr>
      </w:pPr>
      <w:r>
        <w:rPr>
          <w:sz w:val="16"/>
          <w:vertAlign w:val="superscript"/>
        </w:rPr>
        <w:t>(3)</w:t>
      </w:r>
      <w:r>
        <w:rPr>
          <w:spacing w:val="-2"/>
          <w:sz w:val="16"/>
          <w:vertAlign w:val="baseline"/>
        </w:rPr>
        <w:t> </w:t>
      </w:r>
      <w:r>
        <w:rPr>
          <w:sz w:val="16"/>
          <w:vertAlign w:val="baseline"/>
        </w:rPr>
        <w:t>Beginning</w:t>
      </w:r>
      <w:r>
        <w:rPr>
          <w:spacing w:val="-1"/>
          <w:sz w:val="16"/>
          <w:vertAlign w:val="baseline"/>
        </w:rPr>
        <w:t> </w:t>
      </w:r>
      <w:r>
        <w:rPr>
          <w:sz w:val="16"/>
          <w:vertAlign w:val="baseline"/>
        </w:rPr>
        <w:t>in</w:t>
      </w:r>
      <w:r>
        <w:rPr>
          <w:spacing w:val="-1"/>
          <w:sz w:val="16"/>
          <w:vertAlign w:val="baseline"/>
        </w:rPr>
        <w:t> </w:t>
      </w:r>
      <w:r>
        <w:rPr>
          <w:sz w:val="16"/>
          <w:vertAlign w:val="baseline"/>
        </w:rPr>
        <w:t>2023,</w:t>
      </w:r>
      <w:r>
        <w:rPr>
          <w:spacing w:val="-1"/>
          <w:sz w:val="16"/>
          <w:vertAlign w:val="baseline"/>
        </w:rPr>
        <w:t> </w:t>
      </w:r>
      <w:r>
        <w:rPr>
          <w:sz w:val="16"/>
          <w:vertAlign w:val="baseline"/>
        </w:rPr>
        <w:t>this</w:t>
      </w:r>
      <w:r>
        <w:rPr>
          <w:spacing w:val="-2"/>
          <w:sz w:val="16"/>
          <w:vertAlign w:val="baseline"/>
        </w:rPr>
        <w:t> </w:t>
      </w:r>
      <w:r>
        <w:rPr>
          <w:sz w:val="16"/>
          <w:vertAlign w:val="baseline"/>
        </w:rPr>
        <w:t>represents</w:t>
      </w:r>
      <w:r>
        <w:rPr>
          <w:spacing w:val="-2"/>
          <w:sz w:val="16"/>
          <w:vertAlign w:val="baseline"/>
        </w:rPr>
        <w:t> </w:t>
      </w:r>
      <w:r>
        <w:rPr>
          <w:sz w:val="16"/>
          <w:vertAlign w:val="baseline"/>
        </w:rPr>
        <w:t>the</w:t>
      </w:r>
      <w:r>
        <w:rPr>
          <w:spacing w:val="-1"/>
          <w:sz w:val="16"/>
          <w:vertAlign w:val="baseline"/>
        </w:rPr>
        <w:t> </w:t>
      </w:r>
      <w:r>
        <w:rPr>
          <w:sz w:val="16"/>
          <w:vertAlign w:val="baseline"/>
        </w:rPr>
        <w:t>amount</w:t>
      </w:r>
      <w:r>
        <w:rPr>
          <w:spacing w:val="-1"/>
          <w:sz w:val="16"/>
          <w:vertAlign w:val="baseline"/>
        </w:rPr>
        <w:t> </w:t>
      </w:r>
      <w:r>
        <w:rPr>
          <w:sz w:val="16"/>
          <w:vertAlign w:val="baseline"/>
        </w:rPr>
        <w:t>of</w:t>
      </w:r>
      <w:r>
        <w:rPr>
          <w:spacing w:val="-3"/>
          <w:sz w:val="16"/>
          <w:vertAlign w:val="baseline"/>
        </w:rPr>
        <w:t> </w:t>
      </w:r>
      <w:r>
        <w:rPr>
          <w:sz w:val="16"/>
          <w:vertAlign w:val="baseline"/>
        </w:rPr>
        <w:t>PLM</w:t>
      </w:r>
      <w:r>
        <w:rPr>
          <w:spacing w:val="-2"/>
          <w:sz w:val="16"/>
          <w:vertAlign w:val="baseline"/>
        </w:rPr>
        <w:t> </w:t>
      </w:r>
      <w:r>
        <w:rPr>
          <w:sz w:val="16"/>
          <w:vertAlign w:val="baseline"/>
        </w:rPr>
        <w:t>basis</w:t>
      </w:r>
      <w:r>
        <w:rPr>
          <w:spacing w:val="-2"/>
          <w:sz w:val="16"/>
          <w:vertAlign w:val="baseline"/>
        </w:rPr>
        <w:t> </w:t>
      </w:r>
      <w:r>
        <w:rPr>
          <w:sz w:val="16"/>
          <w:vertAlign w:val="baseline"/>
        </w:rPr>
        <w:t>adjustments</w:t>
      </w:r>
      <w:r>
        <w:rPr>
          <w:spacing w:val="-2"/>
          <w:sz w:val="16"/>
          <w:vertAlign w:val="baseline"/>
        </w:rPr>
        <w:t> </w:t>
      </w:r>
      <w:r>
        <w:rPr>
          <w:sz w:val="16"/>
          <w:vertAlign w:val="baseline"/>
        </w:rPr>
        <w:t>related</w:t>
      </w:r>
      <w:r>
        <w:rPr>
          <w:spacing w:val="-1"/>
          <w:sz w:val="16"/>
          <w:vertAlign w:val="baseline"/>
        </w:rPr>
        <w:t> </w:t>
      </w:r>
      <w:r>
        <w:rPr>
          <w:sz w:val="16"/>
          <w:vertAlign w:val="baseline"/>
        </w:rPr>
        <w:t>to</w:t>
      </w:r>
      <w:r>
        <w:rPr>
          <w:spacing w:val="-1"/>
          <w:sz w:val="16"/>
          <w:vertAlign w:val="baseline"/>
        </w:rPr>
        <w:t> </w:t>
      </w:r>
      <w:r>
        <w:rPr>
          <w:sz w:val="16"/>
          <w:vertAlign w:val="baseline"/>
        </w:rPr>
        <w:t>AFS</w:t>
      </w:r>
      <w:r>
        <w:rPr>
          <w:spacing w:val="-2"/>
          <w:sz w:val="16"/>
          <w:vertAlign w:val="baseline"/>
        </w:rPr>
        <w:t> </w:t>
      </w:r>
      <w:r>
        <w:rPr>
          <w:sz w:val="16"/>
          <w:vertAlign w:val="baseline"/>
        </w:rPr>
        <w:t>securities</w:t>
      </w:r>
      <w:r>
        <w:rPr>
          <w:spacing w:val="-2"/>
          <w:sz w:val="16"/>
          <w:vertAlign w:val="baseline"/>
        </w:rPr>
        <w:t> </w:t>
      </w:r>
      <w:r>
        <w:rPr>
          <w:sz w:val="16"/>
          <w:vertAlign w:val="baseline"/>
        </w:rPr>
        <w:t>hedged</w:t>
      </w:r>
      <w:r>
        <w:rPr>
          <w:spacing w:val="-1"/>
          <w:sz w:val="16"/>
          <w:vertAlign w:val="baseline"/>
        </w:rPr>
        <w:t> </w:t>
      </w:r>
      <w:r>
        <w:rPr>
          <w:sz w:val="16"/>
          <w:vertAlign w:val="baseline"/>
        </w:rPr>
        <w:t>in</w:t>
      </w:r>
      <w:r>
        <w:rPr>
          <w:spacing w:val="-1"/>
          <w:sz w:val="16"/>
          <w:vertAlign w:val="baseline"/>
        </w:rPr>
        <w:t> </w:t>
      </w:r>
      <w:r>
        <w:rPr>
          <w:sz w:val="16"/>
          <w:vertAlign w:val="baseline"/>
        </w:rPr>
        <w:t>a</w:t>
      </w:r>
      <w:r>
        <w:rPr>
          <w:spacing w:val="-1"/>
          <w:sz w:val="16"/>
          <w:vertAlign w:val="baseline"/>
        </w:rPr>
        <w:t> </w:t>
      </w:r>
      <w:r>
        <w:rPr>
          <w:sz w:val="16"/>
          <w:vertAlign w:val="baseline"/>
        </w:rPr>
        <w:t>closed</w:t>
      </w:r>
      <w:r>
        <w:rPr>
          <w:spacing w:val="-1"/>
          <w:sz w:val="16"/>
          <w:vertAlign w:val="baseline"/>
        </w:rPr>
        <w:t> </w:t>
      </w:r>
      <w:r>
        <w:rPr>
          <w:sz w:val="16"/>
          <w:vertAlign w:val="baseline"/>
        </w:rPr>
        <w:t>portfolio.</w:t>
      </w:r>
      <w:r>
        <w:rPr>
          <w:spacing w:val="-1"/>
          <w:sz w:val="16"/>
          <w:vertAlign w:val="baseline"/>
        </w:rPr>
        <w:t> </w:t>
      </w:r>
      <w:r>
        <w:rPr>
          <w:sz w:val="16"/>
          <w:vertAlign w:val="baseline"/>
        </w:rPr>
        <w:t>See</w:t>
      </w:r>
      <w:r>
        <w:rPr>
          <w:spacing w:val="-1"/>
          <w:sz w:val="16"/>
          <w:vertAlign w:val="baseline"/>
        </w:rPr>
        <w:t> </w:t>
      </w:r>
      <w:r>
        <w:rPr>
          <w:sz w:val="16"/>
          <w:vertAlign w:val="baseline"/>
        </w:rPr>
        <w:t>Notes</w:t>
      </w:r>
      <w:r>
        <w:rPr>
          <w:spacing w:val="-4"/>
          <w:sz w:val="16"/>
          <w:vertAlign w:val="baseline"/>
        </w:rPr>
        <w:t> </w:t>
      </w:r>
      <w:r>
        <w:rPr>
          <w:sz w:val="16"/>
          <w:vertAlign w:val="baseline"/>
        </w:rPr>
        <w:t>2</w:t>
      </w:r>
      <w:r>
        <w:rPr>
          <w:spacing w:val="-1"/>
          <w:sz w:val="16"/>
          <w:vertAlign w:val="baseline"/>
        </w:rPr>
        <w:t> </w:t>
      </w:r>
      <w:r>
        <w:rPr>
          <w:sz w:val="16"/>
          <w:vertAlign w:val="baseline"/>
        </w:rPr>
        <w:t>and</w:t>
      </w:r>
      <w:r>
        <w:rPr>
          <w:spacing w:val="-2"/>
          <w:sz w:val="16"/>
          <w:vertAlign w:val="baseline"/>
        </w:rPr>
        <w:t> </w:t>
      </w:r>
      <w:r>
        <w:rPr>
          <w:sz w:val="16"/>
          <w:vertAlign w:val="baseline"/>
        </w:rPr>
        <w:t>11</w:t>
      </w:r>
      <w:r>
        <w:rPr>
          <w:spacing w:val="-1"/>
          <w:sz w:val="16"/>
          <w:vertAlign w:val="baseline"/>
        </w:rPr>
        <w:t> </w:t>
      </w:r>
      <w:r>
        <w:rPr>
          <w:sz w:val="16"/>
          <w:vertAlign w:val="baseline"/>
        </w:rPr>
        <w:t>for</w:t>
      </w:r>
      <w:r>
        <w:rPr>
          <w:spacing w:val="-1"/>
          <w:sz w:val="16"/>
          <w:vertAlign w:val="baseline"/>
        </w:rPr>
        <w:t> </w:t>
      </w:r>
      <w:r>
        <w:rPr>
          <w:sz w:val="16"/>
          <w:vertAlign w:val="baseline"/>
        </w:rPr>
        <w:t>more</w:t>
      </w:r>
      <w:r>
        <w:rPr>
          <w:spacing w:val="40"/>
          <w:sz w:val="16"/>
          <w:vertAlign w:val="baseline"/>
        </w:rPr>
        <w:t> </w:t>
      </w:r>
      <w:r>
        <w:rPr>
          <w:sz w:val="16"/>
          <w:vertAlign w:val="baseline"/>
        </w:rPr>
        <w:t>information on PLM hedge accounting.</w:t>
      </w:r>
    </w:p>
    <w:p>
      <w:pPr>
        <w:spacing w:line="249" w:lineRule="auto" w:before="2"/>
        <w:ind w:left="650" w:right="500" w:hanging="180"/>
        <w:jc w:val="left"/>
        <w:rPr>
          <w:sz w:val="16"/>
        </w:rPr>
      </w:pPr>
      <w:r>
        <w:rPr>
          <w:sz w:val="16"/>
          <w:vertAlign w:val="superscript"/>
        </w:rPr>
        <w:t>(4)</w:t>
      </w:r>
      <w:r>
        <w:rPr>
          <w:spacing w:val="-15"/>
          <w:sz w:val="16"/>
          <w:vertAlign w:val="baseline"/>
        </w:rPr>
        <w:t> </w:t>
      </w:r>
      <w:r>
        <w:rPr>
          <w:sz w:val="16"/>
          <w:vertAlign w:val="baseline"/>
        </w:rPr>
        <w:t>Included</w:t>
      </w:r>
      <w:r>
        <w:rPr>
          <w:spacing w:val="-2"/>
          <w:sz w:val="16"/>
          <w:vertAlign w:val="baseline"/>
        </w:rPr>
        <w:t> </w:t>
      </w:r>
      <w:r>
        <w:rPr>
          <w:sz w:val="16"/>
          <w:vertAlign w:val="baseline"/>
        </w:rPr>
        <w:t>in</w:t>
      </w:r>
      <w:r>
        <w:rPr>
          <w:spacing w:val="-2"/>
          <w:sz w:val="16"/>
          <w:vertAlign w:val="baseline"/>
        </w:rPr>
        <w:t> </w:t>
      </w:r>
      <w:r>
        <w:rPr>
          <w:sz w:val="16"/>
          <w:vertAlign w:val="baseline"/>
        </w:rPr>
        <w:t>cash</w:t>
      </w:r>
      <w:r>
        <w:rPr>
          <w:spacing w:val="-2"/>
          <w:sz w:val="16"/>
          <w:vertAlign w:val="baseline"/>
        </w:rPr>
        <w:t> </w:t>
      </w:r>
      <w:r>
        <w:rPr>
          <w:sz w:val="16"/>
          <w:vertAlign w:val="baseline"/>
        </w:rPr>
        <w:t>and</w:t>
      </w:r>
      <w:r>
        <w:rPr>
          <w:spacing w:val="-2"/>
          <w:sz w:val="16"/>
          <w:vertAlign w:val="baseline"/>
        </w:rPr>
        <w:t> </w:t>
      </w:r>
      <w:r>
        <w:rPr>
          <w:sz w:val="16"/>
          <w:vertAlign w:val="baseline"/>
        </w:rPr>
        <w:t>cash</w:t>
      </w:r>
      <w:r>
        <w:rPr>
          <w:spacing w:val="-2"/>
          <w:sz w:val="16"/>
          <w:vertAlign w:val="baseline"/>
        </w:rPr>
        <w:t> </w:t>
      </w:r>
      <w:r>
        <w:rPr>
          <w:sz w:val="16"/>
          <w:vertAlign w:val="baseline"/>
        </w:rPr>
        <w:t>equivalents</w:t>
      </w:r>
      <w:r>
        <w:rPr>
          <w:spacing w:val="-3"/>
          <w:sz w:val="16"/>
          <w:vertAlign w:val="baseline"/>
        </w:rPr>
        <w:t> </w:t>
      </w:r>
      <w:r>
        <w:rPr>
          <w:sz w:val="16"/>
          <w:vertAlign w:val="baseline"/>
        </w:rPr>
        <w:t>on</w:t>
      </w:r>
      <w:r>
        <w:rPr>
          <w:spacing w:val="-2"/>
          <w:sz w:val="16"/>
          <w:vertAlign w:val="baseline"/>
        </w:rPr>
        <w:t> </w:t>
      </w:r>
      <w:r>
        <w:rPr>
          <w:sz w:val="16"/>
          <w:vertAlign w:val="baseline"/>
        </w:rPr>
        <w:t>the</w:t>
      </w:r>
      <w:r>
        <w:rPr>
          <w:spacing w:val="-2"/>
          <w:sz w:val="16"/>
          <w:vertAlign w:val="baseline"/>
        </w:rPr>
        <w:t> </w:t>
      </w:r>
      <w:r>
        <w:rPr>
          <w:sz w:val="16"/>
          <w:vertAlign w:val="baseline"/>
        </w:rPr>
        <w:t>condensed</w:t>
      </w:r>
      <w:r>
        <w:rPr>
          <w:spacing w:val="-2"/>
          <w:sz w:val="16"/>
          <w:vertAlign w:val="baseline"/>
        </w:rPr>
        <w:t> </w:t>
      </w:r>
      <w:r>
        <w:rPr>
          <w:sz w:val="16"/>
          <w:vertAlign w:val="baseline"/>
        </w:rPr>
        <w:t>consolidated</w:t>
      </w:r>
      <w:r>
        <w:rPr>
          <w:spacing w:val="-2"/>
          <w:sz w:val="16"/>
          <w:vertAlign w:val="baseline"/>
        </w:rPr>
        <w:t> </w:t>
      </w:r>
      <w:r>
        <w:rPr>
          <w:sz w:val="16"/>
          <w:vertAlign w:val="baseline"/>
        </w:rPr>
        <w:t>balance</w:t>
      </w:r>
      <w:r>
        <w:rPr>
          <w:spacing w:val="-2"/>
          <w:sz w:val="16"/>
          <w:vertAlign w:val="baseline"/>
        </w:rPr>
        <w:t> </w:t>
      </w:r>
      <w:r>
        <w:rPr>
          <w:sz w:val="16"/>
          <w:vertAlign w:val="baseline"/>
        </w:rPr>
        <w:t>sheets,</w:t>
      </w:r>
      <w:r>
        <w:rPr>
          <w:spacing w:val="-2"/>
          <w:sz w:val="16"/>
          <w:vertAlign w:val="baseline"/>
        </w:rPr>
        <w:t> </w:t>
      </w:r>
      <w:r>
        <w:rPr>
          <w:sz w:val="16"/>
          <w:vertAlign w:val="baseline"/>
        </w:rPr>
        <w:t>but</w:t>
      </w:r>
      <w:r>
        <w:rPr>
          <w:spacing w:val="-2"/>
          <w:sz w:val="16"/>
          <w:vertAlign w:val="baseline"/>
        </w:rPr>
        <w:t> </w:t>
      </w:r>
      <w:r>
        <w:rPr>
          <w:sz w:val="16"/>
          <w:vertAlign w:val="baseline"/>
        </w:rPr>
        <w:t>excluded</w:t>
      </w:r>
      <w:r>
        <w:rPr>
          <w:spacing w:val="-2"/>
          <w:sz w:val="16"/>
          <w:vertAlign w:val="baseline"/>
        </w:rPr>
        <w:t> </w:t>
      </w:r>
      <w:r>
        <w:rPr>
          <w:sz w:val="16"/>
          <w:vertAlign w:val="baseline"/>
        </w:rPr>
        <w:t>from</w:t>
      </w:r>
      <w:r>
        <w:rPr>
          <w:spacing w:val="-2"/>
          <w:sz w:val="16"/>
          <w:vertAlign w:val="baseline"/>
        </w:rPr>
        <w:t> </w:t>
      </w:r>
      <w:r>
        <w:rPr>
          <w:sz w:val="16"/>
          <w:vertAlign w:val="baseline"/>
        </w:rPr>
        <w:t>this</w:t>
      </w:r>
      <w:r>
        <w:rPr>
          <w:spacing w:val="-3"/>
          <w:sz w:val="16"/>
          <w:vertAlign w:val="baseline"/>
        </w:rPr>
        <w:t> </w:t>
      </w:r>
      <w:r>
        <w:rPr>
          <w:sz w:val="16"/>
          <w:vertAlign w:val="baseline"/>
        </w:rPr>
        <w:t>table</w:t>
      </w:r>
      <w:r>
        <w:rPr>
          <w:spacing w:val="-2"/>
          <w:sz w:val="16"/>
          <w:vertAlign w:val="baseline"/>
        </w:rPr>
        <w:t> </w:t>
      </w:r>
      <w:r>
        <w:rPr>
          <w:sz w:val="16"/>
          <w:vertAlign w:val="baseline"/>
        </w:rPr>
        <w:t>is</w:t>
      </w:r>
      <w:r>
        <w:rPr>
          <w:spacing w:val="-5"/>
          <w:sz w:val="16"/>
          <w:vertAlign w:val="baseline"/>
        </w:rPr>
        <w:t> </w:t>
      </w:r>
      <w:r>
        <w:rPr>
          <w:sz w:val="16"/>
          <w:vertAlign w:val="baseline"/>
        </w:rPr>
        <w:t>$48</w:t>
      </w:r>
      <w:r>
        <w:rPr>
          <w:spacing w:val="-2"/>
          <w:sz w:val="16"/>
          <w:vertAlign w:val="baseline"/>
        </w:rPr>
        <w:t> </w:t>
      </w:r>
      <w:r>
        <w:rPr>
          <w:sz w:val="16"/>
          <w:vertAlign w:val="baseline"/>
        </w:rPr>
        <w:t>million</w:t>
      </w:r>
      <w:r>
        <w:rPr>
          <w:spacing w:val="-3"/>
          <w:sz w:val="16"/>
          <w:vertAlign w:val="baseline"/>
        </w:rPr>
        <w:t> </w:t>
      </w:r>
      <w:r>
        <w:rPr>
          <w:sz w:val="16"/>
          <w:vertAlign w:val="baseline"/>
        </w:rPr>
        <w:t>of</w:t>
      </w:r>
      <w:r>
        <w:rPr>
          <w:spacing w:val="-2"/>
          <w:sz w:val="16"/>
          <w:vertAlign w:val="baseline"/>
        </w:rPr>
        <w:t> </w:t>
      </w:r>
      <w:r>
        <w:rPr>
          <w:sz w:val="16"/>
          <w:vertAlign w:val="baseline"/>
        </w:rPr>
        <w:t>AFS</w:t>
      </w:r>
      <w:r>
        <w:rPr>
          <w:spacing w:val="-3"/>
          <w:sz w:val="16"/>
          <w:vertAlign w:val="baseline"/>
        </w:rPr>
        <w:t> </w:t>
      </w:r>
      <w:r>
        <w:rPr>
          <w:sz w:val="16"/>
          <w:vertAlign w:val="baseline"/>
        </w:rPr>
        <w:t>commercial</w:t>
      </w:r>
      <w:r>
        <w:rPr>
          <w:spacing w:val="-2"/>
          <w:sz w:val="16"/>
          <w:vertAlign w:val="baseline"/>
        </w:rPr>
        <w:t> </w:t>
      </w:r>
      <w:r>
        <w:rPr>
          <w:sz w:val="16"/>
          <w:vertAlign w:val="baseline"/>
        </w:rPr>
        <w:t>paper</w:t>
      </w:r>
      <w:r>
        <w:rPr>
          <w:spacing w:val="-2"/>
          <w:sz w:val="16"/>
          <w:vertAlign w:val="baseline"/>
        </w:rPr>
        <w:t> </w:t>
      </w:r>
      <w:r>
        <w:rPr>
          <w:sz w:val="16"/>
          <w:vertAlign w:val="baseline"/>
        </w:rPr>
        <w:t>as</w:t>
      </w:r>
      <w:r>
        <w:rPr>
          <w:spacing w:val="40"/>
          <w:sz w:val="16"/>
          <w:vertAlign w:val="baseline"/>
        </w:rPr>
        <w:t> </w:t>
      </w:r>
      <w:r>
        <w:rPr>
          <w:sz w:val="16"/>
          <w:vertAlign w:val="baseline"/>
        </w:rPr>
        <w:t>of December 31, 2022 (none as of September 30, 2023). These holdings have maturities of three months or less and an aggregate market value equal to</w:t>
      </w:r>
      <w:r>
        <w:rPr>
          <w:spacing w:val="40"/>
          <w:sz w:val="16"/>
          <w:vertAlign w:val="baseline"/>
        </w:rPr>
        <w:t> </w:t>
      </w:r>
      <w:r>
        <w:rPr>
          <w:sz w:val="16"/>
          <w:vertAlign w:val="baseline"/>
        </w:rPr>
        <w:t>amortized</w:t>
      </w:r>
      <w:r>
        <w:rPr>
          <w:spacing w:val="-1"/>
          <w:sz w:val="16"/>
          <w:vertAlign w:val="baseline"/>
        </w:rPr>
        <w:t> </w:t>
      </w:r>
      <w:r>
        <w:rPr>
          <w:sz w:val="16"/>
          <w:vertAlign w:val="baseline"/>
        </w:rPr>
        <w:t>cost.</w:t>
      </w:r>
    </w:p>
    <w:p>
      <w:pPr>
        <w:pStyle w:val="BodyText"/>
        <w:spacing w:before="60"/>
        <w:rPr>
          <w:sz w:val="16"/>
        </w:rPr>
      </w:pPr>
    </w:p>
    <w:p>
      <w:pPr>
        <w:pStyle w:val="BodyText"/>
        <w:spacing w:line="249" w:lineRule="auto"/>
        <w:ind w:left="470" w:right="548"/>
      </w:pPr>
      <w:r>
        <w:rPr/>
        <w:t>During</w:t>
      </w:r>
      <w:r>
        <w:rPr>
          <w:spacing w:val="-1"/>
        </w:rPr>
        <w:t> </w:t>
      </w:r>
      <w:r>
        <w:rPr/>
        <w:t>2022,</w:t>
      </w:r>
      <w:r>
        <w:rPr>
          <w:spacing w:val="-1"/>
        </w:rPr>
        <w:t> </w:t>
      </w:r>
      <w:r>
        <w:rPr/>
        <w:t>the</w:t>
      </w:r>
      <w:r>
        <w:rPr>
          <w:spacing w:val="-2"/>
        </w:rPr>
        <w:t> </w:t>
      </w:r>
      <w:r>
        <w:rPr/>
        <w:t>Company</w:t>
      </w:r>
      <w:r>
        <w:rPr>
          <w:spacing w:val="-1"/>
        </w:rPr>
        <w:t> </w:t>
      </w:r>
      <w:r>
        <w:rPr/>
        <w:t>transferred</w:t>
      </w:r>
      <w:r>
        <w:rPr>
          <w:spacing w:val="-1"/>
        </w:rPr>
        <w:t> </w:t>
      </w:r>
      <w:r>
        <w:rPr/>
        <w:t>a</w:t>
      </w:r>
      <w:r>
        <w:rPr>
          <w:spacing w:val="-2"/>
        </w:rPr>
        <w:t> </w:t>
      </w:r>
      <w:r>
        <w:rPr/>
        <w:t>total</w:t>
      </w:r>
      <w:r>
        <w:rPr>
          <w:spacing w:val="-2"/>
        </w:rPr>
        <w:t> </w:t>
      </w:r>
      <w:r>
        <w:rPr/>
        <w:t>of</w:t>
      </w:r>
      <w:r>
        <w:rPr>
          <w:spacing w:val="-1"/>
        </w:rPr>
        <w:t> </w:t>
      </w:r>
      <w:r>
        <w:rPr/>
        <w:t>$188.6</w:t>
      </w:r>
      <w:r>
        <w:rPr>
          <w:spacing w:val="-1"/>
        </w:rPr>
        <w:t> </w:t>
      </w:r>
      <w:r>
        <w:rPr/>
        <w:t>billion</w:t>
      </w:r>
      <w:r>
        <w:rPr>
          <w:spacing w:val="-1"/>
        </w:rPr>
        <w:t> </w:t>
      </w:r>
      <w:r>
        <w:rPr/>
        <w:t>of</w:t>
      </w:r>
      <w:r>
        <w:rPr>
          <w:spacing w:val="-1"/>
        </w:rPr>
        <w:t> </w:t>
      </w:r>
      <w:r>
        <w:rPr/>
        <w:t>U.S.</w:t>
      </w:r>
      <w:r>
        <w:rPr>
          <w:spacing w:val="-1"/>
        </w:rPr>
        <w:t> </w:t>
      </w:r>
      <w:r>
        <w:rPr/>
        <w:t>agency</w:t>
      </w:r>
      <w:r>
        <w:rPr>
          <w:spacing w:val="-1"/>
        </w:rPr>
        <w:t> </w:t>
      </w:r>
      <w:r>
        <w:rPr/>
        <w:t>mortgage-backed</w:t>
      </w:r>
      <w:r>
        <w:rPr>
          <w:spacing w:val="-1"/>
        </w:rPr>
        <w:t> </w:t>
      </w:r>
      <w:r>
        <w:rPr/>
        <w:t>securities</w:t>
      </w:r>
      <w:r>
        <w:rPr>
          <w:spacing w:val="-2"/>
        </w:rPr>
        <w:t> </w:t>
      </w:r>
      <w:r>
        <w:rPr/>
        <w:t>with</w:t>
      </w:r>
      <w:r>
        <w:rPr>
          <w:spacing w:val="-1"/>
        </w:rPr>
        <w:t> </w:t>
      </w:r>
      <w:r>
        <w:rPr/>
        <w:t>a</w:t>
      </w:r>
      <w:r>
        <w:rPr>
          <w:spacing w:val="-2"/>
        </w:rPr>
        <w:t> </w:t>
      </w:r>
      <w:r>
        <w:rPr/>
        <w:t>total</w:t>
      </w:r>
      <w:r>
        <w:rPr>
          <w:spacing w:val="-2"/>
        </w:rPr>
        <w:t> </w:t>
      </w:r>
      <w:r>
        <w:rPr/>
        <w:t>net</w:t>
      </w:r>
      <w:r>
        <w:rPr>
          <w:spacing w:val="-2"/>
        </w:rPr>
        <w:t> </w:t>
      </w:r>
      <w:r>
        <w:rPr/>
        <w:t>pre- tax unrealized loss at the times of transfer of $18.2 billion from the AFS category to the HTM category. The transfer of these securities</w:t>
      </w:r>
      <w:r>
        <w:rPr>
          <w:spacing w:val="-2"/>
        </w:rPr>
        <w:t> </w:t>
      </w:r>
      <w:r>
        <w:rPr/>
        <w:t>to</w:t>
      </w:r>
      <w:r>
        <w:rPr>
          <w:spacing w:val="-1"/>
        </w:rPr>
        <w:t> </w:t>
      </w:r>
      <w:r>
        <w:rPr/>
        <w:t>the</w:t>
      </w:r>
      <w:r>
        <w:rPr>
          <w:spacing w:val="-2"/>
        </w:rPr>
        <w:t> </w:t>
      </w:r>
      <w:r>
        <w:rPr/>
        <w:t>HTM</w:t>
      </w:r>
      <w:r>
        <w:rPr>
          <w:spacing w:val="-2"/>
        </w:rPr>
        <w:t> </w:t>
      </w:r>
      <w:r>
        <w:rPr/>
        <w:t>category</w:t>
      </w:r>
      <w:r>
        <w:rPr>
          <w:spacing w:val="-1"/>
        </w:rPr>
        <w:t> </w:t>
      </w:r>
      <w:r>
        <w:rPr/>
        <w:t>reduces</w:t>
      </w:r>
      <w:r>
        <w:rPr>
          <w:spacing w:val="-2"/>
        </w:rPr>
        <w:t> </w:t>
      </w:r>
      <w:r>
        <w:rPr/>
        <w:t>the</w:t>
      </w:r>
      <w:r>
        <w:rPr>
          <w:spacing w:val="-2"/>
        </w:rPr>
        <w:t> </w:t>
      </w:r>
      <w:r>
        <w:rPr/>
        <w:t>Company’s</w:t>
      </w:r>
      <w:r>
        <w:rPr>
          <w:spacing w:val="-2"/>
        </w:rPr>
        <w:t> </w:t>
      </w:r>
      <w:r>
        <w:rPr/>
        <w:t>exposure</w:t>
      </w:r>
      <w:r>
        <w:rPr>
          <w:spacing w:val="-2"/>
        </w:rPr>
        <w:t> </w:t>
      </w:r>
      <w:r>
        <w:rPr/>
        <w:t>to</w:t>
      </w:r>
      <w:r>
        <w:rPr>
          <w:spacing w:val="-1"/>
        </w:rPr>
        <w:t> </w:t>
      </w:r>
      <w:r>
        <w:rPr/>
        <w:t>fluctuations</w:t>
      </w:r>
      <w:r>
        <w:rPr>
          <w:spacing w:val="-2"/>
        </w:rPr>
        <w:t> </w:t>
      </w:r>
      <w:r>
        <w:rPr/>
        <w:t>in</w:t>
      </w:r>
      <w:r>
        <w:rPr>
          <w:spacing w:val="-1"/>
        </w:rPr>
        <w:t> </w:t>
      </w:r>
      <w:r>
        <w:rPr/>
        <w:t>AOCI</w:t>
      </w:r>
      <w:r>
        <w:rPr>
          <w:spacing w:val="-1"/>
        </w:rPr>
        <w:t> </w:t>
      </w:r>
      <w:r>
        <w:rPr/>
        <w:t>that</w:t>
      </w:r>
      <w:r>
        <w:rPr>
          <w:spacing w:val="-2"/>
        </w:rPr>
        <w:t> </w:t>
      </w:r>
      <w:r>
        <w:rPr/>
        <w:t>can</w:t>
      </w:r>
      <w:r>
        <w:rPr>
          <w:spacing w:val="-1"/>
        </w:rPr>
        <w:t> </w:t>
      </w:r>
      <w:r>
        <w:rPr/>
        <w:t>result</w:t>
      </w:r>
      <w:r>
        <w:rPr>
          <w:spacing w:val="-2"/>
        </w:rPr>
        <w:t> </w:t>
      </w:r>
      <w:r>
        <w:rPr/>
        <w:t>from</w:t>
      </w:r>
      <w:r>
        <w:rPr>
          <w:spacing w:val="-2"/>
        </w:rPr>
        <w:t> </w:t>
      </w:r>
      <w:r>
        <w:rPr/>
        <w:t>unrealized</w:t>
      </w:r>
      <w:r>
        <w:rPr>
          <w:spacing w:val="-1"/>
        </w:rPr>
        <w:t> </w:t>
      </w:r>
      <w:r>
        <w:rPr/>
        <w:t>losses on AFS securities due to changes in market interest rates. The unrealized loss at the time of transfer is amortized over the remaining life of the security, offsetting the amortization of the security’s premium or discount, and resulting in no impact to net</w:t>
      </w:r>
      <w:r>
        <w:rPr>
          <w:spacing w:val="-3"/>
        </w:rPr>
        <w:t> </w:t>
      </w:r>
      <w:r>
        <w:rPr/>
        <w:t>income.</w:t>
      </w:r>
      <w:r>
        <w:rPr>
          <w:spacing w:val="-3"/>
        </w:rPr>
        <w:t> </w:t>
      </w:r>
      <w:r>
        <w:rPr/>
        <w:t>As</w:t>
      </w:r>
      <w:r>
        <w:rPr>
          <w:spacing w:val="-3"/>
        </w:rPr>
        <w:t> </w:t>
      </w:r>
      <w:r>
        <w:rPr/>
        <w:t>of</w:t>
      </w:r>
      <w:r>
        <w:rPr>
          <w:spacing w:val="-3"/>
        </w:rPr>
        <w:t> </w:t>
      </w:r>
      <w:r>
        <w:rPr/>
        <w:t>September</w:t>
      </w:r>
      <w:r>
        <w:rPr>
          <w:spacing w:val="-3"/>
        </w:rPr>
        <w:t> </w:t>
      </w:r>
      <w:r>
        <w:rPr/>
        <w:t>30,</w:t>
      </w:r>
      <w:r>
        <w:rPr>
          <w:spacing w:val="-3"/>
        </w:rPr>
        <w:t> </w:t>
      </w:r>
      <w:r>
        <w:rPr/>
        <w:t>2023,</w:t>
      </w:r>
      <w:r>
        <w:rPr>
          <w:spacing w:val="-3"/>
        </w:rPr>
        <w:t> </w:t>
      </w:r>
      <w:r>
        <w:rPr/>
        <w:t>the</w:t>
      </w:r>
      <w:r>
        <w:rPr>
          <w:spacing w:val="-3"/>
        </w:rPr>
        <w:t> </w:t>
      </w:r>
      <w:r>
        <w:rPr/>
        <w:t>total</w:t>
      </w:r>
      <w:r>
        <w:rPr>
          <w:spacing w:val="-3"/>
        </w:rPr>
        <w:t> </w:t>
      </w:r>
      <w:r>
        <w:rPr/>
        <w:t>remaining</w:t>
      </w:r>
      <w:r>
        <w:rPr>
          <w:spacing w:val="-3"/>
        </w:rPr>
        <w:t> </w:t>
      </w:r>
      <w:r>
        <w:rPr/>
        <w:t>unamortized</w:t>
      </w:r>
      <w:r>
        <w:rPr>
          <w:spacing w:val="-3"/>
        </w:rPr>
        <w:t> </w:t>
      </w:r>
      <w:r>
        <w:rPr/>
        <w:t>loss</w:t>
      </w:r>
      <w:r>
        <w:rPr>
          <w:spacing w:val="-3"/>
        </w:rPr>
        <w:t> </w:t>
      </w:r>
      <w:r>
        <w:rPr/>
        <w:t>on</w:t>
      </w:r>
      <w:r>
        <w:rPr>
          <w:spacing w:val="-3"/>
        </w:rPr>
        <w:t> </w:t>
      </w:r>
      <w:r>
        <w:rPr/>
        <w:t>these</w:t>
      </w:r>
      <w:r>
        <w:rPr>
          <w:spacing w:val="-3"/>
        </w:rPr>
        <w:t> </w:t>
      </w:r>
      <w:r>
        <w:rPr/>
        <w:t>securities</w:t>
      </w:r>
      <w:r>
        <w:rPr>
          <w:spacing w:val="-3"/>
        </w:rPr>
        <w:t> </w:t>
      </w:r>
      <w:r>
        <w:rPr/>
        <w:t>transferred</w:t>
      </w:r>
      <w:r>
        <w:rPr>
          <w:spacing w:val="-3"/>
        </w:rPr>
        <w:t> </w:t>
      </w:r>
      <w:r>
        <w:rPr/>
        <w:t>to</w:t>
      </w:r>
      <w:r>
        <w:rPr>
          <w:spacing w:val="-3"/>
        </w:rPr>
        <w:t> </w:t>
      </w:r>
      <w:r>
        <w:rPr/>
        <w:t>HTM</w:t>
      </w:r>
      <w:r>
        <w:rPr>
          <w:spacing w:val="-3"/>
        </w:rPr>
        <w:t> </w:t>
      </w:r>
      <w:r>
        <w:rPr/>
        <w:t>included</w:t>
      </w:r>
      <w:r>
        <w:rPr>
          <w:spacing w:val="-3"/>
        </w:rPr>
        <w:t> </w:t>
      </w:r>
      <w:r>
        <w:rPr/>
        <w:t>in AOCI was $11.8 billion net of tax effect ($15.6 billion pre-tax).</w:t>
      </w:r>
    </w:p>
    <w:p>
      <w:pPr>
        <w:spacing w:after="0" w:line="249" w:lineRule="auto"/>
        <w:sectPr>
          <w:pgSz w:w="12240" w:h="15840"/>
          <w:pgMar w:header="227" w:footer="201" w:top="1080" w:bottom="400" w:left="520" w:right="520"/>
        </w:sectPr>
      </w:pPr>
    </w:p>
    <w:p>
      <w:pPr>
        <w:pStyle w:val="BodyText"/>
        <w:spacing w:line="249" w:lineRule="auto" w:before="214"/>
        <w:ind w:left="470" w:right="548"/>
      </w:pPr>
      <w:r>
        <w:rPr/>
        <w:t>At</w:t>
      </w:r>
      <w:r>
        <w:rPr>
          <w:spacing w:val="-3"/>
        </w:rPr>
        <w:t> </w:t>
      </w:r>
      <w:r>
        <w:rPr/>
        <w:t>September</w:t>
      </w:r>
      <w:r>
        <w:rPr>
          <w:spacing w:val="-3"/>
        </w:rPr>
        <w:t> </w:t>
      </w:r>
      <w:r>
        <w:rPr/>
        <w:t>30,</w:t>
      </w:r>
      <w:r>
        <w:rPr>
          <w:spacing w:val="-3"/>
        </w:rPr>
        <w:t> </w:t>
      </w:r>
      <w:r>
        <w:rPr/>
        <w:t>2023,</w:t>
      </w:r>
      <w:r>
        <w:rPr>
          <w:spacing w:val="-3"/>
        </w:rPr>
        <w:t> </w:t>
      </w:r>
      <w:r>
        <w:rPr/>
        <w:t>our</w:t>
      </w:r>
      <w:r>
        <w:rPr>
          <w:spacing w:val="-3"/>
        </w:rPr>
        <w:t> </w:t>
      </w:r>
      <w:r>
        <w:rPr/>
        <w:t>banking</w:t>
      </w:r>
      <w:r>
        <w:rPr>
          <w:spacing w:val="-3"/>
        </w:rPr>
        <w:t> </w:t>
      </w:r>
      <w:r>
        <w:rPr/>
        <w:t>subsidiaries</w:t>
      </w:r>
      <w:r>
        <w:rPr>
          <w:spacing w:val="-3"/>
        </w:rPr>
        <w:t> </w:t>
      </w:r>
      <w:r>
        <w:rPr/>
        <w:t>had</w:t>
      </w:r>
      <w:r>
        <w:rPr>
          <w:spacing w:val="-3"/>
        </w:rPr>
        <w:t> </w:t>
      </w:r>
      <w:r>
        <w:rPr/>
        <w:t>pledged</w:t>
      </w:r>
      <w:r>
        <w:rPr>
          <w:spacing w:val="-3"/>
        </w:rPr>
        <w:t> </w:t>
      </w:r>
      <w:r>
        <w:rPr/>
        <w:t>investment</w:t>
      </w:r>
      <w:r>
        <w:rPr>
          <w:spacing w:val="-3"/>
        </w:rPr>
        <w:t> </w:t>
      </w:r>
      <w:r>
        <w:rPr/>
        <w:t>securities</w:t>
      </w:r>
      <w:r>
        <w:rPr>
          <w:spacing w:val="-3"/>
        </w:rPr>
        <w:t> </w:t>
      </w:r>
      <w:r>
        <w:rPr/>
        <w:t>with</w:t>
      </w:r>
      <w:r>
        <w:rPr>
          <w:spacing w:val="-3"/>
        </w:rPr>
        <w:t> </w:t>
      </w:r>
      <w:r>
        <w:rPr/>
        <w:t>a</w:t>
      </w:r>
      <w:r>
        <w:rPr>
          <w:spacing w:val="-3"/>
        </w:rPr>
        <w:t> </w:t>
      </w:r>
      <w:r>
        <w:rPr/>
        <w:t>value</w:t>
      </w:r>
      <w:r>
        <w:rPr>
          <w:spacing w:val="-3"/>
        </w:rPr>
        <w:t> </w:t>
      </w:r>
      <w:r>
        <w:rPr/>
        <w:t>of</w:t>
      </w:r>
      <w:r>
        <w:rPr>
          <w:spacing w:val="-3"/>
        </w:rPr>
        <w:t> </w:t>
      </w:r>
      <w:r>
        <w:rPr/>
        <w:t>$68.2</w:t>
      </w:r>
      <w:r>
        <w:rPr>
          <w:spacing w:val="-3"/>
        </w:rPr>
        <w:t> </w:t>
      </w:r>
      <w:r>
        <w:rPr/>
        <w:t>billion</w:t>
      </w:r>
      <w:r>
        <w:rPr>
          <w:spacing w:val="-3"/>
        </w:rPr>
        <w:t> </w:t>
      </w:r>
      <w:r>
        <w:rPr/>
        <w:t>as</w:t>
      </w:r>
      <w:r>
        <w:rPr>
          <w:spacing w:val="-3"/>
        </w:rPr>
        <w:t> </w:t>
      </w:r>
      <w:r>
        <w:rPr/>
        <w:t>collateral</w:t>
      </w:r>
      <w:r>
        <w:rPr>
          <w:spacing w:val="-3"/>
        </w:rPr>
        <w:t> </w:t>
      </w:r>
      <w:r>
        <w:rPr/>
        <w:t>to secure</w:t>
      </w:r>
      <w:r>
        <w:rPr>
          <w:spacing w:val="-2"/>
        </w:rPr>
        <w:t> </w:t>
      </w:r>
      <w:r>
        <w:rPr/>
        <w:t>borrowing</w:t>
      </w:r>
      <w:r>
        <w:rPr>
          <w:spacing w:val="-1"/>
        </w:rPr>
        <w:t> </w:t>
      </w:r>
      <w:r>
        <w:rPr/>
        <w:t>capacity</w:t>
      </w:r>
      <w:r>
        <w:rPr>
          <w:spacing w:val="-1"/>
        </w:rPr>
        <w:t> </w:t>
      </w:r>
      <w:r>
        <w:rPr/>
        <w:t>on</w:t>
      </w:r>
      <w:r>
        <w:rPr>
          <w:spacing w:val="-1"/>
        </w:rPr>
        <w:t> </w:t>
      </w:r>
      <w:r>
        <w:rPr/>
        <w:t>secured</w:t>
      </w:r>
      <w:r>
        <w:rPr>
          <w:spacing w:val="-1"/>
        </w:rPr>
        <w:t> </w:t>
      </w:r>
      <w:r>
        <w:rPr/>
        <w:t>credit</w:t>
      </w:r>
      <w:r>
        <w:rPr>
          <w:spacing w:val="-2"/>
        </w:rPr>
        <w:t> </w:t>
      </w:r>
      <w:r>
        <w:rPr/>
        <w:t>facilities</w:t>
      </w:r>
      <w:r>
        <w:rPr>
          <w:spacing w:val="-2"/>
        </w:rPr>
        <w:t> </w:t>
      </w:r>
      <w:r>
        <w:rPr/>
        <w:t>with</w:t>
      </w:r>
      <w:r>
        <w:rPr>
          <w:spacing w:val="-1"/>
        </w:rPr>
        <w:t> </w:t>
      </w:r>
      <w:r>
        <w:rPr/>
        <w:t>the</w:t>
      </w:r>
      <w:r>
        <w:rPr>
          <w:spacing w:val="-2"/>
        </w:rPr>
        <w:t> </w:t>
      </w:r>
      <w:r>
        <w:rPr/>
        <w:t>FHLB</w:t>
      </w:r>
      <w:r>
        <w:rPr>
          <w:spacing w:val="-2"/>
        </w:rPr>
        <w:t> </w:t>
      </w:r>
      <w:r>
        <w:rPr/>
        <w:t>(see</w:t>
      </w:r>
      <w:r>
        <w:rPr>
          <w:spacing w:val="-2"/>
        </w:rPr>
        <w:t> </w:t>
      </w:r>
      <w:r>
        <w:rPr/>
        <w:t>Note</w:t>
      </w:r>
      <w:r>
        <w:rPr>
          <w:spacing w:val="-2"/>
        </w:rPr>
        <w:t> </w:t>
      </w:r>
      <w:r>
        <w:rPr/>
        <w:t>8).</w:t>
      </w:r>
      <w:r>
        <w:rPr>
          <w:spacing w:val="-1"/>
        </w:rPr>
        <w:t> </w:t>
      </w:r>
      <w:r>
        <w:rPr/>
        <w:t>Our</w:t>
      </w:r>
      <w:r>
        <w:rPr>
          <w:spacing w:val="-1"/>
        </w:rPr>
        <w:t> </w:t>
      </w:r>
      <w:r>
        <w:rPr/>
        <w:t>banking</w:t>
      </w:r>
      <w:r>
        <w:rPr>
          <w:spacing w:val="-1"/>
        </w:rPr>
        <w:t> </w:t>
      </w:r>
      <w:r>
        <w:rPr/>
        <w:t>subsidiaries</w:t>
      </w:r>
      <w:r>
        <w:rPr>
          <w:spacing w:val="-2"/>
        </w:rPr>
        <w:t> </w:t>
      </w:r>
      <w:r>
        <w:rPr/>
        <w:t>pledge</w:t>
      </w:r>
      <w:r>
        <w:rPr>
          <w:spacing w:val="-2"/>
        </w:rPr>
        <w:t> </w:t>
      </w:r>
      <w:r>
        <w:rPr/>
        <w:t>investment securities</w:t>
      </w:r>
      <w:r>
        <w:rPr>
          <w:spacing w:val="-1"/>
        </w:rPr>
        <w:t> </w:t>
      </w:r>
      <w:r>
        <w:rPr/>
        <w:t>as</w:t>
      </w:r>
      <w:r>
        <w:rPr>
          <w:spacing w:val="-1"/>
        </w:rPr>
        <w:t> </w:t>
      </w:r>
      <w:r>
        <w:rPr/>
        <w:t>collateral</w:t>
      </w:r>
      <w:r>
        <w:rPr>
          <w:spacing w:val="-1"/>
        </w:rPr>
        <w:t> </w:t>
      </w:r>
      <w:r>
        <w:rPr/>
        <w:t>to secure</w:t>
      </w:r>
      <w:r>
        <w:rPr>
          <w:spacing w:val="-1"/>
        </w:rPr>
        <w:t> </w:t>
      </w:r>
      <w:r>
        <w:rPr/>
        <w:t>borrowing capacity at</w:t>
      </w:r>
      <w:r>
        <w:rPr>
          <w:spacing w:val="-1"/>
        </w:rPr>
        <w:t> </w:t>
      </w:r>
      <w:r>
        <w:rPr/>
        <w:t>the</w:t>
      </w:r>
      <w:r>
        <w:rPr>
          <w:spacing w:val="-1"/>
        </w:rPr>
        <w:t> </w:t>
      </w:r>
      <w:r>
        <w:rPr/>
        <w:t>Federal</w:t>
      </w:r>
      <w:r>
        <w:rPr>
          <w:spacing w:val="-1"/>
        </w:rPr>
        <w:t> </w:t>
      </w:r>
      <w:r>
        <w:rPr/>
        <w:t>Reserve</w:t>
      </w:r>
      <w:r>
        <w:rPr>
          <w:spacing w:val="-1"/>
        </w:rPr>
        <w:t> </w:t>
      </w:r>
      <w:r>
        <w:rPr/>
        <w:t>discount</w:t>
      </w:r>
      <w:r>
        <w:rPr>
          <w:spacing w:val="-1"/>
        </w:rPr>
        <w:t> </w:t>
      </w:r>
      <w:r>
        <w:rPr/>
        <w:t>window, and had pledged securities</w:t>
      </w:r>
      <w:r>
        <w:rPr>
          <w:spacing w:val="-1"/>
        </w:rPr>
        <w:t> </w:t>
      </w:r>
      <w:r>
        <w:rPr/>
        <w:t>with a fair value of $7.2 billion as collateral for this facility at September 30, 2023. Beginning in 2023, our banking subsidiaries pledge investment securities as collateral to secure borrowing capacity at the Federal Reserve through the Bank Term Funding Program, and had pledged securities with a par value of $40.2 billion as collateral for this facility at September 30, 2023. The Company also pledges investment securities issued by federal agencies to secure certain trust deposits. The fair value of these pledged securities was $1.5 billion at September 30, 2023.</w:t>
      </w:r>
    </w:p>
    <w:p>
      <w:pPr>
        <w:pStyle w:val="BodyText"/>
        <w:spacing w:before="17"/>
      </w:pPr>
    </w:p>
    <w:p>
      <w:pPr>
        <w:pStyle w:val="BodyText"/>
        <w:spacing w:line="249" w:lineRule="auto"/>
        <w:ind w:left="470" w:right="500"/>
      </w:pPr>
      <w:r>
        <w:rPr/>
        <w:t>At September 30, 2023, our banking subsidiaries had pledged HTM and AFS securities as collateral under repurchase agreements with external financial institutions. HTM securities pledged were U.S. agency mortgage-backed securities with an aggregate amortized cost of $5.3 billion, and AFS securities pledged were U.S. agency mortgage-backed securities with an aggregate</w:t>
      </w:r>
      <w:r>
        <w:rPr>
          <w:spacing w:val="-4"/>
        </w:rPr>
        <w:t> </w:t>
      </w:r>
      <w:r>
        <w:rPr/>
        <w:t>fair</w:t>
      </w:r>
      <w:r>
        <w:rPr>
          <w:spacing w:val="-3"/>
        </w:rPr>
        <w:t> </w:t>
      </w:r>
      <w:r>
        <w:rPr/>
        <w:t>value</w:t>
      </w:r>
      <w:r>
        <w:rPr>
          <w:spacing w:val="-4"/>
        </w:rPr>
        <w:t> </w:t>
      </w:r>
      <w:r>
        <w:rPr/>
        <w:t>of</w:t>
      </w:r>
      <w:r>
        <w:rPr>
          <w:spacing w:val="-3"/>
        </w:rPr>
        <w:t> </w:t>
      </w:r>
      <w:r>
        <w:rPr/>
        <w:t>$1.8</w:t>
      </w:r>
      <w:r>
        <w:rPr>
          <w:spacing w:val="-3"/>
        </w:rPr>
        <w:t> </w:t>
      </w:r>
      <w:r>
        <w:rPr/>
        <w:t>billion.</w:t>
      </w:r>
      <w:r>
        <w:rPr>
          <w:spacing w:val="-3"/>
        </w:rPr>
        <w:t> </w:t>
      </w:r>
      <w:r>
        <w:rPr/>
        <w:t>Securities</w:t>
      </w:r>
      <w:r>
        <w:rPr>
          <w:spacing w:val="-4"/>
        </w:rPr>
        <w:t> </w:t>
      </w:r>
      <w:r>
        <w:rPr/>
        <w:t>pledged</w:t>
      </w:r>
      <w:r>
        <w:rPr>
          <w:spacing w:val="-3"/>
        </w:rPr>
        <w:t> </w:t>
      </w:r>
      <w:r>
        <w:rPr/>
        <w:t>as</w:t>
      </w:r>
      <w:r>
        <w:rPr>
          <w:spacing w:val="-4"/>
        </w:rPr>
        <w:t> </w:t>
      </w:r>
      <w:r>
        <w:rPr/>
        <w:t>collateral</w:t>
      </w:r>
      <w:r>
        <w:rPr>
          <w:spacing w:val="-4"/>
        </w:rPr>
        <w:t> </w:t>
      </w:r>
      <w:r>
        <w:rPr/>
        <w:t>under</w:t>
      </w:r>
      <w:r>
        <w:rPr>
          <w:spacing w:val="-3"/>
        </w:rPr>
        <w:t> </w:t>
      </w:r>
      <w:r>
        <w:rPr/>
        <w:t>these</w:t>
      </w:r>
      <w:r>
        <w:rPr>
          <w:spacing w:val="-4"/>
        </w:rPr>
        <w:t> </w:t>
      </w:r>
      <w:r>
        <w:rPr/>
        <w:t>repurchase</w:t>
      </w:r>
      <w:r>
        <w:rPr>
          <w:spacing w:val="-4"/>
        </w:rPr>
        <w:t> </w:t>
      </w:r>
      <w:r>
        <w:rPr/>
        <w:t>agreements</w:t>
      </w:r>
      <w:r>
        <w:rPr>
          <w:spacing w:val="-4"/>
        </w:rPr>
        <w:t> </w:t>
      </w:r>
      <w:r>
        <w:rPr/>
        <w:t>may</w:t>
      </w:r>
      <w:r>
        <w:rPr>
          <w:spacing w:val="-3"/>
        </w:rPr>
        <w:t> </w:t>
      </w:r>
      <w:r>
        <w:rPr/>
        <w:t>be</w:t>
      </w:r>
      <w:r>
        <w:rPr>
          <w:spacing w:val="-4"/>
        </w:rPr>
        <w:t> </w:t>
      </w:r>
      <w:r>
        <w:rPr/>
        <w:t>sold,</w:t>
      </w:r>
      <w:r>
        <w:rPr>
          <w:spacing w:val="-3"/>
        </w:rPr>
        <w:t> </w:t>
      </w:r>
      <w:r>
        <w:rPr/>
        <w:t>repledged, or otherwise used by the counterparties. See Notes 8 and 12 for additional information on these repurchase agreements.</w:t>
      </w:r>
    </w:p>
    <w:p>
      <w:pPr>
        <w:pStyle w:val="BodyText"/>
        <w:spacing w:before="14"/>
      </w:pPr>
    </w:p>
    <w:p>
      <w:pPr>
        <w:pStyle w:val="BodyText"/>
        <w:spacing w:line="249" w:lineRule="auto"/>
        <w:ind w:left="470" w:right="500"/>
      </w:pPr>
      <w:r>
        <w:rPr/>
        <w:t>At September 30, 2023, our banking subsidiaries had pledged AFS securities with an aggregate fair value of $180 million as initial</w:t>
      </w:r>
      <w:r>
        <w:rPr>
          <w:spacing w:val="-3"/>
        </w:rPr>
        <w:t> </w:t>
      </w:r>
      <w:r>
        <w:rPr/>
        <w:t>margin</w:t>
      </w:r>
      <w:r>
        <w:rPr>
          <w:spacing w:val="-2"/>
        </w:rPr>
        <w:t> </w:t>
      </w:r>
      <w:r>
        <w:rPr/>
        <w:t>on</w:t>
      </w:r>
      <w:r>
        <w:rPr>
          <w:spacing w:val="-2"/>
        </w:rPr>
        <w:t> </w:t>
      </w:r>
      <w:r>
        <w:rPr/>
        <w:t>interest</w:t>
      </w:r>
      <w:r>
        <w:rPr>
          <w:spacing w:val="-3"/>
        </w:rPr>
        <w:t> </w:t>
      </w:r>
      <w:r>
        <w:rPr/>
        <w:t>rate</w:t>
      </w:r>
      <w:r>
        <w:rPr>
          <w:spacing w:val="-3"/>
        </w:rPr>
        <w:t> </w:t>
      </w:r>
      <w:r>
        <w:rPr/>
        <w:t>swaps</w:t>
      </w:r>
      <w:r>
        <w:rPr>
          <w:spacing w:val="-3"/>
        </w:rPr>
        <w:t> </w:t>
      </w:r>
      <w:r>
        <w:rPr/>
        <w:t>(see</w:t>
      </w:r>
      <w:r>
        <w:rPr>
          <w:spacing w:val="-3"/>
        </w:rPr>
        <w:t> </w:t>
      </w:r>
      <w:r>
        <w:rPr/>
        <w:t>Note</w:t>
      </w:r>
      <w:r>
        <w:rPr>
          <w:spacing w:val="-3"/>
        </w:rPr>
        <w:t> </w:t>
      </w:r>
      <w:r>
        <w:rPr/>
        <w:t>11).</w:t>
      </w:r>
      <w:r>
        <w:rPr>
          <w:spacing w:val="-2"/>
        </w:rPr>
        <w:t> </w:t>
      </w:r>
      <w:r>
        <w:rPr/>
        <w:t>All</w:t>
      </w:r>
      <w:r>
        <w:rPr>
          <w:spacing w:val="-3"/>
        </w:rPr>
        <w:t> </w:t>
      </w:r>
      <w:r>
        <w:rPr/>
        <w:t>of</w:t>
      </w:r>
      <w:r>
        <w:rPr>
          <w:spacing w:val="-2"/>
        </w:rPr>
        <w:t> </w:t>
      </w:r>
      <w:r>
        <w:rPr/>
        <w:t>Schwab’s</w:t>
      </w:r>
      <w:r>
        <w:rPr>
          <w:spacing w:val="-3"/>
        </w:rPr>
        <w:t> </w:t>
      </w:r>
      <w:r>
        <w:rPr/>
        <w:t>interest</w:t>
      </w:r>
      <w:r>
        <w:rPr>
          <w:spacing w:val="-3"/>
        </w:rPr>
        <w:t> </w:t>
      </w:r>
      <w:r>
        <w:rPr/>
        <w:t>rate</w:t>
      </w:r>
      <w:r>
        <w:rPr>
          <w:spacing w:val="-3"/>
        </w:rPr>
        <w:t> </w:t>
      </w:r>
      <w:r>
        <w:rPr/>
        <w:t>swaps</w:t>
      </w:r>
      <w:r>
        <w:rPr>
          <w:spacing w:val="-3"/>
        </w:rPr>
        <w:t> </w:t>
      </w:r>
      <w:r>
        <w:rPr/>
        <w:t>are</w:t>
      </w:r>
      <w:r>
        <w:rPr>
          <w:spacing w:val="-3"/>
        </w:rPr>
        <w:t> </w:t>
      </w:r>
      <w:r>
        <w:rPr/>
        <w:t>cleared</w:t>
      </w:r>
      <w:r>
        <w:rPr>
          <w:spacing w:val="-2"/>
        </w:rPr>
        <w:t> </w:t>
      </w:r>
      <w:r>
        <w:rPr/>
        <w:t>through</w:t>
      </w:r>
      <w:r>
        <w:rPr>
          <w:spacing w:val="-2"/>
        </w:rPr>
        <w:t> </w:t>
      </w:r>
      <w:r>
        <w:rPr/>
        <w:t>central</w:t>
      </w:r>
      <w:r>
        <w:rPr>
          <w:spacing w:val="-3"/>
        </w:rPr>
        <w:t> </w:t>
      </w:r>
      <w:r>
        <w:rPr/>
        <w:t>counterparty (CCP) clearing houses which require the Company to post initial margin as collateral against potential losses.</w:t>
      </w:r>
    </w:p>
    <w:p>
      <w:pPr>
        <w:pStyle w:val="BodyText"/>
        <w:spacing w:before="12"/>
      </w:pPr>
    </w:p>
    <w:p>
      <w:pPr>
        <w:pStyle w:val="BodyText"/>
        <w:spacing w:line="249" w:lineRule="auto"/>
        <w:ind w:left="470" w:right="761"/>
      </w:pPr>
      <w:r>
        <w:rPr/>
        <w:t>Securities</w:t>
      </w:r>
      <w:r>
        <w:rPr>
          <w:spacing w:val="-4"/>
        </w:rPr>
        <w:t> </w:t>
      </w:r>
      <w:r>
        <w:rPr/>
        <w:t>with</w:t>
      </w:r>
      <w:r>
        <w:rPr>
          <w:spacing w:val="-3"/>
        </w:rPr>
        <w:t> </w:t>
      </w:r>
      <w:r>
        <w:rPr/>
        <w:t>unrealized</w:t>
      </w:r>
      <w:r>
        <w:rPr>
          <w:spacing w:val="-3"/>
        </w:rPr>
        <w:t> </w:t>
      </w:r>
      <w:r>
        <w:rPr/>
        <w:t>losses,</w:t>
      </w:r>
      <w:r>
        <w:rPr>
          <w:spacing w:val="-3"/>
        </w:rPr>
        <w:t> </w:t>
      </w:r>
      <w:r>
        <w:rPr/>
        <w:t>aggregated</w:t>
      </w:r>
      <w:r>
        <w:rPr>
          <w:spacing w:val="-3"/>
        </w:rPr>
        <w:t> </w:t>
      </w:r>
      <w:r>
        <w:rPr/>
        <w:t>by</w:t>
      </w:r>
      <w:r>
        <w:rPr>
          <w:spacing w:val="-3"/>
        </w:rPr>
        <w:t> </w:t>
      </w:r>
      <w:r>
        <w:rPr/>
        <w:t>category</w:t>
      </w:r>
      <w:r>
        <w:rPr>
          <w:spacing w:val="-3"/>
        </w:rPr>
        <w:t> </w:t>
      </w:r>
      <w:r>
        <w:rPr/>
        <w:t>and</w:t>
      </w:r>
      <w:r>
        <w:rPr>
          <w:spacing w:val="-3"/>
        </w:rPr>
        <w:t> </w:t>
      </w:r>
      <w:r>
        <w:rPr/>
        <w:t>period</w:t>
      </w:r>
      <w:r>
        <w:rPr>
          <w:spacing w:val="-3"/>
        </w:rPr>
        <w:t> </w:t>
      </w:r>
      <w:r>
        <w:rPr/>
        <w:t>of</w:t>
      </w:r>
      <w:r>
        <w:rPr>
          <w:spacing w:val="-3"/>
        </w:rPr>
        <w:t> </w:t>
      </w:r>
      <w:r>
        <w:rPr/>
        <w:t>continuous</w:t>
      </w:r>
      <w:r>
        <w:rPr>
          <w:spacing w:val="-4"/>
        </w:rPr>
        <w:t> </w:t>
      </w:r>
      <w:r>
        <w:rPr/>
        <w:t>unrealized</w:t>
      </w:r>
      <w:r>
        <w:rPr>
          <w:spacing w:val="-3"/>
        </w:rPr>
        <w:t> </w:t>
      </w:r>
      <w:r>
        <w:rPr/>
        <w:t>loss,</w:t>
      </w:r>
      <w:r>
        <w:rPr>
          <w:spacing w:val="-3"/>
        </w:rPr>
        <w:t> </w:t>
      </w:r>
      <w:r>
        <w:rPr/>
        <w:t>of</w:t>
      </w:r>
      <w:r>
        <w:rPr>
          <w:spacing w:val="-3"/>
        </w:rPr>
        <w:t> </w:t>
      </w:r>
      <w:r>
        <w:rPr/>
        <w:t>AFS</w:t>
      </w:r>
      <w:r>
        <w:rPr>
          <w:spacing w:val="-4"/>
        </w:rPr>
        <w:t> </w:t>
      </w:r>
      <w:r>
        <w:rPr/>
        <w:t>investment securities are as follows:</w:t>
      </w:r>
    </w:p>
    <w:p>
      <w:pPr>
        <w:pStyle w:val="BodyText"/>
        <w:spacing w:before="6"/>
        <w:rPr>
          <w:sz w:val="10"/>
        </w:rPr>
      </w:pPr>
      <w:r>
        <w:rPr/>
        <mc:AlternateContent>
          <mc:Choice Requires="wps">
            <w:drawing>
              <wp:anchor distT="0" distB="0" distL="0" distR="0" allowOverlap="1" layoutInCell="1" locked="0" behindDoc="1" simplePos="0" relativeHeight="487606784">
                <wp:simplePos x="0" y="0"/>
                <wp:positionH relativeFrom="page">
                  <wp:posOffset>628650</wp:posOffset>
                </wp:positionH>
                <wp:positionV relativeFrom="paragraph">
                  <wp:posOffset>92338</wp:posOffset>
                </wp:positionV>
                <wp:extent cx="6486525" cy="6350"/>
                <wp:effectExtent l="0" t="0" r="0" b="0"/>
                <wp:wrapTopAndBottom/>
                <wp:docPr id="155" name="Group 155"/>
                <wp:cNvGraphicFramePr>
                  <a:graphicFrameLocks/>
                </wp:cNvGraphicFramePr>
                <a:graphic>
                  <a:graphicData uri="http://schemas.microsoft.com/office/word/2010/wordprocessingGroup">
                    <wpg:wgp>
                      <wpg:cNvPr id="155" name="Group 155"/>
                      <wpg:cNvGrpSpPr/>
                      <wpg:grpSpPr>
                        <a:xfrm>
                          <a:off x="0" y="0"/>
                          <a:ext cx="6486525" cy="6350"/>
                          <a:chExt cx="6486525" cy="6350"/>
                        </a:xfrm>
                      </wpg:grpSpPr>
                      <wps:wsp>
                        <wps:cNvPr id="156" name="Graphic 156"/>
                        <wps:cNvSpPr/>
                        <wps:spPr>
                          <a:xfrm>
                            <a:off x="0" y="3175"/>
                            <a:ext cx="6486525" cy="1270"/>
                          </a:xfrm>
                          <a:custGeom>
                            <a:avLst/>
                            <a:gdLst/>
                            <a:ahLst/>
                            <a:cxnLst/>
                            <a:rect l="l" t="t" r="r" b="b"/>
                            <a:pathLst>
                              <a:path w="6486525" h="0">
                                <a:moveTo>
                                  <a:pt x="6486525" y="0"/>
                                </a:moveTo>
                                <a:lnTo>
                                  <a:pt x="0" y="0"/>
                                </a:lnTo>
                              </a:path>
                            </a:pathLst>
                          </a:custGeom>
                          <a:solidFill>
                            <a:srgbClr val="000000"/>
                          </a:solidFill>
                        </wps:spPr>
                        <wps:bodyPr wrap="square" lIns="0" tIns="0" rIns="0" bIns="0" rtlCol="0">
                          <a:prstTxWarp prst="textNoShape">
                            <a:avLst/>
                          </a:prstTxWarp>
                          <a:noAutofit/>
                        </wps:bodyPr>
                      </wps:wsp>
                      <wps:wsp>
                        <wps:cNvPr id="157" name="Graphic 157"/>
                        <wps:cNvSpPr/>
                        <wps:spPr>
                          <a:xfrm>
                            <a:off x="0" y="3175"/>
                            <a:ext cx="6486525" cy="1270"/>
                          </a:xfrm>
                          <a:custGeom>
                            <a:avLst/>
                            <a:gdLst/>
                            <a:ahLst/>
                            <a:cxnLst/>
                            <a:rect l="l" t="t" r="r" b="b"/>
                            <a:pathLst>
                              <a:path w="6486525" h="0">
                                <a:moveTo>
                                  <a:pt x="0" y="0"/>
                                </a:moveTo>
                                <a:lnTo>
                                  <a:pt x="648652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7.270742pt;width:510.75pt;height:.5pt;mso-position-horizontal-relative:page;mso-position-vertical-relative:paragraph;z-index:-15709696;mso-wrap-distance-left:0;mso-wrap-distance-right:0" id="docshapegroup111" coordorigin="990,145" coordsize="10215,10">
                <v:shape style="position:absolute;left:990;top:150;width:10215;height:2" id="docshape112" coordorigin="990,150" coordsize="10215,0" path="m11205,150l990,150e" filled="true" fillcolor="#000000" stroked="false">
                  <v:path arrowok="t"/>
                  <v:fill opacity="0f" type="solid"/>
                </v:shape>
                <v:line style="position:absolute" from="990,150" to="11205,150" stroked="true" strokeweight=".5pt" strokecolor="#000000">
                  <v:stroke dashstyle="solid"/>
                </v:line>
                <w10:wrap type="topAndBottom"/>
              </v:group>
            </w:pict>
          </mc:Fallback>
        </mc:AlternateContent>
      </w:r>
    </w:p>
    <w:p>
      <w:pPr>
        <w:tabs>
          <w:tab w:pos="7025" w:val="left" w:leader="none"/>
          <w:tab w:pos="9542" w:val="left" w:leader="none"/>
        </w:tabs>
        <w:spacing w:before="148" w:after="30"/>
        <w:ind w:left="5045" w:right="0" w:firstLine="0"/>
        <w:jc w:val="left"/>
        <w:rPr>
          <w:sz w:val="18"/>
        </w:rPr>
      </w:pPr>
      <w:r>
        <w:rPr>
          <w:sz w:val="18"/>
        </w:rPr>
        <w:t>Less</w:t>
      </w:r>
      <w:r>
        <w:rPr>
          <w:spacing w:val="-2"/>
          <w:sz w:val="18"/>
        </w:rPr>
        <w:t> </w:t>
      </w:r>
      <w:r>
        <w:rPr>
          <w:sz w:val="18"/>
        </w:rPr>
        <w:t>than 12 </w:t>
      </w:r>
      <w:r>
        <w:rPr>
          <w:spacing w:val="-2"/>
          <w:sz w:val="18"/>
        </w:rPr>
        <w:t>months</w:t>
      </w:r>
      <w:r>
        <w:rPr>
          <w:sz w:val="18"/>
        </w:rPr>
        <w:tab/>
        <w:t>12 months</w:t>
      </w:r>
      <w:r>
        <w:rPr>
          <w:spacing w:val="-1"/>
          <w:sz w:val="18"/>
        </w:rPr>
        <w:t> </w:t>
      </w:r>
      <w:r>
        <w:rPr>
          <w:sz w:val="18"/>
        </w:rPr>
        <w:t>or </w:t>
      </w:r>
      <w:r>
        <w:rPr>
          <w:spacing w:val="-2"/>
          <w:sz w:val="18"/>
        </w:rPr>
        <w:t>longer</w:t>
      </w:r>
      <w:r>
        <w:rPr>
          <w:sz w:val="18"/>
        </w:rPr>
        <w:tab/>
      </w:r>
      <w:r>
        <w:rPr>
          <w:spacing w:val="-2"/>
          <w:sz w:val="18"/>
        </w:rPr>
        <w:t>Total</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0"/>
        <w:gridCol w:w="911"/>
        <w:gridCol w:w="963"/>
        <w:gridCol w:w="74"/>
        <w:gridCol w:w="940"/>
        <w:gridCol w:w="962"/>
        <w:gridCol w:w="73"/>
        <w:gridCol w:w="939"/>
        <w:gridCol w:w="961"/>
      </w:tblGrid>
      <w:tr>
        <w:trPr>
          <w:trHeight w:val="425" w:hRule="atLeast"/>
        </w:trPr>
        <w:tc>
          <w:tcPr>
            <w:tcW w:w="4380" w:type="dxa"/>
            <w:tcBorders>
              <w:bottom w:val="single" w:sz="4" w:space="0" w:color="000000"/>
            </w:tcBorders>
          </w:tcPr>
          <w:p>
            <w:pPr>
              <w:pStyle w:val="TableParagraph"/>
              <w:spacing w:before="193"/>
              <w:ind w:left="52"/>
              <w:rPr>
                <w:sz w:val="18"/>
              </w:rPr>
            </w:pPr>
            <w:r>
              <w:rPr>
                <w:sz w:val="18"/>
              </w:rPr>
              <w:t>September</w:t>
            </w:r>
            <w:r>
              <w:rPr>
                <w:spacing w:val="-1"/>
                <w:sz w:val="18"/>
              </w:rPr>
              <w:t> </w:t>
            </w:r>
            <w:r>
              <w:rPr>
                <w:sz w:val="18"/>
              </w:rPr>
              <w:t>30, </w:t>
            </w:r>
            <w:r>
              <w:rPr>
                <w:spacing w:val="-4"/>
                <w:sz w:val="18"/>
              </w:rPr>
              <w:t>2023</w:t>
            </w:r>
          </w:p>
        </w:tc>
        <w:tc>
          <w:tcPr>
            <w:tcW w:w="911" w:type="dxa"/>
            <w:tcBorders>
              <w:top w:val="single" w:sz="4" w:space="0" w:color="000000"/>
              <w:bottom w:val="single" w:sz="4" w:space="0" w:color="000000"/>
            </w:tcBorders>
          </w:tcPr>
          <w:p>
            <w:pPr>
              <w:pStyle w:val="TableParagraph"/>
              <w:spacing w:line="208" w:lineRule="auto" w:before="35"/>
              <w:ind w:left="227" w:right="244" w:firstLine="69"/>
              <w:rPr>
                <w:sz w:val="18"/>
              </w:rPr>
            </w:pPr>
            <w:r>
              <w:rPr>
                <w:spacing w:val="-4"/>
                <w:sz w:val="18"/>
              </w:rPr>
              <w:t>Fair </w:t>
            </w:r>
            <w:r>
              <w:rPr>
                <w:spacing w:val="-2"/>
                <w:sz w:val="18"/>
              </w:rPr>
              <w:t>Value</w:t>
            </w:r>
          </w:p>
        </w:tc>
        <w:tc>
          <w:tcPr>
            <w:tcW w:w="963" w:type="dxa"/>
            <w:tcBorders>
              <w:top w:val="single" w:sz="4" w:space="0" w:color="000000"/>
              <w:bottom w:val="single" w:sz="4" w:space="0" w:color="000000"/>
            </w:tcBorders>
          </w:tcPr>
          <w:p>
            <w:pPr>
              <w:pStyle w:val="TableParagraph"/>
              <w:spacing w:line="208" w:lineRule="auto" w:before="35"/>
              <w:ind w:left="261" w:right="59" w:hanging="150"/>
              <w:rPr>
                <w:sz w:val="18"/>
              </w:rPr>
            </w:pPr>
            <w:r>
              <w:rPr>
                <w:spacing w:val="-2"/>
                <w:sz w:val="18"/>
              </w:rPr>
              <w:t>Unrealized Losses</w:t>
            </w:r>
          </w:p>
        </w:tc>
        <w:tc>
          <w:tcPr>
            <w:tcW w:w="74" w:type="dxa"/>
            <w:tcBorders>
              <w:bottom w:val="single" w:sz="4" w:space="0" w:color="000000"/>
            </w:tcBorders>
          </w:tcPr>
          <w:p>
            <w:pPr>
              <w:pStyle w:val="TableParagraph"/>
              <w:rPr>
                <w:sz w:val="18"/>
              </w:rPr>
            </w:pPr>
          </w:p>
        </w:tc>
        <w:tc>
          <w:tcPr>
            <w:tcW w:w="940" w:type="dxa"/>
            <w:tcBorders>
              <w:top w:val="single" w:sz="4" w:space="0" w:color="000000"/>
              <w:bottom w:val="single" w:sz="4" w:space="0" w:color="000000"/>
            </w:tcBorders>
          </w:tcPr>
          <w:p>
            <w:pPr>
              <w:pStyle w:val="TableParagraph"/>
              <w:spacing w:line="208" w:lineRule="auto" w:before="35"/>
              <w:ind w:left="244" w:right="256" w:firstLine="69"/>
              <w:rPr>
                <w:sz w:val="18"/>
              </w:rPr>
            </w:pPr>
            <w:r>
              <w:rPr>
                <w:spacing w:val="-4"/>
                <w:sz w:val="18"/>
              </w:rPr>
              <w:t>Fair </w:t>
            </w:r>
            <w:r>
              <w:rPr>
                <w:spacing w:val="-2"/>
                <w:sz w:val="18"/>
              </w:rPr>
              <w:t>Value</w:t>
            </w:r>
          </w:p>
        </w:tc>
        <w:tc>
          <w:tcPr>
            <w:tcW w:w="962" w:type="dxa"/>
            <w:tcBorders>
              <w:top w:val="single" w:sz="4" w:space="0" w:color="000000"/>
              <w:bottom w:val="single" w:sz="4" w:space="0" w:color="000000"/>
            </w:tcBorders>
          </w:tcPr>
          <w:p>
            <w:pPr>
              <w:pStyle w:val="TableParagraph"/>
              <w:spacing w:line="208" w:lineRule="auto" w:before="35"/>
              <w:ind w:left="264" w:hanging="150"/>
              <w:rPr>
                <w:sz w:val="18"/>
              </w:rPr>
            </w:pPr>
            <w:r>
              <w:rPr>
                <w:spacing w:val="-2"/>
                <w:sz w:val="18"/>
              </w:rPr>
              <w:t>Unrealized Losses</w:t>
            </w:r>
          </w:p>
        </w:tc>
        <w:tc>
          <w:tcPr>
            <w:tcW w:w="73" w:type="dxa"/>
            <w:tcBorders>
              <w:bottom w:val="single" w:sz="4" w:space="0" w:color="000000"/>
            </w:tcBorders>
          </w:tcPr>
          <w:p>
            <w:pPr>
              <w:pStyle w:val="TableParagraph"/>
              <w:rPr>
                <w:sz w:val="18"/>
              </w:rPr>
            </w:pPr>
          </w:p>
        </w:tc>
        <w:tc>
          <w:tcPr>
            <w:tcW w:w="939" w:type="dxa"/>
            <w:tcBorders>
              <w:top w:val="single" w:sz="4" w:space="0" w:color="000000"/>
              <w:bottom w:val="single" w:sz="4" w:space="0" w:color="000000"/>
            </w:tcBorders>
          </w:tcPr>
          <w:p>
            <w:pPr>
              <w:pStyle w:val="TableParagraph"/>
              <w:spacing w:line="208" w:lineRule="auto" w:before="35"/>
              <w:ind w:left="249" w:right="250" w:firstLine="69"/>
              <w:rPr>
                <w:sz w:val="18"/>
              </w:rPr>
            </w:pPr>
            <w:r>
              <w:rPr>
                <w:spacing w:val="-4"/>
                <w:sz w:val="18"/>
              </w:rPr>
              <w:t>Fair </w:t>
            </w:r>
            <w:r>
              <w:rPr>
                <w:spacing w:val="-2"/>
                <w:sz w:val="18"/>
              </w:rPr>
              <w:t>Value</w:t>
            </w:r>
          </w:p>
        </w:tc>
        <w:tc>
          <w:tcPr>
            <w:tcW w:w="961" w:type="dxa"/>
            <w:tcBorders>
              <w:top w:val="single" w:sz="4" w:space="0" w:color="000000"/>
              <w:bottom w:val="single" w:sz="4" w:space="0" w:color="000000"/>
            </w:tcBorders>
          </w:tcPr>
          <w:p>
            <w:pPr>
              <w:pStyle w:val="TableParagraph"/>
              <w:spacing w:line="208" w:lineRule="auto" w:before="35"/>
              <w:ind w:left="270" w:hanging="150"/>
              <w:rPr>
                <w:sz w:val="18"/>
              </w:rPr>
            </w:pPr>
            <w:r>
              <w:rPr>
                <w:spacing w:val="-2"/>
                <w:sz w:val="18"/>
              </w:rPr>
              <w:t>Unrealized Losses</w:t>
            </w:r>
          </w:p>
        </w:tc>
      </w:tr>
      <w:tr>
        <w:trPr>
          <w:trHeight w:val="250" w:hRule="atLeast"/>
        </w:trPr>
        <w:tc>
          <w:tcPr>
            <w:tcW w:w="4380" w:type="dxa"/>
            <w:tcBorders>
              <w:top w:val="single" w:sz="4" w:space="0" w:color="000000"/>
            </w:tcBorders>
          </w:tcPr>
          <w:p>
            <w:pPr>
              <w:pStyle w:val="TableParagraph"/>
              <w:spacing w:before="13"/>
              <w:ind w:left="52"/>
              <w:rPr>
                <w:b/>
                <w:sz w:val="18"/>
              </w:rPr>
            </w:pPr>
            <w:r>
              <w:rPr>
                <w:b/>
                <w:sz w:val="18"/>
              </w:rPr>
              <w:t>Available</w:t>
            </w:r>
            <w:r>
              <w:rPr>
                <w:b/>
                <w:spacing w:val="-3"/>
                <w:sz w:val="18"/>
              </w:rPr>
              <w:t> </w:t>
            </w:r>
            <w:r>
              <w:rPr>
                <w:b/>
                <w:sz w:val="18"/>
              </w:rPr>
              <w:t>for</w:t>
            </w:r>
            <w:r>
              <w:rPr>
                <w:b/>
                <w:spacing w:val="-1"/>
                <w:sz w:val="18"/>
              </w:rPr>
              <w:t> </w:t>
            </w:r>
            <w:r>
              <w:rPr>
                <w:b/>
                <w:sz w:val="18"/>
              </w:rPr>
              <w:t>sale</w:t>
            </w:r>
            <w:r>
              <w:rPr>
                <w:b/>
                <w:spacing w:val="-1"/>
                <w:sz w:val="18"/>
              </w:rPr>
              <w:t> </w:t>
            </w:r>
            <w:r>
              <w:rPr>
                <w:b/>
                <w:spacing w:val="-2"/>
                <w:sz w:val="18"/>
              </w:rPr>
              <w:t>securities</w:t>
            </w:r>
          </w:p>
        </w:tc>
        <w:tc>
          <w:tcPr>
            <w:tcW w:w="911" w:type="dxa"/>
            <w:tcBorders>
              <w:top w:val="single" w:sz="4" w:space="0" w:color="000000"/>
            </w:tcBorders>
          </w:tcPr>
          <w:p>
            <w:pPr>
              <w:pStyle w:val="TableParagraph"/>
              <w:rPr>
                <w:sz w:val="18"/>
              </w:rPr>
            </w:pPr>
          </w:p>
        </w:tc>
        <w:tc>
          <w:tcPr>
            <w:tcW w:w="963" w:type="dxa"/>
            <w:tcBorders>
              <w:top w:val="single" w:sz="4" w:space="0" w:color="000000"/>
            </w:tcBorders>
          </w:tcPr>
          <w:p>
            <w:pPr>
              <w:pStyle w:val="TableParagraph"/>
              <w:rPr>
                <w:sz w:val="18"/>
              </w:rPr>
            </w:pPr>
          </w:p>
        </w:tc>
        <w:tc>
          <w:tcPr>
            <w:tcW w:w="74" w:type="dxa"/>
            <w:tcBorders>
              <w:top w:val="single" w:sz="4" w:space="0" w:color="000000"/>
            </w:tcBorders>
          </w:tcPr>
          <w:p>
            <w:pPr>
              <w:pStyle w:val="TableParagraph"/>
              <w:rPr>
                <w:sz w:val="18"/>
              </w:rPr>
            </w:pPr>
          </w:p>
        </w:tc>
        <w:tc>
          <w:tcPr>
            <w:tcW w:w="940" w:type="dxa"/>
            <w:tcBorders>
              <w:top w:val="single" w:sz="4" w:space="0" w:color="000000"/>
            </w:tcBorders>
          </w:tcPr>
          <w:p>
            <w:pPr>
              <w:pStyle w:val="TableParagraph"/>
              <w:rPr>
                <w:sz w:val="18"/>
              </w:rPr>
            </w:pPr>
          </w:p>
        </w:tc>
        <w:tc>
          <w:tcPr>
            <w:tcW w:w="962" w:type="dxa"/>
            <w:tcBorders>
              <w:top w:val="single" w:sz="4" w:space="0" w:color="000000"/>
            </w:tcBorders>
          </w:tcPr>
          <w:p>
            <w:pPr>
              <w:pStyle w:val="TableParagraph"/>
              <w:rPr>
                <w:sz w:val="18"/>
              </w:rPr>
            </w:pPr>
          </w:p>
        </w:tc>
        <w:tc>
          <w:tcPr>
            <w:tcW w:w="73" w:type="dxa"/>
            <w:tcBorders>
              <w:top w:val="single" w:sz="4" w:space="0" w:color="000000"/>
            </w:tcBorders>
          </w:tcPr>
          <w:p>
            <w:pPr>
              <w:pStyle w:val="TableParagraph"/>
              <w:rPr>
                <w:sz w:val="18"/>
              </w:rPr>
            </w:pPr>
          </w:p>
        </w:tc>
        <w:tc>
          <w:tcPr>
            <w:tcW w:w="939" w:type="dxa"/>
            <w:tcBorders>
              <w:top w:val="single" w:sz="4" w:space="0" w:color="000000"/>
            </w:tcBorders>
          </w:tcPr>
          <w:p>
            <w:pPr>
              <w:pStyle w:val="TableParagraph"/>
              <w:rPr>
                <w:sz w:val="18"/>
              </w:rPr>
            </w:pPr>
          </w:p>
        </w:tc>
        <w:tc>
          <w:tcPr>
            <w:tcW w:w="961" w:type="dxa"/>
            <w:tcBorders>
              <w:top w:val="single" w:sz="4" w:space="0" w:color="000000"/>
            </w:tcBorders>
          </w:tcPr>
          <w:p>
            <w:pPr>
              <w:pStyle w:val="TableParagraph"/>
              <w:rPr>
                <w:sz w:val="18"/>
              </w:rPr>
            </w:pPr>
          </w:p>
        </w:tc>
      </w:tr>
      <w:tr>
        <w:trPr>
          <w:trHeight w:val="255" w:hRule="atLeast"/>
        </w:trPr>
        <w:tc>
          <w:tcPr>
            <w:tcW w:w="4380" w:type="dxa"/>
            <w:shd w:val="clear" w:color="auto" w:fill="CCEDFF"/>
          </w:tcPr>
          <w:p>
            <w:pPr>
              <w:pStyle w:val="TableParagraph"/>
              <w:spacing w:before="18"/>
              <w:ind w:left="52"/>
              <w:rPr>
                <w:sz w:val="18"/>
              </w:rPr>
            </w:pPr>
            <w:r>
              <w:rPr>
                <w:sz w:val="18"/>
              </w:rPr>
              <w:t>U.S.</w:t>
            </w:r>
            <w:r>
              <w:rPr>
                <w:spacing w:val="-1"/>
                <w:sz w:val="18"/>
              </w:rPr>
              <w:t> </w:t>
            </w:r>
            <w:r>
              <w:rPr>
                <w:sz w:val="18"/>
              </w:rPr>
              <w:t>agency</w:t>
            </w:r>
            <w:r>
              <w:rPr>
                <w:spacing w:val="-1"/>
                <w:sz w:val="18"/>
              </w:rPr>
              <w:t> </w:t>
            </w:r>
            <w:r>
              <w:rPr>
                <w:sz w:val="18"/>
              </w:rPr>
              <w:t>mortgage-backed </w:t>
            </w:r>
            <w:r>
              <w:rPr>
                <w:spacing w:val="-2"/>
                <w:sz w:val="18"/>
              </w:rPr>
              <w:t>securities</w:t>
            </w:r>
          </w:p>
        </w:tc>
        <w:tc>
          <w:tcPr>
            <w:tcW w:w="911" w:type="dxa"/>
            <w:shd w:val="clear" w:color="auto" w:fill="CCEDFF"/>
          </w:tcPr>
          <w:p>
            <w:pPr>
              <w:pStyle w:val="TableParagraph"/>
              <w:tabs>
                <w:tab w:pos="577" w:val="left" w:leader="none"/>
              </w:tabs>
              <w:spacing w:before="18"/>
              <w:ind w:right="98"/>
              <w:jc w:val="right"/>
              <w:rPr>
                <w:sz w:val="18"/>
              </w:rPr>
            </w:pPr>
            <w:r>
              <w:rPr>
                <w:spacing w:val="-10"/>
                <w:sz w:val="18"/>
              </w:rPr>
              <w:t>$</w:t>
            </w:r>
            <w:r>
              <w:rPr>
                <w:sz w:val="18"/>
              </w:rPr>
              <w:tab/>
            </w:r>
            <w:r>
              <w:rPr>
                <w:spacing w:val="-5"/>
                <w:sz w:val="18"/>
              </w:rPr>
              <w:t>97</w:t>
            </w:r>
          </w:p>
        </w:tc>
        <w:tc>
          <w:tcPr>
            <w:tcW w:w="963" w:type="dxa"/>
            <w:shd w:val="clear" w:color="auto" w:fill="CCEDFF"/>
          </w:tcPr>
          <w:p>
            <w:pPr>
              <w:pStyle w:val="TableParagraph"/>
              <w:tabs>
                <w:tab w:pos="697" w:val="left" w:leader="none"/>
              </w:tabs>
              <w:spacing w:before="18"/>
              <w:ind w:right="71"/>
              <w:jc w:val="right"/>
              <w:rPr>
                <w:sz w:val="18"/>
              </w:rPr>
            </w:pPr>
            <w:r>
              <w:rPr>
                <w:spacing w:val="-10"/>
                <w:sz w:val="18"/>
              </w:rPr>
              <w:t>$</w:t>
            </w:r>
            <w:r>
              <w:rPr>
                <w:sz w:val="18"/>
              </w:rPr>
              <w:tab/>
            </w:r>
            <w:r>
              <w:rPr>
                <w:spacing w:val="-10"/>
                <w:sz w:val="18"/>
              </w:rPr>
              <w:t>1</w:t>
            </w:r>
          </w:p>
        </w:tc>
        <w:tc>
          <w:tcPr>
            <w:tcW w:w="74" w:type="dxa"/>
            <w:shd w:val="clear" w:color="auto" w:fill="CCEDFF"/>
          </w:tcPr>
          <w:p>
            <w:pPr>
              <w:pStyle w:val="TableParagraph"/>
              <w:rPr>
                <w:sz w:val="18"/>
              </w:rPr>
            </w:pPr>
          </w:p>
        </w:tc>
        <w:tc>
          <w:tcPr>
            <w:tcW w:w="940" w:type="dxa"/>
            <w:shd w:val="clear" w:color="auto" w:fill="CCEDFF"/>
          </w:tcPr>
          <w:p>
            <w:pPr>
              <w:pStyle w:val="TableParagraph"/>
              <w:tabs>
                <w:tab w:pos="292" w:val="left" w:leader="none"/>
              </w:tabs>
              <w:spacing w:before="18"/>
              <w:ind w:right="95"/>
              <w:jc w:val="right"/>
              <w:rPr>
                <w:sz w:val="18"/>
              </w:rPr>
            </w:pPr>
            <w:r>
              <w:rPr>
                <w:spacing w:val="-10"/>
                <w:sz w:val="18"/>
              </w:rPr>
              <w:t>$</w:t>
            </w:r>
            <w:r>
              <w:rPr>
                <w:sz w:val="18"/>
              </w:rPr>
              <w:tab/>
            </w:r>
            <w:r>
              <w:rPr>
                <w:spacing w:val="-2"/>
                <w:sz w:val="18"/>
              </w:rPr>
              <w:t>64,763</w:t>
            </w:r>
          </w:p>
        </w:tc>
        <w:tc>
          <w:tcPr>
            <w:tcW w:w="962" w:type="dxa"/>
            <w:shd w:val="clear" w:color="auto" w:fill="CCEDFF"/>
          </w:tcPr>
          <w:p>
            <w:pPr>
              <w:pStyle w:val="TableParagraph"/>
              <w:tabs>
                <w:tab w:pos="382" w:val="left" w:leader="none"/>
              </w:tabs>
              <w:spacing w:before="18"/>
              <w:ind w:right="67"/>
              <w:jc w:val="right"/>
              <w:rPr>
                <w:sz w:val="18"/>
              </w:rPr>
            </w:pPr>
            <w:r>
              <w:rPr>
                <w:spacing w:val="-10"/>
                <w:sz w:val="18"/>
              </w:rPr>
              <w:t>$</w:t>
            </w:r>
            <w:r>
              <w:rPr>
                <w:sz w:val="18"/>
              </w:rPr>
              <w:tab/>
            </w:r>
            <w:r>
              <w:rPr>
                <w:spacing w:val="-2"/>
                <w:sz w:val="18"/>
              </w:rPr>
              <w:t>8,656</w:t>
            </w:r>
          </w:p>
        </w:tc>
        <w:tc>
          <w:tcPr>
            <w:tcW w:w="73" w:type="dxa"/>
            <w:shd w:val="clear" w:color="auto" w:fill="CCEDFF"/>
          </w:tcPr>
          <w:p>
            <w:pPr>
              <w:pStyle w:val="TableParagraph"/>
              <w:rPr>
                <w:sz w:val="18"/>
              </w:rPr>
            </w:pPr>
          </w:p>
        </w:tc>
        <w:tc>
          <w:tcPr>
            <w:tcW w:w="939" w:type="dxa"/>
            <w:shd w:val="clear" w:color="auto" w:fill="CCEDFF"/>
          </w:tcPr>
          <w:p>
            <w:pPr>
              <w:pStyle w:val="TableParagraph"/>
              <w:tabs>
                <w:tab w:pos="292" w:val="left" w:leader="none"/>
              </w:tabs>
              <w:spacing w:before="18"/>
              <w:ind w:right="89"/>
              <w:jc w:val="right"/>
              <w:rPr>
                <w:sz w:val="18"/>
              </w:rPr>
            </w:pPr>
            <w:r>
              <w:rPr>
                <w:spacing w:val="-10"/>
                <w:sz w:val="18"/>
              </w:rPr>
              <w:t>$</w:t>
            </w:r>
            <w:r>
              <w:rPr>
                <w:sz w:val="18"/>
              </w:rPr>
              <w:tab/>
            </w:r>
            <w:r>
              <w:rPr>
                <w:spacing w:val="-2"/>
                <w:sz w:val="18"/>
              </w:rPr>
              <w:t>64,860</w:t>
            </w:r>
          </w:p>
        </w:tc>
        <w:tc>
          <w:tcPr>
            <w:tcW w:w="961" w:type="dxa"/>
            <w:shd w:val="clear" w:color="auto" w:fill="CCEDFF"/>
          </w:tcPr>
          <w:p>
            <w:pPr>
              <w:pStyle w:val="TableParagraph"/>
              <w:tabs>
                <w:tab w:pos="382" w:val="left" w:leader="none"/>
              </w:tabs>
              <w:spacing w:before="18"/>
              <w:ind w:right="60"/>
              <w:jc w:val="right"/>
              <w:rPr>
                <w:sz w:val="18"/>
              </w:rPr>
            </w:pPr>
            <w:r>
              <w:rPr>
                <w:spacing w:val="-10"/>
                <w:sz w:val="18"/>
              </w:rPr>
              <w:t>$</w:t>
            </w:r>
            <w:r>
              <w:rPr>
                <w:sz w:val="18"/>
              </w:rPr>
              <w:tab/>
            </w:r>
            <w:r>
              <w:rPr>
                <w:spacing w:val="-2"/>
                <w:sz w:val="18"/>
              </w:rPr>
              <w:t>8,657</w:t>
            </w:r>
          </w:p>
        </w:tc>
      </w:tr>
      <w:tr>
        <w:trPr>
          <w:trHeight w:val="255" w:hRule="atLeast"/>
        </w:trPr>
        <w:tc>
          <w:tcPr>
            <w:tcW w:w="4380" w:type="dxa"/>
          </w:tcPr>
          <w:p>
            <w:pPr>
              <w:pStyle w:val="TableParagraph"/>
              <w:spacing w:before="18"/>
              <w:ind w:left="52"/>
              <w:rPr>
                <w:sz w:val="18"/>
              </w:rPr>
            </w:pPr>
            <w:r>
              <w:rPr>
                <w:sz w:val="18"/>
              </w:rPr>
              <w:t>U.S.</w:t>
            </w:r>
            <w:r>
              <w:rPr>
                <w:spacing w:val="-2"/>
                <w:sz w:val="18"/>
              </w:rPr>
              <w:t> </w:t>
            </w:r>
            <w:r>
              <w:rPr>
                <w:sz w:val="18"/>
              </w:rPr>
              <w:t>Treasury</w:t>
            </w:r>
            <w:r>
              <w:rPr>
                <w:spacing w:val="-1"/>
                <w:sz w:val="18"/>
              </w:rPr>
              <w:t> </w:t>
            </w:r>
            <w:r>
              <w:rPr>
                <w:spacing w:val="-2"/>
                <w:sz w:val="18"/>
              </w:rPr>
              <w:t>securities</w:t>
            </w:r>
          </w:p>
        </w:tc>
        <w:tc>
          <w:tcPr>
            <w:tcW w:w="911" w:type="dxa"/>
          </w:tcPr>
          <w:p>
            <w:pPr>
              <w:pStyle w:val="TableParagraph"/>
              <w:spacing w:before="18"/>
              <w:ind w:right="98"/>
              <w:jc w:val="right"/>
              <w:rPr>
                <w:sz w:val="18"/>
              </w:rPr>
            </w:pPr>
            <w:r>
              <w:rPr>
                <w:spacing w:val="-2"/>
                <w:sz w:val="18"/>
              </w:rPr>
              <w:t>1,493</w:t>
            </w:r>
          </w:p>
        </w:tc>
        <w:tc>
          <w:tcPr>
            <w:tcW w:w="963" w:type="dxa"/>
          </w:tcPr>
          <w:p>
            <w:pPr>
              <w:pStyle w:val="TableParagraph"/>
              <w:spacing w:before="18"/>
              <w:ind w:right="71"/>
              <w:jc w:val="right"/>
              <w:rPr>
                <w:sz w:val="18"/>
              </w:rPr>
            </w:pPr>
            <w:r>
              <w:rPr>
                <w:spacing w:val="-10"/>
                <w:sz w:val="18"/>
              </w:rPr>
              <w:t>2</w:t>
            </w:r>
          </w:p>
        </w:tc>
        <w:tc>
          <w:tcPr>
            <w:tcW w:w="74" w:type="dxa"/>
          </w:tcPr>
          <w:p>
            <w:pPr>
              <w:pStyle w:val="TableParagraph"/>
              <w:rPr>
                <w:sz w:val="18"/>
              </w:rPr>
            </w:pPr>
          </w:p>
        </w:tc>
        <w:tc>
          <w:tcPr>
            <w:tcW w:w="940" w:type="dxa"/>
          </w:tcPr>
          <w:p>
            <w:pPr>
              <w:pStyle w:val="TableParagraph"/>
              <w:spacing w:before="18"/>
              <w:ind w:right="95"/>
              <w:jc w:val="right"/>
              <w:rPr>
                <w:sz w:val="18"/>
              </w:rPr>
            </w:pPr>
            <w:r>
              <w:rPr>
                <w:spacing w:val="-2"/>
                <w:sz w:val="18"/>
              </w:rPr>
              <w:t>20,295</w:t>
            </w:r>
          </w:p>
        </w:tc>
        <w:tc>
          <w:tcPr>
            <w:tcW w:w="962" w:type="dxa"/>
          </w:tcPr>
          <w:p>
            <w:pPr>
              <w:pStyle w:val="TableParagraph"/>
              <w:spacing w:before="18"/>
              <w:ind w:right="67"/>
              <w:jc w:val="right"/>
              <w:rPr>
                <w:sz w:val="18"/>
              </w:rPr>
            </w:pPr>
            <w:r>
              <w:rPr>
                <w:spacing w:val="-2"/>
                <w:sz w:val="18"/>
              </w:rPr>
              <w:t>1,349</w:t>
            </w:r>
          </w:p>
        </w:tc>
        <w:tc>
          <w:tcPr>
            <w:tcW w:w="73" w:type="dxa"/>
          </w:tcPr>
          <w:p>
            <w:pPr>
              <w:pStyle w:val="TableParagraph"/>
              <w:rPr>
                <w:sz w:val="18"/>
              </w:rPr>
            </w:pPr>
          </w:p>
        </w:tc>
        <w:tc>
          <w:tcPr>
            <w:tcW w:w="939" w:type="dxa"/>
          </w:tcPr>
          <w:p>
            <w:pPr>
              <w:pStyle w:val="TableParagraph"/>
              <w:spacing w:before="18"/>
              <w:ind w:right="89"/>
              <w:jc w:val="right"/>
              <w:rPr>
                <w:sz w:val="18"/>
              </w:rPr>
            </w:pPr>
            <w:r>
              <w:rPr>
                <w:spacing w:val="-2"/>
                <w:sz w:val="18"/>
              </w:rPr>
              <w:t>21,788</w:t>
            </w:r>
          </w:p>
        </w:tc>
        <w:tc>
          <w:tcPr>
            <w:tcW w:w="961" w:type="dxa"/>
          </w:tcPr>
          <w:p>
            <w:pPr>
              <w:pStyle w:val="TableParagraph"/>
              <w:spacing w:before="18"/>
              <w:ind w:right="60"/>
              <w:jc w:val="right"/>
              <w:rPr>
                <w:sz w:val="18"/>
              </w:rPr>
            </w:pPr>
            <w:r>
              <w:rPr>
                <w:spacing w:val="-2"/>
                <w:sz w:val="18"/>
              </w:rPr>
              <w:t>1,351</w:t>
            </w:r>
          </w:p>
        </w:tc>
      </w:tr>
      <w:tr>
        <w:trPr>
          <w:trHeight w:val="255" w:hRule="atLeast"/>
        </w:trPr>
        <w:tc>
          <w:tcPr>
            <w:tcW w:w="4380" w:type="dxa"/>
            <w:shd w:val="clear" w:color="auto" w:fill="CCEDFF"/>
          </w:tcPr>
          <w:p>
            <w:pPr>
              <w:pStyle w:val="TableParagraph"/>
              <w:spacing w:before="18"/>
              <w:ind w:left="52"/>
              <w:rPr>
                <w:sz w:val="18"/>
              </w:rPr>
            </w:pPr>
            <w:r>
              <w:rPr>
                <w:sz w:val="18"/>
              </w:rPr>
              <w:t>Asset-backed</w:t>
            </w:r>
            <w:r>
              <w:rPr>
                <w:spacing w:val="-3"/>
                <w:sz w:val="18"/>
              </w:rPr>
              <w:t> </w:t>
            </w:r>
            <w:r>
              <w:rPr>
                <w:spacing w:val="-2"/>
                <w:sz w:val="18"/>
              </w:rPr>
              <w:t>securities</w:t>
            </w:r>
          </w:p>
        </w:tc>
        <w:tc>
          <w:tcPr>
            <w:tcW w:w="911" w:type="dxa"/>
            <w:shd w:val="clear" w:color="auto" w:fill="CCEDFF"/>
          </w:tcPr>
          <w:p>
            <w:pPr>
              <w:pStyle w:val="TableParagraph"/>
              <w:spacing w:before="18"/>
              <w:ind w:right="98"/>
              <w:jc w:val="right"/>
              <w:rPr>
                <w:sz w:val="18"/>
              </w:rPr>
            </w:pPr>
            <w:r>
              <w:rPr>
                <w:spacing w:val="-5"/>
                <w:sz w:val="18"/>
              </w:rPr>
              <w:t>32</w:t>
            </w:r>
          </w:p>
        </w:tc>
        <w:tc>
          <w:tcPr>
            <w:tcW w:w="963" w:type="dxa"/>
            <w:shd w:val="clear" w:color="auto" w:fill="CCEDFF"/>
          </w:tcPr>
          <w:p>
            <w:pPr>
              <w:pStyle w:val="TableParagraph"/>
              <w:spacing w:before="18"/>
              <w:ind w:right="71"/>
              <w:jc w:val="right"/>
              <w:rPr>
                <w:sz w:val="18"/>
              </w:rPr>
            </w:pPr>
            <w:r>
              <w:rPr>
                <w:spacing w:val="-10"/>
                <w:sz w:val="18"/>
              </w:rPr>
              <w:t>—</w:t>
            </w:r>
          </w:p>
        </w:tc>
        <w:tc>
          <w:tcPr>
            <w:tcW w:w="74" w:type="dxa"/>
            <w:shd w:val="clear" w:color="auto" w:fill="CCEDFF"/>
          </w:tcPr>
          <w:p>
            <w:pPr>
              <w:pStyle w:val="TableParagraph"/>
              <w:rPr>
                <w:sz w:val="18"/>
              </w:rPr>
            </w:pPr>
          </w:p>
        </w:tc>
        <w:tc>
          <w:tcPr>
            <w:tcW w:w="940" w:type="dxa"/>
            <w:shd w:val="clear" w:color="auto" w:fill="CCEDFF"/>
          </w:tcPr>
          <w:p>
            <w:pPr>
              <w:pStyle w:val="TableParagraph"/>
              <w:spacing w:before="18"/>
              <w:ind w:right="95"/>
              <w:jc w:val="right"/>
              <w:rPr>
                <w:sz w:val="18"/>
              </w:rPr>
            </w:pPr>
            <w:r>
              <w:rPr>
                <w:spacing w:val="-2"/>
                <w:sz w:val="18"/>
              </w:rPr>
              <w:t>9,580</w:t>
            </w:r>
          </w:p>
        </w:tc>
        <w:tc>
          <w:tcPr>
            <w:tcW w:w="962" w:type="dxa"/>
            <w:shd w:val="clear" w:color="auto" w:fill="CCEDFF"/>
          </w:tcPr>
          <w:p>
            <w:pPr>
              <w:pStyle w:val="TableParagraph"/>
              <w:spacing w:before="18"/>
              <w:ind w:right="67"/>
              <w:jc w:val="right"/>
              <w:rPr>
                <w:sz w:val="18"/>
              </w:rPr>
            </w:pPr>
            <w:r>
              <w:rPr>
                <w:spacing w:val="-5"/>
                <w:sz w:val="18"/>
              </w:rPr>
              <w:t>487</w:t>
            </w:r>
          </w:p>
        </w:tc>
        <w:tc>
          <w:tcPr>
            <w:tcW w:w="73" w:type="dxa"/>
            <w:shd w:val="clear" w:color="auto" w:fill="CCEDFF"/>
          </w:tcPr>
          <w:p>
            <w:pPr>
              <w:pStyle w:val="TableParagraph"/>
              <w:rPr>
                <w:sz w:val="18"/>
              </w:rPr>
            </w:pPr>
          </w:p>
        </w:tc>
        <w:tc>
          <w:tcPr>
            <w:tcW w:w="939" w:type="dxa"/>
            <w:shd w:val="clear" w:color="auto" w:fill="CCEDFF"/>
          </w:tcPr>
          <w:p>
            <w:pPr>
              <w:pStyle w:val="TableParagraph"/>
              <w:spacing w:before="18"/>
              <w:ind w:right="89"/>
              <w:jc w:val="right"/>
              <w:rPr>
                <w:sz w:val="18"/>
              </w:rPr>
            </w:pPr>
            <w:r>
              <w:rPr>
                <w:spacing w:val="-2"/>
                <w:sz w:val="18"/>
              </w:rPr>
              <w:t>9,612</w:t>
            </w:r>
          </w:p>
        </w:tc>
        <w:tc>
          <w:tcPr>
            <w:tcW w:w="961" w:type="dxa"/>
            <w:shd w:val="clear" w:color="auto" w:fill="CCEDFF"/>
          </w:tcPr>
          <w:p>
            <w:pPr>
              <w:pStyle w:val="TableParagraph"/>
              <w:spacing w:before="18"/>
              <w:ind w:right="60"/>
              <w:jc w:val="right"/>
              <w:rPr>
                <w:sz w:val="18"/>
              </w:rPr>
            </w:pPr>
            <w:r>
              <w:rPr>
                <w:spacing w:val="-5"/>
                <w:sz w:val="18"/>
              </w:rPr>
              <w:t>487</w:t>
            </w:r>
          </w:p>
        </w:tc>
      </w:tr>
      <w:tr>
        <w:trPr>
          <w:trHeight w:val="255" w:hRule="atLeast"/>
        </w:trPr>
        <w:tc>
          <w:tcPr>
            <w:tcW w:w="4380" w:type="dxa"/>
          </w:tcPr>
          <w:p>
            <w:pPr>
              <w:pStyle w:val="TableParagraph"/>
              <w:spacing w:before="18"/>
              <w:ind w:left="52"/>
              <w:rPr>
                <w:sz w:val="18"/>
              </w:rPr>
            </w:pPr>
            <w:r>
              <w:rPr>
                <w:sz w:val="18"/>
              </w:rPr>
              <w:t>Corporate debt </w:t>
            </w:r>
            <w:r>
              <w:rPr>
                <w:spacing w:val="-2"/>
                <w:sz w:val="18"/>
              </w:rPr>
              <w:t>securities</w:t>
            </w:r>
          </w:p>
        </w:tc>
        <w:tc>
          <w:tcPr>
            <w:tcW w:w="911" w:type="dxa"/>
          </w:tcPr>
          <w:p>
            <w:pPr>
              <w:pStyle w:val="TableParagraph"/>
              <w:spacing w:before="18"/>
              <w:ind w:right="98"/>
              <w:jc w:val="right"/>
              <w:rPr>
                <w:sz w:val="18"/>
              </w:rPr>
            </w:pPr>
            <w:r>
              <w:rPr>
                <w:spacing w:val="-10"/>
                <w:sz w:val="18"/>
              </w:rPr>
              <w:t>—</w:t>
            </w:r>
          </w:p>
        </w:tc>
        <w:tc>
          <w:tcPr>
            <w:tcW w:w="963" w:type="dxa"/>
          </w:tcPr>
          <w:p>
            <w:pPr>
              <w:pStyle w:val="TableParagraph"/>
              <w:spacing w:before="18"/>
              <w:ind w:right="71"/>
              <w:jc w:val="right"/>
              <w:rPr>
                <w:sz w:val="18"/>
              </w:rPr>
            </w:pPr>
            <w:r>
              <w:rPr>
                <w:spacing w:val="-10"/>
                <w:sz w:val="18"/>
              </w:rPr>
              <w:t>—</w:t>
            </w:r>
          </w:p>
        </w:tc>
        <w:tc>
          <w:tcPr>
            <w:tcW w:w="74" w:type="dxa"/>
          </w:tcPr>
          <w:p>
            <w:pPr>
              <w:pStyle w:val="TableParagraph"/>
              <w:rPr>
                <w:sz w:val="18"/>
              </w:rPr>
            </w:pPr>
          </w:p>
        </w:tc>
        <w:tc>
          <w:tcPr>
            <w:tcW w:w="940" w:type="dxa"/>
          </w:tcPr>
          <w:p>
            <w:pPr>
              <w:pStyle w:val="TableParagraph"/>
              <w:spacing w:before="18"/>
              <w:ind w:right="95"/>
              <w:jc w:val="right"/>
              <w:rPr>
                <w:sz w:val="18"/>
              </w:rPr>
            </w:pPr>
            <w:r>
              <w:rPr>
                <w:spacing w:val="-2"/>
                <w:sz w:val="18"/>
              </w:rPr>
              <w:t>12,155</w:t>
            </w:r>
          </w:p>
        </w:tc>
        <w:tc>
          <w:tcPr>
            <w:tcW w:w="962" w:type="dxa"/>
          </w:tcPr>
          <w:p>
            <w:pPr>
              <w:pStyle w:val="TableParagraph"/>
              <w:spacing w:before="18"/>
              <w:ind w:right="67"/>
              <w:jc w:val="right"/>
              <w:rPr>
                <w:sz w:val="18"/>
              </w:rPr>
            </w:pPr>
            <w:r>
              <w:rPr>
                <w:spacing w:val="-2"/>
                <w:sz w:val="18"/>
              </w:rPr>
              <w:t>1,207</w:t>
            </w:r>
          </w:p>
        </w:tc>
        <w:tc>
          <w:tcPr>
            <w:tcW w:w="73" w:type="dxa"/>
          </w:tcPr>
          <w:p>
            <w:pPr>
              <w:pStyle w:val="TableParagraph"/>
              <w:rPr>
                <w:sz w:val="18"/>
              </w:rPr>
            </w:pPr>
          </w:p>
        </w:tc>
        <w:tc>
          <w:tcPr>
            <w:tcW w:w="939" w:type="dxa"/>
          </w:tcPr>
          <w:p>
            <w:pPr>
              <w:pStyle w:val="TableParagraph"/>
              <w:spacing w:before="18"/>
              <w:ind w:right="89"/>
              <w:jc w:val="right"/>
              <w:rPr>
                <w:sz w:val="18"/>
              </w:rPr>
            </w:pPr>
            <w:r>
              <w:rPr>
                <w:spacing w:val="-2"/>
                <w:sz w:val="18"/>
              </w:rPr>
              <w:t>12,155</w:t>
            </w:r>
          </w:p>
        </w:tc>
        <w:tc>
          <w:tcPr>
            <w:tcW w:w="961" w:type="dxa"/>
          </w:tcPr>
          <w:p>
            <w:pPr>
              <w:pStyle w:val="TableParagraph"/>
              <w:spacing w:before="18"/>
              <w:ind w:right="60"/>
              <w:jc w:val="right"/>
              <w:rPr>
                <w:sz w:val="18"/>
              </w:rPr>
            </w:pPr>
            <w:r>
              <w:rPr>
                <w:spacing w:val="-2"/>
                <w:sz w:val="18"/>
              </w:rPr>
              <w:t>1,207</w:t>
            </w:r>
          </w:p>
        </w:tc>
      </w:tr>
      <w:tr>
        <w:trPr>
          <w:trHeight w:val="255" w:hRule="atLeast"/>
        </w:trPr>
        <w:tc>
          <w:tcPr>
            <w:tcW w:w="4380" w:type="dxa"/>
            <w:shd w:val="clear" w:color="auto" w:fill="CCEDFF"/>
          </w:tcPr>
          <w:p>
            <w:pPr>
              <w:pStyle w:val="TableParagraph"/>
              <w:spacing w:before="18"/>
              <w:ind w:left="52"/>
              <w:rPr>
                <w:sz w:val="18"/>
              </w:rPr>
            </w:pPr>
            <w:r>
              <w:rPr>
                <w:sz w:val="18"/>
              </w:rPr>
              <w:t>Certificates</w:t>
            </w:r>
            <w:r>
              <w:rPr>
                <w:spacing w:val="-1"/>
                <w:sz w:val="18"/>
              </w:rPr>
              <w:t> </w:t>
            </w:r>
            <w:r>
              <w:rPr>
                <w:sz w:val="18"/>
              </w:rPr>
              <w:t>of </w:t>
            </w:r>
            <w:r>
              <w:rPr>
                <w:spacing w:val="-2"/>
                <w:sz w:val="18"/>
              </w:rPr>
              <w:t>deposit</w:t>
            </w:r>
          </w:p>
        </w:tc>
        <w:tc>
          <w:tcPr>
            <w:tcW w:w="911" w:type="dxa"/>
            <w:shd w:val="clear" w:color="auto" w:fill="CCEDFF"/>
          </w:tcPr>
          <w:p>
            <w:pPr>
              <w:pStyle w:val="TableParagraph"/>
              <w:spacing w:before="18"/>
              <w:ind w:right="98"/>
              <w:jc w:val="right"/>
              <w:rPr>
                <w:sz w:val="18"/>
              </w:rPr>
            </w:pPr>
            <w:r>
              <w:rPr>
                <w:spacing w:val="-10"/>
                <w:sz w:val="18"/>
              </w:rPr>
              <w:t>—</w:t>
            </w:r>
          </w:p>
        </w:tc>
        <w:tc>
          <w:tcPr>
            <w:tcW w:w="963" w:type="dxa"/>
            <w:shd w:val="clear" w:color="auto" w:fill="CCEDFF"/>
          </w:tcPr>
          <w:p>
            <w:pPr>
              <w:pStyle w:val="TableParagraph"/>
              <w:spacing w:before="18"/>
              <w:ind w:right="71"/>
              <w:jc w:val="right"/>
              <w:rPr>
                <w:sz w:val="18"/>
              </w:rPr>
            </w:pPr>
            <w:r>
              <w:rPr>
                <w:spacing w:val="-10"/>
                <w:sz w:val="18"/>
              </w:rPr>
              <w:t>—</w:t>
            </w:r>
          </w:p>
        </w:tc>
        <w:tc>
          <w:tcPr>
            <w:tcW w:w="74" w:type="dxa"/>
            <w:shd w:val="clear" w:color="auto" w:fill="CCEDFF"/>
          </w:tcPr>
          <w:p>
            <w:pPr>
              <w:pStyle w:val="TableParagraph"/>
              <w:rPr>
                <w:sz w:val="18"/>
              </w:rPr>
            </w:pPr>
          </w:p>
        </w:tc>
        <w:tc>
          <w:tcPr>
            <w:tcW w:w="940" w:type="dxa"/>
            <w:shd w:val="clear" w:color="auto" w:fill="CCEDFF"/>
          </w:tcPr>
          <w:p>
            <w:pPr>
              <w:pStyle w:val="TableParagraph"/>
              <w:spacing w:before="18"/>
              <w:ind w:right="95"/>
              <w:jc w:val="right"/>
              <w:rPr>
                <w:sz w:val="18"/>
              </w:rPr>
            </w:pPr>
            <w:r>
              <w:rPr>
                <w:spacing w:val="-5"/>
                <w:sz w:val="18"/>
              </w:rPr>
              <w:t>99</w:t>
            </w:r>
          </w:p>
        </w:tc>
        <w:tc>
          <w:tcPr>
            <w:tcW w:w="962" w:type="dxa"/>
            <w:shd w:val="clear" w:color="auto" w:fill="CCEDFF"/>
          </w:tcPr>
          <w:p>
            <w:pPr>
              <w:pStyle w:val="TableParagraph"/>
              <w:spacing w:before="18"/>
              <w:ind w:right="67"/>
              <w:jc w:val="right"/>
              <w:rPr>
                <w:sz w:val="18"/>
              </w:rPr>
            </w:pPr>
            <w:r>
              <w:rPr>
                <w:spacing w:val="-10"/>
                <w:sz w:val="18"/>
              </w:rPr>
              <w:t>1</w:t>
            </w:r>
          </w:p>
        </w:tc>
        <w:tc>
          <w:tcPr>
            <w:tcW w:w="73" w:type="dxa"/>
            <w:shd w:val="clear" w:color="auto" w:fill="CCEDFF"/>
          </w:tcPr>
          <w:p>
            <w:pPr>
              <w:pStyle w:val="TableParagraph"/>
              <w:rPr>
                <w:sz w:val="18"/>
              </w:rPr>
            </w:pPr>
          </w:p>
        </w:tc>
        <w:tc>
          <w:tcPr>
            <w:tcW w:w="939" w:type="dxa"/>
            <w:shd w:val="clear" w:color="auto" w:fill="CCEDFF"/>
          </w:tcPr>
          <w:p>
            <w:pPr>
              <w:pStyle w:val="TableParagraph"/>
              <w:spacing w:before="18"/>
              <w:ind w:right="89"/>
              <w:jc w:val="right"/>
              <w:rPr>
                <w:sz w:val="18"/>
              </w:rPr>
            </w:pPr>
            <w:r>
              <w:rPr>
                <w:spacing w:val="-5"/>
                <w:sz w:val="18"/>
              </w:rPr>
              <w:t>99</w:t>
            </w:r>
          </w:p>
        </w:tc>
        <w:tc>
          <w:tcPr>
            <w:tcW w:w="961" w:type="dxa"/>
            <w:shd w:val="clear" w:color="auto" w:fill="CCEDFF"/>
          </w:tcPr>
          <w:p>
            <w:pPr>
              <w:pStyle w:val="TableParagraph"/>
              <w:spacing w:before="18"/>
              <w:ind w:right="60"/>
              <w:jc w:val="right"/>
              <w:rPr>
                <w:sz w:val="18"/>
              </w:rPr>
            </w:pPr>
            <w:r>
              <w:rPr>
                <w:spacing w:val="-10"/>
                <w:sz w:val="18"/>
              </w:rPr>
              <w:t>1</w:t>
            </w:r>
          </w:p>
        </w:tc>
      </w:tr>
      <w:tr>
        <w:trPr>
          <w:trHeight w:val="255" w:hRule="atLeast"/>
        </w:trPr>
        <w:tc>
          <w:tcPr>
            <w:tcW w:w="4380" w:type="dxa"/>
          </w:tcPr>
          <w:p>
            <w:pPr>
              <w:pStyle w:val="TableParagraph"/>
              <w:spacing w:before="18"/>
              <w:ind w:left="52"/>
              <w:rPr>
                <w:sz w:val="18"/>
              </w:rPr>
            </w:pPr>
            <w:r>
              <w:rPr>
                <w:sz w:val="18"/>
              </w:rPr>
              <w:t>Foreign</w:t>
            </w:r>
            <w:r>
              <w:rPr>
                <w:spacing w:val="-1"/>
                <w:sz w:val="18"/>
              </w:rPr>
              <w:t> </w:t>
            </w:r>
            <w:r>
              <w:rPr>
                <w:sz w:val="18"/>
              </w:rPr>
              <w:t>government agency </w:t>
            </w:r>
            <w:r>
              <w:rPr>
                <w:spacing w:val="-2"/>
                <w:sz w:val="18"/>
              </w:rPr>
              <w:t>securities</w:t>
            </w:r>
          </w:p>
        </w:tc>
        <w:tc>
          <w:tcPr>
            <w:tcW w:w="911" w:type="dxa"/>
          </w:tcPr>
          <w:p>
            <w:pPr>
              <w:pStyle w:val="TableParagraph"/>
              <w:spacing w:before="18"/>
              <w:ind w:right="98"/>
              <w:jc w:val="right"/>
              <w:rPr>
                <w:sz w:val="18"/>
              </w:rPr>
            </w:pPr>
            <w:r>
              <w:rPr>
                <w:spacing w:val="-10"/>
                <w:sz w:val="18"/>
              </w:rPr>
              <w:t>—</w:t>
            </w:r>
          </w:p>
        </w:tc>
        <w:tc>
          <w:tcPr>
            <w:tcW w:w="963" w:type="dxa"/>
          </w:tcPr>
          <w:p>
            <w:pPr>
              <w:pStyle w:val="TableParagraph"/>
              <w:spacing w:before="18"/>
              <w:ind w:right="71"/>
              <w:jc w:val="right"/>
              <w:rPr>
                <w:sz w:val="18"/>
              </w:rPr>
            </w:pPr>
            <w:r>
              <w:rPr>
                <w:spacing w:val="-10"/>
                <w:sz w:val="18"/>
              </w:rPr>
              <w:t>—</w:t>
            </w:r>
          </w:p>
        </w:tc>
        <w:tc>
          <w:tcPr>
            <w:tcW w:w="74" w:type="dxa"/>
          </w:tcPr>
          <w:p>
            <w:pPr>
              <w:pStyle w:val="TableParagraph"/>
              <w:rPr>
                <w:sz w:val="18"/>
              </w:rPr>
            </w:pPr>
          </w:p>
        </w:tc>
        <w:tc>
          <w:tcPr>
            <w:tcW w:w="940" w:type="dxa"/>
          </w:tcPr>
          <w:p>
            <w:pPr>
              <w:pStyle w:val="TableParagraph"/>
              <w:spacing w:before="18"/>
              <w:ind w:right="95"/>
              <w:jc w:val="right"/>
              <w:rPr>
                <w:sz w:val="18"/>
              </w:rPr>
            </w:pPr>
            <w:r>
              <w:rPr>
                <w:spacing w:val="-5"/>
                <w:sz w:val="18"/>
              </w:rPr>
              <w:t>985</w:t>
            </w:r>
          </w:p>
        </w:tc>
        <w:tc>
          <w:tcPr>
            <w:tcW w:w="962" w:type="dxa"/>
          </w:tcPr>
          <w:p>
            <w:pPr>
              <w:pStyle w:val="TableParagraph"/>
              <w:spacing w:before="18"/>
              <w:ind w:right="67"/>
              <w:jc w:val="right"/>
              <w:rPr>
                <w:sz w:val="18"/>
              </w:rPr>
            </w:pPr>
            <w:r>
              <w:rPr>
                <w:spacing w:val="-5"/>
                <w:sz w:val="18"/>
              </w:rPr>
              <w:t>49</w:t>
            </w:r>
          </w:p>
        </w:tc>
        <w:tc>
          <w:tcPr>
            <w:tcW w:w="73" w:type="dxa"/>
          </w:tcPr>
          <w:p>
            <w:pPr>
              <w:pStyle w:val="TableParagraph"/>
              <w:rPr>
                <w:sz w:val="18"/>
              </w:rPr>
            </w:pPr>
          </w:p>
        </w:tc>
        <w:tc>
          <w:tcPr>
            <w:tcW w:w="939" w:type="dxa"/>
          </w:tcPr>
          <w:p>
            <w:pPr>
              <w:pStyle w:val="TableParagraph"/>
              <w:spacing w:before="18"/>
              <w:ind w:right="89"/>
              <w:jc w:val="right"/>
              <w:rPr>
                <w:sz w:val="18"/>
              </w:rPr>
            </w:pPr>
            <w:r>
              <w:rPr>
                <w:spacing w:val="-5"/>
                <w:sz w:val="18"/>
              </w:rPr>
              <w:t>985</w:t>
            </w:r>
          </w:p>
        </w:tc>
        <w:tc>
          <w:tcPr>
            <w:tcW w:w="961" w:type="dxa"/>
          </w:tcPr>
          <w:p>
            <w:pPr>
              <w:pStyle w:val="TableParagraph"/>
              <w:spacing w:before="18"/>
              <w:ind w:right="60"/>
              <w:jc w:val="right"/>
              <w:rPr>
                <w:sz w:val="18"/>
              </w:rPr>
            </w:pPr>
            <w:r>
              <w:rPr>
                <w:spacing w:val="-5"/>
                <w:sz w:val="18"/>
              </w:rPr>
              <w:t>49</w:t>
            </w:r>
          </w:p>
        </w:tc>
      </w:tr>
      <w:tr>
        <w:trPr>
          <w:trHeight w:val="255" w:hRule="atLeast"/>
        </w:trPr>
        <w:tc>
          <w:tcPr>
            <w:tcW w:w="4380" w:type="dxa"/>
            <w:shd w:val="clear" w:color="auto" w:fill="CCEDFF"/>
          </w:tcPr>
          <w:p>
            <w:pPr>
              <w:pStyle w:val="TableParagraph"/>
              <w:spacing w:before="18"/>
              <w:ind w:left="52"/>
              <w:rPr>
                <w:sz w:val="18"/>
              </w:rPr>
            </w:pPr>
            <w:r>
              <w:rPr>
                <w:sz w:val="18"/>
              </w:rPr>
              <w:t>U.S.</w:t>
            </w:r>
            <w:r>
              <w:rPr>
                <w:spacing w:val="-1"/>
                <w:sz w:val="18"/>
              </w:rPr>
              <w:t> </w:t>
            </w:r>
            <w:r>
              <w:rPr>
                <w:sz w:val="18"/>
              </w:rPr>
              <w:t>state</w:t>
            </w:r>
            <w:r>
              <w:rPr>
                <w:spacing w:val="-1"/>
                <w:sz w:val="18"/>
              </w:rPr>
              <w:t> </w:t>
            </w:r>
            <w:r>
              <w:rPr>
                <w:sz w:val="18"/>
              </w:rPr>
              <w:t>and</w:t>
            </w:r>
            <w:r>
              <w:rPr>
                <w:spacing w:val="-1"/>
                <w:sz w:val="18"/>
              </w:rPr>
              <w:t> </w:t>
            </w:r>
            <w:r>
              <w:rPr>
                <w:sz w:val="18"/>
              </w:rPr>
              <w:t>municipal </w:t>
            </w:r>
            <w:r>
              <w:rPr>
                <w:spacing w:val="-2"/>
                <w:sz w:val="18"/>
              </w:rPr>
              <w:t>securities</w:t>
            </w:r>
          </w:p>
        </w:tc>
        <w:tc>
          <w:tcPr>
            <w:tcW w:w="911" w:type="dxa"/>
            <w:shd w:val="clear" w:color="auto" w:fill="CCEDFF"/>
          </w:tcPr>
          <w:p>
            <w:pPr>
              <w:pStyle w:val="TableParagraph"/>
              <w:spacing w:before="18"/>
              <w:ind w:right="98"/>
              <w:jc w:val="right"/>
              <w:rPr>
                <w:sz w:val="18"/>
              </w:rPr>
            </w:pPr>
            <w:r>
              <w:rPr>
                <w:spacing w:val="-10"/>
                <w:sz w:val="18"/>
              </w:rPr>
              <w:t>—</w:t>
            </w:r>
          </w:p>
        </w:tc>
        <w:tc>
          <w:tcPr>
            <w:tcW w:w="963" w:type="dxa"/>
            <w:shd w:val="clear" w:color="auto" w:fill="CCEDFF"/>
          </w:tcPr>
          <w:p>
            <w:pPr>
              <w:pStyle w:val="TableParagraph"/>
              <w:spacing w:before="18"/>
              <w:ind w:right="71"/>
              <w:jc w:val="right"/>
              <w:rPr>
                <w:sz w:val="18"/>
              </w:rPr>
            </w:pPr>
            <w:r>
              <w:rPr>
                <w:spacing w:val="-10"/>
                <w:sz w:val="18"/>
              </w:rPr>
              <w:t>—</w:t>
            </w:r>
          </w:p>
        </w:tc>
        <w:tc>
          <w:tcPr>
            <w:tcW w:w="74" w:type="dxa"/>
            <w:shd w:val="clear" w:color="auto" w:fill="CCEDFF"/>
          </w:tcPr>
          <w:p>
            <w:pPr>
              <w:pStyle w:val="TableParagraph"/>
              <w:rPr>
                <w:sz w:val="18"/>
              </w:rPr>
            </w:pPr>
          </w:p>
        </w:tc>
        <w:tc>
          <w:tcPr>
            <w:tcW w:w="940" w:type="dxa"/>
            <w:shd w:val="clear" w:color="auto" w:fill="CCEDFF"/>
          </w:tcPr>
          <w:p>
            <w:pPr>
              <w:pStyle w:val="TableParagraph"/>
              <w:spacing w:before="18"/>
              <w:ind w:right="95"/>
              <w:jc w:val="right"/>
              <w:rPr>
                <w:sz w:val="18"/>
              </w:rPr>
            </w:pPr>
            <w:r>
              <w:rPr>
                <w:spacing w:val="-5"/>
                <w:sz w:val="18"/>
              </w:rPr>
              <w:t>555</w:t>
            </w:r>
          </w:p>
        </w:tc>
        <w:tc>
          <w:tcPr>
            <w:tcW w:w="962" w:type="dxa"/>
            <w:shd w:val="clear" w:color="auto" w:fill="CCEDFF"/>
          </w:tcPr>
          <w:p>
            <w:pPr>
              <w:pStyle w:val="TableParagraph"/>
              <w:spacing w:before="18"/>
              <w:ind w:right="67"/>
              <w:jc w:val="right"/>
              <w:rPr>
                <w:sz w:val="18"/>
              </w:rPr>
            </w:pPr>
            <w:r>
              <w:rPr>
                <w:spacing w:val="-5"/>
                <w:sz w:val="18"/>
              </w:rPr>
              <w:t>81</w:t>
            </w:r>
          </w:p>
        </w:tc>
        <w:tc>
          <w:tcPr>
            <w:tcW w:w="73" w:type="dxa"/>
            <w:shd w:val="clear" w:color="auto" w:fill="CCEDFF"/>
          </w:tcPr>
          <w:p>
            <w:pPr>
              <w:pStyle w:val="TableParagraph"/>
              <w:rPr>
                <w:sz w:val="18"/>
              </w:rPr>
            </w:pPr>
          </w:p>
        </w:tc>
        <w:tc>
          <w:tcPr>
            <w:tcW w:w="939" w:type="dxa"/>
            <w:shd w:val="clear" w:color="auto" w:fill="CCEDFF"/>
          </w:tcPr>
          <w:p>
            <w:pPr>
              <w:pStyle w:val="TableParagraph"/>
              <w:spacing w:before="18"/>
              <w:ind w:right="89"/>
              <w:jc w:val="right"/>
              <w:rPr>
                <w:sz w:val="18"/>
              </w:rPr>
            </w:pPr>
            <w:r>
              <w:rPr>
                <w:spacing w:val="-5"/>
                <w:sz w:val="18"/>
              </w:rPr>
              <w:t>555</w:t>
            </w:r>
          </w:p>
        </w:tc>
        <w:tc>
          <w:tcPr>
            <w:tcW w:w="961" w:type="dxa"/>
            <w:shd w:val="clear" w:color="auto" w:fill="CCEDFF"/>
          </w:tcPr>
          <w:p>
            <w:pPr>
              <w:pStyle w:val="TableParagraph"/>
              <w:spacing w:before="18"/>
              <w:ind w:right="60"/>
              <w:jc w:val="right"/>
              <w:rPr>
                <w:sz w:val="18"/>
              </w:rPr>
            </w:pPr>
            <w:r>
              <w:rPr>
                <w:spacing w:val="-5"/>
                <w:sz w:val="18"/>
              </w:rPr>
              <w:t>81</w:t>
            </w:r>
          </w:p>
        </w:tc>
      </w:tr>
      <w:tr>
        <w:trPr>
          <w:trHeight w:val="255" w:hRule="atLeast"/>
        </w:trPr>
        <w:tc>
          <w:tcPr>
            <w:tcW w:w="4380" w:type="dxa"/>
          </w:tcPr>
          <w:p>
            <w:pPr>
              <w:pStyle w:val="TableParagraph"/>
              <w:spacing w:before="18"/>
              <w:ind w:left="52"/>
              <w:rPr>
                <w:sz w:val="18"/>
              </w:rPr>
            </w:pPr>
            <w:r>
              <w:rPr>
                <w:sz w:val="18"/>
              </w:rPr>
              <w:t>Non-agency</w:t>
            </w:r>
            <w:r>
              <w:rPr>
                <w:spacing w:val="-1"/>
                <w:sz w:val="18"/>
              </w:rPr>
              <w:t> </w:t>
            </w:r>
            <w:r>
              <w:rPr>
                <w:sz w:val="18"/>
              </w:rPr>
              <w:t>commercial mortgage-backed </w:t>
            </w:r>
            <w:r>
              <w:rPr>
                <w:spacing w:val="-2"/>
                <w:sz w:val="18"/>
              </w:rPr>
              <w:t>securities</w:t>
            </w:r>
          </w:p>
        </w:tc>
        <w:tc>
          <w:tcPr>
            <w:tcW w:w="911" w:type="dxa"/>
          </w:tcPr>
          <w:p>
            <w:pPr>
              <w:pStyle w:val="TableParagraph"/>
              <w:spacing w:before="18"/>
              <w:ind w:right="98"/>
              <w:jc w:val="right"/>
              <w:rPr>
                <w:sz w:val="18"/>
              </w:rPr>
            </w:pPr>
            <w:r>
              <w:rPr>
                <w:spacing w:val="-10"/>
                <w:sz w:val="18"/>
              </w:rPr>
              <w:t>—</w:t>
            </w:r>
          </w:p>
        </w:tc>
        <w:tc>
          <w:tcPr>
            <w:tcW w:w="963" w:type="dxa"/>
          </w:tcPr>
          <w:p>
            <w:pPr>
              <w:pStyle w:val="TableParagraph"/>
              <w:spacing w:before="18"/>
              <w:ind w:right="71"/>
              <w:jc w:val="right"/>
              <w:rPr>
                <w:sz w:val="18"/>
              </w:rPr>
            </w:pPr>
            <w:r>
              <w:rPr>
                <w:spacing w:val="-10"/>
                <w:sz w:val="18"/>
              </w:rPr>
              <w:t>—</w:t>
            </w:r>
          </w:p>
        </w:tc>
        <w:tc>
          <w:tcPr>
            <w:tcW w:w="74" w:type="dxa"/>
          </w:tcPr>
          <w:p>
            <w:pPr>
              <w:pStyle w:val="TableParagraph"/>
              <w:rPr>
                <w:sz w:val="18"/>
              </w:rPr>
            </w:pPr>
          </w:p>
        </w:tc>
        <w:tc>
          <w:tcPr>
            <w:tcW w:w="940" w:type="dxa"/>
          </w:tcPr>
          <w:p>
            <w:pPr>
              <w:pStyle w:val="TableParagraph"/>
              <w:spacing w:before="18"/>
              <w:ind w:right="95"/>
              <w:jc w:val="right"/>
              <w:rPr>
                <w:sz w:val="18"/>
              </w:rPr>
            </w:pPr>
            <w:r>
              <w:rPr>
                <w:spacing w:val="-5"/>
                <w:sz w:val="18"/>
              </w:rPr>
              <w:t>188</w:t>
            </w:r>
          </w:p>
        </w:tc>
        <w:tc>
          <w:tcPr>
            <w:tcW w:w="962" w:type="dxa"/>
          </w:tcPr>
          <w:p>
            <w:pPr>
              <w:pStyle w:val="TableParagraph"/>
              <w:spacing w:before="18"/>
              <w:ind w:right="67"/>
              <w:jc w:val="right"/>
              <w:rPr>
                <w:sz w:val="18"/>
              </w:rPr>
            </w:pPr>
            <w:r>
              <w:rPr>
                <w:spacing w:val="-5"/>
                <w:sz w:val="18"/>
              </w:rPr>
              <w:t>20</w:t>
            </w:r>
          </w:p>
        </w:tc>
        <w:tc>
          <w:tcPr>
            <w:tcW w:w="73" w:type="dxa"/>
          </w:tcPr>
          <w:p>
            <w:pPr>
              <w:pStyle w:val="TableParagraph"/>
              <w:rPr>
                <w:sz w:val="18"/>
              </w:rPr>
            </w:pPr>
          </w:p>
        </w:tc>
        <w:tc>
          <w:tcPr>
            <w:tcW w:w="939" w:type="dxa"/>
          </w:tcPr>
          <w:p>
            <w:pPr>
              <w:pStyle w:val="TableParagraph"/>
              <w:spacing w:before="18"/>
              <w:ind w:right="89"/>
              <w:jc w:val="right"/>
              <w:rPr>
                <w:sz w:val="18"/>
              </w:rPr>
            </w:pPr>
            <w:r>
              <w:rPr>
                <w:spacing w:val="-5"/>
                <w:sz w:val="18"/>
              </w:rPr>
              <w:t>188</w:t>
            </w:r>
          </w:p>
        </w:tc>
        <w:tc>
          <w:tcPr>
            <w:tcW w:w="961" w:type="dxa"/>
          </w:tcPr>
          <w:p>
            <w:pPr>
              <w:pStyle w:val="TableParagraph"/>
              <w:spacing w:before="18"/>
              <w:ind w:right="60"/>
              <w:jc w:val="right"/>
              <w:rPr>
                <w:sz w:val="18"/>
              </w:rPr>
            </w:pPr>
            <w:r>
              <w:rPr>
                <w:spacing w:val="-5"/>
                <w:sz w:val="18"/>
              </w:rPr>
              <w:t>20</w:t>
            </w:r>
          </w:p>
        </w:tc>
      </w:tr>
      <w:tr>
        <w:trPr>
          <w:trHeight w:val="250" w:hRule="atLeast"/>
        </w:trPr>
        <w:tc>
          <w:tcPr>
            <w:tcW w:w="4380" w:type="dxa"/>
            <w:tcBorders>
              <w:bottom w:val="single" w:sz="4" w:space="0" w:color="000000"/>
            </w:tcBorders>
            <w:shd w:val="clear" w:color="auto" w:fill="CCEDFF"/>
          </w:tcPr>
          <w:p>
            <w:pPr>
              <w:pStyle w:val="TableParagraph"/>
              <w:spacing w:before="18"/>
              <w:ind w:left="52"/>
              <w:rPr>
                <w:sz w:val="18"/>
              </w:rPr>
            </w:pPr>
            <w:r>
              <w:rPr>
                <w:spacing w:val="-2"/>
                <w:sz w:val="18"/>
              </w:rPr>
              <w:t>Other</w:t>
            </w:r>
          </w:p>
        </w:tc>
        <w:tc>
          <w:tcPr>
            <w:tcW w:w="911" w:type="dxa"/>
            <w:tcBorders>
              <w:bottom w:val="single" w:sz="4" w:space="0" w:color="000000"/>
            </w:tcBorders>
            <w:shd w:val="clear" w:color="auto" w:fill="CCEDFF"/>
          </w:tcPr>
          <w:p>
            <w:pPr>
              <w:pStyle w:val="TableParagraph"/>
              <w:spacing w:before="18"/>
              <w:ind w:right="98"/>
              <w:jc w:val="right"/>
              <w:rPr>
                <w:sz w:val="18"/>
              </w:rPr>
            </w:pPr>
            <w:r>
              <w:rPr>
                <w:spacing w:val="-10"/>
                <w:sz w:val="18"/>
              </w:rPr>
              <w:t>—</w:t>
            </w:r>
          </w:p>
        </w:tc>
        <w:tc>
          <w:tcPr>
            <w:tcW w:w="963" w:type="dxa"/>
            <w:tcBorders>
              <w:bottom w:val="single" w:sz="4" w:space="0" w:color="000000"/>
            </w:tcBorders>
            <w:shd w:val="clear" w:color="auto" w:fill="CCEDFF"/>
          </w:tcPr>
          <w:p>
            <w:pPr>
              <w:pStyle w:val="TableParagraph"/>
              <w:spacing w:before="18"/>
              <w:ind w:right="71"/>
              <w:jc w:val="right"/>
              <w:rPr>
                <w:sz w:val="18"/>
              </w:rPr>
            </w:pPr>
            <w:r>
              <w:rPr>
                <w:spacing w:val="-10"/>
                <w:sz w:val="18"/>
              </w:rPr>
              <w:t>—</w:t>
            </w:r>
          </w:p>
        </w:tc>
        <w:tc>
          <w:tcPr>
            <w:tcW w:w="74" w:type="dxa"/>
            <w:tcBorders>
              <w:bottom w:val="single" w:sz="4" w:space="0" w:color="000000"/>
            </w:tcBorders>
            <w:shd w:val="clear" w:color="auto" w:fill="CCEDFF"/>
          </w:tcPr>
          <w:p>
            <w:pPr>
              <w:pStyle w:val="TableParagraph"/>
              <w:rPr>
                <w:sz w:val="18"/>
              </w:rPr>
            </w:pPr>
          </w:p>
        </w:tc>
        <w:tc>
          <w:tcPr>
            <w:tcW w:w="940" w:type="dxa"/>
            <w:tcBorders>
              <w:bottom w:val="single" w:sz="4" w:space="0" w:color="000000"/>
            </w:tcBorders>
            <w:shd w:val="clear" w:color="auto" w:fill="CCEDFF"/>
          </w:tcPr>
          <w:p>
            <w:pPr>
              <w:pStyle w:val="TableParagraph"/>
              <w:spacing w:before="18"/>
              <w:ind w:right="95"/>
              <w:jc w:val="right"/>
              <w:rPr>
                <w:sz w:val="18"/>
              </w:rPr>
            </w:pPr>
            <w:r>
              <w:rPr>
                <w:spacing w:val="-5"/>
                <w:sz w:val="18"/>
              </w:rPr>
              <w:t>18</w:t>
            </w:r>
          </w:p>
        </w:tc>
        <w:tc>
          <w:tcPr>
            <w:tcW w:w="962" w:type="dxa"/>
            <w:tcBorders>
              <w:bottom w:val="single" w:sz="4" w:space="0" w:color="000000"/>
            </w:tcBorders>
            <w:shd w:val="clear" w:color="auto" w:fill="CCEDFF"/>
          </w:tcPr>
          <w:p>
            <w:pPr>
              <w:pStyle w:val="TableParagraph"/>
              <w:spacing w:before="18"/>
              <w:ind w:right="67"/>
              <w:jc w:val="right"/>
              <w:rPr>
                <w:sz w:val="18"/>
              </w:rPr>
            </w:pPr>
            <w:r>
              <w:rPr>
                <w:spacing w:val="-10"/>
                <w:sz w:val="18"/>
              </w:rPr>
              <w:t>4</w:t>
            </w:r>
          </w:p>
        </w:tc>
        <w:tc>
          <w:tcPr>
            <w:tcW w:w="73" w:type="dxa"/>
            <w:tcBorders>
              <w:bottom w:val="single" w:sz="4" w:space="0" w:color="000000"/>
            </w:tcBorders>
            <w:shd w:val="clear" w:color="auto" w:fill="CCEDFF"/>
          </w:tcPr>
          <w:p>
            <w:pPr>
              <w:pStyle w:val="TableParagraph"/>
              <w:rPr>
                <w:sz w:val="18"/>
              </w:rPr>
            </w:pPr>
          </w:p>
        </w:tc>
        <w:tc>
          <w:tcPr>
            <w:tcW w:w="939" w:type="dxa"/>
            <w:tcBorders>
              <w:bottom w:val="single" w:sz="4" w:space="0" w:color="000000"/>
            </w:tcBorders>
            <w:shd w:val="clear" w:color="auto" w:fill="CCEDFF"/>
          </w:tcPr>
          <w:p>
            <w:pPr>
              <w:pStyle w:val="TableParagraph"/>
              <w:spacing w:before="18"/>
              <w:ind w:right="89"/>
              <w:jc w:val="right"/>
              <w:rPr>
                <w:sz w:val="18"/>
              </w:rPr>
            </w:pPr>
            <w:r>
              <w:rPr>
                <w:spacing w:val="-5"/>
                <w:sz w:val="18"/>
              </w:rPr>
              <w:t>18</w:t>
            </w:r>
          </w:p>
        </w:tc>
        <w:tc>
          <w:tcPr>
            <w:tcW w:w="961" w:type="dxa"/>
            <w:tcBorders>
              <w:bottom w:val="single" w:sz="4" w:space="0" w:color="000000"/>
            </w:tcBorders>
            <w:shd w:val="clear" w:color="auto" w:fill="CCEDFF"/>
          </w:tcPr>
          <w:p>
            <w:pPr>
              <w:pStyle w:val="TableParagraph"/>
              <w:spacing w:before="18"/>
              <w:ind w:right="60"/>
              <w:jc w:val="right"/>
              <w:rPr>
                <w:sz w:val="18"/>
              </w:rPr>
            </w:pPr>
            <w:r>
              <w:rPr>
                <w:spacing w:val="-10"/>
                <w:sz w:val="18"/>
              </w:rPr>
              <w:t>4</w:t>
            </w:r>
          </w:p>
        </w:tc>
      </w:tr>
      <w:tr>
        <w:trPr>
          <w:trHeight w:val="220" w:hRule="atLeast"/>
        </w:trPr>
        <w:tc>
          <w:tcPr>
            <w:tcW w:w="4380" w:type="dxa"/>
            <w:tcBorders>
              <w:top w:val="single" w:sz="4" w:space="0" w:color="000000"/>
              <w:bottom w:val="double" w:sz="8" w:space="0" w:color="000000"/>
            </w:tcBorders>
          </w:tcPr>
          <w:p>
            <w:pPr>
              <w:pStyle w:val="TableParagraph"/>
              <w:spacing w:line="187" w:lineRule="exact" w:before="13"/>
              <w:ind w:left="277"/>
              <w:rPr>
                <w:sz w:val="18"/>
              </w:rPr>
            </w:pPr>
            <w:r>
              <w:rPr>
                <w:sz w:val="18"/>
              </w:rPr>
              <w:t>Total</w:t>
            </w:r>
            <w:r>
              <w:rPr>
                <w:spacing w:val="-1"/>
                <w:sz w:val="18"/>
              </w:rPr>
              <w:t> </w:t>
            </w:r>
            <w:r>
              <w:rPr>
                <w:spacing w:val="-5"/>
                <w:sz w:val="18"/>
                <w:vertAlign w:val="superscript"/>
              </w:rPr>
              <w:t>(1)</w:t>
            </w:r>
          </w:p>
        </w:tc>
        <w:tc>
          <w:tcPr>
            <w:tcW w:w="911" w:type="dxa"/>
            <w:tcBorders>
              <w:top w:val="single" w:sz="4" w:space="0" w:color="000000"/>
              <w:bottom w:val="double" w:sz="8" w:space="0" w:color="000000"/>
            </w:tcBorders>
          </w:tcPr>
          <w:p>
            <w:pPr>
              <w:pStyle w:val="TableParagraph"/>
              <w:tabs>
                <w:tab w:pos="352" w:val="left" w:leader="none"/>
              </w:tabs>
              <w:spacing w:line="187" w:lineRule="exact" w:before="13"/>
              <w:ind w:right="98"/>
              <w:jc w:val="right"/>
              <w:rPr>
                <w:sz w:val="18"/>
              </w:rPr>
            </w:pPr>
            <w:r>
              <w:rPr>
                <w:spacing w:val="-10"/>
                <w:sz w:val="18"/>
              </w:rPr>
              <w:t>$</w:t>
            </w:r>
            <w:r>
              <w:rPr>
                <w:sz w:val="18"/>
              </w:rPr>
              <w:tab/>
            </w:r>
            <w:r>
              <w:rPr>
                <w:spacing w:val="-2"/>
                <w:sz w:val="18"/>
              </w:rPr>
              <w:t>1,622</w:t>
            </w:r>
          </w:p>
        </w:tc>
        <w:tc>
          <w:tcPr>
            <w:tcW w:w="963" w:type="dxa"/>
            <w:tcBorders>
              <w:top w:val="single" w:sz="4" w:space="0" w:color="000000"/>
              <w:bottom w:val="double" w:sz="8" w:space="0" w:color="000000"/>
            </w:tcBorders>
          </w:tcPr>
          <w:p>
            <w:pPr>
              <w:pStyle w:val="TableParagraph"/>
              <w:tabs>
                <w:tab w:pos="697" w:val="left" w:leader="none"/>
              </w:tabs>
              <w:spacing w:line="187" w:lineRule="exact" w:before="13"/>
              <w:ind w:right="71"/>
              <w:jc w:val="right"/>
              <w:rPr>
                <w:sz w:val="18"/>
              </w:rPr>
            </w:pPr>
            <w:r>
              <w:rPr>
                <w:spacing w:val="-10"/>
                <w:sz w:val="18"/>
              </w:rPr>
              <w:t>$</w:t>
            </w:r>
            <w:r>
              <w:rPr>
                <w:sz w:val="18"/>
              </w:rPr>
              <w:tab/>
            </w:r>
            <w:r>
              <w:rPr>
                <w:spacing w:val="-10"/>
                <w:sz w:val="18"/>
              </w:rPr>
              <w:t>3</w:t>
            </w:r>
          </w:p>
        </w:tc>
        <w:tc>
          <w:tcPr>
            <w:tcW w:w="74" w:type="dxa"/>
            <w:tcBorders>
              <w:top w:val="single" w:sz="4" w:space="0" w:color="000000"/>
              <w:bottom w:val="double" w:sz="8" w:space="0" w:color="000000"/>
            </w:tcBorders>
          </w:tcPr>
          <w:p>
            <w:pPr>
              <w:pStyle w:val="TableParagraph"/>
              <w:rPr>
                <w:sz w:val="14"/>
              </w:rPr>
            </w:pPr>
          </w:p>
        </w:tc>
        <w:tc>
          <w:tcPr>
            <w:tcW w:w="940" w:type="dxa"/>
            <w:tcBorders>
              <w:top w:val="single" w:sz="4" w:space="0" w:color="000000"/>
              <w:bottom w:val="double" w:sz="8" w:space="0" w:color="000000"/>
            </w:tcBorders>
          </w:tcPr>
          <w:p>
            <w:pPr>
              <w:pStyle w:val="TableParagraph"/>
              <w:spacing w:line="187" w:lineRule="exact" w:before="13"/>
              <w:ind w:right="95"/>
              <w:jc w:val="right"/>
              <w:rPr>
                <w:sz w:val="18"/>
              </w:rPr>
            </w:pPr>
            <w:r>
              <w:rPr>
                <w:sz w:val="18"/>
              </w:rPr>
              <w:t>$</w:t>
            </w:r>
            <w:r>
              <w:rPr>
                <w:spacing w:val="67"/>
                <w:sz w:val="18"/>
              </w:rPr>
              <w:t> </w:t>
            </w:r>
            <w:r>
              <w:rPr>
                <w:spacing w:val="-2"/>
                <w:sz w:val="18"/>
              </w:rPr>
              <w:t>108,638</w:t>
            </w:r>
          </w:p>
        </w:tc>
        <w:tc>
          <w:tcPr>
            <w:tcW w:w="962" w:type="dxa"/>
            <w:tcBorders>
              <w:top w:val="single" w:sz="4" w:space="0" w:color="000000"/>
              <w:bottom w:val="double" w:sz="8" w:space="0" w:color="000000"/>
            </w:tcBorders>
          </w:tcPr>
          <w:p>
            <w:pPr>
              <w:pStyle w:val="TableParagraph"/>
              <w:tabs>
                <w:tab w:pos="292" w:val="left" w:leader="none"/>
              </w:tabs>
              <w:spacing w:line="187" w:lineRule="exact" w:before="13"/>
              <w:ind w:right="67"/>
              <w:jc w:val="right"/>
              <w:rPr>
                <w:sz w:val="18"/>
              </w:rPr>
            </w:pPr>
            <w:r>
              <w:rPr>
                <w:spacing w:val="-10"/>
                <w:sz w:val="18"/>
              </w:rPr>
              <w:t>$</w:t>
            </w:r>
            <w:r>
              <w:rPr>
                <w:sz w:val="18"/>
              </w:rPr>
              <w:tab/>
            </w:r>
            <w:r>
              <w:rPr>
                <w:spacing w:val="-2"/>
                <w:sz w:val="18"/>
              </w:rPr>
              <w:t>11,854</w:t>
            </w:r>
          </w:p>
        </w:tc>
        <w:tc>
          <w:tcPr>
            <w:tcW w:w="73" w:type="dxa"/>
            <w:tcBorders>
              <w:top w:val="single" w:sz="4" w:space="0" w:color="000000"/>
              <w:bottom w:val="double" w:sz="8" w:space="0" w:color="000000"/>
            </w:tcBorders>
          </w:tcPr>
          <w:p>
            <w:pPr>
              <w:pStyle w:val="TableParagraph"/>
              <w:rPr>
                <w:sz w:val="14"/>
              </w:rPr>
            </w:pPr>
          </w:p>
        </w:tc>
        <w:tc>
          <w:tcPr>
            <w:tcW w:w="939" w:type="dxa"/>
            <w:tcBorders>
              <w:top w:val="single" w:sz="4" w:space="0" w:color="000000"/>
              <w:bottom w:val="double" w:sz="8" w:space="0" w:color="000000"/>
            </w:tcBorders>
          </w:tcPr>
          <w:p>
            <w:pPr>
              <w:pStyle w:val="TableParagraph"/>
              <w:spacing w:line="187" w:lineRule="exact" w:before="13"/>
              <w:ind w:right="89"/>
              <w:jc w:val="right"/>
              <w:rPr>
                <w:sz w:val="18"/>
              </w:rPr>
            </w:pPr>
            <w:r>
              <w:rPr>
                <w:sz w:val="18"/>
              </w:rPr>
              <w:t>$</w:t>
            </w:r>
            <w:r>
              <w:rPr>
                <w:spacing w:val="67"/>
                <w:sz w:val="18"/>
              </w:rPr>
              <w:t> </w:t>
            </w:r>
            <w:r>
              <w:rPr>
                <w:spacing w:val="-2"/>
                <w:sz w:val="18"/>
              </w:rPr>
              <w:t>110,260</w:t>
            </w:r>
          </w:p>
        </w:tc>
        <w:tc>
          <w:tcPr>
            <w:tcW w:w="961" w:type="dxa"/>
            <w:tcBorders>
              <w:top w:val="single" w:sz="4" w:space="0" w:color="000000"/>
              <w:bottom w:val="double" w:sz="8" w:space="0" w:color="000000"/>
            </w:tcBorders>
          </w:tcPr>
          <w:p>
            <w:pPr>
              <w:pStyle w:val="TableParagraph"/>
              <w:tabs>
                <w:tab w:pos="292" w:val="left" w:leader="none"/>
              </w:tabs>
              <w:spacing w:line="187" w:lineRule="exact" w:before="13"/>
              <w:ind w:right="60"/>
              <w:jc w:val="right"/>
              <w:rPr>
                <w:sz w:val="18"/>
              </w:rPr>
            </w:pPr>
            <w:r>
              <w:rPr>
                <w:spacing w:val="-10"/>
                <w:sz w:val="18"/>
              </w:rPr>
              <w:t>$</w:t>
            </w:r>
            <w:r>
              <w:rPr>
                <w:sz w:val="18"/>
              </w:rPr>
              <w:tab/>
            </w:r>
            <w:r>
              <w:rPr>
                <w:spacing w:val="-2"/>
                <w:sz w:val="18"/>
              </w:rPr>
              <w:t>11,857</w:t>
            </w:r>
          </w:p>
        </w:tc>
      </w:tr>
      <w:tr>
        <w:trPr>
          <w:trHeight w:val="380" w:hRule="atLeast"/>
        </w:trPr>
        <w:tc>
          <w:tcPr>
            <w:tcW w:w="4380" w:type="dxa"/>
            <w:tcBorders>
              <w:top w:val="double" w:sz="8" w:space="0" w:color="000000"/>
              <w:bottom w:val="single" w:sz="4" w:space="0" w:color="000000"/>
            </w:tcBorders>
          </w:tcPr>
          <w:p>
            <w:pPr>
              <w:pStyle w:val="TableParagraph"/>
              <w:spacing w:before="143"/>
              <w:ind w:left="52"/>
              <w:rPr>
                <w:sz w:val="18"/>
              </w:rPr>
            </w:pPr>
            <w:r>
              <w:rPr>
                <w:sz w:val="18"/>
              </w:rPr>
              <w:t>December</w:t>
            </w:r>
            <w:r>
              <w:rPr>
                <w:spacing w:val="-1"/>
                <w:sz w:val="18"/>
              </w:rPr>
              <w:t> </w:t>
            </w:r>
            <w:r>
              <w:rPr>
                <w:sz w:val="18"/>
              </w:rPr>
              <w:t>31, </w:t>
            </w:r>
            <w:r>
              <w:rPr>
                <w:spacing w:val="-4"/>
                <w:sz w:val="18"/>
              </w:rPr>
              <w:t>2022</w:t>
            </w:r>
          </w:p>
        </w:tc>
        <w:tc>
          <w:tcPr>
            <w:tcW w:w="911" w:type="dxa"/>
            <w:tcBorders>
              <w:top w:val="double" w:sz="8" w:space="0" w:color="000000"/>
              <w:bottom w:val="single" w:sz="4" w:space="0" w:color="000000"/>
            </w:tcBorders>
          </w:tcPr>
          <w:p>
            <w:pPr>
              <w:pStyle w:val="TableParagraph"/>
              <w:rPr>
                <w:sz w:val="18"/>
              </w:rPr>
            </w:pPr>
          </w:p>
        </w:tc>
        <w:tc>
          <w:tcPr>
            <w:tcW w:w="963" w:type="dxa"/>
            <w:tcBorders>
              <w:top w:val="double" w:sz="8" w:space="0" w:color="000000"/>
              <w:bottom w:val="single" w:sz="4" w:space="0" w:color="000000"/>
            </w:tcBorders>
          </w:tcPr>
          <w:p>
            <w:pPr>
              <w:pStyle w:val="TableParagraph"/>
              <w:rPr>
                <w:sz w:val="18"/>
              </w:rPr>
            </w:pPr>
          </w:p>
        </w:tc>
        <w:tc>
          <w:tcPr>
            <w:tcW w:w="74" w:type="dxa"/>
            <w:tcBorders>
              <w:top w:val="double" w:sz="8" w:space="0" w:color="000000"/>
              <w:bottom w:val="single" w:sz="4" w:space="0" w:color="000000"/>
            </w:tcBorders>
          </w:tcPr>
          <w:p>
            <w:pPr>
              <w:pStyle w:val="TableParagraph"/>
              <w:rPr>
                <w:sz w:val="18"/>
              </w:rPr>
            </w:pPr>
          </w:p>
        </w:tc>
        <w:tc>
          <w:tcPr>
            <w:tcW w:w="940" w:type="dxa"/>
            <w:tcBorders>
              <w:top w:val="double" w:sz="8" w:space="0" w:color="000000"/>
              <w:bottom w:val="single" w:sz="4" w:space="0" w:color="000000"/>
            </w:tcBorders>
          </w:tcPr>
          <w:p>
            <w:pPr>
              <w:pStyle w:val="TableParagraph"/>
              <w:rPr>
                <w:sz w:val="18"/>
              </w:rPr>
            </w:pPr>
          </w:p>
        </w:tc>
        <w:tc>
          <w:tcPr>
            <w:tcW w:w="962" w:type="dxa"/>
            <w:tcBorders>
              <w:top w:val="double" w:sz="8" w:space="0" w:color="000000"/>
              <w:bottom w:val="single" w:sz="4" w:space="0" w:color="000000"/>
            </w:tcBorders>
          </w:tcPr>
          <w:p>
            <w:pPr>
              <w:pStyle w:val="TableParagraph"/>
              <w:rPr>
                <w:sz w:val="18"/>
              </w:rPr>
            </w:pPr>
          </w:p>
        </w:tc>
        <w:tc>
          <w:tcPr>
            <w:tcW w:w="73" w:type="dxa"/>
            <w:tcBorders>
              <w:top w:val="double" w:sz="8" w:space="0" w:color="000000"/>
              <w:bottom w:val="single" w:sz="4" w:space="0" w:color="000000"/>
            </w:tcBorders>
          </w:tcPr>
          <w:p>
            <w:pPr>
              <w:pStyle w:val="TableParagraph"/>
              <w:rPr>
                <w:sz w:val="18"/>
              </w:rPr>
            </w:pPr>
          </w:p>
        </w:tc>
        <w:tc>
          <w:tcPr>
            <w:tcW w:w="939" w:type="dxa"/>
            <w:tcBorders>
              <w:top w:val="double" w:sz="8" w:space="0" w:color="000000"/>
              <w:bottom w:val="single" w:sz="4" w:space="0" w:color="000000"/>
            </w:tcBorders>
          </w:tcPr>
          <w:p>
            <w:pPr>
              <w:pStyle w:val="TableParagraph"/>
              <w:rPr>
                <w:sz w:val="18"/>
              </w:rPr>
            </w:pPr>
          </w:p>
        </w:tc>
        <w:tc>
          <w:tcPr>
            <w:tcW w:w="961" w:type="dxa"/>
            <w:tcBorders>
              <w:top w:val="double" w:sz="8" w:space="0" w:color="000000"/>
              <w:bottom w:val="single" w:sz="4" w:space="0" w:color="000000"/>
            </w:tcBorders>
          </w:tcPr>
          <w:p>
            <w:pPr>
              <w:pStyle w:val="TableParagraph"/>
              <w:rPr>
                <w:sz w:val="18"/>
              </w:rPr>
            </w:pPr>
          </w:p>
        </w:tc>
      </w:tr>
      <w:tr>
        <w:trPr>
          <w:trHeight w:val="250" w:hRule="atLeast"/>
        </w:trPr>
        <w:tc>
          <w:tcPr>
            <w:tcW w:w="4380" w:type="dxa"/>
            <w:tcBorders>
              <w:top w:val="single" w:sz="4" w:space="0" w:color="000000"/>
            </w:tcBorders>
          </w:tcPr>
          <w:p>
            <w:pPr>
              <w:pStyle w:val="TableParagraph"/>
              <w:spacing w:before="13"/>
              <w:ind w:left="52"/>
              <w:rPr>
                <w:b/>
                <w:sz w:val="18"/>
              </w:rPr>
            </w:pPr>
            <w:r>
              <w:rPr>
                <w:b/>
                <w:sz w:val="18"/>
              </w:rPr>
              <w:t>Available</w:t>
            </w:r>
            <w:r>
              <w:rPr>
                <w:b/>
                <w:spacing w:val="-3"/>
                <w:sz w:val="18"/>
              </w:rPr>
              <w:t> </w:t>
            </w:r>
            <w:r>
              <w:rPr>
                <w:b/>
                <w:sz w:val="18"/>
              </w:rPr>
              <w:t>for</w:t>
            </w:r>
            <w:r>
              <w:rPr>
                <w:b/>
                <w:spacing w:val="-1"/>
                <w:sz w:val="18"/>
              </w:rPr>
              <w:t> </w:t>
            </w:r>
            <w:r>
              <w:rPr>
                <w:b/>
                <w:sz w:val="18"/>
              </w:rPr>
              <w:t>sale</w:t>
            </w:r>
            <w:r>
              <w:rPr>
                <w:b/>
                <w:spacing w:val="-1"/>
                <w:sz w:val="18"/>
              </w:rPr>
              <w:t> </w:t>
            </w:r>
            <w:r>
              <w:rPr>
                <w:b/>
                <w:spacing w:val="-2"/>
                <w:sz w:val="18"/>
              </w:rPr>
              <w:t>securities</w:t>
            </w:r>
          </w:p>
        </w:tc>
        <w:tc>
          <w:tcPr>
            <w:tcW w:w="911" w:type="dxa"/>
            <w:tcBorders>
              <w:top w:val="single" w:sz="4" w:space="0" w:color="000000"/>
            </w:tcBorders>
          </w:tcPr>
          <w:p>
            <w:pPr>
              <w:pStyle w:val="TableParagraph"/>
              <w:rPr>
                <w:sz w:val="18"/>
              </w:rPr>
            </w:pPr>
          </w:p>
        </w:tc>
        <w:tc>
          <w:tcPr>
            <w:tcW w:w="963" w:type="dxa"/>
            <w:tcBorders>
              <w:top w:val="single" w:sz="4" w:space="0" w:color="000000"/>
            </w:tcBorders>
          </w:tcPr>
          <w:p>
            <w:pPr>
              <w:pStyle w:val="TableParagraph"/>
              <w:rPr>
                <w:sz w:val="18"/>
              </w:rPr>
            </w:pPr>
          </w:p>
        </w:tc>
        <w:tc>
          <w:tcPr>
            <w:tcW w:w="74" w:type="dxa"/>
            <w:tcBorders>
              <w:top w:val="single" w:sz="4" w:space="0" w:color="000000"/>
            </w:tcBorders>
          </w:tcPr>
          <w:p>
            <w:pPr>
              <w:pStyle w:val="TableParagraph"/>
              <w:rPr>
                <w:sz w:val="18"/>
              </w:rPr>
            </w:pPr>
          </w:p>
        </w:tc>
        <w:tc>
          <w:tcPr>
            <w:tcW w:w="940" w:type="dxa"/>
            <w:tcBorders>
              <w:top w:val="single" w:sz="4" w:space="0" w:color="000000"/>
            </w:tcBorders>
          </w:tcPr>
          <w:p>
            <w:pPr>
              <w:pStyle w:val="TableParagraph"/>
              <w:rPr>
                <w:sz w:val="18"/>
              </w:rPr>
            </w:pPr>
          </w:p>
        </w:tc>
        <w:tc>
          <w:tcPr>
            <w:tcW w:w="962" w:type="dxa"/>
            <w:tcBorders>
              <w:top w:val="single" w:sz="4" w:space="0" w:color="000000"/>
            </w:tcBorders>
          </w:tcPr>
          <w:p>
            <w:pPr>
              <w:pStyle w:val="TableParagraph"/>
              <w:rPr>
                <w:sz w:val="18"/>
              </w:rPr>
            </w:pPr>
          </w:p>
        </w:tc>
        <w:tc>
          <w:tcPr>
            <w:tcW w:w="73" w:type="dxa"/>
            <w:tcBorders>
              <w:top w:val="single" w:sz="4" w:space="0" w:color="000000"/>
            </w:tcBorders>
          </w:tcPr>
          <w:p>
            <w:pPr>
              <w:pStyle w:val="TableParagraph"/>
              <w:rPr>
                <w:sz w:val="18"/>
              </w:rPr>
            </w:pPr>
          </w:p>
        </w:tc>
        <w:tc>
          <w:tcPr>
            <w:tcW w:w="939" w:type="dxa"/>
            <w:tcBorders>
              <w:top w:val="single" w:sz="4" w:space="0" w:color="000000"/>
            </w:tcBorders>
          </w:tcPr>
          <w:p>
            <w:pPr>
              <w:pStyle w:val="TableParagraph"/>
              <w:rPr>
                <w:sz w:val="18"/>
              </w:rPr>
            </w:pPr>
          </w:p>
        </w:tc>
        <w:tc>
          <w:tcPr>
            <w:tcW w:w="961" w:type="dxa"/>
            <w:tcBorders>
              <w:top w:val="single" w:sz="4" w:space="0" w:color="000000"/>
            </w:tcBorders>
          </w:tcPr>
          <w:p>
            <w:pPr>
              <w:pStyle w:val="TableParagraph"/>
              <w:rPr>
                <w:sz w:val="18"/>
              </w:rPr>
            </w:pPr>
          </w:p>
        </w:tc>
      </w:tr>
      <w:tr>
        <w:trPr>
          <w:trHeight w:val="255" w:hRule="atLeast"/>
        </w:trPr>
        <w:tc>
          <w:tcPr>
            <w:tcW w:w="4380" w:type="dxa"/>
            <w:shd w:val="clear" w:color="auto" w:fill="CCEDFF"/>
          </w:tcPr>
          <w:p>
            <w:pPr>
              <w:pStyle w:val="TableParagraph"/>
              <w:spacing w:before="18"/>
              <w:ind w:left="52"/>
              <w:rPr>
                <w:sz w:val="18"/>
              </w:rPr>
            </w:pPr>
            <w:r>
              <w:rPr>
                <w:sz w:val="18"/>
              </w:rPr>
              <w:t>U.S.</w:t>
            </w:r>
            <w:r>
              <w:rPr>
                <w:spacing w:val="-1"/>
                <w:sz w:val="18"/>
              </w:rPr>
              <w:t> </w:t>
            </w:r>
            <w:r>
              <w:rPr>
                <w:sz w:val="18"/>
              </w:rPr>
              <w:t>agency</w:t>
            </w:r>
            <w:r>
              <w:rPr>
                <w:spacing w:val="-1"/>
                <w:sz w:val="18"/>
              </w:rPr>
              <w:t> </w:t>
            </w:r>
            <w:r>
              <w:rPr>
                <w:sz w:val="18"/>
              </w:rPr>
              <w:t>mortgage-backed </w:t>
            </w:r>
            <w:r>
              <w:rPr>
                <w:spacing w:val="-2"/>
                <w:sz w:val="18"/>
              </w:rPr>
              <w:t>securities</w:t>
            </w:r>
          </w:p>
        </w:tc>
        <w:tc>
          <w:tcPr>
            <w:tcW w:w="911" w:type="dxa"/>
            <w:shd w:val="clear" w:color="auto" w:fill="CCEDFF"/>
          </w:tcPr>
          <w:p>
            <w:pPr>
              <w:pStyle w:val="TableParagraph"/>
              <w:spacing w:before="18"/>
              <w:ind w:right="98"/>
              <w:jc w:val="right"/>
              <w:rPr>
                <w:sz w:val="18"/>
              </w:rPr>
            </w:pPr>
            <w:r>
              <w:rPr>
                <w:sz w:val="18"/>
              </w:rPr>
              <w:t>$</w:t>
            </w:r>
            <w:r>
              <w:rPr>
                <w:spacing w:val="39"/>
                <w:sz w:val="18"/>
              </w:rPr>
              <w:t>  </w:t>
            </w:r>
            <w:r>
              <w:rPr>
                <w:spacing w:val="-2"/>
                <w:sz w:val="18"/>
              </w:rPr>
              <w:t>34,938</w:t>
            </w:r>
          </w:p>
        </w:tc>
        <w:tc>
          <w:tcPr>
            <w:tcW w:w="963" w:type="dxa"/>
            <w:shd w:val="clear" w:color="auto" w:fill="CCEDFF"/>
          </w:tcPr>
          <w:p>
            <w:pPr>
              <w:pStyle w:val="TableParagraph"/>
              <w:tabs>
                <w:tab w:pos="382" w:val="left" w:leader="none"/>
              </w:tabs>
              <w:spacing w:before="18"/>
              <w:ind w:right="71"/>
              <w:jc w:val="right"/>
              <w:rPr>
                <w:sz w:val="18"/>
              </w:rPr>
            </w:pPr>
            <w:r>
              <w:rPr>
                <w:spacing w:val="-10"/>
                <w:sz w:val="18"/>
              </w:rPr>
              <w:t>$</w:t>
            </w:r>
            <w:r>
              <w:rPr>
                <w:sz w:val="18"/>
              </w:rPr>
              <w:tab/>
            </w:r>
            <w:r>
              <w:rPr>
                <w:spacing w:val="-2"/>
                <w:sz w:val="18"/>
              </w:rPr>
              <w:t>2,025</w:t>
            </w:r>
          </w:p>
        </w:tc>
        <w:tc>
          <w:tcPr>
            <w:tcW w:w="74" w:type="dxa"/>
            <w:shd w:val="clear" w:color="auto" w:fill="CCEDFF"/>
          </w:tcPr>
          <w:p>
            <w:pPr>
              <w:pStyle w:val="TableParagraph"/>
              <w:rPr>
                <w:sz w:val="18"/>
              </w:rPr>
            </w:pPr>
          </w:p>
        </w:tc>
        <w:tc>
          <w:tcPr>
            <w:tcW w:w="940" w:type="dxa"/>
            <w:shd w:val="clear" w:color="auto" w:fill="CCEDFF"/>
          </w:tcPr>
          <w:p>
            <w:pPr>
              <w:pStyle w:val="TableParagraph"/>
              <w:tabs>
                <w:tab w:pos="292" w:val="left" w:leader="none"/>
              </w:tabs>
              <w:spacing w:before="18"/>
              <w:ind w:right="95"/>
              <w:jc w:val="right"/>
              <w:rPr>
                <w:sz w:val="18"/>
              </w:rPr>
            </w:pPr>
            <w:r>
              <w:rPr>
                <w:spacing w:val="-10"/>
                <w:sz w:val="18"/>
              </w:rPr>
              <w:t>$</w:t>
            </w:r>
            <w:r>
              <w:rPr>
                <w:sz w:val="18"/>
              </w:rPr>
              <w:tab/>
            </w:r>
            <w:r>
              <w:rPr>
                <w:spacing w:val="-2"/>
                <w:sz w:val="18"/>
              </w:rPr>
              <w:t>42,558</w:t>
            </w:r>
          </w:p>
        </w:tc>
        <w:tc>
          <w:tcPr>
            <w:tcW w:w="962" w:type="dxa"/>
            <w:shd w:val="clear" w:color="auto" w:fill="CCEDFF"/>
          </w:tcPr>
          <w:p>
            <w:pPr>
              <w:pStyle w:val="TableParagraph"/>
              <w:tabs>
                <w:tab w:pos="382" w:val="left" w:leader="none"/>
              </w:tabs>
              <w:spacing w:before="18"/>
              <w:ind w:right="67"/>
              <w:jc w:val="right"/>
              <w:rPr>
                <w:sz w:val="18"/>
              </w:rPr>
            </w:pPr>
            <w:r>
              <w:rPr>
                <w:spacing w:val="-10"/>
                <w:sz w:val="18"/>
              </w:rPr>
              <w:t>$</w:t>
            </w:r>
            <w:r>
              <w:rPr>
                <w:sz w:val="18"/>
              </w:rPr>
              <w:tab/>
            </w:r>
            <w:r>
              <w:rPr>
                <w:spacing w:val="-2"/>
                <w:sz w:val="18"/>
              </w:rPr>
              <w:t>6,281</w:t>
            </w:r>
          </w:p>
        </w:tc>
        <w:tc>
          <w:tcPr>
            <w:tcW w:w="73" w:type="dxa"/>
            <w:shd w:val="clear" w:color="auto" w:fill="CCEDFF"/>
          </w:tcPr>
          <w:p>
            <w:pPr>
              <w:pStyle w:val="TableParagraph"/>
              <w:rPr>
                <w:sz w:val="18"/>
              </w:rPr>
            </w:pPr>
          </w:p>
        </w:tc>
        <w:tc>
          <w:tcPr>
            <w:tcW w:w="939" w:type="dxa"/>
            <w:shd w:val="clear" w:color="auto" w:fill="CCEDFF"/>
          </w:tcPr>
          <w:p>
            <w:pPr>
              <w:pStyle w:val="TableParagraph"/>
              <w:tabs>
                <w:tab w:pos="292" w:val="left" w:leader="none"/>
              </w:tabs>
              <w:spacing w:before="18"/>
              <w:ind w:right="89"/>
              <w:jc w:val="right"/>
              <w:rPr>
                <w:sz w:val="18"/>
              </w:rPr>
            </w:pPr>
            <w:r>
              <w:rPr>
                <w:spacing w:val="-10"/>
                <w:sz w:val="18"/>
              </w:rPr>
              <w:t>$</w:t>
            </w:r>
            <w:r>
              <w:rPr>
                <w:sz w:val="18"/>
              </w:rPr>
              <w:tab/>
            </w:r>
            <w:r>
              <w:rPr>
                <w:spacing w:val="-2"/>
                <w:sz w:val="18"/>
              </w:rPr>
              <w:t>77,496</w:t>
            </w:r>
          </w:p>
        </w:tc>
        <w:tc>
          <w:tcPr>
            <w:tcW w:w="961" w:type="dxa"/>
            <w:shd w:val="clear" w:color="auto" w:fill="CCEDFF"/>
          </w:tcPr>
          <w:p>
            <w:pPr>
              <w:pStyle w:val="TableParagraph"/>
              <w:tabs>
                <w:tab w:pos="382" w:val="left" w:leader="none"/>
              </w:tabs>
              <w:spacing w:before="18"/>
              <w:ind w:right="60"/>
              <w:jc w:val="right"/>
              <w:rPr>
                <w:sz w:val="18"/>
              </w:rPr>
            </w:pPr>
            <w:r>
              <w:rPr>
                <w:spacing w:val="-10"/>
                <w:sz w:val="18"/>
              </w:rPr>
              <w:t>$</w:t>
            </w:r>
            <w:r>
              <w:rPr>
                <w:sz w:val="18"/>
              </w:rPr>
              <w:tab/>
            </w:r>
            <w:r>
              <w:rPr>
                <w:spacing w:val="-2"/>
                <w:sz w:val="18"/>
              </w:rPr>
              <w:t>8,306</w:t>
            </w:r>
          </w:p>
        </w:tc>
      </w:tr>
      <w:tr>
        <w:trPr>
          <w:trHeight w:val="255" w:hRule="atLeast"/>
        </w:trPr>
        <w:tc>
          <w:tcPr>
            <w:tcW w:w="4380" w:type="dxa"/>
          </w:tcPr>
          <w:p>
            <w:pPr>
              <w:pStyle w:val="TableParagraph"/>
              <w:spacing w:before="18"/>
              <w:ind w:left="52"/>
              <w:rPr>
                <w:sz w:val="18"/>
              </w:rPr>
            </w:pPr>
            <w:r>
              <w:rPr>
                <w:sz w:val="18"/>
              </w:rPr>
              <w:t>U.S.</w:t>
            </w:r>
            <w:r>
              <w:rPr>
                <w:spacing w:val="-2"/>
                <w:sz w:val="18"/>
              </w:rPr>
              <w:t> </w:t>
            </w:r>
            <w:r>
              <w:rPr>
                <w:sz w:val="18"/>
              </w:rPr>
              <w:t>Treasury</w:t>
            </w:r>
            <w:r>
              <w:rPr>
                <w:spacing w:val="-1"/>
                <w:sz w:val="18"/>
              </w:rPr>
              <w:t> </w:t>
            </w:r>
            <w:r>
              <w:rPr>
                <w:spacing w:val="-2"/>
                <w:sz w:val="18"/>
              </w:rPr>
              <w:t>securities</w:t>
            </w:r>
          </w:p>
        </w:tc>
        <w:tc>
          <w:tcPr>
            <w:tcW w:w="911" w:type="dxa"/>
          </w:tcPr>
          <w:p>
            <w:pPr>
              <w:pStyle w:val="TableParagraph"/>
              <w:spacing w:before="18"/>
              <w:ind w:right="98"/>
              <w:jc w:val="right"/>
              <w:rPr>
                <w:sz w:val="18"/>
              </w:rPr>
            </w:pPr>
            <w:r>
              <w:rPr>
                <w:spacing w:val="-2"/>
                <w:sz w:val="18"/>
              </w:rPr>
              <w:t>27,063</w:t>
            </w:r>
          </w:p>
        </w:tc>
        <w:tc>
          <w:tcPr>
            <w:tcW w:w="963" w:type="dxa"/>
          </w:tcPr>
          <w:p>
            <w:pPr>
              <w:pStyle w:val="TableParagraph"/>
              <w:spacing w:before="18"/>
              <w:ind w:right="71"/>
              <w:jc w:val="right"/>
              <w:rPr>
                <w:sz w:val="18"/>
              </w:rPr>
            </w:pPr>
            <w:r>
              <w:rPr>
                <w:spacing w:val="-5"/>
                <w:sz w:val="18"/>
              </w:rPr>
              <w:t>716</w:t>
            </w:r>
          </w:p>
        </w:tc>
        <w:tc>
          <w:tcPr>
            <w:tcW w:w="74" w:type="dxa"/>
          </w:tcPr>
          <w:p>
            <w:pPr>
              <w:pStyle w:val="TableParagraph"/>
              <w:rPr>
                <w:sz w:val="18"/>
              </w:rPr>
            </w:pPr>
          </w:p>
        </w:tc>
        <w:tc>
          <w:tcPr>
            <w:tcW w:w="940" w:type="dxa"/>
          </w:tcPr>
          <w:p>
            <w:pPr>
              <w:pStyle w:val="TableParagraph"/>
              <w:spacing w:before="18"/>
              <w:ind w:right="95"/>
              <w:jc w:val="right"/>
              <w:rPr>
                <w:sz w:val="18"/>
              </w:rPr>
            </w:pPr>
            <w:r>
              <w:rPr>
                <w:spacing w:val="-2"/>
                <w:sz w:val="18"/>
              </w:rPr>
              <w:t>12,519</w:t>
            </w:r>
          </w:p>
        </w:tc>
        <w:tc>
          <w:tcPr>
            <w:tcW w:w="962" w:type="dxa"/>
          </w:tcPr>
          <w:p>
            <w:pPr>
              <w:pStyle w:val="TableParagraph"/>
              <w:spacing w:before="18"/>
              <w:ind w:right="67"/>
              <w:jc w:val="right"/>
              <w:rPr>
                <w:sz w:val="18"/>
              </w:rPr>
            </w:pPr>
            <w:r>
              <w:rPr>
                <w:spacing w:val="-2"/>
                <w:sz w:val="18"/>
              </w:rPr>
              <w:t>1,161</w:t>
            </w:r>
          </w:p>
        </w:tc>
        <w:tc>
          <w:tcPr>
            <w:tcW w:w="73" w:type="dxa"/>
          </w:tcPr>
          <w:p>
            <w:pPr>
              <w:pStyle w:val="TableParagraph"/>
              <w:rPr>
                <w:sz w:val="18"/>
              </w:rPr>
            </w:pPr>
          </w:p>
        </w:tc>
        <w:tc>
          <w:tcPr>
            <w:tcW w:w="939" w:type="dxa"/>
          </w:tcPr>
          <w:p>
            <w:pPr>
              <w:pStyle w:val="TableParagraph"/>
              <w:spacing w:before="18"/>
              <w:ind w:right="89"/>
              <w:jc w:val="right"/>
              <w:rPr>
                <w:sz w:val="18"/>
              </w:rPr>
            </w:pPr>
            <w:r>
              <w:rPr>
                <w:spacing w:val="-2"/>
                <w:sz w:val="18"/>
              </w:rPr>
              <w:t>39,582</w:t>
            </w:r>
          </w:p>
        </w:tc>
        <w:tc>
          <w:tcPr>
            <w:tcW w:w="961" w:type="dxa"/>
          </w:tcPr>
          <w:p>
            <w:pPr>
              <w:pStyle w:val="TableParagraph"/>
              <w:spacing w:before="18"/>
              <w:ind w:right="60"/>
              <w:jc w:val="right"/>
              <w:rPr>
                <w:sz w:val="18"/>
              </w:rPr>
            </w:pPr>
            <w:r>
              <w:rPr>
                <w:spacing w:val="-2"/>
                <w:sz w:val="18"/>
              </w:rPr>
              <w:t>1,877</w:t>
            </w:r>
          </w:p>
        </w:tc>
      </w:tr>
      <w:tr>
        <w:trPr>
          <w:trHeight w:val="255" w:hRule="atLeast"/>
        </w:trPr>
        <w:tc>
          <w:tcPr>
            <w:tcW w:w="4380" w:type="dxa"/>
            <w:shd w:val="clear" w:color="auto" w:fill="CCEDFF"/>
          </w:tcPr>
          <w:p>
            <w:pPr>
              <w:pStyle w:val="TableParagraph"/>
              <w:spacing w:before="18"/>
              <w:ind w:left="52"/>
              <w:rPr>
                <w:sz w:val="18"/>
              </w:rPr>
            </w:pPr>
            <w:r>
              <w:rPr>
                <w:sz w:val="18"/>
              </w:rPr>
              <w:t>Asset-backed</w:t>
            </w:r>
            <w:r>
              <w:rPr>
                <w:spacing w:val="-3"/>
                <w:sz w:val="18"/>
              </w:rPr>
              <w:t> </w:t>
            </w:r>
            <w:r>
              <w:rPr>
                <w:spacing w:val="-2"/>
                <w:sz w:val="18"/>
              </w:rPr>
              <w:t>securities</w:t>
            </w:r>
          </w:p>
        </w:tc>
        <w:tc>
          <w:tcPr>
            <w:tcW w:w="911" w:type="dxa"/>
            <w:shd w:val="clear" w:color="auto" w:fill="CCEDFF"/>
          </w:tcPr>
          <w:p>
            <w:pPr>
              <w:pStyle w:val="TableParagraph"/>
              <w:spacing w:before="18"/>
              <w:ind w:right="98"/>
              <w:jc w:val="right"/>
              <w:rPr>
                <w:sz w:val="18"/>
              </w:rPr>
            </w:pPr>
            <w:r>
              <w:rPr>
                <w:spacing w:val="-2"/>
                <w:sz w:val="18"/>
              </w:rPr>
              <w:t>6,717</w:t>
            </w:r>
          </w:p>
        </w:tc>
        <w:tc>
          <w:tcPr>
            <w:tcW w:w="963" w:type="dxa"/>
            <w:shd w:val="clear" w:color="auto" w:fill="CCEDFF"/>
          </w:tcPr>
          <w:p>
            <w:pPr>
              <w:pStyle w:val="TableParagraph"/>
              <w:spacing w:before="18"/>
              <w:ind w:right="71"/>
              <w:jc w:val="right"/>
              <w:rPr>
                <w:sz w:val="18"/>
              </w:rPr>
            </w:pPr>
            <w:r>
              <w:rPr>
                <w:spacing w:val="-5"/>
                <w:sz w:val="18"/>
              </w:rPr>
              <w:t>217</w:t>
            </w:r>
          </w:p>
        </w:tc>
        <w:tc>
          <w:tcPr>
            <w:tcW w:w="74" w:type="dxa"/>
            <w:shd w:val="clear" w:color="auto" w:fill="CCEDFF"/>
          </w:tcPr>
          <w:p>
            <w:pPr>
              <w:pStyle w:val="TableParagraph"/>
              <w:rPr>
                <w:sz w:val="18"/>
              </w:rPr>
            </w:pPr>
          </w:p>
        </w:tc>
        <w:tc>
          <w:tcPr>
            <w:tcW w:w="940" w:type="dxa"/>
            <w:shd w:val="clear" w:color="auto" w:fill="CCEDFF"/>
          </w:tcPr>
          <w:p>
            <w:pPr>
              <w:pStyle w:val="TableParagraph"/>
              <w:spacing w:before="18"/>
              <w:ind w:right="95"/>
              <w:jc w:val="right"/>
              <w:rPr>
                <w:sz w:val="18"/>
              </w:rPr>
            </w:pPr>
            <w:r>
              <w:rPr>
                <w:spacing w:val="-2"/>
                <w:sz w:val="18"/>
              </w:rPr>
              <w:t>6,299</w:t>
            </w:r>
          </w:p>
        </w:tc>
        <w:tc>
          <w:tcPr>
            <w:tcW w:w="962" w:type="dxa"/>
            <w:shd w:val="clear" w:color="auto" w:fill="CCEDFF"/>
          </w:tcPr>
          <w:p>
            <w:pPr>
              <w:pStyle w:val="TableParagraph"/>
              <w:spacing w:before="18"/>
              <w:ind w:right="67"/>
              <w:jc w:val="right"/>
              <w:rPr>
                <w:sz w:val="18"/>
              </w:rPr>
            </w:pPr>
            <w:r>
              <w:rPr>
                <w:spacing w:val="-5"/>
                <w:sz w:val="18"/>
              </w:rPr>
              <w:t>432</w:t>
            </w:r>
          </w:p>
        </w:tc>
        <w:tc>
          <w:tcPr>
            <w:tcW w:w="73" w:type="dxa"/>
            <w:shd w:val="clear" w:color="auto" w:fill="CCEDFF"/>
          </w:tcPr>
          <w:p>
            <w:pPr>
              <w:pStyle w:val="TableParagraph"/>
              <w:rPr>
                <w:sz w:val="18"/>
              </w:rPr>
            </w:pPr>
          </w:p>
        </w:tc>
        <w:tc>
          <w:tcPr>
            <w:tcW w:w="939" w:type="dxa"/>
            <w:shd w:val="clear" w:color="auto" w:fill="CCEDFF"/>
          </w:tcPr>
          <w:p>
            <w:pPr>
              <w:pStyle w:val="TableParagraph"/>
              <w:spacing w:before="18"/>
              <w:ind w:right="89"/>
              <w:jc w:val="right"/>
              <w:rPr>
                <w:sz w:val="18"/>
              </w:rPr>
            </w:pPr>
            <w:r>
              <w:rPr>
                <w:spacing w:val="-2"/>
                <w:sz w:val="18"/>
              </w:rPr>
              <w:t>13,016</w:t>
            </w:r>
          </w:p>
        </w:tc>
        <w:tc>
          <w:tcPr>
            <w:tcW w:w="961" w:type="dxa"/>
            <w:shd w:val="clear" w:color="auto" w:fill="CCEDFF"/>
          </w:tcPr>
          <w:p>
            <w:pPr>
              <w:pStyle w:val="TableParagraph"/>
              <w:spacing w:before="18"/>
              <w:ind w:right="60"/>
              <w:jc w:val="right"/>
              <w:rPr>
                <w:sz w:val="18"/>
              </w:rPr>
            </w:pPr>
            <w:r>
              <w:rPr>
                <w:spacing w:val="-5"/>
                <w:sz w:val="18"/>
              </w:rPr>
              <w:t>649</w:t>
            </w:r>
          </w:p>
        </w:tc>
      </w:tr>
      <w:tr>
        <w:trPr>
          <w:trHeight w:val="255" w:hRule="atLeast"/>
        </w:trPr>
        <w:tc>
          <w:tcPr>
            <w:tcW w:w="4380" w:type="dxa"/>
          </w:tcPr>
          <w:p>
            <w:pPr>
              <w:pStyle w:val="TableParagraph"/>
              <w:spacing w:before="18"/>
              <w:ind w:left="52"/>
              <w:rPr>
                <w:sz w:val="18"/>
              </w:rPr>
            </w:pPr>
            <w:r>
              <w:rPr>
                <w:sz w:val="18"/>
              </w:rPr>
              <w:t>Corporate debt </w:t>
            </w:r>
            <w:r>
              <w:rPr>
                <w:spacing w:val="-2"/>
                <w:sz w:val="18"/>
              </w:rPr>
              <w:t>securities</w:t>
            </w:r>
          </w:p>
        </w:tc>
        <w:tc>
          <w:tcPr>
            <w:tcW w:w="911" w:type="dxa"/>
          </w:tcPr>
          <w:p>
            <w:pPr>
              <w:pStyle w:val="TableParagraph"/>
              <w:spacing w:before="18"/>
              <w:ind w:right="98"/>
              <w:jc w:val="right"/>
              <w:rPr>
                <w:sz w:val="18"/>
              </w:rPr>
            </w:pPr>
            <w:r>
              <w:rPr>
                <w:spacing w:val="-2"/>
                <w:sz w:val="18"/>
              </w:rPr>
              <w:t>8,552</w:t>
            </w:r>
          </w:p>
        </w:tc>
        <w:tc>
          <w:tcPr>
            <w:tcW w:w="963" w:type="dxa"/>
          </w:tcPr>
          <w:p>
            <w:pPr>
              <w:pStyle w:val="TableParagraph"/>
              <w:spacing w:before="18"/>
              <w:ind w:right="71"/>
              <w:jc w:val="right"/>
              <w:rPr>
                <w:sz w:val="18"/>
              </w:rPr>
            </w:pPr>
            <w:r>
              <w:rPr>
                <w:spacing w:val="-5"/>
                <w:sz w:val="18"/>
              </w:rPr>
              <w:t>542</w:t>
            </w:r>
          </w:p>
        </w:tc>
        <w:tc>
          <w:tcPr>
            <w:tcW w:w="74" w:type="dxa"/>
          </w:tcPr>
          <w:p>
            <w:pPr>
              <w:pStyle w:val="TableParagraph"/>
              <w:rPr>
                <w:sz w:val="18"/>
              </w:rPr>
            </w:pPr>
          </w:p>
        </w:tc>
        <w:tc>
          <w:tcPr>
            <w:tcW w:w="940" w:type="dxa"/>
          </w:tcPr>
          <w:p>
            <w:pPr>
              <w:pStyle w:val="TableParagraph"/>
              <w:spacing w:before="18"/>
              <w:ind w:right="95"/>
              <w:jc w:val="right"/>
              <w:rPr>
                <w:sz w:val="18"/>
              </w:rPr>
            </w:pPr>
            <w:r>
              <w:rPr>
                <w:spacing w:val="-2"/>
                <w:sz w:val="18"/>
              </w:rPr>
              <w:t>3,998</w:t>
            </w:r>
          </w:p>
        </w:tc>
        <w:tc>
          <w:tcPr>
            <w:tcW w:w="962" w:type="dxa"/>
          </w:tcPr>
          <w:p>
            <w:pPr>
              <w:pStyle w:val="TableParagraph"/>
              <w:spacing w:before="18"/>
              <w:ind w:right="67"/>
              <w:jc w:val="right"/>
              <w:rPr>
                <w:sz w:val="18"/>
              </w:rPr>
            </w:pPr>
            <w:r>
              <w:rPr>
                <w:spacing w:val="-5"/>
                <w:sz w:val="18"/>
              </w:rPr>
              <w:t>733</w:t>
            </w:r>
          </w:p>
        </w:tc>
        <w:tc>
          <w:tcPr>
            <w:tcW w:w="73" w:type="dxa"/>
          </w:tcPr>
          <w:p>
            <w:pPr>
              <w:pStyle w:val="TableParagraph"/>
              <w:rPr>
                <w:sz w:val="18"/>
              </w:rPr>
            </w:pPr>
          </w:p>
        </w:tc>
        <w:tc>
          <w:tcPr>
            <w:tcW w:w="939" w:type="dxa"/>
          </w:tcPr>
          <w:p>
            <w:pPr>
              <w:pStyle w:val="TableParagraph"/>
              <w:spacing w:before="18"/>
              <w:ind w:right="89"/>
              <w:jc w:val="right"/>
              <w:rPr>
                <w:sz w:val="18"/>
              </w:rPr>
            </w:pPr>
            <w:r>
              <w:rPr>
                <w:spacing w:val="-2"/>
                <w:sz w:val="18"/>
              </w:rPr>
              <w:t>12,550</w:t>
            </w:r>
          </w:p>
        </w:tc>
        <w:tc>
          <w:tcPr>
            <w:tcW w:w="961" w:type="dxa"/>
          </w:tcPr>
          <w:p>
            <w:pPr>
              <w:pStyle w:val="TableParagraph"/>
              <w:spacing w:before="18"/>
              <w:ind w:right="60"/>
              <w:jc w:val="right"/>
              <w:rPr>
                <w:sz w:val="18"/>
              </w:rPr>
            </w:pPr>
            <w:r>
              <w:rPr>
                <w:spacing w:val="-2"/>
                <w:sz w:val="18"/>
              </w:rPr>
              <w:t>1,275</w:t>
            </w:r>
          </w:p>
        </w:tc>
      </w:tr>
      <w:tr>
        <w:trPr>
          <w:trHeight w:val="255" w:hRule="atLeast"/>
        </w:trPr>
        <w:tc>
          <w:tcPr>
            <w:tcW w:w="4380" w:type="dxa"/>
            <w:shd w:val="clear" w:color="auto" w:fill="CCEDFF"/>
          </w:tcPr>
          <w:p>
            <w:pPr>
              <w:pStyle w:val="TableParagraph"/>
              <w:spacing w:before="18"/>
              <w:ind w:left="52"/>
              <w:rPr>
                <w:sz w:val="18"/>
              </w:rPr>
            </w:pPr>
            <w:r>
              <w:rPr>
                <w:sz w:val="18"/>
              </w:rPr>
              <w:t>Certificates</w:t>
            </w:r>
            <w:r>
              <w:rPr>
                <w:spacing w:val="-1"/>
                <w:sz w:val="18"/>
              </w:rPr>
              <w:t> </w:t>
            </w:r>
            <w:r>
              <w:rPr>
                <w:sz w:val="18"/>
              </w:rPr>
              <w:t>of </w:t>
            </w:r>
            <w:r>
              <w:rPr>
                <w:spacing w:val="-2"/>
                <w:sz w:val="18"/>
              </w:rPr>
              <w:t>deposit</w:t>
            </w:r>
          </w:p>
        </w:tc>
        <w:tc>
          <w:tcPr>
            <w:tcW w:w="911" w:type="dxa"/>
            <w:shd w:val="clear" w:color="auto" w:fill="CCEDFF"/>
          </w:tcPr>
          <w:p>
            <w:pPr>
              <w:pStyle w:val="TableParagraph"/>
              <w:spacing w:before="18"/>
              <w:ind w:right="98"/>
              <w:jc w:val="right"/>
              <w:rPr>
                <w:sz w:val="18"/>
              </w:rPr>
            </w:pPr>
            <w:r>
              <w:rPr>
                <w:spacing w:val="-2"/>
                <w:sz w:val="18"/>
              </w:rPr>
              <w:t>2,033</w:t>
            </w:r>
          </w:p>
        </w:tc>
        <w:tc>
          <w:tcPr>
            <w:tcW w:w="963" w:type="dxa"/>
            <w:shd w:val="clear" w:color="auto" w:fill="CCEDFF"/>
          </w:tcPr>
          <w:p>
            <w:pPr>
              <w:pStyle w:val="TableParagraph"/>
              <w:spacing w:before="18"/>
              <w:ind w:right="71"/>
              <w:jc w:val="right"/>
              <w:rPr>
                <w:sz w:val="18"/>
              </w:rPr>
            </w:pPr>
            <w:r>
              <w:rPr>
                <w:spacing w:val="-5"/>
                <w:sz w:val="18"/>
              </w:rPr>
              <w:t>10</w:t>
            </w:r>
          </w:p>
        </w:tc>
        <w:tc>
          <w:tcPr>
            <w:tcW w:w="74" w:type="dxa"/>
            <w:shd w:val="clear" w:color="auto" w:fill="CCEDFF"/>
          </w:tcPr>
          <w:p>
            <w:pPr>
              <w:pStyle w:val="TableParagraph"/>
              <w:rPr>
                <w:sz w:val="18"/>
              </w:rPr>
            </w:pPr>
          </w:p>
        </w:tc>
        <w:tc>
          <w:tcPr>
            <w:tcW w:w="940" w:type="dxa"/>
            <w:shd w:val="clear" w:color="auto" w:fill="CCEDFF"/>
          </w:tcPr>
          <w:p>
            <w:pPr>
              <w:pStyle w:val="TableParagraph"/>
              <w:spacing w:before="18"/>
              <w:ind w:right="95"/>
              <w:jc w:val="right"/>
              <w:rPr>
                <w:sz w:val="18"/>
              </w:rPr>
            </w:pPr>
            <w:r>
              <w:rPr>
                <w:spacing w:val="-5"/>
                <w:sz w:val="18"/>
              </w:rPr>
              <w:t>196</w:t>
            </w:r>
          </w:p>
        </w:tc>
        <w:tc>
          <w:tcPr>
            <w:tcW w:w="962" w:type="dxa"/>
            <w:shd w:val="clear" w:color="auto" w:fill="CCEDFF"/>
          </w:tcPr>
          <w:p>
            <w:pPr>
              <w:pStyle w:val="TableParagraph"/>
              <w:spacing w:before="18"/>
              <w:ind w:right="67"/>
              <w:jc w:val="right"/>
              <w:rPr>
                <w:sz w:val="18"/>
              </w:rPr>
            </w:pPr>
            <w:r>
              <w:rPr>
                <w:spacing w:val="-10"/>
                <w:sz w:val="18"/>
              </w:rPr>
              <w:t>4</w:t>
            </w:r>
          </w:p>
        </w:tc>
        <w:tc>
          <w:tcPr>
            <w:tcW w:w="73" w:type="dxa"/>
            <w:shd w:val="clear" w:color="auto" w:fill="CCEDFF"/>
          </w:tcPr>
          <w:p>
            <w:pPr>
              <w:pStyle w:val="TableParagraph"/>
              <w:rPr>
                <w:sz w:val="18"/>
              </w:rPr>
            </w:pPr>
          </w:p>
        </w:tc>
        <w:tc>
          <w:tcPr>
            <w:tcW w:w="939" w:type="dxa"/>
            <w:shd w:val="clear" w:color="auto" w:fill="CCEDFF"/>
          </w:tcPr>
          <w:p>
            <w:pPr>
              <w:pStyle w:val="TableParagraph"/>
              <w:spacing w:before="18"/>
              <w:ind w:right="89"/>
              <w:jc w:val="right"/>
              <w:rPr>
                <w:sz w:val="18"/>
              </w:rPr>
            </w:pPr>
            <w:r>
              <w:rPr>
                <w:spacing w:val="-2"/>
                <w:sz w:val="18"/>
              </w:rPr>
              <w:t>2,229</w:t>
            </w:r>
          </w:p>
        </w:tc>
        <w:tc>
          <w:tcPr>
            <w:tcW w:w="961" w:type="dxa"/>
            <w:shd w:val="clear" w:color="auto" w:fill="CCEDFF"/>
          </w:tcPr>
          <w:p>
            <w:pPr>
              <w:pStyle w:val="TableParagraph"/>
              <w:spacing w:before="18"/>
              <w:ind w:right="60"/>
              <w:jc w:val="right"/>
              <w:rPr>
                <w:sz w:val="18"/>
              </w:rPr>
            </w:pPr>
            <w:r>
              <w:rPr>
                <w:spacing w:val="-5"/>
                <w:sz w:val="18"/>
              </w:rPr>
              <w:t>14</w:t>
            </w:r>
          </w:p>
        </w:tc>
      </w:tr>
      <w:tr>
        <w:trPr>
          <w:trHeight w:val="255" w:hRule="atLeast"/>
        </w:trPr>
        <w:tc>
          <w:tcPr>
            <w:tcW w:w="4380" w:type="dxa"/>
          </w:tcPr>
          <w:p>
            <w:pPr>
              <w:pStyle w:val="TableParagraph"/>
              <w:spacing w:before="18"/>
              <w:ind w:left="52"/>
              <w:rPr>
                <w:sz w:val="18"/>
              </w:rPr>
            </w:pPr>
            <w:r>
              <w:rPr>
                <w:sz w:val="18"/>
              </w:rPr>
              <w:t>Foreign</w:t>
            </w:r>
            <w:r>
              <w:rPr>
                <w:spacing w:val="-1"/>
                <w:sz w:val="18"/>
              </w:rPr>
              <w:t> </w:t>
            </w:r>
            <w:r>
              <w:rPr>
                <w:sz w:val="18"/>
              </w:rPr>
              <w:t>government agency </w:t>
            </w:r>
            <w:r>
              <w:rPr>
                <w:spacing w:val="-2"/>
                <w:sz w:val="18"/>
              </w:rPr>
              <w:t>securities</w:t>
            </w:r>
          </w:p>
        </w:tc>
        <w:tc>
          <w:tcPr>
            <w:tcW w:w="911" w:type="dxa"/>
          </w:tcPr>
          <w:p>
            <w:pPr>
              <w:pStyle w:val="TableParagraph"/>
              <w:spacing w:before="18"/>
              <w:ind w:right="98"/>
              <w:jc w:val="right"/>
              <w:rPr>
                <w:sz w:val="18"/>
              </w:rPr>
            </w:pPr>
            <w:r>
              <w:rPr>
                <w:spacing w:val="-5"/>
                <w:sz w:val="18"/>
              </w:rPr>
              <w:t>756</w:t>
            </w:r>
          </w:p>
        </w:tc>
        <w:tc>
          <w:tcPr>
            <w:tcW w:w="963" w:type="dxa"/>
          </w:tcPr>
          <w:p>
            <w:pPr>
              <w:pStyle w:val="TableParagraph"/>
              <w:spacing w:before="18"/>
              <w:ind w:right="71"/>
              <w:jc w:val="right"/>
              <w:rPr>
                <w:sz w:val="18"/>
              </w:rPr>
            </w:pPr>
            <w:r>
              <w:rPr>
                <w:spacing w:val="-5"/>
                <w:sz w:val="18"/>
              </w:rPr>
              <w:t>50</w:t>
            </w:r>
          </w:p>
        </w:tc>
        <w:tc>
          <w:tcPr>
            <w:tcW w:w="74" w:type="dxa"/>
          </w:tcPr>
          <w:p>
            <w:pPr>
              <w:pStyle w:val="TableParagraph"/>
              <w:rPr>
                <w:sz w:val="18"/>
              </w:rPr>
            </w:pPr>
          </w:p>
        </w:tc>
        <w:tc>
          <w:tcPr>
            <w:tcW w:w="940" w:type="dxa"/>
          </w:tcPr>
          <w:p>
            <w:pPr>
              <w:pStyle w:val="TableParagraph"/>
              <w:spacing w:before="18"/>
              <w:ind w:right="95"/>
              <w:jc w:val="right"/>
              <w:rPr>
                <w:sz w:val="18"/>
              </w:rPr>
            </w:pPr>
            <w:r>
              <w:rPr>
                <w:spacing w:val="-5"/>
                <w:sz w:val="18"/>
              </w:rPr>
              <w:t>214</w:t>
            </w:r>
          </w:p>
        </w:tc>
        <w:tc>
          <w:tcPr>
            <w:tcW w:w="962" w:type="dxa"/>
          </w:tcPr>
          <w:p>
            <w:pPr>
              <w:pStyle w:val="TableParagraph"/>
              <w:spacing w:before="18"/>
              <w:ind w:right="67"/>
              <w:jc w:val="right"/>
              <w:rPr>
                <w:sz w:val="18"/>
              </w:rPr>
            </w:pPr>
            <w:r>
              <w:rPr>
                <w:spacing w:val="-5"/>
                <w:sz w:val="18"/>
              </w:rPr>
              <w:t>14</w:t>
            </w:r>
          </w:p>
        </w:tc>
        <w:tc>
          <w:tcPr>
            <w:tcW w:w="73" w:type="dxa"/>
          </w:tcPr>
          <w:p>
            <w:pPr>
              <w:pStyle w:val="TableParagraph"/>
              <w:rPr>
                <w:sz w:val="18"/>
              </w:rPr>
            </w:pPr>
          </w:p>
        </w:tc>
        <w:tc>
          <w:tcPr>
            <w:tcW w:w="939" w:type="dxa"/>
          </w:tcPr>
          <w:p>
            <w:pPr>
              <w:pStyle w:val="TableParagraph"/>
              <w:spacing w:before="18"/>
              <w:ind w:right="89"/>
              <w:jc w:val="right"/>
              <w:rPr>
                <w:sz w:val="18"/>
              </w:rPr>
            </w:pPr>
            <w:r>
              <w:rPr>
                <w:spacing w:val="-5"/>
                <w:sz w:val="18"/>
              </w:rPr>
              <w:t>970</w:t>
            </w:r>
          </w:p>
        </w:tc>
        <w:tc>
          <w:tcPr>
            <w:tcW w:w="961" w:type="dxa"/>
          </w:tcPr>
          <w:p>
            <w:pPr>
              <w:pStyle w:val="TableParagraph"/>
              <w:spacing w:before="18"/>
              <w:ind w:right="60"/>
              <w:jc w:val="right"/>
              <w:rPr>
                <w:sz w:val="18"/>
              </w:rPr>
            </w:pPr>
            <w:r>
              <w:rPr>
                <w:spacing w:val="-5"/>
                <w:sz w:val="18"/>
              </w:rPr>
              <w:t>64</w:t>
            </w:r>
          </w:p>
        </w:tc>
      </w:tr>
      <w:tr>
        <w:trPr>
          <w:trHeight w:val="255" w:hRule="atLeast"/>
        </w:trPr>
        <w:tc>
          <w:tcPr>
            <w:tcW w:w="4380" w:type="dxa"/>
            <w:shd w:val="clear" w:color="auto" w:fill="CCEDFF"/>
          </w:tcPr>
          <w:p>
            <w:pPr>
              <w:pStyle w:val="TableParagraph"/>
              <w:spacing w:before="18"/>
              <w:ind w:left="52"/>
              <w:rPr>
                <w:sz w:val="18"/>
              </w:rPr>
            </w:pPr>
            <w:r>
              <w:rPr>
                <w:sz w:val="18"/>
              </w:rPr>
              <w:t>U.S.</w:t>
            </w:r>
            <w:r>
              <w:rPr>
                <w:spacing w:val="-1"/>
                <w:sz w:val="18"/>
              </w:rPr>
              <w:t> </w:t>
            </w:r>
            <w:r>
              <w:rPr>
                <w:sz w:val="18"/>
              </w:rPr>
              <w:t>state</w:t>
            </w:r>
            <w:r>
              <w:rPr>
                <w:spacing w:val="-1"/>
                <w:sz w:val="18"/>
              </w:rPr>
              <w:t> </w:t>
            </w:r>
            <w:r>
              <w:rPr>
                <w:sz w:val="18"/>
              </w:rPr>
              <w:t>and</w:t>
            </w:r>
            <w:r>
              <w:rPr>
                <w:spacing w:val="-1"/>
                <w:sz w:val="18"/>
              </w:rPr>
              <w:t> </w:t>
            </w:r>
            <w:r>
              <w:rPr>
                <w:sz w:val="18"/>
              </w:rPr>
              <w:t>municipal </w:t>
            </w:r>
            <w:r>
              <w:rPr>
                <w:spacing w:val="-2"/>
                <w:sz w:val="18"/>
              </w:rPr>
              <w:t>securities</w:t>
            </w:r>
          </w:p>
        </w:tc>
        <w:tc>
          <w:tcPr>
            <w:tcW w:w="911" w:type="dxa"/>
            <w:shd w:val="clear" w:color="auto" w:fill="CCEDFF"/>
          </w:tcPr>
          <w:p>
            <w:pPr>
              <w:pStyle w:val="TableParagraph"/>
              <w:spacing w:before="18"/>
              <w:ind w:right="98"/>
              <w:jc w:val="right"/>
              <w:rPr>
                <w:sz w:val="18"/>
              </w:rPr>
            </w:pPr>
            <w:r>
              <w:rPr>
                <w:spacing w:val="-5"/>
                <w:sz w:val="18"/>
              </w:rPr>
              <w:t>482</w:t>
            </w:r>
          </w:p>
        </w:tc>
        <w:tc>
          <w:tcPr>
            <w:tcW w:w="963" w:type="dxa"/>
            <w:shd w:val="clear" w:color="auto" w:fill="CCEDFF"/>
          </w:tcPr>
          <w:p>
            <w:pPr>
              <w:pStyle w:val="TableParagraph"/>
              <w:spacing w:before="18"/>
              <w:ind w:right="71"/>
              <w:jc w:val="right"/>
              <w:rPr>
                <w:sz w:val="18"/>
              </w:rPr>
            </w:pPr>
            <w:r>
              <w:rPr>
                <w:spacing w:val="-5"/>
                <w:sz w:val="18"/>
              </w:rPr>
              <w:t>31</w:t>
            </w:r>
          </w:p>
        </w:tc>
        <w:tc>
          <w:tcPr>
            <w:tcW w:w="74" w:type="dxa"/>
            <w:shd w:val="clear" w:color="auto" w:fill="CCEDFF"/>
          </w:tcPr>
          <w:p>
            <w:pPr>
              <w:pStyle w:val="TableParagraph"/>
              <w:rPr>
                <w:sz w:val="18"/>
              </w:rPr>
            </w:pPr>
          </w:p>
        </w:tc>
        <w:tc>
          <w:tcPr>
            <w:tcW w:w="940" w:type="dxa"/>
            <w:shd w:val="clear" w:color="auto" w:fill="CCEDFF"/>
          </w:tcPr>
          <w:p>
            <w:pPr>
              <w:pStyle w:val="TableParagraph"/>
              <w:spacing w:before="18"/>
              <w:ind w:right="95"/>
              <w:jc w:val="right"/>
              <w:rPr>
                <w:sz w:val="18"/>
              </w:rPr>
            </w:pPr>
            <w:r>
              <w:rPr>
                <w:spacing w:val="-5"/>
                <w:sz w:val="18"/>
              </w:rPr>
              <w:t>157</w:t>
            </w:r>
          </w:p>
        </w:tc>
        <w:tc>
          <w:tcPr>
            <w:tcW w:w="962" w:type="dxa"/>
            <w:shd w:val="clear" w:color="auto" w:fill="CCEDFF"/>
          </w:tcPr>
          <w:p>
            <w:pPr>
              <w:pStyle w:val="TableParagraph"/>
              <w:spacing w:before="18"/>
              <w:ind w:right="67"/>
              <w:jc w:val="right"/>
              <w:rPr>
                <w:sz w:val="18"/>
              </w:rPr>
            </w:pPr>
            <w:r>
              <w:rPr>
                <w:spacing w:val="-5"/>
                <w:sz w:val="18"/>
              </w:rPr>
              <w:t>44</w:t>
            </w:r>
          </w:p>
        </w:tc>
        <w:tc>
          <w:tcPr>
            <w:tcW w:w="73" w:type="dxa"/>
            <w:shd w:val="clear" w:color="auto" w:fill="CCEDFF"/>
          </w:tcPr>
          <w:p>
            <w:pPr>
              <w:pStyle w:val="TableParagraph"/>
              <w:rPr>
                <w:sz w:val="18"/>
              </w:rPr>
            </w:pPr>
          </w:p>
        </w:tc>
        <w:tc>
          <w:tcPr>
            <w:tcW w:w="939" w:type="dxa"/>
            <w:shd w:val="clear" w:color="auto" w:fill="CCEDFF"/>
          </w:tcPr>
          <w:p>
            <w:pPr>
              <w:pStyle w:val="TableParagraph"/>
              <w:spacing w:before="18"/>
              <w:ind w:right="89"/>
              <w:jc w:val="right"/>
              <w:rPr>
                <w:sz w:val="18"/>
              </w:rPr>
            </w:pPr>
            <w:r>
              <w:rPr>
                <w:spacing w:val="-5"/>
                <w:sz w:val="18"/>
              </w:rPr>
              <w:t>639</w:t>
            </w:r>
          </w:p>
        </w:tc>
        <w:tc>
          <w:tcPr>
            <w:tcW w:w="961" w:type="dxa"/>
            <w:shd w:val="clear" w:color="auto" w:fill="CCEDFF"/>
          </w:tcPr>
          <w:p>
            <w:pPr>
              <w:pStyle w:val="TableParagraph"/>
              <w:spacing w:before="18"/>
              <w:ind w:right="60"/>
              <w:jc w:val="right"/>
              <w:rPr>
                <w:sz w:val="18"/>
              </w:rPr>
            </w:pPr>
            <w:r>
              <w:rPr>
                <w:spacing w:val="-5"/>
                <w:sz w:val="18"/>
              </w:rPr>
              <w:t>75</w:t>
            </w:r>
          </w:p>
        </w:tc>
      </w:tr>
      <w:tr>
        <w:trPr>
          <w:trHeight w:val="255" w:hRule="atLeast"/>
        </w:trPr>
        <w:tc>
          <w:tcPr>
            <w:tcW w:w="4380" w:type="dxa"/>
          </w:tcPr>
          <w:p>
            <w:pPr>
              <w:pStyle w:val="TableParagraph"/>
              <w:spacing w:before="18"/>
              <w:ind w:left="52"/>
              <w:rPr>
                <w:sz w:val="18"/>
              </w:rPr>
            </w:pPr>
            <w:r>
              <w:rPr>
                <w:sz w:val="18"/>
              </w:rPr>
              <w:t>Non-agency</w:t>
            </w:r>
            <w:r>
              <w:rPr>
                <w:spacing w:val="-1"/>
                <w:sz w:val="18"/>
              </w:rPr>
              <w:t> </w:t>
            </w:r>
            <w:r>
              <w:rPr>
                <w:sz w:val="18"/>
              </w:rPr>
              <w:t>commercial mortgage-backed </w:t>
            </w:r>
            <w:r>
              <w:rPr>
                <w:spacing w:val="-2"/>
                <w:sz w:val="18"/>
              </w:rPr>
              <w:t>securities</w:t>
            </w:r>
          </w:p>
        </w:tc>
        <w:tc>
          <w:tcPr>
            <w:tcW w:w="911" w:type="dxa"/>
          </w:tcPr>
          <w:p>
            <w:pPr>
              <w:pStyle w:val="TableParagraph"/>
              <w:spacing w:before="18"/>
              <w:ind w:right="98"/>
              <w:jc w:val="right"/>
              <w:rPr>
                <w:sz w:val="18"/>
              </w:rPr>
            </w:pPr>
            <w:r>
              <w:rPr>
                <w:spacing w:val="-5"/>
                <w:sz w:val="18"/>
              </w:rPr>
              <w:t>443</w:t>
            </w:r>
          </w:p>
        </w:tc>
        <w:tc>
          <w:tcPr>
            <w:tcW w:w="963" w:type="dxa"/>
          </w:tcPr>
          <w:p>
            <w:pPr>
              <w:pStyle w:val="TableParagraph"/>
              <w:spacing w:before="18"/>
              <w:ind w:right="71"/>
              <w:jc w:val="right"/>
              <w:rPr>
                <w:sz w:val="18"/>
              </w:rPr>
            </w:pPr>
            <w:r>
              <w:rPr>
                <w:spacing w:val="-5"/>
                <w:sz w:val="18"/>
              </w:rPr>
              <w:t>23</w:t>
            </w:r>
          </w:p>
        </w:tc>
        <w:tc>
          <w:tcPr>
            <w:tcW w:w="74" w:type="dxa"/>
          </w:tcPr>
          <w:p>
            <w:pPr>
              <w:pStyle w:val="TableParagraph"/>
              <w:rPr>
                <w:sz w:val="18"/>
              </w:rPr>
            </w:pPr>
          </w:p>
        </w:tc>
        <w:tc>
          <w:tcPr>
            <w:tcW w:w="940" w:type="dxa"/>
          </w:tcPr>
          <w:p>
            <w:pPr>
              <w:pStyle w:val="TableParagraph"/>
              <w:spacing w:before="18"/>
              <w:ind w:right="95"/>
              <w:jc w:val="right"/>
              <w:rPr>
                <w:sz w:val="18"/>
              </w:rPr>
            </w:pPr>
            <w:r>
              <w:rPr>
                <w:spacing w:val="-10"/>
                <w:sz w:val="18"/>
              </w:rPr>
              <w:t>—</w:t>
            </w:r>
          </w:p>
        </w:tc>
        <w:tc>
          <w:tcPr>
            <w:tcW w:w="962" w:type="dxa"/>
          </w:tcPr>
          <w:p>
            <w:pPr>
              <w:pStyle w:val="TableParagraph"/>
              <w:spacing w:before="18"/>
              <w:ind w:right="67"/>
              <w:jc w:val="right"/>
              <w:rPr>
                <w:sz w:val="18"/>
              </w:rPr>
            </w:pPr>
            <w:r>
              <w:rPr>
                <w:spacing w:val="-10"/>
                <w:sz w:val="18"/>
              </w:rPr>
              <w:t>—</w:t>
            </w:r>
          </w:p>
        </w:tc>
        <w:tc>
          <w:tcPr>
            <w:tcW w:w="73" w:type="dxa"/>
          </w:tcPr>
          <w:p>
            <w:pPr>
              <w:pStyle w:val="TableParagraph"/>
              <w:rPr>
                <w:sz w:val="18"/>
              </w:rPr>
            </w:pPr>
          </w:p>
        </w:tc>
        <w:tc>
          <w:tcPr>
            <w:tcW w:w="939" w:type="dxa"/>
          </w:tcPr>
          <w:p>
            <w:pPr>
              <w:pStyle w:val="TableParagraph"/>
              <w:spacing w:before="18"/>
              <w:ind w:right="89"/>
              <w:jc w:val="right"/>
              <w:rPr>
                <w:sz w:val="18"/>
              </w:rPr>
            </w:pPr>
            <w:r>
              <w:rPr>
                <w:spacing w:val="-5"/>
                <w:sz w:val="18"/>
              </w:rPr>
              <w:t>443</w:t>
            </w:r>
          </w:p>
        </w:tc>
        <w:tc>
          <w:tcPr>
            <w:tcW w:w="961" w:type="dxa"/>
          </w:tcPr>
          <w:p>
            <w:pPr>
              <w:pStyle w:val="TableParagraph"/>
              <w:spacing w:before="18"/>
              <w:ind w:right="60"/>
              <w:jc w:val="right"/>
              <w:rPr>
                <w:sz w:val="18"/>
              </w:rPr>
            </w:pPr>
            <w:r>
              <w:rPr>
                <w:spacing w:val="-5"/>
                <w:sz w:val="18"/>
              </w:rPr>
              <w:t>23</w:t>
            </w:r>
          </w:p>
        </w:tc>
      </w:tr>
      <w:tr>
        <w:trPr>
          <w:trHeight w:val="250" w:hRule="atLeast"/>
        </w:trPr>
        <w:tc>
          <w:tcPr>
            <w:tcW w:w="4380" w:type="dxa"/>
            <w:tcBorders>
              <w:bottom w:val="single" w:sz="4" w:space="0" w:color="000000"/>
            </w:tcBorders>
            <w:shd w:val="clear" w:color="auto" w:fill="CCEDFF"/>
          </w:tcPr>
          <w:p>
            <w:pPr>
              <w:pStyle w:val="TableParagraph"/>
              <w:spacing w:before="18"/>
              <w:ind w:left="52"/>
              <w:rPr>
                <w:sz w:val="18"/>
              </w:rPr>
            </w:pPr>
            <w:r>
              <w:rPr>
                <w:spacing w:val="-2"/>
                <w:sz w:val="18"/>
              </w:rPr>
              <w:t>Other</w:t>
            </w:r>
          </w:p>
        </w:tc>
        <w:tc>
          <w:tcPr>
            <w:tcW w:w="911" w:type="dxa"/>
            <w:tcBorders>
              <w:bottom w:val="single" w:sz="4" w:space="0" w:color="000000"/>
            </w:tcBorders>
            <w:shd w:val="clear" w:color="auto" w:fill="CCEDFF"/>
          </w:tcPr>
          <w:p>
            <w:pPr>
              <w:pStyle w:val="TableParagraph"/>
              <w:spacing w:before="18"/>
              <w:ind w:right="98"/>
              <w:jc w:val="right"/>
              <w:rPr>
                <w:sz w:val="18"/>
              </w:rPr>
            </w:pPr>
            <w:r>
              <w:rPr>
                <w:spacing w:val="-5"/>
                <w:sz w:val="18"/>
              </w:rPr>
              <w:t>315</w:t>
            </w:r>
          </w:p>
        </w:tc>
        <w:tc>
          <w:tcPr>
            <w:tcW w:w="963" w:type="dxa"/>
            <w:tcBorders>
              <w:bottom w:val="single" w:sz="4" w:space="0" w:color="000000"/>
            </w:tcBorders>
            <w:shd w:val="clear" w:color="auto" w:fill="CCEDFF"/>
          </w:tcPr>
          <w:p>
            <w:pPr>
              <w:pStyle w:val="TableParagraph"/>
              <w:spacing w:before="18"/>
              <w:ind w:right="71"/>
              <w:jc w:val="right"/>
              <w:rPr>
                <w:sz w:val="18"/>
              </w:rPr>
            </w:pPr>
            <w:r>
              <w:rPr>
                <w:spacing w:val="-10"/>
                <w:sz w:val="18"/>
              </w:rPr>
              <w:t>8</w:t>
            </w:r>
          </w:p>
        </w:tc>
        <w:tc>
          <w:tcPr>
            <w:tcW w:w="74" w:type="dxa"/>
            <w:tcBorders>
              <w:bottom w:val="single" w:sz="4" w:space="0" w:color="000000"/>
            </w:tcBorders>
            <w:shd w:val="clear" w:color="auto" w:fill="CCEDFF"/>
          </w:tcPr>
          <w:p>
            <w:pPr>
              <w:pStyle w:val="TableParagraph"/>
              <w:rPr>
                <w:sz w:val="18"/>
              </w:rPr>
            </w:pPr>
          </w:p>
        </w:tc>
        <w:tc>
          <w:tcPr>
            <w:tcW w:w="940" w:type="dxa"/>
            <w:tcBorders>
              <w:bottom w:val="single" w:sz="4" w:space="0" w:color="000000"/>
            </w:tcBorders>
            <w:shd w:val="clear" w:color="auto" w:fill="CCEDFF"/>
          </w:tcPr>
          <w:p>
            <w:pPr>
              <w:pStyle w:val="TableParagraph"/>
              <w:spacing w:before="18"/>
              <w:ind w:right="95"/>
              <w:jc w:val="right"/>
              <w:rPr>
                <w:sz w:val="18"/>
              </w:rPr>
            </w:pPr>
            <w:r>
              <w:rPr>
                <w:spacing w:val="-10"/>
                <w:sz w:val="18"/>
              </w:rPr>
              <w:t>—</w:t>
            </w:r>
          </w:p>
        </w:tc>
        <w:tc>
          <w:tcPr>
            <w:tcW w:w="962" w:type="dxa"/>
            <w:tcBorders>
              <w:bottom w:val="single" w:sz="4" w:space="0" w:color="000000"/>
            </w:tcBorders>
            <w:shd w:val="clear" w:color="auto" w:fill="CCEDFF"/>
          </w:tcPr>
          <w:p>
            <w:pPr>
              <w:pStyle w:val="TableParagraph"/>
              <w:spacing w:before="18"/>
              <w:ind w:right="67"/>
              <w:jc w:val="right"/>
              <w:rPr>
                <w:sz w:val="18"/>
              </w:rPr>
            </w:pPr>
            <w:r>
              <w:rPr>
                <w:spacing w:val="-10"/>
                <w:sz w:val="18"/>
              </w:rPr>
              <w:t>—</w:t>
            </w:r>
          </w:p>
        </w:tc>
        <w:tc>
          <w:tcPr>
            <w:tcW w:w="73" w:type="dxa"/>
            <w:tcBorders>
              <w:bottom w:val="single" w:sz="4" w:space="0" w:color="000000"/>
            </w:tcBorders>
            <w:shd w:val="clear" w:color="auto" w:fill="CCEDFF"/>
          </w:tcPr>
          <w:p>
            <w:pPr>
              <w:pStyle w:val="TableParagraph"/>
              <w:rPr>
                <w:sz w:val="18"/>
              </w:rPr>
            </w:pPr>
          </w:p>
        </w:tc>
        <w:tc>
          <w:tcPr>
            <w:tcW w:w="939" w:type="dxa"/>
            <w:tcBorders>
              <w:bottom w:val="single" w:sz="4" w:space="0" w:color="000000"/>
            </w:tcBorders>
            <w:shd w:val="clear" w:color="auto" w:fill="CCEDFF"/>
          </w:tcPr>
          <w:p>
            <w:pPr>
              <w:pStyle w:val="TableParagraph"/>
              <w:spacing w:before="18"/>
              <w:ind w:right="89"/>
              <w:jc w:val="right"/>
              <w:rPr>
                <w:sz w:val="18"/>
              </w:rPr>
            </w:pPr>
            <w:r>
              <w:rPr>
                <w:spacing w:val="-5"/>
                <w:sz w:val="18"/>
              </w:rPr>
              <w:t>315</w:t>
            </w:r>
          </w:p>
        </w:tc>
        <w:tc>
          <w:tcPr>
            <w:tcW w:w="961" w:type="dxa"/>
            <w:tcBorders>
              <w:bottom w:val="single" w:sz="4" w:space="0" w:color="000000"/>
            </w:tcBorders>
            <w:shd w:val="clear" w:color="auto" w:fill="CCEDFF"/>
          </w:tcPr>
          <w:p>
            <w:pPr>
              <w:pStyle w:val="TableParagraph"/>
              <w:spacing w:before="18"/>
              <w:ind w:right="60"/>
              <w:jc w:val="right"/>
              <w:rPr>
                <w:sz w:val="18"/>
              </w:rPr>
            </w:pPr>
            <w:r>
              <w:rPr>
                <w:spacing w:val="-10"/>
                <w:sz w:val="18"/>
              </w:rPr>
              <w:t>8</w:t>
            </w:r>
          </w:p>
        </w:tc>
      </w:tr>
      <w:tr>
        <w:trPr>
          <w:trHeight w:val="220" w:hRule="atLeast"/>
        </w:trPr>
        <w:tc>
          <w:tcPr>
            <w:tcW w:w="4380" w:type="dxa"/>
            <w:tcBorders>
              <w:top w:val="single" w:sz="4" w:space="0" w:color="000000"/>
              <w:bottom w:val="double" w:sz="8" w:space="0" w:color="000000"/>
            </w:tcBorders>
          </w:tcPr>
          <w:p>
            <w:pPr>
              <w:pStyle w:val="TableParagraph"/>
              <w:spacing w:line="187" w:lineRule="exact" w:before="13"/>
              <w:ind w:left="277"/>
              <w:rPr>
                <w:sz w:val="18"/>
              </w:rPr>
            </w:pPr>
            <w:r>
              <w:rPr>
                <w:spacing w:val="-2"/>
                <w:sz w:val="18"/>
              </w:rPr>
              <w:t>Total</w:t>
            </w:r>
          </w:p>
        </w:tc>
        <w:tc>
          <w:tcPr>
            <w:tcW w:w="911" w:type="dxa"/>
            <w:tcBorders>
              <w:top w:val="single" w:sz="4" w:space="0" w:color="000000"/>
              <w:bottom w:val="double" w:sz="8" w:space="0" w:color="000000"/>
            </w:tcBorders>
          </w:tcPr>
          <w:p>
            <w:pPr>
              <w:pStyle w:val="TableParagraph"/>
              <w:spacing w:line="187" w:lineRule="exact" w:before="13"/>
              <w:ind w:right="98"/>
              <w:jc w:val="right"/>
              <w:rPr>
                <w:sz w:val="18"/>
              </w:rPr>
            </w:pPr>
            <w:r>
              <w:rPr>
                <w:sz w:val="18"/>
              </w:rPr>
              <w:t>$</w:t>
            </w:r>
            <w:r>
              <w:rPr>
                <w:spacing w:val="39"/>
                <w:sz w:val="18"/>
              </w:rPr>
              <w:t>  </w:t>
            </w:r>
            <w:r>
              <w:rPr>
                <w:spacing w:val="-2"/>
                <w:sz w:val="18"/>
              </w:rPr>
              <w:t>81,299</w:t>
            </w:r>
          </w:p>
        </w:tc>
        <w:tc>
          <w:tcPr>
            <w:tcW w:w="963" w:type="dxa"/>
            <w:tcBorders>
              <w:top w:val="single" w:sz="4" w:space="0" w:color="000000"/>
              <w:bottom w:val="double" w:sz="8" w:space="0" w:color="000000"/>
            </w:tcBorders>
          </w:tcPr>
          <w:p>
            <w:pPr>
              <w:pStyle w:val="TableParagraph"/>
              <w:tabs>
                <w:tab w:pos="382" w:val="left" w:leader="none"/>
              </w:tabs>
              <w:spacing w:line="187" w:lineRule="exact" w:before="13"/>
              <w:ind w:right="71"/>
              <w:jc w:val="right"/>
              <w:rPr>
                <w:sz w:val="18"/>
              </w:rPr>
            </w:pPr>
            <w:r>
              <w:rPr>
                <w:spacing w:val="-10"/>
                <w:sz w:val="18"/>
              </w:rPr>
              <w:t>$</w:t>
            </w:r>
            <w:r>
              <w:rPr>
                <w:sz w:val="18"/>
              </w:rPr>
              <w:tab/>
            </w:r>
            <w:r>
              <w:rPr>
                <w:spacing w:val="-2"/>
                <w:sz w:val="18"/>
              </w:rPr>
              <w:t>3,622</w:t>
            </w:r>
          </w:p>
        </w:tc>
        <w:tc>
          <w:tcPr>
            <w:tcW w:w="74" w:type="dxa"/>
            <w:tcBorders>
              <w:top w:val="single" w:sz="4" w:space="0" w:color="000000"/>
              <w:bottom w:val="double" w:sz="8" w:space="0" w:color="000000"/>
            </w:tcBorders>
          </w:tcPr>
          <w:p>
            <w:pPr>
              <w:pStyle w:val="TableParagraph"/>
              <w:rPr>
                <w:sz w:val="14"/>
              </w:rPr>
            </w:pPr>
          </w:p>
        </w:tc>
        <w:tc>
          <w:tcPr>
            <w:tcW w:w="940" w:type="dxa"/>
            <w:tcBorders>
              <w:top w:val="single" w:sz="4" w:space="0" w:color="000000"/>
              <w:bottom w:val="double" w:sz="8" w:space="0" w:color="000000"/>
            </w:tcBorders>
          </w:tcPr>
          <w:p>
            <w:pPr>
              <w:pStyle w:val="TableParagraph"/>
              <w:tabs>
                <w:tab w:pos="292" w:val="left" w:leader="none"/>
              </w:tabs>
              <w:spacing w:line="187" w:lineRule="exact" w:before="13"/>
              <w:ind w:right="95"/>
              <w:jc w:val="right"/>
              <w:rPr>
                <w:sz w:val="18"/>
              </w:rPr>
            </w:pPr>
            <w:r>
              <w:rPr>
                <w:spacing w:val="-10"/>
                <w:sz w:val="18"/>
              </w:rPr>
              <w:t>$</w:t>
            </w:r>
            <w:r>
              <w:rPr>
                <w:sz w:val="18"/>
              </w:rPr>
              <w:tab/>
            </w:r>
            <w:r>
              <w:rPr>
                <w:spacing w:val="-2"/>
                <w:sz w:val="18"/>
              </w:rPr>
              <w:t>65,941</w:t>
            </w:r>
          </w:p>
        </w:tc>
        <w:tc>
          <w:tcPr>
            <w:tcW w:w="962" w:type="dxa"/>
            <w:tcBorders>
              <w:top w:val="single" w:sz="4" w:space="0" w:color="000000"/>
              <w:bottom w:val="double" w:sz="8" w:space="0" w:color="000000"/>
            </w:tcBorders>
          </w:tcPr>
          <w:p>
            <w:pPr>
              <w:pStyle w:val="TableParagraph"/>
              <w:tabs>
                <w:tab w:pos="382" w:val="left" w:leader="none"/>
              </w:tabs>
              <w:spacing w:line="187" w:lineRule="exact" w:before="13"/>
              <w:ind w:right="67"/>
              <w:jc w:val="right"/>
              <w:rPr>
                <w:sz w:val="18"/>
              </w:rPr>
            </w:pPr>
            <w:r>
              <w:rPr>
                <w:spacing w:val="-10"/>
                <w:sz w:val="18"/>
              </w:rPr>
              <w:t>$</w:t>
            </w:r>
            <w:r>
              <w:rPr>
                <w:sz w:val="18"/>
              </w:rPr>
              <w:tab/>
            </w:r>
            <w:r>
              <w:rPr>
                <w:spacing w:val="-2"/>
                <w:sz w:val="18"/>
              </w:rPr>
              <w:t>8,669</w:t>
            </w:r>
          </w:p>
        </w:tc>
        <w:tc>
          <w:tcPr>
            <w:tcW w:w="73" w:type="dxa"/>
            <w:tcBorders>
              <w:top w:val="single" w:sz="4" w:space="0" w:color="000000"/>
              <w:bottom w:val="double" w:sz="8" w:space="0" w:color="000000"/>
            </w:tcBorders>
          </w:tcPr>
          <w:p>
            <w:pPr>
              <w:pStyle w:val="TableParagraph"/>
              <w:rPr>
                <w:sz w:val="14"/>
              </w:rPr>
            </w:pPr>
          </w:p>
        </w:tc>
        <w:tc>
          <w:tcPr>
            <w:tcW w:w="939" w:type="dxa"/>
            <w:tcBorders>
              <w:top w:val="single" w:sz="4" w:space="0" w:color="000000"/>
              <w:bottom w:val="double" w:sz="8" w:space="0" w:color="000000"/>
            </w:tcBorders>
          </w:tcPr>
          <w:p>
            <w:pPr>
              <w:pStyle w:val="TableParagraph"/>
              <w:spacing w:line="187" w:lineRule="exact" w:before="13"/>
              <w:ind w:right="89"/>
              <w:jc w:val="right"/>
              <w:rPr>
                <w:sz w:val="18"/>
              </w:rPr>
            </w:pPr>
            <w:r>
              <w:rPr>
                <w:sz w:val="18"/>
              </w:rPr>
              <w:t>$</w:t>
            </w:r>
            <w:r>
              <w:rPr>
                <w:spacing w:val="67"/>
                <w:sz w:val="18"/>
              </w:rPr>
              <w:t> </w:t>
            </w:r>
            <w:r>
              <w:rPr>
                <w:spacing w:val="-2"/>
                <w:sz w:val="18"/>
              </w:rPr>
              <w:t>147,240</w:t>
            </w:r>
          </w:p>
        </w:tc>
        <w:tc>
          <w:tcPr>
            <w:tcW w:w="961" w:type="dxa"/>
            <w:tcBorders>
              <w:top w:val="single" w:sz="4" w:space="0" w:color="000000"/>
              <w:bottom w:val="double" w:sz="8" w:space="0" w:color="000000"/>
            </w:tcBorders>
          </w:tcPr>
          <w:p>
            <w:pPr>
              <w:pStyle w:val="TableParagraph"/>
              <w:tabs>
                <w:tab w:pos="292" w:val="left" w:leader="none"/>
              </w:tabs>
              <w:spacing w:line="187" w:lineRule="exact" w:before="13"/>
              <w:ind w:right="60"/>
              <w:jc w:val="right"/>
              <w:rPr>
                <w:sz w:val="18"/>
              </w:rPr>
            </w:pPr>
            <w:r>
              <w:rPr>
                <w:spacing w:val="-10"/>
                <w:sz w:val="18"/>
              </w:rPr>
              <w:t>$</w:t>
            </w:r>
            <w:r>
              <w:rPr>
                <w:sz w:val="18"/>
              </w:rPr>
              <w:tab/>
            </w:r>
            <w:r>
              <w:rPr>
                <w:spacing w:val="-2"/>
                <w:sz w:val="18"/>
              </w:rPr>
              <w:t>12,291</w:t>
            </w:r>
          </w:p>
        </w:tc>
      </w:tr>
    </w:tbl>
    <w:p>
      <w:pPr>
        <w:spacing w:before="26"/>
        <w:ind w:left="470" w:right="0" w:firstLine="0"/>
        <w:jc w:val="left"/>
        <w:rPr>
          <w:sz w:val="16"/>
        </w:rPr>
      </w:pPr>
      <w:r>
        <w:rPr>
          <w:sz w:val="16"/>
          <w:vertAlign w:val="superscript"/>
        </w:rPr>
        <w:t>(1)</w:t>
      </w:r>
      <w:r>
        <w:rPr>
          <w:spacing w:val="-2"/>
          <w:sz w:val="16"/>
          <w:vertAlign w:val="baseline"/>
        </w:rPr>
        <w:t> </w:t>
      </w:r>
      <w:r>
        <w:rPr>
          <w:sz w:val="16"/>
          <w:vertAlign w:val="baseline"/>
        </w:rPr>
        <w:t>For purposes</w:t>
      </w:r>
      <w:r>
        <w:rPr>
          <w:spacing w:val="-1"/>
          <w:sz w:val="16"/>
          <w:vertAlign w:val="baseline"/>
        </w:rPr>
        <w:t> </w:t>
      </w:r>
      <w:r>
        <w:rPr>
          <w:sz w:val="16"/>
          <w:vertAlign w:val="baseline"/>
        </w:rPr>
        <w:t>of this</w:t>
      </w:r>
      <w:r>
        <w:rPr>
          <w:spacing w:val="-1"/>
          <w:sz w:val="16"/>
          <w:vertAlign w:val="baseline"/>
        </w:rPr>
        <w:t> </w:t>
      </w:r>
      <w:r>
        <w:rPr>
          <w:sz w:val="16"/>
          <w:vertAlign w:val="baseline"/>
        </w:rPr>
        <w:t>table, unrealized losses</w:t>
      </w:r>
      <w:r>
        <w:rPr>
          <w:spacing w:val="-1"/>
          <w:sz w:val="16"/>
          <w:vertAlign w:val="baseline"/>
        </w:rPr>
        <w:t> </w:t>
      </w:r>
      <w:r>
        <w:rPr>
          <w:sz w:val="16"/>
          <w:vertAlign w:val="baseline"/>
        </w:rPr>
        <w:t>on AFS</w:t>
      </w:r>
      <w:r>
        <w:rPr>
          <w:spacing w:val="-2"/>
          <w:sz w:val="16"/>
          <w:vertAlign w:val="baseline"/>
        </w:rPr>
        <w:t> </w:t>
      </w:r>
      <w:r>
        <w:rPr>
          <w:sz w:val="16"/>
          <w:vertAlign w:val="baseline"/>
        </w:rPr>
        <w:t>securities</w:t>
      </w:r>
      <w:r>
        <w:rPr>
          <w:spacing w:val="-1"/>
          <w:sz w:val="16"/>
          <w:vertAlign w:val="baseline"/>
        </w:rPr>
        <w:t> </w:t>
      </w:r>
      <w:r>
        <w:rPr>
          <w:sz w:val="16"/>
          <w:vertAlign w:val="baseline"/>
        </w:rPr>
        <w:t>excludes</w:t>
      </w:r>
      <w:r>
        <w:rPr>
          <w:spacing w:val="-1"/>
          <w:sz w:val="16"/>
          <w:vertAlign w:val="baseline"/>
        </w:rPr>
        <w:t> </w:t>
      </w:r>
      <w:r>
        <w:rPr>
          <w:sz w:val="16"/>
          <w:vertAlign w:val="baseline"/>
        </w:rPr>
        <w:t>the PLM</w:t>
      </w:r>
      <w:r>
        <w:rPr>
          <w:spacing w:val="-1"/>
          <w:sz w:val="16"/>
          <w:vertAlign w:val="baseline"/>
        </w:rPr>
        <w:t> </w:t>
      </w:r>
      <w:r>
        <w:rPr>
          <w:sz w:val="16"/>
          <w:vertAlign w:val="baseline"/>
        </w:rPr>
        <w:t>fair value hedge basis</w:t>
      </w:r>
      <w:r>
        <w:rPr>
          <w:spacing w:val="-1"/>
          <w:sz w:val="16"/>
          <w:vertAlign w:val="baseline"/>
        </w:rPr>
        <w:t> </w:t>
      </w:r>
      <w:r>
        <w:rPr>
          <w:sz w:val="16"/>
          <w:vertAlign w:val="baseline"/>
        </w:rPr>
        <w:t>adjustments</w:t>
      </w:r>
      <w:r>
        <w:rPr>
          <w:spacing w:val="-2"/>
          <w:sz w:val="16"/>
          <w:vertAlign w:val="baseline"/>
        </w:rPr>
        <w:t> </w:t>
      </w:r>
      <w:r>
        <w:rPr>
          <w:sz w:val="16"/>
          <w:vertAlign w:val="baseline"/>
        </w:rPr>
        <w:t>of</w:t>
      </w:r>
      <w:r>
        <w:rPr>
          <w:spacing w:val="-4"/>
          <w:sz w:val="16"/>
          <w:vertAlign w:val="baseline"/>
        </w:rPr>
        <w:t> </w:t>
      </w:r>
      <w:r>
        <w:rPr>
          <w:sz w:val="16"/>
          <w:vertAlign w:val="baseline"/>
        </w:rPr>
        <w:t>$57 million</w:t>
      </w:r>
      <w:r>
        <w:rPr>
          <w:spacing w:val="-1"/>
          <w:sz w:val="16"/>
          <w:vertAlign w:val="baseline"/>
        </w:rPr>
        <w:t> </w:t>
      </w:r>
      <w:r>
        <w:rPr>
          <w:sz w:val="16"/>
          <w:vertAlign w:val="baseline"/>
        </w:rPr>
        <w:t>at</w:t>
      </w:r>
      <w:r>
        <w:rPr>
          <w:spacing w:val="-1"/>
          <w:sz w:val="16"/>
          <w:vertAlign w:val="baseline"/>
        </w:rPr>
        <w:t> </w:t>
      </w:r>
      <w:r>
        <w:rPr>
          <w:sz w:val="16"/>
          <w:vertAlign w:val="baseline"/>
        </w:rPr>
        <w:t>September 30, </w:t>
      </w:r>
      <w:r>
        <w:rPr>
          <w:spacing w:val="-2"/>
          <w:sz w:val="16"/>
          <w:vertAlign w:val="baseline"/>
        </w:rPr>
        <w:t>2023.</w:t>
      </w:r>
    </w:p>
    <w:p>
      <w:pPr>
        <w:pStyle w:val="BodyText"/>
        <w:spacing w:before="66"/>
        <w:rPr>
          <w:sz w:val="16"/>
        </w:rPr>
      </w:pPr>
    </w:p>
    <w:p>
      <w:pPr>
        <w:pStyle w:val="BodyText"/>
        <w:spacing w:line="249" w:lineRule="auto" w:before="1"/>
        <w:ind w:left="470" w:right="541"/>
      </w:pPr>
      <w:r>
        <w:rPr/>
        <w:t>At September 30, 2023, substantially all rated securities in the investment portfolios were investment grade. U.S. agency mortgage-backed</w:t>
      </w:r>
      <w:r>
        <w:rPr>
          <w:spacing w:val="-3"/>
        </w:rPr>
        <w:t> </w:t>
      </w:r>
      <w:r>
        <w:rPr/>
        <w:t>securities</w:t>
      </w:r>
      <w:r>
        <w:rPr>
          <w:spacing w:val="-4"/>
        </w:rPr>
        <w:t> </w:t>
      </w:r>
      <w:r>
        <w:rPr/>
        <w:t>do</w:t>
      </w:r>
      <w:r>
        <w:rPr>
          <w:spacing w:val="-3"/>
        </w:rPr>
        <w:t> </w:t>
      </w:r>
      <w:r>
        <w:rPr/>
        <w:t>not</w:t>
      </w:r>
      <w:r>
        <w:rPr>
          <w:spacing w:val="-4"/>
        </w:rPr>
        <w:t> </w:t>
      </w:r>
      <w:r>
        <w:rPr/>
        <w:t>have</w:t>
      </w:r>
      <w:r>
        <w:rPr>
          <w:spacing w:val="-4"/>
        </w:rPr>
        <w:t> </w:t>
      </w:r>
      <w:r>
        <w:rPr/>
        <w:t>explicit</w:t>
      </w:r>
      <w:r>
        <w:rPr>
          <w:spacing w:val="-4"/>
        </w:rPr>
        <w:t> </w:t>
      </w:r>
      <w:r>
        <w:rPr/>
        <w:t>credit</w:t>
      </w:r>
      <w:r>
        <w:rPr>
          <w:spacing w:val="-4"/>
        </w:rPr>
        <w:t> </w:t>
      </w:r>
      <w:r>
        <w:rPr/>
        <w:t>ratings;</w:t>
      </w:r>
      <w:r>
        <w:rPr>
          <w:spacing w:val="-4"/>
        </w:rPr>
        <w:t> </w:t>
      </w:r>
      <w:r>
        <w:rPr/>
        <w:t>however,</w:t>
      </w:r>
      <w:r>
        <w:rPr>
          <w:spacing w:val="-3"/>
        </w:rPr>
        <w:t> </w:t>
      </w:r>
      <w:r>
        <w:rPr/>
        <w:t>management</w:t>
      </w:r>
      <w:r>
        <w:rPr>
          <w:spacing w:val="-4"/>
        </w:rPr>
        <w:t> </w:t>
      </w:r>
      <w:r>
        <w:rPr/>
        <w:t>considers</w:t>
      </w:r>
      <w:r>
        <w:rPr>
          <w:spacing w:val="-4"/>
        </w:rPr>
        <w:t> </w:t>
      </w:r>
      <w:r>
        <w:rPr/>
        <w:t>these</w:t>
      </w:r>
      <w:r>
        <w:rPr>
          <w:spacing w:val="-4"/>
        </w:rPr>
        <w:t> </w:t>
      </w:r>
      <w:r>
        <w:rPr/>
        <w:t>to</w:t>
      </w:r>
      <w:r>
        <w:rPr>
          <w:spacing w:val="-3"/>
        </w:rPr>
        <w:t> </w:t>
      </w:r>
      <w:r>
        <w:rPr/>
        <w:t>be</w:t>
      </w:r>
      <w:r>
        <w:rPr>
          <w:spacing w:val="-4"/>
        </w:rPr>
        <w:t> </w:t>
      </w:r>
      <w:r>
        <w:rPr/>
        <w:t>of</w:t>
      </w:r>
      <w:r>
        <w:rPr>
          <w:spacing w:val="-3"/>
        </w:rPr>
        <w:t> </w:t>
      </w:r>
      <w:r>
        <w:rPr/>
        <w:t>the</w:t>
      </w:r>
      <w:r>
        <w:rPr>
          <w:spacing w:val="-4"/>
        </w:rPr>
        <w:t> </w:t>
      </w:r>
      <w:r>
        <w:rPr/>
        <w:t>highest</w:t>
      </w:r>
      <w:r>
        <w:rPr>
          <w:spacing w:val="-4"/>
        </w:rPr>
        <w:t> </w:t>
      </w:r>
      <w:r>
        <w:rPr/>
        <w:t>credit quality and rating given the guarantee of principal and interest by the U.S. government or U.S. government-sponsored </w:t>
      </w:r>
      <w:r>
        <w:rPr>
          <w:spacing w:val="-2"/>
        </w:rPr>
        <w:t>enterprises.</w:t>
      </w:r>
    </w:p>
    <w:p>
      <w:pPr>
        <w:spacing w:after="0" w:line="249" w:lineRule="auto"/>
        <w:sectPr>
          <w:pgSz w:w="12240" w:h="15840"/>
          <w:pgMar w:header="227" w:footer="201" w:top="1080" w:bottom="400" w:left="520" w:right="520"/>
        </w:sectPr>
      </w:pPr>
    </w:p>
    <w:p>
      <w:pPr>
        <w:pStyle w:val="BodyText"/>
        <w:spacing w:line="249" w:lineRule="auto" w:before="214"/>
        <w:ind w:left="470" w:right="470"/>
      </w:pPr>
      <w:r>
        <w:rPr/>
        <w:t>For</w:t>
      </w:r>
      <w:r>
        <w:rPr>
          <w:spacing w:val="-2"/>
        </w:rPr>
        <w:t> </w:t>
      </w:r>
      <w:r>
        <w:rPr/>
        <w:t>a</w:t>
      </w:r>
      <w:r>
        <w:rPr>
          <w:spacing w:val="-3"/>
        </w:rPr>
        <w:t> </w:t>
      </w:r>
      <w:r>
        <w:rPr/>
        <w:t>description</w:t>
      </w:r>
      <w:r>
        <w:rPr>
          <w:spacing w:val="-2"/>
        </w:rPr>
        <w:t> </w:t>
      </w:r>
      <w:r>
        <w:rPr/>
        <w:t>of</w:t>
      </w:r>
      <w:r>
        <w:rPr>
          <w:spacing w:val="-2"/>
        </w:rPr>
        <w:t> </w:t>
      </w:r>
      <w:r>
        <w:rPr/>
        <w:t>management’s</w:t>
      </w:r>
      <w:r>
        <w:rPr>
          <w:spacing w:val="-3"/>
        </w:rPr>
        <w:t> </w:t>
      </w:r>
      <w:r>
        <w:rPr/>
        <w:t>quarterly</w:t>
      </w:r>
      <w:r>
        <w:rPr>
          <w:spacing w:val="-2"/>
        </w:rPr>
        <w:t> </w:t>
      </w:r>
      <w:r>
        <w:rPr/>
        <w:t>evaluation</w:t>
      </w:r>
      <w:r>
        <w:rPr>
          <w:spacing w:val="-2"/>
        </w:rPr>
        <w:t> </w:t>
      </w:r>
      <w:r>
        <w:rPr/>
        <w:t>of</w:t>
      </w:r>
      <w:r>
        <w:rPr>
          <w:spacing w:val="-2"/>
        </w:rPr>
        <w:t> </w:t>
      </w:r>
      <w:r>
        <w:rPr/>
        <w:t>AFS</w:t>
      </w:r>
      <w:r>
        <w:rPr>
          <w:spacing w:val="-3"/>
        </w:rPr>
        <w:t> </w:t>
      </w:r>
      <w:r>
        <w:rPr/>
        <w:t>securities</w:t>
      </w:r>
      <w:r>
        <w:rPr>
          <w:spacing w:val="-3"/>
        </w:rPr>
        <w:t> </w:t>
      </w:r>
      <w:r>
        <w:rPr/>
        <w:t>in</w:t>
      </w:r>
      <w:r>
        <w:rPr>
          <w:spacing w:val="-2"/>
        </w:rPr>
        <w:t> </w:t>
      </w:r>
      <w:r>
        <w:rPr/>
        <w:t>unrealized</w:t>
      </w:r>
      <w:r>
        <w:rPr>
          <w:spacing w:val="-2"/>
        </w:rPr>
        <w:t> </w:t>
      </w:r>
      <w:r>
        <w:rPr/>
        <w:t>loss</w:t>
      </w:r>
      <w:r>
        <w:rPr>
          <w:spacing w:val="-3"/>
        </w:rPr>
        <w:t> </w:t>
      </w:r>
      <w:r>
        <w:rPr/>
        <w:t>positions,</w:t>
      </w:r>
      <w:r>
        <w:rPr>
          <w:spacing w:val="-2"/>
        </w:rPr>
        <w:t> </w:t>
      </w:r>
      <w:r>
        <w:rPr/>
        <w:t>see</w:t>
      </w:r>
      <w:r>
        <w:rPr>
          <w:spacing w:val="-3"/>
        </w:rPr>
        <w:t> </w:t>
      </w:r>
      <w:r>
        <w:rPr/>
        <w:t>Item</w:t>
      </w:r>
      <w:r>
        <w:rPr>
          <w:spacing w:val="-3"/>
        </w:rPr>
        <w:t> </w:t>
      </w:r>
      <w:r>
        <w:rPr/>
        <w:t>8</w:t>
      </w:r>
      <w:r>
        <w:rPr>
          <w:spacing w:val="-2"/>
        </w:rPr>
        <w:t> </w:t>
      </w:r>
      <w:r>
        <w:rPr/>
        <w:t>–</w:t>
      </w:r>
      <w:r>
        <w:rPr>
          <w:spacing w:val="-2"/>
        </w:rPr>
        <w:t> </w:t>
      </w:r>
      <w:r>
        <w:rPr/>
        <w:t>Note</w:t>
      </w:r>
      <w:r>
        <w:rPr>
          <w:spacing w:val="-3"/>
        </w:rPr>
        <w:t> </w:t>
      </w:r>
      <w:r>
        <w:rPr/>
        <w:t>2</w:t>
      </w:r>
      <w:r>
        <w:rPr>
          <w:spacing w:val="-2"/>
        </w:rPr>
        <w:t> </w:t>
      </w:r>
      <w:r>
        <w:rPr/>
        <w:t>in</w:t>
      </w:r>
      <w:r>
        <w:rPr>
          <w:spacing w:val="-2"/>
        </w:rPr>
        <w:t> </w:t>
      </w:r>
      <w:r>
        <w:rPr/>
        <w:t>the 2022 Form 10-K. No amounts were recognized as credit loss expense and no securities were written down to fair value through earnings for the nine months ended September 30, 2023 and the year ended December 31, 2022. None of the Company’s AFS securities held as of September 30, 2023 and December 31, 2022 had an allowance for credit losses. All HTM securities as of September 30, 2023 and December 31, 2022 were U.S. agency mortgage-backed securities and therefore had no allowance for credit losses because expected nonpayment of the amortized cost basis is zero.</w:t>
      </w:r>
    </w:p>
    <w:p>
      <w:pPr>
        <w:pStyle w:val="BodyText"/>
        <w:spacing w:before="15"/>
      </w:pPr>
    </w:p>
    <w:p>
      <w:pPr>
        <w:pStyle w:val="BodyText"/>
        <w:spacing w:line="249" w:lineRule="auto"/>
        <w:ind w:left="470" w:right="470"/>
      </w:pPr>
      <w:r>
        <w:rPr/>
        <w:t>The</w:t>
      </w:r>
      <w:r>
        <w:rPr>
          <w:spacing w:val="-3"/>
        </w:rPr>
        <w:t> </w:t>
      </w:r>
      <w:r>
        <w:rPr/>
        <w:t>Company</w:t>
      </w:r>
      <w:r>
        <w:rPr>
          <w:spacing w:val="-2"/>
        </w:rPr>
        <w:t> </w:t>
      </w:r>
      <w:r>
        <w:rPr/>
        <w:t>had</w:t>
      </w:r>
      <w:r>
        <w:rPr>
          <w:spacing w:val="-2"/>
        </w:rPr>
        <w:t> </w:t>
      </w:r>
      <w:r>
        <w:rPr/>
        <w:t>$566</w:t>
      </w:r>
      <w:r>
        <w:rPr>
          <w:spacing w:val="-2"/>
        </w:rPr>
        <w:t> </w:t>
      </w:r>
      <w:r>
        <w:rPr/>
        <w:t>million</w:t>
      </w:r>
      <w:r>
        <w:rPr>
          <w:spacing w:val="-2"/>
        </w:rPr>
        <w:t> </w:t>
      </w:r>
      <w:r>
        <w:rPr/>
        <w:t>and</w:t>
      </w:r>
      <w:r>
        <w:rPr>
          <w:spacing w:val="-2"/>
        </w:rPr>
        <w:t> </w:t>
      </w:r>
      <w:r>
        <w:rPr/>
        <w:t>$685</w:t>
      </w:r>
      <w:r>
        <w:rPr>
          <w:spacing w:val="-2"/>
        </w:rPr>
        <w:t> </w:t>
      </w:r>
      <w:r>
        <w:rPr/>
        <w:t>million</w:t>
      </w:r>
      <w:r>
        <w:rPr>
          <w:spacing w:val="-2"/>
        </w:rPr>
        <w:t> </w:t>
      </w:r>
      <w:r>
        <w:rPr/>
        <w:t>of</w:t>
      </w:r>
      <w:r>
        <w:rPr>
          <w:spacing w:val="-2"/>
        </w:rPr>
        <w:t> </w:t>
      </w:r>
      <w:r>
        <w:rPr/>
        <w:t>accrued</w:t>
      </w:r>
      <w:r>
        <w:rPr>
          <w:spacing w:val="-2"/>
        </w:rPr>
        <w:t> </w:t>
      </w:r>
      <w:r>
        <w:rPr/>
        <w:t>interest</w:t>
      </w:r>
      <w:r>
        <w:rPr>
          <w:spacing w:val="-3"/>
        </w:rPr>
        <w:t> </w:t>
      </w:r>
      <w:r>
        <w:rPr/>
        <w:t>for</w:t>
      </w:r>
      <w:r>
        <w:rPr>
          <w:spacing w:val="-2"/>
        </w:rPr>
        <w:t> </w:t>
      </w:r>
      <w:r>
        <w:rPr/>
        <w:t>AFS</w:t>
      </w:r>
      <w:r>
        <w:rPr>
          <w:spacing w:val="-3"/>
        </w:rPr>
        <w:t> </w:t>
      </w:r>
      <w:r>
        <w:rPr/>
        <w:t>and</w:t>
      </w:r>
      <w:r>
        <w:rPr>
          <w:spacing w:val="-2"/>
        </w:rPr>
        <w:t> </w:t>
      </w:r>
      <w:r>
        <w:rPr/>
        <w:t>HTM</w:t>
      </w:r>
      <w:r>
        <w:rPr>
          <w:spacing w:val="-3"/>
        </w:rPr>
        <w:t> </w:t>
      </w:r>
      <w:r>
        <w:rPr/>
        <w:t>securities</w:t>
      </w:r>
      <w:r>
        <w:rPr>
          <w:spacing w:val="-3"/>
        </w:rPr>
        <w:t> </w:t>
      </w:r>
      <w:r>
        <w:rPr/>
        <w:t>as</w:t>
      </w:r>
      <w:r>
        <w:rPr>
          <w:spacing w:val="-3"/>
        </w:rPr>
        <w:t> </w:t>
      </w:r>
      <w:r>
        <w:rPr/>
        <w:t>of</w:t>
      </w:r>
      <w:r>
        <w:rPr>
          <w:spacing w:val="-2"/>
        </w:rPr>
        <w:t> </w:t>
      </w:r>
      <w:r>
        <w:rPr/>
        <w:t>September</w:t>
      </w:r>
      <w:r>
        <w:rPr>
          <w:spacing w:val="-2"/>
        </w:rPr>
        <w:t> </w:t>
      </w:r>
      <w:r>
        <w:rPr/>
        <w:t>30,</w:t>
      </w:r>
      <w:r>
        <w:rPr>
          <w:spacing w:val="-2"/>
        </w:rPr>
        <w:t> </w:t>
      </w:r>
      <w:r>
        <w:rPr/>
        <w:t>2023</w:t>
      </w:r>
      <w:r>
        <w:rPr>
          <w:spacing w:val="-2"/>
        </w:rPr>
        <w:t> </w:t>
      </w:r>
      <w:r>
        <w:rPr/>
        <w:t>and December 31, 2022, respectively. These amounts are excluded from the amortized cost basis and fair market value of AFS and HTM securities and included in other assets on the condensed consolidated balance sheets. There were no writeoffs of accrued interest receivable on AFS and HTM securities during the nine months ended September 30, 2023, or for the year ended December 31, 2022.</w:t>
      </w:r>
    </w:p>
    <w:p>
      <w:pPr>
        <w:pStyle w:val="BodyText"/>
        <w:spacing w:before="14"/>
      </w:pPr>
    </w:p>
    <w:p>
      <w:pPr>
        <w:pStyle w:val="BodyText"/>
        <w:spacing w:line="249" w:lineRule="auto"/>
        <w:ind w:left="470" w:right="631"/>
      </w:pPr>
      <w:r>
        <w:rPr/>
        <w:t>In the table below, mortgage-backed securities and other asset-backed securities have been allocated to maturity groupings based on final contractual maturities. As borrowers may have the right to call or prepay certain obligations underlying our investment securities, actual maturities may differ from the scheduled contractual maturities presented below. As of September 30, 2023, the</w:t>
      </w:r>
      <w:r>
        <w:rPr>
          <w:spacing w:val="-1"/>
        </w:rPr>
        <w:t> </w:t>
      </w:r>
      <w:r>
        <w:rPr/>
        <w:t>estimated effective</w:t>
      </w:r>
      <w:r>
        <w:rPr>
          <w:spacing w:val="-1"/>
        </w:rPr>
        <w:t> </w:t>
      </w:r>
      <w:r>
        <w:rPr/>
        <w:t>duration, which reflects</w:t>
      </w:r>
      <w:r>
        <w:rPr>
          <w:spacing w:val="-1"/>
        </w:rPr>
        <w:t> </w:t>
      </w:r>
      <w:r>
        <w:rPr/>
        <w:t>anticipated future</w:t>
      </w:r>
      <w:r>
        <w:rPr>
          <w:spacing w:val="-1"/>
        </w:rPr>
        <w:t> </w:t>
      </w:r>
      <w:r>
        <w:rPr/>
        <w:t>payments, of our total</w:t>
      </w:r>
      <w:r>
        <w:rPr>
          <w:spacing w:val="-1"/>
        </w:rPr>
        <w:t> </w:t>
      </w:r>
      <w:r>
        <w:rPr/>
        <w:t>AFS</w:t>
      </w:r>
      <w:r>
        <w:rPr>
          <w:spacing w:val="-1"/>
        </w:rPr>
        <w:t> </w:t>
      </w:r>
      <w:r>
        <w:rPr/>
        <w:t>and HTM investment securities portfolio is approximately 4.0 years. The estimated effective duration of our AFS investment securities portfolio is approximately 2.5 years as of September 30, 2023. Including the impact of the Company’s use of derivative instruments</w:t>
      </w:r>
      <w:r>
        <w:rPr>
          <w:spacing w:val="-3"/>
        </w:rPr>
        <w:t> </w:t>
      </w:r>
      <w:r>
        <w:rPr/>
        <w:t>to</w:t>
      </w:r>
      <w:r>
        <w:rPr>
          <w:spacing w:val="-2"/>
        </w:rPr>
        <w:t> </w:t>
      </w:r>
      <w:r>
        <w:rPr/>
        <w:t>manage</w:t>
      </w:r>
      <w:r>
        <w:rPr>
          <w:spacing w:val="-3"/>
        </w:rPr>
        <w:t> </w:t>
      </w:r>
      <w:r>
        <w:rPr/>
        <w:t>changes</w:t>
      </w:r>
      <w:r>
        <w:rPr>
          <w:spacing w:val="-3"/>
        </w:rPr>
        <w:t> </w:t>
      </w:r>
      <w:r>
        <w:rPr/>
        <w:t>in</w:t>
      </w:r>
      <w:r>
        <w:rPr>
          <w:spacing w:val="-2"/>
        </w:rPr>
        <w:t> </w:t>
      </w:r>
      <w:r>
        <w:rPr/>
        <w:t>the</w:t>
      </w:r>
      <w:r>
        <w:rPr>
          <w:spacing w:val="-3"/>
        </w:rPr>
        <w:t> </w:t>
      </w:r>
      <w:r>
        <w:rPr/>
        <w:t>fair</w:t>
      </w:r>
      <w:r>
        <w:rPr>
          <w:spacing w:val="-2"/>
        </w:rPr>
        <w:t> </w:t>
      </w:r>
      <w:r>
        <w:rPr/>
        <w:t>values</w:t>
      </w:r>
      <w:r>
        <w:rPr>
          <w:spacing w:val="-3"/>
        </w:rPr>
        <w:t> </w:t>
      </w:r>
      <w:r>
        <w:rPr/>
        <w:t>of</w:t>
      </w:r>
      <w:r>
        <w:rPr>
          <w:spacing w:val="-2"/>
        </w:rPr>
        <w:t> </w:t>
      </w:r>
      <w:r>
        <w:rPr/>
        <w:t>our</w:t>
      </w:r>
      <w:r>
        <w:rPr>
          <w:spacing w:val="-2"/>
        </w:rPr>
        <w:t> </w:t>
      </w:r>
      <w:r>
        <w:rPr/>
        <w:t>AFS</w:t>
      </w:r>
      <w:r>
        <w:rPr>
          <w:spacing w:val="-3"/>
        </w:rPr>
        <w:t> </w:t>
      </w:r>
      <w:r>
        <w:rPr/>
        <w:t>investment</w:t>
      </w:r>
      <w:r>
        <w:rPr>
          <w:spacing w:val="-3"/>
        </w:rPr>
        <w:t> </w:t>
      </w:r>
      <w:r>
        <w:rPr/>
        <w:t>portfolio,</w:t>
      </w:r>
      <w:r>
        <w:rPr>
          <w:spacing w:val="-2"/>
        </w:rPr>
        <w:t> </w:t>
      </w:r>
      <w:r>
        <w:rPr/>
        <w:t>the</w:t>
      </w:r>
      <w:r>
        <w:rPr>
          <w:spacing w:val="-3"/>
        </w:rPr>
        <w:t> </w:t>
      </w:r>
      <w:r>
        <w:rPr/>
        <w:t>effective</w:t>
      </w:r>
      <w:r>
        <w:rPr>
          <w:spacing w:val="-3"/>
        </w:rPr>
        <w:t> </w:t>
      </w:r>
      <w:r>
        <w:rPr/>
        <w:t>duration</w:t>
      </w:r>
      <w:r>
        <w:rPr>
          <w:spacing w:val="-2"/>
        </w:rPr>
        <w:t> </w:t>
      </w:r>
      <w:r>
        <w:rPr/>
        <w:t>of</w:t>
      </w:r>
      <w:r>
        <w:rPr>
          <w:spacing w:val="-2"/>
        </w:rPr>
        <w:t> </w:t>
      </w:r>
      <w:r>
        <w:rPr/>
        <w:t>our</w:t>
      </w:r>
      <w:r>
        <w:rPr>
          <w:spacing w:val="-2"/>
        </w:rPr>
        <w:t> </w:t>
      </w:r>
      <w:r>
        <w:rPr/>
        <w:t>total</w:t>
      </w:r>
      <w:r>
        <w:rPr>
          <w:spacing w:val="-3"/>
        </w:rPr>
        <w:t> </w:t>
      </w:r>
      <w:r>
        <w:rPr/>
        <w:t>AFS</w:t>
      </w:r>
      <w:r>
        <w:rPr>
          <w:spacing w:val="-3"/>
        </w:rPr>
        <w:t> </w:t>
      </w:r>
      <w:r>
        <w:rPr/>
        <w:t>and HTM investments securities as of September 30, 2023 is approximately 3.9 years and for our AFS investment securities is approximately 2.2 years (see Note 11).</w:t>
      </w:r>
    </w:p>
    <w:p>
      <w:pPr>
        <w:pStyle w:val="BodyText"/>
        <w:spacing w:before="17"/>
      </w:pPr>
    </w:p>
    <w:p>
      <w:pPr>
        <w:pStyle w:val="BodyText"/>
        <w:spacing w:before="1" w:after="58"/>
        <w:ind w:left="470"/>
      </w:pPr>
      <w:r>
        <w:rPr/>
        <w:t>The</w:t>
      </w:r>
      <w:r>
        <w:rPr>
          <w:spacing w:val="-6"/>
        </w:rPr>
        <w:t> </w:t>
      </w:r>
      <w:r>
        <w:rPr/>
        <w:t>maturities</w:t>
      </w:r>
      <w:r>
        <w:rPr>
          <w:spacing w:val="-4"/>
        </w:rPr>
        <w:t> </w:t>
      </w:r>
      <w:r>
        <w:rPr/>
        <w:t>of</w:t>
      </w:r>
      <w:r>
        <w:rPr>
          <w:spacing w:val="-3"/>
        </w:rPr>
        <w:t> </w:t>
      </w:r>
      <w:r>
        <w:rPr/>
        <w:t>AFS</w:t>
      </w:r>
      <w:r>
        <w:rPr>
          <w:spacing w:val="-4"/>
        </w:rPr>
        <w:t> </w:t>
      </w:r>
      <w:r>
        <w:rPr/>
        <w:t>and</w:t>
      </w:r>
      <w:r>
        <w:rPr>
          <w:spacing w:val="-3"/>
        </w:rPr>
        <w:t> </w:t>
      </w:r>
      <w:r>
        <w:rPr/>
        <w:t>HTM</w:t>
      </w:r>
      <w:r>
        <w:rPr>
          <w:spacing w:val="-3"/>
        </w:rPr>
        <w:t> </w:t>
      </w:r>
      <w:r>
        <w:rPr/>
        <w:t>investment</w:t>
      </w:r>
      <w:r>
        <w:rPr>
          <w:spacing w:val="-4"/>
        </w:rPr>
        <w:t> </w:t>
      </w:r>
      <w:r>
        <w:rPr/>
        <w:t>securities</w:t>
      </w:r>
      <w:r>
        <w:rPr>
          <w:spacing w:val="-4"/>
        </w:rPr>
        <w:t> </w:t>
      </w:r>
      <w:r>
        <w:rPr/>
        <w:t>are</w:t>
      </w:r>
      <w:r>
        <w:rPr>
          <w:spacing w:val="-4"/>
        </w:rPr>
        <w:t> </w:t>
      </w:r>
      <w:r>
        <w:rPr/>
        <w:t>as</w:t>
      </w:r>
      <w:r>
        <w:rPr>
          <w:spacing w:val="-3"/>
        </w:rPr>
        <w:t> </w:t>
      </w:r>
      <w:r>
        <w:rPr>
          <w:spacing w:val="-2"/>
        </w:rPr>
        <w:t>follows:</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0"/>
        <w:gridCol w:w="1467"/>
        <w:gridCol w:w="1159"/>
        <w:gridCol w:w="1165"/>
        <w:gridCol w:w="985"/>
        <w:gridCol w:w="1075"/>
      </w:tblGrid>
      <w:tr>
        <w:trPr>
          <w:trHeight w:val="605" w:hRule="atLeast"/>
        </w:trPr>
        <w:tc>
          <w:tcPr>
            <w:tcW w:w="4410" w:type="dxa"/>
            <w:tcBorders>
              <w:top w:val="single" w:sz="4" w:space="0" w:color="000000"/>
              <w:bottom w:val="single" w:sz="4" w:space="0" w:color="000000"/>
            </w:tcBorders>
          </w:tcPr>
          <w:p>
            <w:pPr>
              <w:pStyle w:val="TableParagraph"/>
              <w:spacing w:before="166"/>
              <w:rPr>
                <w:sz w:val="18"/>
              </w:rPr>
            </w:pPr>
          </w:p>
          <w:p>
            <w:pPr>
              <w:pStyle w:val="TableParagraph"/>
              <w:ind w:left="52"/>
              <w:rPr>
                <w:sz w:val="18"/>
              </w:rPr>
            </w:pPr>
            <w:r>
              <w:rPr>
                <w:sz w:val="18"/>
              </w:rPr>
              <w:t>September</w:t>
            </w:r>
            <w:r>
              <w:rPr>
                <w:spacing w:val="-1"/>
                <w:sz w:val="18"/>
              </w:rPr>
              <w:t> </w:t>
            </w:r>
            <w:r>
              <w:rPr>
                <w:sz w:val="18"/>
              </w:rPr>
              <w:t>30, </w:t>
            </w:r>
            <w:r>
              <w:rPr>
                <w:spacing w:val="-4"/>
                <w:sz w:val="18"/>
              </w:rPr>
              <w:t>2023</w:t>
            </w:r>
          </w:p>
        </w:tc>
        <w:tc>
          <w:tcPr>
            <w:tcW w:w="1467" w:type="dxa"/>
            <w:tcBorders>
              <w:top w:val="single" w:sz="4" w:space="0" w:color="000000"/>
              <w:bottom w:val="single" w:sz="4" w:space="0" w:color="000000"/>
            </w:tcBorders>
          </w:tcPr>
          <w:p>
            <w:pPr>
              <w:pStyle w:val="TableParagraph"/>
              <w:spacing w:before="8"/>
              <w:rPr>
                <w:sz w:val="18"/>
              </w:rPr>
            </w:pPr>
          </w:p>
          <w:p>
            <w:pPr>
              <w:pStyle w:val="TableParagraph"/>
              <w:spacing w:line="208" w:lineRule="auto"/>
              <w:ind w:left="790" w:right="202" w:hanging="28"/>
              <w:rPr>
                <w:sz w:val="18"/>
              </w:rPr>
            </w:pPr>
            <w:r>
              <w:rPr>
                <w:spacing w:val="-2"/>
                <w:sz w:val="18"/>
              </w:rPr>
              <w:t>Within </w:t>
            </w:r>
            <w:r>
              <w:rPr>
                <w:sz w:val="18"/>
              </w:rPr>
              <w:t>1 </w:t>
            </w:r>
            <w:r>
              <w:rPr>
                <w:spacing w:val="-4"/>
                <w:sz w:val="18"/>
              </w:rPr>
              <w:t>year</w:t>
            </w:r>
          </w:p>
        </w:tc>
        <w:tc>
          <w:tcPr>
            <w:tcW w:w="1159" w:type="dxa"/>
            <w:tcBorders>
              <w:top w:val="single" w:sz="4" w:space="0" w:color="000000"/>
              <w:bottom w:val="single" w:sz="4" w:space="0" w:color="000000"/>
            </w:tcBorders>
          </w:tcPr>
          <w:p>
            <w:pPr>
              <w:pStyle w:val="TableParagraph"/>
              <w:spacing w:line="208" w:lineRule="auto" w:before="35"/>
              <w:ind w:left="95"/>
              <w:jc w:val="center"/>
              <w:rPr>
                <w:sz w:val="18"/>
              </w:rPr>
            </w:pPr>
            <w:r>
              <w:rPr>
                <w:sz w:val="18"/>
              </w:rPr>
              <w:t>After</w:t>
            </w:r>
            <w:r>
              <w:rPr>
                <w:spacing w:val="-12"/>
                <w:sz w:val="18"/>
              </w:rPr>
              <w:t> </w:t>
            </w:r>
            <w:r>
              <w:rPr>
                <w:sz w:val="18"/>
              </w:rPr>
              <w:t>1</w:t>
            </w:r>
            <w:r>
              <w:rPr>
                <w:spacing w:val="-11"/>
                <w:sz w:val="18"/>
              </w:rPr>
              <w:t> </w:t>
            </w:r>
            <w:r>
              <w:rPr>
                <w:sz w:val="18"/>
              </w:rPr>
              <w:t>year </w:t>
            </w:r>
            <w:r>
              <w:rPr>
                <w:spacing w:val="-2"/>
                <w:sz w:val="18"/>
              </w:rPr>
              <w:t>through</w:t>
            </w:r>
          </w:p>
          <w:p>
            <w:pPr>
              <w:pStyle w:val="TableParagraph"/>
              <w:spacing w:line="185" w:lineRule="exact"/>
              <w:ind w:left="95" w:right="3"/>
              <w:jc w:val="center"/>
              <w:rPr>
                <w:sz w:val="18"/>
              </w:rPr>
            </w:pPr>
            <w:r>
              <w:rPr>
                <w:sz w:val="18"/>
              </w:rPr>
              <w:t>5 </w:t>
            </w:r>
            <w:r>
              <w:rPr>
                <w:spacing w:val="-2"/>
                <w:sz w:val="18"/>
              </w:rPr>
              <w:t>years</w:t>
            </w:r>
          </w:p>
        </w:tc>
        <w:tc>
          <w:tcPr>
            <w:tcW w:w="1165" w:type="dxa"/>
            <w:tcBorders>
              <w:top w:val="single" w:sz="4" w:space="0" w:color="000000"/>
              <w:bottom w:val="single" w:sz="4" w:space="0" w:color="000000"/>
            </w:tcBorders>
          </w:tcPr>
          <w:p>
            <w:pPr>
              <w:pStyle w:val="TableParagraph"/>
              <w:spacing w:line="208" w:lineRule="auto" w:before="35"/>
              <w:ind w:left="289" w:right="101" w:hanging="167"/>
              <w:rPr>
                <w:sz w:val="18"/>
              </w:rPr>
            </w:pPr>
            <w:r>
              <w:rPr>
                <w:sz w:val="18"/>
              </w:rPr>
              <w:t>After</w:t>
            </w:r>
            <w:r>
              <w:rPr>
                <w:spacing w:val="-12"/>
                <w:sz w:val="18"/>
              </w:rPr>
              <w:t> </w:t>
            </w:r>
            <w:r>
              <w:rPr>
                <w:sz w:val="18"/>
              </w:rPr>
              <w:t>5</w:t>
            </w:r>
            <w:r>
              <w:rPr>
                <w:spacing w:val="-11"/>
                <w:sz w:val="18"/>
              </w:rPr>
              <w:t> </w:t>
            </w:r>
            <w:r>
              <w:rPr>
                <w:sz w:val="18"/>
              </w:rPr>
              <w:t>years </w:t>
            </w:r>
            <w:r>
              <w:rPr>
                <w:spacing w:val="-2"/>
                <w:sz w:val="18"/>
              </w:rPr>
              <w:t>through</w:t>
            </w:r>
            <w:r>
              <w:rPr>
                <w:spacing w:val="80"/>
                <w:sz w:val="18"/>
              </w:rPr>
              <w:t> </w:t>
            </w:r>
            <w:r>
              <w:rPr>
                <w:sz w:val="18"/>
              </w:rPr>
              <w:t>10 years</w:t>
            </w:r>
          </w:p>
        </w:tc>
        <w:tc>
          <w:tcPr>
            <w:tcW w:w="985" w:type="dxa"/>
            <w:tcBorders>
              <w:top w:val="single" w:sz="4" w:space="0" w:color="000000"/>
              <w:bottom w:val="single" w:sz="4" w:space="0" w:color="000000"/>
            </w:tcBorders>
          </w:tcPr>
          <w:p>
            <w:pPr>
              <w:pStyle w:val="TableParagraph"/>
              <w:spacing w:before="8"/>
              <w:rPr>
                <w:sz w:val="18"/>
              </w:rPr>
            </w:pPr>
          </w:p>
          <w:p>
            <w:pPr>
              <w:pStyle w:val="TableParagraph"/>
              <w:spacing w:line="208" w:lineRule="auto"/>
              <w:ind w:left="226" w:right="146" w:firstLine="112"/>
              <w:rPr>
                <w:sz w:val="18"/>
              </w:rPr>
            </w:pPr>
            <w:r>
              <w:rPr>
                <w:spacing w:val="-2"/>
                <w:sz w:val="18"/>
              </w:rPr>
              <w:t>After </w:t>
            </w:r>
            <w:r>
              <w:rPr>
                <w:sz w:val="18"/>
              </w:rPr>
              <w:t>10</w:t>
            </w:r>
            <w:r>
              <w:rPr>
                <w:spacing w:val="-12"/>
                <w:sz w:val="18"/>
              </w:rPr>
              <w:t> </w:t>
            </w:r>
            <w:r>
              <w:rPr>
                <w:sz w:val="18"/>
              </w:rPr>
              <w:t>years</w:t>
            </w:r>
          </w:p>
        </w:tc>
        <w:tc>
          <w:tcPr>
            <w:tcW w:w="1075" w:type="dxa"/>
            <w:tcBorders>
              <w:top w:val="single" w:sz="4" w:space="0" w:color="000000"/>
              <w:bottom w:val="single" w:sz="4" w:space="0" w:color="000000"/>
            </w:tcBorders>
          </w:tcPr>
          <w:p>
            <w:pPr>
              <w:pStyle w:val="TableParagraph"/>
              <w:spacing w:before="166"/>
              <w:rPr>
                <w:sz w:val="18"/>
              </w:rPr>
            </w:pPr>
          </w:p>
          <w:p>
            <w:pPr>
              <w:pStyle w:val="TableParagraph"/>
              <w:ind w:left="389"/>
              <w:rPr>
                <w:sz w:val="18"/>
              </w:rPr>
            </w:pPr>
            <w:r>
              <w:rPr>
                <w:spacing w:val="-2"/>
                <w:sz w:val="18"/>
              </w:rPr>
              <w:t>Total</w:t>
            </w:r>
          </w:p>
        </w:tc>
      </w:tr>
      <w:tr>
        <w:trPr>
          <w:trHeight w:val="250" w:hRule="atLeast"/>
        </w:trPr>
        <w:tc>
          <w:tcPr>
            <w:tcW w:w="4410" w:type="dxa"/>
            <w:tcBorders>
              <w:top w:val="single" w:sz="4" w:space="0" w:color="000000"/>
            </w:tcBorders>
          </w:tcPr>
          <w:p>
            <w:pPr>
              <w:pStyle w:val="TableParagraph"/>
              <w:spacing w:before="13"/>
              <w:ind w:left="52"/>
              <w:rPr>
                <w:b/>
                <w:sz w:val="18"/>
              </w:rPr>
            </w:pPr>
            <w:r>
              <w:rPr>
                <w:b/>
                <w:sz w:val="18"/>
              </w:rPr>
              <w:t>Available</w:t>
            </w:r>
            <w:r>
              <w:rPr>
                <w:b/>
                <w:spacing w:val="-3"/>
                <w:sz w:val="18"/>
              </w:rPr>
              <w:t> </w:t>
            </w:r>
            <w:r>
              <w:rPr>
                <w:b/>
                <w:sz w:val="18"/>
              </w:rPr>
              <w:t>for</w:t>
            </w:r>
            <w:r>
              <w:rPr>
                <w:b/>
                <w:spacing w:val="-1"/>
                <w:sz w:val="18"/>
              </w:rPr>
              <w:t> </w:t>
            </w:r>
            <w:r>
              <w:rPr>
                <w:b/>
                <w:sz w:val="18"/>
              </w:rPr>
              <w:t>sale</w:t>
            </w:r>
            <w:r>
              <w:rPr>
                <w:b/>
                <w:spacing w:val="-1"/>
                <w:sz w:val="18"/>
              </w:rPr>
              <w:t> </w:t>
            </w:r>
            <w:r>
              <w:rPr>
                <w:b/>
                <w:spacing w:val="-2"/>
                <w:sz w:val="18"/>
              </w:rPr>
              <w:t>securities</w:t>
            </w:r>
          </w:p>
        </w:tc>
        <w:tc>
          <w:tcPr>
            <w:tcW w:w="1467" w:type="dxa"/>
            <w:tcBorders>
              <w:top w:val="single" w:sz="4" w:space="0" w:color="000000"/>
            </w:tcBorders>
          </w:tcPr>
          <w:p>
            <w:pPr>
              <w:pStyle w:val="TableParagraph"/>
              <w:rPr>
                <w:sz w:val="18"/>
              </w:rPr>
            </w:pPr>
          </w:p>
        </w:tc>
        <w:tc>
          <w:tcPr>
            <w:tcW w:w="1159" w:type="dxa"/>
            <w:tcBorders>
              <w:top w:val="single" w:sz="4" w:space="0" w:color="000000"/>
            </w:tcBorders>
          </w:tcPr>
          <w:p>
            <w:pPr>
              <w:pStyle w:val="TableParagraph"/>
              <w:rPr>
                <w:sz w:val="18"/>
              </w:rPr>
            </w:pPr>
          </w:p>
        </w:tc>
        <w:tc>
          <w:tcPr>
            <w:tcW w:w="1165" w:type="dxa"/>
            <w:tcBorders>
              <w:top w:val="single" w:sz="4" w:space="0" w:color="000000"/>
            </w:tcBorders>
          </w:tcPr>
          <w:p>
            <w:pPr>
              <w:pStyle w:val="TableParagraph"/>
              <w:rPr>
                <w:sz w:val="18"/>
              </w:rPr>
            </w:pPr>
          </w:p>
        </w:tc>
        <w:tc>
          <w:tcPr>
            <w:tcW w:w="985" w:type="dxa"/>
            <w:tcBorders>
              <w:top w:val="single" w:sz="4" w:space="0" w:color="000000"/>
            </w:tcBorders>
          </w:tcPr>
          <w:p>
            <w:pPr>
              <w:pStyle w:val="TableParagraph"/>
              <w:rPr>
                <w:sz w:val="18"/>
              </w:rPr>
            </w:pPr>
          </w:p>
        </w:tc>
        <w:tc>
          <w:tcPr>
            <w:tcW w:w="1075" w:type="dxa"/>
            <w:tcBorders>
              <w:top w:val="single" w:sz="4" w:space="0" w:color="000000"/>
            </w:tcBorders>
          </w:tcPr>
          <w:p>
            <w:pPr>
              <w:pStyle w:val="TableParagraph"/>
              <w:rPr>
                <w:sz w:val="18"/>
              </w:rPr>
            </w:pPr>
          </w:p>
        </w:tc>
      </w:tr>
      <w:tr>
        <w:trPr>
          <w:trHeight w:val="255" w:hRule="atLeast"/>
        </w:trPr>
        <w:tc>
          <w:tcPr>
            <w:tcW w:w="4410" w:type="dxa"/>
            <w:shd w:val="clear" w:color="auto" w:fill="CCEDFF"/>
          </w:tcPr>
          <w:p>
            <w:pPr>
              <w:pStyle w:val="TableParagraph"/>
              <w:spacing w:before="18"/>
              <w:ind w:left="52"/>
              <w:rPr>
                <w:sz w:val="18"/>
              </w:rPr>
            </w:pPr>
            <w:r>
              <w:rPr>
                <w:sz w:val="18"/>
              </w:rPr>
              <w:t>U.S.</w:t>
            </w:r>
            <w:r>
              <w:rPr>
                <w:spacing w:val="-1"/>
                <w:sz w:val="18"/>
              </w:rPr>
              <w:t> </w:t>
            </w:r>
            <w:r>
              <w:rPr>
                <w:sz w:val="18"/>
              </w:rPr>
              <w:t>agency</w:t>
            </w:r>
            <w:r>
              <w:rPr>
                <w:spacing w:val="-1"/>
                <w:sz w:val="18"/>
              </w:rPr>
              <w:t> </w:t>
            </w:r>
            <w:r>
              <w:rPr>
                <w:sz w:val="18"/>
              </w:rPr>
              <w:t>mortgage-backed </w:t>
            </w:r>
            <w:r>
              <w:rPr>
                <w:spacing w:val="-2"/>
                <w:sz w:val="18"/>
              </w:rPr>
              <w:t>securities</w:t>
            </w:r>
          </w:p>
        </w:tc>
        <w:tc>
          <w:tcPr>
            <w:tcW w:w="1467" w:type="dxa"/>
            <w:shd w:val="clear" w:color="auto" w:fill="CCEDFF"/>
          </w:tcPr>
          <w:p>
            <w:pPr>
              <w:pStyle w:val="TableParagraph"/>
              <w:tabs>
                <w:tab w:pos="457" w:val="left" w:leader="none"/>
              </w:tabs>
              <w:spacing w:before="18"/>
              <w:ind w:right="174"/>
              <w:jc w:val="right"/>
              <w:rPr>
                <w:sz w:val="18"/>
              </w:rPr>
            </w:pPr>
            <w:r>
              <w:rPr>
                <w:spacing w:val="-10"/>
                <w:sz w:val="18"/>
              </w:rPr>
              <w:t>$</w:t>
            </w:r>
            <w:r>
              <w:rPr>
                <w:sz w:val="18"/>
              </w:rPr>
              <w:tab/>
            </w:r>
            <w:r>
              <w:rPr>
                <w:spacing w:val="-5"/>
                <w:sz w:val="18"/>
              </w:rPr>
              <w:t>494</w:t>
            </w:r>
          </w:p>
        </w:tc>
        <w:tc>
          <w:tcPr>
            <w:tcW w:w="1159" w:type="dxa"/>
            <w:shd w:val="clear" w:color="auto" w:fill="CCEDFF"/>
          </w:tcPr>
          <w:p>
            <w:pPr>
              <w:pStyle w:val="TableParagraph"/>
              <w:spacing w:before="18"/>
              <w:ind w:right="253"/>
              <w:jc w:val="right"/>
              <w:rPr>
                <w:sz w:val="18"/>
              </w:rPr>
            </w:pPr>
            <w:r>
              <w:rPr>
                <w:sz w:val="18"/>
              </w:rPr>
              <w:t>$</w:t>
            </w:r>
            <w:r>
              <w:rPr>
                <w:spacing w:val="74"/>
                <w:w w:val="150"/>
                <w:sz w:val="18"/>
              </w:rPr>
              <w:t> </w:t>
            </w:r>
            <w:r>
              <w:rPr>
                <w:spacing w:val="-2"/>
                <w:sz w:val="18"/>
              </w:rPr>
              <w:t>12,620</w:t>
            </w:r>
          </w:p>
        </w:tc>
        <w:tc>
          <w:tcPr>
            <w:tcW w:w="1165" w:type="dxa"/>
            <w:shd w:val="clear" w:color="auto" w:fill="CCEDFF"/>
          </w:tcPr>
          <w:p>
            <w:pPr>
              <w:pStyle w:val="TableParagraph"/>
              <w:tabs>
                <w:tab w:pos="322" w:val="left" w:leader="none"/>
              </w:tabs>
              <w:spacing w:before="18"/>
              <w:ind w:right="248"/>
              <w:jc w:val="right"/>
              <w:rPr>
                <w:sz w:val="18"/>
              </w:rPr>
            </w:pPr>
            <w:r>
              <w:rPr>
                <w:spacing w:val="-10"/>
                <w:sz w:val="18"/>
              </w:rPr>
              <w:t>$</w:t>
            </w:r>
            <w:r>
              <w:rPr>
                <w:sz w:val="18"/>
              </w:rPr>
              <w:tab/>
            </w:r>
            <w:r>
              <w:rPr>
                <w:spacing w:val="-2"/>
                <w:sz w:val="18"/>
              </w:rPr>
              <w:t>11,503</w:t>
            </w:r>
          </w:p>
        </w:tc>
        <w:tc>
          <w:tcPr>
            <w:tcW w:w="985" w:type="dxa"/>
            <w:shd w:val="clear" w:color="auto" w:fill="CCEDFF"/>
          </w:tcPr>
          <w:p>
            <w:pPr>
              <w:pStyle w:val="TableParagraph"/>
              <w:spacing w:before="18"/>
              <w:ind w:right="198"/>
              <w:jc w:val="right"/>
              <w:rPr>
                <w:sz w:val="18"/>
              </w:rPr>
            </w:pPr>
            <w:r>
              <w:rPr>
                <w:sz w:val="18"/>
              </w:rPr>
              <w:t>$</w:t>
            </w:r>
            <w:r>
              <w:rPr>
                <w:spacing w:val="52"/>
                <w:sz w:val="18"/>
              </w:rPr>
              <w:t> </w:t>
            </w:r>
            <w:r>
              <w:rPr>
                <w:spacing w:val="-2"/>
                <w:sz w:val="18"/>
              </w:rPr>
              <w:t>40,244</w:t>
            </w:r>
          </w:p>
        </w:tc>
        <w:tc>
          <w:tcPr>
            <w:tcW w:w="1075" w:type="dxa"/>
            <w:shd w:val="clear" w:color="auto" w:fill="CCEDFF"/>
          </w:tcPr>
          <w:p>
            <w:pPr>
              <w:pStyle w:val="TableParagraph"/>
              <w:spacing w:before="18"/>
              <w:ind w:right="238"/>
              <w:jc w:val="right"/>
              <w:rPr>
                <w:sz w:val="18"/>
              </w:rPr>
            </w:pPr>
            <w:r>
              <w:rPr>
                <w:sz w:val="18"/>
              </w:rPr>
              <w:t>$</w:t>
            </w:r>
            <w:r>
              <w:rPr>
                <w:spacing w:val="52"/>
                <w:sz w:val="18"/>
              </w:rPr>
              <w:t> </w:t>
            </w:r>
            <w:r>
              <w:rPr>
                <w:spacing w:val="-2"/>
                <w:sz w:val="18"/>
              </w:rPr>
              <w:t>64,861</w:t>
            </w:r>
          </w:p>
        </w:tc>
      </w:tr>
      <w:tr>
        <w:trPr>
          <w:trHeight w:val="255" w:hRule="atLeast"/>
        </w:trPr>
        <w:tc>
          <w:tcPr>
            <w:tcW w:w="4410" w:type="dxa"/>
          </w:tcPr>
          <w:p>
            <w:pPr>
              <w:pStyle w:val="TableParagraph"/>
              <w:spacing w:before="18"/>
              <w:ind w:left="52"/>
              <w:rPr>
                <w:sz w:val="18"/>
              </w:rPr>
            </w:pPr>
            <w:r>
              <w:rPr>
                <w:sz w:val="18"/>
              </w:rPr>
              <w:t>U.S.</w:t>
            </w:r>
            <w:r>
              <w:rPr>
                <w:spacing w:val="-2"/>
                <w:sz w:val="18"/>
              </w:rPr>
              <w:t> </w:t>
            </w:r>
            <w:r>
              <w:rPr>
                <w:sz w:val="18"/>
              </w:rPr>
              <w:t>Treasury</w:t>
            </w:r>
            <w:r>
              <w:rPr>
                <w:spacing w:val="-1"/>
                <w:sz w:val="18"/>
              </w:rPr>
              <w:t> </w:t>
            </w:r>
            <w:r>
              <w:rPr>
                <w:spacing w:val="-2"/>
                <w:sz w:val="18"/>
              </w:rPr>
              <w:t>securities</w:t>
            </w:r>
          </w:p>
        </w:tc>
        <w:tc>
          <w:tcPr>
            <w:tcW w:w="1467" w:type="dxa"/>
          </w:tcPr>
          <w:p>
            <w:pPr>
              <w:pStyle w:val="TableParagraph"/>
              <w:spacing w:before="18"/>
              <w:ind w:right="174"/>
              <w:jc w:val="right"/>
              <w:rPr>
                <w:sz w:val="18"/>
              </w:rPr>
            </w:pPr>
            <w:r>
              <w:rPr>
                <w:spacing w:val="-2"/>
                <w:sz w:val="18"/>
              </w:rPr>
              <w:t>8,649</w:t>
            </w:r>
          </w:p>
        </w:tc>
        <w:tc>
          <w:tcPr>
            <w:tcW w:w="1159" w:type="dxa"/>
          </w:tcPr>
          <w:p>
            <w:pPr>
              <w:pStyle w:val="TableParagraph"/>
              <w:spacing w:before="18"/>
              <w:ind w:right="253"/>
              <w:jc w:val="right"/>
              <w:rPr>
                <w:sz w:val="18"/>
              </w:rPr>
            </w:pPr>
            <w:r>
              <w:rPr>
                <w:spacing w:val="-2"/>
                <w:sz w:val="18"/>
              </w:rPr>
              <w:t>13,139</w:t>
            </w:r>
          </w:p>
        </w:tc>
        <w:tc>
          <w:tcPr>
            <w:tcW w:w="1165" w:type="dxa"/>
          </w:tcPr>
          <w:p>
            <w:pPr>
              <w:pStyle w:val="TableParagraph"/>
              <w:spacing w:before="18"/>
              <w:ind w:right="248"/>
              <w:jc w:val="right"/>
              <w:rPr>
                <w:sz w:val="18"/>
              </w:rPr>
            </w:pPr>
            <w:r>
              <w:rPr>
                <w:spacing w:val="-10"/>
                <w:sz w:val="18"/>
              </w:rPr>
              <w:t>—</w:t>
            </w:r>
          </w:p>
        </w:tc>
        <w:tc>
          <w:tcPr>
            <w:tcW w:w="985" w:type="dxa"/>
          </w:tcPr>
          <w:p>
            <w:pPr>
              <w:pStyle w:val="TableParagraph"/>
              <w:spacing w:before="18"/>
              <w:ind w:right="198"/>
              <w:jc w:val="right"/>
              <w:rPr>
                <w:sz w:val="18"/>
              </w:rPr>
            </w:pPr>
            <w:r>
              <w:rPr>
                <w:spacing w:val="-10"/>
                <w:sz w:val="18"/>
              </w:rPr>
              <w:t>—</w:t>
            </w:r>
          </w:p>
        </w:tc>
        <w:tc>
          <w:tcPr>
            <w:tcW w:w="1075" w:type="dxa"/>
          </w:tcPr>
          <w:p>
            <w:pPr>
              <w:pStyle w:val="TableParagraph"/>
              <w:spacing w:before="18"/>
              <w:ind w:right="238"/>
              <w:jc w:val="right"/>
              <w:rPr>
                <w:sz w:val="18"/>
              </w:rPr>
            </w:pPr>
            <w:r>
              <w:rPr>
                <w:spacing w:val="-2"/>
                <w:sz w:val="18"/>
              </w:rPr>
              <w:t>21,788</w:t>
            </w:r>
          </w:p>
        </w:tc>
      </w:tr>
      <w:tr>
        <w:trPr>
          <w:trHeight w:val="255" w:hRule="atLeast"/>
        </w:trPr>
        <w:tc>
          <w:tcPr>
            <w:tcW w:w="4410" w:type="dxa"/>
            <w:shd w:val="clear" w:color="auto" w:fill="CCEDFF"/>
          </w:tcPr>
          <w:p>
            <w:pPr>
              <w:pStyle w:val="TableParagraph"/>
              <w:spacing w:before="18"/>
              <w:ind w:left="52"/>
              <w:rPr>
                <w:sz w:val="18"/>
              </w:rPr>
            </w:pPr>
            <w:r>
              <w:rPr>
                <w:sz w:val="18"/>
              </w:rPr>
              <w:t>Asset-backed</w:t>
            </w:r>
            <w:r>
              <w:rPr>
                <w:spacing w:val="-3"/>
                <w:sz w:val="18"/>
              </w:rPr>
              <w:t> </w:t>
            </w:r>
            <w:r>
              <w:rPr>
                <w:spacing w:val="-2"/>
                <w:sz w:val="18"/>
              </w:rPr>
              <w:t>securities</w:t>
            </w:r>
          </w:p>
        </w:tc>
        <w:tc>
          <w:tcPr>
            <w:tcW w:w="1467" w:type="dxa"/>
            <w:shd w:val="clear" w:color="auto" w:fill="CCEDFF"/>
          </w:tcPr>
          <w:p>
            <w:pPr>
              <w:pStyle w:val="TableParagraph"/>
              <w:spacing w:before="18"/>
              <w:ind w:right="174"/>
              <w:jc w:val="right"/>
              <w:rPr>
                <w:sz w:val="18"/>
              </w:rPr>
            </w:pPr>
            <w:r>
              <w:rPr>
                <w:spacing w:val="-10"/>
                <w:sz w:val="18"/>
              </w:rPr>
              <w:t>—</w:t>
            </w:r>
          </w:p>
        </w:tc>
        <w:tc>
          <w:tcPr>
            <w:tcW w:w="1159" w:type="dxa"/>
            <w:shd w:val="clear" w:color="auto" w:fill="CCEDFF"/>
          </w:tcPr>
          <w:p>
            <w:pPr>
              <w:pStyle w:val="TableParagraph"/>
              <w:spacing w:before="18"/>
              <w:ind w:right="253"/>
              <w:jc w:val="right"/>
              <w:rPr>
                <w:sz w:val="18"/>
              </w:rPr>
            </w:pPr>
            <w:r>
              <w:rPr>
                <w:spacing w:val="-2"/>
                <w:sz w:val="18"/>
              </w:rPr>
              <w:t>2,755</w:t>
            </w:r>
          </w:p>
        </w:tc>
        <w:tc>
          <w:tcPr>
            <w:tcW w:w="1165" w:type="dxa"/>
            <w:shd w:val="clear" w:color="auto" w:fill="CCEDFF"/>
          </w:tcPr>
          <w:p>
            <w:pPr>
              <w:pStyle w:val="TableParagraph"/>
              <w:spacing w:before="18"/>
              <w:ind w:right="248"/>
              <w:jc w:val="right"/>
              <w:rPr>
                <w:sz w:val="18"/>
              </w:rPr>
            </w:pPr>
            <w:r>
              <w:rPr>
                <w:spacing w:val="-2"/>
                <w:sz w:val="18"/>
              </w:rPr>
              <w:t>1,209</w:t>
            </w:r>
          </w:p>
        </w:tc>
        <w:tc>
          <w:tcPr>
            <w:tcW w:w="985" w:type="dxa"/>
            <w:shd w:val="clear" w:color="auto" w:fill="CCEDFF"/>
          </w:tcPr>
          <w:p>
            <w:pPr>
              <w:pStyle w:val="TableParagraph"/>
              <w:spacing w:before="18"/>
              <w:ind w:right="198"/>
              <w:jc w:val="right"/>
              <w:rPr>
                <w:sz w:val="18"/>
              </w:rPr>
            </w:pPr>
            <w:r>
              <w:rPr>
                <w:spacing w:val="-2"/>
                <w:sz w:val="18"/>
              </w:rPr>
              <w:t>5,660</w:t>
            </w:r>
          </w:p>
        </w:tc>
        <w:tc>
          <w:tcPr>
            <w:tcW w:w="1075" w:type="dxa"/>
            <w:shd w:val="clear" w:color="auto" w:fill="CCEDFF"/>
          </w:tcPr>
          <w:p>
            <w:pPr>
              <w:pStyle w:val="TableParagraph"/>
              <w:spacing w:before="18"/>
              <w:ind w:right="238"/>
              <w:jc w:val="right"/>
              <w:rPr>
                <w:sz w:val="18"/>
              </w:rPr>
            </w:pPr>
            <w:r>
              <w:rPr>
                <w:spacing w:val="-2"/>
                <w:sz w:val="18"/>
              </w:rPr>
              <w:t>9,624</w:t>
            </w:r>
          </w:p>
        </w:tc>
      </w:tr>
      <w:tr>
        <w:trPr>
          <w:trHeight w:val="255" w:hRule="atLeast"/>
        </w:trPr>
        <w:tc>
          <w:tcPr>
            <w:tcW w:w="4410" w:type="dxa"/>
          </w:tcPr>
          <w:p>
            <w:pPr>
              <w:pStyle w:val="TableParagraph"/>
              <w:spacing w:before="18"/>
              <w:ind w:left="52"/>
              <w:rPr>
                <w:sz w:val="18"/>
              </w:rPr>
            </w:pPr>
            <w:r>
              <w:rPr>
                <w:sz w:val="18"/>
              </w:rPr>
              <w:t>Corporate debt </w:t>
            </w:r>
            <w:r>
              <w:rPr>
                <w:spacing w:val="-2"/>
                <w:sz w:val="18"/>
              </w:rPr>
              <w:t>securities</w:t>
            </w:r>
          </w:p>
        </w:tc>
        <w:tc>
          <w:tcPr>
            <w:tcW w:w="1467" w:type="dxa"/>
          </w:tcPr>
          <w:p>
            <w:pPr>
              <w:pStyle w:val="TableParagraph"/>
              <w:spacing w:before="18"/>
              <w:ind w:right="174"/>
              <w:jc w:val="right"/>
              <w:rPr>
                <w:sz w:val="18"/>
              </w:rPr>
            </w:pPr>
            <w:r>
              <w:rPr>
                <w:spacing w:val="-2"/>
                <w:sz w:val="18"/>
              </w:rPr>
              <w:t>2,160</w:t>
            </w:r>
          </w:p>
        </w:tc>
        <w:tc>
          <w:tcPr>
            <w:tcW w:w="1159" w:type="dxa"/>
          </w:tcPr>
          <w:p>
            <w:pPr>
              <w:pStyle w:val="TableParagraph"/>
              <w:spacing w:before="18"/>
              <w:ind w:right="253"/>
              <w:jc w:val="right"/>
              <w:rPr>
                <w:sz w:val="18"/>
              </w:rPr>
            </w:pPr>
            <w:r>
              <w:rPr>
                <w:spacing w:val="-2"/>
                <w:sz w:val="18"/>
              </w:rPr>
              <w:t>8,514</w:t>
            </w:r>
          </w:p>
        </w:tc>
        <w:tc>
          <w:tcPr>
            <w:tcW w:w="1165" w:type="dxa"/>
          </w:tcPr>
          <w:p>
            <w:pPr>
              <w:pStyle w:val="TableParagraph"/>
              <w:spacing w:before="18"/>
              <w:ind w:right="248"/>
              <w:jc w:val="right"/>
              <w:rPr>
                <w:sz w:val="18"/>
              </w:rPr>
            </w:pPr>
            <w:r>
              <w:rPr>
                <w:spacing w:val="-2"/>
                <w:sz w:val="18"/>
              </w:rPr>
              <w:t>1,480</w:t>
            </w:r>
          </w:p>
        </w:tc>
        <w:tc>
          <w:tcPr>
            <w:tcW w:w="985" w:type="dxa"/>
          </w:tcPr>
          <w:p>
            <w:pPr>
              <w:pStyle w:val="TableParagraph"/>
              <w:spacing w:before="18"/>
              <w:ind w:right="198"/>
              <w:jc w:val="right"/>
              <w:rPr>
                <w:sz w:val="18"/>
              </w:rPr>
            </w:pPr>
            <w:r>
              <w:rPr>
                <w:spacing w:val="-10"/>
                <w:sz w:val="18"/>
              </w:rPr>
              <w:t>—</w:t>
            </w:r>
          </w:p>
        </w:tc>
        <w:tc>
          <w:tcPr>
            <w:tcW w:w="1075" w:type="dxa"/>
          </w:tcPr>
          <w:p>
            <w:pPr>
              <w:pStyle w:val="TableParagraph"/>
              <w:spacing w:before="18"/>
              <w:ind w:right="238"/>
              <w:jc w:val="right"/>
              <w:rPr>
                <w:sz w:val="18"/>
              </w:rPr>
            </w:pPr>
            <w:r>
              <w:rPr>
                <w:spacing w:val="-2"/>
                <w:sz w:val="18"/>
              </w:rPr>
              <w:t>12,154</w:t>
            </w:r>
          </w:p>
        </w:tc>
      </w:tr>
      <w:tr>
        <w:trPr>
          <w:trHeight w:val="255" w:hRule="atLeast"/>
        </w:trPr>
        <w:tc>
          <w:tcPr>
            <w:tcW w:w="4410" w:type="dxa"/>
            <w:shd w:val="clear" w:color="auto" w:fill="CCEDFF"/>
          </w:tcPr>
          <w:p>
            <w:pPr>
              <w:pStyle w:val="TableParagraph"/>
              <w:spacing w:before="18"/>
              <w:ind w:left="52"/>
              <w:rPr>
                <w:sz w:val="18"/>
              </w:rPr>
            </w:pPr>
            <w:r>
              <w:rPr>
                <w:sz w:val="18"/>
              </w:rPr>
              <w:t>Certificates</w:t>
            </w:r>
            <w:r>
              <w:rPr>
                <w:spacing w:val="-1"/>
                <w:sz w:val="18"/>
              </w:rPr>
              <w:t> </w:t>
            </w:r>
            <w:r>
              <w:rPr>
                <w:sz w:val="18"/>
              </w:rPr>
              <w:t>of </w:t>
            </w:r>
            <w:r>
              <w:rPr>
                <w:spacing w:val="-2"/>
                <w:sz w:val="18"/>
              </w:rPr>
              <w:t>deposit</w:t>
            </w:r>
          </w:p>
        </w:tc>
        <w:tc>
          <w:tcPr>
            <w:tcW w:w="1467" w:type="dxa"/>
            <w:shd w:val="clear" w:color="auto" w:fill="CCEDFF"/>
          </w:tcPr>
          <w:p>
            <w:pPr>
              <w:pStyle w:val="TableParagraph"/>
              <w:spacing w:before="18"/>
              <w:ind w:right="174"/>
              <w:jc w:val="right"/>
              <w:rPr>
                <w:sz w:val="18"/>
              </w:rPr>
            </w:pPr>
            <w:r>
              <w:rPr>
                <w:spacing w:val="-5"/>
                <w:sz w:val="18"/>
              </w:rPr>
              <w:t>99</w:t>
            </w:r>
          </w:p>
        </w:tc>
        <w:tc>
          <w:tcPr>
            <w:tcW w:w="1159" w:type="dxa"/>
            <w:shd w:val="clear" w:color="auto" w:fill="CCEDFF"/>
          </w:tcPr>
          <w:p>
            <w:pPr>
              <w:pStyle w:val="TableParagraph"/>
              <w:spacing w:before="18"/>
              <w:ind w:right="253"/>
              <w:jc w:val="right"/>
              <w:rPr>
                <w:sz w:val="18"/>
              </w:rPr>
            </w:pPr>
            <w:r>
              <w:rPr>
                <w:spacing w:val="-10"/>
                <w:sz w:val="18"/>
              </w:rPr>
              <w:t>—</w:t>
            </w:r>
          </w:p>
        </w:tc>
        <w:tc>
          <w:tcPr>
            <w:tcW w:w="1165" w:type="dxa"/>
            <w:shd w:val="clear" w:color="auto" w:fill="CCEDFF"/>
          </w:tcPr>
          <w:p>
            <w:pPr>
              <w:pStyle w:val="TableParagraph"/>
              <w:spacing w:before="18"/>
              <w:ind w:right="248"/>
              <w:jc w:val="right"/>
              <w:rPr>
                <w:sz w:val="18"/>
              </w:rPr>
            </w:pPr>
            <w:r>
              <w:rPr>
                <w:spacing w:val="-10"/>
                <w:sz w:val="18"/>
              </w:rPr>
              <w:t>—</w:t>
            </w:r>
          </w:p>
        </w:tc>
        <w:tc>
          <w:tcPr>
            <w:tcW w:w="985" w:type="dxa"/>
            <w:shd w:val="clear" w:color="auto" w:fill="CCEDFF"/>
          </w:tcPr>
          <w:p>
            <w:pPr>
              <w:pStyle w:val="TableParagraph"/>
              <w:spacing w:before="18"/>
              <w:ind w:right="198"/>
              <w:jc w:val="right"/>
              <w:rPr>
                <w:sz w:val="18"/>
              </w:rPr>
            </w:pPr>
            <w:r>
              <w:rPr>
                <w:spacing w:val="-10"/>
                <w:sz w:val="18"/>
              </w:rPr>
              <w:t>—</w:t>
            </w:r>
          </w:p>
        </w:tc>
        <w:tc>
          <w:tcPr>
            <w:tcW w:w="1075" w:type="dxa"/>
            <w:shd w:val="clear" w:color="auto" w:fill="CCEDFF"/>
          </w:tcPr>
          <w:p>
            <w:pPr>
              <w:pStyle w:val="TableParagraph"/>
              <w:spacing w:before="18"/>
              <w:ind w:right="238"/>
              <w:jc w:val="right"/>
              <w:rPr>
                <w:sz w:val="18"/>
              </w:rPr>
            </w:pPr>
            <w:r>
              <w:rPr>
                <w:spacing w:val="-5"/>
                <w:sz w:val="18"/>
              </w:rPr>
              <w:t>99</w:t>
            </w:r>
          </w:p>
        </w:tc>
      </w:tr>
      <w:tr>
        <w:trPr>
          <w:trHeight w:val="255" w:hRule="atLeast"/>
        </w:trPr>
        <w:tc>
          <w:tcPr>
            <w:tcW w:w="4410" w:type="dxa"/>
          </w:tcPr>
          <w:p>
            <w:pPr>
              <w:pStyle w:val="TableParagraph"/>
              <w:spacing w:before="18"/>
              <w:ind w:left="52"/>
              <w:rPr>
                <w:sz w:val="18"/>
              </w:rPr>
            </w:pPr>
            <w:r>
              <w:rPr>
                <w:sz w:val="18"/>
              </w:rPr>
              <w:t>Foreign</w:t>
            </w:r>
            <w:r>
              <w:rPr>
                <w:spacing w:val="-1"/>
                <w:sz w:val="18"/>
              </w:rPr>
              <w:t> </w:t>
            </w:r>
            <w:r>
              <w:rPr>
                <w:sz w:val="18"/>
              </w:rPr>
              <w:t>government agency </w:t>
            </w:r>
            <w:r>
              <w:rPr>
                <w:spacing w:val="-2"/>
                <w:sz w:val="18"/>
              </w:rPr>
              <w:t>securities</w:t>
            </w:r>
          </w:p>
        </w:tc>
        <w:tc>
          <w:tcPr>
            <w:tcW w:w="1467" w:type="dxa"/>
          </w:tcPr>
          <w:p>
            <w:pPr>
              <w:pStyle w:val="TableParagraph"/>
              <w:spacing w:before="18"/>
              <w:ind w:right="174"/>
              <w:jc w:val="right"/>
              <w:rPr>
                <w:sz w:val="18"/>
              </w:rPr>
            </w:pPr>
            <w:r>
              <w:rPr>
                <w:spacing w:val="-5"/>
                <w:sz w:val="18"/>
              </w:rPr>
              <w:t>488</w:t>
            </w:r>
          </w:p>
        </w:tc>
        <w:tc>
          <w:tcPr>
            <w:tcW w:w="1159" w:type="dxa"/>
          </w:tcPr>
          <w:p>
            <w:pPr>
              <w:pStyle w:val="TableParagraph"/>
              <w:spacing w:before="18"/>
              <w:ind w:right="253"/>
              <w:jc w:val="right"/>
              <w:rPr>
                <w:sz w:val="18"/>
              </w:rPr>
            </w:pPr>
            <w:r>
              <w:rPr>
                <w:spacing w:val="-5"/>
                <w:sz w:val="18"/>
              </w:rPr>
              <w:t>497</w:t>
            </w:r>
          </w:p>
        </w:tc>
        <w:tc>
          <w:tcPr>
            <w:tcW w:w="1165" w:type="dxa"/>
          </w:tcPr>
          <w:p>
            <w:pPr>
              <w:pStyle w:val="TableParagraph"/>
              <w:spacing w:before="18"/>
              <w:ind w:right="248"/>
              <w:jc w:val="right"/>
              <w:rPr>
                <w:sz w:val="18"/>
              </w:rPr>
            </w:pPr>
            <w:r>
              <w:rPr>
                <w:spacing w:val="-10"/>
                <w:sz w:val="18"/>
              </w:rPr>
              <w:t>—</w:t>
            </w:r>
          </w:p>
        </w:tc>
        <w:tc>
          <w:tcPr>
            <w:tcW w:w="985" w:type="dxa"/>
          </w:tcPr>
          <w:p>
            <w:pPr>
              <w:pStyle w:val="TableParagraph"/>
              <w:spacing w:before="18"/>
              <w:ind w:right="198"/>
              <w:jc w:val="right"/>
              <w:rPr>
                <w:sz w:val="18"/>
              </w:rPr>
            </w:pPr>
            <w:r>
              <w:rPr>
                <w:spacing w:val="-10"/>
                <w:sz w:val="18"/>
              </w:rPr>
              <w:t>—</w:t>
            </w:r>
          </w:p>
        </w:tc>
        <w:tc>
          <w:tcPr>
            <w:tcW w:w="1075" w:type="dxa"/>
          </w:tcPr>
          <w:p>
            <w:pPr>
              <w:pStyle w:val="TableParagraph"/>
              <w:spacing w:before="18"/>
              <w:ind w:right="238"/>
              <w:jc w:val="right"/>
              <w:rPr>
                <w:sz w:val="18"/>
              </w:rPr>
            </w:pPr>
            <w:r>
              <w:rPr>
                <w:spacing w:val="-5"/>
                <w:sz w:val="18"/>
              </w:rPr>
              <w:t>985</w:t>
            </w:r>
          </w:p>
        </w:tc>
      </w:tr>
      <w:tr>
        <w:trPr>
          <w:trHeight w:val="255" w:hRule="atLeast"/>
        </w:trPr>
        <w:tc>
          <w:tcPr>
            <w:tcW w:w="4410" w:type="dxa"/>
            <w:shd w:val="clear" w:color="auto" w:fill="CCEDFF"/>
          </w:tcPr>
          <w:p>
            <w:pPr>
              <w:pStyle w:val="TableParagraph"/>
              <w:spacing w:before="18"/>
              <w:ind w:left="52"/>
              <w:rPr>
                <w:sz w:val="18"/>
              </w:rPr>
            </w:pPr>
            <w:r>
              <w:rPr>
                <w:sz w:val="18"/>
              </w:rPr>
              <w:t>U.S.</w:t>
            </w:r>
            <w:r>
              <w:rPr>
                <w:spacing w:val="-1"/>
                <w:sz w:val="18"/>
              </w:rPr>
              <w:t> </w:t>
            </w:r>
            <w:r>
              <w:rPr>
                <w:sz w:val="18"/>
              </w:rPr>
              <w:t>state</w:t>
            </w:r>
            <w:r>
              <w:rPr>
                <w:spacing w:val="-1"/>
                <w:sz w:val="18"/>
              </w:rPr>
              <w:t> </w:t>
            </w:r>
            <w:r>
              <w:rPr>
                <w:sz w:val="18"/>
              </w:rPr>
              <w:t>and</w:t>
            </w:r>
            <w:r>
              <w:rPr>
                <w:spacing w:val="-1"/>
                <w:sz w:val="18"/>
              </w:rPr>
              <w:t> </w:t>
            </w:r>
            <w:r>
              <w:rPr>
                <w:sz w:val="18"/>
              </w:rPr>
              <w:t>municipal </w:t>
            </w:r>
            <w:r>
              <w:rPr>
                <w:spacing w:val="-2"/>
                <w:sz w:val="18"/>
              </w:rPr>
              <w:t>securities</w:t>
            </w:r>
          </w:p>
        </w:tc>
        <w:tc>
          <w:tcPr>
            <w:tcW w:w="1467" w:type="dxa"/>
            <w:shd w:val="clear" w:color="auto" w:fill="CCEDFF"/>
          </w:tcPr>
          <w:p>
            <w:pPr>
              <w:pStyle w:val="TableParagraph"/>
              <w:spacing w:before="18"/>
              <w:ind w:right="174"/>
              <w:jc w:val="right"/>
              <w:rPr>
                <w:sz w:val="18"/>
              </w:rPr>
            </w:pPr>
            <w:r>
              <w:rPr>
                <w:spacing w:val="-10"/>
                <w:sz w:val="18"/>
              </w:rPr>
              <w:t>—</w:t>
            </w:r>
          </w:p>
        </w:tc>
        <w:tc>
          <w:tcPr>
            <w:tcW w:w="1159" w:type="dxa"/>
            <w:shd w:val="clear" w:color="auto" w:fill="CCEDFF"/>
          </w:tcPr>
          <w:p>
            <w:pPr>
              <w:pStyle w:val="TableParagraph"/>
              <w:spacing w:before="18"/>
              <w:ind w:right="253"/>
              <w:jc w:val="right"/>
              <w:rPr>
                <w:sz w:val="18"/>
              </w:rPr>
            </w:pPr>
            <w:r>
              <w:rPr>
                <w:spacing w:val="-5"/>
                <w:sz w:val="18"/>
              </w:rPr>
              <w:t>46</w:t>
            </w:r>
          </w:p>
        </w:tc>
        <w:tc>
          <w:tcPr>
            <w:tcW w:w="1165" w:type="dxa"/>
            <w:shd w:val="clear" w:color="auto" w:fill="CCEDFF"/>
          </w:tcPr>
          <w:p>
            <w:pPr>
              <w:pStyle w:val="TableParagraph"/>
              <w:spacing w:before="18"/>
              <w:ind w:right="248"/>
              <w:jc w:val="right"/>
              <w:rPr>
                <w:sz w:val="18"/>
              </w:rPr>
            </w:pPr>
            <w:r>
              <w:rPr>
                <w:spacing w:val="-5"/>
                <w:sz w:val="18"/>
              </w:rPr>
              <w:t>387</w:t>
            </w:r>
          </w:p>
        </w:tc>
        <w:tc>
          <w:tcPr>
            <w:tcW w:w="985" w:type="dxa"/>
            <w:shd w:val="clear" w:color="auto" w:fill="CCEDFF"/>
          </w:tcPr>
          <w:p>
            <w:pPr>
              <w:pStyle w:val="TableParagraph"/>
              <w:spacing w:before="18"/>
              <w:ind w:right="198"/>
              <w:jc w:val="right"/>
              <w:rPr>
                <w:sz w:val="18"/>
              </w:rPr>
            </w:pPr>
            <w:r>
              <w:rPr>
                <w:spacing w:val="-5"/>
                <w:sz w:val="18"/>
              </w:rPr>
              <w:t>122</w:t>
            </w:r>
          </w:p>
        </w:tc>
        <w:tc>
          <w:tcPr>
            <w:tcW w:w="1075" w:type="dxa"/>
            <w:shd w:val="clear" w:color="auto" w:fill="CCEDFF"/>
          </w:tcPr>
          <w:p>
            <w:pPr>
              <w:pStyle w:val="TableParagraph"/>
              <w:spacing w:before="18"/>
              <w:ind w:right="238"/>
              <w:jc w:val="right"/>
              <w:rPr>
                <w:sz w:val="18"/>
              </w:rPr>
            </w:pPr>
            <w:r>
              <w:rPr>
                <w:spacing w:val="-5"/>
                <w:sz w:val="18"/>
              </w:rPr>
              <w:t>555</w:t>
            </w:r>
          </w:p>
        </w:tc>
      </w:tr>
      <w:tr>
        <w:trPr>
          <w:trHeight w:val="255" w:hRule="atLeast"/>
        </w:trPr>
        <w:tc>
          <w:tcPr>
            <w:tcW w:w="4410" w:type="dxa"/>
          </w:tcPr>
          <w:p>
            <w:pPr>
              <w:pStyle w:val="TableParagraph"/>
              <w:spacing w:before="18"/>
              <w:ind w:left="52"/>
              <w:rPr>
                <w:sz w:val="18"/>
              </w:rPr>
            </w:pPr>
            <w:r>
              <w:rPr>
                <w:sz w:val="18"/>
              </w:rPr>
              <w:t>Non-agency</w:t>
            </w:r>
            <w:r>
              <w:rPr>
                <w:spacing w:val="-1"/>
                <w:sz w:val="18"/>
              </w:rPr>
              <w:t> </w:t>
            </w:r>
            <w:r>
              <w:rPr>
                <w:sz w:val="18"/>
              </w:rPr>
              <w:t>commercial mortgage-backed </w:t>
            </w:r>
            <w:r>
              <w:rPr>
                <w:spacing w:val="-2"/>
                <w:sz w:val="18"/>
              </w:rPr>
              <w:t>securities</w:t>
            </w:r>
          </w:p>
        </w:tc>
        <w:tc>
          <w:tcPr>
            <w:tcW w:w="1467" w:type="dxa"/>
          </w:tcPr>
          <w:p>
            <w:pPr>
              <w:pStyle w:val="TableParagraph"/>
              <w:spacing w:before="18"/>
              <w:ind w:right="174"/>
              <w:jc w:val="right"/>
              <w:rPr>
                <w:sz w:val="18"/>
              </w:rPr>
            </w:pPr>
            <w:r>
              <w:rPr>
                <w:spacing w:val="-10"/>
                <w:sz w:val="18"/>
              </w:rPr>
              <w:t>—</w:t>
            </w:r>
          </w:p>
        </w:tc>
        <w:tc>
          <w:tcPr>
            <w:tcW w:w="1159" w:type="dxa"/>
          </w:tcPr>
          <w:p>
            <w:pPr>
              <w:pStyle w:val="TableParagraph"/>
              <w:spacing w:before="18"/>
              <w:ind w:right="253"/>
              <w:jc w:val="right"/>
              <w:rPr>
                <w:sz w:val="18"/>
              </w:rPr>
            </w:pPr>
            <w:r>
              <w:rPr>
                <w:spacing w:val="-10"/>
                <w:sz w:val="18"/>
              </w:rPr>
              <w:t>—</w:t>
            </w:r>
          </w:p>
        </w:tc>
        <w:tc>
          <w:tcPr>
            <w:tcW w:w="1165" w:type="dxa"/>
          </w:tcPr>
          <w:p>
            <w:pPr>
              <w:pStyle w:val="TableParagraph"/>
              <w:spacing w:before="18"/>
              <w:ind w:right="248"/>
              <w:jc w:val="right"/>
              <w:rPr>
                <w:sz w:val="18"/>
              </w:rPr>
            </w:pPr>
            <w:r>
              <w:rPr>
                <w:spacing w:val="-10"/>
                <w:sz w:val="18"/>
              </w:rPr>
              <w:t>—</w:t>
            </w:r>
          </w:p>
        </w:tc>
        <w:tc>
          <w:tcPr>
            <w:tcW w:w="985" w:type="dxa"/>
          </w:tcPr>
          <w:p>
            <w:pPr>
              <w:pStyle w:val="TableParagraph"/>
              <w:spacing w:before="18"/>
              <w:ind w:right="198"/>
              <w:jc w:val="right"/>
              <w:rPr>
                <w:sz w:val="18"/>
              </w:rPr>
            </w:pPr>
            <w:r>
              <w:rPr>
                <w:spacing w:val="-5"/>
                <w:sz w:val="18"/>
              </w:rPr>
              <w:t>188</w:t>
            </w:r>
          </w:p>
        </w:tc>
        <w:tc>
          <w:tcPr>
            <w:tcW w:w="1075" w:type="dxa"/>
          </w:tcPr>
          <w:p>
            <w:pPr>
              <w:pStyle w:val="TableParagraph"/>
              <w:spacing w:before="18"/>
              <w:ind w:right="238"/>
              <w:jc w:val="right"/>
              <w:rPr>
                <w:sz w:val="18"/>
              </w:rPr>
            </w:pPr>
            <w:r>
              <w:rPr>
                <w:spacing w:val="-5"/>
                <w:sz w:val="18"/>
              </w:rPr>
              <w:t>188</w:t>
            </w:r>
          </w:p>
        </w:tc>
      </w:tr>
      <w:tr>
        <w:trPr>
          <w:trHeight w:val="250" w:hRule="atLeast"/>
        </w:trPr>
        <w:tc>
          <w:tcPr>
            <w:tcW w:w="4410" w:type="dxa"/>
            <w:tcBorders>
              <w:bottom w:val="single" w:sz="4" w:space="0" w:color="000000"/>
            </w:tcBorders>
            <w:shd w:val="clear" w:color="auto" w:fill="CCEDFF"/>
          </w:tcPr>
          <w:p>
            <w:pPr>
              <w:pStyle w:val="TableParagraph"/>
              <w:spacing w:before="18"/>
              <w:ind w:left="52"/>
              <w:rPr>
                <w:sz w:val="18"/>
              </w:rPr>
            </w:pPr>
            <w:r>
              <w:rPr>
                <w:spacing w:val="-2"/>
                <w:sz w:val="18"/>
              </w:rPr>
              <w:t>Other</w:t>
            </w:r>
          </w:p>
        </w:tc>
        <w:tc>
          <w:tcPr>
            <w:tcW w:w="1467" w:type="dxa"/>
            <w:tcBorders>
              <w:bottom w:val="single" w:sz="4" w:space="0" w:color="000000"/>
            </w:tcBorders>
            <w:shd w:val="clear" w:color="auto" w:fill="CCEDFF"/>
          </w:tcPr>
          <w:p>
            <w:pPr>
              <w:pStyle w:val="TableParagraph"/>
              <w:spacing w:before="18"/>
              <w:ind w:right="174"/>
              <w:jc w:val="right"/>
              <w:rPr>
                <w:sz w:val="18"/>
              </w:rPr>
            </w:pPr>
            <w:r>
              <w:rPr>
                <w:spacing w:val="-10"/>
                <w:sz w:val="18"/>
              </w:rPr>
              <w:t>—</w:t>
            </w:r>
          </w:p>
        </w:tc>
        <w:tc>
          <w:tcPr>
            <w:tcW w:w="1159" w:type="dxa"/>
            <w:tcBorders>
              <w:bottom w:val="single" w:sz="4" w:space="0" w:color="000000"/>
            </w:tcBorders>
            <w:shd w:val="clear" w:color="auto" w:fill="CCEDFF"/>
          </w:tcPr>
          <w:p>
            <w:pPr>
              <w:pStyle w:val="TableParagraph"/>
              <w:spacing w:before="18"/>
              <w:ind w:right="253"/>
              <w:jc w:val="right"/>
              <w:rPr>
                <w:sz w:val="18"/>
              </w:rPr>
            </w:pPr>
            <w:r>
              <w:rPr>
                <w:spacing w:val="-10"/>
                <w:sz w:val="18"/>
              </w:rPr>
              <w:t>—</w:t>
            </w:r>
          </w:p>
        </w:tc>
        <w:tc>
          <w:tcPr>
            <w:tcW w:w="1165" w:type="dxa"/>
            <w:tcBorders>
              <w:bottom w:val="single" w:sz="4" w:space="0" w:color="000000"/>
            </w:tcBorders>
            <w:shd w:val="clear" w:color="auto" w:fill="CCEDFF"/>
          </w:tcPr>
          <w:p>
            <w:pPr>
              <w:pStyle w:val="TableParagraph"/>
              <w:spacing w:before="18"/>
              <w:ind w:right="248"/>
              <w:jc w:val="right"/>
              <w:rPr>
                <w:sz w:val="18"/>
              </w:rPr>
            </w:pPr>
            <w:r>
              <w:rPr>
                <w:spacing w:val="-10"/>
                <w:sz w:val="18"/>
              </w:rPr>
              <w:t>—</w:t>
            </w:r>
          </w:p>
        </w:tc>
        <w:tc>
          <w:tcPr>
            <w:tcW w:w="985" w:type="dxa"/>
            <w:tcBorders>
              <w:bottom w:val="single" w:sz="4" w:space="0" w:color="000000"/>
            </w:tcBorders>
            <w:shd w:val="clear" w:color="auto" w:fill="CCEDFF"/>
          </w:tcPr>
          <w:p>
            <w:pPr>
              <w:pStyle w:val="TableParagraph"/>
              <w:spacing w:before="18"/>
              <w:ind w:right="198"/>
              <w:jc w:val="right"/>
              <w:rPr>
                <w:sz w:val="18"/>
              </w:rPr>
            </w:pPr>
            <w:r>
              <w:rPr>
                <w:spacing w:val="-5"/>
                <w:sz w:val="18"/>
              </w:rPr>
              <w:t>18</w:t>
            </w:r>
          </w:p>
        </w:tc>
        <w:tc>
          <w:tcPr>
            <w:tcW w:w="1075" w:type="dxa"/>
            <w:tcBorders>
              <w:bottom w:val="single" w:sz="4" w:space="0" w:color="000000"/>
            </w:tcBorders>
            <w:shd w:val="clear" w:color="auto" w:fill="CCEDFF"/>
          </w:tcPr>
          <w:p>
            <w:pPr>
              <w:pStyle w:val="TableParagraph"/>
              <w:spacing w:before="18"/>
              <w:ind w:right="238"/>
              <w:jc w:val="right"/>
              <w:rPr>
                <w:sz w:val="18"/>
              </w:rPr>
            </w:pPr>
            <w:r>
              <w:rPr>
                <w:spacing w:val="-5"/>
                <w:sz w:val="18"/>
              </w:rPr>
              <w:t>18</w:t>
            </w:r>
          </w:p>
        </w:tc>
      </w:tr>
      <w:tr>
        <w:trPr>
          <w:trHeight w:val="250" w:hRule="atLeast"/>
        </w:trPr>
        <w:tc>
          <w:tcPr>
            <w:tcW w:w="4410" w:type="dxa"/>
            <w:tcBorders>
              <w:top w:val="single" w:sz="4" w:space="0" w:color="000000"/>
            </w:tcBorders>
          </w:tcPr>
          <w:p>
            <w:pPr>
              <w:pStyle w:val="TableParagraph"/>
              <w:spacing w:before="13"/>
              <w:ind w:left="277"/>
              <w:rPr>
                <w:sz w:val="18"/>
              </w:rPr>
            </w:pPr>
            <w:r>
              <w:rPr>
                <w:sz w:val="18"/>
              </w:rPr>
              <w:t>Total fair </w:t>
            </w:r>
            <w:r>
              <w:rPr>
                <w:spacing w:val="-2"/>
                <w:sz w:val="18"/>
              </w:rPr>
              <w:t>value</w:t>
            </w:r>
          </w:p>
        </w:tc>
        <w:tc>
          <w:tcPr>
            <w:tcW w:w="1467" w:type="dxa"/>
            <w:tcBorders>
              <w:top w:val="single" w:sz="4" w:space="0" w:color="000000"/>
            </w:tcBorders>
          </w:tcPr>
          <w:p>
            <w:pPr>
              <w:pStyle w:val="TableParagraph"/>
              <w:spacing w:before="13"/>
              <w:ind w:right="174"/>
              <w:jc w:val="right"/>
              <w:rPr>
                <w:sz w:val="18"/>
              </w:rPr>
            </w:pPr>
            <w:r>
              <w:rPr>
                <w:sz w:val="18"/>
              </w:rPr>
              <w:t>$</w:t>
            </w:r>
            <w:r>
              <w:rPr>
                <w:spacing w:val="74"/>
                <w:w w:val="150"/>
                <w:sz w:val="18"/>
              </w:rPr>
              <w:t> </w:t>
            </w:r>
            <w:r>
              <w:rPr>
                <w:spacing w:val="-2"/>
                <w:sz w:val="18"/>
              </w:rPr>
              <w:t>11,890</w:t>
            </w:r>
          </w:p>
        </w:tc>
        <w:tc>
          <w:tcPr>
            <w:tcW w:w="1159" w:type="dxa"/>
            <w:tcBorders>
              <w:top w:val="single" w:sz="4" w:space="0" w:color="000000"/>
            </w:tcBorders>
          </w:tcPr>
          <w:p>
            <w:pPr>
              <w:pStyle w:val="TableParagraph"/>
              <w:spacing w:before="13"/>
              <w:ind w:right="253"/>
              <w:jc w:val="right"/>
              <w:rPr>
                <w:sz w:val="18"/>
              </w:rPr>
            </w:pPr>
            <w:r>
              <w:rPr>
                <w:sz w:val="18"/>
              </w:rPr>
              <w:t>$</w:t>
            </w:r>
            <w:r>
              <w:rPr>
                <w:spacing w:val="74"/>
                <w:w w:val="150"/>
                <w:sz w:val="18"/>
              </w:rPr>
              <w:t> </w:t>
            </w:r>
            <w:r>
              <w:rPr>
                <w:spacing w:val="-2"/>
                <w:sz w:val="18"/>
              </w:rPr>
              <w:t>37,571</w:t>
            </w:r>
          </w:p>
        </w:tc>
        <w:tc>
          <w:tcPr>
            <w:tcW w:w="1165" w:type="dxa"/>
            <w:tcBorders>
              <w:top w:val="single" w:sz="4" w:space="0" w:color="000000"/>
            </w:tcBorders>
          </w:tcPr>
          <w:p>
            <w:pPr>
              <w:pStyle w:val="TableParagraph"/>
              <w:tabs>
                <w:tab w:pos="322" w:val="left" w:leader="none"/>
              </w:tabs>
              <w:spacing w:before="13"/>
              <w:ind w:right="248"/>
              <w:jc w:val="right"/>
              <w:rPr>
                <w:sz w:val="18"/>
              </w:rPr>
            </w:pPr>
            <w:r>
              <w:rPr>
                <w:spacing w:val="-10"/>
                <w:sz w:val="18"/>
              </w:rPr>
              <w:t>$</w:t>
            </w:r>
            <w:r>
              <w:rPr>
                <w:sz w:val="18"/>
              </w:rPr>
              <w:tab/>
            </w:r>
            <w:r>
              <w:rPr>
                <w:spacing w:val="-2"/>
                <w:sz w:val="18"/>
              </w:rPr>
              <w:t>14,579</w:t>
            </w:r>
          </w:p>
        </w:tc>
        <w:tc>
          <w:tcPr>
            <w:tcW w:w="985" w:type="dxa"/>
            <w:tcBorders>
              <w:top w:val="single" w:sz="4" w:space="0" w:color="000000"/>
            </w:tcBorders>
          </w:tcPr>
          <w:p>
            <w:pPr>
              <w:pStyle w:val="TableParagraph"/>
              <w:spacing w:before="13"/>
              <w:ind w:right="198"/>
              <w:jc w:val="right"/>
              <w:rPr>
                <w:sz w:val="18"/>
              </w:rPr>
            </w:pPr>
            <w:r>
              <w:rPr>
                <w:sz w:val="18"/>
              </w:rPr>
              <w:t>$</w:t>
            </w:r>
            <w:r>
              <w:rPr>
                <w:spacing w:val="52"/>
                <w:sz w:val="18"/>
              </w:rPr>
              <w:t> </w:t>
            </w:r>
            <w:r>
              <w:rPr>
                <w:spacing w:val="-2"/>
                <w:sz w:val="18"/>
              </w:rPr>
              <w:t>46,232</w:t>
            </w:r>
          </w:p>
        </w:tc>
        <w:tc>
          <w:tcPr>
            <w:tcW w:w="1075" w:type="dxa"/>
            <w:tcBorders>
              <w:top w:val="single" w:sz="4" w:space="0" w:color="000000"/>
            </w:tcBorders>
          </w:tcPr>
          <w:p>
            <w:pPr>
              <w:pStyle w:val="TableParagraph"/>
              <w:spacing w:before="13"/>
              <w:ind w:right="238"/>
              <w:jc w:val="right"/>
              <w:rPr>
                <w:sz w:val="18"/>
              </w:rPr>
            </w:pPr>
            <w:r>
              <w:rPr>
                <w:spacing w:val="-2"/>
                <w:sz w:val="18"/>
              </w:rPr>
              <w:t>$110,272</w:t>
            </w:r>
          </w:p>
        </w:tc>
      </w:tr>
      <w:tr>
        <w:trPr>
          <w:trHeight w:val="250" w:hRule="atLeast"/>
        </w:trPr>
        <w:tc>
          <w:tcPr>
            <w:tcW w:w="4410" w:type="dxa"/>
            <w:tcBorders>
              <w:bottom w:val="single" w:sz="4" w:space="0" w:color="000000"/>
            </w:tcBorders>
            <w:shd w:val="clear" w:color="auto" w:fill="CCEDFF"/>
          </w:tcPr>
          <w:p>
            <w:pPr>
              <w:pStyle w:val="TableParagraph"/>
              <w:spacing w:before="18"/>
              <w:ind w:left="277"/>
              <w:rPr>
                <w:sz w:val="18"/>
              </w:rPr>
            </w:pPr>
            <w:r>
              <w:rPr>
                <w:sz w:val="18"/>
              </w:rPr>
              <w:t>Total</w:t>
            </w:r>
            <w:r>
              <w:rPr>
                <w:spacing w:val="-1"/>
                <w:sz w:val="18"/>
              </w:rPr>
              <w:t> </w:t>
            </w:r>
            <w:r>
              <w:rPr>
                <w:sz w:val="18"/>
              </w:rPr>
              <w:t>amortized cost</w:t>
            </w:r>
            <w:r>
              <w:rPr>
                <w:spacing w:val="-2"/>
                <w:sz w:val="18"/>
              </w:rPr>
              <w:t> </w:t>
            </w:r>
            <w:r>
              <w:rPr>
                <w:spacing w:val="-5"/>
                <w:sz w:val="18"/>
                <w:vertAlign w:val="superscript"/>
              </w:rPr>
              <w:t>(1)</w:t>
            </w:r>
          </w:p>
        </w:tc>
        <w:tc>
          <w:tcPr>
            <w:tcW w:w="1467" w:type="dxa"/>
            <w:tcBorders>
              <w:bottom w:val="single" w:sz="4" w:space="0" w:color="000000"/>
            </w:tcBorders>
            <w:shd w:val="clear" w:color="auto" w:fill="CCEDFF"/>
          </w:tcPr>
          <w:p>
            <w:pPr>
              <w:pStyle w:val="TableParagraph"/>
              <w:spacing w:before="18"/>
              <w:ind w:right="174"/>
              <w:jc w:val="right"/>
              <w:rPr>
                <w:sz w:val="18"/>
              </w:rPr>
            </w:pPr>
            <w:r>
              <w:rPr>
                <w:sz w:val="18"/>
              </w:rPr>
              <w:t>$</w:t>
            </w:r>
            <w:r>
              <w:rPr>
                <w:spacing w:val="74"/>
                <w:w w:val="150"/>
                <w:sz w:val="18"/>
              </w:rPr>
              <w:t> </w:t>
            </w:r>
            <w:r>
              <w:rPr>
                <w:spacing w:val="-2"/>
                <w:sz w:val="18"/>
              </w:rPr>
              <w:t>12,128</w:t>
            </w:r>
          </w:p>
        </w:tc>
        <w:tc>
          <w:tcPr>
            <w:tcW w:w="1159" w:type="dxa"/>
            <w:tcBorders>
              <w:bottom w:val="single" w:sz="4" w:space="0" w:color="000000"/>
            </w:tcBorders>
            <w:shd w:val="clear" w:color="auto" w:fill="CCEDFF"/>
          </w:tcPr>
          <w:p>
            <w:pPr>
              <w:pStyle w:val="TableParagraph"/>
              <w:spacing w:before="18"/>
              <w:ind w:right="253"/>
              <w:jc w:val="right"/>
              <w:rPr>
                <w:sz w:val="18"/>
              </w:rPr>
            </w:pPr>
            <w:r>
              <w:rPr>
                <w:sz w:val="18"/>
              </w:rPr>
              <w:t>$</w:t>
            </w:r>
            <w:r>
              <w:rPr>
                <w:spacing w:val="74"/>
                <w:w w:val="150"/>
                <w:sz w:val="18"/>
              </w:rPr>
              <w:t> </w:t>
            </w:r>
            <w:r>
              <w:rPr>
                <w:spacing w:val="-2"/>
                <w:sz w:val="18"/>
              </w:rPr>
              <w:t>40,565</w:t>
            </w:r>
          </w:p>
        </w:tc>
        <w:tc>
          <w:tcPr>
            <w:tcW w:w="1165" w:type="dxa"/>
            <w:tcBorders>
              <w:bottom w:val="single" w:sz="4" w:space="0" w:color="000000"/>
            </w:tcBorders>
            <w:shd w:val="clear" w:color="auto" w:fill="CCEDFF"/>
          </w:tcPr>
          <w:p>
            <w:pPr>
              <w:pStyle w:val="TableParagraph"/>
              <w:tabs>
                <w:tab w:pos="322" w:val="left" w:leader="none"/>
              </w:tabs>
              <w:spacing w:before="18"/>
              <w:ind w:right="248"/>
              <w:jc w:val="right"/>
              <w:rPr>
                <w:sz w:val="18"/>
              </w:rPr>
            </w:pPr>
            <w:r>
              <w:rPr>
                <w:spacing w:val="-10"/>
                <w:sz w:val="18"/>
              </w:rPr>
              <w:t>$</w:t>
            </w:r>
            <w:r>
              <w:rPr>
                <w:sz w:val="18"/>
              </w:rPr>
              <w:tab/>
            </w:r>
            <w:r>
              <w:rPr>
                <w:spacing w:val="-2"/>
                <w:sz w:val="18"/>
              </w:rPr>
              <w:t>16,667</w:t>
            </w:r>
          </w:p>
        </w:tc>
        <w:tc>
          <w:tcPr>
            <w:tcW w:w="985" w:type="dxa"/>
            <w:tcBorders>
              <w:bottom w:val="single" w:sz="4" w:space="0" w:color="000000"/>
            </w:tcBorders>
            <w:shd w:val="clear" w:color="auto" w:fill="CCEDFF"/>
          </w:tcPr>
          <w:p>
            <w:pPr>
              <w:pStyle w:val="TableParagraph"/>
              <w:spacing w:before="18"/>
              <w:ind w:right="198"/>
              <w:jc w:val="right"/>
              <w:rPr>
                <w:sz w:val="18"/>
              </w:rPr>
            </w:pPr>
            <w:r>
              <w:rPr>
                <w:sz w:val="18"/>
              </w:rPr>
              <w:t>$</w:t>
            </w:r>
            <w:r>
              <w:rPr>
                <w:spacing w:val="52"/>
                <w:sz w:val="18"/>
              </w:rPr>
              <w:t> </w:t>
            </w:r>
            <w:r>
              <w:rPr>
                <w:spacing w:val="-2"/>
                <w:sz w:val="18"/>
              </w:rPr>
              <w:t>52,769</w:t>
            </w:r>
          </w:p>
        </w:tc>
        <w:tc>
          <w:tcPr>
            <w:tcW w:w="1075" w:type="dxa"/>
            <w:tcBorders>
              <w:bottom w:val="single" w:sz="4" w:space="0" w:color="000000"/>
            </w:tcBorders>
            <w:shd w:val="clear" w:color="auto" w:fill="CCEDFF"/>
          </w:tcPr>
          <w:p>
            <w:pPr>
              <w:pStyle w:val="TableParagraph"/>
              <w:spacing w:before="18"/>
              <w:ind w:right="238"/>
              <w:jc w:val="right"/>
              <w:rPr>
                <w:sz w:val="18"/>
              </w:rPr>
            </w:pPr>
            <w:r>
              <w:rPr>
                <w:spacing w:val="-2"/>
                <w:sz w:val="18"/>
              </w:rPr>
              <w:t>$122,129</w:t>
            </w:r>
          </w:p>
        </w:tc>
      </w:tr>
      <w:tr>
        <w:trPr>
          <w:trHeight w:val="250" w:hRule="atLeast"/>
        </w:trPr>
        <w:tc>
          <w:tcPr>
            <w:tcW w:w="4410" w:type="dxa"/>
            <w:tcBorders>
              <w:top w:val="single" w:sz="4" w:space="0" w:color="000000"/>
            </w:tcBorders>
          </w:tcPr>
          <w:p>
            <w:pPr>
              <w:pStyle w:val="TableParagraph"/>
              <w:spacing w:before="13"/>
              <w:ind w:left="52"/>
              <w:rPr>
                <w:b/>
                <w:sz w:val="18"/>
              </w:rPr>
            </w:pPr>
            <w:r>
              <w:rPr>
                <w:b/>
                <w:sz w:val="18"/>
              </w:rPr>
              <w:t>Held</w:t>
            </w:r>
            <w:r>
              <w:rPr>
                <w:b/>
                <w:spacing w:val="-2"/>
                <w:sz w:val="18"/>
              </w:rPr>
              <w:t> </w:t>
            </w:r>
            <w:r>
              <w:rPr>
                <w:b/>
                <w:sz w:val="18"/>
              </w:rPr>
              <w:t>to maturity </w:t>
            </w:r>
            <w:r>
              <w:rPr>
                <w:b/>
                <w:spacing w:val="-2"/>
                <w:sz w:val="18"/>
              </w:rPr>
              <w:t>securities</w:t>
            </w:r>
          </w:p>
        </w:tc>
        <w:tc>
          <w:tcPr>
            <w:tcW w:w="1467" w:type="dxa"/>
            <w:tcBorders>
              <w:top w:val="single" w:sz="4" w:space="0" w:color="000000"/>
            </w:tcBorders>
          </w:tcPr>
          <w:p>
            <w:pPr>
              <w:pStyle w:val="TableParagraph"/>
              <w:rPr>
                <w:sz w:val="18"/>
              </w:rPr>
            </w:pPr>
          </w:p>
        </w:tc>
        <w:tc>
          <w:tcPr>
            <w:tcW w:w="1159" w:type="dxa"/>
            <w:tcBorders>
              <w:top w:val="single" w:sz="4" w:space="0" w:color="000000"/>
            </w:tcBorders>
          </w:tcPr>
          <w:p>
            <w:pPr>
              <w:pStyle w:val="TableParagraph"/>
              <w:rPr>
                <w:sz w:val="18"/>
              </w:rPr>
            </w:pPr>
          </w:p>
        </w:tc>
        <w:tc>
          <w:tcPr>
            <w:tcW w:w="1165" w:type="dxa"/>
            <w:tcBorders>
              <w:top w:val="single" w:sz="4" w:space="0" w:color="000000"/>
            </w:tcBorders>
          </w:tcPr>
          <w:p>
            <w:pPr>
              <w:pStyle w:val="TableParagraph"/>
              <w:rPr>
                <w:sz w:val="18"/>
              </w:rPr>
            </w:pPr>
          </w:p>
        </w:tc>
        <w:tc>
          <w:tcPr>
            <w:tcW w:w="985" w:type="dxa"/>
            <w:tcBorders>
              <w:top w:val="single" w:sz="4" w:space="0" w:color="000000"/>
            </w:tcBorders>
          </w:tcPr>
          <w:p>
            <w:pPr>
              <w:pStyle w:val="TableParagraph"/>
              <w:rPr>
                <w:sz w:val="18"/>
              </w:rPr>
            </w:pPr>
          </w:p>
        </w:tc>
        <w:tc>
          <w:tcPr>
            <w:tcW w:w="1075" w:type="dxa"/>
            <w:tcBorders>
              <w:top w:val="single" w:sz="4" w:space="0" w:color="000000"/>
            </w:tcBorders>
          </w:tcPr>
          <w:p>
            <w:pPr>
              <w:pStyle w:val="TableParagraph"/>
              <w:rPr>
                <w:sz w:val="18"/>
              </w:rPr>
            </w:pPr>
          </w:p>
        </w:tc>
      </w:tr>
      <w:tr>
        <w:trPr>
          <w:trHeight w:val="250" w:hRule="atLeast"/>
        </w:trPr>
        <w:tc>
          <w:tcPr>
            <w:tcW w:w="4410" w:type="dxa"/>
            <w:tcBorders>
              <w:bottom w:val="single" w:sz="4" w:space="0" w:color="000000"/>
            </w:tcBorders>
            <w:shd w:val="clear" w:color="auto" w:fill="CCEDFF"/>
          </w:tcPr>
          <w:p>
            <w:pPr>
              <w:pStyle w:val="TableParagraph"/>
              <w:spacing w:before="18"/>
              <w:ind w:left="52"/>
              <w:rPr>
                <w:sz w:val="18"/>
              </w:rPr>
            </w:pPr>
            <w:r>
              <w:rPr>
                <w:sz w:val="18"/>
              </w:rPr>
              <w:t>U.S.</w:t>
            </w:r>
            <w:r>
              <w:rPr>
                <w:spacing w:val="-1"/>
                <w:sz w:val="18"/>
              </w:rPr>
              <w:t> </w:t>
            </w:r>
            <w:r>
              <w:rPr>
                <w:sz w:val="18"/>
              </w:rPr>
              <w:t>agency</w:t>
            </w:r>
            <w:r>
              <w:rPr>
                <w:spacing w:val="-1"/>
                <w:sz w:val="18"/>
              </w:rPr>
              <w:t> </w:t>
            </w:r>
            <w:r>
              <w:rPr>
                <w:sz w:val="18"/>
              </w:rPr>
              <w:t>mortgage-backed </w:t>
            </w:r>
            <w:r>
              <w:rPr>
                <w:spacing w:val="-2"/>
                <w:sz w:val="18"/>
              </w:rPr>
              <w:t>securities</w:t>
            </w:r>
          </w:p>
        </w:tc>
        <w:tc>
          <w:tcPr>
            <w:tcW w:w="1467" w:type="dxa"/>
            <w:tcBorders>
              <w:bottom w:val="single" w:sz="4" w:space="0" w:color="000000"/>
            </w:tcBorders>
            <w:shd w:val="clear" w:color="auto" w:fill="CCEDFF"/>
          </w:tcPr>
          <w:p>
            <w:pPr>
              <w:pStyle w:val="TableParagraph"/>
              <w:tabs>
                <w:tab w:pos="457" w:val="left" w:leader="none"/>
              </w:tabs>
              <w:spacing w:before="18"/>
              <w:ind w:right="174"/>
              <w:jc w:val="right"/>
              <w:rPr>
                <w:sz w:val="18"/>
              </w:rPr>
            </w:pPr>
            <w:r>
              <w:rPr>
                <w:spacing w:val="-10"/>
                <w:sz w:val="18"/>
              </w:rPr>
              <w:t>$</w:t>
            </w:r>
            <w:r>
              <w:rPr>
                <w:sz w:val="18"/>
              </w:rPr>
              <w:tab/>
            </w:r>
            <w:r>
              <w:rPr>
                <w:spacing w:val="-5"/>
                <w:sz w:val="18"/>
              </w:rPr>
              <w:t>724</w:t>
            </w:r>
          </w:p>
        </w:tc>
        <w:tc>
          <w:tcPr>
            <w:tcW w:w="1159" w:type="dxa"/>
            <w:tcBorders>
              <w:bottom w:val="single" w:sz="4" w:space="0" w:color="000000"/>
            </w:tcBorders>
            <w:shd w:val="clear" w:color="auto" w:fill="CCEDFF"/>
          </w:tcPr>
          <w:p>
            <w:pPr>
              <w:pStyle w:val="TableParagraph"/>
              <w:tabs>
                <w:tab w:pos="322" w:val="left" w:leader="none"/>
              </w:tabs>
              <w:spacing w:before="18"/>
              <w:ind w:right="253"/>
              <w:jc w:val="right"/>
              <w:rPr>
                <w:sz w:val="18"/>
              </w:rPr>
            </w:pPr>
            <w:r>
              <w:rPr>
                <w:spacing w:val="-10"/>
                <w:sz w:val="18"/>
              </w:rPr>
              <w:t>$</w:t>
            </w:r>
            <w:r>
              <w:rPr>
                <w:sz w:val="18"/>
              </w:rPr>
              <w:tab/>
            </w:r>
            <w:r>
              <w:rPr>
                <w:spacing w:val="-2"/>
                <w:sz w:val="18"/>
              </w:rPr>
              <w:t>6,780</w:t>
            </w:r>
          </w:p>
        </w:tc>
        <w:tc>
          <w:tcPr>
            <w:tcW w:w="1165" w:type="dxa"/>
            <w:tcBorders>
              <w:bottom w:val="single" w:sz="4" w:space="0" w:color="000000"/>
            </w:tcBorders>
            <w:shd w:val="clear" w:color="auto" w:fill="CCEDFF"/>
          </w:tcPr>
          <w:p>
            <w:pPr>
              <w:pStyle w:val="TableParagraph"/>
              <w:tabs>
                <w:tab w:pos="322" w:val="left" w:leader="none"/>
              </w:tabs>
              <w:spacing w:before="18"/>
              <w:ind w:right="248"/>
              <w:jc w:val="right"/>
              <w:rPr>
                <w:sz w:val="18"/>
              </w:rPr>
            </w:pPr>
            <w:r>
              <w:rPr>
                <w:spacing w:val="-10"/>
                <w:sz w:val="18"/>
              </w:rPr>
              <w:t>$</w:t>
            </w:r>
            <w:r>
              <w:rPr>
                <w:sz w:val="18"/>
              </w:rPr>
              <w:tab/>
            </w:r>
            <w:r>
              <w:rPr>
                <w:spacing w:val="-2"/>
                <w:sz w:val="18"/>
              </w:rPr>
              <w:t>36,652</w:t>
            </w:r>
          </w:p>
        </w:tc>
        <w:tc>
          <w:tcPr>
            <w:tcW w:w="985" w:type="dxa"/>
            <w:tcBorders>
              <w:bottom w:val="single" w:sz="4" w:space="0" w:color="000000"/>
            </w:tcBorders>
            <w:shd w:val="clear" w:color="auto" w:fill="CCEDFF"/>
          </w:tcPr>
          <w:p>
            <w:pPr>
              <w:pStyle w:val="TableParagraph"/>
              <w:spacing w:before="18"/>
              <w:ind w:right="198"/>
              <w:jc w:val="right"/>
              <w:rPr>
                <w:sz w:val="18"/>
              </w:rPr>
            </w:pPr>
            <w:r>
              <w:rPr>
                <w:sz w:val="18"/>
              </w:rPr>
              <w:t>$</w:t>
            </w:r>
            <w:r>
              <w:rPr>
                <w:spacing w:val="52"/>
                <w:sz w:val="18"/>
              </w:rPr>
              <w:t> </w:t>
            </w:r>
            <w:r>
              <w:rPr>
                <w:spacing w:val="-2"/>
                <w:sz w:val="18"/>
              </w:rPr>
              <w:t>98,847</w:t>
            </w:r>
          </w:p>
        </w:tc>
        <w:tc>
          <w:tcPr>
            <w:tcW w:w="1075" w:type="dxa"/>
            <w:tcBorders>
              <w:bottom w:val="single" w:sz="4" w:space="0" w:color="000000"/>
            </w:tcBorders>
            <w:shd w:val="clear" w:color="auto" w:fill="CCEDFF"/>
          </w:tcPr>
          <w:p>
            <w:pPr>
              <w:pStyle w:val="TableParagraph"/>
              <w:spacing w:before="18"/>
              <w:ind w:right="238"/>
              <w:jc w:val="right"/>
              <w:rPr>
                <w:sz w:val="18"/>
              </w:rPr>
            </w:pPr>
            <w:r>
              <w:rPr>
                <w:spacing w:val="-2"/>
                <w:sz w:val="18"/>
              </w:rPr>
              <w:t>$143,003</w:t>
            </w:r>
          </w:p>
        </w:tc>
      </w:tr>
      <w:tr>
        <w:trPr>
          <w:trHeight w:val="250" w:hRule="atLeast"/>
        </w:trPr>
        <w:tc>
          <w:tcPr>
            <w:tcW w:w="4410" w:type="dxa"/>
            <w:tcBorders>
              <w:top w:val="single" w:sz="4" w:space="0" w:color="000000"/>
            </w:tcBorders>
          </w:tcPr>
          <w:p>
            <w:pPr>
              <w:pStyle w:val="TableParagraph"/>
              <w:spacing w:before="13"/>
              <w:ind w:left="277"/>
              <w:rPr>
                <w:sz w:val="18"/>
              </w:rPr>
            </w:pPr>
            <w:r>
              <w:rPr>
                <w:sz w:val="18"/>
              </w:rPr>
              <w:t>Total fair </w:t>
            </w:r>
            <w:r>
              <w:rPr>
                <w:spacing w:val="-2"/>
                <w:sz w:val="18"/>
              </w:rPr>
              <w:t>value</w:t>
            </w:r>
          </w:p>
        </w:tc>
        <w:tc>
          <w:tcPr>
            <w:tcW w:w="1467" w:type="dxa"/>
            <w:tcBorders>
              <w:top w:val="single" w:sz="4" w:space="0" w:color="000000"/>
            </w:tcBorders>
          </w:tcPr>
          <w:p>
            <w:pPr>
              <w:pStyle w:val="TableParagraph"/>
              <w:tabs>
                <w:tab w:pos="457" w:val="left" w:leader="none"/>
              </w:tabs>
              <w:spacing w:before="13"/>
              <w:ind w:right="174"/>
              <w:jc w:val="right"/>
              <w:rPr>
                <w:sz w:val="18"/>
              </w:rPr>
            </w:pPr>
            <w:r>
              <w:rPr>
                <w:spacing w:val="-10"/>
                <w:sz w:val="18"/>
              </w:rPr>
              <w:t>$</w:t>
            </w:r>
            <w:r>
              <w:rPr>
                <w:sz w:val="18"/>
              </w:rPr>
              <w:tab/>
            </w:r>
            <w:r>
              <w:rPr>
                <w:spacing w:val="-5"/>
                <w:sz w:val="18"/>
              </w:rPr>
              <w:t>724</w:t>
            </w:r>
          </w:p>
        </w:tc>
        <w:tc>
          <w:tcPr>
            <w:tcW w:w="1159" w:type="dxa"/>
            <w:tcBorders>
              <w:top w:val="single" w:sz="4" w:space="0" w:color="000000"/>
            </w:tcBorders>
          </w:tcPr>
          <w:p>
            <w:pPr>
              <w:pStyle w:val="TableParagraph"/>
              <w:tabs>
                <w:tab w:pos="322" w:val="left" w:leader="none"/>
              </w:tabs>
              <w:spacing w:before="13"/>
              <w:ind w:right="253"/>
              <w:jc w:val="right"/>
              <w:rPr>
                <w:sz w:val="18"/>
              </w:rPr>
            </w:pPr>
            <w:r>
              <w:rPr>
                <w:spacing w:val="-10"/>
                <w:sz w:val="18"/>
              </w:rPr>
              <w:t>$</w:t>
            </w:r>
            <w:r>
              <w:rPr>
                <w:sz w:val="18"/>
              </w:rPr>
              <w:tab/>
            </w:r>
            <w:r>
              <w:rPr>
                <w:spacing w:val="-2"/>
                <w:sz w:val="18"/>
              </w:rPr>
              <w:t>6,780</w:t>
            </w:r>
          </w:p>
        </w:tc>
        <w:tc>
          <w:tcPr>
            <w:tcW w:w="1165" w:type="dxa"/>
            <w:tcBorders>
              <w:top w:val="single" w:sz="4" w:space="0" w:color="000000"/>
            </w:tcBorders>
          </w:tcPr>
          <w:p>
            <w:pPr>
              <w:pStyle w:val="TableParagraph"/>
              <w:tabs>
                <w:tab w:pos="322" w:val="left" w:leader="none"/>
              </w:tabs>
              <w:spacing w:before="13"/>
              <w:ind w:right="248"/>
              <w:jc w:val="right"/>
              <w:rPr>
                <w:sz w:val="18"/>
              </w:rPr>
            </w:pPr>
            <w:r>
              <w:rPr>
                <w:spacing w:val="-10"/>
                <w:sz w:val="18"/>
              </w:rPr>
              <w:t>$</w:t>
            </w:r>
            <w:r>
              <w:rPr>
                <w:sz w:val="18"/>
              </w:rPr>
              <w:tab/>
            </w:r>
            <w:r>
              <w:rPr>
                <w:spacing w:val="-2"/>
                <w:sz w:val="18"/>
              </w:rPr>
              <w:t>36,652</w:t>
            </w:r>
          </w:p>
        </w:tc>
        <w:tc>
          <w:tcPr>
            <w:tcW w:w="985" w:type="dxa"/>
            <w:tcBorders>
              <w:top w:val="single" w:sz="4" w:space="0" w:color="000000"/>
            </w:tcBorders>
          </w:tcPr>
          <w:p>
            <w:pPr>
              <w:pStyle w:val="TableParagraph"/>
              <w:spacing w:before="13"/>
              <w:ind w:right="198"/>
              <w:jc w:val="right"/>
              <w:rPr>
                <w:sz w:val="18"/>
              </w:rPr>
            </w:pPr>
            <w:r>
              <w:rPr>
                <w:sz w:val="18"/>
              </w:rPr>
              <w:t>$</w:t>
            </w:r>
            <w:r>
              <w:rPr>
                <w:spacing w:val="52"/>
                <w:sz w:val="18"/>
              </w:rPr>
              <w:t> </w:t>
            </w:r>
            <w:r>
              <w:rPr>
                <w:spacing w:val="-2"/>
                <w:sz w:val="18"/>
              </w:rPr>
              <w:t>98,847</w:t>
            </w:r>
          </w:p>
        </w:tc>
        <w:tc>
          <w:tcPr>
            <w:tcW w:w="1075" w:type="dxa"/>
            <w:tcBorders>
              <w:top w:val="single" w:sz="4" w:space="0" w:color="000000"/>
            </w:tcBorders>
          </w:tcPr>
          <w:p>
            <w:pPr>
              <w:pStyle w:val="TableParagraph"/>
              <w:spacing w:before="13"/>
              <w:ind w:right="238"/>
              <w:jc w:val="right"/>
              <w:rPr>
                <w:sz w:val="18"/>
              </w:rPr>
            </w:pPr>
            <w:r>
              <w:rPr>
                <w:spacing w:val="-2"/>
                <w:sz w:val="18"/>
              </w:rPr>
              <w:t>$143,003</w:t>
            </w:r>
          </w:p>
        </w:tc>
      </w:tr>
      <w:tr>
        <w:trPr>
          <w:trHeight w:val="250" w:hRule="atLeast"/>
        </w:trPr>
        <w:tc>
          <w:tcPr>
            <w:tcW w:w="4410" w:type="dxa"/>
            <w:tcBorders>
              <w:bottom w:val="single" w:sz="4" w:space="0" w:color="000000"/>
            </w:tcBorders>
            <w:shd w:val="clear" w:color="auto" w:fill="CCEDFF"/>
          </w:tcPr>
          <w:p>
            <w:pPr>
              <w:pStyle w:val="TableParagraph"/>
              <w:spacing w:before="18"/>
              <w:ind w:left="277"/>
              <w:rPr>
                <w:sz w:val="18"/>
              </w:rPr>
            </w:pPr>
            <w:r>
              <w:rPr>
                <w:sz w:val="18"/>
              </w:rPr>
              <w:t>Total</w:t>
            </w:r>
            <w:r>
              <w:rPr>
                <w:spacing w:val="-2"/>
                <w:sz w:val="18"/>
              </w:rPr>
              <w:t> </w:t>
            </w:r>
            <w:r>
              <w:rPr>
                <w:sz w:val="18"/>
              </w:rPr>
              <w:t>amortized </w:t>
            </w:r>
            <w:r>
              <w:rPr>
                <w:spacing w:val="-4"/>
                <w:sz w:val="18"/>
              </w:rPr>
              <w:t>cost</w:t>
            </w:r>
          </w:p>
        </w:tc>
        <w:tc>
          <w:tcPr>
            <w:tcW w:w="1467" w:type="dxa"/>
            <w:tcBorders>
              <w:bottom w:val="single" w:sz="4" w:space="0" w:color="000000"/>
            </w:tcBorders>
            <w:shd w:val="clear" w:color="auto" w:fill="CCEDFF"/>
          </w:tcPr>
          <w:p>
            <w:pPr>
              <w:pStyle w:val="TableParagraph"/>
              <w:tabs>
                <w:tab w:pos="457" w:val="left" w:leader="none"/>
              </w:tabs>
              <w:spacing w:before="18"/>
              <w:ind w:right="174"/>
              <w:jc w:val="right"/>
              <w:rPr>
                <w:sz w:val="18"/>
              </w:rPr>
            </w:pPr>
            <w:r>
              <w:rPr>
                <w:spacing w:val="-10"/>
                <w:sz w:val="18"/>
              </w:rPr>
              <w:t>$</w:t>
            </w:r>
            <w:r>
              <w:rPr>
                <w:sz w:val="18"/>
              </w:rPr>
              <w:tab/>
            </w:r>
            <w:r>
              <w:rPr>
                <w:spacing w:val="-5"/>
                <w:sz w:val="18"/>
              </w:rPr>
              <w:t>749</w:t>
            </w:r>
          </w:p>
        </w:tc>
        <w:tc>
          <w:tcPr>
            <w:tcW w:w="1159" w:type="dxa"/>
            <w:tcBorders>
              <w:bottom w:val="single" w:sz="4" w:space="0" w:color="000000"/>
            </w:tcBorders>
            <w:shd w:val="clear" w:color="auto" w:fill="CCEDFF"/>
          </w:tcPr>
          <w:p>
            <w:pPr>
              <w:pStyle w:val="TableParagraph"/>
              <w:tabs>
                <w:tab w:pos="322" w:val="left" w:leader="none"/>
              </w:tabs>
              <w:spacing w:before="18"/>
              <w:ind w:right="253"/>
              <w:jc w:val="right"/>
              <w:rPr>
                <w:sz w:val="18"/>
              </w:rPr>
            </w:pPr>
            <w:r>
              <w:rPr>
                <w:spacing w:val="-10"/>
                <w:sz w:val="18"/>
              </w:rPr>
              <w:t>$</w:t>
            </w:r>
            <w:r>
              <w:rPr>
                <w:sz w:val="18"/>
              </w:rPr>
              <w:tab/>
            </w:r>
            <w:r>
              <w:rPr>
                <w:spacing w:val="-2"/>
                <w:sz w:val="18"/>
              </w:rPr>
              <w:t>7,343</w:t>
            </w:r>
          </w:p>
        </w:tc>
        <w:tc>
          <w:tcPr>
            <w:tcW w:w="1165" w:type="dxa"/>
            <w:tcBorders>
              <w:bottom w:val="single" w:sz="4" w:space="0" w:color="000000"/>
            </w:tcBorders>
            <w:shd w:val="clear" w:color="auto" w:fill="CCEDFF"/>
          </w:tcPr>
          <w:p>
            <w:pPr>
              <w:pStyle w:val="TableParagraph"/>
              <w:tabs>
                <w:tab w:pos="322" w:val="left" w:leader="none"/>
              </w:tabs>
              <w:spacing w:before="18"/>
              <w:ind w:right="248"/>
              <w:jc w:val="right"/>
              <w:rPr>
                <w:sz w:val="18"/>
              </w:rPr>
            </w:pPr>
            <w:r>
              <w:rPr>
                <w:spacing w:val="-10"/>
                <w:sz w:val="18"/>
              </w:rPr>
              <w:t>$</w:t>
            </w:r>
            <w:r>
              <w:rPr>
                <w:sz w:val="18"/>
              </w:rPr>
              <w:tab/>
            </w:r>
            <w:r>
              <w:rPr>
                <w:spacing w:val="-2"/>
                <w:sz w:val="18"/>
              </w:rPr>
              <w:t>41,217</w:t>
            </w:r>
          </w:p>
        </w:tc>
        <w:tc>
          <w:tcPr>
            <w:tcW w:w="985" w:type="dxa"/>
            <w:tcBorders>
              <w:bottom w:val="single" w:sz="4" w:space="0" w:color="000000"/>
            </w:tcBorders>
            <w:shd w:val="clear" w:color="auto" w:fill="CCEDFF"/>
          </w:tcPr>
          <w:p>
            <w:pPr>
              <w:pStyle w:val="TableParagraph"/>
              <w:spacing w:before="18"/>
              <w:ind w:right="198"/>
              <w:jc w:val="right"/>
              <w:rPr>
                <w:sz w:val="18"/>
              </w:rPr>
            </w:pPr>
            <w:r>
              <w:rPr>
                <w:spacing w:val="-2"/>
                <w:sz w:val="18"/>
              </w:rPr>
              <w:t>$113,143</w:t>
            </w:r>
          </w:p>
        </w:tc>
        <w:tc>
          <w:tcPr>
            <w:tcW w:w="1075" w:type="dxa"/>
            <w:tcBorders>
              <w:bottom w:val="single" w:sz="4" w:space="0" w:color="000000"/>
            </w:tcBorders>
            <w:shd w:val="clear" w:color="auto" w:fill="CCEDFF"/>
          </w:tcPr>
          <w:p>
            <w:pPr>
              <w:pStyle w:val="TableParagraph"/>
              <w:spacing w:before="18"/>
              <w:ind w:right="238"/>
              <w:jc w:val="right"/>
              <w:rPr>
                <w:sz w:val="18"/>
              </w:rPr>
            </w:pPr>
            <w:r>
              <w:rPr>
                <w:spacing w:val="-2"/>
                <w:sz w:val="18"/>
              </w:rPr>
              <w:t>$162,452</w:t>
            </w:r>
          </w:p>
        </w:tc>
      </w:tr>
    </w:tbl>
    <w:p>
      <w:pPr>
        <w:spacing w:before="51"/>
        <w:ind w:left="470" w:right="0" w:firstLine="0"/>
        <w:jc w:val="left"/>
        <w:rPr>
          <w:sz w:val="16"/>
        </w:rPr>
      </w:pPr>
      <w:r>
        <w:rPr>
          <w:sz w:val="16"/>
          <w:vertAlign w:val="superscript"/>
        </w:rPr>
        <w:t>(1)</w:t>
      </w:r>
      <w:r>
        <w:rPr>
          <w:spacing w:val="-15"/>
          <w:sz w:val="16"/>
          <w:vertAlign w:val="baseline"/>
        </w:rPr>
        <w:t> </w:t>
      </w:r>
      <w:r>
        <w:rPr>
          <w:sz w:val="16"/>
          <w:vertAlign w:val="baseline"/>
        </w:rPr>
        <w:t>For</w:t>
      </w:r>
      <w:r>
        <w:rPr>
          <w:spacing w:val="-1"/>
          <w:sz w:val="16"/>
          <w:vertAlign w:val="baseline"/>
        </w:rPr>
        <w:t> </w:t>
      </w:r>
      <w:r>
        <w:rPr>
          <w:sz w:val="16"/>
          <w:vertAlign w:val="baseline"/>
        </w:rPr>
        <w:t>purposes</w:t>
      </w:r>
      <w:r>
        <w:rPr>
          <w:spacing w:val="-1"/>
          <w:sz w:val="16"/>
          <w:vertAlign w:val="baseline"/>
        </w:rPr>
        <w:t> </w:t>
      </w:r>
      <w:r>
        <w:rPr>
          <w:sz w:val="16"/>
          <w:vertAlign w:val="baseline"/>
        </w:rPr>
        <w:t>of this</w:t>
      </w:r>
      <w:r>
        <w:rPr>
          <w:spacing w:val="-1"/>
          <w:sz w:val="16"/>
          <w:vertAlign w:val="baseline"/>
        </w:rPr>
        <w:t> </w:t>
      </w:r>
      <w:r>
        <w:rPr>
          <w:sz w:val="16"/>
          <w:vertAlign w:val="baseline"/>
        </w:rPr>
        <w:t>table, the amortized cost of AFS</w:t>
      </w:r>
      <w:r>
        <w:rPr>
          <w:spacing w:val="-1"/>
          <w:sz w:val="16"/>
          <w:vertAlign w:val="baseline"/>
        </w:rPr>
        <w:t> </w:t>
      </w:r>
      <w:r>
        <w:rPr>
          <w:sz w:val="16"/>
          <w:vertAlign w:val="baseline"/>
        </w:rPr>
        <w:t>securities</w:t>
      </w:r>
      <w:r>
        <w:rPr>
          <w:spacing w:val="-1"/>
          <w:sz w:val="16"/>
          <w:vertAlign w:val="baseline"/>
        </w:rPr>
        <w:t> </w:t>
      </w:r>
      <w:r>
        <w:rPr>
          <w:sz w:val="16"/>
          <w:vertAlign w:val="baseline"/>
        </w:rPr>
        <w:t>excludes</w:t>
      </w:r>
      <w:r>
        <w:rPr>
          <w:spacing w:val="-1"/>
          <w:sz w:val="16"/>
          <w:vertAlign w:val="baseline"/>
        </w:rPr>
        <w:t> </w:t>
      </w:r>
      <w:r>
        <w:rPr>
          <w:sz w:val="16"/>
          <w:vertAlign w:val="baseline"/>
        </w:rPr>
        <w:t>the PLM</w:t>
      </w:r>
      <w:r>
        <w:rPr>
          <w:spacing w:val="-1"/>
          <w:sz w:val="16"/>
          <w:vertAlign w:val="baseline"/>
        </w:rPr>
        <w:t> </w:t>
      </w:r>
      <w:r>
        <w:rPr>
          <w:sz w:val="16"/>
          <w:vertAlign w:val="baseline"/>
        </w:rPr>
        <w:t>fair</w:t>
      </w:r>
      <w:r>
        <w:rPr>
          <w:spacing w:val="-1"/>
          <w:sz w:val="16"/>
          <w:vertAlign w:val="baseline"/>
        </w:rPr>
        <w:t> </w:t>
      </w:r>
      <w:r>
        <w:rPr>
          <w:sz w:val="16"/>
          <w:vertAlign w:val="baseline"/>
        </w:rPr>
        <w:t>value hedge basis</w:t>
      </w:r>
      <w:r>
        <w:rPr>
          <w:spacing w:val="-1"/>
          <w:sz w:val="16"/>
          <w:vertAlign w:val="baseline"/>
        </w:rPr>
        <w:t> </w:t>
      </w:r>
      <w:r>
        <w:rPr>
          <w:sz w:val="16"/>
          <w:vertAlign w:val="baseline"/>
        </w:rPr>
        <w:t>adjustments</w:t>
      </w:r>
      <w:r>
        <w:rPr>
          <w:spacing w:val="-1"/>
          <w:sz w:val="16"/>
          <w:vertAlign w:val="baseline"/>
        </w:rPr>
        <w:t> </w:t>
      </w:r>
      <w:r>
        <w:rPr>
          <w:sz w:val="16"/>
          <w:vertAlign w:val="baseline"/>
        </w:rPr>
        <w:t>of</w:t>
      </w:r>
      <w:r>
        <w:rPr>
          <w:spacing w:val="-4"/>
          <w:sz w:val="16"/>
          <w:vertAlign w:val="baseline"/>
        </w:rPr>
        <w:t> </w:t>
      </w:r>
      <w:r>
        <w:rPr>
          <w:sz w:val="16"/>
          <w:vertAlign w:val="baseline"/>
        </w:rPr>
        <w:t>$57 million</w:t>
      </w:r>
      <w:r>
        <w:rPr>
          <w:spacing w:val="-1"/>
          <w:sz w:val="16"/>
          <w:vertAlign w:val="baseline"/>
        </w:rPr>
        <w:t> </w:t>
      </w:r>
      <w:r>
        <w:rPr>
          <w:sz w:val="16"/>
          <w:vertAlign w:val="baseline"/>
        </w:rPr>
        <w:t>at</w:t>
      </w:r>
      <w:r>
        <w:rPr>
          <w:spacing w:val="-1"/>
          <w:sz w:val="16"/>
          <w:vertAlign w:val="baseline"/>
        </w:rPr>
        <w:t> </w:t>
      </w:r>
      <w:r>
        <w:rPr>
          <w:sz w:val="16"/>
          <w:vertAlign w:val="baseline"/>
        </w:rPr>
        <w:t>September 30, </w:t>
      </w:r>
      <w:r>
        <w:rPr>
          <w:spacing w:val="-2"/>
          <w:sz w:val="16"/>
          <w:vertAlign w:val="baseline"/>
        </w:rPr>
        <w:t>2023.</w:t>
      </w:r>
    </w:p>
    <w:p>
      <w:pPr>
        <w:pStyle w:val="BodyText"/>
        <w:spacing w:before="9"/>
        <w:rPr>
          <w:sz w:val="13"/>
        </w:rPr>
      </w:pPr>
    </w:p>
    <w:p>
      <w:pPr>
        <w:spacing w:after="0"/>
        <w:rPr>
          <w:sz w:val="13"/>
        </w:rPr>
        <w:sectPr>
          <w:pgSz w:w="12240" w:h="15840"/>
          <w:pgMar w:header="227" w:footer="201" w:top="1080" w:bottom="400" w:left="520" w:right="520"/>
        </w:sectPr>
      </w:pPr>
    </w:p>
    <w:p>
      <w:pPr>
        <w:pStyle w:val="BodyText"/>
        <w:spacing w:before="92"/>
        <w:ind w:left="470"/>
      </w:pPr>
      <w:r>
        <w:rPr/>
        <w:t>Proceeds</w:t>
      </w:r>
      <w:r>
        <w:rPr>
          <w:spacing w:val="-6"/>
        </w:rPr>
        <w:t> </w:t>
      </w:r>
      <w:r>
        <w:rPr/>
        <w:t>and</w:t>
      </w:r>
      <w:r>
        <w:rPr>
          <w:spacing w:val="-3"/>
        </w:rPr>
        <w:t> </w:t>
      </w:r>
      <w:r>
        <w:rPr/>
        <w:t>gross</w:t>
      </w:r>
      <w:r>
        <w:rPr>
          <w:spacing w:val="-4"/>
        </w:rPr>
        <w:t> </w:t>
      </w:r>
      <w:r>
        <w:rPr/>
        <w:t>realized</w:t>
      </w:r>
      <w:r>
        <w:rPr>
          <w:spacing w:val="-2"/>
        </w:rPr>
        <w:t> </w:t>
      </w:r>
      <w:r>
        <w:rPr/>
        <w:t>gains</w:t>
      </w:r>
      <w:r>
        <w:rPr>
          <w:spacing w:val="-4"/>
        </w:rPr>
        <w:t> </w:t>
      </w:r>
      <w:r>
        <w:rPr/>
        <w:t>and</w:t>
      </w:r>
      <w:r>
        <w:rPr>
          <w:spacing w:val="-3"/>
        </w:rPr>
        <w:t> </w:t>
      </w:r>
      <w:r>
        <w:rPr/>
        <w:t>losses</w:t>
      </w:r>
      <w:r>
        <w:rPr>
          <w:spacing w:val="-3"/>
        </w:rPr>
        <w:t> </w:t>
      </w:r>
      <w:r>
        <w:rPr/>
        <w:t>from</w:t>
      </w:r>
      <w:r>
        <w:rPr>
          <w:spacing w:val="-4"/>
        </w:rPr>
        <w:t> </w:t>
      </w:r>
      <w:r>
        <w:rPr/>
        <w:t>sales</w:t>
      </w:r>
      <w:r>
        <w:rPr>
          <w:spacing w:val="-4"/>
        </w:rPr>
        <w:t> </w:t>
      </w:r>
      <w:r>
        <w:rPr/>
        <w:t>of</w:t>
      </w:r>
      <w:r>
        <w:rPr>
          <w:spacing w:val="-2"/>
        </w:rPr>
        <w:t> </w:t>
      </w:r>
      <w:r>
        <w:rPr/>
        <w:t>AFS</w:t>
      </w:r>
      <w:r>
        <w:rPr>
          <w:spacing w:val="-4"/>
        </w:rPr>
        <w:t> </w:t>
      </w:r>
      <w:r>
        <w:rPr/>
        <w:t>investment</w:t>
      </w:r>
      <w:r>
        <w:rPr>
          <w:spacing w:val="-4"/>
        </w:rPr>
        <w:t> </w:t>
      </w:r>
      <w:r>
        <w:rPr/>
        <w:t>securities</w:t>
      </w:r>
      <w:r>
        <w:rPr>
          <w:spacing w:val="-3"/>
        </w:rPr>
        <w:t> </w:t>
      </w:r>
      <w:r>
        <w:rPr/>
        <w:t>are</w:t>
      </w:r>
      <w:r>
        <w:rPr>
          <w:spacing w:val="-4"/>
        </w:rPr>
        <w:t> </w:t>
      </w:r>
      <w:r>
        <w:rPr/>
        <w:t>as</w:t>
      </w:r>
      <w:r>
        <w:rPr>
          <w:spacing w:val="-3"/>
        </w:rPr>
        <w:t> </w:t>
      </w:r>
      <w:r>
        <w:rPr>
          <w:spacing w:val="-2"/>
        </w:rPr>
        <w:t>follows:</w:t>
      </w:r>
    </w:p>
    <w:p>
      <w:pPr>
        <w:spacing w:line="208" w:lineRule="auto" w:before="173"/>
        <w:ind w:left="7375" w:right="0" w:hanging="240"/>
        <w:jc w:val="left"/>
        <w:rPr>
          <w:sz w:val="18"/>
        </w:rPr>
      </w:pPr>
      <w:r>
        <w:rPr/>
        <mc:AlternateContent>
          <mc:Choice Requires="wps">
            <w:drawing>
              <wp:anchor distT="0" distB="0" distL="0" distR="0" allowOverlap="1" layoutInCell="1" locked="0" behindDoc="0" simplePos="0" relativeHeight="15748096">
                <wp:simplePos x="0" y="0"/>
                <wp:positionH relativeFrom="page">
                  <wp:posOffset>628650</wp:posOffset>
                </wp:positionH>
                <wp:positionV relativeFrom="paragraph">
                  <wp:posOffset>72102</wp:posOffset>
                </wp:positionV>
                <wp:extent cx="6515100" cy="6350"/>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6515100" cy="6350"/>
                          <a:chExt cx="6515100" cy="6350"/>
                        </a:xfrm>
                      </wpg:grpSpPr>
                      <wps:wsp>
                        <wps:cNvPr id="159" name="Graphic 159"/>
                        <wps:cNvSpPr/>
                        <wps:spPr>
                          <a:xfrm>
                            <a:off x="0" y="3175"/>
                            <a:ext cx="5381625" cy="1270"/>
                          </a:xfrm>
                          <a:custGeom>
                            <a:avLst/>
                            <a:gdLst/>
                            <a:ahLst/>
                            <a:cxnLst/>
                            <a:rect l="l" t="t" r="r" b="b"/>
                            <a:pathLst>
                              <a:path w="5381625" h="0">
                                <a:moveTo>
                                  <a:pt x="5381625" y="0"/>
                                </a:moveTo>
                                <a:lnTo>
                                  <a:pt x="0" y="0"/>
                                </a:lnTo>
                              </a:path>
                            </a:pathLst>
                          </a:custGeom>
                          <a:solidFill>
                            <a:srgbClr val="000000"/>
                          </a:solidFill>
                        </wps:spPr>
                        <wps:bodyPr wrap="square" lIns="0" tIns="0" rIns="0" bIns="0" rtlCol="0">
                          <a:prstTxWarp prst="textNoShape">
                            <a:avLst/>
                          </a:prstTxWarp>
                          <a:noAutofit/>
                        </wps:bodyPr>
                      </wps:wsp>
                      <wps:wsp>
                        <wps:cNvPr id="160" name="Graphic 160"/>
                        <wps:cNvSpPr/>
                        <wps:spPr>
                          <a:xfrm>
                            <a:off x="0" y="3175"/>
                            <a:ext cx="5381625" cy="1270"/>
                          </a:xfrm>
                          <a:custGeom>
                            <a:avLst/>
                            <a:gdLst/>
                            <a:ahLst/>
                            <a:cxnLst/>
                            <a:rect l="l" t="t" r="r" b="b"/>
                            <a:pathLst>
                              <a:path w="5381625" h="0">
                                <a:moveTo>
                                  <a:pt x="0" y="0"/>
                                </a:moveTo>
                                <a:lnTo>
                                  <a:pt x="5381625" y="0"/>
                                </a:lnTo>
                              </a:path>
                            </a:pathLst>
                          </a:custGeom>
                          <a:ln w="6350">
                            <a:solidFill>
                              <a:srgbClr val="000000"/>
                            </a:solidFill>
                            <a:prstDash val="solid"/>
                          </a:ln>
                        </wps:spPr>
                        <wps:bodyPr wrap="square" lIns="0" tIns="0" rIns="0" bIns="0" rtlCol="0">
                          <a:prstTxWarp prst="textNoShape">
                            <a:avLst/>
                          </a:prstTxWarp>
                          <a:noAutofit/>
                        </wps:bodyPr>
                      </wps:wsp>
                      <wps:wsp>
                        <wps:cNvPr id="161" name="Graphic 161"/>
                        <wps:cNvSpPr/>
                        <wps:spPr>
                          <a:xfrm>
                            <a:off x="5381625" y="3175"/>
                            <a:ext cx="1133475" cy="1270"/>
                          </a:xfrm>
                          <a:custGeom>
                            <a:avLst/>
                            <a:gdLst/>
                            <a:ahLst/>
                            <a:cxnLst/>
                            <a:rect l="l" t="t" r="r" b="b"/>
                            <a:pathLst>
                              <a:path w="1133475" h="0">
                                <a:moveTo>
                                  <a:pt x="1133475" y="0"/>
                                </a:moveTo>
                                <a:lnTo>
                                  <a:pt x="0" y="0"/>
                                </a:lnTo>
                              </a:path>
                            </a:pathLst>
                          </a:custGeom>
                          <a:solidFill>
                            <a:srgbClr val="000000"/>
                          </a:solidFill>
                        </wps:spPr>
                        <wps:bodyPr wrap="square" lIns="0" tIns="0" rIns="0" bIns="0" rtlCol="0">
                          <a:prstTxWarp prst="textNoShape">
                            <a:avLst/>
                          </a:prstTxWarp>
                          <a:noAutofit/>
                        </wps:bodyPr>
                      </wps:wsp>
                      <wps:wsp>
                        <wps:cNvPr id="162" name="Graphic 162"/>
                        <wps:cNvSpPr/>
                        <wps:spPr>
                          <a:xfrm>
                            <a:off x="5381625" y="3175"/>
                            <a:ext cx="1133475" cy="1270"/>
                          </a:xfrm>
                          <a:custGeom>
                            <a:avLst/>
                            <a:gdLst/>
                            <a:ahLst/>
                            <a:cxnLst/>
                            <a:rect l="l" t="t" r="r" b="b"/>
                            <a:pathLst>
                              <a:path w="1133475" h="0">
                                <a:moveTo>
                                  <a:pt x="0" y="0"/>
                                </a:moveTo>
                                <a:lnTo>
                                  <a:pt x="113347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5.677392pt;width:513pt;height:.5pt;mso-position-horizontal-relative:page;mso-position-vertical-relative:paragraph;z-index:15748096" id="docshapegroup113" coordorigin="990,114" coordsize="10260,10">
                <v:shape style="position:absolute;left:990;top:118;width:8475;height:2" id="docshape114" coordorigin="990,119" coordsize="8475,0" path="m9465,119l990,119e" filled="true" fillcolor="#000000" stroked="false">
                  <v:path arrowok="t"/>
                  <v:fill opacity="0f" type="solid"/>
                </v:shape>
                <v:line style="position:absolute" from="990,119" to="9465,119" stroked="true" strokeweight=".5pt" strokecolor="#000000">
                  <v:stroke dashstyle="solid"/>
                </v:line>
                <v:shape style="position:absolute;left:9465;top:118;width:1785;height:2" id="docshape115" coordorigin="9465,119" coordsize="1785,0" path="m11250,119l9465,119e" filled="true" fillcolor="#000000" stroked="false">
                  <v:path arrowok="t"/>
                  <v:fill opacity="0f" type="solid"/>
                </v:shape>
                <v:line style="position:absolute" from="9465,119" to="11250,119" stroked="true" strokeweight=".5pt" strokecolor="#000000">
                  <v:stroke dashstyle="solid"/>
                </v:line>
                <w10:wrap type="none"/>
              </v:group>
            </w:pict>
          </mc:Fallback>
        </mc:AlternateContent>
      </w:r>
      <w:r>
        <w:rPr>
          <w:sz w:val="18"/>
        </w:rPr>
        <w:t>Three</w:t>
      </w:r>
      <w:r>
        <w:rPr>
          <w:spacing w:val="-12"/>
          <w:sz w:val="18"/>
        </w:rPr>
        <w:t> </w:t>
      </w:r>
      <w:r>
        <w:rPr>
          <w:sz w:val="18"/>
        </w:rPr>
        <w:t>Months</w:t>
      </w:r>
      <w:r>
        <w:rPr>
          <w:spacing w:val="-11"/>
          <w:sz w:val="18"/>
        </w:rPr>
        <w:t> </w:t>
      </w:r>
      <w:r>
        <w:rPr>
          <w:sz w:val="18"/>
        </w:rPr>
        <w:t>Ended September 30,</w:t>
      </w:r>
    </w:p>
    <w:p>
      <w:pPr>
        <w:spacing w:line="240" w:lineRule="auto" w:before="0"/>
        <w:rPr>
          <w:sz w:val="18"/>
        </w:rPr>
      </w:pPr>
      <w:r>
        <w:rPr/>
        <w:br w:type="column"/>
      </w:r>
      <w:r>
        <w:rPr>
          <w:sz w:val="18"/>
        </w:rPr>
      </w:r>
    </w:p>
    <w:p>
      <w:pPr>
        <w:pStyle w:val="BodyText"/>
        <w:spacing w:before="81"/>
        <w:rPr>
          <w:sz w:val="18"/>
        </w:rPr>
      </w:pPr>
    </w:p>
    <w:p>
      <w:pPr>
        <w:spacing w:line="208" w:lineRule="auto" w:before="0"/>
        <w:ind w:left="622" w:right="635" w:hanging="205"/>
        <w:jc w:val="left"/>
        <w:rPr>
          <w:sz w:val="18"/>
        </w:rPr>
      </w:pPr>
      <w:r>
        <w:rPr>
          <w:sz w:val="18"/>
        </w:rPr>
        <w:t>Nine</w:t>
      </w:r>
      <w:r>
        <w:rPr>
          <w:spacing w:val="-12"/>
          <w:sz w:val="18"/>
        </w:rPr>
        <w:t> </w:t>
      </w:r>
      <w:r>
        <w:rPr>
          <w:sz w:val="18"/>
        </w:rPr>
        <w:t>Months</w:t>
      </w:r>
      <w:r>
        <w:rPr>
          <w:spacing w:val="-11"/>
          <w:sz w:val="18"/>
        </w:rPr>
        <w:t> </w:t>
      </w:r>
      <w:r>
        <w:rPr>
          <w:sz w:val="18"/>
        </w:rPr>
        <w:t>Ended September 30,</w:t>
      </w:r>
    </w:p>
    <w:p>
      <w:pPr>
        <w:spacing w:after="0" w:line="208" w:lineRule="auto"/>
        <w:jc w:val="left"/>
        <w:rPr>
          <w:sz w:val="18"/>
        </w:rPr>
        <w:sectPr>
          <w:type w:val="continuous"/>
          <w:pgSz w:w="12240" w:h="15840"/>
          <w:pgMar w:header="227" w:footer="201" w:top="320" w:bottom="280" w:left="520" w:right="520"/>
          <w:cols w:num="2" w:equalWidth="0">
            <w:col w:w="8656" w:space="40"/>
            <w:col w:w="2504"/>
          </w:cols>
        </w:sectPr>
      </w:pPr>
    </w:p>
    <w:p>
      <w:pPr>
        <w:pStyle w:val="BodyText"/>
        <w:rPr>
          <w:sz w:val="3"/>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5"/>
        <w:gridCol w:w="971"/>
        <w:gridCol w:w="1027"/>
        <w:gridCol w:w="922"/>
        <w:gridCol w:w="903"/>
      </w:tblGrid>
      <w:tr>
        <w:trPr>
          <w:trHeight w:val="245" w:hRule="atLeast"/>
        </w:trPr>
        <w:tc>
          <w:tcPr>
            <w:tcW w:w="6435" w:type="dxa"/>
            <w:tcBorders>
              <w:bottom w:val="single" w:sz="4" w:space="0" w:color="000000"/>
            </w:tcBorders>
          </w:tcPr>
          <w:p>
            <w:pPr>
              <w:pStyle w:val="TableParagraph"/>
              <w:rPr>
                <w:sz w:val="16"/>
              </w:rPr>
            </w:pPr>
          </w:p>
        </w:tc>
        <w:tc>
          <w:tcPr>
            <w:tcW w:w="971" w:type="dxa"/>
            <w:tcBorders>
              <w:top w:val="single" w:sz="4" w:space="0" w:color="000000"/>
              <w:bottom w:val="single" w:sz="4" w:space="0" w:color="000000"/>
            </w:tcBorders>
          </w:tcPr>
          <w:p>
            <w:pPr>
              <w:pStyle w:val="TableParagraph"/>
              <w:spacing w:before="13"/>
              <w:ind w:left="292"/>
              <w:rPr>
                <w:sz w:val="18"/>
              </w:rPr>
            </w:pPr>
            <w:r>
              <w:rPr>
                <w:spacing w:val="-4"/>
                <w:sz w:val="18"/>
              </w:rPr>
              <w:t>2023</w:t>
            </w:r>
          </w:p>
        </w:tc>
        <w:tc>
          <w:tcPr>
            <w:tcW w:w="1027" w:type="dxa"/>
            <w:tcBorders>
              <w:top w:val="single" w:sz="4" w:space="0" w:color="000000"/>
              <w:bottom w:val="single" w:sz="4" w:space="0" w:color="000000"/>
            </w:tcBorders>
          </w:tcPr>
          <w:p>
            <w:pPr>
              <w:pStyle w:val="TableParagraph"/>
              <w:spacing w:before="13"/>
              <w:ind w:left="348"/>
              <w:rPr>
                <w:sz w:val="18"/>
              </w:rPr>
            </w:pPr>
            <w:r>
              <w:rPr>
                <w:spacing w:val="-4"/>
                <w:sz w:val="18"/>
              </w:rPr>
              <w:t>2022</w:t>
            </w:r>
          </w:p>
        </w:tc>
        <w:tc>
          <w:tcPr>
            <w:tcW w:w="922" w:type="dxa"/>
            <w:tcBorders>
              <w:top w:val="single" w:sz="4" w:space="0" w:color="000000"/>
              <w:bottom w:val="single" w:sz="4" w:space="0" w:color="000000"/>
            </w:tcBorders>
          </w:tcPr>
          <w:p>
            <w:pPr>
              <w:pStyle w:val="TableParagraph"/>
              <w:spacing w:before="13"/>
              <w:ind w:left="289"/>
              <w:rPr>
                <w:sz w:val="18"/>
              </w:rPr>
            </w:pPr>
            <w:r>
              <w:rPr>
                <w:spacing w:val="-4"/>
                <w:sz w:val="18"/>
              </w:rPr>
              <w:t>2023</w:t>
            </w:r>
          </w:p>
        </w:tc>
        <w:tc>
          <w:tcPr>
            <w:tcW w:w="903" w:type="dxa"/>
            <w:tcBorders>
              <w:top w:val="single" w:sz="4" w:space="0" w:color="000000"/>
              <w:bottom w:val="single" w:sz="4" w:space="0" w:color="000000"/>
            </w:tcBorders>
          </w:tcPr>
          <w:p>
            <w:pPr>
              <w:pStyle w:val="TableParagraph"/>
              <w:spacing w:before="13"/>
              <w:ind w:left="297"/>
              <w:rPr>
                <w:sz w:val="18"/>
              </w:rPr>
            </w:pPr>
            <w:r>
              <w:rPr>
                <w:spacing w:val="-4"/>
                <w:sz w:val="18"/>
              </w:rPr>
              <w:t>2022</w:t>
            </w:r>
          </w:p>
        </w:tc>
      </w:tr>
      <w:tr>
        <w:trPr>
          <w:trHeight w:val="250" w:hRule="atLeast"/>
        </w:trPr>
        <w:tc>
          <w:tcPr>
            <w:tcW w:w="6435" w:type="dxa"/>
            <w:tcBorders>
              <w:top w:val="single" w:sz="4" w:space="0" w:color="000000"/>
            </w:tcBorders>
            <w:shd w:val="clear" w:color="auto" w:fill="CCEDFF"/>
          </w:tcPr>
          <w:p>
            <w:pPr>
              <w:pStyle w:val="TableParagraph"/>
              <w:spacing w:before="8"/>
              <w:ind w:left="52"/>
              <w:rPr>
                <w:sz w:val="18"/>
              </w:rPr>
            </w:pPr>
            <w:r>
              <w:rPr>
                <w:spacing w:val="-2"/>
                <w:sz w:val="18"/>
              </w:rPr>
              <w:t>Proceeds</w:t>
            </w:r>
          </w:p>
        </w:tc>
        <w:tc>
          <w:tcPr>
            <w:tcW w:w="971" w:type="dxa"/>
            <w:tcBorders>
              <w:top w:val="single" w:sz="4" w:space="0" w:color="000000"/>
            </w:tcBorders>
            <w:shd w:val="clear" w:color="auto" w:fill="CCEDFF"/>
          </w:tcPr>
          <w:p>
            <w:pPr>
              <w:pStyle w:val="TableParagraph"/>
              <w:tabs>
                <w:tab w:pos="412" w:val="left" w:leader="none"/>
              </w:tabs>
              <w:spacing w:before="13"/>
              <w:ind w:right="98"/>
              <w:jc w:val="right"/>
              <w:rPr>
                <w:sz w:val="18"/>
              </w:rPr>
            </w:pPr>
            <w:r>
              <w:rPr>
                <w:spacing w:val="-10"/>
                <w:sz w:val="18"/>
              </w:rPr>
              <w:t>$</w:t>
            </w:r>
            <w:r>
              <w:rPr>
                <w:sz w:val="18"/>
              </w:rPr>
              <w:tab/>
            </w:r>
            <w:r>
              <w:rPr>
                <w:spacing w:val="-2"/>
                <w:sz w:val="18"/>
              </w:rPr>
              <w:t>3,485</w:t>
            </w:r>
          </w:p>
        </w:tc>
        <w:tc>
          <w:tcPr>
            <w:tcW w:w="1027" w:type="dxa"/>
            <w:tcBorders>
              <w:top w:val="single" w:sz="4" w:space="0" w:color="000000"/>
            </w:tcBorders>
            <w:shd w:val="clear" w:color="auto" w:fill="CCEDFF"/>
          </w:tcPr>
          <w:p>
            <w:pPr>
              <w:pStyle w:val="TableParagraph"/>
              <w:tabs>
                <w:tab w:pos="337" w:val="left" w:leader="none"/>
              </w:tabs>
              <w:spacing w:before="13"/>
              <w:ind w:right="90"/>
              <w:jc w:val="right"/>
              <w:rPr>
                <w:sz w:val="18"/>
              </w:rPr>
            </w:pPr>
            <w:r>
              <w:rPr>
                <w:spacing w:val="-10"/>
                <w:sz w:val="18"/>
              </w:rPr>
              <w:t>$</w:t>
            </w:r>
            <w:r>
              <w:rPr>
                <w:sz w:val="18"/>
              </w:rPr>
              <w:tab/>
            </w:r>
            <w:r>
              <w:rPr>
                <w:spacing w:val="-2"/>
                <w:sz w:val="18"/>
              </w:rPr>
              <w:t>10,549</w:t>
            </w:r>
          </w:p>
        </w:tc>
        <w:tc>
          <w:tcPr>
            <w:tcW w:w="922" w:type="dxa"/>
            <w:tcBorders>
              <w:top w:val="single" w:sz="4" w:space="0" w:color="000000"/>
            </w:tcBorders>
            <w:shd w:val="clear" w:color="auto" w:fill="CCEDFF"/>
          </w:tcPr>
          <w:p>
            <w:pPr>
              <w:pStyle w:val="TableParagraph"/>
              <w:tabs>
                <w:tab w:pos="322" w:val="left" w:leader="none"/>
              </w:tabs>
              <w:spacing w:before="13"/>
              <w:ind w:right="97"/>
              <w:jc w:val="right"/>
              <w:rPr>
                <w:sz w:val="18"/>
              </w:rPr>
            </w:pPr>
            <w:r>
              <w:rPr>
                <w:spacing w:val="-10"/>
                <w:sz w:val="18"/>
              </w:rPr>
              <w:t>$</w:t>
            </w:r>
            <w:r>
              <w:rPr>
                <w:sz w:val="18"/>
              </w:rPr>
              <w:tab/>
            </w:r>
            <w:r>
              <w:rPr>
                <w:spacing w:val="-2"/>
                <w:sz w:val="18"/>
              </w:rPr>
              <w:t>6,385</w:t>
            </w:r>
          </w:p>
        </w:tc>
        <w:tc>
          <w:tcPr>
            <w:tcW w:w="903" w:type="dxa"/>
            <w:tcBorders>
              <w:top w:val="single" w:sz="4" w:space="0" w:color="000000"/>
            </w:tcBorders>
            <w:shd w:val="clear" w:color="auto" w:fill="CCEDFF"/>
          </w:tcPr>
          <w:p>
            <w:pPr>
              <w:pStyle w:val="TableParagraph"/>
              <w:spacing w:before="13"/>
              <w:ind w:right="70"/>
              <w:jc w:val="right"/>
              <w:rPr>
                <w:sz w:val="18"/>
              </w:rPr>
            </w:pPr>
            <w:r>
              <w:rPr>
                <w:sz w:val="18"/>
              </w:rPr>
              <w:t>$</w:t>
            </w:r>
            <w:r>
              <w:rPr>
                <w:spacing w:val="74"/>
                <w:w w:val="150"/>
                <w:sz w:val="18"/>
              </w:rPr>
              <w:t> </w:t>
            </w:r>
            <w:r>
              <w:rPr>
                <w:spacing w:val="-2"/>
                <w:sz w:val="18"/>
              </w:rPr>
              <w:t>24,019</w:t>
            </w:r>
          </w:p>
        </w:tc>
      </w:tr>
      <w:tr>
        <w:trPr>
          <w:trHeight w:val="255" w:hRule="atLeast"/>
        </w:trPr>
        <w:tc>
          <w:tcPr>
            <w:tcW w:w="6435" w:type="dxa"/>
          </w:tcPr>
          <w:p>
            <w:pPr>
              <w:pStyle w:val="TableParagraph"/>
              <w:spacing w:before="13"/>
              <w:ind w:left="52"/>
              <w:rPr>
                <w:sz w:val="18"/>
              </w:rPr>
            </w:pPr>
            <w:r>
              <w:rPr>
                <w:sz w:val="18"/>
              </w:rPr>
              <w:t>Gross</w:t>
            </w:r>
            <w:r>
              <w:rPr>
                <w:spacing w:val="-2"/>
                <w:sz w:val="18"/>
              </w:rPr>
              <w:t> </w:t>
            </w:r>
            <w:r>
              <w:rPr>
                <w:sz w:val="18"/>
              </w:rPr>
              <w:t>realized</w:t>
            </w:r>
            <w:r>
              <w:rPr>
                <w:spacing w:val="-1"/>
                <w:sz w:val="18"/>
              </w:rPr>
              <w:t> </w:t>
            </w:r>
            <w:r>
              <w:rPr>
                <w:spacing w:val="-2"/>
                <w:sz w:val="18"/>
              </w:rPr>
              <w:t>gains</w:t>
            </w:r>
          </w:p>
        </w:tc>
        <w:tc>
          <w:tcPr>
            <w:tcW w:w="971" w:type="dxa"/>
          </w:tcPr>
          <w:p>
            <w:pPr>
              <w:pStyle w:val="TableParagraph"/>
              <w:spacing w:before="18"/>
              <w:ind w:right="98"/>
              <w:jc w:val="right"/>
              <w:rPr>
                <w:sz w:val="18"/>
              </w:rPr>
            </w:pPr>
            <w:r>
              <w:rPr>
                <w:spacing w:val="-10"/>
                <w:sz w:val="18"/>
              </w:rPr>
              <w:t>1</w:t>
            </w:r>
          </w:p>
        </w:tc>
        <w:tc>
          <w:tcPr>
            <w:tcW w:w="1027" w:type="dxa"/>
          </w:tcPr>
          <w:p>
            <w:pPr>
              <w:pStyle w:val="TableParagraph"/>
              <w:spacing w:before="18"/>
              <w:ind w:right="90"/>
              <w:jc w:val="right"/>
              <w:rPr>
                <w:sz w:val="18"/>
              </w:rPr>
            </w:pPr>
            <w:r>
              <w:rPr>
                <w:spacing w:val="-5"/>
                <w:sz w:val="18"/>
              </w:rPr>
              <w:t>16</w:t>
            </w:r>
          </w:p>
        </w:tc>
        <w:tc>
          <w:tcPr>
            <w:tcW w:w="922" w:type="dxa"/>
          </w:tcPr>
          <w:p>
            <w:pPr>
              <w:pStyle w:val="TableParagraph"/>
              <w:spacing w:before="18"/>
              <w:ind w:right="97"/>
              <w:jc w:val="right"/>
              <w:rPr>
                <w:sz w:val="18"/>
              </w:rPr>
            </w:pPr>
            <w:r>
              <w:rPr>
                <w:spacing w:val="-10"/>
                <w:sz w:val="18"/>
              </w:rPr>
              <w:t>1</w:t>
            </w:r>
          </w:p>
        </w:tc>
        <w:tc>
          <w:tcPr>
            <w:tcW w:w="903" w:type="dxa"/>
          </w:tcPr>
          <w:p>
            <w:pPr>
              <w:pStyle w:val="TableParagraph"/>
              <w:spacing w:before="18"/>
              <w:ind w:right="70"/>
              <w:jc w:val="right"/>
              <w:rPr>
                <w:sz w:val="18"/>
              </w:rPr>
            </w:pPr>
            <w:r>
              <w:rPr>
                <w:spacing w:val="-5"/>
                <w:sz w:val="18"/>
              </w:rPr>
              <w:t>156</w:t>
            </w:r>
          </w:p>
        </w:tc>
      </w:tr>
      <w:tr>
        <w:trPr>
          <w:trHeight w:val="250" w:hRule="atLeast"/>
        </w:trPr>
        <w:tc>
          <w:tcPr>
            <w:tcW w:w="6435" w:type="dxa"/>
            <w:tcBorders>
              <w:bottom w:val="single" w:sz="4" w:space="0" w:color="000000"/>
            </w:tcBorders>
            <w:shd w:val="clear" w:color="auto" w:fill="CCEDFF"/>
          </w:tcPr>
          <w:p>
            <w:pPr>
              <w:pStyle w:val="TableParagraph"/>
              <w:spacing w:before="13"/>
              <w:ind w:left="52"/>
              <w:rPr>
                <w:sz w:val="18"/>
              </w:rPr>
            </w:pPr>
            <w:r>
              <w:rPr>
                <w:sz w:val="18"/>
              </w:rPr>
              <w:t>Gross</w:t>
            </w:r>
            <w:r>
              <w:rPr>
                <w:spacing w:val="-4"/>
                <w:sz w:val="18"/>
              </w:rPr>
              <w:t> </w:t>
            </w:r>
            <w:r>
              <w:rPr>
                <w:sz w:val="18"/>
              </w:rPr>
              <w:t>realized</w:t>
            </w:r>
            <w:r>
              <w:rPr>
                <w:spacing w:val="-1"/>
                <w:sz w:val="18"/>
              </w:rPr>
              <w:t> </w:t>
            </w:r>
            <w:r>
              <w:rPr>
                <w:spacing w:val="-2"/>
                <w:sz w:val="18"/>
              </w:rPr>
              <w:t>losses</w:t>
            </w:r>
          </w:p>
        </w:tc>
        <w:tc>
          <w:tcPr>
            <w:tcW w:w="971" w:type="dxa"/>
            <w:tcBorders>
              <w:bottom w:val="single" w:sz="4" w:space="0" w:color="000000"/>
            </w:tcBorders>
            <w:shd w:val="clear" w:color="auto" w:fill="CCEDFF"/>
          </w:tcPr>
          <w:p>
            <w:pPr>
              <w:pStyle w:val="TableParagraph"/>
              <w:spacing w:before="18"/>
              <w:ind w:right="98"/>
              <w:jc w:val="right"/>
              <w:rPr>
                <w:sz w:val="18"/>
              </w:rPr>
            </w:pPr>
            <w:r>
              <w:rPr>
                <w:spacing w:val="-5"/>
                <w:sz w:val="18"/>
              </w:rPr>
              <w:t>25</w:t>
            </w:r>
          </w:p>
        </w:tc>
        <w:tc>
          <w:tcPr>
            <w:tcW w:w="1027" w:type="dxa"/>
            <w:tcBorders>
              <w:bottom w:val="single" w:sz="4" w:space="0" w:color="000000"/>
            </w:tcBorders>
            <w:shd w:val="clear" w:color="auto" w:fill="CCEDFF"/>
          </w:tcPr>
          <w:p>
            <w:pPr>
              <w:pStyle w:val="TableParagraph"/>
              <w:spacing w:before="18"/>
              <w:ind w:right="90"/>
              <w:jc w:val="right"/>
              <w:rPr>
                <w:sz w:val="18"/>
              </w:rPr>
            </w:pPr>
            <w:r>
              <w:rPr>
                <w:spacing w:val="-5"/>
                <w:sz w:val="18"/>
              </w:rPr>
              <w:t>32</w:t>
            </w:r>
          </w:p>
        </w:tc>
        <w:tc>
          <w:tcPr>
            <w:tcW w:w="922" w:type="dxa"/>
            <w:tcBorders>
              <w:bottom w:val="single" w:sz="4" w:space="0" w:color="000000"/>
            </w:tcBorders>
            <w:shd w:val="clear" w:color="auto" w:fill="CCEDFF"/>
          </w:tcPr>
          <w:p>
            <w:pPr>
              <w:pStyle w:val="TableParagraph"/>
              <w:spacing w:before="18"/>
              <w:ind w:right="97"/>
              <w:jc w:val="right"/>
              <w:rPr>
                <w:sz w:val="18"/>
              </w:rPr>
            </w:pPr>
            <w:r>
              <w:rPr>
                <w:spacing w:val="-5"/>
                <w:sz w:val="18"/>
              </w:rPr>
              <w:t>45</w:t>
            </w:r>
          </w:p>
        </w:tc>
        <w:tc>
          <w:tcPr>
            <w:tcW w:w="903" w:type="dxa"/>
            <w:tcBorders>
              <w:bottom w:val="single" w:sz="4" w:space="0" w:color="000000"/>
            </w:tcBorders>
            <w:shd w:val="clear" w:color="auto" w:fill="CCEDFF"/>
          </w:tcPr>
          <w:p>
            <w:pPr>
              <w:pStyle w:val="TableParagraph"/>
              <w:spacing w:before="18"/>
              <w:ind w:right="70"/>
              <w:jc w:val="right"/>
              <w:rPr>
                <w:sz w:val="18"/>
              </w:rPr>
            </w:pPr>
            <w:r>
              <w:rPr>
                <w:spacing w:val="-5"/>
                <w:sz w:val="18"/>
              </w:rPr>
              <w:t>155</w:t>
            </w:r>
          </w:p>
        </w:tc>
      </w:tr>
    </w:tbl>
    <w:p>
      <w:pPr>
        <w:spacing w:after="0"/>
        <w:jc w:val="right"/>
        <w:rPr>
          <w:sz w:val="18"/>
        </w:rPr>
        <w:sectPr>
          <w:type w:val="continuous"/>
          <w:pgSz w:w="12240" w:h="15840"/>
          <w:pgMar w:header="227" w:footer="201" w:top="320" w:bottom="280" w:left="520" w:right="520"/>
        </w:sectPr>
      </w:pPr>
    </w:p>
    <w:p>
      <w:pPr>
        <w:pStyle w:val="Heading2"/>
        <w:numPr>
          <w:ilvl w:val="0"/>
          <w:numId w:val="4"/>
        </w:numPr>
        <w:tabs>
          <w:tab w:pos="1189" w:val="left" w:leader="none"/>
        </w:tabs>
        <w:spacing w:line="240" w:lineRule="auto" w:before="211" w:after="0"/>
        <w:ind w:left="1189" w:right="0" w:hanging="719"/>
        <w:jc w:val="left"/>
      </w:pPr>
      <w:bookmarkStart w:name="Note 5 Bank Loans and Related Allowance " w:id="44"/>
      <w:bookmarkEnd w:id="44"/>
      <w:r>
        <w:rPr>
          <w:b w:val="0"/>
        </w:rPr>
      </w:r>
      <w:r>
        <w:rPr/>
        <w:t>Bank</w:t>
      </w:r>
      <w:r>
        <w:rPr>
          <w:spacing w:val="-6"/>
        </w:rPr>
        <w:t> </w:t>
      </w:r>
      <w:r>
        <w:rPr/>
        <w:t>Loans</w:t>
      </w:r>
      <w:r>
        <w:rPr>
          <w:spacing w:val="-4"/>
        </w:rPr>
        <w:t> </w:t>
      </w:r>
      <w:r>
        <w:rPr/>
        <w:t>and</w:t>
      </w:r>
      <w:r>
        <w:rPr>
          <w:spacing w:val="-4"/>
        </w:rPr>
        <w:t> </w:t>
      </w:r>
      <w:r>
        <w:rPr/>
        <w:t>Related</w:t>
      </w:r>
      <w:r>
        <w:rPr>
          <w:spacing w:val="-4"/>
        </w:rPr>
        <w:t> </w:t>
      </w:r>
      <w:r>
        <w:rPr/>
        <w:t>Allowance</w:t>
      </w:r>
      <w:r>
        <w:rPr>
          <w:spacing w:val="-4"/>
        </w:rPr>
        <w:t> </w:t>
      </w:r>
      <w:r>
        <w:rPr/>
        <w:t>for</w:t>
      </w:r>
      <w:r>
        <w:rPr>
          <w:spacing w:val="-4"/>
        </w:rPr>
        <w:t> </w:t>
      </w:r>
      <w:r>
        <w:rPr/>
        <w:t>Credit</w:t>
      </w:r>
      <w:r>
        <w:rPr>
          <w:spacing w:val="-2"/>
        </w:rPr>
        <w:t> Losses</w:t>
      </w:r>
    </w:p>
    <w:p>
      <w:pPr>
        <w:pStyle w:val="BodyText"/>
        <w:spacing w:before="193"/>
        <w:ind w:left="470"/>
      </w:pPr>
      <w:r>
        <w:rPr/>
        <w:t>The</w:t>
      </w:r>
      <w:r>
        <w:rPr>
          <w:spacing w:val="-6"/>
        </w:rPr>
        <w:t> </w:t>
      </w:r>
      <w:r>
        <w:rPr/>
        <w:t>composition</w:t>
      </w:r>
      <w:r>
        <w:rPr>
          <w:spacing w:val="-2"/>
        </w:rPr>
        <w:t> </w:t>
      </w:r>
      <w:r>
        <w:rPr/>
        <w:t>of</w:t>
      </w:r>
      <w:r>
        <w:rPr>
          <w:spacing w:val="-3"/>
        </w:rPr>
        <w:t> </w:t>
      </w:r>
      <w:r>
        <w:rPr/>
        <w:t>bank</w:t>
      </w:r>
      <w:r>
        <w:rPr>
          <w:spacing w:val="-3"/>
        </w:rPr>
        <w:t> </w:t>
      </w:r>
      <w:r>
        <w:rPr/>
        <w:t>loans</w:t>
      </w:r>
      <w:r>
        <w:rPr>
          <w:spacing w:val="-3"/>
        </w:rPr>
        <w:t> </w:t>
      </w:r>
      <w:r>
        <w:rPr/>
        <w:t>and</w:t>
      </w:r>
      <w:r>
        <w:rPr>
          <w:spacing w:val="-3"/>
        </w:rPr>
        <w:t> </w:t>
      </w:r>
      <w:r>
        <w:rPr/>
        <w:t>delinquency</w:t>
      </w:r>
      <w:r>
        <w:rPr>
          <w:spacing w:val="-2"/>
        </w:rPr>
        <w:t> </w:t>
      </w:r>
      <w:r>
        <w:rPr/>
        <w:t>analysis</w:t>
      </w:r>
      <w:r>
        <w:rPr>
          <w:spacing w:val="-4"/>
        </w:rPr>
        <w:t> </w:t>
      </w:r>
      <w:r>
        <w:rPr/>
        <w:t>by</w:t>
      </w:r>
      <w:r>
        <w:rPr>
          <w:spacing w:val="-2"/>
        </w:rPr>
        <w:t> </w:t>
      </w:r>
      <w:r>
        <w:rPr/>
        <w:t>portfolio</w:t>
      </w:r>
      <w:r>
        <w:rPr>
          <w:spacing w:val="-3"/>
        </w:rPr>
        <w:t> </w:t>
      </w:r>
      <w:r>
        <w:rPr/>
        <w:t>segment</w:t>
      </w:r>
      <w:r>
        <w:rPr>
          <w:spacing w:val="-3"/>
        </w:rPr>
        <w:t> </w:t>
      </w:r>
      <w:r>
        <w:rPr/>
        <w:t>and</w:t>
      </w:r>
      <w:r>
        <w:rPr>
          <w:spacing w:val="-3"/>
        </w:rPr>
        <w:t> </w:t>
      </w:r>
      <w:r>
        <w:rPr/>
        <w:t>class</w:t>
      </w:r>
      <w:r>
        <w:rPr>
          <w:spacing w:val="-3"/>
        </w:rPr>
        <w:t> </w:t>
      </w:r>
      <w:r>
        <w:rPr/>
        <w:t>of</w:t>
      </w:r>
      <w:r>
        <w:rPr>
          <w:spacing w:val="-3"/>
        </w:rPr>
        <w:t> </w:t>
      </w:r>
      <w:r>
        <w:rPr/>
        <w:t>financing</w:t>
      </w:r>
      <w:r>
        <w:rPr>
          <w:spacing w:val="-2"/>
        </w:rPr>
        <w:t> </w:t>
      </w:r>
      <w:r>
        <w:rPr/>
        <w:t>receivable</w:t>
      </w:r>
      <w:r>
        <w:rPr>
          <w:spacing w:val="-4"/>
        </w:rPr>
        <w:t> </w:t>
      </w:r>
      <w:r>
        <w:rPr/>
        <w:t>is</w:t>
      </w:r>
      <w:r>
        <w:rPr>
          <w:spacing w:val="-3"/>
        </w:rPr>
        <w:t> </w:t>
      </w:r>
      <w:r>
        <w:rPr/>
        <w:t>as</w:t>
      </w:r>
      <w:r>
        <w:rPr>
          <w:spacing w:val="-3"/>
        </w:rPr>
        <w:t> </w:t>
      </w:r>
      <w:r>
        <w:rPr>
          <w:spacing w:val="-2"/>
        </w:rPr>
        <w:t>follows:</w:t>
      </w:r>
    </w:p>
    <w:p>
      <w:pPr>
        <w:pStyle w:val="BodyText"/>
        <w:spacing w:before="3"/>
        <w:rPr>
          <w:sz w:val="11"/>
        </w:rPr>
      </w:pPr>
      <w:r>
        <w:rPr/>
        <mc:AlternateContent>
          <mc:Choice Requires="wps">
            <w:drawing>
              <wp:anchor distT="0" distB="0" distL="0" distR="0" allowOverlap="1" layoutInCell="1" locked="0" behindDoc="1" simplePos="0" relativeHeight="487607808">
                <wp:simplePos x="0" y="0"/>
                <wp:positionH relativeFrom="page">
                  <wp:posOffset>628650</wp:posOffset>
                </wp:positionH>
                <wp:positionV relativeFrom="paragraph">
                  <wp:posOffset>97554</wp:posOffset>
                </wp:positionV>
                <wp:extent cx="6515100" cy="3206750"/>
                <wp:effectExtent l="0" t="0" r="0" b="0"/>
                <wp:wrapTopAndBottom/>
                <wp:docPr id="163" name="Group 163"/>
                <wp:cNvGraphicFramePr>
                  <a:graphicFrameLocks/>
                </wp:cNvGraphicFramePr>
                <a:graphic>
                  <a:graphicData uri="http://schemas.microsoft.com/office/word/2010/wordprocessingGroup">
                    <wpg:wgp>
                      <wpg:cNvPr id="163" name="Group 163"/>
                      <wpg:cNvGrpSpPr/>
                      <wpg:grpSpPr>
                        <a:xfrm>
                          <a:off x="0" y="0"/>
                          <a:ext cx="6515100" cy="3206750"/>
                          <a:chExt cx="6515100" cy="3206750"/>
                        </a:xfrm>
                      </wpg:grpSpPr>
                      <wps:wsp>
                        <wps:cNvPr id="164" name="Graphic 164"/>
                        <wps:cNvSpPr/>
                        <wps:spPr>
                          <a:xfrm>
                            <a:off x="0" y="1222374"/>
                            <a:ext cx="6515100" cy="1981200"/>
                          </a:xfrm>
                          <a:custGeom>
                            <a:avLst/>
                            <a:gdLst/>
                            <a:ahLst/>
                            <a:cxnLst/>
                            <a:rect l="l" t="t" r="r" b="b"/>
                            <a:pathLst>
                              <a:path w="6515100" h="1981200">
                                <a:moveTo>
                                  <a:pt x="6515100" y="1819275"/>
                                </a:moveTo>
                                <a:lnTo>
                                  <a:pt x="1714500" y="1819275"/>
                                </a:lnTo>
                                <a:lnTo>
                                  <a:pt x="0" y="1819275"/>
                                </a:lnTo>
                                <a:lnTo>
                                  <a:pt x="0" y="1981200"/>
                                </a:lnTo>
                                <a:lnTo>
                                  <a:pt x="1714500" y="1981200"/>
                                </a:lnTo>
                                <a:lnTo>
                                  <a:pt x="6515100" y="1981200"/>
                                </a:lnTo>
                                <a:lnTo>
                                  <a:pt x="6515100" y="1819275"/>
                                </a:lnTo>
                                <a:close/>
                              </a:path>
                              <a:path w="6515100" h="1981200">
                                <a:moveTo>
                                  <a:pt x="6515100" y="1495425"/>
                                </a:moveTo>
                                <a:lnTo>
                                  <a:pt x="1714500" y="1495425"/>
                                </a:lnTo>
                                <a:lnTo>
                                  <a:pt x="0" y="1495425"/>
                                </a:lnTo>
                                <a:lnTo>
                                  <a:pt x="0" y="1657350"/>
                                </a:lnTo>
                                <a:lnTo>
                                  <a:pt x="1714500" y="1657350"/>
                                </a:lnTo>
                                <a:lnTo>
                                  <a:pt x="6515100" y="1657350"/>
                                </a:lnTo>
                                <a:lnTo>
                                  <a:pt x="6515100" y="1495425"/>
                                </a:lnTo>
                                <a:close/>
                              </a:path>
                              <a:path w="6515100" h="1981200">
                                <a:moveTo>
                                  <a:pt x="6515100" y="323850"/>
                                </a:moveTo>
                                <a:lnTo>
                                  <a:pt x="0" y="323850"/>
                                </a:lnTo>
                                <a:lnTo>
                                  <a:pt x="0" y="485775"/>
                                </a:lnTo>
                                <a:lnTo>
                                  <a:pt x="6515100" y="485775"/>
                                </a:lnTo>
                                <a:lnTo>
                                  <a:pt x="6515100" y="323850"/>
                                </a:lnTo>
                                <a:close/>
                              </a:path>
                              <a:path w="6515100" h="1981200">
                                <a:moveTo>
                                  <a:pt x="6515100" y="0"/>
                                </a:moveTo>
                                <a:lnTo>
                                  <a:pt x="0" y="0"/>
                                </a:lnTo>
                                <a:lnTo>
                                  <a:pt x="0" y="161925"/>
                                </a:lnTo>
                                <a:lnTo>
                                  <a:pt x="6515100" y="161925"/>
                                </a:lnTo>
                                <a:lnTo>
                                  <a:pt x="6515100" y="0"/>
                                </a:lnTo>
                                <a:close/>
                              </a:path>
                            </a:pathLst>
                          </a:custGeom>
                          <a:solidFill>
                            <a:srgbClr val="CCEDFF"/>
                          </a:solidFill>
                        </wps:spPr>
                        <wps:bodyPr wrap="square" lIns="0" tIns="0" rIns="0" bIns="0" rtlCol="0">
                          <a:prstTxWarp prst="textNoShape">
                            <a:avLst/>
                          </a:prstTxWarp>
                          <a:noAutofit/>
                        </wps:bodyPr>
                      </wps:wsp>
                      <wps:wsp>
                        <wps:cNvPr id="165" name="Graphic 165"/>
                        <wps:cNvSpPr/>
                        <wps:spPr>
                          <a:xfrm>
                            <a:off x="0" y="3175"/>
                            <a:ext cx="1714500" cy="1270"/>
                          </a:xfrm>
                          <a:custGeom>
                            <a:avLst/>
                            <a:gdLst/>
                            <a:ahLst/>
                            <a:cxnLst/>
                            <a:rect l="l" t="t" r="r" b="b"/>
                            <a:pathLst>
                              <a:path w="1714500" h="0">
                                <a:moveTo>
                                  <a:pt x="1714500" y="0"/>
                                </a:moveTo>
                                <a:lnTo>
                                  <a:pt x="0" y="0"/>
                                </a:lnTo>
                              </a:path>
                            </a:pathLst>
                          </a:custGeom>
                          <a:solidFill>
                            <a:srgbClr val="000000"/>
                          </a:solidFill>
                        </wps:spPr>
                        <wps:bodyPr wrap="square" lIns="0" tIns="0" rIns="0" bIns="0" rtlCol="0">
                          <a:prstTxWarp prst="textNoShape">
                            <a:avLst/>
                          </a:prstTxWarp>
                          <a:noAutofit/>
                        </wps:bodyPr>
                      </wps:wsp>
                      <wps:wsp>
                        <wps:cNvPr id="166" name="Graphic 166"/>
                        <wps:cNvSpPr/>
                        <wps:spPr>
                          <a:xfrm>
                            <a:off x="0" y="3175"/>
                            <a:ext cx="1714500" cy="1270"/>
                          </a:xfrm>
                          <a:custGeom>
                            <a:avLst/>
                            <a:gdLst/>
                            <a:ahLst/>
                            <a:cxnLst/>
                            <a:rect l="l" t="t" r="r" b="b"/>
                            <a:pathLst>
                              <a:path w="1714500" h="0">
                                <a:moveTo>
                                  <a:pt x="0" y="0"/>
                                </a:moveTo>
                                <a:lnTo>
                                  <a:pt x="1714500" y="0"/>
                                </a:lnTo>
                              </a:path>
                            </a:pathLst>
                          </a:custGeom>
                          <a:ln w="6350">
                            <a:solidFill>
                              <a:srgbClr val="000000"/>
                            </a:solidFill>
                            <a:prstDash val="solid"/>
                          </a:ln>
                        </wps:spPr>
                        <wps:bodyPr wrap="square" lIns="0" tIns="0" rIns="0" bIns="0" rtlCol="0">
                          <a:prstTxWarp prst="textNoShape">
                            <a:avLst/>
                          </a:prstTxWarp>
                          <a:noAutofit/>
                        </wps:bodyPr>
                      </wps:wsp>
                      <wps:wsp>
                        <wps:cNvPr id="167" name="Graphic 167"/>
                        <wps:cNvSpPr/>
                        <wps:spPr>
                          <a:xfrm>
                            <a:off x="1714500" y="31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168" name="Graphic 168"/>
                        <wps:cNvSpPr/>
                        <wps:spPr>
                          <a:xfrm>
                            <a:off x="1714500" y="31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169" name="Graphic 169"/>
                        <wps:cNvSpPr/>
                        <wps:spPr>
                          <a:xfrm>
                            <a:off x="2314575" y="31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170" name="Graphic 170"/>
                        <wps:cNvSpPr/>
                        <wps:spPr>
                          <a:xfrm>
                            <a:off x="2314575" y="31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171" name="Graphic 171"/>
                        <wps:cNvSpPr/>
                        <wps:spPr>
                          <a:xfrm>
                            <a:off x="2914650" y="31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172" name="Graphic 172"/>
                        <wps:cNvSpPr/>
                        <wps:spPr>
                          <a:xfrm>
                            <a:off x="2914650" y="31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173" name="Graphic 173"/>
                        <wps:cNvSpPr/>
                        <wps:spPr>
                          <a:xfrm>
                            <a:off x="3514725" y="31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174" name="Graphic 174"/>
                        <wps:cNvSpPr/>
                        <wps:spPr>
                          <a:xfrm>
                            <a:off x="3514725" y="31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175" name="Graphic 175"/>
                        <wps:cNvSpPr/>
                        <wps:spPr>
                          <a:xfrm>
                            <a:off x="4114800" y="31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176" name="Graphic 176"/>
                        <wps:cNvSpPr/>
                        <wps:spPr>
                          <a:xfrm>
                            <a:off x="4114800" y="31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177" name="Graphic 177"/>
                        <wps:cNvSpPr/>
                        <wps:spPr>
                          <a:xfrm>
                            <a:off x="4714875" y="31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178" name="Graphic 178"/>
                        <wps:cNvSpPr/>
                        <wps:spPr>
                          <a:xfrm>
                            <a:off x="4714875" y="31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179" name="Graphic 179"/>
                        <wps:cNvSpPr/>
                        <wps:spPr>
                          <a:xfrm>
                            <a:off x="5314950" y="31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180" name="Graphic 180"/>
                        <wps:cNvSpPr/>
                        <wps:spPr>
                          <a:xfrm>
                            <a:off x="5314950" y="31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181" name="Graphic 181"/>
                        <wps:cNvSpPr/>
                        <wps:spPr>
                          <a:xfrm>
                            <a:off x="5915025" y="31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182" name="Graphic 182"/>
                        <wps:cNvSpPr/>
                        <wps:spPr>
                          <a:xfrm>
                            <a:off x="5915025" y="31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183" name="Graphic 183"/>
                        <wps:cNvSpPr/>
                        <wps:spPr>
                          <a:xfrm>
                            <a:off x="0" y="736600"/>
                            <a:ext cx="1714500" cy="1270"/>
                          </a:xfrm>
                          <a:custGeom>
                            <a:avLst/>
                            <a:gdLst/>
                            <a:ahLst/>
                            <a:cxnLst/>
                            <a:rect l="l" t="t" r="r" b="b"/>
                            <a:pathLst>
                              <a:path w="1714500" h="0">
                                <a:moveTo>
                                  <a:pt x="1714500" y="0"/>
                                </a:moveTo>
                                <a:lnTo>
                                  <a:pt x="0" y="0"/>
                                </a:lnTo>
                              </a:path>
                            </a:pathLst>
                          </a:custGeom>
                          <a:solidFill>
                            <a:srgbClr val="000000"/>
                          </a:solidFill>
                        </wps:spPr>
                        <wps:bodyPr wrap="square" lIns="0" tIns="0" rIns="0" bIns="0" rtlCol="0">
                          <a:prstTxWarp prst="textNoShape">
                            <a:avLst/>
                          </a:prstTxWarp>
                          <a:noAutofit/>
                        </wps:bodyPr>
                      </wps:wsp>
                      <wps:wsp>
                        <wps:cNvPr id="184" name="Graphic 184"/>
                        <wps:cNvSpPr/>
                        <wps:spPr>
                          <a:xfrm>
                            <a:off x="0" y="736600"/>
                            <a:ext cx="1714500" cy="1270"/>
                          </a:xfrm>
                          <a:custGeom>
                            <a:avLst/>
                            <a:gdLst/>
                            <a:ahLst/>
                            <a:cxnLst/>
                            <a:rect l="l" t="t" r="r" b="b"/>
                            <a:pathLst>
                              <a:path w="1714500" h="0">
                                <a:moveTo>
                                  <a:pt x="0" y="0"/>
                                </a:moveTo>
                                <a:lnTo>
                                  <a:pt x="1714500" y="0"/>
                                </a:lnTo>
                              </a:path>
                            </a:pathLst>
                          </a:custGeom>
                          <a:ln w="6350">
                            <a:solidFill>
                              <a:srgbClr val="000000"/>
                            </a:solidFill>
                            <a:prstDash val="solid"/>
                          </a:ln>
                        </wps:spPr>
                        <wps:bodyPr wrap="square" lIns="0" tIns="0" rIns="0" bIns="0" rtlCol="0">
                          <a:prstTxWarp prst="textNoShape">
                            <a:avLst/>
                          </a:prstTxWarp>
                          <a:noAutofit/>
                        </wps:bodyPr>
                      </wps:wsp>
                      <wps:wsp>
                        <wps:cNvPr id="185" name="Graphic 185"/>
                        <wps:cNvSpPr/>
                        <wps:spPr>
                          <a:xfrm>
                            <a:off x="1714500" y="73660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186" name="Graphic 186"/>
                        <wps:cNvSpPr/>
                        <wps:spPr>
                          <a:xfrm>
                            <a:off x="1714500" y="73660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187" name="Graphic 187"/>
                        <wps:cNvSpPr/>
                        <wps:spPr>
                          <a:xfrm>
                            <a:off x="2314575" y="73660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188" name="Graphic 188"/>
                        <wps:cNvSpPr/>
                        <wps:spPr>
                          <a:xfrm>
                            <a:off x="2314575" y="73660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189" name="Graphic 189"/>
                        <wps:cNvSpPr/>
                        <wps:spPr>
                          <a:xfrm>
                            <a:off x="2914650" y="73660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190" name="Graphic 190"/>
                        <wps:cNvSpPr/>
                        <wps:spPr>
                          <a:xfrm>
                            <a:off x="2914650" y="73660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191" name="Graphic 191"/>
                        <wps:cNvSpPr/>
                        <wps:spPr>
                          <a:xfrm>
                            <a:off x="3514725" y="73660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192" name="Graphic 192"/>
                        <wps:cNvSpPr/>
                        <wps:spPr>
                          <a:xfrm>
                            <a:off x="3514725" y="73660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193" name="Graphic 193"/>
                        <wps:cNvSpPr/>
                        <wps:spPr>
                          <a:xfrm>
                            <a:off x="4114800" y="73660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194" name="Graphic 194"/>
                        <wps:cNvSpPr/>
                        <wps:spPr>
                          <a:xfrm>
                            <a:off x="4114800" y="73660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195" name="Graphic 195"/>
                        <wps:cNvSpPr/>
                        <wps:spPr>
                          <a:xfrm>
                            <a:off x="4714875" y="73660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196" name="Graphic 196"/>
                        <wps:cNvSpPr/>
                        <wps:spPr>
                          <a:xfrm>
                            <a:off x="4714875" y="73660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197" name="Graphic 197"/>
                        <wps:cNvSpPr/>
                        <wps:spPr>
                          <a:xfrm>
                            <a:off x="5314950" y="73660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198" name="Graphic 198"/>
                        <wps:cNvSpPr/>
                        <wps:spPr>
                          <a:xfrm>
                            <a:off x="5314950" y="73660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199" name="Graphic 199"/>
                        <wps:cNvSpPr/>
                        <wps:spPr>
                          <a:xfrm>
                            <a:off x="5915025" y="73660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00" name="Graphic 200"/>
                        <wps:cNvSpPr/>
                        <wps:spPr>
                          <a:xfrm>
                            <a:off x="5915025" y="73660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01" name="Graphic 201"/>
                        <wps:cNvSpPr/>
                        <wps:spPr>
                          <a:xfrm>
                            <a:off x="0" y="1222375"/>
                            <a:ext cx="1714500" cy="1270"/>
                          </a:xfrm>
                          <a:custGeom>
                            <a:avLst/>
                            <a:gdLst/>
                            <a:ahLst/>
                            <a:cxnLst/>
                            <a:rect l="l" t="t" r="r" b="b"/>
                            <a:pathLst>
                              <a:path w="1714500" h="0">
                                <a:moveTo>
                                  <a:pt x="1714500" y="0"/>
                                </a:moveTo>
                                <a:lnTo>
                                  <a:pt x="0" y="0"/>
                                </a:lnTo>
                              </a:path>
                            </a:pathLst>
                          </a:custGeom>
                          <a:solidFill>
                            <a:srgbClr val="000000"/>
                          </a:solidFill>
                        </wps:spPr>
                        <wps:bodyPr wrap="square" lIns="0" tIns="0" rIns="0" bIns="0" rtlCol="0">
                          <a:prstTxWarp prst="textNoShape">
                            <a:avLst/>
                          </a:prstTxWarp>
                          <a:noAutofit/>
                        </wps:bodyPr>
                      </wps:wsp>
                      <wps:wsp>
                        <wps:cNvPr id="202" name="Graphic 202"/>
                        <wps:cNvSpPr/>
                        <wps:spPr>
                          <a:xfrm>
                            <a:off x="0" y="1222375"/>
                            <a:ext cx="1714500" cy="1270"/>
                          </a:xfrm>
                          <a:custGeom>
                            <a:avLst/>
                            <a:gdLst/>
                            <a:ahLst/>
                            <a:cxnLst/>
                            <a:rect l="l" t="t" r="r" b="b"/>
                            <a:pathLst>
                              <a:path w="1714500" h="0">
                                <a:moveTo>
                                  <a:pt x="0" y="0"/>
                                </a:moveTo>
                                <a:lnTo>
                                  <a:pt x="1714500" y="0"/>
                                </a:lnTo>
                              </a:path>
                            </a:pathLst>
                          </a:custGeom>
                          <a:ln w="6350">
                            <a:solidFill>
                              <a:srgbClr val="000000"/>
                            </a:solidFill>
                            <a:prstDash val="solid"/>
                          </a:ln>
                        </wps:spPr>
                        <wps:bodyPr wrap="square" lIns="0" tIns="0" rIns="0" bIns="0" rtlCol="0">
                          <a:prstTxWarp prst="textNoShape">
                            <a:avLst/>
                          </a:prstTxWarp>
                          <a:noAutofit/>
                        </wps:bodyPr>
                      </wps:wsp>
                      <wps:wsp>
                        <wps:cNvPr id="203" name="Graphic 203"/>
                        <wps:cNvSpPr/>
                        <wps:spPr>
                          <a:xfrm>
                            <a:off x="1714500" y="12223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04" name="Graphic 204"/>
                        <wps:cNvSpPr/>
                        <wps:spPr>
                          <a:xfrm>
                            <a:off x="1714500" y="12223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05" name="Graphic 205"/>
                        <wps:cNvSpPr/>
                        <wps:spPr>
                          <a:xfrm>
                            <a:off x="2314575" y="12223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06" name="Graphic 206"/>
                        <wps:cNvSpPr/>
                        <wps:spPr>
                          <a:xfrm>
                            <a:off x="2314575" y="12223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07" name="Graphic 207"/>
                        <wps:cNvSpPr/>
                        <wps:spPr>
                          <a:xfrm>
                            <a:off x="2914650" y="12223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08" name="Graphic 208"/>
                        <wps:cNvSpPr/>
                        <wps:spPr>
                          <a:xfrm>
                            <a:off x="2914650" y="12223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09" name="Graphic 209"/>
                        <wps:cNvSpPr/>
                        <wps:spPr>
                          <a:xfrm>
                            <a:off x="3514725" y="12223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10" name="Graphic 210"/>
                        <wps:cNvSpPr/>
                        <wps:spPr>
                          <a:xfrm>
                            <a:off x="3514725" y="12223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11" name="Graphic 211"/>
                        <wps:cNvSpPr/>
                        <wps:spPr>
                          <a:xfrm>
                            <a:off x="4114800" y="12223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12" name="Graphic 212"/>
                        <wps:cNvSpPr/>
                        <wps:spPr>
                          <a:xfrm>
                            <a:off x="4114800" y="12223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13" name="Graphic 213"/>
                        <wps:cNvSpPr/>
                        <wps:spPr>
                          <a:xfrm>
                            <a:off x="4714875" y="12223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14" name="Graphic 214"/>
                        <wps:cNvSpPr/>
                        <wps:spPr>
                          <a:xfrm>
                            <a:off x="4714875" y="12223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15" name="Graphic 215"/>
                        <wps:cNvSpPr/>
                        <wps:spPr>
                          <a:xfrm>
                            <a:off x="5314950" y="12223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16" name="Graphic 216"/>
                        <wps:cNvSpPr/>
                        <wps:spPr>
                          <a:xfrm>
                            <a:off x="5314950" y="12223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17" name="Graphic 217"/>
                        <wps:cNvSpPr/>
                        <wps:spPr>
                          <a:xfrm>
                            <a:off x="5915025" y="12223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18" name="Graphic 218"/>
                        <wps:cNvSpPr/>
                        <wps:spPr>
                          <a:xfrm>
                            <a:off x="5915025" y="12223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19" name="Graphic 219"/>
                        <wps:cNvSpPr/>
                        <wps:spPr>
                          <a:xfrm>
                            <a:off x="0" y="1708150"/>
                            <a:ext cx="1714500" cy="1270"/>
                          </a:xfrm>
                          <a:custGeom>
                            <a:avLst/>
                            <a:gdLst/>
                            <a:ahLst/>
                            <a:cxnLst/>
                            <a:rect l="l" t="t" r="r" b="b"/>
                            <a:pathLst>
                              <a:path w="1714500" h="0">
                                <a:moveTo>
                                  <a:pt x="1714500" y="0"/>
                                </a:moveTo>
                                <a:lnTo>
                                  <a:pt x="0" y="0"/>
                                </a:lnTo>
                              </a:path>
                            </a:pathLst>
                          </a:custGeom>
                          <a:solidFill>
                            <a:srgbClr val="000000"/>
                          </a:solidFill>
                        </wps:spPr>
                        <wps:bodyPr wrap="square" lIns="0" tIns="0" rIns="0" bIns="0" rtlCol="0">
                          <a:prstTxWarp prst="textNoShape">
                            <a:avLst/>
                          </a:prstTxWarp>
                          <a:noAutofit/>
                        </wps:bodyPr>
                      </wps:wsp>
                      <wps:wsp>
                        <wps:cNvPr id="220" name="Graphic 220"/>
                        <wps:cNvSpPr/>
                        <wps:spPr>
                          <a:xfrm>
                            <a:off x="0" y="1708150"/>
                            <a:ext cx="1714500" cy="1270"/>
                          </a:xfrm>
                          <a:custGeom>
                            <a:avLst/>
                            <a:gdLst/>
                            <a:ahLst/>
                            <a:cxnLst/>
                            <a:rect l="l" t="t" r="r" b="b"/>
                            <a:pathLst>
                              <a:path w="1714500" h="0">
                                <a:moveTo>
                                  <a:pt x="0" y="0"/>
                                </a:moveTo>
                                <a:lnTo>
                                  <a:pt x="1714500" y="0"/>
                                </a:lnTo>
                              </a:path>
                            </a:pathLst>
                          </a:custGeom>
                          <a:ln w="6350">
                            <a:solidFill>
                              <a:srgbClr val="000000"/>
                            </a:solidFill>
                            <a:prstDash val="solid"/>
                          </a:ln>
                        </wps:spPr>
                        <wps:bodyPr wrap="square" lIns="0" tIns="0" rIns="0" bIns="0" rtlCol="0">
                          <a:prstTxWarp prst="textNoShape">
                            <a:avLst/>
                          </a:prstTxWarp>
                          <a:noAutofit/>
                        </wps:bodyPr>
                      </wps:wsp>
                      <wps:wsp>
                        <wps:cNvPr id="221" name="Graphic 221"/>
                        <wps:cNvSpPr/>
                        <wps:spPr>
                          <a:xfrm>
                            <a:off x="1714500" y="170815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22" name="Graphic 222"/>
                        <wps:cNvSpPr/>
                        <wps:spPr>
                          <a:xfrm>
                            <a:off x="1714500" y="170815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23" name="Graphic 223"/>
                        <wps:cNvSpPr/>
                        <wps:spPr>
                          <a:xfrm>
                            <a:off x="2314575" y="170815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24" name="Graphic 224"/>
                        <wps:cNvSpPr/>
                        <wps:spPr>
                          <a:xfrm>
                            <a:off x="2314575" y="170815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25" name="Graphic 225"/>
                        <wps:cNvSpPr/>
                        <wps:spPr>
                          <a:xfrm>
                            <a:off x="2914650" y="170815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26" name="Graphic 226"/>
                        <wps:cNvSpPr/>
                        <wps:spPr>
                          <a:xfrm>
                            <a:off x="2914650" y="170815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27" name="Graphic 227"/>
                        <wps:cNvSpPr/>
                        <wps:spPr>
                          <a:xfrm>
                            <a:off x="3514725" y="170815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28" name="Graphic 228"/>
                        <wps:cNvSpPr/>
                        <wps:spPr>
                          <a:xfrm>
                            <a:off x="3514725" y="170815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29" name="Graphic 229"/>
                        <wps:cNvSpPr/>
                        <wps:spPr>
                          <a:xfrm>
                            <a:off x="4114800" y="170815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30" name="Graphic 230"/>
                        <wps:cNvSpPr/>
                        <wps:spPr>
                          <a:xfrm>
                            <a:off x="4114800" y="170815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31" name="Graphic 231"/>
                        <wps:cNvSpPr/>
                        <wps:spPr>
                          <a:xfrm>
                            <a:off x="4714875" y="170815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32" name="Graphic 232"/>
                        <wps:cNvSpPr/>
                        <wps:spPr>
                          <a:xfrm>
                            <a:off x="4714875" y="170815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33" name="Graphic 233"/>
                        <wps:cNvSpPr/>
                        <wps:spPr>
                          <a:xfrm>
                            <a:off x="5314950" y="170815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34" name="Graphic 234"/>
                        <wps:cNvSpPr/>
                        <wps:spPr>
                          <a:xfrm>
                            <a:off x="5314950" y="170815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35" name="Graphic 235"/>
                        <wps:cNvSpPr/>
                        <wps:spPr>
                          <a:xfrm>
                            <a:off x="5915025" y="170815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36" name="Graphic 236"/>
                        <wps:cNvSpPr/>
                        <wps:spPr>
                          <a:xfrm>
                            <a:off x="5915025" y="170815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37" name="Graphic 237"/>
                        <wps:cNvSpPr/>
                        <wps:spPr>
                          <a:xfrm>
                            <a:off x="0" y="1857375"/>
                            <a:ext cx="6515100" cy="25400"/>
                          </a:xfrm>
                          <a:custGeom>
                            <a:avLst/>
                            <a:gdLst/>
                            <a:ahLst/>
                            <a:cxnLst/>
                            <a:rect l="l" t="t" r="r" b="b"/>
                            <a:pathLst>
                              <a:path w="6515100" h="25400">
                                <a:moveTo>
                                  <a:pt x="0" y="0"/>
                                </a:moveTo>
                                <a:lnTo>
                                  <a:pt x="1714500" y="0"/>
                                </a:lnTo>
                              </a:path>
                              <a:path w="6515100" h="25400">
                                <a:moveTo>
                                  <a:pt x="0" y="25400"/>
                                </a:moveTo>
                                <a:lnTo>
                                  <a:pt x="1714500" y="25400"/>
                                </a:lnTo>
                              </a:path>
                              <a:path w="6515100" h="25400">
                                <a:moveTo>
                                  <a:pt x="1714500" y="0"/>
                                </a:moveTo>
                                <a:lnTo>
                                  <a:pt x="2314575" y="0"/>
                                </a:lnTo>
                              </a:path>
                              <a:path w="6515100" h="25400">
                                <a:moveTo>
                                  <a:pt x="1714500" y="25400"/>
                                </a:moveTo>
                                <a:lnTo>
                                  <a:pt x="2314575" y="25400"/>
                                </a:lnTo>
                              </a:path>
                              <a:path w="6515100" h="25400">
                                <a:moveTo>
                                  <a:pt x="2314575" y="0"/>
                                </a:moveTo>
                                <a:lnTo>
                                  <a:pt x="2914650" y="0"/>
                                </a:lnTo>
                              </a:path>
                              <a:path w="6515100" h="25400">
                                <a:moveTo>
                                  <a:pt x="2314575" y="25400"/>
                                </a:moveTo>
                                <a:lnTo>
                                  <a:pt x="2914650" y="25400"/>
                                </a:lnTo>
                              </a:path>
                              <a:path w="6515100" h="25400">
                                <a:moveTo>
                                  <a:pt x="2914650" y="0"/>
                                </a:moveTo>
                                <a:lnTo>
                                  <a:pt x="3514725" y="0"/>
                                </a:lnTo>
                              </a:path>
                              <a:path w="6515100" h="25400">
                                <a:moveTo>
                                  <a:pt x="2914650" y="25400"/>
                                </a:moveTo>
                                <a:lnTo>
                                  <a:pt x="3514725" y="25400"/>
                                </a:lnTo>
                              </a:path>
                              <a:path w="6515100" h="25400">
                                <a:moveTo>
                                  <a:pt x="3514725" y="0"/>
                                </a:moveTo>
                                <a:lnTo>
                                  <a:pt x="4114800" y="0"/>
                                </a:lnTo>
                              </a:path>
                              <a:path w="6515100" h="25400">
                                <a:moveTo>
                                  <a:pt x="3514725" y="25400"/>
                                </a:moveTo>
                                <a:lnTo>
                                  <a:pt x="4114800" y="25400"/>
                                </a:lnTo>
                              </a:path>
                              <a:path w="6515100" h="25400">
                                <a:moveTo>
                                  <a:pt x="4114800" y="0"/>
                                </a:moveTo>
                                <a:lnTo>
                                  <a:pt x="4714875" y="0"/>
                                </a:lnTo>
                              </a:path>
                              <a:path w="6515100" h="25400">
                                <a:moveTo>
                                  <a:pt x="4114800" y="25400"/>
                                </a:moveTo>
                                <a:lnTo>
                                  <a:pt x="4714875" y="25400"/>
                                </a:lnTo>
                              </a:path>
                              <a:path w="6515100" h="25400">
                                <a:moveTo>
                                  <a:pt x="4714875" y="0"/>
                                </a:moveTo>
                                <a:lnTo>
                                  <a:pt x="5314950" y="0"/>
                                </a:lnTo>
                              </a:path>
                              <a:path w="6515100" h="25400">
                                <a:moveTo>
                                  <a:pt x="4714875" y="25400"/>
                                </a:moveTo>
                                <a:lnTo>
                                  <a:pt x="5314950" y="25400"/>
                                </a:lnTo>
                              </a:path>
                              <a:path w="6515100" h="25400">
                                <a:moveTo>
                                  <a:pt x="5314950" y="0"/>
                                </a:moveTo>
                                <a:lnTo>
                                  <a:pt x="5915025" y="0"/>
                                </a:lnTo>
                              </a:path>
                              <a:path w="6515100" h="25400">
                                <a:moveTo>
                                  <a:pt x="5314950" y="25400"/>
                                </a:moveTo>
                                <a:lnTo>
                                  <a:pt x="5915025" y="25400"/>
                                </a:lnTo>
                              </a:path>
                              <a:path w="6515100" h="25400">
                                <a:moveTo>
                                  <a:pt x="5915025" y="0"/>
                                </a:moveTo>
                                <a:lnTo>
                                  <a:pt x="6515100" y="0"/>
                                </a:lnTo>
                              </a:path>
                              <a:path w="6515100" h="25400">
                                <a:moveTo>
                                  <a:pt x="5915025" y="25400"/>
                                </a:moveTo>
                                <a:lnTo>
                                  <a:pt x="6515100" y="25400"/>
                                </a:lnTo>
                              </a:path>
                            </a:pathLst>
                          </a:custGeom>
                          <a:ln w="12700">
                            <a:solidFill>
                              <a:srgbClr val="000000"/>
                            </a:solidFill>
                            <a:prstDash val="solid"/>
                          </a:ln>
                        </wps:spPr>
                        <wps:bodyPr wrap="square" lIns="0" tIns="0" rIns="0" bIns="0" rtlCol="0">
                          <a:prstTxWarp prst="textNoShape">
                            <a:avLst/>
                          </a:prstTxWarp>
                          <a:noAutofit/>
                        </wps:bodyPr>
                      </wps:wsp>
                      <wps:wsp>
                        <wps:cNvPr id="238" name="Graphic 238"/>
                        <wps:cNvSpPr/>
                        <wps:spPr>
                          <a:xfrm>
                            <a:off x="0" y="2232025"/>
                            <a:ext cx="1714500" cy="1270"/>
                          </a:xfrm>
                          <a:custGeom>
                            <a:avLst/>
                            <a:gdLst/>
                            <a:ahLst/>
                            <a:cxnLst/>
                            <a:rect l="l" t="t" r="r" b="b"/>
                            <a:pathLst>
                              <a:path w="1714500" h="0">
                                <a:moveTo>
                                  <a:pt x="1714500" y="0"/>
                                </a:moveTo>
                                <a:lnTo>
                                  <a:pt x="0" y="0"/>
                                </a:lnTo>
                              </a:path>
                            </a:pathLst>
                          </a:custGeom>
                          <a:solidFill>
                            <a:srgbClr val="000000"/>
                          </a:solidFill>
                        </wps:spPr>
                        <wps:bodyPr wrap="square" lIns="0" tIns="0" rIns="0" bIns="0" rtlCol="0">
                          <a:prstTxWarp prst="textNoShape">
                            <a:avLst/>
                          </a:prstTxWarp>
                          <a:noAutofit/>
                        </wps:bodyPr>
                      </wps:wsp>
                      <wps:wsp>
                        <wps:cNvPr id="239" name="Graphic 239"/>
                        <wps:cNvSpPr/>
                        <wps:spPr>
                          <a:xfrm>
                            <a:off x="0" y="2232025"/>
                            <a:ext cx="1714500" cy="1270"/>
                          </a:xfrm>
                          <a:custGeom>
                            <a:avLst/>
                            <a:gdLst/>
                            <a:ahLst/>
                            <a:cxnLst/>
                            <a:rect l="l" t="t" r="r" b="b"/>
                            <a:pathLst>
                              <a:path w="1714500" h="0">
                                <a:moveTo>
                                  <a:pt x="0" y="0"/>
                                </a:moveTo>
                                <a:lnTo>
                                  <a:pt x="1714500" y="0"/>
                                </a:lnTo>
                              </a:path>
                            </a:pathLst>
                          </a:custGeom>
                          <a:ln w="6350">
                            <a:solidFill>
                              <a:srgbClr val="000000"/>
                            </a:solidFill>
                            <a:prstDash val="solid"/>
                          </a:ln>
                        </wps:spPr>
                        <wps:bodyPr wrap="square" lIns="0" tIns="0" rIns="0" bIns="0" rtlCol="0">
                          <a:prstTxWarp prst="textNoShape">
                            <a:avLst/>
                          </a:prstTxWarp>
                          <a:noAutofit/>
                        </wps:bodyPr>
                      </wps:wsp>
                      <wps:wsp>
                        <wps:cNvPr id="240" name="Graphic 240"/>
                        <wps:cNvSpPr/>
                        <wps:spPr>
                          <a:xfrm>
                            <a:off x="1714500" y="223202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41" name="Graphic 241"/>
                        <wps:cNvSpPr/>
                        <wps:spPr>
                          <a:xfrm>
                            <a:off x="1714500" y="223202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42" name="Graphic 242"/>
                        <wps:cNvSpPr/>
                        <wps:spPr>
                          <a:xfrm>
                            <a:off x="2314575" y="223202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43" name="Graphic 243"/>
                        <wps:cNvSpPr/>
                        <wps:spPr>
                          <a:xfrm>
                            <a:off x="2314575" y="223202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44" name="Graphic 244"/>
                        <wps:cNvSpPr/>
                        <wps:spPr>
                          <a:xfrm>
                            <a:off x="2914650" y="223202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45" name="Graphic 245"/>
                        <wps:cNvSpPr/>
                        <wps:spPr>
                          <a:xfrm>
                            <a:off x="2914650" y="223202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46" name="Graphic 246"/>
                        <wps:cNvSpPr/>
                        <wps:spPr>
                          <a:xfrm>
                            <a:off x="3514725" y="223202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47" name="Graphic 247"/>
                        <wps:cNvSpPr/>
                        <wps:spPr>
                          <a:xfrm>
                            <a:off x="3514725" y="223202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48" name="Graphic 248"/>
                        <wps:cNvSpPr/>
                        <wps:spPr>
                          <a:xfrm>
                            <a:off x="4114800" y="223202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49" name="Graphic 249"/>
                        <wps:cNvSpPr/>
                        <wps:spPr>
                          <a:xfrm>
                            <a:off x="4114800" y="223202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50" name="Graphic 250"/>
                        <wps:cNvSpPr/>
                        <wps:spPr>
                          <a:xfrm>
                            <a:off x="4714875" y="223202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51" name="Graphic 251"/>
                        <wps:cNvSpPr/>
                        <wps:spPr>
                          <a:xfrm>
                            <a:off x="4714875" y="223202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52" name="Graphic 252"/>
                        <wps:cNvSpPr/>
                        <wps:spPr>
                          <a:xfrm>
                            <a:off x="5314950" y="223202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53" name="Graphic 253"/>
                        <wps:cNvSpPr/>
                        <wps:spPr>
                          <a:xfrm>
                            <a:off x="5314950" y="223202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54" name="Graphic 254"/>
                        <wps:cNvSpPr/>
                        <wps:spPr>
                          <a:xfrm>
                            <a:off x="5915025" y="223202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55" name="Graphic 255"/>
                        <wps:cNvSpPr/>
                        <wps:spPr>
                          <a:xfrm>
                            <a:off x="5915025" y="223202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56" name="Graphic 256"/>
                        <wps:cNvSpPr/>
                        <wps:spPr>
                          <a:xfrm>
                            <a:off x="0" y="2717800"/>
                            <a:ext cx="1714500" cy="1270"/>
                          </a:xfrm>
                          <a:custGeom>
                            <a:avLst/>
                            <a:gdLst/>
                            <a:ahLst/>
                            <a:cxnLst/>
                            <a:rect l="l" t="t" r="r" b="b"/>
                            <a:pathLst>
                              <a:path w="1714500" h="0">
                                <a:moveTo>
                                  <a:pt x="1714500" y="0"/>
                                </a:moveTo>
                                <a:lnTo>
                                  <a:pt x="0" y="0"/>
                                </a:lnTo>
                              </a:path>
                            </a:pathLst>
                          </a:custGeom>
                          <a:solidFill>
                            <a:srgbClr val="000000"/>
                          </a:solidFill>
                        </wps:spPr>
                        <wps:bodyPr wrap="square" lIns="0" tIns="0" rIns="0" bIns="0" rtlCol="0">
                          <a:prstTxWarp prst="textNoShape">
                            <a:avLst/>
                          </a:prstTxWarp>
                          <a:noAutofit/>
                        </wps:bodyPr>
                      </wps:wsp>
                      <wps:wsp>
                        <wps:cNvPr id="257" name="Graphic 257"/>
                        <wps:cNvSpPr/>
                        <wps:spPr>
                          <a:xfrm>
                            <a:off x="0" y="2717800"/>
                            <a:ext cx="1714500" cy="1270"/>
                          </a:xfrm>
                          <a:custGeom>
                            <a:avLst/>
                            <a:gdLst/>
                            <a:ahLst/>
                            <a:cxnLst/>
                            <a:rect l="l" t="t" r="r" b="b"/>
                            <a:pathLst>
                              <a:path w="1714500" h="0">
                                <a:moveTo>
                                  <a:pt x="0" y="0"/>
                                </a:moveTo>
                                <a:lnTo>
                                  <a:pt x="1714500" y="0"/>
                                </a:lnTo>
                              </a:path>
                            </a:pathLst>
                          </a:custGeom>
                          <a:ln w="6350">
                            <a:solidFill>
                              <a:srgbClr val="000000"/>
                            </a:solidFill>
                            <a:prstDash val="solid"/>
                          </a:ln>
                        </wps:spPr>
                        <wps:bodyPr wrap="square" lIns="0" tIns="0" rIns="0" bIns="0" rtlCol="0">
                          <a:prstTxWarp prst="textNoShape">
                            <a:avLst/>
                          </a:prstTxWarp>
                          <a:noAutofit/>
                        </wps:bodyPr>
                      </wps:wsp>
                      <wps:wsp>
                        <wps:cNvPr id="258" name="Graphic 258"/>
                        <wps:cNvSpPr/>
                        <wps:spPr>
                          <a:xfrm>
                            <a:off x="1714500" y="271780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59" name="Graphic 259"/>
                        <wps:cNvSpPr/>
                        <wps:spPr>
                          <a:xfrm>
                            <a:off x="1714500" y="271780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60" name="Graphic 260"/>
                        <wps:cNvSpPr/>
                        <wps:spPr>
                          <a:xfrm>
                            <a:off x="2314575" y="271780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61" name="Graphic 261"/>
                        <wps:cNvSpPr/>
                        <wps:spPr>
                          <a:xfrm>
                            <a:off x="2314575" y="271780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62" name="Graphic 262"/>
                        <wps:cNvSpPr/>
                        <wps:spPr>
                          <a:xfrm>
                            <a:off x="2914650" y="271780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63" name="Graphic 263"/>
                        <wps:cNvSpPr/>
                        <wps:spPr>
                          <a:xfrm>
                            <a:off x="2914650" y="271780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64" name="Graphic 264"/>
                        <wps:cNvSpPr/>
                        <wps:spPr>
                          <a:xfrm>
                            <a:off x="3514725" y="271780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65" name="Graphic 265"/>
                        <wps:cNvSpPr/>
                        <wps:spPr>
                          <a:xfrm>
                            <a:off x="3514725" y="271780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66" name="Graphic 266"/>
                        <wps:cNvSpPr/>
                        <wps:spPr>
                          <a:xfrm>
                            <a:off x="4114800" y="271780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67" name="Graphic 267"/>
                        <wps:cNvSpPr/>
                        <wps:spPr>
                          <a:xfrm>
                            <a:off x="4114800" y="271780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68" name="Graphic 268"/>
                        <wps:cNvSpPr/>
                        <wps:spPr>
                          <a:xfrm>
                            <a:off x="4714875" y="271780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69" name="Graphic 269"/>
                        <wps:cNvSpPr/>
                        <wps:spPr>
                          <a:xfrm>
                            <a:off x="4714875" y="271780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70" name="Graphic 270"/>
                        <wps:cNvSpPr/>
                        <wps:spPr>
                          <a:xfrm>
                            <a:off x="5314950" y="271780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71" name="Graphic 271"/>
                        <wps:cNvSpPr/>
                        <wps:spPr>
                          <a:xfrm>
                            <a:off x="5314950" y="271780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72" name="Graphic 272"/>
                        <wps:cNvSpPr/>
                        <wps:spPr>
                          <a:xfrm>
                            <a:off x="5915025" y="2717800"/>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73" name="Graphic 273"/>
                        <wps:cNvSpPr/>
                        <wps:spPr>
                          <a:xfrm>
                            <a:off x="5915025" y="2717800"/>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74" name="Graphic 274"/>
                        <wps:cNvSpPr/>
                        <wps:spPr>
                          <a:xfrm>
                            <a:off x="0" y="3203575"/>
                            <a:ext cx="1714500" cy="1270"/>
                          </a:xfrm>
                          <a:custGeom>
                            <a:avLst/>
                            <a:gdLst/>
                            <a:ahLst/>
                            <a:cxnLst/>
                            <a:rect l="l" t="t" r="r" b="b"/>
                            <a:pathLst>
                              <a:path w="1714500" h="0">
                                <a:moveTo>
                                  <a:pt x="1714500" y="0"/>
                                </a:moveTo>
                                <a:lnTo>
                                  <a:pt x="0" y="0"/>
                                </a:lnTo>
                              </a:path>
                            </a:pathLst>
                          </a:custGeom>
                          <a:solidFill>
                            <a:srgbClr val="000000"/>
                          </a:solidFill>
                        </wps:spPr>
                        <wps:bodyPr wrap="square" lIns="0" tIns="0" rIns="0" bIns="0" rtlCol="0">
                          <a:prstTxWarp prst="textNoShape">
                            <a:avLst/>
                          </a:prstTxWarp>
                          <a:noAutofit/>
                        </wps:bodyPr>
                      </wps:wsp>
                      <wps:wsp>
                        <wps:cNvPr id="275" name="Graphic 275"/>
                        <wps:cNvSpPr/>
                        <wps:spPr>
                          <a:xfrm>
                            <a:off x="0" y="3203575"/>
                            <a:ext cx="1714500" cy="1270"/>
                          </a:xfrm>
                          <a:custGeom>
                            <a:avLst/>
                            <a:gdLst/>
                            <a:ahLst/>
                            <a:cxnLst/>
                            <a:rect l="l" t="t" r="r" b="b"/>
                            <a:pathLst>
                              <a:path w="1714500" h="0">
                                <a:moveTo>
                                  <a:pt x="0" y="0"/>
                                </a:moveTo>
                                <a:lnTo>
                                  <a:pt x="1714500" y="0"/>
                                </a:lnTo>
                              </a:path>
                            </a:pathLst>
                          </a:custGeom>
                          <a:ln w="6350">
                            <a:solidFill>
                              <a:srgbClr val="000000"/>
                            </a:solidFill>
                            <a:prstDash val="solid"/>
                          </a:ln>
                        </wps:spPr>
                        <wps:bodyPr wrap="square" lIns="0" tIns="0" rIns="0" bIns="0" rtlCol="0">
                          <a:prstTxWarp prst="textNoShape">
                            <a:avLst/>
                          </a:prstTxWarp>
                          <a:noAutofit/>
                        </wps:bodyPr>
                      </wps:wsp>
                      <wps:wsp>
                        <wps:cNvPr id="276" name="Graphic 276"/>
                        <wps:cNvSpPr/>
                        <wps:spPr>
                          <a:xfrm>
                            <a:off x="1714500" y="32035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77" name="Graphic 277"/>
                        <wps:cNvSpPr/>
                        <wps:spPr>
                          <a:xfrm>
                            <a:off x="1714500" y="32035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78" name="Graphic 278"/>
                        <wps:cNvSpPr/>
                        <wps:spPr>
                          <a:xfrm>
                            <a:off x="2314575" y="32035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79" name="Graphic 279"/>
                        <wps:cNvSpPr/>
                        <wps:spPr>
                          <a:xfrm>
                            <a:off x="2314575" y="32035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80" name="Graphic 280"/>
                        <wps:cNvSpPr/>
                        <wps:spPr>
                          <a:xfrm>
                            <a:off x="2914650" y="32035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81" name="Graphic 281"/>
                        <wps:cNvSpPr/>
                        <wps:spPr>
                          <a:xfrm>
                            <a:off x="2914650" y="32035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82" name="Graphic 282"/>
                        <wps:cNvSpPr/>
                        <wps:spPr>
                          <a:xfrm>
                            <a:off x="3514725" y="32035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83" name="Graphic 283"/>
                        <wps:cNvSpPr/>
                        <wps:spPr>
                          <a:xfrm>
                            <a:off x="3514725" y="32035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84" name="Graphic 284"/>
                        <wps:cNvSpPr/>
                        <wps:spPr>
                          <a:xfrm>
                            <a:off x="4114800" y="32035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85" name="Graphic 285"/>
                        <wps:cNvSpPr/>
                        <wps:spPr>
                          <a:xfrm>
                            <a:off x="4114800" y="32035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86" name="Graphic 286"/>
                        <wps:cNvSpPr/>
                        <wps:spPr>
                          <a:xfrm>
                            <a:off x="4714875" y="32035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87" name="Graphic 287"/>
                        <wps:cNvSpPr/>
                        <wps:spPr>
                          <a:xfrm>
                            <a:off x="4714875" y="32035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88" name="Graphic 288"/>
                        <wps:cNvSpPr/>
                        <wps:spPr>
                          <a:xfrm>
                            <a:off x="5314950" y="32035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89" name="Graphic 289"/>
                        <wps:cNvSpPr/>
                        <wps:spPr>
                          <a:xfrm>
                            <a:off x="5314950" y="32035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90" name="Graphic 290"/>
                        <wps:cNvSpPr/>
                        <wps:spPr>
                          <a:xfrm>
                            <a:off x="5915025" y="3203575"/>
                            <a:ext cx="600075" cy="1270"/>
                          </a:xfrm>
                          <a:custGeom>
                            <a:avLst/>
                            <a:gdLst/>
                            <a:ahLst/>
                            <a:cxnLst/>
                            <a:rect l="l" t="t" r="r" b="b"/>
                            <a:pathLst>
                              <a:path w="600075" h="0">
                                <a:moveTo>
                                  <a:pt x="600075" y="0"/>
                                </a:moveTo>
                                <a:lnTo>
                                  <a:pt x="0" y="0"/>
                                </a:lnTo>
                              </a:path>
                            </a:pathLst>
                          </a:custGeom>
                          <a:solidFill>
                            <a:srgbClr val="000000"/>
                          </a:solidFill>
                        </wps:spPr>
                        <wps:bodyPr wrap="square" lIns="0" tIns="0" rIns="0" bIns="0" rtlCol="0">
                          <a:prstTxWarp prst="textNoShape">
                            <a:avLst/>
                          </a:prstTxWarp>
                          <a:noAutofit/>
                        </wps:bodyPr>
                      </wps:wsp>
                      <wps:wsp>
                        <wps:cNvPr id="291" name="Graphic 291"/>
                        <wps:cNvSpPr/>
                        <wps:spPr>
                          <a:xfrm>
                            <a:off x="5915025" y="3203575"/>
                            <a:ext cx="600075" cy="1270"/>
                          </a:xfrm>
                          <a:custGeom>
                            <a:avLst/>
                            <a:gdLst/>
                            <a:ahLst/>
                            <a:cxnLst/>
                            <a:rect l="l" t="t" r="r" b="b"/>
                            <a:pathLst>
                              <a:path w="600075" h="0">
                                <a:moveTo>
                                  <a:pt x="0" y="0"/>
                                </a:moveTo>
                                <a:lnTo>
                                  <a:pt x="600075" y="0"/>
                                </a:lnTo>
                              </a:path>
                            </a:pathLst>
                          </a:custGeom>
                          <a:ln w="6350">
                            <a:solidFill>
                              <a:srgbClr val="000000"/>
                            </a:solidFill>
                            <a:prstDash val="solid"/>
                          </a:ln>
                        </wps:spPr>
                        <wps:bodyPr wrap="square" lIns="0" tIns="0" rIns="0" bIns="0" rtlCol="0">
                          <a:prstTxWarp prst="textNoShape">
                            <a:avLst/>
                          </a:prstTxWarp>
                          <a:noAutofit/>
                        </wps:bodyPr>
                      </wps:wsp>
                      <wps:wsp>
                        <wps:cNvPr id="292" name="Textbox 292"/>
                        <wps:cNvSpPr txBox="1"/>
                        <wps:spPr>
                          <a:xfrm>
                            <a:off x="33401" y="591057"/>
                            <a:ext cx="1047750" cy="288925"/>
                          </a:xfrm>
                          <a:prstGeom prst="rect">
                            <a:avLst/>
                          </a:prstGeom>
                        </wps:spPr>
                        <wps:txbx>
                          <w:txbxContent>
                            <w:p>
                              <w:pPr>
                                <w:spacing w:line="199" w:lineRule="exact" w:before="0"/>
                                <w:ind w:left="0" w:right="0" w:firstLine="0"/>
                                <w:jc w:val="left"/>
                                <w:rPr>
                                  <w:sz w:val="18"/>
                                </w:rPr>
                              </w:pPr>
                              <w:r>
                                <w:rPr>
                                  <w:sz w:val="18"/>
                                </w:rPr>
                                <w:t>September</w:t>
                              </w:r>
                              <w:r>
                                <w:rPr>
                                  <w:spacing w:val="-1"/>
                                  <w:sz w:val="18"/>
                                </w:rPr>
                                <w:t> </w:t>
                              </w:r>
                              <w:r>
                                <w:rPr>
                                  <w:sz w:val="18"/>
                                </w:rPr>
                                <w:t>30, </w:t>
                              </w:r>
                              <w:r>
                                <w:rPr>
                                  <w:spacing w:val="-4"/>
                                  <w:sz w:val="18"/>
                                </w:rPr>
                                <w:t>2023</w:t>
                              </w:r>
                            </w:p>
                            <w:p>
                              <w:pPr>
                                <w:spacing w:before="48"/>
                                <w:ind w:left="0" w:right="0" w:firstLine="0"/>
                                <w:jc w:val="left"/>
                                <w:rPr>
                                  <w:sz w:val="18"/>
                                </w:rPr>
                              </w:pPr>
                              <w:r>
                                <w:rPr>
                                  <w:sz w:val="18"/>
                                </w:rPr>
                                <w:t>Residential</w:t>
                              </w:r>
                              <w:r>
                                <w:rPr>
                                  <w:spacing w:val="-1"/>
                                  <w:sz w:val="18"/>
                                </w:rPr>
                                <w:t> </w:t>
                              </w:r>
                              <w:r>
                                <w:rPr>
                                  <w:sz w:val="18"/>
                                </w:rPr>
                                <w:t>real </w:t>
                              </w:r>
                              <w:r>
                                <w:rPr>
                                  <w:spacing w:val="-2"/>
                                  <w:sz w:val="18"/>
                                </w:rPr>
                                <w:t>estate:</w:t>
                              </w:r>
                            </w:p>
                          </w:txbxContent>
                        </wps:txbx>
                        <wps:bodyPr wrap="square" lIns="0" tIns="0" rIns="0" bIns="0" rtlCol="0">
                          <a:noAutofit/>
                        </wps:bodyPr>
                      </wps:wsp>
                      <wps:wsp>
                        <wps:cNvPr id="293" name="Textbox 293"/>
                        <wps:cNvSpPr txBox="1"/>
                        <wps:spPr>
                          <a:xfrm>
                            <a:off x="1840102" y="19557"/>
                            <a:ext cx="2238375" cy="698500"/>
                          </a:xfrm>
                          <a:prstGeom prst="rect">
                            <a:avLst/>
                          </a:prstGeom>
                        </wps:spPr>
                        <wps:txbx>
                          <w:txbxContent>
                            <w:p>
                              <w:pPr>
                                <w:spacing w:line="208" w:lineRule="auto" w:before="14"/>
                                <w:ind w:left="2964" w:right="80" w:hanging="184"/>
                                <w:jc w:val="left"/>
                                <w:rPr>
                                  <w:sz w:val="18"/>
                                </w:rPr>
                              </w:pPr>
                              <w:r>
                                <w:rPr>
                                  <w:sz w:val="18"/>
                                  <w:u w:val="single"/>
                                </w:rPr>
                                <w:t>&gt;</w:t>
                              </w:r>
                              <w:r>
                                <w:rPr>
                                  <w:sz w:val="18"/>
                                  <w:u w:val="none"/>
                                </w:rPr>
                                <w:t>90</w:t>
                              </w:r>
                              <w:r>
                                <w:rPr>
                                  <w:spacing w:val="-12"/>
                                  <w:sz w:val="18"/>
                                  <w:u w:val="none"/>
                                </w:rPr>
                                <w:t> </w:t>
                              </w:r>
                              <w:r>
                                <w:rPr>
                                  <w:sz w:val="18"/>
                                  <w:u w:val="none"/>
                                </w:rPr>
                                <w:t>days </w:t>
                              </w:r>
                              <w:r>
                                <w:rPr>
                                  <w:spacing w:val="-4"/>
                                  <w:sz w:val="18"/>
                                  <w:u w:val="none"/>
                                </w:rPr>
                                <w:t>past</w:t>
                              </w:r>
                            </w:p>
                            <w:p>
                              <w:pPr>
                                <w:spacing w:line="208" w:lineRule="auto" w:before="0"/>
                                <w:ind w:left="2924" w:right="126" w:hanging="98"/>
                                <w:jc w:val="left"/>
                                <w:rPr>
                                  <w:sz w:val="18"/>
                                </w:rPr>
                              </w:pPr>
                              <w:r>
                                <w:rPr>
                                  <w:sz w:val="18"/>
                                </w:rPr>
                                <w:t>due</w:t>
                              </w:r>
                              <w:r>
                                <w:rPr>
                                  <w:spacing w:val="-12"/>
                                  <w:sz w:val="18"/>
                                </w:rPr>
                                <w:t> </w:t>
                              </w:r>
                              <w:r>
                                <w:rPr>
                                  <w:sz w:val="18"/>
                                </w:rPr>
                                <w:t>and </w:t>
                              </w:r>
                              <w:r>
                                <w:rPr>
                                  <w:spacing w:val="-2"/>
                                  <w:sz w:val="18"/>
                                </w:rPr>
                                <w:t>other</w:t>
                              </w:r>
                            </w:p>
                            <w:p>
                              <w:pPr>
                                <w:tabs>
                                  <w:tab w:pos="922" w:val="left" w:leader="none"/>
                                  <w:tab w:pos="1867" w:val="left" w:leader="none"/>
                                  <w:tab w:pos="2829" w:val="left" w:leader="none"/>
                                </w:tabs>
                                <w:spacing w:line="208" w:lineRule="auto" w:before="0"/>
                                <w:ind w:left="0" w:right="18" w:firstLine="822"/>
                                <w:jc w:val="left"/>
                                <w:rPr>
                                  <w:sz w:val="18"/>
                                </w:rPr>
                              </w:pPr>
                              <w:r>
                                <w:rPr>
                                  <w:sz w:val="18"/>
                                </w:rPr>
                                <w:t>30-59</w:t>
                              </w:r>
                              <w:r>
                                <w:rPr>
                                  <w:spacing w:val="-5"/>
                                  <w:sz w:val="18"/>
                                </w:rPr>
                                <w:t> </w:t>
                              </w:r>
                              <w:r>
                                <w:rPr>
                                  <w:sz w:val="18"/>
                                </w:rPr>
                                <w:t>days</w:t>
                              </w:r>
                              <w:r>
                                <w:rPr>
                                  <w:spacing w:val="80"/>
                                  <w:sz w:val="18"/>
                                </w:rPr>
                                <w:t> </w:t>
                              </w:r>
                              <w:r>
                                <w:rPr>
                                  <w:sz w:val="18"/>
                                </w:rPr>
                                <w:t>60-89</w:t>
                              </w:r>
                              <w:r>
                                <w:rPr>
                                  <w:spacing w:val="-5"/>
                                  <w:sz w:val="18"/>
                                </w:rPr>
                                <w:t> </w:t>
                              </w:r>
                              <w:r>
                                <w:rPr>
                                  <w:sz w:val="18"/>
                                </w:rPr>
                                <w:t>days</w:t>
                              </w:r>
                              <w:r>
                                <w:rPr>
                                  <w:spacing w:val="92"/>
                                  <w:sz w:val="18"/>
                                </w:rPr>
                                <w:t> </w:t>
                              </w:r>
                              <w:r>
                                <w:rPr>
                                  <w:sz w:val="18"/>
                                </w:rPr>
                                <w:t>nonaccrual </w:t>
                              </w:r>
                              <w:r>
                                <w:rPr>
                                  <w:spacing w:val="-2"/>
                                  <w:sz w:val="18"/>
                                </w:rPr>
                                <w:t>Current</w:t>
                              </w:r>
                              <w:r>
                                <w:rPr>
                                  <w:sz w:val="18"/>
                                </w:rPr>
                                <w:tab/>
                                <w:t>past due</w:t>
                                <w:tab/>
                                <w:t>past due</w:t>
                                <w:tab/>
                                <w:t>loans </w:t>
                              </w:r>
                              <w:r>
                                <w:rPr>
                                  <w:sz w:val="18"/>
                                  <w:vertAlign w:val="superscript"/>
                                </w:rPr>
                                <w:t>(</w:t>
                              </w:r>
                              <w:r>
                                <w:rPr>
                                  <w:sz w:val="18"/>
                                  <w:vertAlign w:val="superscript"/>
                                </w:rPr>
                                <w:t>3</w:t>
                              </w:r>
                              <w:r>
                                <w:rPr>
                                  <w:sz w:val="18"/>
                                  <w:vertAlign w:val="superscript"/>
                                </w:rPr>
                                <w:t>)</w:t>
                              </w:r>
                            </w:p>
                          </w:txbxContent>
                        </wps:txbx>
                        <wps:bodyPr wrap="square" lIns="0" tIns="0" rIns="0" bIns="0" rtlCol="0">
                          <a:noAutofit/>
                        </wps:bodyPr>
                      </wps:wsp>
                      <wps:wsp>
                        <wps:cNvPr id="294" name="Textbox 294"/>
                        <wps:cNvSpPr txBox="1"/>
                        <wps:spPr>
                          <a:xfrm>
                            <a:off x="4164329" y="133857"/>
                            <a:ext cx="514350" cy="584200"/>
                          </a:xfrm>
                          <a:prstGeom prst="rect">
                            <a:avLst/>
                          </a:prstGeom>
                        </wps:spPr>
                        <wps:txbx>
                          <w:txbxContent>
                            <w:p>
                              <w:pPr>
                                <w:spacing w:line="208" w:lineRule="auto" w:before="14"/>
                                <w:ind w:left="0" w:right="18" w:firstLine="0"/>
                                <w:jc w:val="center"/>
                                <w:rPr>
                                  <w:sz w:val="18"/>
                                </w:rPr>
                              </w:pPr>
                              <w:r>
                                <w:rPr>
                                  <w:sz w:val="18"/>
                                </w:rPr>
                                <w:t>Total</w:t>
                              </w:r>
                              <w:r>
                                <w:rPr>
                                  <w:spacing w:val="-12"/>
                                  <w:sz w:val="18"/>
                                </w:rPr>
                                <w:t> </w:t>
                              </w:r>
                              <w:r>
                                <w:rPr>
                                  <w:sz w:val="18"/>
                                </w:rPr>
                                <w:t>past </w:t>
                              </w:r>
                              <w:r>
                                <w:rPr>
                                  <w:spacing w:val="-4"/>
                                  <w:sz w:val="18"/>
                                </w:rPr>
                                <w:t>due</w:t>
                              </w:r>
                            </w:p>
                            <w:p>
                              <w:pPr>
                                <w:spacing w:line="208" w:lineRule="auto" w:before="0"/>
                                <w:ind w:left="0" w:right="18" w:hanging="1"/>
                                <w:jc w:val="center"/>
                                <w:rPr>
                                  <w:sz w:val="18"/>
                                </w:rPr>
                              </w:pPr>
                              <w:r>
                                <w:rPr>
                                  <w:sz w:val="18"/>
                                </w:rPr>
                                <w:t>and other </w:t>
                              </w:r>
                              <w:r>
                                <w:rPr>
                                  <w:spacing w:val="-2"/>
                                  <w:sz w:val="18"/>
                                </w:rPr>
                                <w:t>nonaccrual loans</w:t>
                              </w:r>
                            </w:p>
                          </w:txbxContent>
                        </wps:txbx>
                        <wps:bodyPr wrap="square" lIns="0" tIns="0" rIns="0" bIns="0" rtlCol="0">
                          <a:noAutofit/>
                        </wps:bodyPr>
                      </wps:wsp>
                      <wps:wsp>
                        <wps:cNvPr id="295" name="Textbox 295"/>
                        <wps:cNvSpPr txBox="1"/>
                        <wps:spPr>
                          <a:xfrm>
                            <a:off x="4894326" y="362457"/>
                            <a:ext cx="981710" cy="241300"/>
                          </a:xfrm>
                          <a:prstGeom prst="rect">
                            <a:avLst/>
                          </a:prstGeom>
                        </wps:spPr>
                        <wps:txbx>
                          <w:txbxContent>
                            <w:p>
                              <w:pPr>
                                <w:spacing w:line="186" w:lineRule="exact" w:before="0"/>
                                <w:ind w:left="0" w:right="18" w:firstLine="0"/>
                                <w:jc w:val="right"/>
                                <w:rPr>
                                  <w:sz w:val="18"/>
                                </w:rPr>
                              </w:pPr>
                              <w:r>
                                <w:rPr>
                                  <w:spacing w:val="-2"/>
                                  <w:sz w:val="18"/>
                                </w:rPr>
                                <w:t>Allowance</w:t>
                              </w:r>
                            </w:p>
                            <w:p>
                              <w:pPr>
                                <w:tabs>
                                  <w:tab w:pos="802" w:val="left" w:leader="none"/>
                                </w:tabs>
                                <w:spacing w:line="193" w:lineRule="exact" w:before="0"/>
                                <w:ind w:left="0" w:right="75" w:firstLine="0"/>
                                <w:jc w:val="right"/>
                                <w:rPr>
                                  <w:sz w:val="18"/>
                                </w:rPr>
                              </w:pPr>
                              <w:r>
                                <w:rPr>
                                  <w:spacing w:val="-2"/>
                                  <w:sz w:val="18"/>
                                </w:rPr>
                                <w:t>Total</w:t>
                              </w:r>
                              <w:r>
                                <w:rPr>
                                  <w:sz w:val="18"/>
                                </w:rPr>
                                <w:tab/>
                                <w:t>for </w:t>
                              </w:r>
                              <w:r>
                                <w:rPr>
                                  <w:spacing w:val="-2"/>
                                  <w:sz w:val="18"/>
                                </w:rPr>
                                <w:t>credit</w:t>
                              </w:r>
                            </w:p>
                          </w:txbxContent>
                        </wps:txbx>
                        <wps:bodyPr wrap="square" lIns="0" tIns="0" rIns="0" bIns="0" rtlCol="0">
                          <a:noAutofit/>
                        </wps:bodyPr>
                      </wps:wsp>
                      <wps:wsp>
                        <wps:cNvPr id="296" name="Textbox 296"/>
                        <wps:cNvSpPr txBox="1"/>
                        <wps:spPr>
                          <a:xfrm>
                            <a:off x="4894326" y="591057"/>
                            <a:ext cx="254000" cy="127000"/>
                          </a:xfrm>
                          <a:prstGeom prst="rect">
                            <a:avLst/>
                          </a:prstGeom>
                        </wps:spPr>
                        <wps:txbx>
                          <w:txbxContent>
                            <w:p>
                              <w:pPr>
                                <w:spacing w:line="199" w:lineRule="exact" w:before="0"/>
                                <w:ind w:left="0" w:right="0" w:firstLine="0"/>
                                <w:jc w:val="left"/>
                                <w:rPr>
                                  <w:sz w:val="18"/>
                                </w:rPr>
                              </w:pPr>
                              <w:r>
                                <w:rPr>
                                  <w:spacing w:val="-2"/>
                                  <w:sz w:val="18"/>
                                </w:rPr>
                                <w:t>loans</w:t>
                              </w:r>
                            </w:p>
                          </w:txbxContent>
                        </wps:txbx>
                        <wps:bodyPr wrap="square" lIns="0" tIns="0" rIns="0" bIns="0" rtlCol="0">
                          <a:noAutofit/>
                        </wps:bodyPr>
                      </wps:wsp>
                      <wps:wsp>
                        <wps:cNvPr id="297" name="Textbox 297"/>
                        <wps:cNvSpPr txBox="1"/>
                        <wps:spPr>
                          <a:xfrm>
                            <a:off x="5478526" y="591057"/>
                            <a:ext cx="286385" cy="127000"/>
                          </a:xfrm>
                          <a:prstGeom prst="rect">
                            <a:avLst/>
                          </a:prstGeom>
                        </wps:spPr>
                        <wps:txbx>
                          <w:txbxContent>
                            <w:p>
                              <w:pPr>
                                <w:spacing w:line="199" w:lineRule="exact" w:before="0"/>
                                <w:ind w:left="0" w:right="0" w:firstLine="0"/>
                                <w:jc w:val="left"/>
                                <w:rPr>
                                  <w:sz w:val="18"/>
                                </w:rPr>
                              </w:pPr>
                              <w:r>
                                <w:rPr>
                                  <w:spacing w:val="-2"/>
                                  <w:sz w:val="18"/>
                                </w:rPr>
                                <w:t>losses</w:t>
                              </w:r>
                            </w:p>
                          </w:txbxContent>
                        </wps:txbx>
                        <wps:bodyPr wrap="square" lIns="0" tIns="0" rIns="0" bIns="0" rtlCol="0">
                          <a:noAutofit/>
                        </wps:bodyPr>
                      </wps:wsp>
                      <wps:wsp>
                        <wps:cNvPr id="298" name="Textbox 298"/>
                        <wps:cNvSpPr txBox="1"/>
                        <wps:spPr>
                          <a:xfrm>
                            <a:off x="5967476" y="362457"/>
                            <a:ext cx="508000" cy="355600"/>
                          </a:xfrm>
                          <a:prstGeom prst="rect">
                            <a:avLst/>
                          </a:prstGeom>
                        </wps:spPr>
                        <wps:txbx>
                          <w:txbxContent>
                            <w:p>
                              <w:pPr>
                                <w:spacing w:line="208" w:lineRule="auto" w:before="14"/>
                                <w:ind w:left="59" w:right="76" w:firstLine="0"/>
                                <w:jc w:val="center"/>
                                <w:rPr>
                                  <w:sz w:val="18"/>
                                </w:rPr>
                              </w:pPr>
                              <w:r>
                                <w:rPr>
                                  <w:spacing w:val="-2"/>
                                  <w:sz w:val="18"/>
                                </w:rPr>
                                <w:t>Total </w:t>
                              </w:r>
                              <w:r>
                                <w:rPr>
                                  <w:spacing w:val="-4"/>
                                  <w:sz w:val="18"/>
                                </w:rPr>
                                <w:t>bank</w:t>
                              </w:r>
                            </w:p>
                            <w:p>
                              <w:pPr>
                                <w:spacing w:line="185" w:lineRule="exact" w:before="0"/>
                                <w:ind w:left="0" w:right="18" w:firstLine="0"/>
                                <w:jc w:val="center"/>
                                <w:rPr>
                                  <w:sz w:val="18"/>
                                </w:rPr>
                              </w:pPr>
                              <w:r>
                                <w:rPr>
                                  <w:sz w:val="18"/>
                                </w:rPr>
                                <w:t>loans</w:t>
                              </w:r>
                              <w:r>
                                <w:rPr>
                                  <w:spacing w:val="-1"/>
                                  <w:sz w:val="18"/>
                                </w:rPr>
                                <w:t> </w:t>
                              </w:r>
                              <w:r>
                                <w:rPr>
                                  <w:sz w:val="18"/>
                                </w:rPr>
                                <w:t>– </w:t>
                              </w:r>
                              <w:r>
                                <w:rPr>
                                  <w:spacing w:val="-5"/>
                                  <w:sz w:val="18"/>
                                </w:rPr>
                                <w:t>net</w:t>
                              </w:r>
                            </w:p>
                          </w:txbxContent>
                        </wps:txbx>
                        <wps:bodyPr wrap="square" lIns="0" tIns="0" rIns="0" bIns="0" rtlCol="0">
                          <a:noAutofit/>
                        </wps:bodyPr>
                      </wps:wsp>
                      <wps:wsp>
                        <wps:cNvPr id="299" name="Textbox 299"/>
                        <wps:cNvSpPr txBox="1"/>
                        <wps:spPr>
                          <a:xfrm>
                            <a:off x="119126" y="1061554"/>
                            <a:ext cx="608965" cy="142240"/>
                          </a:xfrm>
                          <a:prstGeom prst="rect">
                            <a:avLst/>
                          </a:prstGeom>
                        </wps:spPr>
                        <wps:txbx>
                          <w:txbxContent>
                            <w:p>
                              <w:pPr>
                                <w:spacing w:before="16"/>
                                <w:ind w:left="0" w:right="0" w:firstLine="0"/>
                                <w:jc w:val="left"/>
                                <w:rPr>
                                  <w:sz w:val="18"/>
                                </w:rPr>
                              </w:pPr>
                              <w:r>
                                <w:rPr>
                                  <w:sz w:val="18"/>
                                </w:rPr>
                                <w:t>HELOCs</w:t>
                              </w:r>
                              <w:r>
                                <w:rPr>
                                  <w:spacing w:val="-5"/>
                                  <w:sz w:val="18"/>
                                </w:rPr>
                                <w:t> </w:t>
                              </w:r>
                              <w:r>
                                <w:rPr>
                                  <w:spacing w:val="-2"/>
                                  <w:sz w:val="18"/>
                                  <w:vertAlign w:val="superscript"/>
                                </w:rPr>
                                <w:t>(1,2)</w:t>
                              </w:r>
                            </w:p>
                          </w:txbxContent>
                        </wps:txbx>
                        <wps:bodyPr wrap="square" lIns="0" tIns="0" rIns="0" bIns="0" rtlCol="0">
                          <a:noAutofit/>
                        </wps:bodyPr>
                      </wps:wsp>
                      <wps:wsp>
                        <wps:cNvPr id="300" name="Textbox 300"/>
                        <wps:cNvSpPr txBox="1"/>
                        <wps:spPr>
                          <a:xfrm>
                            <a:off x="2095601" y="1076832"/>
                            <a:ext cx="184150" cy="127000"/>
                          </a:xfrm>
                          <a:prstGeom prst="rect">
                            <a:avLst/>
                          </a:prstGeom>
                        </wps:spPr>
                        <wps:txbx>
                          <w:txbxContent>
                            <w:p>
                              <w:pPr>
                                <w:spacing w:line="199" w:lineRule="exact" w:before="0"/>
                                <w:ind w:left="0" w:right="0" w:firstLine="0"/>
                                <w:jc w:val="left"/>
                                <w:rPr>
                                  <w:sz w:val="18"/>
                                </w:rPr>
                              </w:pPr>
                              <w:r>
                                <w:rPr>
                                  <w:spacing w:val="-5"/>
                                  <w:sz w:val="18"/>
                                </w:rPr>
                                <w:t>487</w:t>
                              </w:r>
                            </w:p>
                          </w:txbxContent>
                        </wps:txbx>
                        <wps:bodyPr wrap="square" lIns="0" tIns="0" rIns="0" bIns="0" rtlCol="0">
                          <a:noAutofit/>
                        </wps:bodyPr>
                      </wps:wsp>
                      <wps:wsp>
                        <wps:cNvPr id="301" name="Textbox 301"/>
                        <wps:cNvSpPr txBox="1"/>
                        <wps:spPr>
                          <a:xfrm>
                            <a:off x="2809976" y="1076832"/>
                            <a:ext cx="69850" cy="127000"/>
                          </a:xfrm>
                          <a:prstGeom prst="rect">
                            <a:avLst/>
                          </a:prstGeom>
                        </wps:spPr>
                        <wps:txbx>
                          <w:txbxContent>
                            <w:p>
                              <w:pPr>
                                <w:spacing w:line="199" w:lineRule="exact" w:before="0"/>
                                <w:ind w:left="0" w:right="0" w:firstLine="0"/>
                                <w:jc w:val="left"/>
                                <w:rPr>
                                  <w:sz w:val="18"/>
                                </w:rPr>
                              </w:pPr>
                              <w:r>
                                <w:rPr>
                                  <w:spacing w:val="-10"/>
                                  <w:sz w:val="18"/>
                                </w:rPr>
                                <w:t>1</w:t>
                              </w:r>
                            </w:p>
                          </w:txbxContent>
                        </wps:txbx>
                        <wps:bodyPr wrap="square" lIns="0" tIns="0" rIns="0" bIns="0" rtlCol="0">
                          <a:noAutofit/>
                        </wps:bodyPr>
                      </wps:wsp>
                      <wps:wsp>
                        <wps:cNvPr id="302" name="Textbox 302"/>
                        <wps:cNvSpPr txBox="1"/>
                        <wps:spPr>
                          <a:xfrm>
                            <a:off x="3352901" y="1076832"/>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303" name="Textbox 303"/>
                        <wps:cNvSpPr txBox="1"/>
                        <wps:spPr>
                          <a:xfrm>
                            <a:off x="4010126" y="1076832"/>
                            <a:ext cx="69850" cy="127000"/>
                          </a:xfrm>
                          <a:prstGeom prst="rect">
                            <a:avLst/>
                          </a:prstGeom>
                        </wps:spPr>
                        <wps:txbx>
                          <w:txbxContent>
                            <w:p>
                              <w:pPr>
                                <w:spacing w:line="199" w:lineRule="exact" w:before="0"/>
                                <w:ind w:left="0" w:right="0" w:firstLine="0"/>
                                <w:jc w:val="left"/>
                                <w:rPr>
                                  <w:sz w:val="18"/>
                                </w:rPr>
                              </w:pPr>
                              <w:r>
                                <w:rPr>
                                  <w:spacing w:val="-10"/>
                                  <w:sz w:val="18"/>
                                </w:rPr>
                                <w:t>5</w:t>
                              </w:r>
                            </w:p>
                          </w:txbxContent>
                        </wps:txbx>
                        <wps:bodyPr wrap="square" lIns="0" tIns="0" rIns="0" bIns="0" rtlCol="0">
                          <a:noAutofit/>
                        </wps:bodyPr>
                      </wps:wsp>
                      <wps:wsp>
                        <wps:cNvPr id="304" name="Textbox 304"/>
                        <wps:cNvSpPr txBox="1"/>
                        <wps:spPr>
                          <a:xfrm>
                            <a:off x="4610201" y="1076832"/>
                            <a:ext cx="69850" cy="127000"/>
                          </a:xfrm>
                          <a:prstGeom prst="rect">
                            <a:avLst/>
                          </a:prstGeom>
                        </wps:spPr>
                        <wps:txbx>
                          <w:txbxContent>
                            <w:p>
                              <w:pPr>
                                <w:spacing w:line="199" w:lineRule="exact" w:before="0"/>
                                <w:ind w:left="0" w:right="0" w:firstLine="0"/>
                                <w:jc w:val="left"/>
                                <w:rPr>
                                  <w:sz w:val="18"/>
                                </w:rPr>
                              </w:pPr>
                              <w:r>
                                <w:rPr>
                                  <w:spacing w:val="-10"/>
                                  <w:sz w:val="18"/>
                                </w:rPr>
                                <w:t>6</w:t>
                              </w:r>
                            </w:p>
                          </w:txbxContent>
                        </wps:txbx>
                        <wps:bodyPr wrap="square" lIns="0" tIns="0" rIns="0" bIns="0" rtlCol="0">
                          <a:noAutofit/>
                        </wps:bodyPr>
                      </wps:wsp>
                      <wps:wsp>
                        <wps:cNvPr id="305" name="Textbox 305"/>
                        <wps:cNvSpPr txBox="1"/>
                        <wps:spPr>
                          <a:xfrm>
                            <a:off x="5095976" y="1076832"/>
                            <a:ext cx="184150" cy="127000"/>
                          </a:xfrm>
                          <a:prstGeom prst="rect">
                            <a:avLst/>
                          </a:prstGeom>
                        </wps:spPr>
                        <wps:txbx>
                          <w:txbxContent>
                            <w:p>
                              <w:pPr>
                                <w:spacing w:line="199" w:lineRule="exact" w:before="0"/>
                                <w:ind w:left="0" w:right="0" w:firstLine="0"/>
                                <w:jc w:val="left"/>
                                <w:rPr>
                                  <w:sz w:val="18"/>
                                </w:rPr>
                              </w:pPr>
                              <w:r>
                                <w:rPr>
                                  <w:spacing w:val="-5"/>
                                  <w:sz w:val="18"/>
                                </w:rPr>
                                <w:t>493</w:t>
                              </w:r>
                            </w:p>
                          </w:txbxContent>
                        </wps:txbx>
                        <wps:bodyPr wrap="square" lIns="0" tIns="0" rIns="0" bIns="0" rtlCol="0">
                          <a:noAutofit/>
                        </wps:bodyPr>
                      </wps:wsp>
                      <wps:wsp>
                        <wps:cNvPr id="306" name="Textbox 306"/>
                        <wps:cNvSpPr txBox="1"/>
                        <wps:spPr>
                          <a:xfrm>
                            <a:off x="5810351" y="1076832"/>
                            <a:ext cx="69850" cy="127000"/>
                          </a:xfrm>
                          <a:prstGeom prst="rect">
                            <a:avLst/>
                          </a:prstGeom>
                        </wps:spPr>
                        <wps:txbx>
                          <w:txbxContent>
                            <w:p>
                              <w:pPr>
                                <w:spacing w:line="199" w:lineRule="exact" w:before="0"/>
                                <w:ind w:left="0" w:right="0" w:firstLine="0"/>
                                <w:jc w:val="left"/>
                                <w:rPr>
                                  <w:sz w:val="18"/>
                                </w:rPr>
                              </w:pPr>
                              <w:r>
                                <w:rPr>
                                  <w:spacing w:val="-10"/>
                                  <w:sz w:val="18"/>
                                </w:rPr>
                                <w:t>2</w:t>
                              </w:r>
                            </w:p>
                          </w:txbxContent>
                        </wps:txbx>
                        <wps:bodyPr wrap="square" lIns="0" tIns="0" rIns="0" bIns="0" rtlCol="0">
                          <a:noAutofit/>
                        </wps:bodyPr>
                      </wps:wsp>
                      <wps:wsp>
                        <wps:cNvPr id="307" name="Textbox 307"/>
                        <wps:cNvSpPr txBox="1"/>
                        <wps:spPr>
                          <a:xfrm>
                            <a:off x="6296126" y="1076832"/>
                            <a:ext cx="184150" cy="127000"/>
                          </a:xfrm>
                          <a:prstGeom prst="rect">
                            <a:avLst/>
                          </a:prstGeom>
                        </wps:spPr>
                        <wps:txbx>
                          <w:txbxContent>
                            <w:p>
                              <w:pPr>
                                <w:spacing w:line="199" w:lineRule="exact" w:before="0"/>
                                <w:ind w:left="0" w:right="0" w:firstLine="0"/>
                                <w:jc w:val="left"/>
                                <w:rPr>
                                  <w:sz w:val="18"/>
                                </w:rPr>
                              </w:pPr>
                              <w:r>
                                <w:rPr>
                                  <w:spacing w:val="-5"/>
                                  <w:sz w:val="18"/>
                                </w:rPr>
                                <w:t>491</w:t>
                              </w:r>
                            </w:p>
                          </w:txbxContent>
                        </wps:txbx>
                        <wps:bodyPr wrap="square" lIns="0" tIns="0" rIns="0" bIns="0" rtlCol="0">
                          <a:noAutofit/>
                        </wps:bodyPr>
                      </wps:wsp>
                      <wps:wsp>
                        <wps:cNvPr id="308" name="Textbox 308"/>
                        <wps:cNvSpPr txBox="1"/>
                        <wps:spPr>
                          <a:xfrm>
                            <a:off x="33401" y="1400682"/>
                            <a:ext cx="876300" cy="127000"/>
                          </a:xfrm>
                          <a:prstGeom prst="rect">
                            <a:avLst/>
                          </a:prstGeom>
                        </wps:spPr>
                        <wps:txbx>
                          <w:txbxContent>
                            <w:p>
                              <w:pPr>
                                <w:spacing w:line="199" w:lineRule="exact" w:before="0"/>
                                <w:ind w:left="0" w:right="0" w:firstLine="0"/>
                                <w:jc w:val="left"/>
                                <w:rPr>
                                  <w:sz w:val="18"/>
                                </w:rPr>
                              </w:pPr>
                              <w:r>
                                <w:rPr>
                                  <w:sz w:val="18"/>
                                </w:rPr>
                                <w:t>Pledged</w:t>
                              </w:r>
                              <w:r>
                                <w:rPr>
                                  <w:spacing w:val="-2"/>
                                  <w:sz w:val="18"/>
                                </w:rPr>
                                <w:t> </w:t>
                              </w:r>
                              <w:r>
                                <w:rPr>
                                  <w:sz w:val="18"/>
                                </w:rPr>
                                <w:t>asset</w:t>
                              </w:r>
                              <w:r>
                                <w:rPr>
                                  <w:spacing w:val="-1"/>
                                  <w:sz w:val="18"/>
                                </w:rPr>
                                <w:t> </w:t>
                              </w:r>
                              <w:r>
                                <w:rPr>
                                  <w:spacing w:val="-2"/>
                                  <w:sz w:val="18"/>
                                </w:rPr>
                                <w:t>lines</w:t>
                              </w:r>
                            </w:p>
                          </w:txbxContent>
                        </wps:txbx>
                        <wps:bodyPr wrap="square" lIns="0" tIns="0" rIns="0" bIns="0" rtlCol="0">
                          <a:noAutofit/>
                        </wps:bodyPr>
                      </wps:wsp>
                      <wps:wsp>
                        <wps:cNvPr id="309" name="Textbox 309"/>
                        <wps:cNvSpPr txBox="1"/>
                        <wps:spPr>
                          <a:xfrm>
                            <a:off x="1952726" y="1400682"/>
                            <a:ext cx="327025" cy="127000"/>
                          </a:xfrm>
                          <a:prstGeom prst="rect">
                            <a:avLst/>
                          </a:prstGeom>
                        </wps:spPr>
                        <wps:txbx>
                          <w:txbxContent>
                            <w:p>
                              <w:pPr>
                                <w:spacing w:line="199" w:lineRule="exact" w:before="0"/>
                                <w:ind w:left="0" w:right="0" w:firstLine="0"/>
                                <w:jc w:val="left"/>
                                <w:rPr>
                                  <w:sz w:val="18"/>
                                </w:rPr>
                              </w:pPr>
                              <w:r>
                                <w:rPr>
                                  <w:spacing w:val="-2"/>
                                  <w:sz w:val="18"/>
                                </w:rPr>
                                <w:t>13,525</w:t>
                              </w:r>
                            </w:p>
                          </w:txbxContent>
                        </wps:txbx>
                        <wps:bodyPr wrap="square" lIns="0" tIns="0" rIns="0" bIns="0" rtlCol="0">
                          <a:noAutofit/>
                        </wps:bodyPr>
                      </wps:wsp>
                      <wps:wsp>
                        <wps:cNvPr id="310" name="Textbox 310"/>
                        <wps:cNvSpPr txBox="1"/>
                        <wps:spPr>
                          <a:xfrm>
                            <a:off x="2752826" y="1400682"/>
                            <a:ext cx="127000" cy="127000"/>
                          </a:xfrm>
                          <a:prstGeom prst="rect">
                            <a:avLst/>
                          </a:prstGeom>
                        </wps:spPr>
                        <wps:txbx>
                          <w:txbxContent>
                            <w:p>
                              <w:pPr>
                                <w:spacing w:line="199" w:lineRule="exact" w:before="0"/>
                                <w:ind w:left="0" w:right="0" w:firstLine="0"/>
                                <w:jc w:val="left"/>
                                <w:rPr>
                                  <w:sz w:val="18"/>
                                </w:rPr>
                              </w:pPr>
                              <w:r>
                                <w:rPr>
                                  <w:spacing w:val="-5"/>
                                  <w:sz w:val="18"/>
                                </w:rPr>
                                <w:t>10</w:t>
                              </w:r>
                            </w:p>
                          </w:txbxContent>
                        </wps:txbx>
                        <wps:bodyPr wrap="square" lIns="0" tIns="0" rIns="0" bIns="0" rtlCol="0">
                          <a:noAutofit/>
                        </wps:bodyPr>
                      </wps:wsp>
                      <wps:wsp>
                        <wps:cNvPr id="311" name="Textbox 311"/>
                        <wps:cNvSpPr txBox="1"/>
                        <wps:spPr>
                          <a:xfrm>
                            <a:off x="3410051" y="1400682"/>
                            <a:ext cx="69850" cy="127000"/>
                          </a:xfrm>
                          <a:prstGeom prst="rect">
                            <a:avLst/>
                          </a:prstGeom>
                        </wps:spPr>
                        <wps:txbx>
                          <w:txbxContent>
                            <w:p>
                              <w:pPr>
                                <w:spacing w:line="199" w:lineRule="exact" w:before="0"/>
                                <w:ind w:left="0" w:right="0" w:firstLine="0"/>
                                <w:jc w:val="left"/>
                                <w:rPr>
                                  <w:sz w:val="18"/>
                                </w:rPr>
                              </w:pPr>
                              <w:r>
                                <w:rPr>
                                  <w:spacing w:val="-10"/>
                                  <w:sz w:val="18"/>
                                </w:rPr>
                                <w:t>2</w:t>
                              </w:r>
                            </w:p>
                          </w:txbxContent>
                        </wps:txbx>
                        <wps:bodyPr wrap="square" lIns="0" tIns="0" rIns="0" bIns="0" rtlCol="0">
                          <a:noAutofit/>
                        </wps:bodyPr>
                      </wps:wsp>
                      <wps:wsp>
                        <wps:cNvPr id="312" name="Textbox 312"/>
                        <wps:cNvSpPr txBox="1"/>
                        <wps:spPr>
                          <a:xfrm>
                            <a:off x="4010126" y="1400682"/>
                            <a:ext cx="69850" cy="127000"/>
                          </a:xfrm>
                          <a:prstGeom prst="rect">
                            <a:avLst/>
                          </a:prstGeom>
                        </wps:spPr>
                        <wps:txbx>
                          <w:txbxContent>
                            <w:p>
                              <w:pPr>
                                <w:spacing w:line="199" w:lineRule="exact" w:before="0"/>
                                <w:ind w:left="0" w:right="0" w:firstLine="0"/>
                                <w:jc w:val="left"/>
                                <w:rPr>
                                  <w:sz w:val="18"/>
                                </w:rPr>
                              </w:pPr>
                              <w:r>
                                <w:rPr>
                                  <w:spacing w:val="-10"/>
                                  <w:sz w:val="18"/>
                                </w:rPr>
                                <w:t>1</w:t>
                              </w:r>
                            </w:p>
                          </w:txbxContent>
                        </wps:txbx>
                        <wps:bodyPr wrap="square" lIns="0" tIns="0" rIns="0" bIns="0" rtlCol="0">
                          <a:noAutofit/>
                        </wps:bodyPr>
                      </wps:wsp>
                      <wps:wsp>
                        <wps:cNvPr id="313" name="Textbox 313"/>
                        <wps:cNvSpPr txBox="1"/>
                        <wps:spPr>
                          <a:xfrm>
                            <a:off x="4553051" y="1400682"/>
                            <a:ext cx="127000" cy="127000"/>
                          </a:xfrm>
                          <a:prstGeom prst="rect">
                            <a:avLst/>
                          </a:prstGeom>
                        </wps:spPr>
                        <wps:txbx>
                          <w:txbxContent>
                            <w:p>
                              <w:pPr>
                                <w:spacing w:line="199" w:lineRule="exact" w:before="0"/>
                                <w:ind w:left="0" w:right="0" w:firstLine="0"/>
                                <w:jc w:val="left"/>
                                <w:rPr>
                                  <w:sz w:val="18"/>
                                </w:rPr>
                              </w:pPr>
                              <w:r>
                                <w:rPr>
                                  <w:spacing w:val="-5"/>
                                  <w:sz w:val="18"/>
                                </w:rPr>
                                <w:t>13</w:t>
                              </w:r>
                            </w:p>
                          </w:txbxContent>
                        </wps:txbx>
                        <wps:bodyPr wrap="square" lIns="0" tIns="0" rIns="0" bIns="0" rtlCol="0">
                          <a:noAutofit/>
                        </wps:bodyPr>
                      </wps:wsp>
                      <wps:wsp>
                        <wps:cNvPr id="314" name="Textbox 314"/>
                        <wps:cNvSpPr txBox="1"/>
                        <wps:spPr>
                          <a:xfrm>
                            <a:off x="4953101" y="1400682"/>
                            <a:ext cx="327025" cy="127000"/>
                          </a:xfrm>
                          <a:prstGeom prst="rect">
                            <a:avLst/>
                          </a:prstGeom>
                        </wps:spPr>
                        <wps:txbx>
                          <w:txbxContent>
                            <w:p>
                              <w:pPr>
                                <w:spacing w:line="199" w:lineRule="exact" w:before="0"/>
                                <w:ind w:left="0" w:right="0" w:firstLine="0"/>
                                <w:jc w:val="left"/>
                                <w:rPr>
                                  <w:sz w:val="18"/>
                                </w:rPr>
                              </w:pPr>
                              <w:r>
                                <w:rPr>
                                  <w:spacing w:val="-2"/>
                                  <w:sz w:val="18"/>
                                </w:rPr>
                                <w:t>13,538</w:t>
                              </w:r>
                            </w:p>
                          </w:txbxContent>
                        </wps:txbx>
                        <wps:bodyPr wrap="square" lIns="0" tIns="0" rIns="0" bIns="0" rtlCol="0">
                          <a:noAutofit/>
                        </wps:bodyPr>
                      </wps:wsp>
                      <wps:wsp>
                        <wps:cNvPr id="315" name="Textbox 315"/>
                        <wps:cNvSpPr txBox="1"/>
                        <wps:spPr>
                          <a:xfrm>
                            <a:off x="5753201" y="1400682"/>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316" name="Textbox 316"/>
                        <wps:cNvSpPr txBox="1"/>
                        <wps:spPr>
                          <a:xfrm>
                            <a:off x="6153251" y="1400682"/>
                            <a:ext cx="327025" cy="127000"/>
                          </a:xfrm>
                          <a:prstGeom prst="rect">
                            <a:avLst/>
                          </a:prstGeom>
                        </wps:spPr>
                        <wps:txbx>
                          <w:txbxContent>
                            <w:p>
                              <w:pPr>
                                <w:spacing w:line="199" w:lineRule="exact" w:before="0"/>
                                <w:ind w:left="0" w:right="0" w:firstLine="0"/>
                                <w:jc w:val="left"/>
                                <w:rPr>
                                  <w:sz w:val="18"/>
                                </w:rPr>
                              </w:pPr>
                              <w:r>
                                <w:rPr>
                                  <w:spacing w:val="-2"/>
                                  <w:sz w:val="18"/>
                                </w:rPr>
                                <w:t>13,538</w:t>
                              </w:r>
                            </w:p>
                          </w:txbxContent>
                        </wps:txbx>
                        <wps:bodyPr wrap="square" lIns="0" tIns="0" rIns="0" bIns="0" rtlCol="0">
                          <a:noAutofit/>
                        </wps:bodyPr>
                      </wps:wsp>
                      <wps:wsp>
                        <wps:cNvPr id="317" name="Textbox 317"/>
                        <wps:cNvSpPr txBox="1"/>
                        <wps:spPr>
                          <a:xfrm>
                            <a:off x="176276" y="1724532"/>
                            <a:ext cx="774700" cy="127000"/>
                          </a:xfrm>
                          <a:prstGeom prst="rect">
                            <a:avLst/>
                          </a:prstGeom>
                        </wps:spPr>
                        <wps:txbx>
                          <w:txbxContent>
                            <w:p>
                              <w:pPr>
                                <w:spacing w:line="199" w:lineRule="exact" w:before="0"/>
                                <w:ind w:left="0" w:right="0" w:firstLine="0"/>
                                <w:jc w:val="left"/>
                                <w:rPr>
                                  <w:sz w:val="18"/>
                                </w:rPr>
                              </w:pPr>
                              <w:r>
                                <w:rPr>
                                  <w:sz w:val="18"/>
                                </w:rPr>
                                <w:t>Total bank </w:t>
                              </w:r>
                              <w:r>
                                <w:rPr>
                                  <w:spacing w:val="-2"/>
                                  <w:sz w:val="18"/>
                                </w:rPr>
                                <w:t>loans</w:t>
                              </w:r>
                            </w:p>
                          </w:txbxContent>
                        </wps:txbx>
                        <wps:bodyPr wrap="square" lIns="0" tIns="0" rIns="0" bIns="0" rtlCol="0">
                          <a:noAutofit/>
                        </wps:bodyPr>
                      </wps:wsp>
                      <wps:wsp>
                        <wps:cNvPr id="318" name="Textbox 318"/>
                        <wps:cNvSpPr txBox="1"/>
                        <wps:spPr>
                          <a:xfrm>
                            <a:off x="1747901" y="1724532"/>
                            <a:ext cx="669925" cy="127000"/>
                          </a:xfrm>
                          <a:prstGeom prst="rect">
                            <a:avLst/>
                          </a:prstGeom>
                        </wps:spPr>
                        <wps:txbx>
                          <w:txbxContent>
                            <w:p>
                              <w:pPr>
                                <w:tabs>
                                  <w:tab w:pos="322" w:val="left" w:leader="none"/>
                                </w:tabs>
                                <w:spacing w:line="199" w:lineRule="exact" w:before="0"/>
                                <w:ind w:left="0" w:right="0" w:firstLine="0"/>
                                <w:jc w:val="left"/>
                                <w:rPr>
                                  <w:sz w:val="18"/>
                                </w:rPr>
                              </w:pPr>
                              <w:r>
                                <w:rPr>
                                  <w:spacing w:val="-10"/>
                                  <w:sz w:val="18"/>
                                </w:rPr>
                                <w:t>$</w:t>
                              </w:r>
                              <w:r>
                                <w:rPr>
                                  <w:sz w:val="18"/>
                                </w:rPr>
                                <w:tab/>
                                <w:t>40,328</w:t>
                              </w:r>
                              <w:r>
                                <w:rPr>
                                  <w:spacing w:val="59"/>
                                  <w:w w:val="150"/>
                                  <w:sz w:val="18"/>
                                </w:rPr>
                                <w:t> </w:t>
                              </w:r>
                              <w:r>
                                <w:rPr>
                                  <w:spacing w:val="-10"/>
                                  <w:sz w:val="18"/>
                                </w:rPr>
                                <w:t>$</w:t>
                              </w:r>
                            </w:p>
                          </w:txbxContent>
                        </wps:txbx>
                        <wps:bodyPr wrap="square" lIns="0" tIns="0" rIns="0" bIns="0" rtlCol="0">
                          <a:noAutofit/>
                        </wps:bodyPr>
                      </wps:wsp>
                      <wps:wsp>
                        <wps:cNvPr id="319" name="Textbox 319"/>
                        <wps:cNvSpPr txBox="1"/>
                        <wps:spPr>
                          <a:xfrm>
                            <a:off x="2752826" y="1724532"/>
                            <a:ext cx="265430" cy="127000"/>
                          </a:xfrm>
                          <a:prstGeom prst="rect">
                            <a:avLst/>
                          </a:prstGeom>
                        </wps:spPr>
                        <wps:txbx>
                          <w:txbxContent>
                            <w:p>
                              <w:pPr>
                                <w:spacing w:line="199" w:lineRule="exact" w:before="0"/>
                                <w:ind w:left="0" w:right="0" w:firstLine="0"/>
                                <w:jc w:val="left"/>
                                <w:rPr>
                                  <w:sz w:val="18"/>
                                </w:rPr>
                              </w:pPr>
                              <w:r>
                                <w:rPr>
                                  <w:sz w:val="18"/>
                                </w:rPr>
                                <w:t>36</w:t>
                              </w:r>
                              <w:r>
                                <w:rPr>
                                  <w:spacing w:val="59"/>
                                  <w:w w:val="150"/>
                                  <w:sz w:val="18"/>
                                </w:rPr>
                                <w:t> </w:t>
                              </w:r>
                              <w:r>
                                <w:rPr>
                                  <w:spacing w:val="-10"/>
                                  <w:sz w:val="18"/>
                                </w:rPr>
                                <w:t>$</w:t>
                              </w:r>
                            </w:p>
                          </w:txbxContent>
                        </wps:txbx>
                        <wps:bodyPr wrap="square" lIns="0" tIns="0" rIns="0" bIns="0" rtlCol="0">
                          <a:noAutofit/>
                        </wps:bodyPr>
                      </wps:wsp>
                      <wps:wsp>
                        <wps:cNvPr id="320" name="Textbox 320"/>
                        <wps:cNvSpPr txBox="1"/>
                        <wps:spPr>
                          <a:xfrm>
                            <a:off x="3410051" y="1724532"/>
                            <a:ext cx="208279" cy="127000"/>
                          </a:xfrm>
                          <a:prstGeom prst="rect">
                            <a:avLst/>
                          </a:prstGeom>
                        </wps:spPr>
                        <wps:txbx>
                          <w:txbxContent>
                            <w:p>
                              <w:pPr>
                                <w:spacing w:line="199" w:lineRule="exact" w:before="0"/>
                                <w:ind w:left="0" w:right="0" w:firstLine="0"/>
                                <w:jc w:val="left"/>
                                <w:rPr>
                                  <w:sz w:val="18"/>
                                </w:rPr>
                              </w:pPr>
                              <w:r>
                                <w:rPr>
                                  <w:sz w:val="18"/>
                                </w:rPr>
                                <w:t>3</w:t>
                              </w:r>
                              <w:r>
                                <w:rPr>
                                  <w:spacing w:val="59"/>
                                  <w:w w:val="150"/>
                                  <w:sz w:val="18"/>
                                </w:rPr>
                                <w:t> </w:t>
                              </w:r>
                              <w:r>
                                <w:rPr>
                                  <w:spacing w:val="-10"/>
                                  <w:sz w:val="18"/>
                                </w:rPr>
                                <w:t>$</w:t>
                              </w:r>
                            </w:p>
                          </w:txbxContent>
                        </wps:txbx>
                        <wps:bodyPr wrap="square" lIns="0" tIns="0" rIns="0" bIns="0" rtlCol="0">
                          <a:noAutofit/>
                        </wps:bodyPr>
                      </wps:wsp>
                      <wps:wsp>
                        <wps:cNvPr id="321" name="Textbox 321"/>
                        <wps:cNvSpPr txBox="1"/>
                        <wps:spPr>
                          <a:xfrm>
                            <a:off x="3952976" y="1724532"/>
                            <a:ext cx="265430" cy="127000"/>
                          </a:xfrm>
                          <a:prstGeom prst="rect">
                            <a:avLst/>
                          </a:prstGeom>
                        </wps:spPr>
                        <wps:txbx>
                          <w:txbxContent>
                            <w:p>
                              <w:pPr>
                                <w:spacing w:line="199" w:lineRule="exact" w:before="0"/>
                                <w:ind w:left="0" w:right="0" w:firstLine="0"/>
                                <w:jc w:val="left"/>
                                <w:rPr>
                                  <w:sz w:val="18"/>
                                </w:rPr>
                              </w:pPr>
                              <w:r>
                                <w:rPr>
                                  <w:sz w:val="18"/>
                                </w:rPr>
                                <w:t>14</w:t>
                              </w:r>
                              <w:r>
                                <w:rPr>
                                  <w:spacing w:val="59"/>
                                  <w:w w:val="150"/>
                                  <w:sz w:val="18"/>
                                </w:rPr>
                                <w:t> </w:t>
                              </w:r>
                              <w:r>
                                <w:rPr>
                                  <w:spacing w:val="-10"/>
                                  <w:sz w:val="18"/>
                                </w:rPr>
                                <w:t>$</w:t>
                              </w:r>
                            </w:p>
                          </w:txbxContent>
                        </wps:txbx>
                        <wps:bodyPr wrap="square" lIns="0" tIns="0" rIns="0" bIns="0" rtlCol="0">
                          <a:noAutofit/>
                        </wps:bodyPr>
                      </wps:wsp>
                      <wps:wsp>
                        <wps:cNvPr id="322" name="Textbox 322"/>
                        <wps:cNvSpPr txBox="1"/>
                        <wps:spPr>
                          <a:xfrm>
                            <a:off x="4553051" y="1724532"/>
                            <a:ext cx="865505" cy="127000"/>
                          </a:xfrm>
                          <a:prstGeom prst="rect">
                            <a:avLst/>
                          </a:prstGeom>
                        </wps:spPr>
                        <wps:txbx>
                          <w:txbxContent>
                            <w:p>
                              <w:pPr>
                                <w:tabs>
                                  <w:tab w:pos="629" w:val="left" w:leader="none"/>
                                </w:tabs>
                                <w:spacing w:line="199" w:lineRule="exact" w:before="0"/>
                                <w:ind w:left="0" w:right="0" w:firstLine="0"/>
                                <w:jc w:val="left"/>
                                <w:rPr>
                                  <w:sz w:val="18"/>
                                </w:rPr>
                              </w:pPr>
                              <w:r>
                                <w:rPr>
                                  <w:sz w:val="18"/>
                                </w:rPr>
                                <w:t>53</w:t>
                              </w:r>
                              <w:r>
                                <w:rPr>
                                  <w:spacing w:val="59"/>
                                  <w:w w:val="150"/>
                                  <w:sz w:val="18"/>
                                </w:rPr>
                                <w:t> </w:t>
                              </w:r>
                              <w:r>
                                <w:rPr>
                                  <w:spacing w:val="-10"/>
                                  <w:sz w:val="18"/>
                                </w:rPr>
                                <w:t>$</w:t>
                              </w:r>
                              <w:r>
                                <w:rPr>
                                  <w:sz w:val="18"/>
                                </w:rPr>
                                <w:tab/>
                                <w:t>40,381</w:t>
                              </w:r>
                              <w:r>
                                <w:rPr>
                                  <w:spacing w:val="59"/>
                                  <w:w w:val="150"/>
                                  <w:sz w:val="18"/>
                                </w:rPr>
                                <w:t> </w:t>
                              </w:r>
                              <w:r>
                                <w:rPr>
                                  <w:spacing w:val="-10"/>
                                  <w:sz w:val="18"/>
                                </w:rPr>
                                <w:t>$</w:t>
                              </w:r>
                            </w:p>
                          </w:txbxContent>
                        </wps:txbx>
                        <wps:bodyPr wrap="square" lIns="0" tIns="0" rIns="0" bIns="0" rtlCol="0">
                          <a:noAutofit/>
                        </wps:bodyPr>
                      </wps:wsp>
                      <wps:wsp>
                        <wps:cNvPr id="323" name="Textbox 323"/>
                        <wps:cNvSpPr txBox="1"/>
                        <wps:spPr>
                          <a:xfrm>
                            <a:off x="5753201" y="1724532"/>
                            <a:ext cx="727075" cy="127000"/>
                          </a:xfrm>
                          <a:prstGeom prst="rect">
                            <a:avLst/>
                          </a:prstGeom>
                        </wps:spPr>
                        <wps:txbx>
                          <w:txbxContent>
                            <w:p>
                              <w:pPr>
                                <w:tabs>
                                  <w:tab w:pos="629" w:val="left" w:leader="none"/>
                                </w:tabs>
                                <w:spacing w:line="199" w:lineRule="exact" w:before="0"/>
                                <w:ind w:left="0" w:right="0" w:firstLine="0"/>
                                <w:jc w:val="left"/>
                                <w:rPr>
                                  <w:sz w:val="18"/>
                                </w:rPr>
                              </w:pPr>
                              <w:r>
                                <w:rPr>
                                  <w:sz w:val="18"/>
                                </w:rPr>
                                <w:t>54</w:t>
                              </w:r>
                              <w:r>
                                <w:rPr>
                                  <w:spacing w:val="59"/>
                                  <w:w w:val="150"/>
                                  <w:sz w:val="18"/>
                                </w:rPr>
                                <w:t> </w:t>
                              </w:r>
                              <w:r>
                                <w:rPr>
                                  <w:spacing w:val="-10"/>
                                  <w:sz w:val="18"/>
                                </w:rPr>
                                <w:t>$</w:t>
                              </w:r>
                              <w:r>
                                <w:rPr>
                                  <w:sz w:val="18"/>
                                </w:rPr>
                                <w:tab/>
                              </w:r>
                              <w:r>
                                <w:rPr>
                                  <w:spacing w:val="-2"/>
                                  <w:sz w:val="18"/>
                                </w:rPr>
                                <w:t>40,327</w:t>
                              </w:r>
                            </w:p>
                          </w:txbxContent>
                        </wps:txbx>
                        <wps:bodyPr wrap="square" lIns="0" tIns="0" rIns="0" bIns="0" rtlCol="0">
                          <a:noAutofit/>
                        </wps:bodyPr>
                      </wps:wsp>
                      <wps:wsp>
                        <wps:cNvPr id="324" name="Textbox 324"/>
                        <wps:cNvSpPr txBox="1"/>
                        <wps:spPr>
                          <a:xfrm>
                            <a:off x="33401" y="2086482"/>
                            <a:ext cx="1047750" cy="612775"/>
                          </a:xfrm>
                          <a:prstGeom prst="rect">
                            <a:avLst/>
                          </a:prstGeom>
                        </wps:spPr>
                        <wps:txbx>
                          <w:txbxContent>
                            <w:p>
                              <w:pPr>
                                <w:spacing w:line="295" w:lineRule="auto" w:before="0"/>
                                <w:ind w:left="0" w:right="0" w:firstLine="0"/>
                                <w:jc w:val="left"/>
                                <w:rPr>
                                  <w:sz w:val="18"/>
                                </w:rPr>
                              </w:pPr>
                              <w:r>
                                <w:rPr>
                                  <w:sz w:val="18"/>
                                </w:rPr>
                                <w:t>December 31, 2022 Residential</w:t>
                              </w:r>
                              <w:r>
                                <w:rPr>
                                  <w:spacing w:val="-12"/>
                                  <w:sz w:val="18"/>
                                </w:rPr>
                                <w:t> </w:t>
                              </w:r>
                              <w:r>
                                <w:rPr>
                                  <w:sz w:val="18"/>
                                </w:rPr>
                                <w:t>real</w:t>
                              </w:r>
                              <w:r>
                                <w:rPr>
                                  <w:spacing w:val="-11"/>
                                  <w:sz w:val="18"/>
                                </w:rPr>
                                <w:t> </w:t>
                              </w:r>
                              <w:r>
                                <w:rPr>
                                  <w:sz w:val="18"/>
                                </w:rPr>
                                <w:t>estate:</w:t>
                              </w:r>
                            </w:p>
                            <w:p>
                              <w:pPr>
                                <w:spacing w:line="240" w:lineRule="auto" w:before="41"/>
                                <w:rPr>
                                  <w:sz w:val="18"/>
                                </w:rPr>
                              </w:pPr>
                            </w:p>
                            <w:p>
                              <w:pPr>
                                <w:spacing w:before="0"/>
                                <w:ind w:left="135" w:right="0" w:firstLine="0"/>
                                <w:jc w:val="left"/>
                                <w:rPr>
                                  <w:sz w:val="18"/>
                                </w:rPr>
                              </w:pPr>
                              <w:r>
                                <w:rPr>
                                  <w:sz w:val="18"/>
                                </w:rPr>
                                <w:t>HELOCs</w:t>
                              </w:r>
                              <w:r>
                                <w:rPr>
                                  <w:spacing w:val="-5"/>
                                  <w:sz w:val="18"/>
                                </w:rPr>
                                <w:t> </w:t>
                              </w:r>
                              <w:r>
                                <w:rPr>
                                  <w:spacing w:val="-2"/>
                                  <w:sz w:val="18"/>
                                  <w:vertAlign w:val="superscript"/>
                                </w:rPr>
                                <w:t>(1,2)</w:t>
                              </w:r>
                            </w:p>
                          </w:txbxContent>
                        </wps:txbx>
                        <wps:bodyPr wrap="square" lIns="0" tIns="0" rIns="0" bIns="0" rtlCol="0">
                          <a:noAutofit/>
                        </wps:bodyPr>
                      </wps:wsp>
                      <wps:wsp>
                        <wps:cNvPr id="325" name="Textbox 325"/>
                        <wps:cNvSpPr txBox="1"/>
                        <wps:spPr>
                          <a:xfrm>
                            <a:off x="2095601" y="2572257"/>
                            <a:ext cx="184150" cy="127000"/>
                          </a:xfrm>
                          <a:prstGeom prst="rect">
                            <a:avLst/>
                          </a:prstGeom>
                        </wps:spPr>
                        <wps:txbx>
                          <w:txbxContent>
                            <w:p>
                              <w:pPr>
                                <w:spacing w:line="199" w:lineRule="exact" w:before="0"/>
                                <w:ind w:left="0" w:right="0" w:firstLine="0"/>
                                <w:jc w:val="left"/>
                                <w:rPr>
                                  <w:sz w:val="18"/>
                                </w:rPr>
                              </w:pPr>
                              <w:r>
                                <w:rPr>
                                  <w:spacing w:val="-5"/>
                                  <w:sz w:val="18"/>
                                </w:rPr>
                                <w:t>590</w:t>
                              </w:r>
                            </w:p>
                          </w:txbxContent>
                        </wps:txbx>
                        <wps:bodyPr wrap="square" lIns="0" tIns="0" rIns="0" bIns="0" rtlCol="0">
                          <a:noAutofit/>
                        </wps:bodyPr>
                      </wps:wsp>
                      <wps:wsp>
                        <wps:cNvPr id="326" name="Textbox 326"/>
                        <wps:cNvSpPr txBox="1"/>
                        <wps:spPr>
                          <a:xfrm>
                            <a:off x="2809976" y="2572257"/>
                            <a:ext cx="69850" cy="127000"/>
                          </a:xfrm>
                          <a:prstGeom prst="rect">
                            <a:avLst/>
                          </a:prstGeom>
                        </wps:spPr>
                        <wps:txbx>
                          <w:txbxContent>
                            <w:p>
                              <w:pPr>
                                <w:spacing w:line="199" w:lineRule="exact" w:before="0"/>
                                <w:ind w:left="0" w:right="0" w:firstLine="0"/>
                                <w:jc w:val="left"/>
                                <w:rPr>
                                  <w:sz w:val="18"/>
                                </w:rPr>
                              </w:pPr>
                              <w:r>
                                <w:rPr>
                                  <w:spacing w:val="-10"/>
                                  <w:sz w:val="18"/>
                                </w:rPr>
                                <w:t>2</w:t>
                              </w:r>
                            </w:p>
                          </w:txbxContent>
                        </wps:txbx>
                        <wps:bodyPr wrap="square" lIns="0" tIns="0" rIns="0" bIns="0" rtlCol="0">
                          <a:noAutofit/>
                        </wps:bodyPr>
                      </wps:wsp>
                      <wps:wsp>
                        <wps:cNvPr id="327" name="Textbox 327"/>
                        <wps:cNvSpPr txBox="1"/>
                        <wps:spPr>
                          <a:xfrm>
                            <a:off x="3352901" y="2572257"/>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328" name="Textbox 328"/>
                        <wps:cNvSpPr txBox="1"/>
                        <wps:spPr>
                          <a:xfrm>
                            <a:off x="4010126" y="2572257"/>
                            <a:ext cx="69850" cy="127000"/>
                          </a:xfrm>
                          <a:prstGeom prst="rect">
                            <a:avLst/>
                          </a:prstGeom>
                        </wps:spPr>
                        <wps:txbx>
                          <w:txbxContent>
                            <w:p>
                              <w:pPr>
                                <w:spacing w:line="199" w:lineRule="exact" w:before="0"/>
                                <w:ind w:left="0" w:right="0" w:firstLine="0"/>
                                <w:jc w:val="left"/>
                                <w:rPr>
                                  <w:sz w:val="18"/>
                                </w:rPr>
                              </w:pPr>
                              <w:r>
                                <w:rPr>
                                  <w:spacing w:val="-10"/>
                                  <w:sz w:val="18"/>
                                </w:rPr>
                                <w:t>5</w:t>
                              </w:r>
                            </w:p>
                          </w:txbxContent>
                        </wps:txbx>
                        <wps:bodyPr wrap="square" lIns="0" tIns="0" rIns="0" bIns="0" rtlCol="0">
                          <a:noAutofit/>
                        </wps:bodyPr>
                      </wps:wsp>
                      <wps:wsp>
                        <wps:cNvPr id="329" name="Textbox 329"/>
                        <wps:cNvSpPr txBox="1"/>
                        <wps:spPr>
                          <a:xfrm>
                            <a:off x="4610201" y="2572257"/>
                            <a:ext cx="69850" cy="127000"/>
                          </a:xfrm>
                          <a:prstGeom prst="rect">
                            <a:avLst/>
                          </a:prstGeom>
                        </wps:spPr>
                        <wps:txbx>
                          <w:txbxContent>
                            <w:p>
                              <w:pPr>
                                <w:spacing w:line="199" w:lineRule="exact" w:before="0"/>
                                <w:ind w:left="0" w:right="0" w:firstLine="0"/>
                                <w:jc w:val="left"/>
                                <w:rPr>
                                  <w:sz w:val="18"/>
                                </w:rPr>
                              </w:pPr>
                              <w:r>
                                <w:rPr>
                                  <w:spacing w:val="-10"/>
                                  <w:sz w:val="18"/>
                                </w:rPr>
                                <w:t>7</w:t>
                              </w:r>
                            </w:p>
                          </w:txbxContent>
                        </wps:txbx>
                        <wps:bodyPr wrap="square" lIns="0" tIns="0" rIns="0" bIns="0" rtlCol="0">
                          <a:noAutofit/>
                        </wps:bodyPr>
                      </wps:wsp>
                      <wps:wsp>
                        <wps:cNvPr id="330" name="Textbox 330"/>
                        <wps:cNvSpPr txBox="1"/>
                        <wps:spPr>
                          <a:xfrm>
                            <a:off x="5095976" y="2572257"/>
                            <a:ext cx="184150" cy="127000"/>
                          </a:xfrm>
                          <a:prstGeom prst="rect">
                            <a:avLst/>
                          </a:prstGeom>
                        </wps:spPr>
                        <wps:txbx>
                          <w:txbxContent>
                            <w:p>
                              <w:pPr>
                                <w:spacing w:line="199" w:lineRule="exact" w:before="0"/>
                                <w:ind w:left="0" w:right="0" w:firstLine="0"/>
                                <w:jc w:val="left"/>
                                <w:rPr>
                                  <w:sz w:val="18"/>
                                </w:rPr>
                              </w:pPr>
                              <w:r>
                                <w:rPr>
                                  <w:spacing w:val="-5"/>
                                  <w:sz w:val="18"/>
                                </w:rPr>
                                <w:t>597</w:t>
                              </w:r>
                            </w:p>
                          </w:txbxContent>
                        </wps:txbx>
                        <wps:bodyPr wrap="square" lIns="0" tIns="0" rIns="0" bIns="0" rtlCol="0">
                          <a:noAutofit/>
                        </wps:bodyPr>
                      </wps:wsp>
                      <wps:wsp>
                        <wps:cNvPr id="331" name="Textbox 331"/>
                        <wps:cNvSpPr txBox="1"/>
                        <wps:spPr>
                          <a:xfrm>
                            <a:off x="5810351" y="2572257"/>
                            <a:ext cx="69850" cy="127000"/>
                          </a:xfrm>
                          <a:prstGeom prst="rect">
                            <a:avLst/>
                          </a:prstGeom>
                        </wps:spPr>
                        <wps:txbx>
                          <w:txbxContent>
                            <w:p>
                              <w:pPr>
                                <w:spacing w:line="199" w:lineRule="exact" w:before="0"/>
                                <w:ind w:left="0" w:right="0" w:firstLine="0"/>
                                <w:jc w:val="left"/>
                                <w:rPr>
                                  <w:sz w:val="18"/>
                                </w:rPr>
                              </w:pPr>
                              <w:r>
                                <w:rPr>
                                  <w:spacing w:val="-10"/>
                                  <w:sz w:val="18"/>
                                </w:rPr>
                                <w:t>4</w:t>
                              </w:r>
                            </w:p>
                          </w:txbxContent>
                        </wps:txbx>
                        <wps:bodyPr wrap="square" lIns="0" tIns="0" rIns="0" bIns="0" rtlCol="0">
                          <a:noAutofit/>
                        </wps:bodyPr>
                      </wps:wsp>
                      <wps:wsp>
                        <wps:cNvPr id="332" name="Textbox 332"/>
                        <wps:cNvSpPr txBox="1"/>
                        <wps:spPr>
                          <a:xfrm>
                            <a:off x="6296126" y="2572257"/>
                            <a:ext cx="184150" cy="127000"/>
                          </a:xfrm>
                          <a:prstGeom prst="rect">
                            <a:avLst/>
                          </a:prstGeom>
                        </wps:spPr>
                        <wps:txbx>
                          <w:txbxContent>
                            <w:p>
                              <w:pPr>
                                <w:spacing w:line="199" w:lineRule="exact" w:before="0"/>
                                <w:ind w:left="0" w:right="0" w:firstLine="0"/>
                                <w:jc w:val="left"/>
                                <w:rPr>
                                  <w:sz w:val="18"/>
                                </w:rPr>
                              </w:pPr>
                              <w:r>
                                <w:rPr>
                                  <w:spacing w:val="-5"/>
                                  <w:sz w:val="18"/>
                                </w:rPr>
                                <w:t>593</w:t>
                              </w:r>
                            </w:p>
                          </w:txbxContent>
                        </wps:txbx>
                        <wps:bodyPr wrap="square" lIns="0" tIns="0" rIns="0" bIns="0" rtlCol="0">
                          <a:noAutofit/>
                        </wps:bodyPr>
                      </wps:wsp>
                      <wps:wsp>
                        <wps:cNvPr id="333" name="Textbox 333"/>
                        <wps:cNvSpPr txBox="1"/>
                        <wps:spPr>
                          <a:xfrm>
                            <a:off x="33401" y="2896107"/>
                            <a:ext cx="876300" cy="127000"/>
                          </a:xfrm>
                          <a:prstGeom prst="rect">
                            <a:avLst/>
                          </a:prstGeom>
                        </wps:spPr>
                        <wps:txbx>
                          <w:txbxContent>
                            <w:p>
                              <w:pPr>
                                <w:spacing w:line="199" w:lineRule="exact" w:before="0"/>
                                <w:ind w:left="0" w:right="0" w:firstLine="0"/>
                                <w:jc w:val="left"/>
                                <w:rPr>
                                  <w:sz w:val="18"/>
                                </w:rPr>
                              </w:pPr>
                              <w:r>
                                <w:rPr>
                                  <w:sz w:val="18"/>
                                </w:rPr>
                                <w:t>Pledged</w:t>
                              </w:r>
                              <w:r>
                                <w:rPr>
                                  <w:spacing w:val="-2"/>
                                  <w:sz w:val="18"/>
                                </w:rPr>
                                <w:t> </w:t>
                              </w:r>
                              <w:r>
                                <w:rPr>
                                  <w:sz w:val="18"/>
                                </w:rPr>
                                <w:t>asset</w:t>
                              </w:r>
                              <w:r>
                                <w:rPr>
                                  <w:spacing w:val="-1"/>
                                  <w:sz w:val="18"/>
                                </w:rPr>
                                <w:t> </w:t>
                              </w:r>
                              <w:r>
                                <w:rPr>
                                  <w:spacing w:val="-2"/>
                                  <w:sz w:val="18"/>
                                </w:rPr>
                                <w:t>lines</w:t>
                              </w:r>
                            </w:p>
                          </w:txbxContent>
                        </wps:txbx>
                        <wps:bodyPr wrap="square" lIns="0" tIns="0" rIns="0" bIns="0" rtlCol="0">
                          <a:noAutofit/>
                        </wps:bodyPr>
                      </wps:wsp>
                      <wps:wsp>
                        <wps:cNvPr id="334" name="Textbox 334"/>
                        <wps:cNvSpPr txBox="1"/>
                        <wps:spPr>
                          <a:xfrm>
                            <a:off x="1952726" y="2896107"/>
                            <a:ext cx="327025" cy="127000"/>
                          </a:xfrm>
                          <a:prstGeom prst="rect">
                            <a:avLst/>
                          </a:prstGeom>
                        </wps:spPr>
                        <wps:txbx>
                          <w:txbxContent>
                            <w:p>
                              <w:pPr>
                                <w:spacing w:line="199" w:lineRule="exact" w:before="0"/>
                                <w:ind w:left="0" w:right="0" w:firstLine="0"/>
                                <w:jc w:val="left"/>
                                <w:rPr>
                                  <w:sz w:val="18"/>
                                </w:rPr>
                              </w:pPr>
                              <w:r>
                                <w:rPr>
                                  <w:spacing w:val="-2"/>
                                  <w:sz w:val="18"/>
                                </w:rPr>
                                <w:t>14,584</w:t>
                              </w:r>
                            </w:p>
                          </w:txbxContent>
                        </wps:txbx>
                        <wps:bodyPr wrap="square" lIns="0" tIns="0" rIns="0" bIns="0" rtlCol="0">
                          <a:noAutofit/>
                        </wps:bodyPr>
                      </wps:wsp>
                      <wps:wsp>
                        <wps:cNvPr id="335" name="Textbox 335"/>
                        <wps:cNvSpPr txBox="1"/>
                        <wps:spPr>
                          <a:xfrm>
                            <a:off x="2809976" y="2896107"/>
                            <a:ext cx="69850" cy="127000"/>
                          </a:xfrm>
                          <a:prstGeom prst="rect">
                            <a:avLst/>
                          </a:prstGeom>
                        </wps:spPr>
                        <wps:txbx>
                          <w:txbxContent>
                            <w:p>
                              <w:pPr>
                                <w:spacing w:line="199" w:lineRule="exact" w:before="0"/>
                                <w:ind w:left="0" w:right="0" w:firstLine="0"/>
                                <w:jc w:val="left"/>
                                <w:rPr>
                                  <w:sz w:val="18"/>
                                </w:rPr>
                              </w:pPr>
                              <w:r>
                                <w:rPr>
                                  <w:spacing w:val="-10"/>
                                  <w:sz w:val="18"/>
                                </w:rPr>
                                <w:t>4</w:t>
                              </w:r>
                            </w:p>
                          </w:txbxContent>
                        </wps:txbx>
                        <wps:bodyPr wrap="square" lIns="0" tIns="0" rIns="0" bIns="0" rtlCol="0">
                          <a:noAutofit/>
                        </wps:bodyPr>
                      </wps:wsp>
                      <wps:wsp>
                        <wps:cNvPr id="336" name="Textbox 336"/>
                        <wps:cNvSpPr txBox="1"/>
                        <wps:spPr>
                          <a:xfrm>
                            <a:off x="3352901" y="2896107"/>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337" name="Textbox 337"/>
                        <wps:cNvSpPr txBox="1"/>
                        <wps:spPr>
                          <a:xfrm>
                            <a:off x="4010126" y="2896107"/>
                            <a:ext cx="69850" cy="127000"/>
                          </a:xfrm>
                          <a:prstGeom prst="rect">
                            <a:avLst/>
                          </a:prstGeom>
                        </wps:spPr>
                        <wps:txbx>
                          <w:txbxContent>
                            <w:p>
                              <w:pPr>
                                <w:spacing w:line="199" w:lineRule="exact" w:before="0"/>
                                <w:ind w:left="0" w:right="0" w:firstLine="0"/>
                                <w:jc w:val="left"/>
                                <w:rPr>
                                  <w:sz w:val="18"/>
                                </w:rPr>
                              </w:pPr>
                              <w:r>
                                <w:rPr>
                                  <w:spacing w:val="-10"/>
                                  <w:sz w:val="18"/>
                                </w:rPr>
                                <w:t>4</w:t>
                              </w:r>
                            </w:p>
                          </w:txbxContent>
                        </wps:txbx>
                        <wps:bodyPr wrap="square" lIns="0" tIns="0" rIns="0" bIns="0" rtlCol="0">
                          <a:noAutofit/>
                        </wps:bodyPr>
                      </wps:wsp>
                      <wps:wsp>
                        <wps:cNvPr id="338" name="Textbox 338"/>
                        <wps:cNvSpPr txBox="1"/>
                        <wps:spPr>
                          <a:xfrm>
                            <a:off x="4610201" y="2896107"/>
                            <a:ext cx="69850" cy="127000"/>
                          </a:xfrm>
                          <a:prstGeom prst="rect">
                            <a:avLst/>
                          </a:prstGeom>
                        </wps:spPr>
                        <wps:txbx>
                          <w:txbxContent>
                            <w:p>
                              <w:pPr>
                                <w:spacing w:line="199" w:lineRule="exact" w:before="0"/>
                                <w:ind w:left="0" w:right="0" w:firstLine="0"/>
                                <w:jc w:val="left"/>
                                <w:rPr>
                                  <w:sz w:val="18"/>
                                </w:rPr>
                              </w:pPr>
                              <w:r>
                                <w:rPr>
                                  <w:spacing w:val="-10"/>
                                  <w:sz w:val="18"/>
                                </w:rPr>
                                <w:t>8</w:t>
                              </w:r>
                            </w:p>
                          </w:txbxContent>
                        </wps:txbx>
                        <wps:bodyPr wrap="square" lIns="0" tIns="0" rIns="0" bIns="0" rtlCol="0">
                          <a:noAutofit/>
                        </wps:bodyPr>
                      </wps:wsp>
                      <wps:wsp>
                        <wps:cNvPr id="339" name="Textbox 339"/>
                        <wps:cNvSpPr txBox="1"/>
                        <wps:spPr>
                          <a:xfrm>
                            <a:off x="4953101" y="2896107"/>
                            <a:ext cx="327025" cy="127000"/>
                          </a:xfrm>
                          <a:prstGeom prst="rect">
                            <a:avLst/>
                          </a:prstGeom>
                        </wps:spPr>
                        <wps:txbx>
                          <w:txbxContent>
                            <w:p>
                              <w:pPr>
                                <w:spacing w:line="199" w:lineRule="exact" w:before="0"/>
                                <w:ind w:left="0" w:right="0" w:firstLine="0"/>
                                <w:jc w:val="left"/>
                                <w:rPr>
                                  <w:sz w:val="18"/>
                                </w:rPr>
                              </w:pPr>
                              <w:r>
                                <w:rPr>
                                  <w:spacing w:val="-2"/>
                                  <w:sz w:val="18"/>
                                </w:rPr>
                                <w:t>14,592</w:t>
                              </w:r>
                            </w:p>
                          </w:txbxContent>
                        </wps:txbx>
                        <wps:bodyPr wrap="square" lIns="0" tIns="0" rIns="0" bIns="0" rtlCol="0">
                          <a:noAutofit/>
                        </wps:bodyPr>
                      </wps:wsp>
                      <wps:wsp>
                        <wps:cNvPr id="340" name="Textbox 340"/>
                        <wps:cNvSpPr txBox="1"/>
                        <wps:spPr>
                          <a:xfrm>
                            <a:off x="5753201" y="2896107"/>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341" name="Textbox 341"/>
                        <wps:cNvSpPr txBox="1"/>
                        <wps:spPr>
                          <a:xfrm>
                            <a:off x="6153251" y="2896107"/>
                            <a:ext cx="327025" cy="127000"/>
                          </a:xfrm>
                          <a:prstGeom prst="rect">
                            <a:avLst/>
                          </a:prstGeom>
                        </wps:spPr>
                        <wps:txbx>
                          <w:txbxContent>
                            <w:p>
                              <w:pPr>
                                <w:spacing w:line="199" w:lineRule="exact" w:before="0"/>
                                <w:ind w:left="0" w:right="0" w:firstLine="0"/>
                                <w:jc w:val="left"/>
                                <w:rPr>
                                  <w:sz w:val="18"/>
                                </w:rPr>
                              </w:pPr>
                              <w:r>
                                <w:rPr>
                                  <w:spacing w:val="-2"/>
                                  <w:sz w:val="18"/>
                                </w:rPr>
                                <w:t>14,592</w:t>
                              </w:r>
                            </w:p>
                          </w:txbxContent>
                        </wps:txbx>
                        <wps:bodyPr wrap="square" lIns="0" tIns="0" rIns="0" bIns="0" rtlCol="0">
                          <a:noAutofit/>
                        </wps:bodyPr>
                      </wps:wsp>
                      <wps:wsp>
                        <wps:cNvPr id="342" name="Textbox 342"/>
                        <wps:cNvSpPr txBox="1"/>
                        <wps:spPr>
                          <a:xfrm>
                            <a:off x="0" y="3041650"/>
                            <a:ext cx="6515100" cy="158750"/>
                          </a:xfrm>
                          <a:prstGeom prst="rect">
                            <a:avLst/>
                          </a:prstGeom>
                        </wps:spPr>
                        <wps:txbx>
                          <w:txbxContent>
                            <w:p>
                              <w:pPr>
                                <w:tabs>
                                  <w:tab w:pos="3300" w:val="left" w:leader="none"/>
                                  <w:tab w:pos="4335" w:val="left" w:leader="none"/>
                                  <w:tab w:pos="5280" w:val="left" w:leader="none"/>
                                  <w:tab w:pos="6225" w:val="left" w:leader="none"/>
                                  <w:tab w:pos="7170" w:val="left" w:leader="none"/>
                                  <w:tab w:pos="8025" w:val="left" w:leader="none"/>
                                  <w:tab w:pos="9150" w:val="left" w:leader="none"/>
                                  <w:tab w:pos="10185" w:val="right" w:leader="none"/>
                                </w:tabs>
                                <w:spacing w:before="18"/>
                                <w:ind w:left="52" w:right="0" w:firstLine="0"/>
                                <w:jc w:val="left"/>
                                <w:rPr>
                                  <w:sz w:val="18"/>
                                </w:rPr>
                              </w:pPr>
                              <w:r>
                                <w:rPr>
                                  <w:spacing w:val="-2"/>
                                  <w:sz w:val="18"/>
                                </w:rPr>
                                <w:t>Other</w:t>
                              </w:r>
                              <w:r>
                                <w:rPr>
                                  <w:sz w:val="18"/>
                                </w:rPr>
                                <w:tab/>
                              </w:r>
                              <w:r>
                                <w:rPr>
                                  <w:spacing w:val="-5"/>
                                  <w:sz w:val="18"/>
                                </w:rPr>
                                <w:t>191</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5"/>
                                  <w:sz w:val="18"/>
                                </w:rPr>
                                <w:t>191</w:t>
                              </w:r>
                              <w:r>
                                <w:rPr>
                                  <w:sz w:val="18"/>
                                </w:rPr>
                                <w:tab/>
                              </w:r>
                              <w:r>
                                <w:rPr>
                                  <w:spacing w:val="-10"/>
                                  <w:sz w:val="18"/>
                                </w:rPr>
                                <w:t>3</w:t>
                              </w:r>
                              <w:r>
                                <w:rPr>
                                  <w:sz w:val="18"/>
                                </w:rPr>
                                <w:tab/>
                              </w:r>
                              <w:r>
                                <w:rPr>
                                  <w:spacing w:val="-5"/>
                                  <w:sz w:val="18"/>
                                </w:rPr>
                                <w:t>188</w:t>
                              </w:r>
                            </w:p>
                          </w:txbxContent>
                        </wps:txbx>
                        <wps:bodyPr wrap="square" lIns="0" tIns="0" rIns="0" bIns="0" rtlCol="0">
                          <a:noAutofit/>
                        </wps:bodyPr>
                      </wps:wsp>
                      <wps:wsp>
                        <wps:cNvPr id="343" name="Textbox 343"/>
                        <wps:cNvSpPr txBox="1"/>
                        <wps:spPr>
                          <a:xfrm>
                            <a:off x="0" y="2720975"/>
                            <a:ext cx="6515100" cy="158750"/>
                          </a:xfrm>
                          <a:prstGeom prst="rect">
                            <a:avLst/>
                          </a:prstGeom>
                        </wps:spPr>
                        <wps:txbx>
                          <w:txbxContent>
                            <w:p>
                              <w:pPr>
                                <w:tabs>
                                  <w:tab w:pos="3075" w:val="left" w:leader="none"/>
                                  <w:tab w:pos="4335" w:val="left" w:leader="none"/>
                                  <w:tab w:pos="5370" w:val="left" w:leader="none"/>
                                  <w:tab w:pos="6225" w:val="left" w:leader="none"/>
                                  <w:tab w:pos="7170" w:val="left" w:leader="none"/>
                                  <w:tab w:pos="7800" w:val="left" w:leader="none"/>
                                  <w:tab w:pos="9060" w:val="left" w:leader="none"/>
                                  <w:tab w:pos="9690" w:val="left" w:leader="none"/>
                                </w:tabs>
                                <w:spacing w:before="13"/>
                                <w:ind w:left="277" w:right="0" w:firstLine="0"/>
                                <w:jc w:val="left"/>
                                <w:rPr>
                                  <w:sz w:val="18"/>
                                </w:rPr>
                              </w:pPr>
                              <w:r>
                                <w:rPr>
                                  <w:sz w:val="18"/>
                                </w:rPr>
                                <w:t>Total</w:t>
                              </w:r>
                              <w:r>
                                <w:rPr>
                                  <w:spacing w:val="-1"/>
                                  <w:sz w:val="18"/>
                                </w:rPr>
                                <w:t> </w:t>
                              </w:r>
                              <w:r>
                                <w:rPr>
                                  <w:sz w:val="18"/>
                                </w:rPr>
                                <w:t>residential real </w:t>
                              </w:r>
                              <w:r>
                                <w:rPr>
                                  <w:spacing w:val="-2"/>
                                  <w:sz w:val="18"/>
                                </w:rPr>
                                <w:t>estate</w:t>
                              </w:r>
                              <w:r>
                                <w:rPr>
                                  <w:sz w:val="18"/>
                                </w:rPr>
                                <w:tab/>
                              </w:r>
                              <w:r>
                                <w:rPr>
                                  <w:spacing w:val="-2"/>
                                  <w:sz w:val="18"/>
                                </w:rPr>
                                <w:t>25,747</w:t>
                              </w:r>
                              <w:r>
                                <w:rPr>
                                  <w:sz w:val="18"/>
                                </w:rPr>
                                <w:tab/>
                              </w:r>
                              <w:r>
                                <w:rPr>
                                  <w:spacing w:val="-5"/>
                                  <w:sz w:val="18"/>
                                </w:rPr>
                                <w:t>27</w:t>
                              </w:r>
                              <w:r>
                                <w:rPr>
                                  <w:sz w:val="18"/>
                                </w:rPr>
                                <w:tab/>
                              </w:r>
                              <w:r>
                                <w:rPr>
                                  <w:spacing w:val="-10"/>
                                  <w:sz w:val="18"/>
                                </w:rPr>
                                <w:t>2</w:t>
                              </w:r>
                              <w:r>
                                <w:rPr>
                                  <w:sz w:val="18"/>
                                </w:rPr>
                                <w:tab/>
                              </w:r>
                              <w:r>
                                <w:rPr>
                                  <w:spacing w:val="-5"/>
                                  <w:sz w:val="18"/>
                                </w:rPr>
                                <w:t>19</w:t>
                              </w:r>
                              <w:r>
                                <w:rPr>
                                  <w:sz w:val="18"/>
                                </w:rPr>
                                <w:tab/>
                              </w:r>
                              <w:r>
                                <w:rPr>
                                  <w:spacing w:val="-5"/>
                                  <w:sz w:val="18"/>
                                </w:rPr>
                                <w:t>48</w:t>
                              </w:r>
                              <w:r>
                                <w:rPr>
                                  <w:sz w:val="18"/>
                                </w:rPr>
                                <w:tab/>
                              </w:r>
                              <w:r>
                                <w:rPr>
                                  <w:spacing w:val="-2"/>
                                  <w:sz w:val="18"/>
                                </w:rPr>
                                <w:t>25,795</w:t>
                              </w:r>
                              <w:r>
                                <w:rPr>
                                  <w:sz w:val="18"/>
                                </w:rPr>
                                <w:tab/>
                              </w:r>
                              <w:r>
                                <w:rPr>
                                  <w:spacing w:val="-5"/>
                                  <w:sz w:val="18"/>
                                </w:rPr>
                                <w:t>70</w:t>
                              </w:r>
                              <w:r>
                                <w:rPr>
                                  <w:sz w:val="18"/>
                                </w:rPr>
                                <w:tab/>
                              </w:r>
                              <w:r>
                                <w:rPr>
                                  <w:spacing w:val="-2"/>
                                  <w:sz w:val="18"/>
                                </w:rPr>
                                <w:t>25,725</w:t>
                              </w:r>
                            </w:p>
                          </w:txbxContent>
                        </wps:txbx>
                        <wps:bodyPr wrap="square" lIns="0" tIns="0" rIns="0" bIns="0" rtlCol="0">
                          <a:noAutofit/>
                        </wps:bodyPr>
                      </wps:wsp>
                      <wps:wsp>
                        <wps:cNvPr id="344" name="Textbox 344"/>
                        <wps:cNvSpPr txBox="1"/>
                        <wps:spPr>
                          <a:xfrm>
                            <a:off x="0" y="2393950"/>
                            <a:ext cx="6515100" cy="161925"/>
                          </a:xfrm>
                          <a:prstGeom prst="rect">
                            <a:avLst/>
                          </a:prstGeom>
                          <a:solidFill>
                            <a:srgbClr val="CCEDFF"/>
                          </a:solidFill>
                        </wps:spPr>
                        <wps:txbx>
                          <w:txbxContent>
                            <w:p>
                              <w:pPr>
                                <w:tabs>
                                  <w:tab w:pos="2752" w:val="left" w:leader="none"/>
                                  <w:tab w:pos="3075" w:val="left" w:leader="none"/>
                                  <w:tab w:pos="4335" w:val="left" w:leader="none"/>
                                  <w:tab w:pos="5370" w:val="left" w:leader="none"/>
                                  <w:tab w:pos="6225" w:val="left" w:leader="none"/>
                                  <w:tab w:pos="7170" w:val="left" w:leader="none"/>
                                  <w:tab w:pos="7800" w:val="left" w:leader="none"/>
                                  <w:tab w:pos="9060" w:val="left" w:leader="none"/>
                                  <w:tab w:pos="9690" w:val="left" w:leader="none"/>
                                </w:tabs>
                                <w:spacing w:before="18"/>
                                <w:ind w:left="187" w:right="0" w:firstLine="0"/>
                                <w:jc w:val="left"/>
                                <w:rPr>
                                  <w:color w:val="000000"/>
                                  <w:sz w:val="18"/>
                                </w:rPr>
                              </w:pPr>
                              <w:r>
                                <w:rPr>
                                  <w:color w:val="000000"/>
                                  <w:sz w:val="18"/>
                                </w:rPr>
                                <w:t>First</w:t>
                              </w:r>
                              <w:r>
                                <w:rPr>
                                  <w:color w:val="000000"/>
                                  <w:spacing w:val="-2"/>
                                  <w:sz w:val="18"/>
                                </w:rPr>
                                <w:t> </w:t>
                              </w:r>
                              <w:r>
                                <w:rPr>
                                  <w:color w:val="000000"/>
                                  <w:sz w:val="18"/>
                                </w:rPr>
                                <w:t>Mortgages</w:t>
                              </w:r>
                              <w:r>
                                <w:rPr>
                                  <w:color w:val="000000"/>
                                  <w:spacing w:val="-2"/>
                                  <w:sz w:val="18"/>
                                </w:rPr>
                                <w:t> </w:t>
                              </w:r>
                              <w:r>
                                <w:rPr>
                                  <w:color w:val="000000"/>
                                  <w:spacing w:val="-2"/>
                                  <w:sz w:val="18"/>
                                  <w:vertAlign w:val="superscript"/>
                                </w:rPr>
                                <w:t>(1,2)</w:t>
                              </w:r>
                              <w:r>
                                <w:rPr>
                                  <w:color w:val="000000"/>
                                  <w:sz w:val="18"/>
                                  <w:vertAlign w:val="baseline"/>
                                </w:rPr>
                                <w:tab/>
                              </w:r>
                              <w:r>
                                <w:rPr>
                                  <w:color w:val="000000"/>
                                  <w:spacing w:val="-10"/>
                                  <w:sz w:val="18"/>
                                  <w:vertAlign w:val="baseline"/>
                                </w:rPr>
                                <w:t>$</w:t>
                              </w:r>
                              <w:r>
                                <w:rPr>
                                  <w:color w:val="000000"/>
                                  <w:sz w:val="18"/>
                                  <w:vertAlign w:val="baseline"/>
                                </w:rPr>
                                <w:tab/>
                                <w:t>25,157</w:t>
                              </w:r>
                              <w:r>
                                <w:rPr>
                                  <w:color w:val="000000"/>
                                  <w:spacing w:val="59"/>
                                  <w:w w:val="150"/>
                                  <w:sz w:val="18"/>
                                  <w:vertAlign w:val="baseline"/>
                                </w:rPr>
                                <w:t> </w:t>
                              </w:r>
                              <w:r>
                                <w:rPr>
                                  <w:color w:val="000000"/>
                                  <w:spacing w:val="-10"/>
                                  <w:sz w:val="18"/>
                                  <w:vertAlign w:val="baseline"/>
                                </w:rPr>
                                <w:t>$</w:t>
                              </w:r>
                              <w:r>
                                <w:rPr>
                                  <w:color w:val="000000"/>
                                  <w:sz w:val="18"/>
                                  <w:vertAlign w:val="baseline"/>
                                </w:rPr>
                                <w:tab/>
                                <w:t>25</w:t>
                              </w:r>
                              <w:r>
                                <w:rPr>
                                  <w:color w:val="000000"/>
                                  <w:spacing w:val="59"/>
                                  <w:w w:val="150"/>
                                  <w:sz w:val="18"/>
                                  <w:vertAlign w:val="baseline"/>
                                </w:rPr>
                                <w:t> </w:t>
                              </w:r>
                              <w:r>
                                <w:rPr>
                                  <w:color w:val="000000"/>
                                  <w:spacing w:val="-10"/>
                                  <w:sz w:val="18"/>
                                  <w:vertAlign w:val="baseline"/>
                                </w:rPr>
                                <w:t>$</w:t>
                              </w:r>
                              <w:r>
                                <w:rPr>
                                  <w:color w:val="000000"/>
                                  <w:sz w:val="18"/>
                                  <w:vertAlign w:val="baseline"/>
                                </w:rPr>
                                <w:tab/>
                                <w:t>2</w:t>
                              </w:r>
                              <w:r>
                                <w:rPr>
                                  <w:color w:val="000000"/>
                                  <w:spacing w:val="59"/>
                                  <w:w w:val="150"/>
                                  <w:sz w:val="18"/>
                                  <w:vertAlign w:val="baseline"/>
                                </w:rPr>
                                <w:t> </w:t>
                              </w:r>
                              <w:r>
                                <w:rPr>
                                  <w:color w:val="000000"/>
                                  <w:spacing w:val="-10"/>
                                  <w:sz w:val="18"/>
                                  <w:vertAlign w:val="baseline"/>
                                </w:rPr>
                                <w:t>$</w:t>
                              </w:r>
                              <w:r>
                                <w:rPr>
                                  <w:color w:val="000000"/>
                                  <w:sz w:val="18"/>
                                  <w:vertAlign w:val="baseline"/>
                                </w:rPr>
                                <w:tab/>
                                <w:t>14</w:t>
                              </w:r>
                              <w:r>
                                <w:rPr>
                                  <w:color w:val="000000"/>
                                  <w:spacing w:val="59"/>
                                  <w:w w:val="150"/>
                                  <w:sz w:val="18"/>
                                  <w:vertAlign w:val="baseline"/>
                                </w:rPr>
                                <w:t> </w:t>
                              </w:r>
                              <w:r>
                                <w:rPr>
                                  <w:color w:val="000000"/>
                                  <w:spacing w:val="-10"/>
                                  <w:sz w:val="18"/>
                                  <w:vertAlign w:val="baseline"/>
                                </w:rPr>
                                <w:t>$</w:t>
                              </w:r>
                              <w:r>
                                <w:rPr>
                                  <w:color w:val="000000"/>
                                  <w:sz w:val="18"/>
                                  <w:vertAlign w:val="baseline"/>
                                </w:rPr>
                                <w:tab/>
                                <w:t>41</w:t>
                              </w:r>
                              <w:r>
                                <w:rPr>
                                  <w:color w:val="000000"/>
                                  <w:spacing w:val="59"/>
                                  <w:w w:val="150"/>
                                  <w:sz w:val="18"/>
                                  <w:vertAlign w:val="baseline"/>
                                </w:rPr>
                                <w:t> </w:t>
                              </w:r>
                              <w:r>
                                <w:rPr>
                                  <w:color w:val="000000"/>
                                  <w:spacing w:val="-10"/>
                                  <w:sz w:val="18"/>
                                  <w:vertAlign w:val="baseline"/>
                                </w:rPr>
                                <w:t>$</w:t>
                              </w:r>
                              <w:r>
                                <w:rPr>
                                  <w:color w:val="000000"/>
                                  <w:sz w:val="18"/>
                                  <w:vertAlign w:val="baseline"/>
                                </w:rPr>
                                <w:tab/>
                                <w:t>25,198</w:t>
                              </w:r>
                              <w:r>
                                <w:rPr>
                                  <w:color w:val="000000"/>
                                  <w:spacing w:val="59"/>
                                  <w:w w:val="150"/>
                                  <w:sz w:val="18"/>
                                  <w:vertAlign w:val="baseline"/>
                                </w:rPr>
                                <w:t> </w:t>
                              </w:r>
                              <w:r>
                                <w:rPr>
                                  <w:color w:val="000000"/>
                                  <w:spacing w:val="-10"/>
                                  <w:sz w:val="18"/>
                                  <w:vertAlign w:val="baseline"/>
                                </w:rPr>
                                <w:t>$</w:t>
                              </w:r>
                              <w:r>
                                <w:rPr>
                                  <w:color w:val="000000"/>
                                  <w:sz w:val="18"/>
                                  <w:vertAlign w:val="baseline"/>
                                </w:rPr>
                                <w:tab/>
                                <w:t>66</w:t>
                              </w:r>
                              <w:r>
                                <w:rPr>
                                  <w:color w:val="000000"/>
                                  <w:spacing w:val="59"/>
                                  <w:w w:val="150"/>
                                  <w:sz w:val="18"/>
                                  <w:vertAlign w:val="baseline"/>
                                </w:rPr>
                                <w:t> </w:t>
                              </w:r>
                              <w:r>
                                <w:rPr>
                                  <w:color w:val="000000"/>
                                  <w:spacing w:val="-10"/>
                                  <w:sz w:val="18"/>
                                  <w:vertAlign w:val="baseline"/>
                                </w:rPr>
                                <w:t>$</w:t>
                              </w:r>
                              <w:r>
                                <w:rPr>
                                  <w:color w:val="000000"/>
                                  <w:sz w:val="18"/>
                                  <w:vertAlign w:val="baseline"/>
                                </w:rPr>
                                <w:tab/>
                              </w:r>
                              <w:r>
                                <w:rPr>
                                  <w:color w:val="000000"/>
                                  <w:spacing w:val="-2"/>
                                  <w:sz w:val="18"/>
                                  <w:vertAlign w:val="baseline"/>
                                </w:rPr>
                                <w:t>25,132</w:t>
                              </w:r>
                            </w:p>
                          </w:txbxContent>
                        </wps:txbx>
                        <wps:bodyPr wrap="square" lIns="0" tIns="0" rIns="0" bIns="0" rtlCol="0">
                          <a:noAutofit/>
                        </wps:bodyPr>
                      </wps:wsp>
                      <wps:wsp>
                        <wps:cNvPr id="345" name="Textbox 345"/>
                        <wps:cNvSpPr txBox="1"/>
                        <wps:spPr>
                          <a:xfrm>
                            <a:off x="0" y="1546225"/>
                            <a:ext cx="6515100" cy="158750"/>
                          </a:xfrm>
                          <a:prstGeom prst="rect">
                            <a:avLst/>
                          </a:prstGeom>
                        </wps:spPr>
                        <wps:txbx>
                          <w:txbxContent>
                            <w:p>
                              <w:pPr>
                                <w:tabs>
                                  <w:tab w:pos="3300" w:val="left" w:leader="none"/>
                                  <w:tab w:pos="4335" w:val="left" w:leader="none"/>
                                  <w:tab w:pos="5280" w:val="left" w:leader="none"/>
                                  <w:tab w:pos="6225" w:val="left" w:leader="none"/>
                                  <w:tab w:pos="7170" w:val="left" w:leader="none"/>
                                  <w:tab w:pos="8025" w:val="left" w:leader="none"/>
                                  <w:tab w:pos="9150" w:val="left" w:leader="none"/>
                                  <w:tab w:pos="10185" w:val="right" w:leader="none"/>
                                </w:tabs>
                                <w:spacing w:before="18"/>
                                <w:ind w:left="52" w:right="0" w:firstLine="0"/>
                                <w:jc w:val="left"/>
                                <w:rPr>
                                  <w:sz w:val="18"/>
                                </w:rPr>
                              </w:pPr>
                              <w:r>
                                <w:rPr>
                                  <w:spacing w:val="-2"/>
                                  <w:sz w:val="18"/>
                                </w:rPr>
                                <w:t>Other</w:t>
                              </w:r>
                              <w:r>
                                <w:rPr>
                                  <w:sz w:val="18"/>
                                </w:rPr>
                                <w:tab/>
                              </w:r>
                              <w:r>
                                <w:rPr>
                                  <w:spacing w:val="-5"/>
                                  <w:sz w:val="18"/>
                                </w:rPr>
                                <w:t>294</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5"/>
                                  <w:sz w:val="18"/>
                                </w:rPr>
                                <w:t>294</w:t>
                              </w:r>
                              <w:r>
                                <w:rPr>
                                  <w:sz w:val="18"/>
                                </w:rPr>
                                <w:tab/>
                              </w:r>
                              <w:r>
                                <w:rPr>
                                  <w:spacing w:val="-10"/>
                                  <w:sz w:val="18"/>
                                </w:rPr>
                                <w:t>5</w:t>
                              </w:r>
                              <w:r>
                                <w:rPr>
                                  <w:sz w:val="18"/>
                                </w:rPr>
                                <w:tab/>
                              </w:r>
                              <w:r>
                                <w:rPr>
                                  <w:spacing w:val="-5"/>
                                  <w:sz w:val="18"/>
                                </w:rPr>
                                <w:t>289</w:t>
                              </w:r>
                            </w:p>
                          </w:txbxContent>
                        </wps:txbx>
                        <wps:bodyPr wrap="square" lIns="0" tIns="0" rIns="0" bIns="0" rtlCol="0">
                          <a:noAutofit/>
                        </wps:bodyPr>
                      </wps:wsp>
                      <wps:wsp>
                        <wps:cNvPr id="346" name="Textbox 346"/>
                        <wps:cNvSpPr txBox="1"/>
                        <wps:spPr>
                          <a:xfrm>
                            <a:off x="0" y="1225550"/>
                            <a:ext cx="6515100" cy="158750"/>
                          </a:xfrm>
                          <a:prstGeom prst="rect">
                            <a:avLst/>
                          </a:prstGeom>
                        </wps:spPr>
                        <wps:txbx>
                          <w:txbxContent>
                            <w:p>
                              <w:pPr>
                                <w:tabs>
                                  <w:tab w:pos="3075" w:val="left" w:leader="none"/>
                                  <w:tab w:pos="4335" w:val="left" w:leader="none"/>
                                  <w:tab w:pos="5370" w:val="left" w:leader="none"/>
                                  <w:tab w:pos="6225" w:val="left" w:leader="none"/>
                                  <w:tab w:pos="7170" w:val="left" w:leader="none"/>
                                  <w:tab w:pos="7800" w:val="left" w:leader="none"/>
                                  <w:tab w:pos="9060" w:val="left" w:leader="none"/>
                                  <w:tab w:pos="9690" w:val="left" w:leader="none"/>
                                </w:tabs>
                                <w:spacing w:before="13"/>
                                <w:ind w:left="277" w:right="0" w:firstLine="0"/>
                                <w:jc w:val="left"/>
                                <w:rPr>
                                  <w:sz w:val="18"/>
                                </w:rPr>
                              </w:pPr>
                              <w:r>
                                <w:rPr>
                                  <w:sz w:val="18"/>
                                </w:rPr>
                                <w:t>Total</w:t>
                              </w:r>
                              <w:r>
                                <w:rPr>
                                  <w:spacing w:val="-1"/>
                                  <w:sz w:val="18"/>
                                </w:rPr>
                                <w:t> </w:t>
                              </w:r>
                              <w:r>
                                <w:rPr>
                                  <w:sz w:val="18"/>
                                </w:rPr>
                                <w:t>residential real </w:t>
                              </w:r>
                              <w:r>
                                <w:rPr>
                                  <w:spacing w:val="-2"/>
                                  <w:sz w:val="18"/>
                                </w:rPr>
                                <w:t>estate</w:t>
                              </w:r>
                              <w:r>
                                <w:rPr>
                                  <w:sz w:val="18"/>
                                </w:rPr>
                                <w:tab/>
                              </w:r>
                              <w:r>
                                <w:rPr>
                                  <w:spacing w:val="-2"/>
                                  <w:sz w:val="18"/>
                                </w:rPr>
                                <w:t>26,509</w:t>
                              </w:r>
                              <w:r>
                                <w:rPr>
                                  <w:sz w:val="18"/>
                                </w:rPr>
                                <w:tab/>
                              </w:r>
                              <w:r>
                                <w:rPr>
                                  <w:spacing w:val="-5"/>
                                  <w:sz w:val="18"/>
                                </w:rPr>
                                <w:t>26</w:t>
                              </w:r>
                              <w:r>
                                <w:rPr>
                                  <w:sz w:val="18"/>
                                </w:rPr>
                                <w:tab/>
                              </w:r>
                              <w:r>
                                <w:rPr>
                                  <w:spacing w:val="-10"/>
                                  <w:sz w:val="18"/>
                                </w:rPr>
                                <w:t>1</w:t>
                              </w:r>
                              <w:r>
                                <w:rPr>
                                  <w:sz w:val="18"/>
                                </w:rPr>
                                <w:tab/>
                              </w:r>
                              <w:r>
                                <w:rPr>
                                  <w:spacing w:val="-5"/>
                                  <w:sz w:val="18"/>
                                </w:rPr>
                                <w:t>13</w:t>
                              </w:r>
                              <w:r>
                                <w:rPr>
                                  <w:sz w:val="18"/>
                                </w:rPr>
                                <w:tab/>
                              </w:r>
                              <w:r>
                                <w:rPr>
                                  <w:spacing w:val="-5"/>
                                  <w:sz w:val="18"/>
                                </w:rPr>
                                <w:t>40</w:t>
                              </w:r>
                              <w:r>
                                <w:rPr>
                                  <w:sz w:val="18"/>
                                </w:rPr>
                                <w:tab/>
                              </w:r>
                              <w:r>
                                <w:rPr>
                                  <w:spacing w:val="-2"/>
                                  <w:sz w:val="18"/>
                                </w:rPr>
                                <w:t>26,549</w:t>
                              </w:r>
                              <w:r>
                                <w:rPr>
                                  <w:sz w:val="18"/>
                                </w:rPr>
                                <w:tab/>
                              </w:r>
                              <w:r>
                                <w:rPr>
                                  <w:spacing w:val="-5"/>
                                  <w:sz w:val="18"/>
                                </w:rPr>
                                <w:t>49</w:t>
                              </w:r>
                              <w:r>
                                <w:rPr>
                                  <w:sz w:val="18"/>
                                </w:rPr>
                                <w:tab/>
                              </w:r>
                              <w:r>
                                <w:rPr>
                                  <w:spacing w:val="-2"/>
                                  <w:sz w:val="18"/>
                                </w:rPr>
                                <w:t>26,500</w:t>
                              </w:r>
                            </w:p>
                          </w:txbxContent>
                        </wps:txbx>
                        <wps:bodyPr wrap="square" lIns="0" tIns="0" rIns="0" bIns="0" rtlCol="0">
                          <a:noAutofit/>
                        </wps:bodyPr>
                      </wps:wsp>
                      <wps:wsp>
                        <wps:cNvPr id="347" name="Textbox 347"/>
                        <wps:cNvSpPr txBox="1"/>
                        <wps:spPr>
                          <a:xfrm>
                            <a:off x="0" y="898525"/>
                            <a:ext cx="6515100" cy="161925"/>
                          </a:xfrm>
                          <a:prstGeom prst="rect">
                            <a:avLst/>
                          </a:prstGeom>
                          <a:solidFill>
                            <a:srgbClr val="CCEDFF"/>
                          </a:solidFill>
                        </wps:spPr>
                        <wps:txbx>
                          <w:txbxContent>
                            <w:p>
                              <w:pPr>
                                <w:tabs>
                                  <w:tab w:pos="2752" w:val="left" w:leader="none"/>
                                  <w:tab w:pos="3075" w:val="left" w:leader="none"/>
                                  <w:tab w:pos="4335" w:val="left" w:leader="none"/>
                                  <w:tab w:pos="5370" w:val="left" w:leader="none"/>
                                  <w:tab w:pos="6315" w:val="left" w:leader="none"/>
                                  <w:tab w:pos="7170" w:val="left" w:leader="none"/>
                                  <w:tab w:pos="7800" w:val="left" w:leader="none"/>
                                  <w:tab w:pos="9060" w:val="left" w:leader="none"/>
                                  <w:tab w:pos="9690" w:val="left" w:leader="none"/>
                                </w:tabs>
                                <w:spacing w:before="18"/>
                                <w:ind w:left="187" w:right="0" w:firstLine="0"/>
                                <w:jc w:val="left"/>
                                <w:rPr>
                                  <w:color w:val="000000"/>
                                  <w:sz w:val="18"/>
                                </w:rPr>
                              </w:pPr>
                              <w:r>
                                <w:rPr>
                                  <w:color w:val="000000"/>
                                  <w:sz w:val="18"/>
                                </w:rPr>
                                <w:t>First</w:t>
                              </w:r>
                              <w:r>
                                <w:rPr>
                                  <w:color w:val="000000"/>
                                  <w:spacing w:val="-2"/>
                                  <w:sz w:val="18"/>
                                </w:rPr>
                                <w:t> </w:t>
                              </w:r>
                              <w:r>
                                <w:rPr>
                                  <w:color w:val="000000"/>
                                  <w:sz w:val="18"/>
                                </w:rPr>
                                <w:t>Mortgages</w:t>
                              </w:r>
                              <w:r>
                                <w:rPr>
                                  <w:color w:val="000000"/>
                                  <w:spacing w:val="-2"/>
                                  <w:sz w:val="18"/>
                                </w:rPr>
                                <w:t> </w:t>
                              </w:r>
                              <w:r>
                                <w:rPr>
                                  <w:color w:val="000000"/>
                                  <w:spacing w:val="-2"/>
                                  <w:sz w:val="18"/>
                                  <w:vertAlign w:val="superscript"/>
                                </w:rPr>
                                <w:t>(1,2)</w:t>
                              </w:r>
                              <w:r>
                                <w:rPr>
                                  <w:color w:val="000000"/>
                                  <w:sz w:val="18"/>
                                  <w:vertAlign w:val="baseline"/>
                                </w:rPr>
                                <w:tab/>
                              </w:r>
                              <w:r>
                                <w:rPr>
                                  <w:color w:val="000000"/>
                                  <w:spacing w:val="-10"/>
                                  <w:sz w:val="18"/>
                                  <w:vertAlign w:val="baseline"/>
                                </w:rPr>
                                <w:t>$</w:t>
                              </w:r>
                              <w:r>
                                <w:rPr>
                                  <w:color w:val="000000"/>
                                  <w:sz w:val="18"/>
                                  <w:vertAlign w:val="baseline"/>
                                </w:rPr>
                                <w:tab/>
                                <w:t>26,022</w:t>
                              </w:r>
                              <w:r>
                                <w:rPr>
                                  <w:color w:val="000000"/>
                                  <w:spacing w:val="59"/>
                                  <w:w w:val="150"/>
                                  <w:sz w:val="18"/>
                                  <w:vertAlign w:val="baseline"/>
                                </w:rPr>
                                <w:t> </w:t>
                              </w:r>
                              <w:r>
                                <w:rPr>
                                  <w:color w:val="000000"/>
                                  <w:spacing w:val="-10"/>
                                  <w:sz w:val="18"/>
                                  <w:vertAlign w:val="baseline"/>
                                </w:rPr>
                                <w:t>$</w:t>
                              </w:r>
                              <w:r>
                                <w:rPr>
                                  <w:color w:val="000000"/>
                                  <w:sz w:val="18"/>
                                  <w:vertAlign w:val="baseline"/>
                                </w:rPr>
                                <w:tab/>
                                <w:t>25</w:t>
                              </w:r>
                              <w:r>
                                <w:rPr>
                                  <w:color w:val="000000"/>
                                  <w:spacing w:val="59"/>
                                  <w:w w:val="150"/>
                                  <w:sz w:val="18"/>
                                  <w:vertAlign w:val="baseline"/>
                                </w:rPr>
                                <w:t> </w:t>
                              </w:r>
                              <w:r>
                                <w:rPr>
                                  <w:color w:val="000000"/>
                                  <w:spacing w:val="-10"/>
                                  <w:sz w:val="18"/>
                                  <w:vertAlign w:val="baseline"/>
                                </w:rPr>
                                <w:t>$</w:t>
                              </w:r>
                              <w:r>
                                <w:rPr>
                                  <w:color w:val="000000"/>
                                  <w:sz w:val="18"/>
                                  <w:vertAlign w:val="baseline"/>
                                </w:rPr>
                                <w:tab/>
                                <w:t>1</w:t>
                              </w:r>
                              <w:r>
                                <w:rPr>
                                  <w:color w:val="000000"/>
                                  <w:spacing w:val="59"/>
                                  <w:w w:val="150"/>
                                  <w:sz w:val="18"/>
                                  <w:vertAlign w:val="baseline"/>
                                </w:rPr>
                                <w:t> </w:t>
                              </w:r>
                              <w:r>
                                <w:rPr>
                                  <w:color w:val="000000"/>
                                  <w:spacing w:val="-10"/>
                                  <w:sz w:val="18"/>
                                  <w:vertAlign w:val="baseline"/>
                                </w:rPr>
                                <w:t>$</w:t>
                              </w:r>
                              <w:r>
                                <w:rPr>
                                  <w:color w:val="000000"/>
                                  <w:sz w:val="18"/>
                                  <w:vertAlign w:val="baseline"/>
                                </w:rPr>
                                <w:tab/>
                                <w:t>8</w:t>
                              </w:r>
                              <w:r>
                                <w:rPr>
                                  <w:color w:val="000000"/>
                                  <w:spacing w:val="59"/>
                                  <w:w w:val="150"/>
                                  <w:sz w:val="18"/>
                                  <w:vertAlign w:val="baseline"/>
                                </w:rPr>
                                <w:t> </w:t>
                              </w:r>
                              <w:r>
                                <w:rPr>
                                  <w:color w:val="000000"/>
                                  <w:spacing w:val="-10"/>
                                  <w:sz w:val="18"/>
                                  <w:vertAlign w:val="baseline"/>
                                </w:rPr>
                                <w:t>$</w:t>
                              </w:r>
                              <w:r>
                                <w:rPr>
                                  <w:color w:val="000000"/>
                                  <w:sz w:val="18"/>
                                  <w:vertAlign w:val="baseline"/>
                                </w:rPr>
                                <w:tab/>
                                <w:t>34</w:t>
                              </w:r>
                              <w:r>
                                <w:rPr>
                                  <w:color w:val="000000"/>
                                  <w:spacing w:val="59"/>
                                  <w:w w:val="150"/>
                                  <w:sz w:val="18"/>
                                  <w:vertAlign w:val="baseline"/>
                                </w:rPr>
                                <w:t> </w:t>
                              </w:r>
                              <w:r>
                                <w:rPr>
                                  <w:color w:val="000000"/>
                                  <w:spacing w:val="-10"/>
                                  <w:sz w:val="18"/>
                                  <w:vertAlign w:val="baseline"/>
                                </w:rPr>
                                <w:t>$</w:t>
                              </w:r>
                              <w:r>
                                <w:rPr>
                                  <w:color w:val="000000"/>
                                  <w:sz w:val="18"/>
                                  <w:vertAlign w:val="baseline"/>
                                </w:rPr>
                                <w:tab/>
                                <w:t>26,056</w:t>
                              </w:r>
                              <w:r>
                                <w:rPr>
                                  <w:color w:val="000000"/>
                                  <w:spacing w:val="59"/>
                                  <w:w w:val="150"/>
                                  <w:sz w:val="18"/>
                                  <w:vertAlign w:val="baseline"/>
                                </w:rPr>
                                <w:t> </w:t>
                              </w:r>
                              <w:r>
                                <w:rPr>
                                  <w:color w:val="000000"/>
                                  <w:spacing w:val="-10"/>
                                  <w:sz w:val="18"/>
                                  <w:vertAlign w:val="baseline"/>
                                </w:rPr>
                                <w:t>$</w:t>
                              </w:r>
                              <w:r>
                                <w:rPr>
                                  <w:color w:val="000000"/>
                                  <w:sz w:val="18"/>
                                  <w:vertAlign w:val="baseline"/>
                                </w:rPr>
                                <w:tab/>
                                <w:t>47</w:t>
                              </w:r>
                              <w:r>
                                <w:rPr>
                                  <w:color w:val="000000"/>
                                  <w:spacing w:val="59"/>
                                  <w:w w:val="150"/>
                                  <w:sz w:val="18"/>
                                  <w:vertAlign w:val="baseline"/>
                                </w:rPr>
                                <w:t> </w:t>
                              </w:r>
                              <w:r>
                                <w:rPr>
                                  <w:color w:val="000000"/>
                                  <w:spacing w:val="-10"/>
                                  <w:sz w:val="18"/>
                                  <w:vertAlign w:val="baseline"/>
                                </w:rPr>
                                <w:t>$</w:t>
                              </w:r>
                              <w:r>
                                <w:rPr>
                                  <w:color w:val="000000"/>
                                  <w:sz w:val="18"/>
                                  <w:vertAlign w:val="baseline"/>
                                </w:rPr>
                                <w:tab/>
                              </w:r>
                              <w:r>
                                <w:rPr>
                                  <w:color w:val="000000"/>
                                  <w:spacing w:val="-2"/>
                                  <w:sz w:val="18"/>
                                  <w:vertAlign w:val="baseline"/>
                                </w:rPr>
                                <w:t>26,009</w:t>
                              </w:r>
                            </w:p>
                          </w:txbxContent>
                        </wps:txbx>
                        <wps:bodyPr wrap="square" lIns="0" tIns="0" rIns="0" bIns="0" rtlCol="0">
                          <a:noAutofit/>
                        </wps:bodyPr>
                      </wps:wsp>
                    </wpg:wgp>
                  </a:graphicData>
                </a:graphic>
              </wp:anchor>
            </w:drawing>
          </mc:Choice>
          <mc:Fallback>
            <w:pict>
              <v:group style="position:absolute;margin-left:49.5pt;margin-top:7.681484pt;width:513pt;height:252.5pt;mso-position-horizontal-relative:page;mso-position-vertical-relative:paragraph;z-index:-15708672;mso-wrap-distance-left:0;mso-wrap-distance-right:0" id="docshapegroup116" coordorigin="990,154" coordsize="10260,5050">
                <v:shape style="position:absolute;left:990;top:2078;width:10260;height:3120" id="docshape117" coordorigin="990,2079" coordsize="10260,3120" path="m11250,4944l3690,4944,990,4944,990,5199,3690,5199,11250,5199,11250,4944xm11250,4434l3690,4434,990,4434,990,4689,3690,4689,11250,4689,11250,4434xm11250,2589l990,2589,990,2844,11250,2844,11250,2589xm11250,2079l990,2079,990,2334,11250,2334,11250,2079xe" filled="true" fillcolor="#ccedff" stroked="false">
                  <v:path arrowok="t"/>
                  <v:fill type="solid"/>
                </v:shape>
                <v:shape style="position:absolute;left:990;top:158;width:2700;height:2" id="docshape118" coordorigin="990,159" coordsize="2700,0" path="m3690,159l990,159e" filled="true" fillcolor="#000000" stroked="false">
                  <v:path arrowok="t"/>
                  <v:fill opacity="0f" type="solid"/>
                </v:shape>
                <v:line style="position:absolute" from="990,159" to="3690,159" stroked="true" strokeweight=".5pt" strokecolor="#000000">
                  <v:stroke dashstyle="solid"/>
                </v:line>
                <v:shape style="position:absolute;left:3690;top:158;width:945;height:2" id="docshape119" coordorigin="3690,159" coordsize="945,0" path="m4635,159l3690,159e" filled="true" fillcolor="#000000" stroked="false">
                  <v:path arrowok="t"/>
                  <v:fill opacity="0f" type="solid"/>
                </v:shape>
                <v:line style="position:absolute" from="3690,159" to="4635,159" stroked="true" strokeweight=".5pt" strokecolor="#000000">
                  <v:stroke dashstyle="solid"/>
                </v:line>
                <v:shape style="position:absolute;left:4635;top:158;width:945;height:2" id="docshape120" coordorigin="4635,159" coordsize="945,0" path="m5580,159l4635,159e" filled="true" fillcolor="#000000" stroked="false">
                  <v:path arrowok="t"/>
                  <v:fill opacity="0f" type="solid"/>
                </v:shape>
                <v:line style="position:absolute" from="4635,159" to="5580,159" stroked="true" strokeweight=".5pt" strokecolor="#000000">
                  <v:stroke dashstyle="solid"/>
                </v:line>
                <v:shape style="position:absolute;left:5580;top:158;width:945;height:2" id="docshape121" coordorigin="5580,159" coordsize="945,0" path="m6525,159l5580,159e" filled="true" fillcolor="#000000" stroked="false">
                  <v:path arrowok="t"/>
                  <v:fill opacity="0f" type="solid"/>
                </v:shape>
                <v:line style="position:absolute" from="5580,159" to="6525,159" stroked="true" strokeweight=".5pt" strokecolor="#000000">
                  <v:stroke dashstyle="solid"/>
                </v:line>
                <v:shape style="position:absolute;left:6525;top:158;width:945;height:2" id="docshape122" coordorigin="6525,159" coordsize="945,0" path="m7470,159l6525,159e" filled="true" fillcolor="#000000" stroked="false">
                  <v:path arrowok="t"/>
                  <v:fill opacity="0f" type="solid"/>
                </v:shape>
                <v:line style="position:absolute" from="6525,159" to="7470,159" stroked="true" strokeweight=".5pt" strokecolor="#000000">
                  <v:stroke dashstyle="solid"/>
                </v:line>
                <v:shape style="position:absolute;left:7470;top:158;width:945;height:2" id="docshape123" coordorigin="7470,159" coordsize="945,0" path="m8415,159l7470,159e" filled="true" fillcolor="#000000" stroked="false">
                  <v:path arrowok="t"/>
                  <v:fill opacity="0f" type="solid"/>
                </v:shape>
                <v:line style="position:absolute" from="7470,159" to="8415,159" stroked="true" strokeweight=".5pt" strokecolor="#000000">
                  <v:stroke dashstyle="solid"/>
                </v:line>
                <v:shape style="position:absolute;left:8415;top:158;width:945;height:2" id="docshape124" coordorigin="8415,159" coordsize="945,0" path="m9360,159l8415,159e" filled="true" fillcolor="#000000" stroked="false">
                  <v:path arrowok="t"/>
                  <v:fill opacity="0f" type="solid"/>
                </v:shape>
                <v:line style="position:absolute" from="8415,159" to="9360,159" stroked="true" strokeweight=".5pt" strokecolor="#000000">
                  <v:stroke dashstyle="solid"/>
                </v:line>
                <v:shape style="position:absolute;left:9360;top:158;width:945;height:2" id="docshape125" coordorigin="9360,159" coordsize="945,0" path="m10305,159l9360,159e" filled="true" fillcolor="#000000" stroked="false">
                  <v:path arrowok="t"/>
                  <v:fill opacity="0f" type="solid"/>
                </v:shape>
                <v:line style="position:absolute" from="9360,159" to="10305,159" stroked="true" strokeweight=".5pt" strokecolor="#000000">
                  <v:stroke dashstyle="solid"/>
                </v:line>
                <v:shape style="position:absolute;left:10305;top:158;width:945;height:2" id="docshape126" coordorigin="10305,159" coordsize="945,0" path="m11250,159l10305,159e" filled="true" fillcolor="#000000" stroked="false">
                  <v:path arrowok="t"/>
                  <v:fill opacity="0f" type="solid"/>
                </v:shape>
                <v:line style="position:absolute" from="10305,159" to="11250,159" stroked="true" strokeweight=".5pt" strokecolor="#000000">
                  <v:stroke dashstyle="solid"/>
                </v:line>
                <v:shape style="position:absolute;left:990;top:1313;width:2700;height:2" id="docshape127" coordorigin="990,1314" coordsize="2700,0" path="m3690,1314l990,1314e" filled="true" fillcolor="#000000" stroked="false">
                  <v:path arrowok="t"/>
                  <v:fill opacity="0f" type="solid"/>
                </v:shape>
                <v:line style="position:absolute" from="990,1314" to="3690,1314" stroked="true" strokeweight=".5pt" strokecolor="#000000">
                  <v:stroke dashstyle="solid"/>
                </v:line>
                <v:shape style="position:absolute;left:3690;top:1313;width:945;height:2" id="docshape128" coordorigin="3690,1314" coordsize="945,0" path="m4635,1314l3690,1314e" filled="true" fillcolor="#000000" stroked="false">
                  <v:path arrowok="t"/>
                  <v:fill opacity="0f" type="solid"/>
                </v:shape>
                <v:line style="position:absolute" from="3690,1314" to="4635,1314" stroked="true" strokeweight=".5pt" strokecolor="#000000">
                  <v:stroke dashstyle="solid"/>
                </v:line>
                <v:shape style="position:absolute;left:4635;top:1313;width:945;height:2" id="docshape129" coordorigin="4635,1314" coordsize="945,0" path="m5580,1314l4635,1314e" filled="true" fillcolor="#000000" stroked="false">
                  <v:path arrowok="t"/>
                  <v:fill opacity="0f" type="solid"/>
                </v:shape>
                <v:line style="position:absolute" from="4635,1314" to="5580,1314" stroked="true" strokeweight=".5pt" strokecolor="#000000">
                  <v:stroke dashstyle="solid"/>
                </v:line>
                <v:shape style="position:absolute;left:5580;top:1313;width:945;height:2" id="docshape130" coordorigin="5580,1314" coordsize="945,0" path="m6525,1314l5580,1314e" filled="true" fillcolor="#000000" stroked="false">
                  <v:path arrowok="t"/>
                  <v:fill opacity="0f" type="solid"/>
                </v:shape>
                <v:line style="position:absolute" from="5580,1314" to="6525,1314" stroked="true" strokeweight=".5pt" strokecolor="#000000">
                  <v:stroke dashstyle="solid"/>
                </v:line>
                <v:shape style="position:absolute;left:6525;top:1313;width:945;height:2" id="docshape131" coordorigin="6525,1314" coordsize="945,0" path="m7470,1314l6525,1314e" filled="true" fillcolor="#000000" stroked="false">
                  <v:path arrowok="t"/>
                  <v:fill opacity="0f" type="solid"/>
                </v:shape>
                <v:line style="position:absolute" from="6525,1314" to="7470,1314" stroked="true" strokeweight=".5pt" strokecolor="#000000">
                  <v:stroke dashstyle="solid"/>
                </v:line>
                <v:shape style="position:absolute;left:7470;top:1313;width:945;height:2" id="docshape132" coordorigin="7470,1314" coordsize="945,0" path="m8415,1314l7470,1314e" filled="true" fillcolor="#000000" stroked="false">
                  <v:path arrowok="t"/>
                  <v:fill opacity="0f" type="solid"/>
                </v:shape>
                <v:line style="position:absolute" from="7470,1314" to="8415,1314" stroked="true" strokeweight=".5pt" strokecolor="#000000">
                  <v:stroke dashstyle="solid"/>
                </v:line>
                <v:shape style="position:absolute;left:8415;top:1313;width:945;height:2" id="docshape133" coordorigin="8415,1314" coordsize="945,0" path="m9360,1314l8415,1314e" filled="true" fillcolor="#000000" stroked="false">
                  <v:path arrowok="t"/>
                  <v:fill opacity="0f" type="solid"/>
                </v:shape>
                <v:line style="position:absolute" from="8415,1314" to="9360,1314" stroked="true" strokeweight=".5pt" strokecolor="#000000">
                  <v:stroke dashstyle="solid"/>
                </v:line>
                <v:shape style="position:absolute;left:9360;top:1313;width:945;height:2" id="docshape134" coordorigin="9360,1314" coordsize="945,0" path="m10305,1314l9360,1314e" filled="true" fillcolor="#000000" stroked="false">
                  <v:path arrowok="t"/>
                  <v:fill opacity="0f" type="solid"/>
                </v:shape>
                <v:line style="position:absolute" from="9360,1314" to="10305,1314" stroked="true" strokeweight=".5pt" strokecolor="#000000">
                  <v:stroke dashstyle="solid"/>
                </v:line>
                <v:shape style="position:absolute;left:10305;top:1313;width:945;height:2" id="docshape135" coordorigin="10305,1314" coordsize="945,0" path="m11250,1314l10305,1314e" filled="true" fillcolor="#000000" stroked="false">
                  <v:path arrowok="t"/>
                  <v:fill opacity="0f" type="solid"/>
                </v:shape>
                <v:line style="position:absolute" from="10305,1314" to="11250,1314" stroked="true" strokeweight=".5pt" strokecolor="#000000">
                  <v:stroke dashstyle="solid"/>
                </v:line>
                <v:shape style="position:absolute;left:990;top:2078;width:2700;height:2" id="docshape136" coordorigin="990,2079" coordsize="2700,0" path="m3690,2079l990,2079e" filled="true" fillcolor="#000000" stroked="false">
                  <v:path arrowok="t"/>
                  <v:fill opacity="0f" type="solid"/>
                </v:shape>
                <v:line style="position:absolute" from="990,2079" to="3690,2079" stroked="true" strokeweight=".5pt" strokecolor="#000000">
                  <v:stroke dashstyle="solid"/>
                </v:line>
                <v:shape style="position:absolute;left:3690;top:2078;width:945;height:2" id="docshape137" coordorigin="3690,2079" coordsize="945,0" path="m4635,2079l3690,2079e" filled="true" fillcolor="#000000" stroked="false">
                  <v:path arrowok="t"/>
                  <v:fill opacity="0f" type="solid"/>
                </v:shape>
                <v:line style="position:absolute" from="3690,2079" to="4635,2079" stroked="true" strokeweight=".5pt" strokecolor="#000000">
                  <v:stroke dashstyle="solid"/>
                </v:line>
                <v:shape style="position:absolute;left:4635;top:2078;width:945;height:2" id="docshape138" coordorigin="4635,2079" coordsize="945,0" path="m5580,2079l4635,2079e" filled="true" fillcolor="#000000" stroked="false">
                  <v:path arrowok="t"/>
                  <v:fill opacity="0f" type="solid"/>
                </v:shape>
                <v:line style="position:absolute" from="4635,2079" to="5580,2079" stroked="true" strokeweight=".5pt" strokecolor="#000000">
                  <v:stroke dashstyle="solid"/>
                </v:line>
                <v:shape style="position:absolute;left:5580;top:2078;width:945;height:2" id="docshape139" coordorigin="5580,2079" coordsize="945,0" path="m6525,2079l5580,2079e" filled="true" fillcolor="#000000" stroked="false">
                  <v:path arrowok="t"/>
                  <v:fill opacity="0f" type="solid"/>
                </v:shape>
                <v:line style="position:absolute" from="5580,2079" to="6525,2079" stroked="true" strokeweight=".5pt" strokecolor="#000000">
                  <v:stroke dashstyle="solid"/>
                </v:line>
                <v:shape style="position:absolute;left:6525;top:2078;width:945;height:2" id="docshape140" coordorigin="6525,2079" coordsize="945,0" path="m7470,2079l6525,2079e" filled="true" fillcolor="#000000" stroked="false">
                  <v:path arrowok="t"/>
                  <v:fill opacity="0f" type="solid"/>
                </v:shape>
                <v:line style="position:absolute" from="6525,2079" to="7470,2079" stroked="true" strokeweight=".5pt" strokecolor="#000000">
                  <v:stroke dashstyle="solid"/>
                </v:line>
                <v:shape style="position:absolute;left:7470;top:2078;width:945;height:2" id="docshape141" coordorigin="7470,2079" coordsize="945,0" path="m8415,2079l7470,2079e" filled="true" fillcolor="#000000" stroked="false">
                  <v:path arrowok="t"/>
                  <v:fill opacity="0f" type="solid"/>
                </v:shape>
                <v:line style="position:absolute" from="7470,2079" to="8415,2079" stroked="true" strokeweight=".5pt" strokecolor="#000000">
                  <v:stroke dashstyle="solid"/>
                </v:line>
                <v:shape style="position:absolute;left:8415;top:2078;width:945;height:2" id="docshape142" coordorigin="8415,2079" coordsize="945,0" path="m9360,2079l8415,2079e" filled="true" fillcolor="#000000" stroked="false">
                  <v:path arrowok="t"/>
                  <v:fill opacity="0f" type="solid"/>
                </v:shape>
                <v:line style="position:absolute" from="8415,2079" to="9360,2079" stroked="true" strokeweight=".5pt" strokecolor="#000000">
                  <v:stroke dashstyle="solid"/>
                </v:line>
                <v:shape style="position:absolute;left:9360;top:2078;width:945;height:2" id="docshape143" coordorigin="9360,2079" coordsize="945,0" path="m10305,2079l9360,2079e" filled="true" fillcolor="#000000" stroked="false">
                  <v:path arrowok="t"/>
                  <v:fill opacity="0f" type="solid"/>
                </v:shape>
                <v:line style="position:absolute" from="9360,2079" to="10305,2079" stroked="true" strokeweight=".5pt" strokecolor="#000000">
                  <v:stroke dashstyle="solid"/>
                </v:line>
                <v:shape style="position:absolute;left:10305;top:2078;width:945;height:2" id="docshape144" coordorigin="10305,2079" coordsize="945,0" path="m11250,2079l10305,2079e" filled="true" fillcolor="#000000" stroked="false">
                  <v:path arrowok="t"/>
                  <v:fill opacity="0f" type="solid"/>
                </v:shape>
                <v:line style="position:absolute" from="10305,2079" to="11250,2079" stroked="true" strokeweight=".5pt" strokecolor="#000000">
                  <v:stroke dashstyle="solid"/>
                </v:line>
                <v:shape style="position:absolute;left:990;top:2843;width:2700;height:2" id="docshape145" coordorigin="990,2844" coordsize="2700,0" path="m3690,2844l990,2844e" filled="true" fillcolor="#000000" stroked="false">
                  <v:path arrowok="t"/>
                  <v:fill opacity="0f" type="solid"/>
                </v:shape>
                <v:line style="position:absolute" from="990,2844" to="3690,2844" stroked="true" strokeweight=".5pt" strokecolor="#000000">
                  <v:stroke dashstyle="solid"/>
                </v:line>
                <v:shape style="position:absolute;left:3690;top:2843;width:945;height:2" id="docshape146" coordorigin="3690,2844" coordsize="945,0" path="m4635,2844l3690,2844e" filled="true" fillcolor="#000000" stroked="false">
                  <v:path arrowok="t"/>
                  <v:fill opacity="0f" type="solid"/>
                </v:shape>
                <v:line style="position:absolute" from="3690,2844" to="4635,2844" stroked="true" strokeweight=".5pt" strokecolor="#000000">
                  <v:stroke dashstyle="solid"/>
                </v:line>
                <v:shape style="position:absolute;left:4635;top:2843;width:945;height:2" id="docshape147" coordorigin="4635,2844" coordsize="945,0" path="m5580,2844l4635,2844e" filled="true" fillcolor="#000000" stroked="false">
                  <v:path arrowok="t"/>
                  <v:fill opacity="0f" type="solid"/>
                </v:shape>
                <v:line style="position:absolute" from="4635,2844" to="5580,2844" stroked="true" strokeweight=".5pt" strokecolor="#000000">
                  <v:stroke dashstyle="solid"/>
                </v:line>
                <v:shape style="position:absolute;left:5580;top:2843;width:945;height:2" id="docshape148" coordorigin="5580,2844" coordsize="945,0" path="m6525,2844l5580,2844e" filled="true" fillcolor="#000000" stroked="false">
                  <v:path arrowok="t"/>
                  <v:fill opacity="0f" type="solid"/>
                </v:shape>
                <v:line style="position:absolute" from="5580,2844" to="6525,2844" stroked="true" strokeweight=".5pt" strokecolor="#000000">
                  <v:stroke dashstyle="solid"/>
                </v:line>
                <v:shape style="position:absolute;left:6525;top:2843;width:945;height:2" id="docshape149" coordorigin="6525,2844" coordsize="945,0" path="m7470,2844l6525,2844e" filled="true" fillcolor="#000000" stroked="false">
                  <v:path arrowok="t"/>
                  <v:fill opacity="0f" type="solid"/>
                </v:shape>
                <v:line style="position:absolute" from="6525,2844" to="7470,2844" stroked="true" strokeweight=".5pt" strokecolor="#000000">
                  <v:stroke dashstyle="solid"/>
                </v:line>
                <v:shape style="position:absolute;left:7470;top:2843;width:945;height:2" id="docshape150" coordorigin="7470,2844" coordsize="945,0" path="m8415,2844l7470,2844e" filled="true" fillcolor="#000000" stroked="false">
                  <v:path arrowok="t"/>
                  <v:fill opacity="0f" type="solid"/>
                </v:shape>
                <v:line style="position:absolute" from="7470,2844" to="8415,2844" stroked="true" strokeweight=".5pt" strokecolor="#000000">
                  <v:stroke dashstyle="solid"/>
                </v:line>
                <v:shape style="position:absolute;left:8415;top:2843;width:945;height:2" id="docshape151" coordorigin="8415,2844" coordsize="945,0" path="m9360,2844l8415,2844e" filled="true" fillcolor="#000000" stroked="false">
                  <v:path arrowok="t"/>
                  <v:fill opacity="0f" type="solid"/>
                </v:shape>
                <v:line style="position:absolute" from="8415,2844" to="9360,2844" stroked="true" strokeweight=".5pt" strokecolor="#000000">
                  <v:stroke dashstyle="solid"/>
                </v:line>
                <v:shape style="position:absolute;left:9360;top:2843;width:945;height:2" id="docshape152" coordorigin="9360,2844" coordsize="945,0" path="m10305,2844l9360,2844e" filled="true" fillcolor="#000000" stroked="false">
                  <v:path arrowok="t"/>
                  <v:fill opacity="0f" type="solid"/>
                </v:shape>
                <v:line style="position:absolute" from="9360,2844" to="10305,2844" stroked="true" strokeweight=".5pt" strokecolor="#000000">
                  <v:stroke dashstyle="solid"/>
                </v:line>
                <v:shape style="position:absolute;left:10305;top:2843;width:945;height:2" id="docshape153" coordorigin="10305,2844" coordsize="945,0" path="m11250,2844l10305,2844e" filled="true" fillcolor="#000000" stroked="false">
                  <v:path arrowok="t"/>
                  <v:fill opacity="0f" type="solid"/>
                </v:shape>
                <v:line style="position:absolute" from="10305,2844" to="11250,2844" stroked="true" strokeweight=".5pt" strokecolor="#000000">
                  <v:stroke dashstyle="solid"/>
                </v:line>
                <v:shape style="position:absolute;left:990;top:3078;width:10260;height:40" id="docshape154" coordorigin="990,3079" coordsize="10260,40" path="m990,3079l3690,3079m990,3119l3690,3119m3690,3079l4635,3079m3690,3119l4635,3119m4635,3079l5580,3079m4635,3119l5580,3119m5580,3079l6525,3079m5580,3119l6525,3119m6525,3079l7470,3079m6525,3119l7470,3119m7470,3079l8415,3079m7470,3119l8415,3119m8415,3079l9360,3079m8415,3119l9360,3119m9360,3079l10305,3079m9360,3119l10305,3119m10305,3079l11250,3079m10305,3119l11250,3119e" filled="false" stroked="true" strokeweight="1pt" strokecolor="#000000">
                  <v:path arrowok="t"/>
                  <v:stroke dashstyle="solid"/>
                </v:shape>
                <v:shape style="position:absolute;left:990;top:3668;width:2700;height:2" id="docshape155" coordorigin="990,3669" coordsize="2700,0" path="m3690,3669l990,3669e" filled="true" fillcolor="#000000" stroked="false">
                  <v:path arrowok="t"/>
                  <v:fill opacity="0f" type="solid"/>
                </v:shape>
                <v:line style="position:absolute" from="990,3669" to="3690,3669" stroked="true" strokeweight=".5pt" strokecolor="#000000">
                  <v:stroke dashstyle="solid"/>
                </v:line>
                <v:shape style="position:absolute;left:3690;top:3668;width:945;height:2" id="docshape156" coordorigin="3690,3669" coordsize="945,0" path="m4635,3669l3690,3669e" filled="true" fillcolor="#000000" stroked="false">
                  <v:path arrowok="t"/>
                  <v:fill opacity="0f" type="solid"/>
                </v:shape>
                <v:line style="position:absolute" from="3690,3669" to="4635,3669" stroked="true" strokeweight=".5pt" strokecolor="#000000">
                  <v:stroke dashstyle="solid"/>
                </v:line>
                <v:shape style="position:absolute;left:4635;top:3668;width:945;height:2" id="docshape157" coordorigin="4635,3669" coordsize="945,0" path="m5580,3669l4635,3669e" filled="true" fillcolor="#000000" stroked="false">
                  <v:path arrowok="t"/>
                  <v:fill opacity="0f" type="solid"/>
                </v:shape>
                <v:line style="position:absolute" from="4635,3669" to="5580,3669" stroked="true" strokeweight=".5pt" strokecolor="#000000">
                  <v:stroke dashstyle="solid"/>
                </v:line>
                <v:shape style="position:absolute;left:5580;top:3668;width:945;height:2" id="docshape158" coordorigin="5580,3669" coordsize="945,0" path="m6525,3669l5580,3669e" filled="true" fillcolor="#000000" stroked="false">
                  <v:path arrowok="t"/>
                  <v:fill opacity="0f" type="solid"/>
                </v:shape>
                <v:line style="position:absolute" from="5580,3669" to="6525,3669" stroked="true" strokeweight=".5pt" strokecolor="#000000">
                  <v:stroke dashstyle="solid"/>
                </v:line>
                <v:shape style="position:absolute;left:6525;top:3668;width:945;height:2" id="docshape159" coordorigin="6525,3669" coordsize="945,0" path="m7470,3669l6525,3669e" filled="true" fillcolor="#000000" stroked="false">
                  <v:path arrowok="t"/>
                  <v:fill opacity="0f" type="solid"/>
                </v:shape>
                <v:line style="position:absolute" from="6525,3669" to="7470,3669" stroked="true" strokeweight=".5pt" strokecolor="#000000">
                  <v:stroke dashstyle="solid"/>
                </v:line>
                <v:shape style="position:absolute;left:7470;top:3668;width:945;height:2" id="docshape160" coordorigin="7470,3669" coordsize="945,0" path="m8415,3669l7470,3669e" filled="true" fillcolor="#000000" stroked="false">
                  <v:path arrowok="t"/>
                  <v:fill opacity="0f" type="solid"/>
                </v:shape>
                <v:line style="position:absolute" from="7470,3669" to="8415,3669" stroked="true" strokeweight=".5pt" strokecolor="#000000">
                  <v:stroke dashstyle="solid"/>
                </v:line>
                <v:shape style="position:absolute;left:8415;top:3668;width:945;height:2" id="docshape161" coordorigin="8415,3669" coordsize="945,0" path="m9360,3669l8415,3669e" filled="true" fillcolor="#000000" stroked="false">
                  <v:path arrowok="t"/>
                  <v:fill opacity="0f" type="solid"/>
                </v:shape>
                <v:line style="position:absolute" from="8415,3669" to="9360,3669" stroked="true" strokeweight=".5pt" strokecolor="#000000">
                  <v:stroke dashstyle="solid"/>
                </v:line>
                <v:shape style="position:absolute;left:9360;top:3668;width:945;height:2" id="docshape162" coordorigin="9360,3669" coordsize="945,0" path="m10305,3669l9360,3669e" filled="true" fillcolor="#000000" stroked="false">
                  <v:path arrowok="t"/>
                  <v:fill opacity="0f" type="solid"/>
                </v:shape>
                <v:line style="position:absolute" from="9360,3669" to="10305,3669" stroked="true" strokeweight=".5pt" strokecolor="#000000">
                  <v:stroke dashstyle="solid"/>
                </v:line>
                <v:shape style="position:absolute;left:10305;top:3668;width:945;height:2" id="docshape163" coordorigin="10305,3669" coordsize="945,0" path="m11250,3669l10305,3669e" filled="true" fillcolor="#000000" stroked="false">
                  <v:path arrowok="t"/>
                  <v:fill opacity="0f" type="solid"/>
                </v:shape>
                <v:line style="position:absolute" from="10305,3669" to="11250,3669" stroked="true" strokeweight=".5pt" strokecolor="#000000">
                  <v:stroke dashstyle="solid"/>
                </v:line>
                <v:shape style="position:absolute;left:990;top:4433;width:2700;height:2" id="docshape164" coordorigin="990,4434" coordsize="2700,0" path="m3690,4434l990,4434e" filled="true" fillcolor="#000000" stroked="false">
                  <v:path arrowok="t"/>
                  <v:fill opacity="0f" type="solid"/>
                </v:shape>
                <v:line style="position:absolute" from="990,4434" to="3690,4434" stroked="true" strokeweight=".5pt" strokecolor="#000000">
                  <v:stroke dashstyle="solid"/>
                </v:line>
                <v:shape style="position:absolute;left:3690;top:4433;width:945;height:2" id="docshape165" coordorigin="3690,4434" coordsize="945,0" path="m4635,4434l3690,4434e" filled="true" fillcolor="#000000" stroked="false">
                  <v:path arrowok="t"/>
                  <v:fill opacity="0f" type="solid"/>
                </v:shape>
                <v:line style="position:absolute" from="3690,4434" to="4635,4434" stroked="true" strokeweight=".5pt" strokecolor="#000000">
                  <v:stroke dashstyle="solid"/>
                </v:line>
                <v:shape style="position:absolute;left:4635;top:4433;width:945;height:2" id="docshape166" coordorigin="4635,4434" coordsize="945,0" path="m5580,4434l4635,4434e" filled="true" fillcolor="#000000" stroked="false">
                  <v:path arrowok="t"/>
                  <v:fill opacity="0f" type="solid"/>
                </v:shape>
                <v:line style="position:absolute" from="4635,4434" to="5580,4434" stroked="true" strokeweight=".5pt" strokecolor="#000000">
                  <v:stroke dashstyle="solid"/>
                </v:line>
                <v:shape style="position:absolute;left:5580;top:4433;width:945;height:2" id="docshape167" coordorigin="5580,4434" coordsize="945,0" path="m6525,4434l5580,4434e" filled="true" fillcolor="#000000" stroked="false">
                  <v:path arrowok="t"/>
                  <v:fill opacity="0f" type="solid"/>
                </v:shape>
                <v:line style="position:absolute" from="5580,4434" to="6525,4434" stroked="true" strokeweight=".5pt" strokecolor="#000000">
                  <v:stroke dashstyle="solid"/>
                </v:line>
                <v:shape style="position:absolute;left:6525;top:4433;width:945;height:2" id="docshape168" coordorigin="6525,4434" coordsize="945,0" path="m7470,4434l6525,4434e" filled="true" fillcolor="#000000" stroked="false">
                  <v:path arrowok="t"/>
                  <v:fill opacity="0f" type="solid"/>
                </v:shape>
                <v:line style="position:absolute" from="6525,4434" to="7470,4434" stroked="true" strokeweight=".5pt" strokecolor="#000000">
                  <v:stroke dashstyle="solid"/>
                </v:line>
                <v:shape style="position:absolute;left:7470;top:4433;width:945;height:2" id="docshape169" coordorigin="7470,4434" coordsize="945,0" path="m8415,4434l7470,4434e" filled="true" fillcolor="#000000" stroked="false">
                  <v:path arrowok="t"/>
                  <v:fill opacity="0f" type="solid"/>
                </v:shape>
                <v:line style="position:absolute" from="7470,4434" to="8415,4434" stroked="true" strokeweight=".5pt" strokecolor="#000000">
                  <v:stroke dashstyle="solid"/>
                </v:line>
                <v:shape style="position:absolute;left:8415;top:4433;width:945;height:2" id="docshape170" coordorigin="8415,4434" coordsize="945,0" path="m9360,4434l8415,4434e" filled="true" fillcolor="#000000" stroked="false">
                  <v:path arrowok="t"/>
                  <v:fill opacity="0f" type="solid"/>
                </v:shape>
                <v:line style="position:absolute" from="8415,4434" to="9360,4434" stroked="true" strokeweight=".5pt" strokecolor="#000000">
                  <v:stroke dashstyle="solid"/>
                </v:line>
                <v:shape style="position:absolute;left:9360;top:4433;width:945;height:2" id="docshape171" coordorigin="9360,4434" coordsize="945,0" path="m10305,4434l9360,4434e" filled="true" fillcolor="#000000" stroked="false">
                  <v:path arrowok="t"/>
                  <v:fill opacity="0f" type="solid"/>
                </v:shape>
                <v:line style="position:absolute" from="9360,4434" to="10305,4434" stroked="true" strokeweight=".5pt" strokecolor="#000000">
                  <v:stroke dashstyle="solid"/>
                </v:line>
                <v:shape style="position:absolute;left:10305;top:4433;width:945;height:2" id="docshape172" coordorigin="10305,4434" coordsize="945,0" path="m11250,4434l10305,4434e" filled="true" fillcolor="#000000" stroked="false">
                  <v:path arrowok="t"/>
                  <v:fill opacity="0f" type="solid"/>
                </v:shape>
                <v:line style="position:absolute" from="10305,4434" to="11250,4434" stroked="true" strokeweight=".5pt" strokecolor="#000000">
                  <v:stroke dashstyle="solid"/>
                </v:line>
                <v:shape style="position:absolute;left:990;top:5198;width:2700;height:2" id="docshape173" coordorigin="990,5199" coordsize="2700,0" path="m3690,5199l990,5199e" filled="true" fillcolor="#000000" stroked="false">
                  <v:path arrowok="t"/>
                  <v:fill opacity="0f" type="solid"/>
                </v:shape>
                <v:line style="position:absolute" from="990,5199" to="3690,5199" stroked="true" strokeweight=".5pt" strokecolor="#000000">
                  <v:stroke dashstyle="solid"/>
                </v:line>
                <v:shape style="position:absolute;left:3690;top:5198;width:945;height:2" id="docshape174" coordorigin="3690,5199" coordsize="945,0" path="m4635,5199l3690,5199e" filled="true" fillcolor="#000000" stroked="false">
                  <v:path arrowok="t"/>
                  <v:fill opacity="0f" type="solid"/>
                </v:shape>
                <v:line style="position:absolute" from="3690,5199" to="4635,5199" stroked="true" strokeweight=".5pt" strokecolor="#000000">
                  <v:stroke dashstyle="solid"/>
                </v:line>
                <v:shape style="position:absolute;left:4635;top:5198;width:945;height:2" id="docshape175" coordorigin="4635,5199" coordsize="945,0" path="m5580,5199l4635,5199e" filled="true" fillcolor="#000000" stroked="false">
                  <v:path arrowok="t"/>
                  <v:fill opacity="0f" type="solid"/>
                </v:shape>
                <v:line style="position:absolute" from="4635,5199" to="5580,5199" stroked="true" strokeweight=".5pt" strokecolor="#000000">
                  <v:stroke dashstyle="solid"/>
                </v:line>
                <v:shape style="position:absolute;left:5580;top:5198;width:945;height:2" id="docshape176" coordorigin="5580,5199" coordsize="945,0" path="m6525,5199l5580,5199e" filled="true" fillcolor="#000000" stroked="false">
                  <v:path arrowok="t"/>
                  <v:fill opacity="0f" type="solid"/>
                </v:shape>
                <v:line style="position:absolute" from="5580,5199" to="6525,5199" stroked="true" strokeweight=".5pt" strokecolor="#000000">
                  <v:stroke dashstyle="solid"/>
                </v:line>
                <v:shape style="position:absolute;left:6525;top:5198;width:945;height:2" id="docshape177" coordorigin="6525,5199" coordsize="945,0" path="m7470,5199l6525,5199e" filled="true" fillcolor="#000000" stroked="false">
                  <v:path arrowok="t"/>
                  <v:fill opacity="0f" type="solid"/>
                </v:shape>
                <v:line style="position:absolute" from="6525,5199" to="7470,5199" stroked="true" strokeweight=".5pt" strokecolor="#000000">
                  <v:stroke dashstyle="solid"/>
                </v:line>
                <v:shape style="position:absolute;left:7470;top:5198;width:945;height:2" id="docshape178" coordorigin="7470,5199" coordsize="945,0" path="m8415,5199l7470,5199e" filled="true" fillcolor="#000000" stroked="false">
                  <v:path arrowok="t"/>
                  <v:fill opacity="0f" type="solid"/>
                </v:shape>
                <v:line style="position:absolute" from="7470,5199" to="8415,5199" stroked="true" strokeweight=".5pt" strokecolor="#000000">
                  <v:stroke dashstyle="solid"/>
                </v:line>
                <v:shape style="position:absolute;left:8415;top:5198;width:945;height:2" id="docshape179" coordorigin="8415,5199" coordsize="945,0" path="m9360,5199l8415,5199e" filled="true" fillcolor="#000000" stroked="false">
                  <v:path arrowok="t"/>
                  <v:fill opacity="0f" type="solid"/>
                </v:shape>
                <v:line style="position:absolute" from="8415,5199" to="9360,5199" stroked="true" strokeweight=".5pt" strokecolor="#000000">
                  <v:stroke dashstyle="solid"/>
                </v:line>
                <v:shape style="position:absolute;left:9360;top:5198;width:945;height:2" id="docshape180" coordorigin="9360,5199" coordsize="945,0" path="m10305,5199l9360,5199e" filled="true" fillcolor="#000000" stroked="false">
                  <v:path arrowok="t"/>
                  <v:fill opacity="0f" type="solid"/>
                </v:shape>
                <v:line style="position:absolute" from="9360,5199" to="10305,5199" stroked="true" strokeweight=".5pt" strokecolor="#000000">
                  <v:stroke dashstyle="solid"/>
                </v:line>
                <v:shape style="position:absolute;left:10305;top:5198;width:945;height:2" id="docshape181" coordorigin="10305,5199" coordsize="945,0" path="m11250,5199l10305,5199e" filled="true" fillcolor="#000000" stroked="false">
                  <v:path arrowok="t"/>
                  <v:fill opacity="0f" type="solid"/>
                </v:shape>
                <v:line style="position:absolute" from="10305,5199" to="11250,5199" stroked="true" strokeweight=".5pt" strokecolor="#000000">
                  <v:stroke dashstyle="solid"/>
                </v:line>
                <v:shape style="position:absolute;left:1042;top:1084;width:1650;height:455" type="#_x0000_t202" id="docshape182" filled="false" stroked="false">
                  <v:textbox inset="0,0,0,0">
                    <w:txbxContent>
                      <w:p>
                        <w:pPr>
                          <w:spacing w:line="199" w:lineRule="exact" w:before="0"/>
                          <w:ind w:left="0" w:right="0" w:firstLine="0"/>
                          <w:jc w:val="left"/>
                          <w:rPr>
                            <w:sz w:val="18"/>
                          </w:rPr>
                        </w:pPr>
                        <w:r>
                          <w:rPr>
                            <w:sz w:val="18"/>
                          </w:rPr>
                          <w:t>September</w:t>
                        </w:r>
                        <w:r>
                          <w:rPr>
                            <w:spacing w:val="-1"/>
                            <w:sz w:val="18"/>
                          </w:rPr>
                          <w:t> </w:t>
                        </w:r>
                        <w:r>
                          <w:rPr>
                            <w:sz w:val="18"/>
                          </w:rPr>
                          <w:t>30, </w:t>
                        </w:r>
                        <w:r>
                          <w:rPr>
                            <w:spacing w:val="-4"/>
                            <w:sz w:val="18"/>
                          </w:rPr>
                          <w:t>2023</w:t>
                        </w:r>
                      </w:p>
                      <w:p>
                        <w:pPr>
                          <w:spacing w:before="48"/>
                          <w:ind w:left="0" w:right="0" w:firstLine="0"/>
                          <w:jc w:val="left"/>
                          <w:rPr>
                            <w:sz w:val="18"/>
                          </w:rPr>
                        </w:pPr>
                        <w:r>
                          <w:rPr>
                            <w:sz w:val="18"/>
                          </w:rPr>
                          <w:t>Residential</w:t>
                        </w:r>
                        <w:r>
                          <w:rPr>
                            <w:spacing w:val="-1"/>
                            <w:sz w:val="18"/>
                          </w:rPr>
                          <w:t> </w:t>
                        </w:r>
                        <w:r>
                          <w:rPr>
                            <w:sz w:val="18"/>
                          </w:rPr>
                          <w:t>real </w:t>
                        </w:r>
                        <w:r>
                          <w:rPr>
                            <w:spacing w:val="-2"/>
                            <w:sz w:val="18"/>
                          </w:rPr>
                          <w:t>estate:</w:t>
                        </w:r>
                      </w:p>
                    </w:txbxContent>
                  </v:textbox>
                  <w10:wrap type="none"/>
                </v:shape>
                <v:shape style="position:absolute;left:3887;top:184;width:3525;height:1100" type="#_x0000_t202" id="docshape183" filled="false" stroked="false">
                  <v:textbox inset="0,0,0,0">
                    <w:txbxContent>
                      <w:p>
                        <w:pPr>
                          <w:spacing w:line="208" w:lineRule="auto" w:before="14"/>
                          <w:ind w:left="2964" w:right="80" w:hanging="184"/>
                          <w:jc w:val="left"/>
                          <w:rPr>
                            <w:sz w:val="18"/>
                          </w:rPr>
                        </w:pPr>
                        <w:r>
                          <w:rPr>
                            <w:sz w:val="18"/>
                            <w:u w:val="single"/>
                          </w:rPr>
                          <w:t>&gt;</w:t>
                        </w:r>
                        <w:r>
                          <w:rPr>
                            <w:sz w:val="18"/>
                            <w:u w:val="none"/>
                          </w:rPr>
                          <w:t>90</w:t>
                        </w:r>
                        <w:r>
                          <w:rPr>
                            <w:spacing w:val="-12"/>
                            <w:sz w:val="18"/>
                            <w:u w:val="none"/>
                          </w:rPr>
                          <w:t> </w:t>
                        </w:r>
                        <w:r>
                          <w:rPr>
                            <w:sz w:val="18"/>
                            <w:u w:val="none"/>
                          </w:rPr>
                          <w:t>days </w:t>
                        </w:r>
                        <w:r>
                          <w:rPr>
                            <w:spacing w:val="-4"/>
                            <w:sz w:val="18"/>
                            <w:u w:val="none"/>
                          </w:rPr>
                          <w:t>past</w:t>
                        </w:r>
                      </w:p>
                      <w:p>
                        <w:pPr>
                          <w:spacing w:line="208" w:lineRule="auto" w:before="0"/>
                          <w:ind w:left="2924" w:right="126" w:hanging="98"/>
                          <w:jc w:val="left"/>
                          <w:rPr>
                            <w:sz w:val="18"/>
                          </w:rPr>
                        </w:pPr>
                        <w:r>
                          <w:rPr>
                            <w:sz w:val="18"/>
                          </w:rPr>
                          <w:t>due</w:t>
                        </w:r>
                        <w:r>
                          <w:rPr>
                            <w:spacing w:val="-12"/>
                            <w:sz w:val="18"/>
                          </w:rPr>
                          <w:t> </w:t>
                        </w:r>
                        <w:r>
                          <w:rPr>
                            <w:sz w:val="18"/>
                          </w:rPr>
                          <w:t>and </w:t>
                        </w:r>
                        <w:r>
                          <w:rPr>
                            <w:spacing w:val="-2"/>
                            <w:sz w:val="18"/>
                          </w:rPr>
                          <w:t>other</w:t>
                        </w:r>
                      </w:p>
                      <w:p>
                        <w:pPr>
                          <w:tabs>
                            <w:tab w:pos="922" w:val="left" w:leader="none"/>
                            <w:tab w:pos="1867" w:val="left" w:leader="none"/>
                            <w:tab w:pos="2829" w:val="left" w:leader="none"/>
                          </w:tabs>
                          <w:spacing w:line="208" w:lineRule="auto" w:before="0"/>
                          <w:ind w:left="0" w:right="18" w:firstLine="822"/>
                          <w:jc w:val="left"/>
                          <w:rPr>
                            <w:sz w:val="18"/>
                          </w:rPr>
                        </w:pPr>
                        <w:r>
                          <w:rPr>
                            <w:sz w:val="18"/>
                          </w:rPr>
                          <w:t>30-59</w:t>
                        </w:r>
                        <w:r>
                          <w:rPr>
                            <w:spacing w:val="-5"/>
                            <w:sz w:val="18"/>
                          </w:rPr>
                          <w:t> </w:t>
                        </w:r>
                        <w:r>
                          <w:rPr>
                            <w:sz w:val="18"/>
                          </w:rPr>
                          <w:t>days</w:t>
                        </w:r>
                        <w:r>
                          <w:rPr>
                            <w:spacing w:val="80"/>
                            <w:sz w:val="18"/>
                          </w:rPr>
                          <w:t> </w:t>
                        </w:r>
                        <w:r>
                          <w:rPr>
                            <w:sz w:val="18"/>
                          </w:rPr>
                          <w:t>60-89</w:t>
                        </w:r>
                        <w:r>
                          <w:rPr>
                            <w:spacing w:val="-5"/>
                            <w:sz w:val="18"/>
                          </w:rPr>
                          <w:t> </w:t>
                        </w:r>
                        <w:r>
                          <w:rPr>
                            <w:sz w:val="18"/>
                          </w:rPr>
                          <w:t>days</w:t>
                        </w:r>
                        <w:r>
                          <w:rPr>
                            <w:spacing w:val="92"/>
                            <w:sz w:val="18"/>
                          </w:rPr>
                          <w:t> </w:t>
                        </w:r>
                        <w:r>
                          <w:rPr>
                            <w:sz w:val="18"/>
                          </w:rPr>
                          <w:t>nonaccrual </w:t>
                        </w:r>
                        <w:r>
                          <w:rPr>
                            <w:spacing w:val="-2"/>
                            <w:sz w:val="18"/>
                          </w:rPr>
                          <w:t>Current</w:t>
                        </w:r>
                        <w:r>
                          <w:rPr>
                            <w:sz w:val="18"/>
                          </w:rPr>
                          <w:tab/>
                          <w:t>past due</w:t>
                          <w:tab/>
                          <w:t>past due</w:t>
                          <w:tab/>
                          <w:t>loans </w:t>
                        </w:r>
                        <w:r>
                          <w:rPr>
                            <w:sz w:val="18"/>
                            <w:vertAlign w:val="superscript"/>
                          </w:rPr>
                          <w:t>(</w:t>
                        </w:r>
                        <w:r>
                          <w:rPr>
                            <w:sz w:val="18"/>
                            <w:vertAlign w:val="superscript"/>
                          </w:rPr>
                          <w:t>3</w:t>
                        </w:r>
                        <w:r>
                          <w:rPr>
                            <w:sz w:val="18"/>
                            <w:vertAlign w:val="superscript"/>
                          </w:rPr>
                          <w:t>)</w:t>
                        </w:r>
                      </w:p>
                    </w:txbxContent>
                  </v:textbox>
                  <w10:wrap type="none"/>
                </v:shape>
                <v:shape style="position:absolute;left:7548;top:364;width:810;height:920" type="#_x0000_t202" id="docshape184" filled="false" stroked="false">
                  <v:textbox inset="0,0,0,0">
                    <w:txbxContent>
                      <w:p>
                        <w:pPr>
                          <w:spacing w:line="208" w:lineRule="auto" w:before="14"/>
                          <w:ind w:left="0" w:right="18" w:firstLine="0"/>
                          <w:jc w:val="center"/>
                          <w:rPr>
                            <w:sz w:val="18"/>
                          </w:rPr>
                        </w:pPr>
                        <w:r>
                          <w:rPr>
                            <w:sz w:val="18"/>
                          </w:rPr>
                          <w:t>Total</w:t>
                        </w:r>
                        <w:r>
                          <w:rPr>
                            <w:spacing w:val="-12"/>
                            <w:sz w:val="18"/>
                          </w:rPr>
                          <w:t> </w:t>
                        </w:r>
                        <w:r>
                          <w:rPr>
                            <w:sz w:val="18"/>
                          </w:rPr>
                          <w:t>past </w:t>
                        </w:r>
                        <w:r>
                          <w:rPr>
                            <w:spacing w:val="-4"/>
                            <w:sz w:val="18"/>
                          </w:rPr>
                          <w:t>due</w:t>
                        </w:r>
                      </w:p>
                      <w:p>
                        <w:pPr>
                          <w:spacing w:line="208" w:lineRule="auto" w:before="0"/>
                          <w:ind w:left="0" w:right="18" w:hanging="1"/>
                          <w:jc w:val="center"/>
                          <w:rPr>
                            <w:sz w:val="18"/>
                          </w:rPr>
                        </w:pPr>
                        <w:r>
                          <w:rPr>
                            <w:sz w:val="18"/>
                          </w:rPr>
                          <w:t>and other </w:t>
                        </w:r>
                        <w:r>
                          <w:rPr>
                            <w:spacing w:val="-2"/>
                            <w:sz w:val="18"/>
                          </w:rPr>
                          <w:t>nonaccrual loans</w:t>
                        </w:r>
                      </w:p>
                    </w:txbxContent>
                  </v:textbox>
                  <w10:wrap type="none"/>
                </v:shape>
                <v:shape style="position:absolute;left:8697;top:724;width:1546;height:380" type="#_x0000_t202" id="docshape185" filled="false" stroked="false">
                  <v:textbox inset="0,0,0,0">
                    <w:txbxContent>
                      <w:p>
                        <w:pPr>
                          <w:spacing w:line="186" w:lineRule="exact" w:before="0"/>
                          <w:ind w:left="0" w:right="18" w:firstLine="0"/>
                          <w:jc w:val="right"/>
                          <w:rPr>
                            <w:sz w:val="18"/>
                          </w:rPr>
                        </w:pPr>
                        <w:r>
                          <w:rPr>
                            <w:spacing w:val="-2"/>
                            <w:sz w:val="18"/>
                          </w:rPr>
                          <w:t>Allowance</w:t>
                        </w:r>
                      </w:p>
                      <w:p>
                        <w:pPr>
                          <w:tabs>
                            <w:tab w:pos="802" w:val="left" w:leader="none"/>
                          </w:tabs>
                          <w:spacing w:line="193" w:lineRule="exact" w:before="0"/>
                          <w:ind w:left="0" w:right="75" w:firstLine="0"/>
                          <w:jc w:val="right"/>
                          <w:rPr>
                            <w:sz w:val="18"/>
                          </w:rPr>
                        </w:pPr>
                        <w:r>
                          <w:rPr>
                            <w:spacing w:val="-2"/>
                            <w:sz w:val="18"/>
                          </w:rPr>
                          <w:t>Total</w:t>
                        </w:r>
                        <w:r>
                          <w:rPr>
                            <w:sz w:val="18"/>
                          </w:rPr>
                          <w:tab/>
                          <w:t>for </w:t>
                        </w:r>
                        <w:r>
                          <w:rPr>
                            <w:spacing w:val="-2"/>
                            <w:sz w:val="18"/>
                          </w:rPr>
                          <w:t>credit</w:t>
                        </w:r>
                      </w:p>
                    </w:txbxContent>
                  </v:textbox>
                  <w10:wrap type="none"/>
                </v:shape>
                <v:shape style="position:absolute;left:8697;top:1084;width:400;height:200" type="#_x0000_t202" id="docshape186" filled="false" stroked="false">
                  <v:textbox inset="0,0,0,0">
                    <w:txbxContent>
                      <w:p>
                        <w:pPr>
                          <w:spacing w:line="199" w:lineRule="exact" w:before="0"/>
                          <w:ind w:left="0" w:right="0" w:firstLine="0"/>
                          <w:jc w:val="left"/>
                          <w:rPr>
                            <w:sz w:val="18"/>
                          </w:rPr>
                        </w:pPr>
                        <w:r>
                          <w:rPr>
                            <w:spacing w:val="-2"/>
                            <w:sz w:val="18"/>
                          </w:rPr>
                          <w:t>loans</w:t>
                        </w:r>
                      </w:p>
                    </w:txbxContent>
                  </v:textbox>
                  <w10:wrap type="none"/>
                </v:shape>
                <v:shape style="position:absolute;left:9617;top:1084;width:451;height:200" type="#_x0000_t202" id="docshape187" filled="false" stroked="false">
                  <v:textbox inset="0,0,0,0">
                    <w:txbxContent>
                      <w:p>
                        <w:pPr>
                          <w:spacing w:line="199" w:lineRule="exact" w:before="0"/>
                          <w:ind w:left="0" w:right="0" w:firstLine="0"/>
                          <w:jc w:val="left"/>
                          <w:rPr>
                            <w:sz w:val="18"/>
                          </w:rPr>
                        </w:pPr>
                        <w:r>
                          <w:rPr>
                            <w:spacing w:val="-2"/>
                            <w:sz w:val="18"/>
                          </w:rPr>
                          <w:t>losses</w:t>
                        </w:r>
                      </w:p>
                    </w:txbxContent>
                  </v:textbox>
                  <w10:wrap type="none"/>
                </v:shape>
                <v:shape style="position:absolute;left:10387;top:724;width:800;height:560" type="#_x0000_t202" id="docshape188" filled="false" stroked="false">
                  <v:textbox inset="0,0,0,0">
                    <w:txbxContent>
                      <w:p>
                        <w:pPr>
                          <w:spacing w:line="208" w:lineRule="auto" w:before="14"/>
                          <w:ind w:left="59" w:right="76" w:firstLine="0"/>
                          <w:jc w:val="center"/>
                          <w:rPr>
                            <w:sz w:val="18"/>
                          </w:rPr>
                        </w:pPr>
                        <w:r>
                          <w:rPr>
                            <w:spacing w:val="-2"/>
                            <w:sz w:val="18"/>
                          </w:rPr>
                          <w:t>Total </w:t>
                        </w:r>
                        <w:r>
                          <w:rPr>
                            <w:spacing w:val="-4"/>
                            <w:sz w:val="18"/>
                          </w:rPr>
                          <w:t>bank</w:t>
                        </w:r>
                      </w:p>
                      <w:p>
                        <w:pPr>
                          <w:spacing w:line="185" w:lineRule="exact" w:before="0"/>
                          <w:ind w:left="0" w:right="18" w:firstLine="0"/>
                          <w:jc w:val="center"/>
                          <w:rPr>
                            <w:sz w:val="18"/>
                          </w:rPr>
                        </w:pPr>
                        <w:r>
                          <w:rPr>
                            <w:sz w:val="18"/>
                          </w:rPr>
                          <w:t>loans</w:t>
                        </w:r>
                        <w:r>
                          <w:rPr>
                            <w:spacing w:val="-1"/>
                            <w:sz w:val="18"/>
                          </w:rPr>
                          <w:t> </w:t>
                        </w:r>
                        <w:r>
                          <w:rPr>
                            <w:sz w:val="18"/>
                          </w:rPr>
                          <w:t>– </w:t>
                        </w:r>
                        <w:r>
                          <w:rPr>
                            <w:spacing w:val="-5"/>
                            <w:sz w:val="18"/>
                          </w:rPr>
                          <w:t>net</w:t>
                        </w:r>
                      </w:p>
                    </w:txbxContent>
                  </v:textbox>
                  <w10:wrap type="none"/>
                </v:shape>
                <v:shape style="position:absolute;left:1177;top:1825;width:959;height:224" type="#_x0000_t202" id="docshape189" filled="false" stroked="false">
                  <v:textbox inset="0,0,0,0">
                    <w:txbxContent>
                      <w:p>
                        <w:pPr>
                          <w:spacing w:before="16"/>
                          <w:ind w:left="0" w:right="0" w:firstLine="0"/>
                          <w:jc w:val="left"/>
                          <w:rPr>
                            <w:sz w:val="18"/>
                          </w:rPr>
                        </w:pPr>
                        <w:r>
                          <w:rPr>
                            <w:sz w:val="18"/>
                          </w:rPr>
                          <w:t>HELOCs</w:t>
                        </w:r>
                        <w:r>
                          <w:rPr>
                            <w:spacing w:val="-5"/>
                            <w:sz w:val="18"/>
                          </w:rPr>
                          <w:t> </w:t>
                        </w:r>
                        <w:r>
                          <w:rPr>
                            <w:spacing w:val="-2"/>
                            <w:sz w:val="18"/>
                            <w:vertAlign w:val="superscript"/>
                          </w:rPr>
                          <w:t>(1,2)</w:t>
                        </w:r>
                      </w:p>
                    </w:txbxContent>
                  </v:textbox>
                  <w10:wrap type="none"/>
                </v:shape>
                <v:shape style="position:absolute;left:4290;top:1849;width:290;height:200" type="#_x0000_t202" id="docshape190" filled="false" stroked="false">
                  <v:textbox inset="0,0,0,0">
                    <w:txbxContent>
                      <w:p>
                        <w:pPr>
                          <w:spacing w:line="199" w:lineRule="exact" w:before="0"/>
                          <w:ind w:left="0" w:right="0" w:firstLine="0"/>
                          <w:jc w:val="left"/>
                          <w:rPr>
                            <w:sz w:val="18"/>
                          </w:rPr>
                        </w:pPr>
                        <w:r>
                          <w:rPr>
                            <w:spacing w:val="-5"/>
                            <w:sz w:val="18"/>
                          </w:rPr>
                          <w:t>487</w:t>
                        </w:r>
                      </w:p>
                    </w:txbxContent>
                  </v:textbox>
                  <w10:wrap type="none"/>
                </v:shape>
                <v:shape style="position:absolute;left:5415;top:1849;width:110;height:200" type="#_x0000_t202" id="docshape191" filled="false" stroked="false">
                  <v:textbox inset="0,0,0,0">
                    <w:txbxContent>
                      <w:p>
                        <w:pPr>
                          <w:spacing w:line="199" w:lineRule="exact" w:before="0"/>
                          <w:ind w:left="0" w:right="0" w:firstLine="0"/>
                          <w:jc w:val="left"/>
                          <w:rPr>
                            <w:sz w:val="18"/>
                          </w:rPr>
                        </w:pPr>
                        <w:r>
                          <w:rPr>
                            <w:spacing w:val="-10"/>
                            <w:sz w:val="18"/>
                          </w:rPr>
                          <w:t>1</w:t>
                        </w:r>
                      </w:p>
                    </w:txbxContent>
                  </v:textbox>
                  <w10:wrap type="none"/>
                </v:shape>
                <v:shape style="position:absolute;left:6270;top:1849;width:200;height:200" type="#_x0000_t202" id="docshape192"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7305;top:1849;width:110;height:200" type="#_x0000_t202" id="docshape193" filled="false" stroked="false">
                  <v:textbox inset="0,0,0,0">
                    <w:txbxContent>
                      <w:p>
                        <w:pPr>
                          <w:spacing w:line="199" w:lineRule="exact" w:before="0"/>
                          <w:ind w:left="0" w:right="0" w:firstLine="0"/>
                          <w:jc w:val="left"/>
                          <w:rPr>
                            <w:sz w:val="18"/>
                          </w:rPr>
                        </w:pPr>
                        <w:r>
                          <w:rPr>
                            <w:spacing w:val="-10"/>
                            <w:sz w:val="18"/>
                          </w:rPr>
                          <w:t>5</w:t>
                        </w:r>
                      </w:p>
                    </w:txbxContent>
                  </v:textbox>
                  <w10:wrap type="none"/>
                </v:shape>
                <v:shape style="position:absolute;left:8250;top:1849;width:110;height:200" type="#_x0000_t202" id="docshape194" filled="false" stroked="false">
                  <v:textbox inset="0,0,0,0">
                    <w:txbxContent>
                      <w:p>
                        <w:pPr>
                          <w:spacing w:line="199" w:lineRule="exact" w:before="0"/>
                          <w:ind w:left="0" w:right="0" w:firstLine="0"/>
                          <w:jc w:val="left"/>
                          <w:rPr>
                            <w:sz w:val="18"/>
                          </w:rPr>
                        </w:pPr>
                        <w:r>
                          <w:rPr>
                            <w:spacing w:val="-10"/>
                            <w:sz w:val="18"/>
                          </w:rPr>
                          <w:t>6</w:t>
                        </w:r>
                      </w:p>
                    </w:txbxContent>
                  </v:textbox>
                  <w10:wrap type="none"/>
                </v:shape>
                <v:shape style="position:absolute;left:9015;top:1849;width:290;height:200" type="#_x0000_t202" id="docshape195" filled="false" stroked="false">
                  <v:textbox inset="0,0,0,0">
                    <w:txbxContent>
                      <w:p>
                        <w:pPr>
                          <w:spacing w:line="199" w:lineRule="exact" w:before="0"/>
                          <w:ind w:left="0" w:right="0" w:firstLine="0"/>
                          <w:jc w:val="left"/>
                          <w:rPr>
                            <w:sz w:val="18"/>
                          </w:rPr>
                        </w:pPr>
                        <w:r>
                          <w:rPr>
                            <w:spacing w:val="-5"/>
                            <w:sz w:val="18"/>
                          </w:rPr>
                          <w:t>493</w:t>
                        </w:r>
                      </w:p>
                    </w:txbxContent>
                  </v:textbox>
                  <w10:wrap type="none"/>
                </v:shape>
                <v:shape style="position:absolute;left:10140;top:1849;width:110;height:200" type="#_x0000_t202" id="docshape196" filled="false" stroked="false">
                  <v:textbox inset="0,0,0,0">
                    <w:txbxContent>
                      <w:p>
                        <w:pPr>
                          <w:spacing w:line="199" w:lineRule="exact" w:before="0"/>
                          <w:ind w:left="0" w:right="0" w:firstLine="0"/>
                          <w:jc w:val="left"/>
                          <w:rPr>
                            <w:sz w:val="18"/>
                          </w:rPr>
                        </w:pPr>
                        <w:r>
                          <w:rPr>
                            <w:spacing w:val="-10"/>
                            <w:sz w:val="18"/>
                          </w:rPr>
                          <w:t>2</w:t>
                        </w:r>
                      </w:p>
                    </w:txbxContent>
                  </v:textbox>
                  <w10:wrap type="none"/>
                </v:shape>
                <v:shape style="position:absolute;left:10905;top:1849;width:290;height:200" type="#_x0000_t202" id="docshape197" filled="false" stroked="false">
                  <v:textbox inset="0,0,0,0">
                    <w:txbxContent>
                      <w:p>
                        <w:pPr>
                          <w:spacing w:line="199" w:lineRule="exact" w:before="0"/>
                          <w:ind w:left="0" w:right="0" w:firstLine="0"/>
                          <w:jc w:val="left"/>
                          <w:rPr>
                            <w:sz w:val="18"/>
                          </w:rPr>
                        </w:pPr>
                        <w:r>
                          <w:rPr>
                            <w:spacing w:val="-5"/>
                            <w:sz w:val="18"/>
                          </w:rPr>
                          <w:t>491</w:t>
                        </w:r>
                      </w:p>
                    </w:txbxContent>
                  </v:textbox>
                  <w10:wrap type="none"/>
                </v:shape>
                <v:shape style="position:absolute;left:1042;top:2359;width:1380;height:200" type="#_x0000_t202" id="docshape198" filled="false" stroked="false">
                  <v:textbox inset="0,0,0,0">
                    <w:txbxContent>
                      <w:p>
                        <w:pPr>
                          <w:spacing w:line="199" w:lineRule="exact" w:before="0"/>
                          <w:ind w:left="0" w:right="0" w:firstLine="0"/>
                          <w:jc w:val="left"/>
                          <w:rPr>
                            <w:sz w:val="18"/>
                          </w:rPr>
                        </w:pPr>
                        <w:r>
                          <w:rPr>
                            <w:sz w:val="18"/>
                          </w:rPr>
                          <w:t>Pledged</w:t>
                        </w:r>
                        <w:r>
                          <w:rPr>
                            <w:spacing w:val="-2"/>
                            <w:sz w:val="18"/>
                          </w:rPr>
                          <w:t> </w:t>
                        </w:r>
                        <w:r>
                          <w:rPr>
                            <w:sz w:val="18"/>
                          </w:rPr>
                          <w:t>asset</w:t>
                        </w:r>
                        <w:r>
                          <w:rPr>
                            <w:spacing w:val="-1"/>
                            <w:sz w:val="18"/>
                          </w:rPr>
                          <w:t> </w:t>
                        </w:r>
                        <w:r>
                          <w:rPr>
                            <w:spacing w:val="-2"/>
                            <w:sz w:val="18"/>
                          </w:rPr>
                          <w:t>lines</w:t>
                        </w:r>
                      </w:p>
                    </w:txbxContent>
                  </v:textbox>
                  <w10:wrap type="none"/>
                </v:shape>
                <v:shape style="position:absolute;left:4065;top:2359;width:515;height:200" type="#_x0000_t202" id="docshape199" filled="false" stroked="false">
                  <v:textbox inset="0,0,0,0">
                    <w:txbxContent>
                      <w:p>
                        <w:pPr>
                          <w:spacing w:line="199" w:lineRule="exact" w:before="0"/>
                          <w:ind w:left="0" w:right="0" w:firstLine="0"/>
                          <w:jc w:val="left"/>
                          <w:rPr>
                            <w:sz w:val="18"/>
                          </w:rPr>
                        </w:pPr>
                        <w:r>
                          <w:rPr>
                            <w:spacing w:val="-2"/>
                            <w:sz w:val="18"/>
                          </w:rPr>
                          <w:t>13,525</w:t>
                        </w:r>
                      </w:p>
                    </w:txbxContent>
                  </v:textbox>
                  <w10:wrap type="none"/>
                </v:shape>
                <v:shape style="position:absolute;left:5325;top:2359;width:200;height:200" type="#_x0000_t202" id="docshape200" filled="false" stroked="false">
                  <v:textbox inset="0,0,0,0">
                    <w:txbxContent>
                      <w:p>
                        <w:pPr>
                          <w:spacing w:line="199" w:lineRule="exact" w:before="0"/>
                          <w:ind w:left="0" w:right="0" w:firstLine="0"/>
                          <w:jc w:val="left"/>
                          <w:rPr>
                            <w:sz w:val="18"/>
                          </w:rPr>
                        </w:pPr>
                        <w:r>
                          <w:rPr>
                            <w:spacing w:val="-5"/>
                            <w:sz w:val="18"/>
                          </w:rPr>
                          <w:t>10</w:t>
                        </w:r>
                      </w:p>
                    </w:txbxContent>
                  </v:textbox>
                  <w10:wrap type="none"/>
                </v:shape>
                <v:shape style="position:absolute;left:6360;top:2359;width:110;height:200" type="#_x0000_t202" id="docshape201" filled="false" stroked="false">
                  <v:textbox inset="0,0,0,0">
                    <w:txbxContent>
                      <w:p>
                        <w:pPr>
                          <w:spacing w:line="199" w:lineRule="exact" w:before="0"/>
                          <w:ind w:left="0" w:right="0" w:firstLine="0"/>
                          <w:jc w:val="left"/>
                          <w:rPr>
                            <w:sz w:val="18"/>
                          </w:rPr>
                        </w:pPr>
                        <w:r>
                          <w:rPr>
                            <w:spacing w:val="-10"/>
                            <w:sz w:val="18"/>
                          </w:rPr>
                          <w:t>2</w:t>
                        </w:r>
                      </w:p>
                    </w:txbxContent>
                  </v:textbox>
                  <w10:wrap type="none"/>
                </v:shape>
                <v:shape style="position:absolute;left:7305;top:2359;width:110;height:200" type="#_x0000_t202" id="docshape202" filled="false" stroked="false">
                  <v:textbox inset="0,0,0,0">
                    <w:txbxContent>
                      <w:p>
                        <w:pPr>
                          <w:spacing w:line="199" w:lineRule="exact" w:before="0"/>
                          <w:ind w:left="0" w:right="0" w:firstLine="0"/>
                          <w:jc w:val="left"/>
                          <w:rPr>
                            <w:sz w:val="18"/>
                          </w:rPr>
                        </w:pPr>
                        <w:r>
                          <w:rPr>
                            <w:spacing w:val="-10"/>
                            <w:sz w:val="18"/>
                          </w:rPr>
                          <w:t>1</w:t>
                        </w:r>
                      </w:p>
                    </w:txbxContent>
                  </v:textbox>
                  <w10:wrap type="none"/>
                </v:shape>
                <v:shape style="position:absolute;left:8160;top:2359;width:200;height:200" type="#_x0000_t202" id="docshape203" filled="false" stroked="false">
                  <v:textbox inset="0,0,0,0">
                    <w:txbxContent>
                      <w:p>
                        <w:pPr>
                          <w:spacing w:line="199" w:lineRule="exact" w:before="0"/>
                          <w:ind w:left="0" w:right="0" w:firstLine="0"/>
                          <w:jc w:val="left"/>
                          <w:rPr>
                            <w:sz w:val="18"/>
                          </w:rPr>
                        </w:pPr>
                        <w:r>
                          <w:rPr>
                            <w:spacing w:val="-5"/>
                            <w:sz w:val="18"/>
                          </w:rPr>
                          <w:t>13</w:t>
                        </w:r>
                      </w:p>
                    </w:txbxContent>
                  </v:textbox>
                  <w10:wrap type="none"/>
                </v:shape>
                <v:shape style="position:absolute;left:8790;top:2359;width:515;height:200" type="#_x0000_t202" id="docshape204" filled="false" stroked="false">
                  <v:textbox inset="0,0,0,0">
                    <w:txbxContent>
                      <w:p>
                        <w:pPr>
                          <w:spacing w:line="199" w:lineRule="exact" w:before="0"/>
                          <w:ind w:left="0" w:right="0" w:firstLine="0"/>
                          <w:jc w:val="left"/>
                          <w:rPr>
                            <w:sz w:val="18"/>
                          </w:rPr>
                        </w:pPr>
                        <w:r>
                          <w:rPr>
                            <w:spacing w:val="-2"/>
                            <w:sz w:val="18"/>
                          </w:rPr>
                          <w:t>13,538</w:t>
                        </w:r>
                      </w:p>
                    </w:txbxContent>
                  </v:textbox>
                  <w10:wrap type="none"/>
                </v:shape>
                <v:shape style="position:absolute;left:10050;top:2359;width:200;height:200" type="#_x0000_t202" id="docshape205"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10680;top:2359;width:515;height:200" type="#_x0000_t202" id="docshape206" filled="false" stroked="false">
                  <v:textbox inset="0,0,0,0">
                    <w:txbxContent>
                      <w:p>
                        <w:pPr>
                          <w:spacing w:line="199" w:lineRule="exact" w:before="0"/>
                          <w:ind w:left="0" w:right="0" w:firstLine="0"/>
                          <w:jc w:val="left"/>
                          <w:rPr>
                            <w:sz w:val="18"/>
                          </w:rPr>
                        </w:pPr>
                        <w:r>
                          <w:rPr>
                            <w:spacing w:val="-2"/>
                            <w:sz w:val="18"/>
                          </w:rPr>
                          <w:t>13,538</w:t>
                        </w:r>
                      </w:p>
                    </w:txbxContent>
                  </v:textbox>
                  <w10:wrap type="none"/>
                </v:shape>
                <v:shape style="position:absolute;left:1267;top:2869;width:1220;height:200" type="#_x0000_t202" id="docshape207" filled="false" stroked="false">
                  <v:textbox inset="0,0,0,0">
                    <w:txbxContent>
                      <w:p>
                        <w:pPr>
                          <w:spacing w:line="199" w:lineRule="exact" w:before="0"/>
                          <w:ind w:left="0" w:right="0" w:firstLine="0"/>
                          <w:jc w:val="left"/>
                          <w:rPr>
                            <w:sz w:val="18"/>
                          </w:rPr>
                        </w:pPr>
                        <w:r>
                          <w:rPr>
                            <w:sz w:val="18"/>
                          </w:rPr>
                          <w:t>Total bank </w:t>
                        </w:r>
                        <w:r>
                          <w:rPr>
                            <w:spacing w:val="-2"/>
                            <w:sz w:val="18"/>
                          </w:rPr>
                          <w:t>loans</w:t>
                        </w:r>
                      </w:p>
                    </w:txbxContent>
                  </v:textbox>
                  <w10:wrap type="none"/>
                </v:shape>
                <v:shape style="position:absolute;left:3742;top:2869;width:1055;height:200" type="#_x0000_t202" id="docshape208" filled="false" stroked="false">
                  <v:textbox inset="0,0,0,0">
                    <w:txbxContent>
                      <w:p>
                        <w:pPr>
                          <w:tabs>
                            <w:tab w:pos="322" w:val="left" w:leader="none"/>
                          </w:tabs>
                          <w:spacing w:line="199" w:lineRule="exact" w:before="0"/>
                          <w:ind w:left="0" w:right="0" w:firstLine="0"/>
                          <w:jc w:val="left"/>
                          <w:rPr>
                            <w:sz w:val="18"/>
                          </w:rPr>
                        </w:pPr>
                        <w:r>
                          <w:rPr>
                            <w:spacing w:val="-10"/>
                            <w:sz w:val="18"/>
                          </w:rPr>
                          <w:t>$</w:t>
                        </w:r>
                        <w:r>
                          <w:rPr>
                            <w:sz w:val="18"/>
                          </w:rPr>
                          <w:tab/>
                          <w:t>40,328</w:t>
                        </w:r>
                        <w:r>
                          <w:rPr>
                            <w:spacing w:val="59"/>
                            <w:w w:val="150"/>
                            <w:sz w:val="18"/>
                          </w:rPr>
                          <w:t> </w:t>
                        </w:r>
                        <w:r>
                          <w:rPr>
                            <w:spacing w:val="-10"/>
                            <w:sz w:val="18"/>
                          </w:rPr>
                          <w:t>$</w:t>
                        </w:r>
                      </w:p>
                    </w:txbxContent>
                  </v:textbox>
                  <w10:wrap type="none"/>
                </v:shape>
                <v:shape style="position:absolute;left:5325;top:2869;width:418;height:200" type="#_x0000_t202" id="docshape209" filled="false" stroked="false">
                  <v:textbox inset="0,0,0,0">
                    <w:txbxContent>
                      <w:p>
                        <w:pPr>
                          <w:spacing w:line="199" w:lineRule="exact" w:before="0"/>
                          <w:ind w:left="0" w:right="0" w:firstLine="0"/>
                          <w:jc w:val="left"/>
                          <w:rPr>
                            <w:sz w:val="18"/>
                          </w:rPr>
                        </w:pPr>
                        <w:r>
                          <w:rPr>
                            <w:sz w:val="18"/>
                          </w:rPr>
                          <w:t>36</w:t>
                        </w:r>
                        <w:r>
                          <w:rPr>
                            <w:spacing w:val="59"/>
                            <w:w w:val="150"/>
                            <w:sz w:val="18"/>
                          </w:rPr>
                          <w:t> </w:t>
                        </w:r>
                        <w:r>
                          <w:rPr>
                            <w:spacing w:val="-10"/>
                            <w:sz w:val="18"/>
                          </w:rPr>
                          <w:t>$</w:t>
                        </w:r>
                      </w:p>
                    </w:txbxContent>
                  </v:textbox>
                  <w10:wrap type="none"/>
                </v:shape>
                <v:shape style="position:absolute;left:6360;top:2869;width:328;height:200" type="#_x0000_t202" id="docshape210" filled="false" stroked="false">
                  <v:textbox inset="0,0,0,0">
                    <w:txbxContent>
                      <w:p>
                        <w:pPr>
                          <w:spacing w:line="199" w:lineRule="exact" w:before="0"/>
                          <w:ind w:left="0" w:right="0" w:firstLine="0"/>
                          <w:jc w:val="left"/>
                          <w:rPr>
                            <w:sz w:val="18"/>
                          </w:rPr>
                        </w:pPr>
                        <w:r>
                          <w:rPr>
                            <w:sz w:val="18"/>
                          </w:rPr>
                          <w:t>3</w:t>
                        </w:r>
                        <w:r>
                          <w:rPr>
                            <w:spacing w:val="59"/>
                            <w:w w:val="150"/>
                            <w:sz w:val="18"/>
                          </w:rPr>
                          <w:t> </w:t>
                        </w:r>
                        <w:r>
                          <w:rPr>
                            <w:spacing w:val="-10"/>
                            <w:sz w:val="18"/>
                          </w:rPr>
                          <w:t>$</w:t>
                        </w:r>
                      </w:p>
                    </w:txbxContent>
                  </v:textbox>
                  <w10:wrap type="none"/>
                </v:shape>
                <v:shape style="position:absolute;left:7215;top:2869;width:418;height:200" type="#_x0000_t202" id="docshape211" filled="false" stroked="false">
                  <v:textbox inset="0,0,0,0">
                    <w:txbxContent>
                      <w:p>
                        <w:pPr>
                          <w:spacing w:line="199" w:lineRule="exact" w:before="0"/>
                          <w:ind w:left="0" w:right="0" w:firstLine="0"/>
                          <w:jc w:val="left"/>
                          <w:rPr>
                            <w:sz w:val="18"/>
                          </w:rPr>
                        </w:pPr>
                        <w:r>
                          <w:rPr>
                            <w:sz w:val="18"/>
                          </w:rPr>
                          <w:t>14</w:t>
                        </w:r>
                        <w:r>
                          <w:rPr>
                            <w:spacing w:val="59"/>
                            <w:w w:val="150"/>
                            <w:sz w:val="18"/>
                          </w:rPr>
                          <w:t> </w:t>
                        </w:r>
                        <w:r>
                          <w:rPr>
                            <w:spacing w:val="-10"/>
                            <w:sz w:val="18"/>
                          </w:rPr>
                          <w:t>$</w:t>
                        </w:r>
                      </w:p>
                    </w:txbxContent>
                  </v:textbox>
                  <w10:wrap type="none"/>
                </v:shape>
                <v:shape style="position:absolute;left:8160;top:2869;width:1363;height:200" type="#_x0000_t202" id="docshape212" filled="false" stroked="false">
                  <v:textbox inset="0,0,0,0">
                    <w:txbxContent>
                      <w:p>
                        <w:pPr>
                          <w:tabs>
                            <w:tab w:pos="629" w:val="left" w:leader="none"/>
                          </w:tabs>
                          <w:spacing w:line="199" w:lineRule="exact" w:before="0"/>
                          <w:ind w:left="0" w:right="0" w:firstLine="0"/>
                          <w:jc w:val="left"/>
                          <w:rPr>
                            <w:sz w:val="18"/>
                          </w:rPr>
                        </w:pPr>
                        <w:r>
                          <w:rPr>
                            <w:sz w:val="18"/>
                          </w:rPr>
                          <w:t>53</w:t>
                        </w:r>
                        <w:r>
                          <w:rPr>
                            <w:spacing w:val="59"/>
                            <w:w w:val="150"/>
                            <w:sz w:val="18"/>
                          </w:rPr>
                          <w:t> </w:t>
                        </w:r>
                        <w:r>
                          <w:rPr>
                            <w:spacing w:val="-10"/>
                            <w:sz w:val="18"/>
                          </w:rPr>
                          <w:t>$</w:t>
                        </w:r>
                        <w:r>
                          <w:rPr>
                            <w:sz w:val="18"/>
                          </w:rPr>
                          <w:tab/>
                          <w:t>40,381</w:t>
                        </w:r>
                        <w:r>
                          <w:rPr>
                            <w:spacing w:val="59"/>
                            <w:w w:val="150"/>
                            <w:sz w:val="18"/>
                          </w:rPr>
                          <w:t> </w:t>
                        </w:r>
                        <w:r>
                          <w:rPr>
                            <w:spacing w:val="-10"/>
                            <w:sz w:val="18"/>
                          </w:rPr>
                          <w:t>$</w:t>
                        </w:r>
                      </w:p>
                    </w:txbxContent>
                  </v:textbox>
                  <w10:wrap type="none"/>
                </v:shape>
                <v:shape style="position:absolute;left:10050;top:2869;width:1145;height:200" type="#_x0000_t202" id="docshape213" filled="false" stroked="false">
                  <v:textbox inset="0,0,0,0">
                    <w:txbxContent>
                      <w:p>
                        <w:pPr>
                          <w:tabs>
                            <w:tab w:pos="629" w:val="left" w:leader="none"/>
                          </w:tabs>
                          <w:spacing w:line="199" w:lineRule="exact" w:before="0"/>
                          <w:ind w:left="0" w:right="0" w:firstLine="0"/>
                          <w:jc w:val="left"/>
                          <w:rPr>
                            <w:sz w:val="18"/>
                          </w:rPr>
                        </w:pPr>
                        <w:r>
                          <w:rPr>
                            <w:sz w:val="18"/>
                          </w:rPr>
                          <w:t>54</w:t>
                        </w:r>
                        <w:r>
                          <w:rPr>
                            <w:spacing w:val="59"/>
                            <w:w w:val="150"/>
                            <w:sz w:val="18"/>
                          </w:rPr>
                          <w:t> </w:t>
                        </w:r>
                        <w:r>
                          <w:rPr>
                            <w:spacing w:val="-10"/>
                            <w:sz w:val="18"/>
                          </w:rPr>
                          <w:t>$</w:t>
                        </w:r>
                        <w:r>
                          <w:rPr>
                            <w:sz w:val="18"/>
                          </w:rPr>
                          <w:tab/>
                        </w:r>
                        <w:r>
                          <w:rPr>
                            <w:spacing w:val="-2"/>
                            <w:sz w:val="18"/>
                          </w:rPr>
                          <w:t>40,327</w:t>
                        </w:r>
                      </w:p>
                    </w:txbxContent>
                  </v:textbox>
                  <w10:wrap type="none"/>
                </v:shape>
                <v:shape style="position:absolute;left:1042;top:3439;width:1650;height:965" type="#_x0000_t202" id="docshape214" filled="false" stroked="false">
                  <v:textbox inset="0,0,0,0">
                    <w:txbxContent>
                      <w:p>
                        <w:pPr>
                          <w:spacing w:line="295" w:lineRule="auto" w:before="0"/>
                          <w:ind w:left="0" w:right="0" w:firstLine="0"/>
                          <w:jc w:val="left"/>
                          <w:rPr>
                            <w:sz w:val="18"/>
                          </w:rPr>
                        </w:pPr>
                        <w:r>
                          <w:rPr>
                            <w:sz w:val="18"/>
                          </w:rPr>
                          <w:t>December 31, 2022 Residential</w:t>
                        </w:r>
                        <w:r>
                          <w:rPr>
                            <w:spacing w:val="-12"/>
                            <w:sz w:val="18"/>
                          </w:rPr>
                          <w:t> </w:t>
                        </w:r>
                        <w:r>
                          <w:rPr>
                            <w:sz w:val="18"/>
                          </w:rPr>
                          <w:t>real</w:t>
                        </w:r>
                        <w:r>
                          <w:rPr>
                            <w:spacing w:val="-11"/>
                            <w:sz w:val="18"/>
                          </w:rPr>
                          <w:t> </w:t>
                        </w:r>
                        <w:r>
                          <w:rPr>
                            <w:sz w:val="18"/>
                          </w:rPr>
                          <w:t>estate:</w:t>
                        </w:r>
                      </w:p>
                      <w:p>
                        <w:pPr>
                          <w:spacing w:line="240" w:lineRule="auto" w:before="41"/>
                          <w:rPr>
                            <w:sz w:val="18"/>
                          </w:rPr>
                        </w:pPr>
                      </w:p>
                      <w:p>
                        <w:pPr>
                          <w:spacing w:before="0"/>
                          <w:ind w:left="135" w:right="0" w:firstLine="0"/>
                          <w:jc w:val="left"/>
                          <w:rPr>
                            <w:sz w:val="18"/>
                          </w:rPr>
                        </w:pPr>
                        <w:r>
                          <w:rPr>
                            <w:sz w:val="18"/>
                          </w:rPr>
                          <w:t>HELOCs</w:t>
                        </w:r>
                        <w:r>
                          <w:rPr>
                            <w:spacing w:val="-5"/>
                            <w:sz w:val="18"/>
                          </w:rPr>
                          <w:t> </w:t>
                        </w:r>
                        <w:r>
                          <w:rPr>
                            <w:spacing w:val="-2"/>
                            <w:sz w:val="18"/>
                            <w:vertAlign w:val="superscript"/>
                          </w:rPr>
                          <w:t>(1,2)</w:t>
                        </w:r>
                      </w:p>
                    </w:txbxContent>
                  </v:textbox>
                  <w10:wrap type="none"/>
                </v:shape>
                <v:shape style="position:absolute;left:4290;top:4204;width:290;height:200" type="#_x0000_t202" id="docshape215" filled="false" stroked="false">
                  <v:textbox inset="0,0,0,0">
                    <w:txbxContent>
                      <w:p>
                        <w:pPr>
                          <w:spacing w:line="199" w:lineRule="exact" w:before="0"/>
                          <w:ind w:left="0" w:right="0" w:firstLine="0"/>
                          <w:jc w:val="left"/>
                          <w:rPr>
                            <w:sz w:val="18"/>
                          </w:rPr>
                        </w:pPr>
                        <w:r>
                          <w:rPr>
                            <w:spacing w:val="-5"/>
                            <w:sz w:val="18"/>
                          </w:rPr>
                          <w:t>590</w:t>
                        </w:r>
                      </w:p>
                    </w:txbxContent>
                  </v:textbox>
                  <w10:wrap type="none"/>
                </v:shape>
                <v:shape style="position:absolute;left:5415;top:4204;width:110;height:200" type="#_x0000_t202" id="docshape216" filled="false" stroked="false">
                  <v:textbox inset="0,0,0,0">
                    <w:txbxContent>
                      <w:p>
                        <w:pPr>
                          <w:spacing w:line="199" w:lineRule="exact" w:before="0"/>
                          <w:ind w:left="0" w:right="0" w:firstLine="0"/>
                          <w:jc w:val="left"/>
                          <w:rPr>
                            <w:sz w:val="18"/>
                          </w:rPr>
                        </w:pPr>
                        <w:r>
                          <w:rPr>
                            <w:spacing w:val="-10"/>
                            <w:sz w:val="18"/>
                          </w:rPr>
                          <w:t>2</w:t>
                        </w:r>
                      </w:p>
                    </w:txbxContent>
                  </v:textbox>
                  <w10:wrap type="none"/>
                </v:shape>
                <v:shape style="position:absolute;left:6270;top:4204;width:200;height:200" type="#_x0000_t202" id="docshape217"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7305;top:4204;width:110;height:200" type="#_x0000_t202" id="docshape218" filled="false" stroked="false">
                  <v:textbox inset="0,0,0,0">
                    <w:txbxContent>
                      <w:p>
                        <w:pPr>
                          <w:spacing w:line="199" w:lineRule="exact" w:before="0"/>
                          <w:ind w:left="0" w:right="0" w:firstLine="0"/>
                          <w:jc w:val="left"/>
                          <w:rPr>
                            <w:sz w:val="18"/>
                          </w:rPr>
                        </w:pPr>
                        <w:r>
                          <w:rPr>
                            <w:spacing w:val="-10"/>
                            <w:sz w:val="18"/>
                          </w:rPr>
                          <w:t>5</w:t>
                        </w:r>
                      </w:p>
                    </w:txbxContent>
                  </v:textbox>
                  <w10:wrap type="none"/>
                </v:shape>
                <v:shape style="position:absolute;left:8250;top:4204;width:110;height:200" type="#_x0000_t202" id="docshape219" filled="false" stroked="false">
                  <v:textbox inset="0,0,0,0">
                    <w:txbxContent>
                      <w:p>
                        <w:pPr>
                          <w:spacing w:line="199" w:lineRule="exact" w:before="0"/>
                          <w:ind w:left="0" w:right="0" w:firstLine="0"/>
                          <w:jc w:val="left"/>
                          <w:rPr>
                            <w:sz w:val="18"/>
                          </w:rPr>
                        </w:pPr>
                        <w:r>
                          <w:rPr>
                            <w:spacing w:val="-10"/>
                            <w:sz w:val="18"/>
                          </w:rPr>
                          <w:t>7</w:t>
                        </w:r>
                      </w:p>
                    </w:txbxContent>
                  </v:textbox>
                  <w10:wrap type="none"/>
                </v:shape>
                <v:shape style="position:absolute;left:9015;top:4204;width:290;height:200" type="#_x0000_t202" id="docshape220" filled="false" stroked="false">
                  <v:textbox inset="0,0,0,0">
                    <w:txbxContent>
                      <w:p>
                        <w:pPr>
                          <w:spacing w:line="199" w:lineRule="exact" w:before="0"/>
                          <w:ind w:left="0" w:right="0" w:firstLine="0"/>
                          <w:jc w:val="left"/>
                          <w:rPr>
                            <w:sz w:val="18"/>
                          </w:rPr>
                        </w:pPr>
                        <w:r>
                          <w:rPr>
                            <w:spacing w:val="-5"/>
                            <w:sz w:val="18"/>
                          </w:rPr>
                          <w:t>597</w:t>
                        </w:r>
                      </w:p>
                    </w:txbxContent>
                  </v:textbox>
                  <w10:wrap type="none"/>
                </v:shape>
                <v:shape style="position:absolute;left:10140;top:4204;width:110;height:200" type="#_x0000_t202" id="docshape221" filled="false" stroked="false">
                  <v:textbox inset="0,0,0,0">
                    <w:txbxContent>
                      <w:p>
                        <w:pPr>
                          <w:spacing w:line="199" w:lineRule="exact" w:before="0"/>
                          <w:ind w:left="0" w:right="0" w:firstLine="0"/>
                          <w:jc w:val="left"/>
                          <w:rPr>
                            <w:sz w:val="18"/>
                          </w:rPr>
                        </w:pPr>
                        <w:r>
                          <w:rPr>
                            <w:spacing w:val="-10"/>
                            <w:sz w:val="18"/>
                          </w:rPr>
                          <w:t>4</w:t>
                        </w:r>
                      </w:p>
                    </w:txbxContent>
                  </v:textbox>
                  <w10:wrap type="none"/>
                </v:shape>
                <v:shape style="position:absolute;left:10905;top:4204;width:290;height:200" type="#_x0000_t202" id="docshape222" filled="false" stroked="false">
                  <v:textbox inset="0,0,0,0">
                    <w:txbxContent>
                      <w:p>
                        <w:pPr>
                          <w:spacing w:line="199" w:lineRule="exact" w:before="0"/>
                          <w:ind w:left="0" w:right="0" w:firstLine="0"/>
                          <w:jc w:val="left"/>
                          <w:rPr>
                            <w:sz w:val="18"/>
                          </w:rPr>
                        </w:pPr>
                        <w:r>
                          <w:rPr>
                            <w:spacing w:val="-5"/>
                            <w:sz w:val="18"/>
                          </w:rPr>
                          <w:t>593</w:t>
                        </w:r>
                      </w:p>
                    </w:txbxContent>
                  </v:textbox>
                  <w10:wrap type="none"/>
                </v:shape>
                <v:shape style="position:absolute;left:1042;top:4714;width:1380;height:200" type="#_x0000_t202" id="docshape223" filled="false" stroked="false">
                  <v:textbox inset="0,0,0,0">
                    <w:txbxContent>
                      <w:p>
                        <w:pPr>
                          <w:spacing w:line="199" w:lineRule="exact" w:before="0"/>
                          <w:ind w:left="0" w:right="0" w:firstLine="0"/>
                          <w:jc w:val="left"/>
                          <w:rPr>
                            <w:sz w:val="18"/>
                          </w:rPr>
                        </w:pPr>
                        <w:r>
                          <w:rPr>
                            <w:sz w:val="18"/>
                          </w:rPr>
                          <w:t>Pledged</w:t>
                        </w:r>
                        <w:r>
                          <w:rPr>
                            <w:spacing w:val="-2"/>
                            <w:sz w:val="18"/>
                          </w:rPr>
                          <w:t> </w:t>
                        </w:r>
                        <w:r>
                          <w:rPr>
                            <w:sz w:val="18"/>
                          </w:rPr>
                          <w:t>asset</w:t>
                        </w:r>
                        <w:r>
                          <w:rPr>
                            <w:spacing w:val="-1"/>
                            <w:sz w:val="18"/>
                          </w:rPr>
                          <w:t> </w:t>
                        </w:r>
                        <w:r>
                          <w:rPr>
                            <w:spacing w:val="-2"/>
                            <w:sz w:val="18"/>
                          </w:rPr>
                          <w:t>lines</w:t>
                        </w:r>
                      </w:p>
                    </w:txbxContent>
                  </v:textbox>
                  <w10:wrap type="none"/>
                </v:shape>
                <v:shape style="position:absolute;left:4065;top:4714;width:515;height:200" type="#_x0000_t202" id="docshape224" filled="false" stroked="false">
                  <v:textbox inset="0,0,0,0">
                    <w:txbxContent>
                      <w:p>
                        <w:pPr>
                          <w:spacing w:line="199" w:lineRule="exact" w:before="0"/>
                          <w:ind w:left="0" w:right="0" w:firstLine="0"/>
                          <w:jc w:val="left"/>
                          <w:rPr>
                            <w:sz w:val="18"/>
                          </w:rPr>
                        </w:pPr>
                        <w:r>
                          <w:rPr>
                            <w:spacing w:val="-2"/>
                            <w:sz w:val="18"/>
                          </w:rPr>
                          <w:t>14,584</w:t>
                        </w:r>
                      </w:p>
                    </w:txbxContent>
                  </v:textbox>
                  <w10:wrap type="none"/>
                </v:shape>
                <v:shape style="position:absolute;left:5415;top:4714;width:110;height:200" type="#_x0000_t202" id="docshape225" filled="false" stroked="false">
                  <v:textbox inset="0,0,0,0">
                    <w:txbxContent>
                      <w:p>
                        <w:pPr>
                          <w:spacing w:line="199" w:lineRule="exact" w:before="0"/>
                          <w:ind w:left="0" w:right="0" w:firstLine="0"/>
                          <w:jc w:val="left"/>
                          <w:rPr>
                            <w:sz w:val="18"/>
                          </w:rPr>
                        </w:pPr>
                        <w:r>
                          <w:rPr>
                            <w:spacing w:val="-10"/>
                            <w:sz w:val="18"/>
                          </w:rPr>
                          <w:t>4</w:t>
                        </w:r>
                      </w:p>
                    </w:txbxContent>
                  </v:textbox>
                  <w10:wrap type="none"/>
                </v:shape>
                <v:shape style="position:absolute;left:6270;top:4714;width:200;height:200" type="#_x0000_t202" id="docshape226"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7305;top:4714;width:110;height:200" type="#_x0000_t202" id="docshape227" filled="false" stroked="false">
                  <v:textbox inset="0,0,0,0">
                    <w:txbxContent>
                      <w:p>
                        <w:pPr>
                          <w:spacing w:line="199" w:lineRule="exact" w:before="0"/>
                          <w:ind w:left="0" w:right="0" w:firstLine="0"/>
                          <w:jc w:val="left"/>
                          <w:rPr>
                            <w:sz w:val="18"/>
                          </w:rPr>
                        </w:pPr>
                        <w:r>
                          <w:rPr>
                            <w:spacing w:val="-10"/>
                            <w:sz w:val="18"/>
                          </w:rPr>
                          <w:t>4</w:t>
                        </w:r>
                      </w:p>
                    </w:txbxContent>
                  </v:textbox>
                  <w10:wrap type="none"/>
                </v:shape>
                <v:shape style="position:absolute;left:8250;top:4714;width:110;height:200" type="#_x0000_t202" id="docshape228" filled="false" stroked="false">
                  <v:textbox inset="0,0,0,0">
                    <w:txbxContent>
                      <w:p>
                        <w:pPr>
                          <w:spacing w:line="199" w:lineRule="exact" w:before="0"/>
                          <w:ind w:left="0" w:right="0" w:firstLine="0"/>
                          <w:jc w:val="left"/>
                          <w:rPr>
                            <w:sz w:val="18"/>
                          </w:rPr>
                        </w:pPr>
                        <w:r>
                          <w:rPr>
                            <w:spacing w:val="-10"/>
                            <w:sz w:val="18"/>
                          </w:rPr>
                          <w:t>8</w:t>
                        </w:r>
                      </w:p>
                    </w:txbxContent>
                  </v:textbox>
                  <w10:wrap type="none"/>
                </v:shape>
                <v:shape style="position:absolute;left:8790;top:4714;width:515;height:200" type="#_x0000_t202" id="docshape229" filled="false" stroked="false">
                  <v:textbox inset="0,0,0,0">
                    <w:txbxContent>
                      <w:p>
                        <w:pPr>
                          <w:spacing w:line="199" w:lineRule="exact" w:before="0"/>
                          <w:ind w:left="0" w:right="0" w:firstLine="0"/>
                          <w:jc w:val="left"/>
                          <w:rPr>
                            <w:sz w:val="18"/>
                          </w:rPr>
                        </w:pPr>
                        <w:r>
                          <w:rPr>
                            <w:spacing w:val="-2"/>
                            <w:sz w:val="18"/>
                          </w:rPr>
                          <w:t>14,592</w:t>
                        </w:r>
                      </w:p>
                    </w:txbxContent>
                  </v:textbox>
                  <w10:wrap type="none"/>
                </v:shape>
                <v:shape style="position:absolute;left:10050;top:4714;width:200;height:200" type="#_x0000_t202" id="docshape230"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10680;top:4714;width:515;height:200" type="#_x0000_t202" id="docshape231" filled="false" stroked="false">
                  <v:textbox inset="0,0,0,0">
                    <w:txbxContent>
                      <w:p>
                        <w:pPr>
                          <w:spacing w:line="199" w:lineRule="exact" w:before="0"/>
                          <w:ind w:left="0" w:right="0" w:firstLine="0"/>
                          <w:jc w:val="left"/>
                          <w:rPr>
                            <w:sz w:val="18"/>
                          </w:rPr>
                        </w:pPr>
                        <w:r>
                          <w:rPr>
                            <w:spacing w:val="-2"/>
                            <w:sz w:val="18"/>
                          </w:rPr>
                          <w:t>14,592</w:t>
                        </w:r>
                      </w:p>
                    </w:txbxContent>
                  </v:textbox>
                  <w10:wrap type="none"/>
                </v:shape>
                <v:shape style="position:absolute;left:990;top:4943;width:10260;height:250" type="#_x0000_t202" id="docshape232" filled="false" stroked="false">
                  <v:textbox inset="0,0,0,0">
                    <w:txbxContent>
                      <w:p>
                        <w:pPr>
                          <w:tabs>
                            <w:tab w:pos="3300" w:val="left" w:leader="none"/>
                            <w:tab w:pos="4335" w:val="left" w:leader="none"/>
                            <w:tab w:pos="5280" w:val="left" w:leader="none"/>
                            <w:tab w:pos="6225" w:val="left" w:leader="none"/>
                            <w:tab w:pos="7170" w:val="left" w:leader="none"/>
                            <w:tab w:pos="8025" w:val="left" w:leader="none"/>
                            <w:tab w:pos="9150" w:val="left" w:leader="none"/>
                            <w:tab w:pos="10185" w:val="right" w:leader="none"/>
                          </w:tabs>
                          <w:spacing w:before="18"/>
                          <w:ind w:left="52" w:right="0" w:firstLine="0"/>
                          <w:jc w:val="left"/>
                          <w:rPr>
                            <w:sz w:val="18"/>
                          </w:rPr>
                        </w:pPr>
                        <w:r>
                          <w:rPr>
                            <w:spacing w:val="-2"/>
                            <w:sz w:val="18"/>
                          </w:rPr>
                          <w:t>Other</w:t>
                        </w:r>
                        <w:r>
                          <w:rPr>
                            <w:sz w:val="18"/>
                          </w:rPr>
                          <w:tab/>
                        </w:r>
                        <w:r>
                          <w:rPr>
                            <w:spacing w:val="-5"/>
                            <w:sz w:val="18"/>
                          </w:rPr>
                          <w:t>191</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5"/>
                            <w:sz w:val="18"/>
                          </w:rPr>
                          <w:t>191</w:t>
                        </w:r>
                        <w:r>
                          <w:rPr>
                            <w:sz w:val="18"/>
                          </w:rPr>
                          <w:tab/>
                        </w:r>
                        <w:r>
                          <w:rPr>
                            <w:spacing w:val="-10"/>
                            <w:sz w:val="18"/>
                          </w:rPr>
                          <w:t>3</w:t>
                        </w:r>
                        <w:r>
                          <w:rPr>
                            <w:sz w:val="18"/>
                          </w:rPr>
                          <w:tab/>
                        </w:r>
                        <w:r>
                          <w:rPr>
                            <w:spacing w:val="-5"/>
                            <w:sz w:val="18"/>
                          </w:rPr>
                          <w:t>188</w:t>
                        </w:r>
                      </w:p>
                    </w:txbxContent>
                  </v:textbox>
                  <w10:wrap type="none"/>
                </v:shape>
                <v:shape style="position:absolute;left:990;top:4438;width:10260;height:250" type="#_x0000_t202" id="docshape233" filled="false" stroked="false">
                  <v:textbox inset="0,0,0,0">
                    <w:txbxContent>
                      <w:p>
                        <w:pPr>
                          <w:tabs>
                            <w:tab w:pos="3075" w:val="left" w:leader="none"/>
                            <w:tab w:pos="4335" w:val="left" w:leader="none"/>
                            <w:tab w:pos="5370" w:val="left" w:leader="none"/>
                            <w:tab w:pos="6225" w:val="left" w:leader="none"/>
                            <w:tab w:pos="7170" w:val="left" w:leader="none"/>
                            <w:tab w:pos="7800" w:val="left" w:leader="none"/>
                            <w:tab w:pos="9060" w:val="left" w:leader="none"/>
                            <w:tab w:pos="9690" w:val="left" w:leader="none"/>
                          </w:tabs>
                          <w:spacing w:before="13"/>
                          <w:ind w:left="277" w:right="0" w:firstLine="0"/>
                          <w:jc w:val="left"/>
                          <w:rPr>
                            <w:sz w:val="18"/>
                          </w:rPr>
                        </w:pPr>
                        <w:r>
                          <w:rPr>
                            <w:sz w:val="18"/>
                          </w:rPr>
                          <w:t>Total</w:t>
                        </w:r>
                        <w:r>
                          <w:rPr>
                            <w:spacing w:val="-1"/>
                            <w:sz w:val="18"/>
                          </w:rPr>
                          <w:t> </w:t>
                        </w:r>
                        <w:r>
                          <w:rPr>
                            <w:sz w:val="18"/>
                          </w:rPr>
                          <w:t>residential real </w:t>
                        </w:r>
                        <w:r>
                          <w:rPr>
                            <w:spacing w:val="-2"/>
                            <w:sz w:val="18"/>
                          </w:rPr>
                          <w:t>estate</w:t>
                        </w:r>
                        <w:r>
                          <w:rPr>
                            <w:sz w:val="18"/>
                          </w:rPr>
                          <w:tab/>
                        </w:r>
                        <w:r>
                          <w:rPr>
                            <w:spacing w:val="-2"/>
                            <w:sz w:val="18"/>
                          </w:rPr>
                          <w:t>25,747</w:t>
                        </w:r>
                        <w:r>
                          <w:rPr>
                            <w:sz w:val="18"/>
                          </w:rPr>
                          <w:tab/>
                        </w:r>
                        <w:r>
                          <w:rPr>
                            <w:spacing w:val="-5"/>
                            <w:sz w:val="18"/>
                          </w:rPr>
                          <w:t>27</w:t>
                        </w:r>
                        <w:r>
                          <w:rPr>
                            <w:sz w:val="18"/>
                          </w:rPr>
                          <w:tab/>
                        </w:r>
                        <w:r>
                          <w:rPr>
                            <w:spacing w:val="-10"/>
                            <w:sz w:val="18"/>
                          </w:rPr>
                          <w:t>2</w:t>
                        </w:r>
                        <w:r>
                          <w:rPr>
                            <w:sz w:val="18"/>
                          </w:rPr>
                          <w:tab/>
                        </w:r>
                        <w:r>
                          <w:rPr>
                            <w:spacing w:val="-5"/>
                            <w:sz w:val="18"/>
                          </w:rPr>
                          <w:t>19</w:t>
                        </w:r>
                        <w:r>
                          <w:rPr>
                            <w:sz w:val="18"/>
                          </w:rPr>
                          <w:tab/>
                        </w:r>
                        <w:r>
                          <w:rPr>
                            <w:spacing w:val="-5"/>
                            <w:sz w:val="18"/>
                          </w:rPr>
                          <w:t>48</w:t>
                        </w:r>
                        <w:r>
                          <w:rPr>
                            <w:sz w:val="18"/>
                          </w:rPr>
                          <w:tab/>
                        </w:r>
                        <w:r>
                          <w:rPr>
                            <w:spacing w:val="-2"/>
                            <w:sz w:val="18"/>
                          </w:rPr>
                          <w:t>25,795</w:t>
                        </w:r>
                        <w:r>
                          <w:rPr>
                            <w:sz w:val="18"/>
                          </w:rPr>
                          <w:tab/>
                        </w:r>
                        <w:r>
                          <w:rPr>
                            <w:spacing w:val="-5"/>
                            <w:sz w:val="18"/>
                          </w:rPr>
                          <w:t>70</w:t>
                        </w:r>
                        <w:r>
                          <w:rPr>
                            <w:sz w:val="18"/>
                          </w:rPr>
                          <w:tab/>
                        </w:r>
                        <w:r>
                          <w:rPr>
                            <w:spacing w:val="-2"/>
                            <w:sz w:val="18"/>
                          </w:rPr>
                          <w:t>25,725</w:t>
                        </w:r>
                      </w:p>
                    </w:txbxContent>
                  </v:textbox>
                  <w10:wrap type="none"/>
                </v:shape>
                <v:shape style="position:absolute;left:990;top:3923;width:10260;height:255" type="#_x0000_t202" id="docshape234" filled="true" fillcolor="#ccedff" stroked="false">
                  <v:textbox inset="0,0,0,0">
                    <w:txbxContent>
                      <w:p>
                        <w:pPr>
                          <w:tabs>
                            <w:tab w:pos="2752" w:val="left" w:leader="none"/>
                            <w:tab w:pos="3075" w:val="left" w:leader="none"/>
                            <w:tab w:pos="4335" w:val="left" w:leader="none"/>
                            <w:tab w:pos="5370" w:val="left" w:leader="none"/>
                            <w:tab w:pos="6225" w:val="left" w:leader="none"/>
                            <w:tab w:pos="7170" w:val="left" w:leader="none"/>
                            <w:tab w:pos="7800" w:val="left" w:leader="none"/>
                            <w:tab w:pos="9060" w:val="left" w:leader="none"/>
                            <w:tab w:pos="9690" w:val="left" w:leader="none"/>
                          </w:tabs>
                          <w:spacing w:before="18"/>
                          <w:ind w:left="187" w:right="0" w:firstLine="0"/>
                          <w:jc w:val="left"/>
                          <w:rPr>
                            <w:color w:val="000000"/>
                            <w:sz w:val="18"/>
                          </w:rPr>
                        </w:pPr>
                        <w:r>
                          <w:rPr>
                            <w:color w:val="000000"/>
                            <w:sz w:val="18"/>
                          </w:rPr>
                          <w:t>First</w:t>
                        </w:r>
                        <w:r>
                          <w:rPr>
                            <w:color w:val="000000"/>
                            <w:spacing w:val="-2"/>
                            <w:sz w:val="18"/>
                          </w:rPr>
                          <w:t> </w:t>
                        </w:r>
                        <w:r>
                          <w:rPr>
                            <w:color w:val="000000"/>
                            <w:sz w:val="18"/>
                          </w:rPr>
                          <w:t>Mortgages</w:t>
                        </w:r>
                        <w:r>
                          <w:rPr>
                            <w:color w:val="000000"/>
                            <w:spacing w:val="-2"/>
                            <w:sz w:val="18"/>
                          </w:rPr>
                          <w:t> </w:t>
                        </w:r>
                        <w:r>
                          <w:rPr>
                            <w:color w:val="000000"/>
                            <w:spacing w:val="-2"/>
                            <w:sz w:val="18"/>
                            <w:vertAlign w:val="superscript"/>
                          </w:rPr>
                          <w:t>(1,2)</w:t>
                        </w:r>
                        <w:r>
                          <w:rPr>
                            <w:color w:val="000000"/>
                            <w:sz w:val="18"/>
                            <w:vertAlign w:val="baseline"/>
                          </w:rPr>
                          <w:tab/>
                        </w:r>
                        <w:r>
                          <w:rPr>
                            <w:color w:val="000000"/>
                            <w:spacing w:val="-10"/>
                            <w:sz w:val="18"/>
                            <w:vertAlign w:val="baseline"/>
                          </w:rPr>
                          <w:t>$</w:t>
                        </w:r>
                        <w:r>
                          <w:rPr>
                            <w:color w:val="000000"/>
                            <w:sz w:val="18"/>
                            <w:vertAlign w:val="baseline"/>
                          </w:rPr>
                          <w:tab/>
                          <w:t>25,157</w:t>
                        </w:r>
                        <w:r>
                          <w:rPr>
                            <w:color w:val="000000"/>
                            <w:spacing w:val="59"/>
                            <w:w w:val="150"/>
                            <w:sz w:val="18"/>
                            <w:vertAlign w:val="baseline"/>
                          </w:rPr>
                          <w:t> </w:t>
                        </w:r>
                        <w:r>
                          <w:rPr>
                            <w:color w:val="000000"/>
                            <w:spacing w:val="-10"/>
                            <w:sz w:val="18"/>
                            <w:vertAlign w:val="baseline"/>
                          </w:rPr>
                          <w:t>$</w:t>
                        </w:r>
                        <w:r>
                          <w:rPr>
                            <w:color w:val="000000"/>
                            <w:sz w:val="18"/>
                            <w:vertAlign w:val="baseline"/>
                          </w:rPr>
                          <w:tab/>
                          <w:t>25</w:t>
                        </w:r>
                        <w:r>
                          <w:rPr>
                            <w:color w:val="000000"/>
                            <w:spacing w:val="59"/>
                            <w:w w:val="150"/>
                            <w:sz w:val="18"/>
                            <w:vertAlign w:val="baseline"/>
                          </w:rPr>
                          <w:t> </w:t>
                        </w:r>
                        <w:r>
                          <w:rPr>
                            <w:color w:val="000000"/>
                            <w:spacing w:val="-10"/>
                            <w:sz w:val="18"/>
                            <w:vertAlign w:val="baseline"/>
                          </w:rPr>
                          <w:t>$</w:t>
                        </w:r>
                        <w:r>
                          <w:rPr>
                            <w:color w:val="000000"/>
                            <w:sz w:val="18"/>
                            <w:vertAlign w:val="baseline"/>
                          </w:rPr>
                          <w:tab/>
                          <w:t>2</w:t>
                        </w:r>
                        <w:r>
                          <w:rPr>
                            <w:color w:val="000000"/>
                            <w:spacing w:val="59"/>
                            <w:w w:val="150"/>
                            <w:sz w:val="18"/>
                            <w:vertAlign w:val="baseline"/>
                          </w:rPr>
                          <w:t> </w:t>
                        </w:r>
                        <w:r>
                          <w:rPr>
                            <w:color w:val="000000"/>
                            <w:spacing w:val="-10"/>
                            <w:sz w:val="18"/>
                            <w:vertAlign w:val="baseline"/>
                          </w:rPr>
                          <w:t>$</w:t>
                        </w:r>
                        <w:r>
                          <w:rPr>
                            <w:color w:val="000000"/>
                            <w:sz w:val="18"/>
                            <w:vertAlign w:val="baseline"/>
                          </w:rPr>
                          <w:tab/>
                          <w:t>14</w:t>
                        </w:r>
                        <w:r>
                          <w:rPr>
                            <w:color w:val="000000"/>
                            <w:spacing w:val="59"/>
                            <w:w w:val="150"/>
                            <w:sz w:val="18"/>
                            <w:vertAlign w:val="baseline"/>
                          </w:rPr>
                          <w:t> </w:t>
                        </w:r>
                        <w:r>
                          <w:rPr>
                            <w:color w:val="000000"/>
                            <w:spacing w:val="-10"/>
                            <w:sz w:val="18"/>
                            <w:vertAlign w:val="baseline"/>
                          </w:rPr>
                          <w:t>$</w:t>
                        </w:r>
                        <w:r>
                          <w:rPr>
                            <w:color w:val="000000"/>
                            <w:sz w:val="18"/>
                            <w:vertAlign w:val="baseline"/>
                          </w:rPr>
                          <w:tab/>
                          <w:t>41</w:t>
                        </w:r>
                        <w:r>
                          <w:rPr>
                            <w:color w:val="000000"/>
                            <w:spacing w:val="59"/>
                            <w:w w:val="150"/>
                            <w:sz w:val="18"/>
                            <w:vertAlign w:val="baseline"/>
                          </w:rPr>
                          <w:t> </w:t>
                        </w:r>
                        <w:r>
                          <w:rPr>
                            <w:color w:val="000000"/>
                            <w:spacing w:val="-10"/>
                            <w:sz w:val="18"/>
                            <w:vertAlign w:val="baseline"/>
                          </w:rPr>
                          <w:t>$</w:t>
                        </w:r>
                        <w:r>
                          <w:rPr>
                            <w:color w:val="000000"/>
                            <w:sz w:val="18"/>
                            <w:vertAlign w:val="baseline"/>
                          </w:rPr>
                          <w:tab/>
                          <w:t>25,198</w:t>
                        </w:r>
                        <w:r>
                          <w:rPr>
                            <w:color w:val="000000"/>
                            <w:spacing w:val="59"/>
                            <w:w w:val="150"/>
                            <w:sz w:val="18"/>
                            <w:vertAlign w:val="baseline"/>
                          </w:rPr>
                          <w:t> </w:t>
                        </w:r>
                        <w:r>
                          <w:rPr>
                            <w:color w:val="000000"/>
                            <w:spacing w:val="-10"/>
                            <w:sz w:val="18"/>
                            <w:vertAlign w:val="baseline"/>
                          </w:rPr>
                          <w:t>$</w:t>
                        </w:r>
                        <w:r>
                          <w:rPr>
                            <w:color w:val="000000"/>
                            <w:sz w:val="18"/>
                            <w:vertAlign w:val="baseline"/>
                          </w:rPr>
                          <w:tab/>
                          <w:t>66</w:t>
                        </w:r>
                        <w:r>
                          <w:rPr>
                            <w:color w:val="000000"/>
                            <w:spacing w:val="59"/>
                            <w:w w:val="150"/>
                            <w:sz w:val="18"/>
                            <w:vertAlign w:val="baseline"/>
                          </w:rPr>
                          <w:t> </w:t>
                        </w:r>
                        <w:r>
                          <w:rPr>
                            <w:color w:val="000000"/>
                            <w:spacing w:val="-10"/>
                            <w:sz w:val="18"/>
                            <w:vertAlign w:val="baseline"/>
                          </w:rPr>
                          <w:t>$</w:t>
                        </w:r>
                        <w:r>
                          <w:rPr>
                            <w:color w:val="000000"/>
                            <w:sz w:val="18"/>
                            <w:vertAlign w:val="baseline"/>
                          </w:rPr>
                          <w:tab/>
                        </w:r>
                        <w:r>
                          <w:rPr>
                            <w:color w:val="000000"/>
                            <w:spacing w:val="-2"/>
                            <w:sz w:val="18"/>
                            <w:vertAlign w:val="baseline"/>
                          </w:rPr>
                          <w:t>25,132</w:t>
                        </w:r>
                      </w:p>
                    </w:txbxContent>
                  </v:textbox>
                  <v:fill type="solid"/>
                  <w10:wrap type="none"/>
                </v:shape>
                <v:shape style="position:absolute;left:990;top:2588;width:10260;height:250" type="#_x0000_t202" id="docshape235" filled="false" stroked="false">
                  <v:textbox inset="0,0,0,0">
                    <w:txbxContent>
                      <w:p>
                        <w:pPr>
                          <w:tabs>
                            <w:tab w:pos="3300" w:val="left" w:leader="none"/>
                            <w:tab w:pos="4335" w:val="left" w:leader="none"/>
                            <w:tab w:pos="5280" w:val="left" w:leader="none"/>
                            <w:tab w:pos="6225" w:val="left" w:leader="none"/>
                            <w:tab w:pos="7170" w:val="left" w:leader="none"/>
                            <w:tab w:pos="8025" w:val="left" w:leader="none"/>
                            <w:tab w:pos="9150" w:val="left" w:leader="none"/>
                            <w:tab w:pos="10185" w:val="right" w:leader="none"/>
                          </w:tabs>
                          <w:spacing w:before="18"/>
                          <w:ind w:left="52" w:right="0" w:firstLine="0"/>
                          <w:jc w:val="left"/>
                          <w:rPr>
                            <w:sz w:val="18"/>
                          </w:rPr>
                        </w:pPr>
                        <w:r>
                          <w:rPr>
                            <w:spacing w:val="-2"/>
                            <w:sz w:val="18"/>
                          </w:rPr>
                          <w:t>Other</w:t>
                        </w:r>
                        <w:r>
                          <w:rPr>
                            <w:sz w:val="18"/>
                          </w:rPr>
                          <w:tab/>
                        </w:r>
                        <w:r>
                          <w:rPr>
                            <w:spacing w:val="-5"/>
                            <w:sz w:val="18"/>
                          </w:rPr>
                          <w:t>294</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5"/>
                            <w:sz w:val="18"/>
                          </w:rPr>
                          <w:t>294</w:t>
                        </w:r>
                        <w:r>
                          <w:rPr>
                            <w:sz w:val="18"/>
                          </w:rPr>
                          <w:tab/>
                        </w:r>
                        <w:r>
                          <w:rPr>
                            <w:spacing w:val="-10"/>
                            <w:sz w:val="18"/>
                          </w:rPr>
                          <w:t>5</w:t>
                        </w:r>
                        <w:r>
                          <w:rPr>
                            <w:sz w:val="18"/>
                          </w:rPr>
                          <w:tab/>
                        </w:r>
                        <w:r>
                          <w:rPr>
                            <w:spacing w:val="-5"/>
                            <w:sz w:val="18"/>
                          </w:rPr>
                          <w:t>289</w:t>
                        </w:r>
                      </w:p>
                    </w:txbxContent>
                  </v:textbox>
                  <w10:wrap type="none"/>
                </v:shape>
                <v:shape style="position:absolute;left:990;top:2083;width:10260;height:250" type="#_x0000_t202" id="docshape236" filled="false" stroked="false">
                  <v:textbox inset="0,0,0,0">
                    <w:txbxContent>
                      <w:p>
                        <w:pPr>
                          <w:tabs>
                            <w:tab w:pos="3075" w:val="left" w:leader="none"/>
                            <w:tab w:pos="4335" w:val="left" w:leader="none"/>
                            <w:tab w:pos="5370" w:val="left" w:leader="none"/>
                            <w:tab w:pos="6225" w:val="left" w:leader="none"/>
                            <w:tab w:pos="7170" w:val="left" w:leader="none"/>
                            <w:tab w:pos="7800" w:val="left" w:leader="none"/>
                            <w:tab w:pos="9060" w:val="left" w:leader="none"/>
                            <w:tab w:pos="9690" w:val="left" w:leader="none"/>
                          </w:tabs>
                          <w:spacing w:before="13"/>
                          <w:ind w:left="277" w:right="0" w:firstLine="0"/>
                          <w:jc w:val="left"/>
                          <w:rPr>
                            <w:sz w:val="18"/>
                          </w:rPr>
                        </w:pPr>
                        <w:r>
                          <w:rPr>
                            <w:sz w:val="18"/>
                          </w:rPr>
                          <w:t>Total</w:t>
                        </w:r>
                        <w:r>
                          <w:rPr>
                            <w:spacing w:val="-1"/>
                            <w:sz w:val="18"/>
                          </w:rPr>
                          <w:t> </w:t>
                        </w:r>
                        <w:r>
                          <w:rPr>
                            <w:sz w:val="18"/>
                          </w:rPr>
                          <w:t>residential real </w:t>
                        </w:r>
                        <w:r>
                          <w:rPr>
                            <w:spacing w:val="-2"/>
                            <w:sz w:val="18"/>
                          </w:rPr>
                          <w:t>estate</w:t>
                        </w:r>
                        <w:r>
                          <w:rPr>
                            <w:sz w:val="18"/>
                          </w:rPr>
                          <w:tab/>
                        </w:r>
                        <w:r>
                          <w:rPr>
                            <w:spacing w:val="-2"/>
                            <w:sz w:val="18"/>
                          </w:rPr>
                          <w:t>26,509</w:t>
                        </w:r>
                        <w:r>
                          <w:rPr>
                            <w:sz w:val="18"/>
                          </w:rPr>
                          <w:tab/>
                        </w:r>
                        <w:r>
                          <w:rPr>
                            <w:spacing w:val="-5"/>
                            <w:sz w:val="18"/>
                          </w:rPr>
                          <w:t>26</w:t>
                        </w:r>
                        <w:r>
                          <w:rPr>
                            <w:sz w:val="18"/>
                          </w:rPr>
                          <w:tab/>
                        </w:r>
                        <w:r>
                          <w:rPr>
                            <w:spacing w:val="-10"/>
                            <w:sz w:val="18"/>
                          </w:rPr>
                          <w:t>1</w:t>
                        </w:r>
                        <w:r>
                          <w:rPr>
                            <w:sz w:val="18"/>
                          </w:rPr>
                          <w:tab/>
                        </w:r>
                        <w:r>
                          <w:rPr>
                            <w:spacing w:val="-5"/>
                            <w:sz w:val="18"/>
                          </w:rPr>
                          <w:t>13</w:t>
                        </w:r>
                        <w:r>
                          <w:rPr>
                            <w:sz w:val="18"/>
                          </w:rPr>
                          <w:tab/>
                        </w:r>
                        <w:r>
                          <w:rPr>
                            <w:spacing w:val="-5"/>
                            <w:sz w:val="18"/>
                          </w:rPr>
                          <w:t>40</w:t>
                        </w:r>
                        <w:r>
                          <w:rPr>
                            <w:sz w:val="18"/>
                          </w:rPr>
                          <w:tab/>
                        </w:r>
                        <w:r>
                          <w:rPr>
                            <w:spacing w:val="-2"/>
                            <w:sz w:val="18"/>
                          </w:rPr>
                          <w:t>26,549</w:t>
                        </w:r>
                        <w:r>
                          <w:rPr>
                            <w:sz w:val="18"/>
                          </w:rPr>
                          <w:tab/>
                        </w:r>
                        <w:r>
                          <w:rPr>
                            <w:spacing w:val="-5"/>
                            <w:sz w:val="18"/>
                          </w:rPr>
                          <w:t>49</w:t>
                        </w:r>
                        <w:r>
                          <w:rPr>
                            <w:sz w:val="18"/>
                          </w:rPr>
                          <w:tab/>
                        </w:r>
                        <w:r>
                          <w:rPr>
                            <w:spacing w:val="-2"/>
                            <w:sz w:val="18"/>
                          </w:rPr>
                          <w:t>26,500</w:t>
                        </w:r>
                      </w:p>
                    </w:txbxContent>
                  </v:textbox>
                  <w10:wrap type="none"/>
                </v:shape>
                <v:shape style="position:absolute;left:990;top:1568;width:10260;height:255" type="#_x0000_t202" id="docshape237" filled="true" fillcolor="#ccedff" stroked="false">
                  <v:textbox inset="0,0,0,0">
                    <w:txbxContent>
                      <w:p>
                        <w:pPr>
                          <w:tabs>
                            <w:tab w:pos="2752" w:val="left" w:leader="none"/>
                            <w:tab w:pos="3075" w:val="left" w:leader="none"/>
                            <w:tab w:pos="4335" w:val="left" w:leader="none"/>
                            <w:tab w:pos="5370" w:val="left" w:leader="none"/>
                            <w:tab w:pos="6315" w:val="left" w:leader="none"/>
                            <w:tab w:pos="7170" w:val="left" w:leader="none"/>
                            <w:tab w:pos="7800" w:val="left" w:leader="none"/>
                            <w:tab w:pos="9060" w:val="left" w:leader="none"/>
                            <w:tab w:pos="9690" w:val="left" w:leader="none"/>
                          </w:tabs>
                          <w:spacing w:before="18"/>
                          <w:ind w:left="187" w:right="0" w:firstLine="0"/>
                          <w:jc w:val="left"/>
                          <w:rPr>
                            <w:color w:val="000000"/>
                            <w:sz w:val="18"/>
                          </w:rPr>
                        </w:pPr>
                        <w:r>
                          <w:rPr>
                            <w:color w:val="000000"/>
                            <w:sz w:val="18"/>
                          </w:rPr>
                          <w:t>First</w:t>
                        </w:r>
                        <w:r>
                          <w:rPr>
                            <w:color w:val="000000"/>
                            <w:spacing w:val="-2"/>
                            <w:sz w:val="18"/>
                          </w:rPr>
                          <w:t> </w:t>
                        </w:r>
                        <w:r>
                          <w:rPr>
                            <w:color w:val="000000"/>
                            <w:sz w:val="18"/>
                          </w:rPr>
                          <w:t>Mortgages</w:t>
                        </w:r>
                        <w:r>
                          <w:rPr>
                            <w:color w:val="000000"/>
                            <w:spacing w:val="-2"/>
                            <w:sz w:val="18"/>
                          </w:rPr>
                          <w:t> </w:t>
                        </w:r>
                        <w:r>
                          <w:rPr>
                            <w:color w:val="000000"/>
                            <w:spacing w:val="-2"/>
                            <w:sz w:val="18"/>
                            <w:vertAlign w:val="superscript"/>
                          </w:rPr>
                          <w:t>(1,2)</w:t>
                        </w:r>
                        <w:r>
                          <w:rPr>
                            <w:color w:val="000000"/>
                            <w:sz w:val="18"/>
                            <w:vertAlign w:val="baseline"/>
                          </w:rPr>
                          <w:tab/>
                        </w:r>
                        <w:r>
                          <w:rPr>
                            <w:color w:val="000000"/>
                            <w:spacing w:val="-10"/>
                            <w:sz w:val="18"/>
                            <w:vertAlign w:val="baseline"/>
                          </w:rPr>
                          <w:t>$</w:t>
                        </w:r>
                        <w:r>
                          <w:rPr>
                            <w:color w:val="000000"/>
                            <w:sz w:val="18"/>
                            <w:vertAlign w:val="baseline"/>
                          </w:rPr>
                          <w:tab/>
                          <w:t>26,022</w:t>
                        </w:r>
                        <w:r>
                          <w:rPr>
                            <w:color w:val="000000"/>
                            <w:spacing w:val="59"/>
                            <w:w w:val="150"/>
                            <w:sz w:val="18"/>
                            <w:vertAlign w:val="baseline"/>
                          </w:rPr>
                          <w:t> </w:t>
                        </w:r>
                        <w:r>
                          <w:rPr>
                            <w:color w:val="000000"/>
                            <w:spacing w:val="-10"/>
                            <w:sz w:val="18"/>
                            <w:vertAlign w:val="baseline"/>
                          </w:rPr>
                          <w:t>$</w:t>
                        </w:r>
                        <w:r>
                          <w:rPr>
                            <w:color w:val="000000"/>
                            <w:sz w:val="18"/>
                            <w:vertAlign w:val="baseline"/>
                          </w:rPr>
                          <w:tab/>
                          <w:t>25</w:t>
                        </w:r>
                        <w:r>
                          <w:rPr>
                            <w:color w:val="000000"/>
                            <w:spacing w:val="59"/>
                            <w:w w:val="150"/>
                            <w:sz w:val="18"/>
                            <w:vertAlign w:val="baseline"/>
                          </w:rPr>
                          <w:t> </w:t>
                        </w:r>
                        <w:r>
                          <w:rPr>
                            <w:color w:val="000000"/>
                            <w:spacing w:val="-10"/>
                            <w:sz w:val="18"/>
                            <w:vertAlign w:val="baseline"/>
                          </w:rPr>
                          <w:t>$</w:t>
                        </w:r>
                        <w:r>
                          <w:rPr>
                            <w:color w:val="000000"/>
                            <w:sz w:val="18"/>
                            <w:vertAlign w:val="baseline"/>
                          </w:rPr>
                          <w:tab/>
                          <w:t>1</w:t>
                        </w:r>
                        <w:r>
                          <w:rPr>
                            <w:color w:val="000000"/>
                            <w:spacing w:val="59"/>
                            <w:w w:val="150"/>
                            <w:sz w:val="18"/>
                            <w:vertAlign w:val="baseline"/>
                          </w:rPr>
                          <w:t> </w:t>
                        </w:r>
                        <w:r>
                          <w:rPr>
                            <w:color w:val="000000"/>
                            <w:spacing w:val="-10"/>
                            <w:sz w:val="18"/>
                            <w:vertAlign w:val="baseline"/>
                          </w:rPr>
                          <w:t>$</w:t>
                        </w:r>
                        <w:r>
                          <w:rPr>
                            <w:color w:val="000000"/>
                            <w:sz w:val="18"/>
                            <w:vertAlign w:val="baseline"/>
                          </w:rPr>
                          <w:tab/>
                          <w:t>8</w:t>
                        </w:r>
                        <w:r>
                          <w:rPr>
                            <w:color w:val="000000"/>
                            <w:spacing w:val="59"/>
                            <w:w w:val="150"/>
                            <w:sz w:val="18"/>
                            <w:vertAlign w:val="baseline"/>
                          </w:rPr>
                          <w:t> </w:t>
                        </w:r>
                        <w:r>
                          <w:rPr>
                            <w:color w:val="000000"/>
                            <w:spacing w:val="-10"/>
                            <w:sz w:val="18"/>
                            <w:vertAlign w:val="baseline"/>
                          </w:rPr>
                          <w:t>$</w:t>
                        </w:r>
                        <w:r>
                          <w:rPr>
                            <w:color w:val="000000"/>
                            <w:sz w:val="18"/>
                            <w:vertAlign w:val="baseline"/>
                          </w:rPr>
                          <w:tab/>
                          <w:t>34</w:t>
                        </w:r>
                        <w:r>
                          <w:rPr>
                            <w:color w:val="000000"/>
                            <w:spacing w:val="59"/>
                            <w:w w:val="150"/>
                            <w:sz w:val="18"/>
                            <w:vertAlign w:val="baseline"/>
                          </w:rPr>
                          <w:t> </w:t>
                        </w:r>
                        <w:r>
                          <w:rPr>
                            <w:color w:val="000000"/>
                            <w:spacing w:val="-10"/>
                            <w:sz w:val="18"/>
                            <w:vertAlign w:val="baseline"/>
                          </w:rPr>
                          <w:t>$</w:t>
                        </w:r>
                        <w:r>
                          <w:rPr>
                            <w:color w:val="000000"/>
                            <w:sz w:val="18"/>
                            <w:vertAlign w:val="baseline"/>
                          </w:rPr>
                          <w:tab/>
                          <w:t>26,056</w:t>
                        </w:r>
                        <w:r>
                          <w:rPr>
                            <w:color w:val="000000"/>
                            <w:spacing w:val="59"/>
                            <w:w w:val="150"/>
                            <w:sz w:val="18"/>
                            <w:vertAlign w:val="baseline"/>
                          </w:rPr>
                          <w:t> </w:t>
                        </w:r>
                        <w:r>
                          <w:rPr>
                            <w:color w:val="000000"/>
                            <w:spacing w:val="-10"/>
                            <w:sz w:val="18"/>
                            <w:vertAlign w:val="baseline"/>
                          </w:rPr>
                          <w:t>$</w:t>
                        </w:r>
                        <w:r>
                          <w:rPr>
                            <w:color w:val="000000"/>
                            <w:sz w:val="18"/>
                            <w:vertAlign w:val="baseline"/>
                          </w:rPr>
                          <w:tab/>
                          <w:t>47</w:t>
                        </w:r>
                        <w:r>
                          <w:rPr>
                            <w:color w:val="000000"/>
                            <w:spacing w:val="59"/>
                            <w:w w:val="150"/>
                            <w:sz w:val="18"/>
                            <w:vertAlign w:val="baseline"/>
                          </w:rPr>
                          <w:t> </w:t>
                        </w:r>
                        <w:r>
                          <w:rPr>
                            <w:color w:val="000000"/>
                            <w:spacing w:val="-10"/>
                            <w:sz w:val="18"/>
                            <w:vertAlign w:val="baseline"/>
                          </w:rPr>
                          <w:t>$</w:t>
                        </w:r>
                        <w:r>
                          <w:rPr>
                            <w:color w:val="000000"/>
                            <w:sz w:val="18"/>
                            <w:vertAlign w:val="baseline"/>
                          </w:rPr>
                          <w:tab/>
                        </w:r>
                        <w:r>
                          <w:rPr>
                            <w:color w:val="000000"/>
                            <w:spacing w:val="-2"/>
                            <w:sz w:val="18"/>
                            <w:vertAlign w:val="baseline"/>
                          </w:rPr>
                          <w:t>26,009</w:t>
                        </w:r>
                      </w:p>
                    </w:txbxContent>
                  </v:textbox>
                  <v:fill type="solid"/>
                  <w10:wrap type="none"/>
                </v:shape>
                <w10:wrap type="topAndBottom"/>
              </v:group>
            </w:pict>
          </mc:Fallback>
        </mc:AlternateContent>
      </w:r>
    </w:p>
    <w:p>
      <w:pPr>
        <w:tabs>
          <w:tab w:pos="3222" w:val="left" w:leader="none"/>
          <w:tab w:pos="3545" w:val="left" w:leader="none"/>
          <w:tab w:pos="4805" w:val="left" w:leader="none"/>
          <w:tab w:pos="5840" w:val="left" w:leader="none"/>
          <w:tab w:pos="6695" w:val="left" w:leader="none"/>
          <w:tab w:pos="7640" w:val="left" w:leader="none"/>
          <w:tab w:pos="8270" w:val="left" w:leader="none"/>
          <w:tab w:pos="9530" w:val="left" w:leader="none"/>
          <w:tab w:pos="10160" w:val="left" w:leader="none"/>
        </w:tabs>
        <w:spacing w:before="13"/>
        <w:ind w:left="747" w:right="0" w:firstLine="0"/>
        <w:jc w:val="left"/>
        <w:rPr>
          <w:sz w:val="18"/>
        </w:rPr>
      </w:pPr>
      <w:r>
        <w:rPr>
          <w:sz w:val="18"/>
        </w:rPr>
        <w:t>Total bank </w:t>
      </w:r>
      <w:r>
        <w:rPr>
          <w:spacing w:val="-2"/>
          <w:sz w:val="18"/>
        </w:rPr>
        <w:t>loans</w:t>
      </w:r>
      <w:r>
        <w:rPr>
          <w:sz w:val="18"/>
        </w:rPr>
        <w:tab/>
      </w:r>
      <w:r>
        <w:rPr>
          <w:spacing w:val="-10"/>
          <w:sz w:val="18"/>
        </w:rPr>
        <w:t>$</w:t>
      </w:r>
      <w:r>
        <w:rPr>
          <w:sz w:val="18"/>
        </w:rPr>
        <w:tab/>
        <w:t>40,522</w:t>
      </w:r>
      <w:r>
        <w:rPr>
          <w:spacing w:val="59"/>
          <w:w w:val="150"/>
          <w:sz w:val="18"/>
        </w:rPr>
        <w:t> </w:t>
      </w:r>
      <w:r>
        <w:rPr>
          <w:spacing w:val="-10"/>
          <w:sz w:val="18"/>
        </w:rPr>
        <w:t>$</w:t>
      </w:r>
      <w:r>
        <w:rPr>
          <w:sz w:val="18"/>
        </w:rPr>
        <w:tab/>
        <w:t>31</w:t>
      </w:r>
      <w:r>
        <w:rPr>
          <w:spacing w:val="59"/>
          <w:w w:val="150"/>
          <w:sz w:val="18"/>
        </w:rPr>
        <w:t> </w:t>
      </w:r>
      <w:r>
        <w:rPr>
          <w:spacing w:val="-10"/>
          <w:sz w:val="18"/>
        </w:rPr>
        <w:t>$</w:t>
      </w:r>
      <w:r>
        <w:rPr>
          <w:sz w:val="18"/>
        </w:rPr>
        <w:tab/>
        <w:t>2</w:t>
      </w:r>
      <w:r>
        <w:rPr>
          <w:spacing w:val="59"/>
          <w:w w:val="150"/>
          <w:sz w:val="18"/>
        </w:rPr>
        <w:t> </w:t>
      </w:r>
      <w:r>
        <w:rPr>
          <w:spacing w:val="-10"/>
          <w:sz w:val="18"/>
        </w:rPr>
        <w:t>$</w:t>
      </w:r>
      <w:r>
        <w:rPr>
          <w:sz w:val="18"/>
        </w:rPr>
        <w:tab/>
        <w:t>23</w:t>
      </w:r>
      <w:r>
        <w:rPr>
          <w:spacing w:val="59"/>
          <w:w w:val="150"/>
          <w:sz w:val="18"/>
        </w:rPr>
        <w:t> </w:t>
      </w:r>
      <w:r>
        <w:rPr>
          <w:spacing w:val="-10"/>
          <w:sz w:val="18"/>
        </w:rPr>
        <w:t>$</w:t>
      </w:r>
      <w:r>
        <w:rPr>
          <w:sz w:val="18"/>
        </w:rPr>
        <w:tab/>
        <w:t>56</w:t>
      </w:r>
      <w:r>
        <w:rPr>
          <w:spacing w:val="59"/>
          <w:w w:val="150"/>
          <w:sz w:val="18"/>
        </w:rPr>
        <w:t> </w:t>
      </w:r>
      <w:r>
        <w:rPr>
          <w:spacing w:val="-10"/>
          <w:sz w:val="18"/>
        </w:rPr>
        <w:t>$</w:t>
      </w:r>
      <w:r>
        <w:rPr>
          <w:sz w:val="18"/>
        </w:rPr>
        <w:tab/>
        <w:t>40,578</w:t>
      </w:r>
      <w:r>
        <w:rPr>
          <w:spacing w:val="59"/>
          <w:w w:val="150"/>
          <w:sz w:val="18"/>
        </w:rPr>
        <w:t> </w:t>
      </w:r>
      <w:r>
        <w:rPr>
          <w:spacing w:val="-10"/>
          <w:sz w:val="18"/>
        </w:rPr>
        <w:t>$</w:t>
      </w:r>
      <w:r>
        <w:rPr>
          <w:sz w:val="18"/>
        </w:rPr>
        <w:tab/>
        <w:t>73</w:t>
      </w:r>
      <w:r>
        <w:rPr>
          <w:spacing w:val="59"/>
          <w:w w:val="150"/>
          <w:sz w:val="18"/>
        </w:rPr>
        <w:t> </w:t>
      </w:r>
      <w:r>
        <w:rPr>
          <w:spacing w:val="-10"/>
          <w:sz w:val="18"/>
        </w:rPr>
        <w:t>$</w:t>
      </w:r>
      <w:r>
        <w:rPr>
          <w:sz w:val="18"/>
        </w:rPr>
        <w:tab/>
      </w:r>
      <w:r>
        <w:rPr>
          <w:spacing w:val="-2"/>
          <w:sz w:val="18"/>
        </w:rPr>
        <w:t>40,505</w:t>
      </w:r>
    </w:p>
    <w:p>
      <w:pPr>
        <w:pStyle w:val="BodyText"/>
        <w:spacing w:line="60" w:lineRule="exact"/>
        <w:ind w:left="460"/>
        <w:rPr>
          <w:sz w:val="6"/>
        </w:rPr>
      </w:pPr>
      <w:r>
        <w:rPr>
          <w:position w:val="0"/>
          <w:sz w:val="6"/>
        </w:rPr>
        <mc:AlternateContent>
          <mc:Choice Requires="wps">
            <w:drawing>
              <wp:inline distT="0" distB="0" distL="0" distR="0">
                <wp:extent cx="6515100" cy="38100"/>
                <wp:effectExtent l="9525" t="0" r="0" b="0"/>
                <wp:docPr id="348" name="Group 348"/>
                <wp:cNvGraphicFramePr>
                  <a:graphicFrameLocks/>
                </wp:cNvGraphicFramePr>
                <a:graphic>
                  <a:graphicData uri="http://schemas.microsoft.com/office/word/2010/wordprocessingGroup">
                    <wpg:wgp>
                      <wpg:cNvPr id="348" name="Group 348"/>
                      <wpg:cNvGrpSpPr/>
                      <wpg:grpSpPr>
                        <a:xfrm>
                          <a:off x="0" y="0"/>
                          <a:ext cx="6515100" cy="38100"/>
                          <a:chExt cx="6515100" cy="38100"/>
                        </a:xfrm>
                      </wpg:grpSpPr>
                      <wps:wsp>
                        <wps:cNvPr id="349" name="Graphic 349"/>
                        <wps:cNvSpPr/>
                        <wps:spPr>
                          <a:xfrm>
                            <a:off x="0" y="6350"/>
                            <a:ext cx="6515100" cy="25400"/>
                          </a:xfrm>
                          <a:custGeom>
                            <a:avLst/>
                            <a:gdLst/>
                            <a:ahLst/>
                            <a:cxnLst/>
                            <a:rect l="l" t="t" r="r" b="b"/>
                            <a:pathLst>
                              <a:path w="6515100" h="25400">
                                <a:moveTo>
                                  <a:pt x="0" y="0"/>
                                </a:moveTo>
                                <a:lnTo>
                                  <a:pt x="1714500" y="0"/>
                                </a:lnTo>
                              </a:path>
                              <a:path w="6515100" h="25400">
                                <a:moveTo>
                                  <a:pt x="0" y="25400"/>
                                </a:moveTo>
                                <a:lnTo>
                                  <a:pt x="1714500" y="25400"/>
                                </a:lnTo>
                              </a:path>
                              <a:path w="6515100" h="25400">
                                <a:moveTo>
                                  <a:pt x="1714500" y="0"/>
                                </a:moveTo>
                                <a:lnTo>
                                  <a:pt x="2314575" y="0"/>
                                </a:lnTo>
                              </a:path>
                              <a:path w="6515100" h="25400">
                                <a:moveTo>
                                  <a:pt x="1714500" y="25400"/>
                                </a:moveTo>
                                <a:lnTo>
                                  <a:pt x="2314575" y="25400"/>
                                </a:lnTo>
                              </a:path>
                              <a:path w="6515100" h="25400">
                                <a:moveTo>
                                  <a:pt x="2314575" y="0"/>
                                </a:moveTo>
                                <a:lnTo>
                                  <a:pt x="2914650" y="0"/>
                                </a:lnTo>
                              </a:path>
                              <a:path w="6515100" h="25400">
                                <a:moveTo>
                                  <a:pt x="2314575" y="25400"/>
                                </a:moveTo>
                                <a:lnTo>
                                  <a:pt x="2914650" y="25400"/>
                                </a:lnTo>
                              </a:path>
                              <a:path w="6515100" h="25400">
                                <a:moveTo>
                                  <a:pt x="2914650" y="0"/>
                                </a:moveTo>
                                <a:lnTo>
                                  <a:pt x="3514725" y="0"/>
                                </a:lnTo>
                              </a:path>
                              <a:path w="6515100" h="25400">
                                <a:moveTo>
                                  <a:pt x="2914650" y="25400"/>
                                </a:moveTo>
                                <a:lnTo>
                                  <a:pt x="3514725" y="25400"/>
                                </a:lnTo>
                              </a:path>
                              <a:path w="6515100" h="25400">
                                <a:moveTo>
                                  <a:pt x="3514725" y="0"/>
                                </a:moveTo>
                                <a:lnTo>
                                  <a:pt x="4114800" y="0"/>
                                </a:lnTo>
                              </a:path>
                              <a:path w="6515100" h="25400">
                                <a:moveTo>
                                  <a:pt x="3514725" y="25400"/>
                                </a:moveTo>
                                <a:lnTo>
                                  <a:pt x="4114800" y="25400"/>
                                </a:lnTo>
                              </a:path>
                              <a:path w="6515100" h="25400">
                                <a:moveTo>
                                  <a:pt x="4114800" y="0"/>
                                </a:moveTo>
                                <a:lnTo>
                                  <a:pt x="4714875" y="0"/>
                                </a:lnTo>
                              </a:path>
                              <a:path w="6515100" h="25400">
                                <a:moveTo>
                                  <a:pt x="4114800" y="25400"/>
                                </a:moveTo>
                                <a:lnTo>
                                  <a:pt x="4714875" y="25400"/>
                                </a:lnTo>
                              </a:path>
                              <a:path w="6515100" h="25400">
                                <a:moveTo>
                                  <a:pt x="4714875" y="0"/>
                                </a:moveTo>
                                <a:lnTo>
                                  <a:pt x="5314950" y="0"/>
                                </a:lnTo>
                              </a:path>
                              <a:path w="6515100" h="25400">
                                <a:moveTo>
                                  <a:pt x="4714875" y="25400"/>
                                </a:moveTo>
                                <a:lnTo>
                                  <a:pt x="5314950" y="25400"/>
                                </a:lnTo>
                              </a:path>
                              <a:path w="6515100" h="25400">
                                <a:moveTo>
                                  <a:pt x="5314950" y="0"/>
                                </a:moveTo>
                                <a:lnTo>
                                  <a:pt x="5915025" y="0"/>
                                </a:lnTo>
                              </a:path>
                              <a:path w="6515100" h="25400">
                                <a:moveTo>
                                  <a:pt x="5314950" y="25400"/>
                                </a:moveTo>
                                <a:lnTo>
                                  <a:pt x="5915025" y="25400"/>
                                </a:lnTo>
                              </a:path>
                              <a:path w="6515100" h="25400">
                                <a:moveTo>
                                  <a:pt x="5915025" y="0"/>
                                </a:moveTo>
                                <a:lnTo>
                                  <a:pt x="6515100" y="0"/>
                                </a:lnTo>
                              </a:path>
                              <a:path w="6515100" h="25400">
                                <a:moveTo>
                                  <a:pt x="5915025" y="25400"/>
                                </a:moveTo>
                                <a:lnTo>
                                  <a:pt x="65151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3pt;height:3pt;mso-position-horizontal-relative:char;mso-position-vertical-relative:line" id="docshapegroup238" coordorigin="0,0" coordsize="10260,60">
                <v:shape style="position:absolute;left:0;top:10;width:10260;height:40" id="docshape239" coordorigin="0,10" coordsize="10260,40" path="m0,10l2700,10m0,50l2700,50m2700,10l3645,10m2700,50l3645,50m3645,10l4590,10m3645,50l4590,50m4590,10l5535,10m4590,50l5535,50m5535,10l6480,10m5535,50l6480,50m6480,10l7425,10m6480,50l7425,50m7425,10l8370,10m7425,50l8370,50m8370,10l9315,10m8370,50l9315,50m9315,10l10260,10m9315,50l10260,50e" filled="false" stroked="true" strokeweight="1pt" strokecolor="#000000">
                  <v:path arrowok="t"/>
                  <v:stroke dashstyle="solid"/>
                </v:shape>
              </v:group>
            </w:pict>
          </mc:Fallback>
        </mc:AlternateContent>
      </w:r>
      <w:r>
        <w:rPr>
          <w:position w:val="0"/>
          <w:sz w:val="6"/>
        </w:rPr>
      </w:r>
    </w:p>
    <w:p>
      <w:pPr>
        <w:spacing w:line="249" w:lineRule="auto" w:before="31"/>
        <w:ind w:left="650" w:right="500" w:hanging="180"/>
        <w:jc w:val="left"/>
        <w:rPr>
          <w:sz w:val="16"/>
        </w:rPr>
      </w:pPr>
      <w:r>
        <w:rPr>
          <w:sz w:val="16"/>
          <w:vertAlign w:val="superscript"/>
        </w:rPr>
        <w:t>(1)</w:t>
      </w:r>
      <w:r>
        <w:rPr>
          <w:spacing w:val="-15"/>
          <w:sz w:val="16"/>
          <w:vertAlign w:val="baseline"/>
        </w:rPr>
        <w:t> </w:t>
      </w:r>
      <w:r>
        <w:rPr>
          <w:sz w:val="16"/>
          <w:vertAlign w:val="baseline"/>
        </w:rPr>
        <w:t>First</w:t>
      </w:r>
      <w:r>
        <w:rPr>
          <w:spacing w:val="-2"/>
          <w:sz w:val="16"/>
          <w:vertAlign w:val="baseline"/>
        </w:rPr>
        <w:t> </w:t>
      </w:r>
      <w:r>
        <w:rPr>
          <w:sz w:val="16"/>
          <w:vertAlign w:val="baseline"/>
        </w:rPr>
        <w:t>Mortgages</w:t>
      </w:r>
      <w:r>
        <w:rPr>
          <w:spacing w:val="-3"/>
          <w:sz w:val="16"/>
          <w:vertAlign w:val="baseline"/>
        </w:rPr>
        <w:t> </w:t>
      </w:r>
      <w:r>
        <w:rPr>
          <w:sz w:val="16"/>
          <w:vertAlign w:val="baseline"/>
        </w:rPr>
        <w:t>and</w:t>
      </w:r>
      <w:r>
        <w:rPr>
          <w:spacing w:val="-2"/>
          <w:sz w:val="16"/>
          <w:vertAlign w:val="baseline"/>
        </w:rPr>
        <w:t> </w:t>
      </w:r>
      <w:r>
        <w:rPr>
          <w:sz w:val="16"/>
          <w:vertAlign w:val="baseline"/>
        </w:rPr>
        <w:t>HELOCs</w:t>
      </w:r>
      <w:r>
        <w:rPr>
          <w:spacing w:val="-3"/>
          <w:sz w:val="16"/>
          <w:vertAlign w:val="baseline"/>
        </w:rPr>
        <w:t> </w:t>
      </w:r>
      <w:r>
        <w:rPr>
          <w:sz w:val="16"/>
          <w:vertAlign w:val="baseline"/>
        </w:rPr>
        <w:t>include</w:t>
      </w:r>
      <w:r>
        <w:rPr>
          <w:spacing w:val="-2"/>
          <w:sz w:val="16"/>
          <w:vertAlign w:val="baseline"/>
        </w:rPr>
        <w:t> </w:t>
      </w:r>
      <w:r>
        <w:rPr>
          <w:sz w:val="16"/>
          <w:vertAlign w:val="baseline"/>
        </w:rPr>
        <w:t>unamortized</w:t>
      </w:r>
      <w:r>
        <w:rPr>
          <w:spacing w:val="-2"/>
          <w:sz w:val="16"/>
          <w:vertAlign w:val="baseline"/>
        </w:rPr>
        <w:t> </w:t>
      </w:r>
      <w:r>
        <w:rPr>
          <w:sz w:val="16"/>
          <w:vertAlign w:val="baseline"/>
        </w:rPr>
        <w:t>premiums</w:t>
      </w:r>
      <w:r>
        <w:rPr>
          <w:spacing w:val="-3"/>
          <w:sz w:val="16"/>
          <w:vertAlign w:val="baseline"/>
        </w:rPr>
        <w:t> </w:t>
      </w:r>
      <w:r>
        <w:rPr>
          <w:sz w:val="16"/>
          <w:vertAlign w:val="baseline"/>
        </w:rPr>
        <w:t>and</w:t>
      </w:r>
      <w:r>
        <w:rPr>
          <w:spacing w:val="-2"/>
          <w:sz w:val="16"/>
          <w:vertAlign w:val="baseline"/>
        </w:rPr>
        <w:t> </w:t>
      </w:r>
      <w:r>
        <w:rPr>
          <w:sz w:val="16"/>
          <w:vertAlign w:val="baseline"/>
        </w:rPr>
        <w:t>discounts</w:t>
      </w:r>
      <w:r>
        <w:rPr>
          <w:spacing w:val="-3"/>
          <w:sz w:val="16"/>
          <w:vertAlign w:val="baseline"/>
        </w:rPr>
        <w:t> </w:t>
      </w:r>
      <w:r>
        <w:rPr>
          <w:sz w:val="16"/>
          <w:vertAlign w:val="baseline"/>
        </w:rPr>
        <w:t>and</w:t>
      </w:r>
      <w:r>
        <w:rPr>
          <w:spacing w:val="-2"/>
          <w:sz w:val="16"/>
          <w:vertAlign w:val="baseline"/>
        </w:rPr>
        <w:t> </w:t>
      </w:r>
      <w:r>
        <w:rPr>
          <w:sz w:val="16"/>
          <w:vertAlign w:val="baseline"/>
        </w:rPr>
        <w:t>direct</w:t>
      </w:r>
      <w:r>
        <w:rPr>
          <w:spacing w:val="-2"/>
          <w:sz w:val="16"/>
          <w:vertAlign w:val="baseline"/>
        </w:rPr>
        <w:t> </w:t>
      </w:r>
      <w:r>
        <w:rPr>
          <w:sz w:val="16"/>
          <w:vertAlign w:val="baseline"/>
        </w:rPr>
        <w:t>origination</w:t>
      </w:r>
      <w:r>
        <w:rPr>
          <w:spacing w:val="-2"/>
          <w:sz w:val="16"/>
          <w:vertAlign w:val="baseline"/>
        </w:rPr>
        <w:t> </w:t>
      </w:r>
      <w:r>
        <w:rPr>
          <w:sz w:val="16"/>
          <w:vertAlign w:val="baseline"/>
        </w:rPr>
        <w:t>costs</w:t>
      </w:r>
      <w:r>
        <w:rPr>
          <w:spacing w:val="-3"/>
          <w:sz w:val="16"/>
          <w:vertAlign w:val="baseline"/>
        </w:rPr>
        <w:t> </w:t>
      </w:r>
      <w:r>
        <w:rPr>
          <w:sz w:val="16"/>
          <w:vertAlign w:val="baseline"/>
        </w:rPr>
        <w:t>of</w:t>
      </w:r>
      <w:r>
        <w:rPr>
          <w:spacing w:val="-5"/>
          <w:sz w:val="16"/>
          <w:vertAlign w:val="baseline"/>
        </w:rPr>
        <w:t> </w:t>
      </w:r>
      <w:r>
        <w:rPr>
          <w:sz w:val="16"/>
          <w:vertAlign w:val="baseline"/>
        </w:rPr>
        <w:t>$100</w:t>
      </w:r>
      <w:r>
        <w:rPr>
          <w:spacing w:val="-2"/>
          <w:sz w:val="16"/>
          <w:vertAlign w:val="baseline"/>
        </w:rPr>
        <w:t> </w:t>
      </w:r>
      <w:r>
        <w:rPr>
          <w:sz w:val="16"/>
          <w:vertAlign w:val="baseline"/>
        </w:rPr>
        <w:t>million</w:t>
      </w:r>
      <w:r>
        <w:rPr>
          <w:spacing w:val="-3"/>
          <w:sz w:val="16"/>
          <w:vertAlign w:val="baseline"/>
        </w:rPr>
        <w:t> </w:t>
      </w:r>
      <w:r>
        <w:rPr>
          <w:sz w:val="16"/>
          <w:vertAlign w:val="baseline"/>
        </w:rPr>
        <w:t>and</w:t>
      </w:r>
      <w:r>
        <w:rPr>
          <w:spacing w:val="-3"/>
          <w:sz w:val="16"/>
          <w:vertAlign w:val="baseline"/>
        </w:rPr>
        <w:t> </w:t>
      </w:r>
      <w:r>
        <w:rPr>
          <w:sz w:val="16"/>
          <w:vertAlign w:val="baseline"/>
        </w:rPr>
        <w:t>$98</w:t>
      </w:r>
      <w:r>
        <w:rPr>
          <w:spacing w:val="-2"/>
          <w:sz w:val="16"/>
          <w:vertAlign w:val="baseline"/>
        </w:rPr>
        <w:t> </w:t>
      </w:r>
      <w:r>
        <w:rPr>
          <w:sz w:val="16"/>
          <w:vertAlign w:val="baseline"/>
        </w:rPr>
        <w:t>million</w:t>
      </w:r>
      <w:r>
        <w:rPr>
          <w:spacing w:val="-3"/>
          <w:sz w:val="16"/>
          <w:vertAlign w:val="baseline"/>
        </w:rPr>
        <w:t> </w:t>
      </w:r>
      <w:r>
        <w:rPr>
          <w:sz w:val="16"/>
          <w:vertAlign w:val="baseline"/>
        </w:rPr>
        <w:t>at</w:t>
      </w:r>
      <w:r>
        <w:rPr>
          <w:spacing w:val="-3"/>
          <w:sz w:val="16"/>
          <w:vertAlign w:val="baseline"/>
        </w:rPr>
        <w:t> </w:t>
      </w:r>
      <w:r>
        <w:rPr>
          <w:sz w:val="16"/>
          <w:vertAlign w:val="baseline"/>
        </w:rPr>
        <w:t>September</w:t>
      </w:r>
      <w:r>
        <w:rPr>
          <w:spacing w:val="-2"/>
          <w:sz w:val="16"/>
          <w:vertAlign w:val="baseline"/>
        </w:rPr>
        <w:t> </w:t>
      </w:r>
      <w:r>
        <w:rPr>
          <w:sz w:val="16"/>
          <w:vertAlign w:val="baseline"/>
        </w:rPr>
        <w:t>30,</w:t>
      </w:r>
      <w:r>
        <w:rPr>
          <w:spacing w:val="40"/>
          <w:sz w:val="16"/>
          <w:vertAlign w:val="baseline"/>
        </w:rPr>
        <w:t> </w:t>
      </w:r>
      <w:r>
        <w:rPr>
          <w:sz w:val="16"/>
          <w:vertAlign w:val="baseline"/>
        </w:rPr>
        <w:t>2023 and December 31, 2022, respectively.</w:t>
      </w:r>
    </w:p>
    <w:p>
      <w:pPr>
        <w:spacing w:line="249" w:lineRule="auto" w:before="1"/>
        <w:ind w:left="650" w:right="500" w:hanging="180"/>
        <w:jc w:val="left"/>
        <w:rPr>
          <w:sz w:val="16"/>
        </w:rPr>
      </w:pPr>
      <w:r>
        <w:rPr>
          <w:sz w:val="16"/>
          <w:vertAlign w:val="superscript"/>
        </w:rPr>
        <w:t>(2)</w:t>
      </w:r>
      <w:r>
        <w:rPr>
          <w:spacing w:val="-15"/>
          <w:sz w:val="16"/>
          <w:vertAlign w:val="baseline"/>
        </w:rPr>
        <w:t> </w:t>
      </w:r>
      <w:r>
        <w:rPr>
          <w:sz w:val="16"/>
          <w:vertAlign w:val="baseline"/>
        </w:rPr>
        <w:t>At</w:t>
      </w:r>
      <w:r>
        <w:rPr>
          <w:spacing w:val="-2"/>
          <w:sz w:val="16"/>
          <w:vertAlign w:val="baseline"/>
        </w:rPr>
        <w:t> </w:t>
      </w:r>
      <w:r>
        <w:rPr>
          <w:sz w:val="16"/>
          <w:vertAlign w:val="baseline"/>
        </w:rPr>
        <w:t>both</w:t>
      </w:r>
      <w:r>
        <w:rPr>
          <w:spacing w:val="-3"/>
          <w:sz w:val="16"/>
          <w:vertAlign w:val="baseline"/>
        </w:rPr>
        <w:t> </w:t>
      </w:r>
      <w:r>
        <w:rPr>
          <w:sz w:val="16"/>
          <w:vertAlign w:val="baseline"/>
        </w:rPr>
        <w:t>September</w:t>
      </w:r>
      <w:r>
        <w:rPr>
          <w:spacing w:val="-2"/>
          <w:sz w:val="16"/>
          <w:vertAlign w:val="baseline"/>
        </w:rPr>
        <w:t> </w:t>
      </w:r>
      <w:r>
        <w:rPr>
          <w:sz w:val="16"/>
          <w:vertAlign w:val="baseline"/>
        </w:rPr>
        <w:t>30,</w:t>
      </w:r>
      <w:r>
        <w:rPr>
          <w:spacing w:val="-2"/>
          <w:sz w:val="16"/>
          <w:vertAlign w:val="baseline"/>
        </w:rPr>
        <w:t> </w:t>
      </w:r>
      <w:r>
        <w:rPr>
          <w:sz w:val="16"/>
          <w:vertAlign w:val="baseline"/>
        </w:rPr>
        <w:t>2023</w:t>
      </w:r>
      <w:r>
        <w:rPr>
          <w:spacing w:val="-3"/>
          <w:sz w:val="16"/>
          <w:vertAlign w:val="baseline"/>
        </w:rPr>
        <w:t> </w:t>
      </w:r>
      <w:r>
        <w:rPr>
          <w:sz w:val="16"/>
          <w:vertAlign w:val="baseline"/>
        </w:rPr>
        <w:t>and</w:t>
      </w:r>
      <w:r>
        <w:rPr>
          <w:spacing w:val="-3"/>
          <w:sz w:val="16"/>
          <w:vertAlign w:val="baseline"/>
        </w:rPr>
        <w:t> </w:t>
      </w:r>
      <w:r>
        <w:rPr>
          <w:sz w:val="16"/>
          <w:vertAlign w:val="baseline"/>
        </w:rPr>
        <w:t>December</w:t>
      </w:r>
      <w:r>
        <w:rPr>
          <w:spacing w:val="-2"/>
          <w:sz w:val="16"/>
          <w:vertAlign w:val="baseline"/>
        </w:rPr>
        <w:t> </w:t>
      </w:r>
      <w:r>
        <w:rPr>
          <w:sz w:val="16"/>
          <w:vertAlign w:val="baseline"/>
        </w:rPr>
        <w:t>31,</w:t>
      </w:r>
      <w:r>
        <w:rPr>
          <w:spacing w:val="-2"/>
          <w:sz w:val="16"/>
          <w:vertAlign w:val="baseline"/>
        </w:rPr>
        <w:t> </w:t>
      </w:r>
      <w:r>
        <w:rPr>
          <w:sz w:val="16"/>
          <w:vertAlign w:val="baseline"/>
        </w:rPr>
        <w:t>2022,</w:t>
      </w:r>
      <w:r>
        <w:rPr>
          <w:spacing w:val="-2"/>
          <w:sz w:val="16"/>
          <w:vertAlign w:val="baseline"/>
        </w:rPr>
        <w:t> </w:t>
      </w:r>
      <w:r>
        <w:rPr>
          <w:sz w:val="16"/>
          <w:vertAlign w:val="baseline"/>
        </w:rPr>
        <w:t>43%</w:t>
      </w:r>
      <w:r>
        <w:rPr>
          <w:spacing w:val="-3"/>
          <w:sz w:val="16"/>
          <w:vertAlign w:val="baseline"/>
        </w:rPr>
        <w:t> </w:t>
      </w:r>
      <w:r>
        <w:rPr>
          <w:sz w:val="16"/>
          <w:vertAlign w:val="baseline"/>
        </w:rPr>
        <w:t>of</w:t>
      </w:r>
      <w:r>
        <w:rPr>
          <w:spacing w:val="-2"/>
          <w:sz w:val="16"/>
          <w:vertAlign w:val="baseline"/>
        </w:rPr>
        <w:t> </w:t>
      </w:r>
      <w:r>
        <w:rPr>
          <w:sz w:val="16"/>
          <w:vertAlign w:val="baseline"/>
        </w:rPr>
        <w:t>the</w:t>
      </w:r>
      <w:r>
        <w:rPr>
          <w:spacing w:val="-2"/>
          <w:sz w:val="16"/>
          <w:vertAlign w:val="baseline"/>
        </w:rPr>
        <w:t> </w:t>
      </w:r>
      <w:r>
        <w:rPr>
          <w:sz w:val="16"/>
          <w:vertAlign w:val="baseline"/>
        </w:rPr>
        <w:t>First</w:t>
      </w:r>
      <w:r>
        <w:rPr>
          <w:spacing w:val="-2"/>
          <w:sz w:val="16"/>
          <w:vertAlign w:val="baseline"/>
        </w:rPr>
        <w:t> </w:t>
      </w:r>
      <w:r>
        <w:rPr>
          <w:sz w:val="16"/>
          <w:vertAlign w:val="baseline"/>
        </w:rPr>
        <w:t>Mortgage</w:t>
      </w:r>
      <w:r>
        <w:rPr>
          <w:spacing w:val="-2"/>
          <w:sz w:val="16"/>
          <w:vertAlign w:val="baseline"/>
        </w:rPr>
        <w:t> </w:t>
      </w:r>
      <w:r>
        <w:rPr>
          <w:sz w:val="16"/>
          <w:vertAlign w:val="baseline"/>
        </w:rPr>
        <w:t>and</w:t>
      </w:r>
      <w:r>
        <w:rPr>
          <w:spacing w:val="-2"/>
          <w:sz w:val="16"/>
          <w:vertAlign w:val="baseline"/>
        </w:rPr>
        <w:t> </w:t>
      </w:r>
      <w:r>
        <w:rPr>
          <w:sz w:val="16"/>
          <w:vertAlign w:val="baseline"/>
        </w:rPr>
        <w:t>HELOC</w:t>
      </w:r>
      <w:r>
        <w:rPr>
          <w:spacing w:val="-2"/>
          <w:sz w:val="16"/>
          <w:vertAlign w:val="baseline"/>
        </w:rPr>
        <w:t> </w:t>
      </w:r>
      <w:r>
        <w:rPr>
          <w:sz w:val="16"/>
          <w:vertAlign w:val="baseline"/>
        </w:rPr>
        <w:t>portfolios</w:t>
      </w:r>
      <w:r>
        <w:rPr>
          <w:spacing w:val="-3"/>
          <w:sz w:val="16"/>
          <w:vertAlign w:val="baseline"/>
        </w:rPr>
        <w:t> </w:t>
      </w:r>
      <w:r>
        <w:rPr>
          <w:sz w:val="16"/>
          <w:vertAlign w:val="baseline"/>
        </w:rPr>
        <w:t>were</w:t>
      </w:r>
      <w:r>
        <w:rPr>
          <w:spacing w:val="-2"/>
          <w:sz w:val="16"/>
          <w:vertAlign w:val="baseline"/>
        </w:rPr>
        <w:t> </w:t>
      </w:r>
      <w:r>
        <w:rPr>
          <w:sz w:val="16"/>
          <w:vertAlign w:val="baseline"/>
        </w:rPr>
        <w:t>concentrated</w:t>
      </w:r>
      <w:r>
        <w:rPr>
          <w:spacing w:val="-2"/>
          <w:sz w:val="16"/>
          <w:vertAlign w:val="baseline"/>
        </w:rPr>
        <w:t> </w:t>
      </w:r>
      <w:r>
        <w:rPr>
          <w:sz w:val="16"/>
          <w:vertAlign w:val="baseline"/>
        </w:rPr>
        <w:t>in</w:t>
      </w:r>
      <w:r>
        <w:rPr>
          <w:spacing w:val="-2"/>
          <w:sz w:val="16"/>
          <w:vertAlign w:val="baseline"/>
        </w:rPr>
        <w:t> </w:t>
      </w:r>
      <w:r>
        <w:rPr>
          <w:sz w:val="16"/>
          <w:vertAlign w:val="baseline"/>
        </w:rPr>
        <w:t>California.</w:t>
      </w:r>
      <w:r>
        <w:rPr>
          <w:spacing w:val="-2"/>
          <w:sz w:val="16"/>
          <w:vertAlign w:val="baseline"/>
        </w:rPr>
        <w:t> </w:t>
      </w:r>
      <w:r>
        <w:rPr>
          <w:sz w:val="16"/>
          <w:vertAlign w:val="baseline"/>
        </w:rPr>
        <w:t>These</w:t>
      </w:r>
      <w:r>
        <w:rPr>
          <w:spacing w:val="-2"/>
          <w:sz w:val="16"/>
          <w:vertAlign w:val="baseline"/>
        </w:rPr>
        <w:t> </w:t>
      </w:r>
      <w:r>
        <w:rPr>
          <w:sz w:val="16"/>
          <w:vertAlign w:val="baseline"/>
        </w:rPr>
        <w:t>loans</w:t>
      </w:r>
      <w:r>
        <w:rPr>
          <w:spacing w:val="-3"/>
          <w:sz w:val="16"/>
          <w:vertAlign w:val="baseline"/>
        </w:rPr>
        <w:t> </w:t>
      </w:r>
      <w:r>
        <w:rPr>
          <w:sz w:val="16"/>
          <w:vertAlign w:val="baseline"/>
        </w:rPr>
        <w:t>have</w:t>
      </w:r>
      <w:r>
        <w:rPr>
          <w:spacing w:val="40"/>
          <w:sz w:val="16"/>
          <w:vertAlign w:val="baseline"/>
        </w:rPr>
        <w:t> </w:t>
      </w:r>
      <w:r>
        <w:rPr>
          <w:sz w:val="16"/>
          <w:vertAlign w:val="baseline"/>
        </w:rPr>
        <w:t>performed in a manner consistent with the portfolio as a whole.</w:t>
      </w:r>
    </w:p>
    <w:p>
      <w:pPr>
        <w:spacing w:before="2"/>
        <w:ind w:left="470" w:right="0" w:firstLine="0"/>
        <w:jc w:val="left"/>
        <w:rPr>
          <w:sz w:val="16"/>
        </w:rPr>
      </w:pPr>
      <w:r>
        <w:rPr>
          <w:sz w:val="16"/>
          <w:vertAlign w:val="superscript"/>
        </w:rPr>
        <w:t>(3)</w:t>
      </w:r>
      <w:r>
        <w:rPr>
          <w:spacing w:val="-15"/>
          <w:sz w:val="16"/>
          <w:vertAlign w:val="baseline"/>
        </w:rPr>
        <w:t> </w:t>
      </w:r>
      <w:r>
        <w:rPr>
          <w:sz w:val="16"/>
          <w:vertAlign w:val="baseline"/>
        </w:rPr>
        <w:t>There were</w:t>
      </w:r>
      <w:r>
        <w:rPr>
          <w:spacing w:val="-1"/>
          <w:sz w:val="16"/>
          <w:vertAlign w:val="baseline"/>
        </w:rPr>
        <w:t> </w:t>
      </w:r>
      <w:r>
        <w:rPr>
          <w:sz w:val="16"/>
          <w:vertAlign w:val="baseline"/>
        </w:rPr>
        <w:t>no loans</w:t>
      </w:r>
      <w:r>
        <w:rPr>
          <w:spacing w:val="-1"/>
          <w:sz w:val="16"/>
          <w:vertAlign w:val="baseline"/>
        </w:rPr>
        <w:t> </w:t>
      </w:r>
      <w:r>
        <w:rPr>
          <w:sz w:val="16"/>
          <w:vertAlign w:val="baseline"/>
        </w:rPr>
        <w:t>accruing interest that were contractually</w:t>
      </w:r>
      <w:r>
        <w:rPr>
          <w:spacing w:val="1"/>
          <w:sz w:val="16"/>
          <w:vertAlign w:val="baseline"/>
        </w:rPr>
        <w:t> </w:t>
      </w:r>
      <w:r>
        <w:rPr>
          <w:sz w:val="16"/>
          <w:vertAlign w:val="baseline"/>
        </w:rPr>
        <w:t>90 days</w:t>
      </w:r>
      <w:r>
        <w:rPr>
          <w:spacing w:val="-1"/>
          <w:sz w:val="16"/>
          <w:vertAlign w:val="baseline"/>
        </w:rPr>
        <w:t> </w:t>
      </w:r>
      <w:r>
        <w:rPr>
          <w:sz w:val="16"/>
          <w:vertAlign w:val="baseline"/>
        </w:rPr>
        <w:t>or more past due at</w:t>
      </w:r>
      <w:r>
        <w:rPr>
          <w:spacing w:val="-3"/>
          <w:sz w:val="16"/>
          <w:vertAlign w:val="baseline"/>
        </w:rPr>
        <w:t> </w:t>
      </w:r>
      <w:r>
        <w:rPr>
          <w:sz w:val="16"/>
          <w:vertAlign w:val="baseline"/>
        </w:rPr>
        <w:t>September 30, 2023 or</w:t>
      </w:r>
      <w:r>
        <w:rPr>
          <w:spacing w:val="-1"/>
          <w:sz w:val="16"/>
          <w:vertAlign w:val="baseline"/>
        </w:rPr>
        <w:t> </w:t>
      </w:r>
      <w:r>
        <w:rPr>
          <w:sz w:val="16"/>
          <w:vertAlign w:val="baseline"/>
        </w:rPr>
        <w:t>December 31, </w:t>
      </w:r>
      <w:r>
        <w:rPr>
          <w:spacing w:val="-2"/>
          <w:sz w:val="16"/>
          <w:vertAlign w:val="baseline"/>
        </w:rPr>
        <w:t>2022.</w:t>
      </w:r>
    </w:p>
    <w:p>
      <w:pPr>
        <w:pStyle w:val="BodyText"/>
        <w:spacing w:before="54"/>
        <w:rPr>
          <w:sz w:val="16"/>
        </w:rPr>
      </w:pPr>
    </w:p>
    <w:p>
      <w:pPr>
        <w:pStyle w:val="BodyText"/>
        <w:spacing w:line="249" w:lineRule="auto"/>
        <w:ind w:left="470" w:right="761"/>
      </w:pPr>
      <w:r>
        <w:rPr/>
        <w:t>At</w:t>
      </w:r>
      <w:r>
        <w:rPr>
          <w:spacing w:val="-3"/>
        </w:rPr>
        <w:t> </w:t>
      </w:r>
      <w:r>
        <w:rPr/>
        <w:t>September</w:t>
      </w:r>
      <w:r>
        <w:rPr>
          <w:spacing w:val="-2"/>
        </w:rPr>
        <w:t> </w:t>
      </w:r>
      <w:r>
        <w:rPr/>
        <w:t>30,</w:t>
      </w:r>
      <w:r>
        <w:rPr>
          <w:spacing w:val="-2"/>
        </w:rPr>
        <w:t> </w:t>
      </w:r>
      <w:r>
        <w:rPr/>
        <w:t>2023,</w:t>
      </w:r>
      <w:r>
        <w:rPr>
          <w:spacing w:val="-2"/>
        </w:rPr>
        <w:t> </w:t>
      </w:r>
      <w:r>
        <w:rPr/>
        <w:t>CSB</w:t>
      </w:r>
      <w:r>
        <w:rPr>
          <w:spacing w:val="-3"/>
        </w:rPr>
        <w:t> </w:t>
      </w:r>
      <w:r>
        <w:rPr/>
        <w:t>had</w:t>
      </w:r>
      <w:r>
        <w:rPr>
          <w:spacing w:val="-2"/>
        </w:rPr>
        <w:t> </w:t>
      </w:r>
      <w:r>
        <w:rPr/>
        <w:t>pledged</w:t>
      </w:r>
      <w:r>
        <w:rPr>
          <w:spacing w:val="-2"/>
        </w:rPr>
        <w:t> </w:t>
      </w:r>
      <w:r>
        <w:rPr/>
        <w:t>the</w:t>
      </w:r>
      <w:r>
        <w:rPr>
          <w:spacing w:val="-3"/>
        </w:rPr>
        <w:t> </w:t>
      </w:r>
      <w:r>
        <w:rPr/>
        <w:t>full</w:t>
      </w:r>
      <w:r>
        <w:rPr>
          <w:spacing w:val="-3"/>
        </w:rPr>
        <w:t> </w:t>
      </w:r>
      <w:r>
        <w:rPr/>
        <w:t>balance</w:t>
      </w:r>
      <w:r>
        <w:rPr>
          <w:spacing w:val="-3"/>
        </w:rPr>
        <w:t> </w:t>
      </w:r>
      <w:r>
        <w:rPr/>
        <w:t>of</w:t>
      </w:r>
      <w:r>
        <w:rPr>
          <w:spacing w:val="-2"/>
        </w:rPr>
        <w:t> </w:t>
      </w:r>
      <w:r>
        <w:rPr/>
        <w:t>First</w:t>
      </w:r>
      <w:r>
        <w:rPr>
          <w:spacing w:val="-3"/>
        </w:rPr>
        <w:t> </w:t>
      </w:r>
      <w:r>
        <w:rPr/>
        <w:t>Mortgages</w:t>
      </w:r>
      <w:r>
        <w:rPr>
          <w:spacing w:val="-3"/>
        </w:rPr>
        <w:t> </w:t>
      </w:r>
      <w:r>
        <w:rPr/>
        <w:t>and</w:t>
      </w:r>
      <w:r>
        <w:rPr>
          <w:spacing w:val="-2"/>
        </w:rPr>
        <w:t> </w:t>
      </w:r>
      <w:r>
        <w:rPr/>
        <w:t>HELOCs</w:t>
      </w:r>
      <w:r>
        <w:rPr>
          <w:spacing w:val="-3"/>
        </w:rPr>
        <w:t> </w:t>
      </w:r>
      <w:r>
        <w:rPr/>
        <w:t>pursuant</w:t>
      </w:r>
      <w:r>
        <w:rPr>
          <w:spacing w:val="-3"/>
        </w:rPr>
        <w:t> </w:t>
      </w:r>
      <w:r>
        <w:rPr/>
        <w:t>to</w:t>
      </w:r>
      <w:r>
        <w:rPr>
          <w:spacing w:val="-2"/>
        </w:rPr>
        <w:t> </w:t>
      </w:r>
      <w:r>
        <w:rPr/>
        <w:t>a</w:t>
      </w:r>
      <w:r>
        <w:rPr>
          <w:spacing w:val="-3"/>
        </w:rPr>
        <w:t> </w:t>
      </w:r>
      <w:r>
        <w:rPr/>
        <w:t>blanket</w:t>
      </w:r>
      <w:r>
        <w:rPr>
          <w:spacing w:val="-3"/>
        </w:rPr>
        <w:t> </w:t>
      </w:r>
      <w:r>
        <w:rPr/>
        <w:t>lien</w:t>
      </w:r>
      <w:r>
        <w:rPr>
          <w:spacing w:val="-2"/>
        </w:rPr>
        <w:t> </w:t>
      </w:r>
      <w:r>
        <w:rPr/>
        <w:t>status collateral arrangement to secure borrowing capacity on a secured credit facility with the FHLB (see Note 8).</w:t>
      </w:r>
    </w:p>
    <w:p>
      <w:pPr>
        <w:pStyle w:val="BodyText"/>
        <w:spacing w:before="12"/>
      </w:pPr>
    </w:p>
    <w:p>
      <w:pPr>
        <w:pStyle w:val="BodyText"/>
        <w:ind w:left="470"/>
      </w:pPr>
      <w:r>
        <w:rPr/>
        <w:t>Changes</w:t>
      </w:r>
      <w:r>
        <w:rPr>
          <w:spacing w:val="-5"/>
        </w:rPr>
        <w:t> </w:t>
      </w:r>
      <w:r>
        <w:rPr/>
        <w:t>in</w:t>
      </w:r>
      <w:r>
        <w:rPr>
          <w:spacing w:val="-3"/>
        </w:rPr>
        <w:t> </w:t>
      </w:r>
      <w:r>
        <w:rPr/>
        <w:t>the</w:t>
      </w:r>
      <w:r>
        <w:rPr>
          <w:spacing w:val="-2"/>
        </w:rPr>
        <w:t> </w:t>
      </w:r>
      <w:r>
        <w:rPr/>
        <w:t>allowance</w:t>
      </w:r>
      <w:r>
        <w:rPr>
          <w:spacing w:val="-3"/>
        </w:rPr>
        <w:t> </w:t>
      </w:r>
      <w:r>
        <w:rPr/>
        <w:t>for</w:t>
      </w:r>
      <w:r>
        <w:rPr>
          <w:spacing w:val="-3"/>
        </w:rPr>
        <w:t> </w:t>
      </w:r>
      <w:r>
        <w:rPr/>
        <w:t>credit</w:t>
      </w:r>
      <w:r>
        <w:rPr>
          <w:spacing w:val="-2"/>
        </w:rPr>
        <w:t> </w:t>
      </w:r>
      <w:r>
        <w:rPr/>
        <w:t>losses</w:t>
      </w:r>
      <w:r>
        <w:rPr>
          <w:spacing w:val="-3"/>
        </w:rPr>
        <w:t> </w:t>
      </w:r>
      <w:r>
        <w:rPr/>
        <w:t>on</w:t>
      </w:r>
      <w:r>
        <w:rPr>
          <w:spacing w:val="-3"/>
        </w:rPr>
        <w:t> </w:t>
      </w:r>
      <w:r>
        <w:rPr/>
        <w:t>bank</w:t>
      </w:r>
      <w:r>
        <w:rPr>
          <w:spacing w:val="-2"/>
        </w:rPr>
        <w:t> </w:t>
      </w:r>
      <w:r>
        <w:rPr/>
        <w:t>loans</w:t>
      </w:r>
      <w:r>
        <w:rPr>
          <w:spacing w:val="-3"/>
        </w:rPr>
        <w:t> </w:t>
      </w:r>
      <w:r>
        <w:rPr/>
        <w:t>were</w:t>
      </w:r>
      <w:r>
        <w:rPr>
          <w:spacing w:val="-3"/>
        </w:rPr>
        <w:t> </w:t>
      </w:r>
      <w:r>
        <w:rPr/>
        <w:t>as</w:t>
      </w:r>
      <w:r>
        <w:rPr>
          <w:spacing w:val="-2"/>
        </w:rPr>
        <w:t> follows:</w:t>
      </w:r>
    </w:p>
    <w:p>
      <w:pPr>
        <w:pStyle w:val="BodyText"/>
        <w:spacing w:before="3"/>
        <w:rPr>
          <w:sz w:val="10"/>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0"/>
        <w:gridCol w:w="2134"/>
        <w:gridCol w:w="840"/>
        <w:gridCol w:w="1410"/>
        <w:gridCol w:w="1065"/>
        <w:gridCol w:w="705"/>
        <w:gridCol w:w="956"/>
      </w:tblGrid>
      <w:tr>
        <w:trPr>
          <w:trHeight w:val="245" w:hRule="atLeast"/>
        </w:trPr>
        <w:tc>
          <w:tcPr>
            <w:tcW w:w="3150" w:type="dxa"/>
            <w:tcBorders>
              <w:top w:val="single" w:sz="4" w:space="0" w:color="000000"/>
              <w:bottom w:val="single" w:sz="4" w:space="0" w:color="000000"/>
            </w:tcBorders>
          </w:tcPr>
          <w:p>
            <w:pPr>
              <w:pStyle w:val="TableParagraph"/>
              <w:spacing w:before="13"/>
              <w:ind w:left="52"/>
              <w:rPr>
                <w:sz w:val="18"/>
              </w:rPr>
            </w:pPr>
            <w:r>
              <w:rPr>
                <w:sz w:val="18"/>
              </w:rPr>
              <w:t>Three</w:t>
            </w:r>
            <w:r>
              <w:rPr>
                <w:spacing w:val="-1"/>
                <w:sz w:val="18"/>
              </w:rPr>
              <w:t> </w:t>
            </w:r>
            <w:r>
              <w:rPr>
                <w:sz w:val="18"/>
              </w:rPr>
              <w:t>Months</w:t>
            </w:r>
            <w:r>
              <w:rPr>
                <w:spacing w:val="-1"/>
                <w:sz w:val="18"/>
              </w:rPr>
              <w:t> </w:t>
            </w:r>
            <w:r>
              <w:rPr>
                <w:spacing w:val="-2"/>
                <w:sz w:val="18"/>
              </w:rPr>
              <w:t>Ended</w:t>
            </w:r>
          </w:p>
        </w:tc>
        <w:tc>
          <w:tcPr>
            <w:tcW w:w="7110" w:type="dxa"/>
            <w:gridSpan w:val="6"/>
            <w:tcBorders>
              <w:top w:val="single" w:sz="4" w:space="0" w:color="000000"/>
              <w:bottom w:val="single" w:sz="4" w:space="0" w:color="000000"/>
            </w:tcBorders>
          </w:tcPr>
          <w:p>
            <w:pPr>
              <w:pStyle w:val="TableParagraph"/>
              <w:rPr>
                <w:sz w:val="16"/>
              </w:rPr>
            </w:pPr>
          </w:p>
        </w:tc>
      </w:tr>
      <w:tr>
        <w:trPr>
          <w:trHeight w:val="425" w:hRule="atLeast"/>
        </w:trPr>
        <w:tc>
          <w:tcPr>
            <w:tcW w:w="3150" w:type="dxa"/>
            <w:tcBorders>
              <w:top w:val="single" w:sz="4" w:space="0" w:color="000000"/>
              <w:bottom w:val="single" w:sz="4" w:space="0" w:color="000000"/>
            </w:tcBorders>
          </w:tcPr>
          <w:p>
            <w:pPr>
              <w:pStyle w:val="TableParagraph"/>
              <w:spacing w:before="193"/>
              <w:ind w:left="52"/>
              <w:rPr>
                <w:sz w:val="18"/>
              </w:rPr>
            </w:pPr>
            <w:r>
              <w:rPr>
                <w:sz w:val="18"/>
              </w:rPr>
              <w:t>September</w:t>
            </w:r>
            <w:r>
              <w:rPr>
                <w:spacing w:val="-1"/>
                <w:sz w:val="18"/>
              </w:rPr>
              <w:t> </w:t>
            </w:r>
            <w:r>
              <w:rPr>
                <w:sz w:val="18"/>
              </w:rPr>
              <w:t>30, </w:t>
            </w:r>
            <w:r>
              <w:rPr>
                <w:spacing w:val="-4"/>
                <w:sz w:val="18"/>
              </w:rPr>
              <w:t>2023</w:t>
            </w:r>
          </w:p>
        </w:tc>
        <w:tc>
          <w:tcPr>
            <w:tcW w:w="2134" w:type="dxa"/>
            <w:tcBorders>
              <w:top w:val="single" w:sz="4" w:space="0" w:color="000000"/>
              <w:bottom w:val="single" w:sz="4" w:space="0" w:color="000000"/>
            </w:tcBorders>
          </w:tcPr>
          <w:p>
            <w:pPr>
              <w:pStyle w:val="TableParagraph"/>
              <w:spacing w:before="193"/>
              <w:ind w:right="104"/>
              <w:jc w:val="right"/>
              <w:rPr>
                <w:sz w:val="18"/>
              </w:rPr>
            </w:pPr>
            <w:r>
              <w:rPr>
                <w:sz w:val="18"/>
              </w:rPr>
              <w:t>First</w:t>
            </w:r>
            <w:r>
              <w:rPr>
                <w:spacing w:val="-2"/>
                <w:sz w:val="18"/>
              </w:rPr>
              <w:t> Mortgages</w:t>
            </w:r>
          </w:p>
        </w:tc>
        <w:tc>
          <w:tcPr>
            <w:tcW w:w="840" w:type="dxa"/>
            <w:tcBorders>
              <w:top w:val="single" w:sz="4" w:space="0" w:color="000000"/>
              <w:bottom w:val="single" w:sz="4" w:space="0" w:color="000000"/>
            </w:tcBorders>
          </w:tcPr>
          <w:p>
            <w:pPr>
              <w:pStyle w:val="TableParagraph"/>
              <w:spacing w:before="193"/>
              <w:ind w:left="66"/>
              <w:rPr>
                <w:sz w:val="18"/>
              </w:rPr>
            </w:pPr>
            <w:r>
              <w:rPr>
                <w:spacing w:val="-2"/>
                <w:sz w:val="18"/>
              </w:rPr>
              <w:t>HELOCs</w:t>
            </w:r>
          </w:p>
        </w:tc>
        <w:tc>
          <w:tcPr>
            <w:tcW w:w="1410" w:type="dxa"/>
            <w:tcBorders>
              <w:top w:val="single" w:sz="4" w:space="0" w:color="000000"/>
              <w:bottom w:val="single" w:sz="4" w:space="0" w:color="000000"/>
            </w:tcBorders>
          </w:tcPr>
          <w:p>
            <w:pPr>
              <w:pStyle w:val="TableParagraph"/>
              <w:spacing w:line="208" w:lineRule="auto" w:before="35"/>
              <w:ind w:left="338" w:right="114" w:hanging="225"/>
              <w:rPr>
                <w:sz w:val="18"/>
              </w:rPr>
            </w:pPr>
            <w:r>
              <w:rPr>
                <w:sz w:val="18"/>
              </w:rPr>
              <w:t>Total</w:t>
            </w:r>
            <w:r>
              <w:rPr>
                <w:spacing w:val="-12"/>
                <w:sz w:val="18"/>
              </w:rPr>
              <w:t> </w:t>
            </w:r>
            <w:r>
              <w:rPr>
                <w:sz w:val="18"/>
              </w:rPr>
              <w:t>residential real estate</w:t>
            </w:r>
          </w:p>
        </w:tc>
        <w:tc>
          <w:tcPr>
            <w:tcW w:w="1065" w:type="dxa"/>
            <w:tcBorders>
              <w:top w:val="single" w:sz="4" w:space="0" w:color="000000"/>
              <w:bottom w:val="single" w:sz="4" w:space="0" w:color="000000"/>
            </w:tcBorders>
          </w:tcPr>
          <w:p>
            <w:pPr>
              <w:pStyle w:val="TableParagraph"/>
              <w:spacing w:line="208" w:lineRule="auto" w:before="35"/>
              <w:ind w:left="146" w:right="176" w:firstLine="77"/>
              <w:rPr>
                <w:sz w:val="18"/>
              </w:rPr>
            </w:pPr>
            <w:r>
              <w:rPr>
                <w:spacing w:val="-2"/>
                <w:sz w:val="18"/>
              </w:rPr>
              <w:t>Pledged </w:t>
            </w:r>
            <w:r>
              <w:rPr>
                <w:sz w:val="18"/>
              </w:rPr>
              <w:t>asset</w:t>
            </w:r>
            <w:r>
              <w:rPr>
                <w:spacing w:val="-2"/>
                <w:sz w:val="18"/>
              </w:rPr>
              <w:t> </w:t>
            </w:r>
            <w:r>
              <w:rPr>
                <w:spacing w:val="-2"/>
                <w:sz w:val="18"/>
              </w:rPr>
              <w:t>lines</w:t>
            </w:r>
          </w:p>
        </w:tc>
        <w:tc>
          <w:tcPr>
            <w:tcW w:w="705" w:type="dxa"/>
            <w:tcBorders>
              <w:top w:val="single" w:sz="4" w:space="0" w:color="000000"/>
              <w:bottom w:val="single" w:sz="4" w:space="0" w:color="000000"/>
            </w:tcBorders>
          </w:tcPr>
          <w:p>
            <w:pPr>
              <w:pStyle w:val="TableParagraph"/>
              <w:spacing w:before="193"/>
              <w:ind w:left="128"/>
              <w:rPr>
                <w:sz w:val="18"/>
              </w:rPr>
            </w:pPr>
            <w:r>
              <w:rPr>
                <w:spacing w:val="-2"/>
                <w:sz w:val="18"/>
              </w:rPr>
              <w:t>Other</w:t>
            </w:r>
          </w:p>
        </w:tc>
        <w:tc>
          <w:tcPr>
            <w:tcW w:w="956" w:type="dxa"/>
            <w:tcBorders>
              <w:top w:val="single" w:sz="4" w:space="0" w:color="000000"/>
              <w:bottom w:val="single" w:sz="4" w:space="0" w:color="000000"/>
            </w:tcBorders>
          </w:tcPr>
          <w:p>
            <w:pPr>
              <w:pStyle w:val="TableParagraph"/>
              <w:spacing w:before="193"/>
              <w:ind w:left="308"/>
              <w:rPr>
                <w:sz w:val="18"/>
              </w:rPr>
            </w:pPr>
            <w:r>
              <w:rPr>
                <w:spacing w:val="-2"/>
                <w:sz w:val="18"/>
              </w:rPr>
              <w:t>Total</w:t>
            </w:r>
          </w:p>
        </w:tc>
      </w:tr>
      <w:tr>
        <w:trPr>
          <w:trHeight w:val="250" w:hRule="atLeast"/>
        </w:trPr>
        <w:tc>
          <w:tcPr>
            <w:tcW w:w="3150" w:type="dxa"/>
            <w:tcBorders>
              <w:top w:val="single" w:sz="4" w:space="0" w:color="000000"/>
            </w:tcBorders>
            <w:shd w:val="clear" w:color="auto" w:fill="CCEDFF"/>
          </w:tcPr>
          <w:p>
            <w:pPr>
              <w:pStyle w:val="TableParagraph"/>
              <w:spacing w:before="13"/>
              <w:ind w:left="52"/>
              <w:rPr>
                <w:sz w:val="18"/>
              </w:rPr>
            </w:pPr>
            <w:r>
              <w:rPr>
                <w:sz w:val="18"/>
              </w:rPr>
              <w:t>Balance at beginning of </w:t>
            </w:r>
            <w:r>
              <w:rPr>
                <w:spacing w:val="-2"/>
                <w:sz w:val="18"/>
              </w:rPr>
              <w:t>period</w:t>
            </w:r>
          </w:p>
        </w:tc>
        <w:tc>
          <w:tcPr>
            <w:tcW w:w="2134" w:type="dxa"/>
            <w:tcBorders>
              <w:top w:val="single" w:sz="4" w:space="0" w:color="000000"/>
            </w:tcBorders>
            <w:shd w:val="clear" w:color="auto" w:fill="CCEDFF"/>
          </w:tcPr>
          <w:p>
            <w:pPr>
              <w:pStyle w:val="TableParagraph"/>
              <w:tabs>
                <w:tab w:pos="952" w:val="left" w:leader="none"/>
              </w:tabs>
              <w:spacing w:before="13"/>
              <w:ind w:right="121"/>
              <w:jc w:val="right"/>
              <w:rPr>
                <w:sz w:val="18"/>
              </w:rPr>
            </w:pPr>
            <w:r>
              <w:rPr>
                <w:spacing w:val="-10"/>
                <w:sz w:val="18"/>
              </w:rPr>
              <w:t>$</w:t>
            </w:r>
            <w:r>
              <w:rPr>
                <w:sz w:val="18"/>
              </w:rPr>
              <w:tab/>
            </w:r>
            <w:r>
              <w:rPr>
                <w:spacing w:val="-5"/>
                <w:sz w:val="18"/>
              </w:rPr>
              <w:t>68</w:t>
            </w:r>
          </w:p>
        </w:tc>
        <w:tc>
          <w:tcPr>
            <w:tcW w:w="840" w:type="dxa"/>
            <w:tcBorders>
              <w:top w:val="single" w:sz="4" w:space="0" w:color="000000"/>
            </w:tcBorders>
            <w:shd w:val="clear" w:color="auto" w:fill="CCEDFF"/>
          </w:tcPr>
          <w:p>
            <w:pPr>
              <w:pStyle w:val="TableParagraph"/>
              <w:tabs>
                <w:tab w:pos="626" w:val="left" w:leader="none"/>
              </w:tabs>
              <w:spacing w:before="13"/>
              <w:ind w:left="63"/>
              <w:rPr>
                <w:sz w:val="18"/>
              </w:rPr>
            </w:pPr>
            <w:r>
              <w:rPr>
                <w:spacing w:val="-10"/>
                <w:sz w:val="18"/>
              </w:rPr>
              <w:t>$</w:t>
            </w:r>
            <w:r>
              <w:rPr>
                <w:sz w:val="18"/>
              </w:rPr>
              <w:tab/>
            </w:r>
            <w:r>
              <w:rPr>
                <w:spacing w:val="-10"/>
                <w:sz w:val="18"/>
              </w:rPr>
              <w:t>3</w:t>
            </w:r>
          </w:p>
        </w:tc>
        <w:tc>
          <w:tcPr>
            <w:tcW w:w="1410" w:type="dxa"/>
            <w:tcBorders>
              <w:top w:val="single" w:sz="4" w:space="0" w:color="000000"/>
            </w:tcBorders>
            <w:shd w:val="clear" w:color="auto" w:fill="CCEDFF"/>
          </w:tcPr>
          <w:p>
            <w:pPr>
              <w:pStyle w:val="TableParagraph"/>
              <w:tabs>
                <w:tab w:pos="1135" w:val="left" w:leader="none"/>
              </w:tabs>
              <w:spacing w:before="13"/>
              <w:ind w:left="63"/>
              <w:rPr>
                <w:sz w:val="18"/>
              </w:rPr>
            </w:pPr>
            <w:r>
              <w:rPr>
                <w:spacing w:val="-10"/>
                <w:sz w:val="18"/>
              </w:rPr>
              <w:t>$</w:t>
            </w:r>
            <w:r>
              <w:rPr>
                <w:sz w:val="18"/>
              </w:rPr>
              <w:tab/>
            </w:r>
            <w:r>
              <w:rPr>
                <w:spacing w:val="-5"/>
                <w:sz w:val="18"/>
              </w:rPr>
              <w:t>71</w:t>
            </w:r>
          </w:p>
        </w:tc>
        <w:tc>
          <w:tcPr>
            <w:tcW w:w="1065" w:type="dxa"/>
            <w:tcBorders>
              <w:top w:val="single" w:sz="4" w:space="0" w:color="000000"/>
            </w:tcBorders>
            <w:shd w:val="clear" w:color="auto" w:fill="CCEDFF"/>
          </w:tcPr>
          <w:p>
            <w:pPr>
              <w:pStyle w:val="TableParagraph"/>
              <w:tabs>
                <w:tab w:pos="757" w:val="left" w:leader="none"/>
              </w:tabs>
              <w:spacing w:before="13"/>
              <w:ind w:right="91"/>
              <w:jc w:val="right"/>
              <w:rPr>
                <w:sz w:val="18"/>
              </w:rPr>
            </w:pPr>
            <w:r>
              <w:rPr>
                <w:spacing w:val="-10"/>
                <w:sz w:val="18"/>
              </w:rPr>
              <w:t>$</w:t>
            </w:r>
            <w:r>
              <w:rPr>
                <w:sz w:val="18"/>
              </w:rPr>
              <w:tab/>
            </w:r>
            <w:r>
              <w:rPr>
                <w:spacing w:val="-10"/>
                <w:sz w:val="18"/>
              </w:rPr>
              <w:t>—</w:t>
            </w:r>
          </w:p>
        </w:tc>
        <w:tc>
          <w:tcPr>
            <w:tcW w:w="705" w:type="dxa"/>
            <w:tcBorders>
              <w:top w:val="single" w:sz="4" w:space="0" w:color="000000"/>
            </w:tcBorders>
            <w:shd w:val="clear" w:color="auto" w:fill="CCEDFF"/>
          </w:tcPr>
          <w:p>
            <w:pPr>
              <w:pStyle w:val="TableParagraph"/>
              <w:tabs>
                <w:tab w:pos="487" w:val="left" w:leader="none"/>
              </w:tabs>
              <w:spacing w:before="13"/>
              <w:ind w:right="91"/>
              <w:jc w:val="right"/>
              <w:rPr>
                <w:sz w:val="18"/>
              </w:rPr>
            </w:pPr>
            <w:r>
              <w:rPr>
                <w:spacing w:val="-10"/>
                <w:sz w:val="18"/>
              </w:rPr>
              <w:t>$</w:t>
            </w:r>
            <w:r>
              <w:rPr>
                <w:sz w:val="18"/>
              </w:rPr>
              <w:tab/>
            </w:r>
            <w:r>
              <w:rPr>
                <w:spacing w:val="-10"/>
                <w:sz w:val="18"/>
              </w:rPr>
              <w:t>4</w:t>
            </w:r>
          </w:p>
        </w:tc>
        <w:tc>
          <w:tcPr>
            <w:tcW w:w="956" w:type="dxa"/>
            <w:tcBorders>
              <w:top w:val="single" w:sz="4" w:space="0" w:color="000000"/>
            </w:tcBorders>
            <w:shd w:val="clear" w:color="auto" w:fill="CCEDFF"/>
          </w:tcPr>
          <w:p>
            <w:pPr>
              <w:pStyle w:val="TableParagraph"/>
              <w:tabs>
                <w:tab w:pos="607" w:val="left" w:leader="none"/>
              </w:tabs>
              <w:spacing w:before="13"/>
              <w:ind w:right="72"/>
              <w:jc w:val="right"/>
              <w:rPr>
                <w:sz w:val="18"/>
              </w:rPr>
            </w:pPr>
            <w:r>
              <w:rPr>
                <w:spacing w:val="-10"/>
                <w:sz w:val="18"/>
              </w:rPr>
              <w:t>$</w:t>
            </w:r>
            <w:r>
              <w:rPr>
                <w:sz w:val="18"/>
              </w:rPr>
              <w:tab/>
            </w:r>
            <w:r>
              <w:rPr>
                <w:spacing w:val="-5"/>
                <w:sz w:val="18"/>
              </w:rPr>
              <w:t>75</w:t>
            </w:r>
          </w:p>
        </w:tc>
      </w:tr>
      <w:tr>
        <w:trPr>
          <w:trHeight w:val="255" w:hRule="atLeast"/>
        </w:trPr>
        <w:tc>
          <w:tcPr>
            <w:tcW w:w="3150" w:type="dxa"/>
          </w:tcPr>
          <w:p>
            <w:pPr>
              <w:pStyle w:val="TableParagraph"/>
              <w:spacing w:before="18"/>
              <w:ind w:left="52"/>
              <w:rPr>
                <w:sz w:val="18"/>
              </w:rPr>
            </w:pPr>
            <w:r>
              <w:rPr>
                <w:sz w:val="18"/>
              </w:rPr>
              <w:t>Charge-</w:t>
            </w:r>
            <w:r>
              <w:rPr>
                <w:spacing w:val="-4"/>
                <w:sz w:val="18"/>
              </w:rPr>
              <w:t>offs</w:t>
            </w:r>
          </w:p>
        </w:tc>
        <w:tc>
          <w:tcPr>
            <w:tcW w:w="2134" w:type="dxa"/>
          </w:tcPr>
          <w:p>
            <w:pPr>
              <w:pStyle w:val="TableParagraph"/>
              <w:spacing w:before="18"/>
              <w:ind w:right="121"/>
              <w:jc w:val="right"/>
              <w:rPr>
                <w:sz w:val="18"/>
              </w:rPr>
            </w:pPr>
            <w:r>
              <w:rPr>
                <w:spacing w:val="-10"/>
                <w:sz w:val="18"/>
              </w:rPr>
              <w:t>—</w:t>
            </w:r>
          </w:p>
        </w:tc>
        <w:tc>
          <w:tcPr>
            <w:tcW w:w="840" w:type="dxa"/>
          </w:tcPr>
          <w:p>
            <w:pPr>
              <w:pStyle w:val="TableParagraph"/>
              <w:spacing w:before="18"/>
              <w:ind w:right="121"/>
              <w:jc w:val="right"/>
              <w:rPr>
                <w:sz w:val="18"/>
              </w:rPr>
            </w:pPr>
            <w:r>
              <w:rPr>
                <w:spacing w:val="-10"/>
                <w:sz w:val="18"/>
              </w:rPr>
              <w:t>—</w:t>
            </w:r>
          </w:p>
        </w:tc>
        <w:tc>
          <w:tcPr>
            <w:tcW w:w="1410" w:type="dxa"/>
          </w:tcPr>
          <w:p>
            <w:pPr>
              <w:pStyle w:val="TableParagraph"/>
              <w:spacing w:before="18"/>
              <w:ind w:right="91"/>
              <w:jc w:val="right"/>
              <w:rPr>
                <w:sz w:val="18"/>
              </w:rPr>
            </w:pPr>
            <w:r>
              <w:rPr>
                <w:spacing w:val="-10"/>
                <w:sz w:val="18"/>
              </w:rPr>
              <w:t>—</w:t>
            </w:r>
          </w:p>
        </w:tc>
        <w:tc>
          <w:tcPr>
            <w:tcW w:w="1065" w:type="dxa"/>
          </w:tcPr>
          <w:p>
            <w:pPr>
              <w:pStyle w:val="TableParagraph"/>
              <w:spacing w:before="18"/>
              <w:ind w:right="91"/>
              <w:jc w:val="right"/>
              <w:rPr>
                <w:sz w:val="18"/>
              </w:rPr>
            </w:pPr>
            <w:r>
              <w:rPr>
                <w:spacing w:val="-10"/>
                <w:sz w:val="18"/>
              </w:rPr>
              <w:t>—</w:t>
            </w:r>
          </w:p>
        </w:tc>
        <w:tc>
          <w:tcPr>
            <w:tcW w:w="705" w:type="dxa"/>
          </w:tcPr>
          <w:p>
            <w:pPr>
              <w:pStyle w:val="TableParagraph"/>
              <w:spacing w:before="18"/>
              <w:ind w:right="91"/>
              <w:jc w:val="right"/>
              <w:rPr>
                <w:sz w:val="18"/>
              </w:rPr>
            </w:pPr>
            <w:r>
              <w:rPr>
                <w:spacing w:val="-10"/>
                <w:sz w:val="18"/>
              </w:rPr>
              <w:t>—</w:t>
            </w:r>
          </w:p>
        </w:tc>
        <w:tc>
          <w:tcPr>
            <w:tcW w:w="956" w:type="dxa"/>
          </w:tcPr>
          <w:p>
            <w:pPr>
              <w:pStyle w:val="TableParagraph"/>
              <w:spacing w:before="18"/>
              <w:ind w:right="72"/>
              <w:jc w:val="right"/>
              <w:rPr>
                <w:sz w:val="18"/>
              </w:rPr>
            </w:pPr>
            <w:r>
              <w:rPr>
                <w:spacing w:val="-10"/>
                <w:sz w:val="18"/>
              </w:rPr>
              <w:t>—</w:t>
            </w:r>
          </w:p>
        </w:tc>
      </w:tr>
      <w:tr>
        <w:trPr>
          <w:trHeight w:val="255" w:hRule="atLeast"/>
        </w:trPr>
        <w:tc>
          <w:tcPr>
            <w:tcW w:w="3150" w:type="dxa"/>
            <w:shd w:val="clear" w:color="auto" w:fill="CCEDFF"/>
          </w:tcPr>
          <w:p>
            <w:pPr>
              <w:pStyle w:val="TableParagraph"/>
              <w:spacing w:before="18"/>
              <w:ind w:left="52"/>
              <w:rPr>
                <w:sz w:val="18"/>
              </w:rPr>
            </w:pPr>
            <w:r>
              <w:rPr>
                <w:spacing w:val="-2"/>
                <w:sz w:val="18"/>
              </w:rPr>
              <w:t>Recoveries</w:t>
            </w:r>
          </w:p>
        </w:tc>
        <w:tc>
          <w:tcPr>
            <w:tcW w:w="2134" w:type="dxa"/>
            <w:shd w:val="clear" w:color="auto" w:fill="CCEDFF"/>
          </w:tcPr>
          <w:p>
            <w:pPr>
              <w:pStyle w:val="TableParagraph"/>
              <w:spacing w:before="18"/>
              <w:ind w:right="121"/>
              <w:jc w:val="right"/>
              <w:rPr>
                <w:sz w:val="18"/>
              </w:rPr>
            </w:pPr>
            <w:r>
              <w:rPr>
                <w:spacing w:val="-10"/>
                <w:sz w:val="18"/>
              </w:rPr>
              <w:t>—</w:t>
            </w:r>
          </w:p>
        </w:tc>
        <w:tc>
          <w:tcPr>
            <w:tcW w:w="840" w:type="dxa"/>
            <w:shd w:val="clear" w:color="auto" w:fill="CCEDFF"/>
          </w:tcPr>
          <w:p>
            <w:pPr>
              <w:pStyle w:val="TableParagraph"/>
              <w:spacing w:before="18"/>
              <w:ind w:right="121"/>
              <w:jc w:val="right"/>
              <w:rPr>
                <w:sz w:val="18"/>
              </w:rPr>
            </w:pPr>
            <w:r>
              <w:rPr>
                <w:spacing w:val="-10"/>
                <w:sz w:val="18"/>
              </w:rPr>
              <w:t>—</w:t>
            </w:r>
          </w:p>
        </w:tc>
        <w:tc>
          <w:tcPr>
            <w:tcW w:w="1410" w:type="dxa"/>
            <w:shd w:val="clear" w:color="auto" w:fill="CCEDFF"/>
          </w:tcPr>
          <w:p>
            <w:pPr>
              <w:pStyle w:val="TableParagraph"/>
              <w:spacing w:before="18"/>
              <w:ind w:right="91"/>
              <w:jc w:val="right"/>
              <w:rPr>
                <w:sz w:val="18"/>
              </w:rPr>
            </w:pPr>
            <w:r>
              <w:rPr>
                <w:spacing w:val="-10"/>
                <w:sz w:val="18"/>
              </w:rPr>
              <w:t>—</w:t>
            </w:r>
          </w:p>
        </w:tc>
        <w:tc>
          <w:tcPr>
            <w:tcW w:w="1065" w:type="dxa"/>
            <w:shd w:val="clear" w:color="auto" w:fill="CCEDFF"/>
          </w:tcPr>
          <w:p>
            <w:pPr>
              <w:pStyle w:val="TableParagraph"/>
              <w:spacing w:before="18"/>
              <w:ind w:right="91"/>
              <w:jc w:val="right"/>
              <w:rPr>
                <w:sz w:val="18"/>
              </w:rPr>
            </w:pPr>
            <w:r>
              <w:rPr>
                <w:spacing w:val="-10"/>
                <w:sz w:val="18"/>
              </w:rPr>
              <w:t>—</w:t>
            </w:r>
          </w:p>
        </w:tc>
        <w:tc>
          <w:tcPr>
            <w:tcW w:w="705" w:type="dxa"/>
            <w:shd w:val="clear" w:color="auto" w:fill="CCEDFF"/>
          </w:tcPr>
          <w:p>
            <w:pPr>
              <w:pStyle w:val="TableParagraph"/>
              <w:spacing w:before="18"/>
              <w:ind w:right="91"/>
              <w:jc w:val="right"/>
              <w:rPr>
                <w:sz w:val="18"/>
              </w:rPr>
            </w:pPr>
            <w:r>
              <w:rPr>
                <w:spacing w:val="-10"/>
                <w:sz w:val="18"/>
              </w:rPr>
              <w:t>—</w:t>
            </w:r>
          </w:p>
        </w:tc>
        <w:tc>
          <w:tcPr>
            <w:tcW w:w="956" w:type="dxa"/>
            <w:shd w:val="clear" w:color="auto" w:fill="CCEDFF"/>
          </w:tcPr>
          <w:p>
            <w:pPr>
              <w:pStyle w:val="TableParagraph"/>
              <w:spacing w:before="18"/>
              <w:ind w:right="72"/>
              <w:jc w:val="right"/>
              <w:rPr>
                <w:sz w:val="18"/>
              </w:rPr>
            </w:pPr>
            <w:r>
              <w:rPr>
                <w:spacing w:val="-10"/>
                <w:sz w:val="18"/>
              </w:rPr>
              <w:t>—</w:t>
            </w:r>
          </w:p>
        </w:tc>
      </w:tr>
      <w:tr>
        <w:trPr>
          <w:trHeight w:val="250" w:hRule="atLeast"/>
        </w:trPr>
        <w:tc>
          <w:tcPr>
            <w:tcW w:w="3150" w:type="dxa"/>
            <w:tcBorders>
              <w:bottom w:val="single" w:sz="4" w:space="0" w:color="000000"/>
            </w:tcBorders>
          </w:tcPr>
          <w:p>
            <w:pPr>
              <w:pStyle w:val="TableParagraph"/>
              <w:spacing w:before="18"/>
              <w:ind w:left="52"/>
              <w:rPr>
                <w:sz w:val="18"/>
              </w:rPr>
            </w:pPr>
            <w:r>
              <w:rPr>
                <w:sz w:val="18"/>
              </w:rPr>
              <w:t>Provision</w:t>
            </w:r>
            <w:r>
              <w:rPr>
                <w:spacing w:val="-3"/>
                <w:sz w:val="18"/>
              </w:rPr>
              <w:t> </w:t>
            </w:r>
            <w:r>
              <w:rPr>
                <w:sz w:val="18"/>
              </w:rPr>
              <w:t>for</w:t>
            </w:r>
            <w:r>
              <w:rPr>
                <w:spacing w:val="-1"/>
                <w:sz w:val="18"/>
              </w:rPr>
              <w:t> </w:t>
            </w:r>
            <w:r>
              <w:rPr>
                <w:sz w:val="18"/>
              </w:rPr>
              <w:t>credit </w:t>
            </w:r>
            <w:r>
              <w:rPr>
                <w:spacing w:val="-2"/>
                <w:sz w:val="18"/>
              </w:rPr>
              <w:t>losses</w:t>
            </w:r>
          </w:p>
        </w:tc>
        <w:tc>
          <w:tcPr>
            <w:tcW w:w="2134" w:type="dxa"/>
            <w:tcBorders>
              <w:bottom w:val="single" w:sz="4" w:space="0" w:color="000000"/>
            </w:tcBorders>
          </w:tcPr>
          <w:p>
            <w:pPr>
              <w:pStyle w:val="TableParagraph"/>
              <w:spacing w:before="18"/>
              <w:ind w:right="61"/>
              <w:jc w:val="right"/>
              <w:rPr>
                <w:sz w:val="18"/>
              </w:rPr>
            </w:pPr>
            <w:r>
              <w:rPr>
                <w:spacing w:val="-4"/>
                <w:sz w:val="18"/>
              </w:rPr>
              <w:t>(21)</w:t>
            </w:r>
          </w:p>
        </w:tc>
        <w:tc>
          <w:tcPr>
            <w:tcW w:w="840" w:type="dxa"/>
            <w:tcBorders>
              <w:bottom w:val="single" w:sz="4" w:space="0" w:color="000000"/>
            </w:tcBorders>
          </w:tcPr>
          <w:p>
            <w:pPr>
              <w:pStyle w:val="TableParagraph"/>
              <w:spacing w:before="18"/>
              <w:ind w:right="61"/>
              <w:jc w:val="right"/>
              <w:rPr>
                <w:sz w:val="18"/>
              </w:rPr>
            </w:pPr>
            <w:r>
              <w:rPr>
                <w:spacing w:val="-5"/>
                <w:sz w:val="18"/>
              </w:rPr>
              <w:t>(1)</w:t>
            </w:r>
          </w:p>
        </w:tc>
        <w:tc>
          <w:tcPr>
            <w:tcW w:w="1410" w:type="dxa"/>
            <w:tcBorders>
              <w:bottom w:val="single" w:sz="4" w:space="0" w:color="000000"/>
            </w:tcBorders>
          </w:tcPr>
          <w:p>
            <w:pPr>
              <w:pStyle w:val="TableParagraph"/>
              <w:spacing w:before="18"/>
              <w:ind w:right="31"/>
              <w:jc w:val="right"/>
              <w:rPr>
                <w:sz w:val="18"/>
              </w:rPr>
            </w:pPr>
            <w:r>
              <w:rPr>
                <w:spacing w:val="-4"/>
                <w:sz w:val="18"/>
              </w:rPr>
              <w:t>(22)</w:t>
            </w:r>
          </w:p>
        </w:tc>
        <w:tc>
          <w:tcPr>
            <w:tcW w:w="1065" w:type="dxa"/>
            <w:tcBorders>
              <w:bottom w:val="single" w:sz="4" w:space="0" w:color="000000"/>
            </w:tcBorders>
          </w:tcPr>
          <w:p>
            <w:pPr>
              <w:pStyle w:val="TableParagraph"/>
              <w:spacing w:before="18"/>
              <w:ind w:right="91"/>
              <w:jc w:val="right"/>
              <w:rPr>
                <w:sz w:val="18"/>
              </w:rPr>
            </w:pPr>
            <w:r>
              <w:rPr>
                <w:spacing w:val="-10"/>
                <w:sz w:val="18"/>
              </w:rPr>
              <w:t>—</w:t>
            </w:r>
          </w:p>
        </w:tc>
        <w:tc>
          <w:tcPr>
            <w:tcW w:w="705" w:type="dxa"/>
            <w:tcBorders>
              <w:bottom w:val="single" w:sz="4" w:space="0" w:color="000000"/>
            </w:tcBorders>
          </w:tcPr>
          <w:p>
            <w:pPr>
              <w:pStyle w:val="TableParagraph"/>
              <w:spacing w:before="18"/>
              <w:ind w:right="91"/>
              <w:jc w:val="right"/>
              <w:rPr>
                <w:sz w:val="18"/>
              </w:rPr>
            </w:pPr>
            <w:r>
              <w:rPr>
                <w:spacing w:val="-10"/>
                <w:sz w:val="18"/>
              </w:rPr>
              <w:t>1</w:t>
            </w:r>
          </w:p>
        </w:tc>
        <w:tc>
          <w:tcPr>
            <w:tcW w:w="956" w:type="dxa"/>
            <w:tcBorders>
              <w:bottom w:val="single" w:sz="4" w:space="0" w:color="000000"/>
            </w:tcBorders>
          </w:tcPr>
          <w:p>
            <w:pPr>
              <w:pStyle w:val="TableParagraph"/>
              <w:spacing w:before="18"/>
              <w:ind w:right="12"/>
              <w:jc w:val="right"/>
              <w:rPr>
                <w:sz w:val="18"/>
              </w:rPr>
            </w:pPr>
            <w:r>
              <w:rPr>
                <w:spacing w:val="-4"/>
                <w:sz w:val="18"/>
              </w:rPr>
              <w:t>(21)</w:t>
            </w:r>
          </w:p>
        </w:tc>
      </w:tr>
      <w:tr>
        <w:trPr>
          <w:trHeight w:val="220" w:hRule="atLeast"/>
        </w:trPr>
        <w:tc>
          <w:tcPr>
            <w:tcW w:w="3150" w:type="dxa"/>
            <w:tcBorders>
              <w:top w:val="single" w:sz="4" w:space="0" w:color="000000"/>
              <w:bottom w:val="double" w:sz="8" w:space="0" w:color="000000"/>
            </w:tcBorders>
            <w:shd w:val="clear" w:color="auto" w:fill="CCEDFF"/>
          </w:tcPr>
          <w:p>
            <w:pPr>
              <w:pStyle w:val="TableParagraph"/>
              <w:spacing w:line="187" w:lineRule="exact" w:before="13"/>
              <w:ind w:left="52"/>
              <w:rPr>
                <w:sz w:val="18"/>
              </w:rPr>
            </w:pPr>
            <w:r>
              <w:rPr>
                <w:sz w:val="18"/>
              </w:rPr>
              <w:t>Balance at end of </w:t>
            </w:r>
            <w:r>
              <w:rPr>
                <w:spacing w:val="-2"/>
                <w:sz w:val="18"/>
              </w:rPr>
              <w:t>period</w:t>
            </w:r>
          </w:p>
        </w:tc>
        <w:tc>
          <w:tcPr>
            <w:tcW w:w="2134" w:type="dxa"/>
            <w:tcBorders>
              <w:top w:val="single" w:sz="4" w:space="0" w:color="000000"/>
              <w:bottom w:val="double" w:sz="8" w:space="0" w:color="000000"/>
            </w:tcBorders>
            <w:shd w:val="clear" w:color="auto" w:fill="CCEDFF"/>
          </w:tcPr>
          <w:p>
            <w:pPr>
              <w:pStyle w:val="TableParagraph"/>
              <w:tabs>
                <w:tab w:pos="952" w:val="left" w:leader="none"/>
              </w:tabs>
              <w:spacing w:line="187" w:lineRule="exact" w:before="13"/>
              <w:ind w:right="121"/>
              <w:jc w:val="right"/>
              <w:rPr>
                <w:sz w:val="18"/>
              </w:rPr>
            </w:pPr>
            <w:r>
              <w:rPr>
                <w:spacing w:val="-10"/>
                <w:sz w:val="18"/>
              </w:rPr>
              <w:t>$</w:t>
            </w:r>
            <w:r>
              <w:rPr>
                <w:sz w:val="18"/>
              </w:rPr>
              <w:tab/>
            </w:r>
            <w:r>
              <w:rPr>
                <w:spacing w:val="-5"/>
                <w:sz w:val="18"/>
              </w:rPr>
              <w:t>47</w:t>
            </w:r>
          </w:p>
        </w:tc>
        <w:tc>
          <w:tcPr>
            <w:tcW w:w="840" w:type="dxa"/>
            <w:tcBorders>
              <w:top w:val="single" w:sz="4" w:space="0" w:color="000000"/>
              <w:bottom w:val="double" w:sz="8" w:space="0" w:color="000000"/>
            </w:tcBorders>
            <w:shd w:val="clear" w:color="auto" w:fill="CCEDFF"/>
          </w:tcPr>
          <w:p>
            <w:pPr>
              <w:pStyle w:val="TableParagraph"/>
              <w:tabs>
                <w:tab w:pos="626" w:val="left" w:leader="none"/>
              </w:tabs>
              <w:spacing w:line="187" w:lineRule="exact" w:before="13"/>
              <w:ind w:left="63"/>
              <w:rPr>
                <w:sz w:val="18"/>
              </w:rPr>
            </w:pPr>
            <w:r>
              <w:rPr>
                <w:spacing w:val="-10"/>
                <w:sz w:val="18"/>
              </w:rPr>
              <w:t>$</w:t>
            </w:r>
            <w:r>
              <w:rPr>
                <w:sz w:val="18"/>
              </w:rPr>
              <w:tab/>
            </w:r>
            <w:r>
              <w:rPr>
                <w:spacing w:val="-10"/>
                <w:sz w:val="18"/>
              </w:rPr>
              <w:t>2</w:t>
            </w:r>
          </w:p>
        </w:tc>
        <w:tc>
          <w:tcPr>
            <w:tcW w:w="1410" w:type="dxa"/>
            <w:tcBorders>
              <w:top w:val="single" w:sz="4" w:space="0" w:color="000000"/>
              <w:bottom w:val="double" w:sz="8" w:space="0" w:color="000000"/>
            </w:tcBorders>
            <w:shd w:val="clear" w:color="auto" w:fill="CCEDFF"/>
          </w:tcPr>
          <w:p>
            <w:pPr>
              <w:pStyle w:val="TableParagraph"/>
              <w:tabs>
                <w:tab w:pos="1135" w:val="left" w:leader="none"/>
              </w:tabs>
              <w:spacing w:line="187" w:lineRule="exact" w:before="13"/>
              <w:ind w:left="63"/>
              <w:rPr>
                <w:sz w:val="18"/>
              </w:rPr>
            </w:pPr>
            <w:r>
              <w:rPr>
                <w:spacing w:val="-10"/>
                <w:sz w:val="18"/>
              </w:rPr>
              <w:t>$</w:t>
            </w:r>
            <w:r>
              <w:rPr>
                <w:sz w:val="18"/>
              </w:rPr>
              <w:tab/>
            </w:r>
            <w:r>
              <w:rPr>
                <w:spacing w:val="-5"/>
                <w:sz w:val="18"/>
              </w:rPr>
              <w:t>49</w:t>
            </w:r>
          </w:p>
        </w:tc>
        <w:tc>
          <w:tcPr>
            <w:tcW w:w="1065" w:type="dxa"/>
            <w:tcBorders>
              <w:top w:val="single" w:sz="4" w:space="0" w:color="000000"/>
              <w:bottom w:val="double" w:sz="8" w:space="0" w:color="000000"/>
            </w:tcBorders>
            <w:shd w:val="clear" w:color="auto" w:fill="CCEDFF"/>
          </w:tcPr>
          <w:p>
            <w:pPr>
              <w:pStyle w:val="TableParagraph"/>
              <w:tabs>
                <w:tab w:pos="757" w:val="left" w:leader="none"/>
              </w:tabs>
              <w:spacing w:line="187" w:lineRule="exact" w:before="13"/>
              <w:ind w:right="91"/>
              <w:jc w:val="right"/>
              <w:rPr>
                <w:sz w:val="18"/>
              </w:rPr>
            </w:pPr>
            <w:r>
              <w:rPr>
                <w:spacing w:val="-10"/>
                <w:sz w:val="18"/>
              </w:rPr>
              <w:t>$</w:t>
            </w:r>
            <w:r>
              <w:rPr>
                <w:sz w:val="18"/>
              </w:rPr>
              <w:tab/>
            </w:r>
            <w:r>
              <w:rPr>
                <w:spacing w:val="-10"/>
                <w:sz w:val="18"/>
              </w:rPr>
              <w:t>—</w:t>
            </w:r>
          </w:p>
        </w:tc>
        <w:tc>
          <w:tcPr>
            <w:tcW w:w="705" w:type="dxa"/>
            <w:tcBorders>
              <w:top w:val="single" w:sz="4" w:space="0" w:color="000000"/>
              <w:bottom w:val="double" w:sz="8" w:space="0" w:color="000000"/>
            </w:tcBorders>
            <w:shd w:val="clear" w:color="auto" w:fill="CCEDFF"/>
          </w:tcPr>
          <w:p>
            <w:pPr>
              <w:pStyle w:val="TableParagraph"/>
              <w:tabs>
                <w:tab w:pos="487" w:val="left" w:leader="none"/>
              </w:tabs>
              <w:spacing w:line="187" w:lineRule="exact" w:before="13"/>
              <w:ind w:right="91"/>
              <w:jc w:val="right"/>
              <w:rPr>
                <w:sz w:val="18"/>
              </w:rPr>
            </w:pPr>
            <w:r>
              <w:rPr>
                <w:spacing w:val="-10"/>
                <w:sz w:val="18"/>
              </w:rPr>
              <w:t>$</w:t>
            </w:r>
            <w:r>
              <w:rPr>
                <w:sz w:val="18"/>
              </w:rPr>
              <w:tab/>
            </w:r>
            <w:r>
              <w:rPr>
                <w:spacing w:val="-10"/>
                <w:sz w:val="18"/>
              </w:rPr>
              <w:t>5</w:t>
            </w:r>
          </w:p>
        </w:tc>
        <w:tc>
          <w:tcPr>
            <w:tcW w:w="956" w:type="dxa"/>
            <w:tcBorders>
              <w:top w:val="single" w:sz="4" w:space="0" w:color="000000"/>
              <w:bottom w:val="double" w:sz="8" w:space="0" w:color="000000"/>
            </w:tcBorders>
            <w:shd w:val="clear" w:color="auto" w:fill="CCEDFF"/>
          </w:tcPr>
          <w:p>
            <w:pPr>
              <w:pStyle w:val="TableParagraph"/>
              <w:tabs>
                <w:tab w:pos="607" w:val="left" w:leader="none"/>
              </w:tabs>
              <w:spacing w:line="187" w:lineRule="exact" w:before="13"/>
              <w:ind w:right="72"/>
              <w:jc w:val="right"/>
              <w:rPr>
                <w:sz w:val="18"/>
              </w:rPr>
            </w:pPr>
            <w:r>
              <w:rPr>
                <w:spacing w:val="-10"/>
                <w:sz w:val="18"/>
              </w:rPr>
              <w:t>$</w:t>
            </w:r>
            <w:r>
              <w:rPr>
                <w:sz w:val="18"/>
              </w:rPr>
              <w:tab/>
            </w:r>
            <w:r>
              <w:rPr>
                <w:spacing w:val="-5"/>
                <w:sz w:val="18"/>
              </w:rPr>
              <w:t>54</w:t>
            </w:r>
          </w:p>
        </w:tc>
      </w:tr>
      <w:tr>
        <w:trPr>
          <w:trHeight w:val="535" w:hRule="atLeast"/>
        </w:trPr>
        <w:tc>
          <w:tcPr>
            <w:tcW w:w="3150" w:type="dxa"/>
            <w:tcBorders>
              <w:top w:val="double" w:sz="8" w:space="0" w:color="000000"/>
              <w:bottom w:val="single" w:sz="4" w:space="0" w:color="000000"/>
            </w:tcBorders>
          </w:tcPr>
          <w:p>
            <w:pPr>
              <w:pStyle w:val="TableParagraph"/>
              <w:spacing w:before="96"/>
              <w:rPr>
                <w:sz w:val="18"/>
              </w:rPr>
            </w:pPr>
          </w:p>
          <w:p>
            <w:pPr>
              <w:pStyle w:val="TableParagraph"/>
              <w:ind w:left="52"/>
              <w:rPr>
                <w:sz w:val="18"/>
              </w:rPr>
            </w:pPr>
            <w:r>
              <w:rPr>
                <w:sz w:val="18"/>
              </w:rPr>
              <w:t>September</w:t>
            </w:r>
            <w:r>
              <w:rPr>
                <w:spacing w:val="-1"/>
                <w:sz w:val="18"/>
              </w:rPr>
              <w:t> </w:t>
            </w:r>
            <w:r>
              <w:rPr>
                <w:sz w:val="18"/>
              </w:rPr>
              <w:t>30, </w:t>
            </w:r>
            <w:r>
              <w:rPr>
                <w:spacing w:val="-4"/>
                <w:sz w:val="18"/>
              </w:rPr>
              <w:t>2022</w:t>
            </w:r>
          </w:p>
        </w:tc>
        <w:tc>
          <w:tcPr>
            <w:tcW w:w="2134" w:type="dxa"/>
            <w:tcBorders>
              <w:top w:val="double" w:sz="8" w:space="0" w:color="000000"/>
              <w:bottom w:val="single" w:sz="4" w:space="0" w:color="000000"/>
            </w:tcBorders>
          </w:tcPr>
          <w:p>
            <w:pPr>
              <w:pStyle w:val="TableParagraph"/>
              <w:rPr>
                <w:sz w:val="16"/>
              </w:rPr>
            </w:pPr>
          </w:p>
        </w:tc>
        <w:tc>
          <w:tcPr>
            <w:tcW w:w="840" w:type="dxa"/>
            <w:tcBorders>
              <w:top w:val="double" w:sz="8" w:space="0" w:color="000000"/>
              <w:bottom w:val="single" w:sz="4" w:space="0" w:color="000000"/>
            </w:tcBorders>
          </w:tcPr>
          <w:p>
            <w:pPr>
              <w:pStyle w:val="TableParagraph"/>
              <w:rPr>
                <w:sz w:val="16"/>
              </w:rPr>
            </w:pPr>
          </w:p>
        </w:tc>
        <w:tc>
          <w:tcPr>
            <w:tcW w:w="1410" w:type="dxa"/>
            <w:tcBorders>
              <w:top w:val="double" w:sz="8" w:space="0" w:color="000000"/>
              <w:bottom w:val="single" w:sz="4" w:space="0" w:color="000000"/>
            </w:tcBorders>
          </w:tcPr>
          <w:p>
            <w:pPr>
              <w:pStyle w:val="TableParagraph"/>
              <w:rPr>
                <w:sz w:val="16"/>
              </w:rPr>
            </w:pPr>
          </w:p>
        </w:tc>
        <w:tc>
          <w:tcPr>
            <w:tcW w:w="1065" w:type="dxa"/>
            <w:tcBorders>
              <w:top w:val="double" w:sz="8" w:space="0" w:color="000000"/>
              <w:bottom w:val="single" w:sz="4" w:space="0" w:color="000000"/>
            </w:tcBorders>
          </w:tcPr>
          <w:p>
            <w:pPr>
              <w:pStyle w:val="TableParagraph"/>
              <w:rPr>
                <w:sz w:val="16"/>
              </w:rPr>
            </w:pPr>
          </w:p>
        </w:tc>
        <w:tc>
          <w:tcPr>
            <w:tcW w:w="705" w:type="dxa"/>
            <w:tcBorders>
              <w:top w:val="double" w:sz="8" w:space="0" w:color="000000"/>
              <w:bottom w:val="single" w:sz="4" w:space="0" w:color="000000"/>
            </w:tcBorders>
          </w:tcPr>
          <w:p>
            <w:pPr>
              <w:pStyle w:val="TableParagraph"/>
              <w:rPr>
                <w:sz w:val="16"/>
              </w:rPr>
            </w:pPr>
          </w:p>
        </w:tc>
        <w:tc>
          <w:tcPr>
            <w:tcW w:w="956" w:type="dxa"/>
            <w:tcBorders>
              <w:top w:val="double" w:sz="8" w:space="0" w:color="000000"/>
              <w:bottom w:val="single" w:sz="4" w:space="0" w:color="000000"/>
            </w:tcBorders>
          </w:tcPr>
          <w:p>
            <w:pPr>
              <w:pStyle w:val="TableParagraph"/>
              <w:rPr>
                <w:sz w:val="16"/>
              </w:rPr>
            </w:pPr>
          </w:p>
        </w:tc>
      </w:tr>
      <w:tr>
        <w:trPr>
          <w:trHeight w:val="250" w:hRule="atLeast"/>
        </w:trPr>
        <w:tc>
          <w:tcPr>
            <w:tcW w:w="3150" w:type="dxa"/>
            <w:tcBorders>
              <w:top w:val="single" w:sz="4" w:space="0" w:color="000000"/>
            </w:tcBorders>
            <w:shd w:val="clear" w:color="auto" w:fill="CCEDFF"/>
          </w:tcPr>
          <w:p>
            <w:pPr>
              <w:pStyle w:val="TableParagraph"/>
              <w:spacing w:before="13"/>
              <w:ind w:left="52"/>
              <w:rPr>
                <w:sz w:val="18"/>
              </w:rPr>
            </w:pPr>
            <w:r>
              <w:rPr>
                <w:sz w:val="18"/>
              </w:rPr>
              <w:t>Balance at beginning of </w:t>
            </w:r>
            <w:r>
              <w:rPr>
                <w:spacing w:val="-2"/>
                <w:sz w:val="18"/>
              </w:rPr>
              <w:t>period</w:t>
            </w:r>
          </w:p>
        </w:tc>
        <w:tc>
          <w:tcPr>
            <w:tcW w:w="2134" w:type="dxa"/>
            <w:tcBorders>
              <w:top w:val="single" w:sz="4" w:space="0" w:color="000000"/>
            </w:tcBorders>
            <w:shd w:val="clear" w:color="auto" w:fill="CCEDFF"/>
          </w:tcPr>
          <w:p>
            <w:pPr>
              <w:pStyle w:val="TableParagraph"/>
              <w:tabs>
                <w:tab w:pos="952" w:val="left" w:leader="none"/>
              </w:tabs>
              <w:spacing w:before="13"/>
              <w:ind w:right="121"/>
              <w:jc w:val="right"/>
              <w:rPr>
                <w:sz w:val="18"/>
              </w:rPr>
            </w:pPr>
            <w:r>
              <w:rPr>
                <w:spacing w:val="-10"/>
                <w:sz w:val="18"/>
              </w:rPr>
              <w:t>$</w:t>
            </w:r>
            <w:r>
              <w:rPr>
                <w:sz w:val="18"/>
              </w:rPr>
              <w:tab/>
            </w:r>
            <w:r>
              <w:rPr>
                <w:spacing w:val="-5"/>
                <w:sz w:val="18"/>
              </w:rPr>
              <w:t>31</w:t>
            </w:r>
          </w:p>
        </w:tc>
        <w:tc>
          <w:tcPr>
            <w:tcW w:w="840" w:type="dxa"/>
            <w:tcBorders>
              <w:top w:val="single" w:sz="4" w:space="0" w:color="000000"/>
            </w:tcBorders>
            <w:shd w:val="clear" w:color="auto" w:fill="CCEDFF"/>
          </w:tcPr>
          <w:p>
            <w:pPr>
              <w:pStyle w:val="TableParagraph"/>
              <w:tabs>
                <w:tab w:pos="626" w:val="left" w:leader="none"/>
              </w:tabs>
              <w:spacing w:before="13"/>
              <w:ind w:left="63"/>
              <w:rPr>
                <w:sz w:val="18"/>
              </w:rPr>
            </w:pPr>
            <w:r>
              <w:rPr>
                <w:spacing w:val="-10"/>
                <w:sz w:val="18"/>
              </w:rPr>
              <w:t>$</w:t>
            </w:r>
            <w:r>
              <w:rPr>
                <w:sz w:val="18"/>
              </w:rPr>
              <w:tab/>
            </w:r>
            <w:r>
              <w:rPr>
                <w:spacing w:val="-10"/>
                <w:sz w:val="18"/>
              </w:rPr>
              <w:t>3</w:t>
            </w:r>
          </w:p>
        </w:tc>
        <w:tc>
          <w:tcPr>
            <w:tcW w:w="1410" w:type="dxa"/>
            <w:tcBorders>
              <w:top w:val="single" w:sz="4" w:space="0" w:color="000000"/>
            </w:tcBorders>
            <w:shd w:val="clear" w:color="auto" w:fill="CCEDFF"/>
          </w:tcPr>
          <w:p>
            <w:pPr>
              <w:pStyle w:val="TableParagraph"/>
              <w:tabs>
                <w:tab w:pos="1135" w:val="left" w:leader="none"/>
              </w:tabs>
              <w:spacing w:before="13"/>
              <w:ind w:left="63"/>
              <w:rPr>
                <w:sz w:val="18"/>
              </w:rPr>
            </w:pPr>
            <w:r>
              <w:rPr>
                <w:spacing w:val="-10"/>
                <w:sz w:val="18"/>
              </w:rPr>
              <w:t>$</w:t>
            </w:r>
            <w:r>
              <w:rPr>
                <w:sz w:val="18"/>
              </w:rPr>
              <w:tab/>
            </w:r>
            <w:r>
              <w:rPr>
                <w:spacing w:val="-5"/>
                <w:sz w:val="18"/>
              </w:rPr>
              <w:t>34</w:t>
            </w:r>
          </w:p>
        </w:tc>
        <w:tc>
          <w:tcPr>
            <w:tcW w:w="1065" w:type="dxa"/>
            <w:tcBorders>
              <w:top w:val="single" w:sz="4" w:space="0" w:color="000000"/>
            </w:tcBorders>
            <w:shd w:val="clear" w:color="auto" w:fill="CCEDFF"/>
          </w:tcPr>
          <w:p>
            <w:pPr>
              <w:pStyle w:val="TableParagraph"/>
              <w:tabs>
                <w:tab w:pos="757" w:val="left" w:leader="none"/>
              </w:tabs>
              <w:spacing w:before="13"/>
              <w:ind w:right="91"/>
              <w:jc w:val="right"/>
              <w:rPr>
                <w:sz w:val="18"/>
              </w:rPr>
            </w:pPr>
            <w:r>
              <w:rPr>
                <w:spacing w:val="-10"/>
                <w:sz w:val="18"/>
              </w:rPr>
              <w:t>$</w:t>
            </w:r>
            <w:r>
              <w:rPr>
                <w:sz w:val="18"/>
              </w:rPr>
              <w:tab/>
            </w:r>
            <w:r>
              <w:rPr>
                <w:spacing w:val="-10"/>
                <w:sz w:val="18"/>
              </w:rPr>
              <w:t>—</w:t>
            </w:r>
          </w:p>
        </w:tc>
        <w:tc>
          <w:tcPr>
            <w:tcW w:w="705" w:type="dxa"/>
            <w:tcBorders>
              <w:top w:val="single" w:sz="4" w:space="0" w:color="000000"/>
            </w:tcBorders>
            <w:shd w:val="clear" w:color="auto" w:fill="CCEDFF"/>
          </w:tcPr>
          <w:p>
            <w:pPr>
              <w:pStyle w:val="TableParagraph"/>
              <w:tabs>
                <w:tab w:pos="487" w:val="left" w:leader="none"/>
              </w:tabs>
              <w:spacing w:before="13"/>
              <w:ind w:right="91"/>
              <w:jc w:val="right"/>
              <w:rPr>
                <w:sz w:val="18"/>
              </w:rPr>
            </w:pPr>
            <w:r>
              <w:rPr>
                <w:spacing w:val="-10"/>
                <w:sz w:val="18"/>
              </w:rPr>
              <w:t>$</w:t>
            </w:r>
            <w:r>
              <w:rPr>
                <w:sz w:val="18"/>
              </w:rPr>
              <w:tab/>
            </w:r>
            <w:r>
              <w:rPr>
                <w:spacing w:val="-10"/>
                <w:sz w:val="18"/>
              </w:rPr>
              <w:t>3</w:t>
            </w:r>
          </w:p>
        </w:tc>
        <w:tc>
          <w:tcPr>
            <w:tcW w:w="956" w:type="dxa"/>
            <w:tcBorders>
              <w:top w:val="single" w:sz="4" w:space="0" w:color="000000"/>
            </w:tcBorders>
            <w:shd w:val="clear" w:color="auto" w:fill="CCEDFF"/>
          </w:tcPr>
          <w:p>
            <w:pPr>
              <w:pStyle w:val="TableParagraph"/>
              <w:tabs>
                <w:tab w:pos="607" w:val="left" w:leader="none"/>
              </w:tabs>
              <w:spacing w:before="13"/>
              <w:ind w:right="72"/>
              <w:jc w:val="right"/>
              <w:rPr>
                <w:sz w:val="18"/>
              </w:rPr>
            </w:pPr>
            <w:r>
              <w:rPr>
                <w:spacing w:val="-10"/>
                <w:sz w:val="18"/>
              </w:rPr>
              <w:t>$</w:t>
            </w:r>
            <w:r>
              <w:rPr>
                <w:sz w:val="18"/>
              </w:rPr>
              <w:tab/>
            </w:r>
            <w:r>
              <w:rPr>
                <w:spacing w:val="-5"/>
                <w:sz w:val="18"/>
              </w:rPr>
              <w:t>37</w:t>
            </w:r>
          </w:p>
        </w:tc>
      </w:tr>
      <w:tr>
        <w:trPr>
          <w:trHeight w:val="255" w:hRule="atLeast"/>
        </w:trPr>
        <w:tc>
          <w:tcPr>
            <w:tcW w:w="3150" w:type="dxa"/>
          </w:tcPr>
          <w:p>
            <w:pPr>
              <w:pStyle w:val="TableParagraph"/>
              <w:spacing w:before="18"/>
              <w:ind w:left="52"/>
              <w:rPr>
                <w:sz w:val="18"/>
              </w:rPr>
            </w:pPr>
            <w:r>
              <w:rPr>
                <w:sz w:val="18"/>
              </w:rPr>
              <w:t>Charge-</w:t>
            </w:r>
            <w:r>
              <w:rPr>
                <w:spacing w:val="-4"/>
                <w:sz w:val="18"/>
              </w:rPr>
              <w:t>offs</w:t>
            </w:r>
          </w:p>
        </w:tc>
        <w:tc>
          <w:tcPr>
            <w:tcW w:w="2134" w:type="dxa"/>
          </w:tcPr>
          <w:p>
            <w:pPr>
              <w:pStyle w:val="TableParagraph"/>
              <w:spacing w:before="18"/>
              <w:ind w:right="121"/>
              <w:jc w:val="right"/>
              <w:rPr>
                <w:sz w:val="18"/>
              </w:rPr>
            </w:pPr>
            <w:r>
              <w:rPr>
                <w:spacing w:val="-10"/>
                <w:sz w:val="18"/>
              </w:rPr>
              <w:t>—</w:t>
            </w:r>
          </w:p>
        </w:tc>
        <w:tc>
          <w:tcPr>
            <w:tcW w:w="840" w:type="dxa"/>
          </w:tcPr>
          <w:p>
            <w:pPr>
              <w:pStyle w:val="TableParagraph"/>
              <w:spacing w:before="18"/>
              <w:ind w:right="121"/>
              <w:jc w:val="right"/>
              <w:rPr>
                <w:sz w:val="18"/>
              </w:rPr>
            </w:pPr>
            <w:r>
              <w:rPr>
                <w:spacing w:val="-10"/>
                <w:sz w:val="18"/>
              </w:rPr>
              <w:t>—</w:t>
            </w:r>
          </w:p>
        </w:tc>
        <w:tc>
          <w:tcPr>
            <w:tcW w:w="1410" w:type="dxa"/>
          </w:tcPr>
          <w:p>
            <w:pPr>
              <w:pStyle w:val="TableParagraph"/>
              <w:spacing w:before="18"/>
              <w:ind w:right="91"/>
              <w:jc w:val="right"/>
              <w:rPr>
                <w:sz w:val="18"/>
              </w:rPr>
            </w:pPr>
            <w:r>
              <w:rPr>
                <w:spacing w:val="-10"/>
                <w:sz w:val="18"/>
              </w:rPr>
              <w:t>—</w:t>
            </w:r>
          </w:p>
        </w:tc>
        <w:tc>
          <w:tcPr>
            <w:tcW w:w="1065" w:type="dxa"/>
          </w:tcPr>
          <w:p>
            <w:pPr>
              <w:pStyle w:val="TableParagraph"/>
              <w:spacing w:before="18"/>
              <w:ind w:right="31"/>
              <w:jc w:val="right"/>
              <w:rPr>
                <w:sz w:val="18"/>
              </w:rPr>
            </w:pPr>
            <w:r>
              <w:rPr>
                <w:spacing w:val="-5"/>
                <w:sz w:val="18"/>
              </w:rPr>
              <w:t>(4)</w:t>
            </w:r>
          </w:p>
        </w:tc>
        <w:tc>
          <w:tcPr>
            <w:tcW w:w="705" w:type="dxa"/>
          </w:tcPr>
          <w:p>
            <w:pPr>
              <w:pStyle w:val="TableParagraph"/>
              <w:spacing w:before="18"/>
              <w:ind w:right="91"/>
              <w:jc w:val="right"/>
              <w:rPr>
                <w:sz w:val="18"/>
              </w:rPr>
            </w:pPr>
            <w:r>
              <w:rPr>
                <w:spacing w:val="-10"/>
                <w:sz w:val="18"/>
              </w:rPr>
              <w:t>—</w:t>
            </w:r>
          </w:p>
        </w:tc>
        <w:tc>
          <w:tcPr>
            <w:tcW w:w="956" w:type="dxa"/>
          </w:tcPr>
          <w:p>
            <w:pPr>
              <w:pStyle w:val="TableParagraph"/>
              <w:spacing w:before="18"/>
              <w:ind w:right="12"/>
              <w:jc w:val="right"/>
              <w:rPr>
                <w:sz w:val="18"/>
              </w:rPr>
            </w:pPr>
            <w:r>
              <w:rPr>
                <w:spacing w:val="-5"/>
                <w:sz w:val="18"/>
              </w:rPr>
              <w:t>(4)</w:t>
            </w:r>
          </w:p>
        </w:tc>
      </w:tr>
      <w:tr>
        <w:trPr>
          <w:trHeight w:val="255" w:hRule="atLeast"/>
        </w:trPr>
        <w:tc>
          <w:tcPr>
            <w:tcW w:w="3150" w:type="dxa"/>
            <w:shd w:val="clear" w:color="auto" w:fill="CCEDFF"/>
          </w:tcPr>
          <w:p>
            <w:pPr>
              <w:pStyle w:val="TableParagraph"/>
              <w:spacing w:before="18"/>
              <w:ind w:left="52"/>
              <w:rPr>
                <w:sz w:val="18"/>
              </w:rPr>
            </w:pPr>
            <w:r>
              <w:rPr>
                <w:spacing w:val="-2"/>
                <w:sz w:val="18"/>
              </w:rPr>
              <w:t>Recoveries</w:t>
            </w:r>
          </w:p>
        </w:tc>
        <w:tc>
          <w:tcPr>
            <w:tcW w:w="2134" w:type="dxa"/>
            <w:shd w:val="clear" w:color="auto" w:fill="CCEDFF"/>
          </w:tcPr>
          <w:p>
            <w:pPr>
              <w:pStyle w:val="TableParagraph"/>
              <w:spacing w:before="18"/>
              <w:ind w:right="121"/>
              <w:jc w:val="right"/>
              <w:rPr>
                <w:sz w:val="18"/>
              </w:rPr>
            </w:pPr>
            <w:r>
              <w:rPr>
                <w:spacing w:val="-10"/>
                <w:sz w:val="18"/>
              </w:rPr>
              <w:t>—</w:t>
            </w:r>
          </w:p>
        </w:tc>
        <w:tc>
          <w:tcPr>
            <w:tcW w:w="840" w:type="dxa"/>
            <w:shd w:val="clear" w:color="auto" w:fill="CCEDFF"/>
          </w:tcPr>
          <w:p>
            <w:pPr>
              <w:pStyle w:val="TableParagraph"/>
              <w:spacing w:before="18"/>
              <w:ind w:right="121"/>
              <w:jc w:val="right"/>
              <w:rPr>
                <w:sz w:val="18"/>
              </w:rPr>
            </w:pPr>
            <w:r>
              <w:rPr>
                <w:spacing w:val="-10"/>
                <w:sz w:val="18"/>
              </w:rPr>
              <w:t>1</w:t>
            </w:r>
          </w:p>
        </w:tc>
        <w:tc>
          <w:tcPr>
            <w:tcW w:w="1410" w:type="dxa"/>
            <w:shd w:val="clear" w:color="auto" w:fill="CCEDFF"/>
          </w:tcPr>
          <w:p>
            <w:pPr>
              <w:pStyle w:val="TableParagraph"/>
              <w:spacing w:before="18"/>
              <w:ind w:right="91"/>
              <w:jc w:val="right"/>
              <w:rPr>
                <w:sz w:val="18"/>
              </w:rPr>
            </w:pPr>
            <w:r>
              <w:rPr>
                <w:spacing w:val="-10"/>
                <w:sz w:val="18"/>
              </w:rPr>
              <w:t>1</w:t>
            </w:r>
          </w:p>
        </w:tc>
        <w:tc>
          <w:tcPr>
            <w:tcW w:w="1065" w:type="dxa"/>
            <w:shd w:val="clear" w:color="auto" w:fill="CCEDFF"/>
          </w:tcPr>
          <w:p>
            <w:pPr>
              <w:pStyle w:val="TableParagraph"/>
              <w:spacing w:before="18"/>
              <w:ind w:right="91"/>
              <w:jc w:val="right"/>
              <w:rPr>
                <w:sz w:val="18"/>
              </w:rPr>
            </w:pPr>
            <w:r>
              <w:rPr>
                <w:spacing w:val="-10"/>
                <w:sz w:val="18"/>
              </w:rPr>
              <w:t>—</w:t>
            </w:r>
          </w:p>
        </w:tc>
        <w:tc>
          <w:tcPr>
            <w:tcW w:w="705" w:type="dxa"/>
            <w:shd w:val="clear" w:color="auto" w:fill="CCEDFF"/>
          </w:tcPr>
          <w:p>
            <w:pPr>
              <w:pStyle w:val="TableParagraph"/>
              <w:spacing w:before="18"/>
              <w:ind w:right="91"/>
              <w:jc w:val="right"/>
              <w:rPr>
                <w:sz w:val="18"/>
              </w:rPr>
            </w:pPr>
            <w:r>
              <w:rPr>
                <w:spacing w:val="-10"/>
                <w:sz w:val="18"/>
              </w:rPr>
              <w:t>—</w:t>
            </w:r>
          </w:p>
        </w:tc>
        <w:tc>
          <w:tcPr>
            <w:tcW w:w="956" w:type="dxa"/>
            <w:shd w:val="clear" w:color="auto" w:fill="CCEDFF"/>
          </w:tcPr>
          <w:p>
            <w:pPr>
              <w:pStyle w:val="TableParagraph"/>
              <w:spacing w:before="18"/>
              <w:ind w:right="72"/>
              <w:jc w:val="right"/>
              <w:rPr>
                <w:sz w:val="18"/>
              </w:rPr>
            </w:pPr>
            <w:r>
              <w:rPr>
                <w:spacing w:val="-10"/>
                <w:sz w:val="18"/>
              </w:rPr>
              <w:t>1</w:t>
            </w:r>
          </w:p>
        </w:tc>
      </w:tr>
      <w:tr>
        <w:trPr>
          <w:trHeight w:val="250" w:hRule="atLeast"/>
        </w:trPr>
        <w:tc>
          <w:tcPr>
            <w:tcW w:w="3150" w:type="dxa"/>
            <w:tcBorders>
              <w:bottom w:val="single" w:sz="4" w:space="0" w:color="000000"/>
            </w:tcBorders>
          </w:tcPr>
          <w:p>
            <w:pPr>
              <w:pStyle w:val="TableParagraph"/>
              <w:spacing w:before="18"/>
              <w:ind w:left="52"/>
              <w:rPr>
                <w:sz w:val="18"/>
              </w:rPr>
            </w:pPr>
            <w:r>
              <w:rPr>
                <w:sz w:val="18"/>
              </w:rPr>
              <w:t>Provision</w:t>
            </w:r>
            <w:r>
              <w:rPr>
                <w:spacing w:val="-3"/>
                <w:sz w:val="18"/>
              </w:rPr>
              <w:t> </w:t>
            </w:r>
            <w:r>
              <w:rPr>
                <w:sz w:val="18"/>
              </w:rPr>
              <w:t>for</w:t>
            </w:r>
            <w:r>
              <w:rPr>
                <w:spacing w:val="-1"/>
                <w:sz w:val="18"/>
              </w:rPr>
              <w:t> </w:t>
            </w:r>
            <w:r>
              <w:rPr>
                <w:sz w:val="18"/>
              </w:rPr>
              <w:t>credit </w:t>
            </w:r>
            <w:r>
              <w:rPr>
                <w:spacing w:val="-2"/>
                <w:sz w:val="18"/>
              </w:rPr>
              <w:t>losses</w:t>
            </w:r>
          </w:p>
        </w:tc>
        <w:tc>
          <w:tcPr>
            <w:tcW w:w="2134" w:type="dxa"/>
            <w:tcBorders>
              <w:bottom w:val="single" w:sz="4" w:space="0" w:color="000000"/>
            </w:tcBorders>
          </w:tcPr>
          <w:p>
            <w:pPr>
              <w:pStyle w:val="TableParagraph"/>
              <w:spacing w:before="18"/>
              <w:ind w:right="121"/>
              <w:jc w:val="right"/>
              <w:rPr>
                <w:sz w:val="18"/>
              </w:rPr>
            </w:pPr>
            <w:r>
              <w:rPr>
                <w:spacing w:val="-5"/>
                <w:sz w:val="18"/>
              </w:rPr>
              <w:t>11</w:t>
            </w:r>
          </w:p>
        </w:tc>
        <w:tc>
          <w:tcPr>
            <w:tcW w:w="840" w:type="dxa"/>
            <w:tcBorders>
              <w:bottom w:val="single" w:sz="4" w:space="0" w:color="000000"/>
            </w:tcBorders>
          </w:tcPr>
          <w:p>
            <w:pPr>
              <w:pStyle w:val="TableParagraph"/>
              <w:spacing w:before="18"/>
              <w:ind w:right="121"/>
              <w:jc w:val="right"/>
              <w:rPr>
                <w:sz w:val="18"/>
              </w:rPr>
            </w:pPr>
            <w:r>
              <w:rPr>
                <w:spacing w:val="-10"/>
                <w:sz w:val="18"/>
              </w:rPr>
              <w:t>—</w:t>
            </w:r>
          </w:p>
        </w:tc>
        <w:tc>
          <w:tcPr>
            <w:tcW w:w="1410" w:type="dxa"/>
            <w:tcBorders>
              <w:bottom w:val="single" w:sz="4" w:space="0" w:color="000000"/>
            </w:tcBorders>
          </w:tcPr>
          <w:p>
            <w:pPr>
              <w:pStyle w:val="TableParagraph"/>
              <w:spacing w:before="18"/>
              <w:ind w:right="91"/>
              <w:jc w:val="right"/>
              <w:rPr>
                <w:sz w:val="18"/>
              </w:rPr>
            </w:pPr>
            <w:r>
              <w:rPr>
                <w:spacing w:val="-5"/>
                <w:sz w:val="18"/>
              </w:rPr>
              <w:t>11</w:t>
            </w:r>
          </w:p>
        </w:tc>
        <w:tc>
          <w:tcPr>
            <w:tcW w:w="1065" w:type="dxa"/>
            <w:tcBorders>
              <w:bottom w:val="single" w:sz="4" w:space="0" w:color="000000"/>
            </w:tcBorders>
          </w:tcPr>
          <w:p>
            <w:pPr>
              <w:pStyle w:val="TableParagraph"/>
              <w:spacing w:before="18"/>
              <w:ind w:right="91"/>
              <w:jc w:val="right"/>
              <w:rPr>
                <w:sz w:val="18"/>
              </w:rPr>
            </w:pPr>
            <w:r>
              <w:rPr>
                <w:spacing w:val="-10"/>
                <w:sz w:val="18"/>
              </w:rPr>
              <w:t>4</w:t>
            </w:r>
          </w:p>
        </w:tc>
        <w:tc>
          <w:tcPr>
            <w:tcW w:w="705" w:type="dxa"/>
            <w:tcBorders>
              <w:bottom w:val="single" w:sz="4" w:space="0" w:color="000000"/>
            </w:tcBorders>
          </w:tcPr>
          <w:p>
            <w:pPr>
              <w:pStyle w:val="TableParagraph"/>
              <w:spacing w:before="18"/>
              <w:ind w:right="91"/>
              <w:jc w:val="right"/>
              <w:rPr>
                <w:sz w:val="18"/>
              </w:rPr>
            </w:pPr>
            <w:r>
              <w:rPr>
                <w:spacing w:val="-10"/>
                <w:sz w:val="18"/>
              </w:rPr>
              <w:t>—</w:t>
            </w:r>
          </w:p>
        </w:tc>
        <w:tc>
          <w:tcPr>
            <w:tcW w:w="956" w:type="dxa"/>
            <w:tcBorders>
              <w:bottom w:val="single" w:sz="4" w:space="0" w:color="000000"/>
            </w:tcBorders>
          </w:tcPr>
          <w:p>
            <w:pPr>
              <w:pStyle w:val="TableParagraph"/>
              <w:spacing w:before="18"/>
              <w:ind w:right="72"/>
              <w:jc w:val="right"/>
              <w:rPr>
                <w:sz w:val="18"/>
              </w:rPr>
            </w:pPr>
            <w:r>
              <w:rPr>
                <w:spacing w:val="-5"/>
                <w:sz w:val="18"/>
              </w:rPr>
              <w:t>15</w:t>
            </w:r>
          </w:p>
        </w:tc>
      </w:tr>
      <w:tr>
        <w:trPr>
          <w:trHeight w:val="260" w:hRule="atLeast"/>
        </w:trPr>
        <w:tc>
          <w:tcPr>
            <w:tcW w:w="3150" w:type="dxa"/>
            <w:tcBorders>
              <w:top w:val="single" w:sz="4" w:space="0" w:color="000000"/>
              <w:bottom w:val="single" w:sz="8" w:space="0" w:color="000000"/>
            </w:tcBorders>
            <w:shd w:val="clear" w:color="auto" w:fill="CCEDFF"/>
          </w:tcPr>
          <w:p>
            <w:pPr>
              <w:pStyle w:val="TableParagraph"/>
              <w:spacing w:before="13"/>
              <w:ind w:left="52"/>
              <w:rPr>
                <w:sz w:val="18"/>
              </w:rPr>
            </w:pPr>
            <w:r>
              <w:rPr/>
              <mc:AlternateContent>
                <mc:Choice Requires="wps">
                  <w:drawing>
                    <wp:anchor distT="0" distB="0" distL="0" distR="0" allowOverlap="1" layoutInCell="1" locked="0" behindDoc="1" simplePos="0" relativeHeight="475921408">
                      <wp:simplePos x="0" y="0"/>
                      <wp:positionH relativeFrom="column">
                        <wp:posOffset>0</wp:posOffset>
                      </wp:positionH>
                      <wp:positionV relativeFrom="paragraph">
                        <wp:posOffset>139602</wp:posOffset>
                      </wp:positionV>
                      <wp:extent cx="6515100" cy="12700"/>
                      <wp:effectExtent l="0" t="0" r="0" b="0"/>
                      <wp:wrapNone/>
                      <wp:docPr id="350" name="Group 350"/>
                      <wp:cNvGraphicFramePr>
                        <a:graphicFrameLocks/>
                      </wp:cNvGraphicFramePr>
                      <a:graphic>
                        <a:graphicData uri="http://schemas.microsoft.com/office/word/2010/wordprocessingGroup">
                          <wpg:wgp>
                            <wpg:cNvPr id="350" name="Group 350"/>
                            <wpg:cNvGrpSpPr/>
                            <wpg:grpSpPr>
                              <a:xfrm>
                                <a:off x="0" y="0"/>
                                <a:ext cx="6515100" cy="12700"/>
                                <a:chExt cx="6515100" cy="12700"/>
                              </a:xfrm>
                            </wpg:grpSpPr>
                            <wps:wsp>
                              <wps:cNvPr id="351" name="Graphic 351"/>
                              <wps:cNvSpPr/>
                              <wps:spPr>
                                <a:xfrm>
                                  <a:off x="0" y="0"/>
                                  <a:ext cx="6515100" cy="12700"/>
                                </a:xfrm>
                                <a:custGeom>
                                  <a:avLst/>
                                  <a:gdLst/>
                                  <a:ahLst/>
                                  <a:cxnLst/>
                                  <a:rect l="l" t="t" r="r" b="b"/>
                                  <a:pathLst>
                                    <a:path w="6515100" h="12700">
                                      <a:moveTo>
                                        <a:pt x="0" y="12700"/>
                                      </a:moveTo>
                                      <a:lnTo>
                                        <a:pt x="6515100" y="12700"/>
                                      </a:lnTo>
                                      <a:lnTo>
                                        <a:pt x="6515100" y="0"/>
                                      </a:lnTo>
                                      <a:lnTo>
                                        <a:pt x="0" y="0"/>
                                      </a:lnTo>
                                      <a:lnTo>
                                        <a:pt x="0" y="127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992346pt;width:513pt;height:1pt;mso-position-horizontal-relative:column;mso-position-vertical-relative:paragraph;z-index:-27395072" id="docshapegroup240" coordorigin="0,220" coordsize="10260,20">
                      <v:rect style="position:absolute;left:0;top:219;width:10260;height:20" id="docshape241" filled="true" fillcolor="#000000" stroked="false">
                        <v:fill opacity="0f" type="solid"/>
                      </v:rect>
                      <w10:wrap type="none"/>
                    </v:group>
                  </w:pict>
                </mc:Fallback>
              </mc:AlternateContent>
            </w:r>
            <w:r>
              <w:rPr>
                <w:sz w:val="18"/>
              </w:rPr>
              <w:t>Balance at end of </w:t>
            </w:r>
            <w:r>
              <w:rPr>
                <w:spacing w:val="-2"/>
                <w:sz w:val="18"/>
              </w:rPr>
              <w:t>period</w:t>
            </w:r>
          </w:p>
        </w:tc>
        <w:tc>
          <w:tcPr>
            <w:tcW w:w="2134" w:type="dxa"/>
            <w:tcBorders>
              <w:top w:val="single" w:sz="4" w:space="0" w:color="000000"/>
              <w:bottom w:val="single" w:sz="8" w:space="0" w:color="000000"/>
            </w:tcBorders>
            <w:shd w:val="clear" w:color="auto" w:fill="CCEDFF"/>
          </w:tcPr>
          <w:p>
            <w:pPr>
              <w:pStyle w:val="TableParagraph"/>
              <w:tabs>
                <w:tab w:pos="952" w:val="left" w:leader="none"/>
              </w:tabs>
              <w:spacing w:before="13"/>
              <w:ind w:right="121"/>
              <w:jc w:val="right"/>
              <w:rPr>
                <w:sz w:val="18"/>
              </w:rPr>
            </w:pPr>
            <w:r>
              <w:rPr>
                <w:spacing w:val="-10"/>
                <w:sz w:val="18"/>
              </w:rPr>
              <w:t>$</w:t>
            </w:r>
            <w:r>
              <w:rPr>
                <w:sz w:val="18"/>
              </w:rPr>
              <w:tab/>
            </w:r>
            <w:r>
              <w:rPr>
                <w:spacing w:val="-5"/>
                <w:sz w:val="18"/>
              </w:rPr>
              <w:t>42</w:t>
            </w:r>
          </w:p>
        </w:tc>
        <w:tc>
          <w:tcPr>
            <w:tcW w:w="840" w:type="dxa"/>
            <w:tcBorders>
              <w:top w:val="single" w:sz="4" w:space="0" w:color="000000"/>
              <w:bottom w:val="single" w:sz="8" w:space="0" w:color="000000"/>
            </w:tcBorders>
            <w:shd w:val="clear" w:color="auto" w:fill="CCEDFF"/>
          </w:tcPr>
          <w:p>
            <w:pPr>
              <w:pStyle w:val="TableParagraph"/>
              <w:tabs>
                <w:tab w:pos="626" w:val="left" w:leader="none"/>
              </w:tabs>
              <w:spacing w:before="13"/>
              <w:ind w:left="63"/>
              <w:rPr>
                <w:sz w:val="18"/>
              </w:rPr>
            </w:pPr>
            <w:r>
              <w:rPr>
                <w:spacing w:val="-10"/>
                <w:sz w:val="18"/>
              </w:rPr>
              <w:t>$</w:t>
            </w:r>
            <w:r>
              <w:rPr>
                <w:sz w:val="18"/>
              </w:rPr>
              <w:tab/>
            </w:r>
            <w:r>
              <w:rPr>
                <w:spacing w:val="-10"/>
                <w:sz w:val="18"/>
              </w:rPr>
              <w:t>4</w:t>
            </w:r>
          </w:p>
        </w:tc>
        <w:tc>
          <w:tcPr>
            <w:tcW w:w="1410" w:type="dxa"/>
            <w:tcBorders>
              <w:top w:val="single" w:sz="4" w:space="0" w:color="000000"/>
              <w:bottom w:val="single" w:sz="8" w:space="0" w:color="000000"/>
            </w:tcBorders>
            <w:shd w:val="clear" w:color="auto" w:fill="CCEDFF"/>
          </w:tcPr>
          <w:p>
            <w:pPr>
              <w:pStyle w:val="TableParagraph"/>
              <w:tabs>
                <w:tab w:pos="1135" w:val="left" w:leader="none"/>
              </w:tabs>
              <w:spacing w:before="13"/>
              <w:ind w:left="63"/>
              <w:rPr>
                <w:sz w:val="18"/>
              </w:rPr>
            </w:pPr>
            <w:r>
              <w:rPr>
                <w:spacing w:val="-10"/>
                <w:sz w:val="18"/>
              </w:rPr>
              <w:t>$</w:t>
            </w:r>
            <w:r>
              <w:rPr>
                <w:sz w:val="18"/>
              </w:rPr>
              <w:tab/>
            </w:r>
            <w:r>
              <w:rPr>
                <w:spacing w:val="-5"/>
                <w:sz w:val="18"/>
              </w:rPr>
              <w:t>46</w:t>
            </w:r>
          </w:p>
        </w:tc>
        <w:tc>
          <w:tcPr>
            <w:tcW w:w="1065" w:type="dxa"/>
            <w:tcBorders>
              <w:top w:val="single" w:sz="4" w:space="0" w:color="000000"/>
              <w:bottom w:val="single" w:sz="8" w:space="0" w:color="000000"/>
            </w:tcBorders>
            <w:shd w:val="clear" w:color="auto" w:fill="CCEDFF"/>
          </w:tcPr>
          <w:p>
            <w:pPr>
              <w:pStyle w:val="TableParagraph"/>
              <w:tabs>
                <w:tab w:pos="757" w:val="left" w:leader="none"/>
              </w:tabs>
              <w:spacing w:before="13"/>
              <w:ind w:right="91"/>
              <w:jc w:val="right"/>
              <w:rPr>
                <w:sz w:val="18"/>
              </w:rPr>
            </w:pPr>
            <w:r>
              <w:rPr>
                <w:spacing w:val="-10"/>
                <w:sz w:val="18"/>
              </w:rPr>
              <w:t>$</w:t>
            </w:r>
            <w:r>
              <w:rPr>
                <w:sz w:val="18"/>
              </w:rPr>
              <w:tab/>
            </w:r>
            <w:r>
              <w:rPr>
                <w:spacing w:val="-10"/>
                <w:sz w:val="18"/>
              </w:rPr>
              <w:t>—</w:t>
            </w:r>
          </w:p>
        </w:tc>
        <w:tc>
          <w:tcPr>
            <w:tcW w:w="705" w:type="dxa"/>
            <w:tcBorders>
              <w:top w:val="single" w:sz="4" w:space="0" w:color="000000"/>
              <w:bottom w:val="single" w:sz="8" w:space="0" w:color="000000"/>
            </w:tcBorders>
            <w:shd w:val="clear" w:color="auto" w:fill="CCEDFF"/>
          </w:tcPr>
          <w:p>
            <w:pPr>
              <w:pStyle w:val="TableParagraph"/>
              <w:tabs>
                <w:tab w:pos="487" w:val="left" w:leader="none"/>
              </w:tabs>
              <w:spacing w:before="13"/>
              <w:ind w:right="91"/>
              <w:jc w:val="right"/>
              <w:rPr>
                <w:sz w:val="18"/>
              </w:rPr>
            </w:pPr>
            <w:r>
              <w:rPr>
                <w:spacing w:val="-10"/>
                <w:sz w:val="18"/>
              </w:rPr>
              <w:t>$</w:t>
            </w:r>
            <w:r>
              <w:rPr>
                <w:sz w:val="18"/>
              </w:rPr>
              <w:tab/>
            </w:r>
            <w:r>
              <w:rPr>
                <w:spacing w:val="-10"/>
                <w:sz w:val="18"/>
              </w:rPr>
              <w:t>3</w:t>
            </w:r>
          </w:p>
        </w:tc>
        <w:tc>
          <w:tcPr>
            <w:tcW w:w="956" w:type="dxa"/>
            <w:tcBorders>
              <w:top w:val="single" w:sz="4" w:space="0" w:color="000000"/>
              <w:bottom w:val="single" w:sz="8" w:space="0" w:color="000000"/>
            </w:tcBorders>
            <w:shd w:val="clear" w:color="auto" w:fill="CCEDFF"/>
          </w:tcPr>
          <w:p>
            <w:pPr>
              <w:pStyle w:val="TableParagraph"/>
              <w:tabs>
                <w:tab w:pos="607" w:val="left" w:leader="none"/>
              </w:tabs>
              <w:spacing w:before="13"/>
              <w:ind w:right="72"/>
              <w:jc w:val="right"/>
              <w:rPr>
                <w:sz w:val="18"/>
              </w:rPr>
            </w:pPr>
            <w:r>
              <w:rPr>
                <w:spacing w:val="-10"/>
                <w:sz w:val="18"/>
              </w:rPr>
              <w:t>$</w:t>
            </w:r>
            <w:r>
              <w:rPr>
                <w:sz w:val="18"/>
              </w:rPr>
              <w:tab/>
            </w:r>
            <w:r>
              <w:rPr>
                <w:spacing w:val="-5"/>
                <w:sz w:val="18"/>
              </w:rPr>
              <w:t>49</w:t>
            </w:r>
          </w:p>
        </w:tc>
      </w:tr>
    </w:tbl>
    <w:p>
      <w:pPr>
        <w:spacing w:after="0"/>
        <w:jc w:val="right"/>
        <w:rPr>
          <w:sz w:val="18"/>
        </w:rPr>
        <w:sectPr>
          <w:pgSz w:w="12240" w:h="15840"/>
          <w:pgMar w:header="227" w:footer="201" w:top="1080" w:bottom="400" w:left="520" w:right="520"/>
        </w:sectPr>
      </w:pPr>
    </w:p>
    <w:p>
      <w:pPr>
        <w:pStyle w:val="BodyText"/>
        <w:spacing w:before="32"/>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0"/>
        <w:gridCol w:w="2134"/>
        <w:gridCol w:w="840"/>
        <w:gridCol w:w="1410"/>
        <w:gridCol w:w="1065"/>
        <w:gridCol w:w="705"/>
        <w:gridCol w:w="956"/>
      </w:tblGrid>
      <w:tr>
        <w:trPr>
          <w:trHeight w:val="245" w:hRule="atLeast"/>
        </w:trPr>
        <w:tc>
          <w:tcPr>
            <w:tcW w:w="3150" w:type="dxa"/>
            <w:tcBorders>
              <w:top w:val="single" w:sz="4" w:space="0" w:color="000000"/>
              <w:bottom w:val="single" w:sz="4" w:space="0" w:color="000000"/>
            </w:tcBorders>
          </w:tcPr>
          <w:p>
            <w:pPr>
              <w:pStyle w:val="TableParagraph"/>
              <w:spacing w:before="13"/>
              <w:ind w:left="52"/>
              <w:rPr>
                <w:sz w:val="18"/>
              </w:rPr>
            </w:pPr>
            <w:r>
              <w:rPr>
                <w:sz w:val="18"/>
              </w:rPr>
              <w:t>Nine</w:t>
            </w:r>
            <w:r>
              <w:rPr>
                <w:spacing w:val="-2"/>
                <w:sz w:val="18"/>
              </w:rPr>
              <w:t> </w:t>
            </w:r>
            <w:r>
              <w:rPr>
                <w:sz w:val="18"/>
              </w:rPr>
              <w:t>Months</w:t>
            </w:r>
            <w:r>
              <w:rPr>
                <w:spacing w:val="-1"/>
                <w:sz w:val="18"/>
              </w:rPr>
              <w:t> </w:t>
            </w:r>
            <w:r>
              <w:rPr>
                <w:spacing w:val="-2"/>
                <w:sz w:val="18"/>
              </w:rPr>
              <w:t>Ended</w:t>
            </w:r>
          </w:p>
        </w:tc>
        <w:tc>
          <w:tcPr>
            <w:tcW w:w="2134" w:type="dxa"/>
            <w:tcBorders>
              <w:top w:val="single" w:sz="4" w:space="0" w:color="000000"/>
              <w:bottom w:val="single" w:sz="4" w:space="0" w:color="000000"/>
            </w:tcBorders>
          </w:tcPr>
          <w:p>
            <w:pPr>
              <w:pStyle w:val="TableParagraph"/>
              <w:rPr>
                <w:sz w:val="16"/>
              </w:rPr>
            </w:pPr>
          </w:p>
        </w:tc>
        <w:tc>
          <w:tcPr>
            <w:tcW w:w="840" w:type="dxa"/>
            <w:tcBorders>
              <w:top w:val="single" w:sz="4" w:space="0" w:color="000000"/>
              <w:bottom w:val="single" w:sz="4" w:space="0" w:color="000000"/>
            </w:tcBorders>
          </w:tcPr>
          <w:p>
            <w:pPr>
              <w:pStyle w:val="TableParagraph"/>
              <w:rPr>
                <w:sz w:val="16"/>
              </w:rPr>
            </w:pPr>
          </w:p>
        </w:tc>
        <w:tc>
          <w:tcPr>
            <w:tcW w:w="1410" w:type="dxa"/>
            <w:tcBorders>
              <w:top w:val="single" w:sz="4" w:space="0" w:color="000000"/>
              <w:bottom w:val="single" w:sz="4" w:space="0" w:color="000000"/>
            </w:tcBorders>
          </w:tcPr>
          <w:p>
            <w:pPr>
              <w:pStyle w:val="TableParagraph"/>
              <w:rPr>
                <w:sz w:val="16"/>
              </w:rPr>
            </w:pPr>
          </w:p>
        </w:tc>
        <w:tc>
          <w:tcPr>
            <w:tcW w:w="1065" w:type="dxa"/>
            <w:tcBorders>
              <w:top w:val="single" w:sz="4" w:space="0" w:color="000000"/>
              <w:bottom w:val="single" w:sz="4" w:space="0" w:color="000000"/>
            </w:tcBorders>
          </w:tcPr>
          <w:p>
            <w:pPr>
              <w:pStyle w:val="TableParagraph"/>
              <w:rPr>
                <w:sz w:val="16"/>
              </w:rPr>
            </w:pPr>
          </w:p>
        </w:tc>
        <w:tc>
          <w:tcPr>
            <w:tcW w:w="705" w:type="dxa"/>
            <w:tcBorders>
              <w:top w:val="single" w:sz="4" w:space="0" w:color="000000"/>
              <w:bottom w:val="single" w:sz="4" w:space="0" w:color="000000"/>
            </w:tcBorders>
          </w:tcPr>
          <w:p>
            <w:pPr>
              <w:pStyle w:val="TableParagraph"/>
              <w:rPr>
                <w:sz w:val="16"/>
              </w:rPr>
            </w:pPr>
          </w:p>
        </w:tc>
        <w:tc>
          <w:tcPr>
            <w:tcW w:w="956" w:type="dxa"/>
            <w:tcBorders>
              <w:top w:val="single" w:sz="4" w:space="0" w:color="000000"/>
              <w:bottom w:val="single" w:sz="4" w:space="0" w:color="000000"/>
            </w:tcBorders>
          </w:tcPr>
          <w:p>
            <w:pPr>
              <w:pStyle w:val="TableParagraph"/>
              <w:rPr>
                <w:sz w:val="16"/>
              </w:rPr>
            </w:pPr>
          </w:p>
        </w:tc>
      </w:tr>
      <w:tr>
        <w:trPr>
          <w:trHeight w:val="425" w:hRule="atLeast"/>
        </w:trPr>
        <w:tc>
          <w:tcPr>
            <w:tcW w:w="3150" w:type="dxa"/>
            <w:tcBorders>
              <w:top w:val="single" w:sz="4" w:space="0" w:color="000000"/>
              <w:bottom w:val="single" w:sz="4" w:space="0" w:color="000000"/>
            </w:tcBorders>
          </w:tcPr>
          <w:p>
            <w:pPr>
              <w:pStyle w:val="TableParagraph"/>
              <w:spacing w:before="193"/>
              <w:ind w:left="52"/>
              <w:rPr>
                <w:sz w:val="18"/>
              </w:rPr>
            </w:pPr>
            <w:r>
              <w:rPr>
                <w:sz w:val="18"/>
              </w:rPr>
              <w:t>September</w:t>
            </w:r>
            <w:r>
              <w:rPr>
                <w:spacing w:val="-1"/>
                <w:sz w:val="18"/>
              </w:rPr>
              <w:t> </w:t>
            </w:r>
            <w:r>
              <w:rPr>
                <w:sz w:val="18"/>
              </w:rPr>
              <w:t>30, </w:t>
            </w:r>
            <w:r>
              <w:rPr>
                <w:spacing w:val="-4"/>
                <w:sz w:val="18"/>
              </w:rPr>
              <w:t>2023</w:t>
            </w:r>
          </w:p>
        </w:tc>
        <w:tc>
          <w:tcPr>
            <w:tcW w:w="2134" w:type="dxa"/>
            <w:tcBorders>
              <w:top w:val="single" w:sz="4" w:space="0" w:color="000000"/>
              <w:bottom w:val="single" w:sz="4" w:space="0" w:color="000000"/>
            </w:tcBorders>
          </w:tcPr>
          <w:p>
            <w:pPr>
              <w:pStyle w:val="TableParagraph"/>
              <w:spacing w:before="193"/>
              <w:ind w:right="104"/>
              <w:jc w:val="right"/>
              <w:rPr>
                <w:sz w:val="18"/>
              </w:rPr>
            </w:pPr>
            <w:r>
              <w:rPr>
                <w:sz w:val="18"/>
              </w:rPr>
              <w:t>First</w:t>
            </w:r>
            <w:r>
              <w:rPr>
                <w:spacing w:val="-2"/>
                <w:sz w:val="18"/>
              </w:rPr>
              <w:t> Mortgages</w:t>
            </w:r>
          </w:p>
        </w:tc>
        <w:tc>
          <w:tcPr>
            <w:tcW w:w="840" w:type="dxa"/>
            <w:tcBorders>
              <w:top w:val="single" w:sz="4" w:space="0" w:color="000000"/>
              <w:bottom w:val="single" w:sz="4" w:space="0" w:color="000000"/>
            </w:tcBorders>
          </w:tcPr>
          <w:p>
            <w:pPr>
              <w:pStyle w:val="TableParagraph"/>
              <w:spacing w:before="193"/>
              <w:ind w:left="66"/>
              <w:rPr>
                <w:sz w:val="18"/>
              </w:rPr>
            </w:pPr>
            <w:r>
              <w:rPr>
                <w:spacing w:val="-2"/>
                <w:sz w:val="18"/>
              </w:rPr>
              <w:t>HELOCs</w:t>
            </w:r>
          </w:p>
        </w:tc>
        <w:tc>
          <w:tcPr>
            <w:tcW w:w="1410" w:type="dxa"/>
            <w:tcBorders>
              <w:top w:val="single" w:sz="4" w:space="0" w:color="000000"/>
              <w:bottom w:val="single" w:sz="4" w:space="0" w:color="000000"/>
            </w:tcBorders>
          </w:tcPr>
          <w:p>
            <w:pPr>
              <w:pStyle w:val="TableParagraph"/>
              <w:spacing w:line="208" w:lineRule="auto" w:before="35"/>
              <w:ind w:left="338" w:right="114" w:hanging="225"/>
              <w:rPr>
                <w:sz w:val="18"/>
              </w:rPr>
            </w:pPr>
            <w:r>
              <w:rPr>
                <w:sz w:val="18"/>
              </w:rPr>
              <w:t>Total</w:t>
            </w:r>
            <w:r>
              <w:rPr>
                <w:spacing w:val="-12"/>
                <w:sz w:val="18"/>
              </w:rPr>
              <w:t> </w:t>
            </w:r>
            <w:r>
              <w:rPr>
                <w:sz w:val="18"/>
              </w:rPr>
              <w:t>residential real estate</w:t>
            </w:r>
          </w:p>
        </w:tc>
        <w:tc>
          <w:tcPr>
            <w:tcW w:w="1065" w:type="dxa"/>
            <w:tcBorders>
              <w:top w:val="single" w:sz="4" w:space="0" w:color="000000"/>
              <w:bottom w:val="single" w:sz="4" w:space="0" w:color="000000"/>
            </w:tcBorders>
          </w:tcPr>
          <w:p>
            <w:pPr>
              <w:pStyle w:val="TableParagraph"/>
              <w:spacing w:line="208" w:lineRule="auto" w:before="35"/>
              <w:ind w:left="146" w:right="176" w:firstLine="77"/>
              <w:rPr>
                <w:sz w:val="18"/>
              </w:rPr>
            </w:pPr>
            <w:r>
              <w:rPr>
                <w:spacing w:val="-2"/>
                <w:sz w:val="18"/>
              </w:rPr>
              <w:t>Pledged </w:t>
            </w:r>
            <w:r>
              <w:rPr>
                <w:sz w:val="18"/>
              </w:rPr>
              <w:t>asset</w:t>
            </w:r>
            <w:r>
              <w:rPr>
                <w:spacing w:val="-2"/>
                <w:sz w:val="18"/>
              </w:rPr>
              <w:t> </w:t>
            </w:r>
            <w:r>
              <w:rPr>
                <w:spacing w:val="-2"/>
                <w:sz w:val="18"/>
              </w:rPr>
              <w:t>lines</w:t>
            </w:r>
          </w:p>
        </w:tc>
        <w:tc>
          <w:tcPr>
            <w:tcW w:w="705" w:type="dxa"/>
            <w:tcBorders>
              <w:top w:val="single" w:sz="4" w:space="0" w:color="000000"/>
              <w:bottom w:val="single" w:sz="4" w:space="0" w:color="000000"/>
            </w:tcBorders>
          </w:tcPr>
          <w:p>
            <w:pPr>
              <w:pStyle w:val="TableParagraph"/>
              <w:spacing w:before="193"/>
              <w:ind w:left="128"/>
              <w:rPr>
                <w:sz w:val="18"/>
              </w:rPr>
            </w:pPr>
            <w:r>
              <w:rPr>
                <w:spacing w:val="-2"/>
                <w:sz w:val="18"/>
              </w:rPr>
              <w:t>Other</w:t>
            </w:r>
          </w:p>
        </w:tc>
        <w:tc>
          <w:tcPr>
            <w:tcW w:w="956" w:type="dxa"/>
            <w:tcBorders>
              <w:top w:val="single" w:sz="4" w:space="0" w:color="000000"/>
              <w:bottom w:val="single" w:sz="4" w:space="0" w:color="000000"/>
            </w:tcBorders>
          </w:tcPr>
          <w:p>
            <w:pPr>
              <w:pStyle w:val="TableParagraph"/>
              <w:spacing w:before="193"/>
              <w:ind w:left="308"/>
              <w:rPr>
                <w:sz w:val="18"/>
              </w:rPr>
            </w:pPr>
            <w:r>
              <w:rPr>
                <w:spacing w:val="-2"/>
                <w:sz w:val="18"/>
              </w:rPr>
              <w:t>Total</w:t>
            </w:r>
          </w:p>
        </w:tc>
      </w:tr>
      <w:tr>
        <w:trPr>
          <w:trHeight w:val="250" w:hRule="atLeast"/>
        </w:trPr>
        <w:tc>
          <w:tcPr>
            <w:tcW w:w="3150" w:type="dxa"/>
            <w:tcBorders>
              <w:top w:val="single" w:sz="4" w:space="0" w:color="000000"/>
            </w:tcBorders>
            <w:shd w:val="clear" w:color="auto" w:fill="CCEDFF"/>
          </w:tcPr>
          <w:p>
            <w:pPr>
              <w:pStyle w:val="TableParagraph"/>
              <w:spacing w:before="13"/>
              <w:ind w:left="52"/>
              <w:rPr>
                <w:sz w:val="18"/>
              </w:rPr>
            </w:pPr>
            <w:r>
              <w:rPr>
                <w:sz w:val="18"/>
              </w:rPr>
              <w:t>Balance at beginning of </w:t>
            </w:r>
            <w:r>
              <w:rPr>
                <w:spacing w:val="-2"/>
                <w:sz w:val="18"/>
              </w:rPr>
              <w:t>period</w:t>
            </w:r>
          </w:p>
        </w:tc>
        <w:tc>
          <w:tcPr>
            <w:tcW w:w="2134" w:type="dxa"/>
            <w:tcBorders>
              <w:top w:val="single" w:sz="4" w:space="0" w:color="000000"/>
            </w:tcBorders>
            <w:shd w:val="clear" w:color="auto" w:fill="CCEDFF"/>
          </w:tcPr>
          <w:p>
            <w:pPr>
              <w:pStyle w:val="TableParagraph"/>
              <w:tabs>
                <w:tab w:pos="952" w:val="left" w:leader="none"/>
              </w:tabs>
              <w:spacing w:before="13"/>
              <w:ind w:right="121"/>
              <w:jc w:val="right"/>
              <w:rPr>
                <w:sz w:val="18"/>
              </w:rPr>
            </w:pPr>
            <w:r>
              <w:rPr>
                <w:spacing w:val="-10"/>
                <w:sz w:val="18"/>
              </w:rPr>
              <w:t>$</w:t>
            </w:r>
            <w:r>
              <w:rPr>
                <w:sz w:val="18"/>
              </w:rPr>
              <w:tab/>
            </w:r>
            <w:r>
              <w:rPr>
                <w:spacing w:val="-5"/>
                <w:sz w:val="18"/>
              </w:rPr>
              <w:t>66</w:t>
            </w:r>
          </w:p>
        </w:tc>
        <w:tc>
          <w:tcPr>
            <w:tcW w:w="840" w:type="dxa"/>
            <w:tcBorders>
              <w:top w:val="single" w:sz="4" w:space="0" w:color="000000"/>
            </w:tcBorders>
            <w:shd w:val="clear" w:color="auto" w:fill="CCEDFF"/>
          </w:tcPr>
          <w:p>
            <w:pPr>
              <w:pStyle w:val="TableParagraph"/>
              <w:tabs>
                <w:tab w:pos="626" w:val="left" w:leader="none"/>
              </w:tabs>
              <w:spacing w:before="13"/>
              <w:ind w:left="63"/>
              <w:rPr>
                <w:sz w:val="18"/>
              </w:rPr>
            </w:pPr>
            <w:r>
              <w:rPr>
                <w:spacing w:val="-10"/>
                <w:sz w:val="18"/>
              </w:rPr>
              <w:t>$</w:t>
            </w:r>
            <w:r>
              <w:rPr>
                <w:sz w:val="18"/>
              </w:rPr>
              <w:tab/>
            </w:r>
            <w:r>
              <w:rPr>
                <w:spacing w:val="-10"/>
                <w:sz w:val="18"/>
              </w:rPr>
              <w:t>4</w:t>
            </w:r>
          </w:p>
        </w:tc>
        <w:tc>
          <w:tcPr>
            <w:tcW w:w="1410" w:type="dxa"/>
            <w:tcBorders>
              <w:top w:val="single" w:sz="4" w:space="0" w:color="000000"/>
            </w:tcBorders>
            <w:shd w:val="clear" w:color="auto" w:fill="CCEDFF"/>
          </w:tcPr>
          <w:p>
            <w:pPr>
              <w:pStyle w:val="TableParagraph"/>
              <w:tabs>
                <w:tab w:pos="1135" w:val="left" w:leader="none"/>
              </w:tabs>
              <w:spacing w:before="13"/>
              <w:ind w:left="63"/>
              <w:rPr>
                <w:sz w:val="18"/>
              </w:rPr>
            </w:pPr>
            <w:r>
              <w:rPr>
                <w:spacing w:val="-10"/>
                <w:sz w:val="18"/>
              </w:rPr>
              <w:t>$</w:t>
            </w:r>
            <w:r>
              <w:rPr>
                <w:sz w:val="18"/>
              </w:rPr>
              <w:tab/>
            </w:r>
            <w:r>
              <w:rPr>
                <w:spacing w:val="-5"/>
                <w:sz w:val="18"/>
              </w:rPr>
              <w:t>70</w:t>
            </w:r>
          </w:p>
        </w:tc>
        <w:tc>
          <w:tcPr>
            <w:tcW w:w="1065" w:type="dxa"/>
            <w:tcBorders>
              <w:top w:val="single" w:sz="4" w:space="0" w:color="000000"/>
            </w:tcBorders>
            <w:shd w:val="clear" w:color="auto" w:fill="CCEDFF"/>
          </w:tcPr>
          <w:p>
            <w:pPr>
              <w:pStyle w:val="TableParagraph"/>
              <w:tabs>
                <w:tab w:pos="757" w:val="left" w:leader="none"/>
              </w:tabs>
              <w:spacing w:before="13"/>
              <w:ind w:right="91"/>
              <w:jc w:val="right"/>
              <w:rPr>
                <w:sz w:val="18"/>
              </w:rPr>
            </w:pPr>
            <w:r>
              <w:rPr>
                <w:spacing w:val="-10"/>
                <w:sz w:val="18"/>
              </w:rPr>
              <w:t>$</w:t>
            </w:r>
            <w:r>
              <w:rPr>
                <w:sz w:val="18"/>
              </w:rPr>
              <w:tab/>
            </w:r>
            <w:r>
              <w:rPr>
                <w:spacing w:val="-10"/>
                <w:sz w:val="18"/>
              </w:rPr>
              <w:t>—</w:t>
            </w:r>
          </w:p>
        </w:tc>
        <w:tc>
          <w:tcPr>
            <w:tcW w:w="705" w:type="dxa"/>
            <w:tcBorders>
              <w:top w:val="single" w:sz="4" w:space="0" w:color="000000"/>
            </w:tcBorders>
            <w:shd w:val="clear" w:color="auto" w:fill="CCEDFF"/>
          </w:tcPr>
          <w:p>
            <w:pPr>
              <w:pStyle w:val="TableParagraph"/>
              <w:tabs>
                <w:tab w:pos="487" w:val="left" w:leader="none"/>
              </w:tabs>
              <w:spacing w:before="13"/>
              <w:ind w:right="91"/>
              <w:jc w:val="right"/>
              <w:rPr>
                <w:sz w:val="18"/>
              </w:rPr>
            </w:pPr>
            <w:r>
              <w:rPr>
                <w:spacing w:val="-10"/>
                <w:sz w:val="18"/>
              </w:rPr>
              <w:t>$</w:t>
            </w:r>
            <w:r>
              <w:rPr>
                <w:sz w:val="18"/>
              </w:rPr>
              <w:tab/>
            </w:r>
            <w:r>
              <w:rPr>
                <w:spacing w:val="-10"/>
                <w:sz w:val="18"/>
              </w:rPr>
              <w:t>3</w:t>
            </w:r>
          </w:p>
        </w:tc>
        <w:tc>
          <w:tcPr>
            <w:tcW w:w="956" w:type="dxa"/>
            <w:tcBorders>
              <w:top w:val="single" w:sz="4" w:space="0" w:color="000000"/>
            </w:tcBorders>
            <w:shd w:val="clear" w:color="auto" w:fill="CCEDFF"/>
          </w:tcPr>
          <w:p>
            <w:pPr>
              <w:pStyle w:val="TableParagraph"/>
              <w:tabs>
                <w:tab w:pos="607" w:val="left" w:leader="none"/>
              </w:tabs>
              <w:spacing w:before="13"/>
              <w:ind w:right="72"/>
              <w:jc w:val="right"/>
              <w:rPr>
                <w:sz w:val="18"/>
              </w:rPr>
            </w:pPr>
            <w:r>
              <w:rPr>
                <w:spacing w:val="-10"/>
                <w:sz w:val="18"/>
              </w:rPr>
              <w:t>$</w:t>
            </w:r>
            <w:r>
              <w:rPr>
                <w:sz w:val="18"/>
              </w:rPr>
              <w:tab/>
            </w:r>
            <w:r>
              <w:rPr>
                <w:spacing w:val="-5"/>
                <w:sz w:val="18"/>
              </w:rPr>
              <w:t>73</w:t>
            </w:r>
          </w:p>
        </w:tc>
      </w:tr>
      <w:tr>
        <w:trPr>
          <w:trHeight w:val="255" w:hRule="atLeast"/>
        </w:trPr>
        <w:tc>
          <w:tcPr>
            <w:tcW w:w="3150" w:type="dxa"/>
          </w:tcPr>
          <w:p>
            <w:pPr>
              <w:pStyle w:val="TableParagraph"/>
              <w:spacing w:before="18"/>
              <w:ind w:left="52"/>
              <w:rPr>
                <w:sz w:val="18"/>
              </w:rPr>
            </w:pPr>
            <w:r>
              <w:rPr>
                <w:sz w:val="18"/>
              </w:rPr>
              <w:t>Charge-</w:t>
            </w:r>
            <w:r>
              <w:rPr>
                <w:spacing w:val="-4"/>
                <w:sz w:val="18"/>
              </w:rPr>
              <w:t>offs</w:t>
            </w:r>
          </w:p>
        </w:tc>
        <w:tc>
          <w:tcPr>
            <w:tcW w:w="2134" w:type="dxa"/>
          </w:tcPr>
          <w:p>
            <w:pPr>
              <w:pStyle w:val="TableParagraph"/>
              <w:spacing w:before="18"/>
              <w:ind w:right="121"/>
              <w:jc w:val="right"/>
              <w:rPr>
                <w:sz w:val="18"/>
              </w:rPr>
            </w:pPr>
            <w:r>
              <w:rPr>
                <w:spacing w:val="-10"/>
                <w:sz w:val="18"/>
              </w:rPr>
              <w:t>—</w:t>
            </w:r>
          </w:p>
        </w:tc>
        <w:tc>
          <w:tcPr>
            <w:tcW w:w="840" w:type="dxa"/>
          </w:tcPr>
          <w:p>
            <w:pPr>
              <w:pStyle w:val="TableParagraph"/>
              <w:spacing w:before="18"/>
              <w:ind w:right="121"/>
              <w:jc w:val="right"/>
              <w:rPr>
                <w:sz w:val="18"/>
              </w:rPr>
            </w:pPr>
            <w:r>
              <w:rPr>
                <w:spacing w:val="-10"/>
                <w:sz w:val="18"/>
              </w:rPr>
              <w:t>—</w:t>
            </w:r>
          </w:p>
        </w:tc>
        <w:tc>
          <w:tcPr>
            <w:tcW w:w="1410" w:type="dxa"/>
          </w:tcPr>
          <w:p>
            <w:pPr>
              <w:pStyle w:val="TableParagraph"/>
              <w:spacing w:before="18"/>
              <w:ind w:right="91"/>
              <w:jc w:val="right"/>
              <w:rPr>
                <w:sz w:val="18"/>
              </w:rPr>
            </w:pPr>
            <w:r>
              <w:rPr>
                <w:spacing w:val="-10"/>
                <w:sz w:val="18"/>
              </w:rPr>
              <w:t>—</w:t>
            </w:r>
          </w:p>
        </w:tc>
        <w:tc>
          <w:tcPr>
            <w:tcW w:w="1065" w:type="dxa"/>
          </w:tcPr>
          <w:p>
            <w:pPr>
              <w:pStyle w:val="TableParagraph"/>
              <w:spacing w:before="18"/>
              <w:ind w:right="91"/>
              <w:jc w:val="right"/>
              <w:rPr>
                <w:sz w:val="18"/>
              </w:rPr>
            </w:pPr>
            <w:r>
              <w:rPr>
                <w:spacing w:val="-10"/>
                <w:sz w:val="18"/>
              </w:rPr>
              <w:t>—</w:t>
            </w:r>
          </w:p>
        </w:tc>
        <w:tc>
          <w:tcPr>
            <w:tcW w:w="705" w:type="dxa"/>
          </w:tcPr>
          <w:p>
            <w:pPr>
              <w:pStyle w:val="TableParagraph"/>
              <w:spacing w:before="18"/>
              <w:ind w:right="91"/>
              <w:jc w:val="right"/>
              <w:rPr>
                <w:sz w:val="18"/>
              </w:rPr>
            </w:pPr>
            <w:r>
              <w:rPr>
                <w:spacing w:val="-10"/>
                <w:sz w:val="18"/>
              </w:rPr>
              <w:t>—</w:t>
            </w:r>
          </w:p>
        </w:tc>
        <w:tc>
          <w:tcPr>
            <w:tcW w:w="956" w:type="dxa"/>
          </w:tcPr>
          <w:p>
            <w:pPr>
              <w:pStyle w:val="TableParagraph"/>
              <w:spacing w:before="18"/>
              <w:ind w:right="72"/>
              <w:jc w:val="right"/>
              <w:rPr>
                <w:sz w:val="18"/>
              </w:rPr>
            </w:pPr>
            <w:r>
              <w:rPr>
                <w:spacing w:val="-10"/>
                <w:sz w:val="18"/>
              </w:rPr>
              <w:t>—</w:t>
            </w:r>
          </w:p>
        </w:tc>
      </w:tr>
      <w:tr>
        <w:trPr>
          <w:trHeight w:val="255" w:hRule="atLeast"/>
        </w:trPr>
        <w:tc>
          <w:tcPr>
            <w:tcW w:w="3150" w:type="dxa"/>
            <w:shd w:val="clear" w:color="auto" w:fill="CCEDFF"/>
          </w:tcPr>
          <w:p>
            <w:pPr>
              <w:pStyle w:val="TableParagraph"/>
              <w:spacing w:before="18"/>
              <w:ind w:left="52"/>
              <w:rPr>
                <w:sz w:val="18"/>
              </w:rPr>
            </w:pPr>
            <w:r>
              <w:rPr>
                <w:spacing w:val="-2"/>
                <w:sz w:val="18"/>
              </w:rPr>
              <w:t>Recoveries</w:t>
            </w:r>
          </w:p>
        </w:tc>
        <w:tc>
          <w:tcPr>
            <w:tcW w:w="2134" w:type="dxa"/>
            <w:shd w:val="clear" w:color="auto" w:fill="CCEDFF"/>
          </w:tcPr>
          <w:p>
            <w:pPr>
              <w:pStyle w:val="TableParagraph"/>
              <w:spacing w:before="18"/>
              <w:ind w:right="121"/>
              <w:jc w:val="right"/>
              <w:rPr>
                <w:sz w:val="18"/>
              </w:rPr>
            </w:pPr>
            <w:r>
              <w:rPr>
                <w:spacing w:val="-10"/>
                <w:sz w:val="18"/>
              </w:rPr>
              <w:t>—</w:t>
            </w:r>
          </w:p>
        </w:tc>
        <w:tc>
          <w:tcPr>
            <w:tcW w:w="840" w:type="dxa"/>
            <w:shd w:val="clear" w:color="auto" w:fill="CCEDFF"/>
          </w:tcPr>
          <w:p>
            <w:pPr>
              <w:pStyle w:val="TableParagraph"/>
              <w:spacing w:before="18"/>
              <w:ind w:right="121"/>
              <w:jc w:val="right"/>
              <w:rPr>
                <w:sz w:val="18"/>
              </w:rPr>
            </w:pPr>
            <w:r>
              <w:rPr>
                <w:spacing w:val="-10"/>
                <w:sz w:val="18"/>
              </w:rPr>
              <w:t>—</w:t>
            </w:r>
          </w:p>
        </w:tc>
        <w:tc>
          <w:tcPr>
            <w:tcW w:w="1410" w:type="dxa"/>
            <w:shd w:val="clear" w:color="auto" w:fill="CCEDFF"/>
          </w:tcPr>
          <w:p>
            <w:pPr>
              <w:pStyle w:val="TableParagraph"/>
              <w:spacing w:before="18"/>
              <w:ind w:right="91"/>
              <w:jc w:val="right"/>
              <w:rPr>
                <w:sz w:val="18"/>
              </w:rPr>
            </w:pPr>
            <w:r>
              <w:rPr>
                <w:spacing w:val="-10"/>
                <w:sz w:val="18"/>
              </w:rPr>
              <w:t>—</w:t>
            </w:r>
          </w:p>
        </w:tc>
        <w:tc>
          <w:tcPr>
            <w:tcW w:w="1065" w:type="dxa"/>
            <w:shd w:val="clear" w:color="auto" w:fill="CCEDFF"/>
          </w:tcPr>
          <w:p>
            <w:pPr>
              <w:pStyle w:val="TableParagraph"/>
              <w:spacing w:before="18"/>
              <w:ind w:right="91"/>
              <w:jc w:val="right"/>
              <w:rPr>
                <w:sz w:val="18"/>
              </w:rPr>
            </w:pPr>
            <w:r>
              <w:rPr>
                <w:spacing w:val="-10"/>
                <w:sz w:val="18"/>
              </w:rPr>
              <w:t>—</w:t>
            </w:r>
          </w:p>
        </w:tc>
        <w:tc>
          <w:tcPr>
            <w:tcW w:w="705" w:type="dxa"/>
            <w:shd w:val="clear" w:color="auto" w:fill="CCEDFF"/>
          </w:tcPr>
          <w:p>
            <w:pPr>
              <w:pStyle w:val="TableParagraph"/>
              <w:spacing w:before="18"/>
              <w:ind w:right="91"/>
              <w:jc w:val="right"/>
              <w:rPr>
                <w:sz w:val="18"/>
              </w:rPr>
            </w:pPr>
            <w:r>
              <w:rPr>
                <w:spacing w:val="-10"/>
                <w:sz w:val="18"/>
              </w:rPr>
              <w:t>—</w:t>
            </w:r>
          </w:p>
        </w:tc>
        <w:tc>
          <w:tcPr>
            <w:tcW w:w="956" w:type="dxa"/>
            <w:shd w:val="clear" w:color="auto" w:fill="CCEDFF"/>
          </w:tcPr>
          <w:p>
            <w:pPr>
              <w:pStyle w:val="TableParagraph"/>
              <w:spacing w:before="18"/>
              <w:ind w:right="72"/>
              <w:jc w:val="right"/>
              <w:rPr>
                <w:sz w:val="18"/>
              </w:rPr>
            </w:pPr>
            <w:r>
              <w:rPr>
                <w:spacing w:val="-10"/>
                <w:sz w:val="18"/>
              </w:rPr>
              <w:t>—</w:t>
            </w:r>
          </w:p>
        </w:tc>
      </w:tr>
      <w:tr>
        <w:trPr>
          <w:trHeight w:val="250" w:hRule="atLeast"/>
        </w:trPr>
        <w:tc>
          <w:tcPr>
            <w:tcW w:w="3150" w:type="dxa"/>
            <w:tcBorders>
              <w:bottom w:val="single" w:sz="4" w:space="0" w:color="000000"/>
            </w:tcBorders>
          </w:tcPr>
          <w:p>
            <w:pPr>
              <w:pStyle w:val="TableParagraph"/>
              <w:spacing w:before="18"/>
              <w:ind w:left="52"/>
              <w:rPr>
                <w:sz w:val="18"/>
              </w:rPr>
            </w:pPr>
            <w:r>
              <w:rPr>
                <w:sz w:val="18"/>
              </w:rPr>
              <w:t>Provision</w:t>
            </w:r>
            <w:r>
              <w:rPr>
                <w:spacing w:val="-3"/>
                <w:sz w:val="18"/>
              </w:rPr>
              <w:t> </w:t>
            </w:r>
            <w:r>
              <w:rPr>
                <w:sz w:val="18"/>
              </w:rPr>
              <w:t>for</w:t>
            </w:r>
            <w:r>
              <w:rPr>
                <w:spacing w:val="-1"/>
                <w:sz w:val="18"/>
              </w:rPr>
              <w:t> </w:t>
            </w:r>
            <w:r>
              <w:rPr>
                <w:sz w:val="18"/>
              </w:rPr>
              <w:t>credit </w:t>
            </w:r>
            <w:r>
              <w:rPr>
                <w:spacing w:val="-2"/>
                <w:sz w:val="18"/>
              </w:rPr>
              <w:t>losses</w:t>
            </w:r>
          </w:p>
        </w:tc>
        <w:tc>
          <w:tcPr>
            <w:tcW w:w="2134" w:type="dxa"/>
            <w:tcBorders>
              <w:bottom w:val="single" w:sz="4" w:space="0" w:color="000000"/>
            </w:tcBorders>
          </w:tcPr>
          <w:p>
            <w:pPr>
              <w:pStyle w:val="TableParagraph"/>
              <w:spacing w:before="18"/>
              <w:ind w:right="61"/>
              <w:jc w:val="right"/>
              <w:rPr>
                <w:sz w:val="18"/>
              </w:rPr>
            </w:pPr>
            <w:r>
              <w:rPr>
                <w:spacing w:val="-4"/>
                <w:sz w:val="18"/>
              </w:rPr>
              <w:t>(19)</w:t>
            </w:r>
          </w:p>
        </w:tc>
        <w:tc>
          <w:tcPr>
            <w:tcW w:w="840" w:type="dxa"/>
            <w:tcBorders>
              <w:bottom w:val="single" w:sz="4" w:space="0" w:color="000000"/>
            </w:tcBorders>
          </w:tcPr>
          <w:p>
            <w:pPr>
              <w:pStyle w:val="TableParagraph"/>
              <w:spacing w:before="18"/>
              <w:ind w:right="61"/>
              <w:jc w:val="right"/>
              <w:rPr>
                <w:sz w:val="18"/>
              </w:rPr>
            </w:pPr>
            <w:r>
              <w:rPr>
                <w:spacing w:val="-5"/>
                <w:sz w:val="18"/>
              </w:rPr>
              <w:t>(2)</w:t>
            </w:r>
          </w:p>
        </w:tc>
        <w:tc>
          <w:tcPr>
            <w:tcW w:w="1410" w:type="dxa"/>
            <w:tcBorders>
              <w:bottom w:val="single" w:sz="4" w:space="0" w:color="000000"/>
            </w:tcBorders>
          </w:tcPr>
          <w:p>
            <w:pPr>
              <w:pStyle w:val="TableParagraph"/>
              <w:spacing w:before="18"/>
              <w:ind w:right="31"/>
              <w:jc w:val="right"/>
              <w:rPr>
                <w:sz w:val="18"/>
              </w:rPr>
            </w:pPr>
            <w:r>
              <w:rPr>
                <w:spacing w:val="-4"/>
                <w:sz w:val="18"/>
              </w:rPr>
              <w:t>(21)</w:t>
            </w:r>
          </w:p>
        </w:tc>
        <w:tc>
          <w:tcPr>
            <w:tcW w:w="1065" w:type="dxa"/>
            <w:tcBorders>
              <w:bottom w:val="single" w:sz="4" w:space="0" w:color="000000"/>
            </w:tcBorders>
          </w:tcPr>
          <w:p>
            <w:pPr>
              <w:pStyle w:val="TableParagraph"/>
              <w:spacing w:before="18"/>
              <w:ind w:right="91"/>
              <w:jc w:val="right"/>
              <w:rPr>
                <w:sz w:val="18"/>
              </w:rPr>
            </w:pPr>
            <w:r>
              <w:rPr>
                <w:spacing w:val="-10"/>
                <w:sz w:val="18"/>
              </w:rPr>
              <w:t>—</w:t>
            </w:r>
          </w:p>
        </w:tc>
        <w:tc>
          <w:tcPr>
            <w:tcW w:w="705" w:type="dxa"/>
            <w:tcBorders>
              <w:bottom w:val="single" w:sz="4" w:space="0" w:color="000000"/>
            </w:tcBorders>
          </w:tcPr>
          <w:p>
            <w:pPr>
              <w:pStyle w:val="TableParagraph"/>
              <w:spacing w:before="18"/>
              <w:ind w:right="91"/>
              <w:jc w:val="right"/>
              <w:rPr>
                <w:sz w:val="18"/>
              </w:rPr>
            </w:pPr>
            <w:r>
              <w:rPr>
                <w:spacing w:val="-10"/>
                <w:sz w:val="18"/>
              </w:rPr>
              <w:t>2</w:t>
            </w:r>
          </w:p>
        </w:tc>
        <w:tc>
          <w:tcPr>
            <w:tcW w:w="956" w:type="dxa"/>
            <w:tcBorders>
              <w:bottom w:val="single" w:sz="4" w:space="0" w:color="000000"/>
            </w:tcBorders>
          </w:tcPr>
          <w:p>
            <w:pPr>
              <w:pStyle w:val="TableParagraph"/>
              <w:spacing w:before="18"/>
              <w:ind w:right="12"/>
              <w:jc w:val="right"/>
              <w:rPr>
                <w:sz w:val="18"/>
              </w:rPr>
            </w:pPr>
            <w:r>
              <w:rPr>
                <w:spacing w:val="-4"/>
                <w:sz w:val="18"/>
              </w:rPr>
              <w:t>(19)</w:t>
            </w:r>
          </w:p>
        </w:tc>
      </w:tr>
      <w:tr>
        <w:trPr>
          <w:trHeight w:val="220" w:hRule="atLeast"/>
        </w:trPr>
        <w:tc>
          <w:tcPr>
            <w:tcW w:w="3150" w:type="dxa"/>
            <w:tcBorders>
              <w:top w:val="single" w:sz="4" w:space="0" w:color="000000"/>
              <w:bottom w:val="double" w:sz="8" w:space="0" w:color="000000"/>
            </w:tcBorders>
            <w:shd w:val="clear" w:color="auto" w:fill="CCEDFF"/>
          </w:tcPr>
          <w:p>
            <w:pPr>
              <w:pStyle w:val="TableParagraph"/>
              <w:spacing w:line="187" w:lineRule="exact" w:before="13"/>
              <w:ind w:left="52"/>
              <w:rPr>
                <w:sz w:val="18"/>
              </w:rPr>
            </w:pPr>
            <w:r>
              <w:rPr>
                <w:sz w:val="18"/>
              </w:rPr>
              <w:t>Balance at end of </w:t>
            </w:r>
            <w:r>
              <w:rPr>
                <w:spacing w:val="-2"/>
                <w:sz w:val="18"/>
              </w:rPr>
              <w:t>period</w:t>
            </w:r>
          </w:p>
        </w:tc>
        <w:tc>
          <w:tcPr>
            <w:tcW w:w="2134" w:type="dxa"/>
            <w:tcBorders>
              <w:top w:val="single" w:sz="4" w:space="0" w:color="000000"/>
              <w:bottom w:val="double" w:sz="8" w:space="0" w:color="000000"/>
            </w:tcBorders>
            <w:shd w:val="clear" w:color="auto" w:fill="CCEDFF"/>
          </w:tcPr>
          <w:p>
            <w:pPr>
              <w:pStyle w:val="TableParagraph"/>
              <w:tabs>
                <w:tab w:pos="952" w:val="left" w:leader="none"/>
              </w:tabs>
              <w:spacing w:line="187" w:lineRule="exact" w:before="13"/>
              <w:ind w:right="121"/>
              <w:jc w:val="right"/>
              <w:rPr>
                <w:sz w:val="18"/>
              </w:rPr>
            </w:pPr>
            <w:r>
              <w:rPr>
                <w:spacing w:val="-10"/>
                <w:sz w:val="18"/>
              </w:rPr>
              <w:t>$</w:t>
            </w:r>
            <w:r>
              <w:rPr>
                <w:sz w:val="18"/>
              </w:rPr>
              <w:tab/>
            </w:r>
            <w:r>
              <w:rPr>
                <w:spacing w:val="-5"/>
                <w:sz w:val="18"/>
              </w:rPr>
              <w:t>47</w:t>
            </w:r>
          </w:p>
        </w:tc>
        <w:tc>
          <w:tcPr>
            <w:tcW w:w="840" w:type="dxa"/>
            <w:tcBorders>
              <w:top w:val="single" w:sz="4" w:space="0" w:color="000000"/>
              <w:bottom w:val="double" w:sz="8" w:space="0" w:color="000000"/>
            </w:tcBorders>
            <w:shd w:val="clear" w:color="auto" w:fill="CCEDFF"/>
          </w:tcPr>
          <w:p>
            <w:pPr>
              <w:pStyle w:val="TableParagraph"/>
              <w:tabs>
                <w:tab w:pos="626" w:val="left" w:leader="none"/>
              </w:tabs>
              <w:spacing w:line="187" w:lineRule="exact" w:before="13"/>
              <w:ind w:left="63"/>
              <w:rPr>
                <w:sz w:val="18"/>
              </w:rPr>
            </w:pPr>
            <w:r>
              <w:rPr>
                <w:spacing w:val="-10"/>
                <w:sz w:val="18"/>
              </w:rPr>
              <w:t>$</w:t>
            </w:r>
            <w:r>
              <w:rPr>
                <w:sz w:val="18"/>
              </w:rPr>
              <w:tab/>
            </w:r>
            <w:r>
              <w:rPr>
                <w:spacing w:val="-10"/>
                <w:sz w:val="18"/>
              </w:rPr>
              <w:t>2</w:t>
            </w:r>
          </w:p>
        </w:tc>
        <w:tc>
          <w:tcPr>
            <w:tcW w:w="1410" w:type="dxa"/>
            <w:tcBorders>
              <w:top w:val="single" w:sz="4" w:space="0" w:color="000000"/>
              <w:bottom w:val="double" w:sz="8" w:space="0" w:color="000000"/>
            </w:tcBorders>
            <w:shd w:val="clear" w:color="auto" w:fill="CCEDFF"/>
          </w:tcPr>
          <w:p>
            <w:pPr>
              <w:pStyle w:val="TableParagraph"/>
              <w:tabs>
                <w:tab w:pos="1135" w:val="left" w:leader="none"/>
              </w:tabs>
              <w:spacing w:line="187" w:lineRule="exact" w:before="13"/>
              <w:ind w:left="63"/>
              <w:rPr>
                <w:sz w:val="18"/>
              </w:rPr>
            </w:pPr>
            <w:r>
              <w:rPr>
                <w:spacing w:val="-10"/>
                <w:sz w:val="18"/>
              </w:rPr>
              <w:t>$</w:t>
            </w:r>
            <w:r>
              <w:rPr>
                <w:sz w:val="18"/>
              </w:rPr>
              <w:tab/>
            </w:r>
            <w:r>
              <w:rPr>
                <w:spacing w:val="-5"/>
                <w:sz w:val="18"/>
              </w:rPr>
              <w:t>49</w:t>
            </w:r>
          </w:p>
        </w:tc>
        <w:tc>
          <w:tcPr>
            <w:tcW w:w="1065" w:type="dxa"/>
            <w:tcBorders>
              <w:top w:val="single" w:sz="4" w:space="0" w:color="000000"/>
              <w:bottom w:val="double" w:sz="8" w:space="0" w:color="000000"/>
            </w:tcBorders>
            <w:shd w:val="clear" w:color="auto" w:fill="CCEDFF"/>
          </w:tcPr>
          <w:p>
            <w:pPr>
              <w:pStyle w:val="TableParagraph"/>
              <w:tabs>
                <w:tab w:pos="757" w:val="left" w:leader="none"/>
              </w:tabs>
              <w:spacing w:line="187" w:lineRule="exact" w:before="13"/>
              <w:ind w:right="91"/>
              <w:jc w:val="right"/>
              <w:rPr>
                <w:sz w:val="18"/>
              </w:rPr>
            </w:pPr>
            <w:r>
              <w:rPr>
                <w:spacing w:val="-10"/>
                <w:sz w:val="18"/>
              </w:rPr>
              <w:t>$</w:t>
            </w:r>
            <w:r>
              <w:rPr>
                <w:sz w:val="18"/>
              </w:rPr>
              <w:tab/>
            </w:r>
            <w:r>
              <w:rPr>
                <w:spacing w:val="-10"/>
                <w:sz w:val="18"/>
              </w:rPr>
              <w:t>—</w:t>
            </w:r>
          </w:p>
        </w:tc>
        <w:tc>
          <w:tcPr>
            <w:tcW w:w="705" w:type="dxa"/>
            <w:tcBorders>
              <w:top w:val="single" w:sz="4" w:space="0" w:color="000000"/>
              <w:bottom w:val="double" w:sz="8" w:space="0" w:color="000000"/>
            </w:tcBorders>
            <w:shd w:val="clear" w:color="auto" w:fill="CCEDFF"/>
          </w:tcPr>
          <w:p>
            <w:pPr>
              <w:pStyle w:val="TableParagraph"/>
              <w:tabs>
                <w:tab w:pos="487" w:val="left" w:leader="none"/>
              </w:tabs>
              <w:spacing w:line="187" w:lineRule="exact" w:before="13"/>
              <w:ind w:right="91"/>
              <w:jc w:val="right"/>
              <w:rPr>
                <w:sz w:val="18"/>
              </w:rPr>
            </w:pPr>
            <w:r>
              <w:rPr>
                <w:spacing w:val="-10"/>
                <w:sz w:val="18"/>
              </w:rPr>
              <w:t>$</w:t>
            </w:r>
            <w:r>
              <w:rPr>
                <w:sz w:val="18"/>
              </w:rPr>
              <w:tab/>
            </w:r>
            <w:r>
              <w:rPr>
                <w:spacing w:val="-10"/>
                <w:sz w:val="18"/>
              </w:rPr>
              <w:t>5</w:t>
            </w:r>
          </w:p>
        </w:tc>
        <w:tc>
          <w:tcPr>
            <w:tcW w:w="956" w:type="dxa"/>
            <w:tcBorders>
              <w:top w:val="single" w:sz="4" w:space="0" w:color="000000"/>
              <w:bottom w:val="double" w:sz="8" w:space="0" w:color="000000"/>
            </w:tcBorders>
            <w:shd w:val="clear" w:color="auto" w:fill="CCEDFF"/>
          </w:tcPr>
          <w:p>
            <w:pPr>
              <w:pStyle w:val="TableParagraph"/>
              <w:tabs>
                <w:tab w:pos="607" w:val="left" w:leader="none"/>
              </w:tabs>
              <w:spacing w:line="187" w:lineRule="exact" w:before="13"/>
              <w:ind w:right="72"/>
              <w:jc w:val="right"/>
              <w:rPr>
                <w:sz w:val="18"/>
              </w:rPr>
            </w:pPr>
            <w:r>
              <w:rPr>
                <w:spacing w:val="-10"/>
                <w:sz w:val="18"/>
              </w:rPr>
              <w:t>$</w:t>
            </w:r>
            <w:r>
              <w:rPr>
                <w:sz w:val="18"/>
              </w:rPr>
              <w:tab/>
            </w:r>
            <w:r>
              <w:rPr>
                <w:spacing w:val="-5"/>
                <w:sz w:val="18"/>
              </w:rPr>
              <w:t>54</w:t>
            </w:r>
          </w:p>
        </w:tc>
      </w:tr>
      <w:tr>
        <w:trPr>
          <w:trHeight w:val="475" w:hRule="atLeast"/>
        </w:trPr>
        <w:tc>
          <w:tcPr>
            <w:tcW w:w="3150" w:type="dxa"/>
            <w:tcBorders>
              <w:top w:val="double" w:sz="8" w:space="0" w:color="000000"/>
              <w:bottom w:val="single" w:sz="4" w:space="0" w:color="000000"/>
            </w:tcBorders>
          </w:tcPr>
          <w:p>
            <w:pPr>
              <w:pStyle w:val="TableParagraph"/>
              <w:spacing w:before="36"/>
              <w:rPr>
                <w:sz w:val="18"/>
              </w:rPr>
            </w:pPr>
          </w:p>
          <w:p>
            <w:pPr>
              <w:pStyle w:val="TableParagraph"/>
              <w:ind w:left="52"/>
              <w:rPr>
                <w:sz w:val="18"/>
              </w:rPr>
            </w:pPr>
            <w:r>
              <w:rPr>
                <w:sz w:val="18"/>
              </w:rPr>
              <w:t>September</w:t>
            </w:r>
            <w:r>
              <w:rPr>
                <w:spacing w:val="-1"/>
                <w:sz w:val="18"/>
              </w:rPr>
              <w:t> </w:t>
            </w:r>
            <w:r>
              <w:rPr>
                <w:sz w:val="18"/>
              </w:rPr>
              <w:t>30, </w:t>
            </w:r>
            <w:r>
              <w:rPr>
                <w:spacing w:val="-4"/>
                <w:sz w:val="18"/>
              </w:rPr>
              <w:t>2022</w:t>
            </w:r>
          </w:p>
        </w:tc>
        <w:tc>
          <w:tcPr>
            <w:tcW w:w="2134" w:type="dxa"/>
            <w:tcBorders>
              <w:top w:val="double" w:sz="8" w:space="0" w:color="000000"/>
              <w:bottom w:val="single" w:sz="4" w:space="0" w:color="000000"/>
            </w:tcBorders>
          </w:tcPr>
          <w:p>
            <w:pPr>
              <w:pStyle w:val="TableParagraph"/>
              <w:rPr>
                <w:sz w:val="18"/>
              </w:rPr>
            </w:pPr>
          </w:p>
        </w:tc>
        <w:tc>
          <w:tcPr>
            <w:tcW w:w="840" w:type="dxa"/>
            <w:tcBorders>
              <w:top w:val="double" w:sz="8" w:space="0" w:color="000000"/>
              <w:bottom w:val="single" w:sz="4" w:space="0" w:color="000000"/>
            </w:tcBorders>
          </w:tcPr>
          <w:p>
            <w:pPr>
              <w:pStyle w:val="TableParagraph"/>
              <w:rPr>
                <w:sz w:val="18"/>
              </w:rPr>
            </w:pPr>
          </w:p>
        </w:tc>
        <w:tc>
          <w:tcPr>
            <w:tcW w:w="1410" w:type="dxa"/>
            <w:tcBorders>
              <w:top w:val="double" w:sz="8" w:space="0" w:color="000000"/>
              <w:bottom w:val="single" w:sz="4" w:space="0" w:color="000000"/>
            </w:tcBorders>
          </w:tcPr>
          <w:p>
            <w:pPr>
              <w:pStyle w:val="TableParagraph"/>
              <w:rPr>
                <w:sz w:val="18"/>
              </w:rPr>
            </w:pPr>
          </w:p>
        </w:tc>
        <w:tc>
          <w:tcPr>
            <w:tcW w:w="1065" w:type="dxa"/>
            <w:tcBorders>
              <w:top w:val="double" w:sz="8" w:space="0" w:color="000000"/>
              <w:bottom w:val="single" w:sz="4" w:space="0" w:color="000000"/>
            </w:tcBorders>
          </w:tcPr>
          <w:p>
            <w:pPr>
              <w:pStyle w:val="TableParagraph"/>
              <w:rPr>
                <w:sz w:val="18"/>
              </w:rPr>
            </w:pPr>
          </w:p>
        </w:tc>
        <w:tc>
          <w:tcPr>
            <w:tcW w:w="705" w:type="dxa"/>
            <w:tcBorders>
              <w:top w:val="double" w:sz="8" w:space="0" w:color="000000"/>
              <w:bottom w:val="single" w:sz="4" w:space="0" w:color="000000"/>
            </w:tcBorders>
          </w:tcPr>
          <w:p>
            <w:pPr>
              <w:pStyle w:val="TableParagraph"/>
              <w:rPr>
                <w:sz w:val="18"/>
              </w:rPr>
            </w:pPr>
          </w:p>
        </w:tc>
        <w:tc>
          <w:tcPr>
            <w:tcW w:w="956" w:type="dxa"/>
            <w:tcBorders>
              <w:top w:val="double" w:sz="8" w:space="0" w:color="000000"/>
              <w:bottom w:val="single" w:sz="4" w:space="0" w:color="000000"/>
            </w:tcBorders>
          </w:tcPr>
          <w:p>
            <w:pPr>
              <w:pStyle w:val="TableParagraph"/>
              <w:rPr>
                <w:sz w:val="18"/>
              </w:rPr>
            </w:pPr>
          </w:p>
        </w:tc>
      </w:tr>
      <w:tr>
        <w:trPr>
          <w:trHeight w:val="250" w:hRule="atLeast"/>
        </w:trPr>
        <w:tc>
          <w:tcPr>
            <w:tcW w:w="3150" w:type="dxa"/>
            <w:tcBorders>
              <w:top w:val="single" w:sz="4" w:space="0" w:color="000000"/>
            </w:tcBorders>
            <w:shd w:val="clear" w:color="auto" w:fill="CCEDFF"/>
          </w:tcPr>
          <w:p>
            <w:pPr>
              <w:pStyle w:val="TableParagraph"/>
              <w:spacing w:before="13"/>
              <w:ind w:left="52"/>
              <w:rPr>
                <w:sz w:val="18"/>
              </w:rPr>
            </w:pPr>
            <w:r>
              <w:rPr>
                <w:sz w:val="18"/>
              </w:rPr>
              <w:t>Balance at beginning of </w:t>
            </w:r>
            <w:r>
              <w:rPr>
                <w:spacing w:val="-2"/>
                <w:sz w:val="18"/>
              </w:rPr>
              <w:t>period</w:t>
            </w:r>
          </w:p>
        </w:tc>
        <w:tc>
          <w:tcPr>
            <w:tcW w:w="2134" w:type="dxa"/>
            <w:tcBorders>
              <w:top w:val="single" w:sz="4" w:space="0" w:color="000000"/>
            </w:tcBorders>
            <w:shd w:val="clear" w:color="auto" w:fill="CCEDFF"/>
          </w:tcPr>
          <w:p>
            <w:pPr>
              <w:pStyle w:val="TableParagraph"/>
              <w:tabs>
                <w:tab w:pos="952" w:val="left" w:leader="none"/>
              </w:tabs>
              <w:spacing w:before="13"/>
              <w:ind w:right="121"/>
              <w:jc w:val="right"/>
              <w:rPr>
                <w:sz w:val="18"/>
              </w:rPr>
            </w:pPr>
            <w:r>
              <w:rPr>
                <w:spacing w:val="-10"/>
                <w:sz w:val="18"/>
              </w:rPr>
              <w:t>$</w:t>
            </w:r>
            <w:r>
              <w:rPr>
                <w:sz w:val="18"/>
              </w:rPr>
              <w:tab/>
            </w:r>
            <w:r>
              <w:rPr>
                <w:spacing w:val="-5"/>
                <w:sz w:val="18"/>
              </w:rPr>
              <w:t>13</w:t>
            </w:r>
          </w:p>
        </w:tc>
        <w:tc>
          <w:tcPr>
            <w:tcW w:w="840" w:type="dxa"/>
            <w:tcBorders>
              <w:top w:val="single" w:sz="4" w:space="0" w:color="000000"/>
            </w:tcBorders>
            <w:shd w:val="clear" w:color="auto" w:fill="CCEDFF"/>
          </w:tcPr>
          <w:p>
            <w:pPr>
              <w:pStyle w:val="TableParagraph"/>
              <w:tabs>
                <w:tab w:pos="626" w:val="left" w:leader="none"/>
              </w:tabs>
              <w:spacing w:before="13"/>
              <w:ind w:left="63"/>
              <w:rPr>
                <w:sz w:val="18"/>
              </w:rPr>
            </w:pPr>
            <w:r>
              <w:rPr>
                <w:spacing w:val="-10"/>
                <w:sz w:val="18"/>
              </w:rPr>
              <w:t>$</w:t>
            </w:r>
            <w:r>
              <w:rPr>
                <w:sz w:val="18"/>
              </w:rPr>
              <w:tab/>
            </w:r>
            <w:r>
              <w:rPr>
                <w:spacing w:val="-10"/>
                <w:sz w:val="18"/>
              </w:rPr>
              <w:t>2</w:t>
            </w:r>
          </w:p>
        </w:tc>
        <w:tc>
          <w:tcPr>
            <w:tcW w:w="1410" w:type="dxa"/>
            <w:tcBorders>
              <w:top w:val="single" w:sz="4" w:space="0" w:color="000000"/>
            </w:tcBorders>
            <w:shd w:val="clear" w:color="auto" w:fill="CCEDFF"/>
          </w:tcPr>
          <w:p>
            <w:pPr>
              <w:pStyle w:val="TableParagraph"/>
              <w:tabs>
                <w:tab w:pos="1135" w:val="left" w:leader="none"/>
              </w:tabs>
              <w:spacing w:before="13"/>
              <w:ind w:left="63"/>
              <w:rPr>
                <w:sz w:val="18"/>
              </w:rPr>
            </w:pPr>
            <w:r>
              <w:rPr>
                <w:spacing w:val="-10"/>
                <w:sz w:val="18"/>
              </w:rPr>
              <w:t>$</w:t>
            </w:r>
            <w:r>
              <w:rPr>
                <w:sz w:val="18"/>
              </w:rPr>
              <w:tab/>
            </w:r>
            <w:r>
              <w:rPr>
                <w:spacing w:val="-5"/>
                <w:sz w:val="18"/>
              </w:rPr>
              <w:t>15</w:t>
            </w:r>
          </w:p>
        </w:tc>
        <w:tc>
          <w:tcPr>
            <w:tcW w:w="1065" w:type="dxa"/>
            <w:tcBorders>
              <w:top w:val="single" w:sz="4" w:space="0" w:color="000000"/>
            </w:tcBorders>
            <w:shd w:val="clear" w:color="auto" w:fill="CCEDFF"/>
          </w:tcPr>
          <w:p>
            <w:pPr>
              <w:pStyle w:val="TableParagraph"/>
              <w:tabs>
                <w:tab w:pos="757" w:val="left" w:leader="none"/>
              </w:tabs>
              <w:spacing w:before="13"/>
              <w:ind w:right="91"/>
              <w:jc w:val="right"/>
              <w:rPr>
                <w:sz w:val="18"/>
              </w:rPr>
            </w:pPr>
            <w:r>
              <w:rPr>
                <w:spacing w:val="-10"/>
                <w:sz w:val="18"/>
              </w:rPr>
              <w:t>$</w:t>
            </w:r>
            <w:r>
              <w:rPr>
                <w:sz w:val="18"/>
              </w:rPr>
              <w:tab/>
            </w:r>
            <w:r>
              <w:rPr>
                <w:spacing w:val="-10"/>
                <w:sz w:val="18"/>
              </w:rPr>
              <w:t>—</w:t>
            </w:r>
          </w:p>
        </w:tc>
        <w:tc>
          <w:tcPr>
            <w:tcW w:w="705" w:type="dxa"/>
            <w:tcBorders>
              <w:top w:val="single" w:sz="4" w:space="0" w:color="000000"/>
            </w:tcBorders>
            <w:shd w:val="clear" w:color="auto" w:fill="CCEDFF"/>
          </w:tcPr>
          <w:p>
            <w:pPr>
              <w:pStyle w:val="TableParagraph"/>
              <w:tabs>
                <w:tab w:pos="487" w:val="left" w:leader="none"/>
              </w:tabs>
              <w:spacing w:before="13"/>
              <w:ind w:right="91"/>
              <w:jc w:val="right"/>
              <w:rPr>
                <w:sz w:val="18"/>
              </w:rPr>
            </w:pPr>
            <w:r>
              <w:rPr>
                <w:spacing w:val="-10"/>
                <w:sz w:val="18"/>
              </w:rPr>
              <w:t>$</w:t>
            </w:r>
            <w:r>
              <w:rPr>
                <w:sz w:val="18"/>
              </w:rPr>
              <w:tab/>
            </w:r>
            <w:r>
              <w:rPr>
                <w:spacing w:val="-10"/>
                <w:sz w:val="18"/>
              </w:rPr>
              <w:t>3</w:t>
            </w:r>
          </w:p>
        </w:tc>
        <w:tc>
          <w:tcPr>
            <w:tcW w:w="956" w:type="dxa"/>
            <w:tcBorders>
              <w:top w:val="single" w:sz="4" w:space="0" w:color="000000"/>
            </w:tcBorders>
            <w:shd w:val="clear" w:color="auto" w:fill="CCEDFF"/>
          </w:tcPr>
          <w:p>
            <w:pPr>
              <w:pStyle w:val="TableParagraph"/>
              <w:tabs>
                <w:tab w:pos="607" w:val="left" w:leader="none"/>
              </w:tabs>
              <w:spacing w:before="13"/>
              <w:ind w:right="72"/>
              <w:jc w:val="right"/>
              <w:rPr>
                <w:sz w:val="18"/>
              </w:rPr>
            </w:pPr>
            <w:r>
              <w:rPr>
                <w:spacing w:val="-10"/>
                <w:sz w:val="18"/>
              </w:rPr>
              <w:t>$</w:t>
            </w:r>
            <w:r>
              <w:rPr>
                <w:sz w:val="18"/>
              </w:rPr>
              <w:tab/>
            </w:r>
            <w:r>
              <w:rPr>
                <w:spacing w:val="-5"/>
                <w:sz w:val="18"/>
              </w:rPr>
              <w:t>18</w:t>
            </w:r>
          </w:p>
        </w:tc>
      </w:tr>
      <w:tr>
        <w:trPr>
          <w:trHeight w:val="255" w:hRule="atLeast"/>
        </w:trPr>
        <w:tc>
          <w:tcPr>
            <w:tcW w:w="3150" w:type="dxa"/>
          </w:tcPr>
          <w:p>
            <w:pPr>
              <w:pStyle w:val="TableParagraph"/>
              <w:spacing w:before="18"/>
              <w:ind w:left="52"/>
              <w:rPr>
                <w:sz w:val="18"/>
              </w:rPr>
            </w:pPr>
            <w:r>
              <w:rPr>
                <w:sz w:val="18"/>
              </w:rPr>
              <w:t>Charge-</w:t>
            </w:r>
            <w:r>
              <w:rPr>
                <w:spacing w:val="-4"/>
                <w:sz w:val="18"/>
              </w:rPr>
              <w:t>offs</w:t>
            </w:r>
          </w:p>
        </w:tc>
        <w:tc>
          <w:tcPr>
            <w:tcW w:w="2134" w:type="dxa"/>
          </w:tcPr>
          <w:p>
            <w:pPr>
              <w:pStyle w:val="TableParagraph"/>
              <w:spacing w:before="18"/>
              <w:ind w:right="121"/>
              <w:jc w:val="right"/>
              <w:rPr>
                <w:sz w:val="18"/>
              </w:rPr>
            </w:pPr>
            <w:r>
              <w:rPr>
                <w:spacing w:val="-10"/>
                <w:sz w:val="18"/>
              </w:rPr>
              <w:t>—</w:t>
            </w:r>
          </w:p>
        </w:tc>
        <w:tc>
          <w:tcPr>
            <w:tcW w:w="840" w:type="dxa"/>
          </w:tcPr>
          <w:p>
            <w:pPr>
              <w:pStyle w:val="TableParagraph"/>
              <w:spacing w:before="18"/>
              <w:ind w:right="121"/>
              <w:jc w:val="right"/>
              <w:rPr>
                <w:sz w:val="18"/>
              </w:rPr>
            </w:pPr>
            <w:r>
              <w:rPr>
                <w:spacing w:val="-10"/>
                <w:sz w:val="18"/>
              </w:rPr>
              <w:t>—</w:t>
            </w:r>
          </w:p>
        </w:tc>
        <w:tc>
          <w:tcPr>
            <w:tcW w:w="1410" w:type="dxa"/>
          </w:tcPr>
          <w:p>
            <w:pPr>
              <w:pStyle w:val="TableParagraph"/>
              <w:spacing w:before="18"/>
              <w:ind w:right="91"/>
              <w:jc w:val="right"/>
              <w:rPr>
                <w:sz w:val="18"/>
              </w:rPr>
            </w:pPr>
            <w:r>
              <w:rPr>
                <w:spacing w:val="-10"/>
                <w:sz w:val="18"/>
              </w:rPr>
              <w:t>—</w:t>
            </w:r>
          </w:p>
        </w:tc>
        <w:tc>
          <w:tcPr>
            <w:tcW w:w="1065" w:type="dxa"/>
          </w:tcPr>
          <w:p>
            <w:pPr>
              <w:pStyle w:val="TableParagraph"/>
              <w:spacing w:before="18"/>
              <w:ind w:right="31"/>
              <w:jc w:val="right"/>
              <w:rPr>
                <w:sz w:val="18"/>
              </w:rPr>
            </w:pPr>
            <w:r>
              <w:rPr>
                <w:spacing w:val="-5"/>
                <w:sz w:val="18"/>
              </w:rPr>
              <w:t>(4)</w:t>
            </w:r>
          </w:p>
        </w:tc>
        <w:tc>
          <w:tcPr>
            <w:tcW w:w="705" w:type="dxa"/>
          </w:tcPr>
          <w:p>
            <w:pPr>
              <w:pStyle w:val="TableParagraph"/>
              <w:spacing w:before="18"/>
              <w:ind w:right="91"/>
              <w:jc w:val="right"/>
              <w:rPr>
                <w:sz w:val="18"/>
              </w:rPr>
            </w:pPr>
            <w:r>
              <w:rPr>
                <w:spacing w:val="-10"/>
                <w:sz w:val="18"/>
              </w:rPr>
              <w:t>—</w:t>
            </w:r>
          </w:p>
        </w:tc>
        <w:tc>
          <w:tcPr>
            <w:tcW w:w="956" w:type="dxa"/>
          </w:tcPr>
          <w:p>
            <w:pPr>
              <w:pStyle w:val="TableParagraph"/>
              <w:spacing w:before="18"/>
              <w:ind w:right="12"/>
              <w:jc w:val="right"/>
              <w:rPr>
                <w:sz w:val="18"/>
              </w:rPr>
            </w:pPr>
            <w:r>
              <w:rPr>
                <w:spacing w:val="-5"/>
                <w:sz w:val="18"/>
              </w:rPr>
              <w:t>(4)</w:t>
            </w:r>
          </w:p>
        </w:tc>
      </w:tr>
      <w:tr>
        <w:trPr>
          <w:trHeight w:val="255" w:hRule="atLeast"/>
        </w:trPr>
        <w:tc>
          <w:tcPr>
            <w:tcW w:w="3150" w:type="dxa"/>
            <w:shd w:val="clear" w:color="auto" w:fill="CCEDFF"/>
          </w:tcPr>
          <w:p>
            <w:pPr>
              <w:pStyle w:val="TableParagraph"/>
              <w:spacing w:before="18"/>
              <w:ind w:left="52"/>
              <w:rPr>
                <w:sz w:val="18"/>
              </w:rPr>
            </w:pPr>
            <w:r>
              <w:rPr>
                <w:spacing w:val="-2"/>
                <w:sz w:val="18"/>
              </w:rPr>
              <w:t>Recoveries</w:t>
            </w:r>
          </w:p>
        </w:tc>
        <w:tc>
          <w:tcPr>
            <w:tcW w:w="2134" w:type="dxa"/>
            <w:shd w:val="clear" w:color="auto" w:fill="CCEDFF"/>
          </w:tcPr>
          <w:p>
            <w:pPr>
              <w:pStyle w:val="TableParagraph"/>
              <w:spacing w:before="18"/>
              <w:ind w:right="121"/>
              <w:jc w:val="right"/>
              <w:rPr>
                <w:sz w:val="18"/>
              </w:rPr>
            </w:pPr>
            <w:r>
              <w:rPr>
                <w:spacing w:val="-10"/>
                <w:sz w:val="18"/>
              </w:rPr>
              <w:t>—</w:t>
            </w:r>
          </w:p>
        </w:tc>
        <w:tc>
          <w:tcPr>
            <w:tcW w:w="840" w:type="dxa"/>
            <w:shd w:val="clear" w:color="auto" w:fill="CCEDFF"/>
          </w:tcPr>
          <w:p>
            <w:pPr>
              <w:pStyle w:val="TableParagraph"/>
              <w:spacing w:before="18"/>
              <w:ind w:right="121"/>
              <w:jc w:val="right"/>
              <w:rPr>
                <w:sz w:val="18"/>
              </w:rPr>
            </w:pPr>
            <w:r>
              <w:rPr>
                <w:spacing w:val="-10"/>
                <w:sz w:val="18"/>
              </w:rPr>
              <w:t>1</w:t>
            </w:r>
          </w:p>
        </w:tc>
        <w:tc>
          <w:tcPr>
            <w:tcW w:w="1410" w:type="dxa"/>
            <w:shd w:val="clear" w:color="auto" w:fill="CCEDFF"/>
          </w:tcPr>
          <w:p>
            <w:pPr>
              <w:pStyle w:val="TableParagraph"/>
              <w:spacing w:before="18"/>
              <w:ind w:right="91"/>
              <w:jc w:val="right"/>
              <w:rPr>
                <w:sz w:val="18"/>
              </w:rPr>
            </w:pPr>
            <w:r>
              <w:rPr>
                <w:spacing w:val="-10"/>
                <w:sz w:val="18"/>
              </w:rPr>
              <w:t>1</w:t>
            </w:r>
          </w:p>
        </w:tc>
        <w:tc>
          <w:tcPr>
            <w:tcW w:w="1065" w:type="dxa"/>
            <w:shd w:val="clear" w:color="auto" w:fill="CCEDFF"/>
          </w:tcPr>
          <w:p>
            <w:pPr>
              <w:pStyle w:val="TableParagraph"/>
              <w:spacing w:before="18"/>
              <w:ind w:right="91"/>
              <w:jc w:val="right"/>
              <w:rPr>
                <w:sz w:val="18"/>
              </w:rPr>
            </w:pPr>
            <w:r>
              <w:rPr>
                <w:spacing w:val="-10"/>
                <w:sz w:val="18"/>
              </w:rPr>
              <w:t>—</w:t>
            </w:r>
          </w:p>
        </w:tc>
        <w:tc>
          <w:tcPr>
            <w:tcW w:w="705" w:type="dxa"/>
            <w:shd w:val="clear" w:color="auto" w:fill="CCEDFF"/>
          </w:tcPr>
          <w:p>
            <w:pPr>
              <w:pStyle w:val="TableParagraph"/>
              <w:spacing w:before="18"/>
              <w:ind w:right="91"/>
              <w:jc w:val="right"/>
              <w:rPr>
                <w:sz w:val="18"/>
              </w:rPr>
            </w:pPr>
            <w:r>
              <w:rPr>
                <w:spacing w:val="-10"/>
                <w:sz w:val="18"/>
              </w:rPr>
              <w:t>—</w:t>
            </w:r>
          </w:p>
        </w:tc>
        <w:tc>
          <w:tcPr>
            <w:tcW w:w="956" w:type="dxa"/>
            <w:shd w:val="clear" w:color="auto" w:fill="CCEDFF"/>
          </w:tcPr>
          <w:p>
            <w:pPr>
              <w:pStyle w:val="TableParagraph"/>
              <w:spacing w:before="18"/>
              <w:ind w:right="72"/>
              <w:jc w:val="right"/>
              <w:rPr>
                <w:sz w:val="18"/>
              </w:rPr>
            </w:pPr>
            <w:r>
              <w:rPr>
                <w:spacing w:val="-10"/>
                <w:sz w:val="18"/>
              </w:rPr>
              <w:t>1</w:t>
            </w:r>
          </w:p>
        </w:tc>
      </w:tr>
      <w:tr>
        <w:trPr>
          <w:trHeight w:val="250" w:hRule="atLeast"/>
        </w:trPr>
        <w:tc>
          <w:tcPr>
            <w:tcW w:w="3150" w:type="dxa"/>
            <w:tcBorders>
              <w:bottom w:val="single" w:sz="4" w:space="0" w:color="000000"/>
            </w:tcBorders>
          </w:tcPr>
          <w:p>
            <w:pPr>
              <w:pStyle w:val="TableParagraph"/>
              <w:spacing w:before="18"/>
              <w:ind w:left="52"/>
              <w:rPr>
                <w:sz w:val="18"/>
              </w:rPr>
            </w:pPr>
            <w:r>
              <w:rPr>
                <w:sz w:val="18"/>
              </w:rPr>
              <w:t>Provision</w:t>
            </w:r>
            <w:r>
              <w:rPr>
                <w:spacing w:val="-3"/>
                <w:sz w:val="18"/>
              </w:rPr>
              <w:t> </w:t>
            </w:r>
            <w:r>
              <w:rPr>
                <w:sz w:val="18"/>
              </w:rPr>
              <w:t>for</w:t>
            </w:r>
            <w:r>
              <w:rPr>
                <w:spacing w:val="-1"/>
                <w:sz w:val="18"/>
              </w:rPr>
              <w:t> </w:t>
            </w:r>
            <w:r>
              <w:rPr>
                <w:sz w:val="18"/>
              </w:rPr>
              <w:t>credit </w:t>
            </w:r>
            <w:r>
              <w:rPr>
                <w:spacing w:val="-2"/>
                <w:sz w:val="18"/>
              </w:rPr>
              <w:t>losses</w:t>
            </w:r>
          </w:p>
        </w:tc>
        <w:tc>
          <w:tcPr>
            <w:tcW w:w="2134" w:type="dxa"/>
            <w:tcBorders>
              <w:bottom w:val="single" w:sz="4" w:space="0" w:color="000000"/>
            </w:tcBorders>
          </w:tcPr>
          <w:p>
            <w:pPr>
              <w:pStyle w:val="TableParagraph"/>
              <w:spacing w:before="18"/>
              <w:ind w:right="121"/>
              <w:jc w:val="right"/>
              <w:rPr>
                <w:sz w:val="18"/>
              </w:rPr>
            </w:pPr>
            <w:r>
              <w:rPr>
                <w:spacing w:val="-5"/>
                <w:sz w:val="18"/>
              </w:rPr>
              <w:t>29</w:t>
            </w:r>
          </w:p>
        </w:tc>
        <w:tc>
          <w:tcPr>
            <w:tcW w:w="840" w:type="dxa"/>
            <w:tcBorders>
              <w:bottom w:val="single" w:sz="4" w:space="0" w:color="000000"/>
            </w:tcBorders>
          </w:tcPr>
          <w:p>
            <w:pPr>
              <w:pStyle w:val="TableParagraph"/>
              <w:spacing w:before="18"/>
              <w:ind w:right="121"/>
              <w:jc w:val="right"/>
              <w:rPr>
                <w:sz w:val="18"/>
              </w:rPr>
            </w:pPr>
            <w:r>
              <w:rPr>
                <w:spacing w:val="-10"/>
                <w:sz w:val="18"/>
              </w:rPr>
              <w:t>1</w:t>
            </w:r>
          </w:p>
        </w:tc>
        <w:tc>
          <w:tcPr>
            <w:tcW w:w="1410" w:type="dxa"/>
            <w:tcBorders>
              <w:bottom w:val="single" w:sz="4" w:space="0" w:color="000000"/>
            </w:tcBorders>
          </w:tcPr>
          <w:p>
            <w:pPr>
              <w:pStyle w:val="TableParagraph"/>
              <w:spacing w:before="18"/>
              <w:ind w:right="91"/>
              <w:jc w:val="right"/>
              <w:rPr>
                <w:sz w:val="18"/>
              </w:rPr>
            </w:pPr>
            <w:r>
              <w:rPr>
                <w:spacing w:val="-5"/>
                <w:sz w:val="18"/>
              </w:rPr>
              <w:t>30</w:t>
            </w:r>
          </w:p>
        </w:tc>
        <w:tc>
          <w:tcPr>
            <w:tcW w:w="1065" w:type="dxa"/>
            <w:tcBorders>
              <w:bottom w:val="single" w:sz="4" w:space="0" w:color="000000"/>
            </w:tcBorders>
          </w:tcPr>
          <w:p>
            <w:pPr>
              <w:pStyle w:val="TableParagraph"/>
              <w:spacing w:before="18"/>
              <w:ind w:right="91"/>
              <w:jc w:val="right"/>
              <w:rPr>
                <w:sz w:val="18"/>
              </w:rPr>
            </w:pPr>
            <w:r>
              <w:rPr>
                <w:spacing w:val="-10"/>
                <w:sz w:val="18"/>
              </w:rPr>
              <w:t>4</w:t>
            </w:r>
          </w:p>
        </w:tc>
        <w:tc>
          <w:tcPr>
            <w:tcW w:w="705" w:type="dxa"/>
            <w:tcBorders>
              <w:bottom w:val="single" w:sz="4" w:space="0" w:color="000000"/>
            </w:tcBorders>
          </w:tcPr>
          <w:p>
            <w:pPr>
              <w:pStyle w:val="TableParagraph"/>
              <w:spacing w:before="18"/>
              <w:ind w:right="91"/>
              <w:jc w:val="right"/>
              <w:rPr>
                <w:sz w:val="18"/>
              </w:rPr>
            </w:pPr>
            <w:r>
              <w:rPr>
                <w:spacing w:val="-10"/>
                <w:sz w:val="18"/>
              </w:rPr>
              <w:t>—</w:t>
            </w:r>
          </w:p>
        </w:tc>
        <w:tc>
          <w:tcPr>
            <w:tcW w:w="956" w:type="dxa"/>
            <w:tcBorders>
              <w:bottom w:val="single" w:sz="4" w:space="0" w:color="000000"/>
            </w:tcBorders>
          </w:tcPr>
          <w:p>
            <w:pPr>
              <w:pStyle w:val="TableParagraph"/>
              <w:spacing w:before="18"/>
              <w:ind w:right="72"/>
              <w:jc w:val="right"/>
              <w:rPr>
                <w:sz w:val="18"/>
              </w:rPr>
            </w:pPr>
            <w:r>
              <w:rPr>
                <w:spacing w:val="-5"/>
                <w:sz w:val="18"/>
              </w:rPr>
              <w:t>34</w:t>
            </w:r>
          </w:p>
        </w:tc>
      </w:tr>
      <w:tr>
        <w:trPr>
          <w:trHeight w:val="220" w:hRule="atLeast"/>
        </w:trPr>
        <w:tc>
          <w:tcPr>
            <w:tcW w:w="3150" w:type="dxa"/>
            <w:tcBorders>
              <w:top w:val="single" w:sz="4" w:space="0" w:color="000000"/>
              <w:bottom w:val="double" w:sz="8" w:space="0" w:color="000000"/>
            </w:tcBorders>
            <w:shd w:val="clear" w:color="auto" w:fill="CCEDFF"/>
          </w:tcPr>
          <w:p>
            <w:pPr>
              <w:pStyle w:val="TableParagraph"/>
              <w:spacing w:line="187" w:lineRule="exact" w:before="13"/>
              <w:ind w:left="52"/>
              <w:rPr>
                <w:sz w:val="18"/>
              </w:rPr>
            </w:pPr>
            <w:r>
              <w:rPr>
                <w:sz w:val="18"/>
              </w:rPr>
              <w:t>Balance at end of </w:t>
            </w:r>
            <w:r>
              <w:rPr>
                <w:spacing w:val="-2"/>
                <w:sz w:val="18"/>
              </w:rPr>
              <w:t>period</w:t>
            </w:r>
          </w:p>
        </w:tc>
        <w:tc>
          <w:tcPr>
            <w:tcW w:w="2134" w:type="dxa"/>
            <w:tcBorders>
              <w:top w:val="single" w:sz="4" w:space="0" w:color="000000"/>
              <w:bottom w:val="double" w:sz="8" w:space="0" w:color="000000"/>
            </w:tcBorders>
            <w:shd w:val="clear" w:color="auto" w:fill="CCEDFF"/>
          </w:tcPr>
          <w:p>
            <w:pPr>
              <w:pStyle w:val="TableParagraph"/>
              <w:tabs>
                <w:tab w:pos="952" w:val="left" w:leader="none"/>
              </w:tabs>
              <w:spacing w:line="187" w:lineRule="exact" w:before="13"/>
              <w:ind w:right="121"/>
              <w:jc w:val="right"/>
              <w:rPr>
                <w:sz w:val="18"/>
              </w:rPr>
            </w:pPr>
            <w:r>
              <w:rPr>
                <w:spacing w:val="-10"/>
                <w:sz w:val="18"/>
              </w:rPr>
              <w:t>$</w:t>
            </w:r>
            <w:r>
              <w:rPr>
                <w:sz w:val="18"/>
              </w:rPr>
              <w:tab/>
            </w:r>
            <w:r>
              <w:rPr>
                <w:spacing w:val="-5"/>
                <w:sz w:val="18"/>
              </w:rPr>
              <w:t>42</w:t>
            </w:r>
          </w:p>
        </w:tc>
        <w:tc>
          <w:tcPr>
            <w:tcW w:w="840" w:type="dxa"/>
            <w:tcBorders>
              <w:top w:val="single" w:sz="4" w:space="0" w:color="000000"/>
              <w:bottom w:val="double" w:sz="8" w:space="0" w:color="000000"/>
            </w:tcBorders>
            <w:shd w:val="clear" w:color="auto" w:fill="CCEDFF"/>
          </w:tcPr>
          <w:p>
            <w:pPr>
              <w:pStyle w:val="TableParagraph"/>
              <w:tabs>
                <w:tab w:pos="626" w:val="left" w:leader="none"/>
              </w:tabs>
              <w:spacing w:line="187" w:lineRule="exact" w:before="13"/>
              <w:ind w:left="63"/>
              <w:rPr>
                <w:sz w:val="18"/>
              </w:rPr>
            </w:pPr>
            <w:r>
              <w:rPr>
                <w:spacing w:val="-10"/>
                <w:sz w:val="18"/>
              </w:rPr>
              <w:t>$</w:t>
            </w:r>
            <w:r>
              <w:rPr>
                <w:sz w:val="18"/>
              </w:rPr>
              <w:tab/>
            </w:r>
            <w:r>
              <w:rPr>
                <w:spacing w:val="-10"/>
                <w:sz w:val="18"/>
              </w:rPr>
              <w:t>4</w:t>
            </w:r>
          </w:p>
        </w:tc>
        <w:tc>
          <w:tcPr>
            <w:tcW w:w="1410" w:type="dxa"/>
            <w:tcBorders>
              <w:top w:val="single" w:sz="4" w:space="0" w:color="000000"/>
              <w:bottom w:val="double" w:sz="8" w:space="0" w:color="000000"/>
            </w:tcBorders>
            <w:shd w:val="clear" w:color="auto" w:fill="CCEDFF"/>
          </w:tcPr>
          <w:p>
            <w:pPr>
              <w:pStyle w:val="TableParagraph"/>
              <w:tabs>
                <w:tab w:pos="1135" w:val="left" w:leader="none"/>
              </w:tabs>
              <w:spacing w:line="187" w:lineRule="exact" w:before="13"/>
              <w:ind w:left="63"/>
              <w:rPr>
                <w:sz w:val="18"/>
              </w:rPr>
            </w:pPr>
            <w:r>
              <w:rPr>
                <w:spacing w:val="-10"/>
                <w:sz w:val="18"/>
              </w:rPr>
              <w:t>$</w:t>
            </w:r>
            <w:r>
              <w:rPr>
                <w:sz w:val="18"/>
              </w:rPr>
              <w:tab/>
            </w:r>
            <w:r>
              <w:rPr>
                <w:spacing w:val="-5"/>
                <w:sz w:val="18"/>
              </w:rPr>
              <w:t>46</w:t>
            </w:r>
          </w:p>
        </w:tc>
        <w:tc>
          <w:tcPr>
            <w:tcW w:w="1065" w:type="dxa"/>
            <w:tcBorders>
              <w:top w:val="single" w:sz="4" w:space="0" w:color="000000"/>
              <w:bottom w:val="double" w:sz="8" w:space="0" w:color="000000"/>
            </w:tcBorders>
            <w:shd w:val="clear" w:color="auto" w:fill="CCEDFF"/>
          </w:tcPr>
          <w:p>
            <w:pPr>
              <w:pStyle w:val="TableParagraph"/>
              <w:tabs>
                <w:tab w:pos="757" w:val="left" w:leader="none"/>
              </w:tabs>
              <w:spacing w:line="187" w:lineRule="exact" w:before="13"/>
              <w:ind w:right="91"/>
              <w:jc w:val="right"/>
              <w:rPr>
                <w:sz w:val="18"/>
              </w:rPr>
            </w:pPr>
            <w:r>
              <w:rPr>
                <w:spacing w:val="-10"/>
                <w:sz w:val="18"/>
              </w:rPr>
              <w:t>$</w:t>
            </w:r>
            <w:r>
              <w:rPr>
                <w:sz w:val="18"/>
              </w:rPr>
              <w:tab/>
            </w:r>
            <w:r>
              <w:rPr>
                <w:spacing w:val="-10"/>
                <w:sz w:val="18"/>
              </w:rPr>
              <w:t>—</w:t>
            </w:r>
          </w:p>
        </w:tc>
        <w:tc>
          <w:tcPr>
            <w:tcW w:w="705" w:type="dxa"/>
            <w:tcBorders>
              <w:top w:val="single" w:sz="4" w:space="0" w:color="000000"/>
              <w:bottom w:val="double" w:sz="8" w:space="0" w:color="000000"/>
            </w:tcBorders>
            <w:shd w:val="clear" w:color="auto" w:fill="CCEDFF"/>
          </w:tcPr>
          <w:p>
            <w:pPr>
              <w:pStyle w:val="TableParagraph"/>
              <w:tabs>
                <w:tab w:pos="487" w:val="left" w:leader="none"/>
              </w:tabs>
              <w:spacing w:line="187" w:lineRule="exact" w:before="13"/>
              <w:ind w:right="91"/>
              <w:jc w:val="right"/>
              <w:rPr>
                <w:sz w:val="18"/>
              </w:rPr>
            </w:pPr>
            <w:r>
              <w:rPr>
                <w:spacing w:val="-10"/>
                <w:sz w:val="18"/>
              </w:rPr>
              <w:t>$</w:t>
            </w:r>
            <w:r>
              <w:rPr>
                <w:sz w:val="18"/>
              </w:rPr>
              <w:tab/>
            </w:r>
            <w:r>
              <w:rPr>
                <w:spacing w:val="-10"/>
                <w:sz w:val="18"/>
              </w:rPr>
              <w:t>3</w:t>
            </w:r>
          </w:p>
        </w:tc>
        <w:tc>
          <w:tcPr>
            <w:tcW w:w="956" w:type="dxa"/>
            <w:tcBorders>
              <w:top w:val="single" w:sz="4" w:space="0" w:color="000000"/>
              <w:bottom w:val="double" w:sz="8" w:space="0" w:color="000000"/>
            </w:tcBorders>
            <w:shd w:val="clear" w:color="auto" w:fill="CCEDFF"/>
          </w:tcPr>
          <w:p>
            <w:pPr>
              <w:pStyle w:val="TableParagraph"/>
              <w:tabs>
                <w:tab w:pos="607" w:val="left" w:leader="none"/>
              </w:tabs>
              <w:spacing w:line="187" w:lineRule="exact" w:before="13"/>
              <w:ind w:right="72"/>
              <w:jc w:val="right"/>
              <w:rPr>
                <w:sz w:val="18"/>
              </w:rPr>
            </w:pPr>
            <w:r>
              <w:rPr>
                <w:spacing w:val="-10"/>
                <w:sz w:val="18"/>
              </w:rPr>
              <w:t>$</w:t>
            </w:r>
            <w:r>
              <w:rPr>
                <w:sz w:val="18"/>
              </w:rPr>
              <w:tab/>
            </w:r>
            <w:r>
              <w:rPr>
                <w:spacing w:val="-5"/>
                <w:sz w:val="18"/>
              </w:rPr>
              <w:t>49</w:t>
            </w:r>
          </w:p>
        </w:tc>
      </w:tr>
    </w:tbl>
    <w:p>
      <w:pPr>
        <w:pStyle w:val="BodyText"/>
        <w:spacing w:before="26"/>
      </w:pPr>
    </w:p>
    <w:p>
      <w:pPr>
        <w:pStyle w:val="BodyText"/>
        <w:spacing w:line="249" w:lineRule="auto" w:before="1"/>
        <w:ind w:left="470" w:right="761"/>
      </w:pPr>
      <w:r>
        <w:rPr/>
        <w:t>Consistent</w:t>
      </w:r>
      <w:r>
        <w:rPr>
          <w:spacing w:val="-3"/>
        </w:rPr>
        <w:t> </w:t>
      </w:r>
      <w:r>
        <w:rPr/>
        <w:t>with</w:t>
      </w:r>
      <w:r>
        <w:rPr>
          <w:spacing w:val="-2"/>
        </w:rPr>
        <w:t> </w:t>
      </w:r>
      <w:r>
        <w:rPr/>
        <w:t>Schwab’s</w:t>
      </w:r>
      <w:r>
        <w:rPr>
          <w:spacing w:val="-3"/>
        </w:rPr>
        <w:t> </w:t>
      </w:r>
      <w:r>
        <w:rPr/>
        <w:t>loan</w:t>
      </w:r>
      <w:r>
        <w:rPr>
          <w:spacing w:val="-2"/>
        </w:rPr>
        <w:t> </w:t>
      </w:r>
      <w:r>
        <w:rPr/>
        <w:t>charge-off</w:t>
      </w:r>
      <w:r>
        <w:rPr>
          <w:spacing w:val="-2"/>
        </w:rPr>
        <w:t> </w:t>
      </w:r>
      <w:r>
        <w:rPr/>
        <w:t>policy</w:t>
      </w:r>
      <w:r>
        <w:rPr>
          <w:spacing w:val="-2"/>
        </w:rPr>
        <w:t> </w:t>
      </w:r>
      <w:r>
        <w:rPr/>
        <w:t>for</w:t>
      </w:r>
      <w:r>
        <w:rPr>
          <w:spacing w:val="-2"/>
        </w:rPr>
        <w:t> </w:t>
      </w:r>
      <w:r>
        <w:rPr/>
        <w:t>pledged</w:t>
      </w:r>
      <w:r>
        <w:rPr>
          <w:spacing w:val="-2"/>
        </w:rPr>
        <w:t> </w:t>
      </w:r>
      <w:r>
        <w:rPr/>
        <w:t>asset</w:t>
      </w:r>
      <w:r>
        <w:rPr>
          <w:spacing w:val="-3"/>
        </w:rPr>
        <w:t> </w:t>
      </w:r>
      <w:r>
        <w:rPr/>
        <w:t>lines</w:t>
      </w:r>
      <w:r>
        <w:rPr>
          <w:spacing w:val="-3"/>
        </w:rPr>
        <w:t> </w:t>
      </w:r>
      <w:r>
        <w:rPr/>
        <w:t>(PALs)</w:t>
      </w:r>
      <w:r>
        <w:rPr>
          <w:spacing w:val="-2"/>
        </w:rPr>
        <w:t> </w:t>
      </w:r>
      <w:r>
        <w:rPr/>
        <w:t>as</w:t>
      </w:r>
      <w:r>
        <w:rPr>
          <w:spacing w:val="-3"/>
        </w:rPr>
        <w:t> </w:t>
      </w:r>
      <w:r>
        <w:rPr/>
        <w:t>disclosed</w:t>
      </w:r>
      <w:r>
        <w:rPr>
          <w:spacing w:val="-2"/>
        </w:rPr>
        <w:t> </w:t>
      </w:r>
      <w:r>
        <w:rPr/>
        <w:t>in</w:t>
      </w:r>
      <w:r>
        <w:rPr>
          <w:spacing w:val="-2"/>
        </w:rPr>
        <w:t> </w:t>
      </w:r>
      <w:r>
        <w:rPr/>
        <w:t>Item</w:t>
      </w:r>
      <w:r>
        <w:rPr>
          <w:spacing w:val="-3"/>
        </w:rPr>
        <w:t> </w:t>
      </w:r>
      <w:r>
        <w:rPr/>
        <w:t>8</w:t>
      </w:r>
      <w:r>
        <w:rPr>
          <w:spacing w:val="-2"/>
        </w:rPr>
        <w:t> </w:t>
      </w:r>
      <w:r>
        <w:rPr/>
        <w:t>–</w:t>
      </w:r>
      <w:r>
        <w:rPr>
          <w:spacing w:val="-2"/>
        </w:rPr>
        <w:t> </w:t>
      </w:r>
      <w:r>
        <w:rPr/>
        <w:t>Note</w:t>
      </w:r>
      <w:r>
        <w:rPr>
          <w:spacing w:val="-3"/>
        </w:rPr>
        <w:t> </w:t>
      </w:r>
      <w:r>
        <w:rPr/>
        <w:t>2</w:t>
      </w:r>
      <w:r>
        <w:rPr>
          <w:spacing w:val="-2"/>
        </w:rPr>
        <w:t> </w:t>
      </w:r>
      <w:r>
        <w:rPr/>
        <w:t>of</w:t>
      </w:r>
      <w:r>
        <w:rPr>
          <w:spacing w:val="-2"/>
        </w:rPr>
        <w:t> </w:t>
      </w:r>
      <w:r>
        <w:rPr/>
        <w:t>the</w:t>
      </w:r>
      <w:r>
        <w:rPr>
          <w:spacing w:val="-3"/>
        </w:rPr>
        <w:t> </w:t>
      </w:r>
      <w:r>
        <w:rPr/>
        <w:t>2022 Form 10-K, the Company charges off any unsecured balances no later than 90-days past due. PALs are also subject to the collateral maintenance practical expedient under ASC 326 </w:t>
      </w:r>
      <w:r>
        <w:rPr>
          <w:i/>
        </w:rPr>
        <w:t>Financial Instruments — Credit Losses</w:t>
      </w:r>
      <w:r>
        <w:rPr/>
        <w:t>. All PALs were fully collateralized by securities with fair values in excess of borrowings as of September 30, 2023 and December 31, 2022.</w:t>
      </w:r>
    </w:p>
    <w:p>
      <w:pPr>
        <w:pStyle w:val="BodyText"/>
        <w:spacing w:before="3"/>
        <w:ind w:left="470"/>
      </w:pPr>
      <w:r>
        <w:rPr/>
        <w:t>Therefore,</w:t>
      </w:r>
      <w:r>
        <w:rPr>
          <w:spacing w:val="-5"/>
        </w:rPr>
        <w:t> </w:t>
      </w:r>
      <w:r>
        <w:rPr/>
        <w:t>no</w:t>
      </w:r>
      <w:r>
        <w:rPr>
          <w:spacing w:val="-2"/>
        </w:rPr>
        <w:t> </w:t>
      </w:r>
      <w:r>
        <w:rPr/>
        <w:t>allowance</w:t>
      </w:r>
      <w:r>
        <w:rPr>
          <w:spacing w:val="-3"/>
        </w:rPr>
        <w:t> </w:t>
      </w:r>
      <w:r>
        <w:rPr/>
        <w:t>for</w:t>
      </w:r>
      <w:r>
        <w:rPr>
          <w:spacing w:val="-2"/>
        </w:rPr>
        <w:t> </w:t>
      </w:r>
      <w:r>
        <w:rPr/>
        <w:t>credit</w:t>
      </w:r>
      <w:r>
        <w:rPr>
          <w:spacing w:val="-3"/>
        </w:rPr>
        <w:t> </w:t>
      </w:r>
      <w:r>
        <w:rPr/>
        <w:t>losses</w:t>
      </w:r>
      <w:r>
        <w:rPr>
          <w:spacing w:val="-3"/>
        </w:rPr>
        <w:t> </w:t>
      </w:r>
      <w:r>
        <w:rPr/>
        <w:t>for</w:t>
      </w:r>
      <w:r>
        <w:rPr>
          <w:spacing w:val="-3"/>
        </w:rPr>
        <w:t> </w:t>
      </w:r>
      <w:r>
        <w:rPr/>
        <w:t>PALs</w:t>
      </w:r>
      <w:r>
        <w:rPr>
          <w:spacing w:val="-3"/>
        </w:rPr>
        <w:t> </w:t>
      </w:r>
      <w:r>
        <w:rPr/>
        <w:t>as</w:t>
      </w:r>
      <w:r>
        <w:rPr>
          <w:spacing w:val="-3"/>
        </w:rPr>
        <w:t> </w:t>
      </w:r>
      <w:r>
        <w:rPr/>
        <w:t>of</w:t>
      </w:r>
      <w:r>
        <w:rPr>
          <w:spacing w:val="-2"/>
        </w:rPr>
        <w:t> </w:t>
      </w:r>
      <w:r>
        <w:rPr/>
        <w:t>those</w:t>
      </w:r>
      <w:r>
        <w:rPr>
          <w:spacing w:val="-3"/>
        </w:rPr>
        <w:t> </w:t>
      </w:r>
      <w:r>
        <w:rPr/>
        <w:t>dates</w:t>
      </w:r>
      <w:r>
        <w:rPr>
          <w:spacing w:val="-3"/>
        </w:rPr>
        <w:t> </w:t>
      </w:r>
      <w:r>
        <w:rPr/>
        <w:t>was</w:t>
      </w:r>
      <w:r>
        <w:rPr>
          <w:spacing w:val="-3"/>
        </w:rPr>
        <w:t> </w:t>
      </w:r>
      <w:r>
        <w:rPr>
          <w:spacing w:val="-2"/>
        </w:rPr>
        <w:t>required.</w:t>
      </w:r>
    </w:p>
    <w:p>
      <w:pPr>
        <w:pStyle w:val="BodyText"/>
        <w:spacing w:before="20"/>
      </w:pPr>
    </w:p>
    <w:p>
      <w:pPr>
        <w:pStyle w:val="BodyText"/>
        <w:spacing w:line="249" w:lineRule="auto"/>
        <w:ind w:left="470" w:right="499"/>
      </w:pPr>
      <w:r>
        <w:rPr/>
        <w:t>The U.S. economy continues to be challenged by elevated inflation, tightening monetary policy, and geopolitical unrest.</w:t>
      </w:r>
      <w:r>
        <w:rPr>
          <w:spacing w:val="40"/>
        </w:rPr>
        <w:t> </w:t>
      </w:r>
      <w:r>
        <w:rPr/>
        <w:t>Despite these challenges, management’s macroeconomic outlook reflects a near term continuation of higher interest rates with only</w:t>
      </w:r>
      <w:r>
        <w:rPr>
          <w:spacing w:val="-3"/>
        </w:rPr>
        <w:t> </w:t>
      </w:r>
      <w:r>
        <w:rPr/>
        <w:t>a</w:t>
      </w:r>
      <w:r>
        <w:rPr>
          <w:spacing w:val="-4"/>
        </w:rPr>
        <w:t> </w:t>
      </w:r>
      <w:r>
        <w:rPr/>
        <w:t>slight</w:t>
      </w:r>
      <w:r>
        <w:rPr>
          <w:spacing w:val="-4"/>
        </w:rPr>
        <w:t> </w:t>
      </w:r>
      <w:r>
        <w:rPr/>
        <w:t>increase</w:t>
      </w:r>
      <w:r>
        <w:rPr>
          <w:spacing w:val="-4"/>
        </w:rPr>
        <w:t> </w:t>
      </w:r>
      <w:r>
        <w:rPr/>
        <w:t>in</w:t>
      </w:r>
      <w:r>
        <w:rPr>
          <w:spacing w:val="-3"/>
        </w:rPr>
        <w:t> </w:t>
      </w:r>
      <w:r>
        <w:rPr/>
        <w:t>unemployment</w:t>
      </w:r>
      <w:r>
        <w:rPr>
          <w:spacing w:val="-4"/>
        </w:rPr>
        <w:t> </w:t>
      </w:r>
      <w:r>
        <w:rPr/>
        <w:t>and</w:t>
      </w:r>
      <w:r>
        <w:rPr>
          <w:spacing w:val="-3"/>
        </w:rPr>
        <w:t> </w:t>
      </w:r>
      <w:r>
        <w:rPr/>
        <w:t>modest</w:t>
      </w:r>
      <w:r>
        <w:rPr>
          <w:spacing w:val="-4"/>
        </w:rPr>
        <w:t> </w:t>
      </w:r>
      <w:r>
        <w:rPr/>
        <w:t>home</w:t>
      </w:r>
      <w:r>
        <w:rPr>
          <w:spacing w:val="-4"/>
        </w:rPr>
        <w:t> </w:t>
      </w:r>
      <w:r>
        <w:rPr/>
        <w:t>price</w:t>
      </w:r>
      <w:r>
        <w:rPr>
          <w:spacing w:val="-4"/>
        </w:rPr>
        <w:t> </w:t>
      </w:r>
      <w:r>
        <w:rPr/>
        <w:t>depreciation.</w:t>
      </w:r>
      <w:r>
        <w:rPr>
          <w:spacing w:val="-3"/>
        </w:rPr>
        <w:t> </w:t>
      </w:r>
      <w:r>
        <w:rPr/>
        <w:t>While</w:t>
      </w:r>
      <w:r>
        <w:rPr>
          <w:spacing w:val="-4"/>
        </w:rPr>
        <w:t> </w:t>
      </w:r>
      <w:r>
        <w:rPr/>
        <w:t>higher</w:t>
      </w:r>
      <w:r>
        <w:rPr>
          <w:spacing w:val="-3"/>
        </w:rPr>
        <w:t> </w:t>
      </w:r>
      <w:r>
        <w:rPr/>
        <w:t>mortgage</w:t>
      </w:r>
      <w:r>
        <w:rPr>
          <w:spacing w:val="-4"/>
        </w:rPr>
        <w:t> </w:t>
      </w:r>
      <w:r>
        <w:rPr/>
        <w:t>rates</w:t>
      </w:r>
      <w:r>
        <w:rPr>
          <w:spacing w:val="-4"/>
        </w:rPr>
        <w:t> </w:t>
      </w:r>
      <w:r>
        <w:rPr/>
        <w:t>are</w:t>
      </w:r>
      <w:r>
        <w:rPr>
          <w:spacing w:val="-4"/>
        </w:rPr>
        <w:t> </w:t>
      </w:r>
      <w:r>
        <w:rPr/>
        <w:t>softening</w:t>
      </w:r>
      <w:r>
        <w:rPr>
          <w:spacing w:val="-3"/>
        </w:rPr>
        <w:t> </w:t>
      </w:r>
      <w:r>
        <w:rPr/>
        <w:t>demand and reducing borrower affordability, constrained housing supply will keep home prices relatively stable. Furthermore, credit quality metrics in the Company’s bank loans portfolio have improved in recent years and remain very strong. As a result of these factors, we decreased projected loss rates at September 30, 2023, as compared to December 31, 2022.</w:t>
      </w:r>
    </w:p>
    <w:p>
      <w:pPr>
        <w:pStyle w:val="BodyText"/>
        <w:spacing w:before="4"/>
        <w:rPr>
          <w:sz w:val="13"/>
        </w:rPr>
      </w:pPr>
    </w:p>
    <w:p>
      <w:pPr>
        <w:spacing w:after="0"/>
        <w:rPr>
          <w:sz w:val="13"/>
        </w:rPr>
        <w:sectPr>
          <w:pgSz w:w="12240" w:h="15840"/>
          <w:pgMar w:header="227" w:footer="201" w:top="1080" w:bottom="400" w:left="520" w:right="520"/>
        </w:sectPr>
      </w:pPr>
    </w:p>
    <w:p>
      <w:pPr>
        <w:pStyle w:val="BodyText"/>
        <w:spacing w:before="91"/>
        <w:ind w:left="470"/>
      </w:pPr>
      <w:r>
        <w:rPr/>
        <mc:AlternateContent>
          <mc:Choice Requires="wps">
            <w:drawing>
              <wp:anchor distT="0" distB="0" distL="0" distR="0" allowOverlap="1" layoutInCell="1" locked="0" behindDoc="0" simplePos="0" relativeHeight="15750144">
                <wp:simplePos x="0" y="0"/>
                <wp:positionH relativeFrom="page">
                  <wp:posOffset>628650</wp:posOffset>
                </wp:positionH>
                <wp:positionV relativeFrom="paragraph">
                  <wp:posOffset>301481</wp:posOffset>
                </wp:positionV>
                <wp:extent cx="6515100" cy="6350"/>
                <wp:effectExtent l="0" t="0" r="0" b="0"/>
                <wp:wrapNone/>
                <wp:docPr id="352" name="Group 352"/>
                <wp:cNvGraphicFramePr>
                  <a:graphicFrameLocks/>
                </wp:cNvGraphicFramePr>
                <a:graphic>
                  <a:graphicData uri="http://schemas.microsoft.com/office/word/2010/wordprocessingGroup">
                    <wpg:wgp>
                      <wpg:cNvPr id="352" name="Group 352"/>
                      <wpg:cNvGrpSpPr/>
                      <wpg:grpSpPr>
                        <a:xfrm>
                          <a:off x="0" y="0"/>
                          <a:ext cx="6515100" cy="6350"/>
                          <a:chExt cx="6515100" cy="6350"/>
                        </a:xfrm>
                      </wpg:grpSpPr>
                      <wps:wsp>
                        <wps:cNvPr id="353" name="Graphic 353"/>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354" name="Graphic 354"/>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23.73872pt;width:513pt;height:.5pt;mso-position-horizontal-relative:page;mso-position-vertical-relative:paragraph;z-index:15750144" id="docshapegroup242" coordorigin="990,475" coordsize="10260,10">
                <v:shape style="position:absolute;left:990;top:479;width:10260;height:2" id="docshape243" coordorigin="990,480" coordsize="10260,0" path="m11250,480l990,480e" filled="true" fillcolor="#000000" stroked="false">
                  <v:path arrowok="t"/>
                  <v:fill opacity="0f" type="solid"/>
                </v:shape>
                <v:line style="position:absolute" from="990,480" to="11250,480" stroked="true" strokeweight=".5pt" strokecolor="#000000">
                  <v:stroke dashstyle="solid"/>
                </v:line>
                <w10:wrap type="none"/>
              </v:group>
            </w:pict>
          </mc:Fallback>
        </mc:AlternateContent>
      </w:r>
      <w:r>
        <w:rPr/>
        <w:t>A</w:t>
      </w:r>
      <w:r>
        <w:rPr>
          <w:spacing w:val="-4"/>
        </w:rPr>
        <w:t> </w:t>
      </w:r>
      <w:r>
        <w:rPr/>
        <w:t>summary</w:t>
      </w:r>
      <w:r>
        <w:rPr>
          <w:spacing w:val="-2"/>
        </w:rPr>
        <w:t> </w:t>
      </w:r>
      <w:r>
        <w:rPr/>
        <w:t>of</w:t>
      </w:r>
      <w:r>
        <w:rPr>
          <w:spacing w:val="-3"/>
        </w:rPr>
        <w:t> </w:t>
      </w:r>
      <w:r>
        <w:rPr/>
        <w:t>bank</w:t>
      </w:r>
      <w:r>
        <w:rPr>
          <w:spacing w:val="-2"/>
        </w:rPr>
        <w:t> </w:t>
      </w:r>
      <w:r>
        <w:rPr/>
        <w:t>loan-related</w:t>
      </w:r>
      <w:r>
        <w:rPr>
          <w:spacing w:val="-3"/>
        </w:rPr>
        <w:t> </w:t>
      </w:r>
      <w:r>
        <w:rPr/>
        <w:t>nonperforming</w:t>
      </w:r>
      <w:r>
        <w:rPr>
          <w:spacing w:val="-2"/>
        </w:rPr>
        <w:t> </w:t>
      </w:r>
      <w:r>
        <w:rPr/>
        <w:t>assets</w:t>
      </w:r>
      <w:r>
        <w:rPr>
          <w:spacing w:val="-4"/>
        </w:rPr>
        <w:t> </w:t>
      </w:r>
      <w:r>
        <w:rPr/>
        <w:t>is</w:t>
      </w:r>
      <w:r>
        <w:rPr>
          <w:spacing w:val="-3"/>
        </w:rPr>
        <w:t> </w:t>
      </w:r>
      <w:r>
        <w:rPr/>
        <w:t>as</w:t>
      </w:r>
      <w:r>
        <w:rPr>
          <w:spacing w:val="-3"/>
        </w:rPr>
        <w:t> </w:t>
      </w:r>
      <w:r>
        <w:rPr>
          <w:spacing w:val="-2"/>
        </w:rPr>
        <w:t>follows:</w:t>
      </w:r>
    </w:p>
    <w:p>
      <w:pPr>
        <w:spacing w:line="240" w:lineRule="auto" w:before="0"/>
        <w:rPr>
          <w:sz w:val="18"/>
        </w:rPr>
      </w:pPr>
      <w:r>
        <w:rPr/>
        <w:br w:type="column"/>
      </w:r>
      <w:r>
        <w:rPr>
          <w:sz w:val="18"/>
        </w:rPr>
      </w:r>
    </w:p>
    <w:p>
      <w:pPr>
        <w:pStyle w:val="BodyText"/>
        <w:spacing w:before="83"/>
        <w:rPr>
          <w:sz w:val="18"/>
        </w:rPr>
      </w:pPr>
    </w:p>
    <w:p>
      <w:pPr>
        <w:tabs>
          <w:tab w:pos="2180" w:val="left" w:leader="none"/>
        </w:tabs>
        <w:spacing w:before="1"/>
        <w:ind w:left="470" w:right="0" w:firstLine="0"/>
        <w:jc w:val="left"/>
        <w:rPr>
          <w:sz w:val="18"/>
        </w:rPr>
      </w:pPr>
      <w:r>
        <w:rPr>
          <w:sz w:val="18"/>
        </w:rPr>
        <w:t>September</w:t>
      </w:r>
      <w:r>
        <w:rPr>
          <w:spacing w:val="-1"/>
          <w:sz w:val="18"/>
        </w:rPr>
        <w:t> </w:t>
      </w:r>
      <w:r>
        <w:rPr>
          <w:sz w:val="18"/>
        </w:rPr>
        <w:t>30, </w:t>
      </w:r>
      <w:r>
        <w:rPr>
          <w:spacing w:val="-4"/>
          <w:sz w:val="18"/>
        </w:rPr>
        <w:t>2023</w:t>
      </w:r>
      <w:r>
        <w:rPr>
          <w:sz w:val="18"/>
        </w:rPr>
        <w:tab/>
        <w:t>December</w:t>
      </w:r>
      <w:r>
        <w:rPr>
          <w:spacing w:val="-3"/>
          <w:sz w:val="18"/>
        </w:rPr>
        <w:t> </w:t>
      </w:r>
      <w:r>
        <w:rPr>
          <w:sz w:val="18"/>
        </w:rPr>
        <w:t>31, </w:t>
      </w:r>
      <w:r>
        <w:rPr>
          <w:spacing w:val="-4"/>
          <w:sz w:val="18"/>
        </w:rPr>
        <w:t>2022</w:t>
      </w:r>
    </w:p>
    <w:p>
      <w:pPr>
        <w:spacing w:after="0"/>
        <w:jc w:val="left"/>
        <w:rPr>
          <w:sz w:val="18"/>
        </w:rPr>
        <w:sectPr>
          <w:type w:val="continuous"/>
          <w:pgSz w:w="12240" w:h="15840"/>
          <w:pgMar w:header="227" w:footer="201" w:top="320" w:bottom="280" w:left="520" w:right="520"/>
          <w:cols w:num="2" w:equalWidth="0">
            <w:col w:w="5978" w:space="1055"/>
            <w:col w:w="4167"/>
          </w:cols>
        </w:sectPr>
      </w:pPr>
    </w:p>
    <w:p>
      <w:pPr>
        <w:pStyle w:val="BodyText"/>
        <w:spacing w:before="6"/>
        <w:rPr>
          <w:sz w:val="2"/>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7"/>
        <w:gridCol w:w="3121"/>
        <w:gridCol w:w="892"/>
        <w:gridCol w:w="802"/>
        <w:gridCol w:w="866"/>
      </w:tblGrid>
      <w:tr>
        <w:trPr>
          <w:trHeight w:val="250" w:hRule="atLeast"/>
        </w:trPr>
        <w:tc>
          <w:tcPr>
            <w:tcW w:w="4577" w:type="dxa"/>
            <w:tcBorders>
              <w:top w:val="single" w:sz="4" w:space="0" w:color="000000"/>
            </w:tcBorders>
            <w:shd w:val="clear" w:color="auto" w:fill="CCEDFF"/>
          </w:tcPr>
          <w:p>
            <w:pPr>
              <w:pStyle w:val="TableParagraph"/>
              <w:spacing w:before="13"/>
              <w:ind w:left="52"/>
              <w:rPr>
                <w:sz w:val="18"/>
              </w:rPr>
            </w:pPr>
            <w:r>
              <w:rPr>
                <w:sz w:val="18"/>
              </w:rPr>
              <w:t>Nonaccrual</w:t>
            </w:r>
            <w:r>
              <w:rPr>
                <w:spacing w:val="-1"/>
                <w:sz w:val="18"/>
              </w:rPr>
              <w:t> </w:t>
            </w:r>
            <w:r>
              <w:rPr>
                <w:sz w:val="18"/>
              </w:rPr>
              <w:t>loans</w:t>
            </w:r>
            <w:r>
              <w:rPr>
                <w:spacing w:val="-2"/>
                <w:sz w:val="18"/>
              </w:rPr>
              <w:t> </w:t>
            </w:r>
            <w:r>
              <w:rPr>
                <w:spacing w:val="-5"/>
                <w:sz w:val="18"/>
                <w:vertAlign w:val="superscript"/>
              </w:rPr>
              <w:t>(1)</w:t>
            </w:r>
          </w:p>
        </w:tc>
        <w:tc>
          <w:tcPr>
            <w:tcW w:w="3121" w:type="dxa"/>
            <w:tcBorders>
              <w:top w:val="single" w:sz="4" w:space="0" w:color="000000"/>
            </w:tcBorders>
            <w:shd w:val="clear" w:color="auto" w:fill="CCEDFF"/>
          </w:tcPr>
          <w:p>
            <w:pPr>
              <w:pStyle w:val="TableParagraph"/>
              <w:spacing w:before="13"/>
              <w:ind w:right="608"/>
              <w:jc w:val="right"/>
              <w:rPr>
                <w:sz w:val="18"/>
              </w:rPr>
            </w:pPr>
            <w:r>
              <w:rPr>
                <w:spacing w:val="-10"/>
                <w:sz w:val="18"/>
              </w:rPr>
              <w:t>$</w:t>
            </w:r>
          </w:p>
        </w:tc>
        <w:tc>
          <w:tcPr>
            <w:tcW w:w="892" w:type="dxa"/>
            <w:tcBorders>
              <w:top w:val="single" w:sz="4" w:space="0" w:color="000000"/>
            </w:tcBorders>
            <w:shd w:val="clear" w:color="auto" w:fill="CCEDFF"/>
          </w:tcPr>
          <w:p>
            <w:pPr>
              <w:pStyle w:val="TableParagraph"/>
              <w:spacing w:before="13"/>
              <w:ind w:right="97"/>
              <w:jc w:val="right"/>
              <w:rPr>
                <w:sz w:val="18"/>
              </w:rPr>
            </w:pPr>
            <w:r>
              <w:rPr>
                <w:spacing w:val="-5"/>
                <w:sz w:val="18"/>
              </w:rPr>
              <w:t>14</w:t>
            </w:r>
          </w:p>
        </w:tc>
        <w:tc>
          <w:tcPr>
            <w:tcW w:w="802" w:type="dxa"/>
            <w:tcBorders>
              <w:top w:val="single" w:sz="4" w:space="0" w:color="000000"/>
            </w:tcBorders>
            <w:shd w:val="clear" w:color="auto" w:fill="CCEDFF"/>
          </w:tcPr>
          <w:p>
            <w:pPr>
              <w:pStyle w:val="TableParagraph"/>
              <w:spacing w:before="13"/>
              <w:ind w:left="102"/>
              <w:rPr>
                <w:sz w:val="18"/>
              </w:rPr>
            </w:pPr>
            <w:r>
              <w:rPr>
                <w:spacing w:val="-10"/>
                <w:sz w:val="18"/>
              </w:rPr>
              <w:t>$</w:t>
            </w:r>
          </w:p>
        </w:tc>
        <w:tc>
          <w:tcPr>
            <w:tcW w:w="866" w:type="dxa"/>
            <w:tcBorders>
              <w:top w:val="single" w:sz="4" w:space="0" w:color="000000"/>
            </w:tcBorders>
            <w:shd w:val="clear" w:color="auto" w:fill="CCEDFF"/>
          </w:tcPr>
          <w:p>
            <w:pPr>
              <w:pStyle w:val="TableParagraph"/>
              <w:spacing w:before="13"/>
              <w:ind w:right="70"/>
              <w:jc w:val="right"/>
              <w:rPr>
                <w:sz w:val="18"/>
              </w:rPr>
            </w:pPr>
            <w:r>
              <w:rPr>
                <w:spacing w:val="-5"/>
                <w:sz w:val="18"/>
              </w:rPr>
              <w:t>23</w:t>
            </w:r>
          </w:p>
        </w:tc>
      </w:tr>
      <w:tr>
        <w:trPr>
          <w:trHeight w:val="250" w:hRule="atLeast"/>
        </w:trPr>
        <w:tc>
          <w:tcPr>
            <w:tcW w:w="4577" w:type="dxa"/>
            <w:tcBorders>
              <w:bottom w:val="single" w:sz="4" w:space="0" w:color="000000"/>
            </w:tcBorders>
          </w:tcPr>
          <w:p>
            <w:pPr>
              <w:pStyle w:val="TableParagraph"/>
              <w:spacing w:before="18"/>
              <w:ind w:left="52"/>
              <w:rPr>
                <w:sz w:val="18"/>
              </w:rPr>
            </w:pPr>
            <w:r>
              <w:rPr>
                <w:sz w:val="18"/>
              </w:rPr>
              <w:t>Other</w:t>
            </w:r>
            <w:r>
              <w:rPr>
                <w:spacing w:val="-1"/>
                <w:sz w:val="18"/>
              </w:rPr>
              <w:t> </w:t>
            </w:r>
            <w:r>
              <w:rPr>
                <w:sz w:val="18"/>
              </w:rPr>
              <w:t>real</w:t>
            </w:r>
            <w:r>
              <w:rPr>
                <w:spacing w:val="-1"/>
                <w:sz w:val="18"/>
              </w:rPr>
              <w:t> </w:t>
            </w:r>
            <w:r>
              <w:rPr>
                <w:sz w:val="18"/>
              </w:rPr>
              <w:t>estate</w:t>
            </w:r>
            <w:r>
              <w:rPr>
                <w:spacing w:val="-1"/>
                <w:sz w:val="18"/>
              </w:rPr>
              <w:t> </w:t>
            </w:r>
            <w:r>
              <w:rPr>
                <w:sz w:val="18"/>
              </w:rPr>
              <w:t>owned</w:t>
            </w:r>
            <w:r>
              <w:rPr>
                <w:spacing w:val="-2"/>
                <w:sz w:val="18"/>
              </w:rPr>
              <w:t> </w:t>
            </w:r>
            <w:r>
              <w:rPr>
                <w:spacing w:val="-5"/>
                <w:sz w:val="18"/>
                <w:vertAlign w:val="superscript"/>
              </w:rPr>
              <w:t>(2)</w:t>
            </w:r>
          </w:p>
        </w:tc>
        <w:tc>
          <w:tcPr>
            <w:tcW w:w="3121" w:type="dxa"/>
            <w:tcBorders>
              <w:bottom w:val="single" w:sz="4" w:space="0" w:color="000000"/>
            </w:tcBorders>
          </w:tcPr>
          <w:p>
            <w:pPr>
              <w:pStyle w:val="TableParagraph"/>
              <w:rPr>
                <w:sz w:val="18"/>
              </w:rPr>
            </w:pPr>
          </w:p>
        </w:tc>
        <w:tc>
          <w:tcPr>
            <w:tcW w:w="892" w:type="dxa"/>
            <w:tcBorders>
              <w:bottom w:val="single" w:sz="4" w:space="0" w:color="000000"/>
            </w:tcBorders>
          </w:tcPr>
          <w:p>
            <w:pPr>
              <w:pStyle w:val="TableParagraph"/>
              <w:spacing w:before="18"/>
              <w:ind w:right="97"/>
              <w:jc w:val="right"/>
              <w:rPr>
                <w:sz w:val="18"/>
              </w:rPr>
            </w:pPr>
            <w:r>
              <w:rPr>
                <w:spacing w:val="-10"/>
                <w:sz w:val="18"/>
              </w:rPr>
              <w:t>—</w:t>
            </w:r>
          </w:p>
        </w:tc>
        <w:tc>
          <w:tcPr>
            <w:tcW w:w="802" w:type="dxa"/>
            <w:tcBorders>
              <w:bottom w:val="single" w:sz="4" w:space="0" w:color="000000"/>
            </w:tcBorders>
          </w:tcPr>
          <w:p>
            <w:pPr>
              <w:pStyle w:val="TableParagraph"/>
              <w:rPr>
                <w:sz w:val="18"/>
              </w:rPr>
            </w:pPr>
          </w:p>
        </w:tc>
        <w:tc>
          <w:tcPr>
            <w:tcW w:w="866" w:type="dxa"/>
            <w:tcBorders>
              <w:bottom w:val="single" w:sz="4" w:space="0" w:color="000000"/>
            </w:tcBorders>
          </w:tcPr>
          <w:p>
            <w:pPr>
              <w:pStyle w:val="TableParagraph"/>
              <w:spacing w:before="18"/>
              <w:ind w:right="70"/>
              <w:jc w:val="right"/>
              <w:rPr>
                <w:sz w:val="18"/>
              </w:rPr>
            </w:pPr>
            <w:r>
              <w:rPr>
                <w:spacing w:val="-10"/>
                <w:sz w:val="18"/>
              </w:rPr>
              <w:t>2</w:t>
            </w:r>
          </w:p>
        </w:tc>
      </w:tr>
      <w:tr>
        <w:trPr>
          <w:trHeight w:val="220" w:hRule="atLeast"/>
        </w:trPr>
        <w:tc>
          <w:tcPr>
            <w:tcW w:w="4577" w:type="dxa"/>
            <w:tcBorders>
              <w:top w:val="single" w:sz="4" w:space="0" w:color="000000"/>
              <w:bottom w:val="double" w:sz="8" w:space="0" w:color="000000"/>
            </w:tcBorders>
            <w:shd w:val="clear" w:color="auto" w:fill="CCEDFF"/>
          </w:tcPr>
          <w:p>
            <w:pPr>
              <w:pStyle w:val="TableParagraph"/>
              <w:spacing w:line="187" w:lineRule="exact" w:before="13"/>
              <w:ind w:left="187"/>
              <w:rPr>
                <w:sz w:val="18"/>
              </w:rPr>
            </w:pPr>
            <w:r>
              <w:rPr>
                <w:sz w:val="18"/>
              </w:rPr>
              <w:t>Total nonperforming </w:t>
            </w:r>
            <w:r>
              <w:rPr>
                <w:spacing w:val="-2"/>
                <w:sz w:val="18"/>
              </w:rPr>
              <w:t>assets</w:t>
            </w:r>
          </w:p>
        </w:tc>
        <w:tc>
          <w:tcPr>
            <w:tcW w:w="3121" w:type="dxa"/>
            <w:tcBorders>
              <w:top w:val="single" w:sz="4" w:space="0" w:color="000000"/>
              <w:bottom w:val="double" w:sz="8" w:space="0" w:color="000000"/>
            </w:tcBorders>
            <w:shd w:val="clear" w:color="auto" w:fill="CCEDFF"/>
          </w:tcPr>
          <w:p>
            <w:pPr>
              <w:pStyle w:val="TableParagraph"/>
              <w:spacing w:line="187" w:lineRule="exact" w:before="13"/>
              <w:ind w:right="608"/>
              <w:jc w:val="right"/>
              <w:rPr>
                <w:sz w:val="18"/>
              </w:rPr>
            </w:pPr>
            <w:r>
              <w:rPr>
                <w:spacing w:val="-10"/>
                <w:sz w:val="18"/>
              </w:rPr>
              <w:t>$</w:t>
            </w:r>
          </w:p>
        </w:tc>
        <w:tc>
          <w:tcPr>
            <w:tcW w:w="892" w:type="dxa"/>
            <w:tcBorders>
              <w:top w:val="single" w:sz="4" w:space="0" w:color="000000"/>
              <w:bottom w:val="double" w:sz="8" w:space="0" w:color="000000"/>
            </w:tcBorders>
            <w:shd w:val="clear" w:color="auto" w:fill="CCEDFF"/>
          </w:tcPr>
          <w:p>
            <w:pPr>
              <w:pStyle w:val="TableParagraph"/>
              <w:spacing w:line="187" w:lineRule="exact" w:before="13"/>
              <w:ind w:right="97"/>
              <w:jc w:val="right"/>
              <w:rPr>
                <w:sz w:val="18"/>
              </w:rPr>
            </w:pPr>
            <w:r>
              <w:rPr>
                <w:spacing w:val="-5"/>
                <w:sz w:val="18"/>
              </w:rPr>
              <w:t>14</w:t>
            </w:r>
          </w:p>
        </w:tc>
        <w:tc>
          <w:tcPr>
            <w:tcW w:w="802" w:type="dxa"/>
            <w:tcBorders>
              <w:top w:val="single" w:sz="4" w:space="0" w:color="000000"/>
              <w:bottom w:val="double" w:sz="8" w:space="0" w:color="000000"/>
            </w:tcBorders>
            <w:shd w:val="clear" w:color="auto" w:fill="CCEDFF"/>
          </w:tcPr>
          <w:p>
            <w:pPr>
              <w:pStyle w:val="TableParagraph"/>
              <w:spacing w:line="187" w:lineRule="exact" w:before="13"/>
              <w:ind w:left="102"/>
              <w:rPr>
                <w:sz w:val="18"/>
              </w:rPr>
            </w:pPr>
            <w:r>
              <w:rPr>
                <w:spacing w:val="-10"/>
                <w:sz w:val="18"/>
              </w:rPr>
              <w:t>$</w:t>
            </w:r>
          </w:p>
        </w:tc>
        <w:tc>
          <w:tcPr>
            <w:tcW w:w="866" w:type="dxa"/>
            <w:tcBorders>
              <w:top w:val="single" w:sz="4" w:space="0" w:color="000000"/>
              <w:bottom w:val="double" w:sz="8" w:space="0" w:color="000000"/>
            </w:tcBorders>
            <w:shd w:val="clear" w:color="auto" w:fill="CCEDFF"/>
          </w:tcPr>
          <w:p>
            <w:pPr>
              <w:pStyle w:val="TableParagraph"/>
              <w:spacing w:line="187" w:lineRule="exact" w:before="13"/>
              <w:ind w:right="70"/>
              <w:jc w:val="right"/>
              <w:rPr>
                <w:sz w:val="18"/>
              </w:rPr>
            </w:pPr>
            <w:r>
              <w:rPr>
                <w:spacing w:val="-5"/>
                <w:sz w:val="18"/>
              </w:rPr>
              <w:t>25</w:t>
            </w:r>
          </w:p>
        </w:tc>
      </w:tr>
    </w:tbl>
    <w:p>
      <w:pPr>
        <w:spacing w:before="27"/>
        <w:ind w:left="470" w:right="0" w:firstLine="0"/>
        <w:jc w:val="left"/>
        <w:rPr>
          <w:sz w:val="16"/>
        </w:rPr>
      </w:pPr>
      <w:r>
        <w:rPr>
          <w:sz w:val="16"/>
          <w:vertAlign w:val="superscript"/>
        </w:rPr>
        <w:t>(1)</w:t>
      </w:r>
      <w:r>
        <w:rPr>
          <w:spacing w:val="-1"/>
          <w:sz w:val="16"/>
          <w:vertAlign w:val="baseline"/>
        </w:rPr>
        <w:t> </w:t>
      </w:r>
      <w:r>
        <w:rPr>
          <w:sz w:val="16"/>
          <w:vertAlign w:val="baseline"/>
        </w:rPr>
        <w:t>Nonaccrual loans include nonaccrual troubled</w:t>
      </w:r>
      <w:r>
        <w:rPr>
          <w:spacing w:val="1"/>
          <w:sz w:val="16"/>
          <w:vertAlign w:val="baseline"/>
        </w:rPr>
        <w:t> </w:t>
      </w:r>
      <w:r>
        <w:rPr>
          <w:sz w:val="16"/>
          <w:vertAlign w:val="baseline"/>
        </w:rPr>
        <w:t>debt restructurings</w:t>
      </w:r>
      <w:r>
        <w:rPr>
          <w:spacing w:val="-1"/>
          <w:sz w:val="16"/>
          <w:vertAlign w:val="baseline"/>
        </w:rPr>
        <w:t> </w:t>
      </w:r>
      <w:r>
        <w:rPr>
          <w:sz w:val="16"/>
          <w:vertAlign w:val="baseline"/>
        </w:rPr>
        <w:t>recorded</w:t>
      </w:r>
      <w:r>
        <w:rPr>
          <w:spacing w:val="1"/>
          <w:sz w:val="16"/>
          <w:vertAlign w:val="baseline"/>
        </w:rPr>
        <w:t> </w:t>
      </w:r>
      <w:r>
        <w:rPr>
          <w:sz w:val="16"/>
          <w:vertAlign w:val="baseline"/>
        </w:rPr>
        <w:t>prior to the</w:t>
      </w:r>
      <w:r>
        <w:rPr>
          <w:spacing w:val="1"/>
          <w:sz w:val="16"/>
          <w:vertAlign w:val="baseline"/>
        </w:rPr>
        <w:t> </w:t>
      </w:r>
      <w:r>
        <w:rPr>
          <w:sz w:val="16"/>
          <w:vertAlign w:val="baseline"/>
        </w:rPr>
        <w:t>adoption of ASU 2022-</w:t>
      </w:r>
      <w:r>
        <w:rPr>
          <w:spacing w:val="-5"/>
          <w:sz w:val="16"/>
          <w:vertAlign w:val="baseline"/>
        </w:rPr>
        <w:t>02.</w:t>
      </w:r>
    </w:p>
    <w:p>
      <w:pPr>
        <w:spacing w:before="8"/>
        <w:ind w:left="470" w:right="0" w:firstLine="0"/>
        <w:jc w:val="left"/>
        <w:rPr>
          <w:sz w:val="16"/>
        </w:rPr>
      </w:pPr>
      <w:r>
        <w:rPr>
          <w:sz w:val="16"/>
          <w:vertAlign w:val="superscript"/>
        </w:rPr>
        <w:t>(2)</w:t>
      </w:r>
      <w:r>
        <w:rPr>
          <w:spacing w:val="-1"/>
          <w:sz w:val="16"/>
          <w:vertAlign w:val="baseline"/>
        </w:rPr>
        <w:t> </w:t>
      </w:r>
      <w:r>
        <w:rPr>
          <w:sz w:val="16"/>
          <w:vertAlign w:val="baseline"/>
        </w:rPr>
        <w:t>Included</w:t>
      </w:r>
      <w:r>
        <w:rPr>
          <w:spacing w:val="1"/>
          <w:sz w:val="16"/>
          <w:vertAlign w:val="baseline"/>
        </w:rPr>
        <w:t> </w:t>
      </w:r>
      <w:r>
        <w:rPr>
          <w:sz w:val="16"/>
          <w:vertAlign w:val="baseline"/>
        </w:rPr>
        <w:t>in other</w:t>
      </w:r>
      <w:r>
        <w:rPr>
          <w:spacing w:val="1"/>
          <w:sz w:val="16"/>
          <w:vertAlign w:val="baseline"/>
        </w:rPr>
        <w:t> </w:t>
      </w:r>
      <w:r>
        <w:rPr>
          <w:sz w:val="16"/>
          <w:vertAlign w:val="baseline"/>
        </w:rPr>
        <w:t>assets</w:t>
      </w:r>
      <w:r>
        <w:rPr>
          <w:spacing w:val="-1"/>
          <w:sz w:val="16"/>
          <w:vertAlign w:val="baseline"/>
        </w:rPr>
        <w:t> </w:t>
      </w:r>
      <w:r>
        <w:rPr>
          <w:sz w:val="16"/>
          <w:vertAlign w:val="baseline"/>
        </w:rPr>
        <w:t>on</w:t>
      </w:r>
      <w:r>
        <w:rPr>
          <w:spacing w:val="1"/>
          <w:sz w:val="16"/>
          <w:vertAlign w:val="baseline"/>
        </w:rPr>
        <w:t> </w:t>
      </w:r>
      <w:r>
        <w:rPr>
          <w:sz w:val="16"/>
          <w:vertAlign w:val="baseline"/>
        </w:rPr>
        <w:t>the condensed</w:t>
      </w:r>
      <w:r>
        <w:rPr>
          <w:spacing w:val="1"/>
          <w:sz w:val="16"/>
          <w:vertAlign w:val="baseline"/>
        </w:rPr>
        <w:t> </w:t>
      </w:r>
      <w:r>
        <w:rPr>
          <w:sz w:val="16"/>
          <w:vertAlign w:val="baseline"/>
        </w:rPr>
        <w:t>consolidated balance</w:t>
      </w:r>
      <w:r>
        <w:rPr>
          <w:spacing w:val="1"/>
          <w:sz w:val="16"/>
          <w:vertAlign w:val="baseline"/>
        </w:rPr>
        <w:t> </w:t>
      </w:r>
      <w:r>
        <w:rPr>
          <w:spacing w:val="-2"/>
          <w:sz w:val="16"/>
          <w:vertAlign w:val="baseline"/>
        </w:rPr>
        <w:t>sheets.</w:t>
      </w:r>
    </w:p>
    <w:p>
      <w:pPr>
        <w:pStyle w:val="BodyText"/>
        <w:spacing w:before="51"/>
        <w:rPr>
          <w:sz w:val="16"/>
        </w:rPr>
      </w:pPr>
    </w:p>
    <w:p>
      <w:pPr>
        <w:pStyle w:val="Heading3"/>
        <w:rPr>
          <w:i/>
        </w:rPr>
      </w:pPr>
      <w:r>
        <w:rPr>
          <w:i/>
        </w:rPr>
        <w:t>Credit</w:t>
      </w:r>
      <w:r>
        <w:rPr>
          <w:i/>
          <w:spacing w:val="-7"/>
        </w:rPr>
        <w:t> </w:t>
      </w:r>
      <w:r>
        <w:rPr>
          <w:i/>
          <w:spacing w:val="-2"/>
        </w:rPr>
        <w:t>Quality</w:t>
      </w:r>
    </w:p>
    <w:p>
      <w:pPr>
        <w:pStyle w:val="BodyText"/>
        <w:spacing w:line="249" w:lineRule="auto" w:before="193"/>
        <w:ind w:left="470"/>
      </w:pPr>
      <w:r>
        <w:rPr/>
        <w:t>In</w:t>
      </w:r>
      <w:r>
        <w:rPr>
          <w:spacing w:val="-3"/>
        </w:rPr>
        <w:t> </w:t>
      </w:r>
      <w:r>
        <w:rPr/>
        <w:t>addition</w:t>
      </w:r>
      <w:r>
        <w:rPr>
          <w:spacing w:val="-3"/>
        </w:rPr>
        <w:t> </w:t>
      </w:r>
      <w:r>
        <w:rPr/>
        <w:t>to</w:t>
      </w:r>
      <w:r>
        <w:rPr>
          <w:spacing w:val="-3"/>
        </w:rPr>
        <w:t> </w:t>
      </w:r>
      <w:r>
        <w:rPr/>
        <w:t>monitoring</w:t>
      </w:r>
      <w:r>
        <w:rPr>
          <w:spacing w:val="-3"/>
        </w:rPr>
        <w:t> </w:t>
      </w:r>
      <w:r>
        <w:rPr/>
        <w:t>delinquency,</w:t>
      </w:r>
      <w:r>
        <w:rPr>
          <w:spacing w:val="-3"/>
        </w:rPr>
        <w:t> </w:t>
      </w:r>
      <w:r>
        <w:rPr/>
        <w:t>Schwab</w:t>
      </w:r>
      <w:r>
        <w:rPr>
          <w:spacing w:val="-3"/>
        </w:rPr>
        <w:t> </w:t>
      </w:r>
      <w:r>
        <w:rPr/>
        <w:t>monitors</w:t>
      </w:r>
      <w:r>
        <w:rPr>
          <w:spacing w:val="-4"/>
        </w:rPr>
        <w:t> </w:t>
      </w:r>
      <w:r>
        <w:rPr/>
        <w:t>the</w:t>
      </w:r>
      <w:r>
        <w:rPr>
          <w:spacing w:val="-4"/>
        </w:rPr>
        <w:t> </w:t>
      </w:r>
      <w:r>
        <w:rPr/>
        <w:t>credit</w:t>
      </w:r>
      <w:r>
        <w:rPr>
          <w:spacing w:val="-4"/>
        </w:rPr>
        <w:t> </w:t>
      </w:r>
      <w:r>
        <w:rPr/>
        <w:t>quality</w:t>
      </w:r>
      <w:r>
        <w:rPr>
          <w:spacing w:val="-3"/>
        </w:rPr>
        <w:t> </w:t>
      </w:r>
      <w:r>
        <w:rPr/>
        <w:t>of</w:t>
      </w:r>
      <w:r>
        <w:rPr>
          <w:spacing w:val="-3"/>
        </w:rPr>
        <w:t> </w:t>
      </w:r>
      <w:r>
        <w:rPr/>
        <w:t>First</w:t>
      </w:r>
      <w:r>
        <w:rPr>
          <w:spacing w:val="-4"/>
        </w:rPr>
        <w:t> </w:t>
      </w:r>
      <w:r>
        <w:rPr/>
        <w:t>Mortgages</w:t>
      </w:r>
      <w:r>
        <w:rPr>
          <w:spacing w:val="-4"/>
        </w:rPr>
        <w:t> </w:t>
      </w:r>
      <w:r>
        <w:rPr/>
        <w:t>and</w:t>
      </w:r>
      <w:r>
        <w:rPr>
          <w:spacing w:val="-3"/>
        </w:rPr>
        <w:t> </w:t>
      </w:r>
      <w:r>
        <w:rPr/>
        <w:t>HELOCs</w:t>
      </w:r>
      <w:r>
        <w:rPr>
          <w:spacing w:val="-4"/>
        </w:rPr>
        <w:t> </w:t>
      </w:r>
      <w:r>
        <w:rPr/>
        <w:t>by</w:t>
      </w:r>
      <w:r>
        <w:rPr>
          <w:spacing w:val="-3"/>
        </w:rPr>
        <w:t> </w:t>
      </w:r>
      <w:r>
        <w:rPr/>
        <w:t>stratifying</w:t>
      </w:r>
      <w:r>
        <w:rPr>
          <w:spacing w:val="-3"/>
        </w:rPr>
        <w:t> </w:t>
      </w:r>
      <w:r>
        <w:rPr/>
        <w:t>the portfolios by the following:</w:t>
      </w:r>
    </w:p>
    <w:p>
      <w:pPr>
        <w:pStyle w:val="ListParagraph"/>
        <w:numPr>
          <w:ilvl w:val="0"/>
          <w:numId w:val="6"/>
        </w:numPr>
        <w:tabs>
          <w:tab w:pos="1189" w:val="left" w:leader="none"/>
        </w:tabs>
        <w:spacing w:line="240" w:lineRule="auto" w:before="182" w:after="0"/>
        <w:ind w:left="1189" w:right="0" w:hanging="359"/>
        <w:jc w:val="left"/>
        <w:rPr>
          <w:sz w:val="20"/>
        </w:rPr>
      </w:pPr>
      <w:r>
        <w:rPr>
          <w:sz w:val="20"/>
        </w:rPr>
        <w:t>Year</w:t>
      </w:r>
      <w:r>
        <w:rPr>
          <w:spacing w:val="-2"/>
          <w:sz w:val="20"/>
        </w:rPr>
        <w:t> </w:t>
      </w:r>
      <w:r>
        <w:rPr>
          <w:sz w:val="20"/>
        </w:rPr>
        <w:t>of</w:t>
      </w:r>
      <w:r>
        <w:rPr>
          <w:spacing w:val="-1"/>
          <w:sz w:val="20"/>
        </w:rPr>
        <w:t> </w:t>
      </w:r>
      <w:r>
        <w:rPr>
          <w:spacing w:val="-2"/>
          <w:sz w:val="20"/>
        </w:rPr>
        <w:t>origination;</w:t>
      </w:r>
    </w:p>
    <w:p>
      <w:pPr>
        <w:pStyle w:val="ListParagraph"/>
        <w:numPr>
          <w:ilvl w:val="0"/>
          <w:numId w:val="6"/>
        </w:numPr>
        <w:tabs>
          <w:tab w:pos="1189" w:val="left" w:leader="none"/>
        </w:tabs>
        <w:spacing w:line="240" w:lineRule="auto" w:before="10" w:after="0"/>
        <w:ind w:left="1189" w:right="0" w:hanging="359"/>
        <w:jc w:val="left"/>
        <w:rPr>
          <w:sz w:val="20"/>
        </w:rPr>
      </w:pPr>
      <w:r>
        <w:rPr>
          <w:sz w:val="20"/>
        </w:rPr>
        <w:t>Borrower</w:t>
      </w:r>
      <w:r>
        <w:rPr>
          <w:spacing w:val="-4"/>
          <w:sz w:val="20"/>
        </w:rPr>
        <w:t> </w:t>
      </w:r>
      <w:r>
        <w:rPr>
          <w:sz w:val="20"/>
        </w:rPr>
        <w:t>FICO</w:t>
      </w:r>
      <w:r>
        <w:rPr>
          <w:spacing w:val="-4"/>
          <w:sz w:val="20"/>
        </w:rPr>
        <w:t> </w:t>
      </w:r>
      <w:r>
        <w:rPr>
          <w:sz w:val="20"/>
        </w:rPr>
        <w:t>scores</w:t>
      </w:r>
      <w:r>
        <w:rPr>
          <w:spacing w:val="-4"/>
          <w:sz w:val="20"/>
        </w:rPr>
        <w:t> </w:t>
      </w:r>
      <w:r>
        <w:rPr>
          <w:sz w:val="20"/>
        </w:rPr>
        <w:t>at</w:t>
      </w:r>
      <w:r>
        <w:rPr>
          <w:spacing w:val="-5"/>
          <w:sz w:val="20"/>
        </w:rPr>
        <w:t> </w:t>
      </w:r>
      <w:r>
        <w:rPr>
          <w:sz w:val="20"/>
        </w:rPr>
        <w:t>origination</w:t>
      </w:r>
      <w:r>
        <w:rPr>
          <w:spacing w:val="-3"/>
          <w:sz w:val="20"/>
        </w:rPr>
        <w:t> </w:t>
      </w:r>
      <w:r>
        <w:rPr>
          <w:sz w:val="20"/>
        </w:rPr>
        <w:t>(Origination</w:t>
      </w:r>
      <w:r>
        <w:rPr>
          <w:spacing w:val="-3"/>
          <w:sz w:val="20"/>
        </w:rPr>
        <w:t> </w:t>
      </w:r>
      <w:r>
        <w:rPr>
          <w:spacing w:val="-2"/>
          <w:sz w:val="20"/>
        </w:rPr>
        <w:t>FICO);</w:t>
      </w:r>
    </w:p>
    <w:p>
      <w:pPr>
        <w:pStyle w:val="ListParagraph"/>
        <w:numPr>
          <w:ilvl w:val="0"/>
          <w:numId w:val="6"/>
        </w:numPr>
        <w:tabs>
          <w:tab w:pos="1189" w:val="left" w:leader="none"/>
        </w:tabs>
        <w:spacing w:line="240" w:lineRule="auto" w:before="10" w:after="0"/>
        <w:ind w:left="1189" w:right="0" w:hanging="359"/>
        <w:jc w:val="left"/>
        <w:rPr>
          <w:sz w:val="20"/>
        </w:rPr>
      </w:pPr>
      <w:r>
        <w:rPr>
          <w:sz w:val="20"/>
        </w:rPr>
        <w:t>Updated</w:t>
      </w:r>
      <w:r>
        <w:rPr>
          <w:spacing w:val="-4"/>
          <w:sz w:val="20"/>
        </w:rPr>
        <w:t> </w:t>
      </w:r>
      <w:r>
        <w:rPr>
          <w:sz w:val="20"/>
        </w:rPr>
        <w:t>borrower</w:t>
      </w:r>
      <w:r>
        <w:rPr>
          <w:spacing w:val="-3"/>
          <w:sz w:val="20"/>
        </w:rPr>
        <w:t> </w:t>
      </w:r>
      <w:r>
        <w:rPr>
          <w:sz w:val="20"/>
        </w:rPr>
        <w:t>FICO</w:t>
      </w:r>
      <w:r>
        <w:rPr>
          <w:spacing w:val="-4"/>
          <w:sz w:val="20"/>
        </w:rPr>
        <w:t> </w:t>
      </w:r>
      <w:r>
        <w:rPr>
          <w:sz w:val="20"/>
        </w:rPr>
        <w:t>scores</w:t>
      </w:r>
      <w:r>
        <w:rPr>
          <w:spacing w:val="-3"/>
          <w:sz w:val="20"/>
        </w:rPr>
        <w:t> </w:t>
      </w:r>
      <w:r>
        <w:rPr>
          <w:sz w:val="20"/>
        </w:rPr>
        <w:t>(Updated</w:t>
      </w:r>
      <w:r>
        <w:rPr>
          <w:spacing w:val="-3"/>
          <w:sz w:val="20"/>
        </w:rPr>
        <w:t> </w:t>
      </w:r>
      <w:r>
        <w:rPr>
          <w:spacing w:val="-2"/>
          <w:sz w:val="20"/>
        </w:rPr>
        <w:t>FICO);</w:t>
      </w:r>
    </w:p>
    <w:p>
      <w:pPr>
        <w:pStyle w:val="ListParagraph"/>
        <w:numPr>
          <w:ilvl w:val="0"/>
          <w:numId w:val="6"/>
        </w:numPr>
        <w:tabs>
          <w:tab w:pos="1189" w:val="left" w:leader="none"/>
        </w:tabs>
        <w:spacing w:line="240" w:lineRule="auto" w:before="10" w:after="0"/>
        <w:ind w:left="1189" w:right="0" w:hanging="359"/>
        <w:jc w:val="left"/>
        <w:rPr>
          <w:sz w:val="20"/>
        </w:rPr>
      </w:pPr>
      <w:r>
        <w:rPr>
          <w:sz w:val="20"/>
        </w:rPr>
        <w:t>Loan-to-value</w:t>
      </w:r>
      <w:r>
        <w:rPr>
          <w:spacing w:val="-7"/>
          <w:sz w:val="20"/>
        </w:rPr>
        <w:t> </w:t>
      </w:r>
      <w:r>
        <w:rPr>
          <w:sz w:val="20"/>
        </w:rPr>
        <w:t>(LTV)</w:t>
      </w:r>
      <w:r>
        <w:rPr>
          <w:spacing w:val="-4"/>
          <w:sz w:val="20"/>
        </w:rPr>
        <w:t> </w:t>
      </w:r>
      <w:r>
        <w:rPr>
          <w:sz w:val="20"/>
        </w:rPr>
        <w:t>ratios</w:t>
      </w:r>
      <w:r>
        <w:rPr>
          <w:spacing w:val="-5"/>
          <w:sz w:val="20"/>
        </w:rPr>
        <w:t> </w:t>
      </w:r>
      <w:r>
        <w:rPr>
          <w:sz w:val="20"/>
        </w:rPr>
        <w:t>at</w:t>
      </w:r>
      <w:r>
        <w:rPr>
          <w:spacing w:val="-4"/>
          <w:sz w:val="20"/>
        </w:rPr>
        <w:t> </w:t>
      </w:r>
      <w:r>
        <w:rPr>
          <w:sz w:val="20"/>
        </w:rPr>
        <w:t>origination</w:t>
      </w:r>
      <w:r>
        <w:rPr>
          <w:spacing w:val="-4"/>
          <w:sz w:val="20"/>
        </w:rPr>
        <w:t> </w:t>
      </w:r>
      <w:r>
        <w:rPr>
          <w:sz w:val="20"/>
        </w:rPr>
        <w:t>(Origination</w:t>
      </w:r>
      <w:r>
        <w:rPr>
          <w:spacing w:val="-4"/>
          <w:sz w:val="20"/>
        </w:rPr>
        <w:t> </w:t>
      </w:r>
      <w:r>
        <w:rPr>
          <w:sz w:val="20"/>
        </w:rPr>
        <w:t>LTV);</w:t>
      </w:r>
      <w:r>
        <w:rPr>
          <w:spacing w:val="-4"/>
          <w:sz w:val="20"/>
        </w:rPr>
        <w:t> </w:t>
      </w:r>
      <w:r>
        <w:rPr>
          <w:spacing w:val="-5"/>
          <w:sz w:val="20"/>
        </w:rPr>
        <w:t>and</w:t>
      </w:r>
    </w:p>
    <w:p>
      <w:pPr>
        <w:pStyle w:val="ListParagraph"/>
        <w:numPr>
          <w:ilvl w:val="0"/>
          <w:numId w:val="6"/>
        </w:numPr>
        <w:tabs>
          <w:tab w:pos="1189" w:val="left" w:leader="none"/>
        </w:tabs>
        <w:spacing w:line="240" w:lineRule="auto" w:before="10" w:after="0"/>
        <w:ind w:left="1189" w:right="0" w:hanging="359"/>
        <w:jc w:val="left"/>
        <w:rPr>
          <w:sz w:val="20"/>
        </w:rPr>
      </w:pPr>
      <w:r>
        <w:rPr>
          <w:sz w:val="20"/>
        </w:rPr>
        <w:t>Estimated</w:t>
      </w:r>
      <w:r>
        <w:rPr>
          <w:spacing w:val="-7"/>
          <w:sz w:val="20"/>
        </w:rPr>
        <w:t> </w:t>
      </w:r>
      <w:r>
        <w:rPr>
          <w:sz w:val="20"/>
        </w:rPr>
        <w:t>Current</w:t>
      </w:r>
      <w:r>
        <w:rPr>
          <w:spacing w:val="-5"/>
          <w:sz w:val="20"/>
        </w:rPr>
        <w:t> </w:t>
      </w:r>
      <w:r>
        <w:rPr>
          <w:sz w:val="20"/>
        </w:rPr>
        <w:t>LTV</w:t>
      </w:r>
      <w:r>
        <w:rPr>
          <w:spacing w:val="-5"/>
          <w:sz w:val="20"/>
        </w:rPr>
        <w:t> </w:t>
      </w:r>
      <w:r>
        <w:rPr>
          <w:sz w:val="20"/>
        </w:rPr>
        <w:t>ratios</w:t>
      </w:r>
      <w:r>
        <w:rPr>
          <w:spacing w:val="-5"/>
          <w:sz w:val="20"/>
        </w:rPr>
        <w:t> </w:t>
      </w:r>
      <w:r>
        <w:rPr>
          <w:sz w:val="20"/>
        </w:rPr>
        <w:t>(Estimated</w:t>
      </w:r>
      <w:r>
        <w:rPr>
          <w:spacing w:val="-4"/>
          <w:sz w:val="20"/>
        </w:rPr>
        <w:t> </w:t>
      </w:r>
      <w:r>
        <w:rPr>
          <w:sz w:val="20"/>
        </w:rPr>
        <w:t>Current</w:t>
      </w:r>
      <w:r>
        <w:rPr>
          <w:spacing w:val="-5"/>
          <w:sz w:val="20"/>
        </w:rPr>
        <w:t> </w:t>
      </w:r>
      <w:r>
        <w:rPr>
          <w:spacing w:val="-2"/>
          <w:sz w:val="20"/>
        </w:rPr>
        <w:t>LTV).</w:t>
      </w:r>
    </w:p>
    <w:p>
      <w:pPr>
        <w:pStyle w:val="BodyText"/>
        <w:spacing w:line="249" w:lineRule="auto" w:before="190"/>
        <w:ind w:left="470" w:right="500"/>
      </w:pPr>
      <w:r>
        <w:rPr/>
        <w:t>Borrowers’</w:t>
      </w:r>
      <w:r>
        <w:rPr>
          <w:spacing w:val="-2"/>
        </w:rPr>
        <w:t> </w:t>
      </w:r>
      <w:r>
        <w:rPr/>
        <w:t>FICO</w:t>
      </w:r>
      <w:r>
        <w:rPr>
          <w:spacing w:val="-3"/>
        </w:rPr>
        <w:t> </w:t>
      </w:r>
      <w:r>
        <w:rPr/>
        <w:t>scores</w:t>
      </w:r>
      <w:r>
        <w:rPr>
          <w:spacing w:val="-3"/>
        </w:rPr>
        <w:t> </w:t>
      </w:r>
      <w:r>
        <w:rPr/>
        <w:t>are</w:t>
      </w:r>
      <w:r>
        <w:rPr>
          <w:spacing w:val="-3"/>
        </w:rPr>
        <w:t> </w:t>
      </w:r>
      <w:r>
        <w:rPr/>
        <w:t>provided</w:t>
      </w:r>
      <w:r>
        <w:rPr>
          <w:spacing w:val="-2"/>
        </w:rPr>
        <w:t> </w:t>
      </w:r>
      <w:r>
        <w:rPr/>
        <w:t>by</w:t>
      </w:r>
      <w:r>
        <w:rPr>
          <w:spacing w:val="-2"/>
        </w:rPr>
        <w:t> </w:t>
      </w:r>
      <w:r>
        <w:rPr/>
        <w:t>an</w:t>
      </w:r>
      <w:r>
        <w:rPr>
          <w:spacing w:val="-2"/>
        </w:rPr>
        <w:t> </w:t>
      </w:r>
      <w:r>
        <w:rPr/>
        <w:t>independent</w:t>
      </w:r>
      <w:r>
        <w:rPr>
          <w:spacing w:val="-3"/>
        </w:rPr>
        <w:t> </w:t>
      </w:r>
      <w:r>
        <w:rPr/>
        <w:t>third-party</w:t>
      </w:r>
      <w:r>
        <w:rPr>
          <w:spacing w:val="-2"/>
        </w:rPr>
        <w:t> </w:t>
      </w:r>
      <w:r>
        <w:rPr/>
        <w:t>credit</w:t>
      </w:r>
      <w:r>
        <w:rPr>
          <w:spacing w:val="-3"/>
        </w:rPr>
        <w:t> </w:t>
      </w:r>
      <w:r>
        <w:rPr/>
        <w:t>reporting</w:t>
      </w:r>
      <w:r>
        <w:rPr>
          <w:spacing w:val="-2"/>
        </w:rPr>
        <w:t> </w:t>
      </w:r>
      <w:r>
        <w:rPr/>
        <w:t>service</w:t>
      </w:r>
      <w:r>
        <w:rPr>
          <w:spacing w:val="-3"/>
        </w:rPr>
        <w:t> </w:t>
      </w:r>
      <w:r>
        <w:rPr/>
        <w:t>and</w:t>
      </w:r>
      <w:r>
        <w:rPr>
          <w:spacing w:val="-2"/>
        </w:rPr>
        <w:t> </w:t>
      </w:r>
      <w:r>
        <w:rPr/>
        <w:t>generally</w:t>
      </w:r>
      <w:r>
        <w:rPr>
          <w:spacing w:val="-2"/>
        </w:rPr>
        <w:t> </w:t>
      </w:r>
      <w:r>
        <w:rPr/>
        <w:t>updated</w:t>
      </w:r>
      <w:r>
        <w:rPr>
          <w:spacing w:val="-2"/>
        </w:rPr>
        <w:t> </w:t>
      </w:r>
      <w:r>
        <w:rPr/>
        <w:t>quarterly. The Origination LTV and Estimated Current LTV for a HELOC include any first lien mortgage outstanding on the same property</w:t>
      </w:r>
      <w:r>
        <w:rPr>
          <w:spacing w:val="-2"/>
        </w:rPr>
        <w:t> </w:t>
      </w:r>
      <w:r>
        <w:rPr/>
        <w:t>at</w:t>
      </w:r>
      <w:r>
        <w:rPr>
          <w:spacing w:val="-3"/>
        </w:rPr>
        <w:t> </w:t>
      </w:r>
      <w:r>
        <w:rPr/>
        <w:t>the</w:t>
      </w:r>
      <w:r>
        <w:rPr>
          <w:spacing w:val="-3"/>
        </w:rPr>
        <w:t> </w:t>
      </w:r>
      <w:r>
        <w:rPr/>
        <w:t>time</w:t>
      </w:r>
      <w:r>
        <w:rPr>
          <w:spacing w:val="-3"/>
        </w:rPr>
        <w:t> </w:t>
      </w:r>
      <w:r>
        <w:rPr/>
        <w:t>of</w:t>
      </w:r>
      <w:r>
        <w:rPr>
          <w:spacing w:val="-2"/>
        </w:rPr>
        <w:t> </w:t>
      </w:r>
      <w:r>
        <w:rPr/>
        <w:t>the</w:t>
      </w:r>
      <w:r>
        <w:rPr>
          <w:spacing w:val="-3"/>
        </w:rPr>
        <w:t> </w:t>
      </w:r>
      <w:r>
        <w:rPr/>
        <w:t>HELOC’s</w:t>
      </w:r>
      <w:r>
        <w:rPr>
          <w:spacing w:val="-3"/>
        </w:rPr>
        <w:t> </w:t>
      </w:r>
      <w:r>
        <w:rPr/>
        <w:t>origination.</w:t>
      </w:r>
      <w:r>
        <w:rPr>
          <w:spacing w:val="-2"/>
        </w:rPr>
        <w:t> </w:t>
      </w:r>
      <w:r>
        <w:rPr/>
        <w:t>The</w:t>
      </w:r>
      <w:r>
        <w:rPr>
          <w:spacing w:val="-3"/>
        </w:rPr>
        <w:t> </w:t>
      </w:r>
      <w:r>
        <w:rPr/>
        <w:t>Estimated</w:t>
      </w:r>
      <w:r>
        <w:rPr>
          <w:spacing w:val="-2"/>
        </w:rPr>
        <w:t> </w:t>
      </w:r>
      <w:r>
        <w:rPr/>
        <w:t>Current</w:t>
      </w:r>
      <w:r>
        <w:rPr>
          <w:spacing w:val="-3"/>
        </w:rPr>
        <w:t> </w:t>
      </w:r>
      <w:r>
        <w:rPr/>
        <w:t>LTV</w:t>
      </w:r>
      <w:r>
        <w:rPr>
          <w:spacing w:val="-3"/>
        </w:rPr>
        <w:t> </w:t>
      </w:r>
      <w:r>
        <w:rPr/>
        <w:t>for</w:t>
      </w:r>
      <w:r>
        <w:rPr>
          <w:spacing w:val="-2"/>
        </w:rPr>
        <w:t> </w:t>
      </w:r>
      <w:r>
        <w:rPr/>
        <w:t>each</w:t>
      </w:r>
      <w:r>
        <w:rPr>
          <w:spacing w:val="-2"/>
        </w:rPr>
        <w:t> </w:t>
      </w:r>
      <w:r>
        <w:rPr/>
        <w:t>loan</w:t>
      </w:r>
      <w:r>
        <w:rPr>
          <w:spacing w:val="-2"/>
        </w:rPr>
        <w:t> </w:t>
      </w:r>
      <w:r>
        <w:rPr/>
        <w:t>is</w:t>
      </w:r>
      <w:r>
        <w:rPr>
          <w:spacing w:val="-3"/>
        </w:rPr>
        <w:t> </w:t>
      </w:r>
      <w:r>
        <w:rPr/>
        <w:t>updated</w:t>
      </w:r>
      <w:r>
        <w:rPr>
          <w:spacing w:val="-2"/>
        </w:rPr>
        <w:t> </w:t>
      </w:r>
      <w:r>
        <w:rPr/>
        <w:t>on</w:t>
      </w:r>
      <w:r>
        <w:rPr>
          <w:spacing w:val="-2"/>
        </w:rPr>
        <w:t> </w:t>
      </w:r>
      <w:r>
        <w:rPr/>
        <w:t>a</w:t>
      </w:r>
      <w:r>
        <w:rPr>
          <w:spacing w:val="-3"/>
        </w:rPr>
        <w:t> </w:t>
      </w:r>
      <w:r>
        <w:rPr/>
        <w:t>monthly</w:t>
      </w:r>
      <w:r>
        <w:rPr>
          <w:spacing w:val="-2"/>
        </w:rPr>
        <w:t> </w:t>
      </w:r>
      <w:r>
        <w:rPr/>
        <w:t>basis</w:t>
      </w:r>
      <w:r>
        <w:rPr>
          <w:spacing w:val="-3"/>
        </w:rPr>
        <w:t> </w:t>
      </w:r>
      <w:r>
        <w:rPr/>
        <w:t>by reference to a home price appreciation index.</w:t>
      </w:r>
    </w:p>
    <w:p>
      <w:pPr>
        <w:spacing w:after="0" w:line="249" w:lineRule="auto"/>
        <w:sectPr>
          <w:type w:val="continuous"/>
          <w:pgSz w:w="12240" w:h="15840"/>
          <w:pgMar w:header="227" w:footer="201" w:top="320" w:bottom="280" w:left="520" w:right="520"/>
        </w:sectPr>
      </w:pPr>
    </w:p>
    <w:p>
      <w:pPr>
        <w:pStyle w:val="BodyText"/>
        <w:spacing w:before="214"/>
        <w:ind w:left="470"/>
      </w:pPr>
      <w:r>
        <w:rPr/>
        <w:t>The</w:t>
      </w:r>
      <w:r>
        <w:rPr>
          <w:spacing w:val="-6"/>
        </w:rPr>
        <w:t> </w:t>
      </w:r>
      <w:r>
        <w:rPr/>
        <w:t>credit</w:t>
      </w:r>
      <w:r>
        <w:rPr>
          <w:spacing w:val="-3"/>
        </w:rPr>
        <w:t> </w:t>
      </w:r>
      <w:r>
        <w:rPr/>
        <w:t>quality</w:t>
      </w:r>
      <w:r>
        <w:rPr>
          <w:spacing w:val="-3"/>
        </w:rPr>
        <w:t> </w:t>
      </w:r>
      <w:r>
        <w:rPr/>
        <w:t>indicators</w:t>
      </w:r>
      <w:r>
        <w:rPr>
          <w:spacing w:val="-3"/>
        </w:rPr>
        <w:t> </w:t>
      </w:r>
      <w:r>
        <w:rPr/>
        <w:t>of</w:t>
      </w:r>
      <w:r>
        <w:rPr>
          <w:spacing w:val="-3"/>
        </w:rPr>
        <w:t> </w:t>
      </w:r>
      <w:r>
        <w:rPr/>
        <w:t>the</w:t>
      </w:r>
      <w:r>
        <w:rPr>
          <w:spacing w:val="-3"/>
        </w:rPr>
        <w:t> </w:t>
      </w:r>
      <w:r>
        <w:rPr/>
        <w:t>Company’s</w:t>
      </w:r>
      <w:r>
        <w:rPr>
          <w:spacing w:val="-4"/>
        </w:rPr>
        <w:t> </w:t>
      </w:r>
      <w:r>
        <w:rPr/>
        <w:t>bank</w:t>
      </w:r>
      <w:r>
        <w:rPr>
          <w:spacing w:val="-2"/>
        </w:rPr>
        <w:t> </w:t>
      </w:r>
      <w:r>
        <w:rPr/>
        <w:t>loan</w:t>
      </w:r>
      <w:r>
        <w:rPr>
          <w:spacing w:val="-3"/>
        </w:rPr>
        <w:t> </w:t>
      </w:r>
      <w:r>
        <w:rPr/>
        <w:t>portfolio</w:t>
      </w:r>
      <w:r>
        <w:rPr>
          <w:spacing w:val="-2"/>
        </w:rPr>
        <w:t> </w:t>
      </w:r>
      <w:r>
        <w:rPr/>
        <w:t>are</w:t>
      </w:r>
      <w:r>
        <w:rPr>
          <w:spacing w:val="-4"/>
        </w:rPr>
        <w:t> </w:t>
      </w:r>
      <w:r>
        <w:rPr/>
        <w:t>detailed</w:t>
      </w:r>
      <w:r>
        <w:rPr>
          <w:spacing w:val="-2"/>
        </w:rPr>
        <w:t> below:</w:t>
      </w:r>
    </w:p>
    <w:p>
      <w:pPr>
        <w:pStyle w:val="BodyText"/>
        <w:spacing w:before="3"/>
        <w:rPr>
          <w:sz w:val="11"/>
        </w:rPr>
      </w:pPr>
      <w:r>
        <w:rPr/>
        <mc:AlternateContent>
          <mc:Choice Requires="wps">
            <w:drawing>
              <wp:anchor distT="0" distB="0" distL="0" distR="0" allowOverlap="1" layoutInCell="1" locked="0" behindDoc="1" simplePos="0" relativeHeight="487609856">
                <wp:simplePos x="0" y="0"/>
                <wp:positionH relativeFrom="page">
                  <wp:posOffset>633348</wp:posOffset>
                </wp:positionH>
                <wp:positionV relativeFrom="paragraph">
                  <wp:posOffset>97542</wp:posOffset>
                </wp:positionV>
                <wp:extent cx="6505575" cy="6350"/>
                <wp:effectExtent l="0" t="0" r="0" b="0"/>
                <wp:wrapTopAndBottom/>
                <wp:docPr id="355" name="Group 355"/>
                <wp:cNvGraphicFramePr>
                  <a:graphicFrameLocks/>
                </wp:cNvGraphicFramePr>
                <a:graphic>
                  <a:graphicData uri="http://schemas.microsoft.com/office/word/2010/wordprocessingGroup">
                    <wpg:wgp>
                      <wpg:cNvPr id="355" name="Group 355"/>
                      <wpg:cNvGrpSpPr/>
                      <wpg:grpSpPr>
                        <a:xfrm>
                          <a:off x="0" y="0"/>
                          <a:ext cx="6505575" cy="6350"/>
                          <a:chExt cx="6505575" cy="6350"/>
                        </a:xfrm>
                      </wpg:grpSpPr>
                      <wps:wsp>
                        <wps:cNvPr id="356" name="Graphic 356"/>
                        <wps:cNvSpPr/>
                        <wps:spPr>
                          <a:xfrm>
                            <a:off x="0" y="3175"/>
                            <a:ext cx="6505575" cy="1270"/>
                          </a:xfrm>
                          <a:custGeom>
                            <a:avLst/>
                            <a:gdLst/>
                            <a:ahLst/>
                            <a:cxnLst/>
                            <a:rect l="l" t="t" r="r" b="b"/>
                            <a:pathLst>
                              <a:path w="6505575" h="0">
                                <a:moveTo>
                                  <a:pt x="6505575" y="0"/>
                                </a:moveTo>
                                <a:lnTo>
                                  <a:pt x="0" y="0"/>
                                </a:lnTo>
                              </a:path>
                            </a:pathLst>
                          </a:custGeom>
                          <a:solidFill>
                            <a:srgbClr val="000000"/>
                          </a:solidFill>
                        </wps:spPr>
                        <wps:bodyPr wrap="square" lIns="0" tIns="0" rIns="0" bIns="0" rtlCol="0">
                          <a:prstTxWarp prst="textNoShape">
                            <a:avLst/>
                          </a:prstTxWarp>
                          <a:noAutofit/>
                        </wps:bodyPr>
                      </wps:wsp>
                      <wps:wsp>
                        <wps:cNvPr id="357" name="Graphic 357"/>
                        <wps:cNvSpPr/>
                        <wps:spPr>
                          <a:xfrm>
                            <a:off x="0" y="3175"/>
                            <a:ext cx="6505575" cy="1270"/>
                          </a:xfrm>
                          <a:custGeom>
                            <a:avLst/>
                            <a:gdLst/>
                            <a:ahLst/>
                            <a:cxnLst/>
                            <a:rect l="l" t="t" r="r" b="b"/>
                            <a:pathLst>
                              <a:path w="6505575" h="0">
                                <a:moveTo>
                                  <a:pt x="0" y="0"/>
                                </a:moveTo>
                                <a:lnTo>
                                  <a:pt x="650557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869999pt;margin-top:7.680508pt;width:512.25pt;height:.5pt;mso-position-horizontal-relative:page;mso-position-vertical-relative:paragraph;z-index:-15706624;mso-wrap-distance-left:0;mso-wrap-distance-right:0" id="docshapegroup244" coordorigin="997,154" coordsize="10245,10">
                <v:shape style="position:absolute;left:997;top:158;width:10245;height:2" id="docshape245" coordorigin="997,159" coordsize="10245,0" path="m11242,159l997,159e" filled="true" fillcolor="#000000" stroked="false">
                  <v:path arrowok="t"/>
                  <v:fill opacity="0f" type="solid"/>
                </v:shape>
                <v:line style="position:absolute" from="997,159" to="11242,159" stroked="true" strokeweight=".5pt" strokecolor="#000000">
                  <v:stroke dashstyle="solid"/>
                </v:line>
                <w10:wrap type="topAndBottom"/>
              </v:group>
            </w:pict>
          </mc:Fallback>
        </mc:AlternateContent>
      </w:r>
    </w:p>
    <w:p>
      <w:pPr>
        <w:spacing w:before="43" w:after="30"/>
        <w:ind w:left="2756" w:right="0" w:firstLine="0"/>
        <w:jc w:val="left"/>
        <w:rPr>
          <w:sz w:val="18"/>
        </w:rPr>
      </w:pPr>
      <w:r>
        <w:rPr>
          <w:sz w:val="18"/>
        </w:rPr>
        <w:t>First</w:t>
      </w:r>
      <w:r>
        <w:rPr>
          <w:spacing w:val="-1"/>
          <w:sz w:val="18"/>
        </w:rPr>
        <w:t> </w:t>
      </w:r>
      <w:r>
        <w:rPr>
          <w:sz w:val="18"/>
        </w:rPr>
        <w:t>Mortgages</w:t>
      </w:r>
      <w:r>
        <w:rPr>
          <w:spacing w:val="-2"/>
          <w:sz w:val="18"/>
        </w:rPr>
        <w:t> </w:t>
      </w:r>
      <w:r>
        <w:rPr>
          <w:sz w:val="18"/>
        </w:rPr>
        <w:t>Amortized</w:t>
      </w:r>
      <w:r>
        <w:rPr>
          <w:spacing w:val="-1"/>
          <w:sz w:val="18"/>
        </w:rPr>
        <w:t> </w:t>
      </w:r>
      <w:r>
        <w:rPr>
          <w:sz w:val="18"/>
        </w:rPr>
        <w:t>Cost</w:t>
      </w:r>
      <w:r>
        <w:rPr>
          <w:spacing w:val="-1"/>
          <w:sz w:val="18"/>
        </w:rPr>
        <w:t> </w:t>
      </w:r>
      <w:r>
        <w:rPr>
          <w:sz w:val="18"/>
        </w:rPr>
        <w:t>Basis</w:t>
      </w:r>
      <w:r>
        <w:rPr>
          <w:spacing w:val="-2"/>
          <w:sz w:val="18"/>
        </w:rPr>
        <w:t> </w:t>
      </w:r>
      <w:r>
        <w:rPr>
          <w:sz w:val="18"/>
        </w:rPr>
        <w:t>by</w:t>
      </w:r>
      <w:r>
        <w:rPr>
          <w:spacing w:val="-1"/>
          <w:sz w:val="18"/>
        </w:rPr>
        <w:t> </w:t>
      </w:r>
      <w:r>
        <w:rPr>
          <w:sz w:val="18"/>
        </w:rPr>
        <w:t>Origination</w:t>
      </w:r>
      <w:r>
        <w:rPr>
          <w:spacing w:val="-1"/>
          <w:sz w:val="18"/>
        </w:rPr>
        <w:t> </w:t>
      </w:r>
      <w:r>
        <w:rPr>
          <w:spacing w:val="-4"/>
          <w:sz w:val="18"/>
        </w:rPr>
        <w:t>Year</w:t>
      </w: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0"/>
        <w:gridCol w:w="4800"/>
        <w:gridCol w:w="894"/>
        <w:gridCol w:w="910"/>
        <w:gridCol w:w="833"/>
        <w:gridCol w:w="797"/>
      </w:tblGrid>
      <w:tr>
        <w:trPr>
          <w:trHeight w:val="575" w:hRule="atLeast"/>
        </w:trPr>
        <w:tc>
          <w:tcPr>
            <w:tcW w:w="6810" w:type="dxa"/>
            <w:gridSpan w:val="2"/>
          </w:tcPr>
          <w:p>
            <w:pPr>
              <w:pStyle w:val="TableParagraph"/>
              <w:rPr>
                <w:sz w:val="16"/>
              </w:rPr>
            </w:pPr>
          </w:p>
        </w:tc>
        <w:tc>
          <w:tcPr>
            <w:tcW w:w="894" w:type="dxa"/>
          </w:tcPr>
          <w:p>
            <w:pPr>
              <w:pStyle w:val="TableParagraph"/>
              <w:spacing w:before="171"/>
              <w:rPr>
                <w:sz w:val="18"/>
              </w:rPr>
            </w:pPr>
          </w:p>
          <w:p>
            <w:pPr>
              <w:pStyle w:val="TableParagraph"/>
              <w:spacing w:line="177" w:lineRule="exact"/>
              <w:ind w:left="72"/>
              <w:rPr>
                <w:sz w:val="18"/>
              </w:rPr>
            </w:pPr>
            <w:r>
              <w:rPr>
                <w:sz w:val="18"/>
              </w:rPr>
              <w:t>Total </w:t>
            </w:r>
            <w:r>
              <w:rPr>
                <w:spacing w:val="-2"/>
                <w:sz w:val="18"/>
              </w:rPr>
              <w:t>First</w:t>
            </w:r>
          </w:p>
        </w:tc>
        <w:tc>
          <w:tcPr>
            <w:tcW w:w="910" w:type="dxa"/>
          </w:tcPr>
          <w:p>
            <w:pPr>
              <w:pStyle w:val="TableParagraph"/>
              <w:spacing w:line="208" w:lineRule="auto" w:before="40"/>
              <w:ind w:left="128" w:hanging="41"/>
              <w:rPr>
                <w:sz w:val="18"/>
              </w:rPr>
            </w:pPr>
            <w:r>
              <w:rPr>
                <w:spacing w:val="-2"/>
                <w:sz w:val="18"/>
              </w:rPr>
              <w:t>Revolving HELOCs</w:t>
            </w:r>
          </w:p>
          <w:p>
            <w:pPr>
              <w:pStyle w:val="TableParagraph"/>
              <w:spacing w:line="155" w:lineRule="exact"/>
              <w:ind w:left="103"/>
              <w:rPr>
                <w:sz w:val="18"/>
              </w:rPr>
            </w:pPr>
            <w:r>
              <w:rPr>
                <w:spacing w:val="-2"/>
                <w:sz w:val="18"/>
              </w:rPr>
              <w:t>amortized</w:t>
            </w:r>
          </w:p>
        </w:tc>
        <w:tc>
          <w:tcPr>
            <w:tcW w:w="833" w:type="dxa"/>
          </w:tcPr>
          <w:p>
            <w:pPr>
              <w:pStyle w:val="TableParagraph"/>
              <w:spacing w:line="193" w:lineRule="exact" w:before="18"/>
              <w:ind w:left="88"/>
              <w:rPr>
                <w:sz w:val="18"/>
              </w:rPr>
            </w:pPr>
            <w:r>
              <w:rPr>
                <w:spacing w:val="-2"/>
                <w:sz w:val="18"/>
              </w:rPr>
              <w:t>HELOCs</w:t>
            </w:r>
          </w:p>
          <w:p>
            <w:pPr>
              <w:pStyle w:val="TableParagraph"/>
              <w:spacing w:line="180" w:lineRule="exact"/>
              <w:ind w:left="166" w:hanging="98"/>
              <w:rPr>
                <w:sz w:val="18"/>
              </w:rPr>
            </w:pPr>
            <w:r>
              <w:rPr>
                <w:spacing w:val="-2"/>
                <w:sz w:val="18"/>
              </w:rPr>
              <w:t>converted </w:t>
            </w:r>
            <w:r>
              <w:rPr>
                <w:sz w:val="18"/>
              </w:rPr>
              <w:t>to term</w:t>
            </w:r>
          </w:p>
        </w:tc>
        <w:tc>
          <w:tcPr>
            <w:tcW w:w="797" w:type="dxa"/>
          </w:tcPr>
          <w:p>
            <w:pPr>
              <w:pStyle w:val="TableParagraph"/>
              <w:spacing w:before="171"/>
              <w:rPr>
                <w:sz w:val="18"/>
              </w:rPr>
            </w:pPr>
          </w:p>
          <w:p>
            <w:pPr>
              <w:pStyle w:val="TableParagraph"/>
              <w:spacing w:line="177" w:lineRule="exact"/>
              <w:ind w:left="210"/>
              <w:rPr>
                <w:sz w:val="18"/>
              </w:rPr>
            </w:pPr>
            <w:r>
              <w:rPr>
                <w:spacing w:val="-2"/>
                <w:sz w:val="18"/>
              </w:rPr>
              <w:t>Total</w:t>
            </w:r>
          </w:p>
        </w:tc>
      </w:tr>
      <w:tr>
        <w:trPr>
          <w:trHeight w:val="214" w:hRule="atLeast"/>
        </w:trPr>
        <w:tc>
          <w:tcPr>
            <w:tcW w:w="2010" w:type="dxa"/>
            <w:tcBorders>
              <w:bottom w:val="single" w:sz="4" w:space="0" w:color="000000"/>
            </w:tcBorders>
          </w:tcPr>
          <w:p>
            <w:pPr>
              <w:pStyle w:val="TableParagraph"/>
              <w:spacing w:line="190" w:lineRule="exact"/>
              <w:ind w:left="52"/>
              <w:rPr>
                <w:sz w:val="18"/>
              </w:rPr>
            </w:pPr>
            <w:r>
              <w:rPr>
                <w:sz w:val="18"/>
              </w:rPr>
              <w:t>September</w:t>
            </w:r>
            <w:r>
              <w:rPr>
                <w:spacing w:val="-1"/>
                <w:sz w:val="18"/>
              </w:rPr>
              <w:t> </w:t>
            </w:r>
            <w:r>
              <w:rPr>
                <w:sz w:val="18"/>
              </w:rPr>
              <w:t>30, </w:t>
            </w:r>
            <w:r>
              <w:rPr>
                <w:spacing w:val="-4"/>
                <w:sz w:val="18"/>
              </w:rPr>
              <w:t>2023</w:t>
            </w:r>
          </w:p>
        </w:tc>
        <w:tc>
          <w:tcPr>
            <w:tcW w:w="4800" w:type="dxa"/>
            <w:tcBorders>
              <w:bottom w:val="single" w:sz="4" w:space="0" w:color="000000"/>
            </w:tcBorders>
          </w:tcPr>
          <w:p>
            <w:pPr>
              <w:pStyle w:val="TableParagraph"/>
              <w:tabs>
                <w:tab w:pos="794" w:val="left" w:leader="none"/>
                <w:tab w:pos="1619" w:val="left" w:leader="none"/>
                <w:tab w:pos="2437" w:val="left" w:leader="none"/>
                <w:tab w:pos="3217" w:val="left" w:leader="none"/>
                <w:tab w:pos="3860" w:val="left" w:leader="none"/>
              </w:tabs>
              <w:spacing w:line="190" w:lineRule="exact"/>
              <w:ind w:right="70"/>
              <w:jc w:val="right"/>
              <w:rPr>
                <w:sz w:val="18"/>
              </w:rPr>
            </w:pPr>
            <w:r>
              <w:rPr>
                <w:spacing w:val="-4"/>
                <w:sz w:val="18"/>
              </w:rPr>
              <w:t>2023</w:t>
            </w:r>
            <w:r>
              <w:rPr>
                <w:sz w:val="18"/>
              </w:rPr>
              <w:tab/>
            </w:r>
            <w:r>
              <w:rPr>
                <w:spacing w:val="-4"/>
                <w:sz w:val="18"/>
              </w:rPr>
              <w:t>2022</w:t>
            </w:r>
            <w:r>
              <w:rPr>
                <w:sz w:val="18"/>
              </w:rPr>
              <w:tab/>
            </w:r>
            <w:r>
              <w:rPr>
                <w:spacing w:val="-4"/>
                <w:sz w:val="18"/>
              </w:rPr>
              <w:t>2021</w:t>
            </w:r>
            <w:r>
              <w:rPr>
                <w:sz w:val="18"/>
              </w:rPr>
              <w:tab/>
            </w:r>
            <w:r>
              <w:rPr>
                <w:spacing w:val="-4"/>
                <w:sz w:val="18"/>
              </w:rPr>
              <w:t>2020</w:t>
            </w:r>
            <w:r>
              <w:rPr>
                <w:sz w:val="18"/>
              </w:rPr>
              <w:tab/>
            </w:r>
            <w:r>
              <w:rPr>
                <w:spacing w:val="-4"/>
                <w:sz w:val="18"/>
              </w:rPr>
              <w:t>2019</w:t>
            </w:r>
            <w:r>
              <w:rPr>
                <w:sz w:val="18"/>
              </w:rPr>
              <w:tab/>
              <w:t>pre-</w:t>
            </w:r>
            <w:r>
              <w:rPr>
                <w:spacing w:val="-4"/>
                <w:sz w:val="18"/>
              </w:rPr>
              <w:t>2019</w:t>
            </w:r>
          </w:p>
        </w:tc>
        <w:tc>
          <w:tcPr>
            <w:tcW w:w="894" w:type="dxa"/>
            <w:tcBorders>
              <w:bottom w:val="single" w:sz="4" w:space="0" w:color="000000"/>
            </w:tcBorders>
          </w:tcPr>
          <w:p>
            <w:pPr>
              <w:pStyle w:val="TableParagraph"/>
              <w:spacing w:line="190" w:lineRule="exact"/>
              <w:ind w:left="65"/>
              <w:rPr>
                <w:sz w:val="18"/>
              </w:rPr>
            </w:pPr>
            <w:r>
              <w:rPr>
                <w:spacing w:val="-2"/>
                <w:sz w:val="18"/>
              </w:rPr>
              <w:t>Mortgages</w:t>
            </w:r>
          </w:p>
        </w:tc>
        <w:tc>
          <w:tcPr>
            <w:tcW w:w="910" w:type="dxa"/>
            <w:tcBorders>
              <w:bottom w:val="single" w:sz="4" w:space="0" w:color="000000"/>
            </w:tcBorders>
          </w:tcPr>
          <w:p>
            <w:pPr>
              <w:pStyle w:val="TableParagraph"/>
              <w:spacing w:line="190" w:lineRule="exact"/>
              <w:ind w:left="116"/>
              <w:rPr>
                <w:sz w:val="18"/>
              </w:rPr>
            </w:pPr>
            <w:r>
              <w:rPr>
                <w:sz w:val="18"/>
              </w:rPr>
              <w:t>cost</w:t>
            </w:r>
            <w:r>
              <w:rPr>
                <w:spacing w:val="-1"/>
                <w:sz w:val="18"/>
              </w:rPr>
              <w:t> </w:t>
            </w:r>
            <w:r>
              <w:rPr>
                <w:spacing w:val="-2"/>
                <w:sz w:val="18"/>
              </w:rPr>
              <w:t>basis</w:t>
            </w:r>
          </w:p>
        </w:tc>
        <w:tc>
          <w:tcPr>
            <w:tcW w:w="833" w:type="dxa"/>
            <w:tcBorders>
              <w:bottom w:val="single" w:sz="4" w:space="0" w:color="000000"/>
            </w:tcBorders>
          </w:tcPr>
          <w:p>
            <w:pPr>
              <w:pStyle w:val="TableParagraph"/>
              <w:spacing w:line="190" w:lineRule="exact"/>
              <w:ind w:left="233"/>
              <w:rPr>
                <w:sz w:val="18"/>
              </w:rPr>
            </w:pPr>
            <w:r>
              <w:rPr>
                <w:spacing w:val="-2"/>
                <w:sz w:val="18"/>
              </w:rPr>
              <w:t>loans</w:t>
            </w:r>
          </w:p>
        </w:tc>
        <w:tc>
          <w:tcPr>
            <w:tcW w:w="797" w:type="dxa"/>
            <w:tcBorders>
              <w:bottom w:val="single" w:sz="4" w:space="0" w:color="000000"/>
            </w:tcBorders>
          </w:tcPr>
          <w:p>
            <w:pPr>
              <w:pStyle w:val="TableParagraph"/>
              <w:spacing w:line="190" w:lineRule="exact"/>
              <w:ind w:left="65"/>
              <w:rPr>
                <w:sz w:val="18"/>
              </w:rPr>
            </w:pPr>
            <w:r>
              <w:rPr>
                <w:spacing w:val="-2"/>
                <w:sz w:val="18"/>
              </w:rPr>
              <w:t>HELOCs</w:t>
            </w:r>
          </w:p>
        </w:tc>
      </w:tr>
      <w:tr>
        <w:trPr>
          <w:trHeight w:val="280" w:hRule="atLeast"/>
        </w:trPr>
        <w:tc>
          <w:tcPr>
            <w:tcW w:w="2010" w:type="dxa"/>
            <w:tcBorders>
              <w:top w:val="single" w:sz="4" w:space="0" w:color="000000"/>
            </w:tcBorders>
          </w:tcPr>
          <w:p>
            <w:pPr>
              <w:pStyle w:val="TableParagraph"/>
              <w:spacing w:before="43"/>
              <w:ind w:left="52"/>
              <w:rPr>
                <w:sz w:val="18"/>
              </w:rPr>
            </w:pPr>
            <w:r>
              <w:rPr>
                <w:sz w:val="18"/>
              </w:rPr>
              <w:t>Origination</w:t>
            </w:r>
            <w:r>
              <w:rPr>
                <w:spacing w:val="-3"/>
                <w:sz w:val="18"/>
              </w:rPr>
              <w:t> </w:t>
            </w:r>
            <w:r>
              <w:rPr>
                <w:spacing w:val="-4"/>
                <w:sz w:val="18"/>
              </w:rPr>
              <w:t>FICO</w:t>
            </w:r>
          </w:p>
        </w:tc>
        <w:tc>
          <w:tcPr>
            <w:tcW w:w="4800" w:type="dxa"/>
            <w:tcBorders>
              <w:top w:val="single" w:sz="4" w:space="0" w:color="000000"/>
            </w:tcBorders>
          </w:tcPr>
          <w:p>
            <w:pPr>
              <w:pStyle w:val="TableParagraph"/>
              <w:rPr>
                <w:sz w:val="16"/>
              </w:rPr>
            </w:pPr>
          </w:p>
        </w:tc>
        <w:tc>
          <w:tcPr>
            <w:tcW w:w="894" w:type="dxa"/>
            <w:tcBorders>
              <w:top w:val="single" w:sz="4" w:space="0" w:color="000000"/>
            </w:tcBorders>
          </w:tcPr>
          <w:p>
            <w:pPr>
              <w:pStyle w:val="TableParagraph"/>
              <w:rPr>
                <w:sz w:val="16"/>
              </w:rPr>
            </w:pPr>
          </w:p>
        </w:tc>
        <w:tc>
          <w:tcPr>
            <w:tcW w:w="910" w:type="dxa"/>
            <w:tcBorders>
              <w:top w:val="single" w:sz="4" w:space="0" w:color="000000"/>
            </w:tcBorders>
          </w:tcPr>
          <w:p>
            <w:pPr>
              <w:pStyle w:val="TableParagraph"/>
              <w:rPr>
                <w:sz w:val="16"/>
              </w:rPr>
            </w:pPr>
          </w:p>
        </w:tc>
        <w:tc>
          <w:tcPr>
            <w:tcW w:w="833" w:type="dxa"/>
            <w:tcBorders>
              <w:top w:val="single" w:sz="4" w:space="0" w:color="000000"/>
            </w:tcBorders>
          </w:tcPr>
          <w:p>
            <w:pPr>
              <w:pStyle w:val="TableParagraph"/>
              <w:rPr>
                <w:sz w:val="16"/>
              </w:rPr>
            </w:pPr>
          </w:p>
        </w:tc>
        <w:tc>
          <w:tcPr>
            <w:tcW w:w="797" w:type="dxa"/>
            <w:tcBorders>
              <w:top w:val="single" w:sz="4" w:space="0" w:color="000000"/>
            </w:tcBorders>
          </w:tcPr>
          <w:p>
            <w:pPr>
              <w:pStyle w:val="TableParagraph"/>
              <w:rPr>
                <w:sz w:val="16"/>
              </w:rPr>
            </w:pPr>
          </w:p>
        </w:tc>
      </w:tr>
      <w:tr>
        <w:trPr>
          <w:trHeight w:val="285" w:hRule="atLeast"/>
        </w:trPr>
        <w:tc>
          <w:tcPr>
            <w:tcW w:w="2010" w:type="dxa"/>
            <w:shd w:val="clear" w:color="auto" w:fill="CCEDFF"/>
          </w:tcPr>
          <w:p>
            <w:pPr>
              <w:pStyle w:val="TableParagraph"/>
              <w:spacing w:before="48"/>
              <w:ind w:left="187"/>
              <w:rPr>
                <w:sz w:val="18"/>
              </w:rPr>
            </w:pPr>
            <w:r>
              <w:rPr>
                <w:spacing w:val="-4"/>
                <w:sz w:val="18"/>
              </w:rPr>
              <w:t>&lt;620</w:t>
            </w:r>
          </w:p>
        </w:tc>
        <w:tc>
          <w:tcPr>
            <w:tcW w:w="4800" w:type="dxa"/>
            <w:shd w:val="clear" w:color="auto" w:fill="CCEDFF"/>
          </w:tcPr>
          <w:p>
            <w:pPr>
              <w:pStyle w:val="TableParagraph"/>
              <w:tabs>
                <w:tab w:pos="390" w:val="left" w:leader="none"/>
                <w:tab w:pos="847" w:val="left" w:leader="none"/>
                <w:tab w:pos="1275" w:val="left" w:leader="none"/>
                <w:tab w:pos="1642" w:val="left" w:leader="none"/>
                <w:tab w:pos="2130" w:val="left" w:leader="none"/>
                <w:tab w:pos="2497" w:val="left" w:leader="none"/>
                <w:tab w:pos="2820" w:val="left" w:leader="none"/>
                <w:tab w:pos="3277" w:val="left" w:leader="none"/>
                <w:tab w:pos="3600" w:val="left" w:leader="none"/>
                <w:tab w:pos="4057" w:val="left" w:leader="none"/>
                <w:tab w:pos="4485" w:val="left" w:leader="none"/>
              </w:tabs>
              <w:spacing w:before="48"/>
              <w:ind w:left="52"/>
              <w:rPr>
                <w:sz w:val="18"/>
              </w:rPr>
            </w:pP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3</w:t>
            </w:r>
            <w:r>
              <w:rPr>
                <w:sz w:val="18"/>
              </w:rPr>
              <w:tab/>
            </w:r>
            <w:r>
              <w:rPr>
                <w:spacing w:val="-10"/>
                <w:sz w:val="18"/>
              </w:rPr>
              <w:t>$</w:t>
            </w:r>
            <w:r>
              <w:rPr>
                <w:sz w:val="18"/>
              </w:rPr>
              <w:tab/>
            </w:r>
            <w:r>
              <w:rPr>
                <w:spacing w:val="-10"/>
                <w:sz w:val="18"/>
              </w:rPr>
              <w:t>1</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1</w:t>
            </w:r>
          </w:p>
        </w:tc>
        <w:tc>
          <w:tcPr>
            <w:tcW w:w="894" w:type="dxa"/>
            <w:shd w:val="clear" w:color="auto" w:fill="CCEDFF"/>
          </w:tcPr>
          <w:p>
            <w:pPr>
              <w:pStyle w:val="TableParagraph"/>
              <w:tabs>
                <w:tab w:pos="585" w:val="left" w:leader="none"/>
              </w:tabs>
              <w:spacing w:before="48"/>
              <w:ind w:left="52"/>
              <w:rPr>
                <w:sz w:val="18"/>
              </w:rPr>
            </w:pPr>
            <w:r>
              <w:rPr>
                <w:spacing w:val="-10"/>
                <w:sz w:val="18"/>
              </w:rPr>
              <w:t>$</w:t>
            </w:r>
            <w:r>
              <w:rPr>
                <w:sz w:val="18"/>
              </w:rPr>
              <w:tab/>
            </w:r>
            <w:r>
              <w:rPr>
                <w:spacing w:val="-10"/>
                <w:sz w:val="18"/>
              </w:rPr>
              <w:t>5</w:t>
            </w:r>
          </w:p>
        </w:tc>
        <w:tc>
          <w:tcPr>
            <w:tcW w:w="910" w:type="dxa"/>
            <w:shd w:val="clear" w:color="auto" w:fill="CCEDFF"/>
          </w:tcPr>
          <w:p>
            <w:pPr>
              <w:pStyle w:val="TableParagraph"/>
              <w:tabs>
                <w:tab w:pos="516" w:val="left" w:leader="none"/>
              </w:tabs>
              <w:spacing w:before="48"/>
              <w:ind w:left="58"/>
              <w:rPr>
                <w:sz w:val="18"/>
              </w:rPr>
            </w:pPr>
            <w:r>
              <w:rPr>
                <w:spacing w:val="-10"/>
                <w:sz w:val="18"/>
              </w:rPr>
              <w:t>$</w:t>
            </w:r>
            <w:r>
              <w:rPr>
                <w:sz w:val="18"/>
              </w:rPr>
              <w:tab/>
            </w:r>
            <w:r>
              <w:rPr>
                <w:spacing w:val="-10"/>
                <w:sz w:val="18"/>
              </w:rPr>
              <w:t>—</w:t>
            </w:r>
          </w:p>
        </w:tc>
        <w:tc>
          <w:tcPr>
            <w:tcW w:w="833" w:type="dxa"/>
            <w:shd w:val="clear" w:color="auto" w:fill="CCEDFF"/>
          </w:tcPr>
          <w:p>
            <w:pPr>
              <w:pStyle w:val="TableParagraph"/>
              <w:tabs>
                <w:tab w:pos="431" w:val="left" w:leader="none"/>
              </w:tabs>
              <w:spacing w:before="48"/>
              <w:ind w:left="63"/>
              <w:rPr>
                <w:sz w:val="18"/>
              </w:rPr>
            </w:pPr>
            <w:r>
              <w:rPr>
                <w:spacing w:val="-10"/>
                <w:sz w:val="18"/>
              </w:rPr>
              <w:t>$</w:t>
            </w:r>
            <w:r>
              <w:rPr>
                <w:sz w:val="18"/>
              </w:rPr>
              <w:tab/>
            </w:r>
            <w:r>
              <w:rPr>
                <w:spacing w:val="-10"/>
                <w:sz w:val="18"/>
              </w:rPr>
              <w:t>—</w:t>
            </w:r>
          </w:p>
        </w:tc>
        <w:tc>
          <w:tcPr>
            <w:tcW w:w="797" w:type="dxa"/>
            <w:shd w:val="clear" w:color="auto" w:fill="CCEDFF"/>
          </w:tcPr>
          <w:p>
            <w:pPr>
              <w:pStyle w:val="TableParagraph"/>
              <w:tabs>
                <w:tab w:pos="393" w:val="left" w:leader="none"/>
              </w:tabs>
              <w:spacing w:before="48"/>
              <w:ind w:left="55"/>
              <w:rPr>
                <w:sz w:val="18"/>
              </w:rPr>
            </w:pPr>
            <w:r>
              <w:rPr>
                <w:spacing w:val="-10"/>
                <w:sz w:val="18"/>
              </w:rPr>
              <w:t>$</w:t>
            </w:r>
            <w:r>
              <w:rPr>
                <w:sz w:val="18"/>
              </w:rPr>
              <w:tab/>
            </w:r>
            <w:r>
              <w:rPr>
                <w:spacing w:val="-10"/>
                <w:sz w:val="18"/>
              </w:rPr>
              <w:t>—</w:t>
            </w:r>
          </w:p>
        </w:tc>
      </w:tr>
      <w:tr>
        <w:trPr>
          <w:trHeight w:val="285" w:hRule="atLeast"/>
        </w:trPr>
        <w:tc>
          <w:tcPr>
            <w:tcW w:w="2010" w:type="dxa"/>
          </w:tcPr>
          <w:p>
            <w:pPr>
              <w:pStyle w:val="TableParagraph"/>
              <w:spacing w:before="48"/>
              <w:ind w:left="187"/>
              <w:rPr>
                <w:sz w:val="18"/>
              </w:rPr>
            </w:pPr>
            <w:r>
              <w:rPr>
                <w:sz w:val="18"/>
              </w:rPr>
              <w:t>620 – </w:t>
            </w:r>
            <w:r>
              <w:rPr>
                <w:spacing w:val="-5"/>
                <w:sz w:val="18"/>
              </w:rPr>
              <w:t>679</w:t>
            </w:r>
          </w:p>
        </w:tc>
        <w:tc>
          <w:tcPr>
            <w:tcW w:w="4800" w:type="dxa"/>
          </w:tcPr>
          <w:p>
            <w:pPr>
              <w:pStyle w:val="TableParagraph"/>
              <w:tabs>
                <w:tab w:pos="1185" w:val="left" w:leader="none"/>
                <w:tab w:pos="2040" w:val="left" w:leader="none"/>
                <w:tab w:pos="2820" w:val="left" w:leader="none"/>
                <w:tab w:pos="3690" w:val="left" w:leader="none"/>
                <w:tab w:pos="4395" w:val="left" w:leader="none"/>
              </w:tabs>
              <w:spacing w:before="48"/>
              <w:ind w:left="480"/>
              <w:rPr>
                <w:sz w:val="18"/>
              </w:rPr>
            </w:pPr>
            <w:r>
              <w:rPr>
                <w:spacing w:val="-10"/>
                <w:sz w:val="18"/>
              </w:rPr>
              <w:t>3</w:t>
            </w:r>
            <w:r>
              <w:rPr>
                <w:sz w:val="18"/>
              </w:rPr>
              <w:tab/>
            </w:r>
            <w:r>
              <w:rPr>
                <w:spacing w:val="-5"/>
                <w:sz w:val="18"/>
              </w:rPr>
              <w:t>27</w:t>
            </w:r>
            <w:r>
              <w:rPr>
                <w:sz w:val="18"/>
              </w:rPr>
              <w:tab/>
            </w:r>
            <w:r>
              <w:rPr>
                <w:spacing w:val="-5"/>
                <w:sz w:val="18"/>
              </w:rPr>
              <w:t>30</w:t>
            </w:r>
            <w:r>
              <w:rPr>
                <w:sz w:val="18"/>
              </w:rPr>
              <w:tab/>
            </w:r>
            <w:r>
              <w:rPr>
                <w:spacing w:val="-5"/>
                <w:sz w:val="18"/>
              </w:rPr>
              <w:t>20</w:t>
            </w:r>
            <w:r>
              <w:rPr>
                <w:sz w:val="18"/>
              </w:rPr>
              <w:tab/>
            </w:r>
            <w:r>
              <w:rPr>
                <w:spacing w:val="-10"/>
                <w:sz w:val="18"/>
              </w:rPr>
              <w:t>2</w:t>
            </w:r>
            <w:r>
              <w:rPr>
                <w:sz w:val="18"/>
              </w:rPr>
              <w:tab/>
            </w:r>
            <w:r>
              <w:rPr>
                <w:spacing w:val="-5"/>
                <w:sz w:val="18"/>
              </w:rPr>
              <w:t>13</w:t>
            </w:r>
          </w:p>
        </w:tc>
        <w:tc>
          <w:tcPr>
            <w:tcW w:w="894" w:type="dxa"/>
          </w:tcPr>
          <w:p>
            <w:pPr>
              <w:pStyle w:val="TableParagraph"/>
              <w:spacing w:before="48"/>
              <w:ind w:left="495"/>
              <w:rPr>
                <w:sz w:val="18"/>
              </w:rPr>
            </w:pPr>
            <w:r>
              <w:rPr>
                <w:spacing w:val="-5"/>
                <w:sz w:val="18"/>
              </w:rPr>
              <w:t>95</w:t>
            </w:r>
          </w:p>
        </w:tc>
        <w:tc>
          <w:tcPr>
            <w:tcW w:w="910" w:type="dxa"/>
          </w:tcPr>
          <w:p>
            <w:pPr>
              <w:pStyle w:val="TableParagraph"/>
              <w:spacing w:before="48"/>
              <w:ind w:left="516"/>
              <w:rPr>
                <w:sz w:val="18"/>
              </w:rPr>
            </w:pPr>
            <w:r>
              <w:rPr>
                <w:spacing w:val="-10"/>
                <w:sz w:val="18"/>
              </w:rPr>
              <w:t>—</w:t>
            </w:r>
          </w:p>
        </w:tc>
        <w:tc>
          <w:tcPr>
            <w:tcW w:w="833" w:type="dxa"/>
          </w:tcPr>
          <w:p>
            <w:pPr>
              <w:pStyle w:val="TableParagraph"/>
              <w:spacing w:before="48"/>
              <w:ind w:left="521"/>
              <w:rPr>
                <w:sz w:val="18"/>
              </w:rPr>
            </w:pPr>
            <w:r>
              <w:rPr>
                <w:spacing w:val="-10"/>
                <w:sz w:val="18"/>
              </w:rPr>
              <w:t>1</w:t>
            </w:r>
          </w:p>
        </w:tc>
        <w:tc>
          <w:tcPr>
            <w:tcW w:w="797" w:type="dxa"/>
          </w:tcPr>
          <w:p>
            <w:pPr>
              <w:pStyle w:val="TableParagraph"/>
              <w:spacing w:before="48"/>
              <w:ind w:left="483"/>
              <w:rPr>
                <w:sz w:val="18"/>
              </w:rPr>
            </w:pPr>
            <w:r>
              <w:rPr>
                <w:spacing w:val="-10"/>
                <w:sz w:val="18"/>
              </w:rPr>
              <w:t>1</w:t>
            </w:r>
          </w:p>
        </w:tc>
      </w:tr>
      <w:tr>
        <w:trPr>
          <w:trHeight w:val="285" w:hRule="atLeast"/>
        </w:trPr>
        <w:tc>
          <w:tcPr>
            <w:tcW w:w="2010" w:type="dxa"/>
            <w:shd w:val="clear" w:color="auto" w:fill="CCEDFF"/>
          </w:tcPr>
          <w:p>
            <w:pPr>
              <w:pStyle w:val="TableParagraph"/>
              <w:spacing w:before="48"/>
              <w:ind w:left="187"/>
              <w:rPr>
                <w:sz w:val="18"/>
              </w:rPr>
            </w:pPr>
            <w:r>
              <w:rPr>
                <w:sz w:val="18"/>
              </w:rPr>
              <w:t>680 – </w:t>
            </w:r>
            <w:r>
              <w:rPr>
                <w:spacing w:val="-5"/>
                <w:sz w:val="18"/>
              </w:rPr>
              <w:t>739</w:t>
            </w:r>
          </w:p>
        </w:tc>
        <w:tc>
          <w:tcPr>
            <w:tcW w:w="4800" w:type="dxa"/>
            <w:shd w:val="clear" w:color="auto" w:fill="CCEDFF"/>
          </w:tcPr>
          <w:p>
            <w:pPr>
              <w:pStyle w:val="TableParagraph"/>
              <w:tabs>
                <w:tab w:pos="1095" w:val="left" w:leader="none"/>
                <w:tab w:pos="1815" w:val="left" w:leader="none"/>
                <w:tab w:pos="2730" w:val="left" w:leader="none"/>
                <w:tab w:pos="3510" w:val="left" w:leader="none"/>
                <w:tab w:pos="4305" w:val="left" w:leader="none"/>
              </w:tabs>
              <w:spacing w:before="48"/>
              <w:ind w:left="300"/>
              <w:rPr>
                <w:sz w:val="18"/>
              </w:rPr>
            </w:pPr>
            <w:r>
              <w:rPr>
                <w:spacing w:val="-5"/>
                <w:sz w:val="18"/>
              </w:rPr>
              <w:t>243</w:t>
            </w:r>
            <w:r>
              <w:rPr>
                <w:sz w:val="18"/>
              </w:rPr>
              <w:tab/>
            </w:r>
            <w:r>
              <w:rPr>
                <w:spacing w:val="-5"/>
                <w:sz w:val="18"/>
              </w:rPr>
              <w:t>795</w:t>
            </w:r>
            <w:r>
              <w:rPr>
                <w:sz w:val="18"/>
              </w:rPr>
              <w:tab/>
            </w:r>
            <w:r>
              <w:rPr>
                <w:spacing w:val="-2"/>
                <w:sz w:val="18"/>
              </w:rPr>
              <w:t>1,177</w:t>
            </w:r>
            <w:r>
              <w:rPr>
                <w:sz w:val="18"/>
              </w:rPr>
              <w:tab/>
            </w:r>
            <w:r>
              <w:rPr>
                <w:spacing w:val="-5"/>
                <w:sz w:val="18"/>
              </w:rPr>
              <w:t>400</w:t>
            </w:r>
            <w:r>
              <w:rPr>
                <w:sz w:val="18"/>
              </w:rPr>
              <w:tab/>
            </w:r>
            <w:r>
              <w:rPr>
                <w:spacing w:val="-5"/>
                <w:sz w:val="18"/>
              </w:rPr>
              <w:t>108</w:t>
            </w:r>
            <w:r>
              <w:rPr>
                <w:sz w:val="18"/>
              </w:rPr>
              <w:tab/>
            </w:r>
            <w:r>
              <w:rPr>
                <w:spacing w:val="-5"/>
                <w:sz w:val="18"/>
              </w:rPr>
              <w:t>206</w:t>
            </w:r>
          </w:p>
        </w:tc>
        <w:tc>
          <w:tcPr>
            <w:tcW w:w="894" w:type="dxa"/>
            <w:shd w:val="clear" w:color="auto" w:fill="CCEDFF"/>
          </w:tcPr>
          <w:p>
            <w:pPr>
              <w:pStyle w:val="TableParagraph"/>
              <w:spacing w:before="48"/>
              <w:ind w:left="270"/>
              <w:rPr>
                <w:sz w:val="18"/>
              </w:rPr>
            </w:pPr>
            <w:r>
              <w:rPr>
                <w:spacing w:val="-2"/>
                <w:sz w:val="18"/>
              </w:rPr>
              <w:t>2,929</w:t>
            </w:r>
          </w:p>
        </w:tc>
        <w:tc>
          <w:tcPr>
            <w:tcW w:w="910" w:type="dxa"/>
            <w:shd w:val="clear" w:color="auto" w:fill="CCEDFF"/>
          </w:tcPr>
          <w:p>
            <w:pPr>
              <w:pStyle w:val="TableParagraph"/>
              <w:spacing w:before="48"/>
              <w:ind w:left="516"/>
              <w:rPr>
                <w:sz w:val="18"/>
              </w:rPr>
            </w:pPr>
            <w:r>
              <w:rPr>
                <w:spacing w:val="-5"/>
                <w:sz w:val="18"/>
              </w:rPr>
              <w:t>53</w:t>
            </w:r>
          </w:p>
        </w:tc>
        <w:tc>
          <w:tcPr>
            <w:tcW w:w="833" w:type="dxa"/>
            <w:shd w:val="clear" w:color="auto" w:fill="CCEDFF"/>
          </w:tcPr>
          <w:p>
            <w:pPr>
              <w:pStyle w:val="TableParagraph"/>
              <w:spacing w:before="48"/>
              <w:ind w:left="431"/>
              <w:rPr>
                <w:sz w:val="18"/>
              </w:rPr>
            </w:pPr>
            <w:r>
              <w:rPr>
                <w:spacing w:val="-5"/>
                <w:sz w:val="18"/>
              </w:rPr>
              <w:t>39</w:t>
            </w:r>
          </w:p>
        </w:tc>
        <w:tc>
          <w:tcPr>
            <w:tcW w:w="797" w:type="dxa"/>
            <w:shd w:val="clear" w:color="auto" w:fill="CCEDFF"/>
          </w:tcPr>
          <w:p>
            <w:pPr>
              <w:pStyle w:val="TableParagraph"/>
              <w:spacing w:before="48"/>
              <w:ind w:left="393"/>
              <w:rPr>
                <w:sz w:val="18"/>
              </w:rPr>
            </w:pPr>
            <w:r>
              <w:rPr>
                <w:spacing w:val="-5"/>
                <w:sz w:val="18"/>
              </w:rPr>
              <w:t>92</w:t>
            </w:r>
          </w:p>
        </w:tc>
      </w:tr>
      <w:tr>
        <w:trPr>
          <w:trHeight w:val="280" w:hRule="atLeast"/>
        </w:trPr>
        <w:tc>
          <w:tcPr>
            <w:tcW w:w="2010" w:type="dxa"/>
            <w:tcBorders>
              <w:bottom w:val="single" w:sz="4" w:space="0" w:color="000000"/>
            </w:tcBorders>
          </w:tcPr>
          <w:p>
            <w:pPr>
              <w:pStyle w:val="TableParagraph"/>
              <w:spacing w:before="48"/>
              <w:ind w:left="187"/>
              <w:rPr>
                <w:sz w:val="18"/>
              </w:rPr>
            </w:pPr>
            <w:r>
              <w:rPr>
                <w:spacing w:val="-4"/>
                <w:sz w:val="18"/>
              </w:rPr>
              <w:t>≥740</w:t>
            </w:r>
          </w:p>
        </w:tc>
        <w:tc>
          <w:tcPr>
            <w:tcW w:w="4800" w:type="dxa"/>
            <w:tcBorders>
              <w:bottom w:val="single" w:sz="4" w:space="0" w:color="000000"/>
            </w:tcBorders>
          </w:tcPr>
          <w:p>
            <w:pPr>
              <w:pStyle w:val="TableParagraph"/>
              <w:tabs>
                <w:tab w:pos="960" w:val="left" w:leader="none"/>
                <w:tab w:pos="1725" w:val="left" w:leader="none"/>
                <w:tab w:pos="2595" w:val="left" w:leader="none"/>
                <w:tab w:pos="3510" w:val="left" w:leader="none"/>
                <w:tab w:pos="4305" w:val="left" w:leader="none"/>
              </w:tabs>
              <w:spacing w:before="48"/>
              <w:ind w:left="165"/>
              <w:rPr>
                <w:sz w:val="18"/>
              </w:rPr>
            </w:pPr>
            <w:r>
              <w:rPr>
                <w:spacing w:val="-2"/>
                <w:sz w:val="18"/>
              </w:rPr>
              <w:t>1,951</w:t>
            </w:r>
            <w:r>
              <w:rPr>
                <w:sz w:val="18"/>
              </w:rPr>
              <w:tab/>
            </w:r>
            <w:r>
              <w:rPr>
                <w:spacing w:val="-2"/>
                <w:sz w:val="18"/>
              </w:rPr>
              <w:t>5,336</w:t>
            </w:r>
            <w:r>
              <w:rPr>
                <w:sz w:val="18"/>
              </w:rPr>
              <w:tab/>
            </w:r>
            <w:r>
              <w:rPr>
                <w:spacing w:val="-2"/>
                <w:sz w:val="18"/>
              </w:rPr>
              <w:t>10,563</w:t>
            </w:r>
            <w:r>
              <w:rPr>
                <w:sz w:val="18"/>
              </w:rPr>
              <w:tab/>
            </w:r>
            <w:r>
              <w:rPr>
                <w:spacing w:val="-2"/>
                <w:sz w:val="18"/>
              </w:rPr>
              <w:t>3,618</w:t>
            </w:r>
            <w:r>
              <w:rPr>
                <w:sz w:val="18"/>
              </w:rPr>
              <w:tab/>
            </w:r>
            <w:r>
              <w:rPr>
                <w:spacing w:val="-5"/>
                <w:sz w:val="18"/>
              </w:rPr>
              <w:t>760</w:t>
            </w:r>
            <w:r>
              <w:rPr>
                <w:sz w:val="18"/>
              </w:rPr>
              <w:tab/>
            </w:r>
            <w:r>
              <w:rPr>
                <w:spacing w:val="-5"/>
                <w:sz w:val="18"/>
              </w:rPr>
              <w:t>799</w:t>
            </w:r>
          </w:p>
        </w:tc>
        <w:tc>
          <w:tcPr>
            <w:tcW w:w="894" w:type="dxa"/>
            <w:tcBorders>
              <w:bottom w:val="single" w:sz="4" w:space="0" w:color="000000"/>
            </w:tcBorders>
          </w:tcPr>
          <w:p>
            <w:pPr>
              <w:pStyle w:val="TableParagraph"/>
              <w:spacing w:before="48"/>
              <w:ind w:left="180"/>
              <w:rPr>
                <w:sz w:val="18"/>
              </w:rPr>
            </w:pPr>
            <w:r>
              <w:rPr>
                <w:spacing w:val="-2"/>
                <w:sz w:val="18"/>
              </w:rPr>
              <w:t>23,027</w:t>
            </w:r>
          </w:p>
        </w:tc>
        <w:tc>
          <w:tcPr>
            <w:tcW w:w="910" w:type="dxa"/>
            <w:tcBorders>
              <w:bottom w:val="single" w:sz="4" w:space="0" w:color="000000"/>
            </w:tcBorders>
          </w:tcPr>
          <w:p>
            <w:pPr>
              <w:pStyle w:val="TableParagraph"/>
              <w:spacing w:before="48"/>
              <w:ind w:left="426"/>
              <w:rPr>
                <w:sz w:val="18"/>
              </w:rPr>
            </w:pPr>
            <w:r>
              <w:rPr>
                <w:spacing w:val="-5"/>
                <w:sz w:val="18"/>
              </w:rPr>
              <w:t>264</w:t>
            </w:r>
          </w:p>
        </w:tc>
        <w:tc>
          <w:tcPr>
            <w:tcW w:w="833" w:type="dxa"/>
            <w:tcBorders>
              <w:bottom w:val="single" w:sz="4" w:space="0" w:color="000000"/>
            </w:tcBorders>
          </w:tcPr>
          <w:p>
            <w:pPr>
              <w:pStyle w:val="TableParagraph"/>
              <w:spacing w:before="48"/>
              <w:ind w:left="341"/>
              <w:rPr>
                <w:sz w:val="18"/>
              </w:rPr>
            </w:pPr>
            <w:r>
              <w:rPr>
                <w:spacing w:val="-5"/>
                <w:sz w:val="18"/>
              </w:rPr>
              <w:t>136</w:t>
            </w:r>
          </w:p>
        </w:tc>
        <w:tc>
          <w:tcPr>
            <w:tcW w:w="797" w:type="dxa"/>
            <w:tcBorders>
              <w:bottom w:val="single" w:sz="4" w:space="0" w:color="000000"/>
            </w:tcBorders>
          </w:tcPr>
          <w:p>
            <w:pPr>
              <w:pStyle w:val="TableParagraph"/>
              <w:spacing w:before="48"/>
              <w:ind w:left="303"/>
              <w:rPr>
                <w:sz w:val="18"/>
              </w:rPr>
            </w:pPr>
            <w:r>
              <w:rPr>
                <w:spacing w:val="-5"/>
                <w:sz w:val="18"/>
              </w:rPr>
              <w:t>400</w:t>
            </w:r>
          </w:p>
        </w:tc>
      </w:tr>
      <w:tr>
        <w:trPr>
          <w:trHeight w:val="250" w:hRule="atLeast"/>
        </w:trPr>
        <w:tc>
          <w:tcPr>
            <w:tcW w:w="2010" w:type="dxa"/>
            <w:tcBorders>
              <w:top w:val="single" w:sz="4" w:space="0" w:color="000000"/>
              <w:bottom w:val="double" w:sz="8" w:space="0" w:color="000000"/>
            </w:tcBorders>
            <w:shd w:val="clear" w:color="auto" w:fill="CCEDFF"/>
          </w:tcPr>
          <w:p>
            <w:pPr>
              <w:pStyle w:val="TableParagraph"/>
              <w:spacing w:line="187" w:lineRule="exact" w:before="43"/>
              <w:ind w:left="277"/>
              <w:rPr>
                <w:sz w:val="18"/>
              </w:rPr>
            </w:pPr>
            <w:r>
              <w:rPr>
                <w:spacing w:val="-2"/>
                <w:sz w:val="18"/>
              </w:rPr>
              <w:t>Total</w:t>
            </w:r>
          </w:p>
        </w:tc>
        <w:tc>
          <w:tcPr>
            <w:tcW w:w="4800" w:type="dxa"/>
            <w:tcBorders>
              <w:top w:val="single" w:sz="4" w:space="0" w:color="000000"/>
              <w:bottom w:val="double" w:sz="8" w:space="0" w:color="000000"/>
            </w:tcBorders>
            <w:shd w:val="clear" w:color="auto" w:fill="CCEDFF"/>
          </w:tcPr>
          <w:p>
            <w:pPr>
              <w:pStyle w:val="TableParagraph"/>
              <w:tabs>
                <w:tab w:pos="847" w:val="left" w:leader="none"/>
                <w:tab w:pos="1642" w:val="left" w:leader="none"/>
                <w:tab w:pos="2497" w:val="left" w:leader="none"/>
                <w:tab w:pos="3277" w:val="left" w:leader="none"/>
                <w:tab w:pos="4057" w:val="left" w:leader="none"/>
              </w:tabs>
              <w:spacing w:line="187" w:lineRule="exact" w:before="43"/>
              <w:ind w:left="52"/>
              <w:rPr>
                <w:sz w:val="18"/>
              </w:rPr>
            </w:pPr>
            <w:r>
              <w:rPr>
                <w:sz w:val="18"/>
              </w:rPr>
              <w:t>$</w:t>
            </w:r>
            <w:r>
              <w:rPr>
                <w:spacing w:val="-23"/>
                <w:sz w:val="18"/>
              </w:rPr>
              <w:t> </w:t>
            </w:r>
            <w:r>
              <w:rPr>
                <w:spacing w:val="-4"/>
                <w:sz w:val="18"/>
              </w:rPr>
              <w:t>2,197</w:t>
            </w:r>
            <w:r>
              <w:rPr>
                <w:sz w:val="18"/>
              </w:rPr>
              <w:tab/>
              <w:t>$</w:t>
            </w:r>
            <w:r>
              <w:rPr>
                <w:spacing w:val="-25"/>
                <w:sz w:val="18"/>
              </w:rPr>
              <w:t> </w:t>
            </w:r>
            <w:r>
              <w:rPr>
                <w:spacing w:val="-2"/>
                <w:sz w:val="18"/>
              </w:rPr>
              <w:t>6,161</w:t>
            </w:r>
            <w:r>
              <w:rPr>
                <w:sz w:val="18"/>
              </w:rPr>
              <w:tab/>
            </w:r>
            <w:r>
              <w:rPr>
                <w:spacing w:val="-2"/>
                <w:sz w:val="18"/>
              </w:rPr>
              <w:t>$11,771</w:t>
            </w:r>
            <w:r>
              <w:rPr>
                <w:sz w:val="18"/>
              </w:rPr>
              <w:tab/>
            </w:r>
            <w:r>
              <w:rPr>
                <w:spacing w:val="-2"/>
                <w:sz w:val="18"/>
              </w:rPr>
              <w:t>$4,038</w:t>
            </w:r>
            <w:r>
              <w:rPr>
                <w:sz w:val="18"/>
              </w:rPr>
              <w:tab/>
              <w:t>$</w:t>
            </w:r>
            <w:r>
              <w:rPr>
                <w:spacing w:val="74"/>
                <w:w w:val="150"/>
                <w:sz w:val="18"/>
              </w:rPr>
              <w:t> </w:t>
            </w:r>
            <w:r>
              <w:rPr>
                <w:spacing w:val="-5"/>
                <w:sz w:val="18"/>
              </w:rPr>
              <w:t>870</w:t>
            </w:r>
            <w:r>
              <w:rPr>
                <w:sz w:val="18"/>
              </w:rPr>
              <w:tab/>
              <w:t>$</w:t>
            </w:r>
            <w:r>
              <w:rPr>
                <w:spacing w:val="-25"/>
                <w:sz w:val="18"/>
              </w:rPr>
              <w:t> </w:t>
            </w:r>
            <w:r>
              <w:rPr>
                <w:spacing w:val="-2"/>
                <w:sz w:val="18"/>
              </w:rPr>
              <w:t>1,019</w:t>
            </w:r>
          </w:p>
        </w:tc>
        <w:tc>
          <w:tcPr>
            <w:tcW w:w="894" w:type="dxa"/>
            <w:tcBorders>
              <w:top w:val="single" w:sz="4" w:space="0" w:color="000000"/>
              <w:bottom w:val="double" w:sz="8" w:space="0" w:color="000000"/>
            </w:tcBorders>
            <w:shd w:val="clear" w:color="auto" w:fill="CCEDFF"/>
          </w:tcPr>
          <w:p>
            <w:pPr>
              <w:pStyle w:val="TableParagraph"/>
              <w:spacing w:line="187" w:lineRule="exact" w:before="43"/>
              <w:ind w:left="52"/>
              <w:rPr>
                <w:sz w:val="18"/>
              </w:rPr>
            </w:pPr>
            <w:r>
              <w:rPr>
                <w:sz w:val="18"/>
              </w:rPr>
              <w:t>$</w:t>
            </w:r>
            <w:r>
              <w:rPr>
                <w:spacing w:val="-8"/>
                <w:sz w:val="18"/>
              </w:rPr>
              <w:t> </w:t>
            </w:r>
            <w:r>
              <w:rPr>
                <w:spacing w:val="-2"/>
                <w:sz w:val="18"/>
              </w:rPr>
              <w:t>26,056</w:t>
            </w:r>
          </w:p>
        </w:tc>
        <w:tc>
          <w:tcPr>
            <w:tcW w:w="910" w:type="dxa"/>
            <w:tcBorders>
              <w:top w:val="single" w:sz="4" w:space="0" w:color="000000"/>
              <w:bottom w:val="double" w:sz="8" w:space="0" w:color="000000"/>
            </w:tcBorders>
            <w:shd w:val="clear" w:color="auto" w:fill="CCEDFF"/>
          </w:tcPr>
          <w:p>
            <w:pPr>
              <w:pStyle w:val="TableParagraph"/>
              <w:tabs>
                <w:tab w:pos="426" w:val="left" w:leader="none"/>
              </w:tabs>
              <w:spacing w:line="187" w:lineRule="exact" w:before="43"/>
              <w:ind w:left="58"/>
              <w:rPr>
                <w:sz w:val="18"/>
              </w:rPr>
            </w:pPr>
            <w:r>
              <w:rPr>
                <w:spacing w:val="-10"/>
                <w:sz w:val="18"/>
              </w:rPr>
              <w:t>$</w:t>
            </w:r>
            <w:r>
              <w:rPr>
                <w:sz w:val="18"/>
              </w:rPr>
              <w:tab/>
            </w:r>
            <w:r>
              <w:rPr>
                <w:spacing w:val="-5"/>
                <w:sz w:val="18"/>
              </w:rPr>
              <w:t>317</w:t>
            </w:r>
          </w:p>
        </w:tc>
        <w:tc>
          <w:tcPr>
            <w:tcW w:w="833" w:type="dxa"/>
            <w:tcBorders>
              <w:top w:val="single" w:sz="4" w:space="0" w:color="000000"/>
              <w:bottom w:val="double" w:sz="8" w:space="0" w:color="000000"/>
            </w:tcBorders>
            <w:shd w:val="clear" w:color="auto" w:fill="CCEDFF"/>
          </w:tcPr>
          <w:p>
            <w:pPr>
              <w:pStyle w:val="TableParagraph"/>
              <w:spacing w:line="187" w:lineRule="exact" w:before="43"/>
              <w:ind w:left="63"/>
              <w:rPr>
                <w:sz w:val="18"/>
              </w:rPr>
            </w:pPr>
            <w:r>
              <w:rPr>
                <w:sz w:val="18"/>
              </w:rPr>
              <w:t>$</w:t>
            </w:r>
            <w:r>
              <w:rPr>
                <w:spacing w:val="48"/>
                <w:sz w:val="18"/>
              </w:rPr>
              <w:t>  </w:t>
            </w:r>
            <w:r>
              <w:rPr>
                <w:spacing w:val="-5"/>
                <w:sz w:val="18"/>
              </w:rPr>
              <w:t>176</w:t>
            </w:r>
          </w:p>
        </w:tc>
        <w:tc>
          <w:tcPr>
            <w:tcW w:w="797" w:type="dxa"/>
            <w:tcBorders>
              <w:top w:val="single" w:sz="4" w:space="0" w:color="000000"/>
              <w:bottom w:val="double" w:sz="8" w:space="0" w:color="000000"/>
            </w:tcBorders>
            <w:shd w:val="clear" w:color="auto" w:fill="CCEDFF"/>
          </w:tcPr>
          <w:p>
            <w:pPr>
              <w:pStyle w:val="TableParagraph"/>
              <w:spacing w:line="187" w:lineRule="exact" w:before="43"/>
              <w:ind w:left="55"/>
              <w:rPr>
                <w:sz w:val="18"/>
              </w:rPr>
            </w:pPr>
            <w:r>
              <w:rPr>
                <w:sz w:val="18"/>
              </w:rPr>
              <w:t>$</w:t>
            </w:r>
            <w:r>
              <w:rPr>
                <w:spacing w:val="33"/>
                <w:sz w:val="18"/>
              </w:rPr>
              <w:t>  </w:t>
            </w:r>
            <w:r>
              <w:rPr>
                <w:spacing w:val="-5"/>
                <w:sz w:val="18"/>
              </w:rPr>
              <w:t>493</w:t>
            </w:r>
          </w:p>
        </w:tc>
      </w:tr>
      <w:tr>
        <w:trPr>
          <w:trHeight w:val="255" w:hRule="atLeast"/>
        </w:trPr>
        <w:tc>
          <w:tcPr>
            <w:tcW w:w="2010" w:type="dxa"/>
            <w:tcBorders>
              <w:top w:val="double" w:sz="8" w:space="0" w:color="000000"/>
            </w:tcBorders>
          </w:tcPr>
          <w:p>
            <w:pPr>
              <w:pStyle w:val="TableParagraph"/>
              <w:spacing w:line="206" w:lineRule="exact"/>
              <w:ind w:left="52"/>
              <w:rPr>
                <w:sz w:val="18"/>
              </w:rPr>
            </w:pPr>
            <w:r>
              <w:rPr>
                <w:sz w:val="18"/>
              </w:rPr>
              <w:t>Origination</w:t>
            </w:r>
            <w:r>
              <w:rPr>
                <w:spacing w:val="-1"/>
                <w:sz w:val="18"/>
              </w:rPr>
              <w:t> </w:t>
            </w:r>
            <w:r>
              <w:rPr>
                <w:spacing w:val="-5"/>
                <w:sz w:val="18"/>
              </w:rPr>
              <w:t>LTV</w:t>
            </w:r>
          </w:p>
        </w:tc>
        <w:tc>
          <w:tcPr>
            <w:tcW w:w="4800" w:type="dxa"/>
            <w:tcBorders>
              <w:top w:val="double" w:sz="8" w:space="0" w:color="000000"/>
            </w:tcBorders>
          </w:tcPr>
          <w:p>
            <w:pPr>
              <w:pStyle w:val="TableParagraph"/>
              <w:rPr>
                <w:sz w:val="16"/>
              </w:rPr>
            </w:pPr>
          </w:p>
        </w:tc>
        <w:tc>
          <w:tcPr>
            <w:tcW w:w="894" w:type="dxa"/>
            <w:tcBorders>
              <w:top w:val="double" w:sz="8" w:space="0" w:color="000000"/>
            </w:tcBorders>
          </w:tcPr>
          <w:p>
            <w:pPr>
              <w:pStyle w:val="TableParagraph"/>
              <w:rPr>
                <w:sz w:val="16"/>
              </w:rPr>
            </w:pPr>
          </w:p>
        </w:tc>
        <w:tc>
          <w:tcPr>
            <w:tcW w:w="910" w:type="dxa"/>
            <w:tcBorders>
              <w:top w:val="double" w:sz="8" w:space="0" w:color="000000"/>
            </w:tcBorders>
          </w:tcPr>
          <w:p>
            <w:pPr>
              <w:pStyle w:val="TableParagraph"/>
              <w:rPr>
                <w:sz w:val="16"/>
              </w:rPr>
            </w:pPr>
          </w:p>
        </w:tc>
        <w:tc>
          <w:tcPr>
            <w:tcW w:w="833" w:type="dxa"/>
            <w:tcBorders>
              <w:top w:val="double" w:sz="8" w:space="0" w:color="000000"/>
            </w:tcBorders>
          </w:tcPr>
          <w:p>
            <w:pPr>
              <w:pStyle w:val="TableParagraph"/>
              <w:rPr>
                <w:sz w:val="16"/>
              </w:rPr>
            </w:pPr>
          </w:p>
        </w:tc>
        <w:tc>
          <w:tcPr>
            <w:tcW w:w="797" w:type="dxa"/>
            <w:tcBorders>
              <w:top w:val="double" w:sz="8" w:space="0" w:color="000000"/>
            </w:tcBorders>
          </w:tcPr>
          <w:p>
            <w:pPr>
              <w:pStyle w:val="TableParagraph"/>
              <w:rPr>
                <w:sz w:val="16"/>
              </w:rPr>
            </w:pPr>
          </w:p>
        </w:tc>
      </w:tr>
      <w:tr>
        <w:trPr>
          <w:trHeight w:val="285" w:hRule="atLeast"/>
        </w:trPr>
        <w:tc>
          <w:tcPr>
            <w:tcW w:w="2010" w:type="dxa"/>
            <w:shd w:val="clear" w:color="auto" w:fill="CCEDFF"/>
          </w:tcPr>
          <w:p>
            <w:pPr>
              <w:pStyle w:val="TableParagraph"/>
              <w:spacing w:before="48"/>
              <w:ind w:left="187"/>
              <w:rPr>
                <w:sz w:val="18"/>
              </w:rPr>
            </w:pPr>
            <w:r>
              <w:rPr>
                <w:spacing w:val="-4"/>
                <w:sz w:val="18"/>
              </w:rPr>
              <w:t>≤70%</w:t>
            </w:r>
          </w:p>
        </w:tc>
        <w:tc>
          <w:tcPr>
            <w:tcW w:w="4800" w:type="dxa"/>
            <w:shd w:val="clear" w:color="auto" w:fill="CCEDFF"/>
          </w:tcPr>
          <w:p>
            <w:pPr>
              <w:pStyle w:val="TableParagraph"/>
              <w:tabs>
                <w:tab w:pos="847" w:val="left" w:leader="none"/>
                <w:tab w:pos="1642" w:val="left" w:leader="none"/>
                <w:tab w:pos="2497" w:val="left" w:leader="none"/>
                <w:tab w:pos="3277" w:val="left" w:leader="none"/>
                <w:tab w:pos="4057" w:val="left" w:leader="none"/>
              </w:tabs>
              <w:spacing w:before="48"/>
              <w:ind w:left="52"/>
              <w:rPr>
                <w:sz w:val="18"/>
              </w:rPr>
            </w:pPr>
            <w:r>
              <w:rPr>
                <w:sz w:val="18"/>
              </w:rPr>
              <w:t>$</w:t>
            </w:r>
            <w:r>
              <w:rPr>
                <w:spacing w:val="-23"/>
                <w:sz w:val="18"/>
              </w:rPr>
              <w:t> </w:t>
            </w:r>
            <w:r>
              <w:rPr>
                <w:spacing w:val="-4"/>
                <w:sz w:val="18"/>
              </w:rPr>
              <w:t>1,481</w:t>
            </w:r>
            <w:r>
              <w:rPr>
                <w:sz w:val="18"/>
              </w:rPr>
              <w:tab/>
              <w:t>$</w:t>
            </w:r>
            <w:r>
              <w:rPr>
                <w:spacing w:val="-25"/>
                <w:sz w:val="18"/>
              </w:rPr>
              <w:t> </w:t>
            </w:r>
            <w:r>
              <w:rPr>
                <w:spacing w:val="-2"/>
                <w:sz w:val="18"/>
              </w:rPr>
              <w:t>4,561</w:t>
            </w:r>
            <w:r>
              <w:rPr>
                <w:sz w:val="18"/>
              </w:rPr>
              <w:tab/>
            </w:r>
            <w:r>
              <w:rPr>
                <w:spacing w:val="-2"/>
                <w:sz w:val="18"/>
              </w:rPr>
              <w:t>$10,197</w:t>
            </w:r>
            <w:r>
              <w:rPr>
                <w:sz w:val="18"/>
              </w:rPr>
              <w:tab/>
            </w:r>
            <w:r>
              <w:rPr>
                <w:spacing w:val="-2"/>
                <w:sz w:val="18"/>
              </w:rPr>
              <w:t>$3,357</w:t>
            </w:r>
            <w:r>
              <w:rPr>
                <w:sz w:val="18"/>
              </w:rPr>
              <w:tab/>
              <w:t>$</w:t>
            </w:r>
            <w:r>
              <w:rPr>
                <w:spacing w:val="74"/>
                <w:w w:val="150"/>
                <w:sz w:val="18"/>
              </w:rPr>
              <w:t> </w:t>
            </w:r>
            <w:r>
              <w:rPr>
                <w:spacing w:val="-5"/>
                <w:sz w:val="18"/>
              </w:rPr>
              <w:t>703</w:t>
            </w:r>
            <w:r>
              <w:rPr>
                <w:sz w:val="18"/>
              </w:rPr>
              <w:tab/>
              <w:t>$</w:t>
            </w:r>
            <w:r>
              <w:rPr>
                <w:spacing w:val="33"/>
                <w:sz w:val="18"/>
              </w:rPr>
              <w:t>  </w:t>
            </w:r>
            <w:r>
              <w:rPr>
                <w:spacing w:val="-5"/>
                <w:sz w:val="18"/>
              </w:rPr>
              <w:t>759</w:t>
            </w:r>
          </w:p>
        </w:tc>
        <w:tc>
          <w:tcPr>
            <w:tcW w:w="894" w:type="dxa"/>
            <w:shd w:val="clear" w:color="auto" w:fill="CCEDFF"/>
          </w:tcPr>
          <w:p>
            <w:pPr>
              <w:pStyle w:val="TableParagraph"/>
              <w:spacing w:before="48"/>
              <w:ind w:left="52"/>
              <w:rPr>
                <w:sz w:val="18"/>
              </w:rPr>
            </w:pPr>
            <w:r>
              <w:rPr>
                <w:sz w:val="18"/>
              </w:rPr>
              <w:t>$</w:t>
            </w:r>
            <w:r>
              <w:rPr>
                <w:spacing w:val="-8"/>
                <w:sz w:val="18"/>
              </w:rPr>
              <w:t> </w:t>
            </w:r>
            <w:r>
              <w:rPr>
                <w:spacing w:val="-2"/>
                <w:sz w:val="18"/>
              </w:rPr>
              <w:t>21,058</w:t>
            </w:r>
          </w:p>
        </w:tc>
        <w:tc>
          <w:tcPr>
            <w:tcW w:w="910" w:type="dxa"/>
            <w:shd w:val="clear" w:color="auto" w:fill="CCEDFF"/>
          </w:tcPr>
          <w:p>
            <w:pPr>
              <w:pStyle w:val="TableParagraph"/>
              <w:tabs>
                <w:tab w:pos="426" w:val="left" w:leader="none"/>
              </w:tabs>
              <w:spacing w:before="48"/>
              <w:ind w:left="58"/>
              <w:rPr>
                <w:sz w:val="18"/>
              </w:rPr>
            </w:pPr>
            <w:r>
              <w:rPr>
                <w:spacing w:val="-10"/>
                <w:sz w:val="18"/>
              </w:rPr>
              <w:t>$</w:t>
            </w:r>
            <w:r>
              <w:rPr>
                <w:sz w:val="18"/>
              </w:rPr>
              <w:tab/>
            </w:r>
            <w:r>
              <w:rPr>
                <w:spacing w:val="-5"/>
                <w:sz w:val="18"/>
              </w:rPr>
              <w:t>282</w:t>
            </w:r>
          </w:p>
        </w:tc>
        <w:tc>
          <w:tcPr>
            <w:tcW w:w="833" w:type="dxa"/>
            <w:shd w:val="clear" w:color="auto" w:fill="CCEDFF"/>
          </w:tcPr>
          <w:p>
            <w:pPr>
              <w:pStyle w:val="TableParagraph"/>
              <w:spacing w:before="48"/>
              <w:ind w:left="63"/>
              <w:rPr>
                <w:sz w:val="18"/>
              </w:rPr>
            </w:pPr>
            <w:r>
              <w:rPr>
                <w:sz w:val="18"/>
              </w:rPr>
              <w:t>$</w:t>
            </w:r>
            <w:r>
              <w:rPr>
                <w:spacing w:val="48"/>
                <w:sz w:val="18"/>
              </w:rPr>
              <w:t>  </w:t>
            </w:r>
            <w:r>
              <w:rPr>
                <w:spacing w:val="-5"/>
                <w:sz w:val="18"/>
              </w:rPr>
              <w:t>123</w:t>
            </w:r>
          </w:p>
        </w:tc>
        <w:tc>
          <w:tcPr>
            <w:tcW w:w="797" w:type="dxa"/>
            <w:shd w:val="clear" w:color="auto" w:fill="CCEDFF"/>
          </w:tcPr>
          <w:p>
            <w:pPr>
              <w:pStyle w:val="TableParagraph"/>
              <w:spacing w:before="48"/>
              <w:ind w:left="55"/>
              <w:rPr>
                <w:sz w:val="18"/>
              </w:rPr>
            </w:pPr>
            <w:r>
              <w:rPr>
                <w:sz w:val="18"/>
              </w:rPr>
              <w:t>$</w:t>
            </w:r>
            <w:r>
              <w:rPr>
                <w:spacing w:val="33"/>
                <w:sz w:val="18"/>
              </w:rPr>
              <w:t>  </w:t>
            </w:r>
            <w:r>
              <w:rPr>
                <w:spacing w:val="-5"/>
                <w:sz w:val="18"/>
              </w:rPr>
              <w:t>405</w:t>
            </w:r>
          </w:p>
        </w:tc>
      </w:tr>
      <w:tr>
        <w:trPr>
          <w:trHeight w:val="285" w:hRule="atLeast"/>
        </w:trPr>
        <w:tc>
          <w:tcPr>
            <w:tcW w:w="2010" w:type="dxa"/>
          </w:tcPr>
          <w:p>
            <w:pPr>
              <w:pStyle w:val="TableParagraph"/>
              <w:spacing w:before="48"/>
              <w:ind w:left="187"/>
              <w:rPr>
                <w:sz w:val="18"/>
              </w:rPr>
            </w:pPr>
            <w:r>
              <w:rPr>
                <w:sz w:val="18"/>
              </w:rPr>
              <w:t>&gt;70%</w:t>
            </w:r>
            <w:r>
              <w:rPr>
                <w:spacing w:val="-2"/>
                <w:sz w:val="18"/>
              </w:rPr>
              <w:t> </w:t>
            </w:r>
            <w:r>
              <w:rPr>
                <w:sz w:val="18"/>
              </w:rPr>
              <w:t>– </w:t>
            </w:r>
            <w:r>
              <w:rPr>
                <w:spacing w:val="-4"/>
                <w:sz w:val="18"/>
              </w:rPr>
              <w:t>≤90%</w:t>
            </w:r>
          </w:p>
        </w:tc>
        <w:tc>
          <w:tcPr>
            <w:tcW w:w="4800" w:type="dxa"/>
          </w:tcPr>
          <w:p>
            <w:pPr>
              <w:pStyle w:val="TableParagraph"/>
              <w:tabs>
                <w:tab w:pos="960" w:val="left" w:leader="none"/>
                <w:tab w:pos="1815" w:val="left" w:leader="none"/>
                <w:tab w:pos="2730" w:val="left" w:leader="none"/>
                <w:tab w:pos="3510" w:val="left" w:leader="none"/>
                <w:tab w:pos="4305" w:val="left" w:leader="none"/>
              </w:tabs>
              <w:spacing w:before="48"/>
              <w:ind w:left="300"/>
              <w:rPr>
                <w:sz w:val="18"/>
              </w:rPr>
            </w:pPr>
            <w:r>
              <w:rPr>
                <w:spacing w:val="-5"/>
                <w:sz w:val="18"/>
              </w:rPr>
              <w:t>716</w:t>
            </w:r>
            <w:r>
              <w:rPr>
                <w:sz w:val="18"/>
              </w:rPr>
              <w:tab/>
            </w:r>
            <w:r>
              <w:rPr>
                <w:spacing w:val="-2"/>
                <w:sz w:val="18"/>
              </w:rPr>
              <w:t>1,600</w:t>
            </w:r>
            <w:r>
              <w:rPr>
                <w:sz w:val="18"/>
              </w:rPr>
              <w:tab/>
            </w:r>
            <w:r>
              <w:rPr>
                <w:spacing w:val="-2"/>
                <w:sz w:val="18"/>
              </w:rPr>
              <w:t>1,574</w:t>
            </w:r>
            <w:r>
              <w:rPr>
                <w:sz w:val="18"/>
              </w:rPr>
              <w:tab/>
            </w:r>
            <w:r>
              <w:rPr>
                <w:spacing w:val="-5"/>
                <w:sz w:val="18"/>
              </w:rPr>
              <w:t>681</w:t>
            </w:r>
            <w:r>
              <w:rPr>
                <w:sz w:val="18"/>
              </w:rPr>
              <w:tab/>
            </w:r>
            <w:r>
              <w:rPr>
                <w:spacing w:val="-5"/>
                <w:sz w:val="18"/>
              </w:rPr>
              <w:t>167</w:t>
            </w:r>
            <w:r>
              <w:rPr>
                <w:sz w:val="18"/>
              </w:rPr>
              <w:tab/>
            </w:r>
            <w:r>
              <w:rPr>
                <w:spacing w:val="-5"/>
                <w:sz w:val="18"/>
              </w:rPr>
              <w:t>258</w:t>
            </w:r>
          </w:p>
        </w:tc>
        <w:tc>
          <w:tcPr>
            <w:tcW w:w="894" w:type="dxa"/>
          </w:tcPr>
          <w:p>
            <w:pPr>
              <w:pStyle w:val="TableParagraph"/>
              <w:spacing w:before="48"/>
              <w:ind w:left="270"/>
              <w:rPr>
                <w:sz w:val="18"/>
              </w:rPr>
            </w:pPr>
            <w:r>
              <w:rPr>
                <w:spacing w:val="-2"/>
                <w:sz w:val="18"/>
              </w:rPr>
              <w:t>4,996</w:t>
            </w:r>
          </w:p>
        </w:tc>
        <w:tc>
          <w:tcPr>
            <w:tcW w:w="910" w:type="dxa"/>
          </w:tcPr>
          <w:p>
            <w:pPr>
              <w:pStyle w:val="TableParagraph"/>
              <w:spacing w:before="48"/>
              <w:ind w:left="516"/>
              <w:rPr>
                <w:sz w:val="18"/>
              </w:rPr>
            </w:pPr>
            <w:r>
              <w:rPr>
                <w:spacing w:val="-5"/>
                <w:sz w:val="18"/>
              </w:rPr>
              <w:t>35</w:t>
            </w:r>
          </w:p>
        </w:tc>
        <w:tc>
          <w:tcPr>
            <w:tcW w:w="833" w:type="dxa"/>
          </w:tcPr>
          <w:p>
            <w:pPr>
              <w:pStyle w:val="TableParagraph"/>
              <w:spacing w:before="48"/>
              <w:ind w:left="431"/>
              <w:rPr>
                <w:sz w:val="18"/>
              </w:rPr>
            </w:pPr>
            <w:r>
              <w:rPr>
                <w:spacing w:val="-5"/>
                <w:sz w:val="18"/>
              </w:rPr>
              <w:t>52</w:t>
            </w:r>
          </w:p>
        </w:tc>
        <w:tc>
          <w:tcPr>
            <w:tcW w:w="797" w:type="dxa"/>
          </w:tcPr>
          <w:p>
            <w:pPr>
              <w:pStyle w:val="TableParagraph"/>
              <w:spacing w:before="48"/>
              <w:ind w:left="393"/>
              <w:rPr>
                <w:sz w:val="18"/>
              </w:rPr>
            </w:pPr>
            <w:r>
              <w:rPr>
                <w:spacing w:val="-5"/>
                <w:sz w:val="18"/>
              </w:rPr>
              <w:t>87</w:t>
            </w:r>
          </w:p>
        </w:tc>
      </w:tr>
      <w:tr>
        <w:trPr>
          <w:trHeight w:val="280" w:hRule="atLeast"/>
        </w:trPr>
        <w:tc>
          <w:tcPr>
            <w:tcW w:w="2010" w:type="dxa"/>
            <w:tcBorders>
              <w:bottom w:val="single" w:sz="4" w:space="0" w:color="000000"/>
            </w:tcBorders>
            <w:shd w:val="clear" w:color="auto" w:fill="CCEDFF"/>
          </w:tcPr>
          <w:p>
            <w:pPr>
              <w:pStyle w:val="TableParagraph"/>
              <w:spacing w:before="48"/>
              <w:ind w:left="187"/>
              <w:rPr>
                <w:sz w:val="18"/>
              </w:rPr>
            </w:pPr>
            <w:r>
              <w:rPr>
                <w:sz w:val="18"/>
              </w:rPr>
              <w:t>&gt;90% – </w:t>
            </w:r>
            <w:r>
              <w:rPr>
                <w:spacing w:val="-2"/>
                <w:sz w:val="18"/>
              </w:rPr>
              <w:t>≤100%</w:t>
            </w:r>
          </w:p>
        </w:tc>
        <w:tc>
          <w:tcPr>
            <w:tcW w:w="4800" w:type="dxa"/>
            <w:tcBorders>
              <w:bottom w:val="single" w:sz="4" w:space="0" w:color="000000"/>
            </w:tcBorders>
            <w:shd w:val="clear" w:color="auto" w:fill="CCEDFF"/>
          </w:tcPr>
          <w:p>
            <w:pPr>
              <w:pStyle w:val="TableParagraph"/>
              <w:tabs>
                <w:tab w:pos="1185" w:val="left" w:leader="none"/>
                <w:tab w:pos="2040" w:val="left" w:leader="none"/>
                <w:tab w:pos="2820" w:val="left" w:leader="none"/>
                <w:tab w:pos="3600" w:val="left" w:leader="none"/>
                <w:tab w:pos="4485" w:val="left" w:leader="none"/>
              </w:tabs>
              <w:spacing w:before="48"/>
              <w:ind w:left="390"/>
              <w:rPr>
                <w:sz w:val="18"/>
              </w:rPr>
            </w:pP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2</w:t>
            </w:r>
          </w:p>
        </w:tc>
        <w:tc>
          <w:tcPr>
            <w:tcW w:w="894" w:type="dxa"/>
            <w:tcBorders>
              <w:bottom w:val="single" w:sz="4" w:space="0" w:color="000000"/>
            </w:tcBorders>
            <w:shd w:val="clear" w:color="auto" w:fill="CCEDFF"/>
          </w:tcPr>
          <w:p>
            <w:pPr>
              <w:pStyle w:val="TableParagraph"/>
              <w:spacing w:before="48"/>
              <w:ind w:left="585"/>
              <w:rPr>
                <w:sz w:val="18"/>
              </w:rPr>
            </w:pPr>
            <w:r>
              <w:rPr>
                <w:spacing w:val="-10"/>
                <w:sz w:val="18"/>
              </w:rPr>
              <w:t>2</w:t>
            </w:r>
          </w:p>
        </w:tc>
        <w:tc>
          <w:tcPr>
            <w:tcW w:w="910" w:type="dxa"/>
            <w:tcBorders>
              <w:bottom w:val="single" w:sz="4" w:space="0" w:color="000000"/>
            </w:tcBorders>
            <w:shd w:val="clear" w:color="auto" w:fill="CCEDFF"/>
          </w:tcPr>
          <w:p>
            <w:pPr>
              <w:pStyle w:val="TableParagraph"/>
              <w:spacing w:before="48"/>
              <w:ind w:left="516"/>
              <w:rPr>
                <w:sz w:val="18"/>
              </w:rPr>
            </w:pPr>
            <w:r>
              <w:rPr>
                <w:spacing w:val="-10"/>
                <w:sz w:val="18"/>
              </w:rPr>
              <w:t>—</w:t>
            </w:r>
          </w:p>
        </w:tc>
        <w:tc>
          <w:tcPr>
            <w:tcW w:w="833" w:type="dxa"/>
            <w:tcBorders>
              <w:bottom w:val="single" w:sz="4" w:space="0" w:color="000000"/>
            </w:tcBorders>
            <w:shd w:val="clear" w:color="auto" w:fill="CCEDFF"/>
          </w:tcPr>
          <w:p>
            <w:pPr>
              <w:pStyle w:val="TableParagraph"/>
              <w:spacing w:before="48"/>
              <w:ind w:left="521"/>
              <w:rPr>
                <w:sz w:val="18"/>
              </w:rPr>
            </w:pPr>
            <w:r>
              <w:rPr>
                <w:spacing w:val="-10"/>
                <w:sz w:val="18"/>
              </w:rPr>
              <w:t>1</w:t>
            </w:r>
          </w:p>
        </w:tc>
        <w:tc>
          <w:tcPr>
            <w:tcW w:w="797" w:type="dxa"/>
            <w:tcBorders>
              <w:bottom w:val="single" w:sz="4" w:space="0" w:color="000000"/>
            </w:tcBorders>
            <w:shd w:val="clear" w:color="auto" w:fill="CCEDFF"/>
          </w:tcPr>
          <w:p>
            <w:pPr>
              <w:pStyle w:val="TableParagraph"/>
              <w:spacing w:before="48"/>
              <w:ind w:left="483"/>
              <w:rPr>
                <w:sz w:val="18"/>
              </w:rPr>
            </w:pPr>
            <w:r>
              <w:rPr>
                <w:spacing w:val="-10"/>
                <w:sz w:val="18"/>
              </w:rPr>
              <w:t>1</w:t>
            </w:r>
          </w:p>
        </w:tc>
      </w:tr>
      <w:tr>
        <w:trPr>
          <w:trHeight w:val="250" w:hRule="atLeast"/>
        </w:trPr>
        <w:tc>
          <w:tcPr>
            <w:tcW w:w="2010" w:type="dxa"/>
            <w:tcBorders>
              <w:top w:val="single" w:sz="4" w:space="0" w:color="000000"/>
              <w:bottom w:val="double" w:sz="8" w:space="0" w:color="auto"/>
            </w:tcBorders>
          </w:tcPr>
          <w:p>
            <w:pPr>
              <w:pStyle w:val="TableParagraph"/>
              <w:spacing w:line="187" w:lineRule="exact" w:before="43"/>
              <w:ind w:left="292"/>
              <w:rPr>
                <w:sz w:val="18"/>
              </w:rPr>
            </w:pPr>
            <w:r>
              <w:rPr>
                <w:spacing w:val="-2"/>
                <w:sz w:val="18"/>
              </w:rPr>
              <w:t>Total</w:t>
            </w:r>
          </w:p>
        </w:tc>
        <w:tc>
          <w:tcPr>
            <w:tcW w:w="4800" w:type="dxa"/>
            <w:tcBorders>
              <w:top w:val="single" w:sz="4" w:space="0" w:color="000000"/>
              <w:bottom w:val="double" w:sz="8" w:space="0" w:color="auto"/>
            </w:tcBorders>
          </w:tcPr>
          <w:p>
            <w:pPr>
              <w:pStyle w:val="TableParagraph"/>
              <w:tabs>
                <w:tab w:pos="847" w:val="left" w:leader="none"/>
                <w:tab w:pos="1642" w:val="left" w:leader="none"/>
                <w:tab w:pos="2497" w:val="left" w:leader="none"/>
                <w:tab w:pos="3277" w:val="left" w:leader="none"/>
                <w:tab w:pos="4057" w:val="left" w:leader="none"/>
              </w:tabs>
              <w:spacing w:line="187" w:lineRule="exact" w:before="43"/>
              <w:ind w:left="52"/>
              <w:rPr>
                <w:sz w:val="18"/>
              </w:rPr>
            </w:pPr>
            <w:r>
              <w:rPr>
                <w:sz w:val="18"/>
              </w:rPr>
              <w:t>$</w:t>
            </w:r>
            <w:r>
              <w:rPr>
                <w:spacing w:val="-23"/>
                <w:sz w:val="18"/>
              </w:rPr>
              <w:t> </w:t>
            </w:r>
            <w:r>
              <w:rPr>
                <w:spacing w:val="-4"/>
                <w:sz w:val="18"/>
              </w:rPr>
              <w:t>2,197</w:t>
            </w:r>
            <w:r>
              <w:rPr>
                <w:sz w:val="18"/>
              </w:rPr>
              <w:tab/>
              <w:t>$</w:t>
            </w:r>
            <w:r>
              <w:rPr>
                <w:spacing w:val="-25"/>
                <w:sz w:val="18"/>
              </w:rPr>
              <w:t> </w:t>
            </w:r>
            <w:r>
              <w:rPr>
                <w:spacing w:val="-2"/>
                <w:sz w:val="18"/>
              </w:rPr>
              <w:t>6,161</w:t>
            </w:r>
            <w:r>
              <w:rPr>
                <w:sz w:val="18"/>
              </w:rPr>
              <w:tab/>
            </w:r>
            <w:r>
              <w:rPr>
                <w:spacing w:val="-2"/>
                <w:sz w:val="18"/>
              </w:rPr>
              <w:t>$11,771</w:t>
            </w:r>
            <w:r>
              <w:rPr>
                <w:sz w:val="18"/>
              </w:rPr>
              <w:tab/>
            </w:r>
            <w:r>
              <w:rPr>
                <w:spacing w:val="-2"/>
                <w:sz w:val="18"/>
              </w:rPr>
              <w:t>$4,038</w:t>
            </w:r>
            <w:r>
              <w:rPr>
                <w:sz w:val="18"/>
              </w:rPr>
              <w:tab/>
              <w:t>$</w:t>
            </w:r>
            <w:r>
              <w:rPr>
                <w:spacing w:val="74"/>
                <w:w w:val="150"/>
                <w:sz w:val="18"/>
              </w:rPr>
              <w:t> </w:t>
            </w:r>
            <w:r>
              <w:rPr>
                <w:spacing w:val="-5"/>
                <w:sz w:val="18"/>
              </w:rPr>
              <w:t>870</w:t>
            </w:r>
            <w:r>
              <w:rPr>
                <w:sz w:val="18"/>
              </w:rPr>
              <w:tab/>
              <w:t>$</w:t>
            </w:r>
            <w:r>
              <w:rPr>
                <w:spacing w:val="-25"/>
                <w:sz w:val="18"/>
              </w:rPr>
              <w:t> </w:t>
            </w:r>
            <w:r>
              <w:rPr>
                <w:spacing w:val="-2"/>
                <w:sz w:val="18"/>
              </w:rPr>
              <w:t>1,019</w:t>
            </w:r>
          </w:p>
        </w:tc>
        <w:tc>
          <w:tcPr>
            <w:tcW w:w="894" w:type="dxa"/>
            <w:tcBorders>
              <w:top w:val="single" w:sz="4" w:space="0" w:color="000000"/>
              <w:bottom w:val="double" w:sz="8" w:space="0" w:color="auto"/>
            </w:tcBorders>
          </w:tcPr>
          <w:p>
            <w:pPr>
              <w:pStyle w:val="TableParagraph"/>
              <w:spacing w:line="187" w:lineRule="exact" w:before="43"/>
              <w:ind w:left="52"/>
              <w:rPr>
                <w:sz w:val="18"/>
              </w:rPr>
            </w:pPr>
            <w:r>
              <w:rPr>
                <w:sz w:val="18"/>
              </w:rPr>
              <w:t>$</w:t>
            </w:r>
            <w:r>
              <w:rPr>
                <w:spacing w:val="-8"/>
                <w:sz w:val="18"/>
              </w:rPr>
              <w:t> </w:t>
            </w:r>
            <w:r>
              <w:rPr>
                <w:spacing w:val="-2"/>
                <w:sz w:val="18"/>
              </w:rPr>
              <w:t>26,056</w:t>
            </w:r>
          </w:p>
        </w:tc>
        <w:tc>
          <w:tcPr>
            <w:tcW w:w="910" w:type="dxa"/>
            <w:tcBorders>
              <w:top w:val="single" w:sz="4" w:space="0" w:color="000000"/>
              <w:bottom w:val="double" w:sz="8" w:space="0" w:color="auto"/>
            </w:tcBorders>
          </w:tcPr>
          <w:p>
            <w:pPr>
              <w:pStyle w:val="TableParagraph"/>
              <w:tabs>
                <w:tab w:pos="426" w:val="left" w:leader="none"/>
              </w:tabs>
              <w:spacing w:line="187" w:lineRule="exact" w:before="43"/>
              <w:ind w:left="58"/>
              <w:rPr>
                <w:sz w:val="18"/>
              </w:rPr>
            </w:pPr>
            <w:r>
              <w:rPr>
                <w:spacing w:val="-10"/>
                <w:sz w:val="18"/>
              </w:rPr>
              <w:t>$</w:t>
            </w:r>
            <w:r>
              <w:rPr>
                <w:sz w:val="18"/>
              </w:rPr>
              <w:tab/>
            </w:r>
            <w:r>
              <w:rPr>
                <w:spacing w:val="-5"/>
                <w:sz w:val="18"/>
              </w:rPr>
              <w:t>317</w:t>
            </w:r>
          </w:p>
        </w:tc>
        <w:tc>
          <w:tcPr>
            <w:tcW w:w="833" w:type="dxa"/>
            <w:tcBorders>
              <w:top w:val="single" w:sz="4" w:space="0" w:color="000000"/>
              <w:bottom w:val="double" w:sz="8" w:space="0" w:color="auto"/>
            </w:tcBorders>
          </w:tcPr>
          <w:p>
            <w:pPr>
              <w:pStyle w:val="TableParagraph"/>
              <w:spacing w:line="187" w:lineRule="exact" w:before="43"/>
              <w:ind w:left="63"/>
              <w:rPr>
                <w:sz w:val="18"/>
              </w:rPr>
            </w:pPr>
            <w:r>
              <w:rPr>
                <w:sz w:val="18"/>
              </w:rPr>
              <w:t>$</w:t>
            </w:r>
            <w:r>
              <w:rPr>
                <w:spacing w:val="48"/>
                <w:sz w:val="18"/>
              </w:rPr>
              <w:t>  </w:t>
            </w:r>
            <w:r>
              <w:rPr>
                <w:spacing w:val="-5"/>
                <w:sz w:val="18"/>
              </w:rPr>
              <w:t>176</w:t>
            </w:r>
          </w:p>
        </w:tc>
        <w:tc>
          <w:tcPr>
            <w:tcW w:w="797" w:type="dxa"/>
            <w:tcBorders>
              <w:top w:val="single" w:sz="4" w:space="0" w:color="000000"/>
              <w:bottom w:val="double" w:sz="8" w:space="0" w:color="auto"/>
            </w:tcBorders>
          </w:tcPr>
          <w:p>
            <w:pPr>
              <w:pStyle w:val="TableParagraph"/>
              <w:spacing w:line="187" w:lineRule="exact" w:before="43"/>
              <w:ind w:left="55"/>
              <w:rPr>
                <w:sz w:val="18"/>
              </w:rPr>
            </w:pPr>
            <w:r>
              <w:rPr>
                <w:sz w:val="18"/>
              </w:rPr>
              <w:t>$</w:t>
            </w:r>
            <w:r>
              <w:rPr>
                <w:spacing w:val="33"/>
                <w:sz w:val="18"/>
              </w:rPr>
              <w:t>  </w:t>
            </w:r>
            <w:r>
              <w:rPr>
                <w:spacing w:val="-5"/>
                <w:sz w:val="18"/>
              </w:rPr>
              <w:t>493</w:t>
            </w:r>
          </w:p>
        </w:tc>
      </w:tr>
      <w:tr>
        <w:trPr>
          <w:trHeight w:val="255" w:hRule="atLeast"/>
        </w:trPr>
        <w:tc>
          <w:tcPr>
            <w:tcW w:w="2010" w:type="dxa"/>
            <w:tcBorders>
              <w:top w:val="double" w:sz="8" w:space="0" w:color="CCEDFF"/>
            </w:tcBorders>
            <w:shd w:val="clear" w:color="auto" w:fill="CCEDFF"/>
          </w:tcPr>
          <w:p>
            <w:pPr>
              <w:pStyle w:val="TableParagraph"/>
              <w:spacing w:before="18"/>
              <w:ind w:left="52"/>
              <w:rPr>
                <w:sz w:val="18"/>
              </w:rPr>
            </w:pPr>
            <w:r>
              <w:rPr>
                <w:sz w:val="18"/>
              </w:rPr>
              <w:t>Updated</w:t>
            </w:r>
            <w:r>
              <w:rPr>
                <w:spacing w:val="-3"/>
                <w:sz w:val="18"/>
              </w:rPr>
              <w:t> </w:t>
            </w:r>
            <w:r>
              <w:rPr>
                <w:spacing w:val="-4"/>
                <w:sz w:val="18"/>
              </w:rPr>
              <w:t>FICO</w:t>
            </w:r>
          </w:p>
        </w:tc>
        <w:tc>
          <w:tcPr>
            <w:tcW w:w="4800" w:type="dxa"/>
            <w:tcBorders>
              <w:top w:val="double" w:sz="8" w:space="0" w:color="CCEDFF"/>
            </w:tcBorders>
            <w:shd w:val="clear" w:color="auto" w:fill="CCEDFF"/>
          </w:tcPr>
          <w:p>
            <w:pPr>
              <w:pStyle w:val="TableParagraph"/>
              <w:rPr>
                <w:sz w:val="16"/>
              </w:rPr>
            </w:pPr>
          </w:p>
        </w:tc>
        <w:tc>
          <w:tcPr>
            <w:tcW w:w="894" w:type="dxa"/>
            <w:tcBorders>
              <w:top w:val="double" w:sz="8" w:space="0" w:color="CCEDFF"/>
            </w:tcBorders>
            <w:shd w:val="clear" w:color="auto" w:fill="CCEDFF"/>
          </w:tcPr>
          <w:p>
            <w:pPr>
              <w:pStyle w:val="TableParagraph"/>
              <w:rPr>
                <w:sz w:val="16"/>
              </w:rPr>
            </w:pPr>
          </w:p>
        </w:tc>
        <w:tc>
          <w:tcPr>
            <w:tcW w:w="910" w:type="dxa"/>
            <w:tcBorders>
              <w:top w:val="double" w:sz="8" w:space="0" w:color="CCEDFF"/>
            </w:tcBorders>
            <w:shd w:val="clear" w:color="auto" w:fill="CCEDFF"/>
          </w:tcPr>
          <w:p>
            <w:pPr>
              <w:pStyle w:val="TableParagraph"/>
              <w:rPr>
                <w:sz w:val="16"/>
              </w:rPr>
            </w:pPr>
          </w:p>
        </w:tc>
        <w:tc>
          <w:tcPr>
            <w:tcW w:w="833" w:type="dxa"/>
            <w:tcBorders>
              <w:top w:val="double" w:sz="8" w:space="0" w:color="CCEDFF"/>
            </w:tcBorders>
            <w:shd w:val="clear" w:color="auto" w:fill="CCEDFF"/>
          </w:tcPr>
          <w:p>
            <w:pPr>
              <w:pStyle w:val="TableParagraph"/>
              <w:rPr>
                <w:sz w:val="16"/>
              </w:rPr>
            </w:pPr>
          </w:p>
        </w:tc>
        <w:tc>
          <w:tcPr>
            <w:tcW w:w="797" w:type="dxa"/>
            <w:tcBorders>
              <w:top w:val="double" w:sz="8" w:space="0" w:color="CCEDFF"/>
            </w:tcBorders>
            <w:shd w:val="clear" w:color="auto" w:fill="CCEDFF"/>
          </w:tcPr>
          <w:p>
            <w:pPr>
              <w:pStyle w:val="TableParagraph"/>
              <w:rPr>
                <w:sz w:val="16"/>
              </w:rPr>
            </w:pPr>
          </w:p>
        </w:tc>
      </w:tr>
      <w:tr>
        <w:trPr>
          <w:trHeight w:val="285" w:hRule="atLeast"/>
        </w:trPr>
        <w:tc>
          <w:tcPr>
            <w:tcW w:w="2010" w:type="dxa"/>
          </w:tcPr>
          <w:p>
            <w:pPr>
              <w:pStyle w:val="TableParagraph"/>
              <w:spacing w:before="48"/>
              <w:ind w:left="187"/>
              <w:rPr>
                <w:sz w:val="18"/>
              </w:rPr>
            </w:pPr>
            <w:r>
              <w:rPr>
                <w:spacing w:val="-4"/>
                <w:sz w:val="18"/>
              </w:rPr>
              <w:t>&lt;620</w:t>
            </w:r>
          </w:p>
        </w:tc>
        <w:tc>
          <w:tcPr>
            <w:tcW w:w="4800" w:type="dxa"/>
          </w:tcPr>
          <w:p>
            <w:pPr>
              <w:pStyle w:val="TableParagraph"/>
              <w:tabs>
                <w:tab w:pos="480" w:val="left" w:leader="none"/>
                <w:tab w:pos="847" w:val="left" w:leader="none"/>
                <w:tab w:pos="1185" w:val="left" w:leader="none"/>
                <w:tab w:pos="1642" w:val="left" w:leader="none"/>
                <w:tab w:pos="2040" w:val="left" w:leader="none"/>
                <w:tab w:pos="2497" w:val="left" w:leader="none"/>
                <w:tab w:pos="2910" w:val="left" w:leader="none"/>
                <w:tab w:pos="3277" w:val="left" w:leader="none"/>
                <w:tab w:pos="3690" w:val="left" w:leader="none"/>
                <w:tab w:pos="4057" w:val="left" w:leader="none"/>
                <w:tab w:pos="4395" w:val="left" w:leader="none"/>
              </w:tabs>
              <w:spacing w:before="48"/>
              <w:ind w:left="52"/>
              <w:rPr>
                <w:sz w:val="18"/>
              </w:rPr>
            </w:pPr>
            <w:r>
              <w:rPr>
                <w:spacing w:val="-10"/>
                <w:sz w:val="18"/>
              </w:rPr>
              <w:t>$</w:t>
            </w:r>
            <w:r>
              <w:rPr>
                <w:sz w:val="18"/>
              </w:rPr>
              <w:tab/>
            </w:r>
            <w:r>
              <w:rPr>
                <w:spacing w:val="-10"/>
                <w:sz w:val="18"/>
              </w:rPr>
              <w:t>4</w:t>
            </w:r>
            <w:r>
              <w:rPr>
                <w:sz w:val="18"/>
              </w:rPr>
              <w:tab/>
            </w:r>
            <w:r>
              <w:rPr>
                <w:spacing w:val="-10"/>
                <w:sz w:val="18"/>
              </w:rPr>
              <w:t>$</w:t>
            </w:r>
            <w:r>
              <w:rPr>
                <w:sz w:val="18"/>
              </w:rPr>
              <w:tab/>
            </w:r>
            <w:r>
              <w:rPr>
                <w:spacing w:val="-5"/>
                <w:sz w:val="18"/>
              </w:rPr>
              <w:t>10</w:t>
            </w:r>
            <w:r>
              <w:rPr>
                <w:sz w:val="18"/>
              </w:rPr>
              <w:tab/>
            </w:r>
            <w:r>
              <w:rPr>
                <w:spacing w:val="-10"/>
                <w:sz w:val="18"/>
              </w:rPr>
              <w:t>$</w:t>
            </w:r>
            <w:r>
              <w:rPr>
                <w:sz w:val="18"/>
              </w:rPr>
              <w:tab/>
            </w:r>
            <w:r>
              <w:rPr>
                <w:spacing w:val="-5"/>
                <w:sz w:val="18"/>
              </w:rPr>
              <w:t>11</w:t>
            </w:r>
            <w:r>
              <w:rPr>
                <w:sz w:val="18"/>
              </w:rPr>
              <w:tab/>
            </w:r>
            <w:r>
              <w:rPr>
                <w:spacing w:val="-10"/>
                <w:sz w:val="18"/>
              </w:rPr>
              <w:t>$</w:t>
            </w:r>
            <w:r>
              <w:rPr>
                <w:sz w:val="18"/>
              </w:rPr>
              <w:tab/>
            </w:r>
            <w:r>
              <w:rPr>
                <w:spacing w:val="-10"/>
                <w:sz w:val="18"/>
              </w:rPr>
              <w:t>6</w:t>
            </w:r>
            <w:r>
              <w:rPr>
                <w:sz w:val="18"/>
              </w:rPr>
              <w:tab/>
            </w:r>
            <w:r>
              <w:rPr>
                <w:spacing w:val="-10"/>
                <w:sz w:val="18"/>
              </w:rPr>
              <w:t>$</w:t>
            </w:r>
            <w:r>
              <w:rPr>
                <w:sz w:val="18"/>
              </w:rPr>
              <w:tab/>
            </w:r>
            <w:r>
              <w:rPr>
                <w:spacing w:val="-10"/>
                <w:sz w:val="18"/>
              </w:rPr>
              <w:t>2</w:t>
            </w:r>
            <w:r>
              <w:rPr>
                <w:sz w:val="18"/>
              </w:rPr>
              <w:tab/>
            </w:r>
            <w:r>
              <w:rPr>
                <w:spacing w:val="-10"/>
                <w:sz w:val="18"/>
              </w:rPr>
              <w:t>$</w:t>
            </w:r>
            <w:r>
              <w:rPr>
                <w:sz w:val="18"/>
              </w:rPr>
              <w:tab/>
            </w:r>
            <w:r>
              <w:rPr>
                <w:spacing w:val="-5"/>
                <w:sz w:val="18"/>
              </w:rPr>
              <w:t>12</w:t>
            </w:r>
          </w:p>
        </w:tc>
        <w:tc>
          <w:tcPr>
            <w:tcW w:w="894" w:type="dxa"/>
          </w:tcPr>
          <w:p>
            <w:pPr>
              <w:pStyle w:val="TableParagraph"/>
              <w:tabs>
                <w:tab w:pos="495" w:val="left" w:leader="none"/>
              </w:tabs>
              <w:spacing w:before="48"/>
              <w:ind w:left="52"/>
              <w:rPr>
                <w:sz w:val="18"/>
              </w:rPr>
            </w:pPr>
            <w:r>
              <w:rPr>
                <w:spacing w:val="-10"/>
                <w:sz w:val="18"/>
              </w:rPr>
              <w:t>$</w:t>
            </w:r>
            <w:r>
              <w:rPr>
                <w:sz w:val="18"/>
              </w:rPr>
              <w:tab/>
            </w:r>
            <w:r>
              <w:rPr>
                <w:spacing w:val="-5"/>
                <w:sz w:val="18"/>
              </w:rPr>
              <w:t>45</w:t>
            </w:r>
          </w:p>
        </w:tc>
        <w:tc>
          <w:tcPr>
            <w:tcW w:w="910" w:type="dxa"/>
          </w:tcPr>
          <w:p>
            <w:pPr>
              <w:pStyle w:val="TableParagraph"/>
              <w:tabs>
                <w:tab w:pos="606" w:val="left" w:leader="none"/>
              </w:tabs>
              <w:spacing w:before="48"/>
              <w:ind w:left="58"/>
              <w:rPr>
                <w:sz w:val="18"/>
              </w:rPr>
            </w:pPr>
            <w:r>
              <w:rPr>
                <w:spacing w:val="-10"/>
                <w:sz w:val="18"/>
              </w:rPr>
              <w:t>$</w:t>
            </w:r>
            <w:r>
              <w:rPr>
                <w:sz w:val="18"/>
              </w:rPr>
              <w:tab/>
            </w:r>
            <w:r>
              <w:rPr>
                <w:spacing w:val="-10"/>
                <w:sz w:val="18"/>
              </w:rPr>
              <w:t>2</w:t>
            </w:r>
          </w:p>
        </w:tc>
        <w:tc>
          <w:tcPr>
            <w:tcW w:w="833" w:type="dxa"/>
          </w:tcPr>
          <w:p>
            <w:pPr>
              <w:pStyle w:val="TableParagraph"/>
              <w:tabs>
                <w:tab w:pos="521" w:val="left" w:leader="none"/>
              </w:tabs>
              <w:spacing w:before="48"/>
              <w:ind w:left="63"/>
              <w:rPr>
                <w:sz w:val="18"/>
              </w:rPr>
            </w:pPr>
            <w:r>
              <w:rPr>
                <w:spacing w:val="-10"/>
                <w:sz w:val="18"/>
              </w:rPr>
              <w:t>$</w:t>
            </w:r>
            <w:r>
              <w:rPr>
                <w:sz w:val="18"/>
              </w:rPr>
              <w:tab/>
            </w:r>
            <w:r>
              <w:rPr>
                <w:spacing w:val="-10"/>
                <w:sz w:val="18"/>
              </w:rPr>
              <w:t>5</w:t>
            </w:r>
          </w:p>
        </w:tc>
        <w:tc>
          <w:tcPr>
            <w:tcW w:w="797" w:type="dxa"/>
          </w:tcPr>
          <w:p>
            <w:pPr>
              <w:pStyle w:val="TableParagraph"/>
              <w:tabs>
                <w:tab w:pos="483" w:val="left" w:leader="none"/>
              </w:tabs>
              <w:spacing w:before="48"/>
              <w:ind w:left="55"/>
              <w:rPr>
                <w:sz w:val="18"/>
              </w:rPr>
            </w:pPr>
            <w:r>
              <w:rPr>
                <w:spacing w:val="-10"/>
                <w:sz w:val="18"/>
              </w:rPr>
              <w:t>$</w:t>
            </w:r>
            <w:r>
              <w:rPr>
                <w:sz w:val="18"/>
              </w:rPr>
              <w:tab/>
            </w:r>
            <w:r>
              <w:rPr>
                <w:spacing w:val="-10"/>
                <w:sz w:val="18"/>
              </w:rPr>
              <w:t>7</w:t>
            </w:r>
          </w:p>
        </w:tc>
      </w:tr>
      <w:tr>
        <w:trPr>
          <w:trHeight w:val="285" w:hRule="atLeast"/>
        </w:trPr>
        <w:tc>
          <w:tcPr>
            <w:tcW w:w="2010" w:type="dxa"/>
            <w:shd w:val="clear" w:color="auto" w:fill="CCEDFF"/>
          </w:tcPr>
          <w:p>
            <w:pPr>
              <w:pStyle w:val="TableParagraph"/>
              <w:spacing w:before="28"/>
              <w:ind w:left="187"/>
              <w:rPr>
                <w:sz w:val="18"/>
              </w:rPr>
            </w:pPr>
            <w:r>
              <w:rPr>
                <w:sz w:val="18"/>
              </w:rPr>
              <w:t>620 – </w:t>
            </w:r>
            <w:r>
              <w:rPr>
                <w:spacing w:val="-5"/>
                <w:sz w:val="18"/>
              </w:rPr>
              <w:t>679</w:t>
            </w:r>
          </w:p>
        </w:tc>
        <w:tc>
          <w:tcPr>
            <w:tcW w:w="4800" w:type="dxa"/>
            <w:shd w:val="clear" w:color="auto" w:fill="CCEDFF"/>
          </w:tcPr>
          <w:p>
            <w:pPr>
              <w:pStyle w:val="TableParagraph"/>
              <w:tabs>
                <w:tab w:pos="1185" w:val="left" w:leader="none"/>
                <w:tab w:pos="2040" w:val="left" w:leader="none"/>
                <w:tab w:pos="2820" w:val="left" w:leader="none"/>
                <w:tab w:pos="3600" w:val="left" w:leader="none"/>
                <w:tab w:pos="4395" w:val="left" w:leader="none"/>
              </w:tabs>
              <w:spacing w:before="28"/>
              <w:ind w:left="390"/>
              <w:rPr>
                <w:sz w:val="18"/>
              </w:rPr>
            </w:pPr>
            <w:r>
              <w:rPr>
                <w:spacing w:val="-5"/>
                <w:sz w:val="18"/>
              </w:rPr>
              <w:t>26</w:t>
            </w:r>
            <w:r>
              <w:rPr>
                <w:sz w:val="18"/>
              </w:rPr>
              <w:tab/>
            </w:r>
            <w:r>
              <w:rPr>
                <w:spacing w:val="-5"/>
                <w:sz w:val="18"/>
              </w:rPr>
              <w:t>68</w:t>
            </w:r>
            <w:r>
              <w:rPr>
                <w:sz w:val="18"/>
              </w:rPr>
              <w:tab/>
            </w:r>
            <w:r>
              <w:rPr>
                <w:spacing w:val="-5"/>
                <w:sz w:val="18"/>
              </w:rPr>
              <w:t>91</w:t>
            </w:r>
            <w:r>
              <w:rPr>
                <w:sz w:val="18"/>
              </w:rPr>
              <w:tab/>
            </w:r>
            <w:r>
              <w:rPr>
                <w:spacing w:val="-5"/>
                <w:sz w:val="18"/>
              </w:rPr>
              <w:t>30</w:t>
            </w:r>
            <w:r>
              <w:rPr>
                <w:sz w:val="18"/>
              </w:rPr>
              <w:tab/>
            </w:r>
            <w:r>
              <w:rPr>
                <w:spacing w:val="-5"/>
                <w:sz w:val="18"/>
              </w:rPr>
              <w:t>11</w:t>
            </w:r>
            <w:r>
              <w:rPr>
                <w:sz w:val="18"/>
              </w:rPr>
              <w:tab/>
            </w:r>
            <w:r>
              <w:rPr>
                <w:spacing w:val="-5"/>
                <w:sz w:val="18"/>
              </w:rPr>
              <w:t>35</w:t>
            </w:r>
          </w:p>
        </w:tc>
        <w:tc>
          <w:tcPr>
            <w:tcW w:w="894" w:type="dxa"/>
            <w:shd w:val="clear" w:color="auto" w:fill="CCEDFF"/>
          </w:tcPr>
          <w:p>
            <w:pPr>
              <w:pStyle w:val="TableParagraph"/>
              <w:spacing w:before="28"/>
              <w:ind w:left="405"/>
              <w:rPr>
                <w:sz w:val="18"/>
              </w:rPr>
            </w:pPr>
            <w:r>
              <w:rPr>
                <w:spacing w:val="-5"/>
                <w:sz w:val="18"/>
              </w:rPr>
              <w:t>261</w:t>
            </w:r>
          </w:p>
        </w:tc>
        <w:tc>
          <w:tcPr>
            <w:tcW w:w="910" w:type="dxa"/>
            <w:shd w:val="clear" w:color="auto" w:fill="CCEDFF"/>
          </w:tcPr>
          <w:p>
            <w:pPr>
              <w:pStyle w:val="TableParagraph"/>
              <w:spacing w:before="28"/>
              <w:ind w:left="606"/>
              <w:rPr>
                <w:sz w:val="18"/>
              </w:rPr>
            </w:pPr>
            <w:r>
              <w:rPr>
                <w:spacing w:val="-10"/>
                <w:sz w:val="18"/>
              </w:rPr>
              <w:t>6</w:t>
            </w:r>
          </w:p>
        </w:tc>
        <w:tc>
          <w:tcPr>
            <w:tcW w:w="833" w:type="dxa"/>
            <w:shd w:val="clear" w:color="auto" w:fill="CCEDFF"/>
          </w:tcPr>
          <w:p>
            <w:pPr>
              <w:pStyle w:val="TableParagraph"/>
              <w:spacing w:before="28"/>
              <w:ind w:left="521"/>
              <w:rPr>
                <w:sz w:val="18"/>
              </w:rPr>
            </w:pPr>
            <w:r>
              <w:rPr>
                <w:spacing w:val="-10"/>
                <w:sz w:val="18"/>
              </w:rPr>
              <w:t>8</w:t>
            </w:r>
          </w:p>
        </w:tc>
        <w:tc>
          <w:tcPr>
            <w:tcW w:w="797" w:type="dxa"/>
            <w:shd w:val="clear" w:color="auto" w:fill="CCEDFF"/>
          </w:tcPr>
          <w:p>
            <w:pPr>
              <w:pStyle w:val="TableParagraph"/>
              <w:spacing w:before="28"/>
              <w:ind w:left="393"/>
              <w:rPr>
                <w:sz w:val="18"/>
              </w:rPr>
            </w:pPr>
            <w:r>
              <w:rPr>
                <w:spacing w:val="-5"/>
                <w:sz w:val="18"/>
              </w:rPr>
              <w:t>14</w:t>
            </w:r>
          </w:p>
        </w:tc>
      </w:tr>
      <w:tr>
        <w:trPr>
          <w:trHeight w:val="285" w:hRule="atLeast"/>
        </w:trPr>
        <w:tc>
          <w:tcPr>
            <w:tcW w:w="2010" w:type="dxa"/>
          </w:tcPr>
          <w:p>
            <w:pPr>
              <w:pStyle w:val="TableParagraph"/>
              <w:spacing w:before="48"/>
              <w:ind w:left="187"/>
              <w:rPr>
                <w:sz w:val="18"/>
              </w:rPr>
            </w:pPr>
            <w:r>
              <w:rPr>
                <w:sz w:val="18"/>
              </w:rPr>
              <w:t>680 – </w:t>
            </w:r>
            <w:r>
              <w:rPr>
                <w:spacing w:val="-5"/>
                <w:sz w:val="18"/>
              </w:rPr>
              <w:t>739</w:t>
            </w:r>
          </w:p>
        </w:tc>
        <w:tc>
          <w:tcPr>
            <w:tcW w:w="4800" w:type="dxa"/>
          </w:tcPr>
          <w:p>
            <w:pPr>
              <w:pStyle w:val="TableParagraph"/>
              <w:tabs>
                <w:tab w:pos="1095" w:val="left" w:leader="none"/>
                <w:tab w:pos="1950" w:val="left" w:leader="none"/>
                <w:tab w:pos="2730" w:val="left" w:leader="none"/>
                <w:tab w:pos="3600" w:val="left" w:leader="none"/>
                <w:tab w:pos="4305" w:val="left" w:leader="none"/>
              </w:tabs>
              <w:spacing w:before="48"/>
              <w:ind w:left="300"/>
              <w:rPr>
                <w:sz w:val="18"/>
              </w:rPr>
            </w:pPr>
            <w:r>
              <w:rPr>
                <w:spacing w:val="-5"/>
                <w:sz w:val="18"/>
              </w:rPr>
              <w:t>259</w:t>
            </w:r>
            <w:r>
              <w:rPr>
                <w:sz w:val="18"/>
              </w:rPr>
              <w:tab/>
            </w:r>
            <w:r>
              <w:rPr>
                <w:spacing w:val="-5"/>
                <w:sz w:val="18"/>
              </w:rPr>
              <w:t>585</w:t>
            </w:r>
            <w:r>
              <w:rPr>
                <w:sz w:val="18"/>
              </w:rPr>
              <w:tab/>
            </w:r>
            <w:r>
              <w:rPr>
                <w:spacing w:val="-5"/>
                <w:sz w:val="18"/>
              </w:rPr>
              <w:t>961</w:t>
            </w:r>
            <w:r>
              <w:rPr>
                <w:sz w:val="18"/>
              </w:rPr>
              <w:tab/>
            </w:r>
            <w:r>
              <w:rPr>
                <w:spacing w:val="-5"/>
                <w:sz w:val="18"/>
              </w:rPr>
              <w:t>329</w:t>
            </w:r>
            <w:r>
              <w:rPr>
                <w:sz w:val="18"/>
              </w:rPr>
              <w:tab/>
            </w:r>
            <w:r>
              <w:rPr>
                <w:spacing w:val="-5"/>
                <w:sz w:val="18"/>
              </w:rPr>
              <w:t>62</w:t>
            </w:r>
            <w:r>
              <w:rPr>
                <w:sz w:val="18"/>
              </w:rPr>
              <w:tab/>
            </w:r>
            <w:r>
              <w:rPr>
                <w:spacing w:val="-5"/>
                <w:sz w:val="18"/>
              </w:rPr>
              <w:t>118</w:t>
            </w:r>
          </w:p>
        </w:tc>
        <w:tc>
          <w:tcPr>
            <w:tcW w:w="894" w:type="dxa"/>
          </w:tcPr>
          <w:p>
            <w:pPr>
              <w:pStyle w:val="TableParagraph"/>
              <w:spacing w:before="48"/>
              <w:ind w:left="270"/>
              <w:rPr>
                <w:sz w:val="18"/>
              </w:rPr>
            </w:pPr>
            <w:r>
              <w:rPr>
                <w:spacing w:val="-2"/>
                <w:sz w:val="18"/>
              </w:rPr>
              <w:t>2,314</w:t>
            </w:r>
          </w:p>
        </w:tc>
        <w:tc>
          <w:tcPr>
            <w:tcW w:w="910" w:type="dxa"/>
          </w:tcPr>
          <w:p>
            <w:pPr>
              <w:pStyle w:val="TableParagraph"/>
              <w:spacing w:before="48"/>
              <w:ind w:left="516"/>
              <w:rPr>
                <w:sz w:val="18"/>
              </w:rPr>
            </w:pPr>
            <w:r>
              <w:rPr>
                <w:spacing w:val="-5"/>
                <w:sz w:val="18"/>
              </w:rPr>
              <w:t>45</w:t>
            </w:r>
          </w:p>
        </w:tc>
        <w:tc>
          <w:tcPr>
            <w:tcW w:w="833" w:type="dxa"/>
          </w:tcPr>
          <w:p>
            <w:pPr>
              <w:pStyle w:val="TableParagraph"/>
              <w:spacing w:before="48"/>
              <w:ind w:left="431"/>
              <w:rPr>
                <w:sz w:val="18"/>
              </w:rPr>
            </w:pPr>
            <w:r>
              <w:rPr>
                <w:spacing w:val="-5"/>
                <w:sz w:val="18"/>
              </w:rPr>
              <w:t>30</w:t>
            </w:r>
          </w:p>
        </w:tc>
        <w:tc>
          <w:tcPr>
            <w:tcW w:w="797" w:type="dxa"/>
          </w:tcPr>
          <w:p>
            <w:pPr>
              <w:pStyle w:val="TableParagraph"/>
              <w:spacing w:before="48"/>
              <w:ind w:left="393"/>
              <w:rPr>
                <w:sz w:val="18"/>
              </w:rPr>
            </w:pPr>
            <w:r>
              <w:rPr>
                <w:spacing w:val="-5"/>
                <w:sz w:val="18"/>
              </w:rPr>
              <w:t>75</w:t>
            </w:r>
          </w:p>
        </w:tc>
      </w:tr>
      <w:tr>
        <w:trPr>
          <w:trHeight w:val="280" w:hRule="atLeast"/>
        </w:trPr>
        <w:tc>
          <w:tcPr>
            <w:tcW w:w="2010" w:type="dxa"/>
            <w:tcBorders>
              <w:bottom w:val="single" w:sz="4" w:space="0" w:color="000000"/>
            </w:tcBorders>
            <w:shd w:val="clear" w:color="auto" w:fill="CCEDFF"/>
          </w:tcPr>
          <w:p>
            <w:pPr>
              <w:pStyle w:val="TableParagraph"/>
              <w:spacing w:before="48"/>
              <w:ind w:left="187"/>
              <w:rPr>
                <w:sz w:val="18"/>
              </w:rPr>
            </w:pPr>
            <w:r>
              <w:rPr>
                <w:spacing w:val="-4"/>
                <w:sz w:val="18"/>
              </w:rPr>
              <w:t>≥740</w:t>
            </w:r>
          </w:p>
        </w:tc>
        <w:tc>
          <w:tcPr>
            <w:tcW w:w="4800" w:type="dxa"/>
            <w:tcBorders>
              <w:bottom w:val="single" w:sz="4" w:space="0" w:color="000000"/>
            </w:tcBorders>
            <w:shd w:val="clear" w:color="auto" w:fill="CCEDFF"/>
          </w:tcPr>
          <w:p>
            <w:pPr>
              <w:pStyle w:val="TableParagraph"/>
              <w:tabs>
                <w:tab w:pos="960" w:val="left" w:leader="none"/>
                <w:tab w:pos="1725" w:val="left" w:leader="none"/>
                <w:tab w:pos="2595" w:val="left" w:leader="none"/>
                <w:tab w:pos="3510" w:val="left" w:leader="none"/>
                <w:tab w:pos="4305" w:val="left" w:leader="none"/>
              </w:tabs>
              <w:spacing w:before="48"/>
              <w:ind w:left="165"/>
              <w:rPr>
                <w:sz w:val="18"/>
              </w:rPr>
            </w:pPr>
            <w:r>
              <w:rPr>
                <w:spacing w:val="-2"/>
                <w:sz w:val="18"/>
              </w:rPr>
              <w:t>1,908</w:t>
            </w:r>
            <w:r>
              <w:rPr>
                <w:sz w:val="18"/>
              </w:rPr>
              <w:tab/>
            </w:r>
            <w:r>
              <w:rPr>
                <w:spacing w:val="-2"/>
                <w:sz w:val="18"/>
              </w:rPr>
              <w:t>5,498</w:t>
            </w:r>
            <w:r>
              <w:rPr>
                <w:sz w:val="18"/>
              </w:rPr>
              <w:tab/>
            </w:r>
            <w:r>
              <w:rPr>
                <w:spacing w:val="-2"/>
                <w:sz w:val="18"/>
              </w:rPr>
              <w:t>10,708</w:t>
            </w:r>
            <w:r>
              <w:rPr>
                <w:sz w:val="18"/>
              </w:rPr>
              <w:tab/>
            </w:r>
            <w:r>
              <w:rPr>
                <w:spacing w:val="-2"/>
                <w:sz w:val="18"/>
              </w:rPr>
              <w:t>3,673</w:t>
            </w:r>
            <w:r>
              <w:rPr>
                <w:sz w:val="18"/>
              </w:rPr>
              <w:tab/>
            </w:r>
            <w:r>
              <w:rPr>
                <w:spacing w:val="-5"/>
                <w:sz w:val="18"/>
              </w:rPr>
              <w:t>795</w:t>
            </w:r>
            <w:r>
              <w:rPr>
                <w:sz w:val="18"/>
              </w:rPr>
              <w:tab/>
            </w:r>
            <w:r>
              <w:rPr>
                <w:spacing w:val="-5"/>
                <w:sz w:val="18"/>
              </w:rPr>
              <w:t>854</w:t>
            </w:r>
          </w:p>
        </w:tc>
        <w:tc>
          <w:tcPr>
            <w:tcW w:w="894" w:type="dxa"/>
            <w:tcBorders>
              <w:bottom w:val="single" w:sz="4" w:space="0" w:color="000000"/>
            </w:tcBorders>
            <w:shd w:val="clear" w:color="auto" w:fill="CCEDFF"/>
          </w:tcPr>
          <w:p>
            <w:pPr>
              <w:pStyle w:val="TableParagraph"/>
              <w:spacing w:before="48"/>
              <w:ind w:left="180"/>
              <w:rPr>
                <w:sz w:val="18"/>
              </w:rPr>
            </w:pPr>
            <w:r>
              <w:rPr>
                <w:spacing w:val="-2"/>
                <w:sz w:val="18"/>
              </w:rPr>
              <w:t>23,436</w:t>
            </w:r>
          </w:p>
        </w:tc>
        <w:tc>
          <w:tcPr>
            <w:tcW w:w="910" w:type="dxa"/>
            <w:tcBorders>
              <w:bottom w:val="single" w:sz="4" w:space="0" w:color="000000"/>
            </w:tcBorders>
            <w:shd w:val="clear" w:color="auto" w:fill="CCEDFF"/>
          </w:tcPr>
          <w:p>
            <w:pPr>
              <w:pStyle w:val="TableParagraph"/>
              <w:spacing w:before="48"/>
              <w:ind w:left="426"/>
              <w:rPr>
                <w:sz w:val="18"/>
              </w:rPr>
            </w:pPr>
            <w:r>
              <w:rPr>
                <w:spacing w:val="-5"/>
                <w:sz w:val="18"/>
              </w:rPr>
              <w:t>264</w:t>
            </w:r>
          </w:p>
        </w:tc>
        <w:tc>
          <w:tcPr>
            <w:tcW w:w="833" w:type="dxa"/>
            <w:tcBorders>
              <w:bottom w:val="single" w:sz="4" w:space="0" w:color="000000"/>
            </w:tcBorders>
            <w:shd w:val="clear" w:color="auto" w:fill="CCEDFF"/>
          </w:tcPr>
          <w:p>
            <w:pPr>
              <w:pStyle w:val="TableParagraph"/>
              <w:spacing w:before="48"/>
              <w:ind w:left="341"/>
              <w:rPr>
                <w:sz w:val="18"/>
              </w:rPr>
            </w:pPr>
            <w:r>
              <w:rPr>
                <w:spacing w:val="-5"/>
                <w:sz w:val="18"/>
              </w:rPr>
              <w:t>133</w:t>
            </w:r>
          </w:p>
        </w:tc>
        <w:tc>
          <w:tcPr>
            <w:tcW w:w="797" w:type="dxa"/>
            <w:tcBorders>
              <w:bottom w:val="single" w:sz="4" w:space="0" w:color="000000"/>
            </w:tcBorders>
            <w:shd w:val="clear" w:color="auto" w:fill="CCEDFF"/>
          </w:tcPr>
          <w:p>
            <w:pPr>
              <w:pStyle w:val="TableParagraph"/>
              <w:spacing w:before="48"/>
              <w:ind w:left="303"/>
              <w:rPr>
                <w:sz w:val="18"/>
              </w:rPr>
            </w:pPr>
            <w:r>
              <w:rPr>
                <w:spacing w:val="-5"/>
                <w:sz w:val="18"/>
              </w:rPr>
              <w:t>397</w:t>
            </w:r>
          </w:p>
        </w:tc>
      </w:tr>
      <w:tr>
        <w:trPr>
          <w:trHeight w:val="250" w:hRule="atLeast"/>
        </w:trPr>
        <w:tc>
          <w:tcPr>
            <w:tcW w:w="2010" w:type="dxa"/>
            <w:tcBorders>
              <w:top w:val="single" w:sz="4" w:space="0" w:color="000000"/>
              <w:bottom w:val="double" w:sz="8" w:space="0" w:color="auto"/>
            </w:tcBorders>
          </w:tcPr>
          <w:p>
            <w:pPr>
              <w:pStyle w:val="TableParagraph"/>
              <w:spacing w:line="187" w:lineRule="exact" w:before="43"/>
              <w:ind w:left="277"/>
              <w:rPr>
                <w:sz w:val="18"/>
              </w:rPr>
            </w:pPr>
            <w:r>
              <w:rPr>
                <w:spacing w:val="-2"/>
                <w:sz w:val="18"/>
              </w:rPr>
              <w:t>Total</w:t>
            </w:r>
          </w:p>
        </w:tc>
        <w:tc>
          <w:tcPr>
            <w:tcW w:w="4800" w:type="dxa"/>
            <w:tcBorders>
              <w:top w:val="single" w:sz="4" w:space="0" w:color="000000"/>
              <w:bottom w:val="double" w:sz="8" w:space="0" w:color="auto"/>
            </w:tcBorders>
          </w:tcPr>
          <w:p>
            <w:pPr>
              <w:pStyle w:val="TableParagraph"/>
              <w:tabs>
                <w:tab w:pos="847" w:val="left" w:leader="none"/>
                <w:tab w:pos="1642" w:val="left" w:leader="none"/>
                <w:tab w:pos="2497" w:val="left" w:leader="none"/>
                <w:tab w:pos="3277" w:val="left" w:leader="none"/>
                <w:tab w:pos="4057" w:val="left" w:leader="none"/>
              </w:tabs>
              <w:spacing w:line="187" w:lineRule="exact" w:before="43"/>
              <w:ind w:left="52"/>
              <w:rPr>
                <w:sz w:val="18"/>
              </w:rPr>
            </w:pPr>
            <w:r>
              <w:rPr>
                <w:sz w:val="18"/>
              </w:rPr>
              <w:t>$</w:t>
            </w:r>
            <w:r>
              <w:rPr>
                <w:spacing w:val="-23"/>
                <w:sz w:val="18"/>
              </w:rPr>
              <w:t> </w:t>
            </w:r>
            <w:r>
              <w:rPr>
                <w:spacing w:val="-4"/>
                <w:sz w:val="18"/>
              </w:rPr>
              <w:t>2,197</w:t>
            </w:r>
            <w:r>
              <w:rPr>
                <w:sz w:val="18"/>
              </w:rPr>
              <w:tab/>
              <w:t>$</w:t>
            </w:r>
            <w:r>
              <w:rPr>
                <w:spacing w:val="-25"/>
                <w:sz w:val="18"/>
              </w:rPr>
              <w:t> </w:t>
            </w:r>
            <w:r>
              <w:rPr>
                <w:spacing w:val="-2"/>
                <w:sz w:val="18"/>
              </w:rPr>
              <w:t>6,161</w:t>
            </w:r>
            <w:r>
              <w:rPr>
                <w:sz w:val="18"/>
              </w:rPr>
              <w:tab/>
            </w:r>
            <w:r>
              <w:rPr>
                <w:spacing w:val="-2"/>
                <w:sz w:val="18"/>
              </w:rPr>
              <w:t>$11,771</w:t>
            </w:r>
            <w:r>
              <w:rPr>
                <w:sz w:val="18"/>
              </w:rPr>
              <w:tab/>
            </w:r>
            <w:r>
              <w:rPr>
                <w:spacing w:val="-2"/>
                <w:sz w:val="18"/>
              </w:rPr>
              <w:t>$4,038</w:t>
            </w:r>
            <w:r>
              <w:rPr>
                <w:sz w:val="18"/>
              </w:rPr>
              <w:tab/>
              <w:t>$</w:t>
            </w:r>
            <w:r>
              <w:rPr>
                <w:spacing w:val="74"/>
                <w:w w:val="150"/>
                <w:sz w:val="18"/>
              </w:rPr>
              <w:t> </w:t>
            </w:r>
            <w:r>
              <w:rPr>
                <w:spacing w:val="-5"/>
                <w:sz w:val="18"/>
              </w:rPr>
              <w:t>870</w:t>
            </w:r>
            <w:r>
              <w:rPr>
                <w:sz w:val="18"/>
              </w:rPr>
              <w:tab/>
              <w:t>$</w:t>
            </w:r>
            <w:r>
              <w:rPr>
                <w:spacing w:val="-25"/>
                <w:sz w:val="18"/>
              </w:rPr>
              <w:t> </w:t>
            </w:r>
            <w:r>
              <w:rPr>
                <w:spacing w:val="-2"/>
                <w:sz w:val="18"/>
              </w:rPr>
              <w:t>1,019</w:t>
            </w:r>
          </w:p>
        </w:tc>
        <w:tc>
          <w:tcPr>
            <w:tcW w:w="894" w:type="dxa"/>
            <w:tcBorders>
              <w:top w:val="single" w:sz="4" w:space="0" w:color="000000"/>
              <w:bottom w:val="double" w:sz="8" w:space="0" w:color="auto"/>
            </w:tcBorders>
          </w:tcPr>
          <w:p>
            <w:pPr>
              <w:pStyle w:val="TableParagraph"/>
              <w:spacing w:line="187" w:lineRule="exact" w:before="43"/>
              <w:ind w:left="52"/>
              <w:rPr>
                <w:sz w:val="18"/>
              </w:rPr>
            </w:pPr>
            <w:r>
              <w:rPr>
                <w:sz w:val="18"/>
              </w:rPr>
              <w:t>$</w:t>
            </w:r>
            <w:r>
              <w:rPr>
                <w:spacing w:val="-8"/>
                <w:sz w:val="18"/>
              </w:rPr>
              <w:t> </w:t>
            </w:r>
            <w:r>
              <w:rPr>
                <w:spacing w:val="-2"/>
                <w:sz w:val="18"/>
              </w:rPr>
              <w:t>26,056</w:t>
            </w:r>
          </w:p>
        </w:tc>
        <w:tc>
          <w:tcPr>
            <w:tcW w:w="910" w:type="dxa"/>
            <w:tcBorders>
              <w:top w:val="single" w:sz="4" w:space="0" w:color="000000"/>
              <w:bottom w:val="double" w:sz="8" w:space="0" w:color="auto"/>
            </w:tcBorders>
          </w:tcPr>
          <w:p>
            <w:pPr>
              <w:pStyle w:val="TableParagraph"/>
              <w:tabs>
                <w:tab w:pos="426" w:val="left" w:leader="none"/>
              </w:tabs>
              <w:spacing w:line="187" w:lineRule="exact" w:before="43"/>
              <w:ind w:left="58"/>
              <w:rPr>
                <w:sz w:val="18"/>
              </w:rPr>
            </w:pPr>
            <w:r>
              <w:rPr>
                <w:spacing w:val="-10"/>
                <w:sz w:val="18"/>
              </w:rPr>
              <w:t>$</w:t>
            </w:r>
            <w:r>
              <w:rPr>
                <w:sz w:val="18"/>
              </w:rPr>
              <w:tab/>
            </w:r>
            <w:r>
              <w:rPr>
                <w:spacing w:val="-5"/>
                <w:sz w:val="18"/>
              </w:rPr>
              <w:t>317</w:t>
            </w:r>
          </w:p>
        </w:tc>
        <w:tc>
          <w:tcPr>
            <w:tcW w:w="833" w:type="dxa"/>
            <w:tcBorders>
              <w:top w:val="single" w:sz="4" w:space="0" w:color="000000"/>
              <w:bottom w:val="double" w:sz="8" w:space="0" w:color="auto"/>
            </w:tcBorders>
          </w:tcPr>
          <w:p>
            <w:pPr>
              <w:pStyle w:val="TableParagraph"/>
              <w:spacing w:line="187" w:lineRule="exact" w:before="43"/>
              <w:ind w:left="63"/>
              <w:rPr>
                <w:sz w:val="18"/>
              </w:rPr>
            </w:pPr>
            <w:r>
              <w:rPr>
                <w:sz w:val="18"/>
              </w:rPr>
              <w:t>$</w:t>
            </w:r>
            <w:r>
              <w:rPr>
                <w:spacing w:val="48"/>
                <w:sz w:val="18"/>
              </w:rPr>
              <w:t>  </w:t>
            </w:r>
            <w:r>
              <w:rPr>
                <w:spacing w:val="-5"/>
                <w:sz w:val="18"/>
              </w:rPr>
              <w:t>176</w:t>
            </w:r>
          </w:p>
        </w:tc>
        <w:tc>
          <w:tcPr>
            <w:tcW w:w="797" w:type="dxa"/>
            <w:tcBorders>
              <w:top w:val="single" w:sz="4" w:space="0" w:color="000000"/>
              <w:bottom w:val="double" w:sz="8" w:space="0" w:color="auto"/>
            </w:tcBorders>
          </w:tcPr>
          <w:p>
            <w:pPr>
              <w:pStyle w:val="TableParagraph"/>
              <w:spacing w:line="187" w:lineRule="exact" w:before="43"/>
              <w:ind w:left="55"/>
              <w:rPr>
                <w:sz w:val="18"/>
              </w:rPr>
            </w:pPr>
            <w:r>
              <w:rPr>
                <w:sz w:val="18"/>
              </w:rPr>
              <w:t>$</w:t>
            </w:r>
            <w:r>
              <w:rPr>
                <w:spacing w:val="33"/>
                <w:sz w:val="18"/>
              </w:rPr>
              <w:t>  </w:t>
            </w:r>
            <w:r>
              <w:rPr>
                <w:spacing w:val="-5"/>
                <w:sz w:val="18"/>
              </w:rPr>
              <w:t>493</w:t>
            </w:r>
          </w:p>
        </w:tc>
      </w:tr>
      <w:tr>
        <w:trPr>
          <w:trHeight w:val="255" w:hRule="atLeast"/>
        </w:trPr>
        <w:tc>
          <w:tcPr>
            <w:tcW w:w="2010" w:type="dxa"/>
            <w:tcBorders>
              <w:top w:val="double" w:sz="8" w:space="0" w:color="CCEDFF"/>
            </w:tcBorders>
            <w:shd w:val="clear" w:color="auto" w:fill="CCEDFF"/>
          </w:tcPr>
          <w:p>
            <w:pPr>
              <w:pStyle w:val="TableParagraph"/>
              <w:spacing w:before="18"/>
              <w:ind w:left="52"/>
              <w:rPr>
                <w:sz w:val="18"/>
              </w:rPr>
            </w:pPr>
            <w:r>
              <w:rPr>
                <w:sz w:val="18"/>
              </w:rPr>
              <w:t>Estimated</w:t>
            </w:r>
            <w:r>
              <w:rPr>
                <w:spacing w:val="-1"/>
                <w:sz w:val="18"/>
              </w:rPr>
              <w:t> </w:t>
            </w:r>
            <w:r>
              <w:rPr>
                <w:sz w:val="18"/>
              </w:rPr>
              <w:t>Current LTV</w:t>
            </w:r>
            <w:r>
              <w:rPr>
                <w:spacing w:val="-2"/>
                <w:sz w:val="18"/>
              </w:rPr>
              <w:t> </w:t>
            </w:r>
            <w:r>
              <w:rPr>
                <w:spacing w:val="-5"/>
                <w:sz w:val="18"/>
                <w:vertAlign w:val="superscript"/>
              </w:rPr>
              <w:t>(1)</w:t>
            </w:r>
          </w:p>
        </w:tc>
        <w:tc>
          <w:tcPr>
            <w:tcW w:w="4800" w:type="dxa"/>
            <w:tcBorders>
              <w:top w:val="double" w:sz="8" w:space="0" w:color="CCEDFF"/>
            </w:tcBorders>
            <w:shd w:val="clear" w:color="auto" w:fill="CCEDFF"/>
          </w:tcPr>
          <w:p>
            <w:pPr>
              <w:pStyle w:val="TableParagraph"/>
              <w:rPr>
                <w:sz w:val="16"/>
              </w:rPr>
            </w:pPr>
          </w:p>
        </w:tc>
        <w:tc>
          <w:tcPr>
            <w:tcW w:w="894" w:type="dxa"/>
            <w:tcBorders>
              <w:top w:val="double" w:sz="8" w:space="0" w:color="CCEDFF"/>
            </w:tcBorders>
            <w:shd w:val="clear" w:color="auto" w:fill="CCEDFF"/>
          </w:tcPr>
          <w:p>
            <w:pPr>
              <w:pStyle w:val="TableParagraph"/>
              <w:rPr>
                <w:sz w:val="16"/>
              </w:rPr>
            </w:pPr>
          </w:p>
        </w:tc>
        <w:tc>
          <w:tcPr>
            <w:tcW w:w="910" w:type="dxa"/>
            <w:tcBorders>
              <w:top w:val="double" w:sz="8" w:space="0" w:color="CCEDFF"/>
            </w:tcBorders>
            <w:shd w:val="clear" w:color="auto" w:fill="CCEDFF"/>
          </w:tcPr>
          <w:p>
            <w:pPr>
              <w:pStyle w:val="TableParagraph"/>
              <w:rPr>
                <w:sz w:val="16"/>
              </w:rPr>
            </w:pPr>
          </w:p>
        </w:tc>
        <w:tc>
          <w:tcPr>
            <w:tcW w:w="833" w:type="dxa"/>
            <w:tcBorders>
              <w:top w:val="double" w:sz="8" w:space="0" w:color="CCEDFF"/>
            </w:tcBorders>
            <w:shd w:val="clear" w:color="auto" w:fill="CCEDFF"/>
          </w:tcPr>
          <w:p>
            <w:pPr>
              <w:pStyle w:val="TableParagraph"/>
              <w:rPr>
                <w:sz w:val="16"/>
              </w:rPr>
            </w:pPr>
          </w:p>
        </w:tc>
        <w:tc>
          <w:tcPr>
            <w:tcW w:w="797" w:type="dxa"/>
            <w:tcBorders>
              <w:top w:val="double" w:sz="8" w:space="0" w:color="CCEDFF"/>
            </w:tcBorders>
            <w:shd w:val="clear" w:color="auto" w:fill="CCEDFF"/>
          </w:tcPr>
          <w:p>
            <w:pPr>
              <w:pStyle w:val="TableParagraph"/>
              <w:rPr>
                <w:sz w:val="16"/>
              </w:rPr>
            </w:pPr>
          </w:p>
        </w:tc>
      </w:tr>
      <w:tr>
        <w:trPr>
          <w:trHeight w:val="285" w:hRule="atLeast"/>
        </w:trPr>
        <w:tc>
          <w:tcPr>
            <w:tcW w:w="2010" w:type="dxa"/>
          </w:tcPr>
          <w:p>
            <w:pPr>
              <w:pStyle w:val="TableParagraph"/>
              <w:spacing w:before="48"/>
              <w:ind w:left="187"/>
              <w:rPr>
                <w:sz w:val="18"/>
              </w:rPr>
            </w:pPr>
            <w:r>
              <w:rPr>
                <w:spacing w:val="-4"/>
                <w:sz w:val="18"/>
              </w:rPr>
              <w:t>≤70%</w:t>
            </w:r>
          </w:p>
        </w:tc>
        <w:tc>
          <w:tcPr>
            <w:tcW w:w="4800" w:type="dxa"/>
          </w:tcPr>
          <w:p>
            <w:pPr>
              <w:pStyle w:val="TableParagraph"/>
              <w:tabs>
                <w:tab w:pos="847" w:val="left" w:leader="none"/>
                <w:tab w:pos="1642" w:val="left" w:leader="none"/>
                <w:tab w:pos="2497" w:val="left" w:leader="none"/>
                <w:tab w:pos="3277" w:val="left" w:leader="none"/>
                <w:tab w:pos="4057" w:val="left" w:leader="none"/>
              </w:tabs>
              <w:spacing w:before="48"/>
              <w:ind w:left="52"/>
              <w:rPr>
                <w:sz w:val="18"/>
              </w:rPr>
            </w:pPr>
            <w:r>
              <w:rPr>
                <w:sz w:val="18"/>
              </w:rPr>
              <w:t>$</w:t>
            </w:r>
            <w:r>
              <w:rPr>
                <w:spacing w:val="-23"/>
                <w:sz w:val="18"/>
              </w:rPr>
              <w:t> </w:t>
            </w:r>
            <w:r>
              <w:rPr>
                <w:spacing w:val="-4"/>
                <w:sz w:val="18"/>
              </w:rPr>
              <w:t>1,517</w:t>
            </w:r>
            <w:r>
              <w:rPr>
                <w:sz w:val="18"/>
              </w:rPr>
              <w:tab/>
              <w:t>$</w:t>
            </w:r>
            <w:r>
              <w:rPr>
                <w:spacing w:val="-25"/>
                <w:sz w:val="18"/>
              </w:rPr>
              <w:t> </w:t>
            </w:r>
            <w:r>
              <w:rPr>
                <w:spacing w:val="-2"/>
                <w:sz w:val="18"/>
              </w:rPr>
              <w:t>4,858</w:t>
            </w:r>
            <w:r>
              <w:rPr>
                <w:sz w:val="18"/>
              </w:rPr>
              <w:tab/>
            </w:r>
            <w:r>
              <w:rPr>
                <w:spacing w:val="-2"/>
                <w:sz w:val="18"/>
              </w:rPr>
              <w:t>$11,511</w:t>
            </w:r>
            <w:r>
              <w:rPr>
                <w:sz w:val="18"/>
              </w:rPr>
              <w:tab/>
            </w:r>
            <w:r>
              <w:rPr>
                <w:spacing w:val="-2"/>
                <w:sz w:val="18"/>
              </w:rPr>
              <w:t>$4,026</w:t>
            </w:r>
            <w:r>
              <w:rPr>
                <w:sz w:val="18"/>
              </w:rPr>
              <w:tab/>
              <w:t>$</w:t>
            </w:r>
            <w:r>
              <w:rPr>
                <w:spacing w:val="74"/>
                <w:w w:val="150"/>
                <w:sz w:val="18"/>
              </w:rPr>
              <w:t> </w:t>
            </w:r>
            <w:r>
              <w:rPr>
                <w:spacing w:val="-5"/>
                <w:sz w:val="18"/>
              </w:rPr>
              <w:t>868</w:t>
            </w:r>
            <w:r>
              <w:rPr>
                <w:sz w:val="18"/>
              </w:rPr>
              <w:tab/>
              <w:t>$</w:t>
            </w:r>
            <w:r>
              <w:rPr>
                <w:spacing w:val="-25"/>
                <w:sz w:val="18"/>
              </w:rPr>
              <w:t> </w:t>
            </w:r>
            <w:r>
              <w:rPr>
                <w:spacing w:val="-2"/>
                <w:sz w:val="18"/>
              </w:rPr>
              <w:t>1,018</w:t>
            </w:r>
          </w:p>
        </w:tc>
        <w:tc>
          <w:tcPr>
            <w:tcW w:w="894" w:type="dxa"/>
          </w:tcPr>
          <w:p>
            <w:pPr>
              <w:pStyle w:val="TableParagraph"/>
              <w:spacing w:before="48"/>
              <w:ind w:left="52"/>
              <w:rPr>
                <w:sz w:val="18"/>
              </w:rPr>
            </w:pPr>
            <w:r>
              <w:rPr>
                <w:sz w:val="18"/>
              </w:rPr>
              <w:t>$</w:t>
            </w:r>
            <w:r>
              <w:rPr>
                <w:spacing w:val="-8"/>
                <w:sz w:val="18"/>
              </w:rPr>
              <w:t> </w:t>
            </w:r>
            <w:r>
              <w:rPr>
                <w:spacing w:val="-2"/>
                <w:sz w:val="18"/>
              </w:rPr>
              <w:t>23,798</w:t>
            </w:r>
          </w:p>
        </w:tc>
        <w:tc>
          <w:tcPr>
            <w:tcW w:w="910" w:type="dxa"/>
          </w:tcPr>
          <w:p>
            <w:pPr>
              <w:pStyle w:val="TableParagraph"/>
              <w:tabs>
                <w:tab w:pos="426" w:val="left" w:leader="none"/>
              </w:tabs>
              <w:spacing w:before="48"/>
              <w:ind w:left="58"/>
              <w:rPr>
                <w:sz w:val="18"/>
              </w:rPr>
            </w:pPr>
            <w:r>
              <w:rPr>
                <w:spacing w:val="-10"/>
                <w:sz w:val="18"/>
              </w:rPr>
              <w:t>$</w:t>
            </w:r>
            <w:r>
              <w:rPr>
                <w:sz w:val="18"/>
              </w:rPr>
              <w:tab/>
            </w:r>
            <w:r>
              <w:rPr>
                <w:spacing w:val="-5"/>
                <w:sz w:val="18"/>
              </w:rPr>
              <w:t>315</w:t>
            </w:r>
          </w:p>
        </w:tc>
        <w:tc>
          <w:tcPr>
            <w:tcW w:w="833" w:type="dxa"/>
          </w:tcPr>
          <w:p>
            <w:pPr>
              <w:pStyle w:val="TableParagraph"/>
              <w:spacing w:before="48"/>
              <w:ind w:left="63"/>
              <w:rPr>
                <w:sz w:val="18"/>
              </w:rPr>
            </w:pPr>
            <w:r>
              <w:rPr>
                <w:sz w:val="18"/>
              </w:rPr>
              <w:t>$</w:t>
            </w:r>
            <w:r>
              <w:rPr>
                <w:spacing w:val="48"/>
                <w:sz w:val="18"/>
              </w:rPr>
              <w:t>  </w:t>
            </w:r>
            <w:r>
              <w:rPr>
                <w:spacing w:val="-5"/>
                <w:sz w:val="18"/>
              </w:rPr>
              <w:t>175</w:t>
            </w:r>
          </w:p>
        </w:tc>
        <w:tc>
          <w:tcPr>
            <w:tcW w:w="797" w:type="dxa"/>
          </w:tcPr>
          <w:p>
            <w:pPr>
              <w:pStyle w:val="TableParagraph"/>
              <w:spacing w:before="48"/>
              <w:ind w:left="55"/>
              <w:rPr>
                <w:sz w:val="18"/>
              </w:rPr>
            </w:pPr>
            <w:r>
              <w:rPr>
                <w:sz w:val="18"/>
              </w:rPr>
              <w:t>$</w:t>
            </w:r>
            <w:r>
              <w:rPr>
                <w:spacing w:val="33"/>
                <w:sz w:val="18"/>
              </w:rPr>
              <w:t>  </w:t>
            </w:r>
            <w:r>
              <w:rPr>
                <w:spacing w:val="-5"/>
                <w:sz w:val="18"/>
              </w:rPr>
              <w:t>490</w:t>
            </w:r>
          </w:p>
        </w:tc>
      </w:tr>
      <w:tr>
        <w:trPr>
          <w:trHeight w:val="285" w:hRule="atLeast"/>
        </w:trPr>
        <w:tc>
          <w:tcPr>
            <w:tcW w:w="2010" w:type="dxa"/>
            <w:shd w:val="clear" w:color="auto" w:fill="CCEDFF"/>
          </w:tcPr>
          <w:p>
            <w:pPr>
              <w:pStyle w:val="TableParagraph"/>
              <w:spacing w:before="48"/>
              <w:ind w:left="187"/>
              <w:rPr>
                <w:sz w:val="18"/>
              </w:rPr>
            </w:pPr>
            <w:r>
              <w:rPr>
                <w:sz w:val="18"/>
              </w:rPr>
              <w:t>&gt;70%</w:t>
            </w:r>
            <w:r>
              <w:rPr>
                <w:spacing w:val="-2"/>
                <w:sz w:val="18"/>
              </w:rPr>
              <w:t> </w:t>
            </w:r>
            <w:r>
              <w:rPr>
                <w:sz w:val="18"/>
              </w:rPr>
              <w:t>– </w:t>
            </w:r>
            <w:r>
              <w:rPr>
                <w:spacing w:val="-4"/>
                <w:sz w:val="18"/>
              </w:rPr>
              <w:t>≤90%</w:t>
            </w:r>
          </w:p>
        </w:tc>
        <w:tc>
          <w:tcPr>
            <w:tcW w:w="4800" w:type="dxa"/>
            <w:shd w:val="clear" w:color="auto" w:fill="CCEDFF"/>
          </w:tcPr>
          <w:p>
            <w:pPr>
              <w:pStyle w:val="TableParagraph"/>
              <w:tabs>
                <w:tab w:pos="960" w:val="left" w:leader="none"/>
                <w:tab w:pos="1950" w:val="left" w:leader="none"/>
                <w:tab w:pos="2820" w:val="left" w:leader="none"/>
                <w:tab w:pos="3690" w:val="left" w:leader="none"/>
                <w:tab w:pos="4485" w:val="left" w:leader="none"/>
              </w:tabs>
              <w:spacing w:before="48"/>
              <w:ind w:left="300"/>
              <w:rPr>
                <w:sz w:val="18"/>
              </w:rPr>
            </w:pPr>
            <w:r>
              <w:rPr>
                <w:spacing w:val="-5"/>
                <w:sz w:val="18"/>
              </w:rPr>
              <w:t>680</w:t>
            </w:r>
            <w:r>
              <w:rPr>
                <w:sz w:val="18"/>
              </w:rPr>
              <w:tab/>
            </w:r>
            <w:r>
              <w:rPr>
                <w:spacing w:val="-2"/>
                <w:sz w:val="18"/>
              </w:rPr>
              <w:t>1,283</w:t>
            </w:r>
            <w:r>
              <w:rPr>
                <w:sz w:val="18"/>
              </w:rPr>
              <w:tab/>
            </w:r>
            <w:r>
              <w:rPr>
                <w:spacing w:val="-5"/>
                <w:sz w:val="18"/>
              </w:rPr>
              <w:t>257</w:t>
            </w:r>
            <w:r>
              <w:rPr>
                <w:sz w:val="18"/>
              </w:rPr>
              <w:tab/>
            </w:r>
            <w:r>
              <w:rPr>
                <w:spacing w:val="-5"/>
                <w:sz w:val="18"/>
              </w:rPr>
              <w:t>12</w:t>
            </w:r>
            <w:r>
              <w:rPr>
                <w:sz w:val="18"/>
              </w:rPr>
              <w:tab/>
            </w:r>
            <w:r>
              <w:rPr>
                <w:spacing w:val="-10"/>
                <w:sz w:val="18"/>
              </w:rPr>
              <w:t>2</w:t>
            </w:r>
            <w:r>
              <w:rPr>
                <w:sz w:val="18"/>
              </w:rPr>
              <w:tab/>
            </w:r>
            <w:r>
              <w:rPr>
                <w:spacing w:val="-10"/>
                <w:sz w:val="18"/>
              </w:rPr>
              <w:t>1</w:t>
            </w:r>
          </w:p>
        </w:tc>
        <w:tc>
          <w:tcPr>
            <w:tcW w:w="894" w:type="dxa"/>
            <w:shd w:val="clear" w:color="auto" w:fill="CCEDFF"/>
          </w:tcPr>
          <w:p>
            <w:pPr>
              <w:pStyle w:val="TableParagraph"/>
              <w:spacing w:before="48"/>
              <w:ind w:left="270"/>
              <w:rPr>
                <w:sz w:val="18"/>
              </w:rPr>
            </w:pPr>
            <w:r>
              <w:rPr>
                <w:spacing w:val="-2"/>
                <w:sz w:val="18"/>
              </w:rPr>
              <w:t>2,235</w:t>
            </w:r>
          </w:p>
        </w:tc>
        <w:tc>
          <w:tcPr>
            <w:tcW w:w="910" w:type="dxa"/>
            <w:shd w:val="clear" w:color="auto" w:fill="CCEDFF"/>
          </w:tcPr>
          <w:p>
            <w:pPr>
              <w:pStyle w:val="TableParagraph"/>
              <w:spacing w:before="48"/>
              <w:ind w:left="606"/>
              <w:rPr>
                <w:sz w:val="18"/>
              </w:rPr>
            </w:pPr>
            <w:r>
              <w:rPr>
                <w:spacing w:val="-10"/>
                <w:sz w:val="18"/>
              </w:rPr>
              <w:t>2</w:t>
            </w:r>
          </w:p>
        </w:tc>
        <w:tc>
          <w:tcPr>
            <w:tcW w:w="833" w:type="dxa"/>
            <w:shd w:val="clear" w:color="auto" w:fill="CCEDFF"/>
          </w:tcPr>
          <w:p>
            <w:pPr>
              <w:pStyle w:val="TableParagraph"/>
              <w:spacing w:before="48"/>
              <w:ind w:left="521"/>
              <w:rPr>
                <w:sz w:val="18"/>
              </w:rPr>
            </w:pPr>
            <w:r>
              <w:rPr>
                <w:spacing w:val="-10"/>
                <w:sz w:val="18"/>
              </w:rPr>
              <w:t>1</w:t>
            </w:r>
          </w:p>
        </w:tc>
        <w:tc>
          <w:tcPr>
            <w:tcW w:w="797" w:type="dxa"/>
            <w:shd w:val="clear" w:color="auto" w:fill="CCEDFF"/>
          </w:tcPr>
          <w:p>
            <w:pPr>
              <w:pStyle w:val="TableParagraph"/>
              <w:spacing w:before="48"/>
              <w:ind w:left="483"/>
              <w:rPr>
                <w:sz w:val="18"/>
              </w:rPr>
            </w:pPr>
            <w:r>
              <w:rPr>
                <w:spacing w:val="-10"/>
                <w:sz w:val="18"/>
              </w:rPr>
              <w:t>3</w:t>
            </w:r>
          </w:p>
        </w:tc>
      </w:tr>
      <w:tr>
        <w:trPr>
          <w:trHeight w:val="285" w:hRule="atLeast"/>
        </w:trPr>
        <w:tc>
          <w:tcPr>
            <w:tcW w:w="2010" w:type="dxa"/>
          </w:tcPr>
          <w:p>
            <w:pPr>
              <w:pStyle w:val="TableParagraph"/>
              <w:spacing w:before="48"/>
              <w:ind w:left="187"/>
              <w:rPr>
                <w:sz w:val="18"/>
              </w:rPr>
            </w:pPr>
            <w:r>
              <w:rPr>
                <w:sz w:val="18"/>
              </w:rPr>
              <w:t>&gt;90% – </w:t>
            </w:r>
            <w:r>
              <w:rPr>
                <w:spacing w:val="-2"/>
                <w:sz w:val="18"/>
              </w:rPr>
              <w:t>≤100%</w:t>
            </w:r>
          </w:p>
        </w:tc>
        <w:tc>
          <w:tcPr>
            <w:tcW w:w="4800" w:type="dxa"/>
          </w:tcPr>
          <w:p>
            <w:pPr>
              <w:pStyle w:val="TableParagraph"/>
              <w:tabs>
                <w:tab w:pos="1185" w:val="left" w:leader="none"/>
                <w:tab w:pos="2130" w:val="left" w:leader="none"/>
                <w:tab w:pos="2820" w:val="left" w:leader="none"/>
                <w:tab w:pos="3600" w:val="left" w:leader="none"/>
                <w:tab w:pos="4395" w:val="left" w:leader="none"/>
              </w:tabs>
              <w:spacing w:before="48"/>
              <w:ind w:left="390"/>
              <w:rPr>
                <w:sz w:val="18"/>
              </w:rPr>
            </w:pPr>
            <w:r>
              <w:rPr>
                <w:spacing w:val="-10"/>
                <w:sz w:val="18"/>
              </w:rPr>
              <w:t>—</w:t>
            </w:r>
            <w:r>
              <w:rPr>
                <w:sz w:val="18"/>
              </w:rPr>
              <w:tab/>
            </w:r>
            <w:r>
              <w:rPr>
                <w:spacing w:val="-5"/>
                <w:sz w:val="18"/>
              </w:rPr>
              <w:t>19</w:t>
            </w:r>
            <w:r>
              <w:rPr>
                <w:sz w:val="18"/>
              </w:rPr>
              <w:tab/>
            </w:r>
            <w:r>
              <w:rPr>
                <w:spacing w:val="-10"/>
                <w:sz w:val="18"/>
              </w:rPr>
              <w:t>3</w:t>
            </w:r>
            <w:r>
              <w:rPr>
                <w:sz w:val="18"/>
              </w:rPr>
              <w:tab/>
            </w:r>
            <w:r>
              <w:rPr>
                <w:spacing w:val="-10"/>
                <w:sz w:val="18"/>
              </w:rPr>
              <w:t>—</w:t>
            </w:r>
            <w:r>
              <w:rPr>
                <w:sz w:val="18"/>
              </w:rPr>
              <w:tab/>
            </w:r>
            <w:r>
              <w:rPr>
                <w:spacing w:val="-10"/>
                <w:sz w:val="18"/>
              </w:rPr>
              <w:t>—</w:t>
            </w:r>
            <w:r>
              <w:rPr>
                <w:sz w:val="18"/>
              </w:rPr>
              <w:tab/>
            </w:r>
            <w:r>
              <w:rPr>
                <w:spacing w:val="-10"/>
                <w:sz w:val="18"/>
              </w:rPr>
              <w:t>—</w:t>
            </w:r>
          </w:p>
        </w:tc>
        <w:tc>
          <w:tcPr>
            <w:tcW w:w="894" w:type="dxa"/>
          </w:tcPr>
          <w:p>
            <w:pPr>
              <w:pStyle w:val="TableParagraph"/>
              <w:spacing w:before="48"/>
              <w:ind w:left="495"/>
              <w:rPr>
                <w:sz w:val="18"/>
              </w:rPr>
            </w:pPr>
            <w:r>
              <w:rPr>
                <w:spacing w:val="-5"/>
                <w:sz w:val="18"/>
              </w:rPr>
              <w:t>22</w:t>
            </w:r>
          </w:p>
        </w:tc>
        <w:tc>
          <w:tcPr>
            <w:tcW w:w="910" w:type="dxa"/>
          </w:tcPr>
          <w:p>
            <w:pPr>
              <w:pStyle w:val="TableParagraph"/>
              <w:spacing w:before="48"/>
              <w:ind w:left="516"/>
              <w:rPr>
                <w:sz w:val="18"/>
              </w:rPr>
            </w:pPr>
            <w:r>
              <w:rPr>
                <w:spacing w:val="-10"/>
                <w:sz w:val="18"/>
              </w:rPr>
              <w:t>—</w:t>
            </w:r>
          </w:p>
        </w:tc>
        <w:tc>
          <w:tcPr>
            <w:tcW w:w="833" w:type="dxa"/>
          </w:tcPr>
          <w:p>
            <w:pPr>
              <w:pStyle w:val="TableParagraph"/>
              <w:spacing w:before="48"/>
              <w:ind w:left="431"/>
              <w:rPr>
                <w:sz w:val="18"/>
              </w:rPr>
            </w:pPr>
            <w:r>
              <w:rPr>
                <w:spacing w:val="-10"/>
                <w:sz w:val="18"/>
              </w:rPr>
              <w:t>—</w:t>
            </w:r>
          </w:p>
        </w:tc>
        <w:tc>
          <w:tcPr>
            <w:tcW w:w="797" w:type="dxa"/>
          </w:tcPr>
          <w:p>
            <w:pPr>
              <w:pStyle w:val="TableParagraph"/>
              <w:spacing w:before="48"/>
              <w:ind w:left="393"/>
              <w:rPr>
                <w:sz w:val="18"/>
              </w:rPr>
            </w:pPr>
            <w:r>
              <w:rPr>
                <w:spacing w:val="-10"/>
                <w:sz w:val="18"/>
              </w:rPr>
              <w:t>—</w:t>
            </w:r>
          </w:p>
        </w:tc>
      </w:tr>
      <w:tr>
        <w:trPr>
          <w:trHeight w:val="280" w:hRule="atLeast"/>
        </w:trPr>
        <w:tc>
          <w:tcPr>
            <w:tcW w:w="2010" w:type="dxa"/>
            <w:tcBorders>
              <w:bottom w:val="single" w:sz="4" w:space="0" w:color="000000"/>
            </w:tcBorders>
            <w:shd w:val="clear" w:color="auto" w:fill="CCEDFF"/>
          </w:tcPr>
          <w:p>
            <w:pPr>
              <w:pStyle w:val="TableParagraph"/>
              <w:spacing w:before="48"/>
              <w:ind w:left="187"/>
              <w:rPr>
                <w:sz w:val="18"/>
              </w:rPr>
            </w:pPr>
            <w:r>
              <w:rPr>
                <w:spacing w:val="-2"/>
                <w:sz w:val="18"/>
              </w:rPr>
              <w:t>&gt;100%</w:t>
            </w:r>
          </w:p>
        </w:tc>
        <w:tc>
          <w:tcPr>
            <w:tcW w:w="4800" w:type="dxa"/>
            <w:tcBorders>
              <w:bottom w:val="single" w:sz="4" w:space="0" w:color="000000"/>
            </w:tcBorders>
            <w:shd w:val="clear" w:color="auto" w:fill="CCEDFF"/>
          </w:tcPr>
          <w:p>
            <w:pPr>
              <w:pStyle w:val="TableParagraph"/>
              <w:tabs>
                <w:tab w:pos="1275" w:val="left" w:leader="none"/>
                <w:tab w:pos="2040" w:val="left" w:leader="none"/>
                <w:tab w:pos="2820" w:val="left" w:leader="none"/>
                <w:tab w:pos="3600" w:val="left" w:leader="none"/>
                <w:tab w:pos="4395" w:val="left" w:leader="none"/>
              </w:tabs>
              <w:spacing w:before="48"/>
              <w:ind w:left="390"/>
              <w:rPr>
                <w:sz w:val="18"/>
              </w:rPr>
            </w:pPr>
            <w:r>
              <w:rPr>
                <w:spacing w:val="-10"/>
                <w:sz w:val="18"/>
              </w:rPr>
              <w:t>—</w:t>
            </w:r>
            <w:r>
              <w:rPr>
                <w:sz w:val="18"/>
              </w:rPr>
              <w:tab/>
            </w:r>
            <w:r>
              <w:rPr>
                <w:spacing w:val="-10"/>
                <w:sz w:val="18"/>
              </w:rPr>
              <w:t>1</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p>
        </w:tc>
        <w:tc>
          <w:tcPr>
            <w:tcW w:w="894" w:type="dxa"/>
            <w:tcBorders>
              <w:bottom w:val="single" w:sz="4" w:space="0" w:color="000000"/>
            </w:tcBorders>
            <w:shd w:val="clear" w:color="auto" w:fill="CCEDFF"/>
          </w:tcPr>
          <w:p>
            <w:pPr>
              <w:pStyle w:val="TableParagraph"/>
              <w:spacing w:before="48"/>
              <w:ind w:left="585"/>
              <w:rPr>
                <w:sz w:val="18"/>
              </w:rPr>
            </w:pPr>
            <w:r>
              <w:rPr>
                <w:spacing w:val="-10"/>
                <w:sz w:val="18"/>
              </w:rPr>
              <w:t>1</w:t>
            </w:r>
          </w:p>
        </w:tc>
        <w:tc>
          <w:tcPr>
            <w:tcW w:w="910" w:type="dxa"/>
            <w:tcBorders>
              <w:bottom w:val="single" w:sz="4" w:space="0" w:color="000000"/>
            </w:tcBorders>
            <w:shd w:val="clear" w:color="auto" w:fill="CCEDFF"/>
          </w:tcPr>
          <w:p>
            <w:pPr>
              <w:pStyle w:val="TableParagraph"/>
              <w:spacing w:before="48"/>
              <w:ind w:left="516"/>
              <w:rPr>
                <w:sz w:val="18"/>
              </w:rPr>
            </w:pPr>
            <w:r>
              <w:rPr>
                <w:spacing w:val="-10"/>
                <w:sz w:val="18"/>
              </w:rPr>
              <w:t>—</w:t>
            </w:r>
          </w:p>
        </w:tc>
        <w:tc>
          <w:tcPr>
            <w:tcW w:w="833" w:type="dxa"/>
            <w:tcBorders>
              <w:bottom w:val="single" w:sz="4" w:space="0" w:color="000000"/>
            </w:tcBorders>
            <w:shd w:val="clear" w:color="auto" w:fill="CCEDFF"/>
          </w:tcPr>
          <w:p>
            <w:pPr>
              <w:pStyle w:val="TableParagraph"/>
              <w:spacing w:before="48"/>
              <w:ind w:left="431"/>
              <w:rPr>
                <w:sz w:val="18"/>
              </w:rPr>
            </w:pPr>
            <w:r>
              <w:rPr>
                <w:spacing w:val="-10"/>
                <w:sz w:val="18"/>
              </w:rPr>
              <w:t>—</w:t>
            </w:r>
          </w:p>
        </w:tc>
        <w:tc>
          <w:tcPr>
            <w:tcW w:w="797" w:type="dxa"/>
            <w:tcBorders>
              <w:bottom w:val="single" w:sz="4" w:space="0" w:color="000000"/>
            </w:tcBorders>
            <w:shd w:val="clear" w:color="auto" w:fill="CCEDFF"/>
          </w:tcPr>
          <w:p>
            <w:pPr>
              <w:pStyle w:val="TableParagraph"/>
              <w:spacing w:before="48"/>
              <w:ind w:left="393"/>
              <w:rPr>
                <w:sz w:val="18"/>
              </w:rPr>
            </w:pPr>
            <w:r>
              <w:rPr>
                <w:spacing w:val="-10"/>
                <w:sz w:val="18"/>
              </w:rPr>
              <w:t>—</w:t>
            </w:r>
          </w:p>
        </w:tc>
      </w:tr>
      <w:tr>
        <w:trPr>
          <w:trHeight w:val="250" w:hRule="atLeast"/>
        </w:trPr>
        <w:tc>
          <w:tcPr>
            <w:tcW w:w="2010" w:type="dxa"/>
            <w:tcBorders>
              <w:top w:val="single" w:sz="4" w:space="0" w:color="000000"/>
              <w:bottom w:val="double" w:sz="8" w:space="0" w:color="auto"/>
            </w:tcBorders>
          </w:tcPr>
          <w:p>
            <w:pPr>
              <w:pStyle w:val="TableParagraph"/>
              <w:spacing w:line="187" w:lineRule="exact" w:before="43"/>
              <w:ind w:left="292"/>
              <w:rPr>
                <w:sz w:val="18"/>
              </w:rPr>
            </w:pPr>
            <w:r>
              <w:rPr>
                <w:spacing w:val="-2"/>
                <w:sz w:val="18"/>
              </w:rPr>
              <w:t>Total</w:t>
            </w:r>
          </w:p>
        </w:tc>
        <w:tc>
          <w:tcPr>
            <w:tcW w:w="4800" w:type="dxa"/>
            <w:tcBorders>
              <w:top w:val="single" w:sz="4" w:space="0" w:color="000000"/>
              <w:bottom w:val="double" w:sz="8" w:space="0" w:color="auto"/>
            </w:tcBorders>
          </w:tcPr>
          <w:p>
            <w:pPr>
              <w:pStyle w:val="TableParagraph"/>
              <w:tabs>
                <w:tab w:pos="847" w:val="left" w:leader="none"/>
                <w:tab w:pos="1642" w:val="left" w:leader="none"/>
                <w:tab w:pos="2497" w:val="left" w:leader="none"/>
                <w:tab w:pos="3277" w:val="left" w:leader="none"/>
                <w:tab w:pos="4057" w:val="left" w:leader="none"/>
              </w:tabs>
              <w:spacing w:line="187" w:lineRule="exact" w:before="43"/>
              <w:ind w:left="52"/>
              <w:rPr>
                <w:sz w:val="18"/>
              </w:rPr>
            </w:pPr>
            <w:r>
              <w:rPr>
                <w:sz w:val="18"/>
              </w:rPr>
              <w:t>$</w:t>
            </w:r>
            <w:r>
              <w:rPr>
                <w:spacing w:val="-23"/>
                <w:sz w:val="18"/>
              </w:rPr>
              <w:t> </w:t>
            </w:r>
            <w:r>
              <w:rPr>
                <w:spacing w:val="-4"/>
                <w:sz w:val="18"/>
              </w:rPr>
              <w:t>2,197</w:t>
            </w:r>
            <w:r>
              <w:rPr>
                <w:sz w:val="18"/>
              </w:rPr>
              <w:tab/>
              <w:t>$</w:t>
            </w:r>
            <w:r>
              <w:rPr>
                <w:spacing w:val="-25"/>
                <w:sz w:val="18"/>
              </w:rPr>
              <w:t> </w:t>
            </w:r>
            <w:r>
              <w:rPr>
                <w:spacing w:val="-2"/>
                <w:sz w:val="18"/>
              </w:rPr>
              <w:t>6,161</w:t>
            </w:r>
            <w:r>
              <w:rPr>
                <w:sz w:val="18"/>
              </w:rPr>
              <w:tab/>
            </w:r>
            <w:r>
              <w:rPr>
                <w:spacing w:val="-2"/>
                <w:sz w:val="18"/>
              </w:rPr>
              <w:t>$11,771</w:t>
            </w:r>
            <w:r>
              <w:rPr>
                <w:sz w:val="18"/>
              </w:rPr>
              <w:tab/>
            </w:r>
            <w:r>
              <w:rPr>
                <w:spacing w:val="-2"/>
                <w:sz w:val="18"/>
              </w:rPr>
              <w:t>$4,038</w:t>
            </w:r>
            <w:r>
              <w:rPr>
                <w:sz w:val="18"/>
              </w:rPr>
              <w:tab/>
              <w:t>$</w:t>
            </w:r>
            <w:r>
              <w:rPr>
                <w:spacing w:val="74"/>
                <w:w w:val="150"/>
                <w:sz w:val="18"/>
              </w:rPr>
              <w:t> </w:t>
            </w:r>
            <w:r>
              <w:rPr>
                <w:spacing w:val="-5"/>
                <w:sz w:val="18"/>
              </w:rPr>
              <w:t>870</w:t>
            </w:r>
            <w:r>
              <w:rPr>
                <w:sz w:val="18"/>
              </w:rPr>
              <w:tab/>
              <w:t>$</w:t>
            </w:r>
            <w:r>
              <w:rPr>
                <w:spacing w:val="-25"/>
                <w:sz w:val="18"/>
              </w:rPr>
              <w:t> </w:t>
            </w:r>
            <w:r>
              <w:rPr>
                <w:spacing w:val="-2"/>
                <w:sz w:val="18"/>
              </w:rPr>
              <w:t>1,019</w:t>
            </w:r>
          </w:p>
        </w:tc>
        <w:tc>
          <w:tcPr>
            <w:tcW w:w="894" w:type="dxa"/>
            <w:tcBorders>
              <w:top w:val="single" w:sz="4" w:space="0" w:color="000000"/>
              <w:bottom w:val="double" w:sz="8" w:space="0" w:color="auto"/>
            </w:tcBorders>
          </w:tcPr>
          <w:p>
            <w:pPr>
              <w:pStyle w:val="TableParagraph"/>
              <w:spacing w:line="187" w:lineRule="exact" w:before="43"/>
              <w:ind w:left="52"/>
              <w:rPr>
                <w:sz w:val="18"/>
              </w:rPr>
            </w:pPr>
            <w:r>
              <w:rPr>
                <w:sz w:val="18"/>
              </w:rPr>
              <w:t>$</w:t>
            </w:r>
            <w:r>
              <w:rPr>
                <w:spacing w:val="-8"/>
                <w:sz w:val="18"/>
              </w:rPr>
              <w:t> </w:t>
            </w:r>
            <w:r>
              <w:rPr>
                <w:spacing w:val="-2"/>
                <w:sz w:val="18"/>
              </w:rPr>
              <w:t>26,056</w:t>
            </w:r>
          </w:p>
        </w:tc>
        <w:tc>
          <w:tcPr>
            <w:tcW w:w="910" w:type="dxa"/>
            <w:tcBorders>
              <w:top w:val="single" w:sz="4" w:space="0" w:color="000000"/>
              <w:bottom w:val="double" w:sz="8" w:space="0" w:color="auto"/>
            </w:tcBorders>
          </w:tcPr>
          <w:p>
            <w:pPr>
              <w:pStyle w:val="TableParagraph"/>
              <w:tabs>
                <w:tab w:pos="426" w:val="left" w:leader="none"/>
              </w:tabs>
              <w:spacing w:line="187" w:lineRule="exact" w:before="43"/>
              <w:ind w:left="58"/>
              <w:rPr>
                <w:sz w:val="18"/>
              </w:rPr>
            </w:pPr>
            <w:r>
              <w:rPr>
                <w:spacing w:val="-10"/>
                <w:sz w:val="18"/>
              </w:rPr>
              <w:t>$</w:t>
            </w:r>
            <w:r>
              <w:rPr>
                <w:sz w:val="18"/>
              </w:rPr>
              <w:tab/>
            </w:r>
            <w:r>
              <w:rPr>
                <w:spacing w:val="-5"/>
                <w:sz w:val="18"/>
              </w:rPr>
              <w:t>317</w:t>
            </w:r>
          </w:p>
        </w:tc>
        <w:tc>
          <w:tcPr>
            <w:tcW w:w="833" w:type="dxa"/>
            <w:tcBorders>
              <w:top w:val="single" w:sz="4" w:space="0" w:color="000000"/>
              <w:bottom w:val="double" w:sz="8" w:space="0" w:color="auto"/>
            </w:tcBorders>
          </w:tcPr>
          <w:p>
            <w:pPr>
              <w:pStyle w:val="TableParagraph"/>
              <w:spacing w:line="187" w:lineRule="exact" w:before="43"/>
              <w:ind w:left="63"/>
              <w:rPr>
                <w:sz w:val="18"/>
              </w:rPr>
            </w:pPr>
            <w:r>
              <w:rPr>
                <w:sz w:val="18"/>
              </w:rPr>
              <w:t>$</w:t>
            </w:r>
            <w:r>
              <w:rPr>
                <w:spacing w:val="48"/>
                <w:sz w:val="18"/>
              </w:rPr>
              <w:t>  </w:t>
            </w:r>
            <w:r>
              <w:rPr>
                <w:spacing w:val="-5"/>
                <w:sz w:val="18"/>
              </w:rPr>
              <w:t>176</w:t>
            </w:r>
          </w:p>
        </w:tc>
        <w:tc>
          <w:tcPr>
            <w:tcW w:w="797" w:type="dxa"/>
            <w:tcBorders>
              <w:top w:val="single" w:sz="4" w:space="0" w:color="000000"/>
              <w:bottom w:val="double" w:sz="8" w:space="0" w:color="auto"/>
            </w:tcBorders>
          </w:tcPr>
          <w:p>
            <w:pPr>
              <w:pStyle w:val="TableParagraph"/>
              <w:spacing w:line="187" w:lineRule="exact" w:before="43"/>
              <w:ind w:left="55"/>
              <w:rPr>
                <w:sz w:val="18"/>
              </w:rPr>
            </w:pPr>
            <w:r>
              <w:rPr>
                <w:sz w:val="18"/>
              </w:rPr>
              <w:t>$</w:t>
            </w:r>
            <w:r>
              <w:rPr>
                <w:spacing w:val="33"/>
                <w:sz w:val="18"/>
              </w:rPr>
              <w:t>  </w:t>
            </w:r>
            <w:r>
              <w:rPr>
                <w:spacing w:val="-5"/>
                <w:sz w:val="18"/>
              </w:rPr>
              <w:t>493</w:t>
            </w:r>
          </w:p>
        </w:tc>
      </w:tr>
      <w:tr>
        <w:trPr>
          <w:trHeight w:val="225" w:hRule="atLeast"/>
        </w:trPr>
        <w:tc>
          <w:tcPr>
            <w:tcW w:w="2010" w:type="dxa"/>
            <w:tcBorders>
              <w:top w:val="double" w:sz="8" w:space="0" w:color="CCEDFF"/>
              <w:bottom w:val="double" w:sz="8" w:space="0" w:color="000000"/>
            </w:tcBorders>
            <w:shd w:val="clear" w:color="auto" w:fill="CCEDFF"/>
          </w:tcPr>
          <w:p>
            <w:pPr>
              <w:pStyle w:val="TableParagraph"/>
              <w:spacing w:line="187" w:lineRule="exact" w:before="18"/>
              <w:ind w:left="52"/>
              <w:rPr>
                <w:sz w:val="18"/>
              </w:rPr>
            </w:pPr>
            <w:r>
              <w:rPr>
                <w:sz w:val="18"/>
              </w:rPr>
              <w:t>Gross</w:t>
            </w:r>
            <w:r>
              <w:rPr>
                <w:spacing w:val="-3"/>
                <w:sz w:val="18"/>
              </w:rPr>
              <w:t> </w:t>
            </w:r>
            <w:r>
              <w:rPr>
                <w:sz w:val="18"/>
              </w:rPr>
              <w:t>charge-</w:t>
            </w:r>
            <w:r>
              <w:rPr>
                <w:spacing w:val="-4"/>
                <w:sz w:val="18"/>
              </w:rPr>
              <w:t>offs</w:t>
            </w:r>
          </w:p>
        </w:tc>
        <w:tc>
          <w:tcPr>
            <w:tcW w:w="4800" w:type="dxa"/>
            <w:tcBorders>
              <w:top w:val="double" w:sz="8" w:space="0" w:color="CCEDFF"/>
              <w:bottom w:val="double" w:sz="8" w:space="0" w:color="000000"/>
            </w:tcBorders>
            <w:shd w:val="clear" w:color="auto" w:fill="CCEDFF"/>
          </w:tcPr>
          <w:p>
            <w:pPr>
              <w:pStyle w:val="TableParagraph"/>
              <w:tabs>
                <w:tab w:pos="390" w:val="left" w:leader="none"/>
                <w:tab w:pos="847" w:val="left" w:leader="none"/>
                <w:tab w:pos="1185" w:val="left" w:leader="none"/>
                <w:tab w:pos="1642" w:val="left" w:leader="none"/>
                <w:tab w:pos="2040" w:val="left" w:leader="none"/>
                <w:tab w:pos="2497" w:val="left" w:leader="none"/>
                <w:tab w:pos="2820" w:val="left" w:leader="none"/>
                <w:tab w:pos="3277" w:val="left" w:leader="none"/>
                <w:tab w:pos="3600" w:val="left" w:leader="none"/>
                <w:tab w:pos="4057" w:val="left" w:leader="none"/>
                <w:tab w:pos="4395" w:val="left" w:leader="none"/>
              </w:tabs>
              <w:spacing w:line="187" w:lineRule="exact" w:before="18"/>
              <w:ind w:left="52"/>
              <w:rPr>
                <w:sz w:val="18"/>
              </w:rPr>
            </w:pP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p>
        </w:tc>
        <w:tc>
          <w:tcPr>
            <w:tcW w:w="894" w:type="dxa"/>
            <w:tcBorders>
              <w:top w:val="double" w:sz="8" w:space="0" w:color="CCEDFF"/>
              <w:bottom w:val="double" w:sz="8" w:space="0" w:color="000000"/>
            </w:tcBorders>
            <w:shd w:val="clear" w:color="auto" w:fill="CCEDFF"/>
          </w:tcPr>
          <w:p>
            <w:pPr>
              <w:pStyle w:val="TableParagraph"/>
              <w:tabs>
                <w:tab w:pos="495" w:val="left" w:leader="none"/>
              </w:tabs>
              <w:spacing w:line="187" w:lineRule="exact" w:before="18"/>
              <w:ind w:left="52"/>
              <w:rPr>
                <w:sz w:val="18"/>
              </w:rPr>
            </w:pPr>
            <w:r>
              <w:rPr>
                <w:spacing w:val="-10"/>
                <w:sz w:val="18"/>
              </w:rPr>
              <w:t>$</w:t>
            </w:r>
            <w:r>
              <w:rPr>
                <w:sz w:val="18"/>
              </w:rPr>
              <w:tab/>
            </w:r>
            <w:r>
              <w:rPr>
                <w:spacing w:val="-10"/>
                <w:sz w:val="18"/>
              </w:rPr>
              <w:t>—</w:t>
            </w:r>
          </w:p>
        </w:tc>
        <w:tc>
          <w:tcPr>
            <w:tcW w:w="910" w:type="dxa"/>
            <w:tcBorders>
              <w:top w:val="double" w:sz="8" w:space="0" w:color="CCEDFF"/>
              <w:bottom w:val="double" w:sz="8" w:space="0" w:color="000000"/>
            </w:tcBorders>
            <w:shd w:val="clear" w:color="auto" w:fill="CCEDFF"/>
          </w:tcPr>
          <w:p>
            <w:pPr>
              <w:pStyle w:val="TableParagraph"/>
              <w:tabs>
                <w:tab w:pos="516" w:val="left" w:leader="none"/>
              </w:tabs>
              <w:spacing w:line="187" w:lineRule="exact" w:before="18"/>
              <w:ind w:left="58"/>
              <w:rPr>
                <w:sz w:val="18"/>
              </w:rPr>
            </w:pPr>
            <w:r>
              <w:rPr>
                <w:spacing w:val="-10"/>
                <w:sz w:val="18"/>
              </w:rPr>
              <w:t>$</w:t>
            </w:r>
            <w:r>
              <w:rPr>
                <w:sz w:val="18"/>
              </w:rPr>
              <w:tab/>
            </w:r>
            <w:r>
              <w:rPr>
                <w:spacing w:val="-10"/>
                <w:sz w:val="18"/>
              </w:rPr>
              <w:t>—</w:t>
            </w:r>
          </w:p>
        </w:tc>
        <w:tc>
          <w:tcPr>
            <w:tcW w:w="833" w:type="dxa"/>
            <w:tcBorders>
              <w:top w:val="double" w:sz="8" w:space="0" w:color="CCEDFF"/>
              <w:bottom w:val="double" w:sz="8" w:space="0" w:color="000000"/>
            </w:tcBorders>
            <w:shd w:val="clear" w:color="auto" w:fill="CCEDFF"/>
          </w:tcPr>
          <w:p>
            <w:pPr>
              <w:pStyle w:val="TableParagraph"/>
              <w:tabs>
                <w:tab w:pos="431" w:val="left" w:leader="none"/>
              </w:tabs>
              <w:spacing w:line="187" w:lineRule="exact" w:before="18"/>
              <w:ind w:left="63"/>
              <w:rPr>
                <w:sz w:val="18"/>
              </w:rPr>
            </w:pPr>
            <w:r>
              <w:rPr>
                <w:spacing w:val="-10"/>
                <w:sz w:val="18"/>
              </w:rPr>
              <w:t>$</w:t>
            </w:r>
            <w:r>
              <w:rPr>
                <w:sz w:val="18"/>
              </w:rPr>
              <w:tab/>
            </w:r>
            <w:r>
              <w:rPr>
                <w:spacing w:val="-10"/>
                <w:sz w:val="18"/>
              </w:rPr>
              <w:t>—</w:t>
            </w:r>
          </w:p>
        </w:tc>
        <w:tc>
          <w:tcPr>
            <w:tcW w:w="797" w:type="dxa"/>
            <w:tcBorders>
              <w:top w:val="double" w:sz="8" w:space="0" w:color="CCEDFF"/>
              <w:bottom w:val="double" w:sz="8" w:space="0" w:color="000000"/>
            </w:tcBorders>
            <w:shd w:val="clear" w:color="auto" w:fill="CCEDFF"/>
          </w:tcPr>
          <w:p>
            <w:pPr>
              <w:pStyle w:val="TableParagraph"/>
              <w:tabs>
                <w:tab w:pos="393" w:val="left" w:leader="none"/>
              </w:tabs>
              <w:spacing w:line="187" w:lineRule="exact" w:before="18"/>
              <w:ind w:left="55"/>
              <w:rPr>
                <w:sz w:val="18"/>
              </w:rPr>
            </w:pPr>
            <w:r>
              <w:rPr>
                <w:spacing w:val="-10"/>
                <w:sz w:val="18"/>
              </w:rPr>
              <w:t>$</w:t>
            </w:r>
            <w:r>
              <w:rPr>
                <w:sz w:val="18"/>
              </w:rPr>
              <w:tab/>
            </w:r>
            <w:r>
              <w:rPr>
                <w:spacing w:val="-10"/>
                <w:sz w:val="18"/>
              </w:rPr>
              <w:t>—</w:t>
            </w:r>
          </w:p>
        </w:tc>
      </w:tr>
      <w:tr>
        <w:trPr>
          <w:trHeight w:val="375" w:hRule="atLeast"/>
        </w:trPr>
        <w:tc>
          <w:tcPr>
            <w:tcW w:w="2010" w:type="dxa"/>
            <w:tcBorders>
              <w:top w:val="double" w:sz="8" w:space="0" w:color="000000"/>
              <w:bottom w:val="double" w:sz="8" w:space="0" w:color="000000"/>
            </w:tcBorders>
          </w:tcPr>
          <w:p>
            <w:pPr>
              <w:pStyle w:val="TableParagraph"/>
              <w:spacing w:line="180" w:lineRule="exact"/>
              <w:ind w:left="142" w:hanging="90"/>
              <w:rPr>
                <w:sz w:val="18"/>
              </w:rPr>
            </w:pPr>
            <w:r>
              <w:rPr>
                <w:sz w:val="18"/>
              </w:rPr>
              <w:t>Percent</w:t>
            </w:r>
            <w:r>
              <w:rPr>
                <w:spacing w:val="-12"/>
                <w:sz w:val="18"/>
              </w:rPr>
              <w:t> </w:t>
            </w:r>
            <w:r>
              <w:rPr>
                <w:sz w:val="18"/>
              </w:rPr>
              <w:t>of</w:t>
            </w:r>
            <w:r>
              <w:rPr>
                <w:spacing w:val="-11"/>
                <w:sz w:val="18"/>
              </w:rPr>
              <w:t> </w:t>
            </w:r>
            <w:r>
              <w:rPr>
                <w:sz w:val="18"/>
              </w:rPr>
              <w:t>Loans</w:t>
            </w:r>
            <w:r>
              <w:rPr>
                <w:spacing w:val="-11"/>
                <w:sz w:val="18"/>
              </w:rPr>
              <w:t> </w:t>
            </w:r>
            <w:r>
              <w:rPr>
                <w:sz w:val="18"/>
              </w:rPr>
              <w:t>on Nonaccrual</w:t>
            </w:r>
            <w:r>
              <w:rPr>
                <w:spacing w:val="-1"/>
                <w:sz w:val="18"/>
              </w:rPr>
              <w:t> </w:t>
            </w:r>
            <w:r>
              <w:rPr>
                <w:spacing w:val="-2"/>
                <w:sz w:val="18"/>
              </w:rPr>
              <w:t>Status</w:t>
            </w:r>
          </w:p>
        </w:tc>
        <w:tc>
          <w:tcPr>
            <w:tcW w:w="4800" w:type="dxa"/>
            <w:tcBorders>
              <w:top w:val="double" w:sz="8" w:space="0" w:color="000000"/>
              <w:bottom w:val="double" w:sz="8" w:space="0" w:color="000000"/>
            </w:tcBorders>
          </w:tcPr>
          <w:p>
            <w:pPr>
              <w:pStyle w:val="TableParagraph"/>
              <w:tabs>
                <w:tab w:pos="794" w:val="left" w:leader="none"/>
                <w:tab w:pos="1649" w:val="left" w:leader="none"/>
                <w:tab w:pos="2429" w:val="left" w:leader="none"/>
                <w:tab w:pos="3209" w:val="left" w:leader="none"/>
                <w:tab w:pos="4004" w:val="left" w:leader="none"/>
              </w:tabs>
              <w:spacing w:line="187" w:lineRule="exact" w:before="168"/>
              <w:ind w:right="72"/>
              <w:jc w:val="right"/>
              <w:rPr>
                <w:sz w:val="18"/>
              </w:rPr>
            </w:pPr>
            <w:r>
              <w:rPr>
                <w:spacing w:val="-2"/>
                <w:sz w:val="18"/>
              </w:rPr>
              <w:t>0.01%</w:t>
            </w:r>
            <w:r>
              <w:rPr>
                <w:sz w:val="18"/>
              </w:rPr>
              <w:tab/>
            </w:r>
            <w:r>
              <w:rPr>
                <w:spacing w:val="-2"/>
                <w:sz w:val="18"/>
              </w:rPr>
              <w:t>0.03%</w:t>
            </w:r>
            <w:r>
              <w:rPr>
                <w:sz w:val="18"/>
              </w:rPr>
              <w:tab/>
            </w:r>
            <w:r>
              <w:rPr>
                <w:spacing w:val="-2"/>
                <w:sz w:val="18"/>
              </w:rPr>
              <w:t>0.02%</w:t>
            </w:r>
            <w:r>
              <w:rPr>
                <w:sz w:val="18"/>
              </w:rPr>
              <w:tab/>
            </w:r>
            <w:r>
              <w:rPr>
                <w:spacing w:val="-2"/>
                <w:sz w:val="18"/>
              </w:rPr>
              <w:t>0.01%</w:t>
            </w:r>
            <w:r>
              <w:rPr>
                <w:sz w:val="18"/>
              </w:rPr>
              <w:tab/>
            </w:r>
            <w:r>
              <w:rPr>
                <w:spacing w:val="-2"/>
                <w:sz w:val="18"/>
              </w:rPr>
              <w:t>0.01%</w:t>
            </w:r>
            <w:r>
              <w:rPr>
                <w:sz w:val="18"/>
              </w:rPr>
              <w:tab/>
            </w:r>
            <w:r>
              <w:rPr>
                <w:spacing w:val="-2"/>
                <w:sz w:val="18"/>
              </w:rPr>
              <w:t>0.33%</w:t>
            </w:r>
          </w:p>
        </w:tc>
        <w:tc>
          <w:tcPr>
            <w:tcW w:w="894" w:type="dxa"/>
            <w:tcBorders>
              <w:top w:val="double" w:sz="8" w:space="0" w:color="000000"/>
              <w:bottom w:val="double" w:sz="8" w:space="0" w:color="000000"/>
            </w:tcBorders>
          </w:tcPr>
          <w:p>
            <w:pPr>
              <w:pStyle w:val="TableParagraph"/>
              <w:spacing w:line="187" w:lineRule="exact" w:before="168"/>
              <w:ind w:left="360"/>
              <w:rPr>
                <w:sz w:val="18"/>
              </w:rPr>
            </w:pPr>
            <w:r>
              <w:rPr>
                <w:spacing w:val="-2"/>
                <w:sz w:val="18"/>
              </w:rPr>
              <w:t>0.03%</w:t>
            </w:r>
          </w:p>
        </w:tc>
        <w:tc>
          <w:tcPr>
            <w:tcW w:w="910" w:type="dxa"/>
            <w:tcBorders>
              <w:top w:val="double" w:sz="8" w:space="0" w:color="000000"/>
              <w:bottom w:val="double" w:sz="8" w:space="0" w:color="000000"/>
            </w:tcBorders>
          </w:tcPr>
          <w:p>
            <w:pPr>
              <w:pStyle w:val="TableParagraph"/>
              <w:spacing w:line="187" w:lineRule="exact" w:before="168"/>
              <w:ind w:left="381"/>
              <w:rPr>
                <w:sz w:val="18"/>
              </w:rPr>
            </w:pPr>
            <w:r>
              <w:rPr>
                <w:spacing w:val="-2"/>
                <w:sz w:val="18"/>
              </w:rPr>
              <w:t>0.28%</w:t>
            </w:r>
          </w:p>
        </w:tc>
        <w:tc>
          <w:tcPr>
            <w:tcW w:w="833" w:type="dxa"/>
            <w:tcBorders>
              <w:top w:val="double" w:sz="8" w:space="0" w:color="000000"/>
              <w:bottom w:val="double" w:sz="8" w:space="0" w:color="000000"/>
            </w:tcBorders>
          </w:tcPr>
          <w:p>
            <w:pPr>
              <w:pStyle w:val="TableParagraph"/>
              <w:spacing w:line="187" w:lineRule="exact" w:before="168"/>
              <w:ind w:left="296"/>
              <w:rPr>
                <w:sz w:val="18"/>
              </w:rPr>
            </w:pPr>
            <w:r>
              <w:rPr>
                <w:spacing w:val="-2"/>
                <w:sz w:val="18"/>
              </w:rPr>
              <w:t>2.03%</w:t>
            </w:r>
          </w:p>
        </w:tc>
        <w:tc>
          <w:tcPr>
            <w:tcW w:w="797" w:type="dxa"/>
            <w:tcBorders>
              <w:top w:val="double" w:sz="8" w:space="0" w:color="000000"/>
              <w:bottom w:val="double" w:sz="8" w:space="0" w:color="000000"/>
            </w:tcBorders>
          </w:tcPr>
          <w:p>
            <w:pPr>
              <w:pStyle w:val="TableParagraph"/>
              <w:spacing w:line="187" w:lineRule="exact" w:before="168"/>
              <w:ind w:left="258"/>
              <w:rPr>
                <w:sz w:val="18"/>
              </w:rPr>
            </w:pPr>
            <w:r>
              <w:rPr>
                <w:spacing w:val="-2"/>
                <w:sz w:val="18"/>
              </w:rPr>
              <w:t>1.01%</w:t>
            </w:r>
          </w:p>
        </w:tc>
      </w:tr>
    </w:tbl>
    <w:p>
      <w:pPr>
        <w:spacing w:before="32"/>
        <w:ind w:left="470" w:right="0" w:firstLine="0"/>
        <w:jc w:val="left"/>
        <w:rPr>
          <w:sz w:val="16"/>
        </w:rPr>
      </w:pPr>
      <w:r>
        <w:rPr>
          <w:sz w:val="16"/>
          <w:vertAlign w:val="superscript"/>
        </w:rPr>
        <w:t>(1)</w:t>
      </w:r>
      <w:r>
        <w:rPr>
          <w:spacing w:val="-15"/>
          <w:sz w:val="16"/>
          <w:vertAlign w:val="baseline"/>
        </w:rPr>
        <w:t> </w:t>
      </w:r>
      <w:r>
        <w:rPr>
          <w:sz w:val="16"/>
          <w:vertAlign w:val="baseline"/>
        </w:rPr>
        <w:t>Represents</w:t>
      </w:r>
      <w:r>
        <w:rPr>
          <w:spacing w:val="-1"/>
          <w:sz w:val="16"/>
          <w:vertAlign w:val="baseline"/>
        </w:rPr>
        <w:t> </w:t>
      </w:r>
      <w:r>
        <w:rPr>
          <w:sz w:val="16"/>
          <w:vertAlign w:val="baseline"/>
        </w:rPr>
        <w:t>the LTV for the full line</w:t>
      </w:r>
      <w:r>
        <w:rPr>
          <w:spacing w:val="1"/>
          <w:sz w:val="16"/>
          <w:vertAlign w:val="baseline"/>
        </w:rPr>
        <w:t> </w:t>
      </w:r>
      <w:r>
        <w:rPr>
          <w:sz w:val="16"/>
          <w:vertAlign w:val="baseline"/>
        </w:rPr>
        <w:t>of credit (drawn</w:t>
      </w:r>
      <w:r>
        <w:rPr>
          <w:spacing w:val="1"/>
          <w:sz w:val="16"/>
          <w:vertAlign w:val="baseline"/>
        </w:rPr>
        <w:t> </w:t>
      </w:r>
      <w:r>
        <w:rPr>
          <w:sz w:val="16"/>
          <w:vertAlign w:val="baseline"/>
        </w:rPr>
        <w:t>and undrawn) for</w:t>
      </w:r>
      <w:r>
        <w:rPr>
          <w:spacing w:val="1"/>
          <w:sz w:val="16"/>
          <w:vertAlign w:val="baseline"/>
        </w:rPr>
        <w:t> </w:t>
      </w:r>
      <w:r>
        <w:rPr>
          <w:sz w:val="16"/>
          <w:vertAlign w:val="baseline"/>
        </w:rPr>
        <w:t>revolving </w:t>
      </w:r>
      <w:r>
        <w:rPr>
          <w:spacing w:val="-2"/>
          <w:sz w:val="16"/>
          <w:vertAlign w:val="baseline"/>
        </w:rPr>
        <w:t>HELOCs.</w:t>
      </w:r>
    </w:p>
    <w:p>
      <w:pPr>
        <w:spacing w:after="0"/>
        <w:jc w:val="left"/>
        <w:rPr>
          <w:sz w:val="16"/>
        </w:rPr>
        <w:sectPr>
          <w:pgSz w:w="12240" w:h="15840"/>
          <w:pgMar w:header="227" w:footer="201" w:top="1080" w:bottom="400" w:left="520" w:right="520"/>
        </w:sectPr>
      </w:pPr>
    </w:p>
    <w:p>
      <w:pPr>
        <w:pStyle w:val="BodyText"/>
        <w:spacing w:before="27"/>
      </w:pPr>
    </w:p>
    <w:p>
      <w:pPr>
        <w:pStyle w:val="BodyText"/>
        <w:spacing w:line="20" w:lineRule="exact"/>
        <w:ind w:left="465"/>
        <w:rPr>
          <w:sz w:val="2"/>
        </w:rPr>
      </w:pPr>
      <w:r>
        <w:rPr>
          <w:sz w:val="2"/>
        </w:rPr>
        <mc:AlternateContent>
          <mc:Choice Requires="wps">
            <w:drawing>
              <wp:inline distT="0" distB="0" distL="0" distR="0">
                <wp:extent cx="6515100" cy="6350"/>
                <wp:effectExtent l="9525" t="0" r="0" b="3175"/>
                <wp:docPr id="358" name="Group 358"/>
                <wp:cNvGraphicFramePr>
                  <a:graphicFrameLocks/>
                </wp:cNvGraphicFramePr>
                <a:graphic>
                  <a:graphicData uri="http://schemas.microsoft.com/office/word/2010/wordprocessingGroup">
                    <wpg:wgp>
                      <wpg:cNvPr id="358" name="Group 358"/>
                      <wpg:cNvGrpSpPr/>
                      <wpg:grpSpPr>
                        <a:xfrm>
                          <a:off x="0" y="0"/>
                          <a:ext cx="6515100" cy="6350"/>
                          <a:chExt cx="6515100" cy="6350"/>
                        </a:xfrm>
                      </wpg:grpSpPr>
                      <wps:wsp>
                        <wps:cNvPr id="359" name="Graphic 359"/>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360" name="Graphic 360"/>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3pt;height:.5pt;mso-position-horizontal-relative:char;mso-position-vertical-relative:line" id="docshapegroup246" coordorigin="0,0" coordsize="10260,10">
                <v:shape style="position:absolute;left:0;top:5;width:10260;height:2" id="docshape247" coordorigin="0,5" coordsize="10260,0" path="m10260,5l0,5e" filled="true" fillcolor="#000000" stroked="false">
                  <v:path arrowok="t"/>
                  <v:fill opacity="0f" type="solid"/>
                </v:shape>
                <v:line style="position:absolute" from="0,5" to="10260,5" stroked="true" strokeweight=".5pt" strokecolor="#000000">
                  <v:stroke dashstyle="solid"/>
                </v:line>
              </v:group>
            </w:pict>
          </mc:Fallback>
        </mc:AlternateContent>
      </w:r>
      <w:r>
        <w:rPr>
          <w:sz w:val="2"/>
        </w:rPr>
      </w:r>
    </w:p>
    <w:p>
      <w:pPr>
        <w:spacing w:before="3" w:after="30"/>
        <w:ind w:left="2561" w:right="0" w:firstLine="0"/>
        <w:jc w:val="left"/>
        <w:rPr>
          <w:sz w:val="18"/>
        </w:rPr>
      </w:pPr>
      <w:r>
        <w:rPr>
          <w:sz w:val="18"/>
        </w:rPr>
        <w:t>First</w:t>
      </w:r>
      <w:r>
        <w:rPr>
          <w:spacing w:val="-1"/>
          <w:sz w:val="18"/>
        </w:rPr>
        <w:t> </w:t>
      </w:r>
      <w:r>
        <w:rPr>
          <w:sz w:val="18"/>
        </w:rPr>
        <w:t>Mortgages</w:t>
      </w:r>
      <w:r>
        <w:rPr>
          <w:spacing w:val="-2"/>
          <w:sz w:val="18"/>
        </w:rPr>
        <w:t> </w:t>
      </w:r>
      <w:r>
        <w:rPr>
          <w:sz w:val="18"/>
        </w:rPr>
        <w:t>Amortized</w:t>
      </w:r>
      <w:r>
        <w:rPr>
          <w:spacing w:val="-1"/>
          <w:sz w:val="18"/>
        </w:rPr>
        <w:t> </w:t>
      </w:r>
      <w:r>
        <w:rPr>
          <w:sz w:val="18"/>
        </w:rPr>
        <w:t>Cost</w:t>
      </w:r>
      <w:r>
        <w:rPr>
          <w:spacing w:val="-1"/>
          <w:sz w:val="18"/>
        </w:rPr>
        <w:t> </w:t>
      </w:r>
      <w:r>
        <w:rPr>
          <w:sz w:val="18"/>
        </w:rPr>
        <w:t>Basis</w:t>
      </w:r>
      <w:r>
        <w:rPr>
          <w:spacing w:val="-2"/>
          <w:sz w:val="18"/>
        </w:rPr>
        <w:t> </w:t>
      </w:r>
      <w:r>
        <w:rPr>
          <w:sz w:val="18"/>
        </w:rPr>
        <w:t>by</w:t>
      </w:r>
      <w:r>
        <w:rPr>
          <w:spacing w:val="-1"/>
          <w:sz w:val="18"/>
        </w:rPr>
        <w:t> </w:t>
      </w:r>
      <w:r>
        <w:rPr>
          <w:sz w:val="18"/>
        </w:rPr>
        <w:t>Origination</w:t>
      </w:r>
      <w:r>
        <w:rPr>
          <w:spacing w:val="-1"/>
          <w:sz w:val="18"/>
        </w:rPr>
        <w:t> </w:t>
      </w:r>
      <w:r>
        <w:rPr>
          <w:spacing w:val="-4"/>
          <w:sz w:val="18"/>
        </w:rPr>
        <w:t>Year</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0"/>
        <w:gridCol w:w="4425"/>
        <w:gridCol w:w="949"/>
        <w:gridCol w:w="1020"/>
        <w:gridCol w:w="960"/>
        <w:gridCol w:w="896"/>
      </w:tblGrid>
      <w:tr>
        <w:trPr>
          <w:trHeight w:val="570" w:hRule="atLeast"/>
        </w:trPr>
        <w:tc>
          <w:tcPr>
            <w:tcW w:w="2010" w:type="dxa"/>
          </w:tcPr>
          <w:p>
            <w:pPr>
              <w:pStyle w:val="TableParagraph"/>
              <w:rPr>
                <w:sz w:val="18"/>
              </w:rPr>
            </w:pPr>
          </w:p>
        </w:tc>
        <w:tc>
          <w:tcPr>
            <w:tcW w:w="4425" w:type="dxa"/>
            <w:tcBorders>
              <w:top w:val="single" w:sz="4" w:space="0" w:color="000000"/>
            </w:tcBorders>
          </w:tcPr>
          <w:p>
            <w:pPr>
              <w:pStyle w:val="TableParagraph"/>
              <w:rPr>
                <w:sz w:val="18"/>
              </w:rPr>
            </w:pPr>
          </w:p>
        </w:tc>
        <w:tc>
          <w:tcPr>
            <w:tcW w:w="949" w:type="dxa"/>
          </w:tcPr>
          <w:p>
            <w:pPr>
              <w:pStyle w:val="TableParagraph"/>
              <w:spacing w:before="166"/>
              <w:rPr>
                <w:sz w:val="18"/>
              </w:rPr>
            </w:pPr>
          </w:p>
          <w:p>
            <w:pPr>
              <w:pStyle w:val="TableParagraph"/>
              <w:spacing w:line="177" w:lineRule="exact"/>
              <w:ind w:right="89"/>
              <w:jc w:val="right"/>
              <w:rPr>
                <w:sz w:val="18"/>
              </w:rPr>
            </w:pPr>
            <w:r>
              <w:rPr>
                <w:sz w:val="18"/>
              </w:rPr>
              <w:t>Total </w:t>
            </w:r>
            <w:r>
              <w:rPr>
                <w:spacing w:val="-2"/>
                <w:sz w:val="18"/>
              </w:rPr>
              <w:t>First</w:t>
            </w:r>
          </w:p>
        </w:tc>
        <w:tc>
          <w:tcPr>
            <w:tcW w:w="1020" w:type="dxa"/>
          </w:tcPr>
          <w:p>
            <w:pPr>
              <w:pStyle w:val="TableParagraph"/>
              <w:spacing w:line="208" w:lineRule="auto" w:before="35"/>
              <w:ind w:left="186" w:hanging="41"/>
              <w:rPr>
                <w:sz w:val="18"/>
              </w:rPr>
            </w:pPr>
            <w:r>
              <w:rPr>
                <w:spacing w:val="-2"/>
                <w:sz w:val="18"/>
              </w:rPr>
              <w:t>Revolving HELOCs</w:t>
            </w:r>
          </w:p>
          <w:p>
            <w:pPr>
              <w:pStyle w:val="TableParagraph"/>
              <w:spacing w:line="155" w:lineRule="exact"/>
              <w:ind w:left="161"/>
              <w:rPr>
                <w:sz w:val="18"/>
              </w:rPr>
            </w:pPr>
            <w:r>
              <w:rPr>
                <w:spacing w:val="-2"/>
                <w:sz w:val="18"/>
              </w:rPr>
              <w:t>amortized</w:t>
            </w:r>
          </w:p>
        </w:tc>
        <w:tc>
          <w:tcPr>
            <w:tcW w:w="960" w:type="dxa"/>
          </w:tcPr>
          <w:p>
            <w:pPr>
              <w:pStyle w:val="TableParagraph"/>
              <w:spacing w:line="193" w:lineRule="exact" w:before="13"/>
              <w:ind w:left="156"/>
              <w:rPr>
                <w:sz w:val="18"/>
              </w:rPr>
            </w:pPr>
            <w:r>
              <w:rPr>
                <w:spacing w:val="-2"/>
                <w:sz w:val="18"/>
              </w:rPr>
              <w:t>HELOCs</w:t>
            </w:r>
          </w:p>
          <w:p>
            <w:pPr>
              <w:pStyle w:val="TableParagraph"/>
              <w:spacing w:line="180" w:lineRule="exact"/>
              <w:ind w:left="233" w:right="13" w:hanging="98"/>
              <w:rPr>
                <w:sz w:val="18"/>
              </w:rPr>
            </w:pPr>
            <w:r>
              <w:rPr>
                <w:spacing w:val="-2"/>
                <w:sz w:val="18"/>
              </w:rPr>
              <w:t>converted </w:t>
            </w:r>
            <w:r>
              <w:rPr>
                <w:sz w:val="18"/>
              </w:rPr>
              <w:t>to term</w:t>
            </w:r>
          </w:p>
        </w:tc>
        <w:tc>
          <w:tcPr>
            <w:tcW w:w="896" w:type="dxa"/>
          </w:tcPr>
          <w:p>
            <w:pPr>
              <w:pStyle w:val="TableParagraph"/>
              <w:spacing w:before="166"/>
              <w:rPr>
                <w:sz w:val="18"/>
              </w:rPr>
            </w:pPr>
          </w:p>
          <w:p>
            <w:pPr>
              <w:pStyle w:val="TableParagraph"/>
              <w:spacing w:line="177" w:lineRule="exact"/>
              <w:ind w:left="263"/>
              <w:rPr>
                <w:sz w:val="18"/>
              </w:rPr>
            </w:pPr>
            <w:r>
              <w:rPr>
                <w:spacing w:val="-2"/>
                <w:sz w:val="18"/>
              </w:rPr>
              <w:t>Total</w:t>
            </w:r>
          </w:p>
        </w:tc>
      </w:tr>
      <w:tr>
        <w:trPr>
          <w:trHeight w:val="214" w:hRule="atLeast"/>
        </w:trPr>
        <w:tc>
          <w:tcPr>
            <w:tcW w:w="2010" w:type="dxa"/>
            <w:tcBorders>
              <w:bottom w:val="single" w:sz="4" w:space="0" w:color="000000"/>
            </w:tcBorders>
          </w:tcPr>
          <w:p>
            <w:pPr>
              <w:pStyle w:val="TableParagraph"/>
              <w:spacing w:line="190" w:lineRule="exact"/>
              <w:ind w:left="52"/>
              <w:rPr>
                <w:sz w:val="18"/>
              </w:rPr>
            </w:pPr>
            <w:r>
              <w:rPr>
                <w:sz w:val="18"/>
              </w:rPr>
              <w:t>December</w:t>
            </w:r>
            <w:r>
              <w:rPr>
                <w:spacing w:val="-1"/>
                <w:sz w:val="18"/>
              </w:rPr>
              <w:t> </w:t>
            </w:r>
            <w:r>
              <w:rPr>
                <w:sz w:val="18"/>
              </w:rPr>
              <w:t>31, </w:t>
            </w:r>
            <w:r>
              <w:rPr>
                <w:spacing w:val="-4"/>
                <w:sz w:val="18"/>
              </w:rPr>
              <w:t>2022</w:t>
            </w:r>
          </w:p>
        </w:tc>
        <w:tc>
          <w:tcPr>
            <w:tcW w:w="4425" w:type="dxa"/>
            <w:tcBorders>
              <w:bottom w:val="single" w:sz="4" w:space="0" w:color="000000"/>
            </w:tcBorders>
          </w:tcPr>
          <w:p>
            <w:pPr>
              <w:pStyle w:val="TableParagraph"/>
              <w:tabs>
                <w:tab w:pos="884" w:val="left" w:leader="none"/>
                <w:tab w:pos="1769" w:val="left" w:leader="none"/>
                <w:tab w:pos="2654" w:val="left" w:leader="none"/>
                <w:tab w:pos="3395" w:val="left" w:leader="none"/>
              </w:tabs>
              <w:spacing w:line="190" w:lineRule="exact"/>
              <w:ind w:right="115"/>
              <w:jc w:val="right"/>
              <w:rPr>
                <w:sz w:val="18"/>
              </w:rPr>
            </w:pPr>
            <w:r>
              <w:rPr>
                <w:spacing w:val="-4"/>
                <w:sz w:val="18"/>
              </w:rPr>
              <w:t>2022</w:t>
            </w:r>
            <w:r>
              <w:rPr>
                <w:sz w:val="18"/>
              </w:rPr>
              <w:tab/>
            </w:r>
            <w:r>
              <w:rPr>
                <w:spacing w:val="-4"/>
                <w:sz w:val="18"/>
              </w:rPr>
              <w:t>2021</w:t>
            </w:r>
            <w:r>
              <w:rPr>
                <w:sz w:val="18"/>
              </w:rPr>
              <w:tab/>
            </w:r>
            <w:r>
              <w:rPr>
                <w:spacing w:val="-4"/>
                <w:sz w:val="18"/>
              </w:rPr>
              <w:t>2020</w:t>
            </w:r>
            <w:r>
              <w:rPr>
                <w:sz w:val="18"/>
              </w:rPr>
              <w:tab/>
            </w:r>
            <w:r>
              <w:rPr>
                <w:spacing w:val="-4"/>
                <w:sz w:val="18"/>
              </w:rPr>
              <w:t>2019</w:t>
            </w:r>
            <w:r>
              <w:rPr>
                <w:sz w:val="18"/>
              </w:rPr>
              <w:tab/>
              <w:t>pre-</w:t>
            </w:r>
            <w:r>
              <w:rPr>
                <w:spacing w:val="-4"/>
                <w:sz w:val="18"/>
              </w:rPr>
              <w:t>2019</w:t>
            </w:r>
          </w:p>
        </w:tc>
        <w:tc>
          <w:tcPr>
            <w:tcW w:w="949" w:type="dxa"/>
            <w:tcBorders>
              <w:bottom w:val="single" w:sz="4" w:space="0" w:color="000000"/>
            </w:tcBorders>
          </w:tcPr>
          <w:p>
            <w:pPr>
              <w:pStyle w:val="TableParagraph"/>
              <w:spacing w:line="190" w:lineRule="exact"/>
              <w:ind w:right="81"/>
              <w:jc w:val="right"/>
              <w:rPr>
                <w:sz w:val="18"/>
              </w:rPr>
            </w:pPr>
            <w:r>
              <w:rPr>
                <w:spacing w:val="-2"/>
                <w:sz w:val="18"/>
              </w:rPr>
              <w:t>Mortgages</w:t>
            </w:r>
          </w:p>
        </w:tc>
        <w:tc>
          <w:tcPr>
            <w:tcW w:w="1020" w:type="dxa"/>
            <w:tcBorders>
              <w:bottom w:val="single" w:sz="4" w:space="0" w:color="000000"/>
            </w:tcBorders>
          </w:tcPr>
          <w:p>
            <w:pPr>
              <w:pStyle w:val="TableParagraph"/>
              <w:spacing w:line="190" w:lineRule="exact"/>
              <w:ind w:left="173"/>
              <w:rPr>
                <w:sz w:val="18"/>
              </w:rPr>
            </w:pPr>
            <w:r>
              <w:rPr>
                <w:sz w:val="18"/>
              </w:rPr>
              <w:t>cost</w:t>
            </w:r>
            <w:r>
              <w:rPr>
                <w:spacing w:val="-1"/>
                <w:sz w:val="18"/>
              </w:rPr>
              <w:t> </w:t>
            </w:r>
            <w:r>
              <w:rPr>
                <w:spacing w:val="-2"/>
                <w:sz w:val="18"/>
              </w:rPr>
              <w:t>basis</w:t>
            </w:r>
          </w:p>
        </w:tc>
        <w:tc>
          <w:tcPr>
            <w:tcW w:w="960" w:type="dxa"/>
            <w:tcBorders>
              <w:bottom w:val="single" w:sz="4" w:space="0" w:color="000000"/>
            </w:tcBorders>
          </w:tcPr>
          <w:p>
            <w:pPr>
              <w:pStyle w:val="TableParagraph"/>
              <w:spacing w:line="190" w:lineRule="exact"/>
              <w:ind w:left="301"/>
              <w:rPr>
                <w:sz w:val="18"/>
              </w:rPr>
            </w:pPr>
            <w:r>
              <w:rPr>
                <w:spacing w:val="-2"/>
                <w:sz w:val="18"/>
              </w:rPr>
              <w:t>loans</w:t>
            </w:r>
          </w:p>
        </w:tc>
        <w:tc>
          <w:tcPr>
            <w:tcW w:w="896" w:type="dxa"/>
            <w:tcBorders>
              <w:bottom w:val="single" w:sz="4" w:space="0" w:color="000000"/>
            </w:tcBorders>
          </w:tcPr>
          <w:p>
            <w:pPr>
              <w:pStyle w:val="TableParagraph"/>
              <w:spacing w:line="190" w:lineRule="exact"/>
              <w:ind w:left="118"/>
              <w:rPr>
                <w:sz w:val="18"/>
              </w:rPr>
            </w:pPr>
            <w:r>
              <w:rPr>
                <w:spacing w:val="-2"/>
                <w:sz w:val="18"/>
              </w:rPr>
              <w:t>HELOCs</w:t>
            </w:r>
          </w:p>
        </w:tc>
      </w:tr>
      <w:tr>
        <w:trPr>
          <w:trHeight w:val="250" w:hRule="atLeast"/>
        </w:trPr>
        <w:tc>
          <w:tcPr>
            <w:tcW w:w="2010" w:type="dxa"/>
            <w:tcBorders>
              <w:top w:val="single" w:sz="4" w:space="0" w:color="000000"/>
            </w:tcBorders>
          </w:tcPr>
          <w:p>
            <w:pPr>
              <w:pStyle w:val="TableParagraph"/>
              <w:spacing w:before="13"/>
              <w:ind w:left="52"/>
              <w:rPr>
                <w:sz w:val="18"/>
              </w:rPr>
            </w:pPr>
            <w:r>
              <w:rPr>
                <w:sz w:val="18"/>
              </w:rPr>
              <w:t>Origination</w:t>
            </w:r>
            <w:r>
              <w:rPr>
                <w:spacing w:val="-3"/>
                <w:sz w:val="18"/>
              </w:rPr>
              <w:t> </w:t>
            </w:r>
            <w:r>
              <w:rPr>
                <w:spacing w:val="-4"/>
                <w:sz w:val="18"/>
              </w:rPr>
              <w:t>FICO</w:t>
            </w:r>
          </w:p>
        </w:tc>
        <w:tc>
          <w:tcPr>
            <w:tcW w:w="4425" w:type="dxa"/>
            <w:tcBorders>
              <w:top w:val="single" w:sz="4" w:space="0" w:color="000000"/>
            </w:tcBorders>
          </w:tcPr>
          <w:p>
            <w:pPr>
              <w:pStyle w:val="TableParagraph"/>
              <w:rPr>
                <w:sz w:val="18"/>
              </w:rPr>
            </w:pPr>
          </w:p>
        </w:tc>
        <w:tc>
          <w:tcPr>
            <w:tcW w:w="949" w:type="dxa"/>
            <w:tcBorders>
              <w:top w:val="single" w:sz="4" w:space="0" w:color="000000"/>
            </w:tcBorders>
          </w:tcPr>
          <w:p>
            <w:pPr>
              <w:pStyle w:val="TableParagraph"/>
              <w:rPr>
                <w:sz w:val="18"/>
              </w:rPr>
            </w:pPr>
          </w:p>
        </w:tc>
        <w:tc>
          <w:tcPr>
            <w:tcW w:w="1020" w:type="dxa"/>
            <w:tcBorders>
              <w:top w:val="single" w:sz="4" w:space="0" w:color="000000"/>
            </w:tcBorders>
          </w:tcPr>
          <w:p>
            <w:pPr>
              <w:pStyle w:val="TableParagraph"/>
              <w:rPr>
                <w:sz w:val="18"/>
              </w:rPr>
            </w:pPr>
          </w:p>
        </w:tc>
        <w:tc>
          <w:tcPr>
            <w:tcW w:w="960" w:type="dxa"/>
            <w:tcBorders>
              <w:top w:val="single" w:sz="4" w:space="0" w:color="000000"/>
            </w:tcBorders>
          </w:tcPr>
          <w:p>
            <w:pPr>
              <w:pStyle w:val="TableParagraph"/>
              <w:rPr>
                <w:sz w:val="18"/>
              </w:rPr>
            </w:pPr>
          </w:p>
        </w:tc>
        <w:tc>
          <w:tcPr>
            <w:tcW w:w="896" w:type="dxa"/>
            <w:tcBorders>
              <w:top w:val="single" w:sz="4" w:space="0" w:color="000000"/>
            </w:tcBorders>
          </w:tcPr>
          <w:p>
            <w:pPr>
              <w:pStyle w:val="TableParagraph"/>
              <w:rPr>
                <w:sz w:val="18"/>
              </w:rPr>
            </w:pPr>
          </w:p>
        </w:tc>
      </w:tr>
      <w:tr>
        <w:trPr>
          <w:trHeight w:val="255" w:hRule="atLeast"/>
        </w:trPr>
        <w:tc>
          <w:tcPr>
            <w:tcW w:w="2010" w:type="dxa"/>
            <w:shd w:val="clear" w:color="auto" w:fill="CCEDFF"/>
          </w:tcPr>
          <w:p>
            <w:pPr>
              <w:pStyle w:val="TableParagraph"/>
              <w:spacing w:before="18"/>
              <w:ind w:left="187"/>
              <w:rPr>
                <w:sz w:val="18"/>
              </w:rPr>
            </w:pPr>
            <w:r>
              <w:rPr>
                <w:spacing w:val="-4"/>
                <w:sz w:val="18"/>
              </w:rPr>
              <w:t>&lt;620</w:t>
            </w:r>
          </w:p>
        </w:tc>
        <w:tc>
          <w:tcPr>
            <w:tcW w:w="4425" w:type="dxa"/>
            <w:shd w:val="clear" w:color="auto" w:fill="CCEDFF"/>
          </w:tcPr>
          <w:p>
            <w:pPr>
              <w:pStyle w:val="TableParagraph"/>
              <w:tabs>
                <w:tab w:pos="570" w:val="left" w:leader="none"/>
                <w:tab w:pos="937" w:val="left" w:leader="none"/>
                <w:tab w:pos="1455" w:val="left" w:leader="none"/>
                <w:tab w:pos="1822" w:val="left" w:leader="none"/>
                <w:tab w:pos="2250" w:val="left" w:leader="none"/>
                <w:tab w:pos="2707" w:val="left" w:leader="none"/>
                <w:tab w:pos="3135" w:val="left" w:leader="none"/>
                <w:tab w:pos="3592" w:val="left" w:leader="none"/>
                <w:tab w:pos="4110" w:val="left" w:leader="none"/>
              </w:tabs>
              <w:spacing w:before="18"/>
              <w:ind w:left="52"/>
              <w:rPr>
                <w:sz w:val="18"/>
              </w:rPr>
            </w:pPr>
            <w:r>
              <w:rPr>
                <w:spacing w:val="-10"/>
                <w:sz w:val="18"/>
              </w:rPr>
              <w:t>$</w:t>
            </w:r>
            <w:r>
              <w:rPr>
                <w:sz w:val="18"/>
              </w:rPr>
              <w:tab/>
            </w:r>
            <w:r>
              <w:rPr>
                <w:spacing w:val="-10"/>
                <w:sz w:val="18"/>
              </w:rPr>
              <w:t>3</w:t>
            </w:r>
            <w:r>
              <w:rPr>
                <w:sz w:val="18"/>
              </w:rPr>
              <w:tab/>
            </w:r>
            <w:r>
              <w:rPr>
                <w:spacing w:val="-10"/>
                <w:sz w:val="18"/>
              </w:rPr>
              <w:t>$</w:t>
            </w:r>
            <w:r>
              <w:rPr>
                <w:sz w:val="18"/>
              </w:rPr>
              <w:tab/>
            </w:r>
            <w:r>
              <w:rPr>
                <w:spacing w:val="-10"/>
                <w:sz w:val="18"/>
              </w:rPr>
              <w:t>1</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1</w:t>
            </w:r>
          </w:p>
        </w:tc>
        <w:tc>
          <w:tcPr>
            <w:tcW w:w="949" w:type="dxa"/>
            <w:shd w:val="clear" w:color="auto" w:fill="CCEDFF"/>
          </w:tcPr>
          <w:p>
            <w:pPr>
              <w:pStyle w:val="TableParagraph"/>
              <w:tabs>
                <w:tab w:pos="645" w:val="left" w:leader="none"/>
              </w:tabs>
              <w:spacing w:before="18"/>
              <w:ind w:left="52"/>
              <w:rPr>
                <w:sz w:val="18"/>
              </w:rPr>
            </w:pPr>
            <w:r>
              <w:rPr>
                <w:spacing w:val="-10"/>
                <w:sz w:val="18"/>
              </w:rPr>
              <w:t>$</w:t>
            </w:r>
            <w:r>
              <w:rPr>
                <w:sz w:val="18"/>
              </w:rPr>
              <w:tab/>
            </w:r>
            <w:r>
              <w:rPr>
                <w:spacing w:val="-10"/>
                <w:sz w:val="18"/>
              </w:rPr>
              <w:t>5</w:t>
            </w:r>
          </w:p>
        </w:tc>
        <w:tc>
          <w:tcPr>
            <w:tcW w:w="1020" w:type="dxa"/>
            <w:shd w:val="clear" w:color="auto" w:fill="CCEDFF"/>
          </w:tcPr>
          <w:p>
            <w:pPr>
              <w:pStyle w:val="TableParagraph"/>
              <w:tabs>
                <w:tab w:pos="626" w:val="left" w:leader="none"/>
              </w:tabs>
              <w:spacing w:before="18"/>
              <w:ind w:left="63"/>
              <w:rPr>
                <w:sz w:val="18"/>
              </w:rPr>
            </w:pPr>
            <w:r>
              <w:rPr>
                <w:spacing w:val="-10"/>
                <w:sz w:val="18"/>
              </w:rPr>
              <w:t>$</w:t>
            </w:r>
            <w:r>
              <w:rPr>
                <w:sz w:val="18"/>
              </w:rPr>
              <w:tab/>
            </w:r>
            <w:r>
              <w:rPr>
                <w:spacing w:val="-10"/>
                <w:sz w:val="18"/>
              </w:rPr>
              <w:t>—</w:t>
            </w:r>
          </w:p>
        </w:tc>
        <w:tc>
          <w:tcPr>
            <w:tcW w:w="960" w:type="dxa"/>
            <w:shd w:val="clear" w:color="auto" w:fill="CCEDFF"/>
          </w:tcPr>
          <w:p>
            <w:pPr>
              <w:pStyle w:val="TableParagraph"/>
              <w:tabs>
                <w:tab w:pos="566" w:val="left" w:leader="none"/>
              </w:tabs>
              <w:spacing w:before="18"/>
              <w:ind w:left="63"/>
              <w:rPr>
                <w:sz w:val="18"/>
              </w:rPr>
            </w:pPr>
            <w:r>
              <w:rPr>
                <w:spacing w:val="-10"/>
                <w:sz w:val="18"/>
              </w:rPr>
              <w:t>$</w:t>
            </w:r>
            <w:r>
              <w:rPr>
                <w:sz w:val="18"/>
              </w:rPr>
              <w:tab/>
            </w:r>
            <w:r>
              <w:rPr>
                <w:spacing w:val="-10"/>
                <w:sz w:val="18"/>
              </w:rPr>
              <w:t>—</w:t>
            </w:r>
          </w:p>
        </w:tc>
        <w:tc>
          <w:tcPr>
            <w:tcW w:w="896" w:type="dxa"/>
            <w:shd w:val="clear" w:color="auto" w:fill="CCEDFF"/>
          </w:tcPr>
          <w:p>
            <w:pPr>
              <w:pStyle w:val="TableParagraph"/>
              <w:tabs>
                <w:tab w:pos="491" w:val="left" w:leader="none"/>
              </w:tabs>
              <w:spacing w:before="18"/>
              <w:ind w:left="63"/>
              <w:rPr>
                <w:sz w:val="18"/>
              </w:rPr>
            </w:pPr>
            <w:r>
              <w:rPr>
                <w:spacing w:val="-10"/>
                <w:sz w:val="18"/>
              </w:rPr>
              <w:t>$</w:t>
            </w:r>
            <w:r>
              <w:rPr>
                <w:sz w:val="18"/>
              </w:rPr>
              <w:tab/>
            </w:r>
            <w:r>
              <w:rPr>
                <w:spacing w:val="-10"/>
                <w:sz w:val="18"/>
              </w:rPr>
              <w:t>—</w:t>
            </w:r>
          </w:p>
        </w:tc>
      </w:tr>
      <w:tr>
        <w:trPr>
          <w:trHeight w:val="255" w:hRule="atLeast"/>
        </w:trPr>
        <w:tc>
          <w:tcPr>
            <w:tcW w:w="2010" w:type="dxa"/>
          </w:tcPr>
          <w:p>
            <w:pPr>
              <w:pStyle w:val="TableParagraph"/>
              <w:spacing w:before="18"/>
              <w:ind w:left="187"/>
              <w:rPr>
                <w:sz w:val="18"/>
              </w:rPr>
            </w:pPr>
            <w:r>
              <w:rPr>
                <w:sz w:val="18"/>
              </w:rPr>
              <w:t>620 – </w:t>
            </w:r>
            <w:r>
              <w:rPr>
                <w:spacing w:val="-5"/>
                <w:sz w:val="18"/>
              </w:rPr>
              <w:t>679</w:t>
            </w:r>
          </w:p>
        </w:tc>
        <w:tc>
          <w:tcPr>
            <w:tcW w:w="4425" w:type="dxa"/>
          </w:tcPr>
          <w:p>
            <w:pPr>
              <w:pStyle w:val="TableParagraph"/>
              <w:tabs>
                <w:tab w:pos="1365" w:val="left" w:leader="none"/>
                <w:tab w:pos="2250" w:val="left" w:leader="none"/>
                <w:tab w:pos="3225" w:val="left" w:leader="none"/>
                <w:tab w:pos="4020" w:val="left" w:leader="none"/>
              </w:tabs>
              <w:spacing w:before="18"/>
              <w:ind w:left="480"/>
              <w:rPr>
                <w:sz w:val="18"/>
              </w:rPr>
            </w:pPr>
            <w:r>
              <w:rPr>
                <w:spacing w:val="-5"/>
                <w:sz w:val="18"/>
              </w:rPr>
              <w:t>28</w:t>
            </w:r>
            <w:r>
              <w:rPr>
                <w:sz w:val="18"/>
              </w:rPr>
              <w:tab/>
            </w:r>
            <w:r>
              <w:rPr>
                <w:spacing w:val="-5"/>
                <w:sz w:val="18"/>
              </w:rPr>
              <w:t>31</w:t>
            </w:r>
            <w:r>
              <w:rPr>
                <w:sz w:val="18"/>
              </w:rPr>
              <w:tab/>
            </w:r>
            <w:r>
              <w:rPr>
                <w:spacing w:val="-5"/>
                <w:sz w:val="18"/>
              </w:rPr>
              <w:t>21</w:t>
            </w:r>
            <w:r>
              <w:rPr>
                <w:sz w:val="18"/>
              </w:rPr>
              <w:tab/>
            </w:r>
            <w:r>
              <w:rPr>
                <w:spacing w:val="-10"/>
                <w:sz w:val="18"/>
              </w:rPr>
              <w:t>2</w:t>
            </w:r>
            <w:r>
              <w:rPr>
                <w:sz w:val="18"/>
              </w:rPr>
              <w:tab/>
            </w:r>
            <w:r>
              <w:rPr>
                <w:spacing w:val="-5"/>
                <w:sz w:val="18"/>
              </w:rPr>
              <w:t>15</w:t>
            </w:r>
          </w:p>
        </w:tc>
        <w:tc>
          <w:tcPr>
            <w:tcW w:w="949" w:type="dxa"/>
          </w:tcPr>
          <w:p>
            <w:pPr>
              <w:pStyle w:val="TableParagraph"/>
              <w:spacing w:before="18"/>
              <w:ind w:left="555"/>
              <w:rPr>
                <w:sz w:val="18"/>
              </w:rPr>
            </w:pPr>
            <w:r>
              <w:rPr>
                <w:spacing w:val="-5"/>
                <w:sz w:val="18"/>
              </w:rPr>
              <w:t>97</w:t>
            </w:r>
          </w:p>
        </w:tc>
        <w:tc>
          <w:tcPr>
            <w:tcW w:w="1020" w:type="dxa"/>
          </w:tcPr>
          <w:p>
            <w:pPr>
              <w:pStyle w:val="TableParagraph"/>
              <w:spacing w:before="18"/>
              <w:ind w:left="626"/>
              <w:rPr>
                <w:sz w:val="18"/>
              </w:rPr>
            </w:pPr>
            <w:r>
              <w:rPr>
                <w:spacing w:val="-10"/>
                <w:sz w:val="18"/>
              </w:rPr>
              <w:t>—</w:t>
            </w:r>
          </w:p>
        </w:tc>
        <w:tc>
          <w:tcPr>
            <w:tcW w:w="960" w:type="dxa"/>
          </w:tcPr>
          <w:p>
            <w:pPr>
              <w:pStyle w:val="TableParagraph"/>
              <w:spacing w:before="18"/>
              <w:ind w:right="211"/>
              <w:jc w:val="right"/>
              <w:rPr>
                <w:sz w:val="18"/>
              </w:rPr>
            </w:pPr>
            <w:r>
              <w:rPr>
                <w:spacing w:val="-10"/>
                <w:sz w:val="18"/>
              </w:rPr>
              <w:t>2</w:t>
            </w:r>
          </w:p>
        </w:tc>
        <w:tc>
          <w:tcPr>
            <w:tcW w:w="896" w:type="dxa"/>
          </w:tcPr>
          <w:p>
            <w:pPr>
              <w:pStyle w:val="TableParagraph"/>
              <w:spacing w:before="18"/>
              <w:ind w:left="581"/>
              <w:rPr>
                <w:sz w:val="18"/>
              </w:rPr>
            </w:pPr>
            <w:r>
              <w:rPr>
                <w:spacing w:val="-10"/>
                <w:sz w:val="18"/>
              </w:rPr>
              <w:t>2</w:t>
            </w:r>
          </w:p>
        </w:tc>
      </w:tr>
      <w:tr>
        <w:trPr>
          <w:trHeight w:val="255" w:hRule="atLeast"/>
        </w:trPr>
        <w:tc>
          <w:tcPr>
            <w:tcW w:w="2010" w:type="dxa"/>
            <w:shd w:val="clear" w:color="auto" w:fill="CCEDFF"/>
          </w:tcPr>
          <w:p>
            <w:pPr>
              <w:pStyle w:val="TableParagraph"/>
              <w:spacing w:before="18"/>
              <w:ind w:left="187"/>
              <w:rPr>
                <w:sz w:val="18"/>
              </w:rPr>
            </w:pPr>
            <w:r>
              <w:rPr>
                <w:sz w:val="18"/>
              </w:rPr>
              <w:t>680 – </w:t>
            </w:r>
            <w:r>
              <w:rPr>
                <w:spacing w:val="-5"/>
                <w:sz w:val="18"/>
              </w:rPr>
              <w:t>739</w:t>
            </w:r>
          </w:p>
        </w:tc>
        <w:tc>
          <w:tcPr>
            <w:tcW w:w="4425" w:type="dxa"/>
            <w:shd w:val="clear" w:color="auto" w:fill="CCEDFF"/>
          </w:tcPr>
          <w:p>
            <w:pPr>
              <w:pStyle w:val="TableParagraph"/>
              <w:tabs>
                <w:tab w:pos="1140" w:val="left" w:leader="none"/>
                <w:tab w:pos="2160" w:val="left" w:leader="none"/>
                <w:tab w:pos="3045" w:val="left" w:leader="none"/>
                <w:tab w:pos="3930" w:val="left" w:leader="none"/>
              </w:tabs>
              <w:spacing w:before="18"/>
              <w:ind w:left="390"/>
              <w:rPr>
                <w:sz w:val="18"/>
              </w:rPr>
            </w:pPr>
            <w:r>
              <w:rPr>
                <w:spacing w:val="-5"/>
                <w:sz w:val="18"/>
              </w:rPr>
              <w:t>820</w:t>
            </w:r>
            <w:r>
              <w:rPr>
                <w:sz w:val="18"/>
              </w:rPr>
              <w:tab/>
            </w:r>
            <w:r>
              <w:rPr>
                <w:spacing w:val="-2"/>
                <w:sz w:val="18"/>
              </w:rPr>
              <w:t>1,224</w:t>
            </w:r>
            <w:r>
              <w:rPr>
                <w:sz w:val="18"/>
              </w:rPr>
              <w:tab/>
            </w:r>
            <w:r>
              <w:rPr>
                <w:spacing w:val="-5"/>
                <w:sz w:val="18"/>
              </w:rPr>
              <w:t>430</w:t>
            </w:r>
            <w:r>
              <w:rPr>
                <w:sz w:val="18"/>
              </w:rPr>
              <w:tab/>
            </w:r>
            <w:r>
              <w:rPr>
                <w:spacing w:val="-5"/>
                <w:sz w:val="18"/>
              </w:rPr>
              <w:t>116</w:t>
            </w:r>
            <w:r>
              <w:rPr>
                <w:sz w:val="18"/>
              </w:rPr>
              <w:tab/>
            </w:r>
            <w:r>
              <w:rPr>
                <w:spacing w:val="-5"/>
                <w:sz w:val="18"/>
              </w:rPr>
              <w:t>243</w:t>
            </w:r>
          </w:p>
        </w:tc>
        <w:tc>
          <w:tcPr>
            <w:tcW w:w="949" w:type="dxa"/>
            <w:shd w:val="clear" w:color="auto" w:fill="CCEDFF"/>
          </w:tcPr>
          <w:p>
            <w:pPr>
              <w:pStyle w:val="TableParagraph"/>
              <w:spacing w:before="18"/>
              <w:ind w:left="330"/>
              <w:rPr>
                <w:sz w:val="18"/>
              </w:rPr>
            </w:pPr>
            <w:r>
              <w:rPr>
                <w:spacing w:val="-2"/>
                <w:sz w:val="18"/>
              </w:rPr>
              <w:t>2,833</w:t>
            </w:r>
          </w:p>
        </w:tc>
        <w:tc>
          <w:tcPr>
            <w:tcW w:w="1020" w:type="dxa"/>
            <w:shd w:val="clear" w:color="auto" w:fill="CCEDFF"/>
          </w:tcPr>
          <w:p>
            <w:pPr>
              <w:pStyle w:val="TableParagraph"/>
              <w:spacing w:before="18"/>
              <w:ind w:left="626"/>
              <w:rPr>
                <w:sz w:val="18"/>
              </w:rPr>
            </w:pPr>
            <w:r>
              <w:rPr>
                <w:spacing w:val="-5"/>
                <w:sz w:val="18"/>
              </w:rPr>
              <w:t>59</w:t>
            </w:r>
          </w:p>
        </w:tc>
        <w:tc>
          <w:tcPr>
            <w:tcW w:w="960" w:type="dxa"/>
            <w:shd w:val="clear" w:color="auto" w:fill="CCEDFF"/>
          </w:tcPr>
          <w:p>
            <w:pPr>
              <w:pStyle w:val="TableParagraph"/>
              <w:spacing w:before="18"/>
              <w:ind w:left="566"/>
              <w:rPr>
                <w:sz w:val="18"/>
              </w:rPr>
            </w:pPr>
            <w:r>
              <w:rPr>
                <w:spacing w:val="-5"/>
                <w:sz w:val="18"/>
              </w:rPr>
              <w:t>47</w:t>
            </w:r>
          </w:p>
        </w:tc>
        <w:tc>
          <w:tcPr>
            <w:tcW w:w="896" w:type="dxa"/>
            <w:shd w:val="clear" w:color="auto" w:fill="CCEDFF"/>
          </w:tcPr>
          <w:p>
            <w:pPr>
              <w:pStyle w:val="TableParagraph"/>
              <w:spacing w:before="18"/>
              <w:ind w:left="401"/>
              <w:rPr>
                <w:sz w:val="18"/>
              </w:rPr>
            </w:pPr>
            <w:r>
              <w:rPr>
                <w:spacing w:val="-5"/>
                <w:sz w:val="18"/>
              </w:rPr>
              <w:t>106</w:t>
            </w:r>
          </w:p>
        </w:tc>
      </w:tr>
      <w:tr>
        <w:trPr>
          <w:trHeight w:val="250" w:hRule="atLeast"/>
        </w:trPr>
        <w:tc>
          <w:tcPr>
            <w:tcW w:w="2010" w:type="dxa"/>
            <w:tcBorders>
              <w:bottom w:val="single" w:sz="4" w:space="0" w:color="000000"/>
            </w:tcBorders>
          </w:tcPr>
          <w:p>
            <w:pPr>
              <w:pStyle w:val="TableParagraph"/>
              <w:spacing w:before="18"/>
              <w:ind w:left="187"/>
              <w:rPr>
                <w:sz w:val="18"/>
              </w:rPr>
            </w:pPr>
            <w:r>
              <w:rPr>
                <w:spacing w:val="-4"/>
                <w:sz w:val="18"/>
              </w:rPr>
              <w:t>≥740</w:t>
            </w:r>
          </w:p>
        </w:tc>
        <w:tc>
          <w:tcPr>
            <w:tcW w:w="4425" w:type="dxa"/>
            <w:tcBorders>
              <w:bottom w:val="single" w:sz="4" w:space="0" w:color="000000"/>
            </w:tcBorders>
          </w:tcPr>
          <w:p>
            <w:pPr>
              <w:pStyle w:val="TableParagraph"/>
              <w:tabs>
                <w:tab w:pos="1050" w:val="left" w:leader="none"/>
                <w:tab w:pos="2025" w:val="left" w:leader="none"/>
                <w:tab w:pos="3045" w:val="left" w:leader="none"/>
                <w:tab w:pos="3795" w:val="left" w:leader="none"/>
              </w:tabs>
              <w:spacing w:before="18"/>
              <w:ind w:left="255"/>
              <w:rPr>
                <w:sz w:val="18"/>
              </w:rPr>
            </w:pPr>
            <w:r>
              <w:rPr>
                <w:spacing w:val="-2"/>
                <w:sz w:val="18"/>
              </w:rPr>
              <w:t>5,593</w:t>
            </w:r>
            <w:r>
              <w:rPr>
                <w:sz w:val="18"/>
              </w:rPr>
              <w:tab/>
            </w:r>
            <w:r>
              <w:rPr>
                <w:spacing w:val="-2"/>
                <w:sz w:val="18"/>
              </w:rPr>
              <w:t>11,037</w:t>
            </w:r>
            <w:r>
              <w:rPr>
                <w:sz w:val="18"/>
              </w:rPr>
              <w:tab/>
            </w:r>
            <w:r>
              <w:rPr>
                <w:spacing w:val="-2"/>
                <w:sz w:val="18"/>
              </w:rPr>
              <w:t>3,819</w:t>
            </w:r>
            <w:r>
              <w:rPr>
                <w:sz w:val="18"/>
              </w:rPr>
              <w:tab/>
            </w:r>
            <w:r>
              <w:rPr>
                <w:spacing w:val="-5"/>
                <w:sz w:val="18"/>
              </w:rPr>
              <w:t>811</w:t>
            </w:r>
            <w:r>
              <w:rPr>
                <w:sz w:val="18"/>
              </w:rPr>
              <w:tab/>
            </w:r>
            <w:r>
              <w:rPr>
                <w:spacing w:val="-2"/>
                <w:sz w:val="18"/>
              </w:rPr>
              <w:t>1,003</w:t>
            </w:r>
          </w:p>
        </w:tc>
        <w:tc>
          <w:tcPr>
            <w:tcW w:w="949" w:type="dxa"/>
            <w:tcBorders>
              <w:bottom w:val="single" w:sz="4" w:space="0" w:color="000000"/>
            </w:tcBorders>
          </w:tcPr>
          <w:p>
            <w:pPr>
              <w:pStyle w:val="TableParagraph"/>
              <w:spacing w:before="18"/>
              <w:ind w:left="240"/>
              <w:rPr>
                <w:sz w:val="18"/>
              </w:rPr>
            </w:pPr>
            <w:r>
              <w:rPr>
                <w:spacing w:val="-2"/>
                <w:sz w:val="18"/>
              </w:rPr>
              <w:t>22,263</w:t>
            </w:r>
          </w:p>
        </w:tc>
        <w:tc>
          <w:tcPr>
            <w:tcW w:w="1020" w:type="dxa"/>
            <w:tcBorders>
              <w:bottom w:val="single" w:sz="4" w:space="0" w:color="000000"/>
            </w:tcBorders>
          </w:tcPr>
          <w:p>
            <w:pPr>
              <w:pStyle w:val="TableParagraph"/>
              <w:spacing w:before="18"/>
              <w:ind w:left="536"/>
              <w:rPr>
                <w:sz w:val="18"/>
              </w:rPr>
            </w:pPr>
            <w:r>
              <w:rPr>
                <w:spacing w:val="-5"/>
                <w:sz w:val="18"/>
              </w:rPr>
              <w:t>323</w:t>
            </w:r>
          </w:p>
        </w:tc>
        <w:tc>
          <w:tcPr>
            <w:tcW w:w="960" w:type="dxa"/>
            <w:tcBorders>
              <w:bottom w:val="single" w:sz="4" w:space="0" w:color="000000"/>
            </w:tcBorders>
          </w:tcPr>
          <w:p>
            <w:pPr>
              <w:pStyle w:val="TableParagraph"/>
              <w:spacing w:before="18"/>
              <w:ind w:left="476"/>
              <w:rPr>
                <w:sz w:val="18"/>
              </w:rPr>
            </w:pPr>
            <w:r>
              <w:rPr>
                <w:spacing w:val="-5"/>
                <w:sz w:val="18"/>
              </w:rPr>
              <w:t>166</w:t>
            </w:r>
          </w:p>
        </w:tc>
        <w:tc>
          <w:tcPr>
            <w:tcW w:w="896" w:type="dxa"/>
            <w:tcBorders>
              <w:bottom w:val="single" w:sz="4" w:space="0" w:color="000000"/>
            </w:tcBorders>
          </w:tcPr>
          <w:p>
            <w:pPr>
              <w:pStyle w:val="TableParagraph"/>
              <w:spacing w:before="18"/>
              <w:ind w:left="401"/>
              <w:rPr>
                <w:sz w:val="18"/>
              </w:rPr>
            </w:pPr>
            <w:r>
              <w:rPr>
                <w:spacing w:val="-5"/>
                <w:sz w:val="18"/>
              </w:rPr>
              <w:t>489</w:t>
            </w:r>
          </w:p>
        </w:tc>
      </w:tr>
      <w:tr>
        <w:trPr>
          <w:trHeight w:val="220" w:hRule="atLeast"/>
        </w:trPr>
        <w:tc>
          <w:tcPr>
            <w:tcW w:w="2010" w:type="dxa"/>
            <w:tcBorders>
              <w:top w:val="single" w:sz="4" w:space="0" w:color="000000"/>
              <w:bottom w:val="double" w:sz="8" w:space="0" w:color="000000"/>
            </w:tcBorders>
            <w:shd w:val="clear" w:color="auto" w:fill="CCEDFF"/>
          </w:tcPr>
          <w:p>
            <w:pPr>
              <w:pStyle w:val="TableParagraph"/>
              <w:spacing w:line="187" w:lineRule="exact" w:before="13"/>
              <w:ind w:left="277"/>
              <w:rPr>
                <w:sz w:val="18"/>
              </w:rPr>
            </w:pPr>
            <w:r>
              <w:rPr>
                <w:spacing w:val="-2"/>
                <w:sz w:val="18"/>
              </w:rPr>
              <w:t>Total</w:t>
            </w:r>
          </w:p>
        </w:tc>
        <w:tc>
          <w:tcPr>
            <w:tcW w:w="4425" w:type="dxa"/>
            <w:tcBorders>
              <w:top w:val="single" w:sz="4" w:space="0" w:color="000000"/>
              <w:bottom w:val="double" w:sz="8" w:space="0" w:color="000000"/>
            </w:tcBorders>
            <w:shd w:val="clear" w:color="auto" w:fill="CCEDFF"/>
          </w:tcPr>
          <w:p>
            <w:pPr>
              <w:pStyle w:val="TableParagraph"/>
              <w:tabs>
                <w:tab w:pos="937" w:val="left" w:leader="none"/>
                <w:tab w:pos="1822" w:val="left" w:leader="none"/>
                <w:tab w:pos="2707" w:val="left" w:leader="none"/>
                <w:tab w:pos="3045" w:val="left" w:leader="none"/>
                <w:tab w:pos="3592" w:val="left" w:leader="none"/>
              </w:tabs>
              <w:spacing w:line="187" w:lineRule="exact" w:before="13"/>
              <w:ind w:left="52"/>
              <w:rPr>
                <w:sz w:val="18"/>
              </w:rPr>
            </w:pPr>
            <w:r>
              <w:rPr>
                <w:sz w:val="18"/>
              </w:rPr>
              <w:t>$</w:t>
            </w:r>
            <w:r>
              <w:rPr>
                <w:spacing w:val="67"/>
                <w:sz w:val="18"/>
              </w:rPr>
              <w:t> </w:t>
            </w:r>
            <w:r>
              <w:rPr>
                <w:spacing w:val="-2"/>
                <w:sz w:val="18"/>
              </w:rPr>
              <w:t>6,444</w:t>
            </w:r>
            <w:r>
              <w:rPr>
                <w:sz w:val="18"/>
              </w:rPr>
              <w:tab/>
              <w:t>$</w:t>
            </w:r>
            <w:r>
              <w:rPr>
                <w:spacing w:val="-23"/>
                <w:sz w:val="18"/>
              </w:rPr>
              <w:t> </w:t>
            </w:r>
            <w:r>
              <w:rPr>
                <w:spacing w:val="-2"/>
                <w:sz w:val="18"/>
              </w:rPr>
              <w:t>12,293</w:t>
            </w:r>
            <w:r>
              <w:rPr>
                <w:sz w:val="18"/>
              </w:rPr>
              <w:tab/>
              <w:t>$</w:t>
            </w:r>
            <w:r>
              <w:rPr>
                <w:spacing w:val="65"/>
                <w:sz w:val="18"/>
              </w:rPr>
              <w:t> </w:t>
            </w:r>
            <w:r>
              <w:rPr>
                <w:spacing w:val="-2"/>
                <w:sz w:val="18"/>
              </w:rPr>
              <w:t>4,270</w:t>
            </w:r>
            <w:r>
              <w:rPr>
                <w:sz w:val="18"/>
              </w:rPr>
              <w:tab/>
            </w:r>
            <w:r>
              <w:rPr>
                <w:spacing w:val="-10"/>
                <w:sz w:val="18"/>
              </w:rPr>
              <w:t>$</w:t>
            </w:r>
            <w:r>
              <w:rPr>
                <w:sz w:val="18"/>
              </w:rPr>
              <w:tab/>
            </w:r>
            <w:r>
              <w:rPr>
                <w:spacing w:val="-5"/>
                <w:sz w:val="18"/>
              </w:rPr>
              <w:t>929</w:t>
            </w:r>
            <w:r>
              <w:rPr>
                <w:sz w:val="18"/>
              </w:rPr>
              <w:tab/>
              <w:t>$</w:t>
            </w:r>
            <w:r>
              <w:rPr>
                <w:spacing w:val="65"/>
                <w:sz w:val="18"/>
              </w:rPr>
              <w:t> </w:t>
            </w:r>
            <w:r>
              <w:rPr>
                <w:spacing w:val="-2"/>
                <w:sz w:val="18"/>
              </w:rPr>
              <w:t>1,262</w:t>
            </w:r>
          </w:p>
        </w:tc>
        <w:tc>
          <w:tcPr>
            <w:tcW w:w="949" w:type="dxa"/>
            <w:tcBorders>
              <w:top w:val="single" w:sz="4" w:space="0" w:color="000000"/>
              <w:bottom w:val="double" w:sz="8" w:space="0" w:color="000000"/>
            </w:tcBorders>
            <w:shd w:val="clear" w:color="auto" w:fill="CCEDFF"/>
          </w:tcPr>
          <w:p>
            <w:pPr>
              <w:pStyle w:val="TableParagraph"/>
              <w:spacing w:line="187" w:lineRule="exact" w:before="13"/>
              <w:ind w:left="52"/>
              <w:rPr>
                <w:sz w:val="18"/>
              </w:rPr>
            </w:pPr>
            <w:r>
              <w:rPr>
                <w:sz w:val="18"/>
              </w:rPr>
              <w:t>$</w:t>
            </w:r>
            <w:r>
              <w:rPr>
                <w:spacing w:val="52"/>
                <w:sz w:val="18"/>
              </w:rPr>
              <w:t> </w:t>
            </w:r>
            <w:r>
              <w:rPr>
                <w:spacing w:val="-2"/>
                <w:sz w:val="18"/>
              </w:rPr>
              <w:t>25,198</w:t>
            </w:r>
          </w:p>
        </w:tc>
        <w:tc>
          <w:tcPr>
            <w:tcW w:w="1020" w:type="dxa"/>
            <w:tcBorders>
              <w:top w:val="single" w:sz="4" w:space="0" w:color="000000"/>
              <w:bottom w:val="double" w:sz="8" w:space="0" w:color="000000"/>
            </w:tcBorders>
            <w:shd w:val="clear" w:color="auto" w:fill="CCEDFF"/>
          </w:tcPr>
          <w:p>
            <w:pPr>
              <w:pStyle w:val="TableParagraph"/>
              <w:tabs>
                <w:tab w:pos="536" w:val="left" w:leader="none"/>
              </w:tabs>
              <w:spacing w:line="187" w:lineRule="exact" w:before="13"/>
              <w:ind w:left="63"/>
              <w:rPr>
                <w:sz w:val="18"/>
              </w:rPr>
            </w:pPr>
            <w:r>
              <w:rPr>
                <w:spacing w:val="-10"/>
                <w:sz w:val="18"/>
              </w:rPr>
              <w:t>$</w:t>
            </w:r>
            <w:r>
              <w:rPr>
                <w:sz w:val="18"/>
              </w:rPr>
              <w:tab/>
            </w:r>
            <w:r>
              <w:rPr>
                <w:spacing w:val="-5"/>
                <w:sz w:val="18"/>
              </w:rPr>
              <w:t>382</w:t>
            </w:r>
          </w:p>
        </w:tc>
        <w:tc>
          <w:tcPr>
            <w:tcW w:w="960" w:type="dxa"/>
            <w:tcBorders>
              <w:top w:val="single" w:sz="4" w:space="0" w:color="000000"/>
              <w:bottom w:val="double" w:sz="8" w:space="0" w:color="000000"/>
            </w:tcBorders>
            <w:shd w:val="clear" w:color="auto" w:fill="CCEDFF"/>
          </w:tcPr>
          <w:p>
            <w:pPr>
              <w:pStyle w:val="TableParagraph"/>
              <w:tabs>
                <w:tab w:pos="476" w:val="left" w:leader="none"/>
              </w:tabs>
              <w:spacing w:line="187" w:lineRule="exact" w:before="13"/>
              <w:ind w:left="63"/>
              <w:rPr>
                <w:sz w:val="18"/>
              </w:rPr>
            </w:pPr>
            <w:r>
              <w:rPr>
                <w:spacing w:val="-10"/>
                <w:sz w:val="18"/>
              </w:rPr>
              <w:t>$</w:t>
            </w:r>
            <w:r>
              <w:rPr>
                <w:sz w:val="18"/>
              </w:rPr>
              <w:tab/>
            </w:r>
            <w:r>
              <w:rPr>
                <w:spacing w:val="-5"/>
                <w:sz w:val="18"/>
              </w:rPr>
              <w:t>215</w:t>
            </w:r>
          </w:p>
        </w:tc>
        <w:tc>
          <w:tcPr>
            <w:tcW w:w="896" w:type="dxa"/>
            <w:tcBorders>
              <w:top w:val="single" w:sz="4" w:space="0" w:color="000000"/>
              <w:bottom w:val="double" w:sz="8" w:space="0" w:color="000000"/>
            </w:tcBorders>
            <w:shd w:val="clear" w:color="auto" w:fill="CCEDFF"/>
          </w:tcPr>
          <w:p>
            <w:pPr>
              <w:pStyle w:val="TableParagraph"/>
              <w:tabs>
                <w:tab w:pos="401" w:val="left" w:leader="none"/>
              </w:tabs>
              <w:spacing w:line="187" w:lineRule="exact" w:before="13"/>
              <w:ind w:left="63"/>
              <w:rPr>
                <w:sz w:val="18"/>
              </w:rPr>
            </w:pPr>
            <w:r>
              <w:rPr>
                <w:spacing w:val="-10"/>
                <w:sz w:val="18"/>
              </w:rPr>
              <w:t>$</w:t>
            </w:r>
            <w:r>
              <w:rPr>
                <w:sz w:val="18"/>
              </w:rPr>
              <w:tab/>
            </w:r>
            <w:r>
              <w:rPr>
                <w:spacing w:val="-5"/>
                <w:sz w:val="18"/>
              </w:rPr>
              <w:t>597</w:t>
            </w:r>
          </w:p>
        </w:tc>
      </w:tr>
      <w:tr>
        <w:trPr>
          <w:trHeight w:val="225" w:hRule="atLeast"/>
        </w:trPr>
        <w:tc>
          <w:tcPr>
            <w:tcW w:w="2010" w:type="dxa"/>
            <w:tcBorders>
              <w:top w:val="double" w:sz="8" w:space="0" w:color="000000"/>
            </w:tcBorders>
          </w:tcPr>
          <w:p>
            <w:pPr>
              <w:pStyle w:val="TableParagraph"/>
              <w:spacing w:line="191" w:lineRule="exact"/>
              <w:ind w:left="52"/>
              <w:rPr>
                <w:sz w:val="18"/>
              </w:rPr>
            </w:pPr>
            <w:r>
              <w:rPr>
                <w:sz w:val="18"/>
              </w:rPr>
              <w:t>Origination</w:t>
            </w:r>
            <w:r>
              <w:rPr>
                <w:spacing w:val="-1"/>
                <w:sz w:val="18"/>
              </w:rPr>
              <w:t> </w:t>
            </w:r>
            <w:r>
              <w:rPr>
                <w:spacing w:val="-5"/>
                <w:sz w:val="18"/>
              </w:rPr>
              <w:t>LTV</w:t>
            </w:r>
          </w:p>
        </w:tc>
        <w:tc>
          <w:tcPr>
            <w:tcW w:w="4425" w:type="dxa"/>
            <w:tcBorders>
              <w:top w:val="double" w:sz="8" w:space="0" w:color="000000"/>
            </w:tcBorders>
          </w:tcPr>
          <w:p>
            <w:pPr>
              <w:pStyle w:val="TableParagraph"/>
              <w:rPr>
                <w:sz w:val="16"/>
              </w:rPr>
            </w:pPr>
          </w:p>
        </w:tc>
        <w:tc>
          <w:tcPr>
            <w:tcW w:w="949" w:type="dxa"/>
            <w:tcBorders>
              <w:top w:val="double" w:sz="8" w:space="0" w:color="000000"/>
            </w:tcBorders>
          </w:tcPr>
          <w:p>
            <w:pPr>
              <w:pStyle w:val="TableParagraph"/>
              <w:rPr>
                <w:sz w:val="16"/>
              </w:rPr>
            </w:pPr>
          </w:p>
        </w:tc>
        <w:tc>
          <w:tcPr>
            <w:tcW w:w="1020" w:type="dxa"/>
            <w:tcBorders>
              <w:top w:val="double" w:sz="8" w:space="0" w:color="000000"/>
            </w:tcBorders>
          </w:tcPr>
          <w:p>
            <w:pPr>
              <w:pStyle w:val="TableParagraph"/>
              <w:rPr>
                <w:sz w:val="16"/>
              </w:rPr>
            </w:pPr>
          </w:p>
        </w:tc>
        <w:tc>
          <w:tcPr>
            <w:tcW w:w="960" w:type="dxa"/>
            <w:tcBorders>
              <w:top w:val="double" w:sz="8" w:space="0" w:color="000000"/>
            </w:tcBorders>
          </w:tcPr>
          <w:p>
            <w:pPr>
              <w:pStyle w:val="TableParagraph"/>
              <w:rPr>
                <w:sz w:val="16"/>
              </w:rPr>
            </w:pPr>
          </w:p>
        </w:tc>
        <w:tc>
          <w:tcPr>
            <w:tcW w:w="896" w:type="dxa"/>
            <w:tcBorders>
              <w:top w:val="double" w:sz="8" w:space="0" w:color="000000"/>
            </w:tcBorders>
          </w:tcPr>
          <w:p>
            <w:pPr>
              <w:pStyle w:val="TableParagraph"/>
              <w:rPr>
                <w:sz w:val="16"/>
              </w:rPr>
            </w:pPr>
          </w:p>
        </w:tc>
      </w:tr>
      <w:tr>
        <w:trPr>
          <w:trHeight w:val="255" w:hRule="atLeast"/>
        </w:trPr>
        <w:tc>
          <w:tcPr>
            <w:tcW w:w="2010" w:type="dxa"/>
            <w:shd w:val="clear" w:color="auto" w:fill="CCEDFF"/>
          </w:tcPr>
          <w:p>
            <w:pPr>
              <w:pStyle w:val="TableParagraph"/>
              <w:spacing w:before="18"/>
              <w:ind w:left="187"/>
              <w:rPr>
                <w:sz w:val="18"/>
              </w:rPr>
            </w:pPr>
            <w:r>
              <w:rPr>
                <w:spacing w:val="-4"/>
                <w:sz w:val="18"/>
              </w:rPr>
              <w:t>≤70%</w:t>
            </w:r>
          </w:p>
        </w:tc>
        <w:tc>
          <w:tcPr>
            <w:tcW w:w="4425" w:type="dxa"/>
            <w:shd w:val="clear" w:color="auto" w:fill="CCEDFF"/>
          </w:tcPr>
          <w:p>
            <w:pPr>
              <w:pStyle w:val="TableParagraph"/>
              <w:tabs>
                <w:tab w:pos="937" w:val="left" w:leader="none"/>
                <w:tab w:pos="1822" w:val="left" w:leader="none"/>
                <w:tab w:pos="2707" w:val="left" w:leader="none"/>
                <w:tab w:pos="3045" w:val="left" w:leader="none"/>
                <w:tab w:pos="3592" w:val="left" w:leader="none"/>
                <w:tab w:pos="3930" w:val="left" w:leader="none"/>
              </w:tabs>
              <w:spacing w:before="18"/>
              <w:ind w:left="52"/>
              <w:rPr>
                <w:sz w:val="18"/>
              </w:rPr>
            </w:pPr>
            <w:r>
              <w:rPr>
                <w:sz w:val="18"/>
              </w:rPr>
              <w:t>$</w:t>
            </w:r>
            <w:r>
              <w:rPr>
                <w:spacing w:val="67"/>
                <w:sz w:val="18"/>
              </w:rPr>
              <w:t> </w:t>
            </w:r>
            <w:r>
              <w:rPr>
                <w:spacing w:val="-2"/>
                <w:sz w:val="18"/>
              </w:rPr>
              <w:t>4,771</w:t>
            </w:r>
            <w:r>
              <w:rPr>
                <w:sz w:val="18"/>
              </w:rPr>
              <w:tab/>
              <w:t>$</w:t>
            </w:r>
            <w:r>
              <w:rPr>
                <w:spacing w:val="-23"/>
                <w:sz w:val="18"/>
              </w:rPr>
              <w:t> </w:t>
            </w:r>
            <w:r>
              <w:rPr>
                <w:spacing w:val="-2"/>
                <w:sz w:val="18"/>
              </w:rPr>
              <w:t>10,641</w:t>
            </w:r>
            <w:r>
              <w:rPr>
                <w:sz w:val="18"/>
              </w:rPr>
              <w:tab/>
              <w:t>$</w:t>
            </w:r>
            <w:r>
              <w:rPr>
                <w:spacing w:val="65"/>
                <w:sz w:val="18"/>
              </w:rPr>
              <w:t> </w:t>
            </w:r>
            <w:r>
              <w:rPr>
                <w:spacing w:val="-2"/>
                <w:sz w:val="18"/>
              </w:rPr>
              <w:t>3,549</w:t>
            </w:r>
            <w:r>
              <w:rPr>
                <w:sz w:val="18"/>
              </w:rPr>
              <w:tab/>
            </w:r>
            <w:r>
              <w:rPr>
                <w:spacing w:val="-10"/>
                <w:sz w:val="18"/>
              </w:rPr>
              <w:t>$</w:t>
            </w:r>
            <w:r>
              <w:rPr>
                <w:sz w:val="18"/>
              </w:rPr>
              <w:tab/>
            </w:r>
            <w:r>
              <w:rPr>
                <w:spacing w:val="-5"/>
                <w:sz w:val="18"/>
              </w:rPr>
              <w:t>749</w:t>
            </w:r>
            <w:r>
              <w:rPr>
                <w:sz w:val="18"/>
              </w:rPr>
              <w:tab/>
            </w:r>
            <w:r>
              <w:rPr>
                <w:spacing w:val="-10"/>
                <w:sz w:val="18"/>
              </w:rPr>
              <w:t>$</w:t>
            </w:r>
            <w:r>
              <w:rPr>
                <w:sz w:val="18"/>
              </w:rPr>
              <w:tab/>
            </w:r>
            <w:r>
              <w:rPr>
                <w:spacing w:val="-5"/>
                <w:sz w:val="18"/>
              </w:rPr>
              <w:t>940</w:t>
            </w:r>
          </w:p>
        </w:tc>
        <w:tc>
          <w:tcPr>
            <w:tcW w:w="949" w:type="dxa"/>
            <w:shd w:val="clear" w:color="auto" w:fill="CCEDFF"/>
          </w:tcPr>
          <w:p>
            <w:pPr>
              <w:pStyle w:val="TableParagraph"/>
              <w:spacing w:before="18"/>
              <w:ind w:left="52"/>
              <w:rPr>
                <w:sz w:val="18"/>
              </w:rPr>
            </w:pPr>
            <w:r>
              <w:rPr>
                <w:sz w:val="18"/>
              </w:rPr>
              <w:t>$</w:t>
            </w:r>
            <w:r>
              <w:rPr>
                <w:spacing w:val="52"/>
                <w:sz w:val="18"/>
              </w:rPr>
              <w:t> </w:t>
            </w:r>
            <w:r>
              <w:rPr>
                <w:spacing w:val="-2"/>
                <w:sz w:val="18"/>
              </w:rPr>
              <w:t>20,650</w:t>
            </w:r>
          </w:p>
        </w:tc>
        <w:tc>
          <w:tcPr>
            <w:tcW w:w="1020" w:type="dxa"/>
            <w:shd w:val="clear" w:color="auto" w:fill="CCEDFF"/>
          </w:tcPr>
          <w:p>
            <w:pPr>
              <w:pStyle w:val="TableParagraph"/>
              <w:tabs>
                <w:tab w:pos="536" w:val="left" w:leader="none"/>
              </w:tabs>
              <w:spacing w:before="18"/>
              <w:ind w:left="63"/>
              <w:rPr>
                <w:sz w:val="18"/>
              </w:rPr>
            </w:pPr>
            <w:r>
              <w:rPr>
                <w:spacing w:val="-10"/>
                <w:sz w:val="18"/>
              </w:rPr>
              <w:t>$</w:t>
            </w:r>
            <w:r>
              <w:rPr>
                <w:sz w:val="18"/>
              </w:rPr>
              <w:tab/>
            </w:r>
            <w:r>
              <w:rPr>
                <w:spacing w:val="-5"/>
                <w:sz w:val="18"/>
              </w:rPr>
              <w:t>332</w:t>
            </w:r>
          </w:p>
        </w:tc>
        <w:tc>
          <w:tcPr>
            <w:tcW w:w="960" w:type="dxa"/>
            <w:shd w:val="clear" w:color="auto" w:fill="CCEDFF"/>
          </w:tcPr>
          <w:p>
            <w:pPr>
              <w:pStyle w:val="TableParagraph"/>
              <w:tabs>
                <w:tab w:pos="476" w:val="left" w:leader="none"/>
              </w:tabs>
              <w:spacing w:before="18"/>
              <w:ind w:left="63"/>
              <w:rPr>
                <w:sz w:val="18"/>
              </w:rPr>
            </w:pPr>
            <w:r>
              <w:rPr>
                <w:spacing w:val="-10"/>
                <w:sz w:val="18"/>
              </w:rPr>
              <w:t>$</w:t>
            </w:r>
            <w:r>
              <w:rPr>
                <w:sz w:val="18"/>
              </w:rPr>
              <w:tab/>
            </w:r>
            <w:r>
              <w:rPr>
                <w:spacing w:val="-5"/>
                <w:sz w:val="18"/>
              </w:rPr>
              <w:t>153</w:t>
            </w:r>
          </w:p>
        </w:tc>
        <w:tc>
          <w:tcPr>
            <w:tcW w:w="896" w:type="dxa"/>
            <w:shd w:val="clear" w:color="auto" w:fill="CCEDFF"/>
          </w:tcPr>
          <w:p>
            <w:pPr>
              <w:pStyle w:val="TableParagraph"/>
              <w:tabs>
                <w:tab w:pos="401" w:val="left" w:leader="none"/>
              </w:tabs>
              <w:spacing w:before="18"/>
              <w:ind w:left="63"/>
              <w:rPr>
                <w:sz w:val="18"/>
              </w:rPr>
            </w:pPr>
            <w:r>
              <w:rPr>
                <w:spacing w:val="-10"/>
                <w:sz w:val="18"/>
              </w:rPr>
              <w:t>$</w:t>
            </w:r>
            <w:r>
              <w:rPr>
                <w:sz w:val="18"/>
              </w:rPr>
              <w:tab/>
            </w:r>
            <w:r>
              <w:rPr>
                <w:spacing w:val="-5"/>
                <w:sz w:val="18"/>
              </w:rPr>
              <w:t>485</w:t>
            </w:r>
          </w:p>
        </w:tc>
      </w:tr>
      <w:tr>
        <w:trPr>
          <w:trHeight w:val="255" w:hRule="atLeast"/>
        </w:trPr>
        <w:tc>
          <w:tcPr>
            <w:tcW w:w="2010" w:type="dxa"/>
          </w:tcPr>
          <w:p>
            <w:pPr>
              <w:pStyle w:val="TableParagraph"/>
              <w:spacing w:before="18"/>
              <w:ind w:left="187"/>
              <w:rPr>
                <w:sz w:val="18"/>
              </w:rPr>
            </w:pPr>
            <w:r>
              <w:rPr>
                <w:sz w:val="18"/>
              </w:rPr>
              <w:t>&gt;70%</w:t>
            </w:r>
            <w:r>
              <w:rPr>
                <w:spacing w:val="-2"/>
                <w:sz w:val="18"/>
              </w:rPr>
              <w:t> </w:t>
            </w:r>
            <w:r>
              <w:rPr>
                <w:sz w:val="18"/>
              </w:rPr>
              <w:t>– </w:t>
            </w:r>
            <w:r>
              <w:rPr>
                <w:spacing w:val="-4"/>
                <w:sz w:val="18"/>
              </w:rPr>
              <w:t>≤90%</w:t>
            </w:r>
          </w:p>
        </w:tc>
        <w:tc>
          <w:tcPr>
            <w:tcW w:w="4425" w:type="dxa"/>
          </w:tcPr>
          <w:p>
            <w:pPr>
              <w:pStyle w:val="TableParagraph"/>
              <w:tabs>
                <w:tab w:pos="1140" w:val="left" w:leader="none"/>
                <w:tab w:pos="2160" w:val="left" w:leader="none"/>
                <w:tab w:pos="3045" w:val="left" w:leader="none"/>
                <w:tab w:pos="3930" w:val="left" w:leader="none"/>
              </w:tabs>
              <w:spacing w:before="18"/>
              <w:ind w:left="255"/>
              <w:rPr>
                <w:sz w:val="18"/>
              </w:rPr>
            </w:pPr>
            <w:r>
              <w:rPr>
                <w:spacing w:val="-2"/>
                <w:sz w:val="18"/>
              </w:rPr>
              <w:t>1,673</w:t>
            </w:r>
            <w:r>
              <w:rPr>
                <w:sz w:val="18"/>
              </w:rPr>
              <w:tab/>
            </w:r>
            <w:r>
              <w:rPr>
                <w:spacing w:val="-2"/>
                <w:sz w:val="18"/>
              </w:rPr>
              <w:t>1,652</w:t>
            </w:r>
            <w:r>
              <w:rPr>
                <w:sz w:val="18"/>
              </w:rPr>
              <w:tab/>
            </w:r>
            <w:r>
              <w:rPr>
                <w:spacing w:val="-5"/>
                <w:sz w:val="18"/>
              </w:rPr>
              <w:t>721</w:t>
            </w:r>
            <w:r>
              <w:rPr>
                <w:sz w:val="18"/>
              </w:rPr>
              <w:tab/>
            </w:r>
            <w:r>
              <w:rPr>
                <w:spacing w:val="-5"/>
                <w:sz w:val="18"/>
              </w:rPr>
              <w:t>180</w:t>
            </w:r>
            <w:r>
              <w:rPr>
                <w:sz w:val="18"/>
              </w:rPr>
              <w:tab/>
            </w:r>
            <w:r>
              <w:rPr>
                <w:spacing w:val="-5"/>
                <w:sz w:val="18"/>
              </w:rPr>
              <w:t>320</w:t>
            </w:r>
          </w:p>
        </w:tc>
        <w:tc>
          <w:tcPr>
            <w:tcW w:w="949" w:type="dxa"/>
          </w:tcPr>
          <w:p>
            <w:pPr>
              <w:pStyle w:val="TableParagraph"/>
              <w:spacing w:before="18"/>
              <w:ind w:left="330"/>
              <w:rPr>
                <w:sz w:val="18"/>
              </w:rPr>
            </w:pPr>
            <w:r>
              <w:rPr>
                <w:spacing w:val="-2"/>
                <w:sz w:val="18"/>
              </w:rPr>
              <w:t>4,546</w:t>
            </w:r>
          </w:p>
        </w:tc>
        <w:tc>
          <w:tcPr>
            <w:tcW w:w="1020" w:type="dxa"/>
          </w:tcPr>
          <w:p>
            <w:pPr>
              <w:pStyle w:val="TableParagraph"/>
              <w:spacing w:before="18"/>
              <w:ind w:left="626"/>
              <w:rPr>
                <w:sz w:val="18"/>
              </w:rPr>
            </w:pPr>
            <w:r>
              <w:rPr>
                <w:spacing w:val="-5"/>
                <w:sz w:val="18"/>
              </w:rPr>
              <w:t>50</w:t>
            </w:r>
          </w:p>
        </w:tc>
        <w:tc>
          <w:tcPr>
            <w:tcW w:w="960" w:type="dxa"/>
          </w:tcPr>
          <w:p>
            <w:pPr>
              <w:pStyle w:val="TableParagraph"/>
              <w:spacing w:before="18"/>
              <w:ind w:left="566"/>
              <w:rPr>
                <w:sz w:val="18"/>
              </w:rPr>
            </w:pPr>
            <w:r>
              <w:rPr>
                <w:spacing w:val="-5"/>
                <w:sz w:val="18"/>
              </w:rPr>
              <w:t>61</w:t>
            </w:r>
          </w:p>
        </w:tc>
        <w:tc>
          <w:tcPr>
            <w:tcW w:w="896" w:type="dxa"/>
          </w:tcPr>
          <w:p>
            <w:pPr>
              <w:pStyle w:val="TableParagraph"/>
              <w:spacing w:before="18"/>
              <w:ind w:left="401"/>
              <w:rPr>
                <w:sz w:val="18"/>
              </w:rPr>
            </w:pPr>
            <w:r>
              <w:rPr>
                <w:spacing w:val="-5"/>
                <w:sz w:val="18"/>
              </w:rPr>
              <w:t>111</w:t>
            </w:r>
          </w:p>
        </w:tc>
      </w:tr>
      <w:tr>
        <w:trPr>
          <w:trHeight w:val="250" w:hRule="atLeast"/>
        </w:trPr>
        <w:tc>
          <w:tcPr>
            <w:tcW w:w="2010" w:type="dxa"/>
            <w:tcBorders>
              <w:bottom w:val="single" w:sz="4" w:space="0" w:color="000000"/>
            </w:tcBorders>
            <w:shd w:val="clear" w:color="auto" w:fill="CCEDFF"/>
          </w:tcPr>
          <w:p>
            <w:pPr>
              <w:pStyle w:val="TableParagraph"/>
              <w:spacing w:before="18"/>
              <w:ind w:left="187"/>
              <w:rPr>
                <w:sz w:val="18"/>
              </w:rPr>
            </w:pPr>
            <w:r>
              <w:rPr>
                <w:sz w:val="18"/>
              </w:rPr>
              <w:t>&gt;90% – </w:t>
            </w:r>
            <w:r>
              <w:rPr>
                <w:spacing w:val="-2"/>
                <w:sz w:val="18"/>
              </w:rPr>
              <w:t>≤100%</w:t>
            </w:r>
          </w:p>
        </w:tc>
        <w:tc>
          <w:tcPr>
            <w:tcW w:w="4425" w:type="dxa"/>
            <w:tcBorders>
              <w:bottom w:val="single" w:sz="4" w:space="0" w:color="000000"/>
            </w:tcBorders>
            <w:shd w:val="clear" w:color="auto" w:fill="CCEDFF"/>
          </w:tcPr>
          <w:p>
            <w:pPr>
              <w:pStyle w:val="TableParagraph"/>
              <w:tabs>
                <w:tab w:pos="1365" w:val="left" w:leader="none"/>
                <w:tab w:pos="2250" w:val="left" w:leader="none"/>
                <w:tab w:pos="3135" w:val="left" w:leader="none"/>
                <w:tab w:pos="4110" w:val="left" w:leader="none"/>
              </w:tabs>
              <w:spacing w:before="18"/>
              <w:ind w:left="480"/>
              <w:rPr>
                <w:sz w:val="18"/>
              </w:rPr>
            </w:pP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2</w:t>
            </w:r>
          </w:p>
        </w:tc>
        <w:tc>
          <w:tcPr>
            <w:tcW w:w="949" w:type="dxa"/>
            <w:tcBorders>
              <w:bottom w:val="single" w:sz="4" w:space="0" w:color="000000"/>
            </w:tcBorders>
            <w:shd w:val="clear" w:color="auto" w:fill="CCEDFF"/>
          </w:tcPr>
          <w:p>
            <w:pPr>
              <w:pStyle w:val="TableParagraph"/>
              <w:spacing w:before="18"/>
              <w:ind w:right="211"/>
              <w:jc w:val="right"/>
              <w:rPr>
                <w:sz w:val="18"/>
              </w:rPr>
            </w:pPr>
            <w:r>
              <w:rPr>
                <w:spacing w:val="-10"/>
                <w:sz w:val="18"/>
              </w:rPr>
              <w:t>2</w:t>
            </w:r>
          </w:p>
        </w:tc>
        <w:tc>
          <w:tcPr>
            <w:tcW w:w="1020" w:type="dxa"/>
            <w:tcBorders>
              <w:bottom w:val="single" w:sz="4" w:space="0" w:color="000000"/>
            </w:tcBorders>
            <w:shd w:val="clear" w:color="auto" w:fill="CCEDFF"/>
          </w:tcPr>
          <w:p>
            <w:pPr>
              <w:pStyle w:val="TableParagraph"/>
              <w:spacing w:before="18"/>
              <w:ind w:left="626"/>
              <w:rPr>
                <w:sz w:val="18"/>
              </w:rPr>
            </w:pPr>
            <w:r>
              <w:rPr>
                <w:spacing w:val="-10"/>
                <w:sz w:val="18"/>
              </w:rPr>
              <w:t>—</w:t>
            </w:r>
          </w:p>
        </w:tc>
        <w:tc>
          <w:tcPr>
            <w:tcW w:w="960" w:type="dxa"/>
            <w:tcBorders>
              <w:bottom w:val="single" w:sz="4" w:space="0" w:color="000000"/>
            </w:tcBorders>
            <w:shd w:val="clear" w:color="auto" w:fill="CCEDFF"/>
          </w:tcPr>
          <w:p>
            <w:pPr>
              <w:pStyle w:val="TableParagraph"/>
              <w:spacing w:before="18"/>
              <w:ind w:right="211"/>
              <w:jc w:val="right"/>
              <w:rPr>
                <w:sz w:val="18"/>
              </w:rPr>
            </w:pPr>
            <w:r>
              <w:rPr>
                <w:spacing w:val="-10"/>
                <w:sz w:val="18"/>
              </w:rPr>
              <w:t>1</w:t>
            </w:r>
          </w:p>
        </w:tc>
        <w:tc>
          <w:tcPr>
            <w:tcW w:w="896" w:type="dxa"/>
            <w:tcBorders>
              <w:bottom w:val="single" w:sz="4" w:space="0" w:color="000000"/>
            </w:tcBorders>
            <w:shd w:val="clear" w:color="auto" w:fill="CCEDFF"/>
          </w:tcPr>
          <w:p>
            <w:pPr>
              <w:pStyle w:val="TableParagraph"/>
              <w:spacing w:before="18"/>
              <w:ind w:left="581"/>
              <w:rPr>
                <w:sz w:val="18"/>
              </w:rPr>
            </w:pPr>
            <w:r>
              <w:rPr>
                <w:spacing w:val="-10"/>
                <w:sz w:val="18"/>
              </w:rPr>
              <w:t>1</w:t>
            </w:r>
          </w:p>
        </w:tc>
      </w:tr>
      <w:tr>
        <w:trPr>
          <w:trHeight w:val="220" w:hRule="atLeast"/>
        </w:trPr>
        <w:tc>
          <w:tcPr>
            <w:tcW w:w="2010" w:type="dxa"/>
            <w:tcBorders>
              <w:top w:val="single" w:sz="4" w:space="0" w:color="000000"/>
              <w:bottom w:val="double" w:sz="8" w:space="0" w:color="000000"/>
            </w:tcBorders>
          </w:tcPr>
          <w:p>
            <w:pPr>
              <w:pStyle w:val="TableParagraph"/>
              <w:spacing w:line="187" w:lineRule="exact" w:before="13"/>
              <w:ind w:left="277"/>
              <w:rPr>
                <w:sz w:val="18"/>
              </w:rPr>
            </w:pPr>
            <w:r>
              <w:rPr>
                <w:spacing w:val="-2"/>
                <w:sz w:val="18"/>
              </w:rPr>
              <w:t>Total</w:t>
            </w:r>
          </w:p>
        </w:tc>
        <w:tc>
          <w:tcPr>
            <w:tcW w:w="4425" w:type="dxa"/>
            <w:tcBorders>
              <w:top w:val="single" w:sz="4" w:space="0" w:color="000000"/>
              <w:bottom w:val="double" w:sz="8" w:space="0" w:color="000000"/>
            </w:tcBorders>
          </w:tcPr>
          <w:p>
            <w:pPr>
              <w:pStyle w:val="TableParagraph"/>
              <w:tabs>
                <w:tab w:pos="937" w:val="left" w:leader="none"/>
                <w:tab w:pos="1822" w:val="left" w:leader="none"/>
                <w:tab w:pos="2707" w:val="left" w:leader="none"/>
                <w:tab w:pos="3045" w:val="left" w:leader="none"/>
                <w:tab w:pos="3592" w:val="left" w:leader="none"/>
              </w:tabs>
              <w:spacing w:line="187" w:lineRule="exact" w:before="13"/>
              <w:ind w:left="52"/>
              <w:rPr>
                <w:sz w:val="18"/>
              </w:rPr>
            </w:pPr>
            <w:r>
              <w:rPr>
                <w:sz w:val="18"/>
              </w:rPr>
              <w:t>$</w:t>
            </w:r>
            <w:r>
              <w:rPr>
                <w:spacing w:val="67"/>
                <w:sz w:val="18"/>
              </w:rPr>
              <w:t> </w:t>
            </w:r>
            <w:r>
              <w:rPr>
                <w:spacing w:val="-2"/>
                <w:sz w:val="18"/>
              </w:rPr>
              <w:t>6,444</w:t>
            </w:r>
            <w:r>
              <w:rPr>
                <w:sz w:val="18"/>
              </w:rPr>
              <w:tab/>
              <w:t>$</w:t>
            </w:r>
            <w:r>
              <w:rPr>
                <w:spacing w:val="-23"/>
                <w:sz w:val="18"/>
              </w:rPr>
              <w:t> </w:t>
            </w:r>
            <w:r>
              <w:rPr>
                <w:spacing w:val="-2"/>
                <w:sz w:val="18"/>
              </w:rPr>
              <w:t>12,293</w:t>
            </w:r>
            <w:r>
              <w:rPr>
                <w:sz w:val="18"/>
              </w:rPr>
              <w:tab/>
              <w:t>$</w:t>
            </w:r>
            <w:r>
              <w:rPr>
                <w:spacing w:val="65"/>
                <w:sz w:val="18"/>
              </w:rPr>
              <w:t> </w:t>
            </w:r>
            <w:r>
              <w:rPr>
                <w:spacing w:val="-2"/>
                <w:sz w:val="18"/>
              </w:rPr>
              <w:t>4,270</w:t>
            </w:r>
            <w:r>
              <w:rPr>
                <w:sz w:val="18"/>
              </w:rPr>
              <w:tab/>
            </w:r>
            <w:r>
              <w:rPr>
                <w:spacing w:val="-10"/>
                <w:sz w:val="18"/>
              </w:rPr>
              <w:t>$</w:t>
            </w:r>
            <w:r>
              <w:rPr>
                <w:sz w:val="18"/>
              </w:rPr>
              <w:tab/>
            </w:r>
            <w:r>
              <w:rPr>
                <w:spacing w:val="-5"/>
                <w:sz w:val="18"/>
              </w:rPr>
              <w:t>929</w:t>
            </w:r>
            <w:r>
              <w:rPr>
                <w:sz w:val="18"/>
              </w:rPr>
              <w:tab/>
              <w:t>$</w:t>
            </w:r>
            <w:r>
              <w:rPr>
                <w:spacing w:val="65"/>
                <w:sz w:val="18"/>
              </w:rPr>
              <w:t> </w:t>
            </w:r>
            <w:r>
              <w:rPr>
                <w:spacing w:val="-2"/>
                <w:sz w:val="18"/>
              </w:rPr>
              <w:t>1,262</w:t>
            </w:r>
          </w:p>
        </w:tc>
        <w:tc>
          <w:tcPr>
            <w:tcW w:w="949" w:type="dxa"/>
            <w:tcBorders>
              <w:top w:val="single" w:sz="4" w:space="0" w:color="000000"/>
              <w:bottom w:val="double" w:sz="8" w:space="0" w:color="000000"/>
            </w:tcBorders>
          </w:tcPr>
          <w:p>
            <w:pPr>
              <w:pStyle w:val="TableParagraph"/>
              <w:spacing w:line="187" w:lineRule="exact" w:before="13"/>
              <w:ind w:left="52"/>
              <w:rPr>
                <w:sz w:val="18"/>
              </w:rPr>
            </w:pPr>
            <w:r>
              <w:rPr>
                <w:sz w:val="18"/>
              </w:rPr>
              <w:t>$</w:t>
            </w:r>
            <w:r>
              <w:rPr>
                <w:spacing w:val="52"/>
                <w:sz w:val="18"/>
              </w:rPr>
              <w:t> </w:t>
            </w:r>
            <w:r>
              <w:rPr>
                <w:spacing w:val="-2"/>
                <w:sz w:val="18"/>
              </w:rPr>
              <w:t>25,198</w:t>
            </w:r>
          </w:p>
        </w:tc>
        <w:tc>
          <w:tcPr>
            <w:tcW w:w="1020" w:type="dxa"/>
            <w:tcBorders>
              <w:top w:val="single" w:sz="4" w:space="0" w:color="000000"/>
              <w:bottom w:val="double" w:sz="8" w:space="0" w:color="000000"/>
            </w:tcBorders>
          </w:tcPr>
          <w:p>
            <w:pPr>
              <w:pStyle w:val="TableParagraph"/>
              <w:tabs>
                <w:tab w:pos="536" w:val="left" w:leader="none"/>
              </w:tabs>
              <w:spacing w:line="187" w:lineRule="exact" w:before="13"/>
              <w:ind w:left="63"/>
              <w:rPr>
                <w:sz w:val="18"/>
              </w:rPr>
            </w:pPr>
            <w:r>
              <w:rPr>
                <w:spacing w:val="-10"/>
                <w:sz w:val="18"/>
              </w:rPr>
              <w:t>$</w:t>
            </w:r>
            <w:r>
              <w:rPr>
                <w:sz w:val="18"/>
              </w:rPr>
              <w:tab/>
            </w:r>
            <w:r>
              <w:rPr>
                <w:spacing w:val="-5"/>
                <w:sz w:val="18"/>
              </w:rPr>
              <w:t>382</w:t>
            </w:r>
          </w:p>
        </w:tc>
        <w:tc>
          <w:tcPr>
            <w:tcW w:w="960" w:type="dxa"/>
            <w:tcBorders>
              <w:top w:val="single" w:sz="4" w:space="0" w:color="000000"/>
              <w:bottom w:val="double" w:sz="8" w:space="0" w:color="000000"/>
            </w:tcBorders>
          </w:tcPr>
          <w:p>
            <w:pPr>
              <w:pStyle w:val="TableParagraph"/>
              <w:tabs>
                <w:tab w:pos="476" w:val="left" w:leader="none"/>
              </w:tabs>
              <w:spacing w:line="187" w:lineRule="exact" w:before="13"/>
              <w:ind w:left="63"/>
              <w:rPr>
                <w:sz w:val="18"/>
              </w:rPr>
            </w:pPr>
            <w:r>
              <w:rPr>
                <w:spacing w:val="-10"/>
                <w:sz w:val="18"/>
              </w:rPr>
              <w:t>$</w:t>
            </w:r>
            <w:r>
              <w:rPr>
                <w:sz w:val="18"/>
              </w:rPr>
              <w:tab/>
            </w:r>
            <w:r>
              <w:rPr>
                <w:spacing w:val="-5"/>
                <w:sz w:val="18"/>
              </w:rPr>
              <w:t>215</w:t>
            </w:r>
          </w:p>
        </w:tc>
        <w:tc>
          <w:tcPr>
            <w:tcW w:w="896" w:type="dxa"/>
            <w:tcBorders>
              <w:top w:val="single" w:sz="4" w:space="0" w:color="000000"/>
              <w:bottom w:val="double" w:sz="8" w:space="0" w:color="000000"/>
            </w:tcBorders>
          </w:tcPr>
          <w:p>
            <w:pPr>
              <w:pStyle w:val="TableParagraph"/>
              <w:tabs>
                <w:tab w:pos="401" w:val="left" w:leader="none"/>
              </w:tabs>
              <w:spacing w:line="187" w:lineRule="exact" w:before="13"/>
              <w:ind w:left="63"/>
              <w:rPr>
                <w:sz w:val="18"/>
              </w:rPr>
            </w:pPr>
            <w:r>
              <w:rPr>
                <w:spacing w:val="-10"/>
                <w:sz w:val="18"/>
              </w:rPr>
              <w:t>$</w:t>
            </w:r>
            <w:r>
              <w:rPr>
                <w:sz w:val="18"/>
              </w:rPr>
              <w:tab/>
            </w:r>
            <w:r>
              <w:rPr>
                <w:spacing w:val="-5"/>
                <w:sz w:val="18"/>
              </w:rPr>
              <w:t>597</w:t>
            </w:r>
          </w:p>
        </w:tc>
      </w:tr>
      <w:tr>
        <w:trPr>
          <w:trHeight w:val="225" w:hRule="atLeast"/>
        </w:trPr>
        <w:tc>
          <w:tcPr>
            <w:tcW w:w="2010" w:type="dxa"/>
            <w:tcBorders>
              <w:top w:val="double" w:sz="8" w:space="0" w:color="000000"/>
            </w:tcBorders>
            <w:shd w:val="clear" w:color="auto" w:fill="CCEDFF"/>
          </w:tcPr>
          <w:p>
            <w:pPr>
              <w:pStyle w:val="TableParagraph"/>
              <w:spacing w:line="195" w:lineRule="exact"/>
              <w:ind w:left="52"/>
              <w:rPr>
                <w:sz w:val="18"/>
              </w:rPr>
            </w:pPr>
            <w:r>
              <w:rPr>
                <w:sz w:val="18"/>
              </w:rPr>
              <w:t>Updated</w:t>
            </w:r>
            <w:r>
              <w:rPr>
                <w:spacing w:val="-3"/>
                <w:sz w:val="18"/>
              </w:rPr>
              <w:t> </w:t>
            </w:r>
            <w:r>
              <w:rPr>
                <w:spacing w:val="-4"/>
                <w:sz w:val="18"/>
              </w:rPr>
              <w:t>FICO</w:t>
            </w:r>
          </w:p>
        </w:tc>
        <w:tc>
          <w:tcPr>
            <w:tcW w:w="4425" w:type="dxa"/>
            <w:tcBorders>
              <w:top w:val="double" w:sz="8" w:space="0" w:color="000000"/>
            </w:tcBorders>
            <w:shd w:val="clear" w:color="auto" w:fill="CCEDFF"/>
          </w:tcPr>
          <w:p>
            <w:pPr>
              <w:pStyle w:val="TableParagraph"/>
              <w:rPr>
                <w:sz w:val="16"/>
              </w:rPr>
            </w:pPr>
          </w:p>
        </w:tc>
        <w:tc>
          <w:tcPr>
            <w:tcW w:w="949" w:type="dxa"/>
            <w:tcBorders>
              <w:top w:val="double" w:sz="8" w:space="0" w:color="000000"/>
            </w:tcBorders>
            <w:shd w:val="clear" w:color="auto" w:fill="CCEDFF"/>
          </w:tcPr>
          <w:p>
            <w:pPr>
              <w:pStyle w:val="TableParagraph"/>
              <w:rPr>
                <w:sz w:val="16"/>
              </w:rPr>
            </w:pPr>
          </w:p>
        </w:tc>
        <w:tc>
          <w:tcPr>
            <w:tcW w:w="1020" w:type="dxa"/>
            <w:tcBorders>
              <w:top w:val="double" w:sz="8" w:space="0" w:color="000000"/>
            </w:tcBorders>
            <w:shd w:val="clear" w:color="auto" w:fill="CCEDFF"/>
          </w:tcPr>
          <w:p>
            <w:pPr>
              <w:pStyle w:val="TableParagraph"/>
              <w:rPr>
                <w:sz w:val="16"/>
              </w:rPr>
            </w:pPr>
          </w:p>
        </w:tc>
        <w:tc>
          <w:tcPr>
            <w:tcW w:w="960" w:type="dxa"/>
            <w:tcBorders>
              <w:top w:val="double" w:sz="8" w:space="0" w:color="000000"/>
            </w:tcBorders>
            <w:shd w:val="clear" w:color="auto" w:fill="CCEDFF"/>
          </w:tcPr>
          <w:p>
            <w:pPr>
              <w:pStyle w:val="TableParagraph"/>
              <w:rPr>
                <w:sz w:val="16"/>
              </w:rPr>
            </w:pPr>
          </w:p>
        </w:tc>
        <w:tc>
          <w:tcPr>
            <w:tcW w:w="896" w:type="dxa"/>
            <w:tcBorders>
              <w:top w:val="double" w:sz="8" w:space="0" w:color="000000"/>
            </w:tcBorders>
            <w:shd w:val="clear" w:color="auto" w:fill="CCEDFF"/>
          </w:tcPr>
          <w:p>
            <w:pPr>
              <w:pStyle w:val="TableParagraph"/>
              <w:rPr>
                <w:sz w:val="16"/>
              </w:rPr>
            </w:pPr>
          </w:p>
        </w:tc>
      </w:tr>
      <w:tr>
        <w:trPr>
          <w:trHeight w:val="255" w:hRule="atLeast"/>
        </w:trPr>
        <w:tc>
          <w:tcPr>
            <w:tcW w:w="2010" w:type="dxa"/>
          </w:tcPr>
          <w:p>
            <w:pPr>
              <w:pStyle w:val="TableParagraph"/>
              <w:spacing w:before="18"/>
              <w:ind w:left="187"/>
              <w:rPr>
                <w:sz w:val="18"/>
              </w:rPr>
            </w:pPr>
            <w:r>
              <w:rPr>
                <w:spacing w:val="-4"/>
                <w:sz w:val="18"/>
              </w:rPr>
              <w:t>&lt;620</w:t>
            </w:r>
          </w:p>
        </w:tc>
        <w:tc>
          <w:tcPr>
            <w:tcW w:w="4425" w:type="dxa"/>
          </w:tcPr>
          <w:p>
            <w:pPr>
              <w:pStyle w:val="TableParagraph"/>
              <w:tabs>
                <w:tab w:pos="480" w:val="left" w:leader="none"/>
                <w:tab w:pos="937" w:val="left" w:leader="none"/>
                <w:tab w:pos="1365" w:val="left" w:leader="none"/>
                <w:tab w:pos="1822" w:val="left" w:leader="none"/>
                <w:tab w:pos="2340" w:val="left" w:leader="none"/>
                <w:tab w:pos="2707" w:val="left" w:leader="none"/>
                <w:tab w:pos="3225" w:val="left" w:leader="none"/>
                <w:tab w:pos="3592" w:val="left" w:leader="none"/>
                <w:tab w:pos="4020" w:val="left" w:leader="none"/>
              </w:tabs>
              <w:spacing w:before="18"/>
              <w:ind w:left="52"/>
              <w:rPr>
                <w:sz w:val="18"/>
              </w:rPr>
            </w:pPr>
            <w:r>
              <w:rPr>
                <w:spacing w:val="-10"/>
                <w:sz w:val="18"/>
              </w:rPr>
              <w:t>$</w:t>
            </w:r>
            <w:r>
              <w:rPr>
                <w:sz w:val="18"/>
              </w:rPr>
              <w:tab/>
            </w:r>
            <w:r>
              <w:rPr>
                <w:spacing w:val="-5"/>
                <w:sz w:val="18"/>
              </w:rPr>
              <w:t>11</w:t>
            </w:r>
            <w:r>
              <w:rPr>
                <w:sz w:val="18"/>
              </w:rPr>
              <w:tab/>
            </w:r>
            <w:r>
              <w:rPr>
                <w:spacing w:val="-10"/>
                <w:sz w:val="18"/>
              </w:rPr>
              <w:t>$</w:t>
            </w:r>
            <w:r>
              <w:rPr>
                <w:sz w:val="18"/>
              </w:rPr>
              <w:tab/>
            </w:r>
            <w:r>
              <w:rPr>
                <w:spacing w:val="-5"/>
                <w:sz w:val="18"/>
              </w:rPr>
              <w:t>12</w:t>
            </w:r>
            <w:r>
              <w:rPr>
                <w:sz w:val="18"/>
              </w:rPr>
              <w:tab/>
            </w:r>
            <w:r>
              <w:rPr>
                <w:spacing w:val="-10"/>
                <w:sz w:val="18"/>
              </w:rPr>
              <w:t>$</w:t>
            </w:r>
            <w:r>
              <w:rPr>
                <w:sz w:val="18"/>
              </w:rPr>
              <w:tab/>
            </w:r>
            <w:r>
              <w:rPr>
                <w:spacing w:val="-10"/>
                <w:sz w:val="18"/>
              </w:rPr>
              <w:t>7</w:t>
            </w:r>
            <w:r>
              <w:rPr>
                <w:sz w:val="18"/>
              </w:rPr>
              <w:tab/>
            </w:r>
            <w:r>
              <w:rPr>
                <w:spacing w:val="-10"/>
                <w:sz w:val="18"/>
              </w:rPr>
              <w:t>$</w:t>
            </w:r>
            <w:r>
              <w:rPr>
                <w:sz w:val="18"/>
              </w:rPr>
              <w:tab/>
            </w:r>
            <w:r>
              <w:rPr>
                <w:spacing w:val="-10"/>
                <w:sz w:val="18"/>
              </w:rPr>
              <w:t>2</w:t>
            </w:r>
            <w:r>
              <w:rPr>
                <w:sz w:val="18"/>
              </w:rPr>
              <w:tab/>
            </w:r>
            <w:r>
              <w:rPr>
                <w:spacing w:val="-10"/>
                <w:sz w:val="18"/>
              </w:rPr>
              <w:t>$</w:t>
            </w:r>
            <w:r>
              <w:rPr>
                <w:sz w:val="18"/>
              </w:rPr>
              <w:tab/>
            </w:r>
            <w:r>
              <w:rPr>
                <w:spacing w:val="-5"/>
                <w:sz w:val="18"/>
              </w:rPr>
              <w:t>13</w:t>
            </w:r>
          </w:p>
        </w:tc>
        <w:tc>
          <w:tcPr>
            <w:tcW w:w="949" w:type="dxa"/>
          </w:tcPr>
          <w:p>
            <w:pPr>
              <w:pStyle w:val="TableParagraph"/>
              <w:tabs>
                <w:tab w:pos="555" w:val="left" w:leader="none"/>
              </w:tabs>
              <w:spacing w:before="18"/>
              <w:ind w:left="52"/>
              <w:rPr>
                <w:sz w:val="18"/>
              </w:rPr>
            </w:pPr>
            <w:r>
              <w:rPr>
                <w:spacing w:val="-10"/>
                <w:sz w:val="18"/>
              </w:rPr>
              <w:t>$</w:t>
            </w:r>
            <w:r>
              <w:rPr>
                <w:sz w:val="18"/>
              </w:rPr>
              <w:tab/>
            </w:r>
            <w:r>
              <w:rPr>
                <w:spacing w:val="-5"/>
                <w:sz w:val="18"/>
              </w:rPr>
              <w:t>45</w:t>
            </w:r>
          </w:p>
        </w:tc>
        <w:tc>
          <w:tcPr>
            <w:tcW w:w="1020" w:type="dxa"/>
          </w:tcPr>
          <w:p>
            <w:pPr>
              <w:pStyle w:val="TableParagraph"/>
              <w:tabs>
                <w:tab w:pos="716" w:val="left" w:leader="none"/>
              </w:tabs>
              <w:spacing w:before="18"/>
              <w:ind w:left="63"/>
              <w:rPr>
                <w:sz w:val="18"/>
              </w:rPr>
            </w:pPr>
            <w:r>
              <w:rPr>
                <w:spacing w:val="-10"/>
                <w:sz w:val="18"/>
              </w:rPr>
              <w:t>$</w:t>
            </w:r>
            <w:r>
              <w:rPr>
                <w:sz w:val="18"/>
              </w:rPr>
              <w:tab/>
            </w:r>
            <w:r>
              <w:rPr>
                <w:spacing w:val="-10"/>
                <w:sz w:val="18"/>
              </w:rPr>
              <w:t>2</w:t>
            </w:r>
          </w:p>
        </w:tc>
        <w:tc>
          <w:tcPr>
            <w:tcW w:w="960" w:type="dxa"/>
          </w:tcPr>
          <w:p>
            <w:pPr>
              <w:pStyle w:val="TableParagraph"/>
              <w:tabs>
                <w:tab w:pos="656" w:val="left" w:leader="none"/>
              </w:tabs>
              <w:spacing w:before="18"/>
              <w:ind w:left="63"/>
              <w:rPr>
                <w:sz w:val="18"/>
              </w:rPr>
            </w:pPr>
            <w:r>
              <w:rPr>
                <w:spacing w:val="-10"/>
                <w:sz w:val="18"/>
              </w:rPr>
              <w:t>$</w:t>
            </w:r>
            <w:r>
              <w:rPr>
                <w:sz w:val="18"/>
              </w:rPr>
              <w:tab/>
            </w:r>
            <w:r>
              <w:rPr>
                <w:spacing w:val="-10"/>
                <w:sz w:val="18"/>
              </w:rPr>
              <w:t>5</w:t>
            </w:r>
          </w:p>
        </w:tc>
        <w:tc>
          <w:tcPr>
            <w:tcW w:w="896" w:type="dxa"/>
          </w:tcPr>
          <w:p>
            <w:pPr>
              <w:pStyle w:val="TableParagraph"/>
              <w:tabs>
                <w:tab w:pos="581" w:val="left" w:leader="none"/>
              </w:tabs>
              <w:spacing w:before="18"/>
              <w:ind w:left="63"/>
              <w:rPr>
                <w:sz w:val="18"/>
              </w:rPr>
            </w:pPr>
            <w:r>
              <w:rPr>
                <w:spacing w:val="-10"/>
                <w:sz w:val="18"/>
              </w:rPr>
              <w:t>$</w:t>
            </w:r>
            <w:r>
              <w:rPr>
                <w:sz w:val="18"/>
              </w:rPr>
              <w:tab/>
            </w:r>
            <w:r>
              <w:rPr>
                <w:spacing w:val="-10"/>
                <w:sz w:val="18"/>
              </w:rPr>
              <w:t>7</w:t>
            </w:r>
          </w:p>
        </w:tc>
      </w:tr>
      <w:tr>
        <w:trPr>
          <w:trHeight w:val="255" w:hRule="atLeast"/>
        </w:trPr>
        <w:tc>
          <w:tcPr>
            <w:tcW w:w="2010" w:type="dxa"/>
            <w:shd w:val="clear" w:color="auto" w:fill="CCEDFF"/>
          </w:tcPr>
          <w:p>
            <w:pPr>
              <w:pStyle w:val="TableParagraph"/>
              <w:spacing w:before="13"/>
              <w:ind w:left="187"/>
              <w:rPr>
                <w:sz w:val="18"/>
              </w:rPr>
            </w:pPr>
            <w:r>
              <w:rPr>
                <w:sz w:val="18"/>
              </w:rPr>
              <w:t>620 – </w:t>
            </w:r>
            <w:r>
              <w:rPr>
                <w:spacing w:val="-5"/>
                <w:sz w:val="18"/>
              </w:rPr>
              <w:t>679</w:t>
            </w:r>
          </w:p>
        </w:tc>
        <w:tc>
          <w:tcPr>
            <w:tcW w:w="4425" w:type="dxa"/>
            <w:shd w:val="clear" w:color="auto" w:fill="CCEDFF"/>
          </w:tcPr>
          <w:p>
            <w:pPr>
              <w:pStyle w:val="TableParagraph"/>
              <w:tabs>
                <w:tab w:pos="1275" w:val="left" w:leader="none"/>
                <w:tab w:pos="2250" w:val="left" w:leader="none"/>
                <w:tab w:pos="3135" w:val="left" w:leader="none"/>
                <w:tab w:pos="4020" w:val="left" w:leader="none"/>
              </w:tabs>
              <w:spacing w:before="13"/>
              <w:ind w:left="480"/>
              <w:rPr>
                <w:sz w:val="18"/>
              </w:rPr>
            </w:pPr>
            <w:r>
              <w:rPr>
                <w:spacing w:val="-5"/>
                <w:sz w:val="18"/>
              </w:rPr>
              <w:t>87</w:t>
            </w:r>
            <w:r>
              <w:rPr>
                <w:sz w:val="18"/>
              </w:rPr>
              <w:tab/>
            </w:r>
            <w:r>
              <w:rPr>
                <w:spacing w:val="-5"/>
                <w:sz w:val="18"/>
              </w:rPr>
              <w:t>127</w:t>
            </w:r>
            <w:r>
              <w:rPr>
                <w:sz w:val="18"/>
              </w:rPr>
              <w:tab/>
            </w:r>
            <w:r>
              <w:rPr>
                <w:spacing w:val="-5"/>
                <w:sz w:val="18"/>
              </w:rPr>
              <w:t>42</w:t>
            </w:r>
            <w:r>
              <w:rPr>
                <w:sz w:val="18"/>
              </w:rPr>
              <w:tab/>
            </w:r>
            <w:r>
              <w:rPr>
                <w:spacing w:val="-5"/>
                <w:sz w:val="18"/>
              </w:rPr>
              <w:t>10</w:t>
            </w:r>
            <w:r>
              <w:rPr>
                <w:sz w:val="18"/>
              </w:rPr>
              <w:tab/>
            </w:r>
            <w:r>
              <w:rPr>
                <w:spacing w:val="-5"/>
                <w:sz w:val="18"/>
              </w:rPr>
              <w:t>43</w:t>
            </w:r>
          </w:p>
        </w:tc>
        <w:tc>
          <w:tcPr>
            <w:tcW w:w="949" w:type="dxa"/>
            <w:shd w:val="clear" w:color="auto" w:fill="CCEDFF"/>
          </w:tcPr>
          <w:p>
            <w:pPr>
              <w:pStyle w:val="TableParagraph"/>
              <w:spacing w:before="13"/>
              <w:ind w:left="465"/>
              <w:rPr>
                <w:sz w:val="18"/>
              </w:rPr>
            </w:pPr>
            <w:r>
              <w:rPr>
                <w:spacing w:val="-5"/>
                <w:sz w:val="18"/>
              </w:rPr>
              <w:t>309</w:t>
            </w:r>
          </w:p>
        </w:tc>
        <w:tc>
          <w:tcPr>
            <w:tcW w:w="1020" w:type="dxa"/>
            <w:shd w:val="clear" w:color="auto" w:fill="CCEDFF"/>
          </w:tcPr>
          <w:p>
            <w:pPr>
              <w:pStyle w:val="TableParagraph"/>
              <w:spacing w:before="13"/>
              <w:ind w:right="211"/>
              <w:jc w:val="right"/>
              <w:rPr>
                <w:sz w:val="18"/>
              </w:rPr>
            </w:pPr>
            <w:r>
              <w:rPr>
                <w:spacing w:val="-10"/>
                <w:sz w:val="18"/>
              </w:rPr>
              <w:t>6</w:t>
            </w:r>
          </w:p>
        </w:tc>
        <w:tc>
          <w:tcPr>
            <w:tcW w:w="960" w:type="dxa"/>
            <w:shd w:val="clear" w:color="auto" w:fill="CCEDFF"/>
          </w:tcPr>
          <w:p>
            <w:pPr>
              <w:pStyle w:val="TableParagraph"/>
              <w:spacing w:before="13"/>
              <w:ind w:left="566"/>
              <w:rPr>
                <w:sz w:val="18"/>
              </w:rPr>
            </w:pPr>
            <w:r>
              <w:rPr>
                <w:spacing w:val="-5"/>
                <w:sz w:val="18"/>
              </w:rPr>
              <w:t>10</w:t>
            </w:r>
          </w:p>
        </w:tc>
        <w:tc>
          <w:tcPr>
            <w:tcW w:w="896" w:type="dxa"/>
            <w:shd w:val="clear" w:color="auto" w:fill="CCEDFF"/>
          </w:tcPr>
          <w:p>
            <w:pPr>
              <w:pStyle w:val="TableParagraph"/>
              <w:spacing w:before="13"/>
              <w:ind w:left="491"/>
              <w:rPr>
                <w:sz w:val="18"/>
              </w:rPr>
            </w:pPr>
            <w:r>
              <w:rPr>
                <w:spacing w:val="-5"/>
                <w:sz w:val="18"/>
              </w:rPr>
              <w:t>16</w:t>
            </w:r>
          </w:p>
        </w:tc>
      </w:tr>
      <w:tr>
        <w:trPr>
          <w:trHeight w:val="255" w:hRule="atLeast"/>
        </w:trPr>
        <w:tc>
          <w:tcPr>
            <w:tcW w:w="2010" w:type="dxa"/>
          </w:tcPr>
          <w:p>
            <w:pPr>
              <w:pStyle w:val="TableParagraph"/>
              <w:spacing w:before="18"/>
              <w:ind w:left="187"/>
              <w:rPr>
                <w:sz w:val="18"/>
              </w:rPr>
            </w:pPr>
            <w:r>
              <w:rPr>
                <w:sz w:val="18"/>
              </w:rPr>
              <w:t>680 – </w:t>
            </w:r>
            <w:r>
              <w:rPr>
                <w:spacing w:val="-5"/>
                <w:sz w:val="18"/>
              </w:rPr>
              <w:t>739</w:t>
            </w:r>
          </w:p>
        </w:tc>
        <w:tc>
          <w:tcPr>
            <w:tcW w:w="4425" w:type="dxa"/>
          </w:tcPr>
          <w:p>
            <w:pPr>
              <w:pStyle w:val="TableParagraph"/>
              <w:tabs>
                <w:tab w:pos="1140" w:val="left" w:leader="none"/>
                <w:tab w:pos="2160" w:val="left" w:leader="none"/>
                <w:tab w:pos="3135" w:val="left" w:leader="none"/>
                <w:tab w:pos="3930" w:val="left" w:leader="none"/>
              </w:tabs>
              <w:spacing w:before="18"/>
              <w:ind w:left="390"/>
              <w:rPr>
                <w:sz w:val="18"/>
              </w:rPr>
            </w:pPr>
            <w:r>
              <w:rPr>
                <w:spacing w:val="-5"/>
                <w:sz w:val="18"/>
              </w:rPr>
              <w:t>711</w:t>
            </w:r>
            <w:r>
              <w:rPr>
                <w:sz w:val="18"/>
              </w:rPr>
              <w:tab/>
            </w:r>
            <w:r>
              <w:rPr>
                <w:spacing w:val="-2"/>
                <w:sz w:val="18"/>
              </w:rPr>
              <w:t>1,079</w:t>
            </w:r>
            <w:r>
              <w:rPr>
                <w:sz w:val="18"/>
              </w:rPr>
              <w:tab/>
            </w:r>
            <w:r>
              <w:rPr>
                <w:spacing w:val="-5"/>
                <w:sz w:val="18"/>
              </w:rPr>
              <w:t>378</w:t>
            </w:r>
            <w:r>
              <w:rPr>
                <w:sz w:val="18"/>
              </w:rPr>
              <w:tab/>
            </w:r>
            <w:r>
              <w:rPr>
                <w:spacing w:val="-5"/>
                <w:sz w:val="18"/>
              </w:rPr>
              <w:t>89</w:t>
            </w:r>
            <w:r>
              <w:rPr>
                <w:sz w:val="18"/>
              </w:rPr>
              <w:tab/>
            </w:r>
            <w:r>
              <w:rPr>
                <w:spacing w:val="-5"/>
                <w:sz w:val="18"/>
              </w:rPr>
              <w:t>161</w:t>
            </w:r>
          </w:p>
        </w:tc>
        <w:tc>
          <w:tcPr>
            <w:tcW w:w="949" w:type="dxa"/>
          </w:tcPr>
          <w:p>
            <w:pPr>
              <w:pStyle w:val="TableParagraph"/>
              <w:spacing w:before="18"/>
              <w:ind w:left="330"/>
              <w:rPr>
                <w:sz w:val="18"/>
              </w:rPr>
            </w:pPr>
            <w:r>
              <w:rPr>
                <w:spacing w:val="-2"/>
                <w:sz w:val="18"/>
              </w:rPr>
              <w:t>2,418</w:t>
            </w:r>
          </w:p>
        </w:tc>
        <w:tc>
          <w:tcPr>
            <w:tcW w:w="1020" w:type="dxa"/>
          </w:tcPr>
          <w:p>
            <w:pPr>
              <w:pStyle w:val="TableParagraph"/>
              <w:spacing w:before="18"/>
              <w:ind w:left="626"/>
              <w:rPr>
                <w:sz w:val="18"/>
              </w:rPr>
            </w:pPr>
            <w:r>
              <w:rPr>
                <w:spacing w:val="-5"/>
                <w:sz w:val="18"/>
              </w:rPr>
              <w:t>52</w:t>
            </w:r>
          </w:p>
        </w:tc>
        <w:tc>
          <w:tcPr>
            <w:tcW w:w="960" w:type="dxa"/>
          </w:tcPr>
          <w:p>
            <w:pPr>
              <w:pStyle w:val="TableParagraph"/>
              <w:spacing w:before="18"/>
              <w:ind w:left="566"/>
              <w:rPr>
                <w:sz w:val="18"/>
              </w:rPr>
            </w:pPr>
            <w:r>
              <w:rPr>
                <w:spacing w:val="-5"/>
                <w:sz w:val="18"/>
              </w:rPr>
              <w:t>35</w:t>
            </w:r>
          </w:p>
        </w:tc>
        <w:tc>
          <w:tcPr>
            <w:tcW w:w="896" w:type="dxa"/>
          </w:tcPr>
          <w:p>
            <w:pPr>
              <w:pStyle w:val="TableParagraph"/>
              <w:spacing w:before="18"/>
              <w:ind w:left="491"/>
              <w:rPr>
                <w:sz w:val="18"/>
              </w:rPr>
            </w:pPr>
            <w:r>
              <w:rPr>
                <w:spacing w:val="-5"/>
                <w:sz w:val="18"/>
              </w:rPr>
              <w:t>87</w:t>
            </w:r>
          </w:p>
        </w:tc>
      </w:tr>
      <w:tr>
        <w:trPr>
          <w:trHeight w:val="250" w:hRule="atLeast"/>
        </w:trPr>
        <w:tc>
          <w:tcPr>
            <w:tcW w:w="2010" w:type="dxa"/>
            <w:tcBorders>
              <w:bottom w:val="single" w:sz="4" w:space="0" w:color="000000"/>
            </w:tcBorders>
            <w:shd w:val="clear" w:color="auto" w:fill="CCEDFF"/>
          </w:tcPr>
          <w:p>
            <w:pPr>
              <w:pStyle w:val="TableParagraph"/>
              <w:spacing w:before="18"/>
              <w:ind w:left="187"/>
              <w:rPr>
                <w:sz w:val="18"/>
              </w:rPr>
            </w:pPr>
            <w:r>
              <w:rPr>
                <w:spacing w:val="-4"/>
                <w:sz w:val="18"/>
              </w:rPr>
              <w:t>≥740</w:t>
            </w:r>
          </w:p>
        </w:tc>
        <w:tc>
          <w:tcPr>
            <w:tcW w:w="4425" w:type="dxa"/>
            <w:tcBorders>
              <w:bottom w:val="single" w:sz="4" w:space="0" w:color="000000"/>
            </w:tcBorders>
            <w:shd w:val="clear" w:color="auto" w:fill="CCEDFF"/>
          </w:tcPr>
          <w:p>
            <w:pPr>
              <w:pStyle w:val="TableParagraph"/>
              <w:tabs>
                <w:tab w:pos="1050" w:val="left" w:leader="none"/>
                <w:tab w:pos="2025" w:val="left" w:leader="none"/>
                <w:tab w:pos="3045" w:val="left" w:leader="none"/>
                <w:tab w:pos="3795" w:val="left" w:leader="none"/>
              </w:tabs>
              <w:spacing w:before="18"/>
              <w:ind w:left="255"/>
              <w:rPr>
                <w:sz w:val="18"/>
              </w:rPr>
            </w:pPr>
            <w:r>
              <w:rPr>
                <w:spacing w:val="-2"/>
                <w:sz w:val="18"/>
              </w:rPr>
              <w:t>5,635</w:t>
            </w:r>
            <w:r>
              <w:rPr>
                <w:sz w:val="18"/>
              </w:rPr>
              <w:tab/>
            </w:r>
            <w:r>
              <w:rPr>
                <w:spacing w:val="-2"/>
                <w:sz w:val="18"/>
              </w:rPr>
              <w:t>11,075</w:t>
            </w:r>
            <w:r>
              <w:rPr>
                <w:sz w:val="18"/>
              </w:rPr>
              <w:tab/>
            </w:r>
            <w:r>
              <w:rPr>
                <w:spacing w:val="-2"/>
                <w:sz w:val="18"/>
              </w:rPr>
              <w:t>3,843</w:t>
            </w:r>
            <w:r>
              <w:rPr>
                <w:sz w:val="18"/>
              </w:rPr>
              <w:tab/>
            </w:r>
            <w:r>
              <w:rPr>
                <w:spacing w:val="-5"/>
                <w:sz w:val="18"/>
              </w:rPr>
              <w:t>828</w:t>
            </w:r>
            <w:r>
              <w:rPr>
                <w:sz w:val="18"/>
              </w:rPr>
              <w:tab/>
            </w:r>
            <w:r>
              <w:rPr>
                <w:spacing w:val="-2"/>
                <w:sz w:val="18"/>
              </w:rPr>
              <w:t>1,045</w:t>
            </w:r>
          </w:p>
        </w:tc>
        <w:tc>
          <w:tcPr>
            <w:tcW w:w="949" w:type="dxa"/>
            <w:tcBorders>
              <w:bottom w:val="single" w:sz="4" w:space="0" w:color="000000"/>
            </w:tcBorders>
            <w:shd w:val="clear" w:color="auto" w:fill="CCEDFF"/>
          </w:tcPr>
          <w:p>
            <w:pPr>
              <w:pStyle w:val="TableParagraph"/>
              <w:spacing w:before="18"/>
              <w:ind w:left="240"/>
              <w:rPr>
                <w:sz w:val="18"/>
              </w:rPr>
            </w:pPr>
            <w:r>
              <w:rPr>
                <w:spacing w:val="-2"/>
                <w:sz w:val="18"/>
              </w:rPr>
              <w:t>22,426</w:t>
            </w:r>
          </w:p>
        </w:tc>
        <w:tc>
          <w:tcPr>
            <w:tcW w:w="1020" w:type="dxa"/>
            <w:tcBorders>
              <w:bottom w:val="single" w:sz="4" w:space="0" w:color="000000"/>
            </w:tcBorders>
            <w:shd w:val="clear" w:color="auto" w:fill="CCEDFF"/>
          </w:tcPr>
          <w:p>
            <w:pPr>
              <w:pStyle w:val="TableParagraph"/>
              <w:spacing w:before="18"/>
              <w:ind w:left="536"/>
              <w:rPr>
                <w:sz w:val="18"/>
              </w:rPr>
            </w:pPr>
            <w:r>
              <w:rPr>
                <w:spacing w:val="-5"/>
                <w:sz w:val="18"/>
              </w:rPr>
              <w:t>322</w:t>
            </w:r>
          </w:p>
        </w:tc>
        <w:tc>
          <w:tcPr>
            <w:tcW w:w="960" w:type="dxa"/>
            <w:tcBorders>
              <w:bottom w:val="single" w:sz="4" w:space="0" w:color="000000"/>
            </w:tcBorders>
            <w:shd w:val="clear" w:color="auto" w:fill="CCEDFF"/>
          </w:tcPr>
          <w:p>
            <w:pPr>
              <w:pStyle w:val="TableParagraph"/>
              <w:spacing w:before="18"/>
              <w:ind w:left="476"/>
              <w:rPr>
                <w:sz w:val="18"/>
              </w:rPr>
            </w:pPr>
            <w:r>
              <w:rPr>
                <w:spacing w:val="-5"/>
                <w:sz w:val="18"/>
              </w:rPr>
              <w:t>165</w:t>
            </w:r>
          </w:p>
        </w:tc>
        <w:tc>
          <w:tcPr>
            <w:tcW w:w="896" w:type="dxa"/>
            <w:tcBorders>
              <w:bottom w:val="single" w:sz="4" w:space="0" w:color="000000"/>
            </w:tcBorders>
            <w:shd w:val="clear" w:color="auto" w:fill="CCEDFF"/>
          </w:tcPr>
          <w:p>
            <w:pPr>
              <w:pStyle w:val="TableParagraph"/>
              <w:spacing w:before="18"/>
              <w:ind w:left="401"/>
              <w:rPr>
                <w:sz w:val="18"/>
              </w:rPr>
            </w:pPr>
            <w:r>
              <w:rPr>
                <w:spacing w:val="-5"/>
                <w:sz w:val="18"/>
              </w:rPr>
              <w:t>487</w:t>
            </w:r>
          </w:p>
        </w:tc>
      </w:tr>
      <w:tr>
        <w:trPr>
          <w:trHeight w:val="220" w:hRule="atLeast"/>
        </w:trPr>
        <w:tc>
          <w:tcPr>
            <w:tcW w:w="2010" w:type="dxa"/>
            <w:tcBorders>
              <w:top w:val="single" w:sz="4" w:space="0" w:color="000000"/>
              <w:bottom w:val="double" w:sz="8" w:space="0" w:color="000000"/>
            </w:tcBorders>
          </w:tcPr>
          <w:p>
            <w:pPr>
              <w:pStyle w:val="TableParagraph"/>
              <w:spacing w:line="187" w:lineRule="exact" w:before="13"/>
              <w:ind w:left="52"/>
              <w:rPr>
                <w:sz w:val="18"/>
              </w:rPr>
            </w:pPr>
            <w:r>
              <w:rPr>
                <w:spacing w:val="-2"/>
                <w:sz w:val="18"/>
              </w:rPr>
              <w:t>Total</w:t>
            </w:r>
          </w:p>
        </w:tc>
        <w:tc>
          <w:tcPr>
            <w:tcW w:w="4425" w:type="dxa"/>
            <w:tcBorders>
              <w:top w:val="single" w:sz="4" w:space="0" w:color="000000"/>
              <w:bottom w:val="double" w:sz="8" w:space="0" w:color="000000"/>
            </w:tcBorders>
          </w:tcPr>
          <w:p>
            <w:pPr>
              <w:pStyle w:val="TableParagraph"/>
              <w:tabs>
                <w:tab w:pos="937" w:val="left" w:leader="none"/>
                <w:tab w:pos="1822" w:val="left" w:leader="none"/>
                <w:tab w:pos="2707" w:val="left" w:leader="none"/>
                <w:tab w:pos="3045" w:val="left" w:leader="none"/>
                <w:tab w:pos="3592" w:val="left" w:leader="none"/>
              </w:tabs>
              <w:spacing w:line="187" w:lineRule="exact" w:before="13"/>
              <w:ind w:left="52"/>
              <w:rPr>
                <w:sz w:val="18"/>
              </w:rPr>
            </w:pPr>
            <w:r>
              <w:rPr>
                <w:sz w:val="18"/>
              </w:rPr>
              <w:t>$</w:t>
            </w:r>
            <w:r>
              <w:rPr>
                <w:spacing w:val="67"/>
                <w:sz w:val="18"/>
              </w:rPr>
              <w:t> </w:t>
            </w:r>
            <w:r>
              <w:rPr>
                <w:spacing w:val="-2"/>
                <w:sz w:val="18"/>
              </w:rPr>
              <w:t>6,444</w:t>
            </w:r>
            <w:r>
              <w:rPr>
                <w:sz w:val="18"/>
              </w:rPr>
              <w:tab/>
              <w:t>$</w:t>
            </w:r>
            <w:r>
              <w:rPr>
                <w:spacing w:val="-23"/>
                <w:sz w:val="18"/>
              </w:rPr>
              <w:t> </w:t>
            </w:r>
            <w:r>
              <w:rPr>
                <w:spacing w:val="-2"/>
                <w:sz w:val="18"/>
              </w:rPr>
              <w:t>12,293</w:t>
            </w:r>
            <w:r>
              <w:rPr>
                <w:sz w:val="18"/>
              </w:rPr>
              <w:tab/>
              <w:t>$</w:t>
            </w:r>
            <w:r>
              <w:rPr>
                <w:spacing w:val="65"/>
                <w:sz w:val="18"/>
              </w:rPr>
              <w:t> </w:t>
            </w:r>
            <w:r>
              <w:rPr>
                <w:spacing w:val="-2"/>
                <w:sz w:val="18"/>
              </w:rPr>
              <w:t>4,270</w:t>
            </w:r>
            <w:r>
              <w:rPr>
                <w:sz w:val="18"/>
              </w:rPr>
              <w:tab/>
            </w:r>
            <w:r>
              <w:rPr>
                <w:spacing w:val="-10"/>
                <w:sz w:val="18"/>
              </w:rPr>
              <w:t>$</w:t>
            </w:r>
            <w:r>
              <w:rPr>
                <w:sz w:val="18"/>
              </w:rPr>
              <w:tab/>
            </w:r>
            <w:r>
              <w:rPr>
                <w:spacing w:val="-5"/>
                <w:sz w:val="18"/>
              </w:rPr>
              <w:t>929</w:t>
            </w:r>
            <w:r>
              <w:rPr>
                <w:sz w:val="18"/>
              </w:rPr>
              <w:tab/>
              <w:t>$</w:t>
            </w:r>
            <w:r>
              <w:rPr>
                <w:spacing w:val="65"/>
                <w:sz w:val="18"/>
              </w:rPr>
              <w:t> </w:t>
            </w:r>
            <w:r>
              <w:rPr>
                <w:spacing w:val="-2"/>
                <w:sz w:val="18"/>
              </w:rPr>
              <w:t>1,262</w:t>
            </w:r>
          </w:p>
        </w:tc>
        <w:tc>
          <w:tcPr>
            <w:tcW w:w="949" w:type="dxa"/>
            <w:tcBorders>
              <w:top w:val="single" w:sz="4" w:space="0" w:color="000000"/>
              <w:bottom w:val="double" w:sz="8" w:space="0" w:color="000000"/>
            </w:tcBorders>
          </w:tcPr>
          <w:p>
            <w:pPr>
              <w:pStyle w:val="TableParagraph"/>
              <w:spacing w:line="187" w:lineRule="exact" w:before="13"/>
              <w:ind w:left="52"/>
              <w:rPr>
                <w:sz w:val="18"/>
              </w:rPr>
            </w:pPr>
            <w:r>
              <w:rPr>
                <w:sz w:val="18"/>
              </w:rPr>
              <w:t>$</w:t>
            </w:r>
            <w:r>
              <w:rPr>
                <w:spacing w:val="52"/>
                <w:sz w:val="18"/>
              </w:rPr>
              <w:t> </w:t>
            </w:r>
            <w:r>
              <w:rPr>
                <w:spacing w:val="-2"/>
                <w:sz w:val="18"/>
              </w:rPr>
              <w:t>25,198</w:t>
            </w:r>
          </w:p>
        </w:tc>
        <w:tc>
          <w:tcPr>
            <w:tcW w:w="1020" w:type="dxa"/>
            <w:tcBorders>
              <w:top w:val="single" w:sz="4" w:space="0" w:color="000000"/>
              <w:bottom w:val="double" w:sz="8" w:space="0" w:color="000000"/>
            </w:tcBorders>
          </w:tcPr>
          <w:p>
            <w:pPr>
              <w:pStyle w:val="TableParagraph"/>
              <w:tabs>
                <w:tab w:pos="536" w:val="left" w:leader="none"/>
              </w:tabs>
              <w:spacing w:line="187" w:lineRule="exact" w:before="13"/>
              <w:ind w:left="63"/>
              <w:rPr>
                <w:sz w:val="18"/>
              </w:rPr>
            </w:pPr>
            <w:r>
              <w:rPr>
                <w:spacing w:val="-10"/>
                <w:sz w:val="18"/>
              </w:rPr>
              <w:t>$</w:t>
            </w:r>
            <w:r>
              <w:rPr>
                <w:sz w:val="18"/>
              </w:rPr>
              <w:tab/>
            </w:r>
            <w:r>
              <w:rPr>
                <w:spacing w:val="-5"/>
                <w:sz w:val="18"/>
              </w:rPr>
              <w:t>382</w:t>
            </w:r>
          </w:p>
        </w:tc>
        <w:tc>
          <w:tcPr>
            <w:tcW w:w="960" w:type="dxa"/>
            <w:tcBorders>
              <w:top w:val="single" w:sz="4" w:space="0" w:color="000000"/>
              <w:bottom w:val="double" w:sz="8" w:space="0" w:color="000000"/>
            </w:tcBorders>
          </w:tcPr>
          <w:p>
            <w:pPr>
              <w:pStyle w:val="TableParagraph"/>
              <w:tabs>
                <w:tab w:pos="476" w:val="left" w:leader="none"/>
              </w:tabs>
              <w:spacing w:line="187" w:lineRule="exact" w:before="13"/>
              <w:ind w:left="63"/>
              <w:rPr>
                <w:sz w:val="18"/>
              </w:rPr>
            </w:pPr>
            <w:r>
              <w:rPr>
                <w:spacing w:val="-10"/>
                <w:sz w:val="18"/>
              </w:rPr>
              <w:t>$</w:t>
            </w:r>
            <w:r>
              <w:rPr>
                <w:sz w:val="18"/>
              </w:rPr>
              <w:tab/>
            </w:r>
            <w:r>
              <w:rPr>
                <w:spacing w:val="-5"/>
                <w:sz w:val="18"/>
              </w:rPr>
              <w:t>215</w:t>
            </w:r>
          </w:p>
        </w:tc>
        <w:tc>
          <w:tcPr>
            <w:tcW w:w="896" w:type="dxa"/>
            <w:tcBorders>
              <w:top w:val="single" w:sz="4" w:space="0" w:color="000000"/>
              <w:bottom w:val="double" w:sz="8" w:space="0" w:color="000000"/>
            </w:tcBorders>
          </w:tcPr>
          <w:p>
            <w:pPr>
              <w:pStyle w:val="TableParagraph"/>
              <w:tabs>
                <w:tab w:pos="401" w:val="left" w:leader="none"/>
              </w:tabs>
              <w:spacing w:line="187" w:lineRule="exact" w:before="13"/>
              <w:ind w:left="63"/>
              <w:rPr>
                <w:sz w:val="18"/>
              </w:rPr>
            </w:pPr>
            <w:r>
              <w:rPr>
                <w:spacing w:val="-10"/>
                <w:sz w:val="18"/>
              </w:rPr>
              <w:t>$</w:t>
            </w:r>
            <w:r>
              <w:rPr>
                <w:sz w:val="18"/>
              </w:rPr>
              <w:tab/>
            </w:r>
            <w:r>
              <w:rPr>
                <w:spacing w:val="-5"/>
                <w:sz w:val="18"/>
              </w:rPr>
              <w:t>597</w:t>
            </w:r>
          </w:p>
        </w:tc>
      </w:tr>
      <w:tr>
        <w:trPr>
          <w:trHeight w:val="225" w:hRule="atLeast"/>
        </w:trPr>
        <w:tc>
          <w:tcPr>
            <w:tcW w:w="2010" w:type="dxa"/>
            <w:tcBorders>
              <w:top w:val="double" w:sz="8" w:space="0" w:color="000000"/>
            </w:tcBorders>
            <w:shd w:val="clear" w:color="auto" w:fill="CCEDFF"/>
          </w:tcPr>
          <w:p>
            <w:pPr>
              <w:pStyle w:val="TableParagraph"/>
              <w:spacing w:line="195" w:lineRule="exact"/>
              <w:ind w:left="52"/>
              <w:rPr>
                <w:sz w:val="18"/>
              </w:rPr>
            </w:pPr>
            <w:r>
              <w:rPr>
                <w:sz w:val="18"/>
              </w:rPr>
              <w:t>Estimated</w:t>
            </w:r>
            <w:r>
              <w:rPr>
                <w:spacing w:val="-1"/>
                <w:sz w:val="18"/>
              </w:rPr>
              <w:t> </w:t>
            </w:r>
            <w:r>
              <w:rPr>
                <w:sz w:val="18"/>
              </w:rPr>
              <w:t>Current LTV</w:t>
            </w:r>
            <w:r>
              <w:rPr>
                <w:spacing w:val="-2"/>
                <w:sz w:val="18"/>
              </w:rPr>
              <w:t> </w:t>
            </w:r>
            <w:r>
              <w:rPr>
                <w:spacing w:val="-5"/>
                <w:sz w:val="18"/>
                <w:vertAlign w:val="superscript"/>
              </w:rPr>
              <w:t>(1)</w:t>
            </w:r>
          </w:p>
        </w:tc>
        <w:tc>
          <w:tcPr>
            <w:tcW w:w="4425" w:type="dxa"/>
            <w:tcBorders>
              <w:top w:val="double" w:sz="8" w:space="0" w:color="000000"/>
            </w:tcBorders>
            <w:shd w:val="clear" w:color="auto" w:fill="CCEDFF"/>
          </w:tcPr>
          <w:p>
            <w:pPr>
              <w:pStyle w:val="TableParagraph"/>
              <w:rPr>
                <w:sz w:val="16"/>
              </w:rPr>
            </w:pPr>
          </w:p>
        </w:tc>
        <w:tc>
          <w:tcPr>
            <w:tcW w:w="949" w:type="dxa"/>
            <w:tcBorders>
              <w:top w:val="double" w:sz="8" w:space="0" w:color="000000"/>
            </w:tcBorders>
            <w:shd w:val="clear" w:color="auto" w:fill="CCEDFF"/>
          </w:tcPr>
          <w:p>
            <w:pPr>
              <w:pStyle w:val="TableParagraph"/>
              <w:rPr>
                <w:sz w:val="16"/>
              </w:rPr>
            </w:pPr>
          </w:p>
        </w:tc>
        <w:tc>
          <w:tcPr>
            <w:tcW w:w="1020" w:type="dxa"/>
            <w:tcBorders>
              <w:top w:val="double" w:sz="8" w:space="0" w:color="000000"/>
            </w:tcBorders>
            <w:shd w:val="clear" w:color="auto" w:fill="CCEDFF"/>
          </w:tcPr>
          <w:p>
            <w:pPr>
              <w:pStyle w:val="TableParagraph"/>
              <w:rPr>
                <w:sz w:val="16"/>
              </w:rPr>
            </w:pPr>
          </w:p>
        </w:tc>
        <w:tc>
          <w:tcPr>
            <w:tcW w:w="960" w:type="dxa"/>
            <w:tcBorders>
              <w:top w:val="double" w:sz="8" w:space="0" w:color="000000"/>
            </w:tcBorders>
            <w:shd w:val="clear" w:color="auto" w:fill="CCEDFF"/>
          </w:tcPr>
          <w:p>
            <w:pPr>
              <w:pStyle w:val="TableParagraph"/>
              <w:rPr>
                <w:sz w:val="16"/>
              </w:rPr>
            </w:pPr>
          </w:p>
        </w:tc>
        <w:tc>
          <w:tcPr>
            <w:tcW w:w="896" w:type="dxa"/>
            <w:tcBorders>
              <w:top w:val="double" w:sz="8" w:space="0" w:color="000000"/>
            </w:tcBorders>
            <w:shd w:val="clear" w:color="auto" w:fill="CCEDFF"/>
          </w:tcPr>
          <w:p>
            <w:pPr>
              <w:pStyle w:val="TableParagraph"/>
              <w:rPr>
                <w:sz w:val="16"/>
              </w:rPr>
            </w:pPr>
          </w:p>
        </w:tc>
      </w:tr>
      <w:tr>
        <w:trPr>
          <w:trHeight w:val="255" w:hRule="atLeast"/>
        </w:trPr>
        <w:tc>
          <w:tcPr>
            <w:tcW w:w="2010" w:type="dxa"/>
          </w:tcPr>
          <w:p>
            <w:pPr>
              <w:pStyle w:val="TableParagraph"/>
              <w:spacing w:before="18"/>
              <w:ind w:left="187"/>
              <w:rPr>
                <w:sz w:val="18"/>
              </w:rPr>
            </w:pPr>
            <w:r>
              <w:rPr>
                <w:spacing w:val="-4"/>
                <w:sz w:val="18"/>
              </w:rPr>
              <w:t>≤70%</w:t>
            </w:r>
          </w:p>
        </w:tc>
        <w:tc>
          <w:tcPr>
            <w:tcW w:w="4425" w:type="dxa"/>
          </w:tcPr>
          <w:p>
            <w:pPr>
              <w:pStyle w:val="TableParagraph"/>
              <w:tabs>
                <w:tab w:pos="937" w:val="left" w:leader="none"/>
                <w:tab w:pos="1822" w:val="left" w:leader="none"/>
                <w:tab w:pos="2707" w:val="left" w:leader="none"/>
                <w:tab w:pos="3045" w:val="left" w:leader="none"/>
                <w:tab w:pos="3592" w:val="left" w:leader="none"/>
              </w:tabs>
              <w:spacing w:before="18"/>
              <w:ind w:left="52"/>
              <w:rPr>
                <w:sz w:val="18"/>
              </w:rPr>
            </w:pPr>
            <w:r>
              <w:rPr>
                <w:sz w:val="18"/>
              </w:rPr>
              <w:t>$</w:t>
            </w:r>
            <w:r>
              <w:rPr>
                <w:spacing w:val="67"/>
                <w:sz w:val="18"/>
              </w:rPr>
              <w:t> </w:t>
            </w:r>
            <w:r>
              <w:rPr>
                <w:spacing w:val="-2"/>
                <w:sz w:val="18"/>
              </w:rPr>
              <w:t>4,574</w:t>
            </w:r>
            <w:r>
              <w:rPr>
                <w:sz w:val="18"/>
              </w:rPr>
              <w:tab/>
              <w:t>$</w:t>
            </w:r>
            <w:r>
              <w:rPr>
                <w:spacing w:val="-23"/>
                <w:sz w:val="18"/>
              </w:rPr>
              <w:t> </w:t>
            </w:r>
            <w:r>
              <w:rPr>
                <w:spacing w:val="-2"/>
                <w:sz w:val="18"/>
              </w:rPr>
              <w:t>11,751</w:t>
            </w:r>
            <w:r>
              <w:rPr>
                <w:sz w:val="18"/>
              </w:rPr>
              <w:tab/>
              <w:t>$</w:t>
            </w:r>
            <w:r>
              <w:rPr>
                <w:spacing w:val="65"/>
                <w:sz w:val="18"/>
              </w:rPr>
              <w:t> </w:t>
            </w:r>
            <w:r>
              <w:rPr>
                <w:spacing w:val="-2"/>
                <w:sz w:val="18"/>
              </w:rPr>
              <w:t>4,255</w:t>
            </w:r>
            <w:r>
              <w:rPr>
                <w:sz w:val="18"/>
              </w:rPr>
              <w:tab/>
            </w:r>
            <w:r>
              <w:rPr>
                <w:spacing w:val="-10"/>
                <w:sz w:val="18"/>
              </w:rPr>
              <w:t>$</w:t>
            </w:r>
            <w:r>
              <w:rPr>
                <w:sz w:val="18"/>
              </w:rPr>
              <w:tab/>
            </w:r>
            <w:r>
              <w:rPr>
                <w:spacing w:val="-5"/>
                <w:sz w:val="18"/>
              </w:rPr>
              <w:t>928</w:t>
            </w:r>
            <w:r>
              <w:rPr>
                <w:sz w:val="18"/>
              </w:rPr>
              <w:tab/>
              <w:t>$</w:t>
            </w:r>
            <w:r>
              <w:rPr>
                <w:spacing w:val="65"/>
                <w:sz w:val="18"/>
              </w:rPr>
              <w:t> </w:t>
            </w:r>
            <w:r>
              <w:rPr>
                <w:spacing w:val="-2"/>
                <w:sz w:val="18"/>
              </w:rPr>
              <w:t>1,257</w:t>
            </w:r>
          </w:p>
        </w:tc>
        <w:tc>
          <w:tcPr>
            <w:tcW w:w="949" w:type="dxa"/>
          </w:tcPr>
          <w:p>
            <w:pPr>
              <w:pStyle w:val="TableParagraph"/>
              <w:spacing w:before="18"/>
              <w:ind w:left="52"/>
              <w:rPr>
                <w:sz w:val="18"/>
              </w:rPr>
            </w:pPr>
            <w:r>
              <w:rPr>
                <w:sz w:val="18"/>
              </w:rPr>
              <w:t>$</w:t>
            </w:r>
            <w:r>
              <w:rPr>
                <w:spacing w:val="52"/>
                <w:sz w:val="18"/>
              </w:rPr>
              <w:t> </w:t>
            </w:r>
            <w:r>
              <w:rPr>
                <w:spacing w:val="-2"/>
                <w:sz w:val="18"/>
              </w:rPr>
              <w:t>22,765</w:t>
            </w:r>
          </w:p>
        </w:tc>
        <w:tc>
          <w:tcPr>
            <w:tcW w:w="1020" w:type="dxa"/>
          </w:tcPr>
          <w:p>
            <w:pPr>
              <w:pStyle w:val="TableParagraph"/>
              <w:tabs>
                <w:tab w:pos="536" w:val="left" w:leader="none"/>
              </w:tabs>
              <w:spacing w:before="18"/>
              <w:ind w:left="63"/>
              <w:rPr>
                <w:sz w:val="18"/>
              </w:rPr>
            </w:pPr>
            <w:r>
              <w:rPr>
                <w:spacing w:val="-10"/>
                <w:sz w:val="18"/>
              </w:rPr>
              <w:t>$</w:t>
            </w:r>
            <w:r>
              <w:rPr>
                <w:sz w:val="18"/>
              </w:rPr>
              <w:tab/>
            </w:r>
            <w:r>
              <w:rPr>
                <w:spacing w:val="-5"/>
                <w:sz w:val="18"/>
              </w:rPr>
              <w:t>380</w:t>
            </w:r>
          </w:p>
        </w:tc>
        <w:tc>
          <w:tcPr>
            <w:tcW w:w="960" w:type="dxa"/>
          </w:tcPr>
          <w:p>
            <w:pPr>
              <w:pStyle w:val="TableParagraph"/>
              <w:tabs>
                <w:tab w:pos="476" w:val="left" w:leader="none"/>
              </w:tabs>
              <w:spacing w:before="18"/>
              <w:ind w:left="63"/>
              <w:rPr>
                <w:sz w:val="18"/>
              </w:rPr>
            </w:pPr>
            <w:r>
              <w:rPr>
                <w:spacing w:val="-10"/>
                <w:sz w:val="18"/>
              </w:rPr>
              <w:t>$</w:t>
            </w:r>
            <w:r>
              <w:rPr>
                <w:sz w:val="18"/>
              </w:rPr>
              <w:tab/>
            </w:r>
            <w:r>
              <w:rPr>
                <w:spacing w:val="-5"/>
                <w:sz w:val="18"/>
              </w:rPr>
              <w:t>214</w:t>
            </w:r>
          </w:p>
        </w:tc>
        <w:tc>
          <w:tcPr>
            <w:tcW w:w="896" w:type="dxa"/>
          </w:tcPr>
          <w:p>
            <w:pPr>
              <w:pStyle w:val="TableParagraph"/>
              <w:tabs>
                <w:tab w:pos="401" w:val="left" w:leader="none"/>
              </w:tabs>
              <w:spacing w:before="18"/>
              <w:ind w:left="63"/>
              <w:rPr>
                <w:sz w:val="18"/>
              </w:rPr>
            </w:pPr>
            <w:r>
              <w:rPr>
                <w:spacing w:val="-10"/>
                <w:sz w:val="18"/>
              </w:rPr>
              <w:t>$</w:t>
            </w:r>
            <w:r>
              <w:rPr>
                <w:sz w:val="18"/>
              </w:rPr>
              <w:tab/>
            </w:r>
            <w:r>
              <w:rPr>
                <w:spacing w:val="-5"/>
                <w:sz w:val="18"/>
              </w:rPr>
              <w:t>594</w:t>
            </w:r>
          </w:p>
        </w:tc>
      </w:tr>
      <w:tr>
        <w:trPr>
          <w:trHeight w:val="255" w:hRule="atLeast"/>
        </w:trPr>
        <w:tc>
          <w:tcPr>
            <w:tcW w:w="2010" w:type="dxa"/>
            <w:shd w:val="clear" w:color="auto" w:fill="CCEDFF"/>
          </w:tcPr>
          <w:p>
            <w:pPr>
              <w:pStyle w:val="TableParagraph"/>
              <w:spacing w:before="18"/>
              <w:ind w:left="187"/>
              <w:rPr>
                <w:sz w:val="18"/>
              </w:rPr>
            </w:pPr>
            <w:r>
              <w:rPr>
                <w:sz w:val="18"/>
              </w:rPr>
              <w:t>&gt;70%</w:t>
            </w:r>
            <w:r>
              <w:rPr>
                <w:spacing w:val="-2"/>
                <w:sz w:val="18"/>
              </w:rPr>
              <w:t> </w:t>
            </w:r>
            <w:r>
              <w:rPr>
                <w:sz w:val="18"/>
              </w:rPr>
              <w:t>– </w:t>
            </w:r>
            <w:r>
              <w:rPr>
                <w:spacing w:val="-4"/>
                <w:sz w:val="18"/>
              </w:rPr>
              <w:t>≤90%</w:t>
            </w:r>
          </w:p>
        </w:tc>
        <w:tc>
          <w:tcPr>
            <w:tcW w:w="4425" w:type="dxa"/>
            <w:shd w:val="clear" w:color="auto" w:fill="CCEDFF"/>
          </w:tcPr>
          <w:p>
            <w:pPr>
              <w:pStyle w:val="TableParagraph"/>
              <w:tabs>
                <w:tab w:pos="1275" w:val="left" w:leader="none"/>
                <w:tab w:pos="2250" w:val="left" w:leader="none"/>
                <w:tab w:pos="3225" w:val="left" w:leader="none"/>
                <w:tab w:pos="4110" w:val="left" w:leader="none"/>
              </w:tabs>
              <w:spacing w:before="18"/>
              <w:ind w:left="255"/>
              <w:rPr>
                <w:sz w:val="18"/>
              </w:rPr>
            </w:pPr>
            <w:r>
              <w:rPr>
                <w:spacing w:val="-2"/>
                <w:sz w:val="18"/>
              </w:rPr>
              <w:t>1,845</w:t>
            </w:r>
            <w:r>
              <w:rPr>
                <w:sz w:val="18"/>
              </w:rPr>
              <w:tab/>
            </w:r>
            <w:r>
              <w:rPr>
                <w:spacing w:val="-5"/>
                <w:sz w:val="18"/>
              </w:rPr>
              <w:t>542</w:t>
            </w:r>
            <w:r>
              <w:rPr>
                <w:sz w:val="18"/>
              </w:rPr>
              <w:tab/>
            </w:r>
            <w:r>
              <w:rPr>
                <w:spacing w:val="-5"/>
                <w:sz w:val="18"/>
              </w:rPr>
              <w:t>15</w:t>
            </w:r>
            <w:r>
              <w:rPr>
                <w:sz w:val="18"/>
              </w:rPr>
              <w:tab/>
            </w:r>
            <w:r>
              <w:rPr>
                <w:spacing w:val="-10"/>
                <w:sz w:val="18"/>
              </w:rPr>
              <w:t>1</w:t>
            </w:r>
            <w:r>
              <w:rPr>
                <w:sz w:val="18"/>
              </w:rPr>
              <w:tab/>
            </w:r>
            <w:r>
              <w:rPr>
                <w:spacing w:val="-10"/>
                <w:sz w:val="18"/>
              </w:rPr>
              <w:t>5</w:t>
            </w:r>
          </w:p>
        </w:tc>
        <w:tc>
          <w:tcPr>
            <w:tcW w:w="949" w:type="dxa"/>
            <w:shd w:val="clear" w:color="auto" w:fill="CCEDFF"/>
          </w:tcPr>
          <w:p>
            <w:pPr>
              <w:pStyle w:val="TableParagraph"/>
              <w:spacing w:before="18"/>
              <w:ind w:left="330"/>
              <w:rPr>
                <w:sz w:val="18"/>
              </w:rPr>
            </w:pPr>
            <w:r>
              <w:rPr>
                <w:spacing w:val="-2"/>
                <w:sz w:val="18"/>
              </w:rPr>
              <w:t>2,408</w:t>
            </w:r>
          </w:p>
        </w:tc>
        <w:tc>
          <w:tcPr>
            <w:tcW w:w="1020" w:type="dxa"/>
            <w:shd w:val="clear" w:color="auto" w:fill="CCEDFF"/>
          </w:tcPr>
          <w:p>
            <w:pPr>
              <w:pStyle w:val="TableParagraph"/>
              <w:spacing w:before="18"/>
              <w:ind w:right="211"/>
              <w:jc w:val="right"/>
              <w:rPr>
                <w:sz w:val="18"/>
              </w:rPr>
            </w:pPr>
            <w:r>
              <w:rPr>
                <w:spacing w:val="-10"/>
                <w:sz w:val="18"/>
              </w:rPr>
              <w:t>2</w:t>
            </w:r>
          </w:p>
        </w:tc>
        <w:tc>
          <w:tcPr>
            <w:tcW w:w="960" w:type="dxa"/>
            <w:shd w:val="clear" w:color="auto" w:fill="CCEDFF"/>
          </w:tcPr>
          <w:p>
            <w:pPr>
              <w:pStyle w:val="TableParagraph"/>
              <w:spacing w:before="18"/>
              <w:ind w:right="211"/>
              <w:jc w:val="right"/>
              <w:rPr>
                <w:sz w:val="18"/>
              </w:rPr>
            </w:pPr>
            <w:r>
              <w:rPr>
                <w:spacing w:val="-10"/>
                <w:sz w:val="18"/>
              </w:rPr>
              <w:t>1</w:t>
            </w:r>
          </w:p>
        </w:tc>
        <w:tc>
          <w:tcPr>
            <w:tcW w:w="896" w:type="dxa"/>
            <w:shd w:val="clear" w:color="auto" w:fill="CCEDFF"/>
          </w:tcPr>
          <w:p>
            <w:pPr>
              <w:pStyle w:val="TableParagraph"/>
              <w:spacing w:before="18"/>
              <w:ind w:left="581"/>
              <w:rPr>
                <w:sz w:val="18"/>
              </w:rPr>
            </w:pPr>
            <w:r>
              <w:rPr>
                <w:spacing w:val="-10"/>
                <w:sz w:val="18"/>
              </w:rPr>
              <w:t>3</w:t>
            </w:r>
          </w:p>
        </w:tc>
      </w:tr>
      <w:tr>
        <w:trPr>
          <w:trHeight w:val="255" w:hRule="atLeast"/>
        </w:trPr>
        <w:tc>
          <w:tcPr>
            <w:tcW w:w="2010" w:type="dxa"/>
          </w:tcPr>
          <w:p>
            <w:pPr>
              <w:pStyle w:val="TableParagraph"/>
              <w:spacing w:before="18"/>
              <w:ind w:left="187"/>
              <w:rPr>
                <w:sz w:val="18"/>
              </w:rPr>
            </w:pPr>
            <w:r>
              <w:rPr>
                <w:sz w:val="18"/>
              </w:rPr>
              <w:t>&gt;90% – </w:t>
            </w:r>
            <w:r>
              <w:rPr>
                <w:spacing w:val="-2"/>
                <w:sz w:val="18"/>
              </w:rPr>
              <w:t>≤100%</w:t>
            </w:r>
          </w:p>
        </w:tc>
        <w:tc>
          <w:tcPr>
            <w:tcW w:w="4425" w:type="dxa"/>
          </w:tcPr>
          <w:p>
            <w:pPr>
              <w:pStyle w:val="TableParagraph"/>
              <w:tabs>
                <w:tab w:pos="1365" w:val="left" w:leader="none"/>
                <w:tab w:pos="2250" w:val="left" w:leader="none"/>
                <w:tab w:pos="3135" w:val="left" w:leader="none"/>
                <w:tab w:pos="4020" w:val="left" w:leader="none"/>
              </w:tabs>
              <w:spacing w:before="18"/>
              <w:ind w:left="480"/>
              <w:rPr>
                <w:sz w:val="18"/>
              </w:rPr>
            </w:pPr>
            <w:r>
              <w:rPr>
                <w:spacing w:val="-5"/>
                <w:sz w:val="18"/>
              </w:rPr>
              <w:t>25</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p>
        </w:tc>
        <w:tc>
          <w:tcPr>
            <w:tcW w:w="949" w:type="dxa"/>
          </w:tcPr>
          <w:p>
            <w:pPr>
              <w:pStyle w:val="TableParagraph"/>
              <w:spacing w:before="18"/>
              <w:ind w:left="555"/>
              <w:rPr>
                <w:sz w:val="18"/>
              </w:rPr>
            </w:pPr>
            <w:r>
              <w:rPr>
                <w:spacing w:val="-5"/>
                <w:sz w:val="18"/>
              </w:rPr>
              <w:t>25</w:t>
            </w:r>
          </w:p>
        </w:tc>
        <w:tc>
          <w:tcPr>
            <w:tcW w:w="1020" w:type="dxa"/>
          </w:tcPr>
          <w:p>
            <w:pPr>
              <w:pStyle w:val="TableParagraph"/>
              <w:spacing w:before="18"/>
              <w:ind w:left="626"/>
              <w:rPr>
                <w:sz w:val="18"/>
              </w:rPr>
            </w:pPr>
            <w:r>
              <w:rPr>
                <w:spacing w:val="-10"/>
                <w:sz w:val="18"/>
              </w:rPr>
              <w:t>—</w:t>
            </w:r>
          </w:p>
        </w:tc>
        <w:tc>
          <w:tcPr>
            <w:tcW w:w="960" w:type="dxa"/>
          </w:tcPr>
          <w:p>
            <w:pPr>
              <w:pStyle w:val="TableParagraph"/>
              <w:spacing w:before="18"/>
              <w:ind w:left="566"/>
              <w:rPr>
                <w:sz w:val="18"/>
              </w:rPr>
            </w:pPr>
            <w:r>
              <w:rPr>
                <w:spacing w:val="-10"/>
                <w:sz w:val="18"/>
              </w:rPr>
              <w:t>—</w:t>
            </w:r>
          </w:p>
        </w:tc>
        <w:tc>
          <w:tcPr>
            <w:tcW w:w="896" w:type="dxa"/>
          </w:tcPr>
          <w:p>
            <w:pPr>
              <w:pStyle w:val="TableParagraph"/>
              <w:spacing w:before="18"/>
              <w:ind w:left="491"/>
              <w:rPr>
                <w:sz w:val="18"/>
              </w:rPr>
            </w:pPr>
            <w:r>
              <w:rPr>
                <w:spacing w:val="-10"/>
                <w:sz w:val="18"/>
              </w:rPr>
              <w:t>—</w:t>
            </w:r>
          </w:p>
        </w:tc>
      </w:tr>
      <w:tr>
        <w:trPr>
          <w:trHeight w:val="250" w:hRule="atLeast"/>
        </w:trPr>
        <w:tc>
          <w:tcPr>
            <w:tcW w:w="2010" w:type="dxa"/>
            <w:tcBorders>
              <w:bottom w:val="single" w:sz="4" w:space="0" w:color="000000"/>
            </w:tcBorders>
            <w:shd w:val="clear" w:color="auto" w:fill="CCEDFF"/>
          </w:tcPr>
          <w:p>
            <w:pPr>
              <w:pStyle w:val="TableParagraph"/>
              <w:spacing w:before="18"/>
              <w:ind w:left="187"/>
              <w:rPr>
                <w:sz w:val="18"/>
              </w:rPr>
            </w:pPr>
            <w:r>
              <w:rPr>
                <w:spacing w:val="-2"/>
                <w:sz w:val="18"/>
              </w:rPr>
              <w:t>&gt;100%</w:t>
            </w:r>
          </w:p>
        </w:tc>
        <w:tc>
          <w:tcPr>
            <w:tcW w:w="4425" w:type="dxa"/>
            <w:tcBorders>
              <w:bottom w:val="single" w:sz="4" w:space="0" w:color="000000"/>
            </w:tcBorders>
            <w:shd w:val="clear" w:color="auto" w:fill="CCEDFF"/>
          </w:tcPr>
          <w:p>
            <w:pPr>
              <w:pStyle w:val="TableParagraph"/>
              <w:tabs>
                <w:tab w:pos="1365" w:val="left" w:leader="none"/>
                <w:tab w:pos="2250" w:val="left" w:leader="none"/>
                <w:tab w:pos="3135" w:val="left" w:leader="none"/>
                <w:tab w:pos="4020" w:val="left" w:leader="none"/>
              </w:tabs>
              <w:spacing w:before="18"/>
              <w:ind w:left="480"/>
              <w:rPr>
                <w:sz w:val="18"/>
              </w:rPr>
            </w:pP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p>
        </w:tc>
        <w:tc>
          <w:tcPr>
            <w:tcW w:w="949" w:type="dxa"/>
            <w:tcBorders>
              <w:bottom w:val="single" w:sz="4" w:space="0" w:color="000000"/>
            </w:tcBorders>
            <w:shd w:val="clear" w:color="auto" w:fill="CCEDFF"/>
          </w:tcPr>
          <w:p>
            <w:pPr>
              <w:pStyle w:val="TableParagraph"/>
              <w:spacing w:before="18"/>
              <w:ind w:left="555"/>
              <w:rPr>
                <w:sz w:val="18"/>
              </w:rPr>
            </w:pPr>
            <w:r>
              <w:rPr>
                <w:spacing w:val="-10"/>
                <w:sz w:val="18"/>
              </w:rPr>
              <w:t>—</w:t>
            </w:r>
          </w:p>
        </w:tc>
        <w:tc>
          <w:tcPr>
            <w:tcW w:w="1020" w:type="dxa"/>
            <w:tcBorders>
              <w:bottom w:val="single" w:sz="4" w:space="0" w:color="000000"/>
            </w:tcBorders>
            <w:shd w:val="clear" w:color="auto" w:fill="CCEDFF"/>
          </w:tcPr>
          <w:p>
            <w:pPr>
              <w:pStyle w:val="TableParagraph"/>
              <w:spacing w:before="18"/>
              <w:ind w:left="626"/>
              <w:rPr>
                <w:sz w:val="18"/>
              </w:rPr>
            </w:pPr>
            <w:r>
              <w:rPr>
                <w:spacing w:val="-10"/>
                <w:sz w:val="18"/>
              </w:rPr>
              <w:t>—</w:t>
            </w:r>
          </w:p>
        </w:tc>
        <w:tc>
          <w:tcPr>
            <w:tcW w:w="960" w:type="dxa"/>
            <w:tcBorders>
              <w:bottom w:val="single" w:sz="4" w:space="0" w:color="000000"/>
            </w:tcBorders>
            <w:shd w:val="clear" w:color="auto" w:fill="CCEDFF"/>
          </w:tcPr>
          <w:p>
            <w:pPr>
              <w:pStyle w:val="TableParagraph"/>
              <w:spacing w:before="18"/>
              <w:ind w:left="566"/>
              <w:rPr>
                <w:sz w:val="18"/>
              </w:rPr>
            </w:pPr>
            <w:r>
              <w:rPr>
                <w:spacing w:val="-10"/>
                <w:sz w:val="18"/>
              </w:rPr>
              <w:t>—</w:t>
            </w:r>
          </w:p>
        </w:tc>
        <w:tc>
          <w:tcPr>
            <w:tcW w:w="896" w:type="dxa"/>
            <w:tcBorders>
              <w:bottom w:val="single" w:sz="4" w:space="0" w:color="000000"/>
            </w:tcBorders>
            <w:shd w:val="clear" w:color="auto" w:fill="CCEDFF"/>
          </w:tcPr>
          <w:p>
            <w:pPr>
              <w:pStyle w:val="TableParagraph"/>
              <w:spacing w:before="18"/>
              <w:ind w:left="491"/>
              <w:rPr>
                <w:sz w:val="18"/>
              </w:rPr>
            </w:pPr>
            <w:r>
              <w:rPr>
                <w:spacing w:val="-10"/>
                <w:sz w:val="18"/>
              </w:rPr>
              <w:t>—</w:t>
            </w:r>
          </w:p>
        </w:tc>
      </w:tr>
      <w:tr>
        <w:trPr>
          <w:trHeight w:val="220" w:hRule="atLeast"/>
        </w:trPr>
        <w:tc>
          <w:tcPr>
            <w:tcW w:w="2010" w:type="dxa"/>
            <w:tcBorders>
              <w:top w:val="single" w:sz="4" w:space="0" w:color="000000"/>
              <w:bottom w:val="double" w:sz="8" w:space="0" w:color="000000"/>
            </w:tcBorders>
          </w:tcPr>
          <w:p>
            <w:pPr>
              <w:pStyle w:val="TableParagraph"/>
              <w:spacing w:line="187" w:lineRule="exact" w:before="13"/>
              <w:ind w:left="277"/>
              <w:rPr>
                <w:sz w:val="18"/>
              </w:rPr>
            </w:pPr>
            <w:r>
              <w:rPr>
                <w:spacing w:val="-2"/>
                <w:sz w:val="18"/>
              </w:rPr>
              <w:t>Total</w:t>
            </w:r>
          </w:p>
        </w:tc>
        <w:tc>
          <w:tcPr>
            <w:tcW w:w="4425" w:type="dxa"/>
            <w:tcBorders>
              <w:top w:val="single" w:sz="4" w:space="0" w:color="000000"/>
              <w:bottom w:val="double" w:sz="8" w:space="0" w:color="000000"/>
            </w:tcBorders>
          </w:tcPr>
          <w:p>
            <w:pPr>
              <w:pStyle w:val="TableParagraph"/>
              <w:tabs>
                <w:tab w:pos="937" w:val="left" w:leader="none"/>
                <w:tab w:pos="1822" w:val="left" w:leader="none"/>
                <w:tab w:pos="2707" w:val="left" w:leader="none"/>
                <w:tab w:pos="3045" w:val="left" w:leader="none"/>
                <w:tab w:pos="3592" w:val="left" w:leader="none"/>
              </w:tabs>
              <w:spacing w:line="187" w:lineRule="exact" w:before="13"/>
              <w:ind w:left="52"/>
              <w:rPr>
                <w:sz w:val="18"/>
              </w:rPr>
            </w:pPr>
            <w:r>
              <w:rPr>
                <w:sz w:val="18"/>
              </w:rPr>
              <w:t>$</w:t>
            </w:r>
            <w:r>
              <w:rPr>
                <w:spacing w:val="67"/>
                <w:sz w:val="18"/>
              </w:rPr>
              <w:t> </w:t>
            </w:r>
            <w:r>
              <w:rPr>
                <w:spacing w:val="-2"/>
                <w:sz w:val="18"/>
              </w:rPr>
              <w:t>6,444</w:t>
            </w:r>
            <w:r>
              <w:rPr>
                <w:sz w:val="18"/>
              </w:rPr>
              <w:tab/>
              <w:t>$</w:t>
            </w:r>
            <w:r>
              <w:rPr>
                <w:spacing w:val="-23"/>
                <w:sz w:val="18"/>
              </w:rPr>
              <w:t> </w:t>
            </w:r>
            <w:r>
              <w:rPr>
                <w:spacing w:val="-2"/>
                <w:sz w:val="18"/>
              </w:rPr>
              <w:t>12,293</w:t>
            </w:r>
            <w:r>
              <w:rPr>
                <w:sz w:val="18"/>
              </w:rPr>
              <w:tab/>
              <w:t>$</w:t>
            </w:r>
            <w:r>
              <w:rPr>
                <w:spacing w:val="65"/>
                <w:sz w:val="18"/>
              </w:rPr>
              <w:t> </w:t>
            </w:r>
            <w:r>
              <w:rPr>
                <w:spacing w:val="-2"/>
                <w:sz w:val="18"/>
              </w:rPr>
              <w:t>4,270</w:t>
            </w:r>
            <w:r>
              <w:rPr>
                <w:sz w:val="18"/>
              </w:rPr>
              <w:tab/>
            </w:r>
            <w:r>
              <w:rPr>
                <w:spacing w:val="-10"/>
                <w:sz w:val="18"/>
              </w:rPr>
              <w:t>$</w:t>
            </w:r>
            <w:r>
              <w:rPr>
                <w:sz w:val="18"/>
              </w:rPr>
              <w:tab/>
            </w:r>
            <w:r>
              <w:rPr>
                <w:spacing w:val="-5"/>
                <w:sz w:val="18"/>
              </w:rPr>
              <w:t>929</w:t>
            </w:r>
            <w:r>
              <w:rPr>
                <w:sz w:val="18"/>
              </w:rPr>
              <w:tab/>
              <w:t>$</w:t>
            </w:r>
            <w:r>
              <w:rPr>
                <w:spacing w:val="65"/>
                <w:sz w:val="18"/>
              </w:rPr>
              <w:t> </w:t>
            </w:r>
            <w:r>
              <w:rPr>
                <w:spacing w:val="-2"/>
                <w:sz w:val="18"/>
              </w:rPr>
              <w:t>1,262</w:t>
            </w:r>
          </w:p>
        </w:tc>
        <w:tc>
          <w:tcPr>
            <w:tcW w:w="949" w:type="dxa"/>
            <w:tcBorders>
              <w:top w:val="single" w:sz="4" w:space="0" w:color="000000"/>
              <w:bottom w:val="double" w:sz="8" w:space="0" w:color="000000"/>
            </w:tcBorders>
          </w:tcPr>
          <w:p>
            <w:pPr>
              <w:pStyle w:val="TableParagraph"/>
              <w:spacing w:line="187" w:lineRule="exact" w:before="13"/>
              <w:ind w:left="52"/>
              <w:rPr>
                <w:sz w:val="18"/>
              </w:rPr>
            </w:pPr>
            <w:r>
              <w:rPr>
                <w:sz w:val="18"/>
              </w:rPr>
              <w:t>$</w:t>
            </w:r>
            <w:r>
              <w:rPr>
                <w:spacing w:val="52"/>
                <w:sz w:val="18"/>
              </w:rPr>
              <w:t> </w:t>
            </w:r>
            <w:r>
              <w:rPr>
                <w:spacing w:val="-2"/>
                <w:sz w:val="18"/>
              </w:rPr>
              <w:t>25,198</w:t>
            </w:r>
          </w:p>
        </w:tc>
        <w:tc>
          <w:tcPr>
            <w:tcW w:w="1020" w:type="dxa"/>
            <w:tcBorders>
              <w:top w:val="single" w:sz="4" w:space="0" w:color="000000"/>
              <w:bottom w:val="double" w:sz="8" w:space="0" w:color="000000"/>
            </w:tcBorders>
          </w:tcPr>
          <w:p>
            <w:pPr>
              <w:pStyle w:val="TableParagraph"/>
              <w:tabs>
                <w:tab w:pos="536" w:val="left" w:leader="none"/>
              </w:tabs>
              <w:spacing w:line="187" w:lineRule="exact" w:before="13"/>
              <w:ind w:left="63"/>
              <w:rPr>
                <w:sz w:val="18"/>
              </w:rPr>
            </w:pPr>
            <w:r>
              <w:rPr>
                <w:spacing w:val="-10"/>
                <w:sz w:val="18"/>
              </w:rPr>
              <w:t>$</w:t>
            </w:r>
            <w:r>
              <w:rPr>
                <w:sz w:val="18"/>
              </w:rPr>
              <w:tab/>
            </w:r>
            <w:r>
              <w:rPr>
                <w:spacing w:val="-5"/>
                <w:sz w:val="18"/>
              </w:rPr>
              <w:t>382</w:t>
            </w:r>
          </w:p>
        </w:tc>
        <w:tc>
          <w:tcPr>
            <w:tcW w:w="960" w:type="dxa"/>
            <w:tcBorders>
              <w:top w:val="single" w:sz="4" w:space="0" w:color="000000"/>
              <w:bottom w:val="double" w:sz="8" w:space="0" w:color="000000"/>
            </w:tcBorders>
          </w:tcPr>
          <w:p>
            <w:pPr>
              <w:pStyle w:val="TableParagraph"/>
              <w:tabs>
                <w:tab w:pos="476" w:val="left" w:leader="none"/>
              </w:tabs>
              <w:spacing w:line="187" w:lineRule="exact" w:before="13"/>
              <w:ind w:left="63"/>
              <w:rPr>
                <w:sz w:val="18"/>
              </w:rPr>
            </w:pPr>
            <w:r>
              <w:rPr>
                <w:spacing w:val="-10"/>
                <w:sz w:val="18"/>
              </w:rPr>
              <w:t>$</w:t>
            </w:r>
            <w:r>
              <w:rPr>
                <w:sz w:val="18"/>
              </w:rPr>
              <w:tab/>
            </w:r>
            <w:r>
              <w:rPr>
                <w:spacing w:val="-5"/>
                <w:sz w:val="18"/>
              </w:rPr>
              <w:t>215</w:t>
            </w:r>
          </w:p>
        </w:tc>
        <w:tc>
          <w:tcPr>
            <w:tcW w:w="896" w:type="dxa"/>
            <w:tcBorders>
              <w:top w:val="single" w:sz="4" w:space="0" w:color="000000"/>
              <w:bottom w:val="double" w:sz="8" w:space="0" w:color="000000"/>
            </w:tcBorders>
          </w:tcPr>
          <w:p>
            <w:pPr>
              <w:pStyle w:val="TableParagraph"/>
              <w:tabs>
                <w:tab w:pos="401" w:val="left" w:leader="none"/>
              </w:tabs>
              <w:spacing w:line="187" w:lineRule="exact" w:before="13"/>
              <w:ind w:left="63"/>
              <w:rPr>
                <w:sz w:val="18"/>
              </w:rPr>
            </w:pPr>
            <w:r>
              <w:rPr>
                <w:spacing w:val="-10"/>
                <w:sz w:val="18"/>
              </w:rPr>
              <w:t>$</w:t>
            </w:r>
            <w:r>
              <w:rPr>
                <w:sz w:val="18"/>
              </w:rPr>
              <w:tab/>
            </w:r>
            <w:r>
              <w:rPr>
                <w:spacing w:val="-5"/>
                <w:sz w:val="18"/>
              </w:rPr>
              <w:t>597</w:t>
            </w:r>
          </w:p>
        </w:tc>
      </w:tr>
      <w:tr>
        <w:trPr>
          <w:trHeight w:val="375" w:hRule="atLeast"/>
        </w:trPr>
        <w:tc>
          <w:tcPr>
            <w:tcW w:w="2010" w:type="dxa"/>
            <w:tcBorders>
              <w:top w:val="double" w:sz="8" w:space="0" w:color="000000"/>
              <w:bottom w:val="double" w:sz="8" w:space="0" w:color="000000"/>
            </w:tcBorders>
            <w:shd w:val="clear" w:color="auto" w:fill="CCEDFF"/>
          </w:tcPr>
          <w:p>
            <w:pPr>
              <w:pStyle w:val="TableParagraph"/>
              <w:spacing w:line="180" w:lineRule="exact"/>
              <w:ind w:left="142" w:hanging="90"/>
              <w:rPr>
                <w:sz w:val="18"/>
              </w:rPr>
            </w:pPr>
            <w:r>
              <w:rPr>
                <w:sz w:val="18"/>
              </w:rPr>
              <w:t>Percent</w:t>
            </w:r>
            <w:r>
              <w:rPr>
                <w:spacing w:val="-12"/>
                <w:sz w:val="18"/>
              </w:rPr>
              <w:t> </w:t>
            </w:r>
            <w:r>
              <w:rPr>
                <w:sz w:val="18"/>
              </w:rPr>
              <w:t>of</w:t>
            </w:r>
            <w:r>
              <w:rPr>
                <w:spacing w:val="-11"/>
                <w:sz w:val="18"/>
              </w:rPr>
              <w:t> </w:t>
            </w:r>
            <w:r>
              <w:rPr>
                <w:sz w:val="18"/>
              </w:rPr>
              <w:t>Loans</w:t>
            </w:r>
            <w:r>
              <w:rPr>
                <w:spacing w:val="-11"/>
                <w:sz w:val="18"/>
              </w:rPr>
              <w:t> </w:t>
            </w:r>
            <w:r>
              <w:rPr>
                <w:sz w:val="18"/>
              </w:rPr>
              <w:t>on Nonaccrual</w:t>
            </w:r>
            <w:r>
              <w:rPr>
                <w:spacing w:val="-1"/>
                <w:sz w:val="18"/>
              </w:rPr>
              <w:t> </w:t>
            </w:r>
            <w:r>
              <w:rPr>
                <w:spacing w:val="-2"/>
                <w:sz w:val="18"/>
              </w:rPr>
              <w:t>Status</w:t>
            </w:r>
          </w:p>
        </w:tc>
        <w:tc>
          <w:tcPr>
            <w:tcW w:w="4425" w:type="dxa"/>
            <w:tcBorders>
              <w:top w:val="double" w:sz="8" w:space="0" w:color="000000"/>
              <w:bottom w:val="double" w:sz="8" w:space="0" w:color="000000"/>
            </w:tcBorders>
            <w:shd w:val="clear" w:color="auto" w:fill="CCEDFF"/>
          </w:tcPr>
          <w:p>
            <w:pPr>
              <w:pStyle w:val="TableParagraph"/>
              <w:tabs>
                <w:tab w:pos="884" w:val="left" w:leader="none"/>
                <w:tab w:pos="1769" w:val="left" w:leader="none"/>
                <w:tab w:pos="2654" w:val="left" w:leader="none"/>
                <w:tab w:pos="3539" w:val="left" w:leader="none"/>
              </w:tabs>
              <w:spacing w:line="187" w:lineRule="exact" w:before="168"/>
              <w:ind w:right="72"/>
              <w:jc w:val="right"/>
              <w:rPr>
                <w:sz w:val="18"/>
              </w:rPr>
            </w:pPr>
            <w:r>
              <w:rPr>
                <w:spacing w:val="-2"/>
                <w:sz w:val="18"/>
              </w:rPr>
              <w:t>0.02%</w:t>
            </w:r>
            <w:r>
              <w:rPr>
                <w:sz w:val="18"/>
              </w:rPr>
              <w:tab/>
            </w:r>
            <w:r>
              <w:rPr>
                <w:spacing w:val="-2"/>
                <w:sz w:val="18"/>
              </w:rPr>
              <w:t>0.03%</w:t>
            </w:r>
            <w:r>
              <w:rPr>
                <w:sz w:val="18"/>
              </w:rPr>
              <w:tab/>
            </w:r>
            <w:r>
              <w:rPr>
                <w:spacing w:val="-2"/>
                <w:sz w:val="18"/>
              </w:rPr>
              <w:t>0.09%</w:t>
            </w:r>
            <w:r>
              <w:rPr>
                <w:sz w:val="18"/>
              </w:rPr>
              <w:tab/>
            </w:r>
            <w:r>
              <w:rPr>
                <w:spacing w:val="-2"/>
                <w:sz w:val="18"/>
              </w:rPr>
              <w:t>0.02%</w:t>
            </w:r>
            <w:r>
              <w:rPr>
                <w:sz w:val="18"/>
              </w:rPr>
              <w:tab/>
            </w:r>
            <w:r>
              <w:rPr>
                <w:spacing w:val="-2"/>
                <w:sz w:val="18"/>
              </w:rPr>
              <w:t>0.43%</w:t>
            </w:r>
          </w:p>
        </w:tc>
        <w:tc>
          <w:tcPr>
            <w:tcW w:w="949" w:type="dxa"/>
            <w:tcBorders>
              <w:top w:val="double" w:sz="8" w:space="0" w:color="000000"/>
              <w:bottom w:val="double" w:sz="8" w:space="0" w:color="000000"/>
            </w:tcBorders>
            <w:shd w:val="clear" w:color="auto" w:fill="CCEDFF"/>
          </w:tcPr>
          <w:p>
            <w:pPr>
              <w:pStyle w:val="TableParagraph"/>
              <w:spacing w:line="187" w:lineRule="exact" w:before="168"/>
              <w:ind w:right="61"/>
              <w:jc w:val="right"/>
              <w:rPr>
                <w:sz w:val="18"/>
              </w:rPr>
            </w:pPr>
            <w:r>
              <w:rPr>
                <w:spacing w:val="-2"/>
                <w:sz w:val="18"/>
              </w:rPr>
              <w:t>0.06%</w:t>
            </w:r>
          </w:p>
        </w:tc>
        <w:tc>
          <w:tcPr>
            <w:tcW w:w="1020" w:type="dxa"/>
            <w:tcBorders>
              <w:top w:val="double" w:sz="8" w:space="0" w:color="000000"/>
              <w:bottom w:val="double" w:sz="8" w:space="0" w:color="000000"/>
            </w:tcBorders>
            <w:shd w:val="clear" w:color="auto" w:fill="CCEDFF"/>
          </w:tcPr>
          <w:p>
            <w:pPr>
              <w:pStyle w:val="TableParagraph"/>
              <w:spacing w:line="187" w:lineRule="exact" w:before="168"/>
              <w:ind w:left="491"/>
              <w:rPr>
                <w:sz w:val="18"/>
              </w:rPr>
            </w:pPr>
            <w:r>
              <w:rPr>
                <w:spacing w:val="-2"/>
                <w:sz w:val="18"/>
              </w:rPr>
              <w:t>0.34%</w:t>
            </w:r>
          </w:p>
        </w:tc>
        <w:tc>
          <w:tcPr>
            <w:tcW w:w="960" w:type="dxa"/>
            <w:tcBorders>
              <w:top w:val="double" w:sz="8" w:space="0" w:color="000000"/>
              <w:bottom w:val="double" w:sz="8" w:space="0" w:color="000000"/>
            </w:tcBorders>
            <w:shd w:val="clear" w:color="auto" w:fill="CCEDFF"/>
          </w:tcPr>
          <w:p>
            <w:pPr>
              <w:pStyle w:val="TableParagraph"/>
              <w:spacing w:line="187" w:lineRule="exact" w:before="168"/>
              <w:ind w:left="431"/>
              <w:rPr>
                <w:sz w:val="18"/>
              </w:rPr>
            </w:pPr>
            <w:r>
              <w:rPr>
                <w:spacing w:val="-2"/>
                <w:sz w:val="18"/>
              </w:rPr>
              <w:t>1.90%</w:t>
            </w:r>
          </w:p>
        </w:tc>
        <w:tc>
          <w:tcPr>
            <w:tcW w:w="896" w:type="dxa"/>
            <w:tcBorders>
              <w:top w:val="double" w:sz="8" w:space="0" w:color="000000"/>
              <w:bottom w:val="double" w:sz="8" w:space="0" w:color="000000"/>
            </w:tcBorders>
            <w:shd w:val="clear" w:color="auto" w:fill="CCEDFF"/>
          </w:tcPr>
          <w:p>
            <w:pPr>
              <w:pStyle w:val="TableParagraph"/>
              <w:spacing w:line="187" w:lineRule="exact" w:before="168"/>
              <w:ind w:left="356"/>
              <w:rPr>
                <w:sz w:val="18"/>
              </w:rPr>
            </w:pPr>
            <w:r>
              <w:rPr>
                <w:spacing w:val="-2"/>
                <w:sz w:val="18"/>
              </w:rPr>
              <w:t>0.84%</w:t>
            </w:r>
          </w:p>
        </w:tc>
      </w:tr>
    </w:tbl>
    <w:p>
      <w:pPr>
        <w:spacing w:before="27"/>
        <w:ind w:left="470" w:right="0" w:firstLine="0"/>
        <w:jc w:val="left"/>
        <w:rPr>
          <w:sz w:val="16"/>
        </w:rPr>
      </w:pPr>
      <w:r>
        <w:rPr>
          <w:sz w:val="16"/>
          <w:vertAlign w:val="superscript"/>
        </w:rPr>
        <w:t>(1)</w:t>
      </w:r>
      <w:r>
        <w:rPr>
          <w:spacing w:val="-15"/>
          <w:sz w:val="16"/>
          <w:vertAlign w:val="baseline"/>
        </w:rPr>
        <w:t> </w:t>
      </w:r>
      <w:r>
        <w:rPr>
          <w:sz w:val="16"/>
          <w:vertAlign w:val="baseline"/>
        </w:rPr>
        <w:t>Represents</w:t>
      </w:r>
      <w:r>
        <w:rPr>
          <w:spacing w:val="-1"/>
          <w:sz w:val="16"/>
          <w:vertAlign w:val="baseline"/>
        </w:rPr>
        <w:t> </w:t>
      </w:r>
      <w:r>
        <w:rPr>
          <w:sz w:val="16"/>
          <w:vertAlign w:val="baseline"/>
        </w:rPr>
        <w:t>the LTV for the full line</w:t>
      </w:r>
      <w:r>
        <w:rPr>
          <w:spacing w:val="1"/>
          <w:sz w:val="16"/>
          <w:vertAlign w:val="baseline"/>
        </w:rPr>
        <w:t> </w:t>
      </w:r>
      <w:r>
        <w:rPr>
          <w:sz w:val="16"/>
          <w:vertAlign w:val="baseline"/>
        </w:rPr>
        <w:t>of credit (drawn</w:t>
      </w:r>
      <w:r>
        <w:rPr>
          <w:spacing w:val="1"/>
          <w:sz w:val="16"/>
          <w:vertAlign w:val="baseline"/>
        </w:rPr>
        <w:t> </w:t>
      </w:r>
      <w:r>
        <w:rPr>
          <w:sz w:val="16"/>
          <w:vertAlign w:val="baseline"/>
        </w:rPr>
        <w:t>and undrawn) for</w:t>
      </w:r>
      <w:r>
        <w:rPr>
          <w:spacing w:val="1"/>
          <w:sz w:val="16"/>
          <w:vertAlign w:val="baseline"/>
        </w:rPr>
        <w:t> </w:t>
      </w:r>
      <w:r>
        <w:rPr>
          <w:sz w:val="16"/>
          <w:vertAlign w:val="baseline"/>
        </w:rPr>
        <w:t>revolving </w:t>
      </w:r>
      <w:r>
        <w:rPr>
          <w:spacing w:val="-2"/>
          <w:sz w:val="16"/>
          <w:vertAlign w:val="baseline"/>
        </w:rPr>
        <w:t>HELOCs.</w:t>
      </w:r>
    </w:p>
    <w:p>
      <w:pPr>
        <w:pStyle w:val="BodyText"/>
        <w:spacing w:before="146"/>
        <w:rPr>
          <w:sz w:val="16"/>
        </w:rPr>
      </w:pPr>
    </w:p>
    <w:p>
      <w:pPr>
        <w:pStyle w:val="BodyText"/>
        <w:spacing w:line="249" w:lineRule="auto" w:before="1"/>
        <w:ind w:left="470" w:right="500"/>
      </w:pPr>
      <w:r>
        <w:rPr/>
        <w:t>At September 30, 2023, First Mortgage loans of $21.4 billion had adjustable interest rates. Substantially all of these mortgages have</w:t>
      </w:r>
      <w:r>
        <w:rPr>
          <w:spacing w:val="-3"/>
        </w:rPr>
        <w:t> </w:t>
      </w:r>
      <w:r>
        <w:rPr/>
        <w:t>initial</w:t>
      </w:r>
      <w:r>
        <w:rPr>
          <w:spacing w:val="-3"/>
        </w:rPr>
        <w:t> </w:t>
      </w:r>
      <w:r>
        <w:rPr/>
        <w:t>fixed</w:t>
      </w:r>
      <w:r>
        <w:rPr>
          <w:spacing w:val="-2"/>
        </w:rPr>
        <w:t> </w:t>
      </w:r>
      <w:r>
        <w:rPr/>
        <w:t>interest</w:t>
      </w:r>
      <w:r>
        <w:rPr>
          <w:spacing w:val="-3"/>
        </w:rPr>
        <w:t> </w:t>
      </w:r>
      <w:r>
        <w:rPr/>
        <w:t>rates</w:t>
      </w:r>
      <w:r>
        <w:rPr>
          <w:spacing w:val="-3"/>
        </w:rPr>
        <w:t> </w:t>
      </w:r>
      <w:r>
        <w:rPr/>
        <w:t>for</w:t>
      </w:r>
      <w:r>
        <w:rPr>
          <w:spacing w:val="-2"/>
        </w:rPr>
        <w:t> </w:t>
      </w:r>
      <w:r>
        <w:rPr/>
        <w:t>three</w:t>
      </w:r>
      <w:r>
        <w:rPr>
          <w:spacing w:val="-3"/>
        </w:rPr>
        <w:t> </w:t>
      </w:r>
      <w:r>
        <w:rPr/>
        <w:t>to</w:t>
      </w:r>
      <w:r>
        <w:rPr>
          <w:spacing w:val="-2"/>
        </w:rPr>
        <w:t> </w:t>
      </w:r>
      <w:r>
        <w:rPr/>
        <w:t>ten</w:t>
      </w:r>
      <w:r>
        <w:rPr>
          <w:spacing w:val="-2"/>
        </w:rPr>
        <w:t> </w:t>
      </w:r>
      <w:r>
        <w:rPr/>
        <w:t>years</w:t>
      </w:r>
      <w:r>
        <w:rPr>
          <w:spacing w:val="-3"/>
        </w:rPr>
        <w:t> </w:t>
      </w:r>
      <w:r>
        <w:rPr/>
        <w:t>and</w:t>
      </w:r>
      <w:r>
        <w:rPr>
          <w:spacing w:val="-2"/>
        </w:rPr>
        <w:t> </w:t>
      </w:r>
      <w:r>
        <w:rPr/>
        <w:t>interest</w:t>
      </w:r>
      <w:r>
        <w:rPr>
          <w:spacing w:val="-3"/>
        </w:rPr>
        <w:t> </w:t>
      </w:r>
      <w:r>
        <w:rPr/>
        <w:t>rates</w:t>
      </w:r>
      <w:r>
        <w:rPr>
          <w:spacing w:val="-3"/>
        </w:rPr>
        <w:t> </w:t>
      </w:r>
      <w:r>
        <w:rPr/>
        <w:t>that</w:t>
      </w:r>
      <w:r>
        <w:rPr>
          <w:spacing w:val="-3"/>
        </w:rPr>
        <w:t> </w:t>
      </w:r>
      <w:r>
        <w:rPr/>
        <w:t>adjust</w:t>
      </w:r>
      <w:r>
        <w:rPr>
          <w:spacing w:val="-3"/>
        </w:rPr>
        <w:t> </w:t>
      </w:r>
      <w:r>
        <w:rPr/>
        <w:t>annually</w:t>
      </w:r>
      <w:r>
        <w:rPr>
          <w:spacing w:val="-2"/>
        </w:rPr>
        <w:t> </w:t>
      </w:r>
      <w:r>
        <w:rPr/>
        <w:t>thereafter.</w:t>
      </w:r>
      <w:r>
        <w:rPr>
          <w:spacing w:val="-2"/>
        </w:rPr>
        <w:t> </w:t>
      </w:r>
      <w:r>
        <w:rPr/>
        <w:t>Approximately</w:t>
      </w:r>
      <w:r>
        <w:rPr>
          <w:spacing w:val="-2"/>
        </w:rPr>
        <w:t> </w:t>
      </w:r>
      <w:r>
        <w:rPr/>
        <w:t>27%</w:t>
      </w:r>
      <w:r>
        <w:rPr>
          <w:spacing w:val="-2"/>
        </w:rPr>
        <w:t> </w:t>
      </w:r>
      <w:r>
        <w:rPr/>
        <w:t>of</w:t>
      </w:r>
      <w:r>
        <w:rPr>
          <w:spacing w:val="-2"/>
        </w:rPr>
        <w:t> </w:t>
      </w:r>
      <w:r>
        <w:rPr/>
        <w:t>the balance</w:t>
      </w:r>
      <w:r>
        <w:rPr>
          <w:spacing w:val="-4"/>
        </w:rPr>
        <w:t> </w:t>
      </w:r>
      <w:r>
        <w:rPr/>
        <w:t>of</w:t>
      </w:r>
      <w:r>
        <w:rPr>
          <w:spacing w:val="-3"/>
        </w:rPr>
        <w:t> </w:t>
      </w:r>
      <w:r>
        <w:rPr/>
        <w:t>these</w:t>
      </w:r>
      <w:r>
        <w:rPr>
          <w:spacing w:val="-4"/>
        </w:rPr>
        <w:t> </w:t>
      </w:r>
      <w:r>
        <w:rPr/>
        <w:t>mortgages</w:t>
      </w:r>
      <w:r>
        <w:rPr>
          <w:spacing w:val="-4"/>
        </w:rPr>
        <w:t> </w:t>
      </w:r>
      <w:r>
        <w:rPr/>
        <w:t>consisted</w:t>
      </w:r>
      <w:r>
        <w:rPr>
          <w:spacing w:val="-3"/>
        </w:rPr>
        <w:t> </w:t>
      </w:r>
      <w:r>
        <w:rPr/>
        <w:t>of</w:t>
      </w:r>
      <w:r>
        <w:rPr>
          <w:spacing w:val="-3"/>
        </w:rPr>
        <w:t> </w:t>
      </w:r>
      <w:r>
        <w:rPr/>
        <w:t>loans</w:t>
      </w:r>
      <w:r>
        <w:rPr>
          <w:spacing w:val="-4"/>
        </w:rPr>
        <w:t> </w:t>
      </w:r>
      <w:r>
        <w:rPr/>
        <w:t>with</w:t>
      </w:r>
      <w:r>
        <w:rPr>
          <w:spacing w:val="-3"/>
        </w:rPr>
        <w:t> </w:t>
      </w:r>
      <w:r>
        <w:rPr/>
        <w:t>interest-only</w:t>
      </w:r>
      <w:r>
        <w:rPr>
          <w:spacing w:val="-3"/>
        </w:rPr>
        <w:t> </w:t>
      </w:r>
      <w:r>
        <w:rPr/>
        <w:t>payment</w:t>
      </w:r>
      <w:r>
        <w:rPr>
          <w:spacing w:val="-4"/>
        </w:rPr>
        <w:t> </w:t>
      </w:r>
      <w:r>
        <w:rPr/>
        <w:t>terms.</w:t>
      </w:r>
      <w:r>
        <w:rPr>
          <w:spacing w:val="-3"/>
        </w:rPr>
        <w:t> </w:t>
      </w:r>
      <w:r>
        <w:rPr/>
        <w:t>The</w:t>
      </w:r>
      <w:r>
        <w:rPr>
          <w:spacing w:val="-4"/>
        </w:rPr>
        <w:t> </w:t>
      </w:r>
      <w:r>
        <w:rPr/>
        <w:t>interest</w:t>
      </w:r>
      <w:r>
        <w:rPr>
          <w:spacing w:val="-4"/>
        </w:rPr>
        <w:t> </w:t>
      </w:r>
      <w:r>
        <w:rPr/>
        <w:t>rates</w:t>
      </w:r>
      <w:r>
        <w:rPr>
          <w:spacing w:val="-4"/>
        </w:rPr>
        <w:t> </w:t>
      </w:r>
      <w:r>
        <w:rPr/>
        <w:t>on</w:t>
      </w:r>
      <w:r>
        <w:rPr>
          <w:spacing w:val="-3"/>
        </w:rPr>
        <w:t> </w:t>
      </w:r>
      <w:r>
        <w:rPr/>
        <w:t>approximately</w:t>
      </w:r>
      <w:r>
        <w:rPr>
          <w:spacing w:val="-3"/>
        </w:rPr>
        <w:t> </w:t>
      </w:r>
      <w:r>
        <w:rPr/>
        <w:t>88%</w:t>
      </w:r>
      <w:r>
        <w:rPr>
          <w:spacing w:val="-3"/>
        </w:rPr>
        <w:t> </w:t>
      </w:r>
      <w:r>
        <w:rPr/>
        <w:t>of</w:t>
      </w:r>
      <w:r>
        <w:rPr>
          <w:spacing w:val="-3"/>
        </w:rPr>
        <w:t> </w:t>
      </w:r>
      <w:r>
        <w:rPr/>
        <w:t>the balance of these interest-only loans are not scheduled to reset for three or more years. Schwab’s mortgage loans do not include interest terms described as temporary introductory rates below current market rates.</w:t>
      </w:r>
    </w:p>
    <w:p>
      <w:pPr>
        <w:pStyle w:val="BodyText"/>
        <w:spacing w:before="14"/>
      </w:pPr>
    </w:p>
    <w:p>
      <w:pPr>
        <w:pStyle w:val="BodyText"/>
        <w:spacing w:line="249" w:lineRule="auto"/>
        <w:ind w:left="470" w:right="585"/>
      </w:pPr>
      <w:r>
        <w:rPr/>
        <w:t>At</w:t>
      </w:r>
      <w:r>
        <w:rPr>
          <w:spacing w:val="-4"/>
        </w:rPr>
        <w:t> </w:t>
      </w:r>
      <w:r>
        <w:rPr/>
        <w:t>September</w:t>
      </w:r>
      <w:r>
        <w:rPr>
          <w:spacing w:val="-3"/>
        </w:rPr>
        <w:t> </w:t>
      </w:r>
      <w:r>
        <w:rPr/>
        <w:t>30,</w:t>
      </w:r>
      <w:r>
        <w:rPr>
          <w:spacing w:val="-3"/>
        </w:rPr>
        <w:t> </w:t>
      </w:r>
      <w:r>
        <w:rPr/>
        <w:t>2023</w:t>
      </w:r>
      <w:r>
        <w:rPr>
          <w:spacing w:val="-3"/>
        </w:rPr>
        <w:t> </w:t>
      </w:r>
      <w:r>
        <w:rPr/>
        <w:t>and</w:t>
      </w:r>
      <w:r>
        <w:rPr>
          <w:spacing w:val="-3"/>
        </w:rPr>
        <w:t> </w:t>
      </w:r>
      <w:r>
        <w:rPr/>
        <w:t>December</w:t>
      </w:r>
      <w:r>
        <w:rPr>
          <w:spacing w:val="-3"/>
        </w:rPr>
        <w:t> </w:t>
      </w:r>
      <w:r>
        <w:rPr/>
        <w:t>31,</w:t>
      </w:r>
      <w:r>
        <w:rPr>
          <w:spacing w:val="-3"/>
        </w:rPr>
        <w:t> </w:t>
      </w:r>
      <w:r>
        <w:rPr/>
        <w:t>2022,</w:t>
      </w:r>
      <w:r>
        <w:rPr>
          <w:spacing w:val="-3"/>
        </w:rPr>
        <w:t> </w:t>
      </w:r>
      <w:r>
        <w:rPr/>
        <w:t>Schwab</w:t>
      </w:r>
      <w:r>
        <w:rPr>
          <w:spacing w:val="-3"/>
        </w:rPr>
        <w:t> </w:t>
      </w:r>
      <w:r>
        <w:rPr/>
        <w:t>had</w:t>
      </w:r>
      <w:r>
        <w:rPr>
          <w:spacing w:val="-3"/>
        </w:rPr>
        <w:t> </w:t>
      </w:r>
      <w:r>
        <w:rPr/>
        <w:t>$152</w:t>
      </w:r>
      <w:r>
        <w:rPr>
          <w:spacing w:val="-3"/>
        </w:rPr>
        <w:t> </w:t>
      </w:r>
      <w:r>
        <w:rPr/>
        <w:t>million</w:t>
      </w:r>
      <w:r>
        <w:rPr>
          <w:spacing w:val="-3"/>
        </w:rPr>
        <w:t> </w:t>
      </w:r>
      <w:r>
        <w:rPr/>
        <w:t>and</w:t>
      </w:r>
      <w:r>
        <w:rPr>
          <w:spacing w:val="-3"/>
        </w:rPr>
        <w:t> </w:t>
      </w:r>
      <w:r>
        <w:rPr/>
        <w:t>$134</w:t>
      </w:r>
      <w:r>
        <w:rPr>
          <w:spacing w:val="-3"/>
        </w:rPr>
        <w:t> </w:t>
      </w:r>
      <w:r>
        <w:rPr/>
        <w:t>million,</w:t>
      </w:r>
      <w:r>
        <w:rPr>
          <w:spacing w:val="-3"/>
        </w:rPr>
        <w:t> </w:t>
      </w:r>
      <w:r>
        <w:rPr/>
        <w:t>respectively,</w:t>
      </w:r>
      <w:r>
        <w:rPr>
          <w:spacing w:val="-3"/>
        </w:rPr>
        <w:t> </w:t>
      </w:r>
      <w:r>
        <w:rPr/>
        <w:t>of</w:t>
      </w:r>
      <w:r>
        <w:rPr>
          <w:spacing w:val="-3"/>
        </w:rPr>
        <w:t> </w:t>
      </w:r>
      <w:r>
        <w:rPr/>
        <w:t>accrued</w:t>
      </w:r>
      <w:r>
        <w:rPr>
          <w:spacing w:val="-3"/>
        </w:rPr>
        <w:t> </w:t>
      </w:r>
      <w:r>
        <w:rPr/>
        <w:t>interest on bank loans, which is excluded from the amortized cost basis of bank loans and included in other assets on the condensed consolidated balance sheets.</w:t>
      </w:r>
    </w:p>
    <w:p>
      <w:pPr>
        <w:pStyle w:val="BodyText"/>
        <w:spacing w:before="12"/>
      </w:pPr>
    </w:p>
    <w:p>
      <w:pPr>
        <w:pStyle w:val="BodyText"/>
        <w:spacing w:line="249" w:lineRule="auto"/>
        <w:ind w:left="470" w:right="500"/>
      </w:pPr>
      <w:r>
        <w:rPr/>
        <w:t>The HELOC product has a 30-year loan term with an initial draw period of ten years from the date of origination. After the initial</w:t>
      </w:r>
      <w:r>
        <w:rPr>
          <w:spacing w:val="-3"/>
        </w:rPr>
        <w:t> </w:t>
      </w:r>
      <w:r>
        <w:rPr/>
        <w:t>draw</w:t>
      </w:r>
      <w:r>
        <w:rPr>
          <w:spacing w:val="-3"/>
        </w:rPr>
        <w:t> </w:t>
      </w:r>
      <w:r>
        <w:rPr/>
        <w:t>period,</w:t>
      </w:r>
      <w:r>
        <w:rPr>
          <w:spacing w:val="-2"/>
        </w:rPr>
        <w:t> </w:t>
      </w:r>
      <w:r>
        <w:rPr/>
        <w:t>the</w:t>
      </w:r>
      <w:r>
        <w:rPr>
          <w:spacing w:val="-3"/>
        </w:rPr>
        <w:t> </w:t>
      </w:r>
      <w:r>
        <w:rPr/>
        <w:t>balance</w:t>
      </w:r>
      <w:r>
        <w:rPr>
          <w:spacing w:val="-3"/>
        </w:rPr>
        <w:t> </w:t>
      </w:r>
      <w:r>
        <w:rPr/>
        <w:t>outstanding</w:t>
      </w:r>
      <w:r>
        <w:rPr>
          <w:spacing w:val="-2"/>
        </w:rPr>
        <w:t> </w:t>
      </w:r>
      <w:r>
        <w:rPr/>
        <w:t>at</w:t>
      </w:r>
      <w:r>
        <w:rPr>
          <w:spacing w:val="-3"/>
        </w:rPr>
        <w:t> </w:t>
      </w:r>
      <w:r>
        <w:rPr/>
        <w:t>such</w:t>
      </w:r>
      <w:r>
        <w:rPr>
          <w:spacing w:val="-2"/>
        </w:rPr>
        <w:t> </w:t>
      </w:r>
      <w:r>
        <w:rPr/>
        <w:t>time</w:t>
      </w:r>
      <w:r>
        <w:rPr>
          <w:spacing w:val="-3"/>
        </w:rPr>
        <w:t> </w:t>
      </w:r>
      <w:r>
        <w:rPr/>
        <w:t>is</w:t>
      </w:r>
      <w:r>
        <w:rPr>
          <w:spacing w:val="-3"/>
        </w:rPr>
        <w:t> </w:t>
      </w:r>
      <w:r>
        <w:rPr/>
        <w:t>converted</w:t>
      </w:r>
      <w:r>
        <w:rPr>
          <w:spacing w:val="-2"/>
        </w:rPr>
        <w:t> </w:t>
      </w:r>
      <w:r>
        <w:rPr/>
        <w:t>to</w:t>
      </w:r>
      <w:r>
        <w:rPr>
          <w:spacing w:val="-2"/>
        </w:rPr>
        <w:t> </w:t>
      </w:r>
      <w:r>
        <w:rPr/>
        <w:t>a</w:t>
      </w:r>
      <w:r>
        <w:rPr>
          <w:spacing w:val="-3"/>
        </w:rPr>
        <w:t> </w:t>
      </w:r>
      <w:r>
        <w:rPr/>
        <w:t>20-year</w:t>
      </w:r>
      <w:r>
        <w:rPr>
          <w:spacing w:val="-2"/>
        </w:rPr>
        <w:t> </w:t>
      </w:r>
      <w:r>
        <w:rPr/>
        <w:t>amortizing</w:t>
      </w:r>
      <w:r>
        <w:rPr>
          <w:spacing w:val="-2"/>
        </w:rPr>
        <w:t> </w:t>
      </w:r>
      <w:r>
        <w:rPr/>
        <w:t>loan.</w:t>
      </w:r>
      <w:r>
        <w:rPr>
          <w:spacing w:val="-2"/>
        </w:rPr>
        <w:t> </w:t>
      </w:r>
      <w:r>
        <w:rPr/>
        <w:t>The</w:t>
      </w:r>
      <w:r>
        <w:rPr>
          <w:spacing w:val="-3"/>
        </w:rPr>
        <w:t> </w:t>
      </w:r>
      <w:r>
        <w:rPr/>
        <w:t>interest</w:t>
      </w:r>
      <w:r>
        <w:rPr>
          <w:spacing w:val="-3"/>
        </w:rPr>
        <w:t> </w:t>
      </w:r>
      <w:r>
        <w:rPr/>
        <w:t>rate</w:t>
      </w:r>
      <w:r>
        <w:rPr>
          <w:spacing w:val="-3"/>
        </w:rPr>
        <w:t> </w:t>
      </w:r>
      <w:r>
        <w:rPr/>
        <w:t>during</w:t>
      </w:r>
      <w:r>
        <w:rPr>
          <w:spacing w:val="-2"/>
        </w:rPr>
        <w:t> </w:t>
      </w:r>
      <w:r>
        <w:rPr/>
        <w:t>the initial draw period and the 20-year amortizing period is a floating rate based on the prime rate plus a margin.</w:t>
      </w:r>
    </w:p>
    <w:p>
      <w:pPr>
        <w:spacing w:after="0" w:line="249" w:lineRule="auto"/>
        <w:sectPr>
          <w:pgSz w:w="12240" w:h="15840"/>
          <w:pgMar w:header="227" w:footer="201" w:top="1080" w:bottom="400" w:left="520" w:right="520"/>
        </w:sectPr>
      </w:pPr>
    </w:p>
    <w:p>
      <w:pPr>
        <w:pStyle w:val="BodyText"/>
        <w:spacing w:before="214"/>
        <w:ind w:left="470"/>
      </w:pPr>
      <w:r>
        <w:rPr/>
        <mc:AlternateContent>
          <mc:Choice Requires="wps">
            <w:drawing>
              <wp:anchor distT="0" distB="0" distL="0" distR="0" allowOverlap="1" layoutInCell="1" locked="0" behindDoc="0" simplePos="0" relativeHeight="15753216">
                <wp:simplePos x="0" y="0"/>
                <wp:positionH relativeFrom="page">
                  <wp:posOffset>628650</wp:posOffset>
                </wp:positionH>
                <wp:positionV relativeFrom="paragraph">
                  <wp:posOffset>379470</wp:posOffset>
                </wp:positionV>
                <wp:extent cx="6515100" cy="327025"/>
                <wp:effectExtent l="0" t="0" r="0" b="0"/>
                <wp:wrapNone/>
                <wp:docPr id="361" name="Group 361"/>
                <wp:cNvGraphicFramePr>
                  <a:graphicFrameLocks/>
                </wp:cNvGraphicFramePr>
                <a:graphic>
                  <a:graphicData uri="http://schemas.microsoft.com/office/word/2010/wordprocessingGroup">
                    <wpg:wgp>
                      <wpg:cNvPr id="361" name="Group 361"/>
                      <wpg:cNvGrpSpPr/>
                      <wpg:grpSpPr>
                        <a:xfrm>
                          <a:off x="0" y="0"/>
                          <a:ext cx="6515100" cy="327025"/>
                          <a:chExt cx="6515100" cy="327025"/>
                        </a:xfrm>
                      </wpg:grpSpPr>
                      <wps:wsp>
                        <wps:cNvPr id="362" name="Graphic 362"/>
                        <wps:cNvSpPr/>
                        <wps:spPr>
                          <a:xfrm>
                            <a:off x="0" y="165100"/>
                            <a:ext cx="6515100" cy="161925"/>
                          </a:xfrm>
                          <a:custGeom>
                            <a:avLst/>
                            <a:gdLst/>
                            <a:ahLst/>
                            <a:cxnLst/>
                            <a:rect l="l" t="t" r="r" b="b"/>
                            <a:pathLst>
                              <a:path w="6515100" h="161925">
                                <a:moveTo>
                                  <a:pt x="6515100" y="0"/>
                                </a:moveTo>
                                <a:lnTo>
                                  <a:pt x="0" y="0"/>
                                </a:lnTo>
                                <a:lnTo>
                                  <a:pt x="0" y="161925"/>
                                </a:lnTo>
                                <a:lnTo>
                                  <a:pt x="6515100" y="161925"/>
                                </a:lnTo>
                                <a:lnTo>
                                  <a:pt x="6515100" y="0"/>
                                </a:lnTo>
                                <a:close/>
                              </a:path>
                            </a:pathLst>
                          </a:custGeom>
                          <a:solidFill>
                            <a:srgbClr val="CCEDFF"/>
                          </a:solidFill>
                        </wps:spPr>
                        <wps:bodyPr wrap="square" lIns="0" tIns="0" rIns="0" bIns="0" rtlCol="0">
                          <a:prstTxWarp prst="textNoShape">
                            <a:avLst/>
                          </a:prstTxWarp>
                          <a:noAutofit/>
                        </wps:bodyPr>
                      </wps:wsp>
                      <wps:wsp>
                        <wps:cNvPr id="363" name="Graphic 363"/>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364" name="Graphic 364"/>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365" name="Graphic 365"/>
                        <wps:cNvSpPr/>
                        <wps:spPr>
                          <a:xfrm>
                            <a:off x="0" y="165100"/>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366" name="Graphic 366"/>
                        <wps:cNvSpPr/>
                        <wps:spPr>
                          <a:xfrm>
                            <a:off x="0" y="165100"/>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367" name="Textbox 367"/>
                        <wps:cNvSpPr txBox="1"/>
                        <wps:spPr>
                          <a:xfrm>
                            <a:off x="33401" y="19557"/>
                            <a:ext cx="930275" cy="127000"/>
                          </a:xfrm>
                          <a:prstGeom prst="rect">
                            <a:avLst/>
                          </a:prstGeom>
                        </wps:spPr>
                        <wps:txbx>
                          <w:txbxContent>
                            <w:p>
                              <w:pPr>
                                <w:spacing w:line="199" w:lineRule="exact" w:before="0"/>
                                <w:ind w:left="0" w:right="0" w:firstLine="0"/>
                                <w:jc w:val="left"/>
                                <w:rPr>
                                  <w:sz w:val="18"/>
                                </w:rPr>
                              </w:pPr>
                              <w:r>
                                <w:rPr>
                                  <w:sz w:val="18"/>
                                </w:rPr>
                                <w:t>September</w:t>
                              </w:r>
                              <w:r>
                                <w:rPr>
                                  <w:spacing w:val="-1"/>
                                  <w:sz w:val="18"/>
                                </w:rPr>
                                <w:t> </w:t>
                              </w:r>
                              <w:r>
                                <w:rPr>
                                  <w:sz w:val="18"/>
                                </w:rPr>
                                <w:t>30, </w:t>
                              </w:r>
                              <w:r>
                                <w:rPr>
                                  <w:spacing w:val="-4"/>
                                  <w:sz w:val="18"/>
                                </w:rPr>
                                <w:t>2023</w:t>
                              </w:r>
                            </w:p>
                          </w:txbxContent>
                        </wps:txbx>
                        <wps:bodyPr wrap="square" lIns="0" tIns="0" rIns="0" bIns="0" rtlCol="0">
                          <a:noAutofit/>
                        </wps:bodyPr>
                      </wps:wsp>
                      <wps:wsp>
                        <wps:cNvPr id="368" name="Textbox 368"/>
                        <wps:cNvSpPr txBox="1"/>
                        <wps:spPr>
                          <a:xfrm>
                            <a:off x="6021578" y="19557"/>
                            <a:ext cx="381000" cy="127000"/>
                          </a:xfrm>
                          <a:prstGeom prst="rect">
                            <a:avLst/>
                          </a:prstGeom>
                        </wps:spPr>
                        <wps:txbx>
                          <w:txbxContent>
                            <w:p>
                              <w:pPr>
                                <w:spacing w:line="199" w:lineRule="exact" w:before="0"/>
                                <w:ind w:left="0" w:right="0" w:firstLine="0"/>
                                <w:jc w:val="left"/>
                                <w:rPr>
                                  <w:sz w:val="18"/>
                                </w:rPr>
                              </w:pPr>
                              <w:r>
                                <w:rPr>
                                  <w:spacing w:val="-2"/>
                                  <w:sz w:val="18"/>
                                </w:rPr>
                                <w:t>Balance</w:t>
                              </w:r>
                            </w:p>
                          </w:txbxContent>
                        </wps:txbx>
                        <wps:bodyPr wrap="square" lIns="0" tIns="0" rIns="0" bIns="0" rtlCol="0">
                          <a:noAutofit/>
                        </wps:bodyPr>
                      </wps:wsp>
                      <wps:wsp>
                        <wps:cNvPr id="369" name="Textbox 369"/>
                        <wps:cNvSpPr txBox="1"/>
                        <wps:spPr>
                          <a:xfrm>
                            <a:off x="0" y="168275"/>
                            <a:ext cx="6515100" cy="158750"/>
                          </a:xfrm>
                          <a:prstGeom prst="rect">
                            <a:avLst/>
                          </a:prstGeom>
                        </wps:spPr>
                        <wps:txbx>
                          <w:txbxContent>
                            <w:p>
                              <w:pPr>
                                <w:tabs>
                                  <w:tab w:pos="9337" w:val="left" w:leader="none"/>
                                  <w:tab w:pos="10184" w:val="right" w:leader="none"/>
                                </w:tabs>
                                <w:spacing w:before="13"/>
                                <w:ind w:left="52" w:right="0" w:firstLine="0"/>
                                <w:jc w:val="left"/>
                                <w:rPr>
                                  <w:sz w:val="18"/>
                                </w:rPr>
                              </w:pPr>
                              <w:r>
                                <w:rPr>
                                  <w:sz w:val="18"/>
                                </w:rPr>
                                <w:t>Converted to an amortizing loan by period end</w:t>
                              </w:r>
                              <w:r>
                                <w:rPr>
                                  <w:spacing w:val="-2"/>
                                  <w:sz w:val="18"/>
                                </w:rPr>
                                <w:t> </w:t>
                              </w:r>
                              <w:r>
                                <w:rPr>
                                  <w:spacing w:val="-5"/>
                                  <w:sz w:val="18"/>
                                  <w:vertAlign w:val="superscript"/>
                                </w:rPr>
                                <w:t>(1)</w:t>
                              </w:r>
                              <w:r>
                                <w:rPr>
                                  <w:sz w:val="18"/>
                                  <w:vertAlign w:val="baseline"/>
                                </w:rPr>
                                <w:tab/>
                              </w:r>
                              <w:r>
                                <w:rPr>
                                  <w:spacing w:val="-10"/>
                                  <w:sz w:val="18"/>
                                  <w:vertAlign w:val="baseline"/>
                                </w:rPr>
                                <w:t>$</w:t>
                              </w:r>
                              <w:r>
                                <w:rPr>
                                  <w:sz w:val="18"/>
                                  <w:vertAlign w:val="baseline"/>
                                </w:rPr>
                                <w:tab/>
                              </w:r>
                              <w:r>
                                <w:rPr>
                                  <w:spacing w:val="-5"/>
                                  <w:sz w:val="18"/>
                                  <w:vertAlign w:val="baseline"/>
                                </w:rPr>
                                <w:t>176</w:t>
                              </w:r>
                            </w:p>
                          </w:txbxContent>
                        </wps:txbx>
                        <wps:bodyPr wrap="square" lIns="0" tIns="0" rIns="0" bIns="0" rtlCol="0">
                          <a:noAutofit/>
                        </wps:bodyPr>
                      </wps:wsp>
                    </wpg:wgp>
                  </a:graphicData>
                </a:graphic>
              </wp:anchor>
            </w:drawing>
          </mc:Choice>
          <mc:Fallback>
            <w:pict>
              <v:group style="position:absolute;margin-left:49.5pt;margin-top:29.879532pt;width:513pt;height:25.75pt;mso-position-horizontal-relative:page;mso-position-vertical-relative:paragraph;z-index:15753216" id="docshapegroup248" coordorigin="990,598" coordsize="10260,515">
                <v:rect style="position:absolute;left:990;top:857;width:10260;height:255" id="docshape249" filled="true" fillcolor="#ccedff" stroked="false">
                  <v:fill type="solid"/>
                </v:rect>
                <v:shape style="position:absolute;left:990;top:602;width:10260;height:2" id="docshape250" coordorigin="990,603" coordsize="10260,0" path="m11250,603l990,603e" filled="true" fillcolor="#000000" stroked="false">
                  <v:path arrowok="t"/>
                  <v:fill opacity="0f" type="solid"/>
                </v:shape>
                <v:line style="position:absolute" from="990,603" to="11250,603" stroked="true" strokeweight=".5pt" strokecolor="#000000">
                  <v:stroke dashstyle="solid"/>
                </v:line>
                <v:shape style="position:absolute;left:990;top:857;width:10260;height:2" id="docshape251" coordorigin="990,858" coordsize="10260,0" path="m11250,858l990,858e" filled="true" fillcolor="#000000" stroked="false">
                  <v:path arrowok="t"/>
                  <v:fill opacity="0f" type="solid"/>
                </v:shape>
                <v:line style="position:absolute" from="990,858" to="11250,858" stroked="true" strokeweight=".5pt" strokecolor="#000000">
                  <v:stroke dashstyle="solid"/>
                </v:line>
                <v:shape style="position:absolute;left:1042;top:628;width:1465;height:200" type="#_x0000_t202" id="docshape252" filled="false" stroked="false">
                  <v:textbox inset="0,0,0,0">
                    <w:txbxContent>
                      <w:p>
                        <w:pPr>
                          <w:spacing w:line="199" w:lineRule="exact" w:before="0"/>
                          <w:ind w:left="0" w:right="0" w:firstLine="0"/>
                          <w:jc w:val="left"/>
                          <w:rPr>
                            <w:sz w:val="18"/>
                          </w:rPr>
                        </w:pPr>
                        <w:r>
                          <w:rPr>
                            <w:sz w:val="18"/>
                          </w:rPr>
                          <w:t>September</w:t>
                        </w:r>
                        <w:r>
                          <w:rPr>
                            <w:spacing w:val="-1"/>
                            <w:sz w:val="18"/>
                          </w:rPr>
                          <w:t> </w:t>
                        </w:r>
                        <w:r>
                          <w:rPr>
                            <w:sz w:val="18"/>
                          </w:rPr>
                          <w:t>30, </w:t>
                        </w:r>
                        <w:r>
                          <w:rPr>
                            <w:spacing w:val="-4"/>
                            <w:sz w:val="18"/>
                          </w:rPr>
                          <w:t>2023</w:t>
                        </w:r>
                      </w:p>
                    </w:txbxContent>
                  </v:textbox>
                  <w10:wrap type="none"/>
                </v:shape>
                <v:shape style="position:absolute;left:10472;top:628;width:600;height:200" type="#_x0000_t202" id="docshape253" filled="false" stroked="false">
                  <v:textbox inset="0,0,0,0">
                    <w:txbxContent>
                      <w:p>
                        <w:pPr>
                          <w:spacing w:line="199" w:lineRule="exact" w:before="0"/>
                          <w:ind w:left="0" w:right="0" w:firstLine="0"/>
                          <w:jc w:val="left"/>
                          <w:rPr>
                            <w:sz w:val="18"/>
                          </w:rPr>
                        </w:pPr>
                        <w:r>
                          <w:rPr>
                            <w:spacing w:val="-2"/>
                            <w:sz w:val="18"/>
                          </w:rPr>
                          <w:t>Balance</w:t>
                        </w:r>
                      </w:p>
                    </w:txbxContent>
                  </v:textbox>
                  <w10:wrap type="none"/>
                </v:shape>
                <v:shape style="position:absolute;left:990;top:862;width:10260;height:250" type="#_x0000_t202" id="docshape254" filled="false" stroked="false">
                  <v:textbox inset="0,0,0,0">
                    <w:txbxContent>
                      <w:p>
                        <w:pPr>
                          <w:tabs>
                            <w:tab w:pos="9337" w:val="left" w:leader="none"/>
                            <w:tab w:pos="10184" w:val="right" w:leader="none"/>
                          </w:tabs>
                          <w:spacing w:before="13"/>
                          <w:ind w:left="52" w:right="0" w:firstLine="0"/>
                          <w:jc w:val="left"/>
                          <w:rPr>
                            <w:sz w:val="18"/>
                          </w:rPr>
                        </w:pPr>
                        <w:r>
                          <w:rPr>
                            <w:sz w:val="18"/>
                          </w:rPr>
                          <w:t>Converted to an amortizing loan by period end</w:t>
                        </w:r>
                        <w:r>
                          <w:rPr>
                            <w:spacing w:val="-2"/>
                            <w:sz w:val="18"/>
                          </w:rPr>
                          <w:t> </w:t>
                        </w:r>
                        <w:r>
                          <w:rPr>
                            <w:spacing w:val="-5"/>
                            <w:sz w:val="18"/>
                            <w:vertAlign w:val="superscript"/>
                          </w:rPr>
                          <w:t>(1)</w:t>
                        </w:r>
                        <w:r>
                          <w:rPr>
                            <w:sz w:val="18"/>
                            <w:vertAlign w:val="baseline"/>
                          </w:rPr>
                          <w:tab/>
                        </w:r>
                        <w:r>
                          <w:rPr>
                            <w:spacing w:val="-10"/>
                            <w:sz w:val="18"/>
                            <w:vertAlign w:val="baseline"/>
                          </w:rPr>
                          <w:t>$</w:t>
                        </w:r>
                        <w:r>
                          <w:rPr>
                            <w:sz w:val="18"/>
                            <w:vertAlign w:val="baseline"/>
                          </w:rPr>
                          <w:tab/>
                        </w:r>
                        <w:r>
                          <w:rPr>
                            <w:spacing w:val="-5"/>
                            <w:sz w:val="18"/>
                            <w:vertAlign w:val="baseline"/>
                          </w:rPr>
                          <w:t>176</w:t>
                        </w:r>
                      </w:p>
                    </w:txbxContent>
                  </v:textbox>
                  <w10:wrap type="none"/>
                </v:shape>
                <w10:wrap type="none"/>
              </v:group>
            </w:pict>
          </mc:Fallback>
        </mc:AlternateContent>
      </w:r>
      <w:r>
        <w:rPr/>
        <w:t>The</w:t>
      </w:r>
      <w:r>
        <w:rPr>
          <w:spacing w:val="-7"/>
        </w:rPr>
        <w:t> </w:t>
      </w:r>
      <w:r>
        <w:rPr/>
        <w:t>following</w:t>
      </w:r>
      <w:r>
        <w:rPr>
          <w:spacing w:val="-3"/>
        </w:rPr>
        <w:t> </w:t>
      </w:r>
      <w:r>
        <w:rPr/>
        <w:t>table</w:t>
      </w:r>
      <w:r>
        <w:rPr>
          <w:spacing w:val="-4"/>
        </w:rPr>
        <w:t> </w:t>
      </w:r>
      <w:r>
        <w:rPr/>
        <w:t>presents</w:t>
      </w:r>
      <w:r>
        <w:rPr>
          <w:spacing w:val="-4"/>
        </w:rPr>
        <w:t> </w:t>
      </w:r>
      <w:r>
        <w:rPr/>
        <w:t>when</w:t>
      </w:r>
      <w:r>
        <w:rPr>
          <w:spacing w:val="-3"/>
        </w:rPr>
        <w:t> </w:t>
      </w:r>
      <w:r>
        <w:rPr/>
        <w:t>current</w:t>
      </w:r>
      <w:r>
        <w:rPr>
          <w:spacing w:val="-4"/>
        </w:rPr>
        <w:t> </w:t>
      </w:r>
      <w:r>
        <w:rPr/>
        <w:t>outstanding</w:t>
      </w:r>
      <w:r>
        <w:rPr>
          <w:spacing w:val="-4"/>
        </w:rPr>
        <w:t> </w:t>
      </w:r>
      <w:r>
        <w:rPr/>
        <w:t>HELOCs</w:t>
      </w:r>
      <w:r>
        <w:rPr>
          <w:spacing w:val="-4"/>
        </w:rPr>
        <w:t> </w:t>
      </w:r>
      <w:r>
        <w:rPr/>
        <w:t>will</w:t>
      </w:r>
      <w:r>
        <w:rPr>
          <w:spacing w:val="-4"/>
        </w:rPr>
        <w:t> </w:t>
      </w:r>
      <w:r>
        <w:rPr/>
        <w:t>convert</w:t>
      </w:r>
      <w:r>
        <w:rPr>
          <w:spacing w:val="-4"/>
        </w:rPr>
        <w:t> </w:t>
      </w:r>
      <w:r>
        <w:rPr/>
        <w:t>to</w:t>
      </w:r>
      <w:r>
        <w:rPr>
          <w:spacing w:val="-3"/>
        </w:rPr>
        <w:t> </w:t>
      </w:r>
      <w:r>
        <w:rPr/>
        <w:t>amortizing</w:t>
      </w:r>
      <w:r>
        <w:rPr>
          <w:spacing w:val="-3"/>
        </w:rPr>
        <w:t> </w:t>
      </w:r>
      <w:r>
        <w:rPr>
          <w:spacing w:val="-2"/>
        </w:rPr>
        <w:t>loans:</w:t>
      </w:r>
    </w:p>
    <w:p>
      <w:pPr>
        <w:tabs>
          <w:tab w:pos="10654" w:val="right" w:leader="none"/>
        </w:tabs>
        <w:spacing w:before="686"/>
        <w:ind w:left="522" w:right="0" w:firstLine="0"/>
        <w:jc w:val="left"/>
        <w:rPr>
          <w:sz w:val="18"/>
        </w:rPr>
      </w:pPr>
      <w:r>
        <w:rPr/>
        <mc:AlternateContent>
          <mc:Choice Requires="wps">
            <w:drawing>
              <wp:anchor distT="0" distB="0" distL="0" distR="0" allowOverlap="1" layoutInCell="1" locked="0" behindDoc="0" simplePos="0" relativeHeight="15754752">
                <wp:simplePos x="0" y="0"/>
                <wp:positionH relativeFrom="page">
                  <wp:posOffset>628650</wp:posOffset>
                </wp:positionH>
                <wp:positionV relativeFrom="paragraph">
                  <wp:posOffset>586492</wp:posOffset>
                </wp:positionV>
                <wp:extent cx="6515100" cy="16192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6515100" cy="161925"/>
                        </a:xfrm>
                        <a:prstGeom prst="rect">
                          <a:avLst/>
                        </a:prstGeom>
                        <a:solidFill>
                          <a:srgbClr val="CCEDFF"/>
                        </a:solidFill>
                      </wps:spPr>
                      <wps:txbx>
                        <w:txbxContent>
                          <w:p>
                            <w:pPr>
                              <w:tabs>
                                <w:tab w:pos="10184" w:val="right" w:leader="none"/>
                              </w:tabs>
                              <w:spacing w:before="18"/>
                              <w:ind w:left="52" w:right="0" w:firstLine="0"/>
                              <w:jc w:val="left"/>
                              <w:rPr>
                                <w:color w:val="000000"/>
                                <w:sz w:val="18"/>
                              </w:rPr>
                            </w:pPr>
                            <w:r>
                              <w:rPr>
                                <w:color w:val="000000"/>
                                <w:sz w:val="18"/>
                              </w:rPr>
                              <w:t>&gt; 1 year – 3 </w:t>
                            </w:r>
                            <w:r>
                              <w:rPr>
                                <w:color w:val="000000"/>
                                <w:spacing w:val="-2"/>
                                <w:sz w:val="18"/>
                              </w:rPr>
                              <w:t>years</w:t>
                            </w:r>
                            <w:r>
                              <w:rPr>
                                <w:color w:val="000000"/>
                                <w:sz w:val="18"/>
                              </w:rPr>
                              <w:tab/>
                            </w:r>
                            <w:r>
                              <w:rPr>
                                <w:color w:val="000000"/>
                                <w:spacing w:val="-5"/>
                                <w:sz w:val="18"/>
                              </w:rPr>
                              <w:t>39</w:t>
                            </w:r>
                          </w:p>
                        </w:txbxContent>
                      </wps:txbx>
                      <wps:bodyPr wrap="square" lIns="0" tIns="0" rIns="0" bIns="0" rtlCol="0">
                        <a:noAutofit/>
                      </wps:bodyPr>
                    </wps:wsp>
                  </a:graphicData>
                </a:graphic>
              </wp:anchor>
            </w:drawing>
          </mc:Choice>
          <mc:Fallback>
            <w:pict>
              <v:shape style="position:absolute;margin-left:49.5pt;margin-top:46.180508pt;width:513pt;height:12.75pt;mso-position-horizontal-relative:page;mso-position-vertical-relative:paragraph;z-index:15754752" type="#_x0000_t202" id="docshape255" filled="true" fillcolor="#ccedff" stroked="false">
                <v:textbox inset="0,0,0,0">
                  <w:txbxContent>
                    <w:p>
                      <w:pPr>
                        <w:tabs>
                          <w:tab w:pos="10184" w:val="right" w:leader="none"/>
                        </w:tabs>
                        <w:spacing w:before="18"/>
                        <w:ind w:left="52" w:right="0" w:firstLine="0"/>
                        <w:jc w:val="left"/>
                        <w:rPr>
                          <w:color w:val="000000"/>
                          <w:sz w:val="18"/>
                        </w:rPr>
                      </w:pPr>
                      <w:r>
                        <w:rPr>
                          <w:color w:val="000000"/>
                          <w:sz w:val="18"/>
                        </w:rPr>
                        <w:t>&gt; 1 year – 3 </w:t>
                      </w:r>
                      <w:r>
                        <w:rPr>
                          <w:color w:val="000000"/>
                          <w:spacing w:val="-2"/>
                          <w:sz w:val="18"/>
                        </w:rPr>
                        <w:t>years</w:t>
                      </w:r>
                      <w:r>
                        <w:rPr>
                          <w:color w:val="000000"/>
                          <w:sz w:val="18"/>
                        </w:rPr>
                        <w:tab/>
                      </w:r>
                      <w:r>
                        <w:rPr>
                          <w:color w:val="000000"/>
                          <w:spacing w:val="-5"/>
                          <w:sz w:val="18"/>
                        </w:rPr>
                        <w:t>39</w:t>
                      </w:r>
                    </w:p>
                  </w:txbxContent>
                </v:textbox>
                <v:fill type="solid"/>
                <w10:wrap type="none"/>
              </v:shape>
            </w:pict>
          </mc:Fallback>
        </mc:AlternateContent>
      </w:r>
      <w:r>
        <w:rPr>
          <w:sz w:val="18"/>
        </w:rPr>
        <w:t>Within 1 </w:t>
      </w:r>
      <w:r>
        <w:rPr>
          <w:spacing w:val="-4"/>
          <w:sz w:val="18"/>
        </w:rPr>
        <w:t>year</w:t>
      </w:r>
      <w:r>
        <w:rPr>
          <w:sz w:val="18"/>
        </w:rPr>
        <w:tab/>
      </w:r>
      <w:r>
        <w:rPr>
          <w:spacing w:val="-5"/>
          <w:sz w:val="18"/>
        </w:rPr>
        <w:t>23</w:t>
      </w:r>
    </w:p>
    <w:p>
      <w:pPr>
        <w:tabs>
          <w:tab w:pos="10654" w:val="right" w:leader="none"/>
        </w:tabs>
        <w:spacing w:before="303"/>
        <w:ind w:left="522" w:right="0" w:firstLine="0"/>
        <w:jc w:val="left"/>
        <w:rPr>
          <w:sz w:val="18"/>
        </w:rPr>
      </w:pPr>
      <w:r>
        <w:rPr/>
        <mc:AlternateContent>
          <mc:Choice Requires="wps">
            <w:drawing>
              <wp:anchor distT="0" distB="0" distL="0" distR="0" allowOverlap="1" layoutInCell="1" locked="0" behindDoc="1" simplePos="0" relativeHeight="487610880">
                <wp:simplePos x="0" y="0"/>
                <wp:positionH relativeFrom="page">
                  <wp:posOffset>628650</wp:posOffset>
                </wp:positionH>
                <wp:positionV relativeFrom="paragraph">
                  <wp:posOffset>343298</wp:posOffset>
                </wp:positionV>
                <wp:extent cx="6515100" cy="165100"/>
                <wp:effectExtent l="0" t="0" r="0" b="0"/>
                <wp:wrapTopAndBottom/>
                <wp:docPr id="371" name="Group 371"/>
                <wp:cNvGraphicFramePr>
                  <a:graphicFrameLocks/>
                </wp:cNvGraphicFramePr>
                <a:graphic>
                  <a:graphicData uri="http://schemas.microsoft.com/office/word/2010/wordprocessingGroup">
                    <wpg:wgp>
                      <wpg:cNvPr id="371" name="Group 371"/>
                      <wpg:cNvGrpSpPr/>
                      <wpg:grpSpPr>
                        <a:xfrm>
                          <a:off x="0" y="0"/>
                          <a:ext cx="6515100" cy="165100"/>
                          <a:chExt cx="6515100" cy="165100"/>
                        </a:xfrm>
                      </wpg:grpSpPr>
                      <wps:wsp>
                        <wps:cNvPr id="372" name="Graphic 372"/>
                        <wps:cNvSpPr/>
                        <wps:spPr>
                          <a:xfrm>
                            <a:off x="0" y="0"/>
                            <a:ext cx="6515100" cy="161925"/>
                          </a:xfrm>
                          <a:custGeom>
                            <a:avLst/>
                            <a:gdLst/>
                            <a:ahLst/>
                            <a:cxnLst/>
                            <a:rect l="l" t="t" r="r" b="b"/>
                            <a:pathLst>
                              <a:path w="6515100" h="161925">
                                <a:moveTo>
                                  <a:pt x="6515100" y="0"/>
                                </a:moveTo>
                                <a:lnTo>
                                  <a:pt x="0" y="0"/>
                                </a:lnTo>
                                <a:lnTo>
                                  <a:pt x="0" y="161925"/>
                                </a:lnTo>
                                <a:lnTo>
                                  <a:pt x="6515100" y="161925"/>
                                </a:lnTo>
                                <a:lnTo>
                                  <a:pt x="6515100" y="0"/>
                                </a:lnTo>
                                <a:close/>
                              </a:path>
                            </a:pathLst>
                          </a:custGeom>
                          <a:solidFill>
                            <a:srgbClr val="CCEDFF"/>
                          </a:solidFill>
                        </wps:spPr>
                        <wps:bodyPr wrap="square" lIns="0" tIns="0" rIns="0" bIns="0" rtlCol="0">
                          <a:prstTxWarp prst="textNoShape">
                            <a:avLst/>
                          </a:prstTxWarp>
                          <a:noAutofit/>
                        </wps:bodyPr>
                      </wps:wsp>
                      <wps:wsp>
                        <wps:cNvPr id="373" name="Graphic 373"/>
                        <wps:cNvSpPr/>
                        <wps:spPr>
                          <a:xfrm>
                            <a:off x="0" y="16192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374" name="Graphic 374"/>
                        <wps:cNvSpPr/>
                        <wps:spPr>
                          <a:xfrm>
                            <a:off x="0" y="16192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375" name="Textbox 375"/>
                        <wps:cNvSpPr txBox="1"/>
                        <wps:spPr>
                          <a:xfrm>
                            <a:off x="0" y="0"/>
                            <a:ext cx="6515100" cy="158750"/>
                          </a:xfrm>
                          <a:prstGeom prst="rect">
                            <a:avLst/>
                          </a:prstGeom>
                        </wps:spPr>
                        <wps:txbx>
                          <w:txbxContent>
                            <w:p>
                              <w:pPr>
                                <w:tabs>
                                  <w:tab w:pos="10184" w:val="right" w:leader="none"/>
                                </w:tabs>
                                <w:spacing w:before="18"/>
                                <w:ind w:left="52" w:right="0" w:firstLine="0"/>
                                <w:jc w:val="left"/>
                                <w:rPr>
                                  <w:sz w:val="18"/>
                                </w:rPr>
                              </w:pPr>
                              <w:r>
                                <w:rPr>
                                  <w:sz w:val="18"/>
                                </w:rPr>
                                <w:t>&gt; 5 </w:t>
                              </w:r>
                              <w:r>
                                <w:rPr>
                                  <w:spacing w:val="-2"/>
                                  <w:sz w:val="18"/>
                                </w:rPr>
                                <w:t>years</w:t>
                              </w:r>
                              <w:r>
                                <w:rPr>
                                  <w:sz w:val="18"/>
                                </w:rPr>
                                <w:tab/>
                              </w:r>
                              <w:r>
                                <w:rPr>
                                  <w:spacing w:val="-5"/>
                                  <w:sz w:val="18"/>
                                </w:rPr>
                                <w:t>204</w:t>
                              </w:r>
                            </w:p>
                          </w:txbxContent>
                        </wps:txbx>
                        <wps:bodyPr wrap="square" lIns="0" tIns="0" rIns="0" bIns="0" rtlCol="0">
                          <a:noAutofit/>
                        </wps:bodyPr>
                      </wps:wsp>
                    </wpg:wgp>
                  </a:graphicData>
                </a:graphic>
              </wp:anchor>
            </w:drawing>
          </mc:Choice>
          <mc:Fallback>
            <w:pict>
              <v:group style="position:absolute;margin-left:49.5pt;margin-top:27.031387pt;width:513pt;height:13pt;mso-position-horizontal-relative:page;mso-position-vertical-relative:paragraph;z-index:-15705600;mso-wrap-distance-left:0;mso-wrap-distance-right:0" id="docshapegroup256" coordorigin="990,541" coordsize="10260,260">
                <v:rect style="position:absolute;left:990;top:540;width:10260;height:255" id="docshape257" filled="true" fillcolor="#ccedff" stroked="false">
                  <v:fill type="solid"/>
                </v:rect>
                <v:shape style="position:absolute;left:990;top:795;width:10260;height:2" id="docshape258" coordorigin="990,796" coordsize="10260,0" path="m11250,796l990,796e" filled="true" fillcolor="#000000" stroked="false">
                  <v:path arrowok="t"/>
                  <v:fill opacity="0f" type="solid"/>
                </v:shape>
                <v:line style="position:absolute" from="990,796" to="11250,796" stroked="true" strokeweight=".5pt" strokecolor="#000000">
                  <v:stroke dashstyle="solid"/>
                </v:line>
                <v:shape style="position:absolute;left:990;top:540;width:10260;height:250" type="#_x0000_t202" id="docshape259" filled="false" stroked="false">
                  <v:textbox inset="0,0,0,0">
                    <w:txbxContent>
                      <w:p>
                        <w:pPr>
                          <w:tabs>
                            <w:tab w:pos="10184" w:val="right" w:leader="none"/>
                          </w:tabs>
                          <w:spacing w:before="18"/>
                          <w:ind w:left="52" w:right="0" w:firstLine="0"/>
                          <w:jc w:val="left"/>
                          <w:rPr>
                            <w:sz w:val="18"/>
                          </w:rPr>
                        </w:pPr>
                        <w:r>
                          <w:rPr>
                            <w:sz w:val="18"/>
                          </w:rPr>
                          <w:t>&gt; 5 </w:t>
                        </w:r>
                        <w:r>
                          <w:rPr>
                            <w:spacing w:val="-2"/>
                            <w:sz w:val="18"/>
                          </w:rPr>
                          <w:t>years</w:t>
                        </w:r>
                        <w:r>
                          <w:rPr>
                            <w:sz w:val="18"/>
                          </w:rPr>
                          <w:tab/>
                        </w:r>
                        <w:r>
                          <w:rPr>
                            <w:spacing w:val="-5"/>
                            <w:sz w:val="18"/>
                          </w:rPr>
                          <w:t>204</w:t>
                        </w:r>
                      </w:p>
                    </w:txbxContent>
                  </v:textbox>
                  <w10:wrap type="none"/>
                </v:shape>
                <w10:wrap type="topAndBottom"/>
              </v:group>
            </w:pict>
          </mc:Fallback>
        </mc:AlternateContent>
      </w:r>
      <w:r>
        <w:rPr>
          <w:sz w:val="18"/>
        </w:rPr>
        <w:t>&gt; 3 years</w:t>
      </w:r>
      <w:r>
        <w:rPr>
          <w:spacing w:val="-1"/>
          <w:sz w:val="18"/>
        </w:rPr>
        <w:t> </w:t>
      </w:r>
      <w:r>
        <w:rPr>
          <w:sz w:val="18"/>
        </w:rPr>
        <w:t>– 5 </w:t>
      </w:r>
      <w:r>
        <w:rPr>
          <w:spacing w:val="-2"/>
          <w:sz w:val="18"/>
        </w:rPr>
        <w:t>years</w:t>
      </w:r>
      <w:r>
        <w:rPr>
          <w:sz w:val="18"/>
        </w:rPr>
        <w:tab/>
      </w:r>
      <w:r>
        <w:rPr>
          <w:spacing w:val="-5"/>
          <w:sz w:val="18"/>
        </w:rPr>
        <w:t>51</w:t>
      </w:r>
    </w:p>
    <w:p>
      <w:pPr>
        <w:tabs>
          <w:tab w:pos="9807" w:val="left" w:leader="none"/>
          <w:tab w:pos="10384" w:val="left" w:leader="none"/>
        </w:tabs>
        <w:spacing w:before="13"/>
        <w:ind w:left="657" w:right="0" w:firstLine="0"/>
        <w:jc w:val="left"/>
        <w:rPr>
          <w:sz w:val="18"/>
        </w:rPr>
      </w:pPr>
      <w:r>
        <w:rPr>
          <w:spacing w:val="-2"/>
          <w:sz w:val="18"/>
        </w:rPr>
        <w:t>Total</w:t>
      </w:r>
      <w:r>
        <w:rPr>
          <w:sz w:val="18"/>
        </w:rPr>
        <w:tab/>
      </w:r>
      <w:r>
        <w:rPr>
          <w:spacing w:val="-10"/>
          <w:sz w:val="18"/>
        </w:rPr>
        <w:t>$</w:t>
      </w:r>
      <w:r>
        <w:rPr>
          <w:sz w:val="18"/>
        </w:rPr>
        <w:tab/>
      </w:r>
      <w:r>
        <w:rPr>
          <w:spacing w:val="-5"/>
          <w:sz w:val="18"/>
        </w:rPr>
        <w:t>493</w:t>
      </w:r>
    </w:p>
    <w:p>
      <w:pPr>
        <w:pStyle w:val="BodyText"/>
        <w:spacing w:line="60" w:lineRule="exact"/>
        <w:ind w:left="460"/>
        <w:rPr>
          <w:sz w:val="6"/>
        </w:rPr>
      </w:pPr>
      <w:r>
        <w:rPr>
          <w:position w:val="0"/>
          <w:sz w:val="6"/>
        </w:rPr>
        <mc:AlternateContent>
          <mc:Choice Requires="wps">
            <w:drawing>
              <wp:inline distT="0" distB="0" distL="0" distR="0">
                <wp:extent cx="6515100" cy="38100"/>
                <wp:effectExtent l="9525" t="0" r="0" b="0"/>
                <wp:docPr id="376" name="Group 376"/>
                <wp:cNvGraphicFramePr>
                  <a:graphicFrameLocks/>
                </wp:cNvGraphicFramePr>
                <a:graphic>
                  <a:graphicData uri="http://schemas.microsoft.com/office/word/2010/wordprocessingGroup">
                    <wpg:wgp>
                      <wpg:cNvPr id="376" name="Group 376"/>
                      <wpg:cNvGrpSpPr/>
                      <wpg:grpSpPr>
                        <a:xfrm>
                          <a:off x="0" y="0"/>
                          <a:ext cx="6515100" cy="38100"/>
                          <a:chExt cx="6515100" cy="38100"/>
                        </a:xfrm>
                      </wpg:grpSpPr>
                      <wps:wsp>
                        <wps:cNvPr id="377" name="Graphic 377"/>
                        <wps:cNvSpPr/>
                        <wps:spPr>
                          <a:xfrm>
                            <a:off x="0" y="6350"/>
                            <a:ext cx="6515100" cy="25400"/>
                          </a:xfrm>
                          <a:custGeom>
                            <a:avLst/>
                            <a:gdLst/>
                            <a:ahLst/>
                            <a:cxnLst/>
                            <a:rect l="l" t="t" r="r" b="b"/>
                            <a:pathLst>
                              <a:path w="6515100" h="25400">
                                <a:moveTo>
                                  <a:pt x="0" y="0"/>
                                </a:moveTo>
                                <a:lnTo>
                                  <a:pt x="6515100" y="0"/>
                                </a:lnTo>
                              </a:path>
                              <a:path w="6515100" h="25400">
                                <a:moveTo>
                                  <a:pt x="0" y="25400"/>
                                </a:moveTo>
                                <a:lnTo>
                                  <a:pt x="65151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3pt;height:3pt;mso-position-horizontal-relative:char;mso-position-vertical-relative:line" id="docshapegroup260" coordorigin="0,0" coordsize="10260,60">
                <v:shape style="position:absolute;left:0;top:10;width:10260;height:40" id="docshape261" coordorigin="0,10" coordsize="10260,40" path="m0,10l10260,10m0,50l10260,50e" filled="false" stroked="true" strokeweight="1pt" strokecolor="#000000">
                  <v:path arrowok="t"/>
                  <v:stroke dashstyle="solid"/>
                </v:shape>
              </v:group>
            </w:pict>
          </mc:Fallback>
        </mc:AlternateContent>
      </w:r>
      <w:r>
        <w:rPr>
          <w:position w:val="0"/>
          <w:sz w:val="6"/>
        </w:rPr>
      </w:r>
    </w:p>
    <w:p>
      <w:pPr>
        <w:spacing w:before="31"/>
        <w:ind w:left="470" w:right="0" w:firstLine="0"/>
        <w:jc w:val="left"/>
        <w:rPr>
          <w:sz w:val="16"/>
        </w:rPr>
      </w:pPr>
      <w:r>
        <w:rPr>
          <w:sz w:val="16"/>
          <w:vertAlign w:val="superscript"/>
        </w:rPr>
        <w:t>(1)</w:t>
      </w:r>
      <w:r>
        <w:rPr>
          <w:spacing w:val="-1"/>
          <w:sz w:val="16"/>
          <w:vertAlign w:val="baseline"/>
        </w:rPr>
        <w:t> </w:t>
      </w:r>
      <w:r>
        <w:rPr>
          <w:sz w:val="16"/>
          <w:vertAlign w:val="baseline"/>
        </w:rPr>
        <w:t>Includes</w:t>
      </w:r>
      <w:r>
        <w:rPr>
          <w:spacing w:val="-1"/>
          <w:sz w:val="16"/>
          <w:vertAlign w:val="baseline"/>
        </w:rPr>
        <w:t> </w:t>
      </w:r>
      <w:r>
        <w:rPr>
          <w:sz w:val="16"/>
          <w:vertAlign w:val="baseline"/>
        </w:rPr>
        <w:t>$6 million and</w:t>
      </w:r>
      <w:r>
        <w:rPr>
          <w:spacing w:val="-1"/>
          <w:sz w:val="16"/>
          <w:vertAlign w:val="baseline"/>
        </w:rPr>
        <w:t> </w:t>
      </w:r>
      <w:r>
        <w:rPr>
          <w:sz w:val="16"/>
          <w:vertAlign w:val="baseline"/>
        </w:rPr>
        <w:t>$15 million</w:t>
      </w:r>
      <w:r>
        <w:rPr>
          <w:spacing w:val="1"/>
          <w:sz w:val="16"/>
          <w:vertAlign w:val="baseline"/>
        </w:rPr>
        <w:t> </w:t>
      </w:r>
      <w:r>
        <w:rPr>
          <w:sz w:val="16"/>
          <w:vertAlign w:val="baseline"/>
        </w:rPr>
        <w:t>of HELOCs</w:t>
      </w:r>
      <w:r>
        <w:rPr>
          <w:spacing w:val="-1"/>
          <w:sz w:val="16"/>
          <w:vertAlign w:val="baseline"/>
        </w:rPr>
        <w:t> </w:t>
      </w:r>
      <w:r>
        <w:rPr>
          <w:sz w:val="16"/>
          <w:vertAlign w:val="baseline"/>
        </w:rPr>
        <w:t>converted to amortizing loans</w:t>
      </w:r>
      <w:r>
        <w:rPr>
          <w:spacing w:val="-1"/>
          <w:sz w:val="16"/>
          <w:vertAlign w:val="baseline"/>
        </w:rPr>
        <w:t> </w:t>
      </w:r>
      <w:r>
        <w:rPr>
          <w:sz w:val="16"/>
          <w:vertAlign w:val="baseline"/>
        </w:rPr>
        <w:t>during</w:t>
      </w:r>
      <w:r>
        <w:rPr>
          <w:spacing w:val="1"/>
          <w:sz w:val="16"/>
          <w:vertAlign w:val="baseline"/>
        </w:rPr>
        <w:t> </w:t>
      </w:r>
      <w:r>
        <w:rPr>
          <w:sz w:val="16"/>
          <w:vertAlign w:val="baseline"/>
        </w:rPr>
        <w:t>the</w:t>
      </w:r>
      <w:r>
        <w:rPr>
          <w:spacing w:val="-3"/>
          <w:sz w:val="16"/>
          <w:vertAlign w:val="baseline"/>
        </w:rPr>
        <w:t> </w:t>
      </w:r>
      <w:r>
        <w:rPr>
          <w:sz w:val="16"/>
          <w:vertAlign w:val="baseline"/>
        </w:rPr>
        <w:t>three and nine</w:t>
      </w:r>
      <w:r>
        <w:rPr>
          <w:spacing w:val="-1"/>
          <w:sz w:val="16"/>
          <w:vertAlign w:val="baseline"/>
        </w:rPr>
        <w:t> </w:t>
      </w:r>
      <w:r>
        <w:rPr>
          <w:sz w:val="16"/>
          <w:vertAlign w:val="baseline"/>
        </w:rPr>
        <w:t>months</w:t>
      </w:r>
      <w:r>
        <w:rPr>
          <w:spacing w:val="-1"/>
          <w:sz w:val="16"/>
          <w:vertAlign w:val="baseline"/>
        </w:rPr>
        <w:t> </w:t>
      </w:r>
      <w:r>
        <w:rPr>
          <w:sz w:val="16"/>
          <w:vertAlign w:val="baseline"/>
        </w:rPr>
        <w:t>ended</w:t>
      </w:r>
      <w:r>
        <w:rPr>
          <w:spacing w:val="-1"/>
          <w:sz w:val="16"/>
          <w:vertAlign w:val="baseline"/>
        </w:rPr>
        <w:t> </w:t>
      </w:r>
      <w:r>
        <w:rPr>
          <w:sz w:val="16"/>
          <w:vertAlign w:val="baseline"/>
        </w:rPr>
        <w:t>September</w:t>
      </w:r>
      <w:r>
        <w:rPr>
          <w:spacing w:val="1"/>
          <w:sz w:val="16"/>
          <w:vertAlign w:val="baseline"/>
        </w:rPr>
        <w:t> </w:t>
      </w:r>
      <w:r>
        <w:rPr>
          <w:sz w:val="16"/>
          <w:vertAlign w:val="baseline"/>
        </w:rPr>
        <w:t>30, 2023, </w:t>
      </w:r>
      <w:r>
        <w:rPr>
          <w:spacing w:val="-2"/>
          <w:sz w:val="16"/>
          <w:vertAlign w:val="baseline"/>
        </w:rPr>
        <w:t>respectively.</w:t>
      </w:r>
    </w:p>
    <w:p>
      <w:pPr>
        <w:pStyle w:val="BodyText"/>
        <w:spacing w:before="54"/>
        <w:rPr>
          <w:sz w:val="16"/>
        </w:rPr>
      </w:pPr>
    </w:p>
    <w:p>
      <w:pPr>
        <w:pStyle w:val="BodyText"/>
        <w:spacing w:line="249" w:lineRule="auto" w:before="1"/>
        <w:ind w:left="470" w:right="492"/>
      </w:pPr>
      <w:r>
        <w:rPr/>
        <w:t>At</w:t>
      </w:r>
      <w:r>
        <w:rPr>
          <w:spacing w:val="-2"/>
        </w:rPr>
        <w:t> </w:t>
      </w:r>
      <w:r>
        <w:rPr/>
        <w:t>September</w:t>
      </w:r>
      <w:r>
        <w:rPr>
          <w:spacing w:val="-1"/>
        </w:rPr>
        <w:t> </w:t>
      </w:r>
      <w:r>
        <w:rPr/>
        <w:t>30,</w:t>
      </w:r>
      <w:r>
        <w:rPr>
          <w:spacing w:val="-1"/>
        </w:rPr>
        <w:t> </w:t>
      </w:r>
      <w:r>
        <w:rPr/>
        <w:t>2023,</w:t>
      </w:r>
      <w:r>
        <w:rPr>
          <w:spacing w:val="-1"/>
        </w:rPr>
        <w:t> </w:t>
      </w:r>
      <w:r>
        <w:rPr/>
        <w:t>$389</w:t>
      </w:r>
      <w:r>
        <w:rPr>
          <w:spacing w:val="-1"/>
        </w:rPr>
        <w:t> </w:t>
      </w:r>
      <w:r>
        <w:rPr/>
        <w:t>million</w:t>
      </w:r>
      <w:r>
        <w:rPr>
          <w:spacing w:val="-1"/>
        </w:rPr>
        <w:t> </w:t>
      </w:r>
      <w:r>
        <w:rPr/>
        <w:t>of</w:t>
      </w:r>
      <w:r>
        <w:rPr>
          <w:spacing w:val="-1"/>
        </w:rPr>
        <w:t> </w:t>
      </w:r>
      <w:r>
        <w:rPr/>
        <w:t>the</w:t>
      </w:r>
      <w:r>
        <w:rPr>
          <w:spacing w:val="-2"/>
        </w:rPr>
        <w:t> </w:t>
      </w:r>
      <w:r>
        <w:rPr/>
        <w:t>HELOC</w:t>
      </w:r>
      <w:r>
        <w:rPr>
          <w:spacing w:val="-2"/>
        </w:rPr>
        <w:t> </w:t>
      </w:r>
      <w:r>
        <w:rPr/>
        <w:t>portfolio</w:t>
      </w:r>
      <w:r>
        <w:rPr>
          <w:spacing w:val="-1"/>
        </w:rPr>
        <w:t> </w:t>
      </w:r>
      <w:r>
        <w:rPr/>
        <w:t>was</w:t>
      </w:r>
      <w:r>
        <w:rPr>
          <w:spacing w:val="-2"/>
        </w:rPr>
        <w:t> </w:t>
      </w:r>
      <w:r>
        <w:rPr/>
        <w:t>secured</w:t>
      </w:r>
      <w:r>
        <w:rPr>
          <w:spacing w:val="-1"/>
        </w:rPr>
        <w:t> </w:t>
      </w:r>
      <w:r>
        <w:rPr/>
        <w:t>by</w:t>
      </w:r>
      <w:r>
        <w:rPr>
          <w:spacing w:val="-1"/>
        </w:rPr>
        <w:t> </w:t>
      </w:r>
      <w:r>
        <w:rPr/>
        <w:t>second</w:t>
      </w:r>
      <w:r>
        <w:rPr>
          <w:spacing w:val="-1"/>
        </w:rPr>
        <w:t> </w:t>
      </w:r>
      <w:r>
        <w:rPr/>
        <w:t>liens</w:t>
      </w:r>
      <w:r>
        <w:rPr>
          <w:spacing w:val="-2"/>
        </w:rPr>
        <w:t> </w:t>
      </w:r>
      <w:r>
        <w:rPr/>
        <w:t>on</w:t>
      </w:r>
      <w:r>
        <w:rPr>
          <w:spacing w:val="-1"/>
        </w:rPr>
        <w:t> </w:t>
      </w:r>
      <w:r>
        <w:rPr/>
        <w:t>the</w:t>
      </w:r>
      <w:r>
        <w:rPr>
          <w:spacing w:val="-2"/>
        </w:rPr>
        <w:t> </w:t>
      </w:r>
      <w:r>
        <w:rPr/>
        <w:t>associated</w:t>
      </w:r>
      <w:r>
        <w:rPr>
          <w:spacing w:val="-1"/>
        </w:rPr>
        <w:t> </w:t>
      </w:r>
      <w:r>
        <w:rPr/>
        <w:t>properties.</w:t>
      </w:r>
      <w:r>
        <w:rPr>
          <w:spacing w:val="-1"/>
        </w:rPr>
        <w:t> </w:t>
      </w:r>
      <w:r>
        <w:rPr/>
        <w:t>Second lien</w:t>
      </w:r>
      <w:r>
        <w:rPr>
          <w:spacing w:val="-2"/>
        </w:rPr>
        <w:t> </w:t>
      </w:r>
      <w:r>
        <w:rPr/>
        <w:t>mortgage</w:t>
      </w:r>
      <w:r>
        <w:rPr>
          <w:spacing w:val="-3"/>
        </w:rPr>
        <w:t> </w:t>
      </w:r>
      <w:r>
        <w:rPr/>
        <w:t>loans</w:t>
      </w:r>
      <w:r>
        <w:rPr>
          <w:spacing w:val="-3"/>
        </w:rPr>
        <w:t> </w:t>
      </w:r>
      <w:r>
        <w:rPr/>
        <w:t>typically</w:t>
      </w:r>
      <w:r>
        <w:rPr>
          <w:spacing w:val="-2"/>
        </w:rPr>
        <w:t> </w:t>
      </w:r>
      <w:r>
        <w:rPr/>
        <w:t>possess</w:t>
      </w:r>
      <w:r>
        <w:rPr>
          <w:spacing w:val="-3"/>
        </w:rPr>
        <w:t> </w:t>
      </w:r>
      <w:r>
        <w:rPr/>
        <w:t>a</w:t>
      </w:r>
      <w:r>
        <w:rPr>
          <w:spacing w:val="-3"/>
        </w:rPr>
        <w:t> </w:t>
      </w:r>
      <w:r>
        <w:rPr/>
        <w:t>higher</w:t>
      </w:r>
      <w:r>
        <w:rPr>
          <w:spacing w:val="-2"/>
        </w:rPr>
        <w:t> </w:t>
      </w:r>
      <w:r>
        <w:rPr/>
        <w:t>degree</w:t>
      </w:r>
      <w:r>
        <w:rPr>
          <w:spacing w:val="-3"/>
        </w:rPr>
        <w:t> </w:t>
      </w:r>
      <w:r>
        <w:rPr/>
        <w:t>of</w:t>
      </w:r>
      <w:r>
        <w:rPr>
          <w:spacing w:val="-2"/>
        </w:rPr>
        <w:t> </w:t>
      </w:r>
      <w:r>
        <w:rPr/>
        <w:t>credit</w:t>
      </w:r>
      <w:r>
        <w:rPr>
          <w:spacing w:val="-3"/>
        </w:rPr>
        <w:t> </w:t>
      </w:r>
      <w:r>
        <w:rPr/>
        <w:t>risk</w:t>
      </w:r>
      <w:r>
        <w:rPr>
          <w:spacing w:val="-2"/>
        </w:rPr>
        <w:t> </w:t>
      </w:r>
      <w:r>
        <w:rPr/>
        <w:t>given</w:t>
      </w:r>
      <w:r>
        <w:rPr>
          <w:spacing w:val="-2"/>
        </w:rPr>
        <w:t> </w:t>
      </w:r>
      <w:r>
        <w:rPr/>
        <w:t>the</w:t>
      </w:r>
      <w:r>
        <w:rPr>
          <w:spacing w:val="-3"/>
        </w:rPr>
        <w:t> </w:t>
      </w:r>
      <w:r>
        <w:rPr/>
        <w:t>subordination</w:t>
      </w:r>
      <w:r>
        <w:rPr>
          <w:spacing w:val="-2"/>
        </w:rPr>
        <w:t> </w:t>
      </w:r>
      <w:r>
        <w:rPr/>
        <w:t>to</w:t>
      </w:r>
      <w:r>
        <w:rPr>
          <w:spacing w:val="-2"/>
        </w:rPr>
        <w:t> </w:t>
      </w:r>
      <w:r>
        <w:rPr/>
        <w:t>the</w:t>
      </w:r>
      <w:r>
        <w:rPr>
          <w:spacing w:val="-3"/>
        </w:rPr>
        <w:t> </w:t>
      </w:r>
      <w:r>
        <w:rPr/>
        <w:t>first</w:t>
      </w:r>
      <w:r>
        <w:rPr>
          <w:spacing w:val="-3"/>
        </w:rPr>
        <w:t> </w:t>
      </w:r>
      <w:r>
        <w:rPr/>
        <w:t>lien</w:t>
      </w:r>
      <w:r>
        <w:rPr>
          <w:spacing w:val="-2"/>
        </w:rPr>
        <w:t> </w:t>
      </w:r>
      <w:r>
        <w:rPr/>
        <w:t>holder</w:t>
      </w:r>
      <w:r>
        <w:rPr>
          <w:spacing w:val="-2"/>
        </w:rPr>
        <w:t> </w:t>
      </w:r>
      <w:r>
        <w:rPr/>
        <w:t>in</w:t>
      </w:r>
      <w:r>
        <w:rPr>
          <w:spacing w:val="-2"/>
        </w:rPr>
        <w:t> </w:t>
      </w:r>
      <w:r>
        <w:rPr/>
        <w:t>the</w:t>
      </w:r>
      <w:r>
        <w:rPr>
          <w:spacing w:val="-3"/>
        </w:rPr>
        <w:t> </w:t>
      </w:r>
      <w:r>
        <w:rPr/>
        <w:t>event</w:t>
      </w:r>
      <w:r>
        <w:rPr>
          <w:spacing w:val="-3"/>
        </w:rPr>
        <w:t> </w:t>
      </w:r>
      <w:r>
        <w:rPr/>
        <w:t>of default. In addition to the credit monitoring activities described previously, Schwab also monitors credit risk by reviewing the delinquency status of the first lien loan on the associated property. At September 30, 2023, the borrowers on approximately</w:t>
      </w:r>
      <w:r>
        <w:rPr/>
        <w:t> 59% of HELOC loan balances outstanding only paid the minimum amount due.</w:t>
      </w:r>
    </w:p>
    <w:p>
      <w:pPr>
        <w:pStyle w:val="BodyText"/>
      </w:pPr>
    </w:p>
    <w:p>
      <w:pPr>
        <w:pStyle w:val="BodyText"/>
        <w:spacing w:before="20"/>
      </w:pPr>
    </w:p>
    <w:p>
      <w:pPr>
        <w:pStyle w:val="Heading2"/>
        <w:numPr>
          <w:ilvl w:val="0"/>
          <w:numId w:val="4"/>
        </w:numPr>
        <w:tabs>
          <w:tab w:pos="1189" w:val="left" w:leader="none"/>
        </w:tabs>
        <w:spacing w:line="240" w:lineRule="auto" w:before="1" w:after="0"/>
        <w:ind w:left="1189" w:right="0" w:hanging="719"/>
        <w:jc w:val="left"/>
      </w:pPr>
      <w:bookmarkStart w:name="Note 6 Variable Interest Entities" w:id="45"/>
      <w:bookmarkEnd w:id="45"/>
      <w:r>
        <w:rPr>
          <w:b w:val="0"/>
        </w:rPr>
      </w:r>
      <w:r>
        <w:rPr/>
        <w:t>Variable</w:t>
      </w:r>
      <w:r>
        <w:rPr>
          <w:spacing w:val="-7"/>
        </w:rPr>
        <w:t> </w:t>
      </w:r>
      <w:r>
        <w:rPr/>
        <w:t>Interest</w:t>
      </w:r>
      <w:r>
        <w:rPr>
          <w:spacing w:val="-5"/>
        </w:rPr>
        <w:t> </w:t>
      </w:r>
      <w:r>
        <w:rPr>
          <w:spacing w:val="-2"/>
        </w:rPr>
        <w:t>Entities</w:t>
      </w:r>
    </w:p>
    <w:p>
      <w:pPr>
        <w:pStyle w:val="BodyText"/>
        <w:spacing w:line="249" w:lineRule="auto" w:before="193"/>
        <w:ind w:left="470" w:right="500"/>
      </w:pPr>
      <w:r>
        <w:rPr/>
        <w:t>As of September 30, 2023 and December 31, 2022, substantially all of Schwab’s involvement with variable interest entities (VIEs)</w:t>
      </w:r>
      <w:r>
        <w:rPr>
          <w:spacing w:val="-3"/>
        </w:rPr>
        <w:t> </w:t>
      </w:r>
      <w:r>
        <w:rPr/>
        <w:t>is</w:t>
      </w:r>
      <w:r>
        <w:rPr>
          <w:spacing w:val="-4"/>
        </w:rPr>
        <w:t> </w:t>
      </w:r>
      <w:r>
        <w:rPr/>
        <w:t>through</w:t>
      </w:r>
      <w:r>
        <w:rPr>
          <w:spacing w:val="-3"/>
        </w:rPr>
        <w:t> </w:t>
      </w:r>
      <w:r>
        <w:rPr/>
        <w:t>CSB’s</w:t>
      </w:r>
      <w:r>
        <w:rPr>
          <w:spacing w:val="-4"/>
        </w:rPr>
        <w:t> </w:t>
      </w:r>
      <w:r>
        <w:rPr/>
        <w:t>CRA-related</w:t>
      </w:r>
      <w:r>
        <w:rPr>
          <w:spacing w:val="-3"/>
        </w:rPr>
        <w:t> </w:t>
      </w:r>
      <w:r>
        <w:rPr/>
        <w:t>investments</w:t>
      </w:r>
      <w:r>
        <w:rPr>
          <w:spacing w:val="-4"/>
        </w:rPr>
        <w:t> </w:t>
      </w:r>
      <w:r>
        <w:rPr/>
        <w:t>and</w:t>
      </w:r>
      <w:r>
        <w:rPr>
          <w:spacing w:val="-3"/>
        </w:rPr>
        <w:t> </w:t>
      </w:r>
      <w:r>
        <w:rPr/>
        <w:t>most</w:t>
      </w:r>
      <w:r>
        <w:rPr>
          <w:spacing w:val="-4"/>
        </w:rPr>
        <w:t> </w:t>
      </w:r>
      <w:r>
        <w:rPr/>
        <w:t>of</w:t>
      </w:r>
      <w:r>
        <w:rPr>
          <w:spacing w:val="-3"/>
        </w:rPr>
        <w:t> </w:t>
      </w:r>
      <w:r>
        <w:rPr/>
        <w:t>these</w:t>
      </w:r>
      <w:r>
        <w:rPr>
          <w:spacing w:val="-4"/>
        </w:rPr>
        <w:t> </w:t>
      </w:r>
      <w:r>
        <w:rPr/>
        <w:t>are</w:t>
      </w:r>
      <w:r>
        <w:rPr>
          <w:spacing w:val="-4"/>
        </w:rPr>
        <w:t> </w:t>
      </w:r>
      <w:r>
        <w:rPr/>
        <w:t>related</w:t>
      </w:r>
      <w:r>
        <w:rPr>
          <w:spacing w:val="-3"/>
        </w:rPr>
        <w:t> </w:t>
      </w:r>
      <w:r>
        <w:rPr/>
        <w:t>to</w:t>
      </w:r>
      <w:r>
        <w:rPr>
          <w:spacing w:val="-3"/>
        </w:rPr>
        <w:t> </w:t>
      </w:r>
      <w:r>
        <w:rPr/>
        <w:t>Low-Income</w:t>
      </w:r>
      <w:r>
        <w:rPr>
          <w:spacing w:val="-4"/>
        </w:rPr>
        <w:t> </w:t>
      </w:r>
      <w:r>
        <w:rPr/>
        <w:t>Housing</w:t>
      </w:r>
      <w:r>
        <w:rPr>
          <w:spacing w:val="-3"/>
        </w:rPr>
        <w:t> </w:t>
      </w:r>
      <w:r>
        <w:rPr/>
        <w:t>Tax</w:t>
      </w:r>
      <w:r>
        <w:rPr>
          <w:spacing w:val="-3"/>
        </w:rPr>
        <w:t> </w:t>
      </w:r>
      <w:r>
        <w:rPr/>
        <w:t>Credit</w:t>
      </w:r>
      <w:r>
        <w:rPr>
          <w:spacing w:val="-4"/>
        </w:rPr>
        <w:t> </w:t>
      </w:r>
      <w:r>
        <w:rPr/>
        <w:t>(LIHTC) investments. As part of CSB’s community reinvestment initiatives, CSB invests in funds that make equity investments in multifamily affordable housing properties and receives tax credits and other tax benefits for these investments.</w:t>
      </w:r>
    </w:p>
    <w:p>
      <w:pPr>
        <w:pStyle w:val="BodyText"/>
        <w:spacing w:before="13"/>
      </w:pPr>
    </w:p>
    <w:p>
      <w:pPr>
        <w:spacing w:before="0"/>
        <w:ind w:left="470" w:right="0" w:firstLine="0"/>
        <w:jc w:val="left"/>
        <w:rPr>
          <w:i/>
          <w:sz w:val="20"/>
        </w:rPr>
      </w:pPr>
      <w:r>
        <w:rPr>
          <w:i/>
          <w:sz w:val="20"/>
        </w:rPr>
        <w:t>Aggregate</w:t>
      </w:r>
      <w:r>
        <w:rPr>
          <w:i/>
          <w:spacing w:val="-5"/>
          <w:sz w:val="20"/>
        </w:rPr>
        <w:t> </w:t>
      </w:r>
      <w:r>
        <w:rPr>
          <w:i/>
          <w:sz w:val="20"/>
        </w:rPr>
        <w:t>assets,</w:t>
      </w:r>
      <w:r>
        <w:rPr>
          <w:i/>
          <w:spacing w:val="-4"/>
          <w:sz w:val="20"/>
        </w:rPr>
        <w:t> </w:t>
      </w:r>
      <w:r>
        <w:rPr>
          <w:i/>
          <w:sz w:val="20"/>
        </w:rPr>
        <w:t>liabilities,</w:t>
      </w:r>
      <w:r>
        <w:rPr>
          <w:i/>
          <w:spacing w:val="-4"/>
          <w:sz w:val="20"/>
        </w:rPr>
        <w:t> </w:t>
      </w:r>
      <w:r>
        <w:rPr>
          <w:i/>
          <w:sz w:val="20"/>
        </w:rPr>
        <w:t>and</w:t>
      </w:r>
      <w:r>
        <w:rPr>
          <w:i/>
          <w:spacing w:val="-4"/>
          <w:sz w:val="20"/>
        </w:rPr>
        <w:t> </w:t>
      </w:r>
      <w:r>
        <w:rPr>
          <w:i/>
          <w:sz w:val="20"/>
        </w:rPr>
        <w:t>maximum</w:t>
      </w:r>
      <w:r>
        <w:rPr>
          <w:i/>
          <w:spacing w:val="-5"/>
          <w:sz w:val="20"/>
        </w:rPr>
        <w:t> </w:t>
      </w:r>
      <w:r>
        <w:rPr>
          <w:i/>
          <w:sz w:val="20"/>
        </w:rPr>
        <w:t>exposure</w:t>
      </w:r>
      <w:r>
        <w:rPr>
          <w:i/>
          <w:spacing w:val="-5"/>
          <w:sz w:val="20"/>
        </w:rPr>
        <w:t> </w:t>
      </w:r>
      <w:r>
        <w:rPr>
          <w:i/>
          <w:sz w:val="20"/>
        </w:rPr>
        <w:t>to</w:t>
      </w:r>
      <w:r>
        <w:rPr>
          <w:i/>
          <w:spacing w:val="-3"/>
          <w:sz w:val="20"/>
        </w:rPr>
        <w:t> </w:t>
      </w:r>
      <w:r>
        <w:rPr>
          <w:i/>
          <w:spacing w:val="-4"/>
          <w:sz w:val="20"/>
        </w:rPr>
        <w:t>loss</w:t>
      </w:r>
    </w:p>
    <w:p>
      <w:pPr>
        <w:pStyle w:val="BodyText"/>
        <w:spacing w:before="20"/>
        <w:rPr>
          <w:i/>
        </w:rPr>
      </w:pPr>
    </w:p>
    <w:p>
      <w:pPr>
        <w:pStyle w:val="BodyText"/>
        <w:spacing w:line="249" w:lineRule="auto"/>
        <w:ind w:left="470" w:right="500"/>
      </w:pPr>
      <w:r>
        <w:rPr/>
        <mc:AlternateContent>
          <mc:Choice Requires="wps">
            <w:drawing>
              <wp:anchor distT="0" distB="0" distL="0" distR="0" allowOverlap="1" layoutInCell="1" locked="0" behindDoc="0" simplePos="0" relativeHeight="15753728">
                <wp:simplePos x="0" y="0"/>
                <wp:positionH relativeFrom="page">
                  <wp:posOffset>2943225</wp:posOffset>
                </wp:positionH>
                <wp:positionV relativeFrom="paragraph">
                  <wp:posOffset>557867</wp:posOffset>
                </wp:positionV>
                <wp:extent cx="2085975" cy="6350"/>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2085975" cy="6350"/>
                          <a:chExt cx="2085975" cy="6350"/>
                        </a:xfrm>
                      </wpg:grpSpPr>
                      <wps:wsp>
                        <wps:cNvPr id="379" name="Graphic 379"/>
                        <wps:cNvSpPr/>
                        <wps:spPr>
                          <a:xfrm>
                            <a:off x="0" y="3175"/>
                            <a:ext cx="2085975" cy="1270"/>
                          </a:xfrm>
                          <a:custGeom>
                            <a:avLst/>
                            <a:gdLst/>
                            <a:ahLst/>
                            <a:cxnLst/>
                            <a:rect l="l" t="t" r="r" b="b"/>
                            <a:pathLst>
                              <a:path w="2085975" h="0">
                                <a:moveTo>
                                  <a:pt x="2085975" y="0"/>
                                </a:moveTo>
                                <a:lnTo>
                                  <a:pt x="0" y="0"/>
                                </a:lnTo>
                              </a:path>
                            </a:pathLst>
                          </a:custGeom>
                          <a:solidFill>
                            <a:srgbClr val="000000"/>
                          </a:solidFill>
                        </wps:spPr>
                        <wps:bodyPr wrap="square" lIns="0" tIns="0" rIns="0" bIns="0" rtlCol="0">
                          <a:prstTxWarp prst="textNoShape">
                            <a:avLst/>
                          </a:prstTxWarp>
                          <a:noAutofit/>
                        </wps:bodyPr>
                      </wps:wsp>
                      <wps:wsp>
                        <wps:cNvPr id="380" name="Graphic 380"/>
                        <wps:cNvSpPr/>
                        <wps:spPr>
                          <a:xfrm>
                            <a:off x="0" y="3175"/>
                            <a:ext cx="2085975" cy="1270"/>
                          </a:xfrm>
                          <a:custGeom>
                            <a:avLst/>
                            <a:gdLst/>
                            <a:ahLst/>
                            <a:cxnLst/>
                            <a:rect l="l" t="t" r="r" b="b"/>
                            <a:pathLst>
                              <a:path w="2085975" h="0">
                                <a:moveTo>
                                  <a:pt x="0" y="0"/>
                                </a:moveTo>
                                <a:lnTo>
                                  <a:pt x="208597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1.75pt;margin-top:43.926563pt;width:164.25pt;height:.5pt;mso-position-horizontal-relative:page;mso-position-vertical-relative:paragraph;z-index:15753728" id="docshapegroup262" coordorigin="4635,879" coordsize="3285,10">
                <v:shape style="position:absolute;left:4635;top:883;width:3285;height:2" id="docshape263" coordorigin="4635,884" coordsize="3285,0" path="m7920,884l4635,884e" filled="true" fillcolor="#000000" stroked="false">
                  <v:path arrowok="t"/>
                  <v:fill opacity="0f" type="solid"/>
                </v:shape>
                <v:line style="position:absolute" from="4635,884" to="7920,884" stroked="true" strokeweight=".5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5076825</wp:posOffset>
                </wp:positionH>
                <wp:positionV relativeFrom="paragraph">
                  <wp:posOffset>557867</wp:posOffset>
                </wp:positionV>
                <wp:extent cx="2066925" cy="6350"/>
                <wp:effectExtent l="0" t="0" r="0" b="0"/>
                <wp:wrapNone/>
                <wp:docPr id="381" name="Group 381"/>
                <wp:cNvGraphicFramePr>
                  <a:graphicFrameLocks/>
                </wp:cNvGraphicFramePr>
                <a:graphic>
                  <a:graphicData uri="http://schemas.microsoft.com/office/word/2010/wordprocessingGroup">
                    <wpg:wgp>
                      <wpg:cNvPr id="381" name="Group 381"/>
                      <wpg:cNvGrpSpPr/>
                      <wpg:grpSpPr>
                        <a:xfrm>
                          <a:off x="0" y="0"/>
                          <a:ext cx="2066925" cy="6350"/>
                          <a:chExt cx="2066925" cy="6350"/>
                        </a:xfrm>
                      </wpg:grpSpPr>
                      <wps:wsp>
                        <wps:cNvPr id="382" name="Graphic 382"/>
                        <wps:cNvSpPr/>
                        <wps:spPr>
                          <a:xfrm>
                            <a:off x="0" y="3175"/>
                            <a:ext cx="2066925" cy="1270"/>
                          </a:xfrm>
                          <a:custGeom>
                            <a:avLst/>
                            <a:gdLst/>
                            <a:ahLst/>
                            <a:cxnLst/>
                            <a:rect l="l" t="t" r="r" b="b"/>
                            <a:pathLst>
                              <a:path w="2066925" h="0">
                                <a:moveTo>
                                  <a:pt x="2066925" y="0"/>
                                </a:moveTo>
                                <a:lnTo>
                                  <a:pt x="0" y="0"/>
                                </a:lnTo>
                              </a:path>
                            </a:pathLst>
                          </a:custGeom>
                          <a:solidFill>
                            <a:srgbClr val="000000"/>
                          </a:solidFill>
                        </wps:spPr>
                        <wps:bodyPr wrap="square" lIns="0" tIns="0" rIns="0" bIns="0" rtlCol="0">
                          <a:prstTxWarp prst="textNoShape">
                            <a:avLst/>
                          </a:prstTxWarp>
                          <a:noAutofit/>
                        </wps:bodyPr>
                      </wps:wsp>
                      <wps:wsp>
                        <wps:cNvPr id="383" name="Graphic 383"/>
                        <wps:cNvSpPr/>
                        <wps:spPr>
                          <a:xfrm>
                            <a:off x="0" y="3175"/>
                            <a:ext cx="2066925" cy="1270"/>
                          </a:xfrm>
                          <a:custGeom>
                            <a:avLst/>
                            <a:gdLst/>
                            <a:ahLst/>
                            <a:cxnLst/>
                            <a:rect l="l" t="t" r="r" b="b"/>
                            <a:pathLst>
                              <a:path w="2066925" h="0">
                                <a:moveTo>
                                  <a:pt x="0" y="0"/>
                                </a:moveTo>
                                <a:lnTo>
                                  <a:pt x="206692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9.75pt;margin-top:43.926563pt;width:162.75pt;height:.5pt;mso-position-horizontal-relative:page;mso-position-vertical-relative:paragraph;z-index:15754240" id="docshapegroup264" coordorigin="7995,879" coordsize="3255,10">
                <v:shape style="position:absolute;left:7995;top:883;width:3255;height:2" id="docshape265" coordorigin="7995,884" coordsize="3255,0" path="m11250,884l7995,884e" filled="true" fillcolor="#000000" stroked="false">
                  <v:path arrowok="t"/>
                  <v:fill opacity="0f" type="solid"/>
                </v:shape>
                <v:line style="position:absolute" from="7995,884" to="11250,884" stroked="true" strokeweight=".5pt" strokecolor="#000000">
                  <v:stroke dashstyle="solid"/>
                </v:line>
                <w10:wrap type="none"/>
              </v:group>
            </w:pict>
          </mc:Fallback>
        </mc:AlternateContent>
      </w:r>
      <w:r>
        <w:rPr/>
        <w:t>The</w:t>
      </w:r>
      <w:r>
        <w:rPr>
          <w:spacing w:val="-3"/>
        </w:rPr>
        <w:t> </w:t>
      </w:r>
      <w:r>
        <w:rPr/>
        <w:t>aggregate</w:t>
      </w:r>
      <w:r>
        <w:rPr>
          <w:spacing w:val="-3"/>
        </w:rPr>
        <w:t> </w:t>
      </w:r>
      <w:r>
        <w:rPr/>
        <w:t>assets,</w:t>
      </w:r>
      <w:r>
        <w:rPr>
          <w:spacing w:val="-2"/>
        </w:rPr>
        <w:t> </w:t>
      </w:r>
      <w:r>
        <w:rPr/>
        <w:t>liabilities,</w:t>
      </w:r>
      <w:r>
        <w:rPr>
          <w:spacing w:val="-2"/>
        </w:rPr>
        <w:t> </w:t>
      </w:r>
      <w:r>
        <w:rPr/>
        <w:t>and</w:t>
      </w:r>
      <w:r>
        <w:rPr>
          <w:spacing w:val="-2"/>
        </w:rPr>
        <w:t> </w:t>
      </w:r>
      <w:r>
        <w:rPr/>
        <w:t>maximum</w:t>
      </w:r>
      <w:r>
        <w:rPr>
          <w:spacing w:val="-3"/>
        </w:rPr>
        <w:t> </w:t>
      </w:r>
      <w:r>
        <w:rPr/>
        <w:t>exposure</w:t>
      </w:r>
      <w:r>
        <w:rPr>
          <w:spacing w:val="-3"/>
        </w:rPr>
        <w:t> </w:t>
      </w:r>
      <w:r>
        <w:rPr/>
        <w:t>to</w:t>
      </w:r>
      <w:r>
        <w:rPr>
          <w:spacing w:val="-2"/>
        </w:rPr>
        <w:t> </w:t>
      </w:r>
      <w:r>
        <w:rPr/>
        <w:t>loss</w:t>
      </w:r>
      <w:r>
        <w:rPr>
          <w:spacing w:val="-3"/>
        </w:rPr>
        <w:t> </w:t>
      </w:r>
      <w:r>
        <w:rPr/>
        <w:t>from</w:t>
      </w:r>
      <w:r>
        <w:rPr>
          <w:spacing w:val="-3"/>
        </w:rPr>
        <w:t> </w:t>
      </w:r>
      <w:r>
        <w:rPr/>
        <w:t>those</w:t>
      </w:r>
      <w:r>
        <w:rPr>
          <w:spacing w:val="-3"/>
        </w:rPr>
        <w:t> </w:t>
      </w:r>
      <w:r>
        <w:rPr/>
        <w:t>VIEs</w:t>
      </w:r>
      <w:r>
        <w:rPr>
          <w:spacing w:val="-3"/>
        </w:rPr>
        <w:t> </w:t>
      </w:r>
      <w:r>
        <w:rPr/>
        <w:t>in</w:t>
      </w:r>
      <w:r>
        <w:rPr>
          <w:spacing w:val="-2"/>
        </w:rPr>
        <w:t> </w:t>
      </w:r>
      <w:r>
        <w:rPr/>
        <w:t>which</w:t>
      </w:r>
      <w:r>
        <w:rPr>
          <w:spacing w:val="-2"/>
        </w:rPr>
        <w:t> </w:t>
      </w:r>
      <w:r>
        <w:rPr/>
        <w:t>Schwab</w:t>
      </w:r>
      <w:r>
        <w:rPr>
          <w:spacing w:val="-2"/>
        </w:rPr>
        <w:t> </w:t>
      </w:r>
      <w:r>
        <w:rPr/>
        <w:t>holds</w:t>
      </w:r>
      <w:r>
        <w:rPr>
          <w:spacing w:val="-3"/>
        </w:rPr>
        <w:t> </w:t>
      </w:r>
      <w:r>
        <w:rPr/>
        <w:t>a</w:t>
      </w:r>
      <w:r>
        <w:rPr>
          <w:spacing w:val="-3"/>
        </w:rPr>
        <w:t> </w:t>
      </w:r>
      <w:r>
        <w:rPr/>
        <w:t>variable</w:t>
      </w:r>
      <w:r>
        <w:rPr>
          <w:spacing w:val="-3"/>
        </w:rPr>
        <w:t> </w:t>
      </w:r>
      <w:r>
        <w:rPr/>
        <w:t>interest,</w:t>
      </w:r>
      <w:r>
        <w:rPr>
          <w:spacing w:val="-2"/>
        </w:rPr>
        <w:t> </w:t>
      </w:r>
      <w:r>
        <w:rPr/>
        <w:t>but is not the primary beneficiary, are summarized in the table below:</w:t>
      </w:r>
    </w:p>
    <w:p>
      <w:pPr>
        <w:pStyle w:val="BodyText"/>
        <w:spacing w:before="6"/>
        <w:rPr>
          <w:sz w:val="10"/>
        </w:rPr>
      </w:pPr>
      <w:r>
        <w:rPr/>
        <mc:AlternateContent>
          <mc:Choice Requires="wps">
            <w:drawing>
              <wp:anchor distT="0" distB="0" distL="0" distR="0" allowOverlap="1" layoutInCell="1" locked="0" behindDoc="1" simplePos="0" relativeHeight="487611904">
                <wp:simplePos x="0" y="0"/>
                <wp:positionH relativeFrom="page">
                  <wp:posOffset>628650</wp:posOffset>
                </wp:positionH>
                <wp:positionV relativeFrom="paragraph">
                  <wp:posOffset>92184</wp:posOffset>
                </wp:positionV>
                <wp:extent cx="6515100" cy="6350"/>
                <wp:effectExtent l="0" t="0" r="0" b="0"/>
                <wp:wrapTopAndBottom/>
                <wp:docPr id="384" name="Group 384"/>
                <wp:cNvGraphicFramePr>
                  <a:graphicFrameLocks/>
                </wp:cNvGraphicFramePr>
                <a:graphic>
                  <a:graphicData uri="http://schemas.microsoft.com/office/word/2010/wordprocessingGroup">
                    <wpg:wgp>
                      <wpg:cNvPr id="384" name="Group 384"/>
                      <wpg:cNvGrpSpPr/>
                      <wpg:grpSpPr>
                        <a:xfrm>
                          <a:off x="0" y="0"/>
                          <a:ext cx="6515100" cy="6350"/>
                          <a:chExt cx="6515100" cy="6350"/>
                        </a:xfrm>
                      </wpg:grpSpPr>
                      <wps:wsp>
                        <wps:cNvPr id="385" name="Graphic 385"/>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386" name="Graphic 386"/>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7.258594pt;width:513pt;height:.5pt;mso-position-horizontal-relative:page;mso-position-vertical-relative:paragraph;z-index:-15704576;mso-wrap-distance-left:0;mso-wrap-distance-right:0" id="docshapegroup266" coordorigin="990,145" coordsize="10260,10">
                <v:shape style="position:absolute;left:990;top:150;width:10260;height:2" id="docshape267" coordorigin="990,150" coordsize="10260,0" path="m11250,150l990,150e" filled="true" fillcolor="#000000" stroked="false">
                  <v:path arrowok="t"/>
                  <v:fill opacity="0f" type="solid"/>
                </v:shape>
                <v:line style="position:absolute" from="990,150" to="11250,150" stroked="true" strokeweight=".5pt" strokecolor="#000000">
                  <v:stroke dashstyle="solid"/>
                </v:line>
                <w10:wrap type="topAndBottom"/>
              </v:group>
            </w:pict>
          </mc:Fallback>
        </mc:AlternateContent>
      </w:r>
    </w:p>
    <w:p>
      <w:pPr>
        <w:tabs>
          <w:tab w:pos="8395" w:val="left" w:leader="none"/>
        </w:tabs>
        <w:spacing w:before="13"/>
        <w:ind w:left="5035" w:right="0" w:firstLine="0"/>
        <w:jc w:val="left"/>
        <w:rPr>
          <w:sz w:val="18"/>
        </w:rPr>
      </w:pPr>
      <w:r>
        <w:rPr>
          <w:sz w:val="18"/>
        </w:rPr>
        <w:t>September</w:t>
      </w:r>
      <w:r>
        <w:rPr>
          <w:spacing w:val="-1"/>
          <w:sz w:val="18"/>
        </w:rPr>
        <w:t> </w:t>
      </w:r>
      <w:r>
        <w:rPr>
          <w:sz w:val="18"/>
        </w:rPr>
        <w:t>30, </w:t>
      </w:r>
      <w:r>
        <w:rPr>
          <w:spacing w:val="-4"/>
          <w:sz w:val="18"/>
        </w:rPr>
        <w:t>2023</w:t>
      </w:r>
      <w:r>
        <w:rPr>
          <w:sz w:val="18"/>
        </w:rPr>
        <w:tab/>
        <w:t>December</w:t>
      </w:r>
      <w:r>
        <w:rPr>
          <w:spacing w:val="-3"/>
          <w:sz w:val="18"/>
        </w:rPr>
        <w:t> </w:t>
      </w:r>
      <w:r>
        <w:rPr>
          <w:sz w:val="18"/>
        </w:rPr>
        <w:t>31, </w:t>
      </w:r>
      <w:r>
        <w:rPr>
          <w:spacing w:val="-4"/>
          <w:sz w:val="18"/>
        </w:rPr>
        <w:t>2022</w:t>
      </w:r>
    </w:p>
    <w:p>
      <w:pPr>
        <w:spacing w:after="0"/>
        <w:jc w:val="left"/>
        <w:rPr>
          <w:sz w:val="18"/>
        </w:rPr>
        <w:sectPr>
          <w:pgSz w:w="12240" w:h="15840"/>
          <w:pgMar w:header="227" w:footer="201" w:top="1080" w:bottom="400" w:left="520" w:right="520"/>
        </w:sectPr>
      </w:pPr>
    </w:p>
    <w:p>
      <w:pPr>
        <w:pStyle w:val="BodyText"/>
        <w:spacing w:before="43"/>
        <w:rPr>
          <w:sz w:val="18"/>
        </w:rPr>
      </w:pPr>
    </w:p>
    <w:p>
      <w:pPr>
        <w:spacing w:line="208" w:lineRule="auto" w:before="0"/>
        <w:ind w:left="4437" w:right="0" w:hanging="165"/>
        <w:jc w:val="left"/>
        <w:rPr>
          <w:sz w:val="18"/>
        </w:rPr>
      </w:pPr>
      <w:r>
        <w:rPr>
          <w:spacing w:val="-2"/>
          <w:sz w:val="18"/>
        </w:rPr>
        <w:t>Aggregate assets</w:t>
      </w:r>
    </w:p>
    <w:p>
      <w:pPr>
        <w:spacing w:line="240" w:lineRule="auto" w:before="43"/>
        <w:rPr>
          <w:sz w:val="18"/>
        </w:rPr>
      </w:pPr>
      <w:r>
        <w:rPr/>
        <w:br w:type="column"/>
      </w:r>
      <w:r>
        <w:rPr>
          <w:sz w:val="18"/>
        </w:rPr>
      </w:r>
    </w:p>
    <w:p>
      <w:pPr>
        <w:spacing w:line="208" w:lineRule="auto" w:before="0"/>
        <w:ind w:left="374" w:right="0" w:hanging="40"/>
        <w:jc w:val="left"/>
        <w:rPr>
          <w:sz w:val="18"/>
        </w:rPr>
      </w:pPr>
      <w:r>
        <w:rPr>
          <w:spacing w:val="-2"/>
          <w:sz w:val="18"/>
        </w:rPr>
        <w:t>Aggregate liabilities</w:t>
      </w:r>
    </w:p>
    <w:p>
      <w:pPr>
        <w:spacing w:line="208" w:lineRule="auto" w:before="70"/>
        <w:ind w:left="370" w:right="0" w:hanging="51"/>
        <w:jc w:val="both"/>
        <w:rPr>
          <w:sz w:val="18"/>
        </w:rPr>
      </w:pPr>
      <w:r>
        <w:rPr/>
        <w:br w:type="column"/>
      </w:r>
      <w:r>
        <w:rPr>
          <w:spacing w:val="-2"/>
          <w:sz w:val="18"/>
        </w:rPr>
        <w:t>Maximum exposure </w:t>
      </w:r>
      <w:r>
        <w:rPr>
          <w:sz w:val="18"/>
        </w:rPr>
        <w:t>to loss</w:t>
      </w:r>
    </w:p>
    <w:p>
      <w:pPr>
        <w:spacing w:line="240" w:lineRule="auto" w:before="43"/>
        <w:rPr>
          <w:sz w:val="18"/>
        </w:rPr>
      </w:pPr>
      <w:r>
        <w:rPr/>
        <w:br w:type="column"/>
      </w:r>
      <w:r>
        <w:rPr>
          <w:sz w:val="18"/>
        </w:rPr>
      </w:r>
    </w:p>
    <w:p>
      <w:pPr>
        <w:spacing w:line="208" w:lineRule="auto" w:before="0"/>
        <w:ind w:left="484" w:right="0" w:hanging="165"/>
        <w:jc w:val="left"/>
        <w:rPr>
          <w:sz w:val="18"/>
        </w:rPr>
      </w:pPr>
      <w:r>
        <w:rPr>
          <w:spacing w:val="-2"/>
          <w:sz w:val="18"/>
        </w:rPr>
        <w:t>Aggregate assets</w:t>
      </w:r>
    </w:p>
    <w:p>
      <w:pPr>
        <w:spacing w:line="240" w:lineRule="auto" w:before="43"/>
        <w:rPr>
          <w:sz w:val="18"/>
        </w:rPr>
      </w:pPr>
      <w:r>
        <w:rPr/>
        <w:br w:type="column"/>
      </w:r>
      <w:r>
        <w:rPr>
          <w:sz w:val="18"/>
        </w:rPr>
      </w:r>
    </w:p>
    <w:p>
      <w:pPr>
        <w:spacing w:line="208" w:lineRule="auto" w:before="0"/>
        <w:ind w:left="359" w:right="-1" w:hanging="40"/>
        <w:jc w:val="left"/>
        <w:rPr>
          <w:sz w:val="18"/>
        </w:rPr>
      </w:pPr>
      <w:r>
        <w:rPr>
          <w:spacing w:val="-2"/>
          <w:sz w:val="18"/>
        </w:rPr>
        <w:t>Aggregate liabilities</w:t>
      </w:r>
    </w:p>
    <w:p>
      <w:pPr>
        <w:spacing w:line="208" w:lineRule="auto" w:before="70"/>
        <w:ind w:left="370" w:right="610" w:hanging="51"/>
        <w:jc w:val="both"/>
        <w:rPr>
          <w:sz w:val="18"/>
        </w:rPr>
      </w:pPr>
      <w:r>
        <w:rPr/>
        <w:br w:type="column"/>
      </w:r>
      <w:r>
        <w:rPr>
          <w:spacing w:val="-2"/>
          <w:sz w:val="18"/>
        </w:rPr>
        <w:t>Maximum exposure </w:t>
      </w:r>
      <w:r>
        <w:rPr>
          <w:sz w:val="18"/>
        </w:rPr>
        <w:t>to loss</w:t>
      </w:r>
    </w:p>
    <w:p>
      <w:pPr>
        <w:spacing w:after="0" w:line="208" w:lineRule="auto"/>
        <w:jc w:val="both"/>
        <w:rPr>
          <w:sz w:val="18"/>
        </w:rPr>
        <w:sectPr>
          <w:type w:val="continuous"/>
          <w:pgSz w:w="12240" w:h="15840"/>
          <w:pgMar w:header="227" w:footer="201" w:top="320" w:bottom="280" w:left="520" w:right="520"/>
          <w:cols w:num="6" w:equalWidth="0">
            <w:col w:w="5023" w:space="40"/>
            <w:col w:w="1085" w:space="39"/>
            <w:col w:w="1070" w:space="40"/>
            <w:col w:w="1071" w:space="40"/>
            <w:col w:w="1070" w:space="39"/>
            <w:col w:w="1683"/>
          </w:cols>
        </w:sectPr>
      </w:pPr>
    </w:p>
    <w:p>
      <w:pPr>
        <w:pStyle w:val="BodyText"/>
        <w:rPr>
          <w:sz w:val="3"/>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3"/>
        <w:gridCol w:w="2054"/>
        <w:gridCol w:w="1110"/>
        <w:gridCol w:w="1110"/>
        <w:gridCol w:w="1110"/>
        <w:gridCol w:w="1110"/>
        <w:gridCol w:w="1084"/>
      </w:tblGrid>
      <w:tr>
        <w:trPr>
          <w:trHeight w:val="250" w:hRule="atLeast"/>
        </w:trPr>
        <w:tc>
          <w:tcPr>
            <w:tcW w:w="2683" w:type="dxa"/>
            <w:tcBorders>
              <w:top w:val="single" w:sz="4" w:space="0" w:color="000000"/>
            </w:tcBorders>
            <w:shd w:val="clear" w:color="auto" w:fill="CCEDFF"/>
          </w:tcPr>
          <w:p>
            <w:pPr>
              <w:pStyle w:val="TableParagraph"/>
              <w:spacing w:before="13"/>
              <w:ind w:left="52"/>
              <w:rPr>
                <w:sz w:val="18"/>
              </w:rPr>
            </w:pPr>
            <w:r>
              <w:rPr>
                <w:sz w:val="18"/>
              </w:rPr>
              <w:t>LIHTC</w:t>
            </w:r>
            <w:r>
              <w:rPr>
                <w:spacing w:val="-2"/>
                <w:sz w:val="18"/>
              </w:rPr>
              <w:t> </w:t>
            </w:r>
            <w:r>
              <w:rPr>
                <w:sz w:val="18"/>
              </w:rPr>
              <w:t>investments</w:t>
            </w:r>
            <w:r>
              <w:rPr>
                <w:spacing w:val="-2"/>
                <w:sz w:val="18"/>
              </w:rPr>
              <w:t> </w:t>
            </w:r>
            <w:r>
              <w:rPr>
                <w:spacing w:val="-5"/>
                <w:sz w:val="18"/>
                <w:vertAlign w:val="superscript"/>
              </w:rPr>
              <w:t>(1)</w:t>
            </w:r>
          </w:p>
        </w:tc>
        <w:tc>
          <w:tcPr>
            <w:tcW w:w="2054" w:type="dxa"/>
            <w:tcBorders>
              <w:top w:val="single" w:sz="4" w:space="0" w:color="000000"/>
            </w:tcBorders>
            <w:shd w:val="clear" w:color="auto" w:fill="CCEDFF"/>
          </w:tcPr>
          <w:p>
            <w:pPr>
              <w:pStyle w:val="TableParagraph"/>
              <w:tabs>
                <w:tab w:pos="532" w:val="left" w:leader="none"/>
              </w:tabs>
              <w:spacing w:before="13"/>
              <w:ind w:right="99"/>
              <w:jc w:val="right"/>
              <w:rPr>
                <w:sz w:val="18"/>
              </w:rPr>
            </w:pPr>
            <w:r>
              <w:rPr>
                <w:spacing w:val="-10"/>
                <w:sz w:val="18"/>
              </w:rPr>
              <w:t>$</w:t>
            </w:r>
            <w:r>
              <w:rPr>
                <w:sz w:val="18"/>
              </w:rPr>
              <w:tab/>
            </w:r>
            <w:r>
              <w:rPr>
                <w:spacing w:val="-2"/>
                <w:sz w:val="18"/>
              </w:rPr>
              <w:t>1,306</w:t>
            </w:r>
          </w:p>
        </w:tc>
        <w:tc>
          <w:tcPr>
            <w:tcW w:w="1110" w:type="dxa"/>
            <w:tcBorders>
              <w:top w:val="single" w:sz="4" w:space="0" w:color="000000"/>
            </w:tcBorders>
            <w:shd w:val="clear" w:color="auto" w:fill="CCEDFF"/>
          </w:tcPr>
          <w:p>
            <w:pPr>
              <w:pStyle w:val="TableParagraph"/>
              <w:tabs>
                <w:tab w:pos="637" w:val="left" w:leader="none"/>
              </w:tabs>
              <w:spacing w:before="13"/>
              <w:ind w:right="99"/>
              <w:jc w:val="right"/>
              <w:rPr>
                <w:sz w:val="18"/>
              </w:rPr>
            </w:pPr>
            <w:r>
              <w:rPr>
                <w:spacing w:val="-10"/>
                <w:sz w:val="18"/>
              </w:rPr>
              <w:t>$</w:t>
            </w:r>
            <w:r>
              <w:rPr>
                <w:sz w:val="18"/>
              </w:rPr>
              <w:tab/>
            </w:r>
            <w:r>
              <w:rPr>
                <w:spacing w:val="-5"/>
                <w:sz w:val="18"/>
              </w:rPr>
              <w:t>744</w:t>
            </w:r>
          </w:p>
        </w:tc>
        <w:tc>
          <w:tcPr>
            <w:tcW w:w="1110" w:type="dxa"/>
            <w:tcBorders>
              <w:top w:val="single" w:sz="4" w:space="0" w:color="000000"/>
            </w:tcBorders>
            <w:shd w:val="clear" w:color="auto" w:fill="CCEDFF"/>
          </w:tcPr>
          <w:p>
            <w:pPr>
              <w:pStyle w:val="TableParagraph"/>
              <w:tabs>
                <w:tab w:pos="502" w:val="left" w:leader="none"/>
              </w:tabs>
              <w:spacing w:before="13"/>
              <w:ind w:right="99"/>
              <w:jc w:val="right"/>
              <w:rPr>
                <w:sz w:val="18"/>
              </w:rPr>
            </w:pPr>
            <w:r>
              <w:rPr>
                <w:spacing w:val="-10"/>
                <w:sz w:val="18"/>
              </w:rPr>
              <w:t>$</w:t>
            </w:r>
            <w:r>
              <w:rPr>
                <w:sz w:val="18"/>
              </w:rPr>
              <w:tab/>
            </w:r>
            <w:r>
              <w:rPr>
                <w:spacing w:val="-2"/>
                <w:sz w:val="18"/>
              </w:rPr>
              <w:t>1,306</w:t>
            </w:r>
          </w:p>
        </w:tc>
        <w:tc>
          <w:tcPr>
            <w:tcW w:w="1110" w:type="dxa"/>
            <w:tcBorders>
              <w:top w:val="single" w:sz="4" w:space="0" w:color="000000"/>
            </w:tcBorders>
            <w:shd w:val="clear" w:color="auto" w:fill="CCEDFF"/>
          </w:tcPr>
          <w:p>
            <w:pPr>
              <w:pStyle w:val="TableParagraph"/>
              <w:tabs>
                <w:tab w:pos="502" w:val="left" w:leader="none"/>
              </w:tabs>
              <w:spacing w:before="13"/>
              <w:ind w:right="99"/>
              <w:jc w:val="right"/>
              <w:rPr>
                <w:sz w:val="18"/>
              </w:rPr>
            </w:pPr>
            <w:r>
              <w:rPr>
                <w:spacing w:val="-10"/>
                <w:sz w:val="18"/>
              </w:rPr>
              <w:t>$</w:t>
            </w:r>
            <w:r>
              <w:rPr>
                <w:sz w:val="18"/>
              </w:rPr>
              <w:tab/>
            </w:r>
            <w:r>
              <w:rPr>
                <w:spacing w:val="-2"/>
                <w:sz w:val="18"/>
              </w:rPr>
              <w:t>1,094</w:t>
            </w:r>
          </w:p>
        </w:tc>
        <w:tc>
          <w:tcPr>
            <w:tcW w:w="1110" w:type="dxa"/>
            <w:tcBorders>
              <w:top w:val="single" w:sz="4" w:space="0" w:color="000000"/>
            </w:tcBorders>
            <w:shd w:val="clear" w:color="auto" w:fill="CCEDFF"/>
          </w:tcPr>
          <w:p>
            <w:pPr>
              <w:pStyle w:val="TableParagraph"/>
              <w:tabs>
                <w:tab w:pos="637" w:val="left" w:leader="none"/>
              </w:tabs>
              <w:spacing w:before="13"/>
              <w:ind w:right="99"/>
              <w:jc w:val="right"/>
              <w:rPr>
                <w:sz w:val="18"/>
              </w:rPr>
            </w:pPr>
            <w:r>
              <w:rPr>
                <w:spacing w:val="-10"/>
                <w:sz w:val="18"/>
              </w:rPr>
              <w:t>$</w:t>
            </w:r>
            <w:r>
              <w:rPr>
                <w:sz w:val="18"/>
              </w:rPr>
              <w:tab/>
            </w:r>
            <w:r>
              <w:rPr>
                <w:spacing w:val="-5"/>
                <w:sz w:val="18"/>
              </w:rPr>
              <w:t>619</w:t>
            </w:r>
          </w:p>
        </w:tc>
        <w:tc>
          <w:tcPr>
            <w:tcW w:w="1084" w:type="dxa"/>
            <w:tcBorders>
              <w:top w:val="single" w:sz="4" w:space="0" w:color="000000"/>
            </w:tcBorders>
            <w:shd w:val="clear" w:color="auto" w:fill="CCEDFF"/>
          </w:tcPr>
          <w:p>
            <w:pPr>
              <w:pStyle w:val="TableParagraph"/>
              <w:tabs>
                <w:tab w:pos="502" w:val="left" w:leader="none"/>
              </w:tabs>
              <w:spacing w:before="13"/>
              <w:ind w:right="73"/>
              <w:jc w:val="right"/>
              <w:rPr>
                <w:sz w:val="18"/>
              </w:rPr>
            </w:pPr>
            <w:r>
              <w:rPr>
                <w:spacing w:val="-10"/>
                <w:sz w:val="18"/>
              </w:rPr>
              <w:t>$</w:t>
            </w:r>
            <w:r>
              <w:rPr>
                <w:sz w:val="18"/>
              </w:rPr>
              <w:tab/>
            </w:r>
            <w:r>
              <w:rPr>
                <w:spacing w:val="-2"/>
                <w:sz w:val="18"/>
              </w:rPr>
              <w:t>1,094</w:t>
            </w:r>
          </w:p>
        </w:tc>
      </w:tr>
      <w:tr>
        <w:trPr>
          <w:trHeight w:val="250" w:hRule="atLeast"/>
        </w:trPr>
        <w:tc>
          <w:tcPr>
            <w:tcW w:w="2683" w:type="dxa"/>
            <w:tcBorders>
              <w:bottom w:val="single" w:sz="4" w:space="0" w:color="000000"/>
            </w:tcBorders>
          </w:tcPr>
          <w:p>
            <w:pPr>
              <w:pStyle w:val="TableParagraph"/>
              <w:spacing w:before="18"/>
              <w:ind w:left="52"/>
              <w:rPr>
                <w:sz w:val="18"/>
              </w:rPr>
            </w:pPr>
            <w:r>
              <w:rPr>
                <w:sz w:val="18"/>
              </w:rPr>
              <w:t>Other</w:t>
            </w:r>
            <w:r>
              <w:rPr>
                <w:spacing w:val="-2"/>
                <w:sz w:val="18"/>
              </w:rPr>
              <w:t> </w:t>
            </w:r>
            <w:r>
              <w:rPr>
                <w:sz w:val="18"/>
              </w:rPr>
              <w:t>investments</w:t>
            </w:r>
            <w:r>
              <w:rPr>
                <w:spacing w:val="-1"/>
                <w:sz w:val="18"/>
              </w:rPr>
              <w:t> </w:t>
            </w:r>
            <w:r>
              <w:rPr>
                <w:spacing w:val="-5"/>
                <w:sz w:val="18"/>
                <w:vertAlign w:val="superscript"/>
              </w:rPr>
              <w:t>(2)</w:t>
            </w:r>
          </w:p>
        </w:tc>
        <w:tc>
          <w:tcPr>
            <w:tcW w:w="2054" w:type="dxa"/>
            <w:tcBorders>
              <w:bottom w:val="single" w:sz="4" w:space="0" w:color="000000"/>
            </w:tcBorders>
          </w:tcPr>
          <w:p>
            <w:pPr>
              <w:pStyle w:val="TableParagraph"/>
              <w:spacing w:before="18"/>
              <w:ind w:right="99"/>
              <w:jc w:val="right"/>
              <w:rPr>
                <w:sz w:val="18"/>
              </w:rPr>
            </w:pPr>
            <w:r>
              <w:rPr>
                <w:spacing w:val="-5"/>
                <w:sz w:val="18"/>
              </w:rPr>
              <w:t>176</w:t>
            </w:r>
          </w:p>
        </w:tc>
        <w:tc>
          <w:tcPr>
            <w:tcW w:w="1110" w:type="dxa"/>
            <w:tcBorders>
              <w:bottom w:val="single" w:sz="4" w:space="0" w:color="000000"/>
            </w:tcBorders>
          </w:tcPr>
          <w:p>
            <w:pPr>
              <w:pStyle w:val="TableParagraph"/>
              <w:spacing w:before="18"/>
              <w:ind w:right="99"/>
              <w:jc w:val="right"/>
              <w:rPr>
                <w:sz w:val="18"/>
              </w:rPr>
            </w:pPr>
            <w:r>
              <w:rPr>
                <w:spacing w:val="-10"/>
                <w:sz w:val="18"/>
              </w:rPr>
              <w:t>—</w:t>
            </w:r>
          </w:p>
        </w:tc>
        <w:tc>
          <w:tcPr>
            <w:tcW w:w="1110" w:type="dxa"/>
            <w:tcBorders>
              <w:bottom w:val="single" w:sz="4" w:space="0" w:color="000000"/>
            </w:tcBorders>
          </w:tcPr>
          <w:p>
            <w:pPr>
              <w:pStyle w:val="TableParagraph"/>
              <w:spacing w:before="18"/>
              <w:ind w:right="99"/>
              <w:jc w:val="right"/>
              <w:rPr>
                <w:sz w:val="18"/>
              </w:rPr>
            </w:pPr>
            <w:r>
              <w:rPr>
                <w:spacing w:val="-5"/>
                <w:sz w:val="18"/>
              </w:rPr>
              <w:t>218</w:t>
            </w:r>
          </w:p>
        </w:tc>
        <w:tc>
          <w:tcPr>
            <w:tcW w:w="1110" w:type="dxa"/>
            <w:tcBorders>
              <w:bottom w:val="single" w:sz="4" w:space="0" w:color="000000"/>
            </w:tcBorders>
          </w:tcPr>
          <w:p>
            <w:pPr>
              <w:pStyle w:val="TableParagraph"/>
              <w:spacing w:before="18"/>
              <w:ind w:right="99"/>
              <w:jc w:val="right"/>
              <w:rPr>
                <w:sz w:val="18"/>
              </w:rPr>
            </w:pPr>
            <w:r>
              <w:rPr>
                <w:spacing w:val="-5"/>
                <w:sz w:val="18"/>
              </w:rPr>
              <w:t>167</w:t>
            </w:r>
          </w:p>
        </w:tc>
        <w:tc>
          <w:tcPr>
            <w:tcW w:w="1110" w:type="dxa"/>
            <w:tcBorders>
              <w:bottom w:val="single" w:sz="4" w:space="0" w:color="000000"/>
            </w:tcBorders>
          </w:tcPr>
          <w:p>
            <w:pPr>
              <w:pStyle w:val="TableParagraph"/>
              <w:spacing w:before="18"/>
              <w:ind w:right="99"/>
              <w:jc w:val="right"/>
              <w:rPr>
                <w:sz w:val="18"/>
              </w:rPr>
            </w:pPr>
            <w:r>
              <w:rPr>
                <w:spacing w:val="-10"/>
                <w:sz w:val="18"/>
              </w:rPr>
              <w:t>—</w:t>
            </w:r>
          </w:p>
        </w:tc>
        <w:tc>
          <w:tcPr>
            <w:tcW w:w="1084" w:type="dxa"/>
            <w:tcBorders>
              <w:bottom w:val="single" w:sz="4" w:space="0" w:color="000000"/>
            </w:tcBorders>
          </w:tcPr>
          <w:p>
            <w:pPr>
              <w:pStyle w:val="TableParagraph"/>
              <w:spacing w:before="18"/>
              <w:ind w:right="73"/>
              <w:jc w:val="right"/>
              <w:rPr>
                <w:sz w:val="18"/>
              </w:rPr>
            </w:pPr>
            <w:r>
              <w:rPr>
                <w:spacing w:val="-5"/>
                <w:sz w:val="18"/>
              </w:rPr>
              <w:t>215</w:t>
            </w:r>
          </w:p>
        </w:tc>
      </w:tr>
      <w:tr>
        <w:trPr>
          <w:trHeight w:val="220" w:hRule="atLeast"/>
        </w:trPr>
        <w:tc>
          <w:tcPr>
            <w:tcW w:w="2683" w:type="dxa"/>
            <w:tcBorders>
              <w:top w:val="single" w:sz="4" w:space="0" w:color="000000"/>
              <w:bottom w:val="double" w:sz="8" w:space="0" w:color="000000"/>
            </w:tcBorders>
            <w:shd w:val="clear" w:color="auto" w:fill="CCEDFF"/>
          </w:tcPr>
          <w:p>
            <w:pPr>
              <w:pStyle w:val="TableParagraph"/>
              <w:spacing w:line="187" w:lineRule="exact" w:before="13"/>
              <w:ind w:left="277"/>
              <w:rPr>
                <w:sz w:val="18"/>
              </w:rPr>
            </w:pPr>
            <w:r>
              <w:rPr>
                <w:spacing w:val="-2"/>
                <w:sz w:val="18"/>
              </w:rPr>
              <w:t>Total</w:t>
            </w:r>
          </w:p>
        </w:tc>
        <w:tc>
          <w:tcPr>
            <w:tcW w:w="2054" w:type="dxa"/>
            <w:tcBorders>
              <w:top w:val="single" w:sz="4" w:space="0" w:color="000000"/>
              <w:bottom w:val="double" w:sz="8" w:space="0" w:color="000000"/>
            </w:tcBorders>
            <w:shd w:val="clear" w:color="auto" w:fill="CCEDFF"/>
          </w:tcPr>
          <w:p>
            <w:pPr>
              <w:pStyle w:val="TableParagraph"/>
              <w:tabs>
                <w:tab w:pos="532" w:val="left" w:leader="none"/>
              </w:tabs>
              <w:spacing w:line="187" w:lineRule="exact" w:before="13"/>
              <w:ind w:right="99"/>
              <w:jc w:val="right"/>
              <w:rPr>
                <w:sz w:val="18"/>
              </w:rPr>
            </w:pPr>
            <w:r>
              <w:rPr>
                <w:spacing w:val="-10"/>
                <w:sz w:val="18"/>
              </w:rPr>
              <w:t>$</w:t>
            </w:r>
            <w:r>
              <w:rPr>
                <w:sz w:val="18"/>
              </w:rPr>
              <w:tab/>
            </w:r>
            <w:r>
              <w:rPr>
                <w:spacing w:val="-2"/>
                <w:sz w:val="18"/>
              </w:rPr>
              <w:t>1,482</w:t>
            </w:r>
          </w:p>
        </w:tc>
        <w:tc>
          <w:tcPr>
            <w:tcW w:w="1110" w:type="dxa"/>
            <w:tcBorders>
              <w:top w:val="single" w:sz="4" w:space="0" w:color="000000"/>
              <w:bottom w:val="double" w:sz="8" w:space="0" w:color="000000"/>
            </w:tcBorders>
            <w:shd w:val="clear" w:color="auto" w:fill="CCEDFF"/>
          </w:tcPr>
          <w:p>
            <w:pPr>
              <w:pStyle w:val="TableParagraph"/>
              <w:tabs>
                <w:tab w:pos="637" w:val="left" w:leader="none"/>
              </w:tabs>
              <w:spacing w:line="187" w:lineRule="exact" w:before="13"/>
              <w:ind w:right="99"/>
              <w:jc w:val="right"/>
              <w:rPr>
                <w:sz w:val="18"/>
              </w:rPr>
            </w:pPr>
            <w:r>
              <w:rPr>
                <w:spacing w:val="-10"/>
                <w:sz w:val="18"/>
              </w:rPr>
              <w:t>$</w:t>
            </w:r>
            <w:r>
              <w:rPr>
                <w:sz w:val="18"/>
              </w:rPr>
              <w:tab/>
            </w:r>
            <w:r>
              <w:rPr>
                <w:spacing w:val="-5"/>
                <w:sz w:val="18"/>
              </w:rPr>
              <w:t>744</w:t>
            </w:r>
          </w:p>
        </w:tc>
        <w:tc>
          <w:tcPr>
            <w:tcW w:w="1110" w:type="dxa"/>
            <w:tcBorders>
              <w:top w:val="single" w:sz="4" w:space="0" w:color="000000"/>
              <w:bottom w:val="double" w:sz="8" w:space="0" w:color="000000"/>
            </w:tcBorders>
            <w:shd w:val="clear" w:color="auto" w:fill="CCEDFF"/>
          </w:tcPr>
          <w:p>
            <w:pPr>
              <w:pStyle w:val="TableParagraph"/>
              <w:tabs>
                <w:tab w:pos="502" w:val="left" w:leader="none"/>
              </w:tabs>
              <w:spacing w:line="187" w:lineRule="exact" w:before="13"/>
              <w:ind w:right="99"/>
              <w:jc w:val="right"/>
              <w:rPr>
                <w:sz w:val="18"/>
              </w:rPr>
            </w:pPr>
            <w:r>
              <w:rPr>
                <w:spacing w:val="-10"/>
                <w:sz w:val="18"/>
              </w:rPr>
              <w:t>$</w:t>
            </w:r>
            <w:r>
              <w:rPr>
                <w:sz w:val="18"/>
              </w:rPr>
              <w:tab/>
            </w:r>
            <w:r>
              <w:rPr>
                <w:spacing w:val="-2"/>
                <w:sz w:val="18"/>
              </w:rPr>
              <w:t>1,524</w:t>
            </w:r>
          </w:p>
        </w:tc>
        <w:tc>
          <w:tcPr>
            <w:tcW w:w="1110" w:type="dxa"/>
            <w:tcBorders>
              <w:top w:val="single" w:sz="4" w:space="0" w:color="000000"/>
              <w:bottom w:val="double" w:sz="8" w:space="0" w:color="000000"/>
            </w:tcBorders>
            <w:shd w:val="clear" w:color="auto" w:fill="CCEDFF"/>
          </w:tcPr>
          <w:p>
            <w:pPr>
              <w:pStyle w:val="TableParagraph"/>
              <w:tabs>
                <w:tab w:pos="502" w:val="left" w:leader="none"/>
              </w:tabs>
              <w:spacing w:line="187" w:lineRule="exact" w:before="13"/>
              <w:ind w:right="99"/>
              <w:jc w:val="right"/>
              <w:rPr>
                <w:sz w:val="18"/>
              </w:rPr>
            </w:pPr>
            <w:r>
              <w:rPr>
                <w:spacing w:val="-10"/>
                <w:sz w:val="18"/>
              </w:rPr>
              <w:t>$</w:t>
            </w:r>
            <w:r>
              <w:rPr>
                <w:sz w:val="18"/>
              </w:rPr>
              <w:tab/>
            </w:r>
            <w:r>
              <w:rPr>
                <w:spacing w:val="-2"/>
                <w:sz w:val="18"/>
              </w:rPr>
              <w:t>1,261</w:t>
            </w:r>
          </w:p>
        </w:tc>
        <w:tc>
          <w:tcPr>
            <w:tcW w:w="1110" w:type="dxa"/>
            <w:tcBorders>
              <w:top w:val="single" w:sz="4" w:space="0" w:color="000000"/>
              <w:bottom w:val="double" w:sz="8" w:space="0" w:color="000000"/>
            </w:tcBorders>
            <w:shd w:val="clear" w:color="auto" w:fill="CCEDFF"/>
          </w:tcPr>
          <w:p>
            <w:pPr>
              <w:pStyle w:val="TableParagraph"/>
              <w:tabs>
                <w:tab w:pos="637" w:val="left" w:leader="none"/>
              </w:tabs>
              <w:spacing w:line="187" w:lineRule="exact" w:before="13"/>
              <w:ind w:right="99"/>
              <w:jc w:val="right"/>
              <w:rPr>
                <w:sz w:val="18"/>
              </w:rPr>
            </w:pPr>
            <w:r>
              <w:rPr>
                <w:spacing w:val="-10"/>
                <w:sz w:val="18"/>
              </w:rPr>
              <w:t>$</w:t>
            </w:r>
            <w:r>
              <w:rPr>
                <w:sz w:val="18"/>
              </w:rPr>
              <w:tab/>
            </w:r>
            <w:r>
              <w:rPr>
                <w:spacing w:val="-5"/>
                <w:sz w:val="18"/>
              </w:rPr>
              <w:t>619</w:t>
            </w:r>
          </w:p>
        </w:tc>
        <w:tc>
          <w:tcPr>
            <w:tcW w:w="1084" w:type="dxa"/>
            <w:tcBorders>
              <w:top w:val="single" w:sz="4" w:space="0" w:color="000000"/>
              <w:bottom w:val="double" w:sz="8" w:space="0" w:color="000000"/>
            </w:tcBorders>
            <w:shd w:val="clear" w:color="auto" w:fill="CCEDFF"/>
          </w:tcPr>
          <w:p>
            <w:pPr>
              <w:pStyle w:val="TableParagraph"/>
              <w:tabs>
                <w:tab w:pos="502" w:val="left" w:leader="none"/>
              </w:tabs>
              <w:spacing w:line="187" w:lineRule="exact" w:before="13"/>
              <w:ind w:right="73"/>
              <w:jc w:val="right"/>
              <w:rPr>
                <w:sz w:val="18"/>
              </w:rPr>
            </w:pPr>
            <w:r>
              <w:rPr>
                <w:spacing w:val="-10"/>
                <w:sz w:val="18"/>
              </w:rPr>
              <w:t>$</w:t>
            </w:r>
            <w:r>
              <w:rPr>
                <w:sz w:val="18"/>
              </w:rPr>
              <w:tab/>
            </w:r>
            <w:r>
              <w:rPr>
                <w:spacing w:val="-2"/>
                <w:sz w:val="18"/>
              </w:rPr>
              <w:t>1,309</w:t>
            </w:r>
          </w:p>
        </w:tc>
      </w:tr>
    </w:tbl>
    <w:p>
      <w:pPr>
        <w:spacing w:line="249" w:lineRule="auto" w:before="26"/>
        <w:ind w:left="650" w:right="565" w:hanging="180"/>
        <w:jc w:val="both"/>
        <w:rPr>
          <w:sz w:val="16"/>
        </w:rPr>
      </w:pPr>
      <w:r>
        <w:rPr>
          <w:sz w:val="16"/>
          <w:vertAlign w:val="superscript"/>
        </w:rPr>
        <w:t>(1)</w:t>
      </w:r>
      <w:r>
        <w:rPr>
          <w:spacing w:val="-10"/>
          <w:sz w:val="16"/>
          <w:vertAlign w:val="baseline"/>
        </w:rPr>
        <w:t> </w:t>
      </w:r>
      <w:r>
        <w:rPr>
          <w:sz w:val="16"/>
          <w:vertAlign w:val="baseline"/>
        </w:rPr>
        <w:t>Aggregate</w:t>
      </w:r>
      <w:r>
        <w:rPr>
          <w:spacing w:val="-8"/>
          <w:sz w:val="16"/>
          <w:vertAlign w:val="baseline"/>
        </w:rPr>
        <w:t> </w:t>
      </w:r>
      <w:r>
        <w:rPr>
          <w:sz w:val="16"/>
          <w:vertAlign w:val="baseline"/>
        </w:rPr>
        <w:t>assets</w:t>
      </w:r>
      <w:r>
        <w:rPr>
          <w:spacing w:val="-3"/>
          <w:sz w:val="16"/>
          <w:vertAlign w:val="baseline"/>
        </w:rPr>
        <w:t> </w:t>
      </w:r>
      <w:r>
        <w:rPr>
          <w:sz w:val="16"/>
          <w:vertAlign w:val="baseline"/>
        </w:rPr>
        <w:t>and</w:t>
      </w:r>
      <w:r>
        <w:rPr>
          <w:spacing w:val="-2"/>
          <w:sz w:val="16"/>
          <w:vertAlign w:val="baseline"/>
        </w:rPr>
        <w:t> </w:t>
      </w:r>
      <w:r>
        <w:rPr>
          <w:sz w:val="16"/>
          <w:vertAlign w:val="baseline"/>
        </w:rPr>
        <w:t>aggregate</w:t>
      </w:r>
      <w:r>
        <w:rPr>
          <w:spacing w:val="-2"/>
          <w:sz w:val="16"/>
          <w:vertAlign w:val="baseline"/>
        </w:rPr>
        <w:t> </w:t>
      </w:r>
      <w:r>
        <w:rPr>
          <w:sz w:val="16"/>
          <w:vertAlign w:val="baseline"/>
        </w:rPr>
        <w:t>liabilities</w:t>
      </w:r>
      <w:r>
        <w:rPr>
          <w:spacing w:val="-3"/>
          <w:sz w:val="16"/>
          <w:vertAlign w:val="baseline"/>
        </w:rPr>
        <w:t> </w:t>
      </w:r>
      <w:r>
        <w:rPr>
          <w:sz w:val="16"/>
          <w:vertAlign w:val="baseline"/>
        </w:rPr>
        <w:t>are</w:t>
      </w:r>
      <w:r>
        <w:rPr>
          <w:spacing w:val="-2"/>
          <w:sz w:val="16"/>
          <w:vertAlign w:val="baseline"/>
        </w:rPr>
        <w:t> </w:t>
      </w:r>
      <w:r>
        <w:rPr>
          <w:sz w:val="16"/>
          <w:vertAlign w:val="baseline"/>
        </w:rPr>
        <w:t>included</w:t>
      </w:r>
      <w:r>
        <w:rPr>
          <w:spacing w:val="-2"/>
          <w:sz w:val="16"/>
          <w:vertAlign w:val="baseline"/>
        </w:rPr>
        <w:t> </w:t>
      </w:r>
      <w:r>
        <w:rPr>
          <w:sz w:val="16"/>
          <w:vertAlign w:val="baseline"/>
        </w:rPr>
        <w:t>in</w:t>
      </w:r>
      <w:r>
        <w:rPr>
          <w:spacing w:val="-2"/>
          <w:sz w:val="16"/>
          <w:vertAlign w:val="baseline"/>
        </w:rPr>
        <w:t> </w:t>
      </w:r>
      <w:r>
        <w:rPr>
          <w:sz w:val="16"/>
          <w:vertAlign w:val="baseline"/>
        </w:rPr>
        <w:t>other</w:t>
      </w:r>
      <w:r>
        <w:rPr>
          <w:spacing w:val="-2"/>
          <w:sz w:val="16"/>
          <w:vertAlign w:val="baseline"/>
        </w:rPr>
        <w:t> </w:t>
      </w:r>
      <w:r>
        <w:rPr>
          <w:sz w:val="16"/>
          <w:vertAlign w:val="baseline"/>
        </w:rPr>
        <w:t>assets</w:t>
      </w:r>
      <w:r>
        <w:rPr>
          <w:spacing w:val="-3"/>
          <w:sz w:val="16"/>
          <w:vertAlign w:val="baseline"/>
        </w:rPr>
        <w:t> </w:t>
      </w:r>
      <w:r>
        <w:rPr>
          <w:sz w:val="16"/>
          <w:vertAlign w:val="baseline"/>
        </w:rPr>
        <w:t>and</w:t>
      </w:r>
      <w:r>
        <w:rPr>
          <w:spacing w:val="-2"/>
          <w:sz w:val="16"/>
          <w:vertAlign w:val="baseline"/>
        </w:rPr>
        <w:t> </w:t>
      </w:r>
      <w:r>
        <w:rPr>
          <w:sz w:val="16"/>
          <w:vertAlign w:val="baseline"/>
        </w:rPr>
        <w:t>accrued</w:t>
      </w:r>
      <w:r>
        <w:rPr>
          <w:spacing w:val="-2"/>
          <w:sz w:val="16"/>
          <w:vertAlign w:val="baseline"/>
        </w:rPr>
        <w:t> </w:t>
      </w:r>
      <w:r>
        <w:rPr>
          <w:sz w:val="16"/>
          <w:vertAlign w:val="baseline"/>
        </w:rPr>
        <w:t>expenses</w:t>
      </w:r>
      <w:r>
        <w:rPr>
          <w:spacing w:val="-3"/>
          <w:sz w:val="16"/>
          <w:vertAlign w:val="baseline"/>
        </w:rPr>
        <w:t> </w:t>
      </w:r>
      <w:r>
        <w:rPr>
          <w:sz w:val="16"/>
          <w:vertAlign w:val="baseline"/>
        </w:rPr>
        <w:t>and</w:t>
      </w:r>
      <w:r>
        <w:rPr>
          <w:spacing w:val="-2"/>
          <w:sz w:val="16"/>
          <w:vertAlign w:val="baseline"/>
        </w:rPr>
        <w:t> </w:t>
      </w:r>
      <w:r>
        <w:rPr>
          <w:sz w:val="16"/>
          <w:vertAlign w:val="baseline"/>
        </w:rPr>
        <w:t>other</w:t>
      </w:r>
      <w:r>
        <w:rPr>
          <w:spacing w:val="-2"/>
          <w:sz w:val="16"/>
          <w:vertAlign w:val="baseline"/>
        </w:rPr>
        <w:t> </w:t>
      </w:r>
      <w:r>
        <w:rPr>
          <w:sz w:val="16"/>
          <w:vertAlign w:val="baseline"/>
        </w:rPr>
        <w:t>liabilities,</w:t>
      </w:r>
      <w:r>
        <w:rPr>
          <w:spacing w:val="-2"/>
          <w:sz w:val="16"/>
          <w:vertAlign w:val="baseline"/>
        </w:rPr>
        <w:t> </w:t>
      </w:r>
      <w:r>
        <w:rPr>
          <w:sz w:val="16"/>
          <w:vertAlign w:val="baseline"/>
        </w:rPr>
        <w:t>respectively,</w:t>
      </w:r>
      <w:r>
        <w:rPr>
          <w:spacing w:val="-2"/>
          <w:sz w:val="16"/>
          <w:vertAlign w:val="baseline"/>
        </w:rPr>
        <w:t> </w:t>
      </w:r>
      <w:r>
        <w:rPr>
          <w:sz w:val="16"/>
          <w:vertAlign w:val="baseline"/>
        </w:rPr>
        <w:t>on</w:t>
      </w:r>
      <w:r>
        <w:rPr>
          <w:spacing w:val="-2"/>
          <w:sz w:val="16"/>
          <w:vertAlign w:val="baseline"/>
        </w:rPr>
        <w:t> </w:t>
      </w:r>
      <w:r>
        <w:rPr>
          <w:sz w:val="16"/>
          <w:vertAlign w:val="baseline"/>
        </w:rPr>
        <w:t>the</w:t>
      </w:r>
      <w:r>
        <w:rPr>
          <w:spacing w:val="-2"/>
          <w:sz w:val="16"/>
          <w:vertAlign w:val="baseline"/>
        </w:rPr>
        <w:t> </w:t>
      </w:r>
      <w:r>
        <w:rPr>
          <w:sz w:val="16"/>
          <w:vertAlign w:val="baseline"/>
        </w:rPr>
        <w:t>condensed</w:t>
      </w:r>
      <w:r>
        <w:rPr>
          <w:spacing w:val="-2"/>
          <w:sz w:val="16"/>
          <w:vertAlign w:val="baseline"/>
        </w:rPr>
        <w:t> </w:t>
      </w:r>
      <w:r>
        <w:rPr>
          <w:sz w:val="16"/>
          <w:vertAlign w:val="baseline"/>
        </w:rPr>
        <w:t>consolidated</w:t>
      </w:r>
      <w:r>
        <w:rPr>
          <w:spacing w:val="40"/>
          <w:sz w:val="16"/>
          <w:vertAlign w:val="baseline"/>
        </w:rPr>
        <w:t> </w:t>
      </w:r>
      <w:r>
        <w:rPr>
          <w:sz w:val="16"/>
          <w:vertAlign w:val="baseline"/>
        </w:rPr>
        <w:t>balance</w:t>
      </w:r>
      <w:r>
        <w:rPr>
          <w:spacing w:val="-1"/>
          <w:sz w:val="16"/>
          <w:vertAlign w:val="baseline"/>
        </w:rPr>
        <w:t> </w:t>
      </w:r>
      <w:r>
        <w:rPr>
          <w:sz w:val="16"/>
          <w:vertAlign w:val="baseline"/>
        </w:rPr>
        <w:t>sheets.</w:t>
      </w:r>
    </w:p>
    <w:p>
      <w:pPr>
        <w:spacing w:line="249" w:lineRule="auto" w:before="2"/>
        <w:ind w:left="650" w:right="759" w:hanging="180"/>
        <w:jc w:val="both"/>
        <w:rPr>
          <w:sz w:val="16"/>
        </w:rPr>
      </w:pPr>
      <w:r>
        <w:rPr>
          <w:sz w:val="16"/>
          <w:vertAlign w:val="superscript"/>
        </w:rPr>
        <w:t>(2)</w:t>
      </w:r>
      <w:r>
        <w:rPr>
          <w:spacing w:val="-3"/>
          <w:sz w:val="16"/>
          <w:vertAlign w:val="baseline"/>
        </w:rPr>
        <w:t> </w:t>
      </w:r>
      <w:r>
        <w:rPr>
          <w:sz w:val="16"/>
          <w:vertAlign w:val="baseline"/>
        </w:rPr>
        <w:t>Other</w:t>
      </w:r>
      <w:r>
        <w:rPr>
          <w:spacing w:val="-2"/>
          <w:sz w:val="16"/>
          <w:vertAlign w:val="baseline"/>
        </w:rPr>
        <w:t> </w:t>
      </w:r>
      <w:r>
        <w:rPr>
          <w:sz w:val="16"/>
          <w:vertAlign w:val="baseline"/>
        </w:rPr>
        <w:t>investments</w:t>
      </w:r>
      <w:r>
        <w:rPr>
          <w:spacing w:val="-3"/>
          <w:sz w:val="16"/>
          <w:vertAlign w:val="baseline"/>
        </w:rPr>
        <w:t> </w:t>
      </w:r>
      <w:r>
        <w:rPr>
          <w:sz w:val="16"/>
          <w:vertAlign w:val="baseline"/>
        </w:rPr>
        <w:t>include</w:t>
      </w:r>
      <w:r>
        <w:rPr>
          <w:spacing w:val="-2"/>
          <w:sz w:val="16"/>
          <w:vertAlign w:val="baseline"/>
        </w:rPr>
        <w:t> </w:t>
      </w:r>
      <w:r>
        <w:rPr>
          <w:sz w:val="16"/>
          <w:vertAlign w:val="baseline"/>
        </w:rPr>
        <w:t>non-LIHTC</w:t>
      </w:r>
      <w:r>
        <w:rPr>
          <w:spacing w:val="-2"/>
          <w:sz w:val="16"/>
          <w:vertAlign w:val="baseline"/>
        </w:rPr>
        <w:t> </w:t>
      </w:r>
      <w:r>
        <w:rPr>
          <w:sz w:val="16"/>
          <w:vertAlign w:val="baseline"/>
        </w:rPr>
        <w:t>CRA</w:t>
      </w:r>
      <w:r>
        <w:rPr>
          <w:spacing w:val="-3"/>
          <w:sz w:val="16"/>
          <w:vertAlign w:val="baseline"/>
        </w:rPr>
        <w:t> </w:t>
      </w:r>
      <w:r>
        <w:rPr>
          <w:sz w:val="16"/>
          <w:vertAlign w:val="baseline"/>
        </w:rPr>
        <w:t>investments</w:t>
      </w:r>
      <w:r>
        <w:rPr>
          <w:spacing w:val="-3"/>
          <w:sz w:val="16"/>
          <w:vertAlign w:val="baseline"/>
        </w:rPr>
        <w:t> </w:t>
      </w:r>
      <w:r>
        <w:rPr>
          <w:sz w:val="16"/>
          <w:vertAlign w:val="baseline"/>
        </w:rPr>
        <w:t>that</w:t>
      </w:r>
      <w:r>
        <w:rPr>
          <w:spacing w:val="-2"/>
          <w:sz w:val="16"/>
          <w:vertAlign w:val="baseline"/>
        </w:rPr>
        <w:t> </w:t>
      </w:r>
      <w:r>
        <w:rPr>
          <w:sz w:val="16"/>
          <w:vertAlign w:val="baseline"/>
        </w:rPr>
        <w:t>are</w:t>
      </w:r>
      <w:r>
        <w:rPr>
          <w:spacing w:val="-2"/>
          <w:sz w:val="16"/>
          <w:vertAlign w:val="baseline"/>
        </w:rPr>
        <w:t> </w:t>
      </w:r>
      <w:r>
        <w:rPr>
          <w:sz w:val="16"/>
          <w:vertAlign w:val="baseline"/>
        </w:rPr>
        <w:t>accounted</w:t>
      </w:r>
      <w:r>
        <w:rPr>
          <w:spacing w:val="-2"/>
          <w:sz w:val="16"/>
          <w:vertAlign w:val="baseline"/>
        </w:rPr>
        <w:t> </w:t>
      </w:r>
      <w:r>
        <w:rPr>
          <w:sz w:val="16"/>
          <w:vertAlign w:val="baseline"/>
        </w:rPr>
        <w:t>for</w:t>
      </w:r>
      <w:r>
        <w:rPr>
          <w:spacing w:val="-2"/>
          <w:sz w:val="16"/>
          <w:vertAlign w:val="baseline"/>
        </w:rPr>
        <w:t> </w:t>
      </w:r>
      <w:r>
        <w:rPr>
          <w:sz w:val="16"/>
          <w:vertAlign w:val="baseline"/>
        </w:rPr>
        <w:t>as</w:t>
      </w:r>
      <w:r>
        <w:rPr>
          <w:spacing w:val="-3"/>
          <w:sz w:val="16"/>
          <w:vertAlign w:val="baseline"/>
        </w:rPr>
        <w:t> </w:t>
      </w:r>
      <w:r>
        <w:rPr>
          <w:sz w:val="16"/>
          <w:vertAlign w:val="baseline"/>
        </w:rPr>
        <w:t>loans</w:t>
      </w:r>
      <w:r>
        <w:rPr>
          <w:spacing w:val="-3"/>
          <w:sz w:val="16"/>
          <w:vertAlign w:val="baseline"/>
        </w:rPr>
        <w:t> </w:t>
      </w:r>
      <w:r>
        <w:rPr>
          <w:sz w:val="16"/>
          <w:vertAlign w:val="baseline"/>
        </w:rPr>
        <w:t>at</w:t>
      </w:r>
      <w:r>
        <w:rPr>
          <w:spacing w:val="-2"/>
          <w:sz w:val="16"/>
          <w:vertAlign w:val="baseline"/>
        </w:rPr>
        <w:t> </w:t>
      </w:r>
      <w:r>
        <w:rPr>
          <w:sz w:val="16"/>
          <w:vertAlign w:val="baseline"/>
        </w:rPr>
        <w:t>amortized</w:t>
      </w:r>
      <w:r>
        <w:rPr>
          <w:spacing w:val="-2"/>
          <w:sz w:val="16"/>
          <w:vertAlign w:val="baseline"/>
        </w:rPr>
        <w:t> </w:t>
      </w:r>
      <w:r>
        <w:rPr>
          <w:sz w:val="16"/>
          <w:vertAlign w:val="baseline"/>
        </w:rPr>
        <w:t>cost,</w:t>
      </w:r>
      <w:r>
        <w:rPr>
          <w:spacing w:val="-2"/>
          <w:sz w:val="16"/>
          <w:vertAlign w:val="baseline"/>
        </w:rPr>
        <w:t> </w:t>
      </w:r>
      <w:r>
        <w:rPr>
          <w:sz w:val="16"/>
          <w:vertAlign w:val="baseline"/>
        </w:rPr>
        <w:t>equity</w:t>
      </w:r>
      <w:r>
        <w:rPr>
          <w:spacing w:val="-2"/>
          <w:sz w:val="16"/>
          <w:vertAlign w:val="baseline"/>
        </w:rPr>
        <w:t> </w:t>
      </w:r>
      <w:r>
        <w:rPr>
          <w:sz w:val="16"/>
          <w:vertAlign w:val="baseline"/>
        </w:rPr>
        <w:t>method</w:t>
      </w:r>
      <w:r>
        <w:rPr>
          <w:spacing w:val="-2"/>
          <w:sz w:val="16"/>
          <w:vertAlign w:val="baseline"/>
        </w:rPr>
        <w:t> </w:t>
      </w:r>
      <w:r>
        <w:rPr>
          <w:sz w:val="16"/>
          <w:vertAlign w:val="baseline"/>
        </w:rPr>
        <w:t>investments,</w:t>
      </w:r>
      <w:r>
        <w:rPr>
          <w:spacing w:val="-2"/>
          <w:sz w:val="16"/>
          <w:vertAlign w:val="baseline"/>
        </w:rPr>
        <w:t> </w:t>
      </w:r>
      <w:r>
        <w:rPr>
          <w:sz w:val="16"/>
          <w:vertAlign w:val="baseline"/>
        </w:rPr>
        <w:t>AFS</w:t>
      </w:r>
      <w:r>
        <w:rPr>
          <w:spacing w:val="-3"/>
          <w:sz w:val="16"/>
          <w:vertAlign w:val="baseline"/>
        </w:rPr>
        <w:t> </w:t>
      </w:r>
      <w:r>
        <w:rPr>
          <w:sz w:val="16"/>
          <w:vertAlign w:val="baseline"/>
        </w:rPr>
        <w:t>securities,</w:t>
      </w:r>
      <w:r>
        <w:rPr>
          <w:spacing w:val="-2"/>
          <w:sz w:val="16"/>
          <w:vertAlign w:val="baseline"/>
        </w:rPr>
        <w:t> </w:t>
      </w:r>
      <w:r>
        <w:rPr>
          <w:sz w:val="16"/>
          <w:vertAlign w:val="baseline"/>
        </w:rPr>
        <w:t>or</w:t>
      </w:r>
      <w:r>
        <w:rPr>
          <w:spacing w:val="40"/>
          <w:sz w:val="16"/>
          <w:vertAlign w:val="baseline"/>
        </w:rPr>
        <w:t> </w:t>
      </w:r>
      <w:r>
        <w:rPr>
          <w:sz w:val="16"/>
          <w:vertAlign w:val="baseline"/>
        </w:rPr>
        <w:t>using the adjusted cost method. Aggregate assets</w:t>
      </w:r>
      <w:r>
        <w:rPr>
          <w:spacing w:val="-1"/>
          <w:sz w:val="16"/>
          <w:vertAlign w:val="baseline"/>
        </w:rPr>
        <w:t> </w:t>
      </w:r>
      <w:r>
        <w:rPr>
          <w:sz w:val="16"/>
          <w:vertAlign w:val="baseline"/>
        </w:rPr>
        <w:t>are included in AFS</w:t>
      </w:r>
      <w:r>
        <w:rPr>
          <w:spacing w:val="-1"/>
          <w:sz w:val="16"/>
          <w:vertAlign w:val="baseline"/>
        </w:rPr>
        <w:t> </w:t>
      </w:r>
      <w:r>
        <w:rPr>
          <w:sz w:val="16"/>
          <w:vertAlign w:val="baseline"/>
        </w:rPr>
        <w:t>securities, bank loans</w:t>
      </w:r>
      <w:r>
        <w:rPr>
          <w:spacing w:val="-1"/>
          <w:sz w:val="16"/>
          <w:vertAlign w:val="baseline"/>
        </w:rPr>
        <w:t> </w:t>
      </w:r>
      <w:r>
        <w:rPr>
          <w:sz w:val="16"/>
          <w:vertAlign w:val="baseline"/>
        </w:rPr>
        <w:t>– net, or other assets</w:t>
      </w:r>
      <w:r>
        <w:rPr>
          <w:spacing w:val="-1"/>
          <w:sz w:val="16"/>
          <w:vertAlign w:val="baseline"/>
        </w:rPr>
        <w:t> </w:t>
      </w:r>
      <w:r>
        <w:rPr>
          <w:sz w:val="16"/>
          <w:vertAlign w:val="baseline"/>
        </w:rPr>
        <w:t>on the condensed consolidated balance</w:t>
      </w:r>
      <w:r>
        <w:rPr>
          <w:spacing w:val="40"/>
          <w:sz w:val="16"/>
          <w:vertAlign w:val="baseline"/>
        </w:rPr>
        <w:t> </w:t>
      </w:r>
      <w:r>
        <w:rPr>
          <w:spacing w:val="-2"/>
          <w:sz w:val="16"/>
          <w:vertAlign w:val="baseline"/>
        </w:rPr>
        <w:t>sheets.</w:t>
      </w:r>
    </w:p>
    <w:p>
      <w:pPr>
        <w:pStyle w:val="BodyText"/>
        <w:spacing w:before="60"/>
        <w:rPr>
          <w:sz w:val="16"/>
        </w:rPr>
      </w:pPr>
    </w:p>
    <w:p>
      <w:pPr>
        <w:pStyle w:val="BodyText"/>
        <w:spacing w:line="249" w:lineRule="auto"/>
        <w:ind w:left="470" w:right="761"/>
      </w:pPr>
      <w:r>
        <w:rPr/>
        <w:t>Schwab’s maximum exposure to loss would result from the loss of the investments, including any committed amounts. Schwab’s funding of these remaining commitments is dependent upon the occurrence of certain conditions, and Schwab expects</w:t>
      </w:r>
      <w:r>
        <w:rPr>
          <w:spacing w:val="-3"/>
        </w:rPr>
        <w:t> </w:t>
      </w:r>
      <w:r>
        <w:rPr/>
        <w:t>to</w:t>
      </w:r>
      <w:r>
        <w:rPr>
          <w:spacing w:val="-2"/>
        </w:rPr>
        <w:t> </w:t>
      </w:r>
      <w:r>
        <w:rPr/>
        <w:t>pay</w:t>
      </w:r>
      <w:r>
        <w:rPr>
          <w:spacing w:val="-2"/>
        </w:rPr>
        <w:t> </w:t>
      </w:r>
      <w:r>
        <w:rPr/>
        <w:t>substantially</w:t>
      </w:r>
      <w:r>
        <w:rPr>
          <w:spacing w:val="-2"/>
        </w:rPr>
        <w:t> </w:t>
      </w:r>
      <w:r>
        <w:rPr/>
        <w:t>all</w:t>
      </w:r>
      <w:r>
        <w:rPr>
          <w:spacing w:val="-3"/>
        </w:rPr>
        <w:t> </w:t>
      </w:r>
      <w:r>
        <w:rPr/>
        <w:t>of</w:t>
      </w:r>
      <w:r>
        <w:rPr>
          <w:spacing w:val="-2"/>
        </w:rPr>
        <w:t> </w:t>
      </w:r>
      <w:r>
        <w:rPr/>
        <w:t>these</w:t>
      </w:r>
      <w:r>
        <w:rPr>
          <w:spacing w:val="-3"/>
        </w:rPr>
        <w:t> </w:t>
      </w:r>
      <w:r>
        <w:rPr/>
        <w:t>commitments</w:t>
      </w:r>
      <w:r>
        <w:rPr>
          <w:spacing w:val="-3"/>
        </w:rPr>
        <w:t> </w:t>
      </w:r>
      <w:r>
        <w:rPr/>
        <w:t>between</w:t>
      </w:r>
      <w:r>
        <w:rPr>
          <w:spacing w:val="-2"/>
        </w:rPr>
        <w:t> </w:t>
      </w:r>
      <w:r>
        <w:rPr/>
        <w:t>2023</w:t>
      </w:r>
      <w:r>
        <w:rPr>
          <w:spacing w:val="-2"/>
        </w:rPr>
        <w:t> </w:t>
      </w:r>
      <w:r>
        <w:rPr/>
        <w:t>and</w:t>
      </w:r>
      <w:r>
        <w:rPr>
          <w:spacing w:val="-2"/>
        </w:rPr>
        <w:t> </w:t>
      </w:r>
      <w:r>
        <w:rPr/>
        <w:t>2026.</w:t>
      </w:r>
      <w:r>
        <w:rPr>
          <w:spacing w:val="-2"/>
        </w:rPr>
        <w:t> </w:t>
      </w:r>
      <w:r>
        <w:rPr/>
        <w:t>During</w:t>
      </w:r>
      <w:r>
        <w:rPr>
          <w:spacing w:val="-2"/>
        </w:rPr>
        <w:t> </w:t>
      </w:r>
      <w:r>
        <w:rPr/>
        <w:t>the</w:t>
      </w:r>
      <w:r>
        <w:rPr>
          <w:spacing w:val="-3"/>
        </w:rPr>
        <w:t> </w:t>
      </w:r>
      <w:r>
        <w:rPr/>
        <w:t>nine</w:t>
      </w:r>
      <w:r>
        <w:rPr>
          <w:spacing w:val="-3"/>
        </w:rPr>
        <w:t> </w:t>
      </w:r>
      <w:r>
        <w:rPr/>
        <w:t>months</w:t>
      </w:r>
      <w:r>
        <w:rPr>
          <w:spacing w:val="-3"/>
        </w:rPr>
        <w:t> </w:t>
      </w:r>
      <w:r>
        <w:rPr/>
        <w:t>ended</w:t>
      </w:r>
      <w:r>
        <w:rPr>
          <w:spacing w:val="-2"/>
        </w:rPr>
        <w:t> </w:t>
      </w:r>
      <w:r>
        <w:rPr/>
        <w:t>September</w:t>
      </w:r>
      <w:r>
        <w:rPr>
          <w:spacing w:val="-2"/>
        </w:rPr>
        <w:t> </w:t>
      </w:r>
      <w:r>
        <w:rPr/>
        <w:t>30, 2023</w:t>
      </w:r>
      <w:r>
        <w:rPr>
          <w:spacing w:val="-2"/>
        </w:rPr>
        <w:t> </w:t>
      </w:r>
      <w:r>
        <w:rPr/>
        <w:t>and</w:t>
      </w:r>
      <w:r>
        <w:rPr>
          <w:spacing w:val="-2"/>
        </w:rPr>
        <w:t> </w:t>
      </w:r>
      <w:r>
        <w:rPr/>
        <w:t>year</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Schwab</w:t>
      </w:r>
      <w:r>
        <w:rPr>
          <w:spacing w:val="-2"/>
        </w:rPr>
        <w:t> </w:t>
      </w:r>
      <w:r>
        <w:rPr/>
        <w:t>did</w:t>
      </w:r>
      <w:r>
        <w:rPr>
          <w:spacing w:val="-2"/>
        </w:rPr>
        <w:t> </w:t>
      </w:r>
      <w:r>
        <w:rPr/>
        <w:t>not</w:t>
      </w:r>
      <w:r>
        <w:rPr>
          <w:spacing w:val="-3"/>
        </w:rPr>
        <w:t> </w:t>
      </w:r>
      <w:r>
        <w:rPr/>
        <w:t>provide</w:t>
      </w:r>
      <w:r>
        <w:rPr>
          <w:spacing w:val="-3"/>
        </w:rPr>
        <w:t> </w:t>
      </w:r>
      <w:r>
        <w:rPr/>
        <w:t>or</w:t>
      </w:r>
      <w:r>
        <w:rPr>
          <w:spacing w:val="-2"/>
        </w:rPr>
        <w:t> </w:t>
      </w:r>
      <w:r>
        <w:rPr/>
        <w:t>intend</w:t>
      </w:r>
      <w:r>
        <w:rPr>
          <w:spacing w:val="-2"/>
        </w:rPr>
        <w:t> </w:t>
      </w:r>
      <w:r>
        <w:rPr/>
        <w:t>to</w:t>
      </w:r>
      <w:r>
        <w:rPr>
          <w:spacing w:val="-2"/>
        </w:rPr>
        <w:t> </w:t>
      </w:r>
      <w:r>
        <w:rPr/>
        <w:t>provide</w:t>
      </w:r>
      <w:r>
        <w:rPr>
          <w:spacing w:val="-3"/>
        </w:rPr>
        <w:t> </w:t>
      </w:r>
      <w:r>
        <w:rPr/>
        <w:t>financial</w:t>
      </w:r>
      <w:r>
        <w:rPr>
          <w:spacing w:val="-3"/>
        </w:rPr>
        <w:t> </w:t>
      </w:r>
      <w:r>
        <w:rPr/>
        <w:t>or</w:t>
      </w:r>
      <w:r>
        <w:rPr>
          <w:spacing w:val="-2"/>
        </w:rPr>
        <w:t> </w:t>
      </w:r>
      <w:r>
        <w:rPr/>
        <w:t>other</w:t>
      </w:r>
      <w:r>
        <w:rPr>
          <w:spacing w:val="-2"/>
        </w:rPr>
        <w:t> </w:t>
      </w:r>
      <w:r>
        <w:rPr/>
        <w:t>support</w:t>
      </w:r>
      <w:r>
        <w:rPr>
          <w:spacing w:val="-3"/>
        </w:rPr>
        <w:t> </w:t>
      </w:r>
      <w:r>
        <w:rPr/>
        <w:t>to</w:t>
      </w:r>
      <w:r>
        <w:rPr>
          <w:spacing w:val="-2"/>
        </w:rPr>
        <w:t> </w:t>
      </w:r>
      <w:r>
        <w:rPr/>
        <w:t>the</w:t>
      </w:r>
      <w:r>
        <w:rPr>
          <w:spacing w:val="-3"/>
        </w:rPr>
        <w:t> </w:t>
      </w:r>
      <w:r>
        <w:rPr/>
        <w:t>VIEs that it was not contractually required to provide.</w:t>
      </w:r>
    </w:p>
    <w:p>
      <w:pPr>
        <w:spacing w:after="0" w:line="249" w:lineRule="auto"/>
        <w:sectPr>
          <w:type w:val="continuous"/>
          <w:pgSz w:w="12240" w:h="15840"/>
          <w:pgMar w:header="227" w:footer="201" w:top="320" w:bottom="280" w:left="520" w:right="520"/>
        </w:sectPr>
      </w:pPr>
    </w:p>
    <w:p>
      <w:pPr>
        <w:pStyle w:val="Heading2"/>
        <w:numPr>
          <w:ilvl w:val="0"/>
          <w:numId w:val="4"/>
        </w:numPr>
        <w:tabs>
          <w:tab w:pos="1189" w:val="left" w:leader="none"/>
        </w:tabs>
        <w:spacing w:line="240" w:lineRule="auto" w:before="211" w:after="0"/>
        <w:ind w:left="1189" w:right="0" w:hanging="719"/>
        <w:jc w:val="left"/>
      </w:pPr>
      <w:bookmarkStart w:name="Note 7 Bank Deposits" w:id="46"/>
      <w:bookmarkEnd w:id="46"/>
      <w:r>
        <w:rPr>
          <w:b w:val="0"/>
        </w:rPr>
      </w:r>
      <w:r>
        <w:rPr/>
        <w:t>Bank</w:t>
      </w:r>
      <w:r>
        <w:rPr>
          <w:spacing w:val="-5"/>
        </w:rPr>
        <w:t> </w:t>
      </w:r>
      <w:r>
        <w:rPr>
          <w:spacing w:val="-2"/>
        </w:rPr>
        <w:t>Deposits</w:t>
      </w:r>
    </w:p>
    <w:p>
      <w:pPr>
        <w:pStyle w:val="BodyText"/>
        <w:spacing w:before="32"/>
        <w:rPr>
          <w:b/>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7"/>
        <w:gridCol w:w="1648"/>
        <w:gridCol w:w="1683"/>
      </w:tblGrid>
      <w:tr>
        <w:trPr>
          <w:trHeight w:val="374" w:hRule="atLeast"/>
        </w:trPr>
        <w:tc>
          <w:tcPr>
            <w:tcW w:w="6927" w:type="dxa"/>
            <w:tcBorders>
              <w:bottom w:val="single" w:sz="4" w:space="0" w:color="000000"/>
            </w:tcBorders>
          </w:tcPr>
          <w:p>
            <w:pPr>
              <w:pStyle w:val="TableParagraph"/>
              <w:spacing w:line="221" w:lineRule="exact"/>
              <w:rPr>
                <w:sz w:val="20"/>
              </w:rPr>
            </w:pPr>
            <w:r>
              <w:rPr>
                <w:sz w:val="20"/>
              </w:rPr>
              <w:t>Bank</w:t>
            </w:r>
            <w:r>
              <w:rPr>
                <w:spacing w:val="-6"/>
                <w:sz w:val="20"/>
              </w:rPr>
              <w:t> </w:t>
            </w:r>
            <w:r>
              <w:rPr>
                <w:sz w:val="20"/>
              </w:rPr>
              <w:t>deposits</w:t>
            </w:r>
            <w:r>
              <w:rPr>
                <w:spacing w:val="-5"/>
                <w:sz w:val="20"/>
              </w:rPr>
              <w:t> </w:t>
            </w:r>
            <w:r>
              <w:rPr>
                <w:sz w:val="20"/>
              </w:rPr>
              <w:t>consist</w:t>
            </w:r>
            <w:r>
              <w:rPr>
                <w:spacing w:val="-5"/>
                <w:sz w:val="20"/>
              </w:rPr>
              <w:t> </w:t>
            </w:r>
            <w:r>
              <w:rPr>
                <w:sz w:val="20"/>
              </w:rPr>
              <w:t>of</w:t>
            </w:r>
            <w:r>
              <w:rPr>
                <w:spacing w:val="-4"/>
                <w:sz w:val="20"/>
              </w:rPr>
              <w:t> </w:t>
            </w:r>
            <w:r>
              <w:rPr>
                <w:sz w:val="20"/>
              </w:rPr>
              <w:t>interest-bearing</w:t>
            </w:r>
            <w:r>
              <w:rPr>
                <w:spacing w:val="-3"/>
                <w:sz w:val="20"/>
              </w:rPr>
              <w:t> </w:t>
            </w:r>
            <w:r>
              <w:rPr>
                <w:sz w:val="20"/>
              </w:rPr>
              <w:t>and</w:t>
            </w:r>
            <w:r>
              <w:rPr>
                <w:spacing w:val="-4"/>
                <w:sz w:val="20"/>
              </w:rPr>
              <w:t> </w:t>
            </w:r>
            <w:r>
              <w:rPr>
                <w:sz w:val="20"/>
              </w:rPr>
              <w:t>non-interest-bearing</w:t>
            </w:r>
            <w:r>
              <w:rPr>
                <w:spacing w:val="-4"/>
                <w:sz w:val="20"/>
              </w:rPr>
              <w:t> </w:t>
            </w:r>
            <w:r>
              <w:rPr>
                <w:sz w:val="20"/>
              </w:rPr>
              <w:t>deposits</w:t>
            </w:r>
            <w:r>
              <w:rPr>
                <w:spacing w:val="-5"/>
                <w:sz w:val="20"/>
              </w:rPr>
              <w:t> </w:t>
            </w:r>
            <w:r>
              <w:rPr>
                <w:sz w:val="20"/>
              </w:rPr>
              <w:t>as</w:t>
            </w:r>
            <w:r>
              <w:rPr>
                <w:spacing w:val="-4"/>
                <w:sz w:val="20"/>
              </w:rPr>
              <w:t> </w:t>
            </w:r>
            <w:r>
              <w:rPr>
                <w:spacing w:val="-2"/>
                <w:sz w:val="20"/>
              </w:rPr>
              <w:t>follows:</w:t>
            </w:r>
          </w:p>
        </w:tc>
        <w:tc>
          <w:tcPr>
            <w:tcW w:w="3331" w:type="dxa"/>
            <w:gridSpan w:val="2"/>
            <w:tcBorders>
              <w:bottom w:val="single" w:sz="4" w:space="0" w:color="000000"/>
            </w:tcBorders>
          </w:tcPr>
          <w:p>
            <w:pPr>
              <w:pStyle w:val="TableParagraph"/>
              <w:rPr>
                <w:sz w:val="18"/>
              </w:rPr>
            </w:pPr>
          </w:p>
        </w:tc>
      </w:tr>
      <w:tr>
        <w:trPr>
          <w:trHeight w:val="245" w:hRule="atLeast"/>
        </w:trPr>
        <w:tc>
          <w:tcPr>
            <w:tcW w:w="6927" w:type="dxa"/>
            <w:tcBorders>
              <w:top w:val="single" w:sz="4" w:space="0" w:color="000000"/>
              <w:bottom w:val="single" w:sz="4" w:space="0" w:color="000000"/>
            </w:tcBorders>
          </w:tcPr>
          <w:p>
            <w:pPr>
              <w:pStyle w:val="TableParagraph"/>
              <w:rPr>
                <w:sz w:val="16"/>
              </w:rPr>
            </w:pPr>
          </w:p>
        </w:tc>
        <w:tc>
          <w:tcPr>
            <w:tcW w:w="1648" w:type="dxa"/>
            <w:tcBorders>
              <w:top w:val="single" w:sz="4" w:space="0" w:color="000000"/>
              <w:bottom w:val="single" w:sz="4" w:space="0" w:color="000000"/>
            </w:tcBorders>
          </w:tcPr>
          <w:p>
            <w:pPr>
              <w:pStyle w:val="TableParagraph"/>
              <w:spacing w:before="13"/>
              <w:ind w:right="117"/>
              <w:jc w:val="right"/>
              <w:rPr>
                <w:sz w:val="18"/>
              </w:rPr>
            </w:pPr>
            <w:r>
              <w:rPr>
                <w:sz w:val="18"/>
              </w:rPr>
              <w:t>September</w:t>
            </w:r>
            <w:r>
              <w:rPr>
                <w:spacing w:val="-1"/>
                <w:sz w:val="18"/>
              </w:rPr>
              <w:t> </w:t>
            </w:r>
            <w:r>
              <w:rPr>
                <w:sz w:val="18"/>
              </w:rPr>
              <w:t>30, </w:t>
            </w:r>
            <w:r>
              <w:rPr>
                <w:spacing w:val="-4"/>
                <w:sz w:val="18"/>
              </w:rPr>
              <w:t>2023</w:t>
            </w:r>
          </w:p>
        </w:tc>
        <w:tc>
          <w:tcPr>
            <w:tcW w:w="1683" w:type="dxa"/>
            <w:tcBorders>
              <w:top w:val="single" w:sz="4" w:space="0" w:color="000000"/>
              <w:bottom w:val="single" w:sz="4" w:space="0" w:color="000000"/>
            </w:tcBorders>
          </w:tcPr>
          <w:p>
            <w:pPr>
              <w:pStyle w:val="TableParagraph"/>
              <w:spacing w:before="13"/>
              <w:ind w:right="120"/>
              <w:jc w:val="right"/>
              <w:rPr>
                <w:sz w:val="18"/>
              </w:rPr>
            </w:pPr>
            <w:r>
              <w:rPr>
                <w:sz w:val="18"/>
              </w:rPr>
              <w:t>December</w:t>
            </w:r>
            <w:r>
              <w:rPr>
                <w:spacing w:val="-1"/>
                <w:sz w:val="18"/>
              </w:rPr>
              <w:t> </w:t>
            </w:r>
            <w:r>
              <w:rPr>
                <w:sz w:val="18"/>
              </w:rPr>
              <w:t>31, </w:t>
            </w:r>
            <w:r>
              <w:rPr>
                <w:spacing w:val="-4"/>
                <w:sz w:val="18"/>
              </w:rPr>
              <w:t>2022</w:t>
            </w:r>
          </w:p>
        </w:tc>
      </w:tr>
      <w:tr>
        <w:trPr>
          <w:trHeight w:val="250" w:hRule="atLeast"/>
        </w:trPr>
        <w:tc>
          <w:tcPr>
            <w:tcW w:w="6927" w:type="dxa"/>
            <w:tcBorders>
              <w:top w:val="single" w:sz="4" w:space="0" w:color="000000"/>
            </w:tcBorders>
          </w:tcPr>
          <w:p>
            <w:pPr>
              <w:pStyle w:val="TableParagraph"/>
              <w:spacing w:before="13"/>
              <w:ind w:left="82"/>
              <w:rPr>
                <w:sz w:val="18"/>
              </w:rPr>
            </w:pPr>
            <w:r>
              <w:rPr>
                <w:sz w:val="18"/>
              </w:rPr>
              <w:t>Interest-bearing</w:t>
            </w:r>
            <w:r>
              <w:rPr>
                <w:spacing w:val="-1"/>
                <w:sz w:val="18"/>
              </w:rPr>
              <w:t> </w:t>
            </w:r>
            <w:r>
              <w:rPr>
                <w:spacing w:val="-2"/>
                <w:sz w:val="18"/>
              </w:rPr>
              <w:t>deposits:</w:t>
            </w:r>
          </w:p>
        </w:tc>
        <w:tc>
          <w:tcPr>
            <w:tcW w:w="1648" w:type="dxa"/>
            <w:tcBorders>
              <w:top w:val="single" w:sz="4" w:space="0" w:color="000000"/>
            </w:tcBorders>
          </w:tcPr>
          <w:p>
            <w:pPr>
              <w:pStyle w:val="TableParagraph"/>
              <w:rPr>
                <w:sz w:val="18"/>
              </w:rPr>
            </w:pPr>
          </w:p>
        </w:tc>
        <w:tc>
          <w:tcPr>
            <w:tcW w:w="1683" w:type="dxa"/>
            <w:tcBorders>
              <w:top w:val="single" w:sz="4" w:space="0" w:color="000000"/>
            </w:tcBorders>
          </w:tcPr>
          <w:p>
            <w:pPr>
              <w:pStyle w:val="TableParagraph"/>
              <w:rPr>
                <w:sz w:val="18"/>
              </w:rPr>
            </w:pPr>
          </w:p>
        </w:tc>
      </w:tr>
      <w:tr>
        <w:trPr>
          <w:trHeight w:val="255" w:hRule="atLeast"/>
        </w:trPr>
        <w:tc>
          <w:tcPr>
            <w:tcW w:w="6927" w:type="dxa"/>
            <w:shd w:val="clear" w:color="auto" w:fill="CCEDFF"/>
          </w:tcPr>
          <w:p>
            <w:pPr>
              <w:pStyle w:val="TableParagraph"/>
              <w:spacing w:before="18"/>
              <w:ind w:left="82"/>
              <w:rPr>
                <w:sz w:val="18"/>
              </w:rPr>
            </w:pPr>
            <w:r>
              <w:rPr>
                <w:sz w:val="18"/>
              </w:rPr>
              <w:t>Deposits</w:t>
            </w:r>
            <w:r>
              <w:rPr>
                <w:spacing w:val="-2"/>
                <w:sz w:val="18"/>
              </w:rPr>
              <w:t> </w:t>
            </w:r>
            <w:r>
              <w:rPr>
                <w:sz w:val="18"/>
              </w:rPr>
              <w:t>swept</w:t>
            </w:r>
            <w:r>
              <w:rPr>
                <w:spacing w:val="-1"/>
                <w:sz w:val="18"/>
              </w:rPr>
              <w:t> </w:t>
            </w:r>
            <w:r>
              <w:rPr>
                <w:sz w:val="18"/>
              </w:rPr>
              <w:t>from</w:t>
            </w:r>
            <w:r>
              <w:rPr>
                <w:spacing w:val="-1"/>
                <w:sz w:val="18"/>
              </w:rPr>
              <w:t> </w:t>
            </w:r>
            <w:r>
              <w:rPr>
                <w:sz w:val="18"/>
              </w:rPr>
              <w:t>brokerage</w:t>
            </w:r>
            <w:r>
              <w:rPr>
                <w:spacing w:val="-1"/>
                <w:sz w:val="18"/>
              </w:rPr>
              <w:t> </w:t>
            </w:r>
            <w:r>
              <w:rPr>
                <w:spacing w:val="-2"/>
                <w:sz w:val="18"/>
              </w:rPr>
              <w:t>accounts</w:t>
            </w:r>
          </w:p>
        </w:tc>
        <w:tc>
          <w:tcPr>
            <w:tcW w:w="1648" w:type="dxa"/>
            <w:shd w:val="clear" w:color="auto" w:fill="CCEDFF"/>
          </w:tcPr>
          <w:p>
            <w:pPr>
              <w:pStyle w:val="TableParagraph"/>
              <w:tabs>
                <w:tab w:pos="922" w:val="left" w:leader="none"/>
              </w:tabs>
              <w:spacing w:before="18"/>
              <w:ind w:right="97"/>
              <w:jc w:val="right"/>
              <w:rPr>
                <w:sz w:val="18"/>
              </w:rPr>
            </w:pPr>
            <w:r>
              <w:rPr>
                <w:spacing w:val="-10"/>
                <w:sz w:val="18"/>
              </w:rPr>
              <w:t>$</w:t>
            </w:r>
            <w:r>
              <w:rPr>
                <w:sz w:val="18"/>
              </w:rPr>
              <w:tab/>
            </w:r>
            <w:r>
              <w:rPr>
                <w:spacing w:val="-2"/>
                <w:sz w:val="18"/>
              </w:rPr>
              <w:t>217,517</w:t>
            </w:r>
          </w:p>
        </w:tc>
        <w:tc>
          <w:tcPr>
            <w:tcW w:w="1683" w:type="dxa"/>
            <w:shd w:val="clear" w:color="auto" w:fill="CCEDFF"/>
          </w:tcPr>
          <w:p>
            <w:pPr>
              <w:pStyle w:val="TableParagraph"/>
              <w:tabs>
                <w:tab w:pos="892" w:val="left" w:leader="none"/>
              </w:tabs>
              <w:spacing w:before="18"/>
              <w:ind w:right="100"/>
              <w:jc w:val="right"/>
              <w:rPr>
                <w:sz w:val="18"/>
              </w:rPr>
            </w:pPr>
            <w:r>
              <w:rPr>
                <w:spacing w:val="-10"/>
                <w:sz w:val="18"/>
              </w:rPr>
              <w:t>$</w:t>
            </w:r>
            <w:r>
              <w:rPr>
                <w:sz w:val="18"/>
              </w:rPr>
              <w:tab/>
            </w:r>
            <w:r>
              <w:rPr>
                <w:spacing w:val="-2"/>
                <w:sz w:val="18"/>
              </w:rPr>
              <w:t>333,754</w:t>
            </w:r>
          </w:p>
        </w:tc>
      </w:tr>
      <w:tr>
        <w:trPr>
          <w:trHeight w:val="255" w:hRule="atLeast"/>
        </w:trPr>
        <w:tc>
          <w:tcPr>
            <w:tcW w:w="6927" w:type="dxa"/>
          </w:tcPr>
          <w:p>
            <w:pPr>
              <w:pStyle w:val="TableParagraph"/>
              <w:spacing w:before="18"/>
              <w:ind w:left="82"/>
              <w:rPr>
                <w:sz w:val="18"/>
              </w:rPr>
            </w:pPr>
            <w:r>
              <w:rPr>
                <w:sz w:val="18"/>
              </w:rPr>
              <w:t>Time</w:t>
            </w:r>
            <w:r>
              <w:rPr>
                <w:spacing w:val="-1"/>
                <w:sz w:val="18"/>
              </w:rPr>
              <w:t> </w:t>
            </w:r>
            <w:r>
              <w:rPr>
                <w:sz w:val="18"/>
              </w:rPr>
              <w:t>certificates</w:t>
            </w:r>
            <w:r>
              <w:rPr>
                <w:spacing w:val="-1"/>
                <w:sz w:val="18"/>
              </w:rPr>
              <w:t> </w:t>
            </w:r>
            <w:r>
              <w:rPr>
                <w:sz w:val="18"/>
              </w:rPr>
              <w:t>of deposit</w:t>
            </w:r>
            <w:r>
              <w:rPr>
                <w:spacing w:val="-2"/>
                <w:sz w:val="18"/>
              </w:rPr>
              <w:t> </w:t>
            </w:r>
            <w:r>
              <w:rPr>
                <w:spacing w:val="-5"/>
                <w:sz w:val="18"/>
                <w:vertAlign w:val="superscript"/>
              </w:rPr>
              <w:t>(1)</w:t>
            </w:r>
          </w:p>
        </w:tc>
        <w:tc>
          <w:tcPr>
            <w:tcW w:w="1648" w:type="dxa"/>
          </w:tcPr>
          <w:p>
            <w:pPr>
              <w:pStyle w:val="TableParagraph"/>
              <w:spacing w:before="18"/>
              <w:ind w:right="97"/>
              <w:jc w:val="right"/>
              <w:rPr>
                <w:sz w:val="18"/>
              </w:rPr>
            </w:pPr>
            <w:r>
              <w:rPr>
                <w:spacing w:val="-2"/>
                <w:sz w:val="18"/>
              </w:rPr>
              <w:t>45,418</w:t>
            </w:r>
          </w:p>
        </w:tc>
        <w:tc>
          <w:tcPr>
            <w:tcW w:w="1683" w:type="dxa"/>
          </w:tcPr>
          <w:p>
            <w:pPr>
              <w:pStyle w:val="TableParagraph"/>
              <w:spacing w:before="18"/>
              <w:ind w:right="100"/>
              <w:jc w:val="right"/>
              <w:rPr>
                <w:sz w:val="18"/>
              </w:rPr>
            </w:pPr>
            <w:r>
              <w:rPr>
                <w:spacing w:val="-2"/>
                <w:sz w:val="18"/>
              </w:rPr>
              <w:t>6,047</w:t>
            </w:r>
          </w:p>
        </w:tc>
      </w:tr>
      <w:tr>
        <w:trPr>
          <w:trHeight w:val="255" w:hRule="atLeast"/>
        </w:trPr>
        <w:tc>
          <w:tcPr>
            <w:tcW w:w="6927" w:type="dxa"/>
            <w:shd w:val="clear" w:color="auto" w:fill="CCEDFF"/>
          </w:tcPr>
          <w:p>
            <w:pPr>
              <w:pStyle w:val="TableParagraph"/>
              <w:spacing w:before="18"/>
              <w:ind w:left="82"/>
              <w:rPr>
                <w:sz w:val="18"/>
              </w:rPr>
            </w:pPr>
            <w:r>
              <w:rPr>
                <w:spacing w:val="-2"/>
                <w:sz w:val="18"/>
              </w:rPr>
              <w:t>Checking</w:t>
            </w:r>
          </w:p>
        </w:tc>
        <w:tc>
          <w:tcPr>
            <w:tcW w:w="1648" w:type="dxa"/>
            <w:shd w:val="clear" w:color="auto" w:fill="CCEDFF"/>
          </w:tcPr>
          <w:p>
            <w:pPr>
              <w:pStyle w:val="TableParagraph"/>
              <w:spacing w:before="18"/>
              <w:ind w:right="97"/>
              <w:jc w:val="right"/>
              <w:rPr>
                <w:sz w:val="18"/>
              </w:rPr>
            </w:pPr>
            <w:r>
              <w:rPr>
                <w:spacing w:val="-2"/>
                <w:sz w:val="18"/>
              </w:rPr>
              <w:t>15,560</w:t>
            </w:r>
          </w:p>
        </w:tc>
        <w:tc>
          <w:tcPr>
            <w:tcW w:w="1683" w:type="dxa"/>
            <w:shd w:val="clear" w:color="auto" w:fill="CCEDFF"/>
          </w:tcPr>
          <w:p>
            <w:pPr>
              <w:pStyle w:val="TableParagraph"/>
              <w:spacing w:before="18"/>
              <w:ind w:right="100"/>
              <w:jc w:val="right"/>
              <w:rPr>
                <w:sz w:val="18"/>
              </w:rPr>
            </w:pPr>
            <w:r>
              <w:rPr>
                <w:spacing w:val="-2"/>
                <w:sz w:val="18"/>
              </w:rPr>
              <w:t>19,719</w:t>
            </w:r>
          </w:p>
        </w:tc>
      </w:tr>
      <w:tr>
        <w:trPr>
          <w:trHeight w:val="250" w:hRule="atLeast"/>
        </w:trPr>
        <w:tc>
          <w:tcPr>
            <w:tcW w:w="6927" w:type="dxa"/>
            <w:tcBorders>
              <w:bottom w:val="single" w:sz="4" w:space="0" w:color="000000"/>
            </w:tcBorders>
          </w:tcPr>
          <w:p>
            <w:pPr>
              <w:pStyle w:val="TableParagraph"/>
              <w:spacing w:before="18"/>
              <w:ind w:left="82"/>
              <w:rPr>
                <w:sz w:val="18"/>
              </w:rPr>
            </w:pPr>
            <w:r>
              <w:rPr>
                <w:sz w:val="18"/>
              </w:rPr>
              <w:t>Savings</w:t>
            </w:r>
            <w:r>
              <w:rPr>
                <w:spacing w:val="-2"/>
                <w:sz w:val="18"/>
              </w:rPr>
              <w:t> </w:t>
            </w:r>
            <w:r>
              <w:rPr>
                <w:sz w:val="18"/>
              </w:rPr>
              <w:t>and </w:t>
            </w:r>
            <w:r>
              <w:rPr>
                <w:spacing w:val="-2"/>
                <w:sz w:val="18"/>
              </w:rPr>
              <w:t>other</w:t>
            </w:r>
          </w:p>
        </w:tc>
        <w:tc>
          <w:tcPr>
            <w:tcW w:w="1648" w:type="dxa"/>
            <w:tcBorders>
              <w:bottom w:val="single" w:sz="4" w:space="0" w:color="000000"/>
            </w:tcBorders>
          </w:tcPr>
          <w:p>
            <w:pPr>
              <w:pStyle w:val="TableParagraph"/>
              <w:spacing w:before="18"/>
              <w:ind w:right="97"/>
              <w:jc w:val="right"/>
              <w:rPr>
                <w:sz w:val="18"/>
              </w:rPr>
            </w:pPr>
            <w:r>
              <w:rPr>
                <w:spacing w:val="-2"/>
                <w:sz w:val="18"/>
              </w:rPr>
              <w:t>4,672</w:t>
            </w:r>
          </w:p>
        </w:tc>
        <w:tc>
          <w:tcPr>
            <w:tcW w:w="1683" w:type="dxa"/>
            <w:tcBorders>
              <w:bottom w:val="single" w:sz="4" w:space="0" w:color="000000"/>
            </w:tcBorders>
          </w:tcPr>
          <w:p>
            <w:pPr>
              <w:pStyle w:val="TableParagraph"/>
              <w:spacing w:before="18"/>
              <w:ind w:right="100"/>
              <w:jc w:val="right"/>
              <w:rPr>
                <w:sz w:val="18"/>
              </w:rPr>
            </w:pPr>
            <w:r>
              <w:rPr>
                <w:spacing w:val="-2"/>
                <w:sz w:val="18"/>
              </w:rPr>
              <w:t>6,098</w:t>
            </w:r>
          </w:p>
        </w:tc>
      </w:tr>
      <w:tr>
        <w:trPr>
          <w:trHeight w:val="245" w:hRule="atLeast"/>
        </w:trPr>
        <w:tc>
          <w:tcPr>
            <w:tcW w:w="6927" w:type="dxa"/>
            <w:tcBorders>
              <w:top w:val="single" w:sz="4" w:space="0" w:color="000000"/>
              <w:bottom w:val="single" w:sz="4" w:space="0" w:color="000000"/>
            </w:tcBorders>
            <w:shd w:val="clear" w:color="auto" w:fill="CCEDFF"/>
          </w:tcPr>
          <w:p>
            <w:pPr>
              <w:pStyle w:val="TableParagraph"/>
              <w:spacing w:before="13"/>
              <w:ind w:left="82"/>
              <w:rPr>
                <w:sz w:val="18"/>
              </w:rPr>
            </w:pPr>
            <w:r>
              <w:rPr>
                <w:sz w:val="18"/>
              </w:rPr>
              <w:t>Total</w:t>
            </w:r>
            <w:r>
              <w:rPr>
                <w:spacing w:val="-1"/>
                <w:sz w:val="18"/>
              </w:rPr>
              <w:t> </w:t>
            </w:r>
            <w:r>
              <w:rPr>
                <w:sz w:val="18"/>
              </w:rPr>
              <w:t>interest-bearing </w:t>
            </w:r>
            <w:r>
              <w:rPr>
                <w:spacing w:val="-2"/>
                <w:sz w:val="18"/>
              </w:rPr>
              <w:t>deposits</w:t>
            </w:r>
          </w:p>
        </w:tc>
        <w:tc>
          <w:tcPr>
            <w:tcW w:w="1648" w:type="dxa"/>
            <w:tcBorders>
              <w:top w:val="single" w:sz="4" w:space="0" w:color="000000"/>
              <w:bottom w:val="single" w:sz="4" w:space="0" w:color="000000"/>
            </w:tcBorders>
            <w:shd w:val="clear" w:color="auto" w:fill="CCEDFF"/>
          </w:tcPr>
          <w:p>
            <w:pPr>
              <w:pStyle w:val="TableParagraph"/>
              <w:spacing w:before="13"/>
              <w:ind w:right="97"/>
              <w:jc w:val="right"/>
              <w:rPr>
                <w:sz w:val="18"/>
              </w:rPr>
            </w:pPr>
            <w:r>
              <w:rPr>
                <w:spacing w:val="-2"/>
                <w:sz w:val="18"/>
              </w:rPr>
              <w:t>283,167</w:t>
            </w:r>
          </w:p>
        </w:tc>
        <w:tc>
          <w:tcPr>
            <w:tcW w:w="1683" w:type="dxa"/>
            <w:tcBorders>
              <w:top w:val="single" w:sz="4" w:space="0" w:color="000000"/>
              <w:bottom w:val="single" w:sz="4" w:space="0" w:color="000000"/>
            </w:tcBorders>
            <w:shd w:val="clear" w:color="auto" w:fill="CCEDFF"/>
          </w:tcPr>
          <w:p>
            <w:pPr>
              <w:pStyle w:val="TableParagraph"/>
              <w:spacing w:before="13"/>
              <w:ind w:right="100"/>
              <w:jc w:val="right"/>
              <w:rPr>
                <w:sz w:val="18"/>
              </w:rPr>
            </w:pPr>
            <w:r>
              <w:rPr>
                <w:spacing w:val="-2"/>
                <w:sz w:val="18"/>
              </w:rPr>
              <w:t>365,618</w:t>
            </w:r>
          </w:p>
        </w:tc>
      </w:tr>
      <w:tr>
        <w:trPr>
          <w:trHeight w:val="245" w:hRule="atLeast"/>
        </w:trPr>
        <w:tc>
          <w:tcPr>
            <w:tcW w:w="6927" w:type="dxa"/>
            <w:tcBorders>
              <w:top w:val="single" w:sz="4" w:space="0" w:color="000000"/>
              <w:bottom w:val="single" w:sz="4" w:space="0" w:color="000000"/>
            </w:tcBorders>
          </w:tcPr>
          <w:p>
            <w:pPr>
              <w:pStyle w:val="TableParagraph"/>
              <w:spacing w:before="13"/>
              <w:ind w:left="82"/>
              <w:rPr>
                <w:sz w:val="18"/>
              </w:rPr>
            </w:pPr>
            <w:r>
              <w:rPr>
                <w:sz w:val="18"/>
              </w:rPr>
              <w:t>Non-interest-bearing</w:t>
            </w:r>
            <w:r>
              <w:rPr>
                <w:spacing w:val="-2"/>
                <w:sz w:val="18"/>
              </w:rPr>
              <w:t> deposits</w:t>
            </w:r>
          </w:p>
        </w:tc>
        <w:tc>
          <w:tcPr>
            <w:tcW w:w="1648" w:type="dxa"/>
            <w:tcBorders>
              <w:top w:val="single" w:sz="4" w:space="0" w:color="000000"/>
              <w:bottom w:val="single" w:sz="4" w:space="0" w:color="000000"/>
            </w:tcBorders>
          </w:tcPr>
          <w:p>
            <w:pPr>
              <w:pStyle w:val="TableParagraph"/>
              <w:spacing w:before="13"/>
              <w:ind w:right="97"/>
              <w:jc w:val="right"/>
              <w:rPr>
                <w:sz w:val="18"/>
              </w:rPr>
            </w:pPr>
            <w:r>
              <w:rPr>
                <w:spacing w:val="-2"/>
                <w:sz w:val="18"/>
              </w:rPr>
              <w:t>1,241</w:t>
            </w:r>
          </w:p>
        </w:tc>
        <w:tc>
          <w:tcPr>
            <w:tcW w:w="1683" w:type="dxa"/>
            <w:tcBorders>
              <w:top w:val="single" w:sz="4" w:space="0" w:color="000000"/>
              <w:bottom w:val="single" w:sz="4" w:space="0" w:color="000000"/>
            </w:tcBorders>
          </w:tcPr>
          <w:p>
            <w:pPr>
              <w:pStyle w:val="TableParagraph"/>
              <w:spacing w:before="13"/>
              <w:ind w:right="100"/>
              <w:jc w:val="right"/>
              <w:rPr>
                <w:sz w:val="18"/>
              </w:rPr>
            </w:pPr>
            <w:r>
              <w:rPr>
                <w:spacing w:val="-2"/>
                <w:sz w:val="18"/>
              </w:rPr>
              <w:t>1,106</w:t>
            </w:r>
          </w:p>
        </w:tc>
      </w:tr>
      <w:tr>
        <w:trPr>
          <w:trHeight w:val="220" w:hRule="atLeast"/>
        </w:trPr>
        <w:tc>
          <w:tcPr>
            <w:tcW w:w="6927" w:type="dxa"/>
            <w:tcBorders>
              <w:top w:val="single" w:sz="4" w:space="0" w:color="000000"/>
              <w:bottom w:val="double" w:sz="8" w:space="0" w:color="000000"/>
            </w:tcBorders>
            <w:shd w:val="clear" w:color="auto" w:fill="CCEDFF"/>
          </w:tcPr>
          <w:p>
            <w:pPr>
              <w:pStyle w:val="TableParagraph"/>
              <w:spacing w:line="187" w:lineRule="exact" w:before="13"/>
              <w:ind w:left="307"/>
              <w:rPr>
                <w:sz w:val="18"/>
              </w:rPr>
            </w:pPr>
            <w:r>
              <w:rPr>
                <w:sz w:val="18"/>
              </w:rPr>
              <w:t>Total bank </w:t>
            </w:r>
            <w:r>
              <w:rPr>
                <w:spacing w:val="-2"/>
                <w:sz w:val="18"/>
              </w:rPr>
              <w:t>deposits</w:t>
            </w:r>
          </w:p>
        </w:tc>
        <w:tc>
          <w:tcPr>
            <w:tcW w:w="1648" w:type="dxa"/>
            <w:tcBorders>
              <w:top w:val="single" w:sz="4" w:space="0" w:color="000000"/>
              <w:bottom w:val="double" w:sz="8" w:space="0" w:color="000000"/>
            </w:tcBorders>
            <w:shd w:val="clear" w:color="auto" w:fill="CCEDFF"/>
          </w:tcPr>
          <w:p>
            <w:pPr>
              <w:pStyle w:val="TableParagraph"/>
              <w:tabs>
                <w:tab w:pos="922" w:val="left" w:leader="none"/>
              </w:tabs>
              <w:spacing w:line="187" w:lineRule="exact" w:before="13"/>
              <w:ind w:right="97"/>
              <w:jc w:val="right"/>
              <w:rPr>
                <w:sz w:val="18"/>
              </w:rPr>
            </w:pPr>
            <w:r>
              <w:rPr>
                <w:spacing w:val="-10"/>
                <w:sz w:val="18"/>
              </w:rPr>
              <w:t>$</w:t>
            </w:r>
            <w:r>
              <w:rPr>
                <w:sz w:val="18"/>
              </w:rPr>
              <w:tab/>
            </w:r>
            <w:r>
              <w:rPr>
                <w:spacing w:val="-2"/>
                <w:sz w:val="18"/>
              </w:rPr>
              <w:t>284,408</w:t>
            </w:r>
          </w:p>
        </w:tc>
        <w:tc>
          <w:tcPr>
            <w:tcW w:w="1683" w:type="dxa"/>
            <w:tcBorders>
              <w:top w:val="single" w:sz="4" w:space="0" w:color="000000"/>
              <w:bottom w:val="double" w:sz="8" w:space="0" w:color="000000"/>
            </w:tcBorders>
            <w:shd w:val="clear" w:color="auto" w:fill="CCEDFF"/>
          </w:tcPr>
          <w:p>
            <w:pPr>
              <w:pStyle w:val="TableParagraph"/>
              <w:tabs>
                <w:tab w:pos="892" w:val="left" w:leader="none"/>
              </w:tabs>
              <w:spacing w:line="187" w:lineRule="exact" w:before="13"/>
              <w:ind w:right="100"/>
              <w:jc w:val="right"/>
              <w:rPr>
                <w:sz w:val="18"/>
              </w:rPr>
            </w:pPr>
            <w:r>
              <w:rPr>
                <w:spacing w:val="-10"/>
                <w:sz w:val="18"/>
              </w:rPr>
              <w:t>$</w:t>
            </w:r>
            <w:r>
              <w:rPr>
                <w:sz w:val="18"/>
              </w:rPr>
              <w:tab/>
            </w:r>
            <w:r>
              <w:rPr>
                <w:spacing w:val="-2"/>
                <w:sz w:val="18"/>
              </w:rPr>
              <w:t>366,724</w:t>
            </w:r>
          </w:p>
        </w:tc>
      </w:tr>
    </w:tbl>
    <w:p>
      <w:pPr>
        <w:spacing w:line="249" w:lineRule="auto" w:before="32"/>
        <w:ind w:left="650" w:right="500" w:hanging="180"/>
        <w:jc w:val="left"/>
        <w:rPr>
          <w:sz w:val="16"/>
        </w:rPr>
      </w:pPr>
      <w:r>
        <w:rPr>
          <w:sz w:val="16"/>
          <w:vertAlign w:val="superscript"/>
        </w:rPr>
        <w:t>(1)</w:t>
      </w:r>
      <w:r>
        <w:rPr>
          <w:spacing w:val="-15"/>
          <w:sz w:val="16"/>
          <w:vertAlign w:val="baseline"/>
        </w:rPr>
        <w:t> </w:t>
      </w:r>
      <w:r>
        <w:rPr>
          <w:sz w:val="16"/>
          <w:vertAlign w:val="baseline"/>
        </w:rPr>
        <w:t>Time</w:t>
      </w:r>
      <w:r>
        <w:rPr>
          <w:spacing w:val="-2"/>
          <w:sz w:val="16"/>
          <w:vertAlign w:val="baseline"/>
        </w:rPr>
        <w:t> </w:t>
      </w:r>
      <w:r>
        <w:rPr>
          <w:sz w:val="16"/>
          <w:vertAlign w:val="baseline"/>
        </w:rPr>
        <w:t>certificates</w:t>
      </w:r>
      <w:r>
        <w:rPr>
          <w:spacing w:val="-2"/>
          <w:sz w:val="16"/>
          <w:vertAlign w:val="baseline"/>
        </w:rPr>
        <w:t> </w:t>
      </w:r>
      <w:r>
        <w:rPr>
          <w:sz w:val="16"/>
          <w:vertAlign w:val="baseline"/>
        </w:rPr>
        <w:t>of</w:t>
      </w:r>
      <w:r>
        <w:rPr>
          <w:spacing w:val="-2"/>
          <w:sz w:val="16"/>
          <w:vertAlign w:val="baseline"/>
        </w:rPr>
        <w:t> </w:t>
      </w:r>
      <w:r>
        <w:rPr>
          <w:sz w:val="16"/>
          <w:vertAlign w:val="baseline"/>
        </w:rPr>
        <w:t>deposit</w:t>
      </w:r>
      <w:r>
        <w:rPr>
          <w:spacing w:val="-2"/>
          <w:sz w:val="16"/>
          <w:vertAlign w:val="baseline"/>
        </w:rPr>
        <w:t> </w:t>
      </w:r>
      <w:r>
        <w:rPr>
          <w:sz w:val="16"/>
          <w:vertAlign w:val="baseline"/>
        </w:rPr>
        <w:t>consist</w:t>
      </w:r>
      <w:r>
        <w:rPr>
          <w:spacing w:val="-2"/>
          <w:sz w:val="16"/>
          <w:vertAlign w:val="baseline"/>
        </w:rPr>
        <w:t> </w:t>
      </w:r>
      <w:r>
        <w:rPr>
          <w:sz w:val="16"/>
          <w:vertAlign w:val="baseline"/>
        </w:rPr>
        <w:t>of</w:t>
      </w:r>
      <w:r>
        <w:rPr>
          <w:spacing w:val="-2"/>
          <w:sz w:val="16"/>
          <w:vertAlign w:val="baseline"/>
        </w:rPr>
        <w:t> </w:t>
      </w:r>
      <w:r>
        <w:rPr>
          <w:sz w:val="16"/>
          <w:vertAlign w:val="baseline"/>
        </w:rPr>
        <w:t>brokered</w:t>
      </w:r>
      <w:r>
        <w:rPr>
          <w:spacing w:val="-2"/>
          <w:sz w:val="16"/>
          <w:vertAlign w:val="baseline"/>
        </w:rPr>
        <w:t> </w:t>
      </w:r>
      <w:r>
        <w:rPr>
          <w:sz w:val="16"/>
          <w:vertAlign w:val="baseline"/>
        </w:rPr>
        <w:t>CDs.</w:t>
      </w:r>
      <w:r>
        <w:rPr>
          <w:spacing w:val="-2"/>
          <w:sz w:val="16"/>
          <w:vertAlign w:val="baseline"/>
        </w:rPr>
        <w:t> </w:t>
      </w:r>
      <w:r>
        <w:rPr>
          <w:sz w:val="16"/>
          <w:vertAlign w:val="baseline"/>
        </w:rPr>
        <w:t>As</w:t>
      </w:r>
      <w:r>
        <w:rPr>
          <w:spacing w:val="-2"/>
          <w:sz w:val="16"/>
          <w:vertAlign w:val="baseline"/>
        </w:rPr>
        <w:t> </w:t>
      </w:r>
      <w:r>
        <w:rPr>
          <w:sz w:val="16"/>
          <w:vertAlign w:val="baseline"/>
        </w:rPr>
        <w:t>of</w:t>
      </w:r>
      <w:r>
        <w:rPr>
          <w:spacing w:val="-4"/>
          <w:sz w:val="16"/>
          <w:vertAlign w:val="baseline"/>
        </w:rPr>
        <w:t> </w:t>
      </w:r>
      <w:r>
        <w:rPr>
          <w:sz w:val="16"/>
          <w:vertAlign w:val="baseline"/>
        </w:rPr>
        <w:t>September</w:t>
      </w:r>
      <w:r>
        <w:rPr>
          <w:spacing w:val="-2"/>
          <w:sz w:val="16"/>
          <w:vertAlign w:val="baseline"/>
        </w:rPr>
        <w:t> </w:t>
      </w:r>
      <w:r>
        <w:rPr>
          <w:sz w:val="16"/>
          <w:vertAlign w:val="baseline"/>
        </w:rPr>
        <w:t>30,</w:t>
      </w:r>
      <w:r>
        <w:rPr>
          <w:spacing w:val="-2"/>
          <w:sz w:val="16"/>
          <w:vertAlign w:val="baseline"/>
        </w:rPr>
        <w:t> </w:t>
      </w:r>
      <w:r>
        <w:rPr>
          <w:sz w:val="16"/>
          <w:vertAlign w:val="baseline"/>
        </w:rPr>
        <w:t>2023</w:t>
      </w:r>
      <w:r>
        <w:rPr>
          <w:spacing w:val="-2"/>
          <w:sz w:val="16"/>
          <w:vertAlign w:val="baseline"/>
        </w:rPr>
        <w:t> </w:t>
      </w:r>
      <w:r>
        <w:rPr>
          <w:sz w:val="16"/>
          <w:vertAlign w:val="baseline"/>
        </w:rPr>
        <w:t>and</w:t>
      </w:r>
      <w:r>
        <w:rPr>
          <w:spacing w:val="-2"/>
          <w:sz w:val="16"/>
          <w:vertAlign w:val="baseline"/>
        </w:rPr>
        <w:t> </w:t>
      </w:r>
      <w:r>
        <w:rPr>
          <w:sz w:val="16"/>
          <w:vertAlign w:val="baseline"/>
        </w:rPr>
        <w:t>December</w:t>
      </w:r>
      <w:r>
        <w:rPr>
          <w:spacing w:val="-2"/>
          <w:sz w:val="16"/>
          <w:vertAlign w:val="baseline"/>
        </w:rPr>
        <w:t> </w:t>
      </w:r>
      <w:r>
        <w:rPr>
          <w:sz w:val="16"/>
          <w:vertAlign w:val="baseline"/>
        </w:rPr>
        <w:t>31,</w:t>
      </w:r>
      <w:r>
        <w:rPr>
          <w:spacing w:val="-2"/>
          <w:sz w:val="16"/>
          <w:vertAlign w:val="baseline"/>
        </w:rPr>
        <w:t> </w:t>
      </w:r>
      <w:r>
        <w:rPr>
          <w:sz w:val="16"/>
          <w:vertAlign w:val="baseline"/>
        </w:rPr>
        <w:t>2022,</w:t>
      </w:r>
      <w:r>
        <w:rPr>
          <w:spacing w:val="-2"/>
          <w:sz w:val="16"/>
          <w:vertAlign w:val="baseline"/>
        </w:rPr>
        <w:t> </w:t>
      </w:r>
      <w:r>
        <w:rPr>
          <w:sz w:val="16"/>
          <w:vertAlign w:val="baseline"/>
        </w:rPr>
        <w:t>there</w:t>
      </w:r>
      <w:r>
        <w:rPr>
          <w:spacing w:val="-2"/>
          <w:sz w:val="16"/>
          <w:vertAlign w:val="baseline"/>
        </w:rPr>
        <w:t> </w:t>
      </w:r>
      <w:r>
        <w:rPr>
          <w:sz w:val="16"/>
          <w:vertAlign w:val="baseline"/>
        </w:rPr>
        <w:t>were</w:t>
      </w:r>
      <w:r>
        <w:rPr>
          <w:spacing w:val="-2"/>
          <w:sz w:val="16"/>
          <w:vertAlign w:val="baseline"/>
        </w:rPr>
        <w:t> </w:t>
      </w:r>
      <w:r>
        <w:rPr>
          <w:sz w:val="16"/>
          <w:vertAlign w:val="baseline"/>
        </w:rPr>
        <w:t>no</w:t>
      </w:r>
      <w:r>
        <w:rPr>
          <w:spacing w:val="-2"/>
          <w:sz w:val="16"/>
          <w:vertAlign w:val="baseline"/>
        </w:rPr>
        <w:t> </w:t>
      </w:r>
      <w:r>
        <w:rPr>
          <w:sz w:val="16"/>
          <w:vertAlign w:val="baseline"/>
        </w:rPr>
        <w:t>time</w:t>
      </w:r>
      <w:r>
        <w:rPr>
          <w:spacing w:val="-2"/>
          <w:sz w:val="16"/>
          <w:vertAlign w:val="baseline"/>
        </w:rPr>
        <w:t> </w:t>
      </w:r>
      <w:r>
        <w:rPr>
          <w:sz w:val="16"/>
          <w:vertAlign w:val="baseline"/>
        </w:rPr>
        <w:t>deposits</w:t>
      </w:r>
      <w:r>
        <w:rPr>
          <w:spacing w:val="-2"/>
          <w:sz w:val="16"/>
          <w:vertAlign w:val="baseline"/>
        </w:rPr>
        <w:t> </w:t>
      </w:r>
      <w:r>
        <w:rPr>
          <w:sz w:val="16"/>
          <w:vertAlign w:val="baseline"/>
        </w:rPr>
        <w:t>that</w:t>
      </w:r>
      <w:r>
        <w:rPr>
          <w:spacing w:val="-2"/>
          <w:sz w:val="16"/>
          <w:vertAlign w:val="baseline"/>
        </w:rPr>
        <w:t> </w:t>
      </w:r>
      <w:r>
        <w:rPr>
          <w:sz w:val="16"/>
          <w:vertAlign w:val="baseline"/>
        </w:rPr>
        <w:t>were</w:t>
      </w:r>
      <w:r>
        <w:rPr>
          <w:spacing w:val="-2"/>
          <w:sz w:val="16"/>
          <w:vertAlign w:val="baseline"/>
        </w:rPr>
        <w:t> </w:t>
      </w:r>
      <w:r>
        <w:rPr>
          <w:sz w:val="16"/>
          <w:vertAlign w:val="baseline"/>
        </w:rPr>
        <w:t>in</w:t>
      </w:r>
      <w:r>
        <w:rPr>
          <w:spacing w:val="-2"/>
          <w:sz w:val="16"/>
          <w:vertAlign w:val="baseline"/>
        </w:rPr>
        <w:t> </w:t>
      </w:r>
      <w:r>
        <w:rPr>
          <w:sz w:val="16"/>
          <w:vertAlign w:val="baseline"/>
        </w:rPr>
        <w:t>excess</w:t>
      </w:r>
      <w:r>
        <w:rPr>
          <w:spacing w:val="-2"/>
          <w:sz w:val="16"/>
          <w:vertAlign w:val="baseline"/>
        </w:rPr>
        <w:t> </w:t>
      </w:r>
      <w:r>
        <w:rPr>
          <w:sz w:val="16"/>
          <w:vertAlign w:val="baseline"/>
        </w:rPr>
        <w:t>of</w:t>
      </w:r>
      <w:r>
        <w:rPr>
          <w:spacing w:val="40"/>
          <w:sz w:val="16"/>
          <w:vertAlign w:val="baseline"/>
        </w:rPr>
        <w:t> </w:t>
      </w:r>
      <w:r>
        <w:rPr>
          <w:sz w:val="16"/>
          <w:vertAlign w:val="baseline"/>
        </w:rPr>
        <w:t>FDIC insurance limits or otherwise uninsured.</w:t>
      </w:r>
    </w:p>
    <w:p>
      <w:pPr>
        <w:pStyle w:val="BodyText"/>
        <w:spacing w:before="10"/>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8"/>
        <w:gridCol w:w="511"/>
        <w:gridCol w:w="1067"/>
        <w:gridCol w:w="707"/>
      </w:tblGrid>
      <w:tr>
        <w:trPr>
          <w:trHeight w:val="394" w:hRule="atLeast"/>
        </w:trPr>
        <w:tc>
          <w:tcPr>
            <w:tcW w:w="7978" w:type="dxa"/>
            <w:tcBorders>
              <w:bottom w:val="single" w:sz="4" w:space="0" w:color="000000"/>
            </w:tcBorders>
          </w:tcPr>
          <w:p>
            <w:pPr>
              <w:pStyle w:val="TableParagraph"/>
              <w:spacing w:line="221" w:lineRule="exact"/>
              <w:rPr>
                <w:sz w:val="20"/>
              </w:rPr>
            </w:pPr>
            <w:r>
              <w:rPr>
                <w:sz w:val="20"/>
              </w:rPr>
              <w:t>Annual</w:t>
            </w:r>
            <w:r>
              <w:rPr>
                <w:spacing w:val="-6"/>
                <w:sz w:val="20"/>
              </w:rPr>
              <w:t> </w:t>
            </w:r>
            <w:r>
              <w:rPr>
                <w:sz w:val="20"/>
              </w:rPr>
              <w:t>maturities</w:t>
            </w:r>
            <w:r>
              <w:rPr>
                <w:spacing w:val="-4"/>
                <w:sz w:val="20"/>
              </w:rPr>
              <w:t> </w:t>
            </w:r>
            <w:r>
              <w:rPr>
                <w:sz w:val="20"/>
              </w:rPr>
              <w:t>on</w:t>
            </w:r>
            <w:r>
              <w:rPr>
                <w:spacing w:val="-3"/>
                <w:sz w:val="20"/>
              </w:rPr>
              <w:t> </w:t>
            </w:r>
            <w:r>
              <w:rPr>
                <w:sz w:val="20"/>
              </w:rPr>
              <w:t>time</w:t>
            </w:r>
            <w:r>
              <w:rPr>
                <w:spacing w:val="-3"/>
                <w:sz w:val="20"/>
              </w:rPr>
              <w:t> </w:t>
            </w:r>
            <w:r>
              <w:rPr>
                <w:sz w:val="20"/>
              </w:rPr>
              <w:t>certificates</w:t>
            </w:r>
            <w:r>
              <w:rPr>
                <w:spacing w:val="-4"/>
                <w:sz w:val="20"/>
              </w:rPr>
              <w:t> </w:t>
            </w:r>
            <w:r>
              <w:rPr>
                <w:sz w:val="20"/>
              </w:rPr>
              <w:t>of</w:t>
            </w:r>
            <w:r>
              <w:rPr>
                <w:spacing w:val="-3"/>
                <w:sz w:val="20"/>
              </w:rPr>
              <w:t> </w:t>
            </w:r>
            <w:r>
              <w:rPr>
                <w:sz w:val="20"/>
              </w:rPr>
              <w:t>deposit</w:t>
            </w:r>
            <w:r>
              <w:rPr>
                <w:spacing w:val="-3"/>
                <w:sz w:val="20"/>
              </w:rPr>
              <w:t> </w:t>
            </w:r>
            <w:r>
              <w:rPr>
                <w:sz w:val="20"/>
              </w:rPr>
              <w:t>outstanding</w:t>
            </w:r>
            <w:r>
              <w:rPr>
                <w:spacing w:val="-3"/>
                <w:sz w:val="20"/>
              </w:rPr>
              <w:t> </w:t>
            </w:r>
            <w:r>
              <w:rPr>
                <w:sz w:val="20"/>
              </w:rPr>
              <w:t>at</w:t>
            </w:r>
            <w:r>
              <w:rPr>
                <w:spacing w:val="-4"/>
                <w:sz w:val="20"/>
              </w:rPr>
              <w:t> </w:t>
            </w:r>
            <w:r>
              <w:rPr>
                <w:sz w:val="20"/>
              </w:rPr>
              <w:t>September</w:t>
            </w:r>
            <w:r>
              <w:rPr>
                <w:spacing w:val="-3"/>
                <w:sz w:val="20"/>
              </w:rPr>
              <w:t> </w:t>
            </w:r>
            <w:r>
              <w:rPr>
                <w:sz w:val="20"/>
              </w:rPr>
              <w:t>30,</w:t>
            </w:r>
            <w:r>
              <w:rPr>
                <w:spacing w:val="-2"/>
                <w:sz w:val="20"/>
              </w:rPr>
              <w:t> </w:t>
            </w:r>
            <w:r>
              <w:rPr>
                <w:sz w:val="20"/>
              </w:rPr>
              <w:t>2023</w:t>
            </w:r>
            <w:r>
              <w:rPr>
                <w:spacing w:val="-3"/>
                <w:sz w:val="20"/>
              </w:rPr>
              <w:t> </w:t>
            </w:r>
            <w:r>
              <w:rPr>
                <w:sz w:val="20"/>
              </w:rPr>
              <w:t>are</w:t>
            </w:r>
            <w:r>
              <w:rPr>
                <w:spacing w:val="-4"/>
                <w:sz w:val="20"/>
              </w:rPr>
              <w:t> </w:t>
            </w:r>
            <w:r>
              <w:rPr>
                <w:sz w:val="20"/>
              </w:rPr>
              <w:t>as</w:t>
            </w:r>
            <w:r>
              <w:rPr>
                <w:spacing w:val="-3"/>
                <w:sz w:val="20"/>
              </w:rPr>
              <w:t> </w:t>
            </w:r>
            <w:r>
              <w:rPr>
                <w:spacing w:val="-2"/>
                <w:sz w:val="20"/>
              </w:rPr>
              <w:t>follows:</w:t>
            </w:r>
          </w:p>
        </w:tc>
        <w:tc>
          <w:tcPr>
            <w:tcW w:w="2285" w:type="dxa"/>
            <w:gridSpan w:val="3"/>
            <w:tcBorders>
              <w:bottom w:val="single" w:sz="4" w:space="0" w:color="000000"/>
            </w:tcBorders>
          </w:tcPr>
          <w:p>
            <w:pPr>
              <w:pStyle w:val="TableParagraph"/>
              <w:rPr>
                <w:sz w:val="18"/>
              </w:rPr>
            </w:pPr>
          </w:p>
        </w:tc>
      </w:tr>
      <w:tr>
        <w:trPr>
          <w:trHeight w:val="244" w:hRule="atLeast"/>
        </w:trPr>
        <w:tc>
          <w:tcPr>
            <w:tcW w:w="7978" w:type="dxa"/>
            <w:tcBorders>
              <w:top w:val="single" w:sz="4" w:space="0" w:color="000000"/>
              <w:bottom w:val="single" w:sz="4" w:space="0" w:color="000000"/>
            </w:tcBorders>
          </w:tcPr>
          <w:p>
            <w:pPr>
              <w:pStyle w:val="TableParagraph"/>
              <w:rPr>
                <w:sz w:val="16"/>
              </w:rPr>
            </w:pPr>
          </w:p>
        </w:tc>
        <w:tc>
          <w:tcPr>
            <w:tcW w:w="511" w:type="dxa"/>
            <w:tcBorders>
              <w:top w:val="single" w:sz="4" w:space="0" w:color="000000"/>
              <w:bottom w:val="single" w:sz="4" w:space="0" w:color="000000"/>
            </w:tcBorders>
          </w:tcPr>
          <w:p>
            <w:pPr>
              <w:pStyle w:val="TableParagraph"/>
              <w:rPr>
                <w:sz w:val="16"/>
              </w:rPr>
            </w:pPr>
          </w:p>
        </w:tc>
        <w:tc>
          <w:tcPr>
            <w:tcW w:w="1067" w:type="dxa"/>
            <w:tcBorders>
              <w:top w:val="single" w:sz="4" w:space="0" w:color="000000"/>
              <w:bottom w:val="single" w:sz="4" w:space="0" w:color="000000"/>
            </w:tcBorders>
          </w:tcPr>
          <w:p>
            <w:pPr>
              <w:pStyle w:val="TableParagraph"/>
              <w:spacing w:before="13"/>
              <w:ind w:left="348"/>
              <w:rPr>
                <w:sz w:val="18"/>
              </w:rPr>
            </w:pPr>
            <w:r>
              <w:rPr>
                <w:spacing w:val="-2"/>
                <w:sz w:val="18"/>
              </w:rPr>
              <w:t>Balance</w:t>
            </w:r>
          </w:p>
        </w:tc>
        <w:tc>
          <w:tcPr>
            <w:tcW w:w="707" w:type="dxa"/>
            <w:tcBorders>
              <w:top w:val="single" w:sz="4" w:space="0" w:color="000000"/>
              <w:bottom w:val="single" w:sz="4" w:space="0" w:color="000000"/>
            </w:tcBorders>
          </w:tcPr>
          <w:p>
            <w:pPr>
              <w:pStyle w:val="TableParagraph"/>
              <w:rPr>
                <w:sz w:val="16"/>
              </w:rPr>
            </w:pPr>
          </w:p>
        </w:tc>
      </w:tr>
      <w:tr>
        <w:trPr>
          <w:trHeight w:val="250" w:hRule="atLeast"/>
        </w:trPr>
        <w:tc>
          <w:tcPr>
            <w:tcW w:w="7978" w:type="dxa"/>
            <w:tcBorders>
              <w:top w:val="single" w:sz="4" w:space="0" w:color="000000"/>
            </w:tcBorders>
            <w:shd w:val="clear" w:color="auto" w:fill="CCEDFF"/>
          </w:tcPr>
          <w:p>
            <w:pPr>
              <w:pStyle w:val="TableParagraph"/>
              <w:spacing w:before="13"/>
              <w:ind w:left="52"/>
              <w:rPr>
                <w:sz w:val="18"/>
              </w:rPr>
            </w:pPr>
            <w:r>
              <w:rPr>
                <w:spacing w:val="-4"/>
                <w:sz w:val="18"/>
              </w:rPr>
              <w:t>2023</w:t>
            </w:r>
          </w:p>
        </w:tc>
        <w:tc>
          <w:tcPr>
            <w:tcW w:w="511" w:type="dxa"/>
            <w:tcBorders>
              <w:top w:val="single" w:sz="4" w:space="0" w:color="000000"/>
            </w:tcBorders>
            <w:shd w:val="clear" w:color="auto" w:fill="CCEDFF"/>
          </w:tcPr>
          <w:p>
            <w:pPr>
              <w:pStyle w:val="TableParagraph"/>
              <w:spacing w:before="13"/>
              <w:ind w:left="69"/>
              <w:rPr>
                <w:sz w:val="18"/>
              </w:rPr>
            </w:pPr>
            <w:r>
              <w:rPr>
                <w:spacing w:val="-10"/>
                <w:sz w:val="18"/>
              </w:rPr>
              <w:t>$</w:t>
            </w:r>
          </w:p>
        </w:tc>
        <w:tc>
          <w:tcPr>
            <w:tcW w:w="1067" w:type="dxa"/>
            <w:tcBorders>
              <w:top w:val="single" w:sz="4" w:space="0" w:color="000000"/>
            </w:tcBorders>
            <w:shd w:val="clear" w:color="auto" w:fill="CCEDFF"/>
          </w:tcPr>
          <w:p>
            <w:pPr>
              <w:pStyle w:val="TableParagraph"/>
              <w:rPr>
                <w:sz w:val="18"/>
              </w:rPr>
            </w:pPr>
          </w:p>
        </w:tc>
        <w:tc>
          <w:tcPr>
            <w:tcW w:w="707" w:type="dxa"/>
            <w:tcBorders>
              <w:top w:val="single" w:sz="4" w:space="0" w:color="000000"/>
            </w:tcBorders>
            <w:shd w:val="clear" w:color="auto" w:fill="CCEDFF"/>
          </w:tcPr>
          <w:p>
            <w:pPr>
              <w:pStyle w:val="TableParagraph"/>
              <w:spacing w:before="13"/>
              <w:ind w:left="146"/>
              <w:jc w:val="center"/>
              <w:rPr>
                <w:sz w:val="18"/>
              </w:rPr>
            </w:pPr>
            <w:r>
              <w:rPr>
                <w:spacing w:val="-2"/>
                <w:sz w:val="18"/>
              </w:rPr>
              <w:t>5,358</w:t>
            </w:r>
          </w:p>
        </w:tc>
      </w:tr>
      <w:tr>
        <w:trPr>
          <w:trHeight w:val="255" w:hRule="atLeast"/>
        </w:trPr>
        <w:tc>
          <w:tcPr>
            <w:tcW w:w="7978" w:type="dxa"/>
          </w:tcPr>
          <w:p>
            <w:pPr>
              <w:pStyle w:val="TableParagraph"/>
              <w:spacing w:before="18"/>
              <w:ind w:left="52"/>
              <w:rPr>
                <w:sz w:val="18"/>
              </w:rPr>
            </w:pPr>
            <w:r>
              <w:rPr>
                <w:spacing w:val="-4"/>
                <w:sz w:val="18"/>
              </w:rPr>
              <w:t>2024</w:t>
            </w:r>
          </w:p>
        </w:tc>
        <w:tc>
          <w:tcPr>
            <w:tcW w:w="511" w:type="dxa"/>
          </w:tcPr>
          <w:p>
            <w:pPr>
              <w:pStyle w:val="TableParagraph"/>
              <w:rPr>
                <w:sz w:val="18"/>
              </w:rPr>
            </w:pPr>
          </w:p>
        </w:tc>
        <w:tc>
          <w:tcPr>
            <w:tcW w:w="1067" w:type="dxa"/>
          </w:tcPr>
          <w:p>
            <w:pPr>
              <w:pStyle w:val="TableParagraph"/>
              <w:rPr>
                <w:sz w:val="18"/>
              </w:rPr>
            </w:pPr>
          </w:p>
        </w:tc>
        <w:tc>
          <w:tcPr>
            <w:tcW w:w="707" w:type="dxa"/>
          </w:tcPr>
          <w:p>
            <w:pPr>
              <w:pStyle w:val="TableParagraph"/>
              <w:spacing w:before="18"/>
              <w:ind w:left="56"/>
              <w:jc w:val="center"/>
              <w:rPr>
                <w:sz w:val="18"/>
              </w:rPr>
            </w:pPr>
            <w:r>
              <w:rPr>
                <w:spacing w:val="-2"/>
                <w:sz w:val="18"/>
              </w:rPr>
              <w:t>38,422</w:t>
            </w:r>
          </w:p>
        </w:tc>
      </w:tr>
      <w:tr>
        <w:trPr>
          <w:trHeight w:val="250" w:hRule="atLeast"/>
        </w:trPr>
        <w:tc>
          <w:tcPr>
            <w:tcW w:w="7978" w:type="dxa"/>
            <w:tcBorders>
              <w:bottom w:val="single" w:sz="4" w:space="0" w:color="000000"/>
            </w:tcBorders>
            <w:shd w:val="clear" w:color="auto" w:fill="CCEDFF"/>
          </w:tcPr>
          <w:p>
            <w:pPr>
              <w:pStyle w:val="TableParagraph"/>
              <w:spacing w:before="18"/>
              <w:ind w:left="52"/>
              <w:rPr>
                <w:sz w:val="18"/>
              </w:rPr>
            </w:pPr>
            <w:r>
              <w:rPr>
                <w:spacing w:val="-4"/>
                <w:sz w:val="18"/>
              </w:rPr>
              <w:t>2025</w:t>
            </w:r>
          </w:p>
        </w:tc>
        <w:tc>
          <w:tcPr>
            <w:tcW w:w="511" w:type="dxa"/>
            <w:tcBorders>
              <w:bottom w:val="single" w:sz="4" w:space="0" w:color="000000"/>
            </w:tcBorders>
            <w:shd w:val="clear" w:color="auto" w:fill="CCEDFF"/>
          </w:tcPr>
          <w:p>
            <w:pPr>
              <w:pStyle w:val="TableParagraph"/>
              <w:rPr>
                <w:sz w:val="18"/>
              </w:rPr>
            </w:pPr>
          </w:p>
        </w:tc>
        <w:tc>
          <w:tcPr>
            <w:tcW w:w="1067" w:type="dxa"/>
            <w:tcBorders>
              <w:bottom w:val="single" w:sz="4" w:space="0" w:color="000000"/>
            </w:tcBorders>
            <w:shd w:val="clear" w:color="auto" w:fill="CCEDFF"/>
          </w:tcPr>
          <w:p>
            <w:pPr>
              <w:pStyle w:val="TableParagraph"/>
              <w:rPr>
                <w:sz w:val="18"/>
              </w:rPr>
            </w:pPr>
          </w:p>
        </w:tc>
        <w:tc>
          <w:tcPr>
            <w:tcW w:w="707" w:type="dxa"/>
            <w:tcBorders>
              <w:bottom w:val="single" w:sz="4" w:space="0" w:color="000000"/>
            </w:tcBorders>
            <w:shd w:val="clear" w:color="auto" w:fill="CCEDFF"/>
          </w:tcPr>
          <w:p>
            <w:pPr>
              <w:pStyle w:val="TableParagraph"/>
              <w:spacing w:before="18"/>
              <w:ind w:left="146"/>
              <w:jc w:val="center"/>
              <w:rPr>
                <w:sz w:val="18"/>
              </w:rPr>
            </w:pPr>
            <w:r>
              <w:rPr>
                <w:spacing w:val="-2"/>
                <w:sz w:val="18"/>
              </w:rPr>
              <w:t>1,638</w:t>
            </w:r>
          </w:p>
        </w:tc>
      </w:tr>
      <w:tr>
        <w:trPr>
          <w:trHeight w:val="220" w:hRule="atLeast"/>
        </w:trPr>
        <w:tc>
          <w:tcPr>
            <w:tcW w:w="7978" w:type="dxa"/>
            <w:tcBorders>
              <w:top w:val="single" w:sz="4" w:space="0" w:color="000000"/>
              <w:bottom w:val="double" w:sz="8" w:space="0" w:color="000000"/>
            </w:tcBorders>
          </w:tcPr>
          <w:p>
            <w:pPr>
              <w:pStyle w:val="TableParagraph"/>
              <w:spacing w:line="187" w:lineRule="exact" w:before="13"/>
              <w:ind w:left="52"/>
              <w:rPr>
                <w:sz w:val="18"/>
              </w:rPr>
            </w:pPr>
            <w:r>
              <w:rPr>
                <w:spacing w:val="-2"/>
                <w:sz w:val="18"/>
              </w:rPr>
              <w:t>Total</w:t>
            </w:r>
          </w:p>
        </w:tc>
        <w:tc>
          <w:tcPr>
            <w:tcW w:w="511" w:type="dxa"/>
            <w:tcBorders>
              <w:top w:val="single" w:sz="4" w:space="0" w:color="000000"/>
              <w:bottom w:val="double" w:sz="8" w:space="0" w:color="000000"/>
            </w:tcBorders>
          </w:tcPr>
          <w:p>
            <w:pPr>
              <w:pStyle w:val="TableParagraph"/>
              <w:spacing w:line="187" w:lineRule="exact" w:before="13"/>
              <w:ind w:left="69"/>
              <w:rPr>
                <w:sz w:val="18"/>
              </w:rPr>
            </w:pPr>
            <w:r>
              <w:rPr>
                <w:spacing w:val="-10"/>
                <w:sz w:val="18"/>
              </w:rPr>
              <w:t>$</w:t>
            </w:r>
          </w:p>
        </w:tc>
        <w:tc>
          <w:tcPr>
            <w:tcW w:w="1067" w:type="dxa"/>
            <w:tcBorders>
              <w:top w:val="single" w:sz="4" w:space="0" w:color="000000"/>
              <w:bottom w:val="double" w:sz="8" w:space="0" w:color="000000"/>
            </w:tcBorders>
          </w:tcPr>
          <w:p>
            <w:pPr>
              <w:pStyle w:val="TableParagraph"/>
              <w:rPr>
                <w:sz w:val="14"/>
              </w:rPr>
            </w:pPr>
          </w:p>
        </w:tc>
        <w:tc>
          <w:tcPr>
            <w:tcW w:w="707" w:type="dxa"/>
            <w:tcBorders>
              <w:top w:val="single" w:sz="4" w:space="0" w:color="000000"/>
              <w:bottom w:val="double" w:sz="8" w:space="0" w:color="000000"/>
            </w:tcBorders>
          </w:tcPr>
          <w:p>
            <w:pPr>
              <w:pStyle w:val="TableParagraph"/>
              <w:spacing w:line="187" w:lineRule="exact" w:before="13"/>
              <w:ind w:left="56"/>
              <w:jc w:val="center"/>
              <w:rPr>
                <w:sz w:val="18"/>
              </w:rPr>
            </w:pPr>
            <w:r>
              <w:rPr>
                <w:spacing w:val="-2"/>
                <w:sz w:val="18"/>
              </w:rPr>
              <w:t>45,418</w:t>
            </w:r>
          </w:p>
        </w:tc>
      </w:tr>
    </w:tbl>
    <w:p>
      <w:pPr>
        <w:pStyle w:val="BodyText"/>
        <w:rPr>
          <w:sz w:val="16"/>
        </w:rPr>
      </w:pPr>
    </w:p>
    <w:p>
      <w:pPr>
        <w:pStyle w:val="BodyText"/>
        <w:spacing w:before="132"/>
        <w:rPr>
          <w:sz w:val="16"/>
        </w:rPr>
      </w:pPr>
    </w:p>
    <w:p>
      <w:pPr>
        <w:pStyle w:val="Heading2"/>
        <w:numPr>
          <w:ilvl w:val="0"/>
          <w:numId w:val="4"/>
        </w:numPr>
        <w:tabs>
          <w:tab w:pos="1189" w:val="left" w:leader="none"/>
        </w:tabs>
        <w:spacing w:line="240" w:lineRule="auto" w:before="0" w:after="0"/>
        <w:ind w:left="1189" w:right="0" w:hanging="719"/>
        <w:jc w:val="left"/>
      </w:pPr>
      <w:bookmarkStart w:name="Note 8 Borrowings" w:id="47"/>
      <w:bookmarkEnd w:id="47"/>
      <w:r>
        <w:rPr>
          <w:b w:val="0"/>
        </w:rPr>
      </w:r>
      <w:r>
        <w:rPr>
          <w:spacing w:val="-2"/>
        </w:rPr>
        <w:t>Borrowings</w:t>
      </w:r>
    </w:p>
    <w:p>
      <w:pPr>
        <w:pStyle w:val="BodyText"/>
        <w:spacing w:before="20"/>
        <w:rPr>
          <w:b/>
        </w:rPr>
      </w:pPr>
    </w:p>
    <w:p>
      <w:pPr>
        <w:pStyle w:val="Heading3"/>
        <w:rPr>
          <w:i/>
        </w:rPr>
      </w:pPr>
      <w:r>
        <w:rPr>
          <w:i/>
        </w:rPr>
        <w:t>CSC</w:t>
      </w:r>
      <w:r>
        <w:rPr>
          <w:i/>
          <w:spacing w:val="-4"/>
        </w:rPr>
        <w:t> </w:t>
      </w:r>
      <w:r>
        <w:rPr>
          <w:i/>
        </w:rPr>
        <w:t>Senior</w:t>
      </w:r>
      <w:r>
        <w:rPr>
          <w:i/>
          <w:spacing w:val="-4"/>
        </w:rPr>
        <w:t> </w:t>
      </w:r>
      <w:r>
        <w:rPr>
          <w:i/>
          <w:spacing w:val="-2"/>
        </w:rPr>
        <w:t>Notes</w:t>
      </w:r>
    </w:p>
    <w:p>
      <w:pPr>
        <w:pStyle w:val="BodyText"/>
        <w:spacing w:before="23"/>
        <w:rPr>
          <w:b/>
          <w:i/>
        </w:rPr>
      </w:pPr>
    </w:p>
    <w:p>
      <w:pPr>
        <w:pStyle w:val="BodyText"/>
        <w:spacing w:line="249" w:lineRule="auto"/>
        <w:ind w:left="470" w:right="500"/>
      </w:pPr>
      <w:r>
        <w:rPr/>
        <w:t>CSC’s Senior Notes are unsecured obligations. CSC may redeem some or all of the Senior Notes of each series prior to their maturity,</w:t>
      </w:r>
      <w:r>
        <w:rPr>
          <w:spacing w:val="-1"/>
        </w:rPr>
        <w:t> </w:t>
      </w:r>
      <w:r>
        <w:rPr/>
        <w:t>subject</w:t>
      </w:r>
      <w:r>
        <w:rPr>
          <w:spacing w:val="-2"/>
        </w:rPr>
        <w:t> </w:t>
      </w:r>
      <w:r>
        <w:rPr/>
        <w:t>to</w:t>
      </w:r>
      <w:r>
        <w:rPr>
          <w:spacing w:val="-1"/>
        </w:rPr>
        <w:t> </w:t>
      </w:r>
      <w:r>
        <w:rPr/>
        <w:t>certain</w:t>
      </w:r>
      <w:r>
        <w:rPr>
          <w:spacing w:val="-1"/>
        </w:rPr>
        <w:t> </w:t>
      </w:r>
      <w:r>
        <w:rPr/>
        <w:t>restrictions,</w:t>
      </w:r>
      <w:r>
        <w:rPr>
          <w:spacing w:val="-1"/>
        </w:rPr>
        <w:t> </w:t>
      </w:r>
      <w:r>
        <w:rPr/>
        <w:t>and</w:t>
      </w:r>
      <w:r>
        <w:rPr>
          <w:spacing w:val="-1"/>
        </w:rPr>
        <w:t> </w:t>
      </w:r>
      <w:r>
        <w:rPr/>
        <w:t>the</w:t>
      </w:r>
      <w:r>
        <w:rPr>
          <w:spacing w:val="-2"/>
        </w:rPr>
        <w:t> </w:t>
      </w:r>
      <w:r>
        <w:rPr/>
        <w:t>payment</w:t>
      </w:r>
      <w:r>
        <w:rPr>
          <w:spacing w:val="-2"/>
        </w:rPr>
        <w:t> </w:t>
      </w:r>
      <w:r>
        <w:rPr/>
        <w:t>of</w:t>
      </w:r>
      <w:r>
        <w:rPr>
          <w:spacing w:val="-1"/>
        </w:rPr>
        <w:t> </w:t>
      </w:r>
      <w:r>
        <w:rPr/>
        <w:t>an</w:t>
      </w:r>
      <w:r>
        <w:rPr>
          <w:spacing w:val="-1"/>
        </w:rPr>
        <w:t> </w:t>
      </w:r>
      <w:r>
        <w:rPr/>
        <w:t>applicable</w:t>
      </w:r>
      <w:r>
        <w:rPr>
          <w:spacing w:val="-2"/>
        </w:rPr>
        <w:t> </w:t>
      </w:r>
      <w:r>
        <w:rPr/>
        <w:t>make-whole</w:t>
      </w:r>
      <w:r>
        <w:rPr>
          <w:spacing w:val="-2"/>
        </w:rPr>
        <w:t> </w:t>
      </w:r>
      <w:r>
        <w:rPr/>
        <w:t>premium</w:t>
      </w:r>
      <w:r>
        <w:rPr>
          <w:spacing w:val="-2"/>
        </w:rPr>
        <w:t> </w:t>
      </w:r>
      <w:r>
        <w:rPr/>
        <w:t>in</w:t>
      </w:r>
      <w:r>
        <w:rPr>
          <w:spacing w:val="-1"/>
        </w:rPr>
        <w:t> </w:t>
      </w:r>
      <w:r>
        <w:rPr/>
        <w:t>certain</w:t>
      </w:r>
      <w:r>
        <w:rPr>
          <w:spacing w:val="-1"/>
        </w:rPr>
        <w:t> </w:t>
      </w:r>
      <w:r>
        <w:rPr/>
        <w:t>instances.</w:t>
      </w:r>
      <w:r>
        <w:rPr>
          <w:spacing w:val="-1"/>
        </w:rPr>
        <w:t> </w:t>
      </w:r>
      <w:r>
        <w:rPr/>
        <w:t>Interest</w:t>
      </w:r>
      <w:r>
        <w:rPr>
          <w:spacing w:val="-2"/>
        </w:rPr>
        <w:t> </w:t>
      </w:r>
      <w:r>
        <w:rPr/>
        <w:t>is payable</w:t>
      </w:r>
      <w:r>
        <w:rPr>
          <w:spacing w:val="-4"/>
        </w:rPr>
        <w:t> </w:t>
      </w:r>
      <w:r>
        <w:rPr/>
        <w:t>semi-annually</w:t>
      </w:r>
      <w:r>
        <w:rPr>
          <w:spacing w:val="-3"/>
        </w:rPr>
        <w:t> </w:t>
      </w:r>
      <w:r>
        <w:rPr/>
        <w:t>for</w:t>
      </w:r>
      <w:r>
        <w:rPr>
          <w:spacing w:val="-3"/>
        </w:rPr>
        <w:t> </w:t>
      </w:r>
      <w:r>
        <w:rPr/>
        <w:t>the</w:t>
      </w:r>
      <w:r>
        <w:rPr>
          <w:spacing w:val="-4"/>
        </w:rPr>
        <w:t> </w:t>
      </w:r>
      <w:r>
        <w:rPr/>
        <w:t>fixed-rate</w:t>
      </w:r>
      <w:r>
        <w:rPr>
          <w:spacing w:val="-4"/>
        </w:rPr>
        <w:t> </w:t>
      </w:r>
      <w:r>
        <w:rPr/>
        <w:t>Senior</w:t>
      </w:r>
      <w:r>
        <w:rPr>
          <w:spacing w:val="-3"/>
        </w:rPr>
        <w:t> </w:t>
      </w:r>
      <w:r>
        <w:rPr/>
        <w:t>Notes</w:t>
      </w:r>
      <w:r>
        <w:rPr>
          <w:spacing w:val="-4"/>
        </w:rPr>
        <w:t> </w:t>
      </w:r>
      <w:r>
        <w:rPr/>
        <w:t>and</w:t>
      </w:r>
      <w:r>
        <w:rPr>
          <w:spacing w:val="-3"/>
        </w:rPr>
        <w:t> </w:t>
      </w:r>
      <w:r>
        <w:rPr/>
        <w:t>quarterly</w:t>
      </w:r>
      <w:r>
        <w:rPr>
          <w:spacing w:val="-3"/>
        </w:rPr>
        <w:t> </w:t>
      </w:r>
      <w:r>
        <w:rPr/>
        <w:t>for</w:t>
      </w:r>
      <w:r>
        <w:rPr>
          <w:spacing w:val="-3"/>
        </w:rPr>
        <w:t> </w:t>
      </w:r>
      <w:r>
        <w:rPr/>
        <w:t>the</w:t>
      </w:r>
      <w:r>
        <w:rPr>
          <w:spacing w:val="-4"/>
        </w:rPr>
        <w:t> </w:t>
      </w:r>
      <w:r>
        <w:rPr/>
        <w:t>floating-rate</w:t>
      </w:r>
      <w:r>
        <w:rPr>
          <w:spacing w:val="-4"/>
        </w:rPr>
        <w:t> </w:t>
      </w:r>
      <w:r>
        <w:rPr/>
        <w:t>Senior</w:t>
      </w:r>
      <w:r>
        <w:rPr>
          <w:spacing w:val="-3"/>
        </w:rPr>
        <w:t> </w:t>
      </w:r>
      <w:r>
        <w:rPr/>
        <w:t>Notes.</w:t>
      </w:r>
      <w:r>
        <w:rPr>
          <w:spacing w:val="-3"/>
        </w:rPr>
        <w:t> </w:t>
      </w:r>
      <w:r>
        <w:rPr/>
        <w:t>Interest</w:t>
      </w:r>
      <w:r>
        <w:rPr>
          <w:spacing w:val="-4"/>
        </w:rPr>
        <w:t> </w:t>
      </w:r>
      <w:r>
        <w:rPr/>
        <w:t>for</w:t>
      </w:r>
      <w:r>
        <w:rPr>
          <w:spacing w:val="-3"/>
        </w:rPr>
        <w:t> </w:t>
      </w:r>
      <w:r>
        <w:rPr/>
        <w:t>the</w:t>
      </w:r>
      <w:r>
        <w:rPr>
          <w:spacing w:val="-4"/>
        </w:rPr>
        <w:t> </w:t>
      </w:r>
      <w:r>
        <w:rPr/>
        <w:t>fixed-to- floating rate Senior Notes is payable semi-annually during the fixed rate period of the notes and quarterly during the floating rate period of the notes.</w:t>
      </w:r>
    </w:p>
    <w:p>
      <w:pPr>
        <w:pStyle w:val="BodyText"/>
        <w:spacing w:before="11"/>
      </w:pPr>
    </w:p>
    <w:p>
      <w:pPr>
        <w:pStyle w:val="Heading3"/>
        <w:rPr>
          <w:i/>
        </w:rPr>
      </w:pPr>
      <w:r>
        <w:rPr>
          <w:i/>
        </w:rPr>
        <w:t>TDA</w:t>
      </w:r>
      <w:r>
        <w:rPr>
          <w:i/>
          <w:spacing w:val="-5"/>
        </w:rPr>
        <w:t> </w:t>
      </w:r>
      <w:r>
        <w:rPr>
          <w:i/>
        </w:rPr>
        <w:t>Holding</w:t>
      </w:r>
      <w:r>
        <w:rPr>
          <w:i/>
          <w:spacing w:val="-3"/>
        </w:rPr>
        <w:t> </w:t>
      </w:r>
      <w:r>
        <w:rPr>
          <w:i/>
        </w:rPr>
        <w:t>Senior</w:t>
      </w:r>
      <w:r>
        <w:rPr>
          <w:i/>
          <w:spacing w:val="-4"/>
        </w:rPr>
        <w:t> Notes</w:t>
      </w:r>
    </w:p>
    <w:p>
      <w:pPr>
        <w:pStyle w:val="BodyText"/>
        <w:spacing w:before="23"/>
        <w:rPr>
          <w:b/>
          <w:i/>
        </w:rPr>
      </w:pPr>
    </w:p>
    <w:p>
      <w:pPr>
        <w:pStyle w:val="BodyText"/>
        <w:spacing w:line="249" w:lineRule="auto"/>
        <w:ind w:left="470" w:right="500"/>
      </w:pPr>
      <w:r>
        <w:rPr/>
        <w:t>TDA Holding’s Senior Notes are unsecured obligations. TDA Holding may redeem some or all of the Senior Notes of each series</w:t>
      </w:r>
      <w:r>
        <w:rPr>
          <w:spacing w:val="-4"/>
        </w:rPr>
        <w:t> </w:t>
      </w:r>
      <w:r>
        <w:rPr/>
        <w:t>prior</w:t>
      </w:r>
      <w:r>
        <w:rPr>
          <w:spacing w:val="-3"/>
        </w:rPr>
        <w:t> </w:t>
      </w:r>
      <w:r>
        <w:rPr/>
        <w:t>to</w:t>
      </w:r>
      <w:r>
        <w:rPr>
          <w:spacing w:val="-3"/>
        </w:rPr>
        <w:t> </w:t>
      </w:r>
      <w:r>
        <w:rPr/>
        <w:t>their</w:t>
      </w:r>
      <w:r>
        <w:rPr>
          <w:spacing w:val="-3"/>
        </w:rPr>
        <w:t> </w:t>
      </w:r>
      <w:r>
        <w:rPr/>
        <w:t>maturity,</w:t>
      </w:r>
      <w:r>
        <w:rPr>
          <w:spacing w:val="-3"/>
        </w:rPr>
        <w:t> </w:t>
      </w:r>
      <w:r>
        <w:rPr/>
        <w:t>subject</w:t>
      </w:r>
      <w:r>
        <w:rPr>
          <w:spacing w:val="-4"/>
        </w:rPr>
        <w:t> </w:t>
      </w:r>
      <w:r>
        <w:rPr/>
        <w:t>to</w:t>
      </w:r>
      <w:r>
        <w:rPr>
          <w:spacing w:val="-3"/>
        </w:rPr>
        <w:t> </w:t>
      </w:r>
      <w:r>
        <w:rPr/>
        <w:t>certain</w:t>
      </w:r>
      <w:r>
        <w:rPr>
          <w:spacing w:val="-3"/>
        </w:rPr>
        <w:t> </w:t>
      </w:r>
      <w:r>
        <w:rPr/>
        <w:t>restrictions,</w:t>
      </w:r>
      <w:r>
        <w:rPr>
          <w:spacing w:val="-3"/>
        </w:rPr>
        <w:t> </w:t>
      </w:r>
      <w:r>
        <w:rPr/>
        <w:t>and</w:t>
      </w:r>
      <w:r>
        <w:rPr>
          <w:spacing w:val="-3"/>
        </w:rPr>
        <w:t> </w:t>
      </w:r>
      <w:r>
        <w:rPr/>
        <w:t>the</w:t>
      </w:r>
      <w:r>
        <w:rPr>
          <w:spacing w:val="-4"/>
        </w:rPr>
        <w:t> </w:t>
      </w:r>
      <w:r>
        <w:rPr/>
        <w:t>payment</w:t>
      </w:r>
      <w:r>
        <w:rPr>
          <w:spacing w:val="-4"/>
        </w:rPr>
        <w:t> </w:t>
      </w:r>
      <w:r>
        <w:rPr/>
        <w:t>of</w:t>
      </w:r>
      <w:r>
        <w:rPr>
          <w:spacing w:val="-3"/>
        </w:rPr>
        <w:t> </w:t>
      </w:r>
      <w:r>
        <w:rPr/>
        <w:t>an</w:t>
      </w:r>
      <w:r>
        <w:rPr>
          <w:spacing w:val="-3"/>
        </w:rPr>
        <w:t> </w:t>
      </w:r>
      <w:r>
        <w:rPr/>
        <w:t>applicable</w:t>
      </w:r>
      <w:r>
        <w:rPr>
          <w:spacing w:val="-4"/>
        </w:rPr>
        <w:t> </w:t>
      </w:r>
      <w:r>
        <w:rPr/>
        <w:t>make-whole</w:t>
      </w:r>
      <w:r>
        <w:rPr>
          <w:spacing w:val="-4"/>
        </w:rPr>
        <w:t> </w:t>
      </w:r>
      <w:r>
        <w:rPr/>
        <w:t>premium</w:t>
      </w:r>
      <w:r>
        <w:rPr>
          <w:spacing w:val="-4"/>
        </w:rPr>
        <w:t> </w:t>
      </w:r>
      <w:r>
        <w:rPr/>
        <w:t>in</w:t>
      </w:r>
      <w:r>
        <w:rPr>
          <w:spacing w:val="-3"/>
        </w:rPr>
        <w:t> </w:t>
      </w:r>
      <w:r>
        <w:rPr/>
        <w:t>certain instances. Interest is payable semi-annually for the fixed-rate Senior Notes.</w:t>
      </w:r>
    </w:p>
    <w:p>
      <w:pPr>
        <w:spacing w:after="0" w:line="249" w:lineRule="auto"/>
        <w:sectPr>
          <w:pgSz w:w="12240" w:h="15840"/>
          <w:pgMar w:header="227" w:footer="201" w:top="1080" w:bottom="400" w:left="520" w:right="520"/>
        </w:sectPr>
      </w:pPr>
    </w:p>
    <w:p>
      <w:pPr>
        <w:pStyle w:val="BodyText"/>
        <w:spacing w:before="214"/>
        <w:ind w:left="470"/>
      </w:pPr>
      <w:r>
        <w:rPr/>
        <mc:AlternateContent>
          <mc:Choice Requires="wps">
            <w:drawing>
              <wp:anchor distT="0" distB="0" distL="0" distR="0" allowOverlap="1" layoutInCell="1" locked="0" behindDoc="0" simplePos="0" relativeHeight="15755264">
                <wp:simplePos x="0" y="0"/>
                <wp:positionH relativeFrom="page">
                  <wp:posOffset>628650</wp:posOffset>
                </wp:positionH>
                <wp:positionV relativeFrom="paragraph">
                  <wp:posOffset>379470</wp:posOffset>
                </wp:positionV>
                <wp:extent cx="6524625" cy="6350"/>
                <wp:effectExtent l="0" t="0" r="0" b="0"/>
                <wp:wrapNone/>
                <wp:docPr id="387" name="Group 387"/>
                <wp:cNvGraphicFramePr>
                  <a:graphicFrameLocks/>
                </wp:cNvGraphicFramePr>
                <a:graphic>
                  <a:graphicData uri="http://schemas.microsoft.com/office/word/2010/wordprocessingGroup">
                    <wpg:wgp>
                      <wpg:cNvPr id="387" name="Group 387"/>
                      <wpg:cNvGrpSpPr/>
                      <wpg:grpSpPr>
                        <a:xfrm>
                          <a:off x="0" y="0"/>
                          <a:ext cx="6524625" cy="6350"/>
                          <a:chExt cx="6524625" cy="6350"/>
                        </a:xfrm>
                      </wpg:grpSpPr>
                      <wps:wsp>
                        <wps:cNvPr id="388" name="Graphic 388"/>
                        <wps:cNvSpPr/>
                        <wps:spPr>
                          <a:xfrm>
                            <a:off x="0" y="3175"/>
                            <a:ext cx="6524625" cy="1270"/>
                          </a:xfrm>
                          <a:custGeom>
                            <a:avLst/>
                            <a:gdLst/>
                            <a:ahLst/>
                            <a:cxnLst/>
                            <a:rect l="l" t="t" r="r" b="b"/>
                            <a:pathLst>
                              <a:path w="6524625" h="0">
                                <a:moveTo>
                                  <a:pt x="6524625" y="0"/>
                                </a:moveTo>
                                <a:lnTo>
                                  <a:pt x="0" y="0"/>
                                </a:lnTo>
                              </a:path>
                            </a:pathLst>
                          </a:custGeom>
                          <a:solidFill>
                            <a:srgbClr val="000000"/>
                          </a:solidFill>
                        </wps:spPr>
                        <wps:bodyPr wrap="square" lIns="0" tIns="0" rIns="0" bIns="0" rtlCol="0">
                          <a:prstTxWarp prst="textNoShape">
                            <a:avLst/>
                          </a:prstTxWarp>
                          <a:noAutofit/>
                        </wps:bodyPr>
                      </wps:wsp>
                      <wps:wsp>
                        <wps:cNvPr id="389" name="Graphic 389"/>
                        <wps:cNvSpPr/>
                        <wps:spPr>
                          <a:xfrm>
                            <a:off x="0" y="3175"/>
                            <a:ext cx="6524625" cy="1270"/>
                          </a:xfrm>
                          <a:custGeom>
                            <a:avLst/>
                            <a:gdLst/>
                            <a:ahLst/>
                            <a:cxnLst/>
                            <a:rect l="l" t="t" r="r" b="b"/>
                            <a:pathLst>
                              <a:path w="6524625" h="0">
                                <a:moveTo>
                                  <a:pt x="0" y="0"/>
                                </a:moveTo>
                                <a:lnTo>
                                  <a:pt x="652462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29.879532pt;width:513.75pt;height:.5pt;mso-position-horizontal-relative:page;mso-position-vertical-relative:paragraph;z-index:15755264" id="docshapegroup268" coordorigin="990,598" coordsize="10275,10">
                <v:shape style="position:absolute;left:990;top:602;width:10275;height:2" id="docshape269" coordorigin="990,603" coordsize="10275,0" path="m11265,603l990,603e" filled="true" fillcolor="#000000" stroked="false">
                  <v:path arrowok="t"/>
                  <v:fill opacity="0f" type="solid"/>
                </v:shape>
                <v:line style="position:absolute" from="990,603" to="11265,603" stroked="true" strokeweight=".5pt" strokecolor="#000000">
                  <v:stroke dashstyle="solid"/>
                </v:line>
                <w10:wrap type="none"/>
              </v:group>
            </w:pict>
          </mc:Fallback>
        </mc:AlternateContent>
      </w:r>
      <w:r>
        <w:rPr/>
        <w:t>The</w:t>
      </w:r>
      <w:r>
        <w:rPr>
          <w:spacing w:val="-4"/>
        </w:rPr>
        <w:t> </w:t>
      </w:r>
      <w:r>
        <w:rPr/>
        <w:t>following</w:t>
      </w:r>
      <w:r>
        <w:rPr>
          <w:spacing w:val="-2"/>
        </w:rPr>
        <w:t> </w:t>
      </w:r>
      <w:r>
        <w:rPr/>
        <w:t>table</w:t>
      </w:r>
      <w:r>
        <w:rPr>
          <w:spacing w:val="-4"/>
        </w:rPr>
        <w:t> </w:t>
      </w:r>
      <w:r>
        <w:rPr/>
        <w:t>lists</w:t>
      </w:r>
      <w:r>
        <w:rPr>
          <w:spacing w:val="-3"/>
        </w:rPr>
        <w:t> </w:t>
      </w:r>
      <w:r>
        <w:rPr/>
        <w:t>long-term</w:t>
      </w:r>
      <w:r>
        <w:rPr>
          <w:spacing w:val="-3"/>
        </w:rPr>
        <w:t> </w:t>
      </w:r>
      <w:r>
        <w:rPr/>
        <w:t>debt</w:t>
      </w:r>
      <w:r>
        <w:rPr>
          <w:spacing w:val="-3"/>
        </w:rPr>
        <w:t> </w:t>
      </w:r>
      <w:r>
        <w:rPr/>
        <w:t>by</w:t>
      </w:r>
      <w:r>
        <w:rPr>
          <w:spacing w:val="-3"/>
        </w:rPr>
        <w:t> </w:t>
      </w:r>
      <w:r>
        <w:rPr/>
        <w:t>instrument</w:t>
      </w:r>
      <w:r>
        <w:rPr>
          <w:spacing w:val="-3"/>
        </w:rPr>
        <w:t> </w:t>
      </w:r>
      <w:r>
        <w:rPr/>
        <w:t>outstanding</w:t>
      </w:r>
      <w:r>
        <w:rPr>
          <w:spacing w:val="-3"/>
        </w:rPr>
        <w:t> </w:t>
      </w:r>
      <w:r>
        <w:rPr/>
        <w:t>as</w:t>
      </w:r>
      <w:r>
        <w:rPr>
          <w:spacing w:val="-3"/>
        </w:rPr>
        <w:t> </w:t>
      </w:r>
      <w:r>
        <w:rPr/>
        <w:t>of</w:t>
      </w:r>
      <w:r>
        <w:rPr>
          <w:spacing w:val="-2"/>
        </w:rPr>
        <w:t> </w:t>
      </w:r>
      <w:r>
        <w:rPr/>
        <w:t>September</w:t>
      </w:r>
      <w:r>
        <w:rPr>
          <w:spacing w:val="-3"/>
        </w:rPr>
        <w:t> </w:t>
      </w:r>
      <w:r>
        <w:rPr/>
        <w:t>30,</w:t>
      </w:r>
      <w:r>
        <w:rPr>
          <w:spacing w:val="-2"/>
        </w:rPr>
        <w:t> </w:t>
      </w:r>
      <w:r>
        <w:rPr/>
        <w:t>2023</w:t>
      </w:r>
      <w:r>
        <w:rPr>
          <w:spacing w:val="-2"/>
        </w:rPr>
        <w:t> </w:t>
      </w:r>
      <w:r>
        <w:rPr/>
        <w:t>and</w:t>
      </w:r>
      <w:r>
        <w:rPr>
          <w:spacing w:val="-3"/>
        </w:rPr>
        <w:t> </w:t>
      </w:r>
      <w:r>
        <w:rPr/>
        <w:t>December</w:t>
      </w:r>
      <w:r>
        <w:rPr>
          <w:spacing w:val="-2"/>
        </w:rPr>
        <w:t> </w:t>
      </w:r>
      <w:r>
        <w:rPr/>
        <w:t>31,</w:t>
      </w:r>
      <w:r>
        <w:rPr>
          <w:spacing w:val="-2"/>
        </w:rPr>
        <w:t> </w:t>
      </w:r>
      <w:r>
        <w:rPr>
          <w:spacing w:val="-4"/>
        </w:rPr>
        <w:t>2022:</w:t>
      </w:r>
    </w:p>
    <w:p>
      <w:pPr>
        <w:spacing w:after="0"/>
        <w:sectPr>
          <w:pgSz w:w="12240" w:h="15840"/>
          <w:pgMar w:header="227" w:footer="201" w:top="1080" w:bottom="400" w:left="520" w:right="520"/>
        </w:sectPr>
      </w:pPr>
    </w:p>
    <w:p>
      <w:pPr>
        <w:pStyle w:val="BodyText"/>
        <w:spacing w:before="44"/>
        <w:rPr>
          <w:sz w:val="18"/>
        </w:rPr>
      </w:pPr>
    </w:p>
    <w:p>
      <w:pPr>
        <w:spacing w:before="0"/>
        <w:ind w:left="0" w:right="0" w:firstLine="0"/>
        <w:jc w:val="right"/>
        <w:rPr>
          <w:sz w:val="18"/>
        </w:rPr>
      </w:pPr>
      <w:r>
        <w:rPr>
          <w:sz w:val="18"/>
        </w:rPr>
        <w:t>Date</w:t>
      </w:r>
      <w:r>
        <w:rPr>
          <w:spacing w:val="-1"/>
          <w:sz w:val="18"/>
        </w:rPr>
        <w:t> </w:t>
      </w:r>
      <w:r>
        <w:rPr>
          <w:spacing w:val="-5"/>
          <w:sz w:val="18"/>
        </w:rPr>
        <w:t>of</w:t>
      </w:r>
    </w:p>
    <w:p>
      <w:pPr>
        <w:spacing w:before="176"/>
        <w:ind w:left="643" w:right="0" w:firstLine="0"/>
        <w:jc w:val="left"/>
        <w:rPr>
          <w:sz w:val="18"/>
        </w:rPr>
      </w:pPr>
      <w:r>
        <w:rPr/>
        <w:br w:type="column"/>
      </w:r>
      <w:r>
        <w:rPr>
          <w:sz w:val="18"/>
        </w:rPr>
        <w:t>Principal</w:t>
      </w:r>
      <w:r>
        <w:rPr>
          <w:spacing w:val="-1"/>
          <w:sz w:val="18"/>
        </w:rPr>
        <w:t> </w:t>
      </w:r>
      <w:r>
        <w:rPr>
          <w:sz w:val="18"/>
        </w:rPr>
        <w:t>Amount</w:t>
      </w:r>
      <w:r>
        <w:rPr>
          <w:spacing w:val="-1"/>
          <w:sz w:val="18"/>
        </w:rPr>
        <w:t> </w:t>
      </w:r>
      <w:r>
        <w:rPr>
          <w:spacing w:val="-2"/>
          <w:sz w:val="18"/>
        </w:rPr>
        <w:t>Outstanding</w:t>
      </w:r>
    </w:p>
    <w:p>
      <w:pPr>
        <w:spacing w:after="0"/>
        <w:jc w:val="left"/>
        <w:rPr>
          <w:sz w:val="18"/>
        </w:rPr>
        <w:sectPr>
          <w:type w:val="continuous"/>
          <w:pgSz w:w="12240" w:h="15840"/>
          <w:pgMar w:header="227" w:footer="201" w:top="320" w:bottom="280" w:left="520" w:right="520"/>
          <w:cols w:num="2" w:equalWidth="0">
            <w:col w:w="7353" w:space="40"/>
            <w:col w:w="3807"/>
          </w:cols>
        </w:sect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4"/>
        <w:gridCol w:w="2353"/>
        <w:gridCol w:w="628"/>
        <w:gridCol w:w="1036"/>
        <w:gridCol w:w="571"/>
        <w:gridCol w:w="1017"/>
      </w:tblGrid>
      <w:tr>
        <w:trPr>
          <w:trHeight w:val="224" w:hRule="atLeast"/>
        </w:trPr>
        <w:tc>
          <w:tcPr>
            <w:tcW w:w="4674" w:type="dxa"/>
            <w:tcBorders>
              <w:bottom w:val="single" w:sz="4" w:space="0" w:color="000000"/>
            </w:tcBorders>
          </w:tcPr>
          <w:p>
            <w:pPr>
              <w:pStyle w:val="TableParagraph"/>
              <w:rPr>
                <w:sz w:val="16"/>
              </w:rPr>
            </w:pPr>
          </w:p>
        </w:tc>
        <w:tc>
          <w:tcPr>
            <w:tcW w:w="2353" w:type="dxa"/>
            <w:tcBorders>
              <w:bottom w:val="single" w:sz="4" w:space="0" w:color="000000"/>
            </w:tcBorders>
          </w:tcPr>
          <w:p>
            <w:pPr>
              <w:pStyle w:val="TableParagraph"/>
              <w:spacing w:line="181" w:lineRule="exact"/>
              <w:ind w:right="99"/>
              <w:jc w:val="right"/>
              <w:rPr>
                <w:sz w:val="18"/>
              </w:rPr>
            </w:pPr>
            <w:r>
              <w:rPr>
                <w:spacing w:val="-2"/>
                <w:sz w:val="18"/>
              </w:rPr>
              <w:t>Issuance</w:t>
            </w:r>
          </w:p>
        </w:tc>
        <w:tc>
          <w:tcPr>
            <w:tcW w:w="1664" w:type="dxa"/>
            <w:gridSpan w:val="2"/>
            <w:tcBorders>
              <w:bottom w:val="single" w:sz="4" w:space="0" w:color="000000"/>
            </w:tcBorders>
          </w:tcPr>
          <w:p>
            <w:pPr>
              <w:pStyle w:val="TableParagraph"/>
              <w:spacing w:line="181" w:lineRule="exact"/>
              <w:ind w:left="118"/>
              <w:rPr>
                <w:sz w:val="18"/>
              </w:rPr>
            </w:pPr>
            <w:r>
              <w:rPr>
                <w:sz w:val="18"/>
              </w:rPr>
              <w:t>September</w:t>
            </w:r>
            <w:r>
              <w:rPr>
                <w:spacing w:val="-1"/>
                <w:sz w:val="18"/>
              </w:rPr>
              <w:t> </w:t>
            </w:r>
            <w:r>
              <w:rPr>
                <w:sz w:val="18"/>
              </w:rPr>
              <w:t>30, </w:t>
            </w:r>
            <w:r>
              <w:rPr>
                <w:spacing w:val="-4"/>
                <w:sz w:val="18"/>
              </w:rPr>
              <w:t>2023</w:t>
            </w:r>
          </w:p>
        </w:tc>
        <w:tc>
          <w:tcPr>
            <w:tcW w:w="1588" w:type="dxa"/>
            <w:gridSpan w:val="2"/>
            <w:tcBorders>
              <w:bottom w:val="single" w:sz="4" w:space="0" w:color="000000"/>
            </w:tcBorders>
          </w:tcPr>
          <w:p>
            <w:pPr>
              <w:pStyle w:val="TableParagraph"/>
              <w:spacing w:line="181" w:lineRule="exact"/>
              <w:ind w:left="74"/>
              <w:rPr>
                <w:sz w:val="18"/>
              </w:rPr>
            </w:pPr>
            <w:r>
              <w:rPr>
                <w:sz w:val="18"/>
              </w:rPr>
              <w:t>December</w:t>
            </w:r>
            <w:r>
              <w:rPr>
                <w:spacing w:val="-1"/>
                <w:sz w:val="18"/>
              </w:rPr>
              <w:t> </w:t>
            </w:r>
            <w:r>
              <w:rPr>
                <w:sz w:val="18"/>
              </w:rPr>
              <w:t>31, </w:t>
            </w:r>
            <w:r>
              <w:rPr>
                <w:spacing w:val="-4"/>
                <w:sz w:val="18"/>
              </w:rPr>
              <w:t>2022</w:t>
            </w:r>
          </w:p>
        </w:tc>
      </w:tr>
      <w:tr>
        <w:trPr>
          <w:trHeight w:val="250" w:hRule="atLeast"/>
        </w:trPr>
        <w:tc>
          <w:tcPr>
            <w:tcW w:w="4674" w:type="dxa"/>
            <w:tcBorders>
              <w:top w:val="single" w:sz="4" w:space="0" w:color="000000"/>
            </w:tcBorders>
          </w:tcPr>
          <w:p>
            <w:pPr>
              <w:pStyle w:val="TableParagraph"/>
              <w:spacing w:line="202" w:lineRule="exact"/>
              <w:ind w:left="52"/>
              <w:rPr>
                <w:sz w:val="18"/>
              </w:rPr>
            </w:pPr>
            <w:r>
              <w:rPr>
                <w:sz w:val="18"/>
              </w:rPr>
              <w:t>CSC</w:t>
            </w:r>
            <w:r>
              <w:rPr>
                <w:spacing w:val="-1"/>
                <w:sz w:val="18"/>
              </w:rPr>
              <w:t> </w:t>
            </w:r>
            <w:r>
              <w:rPr>
                <w:sz w:val="18"/>
              </w:rPr>
              <w:t>Fixed-rate</w:t>
            </w:r>
            <w:r>
              <w:rPr>
                <w:spacing w:val="-1"/>
                <w:sz w:val="18"/>
              </w:rPr>
              <w:t> </w:t>
            </w:r>
            <w:r>
              <w:rPr>
                <w:sz w:val="18"/>
              </w:rPr>
              <w:t>Senior</w:t>
            </w:r>
            <w:r>
              <w:rPr>
                <w:spacing w:val="-1"/>
                <w:sz w:val="18"/>
              </w:rPr>
              <w:t> </w:t>
            </w:r>
            <w:r>
              <w:rPr>
                <w:spacing w:val="-2"/>
                <w:sz w:val="18"/>
              </w:rPr>
              <w:t>Notes:</w:t>
            </w:r>
          </w:p>
        </w:tc>
        <w:tc>
          <w:tcPr>
            <w:tcW w:w="2353" w:type="dxa"/>
            <w:tcBorders>
              <w:top w:val="single" w:sz="4" w:space="0" w:color="000000"/>
            </w:tcBorders>
          </w:tcPr>
          <w:p>
            <w:pPr>
              <w:pStyle w:val="TableParagraph"/>
              <w:rPr>
                <w:sz w:val="16"/>
              </w:rPr>
            </w:pPr>
          </w:p>
        </w:tc>
        <w:tc>
          <w:tcPr>
            <w:tcW w:w="1664" w:type="dxa"/>
            <w:gridSpan w:val="2"/>
            <w:tcBorders>
              <w:top w:val="single" w:sz="4" w:space="0" w:color="000000"/>
            </w:tcBorders>
          </w:tcPr>
          <w:p>
            <w:pPr>
              <w:pStyle w:val="TableParagraph"/>
              <w:rPr>
                <w:sz w:val="16"/>
              </w:rPr>
            </w:pPr>
          </w:p>
        </w:tc>
        <w:tc>
          <w:tcPr>
            <w:tcW w:w="1588" w:type="dxa"/>
            <w:gridSpan w:val="2"/>
            <w:tcBorders>
              <w:top w:val="single" w:sz="4" w:space="0" w:color="000000"/>
            </w:tcBorders>
          </w:tcPr>
          <w:p>
            <w:pPr>
              <w:pStyle w:val="TableParagraph"/>
              <w:rPr>
                <w:sz w:val="16"/>
              </w:rPr>
            </w:pPr>
          </w:p>
        </w:tc>
      </w:tr>
      <w:tr>
        <w:trPr>
          <w:trHeight w:val="255" w:hRule="atLeast"/>
        </w:trPr>
        <w:tc>
          <w:tcPr>
            <w:tcW w:w="4674" w:type="dxa"/>
            <w:shd w:val="clear" w:color="auto" w:fill="CCEDFF"/>
          </w:tcPr>
          <w:p>
            <w:pPr>
              <w:pStyle w:val="TableParagraph"/>
              <w:spacing w:line="207" w:lineRule="exact"/>
              <w:ind w:left="172"/>
              <w:rPr>
                <w:sz w:val="18"/>
              </w:rPr>
            </w:pPr>
            <w:r>
              <w:rPr>
                <w:sz w:val="18"/>
              </w:rPr>
              <w:t>2.650%</w:t>
            </w:r>
            <w:r>
              <w:rPr>
                <w:spacing w:val="-2"/>
                <w:sz w:val="18"/>
              </w:rPr>
              <w:t> </w:t>
            </w:r>
            <w:r>
              <w:rPr>
                <w:sz w:val="18"/>
              </w:rPr>
              <w:t>due January 25, </w:t>
            </w:r>
            <w:r>
              <w:rPr>
                <w:spacing w:val="-4"/>
                <w:sz w:val="18"/>
              </w:rPr>
              <w:t>2023</w:t>
            </w:r>
          </w:p>
        </w:tc>
        <w:tc>
          <w:tcPr>
            <w:tcW w:w="2353" w:type="dxa"/>
            <w:shd w:val="clear" w:color="auto" w:fill="CCEDFF"/>
          </w:tcPr>
          <w:p>
            <w:pPr>
              <w:pStyle w:val="TableParagraph"/>
              <w:spacing w:line="207" w:lineRule="exact"/>
              <w:ind w:right="89"/>
              <w:jc w:val="right"/>
              <w:rPr>
                <w:sz w:val="18"/>
              </w:rPr>
            </w:pPr>
            <w:r>
              <w:rPr>
                <w:spacing w:val="-2"/>
                <w:sz w:val="18"/>
              </w:rPr>
              <w:t>12/07/17</w:t>
            </w:r>
          </w:p>
        </w:tc>
        <w:tc>
          <w:tcPr>
            <w:tcW w:w="1664" w:type="dxa"/>
            <w:gridSpan w:val="2"/>
            <w:shd w:val="clear" w:color="auto" w:fill="CCEDFF"/>
          </w:tcPr>
          <w:p>
            <w:pPr>
              <w:pStyle w:val="TableParagraph"/>
              <w:tabs>
                <w:tab w:pos="1387" w:val="left" w:leader="none"/>
              </w:tabs>
              <w:spacing w:line="207" w:lineRule="exact"/>
              <w:ind w:left="90"/>
              <w:rPr>
                <w:sz w:val="18"/>
              </w:rPr>
            </w:pPr>
            <w:r>
              <w:rPr>
                <w:spacing w:val="-10"/>
                <w:sz w:val="18"/>
              </w:rPr>
              <w:t>$</w:t>
            </w:r>
            <w:r>
              <w:rPr>
                <w:sz w:val="18"/>
              </w:rPr>
              <w:tab/>
            </w:r>
            <w:r>
              <w:rPr>
                <w:spacing w:val="-10"/>
                <w:sz w:val="18"/>
              </w:rPr>
              <w:t>—</w:t>
            </w:r>
          </w:p>
        </w:tc>
        <w:tc>
          <w:tcPr>
            <w:tcW w:w="1588" w:type="dxa"/>
            <w:gridSpan w:val="2"/>
            <w:shd w:val="clear" w:color="auto" w:fill="CCEDFF"/>
          </w:tcPr>
          <w:p>
            <w:pPr>
              <w:pStyle w:val="TableParagraph"/>
              <w:tabs>
                <w:tab w:pos="1238" w:val="left" w:leader="none"/>
              </w:tabs>
              <w:spacing w:line="207" w:lineRule="exact"/>
              <w:ind w:left="31"/>
              <w:rPr>
                <w:sz w:val="18"/>
              </w:rPr>
            </w:pPr>
            <w:r>
              <w:rPr>
                <w:spacing w:val="-10"/>
                <w:sz w:val="18"/>
              </w:rPr>
              <w:t>$</w:t>
            </w:r>
            <w:r>
              <w:rPr>
                <w:sz w:val="18"/>
              </w:rPr>
              <w:tab/>
            </w:r>
            <w:r>
              <w:rPr>
                <w:spacing w:val="-5"/>
                <w:sz w:val="18"/>
              </w:rPr>
              <w:t>800</w:t>
            </w:r>
          </w:p>
        </w:tc>
      </w:tr>
      <w:tr>
        <w:trPr>
          <w:trHeight w:val="255" w:hRule="atLeast"/>
        </w:trPr>
        <w:tc>
          <w:tcPr>
            <w:tcW w:w="4674" w:type="dxa"/>
          </w:tcPr>
          <w:p>
            <w:pPr>
              <w:pStyle w:val="TableParagraph"/>
              <w:spacing w:line="207" w:lineRule="exact"/>
              <w:ind w:left="172"/>
              <w:rPr>
                <w:sz w:val="18"/>
              </w:rPr>
            </w:pPr>
            <w:r>
              <w:rPr>
                <w:sz w:val="18"/>
              </w:rPr>
              <w:t>3.550%</w:t>
            </w:r>
            <w:r>
              <w:rPr>
                <w:spacing w:val="-2"/>
                <w:sz w:val="18"/>
              </w:rPr>
              <w:t> </w:t>
            </w:r>
            <w:r>
              <w:rPr>
                <w:sz w:val="18"/>
              </w:rPr>
              <w:t>due February 1, </w:t>
            </w:r>
            <w:r>
              <w:rPr>
                <w:spacing w:val="-4"/>
                <w:sz w:val="18"/>
              </w:rPr>
              <w:t>2024</w:t>
            </w:r>
          </w:p>
        </w:tc>
        <w:tc>
          <w:tcPr>
            <w:tcW w:w="2353" w:type="dxa"/>
          </w:tcPr>
          <w:p>
            <w:pPr>
              <w:pStyle w:val="TableParagraph"/>
              <w:spacing w:line="207" w:lineRule="exact"/>
              <w:ind w:right="89"/>
              <w:jc w:val="right"/>
              <w:rPr>
                <w:sz w:val="18"/>
              </w:rPr>
            </w:pPr>
            <w:r>
              <w:rPr>
                <w:spacing w:val="-2"/>
                <w:sz w:val="18"/>
              </w:rPr>
              <w:t>10/31/18</w:t>
            </w:r>
          </w:p>
        </w:tc>
        <w:tc>
          <w:tcPr>
            <w:tcW w:w="1664" w:type="dxa"/>
            <w:gridSpan w:val="2"/>
          </w:tcPr>
          <w:p>
            <w:pPr>
              <w:pStyle w:val="TableParagraph"/>
              <w:spacing w:line="207" w:lineRule="exact"/>
              <w:ind w:right="93"/>
              <w:jc w:val="right"/>
              <w:rPr>
                <w:sz w:val="18"/>
              </w:rPr>
            </w:pPr>
            <w:r>
              <w:rPr>
                <w:spacing w:val="-5"/>
                <w:sz w:val="18"/>
              </w:rPr>
              <w:t>500</w:t>
            </w:r>
          </w:p>
        </w:tc>
        <w:tc>
          <w:tcPr>
            <w:tcW w:w="1588" w:type="dxa"/>
            <w:gridSpan w:val="2"/>
          </w:tcPr>
          <w:p>
            <w:pPr>
              <w:pStyle w:val="TableParagraph"/>
              <w:spacing w:line="207" w:lineRule="exact"/>
              <w:ind w:right="76"/>
              <w:jc w:val="right"/>
              <w:rPr>
                <w:sz w:val="18"/>
              </w:rPr>
            </w:pPr>
            <w:r>
              <w:rPr>
                <w:spacing w:val="-5"/>
                <w:sz w:val="18"/>
              </w:rPr>
              <w:t>500</w:t>
            </w:r>
          </w:p>
        </w:tc>
      </w:tr>
      <w:tr>
        <w:trPr>
          <w:trHeight w:val="255" w:hRule="atLeast"/>
        </w:trPr>
        <w:tc>
          <w:tcPr>
            <w:tcW w:w="4674" w:type="dxa"/>
            <w:shd w:val="clear" w:color="auto" w:fill="CCEDFF"/>
          </w:tcPr>
          <w:p>
            <w:pPr>
              <w:pStyle w:val="TableParagraph"/>
              <w:spacing w:line="207" w:lineRule="exact"/>
              <w:ind w:left="172"/>
              <w:rPr>
                <w:sz w:val="18"/>
              </w:rPr>
            </w:pPr>
            <w:r>
              <w:rPr>
                <w:sz w:val="18"/>
              </w:rPr>
              <w:t>0.750%</w:t>
            </w:r>
            <w:r>
              <w:rPr>
                <w:spacing w:val="-2"/>
                <w:sz w:val="18"/>
              </w:rPr>
              <w:t> </w:t>
            </w:r>
            <w:r>
              <w:rPr>
                <w:sz w:val="18"/>
              </w:rPr>
              <w:t>due March 18, </w:t>
            </w:r>
            <w:r>
              <w:rPr>
                <w:spacing w:val="-4"/>
                <w:sz w:val="18"/>
              </w:rPr>
              <w:t>2024</w:t>
            </w:r>
          </w:p>
        </w:tc>
        <w:tc>
          <w:tcPr>
            <w:tcW w:w="2353" w:type="dxa"/>
            <w:shd w:val="clear" w:color="auto" w:fill="CCEDFF"/>
          </w:tcPr>
          <w:p>
            <w:pPr>
              <w:pStyle w:val="TableParagraph"/>
              <w:spacing w:line="207" w:lineRule="exact"/>
              <w:ind w:right="89"/>
              <w:jc w:val="right"/>
              <w:rPr>
                <w:sz w:val="18"/>
              </w:rPr>
            </w:pPr>
            <w:r>
              <w:rPr>
                <w:spacing w:val="-2"/>
                <w:sz w:val="18"/>
              </w:rPr>
              <w:t>03/18/21</w:t>
            </w:r>
          </w:p>
        </w:tc>
        <w:tc>
          <w:tcPr>
            <w:tcW w:w="1664" w:type="dxa"/>
            <w:gridSpan w:val="2"/>
            <w:shd w:val="clear" w:color="auto" w:fill="CCEDFF"/>
          </w:tcPr>
          <w:p>
            <w:pPr>
              <w:pStyle w:val="TableParagraph"/>
              <w:spacing w:line="207" w:lineRule="exact"/>
              <w:ind w:right="93"/>
              <w:jc w:val="right"/>
              <w:rPr>
                <w:sz w:val="18"/>
              </w:rPr>
            </w:pPr>
            <w:r>
              <w:rPr>
                <w:spacing w:val="-2"/>
                <w:sz w:val="18"/>
              </w:rPr>
              <w:t>1,500</w:t>
            </w:r>
          </w:p>
        </w:tc>
        <w:tc>
          <w:tcPr>
            <w:tcW w:w="1588" w:type="dxa"/>
            <w:gridSpan w:val="2"/>
            <w:shd w:val="clear" w:color="auto" w:fill="CCEDFF"/>
          </w:tcPr>
          <w:p>
            <w:pPr>
              <w:pStyle w:val="TableParagraph"/>
              <w:spacing w:line="207" w:lineRule="exact"/>
              <w:ind w:right="76"/>
              <w:jc w:val="right"/>
              <w:rPr>
                <w:sz w:val="18"/>
              </w:rPr>
            </w:pPr>
            <w:r>
              <w:rPr>
                <w:spacing w:val="-2"/>
                <w:sz w:val="18"/>
              </w:rPr>
              <w:t>1,500</w:t>
            </w:r>
          </w:p>
        </w:tc>
      </w:tr>
      <w:tr>
        <w:trPr>
          <w:trHeight w:val="255" w:hRule="atLeast"/>
        </w:trPr>
        <w:tc>
          <w:tcPr>
            <w:tcW w:w="4674" w:type="dxa"/>
          </w:tcPr>
          <w:p>
            <w:pPr>
              <w:pStyle w:val="TableParagraph"/>
              <w:spacing w:line="207" w:lineRule="exact"/>
              <w:ind w:left="172"/>
              <w:rPr>
                <w:sz w:val="18"/>
              </w:rPr>
            </w:pPr>
            <w:r>
              <w:rPr>
                <w:sz w:val="18"/>
              </w:rPr>
              <w:t>3.750%</w:t>
            </w:r>
            <w:r>
              <w:rPr>
                <w:spacing w:val="-2"/>
                <w:sz w:val="18"/>
              </w:rPr>
              <w:t> </w:t>
            </w:r>
            <w:r>
              <w:rPr>
                <w:sz w:val="18"/>
              </w:rPr>
              <w:t>due April 1, </w:t>
            </w:r>
            <w:r>
              <w:rPr>
                <w:spacing w:val="-4"/>
                <w:sz w:val="18"/>
              </w:rPr>
              <w:t>2024</w:t>
            </w:r>
          </w:p>
        </w:tc>
        <w:tc>
          <w:tcPr>
            <w:tcW w:w="2353" w:type="dxa"/>
          </w:tcPr>
          <w:p>
            <w:pPr>
              <w:pStyle w:val="TableParagraph"/>
              <w:spacing w:line="207" w:lineRule="exact"/>
              <w:ind w:right="89"/>
              <w:jc w:val="right"/>
              <w:rPr>
                <w:sz w:val="18"/>
              </w:rPr>
            </w:pPr>
            <w:r>
              <w:rPr>
                <w:spacing w:val="-2"/>
                <w:sz w:val="18"/>
              </w:rPr>
              <w:t>09/24/21</w:t>
            </w:r>
          </w:p>
        </w:tc>
        <w:tc>
          <w:tcPr>
            <w:tcW w:w="1664" w:type="dxa"/>
            <w:gridSpan w:val="2"/>
          </w:tcPr>
          <w:p>
            <w:pPr>
              <w:pStyle w:val="TableParagraph"/>
              <w:spacing w:line="207" w:lineRule="exact"/>
              <w:ind w:right="93"/>
              <w:jc w:val="right"/>
              <w:rPr>
                <w:sz w:val="18"/>
              </w:rPr>
            </w:pPr>
            <w:r>
              <w:rPr>
                <w:spacing w:val="-5"/>
                <w:sz w:val="18"/>
              </w:rPr>
              <w:t>350</w:t>
            </w:r>
          </w:p>
        </w:tc>
        <w:tc>
          <w:tcPr>
            <w:tcW w:w="1588" w:type="dxa"/>
            <w:gridSpan w:val="2"/>
          </w:tcPr>
          <w:p>
            <w:pPr>
              <w:pStyle w:val="TableParagraph"/>
              <w:spacing w:line="207" w:lineRule="exact"/>
              <w:ind w:right="76"/>
              <w:jc w:val="right"/>
              <w:rPr>
                <w:sz w:val="18"/>
              </w:rPr>
            </w:pPr>
            <w:r>
              <w:rPr>
                <w:spacing w:val="-5"/>
                <w:sz w:val="18"/>
              </w:rPr>
              <w:t>350</w:t>
            </w:r>
          </w:p>
        </w:tc>
      </w:tr>
      <w:tr>
        <w:trPr>
          <w:trHeight w:val="255" w:hRule="atLeast"/>
        </w:trPr>
        <w:tc>
          <w:tcPr>
            <w:tcW w:w="4674" w:type="dxa"/>
            <w:shd w:val="clear" w:color="auto" w:fill="CCEDFF"/>
          </w:tcPr>
          <w:p>
            <w:pPr>
              <w:pStyle w:val="TableParagraph"/>
              <w:spacing w:line="207" w:lineRule="exact"/>
              <w:ind w:left="172"/>
              <w:rPr>
                <w:sz w:val="18"/>
              </w:rPr>
            </w:pPr>
            <w:r>
              <w:rPr>
                <w:sz w:val="18"/>
              </w:rPr>
              <w:t>3.000%</w:t>
            </w:r>
            <w:r>
              <w:rPr>
                <w:spacing w:val="-2"/>
                <w:sz w:val="18"/>
              </w:rPr>
              <w:t> </w:t>
            </w:r>
            <w:r>
              <w:rPr>
                <w:sz w:val="18"/>
              </w:rPr>
              <w:t>due March 10, </w:t>
            </w:r>
            <w:r>
              <w:rPr>
                <w:spacing w:val="-4"/>
                <w:sz w:val="18"/>
              </w:rPr>
              <w:t>2025</w:t>
            </w:r>
          </w:p>
        </w:tc>
        <w:tc>
          <w:tcPr>
            <w:tcW w:w="2353" w:type="dxa"/>
            <w:shd w:val="clear" w:color="auto" w:fill="CCEDFF"/>
          </w:tcPr>
          <w:p>
            <w:pPr>
              <w:pStyle w:val="TableParagraph"/>
              <w:spacing w:line="207" w:lineRule="exact"/>
              <w:ind w:right="89"/>
              <w:jc w:val="right"/>
              <w:rPr>
                <w:sz w:val="18"/>
              </w:rPr>
            </w:pPr>
            <w:r>
              <w:rPr>
                <w:spacing w:val="-2"/>
                <w:sz w:val="18"/>
              </w:rPr>
              <w:t>03/10/15</w:t>
            </w:r>
          </w:p>
        </w:tc>
        <w:tc>
          <w:tcPr>
            <w:tcW w:w="1664" w:type="dxa"/>
            <w:gridSpan w:val="2"/>
            <w:shd w:val="clear" w:color="auto" w:fill="CCEDFF"/>
          </w:tcPr>
          <w:p>
            <w:pPr>
              <w:pStyle w:val="TableParagraph"/>
              <w:spacing w:line="207" w:lineRule="exact"/>
              <w:ind w:right="93"/>
              <w:jc w:val="right"/>
              <w:rPr>
                <w:sz w:val="18"/>
              </w:rPr>
            </w:pPr>
            <w:r>
              <w:rPr>
                <w:spacing w:val="-5"/>
                <w:sz w:val="18"/>
              </w:rPr>
              <w:t>375</w:t>
            </w:r>
          </w:p>
        </w:tc>
        <w:tc>
          <w:tcPr>
            <w:tcW w:w="1588" w:type="dxa"/>
            <w:gridSpan w:val="2"/>
            <w:shd w:val="clear" w:color="auto" w:fill="CCEDFF"/>
          </w:tcPr>
          <w:p>
            <w:pPr>
              <w:pStyle w:val="TableParagraph"/>
              <w:spacing w:line="207" w:lineRule="exact"/>
              <w:ind w:right="76"/>
              <w:jc w:val="right"/>
              <w:rPr>
                <w:sz w:val="18"/>
              </w:rPr>
            </w:pPr>
            <w:r>
              <w:rPr>
                <w:spacing w:val="-5"/>
                <w:sz w:val="18"/>
              </w:rPr>
              <w:t>375</w:t>
            </w:r>
          </w:p>
        </w:tc>
      </w:tr>
      <w:tr>
        <w:trPr>
          <w:trHeight w:val="255" w:hRule="atLeast"/>
        </w:trPr>
        <w:tc>
          <w:tcPr>
            <w:tcW w:w="4674" w:type="dxa"/>
          </w:tcPr>
          <w:p>
            <w:pPr>
              <w:pStyle w:val="TableParagraph"/>
              <w:spacing w:line="207" w:lineRule="exact"/>
              <w:ind w:left="172"/>
              <w:rPr>
                <w:sz w:val="18"/>
              </w:rPr>
            </w:pPr>
            <w:r>
              <w:rPr>
                <w:sz w:val="18"/>
              </w:rPr>
              <w:t>4.200%</w:t>
            </w:r>
            <w:r>
              <w:rPr>
                <w:spacing w:val="-2"/>
                <w:sz w:val="18"/>
              </w:rPr>
              <w:t> </w:t>
            </w:r>
            <w:r>
              <w:rPr>
                <w:sz w:val="18"/>
              </w:rPr>
              <w:t>due March 24, </w:t>
            </w:r>
            <w:r>
              <w:rPr>
                <w:spacing w:val="-4"/>
                <w:sz w:val="18"/>
              </w:rPr>
              <w:t>2025</w:t>
            </w:r>
          </w:p>
        </w:tc>
        <w:tc>
          <w:tcPr>
            <w:tcW w:w="2353" w:type="dxa"/>
          </w:tcPr>
          <w:p>
            <w:pPr>
              <w:pStyle w:val="TableParagraph"/>
              <w:spacing w:line="207" w:lineRule="exact"/>
              <w:ind w:right="89"/>
              <w:jc w:val="right"/>
              <w:rPr>
                <w:sz w:val="18"/>
              </w:rPr>
            </w:pPr>
            <w:r>
              <w:rPr>
                <w:spacing w:val="-2"/>
                <w:sz w:val="18"/>
              </w:rPr>
              <w:t>03/24/20</w:t>
            </w:r>
          </w:p>
        </w:tc>
        <w:tc>
          <w:tcPr>
            <w:tcW w:w="1664" w:type="dxa"/>
            <w:gridSpan w:val="2"/>
          </w:tcPr>
          <w:p>
            <w:pPr>
              <w:pStyle w:val="TableParagraph"/>
              <w:spacing w:line="207" w:lineRule="exact"/>
              <w:ind w:right="93"/>
              <w:jc w:val="right"/>
              <w:rPr>
                <w:sz w:val="18"/>
              </w:rPr>
            </w:pPr>
            <w:r>
              <w:rPr>
                <w:spacing w:val="-5"/>
                <w:sz w:val="18"/>
              </w:rPr>
              <w:t>600</w:t>
            </w:r>
          </w:p>
        </w:tc>
        <w:tc>
          <w:tcPr>
            <w:tcW w:w="1588" w:type="dxa"/>
            <w:gridSpan w:val="2"/>
          </w:tcPr>
          <w:p>
            <w:pPr>
              <w:pStyle w:val="TableParagraph"/>
              <w:spacing w:line="207" w:lineRule="exact"/>
              <w:ind w:right="76"/>
              <w:jc w:val="right"/>
              <w:rPr>
                <w:sz w:val="18"/>
              </w:rPr>
            </w:pPr>
            <w:r>
              <w:rPr>
                <w:spacing w:val="-5"/>
                <w:sz w:val="18"/>
              </w:rPr>
              <w:t>600</w:t>
            </w:r>
          </w:p>
        </w:tc>
      </w:tr>
      <w:tr>
        <w:trPr>
          <w:trHeight w:val="255" w:hRule="atLeast"/>
        </w:trPr>
        <w:tc>
          <w:tcPr>
            <w:tcW w:w="4674" w:type="dxa"/>
            <w:shd w:val="clear" w:color="auto" w:fill="CCEDFF"/>
          </w:tcPr>
          <w:p>
            <w:pPr>
              <w:pStyle w:val="TableParagraph"/>
              <w:spacing w:line="207" w:lineRule="exact"/>
              <w:ind w:left="172"/>
              <w:rPr>
                <w:sz w:val="18"/>
              </w:rPr>
            </w:pPr>
            <w:r>
              <w:rPr>
                <w:sz w:val="18"/>
              </w:rPr>
              <w:t>3.625%</w:t>
            </w:r>
            <w:r>
              <w:rPr>
                <w:spacing w:val="-2"/>
                <w:sz w:val="18"/>
              </w:rPr>
              <w:t> </w:t>
            </w:r>
            <w:r>
              <w:rPr>
                <w:sz w:val="18"/>
              </w:rPr>
              <w:t>due April 1, </w:t>
            </w:r>
            <w:r>
              <w:rPr>
                <w:spacing w:val="-4"/>
                <w:sz w:val="18"/>
              </w:rPr>
              <w:t>2025</w:t>
            </w:r>
          </w:p>
        </w:tc>
        <w:tc>
          <w:tcPr>
            <w:tcW w:w="2353" w:type="dxa"/>
            <w:shd w:val="clear" w:color="auto" w:fill="CCEDFF"/>
          </w:tcPr>
          <w:p>
            <w:pPr>
              <w:pStyle w:val="TableParagraph"/>
              <w:spacing w:line="207" w:lineRule="exact"/>
              <w:ind w:right="89"/>
              <w:jc w:val="right"/>
              <w:rPr>
                <w:sz w:val="18"/>
              </w:rPr>
            </w:pPr>
            <w:r>
              <w:rPr>
                <w:spacing w:val="-2"/>
                <w:sz w:val="18"/>
              </w:rPr>
              <w:t>09/24/21</w:t>
            </w:r>
          </w:p>
        </w:tc>
        <w:tc>
          <w:tcPr>
            <w:tcW w:w="1664" w:type="dxa"/>
            <w:gridSpan w:val="2"/>
            <w:shd w:val="clear" w:color="auto" w:fill="CCEDFF"/>
          </w:tcPr>
          <w:p>
            <w:pPr>
              <w:pStyle w:val="TableParagraph"/>
              <w:spacing w:line="207" w:lineRule="exact"/>
              <w:ind w:right="93"/>
              <w:jc w:val="right"/>
              <w:rPr>
                <w:sz w:val="18"/>
              </w:rPr>
            </w:pPr>
            <w:r>
              <w:rPr>
                <w:spacing w:val="-5"/>
                <w:sz w:val="18"/>
              </w:rPr>
              <w:t>418</w:t>
            </w:r>
          </w:p>
        </w:tc>
        <w:tc>
          <w:tcPr>
            <w:tcW w:w="1588" w:type="dxa"/>
            <w:gridSpan w:val="2"/>
            <w:shd w:val="clear" w:color="auto" w:fill="CCEDFF"/>
          </w:tcPr>
          <w:p>
            <w:pPr>
              <w:pStyle w:val="TableParagraph"/>
              <w:spacing w:line="207" w:lineRule="exact"/>
              <w:ind w:right="76"/>
              <w:jc w:val="right"/>
              <w:rPr>
                <w:sz w:val="18"/>
              </w:rPr>
            </w:pPr>
            <w:r>
              <w:rPr>
                <w:spacing w:val="-5"/>
                <w:sz w:val="18"/>
              </w:rPr>
              <w:t>418</w:t>
            </w:r>
          </w:p>
        </w:tc>
      </w:tr>
      <w:tr>
        <w:trPr>
          <w:trHeight w:val="255" w:hRule="atLeast"/>
        </w:trPr>
        <w:tc>
          <w:tcPr>
            <w:tcW w:w="4674" w:type="dxa"/>
          </w:tcPr>
          <w:p>
            <w:pPr>
              <w:pStyle w:val="TableParagraph"/>
              <w:spacing w:line="207" w:lineRule="exact"/>
              <w:ind w:left="172"/>
              <w:rPr>
                <w:sz w:val="18"/>
              </w:rPr>
            </w:pPr>
            <w:r>
              <w:rPr>
                <w:sz w:val="18"/>
              </w:rPr>
              <w:t>3.850%</w:t>
            </w:r>
            <w:r>
              <w:rPr>
                <w:spacing w:val="-2"/>
                <w:sz w:val="18"/>
              </w:rPr>
              <w:t> </w:t>
            </w:r>
            <w:r>
              <w:rPr>
                <w:sz w:val="18"/>
              </w:rPr>
              <w:t>due May 21, </w:t>
            </w:r>
            <w:r>
              <w:rPr>
                <w:spacing w:val="-4"/>
                <w:sz w:val="18"/>
              </w:rPr>
              <w:t>2025</w:t>
            </w:r>
          </w:p>
        </w:tc>
        <w:tc>
          <w:tcPr>
            <w:tcW w:w="2353" w:type="dxa"/>
          </w:tcPr>
          <w:p>
            <w:pPr>
              <w:pStyle w:val="TableParagraph"/>
              <w:spacing w:line="207" w:lineRule="exact"/>
              <w:ind w:right="89"/>
              <w:jc w:val="right"/>
              <w:rPr>
                <w:sz w:val="18"/>
              </w:rPr>
            </w:pPr>
            <w:r>
              <w:rPr>
                <w:spacing w:val="-2"/>
                <w:sz w:val="18"/>
              </w:rPr>
              <w:t>05/22/18</w:t>
            </w:r>
          </w:p>
        </w:tc>
        <w:tc>
          <w:tcPr>
            <w:tcW w:w="1664" w:type="dxa"/>
            <w:gridSpan w:val="2"/>
          </w:tcPr>
          <w:p>
            <w:pPr>
              <w:pStyle w:val="TableParagraph"/>
              <w:spacing w:line="207" w:lineRule="exact"/>
              <w:ind w:right="93"/>
              <w:jc w:val="right"/>
              <w:rPr>
                <w:sz w:val="18"/>
              </w:rPr>
            </w:pPr>
            <w:r>
              <w:rPr>
                <w:spacing w:val="-5"/>
                <w:sz w:val="18"/>
              </w:rPr>
              <w:t>750</w:t>
            </w:r>
          </w:p>
        </w:tc>
        <w:tc>
          <w:tcPr>
            <w:tcW w:w="1588" w:type="dxa"/>
            <w:gridSpan w:val="2"/>
          </w:tcPr>
          <w:p>
            <w:pPr>
              <w:pStyle w:val="TableParagraph"/>
              <w:spacing w:line="207" w:lineRule="exact"/>
              <w:ind w:right="76"/>
              <w:jc w:val="right"/>
              <w:rPr>
                <w:sz w:val="18"/>
              </w:rPr>
            </w:pPr>
            <w:r>
              <w:rPr>
                <w:spacing w:val="-5"/>
                <w:sz w:val="18"/>
              </w:rPr>
              <w:t>750</w:t>
            </w:r>
          </w:p>
        </w:tc>
      </w:tr>
      <w:tr>
        <w:trPr>
          <w:trHeight w:val="255" w:hRule="atLeast"/>
        </w:trPr>
        <w:tc>
          <w:tcPr>
            <w:tcW w:w="4674" w:type="dxa"/>
            <w:shd w:val="clear" w:color="auto" w:fill="CCEDFF"/>
          </w:tcPr>
          <w:p>
            <w:pPr>
              <w:pStyle w:val="TableParagraph"/>
              <w:spacing w:line="207" w:lineRule="exact"/>
              <w:ind w:left="172"/>
              <w:rPr>
                <w:sz w:val="18"/>
              </w:rPr>
            </w:pPr>
            <w:r>
              <w:rPr>
                <w:sz w:val="18"/>
              </w:rPr>
              <w:t>3.450%</w:t>
            </w:r>
            <w:r>
              <w:rPr>
                <w:spacing w:val="-2"/>
                <w:sz w:val="18"/>
              </w:rPr>
              <w:t> </w:t>
            </w:r>
            <w:r>
              <w:rPr>
                <w:sz w:val="18"/>
              </w:rPr>
              <w:t>due February 13, </w:t>
            </w:r>
            <w:r>
              <w:rPr>
                <w:spacing w:val="-4"/>
                <w:sz w:val="18"/>
              </w:rPr>
              <w:t>2026</w:t>
            </w:r>
          </w:p>
        </w:tc>
        <w:tc>
          <w:tcPr>
            <w:tcW w:w="2353" w:type="dxa"/>
            <w:shd w:val="clear" w:color="auto" w:fill="CCEDFF"/>
          </w:tcPr>
          <w:p>
            <w:pPr>
              <w:pStyle w:val="TableParagraph"/>
              <w:spacing w:line="207" w:lineRule="exact"/>
              <w:ind w:right="89"/>
              <w:jc w:val="right"/>
              <w:rPr>
                <w:sz w:val="18"/>
              </w:rPr>
            </w:pPr>
            <w:r>
              <w:rPr>
                <w:spacing w:val="-2"/>
                <w:sz w:val="18"/>
              </w:rPr>
              <w:t>11/13/15</w:t>
            </w:r>
          </w:p>
        </w:tc>
        <w:tc>
          <w:tcPr>
            <w:tcW w:w="1664" w:type="dxa"/>
            <w:gridSpan w:val="2"/>
            <w:shd w:val="clear" w:color="auto" w:fill="CCEDFF"/>
          </w:tcPr>
          <w:p>
            <w:pPr>
              <w:pStyle w:val="TableParagraph"/>
              <w:spacing w:line="207" w:lineRule="exact"/>
              <w:ind w:right="93"/>
              <w:jc w:val="right"/>
              <w:rPr>
                <w:sz w:val="18"/>
              </w:rPr>
            </w:pPr>
            <w:r>
              <w:rPr>
                <w:spacing w:val="-5"/>
                <w:sz w:val="18"/>
              </w:rPr>
              <w:t>350</w:t>
            </w:r>
          </w:p>
        </w:tc>
        <w:tc>
          <w:tcPr>
            <w:tcW w:w="1588" w:type="dxa"/>
            <w:gridSpan w:val="2"/>
            <w:shd w:val="clear" w:color="auto" w:fill="CCEDFF"/>
          </w:tcPr>
          <w:p>
            <w:pPr>
              <w:pStyle w:val="TableParagraph"/>
              <w:spacing w:line="207" w:lineRule="exact"/>
              <w:ind w:right="76"/>
              <w:jc w:val="right"/>
              <w:rPr>
                <w:sz w:val="18"/>
              </w:rPr>
            </w:pPr>
            <w:r>
              <w:rPr>
                <w:spacing w:val="-5"/>
                <w:sz w:val="18"/>
              </w:rPr>
              <w:t>350</w:t>
            </w:r>
          </w:p>
        </w:tc>
      </w:tr>
      <w:tr>
        <w:trPr>
          <w:trHeight w:val="255" w:hRule="atLeast"/>
        </w:trPr>
        <w:tc>
          <w:tcPr>
            <w:tcW w:w="4674" w:type="dxa"/>
          </w:tcPr>
          <w:p>
            <w:pPr>
              <w:pStyle w:val="TableParagraph"/>
              <w:spacing w:line="207" w:lineRule="exact"/>
              <w:ind w:left="172"/>
              <w:rPr>
                <w:sz w:val="18"/>
              </w:rPr>
            </w:pPr>
            <w:r>
              <w:rPr>
                <w:sz w:val="18"/>
              </w:rPr>
              <w:t>0.900%</w:t>
            </w:r>
            <w:r>
              <w:rPr>
                <w:spacing w:val="-2"/>
                <w:sz w:val="18"/>
              </w:rPr>
              <w:t> </w:t>
            </w:r>
            <w:r>
              <w:rPr>
                <w:sz w:val="18"/>
              </w:rPr>
              <w:t>due March 11, </w:t>
            </w:r>
            <w:r>
              <w:rPr>
                <w:spacing w:val="-4"/>
                <w:sz w:val="18"/>
              </w:rPr>
              <w:t>2026</w:t>
            </w:r>
          </w:p>
        </w:tc>
        <w:tc>
          <w:tcPr>
            <w:tcW w:w="2353" w:type="dxa"/>
          </w:tcPr>
          <w:p>
            <w:pPr>
              <w:pStyle w:val="TableParagraph"/>
              <w:spacing w:line="207" w:lineRule="exact"/>
              <w:ind w:right="89"/>
              <w:jc w:val="right"/>
              <w:rPr>
                <w:sz w:val="18"/>
              </w:rPr>
            </w:pPr>
            <w:r>
              <w:rPr>
                <w:spacing w:val="-2"/>
                <w:sz w:val="18"/>
              </w:rPr>
              <w:t>12/11/20</w:t>
            </w:r>
          </w:p>
        </w:tc>
        <w:tc>
          <w:tcPr>
            <w:tcW w:w="1664" w:type="dxa"/>
            <w:gridSpan w:val="2"/>
          </w:tcPr>
          <w:p>
            <w:pPr>
              <w:pStyle w:val="TableParagraph"/>
              <w:spacing w:line="207" w:lineRule="exact"/>
              <w:ind w:right="93"/>
              <w:jc w:val="right"/>
              <w:rPr>
                <w:sz w:val="18"/>
              </w:rPr>
            </w:pPr>
            <w:r>
              <w:rPr>
                <w:spacing w:val="-2"/>
                <w:sz w:val="18"/>
              </w:rPr>
              <w:t>1,250</w:t>
            </w:r>
          </w:p>
        </w:tc>
        <w:tc>
          <w:tcPr>
            <w:tcW w:w="1588" w:type="dxa"/>
            <w:gridSpan w:val="2"/>
          </w:tcPr>
          <w:p>
            <w:pPr>
              <w:pStyle w:val="TableParagraph"/>
              <w:spacing w:line="207" w:lineRule="exact"/>
              <w:ind w:right="76"/>
              <w:jc w:val="right"/>
              <w:rPr>
                <w:sz w:val="18"/>
              </w:rPr>
            </w:pPr>
            <w:r>
              <w:rPr>
                <w:spacing w:val="-2"/>
                <w:sz w:val="18"/>
              </w:rPr>
              <w:t>1,250</w:t>
            </w:r>
          </w:p>
        </w:tc>
      </w:tr>
      <w:tr>
        <w:trPr>
          <w:trHeight w:val="255" w:hRule="atLeast"/>
        </w:trPr>
        <w:tc>
          <w:tcPr>
            <w:tcW w:w="4674" w:type="dxa"/>
            <w:shd w:val="clear" w:color="auto" w:fill="CCEDFF"/>
          </w:tcPr>
          <w:p>
            <w:pPr>
              <w:pStyle w:val="TableParagraph"/>
              <w:spacing w:line="207" w:lineRule="exact"/>
              <w:ind w:left="172"/>
              <w:rPr>
                <w:sz w:val="18"/>
              </w:rPr>
            </w:pPr>
            <w:r>
              <w:rPr>
                <w:sz w:val="18"/>
              </w:rPr>
              <w:t>1.150%</w:t>
            </w:r>
            <w:r>
              <w:rPr>
                <w:spacing w:val="-2"/>
                <w:sz w:val="18"/>
              </w:rPr>
              <w:t> </w:t>
            </w:r>
            <w:r>
              <w:rPr>
                <w:sz w:val="18"/>
              </w:rPr>
              <w:t>due May 13, </w:t>
            </w:r>
            <w:r>
              <w:rPr>
                <w:spacing w:val="-4"/>
                <w:sz w:val="18"/>
              </w:rPr>
              <w:t>2026</w:t>
            </w:r>
          </w:p>
        </w:tc>
        <w:tc>
          <w:tcPr>
            <w:tcW w:w="2353" w:type="dxa"/>
            <w:shd w:val="clear" w:color="auto" w:fill="CCEDFF"/>
          </w:tcPr>
          <w:p>
            <w:pPr>
              <w:pStyle w:val="TableParagraph"/>
              <w:spacing w:line="207" w:lineRule="exact"/>
              <w:ind w:right="89"/>
              <w:jc w:val="right"/>
              <w:rPr>
                <w:sz w:val="18"/>
              </w:rPr>
            </w:pPr>
            <w:r>
              <w:rPr>
                <w:spacing w:val="-2"/>
                <w:sz w:val="18"/>
              </w:rPr>
              <w:t>05/13/21</w:t>
            </w:r>
          </w:p>
        </w:tc>
        <w:tc>
          <w:tcPr>
            <w:tcW w:w="1664" w:type="dxa"/>
            <w:gridSpan w:val="2"/>
            <w:shd w:val="clear" w:color="auto" w:fill="CCEDFF"/>
          </w:tcPr>
          <w:p>
            <w:pPr>
              <w:pStyle w:val="TableParagraph"/>
              <w:spacing w:line="207" w:lineRule="exact"/>
              <w:ind w:right="93"/>
              <w:jc w:val="right"/>
              <w:rPr>
                <w:sz w:val="18"/>
              </w:rPr>
            </w:pPr>
            <w:r>
              <w:rPr>
                <w:spacing w:val="-2"/>
                <w:sz w:val="18"/>
              </w:rPr>
              <w:t>1,000</w:t>
            </w:r>
          </w:p>
        </w:tc>
        <w:tc>
          <w:tcPr>
            <w:tcW w:w="1588" w:type="dxa"/>
            <w:gridSpan w:val="2"/>
            <w:shd w:val="clear" w:color="auto" w:fill="CCEDFF"/>
          </w:tcPr>
          <w:p>
            <w:pPr>
              <w:pStyle w:val="TableParagraph"/>
              <w:spacing w:line="207" w:lineRule="exact"/>
              <w:ind w:right="76"/>
              <w:jc w:val="right"/>
              <w:rPr>
                <w:sz w:val="18"/>
              </w:rPr>
            </w:pPr>
            <w:r>
              <w:rPr>
                <w:spacing w:val="-2"/>
                <w:sz w:val="18"/>
              </w:rPr>
              <w:t>1,000</w:t>
            </w:r>
          </w:p>
        </w:tc>
      </w:tr>
      <w:tr>
        <w:trPr>
          <w:trHeight w:val="255" w:hRule="atLeast"/>
        </w:trPr>
        <w:tc>
          <w:tcPr>
            <w:tcW w:w="4674" w:type="dxa"/>
          </w:tcPr>
          <w:p>
            <w:pPr>
              <w:pStyle w:val="TableParagraph"/>
              <w:spacing w:line="207" w:lineRule="exact"/>
              <w:ind w:left="172"/>
              <w:rPr>
                <w:sz w:val="18"/>
              </w:rPr>
            </w:pPr>
            <w:r>
              <w:rPr>
                <w:sz w:val="18"/>
              </w:rPr>
              <w:t>3.200%</w:t>
            </w:r>
            <w:r>
              <w:rPr>
                <w:spacing w:val="-2"/>
                <w:sz w:val="18"/>
              </w:rPr>
              <w:t> </w:t>
            </w:r>
            <w:r>
              <w:rPr>
                <w:sz w:val="18"/>
              </w:rPr>
              <w:t>due March 2, </w:t>
            </w:r>
            <w:r>
              <w:rPr>
                <w:spacing w:val="-4"/>
                <w:sz w:val="18"/>
              </w:rPr>
              <w:t>2027</w:t>
            </w:r>
          </w:p>
        </w:tc>
        <w:tc>
          <w:tcPr>
            <w:tcW w:w="2353" w:type="dxa"/>
          </w:tcPr>
          <w:p>
            <w:pPr>
              <w:pStyle w:val="TableParagraph"/>
              <w:spacing w:line="207" w:lineRule="exact"/>
              <w:ind w:right="89"/>
              <w:jc w:val="right"/>
              <w:rPr>
                <w:sz w:val="18"/>
              </w:rPr>
            </w:pPr>
            <w:r>
              <w:rPr>
                <w:spacing w:val="-2"/>
                <w:sz w:val="18"/>
              </w:rPr>
              <w:t>03/02/17</w:t>
            </w:r>
          </w:p>
        </w:tc>
        <w:tc>
          <w:tcPr>
            <w:tcW w:w="1664" w:type="dxa"/>
            <w:gridSpan w:val="2"/>
          </w:tcPr>
          <w:p>
            <w:pPr>
              <w:pStyle w:val="TableParagraph"/>
              <w:spacing w:line="207" w:lineRule="exact"/>
              <w:ind w:right="93"/>
              <w:jc w:val="right"/>
              <w:rPr>
                <w:sz w:val="18"/>
              </w:rPr>
            </w:pPr>
            <w:r>
              <w:rPr>
                <w:spacing w:val="-5"/>
                <w:sz w:val="18"/>
              </w:rPr>
              <w:t>650</w:t>
            </w:r>
          </w:p>
        </w:tc>
        <w:tc>
          <w:tcPr>
            <w:tcW w:w="1588" w:type="dxa"/>
            <w:gridSpan w:val="2"/>
          </w:tcPr>
          <w:p>
            <w:pPr>
              <w:pStyle w:val="TableParagraph"/>
              <w:spacing w:line="207" w:lineRule="exact"/>
              <w:ind w:right="76"/>
              <w:jc w:val="right"/>
              <w:rPr>
                <w:sz w:val="18"/>
              </w:rPr>
            </w:pPr>
            <w:r>
              <w:rPr>
                <w:spacing w:val="-5"/>
                <w:sz w:val="18"/>
              </w:rPr>
              <w:t>650</w:t>
            </w:r>
          </w:p>
        </w:tc>
      </w:tr>
      <w:tr>
        <w:trPr>
          <w:trHeight w:val="255" w:hRule="atLeast"/>
        </w:trPr>
        <w:tc>
          <w:tcPr>
            <w:tcW w:w="4674" w:type="dxa"/>
            <w:shd w:val="clear" w:color="auto" w:fill="CCEDFF"/>
          </w:tcPr>
          <w:p>
            <w:pPr>
              <w:pStyle w:val="TableParagraph"/>
              <w:spacing w:line="207" w:lineRule="exact"/>
              <w:ind w:left="172"/>
              <w:rPr>
                <w:sz w:val="18"/>
              </w:rPr>
            </w:pPr>
            <w:r>
              <w:rPr>
                <w:sz w:val="18"/>
              </w:rPr>
              <w:t>2.450%</w:t>
            </w:r>
            <w:r>
              <w:rPr>
                <w:spacing w:val="-2"/>
                <w:sz w:val="18"/>
              </w:rPr>
              <w:t> </w:t>
            </w:r>
            <w:r>
              <w:rPr>
                <w:sz w:val="18"/>
              </w:rPr>
              <w:t>due March 3, </w:t>
            </w:r>
            <w:r>
              <w:rPr>
                <w:spacing w:val="-4"/>
                <w:sz w:val="18"/>
              </w:rPr>
              <w:t>2027</w:t>
            </w:r>
          </w:p>
        </w:tc>
        <w:tc>
          <w:tcPr>
            <w:tcW w:w="2353" w:type="dxa"/>
            <w:shd w:val="clear" w:color="auto" w:fill="CCEDFF"/>
          </w:tcPr>
          <w:p>
            <w:pPr>
              <w:pStyle w:val="TableParagraph"/>
              <w:spacing w:line="207" w:lineRule="exact"/>
              <w:ind w:right="89"/>
              <w:jc w:val="right"/>
              <w:rPr>
                <w:sz w:val="18"/>
              </w:rPr>
            </w:pPr>
            <w:r>
              <w:rPr>
                <w:spacing w:val="-2"/>
                <w:sz w:val="18"/>
              </w:rPr>
              <w:t>03/03/22</w:t>
            </w:r>
          </w:p>
        </w:tc>
        <w:tc>
          <w:tcPr>
            <w:tcW w:w="1664" w:type="dxa"/>
            <w:gridSpan w:val="2"/>
            <w:shd w:val="clear" w:color="auto" w:fill="CCEDFF"/>
          </w:tcPr>
          <w:p>
            <w:pPr>
              <w:pStyle w:val="TableParagraph"/>
              <w:spacing w:line="207" w:lineRule="exact"/>
              <w:ind w:right="93"/>
              <w:jc w:val="right"/>
              <w:rPr>
                <w:sz w:val="18"/>
              </w:rPr>
            </w:pPr>
            <w:r>
              <w:rPr>
                <w:spacing w:val="-2"/>
                <w:sz w:val="18"/>
              </w:rPr>
              <w:t>1,500</w:t>
            </w:r>
          </w:p>
        </w:tc>
        <w:tc>
          <w:tcPr>
            <w:tcW w:w="1588" w:type="dxa"/>
            <w:gridSpan w:val="2"/>
            <w:shd w:val="clear" w:color="auto" w:fill="CCEDFF"/>
          </w:tcPr>
          <w:p>
            <w:pPr>
              <w:pStyle w:val="TableParagraph"/>
              <w:spacing w:line="207" w:lineRule="exact"/>
              <w:ind w:right="76"/>
              <w:jc w:val="right"/>
              <w:rPr>
                <w:sz w:val="18"/>
              </w:rPr>
            </w:pPr>
            <w:r>
              <w:rPr>
                <w:spacing w:val="-2"/>
                <w:sz w:val="18"/>
              </w:rPr>
              <w:t>1,500</w:t>
            </w:r>
          </w:p>
        </w:tc>
      </w:tr>
      <w:tr>
        <w:trPr>
          <w:trHeight w:val="255" w:hRule="atLeast"/>
        </w:trPr>
        <w:tc>
          <w:tcPr>
            <w:tcW w:w="4674" w:type="dxa"/>
          </w:tcPr>
          <w:p>
            <w:pPr>
              <w:pStyle w:val="TableParagraph"/>
              <w:spacing w:line="207" w:lineRule="exact"/>
              <w:ind w:left="172"/>
              <w:rPr>
                <w:sz w:val="18"/>
              </w:rPr>
            </w:pPr>
            <w:r>
              <w:rPr>
                <w:sz w:val="18"/>
              </w:rPr>
              <w:t>3.300%</w:t>
            </w:r>
            <w:r>
              <w:rPr>
                <w:spacing w:val="-2"/>
                <w:sz w:val="18"/>
              </w:rPr>
              <w:t> </w:t>
            </w:r>
            <w:r>
              <w:rPr>
                <w:sz w:val="18"/>
              </w:rPr>
              <w:t>due April 1, </w:t>
            </w:r>
            <w:r>
              <w:rPr>
                <w:spacing w:val="-4"/>
                <w:sz w:val="18"/>
              </w:rPr>
              <w:t>2027</w:t>
            </w:r>
          </w:p>
        </w:tc>
        <w:tc>
          <w:tcPr>
            <w:tcW w:w="2353" w:type="dxa"/>
          </w:tcPr>
          <w:p>
            <w:pPr>
              <w:pStyle w:val="TableParagraph"/>
              <w:spacing w:line="207" w:lineRule="exact"/>
              <w:ind w:right="89"/>
              <w:jc w:val="right"/>
              <w:rPr>
                <w:sz w:val="18"/>
              </w:rPr>
            </w:pPr>
            <w:r>
              <w:rPr>
                <w:spacing w:val="-2"/>
                <w:sz w:val="18"/>
              </w:rPr>
              <w:t>09/24/21</w:t>
            </w:r>
          </w:p>
        </w:tc>
        <w:tc>
          <w:tcPr>
            <w:tcW w:w="1664" w:type="dxa"/>
            <w:gridSpan w:val="2"/>
          </w:tcPr>
          <w:p>
            <w:pPr>
              <w:pStyle w:val="TableParagraph"/>
              <w:spacing w:line="207" w:lineRule="exact"/>
              <w:ind w:right="93"/>
              <w:jc w:val="right"/>
              <w:rPr>
                <w:sz w:val="18"/>
              </w:rPr>
            </w:pPr>
            <w:r>
              <w:rPr>
                <w:spacing w:val="-5"/>
                <w:sz w:val="18"/>
              </w:rPr>
              <w:t>744</w:t>
            </w:r>
          </w:p>
        </w:tc>
        <w:tc>
          <w:tcPr>
            <w:tcW w:w="1588" w:type="dxa"/>
            <w:gridSpan w:val="2"/>
          </w:tcPr>
          <w:p>
            <w:pPr>
              <w:pStyle w:val="TableParagraph"/>
              <w:spacing w:line="207" w:lineRule="exact"/>
              <w:ind w:right="76"/>
              <w:jc w:val="right"/>
              <w:rPr>
                <w:sz w:val="18"/>
              </w:rPr>
            </w:pPr>
            <w:r>
              <w:rPr>
                <w:spacing w:val="-5"/>
                <w:sz w:val="18"/>
              </w:rPr>
              <w:t>744</w:t>
            </w:r>
          </w:p>
        </w:tc>
      </w:tr>
      <w:tr>
        <w:trPr>
          <w:trHeight w:val="255" w:hRule="atLeast"/>
        </w:trPr>
        <w:tc>
          <w:tcPr>
            <w:tcW w:w="4674" w:type="dxa"/>
            <w:shd w:val="clear" w:color="auto" w:fill="CCEDFF"/>
          </w:tcPr>
          <w:p>
            <w:pPr>
              <w:pStyle w:val="TableParagraph"/>
              <w:spacing w:line="207" w:lineRule="exact"/>
              <w:ind w:left="172"/>
              <w:rPr>
                <w:sz w:val="18"/>
              </w:rPr>
            </w:pPr>
            <w:r>
              <w:rPr>
                <w:sz w:val="18"/>
              </w:rPr>
              <w:t>3.200%</w:t>
            </w:r>
            <w:r>
              <w:rPr>
                <w:spacing w:val="-2"/>
                <w:sz w:val="18"/>
              </w:rPr>
              <w:t> </w:t>
            </w:r>
            <w:r>
              <w:rPr>
                <w:sz w:val="18"/>
              </w:rPr>
              <w:t>due January 25, </w:t>
            </w:r>
            <w:r>
              <w:rPr>
                <w:spacing w:val="-4"/>
                <w:sz w:val="18"/>
              </w:rPr>
              <w:t>2028</w:t>
            </w:r>
          </w:p>
        </w:tc>
        <w:tc>
          <w:tcPr>
            <w:tcW w:w="2353" w:type="dxa"/>
            <w:shd w:val="clear" w:color="auto" w:fill="CCEDFF"/>
          </w:tcPr>
          <w:p>
            <w:pPr>
              <w:pStyle w:val="TableParagraph"/>
              <w:spacing w:line="207" w:lineRule="exact"/>
              <w:ind w:right="89"/>
              <w:jc w:val="right"/>
              <w:rPr>
                <w:sz w:val="18"/>
              </w:rPr>
            </w:pPr>
            <w:r>
              <w:rPr>
                <w:spacing w:val="-2"/>
                <w:sz w:val="18"/>
              </w:rPr>
              <w:t>12/07/17</w:t>
            </w:r>
          </w:p>
        </w:tc>
        <w:tc>
          <w:tcPr>
            <w:tcW w:w="1664" w:type="dxa"/>
            <w:gridSpan w:val="2"/>
            <w:shd w:val="clear" w:color="auto" w:fill="CCEDFF"/>
          </w:tcPr>
          <w:p>
            <w:pPr>
              <w:pStyle w:val="TableParagraph"/>
              <w:spacing w:line="207" w:lineRule="exact"/>
              <w:ind w:right="93"/>
              <w:jc w:val="right"/>
              <w:rPr>
                <w:sz w:val="18"/>
              </w:rPr>
            </w:pPr>
            <w:r>
              <w:rPr>
                <w:spacing w:val="-5"/>
                <w:sz w:val="18"/>
              </w:rPr>
              <w:t>700</w:t>
            </w:r>
          </w:p>
        </w:tc>
        <w:tc>
          <w:tcPr>
            <w:tcW w:w="1588" w:type="dxa"/>
            <w:gridSpan w:val="2"/>
            <w:shd w:val="clear" w:color="auto" w:fill="CCEDFF"/>
          </w:tcPr>
          <w:p>
            <w:pPr>
              <w:pStyle w:val="TableParagraph"/>
              <w:spacing w:line="207" w:lineRule="exact"/>
              <w:ind w:right="76"/>
              <w:jc w:val="right"/>
              <w:rPr>
                <w:sz w:val="18"/>
              </w:rPr>
            </w:pPr>
            <w:r>
              <w:rPr>
                <w:spacing w:val="-5"/>
                <w:sz w:val="18"/>
              </w:rPr>
              <w:t>700</w:t>
            </w:r>
          </w:p>
        </w:tc>
      </w:tr>
      <w:tr>
        <w:trPr>
          <w:trHeight w:val="255" w:hRule="atLeast"/>
        </w:trPr>
        <w:tc>
          <w:tcPr>
            <w:tcW w:w="4674" w:type="dxa"/>
          </w:tcPr>
          <w:p>
            <w:pPr>
              <w:pStyle w:val="TableParagraph"/>
              <w:spacing w:line="207" w:lineRule="exact"/>
              <w:ind w:left="172"/>
              <w:rPr>
                <w:sz w:val="18"/>
              </w:rPr>
            </w:pPr>
            <w:r>
              <w:rPr>
                <w:sz w:val="18"/>
              </w:rPr>
              <w:t>2.000%</w:t>
            </w:r>
            <w:r>
              <w:rPr>
                <w:spacing w:val="-2"/>
                <w:sz w:val="18"/>
              </w:rPr>
              <w:t> </w:t>
            </w:r>
            <w:r>
              <w:rPr>
                <w:sz w:val="18"/>
              </w:rPr>
              <w:t>due March 20, </w:t>
            </w:r>
            <w:r>
              <w:rPr>
                <w:spacing w:val="-4"/>
                <w:sz w:val="18"/>
              </w:rPr>
              <w:t>2028</w:t>
            </w:r>
          </w:p>
        </w:tc>
        <w:tc>
          <w:tcPr>
            <w:tcW w:w="2353" w:type="dxa"/>
          </w:tcPr>
          <w:p>
            <w:pPr>
              <w:pStyle w:val="TableParagraph"/>
              <w:spacing w:line="207" w:lineRule="exact"/>
              <w:ind w:right="89"/>
              <w:jc w:val="right"/>
              <w:rPr>
                <w:sz w:val="18"/>
              </w:rPr>
            </w:pPr>
            <w:r>
              <w:rPr>
                <w:spacing w:val="-2"/>
                <w:sz w:val="18"/>
              </w:rPr>
              <w:t>03/18/21</w:t>
            </w:r>
          </w:p>
        </w:tc>
        <w:tc>
          <w:tcPr>
            <w:tcW w:w="1664" w:type="dxa"/>
            <w:gridSpan w:val="2"/>
          </w:tcPr>
          <w:p>
            <w:pPr>
              <w:pStyle w:val="TableParagraph"/>
              <w:spacing w:line="207" w:lineRule="exact"/>
              <w:ind w:right="93"/>
              <w:jc w:val="right"/>
              <w:rPr>
                <w:sz w:val="18"/>
              </w:rPr>
            </w:pPr>
            <w:r>
              <w:rPr>
                <w:spacing w:val="-2"/>
                <w:sz w:val="18"/>
              </w:rPr>
              <w:t>1,250</w:t>
            </w:r>
          </w:p>
        </w:tc>
        <w:tc>
          <w:tcPr>
            <w:tcW w:w="1588" w:type="dxa"/>
            <w:gridSpan w:val="2"/>
          </w:tcPr>
          <w:p>
            <w:pPr>
              <w:pStyle w:val="TableParagraph"/>
              <w:spacing w:line="207" w:lineRule="exact"/>
              <w:ind w:right="76"/>
              <w:jc w:val="right"/>
              <w:rPr>
                <w:sz w:val="18"/>
              </w:rPr>
            </w:pPr>
            <w:r>
              <w:rPr>
                <w:spacing w:val="-2"/>
                <w:sz w:val="18"/>
              </w:rPr>
              <w:t>1,250</w:t>
            </w:r>
          </w:p>
        </w:tc>
      </w:tr>
      <w:tr>
        <w:trPr>
          <w:trHeight w:val="255" w:hRule="atLeast"/>
        </w:trPr>
        <w:tc>
          <w:tcPr>
            <w:tcW w:w="4674" w:type="dxa"/>
            <w:shd w:val="clear" w:color="auto" w:fill="CCEDFF"/>
          </w:tcPr>
          <w:p>
            <w:pPr>
              <w:pStyle w:val="TableParagraph"/>
              <w:spacing w:line="207" w:lineRule="exact"/>
              <w:ind w:left="172"/>
              <w:rPr>
                <w:sz w:val="18"/>
              </w:rPr>
            </w:pPr>
            <w:r>
              <w:rPr>
                <w:sz w:val="18"/>
              </w:rPr>
              <w:t>4.000%</w:t>
            </w:r>
            <w:r>
              <w:rPr>
                <w:spacing w:val="-2"/>
                <w:sz w:val="18"/>
              </w:rPr>
              <w:t> </w:t>
            </w:r>
            <w:r>
              <w:rPr>
                <w:sz w:val="18"/>
              </w:rPr>
              <w:t>due February 1, </w:t>
            </w:r>
            <w:r>
              <w:rPr>
                <w:spacing w:val="-4"/>
                <w:sz w:val="18"/>
              </w:rPr>
              <w:t>2029</w:t>
            </w:r>
          </w:p>
        </w:tc>
        <w:tc>
          <w:tcPr>
            <w:tcW w:w="2353" w:type="dxa"/>
            <w:shd w:val="clear" w:color="auto" w:fill="CCEDFF"/>
          </w:tcPr>
          <w:p>
            <w:pPr>
              <w:pStyle w:val="TableParagraph"/>
              <w:spacing w:line="207" w:lineRule="exact"/>
              <w:ind w:right="89"/>
              <w:jc w:val="right"/>
              <w:rPr>
                <w:sz w:val="18"/>
              </w:rPr>
            </w:pPr>
            <w:r>
              <w:rPr>
                <w:spacing w:val="-2"/>
                <w:sz w:val="18"/>
              </w:rPr>
              <w:t>10/31/18</w:t>
            </w:r>
          </w:p>
        </w:tc>
        <w:tc>
          <w:tcPr>
            <w:tcW w:w="1664" w:type="dxa"/>
            <w:gridSpan w:val="2"/>
            <w:shd w:val="clear" w:color="auto" w:fill="CCEDFF"/>
          </w:tcPr>
          <w:p>
            <w:pPr>
              <w:pStyle w:val="TableParagraph"/>
              <w:spacing w:line="207" w:lineRule="exact"/>
              <w:ind w:right="93"/>
              <w:jc w:val="right"/>
              <w:rPr>
                <w:sz w:val="18"/>
              </w:rPr>
            </w:pPr>
            <w:r>
              <w:rPr>
                <w:spacing w:val="-5"/>
                <w:sz w:val="18"/>
              </w:rPr>
              <w:t>600</w:t>
            </w:r>
          </w:p>
        </w:tc>
        <w:tc>
          <w:tcPr>
            <w:tcW w:w="1588" w:type="dxa"/>
            <w:gridSpan w:val="2"/>
            <w:shd w:val="clear" w:color="auto" w:fill="CCEDFF"/>
          </w:tcPr>
          <w:p>
            <w:pPr>
              <w:pStyle w:val="TableParagraph"/>
              <w:spacing w:line="207" w:lineRule="exact"/>
              <w:ind w:right="76"/>
              <w:jc w:val="right"/>
              <w:rPr>
                <w:sz w:val="18"/>
              </w:rPr>
            </w:pPr>
            <w:r>
              <w:rPr>
                <w:spacing w:val="-5"/>
                <w:sz w:val="18"/>
              </w:rPr>
              <w:t>600</w:t>
            </w:r>
          </w:p>
        </w:tc>
      </w:tr>
      <w:tr>
        <w:trPr>
          <w:trHeight w:val="255" w:hRule="atLeast"/>
        </w:trPr>
        <w:tc>
          <w:tcPr>
            <w:tcW w:w="4674" w:type="dxa"/>
          </w:tcPr>
          <w:p>
            <w:pPr>
              <w:pStyle w:val="TableParagraph"/>
              <w:spacing w:line="207" w:lineRule="exact"/>
              <w:ind w:left="172"/>
              <w:rPr>
                <w:sz w:val="18"/>
              </w:rPr>
            </w:pPr>
            <w:r>
              <w:rPr>
                <w:sz w:val="18"/>
              </w:rPr>
              <w:t>3.250%</w:t>
            </w:r>
            <w:r>
              <w:rPr>
                <w:spacing w:val="-2"/>
                <w:sz w:val="18"/>
              </w:rPr>
              <w:t> </w:t>
            </w:r>
            <w:r>
              <w:rPr>
                <w:sz w:val="18"/>
              </w:rPr>
              <w:t>due May 22, </w:t>
            </w:r>
            <w:r>
              <w:rPr>
                <w:spacing w:val="-4"/>
                <w:sz w:val="18"/>
              </w:rPr>
              <w:t>2029</w:t>
            </w:r>
          </w:p>
        </w:tc>
        <w:tc>
          <w:tcPr>
            <w:tcW w:w="2353" w:type="dxa"/>
          </w:tcPr>
          <w:p>
            <w:pPr>
              <w:pStyle w:val="TableParagraph"/>
              <w:spacing w:line="207" w:lineRule="exact"/>
              <w:ind w:right="89"/>
              <w:jc w:val="right"/>
              <w:rPr>
                <w:sz w:val="18"/>
              </w:rPr>
            </w:pPr>
            <w:r>
              <w:rPr>
                <w:spacing w:val="-2"/>
                <w:sz w:val="18"/>
              </w:rPr>
              <w:t>05/22/19</w:t>
            </w:r>
          </w:p>
        </w:tc>
        <w:tc>
          <w:tcPr>
            <w:tcW w:w="1664" w:type="dxa"/>
            <w:gridSpan w:val="2"/>
          </w:tcPr>
          <w:p>
            <w:pPr>
              <w:pStyle w:val="TableParagraph"/>
              <w:spacing w:line="207" w:lineRule="exact"/>
              <w:ind w:right="93"/>
              <w:jc w:val="right"/>
              <w:rPr>
                <w:sz w:val="18"/>
              </w:rPr>
            </w:pPr>
            <w:r>
              <w:rPr>
                <w:spacing w:val="-5"/>
                <w:sz w:val="18"/>
              </w:rPr>
              <w:t>600</w:t>
            </w:r>
          </w:p>
        </w:tc>
        <w:tc>
          <w:tcPr>
            <w:tcW w:w="1588" w:type="dxa"/>
            <w:gridSpan w:val="2"/>
          </w:tcPr>
          <w:p>
            <w:pPr>
              <w:pStyle w:val="TableParagraph"/>
              <w:spacing w:line="207" w:lineRule="exact"/>
              <w:ind w:right="76"/>
              <w:jc w:val="right"/>
              <w:rPr>
                <w:sz w:val="18"/>
              </w:rPr>
            </w:pPr>
            <w:r>
              <w:rPr>
                <w:spacing w:val="-5"/>
                <w:sz w:val="18"/>
              </w:rPr>
              <w:t>600</w:t>
            </w:r>
          </w:p>
        </w:tc>
      </w:tr>
      <w:tr>
        <w:trPr>
          <w:trHeight w:val="255" w:hRule="atLeast"/>
        </w:trPr>
        <w:tc>
          <w:tcPr>
            <w:tcW w:w="4674" w:type="dxa"/>
            <w:shd w:val="clear" w:color="auto" w:fill="CCEDFF"/>
          </w:tcPr>
          <w:p>
            <w:pPr>
              <w:pStyle w:val="TableParagraph"/>
              <w:spacing w:line="207" w:lineRule="exact"/>
              <w:ind w:left="172"/>
              <w:rPr>
                <w:sz w:val="18"/>
              </w:rPr>
            </w:pPr>
            <w:r>
              <w:rPr>
                <w:sz w:val="18"/>
              </w:rPr>
              <w:t>2.750%</w:t>
            </w:r>
            <w:r>
              <w:rPr>
                <w:spacing w:val="-2"/>
                <w:sz w:val="18"/>
              </w:rPr>
              <w:t> </w:t>
            </w:r>
            <w:r>
              <w:rPr>
                <w:sz w:val="18"/>
              </w:rPr>
              <w:t>due October 1, </w:t>
            </w:r>
            <w:r>
              <w:rPr>
                <w:spacing w:val="-4"/>
                <w:sz w:val="18"/>
              </w:rPr>
              <w:t>2029</w:t>
            </w:r>
          </w:p>
        </w:tc>
        <w:tc>
          <w:tcPr>
            <w:tcW w:w="2353" w:type="dxa"/>
            <w:shd w:val="clear" w:color="auto" w:fill="CCEDFF"/>
          </w:tcPr>
          <w:p>
            <w:pPr>
              <w:pStyle w:val="TableParagraph"/>
              <w:spacing w:line="207" w:lineRule="exact"/>
              <w:ind w:right="89"/>
              <w:jc w:val="right"/>
              <w:rPr>
                <w:sz w:val="18"/>
              </w:rPr>
            </w:pPr>
            <w:r>
              <w:rPr>
                <w:spacing w:val="-2"/>
                <w:sz w:val="18"/>
              </w:rPr>
              <w:t>09/24/21</w:t>
            </w:r>
          </w:p>
        </w:tc>
        <w:tc>
          <w:tcPr>
            <w:tcW w:w="1664" w:type="dxa"/>
            <w:gridSpan w:val="2"/>
            <w:shd w:val="clear" w:color="auto" w:fill="CCEDFF"/>
          </w:tcPr>
          <w:p>
            <w:pPr>
              <w:pStyle w:val="TableParagraph"/>
              <w:spacing w:line="207" w:lineRule="exact"/>
              <w:ind w:right="93"/>
              <w:jc w:val="right"/>
              <w:rPr>
                <w:sz w:val="18"/>
              </w:rPr>
            </w:pPr>
            <w:r>
              <w:rPr>
                <w:spacing w:val="-5"/>
                <w:sz w:val="18"/>
              </w:rPr>
              <w:t>475</w:t>
            </w:r>
          </w:p>
        </w:tc>
        <w:tc>
          <w:tcPr>
            <w:tcW w:w="1588" w:type="dxa"/>
            <w:gridSpan w:val="2"/>
            <w:shd w:val="clear" w:color="auto" w:fill="CCEDFF"/>
          </w:tcPr>
          <w:p>
            <w:pPr>
              <w:pStyle w:val="TableParagraph"/>
              <w:spacing w:line="207" w:lineRule="exact"/>
              <w:ind w:right="76"/>
              <w:jc w:val="right"/>
              <w:rPr>
                <w:sz w:val="18"/>
              </w:rPr>
            </w:pPr>
            <w:r>
              <w:rPr>
                <w:spacing w:val="-5"/>
                <w:sz w:val="18"/>
              </w:rPr>
              <w:t>475</w:t>
            </w:r>
          </w:p>
        </w:tc>
      </w:tr>
      <w:tr>
        <w:trPr>
          <w:trHeight w:val="255" w:hRule="atLeast"/>
        </w:trPr>
        <w:tc>
          <w:tcPr>
            <w:tcW w:w="4674" w:type="dxa"/>
          </w:tcPr>
          <w:p>
            <w:pPr>
              <w:pStyle w:val="TableParagraph"/>
              <w:spacing w:line="207" w:lineRule="exact"/>
              <w:ind w:left="172"/>
              <w:rPr>
                <w:sz w:val="18"/>
              </w:rPr>
            </w:pPr>
            <w:r>
              <w:rPr>
                <w:sz w:val="18"/>
              </w:rPr>
              <w:t>4.625%</w:t>
            </w:r>
            <w:r>
              <w:rPr>
                <w:spacing w:val="-2"/>
                <w:sz w:val="18"/>
              </w:rPr>
              <w:t> </w:t>
            </w:r>
            <w:r>
              <w:rPr>
                <w:sz w:val="18"/>
              </w:rPr>
              <w:t>due March 22, </w:t>
            </w:r>
            <w:r>
              <w:rPr>
                <w:spacing w:val="-4"/>
                <w:sz w:val="18"/>
              </w:rPr>
              <w:t>2030</w:t>
            </w:r>
          </w:p>
        </w:tc>
        <w:tc>
          <w:tcPr>
            <w:tcW w:w="2353" w:type="dxa"/>
          </w:tcPr>
          <w:p>
            <w:pPr>
              <w:pStyle w:val="TableParagraph"/>
              <w:spacing w:line="207" w:lineRule="exact"/>
              <w:ind w:right="89"/>
              <w:jc w:val="right"/>
              <w:rPr>
                <w:sz w:val="18"/>
              </w:rPr>
            </w:pPr>
            <w:r>
              <w:rPr>
                <w:spacing w:val="-2"/>
                <w:sz w:val="18"/>
              </w:rPr>
              <w:t>03/24/20</w:t>
            </w:r>
          </w:p>
        </w:tc>
        <w:tc>
          <w:tcPr>
            <w:tcW w:w="1664" w:type="dxa"/>
            <w:gridSpan w:val="2"/>
          </w:tcPr>
          <w:p>
            <w:pPr>
              <w:pStyle w:val="TableParagraph"/>
              <w:spacing w:line="207" w:lineRule="exact"/>
              <w:ind w:right="93"/>
              <w:jc w:val="right"/>
              <w:rPr>
                <w:sz w:val="18"/>
              </w:rPr>
            </w:pPr>
            <w:r>
              <w:rPr>
                <w:spacing w:val="-5"/>
                <w:sz w:val="18"/>
              </w:rPr>
              <w:t>500</w:t>
            </w:r>
          </w:p>
        </w:tc>
        <w:tc>
          <w:tcPr>
            <w:tcW w:w="1588" w:type="dxa"/>
            <w:gridSpan w:val="2"/>
          </w:tcPr>
          <w:p>
            <w:pPr>
              <w:pStyle w:val="TableParagraph"/>
              <w:spacing w:line="207" w:lineRule="exact"/>
              <w:ind w:right="76"/>
              <w:jc w:val="right"/>
              <w:rPr>
                <w:sz w:val="18"/>
              </w:rPr>
            </w:pPr>
            <w:r>
              <w:rPr>
                <w:spacing w:val="-5"/>
                <w:sz w:val="18"/>
              </w:rPr>
              <w:t>500</w:t>
            </w:r>
          </w:p>
        </w:tc>
      </w:tr>
      <w:tr>
        <w:trPr>
          <w:trHeight w:val="255" w:hRule="atLeast"/>
        </w:trPr>
        <w:tc>
          <w:tcPr>
            <w:tcW w:w="4674" w:type="dxa"/>
            <w:shd w:val="clear" w:color="auto" w:fill="CCEDFF"/>
          </w:tcPr>
          <w:p>
            <w:pPr>
              <w:pStyle w:val="TableParagraph"/>
              <w:spacing w:line="207" w:lineRule="exact"/>
              <w:ind w:left="172"/>
              <w:rPr>
                <w:sz w:val="18"/>
              </w:rPr>
            </w:pPr>
            <w:r>
              <w:rPr>
                <w:sz w:val="18"/>
              </w:rPr>
              <w:t>1.650%</w:t>
            </w:r>
            <w:r>
              <w:rPr>
                <w:spacing w:val="-2"/>
                <w:sz w:val="18"/>
              </w:rPr>
              <w:t> </w:t>
            </w:r>
            <w:r>
              <w:rPr>
                <w:sz w:val="18"/>
              </w:rPr>
              <w:t>due March 11, </w:t>
            </w:r>
            <w:r>
              <w:rPr>
                <w:spacing w:val="-4"/>
                <w:sz w:val="18"/>
              </w:rPr>
              <w:t>2031</w:t>
            </w:r>
          </w:p>
        </w:tc>
        <w:tc>
          <w:tcPr>
            <w:tcW w:w="2353" w:type="dxa"/>
            <w:shd w:val="clear" w:color="auto" w:fill="CCEDFF"/>
          </w:tcPr>
          <w:p>
            <w:pPr>
              <w:pStyle w:val="TableParagraph"/>
              <w:spacing w:line="207" w:lineRule="exact"/>
              <w:ind w:right="89"/>
              <w:jc w:val="right"/>
              <w:rPr>
                <w:sz w:val="18"/>
              </w:rPr>
            </w:pPr>
            <w:r>
              <w:rPr>
                <w:spacing w:val="-2"/>
                <w:sz w:val="18"/>
              </w:rPr>
              <w:t>12/11/20</w:t>
            </w:r>
          </w:p>
        </w:tc>
        <w:tc>
          <w:tcPr>
            <w:tcW w:w="1664" w:type="dxa"/>
            <w:gridSpan w:val="2"/>
            <w:shd w:val="clear" w:color="auto" w:fill="CCEDFF"/>
          </w:tcPr>
          <w:p>
            <w:pPr>
              <w:pStyle w:val="TableParagraph"/>
              <w:spacing w:line="207" w:lineRule="exact"/>
              <w:ind w:right="93"/>
              <w:jc w:val="right"/>
              <w:rPr>
                <w:sz w:val="18"/>
              </w:rPr>
            </w:pPr>
            <w:r>
              <w:rPr>
                <w:spacing w:val="-5"/>
                <w:sz w:val="18"/>
              </w:rPr>
              <w:t>750</w:t>
            </w:r>
          </w:p>
        </w:tc>
        <w:tc>
          <w:tcPr>
            <w:tcW w:w="1588" w:type="dxa"/>
            <w:gridSpan w:val="2"/>
            <w:shd w:val="clear" w:color="auto" w:fill="CCEDFF"/>
          </w:tcPr>
          <w:p>
            <w:pPr>
              <w:pStyle w:val="TableParagraph"/>
              <w:spacing w:line="207" w:lineRule="exact"/>
              <w:ind w:right="76"/>
              <w:jc w:val="right"/>
              <w:rPr>
                <w:sz w:val="18"/>
              </w:rPr>
            </w:pPr>
            <w:r>
              <w:rPr>
                <w:spacing w:val="-5"/>
                <w:sz w:val="18"/>
              </w:rPr>
              <w:t>750</w:t>
            </w:r>
          </w:p>
        </w:tc>
      </w:tr>
      <w:tr>
        <w:trPr>
          <w:trHeight w:val="255" w:hRule="atLeast"/>
        </w:trPr>
        <w:tc>
          <w:tcPr>
            <w:tcW w:w="4674" w:type="dxa"/>
          </w:tcPr>
          <w:p>
            <w:pPr>
              <w:pStyle w:val="TableParagraph"/>
              <w:spacing w:line="207" w:lineRule="exact"/>
              <w:ind w:left="172"/>
              <w:rPr>
                <w:sz w:val="18"/>
              </w:rPr>
            </w:pPr>
            <w:r>
              <w:rPr>
                <w:sz w:val="18"/>
              </w:rPr>
              <w:t>2.300%</w:t>
            </w:r>
            <w:r>
              <w:rPr>
                <w:spacing w:val="-2"/>
                <w:sz w:val="18"/>
              </w:rPr>
              <w:t> </w:t>
            </w:r>
            <w:r>
              <w:rPr>
                <w:sz w:val="18"/>
              </w:rPr>
              <w:t>due May 13, </w:t>
            </w:r>
            <w:r>
              <w:rPr>
                <w:spacing w:val="-4"/>
                <w:sz w:val="18"/>
              </w:rPr>
              <w:t>2031</w:t>
            </w:r>
          </w:p>
        </w:tc>
        <w:tc>
          <w:tcPr>
            <w:tcW w:w="2353" w:type="dxa"/>
          </w:tcPr>
          <w:p>
            <w:pPr>
              <w:pStyle w:val="TableParagraph"/>
              <w:spacing w:line="207" w:lineRule="exact"/>
              <w:ind w:right="89"/>
              <w:jc w:val="right"/>
              <w:rPr>
                <w:sz w:val="18"/>
              </w:rPr>
            </w:pPr>
            <w:r>
              <w:rPr>
                <w:spacing w:val="-2"/>
                <w:sz w:val="18"/>
              </w:rPr>
              <w:t>05/13/21</w:t>
            </w:r>
          </w:p>
        </w:tc>
        <w:tc>
          <w:tcPr>
            <w:tcW w:w="1664" w:type="dxa"/>
            <w:gridSpan w:val="2"/>
          </w:tcPr>
          <w:p>
            <w:pPr>
              <w:pStyle w:val="TableParagraph"/>
              <w:spacing w:line="207" w:lineRule="exact"/>
              <w:ind w:right="93"/>
              <w:jc w:val="right"/>
              <w:rPr>
                <w:sz w:val="18"/>
              </w:rPr>
            </w:pPr>
            <w:r>
              <w:rPr>
                <w:spacing w:val="-5"/>
                <w:sz w:val="18"/>
              </w:rPr>
              <w:t>750</w:t>
            </w:r>
          </w:p>
        </w:tc>
        <w:tc>
          <w:tcPr>
            <w:tcW w:w="1588" w:type="dxa"/>
            <w:gridSpan w:val="2"/>
          </w:tcPr>
          <w:p>
            <w:pPr>
              <w:pStyle w:val="TableParagraph"/>
              <w:spacing w:line="207" w:lineRule="exact"/>
              <w:ind w:right="76"/>
              <w:jc w:val="right"/>
              <w:rPr>
                <w:sz w:val="18"/>
              </w:rPr>
            </w:pPr>
            <w:r>
              <w:rPr>
                <w:spacing w:val="-5"/>
                <w:sz w:val="18"/>
              </w:rPr>
              <w:t>750</w:t>
            </w:r>
          </w:p>
        </w:tc>
      </w:tr>
      <w:tr>
        <w:trPr>
          <w:trHeight w:val="255" w:hRule="atLeast"/>
        </w:trPr>
        <w:tc>
          <w:tcPr>
            <w:tcW w:w="4674" w:type="dxa"/>
            <w:shd w:val="clear" w:color="auto" w:fill="CCEDFF"/>
          </w:tcPr>
          <w:p>
            <w:pPr>
              <w:pStyle w:val="TableParagraph"/>
              <w:spacing w:line="207" w:lineRule="exact"/>
              <w:ind w:left="172"/>
              <w:rPr>
                <w:sz w:val="18"/>
              </w:rPr>
            </w:pPr>
            <w:r>
              <w:rPr>
                <w:sz w:val="18"/>
              </w:rPr>
              <w:t>1.950%</w:t>
            </w:r>
            <w:r>
              <w:rPr>
                <w:spacing w:val="-2"/>
                <w:sz w:val="18"/>
              </w:rPr>
              <w:t> </w:t>
            </w:r>
            <w:r>
              <w:rPr>
                <w:sz w:val="18"/>
              </w:rPr>
              <w:t>due December 1, </w:t>
            </w:r>
            <w:r>
              <w:rPr>
                <w:spacing w:val="-4"/>
                <w:sz w:val="18"/>
              </w:rPr>
              <w:t>2031</w:t>
            </w:r>
          </w:p>
        </w:tc>
        <w:tc>
          <w:tcPr>
            <w:tcW w:w="2353" w:type="dxa"/>
            <w:shd w:val="clear" w:color="auto" w:fill="CCEDFF"/>
          </w:tcPr>
          <w:p>
            <w:pPr>
              <w:pStyle w:val="TableParagraph"/>
              <w:spacing w:line="207" w:lineRule="exact"/>
              <w:ind w:right="89"/>
              <w:jc w:val="right"/>
              <w:rPr>
                <w:sz w:val="18"/>
              </w:rPr>
            </w:pPr>
            <w:r>
              <w:rPr>
                <w:spacing w:val="-2"/>
                <w:sz w:val="18"/>
              </w:rPr>
              <w:t>08/26/21</w:t>
            </w:r>
          </w:p>
        </w:tc>
        <w:tc>
          <w:tcPr>
            <w:tcW w:w="1664" w:type="dxa"/>
            <w:gridSpan w:val="2"/>
            <w:shd w:val="clear" w:color="auto" w:fill="CCEDFF"/>
          </w:tcPr>
          <w:p>
            <w:pPr>
              <w:pStyle w:val="TableParagraph"/>
              <w:spacing w:line="207" w:lineRule="exact"/>
              <w:ind w:right="93"/>
              <w:jc w:val="right"/>
              <w:rPr>
                <w:sz w:val="18"/>
              </w:rPr>
            </w:pPr>
            <w:r>
              <w:rPr>
                <w:spacing w:val="-5"/>
                <w:sz w:val="18"/>
              </w:rPr>
              <w:t>850</w:t>
            </w:r>
          </w:p>
        </w:tc>
        <w:tc>
          <w:tcPr>
            <w:tcW w:w="1588" w:type="dxa"/>
            <w:gridSpan w:val="2"/>
            <w:shd w:val="clear" w:color="auto" w:fill="CCEDFF"/>
          </w:tcPr>
          <w:p>
            <w:pPr>
              <w:pStyle w:val="TableParagraph"/>
              <w:spacing w:line="207" w:lineRule="exact"/>
              <w:ind w:right="76"/>
              <w:jc w:val="right"/>
              <w:rPr>
                <w:sz w:val="18"/>
              </w:rPr>
            </w:pPr>
            <w:r>
              <w:rPr>
                <w:spacing w:val="-5"/>
                <w:sz w:val="18"/>
              </w:rPr>
              <w:t>850</w:t>
            </w:r>
          </w:p>
        </w:tc>
      </w:tr>
      <w:tr>
        <w:trPr>
          <w:trHeight w:val="255" w:hRule="atLeast"/>
        </w:trPr>
        <w:tc>
          <w:tcPr>
            <w:tcW w:w="4674" w:type="dxa"/>
          </w:tcPr>
          <w:p>
            <w:pPr>
              <w:pStyle w:val="TableParagraph"/>
              <w:spacing w:line="207" w:lineRule="exact"/>
              <w:ind w:left="172"/>
              <w:rPr>
                <w:sz w:val="18"/>
              </w:rPr>
            </w:pPr>
            <w:r>
              <w:rPr>
                <w:sz w:val="18"/>
              </w:rPr>
              <w:t>2.900%</w:t>
            </w:r>
            <w:r>
              <w:rPr>
                <w:spacing w:val="-2"/>
                <w:sz w:val="18"/>
              </w:rPr>
              <w:t> </w:t>
            </w:r>
            <w:r>
              <w:rPr>
                <w:sz w:val="18"/>
              </w:rPr>
              <w:t>due March 3, </w:t>
            </w:r>
            <w:r>
              <w:rPr>
                <w:spacing w:val="-4"/>
                <w:sz w:val="18"/>
              </w:rPr>
              <w:t>2032</w:t>
            </w:r>
          </w:p>
        </w:tc>
        <w:tc>
          <w:tcPr>
            <w:tcW w:w="2353" w:type="dxa"/>
          </w:tcPr>
          <w:p>
            <w:pPr>
              <w:pStyle w:val="TableParagraph"/>
              <w:spacing w:line="207" w:lineRule="exact"/>
              <w:ind w:right="89"/>
              <w:jc w:val="right"/>
              <w:rPr>
                <w:sz w:val="18"/>
              </w:rPr>
            </w:pPr>
            <w:r>
              <w:rPr>
                <w:spacing w:val="-2"/>
                <w:sz w:val="18"/>
              </w:rPr>
              <w:t>03/03/22</w:t>
            </w:r>
          </w:p>
        </w:tc>
        <w:tc>
          <w:tcPr>
            <w:tcW w:w="1664" w:type="dxa"/>
            <w:gridSpan w:val="2"/>
          </w:tcPr>
          <w:p>
            <w:pPr>
              <w:pStyle w:val="TableParagraph"/>
              <w:spacing w:line="207" w:lineRule="exact"/>
              <w:ind w:right="93"/>
              <w:jc w:val="right"/>
              <w:rPr>
                <w:sz w:val="18"/>
              </w:rPr>
            </w:pPr>
            <w:r>
              <w:rPr>
                <w:spacing w:val="-2"/>
                <w:sz w:val="18"/>
              </w:rPr>
              <w:t>1,000</w:t>
            </w:r>
          </w:p>
        </w:tc>
        <w:tc>
          <w:tcPr>
            <w:tcW w:w="1588" w:type="dxa"/>
            <w:gridSpan w:val="2"/>
          </w:tcPr>
          <w:p>
            <w:pPr>
              <w:pStyle w:val="TableParagraph"/>
              <w:spacing w:line="207" w:lineRule="exact"/>
              <w:ind w:right="76"/>
              <w:jc w:val="right"/>
              <w:rPr>
                <w:sz w:val="18"/>
              </w:rPr>
            </w:pPr>
            <w:r>
              <w:rPr>
                <w:spacing w:val="-2"/>
                <w:sz w:val="18"/>
              </w:rPr>
              <w:t>1,000</w:t>
            </w:r>
          </w:p>
        </w:tc>
      </w:tr>
      <w:tr>
        <w:trPr>
          <w:trHeight w:val="255" w:hRule="atLeast"/>
        </w:trPr>
        <w:tc>
          <w:tcPr>
            <w:tcW w:w="4674" w:type="dxa"/>
            <w:shd w:val="clear" w:color="auto" w:fill="CCEDFF"/>
          </w:tcPr>
          <w:p>
            <w:pPr>
              <w:pStyle w:val="TableParagraph"/>
              <w:spacing w:line="207" w:lineRule="exact"/>
              <w:ind w:left="172"/>
              <w:rPr>
                <w:sz w:val="18"/>
              </w:rPr>
            </w:pPr>
            <w:r>
              <w:rPr>
                <w:sz w:val="18"/>
              </w:rPr>
              <w:t>5.875%</w:t>
            </w:r>
            <w:r>
              <w:rPr>
                <w:spacing w:val="-2"/>
                <w:sz w:val="18"/>
              </w:rPr>
              <w:t> </w:t>
            </w:r>
            <w:r>
              <w:rPr>
                <w:sz w:val="18"/>
              </w:rPr>
              <w:t>due August</w:t>
            </w:r>
            <w:r>
              <w:rPr>
                <w:spacing w:val="-1"/>
                <w:sz w:val="18"/>
              </w:rPr>
              <w:t> </w:t>
            </w:r>
            <w:r>
              <w:rPr>
                <w:sz w:val="18"/>
              </w:rPr>
              <w:t>24, </w:t>
            </w:r>
            <w:r>
              <w:rPr>
                <w:spacing w:val="-4"/>
                <w:sz w:val="18"/>
              </w:rPr>
              <w:t>2026</w:t>
            </w:r>
          </w:p>
        </w:tc>
        <w:tc>
          <w:tcPr>
            <w:tcW w:w="2353" w:type="dxa"/>
            <w:shd w:val="clear" w:color="auto" w:fill="CCEDFF"/>
          </w:tcPr>
          <w:p>
            <w:pPr>
              <w:pStyle w:val="TableParagraph"/>
              <w:spacing w:line="207" w:lineRule="exact"/>
              <w:ind w:right="89"/>
              <w:jc w:val="right"/>
              <w:rPr>
                <w:sz w:val="18"/>
              </w:rPr>
            </w:pPr>
            <w:r>
              <w:rPr>
                <w:spacing w:val="-2"/>
                <w:sz w:val="18"/>
              </w:rPr>
              <w:t>08/24/23</w:t>
            </w:r>
          </w:p>
        </w:tc>
        <w:tc>
          <w:tcPr>
            <w:tcW w:w="1664" w:type="dxa"/>
            <w:gridSpan w:val="2"/>
            <w:shd w:val="clear" w:color="auto" w:fill="CCEDFF"/>
          </w:tcPr>
          <w:p>
            <w:pPr>
              <w:pStyle w:val="TableParagraph"/>
              <w:spacing w:line="207" w:lineRule="exact"/>
              <w:ind w:right="93"/>
              <w:jc w:val="right"/>
              <w:rPr>
                <w:sz w:val="18"/>
              </w:rPr>
            </w:pPr>
            <w:r>
              <w:rPr>
                <w:spacing w:val="-2"/>
                <w:sz w:val="18"/>
              </w:rPr>
              <w:t>1,000</w:t>
            </w:r>
          </w:p>
        </w:tc>
        <w:tc>
          <w:tcPr>
            <w:tcW w:w="1588" w:type="dxa"/>
            <w:gridSpan w:val="2"/>
            <w:shd w:val="clear" w:color="auto" w:fill="CCEDFF"/>
          </w:tcPr>
          <w:p>
            <w:pPr>
              <w:pStyle w:val="TableParagraph"/>
              <w:spacing w:line="207" w:lineRule="exact"/>
              <w:ind w:right="76"/>
              <w:jc w:val="right"/>
              <w:rPr>
                <w:sz w:val="18"/>
              </w:rPr>
            </w:pPr>
            <w:r>
              <w:rPr>
                <w:spacing w:val="-10"/>
                <w:sz w:val="18"/>
              </w:rPr>
              <w:t>—</w:t>
            </w:r>
          </w:p>
        </w:tc>
      </w:tr>
      <w:tr>
        <w:trPr>
          <w:trHeight w:val="255" w:hRule="atLeast"/>
        </w:trPr>
        <w:tc>
          <w:tcPr>
            <w:tcW w:w="4674" w:type="dxa"/>
          </w:tcPr>
          <w:p>
            <w:pPr>
              <w:pStyle w:val="TableParagraph"/>
              <w:spacing w:line="207" w:lineRule="exact"/>
              <w:ind w:left="52"/>
              <w:rPr>
                <w:sz w:val="18"/>
              </w:rPr>
            </w:pPr>
            <w:r>
              <w:rPr>
                <w:sz w:val="18"/>
              </w:rPr>
              <w:t>CSC</w:t>
            </w:r>
            <w:r>
              <w:rPr>
                <w:spacing w:val="-1"/>
                <w:sz w:val="18"/>
              </w:rPr>
              <w:t> </w:t>
            </w:r>
            <w:r>
              <w:rPr>
                <w:sz w:val="18"/>
              </w:rPr>
              <w:t>Floating-rate</w:t>
            </w:r>
            <w:r>
              <w:rPr>
                <w:spacing w:val="-1"/>
                <w:sz w:val="18"/>
              </w:rPr>
              <w:t> </w:t>
            </w:r>
            <w:r>
              <w:rPr>
                <w:sz w:val="18"/>
              </w:rPr>
              <w:t>Senior</w:t>
            </w:r>
            <w:r>
              <w:rPr>
                <w:spacing w:val="-1"/>
                <w:sz w:val="18"/>
              </w:rPr>
              <w:t> </w:t>
            </w:r>
            <w:r>
              <w:rPr>
                <w:spacing w:val="-2"/>
                <w:sz w:val="18"/>
              </w:rPr>
              <w:t>Notes:</w:t>
            </w:r>
          </w:p>
        </w:tc>
        <w:tc>
          <w:tcPr>
            <w:tcW w:w="2353" w:type="dxa"/>
          </w:tcPr>
          <w:p>
            <w:pPr>
              <w:pStyle w:val="TableParagraph"/>
              <w:rPr>
                <w:sz w:val="16"/>
              </w:rPr>
            </w:pPr>
          </w:p>
        </w:tc>
        <w:tc>
          <w:tcPr>
            <w:tcW w:w="1664" w:type="dxa"/>
            <w:gridSpan w:val="2"/>
          </w:tcPr>
          <w:p>
            <w:pPr>
              <w:pStyle w:val="TableParagraph"/>
              <w:rPr>
                <w:sz w:val="16"/>
              </w:rPr>
            </w:pPr>
          </w:p>
        </w:tc>
        <w:tc>
          <w:tcPr>
            <w:tcW w:w="1588" w:type="dxa"/>
            <w:gridSpan w:val="2"/>
          </w:tcPr>
          <w:p>
            <w:pPr>
              <w:pStyle w:val="TableParagraph"/>
              <w:rPr>
                <w:sz w:val="16"/>
              </w:rPr>
            </w:pPr>
          </w:p>
        </w:tc>
      </w:tr>
      <w:tr>
        <w:trPr>
          <w:trHeight w:val="255" w:hRule="atLeast"/>
        </w:trPr>
        <w:tc>
          <w:tcPr>
            <w:tcW w:w="4674" w:type="dxa"/>
            <w:shd w:val="clear" w:color="auto" w:fill="CCEDFF"/>
          </w:tcPr>
          <w:p>
            <w:pPr>
              <w:pStyle w:val="TableParagraph"/>
              <w:spacing w:line="207" w:lineRule="exact"/>
              <w:ind w:left="187"/>
              <w:rPr>
                <w:sz w:val="18"/>
              </w:rPr>
            </w:pPr>
            <w:r>
              <w:rPr>
                <w:sz w:val="18"/>
              </w:rPr>
              <w:t>SOFR</w:t>
            </w:r>
            <w:r>
              <w:rPr>
                <w:spacing w:val="-3"/>
                <w:sz w:val="18"/>
              </w:rPr>
              <w:t> </w:t>
            </w:r>
            <w:r>
              <w:rPr>
                <w:sz w:val="18"/>
              </w:rPr>
              <w:t>+</w:t>
            </w:r>
            <w:r>
              <w:rPr>
                <w:spacing w:val="-2"/>
                <w:sz w:val="18"/>
              </w:rPr>
              <w:t> </w:t>
            </w:r>
            <w:r>
              <w:rPr>
                <w:sz w:val="18"/>
              </w:rPr>
              <w:t>0.500%</w:t>
            </w:r>
            <w:r>
              <w:rPr>
                <w:spacing w:val="-1"/>
                <w:sz w:val="18"/>
              </w:rPr>
              <w:t> </w:t>
            </w:r>
            <w:r>
              <w:rPr>
                <w:sz w:val="18"/>
              </w:rPr>
              <w:t>due</w:t>
            </w:r>
            <w:r>
              <w:rPr>
                <w:spacing w:val="-1"/>
                <w:sz w:val="18"/>
              </w:rPr>
              <w:t> </w:t>
            </w:r>
            <w:r>
              <w:rPr>
                <w:sz w:val="18"/>
              </w:rPr>
              <w:t>March</w:t>
            </w:r>
            <w:r>
              <w:rPr>
                <w:spacing w:val="-1"/>
                <w:sz w:val="18"/>
              </w:rPr>
              <w:t> </w:t>
            </w:r>
            <w:r>
              <w:rPr>
                <w:sz w:val="18"/>
              </w:rPr>
              <w:t>18, </w:t>
            </w:r>
            <w:r>
              <w:rPr>
                <w:spacing w:val="-4"/>
                <w:sz w:val="18"/>
              </w:rPr>
              <w:t>2024</w:t>
            </w:r>
          </w:p>
        </w:tc>
        <w:tc>
          <w:tcPr>
            <w:tcW w:w="2353" w:type="dxa"/>
            <w:shd w:val="clear" w:color="auto" w:fill="CCEDFF"/>
          </w:tcPr>
          <w:p>
            <w:pPr>
              <w:pStyle w:val="TableParagraph"/>
              <w:spacing w:line="207" w:lineRule="exact"/>
              <w:ind w:right="89"/>
              <w:jc w:val="right"/>
              <w:rPr>
                <w:sz w:val="18"/>
              </w:rPr>
            </w:pPr>
            <w:r>
              <w:rPr>
                <w:spacing w:val="-2"/>
                <w:sz w:val="18"/>
              </w:rPr>
              <w:t>03/18/21</w:t>
            </w:r>
          </w:p>
        </w:tc>
        <w:tc>
          <w:tcPr>
            <w:tcW w:w="1664" w:type="dxa"/>
            <w:gridSpan w:val="2"/>
            <w:shd w:val="clear" w:color="auto" w:fill="CCEDFF"/>
          </w:tcPr>
          <w:p>
            <w:pPr>
              <w:pStyle w:val="TableParagraph"/>
              <w:spacing w:line="207" w:lineRule="exact"/>
              <w:ind w:right="93"/>
              <w:jc w:val="right"/>
              <w:rPr>
                <w:sz w:val="18"/>
              </w:rPr>
            </w:pPr>
            <w:r>
              <w:rPr>
                <w:spacing w:val="-2"/>
                <w:sz w:val="18"/>
              </w:rPr>
              <w:t>1,250</w:t>
            </w:r>
          </w:p>
        </w:tc>
        <w:tc>
          <w:tcPr>
            <w:tcW w:w="1588" w:type="dxa"/>
            <w:gridSpan w:val="2"/>
            <w:shd w:val="clear" w:color="auto" w:fill="CCEDFF"/>
          </w:tcPr>
          <w:p>
            <w:pPr>
              <w:pStyle w:val="TableParagraph"/>
              <w:spacing w:line="207" w:lineRule="exact"/>
              <w:ind w:right="76"/>
              <w:jc w:val="right"/>
              <w:rPr>
                <w:sz w:val="18"/>
              </w:rPr>
            </w:pPr>
            <w:r>
              <w:rPr>
                <w:spacing w:val="-2"/>
                <w:sz w:val="18"/>
              </w:rPr>
              <w:t>1,250</w:t>
            </w:r>
          </w:p>
        </w:tc>
      </w:tr>
      <w:tr>
        <w:trPr>
          <w:trHeight w:val="255" w:hRule="atLeast"/>
        </w:trPr>
        <w:tc>
          <w:tcPr>
            <w:tcW w:w="4674" w:type="dxa"/>
          </w:tcPr>
          <w:p>
            <w:pPr>
              <w:pStyle w:val="TableParagraph"/>
              <w:spacing w:line="207" w:lineRule="exact"/>
              <w:ind w:left="187"/>
              <w:rPr>
                <w:sz w:val="18"/>
              </w:rPr>
            </w:pPr>
            <w:r>
              <w:rPr>
                <w:sz w:val="18"/>
              </w:rPr>
              <w:t>SOFR</w:t>
            </w:r>
            <w:r>
              <w:rPr>
                <w:spacing w:val="-1"/>
                <w:sz w:val="18"/>
              </w:rPr>
              <w:t> </w:t>
            </w:r>
            <w:r>
              <w:rPr>
                <w:sz w:val="18"/>
              </w:rPr>
              <w:t>+</w:t>
            </w:r>
            <w:r>
              <w:rPr>
                <w:spacing w:val="-2"/>
                <w:sz w:val="18"/>
              </w:rPr>
              <w:t> </w:t>
            </w:r>
            <w:r>
              <w:rPr>
                <w:sz w:val="18"/>
              </w:rPr>
              <w:t>0.520%</w:t>
            </w:r>
            <w:r>
              <w:rPr>
                <w:spacing w:val="-1"/>
                <w:sz w:val="18"/>
              </w:rPr>
              <w:t> </w:t>
            </w:r>
            <w:r>
              <w:rPr>
                <w:sz w:val="18"/>
              </w:rPr>
              <w:t>due</w:t>
            </w:r>
            <w:r>
              <w:rPr>
                <w:spacing w:val="-1"/>
                <w:sz w:val="18"/>
              </w:rPr>
              <w:t> </w:t>
            </w:r>
            <w:r>
              <w:rPr>
                <w:sz w:val="18"/>
              </w:rPr>
              <w:t>May</w:t>
            </w:r>
            <w:r>
              <w:rPr>
                <w:spacing w:val="-1"/>
                <w:sz w:val="18"/>
              </w:rPr>
              <w:t> </w:t>
            </w:r>
            <w:r>
              <w:rPr>
                <w:sz w:val="18"/>
              </w:rPr>
              <w:t>13, </w:t>
            </w:r>
            <w:r>
              <w:rPr>
                <w:spacing w:val="-4"/>
                <w:sz w:val="18"/>
              </w:rPr>
              <w:t>2026</w:t>
            </w:r>
          </w:p>
        </w:tc>
        <w:tc>
          <w:tcPr>
            <w:tcW w:w="2353" w:type="dxa"/>
          </w:tcPr>
          <w:p>
            <w:pPr>
              <w:pStyle w:val="TableParagraph"/>
              <w:spacing w:line="207" w:lineRule="exact"/>
              <w:ind w:right="89"/>
              <w:jc w:val="right"/>
              <w:rPr>
                <w:sz w:val="18"/>
              </w:rPr>
            </w:pPr>
            <w:r>
              <w:rPr>
                <w:spacing w:val="-2"/>
                <w:sz w:val="18"/>
              </w:rPr>
              <w:t>05/13/21</w:t>
            </w:r>
          </w:p>
        </w:tc>
        <w:tc>
          <w:tcPr>
            <w:tcW w:w="1664" w:type="dxa"/>
            <w:gridSpan w:val="2"/>
          </w:tcPr>
          <w:p>
            <w:pPr>
              <w:pStyle w:val="TableParagraph"/>
              <w:spacing w:line="207" w:lineRule="exact"/>
              <w:ind w:right="93"/>
              <w:jc w:val="right"/>
              <w:rPr>
                <w:sz w:val="18"/>
              </w:rPr>
            </w:pPr>
            <w:r>
              <w:rPr>
                <w:spacing w:val="-5"/>
                <w:sz w:val="18"/>
              </w:rPr>
              <w:t>500</w:t>
            </w:r>
          </w:p>
        </w:tc>
        <w:tc>
          <w:tcPr>
            <w:tcW w:w="1588" w:type="dxa"/>
            <w:gridSpan w:val="2"/>
          </w:tcPr>
          <w:p>
            <w:pPr>
              <w:pStyle w:val="TableParagraph"/>
              <w:spacing w:line="207" w:lineRule="exact"/>
              <w:ind w:right="76"/>
              <w:jc w:val="right"/>
              <w:rPr>
                <w:sz w:val="18"/>
              </w:rPr>
            </w:pPr>
            <w:r>
              <w:rPr>
                <w:spacing w:val="-5"/>
                <w:sz w:val="18"/>
              </w:rPr>
              <w:t>500</w:t>
            </w:r>
          </w:p>
        </w:tc>
      </w:tr>
      <w:tr>
        <w:trPr>
          <w:trHeight w:val="255" w:hRule="atLeast"/>
        </w:trPr>
        <w:tc>
          <w:tcPr>
            <w:tcW w:w="4674" w:type="dxa"/>
            <w:shd w:val="clear" w:color="auto" w:fill="CCEDFF"/>
          </w:tcPr>
          <w:p>
            <w:pPr>
              <w:pStyle w:val="TableParagraph"/>
              <w:spacing w:line="207" w:lineRule="exact"/>
              <w:ind w:left="187"/>
              <w:rPr>
                <w:sz w:val="18"/>
              </w:rPr>
            </w:pPr>
            <w:r>
              <w:rPr>
                <w:sz w:val="18"/>
              </w:rPr>
              <w:t>SOFR</w:t>
            </w:r>
            <w:r>
              <w:rPr>
                <w:spacing w:val="-1"/>
                <w:sz w:val="18"/>
              </w:rPr>
              <w:t> </w:t>
            </w:r>
            <w:r>
              <w:rPr>
                <w:sz w:val="18"/>
              </w:rPr>
              <w:t>+</w:t>
            </w:r>
            <w:r>
              <w:rPr>
                <w:spacing w:val="-2"/>
                <w:sz w:val="18"/>
              </w:rPr>
              <w:t> </w:t>
            </w:r>
            <w:r>
              <w:rPr>
                <w:sz w:val="18"/>
              </w:rPr>
              <w:t>1.050%</w:t>
            </w:r>
            <w:r>
              <w:rPr>
                <w:spacing w:val="-1"/>
                <w:sz w:val="18"/>
              </w:rPr>
              <w:t> </w:t>
            </w:r>
            <w:r>
              <w:rPr>
                <w:sz w:val="18"/>
              </w:rPr>
              <w:t>due</w:t>
            </w:r>
            <w:r>
              <w:rPr>
                <w:spacing w:val="-1"/>
                <w:sz w:val="18"/>
              </w:rPr>
              <w:t> </w:t>
            </w:r>
            <w:r>
              <w:rPr>
                <w:sz w:val="18"/>
              </w:rPr>
              <w:t>March</w:t>
            </w:r>
            <w:r>
              <w:rPr>
                <w:spacing w:val="-1"/>
                <w:sz w:val="18"/>
              </w:rPr>
              <w:t> </w:t>
            </w:r>
            <w:r>
              <w:rPr>
                <w:sz w:val="18"/>
              </w:rPr>
              <w:t>3, </w:t>
            </w:r>
            <w:r>
              <w:rPr>
                <w:spacing w:val="-4"/>
                <w:sz w:val="18"/>
              </w:rPr>
              <w:t>2027</w:t>
            </w:r>
          </w:p>
        </w:tc>
        <w:tc>
          <w:tcPr>
            <w:tcW w:w="2353" w:type="dxa"/>
            <w:shd w:val="clear" w:color="auto" w:fill="CCEDFF"/>
          </w:tcPr>
          <w:p>
            <w:pPr>
              <w:pStyle w:val="TableParagraph"/>
              <w:spacing w:line="207" w:lineRule="exact"/>
              <w:ind w:right="89"/>
              <w:jc w:val="right"/>
              <w:rPr>
                <w:sz w:val="18"/>
              </w:rPr>
            </w:pPr>
            <w:r>
              <w:rPr>
                <w:spacing w:val="-2"/>
                <w:sz w:val="18"/>
              </w:rPr>
              <w:t>03/03/22</w:t>
            </w:r>
          </w:p>
        </w:tc>
        <w:tc>
          <w:tcPr>
            <w:tcW w:w="1664" w:type="dxa"/>
            <w:gridSpan w:val="2"/>
            <w:shd w:val="clear" w:color="auto" w:fill="CCEDFF"/>
          </w:tcPr>
          <w:p>
            <w:pPr>
              <w:pStyle w:val="TableParagraph"/>
              <w:spacing w:line="207" w:lineRule="exact"/>
              <w:ind w:right="93"/>
              <w:jc w:val="right"/>
              <w:rPr>
                <w:sz w:val="18"/>
              </w:rPr>
            </w:pPr>
            <w:r>
              <w:rPr>
                <w:spacing w:val="-5"/>
                <w:sz w:val="18"/>
              </w:rPr>
              <w:t>500</w:t>
            </w:r>
          </w:p>
        </w:tc>
        <w:tc>
          <w:tcPr>
            <w:tcW w:w="1588" w:type="dxa"/>
            <w:gridSpan w:val="2"/>
            <w:shd w:val="clear" w:color="auto" w:fill="CCEDFF"/>
          </w:tcPr>
          <w:p>
            <w:pPr>
              <w:pStyle w:val="TableParagraph"/>
              <w:spacing w:line="207" w:lineRule="exact"/>
              <w:ind w:right="76"/>
              <w:jc w:val="right"/>
              <w:rPr>
                <w:sz w:val="18"/>
              </w:rPr>
            </w:pPr>
            <w:r>
              <w:rPr>
                <w:spacing w:val="-5"/>
                <w:sz w:val="18"/>
              </w:rPr>
              <w:t>500</w:t>
            </w:r>
          </w:p>
        </w:tc>
      </w:tr>
      <w:tr>
        <w:trPr>
          <w:trHeight w:val="255" w:hRule="atLeast"/>
        </w:trPr>
        <w:tc>
          <w:tcPr>
            <w:tcW w:w="4674" w:type="dxa"/>
          </w:tcPr>
          <w:p>
            <w:pPr>
              <w:pStyle w:val="TableParagraph"/>
              <w:spacing w:line="207" w:lineRule="exact"/>
              <w:ind w:left="52"/>
              <w:rPr>
                <w:sz w:val="18"/>
              </w:rPr>
            </w:pPr>
            <w:r>
              <w:rPr>
                <w:sz w:val="18"/>
              </w:rPr>
              <w:t>CSC</w:t>
            </w:r>
            <w:r>
              <w:rPr>
                <w:spacing w:val="-3"/>
                <w:sz w:val="18"/>
              </w:rPr>
              <w:t> </w:t>
            </w:r>
            <w:r>
              <w:rPr>
                <w:sz w:val="18"/>
              </w:rPr>
              <w:t>Fixed-to-Floating</w:t>
            </w:r>
            <w:r>
              <w:rPr>
                <w:spacing w:val="-1"/>
                <w:sz w:val="18"/>
              </w:rPr>
              <w:t> </w:t>
            </w:r>
            <w:r>
              <w:rPr>
                <w:sz w:val="18"/>
              </w:rPr>
              <w:t>rate</w:t>
            </w:r>
            <w:r>
              <w:rPr>
                <w:spacing w:val="-1"/>
                <w:sz w:val="18"/>
              </w:rPr>
              <w:t> </w:t>
            </w:r>
            <w:r>
              <w:rPr>
                <w:sz w:val="18"/>
              </w:rPr>
              <w:t>Senior</w:t>
            </w:r>
            <w:r>
              <w:rPr>
                <w:spacing w:val="-1"/>
                <w:sz w:val="18"/>
              </w:rPr>
              <w:t> </w:t>
            </w:r>
            <w:r>
              <w:rPr>
                <w:spacing w:val="-2"/>
                <w:sz w:val="18"/>
              </w:rPr>
              <w:t>Notes:</w:t>
            </w:r>
          </w:p>
        </w:tc>
        <w:tc>
          <w:tcPr>
            <w:tcW w:w="2353" w:type="dxa"/>
          </w:tcPr>
          <w:p>
            <w:pPr>
              <w:pStyle w:val="TableParagraph"/>
              <w:rPr>
                <w:sz w:val="16"/>
              </w:rPr>
            </w:pPr>
          </w:p>
        </w:tc>
        <w:tc>
          <w:tcPr>
            <w:tcW w:w="1664" w:type="dxa"/>
            <w:gridSpan w:val="2"/>
          </w:tcPr>
          <w:p>
            <w:pPr>
              <w:pStyle w:val="TableParagraph"/>
              <w:rPr>
                <w:sz w:val="16"/>
              </w:rPr>
            </w:pPr>
          </w:p>
        </w:tc>
        <w:tc>
          <w:tcPr>
            <w:tcW w:w="1588" w:type="dxa"/>
            <w:gridSpan w:val="2"/>
          </w:tcPr>
          <w:p>
            <w:pPr>
              <w:pStyle w:val="TableParagraph"/>
              <w:rPr>
                <w:sz w:val="16"/>
              </w:rPr>
            </w:pPr>
          </w:p>
        </w:tc>
      </w:tr>
      <w:tr>
        <w:trPr>
          <w:trHeight w:val="255" w:hRule="atLeast"/>
        </w:trPr>
        <w:tc>
          <w:tcPr>
            <w:tcW w:w="4674" w:type="dxa"/>
            <w:shd w:val="clear" w:color="auto" w:fill="CCEDFF"/>
          </w:tcPr>
          <w:p>
            <w:pPr>
              <w:pStyle w:val="TableParagraph"/>
              <w:spacing w:line="207" w:lineRule="exact"/>
              <w:ind w:left="172"/>
              <w:rPr>
                <w:sz w:val="18"/>
              </w:rPr>
            </w:pPr>
            <w:r>
              <w:rPr>
                <w:sz w:val="18"/>
              </w:rPr>
              <w:t>5.643%</w:t>
            </w:r>
            <w:r>
              <w:rPr>
                <w:spacing w:val="-2"/>
                <w:sz w:val="18"/>
              </w:rPr>
              <w:t> </w:t>
            </w:r>
            <w:r>
              <w:rPr>
                <w:sz w:val="18"/>
              </w:rPr>
              <w:t>due May 19, 2029</w:t>
            </w:r>
            <w:r>
              <w:rPr>
                <w:spacing w:val="-1"/>
                <w:sz w:val="18"/>
              </w:rPr>
              <w:t> </w:t>
            </w:r>
            <w:r>
              <w:rPr>
                <w:spacing w:val="-5"/>
                <w:sz w:val="18"/>
                <w:vertAlign w:val="superscript"/>
              </w:rPr>
              <w:t>(1)</w:t>
            </w:r>
          </w:p>
        </w:tc>
        <w:tc>
          <w:tcPr>
            <w:tcW w:w="2353" w:type="dxa"/>
            <w:shd w:val="clear" w:color="auto" w:fill="CCEDFF"/>
          </w:tcPr>
          <w:p>
            <w:pPr>
              <w:pStyle w:val="TableParagraph"/>
              <w:spacing w:line="207" w:lineRule="exact"/>
              <w:ind w:right="89"/>
              <w:jc w:val="right"/>
              <w:rPr>
                <w:sz w:val="18"/>
              </w:rPr>
            </w:pPr>
            <w:r>
              <w:rPr>
                <w:spacing w:val="-2"/>
                <w:sz w:val="18"/>
              </w:rPr>
              <w:t>05/19/23</w:t>
            </w:r>
          </w:p>
        </w:tc>
        <w:tc>
          <w:tcPr>
            <w:tcW w:w="1664" w:type="dxa"/>
            <w:gridSpan w:val="2"/>
            <w:shd w:val="clear" w:color="auto" w:fill="CCEDFF"/>
          </w:tcPr>
          <w:p>
            <w:pPr>
              <w:pStyle w:val="TableParagraph"/>
              <w:spacing w:line="207" w:lineRule="exact"/>
              <w:ind w:right="93"/>
              <w:jc w:val="right"/>
              <w:rPr>
                <w:sz w:val="18"/>
              </w:rPr>
            </w:pPr>
            <w:r>
              <w:rPr>
                <w:spacing w:val="-2"/>
                <w:sz w:val="18"/>
              </w:rPr>
              <w:t>1,200</w:t>
            </w:r>
          </w:p>
        </w:tc>
        <w:tc>
          <w:tcPr>
            <w:tcW w:w="1588" w:type="dxa"/>
            <w:gridSpan w:val="2"/>
            <w:shd w:val="clear" w:color="auto" w:fill="CCEDFF"/>
          </w:tcPr>
          <w:p>
            <w:pPr>
              <w:pStyle w:val="TableParagraph"/>
              <w:spacing w:line="207" w:lineRule="exact"/>
              <w:ind w:right="76"/>
              <w:jc w:val="right"/>
              <w:rPr>
                <w:sz w:val="18"/>
              </w:rPr>
            </w:pPr>
            <w:r>
              <w:rPr>
                <w:spacing w:val="-10"/>
                <w:sz w:val="18"/>
              </w:rPr>
              <w:t>—</w:t>
            </w:r>
          </w:p>
        </w:tc>
      </w:tr>
      <w:tr>
        <w:trPr>
          <w:trHeight w:val="255" w:hRule="atLeast"/>
        </w:trPr>
        <w:tc>
          <w:tcPr>
            <w:tcW w:w="4674" w:type="dxa"/>
          </w:tcPr>
          <w:p>
            <w:pPr>
              <w:pStyle w:val="TableParagraph"/>
              <w:spacing w:line="207" w:lineRule="exact"/>
              <w:ind w:left="172"/>
              <w:rPr>
                <w:sz w:val="18"/>
              </w:rPr>
            </w:pPr>
            <w:r>
              <w:rPr>
                <w:sz w:val="18"/>
              </w:rPr>
              <w:t>5.853%</w:t>
            </w:r>
            <w:r>
              <w:rPr>
                <w:spacing w:val="-2"/>
                <w:sz w:val="18"/>
              </w:rPr>
              <w:t> </w:t>
            </w:r>
            <w:r>
              <w:rPr>
                <w:sz w:val="18"/>
              </w:rPr>
              <w:t>due May 19, 2034</w:t>
            </w:r>
            <w:r>
              <w:rPr>
                <w:spacing w:val="-1"/>
                <w:sz w:val="18"/>
              </w:rPr>
              <w:t> </w:t>
            </w:r>
            <w:r>
              <w:rPr>
                <w:spacing w:val="-5"/>
                <w:sz w:val="18"/>
                <w:vertAlign w:val="superscript"/>
              </w:rPr>
              <w:t>(2)</w:t>
            </w:r>
          </w:p>
        </w:tc>
        <w:tc>
          <w:tcPr>
            <w:tcW w:w="2353" w:type="dxa"/>
          </w:tcPr>
          <w:p>
            <w:pPr>
              <w:pStyle w:val="TableParagraph"/>
              <w:spacing w:line="207" w:lineRule="exact"/>
              <w:ind w:right="89"/>
              <w:jc w:val="right"/>
              <w:rPr>
                <w:sz w:val="18"/>
              </w:rPr>
            </w:pPr>
            <w:r>
              <w:rPr>
                <w:spacing w:val="-2"/>
                <w:sz w:val="18"/>
              </w:rPr>
              <w:t>05/19/23</w:t>
            </w:r>
          </w:p>
        </w:tc>
        <w:tc>
          <w:tcPr>
            <w:tcW w:w="1664" w:type="dxa"/>
            <w:gridSpan w:val="2"/>
          </w:tcPr>
          <w:p>
            <w:pPr>
              <w:pStyle w:val="TableParagraph"/>
              <w:spacing w:line="207" w:lineRule="exact"/>
              <w:ind w:right="93"/>
              <w:jc w:val="right"/>
              <w:rPr>
                <w:sz w:val="18"/>
              </w:rPr>
            </w:pPr>
            <w:r>
              <w:rPr>
                <w:spacing w:val="-2"/>
                <w:sz w:val="18"/>
              </w:rPr>
              <w:t>1,300</w:t>
            </w:r>
          </w:p>
        </w:tc>
        <w:tc>
          <w:tcPr>
            <w:tcW w:w="1588" w:type="dxa"/>
            <w:gridSpan w:val="2"/>
          </w:tcPr>
          <w:p>
            <w:pPr>
              <w:pStyle w:val="TableParagraph"/>
              <w:spacing w:line="207" w:lineRule="exact"/>
              <w:ind w:right="76"/>
              <w:jc w:val="right"/>
              <w:rPr>
                <w:sz w:val="18"/>
              </w:rPr>
            </w:pPr>
            <w:r>
              <w:rPr>
                <w:spacing w:val="-10"/>
                <w:sz w:val="18"/>
              </w:rPr>
              <w:t>—</w:t>
            </w:r>
          </w:p>
        </w:tc>
      </w:tr>
      <w:tr>
        <w:trPr>
          <w:trHeight w:val="250" w:hRule="atLeast"/>
        </w:trPr>
        <w:tc>
          <w:tcPr>
            <w:tcW w:w="4674" w:type="dxa"/>
            <w:tcBorders>
              <w:bottom w:val="single" w:sz="4" w:space="0" w:color="000000"/>
            </w:tcBorders>
            <w:shd w:val="clear" w:color="auto" w:fill="CCEDFF"/>
          </w:tcPr>
          <w:p>
            <w:pPr>
              <w:pStyle w:val="TableParagraph"/>
              <w:spacing w:line="207" w:lineRule="exact"/>
              <w:ind w:left="172"/>
              <w:rPr>
                <w:sz w:val="18"/>
              </w:rPr>
            </w:pPr>
            <w:r>
              <w:rPr>
                <w:sz w:val="18"/>
              </w:rPr>
              <w:t>6.136%</w:t>
            </w:r>
            <w:r>
              <w:rPr>
                <w:spacing w:val="-2"/>
                <w:sz w:val="18"/>
              </w:rPr>
              <w:t> </w:t>
            </w:r>
            <w:r>
              <w:rPr>
                <w:sz w:val="18"/>
              </w:rPr>
              <w:t>due August</w:t>
            </w:r>
            <w:r>
              <w:rPr>
                <w:spacing w:val="-1"/>
                <w:sz w:val="18"/>
              </w:rPr>
              <w:t> </w:t>
            </w:r>
            <w:r>
              <w:rPr>
                <w:sz w:val="18"/>
              </w:rPr>
              <w:t>24, 2034</w:t>
            </w:r>
            <w:r>
              <w:rPr>
                <w:spacing w:val="-1"/>
                <w:sz w:val="18"/>
              </w:rPr>
              <w:t> </w:t>
            </w:r>
            <w:r>
              <w:rPr>
                <w:spacing w:val="-5"/>
                <w:sz w:val="18"/>
                <w:vertAlign w:val="superscript"/>
              </w:rPr>
              <w:t>(3)</w:t>
            </w:r>
          </w:p>
        </w:tc>
        <w:tc>
          <w:tcPr>
            <w:tcW w:w="2353" w:type="dxa"/>
            <w:tcBorders>
              <w:bottom w:val="single" w:sz="4" w:space="0" w:color="000000"/>
            </w:tcBorders>
            <w:shd w:val="clear" w:color="auto" w:fill="CCEDFF"/>
          </w:tcPr>
          <w:p>
            <w:pPr>
              <w:pStyle w:val="TableParagraph"/>
              <w:spacing w:line="207" w:lineRule="exact"/>
              <w:ind w:right="89"/>
              <w:jc w:val="right"/>
              <w:rPr>
                <w:sz w:val="18"/>
              </w:rPr>
            </w:pPr>
            <w:r>
              <w:rPr>
                <w:spacing w:val="-2"/>
                <w:sz w:val="18"/>
              </w:rPr>
              <w:t>08/24/23</w:t>
            </w:r>
          </w:p>
        </w:tc>
        <w:tc>
          <w:tcPr>
            <w:tcW w:w="1664" w:type="dxa"/>
            <w:gridSpan w:val="2"/>
            <w:tcBorders>
              <w:bottom w:val="single" w:sz="4" w:space="0" w:color="000000"/>
            </w:tcBorders>
            <w:shd w:val="clear" w:color="auto" w:fill="CCEDFF"/>
          </w:tcPr>
          <w:p>
            <w:pPr>
              <w:pStyle w:val="TableParagraph"/>
              <w:spacing w:line="207" w:lineRule="exact"/>
              <w:ind w:right="93"/>
              <w:jc w:val="right"/>
              <w:rPr>
                <w:sz w:val="18"/>
              </w:rPr>
            </w:pPr>
            <w:r>
              <w:rPr>
                <w:spacing w:val="-2"/>
                <w:sz w:val="18"/>
              </w:rPr>
              <w:t>1,350</w:t>
            </w:r>
          </w:p>
        </w:tc>
        <w:tc>
          <w:tcPr>
            <w:tcW w:w="1588" w:type="dxa"/>
            <w:gridSpan w:val="2"/>
            <w:tcBorders>
              <w:bottom w:val="single" w:sz="4" w:space="0" w:color="000000"/>
            </w:tcBorders>
            <w:shd w:val="clear" w:color="auto" w:fill="CCEDFF"/>
          </w:tcPr>
          <w:p>
            <w:pPr>
              <w:pStyle w:val="TableParagraph"/>
              <w:spacing w:line="207" w:lineRule="exact"/>
              <w:ind w:right="76"/>
              <w:jc w:val="right"/>
              <w:rPr>
                <w:sz w:val="18"/>
              </w:rPr>
            </w:pPr>
            <w:r>
              <w:rPr>
                <w:spacing w:val="-10"/>
                <w:sz w:val="18"/>
              </w:rPr>
              <w:t>—</w:t>
            </w:r>
          </w:p>
        </w:tc>
      </w:tr>
      <w:tr>
        <w:trPr>
          <w:trHeight w:val="245" w:hRule="atLeast"/>
        </w:trPr>
        <w:tc>
          <w:tcPr>
            <w:tcW w:w="4674" w:type="dxa"/>
            <w:tcBorders>
              <w:top w:val="single" w:sz="4" w:space="0" w:color="000000"/>
              <w:bottom w:val="single" w:sz="4" w:space="0" w:color="000000"/>
            </w:tcBorders>
          </w:tcPr>
          <w:p>
            <w:pPr>
              <w:pStyle w:val="TableParagraph"/>
              <w:spacing w:line="202" w:lineRule="exact"/>
              <w:ind w:left="277"/>
              <w:rPr>
                <w:sz w:val="18"/>
              </w:rPr>
            </w:pPr>
            <w:r>
              <w:rPr>
                <w:sz w:val="18"/>
              </w:rPr>
              <w:t>Total</w:t>
            </w:r>
            <w:r>
              <w:rPr>
                <w:spacing w:val="-1"/>
                <w:sz w:val="18"/>
              </w:rPr>
              <w:t> </w:t>
            </w:r>
            <w:r>
              <w:rPr>
                <w:sz w:val="18"/>
              </w:rPr>
              <w:t>CSC</w:t>
            </w:r>
            <w:r>
              <w:rPr>
                <w:spacing w:val="-1"/>
                <w:sz w:val="18"/>
              </w:rPr>
              <w:t> </w:t>
            </w:r>
            <w:r>
              <w:rPr>
                <w:sz w:val="18"/>
              </w:rPr>
              <w:t>Senior </w:t>
            </w:r>
            <w:r>
              <w:rPr>
                <w:spacing w:val="-2"/>
                <w:sz w:val="18"/>
              </w:rPr>
              <w:t>Notes</w:t>
            </w:r>
          </w:p>
        </w:tc>
        <w:tc>
          <w:tcPr>
            <w:tcW w:w="2353" w:type="dxa"/>
            <w:tcBorders>
              <w:top w:val="single" w:sz="4" w:space="0" w:color="000000"/>
              <w:bottom w:val="single" w:sz="4" w:space="0" w:color="000000"/>
            </w:tcBorders>
          </w:tcPr>
          <w:p>
            <w:pPr>
              <w:pStyle w:val="TableParagraph"/>
              <w:rPr>
                <w:sz w:val="16"/>
              </w:rPr>
            </w:pPr>
          </w:p>
        </w:tc>
        <w:tc>
          <w:tcPr>
            <w:tcW w:w="1664" w:type="dxa"/>
            <w:gridSpan w:val="2"/>
            <w:tcBorders>
              <w:top w:val="single" w:sz="4" w:space="0" w:color="000000"/>
              <w:bottom w:val="single" w:sz="4" w:space="0" w:color="000000"/>
            </w:tcBorders>
          </w:tcPr>
          <w:p>
            <w:pPr>
              <w:pStyle w:val="TableParagraph"/>
              <w:spacing w:line="202" w:lineRule="exact"/>
              <w:ind w:left="1073"/>
              <w:rPr>
                <w:sz w:val="18"/>
              </w:rPr>
            </w:pPr>
            <w:r>
              <w:rPr>
                <w:spacing w:val="-2"/>
                <w:sz w:val="18"/>
              </w:rPr>
              <w:t>24,562</w:t>
            </w:r>
          </w:p>
        </w:tc>
        <w:tc>
          <w:tcPr>
            <w:tcW w:w="1588" w:type="dxa"/>
            <w:gridSpan w:val="2"/>
            <w:tcBorders>
              <w:top w:val="single" w:sz="4" w:space="0" w:color="000000"/>
              <w:bottom w:val="single" w:sz="4" w:space="0" w:color="000000"/>
            </w:tcBorders>
          </w:tcPr>
          <w:p>
            <w:pPr>
              <w:pStyle w:val="TableParagraph"/>
              <w:spacing w:line="202" w:lineRule="exact"/>
              <w:ind w:left="1014"/>
              <w:rPr>
                <w:sz w:val="18"/>
              </w:rPr>
            </w:pPr>
            <w:r>
              <w:rPr>
                <w:spacing w:val="-2"/>
                <w:sz w:val="18"/>
              </w:rPr>
              <w:t>20,512</w:t>
            </w:r>
          </w:p>
        </w:tc>
      </w:tr>
      <w:tr>
        <w:trPr>
          <w:trHeight w:val="250" w:hRule="atLeast"/>
        </w:trPr>
        <w:tc>
          <w:tcPr>
            <w:tcW w:w="4674" w:type="dxa"/>
            <w:tcBorders>
              <w:top w:val="single" w:sz="4" w:space="0" w:color="000000"/>
            </w:tcBorders>
            <w:shd w:val="clear" w:color="auto" w:fill="CCEDFF"/>
          </w:tcPr>
          <w:p>
            <w:pPr>
              <w:pStyle w:val="TableParagraph"/>
              <w:spacing w:line="202" w:lineRule="exact"/>
              <w:ind w:left="52"/>
              <w:rPr>
                <w:sz w:val="18"/>
              </w:rPr>
            </w:pPr>
            <w:r>
              <w:rPr>
                <w:sz w:val="18"/>
              </w:rPr>
              <w:t>TDA</w:t>
            </w:r>
            <w:r>
              <w:rPr>
                <w:spacing w:val="-2"/>
                <w:sz w:val="18"/>
              </w:rPr>
              <w:t> </w:t>
            </w:r>
            <w:r>
              <w:rPr>
                <w:sz w:val="18"/>
              </w:rPr>
              <w:t>Holding</w:t>
            </w:r>
            <w:r>
              <w:rPr>
                <w:spacing w:val="-1"/>
                <w:sz w:val="18"/>
              </w:rPr>
              <w:t> </w:t>
            </w:r>
            <w:r>
              <w:rPr>
                <w:sz w:val="18"/>
              </w:rPr>
              <w:t>Fixed-rate</w:t>
            </w:r>
            <w:r>
              <w:rPr>
                <w:spacing w:val="-1"/>
                <w:sz w:val="18"/>
              </w:rPr>
              <w:t> </w:t>
            </w:r>
            <w:r>
              <w:rPr>
                <w:sz w:val="18"/>
              </w:rPr>
              <w:t>Senior</w:t>
            </w:r>
            <w:r>
              <w:rPr>
                <w:spacing w:val="-1"/>
                <w:sz w:val="18"/>
              </w:rPr>
              <w:t> </w:t>
            </w:r>
            <w:r>
              <w:rPr>
                <w:spacing w:val="-2"/>
                <w:sz w:val="18"/>
              </w:rPr>
              <w:t>Notes:</w:t>
            </w:r>
          </w:p>
        </w:tc>
        <w:tc>
          <w:tcPr>
            <w:tcW w:w="2353" w:type="dxa"/>
            <w:tcBorders>
              <w:top w:val="single" w:sz="4" w:space="0" w:color="000000"/>
            </w:tcBorders>
            <w:shd w:val="clear" w:color="auto" w:fill="CCEDFF"/>
          </w:tcPr>
          <w:p>
            <w:pPr>
              <w:pStyle w:val="TableParagraph"/>
              <w:rPr>
                <w:sz w:val="16"/>
              </w:rPr>
            </w:pPr>
          </w:p>
        </w:tc>
        <w:tc>
          <w:tcPr>
            <w:tcW w:w="1664" w:type="dxa"/>
            <w:gridSpan w:val="2"/>
            <w:tcBorders>
              <w:top w:val="single" w:sz="4" w:space="0" w:color="000000"/>
            </w:tcBorders>
            <w:shd w:val="clear" w:color="auto" w:fill="CCEDFF"/>
          </w:tcPr>
          <w:p>
            <w:pPr>
              <w:pStyle w:val="TableParagraph"/>
              <w:rPr>
                <w:sz w:val="16"/>
              </w:rPr>
            </w:pPr>
          </w:p>
        </w:tc>
        <w:tc>
          <w:tcPr>
            <w:tcW w:w="1588" w:type="dxa"/>
            <w:gridSpan w:val="2"/>
            <w:tcBorders>
              <w:top w:val="single" w:sz="4" w:space="0" w:color="000000"/>
            </w:tcBorders>
            <w:shd w:val="clear" w:color="auto" w:fill="CCEDFF"/>
          </w:tcPr>
          <w:p>
            <w:pPr>
              <w:pStyle w:val="TableParagraph"/>
              <w:rPr>
                <w:sz w:val="16"/>
              </w:rPr>
            </w:pPr>
          </w:p>
        </w:tc>
      </w:tr>
      <w:tr>
        <w:trPr>
          <w:trHeight w:val="255" w:hRule="atLeast"/>
        </w:trPr>
        <w:tc>
          <w:tcPr>
            <w:tcW w:w="4674" w:type="dxa"/>
          </w:tcPr>
          <w:p>
            <w:pPr>
              <w:pStyle w:val="TableParagraph"/>
              <w:spacing w:line="207" w:lineRule="exact"/>
              <w:ind w:left="172"/>
              <w:rPr>
                <w:sz w:val="18"/>
              </w:rPr>
            </w:pPr>
            <w:r>
              <w:rPr>
                <w:sz w:val="18"/>
              </w:rPr>
              <w:t>3.750%</w:t>
            </w:r>
            <w:r>
              <w:rPr>
                <w:spacing w:val="-2"/>
                <w:sz w:val="18"/>
              </w:rPr>
              <w:t> </w:t>
            </w:r>
            <w:r>
              <w:rPr>
                <w:sz w:val="18"/>
              </w:rPr>
              <w:t>due April 1, </w:t>
            </w:r>
            <w:r>
              <w:rPr>
                <w:spacing w:val="-4"/>
                <w:sz w:val="18"/>
              </w:rPr>
              <w:t>2024</w:t>
            </w:r>
          </w:p>
        </w:tc>
        <w:tc>
          <w:tcPr>
            <w:tcW w:w="2353" w:type="dxa"/>
          </w:tcPr>
          <w:p>
            <w:pPr>
              <w:pStyle w:val="TableParagraph"/>
              <w:spacing w:line="207" w:lineRule="exact"/>
              <w:ind w:right="89"/>
              <w:jc w:val="right"/>
              <w:rPr>
                <w:sz w:val="18"/>
              </w:rPr>
            </w:pPr>
            <w:r>
              <w:rPr>
                <w:spacing w:val="-2"/>
                <w:sz w:val="18"/>
              </w:rPr>
              <w:t>11/01/18</w:t>
            </w:r>
          </w:p>
        </w:tc>
        <w:tc>
          <w:tcPr>
            <w:tcW w:w="1664" w:type="dxa"/>
            <w:gridSpan w:val="2"/>
          </w:tcPr>
          <w:p>
            <w:pPr>
              <w:pStyle w:val="TableParagraph"/>
              <w:spacing w:line="207" w:lineRule="exact"/>
              <w:ind w:right="93"/>
              <w:jc w:val="right"/>
              <w:rPr>
                <w:sz w:val="18"/>
              </w:rPr>
            </w:pPr>
            <w:r>
              <w:rPr>
                <w:spacing w:val="-5"/>
                <w:sz w:val="18"/>
              </w:rPr>
              <w:t>50</w:t>
            </w:r>
          </w:p>
        </w:tc>
        <w:tc>
          <w:tcPr>
            <w:tcW w:w="1588" w:type="dxa"/>
            <w:gridSpan w:val="2"/>
          </w:tcPr>
          <w:p>
            <w:pPr>
              <w:pStyle w:val="TableParagraph"/>
              <w:spacing w:line="207" w:lineRule="exact"/>
              <w:ind w:right="76"/>
              <w:jc w:val="right"/>
              <w:rPr>
                <w:sz w:val="18"/>
              </w:rPr>
            </w:pPr>
            <w:r>
              <w:rPr>
                <w:spacing w:val="-5"/>
                <w:sz w:val="18"/>
              </w:rPr>
              <w:t>50</w:t>
            </w:r>
          </w:p>
        </w:tc>
      </w:tr>
      <w:tr>
        <w:trPr>
          <w:trHeight w:val="255" w:hRule="atLeast"/>
        </w:trPr>
        <w:tc>
          <w:tcPr>
            <w:tcW w:w="4674" w:type="dxa"/>
            <w:shd w:val="clear" w:color="auto" w:fill="CCEDFF"/>
          </w:tcPr>
          <w:p>
            <w:pPr>
              <w:pStyle w:val="TableParagraph"/>
              <w:spacing w:line="207" w:lineRule="exact"/>
              <w:ind w:left="172"/>
              <w:rPr>
                <w:sz w:val="18"/>
              </w:rPr>
            </w:pPr>
            <w:r>
              <w:rPr>
                <w:sz w:val="18"/>
              </w:rPr>
              <w:t>3.625%</w:t>
            </w:r>
            <w:r>
              <w:rPr>
                <w:spacing w:val="-2"/>
                <w:sz w:val="18"/>
              </w:rPr>
              <w:t> </w:t>
            </w:r>
            <w:r>
              <w:rPr>
                <w:sz w:val="18"/>
              </w:rPr>
              <w:t>due April 1, </w:t>
            </w:r>
            <w:r>
              <w:rPr>
                <w:spacing w:val="-4"/>
                <w:sz w:val="18"/>
              </w:rPr>
              <w:t>2025</w:t>
            </w:r>
          </w:p>
        </w:tc>
        <w:tc>
          <w:tcPr>
            <w:tcW w:w="2353" w:type="dxa"/>
            <w:shd w:val="clear" w:color="auto" w:fill="CCEDFF"/>
          </w:tcPr>
          <w:p>
            <w:pPr>
              <w:pStyle w:val="TableParagraph"/>
              <w:spacing w:line="207" w:lineRule="exact"/>
              <w:ind w:right="89"/>
              <w:jc w:val="right"/>
              <w:rPr>
                <w:sz w:val="18"/>
              </w:rPr>
            </w:pPr>
            <w:r>
              <w:rPr>
                <w:spacing w:val="-2"/>
                <w:sz w:val="18"/>
              </w:rPr>
              <w:t>10/22/14</w:t>
            </w:r>
          </w:p>
        </w:tc>
        <w:tc>
          <w:tcPr>
            <w:tcW w:w="1664" w:type="dxa"/>
            <w:gridSpan w:val="2"/>
            <w:shd w:val="clear" w:color="auto" w:fill="CCEDFF"/>
          </w:tcPr>
          <w:p>
            <w:pPr>
              <w:pStyle w:val="TableParagraph"/>
              <w:spacing w:line="207" w:lineRule="exact"/>
              <w:ind w:right="93"/>
              <w:jc w:val="right"/>
              <w:rPr>
                <w:sz w:val="18"/>
              </w:rPr>
            </w:pPr>
            <w:r>
              <w:rPr>
                <w:spacing w:val="-5"/>
                <w:sz w:val="18"/>
              </w:rPr>
              <w:t>82</w:t>
            </w:r>
          </w:p>
        </w:tc>
        <w:tc>
          <w:tcPr>
            <w:tcW w:w="1588" w:type="dxa"/>
            <w:gridSpan w:val="2"/>
            <w:shd w:val="clear" w:color="auto" w:fill="CCEDFF"/>
          </w:tcPr>
          <w:p>
            <w:pPr>
              <w:pStyle w:val="TableParagraph"/>
              <w:spacing w:line="207" w:lineRule="exact"/>
              <w:ind w:right="76"/>
              <w:jc w:val="right"/>
              <w:rPr>
                <w:sz w:val="18"/>
              </w:rPr>
            </w:pPr>
            <w:r>
              <w:rPr>
                <w:spacing w:val="-5"/>
                <w:sz w:val="18"/>
              </w:rPr>
              <w:t>82</w:t>
            </w:r>
          </w:p>
        </w:tc>
      </w:tr>
      <w:tr>
        <w:trPr>
          <w:trHeight w:val="255" w:hRule="atLeast"/>
        </w:trPr>
        <w:tc>
          <w:tcPr>
            <w:tcW w:w="4674" w:type="dxa"/>
          </w:tcPr>
          <w:p>
            <w:pPr>
              <w:pStyle w:val="TableParagraph"/>
              <w:spacing w:line="207" w:lineRule="exact"/>
              <w:ind w:left="172"/>
              <w:rPr>
                <w:sz w:val="18"/>
              </w:rPr>
            </w:pPr>
            <w:r>
              <w:rPr>
                <w:sz w:val="18"/>
              </w:rPr>
              <w:t>3.300%</w:t>
            </w:r>
            <w:r>
              <w:rPr>
                <w:spacing w:val="-2"/>
                <w:sz w:val="18"/>
              </w:rPr>
              <w:t> </w:t>
            </w:r>
            <w:r>
              <w:rPr>
                <w:sz w:val="18"/>
              </w:rPr>
              <w:t>due April 1, </w:t>
            </w:r>
            <w:r>
              <w:rPr>
                <w:spacing w:val="-4"/>
                <w:sz w:val="18"/>
              </w:rPr>
              <w:t>2027</w:t>
            </w:r>
          </w:p>
        </w:tc>
        <w:tc>
          <w:tcPr>
            <w:tcW w:w="2353" w:type="dxa"/>
          </w:tcPr>
          <w:p>
            <w:pPr>
              <w:pStyle w:val="TableParagraph"/>
              <w:spacing w:line="207" w:lineRule="exact"/>
              <w:ind w:right="89"/>
              <w:jc w:val="right"/>
              <w:rPr>
                <w:sz w:val="18"/>
              </w:rPr>
            </w:pPr>
            <w:r>
              <w:rPr>
                <w:spacing w:val="-2"/>
                <w:sz w:val="18"/>
              </w:rPr>
              <w:t>04/27/17</w:t>
            </w:r>
          </w:p>
        </w:tc>
        <w:tc>
          <w:tcPr>
            <w:tcW w:w="1664" w:type="dxa"/>
            <w:gridSpan w:val="2"/>
          </w:tcPr>
          <w:p>
            <w:pPr>
              <w:pStyle w:val="TableParagraph"/>
              <w:spacing w:line="207" w:lineRule="exact"/>
              <w:ind w:right="93"/>
              <w:jc w:val="right"/>
              <w:rPr>
                <w:sz w:val="18"/>
              </w:rPr>
            </w:pPr>
            <w:r>
              <w:rPr>
                <w:spacing w:val="-5"/>
                <w:sz w:val="18"/>
              </w:rPr>
              <w:t>56</w:t>
            </w:r>
          </w:p>
        </w:tc>
        <w:tc>
          <w:tcPr>
            <w:tcW w:w="1588" w:type="dxa"/>
            <w:gridSpan w:val="2"/>
          </w:tcPr>
          <w:p>
            <w:pPr>
              <w:pStyle w:val="TableParagraph"/>
              <w:spacing w:line="207" w:lineRule="exact"/>
              <w:ind w:right="76"/>
              <w:jc w:val="right"/>
              <w:rPr>
                <w:sz w:val="18"/>
              </w:rPr>
            </w:pPr>
            <w:r>
              <w:rPr>
                <w:spacing w:val="-5"/>
                <w:sz w:val="18"/>
              </w:rPr>
              <w:t>56</w:t>
            </w:r>
          </w:p>
        </w:tc>
      </w:tr>
      <w:tr>
        <w:trPr>
          <w:trHeight w:val="250" w:hRule="atLeast"/>
        </w:trPr>
        <w:tc>
          <w:tcPr>
            <w:tcW w:w="4674" w:type="dxa"/>
            <w:tcBorders>
              <w:bottom w:val="single" w:sz="4" w:space="0" w:color="000000"/>
            </w:tcBorders>
            <w:shd w:val="clear" w:color="auto" w:fill="CCEDFF"/>
          </w:tcPr>
          <w:p>
            <w:pPr>
              <w:pStyle w:val="TableParagraph"/>
              <w:spacing w:line="207" w:lineRule="exact"/>
              <w:ind w:left="172"/>
              <w:rPr>
                <w:sz w:val="18"/>
              </w:rPr>
            </w:pPr>
            <w:r>
              <w:rPr>
                <w:sz w:val="18"/>
              </w:rPr>
              <w:t>2.750%</w:t>
            </w:r>
            <w:r>
              <w:rPr>
                <w:spacing w:val="-2"/>
                <w:sz w:val="18"/>
              </w:rPr>
              <w:t> </w:t>
            </w:r>
            <w:r>
              <w:rPr>
                <w:sz w:val="18"/>
              </w:rPr>
              <w:t>due October 1, </w:t>
            </w:r>
            <w:r>
              <w:rPr>
                <w:spacing w:val="-4"/>
                <w:sz w:val="18"/>
              </w:rPr>
              <w:t>2029</w:t>
            </w:r>
          </w:p>
        </w:tc>
        <w:tc>
          <w:tcPr>
            <w:tcW w:w="2353" w:type="dxa"/>
            <w:tcBorders>
              <w:bottom w:val="single" w:sz="4" w:space="0" w:color="000000"/>
            </w:tcBorders>
            <w:shd w:val="clear" w:color="auto" w:fill="CCEDFF"/>
          </w:tcPr>
          <w:p>
            <w:pPr>
              <w:pStyle w:val="TableParagraph"/>
              <w:spacing w:line="207" w:lineRule="exact"/>
              <w:ind w:right="89"/>
              <w:jc w:val="right"/>
              <w:rPr>
                <w:sz w:val="18"/>
              </w:rPr>
            </w:pPr>
            <w:r>
              <w:rPr>
                <w:spacing w:val="-2"/>
                <w:sz w:val="18"/>
              </w:rPr>
              <w:t>08/16/19</w:t>
            </w:r>
          </w:p>
        </w:tc>
        <w:tc>
          <w:tcPr>
            <w:tcW w:w="1664" w:type="dxa"/>
            <w:gridSpan w:val="2"/>
            <w:tcBorders>
              <w:bottom w:val="single" w:sz="4" w:space="0" w:color="000000"/>
            </w:tcBorders>
            <w:shd w:val="clear" w:color="auto" w:fill="CCEDFF"/>
          </w:tcPr>
          <w:p>
            <w:pPr>
              <w:pStyle w:val="TableParagraph"/>
              <w:spacing w:line="207" w:lineRule="exact"/>
              <w:ind w:right="93"/>
              <w:jc w:val="right"/>
              <w:rPr>
                <w:sz w:val="18"/>
              </w:rPr>
            </w:pPr>
            <w:r>
              <w:rPr>
                <w:spacing w:val="-5"/>
                <w:sz w:val="18"/>
              </w:rPr>
              <w:t>25</w:t>
            </w:r>
          </w:p>
        </w:tc>
        <w:tc>
          <w:tcPr>
            <w:tcW w:w="1588" w:type="dxa"/>
            <w:gridSpan w:val="2"/>
            <w:tcBorders>
              <w:bottom w:val="single" w:sz="4" w:space="0" w:color="000000"/>
            </w:tcBorders>
            <w:shd w:val="clear" w:color="auto" w:fill="CCEDFF"/>
          </w:tcPr>
          <w:p>
            <w:pPr>
              <w:pStyle w:val="TableParagraph"/>
              <w:spacing w:line="207" w:lineRule="exact"/>
              <w:ind w:right="76"/>
              <w:jc w:val="right"/>
              <w:rPr>
                <w:sz w:val="18"/>
              </w:rPr>
            </w:pPr>
            <w:r>
              <w:rPr>
                <w:spacing w:val="-5"/>
                <w:sz w:val="18"/>
              </w:rPr>
              <w:t>25</w:t>
            </w:r>
          </w:p>
        </w:tc>
      </w:tr>
      <w:tr>
        <w:trPr>
          <w:trHeight w:val="245" w:hRule="atLeast"/>
        </w:trPr>
        <w:tc>
          <w:tcPr>
            <w:tcW w:w="4674" w:type="dxa"/>
            <w:tcBorders>
              <w:top w:val="single" w:sz="4" w:space="0" w:color="000000"/>
              <w:bottom w:val="single" w:sz="4" w:space="0" w:color="000000"/>
            </w:tcBorders>
          </w:tcPr>
          <w:p>
            <w:pPr>
              <w:pStyle w:val="TableParagraph"/>
              <w:spacing w:line="202" w:lineRule="exact"/>
              <w:ind w:left="277"/>
              <w:rPr>
                <w:sz w:val="18"/>
              </w:rPr>
            </w:pPr>
            <w:r>
              <w:rPr>
                <w:sz w:val="18"/>
              </w:rPr>
              <w:t>Total</w:t>
            </w:r>
            <w:r>
              <w:rPr>
                <w:spacing w:val="-1"/>
                <w:sz w:val="18"/>
              </w:rPr>
              <w:t> </w:t>
            </w:r>
            <w:r>
              <w:rPr>
                <w:sz w:val="18"/>
              </w:rPr>
              <w:t>TDA</w:t>
            </w:r>
            <w:r>
              <w:rPr>
                <w:spacing w:val="-2"/>
                <w:sz w:val="18"/>
              </w:rPr>
              <w:t> </w:t>
            </w:r>
            <w:r>
              <w:rPr>
                <w:sz w:val="18"/>
              </w:rPr>
              <w:t>Holding</w:t>
            </w:r>
            <w:r>
              <w:rPr>
                <w:spacing w:val="-1"/>
                <w:sz w:val="18"/>
              </w:rPr>
              <w:t> </w:t>
            </w:r>
            <w:r>
              <w:rPr>
                <w:sz w:val="18"/>
              </w:rPr>
              <w:t>Senior </w:t>
            </w:r>
            <w:r>
              <w:rPr>
                <w:spacing w:val="-2"/>
                <w:sz w:val="18"/>
              </w:rPr>
              <w:t>Notes</w:t>
            </w:r>
          </w:p>
        </w:tc>
        <w:tc>
          <w:tcPr>
            <w:tcW w:w="2353" w:type="dxa"/>
            <w:tcBorders>
              <w:top w:val="single" w:sz="4" w:space="0" w:color="000000"/>
              <w:bottom w:val="single" w:sz="4" w:space="0" w:color="000000"/>
            </w:tcBorders>
          </w:tcPr>
          <w:p>
            <w:pPr>
              <w:pStyle w:val="TableParagraph"/>
              <w:rPr>
                <w:sz w:val="16"/>
              </w:rPr>
            </w:pPr>
          </w:p>
        </w:tc>
        <w:tc>
          <w:tcPr>
            <w:tcW w:w="1664" w:type="dxa"/>
            <w:gridSpan w:val="2"/>
            <w:tcBorders>
              <w:top w:val="single" w:sz="4" w:space="0" w:color="000000"/>
              <w:bottom w:val="single" w:sz="4" w:space="0" w:color="000000"/>
            </w:tcBorders>
          </w:tcPr>
          <w:p>
            <w:pPr>
              <w:pStyle w:val="TableParagraph"/>
              <w:spacing w:line="202" w:lineRule="exact"/>
              <w:ind w:right="93"/>
              <w:jc w:val="right"/>
              <w:rPr>
                <w:sz w:val="18"/>
              </w:rPr>
            </w:pPr>
            <w:r>
              <w:rPr>
                <w:spacing w:val="-5"/>
                <w:sz w:val="18"/>
              </w:rPr>
              <w:t>213</w:t>
            </w:r>
          </w:p>
        </w:tc>
        <w:tc>
          <w:tcPr>
            <w:tcW w:w="1588" w:type="dxa"/>
            <w:gridSpan w:val="2"/>
            <w:tcBorders>
              <w:top w:val="single" w:sz="4" w:space="0" w:color="000000"/>
              <w:bottom w:val="single" w:sz="4" w:space="0" w:color="000000"/>
            </w:tcBorders>
          </w:tcPr>
          <w:p>
            <w:pPr>
              <w:pStyle w:val="TableParagraph"/>
              <w:spacing w:line="202" w:lineRule="exact"/>
              <w:ind w:right="76"/>
              <w:jc w:val="right"/>
              <w:rPr>
                <w:sz w:val="18"/>
              </w:rPr>
            </w:pPr>
            <w:r>
              <w:rPr>
                <w:spacing w:val="-5"/>
                <w:sz w:val="18"/>
              </w:rPr>
              <w:t>213</w:t>
            </w:r>
          </w:p>
        </w:tc>
      </w:tr>
      <w:tr>
        <w:trPr>
          <w:trHeight w:val="250" w:hRule="atLeast"/>
        </w:trPr>
        <w:tc>
          <w:tcPr>
            <w:tcW w:w="4674" w:type="dxa"/>
            <w:tcBorders>
              <w:top w:val="single" w:sz="4" w:space="0" w:color="000000"/>
            </w:tcBorders>
            <w:shd w:val="clear" w:color="auto" w:fill="CCEDFF"/>
          </w:tcPr>
          <w:p>
            <w:pPr>
              <w:pStyle w:val="TableParagraph"/>
              <w:spacing w:line="202" w:lineRule="exact"/>
              <w:ind w:left="52"/>
              <w:rPr>
                <w:sz w:val="18"/>
              </w:rPr>
            </w:pPr>
            <w:r>
              <w:rPr>
                <w:sz w:val="18"/>
              </w:rPr>
              <w:t>Finance</w:t>
            </w:r>
            <w:r>
              <w:rPr>
                <w:spacing w:val="-1"/>
                <w:sz w:val="18"/>
              </w:rPr>
              <w:t> </w:t>
            </w:r>
            <w:r>
              <w:rPr>
                <w:sz w:val="18"/>
              </w:rPr>
              <w:t>lease</w:t>
            </w:r>
            <w:r>
              <w:rPr>
                <w:spacing w:val="-1"/>
                <w:sz w:val="18"/>
              </w:rPr>
              <w:t> </w:t>
            </w:r>
            <w:r>
              <w:rPr>
                <w:spacing w:val="-2"/>
                <w:sz w:val="18"/>
              </w:rPr>
              <w:t>liabilities</w:t>
            </w:r>
          </w:p>
        </w:tc>
        <w:tc>
          <w:tcPr>
            <w:tcW w:w="2353" w:type="dxa"/>
            <w:tcBorders>
              <w:top w:val="single" w:sz="4" w:space="0" w:color="000000"/>
            </w:tcBorders>
            <w:shd w:val="clear" w:color="auto" w:fill="CCEDFF"/>
          </w:tcPr>
          <w:p>
            <w:pPr>
              <w:pStyle w:val="TableParagraph"/>
              <w:rPr>
                <w:sz w:val="16"/>
              </w:rPr>
            </w:pPr>
          </w:p>
        </w:tc>
        <w:tc>
          <w:tcPr>
            <w:tcW w:w="1664" w:type="dxa"/>
            <w:gridSpan w:val="2"/>
            <w:tcBorders>
              <w:top w:val="single" w:sz="4" w:space="0" w:color="000000"/>
            </w:tcBorders>
            <w:shd w:val="clear" w:color="auto" w:fill="CCEDFF"/>
          </w:tcPr>
          <w:p>
            <w:pPr>
              <w:pStyle w:val="TableParagraph"/>
              <w:spacing w:line="202" w:lineRule="exact"/>
              <w:ind w:right="93"/>
              <w:jc w:val="right"/>
              <w:rPr>
                <w:sz w:val="18"/>
              </w:rPr>
            </w:pPr>
            <w:r>
              <w:rPr>
                <w:spacing w:val="-5"/>
                <w:sz w:val="18"/>
              </w:rPr>
              <w:t>45</w:t>
            </w:r>
          </w:p>
        </w:tc>
        <w:tc>
          <w:tcPr>
            <w:tcW w:w="1588" w:type="dxa"/>
            <w:gridSpan w:val="2"/>
            <w:tcBorders>
              <w:top w:val="single" w:sz="4" w:space="0" w:color="000000"/>
            </w:tcBorders>
            <w:shd w:val="clear" w:color="auto" w:fill="CCEDFF"/>
          </w:tcPr>
          <w:p>
            <w:pPr>
              <w:pStyle w:val="TableParagraph"/>
              <w:spacing w:line="202" w:lineRule="exact"/>
              <w:ind w:right="76"/>
              <w:jc w:val="right"/>
              <w:rPr>
                <w:sz w:val="18"/>
              </w:rPr>
            </w:pPr>
            <w:r>
              <w:rPr>
                <w:spacing w:val="-5"/>
                <w:sz w:val="18"/>
              </w:rPr>
              <w:t>68</w:t>
            </w:r>
          </w:p>
        </w:tc>
      </w:tr>
      <w:tr>
        <w:trPr>
          <w:trHeight w:val="255" w:hRule="atLeast"/>
        </w:trPr>
        <w:tc>
          <w:tcPr>
            <w:tcW w:w="4674" w:type="dxa"/>
          </w:tcPr>
          <w:p>
            <w:pPr>
              <w:pStyle w:val="TableParagraph"/>
              <w:spacing w:line="207" w:lineRule="exact"/>
              <w:ind w:left="52"/>
              <w:rPr>
                <w:sz w:val="18"/>
              </w:rPr>
            </w:pPr>
            <w:r>
              <w:rPr>
                <w:sz w:val="18"/>
              </w:rPr>
              <w:t>Unamortized</w:t>
            </w:r>
            <w:r>
              <w:rPr>
                <w:spacing w:val="-1"/>
                <w:sz w:val="18"/>
              </w:rPr>
              <w:t> </w:t>
            </w:r>
            <w:r>
              <w:rPr>
                <w:sz w:val="18"/>
              </w:rPr>
              <w:t>premium — </w:t>
            </w:r>
            <w:r>
              <w:rPr>
                <w:spacing w:val="-5"/>
                <w:sz w:val="18"/>
              </w:rPr>
              <w:t>net</w:t>
            </w:r>
          </w:p>
        </w:tc>
        <w:tc>
          <w:tcPr>
            <w:tcW w:w="2353" w:type="dxa"/>
          </w:tcPr>
          <w:p>
            <w:pPr>
              <w:pStyle w:val="TableParagraph"/>
              <w:rPr>
                <w:sz w:val="16"/>
              </w:rPr>
            </w:pPr>
          </w:p>
        </w:tc>
        <w:tc>
          <w:tcPr>
            <w:tcW w:w="1664" w:type="dxa"/>
            <w:gridSpan w:val="2"/>
          </w:tcPr>
          <w:p>
            <w:pPr>
              <w:pStyle w:val="TableParagraph"/>
              <w:spacing w:line="207" w:lineRule="exact"/>
              <w:ind w:right="93"/>
              <w:jc w:val="right"/>
              <w:rPr>
                <w:sz w:val="18"/>
              </w:rPr>
            </w:pPr>
            <w:r>
              <w:rPr>
                <w:spacing w:val="-5"/>
                <w:sz w:val="18"/>
              </w:rPr>
              <w:t>98</w:t>
            </w:r>
          </w:p>
        </w:tc>
        <w:tc>
          <w:tcPr>
            <w:tcW w:w="1588" w:type="dxa"/>
            <w:gridSpan w:val="2"/>
          </w:tcPr>
          <w:p>
            <w:pPr>
              <w:pStyle w:val="TableParagraph"/>
              <w:spacing w:line="207" w:lineRule="exact"/>
              <w:ind w:right="76"/>
              <w:jc w:val="right"/>
              <w:rPr>
                <w:sz w:val="18"/>
              </w:rPr>
            </w:pPr>
            <w:r>
              <w:rPr>
                <w:spacing w:val="-5"/>
                <w:sz w:val="18"/>
              </w:rPr>
              <w:t>129</w:t>
            </w:r>
          </w:p>
        </w:tc>
      </w:tr>
      <w:tr>
        <w:trPr>
          <w:trHeight w:val="250" w:hRule="atLeast"/>
        </w:trPr>
        <w:tc>
          <w:tcPr>
            <w:tcW w:w="4674" w:type="dxa"/>
            <w:tcBorders>
              <w:bottom w:val="single" w:sz="4" w:space="0" w:color="000000"/>
            </w:tcBorders>
            <w:shd w:val="clear" w:color="auto" w:fill="CCEDFF"/>
          </w:tcPr>
          <w:p>
            <w:pPr>
              <w:pStyle w:val="TableParagraph"/>
              <w:spacing w:line="207" w:lineRule="exact"/>
              <w:ind w:left="52"/>
              <w:rPr>
                <w:sz w:val="18"/>
              </w:rPr>
            </w:pPr>
            <w:r>
              <w:rPr>
                <w:sz w:val="18"/>
              </w:rPr>
              <w:t>Debt</w:t>
            </w:r>
            <w:r>
              <w:rPr>
                <w:spacing w:val="-2"/>
                <w:sz w:val="18"/>
              </w:rPr>
              <w:t> </w:t>
            </w:r>
            <w:r>
              <w:rPr>
                <w:sz w:val="18"/>
              </w:rPr>
              <w:t>issuance</w:t>
            </w:r>
            <w:r>
              <w:rPr>
                <w:spacing w:val="-1"/>
                <w:sz w:val="18"/>
              </w:rPr>
              <w:t> </w:t>
            </w:r>
            <w:r>
              <w:rPr>
                <w:spacing w:val="-2"/>
                <w:sz w:val="18"/>
              </w:rPr>
              <w:t>costs</w:t>
            </w:r>
          </w:p>
        </w:tc>
        <w:tc>
          <w:tcPr>
            <w:tcW w:w="2353" w:type="dxa"/>
            <w:tcBorders>
              <w:bottom w:val="single" w:sz="4" w:space="0" w:color="000000"/>
            </w:tcBorders>
            <w:shd w:val="clear" w:color="auto" w:fill="CCEDFF"/>
          </w:tcPr>
          <w:p>
            <w:pPr>
              <w:pStyle w:val="TableParagraph"/>
              <w:rPr>
                <w:sz w:val="16"/>
              </w:rPr>
            </w:pPr>
          </w:p>
        </w:tc>
        <w:tc>
          <w:tcPr>
            <w:tcW w:w="1664" w:type="dxa"/>
            <w:gridSpan w:val="2"/>
            <w:tcBorders>
              <w:bottom w:val="single" w:sz="4" w:space="0" w:color="000000"/>
            </w:tcBorders>
            <w:shd w:val="clear" w:color="auto" w:fill="CCEDFF"/>
          </w:tcPr>
          <w:p>
            <w:pPr>
              <w:pStyle w:val="TableParagraph"/>
              <w:spacing w:line="207" w:lineRule="exact"/>
              <w:ind w:right="33"/>
              <w:jc w:val="right"/>
              <w:rPr>
                <w:sz w:val="18"/>
              </w:rPr>
            </w:pPr>
            <w:r>
              <w:rPr>
                <w:spacing w:val="-2"/>
                <w:sz w:val="18"/>
              </w:rPr>
              <w:t>(115)</w:t>
            </w:r>
          </w:p>
        </w:tc>
        <w:tc>
          <w:tcPr>
            <w:tcW w:w="1588" w:type="dxa"/>
            <w:gridSpan w:val="2"/>
            <w:tcBorders>
              <w:bottom w:val="single" w:sz="4" w:space="0" w:color="000000"/>
            </w:tcBorders>
            <w:shd w:val="clear" w:color="auto" w:fill="CCEDFF"/>
          </w:tcPr>
          <w:p>
            <w:pPr>
              <w:pStyle w:val="TableParagraph"/>
              <w:spacing w:line="207" w:lineRule="exact"/>
              <w:ind w:right="16"/>
              <w:jc w:val="right"/>
              <w:rPr>
                <w:sz w:val="18"/>
              </w:rPr>
            </w:pPr>
            <w:r>
              <w:rPr>
                <w:spacing w:val="-4"/>
                <w:sz w:val="18"/>
              </w:rPr>
              <w:t>(94)</w:t>
            </w:r>
          </w:p>
        </w:tc>
      </w:tr>
      <w:tr>
        <w:trPr>
          <w:trHeight w:val="220" w:hRule="atLeast"/>
        </w:trPr>
        <w:tc>
          <w:tcPr>
            <w:tcW w:w="4674" w:type="dxa"/>
            <w:tcBorders>
              <w:bottom w:val="double" w:sz="8" w:space="0" w:color="000000"/>
            </w:tcBorders>
          </w:tcPr>
          <w:p>
            <w:pPr>
              <w:pStyle w:val="TableParagraph"/>
              <w:spacing w:line="195" w:lineRule="exact"/>
              <w:ind w:left="277"/>
              <w:rPr>
                <w:sz w:val="18"/>
              </w:rPr>
            </w:pPr>
            <w:r>
              <w:rPr>
                <w:sz w:val="18"/>
              </w:rPr>
              <w:t>Total long-term </w:t>
            </w:r>
            <w:r>
              <w:rPr>
                <w:spacing w:val="-4"/>
                <w:sz w:val="18"/>
              </w:rPr>
              <w:t>debt</w:t>
            </w:r>
          </w:p>
        </w:tc>
        <w:tc>
          <w:tcPr>
            <w:tcW w:w="2981" w:type="dxa"/>
            <w:gridSpan w:val="2"/>
            <w:tcBorders>
              <w:bottom w:val="double" w:sz="8" w:space="0" w:color="000000"/>
            </w:tcBorders>
          </w:tcPr>
          <w:p>
            <w:pPr>
              <w:pStyle w:val="TableParagraph"/>
              <w:spacing w:line="195" w:lineRule="exact"/>
              <w:ind w:right="445"/>
              <w:jc w:val="right"/>
              <w:rPr>
                <w:sz w:val="18"/>
              </w:rPr>
            </w:pPr>
            <w:r>
              <w:rPr>
                <w:spacing w:val="-10"/>
                <w:sz w:val="18"/>
              </w:rPr>
              <w:t>$</w:t>
            </w:r>
          </w:p>
        </w:tc>
        <w:tc>
          <w:tcPr>
            <w:tcW w:w="1607" w:type="dxa"/>
            <w:gridSpan w:val="2"/>
            <w:tcBorders>
              <w:bottom w:val="double" w:sz="8" w:space="0" w:color="000000"/>
            </w:tcBorders>
          </w:tcPr>
          <w:p>
            <w:pPr>
              <w:pStyle w:val="TableParagraph"/>
              <w:spacing w:line="195" w:lineRule="exact"/>
              <w:ind w:left="445"/>
              <w:rPr>
                <w:sz w:val="18"/>
              </w:rPr>
            </w:pPr>
            <w:r>
              <w:rPr>
                <w:sz w:val="18"/>
              </w:rPr>
              <w:t>24,803</w:t>
            </w:r>
            <w:r>
              <w:rPr>
                <w:spacing w:val="59"/>
                <w:w w:val="150"/>
                <w:sz w:val="18"/>
              </w:rPr>
              <w:t> </w:t>
            </w:r>
            <w:r>
              <w:rPr>
                <w:spacing w:val="-10"/>
                <w:sz w:val="18"/>
              </w:rPr>
              <w:t>$</w:t>
            </w:r>
          </w:p>
        </w:tc>
        <w:tc>
          <w:tcPr>
            <w:tcW w:w="1017" w:type="dxa"/>
            <w:tcBorders>
              <w:bottom w:val="double" w:sz="8" w:space="0" w:color="000000"/>
            </w:tcBorders>
          </w:tcPr>
          <w:p>
            <w:pPr>
              <w:pStyle w:val="TableParagraph"/>
              <w:spacing w:line="195" w:lineRule="exact"/>
              <w:ind w:left="443"/>
              <w:rPr>
                <w:sz w:val="18"/>
              </w:rPr>
            </w:pPr>
            <w:r>
              <w:rPr>
                <w:spacing w:val="-2"/>
                <w:sz w:val="18"/>
              </w:rPr>
              <w:t>20,828</w:t>
            </w:r>
          </w:p>
        </w:tc>
      </w:tr>
    </w:tbl>
    <w:p>
      <w:pPr>
        <w:spacing w:line="249" w:lineRule="auto" w:before="13"/>
        <w:ind w:left="650" w:right="500" w:hanging="180"/>
        <w:jc w:val="left"/>
        <w:rPr>
          <w:sz w:val="16"/>
        </w:rPr>
      </w:pPr>
      <w:r>
        <w:rPr>
          <w:sz w:val="16"/>
          <w:vertAlign w:val="superscript"/>
        </w:rPr>
        <w:t>(1)</w:t>
      </w:r>
      <w:r>
        <w:rPr>
          <w:spacing w:val="-15"/>
          <w:sz w:val="16"/>
          <w:vertAlign w:val="baseline"/>
        </w:rPr>
        <w:t> </w:t>
      </w:r>
      <w:r>
        <w:rPr>
          <w:sz w:val="16"/>
          <w:vertAlign w:val="baseline"/>
        </w:rPr>
        <w:t>The</w:t>
      </w:r>
      <w:r>
        <w:rPr>
          <w:spacing w:val="-3"/>
          <w:sz w:val="16"/>
          <w:vertAlign w:val="baseline"/>
        </w:rPr>
        <w:t> </w:t>
      </w:r>
      <w:r>
        <w:rPr>
          <w:sz w:val="16"/>
          <w:vertAlign w:val="baseline"/>
        </w:rPr>
        <w:t>2029</w:t>
      </w:r>
      <w:r>
        <w:rPr>
          <w:spacing w:val="-2"/>
          <w:sz w:val="16"/>
          <w:vertAlign w:val="baseline"/>
        </w:rPr>
        <w:t> </w:t>
      </w:r>
      <w:r>
        <w:rPr>
          <w:sz w:val="16"/>
          <w:vertAlign w:val="baseline"/>
        </w:rPr>
        <w:t>fixed-to-floating</w:t>
      </w:r>
      <w:r>
        <w:rPr>
          <w:spacing w:val="-2"/>
          <w:sz w:val="16"/>
          <w:vertAlign w:val="baseline"/>
        </w:rPr>
        <w:t> </w:t>
      </w:r>
      <w:r>
        <w:rPr>
          <w:sz w:val="16"/>
          <w:vertAlign w:val="baseline"/>
        </w:rPr>
        <w:t>rate</w:t>
      </w:r>
      <w:r>
        <w:rPr>
          <w:spacing w:val="-2"/>
          <w:sz w:val="16"/>
          <w:vertAlign w:val="baseline"/>
        </w:rPr>
        <w:t> </w:t>
      </w:r>
      <w:r>
        <w:rPr>
          <w:sz w:val="16"/>
          <w:vertAlign w:val="baseline"/>
        </w:rPr>
        <w:t>Senior</w:t>
      </w:r>
      <w:r>
        <w:rPr>
          <w:spacing w:val="-2"/>
          <w:sz w:val="16"/>
          <w:vertAlign w:val="baseline"/>
        </w:rPr>
        <w:t> </w:t>
      </w:r>
      <w:r>
        <w:rPr>
          <w:sz w:val="16"/>
          <w:vertAlign w:val="baseline"/>
        </w:rPr>
        <w:t>Notes</w:t>
      </w:r>
      <w:r>
        <w:rPr>
          <w:spacing w:val="-3"/>
          <w:sz w:val="16"/>
          <w:vertAlign w:val="baseline"/>
        </w:rPr>
        <w:t> </w:t>
      </w:r>
      <w:r>
        <w:rPr>
          <w:sz w:val="16"/>
          <w:vertAlign w:val="baseline"/>
        </w:rPr>
        <w:t>bear</w:t>
      </w:r>
      <w:r>
        <w:rPr>
          <w:spacing w:val="-2"/>
          <w:sz w:val="16"/>
          <w:vertAlign w:val="baseline"/>
        </w:rPr>
        <w:t> </w:t>
      </w:r>
      <w:r>
        <w:rPr>
          <w:sz w:val="16"/>
          <w:vertAlign w:val="baseline"/>
        </w:rPr>
        <w:t>interest</w:t>
      </w:r>
      <w:r>
        <w:rPr>
          <w:spacing w:val="-2"/>
          <w:sz w:val="16"/>
          <w:vertAlign w:val="baseline"/>
        </w:rPr>
        <w:t> </w:t>
      </w:r>
      <w:r>
        <w:rPr>
          <w:sz w:val="16"/>
          <w:vertAlign w:val="baseline"/>
        </w:rPr>
        <w:t>at</w:t>
      </w:r>
      <w:r>
        <w:rPr>
          <w:spacing w:val="-2"/>
          <w:sz w:val="16"/>
          <w:vertAlign w:val="baseline"/>
        </w:rPr>
        <w:t> </w:t>
      </w:r>
      <w:r>
        <w:rPr>
          <w:sz w:val="16"/>
          <w:vertAlign w:val="baseline"/>
        </w:rPr>
        <w:t>a</w:t>
      </w:r>
      <w:r>
        <w:rPr>
          <w:spacing w:val="-2"/>
          <w:sz w:val="16"/>
          <w:vertAlign w:val="baseline"/>
        </w:rPr>
        <w:t> </w:t>
      </w:r>
      <w:r>
        <w:rPr>
          <w:sz w:val="16"/>
          <w:vertAlign w:val="baseline"/>
        </w:rPr>
        <w:t>fixed</w:t>
      </w:r>
      <w:r>
        <w:rPr>
          <w:spacing w:val="-2"/>
          <w:sz w:val="16"/>
          <w:vertAlign w:val="baseline"/>
        </w:rPr>
        <w:t> </w:t>
      </w:r>
      <w:r>
        <w:rPr>
          <w:sz w:val="16"/>
          <w:vertAlign w:val="baseline"/>
        </w:rPr>
        <w:t>rate</w:t>
      </w:r>
      <w:r>
        <w:rPr>
          <w:spacing w:val="-2"/>
          <w:sz w:val="16"/>
          <w:vertAlign w:val="baseline"/>
        </w:rPr>
        <w:t> </w:t>
      </w:r>
      <w:r>
        <w:rPr>
          <w:sz w:val="16"/>
          <w:vertAlign w:val="baseline"/>
        </w:rPr>
        <w:t>of</w:t>
      </w:r>
      <w:r>
        <w:rPr>
          <w:spacing w:val="-5"/>
          <w:sz w:val="16"/>
          <w:vertAlign w:val="baseline"/>
        </w:rPr>
        <w:t> </w:t>
      </w:r>
      <w:r>
        <w:rPr>
          <w:sz w:val="16"/>
          <w:vertAlign w:val="baseline"/>
        </w:rPr>
        <w:t>5.643%,</w:t>
      </w:r>
      <w:r>
        <w:rPr>
          <w:spacing w:val="-2"/>
          <w:sz w:val="16"/>
          <w:vertAlign w:val="baseline"/>
        </w:rPr>
        <w:t> </w:t>
      </w:r>
      <w:r>
        <w:rPr>
          <w:sz w:val="16"/>
          <w:vertAlign w:val="baseline"/>
        </w:rPr>
        <w:t>payable</w:t>
      </w:r>
      <w:r>
        <w:rPr>
          <w:spacing w:val="-2"/>
          <w:sz w:val="16"/>
          <w:vertAlign w:val="baseline"/>
        </w:rPr>
        <w:t> </w:t>
      </w:r>
      <w:r>
        <w:rPr>
          <w:sz w:val="16"/>
          <w:vertAlign w:val="baseline"/>
        </w:rPr>
        <w:t>semi-annually,</w:t>
      </w:r>
      <w:r>
        <w:rPr>
          <w:spacing w:val="-2"/>
          <w:sz w:val="16"/>
          <w:vertAlign w:val="baseline"/>
        </w:rPr>
        <w:t> </w:t>
      </w:r>
      <w:r>
        <w:rPr>
          <w:sz w:val="16"/>
          <w:vertAlign w:val="baseline"/>
        </w:rPr>
        <w:t>until</w:t>
      </w:r>
      <w:r>
        <w:rPr>
          <w:spacing w:val="-2"/>
          <w:sz w:val="16"/>
          <w:vertAlign w:val="baseline"/>
        </w:rPr>
        <w:t> </w:t>
      </w:r>
      <w:r>
        <w:rPr>
          <w:sz w:val="16"/>
          <w:vertAlign w:val="baseline"/>
        </w:rPr>
        <w:t>the</w:t>
      </w:r>
      <w:r>
        <w:rPr>
          <w:spacing w:val="-2"/>
          <w:sz w:val="16"/>
          <w:vertAlign w:val="baseline"/>
        </w:rPr>
        <w:t> </w:t>
      </w:r>
      <w:r>
        <w:rPr>
          <w:sz w:val="16"/>
          <w:vertAlign w:val="baseline"/>
        </w:rPr>
        <w:t>interest</w:t>
      </w:r>
      <w:r>
        <w:rPr>
          <w:spacing w:val="-2"/>
          <w:sz w:val="16"/>
          <w:vertAlign w:val="baseline"/>
        </w:rPr>
        <w:t> </w:t>
      </w:r>
      <w:r>
        <w:rPr>
          <w:sz w:val="16"/>
          <w:vertAlign w:val="baseline"/>
        </w:rPr>
        <w:t>reset</w:t>
      </w:r>
      <w:r>
        <w:rPr>
          <w:spacing w:val="-2"/>
          <w:sz w:val="16"/>
          <w:vertAlign w:val="baseline"/>
        </w:rPr>
        <w:t> </w:t>
      </w:r>
      <w:r>
        <w:rPr>
          <w:sz w:val="16"/>
          <w:vertAlign w:val="baseline"/>
        </w:rPr>
        <w:t>date</w:t>
      </w:r>
      <w:r>
        <w:rPr>
          <w:spacing w:val="-2"/>
          <w:sz w:val="16"/>
          <w:vertAlign w:val="baseline"/>
        </w:rPr>
        <w:t> </w:t>
      </w:r>
      <w:r>
        <w:rPr>
          <w:sz w:val="16"/>
          <w:vertAlign w:val="baseline"/>
        </w:rPr>
        <w:t>on</w:t>
      </w:r>
      <w:r>
        <w:rPr>
          <w:spacing w:val="-2"/>
          <w:sz w:val="16"/>
          <w:vertAlign w:val="baseline"/>
        </w:rPr>
        <w:t> </w:t>
      </w:r>
      <w:r>
        <w:rPr>
          <w:sz w:val="16"/>
          <w:vertAlign w:val="baseline"/>
        </w:rPr>
        <w:t>May</w:t>
      </w:r>
      <w:r>
        <w:rPr>
          <w:spacing w:val="-2"/>
          <w:sz w:val="16"/>
          <w:vertAlign w:val="baseline"/>
        </w:rPr>
        <w:t> </w:t>
      </w:r>
      <w:r>
        <w:rPr>
          <w:sz w:val="16"/>
          <w:vertAlign w:val="baseline"/>
        </w:rPr>
        <w:t>19,</w:t>
      </w:r>
      <w:r>
        <w:rPr>
          <w:spacing w:val="-2"/>
          <w:sz w:val="16"/>
          <w:vertAlign w:val="baseline"/>
        </w:rPr>
        <w:t> </w:t>
      </w:r>
      <w:r>
        <w:rPr>
          <w:sz w:val="16"/>
          <w:vertAlign w:val="baseline"/>
        </w:rPr>
        <w:t>2028.</w:t>
      </w:r>
      <w:r>
        <w:rPr>
          <w:spacing w:val="-2"/>
          <w:sz w:val="16"/>
          <w:vertAlign w:val="baseline"/>
        </w:rPr>
        <w:t> </w:t>
      </w:r>
      <w:r>
        <w:rPr>
          <w:sz w:val="16"/>
          <w:vertAlign w:val="baseline"/>
        </w:rPr>
        <w:t>On</w:t>
      </w:r>
      <w:r>
        <w:rPr>
          <w:spacing w:val="40"/>
          <w:sz w:val="16"/>
          <w:vertAlign w:val="baseline"/>
        </w:rPr>
        <w:t> </w:t>
      </w:r>
      <w:r>
        <w:rPr>
          <w:sz w:val="16"/>
          <w:vertAlign w:val="baseline"/>
        </w:rPr>
        <w:t>and after this date, these notes will bear interest at an annual floating rate of SOFR plus 2.210%, payable quarterly.</w:t>
      </w:r>
    </w:p>
    <w:p>
      <w:pPr>
        <w:spacing w:line="249" w:lineRule="auto" w:before="1"/>
        <w:ind w:left="650" w:right="500" w:hanging="180"/>
        <w:jc w:val="left"/>
        <w:rPr>
          <w:sz w:val="16"/>
        </w:rPr>
      </w:pPr>
      <w:r>
        <w:rPr>
          <w:sz w:val="16"/>
          <w:vertAlign w:val="superscript"/>
        </w:rPr>
        <w:t>(2)</w:t>
      </w:r>
      <w:r>
        <w:rPr>
          <w:spacing w:val="-15"/>
          <w:sz w:val="16"/>
          <w:vertAlign w:val="baseline"/>
        </w:rPr>
        <w:t> </w:t>
      </w:r>
      <w:r>
        <w:rPr>
          <w:sz w:val="16"/>
          <w:vertAlign w:val="baseline"/>
        </w:rPr>
        <w:t>The</w:t>
      </w:r>
      <w:r>
        <w:rPr>
          <w:spacing w:val="-3"/>
          <w:sz w:val="16"/>
          <w:vertAlign w:val="baseline"/>
        </w:rPr>
        <w:t> </w:t>
      </w:r>
      <w:r>
        <w:rPr>
          <w:sz w:val="16"/>
          <w:vertAlign w:val="baseline"/>
        </w:rPr>
        <w:t>2034</w:t>
      </w:r>
      <w:r>
        <w:rPr>
          <w:spacing w:val="-2"/>
          <w:sz w:val="16"/>
          <w:vertAlign w:val="baseline"/>
        </w:rPr>
        <w:t> </w:t>
      </w:r>
      <w:r>
        <w:rPr>
          <w:sz w:val="16"/>
          <w:vertAlign w:val="baseline"/>
        </w:rPr>
        <w:t>fixed-to-floating</w:t>
      </w:r>
      <w:r>
        <w:rPr>
          <w:spacing w:val="-2"/>
          <w:sz w:val="16"/>
          <w:vertAlign w:val="baseline"/>
        </w:rPr>
        <w:t> </w:t>
      </w:r>
      <w:r>
        <w:rPr>
          <w:sz w:val="16"/>
          <w:vertAlign w:val="baseline"/>
        </w:rPr>
        <w:t>rate</w:t>
      </w:r>
      <w:r>
        <w:rPr>
          <w:spacing w:val="-2"/>
          <w:sz w:val="16"/>
          <w:vertAlign w:val="baseline"/>
        </w:rPr>
        <w:t> </w:t>
      </w:r>
      <w:r>
        <w:rPr>
          <w:sz w:val="16"/>
          <w:vertAlign w:val="baseline"/>
        </w:rPr>
        <w:t>Senior</w:t>
      </w:r>
      <w:r>
        <w:rPr>
          <w:spacing w:val="-2"/>
          <w:sz w:val="16"/>
          <w:vertAlign w:val="baseline"/>
        </w:rPr>
        <w:t> </w:t>
      </w:r>
      <w:r>
        <w:rPr>
          <w:sz w:val="16"/>
          <w:vertAlign w:val="baseline"/>
        </w:rPr>
        <w:t>Notes</w:t>
      </w:r>
      <w:r>
        <w:rPr>
          <w:spacing w:val="-3"/>
          <w:sz w:val="16"/>
          <w:vertAlign w:val="baseline"/>
        </w:rPr>
        <w:t> </w:t>
      </w:r>
      <w:r>
        <w:rPr>
          <w:sz w:val="16"/>
          <w:vertAlign w:val="baseline"/>
        </w:rPr>
        <w:t>bear</w:t>
      </w:r>
      <w:r>
        <w:rPr>
          <w:spacing w:val="-2"/>
          <w:sz w:val="16"/>
          <w:vertAlign w:val="baseline"/>
        </w:rPr>
        <w:t> </w:t>
      </w:r>
      <w:r>
        <w:rPr>
          <w:sz w:val="16"/>
          <w:vertAlign w:val="baseline"/>
        </w:rPr>
        <w:t>interest</w:t>
      </w:r>
      <w:r>
        <w:rPr>
          <w:spacing w:val="-2"/>
          <w:sz w:val="16"/>
          <w:vertAlign w:val="baseline"/>
        </w:rPr>
        <w:t> </w:t>
      </w:r>
      <w:r>
        <w:rPr>
          <w:sz w:val="16"/>
          <w:vertAlign w:val="baseline"/>
        </w:rPr>
        <w:t>at</w:t>
      </w:r>
      <w:r>
        <w:rPr>
          <w:spacing w:val="-2"/>
          <w:sz w:val="16"/>
          <w:vertAlign w:val="baseline"/>
        </w:rPr>
        <w:t> </w:t>
      </w:r>
      <w:r>
        <w:rPr>
          <w:sz w:val="16"/>
          <w:vertAlign w:val="baseline"/>
        </w:rPr>
        <w:t>a</w:t>
      </w:r>
      <w:r>
        <w:rPr>
          <w:spacing w:val="-2"/>
          <w:sz w:val="16"/>
          <w:vertAlign w:val="baseline"/>
        </w:rPr>
        <w:t> </w:t>
      </w:r>
      <w:r>
        <w:rPr>
          <w:sz w:val="16"/>
          <w:vertAlign w:val="baseline"/>
        </w:rPr>
        <w:t>fixed</w:t>
      </w:r>
      <w:r>
        <w:rPr>
          <w:spacing w:val="-2"/>
          <w:sz w:val="16"/>
          <w:vertAlign w:val="baseline"/>
        </w:rPr>
        <w:t> </w:t>
      </w:r>
      <w:r>
        <w:rPr>
          <w:sz w:val="16"/>
          <w:vertAlign w:val="baseline"/>
        </w:rPr>
        <w:t>rate</w:t>
      </w:r>
      <w:r>
        <w:rPr>
          <w:spacing w:val="-2"/>
          <w:sz w:val="16"/>
          <w:vertAlign w:val="baseline"/>
        </w:rPr>
        <w:t> </w:t>
      </w:r>
      <w:r>
        <w:rPr>
          <w:sz w:val="16"/>
          <w:vertAlign w:val="baseline"/>
        </w:rPr>
        <w:t>of</w:t>
      </w:r>
      <w:r>
        <w:rPr>
          <w:spacing w:val="-5"/>
          <w:sz w:val="16"/>
          <w:vertAlign w:val="baseline"/>
        </w:rPr>
        <w:t> </w:t>
      </w:r>
      <w:r>
        <w:rPr>
          <w:sz w:val="16"/>
          <w:vertAlign w:val="baseline"/>
        </w:rPr>
        <w:t>5.853%,</w:t>
      </w:r>
      <w:r>
        <w:rPr>
          <w:spacing w:val="-2"/>
          <w:sz w:val="16"/>
          <w:vertAlign w:val="baseline"/>
        </w:rPr>
        <w:t> </w:t>
      </w:r>
      <w:r>
        <w:rPr>
          <w:sz w:val="16"/>
          <w:vertAlign w:val="baseline"/>
        </w:rPr>
        <w:t>payable</w:t>
      </w:r>
      <w:r>
        <w:rPr>
          <w:spacing w:val="-2"/>
          <w:sz w:val="16"/>
          <w:vertAlign w:val="baseline"/>
        </w:rPr>
        <w:t> </w:t>
      </w:r>
      <w:r>
        <w:rPr>
          <w:sz w:val="16"/>
          <w:vertAlign w:val="baseline"/>
        </w:rPr>
        <w:t>semi-annually,</w:t>
      </w:r>
      <w:r>
        <w:rPr>
          <w:spacing w:val="-2"/>
          <w:sz w:val="16"/>
          <w:vertAlign w:val="baseline"/>
        </w:rPr>
        <w:t> </w:t>
      </w:r>
      <w:r>
        <w:rPr>
          <w:sz w:val="16"/>
          <w:vertAlign w:val="baseline"/>
        </w:rPr>
        <w:t>until</w:t>
      </w:r>
      <w:r>
        <w:rPr>
          <w:spacing w:val="-2"/>
          <w:sz w:val="16"/>
          <w:vertAlign w:val="baseline"/>
        </w:rPr>
        <w:t> </w:t>
      </w:r>
      <w:r>
        <w:rPr>
          <w:sz w:val="16"/>
          <w:vertAlign w:val="baseline"/>
        </w:rPr>
        <w:t>the</w:t>
      </w:r>
      <w:r>
        <w:rPr>
          <w:spacing w:val="-2"/>
          <w:sz w:val="16"/>
          <w:vertAlign w:val="baseline"/>
        </w:rPr>
        <w:t> </w:t>
      </w:r>
      <w:r>
        <w:rPr>
          <w:sz w:val="16"/>
          <w:vertAlign w:val="baseline"/>
        </w:rPr>
        <w:t>interest</w:t>
      </w:r>
      <w:r>
        <w:rPr>
          <w:spacing w:val="-2"/>
          <w:sz w:val="16"/>
          <w:vertAlign w:val="baseline"/>
        </w:rPr>
        <w:t> </w:t>
      </w:r>
      <w:r>
        <w:rPr>
          <w:sz w:val="16"/>
          <w:vertAlign w:val="baseline"/>
        </w:rPr>
        <w:t>reset</w:t>
      </w:r>
      <w:r>
        <w:rPr>
          <w:spacing w:val="-2"/>
          <w:sz w:val="16"/>
          <w:vertAlign w:val="baseline"/>
        </w:rPr>
        <w:t> </w:t>
      </w:r>
      <w:r>
        <w:rPr>
          <w:sz w:val="16"/>
          <w:vertAlign w:val="baseline"/>
        </w:rPr>
        <w:t>date</w:t>
      </w:r>
      <w:r>
        <w:rPr>
          <w:spacing w:val="-2"/>
          <w:sz w:val="16"/>
          <w:vertAlign w:val="baseline"/>
        </w:rPr>
        <w:t> </w:t>
      </w:r>
      <w:r>
        <w:rPr>
          <w:sz w:val="16"/>
          <w:vertAlign w:val="baseline"/>
        </w:rPr>
        <w:t>on</w:t>
      </w:r>
      <w:r>
        <w:rPr>
          <w:spacing w:val="-2"/>
          <w:sz w:val="16"/>
          <w:vertAlign w:val="baseline"/>
        </w:rPr>
        <w:t> </w:t>
      </w:r>
      <w:r>
        <w:rPr>
          <w:sz w:val="16"/>
          <w:vertAlign w:val="baseline"/>
        </w:rPr>
        <w:t>May</w:t>
      </w:r>
      <w:r>
        <w:rPr>
          <w:spacing w:val="-2"/>
          <w:sz w:val="16"/>
          <w:vertAlign w:val="baseline"/>
        </w:rPr>
        <w:t> </w:t>
      </w:r>
      <w:r>
        <w:rPr>
          <w:sz w:val="16"/>
          <w:vertAlign w:val="baseline"/>
        </w:rPr>
        <w:t>19,</w:t>
      </w:r>
      <w:r>
        <w:rPr>
          <w:spacing w:val="-2"/>
          <w:sz w:val="16"/>
          <w:vertAlign w:val="baseline"/>
        </w:rPr>
        <w:t> </w:t>
      </w:r>
      <w:r>
        <w:rPr>
          <w:sz w:val="16"/>
          <w:vertAlign w:val="baseline"/>
        </w:rPr>
        <w:t>2033.</w:t>
      </w:r>
      <w:r>
        <w:rPr>
          <w:spacing w:val="-2"/>
          <w:sz w:val="16"/>
          <w:vertAlign w:val="baseline"/>
        </w:rPr>
        <w:t> </w:t>
      </w:r>
      <w:r>
        <w:rPr>
          <w:sz w:val="16"/>
          <w:vertAlign w:val="baseline"/>
        </w:rPr>
        <w:t>On</w:t>
      </w:r>
      <w:r>
        <w:rPr>
          <w:spacing w:val="40"/>
          <w:sz w:val="16"/>
          <w:vertAlign w:val="baseline"/>
        </w:rPr>
        <w:t> </w:t>
      </w:r>
      <w:r>
        <w:rPr>
          <w:sz w:val="16"/>
          <w:vertAlign w:val="baseline"/>
        </w:rPr>
        <w:t>and after this date, these notes will bear interest at an annual floating rate of SOFR plus 2.500%, payable quarterly.</w:t>
      </w:r>
    </w:p>
    <w:p>
      <w:pPr>
        <w:spacing w:line="249" w:lineRule="auto" w:before="1"/>
        <w:ind w:left="650" w:right="566" w:hanging="180"/>
        <w:jc w:val="left"/>
        <w:rPr>
          <w:sz w:val="16"/>
        </w:rPr>
      </w:pPr>
      <w:r>
        <w:rPr>
          <w:sz w:val="16"/>
          <w:vertAlign w:val="superscript"/>
        </w:rPr>
        <w:t>(3)</w:t>
      </w:r>
      <w:r>
        <w:rPr>
          <w:spacing w:val="-15"/>
          <w:sz w:val="16"/>
          <w:vertAlign w:val="baseline"/>
        </w:rPr>
        <w:t> </w:t>
      </w:r>
      <w:r>
        <w:rPr>
          <w:sz w:val="16"/>
          <w:vertAlign w:val="baseline"/>
        </w:rPr>
        <w:t>The</w:t>
      </w:r>
      <w:r>
        <w:rPr>
          <w:spacing w:val="-2"/>
          <w:sz w:val="16"/>
          <w:vertAlign w:val="baseline"/>
        </w:rPr>
        <w:t> </w:t>
      </w:r>
      <w:r>
        <w:rPr>
          <w:sz w:val="16"/>
          <w:vertAlign w:val="baseline"/>
        </w:rPr>
        <w:t>2034</w:t>
      </w:r>
      <w:r>
        <w:rPr>
          <w:spacing w:val="-2"/>
          <w:sz w:val="16"/>
          <w:vertAlign w:val="baseline"/>
        </w:rPr>
        <w:t> </w:t>
      </w:r>
      <w:r>
        <w:rPr>
          <w:sz w:val="16"/>
          <w:vertAlign w:val="baseline"/>
        </w:rPr>
        <w:t>fixed-to-floating</w:t>
      </w:r>
      <w:r>
        <w:rPr>
          <w:spacing w:val="-2"/>
          <w:sz w:val="16"/>
          <w:vertAlign w:val="baseline"/>
        </w:rPr>
        <w:t> </w:t>
      </w:r>
      <w:r>
        <w:rPr>
          <w:sz w:val="16"/>
          <w:vertAlign w:val="baseline"/>
        </w:rPr>
        <w:t>rate</w:t>
      </w:r>
      <w:r>
        <w:rPr>
          <w:spacing w:val="-2"/>
          <w:sz w:val="16"/>
          <w:vertAlign w:val="baseline"/>
        </w:rPr>
        <w:t> </w:t>
      </w:r>
      <w:r>
        <w:rPr>
          <w:sz w:val="16"/>
          <w:vertAlign w:val="baseline"/>
        </w:rPr>
        <w:t>Senior</w:t>
      </w:r>
      <w:r>
        <w:rPr>
          <w:spacing w:val="-2"/>
          <w:sz w:val="16"/>
          <w:vertAlign w:val="baseline"/>
        </w:rPr>
        <w:t> </w:t>
      </w:r>
      <w:r>
        <w:rPr>
          <w:sz w:val="16"/>
          <w:vertAlign w:val="baseline"/>
        </w:rPr>
        <w:t>Notes</w:t>
      </w:r>
      <w:r>
        <w:rPr>
          <w:spacing w:val="-3"/>
          <w:sz w:val="16"/>
          <w:vertAlign w:val="baseline"/>
        </w:rPr>
        <w:t> </w:t>
      </w:r>
      <w:r>
        <w:rPr>
          <w:sz w:val="16"/>
          <w:vertAlign w:val="baseline"/>
        </w:rPr>
        <w:t>bear</w:t>
      </w:r>
      <w:r>
        <w:rPr>
          <w:spacing w:val="-2"/>
          <w:sz w:val="16"/>
          <w:vertAlign w:val="baseline"/>
        </w:rPr>
        <w:t> </w:t>
      </w:r>
      <w:r>
        <w:rPr>
          <w:sz w:val="16"/>
          <w:vertAlign w:val="baseline"/>
        </w:rPr>
        <w:t>interest</w:t>
      </w:r>
      <w:r>
        <w:rPr>
          <w:spacing w:val="-2"/>
          <w:sz w:val="16"/>
          <w:vertAlign w:val="baseline"/>
        </w:rPr>
        <w:t> </w:t>
      </w:r>
      <w:r>
        <w:rPr>
          <w:sz w:val="16"/>
          <w:vertAlign w:val="baseline"/>
        </w:rPr>
        <w:t>at</w:t>
      </w:r>
      <w:r>
        <w:rPr>
          <w:spacing w:val="-2"/>
          <w:sz w:val="16"/>
          <w:vertAlign w:val="baseline"/>
        </w:rPr>
        <w:t> </w:t>
      </w:r>
      <w:r>
        <w:rPr>
          <w:sz w:val="16"/>
          <w:vertAlign w:val="baseline"/>
        </w:rPr>
        <w:t>a</w:t>
      </w:r>
      <w:r>
        <w:rPr>
          <w:spacing w:val="-2"/>
          <w:sz w:val="16"/>
          <w:vertAlign w:val="baseline"/>
        </w:rPr>
        <w:t> </w:t>
      </w:r>
      <w:r>
        <w:rPr>
          <w:sz w:val="16"/>
          <w:vertAlign w:val="baseline"/>
        </w:rPr>
        <w:t>fixed</w:t>
      </w:r>
      <w:r>
        <w:rPr>
          <w:spacing w:val="-2"/>
          <w:sz w:val="16"/>
          <w:vertAlign w:val="baseline"/>
        </w:rPr>
        <w:t> </w:t>
      </w:r>
      <w:r>
        <w:rPr>
          <w:sz w:val="16"/>
          <w:vertAlign w:val="baseline"/>
        </w:rPr>
        <w:t>rate</w:t>
      </w:r>
      <w:r>
        <w:rPr>
          <w:spacing w:val="-2"/>
          <w:sz w:val="16"/>
          <w:vertAlign w:val="baseline"/>
        </w:rPr>
        <w:t> </w:t>
      </w:r>
      <w:r>
        <w:rPr>
          <w:sz w:val="16"/>
          <w:vertAlign w:val="baseline"/>
        </w:rPr>
        <w:t>of</w:t>
      </w:r>
      <w:r>
        <w:rPr>
          <w:spacing w:val="-5"/>
          <w:sz w:val="16"/>
          <w:vertAlign w:val="baseline"/>
        </w:rPr>
        <w:t> </w:t>
      </w:r>
      <w:r>
        <w:rPr>
          <w:sz w:val="16"/>
          <w:vertAlign w:val="baseline"/>
        </w:rPr>
        <w:t>6.136%,</w:t>
      </w:r>
      <w:r>
        <w:rPr>
          <w:spacing w:val="-2"/>
          <w:sz w:val="16"/>
          <w:vertAlign w:val="baseline"/>
        </w:rPr>
        <w:t> </w:t>
      </w:r>
      <w:r>
        <w:rPr>
          <w:sz w:val="16"/>
          <w:vertAlign w:val="baseline"/>
        </w:rPr>
        <w:t>payable</w:t>
      </w:r>
      <w:r>
        <w:rPr>
          <w:spacing w:val="-2"/>
          <w:sz w:val="16"/>
          <w:vertAlign w:val="baseline"/>
        </w:rPr>
        <w:t> </w:t>
      </w:r>
      <w:r>
        <w:rPr>
          <w:sz w:val="16"/>
          <w:vertAlign w:val="baseline"/>
        </w:rPr>
        <w:t>semi-annually,</w:t>
      </w:r>
      <w:r>
        <w:rPr>
          <w:spacing w:val="-2"/>
          <w:sz w:val="16"/>
          <w:vertAlign w:val="baseline"/>
        </w:rPr>
        <w:t> </w:t>
      </w:r>
      <w:r>
        <w:rPr>
          <w:sz w:val="16"/>
          <w:vertAlign w:val="baseline"/>
        </w:rPr>
        <w:t>until</w:t>
      </w:r>
      <w:r>
        <w:rPr>
          <w:spacing w:val="-2"/>
          <w:sz w:val="16"/>
          <w:vertAlign w:val="baseline"/>
        </w:rPr>
        <w:t> </w:t>
      </w:r>
      <w:r>
        <w:rPr>
          <w:sz w:val="16"/>
          <w:vertAlign w:val="baseline"/>
        </w:rPr>
        <w:t>the</w:t>
      </w:r>
      <w:r>
        <w:rPr>
          <w:spacing w:val="-2"/>
          <w:sz w:val="16"/>
          <w:vertAlign w:val="baseline"/>
        </w:rPr>
        <w:t> </w:t>
      </w:r>
      <w:r>
        <w:rPr>
          <w:sz w:val="16"/>
          <w:vertAlign w:val="baseline"/>
        </w:rPr>
        <w:t>interest</w:t>
      </w:r>
      <w:r>
        <w:rPr>
          <w:spacing w:val="-2"/>
          <w:sz w:val="16"/>
          <w:vertAlign w:val="baseline"/>
        </w:rPr>
        <w:t> </w:t>
      </w:r>
      <w:r>
        <w:rPr>
          <w:sz w:val="16"/>
          <w:vertAlign w:val="baseline"/>
        </w:rPr>
        <w:t>reset</w:t>
      </w:r>
      <w:r>
        <w:rPr>
          <w:spacing w:val="-2"/>
          <w:sz w:val="16"/>
          <w:vertAlign w:val="baseline"/>
        </w:rPr>
        <w:t> </w:t>
      </w:r>
      <w:r>
        <w:rPr>
          <w:sz w:val="16"/>
          <w:vertAlign w:val="baseline"/>
        </w:rPr>
        <w:t>date</w:t>
      </w:r>
      <w:r>
        <w:rPr>
          <w:spacing w:val="-2"/>
          <w:sz w:val="16"/>
          <w:vertAlign w:val="baseline"/>
        </w:rPr>
        <w:t> </w:t>
      </w:r>
      <w:r>
        <w:rPr>
          <w:sz w:val="16"/>
          <w:vertAlign w:val="baseline"/>
        </w:rPr>
        <w:t>on</w:t>
      </w:r>
      <w:r>
        <w:rPr>
          <w:spacing w:val="-2"/>
          <w:sz w:val="16"/>
          <w:vertAlign w:val="baseline"/>
        </w:rPr>
        <w:t> </w:t>
      </w:r>
      <w:r>
        <w:rPr>
          <w:sz w:val="16"/>
          <w:vertAlign w:val="baseline"/>
        </w:rPr>
        <w:t>August</w:t>
      </w:r>
      <w:r>
        <w:rPr>
          <w:spacing w:val="-2"/>
          <w:sz w:val="16"/>
          <w:vertAlign w:val="baseline"/>
        </w:rPr>
        <w:t> </w:t>
      </w:r>
      <w:r>
        <w:rPr>
          <w:sz w:val="16"/>
          <w:vertAlign w:val="baseline"/>
        </w:rPr>
        <w:t>24,</w:t>
      </w:r>
      <w:r>
        <w:rPr>
          <w:spacing w:val="-2"/>
          <w:sz w:val="16"/>
          <w:vertAlign w:val="baseline"/>
        </w:rPr>
        <w:t> </w:t>
      </w:r>
      <w:r>
        <w:rPr>
          <w:sz w:val="16"/>
          <w:vertAlign w:val="baseline"/>
        </w:rPr>
        <w:t>2033.</w:t>
      </w:r>
      <w:r>
        <w:rPr>
          <w:spacing w:val="40"/>
          <w:sz w:val="16"/>
          <w:vertAlign w:val="baseline"/>
        </w:rPr>
        <w:t> </w:t>
      </w:r>
      <w:r>
        <w:rPr>
          <w:sz w:val="16"/>
          <w:vertAlign w:val="baseline"/>
        </w:rPr>
        <w:t>On and after this date, these notes will bear interest at an annual floating rate of SOFR plus 2.010%, payable quarterly.</w:t>
      </w:r>
    </w:p>
    <w:p>
      <w:pPr>
        <w:spacing w:after="0" w:line="249" w:lineRule="auto"/>
        <w:jc w:val="left"/>
        <w:rPr>
          <w:sz w:val="16"/>
        </w:rPr>
        <w:sectPr>
          <w:type w:val="continuous"/>
          <w:pgSz w:w="12240" w:h="15840"/>
          <w:pgMar w:header="227" w:footer="201" w:top="320" w:bottom="280" w:left="520" w:right="520"/>
        </w:sectPr>
      </w:pPr>
    </w:p>
    <w:p>
      <w:pPr>
        <w:pStyle w:val="BodyText"/>
        <w:spacing w:before="4"/>
        <w:rPr>
          <w:sz w:val="19"/>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4"/>
        <w:gridCol w:w="2307"/>
      </w:tblGrid>
      <w:tr>
        <w:trPr>
          <w:trHeight w:val="274" w:hRule="atLeast"/>
        </w:trPr>
        <w:tc>
          <w:tcPr>
            <w:tcW w:w="7954" w:type="dxa"/>
            <w:tcBorders>
              <w:bottom w:val="single" w:sz="4" w:space="0" w:color="000000"/>
            </w:tcBorders>
          </w:tcPr>
          <w:p>
            <w:pPr>
              <w:pStyle w:val="TableParagraph"/>
              <w:spacing w:line="221" w:lineRule="exact"/>
              <w:rPr>
                <w:sz w:val="20"/>
              </w:rPr>
            </w:pPr>
            <w:r>
              <w:rPr>
                <w:sz w:val="20"/>
              </w:rPr>
              <w:t>Annual</w:t>
            </w:r>
            <w:r>
              <w:rPr>
                <w:spacing w:val="-6"/>
                <w:sz w:val="20"/>
              </w:rPr>
              <w:t> </w:t>
            </w:r>
            <w:r>
              <w:rPr>
                <w:sz w:val="20"/>
              </w:rPr>
              <w:t>maturities</w:t>
            </w:r>
            <w:r>
              <w:rPr>
                <w:spacing w:val="-3"/>
                <w:sz w:val="20"/>
              </w:rPr>
              <w:t> </w:t>
            </w:r>
            <w:r>
              <w:rPr>
                <w:sz w:val="20"/>
              </w:rPr>
              <w:t>on</w:t>
            </w:r>
            <w:r>
              <w:rPr>
                <w:spacing w:val="-2"/>
                <w:sz w:val="20"/>
              </w:rPr>
              <w:t> </w:t>
            </w:r>
            <w:r>
              <w:rPr>
                <w:sz w:val="20"/>
              </w:rPr>
              <w:t>all</w:t>
            </w:r>
            <w:r>
              <w:rPr>
                <w:spacing w:val="-3"/>
                <w:sz w:val="20"/>
              </w:rPr>
              <w:t> </w:t>
            </w:r>
            <w:r>
              <w:rPr>
                <w:sz w:val="20"/>
              </w:rPr>
              <w:t>long-term</w:t>
            </w:r>
            <w:r>
              <w:rPr>
                <w:spacing w:val="-4"/>
                <w:sz w:val="20"/>
              </w:rPr>
              <w:t> </w:t>
            </w:r>
            <w:r>
              <w:rPr>
                <w:sz w:val="20"/>
              </w:rPr>
              <w:t>debt</w:t>
            </w:r>
            <w:r>
              <w:rPr>
                <w:spacing w:val="-3"/>
                <w:sz w:val="20"/>
              </w:rPr>
              <w:t> </w:t>
            </w:r>
            <w:r>
              <w:rPr>
                <w:sz w:val="20"/>
              </w:rPr>
              <w:t>outstanding</w:t>
            </w:r>
            <w:r>
              <w:rPr>
                <w:spacing w:val="-2"/>
                <w:sz w:val="20"/>
              </w:rPr>
              <w:t> </w:t>
            </w:r>
            <w:r>
              <w:rPr>
                <w:sz w:val="20"/>
              </w:rPr>
              <w:t>at</w:t>
            </w:r>
            <w:r>
              <w:rPr>
                <w:spacing w:val="-3"/>
                <w:sz w:val="20"/>
              </w:rPr>
              <w:t> </w:t>
            </w:r>
            <w:r>
              <w:rPr>
                <w:sz w:val="20"/>
              </w:rPr>
              <w:t>September</w:t>
            </w:r>
            <w:r>
              <w:rPr>
                <w:spacing w:val="-3"/>
                <w:sz w:val="20"/>
              </w:rPr>
              <w:t> </w:t>
            </w:r>
            <w:r>
              <w:rPr>
                <w:sz w:val="20"/>
              </w:rPr>
              <w:t>30,</w:t>
            </w:r>
            <w:r>
              <w:rPr>
                <w:spacing w:val="-2"/>
                <w:sz w:val="20"/>
              </w:rPr>
              <w:t> </w:t>
            </w:r>
            <w:r>
              <w:rPr>
                <w:sz w:val="20"/>
              </w:rPr>
              <w:t>2023</w:t>
            </w:r>
            <w:r>
              <w:rPr>
                <w:spacing w:val="-2"/>
                <w:sz w:val="20"/>
              </w:rPr>
              <w:t> </w:t>
            </w:r>
            <w:r>
              <w:rPr>
                <w:sz w:val="20"/>
              </w:rPr>
              <w:t>are</w:t>
            </w:r>
            <w:r>
              <w:rPr>
                <w:spacing w:val="-3"/>
                <w:sz w:val="20"/>
              </w:rPr>
              <w:t> </w:t>
            </w:r>
            <w:r>
              <w:rPr>
                <w:sz w:val="20"/>
              </w:rPr>
              <w:t>as</w:t>
            </w:r>
            <w:r>
              <w:rPr>
                <w:spacing w:val="-3"/>
                <w:sz w:val="20"/>
              </w:rPr>
              <w:t> </w:t>
            </w:r>
            <w:r>
              <w:rPr>
                <w:spacing w:val="-2"/>
                <w:sz w:val="20"/>
              </w:rPr>
              <w:t>follows:</w:t>
            </w:r>
          </w:p>
        </w:tc>
        <w:tc>
          <w:tcPr>
            <w:tcW w:w="2307" w:type="dxa"/>
            <w:tcBorders>
              <w:bottom w:val="single" w:sz="4" w:space="0" w:color="000000"/>
            </w:tcBorders>
          </w:tcPr>
          <w:p>
            <w:pPr>
              <w:pStyle w:val="TableParagraph"/>
              <w:rPr>
                <w:sz w:val="18"/>
              </w:rPr>
            </w:pPr>
          </w:p>
        </w:tc>
      </w:tr>
      <w:tr>
        <w:trPr>
          <w:trHeight w:val="245" w:hRule="atLeast"/>
        </w:trPr>
        <w:tc>
          <w:tcPr>
            <w:tcW w:w="7954" w:type="dxa"/>
            <w:tcBorders>
              <w:top w:val="single" w:sz="4" w:space="0" w:color="000000"/>
              <w:bottom w:val="single" w:sz="4" w:space="0" w:color="000000"/>
            </w:tcBorders>
          </w:tcPr>
          <w:p>
            <w:pPr>
              <w:pStyle w:val="TableParagraph"/>
              <w:rPr>
                <w:sz w:val="16"/>
              </w:rPr>
            </w:pPr>
          </w:p>
        </w:tc>
        <w:tc>
          <w:tcPr>
            <w:tcW w:w="2307" w:type="dxa"/>
            <w:tcBorders>
              <w:top w:val="single" w:sz="4" w:space="0" w:color="000000"/>
              <w:bottom w:val="single" w:sz="4" w:space="0" w:color="000000"/>
            </w:tcBorders>
          </w:tcPr>
          <w:p>
            <w:pPr>
              <w:pStyle w:val="TableParagraph"/>
              <w:spacing w:before="13"/>
              <w:ind w:left="1145"/>
              <w:rPr>
                <w:sz w:val="18"/>
              </w:rPr>
            </w:pPr>
            <w:r>
              <w:rPr>
                <w:spacing w:val="-2"/>
                <w:sz w:val="18"/>
              </w:rPr>
              <w:t>Maturities</w:t>
            </w:r>
          </w:p>
        </w:tc>
      </w:tr>
      <w:tr>
        <w:trPr>
          <w:trHeight w:val="250" w:hRule="atLeast"/>
        </w:trPr>
        <w:tc>
          <w:tcPr>
            <w:tcW w:w="7954" w:type="dxa"/>
            <w:tcBorders>
              <w:top w:val="single" w:sz="4" w:space="0" w:color="000000"/>
            </w:tcBorders>
            <w:shd w:val="clear" w:color="auto" w:fill="CCEDFF"/>
          </w:tcPr>
          <w:p>
            <w:pPr>
              <w:pStyle w:val="TableParagraph"/>
              <w:spacing w:before="13"/>
              <w:ind w:left="52"/>
              <w:rPr>
                <w:sz w:val="18"/>
              </w:rPr>
            </w:pPr>
            <w:r>
              <w:rPr>
                <w:spacing w:val="-4"/>
                <w:sz w:val="18"/>
              </w:rPr>
              <w:t>2023</w:t>
            </w:r>
          </w:p>
        </w:tc>
        <w:tc>
          <w:tcPr>
            <w:tcW w:w="2307" w:type="dxa"/>
            <w:tcBorders>
              <w:top w:val="single" w:sz="4" w:space="0" w:color="000000"/>
            </w:tcBorders>
            <w:shd w:val="clear" w:color="auto" w:fill="CCEDFF"/>
          </w:tcPr>
          <w:p>
            <w:pPr>
              <w:pStyle w:val="TableParagraph"/>
              <w:tabs>
                <w:tab w:pos="1402" w:val="left" w:leader="none"/>
              </w:tabs>
              <w:spacing w:before="13"/>
              <w:ind w:right="73"/>
              <w:jc w:val="right"/>
              <w:rPr>
                <w:sz w:val="18"/>
              </w:rPr>
            </w:pPr>
            <w:r>
              <w:rPr>
                <w:spacing w:val="-10"/>
                <w:sz w:val="18"/>
              </w:rPr>
              <w:t>$</w:t>
            </w:r>
            <w:r>
              <w:rPr>
                <w:sz w:val="18"/>
              </w:rPr>
              <w:tab/>
            </w:r>
            <w:r>
              <w:rPr>
                <w:spacing w:val="-10"/>
                <w:sz w:val="18"/>
              </w:rPr>
              <w:t>8</w:t>
            </w:r>
          </w:p>
        </w:tc>
      </w:tr>
      <w:tr>
        <w:trPr>
          <w:trHeight w:val="255" w:hRule="atLeast"/>
        </w:trPr>
        <w:tc>
          <w:tcPr>
            <w:tcW w:w="7954" w:type="dxa"/>
          </w:tcPr>
          <w:p>
            <w:pPr>
              <w:pStyle w:val="TableParagraph"/>
              <w:spacing w:before="18"/>
              <w:ind w:left="52"/>
              <w:rPr>
                <w:sz w:val="18"/>
              </w:rPr>
            </w:pPr>
            <w:r>
              <w:rPr>
                <w:spacing w:val="-4"/>
                <w:sz w:val="18"/>
              </w:rPr>
              <w:t>2024</w:t>
            </w:r>
          </w:p>
        </w:tc>
        <w:tc>
          <w:tcPr>
            <w:tcW w:w="2307" w:type="dxa"/>
          </w:tcPr>
          <w:p>
            <w:pPr>
              <w:pStyle w:val="TableParagraph"/>
              <w:spacing w:before="18"/>
              <w:ind w:right="73"/>
              <w:jc w:val="right"/>
              <w:rPr>
                <w:sz w:val="18"/>
              </w:rPr>
            </w:pPr>
            <w:r>
              <w:rPr>
                <w:spacing w:val="-2"/>
                <w:sz w:val="18"/>
              </w:rPr>
              <w:t>3,675</w:t>
            </w:r>
          </w:p>
        </w:tc>
      </w:tr>
      <w:tr>
        <w:trPr>
          <w:trHeight w:val="255" w:hRule="atLeast"/>
        </w:trPr>
        <w:tc>
          <w:tcPr>
            <w:tcW w:w="7954" w:type="dxa"/>
            <w:shd w:val="clear" w:color="auto" w:fill="CCEDFF"/>
          </w:tcPr>
          <w:p>
            <w:pPr>
              <w:pStyle w:val="TableParagraph"/>
              <w:spacing w:before="18"/>
              <w:ind w:left="52"/>
              <w:rPr>
                <w:sz w:val="18"/>
              </w:rPr>
            </w:pPr>
            <w:r>
              <w:rPr>
                <w:spacing w:val="-4"/>
                <w:sz w:val="18"/>
              </w:rPr>
              <w:t>2025</w:t>
            </w:r>
          </w:p>
        </w:tc>
        <w:tc>
          <w:tcPr>
            <w:tcW w:w="2307" w:type="dxa"/>
            <w:shd w:val="clear" w:color="auto" w:fill="CCEDFF"/>
          </w:tcPr>
          <w:p>
            <w:pPr>
              <w:pStyle w:val="TableParagraph"/>
              <w:spacing w:before="18"/>
              <w:ind w:right="73"/>
              <w:jc w:val="right"/>
              <w:rPr>
                <w:sz w:val="18"/>
              </w:rPr>
            </w:pPr>
            <w:r>
              <w:rPr>
                <w:spacing w:val="-2"/>
                <w:sz w:val="18"/>
              </w:rPr>
              <w:t>2,237</w:t>
            </w:r>
          </w:p>
        </w:tc>
      </w:tr>
      <w:tr>
        <w:trPr>
          <w:trHeight w:val="255" w:hRule="atLeast"/>
        </w:trPr>
        <w:tc>
          <w:tcPr>
            <w:tcW w:w="7954" w:type="dxa"/>
          </w:tcPr>
          <w:p>
            <w:pPr>
              <w:pStyle w:val="TableParagraph"/>
              <w:spacing w:before="18"/>
              <w:ind w:left="52"/>
              <w:rPr>
                <w:sz w:val="18"/>
              </w:rPr>
            </w:pPr>
            <w:r>
              <w:rPr>
                <w:spacing w:val="-4"/>
                <w:sz w:val="18"/>
              </w:rPr>
              <w:t>2026</w:t>
            </w:r>
          </w:p>
        </w:tc>
        <w:tc>
          <w:tcPr>
            <w:tcW w:w="2307" w:type="dxa"/>
          </w:tcPr>
          <w:p>
            <w:pPr>
              <w:pStyle w:val="TableParagraph"/>
              <w:spacing w:before="18"/>
              <w:ind w:right="73"/>
              <w:jc w:val="right"/>
              <w:rPr>
                <w:sz w:val="18"/>
              </w:rPr>
            </w:pPr>
            <w:r>
              <w:rPr>
                <w:spacing w:val="-2"/>
                <w:sz w:val="18"/>
              </w:rPr>
              <w:t>4,100</w:t>
            </w:r>
          </w:p>
        </w:tc>
      </w:tr>
      <w:tr>
        <w:trPr>
          <w:trHeight w:val="255" w:hRule="atLeast"/>
        </w:trPr>
        <w:tc>
          <w:tcPr>
            <w:tcW w:w="7954" w:type="dxa"/>
            <w:shd w:val="clear" w:color="auto" w:fill="CCEDFF"/>
          </w:tcPr>
          <w:p>
            <w:pPr>
              <w:pStyle w:val="TableParagraph"/>
              <w:spacing w:before="18"/>
              <w:ind w:left="52"/>
              <w:rPr>
                <w:sz w:val="18"/>
              </w:rPr>
            </w:pPr>
            <w:r>
              <w:rPr>
                <w:spacing w:val="-4"/>
                <w:sz w:val="18"/>
              </w:rPr>
              <w:t>2027</w:t>
            </w:r>
          </w:p>
        </w:tc>
        <w:tc>
          <w:tcPr>
            <w:tcW w:w="2307" w:type="dxa"/>
            <w:shd w:val="clear" w:color="auto" w:fill="CCEDFF"/>
          </w:tcPr>
          <w:p>
            <w:pPr>
              <w:pStyle w:val="TableParagraph"/>
              <w:spacing w:before="18"/>
              <w:ind w:right="73"/>
              <w:jc w:val="right"/>
              <w:rPr>
                <w:sz w:val="18"/>
              </w:rPr>
            </w:pPr>
            <w:r>
              <w:rPr>
                <w:spacing w:val="-2"/>
                <w:sz w:val="18"/>
              </w:rPr>
              <w:t>3,450</w:t>
            </w:r>
          </w:p>
        </w:tc>
      </w:tr>
      <w:tr>
        <w:trPr>
          <w:trHeight w:val="250" w:hRule="atLeast"/>
        </w:trPr>
        <w:tc>
          <w:tcPr>
            <w:tcW w:w="7954" w:type="dxa"/>
            <w:tcBorders>
              <w:bottom w:val="single" w:sz="4" w:space="0" w:color="000000"/>
            </w:tcBorders>
          </w:tcPr>
          <w:p>
            <w:pPr>
              <w:pStyle w:val="TableParagraph"/>
              <w:spacing w:before="18"/>
              <w:ind w:left="52"/>
              <w:rPr>
                <w:sz w:val="18"/>
              </w:rPr>
            </w:pPr>
            <w:r>
              <w:rPr>
                <w:spacing w:val="-2"/>
                <w:sz w:val="18"/>
              </w:rPr>
              <w:t>Thereafter</w:t>
            </w:r>
          </w:p>
        </w:tc>
        <w:tc>
          <w:tcPr>
            <w:tcW w:w="2307" w:type="dxa"/>
            <w:tcBorders>
              <w:bottom w:val="single" w:sz="4" w:space="0" w:color="000000"/>
            </w:tcBorders>
          </w:tcPr>
          <w:p>
            <w:pPr>
              <w:pStyle w:val="TableParagraph"/>
              <w:spacing w:before="18"/>
              <w:ind w:right="73"/>
              <w:jc w:val="right"/>
              <w:rPr>
                <w:sz w:val="18"/>
              </w:rPr>
            </w:pPr>
            <w:r>
              <w:rPr>
                <w:spacing w:val="-2"/>
                <w:sz w:val="18"/>
              </w:rPr>
              <w:t>11,350</w:t>
            </w:r>
          </w:p>
        </w:tc>
      </w:tr>
      <w:tr>
        <w:trPr>
          <w:trHeight w:val="250" w:hRule="atLeast"/>
        </w:trPr>
        <w:tc>
          <w:tcPr>
            <w:tcW w:w="7954" w:type="dxa"/>
            <w:tcBorders>
              <w:top w:val="single" w:sz="4" w:space="0" w:color="000000"/>
            </w:tcBorders>
            <w:shd w:val="clear" w:color="auto" w:fill="CCEDFF"/>
          </w:tcPr>
          <w:p>
            <w:pPr>
              <w:pStyle w:val="TableParagraph"/>
              <w:spacing w:before="13"/>
              <w:ind w:left="52"/>
              <w:rPr>
                <w:sz w:val="18"/>
              </w:rPr>
            </w:pPr>
            <w:r>
              <w:rPr>
                <w:sz w:val="18"/>
              </w:rPr>
              <w:t>Total </w:t>
            </w:r>
            <w:r>
              <w:rPr>
                <w:spacing w:val="-2"/>
                <w:sz w:val="18"/>
              </w:rPr>
              <w:t>maturities</w:t>
            </w:r>
          </w:p>
        </w:tc>
        <w:tc>
          <w:tcPr>
            <w:tcW w:w="2307" w:type="dxa"/>
            <w:tcBorders>
              <w:top w:val="single" w:sz="4" w:space="0" w:color="000000"/>
            </w:tcBorders>
            <w:shd w:val="clear" w:color="auto" w:fill="CCEDFF"/>
          </w:tcPr>
          <w:p>
            <w:pPr>
              <w:pStyle w:val="TableParagraph"/>
              <w:spacing w:before="13"/>
              <w:ind w:right="73"/>
              <w:jc w:val="right"/>
              <w:rPr>
                <w:sz w:val="18"/>
              </w:rPr>
            </w:pPr>
            <w:r>
              <w:rPr>
                <w:spacing w:val="-2"/>
                <w:sz w:val="18"/>
              </w:rPr>
              <w:t>24,820</w:t>
            </w:r>
          </w:p>
        </w:tc>
      </w:tr>
      <w:tr>
        <w:trPr>
          <w:trHeight w:val="255" w:hRule="atLeast"/>
        </w:trPr>
        <w:tc>
          <w:tcPr>
            <w:tcW w:w="7954" w:type="dxa"/>
          </w:tcPr>
          <w:p>
            <w:pPr>
              <w:pStyle w:val="TableParagraph"/>
              <w:spacing w:before="18"/>
              <w:ind w:left="52"/>
              <w:rPr>
                <w:sz w:val="18"/>
              </w:rPr>
            </w:pPr>
            <w:r>
              <w:rPr>
                <w:sz w:val="18"/>
              </w:rPr>
              <w:t>Unamortized</w:t>
            </w:r>
            <w:r>
              <w:rPr>
                <w:spacing w:val="-1"/>
                <w:sz w:val="18"/>
              </w:rPr>
              <w:t> </w:t>
            </w:r>
            <w:r>
              <w:rPr>
                <w:sz w:val="18"/>
              </w:rPr>
              <w:t>premium — </w:t>
            </w:r>
            <w:r>
              <w:rPr>
                <w:spacing w:val="-5"/>
                <w:sz w:val="18"/>
              </w:rPr>
              <w:t>net</w:t>
            </w:r>
          </w:p>
        </w:tc>
        <w:tc>
          <w:tcPr>
            <w:tcW w:w="2307" w:type="dxa"/>
          </w:tcPr>
          <w:p>
            <w:pPr>
              <w:pStyle w:val="TableParagraph"/>
              <w:spacing w:before="18"/>
              <w:ind w:right="73"/>
              <w:jc w:val="right"/>
              <w:rPr>
                <w:sz w:val="18"/>
              </w:rPr>
            </w:pPr>
            <w:r>
              <w:rPr>
                <w:spacing w:val="-5"/>
                <w:sz w:val="18"/>
              </w:rPr>
              <w:t>98</w:t>
            </w:r>
          </w:p>
        </w:tc>
      </w:tr>
      <w:tr>
        <w:trPr>
          <w:trHeight w:val="250" w:hRule="atLeast"/>
        </w:trPr>
        <w:tc>
          <w:tcPr>
            <w:tcW w:w="7954" w:type="dxa"/>
            <w:tcBorders>
              <w:bottom w:val="single" w:sz="4" w:space="0" w:color="000000"/>
            </w:tcBorders>
            <w:shd w:val="clear" w:color="auto" w:fill="CCEDFF"/>
          </w:tcPr>
          <w:p>
            <w:pPr>
              <w:pStyle w:val="TableParagraph"/>
              <w:spacing w:before="18"/>
              <w:ind w:left="52"/>
              <w:rPr>
                <w:sz w:val="18"/>
              </w:rPr>
            </w:pPr>
            <w:r>
              <w:rPr>
                <w:sz w:val="18"/>
              </w:rPr>
              <w:t>Debt</w:t>
            </w:r>
            <w:r>
              <w:rPr>
                <w:spacing w:val="-2"/>
                <w:sz w:val="18"/>
              </w:rPr>
              <w:t> </w:t>
            </w:r>
            <w:r>
              <w:rPr>
                <w:sz w:val="18"/>
              </w:rPr>
              <w:t>issuance</w:t>
            </w:r>
            <w:r>
              <w:rPr>
                <w:spacing w:val="-1"/>
                <w:sz w:val="18"/>
              </w:rPr>
              <w:t> </w:t>
            </w:r>
            <w:r>
              <w:rPr>
                <w:spacing w:val="-2"/>
                <w:sz w:val="18"/>
              </w:rPr>
              <w:t>costs</w:t>
            </w:r>
          </w:p>
        </w:tc>
        <w:tc>
          <w:tcPr>
            <w:tcW w:w="2307" w:type="dxa"/>
            <w:tcBorders>
              <w:bottom w:val="single" w:sz="4" w:space="0" w:color="000000"/>
            </w:tcBorders>
            <w:shd w:val="clear" w:color="auto" w:fill="CCEDFF"/>
          </w:tcPr>
          <w:p>
            <w:pPr>
              <w:pStyle w:val="TableParagraph"/>
              <w:spacing w:before="18"/>
              <w:ind w:right="13"/>
              <w:jc w:val="right"/>
              <w:rPr>
                <w:sz w:val="18"/>
              </w:rPr>
            </w:pPr>
            <w:r>
              <w:rPr>
                <w:spacing w:val="-2"/>
                <w:sz w:val="18"/>
              </w:rPr>
              <w:t>(115)</w:t>
            </w:r>
          </w:p>
        </w:tc>
      </w:tr>
      <w:tr>
        <w:trPr>
          <w:trHeight w:val="220" w:hRule="atLeast"/>
        </w:trPr>
        <w:tc>
          <w:tcPr>
            <w:tcW w:w="7954" w:type="dxa"/>
            <w:tcBorders>
              <w:top w:val="single" w:sz="4" w:space="0" w:color="000000"/>
              <w:bottom w:val="double" w:sz="8" w:space="0" w:color="000000"/>
            </w:tcBorders>
          </w:tcPr>
          <w:p>
            <w:pPr>
              <w:pStyle w:val="TableParagraph"/>
              <w:spacing w:line="187" w:lineRule="exact" w:before="13"/>
              <w:ind w:left="187"/>
              <w:rPr>
                <w:sz w:val="18"/>
              </w:rPr>
            </w:pPr>
            <w:r>
              <w:rPr>
                <w:sz w:val="18"/>
              </w:rPr>
              <w:t>Total long-term </w:t>
            </w:r>
            <w:r>
              <w:rPr>
                <w:spacing w:val="-4"/>
                <w:sz w:val="18"/>
              </w:rPr>
              <w:t>debt</w:t>
            </w:r>
          </w:p>
        </w:tc>
        <w:tc>
          <w:tcPr>
            <w:tcW w:w="2307" w:type="dxa"/>
            <w:tcBorders>
              <w:top w:val="single" w:sz="4" w:space="0" w:color="000000"/>
              <w:bottom w:val="double" w:sz="8" w:space="0" w:color="000000"/>
            </w:tcBorders>
          </w:tcPr>
          <w:p>
            <w:pPr>
              <w:pStyle w:val="TableParagraph"/>
              <w:tabs>
                <w:tab w:pos="997" w:val="left" w:leader="none"/>
              </w:tabs>
              <w:spacing w:line="187" w:lineRule="exact" w:before="13"/>
              <w:ind w:right="73"/>
              <w:jc w:val="right"/>
              <w:rPr>
                <w:sz w:val="18"/>
              </w:rPr>
            </w:pPr>
            <w:r>
              <w:rPr>
                <w:spacing w:val="-10"/>
                <w:sz w:val="18"/>
              </w:rPr>
              <w:t>$</w:t>
            </w:r>
            <w:r>
              <w:rPr>
                <w:sz w:val="18"/>
              </w:rPr>
              <w:tab/>
            </w:r>
            <w:r>
              <w:rPr>
                <w:spacing w:val="-2"/>
                <w:sz w:val="18"/>
              </w:rPr>
              <w:t>24,803</w:t>
            </w:r>
          </w:p>
        </w:tc>
      </w:tr>
    </w:tbl>
    <w:p>
      <w:pPr>
        <w:pStyle w:val="BodyText"/>
        <w:spacing w:before="32"/>
      </w:pPr>
    </w:p>
    <w:p>
      <w:pPr>
        <w:pStyle w:val="BodyText"/>
        <w:spacing w:line="249" w:lineRule="auto"/>
        <w:ind w:left="470" w:right="500"/>
      </w:pPr>
      <w:r>
        <w:rPr>
          <w:i/>
        </w:rPr>
        <w:t>FHLB</w:t>
      </w:r>
      <w:r>
        <w:rPr>
          <w:i/>
          <w:spacing w:val="-4"/>
        </w:rPr>
        <w:t> </w:t>
      </w:r>
      <w:r>
        <w:rPr>
          <w:i/>
        </w:rPr>
        <w:t>borrowings:</w:t>
      </w:r>
      <w:r>
        <w:rPr>
          <w:i/>
          <w:spacing w:val="-3"/>
        </w:rPr>
        <w:t> </w:t>
      </w:r>
      <w:r>
        <w:rPr/>
        <w:t>Our</w:t>
      </w:r>
      <w:r>
        <w:rPr>
          <w:spacing w:val="-3"/>
        </w:rPr>
        <w:t> </w:t>
      </w:r>
      <w:r>
        <w:rPr/>
        <w:t>banking</w:t>
      </w:r>
      <w:r>
        <w:rPr>
          <w:spacing w:val="-3"/>
        </w:rPr>
        <w:t> </w:t>
      </w:r>
      <w:r>
        <w:rPr/>
        <w:t>subsidiaries</w:t>
      </w:r>
      <w:r>
        <w:rPr>
          <w:spacing w:val="-4"/>
        </w:rPr>
        <w:t> </w:t>
      </w:r>
      <w:r>
        <w:rPr/>
        <w:t>maintain</w:t>
      </w:r>
      <w:r>
        <w:rPr>
          <w:spacing w:val="-3"/>
        </w:rPr>
        <w:t> </w:t>
      </w:r>
      <w:r>
        <w:rPr/>
        <w:t>secured</w:t>
      </w:r>
      <w:r>
        <w:rPr>
          <w:spacing w:val="-3"/>
        </w:rPr>
        <w:t> </w:t>
      </w:r>
      <w:r>
        <w:rPr/>
        <w:t>credit</w:t>
      </w:r>
      <w:r>
        <w:rPr>
          <w:spacing w:val="-4"/>
        </w:rPr>
        <w:t> </w:t>
      </w:r>
      <w:r>
        <w:rPr/>
        <w:t>facilities</w:t>
      </w:r>
      <w:r>
        <w:rPr>
          <w:spacing w:val="-4"/>
        </w:rPr>
        <w:t> </w:t>
      </w:r>
      <w:r>
        <w:rPr/>
        <w:t>with</w:t>
      </w:r>
      <w:r>
        <w:rPr>
          <w:spacing w:val="-3"/>
        </w:rPr>
        <w:t> </w:t>
      </w:r>
      <w:r>
        <w:rPr/>
        <w:t>the</w:t>
      </w:r>
      <w:r>
        <w:rPr>
          <w:spacing w:val="-4"/>
        </w:rPr>
        <w:t> </w:t>
      </w:r>
      <w:r>
        <w:rPr/>
        <w:t>FHLB.</w:t>
      </w:r>
      <w:r>
        <w:rPr>
          <w:spacing w:val="-3"/>
        </w:rPr>
        <w:t> </w:t>
      </w:r>
      <w:r>
        <w:rPr/>
        <w:t>Amounts</w:t>
      </w:r>
      <w:r>
        <w:rPr>
          <w:spacing w:val="-4"/>
        </w:rPr>
        <w:t> </w:t>
      </w:r>
      <w:r>
        <w:rPr/>
        <w:t>available</w:t>
      </w:r>
      <w:r>
        <w:rPr>
          <w:spacing w:val="-4"/>
        </w:rPr>
        <w:t> </w:t>
      </w:r>
      <w:r>
        <w:rPr/>
        <w:t>under</w:t>
      </w:r>
      <w:r>
        <w:rPr>
          <w:spacing w:val="-3"/>
        </w:rPr>
        <w:t> </w:t>
      </w:r>
      <w:r>
        <w:rPr/>
        <w:t>these facilities are dependent on the amount of bank loans and the fair value of certain investment securities that are pledged as collateral. There was $31.8 billion and $12.4 billion outstanding under these facilities as of September 30, 2023 and</w:t>
      </w:r>
    </w:p>
    <w:p>
      <w:pPr>
        <w:pStyle w:val="BodyText"/>
        <w:spacing w:line="249" w:lineRule="auto" w:before="3"/>
        <w:ind w:left="470" w:right="500"/>
      </w:pPr>
      <w:r>
        <w:rPr/>
        <w:t>December</w:t>
      </w:r>
      <w:r>
        <w:rPr>
          <w:spacing w:val="-3"/>
        </w:rPr>
        <w:t> </w:t>
      </w:r>
      <w:r>
        <w:rPr/>
        <w:t>31,</w:t>
      </w:r>
      <w:r>
        <w:rPr>
          <w:spacing w:val="-3"/>
        </w:rPr>
        <w:t> </w:t>
      </w:r>
      <w:r>
        <w:rPr/>
        <w:t>2022,</w:t>
      </w:r>
      <w:r>
        <w:rPr>
          <w:spacing w:val="-3"/>
        </w:rPr>
        <w:t> </w:t>
      </w:r>
      <w:r>
        <w:rPr/>
        <w:t>respectively,</w:t>
      </w:r>
      <w:r>
        <w:rPr>
          <w:spacing w:val="-3"/>
        </w:rPr>
        <w:t> </w:t>
      </w:r>
      <w:r>
        <w:rPr/>
        <w:t>and</w:t>
      </w:r>
      <w:r>
        <w:rPr>
          <w:spacing w:val="-3"/>
        </w:rPr>
        <w:t> </w:t>
      </w:r>
      <w:r>
        <w:rPr/>
        <w:t>these</w:t>
      </w:r>
      <w:r>
        <w:rPr>
          <w:spacing w:val="-4"/>
        </w:rPr>
        <w:t> </w:t>
      </w:r>
      <w:r>
        <w:rPr/>
        <w:t>borrowings</w:t>
      </w:r>
      <w:r>
        <w:rPr>
          <w:spacing w:val="-4"/>
        </w:rPr>
        <w:t> </w:t>
      </w:r>
      <w:r>
        <w:rPr/>
        <w:t>had</w:t>
      </w:r>
      <w:r>
        <w:rPr>
          <w:spacing w:val="-3"/>
        </w:rPr>
        <w:t> </w:t>
      </w:r>
      <w:r>
        <w:rPr/>
        <w:t>a</w:t>
      </w:r>
      <w:r>
        <w:rPr>
          <w:spacing w:val="-4"/>
        </w:rPr>
        <w:t> </w:t>
      </w:r>
      <w:r>
        <w:rPr/>
        <w:t>weighted-average</w:t>
      </w:r>
      <w:r>
        <w:rPr>
          <w:spacing w:val="-4"/>
        </w:rPr>
        <w:t> </w:t>
      </w:r>
      <w:r>
        <w:rPr/>
        <w:t>interest</w:t>
      </w:r>
      <w:r>
        <w:rPr>
          <w:spacing w:val="-4"/>
        </w:rPr>
        <w:t> </w:t>
      </w:r>
      <w:r>
        <w:rPr/>
        <w:t>rate</w:t>
      </w:r>
      <w:r>
        <w:rPr>
          <w:spacing w:val="-4"/>
        </w:rPr>
        <w:t> </w:t>
      </w:r>
      <w:r>
        <w:rPr/>
        <w:t>of</w:t>
      </w:r>
      <w:r>
        <w:rPr>
          <w:spacing w:val="-3"/>
        </w:rPr>
        <w:t> </w:t>
      </w:r>
      <w:r>
        <w:rPr/>
        <w:t>5.17%</w:t>
      </w:r>
      <w:r>
        <w:rPr>
          <w:spacing w:val="-3"/>
        </w:rPr>
        <w:t> </w:t>
      </w:r>
      <w:r>
        <w:rPr/>
        <w:t>and</w:t>
      </w:r>
      <w:r>
        <w:rPr>
          <w:spacing w:val="-3"/>
        </w:rPr>
        <w:t> </w:t>
      </w:r>
      <w:r>
        <w:rPr/>
        <w:t>4.88%,</w:t>
      </w:r>
      <w:r>
        <w:rPr>
          <w:spacing w:val="-3"/>
        </w:rPr>
        <w:t> </w:t>
      </w:r>
      <w:r>
        <w:rPr/>
        <w:t>respectively. As of September 30, 2023 and December 31, 2022, the collateral pledged provided additional borrowing capacity of</w:t>
      </w:r>
    </w:p>
    <w:p>
      <w:pPr>
        <w:pStyle w:val="BodyText"/>
        <w:spacing w:before="1"/>
        <w:ind w:left="470"/>
      </w:pPr>
      <w:r>
        <w:rPr/>
        <w:t>$55.6</w:t>
      </w:r>
      <w:r>
        <w:rPr>
          <w:spacing w:val="-2"/>
        </w:rPr>
        <w:t> </w:t>
      </w:r>
      <w:r>
        <w:rPr/>
        <w:t>billion</w:t>
      </w:r>
      <w:r>
        <w:rPr>
          <w:spacing w:val="-2"/>
        </w:rPr>
        <w:t> </w:t>
      </w:r>
      <w:r>
        <w:rPr/>
        <w:t>and</w:t>
      </w:r>
      <w:r>
        <w:rPr>
          <w:spacing w:val="-2"/>
        </w:rPr>
        <w:t> </w:t>
      </w:r>
      <w:r>
        <w:rPr/>
        <w:t>$68.6</w:t>
      </w:r>
      <w:r>
        <w:rPr>
          <w:spacing w:val="-2"/>
        </w:rPr>
        <w:t> </w:t>
      </w:r>
      <w:r>
        <w:rPr/>
        <w:t>billion,</w:t>
      </w:r>
      <w:r>
        <w:rPr>
          <w:spacing w:val="-1"/>
        </w:rPr>
        <w:t> </w:t>
      </w:r>
      <w:r>
        <w:rPr>
          <w:spacing w:val="-2"/>
        </w:rPr>
        <w:t>respectively.</w:t>
      </w:r>
    </w:p>
    <w:p>
      <w:pPr>
        <w:pStyle w:val="BodyText"/>
        <w:spacing w:before="20"/>
      </w:pPr>
    </w:p>
    <w:p>
      <w:pPr>
        <w:pStyle w:val="BodyText"/>
        <w:spacing w:line="249" w:lineRule="auto" w:before="1"/>
        <w:ind w:left="470" w:right="761"/>
      </w:pPr>
      <w:r>
        <w:rPr>
          <w:i/>
        </w:rPr>
        <w:t>Other</w:t>
      </w:r>
      <w:r>
        <w:rPr>
          <w:i/>
          <w:spacing w:val="-4"/>
        </w:rPr>
        <w:t> </w:t>
      </w:r>
      <w:r>
        <w:rPr>
          <w:i/>
        </w:rPr>
        <w:t>short-term</w:t>
      </w:r>
      <w:r>
        <w:rPr>
          <w:i/>
          <w:spacing w:val="-4"/>
        </w:rPr>
        <w:t> </w:t>
      </w:r>
      <w:r>
        <w:rPr>
          <w:i/>
        </w:rPr>
        <w:t>borrowings:</w:t>
      </w:r>
      <w:r>
        <w:rPr>
          <w:i/>
          <w:spacing w:val="-3"/>
        </w:rPr>
        <w:t> </w:t>
      </w:r>
      <w:r>
        <w:rPr/>
        <w:t>Total</w:t>
      </w:r>
      <w:r>
        <w:rPr>
          <w:spacing w:val="-4"/>
        </w:rPr>
        <w:t> </w:t>
      </w:r>
      <w:r>
        <w:rPr/>
        <w:t>other</w:t>
      </w:r>
      <w:r>
        <w:rPr>
          <w:spacing w:val="-3"/>
        </w:rPr>
        <w:t> </w:t>
      </w:r>
      <w:r>
        <w:rPr/>
        <w:t>short-term</w:t>
      </w:r>
      <w:r>
        <w:rPr>
          <w:spacing w:val="-4"/>
        </w:rPr>
        <w:t> </w:t>
      </w:r>
      <w:r>
        <w:rPr/>
        <w:t>borrowings</w:t>
      </w:r>
      <w:r>
        <w:rPr>
          <w:spacing w:val="-4"/>
        </w:rPr>
        <w:t> </w:t>
      </w:r>
      <w:r>
        <w:rPr/>
        <w:t>outstanding</w:t>
      </w:r>
      <w:r>
        <w:rPr>
          <w:spacing w:val="-3"/>
        </w:rPr>
        <w:t> </w:t>
      </w:r>
      <w:r>
        <w:rPr/>
        <w:t>at</w:t>
      </w:r>
      <w:r>
        <w:rPr>
          <w:spacing w:val="-4"/>
        </w:rPr>
        <w:t> </w:t>
      </w:r>
      <w:r>
        <w:rPr/>
        <w:t>September</w:t>
      </w:r>
      <w:r>
        <w:rPr>
          <w:spacing w:val="-3"/>
        </w:rPr>
        <w:t> </w:t>
      </w:r>
      <w:r>
        <w:rPr/>
        <w:t>30,</w:t>
      </w:r>
      <w:r>
        <w:rPr>
          <w:spacing w:val="-3"/>
        </w:rPr>
        <w:t> </w:t>
      </w:r>
      <w:r>
        <w:rPr/>
        <w:t>2023</w:t>
      </w:r>
      <w:r>
        <w:rPr>
          <w:spacing w:val="-3"/>
        </w:rPr>
        <w:t> </w:t>
      </w:r>
      <w:r>
        <w:rPr/>
        <w:t>and</w:t>
      </w:r>
      <w:r>
        <w:rPr>
          <w:spacing w:val="-3"/>
        </w:rPr>
        <w:t> </w:t>
      </w:r>
      <w:r>
        <w:rPr/>
        <w:t>December</w:t>
      </w:r>
      <w:r>
        <w:rPr>
          <w:spacing w:val="-3"/>
        </w:rPr>
        <w:t> </w:t>
      </w:r>
      <w:r>
        <w:rPr/>
        <w:t>31,</w:t>
      </w:r>
      <w:r>
        <w:rPr>
          <w:spacing w:val="-3"/>
        </w:rPr>
        <w:t> </w:t>
      </w:r>
      <w:r>
        <w:rPr/>
        <w:t>2022 were $7.6 billion and $4.7 billion, respectively, and had a weighted-average interest rate of 5.39% and 4.97%, respectively. Additional information regarding our other short-term borrowings facilities is described below.</w:t>
      </w:r>
    </w:p>
    <w:p>
      <w:pPr>
        <w:pStyle w:val="BodyText"/>
        <w:spacing w:before="12"/>
      </w:pPr>
    </w:p>
    <w:p>
      <w:pPr>
        <w:pStyle w:val="BodyText"/>
        <w:ind w:left="470"/>
      </w:pPr>
      <w:r>
        <w:rPr/>
        <w:t>CSC</w:t>
      </w:r>
      <w:r>
        <w:rPr>
          <w:spacing w:val="-5"/>
        </w:rPr>
        <w:t> </w:t>
      </w:r>
      <w:r>
        <w:rPr/>
        <w:t>has</w:t>
      </w:r>
      <w:r>
        <w:rPr>
          <w:spacing w:val="-3"/>
        </w:rPr>
        <w:t> </w:t>
      </w:r>
      <w:r>
        <w:rPr/>
        <w:t>the</w:t>
      </w:r>
      <w:r>
        <w:rPr>
          <w:spacing w:val="-3"/>
        </w:rPr>
        <w:t> </w:t>
      </w:r>
      <w:r>
        <w:rPr/>
        <w:t>ability</w:t>
      </w:r>
      <w:r>
        <w:rPr>
          <w:spacing w:val="-2"/>
        </w:rPr>
        <w:t> </w:t>
      </w:r>
      <w:r>
        <w:rPr/>
        <w:t>to</w:t>
      </w:r>
      <w:r>
        <w:rPr>
          <w:spacing w:val="-2"/>
        </w:rPr>
        <w:t> </w:t>
      </w:r>
      <w:r>
        <w:rPr/>
        <w:t>issue</w:t>
      </w:r>
      <w:r>
        <w:rPr>
          <w:spacing w:val="-3"/>
        </w:rPr>
        <w:t> </w:t>
      </w:r>
      <w:r>
        <w:rPr/>
        <w:t>up</w:t>
      </w:r>
      <w:r>
        <w:rPr>
          <w:spacing w:val="-2"/>
        </w:rPr>
        <w:t> </w:t>
      </w:r>
      <w:r>
        <w:rPr/>
        <w:t>to</w:t>
      </w:r>
      <w:r>
        <w:rPr>
          <w:spacing w:val="-2"/>
        </w:rPr>
        <w:t> </w:t>
      </w:r>
      <w:r>
        <w:rPr/>
        <w:t>$5.0</w:t>
      </w:r>
      <w:r>
        <w:rPr>
          <w:spacing w:val="-2"/>
        </w:rPr>
        <w:t> </w:t>
      </w:r>
      <w:r>
        <w:rPr/>
        <w:t>billion</w:t>
      </w:r>
      <w:r>
        <w:rPr>
          <w:spacing w:val="-2"/>
        </w:rPr>
        <w:t> </w:t>
      </w:r>
      <w:r>
        <w:rPr/>
        <w:t>of</w:t>
      </w:r>
      <w:r>
        <w:rPr>
          <w:spacing w:val="-2"/>
        </w:rPr>
        <w:t> </w:t>
      </w:r>
      <w:r>
        <w:rPr/>
        <w:t>commercial</w:t>
      </w:r>
      <w:r>
        <w:rPr>
          <w:spacing w:val="-3"/>
        </w:rPr>
        <w:t> </w:t>
      </w:r>
      <w:r>
        <w:rPr/>
        <w:t>paper</w:t>
      </w:r>
      <w:r>
        <w:rPr>
          <w:spacing w:val="-2"/>
        </w:rPr>
        <w:t> </w:t>
      </w:r>
      <w:r>
        <w:rPr/>
        <w:t>notes</w:t>
      </w:r>
      <w:r>
        <w:rPr>
          <w:spacing w:val="-3"/>
        </w:rPr>
        <w:t> </w:t>
      </w:r>
      <w:r>
        <w:rPr/>
        <w:t>with</w:t>
      </w:r>
      <w:r>
        <w:rPr>
          <w:spacing w:val="-2"/>
        </w:rPr>
        <w:t> </w:t>
      </w:r>
      <w:r>
        <w:rPr/>
        <w:t>maturities</w:t>
      </w:r>
      <w:r>
        <w:rPr>
          <w:spacing w:val="-3"/>
        </w:rPr>
        <w:t> </w:t>
      </w:r>
      <w:r>
        <w:rPr/>
        <w:t>of</w:t>
      </w:r>
      <w:r>
        <w:rPr>
          <w:spacing w:val="-2"/>
        </w:rPr>
        <w:t> </w:t>
      </w:r>
      <w:r>
        <w:rPr/>
        <w:t>up</w:t>
      </w:r>
      <w:r>
        <w:rPr>
          <w:spacing w:val="-2"/>
        </w:rPr>
        <w:t> </w:t>
      </w:r>
      <w:r>
        <w:rPr/>
        <w:t>to</w:t>
      </w:r>
      <w:r>
        <w:rPr>
          <w:spacing w:val="-2"/>
        </w:rPr>
        <w:t> </w:t>
      </w:r>
      <w:r>
        <w:rPr/>
        <w:t>270</w:t>
      </w:r>
      <w:r>
        <w:rPr>
          <w:spacing w:val="-3"/>
        </w:rPr>
        <w:t> </w:t>
      </w:r>
      <w:r>
        <w:rPr/>
        <w:t>days.</w:t>
      </w:r>
      <w:r>
        <w:rPr>
          <w:spacing w:val="-2"/>
        </w:rPr>
        <w:t> </w:t>
      </w:r>
      <w:r>
        <w:rPr/>
        <w:t>CSC</w:t>
      </w:r>
      <w:r>
        <w:rPr>
          <w:spacing w:val="-2"/>
        </w:rPr>
        <w:t> </w:t>
      </w:r>
      <w:r>
        <w:rPr>
          <w:spacing w:val="-5"/>
        </w:rPr>
        <w:t>had</w:t>
      </w:r>
    </w:p>
    <w:p>
      <w:pPr>
        <w:pStyle w:val="BodyText"/>
        <w:spacing w:line="249" w:lineRule="auto" w:before="10"/>
        <w:ind w:left="470" w:right="500"/>
      </w:pPr>
      <w:r>
        <w:rPr/>
        <w:t>$85 million and $250 million outstanding at September 30, 2023 and December 31, 2022, respectively. CSC and CS&amp;Co also have access to uncommitted lines of credit with external banks with total borrowing capacity of $1.8 billion; no amounts were outstanding as of September 30, 2023 or December 31, 2022. CS&amp;Co also maintains secured, uncommitted lines of credit, under</w:t>
      </w:r>
      <w:r>
        <w:rPr>
          <w:spacing w:val="-3"/>
        </w:rPr>
        <w:t> </w:t>
      </w:r>
      <w:r>
        <w:rPr/>
        <w:t>which</w:t>
      </w:r>
      <w:r>
        <w:rPr>
          <w:spacing w:val="-3"/>
        </w:rPr>
        <w:t> </w:t>
      </w:r>
      <w:r>
        <w:rPr/>
        <w:t>CS&amp;Co</w:t>
      </w:r>
      <w:r>
        <w:rPr>
          <w:spacing w:val="-3"/>
        </w:rPr>
        <w:t> </w:t>
      </w:r>
      <w:r>
        <w:rPr/>
        <w:t>may</w:t>
      </w:r>
      <w:r>
        <w:rPr>
          <w:spacing w:val="-3"/>
        </w:rPr>
        <w:t> </w:t>
      </w:r>
      <w:r>
        <w:rPr/>
        <w:t>borrow</w:t>
      </w:r>
      <w:r>
        <w:rPr>
          <w:spacing w:val="-4"/>
        </w:rPr>
        <w:t> </w:t>
      </w:r>
      <w:r>
        <w:rPr/>
        <w:t>on</w:t>
      </w:r>
      <w:r>
        <w:rPr>
          <w:spacing w:val="-3"/>
        </w:rPr>
        <w:t> </w:t>
      </w:r>
      <w:r>
        <w:rPr/>
        <w:t>a</w:t>
      </w:r>
      <w:r>
        <w:rPr>
          <w:spacing w:val="-4"/>
        </w:rPr>
        <w:t> </w:t>
      </w:r>
      <w:r>
        <w:rPr/>
        <w:t>short-term</w:t>
      </w:r>
      <w:r>
        <w:rPr>
          <w:spacing w:val="-4"/>
        </w:rPr>
        <w:t> </w:t>
      </w:r>
      <w:r>
        <w:rPr/>
        <w:t>basis</w:t>
      </w:r>
      <w:r>
        <w:rPr>
          <w:spacing w:val="-4"/>
        </w:rPr>
        <w:t> </w:t>
      </w:r>
      <w:r>
        <w:rPr/>
        <w:t>and</w:t>
      </w:r>
      <w:r>
        <w:rPr>
          <w:spacing w:val="-3"/>
        </w:rPr>
        <w:t> </w:t>
      </w:r>
      <w:r>
        <w:rPr/>
        <w:t>pledge</w:t>
      </w:r>
      <w:r>
        <w:rPr>
          <w:spacing w:val="-4"/>
        </w:rPr>
        <w:t> </w:t>
      </w:r>
      <w:r>
        <w:rPr/>
        <w:t>either</w:t>
      </w:r>
      <w:r>
        <w:rPr>
          <w:spacing w:val="-3"/>
        </w:rPr>
        <w:t> </w:t>
      </w:r>
      <w:r>
        <w:rPr/>
        <w:t>client</w:t>
      </w:r>
      <w:r>
        <w:rPr>
          <w:spacing w:val="-4"/>
        </w:rPr>
        <w:t> </w:t>
      </w:r>
      <w:r>
        <w:rPr/>
        <w:t>margin</w:t>
      </w:r>
      <w:r>
        <w:rPr>
          <w:spacing w:val="-3"/>
        </w:rPr>
        <w:t> </w:t>
      </w:r>
      <w:r>
        <w:rPr/>
        <w:t>securities</w:t>
      </w:r>
      <w:r>
        <w:rPr>
          <w:spacing w:val="-4"/>
        </w:rPr>
        <w:t> </w:t>
      </w:r>
      <w:r>
        <w:rPr/>
        <w:t>or</w:t>
      </w:r>
      <w:r>
        <w:rPr>
          <w:spacing w:val="-3"/>
        </w:rPr>
        <w:t> </w:t>
      </w:r>
      <w:r>
        <w:rPr/>
        <w:t>firm</w:t>
      </w:r>
      <w:r>
        <w:rPr>
          <w:spacing w:val="-4"/>
        </w:rPr>
        <w:t> </w:t>
      </w:r>
      <w:r>
        <w:rPr/>
        <w:t>securities</w:t>
      </w:r>
      <w:r>
        <w:rPr>
          <w:spacing w:val="-4"/>
        </w:rPr>
        <w:t> </w:t>
      </w:r>
      <w:r>
        <w:rPr/>
        <w:t>as</w:t>
      </w:r>
      <w:r>
        <w:rPr>
          <w:spacing w:val="-4"/>
        </w:rPr>
        <w:t> </w:t>
      </w:r>
      <w:r>
        <w:rPr/>
        <w:t>collateral, based on the terms of the agreements, under which there was $950 million outstanding at September 30, 2023.</w:t>
      </w:r>
    </w:p>
    <w:p>
      <w:pPr>
        <w:pStyle w:val="BodyText"/>
        <w:spacing w:before="14"/>
      </w:pPr>
    </w:p>
    <w:p>
      <w:pPr>
        <w:pStyle w:val="BodyText"/>
        <w:spacing w:line="249" w:lineRule="auto"/>
        <w:ind w:left="470" w:right="500"/>
      </w:pPr>
      <w:r>
        <w:rPr/>
        <w:t>Our banking subsidiaries have access to funding through the Federal Reserve discount window. Amounts available are dependent upon the fair value of certain investment securities that are pledged as collateral. As of September 30, 2023 and December</w:t>
      </w:r>
      <w:r>
        <w:rPr>
          <w:spacing w:val="-3"/>
        </w:rPr>
        <w:t> </w:t>
      </w:r>
      <w:r>
        <w:rPr/>
        <w:t>31,</w:t>
      </w:r>
      <w:r>
        <w:rPr>
          <w:spacing w:val="-3"/>
        </w:rPr>
        <w:t> </w:t>
      </w:r>
      <w:r>
        <w:rPr/>
        <w:t>2022,</w:t>
      </w:r>
      <w:r>
        <w:rPr>
          <w:spacing w:val="-3"/>
        </w:rPr>
        <w:t> </w:t>
      </w:r>
      <w:r>
        <w:rPr/>
        <w:t>our</w:t>
      </w:r>
      <w:r>
        <w:rPr>
          <w:spacing w:val="-3"/>
        </w:rPr>
        <w:t> </w:t>
      </w:r>
      <w:r>
        <w:rPr/>
        <w:t>collateral</w:t>
      </w:r>
      <w:r>
        <w:rPr>
          <w:spacing w:val="-4"/>
        </w:rPr>
        <w:t> </w:t>
      </w:r>
      <w:r>
        <w:rPr/>
        <w:t>pledged</w:t>
      </w:r>
      <w:r>
        <w:rPr>
          <w:spacing w:val="-3"/>
        </w:rPr>
        <w:t> </w:t>
      </w:r>
      <w:r>
        <w:rPr/>
        <w:t>provided</w:t>
      </w:r>
      <w:r>
        <w:rPr>
          <w:spacing w:val="-3"/>
        </w:rPr>
        <w:t> </w:t>
      </w:r>
      <w:r>
        <w:rPr/>
        <w:t>total</w:t>
      </w:r>
      <w:r>
        <w:rPr>
          <w:spacing w:val="-4"/>
        </w:rPr>
        <w:t> </w:t>
      </w:r>
      <w:r>
        <w:rPr/>
        <w:t>borrowing</w:t>
      </w:r>
      <w:r>
        <w:rPr>
          <w:spacing w:val="-3"/>
        </w:rPr>
        <w:t> </w:t>
      </w:r>
      <w:r>
        <w:rPr/>
        <w:t>capacity</w:t>
      </w:r>
      <w:r>
        <w:rPr>
          <w:spacing w:val="-3"/>
        </w:rPr>
        <w:t> </w:t>
      </w:r>
      <w:r>
        <w:rPr/>
        <w:t>of</w:t>
      </w:r>
      <w:r>
        <w:rPr>
          <w:spacing w:val="-3"/>
        </w:rPr>
        <w:t> </w:t>
      </w:r>
      <w:r>
        <w:rPr/>
        <w:t>$7.2</w:t>
      </w:r>
      <w:r>
        <w:rPr>
          <w:spacing w:val="-3"/>
        </w:rPr>
        <w:t> </w:t>
      </w:r>
      <w:r>
        <w:rPr/>
        <w:t>billion</w:t>
      </w:r>
      <w:r>
        <w:rPr>
          <w:spacing w:val="-3"/>
        </w:rPr>
        <w:t> </w:t>
      </w:r>
      <w:r>
        <w:rPr/>
        <w:t>and</w:t>
      </w:r>
      <w:r>
        <w:rPr>
          <w:spacing w:val="-3"/>
        </w:rPr>
        <w:t> </w:t>
      </w:r>
      <w:r>
        <w:rPr/>
        <w:t>$7.8</w:t>
      </w:r>
      <w:r>
        <w:rPr>
          <w:spacing w:val="-3"/>
        </w:rPr>
        <w:t> </w:t>
      </w:r>
      <w:r>
        <w:rPr/>
        <w:t>billion,</w:t>
      </w:r>
      <w:r>
        <w:rPr>
          <w:spacing w:val="-3"/>
        </w:rPr>
        <w:t> </w:t>
      </w:r>
      <w:r>
        <w:rPr/>
        <w:t>respectively,</w:t>
      </w:r>
      <w:r>
        <w:rPr>
          <w:spacing w:val="-3"/>
        </w:rPr>
        <w:t> </w:t>
      </w:r>
      <w:r>
        <w:rPr/>
        <w:t>of which no amounts were outstanding at the end of either period.</w:t>
      </w:r>
    </w:p>
    <w:p>
      <w:pPr>
        <w:pStyle w:val="BodyText"/>
        <w:spacing w:before="13"/>
      </w:pPr>
    </w:p>
    <w:p>
      <w:pPr>
        <w:pStyle w:val="BodyText"/>
        <w:spacing w:line="249" w:lineRule="auto"/>
        <w:ind w:left="470" w:right="500"/>
      </w:pPr>
      <w:r>
        <w:rPr/>
        <w:t>Beginning</w:t>
      </w:r>
      <w:r>
        <w:rPr>
          <w:spacing w:val="-3"/>
        </w:rPr>
        <w:t> </w:t>
      </w:r>
      <w:r>
        <w:rPr/>
        <w:t>in</w:t>
      </w:r>
      <w:r>
        <w:rPr>
          <w:spacing w:val="-3"/>
        </w:rPr>
        <w:t> </w:t>
      </w:r>
      <w:r>
        <w:rPr/>
        <w:t>2023,</w:t>
      </w:r>
      <w:r>
        <w:rPr>
          <w:spacing w:val="-3"/>
        </w:rPr>
        <w:t> </w:t>
      </w:r>
      <w:r>
        <w:rPr/>
        <w:t>our</w:t>
      </w:r>
      <w:r>
        <w:rPr>
          <w:spacing w:val="-3"/>
        </w:rPr>
        <w:t> </w:t>
      </w:r>
      <w:r>
        <w:rPr/>
        <w:t>banking</w:t>
      </w:r>
      <w:r>
        <w:rPr>
          <w:spacing w:val="-3"/>
        </w:rPr>
        <w:t> </w:t>
      </w:r>
      <w:r>
        <w:rPr/>
        <w:t>subsidiaries</w:t>
      </w:r>
      <w:r>
        <w:rPr>
          <w:spacing w:val="-4"/>
        </w:rPr>
        <w:t> </w:t>
      </w:r>
      <w:r>
        <w:rPr/>
        <w:t>have</w:t>
      </w:r>
      <w:r>
        <w:rPr>
          <w:spacing w:val="-4"/>
        </w:rPr>
        <w:t> </w:t>
      </w:r>
      <w:r>
        <w:rPr/>
        <w:t>access</w:t>
      </w:r>
      <w:r>
        <w:rPr>
          <w:spacing w:val="-4"/>
        </w:rPr>
        <w:t> </w:t>
      </w:r>
      <w:r>
        <w:rPr/>
        <w:t>to</w:t>
      </w:r>
      <w:r>
        <w:rPr>
          <w:spacing w:val="-3"/>
        </w:rPr>
        <w:t> </w:t>
      </w:r>
      <w:r>
        <w:rPr/>
        <w:t>funding</w:t>
      </w:r>
      <w:r>
        <w:rPr>
          <w:spacing w:val="-3"/>
        </w:rPr>
        <w:t> </w:t>
      </w:r>
      <w:r>
        <w:rPr/>
        <w:t>through</w:t>
      </w:r>
      <w:r>
        <w:rPr>
          <w:spacing w:val="-3"/>
        </w:rPr>
        <w:t> </w:t>
      </w:r>
      <w:r>
        <w:rPr/>
        <w:t>the</w:t>
      </w:r>
      <w:r>
        <w:rPr>
          <w:spacing w:val="-4"/>
        </w:rPr>
        <w:t> </w:t>
      </w:r>
      <w:r>
        <w:rPr/>
        <w:t>Federal</w:t>
      </w:r>
      <w:r>
        <w:rPr>
          <w:spacing w:val="-4"/>
        </w:rPr>
        <w:t> </w:t>
      </w:r>
      <w:r>
        <w:rPr/>
        <w:t>Reserve</w:t>
      </w:r>
      <w:r>
        <w:rPr>
          <w:spacing w:val="-4"/>
        </w:rPr>
        <w:t> </w:t>
      </w:r>
      <w:r>
        <w:rPr/>
        <w:t>Bank</w:t>
      </w:r>
      <w:r>
        <w:rPr>
          <w:spacing w:val="-3"/>
        </w:rPr>
        <w:t> </w:t>
      </w:r>
      <w:r>
        <w:rPr/>
        <w:t>Term</w:t>
      </w:r>
      <w:r>
        <w:rPr>
          <w:spacing w:val="-4"/>
        </w:rPr>
        <w:t> </w:t>
      </w:r>
      <w:r>
        <w:rPr/>
        <w:t>Funding</w:t>
      </w:r>
      <w:r>
        <w:rPr>
          <w:spacing w:val="-3"/>
        </w:rPr>
        <w:t> </w:t>
      </w:r>
      <w:r>
        <w:rPr/>
        <w:t>Program. Amounts available are dependent upon the par value of certain investment securities that are pledged as collateral. As of September 30, 2023, our collateral pledged provided total borrowing capacity of $40.2 billion. There were no borrowings outstanding at September 30, 2023.</w:t>
      </w:r>
    </w:p>
    <w:p>
      <w:pPr>
        <w:pStyle w:val="BodyText"/>
        <w:spacing w:before="13"/>
      </w:pPr>
    </w:p>
    <w:p>
      <w:pPr>
        <w:pStyle w:val="BodyText"/>
        <w:spacing w:line="249" w:lineRule="auto" w:before="1"/>
        <w:ind w:left="470" w:right="566"/>
      </w:pPr>
      <w:r>
        <w:rPr/>
        <w:t>The</w:t>
      </w:r>
      <w:r>
        <w:rPr>
          <w:spacing w:val="-4"/>
        </w:rPr>
        <w:t> </w:t>
      </w:r>
      <w:r>
        <w:rPr/>
        <w:t>Company</w:t>
      </w:r>
      <w:r>
        <w:rPr>
          <w:spacing w:val="-3"/>
        </w:rPr>
        <w:t> </w:t>
      </w:r>
      <w:r>
        <w:rPr/>
        <w:t>may</w:t>
      </w:r>
      <w:r>
        <w:rPr>
          <w:spacing w:val="-3"/>
        </w:rPr>
        <w:t> </w:t>
      </w:r>
      <w:r>
        <w:rPr/>
        <w:t>engage</w:t>
      </w:r>
      <w:r>
        <w:rPr>
          <w:spacing w:val="-4"/>
        </w:rPr>
        <w:t> </w:t>
      </w:r>
      <w:r>
        <w:rPr/>
        <w:t>with</w:t>
      </w:r>
      <w:r>
        <w:rPr>
          <w:spacing w:val="-3"/>
        </w:rPr>
        <w:t> </w:t>
      </w:r>
      <w:r>
        <w:rPr/>
        <w:t>external</w:t>
      </w:r>
      <w:r>
        <w:rPr>
          <w:spacing w:val="-4"/>
        </w:rPr>
        <w:t> </w:t>
      </w:r>
      <w:r>
        <w:rPr/>
        <w:t>financial</w:t>
      </w:r>
      <w:r>
        <w:rPr>
          <w:spacing w:val="-4"/>
        </w:rPr>
        <w:t> </w:t>
      </w:r>
      <w:r>
        <w:rPr/>
        <w:t>institutions</w:t>
      </w:r>
      <w:r>
        <w:rPr>
          <w:spacing w:val="-4"/>
        </w:rPr>
        <w:t> </w:t>
      </w:r>
      <w:r>
        <w:rPr/>
        <w:t>in</w:t>
      </w:r>
      <w:r>
        <w:rPr>
          <w:spacing w:val="-3"/>
        </w:rPr>
        <w:t> </w:t>
      </w:r>
      <w:r>
        <w:rPr/>
        <w:t>repurchase</w:t>
      </w:r>
      <w:r>
        <w:rPr>
          <w:spacing w:val="-4"/>
        </w:rPr>
        <w:t> </w:t>
      </w:r>
      <w:r>
        <w:rPr/>
        <w:t>agreements</w:t>
      </w:r>
      <w:r>
        <w:rPr>
          <w:spacing w:val="-4"/>
        </w:rPr>
        <w:t> </w:t>
      </w:r>
      <w:r>
        <w:rPr/>
        <w:t>collateralized</w:t>
      </w:r>
      <w:r>
        <w:rPr>
          <w:spacing w:val="-3"/>
        </w:rPr>
        <w:t> </w:t>
      </w:r>
      <w:r>
        <w:rPr/>
        <w:t>by</w:t>
      </w:r>
      <w:r>
        <w:rPr>
          <w:spacing w:val="-3"/>
        </w:rPr>
        <w:t> </w:t>
      </w:r>
      <w:r>
        <w:rPr/>
        <w:t>investment</w:t>
      </w:r>
      <w:r>
        <w:rPr>
          <w:spacing w:val="-4"/>
        </w:rPr>
        <w:t> </w:t>
      </w:r>
      <w:r>
        <w:rPr/>
        <w:t>securities as another source of short-term liquidity. The Company had $6.5 billion and $4.4 billion outstanding pursuant to such repurchase agreements at September 30, 2023 and December 31, 2022, respectively. Repurchase agreements outstanding at September 30, 2023 mature between October 2023 and July 2024.</w:t>
      </w:r>
    </w:p>
    <w:p>
      <w:pPr>
        <w:pStyle w:val="BodyText"/>
        <w:spacing w:before="13"/>
      </w:pPr>
    </w:p>
    <w:p>
      <w:pPr>
        <w:pStyle w:val="BodyText"/>
        <w:spacing w:line="249" w:lineRule="auto"/>
        <w:ind w:left="470" w:right="500"/>
      </w:pPr>
      <w:r>
        <w:rPr/>
        <w:t>TDAC</w:t>
      </w:r>
      <w:r>
        <w:rPr>
          <w:spacing w:val="-4"/>
        </w:rPr>
        <w:t> </w:t>
      </w:r>
      <w:r>
        <w:rPr/>
        <w:t>maintains</w:t>
      </w:r>
      <w:r>
        <w:rPr>
          <w:spacing w:val="-4"/>
        </w:rPr>
        <w:t> </w:t>
      </w:r>
      <w:r>
        <w:rPr/>
        <w:t>secured</w:t>
      </w:r>
      <w:r>
        <w:rPr>
          <w:spacing w:val="-3"/>
        </w:rPr>
        <w:t> </w:t>
      </w:r>
      <w:r>
        <w:rPr/>
        <w:t>uncommitted</w:t>
      </w:r>
      <w:r>
        <w:rPr>
          <w:spacing w:val="-3"/>
        </w:rPr>
        <w:t> </w:t>
      </w:r>
      <w:r>
        <w:rPr/>
        <w:t>lines</w:t>
      </w:r>
      <w:r>
        <w:rPr>
          <w:spacing w:val="-4"/>
        </w:rPr>
        <w:t> </w:t>
      </w:r>
      <w:r>
        <w:rPr/>
        <w:t>of</w:t>
      </w:r>
      <w:r>
        <w:rPr>
          <w:spacing w:val="-3"/>
        </w:rPr>
        <w:t> </w:t>
      </w:r>
      <w:r>
        <w:rPr/>
        <w:t>credit,</w:t>
      </w:r>
      <w:r>
        <w:rPr>
          <w:spacing w:val="-3"/>
        </w:rPr>
        <w:t> </w:t>
      </w:r>
      <w:r>
        <w:rPr/>
        <w:t>under</w:t>
      </w:r>
      <w:r>
        <w:rPr>
          <w:spacing w:val="-3"/>
        </w:rPr>
        <w:t> </w:t>
      </w:r>
      <w:r>
        <w:rPr/>
        <w:t>which</w:t>
      </w:r>
      <w:r>
        <w:rPr>
          <w:spacing w:val="-3"/>
        </w:rPr>
        <w:t> </w:t>
      </w:r>
      <w:r>
        <w:rPr/>
        <w:t>TDAC</w:t>
      </w:r>
      <w:r>
        <w:rPr>
          <w:spacing w:val="-4"/>
        </w:rPr>
        <w:t> </w:t>
      </w:r>
      <w:r>
        <w:rPr/>
        <w:t>borrows</w:t>
      </w:r>
      <w:r>
        <w:rPr>
          <w:spacing w:val="-4"/>
        </w:rPr>
        <w:t> </w:t>
      </w:r>
      <w:r>
        <w:rPr/>
        <w:t>on</w:t>
      </w:r>
      <w:r>
        <w:rPr>
          <w:spacing w:val="-3"/>
        </w:rPr>
        <w:t> </w:t>
      </w:r>
      <w:r>
        <w:rPr/>
        <w:t>either</w:t>
      </w:r>
      <w:r>
        <w:rPr>
          <w:spacing w:val="-3"/>
        </w:rPr>
        <w:t> </w:t>
      </w:r>
      <w:r>
        <w:rPr/>
        <w:t>a</w:t>
      </w:r>
      <w:r>
        <w:rPr>
          <w:spacing w:val="-4"/>
        </w:rPr>
        <w:t> </w:t>
      </w:r>
      <w:r>
        <w:rPr/>
        <w:t>demand</w:t>
      </w:r>
      <w:r>
        <w:rPr>
          <w:spacing w:val="-3"/>
        </w:rPr>
        <w:t> </w:t>
      </w:r>
      <w:r>
        <w:rPr/>
        <w:t>or</w:t>
      </w:r>
      <w:r>
        <w:rPr>
          <w:spacing w:val="-3"/>
        </w:rPr>
        <w:t> </w:t>
      </w:r>
      <w:r>
        <w:rPr/>
        <w:t>short-term</w:t>
      </w:r>
      <w:r>
        <w:rPr>
          <w:spacing w:val="-4"/>
        </w:rPr>
        <w:t> </w:t>
      </w:r>
      <w:r>
        <w:rPr/>
        <w:t>basis</w:t>
      </w:r>
      <w:r>
        <w:rPr>
          <w:spacing w:val="-4"/>
        </w:rPr>
        <w:t> </w:t>
      </w:r>
      <w:r>
        <w:rPr/>
        <w:t>and pledges</w:t>
      </w:r>
      <w:r>
        <w:rPr>
          <w:spacing w:val="-1"/>
        </w:rPr>
        <w:t> </w:t>
      </w:r>
      <w:r>
        <w:rPr/>
        <w:t>client</w:t>
      </w:r>
      <w:r>
        <w:rPr>
          <w:spacing w:val="-1"/>
        </w:rPr>
        <w:t> </w:t>
      </w:r>
      <w:r>
        <w:rPr/>
        <w:t>margin securities</w:t>
      </w:r>
      <w:r>
        <w:rPr>
          <w:spacing w:val="-1"/>
        </w:rPr>
        <w:t> </w:t>
      </w:r>
      <w:r>
        <w:rPr/>
        <w:t>as</w:t>
      </w:r>
      <w:r>
        <w:rPr>
          <w:spacing w:val="-1"/>
        </w:rPr>
        <w:t> </w:t>
      </w:r>
      <w:r>
        <w:rPr/>
        <w:t>collateral. There</w:t>
      </w:r>
      <w:r>
        <w:rPr>
          <w:spacing w:val="-1"/>
        </w:rPr>
        <w:t> </w:t>
      </w:r>
      <w:r>
        <w:rPr/>
        <w:t>was</w:t>
      </w:r>
      <w:r>
        <w:rPr>
          <w:spacing w:val="-1"/>
        </w:rPr>
        <w:t> </w:t>
      </w:r>
      <w:r>
        <w:rPr/>
        <w:t>no balance</w:t>
      </w:r>
      <w:r>
        <w:rPr>
          <w:spacing w:val="-1"/>
        </w:rPr>
        <w:t> </w:t>
      </w:r>
      <w:r>
        <w:rPr/>
        <w:t>outstanding at</w:t>
      </w:r>
      <w:r>
        <w:rPr>
          <w:spacing w:val="-1"/>
        </w:rPr>
        <w:t> </w:t>
      </w:r>
      <w:r>
        <w:rPr/>
        <w:t>September 30, 2023 or December 31, 2022.</w:t>
      </w:r>
    </w:p>
    <w:p>
      <w:pPr>
        <w:pStyle w:val="BodyText"/>
        <w:spacing w:before="11"/>
      </w:pPr>
    </w:p>
    <w:p>
      <w:pPr>
        <w:pStyle w:val="BodyText"/>
        <w:spacing w:before="1" w:after="58"/>
        <w:ind w:left="470"/>
      </w:pPr>
      <w:r>
        <w:rPr/>
        <w:t>Annual</w:t>
      </w:r>
      <w:r>
        <w:rPr>
          <w:spacing w:val="-6"/>
        </w:rPr>
        <w:t> </w:t>
      </w:r>
      <w:r>
        <w:rPr/>
        <w:t>maturities</w:t>
      </w:r>
      <w:r>
        <w:rPr>
          <w:spacing w:val="-3"/>
        </w:rPr>
        <w:t> </w:t>
      </w:r>
      <w:r>
        <w:rPr/>
        <w:t>on</w:t>
      </w:r>
      <w:r>
        <w:rPr>
          <w:spacing w:val="-2"/>
        </w:rPr>
        <w:t> </w:t>
      </w:r>
      <w:r>
        <w:rPr/>
        <w:t>FHLB</w:t>
      </w:r>
      <w:r>
        <w:rPr>
          <w:spacing w:val="-4"/>
        </w:rPr>
        <w:t> </w:t>
      </w:r>
      <w:r>
        <w:rPr/>
        <w:t>borrowings</w:t>
      </w:r>
      <w:r>
        <w:rPr>
          <w:spacing w:val="-3"/>
        </w:rPr>
        <w:t> </w:t>
      </w:r>
      <w:r>
        <w:rPr/>
        <w:t>and</w:t>
      </w:r>
      <w:r>
        <w:rPr>
          <w:spacing w:val="-2"/>
        </w:rPr>
        <w:t> </w:t>
      </w:r>
      <w:r>
        <w:rPr/>
        <w:t>other</w:t>
      </w:r>
      <w:r>
        <w:rPr>
          <w:spacing w:val="-3"/>
        </w:rPr>
        <w:t> </w:t>
      </w:r>
      <w:r>
        <w:rPr/>
        <w:t>short-term</w:t>
      </w:r>
      <w:r>
        <w:rPr>
          <w:spacing w:val="-3"/>
        </w:rPr>
        <w:t> </w:t>
      </w:r>
      <w:r>
        <w:rPr/>
        <w:t>borrowings</w:t>
      </w:r>
      <w:r>
        <w:rPr>
          <w:spacing w:val="-3"/>
        </w:rPr>
        <w:t> </w:t>
      </w:r>
      <w:r>
        <w:rPr/>
        <w:t>outstanding</w:t>
      </w:r>
      <w:r>
        <w:rPr>
          <w:spacing w:val="-3"/>
        </w:rPr>
        <w:t> </w:t>
      </w:r>
      <w:r>
        <w:rPr/>
        <w:t>at</w:t>
      </w:r>
      <w:r>
        <w:rPr>
          <w:spacing w:val="-3"/>
        </w:rPr>
        <w:t> </w:t>
      </w:r>
      <w:r>
        <w:rPr/>
        <w:t>September</w:t>
      </w:r>
      <w:r>
        <w:rPr>
          <w:spacing w:val="-2"/>
        </w:rPr>
        <w:t> </w:t>
      </w:r>
      <w:r>
        <w:rPr/>
        <w:t>30,</w:t>
      </w:r>
      <w:r>
        <w:rPr>
          <w:spacing w:val="-3"/>
        </w:rPr>
        <w:t> </w:t>
      </w:r>
      <w:r>
        <w:rPr/>
        <w:t>2023</w:t>
      </w:r>
      <w:r>
        <w:rPr>
          <w:spacing w:val="-2"/>
        </w:rPr>
        <w:t> </w:t>
      </w:r>
      <w:r>
        <w:rPr/>
        <w:t>are</w:t>
      </w:r>
      <w:r>
        <w:rPr>
          <w:spacing w:val="-3"/>
        </w:rPr>
        <w:t> </w:t>
      </w:r>
      <w:r>
        <w:rPr/>
        <w:t>as</w:t>
      </w:r>
      <w:r>
        <w:rPr>
          <w:spacing w:val="-3"/>
        </w:rPr>
        <w:t> </w:t>
      </w:r>
      <w:r>
        <w:rPr>
          <w:spacing w:val="-2"/>
        </w:rPr>
        <w:t>follows:</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25"/>
        <w:gridCol w:w="3304"/>
        <w:gridCol w:w="1425"/>
        <w:gridCol w:w="1406"/>
      </w:tblGrid>
      <w:tr>
        <w:trPr>
          <w:trHeight w:val="245" w:hRule="atLeast"/>
        </w:trPr>
        <w:tc>
          <w:tcPr>
            <w:tcW w:w="4125" w:type="dxa"/>
            <w:tcBorders>
              <w:top w:val="single" w:sz="4" w:space="0" w:color="000000"/>
              <w:bottom w:val="single" w:sz="4" w:space="0" w:color="000000"/>
            </w:tcBorders>
          </w:tcPr>
          <w:p>
            <w:pPr>
              <w:pStyle w:val="TableParagraph"/>
              <w:rPr>
                <w:sz w:val="16"/>
              </w:rPr>
            </w:pPr>
          </w:p>
        </w:tc>
        <w:tc>
          <w:tcPr>
            <w:tcW w:w="3304" w:type="dxa"/>
            <w:tcBorders>
              <w:top w:val="single" w:sz="4" w:space="0" w:color="000000"/>
              <w:bottom w:val="single" w:sz="4" w:space="0" w:color="000000"/>
            </w:tcBorders>
          </w:tcPr>
          <w:p>
            <w:pPr>
              <w:pStyle w:val="TableParagraph"/>
              <w:spacing w:before="13"/>
              <w:ind w:right="489"/>
              <w:jc w:val="right"/>
              <w:rPr>
                <w:sz w:val="18"/>
              </w:rPr>
            </w:pPr>
            <w:r>
              <w:rPr>
                <w:spacing w:val="-4"/>
                <w:sz w:val="18"/>
              </w:rPr>
              <w:t>2023</w:t>
            </w:r>
          </w:p>
        </w:tc>
        <w:tc>
          <w:tcPr>
            <w:tcW w:w="1425" w:type="dxa"/>
            <w:tcBorders>
              <w:top w:val="single" w:sz="4" w:space="0" w:color="000000"/>
              <w:bottom w:val="single" w:sz="4" w:space="0" w:color="000000"/>
            </w:tcBorders>
          </w:tcPr>
          <w:p>
            <w:pPr>
              <w:pStyle w:val="TableParagraph"/>
              <w:spacing w:before="13"/>
              <w:ind w:left="21"/>
              <w:jc w:val="center"/>
              <w:rPr>
                <w:sz w:val="18"/>
              </w:rPr>
            </w:pPr>
            <w:r>
              <w:rPr>
                <w:spacing w:val="-4"/>
                <w:sz w:val="18"/>
              </w:rPr>
              <w:t>2024</w:t>
            </w:r>
          </w:p>
        </w:tc>
        <w:tc>
          <w:tcPr>
            <w:tcW w:w="1406" w:type="dxa"/>
            <w:tcBorders>
              <w:top w:val="single" w:sz="4" w:space="0" w:color="000000"/>
              <w:bottom w:val="single" w:sz="4" w:space="0" w:color="000000"/>
            </w:tcBorders>
          </w:tcPr>
          <w:p>
            <w:pPr>
              <w:pStyle w:val="TableParagraph"/>
              <w:spacing w:before="13"/>
              <w:ind w:left="11"/>
              <w:jc w:val="center"/>
              <w:rPr>
                <w:sz w:val="18"/>
              </w:rPr>
            </w:pPr>
            <w:r>
              <w:rPr>
                <w:spacing w:val="-2"/>
                <w:sz w:val="18"/>
              </w:rPr>
              <w:t>Total</w:t>
            </w:r>
          </w:p>
        </w:tc>
      </w:tr>
      <w:tr>
        <w:trPr>
          <w:trHeight w:val="250" w:hRule="atLeast"/>
        </w:trPr>
        <w:tc>
          <w:tcPr>
            <w:tcW w:w="4125" w:type="dxa"/>
            <w:tcBorders>
              <w:top w:val="single" w:sz="4" w:space="0" w:color="000000"/>
            </w:tcBorders>
            <w:shd w:val="clear" w:color="auto" w:fill="CCEDFF"/>
          </w:tcPr>
          <w:p>
            <w:pPr>
              <w:pStyle w:val="TableParagraph"/>
              <w:spacing w:before="13"/>
              <w:ind w:left="52"/>
              <w:rPr>
                <w:sz w:val="18"/>
              </w:rPr>
            </w:pPr>
            <w:r>
              <w:rPr>
                <w:sz w:val="18"/>
              </w:rPr>
              <w:t>FHLB</w:t>
            </w:r>
            <w:r>
              <w:rPr>
                <w:spacing w:val="-2"/>
                <w:sz w:val="18"/>
              </w:rPr>
              <w:t> borrowings</w:t>
            </w:r>
          </w:p>
        </w:tc>
        <w:tc>
          <w:tcPr>
            <w:tcW w:w="3304" w:type="dxa"/>
            <w:tcBorders>
              <w:top w:val="single" w:sz="4" w:space="0" w:color="000000"/>
            </w:tcBorders>
            <w:shd w:val="clear" w:color="auto" w:fill="CCEDFF"/>
          </w:tcPr>
          <w:p>
            <w:pPr>
              <w:pStyle w:val="TableParagraph"/>
              <w:tabs>
                <w:tab w:pos="742" w:val="left" w:leader="none"/>
              </w:tabs>
              <w:spacing w:before="13"/>
              <w:ind w:right="61"/>
              <w:jc w:val="right"/>
              <w:rPr>
                <w:sz w:val="18"/>
              </w:rPr>
            </w:pPr>
            <w:r>
              <w:rPr>
                <w:spacing w:val="-10"/>
                <w:sz w:val="18"/>
              </w:rPr>
              <w:t>$</w:t>
            </w:r>
            <w:r>
              <w:rPr>
                <w:sz w:val="18"/>
              </w:rPr>
              <w:tab/>
            </w:r>
            <w:r>
              <w:rPr>
                <w:spacing w:val="-2"/>
                <w:sz w:val="18"/>
              </w:rPr>
              <w:t>12,400</w:t>
            </w:r>
          </w:p>
        </w:tc>
        <w:tc>
          <w:tcPr>
            <w:tcW w:w="1425" w:type="dxa"/>
            <w:tcBorders>
              <w:top w:val="single" w:sz="4" w:space="0" w:color="000000"/>
            </w:tcBorders>
            <w:shd w:val="clear" w:color="auto" w:fill="CCEDFF"/>
          </w:tcPr>
          <w:p>
            <w:pPr>
              <w:pStyle w:val="TableParagraph"/>
              <w:tabs>
                <w:tab w:pos="802" w:val="left" w:leader="none"/>
              </w:tabs>
              <w:spacing w:before="13"/>
              <w:ind w:right="61"/>
              <w:jc w:val="right"/>
              <w:rPr>
                <w:sz w:val="18"/>
              </w:rPr>
            </w:pPr>
            <w:r>
              <w:rPr>
                <w:spacing w:val="-10"/>
                <w:sz w:val="18"/>
              </w:rPr>
              <w:t>$</w:t>
            </w:r>
            <w:r>
              <w:rPr>
                <w:sz w:val="18"/>
              </w:rPr>
              <w:tab/>
            </w:r>
            <w:r>
              <w:rPr>
                <w:spacing w:val="-2"/>
                <w:sz w:val="18"/>
              </w:rPr>
              <w:t>19,400</w:t>
            </w:r>
          </w:p>
        </w:tc>
        <w:tc>
          <w:tcPr>
            <w:tcW w:w="1406" w:type="dxa"/>
            <w:tcBorders>
              <w:top w:val="single" w:sz="4" w:space="0" w:color="000000"/>
            </w:tcBorders>
            <w:shd w:val="clear" w:color="auto" w:fill="CCEDFF"/>
          </w:tcPr>
          <w:p>
            <w:pPr>
              <w:pStyle w:val="TableParagraph"/>
              <w:tabs>
                <w:tab w:pos="772" w:val="left" w:leader="none"/>
              </w:tabs>
              <w:spacing w:before="13"/>
              <w:ind w:right="72"/>
              <w:jc w:val="right"/>
              <w:rPr>
                <w:sz w:val="18"/>
              </w:rPr>
            </w:pPr>
            <w:r>
              <w:rPr>
                <w:spacing w:val="-10"/>
                <w:sz w:val="18"/>
              </w:rPr>
              <w:t>$</w:t>
            </w:r>
            <w:r>
              <w:rPr>
                <w:sz w:val="18"/>
              </w:rPr>
              <w:tab/>
            </w:r>
            <w:r>
              <w:rPr>
                <w:spacing w:val="-2"/>
                <w:sz w:val="18"/>
              </w:rPr>
              <w:t>31,800</w:t>
            </w:r>
          </w:p>
        </w:tc>
      </w:tr>
      <w:tr>
        <w:trPr>
          <w:trHeight w:val="250" w:hRule="atLeast"/>
        </w:trPr>
        <w:tc>
          <w:tcPr>
            <w:tcW w:w="4125" w:type="dxa"/>
            <w:tcBorders>
              <w:bottom w:val="single" w:sz="4" w:space="0" w:color="000000"/>
            </w:tcBorders>
          </w:tcPr>
          <w:p>
            <w:pPr>
              <w:pStyle w:val="TableParagraph"/>
              <w:spacing w:before="18"/>
              <w:ind w:left="52"/>
              <w:rPr>
                <w:sz w:val="18"/>
              </w:rPr>
            </w:pPr>
            <w:r>
              <w:rPr>
                <w:sz w:val="18"/>
              </w:rPr>
              <w:t>Other</w:t>
            </w:r>
            <w:r>
              <w:rPr>
                <w:spacing w:val="-1"/>
                <w:sz w:val="18"/>
              </w:rPr>
              <w:t> </w:t>
            </w:r>
            <w:r>
              <w:rPr>
                <w:sz w:val="18"/>
              </w:rPr>
              <w:t>short-term</w:t>
            </w:r>
            <w:r>
              <w:rPr>
                <w:spacing w:val="-1"/>
                <w:sz w:val="18"/>
              </w:rPr>
              <w:t> </w:t>
            </w:r>
            <w:r>
              <w:rPr>
                <w:spacing w:val="-2"/>
                <w:sz w:val="18"/>
              </w:rPr>
              <w:t>borrowings</w:t>
            </w:r>
          </w:p>
        </w:tc>
        <w:tc>
          <w:tcPr>
            <w:tcW w:w="3304" w:type="dxa"/>
            <w:tcBorders>
              <w:bottom w:val="single" w:sz="4" w:space="0" w:color="000000"/>
            </w:tcBorders>
          </w:tcPr>
          <w:p>
            <w:pPr>
              <w:pStyle w:val="TableParagraph"/>
              <w:spacing w:before="18"/>
              <w:ind w:right="61"/>
              <w:jc w:val="right"/>
              <w:rPr>
                <w:sz w:val="18"/>
              </w:rPr>
            </w:pPr>
            <w:r>
              <w:rPr>
                <w:spacing w:val="-2"/>
                <w:sz w:val="18"/>
              </w:rPr>
              <w:t>3,148</w:t>
            </w:r>
          </w:p>
        </w:tc>
        <w:tc>
          <w:tcPr>
            <w:tcW w:w="1425" w:type="dxa"/>
            <w:tcBorders>
              <w:bottom w:val="single" w:sz="4" w:space="0" w:color="000000"/>
            </w:tcBorders>
          </w:tcPr>
          <w:p>
            <w:pPr>
              <w:pStyle w:val="TableParagraph"/>
              <w:spacing w:before="18"/>
              <w:ind w:right="61"/>
              <w:jc w:val="right"/>
              <w:rPr>
                <w:sz w:val="18"/>
              </w:rPr>
            </w:pPr>
            <w:r>
              <w:rPr>
                <w:spacing w:val="-2"/>
                <w:sz w:val="18"/>
              </w:rPr>
              <w:t>4,402</w:t>
            </w:r>
          </w:p>
        </w:tc>
        <w:tc>
          <w:tcPr>
            <w:tcW w:w="1406" w:type="dxa"/>
            <w:tcBorders>
              <w:bottom w:val="single" w:sz="4" w:space="0" w:color="000000"/>
            </w:tcBorders>
          </w:tcPr>
          <w:p>
            <w:pPr>
              <w:pStyle w:val="TableParagraph"/>
              <w:spacing w:before="18"/>
              <w:ind w:right="72"/>
              <w:jc w:val="right"/>
              <w:rPr>
                <w:sz w:val="18"/>
              </w:rPr>
            </w:pPr>
            <w:r>
              <w:rPr>
                <w:spacing w:val="-2"/>
                <w:sz w:val="18"/>
              </w:rPr>
              <w:t>7,550</w:t>
            </w:r>
          </w:p>
        </w:tc>
      </w:tr>
      <w:tr>
        <w:trPr>
          <w:trHeight w:val="260" w:hRule="atLeast"/>
        </w:trPr>
        <w:tc>
          <w:tcPr>
            <w:tcW w:w="4125" w:type="dxa"/>
            <w:tcBorders>
              <w:top w:val="single" w:sz="4" w:space="0" w:color="000000"/>
              <w:bottom w:val="single" w:sz="8" w:space="0" w:color="000000"/>
            </w:tcBorders>
            <w:shd w:val="clear" w:color="auto" w:fill="CCEDFF"/>
          </w:tcPr>
          <w:p>
            <w:pPr>
              <w:pStyle w:val="TableParagraph"/>
              <w:spacing w:before="13"/>
              <w:ind w:left="172"/>
              <w:rPr>
                <w:sz w:val="18"/>
              </w:rPr>
            </w:pPr>
            <w:r>
              <w:rPr/>
              <mc:AlternateContent>
                <mc:Choice Requires="wps">
                  <w:drawing>
                    <wp:anchor distT="0" distB="0" distL="0" distR="0" allowOverlap="1" layoutInCell="1" locked="0" behindDoc="1" simplePos="0" relativeHeight="475927552">
                      <wp:simplePos x="0" y="0"/>
                      <wp:positionH relativeFrom="column">
                        <wp:posOffset>0</wp:posOffset>
                      </wp:positionH>
                      <wp:positionV relativeFrom="paragraph">
                        <wp:posOffset>139602</wp:posOffset>
                      </wp:positionV>
                      <wp:extent cx="6515100" cy="12700"/>
                      <wp:effectExtent l="0" t="0" r="0" b="0"/>
                      <wp:wrapNone/>
                      <wp:docPr id="390" name="Group 390"/>
                      <wp:cNvGraphicFramePr>
                        <a:graphicFrameLocks/>
                      </wp:cNvGraphicFramePr>
                      <a:graphic>
                        <a:graphicData uri="http://schemas.microsoft.com/office/word/2010/wordprocessingGroup">
                          <wpg:wgp>
                            <wpg:cNvPr id="390" name="Group 390"/>
                            <wpg:cNvGrpSpPr/>
                            <wpg:grpSpPr>
                              <a:xfrm>
                                <a:off x="0" y="0"/>
                                <a:ext cx="6515100" cy="12700"/>
                                <a:chExt cx="6515100" cy="12700"/>
                              </a:xfrm>
                            </wpg:grpSpPr>
                            <wps:wsp>
                              <wps:cNvPr id="391" name="Graphic 391"/>
                              <wps:cNvSpPr/>
                              <wps:spPr>
                                <a:xfrm>
                                  <a:off x="0" y="0"/>
                                  <a:ext cx="6515100" cy="12700"/>
                                </a:xfrm>
                                <a:custGeom>
                                  <a:avLst/>
                                  <a:gdLst/>
                                  <a:ahLst/>
                                  <a:cxnLst/>
                                  <a:rect l="l" t="t" r="r" b="b"/>
                                  <a:pathLst>
                                    <a:path w="6515100" h="12700">
                                      <a:moveTo>
                                        <a:pt x="0" y="12700"/>
                                      </a:moveTo>
                                      <a:lnTo>
                                        <a:pt x="6515100" y="12700"/>
                                      </a:lnTo>
                                      <a:lnTo>
                                        <a:pt x="6515100" y="0"/>
                                      </a:lnTo>
                                      <a:lnTo>
                                        <a:pt x="0" y="0"/>
                                      </a:lnTo>
                                      <a:lnTo>
                                        <a:pt x="0" y="127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992342pt;width:513pt;height:1pt;mso-position-horizontal-relative:column;mso-position-vertical-relative:paragraph;z-index:-27388928" id="docshapegroup270" coordorigin="0,220" coordsize="10260,20">
                      <v:rect style="position:absolute;left:0;top:219;width:10260;height:20" id="docshape271" filled="true" fillcolor="#000000" stroked="false">
                        <v:fill opacity="0f" type="solid"/>
                      </v:rect>
                      <w10:wrap type="none"/>
                    </v:group>
                  </w:pict>
                </mc:Fallback>
              </mc:AlternateContent>
            </w:r>
            <w:r>
              <w:rPr>
                <w:spacing w:val="-2"/>
                <w:sz w:val="18"/>
              </w:rPr>
              <w:t>Total</w:t>
            </w:r>
          </w:p>
        </w:tc>
        <w:tc>
          <w:tcPr>
            <w:tcW w:w="3304" w:type="dxa"/>
            <w:tcBorders>
              <w:top w:val="single" w:sz="4" w:space="0" w:color="000000"/>
              <w:bottom w:val="single" w:sz="8" w:space="0" w:color="000000"/>
            </w:tcBorders>
            <w:shd w:val="clear" w:color="auto" w:fill="CCEDFF"/>
          </w:tcPr>
          <w:p>
            <w:pPr>
              <w:pStyle w:val="TableParagraph"/>
              <w:tabs>
                <w:tab w:pos="742" w:val="left" w:leader="none"/>
              </w:tabs>
              <w:spacing w:before="13"/>
              <w:ind w:right="61"/>
              <w:jc w:val="right"/>
              <w:rPr>
                <w:sz w:val="18"/>
              </w:rPr>
            </w:pPr>
            <w:r>
              <w:rPr>
                <w:spacing w:val="-10"/>
                <w:sz w:val="18"/>
              </w:rPr>
              <w:t>$</w:t>
            </w:r>
            <w:r>
              <w:rPr>
                <w:sz w:val="18"/>
              </w:rPr>
              <w:tab/>
            </w:r>
            <w:r>
              <w:rPr>
                <w:spacing w:val="-2"/>
                <w:sz w:val="18"/>
              </w:rPr>
              <w:t>15,548</w:t>
            </w:r>
          </w:p>
        </w:tc>
        <w:tc>
          <w:tcPr>
            <w:tcW w:w="1425" w:type="dxa"/>
            <w:tcBorders>
              <w:top w:val="single" w:sz="4" w:space="0" w:color="000000"/>
              <w:bottom w:val="single" w:sz="8" w:space="0" w:color="000000"/>
            </w:tcBorders>
            <w:shd w:val="clear" w:color="auto" w:fill="CCEDFF"/>
          </w:tcPr>
          <w:p>
            <w:pPr>
              <w:pStyle w:val="TableParagraph"/>
              <w:tabs>
                <w:tab w:pos="802" w:val="left" w:leader="none"/>
              </w:tabs>
              <w:spacing w:before="13"/>
              <w:ind w:right="61"/>
              <w:jc w:val="right"/>
              <w:rPr>
                <w:sz w:val="18"/>
              </w:rPr>
            </w:pPr>
            <w:r>
              <w:rPr>
                <w:spacing w:val="-10"/>
                <w:sz w:val="18"/>
              </w:rPr>
              <w:t>$</w:t>
            </w:r>
            <w:r>
              <w:rPr>
                <w:sz w:val="18"/>
              </w:rPr>
              <w:tab/>
            </w:r>
            <w:r>
              <w:rPr>
                <w:spacing w:val="-2"/>
                <w:sz w:val="18"/>
              </w:rPr>
              <w:t>23,802</w:t>
            </w:r>
          </w:p>
        </w:tc>
        <w:tc>
          <w:tcPr>
            <w:tcW w:w="1406" w:type="dxa"/>
            <w:tcBorders>
              <w:top w:val="single" w:sz="4" w:space="0" w:color="000000"/>
              <w:bottom w:val="single" w:sz="8" w:space="0" w:color="000000"/>
            </w:tcBorders>
            <w:shd w:val="clear" w:color="auto" w:fill="CCEDFF"/>
          </w:tcPr>
          <w:p>
            <w:pPr>
              <w:pStyle w:val="TableParagraph"/>
              <w:tabs>
                <w:tab w:pos="772" w:val="left" w:leader="none"/>
              </w:tabs>
              <w:spacing w:before="13"/>
              <w:ind w:right="72"/>
              <w:jc w:val="right"/>
              <w:rPr>
                <w:sz w:val="18"/>
              </w:rPr>
            </w:pPr>
            <w:r>
              <w:rPr>
                <w:spacing w:val="-10"/>
                <w:sz w:val="18"/>
              </w:rPr>
              <w:t>$</w:t>
            </w:r>
            <w:r>
              <w:rPr>
                <w:sz w:val="18"/>
              </w:rPr>
              <w:tab/>
            </w:r>
            <w:r>
              <w:rPr>
                <w:spacing w:val="-2"/>
                <w:sz w:val="18"/>
              </w:rPr>
              <w:t>39,350</w:t>
            </w:r>
          </w:p>
        </w:tc>
      </w:tr>
    </w:tbl>
    <w:p>
      <w:pPr>
        <w:spacing w:after="0"/>
        <w:jc w:val="right"/>
        <w:rPr>
          <w:sz w:val="18"/>
        </w:rPr>
        <w:sectPr>
          <w:pgSz w:w="12240" w:h="15840"/>
          <w:pgMar w:header="227" w:footer="201" w:top="1080" w:bottom="400" w:left="520" w:right="520"/>
        </w:sectPr>
      </w:pPr>
    </w:p>
    <w:p>
      <w:pPr>
        <w:pStyle w:val="Heading2"/>
        <w:numPr>
          <w:ilvl w:val="0"/>
          <w:numId w:val="4"/>
        </w:numPr>
        <w:tabs>
          <w:tab w:pos="1189" w:val="left" w:leader="none"/>
        </w:tabs>
        <w:spacing w:line="240" w:lineRule="auto" w:before="211" w:after="0"/>
        <w:ind w:left="1189" w:right="0" w:hanging="719"/>
        <w:jc w:val="left"/>
      </w:pPr>
      <w:bookmarkStart w:name="Note 9 Commitments and Contingencies" w:id="48"/>
      <w:bookmarkEnd w:id="48"/>
      <w:r>
        <w:rPr>
          <w:b w:val="0"/>
        </w:rPr>
      </w:r>
      <w:r>
        <w:rPr/>
        <w:t>Commitments</w:t>
      </w:r>
      <w:r>
        <w:rPr>
          <w:spacing w:val="-4"/>
        </w:rPr>
        <w:t> </w:t>
      </w:r>
      <w:r>
        <w:rPr/>
        <w:t>and</w:t>
      </w:r>
      <w:r>
        <w:rPr>
          <w:spacing w:val="-3"/>
        </w:rPr>
        <w:t> </w:t>
      </w:r>
      <w:r>
        <w:rPr>
          <w:spacing w:val="-2"/>
        </w:rPr>
        <w:t>Contingencies</w:t>
      </w:r>
    </w:p>
    <w:p>
      <w:pPr>
        <w:pStyle w:val="BodyText"/>
        <w:spacing w:before="23"/>
        <w:rPr>
          <w:b/>
        </w:rPr>
      </w:pPr>
    </w:p>
    <w:p>
      <w:pPr>
        <w:pStyle w:val="BodyText"/>
        <w:spacing w:line="249" w:lineRule="auto"/>
        <w:ind w:left="470" w:right="500"/>
      </w:pPr>
      <w:r>
        <w:rPr>
          <w:i/>
        </w:rPr>
        <w:t>Loan Portfolio: </w:t>
      </w:r>
      <w:r>
        <w:rPr/>
        <w:t>CSB provides a co-branded loan origination program for CSB clients (the Program) with Rocket Mortgage, LLC</w:t>
      </w:r>
      <w:r>
        <w:rPr>
          <w:spacing w:val="-4"/>
        </w:rPr>
        <w:t> </w:t>
      </w:r>
      <w:r>
        <w:rPr/>
        <w:t>(Rocket</w:t>
      </w:r>
      <w:r>
        <w:rPr>
          <w:spacing w:val="-4"/>
        </w:rPr>
        <w:t> </w:t>
      </w:r>
      <w:r>
        <w:rPr/>
        <w:t>Mortgage</w:t>
      </w:r>
      <w:r>
        <w:rPr>
          <w:vertAlign w:val="superscript"/>
        </w:rPr>
        <w:t>®</w:t>
      </w:r>
      <w:r>
        <w:rPr>
          <w:vertAlign w:val="baseline"/>
        </w:rPr>
        <w:t>).</w:t>
      </w:r>
      <w:r>
        <w:rPr>
          <w:spacing w:val="-3"/>
          <w:vertAlign w:val="baseline"/>
        </w:rPr>
        <w:t> </w:t>
      </w:r>
      <w:r>
        <w:rPr>
          <w:vertAlign w:val="baseline"/>
        </w:rPr>
        <w:t>Pursuant</w:t>
      </w:r>
      <w:r>
        <w:rPr>
          <w:spacing w:val="-4"/>
          <w:vertAlign w:val="baseline"/>
        </w:rPr>
        <w:t> </w:t>
      </w:r>
      <w:r>
        <w:rPr>
          <w:vertAlign w:val="baseline"/>
        </w:rPr>
        <w:t>to</w:t>
      </w:r>
      <w:r>
        <w:rPr>
          <w:spacing w:val="-3"/>
          <w:vertAlign w:val="baseline"/>
        </w:rPr>
        <w:t> </w:t>
      </w:r>
      <w:r>
        <w:rPr>
          <w:vertAlign w:val="baseline"/>
        </w:rPr>
        <w:t>the</w:t>
      </w:r>
      <w:r>
        <w:rPr>
          <w:spacing w:val="-4"/>
          <w:vertAlign w:val="baseline"/>
        </w:rPr>
        <w:t> </w:t>
      </w:r>
      <w:r>
        <w:rPr>
          <w:vertAlign w:val="baseline"/>
        </w:rPr>
        <w:t>Program,</w:t>
      </w:r>
      <w:r>
        <w:rPr>
          <w:spacing w:val="-3"/>
          <w:vertAlign w:val="baseline"/>
        </w:rPr>
        <w:t> </w:t>
      </w:r>
      <w:r>
        <w:rPr>
          <w:vertAlign w:val="baseline"/>
        </w:rPr>
        <w:t>Rocket</w:t>
      </w:r>
      <w:r>
        <w:rPr>
          <w:spacing w:val="-4"/>
          <w:vertAlign w:val="baseline"/>
        </w:rPr>
        <w:t> </w:t>
      </w:r>
      <w:r>
        <w:rPr>
          <w:vertAlign w:val="baseline"/>
        </w:rPr>
        <w:t>Mortgage</w:t>
      </w:r>
      <w:r>
        <w:rPr>
          <w:spacing w:val="-4"/>
          <w:vertAlign w:val="baseline"/>
        </w:rPr>
        <w:t> </w:t>
      </w:r>
      <w:r>
        <w:rPr>
          <w:vertAlign w:val="baseline"/>
        </w:rPr>
        <w:t>originates</w:t>
      </w:r>
      <w:r>
        <w:rPr>
          <w:spacing w:val="-4"/>
          <w:vertAlign w:val="baseline"/>
        </w:rPr>
        <w:t> </w:t>
      </w:r>
      <w:r>
        <w:rPr>
          <w:vertAlign w:val="baseline"/>
        </w:rPr>
        <w:t>and</w:t>
      </w:r>
      <w:r>
        <w:rPr>
          <w:spacing w:val="-3"/>
          <w:vertAlign w:val="baseline"/>
        </w:rPr>
        <w:t> </w:t>
      </w:r>
      <w:r>
        <w:rPr>
          <w:vertAlign w:val="baseline"/>
        </w:rPr>
        <w:t>services</w:t>
      </w:r>
      <w:r>
        <w:rPr>
          <w:spacing w:val="-4"/>
          <w:vertAlign w:val="baseline"/>
        </w:rPr>
        <w:t> </w:t>
      </w:r>
      <w:r>
        <w:rPr>
          <w:vertAlign w:val="baseline"/>
        </w:rPr>
        <w:t>First</w:t>
      </w:r>
      <w:r>
        <w:rPr>
          <w:spacing w:val="-4"/>
          <w:vertAlign w:val="baseline"/>
        </w:rPr>
        <w:t> </w:t>
      </w:r>
      <w:r>
        <w:rPr>
          <w:vertAlign w:val="baseline"/>
        </w:rPr>
        <w:t>Mortgages</w:t>
      </w:r>
      <w:r>
        <w:rPr>
          <w:spacing w:val="-4"/>
          <w:vertAlign w:val="baseline"/>
        </w:rPr>
        <w:t> </w:t>
      </w:r>
      <w:r>
        <w:rPr>
          <w:vertAlign w:val="baseline"/>
        </w:rPr>
        <w:t>and</w:t>
      </w:r>
      <w:r>
        <w:rPr>
          <w:spacing w:val="-3"/>
          <w:vertAlign w:val="baseline"/>
        </w:rPr>
        <w:t> </w:t>
      </w:r>
      <w:r>
        <w:rPr>
          <w:vertAlign w:val="baseline"/>
        </w:rPr>
        <w:t>HELOCs</w:t>
      </w:r>
      <w:r>
        <w:rPr>
          <w:spacing w:val="-4"/>
          <w:vertAlign w:val="baseline"/>
        </w:rPr>
        <w:t> </w:t>
      </w:r>
      <w:r>
        <w:rPr>
          <w:vertAlign w:val="baseline"/>
        </w:rPr>
        <w:t>for CSB</w:t>
      </w:r>
      <w:r>
        <w:rPr>
          <w:spacing w:val="-4"/>
          <w:vertAlign w:val="baseline"/>
        </w:rPr>
        <w:t> </w:t>
      </w:r>
      <w:r>
        <w:rPr>
          <w:vertAlign w:val="baseline"/>
        </w:rPr>
        <w:t>clients.</w:t>
      </w:r>
      <w:r>
        <w:rPr>
          <w:spacing w:val="-3"/>
          <w:vertAlign w:val="baseline"/>
        </w:rPr>
        <w:t> </w:t>
      </w:r>
      <w:r>
        <w:rPr>
          <w:vertAlign w:val="baseline"/>
        </w:rPr>
        <w:t>Under</w:t>
      </w:r>
      <w:r>
        <w:rPr>
          <w:spacing w:val="-3"/>
          <w:vertAlign w:val="baseline"/>
        </w:rPr>
        <w:t> </w:t>
      </w:r>
      <w:r>
        <w:rPr>
          <w:vertAlign w:val="baseline"/>
        </w:rPr>
        <w:t>the</w:t>
      </w:r>
      <w:r>
        <w:rPr>
          <w:spacing w:val="-4"/>
          <w:vertAlign w:val="baseline"/>
        </w:rPr>
        <w:t> </w:t>
      </w:r>
      <w:r>
        <w:rPr>
          <w:vertAlign w:val="baseline"/>
        </w:rPr>
        <w:t>Program,</w:t>
      </w:r>
      <w:r>
        <w:rPr>
          <w:spacing w:val="-3"/>
          <w:vertAlign w:val="baseline"/>
        </w:rPr>
        <w:t> </w:t>
      </w:r>
      <w:r>
        <w:rPr>
          <w:vertAlign w:val="baseline"/>
        </w:rPr>
        <w:t>CSB</w:t>
      </w:r>
      <w:r>
        <w:rPr>
          <w:spacing w:val="-4"/>
          <w:vertAlign w:val="baseline"/>
        </w:rPr>
        <w:t> </w:t>
      </w:r>
      <w:r>
        <w:rPr>
          <w:vertAlign w:val="baseline"/>
        </w:rPr>
        <w:t>purchases</w:t>
      </w:r>
      <w:r>
        <w:rPr>
          <w:spacing w:val="-4"/>
          <w:vertAlign w:val="baseline"/>
        </w:rPr>
        <w:t> </w:t>
      </w:r>
      <w:r>
        <w:rPr>
          <w:vertAlign w:val="baseline"/>
        </w:rPr>
        <w:t>certain</w:t>
      </w:r>
      <w:r>
        <w:rPr>
          <w:spacing w:val="-3"/>
          <w:vertAlign w:val="baseline"/>
        </w:rPr>
        <w:t> </w:t>
      </w:r>
      <w:r>
        <w:rPr>
          <w:vertAlign w:val="baseline"/>
        </w:rPr>
        <w:t>First</w:t>
      </w:r>
      <w:r>
        <w:rPr>
          <w:spacing w:val="-4"/>
          <w:vertAlign w:val="baseline"/>
        </w:rPr>
        <w:t> </w:t>
      </w:r>
      <w:r>
        <w:rPr>
          <w:vertAlign w:val="baseline"/>
        </w:rPr>
        <w:t>Mortgages</w:t>
      </w:r>
      <w:r>
        <w:rPr>
          <w:spacing w:val="-4"/>
          <w:vertAlign w:val="baseline"/>
        </w:rPr>
        <w:t> </w:t>
      </w:r>
      <w:r>
        <w:rPr>
          <w:vertAlign w:val="baseline"/>
        </w:rPr>
        <w:t>and</w:t>
      </w:r>
      <w:r>
        <w:rPr>
          <w:spacing w:val="-3"/>
          <w:vertAlign w:val="baseline"/>
        </w:rPr>
        <w:t> </w:t>
      </w:r>
      <w:r>
        <w:rPr>
          <w:vertAlign w:val="baseline"/>
        </w:rPr>
        <w:t>HELOCs</w:t>
      </w:r>
      <w:r>
        <w:rPr>
          <w:spacing w:val="-4"/>
          <w:vertAlign w:val="baseline"/>
        </w:rPr>
        <w:t> </w:t>
      </w:r>
      <w:r>
        <w:rPr>
          <w:vertAlign w:val="baseline"/>
        </w:rPr>
        <w:t>that</w:t>
      </w:r>
      <w:r>
        <w:rPr>
          <w:spacing w:val="-4"/>
          <w:vertAlign w:val="baseline"/>
        </w:rPr>
        <w:t> </w:t>
      </w:r>
      <w:r>
        <w:rPr>
          <w:vertAlign w:val="baseline"/>
        </w:rPr>
        <w:t>are</w:t>
      </w:r>
      <w:r>
        <w:rPr>
          <w:spacing w:val="-4"/>
          <w:vertAlign w:val="baseline"/>
        </w:rPr>
        <w:t> </w:t>
      </w:r>
      <w:r>
        <w:rPr>
          <w:vertAlign w:val="baseline"/>
        </w:rPr>
        <w:t>originated</w:t>
      </w:r>
      <w:r>
        <w:rPr>
          <w:spacing w:val="-3"/>
          <w:vertAlign w:val="baseline"/>
        </w:rPr>
        <w:t> </w:t>
      </w:r>
      <w:r>
        <w:rPr>
          <w:vertAlign w:val="baseline"/>
        </w:rPr>
        <w:t>by</w:t>
      </w:r>
      <w:r>
        <w:rPr>
          <w:spacing w:val="-3"/>
          <w:vertAlign w:val="baseline"/>
        </w:rPr>
        <w:t> </w:t>
      </w:r>
      <w:r>
        <w:rPr>
          <w:vertAlign w:val="baseline"/>
        </w:rPr>
        <w:t>Rocket</w:t>
      </w:r>
      <w:r>
        <w:rPr>
          <w:spacing w:val="-4"/>
          <w:vertAlign w:val="baseline"/>
        </w:rPr>
        <w:t> </w:t>
      </w:r>
      <w:r>
        <w:rPr>
          <w:vertAlign w:val="baseline"/>
        </w:rPr>
        <w:t>Mortgage. CSB purchased First Mortgages of $765 million and $1.3 billion during the third quarters of 2023 and 2022, respectively, and</w:t>
      </w:r>
    </w:p>
    <w:p>
      <w:pPr>
        <w:pStyle w:val="BodyText"/>
        <w:spacing w:line="249" w:lineRule="auto" w:before="3"/>
        <w:ind w:left="470" w:right="761"/>
      </w:pPr>
      <w:r>
        <w:rPr/>
        <w:t>$2.4 billion and $6.0 billion during the first nine months of 2023 and 2022, respectively. CSB purchased HELOCs with commitments</w:t>
      </w:r>
      <w:r>
        <w:rPr>
          <w:spacing w:val="-4"/>
        </w:rPr>
        <w:t> </w:t>
      </w:r>
      <w:r>
        <w:rPr/>
        <w:t>of</w:t>
      </w:r>
      <w:r>
        <w:rPr>
          <w:spacing w:val="-3"/>
        </w:rPr>
        <w:t> </w:t>
      </w:r>
      <w:r>
        <w:rPr/>
        <w:t>$49</w:t>
      </w:r>
      <w:r>
        <w:rPr>
          <w:spacing w:val="-3"/>
        </w:rPr>
        <w:t> </w:t>
      </w:r>
      <w:r>
        <w:rPr/>
        <w:t>million</w:t>
      </w:r>
      <w:r>
        <w:rPr>
          <w:spacing w:val="-3"/>
        </w:rPr>
        <w:t> </w:t>
      </w:r>
      <w:r>
        <w:rPr/>
        <w:t>and</w:t>
      </w:r>
      <w:r>
        <w:rPr>
          <w:spacing w:val="-3"/>
        </w:rPr>
        <w:t> </w:t>
      </w:r>
      <w:r>
        <w:rPr/>
        <w:t>$92</w:t>
      </w:r>
      <w:r>
        <w:rPr>
          <w:spacing w:val="-3"/>
        </w:rPr>
        <w:t> </w:t>
      </w:r>
      <w:r>
        <w:rPr/>
        <w:t>million</w:t>
      </w:r>
      <w:r>
        <w:rPr>
          <w:spacing w:val="-3"/>
        </w:rPr>
        <w:t> </w:t>
      </w:r>
      <w:r>
        <w:rPr/>
        <w:t>during</w:t>
      </w:r>
      <w:r>
        <w:rPr>
          <w:spacing w:val="-3"/>
        </w:rPr>
        <w:t> </w:t>
      </w:r>
      <w:r>
        <w:rPr/>
        <w:t>the</w:t>
      </w:r>
      <w:r>
        <w:rPr>
          <w:spacing w:val="-4"/>
        </w:rPr>
        <w:t> </w:t>
      </w:r>
      <w:r>
        <w:rPr/>
        <w:t>third</w:t>
      </w:r>
      <w:r>
        <w:rPr>
          <w:spacing w:val="-3"/>
        </w:rPr>
        <w:t> </w:t>
      </w:r>
      <w:r>
        <w:rPr/>
        <w:t>quarters</w:t>
      </w:r>
      <w:r>
        <w:rPr>
          <w:spacing w:val="-4"/>
        </w:rPr>
        <w:t> </w:t>
      </w:r>
      <w:r>
        <w:rPr/>
        <w:t>of</w:t>
      </w:r>
      <w:r>
        <w:rPr>
          <w:spacing w:val="-3"/>
        </w:rPr>
        <w:t> </w:t>
      </w:r>
      <w:r>
        <w:rPr/>
        <w:t>2023</w:t>
      </w:r>
      <w:r>
        <w:rPr>
          <w:spacing w:val="-3"/>
        </w:rPr>
        <w:t> </w:t>
      </w:r>
      <w:r>
        <w:rPr/>
        <w:t>and</w:t>
      </w:r>
      <w:r>
        <w:rPr>
          <w:spacing w:val="-3"/>
        </w:rPr>
        <w:t> </w:t>
      </w:r>
      <w:r>
        <w:rPr/>
        <w:t>2022,</w:t>
      </w:r>
      <w:r>
        <w:rPr>
          <w:spacing w:val="-3"/>
        </w:rPr>
        <w:t> </w:t>
      </w:r>
      <w:r>
        <w:rPr/>
        <w:t>respectively,</w:t>
      </w:r>
      <w:r>
        <w:rPr>
          <w:spacing w:val="-3"/>
        </w:rPr>
        <w:t> </w:t>
      </w:r>
      <w:r>
        <w:rPr/>
        <w:t>and</w:t>
      </w:r>
      <w:r>
        <w:rPr>
          <w:spacing w:val="-3"/>
        </w:rPr>
        <w:t> </w:t>
      </w:r>
      <w:r>
        <w:rPr/>
        <w:t>$144</w:t>
      </w:r>
      <w:r>
        <w:rPr>
          <w:spacing w:val="-3"/>
        </w:rPr>
        <w:t> </w:t>
      </w:r>
      <w:r>
        <w:rPr/>
        <w:t>million</w:t>
      </w:r>
      <w:r>
        <w:rPr>
          <w:spacing w:val="-3"/>
        </w:rPr>
        <w:t> </w:t>
      </w:r>
      <w:r>
        <w:rPr/>
        <w:t>and</w:t>
      </w:r>
    </w:p>
    <w:p>
      <w:pPr>
        <w:pStyle w:val="BodyText"/>
        <w:spacing w:before="2"/>
        <w:ind w:left="470"/>
      </w:pPr>
      <w:r>
        <w:rPr/>
        <w:t>$252</w:t>
      </w:r>
      <w:r>
        <w:rPr>
          <w:spacing w:val="-2"/>
        </w:rPr>
        <w:t> </w:t>
      </w:r>
      <w:r>
        <w:rPr/>
        <w:t>million</w:t>
      </w:r>
      <w:r>
        <w:rPr>
          <w:spacing w:val="-1"/>
        </w:rPr>
        <w:t> </w:t>
      </w:r>
      <w:r>
        <w:rPr/>
        <w:t>during</w:t>
      </w:r>
      <w:r>
        <w:rPr>
          <w:spacing w:val="-1"/>
        </w:rPr>
        <w:t> </w:t>
      </w:r>
      <w:r>
        <w:rPr/>
        <w:t>the</w:t>
      </w:r>
      <w:r>
        <w:rPr>
          <w:spacing w:val="-2"/>
        </w:rPr>
        <w:t> </w:t>
      </w:r>
      <w:r>
        <w:rPr/>
        <w:t>first</w:t>
      </w:r>
      <w:r>
        <w:rPr>
          <w:spacing w:val="-2"/>
        </w:rPr>
        <w:t> </w:t>
      </w:r>
      <w:r>
        <w:rPr/>
        <w:t>nine</w:t>
      </w:r>
      <w:r>
        <w:rPr>
          <w:spacing w:val="-3"/>
        </w:rPr>
        <w:t> </w:t>
      </w:r>
      <w:r>
        <w:rPr/>
        <w:t>months</w:t>
      </w:r>
      <w:r>
        <w:rPr>
          <w:spacing w:val="-2"/>
        </w:rPr>
        <w:t> </w:t>
      </w:r>
      <w:r>
        <w:rPr/>
        <w:t>of</w:t>
      </w:r>
      <w:r>
        <w:rPr>
          <w:spacing w:val="-1"/>
        </w:rPr>
        <w:t> </w:t>
      </w:r>
      <w:r>
        <w:rPr/>
        <w:t>2023</w:t>
      </w:r>
      <w:r>
        <w:rPr>
          <w:spacing w:val="-1"/>
        </w:rPr>
        <w:t> </w:t>
      </w:r>
      <w:r>
        <w:rPr/>
        <w:t>and</w:t>
      </w:r>
      <w:r>
        <w:rPr>
          <w:spacing w:val="-1"/>
        </w:rPr>
        <w:t> </w:t>
      </w:r>
      <w:r>
        <w:rPr/>
        <w:t>2022,</w:t>
      </w:r>
      <w:r>
        <w:rPr>
          <w:spacing w:val="-1"/>
        </w:rPr>
        <w:t> </w:t>
      </w:r>
      <w:r>
        <w:rPr>
          <w:spacing w:val="-2"/>
        </w:rPr>
        <w:t>respectively.</w:t>
      </w:r>
    </w:p>
    <w:p>
      <w:pPr>
        <w:pStyle w:val="BodyText"/>
        <w:spacing w:before="20"/>
      </w:pPr>
    </w:p>
    <w:p>
      <w:pPr>
        <w:pStyle w:val="BodyText"/>
        <w:ind w:left="470"/>
      </w:pPr>
      <w:r>
        <w:rPr/>
        <mc:AlternateContent>
          <mc:Choice Requires="wps">
            <w:drawing>
              <wp:anchor distT="0" distB="0" distL="0" distR="0" allowOverlap="1" layoutInCell="1" locked="0" behindDoc="1" simplePos="0" relativeHeight="487615488">
                <wp:simplePos x="0" y="0"/>
                <wp:positionH relativeFrom="page">
                  <wp:posOffset>628650</wp:posOffset>
                </wp:positionH>
                <wp:positionV relativeFrom="paragraph">
                  <wp:posOffset>180080</wp:posOffset>
                </wp:positionV>
                <wp:extent cx="6438900" cy="6350"/>
                <wp:effectExtent l="0" t="0" r="0" b="0"/>
                <wp:wrapTopAndBottom/>
                <wp:docPr id="392" name="Group 392"/>
                <wp:cNvGraphicFramePr>
                  <a:graphicFrameLocks/>
                </wp:cNvGraphicFramePr>
                <a:graphic>
                  <a:graphicData uri="http://schemas.microsoft.com/office/word/2010/wordprocessingGroup">
                    <wpg:wgp>
                      <wpg:cNvPr id="392" name="Group 392"/>
                      <wpg:cNvGrpSpPr/>
                      <wpg:grpSpPr>
                        <a:xfrm>
                          <a:off x="0" y="0"/>
                          <a:ext cx="6438900" cy="6350"/>
                          <a:chExt cx="6438900" cy="6350"/>
                        </a:xfrm>
                      </wpg:grpSpPr>
                      <wps:wsp>
                        <wps:cNvPr id="393" name="Graphic 393"/>
                        <wps:cNvSpPr/>
                        <wps:spPr>
                          <a:xfrm>
                            <a:off x="0" y="3175"/>
                            <a:ext cx="6438900" cy="1270"/>
                          </a:xfrm>
                          <a:custGeom>
                            <a:avLst/>
                            <a:gdLst/>
                            <a:ahLst/>
                            <a:cxnLst/>
                            <a:rect l="l" t="t" r="r" b="b"/>
                            <a:pathLst>
                              <a:path w="6438900" h="0">
                                <a:moveTo>
                                  <a:pt x="6438900" y="0"/>
                                </a:moveTo>
                                <a:lnTo>
                                  <a:pt x="0" y="0"/>
                                </a:lnTo>
                              </a:path>
                            </a:pathLst>
                          </a:custGeom>
                          <a:solidFill>
                            <a:srgbClr val="000000"/>
                          </a:solidFill>
                        </wps:spPr>
                        <wps:bodyPr wrap="square" lIns="0" tIns="0" rIns="0" bIns="0" rtlCol="0">
                          <a:prstTxWarp prst="textNoShape">
                            <a:avLst/>
                          </a:prstTxWarp>
                          <a:noAutofit/>
                        </wps:bodyPr>
                      </wps:wsp>
                      <wps:wsp>
                        <wps:cNvPr id="394" name="Graphic 394"/>
                        <wps:cNvSpPr/>
                        <wps:spPr>
                          <a:xfrm>
                            <a:off x="0" y="3175"/>
                            <a:ext cx="6438900" cy="1270"/>
                          </a:xfrm>
                          <a:custGeom>
                            <a:avLst/>
                            <a:gdLst/>
                            <a:ahLst/>
                            <a:cxnLst/>
                            <a:rect l="l" t="t" r="r" b="b"/>
                            <a:pathLst>
                              <a:path w="6438900" h="0">
                                <a:moveTo>
                                  <a:pt x="0" y="0"/>
                                </a:moveTo>
                                <a:lnTo>
                                  <a:pt x="64389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14.179531pt;width:507pt;height:.5pt;mso-position-horizontal-relative:page;mso-position-vertical-relative:paragraph;z-index:-15700992;mso-wrap-distance-left:0;mso-wrap-distance-right:0" id="docshapegroup272" coordorigin="990,284" coordsize="10140,10">
                <v:shape style="position:absolute;left:990;top:288;width:10140;height:2" id="docshape273" coordorigin="990,289" coordsize="10140,0" path="m11130,289l990,289e" filled="true" fillcolor="#000000" stroked="false">
                  <v:path arrowok="t"/>
                  <v:fill opacity="0f" type="solid"/>
                </v:shape>
                <v:line style="position:absolute" from="990,289" to="11130,289" stroked="true" strokeweight=".5pt" strokecolor="#000000">
                  <v:stroke dashstyle="solid"/>
                </v:line>
                <w10:wrap type="topAndBottom"/>
              </v:group>
            </w:pict>
          </mc:Fallback>
        </mc:AlternateContent>
      </w:r>
      <w:r>
        <w:rPr/>
        <w:t>The</w:t>
      </w:r>
      <w:r>
        <w:rPr>
          <w:spacing w:val="-6"/>
        </w:rPr>
        <w:t> </w:t>
      </w:r>
      <w:r>
        <w:rPr/>
        <w:t>Company’s</w:t>
      </w:r>
      <w:r>
        <w:rPr>
          <w:spacing w:val="-3"/>
        </w:rPr>
        <w:t> </w:t>
      </w:r>
      <w:r>
        <w:rPr/>
        <w:t>commitments</w:t>
      </w:r>
      <w:r>
        <w:rPr>
          <w:spacing w:val="-3"/>
        </w:rPr>
        <w:t> </w:t>
      </w:r>
      <w:r>
        <w:rPr/>
        <w:t>to</w:t>
      </w:r>
      <w:r>
        <w:rPr>
          <w:spacing w:val="-3"/>
        </w:rPr>
        <w:t> </w:t>
      </w:r>
      <w:r>
        <w:rPr/>
        <w:t>extend</w:t>
      </w:r>
      <w:r>
        <w:rPr>
          <w:spacing w:val="-2"/>
        </w:rPr>
        <w:t> </w:t>
      </w:r>
      <w:r>
        <w:rPr/>
        <w:t>credit</w:t>
      </w:r>
      <w:r>
        <w:rPr>
          <w:spacing w:val="-3"/>
        </w:rPr>
        <w:t> </w:t>
      </w:r>
      <w:r>
        <w:rPr/>
        <w:t>on</w:t>
      </w:r>
      <w:r>
        <w:rPr>
          <w:spacing w:val="-3"/>
        </w:rPr>
        <w:t> </w:t>
      </w:r>
      <w:r>
        <w:rPr/>
        <w:t>lines</w:t>
      </w:r>
      <w:r>
        <w:rPr>
          <w:spacing w:val="-3"/>
        </w:rPr>
        <w:t> </w:t>
      </w:r>
      <w:r>
        <w:rPr/>
        <w:t>of</w:t>
      </w:r>
      <w:r>
        <w:rPr>
          <w:spacing w:val="-2"/>
        </w:rPr>
        <w:t> </w:t>
      </w:r>
      <w:r>
        <w:rPr/>
        <w:t>credit</w:t>
      </w:r>
      <w:r>
        <w:rPr>
          <w:spacing w:val="-3"/>
        </w:rPr>
        <w:t> </w:t>
      </w:r>
      <w:r>
        <w:rPr/>
        <w:t>and</w:t>
      </w:r>
      <w:r>
        <w:rPr>
          <w:spacing w:val="-3"/>
        </w:rPr>
        <w:t> </w:t>
      </w:r>
      <w:r>
        <w:rPr/>
        <w:t>to</w:t>
      </w:r>
      <w:r>
        <w:rPr>
          <w:spacing w:val="-2"/>
        </w:rPr>
        <w:t> </w:t>
      </w:r>
      <w:r>
        <w:rPr/>
        <w:t>purchase</w:t>
      </w:r>
      <w:r>
        <w:rPr>
          <w:spacing w:val="-3"/>
        </w:rPr>
        <w:t> </w:t>
      </w:r>
      <w:r>
        <w:rPr/>
        <w:t>First</w:t>
      </w:r>
      <w:r>
        <w:rPr>
          <w:spacing w:val="-4"/>
        </w:rPr>
        <w:t> </w:t>
      </w:r>
      <w:r>
        <w:rPr/>
        <w:t>Mortgages</w:t>
      </w:r>
      <w:r>
        <w:rPr>
          <w:spacing w:val="-3"/>
        </w:rPr>
        <w:t> </w:t>
      </w:r>
      <w:r>
        <w:rPr/>
        <w:t>are</w:t>
      </w:r>
      <w:r>
        <w:rPr>
          <w:spacing w:val="-3"/>
        </w:rPr>
        <w:t> </w:t>
      </w:r>
      <w:r>
        <w:rPr/>
        <w:t>as</w:t>
      </w:r>
      <w:r>
        <w:rPr>
          <w:spacing w:val="-3"/>
        </w:rPr>
        <w:t> </w:t>
      </w:r>
      <w:r>
        <w:rPr>
          <w:spacing w:val="-2"/>
        </w:rPr>
        <w:t>follows:</w:t>
      </w:r>
    </w:p>
    <w:p>
      <w:pPr>
        <w:tabs>
          <w:tab w:pos="9143" w:val="left" w:leader="none"/>
        </w:tabs>
        <w:spacing w:before="13" w:after="30"/>
        <w:ind w:left="7390" w:right="0" w:firstLine="0"/>
        <w:jc w:val="left"/>
        <w:rPr>
          <w:sz w:val="18"/>
        </w:rPr>
      </w:pPr>
      <w:r>
        <w:rPr>
          <w:sz w:val="18"/>
        </w:rPr>
        <w:t>September</w:t>
      </w:r>
      <w:r>
        <w:rPr>
          <w:spacing w:val="-1"/>
          <w:sz w:val="18"/>
        </w:rPr>
        <w:t> </w:t>
      </w:r>
      <w:r>
        <w:rPr>
          <w:sz w:val="18"/>
        </w:rPr>
        <w:t>30, </w:t>
      </w:r>
      <w:r>
        <w:rPr>
          <w:spacing w:val="-4"/>
          <w:sz w:val="18"/>
        </w:rPr>
        <w:t>2023</w:t>
      </w:r>
      <w:r>
        <w:rPr>
          <w:sz w:val="18"/>
        </w:rPr>
        <w:tab/>
        <w:t>December</w:t>
      </w:r>
      <w:r>
        <w:rPr>
          <w:spacing w:val="-3"/>
          <w:sz w:val="18"/>
        </w:rPr>
        <w:t> </w:t>
      </w:r>
      <w:r>
        <w:rPr>
          <w:sz w:val="18"/>
        </w:rPr>
        <w:t>31, </w:t>
      </w:r>
      <w:r>
        <w:rPr>
          <w:spacing w:val="-4"/>
          <w:sz w:val="18"/>
        </w:rPr>
        <w:t>2022</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2"/>
        <w:gridCol w:w="771"/>
        <w:gridCol w:w="1012"/>
        <w:gridCol w:w="1653"/>
      </w:tblGrid>
      <w:tr>
        <w:trPr>
          <w:trHeight w:val="250" w:hRule="atLeast"/>
        </w:trPr>
        <w:tc>
          <w:tcPr>
            <w:tcW w:w="6702" w:type="dxa"/>
            <w:tcBorders>
              <w:top w:val="single" w:sz="4" w:space="0" w:color="000000"/>
            </w:tcBorders>
            <w:shd w:val="clear" w:color="auto" w:fill="CCEDFF"/>
          </w:tcPr>
          <w:p>
            <w:pPr>
              <w:pStyle w:val="TableParagraph"/>
              <w:spacing w:before="13"/>
              <w:ind w:left="52"/>
              <w:rPr>
                <w:sz w:val="18"/>
              </w:rPr>
            </w:pPr>
            <w:r>
              <w:rPr>
                <w:sz w:val="18"/>
              </w:rPr>
              <w:t>Commitments</w:t>
            </w:r>
            <w:r>
              <w:rPr>
                <w:spacing w:val="-4"/>
                <w:sz w:val="18"/>
              </w:rPr>
              <w:t> </w:t>
            </w:r>
            <w:r>
              <w:rPr>
                <w:sz w:val="18"/>
              </w:rPr>
              <w:t>to</w:t>
            </w:r>
            <w:r>
              <w:rPr>
                <w:spacing w:val="-1"/>
                <w:sz w:val="18"/>
              </w:rPr>
              <w:t> </w:t>
            </w:r>
            <w:r>
              <w:rPr>
                <w:sz w:val="18"/>
              </w:rPr>
              <w:t>extend credit</w:t>
            </w:r>
            <w:r>
              <w:rPr>
                <w:spacing w:val="-1"/>
                <w:sz w:val="18"/>
              </w:rPr>
              <w:t> </w:t>
            </w:r>
            <w:r>
              <w:rPr>
                <w:sz w:val="18"/>
              </w:rPr>
              <w:t>related to</w:t>
            </w:r>
            <w:r>
              <w:rPr>
                <w:spacing w:val="-1"/>
                <w:sz w:val="18"/>
              </w:rPr>
              <w:t> </w:t>
            </w:r>
            <w:r>
              <w:rPr>
                <w:sz w:val="18"/>
              </w:rPr>
              <w:t>unused HELOCs,</w:t>
            </w:r>
            <w:r>
              <w:rPr>
                <w:spacing w:val="-1"/>
                <w:sz w:val="18"/>
              </w:rPr>
              <w:t> </w:t>
            </w:r>
            <w:r>
              <w:rPr>
                <w:sz w:val="18"/>
              </w:rPr>
              <w:t>PALs, and</w:t>
            </w:r>
            <w:r>
              <w:rPr>
                <w:spacing w:val="-1"/>
                <w:sz w:val="18"/>
              </w:rPr>
              <w:t> </w:t>
            </w:r>
            <w:r>
              <w:rPr>
                <w:sz w:val="18"/>
              </w:rPr>
              <w:t>other lines</w:t>
            </w:r>
            <w:r>
              <w:rPr>
                <w:spacing w:val="-2"/>
                <w:sz w:val="18"/>
              </w:rPr>
              <w:t> </w:t>
            </w:r>
            <w:r>
              <w:rPr>
                <w:sz w:val="18"/>
              </w:rPr>
              <w:t>of </w:t>
            </w:r>
            <w:r>
              <w:rPr>
                <w:spacing w:val="-2"/>
                <w:sz w:val="18"/>
              </w:rPr>
              <w:t>credit</w:t>
            </w:r>
          </w:p>
        </w:tc>
        <w:tc>
          <w:tcPr>
            <w:tcW w:w="771" w:type="dxa"/>
            <w:tcBorders>
              <w:top w:val="single" w:sz="4" w:space="0" w:color="000000"/>
            </w:tcBorders>
            <w:shd w:val="clear" w:color="auto" w:fill="CCEDFF"/>
          </w:tcPr>
          <w:p>
            <w:pPr>
              <w:pStyle w:val="TableParagraph"/>
              <w:spacing w:before="13"/>
              <w:ind w:left="175"/>
              <w:rPr>
                <w:sz w:val="18"/>
              </w:rPr>
            </w:pPr>
            <w:r>
              <w:rPr>
                <w:spacing w:val="-10"/>
                <w:sz w:val="18"/>
              </w:rPr>
              <w:t>$</w:t>
            </w:r>
          </w:p>
        </w:tc>
        <w:tc>
          <w:tcPr>
            <w:tcW w:w="1012" w:type="dxa"/>
            <w:tcBorders>
              <w:top w:val="single" w:sz="4" w:space="0" w:color="000000"/>
            </w:tcBorders>
            <w:shd w:val="clear" w:color="auto" w:fill="CCEDFF"/>
          </w:tcPr>
          <w:p>
            <w:pPr>
              <w:pStyle w:val="TableParagraph"/>
              <w:spacing w:before="13"/>
              <w:ind w:right="97"/>
              <w:jc w:val="right"/>
              <w:rPr>
                <w:sz w:val="18"/>
              </w:rPr>
            </w:pPr>
            <w:r>
              <w:rPr>
                <w:spacing w:val="-2"/>
                <w:sz w:val="18"/>
              </w:rPr>
              <w:t>3,247</w:t>
            </w:r>
          </w:p>
        </w:tc>
        <w:tc>
          <w:tcPr>
            <w:tcW w:w="1653" w:type="dxa"/>
            <w:tcBorders>
              <w:top w:val="single" w:sz="4" w:space="0" w:color="000000"/>
            </w:tcBorders>
            <w:shd w:val="clear" w:color="auto" w:fill="CCEDFF"/>
          </w:tcPr>
          <w:p>
            <w:pPr>
              <w:pStyle w:val="TableParagraph"/>
              <w:tabs>
                <w:tab w:pos="1072" w:val="left" w:leader="none"/>
              </w:tabs>
              <w:spacing w:before="13"/>
              <w:ind w:right="70"/>
              <w:jc w:val="right"/>
              <w:rPr>
                <w:sz w:val="18"/>
              </w:rPr>
            </w:pPr>
            <w:r>
              <w:rPr>
                <w:spacing w:val="-10"/>
                <w:sz w:val="18"/>
              </w:rPr>
              <w:t>$</w:t>
            </w:r>
            <w:r>
              <w:rPr>
                <w:sz w:val="18"/>
              </w:rPr>
              <w:tab/>
            </w:r>
            <w:r>
              <w:rPr>
                <w:spacing w:val="-2"/>
                <w:sz w:val="18"/>
              </w:rPr>
              <w:t>4,533</w:t>
            </w:r>
          </w:p>
        </w:tc>
      </w:tr>
      <w:tr>
        <w:trPr>
          <w:trHeight w:val="250" w:hRule="atLeast"/>
        </w:trPr>
        <w:tc>
          <w:tcPr>
            <w:tcW w:w="6702" w:type="dxa"/>
            <w:tcBorders>
              <w:bottom w:val="single" w:sz="4" w:space="0" w:color="000000"/>
            </w:tcBorders>
          </w:tcPr>
          <w:p>
            <w:pPr>
              <w:pStyle w:val="TableParagraph"/>
              <w:spacing w:before="18"/>
              <w:ind w:left="52"/>
              <w:rPr>
                <w:sz w:val="18"/>
              </w:rPr>
            </w:pPr>
            <w:r>
              <w:rPr>
                <w:sz w:val="18"/>
              </w:rPr>
              <w:t>Commitments</w:t>
            </w:r>
            <w:r>
              <w:rPr>
                <w:spacing w:val="-2"/>
                <w:sz w:val="18"/>
              </w:rPr>
              <w:t> </w:t>
            </w:r>
            <w:r>
              <w:rPr>
                <w:sz w:val="18"/>
              </w:rPr>
              <w:t>to</w:t>
            </w:r>
            <w:r>
              <w:rPr>
                <w:spacing w:val="-1"/>
                <w:sz w:val="18"/>
              </w:rPr>
              <w:t> </w:t>
            </w:r>
            <w:r>
              <w:rPr>
                <w:sz w:val="18"/>
              </w:rPr>
              <w:t>purchase</w:t>
            </w:r>
            <w:r>
              <w:rPr>
                <w:spacing w:val="-1"/>
                <w:sz w:val="18"/>
              </w:rPr>
              <w:t> </w:t>
            </w:r>
            <w:r>
              <w:rPr>
                <w:sz w:val="18"/>
              </w:rPr>
              <w:t>First</w:t>
            </w:r>
            <w:r>
              <w:rPr>
                <w:spacing w:val="-1"/>
                <w:sz w:val="18"/>
              </w:rPr>
              <w:t> </w:t>
            </w:r>
            <w:r>
              <w:rPr>
                <w:sz w:val="18"/>
              </w:rPr>
              <w:t>Mortgage </w:t>
            </w:r>
            <w:r>
              <w:rPr>
                <w:spacing w:val="-2"/>
                <w:sz w:val="18"/>
              </w:rPr>
              <w:t>loans</w:t>
            </w:r>
          </w:p>
        </w:tc>
        <w:tc>
          <w:tcPr>
            <w:tcW w:w="771" w:type="dxa"/>
            <w:tcBorders>
              <w:bottom w:val="single" w:sz="4" w:space="0" w:color="000000"/>
            </w:tcBorders>
          </w:tcPr>
          <w:p>
            <w:pPr>
              <w:pStyle w:val="TableParagraph"/>
              <w:rPr>
                <w:sz w:val="18"/>
              </w:rPr>
            </w:pPr>
          </w:p>
        </w:tc>
        <w:tc>
          <w:tcPr>
            <w:tcW w:w="1012" w:type="dxa"/>
            <w:tcBorders>
              <w:bottom w:val="single" w:sz="4" w:space="0" w:color="000000"/>
            </w:tcBorders>
          </w:tcPr>
          <w:p>
            <w:pPr>
              <w:pStyle w:val="TableParagraph"/>
              <w:spacing w:before="18"/>
              <w:ind w:right="97"/>
              <w:jc w:val="right"/>
              <w:rPr>
                <w:sz w:val="18"/>
              </w:rPr>
            </w:pPr>
            <w:r>
              <w:rPr>
                <w:spacing w:val="-5"/>
                <w:sz w:val="18"/>
              </w:rPr>
              <w:t>379</w:t>
            </w:r>
          </w:p>
        </w:tc>
        <w:tc>
          <w:tcPr>
            <w:tcW w:w="1653" w:type="dxa"/>
            <w:tcBorders>
              <w:bottom w:val="single" w:sz="4" w:space="0" w:color="000000"/>
            </w:tcBorders>
          </w:tcPr>
          <w:p>
            <w:pPr>
              <w:pStyle w:val="TableParagraph"/>
              <w:spacing w:before="18"/>
              <w:ind w:right="70"/>
              <w:jc w:val="right"/>
              <w:rPr>
                <w:sz w:val="18"/>
              </w:rPr>
            </w:pPr>
            <w:r>
              <w:rPr>
                <w:spacing w:val="-5"/>
                <w:sz w:val="18"/>
              </w:rPr>
              <w:t>492</w:t>
            </w:r>
          </w:p>
        </w:tc>
      </w:tr>
      <w:tr>
        <w:trPr>
          <w:trHeight w:val="220" w:hRule="atLeast"/>
        </w:trPr>
        <w:tc>
          <w:tcPr>
            <w:tcW w:w="6702" w:type="dxa"/>
            <w:tcBorders>
              <w:top w:val="single" w:sz="4" w:space="0" w:color="000000"/>
              <w:bottom w:val="double" w:sz="8" w:space="0" w:color="000000"/>
            </w:tcBorders>
            <w:shd w:val="clear" w:color="auto" w:fill="CCEDFF"/>
          </w:tcPr>
          <w:p>
            <w:pPr>
              <w:pStyle w:val="TableParagraph"/>
              <w:spacing w:line="191" w:lineRule="exact" w:before="8"/>
              <w:ind w:left="277"/>
              <w:rPr>
                <w:sz w:val="18"/>
              </w:rPr>
            </w:pPr>
            <w:r>
              <w:rPr>
                <w:spacing w:val="-2"/>
                <w:sz w:val="18"/>
              </w:rPr>
              <w:t>Total</w:t>
            </w:r>
          </w:p>
        </w:tc>
        <w:tc>
          <w:tcPr>
            <w:tcW w:w="771" w:type="dxa"/>
            <w:tcBorders>
              <w:top w:val="single" w:sz="4" w:space="0" w:color="000000"/>
              <w:bottom w:val="double" w:sz="8" w:space="0" w:color="000000"/>
            </w:tcBorders>
            <w:shd w:val="clear" w:color="auto" w:fill="CCEDFF"/>
          </w:tcPr>
          <w:p>
            <w:pPr>
              <w:pStyle w:val="TableParagraph"/>
              <w:spacing w:line="187" w:lineRule="exact" w:before="13"/>
              <w:ind w:left="175"/>
              <w:rPr>
                <w:sz w:val="18"/>
              </w:rPr>
            </w:pPr>
            <w:r>
              <w:rPr>
                <w:spacing w:val="-10"/>
                <w:sz w:val="18"/>
              </w:rPr>
              <w:t>$</w:t>
            </w:r>
          </w:p>
        </w:tc>
        <w:tc>
          <w:tcPr>
            <w:tcW w:w="1012" w:type="dxa"/>
            <w:tcBorders>
              <w:top w:val="single" w:sz="4" w:space="0" w:color="000000"/>
              <w:bottom w:val="double" w:sz="8" w:space="0" w:color="000000"/>
            </w:tcBorders>
            <w:shd w:val="clear" w:color="auto" w:fill="CCEDFF"/>
          </w:tcPr>
          <w:p>
            <w:pPr>
              <w:pStyle w:val="TableParagraph"/>
              <w:spacing w:line="187" w:lineRule="exact" w:before="13"/>
              <w:ind w:right="97"/>
              <w:jc w:val="right"/>
              <w:rPr>
                <w:sz w:val="18"/>
              </w:rPr>
            </w:pPr>
            <w:r>
              <w:rPr>
                <w:spacing w:val="-2"/>
                <w:sz w:val="18"/>
              </w:rPr>
              <w:t>3,626</w:t>
            </w:r>
          </w:p>
        </w:tc>
        <w:tc>
          <w:tcPr>
            <w:tcW w:w="1653" w:type="dxa"/>
            <w:tcBorders>
              <w:top w:val="single" w:sz="4" w:space="0" w:color="000000"/>
              <w:bottom w:val="double" w:sz="8" w:space="0" w:color="000000"/>
            </w:tcBorders>
            <w:shd w:val="clear" w:color="auto" w:fill="CCEDFF"/>
          </w:tcPr>
          <w:p>
            <w:pPr>
              <w:pStyle w:val="TableParagraph"/>
              <w:tabs>
                <w:tab w:pos="1072" w:val="left" w:leader="none"/>
              </w:tabs>
              <w:spacing w:line="187" w:lineRule="exact" w:before="13"/>
              <w:ind w:right="70"/>
              <w:jc w:val="right"/>
              <w:rPr>
                <w:sz w:val="18"/>
              </w:rPr>
            </w:pPr>
            <w:r>
              <w:rPr>
                <w:spacing w:val="-10"/>
                <w:sz w:val="18"/>
              </w:rPr>
              <w:t>$</w:t>
            </w:r>
            <w:r>
              <w:rPr>
                <w:sz w:val="18"/>
              </w:rPr>
              <w:tab/>
            </w:r>
            <w:r>
              <w:rPr>
                <w:spacing w:val="-2"/>
                <w:sz w:val="18"/>
              </w:rPr>
              <w:t>5,025</w:t>
            </w:r>
          </w:p>
        </w:tc>
      </w:tr>
    </w:tbl>
    <w:p>
      <w:pPr>
        <w:pStyle w:val="BodyText"/>
        <w:spacing w:before="50"/>
        <w:rPr>
          <w:sz w:val="18"/>
        </w:rPr>
      </w:pPr>
    </w:p>
    <w:p>
      <w:pPr>
        <w:pStyle w:val="BodyText"/>
        <w:spacing w:line="249" w:lineRule="auto"/>
        <w:ind w:left="470" w:right="513"/>
      </w:pPr>
      <w:r>
        <w:rPr>
          <w:i/>
        </w:rPr>
        <w:t>Guarantees</w:t>
      </w:r>
      <w:r>
        <w:rPr>
          <w:i/>
          <w:spacing w:val="-4"/>
        </w:rPr>
        <w:t> </w:t>
      </w:r>
      <w:r>
        <w:rPr>
          <w:i/>
        </w:rPr>
        <w:t>and</w:t>
      </w:r>
      <w:r>
        <w:rPr>
          <w:i/>
          <w:spacing w:val="-3"/>
        </w:rPr>
        <w:t> </w:t>
      </w:r>
      <w:r>
        <w:rPr>
          <w:i/>
        </w:rPr>
        <w:t>indemnifications:</w:t>
      </w:r>
      <w:r>
        <w:rPr>
          <w:i/>
          <w:spacing w:val="-3"/>
        </w:rPr>
        <w:t> </w:t>
      </w:r>
      <w:r>
        <w:rPr/>
        <w:t>Schwab</w:t>
      </w:r>
      <w:r>
        <w:rPr>
          <w:spacing w:val="-3"/>
        </w:rPr>
        <w:t> </w:t>
      </w:r>
      <w:r>
        <w:rPr/>
        <w:t>has</w:t>
      </w:r>
      <w:r>
        <w:rPr>
          <w:spacing w:val="-4"/>
        </w:rPr>
        <w:t> </w:t>
      </w:r>
      <w:r>
        <w:rPr/>
        <w:t>clients</w:t>
      </w:r>
      <w:r>
        <w:rPr>
          <w:spacing w:val="-4"/>
        </w:rPr>
        <w:t> </w:t>
      </w:r>
      <w:r>
        <w:rPr/>
        <w:t>that</w:t>
      </w:r>
      <w:r>
        <w:rPr>
          <w:spacing w:val="-4"/>
        </w:rPr>
        <w:t> </w:t>
      </w:r>
      <w:r>
        <w:rPr/>
        <w:t>sell</w:t>
      </w:r>
      <w:r>
        <w:rPr>
          <w:spacing w:val="-4"/>
        </w:rPr>
        <w:t> </w:t>
      </w:r>
      <w:r>
        <w:rPr/>
        <w:t>(i.e.,</w:t>
      </w:r>
      <w:r>
        <w:rPr>
          <w:spacing w:val="-3"/>
        </w:rPr>
        <w:t> </w:t>
      </w:r>
      <w:r>
        <w:rPr/>
        <w:t>write)</w:t>
      </w:r>
      <w:r>
        <w:rPr>
          <w:spacing w:val="-3"/>
        </w:rPr>
        <w:t> </w:t>
      </w:r>
      <w:r>
        <w:rPr/>
        <w:t>listed</w:t>
      </w:r>
      <w:r>
        <w:rPr>
          <w:spacing w:val="-3"/>
        </w:rPr>
        <w:t> </w:t>
      </w:r>
      <w:r>
        <w:rPr/>
        <w:t>option</w:t>
      </w:r>
      <w:r>
        <w:rPr>
          <w:spacing w:val="-3"/>
        </w:rPr>
        <w:t> </w:t>
      </w:r>
      <w:r>
        <w:rPr/>
        <w:t>contracts</w:t>
      </w:r>
      <w:r>
        <w:rPr>
          <w:spacing w:val="-4"/>
        </w:rPr>
        <w:t> </w:t>
      </w:r>
      <w:r>
        <w:rPr/>
        <w:t>that</w:t>
      </w:r>
      <w:r>
        <w:rPr>
          <w:spacing w:val="-4"/>
        </w:rPr>
        <w:t> </w:t>
      </w:r>
      <w:r>
        <w:rPr/>
        <w:t>are</w:t>
      </w:r>
      <w:r>
        <w:rPr>
          <w:spacing w:val="-4"/>
        </w:rPr>
        <w:t> </w:t>
      </w:r>
      <w:r>
        <w:rPr/>
        <w:t>cleared</w:t>
      </w:r>
      <w:r>
        <w:rPr>
          <w:spacing w:val="-3"/>
        </w:rPr>
        <w:t> </w:t>
      </w:r>
      <w:r>
        <w:rPr/>
        <w:t>by</w:t>
      </w:r>
      <w:r>
        <w:rPr>
          <w:spacing w:val="-3"/>
        </w:rPr>
        <w:t> </w:t>
      </w:r>
      <w:r>
        <w:rPr/>
        <w:t>the</w:t>
      </w:r>
      <w:r>
        <w:rPr>
          <w:spacing w:val="-4"/>
        </w:rPr>
        <w:t> </w:t>
      </w:r>
      <w:r>
        <w:rPr/>
        <w:t>Options Clearing Corporation – a clearing house that establishes margin requirements on these transactions. We satisfy the margin requirements of these transactions through the pledging of certain client securities. For additional information on these pledged securities, refer to Note 12. In connection with its securities lending activities, Schwab is required to provide collateral to</w:t>
      </w:r>
      <w:r>
        <w:rPr/>
        <w:t> certain brokerage clients. The Company satisfies the collateral requirements by providing cash as collateral.</w:t>
      </w:r>
    </w:p>
    <w:p>
      <w:pPr>
        <w:pStyle w:val="BodyText"/>
        <w:spacing w:before="14"/>
      </w:pPr>
    </w:p>
    <w:p>
      <w:pPr>
        <w:pStyle w:val="BodyText"/>
        <w:spacing w:line="249" w:lineRule="auto"/>
        <w:ind w:left="470" w:right="566"/>
      </w:pPr>
      <w:r>
        <w:rPr/>
        <w:t>The Company also provides guarantees to securities clearing houses and exchanges under standard membership agreements, which require members to guarantee the performance of other members. Under the agreements, if another member becomes unable</w:t>
      </w:r>
      <w:r>
        <w:rPr>
          <w:spacing w:val="-3"/>
        </w:rPr>
        <w:t> </w:t>
      </w:r>
      <w:r>
        <w:rPr/>
        <w:t>to</w:t>
      </w:r>
      <w:r>
        <w:rPr>
          <w:spacing w:val="-3"/>
        </w:rPr>
        <w:t> </w:t>
      </w:r>
      <w:r>
        <w:rPr/>
        <w:t>satisfy</w:t>
      </w:r>
      <w:r>
        <w:rPr>
          <w:spacing w:val="-3"/>
        </w:rPr>
        <w:t> </w:t>
      </w:r>
      <w:r>
        <w:rPr/>
        <w:t>its</w:t>
      </w:r>
      <w:r>
        <w:rPr>
          <w:spacing w:val="-3"/>
        </w:rPr>
        <w:t> </w:t>
      </w:r>
      <w:r>
        <w:rPr/>
        <w:t>obligations</w:t>
      </w:r>
      <w:r>
        <w:rPr>
          <w:spacing w:val="-4"/>
        </w:rPr>
        <w:t> </w:t>
      </w:r>
      <w:r>
        <w:rPr/>
        <w:t>to</w:t>
      </w:r>
      <w:r>
        <w:rPr>
          <w:spacing w:val="-3"/>
        </w:rPr>
        <w:t> </w:t>
      </w:r>
      <w:r>
        <w:rPr/>
        <w:t>the</w:t>
      </w:r>
      <w:r>
        <w:rPr>
          <w:spacing w:val="-3"/>
        </w:rPr>
        <w:t> </w:t>
      </w:r>
      <w:r>
        <w:rPr/>
        <w:t>clearing</w:t>
      </w:r>
      <w:r>
        <w:rPr>
          <w:spacing w:val="-3"/>
        </w:rPr>
        <w:t> </w:t>
      </w:r>
      <w:r>
        <w:rPr/>
        <w:t>houses</w:t>
      </w:r>
      <w:r>
        <w:rPr>
          <w:spacing w:val="-3"/>
        </w:rPr>
        <w:t> </w:t>
      </w:r>
      <w:r>
        <w:rPr/>
        <w:t>and</w:t>
      </w:r>
      <w:r>
        <w:rPr>
          <w:spacing w:val="-3"/>
        </w:rPr>
        <w:t> </w:t>
      </w:r>
      <w:r>
        <w:rPr/>
        <w:t>exchanges,</w:t>
      </w:r>
      <w:r>
        <w:rPr>
          <w:spacing w:val="-3"/>
        </w:rPr>
        <w:t> </w:t>
      </w:r>
      <w:r>
        <w:rPr/>
        <w:t>other</w:t>
      </w:r>
      <w:r>
        <w:rPr>
          <w:spacing w:val="-3"/>
        </w:rPr>
        <w:t> </w:t>
      </w:r>
      <w:r>
        <w:rPr/>
        <w:t>members</w:t>
      </w:r>
      <w:r>
        <w:rPr>
          <w:spacing w:val="-3"/>
        </w:rPr>
        <w:t> </w:t>
      </w:r>
      <w:r>
        <w:rPr/>
        <w:t>would</w:t>
      </w:r>
      <w:r>
        <w:rPr>
          <w:spacing w:val="-3"/>
        </w:rPr>
        <w:t> </w:t>
      </w:r>
      <w:r>
        <w:rPr/>
        <w:t>be</w:t>
      </w:r>
      <w:r>
        <w:rPr>
          <w:spacing w:val="-3"/>
        </w:rPr>
        <w:t> </w:t>
      </w:r>
      <w:r>
        <w:rPr/>
        <w:t>required</w:t>
      </w:r>
      <w:r>
        <w:rPr>
          <w:spacing w:val="-3"/>
        </w:rPr>
        <w:t> </w:t>
      </w:r>
      <w:r>
        <w:rPr/>
        <w:t>to</w:t>
      </w:r>
      <w:r>
        <w:rPr>
          <w:spacing w:val="-3"/>
        </w:rPr>
        <w:t> </w:t>
      </w:r>
      <w:r>
        <w:rPr/>
        <w:t>meet</w:t>
      </w:r>
      <w:r>
        <w:rPr>
          <w:spacing w:val="-3"/>
        </w:rPr>
        <w:t> </w:t>
      </w:r>
      <w:r>
        <w:rPr/>
        <w:t>shortfalls.</w:t>
      </w:r>
      <w:r>
        <w:rPr>
          <w:spacing w:val="-3"/>
        </w:rPr>
        <w:t> </w:t>
      </w:r>
      <w:r>
        <w:rPr/>
        <w:t>The Company’s liability under these arrangements is not quantifiable and may exceed the amounts it has posted as collateral. The Company also engages third-party firms to clear clients’ futures and options on futures transactions and to facilitate clients’ foreign exchange trading, and has agreed to indemnify these firms for any losses that they may incur from the client transactions introduced to them by the Company. The potential requirement for the Company to make payments under these arrangements is remote. Accordingly, no liability has been recognized for these guarantees.</w:t>
      </w:r>
    </w:p>
    <w:p>
      <w:pPr>
        <w:pStyle w:val="BodyText"/>
      </w:pPr>
    </w:p>
    <w:p>
      <w:pPr>
        <w:pStyle w:val="BodyText"/>
        <w:spacing w:line="249" w:lineRule="auto" w:before="1"/>
        <w:ind w:left="470" w:right="505"/>
      </w:pPr>
      <w:r>
        <w:rPr>
          <w:i/>
        </w:rPr>
        <w:t>IDA agreement: </w:t>
      </w:r>
      <w:r>
        <w:rPr/>
        <w:t>The 2019 IDA agreement with the TD Depository Institutions became effective on October 6, 2020 and</w:t>
      </w:r>
      <w:r>
        <w:rPr>
          <w:spacing w:val="40"/>
        </w:rPr>
        <w:t> </w:t>
      </w:r>
      <w:r>
        <w:rPr/>
        <w:t>created responsibilities of the Company and certain contingent obligations. On May 4, 2023, the 2019 IDA agreement was replaced and superseded by the 2023 IDA agreement, which specifies responsibilities, including certain contingent obligations, of the</w:t>
      </w:r>
      <w:r>
        <w:rPr>
          <w:spacing w:val="-1"/>
        </w:rPr>
        <w:t> </w:t>
      </w:r>
      <w:r>
        <w:rPr/>
        <w:t>Company going forward. Pursuant</w:t>
      </w:r>
      <w:r>
        <w:rPr>
          <w:spacing w:val="-1"/>
        </w:rPr>
        <w:t> </w:t>
      </w:r>
      <w:r>
        <w:rPr/>
        <w:t>to the</w:t>
      </w:r>
      <w:r>
        <w:rPr>
          <w:spacing w:val="-1"/>
        </w:rPr>
        <w:t> </w:t>
      </w:r>
      <w:r>
        <w:rPr/>
        <w:t>2023 IDA</w:t>
      </w:r>
      <w:r>
        <w:rPr>
          <w:spacing w:val="-1"/>
        </w:rPr>
        <w:t> </w:t>
      </w:r>
      <w:r>
        <w:rPr/>
        <w:t>agreement, uninvested cash within eligible</w:t>
      </w:r>
      <w:r>
        <w:rPr>
          <w:spacing w:val="-1"/>
        </w:rPr>
        <w:t> </w:t>
      </w:r>
      <w:r>
        <w:rPr/>
        <w:t>brokerage</w:t>
      </w:r>
      <w:r>
        <w:rPr>
          <w:spacing w:val="-1"/>
        </w:rPr>
        <w:t> </w:t>
      </w:r>
      <w:r>
        <w:rPr/>
        <w:t>client</w:t>
      </w:r>
      <w:r>
        <w:rPr>
          <w:spacing w:val="-1"/>
        </w:rPr>
        <w:t> </w:t>
      </w:r>
      <w:r>
        <w:rPr/>
        <w:t>accounts is swept off-balance sheet to deposit accounts at the TD Depository Institutions. Schwab provides recordkeeping and support services</w:t>
      </w:r>
      <w:r>
        <w:rPr>
          <w:spacing w:val="-4"/>
        </w:rPr>
        <w:t> </w:t>
      </w:r>
      <w:r>
        <w:rPr/>
        <w:t>to</w:t>
      </w:r>
      <w:r>
        <w:rPr>
          <w:spacing w:val="-3"/>
        </w:rPr>
        <w:t> </w:t>
      </w:r>
      <w:r>
        <w:rPr/>
        <w:t>the</w:t>
      </w:r>
      <w:r>
        <w:rPr>
          <w:spacing w:val="-4"/>
        </w:rPr>
        <w:t> </w:t>
      </w:r>
      <w:r>
        <w:rPr/>
        <w:t>TD</w:t>
      </w:r>
      <w:r>
        <w:rPr>
          <w:spacing w:val="-4"/>
        </w:rPr>
        <w:t> </w:t>
      </w:r>
      <w:r>
        <w:rPr/>
        <w:t>Depository</w:t>
      </w:r>
      <w:r>
        <w:rPr>
          <w:spacing w:val="-3"/>
        </w:rPr>
        <w:t> </w:t>
      </w:r>
      <w:r>
        <w:rPr/>
        <w:t>Institutions</w:t>
      </w:r>
      <w:r>
        <w:rPr>
          <w:spacing w:val="-4"/>
        </w:rPr>
        <w:t> </w:t>
      </w:r>
      <w:r>
        <w:rPr/>
        <w:t>with</w:t>
      </w:r>
      <w:r>
        <w:rPr>
          <w:spacing w:val="-3"/>
        </w:rPr>
        <w:t> </w:t>
      </w:r>
      <w:r>
        <w:rPr/>
        <w:t>respect</w:t>
      </w:r>
      <w:r>
        <w:rPr>
          <w:spacing w:val="-4"/>
        </w:rPr>
        <w:t> </w:t>
      </w:r>
      <w:r>
        <w:rPr/>
        <w:t>to</w:t>
      </w:r>
      <w:r>
        <w:rPr>
          <w:spacing w:val="-3"/>
        </w:rPr>
        <w:t> </w:t>
      </w:r>
      <w:r>
        <w:rPr/>
        <w:t>the</w:t>
      </w:r>
      <w:r>
        <w:rPr>
          <w:spacing w:val="-4"/>
        </w:rPr>
        <w:t> </w:t>
      </w:r>
      <w:r>
        <w:rPr/>
        <w:t>deposit</w:t>
      </w:r>
      <w:r>
        <w:rPr>
          <w:spacing w:val="-4"/>
        </w:rPr>
        <w:t> </w:t>
      </w:r>
      <w:r>
        <w:rPr/>
        <w:t>accounts</w:t>
      </w:r>
      <w:r>
        <w:rPr>
          <w:spacing w:val="-4"/>
        </w:rPr>
        <w:t> </w:t>
      </w:r>
      <w:r>
        <w:rPr/>
        <w:t>for</w:t>
      </w:r>
      <w:r>
        <w:rPr>
          <w:spacing w:val="-3"/>
        </w:rPr>
        <w:t> </w:t>
      </w:r>
      <w:r>
        <w:rPr/>
        <w:t>which</w:t>
      </w:r>
      <w:r>
        <w:rPr>
          <w:spacing w:val="-3"/>
        </w:rPr>
        <w:t> </w:t>
      </w:r>
      <w:r>
        <w:rPr/>
        <w:t>Schwab</w:t>
      </w:r>
      <w:r>
        <w:rPr>
          <w:spacing w:val="-3"/>
        </w:rPr>
        <w:t> </w:t>
      </w:r>
      <w:r>
        <w:rPr/>
        <w:t>receives</w:t>
      </w:r>
      <w:r>
        <w:rPr>
          <w:spacing w:val="-4"/>
        </w:rPr>
        <w:t> </w:t>
      </w:r>
      <w:r>
        <w:rPr/>
        <w:t>an</w:t>
      </w:r>
      <w:r>
        <w:rPr>
          <w:spacing w:val="-3"/>
        </w:rPr>
        <w:t> </w:t>
      </w:r>
      <w:r>
        <w:rPr/>
        <w:t>aggregate</w:t>
      </w:r>
      <w:r>
        <w:rPr>
          <w:spacing w:val="-4"/>
        </w:rPr>
        <w:t> </w:t>
      </w:r>
      <w:r>
        <w:rPr/>
        <w:t>monthly fee. The Company’s ability to migrate these balances to its balance sheet is dependent on multiple factors including having sufficient capital levels to sustain these incremental deposits and certain binding limitations specified in the 2023 IDA agreement, and, prior to May 4, 2023, the 2019 IDA agreement.</w:t>
      </w:r>
    </w:p>
    <w:p>
      <w:pPr>
        <w:pStyle w:val="BodyText"/>
        <w:spacing w:before="17"/>
      </w:pPr>
    </w:p>
    <w:p>
      <w:pPr>
        <w:pStyle w:val="BodyText"/>
        <w:spacing w:line="249" w:lineRule="auto"/>
        <w:ind w:left="470" w:right="500"/>
      </w:pPr>
      <w:r>
        <w:rPr/>
        <w:t>The</w:t>
      </w:r>
      <w:r>
        <w:rPr>
          <w:spacing w:val="-3"/>
        </w:rPr>
        <w:t> </w:t>
      </w:r>
      <w:r>
        <w:rPr/>
        <w:t>2019</w:t>
      </w:r>
      <w:r>
        <w:rPr>
          <w:spacing w:val="-2"/>
        </w:rPr>
        <w:t> </w:t>
      </w:r>
      <w:r>
        <w:rPr/>
        <w:t>IDA</w:t>
      </w:r>
      <w:r>
        <w:rPr>
          <w:spacing w:val="-3"/>
        </w:rPr>
        <w:t> </w:t>
      </w:r>
      <w:r>
        <w:rPr/>
        <w:t>agreement</w:t>
      </w:r>
      <w:r>
        <w:rPr>
          <w:spacing w:val="-3"/>
        </w:rPr>
        <w:t> </w:t>
      </w:r>
      <w:r>
        <w:rPr/>
        <w:t>provided</w:t>
      </w:r>
      <w:r>
        <w:rPr>
          <w:spacing w:val="-2"/>
        </w:rPr>
        <w:t> </w:t>
      </w:r>
      <w:r>
        <w:rPr/>
        <w:t>that,</w:t>
      </w:r>
      <w:r>
        <w:rPr>
          <w:spacing w:val="-2"/>
        </w:rPr>
        <w:t> </w:t>
      </w:r>
      <w:r>
        <w:rPr/>
        <w:t>as</w:t>
      </w:r>
      <w:r>
        <w:rPr>
          <w:spacing w:val="-3"/>
        </w:rPr>
        <w:t> </w:t>
      </w:r>
      <w:r>
        <w:rPr/>
        <w:t>of</w:t>
      </w:r>
      <w:r>
        <w:rPr>
          <w:spacing w:val="-2"/>
        </w:rPr>
        <w:t> </w:t>
      </w:r>
      <w:r>
        <w:rPr/>
        <w:t>July</w:t>
      </w:r>
      <w:r>
        <w:rPr>
          <w:spacing w:val="-2"/>
        </w:rPr>
        <w:t> </w:t>
      </w:r>
      <w:r>
        <w:rPr/>
        <w:t>1,</w:t>
      </w:r>
      <w:r>
        <w:rPr>
          <w:spacing w:val="-2"/>
        </w:rPr>
        <w:t> </w:t>
      </w:r>
      <w:r>
        <w:rPr/>
        <w:t>2021,</w:t>
      </w:r>
      <w:r>
        <w:rPr>
          <w:spacing w:val="-2"/>
        </w:rPr>
        <w:t> </w:t>
      </w:r>
      <w:r>
        <w:rPr/>
        <w:t>Schwab</w:t>
      </w:r>
      <w:r>
        <w:rPr>
          <w:spacing w:val="-2"/>
        </w:rPr>
        <w:t> </w:t>
      </w:r>
      <w:r>
        <w:rPr/>
        <w:t>had</w:t>
      </w:r>
      <w:r>
        <w:rPr>
          <w:spacing w:val="-2"/>
        </w:rPr>
        <w:t> </w:t>
      </w:r>
      <w:r>
        <w:rPr/>
        <w:t>the</w:t>
      </w:r>
      <w:r>
        <w:rPr>
          <w:spacing w:val="-3"/>
        </w:rPr>
        <w:t> </w:t>
      </w:r>
      <w:r>
        <w:rPr/>
        <w:t>option</w:t>
      </w:r>
      <w:r>
        <w:rPr>
          <w:spacing w:val="-2"/>
        </w:rPr>
        <w:t> </w:t>
      </w:r>
      <w:r>
        <w:rPr/>
        <w:t>to</w:t>
      </w:r>
      <w:r>
        <w:rPr>
          <w:spacing w:val="-2"/>
        </w:rPr>
        <w:t> </w:t>
      </w:r>
      <w:r>
        <w:rPr/>
        <w:t>migrate</w:t>
      </w:r>
      <w:r>
        <w:rPr>
          <w:spacing w:val="-3"/>
        </w:rPr>
        <w:t> </w:t>
      </w:r>
      <w:r>
        <w:rPr/>
        <w:t>up</w:t>
      </w:r>
      <w:r>
        <w:rPr>
          <w:spacing w:val="-2"/>
        </w:rPr>
        <w:t> </w:t>
      </w:r>
      <w:r>
        <w:rPr/>
        <w:t>to</w:t>
      </w:r>
      <w:r>
        <w:rPr>
          <w:spacing w:val="-2"/>
        </w:rPr>
        <w:t> </w:t>
      </w:r>
      <w:r>
        <w:rPr/>
        <w:t>$10</w:t>
      </w:r>
      <w:r>
        <w:rPr>
          <w:spacing w:val="-2"/>
        </w:rPr>
        <w:t> </w:t>
      </w:r>
      <w:r>
        <w:rPr/>
        <w:t>billion</w:t>
      </w:r>
      <w:r>
        <w:rPr>
          <w:spacing w:val="-2"/>
        </w:rPr>
        <w:t> </w:t>
      </w:r>
      <w:r>
        <w:rPr/>
        <w:t>of</w:t>
      </w:r>
      <w:r>
        <w:rPr>
          <w:spacing w:val="-2"/>
        </w:rPr>
        <w:t> </w:t>
      </w:r>
      <w:r>
        <w:rPr/>
        <w:t>IDA</w:t>
      </w:r>
      <w:r>
        <w:rPr>
          <w:spacing w:val="-3"/>
        </w:rPr>
        <w:t> </w:t>
      </w:r>
      <w:r>
        <w:rPr/>
        <w:t>balances every 12 months to Schwab’s balance sheet, subject to certain limitations and adjustments. The Company migrated balances to the balance sheet in 2021 and 2022, subject to the terms of the 2019 IDA agreement. During the first nine months of 2023, Schwab did not move IDA balances to its balance sheet.</w:t>
      </w:r>
    </w:p>
    <w:p>
      <w:pPr>
        <w:pStyle w:val="BodyText"/>
        <w:spacing w:before="13"/>
      </w:pPr>
    </w:p>
    <w:p>
      <w:pPr>
        <w:pStyle w:val="BodyText"/>
        <w:spacing w:line="249" w:lineRule="auto"/>
        <w:ind w:left="470" w:right="470"/>
      </w:pPr>
      <w:r>
        <w:rPr/>
        <w:t>The</w:t>
      </w:r>
      <w:r>
        <w:rPr>
          <w:spacing w:val="-3"/>
        </w:rPr>
        <w:t> </w:t>
      </w:r>
      <w:r>
        <w:rPr/>
        <w:t>2023</w:t>
      </w:r>
      <w:r>
        <w:rPr>
          <w:spacing w:val="-2"/>
        </w:rPr>
        <w:t> </w:t>
      </w:r>
      <w:r>
        <w:rPr/>
        <w:t>IDA</w:t>
      </w:r>
      <w:r>
        <w:rPr>
          <w:spacing w:val="-3"/>
        </w:rPr>
        <w:t> </w:t>
      </w:r>
      <w:r>
        <w:rPr/>
        <w:t>agreement</w:t>
      </w:r>
      <w:r>
        <w:rPr>
          <w:spacing w:val="-3"/>
        </w:rPr>
        <w:t> </w:t>
      </w:r>
      <w:r>
        <w:rPr/>
        <w:t>extends</w:t>
      </w:r>
      <w:r>
        <w:rPr>
          <w:spacing w:val="-3"/>
        </w:rPr>
        <w:t> </w:t>
      </w:r>
      <w:r>
        <w:rPr/>
        <w:t>the</w:t>
      </w:r>
      <w:r>
        <w:rPr>
          <w:spacing w:val="-3"/>
        </w:rPr>
        <w:t> </w:t>
      </w:r>
      <w:r>
        <w:rPr/>
        <w:t>agreement</w:t>
      </w:r>
      <w:r>
        <w:rPr>
          <w:spacing w:val="-3"/>
        </w:rPr>
        <w:t> </w:t>
      </w:r>
      <w:r>
        <w:rPr/>
        <w:t>term</w:t>
      </w:r>
      <w:r>
        <w:rPr>
          <w:spacing w:val="-3"/>
        </w:rPr>
        <w:t> </w:t>
      </w:r>
      <w:r>
        <w:rPr/>
        <w:t>to</w:t>
      </w:r>
      <w:r>
        <w:rPr>
          <w:spacing w:val="-2"/>
        </w:rPr>
        <w:t> </w:t>
      </w:r>
      <w:r>
        <w:rPr/>
        <w:t>sweep</w:t>
      </w:r>
      <w:r>
        <w:rPr>
          <w:spacing w:val="-2"/>
        </w:rPr>
        <w:t> </w:t>
      </w:r>
      <w:r>
        <w:rPr/>
        <w:t>balances</w:t>
      </w:r>
      <w:r>
        <w:rPr>
          <w:spacing w:val="-3"/>
        </w:rPr>
        <w:t> </w:t>
      </w:r>
      <w:r>
        <w:rPr/>
        <w:t>to</w:t>
      </w:r>
      <w:r>
        <w:rPr>
          <w:spacing w:val="-2"/>
        </w:rPr>
        <w:t> </w:t>
      </w:r>
      <w:r>
        <w:rPr/>
        <w:t>the</w:t>
      </w:r>
      <w:r>
        <w:rPr>
          <w:spacing w:val="-3"/>
        </w:rPr>
        <w:t> </w:t>
      </w:r>
      <w:r>
        <w:rPr/>
        <w:t>TD</w:t>
      </w:r>
      <w:r>
        <w:rPr>
          <w:spacing w:val="-3"/>
        </w:rPr>
        <w:t> </w:t>
      </w:r>
      <w:r>
        <w:rPr/>
        <w:t>Depository</w:t>
      </w:r>
      <w:r>
        <w:rPr>
          <w:spacing w:val="-2"/>
        </w:rPr>
        <w:t> </w:t>
      </w:r>
      <w:r>
        <w:rPr/>
        <w:t>Institutions</w:t>
      </w:r>
      <w:r>
        <w:rPr>
          <w:spacing w:val="-3"/>
        </w:rPr>
        <w:t> </w:t>
      </w:r>
      <w:r>
        <w:rPr/>
        <w:t>through</w:t>
      </w:r>
      <w:r>
        <w:rPr>
          <w:spacing w:val="-2"/>
        </w:rPr>
        <w:t> </w:t>
      </w:r>
      <w:r>
        <w:rPr/>
        <w:t>July</w:t>
      </w:r>
      <w:r>
        <w:rPr>
          <w:spacing w:val="-2"/>
        </w:rPr>
        <w:t> </w:t>
      </w:r>
      <w:r>
        <w:rPr/>
        <w:t>1,</w:t>
      </w:r>
      <w:r>
        <w:rPr>
          <w:spacing w:val="-2"/>
        </w:rPr>
        <w:t> </w:t>
      </w:r>
      <w:r>
        <w:rPr/>
        <w:t>2034, and requires that Schwab maintain minimum and maximum IDA balances as follows:</w:t>
      </w:r>
    </w:p>
    <w:p>
      <w:pPr>
        <w:pStyle w:val="BodyText"/>
        <w:spacing w:before="11"/>
      </w:pPr>
    </w:p>
    <w:p>
      <w:pPr>
        <w:pStyle w:val="ListParagraph"/>
        <w:numPr>
          <w:ilvl w:val="0"/>
          <w:numId w:val="7"/>
        </w:numPr>
        <w:tabs>
          <w:tab w:pos="1190" w:val="left" w:leader="none"/>
        </w:tabs>
        <w:spacing w:line="249" w:lineRule="auto" w:before="1" w:after="0"/>
        <w:ind w:left="1190" w:right="513" w:hanging="360"/>
        <w:jc w:val="left"/>
        <w:rPr>
          <w:sz w:val="20"/>
        </w:rPr>
      </w:pPr>
      <w:r>
        <w:rPr>
          <w:sz w:val="20"/>
        </w:rPr>
        <w:t>Through September 10, 2025, Schwab must maintain minimum balances above the total of then-outstanding unmatured fixed-rate obligation amounts, with a maximum of $30 billion above this total amount. During this period, withdrawals</w:t>
      </w:r>
      <w:r>
        <w:rPr>
          <w:spacing w:val="-4"/>
          <w:sz w:val="20"/>
        </w:rPr>
        <w:t> </w:t>
      </w:r>
      <w:r>
        <w:rPr>
          <w:sz w:val="20"/>
        </w:rPr>
        <w:t>of</w:t>
      </w:r>
      <w:r>
        <w:rPr>
          <w:spacing w:val="-3"/>
          <w:sz w:val="20"/>
        </w:rPr>
        <w:t> </w:t>
      </w:r>
      <w:r>
        <w:rPr>
          <w:sz w:val="20"/>
        </w:rPr>
        <w:t>IDA</w:t>
      </w:r>
      <w:r>
        <w:rPr>
          <w:spacing w:val="-4"/>
          <w:sz w:val="20"/>
        </w:rPr>
        <w:t> </w:t>
      </w:r>
      <w:r>
        <w:rPr>
          <w:sz w:val="20"/>
        </w:rPr>
        <w:t>balances</w:t>
      </w:r>
      <w:r>
        <w:rPr>
          <w:spacing w:val="-4"/>
          <w:sz w:val="20"/>
        </w:rPr>
        <w:t> </w:t>
      </w:r>
      <w:r>
        <w:rPr>
          <w:sz w:val="20"/>
        </w:rPr>
        <w:t>by</w:t>
      </w:r>
      <w:r>
        <w:rPr>
          <w:spacing w:val="-3"/>
          <w:sz w:val="20"/>
        </w:rPr>
        <w:t> </w:t>
      </w:r>
      <w:r>
        <w:rPr>
          <w:sz w:val="20"/>
        </w:rPr>
        <w:t>Schwab</w:t>
      </w:r>
      <w:r>
        <w:rPr>
          <w:spacing w:val="-3"/>
          <w:sz w:val="20"/>
        </w:rPr>
        <w:t> </w:t>
      </w:r>
      <w:r>
        <w:rPr>
          <w:sz w:val="20"/>
        </w:rPr>
        <w:t>are</w:t>
      </w:r>
      <w:r>
        <w:rPr>
          <w:spacing w:val="-4"/>
          <w:sz w:val="20"/>
        </w:rPr>
        <w:t> </w:t>
      </w:r>
      <w:r>
        <w:rPr>
          <w:sz w:val="20"/>
        </w:rPr>
        <w:t>generally</w:t>
      </w:r>
      <w:r>
        <w:rPr>
          <w:spacing w:val="-3"/>
          <w:sz w:val="20"/>
        </w:rPr>
        <w:t> </w:t>
      </w:r>
      <w:r>
        <w:rPr>
          <w:sz w:val="20"/>
        </w:rPr>
        <w:t>permitted</w:t>
      </w:r>
      <w:r>
        <w:rPr>
          <w:spacing w:val="-3"/>
          <w:sz w:val="20"/>
        </w:rPr>
        <w:t> </w:t>
      </w:r>
      <w:r>
        <w:rPr>
          <w:sz w:val="20"/>
        </w:rPr>
        <w:t>only</w:t>
      </w:r>
      <w:r>
        <w:rPr>
          <w:spacing w:val="-3"/>
          <w:sz w:val="20"/>
        </w:rPr>
        <w:t> </w:t>
      </w:r>
      <w:r>
        <w:rPr>
          <w:sz w:val="20"/>
        </w:rPr>
        <w:t>to</w:t>
      </w:r>
      <w:r>
        <w:rPr>
          <w:spacing w:val="-3"/>
          <w:sz w:val="20"/>
        </w:rPr>
        <w:t> </w:t>
      </w:r>
      <w:r>
        <w:rPr>
          <w:sz w:val="20"/>
        </w:rPr>
        <w:t>the</w:t>
      </w:r>
      <w:r>
        <w:rPr>
          <w:spacing w:val="-4"/>
          <w:sz w:val="20"/>
        </w:rPr>
        <w:t> </w:t>
      </w:r>
      <w:r>
        <w:rPr>
          <w:sz w:val="20"/>
        </w:rPr>
        <w:t>extent</w:t>
      </w:r>
      <w:r>
        <w:rPr>
          <w:spacing w:val="-4"/>
          <w:sz w:val="20"/>
        </w:rPr>
        <w:t> </w:t>
      </w:r>
      <w:r>
        <w:rPr>
          <w:sz w:val="20"/>
        </w:rPr>
        <w:t>of</w:t>
      </w:r>
      <w:r>
        <w:rPr>
          <w:spacing w:val="-3"/>
          <w:sz w:val="20"/>
        </w:rPr>
        <w:t> </w:t>
      </w:r>
      <w:r>
        <w:rPr>
          <w:sz w:val="20"/>
        </w:rPr>
        <w:t>withdrawals</w:t>
      </w:r>
      <w:r>
        <w:rPr>
          <w:spacing w:val="-4"/>
          <w:sz w:val="20"/>
        </w:rPr>
        <w:t> </w:t>
      </w:r>
      <w:r>
        <w:rPr>
          <w:sz w:val="20"/>
        </w:rPr>
        <w:t>initiated</w:t>
      </w:r>
      <w:r>
        <w:rPr>
          <w:spacing w:val="-3"/>
          <w:sz w:val="20"/>
        </w:rPr>
        <w:t> </w:t>
      </w:r>
      <w:r>
        <w:rPr>
          <w:sz w:val="20"/>
        </w:rPr>
        <w:t>by</w:t>
      </w:r>
      <w:r>
        <w:rPr>
          <w:spacing w:val="-3"/>
          <w:sz w:val="20"/>
        </w:rPr>
        <w:t> </w:t>
      </w:r>
      <w:r>
        <w:rPr>
          <w:sz w:val="20"/>
        </w:rPr>
        <w:t>Schwab customers, with limited exceptions, except to the extent necessary for Schwab to maintain balances below the applicable maximum.</w:t>
      </w:r>
    </w:p>
    <w:p>
      <w:pPr>
        <w:pStyle w:val="ListParagraph"/>
        <w:numPr>
          <w:ilvl w:val="0"/>
          <w:numId w:val="7"/>
        </w:numPr>
        <w:tabs>
          <w:tab w:pos="1190" w:val="left" w:leader="none"/>
        </w:tabs>
        <w:spacing w:line="249" w:lineRule="auto" w:before="4" w:after="0"/>
        <w:ind w:left="1190" w:right="557" w:hanging="360"/>
        <w:jc w:val="left"/>
        <w:rPr>
          <w:sz w:val="20"/>
        </w:rPr>
      </w:pPr>
      <w:r>
        <w:rPr>
          <w:sz w:val="20"/>
        </w:rPr>
        <w:t>After</w:t>
      </w:r>
      <w:r>
        <w:rPr>
          <w:spacing w:val="-3"/>
          <w:sz w:val="20"/>
        </w:rPr>
        <w:t> </w:t>
      </w:r>
      <w:r>
        <w:rPr>
          <w:sz w:val="20"/>
        </w:rPr>
        <w:t>September</w:t>
      </w:r>
      <w:r>
        <w:rPr>
          <w:spacing w:val="-3"/>
          <w:sz w:val="20"/>
        </w:rPr>
        <w:t> </w:t>
      </w:r>
      <w:r>
        <w:rPr>
          <w:sz w:val="20"/>
        </w:rPr>
        <w:t>10,</w:t>
      </w:r>
      <w:r>
        <w:rPr>
          <w:spacing w:val="-3"/>
          <w:sz w:val="20"/>
        </w:rPr>
        <w:t> </w:t>
      </w:r>
      <w:r>
        <w:rPr>
          <w:sz w:val="20"/>
        </w:rPr>
        <w:t>2025,</w:t>
      </w:r>
      <w:r>
        <w:rPr>
          <w:spacing w:val="-3"/>
          <w:sz w:val="20"/>
        </w:rPr>
        <w:t> </w:t>
      </w:r>
      <w:r>
        <w:rPr>
          <w:sz w:val="20"/>
        </w:rPr>
        <w:t>withdrawals</w:t>
      </w:r>
      <w:r>
        <w:rPr>
          <w:spacing w:val="-4"/>
          <w:sz w:val="20"/>
        </w:rPr>
        <w:t> </w:t>
      </w:r>
      <w:r>
        <w:rPr>
          <w:sz w:val="20"/>
        </w:rPr>
        <w:t>of</w:t>
      </w:r>
      <w:r>
        <w:rPr>
          <w:spacing w:val="-3"/>
          <w:sz w:val="20"/>
        </w:rPr>
        <w:t> </w:t>
      </w:r>
      <w:r>
        <w:rPr>
          <w:sz w:val="20"/>
        </w:rPr>
        <w:t>IDA</w:t>
      </w:r>
      <w:r>
        <w:rPr>
          <w:spacing w:val="-4"/>
          <w:sz w:val="20"/>
        </w:rPr>
        <w:t> </w:t>
      </w:r>
      <w:r>
        <w:rPr>
          <w:sz w:val="20"/>
        </w:rPr>
        <w:t>balances</w:t>
      </w:r>
      <w:r>
        <w:rPr>
          <w:spacing w:val="-4"/>
          <w:sz w:val="20"/>
        </w:rPr>
        <w:t> </w:t>
      </w:r>
      <w:r>
        <w:rPr>
          <w:sz w:val="20"/>
        </w:rPr>
        <w:t>are</w:t>
      </w:r>
      <w:r>
        <w:rPr>
          <w:spacing w:val="-4"/>
          <w:sz w:val="20"/>
        </w:rPr>
        <w:t> </w:t>
      </w:r>
      <w:r>
        <w:rPr>
          <w:sz w:val="20"/>
        </w:rPr>
        <w:t>permitted</w:t>
      </w:r>
      <w:r>
        <w:rPr>
          <w:spacing w:val="-3"/>
          <w:sz w:val="20"/>
        </w:rPr>
        <w:t> </w:t>
      </w:r>
      <w:r>
        <w:rPr>
          <w:sz w:val="20"/>
        </w:rPr>
        <w:t>at</w:t>
      </w:r>
      <w:r>
        <w:rPr>
          <w:spacing w:val="-4"/>
          <w:sz w:val="20"/>
        </w:rPr>
        <w:t> </w:t>
      </w:r>
      <w:r>
        <w:rPr>
          <w:sz w:val="20"/>
        </w:rPr>
        <w:t>Schwab’s</w:t>
      </w:r>
      <w:r>
        <w:rPr>
          <w:spacing w:val="-4"/>
          <w:sz w:val="20"/>
        </w:rPr>
        <w:t> </w:t>
      </w:r>
      <w:r>
        <w:rPr>
          <w:sz w:val="20"/>
        </w:rPr>
        <w:t>discretion,</w:t>
      </w:r>
      <w:r>
        <w:rPr>
          <w:spacing w:val="-3"/>
          <w:sz w:val="20"/>
        </w:rPr>
        <w:t> </w:t>
      </w:r>
      <w:r>
        <w:rPr>
          <w:sz w:val="20"/>
        </w:rPr>
        <w:t>subject</w:t>
      </w:r>
      <w:r>
        <w:rPr>
          <w:spacing w:val="-4"/>
          <w:sz w:val="20"/>
        </w:rPr>
        <w:t> </w:t>
      </w:r>
      <w:r>
        <w:rPr>
          <w:sz w:val="20"/>
        </w:rPr>
        <w:t>to</w:t>
      </w:r>
      <w:r>
        <w:rPr>
          <w:spacing w:val="-3"/>
          <w:sz w:val="20"/>
        </w:rPr>
        <w:t> </w:t>
      </w:r>
      <w:r>
        <w:rPr>
          <w:sz w:val="20"/>
        </w:rPr>
        <w:t>an</w:t>
      </w:r>
      <w:r>
        <w:rPr>
          <w:spacing w:val="-3"/>
          <w:sz w:val="20"/>
        </w:rPr>
        <w:t> </w:t>
      </w:r>
      <w:r>
        <w:rPr>
          <w:sz w:val="20"/>
        </w:rPr>
        <w:t>obligation to maintain IDA balances above a minimum of $60 billion, with a maximum of $90 billion.</w:t>
      </w:r>
    </w:p>
    <w:p>
      <w:pPr>
        <w:spacing w:after="0" w:line="249" w:lineRule="auto"/>
        <w:jc w:val="left"/>
        <w:rPr>
          <w:sz w:val="20"/>
        </w:rPr>
        <w:sectPr>
          <w:pgSz w:w="12240" w:h="15840"/>
          <w:pgMar w:header="227" w:footer="201" w:top="1080" w:bottom="400" w:left="520" w:right="520"/>
        </w:sectPr>
      </w:pPr>
    </w:p>
    <w:p>
      <w:pPr>
        <w:pStyle w:val="BodyText"/>
        <w:spacing w:line="249" w:lineRule="auto" w:before="214"/>
        <w:ind w:left="470" w:right="500"/>
      </w:pPr>
      <w:r>
        <w:rPr/>
        <w:t>The 2023 IDA agreement eliminates the requirement of the 2019 IDA agreement that at least 80% of the IDA balances be designated as fixed-rate obligation amounts. Designation of deposit balances for investment in fixed- or floating-rate instruments</w:t>
      </w:r>
      <w:r>
        <w:rPr>
          <w:spacing w:val="-3"/>
        </w:rPr>
        <w:t> </w:t>
      </w:r>
      <w:r>
        <w:rPr/>
        <w:t>under</w:t>
      </w:r>
      <w:r>
        <w:rPr>
          <w:spacing w:val="-2"/>
        </w:rPr>
        <w:t> </w:t>
      </w:r>
      <w:r>
        <w:rPr/>
        <w:t>the</w:t>
      </w:r>
      <w:r>
        <w:rPr>
          <w:spacing w:val="-3"/>
        </w:rPr>
        <w:t> </w:t>
      </w:r>
      <w:r>
        <w:rPr/>
        <w:t>2023</w:t>
      </w:r>
      <w:r>
        <w:rPr>
          <w:spacing w:val="-2"/>
        </w:rPr>
        <w:t> </w:t>
      </w:r>
      <w:r>
        <w:rPr/>
        <w:t>IDA</w:t>
      </w:r>
      <w:r>
        <w:rPr>
          <w:spacing w:val="-3"/>
        </w:rPr>
        <w:t> </w:t>
      </w:r>
      <w:r>
        <w:rPr/>
        <w:t>agreement</w:t>
      </w:r>
      <w:r>
        <w:rPr>
          <w:spacing w:val="-3"/>
        </w:rPr>
        <w:t> </w:t>
      </w:r>
      <w:r>
        <w:rPr/>
        <w:t>is</w:t>
      </w:r>
      <w:r>
        <w:rPr>
          <w:spacing w:val="-3"/>
        </w:rPr>
        <w:t> </w:t>
      </w:r>
      <w:r>
        <w:rPr/>
        <w:t>now</w:t>
      </w:r>
      <w:r>
        <w:rPr>
          <w:spacing w:val="-3"/>
        </w:rPr>
        <w:t> </w:t>
      </w:r>
      <w:r>
        <w:rPr/>
        <w:t>at</w:t>
      </w:r>
      <w:r>
        <w:rPr>
          <w:spacing w:val="-3"/>
        </w:rPr>
        <w:t> </w:t>
      </w:r>
      <w:r>
        <w:rPr/>
        <w:t>Schwab’s</w:t>
      </w:r>
      <w:r>
        <w:rPr>
          <w:spacing w:val="-3"/>
        </w:rPr>
        <w:t> </w:t>
      </w:r>
      <w:r>
        <w:rPr/>
        <w:t>sole</w:t>
      </w:r>
      <w:r>
        <w:rPr>
          <w:spacing w:val="-3"/>
        </w:rPr>
        <w:t> </w:t>
      </w:r>
      <w:r>
        <w:rPr/>
        <w:t>discretion</w:t>
      </w:r>
      <w:r>
        <w:rPr>
          <w:spacing w:val="-2"/>
        </w:rPr>
        <w:t> </w:t>
      </w:r>
      <w:r>
        <w:rPr/>
        <w:t>with</w:t>
      </w:r>
      <w:r>
        <w:rPr>
          <w:spacing w:val="-2"/>
        </w:rPr>
        <w:t> </w:t>
      </w:r>
      <w:r>
        <w:rPr/>
        <w:t>certain</w:t>
      </w:r>
      <w:r>
        <w:rPr>
          <w:spacing w:val="-2"/>
        </w:rPr>
        <w:t> </w:t>
      </w:r>
      <w:r>
        <w:rPr/>
        <w:t>limitations</w:t>
      </w:r>
      <w:r>
        <w:rPr>
          <w:spacing w:val="-3"/>
        </w:rPr>
        <w:t> </w:t>
      </w:r>
      <w:r>
        <w:rPr/>
        <w:t>on</w:t>
      </w:r>
      <w:r>
        <w:rPr>
          <w:spacing w:val="-2"/>
        </w:rPr>
        <w:t> </w:t>
      </w:r>
      <w:r>
        <w:rPr/>
        <w:t>the</w:t>
      </w:r>
      <w:r>
        <w:rPr>
          <w:spacing w:val="-3"/>
        </w:rPr>
        <w:t> </w:t>
      </w:r>
      <w:r>
        <w:rPr/>
        <w:t>amount</w:t>
      </w:r>
      <w:r>
        <w:rPr>
          <w:spacing w:val="-3"/>
        </w:rPr>
        <w:t> </w:t>
      </w:r>
      <w:r>
        <w:rPr/>
        <w:t>of</w:t>
      </w:r>
      <w:r>
        <w:rPr>
          <w:spacing w:val="-2"/>
        </w:rPr>
        <w:t> </w:t>
      </w:r>
      <w:r>
        <w:rPr/>
        <w:t>fixed- rate obligation amounts.</w:t>
      </w:r>
    </w:p>
    <w:p>
      <w:pPr>
        <w:pStyle w:val="BodyText"/>
        <w:spacing w:before="13"/>
      </w:pPr>
    </w:p>
    <w:p>
      <w:pPr>
        <w:pStyle w:val="BodyText"/>
        <w:spacing w:line="249" w:lineRule="auto"/>
        <w:ind w:left="470" w:right="500"/>
      </w:pPr>
      <w:r>
        <w:rPr/>
        <w:t>Pursuant to the 2023 IDA agreement, Schwab has the option to buy down up to $5 billion of fixed-rate obligation amounts by paying</w:t>
      </w:r>
      <w:r>
        <w:rPr>
          <w:spacing w:val="-2"/>
        </w:rPr>
        <w:t> </w:t>
      </w:r>
      <w:r>
        <w:rPr/>
        <w:t>a</w:t>
      </w:r>
      <w:r>
        <w:rPr>
          <w:spacing w:val="-3"/>
        </w:rPr>
        <w:t> </w:t>
      </w:r>
      <w:r>
        <w:rPr/>
        <w:t>market-based</w:t>
      </w:r>
      <w:r>
        <w:rPr>
          <w:spacing w:val="-2"/>
        </w:rPr>
        <w:t> </w:t>
      </w:r>
      <w:r>
        <w:rPr/>
        <w:t>fee</w:t>
      </w:r>
      <w:r>
        <w:rPr>
          <w:spacing w:val="-3"/>
        </w:rPr>
        <w:t> </w:t>
      </w:r>
      <w:r>
        <w:rPr/>
        <w:t>during</w:t>
      </w:r>
      <w:r>
        <w:rPr>
          <w:spacing w:val="-2"/>
        </w:rPr>
        <w:t> </w:t>
      </w:r>
      <w:r>
        <w:rPr/>
        <w:t>the</w:t>
      </w:r>
      <w:r>
        <w:rPr>
          <w:spacing w:val="-3"/>
        </w:rPr>
        <w:t> </w:t>
      </w:r>
      <w:r>
        <w:rPr/>
        <w:t>agreement</w:t>
      </w:r>
      <w:r>
        <w:rPr>
          <w:spacing w:val="-3"/>
        </w:rPr>
        <w:t> </w:t>
      </w:r>
      <w:r>
        <w:rPr/>
        <w:t>term,</w:t>
      </w:r>
      <w:r>
        <w:rPr>
          <w:spacing w:val="-2"/>
        </w:rPr>
        <w:t> </w:t>
      </w:r>
      <w:r>
        <w:rPr/>
        <w:t>subject</w:t>
      </w:r>
      <w:r>
        <w:rPr>
          <w:spacing w:val="-3"/>
        </w:rPr>
        <w:t> </w:t>
      </w:r>
      <w:r>
        <w:rPr/>
        <w:t>to</w:t>
      </w:r>
      <w:r>
        <w:rPr>
          <w:spacing w:val="-2"/>
        </w:rPr>
        <w:t> </w:t>
      </w:r>
      <w:r>
        <w:rPr/>
        <w:t>certain</w:t>
      </w:r>
      <w:r>
        <w:rPr>
          <w:spacing w:val="-2"/>
        </w:rPr>
        <w:t> </w:t>
      </w:r>
      <w:r>
        <w:rPr/>
        <w:t>limits.</w:t>
      </w:r>
      <w:r>
        <w:rPr>
          <w:spacing w:val="-2"/>
        </w:rPr>
        <w:t> </w:t>
      </w:r>
      <w:r>
        <w:rPr/>
        <w:t>If</w:t>
      </w:r>
      <w:r>
        <w:rPr>
          <w:spacing w:val="-2"/>
        </w:rPr>
        <w:t> </w:t>
      </w:r>
      <w:r>
        <w:rPr/>
        <w:t>IDA</w:t>
      </w:r>
      <w:r>
        <w:rPr>
          <w:spacing w:val="-3"/>
        </w:rPr>
        <w:t> </w:t>
      </w:r>
      <w:r>
        <w:rPr/>
        <w:t>balances</w:t>
      </w:r>
      <w:r>
        <w:rPr>
          <w:spacing w:val="-3"/>
        </w:rPr>
        <w:t> </w:t>
      </w:r>
      <w:r>
        <w:rPr/>
        <w:t>decline</w:t>
      </w:r>
      <w:r>
        <w:rPr>
          <w:spacing w:val="-3"/>
        </w:rPr>
        <w:t> </w:t>
      </w:r>
      <w:r>
        <w:rPr/>
        <w:t>below</w:t>
      </w:r>
      <w:r>
        <w:rPr>
          <w:spacing w:val="-3"/>
        </w:rPr>
        <w:t> </w:t>
      </w:r>
      <w:r>
        <w:rPr/>
        <w:t>the</w:t>
      </w:r>
      <w:r>
        <w:rPr>
          <w:spacing w:val="-3"/>
        </w:rPr>
        <w:t> </w:t>
      </w:r>
      <w:r>
        <w:rPr/>
        <w:t>required</w:t>
      </w:r>
      <w:r>
        <w:rPr>
          <w:spacing w:val="-2"/>
        </w:rPr>
        <w:t> </w:t>
      </w:r>
      <w:r>
        <w:rPr/>
        <w:t>IDA balance minimum as described above, Schwab would be required to make a nonperformance payment to the TD Depository Institutions pursuant to the terms of the 2023 IDA agreement.</w:t>
      </w:r>
    </w:p>
    <w:p>
      <w:pPr>
        <w:pStyle w:val="BodyText"/>
        <w:spacing w:before="14"/>
      </w:pPr>
    </w:p>
    <w:p>
      <w:pPr>
        <w:pStyle w:val="BodyText"/>
        <w:spacing w:line="249" w:lineRule="auto"/>
        <w:ind w:left="470" w:right="761"/>
      </w:pPr>
      <w:r>
        <w:rPr/>
        <w:t>In May and August 2023, Schwab opted to buy down $2.4 billion and $2.1 billion of fixed-rate obligation amounts, respectively, incurring market-based fees</w:t>
      </w:r>
      <w:r>
        <w:rPr>
          <w:spacing w:val="-1"/>
        </w:rPr>
        <w:t> </w:t>
      </w:r>
      <w:r>
        <w:rPr/>
        <w:t>of $112 million and $115 million, respectively, which were</w:t>
      </w:r>
      <w:r>
        <w:rPr>
          <w:spacing w:val="-1"/>
        </w:rPr>
        <w:t> </w:t>
      </w:r>
      <w:r>
        <w:rPr/>
        <w:t>capitalized as</w:t>
      </w:r>
      <w:r>
        <w:rPr>
          <w:spacing w:val="-1"/>
        </w:rPr>
        <w:t> </w:t>
      </w:r>
      <w:r>
        <w:rPr/>
        <w:t>contract assets</w:t>
      </w:r>
      <w:r>
        <w:rPr>
          <w:spacing w:val="-4"/>
        </w:rPr>
        <w:t> </w:t>
      </w:r>
      <w:r>
        <w:rPr/>
        <w:t>and</w:t>
      </w:r>
      <w:r>
        <w:rPr>
          <w:spacing w:val="-3"/>
        </w:rPr>
        <w:t> </w:t>
      </w:r>
      <w:r>
        <w:rPr/>
        <w:t>included</w:t>
      </w:r>
      <w:r>
        <w:rPr>
          <w:spacing w:val="-3"/>
        </w:rPr>
        <w:t> </w:t>
      </w:r>
      <w:r>
        <w:rPr/>
        <w:t>in</w:t>
      </w:r>
      <w:r>
        <w:rPr>
          <w:spacing w:val="-3"/>
        </w:rPr>
        <w:t> </w:t>
      </w:r>
      <w:r>
        <w:rPr/>
        <w:t>other</w:t>
      </w:r>
      <w:r>
        <w:rPr>
          <w:spacing w:val="-3"/>
        </w:rPr>
        <w:t> </w:t>
      </w:r>
      <w:r>
        <w:rPr/>
        <w:t>assets</w:t>
      </w:r>
      <w:r>
        <w:rPr>
          <w:spacing w:val="-4"/>
        </w:rPr>
        <w:t> </w:t>
      </w:r>
      <w:r>
        <w:rPr/>
        <w:t>on</w:t>
      </w:r>
      <w:r>
        <w:rPr>
          <w:spacing w:val="-3"/>
        </w:rPr>
        <w:t> </w:t>
      </w:r>
      <w:r>
        <w:rPr/>
        <w:t>the</w:t>
      </w:r>
      <w:r>
        <w:rPr>
          <w:spacing w:val="-4"/>
        </w:rPr>
        <w:t> </w:t>
      </w:r>
      <w:r>
        <w:rPr/>
        <w:t>condensed</w:t>
      </w:r>
      <w:r>
        <w:rPr>
          <w:spacing w:val="-3"/>
        </w:rPr>
        <w:t> </w:t>
      </w:r>
      <w:r>
        <w:rPr/>
        <w:t>consolidated</w:t>
      </w:r>
      <w:r>
        <w:rPr>
          <w:spacing w:val="-3"/>
        </w:rPr>
        <w:t> </w:t>
      </w:r>
      <w:r>
        <w:rPr/>
        <w:t>balance</w:t>
      </w:r>
      <w:r>
        <w:rPr>
          <w:spacing w:val="-4"/>
        </w:rPr>
        <w:t> </w:t>
      </w:r>
      <w:r>
        <w:rPr/>
        <w:t>sheet.</w:t>
      </w:r>
      <w:r>
        <w:rPr>
          <w:spacing w:val="-3"/>
        </w:rPr>
        <w:t> </w:t>
      </w:r>
      <w:r>
        <w:rPr/>
        <w:t>For</w:t>
      </w:r>
      <w:r>
        <w:rPr>
          <w:spacing w:val="-3"/>
        </w:rPr>
        <w:t> </w:t>
      </w:r>
      <w:r>
        <w:rPr/>
        <w:t>additional</w:t>
      </w:r>
      <w:r>
        <w:rPr>
          <w:spacing w:val="-4"/>
        </w:rPr>
        <w:t> </w:t>
      </w:r>
      <w:r>
        <w:rPr/>
        <w:t>information</w:t>
      </w:r>
      <w:r>
        <w:rPr>
          <w:spacing w:val="-3"/>
        </w:rPr>
        <w:t> </w:t>
      </w:r>
      <w:r>
        <w:rPr/>
        <w:t>on</w:t>
      </w:r>
      <w:r>
        <w:rPr>
          <w:spacing w:val="-3"/>
        </w:rPr>
        <w:t> </w:t>
      </w:r>
      <w:r>
        <w:rPr/>
        <w:t>these</w:t>
      </w:r>
      <w:r>
        <w:rPr>
          <w:spacing w:val="-4"/>
        </w:rPr>
        <w:t> </w:t>
      </w:r>
      <w:r>
        <w:rPr/>
        <w:t>contract assets, see Note 3.</w:t>
      </w:r>
    </w:p>
    <w:p>
      <w:pPr>
        <w:pStyle w:val="BodyText"/>
        <w:spacing w:before="13"/>
      </w:pPr>
    </w:p>
    <w:p>
      <w:pPr>
        <w:pStyle w:val="BodyText"/>
        <w:spacing w:line="249" w:lineRule="auto"/>
        <w:ind w:left="470" w:right="500"/>
      </w:pPr>
      <w:r>
        <w:rPr/>
        <w:t>As of September 30, 2023, the total ending IDA balance was $99.6 billion, of which $88.7 billion was fixed-rate obligation amounts</w:t>
      </w:r>
      <w:r>
        <w:rPr>
          <w:spacing w:val="-4"/>
        </w:rPr>
        <w:t> </w:t>
      </w:r>
      <w:r>
        <w:rPr/>
        <w:t>and</w:t>
      </w:r>
      <w:r>
        <w:rPr>
          <w:spacing w:val="-3"/>
        </w:rPr>
        <w:t> </w:t>
      </w:r>
      <w:r>
        <w:rPr/>
        <w:t>$10.9</w:t>
      </w:r>
      <w:r>
        <w:rPr>
          <w:spacing w:val="-3"/>
        </w:rPr>
        <w:t> </w:t>
      </w:r>
      <w:r>
        <w:rPr/>
        <w:t>billion</w:t>
      </w:r>
      <w:r>
        <w:rPr>
          <w:spacing w:val="-3"/>
        </w:rPr>
        <w:t> </w:t>
      </w:r>
      <w:r>
        <w:rPr/>
        <w:t>was</w:t>
      </w:r>
      <w:r>
        <w:rPr>
          <w:spacing w:val="-4"/>
        </w:rPr>
        <w:t> </w:t>
      </w:r>
      <w:r>
        <w:rPr/>
        <w:t>floating-rate</w:t>
      </w:r>
      <w:r>
        <w:rPr>
          <w:spacing w:val="-4"/>
        </w:rPr>
        <w:t> </w:t>
      </w:r>
      <w:r>
        <w:rPr/>
        <w:t>obligation</w:t>
      </w:r>
      <w:r>
        <w:rPr>
          <w:spacing w:val="-3"/>
        </w:rPr>
        <w:t> </w:t>
      </w:r>
      <w:r>
        <w:rPr/>
        <w:t>amounts.</w:t>
      </w:r>
      <w:r>
        <w:rPr>
          <w:spacing w:val="-3"/>
        </w:rPr>
        <w:t> </w:t>
      </w:r>
      <w:r>
        <w:rPr/>
        <w:t>As</w:t>
      </w:r>
      <w:r>
        <w:rPr>
          <w:spacing w:val="-4"/>
        </w:rPr>
        <w:t> </w:t>
      </w:r>
      <w:r>
        <w:rPr/>
        <w:t>of</w:t>
      </w:r>
      <w:r>
        <w:rPr>
          <w:spacing w:val="-3"/>
        </w:rPr>
        <w:t> </w:t>
      </w:r>
      <w:r>
        <w:rPr/>
        <w:t>December</w:t>
      </w:r>
      <w:r>
        <w:rPr>
          <w:spacing w:val="-3"/>
        </w:rPr>
        <w:t> </w:t>
      </w:r>
      <w:r>
        <w:rPr/>
        <w:t>31,</w:t>
      </w:r>
      <w:r>
        <w:rPr>
          <w:spacing w:val="-3"/>
        </w:rPr>
        <w:t> </w:t>
      </w:r>
      <w:r>
        <w:rPr/>
        <w:t>2022,</w:t>
      </w:r>
      <w:r>
        <w:rPr>
          <w:spacing w:val="-3"/>
        </w:rPr>
        <w:t> </w:t>
      </w:r>
      <w:r>
        <w:rPr/>
        <w:t>the</w:t>
      </w:r>
      <w:r>
        <w:rPr>
          <w:spacing w:val="-4"/>
        </w:rPr>
        <w:t> </w:t>
      </w:r>
      <w:r>
        <w:rPr/>
        <w:t>total</w:t>
      </w:r>
      <w:r>
        <w:rPr>
          <w:spacing w:val="-4"/>
        </w:rPr>
        <w:t> </w:t>
      </w:r>
      <w:r>
        <w:rPr/>
        <w:t>ending</w:t>
      </w:r>
      <w:r>
        <w:rPr>
          <w:spacing w:val="-3"/>
        </w:rPr>
        <w:t> </w:t>
      </w:r>
      <w:r>
        <w:rPr/>
        <w:t>IDA</w:t>
      </w:r>
      <w:r>
        <w:rPr>
          <w:spacing w:val="-4"/>
        </w:rPr>
        <w:t> </w:t>
      </w:r>
      <w:r>
        <w:rPr/>
        <w:t>balance</w:t>
      </w:r>
      <w:r>
        <w:rPr>
          <w:spacing w:val="-4"/>
        </w:rPr>
        <w:t> </w:t>
      </w:r>
      <w:r>
        <w:rPr/>
        <w:t>was</w:t>
      </w:r>
    </w:p>
    <w:p>
      <w:pPr>
        <w:pStyle w:val="BodyText"/>
        <w:spacing w:line="249" w:lineRule="auto" w:before="2"/>
        <w:ind w:left="470" w:right="761"/>
      </w:pPr>
      <w:r>
        <w:rPr/>
        <w:t>$122.6</w:t>
      </w:r>
      <w:r>
        <w:rPr>
          <w:spacing w:val="-3"/>
        </w:rPr>
        <w:t> </w:t>
      </w:r>
      <w:r>
        <w:rPr/>
        <w:t>billion,</w:t>
      </w:r>
      <w:r>
        <w:rPr>
          <w:spacing w:val="-3"/>
        </w:rPr>
        <w:t> </w:t>
      </w:r>
      <w:r>
        <w:rPr/>
        <w:t>of</w:t>
      </w:r>
      <w:r>
        <w:rPr>
          <w:spacing w:val="-3"/>
        </w:rPr>
        <w:t> </w:t>
      </w:r>
      <w:r>
        <w:rPr/>
        <w:t>which</w:t>
      </w:r>
      <w:r>
        <w:rPr>
          <w:spacing w:val="-3"/>
        </w:rPr>
        <w:t> </w:t>
      </w:r>
      <w:r>
        <w:rPr/>
        <w:t>$108.5</w:t>
      </w:r>
      <w:r>
        <w:rPr>
          <w:spacing w:val="-3"/>
        </w:rPr>
        <w:t> </w:t>
      </w:r>
      <w:r>
        <w:rPr/>
        <w:t>billion</w:t>
      </w:r>
      <w:r>
        <w:rPr>
          <w:spacing w:val="-3"/>
        </w:rPr>
        <w:t> </w:t>
      </w:r>
      <w:r>
        <w:rPr/>
        <w:t>was</w:t>
      </w:r>
      <w:r>
        <w:rPr>
          <w:spacing w:val="-4"/>
        </w:rPr>
        <w:t> </w:t>
      </w:r>
      <w:r>
        <w:rPr/>
        <w:t>fixed-rate</w:t>
      </w:r>
      <w:r>
        <w:rPr>
          <w:spacing w:val="-4"/>
        </w:rPr>
        <w:t> </w:t>
      </w:r>
      <w:r>
        <w:rPr/>
        <w:t>obligation</w:t>
      </w:r>
      <w:r>
        <w:rPr>
          <w:spacing w:val="-3"/>
        </w:rPr>
        <w:t> </w:t>
      </w:r>
      <w:r>
        <w:rPr/>
        <w:t>amounts</w:t>
      </w:r>
      <w:r>
        <w:rPr>
          <w:spacing w:val="-4"/>
        </w:rPr>
        <w:t> </w:t>
      </w:r>
      <w:r>
        <w:rPr/>
        <w:t>and</w:t>
      </w:r>
      <w:r>
        <w:rPr>
          <w:spacing w:val="-3"/>
        </w:rPr>
        <w:t> </w:t>
      </w:r>
      <w:r>
        <w:rPr/>
        <w:t>$14.1</w:t>
      </w:r>
      <w:r>
        <w:rPr>
          <w:spacing w:val="-3"/>
        </w:rPr>
        <w:t> </w:t>
      </w:r>
      <w:r>
        <w:rPr/>
        <w:t>billion</w:t>
      </w:r>
      <w:r>
        <w:rPr>
          <w:spacing w:val="-3"/>
        </w:rPr>
        <w:t> </w:t>
      </w:r>
      <w:r>
        <w:rPr/>
        <w:t>was</w:t>
      </w:r>
      <w:r>
        <w:rPr>
          <w:spacing w:val="-4"/>
        </w:rPr>
        <w:t> </w:t>
      </w:r>
      <w:r>
        <w:rPr/>
        <w:t>floating-rate</w:t>
      </w:r>
      <w:r>
        <w:rPr>
          <w:spacing w:val="-4"/>
        </w:rPr>
        <w:t> </w:t>
      </w:r>
      <w:r>
        <w:rPr/>
        <w:t>obligation </w:t>
      </w:r>
      <w:r>
        <w:rPr>
          <w:spacing w:val="-2"/>
        </w:rPr>
        <w:t>amounts.</w:t>
      </w:r>
    </w:p>
    <w:p>
      <w:pPr>
        <w:pStyle w:val="BodyText"/>
        <w:spacing w:before="11"/>
      </w:pPr>
    </w:p>
    <w:p>
      <w:pPr>
        <w:pStyle w:val="BodyText"/>
        <w:spacing w:line="249" w:lineRule="auto" w:before="1"/>
        <w:ind w:left="470" w:right="500"/>
      </w:pPr>
      <w:r>
        <w:rPr>
          <w:i/>
        </w:rPr>
        <w:t>Legal</w:t>
      </w:r>
      <w:r>
        <w:rPr>
          <w:i/>
          <w:spacing w:val="-4"/>
        </w:rPr>
        <w:t> </w:t>
      </w:r>
      <w:r>
        <w:rPr>
          <w:i/>
        </w:rPr>
        <w:t>contingencies:</w:t>
      </w:r>
      <w:r>
        <w:rPr>
          <w:i/>
          <w:spacing w:val="-3"/>
        </w:rPr>
        <w:t> </w:t>
      </w:r>
      <w:r>
        <w:rPr/>
        <w:t>Schwab</w:t>
      </w:r>
      <w:r>
        <w:rPr>
          <w:spacing w:val="-3"/>
        </w:rPr>
        <w:t> </w:t>
      </w:r>
      <w:r>
        <w:rPr/>
        <w:t>is</w:t>
      </w:r>
      <w:r>
        <w:rPr>
          <w:spacing w:val="-4"/>
        </w:rPr>
        <w:t> </w:t>
      </w:r>
      <w:r>
        <w:rPr/>
        <w:t>subject</w:t>
      </w:r>
      <w:r>
        <w:rPr>
          <w:spacing w:val="-4"/>
        </w:rPr>
        <w:t> </w:t>
      </w:r>
      <w:r>
        <w:rPr/>
        <w:t>to</w:t>
      </w:r>
      <w:r>
        <w:rPr>
          <w:spacing w:val="-3"/>
        </w:rPr>
        <w:t> </w:t>
      </w:r>
      <w:r>
        <w:rPr/>
        <w:t>claims</w:t>
      </w:r>
      <w:r>
        <w:rPr>
          <w:spacing w:val="-4"/>
        </w:rPr>
        <w:t> </w:t>
      </w:r>
      <w:r>
        <w:rPr/>
        <w:t>and</w:t>
      </w:r>
      <w:r>
        <w:rPr>
          <w:spacing w:val="-3"/>
        </w:rPr>
        <w:t> </w:t>
      </w:r>
      <w:r>
        <w:rPr/>
        <w:t>lawsuits</w:t>
      </w:r>
      <w:r>
        <w:rPr>
          <w:spacing w:val="-4"/>
        </w:rPr>
        <w:t> </w:t>
      </w:r>
      <w:r>
        <w:rPr/>
        <w:t>in</w:t>
      </w:r>
      <w:r>
        <w:rPr>
          <w:spacing w:val="-3"/>
        </w:rPr>
        <w:t> </w:t>
      </w:r>
      <w:r>
        <w:rPr/>
        <w:t>the</w:t>
      </w:r>
      <w:r>
        <w:rPr>
          <w:spacing w:val="-4"/>
        </w:rPr>
        <w:t> </w:t>
      </w:r>
      <w:r>
        <w:rPr/>
        <w:t>ordinary</w:t>
      </w:r>
      <w:r>
        <w:rPr>
          <w:spacing w:val="-3"/>
        </w:rPr>
        <w:t> </w:t>
      </w:r>
      <w:r>
        <w:rPr/>
        <w:t>course</w:t>
      </w:r>
      <w:r>
        <w:rPr>
          <w:spacing w:val="-4"/>
        </w:rPr>
        <w:t> </w:t>
      </w:r>
      <w:r>
        <w:rPr/>
        <w:t>of</w:t>
      </w:r>
      <w:r>
        <w:rPr>
          <w:spacing w:val="-3"/>
        </w:rPr>
        <w:t> </w:t>
      </w:r>
      <w:r>
        <w:rPr/>
        <w:t>business,</w:t>
      </w:r>
      <w:r>
        <w:rPr>
          <w:spacing w:val="-3"/>
        </w:rPr>
        <w:t> </w:t>
      </w:r>
      <w:r>
        <w:rPr/>
        <w:t>including</w:t>
      </w:r>
      <w:r>
        <w:rPr>
          <w:spacing w:val="-3"/>
        </w:rPr>
        <w:t> </w:t>
      </w:r>
      <w:r>
        <w:rPr/>
        <w:t>arbitrations,</w:t>
      </w:r>
      <w:r>
        <w:rPr>
          <w:spacing w:val="-3"/>
        </w:rPr>
        <w:t> </w:t>
      </w:r>
      <w:r>
        <w:rPr/>
        <w:t>class actions and other litigation, some of which include claims for substantial or unspecified damages. The Company is also the subject of inquiries, investigations, and proceedings by regulatory and other governmental agencies.</w:t>
      </w:r>
    </w:p>
    <w:p>
      <w:pPr>
        <w:pStyle w:val="BodyText"/>
        <w:spacing w:before="12"/>
      </w:pPr>
    </w:p>
    <w:p>
      <w:pPr>
        <w:pStyle w:val="BodyText"/>
        <w:spacing w:line="249" w:lineRule="auto"/>
        <w:ind w:left="470" w:right="500"/>
      </w:pPr>
      <w:r>
        <w:rPr/>
        <w:t>Predicting the outcome of a litigation or regulatory matter is inherently difficult, requiring significant judgment and evaluation of various factors, including the procedural status of the matter and any recent developments; prior experience and the experience of others in similar cases; available defenses, including potential opportunities to dispose of a case on the merits or procedural</w:t>
      </w:r>
      <w:r>
        <w:rPr>
          <w:spacing w:val="-3"/>
        </w:rPr>
        <w:t> </w:t>
      </w:r>
      <w:r>
        <w:rPr/>
        <w:t>grounds</w:t>
      </w:r>
      <w:r>
        <w:rPr>
          <w:spacing w:val="-3"/>
        </w:rPr>
        <w:t> </w:t>
      </w:r>
      <w:r>
        <w:rPr/>
        <w:t>before</w:t>
      </w:r>
      <w:r>
        <w:rPr>
          <w:spacing w:val="-3"/>
        </w:rPr>
        <w:t> </w:t>
      </w:r>
      <w:r>
        <w:rPr/>
        <w:t>trial</w:t>
      </w:r>
      <w:r>
        <w:rPr>
          <w:spacing w:val="-3"/>
        </w:rPr>
        <w:t> </w:t>
      </w:r>
      <w:r>
        <w:rPr/>
        <w:t>(e.g.,</w:t>
      </w:r>
      <w:r>
        <w:rPr>
          <w:spacing w:val="-2"/>
        </w:rPr>
        <w:t> </w:t>
      </w:r>
      <w:r>
        <w:rPr/>
        <w:t>motions</w:t>
      </w:r>
      <w:r>
        <w:rPr>
          <w:spacing w:val="-3"/>
        </w:rPr>
        <w:t> </w:t>
      </w:r>
      <w:r>
        <w:rPr/>
        <w:t>to</w:t>
      </w:r>
      <w:r>
        <w:rPr>
          <w:spacing w:val="-2"/>
        </w:rPr>
        <w:t> </w:t>
      </w:r>
      <w:r>
        <w:rPr/>
        <w:t>dismiss</w:t>
      </w:r>
      <w:r>
        <w:rPr>
          <w:spacing w:val="-3"/>
        </w:rPr>
        <w:t> </w:t>
      </w:r>
      <w:r>
        <w:rPr/>
        <w:t>or</w:t>
      </w:r>
      <w:r>
        <w:rPr>
          <w:spacing w:val="-2"/>
        </w:rPr>
        <w:t> </w:t>
      </w:r>
      <w:r>
        <w:rPr/>
        <w:t>for</w:t>
      </w:r>
      <w:r>
        <w:rPr>
          <w:spacing w:val="-2"/>
        </w:rPr>
        <w:t> </w:t>
      </w:r>
      <w:r>
        <w:rPr/>
        <w:t>summary</w:t>
      </w:r>
      <w:r>
        <w:rPr>
          <w:spacing w:val="-2"/>
        </w:rPr>
        <w:t> </w:t>
      </w:r>
      <w:r>
        <w:rPr/>
        <w:t>judgment);</w:t>
      </w:r>
      <w:r>
        <w:rPr>
          <w:spacing w:val="-3"/>
        </w:rPr>
        <w:t> </w:t>
      </w:r>
      <w:r>
        <w:rPr/>
        <w:t>the</w:t>
      </w:r>
      <w:r>
        <w:rPr>
          <w:spacing w:val="-3"/>
        </w:rPr>
        <w:t> </w:t>
      </w:r>
      <w:r>
        <w:rPr/>
        <w:t>progress</w:t>
      </w:r>
      <w:r>
        <w:rPr>
          <w:spacing w:val="-3"/>
        </w:rPr>
        <w:t> </w:t>
      </w:r>
      <w:r>
        <w:rPr/>
        <w:t>of</w:t>
      </w:r>
      <w:r>
        <w:rPr>
          <w:spacing w:val="-2"/>
        </w:rPr>
        <w:t> </w:t>
      </w:r>
      <w:r>
        <w:rPr/>
        <w:t>fact</w:t>
      </w:r>
      <w:r>
        <w:rPr>
          <w:spacing w:val="-3"/>
        </w:rPr>
        <w:t> </w:t>
      </w:r>
      <w:r>
        <w:rPr/>
        <w:t>discovery;</w:t>
      </w:r>
      <w:r>
        <w:rPr>
          <w:spacing w:val="-3"/>
        </w:rPr>
        <w:t> </w:t>
      </w:r>
      <w:r>
        <w:rPr/>
        <w:t>the</w:t>
      </w:r>
      <w:r>
        <w:rPr>
          <w:spacing w:val="-3"/>
        </w:rPr>
        <w:t> </w:t>
      </w:r>
      <w:r>
        <w:rPr/>
        <w:t>opinions of counsel and experts regarding potential damages; and potential opportunities for settlement and the status of any settlement discussions. It may not be reasonably possible to estimate a range of potential liability until the matter is closer to resolution – pending,</w:t>
      </w:r>
      <w:r>
        <w:rPr>
          <w:spacing w:val="-2"/>
        </w:rPr>
        <w:t> </w:t>
      </w:r>
      <w:r>
        <w:rPr/>
        <w:t>for</w:t>
      </w:r>
      <w:r>
        <w:rPr>
          <w:spacing w:val="-2"/>
        </w:rPr>
        <w:t> </w:t>
      </w:r>
      <w:r>
        <w:rPr/>
        <w:t>example,</w:t>
      </w:r>
      <w:r>
        <w:rPr>
          <w:spacing w:val="-2"/>
        </w:rPr>
        <w:t> </w:t>
      </w:r>
      <w:r>
        <w:rPr/>
        <w:t>further</w:t>
      </w:r>
      <w:r>
        <w:rPr>
          <w:spacing w:val="-2"/>
        </w:rPr>
        <w:t> </w:t>
      </w:r>
      <w:r>
        <w:rPr/>
        <w:t>proceedings,</w:t>
      </w:r>
      <w:r>
        <w:rPr>
          <w:spacing w:val="-2"/>
        </w:rPr>
        <w:t> </w:t>
      </w:r>
      <w:r>
        <w:rPr/>
        <w:t>the</w:t>
      </w:r>
      <w:r>
        <w:rPr>
          <w:spacing w:val="-3"/>
        </w:rPr>
        <w:t> </w:t>
      </w:r>
      <w:r>
        <w:rPr/>
        <w:t>outcome</w:t>
      </w:r>
      <w:r>
        <w:rPr>
          <w:spacing w:val="-3"/>
        </w:rPr>
        <w:t> </w:t>
      </w:r>
      <w:r>
        <w:rPr/>
        <w:t>of</w:t>
      </w:r>
      <w:r>
        <w:rPr>
          <w:spacing w:val="-2"/>
        </w:rPr>
        <w:t> </w:t>
      </w:r>
      <w:r>
        <w:rPr/>
        <w:t>key</w:t>
      </w:r>
      <w:r>
        <w:rPr>
          <w:spacing w:val="-2"/>
        </w:rPr>
        <w:t> </w:t>
      </w:r>
      <w:r>
        <w:rPr/>
        <w:t>motions</w:t>
      </w:r>
      <w:r>
        <w:rPr>
          <w:spacing w:val="-3"/>
        </w:rPr>
        <w:t> </w:t>
      </w:r>
      <w:r>
        <w:rPr/>
        <w:t>or</w:t>
      </w:r>
      <w:r>
        <w:rPr>
          <w:spacing w:val="-2"/>
        </w:rPr>
        <w:t> </w:t>
      </w:r>
      <w:r>
        <w:rPr/>
        <w:t>appeals,</w:t>
      </w:r>
      <w:r>
        <w:rPr>
          <w:spacing w:val="-2"/>
        </w:rPr>
        <w:t> </w:t>
      </w:r>
      <w:r>
        <w:rPr/>
        <w:t>or</w:t>
      </w:r>
      <w:r>
        <w:rPr>
          <w:spacing w:val="-2"/>
        </w:rPr>
        <w:t> </w:t>
      </w:r>
      <w:r>
        <w:rPr/>
        <w:t>discussions</w:t>
      </w:r>
      <w:r>
        <w:rPr>
          <w:spacing w:val="-3"/>
        </w:rPr>
        <w:t> </w:t>
      </w:r>
      <w:r>
        <w:rPr/>
        <w:t>among</w:t>
      </w:r>
      <w:r>
        <w:rPr>
          <w:spacing w:val="-2"/>
        </w:rPr>
        <w:t> </w:t>
      </w:r>
      <w:r>
        <w:rPr/>
        <w:t>the</w:t>
      </w:r>
      <w:r>
        <w:rPr>
          <w:spacing w:val="-3"/>
        </w:rPr>
        <w:t> </w:t>
      </w:r>
      <w:r>
        <w:rPr/>
        <w:t>parties.</w:t>
      </w:r>
      <w:r>
        <w:rPr>
          <w:spacing w:val="-2"/>
        </w:rPr>
        <w:t> </w:t>
      </w:r>
      <w:r>
        <w:rPr/>
        <w:t>Numerous issues may have to be developed, such as discovery of important factual matters and determination of threshold legal issues, which may include</w:t>
      </w:r>
      <w:r>
        <w:rPr>
          <w:spacing w:val="-1"/>
        </w:rPr>
        <w:t> </w:t>
      </w:r>
      <w:r>
        <w:rPr/>
        <w:t>novel</w:t>
      </w:r>
      <w:r>
        <w:rPr>
          <w:spacing w:val="-1"/>
        </w:rPr>
        <w:t> </w:t>
      </w:r>
      <w:r>
        <w:rPr/>
        <w:t>or unsettled questions</w:t>
      </w:r>
      <w:r>
        <w:rPr>
          <w:spacing w:val="-1"/>
        </w:rPr>
        <w:t> </w:t>
      </w:r>
      <w:r>
        <w:rPr/>
        <w:t>of law. Reserves</w:t>
      </w:r>
      <w:r>
        <w:rPr>
          <w:spacing w:val="-1"/>
        </w:rPr>
        <w:t> </w:t>
      </w:r>
      <w:r>
        <w:rPr/>
        <w:t>are</w:t>
      </w:r>
      <w:r>
        <w:rPr>
          <w:spacing w:val="-1"/>
        </w:rPr>
        <w:t> </w:t>
      </w:r>
      <w:r>
        <w:rPr/>
        <w:t>established or adjusted or further disclosure</w:t>
      </w:r>
      <w:r>
        <w:rPr>
          <w:spacing w:val="-1"/>
        </w:rPr>
        <w:t> </w:t>
      </w:r>
      <w:r>
        <w:rPr/>
        <w:t>and estimates of potential loss are provided as the matter progresses and more information becomes available.</w:t>
      </w:r>
    </w:p>
    <w:p>
      <w:pPr>
        <w:pStyle w:val="BodyText"/>
        <w:spacing w:before="18"/>
      </w:pPr>
    </w:p>
    <w:p>
      <w:pPr>
        <w:pStyle w:val="BodyText"/>
        <w:spacing w:line="249" w:lineRule="auto"/>
        <w:ind w:left="470" w:right="548"/>
      </w:pPr>
      <w:r>
        <w:rPr/>
        <w:t>Schwab believes it has strong defenses in all significant matters currently pending and is contesting liability and any damages claimed. Nevertheless, some of these matters may result in adverse judgments or awards, including penalties, injunctions or other</w:t>
      </w:r>
      <w:r>
        <w:rPr>
          <w:spacing w:val="-3"/>
        </w:rPr>
        <w:t> </w:t>
      </w:r>
      <w:r>
        <w:rPr/>
        <w:t>relief,</w:t>
      </w:r>
      <w:r>
        <w:rPr>
          <w:spacing w:val="-3"/>
        </w:rPr>
        <w:t> </w:t>
      </w:r>
      <w:r>
        <w:rPr/>
        <w:t>and</w:t>
      </w:r>
      <w:r>
        <w:rPr>
          <w:spacing w:val="-3"/>
        </w:rPr>
        <w:t> </w:t>
      </w:r>
      <w:r>
        <w:rPr/>
        <w:t>the</w:t>
      </w:r>
      <w:r>
        <w:rPr>
          <w:spacing w:val="-4"/>
        </w:rPr>
        <w:t> </w:t>
      </w:r>
      <w:r>
        <w:rPr/>
        <w:t>Company</w:t>
      </w:r>
      <w:r>
        <w:rPr>
          <w:spacing w:val="-3"/>
        </w:rPr>
        <w:t> </w:t>
      </w:r>
      <w:r>
        <w:rPr/>
        <w:t>may</w:t>
      </w:r>
      <w:r>
        <w:rPr>
          <w:spacing w:val="-3"/>
        </w:rPr>
        <w:t> </w:t>
      </w:r>
      <w:r>
        <w:rPr/>
        <w:t>also</w:t>
      </w:r>
      <w:r>
        <w:rPr>
          <w:spacing w:val="-3"/>
        </w:rPr>
        <w:t> </w:t>
      </w:r>
      <w:r>
        <w:rPr/>
        <w:t>determine</w:t>
      </w:r>
      <w:r>
        <w:rPr>
          <w:spacing w:val="-4"/>
        </w:rPr>
        <w:t> </w:t>
      </w:r>
      <w:r>
        <w:rPr/>
        <w:t>to</w:t>
      </w:r>
      <w:r>
        <w:rPr>
          <w:spacing w:val="-3"/>
        </w:rPr>
        <w:t> </w:t>
      </w:r>
      <w:r>
        <w:rPr/>
        <w:t>settle</w:t>
      </w:r>
      <w:r>
        <w:rPr>
          <w:spacing w:val="-4"/>
        </w:rPr>
        <w:t> </w:t>
      </w:r>
      <w:r>
        <w:rPr/>
        <w:t>a</w:t>
      </w:r>
      <w:r>
        <w:rPr>
          <w:spacing w:val="-4"/>
        </w:rPr>
        <w:t> </w:t>
      </w:r>
      <w:r>
        <w:rPr/>
        <w:t>matter</w:t>
      </w:r>
      <w:r>
        <w:rPr>
          <w:spacing w:val="-3"/>
        </w:rPr>
        <w:t> </w:t>
      </w:r>
      <w:r>
        <w:rPr/>
        <w:t>because</w:t>
      </w:r>
      <w:r>
        <w:rPr>
          <w:spacing w:val="-4"/>
        </w:rPr>
        <w:t> </w:t>
      </w:r>
      <w:r>
        <w:rPr/>
        <w:t>of</w:t>
      </w:r>
      <w:r>
        <w:rPr>
          <w:spacing w:val="-3"/>
        </w:rPr>
        <w:t> </w:t>
      </w:r>
      <w:r>
        <w:rPr/>
        <w:t>the</w:t>
      </w:r>
      <w:r>
        <w:rPr>
          <w:spacing w:val="-4"/>
        </w:rPr>
        <w:t> </w:t>
      </w:r>
      <w:r>
        <w:rPr/>
        <w:t>uncertainty</w:t>
      </w:r>
      <w:r>
        <w:rPr>
          <w:spacing w:val="-3"/>
        </w:rPr>
        <w:t> </w:t>
      </w:r>
      <w:r>
        <w:rPr/>
        <w:t>and</w:t>
      </w:r>
      <w:r>
        <w:rPr>
          <w:spacing w:val="-3"/>
        </w:rPr>
        <w:t> </w:t>
      </w:r>
      <w:r>
        <w:rPr/>
        <w:t>risks</w:t>
      </w:r>
      <w:r>
        <w:rPr>
          <w:spacing w:val="-4"/>
        </w:rPr>
        <w:t> </w:t>
      </w:r>
      <w:r>
        <w:rPr/>
        <w:t>of</w:t>
      </w:r>
      <w:r>
        <w:rPr>
          <w:spacing w:val="-3"/>
        </w:rPr>
        <w:t> </w:t>
      </w:r>
      <w:r>
        <w:rPr/>
        <w:t>litigation.</w:t>
      </w:r>
      <w:r>
        <w:rPr>
          <w:spacing w:val="-3"/>
        </w:rPr>
        <w:t> </w:t>
      </w:r>
      <w:r>
        <w:rPr/>
        <w:t>Described below are matters in which there is a reasonable possibility that a material loss could be incurred or where the matter may otherwise be of significant interest to stockholders. Unless otherwise noted, the Company is unable to provide a reasonable estimate of any potential liability given the stage of proceedings in the matter. With respect to all other pending matters, based on current information and consultation with counsel, it does not appear reasonably possible that the outcome of any such matter would be material to the financial condition, operating results, or cash flows of the Company.</w:t>
      </w:r>
    </w:p>
    <w:p>
      <w:pPr>
        <w:pStyle w:val="BodyText"/>
        <w:spacing w:before="16"/>
      </w:pPr>
    </w:p>
    <w:p>
      <w:pPr>
        <w:pStyle w:val="BodyText"/>
        <w:spacing w:line="249" w:lineRule="auto" w:before="1"/>
        <w:ind w:left="470" w:right="761"/>
      </w:pPr>
      <w:r>
        <w:rPr>
          <w:u w:val="single"/>
        </w:rPr>
        <w:t>Corrente</w:t>
      </w:r>
      <w:r>
        <w:rPr>
          <w:spacing w:val="-3"/>
          <w:u w:val="single"/>
        </w:rPr>
        <w:t> </w:t>
      </w:r>
      <w:r>
        <w:rPr>
          <w:u w:val="single"/>
        </w:rPr>
        <w:t>Antitrust</w:t>
      </w:r>
      <w:r>
        <w:rPr>
          <w:spacing w:val="-3"/>
          <w:u w:val="single"/>
        </w:rPr>
        <w:t> </w:t>
      </w:r>
      <w:r>
        <w:rPr>
          <w:u w:val="single"/>
        </w:rPr>
        <w:t>Litigation</w:t>
      </w:r>
      <w:r>
        <w:rPr>
          <w:u w:val="none"/>
        </w:rPr>
        <w:t>:</w:t>
      </w:r>
      <w:r>
        <w:rPr>
          <w:spacing w:val="-3"/>
          <w:u w:val="none"/>
        </w:rPr>
        <w:t> </w:t>
      </w:r>
      <w:r>
        <w:rPr>
          <w:u w:val="none"/>
        </w:rPr>
        <w:t>On</w:t>
      </w:r>
      <w:r>
        <w:rPr>
          <w:spacing w:val="-2"/>
          <w:u w:val="none"/>
        </w:rPr>
        <w:t> </w:t>
      </w:r>
      <w:r>
        <w:rPr>
          <w:u w:val="none"/>
        </w:rPr>
        <w:t>June</w:t>
      </w:r>
      <w:r>
        <w:rPr>
          <w:spacing w:val="-3"/>
          <w:u w:val="none"/>
        </w:rPr>
        <w:t> </w:t>
      </w:r>
      <w:r>
        <w:rPr>
          <w:u w:val="none"/>
        </w:rPr>
        <w:t>6,</w:t>
      </w:r>
      <w:r>
        <w:rPr>
          <w:spacing w:val="-2"/>
          <w:u w:val="none"/>
        </w:rPr>
        <w:t> </w:t>
      </w:r>
      <w:r>
        <w:rPr>
          <w:u w:val="none"/>
        </w:rPr>
        <w:t>2022,</w:t>
      </w:r>
      <w:r>
        <w:rPr>
          <w:spacing w:val="-2"/>
          <w:u w:val="none"/>
        </w:rPr>
        <w:t> </w:t>
      </w:r>
      <w:r>
        <w:rPr>
          <w:u w:val="none"/>
        </w:rPr>
        <w:t>CSC</w:t>
      </w:r>
      <w:r>
        <w:rPr>
          <w:spacing w:val="-3"/>
          <w:u w:val="none"/>
        </w:rPr>
        <w:t> </w:t>
      </w:r>
      <w:r>
        <w:rPr>
          <w:u w:val="none"/>
        </w:rPr>
        <w:t>was</w:t>
      </w:r>
      <w:r>
        <w:rPr>
          <w:spacing w:val="-3"/>
          <w:u w:val="none"/>
        </w:rPr>
        <w:t> </w:t>
      </w:r>
      <w:r>
        <w:rPr>
          <w:u w:val="none"/>
        </w:rPr>
        <w:t>sued</w:t>
      </w:r>
      <w:r>
        <w:rPr>
          <w:spacing w:val="-2"/>
          <w:u w:val="none"/>
        </w:rPr>
        <w:t> </w:t>
      </w:r>
      <w:r>
        <w:rPr>
          <w:u w:val="none"/>
        </w:rPr>
        <w:t>in</w:t>
      </w:r>
      <w:r>
        <w:rPr>
          <w:spacing w:val="-2"/>
          <w:u w:val="none"/>
        </w:rPr>
        <w:t> </w:t>
      </w:r>
      <w:r>
        <w:rPr>
          <w:u w:val="none"/>
        </w:rPr>
        <w:t>the</w:t>
      </w:r>
      <w:r>
        <w:rPr>
          <w:spacing w:val="-3"/>
          <w:u w:val="none"/>
        </w:rPr>
        <w:t> </w:t>
      </w:r>
      <w:r>
        <w:rPr>
          <w:u w:val="none"/>
        </w:rPr>
        <w:t>U.S.</w:t>
      </w:r>
      <w:r>
        <w:rPr>
          <w:spacing w:val="-2"/>
          <w:u w:val="none"/>
        </w:rPr>
        <w:t> </w:t>
      </w:r>
      <w:r>
        <w:rPr>
          <w:u w:val="none"/>
        </w:rPr>
        <w:t>District</w:t>
      </w:r>
      <w:r>
        <w:rPr>
          <w:spacing w:val="-3"/>
          <w:u w:val="none"/>
        </w:rPr>
        <w:t> </w:t>
      </w:r>
      <w:r>
        <w:rPr>
          <w:u w:val="none"/>
        </w:rPr>
        <w:t>Court</w:t>
      </w:r>
      <w:r>
        <w:rPr>
          <w:spacing w:val="-3"/>
          <w:u w:val="none"/>
        </w:rPr>
        <w:t> </w:t>
      </w:r>
      <w:r>
        <w:rPr>
          <w:u w:val="none"/>
        </w:rPr>
        <w:t>for</w:t>
      </w:r>
      <w:r>
        <w:rPr>
          <w:spacing w:val="-2"/>
          <w:u w:val="none"/>
        </w:rPr>
        <w:t> </w:t>
      </w:r>
      <w:r>
        <w:rPr>
          <w:u w:val="none"/>
        </w:rPr>
        <w:t>the</w:t>
      </w:r>
      <w:r>
        <w:rPr>
          <w:spacing w:val="-3"/>
          <w:u w:val="none"/>
        </w:rPr>
        <w:t> </w:t>
      </w:r>
      <w:r>
        <w:rPr>
          <w:u w:val="none"/>
        </w:rPr>
        <w:t>Eastern</w:t>
      </w:r>
      <w:r>
        <w:rPr>
          <w:spacing w:val="-2"/>
          <w:u w:val="none"/>
        </w:rPr>
        <w:t> </w:t>
      </w:r>
      <w:r>
        <w:rPr>
          <w:u w:val="none"/>
        </w:rPr>
        <w:t>District</w:t>
      </w:r>
      <w:r>
        <w:rPr>
          <w:spacing w:val="-3"/>
          <w:u w:val="none"/>
        </w:rPr>
        <w:t> </w:t>
      </w:r>
      <w:r>
        <w:rPr>
          <w:u w:val="none"/>
        </w:rPr>
        <w:t>of</w:t>
      </w:r>
      <w:r>
        <w:rPr>
          <w:spacing w:val="-2"/>
          <w:u w:val="none"/>
        </w:rPr>
        <w:t> </w:t>
      </w:r>
      <w:r>
        <w:rPr>
          <w:u w:val="none"/>
        </w:rPr>
        <w:t>Texas</w:t>
      </w:r>
      <w:r>
        <w:rPr>
          <w:spacing w:val="-3"/>
          <w:u w:val="none"/>
        </w:rPr>
        <w:t> </w:t>
      </w:r>
      <w:r>
        <w:rPr>
          <w:u w:val="none"/>
        </w:rPr>
        <w:t>on behalf of a putative class of customers who purchased or sold securities through CS&amp;Co or TD Ameritrade, Inc. from</w:t>
      </w:r>
    </w:p>
    <w:p>
      <w:pPr>
        <w:pStyle w:val="BodyText"/>
        <w:spacing w:line="249" w:lineRule="auto" w:before="1"/>
        <w:ind w:left="470" w:right="500"/>
      </w:pPr>
      <w:r>
        <w:rPr/>
        <w:t>October</w:t>
      </w:r>
      <w:r>
        <w:rPr>
          <w:spacing w:val="-2"/>
        </w:rPr>
        <w:t> </w:t>
      </w:r>
      <w:r>
        <w:rPr/>
        <w:t>26,</w:t>
      </w:r>
      <w:r>
        <w:rPr>
          <w:spacing w:val="-2"/>
        </w:rPr>
        <w:t> </w:t>
      </w:r>
      <w:r>
        <w:rPr/>
        <w:t>2020</w:t>
      </w:r>
      <w:r>
        <w:rPr>
          <w:spacing w:val="-2"/>
        </w:rPr>
        <w:t> </w:t>
      </w:r>
      <w:r>
        <w:rPr/>
        <w:t>to</w:t>
      </w:r>
      <w:r>
        <w:rPr>
          <w:spacing w:val="-2"/>
        </w:rPr>
        <w:t> </w:t>
      </w:r>
      <w:r>
        <w:rPr/>
        <w:t>the</w:t>
      </w:r>
      <w:r>
        <w:rPr>
          <w:spacing w:val="-3"/>
        </w:rPr>
        <w:t> </w:t>
      </w:r>
      <w:r>
        <w:rPr/>
        <w:t>present.</w:t>
      </w:r>
      <w:r>
        <w:rPr>
          <w:spacing w:val="-2"/>
        </w:rPr>
        <w:t> </w:t>
      </w:r>
      <w:r>
        <w:rPr/>
        <w:t>The</w:t>
      </w:r>
      <w:r>
        <w:rPr>
          <w:spacing w:val="-3"/>
        </w:rPr>
        <w:t> </w:t>
      </w:r>
      <w:r>
        <w:rPr/>
        <w:t>lawsuit</w:t>
      </w:r>
      <w:r>
        <w:rPr>
          <w:spacing w:val="-3"/>
        </w:rPr>
        <w:t> </w:t>
      </w:r>
      <w:r>
        <w:rPr/>
        <w:t>alleges</w:t>
      </w:r>
      <w:r>
        <w:rPr>
          <w:spacing w:val="-3"/>
        </w:rPr>
        <w:t> </w:t>
      </w:r>
      <w:r>
        <w:rPr/>
        <w:t>that</w:t>
      </w:r>
      <w:r>
        <w:rPr>
          <w:spacing w:val="-3"/>
        </w:rPr>
        <w:t> </w:t>
      </w:r>
      <w:r>
        <w:rPr/>
        <w:t>CSC’s</w:t>
      </w:r>
      <w:r>
        <w:rPr>
          <w:spacing w:val="-3"/>
        </w:rPr>
        <w:t> </w:t>
      </w:r>
      <w:r>
        <w:rPr/>
        <w:t>acquisition</w:t>
      </w:r>
      <w:r>
        <w:rPr>
          <w:spacing w:val="-2"/>
        </w:rPr>
        <w:t> </w:t>
      </w:r>
      <w:r>
        <w:rPr/>
        <w:t>of</w:t>
      </w:r>
      <w:r>
        <w:rPr>
          <w:spacing w:val="-2"/>
        </w:rPr>
        <w:t> </w:t>
      </w:r>
      <w:r>
        <w:rPr/>
        <w:t>TD</w:t>
      </w:r>
      <w:r>
        <w:rPr>
          <w:spacing w:val="-3"/>
        </w:rPr>
        <w:t> </w:t>
      </w:r>
      <w:r>
        <w:rPr/>
        <w:t>Ameritrade</w:t>
      </w:r>
      <w:r>
        <w:rPr>
          <w:spacing w:val="-3"/>
        </w:rPr>
        <w:t> </w:t>
      </w:r>
      <w:r>
        <w:rPr/>
        <w:t>violated</w:t>
      </w:r>
      <w:r>
        <w:rPr>
          <w:spacing w:val="-2"/>
        </w:rPr>
        <w:t> </w:t>
      </w:r>
      <w:r>
        <w:rPr/>
        <w:t>Section</w:t>
      </w:r>
      <w:r>
        <w:rPr>
          <w:spacing w:val="-2"/>
        </w:rPr>
        <w:t> </w:t>
      </w:r>
      <w:r>
        <w:rPr/>
        <w:t>7</w:t>
      </w:r>
      <w:r>
        <w:rPr>
          <w:spacing w:val="-2"/>
        </w:rPr>
        <w:t> </w:t>
      </w:r>
      <w:r>
        <w:rPr/>
        <w:t>of</w:t>
      </w:r>
      <w:r>
        <w:rPr>
          <w:spacing w:val="-2"/>
        </w:rPr>
        <w:t> </w:t>
      </w:r>
      <w:r>
        <w:rPr/>
        <w:t>the</w:t>
      </w:r>
      <w:r>
        <w:rPr>
          <w:spacing w:val="-3"/>
        </w:rPr>
        <w:t> </w:t>
      </w:r>
      <w:r>
        <w:rPr/>
        <w:t>Clayton Act because it has resulted in an anticompetitive market for the execution of retail customer orders. Plaintiffs seek unspecified damages, as well as injunctive and other relief. A motion by the Company to dismiss the lawsuit was denied by the court on February 24, 2023, and discovery is proceeding. The Company considers the claims to be without merit and is vigorously contesting the lawsuit.</w:t>
      </w:r>
    </w:p>
    <w:p>
      <w:pPr>
        <w:pStyle w:val="BodyText"/>
        <w:spacing w:before="14"/>
      </w:pPr>
    </w:p>
    <w:p>
      <w:pPr>
        <w:pStyle w:val="BodyText"/>
        <w:spacing w:line="249" w:lineRule="auto"/>
        <w:ind w:left="470" w:right="470"/>
      </w:pPr>
      <w:r>
        <w:rPr>
          <w:u w:val="single"/>
        </w:rPr>
        <w:t>Crago Order Routing Litigation</w:t>
      </w:r>
      <w:r>
        <w:rPr>
          <w:u w:val="none"/>
        </w:rPr>
        <w:t>: On July 13, 2016, a securities class action lawsuit was filed in the U.S. District Court for the Northern District of California on behalf of a putative class of customers executing equity orders through CS&amp;Co. The lawsuit names</w:t>
      </w:r>
      <w:r>
        <w:rPr>
          <w:spacing w:val="-3"/>
          <w:u w:val="none"/>
        </w:rPr>
        <w:t> </w:t>
      </w:r>
      <w:r>
        <w:rPr>
          <w:u w:val="none"/>
        </w:rPr>
        <w:t>CS&amp;Co</w:t>
      </w:r>
      <w:r>
        <w:rPr>
          <w:spacing w:val="-2"/>
          <w:u w:val="none"/>
        </w:rPr>
        <w:t> </w:t>
      </w:r>
      <w:r>
        <w:rPr>
          <w:u w:val="none"/>
        </w:rPr>
        <w:t>and</w:t>
      </w:r>
      <w:r>
        <w:rPr>
          <w:spacing w:val="-2"/>
          <w:u w:val="none"/>
        </w:rPr>
        <w:t> </w:t>
      </w:r>
      <w:r>
        <w:rPr>
          <w:u w:val="none"/>
        </w:rPr>
        <w:t>CSC</w:t>
      </w:r>
      <w:r>
        <w:rPr>
          <w:spacing w:val="-3"/>
          <w:u w:val="none"/>
        </w:rPr>
        <w:t> </w:t>
      </w:r>
      <w:r>
        <w:rPr>
          <w:u w:val="none"/>
        </w:rPr>
        <w:t>as</w:t>
      </w:r>
      <w:r>
        <w:rPr>
          <w:spacing w:val="-3"/>
          <w:u w:val="none"/>
        </w:rPr>
        <w:t> </w:t>
      </w:r>
      <w:r>
        <w:rPr>
          <w:u w:val="none"/>
        </w:rPr>
        <w:t>defendants</w:t>
      </w:r>
      <w:r>
        <w:rPr>
          <w:spacing w:val="-3"/>
          <w:u w:val="none"/>
        </w:rPr>
        <w:t> </w:t>
      </w:r>
      <w:r>
        <w:rPr>
          <w:u w:val="none"/>
        </w:rPr>
        <w:t>and</w:t>
      </w:r>
      <w:r>
        <w:rPr>
          <w:spacing w:val="-2"/>
          <w:u w:val="none"/>
        </w:rPr>
        <w:t> </w:t>
      </w:r>
      <w:r>
        <w:rPr>
          <w:u w:val="none"/>
        </w:rPr>
        <w:t>alleges</w:t>
      </w:r>
      <w:r>
        <w:rPr>
          <w:spacing w:val="-3"/>
          <w:u w:val="none"/>
        </w:rPr>
        <w:t> </w:t>
      </w:r>
      <w:r>
        <w:rPr>
          <w:u w:val="none"/>
        </w:rPr>
        <w:t>that</w:t>
      </w:r>
      <w:r>
        <w:rPr>
          <w:spacing w:val="-3"/>
          <w:u w:val="none"/>
        </w:rPr>
        <w:t> </w:t>
      </w:r>
      <w:r>
        <w:rPr>
          <w:u w:val="none"/>
        </w:rPr>
        <w:t>an</w:t>
      </w:r>
      <w:r>
        <w:rPr>
          <w:spacing w:val="-2"/>
          <w:u w:val="none"/>
        </w:rPr>
        <w:t> </w:t>
      </w:r>
      <w:r>
        <w:rPr>
          <w:u w:val="none"/>
        </w:rPr>
        <w:t>agreement</w:t>
      </w:r>
      <w:r>
        <w:rPr>
          <w:spacing w:val="-3"/>
          <w:u w:val="none"/>
        </w:rPr>
        <w:t> </w:t>
      </w:r>
      <w:r>
        <w:rPr>
          <w:u w:val="none"/>
        </w:rPr>
        <w:t>under</w:t>
      </w:r>
      <w:r>
        <w:rPr>
          <w:spacing w:val="-2"/>
          <w:u w:val="none"/>
        </w:rPr>
        <w:t> </w:t>
      </w:r>
      <w:r>
        <w:rPr>
          <w:u w:val="none"/>
        </w:rPr>
        <w:t>which</w:t>
      </w:r>
      <w:r>
        <w:rPr>
          <w:spacing w:val="-2"/>
          <w:u w:val="none"/>
        </w:rPr>
        <w:t> </w:t>
      </w:r>
      <w:r>
        <w:rPr>
          <w:u w:val="none"/>
        </w:rPr>
        <w:t>CS&amp;Co</w:t>
      </w:r>
      <w:r>
        <w:rPr>
          <w:spacing w:val="-2"/>
          <w:u w:val="none"/>
        </w:rPr>
        <w:t> </w:t>
      </w:r>
      <w:r>
        <w:rPr>
          <w:u w:val="none"/>
        </w:rPr>
        <w:t>routed</w:t>
      </w:r>
      <w:r>
        <w:rPr>
          <w:spacing w:val="-2"/>
          <w:u w:val="none"/>
        </w:rPr>
        <w:t> </w:t>
      </w:r>
      <w:r>
        <w:rPr>
          <w:u w:val="none"/>
        </w:rPr>
        <w:t>orders</w:t>
      </w:r>
      <w:r>
        <w:rPr>
          <w:spacing w:val="-3"/>
          <w:u w:val="none"/>
        </w:rPr>
        <w:t> </w:t>
      </w:r>
      <w:r>
        <w:rPr>
          <w:u w:val="none"/>
        </w:rPr>
        <w:t>to</w:t>
      </w:r>
      <w:r>
        <w:rPr>
          <w:spacing w:val="-2"/>
          <w:u w:val="none"/>
        </w:rPr>
        <w:t> </w:t>
      </w:r>
      <w:r>
        <w:rPr>
          <w:u w:val="none"/>
        </w:rPr>
        <w:t>UBS</w:t>
      </w:r>
      <w:r>
        <w:rPr>
          <w:spacing w:val="-3"/>
          <w:u w:val="none"/>
        </w:rPr>
        <w:t> </w:t>
      </w:r>
      <w:r>
        <w:rPr>
          <w:u w:val="none"/>
        </w:rPr>
        <w:t>Securities</w:t>
      </w:r>
      <w:r>
        <w:rPr>
          <w:spacing w:val="-3"/>
          <w:u w:val="none"/>
        </w:rPr>
        <w:t> </w:t>
      </w:r>
      <w:r>
        <w:rPr>
          <w:u w:val="none"/>
        </w:rPr>
        <w:t>LLC between July 13, 2011 and December 31, 2014 violated CS&amp;Co’s duty to seek best execution. Plaintiffs seek unspecified damages, interest, injunctive and equitable relief, and attorneys’ fees and costs. Defendants consider the allegations to be</w:t>
      </w:r>
    </w:p>
    <w:p>
      <w:pPr>
        <w:spacing w:after="0" w:line="249" w:lineRule="auto"/>
        <w:sectPr>
          <w:pgSz w:w="12240" w:h="15840"/>
          <w:pgMar w:header="227" w:footer="201" w:top="1080" w:bottom="400" w:left="520" w:right="520"/>
        </w:sectPr>
      </w:pPr>
    </w:p>
    <w:p>
      <w:pPr>
        <w:pStyle w:val="BodyText"/>
        <w:spacing w:line="249" w:lineRule="auto" w:before="214"/>
        <w:ind w:left="470" w:right="566"/>
      </w:pPr>
      <w:r>
        <w:rPr/>
        <w:t>without merit and have been vigorously contesting the lawsuit. After a first amended complaint was dismissed with leave to amend,</w:t>
      </w:r>
      <w:r>
        <w:rPr>
          <w:spacing w:val="-3"/>
        </w:rPr>
        <w:t> </w:t>
      </w:r>
      <w:r>
        <w:rPr/>
        <w:t>plaintiffs</w:t>
      </w:r>
      <w:r>
        <w:rPr>
          <w:spacing w:val="-4"/>
        </w:rPr>
        <w:t> </w:t>
      </w:r>
      <w:r>
        <w:rPr/>
        <w:t>filed</w:t>
      </w:r>
      <w:r>
        <w:rPr>
          <w:spacing w:val="-3"/>
        </w:rPr>
        <w:t> </w:t>
      </w:r>
      <w:r>
        <w:rPr/>
        <w:t>a</w:t>
      </w:r>
      <w:r>
        <w:rPr>
          <w:spacing w:val="-4"/>
        </w:rPr>
        <w:t> </w:t>
      </w:r>
      <w:r>
        <w:rPr/>
        <w:t>second</w:t>
      </w:r>
      <w:r>
        <w:rPr>
          <w:spacing w:val="-3"/>
        </w:rPr>
        <w:t> </w:t>
      </w:r>
      <w:r>
        <w:rPr/>
        <w:t>amended</w:t>
      </w:r>
      <w:r>
        <w:rPr>
          <w:spacing w:val="-3"/>
        </w:rPr>
        <w:t> </w:t>
      </w:r>
      <w:r>
        <w:rPr/>
        <w:t>complaint</w:t>
      </w:r>
      <w:r>
        <w:rPr>
          <w:spacing w:val="-4"/>
        </w:rPr>
        <w:t> </w:t>
      </w:r>
      <w:r>
        <w:rPr/>
        <w:t>on</w:t>
      </w:r>
      <w:r>
        <w:rPr>
          <w:spacing w:val="-3"/>
        </w:rPr>
        <w:t> </w:t>
      </w:r>
      <w:r>
        <w:rPr/>
        <w:t>August</w:t>
      </w:r>
      <w:r>
        <w:rPr>
          <w:spacing w:val="-4"/>
        </w:rPr>
        <w:t> </w:t>
      </w:r>
      <w:r>
        <w:rPr/>
        <w:t>14,</w:t>
      </w:r>
      <w:r>
        <w:rPr>
          <w:spacing w:val="-3"/>
        </w:rPr>
        <w:t> </w:t>
      </w:r>
      <w:r>
        <w:rPr/>
        <w:t>2017.</w:t>
      </w:r>
      <w:r>
        <w:rPr>
          <w:spacing w:val="-3"/>
        </w:rPr>
        <w:t> </w:t>
      </w:r>
      <w:r>
        <w:rPr/>
        <w:t>Defendants</w:t>
      </w:r>
      <w:r>
        <w:rPr>
          <w:spacing w:val="-4"/>
        </w:rPr>
        <w:t> </w:t>
      </w:r>
      <w:r>
        <w:rPr/>
        <w:t>again</w:t>
      </w:r>
      <w:r>
        <w:rPr>
          <w:spacing w:val="-3"/>
        </w:rPr>
        <w:t> </w:t>
      </w:r>
      <w:r>
        <w:rPr/>
        <w:t>moved</w:t>
      </w:r>
      <w:r>
        <w:rPr>
          <w:spacing w:val="-3"/>
        </w:rPr>
        <w:t> </w:t>
      </w:r>
      <w:r>
        <w:rPr/>
        <w:t>to</w:t>
      </w:r>
      <w:r>
        <w:rPr>
          <w:spacing w:val="-3"/>
        </w:rPr>
        <w:t> </w:t>
      </w:r>
      <w:r>
        <w:rPr/>
        <w:t>dismiss,</w:t>
      </w:r>
      <w:r>
        <w:rPr>
          <w:spacing w:val="-3"/>
        </w:rPr>
        <w:t> </w:t>
      </w:r>
      <w:r>
        <w:rPr/>
        <w:t>and</w:t>
      </w:r>
      <w:r>
        <w:rPr>
          <w:spacing w:val="-3"/>
        </w:rPr>
        <w:t> </w:t>
      </w:r>
      <w:r>
        <w:rPr/>
        <w:t>in</w:t>
      </w:r>
      <w:r>
        <w:rPr>
          <w:spacing w:val="-3"/>
        </w:rPr>
        <w:t> </w:t>
      </w:r>
      <w:r>
        <w:rPr/>
        <w:t>a</w:t>
      </w:r>
      <w:r>
        <w:rPr>
          <w:spacing w:val="-4"/>
        </w:rPr>
        <w:t> </w:t>
      </w:r>
      <w:r>
        <w:rPr/>
        <w:t>decision issued</w:t>
      </w:r>
      <w:r>
        <w:rPr>
          <w:spacing w:val="-1"/>
        </w:rPr>
        <w:t> </w:t>
      </w:r>
      <w:r>
        <w:rPr/>
        <w:t>December</w:t>
      </w:r>
      <w:r>
        <w:rPr>
          <w:spacing w:val="-1"/>
        </w:rPr>
        <w:t> </w:t>
      </w:r>
      <w:r>
        <w:rPr/>
        <w:t>5,</w:t>
      </w:r>
      <w:r>
        <w:rPr>
          <w:spacing w:val="-1"/>
        </w:rPr>
        <w:t> </w:t>
      </w:r>
      <w:r>
        <w:rPr/>
        <w:t>2017,</w:t>
      </w:r>
      <w:r>
        <w:rPr>
          <w:spacing w:val="-1"/>
        </w:rPr>
        <w:t> </w:t>
      </w:r>
      <w:r>
        <w:rPr/>
        <w:t>the</w:t>
      </w:r>
      <w:r>
        <w:rPr>
          <w:spacing w:val="-2"/>
        </w:rPr>
        <w:t> </w:t>
      </w:r>
      <w:r>
        <w:rPr/>
        <w:t>court</w:t>
      </w:r>
      <w:r>
        <w:rPr>
          <w:spacing w:val="-2"/>
        </w:rPr>
        <w:t> </w:t>
      </w:r>
      <w:r>
        <w:rPr/>
        <w:t>denied</w:t>
      </w:r>
      <w:r>
        <w:rPr>
          <w:spacing w:val="-1"/>
        </w:rPr>
        <w:t> </w:t>
      </w:r>
      <w:r>
        <w:rPr/>
        <w:t>the</w:t>
      </w:r>
      <w:r>
        <w:rPr>
          <w:spacing w:val="-2"/>
        </w:rPr>
        <w:t> </w:t>
      </w:r>
      <w:r>
        <w:rPr/>
        <w:t>motion.</w:t>
      </w:r>
      <w:r>
        <w:rPr>
          <w:spacing w:val="-1"/>
        </w:rPr>
        <w:t> </w:t>
      </w:r>
      <w:r>
        <w:rPr/>
        <w:t>Plaintiffs</w:t>
      </w:r>
      <w:r>
        <w:rPr>
          <w:spacing w:val="-2"/>
        </w:rPr>
        <w:t> </w:t>
      </w:r>
      <w:r>
        <w:rPr/>
        <w:t>filed</w:t>
      </w:r>
      <w:r>
        <w:rPr>
          <w:spacing w:val="-1"/>
        </w:rPr>
        <w:t> </w:t>
      </w:r>
      <w:r>
        <w:rPr/>
        <w:t>a</w:t>
      </w:r>
      <w:r>
        <w:rPr>
          <w:spacing w:val="-2"/>
        </w:rPr>
        <w:t> </w:t>
      </w:r>
      <w:r>
        <w:rPr/>
        <w:t>motion</w:t>
      </w:r>
      <w:r>
        <w:rPr>
          <w:spacing w:val="-1"/>
        </w:rPr>
        <w:t> </w:t>
      </w:r>
      <w:r>
        <w:rPr/>
        <w:t>for</w:t>
      </w:r>
      <w:r>
        <w:rPr>
          <w:spacing w:val="-1"/>
        </w:rPr>
        <w:t> </w:t>
      </w:r>
      <w:r>
        <w:rPr/>
        <w:t>class</w:t>
      </w:r>
      <w:r>
        <w:rPr>
          <w:spacing w:val="-2"/>
        </w:rPr>
        <w:t> </w:t>
      </w:r>
      <w:r>
        <w:rPr/>
        <w:t>certification</w:t>
      </w:r>
      <w:r>
        <w:rPr>
          <w:spacing w:val="-1"/>
        </w:rPr>
        <w:t> </w:t>
      </w:r>
      <w:r>
        <w:rPr/>
        <w:t>on</w:t>
      </w:r>
      <w:r>
        <w:rPr>
          <w:spacing w:val="-1"/>
        </w:rPr>
        <w:t> </w:t>
      </w:r>
      <w:r>
        <w:rPr/>
        <w:t>April</w:t>
      </w:r>
      <w:r>
        <w:rPr>
          <w:spacing w:val="-2"/>
        </w:rPr>
        <w:t> </w:t>
      </w:r>
      <w:r>
        <w:rPr/>
        <w:t>30,</w:t>
      </w:r>
      <w:r>
        <w:rPr>
          <w:spacing w:val="-1"/>
        </w:rPr>
        <w:t> </w:t>
      </w:r>
      <w:r>
        <w:rPr/>
        <w:t>2021,</w:t>
      </w:r>
      <w:r>
        <w:rPr>
          <w:spacing w:val="-1"/>
        </w:rPr>
        <w:t> </w:t>
      </w:r>
      <w:r>
        <w:rPr/>
        <w:t>and</w:t>
      </w:r>
      <w:r>
        <w:rPr>
          <w:spacing w:val="-1"/>
        </w:rPr>
        <w:t> </w:t>
      </w:r>
      <w:r>
        <w:rPr/>
        <w:t>in a decision on October 27, 2021, the court denied the motion and held that certification of a class action is inappropriate.</w:t>
      </w:r>
    </w:p>
    <w:p>
      <w:pPr>
        <w:pStyle w:val="BodyText"/>
        <w:spacing w:line="249" w:lineRule="auto" w:before="3"/>
        <w:ind w:left="470" w:right="470"/>
      </w:pPr>
      <w:r>
        <w:rPr/>
        <w:t>Plaintiffs</w:t>
      </w:r>
      <w:r>
        <w:rPr>
          <w:spacing w:val="-3"/>
        </w:rPr>
        <w:t> </w:t>
      </w:r>
      <w:r>
        <w:rPr/>
        <w:t>sought</w:t>
      </w:r>
      <w:r>
        <w:rPr>
          <w:spacing w:val="-3"/>
        </w:rPr>
        <w:t> </w:t>
      </w:r>
      <w:r>
        <w:rPr/>
        <w:t>review</w:t>
      </w:r>
      <w:r>
        <w:rPr>
          <w:spacing w:val="-3"/>
        </w:rPr>
        <w:t> </w:t>
      </w:r>
      <w:r>
        <w:rPr/>
        <w:t>of</w:t>
      </w:r>
      <w:r>
        <w:rPr>
          <w:spacing w:val="-2"/>
        </w:rPr>
        <w:t> </w:t>
      </w:r>
      <w:r>
        <w:rPr/>
        <w:t>the</w:t>
      </w:r>
      <w:r>
        <w:rPr>
          <w:spacing w:val="-3"/>
        </w:rPr>
        <w:t> </w:t>
      </w:r>
      <w:r>
        <w:rPr/>
        <w:t>order</w:t>
      </w:r>
      <w:r>
        <w:rPr>
          <w:spacing w:val="-2"/>
        </w:rPr>
        <w:t> </w:t>
      </w:r>
      <w:r>
        <w:rPr/>
        <w:t>denying</w:t>
      </w:r>
      <w:r>
        <w:rPr>
          <w:spacing w:val="-2"/>
        </w:rPr>
        <w:t> </w:t>
      </w:r>
      <w:r>
        <w:rPr/>
        <w:t>class</w:t>
      </w:r>
      <w:r>
        <w:rPr>
          <w:spacing w:val="-3"/>
        </w:rPr>
        <w:t> </w:t>
      </w:r>
      <w:r>
        <w:rPr/>
        <w:t>certification</w:t>
      </w:r>
      <w:r>
        <w:rPr>
          <w:spacing w:val="-2"/>
        </w:rPr>
        <w:t> </w:t>
      </w:r>
      <w:r>
        <w:rPr/>
        <w:t>by</w:t>
      </w:r>
      <w:r>
        <w:rPr>
          <w:spacing w:val="-2"/>
        </w:rPr>
        <w:t> </w:t>
      </w:r>
      <w:r>
        <w:rPr/>
        <w:t>the</w:t>
      </w:r>
      <w:r>
        <w:rPr>
          <w:spacing w:val="-3"/>
        </w:rPr>
        <w:t> </w:t>
      </w:r>
      <w:r>
        <w:rPr/>
        <w:t>U.S.</w:t>
      </w:r>
      <w:r>
        <w:rPr>
          <w:spacing w:val="-2"/>
        </w:rPr>
        <w:t> </w:t>
      </w:r>
      <w:r>
        <w:rPr/>
        <w:t>Court</w:t>
      </w:r>
      <w:r>
        <w:rPr>
          <w:spacing w:val="-3"/>
        </w:rPr>
        <w:t> </w:t>
      </w:r>
      <w:r>
        <w:rPr/>
        <w:t>of</w:t>
      </w:r>
      <w:r>
        <w:rPr>
          <w:spacing w:val="-2"/>
        </w:rPr>
        <w:t> </w:t>
      </w:r>
      <w:r>
        <w:rPr/>
        <w:t>Appeals,</w:t>
      </w:r>
      <w:r>
        <w:rPr>
          <w:spacing w:val="-2"/>
        </w:rPr>
        <w:t> </w:t>
      </w:r>
      <w:r>
        <w:rPr/>
        <w:t>9th</w:t>
      </w:r>
      <w:r>
        <w:rPr>
          <w:spacing w:val="-2"/>
        </w:rPr>
        <w:t> </w:t>
      </w:r>
      <w:r>
        <w:rPr/>
        <w:t>Circuit,</w:t>
      </w:r>
      <w:r>
        <w:rPr>
          <w:spacing w:val="-2"/>
        </w:rPr>
        <w:t> </w:t>
      </w:r>
      <w:r>
        <w:rPr/>
        <w:t>which</w:t>
      </w:r>
      <w:r>
        <w:rPr>
          <w:spacing w:val="-2"/>
        </w:rPr>
        <w:t> </w:t>
      </w:r>
      <w:r>
        <w:rPr/>
        <w:t>was</w:t>
      </w:r>
      <w:r>
        <w:rPr>
          <w:spacing w:val="-3"/>
        </w:rPr>
        <w:t> </w:t>
      </w:r>
      <w:r>
        <w:rPr/>
        <w:t>denied.</w:t>
      </w:r>
      <w:r>
        <w:rPr>
          <w:spacing w:val="-2"/>
        </w:rPr>
        <w:t> </w:t>
      </w:r>
      <w:r>
        <w:rPr/>
        <w:t>On September 23, 2022, plaintiffs filed a renewed motion for class certification and defendants moved to compel plaintiffs’ case to arbitration. On February 2, 2023, the court granted defendants’ motion, stayed the case pending the outcome of arbitration, and denied plaintiffs’ renewed motion for class certification as moot.</w:t>
      </w:r>
    </w:p>
    <w:p>
      <w:pPr>
        <w:pStyle w:val="BodyText"/>
        <w:spacing w:before="14"/>
      </w:pPr>
    </w:p>
    <w:p>
      <w:pPr>
        <w:pStyle w:val="BodyText"/>
        <w:spacing w:line="249" w:lineRule="auto"/>
        <w:ind w:left="470" w:right="500"/>
      </w:pPr>
      <w:r>
        <w:rPr>
          <w:u w:val="single"/>
        </w:rPr>
        <w:t>Ford Order Routing Litigation</w:t>
      </w:r>
      <w:r>
        <w:rPr>
          <w:u w:val="none"/>
        </w:rPr>
        <w:t>: On September 15, 2014, TDA Holding, TD Ameritrade, Inc. and its former CEO, Frederick J. Tomczyk, were sued in the U.S. District Court for the District of Nebraska on behalf of a putative class of TD Ameritrade, Inc. clients alleging that defendants failed to seek best execution and made misrepresentations and omissions regarding its order routing practices. Plaintiffs seek unspecified damages and injunctive and other relief. Defendants consider the allegations to be without merit and have been vigorously contesting the lawsuit. On September 14, 2018, the District Court granted plaintiffs’ motion for class certification, and defendants petitioned for an immediate appeal of the District Court’s class certification decision.</w:t>
      </w:r>
      <w:r>
        <w:rPr>
          <w:spacing w:val="-3"/>
          <w:u w:val="none"/>
        </w:rPr>
        <w:t> </w:t>
      </w:r>
      <w:r>
        <w:rPr>
          <w:u w:val="none"/>
        </w:rPr>
        <w:t>On</w:t>
      </w:r>
      <w:r>
        <w:rPr>
          <w:spacing w:val="-3"/>
          <w:u w:val="none"/>
        </w:rPr>
        <w:t> </w:t>
      </w:r>
      <w:r>
        <w:rPr>
          <w:u w:val="none"/>
        </w:rPr>
        <w:t>April</w:t>
      </w:r>
      <w:r>
        <w:rPr>
          <w:spacing w:val="-4"/>
          <w:u w:val="none"/>
        </w:rPr>
        <w:t> </w:t>
      </w:r>
      <w:r>
        <w:rPr>
          <w:u w:val="none"/>
        </w:rPr>
        <w:t>23,</w:t>
      </w:r>
      <w:r>
        <w:rPr>
          <w:spacing w:val="-3"/>
          <w:u w:val="none"/>
        </w:rPr>
        <w:t> </w:t>
      </w:r>
      <w:r>
        <w:rPr>
          <w:u w:val="none"/>
        </w:rPr>
        <w:t>2021,</w:t>
      </w:r>
      <w:r>
        <w:rPr>
          <w:spacing w:val="-3"/>
          <w:u w:val="none"/>
        </w:rPr>
        <w:t> </w:t>
      </w:r>
      <w:r>
        <w:rPr>
          <w:u w:val="none"/>
        </w:rPr>
        <w:t>the</w:t>
      </w:r>
      <w:r>
        <w:rPr>
          <w:spacing w:val="-4"/>
          <w:u w:val="none"/>
        </w:rPr>
        <w:t> </w:t>
      </w:r>
      <w:r>
        <w:rPr>
          <w:u w:val="none"/>
        </w:rPr>
        <w:t>U.S.</w:t>
      </w:r>
      <w:r>
        <w:rPr>
          <w:spacing w:val="-3"/>
          <w:u w:val="none"/>
        </w:rPr>
        <w:t> </w:t>
      </w:r>
      <w:r>
        <w:rPr>
          <w:u w:val="none"/>
        </w:rPr>
        <w:t>Court</w:t>
      </w:r>
      <w:r>
        <w:rPr>
          <w:spacing w:val="-4"/>
          <w:u w:val="none"/>
        </w:rPr>
        <w:t> </w:t>
      </w:r>
      <w:r>
        <w:rPr>
          <w:u w:val="none"/>
        </w:rPr>
        <w:t>of</w:t>
      </w:r>
      <w:r>
        <w:rPr>
          <w:spacing w:val="-3"/>
          <w:u w:val="none"/>
        </w:rPr>
        <w:t> </w:t>
      </w:r>
      <w:r>
        <w:rPr>
          <w:u w:val="none"/>
        </w:rPr>
        <w:t>Appeals,</w:t>
      </w:r>
      <w:r>
        <w:rPr>
          <w:spacing w:val="-3"/>
          <w:u w:val="none"/>
        </w:rPr>
        <w:t> </w:t>
      </w:r>
      <w:r>
        <w:rPr>
          <w:u w:val="none"/>
        </w:rPr>
        <w:t>8th</w:t>
      </w:r>
      <w:r>
        <w:rPr>
          <w:spacing w:val="-3"/>
          <w:u w:val="none"/>
        </w:rPr>
        <w:t> </w:t>
      </w:r>
      <w:r>
        <w:rPr>
          <w:u w:val="none"/>
        </w:rPr>
        <w:t>Circuit,</w:t>
      </w:r>
      <w:r>
        <w:rPr>
          <w:spacing w:val="-3"/>
          <w:u w:val="none"/>
        </w:rPr>
        <w:t> </w:t>
      </w:r>
      <w:r>
        <w:rPr>
          <w:u w:val="none"/>
        </w:rPr>
        <w:t>issued</w:t>
      </w:r>
      <w:r>
        <w:rPr>
          <w:spacing w:val="-3"/>
          <w:u w:val="none"/>
        </w:rPr>
        <w:t> </w:t>
      </w:r>
      <w:r>
        <w:rPr>
          <w:u w:val="none"/>
        </w:rPr>
        <w:t>a</w:t>
      </w:r>
      <w:r>
        <w:rPr>
          <w:spacing w:val="-4"/>
          <w:u w:val="none"/>
        </w:rPr>
        <w:t> </w:t>
      </w:r>
      <w:r>
        <w:rPr>
          <w:u w:val="none"/>
        </w:rPr>
        <w:t>decision</w:t>
      </w:r>
      <w:r>
        <w:rPr>
          <w:spacing w:val="-3"/>
          <w:u w:val="none"/>
        </w:rPr>
        <w:t> </w:t>
      </w:r>
      <w:r>
        <w:rPr>
          <w:u w:val="none"/>
        </w:rPr>
        <w:t>reversing</w:t>
      </w:r>
      <w:r>
        <w:rPr>
          <w:spacing w:val="-3"/>
          <w:u w:val="none"/>
        </w:rPr>
        <w:t> </w:t>
      </w:r>
      <w:r>
        <w:rPr>
          <w:u w:val="none"/>
        </w:rPr>
        <w:t>the</w:t>
      </w:r>
      <w:r>
        <w:rPr>
          <w:spacing w:val="-4"/>
          <w:u w:val="none"/>
        </w:rPr>
        <w:t> </w:t>
      </w:r>
      <w:r>
        <w:rPr>
          <w:u w:val="none"/>
        </w:rPr>
        <w:t>District</w:t>
      </w:r>
      <w:r>
        <w:rPr>
          <w:spacing w:val="-4"/>
          <w:u w:val="none"/>
        </w:rPr>
        <w:t> </w:t>
      </w:r>
      <w:r>
        <w:rPr>
          <w:u w:val="none"/>
        </w:rPr>
        <w:t>Court’s</w:t>
      </w:r>
      <w:r>
        <w:rPr>
          <w:spacing w:val="-4"/>
          <w:u w:val="none"/>
        </w:rPr>
        <w:t> </w:t>
      </w:r>
      <w:r>
        <w:rPr>
          <w:u w:val="none"/>
        </w:rPr>
        <w:t>certification of a class and remanding the case back to the District Court for further proceedings. Plaintiff renewed his motion for class certification, which the District Court granted on September 20, 2022. Defendants are appealing the District Court’s ruling before the U.S. Court of Appeals, 8th Circuit.</w:t>
      </w:r>
    </w:p>
    <w:p>
      <w:pPr>
        <w:pStyle w:val="BodyText"/>
      </w:pPr>
    </w:p>
    <w:p>
      <w:pPr>
        <w:pStyle w:val="BodyText"/>
        <w:spacing w:before="25"/>
      </w:pPr>
    </w:p>
    <w:p>
      <w:pPr>
        <w:pStyle w:val="Heading2"/>
        <w:numPr>
          <w:ilvl w:val="0"/>
          <w:numId w:val="4"/>
        </w:numPr>
        <w:tabs>
          <w:tab w:pos="1189" w:val="left" w:leader="none"/>
        </w:tabs>
        <w:spacing w:line="240" w:lineRule="auto" w:before="0" w:after="0"/>
        <w:ind w:left="1189" w:right="0" w:hanging="719"/>
        <w:jc w:val="left"/>
      </w:pPr>
      <w:bookmarkStart w:name="Note 10 Exit Liabilities" w:id="49"/>
      <w:bookmarkEnd w:id="49"/>
      <w:r>
        <w:rPr>
          <w:b w:val="0"/>
        </w:rPr>
      </w:r>
      <w:r>
        <w:rPr/>
        <w:t>Exit</w:t>
      </w:r>
      <w:r>
        <w:rPr>
          <w:spacing w:val="-3"/>
        </w:rPr>
        <w:t> </w:t>
      </w:r>
      <w:r>
        <w:rPr/>
        <w:t>and</w:t>
      </w:r>
      <w:r>
        <w:rPr>
          <w:spacing w:val="-4"/>
        </w:rPr>
        <w:t> </w:t>
      </w:r>
      <w:r>
        <w:rPr/>
        <w:t>Other</w:t>
      </w:r>
      <w:r>
        <w:rPr>
          <w:spacing w:val="-3"/>
        </w:rPr>
        <w:t> </w:t>
      </w:r>
      <w:r>
        <w:rPr/>
        <w:t>Related</w:t>
      </w:r>
      <w:r>
        <w:rPr>
          <w:spacing w:val="-3"/>
        </w:rPr>
        <w:t> </w:t>
      </w:r>
      <w:r>
        <w:rPr>
          <w:spacing w:val="-2"/>
        </w:rPr>
        <w:t>Liabilities</w:t>
      </w:r>
    </w:p>
    <w:p>
      <w:pPr>
        <w:pStyle w:val="BodyText"/>
        <w:spacing w:before="23"/>
        <w:rPr>
          <w:b/>
        </w:rPr>
      </w:pPr>
    </w:p>
    <w:p>
      <w:pPr>
        <w:spacing w:before="0"/>
        <w:ind w:left="470" w:right="0" w:firstLine="0"/>
        <w:jc w:val="left"/>
        <w:rPr>
          <w:i/>
          <w:sz w:val="20"/>
        </w:rPr>
      </w:pPr>
      <w:r>
        <w:rPr>
          <w:i/>
          <w:sz w:val="20"/>
        </w:rPr>
        <w:t>Integration</w:t>
      </w:r>
      <w:r>
        <w:rPr>
          <w:i/>
          <w:spacing w:val="-3"/>
          <w:sz w:val="20"/>
        </w:rPr>
        <w:t> </w:t>
      </w:r>
      <w:r>
        <w:rPr>
          <w:i/>
          <w:sz w:val="20"/>
        </w:rPr>
        <w:t>of</w:t>
      </w:r>
      <w:r>
        <w:rPr>
          <w:i/>
          <w:spacing w:val="-3"/>
          <w:sz w:val="20"/>
        </w:rPr>
        <w:t> </w:t>
      </w:r>
      <w:r>
        <w:rPr>
          <w:i/>
          <w:sz w:val="20"/>
        </w:rPr>
        <w:t>TD</w:t>
      </w:r>
      <w:r>
        <w:rPr>
          <w:i/>
          <w:spacing w:val="-2"/>
          <w:sz w:val="20"/>
        </w:rPr>
        <w:t> Ameritrade</w:t>
      </w:r>
    </w:p>
    <w:p>
      <w:pPr>
        <w:pStyle w:val="BodyText"/>
        <w:spacing w:before="20"/>
        <w:rPr>
          <w:i/>
        </w:rPr>
      </w:pPr>
    </w:p>
    <w:p>
      <w:pPr>
        <w:pStyle w:val="BodyText"/>
        <w:spacing w:line="249" w:lineRule="auto"/>
        <w:ind w:left="470" w:right="500"/>
      </w:pPr>
      <w:r>
        <w:rPr/>
        <w:t>The</w:t>
      </w:r>
      <w:r>
        <w:rPr>
          <w:spacing w:val="-4"/>
        </w:rPr>
        <w:t> </w:t>
      </w:r>
      <w:r>
        <w:rPr/>
        <w:t>Company</w:t>
      </w:r>
      <w:r>
        <w:rPr>
          <w:spacing w:val="-3"/>
        </w:rPr>
        <w:t> </w:t>
      </w:r>
      <w:r>
        <w:rPr/>
        <w:t>completed</w:t>
      </w:r>
      <w:r>
        <w:rPr>
          <w:spacing w:val="-3"/>
        </w:rPr>
        <w:t> </w:t>
      </w:r>
      <w:r>
        <w:rPr/>
        <w:t>its</w:t>
      </w:r>
      <w:r>
        <w:rPr>
          <w:spacing w:val="-4"/>
        </w:rPr>
        <w:t> </w:t>
      </w:r>
      <w:r>
        <w:rPr/>
        <w:t>acquisition</w:t>
      </w:r>
      <w:r>
        <w:rPr>
          <w:spacing w:val="-3"/>
        </w:rPr>
        <w:t> </w:t>
      </w:r>
      <w:r>
        <w:rPr/>
        <w:t>of</w:t>
      </w:r>
      <w:r>
        <w:rPr>
          <w:spacing w:val="-3"/>
        </w:rPr>
        <w:t> </w:t>
      </w:r>
      <w:r>
        <w:rPr/>
        <w:t>TD</w:t>
      </w:r>
      <w:r>
        <w:rPr>
          <w:spacing w:val="-4"/>
        </w:rPr>
        <w:t> </w:t>
      </w:r>
      <w:r>
        <w:rPr/>
        <w:t>Ameritrade</w:t>
      </w:r>
      <w:r>
        <w:rPr>
          <w:spacing w:val="-4"/>
        </w:rPr>
        <w:t> </w:t>
      </w:r>
      <w:r>
        <w:rPr/>
        <w:t>effective</w:t>
      </w:r>
      <w:r>
        <w:rPr>
          <w:spacing w:val="-4"/>
        </w:rPr>
        <w:t> </w:t>
      </w:r>
      <w:r>
        <w:rPr/>
        <w:t>October</w:t>
      </w:r>
      <w:r>
        <w:rPr>
          <w:spacing w:val="-3"/>
        </w:rPr>
        <w:t> </w:t>
      </w:r>
      <w:r>
        <w:rPr/>
        <w:t>6,</w:t>
      </w:r>
      <w:r>
        <w:rPr>
          <w:spacing w:val="-3"/>
        </w:rPr>
        <w:t> </w:t>
      </w:r>
      <w:r>
        <w:rPr/>
        <w:t>2020</w:t>
      </w:r>
      <w:r>
        <w:rPr>
          <w:spacing w:val="-3"/>
        </w:rPr>
        <w:t> </w:t>
      </w:r>
      <w:r>
        <w:rPr/>
        <w:t>and</w:t>
      </w:r>
      <w:r>
        <w:rPr>
          <w:spacing w:val="-3"/>
        </w:rPr>
        <w:t> </w:t>
      </w:r>
      <w:r>
        <w:rPr/>
        <w:t>integration</w:t>
      </w:r>
      <w:r>
        <w:rPr>
          <w:spacing w:val="-3"/>
        </w:rPr>
        <w:t> </w:t>
      </w:r>
      <w:r>
        <w:rPr/>
        <w:t>work</w:t>
      </w:r>
      <w:r>
        <w:rPr>
          <w:spacing w:val="-3"/>
        </w:rPr>
        <w:t> </w:t>
      </w:r>
      <w:r>
        <w:rPr/>
        <w:t>continued</w:t>
      </w:r>
      <w:r>
        <w:rPr>
          <w:spacing w:val="-3"/>
        </w:rPr>
        <w:t> </w:t>
      </w:r>
      <w:r>
        <w:rPr/>
        <w:t>during</w:t>
      </w:r>
      <w:r>
        <w:rPr>
          <w:spacing w:val="-3"/>
        </w:rPr>
        <w:t> </w:t>
      </w:r>
      <w:r>
        <w:rPr/>
        <w:t>the first nine months of 2023, including the completion of three client transition groups. The Company completed its fourth conversion of 2023 in November and expects to complete the remaining client transitions from TD Ameritrade to Schwab in a final transition group in the first half of 2024.</w:t>
      </w:r>
    </w:p>
    <w:p>
      <w:pPr>
        <w:pStyle w:val="BodyText"/>
        <w:spacing w:line="249" w:lineRule="auto" w:before="227"/>
        <w:ind w:left="470" w:right="500"/>
      </w:pPr>
      <w:r>
        <w:rPr/>
        <w:t>The Company expects to continue to incur significant acquisition and integration-related costs and integration-related capital expenditures throughout the remaining integration process. Such costs have included, and are expected to continue to include, professional fees, such as legal, advisory, and accounting fees, compensation and benefits expenses for employees and contractors involved in the integration work, and costs for technology enhancements. The Company has also incurred exit and other related costs to attain anticipated synergies, which are primarily comprised of employee compensation and benefits such as</w:t>
      </w:r>
      <w:r>
        <w:rPr>
          <w:spacing w:val="-4"/>
        </w:rPr>
        <w:t> </w:t>
      </w:r>
      <w:r>
        <w:rPr/>
        <w:t>severance</w:t>
      </w:r>
      <w:r>
        <w:rPr>
          <w:spacing w:val="-4"/>
        </w:rPr>
        <w:t> </w:t>
      </w:r>
      <w:r>
        <w:rPr/>
        <w:t>pay,</w:t>
      </w:r>
      <w:r>
        <w:rPr>
          <w:spacing w:val="-3"/>
        </w:rPr>
        <w:t> </w:t>
      </w:r>
      <w:r>
        <w:rPr/>
        <w:t>other</w:t>
      </w:r>
      <w:r>
        <w:rPr>
          <w:spacing w:val="-3"/>
        </w:rPr>
        <w:t> </w:t>
      </w:r>
      <w:r>
        <w:rPr/>
        <w:t>termination</w:t>
      </w:r>
      <w:r>
        <w:rPr>
          <w:spacing w:val="-3"/>
        </w:rPr>
        <w:t> </w:t>
      </w:r>
      <w:r>
        <w:rPr/>
        <w:t>benefits,</w:t>
      </w:r>
      <w:r>
        <w:rPr>
          <w:spacing w:val="-3"/>
        </w:rPr>
        <w:t> </w:t>
      </w:r>
      <w:r>
        <w:rPr/>
        <w:t>and</w:t>
      </w:r>
      <w:r>
        <w:rPr>
          <w:spacing w:val="-3"/>
        </w:rPr>
        <w:t> </w:t>
      </w:r>
      <w:r>
        <w:rPr/>
        <w:t>retention</w:t>
      </w:r>
      <w:r>
        <w:rPr>
          <w:spacing w:val="-3"/>
        </w:rPr>
        <w:t> </w:t>
      </w:r>
      <w:r>
        <w:rPr/>
        <w:t>costs,</w:t>
      </w:r>
      <w:r>
        <w:rPr>
          <w:spacing w:val="-3"/>
        </w:rPr>
        <w:t> </w:t>
      </w:r>
      <w:r>
        <w:rPr/>
        <w:t>as</w:t>
      </w:r>
      <w:r>
        <w:rPr>
          <w:spacing w:val="-4"/>
        </w:rPr>
        <w:t> </w:t>
      </w:r>
      <w:r>
        <w:rPr/>
        <w:t>well</w:t>
      </w:r>
      <w:r>
        <w:rPr>
          <w:spacing w:val="-4"/>
        </w:rPr>
        <w:t> </w:t>
      </w:r>
      <w:r>
        <w:rPr/>
        <w:t>as</w:t>
      </w:r>
      <w:r>
        <w:rPr>
          <w:spacing w:val="-4"/>
        </w:rPr>
        <w:t> </w:t>
      </w:r>
      <w:r>
        <w:rPr/>
        <w:t>costs</w:t>
      </w:r>
      <w:r>
        <w:rPr>
          <w:spacing w:val="-4"/>
        </w:rPr>
        <w:t> </w:t>
      </w:r>
      <w:r>
        <w:rPr/>
        <w:t>related</w:t>
      </w:r>
      <w:r>
        <w:rPr>
          <w:spacing w:val="-3"/>
        </w:rPr>
        <w:t> </w:t>
      </w:r>
      <w:r>
        <w:rPr/>
        <w:t>to</w:t>
      </w:r>
      <w:r>
        <w:rPr>
          <w:spacing w:val="-3"/>
        </w:rPr>
        <w:t> </w:t>
      </w:r>
      <w:r>
        <w:rPr/>
        <w:t>facility</w:t>
      </w:r>
      <w:r>
        <w:rPr>
          <w:spacing w:val="-3"/>
        </w:rPr>
        <w:t> </w:t>
      </w:r>
      <w:r>
        <w:rPr/>
        <w:t>closures,</w:t>
      </w:r>
      <w:r>
        <w:rPr>
          <w:spacing w:val="-3"/>
        </w:rPr>
        <w:t> </w:t>
      </w:r>
      <w:r>
        <w:rPr/>
        <w:t>such</w:t>
      </w:r>
      <w:r>
        <w:rPr>
          <w:spacing w:val="-3"/>
        </w:rPr>
        <w:t> </w:t>
      </w:r>
      <w:r>
        <w:rPr/>
        <w:t>as</w:t>
      </w:r>
      <w:r>
        <w:rPr>
          <w:spacing w:val="-4"/>
        </w:rPr>
        <w:t> </w:t>
      </w:r>
      <w:r>
        <w:rPr/>
        <w:t>accelerated amortization and depreciation or impairments of assets in those locations. Exit and other related costs are a component of the Company’s overall acquisition and integration-related spending, and support the Company’s ability to achieve integration objectives including expected synergies.</w:t>
      </w:r>
    </w:p>
    <w:p>
      <w:pPr>
        <w:pStyle w:val="BodyText"/>
        <w:spacing w:before="18"/>
      </w:pPr>
    </w:p>
    <w:p>
      <w:pPr>
        <w:pStyle w:val="BodyText"/>
        <w:spacing w:line="249" w:lineRule="auto"/>
        <w:ind w:left="470" w:right="500"/>
      </w:pPr>
      <w:r>
        <w:rPr/>
        <w:t>Our estimates of the nature, amounts, and timing of recognition of acquisition and integration-related costs remain subject to change based on a number of factors, including the duration and complexity of the remaining integration process and the continued uncertainty of the economic environment. More specifically, factors that could cause variability in our expected acquisition</w:t>
      </w:r>
      <w:r>
        <w:rPr>
          <w:spacing w:val="-3"/>
        </w:rPr>
        <w:t> </w:t>
      </w:r>
      <w:r>
        <w:rPr/>
        <w:t>and</w:t>
      </w:r>
      <w:r>
        <w:rPr>
          <w:spacing w:val="-3"/>
        </w:rPr>
        <w:t> </w:t>
      </w:r>
      <w:r>
        <w:rPr/>
        <w:t>integration-related</w:t>
      </w:r>
      <w:r>
        <w:rPr>
          <w:spacing w:val="-3"/>
        </w:rPr>
        <w:t> </w:t>
      </w:r>
      <w:r>
        <w:rPr/>
        <w:t>costs</w:t>
      </w:r>
      <w:r>
        <w:rPr>
          <w:spacing w:val="-4"/>
        </w:rPr>
        <w:t> </w:t>
      </w:r>
      <w:r>
        <w:rPr/>
        <w:t>include</w:t>
      </w:r>
      <w:r>
        <w:rPr>
          <w:spacing w:val="-4"/>
        </w:rPr>
        <w:t> </w:t>
      </w:r>
      <w:r>
        <w:rPr/>
        <w:t>the</w:t>
      </w:r>
      <w:r>
        <w:rPr>
          <w:spacing w:val="-4"/>
        </w:rPr>
        <w:t> </w:t>
      </w:r>
      <w:r>
        <w:rPr/>
        <w:t>level</w:t>
      </w:r>
      <w:r>
        <w:rPr>
          <w:spacing w:val="-4"/>
        </w:rPr>
        <w:t> </w:t>
      </w:r>
      <w:r>
        <w:rPr/>
        <w:t>of</w:t>
      </w:r>
      <w:r>
        <w:rPr>
          <w:spacing w:val="-3"/>
        </w:rPr>
        <w:t> </w:t>
      </w:r>
      <w:r>
        <w:rPr/>
        <w:t>employee</w:t>
      </w:r>
      <w:r>
        <w:rPr>
          <w:spacing w:val="-4"/>
        </w:rPr>
        <w:t> </w:t>
      </w:r>
      <w:r>
        <w:rPr/>
        <w:t>attrition,</w:t>
      </w:r>
      <w:r>
        <w:rPr>
          <w:spacing w:val="-3"/>
        </w:rPr>
        <w:t> </w:t>
      </w:r>
      <w:r>
        <w:rPr/>
        <w:t>changes</w:t>
      </w:r>
      <w:r>
        <w:rPr>
          <w:spacing w:val="-4"/>
        </w:rPr>
        <w:t> </w:t>
      </w:r>
      <w:r>
        <w:rPr/>
        <w:t>in</w:t>
      </w:r>
      <w:r>
        <w:rPr>
          <w:spacing w:val="-3"/>
        </w:rPr>
        <w:t> </w:t>
      </w:r>
      <w:r>
        <w:rPr/>
        <w:t>the</w:t>
      </w:r>
      <w:r>
        <w:rPr>
          <w:spacing w:val="-4"/>
        </w:rPr>
        <w:t> </w:t>
      </w:r>
      <w:r>
        <w:rPr/>
        <w:t>scope</w:t>
      </w:r>
      <w:r>
        <w:rPr>
          <w:spacing w:val="-4"/>
        </w:rPr>
        <w:t> </w:t>
      </w:r>
      <w:r>
        <w:rPr/>
        <w:t>and</w:t>
      </w:r>
      <w:r>
        <w:rPr>
          <w:spacing w:val="-3"/>
        </w:rPr>
        <w:t> </w:t>
      </w:r>
      <w:r>
        <w:rPr/>
        <w:t>cost</w:t>
      </w:r>
      <w:r>
        <w:rPr>
          <w:spacing w:val="-4"/>
        </w:rPr>
        <w:t> </w:t>
      </w:r>
      <w:r>
        <w:rPr/>
        <w:t>of</w:t>
      </w:r>
      <w:r>
        <w:rPr>
          <w:spacing w:val="-3"/>
        </w:rPr>
        <w:t> </w:t>
      </w:r>
      <w:r>
        <w:rPr/>
        <w:t>technology,</w:t>
      </w:r>
      <w:r>
        <w:rPr>
          <w:spacing w:val="-3"/>
        </w:rPr>
        <w:t> </w:t>
      </w:r>
      <w:r>
        <w:rPr/>
        <w:t>the timeline to wind-down the TD Ameritrade broker-dealers, and real estate-related exit cost variability. Many of these factors</w:t>
      </w:r>
      <w:r>
        <w:rPr>
          <w:spacing w:val="40"/>
        </w:rPr>
        <w:t> </w:t>
      </w:r>
      <w:r>
        <w:rPr/>
        <w:t>may continue to cause variability in our expected acquisition and integration-related costs through the remainder of the integration process.</w:t>
      </w:r>
    </w:p>
    <w:p>
      <w:pPr>
        <w:pStyle w:val="BodyText"/>
        <w:spacing w:before="15"/>
      </w:pPr>
    </w:p>
    <w:p>
      <w:pPr>
        <w:pStyle w:val="BodyText"/>
        <w:spacing w:line="249" w:lineRule="auto" w:before="1"/>
        <w:ind w:left="470" w:right="500"/>
      </w:pPr>
      <w:r>
        <w:rPr/>
        <w:t>Inclusive of costs recognized through September 30, 2023, Schwab currently expects to incur total exit and other related costs for the integration of TD Ameritrade ranging from $500 million to $700 million, consisting of employee compensation and benefits,</w:t>
      </w:r>
      <w:r>
        <w:rPr>
          <w:spacing w:val="-3"/>
        </w:rPr>
        <w:t> </w:t>
      </w:r>
      <w:r>
        <w:rPr/>
        <w:t>facility</w:t>
      </w:r>
      <w:r>
        <w:rPr>
          <w:spacing w:val="-3"/>
        </w:rPr>
        <w:t> </w:t>
      </w:r>
      <w:r>
        <w:rPr/>
        <w:t>exit</w:t>
      </w:r>
      <w:r>
        <w:rPr>
          <w:spacing w:val="-4"/>
        </w:rPr>
        <w:t> </w:t>
      </w:r>
      <w:r>
        <w:rPr/>
        <w:t>costs,</w:t>
      </w:r>
      <w:r>
        <w:rPr>
          <w:spacing w:val="-3"/>
        </w:rPr>
        <w:t> </w:t>
      </w:r>
      <w:r>
        <w:rPr/>
        <w:t>and</w:t>
      </w:r>
      <w:r>
        <w:rPr>
          <w:spacing w:val="-3"/>
        </w:rPr>
        <w:t> </w:t>
      </w:r>
      <w:r>
        <w:rPr/>
        <w:t>certain</w:t>
      </w:r>
      <w:r>
        <w:rPr>
          <w:spacing w:val="-3"/>
        </w:rPr>
        <w:t> </w:t>
      </w:r>
      <w:r>
        <w:rPr/>
        <w:t>other</w:t>
      </w:r>
      <w:r>
        <w:rPr>
          <w:spacing w:val="-3"/>
        </w:rPr>
        <w:t> </w:t>
      </w:r>
      <w:r>
        <w:rPr/>
        <w:t>costs.</w:t>
      </w:r>
      <w:r>
        <w:rPr>
          <w:spacing w:val="-3"/>
        </w:rPr>
        <w:t> </w:t>
      </w:r>
      <w:r>
        <w:rPr/>
        <w:t>During</w:t>
      </w:r>
      <w:r>
        <w:rPr>
          <w:spacing w:val="-3"/>
        </w:rPr>
        <w:t> </w:t>
      </w:r>
      <w:r>
        <w:rPr/>
        <w:t>the</w:t>
      </w:r>
      <w:r>
        <w:rPr>
          <w:spacing w:val="-4"/>
        </w:rPr>
        <w:t> </w:t>
      </w:r>
      <w:r>
        <w:rPr/>
        <w:t>three</w:t>
      </w:r>
      <w:r>
        <w:rPr>
          <w:spacing w:val="-4"/>
        </w:rPr>
        <w:t> </w:t>
      </w:r>
      <w:r>
        <w:rPr/>
        <w:t>months</w:t>
      </w:r>
      <w:r>
        <w:rPr>
          <w:spacing w:val="-4"/>
        </w:rPr>
        <w:t> </w:t>
      </w:r>
      <w:r>
        <w:rPr/>
        <w:t>ended</w:t>
      </w:r>
      <w:r>
        <w:rPr>
          <w:spacing w:val="-3"/>
        </w:rPr>
        <w:t> </w:t>
      </w:r>
      <w:r>
        <w:rPr/>
        <w:t>September</w:t>
      </w:r>
      <w:r>
        <w:rPr>
          <w:spacing w:val="-3"/>
        </w:rPr>
        <w:t> </w:t>
      </w:r>
      <w:r>
        <w:rPr/>
        <w:t>30,</w:t>
      </w:r>
      <w:r>
        <w:rPr>
          <w:spacing w:val="-3"/>
        </w:rPr>
        <w:t> </w:t>
      </w:r>
      <w:r>
        <w:rPr/>
        <w:t>2023</w:t>
      </w:r>
      <w:r>
        <w:rPr>
          <w:spacing w:val="-3"/>
        </w:rPr>
        <w:t> </w:t>
      </w:r>
      <w:r>
        <w:rPr/>
        <w:t>and</w:t>
      </w:r>
      <w:r>
        <w:rPr>
          <w:spacing w:val="-3"/>
        </w:rPr>
        <w:t> </w:t>
      </w:r>
      <w:r>
        <w:rPr/>
        <w:t>2022,</w:t>
      </w:r>
      <w:r>
        <w:rPr>
          <w:spacing w:val="-3"/>
        </w:rPr>
        <w:t> </w:t>
      </w:r>
      <w:r>
        <w:rPr/>
        <w:t>the</w:t>
      </w:r>
      <w:r>
        <w:rPr>
          <w:spacing w:val="-4"/>
        </w:rPr>
        <w:t> </w:t>
      </w:r>
      <w:r>
        <w:rPr/>
        <w:t>Company recognized $16 million and $9 million of acquisition-related exit costs, respectively. During the nine months ended</w:t>
      </w:r>
    </w:p>
    <w:p>
      <w:pPr>
        <w:pStyle w:val="BodyText"/>
        <w:spacing w:line="249" w:lineRule="auto" w:before="3"/>
        <w:ind w:left="470" w:right="470"/>
      </w:pPr>
      <w:r>
        <w:rPr/>
        <w:t>September 30, 2023 and 2022, the Company recognized $56 million and $29 million of acquisition-related exit costs, respectively. The</w:t>
      </w:r>
      <w:r>
        <w:rPr>
          <w:spacing w:val="-1"/>
        </w:rPr>
        <w:t> </w:t>
      </w:r>
      <w:r>
        <w:rPr/>
        <w:t>Company expects</w:t>
      </w:r>
      <w:r>
        <w:rPr>
          <w:spacing w:val="-1"/>
        </w:rPr>
        <w:t> </w:t>
      </w:r>
      <w:r>
        <w:rPr/>
        <w:t>that</w:t>
      </w:r>
      <w:r>
        <w:rPr>
          <w:spacing w:val="-1"/>
        </w:rPr>
        <w:t> </w:t>
      </w:r>
      <w:r>
        <w:rPr/>
        <w:t>remaining exit</w:t>
      </w:r>
      <w:r>
        <w:rPr>
          <w:spacing w:val="-1"/>
        </w:rPr>
        <w:t> </w:t>
      </w:r>
      <w:r>
        <w:rPr/>
        <w:t>and other related costs</w:t>
      </w:r>
      <w:r>
        <w:rPr>
          <w:spacing w:val="-1"/>
        </w:rPr>
        <w:t> </w:t>
      </w:r>
      <w:r>
        <w:rPr/>
        <w:t>will</w:t>
      </w:r>
      <w:r>
        <w:rPr>
          <w:spacing w:val="-1"/>
        </w:rPr>
        <w:t> </w:t>
      </w:r>
      <w:r>
        <w:rPr/>
        <w:t>be</w:t>
      </w:r>
      <w:r>
        <w:rPr>
          <w:spacing w:val="-1"/>
        </w:rPr>
        <w:t> </w:t>
      </w:r>
      <w:r>
        <w:rPr/>
        <w:t>incurred and charged to expense</w:t>
      </w:r>
      <w:r>
        <w:rPr>
          <w:spacing w:val="-1"/>
        </w:rPr>
        <w:t> </w:t>
      </w:r>
      <w:r>
        <w:rPr/>
        <w:t>over the next 15 months, with some costs expected to be incurred after client transition to decommission duplicative platforms and complete</w:t>
      </w:r>
      <w:r>
        <w:rPr>
          <w:spacing w:val="-3"/>
        </w:rPr>
        <w:t> </w:t>
      </w:r>
      <w:r>
        <w:rPr/>
        <w:t>integration</w:t>
      </w:r>
      <w:r>
        <w:rPr>
          <w:spacing w:val="-2"/>
        </w:rPr>
        <w:t> </w:t>
      </w:r>
      <w:r>
        <w:rPr/>
        <w:t>work.</w:t>
      </w:r>
      <w:r>
        <w:rPr>
          <w:spacing w:val="-2"/>
        </w:rPr>
        <w:t> </w:t>
      </w:r>
      <w:r>
        <w:rPr/>
        <w:t>In</w:t>
      </w:r>
      <w:r>
        <w:rPr>
          <w:spacing w:val="-2"/>
        </w:rPr>
        <w:t> </w:t>
      </w:r>
      <w:r>
        <w:rPr/>
        <w:t>addition</w:t>
      </w:r>
      <w:r>
        <w:rPr>
          <w:spacing w:val="-2"/>
        </w:rPr>
        <w:t> </w:t>
      </w:r>
      <w:r>
        <w:rPr/>
        <w:t>to</w:t>
      </w:r>
      <w:r>
        <w:rPr>
          <w:spacing w:val="-2"/>
        </w:rPr>
        <w:t> </w:t>
      </w:r>
      <w:r>
        <w:rPr/>
        <w:t>ASC</w:t>
      </w:r>
      <w:r>
        <w:rPr>
          <w:spacing w:val="-3"/>
        </w:rPr>
        <w:t> </w:t>
      </w:r>
      <w:r>
        <w:rPr/>
        <w:t>420</w:t>
      </w:r>
      <w:r>
        <w:rPr>
          <w:spacing w:val="-2"/>
        </w:rPr>
        <w:t> </w:t>
      </w:r>
      <w:r>
        <w:rPr>
          <w:i/>
        </w:rPr>
        <w:t>Exit</w:t>
      </w:r>
      <w:r>
        <w:rPr>
          <w:i/>
          <w:spacing w:val="-3"/>
        </w:rPr>
        <w:t> </w:t>
      </w:r>
      <w:r>
        <w:rPr>
          <w:i/>
        </w:rPr>
        <w:t>or</w:t>
      </w:r>
      <w:r>
        <w:rPr>
          <w:i/>
          <w:spacing w:val="-3"/>
        </w:rPr>
        <w:t> </w:t>
      </w:r>
      <w:r>
        <w:rPr>
          <w:i/>
        </w:rPr>
        <w:t>Disposal</w:t>
      </w:r>
      <w:r>
        <w:rPr>
          <w:i/>
          <w:spacing w:val="-3"/>
        </w:rPr>
        <w:t> </w:t>
      </w:r>
      <w:r>
        <w:rPr>
          <w:i/>
        </w:rPr>
        <w:t>Cost</w:t>
      </w:r>
      <w:r>
        <w:rPr>
          <w:i/>
          <w:spacing w:val="-3"/>
        </w:rPr>
        <w:t> </w:t>
      </w:r>
      <w:r>
        <w:rPr>
          <w:i/>
        </w:rPr>
        <w:t>Obligations</w:t>
      </w:r>
      <w:r>
        <w:rPr>
          <w:i/>
          <w:spacing w:val="-3"/>
        </w:rPr>
        <w:t> </w:t>
      </w:r>
      <w:r>
        <w:rPr/>
        <w:t>(ASC</w:t>
      </w:r>
      <w:r>
        <w:rPr>
          <w:spacing w:val="-3"/>
        </w:rPr>
        <w:t> </w:t>
      </w:r>
      <w:r>
        <w:rPr/>
        <w:t>420),</w:t>
      </w:r>
      <w:r>
        <w:rPr>
          <w:spacing w:val="-2"/>
        </w:rPr>
        <w:t> </w:t>
      </w:r>
      <w:r>
        <w:rPr/>
        <w:t>certain</w:t>
      </w:r>
      <w:r>
        <w:rPr>
          <w:spacing w:val="-2"/>
        </w:rPr>
        <w:t> </w:t>
      </w:r>
      <w:r>
        <w:rPr/>
        <w:t>of</w:t>
      </w:r>
      <w:r>
        <w:rPr>
          <w:spacing w:val="-2"/>
        </w:rPr>
        <w:t> </w:t>
      </w:r>
      <w:r>
        <w:rPr/>
        <w:t>the</w:t>
      </w:r>
      <w:r>
        <w:rPr>
          <w:spacing w:val="-3"/>
        </w:rPr>
        <w:t> </w:t>
      </w:r>
      <w:r>
        <w:rPr/>
        <w:t>costs</w:t>
      </w:r>
      <w:r>
        <w:rPr>
          <w:spacing w:val="-3"/>
        </w:rPr>
        <w:t> </w:t>
      </w:r>
      <w:r>
        <w:rPr/>
        <w:t>associated with these activities are accounted for in accordance with ASC 360 </w:t>
      </w:r>
      <w:r>
        <w:rPr>
          <w:i/>
        </w:rPr>
        <w:t>Property, Plant and Equipment </w:t>
      </w:r>
      <w:r>
        <w:rPr/>
        <w:t>(ASC 360), ASC 712</w:t>
      </w:r>
    </w:p>
    <w:p>
      <w:pPr>
        <w:spacing w:after="0" w:line="249" w:lineRule="auto"/>
        <w:sectPr>
          <w:pgSz w:w="12240" w:h="15840"/>
          <w:pgMar w:header="227" w:footer="201" w:top="1080" w:bottom="400" w:left="520" w:right="520"/>
        </w:sectPr>
      </w:pPr>
    </w:p>
    <w:p>
      <w:pPr>
        <w:spacing w:line="249" w:lineRule="auto" w:before="214"/>
        <w:ind w:left="470" w:right="500" w:firstLine="0"/>
        <w:jc w:val="left"/>
        <w:rPr>
          <w:sz w:val="20"/>
        </w:rPr>
      </w:pPr>
      <w:r>
        <w:rPr>
          <w:i/>
          <w:sz w:val="20"/>
        </w:rPr>
        <w:t>Compensation</w:t>
      </w:r>
      <w:r>
        <w:rPr>
          <w:i/>
          <w:spacing w:val="-3"/>
          <w:sz w:val="20"/>
        </w:rPr>
        <w:t> </w:t>
      </w:r>
      <w:r>
        <w:rPr>
          <w:i/>
          <w:sz w:val="20"/>
        </w:rPr>
        <w:t>—</w:t>
      </w:r>
      <w:r>
        <w:rPr>
          <w:i/>
          <w:spacing w:val="-4"/>
          <w:sz w:val="20"/>
        </w:rPr>
        <w:t> </w:t>
      </w:r>
      <w:r>
        <w:rPr>
          <w:i/>
          <w:sz w:val="20"/>
        </w:rPr>
        <w:t>Nonretirement</w:t>
      </w:r>
      <w:r>
        <w:rPr>
          <w:i/>
          <w:spacing w:val="-4"/>
          <w:sz w:val="20"/>
        </w:rPr>
        <w:t> </w:t>
      </w:r>
      <w:r>
        <w:rPr>
          <w:i/>
          <w:sz w:val="20"/>
        </w:rPr>
        <w:t>Post</w:t>
      </w:r>
      <w:r>
        <w:rPr>
          <w:i/>
          <w:spacing w:val="-4"/>
          <w:sz w:val="20"/>
        </w:rPr>
        <w:t> </w:t>
      </w:r>
      <w:r>
        <w:rPr>
          <w:i/>
          <w:sz w:val="20"/>
        </w:rPr>
        <w:t>Employment</w:t>
      </w:r>
      <w:r>
        <w:rPr>
          <w:i/>
          <w:spacing w:val="-4"/>
          <w:sz w:val="20"/>
        </w:rPr>
        <w:t> </w:t>
      </w:r>
      <w:r>
        <w:rPr>
          <w:i/>
          <w:sz w:val="20"/>
        </w:rPr>
        <w:t>Benefits</w:t>
      </w:r>
      <w:r>
        <w:rPr>
          <w:i/>
          <w:spacing w:val="-4"/>
          <w:sz w:val="20"/>
        </w:rPr>
        <w:t> </w:t>
      </w:r>
      <w:r>
        <w:rPr>
          <w:sz w:val="20"/>
        </w:rPr>
        <w:t>(ASC</w:t>
      </w:r>
      <w:r>
        <w:rPr>
          <w:spacing w:val="-4"/>
          <w:sz w:val="20"/>
        </w:rPr>
        <w:t> </w:t>
      </w:r>
      <w:r>
        <w:rPr>
          <w:sz w:val="20"/>
        </w:rPr>
        <w:t>712),</w:t>
      </w:r>
      <w:r>
        <w:rPr>
          <w:spacing w:val="-3"/>
          <w:sz w:val="20"/>
        </w:rPr>
        <w:t> </w:t>
      </w:r>
      <w:r>
        <w:rPr>
          <w:sz w:val="20"/>
        </w:rPr>
        <w:t>ASC</w:t>
      </w:r>
      <w:r>
        <w:rPr>
          <w:spacing w:val="-4"/>
          <w:sz w:val="20"/>
        </w:rPr>
        <w:t> </w:t>
      </w:r>
      <w:r>
        <w:rPr>
          <w:sz w:val="20"/>
        </w:rPr>
        <w:t>718</w:t>
      </w:r>
      <w:r>
        <w:rPr>
          <w:spacing w:val="-3"/>
          <w:sz w:val="20"/>
        </w:rPr>
        <w:t> </w:t>
      </w:r>
      <w:r>
        <w:rPr>
          <w:i/>
          <w:sz w:val="20"/>
        </w:rPr>
        <w:t>Compensation</w:t>
      </w:r>
      <w:r>
        <w:rPr>
          <w:i/>
          <w:spacing w:val="-3"/>
          <w:sz w:val="20"/>
        </w:rPr>
        <w:t> </w:t>
      </w:r>
      <w:r>
        <w:rPr>
          <w:i/>
          <w:sz w:val="20"/>
        </w:rPr>
        <w:t>—</w:t>
      </w:r>
      <w:r>
        <w:rPr>
          <w:i/>
          <w:spacing w:val="-4"/>
          <w:sz w:val="20"/>
        </w:rPr>
        <w:t> </w:t>
      </w:r>
      <w:r>
        <w:rPr>
          <w:i/>
          <w:sz w:val="20"/>
        </w:rPr>
        <w:t>Stock</w:t>
      </w:r>
      <w:r>
        <w:rPr>
          <w:i/>
          <w:spacing w:val="-4"/>
          <w:sz w:val="20"/>
        </w:rPr>
        <w:t> </w:t>
      </w:r>
      <w:r>
        <w:rPr>
          <w:i/>
          <w:sz w:val="20"/>
        </w:rPr>
        <w:t>Compensation</w:t>
      </w:r>
      <w:r>
        <w:rPr>
          <w:i/>
          <w:spacing w:val="-3"/>
          <w:sz w:val="20"/>
        </w:rPr>
        <w:t> </w:t>
      </w:r>
      <w:r>
        <w:rPr>
          <w:sz w:val="20"/>
        </w:rPr>
        <w:t>(ASC 718), and ASC 842 </w:t>
      </w:r>
      <w:r>
        <w:rPr>
          <w:i/>
          <w:sz w:val="20"/>
        </w:rPr>
        <w:t>Leases </w:t>
      </w:r>
      <w:r>
        <w:rPr>
          <w:sz w:val="20"/>
        </w:rPr>
        <w:t>(ASC 842).</w:t>
      </w:r>
    </w:p>
    <w:p>
      <w:pPr>
        <w:pStyle w:val="BodyText"/>
        <w:spacing w:before="12"/>
      </w:pPr>
    </w:p>
    <w:p>
      <w:pPr>
        <w:pStyle w:val="BodyText"/>
        <w:spacing w:line="249" w:lineRule="auto"/>
        <w:ind w:left="470"/>
      </w:pPr>
      <w:r>
        <w:rPr/>
        <w:t>The</w:t>
      </w:r>
      <w:r>
        <w:rPr>
          <w:spacing w:val="-3"/>
        </w:rPr>
        <w:t> </w:t>
      </w:r>
      <w:r>
        <w:rPr/>
        <w:t>following</w:t>
      </w:r>
      <w:r>
        <w:rPr>
          <w:spacing w:val="-2"/>
        </w:rPr>
        <w:t> </w:t>
      </w:r>
      <w:r>
        <w:rPr/>
        <w:t>is</w:t>
      </w:r>
      <w:r>
        <w:rPr>
          <w:spacing w:val="-3"/>
        </w:rPr>
        <w:t> </w:t>
      </w:r>
      <w:r>
        <w:rPr/>
        <w:t>a</w:t>
      </w:r>
      <w:r>
        <w:rPr>
          <w:spacing w:val="-3"/>
        </w:rPr>
        <w:t> </w:t>
      </w:r>
      <w:r>
        <w:rPr/>
        <w:t>summary</w:t>
      </w:r>
      <w:r>
        <w:rPr>
          <w:spacing w:val="-2"/>
        </w:rPr>
        <w:t> </w:t>
      </w:r>
      <w:r>
        <w:rPr/>
        <w:t>of</w:t>
      </w:r>
      <w:r>
        <w:rPr>
          <w:spacing w:val="-2"/>
        </w:rPr>
        <w:t> </w:t>
      </w:r>
      <w:r>
        <w:rPr/>
        <w:t>the</w:t>
      </w:r>
      <w:r>
        <w:rPr>
          <w:spacing w:val="-3"/>
        </w:rPr>
        <w:t> </w:t>
      </w:r>
      <w:r>
        <w:rPr/>
        <w:t>TD</w:t>
      </w:r>
      <w:r>
        <w:rPr>
          <w:spacing w:val="-3"/>
        </w:rPr>
        <w:t> </w:t>
      </w:r>
      <w:r>
        <w:rPr/>
        <w:t>Ameritrade</w:t>
      </w:r>
      <w:r>
        <w:rPr>
          <w:spacing w:val="-3"/>
        </w:rPr>
        <w:t> </w:t>
      </w:r>
      <w:r>
        <w:rPr/>
        <w:t>integration</w:t>
      </w:r>
      <w:r>
        <w:rPr>
          <w:spacing w:val="-2"/>
        </w:rPr>
        <w:t> </w:t>
      </w:r>
      <w:r>
        <w:rPr/>
        <w:t>activity</w:t>
      </w:r>
      <w:r>
        <w:rPr>
          <w:spacing w:val="-2"/>
        </w:rPr>
        <w:t> </w:t>
      </w:r>
      <w:r>
        <w:rPr/>
        <w:t>in</w:t>
      </w:r>
      <w:r>
        <w:rPr>
          <w:spacing w:val="-2"/>
        </w:rPr>
        <w:t> </w:t>
      </w:r>
      <w:r>
        <w:rPr/>
        <w:t>the</w:t>
      </w:r>
      <w:r>
        <w:rPr>
          <w:spacing w:val="-3"/>
        </w:rPr>
        <w:t> </w:t>
      </w:r>
      <w:r>
        <w:rPr/>
        <w:t>Company’s</w:t>
      </w:r>
      <w:r>
        <w:rPr>
          <w:spacing w:val="-3"/>
        </w:rPr>
        <w:t> </w:t>
      </w:r>
      <w:r>
        <w:rPr/>
        <w:t>exit</w:t>
      </w:r>
      <w:r>
        <w:rPr>
          <w:spacing w:val="-3"/>
        </w:rPr>
        <w:t> </w:t>
      </w:r>
      <w:r>
        <w:rPr/>
        <w:t>and</w:t>
      </w:r>
      <w:r>
        <w:rPr>
          <w:spacing w:val="-2"/>
        </w:rPr>
        <w:t> </w:t>
      </w:r>
      <w:r>
        <w:rPr/>
        <w:t>other</w:t>
      </w:r>
      <w:r>
        <w:rPr>
          <w:spacing w:val="-2"/>
        </w:rPr>
        <w:t> </w:t>
      </w:r>
      <w:r>
        <w:rPr/>
        <w:t>related</w:t>
      </w:r>
      <w:r>
        <w:rPr>
          <w:spacing w:val="-2"/>
        </w:rPr>
        <w:t> </w:t>
      </w:r>
      <w:r>
        <w:rPr/>
        <w:t>liabilities</w:t>
      </w:r>
      <w:r>
        <w:rPr>
          <w:spacing w:val="-3"/>
        </w:rPr>
        <w:t> </w:t>
      </w:r>
      <w:r>
        <w:rPr/>
        <w:t>as</w:t>
      </w:r>
      <w:r>
        <w:rPr>
          <w:spacing w:val="-3"/>
        </w:rPr>
        <w:t> </w:t>
      </w:r>
      <w:r>
        <w:rPr/>
        <w:t>of September 30, 2023 and activity for the nine months ended September 30, 2023:</w:t>
      </w:r>
    </w:p>
    <w:p>
      <w:pPr>
        <w:pStyle w:val="BodyText"/>
        <w:spacing w:before="6"/>
        <w:rPr>
          <w:sz w:val="9"/>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5"/>
        <w:gridCol w:w="1174"/>
        <w:gridCol w:w="2007"/>
        <w:gridCol w:w="155"/>
        <w:gridCol w:w="2007"/>
        <w:gridCol w:w="1317"/>
      </w:tblGrid>
      <w:tr>
        <w:trPr>
          <w:trHeight w:val="605" w:hRule="atLeast"/>
        </w:trPr>
        <w:tc>
          <w:tcPr>
            <w:tcW w:w="4779" w:type="dxa"/>
            <w:gridSpan w:val="2"/>
            <w:tcBorders>
              <w:top w:val="single" w:sz="4" w:space="0" w:color="000000"/>
              <w:bottom w:val="single" w:sz="4" w:space="0" w:color="000000"/>
            </w:tcBorders>
          </w:tcPr>
          <w:p>
            <w:pPr>
              <w:pStyle w:val="TableParagraph"/>
              <w:rPr>
                <w:sz w:val="16"/>
              </w:rPr>
            </w:pPr>
          </w:p>
        </w:tc>
        <w:tc>
          <w:tcPr>
            <w:tcW w:w="2007" w:type="dxa"/>
            <w:tcBorders>
              <w:top w:val="single" w:sz="4" w:space="0" w:color="000000"/>
              <w:bottom w:val="single" w:sz="4" w:space="0" w:color="000000"/>
            </w:tcBorders>
          </w:tcPr>
          <w:p>
            <w:pPr>
              <w:pStyle w:val="TableParagraph"/>
              <w:spacing w:line="208" w:lineRule="auto" w:before="35"/>
              <w:ind w:left="-2" w:right="191"/>
              <w:jc w:val="center"/>
              <w:rPr>
                <w:sz w:val="18"/>
              </w:rPr>
            </w:pPr>
            <w:r>
              <w:rPr>
                <w:sz w:val="18"/>
              </w:rPr>
              <w:t>Investor Services Employee</w:t>
            </w:r>
            <w:r>
              <w:rPr>
                <w:spacing w:val="-12"/>
                <w:sz w:val="18"/>
              </w:rPr>
              <w:t> </w:t>
            </w:r>
            <w:r>
              <w:rPr>
                <w:sz w:val="18"/>
              </w:rPr>
              <w:t>Compensation and Benefits</w:t>
            </w:r>
          </w:p>
        </w:tc>
        <w:tc>
          <w:tcPr>
            <w:tcW w:w="155" w:type="dxa"/>
            <w:tcBorders>
              <w:top w:val="single" w:sz="4" w:space="0" w:color="000000"/>
              <w:bottom w:val="single" w:sz="4" w:space="0" w:color="000000"/>
            </w:tcBorders>
          </w:tcPr>
          <w:p>
            <w:pPr>
              <w:pStyle w:val="TableParagraph"/>
              <w:rPr>
                <w:sz w:val="16"/>
              </w:rPr>
            </w:pPr>
          </w:p>
        </w:tc>
        <w:tc>
          <w:tcPr>
            <w:tcW w:w="2007" w:type="dxa"/>
            <w:tcBorders>
              <w:top w:val="single" w:sz="4" w:space="0" w:color="000000"/>
              <w:bottom w:val="single" w:sz="4" w:space="0" w:color="000000"/>
            </w:tcBorders>
          </w:tcPr>
          <w:p>
            <w:pPr>
              <w:pStyle w:val="TableParagraph"/>
              <w:spacing w:line="208" w:lineRule="auto" w:before="35"/>
              <w:ind w:left="-3" w:right="193" w:hanging="1"/>
              <w:jc w:val="center"/>
              <w:rPr>
                <w:sz w:val="18"/>
              </w:rPr>
            </w:pPr>
            <w:r>
              <w:rPr>
                <w:sz w:val="18"/>
              </w:rPr>
              <w:t>Advisor Services Employee</w:t>
            </w:r>
            <w:r>
              <w:rPr>
                <w:spacing w:val="-12"/>
                <w:sz w:val="18"/>
              </w:rPr>
              <w:t> </w:t>
            </w:r>
            <w:r>
              <w:rPr>
                <w:sz w:val="18"/>
              </w:rPr>
              <w:t>Compensation and Benefits</w:t>
            </w:r>
          </w:p>
        </w:tc>
        <w:tc>
          <w:tcPr>
            <w:tcW w:w="1317" w:type="dxa"/>
            <w:tcBorders>
              <w:top w:val="single" w:sz="4" w:space="0" w:color="000000"/>
              <w:bottom w:val="single" w:sz="4" w:space="0" w:color="000000"/>
            </w:tcBorders>
          </w:tcPr>
          <w:p>
            <w:pPr>
              <w:pStyle w:val="TableParagraph"/>
              <w:spacing w:before="166"/>
              <w:rPr>
                <w:sz w:val="18"/>
              </w:rPr>
            </w:pPr>
          </w:p>
          <w:p>
            <w:pPr>
              <w:pStyle w:val="TableParagraph"/>
              <w:ind w:left="2"/>
              <w:jc w:val="center"/>
              <w:rPr>
                <w:sz w:val="18"/>
              </w:rPr>
            </w:pPr>
            <w:r>
              <w:rPr>
                <w:spacing w:val="-2"/>
                <w:sz w:val="18"/>
              </w:rPr>
              <w:t>Total</w:t>
            </w:r>
          </w:p>
        </w:tc>
      </w:tr>
      <w:tr>
        <w:trPr>
          <w:trHeight w:val="250" w:hRule="atLeast"/>
        </w:trPr>
        <w:tc>
          <w:tcPr>
            <w:tcW w:w="3605" w:type="dxa"/>
            <w:tcBorders>
              <w:top w:val="single" w:sz="4" w:space="0" w:color="000000"/>
              <w:bottom w:val="double" w:sz="8" w:space="0" w:color="000000"/>
            </w:tcBorders>
            <w:shd w:val="clear" w:color="auto" w:fill="CCEDFF"/>
          </w:tcPr>
          <w:p>
            <w:pPr>
              <w:pStyle w:val="TableParagraph"/>
              <w:spacing w:line="187" w:lineRule="exact" w:before="43"/>
              <w:ind w:left="52"/>
              <w:rPr>
                <w:sz w:val="18"/>
              </w:rPr>
            </w:pPr>
            <w:r>
              <w:rPr>
                <w:sz w:val="18"/>
              </w:rPr>
              <w:t>Balance</w:t>
            </w:r>
            <w:r>
              <w:rPr>
                <w:spacing w:val="-1"/>
                <w:sz w:val="18"/>
              </w:rPr>
              <w:t> </w:t>
            </w:r>
            <w:r>
              <w:rPr>
                <w:sz w:val="18"/>
              </w:rPr>
              <w:t>at December 31, 2022</w:t>
            </w:r>
            <w:r>
              <w:rPr>
                <w:spacing w:val="-2"/>
                <w:sz w:val="18"/>
              </w:rPr>
              <w:t> </w:t>
            </w:r>
            <w:r>
              <w:rPr>
                <w:spacing w:val="-5"/>
                <w:sz w:val="18"/>
                <w:vertAlign w:val="superscript"/>
              </w:rPr>
              <w:t>(1)</w:t>
            </w:r>
          </w:p>
        </w:tc>
        <w:tc>
          <w:tcPr>
            <w:tcW w:w="1174" w:type="dxa"/>
            <w:tcBorders>
              <w:top w:val="single" w:sz="4" w:space="0" w:color="000000"/>
              <w:bottom w:val="double" w:sz="8" w:space="0" w:color="000000"/>
            </w:tcBorders>
            <w:shd w:val="clear" w:color="auto" w:fill="CCEDFF"/>
          </w:tcPr>
          <w:p>
            <w:pPr>
              <w:pStyle w:val="TableParagraph"/>
              <w:spacing w:line="187" w:lineRule="exact" w:before="43"/>
              <w:ind w:right="1"/>
              <w:jc w:val="right"/>
              <w:rPr>
                <w:sz w:val="18"/>
              </w:rPr>
            </w:pPr>
            <w:r>
              <w:rPr>
                <w:spacing w:val="-10"/>
                <w:sz w:val="18"/>
              </w:rPr>
              <w:t>$</w:t>
            </w:r>
          </w:p>
        </w:tc>
        <w:tc>
          <w:tcPr>
            <w:tcW w:w="2007" w:type="dxa"/>
            <w:tcBorders>
              <w:top w:val="single" w:sz="4" w:space="0" w:color="000000"/>
              <w:bottom w:val="double" w:sz="8" w:space="0" w:color="000000"/>
            </w:tcBorders>
            <w:shd w:val="clear" w:color="auto" w:fill="CCEDFF"/>
          </w:tcPr>
          <w:p>
            <w:pPr>
              <w:pStyle w:val="TableParagraph"/>
              <w:spacing w:line="187" w:lineRule="exact" w:before="43"/>
              <w:ind w:right="123"/>
              <w:jc w:val="right"/>
              <w:rPr>
                <w:sz w:val="18"/>
              </w:rPr>
            </w:pPr>
            <w:r>
              <w:rPr>
                <w:spacing w:val="-5"/>
                <w:sz w:val="18"/>
              </w:rPr>
              <w:t>36</w:t>
            </w:r>
          </w:p>
        </w:tc>
        <w:tc>
          <w:tcPr>
            <w:tcW w:w="155" w:type="dxa"/>
            <w:tcBorders>
              <w:top w:val="single" w:sz="4" w:space="0" w:color="000000"/>
              <w:bottom w:val="double" w:sz="8" w:space="0" w:color="000000"/>
            </w:tcBorders>
            <w:shd w:val="clear" w:color="auto" w:fill="CCEDFF"/>
          </w:tcPr>
          <w:p>
            <w:pPr>
              <w:pStyle w:val="TableParagraph"/>
              <w:spacing w:line="187" w:lineRule="exact" w:before="43"/>
              <w:ind w:left="58"/>
              <w:jc w:val="center"/>
              <w:rPr>
                <w:sz w:val="18"/>
              </w:rPr>
            </w:pPr>
            <w:r>
              <w:rPr>
                <w:spacing w:val="-10"/>
                <w:sz w:val="18"/>
              </w:rPr>
              <w:t>$</w:t>
            </w:r>
          </w:p>
        </w:tc>
        <w:tc>
          <w:tcPr>
            <w:tcW w:w="2007" w:type="dxa"/>
            <w:tcBorders>
              <w:top w:val="single" w:sz="4" w:space="0" w:color="000000"/>
              <w:bottom w:val="double" w:sz="8" w:space="0" w:color="000000"/>
            </w:tcBorders>
            <w:shd w:val="clear" w:color="auto" w:fill="CCEDFF"/>
          </w:tcPr>
          <w:p>
            <w:pPr>
              <w:pStyle w:val="TableParagraph"/>
              <w:spacing w:line="187" w:lineRule="exact" w:before="43"/>
              <w:ind w:right="125"/>
              <w:jc w:val="right"/>
              <w:rPr>
                <w:sz w:val="18"/>
              </w:rPr>
            </w:pPr>
            <w:r>
              <w:rPr>
                <w:spacing w:val="-5"/>
                <w:sz w:val="18"/>
              </w:rPr>
              <w:t>10</w:t>
            </w:r>
          </w:p>
        </w:tc>
        <w:tc>
          <w:tcPr>
            <w:tcW w:w="1317" w:type="dxa"/>
            <w:tcBorders>
              <w:top w:val="single" w:sz="4" w:space="0" w:color="000000"/>
              <w:bottom w:val="double" w:sz="8" w:space="0" w:color="000000"/>
            </w:tcBorders>
            <w:shd w:val="clear" w:color="auto" w:fill="CCEDFF"/>
          </w:tcPr>
          <w:p>
            <w:pPr>
              <w:pStyle w:val="TableParagraph"/>
              <w:tabs>
                <w:tab w:pos="997" w:val="left" w:leader="none"/>
              </w:tabs>
              <w:spacing w:line="187" w:lineRule="exact" w:before="43"/>
              <w:ind w:right="77"/>
              <w:jc w:val="right"/>
              <w:rPr>
                <w:sz w:val="18"/>
              </w:rPr>
            </w:pPr>
            <w:r>
              <w:rPr>
                <w:spacing w:val="-10"/>
                <w:sz w:val="18"/>
              </w:rPr>
              <w:t>$</w:t>
            </w:r>
            <w:r>
              <w:rPr>
                <w:sz w:val="18"/>
              </w:rPr>
              <w:tab/>
            </w:r>
            <w:r>
              <w:rPr>
                <w:spacing w:val="-5"/>
                <w:sz w:val="18"/>
              </w:rPr>
              <w:t>46</w:t>
            </w:r>
          </w:p>
        </w:tc>
      </w:tr>
      <w:tr>
        <w:trPr>
          <w:trHeight w:val="255" w:hRule="atLeast"/>
        </w:trPr>
        <w:tc>
          <w:tcPr>
            <w:tcW w:w="3605" w:type="dxa"/>
            <w:tcBorders>
              <w:top w:val="double" w:sz="8" w:space="0" w:color="000000"/>
            </w:tcBorders>
          </w:tcPr>
          <w:p>
            <w:pPr>
              <w:pStyle w:val="TableParagraph"/>
              <w:spacing w:before="18"/>
              <w:ind w:left="52"/>
              <w:rPr>
                <w:sz w:val="18"/>
              </w:rPr>
            </w:pPr>
            <w:r>
              <w:rPr>
                <w:sz w:val="18"/>
              </w:rPr>
              <w:t>Amounts</w:t>
            </w:r>
            <w:r>
              <w:rPr>
                <w:spacing w:val="-2"/>
                <w:sz w:val="18"/>
              </w:rPr>
              <w:t> </w:t>
            </w:r>
            <w:r>
              <w:rPr>
                <w:sz w:val="18"/>
              </w:rPr>
              <w:t>recognized</w:t>
            </w:r>
            <w:r>
              <w:rPr>
                <w:spacing w:val="-1"/>
                <w:sz w:val="18"/>
              </w:rPr>
              <w:t> </w:t>
            </w:r>
            <w:r>
              <w:rPr>
                <w:sz w:val="18"/>
              </w:rPr>
              <w:t>in expense</w:t>
            </w:r>
            <w:r>
              <w:rPr>
                <w:spacing w:val="-18"/>
                <w:sz w:val="18"/>
              </w:rPr>
              <w:t> </w:t>
            </w:r>
            <w:r>
              <w:rPr>
                <w:spacing w:val="-5"/>
                <w:sz w:val="18"/>
                <w:vertAlign w:val="superscript"/>
              </w:rPr>
              <w:t>(2)</w:t>
            </w:r>
          </w:p>
        </w:tc>
        <w:tc>
          <w:tcPr>
            <w:tcW w:w="1174" w:type="dxa"/>
            <w:tcBorders>
              <w:top w:val="double" w:sz="8" w:space="0" w:color="000000"/>
            </w:tcBorders>
          </w:tcPr>
          <w:p>
            <w:pPr>
              <w:pStyle w:val="TableParagraph"/>
              <w:rPr>
                <w:sz w:val="16"/>
              </w:rPr>
            </w:pPr>
          </w:p>
        </w:tc>
        <w:tc>
          <w:tcPr>
            <w:tcW w:w="2007" w:type="dxa"/>
            <w:tcBorders>
              <w:top w:val="double" w:sz="8" w:space="0" w:color="000000"/>
            </w:tcBorders>
          </w:tcPr>
          <w:p>
            <w:pPr>
              <w:pStyle w:val="TableParagraph"/>
              <w:spacing w:before="18"/>
              <w:ind w:right="123"/>
              <w:jc w:val="right"/>
              <w:rPr>
                <w:sz w:val="18"/>
              </w:rPr>
            </w:pPr>
            <w:r>
              <w:rPr>
                <w:spacing w:val="-5"/>
                <w:sz w:val="18"/>
              </w:rPr>
              <w:t>20</w:t>
            </w:r>
          </w:p>
        </w:tc>
        <w:tc>
          <w:tcPr>
            <w:tcW w:w="155" w:type="dxa"/>
            <w:tcBorders>
              <w:top w:val="double" w:sz="8" w:space="0" w:color="000000"/>
            </w:tcBorders>
          </w:tcPr>
          <w:p>
            <w:pPr>
              <w:pStyle w:val="TableParagraph"/>
              <w:rPr>
                <w:sz w:val="16"/>
              </w:rPr>
            </w:pPr>
          </w:p>
        </w:tc>
        <w:tc>
          <w:tcPr>
            <w:tcW w:w="2007" w:type="dxa"/>
            <w:tcBorders>
              <w:top w:val="double" w:sz="8" w:space="0" w:color="000000"/>
            </w:tcBorders>
          </w:tcPr>
          <w:p>
            <w:pPr>
              <w:pStyle w:val="TableParagraph"/>
              <w:spacing w:before="18"/>
              <w:ind w:right="125"/>
              <w:jc w:val="right"/>
              <w:rPr>
                <w:sz w:val="18"/>
              </w:rPr>
            </w:pPr>
            <w:r>
              <w:rPr>
                <w:spacing w:val="-10"/>
                <w:sz w:val="18"/>
              </w:rPr>
              <w:t>3</w:t>
            </w:r>
          </w:p>
        </w:tc>
        <w:tc>
          <w:tcPr>
            <w:tcW w:w="1317" w:type="dxa"/>
            <w:tcBorders>
              <w:top w:val="double" w:sz="8" w:space="0" w:color="000000"/>
            </w:tcBorders>
          </w:tcPr>
          <w:p>
            <w:pPr>
              <w:pStyle w:val="TableParagraph"/>
              <w:spacing w:before="18"/>
              <w:ind w:right="77"/>
              <w:jc w:val="right"/>
              <w:rPr>
                <w:sz w:val="18"/>
              </w:rPr>
            </w:pPr>
            <w:r>
              <w:rPr>
                <w:spacing w:val="-5"/>
                <w:sz w:val="18"/>
              </w:rPr>
              <w:t>23</w:t>
            </w:r>
          </w:p>
        </w:tc>
      </w:tr>
      <w:tr>
        <w:trPr>
          <w:trHeight w:val="280" w:hRule="atLeast"/>
        </w:trPr>
        <w:tc>
          <w:tcPr>
            <w:tcW w:w="3605" w:type="dxa"/>
            <w:tcBorders>
              <w:bottom w:val="single" w:sz="4" w:space="0" w:color="000000"/>
            </w:tcBorders>
            <w:shd w:val="clear" w:color="auto" w:fill="CCEDFF"/>
          </w:tcPr>
          <w:p>
            <w:pPr>
              <w:pStyle w:val="TableParagraph"/>
              <w:spacing w:before="48"/>
              <w:ind w:left="52"/>
              <w:rPr>
                <w:sz w:val="18"/>
              </w:rPr>
            </w:pPr>
            <w:r>
              <w:rPr>
                <w:sz w:val="18"/>
              </w:rPr>
              <w:t>Costs</w:t>
            </w:r>
            <w:r>
              <w:rPr>
                <w:spacing w:val="-2"/>
                <w:sz w:val="18"/>
              </w:rPr>
              <w:t> </w:t>
            </w:r>
            <w:r>
              <w:rPr>
                <w:sz w:val="18"/>
              </w:rPr>
              <w:t>paid</w:t>
            </w:r>
            <w:r>
              <w:rPr>
                <w:spacing w:val="-1"/>
                <w:sz w:val="18"/>
              </w:rPr>
              <w:t> </w:t>
            </w:r>
            <w:r>
              <w:rPr>
                <w:sz w:val="18"/>
              </w:rPr>
              <w:t>or</w:t>
            </w:r>
            <w:r>
              <w:rPr>
                <w:spacing w:val="-1"/>
                <w:sz w:val="18"/>
              </w:rPr>
              <w:t> </w:t>
            </w:r>
            <w:r>
              <w:rPr>
                <w:sz w:val="18"/>
              </w:rPr>
              <w:t>otherwise </w:t>
            </w:r>
            <w:r>
              <w:rPr>
                <w:spacing w:val="-2"/>
                <w:sz w:val="18"/>
              </w:rPr>
              <w:t>settled</w:t>
            </w:r>
          </w:p>
        </w:tc>
        <w:tc>
          <w:tcPr>
            <w:tcW w:w="1174" w:type="dxa"/>
            <w:tcBorders>
              <w:bottom w:val="single" w:sz="4" w:space="0" w:color="000000"/>
            </w:tcBorders>
            <w:shd w:val="clear" w:color="auto" w:fill="CCEDFF"/>
          </w:tcPr>
          <w:p>
            <w:pPr>
              <w:pStyle w:val="TableParagraph"/>
              <w:rPr>
                <w:sz w:val="16"/>
              </w:rPr>
            </w:pPr>
          </w:p>
        </w:tc>
        <w:tc>
          <w:tcPr>
            <w:tcW w:w="2007" w:type="dxa"/>
            <w:tcBorders>
              <w:bottom w:val="single" w:sz="4" w:space="0" w:color="000000"/>
            </w:tcBorders>
            <w:shd w:val="clear" w:color="auto" w:fill="CCEDFF"/>
          </w:tcPr>
          <w:p>
            <w:pPr>
              <w:pStyle w:val="TableParagraph"/>
              <w:spacing w:before="48"/>
              <w:ind w:right="63"/>
              <w:jc w:val="right"/>
              <w:rPr>
                <w:sz w:val="18"/>
              </w:rPr>
            </w:pPr>
            <w:r>
              <w:rPr>
                <w:spacing w:val="-4"/>
                <w:sz w:val="18"/>
              </w:rPr>
              <w:t>(10)</w:t>
            </w:r>
          </w:p>
        </w:tc>
        <w:tc>
          <w:tcPr>
            <w:tcW w:w="155" w:type="dxa"/>
            <w:tcBorders>
              <w:bottom w:val="single" w:sz="4" w:space="0" w:color="000000"/>
            </w:tcBorders>
            <w:shd w:val="clear" w:color="auto" w:fill="CCEDFF"/>
          </w:tcPr>
          <w:p>
            <w:pPr>
              <w:pStyle w:val="TableParagraph"/>
              <w:rPr>
                <w:sz w:val="16"/>
              </w:rPr>
            </w:pPr>
          </w:p>
        </w:tc>
        <w:tc>
          <w:tcPr>
            <w:tcW w:w="2007" w:type="dxa"/>
            <w:tcBorders>
              <w:bottom w:val="single" w:sz="4" w:space="0" w:color="000000"/>
            </w:tcBorders>
            <w:shd w:val="clear" w:color="auto" w:fill="CCEDFF"/>
          </w:tcPr>
          <w:p>
            <w:pPr>
              <w:pStyle w:val="TableParagraph"/>
              <w:spacing w:before="48"/>
              <w:ind w:right="65"/>
              <w:jc w:val="right"/>
              <w:rPr>
                <w:sz w:val="18"/>
              </w:rPr>
            </w:pPr>
            <w:r>
              <w:rPr>
                <w:spacing w:val="-5"/>
                <w:sz w:val="18"/>
              </w:rPr>
              <w:t>(2)</w:t>
            </w:r>
          </w:p>
        </w:tc>
        <w:tc>
          <w:tcPr>
            <w:tcW w:w="1317" w:type="dxa"/>
            <w:tcBorders>
              <w:bottom w:val="single" w:sz="4" w:space="0" w:color="000000"/>
            </w:tcBorders>
            <w:shd w:val="clear" w:color="auto" w:fill="CCEDFF"/>
          </w:tcPr>
          <w:p>
            <w:pPr>
              <w:pStyle w:val="TableParagraph"/>
              <w:spacing w:before="48"/>
              <w:ind w:right="17"/>
              <w:jc w:val="right"/>
              <w:rPr>
                <w:sz w:val="18"/>
              </w:rPr>
            </w:pPr>
            <w:r>
              <w:rPr>
                <w:spacing w:val="-4"/>
                <w:sz w:val="18"/>
              </w:rPr>
              <w:t>(12)</w:t>
            </w:r>
          </w:p>
        </w:tc>
      </w:tr>
      <w:tr>
        <w:trPr>
          <w:trHeight w:val="250" w:hRule="atLeast"/>
        </w:trPr>
        <w:tc>
          <w:tcPr>
            <w:tcW w:w="3605" w:type="dxa"/>
            <w:tcBorders>
              <w:top w:val="single" w:sz="4" w:space="0" w:color="000000"/>
              <w:bottom w:val="double" w:sz="8" w:space="0" w:color="000000"/>
            </w:tcBorders>
          </w:tcPr>
          <w:p>
            <w:pPr>
              <w:pStyle w:val="TableParagraph"/>
              <w:spacing w:line="187" w:lineRule="exact" w:before="43"/>
              <w:ind w:left="52"/>
              <w:rPr>
                <w:sz w:val="18"/>
              </w:rPr>
            </w:pPr>
            <w:r>
              <w:rPr>
                <w:sz w:val="18"/>
              </w:rPr>
              <w:t>Balance</w:t>
            </w:r>
            <w:r>
              <w:rPr>
                <w:spacing w:val="-1"/>
                <w:sz w:val="18"/>
              </w:rPr>
              <w:t> </w:t>
            </w:r>
            <w:r>
              <w:rPr>
                <w:sz w:val="18"/>
              </w:rPr>
              <w:t>at September 30, 2023</w:t>
            </w:r>
            <w:r>
              <w:rPr>
                <w:spacing w:val="-2"/>
                <w:sz w:val="18"/>
              </w:rPr>
              <w:t> </w:t>
            </w:r>
            <w:r>
              <w:rPr>
                <w:spacing w:val="-5"/>
                <w:sz w:val="18"/>
                <w:vertAlign w:val="superscript"/>
              </w:rPr>
              <w:t>(1)</w:t>
            </w:r>
          </w:p>
        </w:tc>
        <w:tc>
          <w:tcPr>
            <w:tcW w:w="1174" w:type="dxa"/>
            <w:tcBorders>
              <w:top w:val="single" w:sz="4" w:space="0" w:color="000000"/>
              <w:bottom w:val="double" w:sz="8" w:space="0" w:color="000000"/>
            </w:tcBorders>
          </w:tcPr>
          <w:p>
            <w:pPr>
              <w:pStyle w:val="TableParagraph"/>
              <w:spacing w:line="187" w:lineRule="exact" w:before="43"/>
              <w:ind w:right="1"/>
              <w:jc w:val="right"/>
              <w:rPr>
                <w:sz w:val="18"/>
              </w:rPr>
            </w:pPr>
            <w:r>
              <w:rPr>
                <w:spacing w:val="-10"/>
                <w:sz w:val="18"/>
              </w:rPr>
              <w:t>$</w:t>
            </w:r>
          </w:p>
        </w:tc>
        <w:tc>
          <w:tcPr>
            <w:tcW w:w="2007" w:type="dxa"/>
            <w:tcBorders>
              <w:top w:val="single" w:sz="4" w:space="0" w:color="000000"/>
              <w:bottom w:val="double" w:sz="8" w:space="0" w:color="000000"/>
            </w:tcBorders>
          </w:tcPr>
          <w:p>
            <w:pPr>
              <w:pStyle w:val="TableParagraph"/>
              <w:spacing w:line="187" w:lineRule="exact" w:before="43"/>
              <w:ind w:right="123"/>
              <w:jc w:val="right"/>
              <w:rPr>
                <w:sz w:val="18"/>
              </w:rPr>
            </w:pPr>
            <w:r>
              <w:rPr>
                <w:spacing w:val="-5"/>
                <w:sz w:val="18"/>
              </w:rPr>
              <w:t>46</w:t>
            </w:r>
          </w:p>
        </w:tc>
        <w:tc>
          <w:tcPr>
            <w:tcW w:w="155" w:type="dxa"/>
            <w:tcBorders>
              <w:top w:val="single" w:sz="4" w:space="0" w:color="000000"/>
              <w:bottom w:val="double" w:sz="8" w:space="0" w:color="000000"/>
            </w:tcBorders>
          </w:tcPr>
          <w:p>
            <w:pPr>
              <w:pStyle w:val="TableParagraph"/>
              <w:spacing w:line="187" w:lineRule="exact" w:before="43"/>
              <w:ind w:left="58"/>
              <w:jc w:val="center"/>
              <w:rPr>
                <w:sz w:val="18"/>
              </w:rPr>
            </w:pPr>
            <w:r>
              <w:rPr>
                <w:spacing w:val="-10"/>
                <w:sz w:val="18"/>
              </w:rPr>
              <w:t>$</w:t>
            </w:r>
          </w:p>
        </w:tc>
        <w:tc>
          <w:tcPr>
            <w:tcW w:w="2007" w:type="dxa"/>
            <w:tcBorders>
              <w:top w:val="single" w:sz="4" w:space="0" w:color="000000"/>
              <w:bottom w:val="double" w:sz="8" w:space="0" w:color="000000"/>
            </w:tcBorders>
          </w:tcPr>
          <w:p>
            <w:pPr>
              <w:pStyle w:val="TableParagraph"/>
              <w:spacing w:line="187" w:lineRule="exact" w:before="43"/>
              <w:ind w:right="125"/>
              <w:jc w:val="right"/>
              <w:rPr>
                <w:sz w:val="18"/>
              </w:rPr>
            </w:pPr>
            <w:r>
              <w:rPr>
                <w:spacing w:val="-5"/>
                <w:sz w:val="18"/>
              </w:rPr>
              <w:t>11</w:t>
            </w:r>
          </w:p>
        </w:tc>
        <w:tc>
          <w:tcPr>
            <w:tcW w:w="1317" w:type="dxa"/>
            <w:tcBorders>
              <w:top w:val="single" w:sz="4" w:space="0" w:color="000000"/>
              <w:bottom w:val="double" w:sz="8" w:space="0" w:color="000000"/>
            </w:tcBorders>
          </w:tcPr>
          <w:p>
            <w:pPr>
              <w:pStyle w:val="TableParagraph"/>
              <w:tabs>
                <w:tab w:pos="997" w:val="left" w:leader="none"/>
              </w:tabs>
              <w:spacing w:line="187" w:lineRule="exact" w:before="43"/>
              <w:ind w:right="77"/>
              <w:jc w:val="right"/>
              <w:rPr>
                <w:sz w:val="18"/>
              </w:rPr>
            </w:pPr>
            <w:r>
              <w:rPr>
                <w:spacing w:val="-10"/>
                <w:sz w:val="18"/>
              </w:rPr>
              <w:t>$</w:t>
            </w:r>
            <w:r>
              <w:rPr>
                <w:sz w:val="18"/>
              </w:rPr>
              <w:tab/>
            </w:r>
            <w:r>
              <w:rPr>
                <w:spacing w:val="-5"/>
                <w:sz w:val="18"/>
              </w:rPr>
              <w:t>57</w:t>
            </w:r>
          </w:p>
        </w:tc>
      </w:tr>
    </w:tbl>
    <w:p>
      <w:pPr>
        <w:spacing w:before="26"/>
        <w:ind w:left="470" w:right="0" w:firstLine="0"/>
        <w:jc w:val="left"/>
        <w:rPr>
          <w:sz w:val="16"/>
        </w:rPr>
      </w:pPr>
      <w:r>
        <w:rPr>
          <w:sz w:val="16"/>
          <w:vertAlign w:val="superscript"/>
        </w:rPr>
        <w:t>(1)</w:t>
      </w:r>
      <w:r>
        <w:rPr>
          <w:spacing w:val="-1"/>
          <w:sz w:val="16"/>
          <w:vertAlign w:val="baseline"/>
        </w:rPr>
        <w:t> </w:t>
      </w:r>
      <w:r>
        <w:rPr>
          <w:sz w:val="16"/>
          <w:vertAlign w:val="baseline"/>
        </w:rPr>
        <w:t>Included in</w:t>
      </w:r>
      <w:r>
        <w:rPr>
          <w:spacing w:val="1"/>
          <w:sz w:val="16"/>
          <w:vertAlign w:val="baseline"/>
        </w:rPr>
        <w:t> </w:t>
      </w:r>
      <w:r>
        <w:rPr>
          <w:sz w:val="16"/>
          <w:vertAlign w:val="baseline"/>
        </w:rPr>
        <w:t>accrued expenses and other</w:t>
      </w:r>
      <w:r>
        <w:rPr>
          <w:spacing w:val="1"/>
          <w:sz w:val="16"/>
          <w:vertAlign w:val="baseline"/>
        </w:rPr>
        <w:t> </w:t>
      </w:r>
      <w:r>
        <w:rPr>
          <w:sz w:val="16"/>
          <w:vertAlign w:val="baseline"/>
        </w:rPr>
        <w:t>liabilities</w:t>
      </w:r>
      <w:r>
        <w:rPr>
          <w:spacing w:val="-1"/>
          <w:sz w:val="16"/>
          <w:vertAlign w:val="baseline"/>
        </w:rPr>
        <w:t> </w:t>
      </w:r>
      <w:r>
        <w:rPr>
          <w:sz w:val="16"/>
          <w:vertAlign w:val="baseline"/>
        </w:rPr>
        <w:t>on</w:t>
      </w:r>
      <w:r>
        <w:rPr>
          <w:spacing w:val="1"/>
          <w:sz w:val="16"/>
          <w:vertAlign w:val="baseline"/>
        </w:rPr>
        <w:t> </w:t>
      </w:r>
      <w:r>
        <w:rPr>
          <w:sz w:val="16"/>
          <w:vertAlign w:val="baseline"/>
        </w:rPr>
        <w:t>the condensed</w:t>
      </w:r>
      <w:r>
        <w:rPr>
          <w:spacing w:val="1"/>
          <w:sz w:val="16"/>
          <w:vertAlign w:val="baseline"/>
        </w:rPr>
        <w:t> </w:t>
      </w:r>
      <w:r>
        <w:rPr>
          <w:sz w:val="16"/>
          <w:vertAlign w:val="baseline"/>
        </w:rPr>
        <w:t>consolidated balance</w:t>
      </w:r>
      <w:r>
        <w:rPr>
          <w:spacing w:val="1"/>
          <w:sz w:val="16"/>
          <w:vertAlign w:val="baseline"/>
        </w:rPr>
        <w:t> </w:t>
      </w:r>
      <w:r>
        <w:rPr>
          <w:spacing w:val="-2"/>
          <w:sz w:val="16"/>
          <w:vertAlign w:val="baseline"/>
        </w:rPr>
        <w:t>sheets.</w:t>
      </w:r>
    </w:p>
    <w:p>
      <w:pPr>
        <w:spacing w:line="249" w:lineRule="auto" w:before="8"/>
        <w:ind w:left="650" w:right="0" w:hanging="180"/>
        <w:jc w:val="left"/>
        <w:rPr>
          <w:sz w:val="16"/>
        </w:rPr>
      </w:pPr>
      <w:r>
        <w:rPr>
          <w:sz w:val="16"/>
          <w:vertAlign w:val="superscript"/>
        </w:rPr>
        <w:t>(2)</w:t>
      </w:r>
      <w:r>
        <w:rPr>
          <w:spacing w:val="-3"/>
          <w:sz w:val="16"/>
          <w:vertAlign w:val="baseline"/>
        </w:rPr>
        <w:t> </w:t>
      </w:r>
      <w:r>
        <w:rPr>
          <w:sz w:val="16"/>
          <w:vertAlign w:val="baseline"/>
        </w:rPr>
        <w:t>Amounts</w:t>
      </w:r>
      <w:r>
        <w:rPr>
          <w:spacing w:val="-3"/>
          <w:sz w:val="16"/>
          <w:vertAlign w:val="baseline"/>
        </w:rPr>
        <w:t> </w:t>
      </w:r>
      <w:r>
        <w:rPr>
          <w:sz w:val="16"/>
          <w:vertAlign w:val="baseline"/>
        </w:rPr>
        <w:t>recognized</w:t>
      </w:r>
      <w:r>
        <w:rPr>
          <w:spacing w:val="-2"/>
          <w:sz w:val="16"/>
          <w:vertAlign w:val="baseline"/>
        </w:rPr>
        <w:t> </w:t>
      </w:r>
      <w:r>
        <w:rPr>
          <w:sz w:val="16"/>
          <w:vertAlign w:val="baseline"/>
        </w:rPr>
        <w:t>in</w:t>
      </w:r>
      <w:r>
        <w:rPr>
          <w:spacing w:val="-2"/>
          <w:sz w:val="16"/>
          <w:vertAlign w:val="baseline"/>
        </w:rPr>
        <w:t> </w:t>
      </w:r>
      <w:r>
        <w:rPr>
          <w:sz w:val="16"/>
          <w:vertAlign w:val="baseline"/>
        </w:rPr>
        <w:t>expense</w:t>
      </w:r>
      <w:r>
        <w:rPr>
          <w:spacing w:val="-2"/>
          <w:sz w:val="16"/>
          <w:vertAlign w:val="baseline"/>
        </w:rPr>
        <w:t> </w:t>
      </w:r>
      <w:r>
        <w:rPr>
          <w:sz w:val="16"/>
          <w:vertAlign w:val="baseline"/>
        </w:rPr>
        <w:t>for</w:t>
      </w:r>
      <w:r>
        <w:rPr>
          <w:spacing w:val="-2"/>
          <w:sz w:val="16"/>
          <w:vertAlign w:val="baseline"/>
        </w:rPr>
        <w:t> </w:t>
      </w:r>
      <w:r>
        <w:rPr>
          <w:sz w:val="16"/>
          <w:vertAlign w:val="baseline"/>
        </w:rPr>
        <w:t>severance</w:t>
      </w:r>
      <w:r>
        <w:rPr>
          <w:spacing w:val="-2"/>
          <w:sz w:val="16"/>
          <w:vertAlign w:val="baseline"/>
        </w:rPr>
        <w:t> </w:t>
      </w:r>
      <w:r>
        <w:rPr>
          <w:sz w:val="16"/>
          <w:vertAlign w:val="baseline"/>
        </w:rPr>
        <w:t>pay</w:t>
      </w:r>
      <w:r>
        <w:rPr>
          <w:spacing w:val="-2"/>
          <w:sz w:val="16"/>
          <w:vertAlign w:val="baseline"/>
        </w:rPr>
        <w:t> </w:t>
      </w:r>
      <w:r>
        <w:rPr>
          <w:sz w:val="16"/>
          <w:vertAlign w:val="baseline"/>
        </w:rPr>
        <w:t>and</w:t>
      </w:r>
      <w:r>
        <w:rPr>
          <w:spacing w:val="-2"/>
          <w:sz w:val="16"/>
          <w:vertAlign w:val="baseline"/>
        </w:rPr>
        <w:t> </w:t>
      </w:r>
      <w:r>
        <w:rPr>
          <w:sz w:val="16"/>
          <w:vertAlign w:val="baseline"/>
        </w:rPr>
        <w:t>other</w:t>
      </w:r>
      <w:r>
        <w:rPr>
          <w:spacing w:val="-2"/>
          <w:sz w:val="16"/>
          <w:vertAlign w:val="baseline"/>
        </w:rPr>
        <w:t> </w:t>
      </w:r>
      <w:r>
        <w:rPr>
          <w:sz w:val="16"/>
          <w:vertAlign w:val="baseline"/>
        </w:rPr>
        <w:t>termination</w:t>
      </w:r>
      <w:r>
        <w:rPr>
          <w:spacing w:val="-2"/>
          <w:sz w:val="16"/>
          <w:vertAlign w:val="baseline"/>
        </w:rPr>
        <w:t> </w:t>
      </w:r>
      <w:r>
        <w:rPr>
          <w:sz w:val="16"/>
          <w:vertAlign w:val="baseline"/>
        </w:rPr>
        <w:t>benefits,</w:t>
      </w:r>
      <w:r>
        <w:rPr>
          <w:spacing w:val="-2"/>
          <w:sz w:val="16"/>
          <w:vertAlign w:val="baseline"/>
        </w:rPr>
        <w:t> </w:t>
      </w:r>
      <w:r>
        <w:rPr>
          <w:sz w:val="16"/>
          <w:vertAlign w:val="baseline"/>
        </w:rPr>
        <w:t>as</w:t>
      </w:r>
      <w:r>
        <w:rPr>
          <w:spacing w:val="-3"/>
          <w:sz w:val="16"/>
          <w:vertAlign w:val="baseline"/>
        </w:rPr>
        <w:t> </w:t>
      </w:r>
      <w:r>
        <w:rPr>
          <w:sz w:val="16"/>
          <w:vertAlign w:val="baseline"/>
        </w:rPr>
        <w:t>well</w:t>
      </w:r>
      <w:r>
        <w:rPr>
          <w:spacing w:val="-2"/>
          <w:sz w:val="16"/>
          <w:vertAlign w:val="baseline"/>
        </w:rPr>
        <w:t> </w:t>
      </w:r>
      <w:r>
        <w:rPr>
          <w:sz w:val="16"/>
          <w:vertAlign w:val="baseline"/>
        </w:rPr>
        <w:t>as</w:t>
      </w:r>
      <w:r>
        <w:rPr>
          <w:spacing w:val="-3"/>
          <w:sz w:val="16"/>
          <w:vertAlign w:val="baseline"/>
        </w:rPr>
        <w:t> </w:t>
      </w:r>
      <w:r>
        <w:rPr>
          <w:sz w:val="16"/>
          <w:vertAlign w:val="baseline"/>
        </w:rPr>
        <w:t>retention</w:t>
      </w:r>
      <w:r>
        <w:rPr>
          <w:spacing w:val="-2"/>
          <w:sz w:val="16"/>
          <w:vertAlign w:val="baseline"/>
        </w:rPr>
        <w:t> </w:t>
      </w:r>
      <w:r>
        <w:rPr>
          <w:sz w:val="16"/>
          <w:vertAlign w:val="baseline"/>
        </w:rPr>
        <w:t>costs,</w:t>
      </w:r>
      <w:r>
        <w:rPr>
          <w:spacing w:val="-2"/>
          <w:sz w:val="16"/>
          <w:vertAlign w:val="baseline"/>
        </w:rPr>
        <w:t> </w:t>
      </w:r>
      <w:r>
        <w:rPr>
          <w:sz w:val="16"/>
          <w:vertAlign w:val="baseline"/>
        </w:rPr>
        <w:t>are</w:t>
      </w:r>
      <w:r>
        <w:rPr>
          <w:spacing w:val="-2"/>
          <w:sz w:val="16"/>
          <w:vertAlign w:val="baseline"/>
        </w:rPr>
        <w:t> </w:t>
      </w:r>
      <w:r>
        <w:rPr>
          <w:sz w:val="16"/>
          <w:vertAlign w:val="baseline"/>
        </w:rPr>
        <w:t>included</w:t>
      </w:r>
      <w:r>
        <w:rPr>
          <w:spacing w:val="-2"/>
          <w:sz w:val="16"/>
          <w:vertAlign w:val="baseline"/>
        </w:rPr>
        <w:t> </w:t>
      </w:r>
      <w:r>
        <w:rPr>
          <w:sz w:val="16"/>
          <w:vertAlign w:val="baseline"/>
        </w:rPr>
        <w:t>in</w:t>
      </w:r>
      <w:r>
        <w:rPr>
          <w:spacing w:val="-6"/>
          <w:sz w:val="16"/>
          <w:vertAlign w:val="baseline"/>
        </w:rPr>
        <w:t> </w:t>
      </w:r>
      <w:r>
        <w:rPr>
          <w:sz w:val="16"/>
          <w:vertAlign w:val="baseline"/>
        </w:rPr>
        <w:t>compensation</w:t>
      </w:r>
      <w:r>
        <w:rPr>
          <w:spacing w:val="-2"/>
          <w:sz w:val="16"/>
          <w:vertAlign w:val="baseline"/>
        </w:rPr>
        <w:t> </w:t>
      </w:r>
      <w:r>
        <w:rPr>
          <w:sz w:val="16"/>
          <w:vertAlign w:val="baseline"/>
        </w:rPr>
        <w:t>and</w:t>
      </w:r>
      <w:r>
        <w:rPr>
          <w:spacing w:val="-2"/>
          <w:sz w:val="16"/>
          <w:vertAlign w:val="baseline"/>
        </w:rPr>
        <w:t> </w:t>
      </w:r>
      <w:r>
        <w:rPr>
          <w:sz w:val="16"/>
          <w:vertAlign w:val="baseline"/>
        </w:rPr>
        <w:t>benefits</w:t>
      </w:r>
      <w:r>
        <w:rPr>
          <w:spacing w:val="-3"/>
          <w:sz w:val="16"/>
          <w:vertAlign w:val="baseline"/>
        </w:rPr>
        <w:t> </w:t>
      </w:r>
      <w:r>
        <w:rPr>
          <w:sz w:val="16"/>
          <w:vertAlign w:val="baseline"/>
        </w:rPr>
        <w:t>on</w:t>
      </w:r>
      <w:r>
        <w:rPr>
          <w:spacing w:val="-2"/>
          <w:sz w:val="16"/>
          <w:vertAlign w:val="baseline"/>
        </w:rPr>
        <w:t> </w:t>
      </w:r>
      <w:r>
        <w:rPr>
          <w:sz w:val="16"/>
          <w:vertAlign w:val="baseline"/>
        </w:rPr>
        <w:t>the</w:t>
      </w:r>
      <w:r>
        <w:rPr>
          <w:spacing w:val="40"/>
          <w:sz w:val="16"/>
          <w:vertAlign w:val="baseline"/>
        </w:rPr>
        <w:t> </w:t>
      </w:r>
      <w:r>
        <w:rPr>
          <w:sz w:val="16"/>
          <w:vertAlign w:val="baseline"/>
        </w:rPr>
        <w:t>condensed consolidated statements of income.</w:t>
      </w:r>
    </w:p>
    <w:p>
      <w:pPr>
        <w:pStyle w:val="BodyText"/>
        <w:rPr>
          <w:sz w:val="16"/>
        </w:rPr>
      </w:pPr>
    </w:p>
    <w:p>
      <w:pPr>
        <w:pStyle w:val="BodyText"/>
        <w:spacing w:line="249" w:lineRule="auto"/>
        <w:ind w:left="470" w:right="500"/>
      </w:pPr>
      <w:r>
        <w:rPr/>
        <w:t>The</w:t>
      </w:r>
      <w:r>
        <w:rPr>
          <w:spacing w:val="-4"/>
        </w:rPr>
        <w:t> </w:t>
      </w:r>
      <w:r>
        <w:rPr/>
        <w:t>following</w:t>
      </w:r>
      <w:r>
        <w:rPr>
          <w:spacing w:val="-3"/>
        </w:rPr>
        <w:t> </w:t>
      </w:r>
      <w:r>
        <w:rPr/>
        <w:t>table</w:t>
      </w:r>
      <w:r>
        <w:rPr>
          <w:spacing w:val="-4"/>
        </w:rPr>
        <w:t> </w:t>
      </w:r>
      <w:r>
        <w:rPr/>
        <w:t>summarizes</w:t>
      </w:r>
      <w:r>
        <w:rPr>
          <w:spacing w:val="-4"/>
        </w:rPr>
        <w:t> </w:t>
      </w:r>
      <w:r>
        <w:rPr/>
        <w:t>the</w:t>
      </w:r>
      <w:r>
        <w:rPr>
          <w:spacing w:val="-4"/>
        </w:rPr>
        <w:t> </w:t>
      </w:r>
      <w:r>
        <w:rPr/>
        <w:t>TD</w:t>
      </w:r>
      <w:r>
        <w:rPr>
          <w:spacing w:val="-4"/>
        </w:rPr>
        <w:t> </w:t>
      </w:r>
      <w:r>
        <w:rPr/>
        <w:t>Ameritrade</w:t>
      </w:r>
      <w:r>
        <w:rPr>
          <w:spacing w:val="-4"/>
        </w:rPr>
        <w:t> </w:t>
      </w:r>
      <w:r>
        <w:rPr/>
        <w:t>integration</w:t>
      </w:r>
      <w:r>
        <w:rPr>
          <w:spacing w:val="-3"/>
        </w:rPr>
        <w:t> </w:t>
      </w:r>
      <w:r>
        <w:rPr/>
        <w:t>exit</w:t>
      </w:r>
      <w:r>
        <w:rPr>
          <w:spacing w:val="-4"/>
        </w:rPr>
        <w:t> </w:t>
      </w:r>
      <w:r>
        <w:rPr/>
        <w:t>and</w:t>
      </w:r>
      <w:r>
        <w:rPr>
          <w:spacing w:val="-3"/>
        </w:rPr>
        <w:t> </w:t>
      </w:r>
      <w:r>
        <w:rPr/>
        <w:t>other</w:t>
      </w:r>
      <w:r>
        <w:rPr>
          <w:spacing w:val="-3"/>
        </w:rPr>
        <w:t> </w:t>
      </w:r>
      <w:r>
        <w:rPr/>
        <w:t>related</w:t>
      </w:r>
      <w:r>
        <w:rPr>
          <w:spacing w:val="-3"/>
        </w:rPr>
        <w:t> </w:t>
      </w:r>
      <w:r>
        <w:rPr/>
        <w:t>costs</w:t>
      </w:r>
      <w:r>
        <w:rPr>
          <w:spacing w:val="-4"/>
        </w:rPr>
        <w:t> </w:t>
      </w:r>
      <w:r>
        <w:rPr/>
        <w:t>recognized</w:t>
      </w:r>
      <w:r>
        <w:rPr>
          <w:spacing w:val="-3"/>
        </w:rPr>
        <w:t> </w:t>
      </w:r>
      <w:r>
        <w:rPr/>
        <w:t>in</w:t>
      </w:r>
      <w:r>
        <w:rPr>
          <w:spacing w:val="-3"/>
        </w:rPr>
        <w:t> </w:t>
      </w:r>
      <w:r>
        <w:rPr/>
        <w:t>expense</w:t>
      </w:r>
      <w:r>
        <w:rPr>
          <w:spacing w:val="-4"/>
        </w:rPr>
        <w:t> </w:t>
      </w:r>
      <w:r>
        <w:rPr/>
        <w:t>for</w:t>
      </w:r>
      <w:r>
        <w:rPr>
          <w:spacing w:val="-3"/>
        </w:rPr>
        <w:t> </w:t>
      </w:r>
      <w:r>
        <w:rPr/>
        <w:t>the</w:t>
      </w:r>
      <w:r>
        <w:rPr>
          <w:spacing w:val="-4"/>
        </w:rPr>
        <w:t> </w:t>
      </w:r>
      <w:r>
        <w:rPr/>
        <w:t>three and nine months ended September 30, 2023:</w:t>
      </w:r>
    </w:p>
    <w:p>
      <w:pPr>
        <w:pStyle w:val="BodyText"/>
        <w:rPr>
          <w:sz w:val="7"/>
        </w:rPr>
      </w:pPr>
      <w:r>
        <w:rPr/>
        <mc:AlternateContent>
          <mc:Choice Requires="wps">
            <w:drawing>
              <wp:anchor distT="0" distB="0" distL="0" distR="0" allowOverlap="1" layoutInCell="1" locked="0" behindDoc="1" simplePos="0" relativeHeight="487616000">
                <wp:simplePos x="0" y="0"/>
                <wp:positionH relativeFrom="page">
                  <wp:posOffset>628650</wp:posOffset>
                </wp:positionH>
                <wp:positionV relativeFrom="paragraph">
                  <wp:posOffset>66665</wp:posOffset>
                </wp:positionV>
                <wp:extent cx="6515100" cy="2406650"/>
                <wp:effectExtent l="0" t="0" r="0" b="0"/>
                <wp:wrapTopAndBottom/>
                <wp:docPr id="395" name="Group 395"/>
                <wp:cNvGraphicFramePr>
                  <a:graphicFrameLocks/>
                </wp:cNvGraphicFramePr>
                <a:graphic>
                  <a:graphicData uri="http://schemas.microsoft.com/office/word/2010/wordprocessingGroup">
                    <wpg:wgp>
                      <wpg:cNvPr id="395" name="Group 395"/>
                      <wpg:cNvGrpSpPr/>
                      <wpg:grpSpPr>
                        <a:xfrm>
                          <a:off x="0" y="0"/>
                          <a:ext cx="6515100" cy="2406650"/>
                          <a:chExt cx="6515100" cy="2406650"/>
                        </a:xfrm>
                      </wpg:grpSpPr>
                      <wps:wsp>
                        <wps:cNvPr id="396" name="Graphic 396"/>
                        <wps:cNvSpPr/>
                        <wps:spPr>
                          <a:xfrm>
                            <a:off x="0" y="555624"/>
                            <a:ext cx="6515100" cy="1847850"/>
                          </a:xfrm>
                          <a:custGeom>
                            <a:avLst/>
                            <a:gdLst/>
                            <a:ahLst/>
                            <a:cxnLst/>
                            <a:rect l="l" t="t" r="r" b="b"/>
                            <a:pathLst>
                              <a:path w="6515100" h="1847850">
                                <a:moveTo>
                                  <a:pt x="6515100" y="1685925"/>
                                </a:moveTo>
                                <a:lnTo>
                                  <a:pt x="0" y="1685925"/>
                                </a:lnTo>
                                <a:lnTo>
                                  <a:pt x="0" y="1847850"/>
                                </a:lnTo>
                                <a:lnTo>
                                  <a:pt x="6515100" y="1847850"/>
                                </a:lnTo>
                                <a:lnTo>
                                  <a:pt x="6515100" y="1685925"/>
                                </a:lnTo>
                                <a:close/>
                              </a:path>
                              <a:path w="6515100" h="1847850">
                                <a:moveTo>
                                  <a:pt x="6515100" y="1362075"/>
                                </a:moveTo>
                                <a:lnTo>
                                  <a:pt x="0" y="1362075"/>
                                </a:lnTo>
                                <a:lnTo>
                                  <a:pt x="0" y="1524000"/>
                                </a:lnTo>
                                <a:lnTo>
                                  <a:pt x="6515100" y="1524000"/>
                                </a:lnTo>
                                <a:lnTo>
                                  <a:pt x="6515100" y="1362075"/>
                                </a:lnTo>
                                <a:close/>
                              </a:path>
                              <a:path w="6515100" h="1847850">
                                <a:moveTo>
                                  <a:pt x="6515100" y="323850"/>
                                </a:moveTo>
                                <a:lnTo>
                                  <a:pt x="0" y="323850"/>
                                </a:lnTo>
                                <a:lnTo>
                                  <a:pt x="0" y="485775"/>
                                </a:lnTo>
                                <a:lnTo>
                                  <a:pt x="6515100" y="485775"/>
                                </a:lnTo>
                                <a:lnTo>
                                  <a:pt x="6515100" y="323850"/>
                                </a:lnTo>
                                <a:close/>
                              </a:path>
                              <a:path w="6515100" h="1847850">
                                <a:moveTo>
                                  <a:pt x="6515100" y="0"/>
                                </a:moveTo>
                                <a:lnTo>
                                  <a:pt x="0" y="0"/>
                                </a:lnTo>
                                <a:lnTo>
                                  <a:pt x="0" y="161925"/>
                                </a:lnTo>
                                <a:lnTo>
                                  <a:pt x="6515100" y="161925"/>
                                </a:lnTo>
                                <a:lnTo>
                                  <a:pt x="6515100" y="0"/>
                                </a:lnTo>
                                <a:close/>
                              </a:path>
                            </a:pathLst>
                          </a:custGeom>
                          <a:solidFill>
                            <a:srgbClr val="CCEDFF"/>
                          </a:solidFill>
                        </wps:spPr>
                        <wps:bodyPr wrap="square" lIns="0" tIns="0" rIns="0" bIns="0" rtlCol="0">
                          <a:prstTxWarp prst="textNoShape">
                            <a:avLst/>
                          </a:prstTxWarp>
                          <a:noAutofit/>
                        </wps:bodyPr>
                      </wps:wsp>
                      <wps:wsp>
                        <wps:cNvPr id="397" name="Graphic 397"/>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398" name="Graphic 398"/>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399" name="Graphic 399"/>
                        <wps:cNvSpPr/>
                        <wps:spPr>
                          <a:xfrm>
                            <a:off x="1752600" y="165100"/>
                            <a:ext cx="2133600" cy="1270"/>
                          </a:xfrm>
                          <a:custGeom>
                            <a:avLst/>
                            <a:gdLst/>
                            <a:ahLst/>
                            <a:cxnLst/>
                            <a:rect l="l" t="t" r="r" b="b"/>
                            <a:pathLst>
                              <a:path w="2133600" h="0">
                                <a:moveTo>
                                  <a:pt x="2133600" y="0"/>
                                </a:moveTo>
                                <a:lnTo>
                                  <a:pt x="0" y="0"/>
                                </a:lnTo>
                              </a:path>
                            </a:pathLst>
                          </a:custGeom>
                          <a:solidFill>
                            <a:srgbClr val="000000"/>
                          </a:solidFill>
                        </wps:spPr>
                        <wps:bodyPr wrap="square" lIns="0" tIns="0" rIns="0" bIns="0" rtlCol="0">
                          <a:prstTxWarp prst="textNoShape">
                            <a:avLst/>
                          </a:prstTxWarp>
                          <a:noAutofit/>
                        </wps:bodyPr>
                      </wps:wsp>
                      <wps:wsp>
                        <wps:cNvPr id="400" name="Graphic 400"/>
                        <wps:cNvSpPr/>
                        <wps:spPr>
                          <a:xfrm>
                            <a:off x="1752600" y="165100"/>
                            <a:ext cx="2133600" cy="1270"/>
                          </a:xfrm>
                          <a:custGeom>
                            <a:avLst/>
                            <a:gdLst/>
                            <a:ahLst/>
                            <a:cxnLst/>
                            <a:rect l="l" t="t" r="r" b="b"/>
                            <a:pathLst>
                              <a:path w="2133600" h="0">
                                <a:moveTo>
                                  <a:pt x="0" y="0"/>
                                </a:moveTo>
                                <a:lnTo>
                                  <a:pt x="2133600" y="0"/>
                                </a:lnTo>
                              </a:path>
                            </a:pathLst>
                          </a:custGeom>
                          <a:ln w="6350">
                            <a:solidFill>
                              <a:srgbClr val="000000"/>
                            </a:solidFill>
                            <a:prstDash val="solid"/>
                          </a:ln>
                        </wps:spPr>
                        <wps:bodyPr wrap="square" lIns="0" tIns="0" rIns="0" bIns="0" rtlCol="0">
                          <a:prstTxWarp prst="textNoShape">
                            <a:avLst/>
                          </a:prstTxWarp>
                          <a:noAutofit/>
                        </wps:bodyPr>
                      </wps:wsp>
                      <wps:wsp>
                        <wps:cNvPr id="401" name="Graphic 401"/>
                        <wps:cNvSpPr/>
                        <wps:spPr>
                          <a:xfrm>
                            <a:off x="3933825" y="165100"/>
                            <a:ext cx="2133600" cy="1270"/>
                          </a:xfrm>
                          <a:custGeom>
                            <a:avLst/>
                            <a:gdLst/>
                            <a:ahLst/>
                            <a:cxnLst/>
                            <a:rect l="l" t="t" r="r" b="b"/>
                            <a:pathLst>
                              <a:path w="2133600" h="0">
                                <a:moveTo>
                                  <a:pt x="2133600" y="0"/>
                                </a:moveTo>
                                <a:lnTo>
                                  <a:pt x="0" y="0"/>
                                </a:lnTo>
                              </a:path>
                            </a:pathLst>
                          </a:custGeom>
                          <a:solidFill>
                            <a:srgbClr val="000000"/>
                          </a:solidFill>
                        </wps:spPr>
                        <wps:bodyPr wrap="square" lIns="0" tIns="0" rIns="0" bIns="0" rtlCol="0">
                          <a:prstTxWarp prst="textNoShape">
                            <a:avLst/>
                          </a:prstTxWarp>
                          <a:noAutofit/>
                        </wps:bodyPr>
                      </wps:wsp>
                      <wps:wsp>
                        <wps:cNvPr id="402" name="Graphic 402"/>
                        <wps:cNvSpPr/>
                        <wps:spPr>
                          <a:xfrm>
                            <a:off x="3933825" y="165100"/>
                            <a:ext cx="2133600" cy="1270"/>
                          </a:xfrm>
                          <a:custGeom>
                            <a:avLst/>
                            <a:gdLst/>
                            <a:ahLst/>
                            <a:cxnLst/>
                            <a:rect l="l" t="t" r="r" b="b"/>
                            <a:pathLst>
                              <a:path w="2133600" h="0">
                                <a:moveTo>
                                  <a:pt x="0" y="0"/>
                                </a:moveTo>
                                <a:lnTo>
                                  <a:pt x="2133600" y="0"/>
                                </a:lnTo>
                              </a:path>
                            </a:pathLst>
                          </a:custGeom>
                          <a:ln w="6350">
                            <a:solidFill>
                              <a:srgbClr val="000000"/>
                            </a:solidFill>
                            <a:prstDash val="solid"/>
                          </a:ln>
                        </wps:spPr>
                        <wps:bodyPr wrap="square" lIns="0" tIns="0" rIns="0" bIns="0" rtlCol="0">
                          <a:prstTxWarp prst="textNoShape">
                            <a:avLst/>
                          </a:prstTxWarp>
                          <a:noAutofit/>
                        </wps:bodyPr>
                      </wps:wsp>
                      <wps:wsp>
                        <wps:cNvPr id="403" name="Graphic 403"/>
                        <wps:cNvSpPr/>
                        <wps:spPr>
                          <a:xfrm>
                            <a:off x="0" y="55562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404" name="Graphic 404"/>
                        <wps:cNvSpPr/>
                        <wps:spPr>
                          <a:xfrm>
                            <a:off x="0" y="55562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405" name="Graphic 405"/>
                        <wps:cNvSpPr/>
                        <wps:spPr>
                          <a:xfrm>
                            <a:off x="0" y="1041400"/>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406" name="Graphic 406"/>
                        <wps:cNvSpPr/>
                        <wps:spPr>
                          <a:xfrm>
                            <a:off x="0" y="1041400"/>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407" name="Graphic 407"/>
                        <wps:cNvSpPr/>
                        <wps:spPr>
                          <a:xfrm>
                            <a:off x="0" y="1190625"/>
                            <a:ext cx="6515100" cy="25400"/>
                          </a:xfrm>
                          <a:custGeom>
                            <a:avLst/>
                            <a:gdLst/>
                            <a:ahLst/>
                            <a:cxnLst/>
                            <a:rect l="l" t="t" r="r" b="b"/>
                            <a:pathLst>
                              <a:path w="6515100" h="25400">
                                <a:moveTo>
                                  <a:pt x="0" y="0"/>
                                </a:moveTo>
                                <a:lnTo>
                                  <a:pt x="6515100" y="0"/>
                                </a:lnTo>
                              </a:path>
                              <a:path w="6515100" h="25400">
                                <a:moveTo>
                                  <a:pt x="0" y="25400"/>
                                </a:moveTo>
                                <a:lnTo>
                                  <a:pt x="6515100" y="25400"/>
                                </a:lnTo>
                              </a:path>
                            </a:pathLst>
                          </a:custGeom>
                          <a:ln w="12700">
                            <a:solidFill>
                              <a:srgbClr val="000000"/>
                            </a:solidFill>
                            <a:prstDash val="solid"/>
                          </a:ln>
                        </wps:spPr>
                        <wps:bodyPr wrap="square" lIns="0" tIns="0" rIns="0" bIns="0" rtlCol="0">
                          <a:prstTxWarp prst="textNoShape">
                            <a:avLst/>
                          </a:prstTxWarp>
                          <a:noAutofit/>
                        </wps:bodyPr>
                      </wps:wsp>
                      <wps:wsp>
                        <wps:cNvPr id="408" name="Graphic 408"/>
                        <wps:cNvSpPr/>
                        <wps:spPr>
                          <a:xfrm>
                            <a:off x="0" y="1365250"/>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409" name="Graphic 409"/>
                        <wps:cNvSpPr/>
                        <wps:spPr>
                          <a:xfrm>
                            <a:off x="0" y="1365250"/>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410" name="Graphic 410"/>
                        <wps:cNvSpPr/>
                        <wps:spPr>
                          <a:xfrm>
                            <a:off x="1752600" y="1527175"/>
                            <a:ext cx="2133600" cy="1270"/>
                          </a:xfrm>
                          <a:custGeom>
                            <a:avLst/>
                            <a:gdLst/>
                            <a:ahLst/>
                            <a:cxnLst/>
                            <a:rect l="l" t="t" r="r" b="b"/>
                            <a:pathLst>
                              <a:path w="2133600" h="0">
                                <a:moveTo>
                                  <a:pt x="2133600" y="0"/>
                                </a:moveTo>
                                <a:lnTo>
                                  <a:pt x="0" y="0"/>
                                </a:lnTo>
                              </a:path>
                            </a:pathLst>
                          </a:custGeom>
                          <a:solidFill>
                            <a:srgbClr val="000000"/>
                          </a:solidFill>
                        </wps:spPr>
                        <wps:bodyPr wrap="square" lIns="0" tIns="0" rIns="0" bIns="0" rtlCol="0">
                          <a:prstTxWarp prst="textNoShape">
                            <a:avLst/>
                          </a:prstTxWarp>
                          <a:noAutofit/>
                        </wps:bodyPr>
                      </wps:wsp>
                      <wps:wsp>
                        <wps:cNvPr id="411" name="Graphic 411"/>
                        <wps:cNvSpPr/>
                        <wps:spPr>
                          <a:xfrm>
                            <a:off x="1752600" y="1527175"/>
                            <a:ext cx="2133600" cy="1270"/>
                          </a:xfrm>
                          <a:custGeom>
                            <a:avLst/>
                            <a:gdLst/>
                            <a:ahLst/>
                            <a:cxnLst/>
                            <a:rect l="l" t="t" r="r" b="b"/>
                            <a:pathLst>
                              <a:path w="2133600" h="0">
                                <a:moveTo>
                                  <a:pt x="0" y="0"/>
                                </a:moveTo>
                                <a:lnTo>
                                  <a:pt x="2133600" y="0"/>
                                </a:lnTo>
                              </a:path>
                            </a:pathLst>
                          </a:custGeom>
                          <a:ln w="6350">
                            <a:solidFill>
                              <a:srgbClr val="000000"/>
                            </a:solidFill>
                            <a:prstDash val="solid"/>
                          </a:ln>
                        </wps:spPr>
                        <wps:bodyPr wrap="square" lIns="0" tIns="0" rIns="0" bIns="0" rtlCol="0">
                          <a:prstTxWarp prst="textNoShape">
                            <a:avLst/>
                          </a:prstTxWarp>
                          <a:noAutofit/>
                        </wps:bodyPr>
                      </wps:wsp>
                      <wps:wsp>
                        <wps:cNvPr id="412" name="Graphic 412"/>
                        <wps:cNvSpPr/>
                        <wps:spPr>
                          <a:xfrm>
                            <a:off x="3933825" y="1527175"/>
                            <a:ext cx="2133600" cy="1270"/>
                          </a:xfrm>
                          <a:custGeom>
                            <a:avLst/>
                            <a:gdLst/>
                            <a:ahLst/>
                            <a:cxnLst/>
                            <a:rect l="l" t="t" r="r" b="b"/>
                            <a:pathLst>
                              <a:path w="2133600" h="0">
                                <a:moveTo>
                                  <a:pt x="2133600" y="0"/>
                                </a:moveTo>
                                <a:lnTo>
                                  <a:pt x="0" y="0"/>
                                </a:lnTo>
                              </a:path>
                            </a:pathLst>
                          </a:custGeom>
                          <a:solidFill>
                            <a:srgbClr val="000000"/>
                          </a:solidFill>
                        </wps:spPr>
                        <wps:bodyPr wrap="square" lIns="0" tIns="0" rIns="0" bIns="0" rtlCol="0">
                          <a:prstTxWarp prst="textNoShape">
                            <a:avLst/>
                          </a:prstTxWarp>
                          <a:noAutofit/>
                        </wps:bodyPr>
                      </wps:wsp>
                      <wps:wsp>
                        <wps:cNvPr id="413" name="Graphic 413"/>
                        <wps:cNvSpPr/>
                        <wps:spPr>
                          <a:xfrm>
                            <a:off x="3933825" y="1527175"/>
                            <a:ext cx="2133600" cy="1270"/>
                          </a:xfrm>
                          <a:custGeom>
                            <a:avLst/>
                            <a:gdLst/>
                            <a:ahLst/>
                            <a:cxnLst/>
                            <a:rect l="l" t="t" r="r" b="b"/>
                            <a:pathLst>
                              <a:path w="2133600" h="0">
                                <a:moveTo>
                                  <a:pt x="0" y="0"/>
                                </a:moveTo>
                                <a:lnTo>
                                  <a:pt x="2133600" y="0"/>
                                </a:lnTo>
                              </a:path>
                            </a:pathLst>
                          </a:custGeom>
                          <a:ln w="6350">
                            <a:solidFill>
                              <a:srgbClr val="000000"/>
                            </a:solidFill>
                            <a:prstDash val="solid"/>
                          </a:ln>
                        </wps:spPr>
                        <wps:bodyPr wrap="square" lIns="0" tIns="0" rIns="0" bIns="0" rtlCol="0">
                          <a:prstTxWarp prst="textNoShape">
                            <a:avLst/>
                          </a:prstTxWarp>
                          <a:noAutofit/>
                        </wps:bodyPr>
                      </wps:wsp>
                      <wps:wsp>
                        <wps:cNvPr id="414" name="Graphic 414"/>
                        <wps:cNvSpPr/>
                        <wps:spPr>
                          <a:xfrm>
                            <a:off x="0" y="1917700"/>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415" name="Graphic 415"/>
                        <wps:cNvSpPr/>
                        <wps:spPr>
                          <a:xfrm>
                            <a:off x="0" y="1917700"/>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416" name="Graphic 416"/>
                        <wps:cNvSpPr/>
                        <wps:spPr>
                          <a:xfrm>
                            <a:off x="0" y="24034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417" name="Graphic 417"/>
                        <wps:cNvSpPr/>
                        <wps:spPr>
                          <a:xfrm>
                            <a:off x="0" y="24034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418" name="Textbox 418"/>
                        <wps:cNvSpPr txBox="1"/>
                        <wps:spPr>
                          <a:xfrm>
                            <a:off x="2424557" y="19557"/>
                            <a:ext cx="803275" cy="127000"/>
                          </a:xfrm>
                          <a:prstGeom prst="rect">
                            <a:avLst/>
                          </a:prstGeom>
                        </wps:spPr>
                        <wps:txbx>
                          <w:txbxContent>
                            <w:p>
                              <w:pPr>
                                <w:spacing w:line="199" w:lineRule="exact" w:before="0"/>
                                <w:ind w:left="0" w:right="0" w:firstLine="0"/>
                                <w:jc w:val="left"/>
                                <w:rPr>
                                  <w:sz w:val="18"/>
                                </w:rPr>
                              </w:pPr>
                              <w:r>
                                <w:rPr>
                                  <w:sz w:val="18"/>
                                </w:rPr>
                                <w:t>Investor</w:t>
                              </w:r>
                              <w:r>
                                <w:rPr>
                                  <w:spacing w:val="-1"/>
                                  <w:sz w:val="18"/>
                                </w:rPr>
                                <w:t> </w:t>
                              </w:r>
                              <w:r>
                                <w:rPr>
                                  <w:spacing w:val="-2"/>
                                  <w:sz w:val="18"/>
                                </w:rPr>
                                <w:t>Services</w:t>
                              </w:r>
                            </w:p>
                          </w:txbxContent>
                        </wps:txbx>
                        <wps:bodyPr wrap="square" lIns="0" tIns="0" rIns="0" bIns="0" rtlCol="0">
                          <a:noAutofit/>
                        </wps:bodyPr>
                      </wps:wsp>
                      <wps:wsp>
                        <wps:cNvPr id="419" name="Textbox 419"/>
                        <wps:cNvSpPr txBox="1"/>
                        <wps:spPr>
                          <a:xfrm>
                            <a:off x="4608829" y="19557"/>
                            <a:ext cx="796925" cy="127000"/>
                          </a:xfrm>
                          <a:prstGeom prst="rect">
                            <a:avLst/>
                          </a:prstGeom>
                        </wps:spPr>
                        <wps:txbx>
                          <w:txbxContent>
                            <w:p>
                              <w:pPr>
                                <w:spacing w:line="199" w:lineRule="exact" w:before="0"/>
                                <w:ind w:left="0" w:right="0" w:firstLine="0"/>
                                <w:jc w:val="left"/>
                                <w:rPr>
                                  <w:sz w:val="18"/>
                                </w:rPr>
                              </w:pPr>
                              <w:r>
                                <w:rPr>
                                  <w:sz w:val="18"/>
                                </w:rPr>
                                <w:t>Advisor</w:t>
                              </w:r>
                              <w:r>
                                <w:rPr>
                                  <w:spacing w:val="-2"/>
                                  <w:sz w:val="18"/>
                                </w:rPr>
                                <w:t> Services</w:t>
                              </w:r>
                            </w:p>
                          </w:txbxContent>
                        </wps:txbx>
                        <wps:bodyPr wrap="square" lIns="0" tIns="0" rIns="0" bIns="0" rtlCol="0">
                          <a:noAutofit/>
                        </wps:bodyPr>
                      </wps:wsp>
                      <wps:wsp>
                        <wps:cNvPr id="420" name="Textbox 420"/>
                        <wps:cNvSpPr txBox="1"/>
                        <wps:spPr>
                          <a:xfrm>
                            <a:off x="33401" y="181482"/>
                            <a:ext cx="6410325" cy="355600"/>
                          </a:xfrm>
                          <a:prstGeom prst="rect">
                            <a:avLst/>
                          </a:prstGeom>
                        </wps:spPr>
                        <wps:txbx>
                          <w:txbxContent>
                            <w:p>
                              <w:pPr>
                                <w:tabs>
                                  <w:tab w:pos="4202" w:val="left" w:leader="none"/>
                                  <w:tab w:pos="5372" w:val="left" w:leader="none"/>
                                  <w:tab w:pos="6274" w:val="left" w:leader="none"/>
                                  <w:tab w:pos="6430" w:val="left" w:leader="none"/>
                                  <w:tab w:pos="7637" w:val="left" w:leader="none"/>
                                  <w:tab w:pos="8807" w:val="left" w:leader="none"/>
                                </w:tabs>
                                <w:spacing w:line="208" w:lineRule="auto" w:before="14"/>
                                <w:ind w:left="2840" w:right="675" w:firstLine="155"/>
                                <w:jc w:val="left"/>
                                <w:rPr>
                                  <w:sz w:val="18"/>
                                </w:rPr>
                              </w:pPr>
                              <w:r>
                                <w:rPr>
                                  <w:spacing w:val="-2"/>
                                  <w:sz w:val="18"/>
                                </w:rPr>
                                <w:t>Employee</w:t>
                              </w:r>
                              <w:r>
                                <w:rPr>
                                  <w:sz w:val="18"/>
                                </w:rPr>
                                <w:tab/>
                                <w:tab/>
                              </w:r>
                              <w:r>
                                <w:rPr>
                                  <w:spacing w:val="-36"/>
                                  <w:sz w:val="18"/>
                                </w:rPr>
                                <w:t> </w:t>
                              </w:r>
                              <w:r>
                                <w:rPr>
                                  <w:spacing w:val="-2"/>
                                  <w:sz w:val="18"/>
                                </w:rPr>
                                <w:t>Investor</w:t>
                              </w:r>
                              <w:r>
                                <w:rPr>
                                  <w:sz w:val="18"/>
                                </w:rPr>
                                <w:tab/>
                                <w:tab/>
                              </w:r>
                              <w:r>
                                <w:rPr>
                                  <w:spacing w:val="-2"/>
                                  <w:sz w:val="18"/>
                                </w:rPr>
                                <w:t>Employee</w:t>
                              </w:r>
                              <w:r>
                                <w:rPr>
                                  <w:sz w:val="18"/>
                                </w:rPr>
                                <w:tab/>
                                <w:tab/>
                              </w:r>
                              <w:r>
                                <w:rPr>
                                  <w:spacing w:val="-31"/>
                                  <w:sz w:val="18"/>
                                </w:rPr>
                                <w:t> </w:t>
                              </w:r>
                              <w:r>
                                <w:rPr>
                                  <w:sz w:val="18"/>
                                </w:rPr>
                                <w:t>Advisor </w:t>
                              </w:r>
                              <w:r>
                                <w:rPr>
                                  <w:spacing w:val="-2"/>
                                  <w:sz w:val="18"/>
                                </w:rPr>
                                <w:t>Compensation</w:t>
                              </w:r>
                              <w:r>
                                <w:rPr>
                                  <w:sz w:val="18"/>
                                </w:rPr>
                                <w:tab/>
                                <w:t>Facility</w:t>
                              </w:r>
                              <w:r>
                                <w:rPr>
                                  <w:spacing w:val="-1"/>
                                  <w:sz w:val="18"/>
                                </w:rPr>
                                <w:t> </w:t>
                              </w:r>
                              <w:r>
                                <w:rPr>
                                  <w:spacing w:val="-4"/>
                                  <w:sz w:val="18"/>
                                </w:rPr>
                                <w:t>Exit</w:t>
                              </w:r>
                              <w:r>
                                <w:rPr>
                                  <w:sz w:val="18"/>
                                </w:rPr>
                                <w:tab/>
                              </w:r>
                              <w:r>
                                <w:rPr>
                                  <w:spacing w:val="-2"/>
                                  <w:sz w:val="18"/>
                                </w:rPr>
                                <w:t>Services</w:t>
                              </w:r>
                              <w:r>
                                <w:rPr>
                                  <w:sz w:val="18"/>
                                </w:rPr>
                                <w:tab/>
                              </w:r>
                              <w:r>
                                <w:rPr>
                                  <w:spacing w:val="-2"/>
                                  <w:sz w:val="18"/>
                                </w:rPr>
                                <w:t>Compensation</w:t>
                              </w:r>
                              <w:r>
                                <w:rPr>
                                  <w:sz w:val="18"/>
                                </w:rPr>
                                <w:tab/>
                                <w:t>Facility</w:t>
                              </w:r>
                              <w:r>
                                <w:rPr>
                                  <w:spacing w:val="-3"/>
                                  <w:sz w:val="18"/>
                                </w:rPr>
                                <w:t> </w:t>
                              </w:r>
                              <w:r>
                                <w:rPr>
                                  <w:spacing w:val="-4"/>
                                  <w:sz w:val="18"/>
                                </w:rPr>
                                <w:t>Exit</w:t>
                              </w:r>
                              <w:r>
                                <w:rPr>
                                  <w:sz w:val="18"/>
                                </w:rPr>
                                <w:tab/>
                              </w:r>
                              <w:r>
                                <w:rPr>
                                  <w:spacing w:val="-2"/>
                                  <w:sz w:val="18"/>
                                </w:rPr>
                                <w:t>Services</w:t>
                              </w:r>
                            </w:p>
                            <w:p>
                              <w:pPr>
                                <w:tabs>
                                  <w:tab w:pos="2907" w:val="left" w:leader="none"/>
                                  <w:tab w:pos="4359" w:val="left" w:leader="none"/>
                                  <w:tab w:pos="5487" w:val="left" w:leader="none"/>
                                  <w:tab w:pos="6342" w:val="left" w:leader="none"/>
                                  <w:tab w:pos="7794" w:val="left" w:leader="none"/>
                                  <w:tab w:pos="8922" w:val="left" w:leader="none"/>
                                  <w:tab w:pos="9694" w:val="left" w:leader="none"/>
                                </w:tabs>
                                <w:spacing w:line="185" w:lineRule="exact" w:before="0"/>
                                <w:ind w:left="0" w:right="0" w:firstLine="0"/>
                                <w:jc w:val="left"/>
                                <w:rPr>
                                  <w:sz w:val="18"/>
                                </w:rPr>
                              </w:pPr>
                              <w:r>
                                <w:rPr>
                                  <w:sz w:val="18"/>
                                </w:rPr>
                                <w:t>Three</w:t>
                              </w:r>
                              <w:r>
                                <w:rPr>
                                  <w:spacing w:val="-1"/>
                                  <w:sz w:val="18"/>
                                </w:rPr>
                                <w:t> </w:t>
                              </w:r>
                              <w:r>
                                <w:rPr>
                                  <w:sz w:val="18"/>
                                </w:rPr>
                                <w:t>Months</w:t>
                              </w:r>
                              <w:r>
                                <w:rPr>
                                  <w:spacing w:val="-1"/>
                                  <w:sz w:val="18"/>
                                </w:rPr>
                                <w:t> </w:t>
                              </w:r>
                              <w:r>
                                <w:rPr>
                                  <w:sz w:val="18"/>
                                </w:rPr>
                                <w:t>Ended</w:t>
                              </w:r>
                              <w:r>
                                <w:rPr>
                                  <w:spacing w:val="-1"/>
                                  <w:sz w:val="18"/>
                                </w:rPr>
                                <w:t> </w:t>
                              </w:r>
                              <w:r>
                                <w:rPr>
                                  <w:sz w:val="18"/>
                                </w:rPr>
                                <w:t>September </w:t>
                              </w:r>
                              <w:r>
                                <w:rPr>
                                  <w:spacing w:val="-5"/>
                                  <w:sz w:val="18"/>
                                </w:rPr>
                                <w:t>30,</w:t>
                              </w:r>
                              <w:r>
                                <w:rPr>
                                  <w:sz w:val="18"/>
                                </w:rPr>
                                <w:tab/>
                                <w:t>and</w:t>
                              </w:r>
                              <w:r>
                                <w:rPr>
                                  <w:spacing w:val="-2"/>
                                  <w:sz w:val="18"/>
                                </w:rPr>
                                <w:t> Benefits</w:t>
                              </w:r>
                              <w:r>
                                <w:rPr>
                                  <w:sz w:val="18"/>
                                </w:rPr>
                                <w:tab/>
                                <w:t>Costs</w:t>
                              </w:r>
                              <w:r>
                                <w:rPr>
                                  <w:spacing w:val="-4"/>
                                  <w:sz w:val="18"/>
                                </w:rPr>
                                <w:t> </w:t>
                              </w:r>
                              <w:r>
                                <w:rPr>
                                  <w:spacing w:val="-5"/>
                                  <w:sz w:val="18"/>
                                  <w:vertAlign w:val="superscript"/>
                                </w:rPr>
                                <w:t>(1)</w:t>
                              </w:r>
                              <w:r>
                                <w:rPr>
                                  <w:sz w:val="18"/>
                                  <w:vertAlign w:val="baseline"/>
                                </w:rPr>
                                <w:tab/>
                              </w:r>
                              <w:r>
                                <w:rPr>
                                  <w:spacing w:val="-2"/>
                                  <w:sz w:val="18"/>
                                  <w:vertAlign w:val="baseline"/>
                                </w:rPr>
                                <w:t>Total</w:t>
                              </w:r>
                              <w:r>
                                <w:rPr>
                                  <w:sz w:val="18"/>
                                  <w:vertAlign w:val="baseline"/>
                                </w:rPr>
                                <w:tab/>
                                <w:t>and</w:t>
                              </w:r>
                              <w:r>
                                <w:rPr>
                                  <w:spacing w:val="-2"/>
                                  <w:sz w:val="18"/>
                                  <w:vertAlign w:val="baseline"/>
                                </w:rPr>
                                <w:t> Benefits</w:t>
                              </w:r>
                              <w:r>
                                <w:rPr>
                                  <w:sz w:val="18"/>
                                  <w:vertAlign w:val="baseline"/>
                                </w:rPr>
                                <w:tab/>
                                <w:t>Costs</w:t>
                              </w:r>
                              <w:r>
                                <w:rPr>
                                  <w:spacing w:val="-4"/>
                                  <w:sz w:val="18"/>
                                  <w:vertAlign w:val="baseline"/>
                                </w:rPr>
                                <w:t> </w:t>
                              </w:r>
                              <w:r>
                                <w:rPr>
                                  <w:spacing w:val="-5"/>
                                  <w:sz w:val="18"/>
                                  <w:vertAlign w:val="superscript"/>
                                </w:rPr>
                                <w:t>(1)</w:t>
                              </w:r>
                              <w:r>
                                <w:rPr>
                                  <w:sz w:val="18"/>
                                  <w:vertAlign w:val="baseline"/>
                                </w:rPr>
                                <w:tab/>
                              </w:r>
                              <w:r>
                                <w:rPr>
                                  <w:spacing w:val="-2"/>
                                  <w:sz w:val="18"/>
                                  <w:vertAlign w:val="baseline"/>
                                </w:rPr>
                                <w:t>Total</w:t>
                              </w:r>
                              <w:r>
                                <w:rPr>
                                  <w:sz w:val="18"/>
                                  <w:vertAlign w:val="baseline"/>
                                </w:rPr>
                                <w:tab/>
                              </w:r>
                              <w:r>
                                <w:rPr>
                                  <w:spacing w:val="-2"/>
                                  <w:sz w:val="18"/>
                                  <w:vertAlign w:val="baseline"/>
                                </w:rPr>
                                <w:t>Total</w:t>
                              </w:r>
                            </w:p>
                          </w:txbxContent>
                        </wps:txbx>
                        <wps:bodyPr wrap="square" lIns="0" tIns="0" rIns="0" bIns="0" rtlCol="0">
                          <a:noAutofit/>
                        </wps:bodyPr>
                      </wps:wsp>
                      <wps:wsp>
                        <wps:cNvPr id="421" name="Textbox 421"/>
                        <wps:cNvSpPr txBox="1"/>
                        <wps:spPr>
                          <a:xfrm>
                            <a:off x="33401" y="733932"/>
                            <a:ext cx="1231900" cy="127000"/>
                          </a:xfrm>
                          <a:prstGeom prst="rect">
                            <a:avLst/>
                          </a:prstGeom>
                        </wps:spPr>
                        <wps:txbx>
                          <w:txbxContent>
                            <w:p>
                              <w:pPr>
                                <w:spacing w:line="199" w:lineRule="exact" w:before="0"/>
                                <w:ind w:left="0" w:right="0" w:firstLine="0"/>
                                <w:jc w:val="left"/>
                                <w:rPr>
                                  <w:sz w:val="18"/>
                                </w:rPr>
                              </w:pPr>
                              <w:r>
                                <w:rPr>
                                  <w:sz w:val="18"/>
                                </w:rPr>
                                <w:t>Occupancy</w:t>
                              </w:r>
                              <w:r>
                                <w:rPr>
                                  <w:spacing w:val="-1"/>
                                  <w:sz w:val="18"/>
                                </w:rPr>
                                <w:t> </w:t>
                              </w:r>
                              <w:r>
                                <w:rPr>
                                  <w:sz w:val="18"/>
                                </w:rPr>
                                <w:t>and </w:t>
                              </w:r>
                              <w:r>
                                <w:rPr>
                                  <w:spacing w:val="-2"/>
                                  <w:sz w:val="18"/>
                                </w:rPr>
                                <w:t>equipment</w:t>
                              </w:r>
                            </w:p>
                          </w:txbxContent>
                        </wps:txbx>
                        <wps:bodyPr wrap="square" lIns="0" tIns="0" rIns="0" bIns="0" rtlCol="0">
                          <a:noAutofit/>
                        </wps:bodyPr>
                      </wps:wsp>
                      <wps:wsp>
                        <wps:cNvPr id="422" name="Textbox 422"/>
                        <wps:cNvSpPr txBox="1"/>
                        <wps:spPr>
                          <a:xfrm>
                            <a:off x="2419451" y="733932"/>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423" name="Textbox 423"/>
                        <wps:cNvSpPr txBox="1"/>
                        <wps:spPr>
                          <a:xfrm>
                            <a:off x="3238601" y="733932"/>
                            <a:ext cx="69850" cy="127000"/>
                          </a:xfrm>
                          <a:prstGeom prst="rect">
                            <a:avLst/>
                          </a:prstGeom>
                        </wps:spPr>
                        <wps:txbx>
                          <w:txbxContent>
                            <w:p>
                              <w:pPr>
                                <w:spacing w:line="199" w:lineRule="exact" w:before="0"/>
                                <w:ind w:left="0" w:right="0" w:firstLine="0"/>
                                <w:jc w:val="left"/>
                                <w:rPr>
                                  <w:sz w:val="18"/>
                                </w:rPr>
                              </w:pPr>
                              <w:r>
                                <w:rPr>
                                  <w:spacing w:val="-10"/>
                                  <w:sz w:val="18"/>
                                </w:rPr>
                                <w:t>3</w:t>
                              </w:r>
                            </w:p>
                          </w:txbxContent>
                        </wps:txbx>
                        <wps:bodyPr wrap="square" lIns="0" tIns="0" rIns="0" bIns="0" rtlCol="0">
                          <a:noAutofit/>
                        </wps:bodyPr>
                      </wps:wsp>
                      <wps:wsp>
                        <wps:cNvPr id="424" name="Textbox 424"/>
                        <wps:cNvSpPr txBox="1"/>
                        <wps:spPr>
                          <a:xfrm>
                            <a:off x="3781488" y="733932"/>
                            <a:ext cx="69850" cy="127000"/>
                          </a:xfrm>
                          <a:prstGeom prst="rect">
                            <a:avLst/>
                          </a:prstGeom>
                        </wps:spPr>
                        <wps:txbx>
                          <w:txbxContent>
                            <w:p>
                              <w:pPr>
                                <w:spacing w:line="199" w:lineRule="exact" w:before="0"/>
                                <w:ind w:left="0" w:right="0" w:firstLine="0"/>
                                <w:jc w:val="left"/>
                                <w:rPr>
                                  <w:sz w:val="18"/>
                                </w:rPr>
                              </w:pPr>
                              <w:r>
                                <w:rPr>
                                  <w:spacing w:val="-10"/>
                                  <w:sz w:val="18"/>
                                </w:rPr>
                                <w:t>3</w:t>
                              </w:r>
                            </w:p>
                          </w:txbxContent>
                        </wps:txbx>
                        <wps:bodyPr wrap="square" lIns="0" tIns="0" rIns="0" bIns="0" rtlCol="0">
                          <a:noAutofit/>
                        </wps:bodyPr>
                      </wps:wsp>
                      <wps:wsp>
                        <wps:cNvPr id="425" name="Textbox 425"/>
                        <wps:cNvSpPr txBox="1"/>
                        <wps:spPr>
                          <a:xfrm>
                            <a:off x="4600676" y="733932"/>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426" name="Textbox 426"/>
                        <wps:cNvSpPr txBox="1"/>
                        <wps:spPr>
                          <a:xfrm>
                            <a:off x="5362676" y="733932"/>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427" name="Textbox 427"/>
                        <wps:cNvSpPr txBox="1"/>
                        <wps:spPr>
                          <a:xfrm>
                            <a:off x="5905563" y="733932"/>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428" name="Textbox 428"/>
                        <wps:cNvSpPr txBox="1"/>
                        <wps:spPr>
                          <a:xfrm>
                            <a:off x="6410388" y="733932"/>
                            <a:ext cx="69850" cy="127000"/>
                          </a:xfrm>
                          <a:prstGeom prst="rect">
                            <a:avLst/>
                          </a:prstGeom>
                        </wps:spPr>
                        <wps:txbx>
                          <w:txbxContent>
                            <w:p>
                              <w:pPr>
                                <w:spacing w:line="199" w:lineRule="exact" w:before="0"/>
                                <w:ind w:left="0" w:right="0" w:firstLine="0"/>
                                <w:jc w:val="left"/>
                                <w:rPr>
                                  <w:sz w:val="18"/>
                                </w:rPr>
                              </w:pPr>
                              <w:r>
                                <w:rPr>
                                  <w:spacing w:val="-10"/>
                                  <w:sz w:val="18"/>
                                </w:rPr>
                                <w:t>3</w:t>
                              </w:r>
                            </w:p>
                          </w:txbxContent>
                        </wps:txbx>
                        <wps:bodyPr wrap="square" lIns="0" tIns="0" rIns="0" bIns="0" rtlCol="0">
                          <a:noAutofit/>
                        </wps:bodyPr>
                      </wps:wsp>
                      <wps:wsp>
                        <wps:cNvPr id="429" name="Textbox 429"/>
                        <wps:cNvSpPr txBox="1"/>
                        <wps:spPr>
                          <a:xfrm>
                            <a:off x="109601" y="1057782"/>
                            <a:ext cx="254000" cy="127000"/>
                          </a:xfrm>
                          <a:prstGeom prst="rect">
                            <a:avLst/>
                          </a:prstGeom>
                        </wps:spPr>
                        <wps:txbx>
                          <w:txbxContent>
                            <w:p>
                              <w:pPr>
                                <w:spacing w:line="199" w:lineRule="exact" w:before="0"/>
                                <w:ind w:left="0" w:right="0" w:firstLine="0"/>
                                <w:jc w:val="left"/>
                                <w:rPr>
                                  <w:sz w:val="18"/>
                                </w:rPr>
                              </w:pPr>
                              <w:r>
                                <w:rPr>
                                  <w:spacing w:val="-2"/>
                                  <w:sz w:val="18"/>
                                </w:rPr>
                                <w:t>Total</w:t>
                              </w:r>
                            </w:p>
                          </w:txbxContent>
                        </wps:txbx>
                        <wps:bodyPr wrap="square" lIns="0" tIns="0" rIns="0" bIns="0" rtlCol="0">
                          <a:noAutofit/>
                        </wps:bodyPr>
                      </wps:wsp>
                      <wps:wsp>
                        <wps:cNvPr id="430" name="Textbox 430"/>
                        <wps:cNvSpPr txBox="1"/>
                        <wps:spPr>
                          <a:xfrm>
                            <a:off x="1786001" y="1057782"/>
                            <a:ext cx="6985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431" name="Textbox 431"/>
                        <wps:cNvSpPr txBox="1"/>
                        <wps:spPr>
                          <a:xfrm>
                            <a:off x="2476601" y="1057782"/>
                            <a:ext cx="255904" cy="127000"/>
                          </a:xfrm>
                          <a:prstGeom prst="rect">
                            <a:avLst/>
                          </a:prstGeom>
                        </wps:spPr>
                        <wps:txbx>
                          <w:txbxContent>
                            <w:p>
                              <w:pPr>
                                <w:tabs>
                                  <w:tab w:pos="292" w:val="left" w:leader="none"/>
                                </w:tabs>
                                <w:spacing w:line="199" w:lineRule="exact" w:before="0"/>
                                <w:ind w:left="0" w:right="0" w:firstLine="0"/>
                                <w:jc w:val="left"/>
                                <w:rPr>
                                  <w:sz w:val="18"/>
                                </w:rPr>
                              </w:pPr>
                              <w:r>
                                <w:rPr>
                                  <w:spacing w:val="-10"/>
                                  <w:sz w:val="18"/>
                                </w:rPr>
                                <w:t>9</w:t>
                              </w:r>
                              <w:r>
                                <w:rPr>
                                  <w:sz w:val="18"/>
                                </w:rPr>
                                <w:tab/>
                              </w:r>
                              <w:r>
                                <w:rPr>
                                  <w:spacing w:val="-10"/>
                                  <w:sz w:val="18"/>
                                </w:rPr>
                                <w:t>$</w:t>
                              </w:r>
                            </w:p>
                          </w:txbxContent>
                        </wps:txbx>
                        <wps:bodyPr wrap="square" lIns="0" tIns="0" rIns="0" bIns="0" rtlCol="0">
                          <a:noAutofit/>
                        </wps:bodyPr>
                      </wps:wsp>
                      <wps:wsp>
                        <wps:cNvPr id="432" name="Textbox 432"/>
                        <wps:cNvSpPr txBox="1"/>
                        <wps:spPr>
                          <a:xfrm>
                            <a:off x="3238601" y="1057782"/>
                            <a:ext cx="798830" cy="127000"/>
                          </a:xfrm>
                          <a:prstGeom prst="rect">
                            <a:avLst/>
                          </a:prstGeom>
                        </wps:spPr>
                        <wps:txbx>
                          <w:txbxContent>
                            <w:p>
                              <w:pPr>
                                <w:tabs>
                                  <w:tab w:pos="292" w:val="left" w:leader="none"/>
                                  <w:tab w:pos="764" w:val="left" w:leader="none"/>
                                  <w:tab w:pos="1147" w:val="left" w:leader="none"/>
                                </w:tabs>
                                <w:spacing w:line="199" w:lineRule="exact" w:before="0"/>
                                <w:ind w:left="0" w:right="0" w:firstLine="0"/>
                                <w:jc w:val="left"/>
                                <w:rPr>
                                  <w:sz w:val="18"/>
                                </w:rPr>
                              </w:pPr>
                              <w:r>
                                <w:rPr>
                                  <w:spacing w:val="-10"/>
                                  <w:sz w:val="18"/>
                                </w:rPr>
                                <w:t>7</w:t>
                              </w:r>
                              <w:r>
                                <w:rPr>
                                  <w:sz w:val="18"/>
                                </w:rPr>
                                <w:tab/>
                              </w:r>
                              <w:r>
                                <w:rPr>
                                  <w:spacing w:val="-10"/>
                                  <w:sz w:val="18"/>
                                </w:rPr>
                                <w:t>$</w:t>
                              </w:r>
                              <w:r>
                                <w:rPr>
                                  <w:sz w:val="18"/>
                                </w:rPr>
                                <w:tab/>
                              </w:r>
                              <w:r>
                                <w:rPr>
                                  <w:spacing w:val="-5"/>
                                  <w:sz w:val="18"/>
                                </w:rPr>
                                <w:t>16</w:t>
                              </w:r>
                              <w:r>
                                <w:rPr>
                                  <w:sz w:val="18"/>
                                </w:rPr>
                                <w:tab/>
                              </w:r>
                              <w:r>
                                <w:rPr>
                                  <w:spacing w:val="-10"/>
                                  <w:sz w:val="18"/>
                                </w:rPr>
                                <w:t>$</w:t>
                              </w:r>
                            </w:p>
                          </w:txbxContent>
                        </wps:txbx>
                        <wps:bodyPr wrap="square" lIns="0" tIns="0" rIns="0" bIns="0" rtlCol="0">
                          <a:noAutofit/>
                        </wps:bodyPr>
                      </wps:wsp>
                      <wps:wsp>
                        <wps:cNvPr id="433" name="Textbox 433"/>
                        <wps:cNvSpPr txBox="1"/>
                        <wps:spPr>
                          <a:xfrm>
                            <a:off x="4600676" y="1057782"/>
                            <a:ext cx="313055" cy="127000"/>
                          </a:xfrm>
                          <a:prstGeom prst="rect">
                            <a:avLst/>
                          </a:prstGeom>
                        </wps:spPr>
                        <wps:txbx>
                          <w:txbxContent>
                            <w:p>
                              <w:pPr>
                                <w:tabs>
                                  <w:tab w:pos="382" w:val="left" w:leader="none"/>
                                </w:tabs>
                                <w:spacing w:line="199" w:lineRule="exact" w:before="0"/>
                                <w:ind w:left="0" w:right="0" w:firstLine="0"/>
                                <w:jc w:val="left"/>
                                <w:rPr>
                                  <w:sz w:val="18"/>
                                </w:rPr>
                              </w:pPr>
                              <w:r>
                                <w:rPr>
                                  <w:spacing w:val="-10"/>
                                  <w:sz w:val="18"/>
                                </w:rPr>
                                <w:t>—</w:t>
                              </w:r>
                              <w:r>
                                <w:rPr>
                                  <w:sz w:val="18"/>
                                </w:rPr>
                                <w:tab/>
                              </w:r>
                              <w:r>
                                <w:rPr>
                                  <w:spacing w:val="-10"/>
                                  <w:sz w:val="18"/>
                                </w:rPr>
                                <w:t>$</w:t>
                              </w:r>
                            </w:p>
                          </w:txbxContent>
                        </wps:txbx>
                        <wps:bodyPr wrap="square" lIns="0" tIns="0" rIns="0" bIns="0" rtlCol="0">
                          <a:noAutofit/>
                        </wps:bodyPr>
                      </wps:wsp>
                      <wps:wsp>
                        <wps:cNvPr id="434" name="Textbox 434"/>
                        <wps:cNvSpPr txBox="1"/>
                        <wps:spPr>
                          <a:xfrm>
                            <a:off x="5362676" y="1057782"/>
                            <a:ext cx="1117600" cy="127000"/>
                          </a:xfrm>
                          <a:prstGeom prst="rect">
                            <a:avLst/>
                          </a:prstGeom>
                        </wps:spPr>
                        <wps:txbx>
                          <w:txbxContent>
                            <w:p>
                              <w:pPr>
                                <w:tabs>
                                  <w:tab w:pos="382" w:val="left" w:leader="none"/>
                                  <w:tab w:pos="854" w:val="left" w:leader="none"/>
                                  <w:tab w:pos="1559" w:val="left" w:leader="none"/>
                                </w:tabs>
                                <w:spacing w:line="199" w:lineRule="exact" w:before="0"/>
                                <w:ind w:left="0" w:right="0" w:firstLine="0"/>
                                <w:jc w:val="left"/>
                                <w:rPr>
                                  <w:sz w:val="18"/>
                                </w:rPr>
                              </w:pPr>
                              <w:r>
                                <w:rPr>
                                  <w:spacing w:val="-10"/>
                                  <w:sz w:val="18"/>
                                </w:rPr>
                                <w:t>—</w:t>
                              </w:r>
                              <w:r>
                                <w:rPr>
                                  <w:sz w:val="18"/>
                                </w:rPr>
                                <w:tab/>
                              </w:r>
                              <w:r>
                                <w:rPr>
                                  <w:spacing w:val="-10"/>
                                  <w:sz w:val="18"/>
                                </w:rPr>
                                <w:t>$</w:t>
                              </w:r>
                              <w:r>
                                <w:rPr>
                                  <w:sz w:val="18"/>
                                </w:rPr>
                                <w:tab/>
                                <w:t>—</w:t>
                              </w:r>
                              <w:r>
                                <w:rPr>
                                  <w:spacing w:val="48"/>
                                  <w:sz w:val="18"/>
                                </w:rPr>
                                <w:t>  </w:t>
                              </w:r>
                              <w:r>
                                <w:rPr>
                                  <w:spacing w:val="-10"/>
                                  <w:sz w:val="18"/>
                                </w:rPr>
                                <w:t>$</w:t>
                              </w:r>
                              <w:r>
                                <w:rPr>
                                  <w:sz w:val="18"/>
                                </w:rPr>
                                <w:tab/>
                              </w:r>
                              <w:r>
                                <w:rPr>
                                  <w:spacing w:val="-5"/>
                                  <w:sz w:val="18"/>
                                </w:rPr>
                                <w:t>16</w:t>
                              </w:r>
                            </w:p>
                          </w:txbxContent>
                        </wps:txbx>
                        <wps:bodyPr wrap="square" lIns="0" tIns="0" rIns="0" bIns="0" rtlCol="0">
                          <a:noAutofit/>
                        </wps:bodyPr>
                      </wps:wsp>
                      <wps:wsp>
                        <wps:cNvPr id="435" name="Textbox 435"/>
                        <wps:cNvSpPr txBox="1"/>
                        <wps:spPr>
                          <a:xfrm>
                            <a:off x="2424557" y="1381632"/>
                            <a:ext cx="803275" cy="127000"/>
                          </a:xfrm>
                          <a:prstGeom prst="rect">
                            <a:avLst/>
                          </a:prstGeom>
                        </wps:spPr>
                        <wps:txbx>
                          <w:txbxContent>
                            <w:p>
                              <w:pPr>
                                <w:spacing w:line="199" w:lineRule="exact" w:before="0"/>
                                <w:ind w:left="0" w:right="0" w:firstLine="0"/>
                                <w:jc w:val="left"/>
                                <w:rPr>
                                  <w:sz w:val="18"/>
                                </w:rPr>
                              </w:pPr>
                              <w:r>
                                <w:rPr>
                                  <w:sz w:val="18"/>
                                </w:rPr>
                                <w:t>Investor</w:t>
                              </w:r>
                              <w:r>
                                <w:rPr>
                                  <w:spacing w:val="-1"/>
                                  <w:sz w:val="18"/>
                                </w:rPr>
                                <w:t> </w:t>
                              </w:r>
                              <w:r>
                                <w:rPr>
                                  <w:spacing w:val="-2"/>
                                  <w:sz w:val="18"/>
                                </w:rPr>
                                <w:t>Services</w:t>
                              </w:r>
                            </w:p>
                          </w:txbxContent>
                        </wps:txbx>
                        <wps:bodyPr wrap="square" lIns="0" tIns="0" rIns="0" bIns="0" rtlCol="0">
                          <a:noAutofit/>
                        </wps:bodyPr>
                      </wps:wsp>
                      <wps:wsp>
                        <wps:cNvPr id="436" name="Textbox 436"/>
                        <wps:cNvSpPr txBox="1"/>
                        <wps:spPr>
                          <a:xfrm>
                            <a:off x="4608829" y="1381632"/>
                            <a:ext cx="796925" cy="127000"/>
                          </a:xfrm>
                          <a:prstGeom prst="rect">
                            <a:avLst/>
                          </a:prstGeom>
                        </wps:spPr>
                        <wps:txbx>
                          <w:txbxContent>
                            <w:p>
                              <w:pPr>
                                <w:spacing w:line="199" w:lineRule="exact" w:before="0"/>
                                <w:ind w:left="0" w:right="0" w:firstLine="0"/>
                                <w:jc w:val="left"/>
                                <w:rPr>
                                  <w:sz w:val="18"/>
                                </w:rPr>
                              </w:pPr>
                              <w:r>
                                <w:rPr>
                                  <w:sz w:val="18"/>
                                </w:rPr>
                                <w:t>Advisor</w:t>
                              </w:r>
                              <w:r>
                                <w:rPr>
                                  <w:spacing w:val="-2"/>
                                  <w:sz w:val="18"/>
                                </w:rPr>
                                <w:t> Services</w:t>
                              </w:r>
                            </w:p>
                          </w:txbxContent>
                        </wps:txbx>
                        <wps:bodyPr wrap="square" lIns="0" tIns="0" rIns="0" bIns="0" rtlCol="0">
                          <a:noAutofit/>
                        </wps:bodyPr>
                      </wps:wsp>
                      <wps:wsp>
                        <wps:cNvPr id="437" name="Textbox 437"/>
                        <wps:cNvSpPr txBox="1"/>
                        <wps:spPr>
                          <a:xfrm>
                            <a:off x="33401" y="1543557"/>
                            <a:ext cx="6410325" cy="355600"/>
                          </a:xfrm>
                          <a:prstGeom prst="rect">
                            <a:avLst/>
                          </a:prstGeom>
                        </wps:spPr>
                        <wps:txbx>
                          <w:txbxContent>
                            <w:p>
                              <w:pPr>
                                <w:tabs>
                                  <w:tab w:pos="4202" w:val="left" w:leader="none"/>
                                  <w:tab w:pos="5372" w:val="left" w:leader="none"/>
                                  <w:tab w:pos="6274" w:val="left" w:leader="none"/>
                                  <w:tab w:pos="6430" w:val="left" w:leader="none"/>
                                  <w:tab w:pos="7637" w:val="left" w:leader="none"/>
                                  <w:tab w:pos="8807" w:val="left" w:leader="none"/>
                                </w:tabs>
                                <w:spacing w:line="208" w:lineRule="auto" w:before="14"/>
                                <w:ind w:left="2840" w:right="675" w:firstLine="155"/>
                                <w:jc w:val="left"/>
                                <w:rPr>
                                  <w:sz w:val="18"/>
                                </w:rPr>
                              </w:pPr>
                              <w:r>
                                <w:rPr>
                                  <w:spacing w:val="-2"/>
                                  <w:sz w:val="18"/>
                                </w:rPr>
                                <w:t>Employee</w:t>
                              </w:r>
                              <w:r>
                                <w:rPr>
                                  <w:sz w:val="18"/>
                                </w:rPr>
                                <w:tab/>
                                <w:tab/>
                              </w:r>
                              <w:r>
                                <w:rPr>
                                  <w:spacing w:val="-36"/>
                                  <w:sz w:val="18"/>
                                </w:rPr>
                                <w:t> </w:t>
                              </w:r>
                              <w:r>
                                <w:rPr>
                                  <w:spacing w:val="-2"/>
                                  <w:sz w:val="18"/>
                                </w:rPr>
                                <w:t>Investor</w:t>
                              </w:r>
                              <w:r>
                                <w:rPr>
                                  <w:sz w:val="18"/>
                                </w:rPr>
                                <w:tab/>
                                <w:tab/>
                              </w:r>
                              <w:r>
                                <w:rPr>
                                  <w:spacing w:val="-2"/>
                                  <w:sz w:val="18"/>
                                </w:rPr>
                                <w:t>Employee</w:t>
                              </w:r>
                              <w:r>
                                <w:rPr>
                                  <w:sz w:val="18"/>
                                </w:rPr>
                                <w:tab/>
                                <w:tab/>
                              </w:r>
                              <w:r>
                                <w:rPr>
                                  <w:spacing w:val="-31"/>
                                  <w:sz w:val="18"/>
                                </w:rPr>
                                <w:t> </w:t>
                              </w:r>
                              <w:r>
                                <w:rPr>
                                  <w:sz w:val="18"/>
                                </w:rPr>
                                <w:t>Advisor </w:t>
                              </w:r>
                              <w:r>
                                <w:rPr>
                                  <w:spacing w:val="-2"/>
                                  <w:sz w:val="18"/>
                                </w:rPr>
                                <w:t>Compensation</w:t>
                              </w:r>
                              <w:r>
                                <w:rPr>
                                  <w:sz w:val="18"/>
                                </w:rPr>
                                <w:tab/>
                                <w:t>Facility</w:t>
                              </w:r>
                              <w:r>
                                <w:rPr>
                                  <w:spacing w:val="-1"/>
                                  <w:sz w:val="18"/>
                                </w:rPr>
                                <w:t> </w:t>
                              </w:r>
                              <w:r>
                                <w:rPr>
                                  <w:spacing w:val="-4"/>
                                  <w:sz w:val="18"/>
                                </w:rPr>
                                <w:t>Exit</w:t>
                              </w:r>
                              <w:r>
                                <w:rPr>
                                  <w:sz w:val="18"/>
                                </w:rPr>
                                <w:tab/>
                              </w:r>
                              <w:r>
                                <w:rPr>
                                  <w:spacing w:val="-2"/>
                                  <w:sz w:val="18"/>
                                </w:rPr>
                                <w:t>Services</w:t>
                              </w:r>
                              <w:r>
                                <w:rPr>
                                  <w:sz w:val="18"/>
                                </w:rPr>
                                <w:tab/>
                              </w:r>
                              <w:r>
                                <w:rPr>
                                  <w:spacing w:val="-2"/>
                                  <w:sz w:val="18"/>
                                </w:rPr>
                                <w:t>Compensation</w:t>
                              </w:r>
                              <w:r>
                                <w:rPr>
                                  <w:sz w:val="18"/>
                                </w:rPr>
                                <w:tab/>
                                <w:t>Facility</w:t>
                              </w:r>
                              <w:r>
                                <w:rPr>
                                  <w:spacing w:val="-3"/>
                                  <w:sz w:val="18"/>
                                </w:rPr>
                                <w:t> </w:t>
                              </w:r>
                              <w:r>
                                <w:rPr>
                                  <w:spacing w:val="-4"/>
                                  <w:sz w:val="18"/>
                                </w:rPr>
                                <w:t>Exit</w:t>
                              </w:r>
                              <w:r>
                                <w:rPr>
                                  <w:sz w:val="18"/>
                                </w:rPr>
                                <w:tab/>
                              </w:r>
                              <w:r>
                                <w:rPr>
                                  <w:spacing w:val="-2"/>
                                  <w:sz w:val="18"/>
                                </w:rPr>
                                <w:t>Services</w:t>
                              </w:r>
                            </w:p>
                            <w:p>
                              <w:pPr>
                                <w:tabs>
                                  <w:tab w:pos="2907" w:val="left" w:leader="none"/>
                                  <w:tab w:pos="4359" w:val="left" w:leader="none"/>
                                  <w:tab w:pos="5487" w:val="left" w:leader="none"/>
                                  <w:tab w:pos="6342" w:val="left" w:leader="none"/>
                                  <w:tab w:pos="7794" w:val="left" w:leader="none"/>
                                  <w:tab w:pos="8922" w:val="left" w:leader="none"/>
                                  <w:tab w:pos="9694" w:val="left" w:leader="none"/>
                                </w:tabs>
                                <w:spacing w:line="185" w:lineRule="exact" w:before="0"/>
                                <w:ind w:left="0" w:right="0" w:firstLine="0"/>
                                <w:jc w:val="left"/>
                                <w:rPr>
                                  <w:sz w:val="18"/>
                                </w:rPr>
                              </w:pPr>
                              <w:r>
                                <w:rPr>
                                  <w:sz w:val="18"/>
                                </w:rPr>
                                <w:t>Nine</w:t>
                              </w:r>
                              <w:r>
                                <w:rPr>
                                  <w:spacing w:val="-1"/>
                                  <w:sz w:val="18"/>
                                </w:rPr>
                                <w:t> </w:t>
                              </w:r>
                              <w:r>
                                <w:rPr>
                                  <w:sz w:val="18"/>
                                </w:rPr>
                                <w:t>Months</w:t>
                              </w:r>
                              <w:r>
                                <w:rPr>
                                  <w:spacing w:val="-2"/>
                                  <w:sz w:val="18"/>
                                </w:rPr>
                                <w:t> </w:t>
                              </w:r>
                              <w:r>
                                <w:rPr>
                                  <w:sz w:val="18"/>
                                </w:rPr>
                                <w:t>Ended</w:t>
                              </w:r>
                              <w:r>
                                <w:rPr>
                                  <w:spacing w:val="-1"/>
                                  <w:sz w:val="18"/>
                                </w:rPr>
                                <w:t> </w:t>
                              </w:r>
                              <w:r>
                                <w:rPr>
                                  <w:sz w:val="18"/>
                                </w:rPr>
                                <w:t>September </w:t>
                              </w:r>
                              <w:r>
                                <w:rPr>
                                  <w:spacing w:val="-5"/>
                                  <w:sz w:val="18"/>
                                </w:rPr>
                                <w:t>30,</w:t>
                              </w:r>
                              <w:r>
                                <w:rPr>
                                  <w:sz w:val="18"/>
                                </w:rPr>
                                <w:tab/>
                                <w:t>and</w:t>
                              </w:r>
                              <w:r>
                                <w:rPr>
                                  <w:spacing w:val="-2"/>
                                  <w:sz w:val="18"/>
                                </w:rPr>
                                <w:t> Benefits</w:t>
                              </w:r>
                              <w:r>
                                <w:rPr>
                                  <w:sz w:val="18"/>
                                </w:rPr>
                                <w:tab/>
                                <w:t>Costs</w:t>
                              </w:r>
                              <w:r>
                                <w:rPr>
                                  <w:spacing w:val="-4"/>
                                  <w:sz w:val="18"/>
                                </w:rPr>
                                <w:t> </w:t>
                              </w:r>
                              <w:r>
                                <w:rPr>
                                  <w:spacing w:val="-5"/>
                                  <w:sz w:val="18"/>
                                  <w:vertAlign w:val="superscript"/>
                                </w:rPr>
                                <w:t>(1)</w:t>
                              </w:r>
                              <w:r>
                                <w:rPr>
                                  <w:sz w:val="18"/>
                                  <w:vertAlign w:val="baseline"/>
                                </w:rPr>
                                <w:tab/>
                              </w:r>
                              <w:r>
                                <w:rPr>
                                  <w:spacing w:val="-2"/>
                                  <w:sz w:val="18"/>
                                  <w:vertAlign w:val="baseline"/>
                                </w:rPr>
                                <w:t>Total</w:t>
                              </w:r>
                              <w:r>
                                <w:rPr>
                                  <w:sz w:val="18"/>
                                  <w:vertAlign w:val="baseline"/>
                                </w:rPr>
                                <w:tab/>
                                <w:t>and</w:t>
                              </w:r>
                              <w:r>
                                <w:rPr>
                                  <w:spacing w:val="-2"/>
                                  <w:sz w:val="18"/>
                                  <w:vertAlign w:val="baseline"/>
                                </w:rPr>
                                <w:t> Benefits</w:t>
                              </w:r>
                              <w:r>
                                <w:rPr>
                                  <w:sz w:val="18"/>
                                  <w:vertAlign w:val="baseline"/>
                                </w:rPr>
                                <w:tab/>
                                <w:t>Costs</w:t>
                              </w:r>
                              <w:r>
                                <w:rPr>
                                  <w:spacing w:val="-4"/>
                                  <w:sz w:val="18"/>
                                  <w:vertAlign w:val="baseline"/>
                                </w:rPr>
                                <w:t> </w:t>
                              </w:r>
                              <w:r>
                                <w:rPr>
                                  <w:spacing w:val="-5"/>
                                  <w:sz w:val="18"/>
                                  <w:vertAlign w:val="superscript"/>
                                </w:rPr>
                                <w:t>(1)</w:t>
                              </w:r>
                              <w:r>
                                <w:rPr>
                                  <w:sz w:val="18"/>
                                  <w:vertAlign w:val="baseline"/>
                                </w:rPr>
                                <w:tab/>
                              </w:r>
                              <w:r>
                                <w:rPr>
                                  <w:spacing w:val="-2"/>
                                  <w:sz w:val="18"/>
                                  <w:vertAlign w:val="baseline"/>
                                </w:rPr>
                                <w:t>Total</w:t>
                              </w:r>
                              <w:r>
                                <w:rPr>
                                  <w:sz w:val="18"/>
                                  <w:vertAlign w:val="baseline"/>
                                </w:rPr>
                                <w:tab/>
                              </w:r>
                              <w:r>
                                <w:rPr>
                                  <w:spacing w:val="-2"/>
                                  <w:sz w:val="18"/>
                                  <w:vertAlign w:val="baseline"/>
                                </w:rPr>
                                <w:t>Total</w:t>
                              </w:r>
                            </w:p>
                          </w:txbxContent>
                        </wps:txbx>
                        <wps:bodyPr wrap="square" lIns="0" tIns="0" rIns="0" bIns="0" rtlCol="0">
                          <a:noAutofit/>
                        </wps:bodyPr>
                      </wps:wsp>
                      <wps:wsp>
                        <wps:cNvPr id="438" name="Textbox 438"/>
                        <wps:cNvSpPr txBox="1"/>
                        <wps:spPr>
                          <a:xfrm>
                            <a:off x="33401" y="2096007"/>
                            <a:ext cx="1231900" cy="127000"/>
                          </a:xfrm>
                          <a:prstGeom prst="rect">
                            <a:avLst/>
                          </a:prstGeom>
                        </wps:spPr>
                        <wps:txbx>
                          <w:txbxContent>
                            <w:p>
                              <w:pPr>
                                <w:spacing w:line="199" w:lineRule="exact" w:before="0"/>
                                <w:ind w:left="0" w:right="0" w:firstLine="0"/>
                                <w:jc w:val="left"/>
                                <w:rPr>
                                  <w:sz w:val="18"/>
                                </w:rPr>
                              </w:pPr>
                              <w:r>
                                <w:rPr>
                                  <w:sz w:val="18"/>
                                </w:rPr>
                                <w:t>Occupancy</w:t>
                              </w:r>
                              <w:r>
                                <w:rPr>
                                  <w:spacing w:val="-1"/>
                                  <w:sz w:val="18"/>
                                </w:rPr>
                                <w:t> </w:t>
                              </w:r>
                              <w:r>
                                <w:rPr>
                                  <w:sz w:val="18"/>
                                </w:rPr>
                                <w:t>and </w:t>
                              </w:r>
                              <w:r>
                                <w:rPr>
                                  <w:spacing w:val="-2"/>
                                  <w:sz w:val="18"/>
                                </w:rPr>
                                <w:t>equipment</w:t>
                              </w:r>
                            </w:p>
                          </w:txbxContent>
                        </wps:txbx>
                        <wps:bodyPr wrap="square" lIns="0" tIns="0" rIns="0" bIns="0" rtlCol="0">
                          <a:noAutofit/>
                        </wps:bodyPr>
                      </wps:wsp>
                      <wps:wsp>
                        <wps:cNvPr id="439" name="Textbox 439"/>
                        <wps:cNvSpPr txBox="1"/>
                        <wps:spPr>
                          <a:xfrm>
                            <a:off x="2419451" y="2096007"/>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440" name="Textbox 440"/>
                        <wps:cNvSpPr txBox="1"/>
                        <wps:spPr>
                          <a:xfrm>
                            <a:off x="3238601" y="2096007"/>
                            <a:ext cx="69850" cy="127000"/>
                          </a:xfrm>
                          <a:prstGeom prst="rect">
                            <a:avLst/>
                          </a:prstGeom>
                        </wps:spPr>
                        <wps:txbx>
                          <w:txbxContent>
                            <w:p>
                              <w:pPr>
                                <w:spacing w:line="199" w:lineRule="exact" w:before="0"/>
                                <w:ind w:left="0" w:right="0" w:firstLine="0"/>
                                <w:jc w:val="left"/>
                                <w:rPr>
                                  <w:sz w:val="18"/>
                                </w:rPr>
                              </w:pPr>
                              <w:r>
                                <w:rPr>
                                  <w:spacing w:val="-10"/>
                                  <w:sz w:val="18"/>
                                </w:rPr>
                                <w:t>6</w:t>
                              </w:r>
                            </w:p>
                          </w:txbxContent>
                        </wps:txbx>
                        <wps:bodyPr wrap="square" lIns="0" tIns="0" rIns="0" bIns="0" rtlCol="0">
                          <a:noAutofit/>
                        </wps:bodyPr>
                      </wps:wsp>
                      <wps:wsp>
                        <wps:cNvPr id="441" name="Textbox 441"/>
                        <wps:cNvSpPr txBox="1"/>
                        <wps:spPr>
                          <a:xfrm>
                            <a:off x="3781488" y="2096007"/>
                            <a:ext cx="69850" cy="127000"/>
                          </a:xfrm>
                          <a:prstGeom prst="rect">
                            <a:avLst/>
                          </a:prstGeom>
                        </wps:spPr>
                        <wps:txbx>
                          <w:txbxContent>
                            <w:p>
                              <w:pPr>
                                <w:spacing w:line="199" w:lineRule="exact" w:before="0"/>
                                <w:ind w:left="0" w:right="0" w:firstLine="0"/>
                                <w:jc w:val="left"/>
                                <w:rPr>
                                  <w:sz w:val="18"/>
                                </w:rPr>
                              </w:pPr>
                              <w:r>
                                <w:rPr>
                                  <w:spacing w:val="-10"/>
                                  <w:sz w:val="18"/>
                                </w:rPr>
                                <w:t>6</w:t>
                              </w:r>
                            </w:p>
                          </w:txbxContent>
                        </wps:txbx>
                        <wps:bodyPr wrap="square" lIns="0" tIns="0" rIns="0" bIns="0" rtlCol="0">
                          <a:noAutofit/>
                        </wps:bodyPr>
                      </wps:wsp>
                      <wps:wsp>
                        <wps:cNvPr id="442" name="Textbox 442"/>
                        <wps:cNvSpPr txBox="1"/>
                        <wps:spPr>
                          <a:xfrm>
                            <a:off x="4600676" y="2096007"/>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443" name="Textbox 443"/>
                        <wps:cNvSpPr txBox="1"/>
                        <wps:spPr>
                          <a:xfrm>
                            <a:off x="5419826" y="2096007"/>
                            <a:ext cx="69850" cy="127000"/>
                          </a:xfrm>
                          <a:prstGeom prst="rect">
                            <a:avLst/>
                          </a:prstGeom>
                        </wps:spPr>
                        <wps:txbx>
                          <w:txbxContent>
                            <w:p>
                              <w:pPr>
                                <w:spacing w:line="199" w:lineRule="exact" w:before="0"/>
                                <w:ind w:left="0" w:right="0" w:firstLine="0"/>
                                <w:jc w:val="left"/>
                                <w:rPr>
                                  <w:sz w:val="18"/>
                                </w:rPr>
                              </w:pPr>
                              <w:r>
                                <w:rPr>
                                  <w:spacing w:val="-10"/>
                                  <w:sz w:val="18"/>
                                </w:rPr>
                                <w:t>2</w:t>
                              </w:r>
                            </w:p>
                          </w:txbxContent>
                        </wps:txbx>
                        <wps:bodyPr wrap="square" lIns="0" tIns="0" rIns="0" bIns="0" rtlCol="0">
                          <a:noAutofit/>
                        </wps:bodyPr>
                      </wps:wsp>
                      <wps:wsp>
                        <wps:cNvPr id="444" name="Textbox 444"/>
                        <wps:cNvSpPr txBox="1"/>
                        <wps:spPr>
                          <a:xfrm>
                            <a:off x="5962713" y="2096007"/>
                            <a:ext cx="69850" cy="127000"/>
                          </a:xfrm>
                          <a:prstGeom prst="rect">
                            <a:avLst/>
                          </a:prstGeom>
                        </wps:spPr>
                        <wps:txbx>
                          <w:txbxContent>
                            <w:p>
                              <w:pPr>
                                <w:spacing w:line="199" w:lineRule="exact" w:before="0"/>
                                <w:ind w:left="0" w:right="0" w:firstLine="0"/>
                                <w:jc w:val="left"/>
                                <w:rPr>
                                  <w:sz w:val="18"/>
                                </w:rPr>
                              </w:pPr>
                              <w:r>
                                <w:rPr>
                                  <w:spacing w:val="-10"/>
                                  <w:sz w:val="18"/>
                                </w:rPr>
                                <w:t>2</w:t>
                              </w:r>
                            </w:p>
                          </w:txbxContent>
                        </wps:txbx>
                        <wps:bodyPr wrap="square" lIns="0" tIns="0" rIns="0" bIns="0" rtlCol="0">
                          <a:noAutofit/>
                        </wps:bodyPr>
                      </wps:wsp>
                      <wps:wsp>
                        <wps:cNvPr id="445" name="Textbox 445"/>
                        <wps:cNvSpPr txBox="1"/>
                        <wps:spPr>
                          <a:xfrm>
                            <a:off x="6410388" y="2096007"/>
                            <a:ext cx="69850" cy="127000"/>
                          </a:xfrm>
                          <a:prstGeom prst="rect">
                            <a:avLst/>
                          </a:prstGeom>
                        </wps:spPr>
                        <wps:txbx>
                          <w:txbxContent>
                            <w:p>
                              <w:pPr>
                                <w:spacing w:line="199" w:lineRule="exact" w:before="0"/>
                                <w:ind w:left="0" w:right="0" w:firstLine="0"/>
                                <w:jc w:val="left"/>
                                <w:rPr>
                                  <w:sz w:val="18"/>
                                </w:rPr>
                              </w:pPr>
                              <w:r>
                                <w:rPr>
                                  <w:spacing w:val="-10"/>
                                  <w:sz w:val="18"/>
                                </w:rPr>
                                <w:t>8</w:t>
                              </w:r>
                            </w:p>
                          </w:txbxContent>
                        </wps:txbx>
                        <wps:bodyPr wrap="square" lIns="0" tIns="0" rIns="0" bIns="0" rtlCol="0">
                          <a:noAutofit/>
                        </wps:bodyPr>
                      </wps:wsp>
                      <wps:wsp>
                        <wps:cNvPr id="446" name="Textbox 446"/>
                        <wps:cNvSpPr txBox="1"/>
                        <wps:spPr>
                          <a:xfrm>
                            <a:off x="0" y="2241550"/>
                            <a:ext cx="6515100" cy="158750"/>
                          </a:xfrm>
                          <a:prstGeom prst="rect">
                            <a:avLst/>
                          </a:prstGeom>
                        </wps:spPr>
                        <wps:txbx>
                          <w:txbxContent>
                            <w:p>
                              <w:pPr>
                                <w:tabs>
                                  <w:tab w:pos="3810" w:val="left" w:leader="none"/>
                                  <w:tab w:pos="5010" w:val="left" w:leader="none"/>
                                  <w:tab w:pos="5865" w:val="left" w:leader="none"/>
                                  <w:tab w:pos="7245" w:val="left" w:leader="none"/>
                                  <w:tab w:pos="8535" w:val="left" w:leader="none"/>
                                  <w:tab w:pos="9390" w:val="left" w:leader="none"/>
                                  <w:tab w:pos="10185" w:val="right" w:leader="none"/>
                                </w:tabs>
                                <w:spacing w:before="18"/>
                                <w:ind w:left="52" w:right="0" w:firstLine="0"/>
                                <w:jc w:val="left"/>
                                <w:rPr>
                                  <w:sz w:val="18"/>
                                </w:rPr>
                              </w:pPr>
                              <w:r>
                                <w:rPr>
                                  <w:spacing w:val="-2"/>
                                  <w:sz w:val="18"/>
                                </w:rPr>
                                <w:t>Other</w:t>
                              </w:r>
                              <w:r>
                                <w:rPr>
                                  <w:sz w:val="18"/>
                                </w:rPr>
                                <w:tab/>
                              </w:r>
                              <w:r>
                                <w:rPr>
                                  <w:spacing w:val="-10"/>
                                  <w:sz w:val="18"/>
                                </w:rPr>
                                <w:t>—</w:t>
                              </w:r>
                              <w:r>
                                <w:rPr>
                                  <w:sz w:val="18"/>
                                </w:rPr>
                                <w:tab/>
                              </w:r>
                              <w:r>
                                <w:rPr>
                                  <w:spacing w:val="-5"/>
                                  <w:sz w:val="18"/>
                                </w:rPr>
                                <w:t>18</w:t>
                              </w:r>
                              <w:r>
                                <w:rPr>
                                  <w:sz w:val="18"/>
                                </w:rPr>
                                <w:tab/>
                              </w:r>
                              <w:r>
                                <w:rPr>
                                  <w:spacing w:val="-5"/>
                                  <w:sz w:val="18"/>
                                </w:rPr>
                                <w:t>18</w:t>
                              </w:r>
                              <w:r>
                                <w:rPr>
                                  <w:sz w:val="18"/>
                                </w:rPr>
                                <w:tab/>
                              </w:r>
                              <w:r>
                                <w:rPr>
                                  <w:spacing w:val="-10"/>
                                  <w:sz w:val="18"/>
                                </w:rPr>
                                <w:t>—</w:t>
                              </w:r>
                              <w:r>
                                <w:rPr>
                                  <w:sz w:val="18"/>
                                </w:rPr>
                                <w:tab/>
                              </w:r>
                              <w:r>
                                <w:rPr>
                                  <w:spacing w:val="-10"/>
                                  <w:sz w:val="18"/>
                                </w:rPr>
                                <w:t>7</w:t>
                              </w:r>
                              <w:r>
                                <w:rPr>
                                  <w:sz w:val="18"/>
                                </w:rPr>
                                <w:tab/>
                              </w:r>
                              <w:r>
                                <w:rPr>
                                  <w:spacing w:val="-10"/>
                                  <w:sz w:val="18"/>
                                </w:rPr>
                                <w:t>7</w:t>
                              </w:r>
                              <w:r>
                                <w:rPr>
                                  <w:sz w:val="18"/>
                                </w:rPr>
                                <w:tab/>
                              </w:r>
                              <w:r>
                                <w:rPr>
                                  <w:spacing w:val="-5"/>
                                  <w:sz w:val="18"/>
                                </w:rPr>
                                <w:t>25</w:t>
                              </w:r>
                            </w:p>
                          </w:txbxContent>
                        </wps:txbx>
                        <wps:bodyPr wrap="square" lIns="0" tIns="0" rIns="0" bIns="0" rtlCol="0">
                          <a:noAutofit/>
                        </wps:bodyPr>
                      </wps:wsp>
                      <wps:wsp>
                        <wps:cNvPr id="447" name="Textbox 447"/>
                        <wps:cNvSpPr txBox="1"/>
                        <wps:spPr>
                          <a:xfrm>
                            <a:off x="0" y="1920875"/>
                            <a:ext cx="6515100" cy="158750"/>
                          </a:xfrm>
                          <a:prstGeom prst="rect">
                            <a:avLst/>
                          </a:prstGeom>
                        </wps:spPr>
                        <wps:txbx>
                          <w:txbxContent>
                            <w:p>
                              <w:pPr>
                                <w:tabs>
                                  <w:tab w:pos="2812" w:val="left" w:leader="none"/>
                                  <w:tab w:pos="3810" w:val="left" w:leader="none"/>
                                  <w:tab w:pos="4192" w:val="left" w:leader="none"/>
                                  <w:tab w:pos="5010" w:val="left" w:leader="none"/>
                                  <w:tab w:pos="5392" w:val="left" w:leader="none"/>
                                  <w:tab w:pos="5865" w:val="left" w:leader="none"/>
                                  <w:tab w:pos="6247" w:val="left" w:leader="none"/>
                                  <w:tab w:pos="7335" w:val="left" w:leader="none"/>
                                  <w:tab w:pos="7627" w:val="left" w:leader="none"/>
                                  <w:tab w:pos="8445" w:val="left" w:leader="none"/>
                                  <w:tab w:pos="8827" w:val="left" w:leader="none"/>
                                  <w:tab w:pos="9390" w:val="left" w:leader="none"/>
                                  <w:tab w:pos="10005" w:val="left" w:leader="none"/>
                                </w:tabs>
                                <w:spacing w:before="13"/>
                                <w:ind w:left="52" w:right="0" w:firstLine="0"/>
                                <w:jc w:val="left"/>
                                <w:rPr>
                                  <w:sz w:val="18"/>
                                </w:rPr>
                              </w:pPr>
                              <w:r>
                                <w:rPr>
                                  <w:sz w:val="18"/>
                                </w:rPr>
                                <w:t>Compensation</w:t>
                              </w:r>
                              <w:r>
                                <w:rPr>
                                  <w:spacing w:val="-3"/>
                                  <w:sz w:val="18"/>
                                </w:rPr>
                                <w:t> </w:t>
                              </w:r>
                              <w:r>
                                <w:rPr>
                                  <w:sz w:val="18"/>
                                </w:rPr>
                                <w:t>and </w:t>
                              </w:r>
                              <w:r>
                                <w:rPr>
                                  <w:spacing w:val="-2"/>
                                  <w:sz w:val="18"/>
                                </w:rPr>
                                <w:t>benefits</w:t>
                              </w:r>
                              <w:r>
                                <w:rPr>
                                  <w:sz w:val="18"/>
                                </w:rPr>
                                <w:tab/>
                              </w:r>
                              <w:r>
                                <w:rPr>
                                  <w:spacing w:val="-10"/>
                                  <w:sz w:val="18"/>
                                </w:rPr>
                                <w:t>$</w:t>
                              </w:r>
                              <w:r>
                                <w:rPr>
                                  <w:sz w:val="18"/>
                                </w:rPr>
                                <w:tab/>
                              </w:r>
                              <w:r>
                                <w:rPr>
                                  <w:spacing w:val="-5"/>
                                  <w:sz w:val="18"/>
                                </w:rPr>
                                <w:t>20</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5"/>
                                  <w:sz w:val="18"/>
                                </w:rPr>
                                <w:t>20</w:t>
                              </w:r>
                              <w:r>
                                <w:rPr>
                                  <w:sz w:val="18"/>
                                </w:rPr>
                                <w:tab/>
                              </w:r>
                              <w:r>
                                <w:rPr>
                                  <w:spacing w:val="-10"/>
                                  <w:sz w:val="18"/>
                                </w:rPr>
                                <w:t>$</w:t>
                              </w:r>
                              <w:r>
                                <w:rPr>
                                  <w:sz w:val="18"/>
                                </w:rPr>
                                <w:tab/>
                              </w:r>
                              <w:r>
                                <w:rPr>
                                  <w:spacing w:val="-10"/>
                                  <w:sz w:val="18"/>
                                </w:rPr>
                                <w:t>3</w:t>
                              </w:r>
                              <w:r>
                                <w:rPr>
                                  <w:sz w:val="18"/>
                                </w:rPr>
                                <w:tab/>
                              </w:r>
                              <w:r>
                                <w:rPr>
                                  <w:spacing w:val="-10"/>
                                  <w:sz w:val="18"/>
                                </w:rPr>
                                <w:t>$</w:t>
                              </w:r>
                              <w:r>
                                <w:rPr>
                                  <w:sz w:val="18"/>
                                </w:rPr>
                                <w:tab/>
                              </w:r>
                              <w:r>
                                <w:rPr>
                                  <w:spacing w:val="-10"/>
                                  <w:sz w:val="18"/>
                                </w:rPr>
                                <w:t>—</w:t>
                              </w:r>
                              <w:r>
                                <w:rPr>
                                  <w:sz w:val="18"/>
                                </w:rPr>
                                <w:tab/>
                              </w:r>
                              <w:r>
                                <w:rPr>
                                  <w:spacing w:val="-10"/>
                                  <w:sz w:val="18"/>
                                </w:rPr>
                                <w:t>$</w:t>
                              </w:r>
                              <w:r>
                                <w:rPr>
                                  <w:sz w:val="18"/>
                                </w:rPr>
                                <w:tab/>
                                <w:t>3</w:t>
                              </w:r>
                              <w:r>
                                <w:rPr>
                                  <w:spacing w:val="48"/>
                                  <w:sz w:val="18"/>
                                </w:rPr>
                                <w:t>  </w:t>
                              </w:r>
                              <w:r>
                                <w:rPr>
                                  <w:spacing w:val="-10"/>
                                  <w:sz w:val="18"/>
                                </w:rPr>
                                <w:t>$</w:t>
                              </w:r>
                              <w:r>
                                <w:rPr>
                                  <w:sz w:val="18"/>
                                </w:rPr>
                                <w:tab/>
                              </w:r>
                              <w:r>
                                <w:rPr>
                                  <w:spacing w:val="-5"/>
                                  <w:sz w:val="18"/>
                                </w:rPr>
                                <w:t>23</w:t>
                              </w:r>
                            </w:p>
                          </w:txbxContent>
                        </wps:txbx>
                        <wps:bodyPr wrap="square" lIns="0" tIns="0" rIns="0" bIns="0" rtlCol="0">
                          <a:noAutofit/>
                        </wps:bodyPr>
                      </wps:wsp>
                      <wps:wsp>
                        <wps:cNvPr id="448" name="Textbox 448"/>
                        <wps:cNvSpPr txBox="1"/>
                        <wps:spPr>
                          <a:xfrm>
                            <a:off x="0" y="879475"/>
                            <a:ext cx="6515100" cy="158750"/>
                          </a:xfrm>
                          <a:prstGeom prst="rect">
                            <a:avLst/>
                          </a:prstGeom>
                        </wps:spPr>
                        <wps:txbx>
                          <w:txbxContent>
                            <w:p>
                              <w:pPr>
                                <w:tabs>
                                  <w:tab w:pos="3810" w:val="left" w:leader="none"/>
                                  <w:tab w:pos="5100" w:val="left" w:leader="none"/>
                                  <w:tab w:pos="5955" w:val="left" w:leader="none"/>
                                  <w:tab w:pos="7245" w:val="left" w:leader="none"/>
                                  <w:tab w:pos="8445" w:val="left" w:leader="none"/>
                                  <w:tab w:pos="9300" w:val="left" w:leader="none"/>
                                  <w:tab w:pos="10185" w:val="right" w:leader="none"/>
                                </w:tabs>
                                <w:spacing w:before="18"/>
                                <w:ind w:left="52" w:right="0" w:firstLine="0"/>
                                <w:jc w:val="left"/>
                                <w:rPr>
                                  <w:sz w:val="18"/>
                                </w:rPr>
                              </w:pPr>
                              <w:r>
                                <w:rPr>
                                  <w:spacing w:val="-2"/>
                                  <w:sz w:val="18"/>
                                </w:rPr>
                                <w:t>Other</w:t>
                              </w:r>
                              <w:r>
                                <w:rPr>
                                  <w:sz w:val="18"/>
                                </w:rPr>
                                <w:tab/>
                              </w:r>
                              <w:r>
                                <w:rPr>
                                  <w:spacing w:val="-10"/>
                                  <w:sz w:val="18"/>
                                </w:rPr>
                                <w:t>—</w:t>
                              </w:r>
                              <w:r>
                                <w:rPr>
                                  <w:sz w:val="18"/>
                                </w:rPr>
                                <w:tab/>
                              </w:r>
                              <w:r>
                                <w:rPr>
                                  <w:spacing w:val="-10"/>
                                  <w:sz w:val="18"/>
                                </w:rPr>
                                <w:t>4</w:t>
                              </w:r>
                              <w:r>
                                <w:rPr>
                                  <w:sz w:val="18"/>
                                </w:rPr>
                                <w:tab/>
                              </w:r>
                              <w:r>
                                <w:rPr>
                                  <w:spacing w:val="-10"/>
                                  <w:sz w:val="18"/>
                                </w:rPr>
                                <w:t>4</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4</w:t>
                              </w:r>
                            </w:p>
                          </w:txbxContent>
                        </wps:txbx>
                        <wps:bodyPr wrap="square" lIns="0" tIns="0" rIns="0" bIns="0" rtlCol="0">
                          <a:noAutofit/>
                        </wps:bodyPr>
                      </wps:wsp>
                      <wps:wsp>
                        <wps:cNvPr id="449" name="Textbox 449"/>
                        <wps:cNvSpPr txBox="1"/>
                        <wps:spPr>
                          <a:xfrm>
                            <a:off x="0" y="558800"/>
                            <a:ext cx="6515100" cy="158750"/>
                          </a:xfrm>
                          <a:prstGeom prst="rect">
                            <a:avLst/>
                          </a:prstGeom>
                        </wps:spPr>
                        <wps:txbx>
                          <w:txbxContent>
                            <w:p>
                              <w:pPr>
                                <w:tabs>
                                  <w:tab w:pos="2812" w:val="left" w:leader="none"/>
                                  <w:tab w:pos="3900" w:val="left" w:leader="none"/>
                                  <w:tab w:pos="4192" w:val="left" w:leader="none"/>
                                  <w:tab w:pos="5010" w:val="left" w:leader="none"/>
                                  <w:tab w:pos="5392" w:val="left" w:leader="none"/>
                                  <w:tab w:pos="5955" w:val="left" w:leader="none"/>
                                  <w:tab w:pos="6247" w:val="left" w:leader="none"/>
                                  <w:tab w:pos="7245" w:val="left" w:leader="none"/>
                                  <w:tab w:pos="7627" w:val="left" w:leader="none"/>
                                  <w:tab w:pos="8445" w:val="left" w:leader="none"/>
                                  <w:tab w:pos="8827" w:val="left" w:leader="none"/>
                                  <w:tab w:pos="9300" w:val="left" w:leader="none"/>
                                  <w:tab w:pos="10095" w:val="left" w:leader="none"/>
                                </w:tabs>
                                <w:spacing w:before="13"/>
                                <w:ind w:left="52" w:right="0" w:firstLine="0"/>
                                <w:jc w:val="left"/>
                                <w:rPr>
                                  <w:sz w:val="18"/>
                                </w:rPr>
                              </w:pPr>
                              <w:r>
                                <w:rPr>
                                  <w:sz w:val="18"/>
                                </w:rPr>
                                <w:t>Compensation</w:t>
                              </w:r>
                              <w:r>
                                <w:rPr>
                                  <w:spacing w:val="-3"/>
                                  <w:sz w:val="18"/>
                                </w:rPr>
                                <w:t> </w:t>
                              </w:r>
                              <w:r>
                                <w:rPr>
                                  <w:sz w:val="18"/>
                                </w:rPr>
                                <w:t>and </w:t>
                              </w:r>
                              <w:r>
                                <w:rPr>
                                  <w:spacing w:val="-2"/>
                                  <w:sz w:val="18"/>
                                </w:rPr>
                                <w:t>benefits</w:t>
                              </w:r>
                              <w:r>
                                <w:rPr>
                                  <w:sz w:val="18"/>
                                </w:rPr>
                                <w:tab/>
                              </w:r>
                              <w:r>
                                <w:rPr>
                                  <w:spacing w:val="-10"/>
                                  <w:sz w:val="18"/>
                                </w:rPr>
                                <w:t>$</w:t>
                              </w:r>
                              <w:r>
                                <w:rPr>
                                  <w:sz w:val="18"/>
                                </w:rPr>
                                <w:tab/>
                              </w:r>
                              <w:r>
                                <w:rPr>
                                  <w:spacing w:val="-10"/>
                                  <w:sz w:val="18"/>
                                </w:rPr>
                                <w:t>9</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9</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t>—</w:t>
                              </w:r>
                              <w:r>
                                <w:rPr>
                                  <w:spacing w:val="48"/>
                                  <w:sz w:val="18"/>
                                </w:rPr>
                                <w:t>  </w:t>
                              </w:r>
                              <w:r>
                                <w:rPr>
                                  <w:spacing w:val="-10"/>
                                  <w:sz w:val="18"/>
                                </w:rPr>
                                <w:t>$</w:t>
                              </w:r>
                              <w:r>
                                <w:rPr>
                                  <w:sz w:val="18"/>
                                </w:rPr>
                                <w:tab/>
                              </w:r>
                              <w:r>
                                <w:rPr>
                                  <w:spacing w:val="-10"/>
                                  <w:sz w:val="18"/>
                                </w:rPr>
                                <w:t>9</w:t>
                              </w:r>
                            </w:p>
                          </w:txbxContent>
                        </wps:txbx>
                        <wps:bodyPr wrap="square" lIns="0" tIns="0" rIns="0" bIns="0" rtlCol="0">
                          <a:noAutofit/>
                        </wps:bodyPr>
                      </wps:wsp>
                    </wpg:wgp>
                  </a:graphicData>
                </a:graphic>
              </wp:anchor>
            </w:drawing>
          </mc:Choice>
          <mc:Fallback>
            <w:pict>
              <v:group style="position:absolute;margin-left:49.5pt;margin-top:5.249219pt;width:513pt;height:189.5pt;mso-position-horizontal-relative:page;mso-position-vertical-relative:paragraph;z-index:-15700480;mso-wrap-distance-left:0;mso-wrap-distance-right:0" id="docshapegroup274" coordorigin="990,105" coordsize="10260,3790">
                <v:shape style="position:absolute;left:990;top:979;width:10260;height:2910" id="docshape275" coordorigin="990,980" coordsize="10260,2910" path="m11250,3635l990,3635,990,3890,11250,3890,11250,3635xm11250,3125l990,3125,990,3380,11250,3380,11250,3125xm11250,1490l990,1490,990,1745,11250,1745,11250,1490xm11250,980l990,980,990,1235,11250,1235,11250,980xe" filled="true" fillcolor="#ccedff" stroked="false">
                  <v:path arrowok="t"/>
                  <v:fill type="solid"/>
                </v:shape>
                <v:shape style="position:absolute;left:990;top:109;width:10260;height:2" id="docshape276" coordorigin="990,110" coordsize="10260,0" path="m11250,110l990,110e" filled="true" fillcolor="#000000" stroked="false">
                  <v:path arrowok="t"/>
                  <v:fill opacity="0f" type="solid"/>
                </v:shape>
                <v:line style="position:absolute" from="990,110" to="11250,110" stroked="true" strokeweight=".5pt" strokecolor="#000000">
                  <v:stroke dashstyle="solid"/>
                </v:line>
                <v:shape style="position:absolute;left:3750;top:364;width:3360;height:2" id="docshape277" coordorigin="3750,365" coordsize="3360,0" path="m7110,365l3750,365e" filled="true" fillcolor="#000000" stroked="false">
                  <v:path arrowok="t"/>
                  <v:fill opacity="0f" type="solid"/>
                </v:shape>
                <v:line style="position:absolute" from="3750,365" to="7110,365" stroked="true" strokeweight=".5pt" strokecolor="#000000">
                  <v:stroke dashstyle="solid"/>
                </v:line>
                <v:shape style="position:absolute;left:7185;top:364;width:3360;height:2" id="docshape278" coordorigin="7185,365" coordsize="3360,0" path="m10545,365l7185,365e" filled="true" fillcolor="#000000" stroked="false">
                  <v:path arrowok="t"/>
                  <v:fill opacity="0f" type="solid"/>
                </v:shape>
                <v:line style="position:absolute" from="7185,365" to="10545,365" stroked="true" strokeweight=".5pt" strokecolor="#000000">
                  <v:stroke dashstyle="solid"/>
                </v:line>
                <v:shape style="position:absolute;left:990;top:979;width:10260;height:2" id="docshape279" coordorigin="990,980" coordsize="10260,0" path="m11250,980l990,980e" filled="true" fillcolor="#000000" stroked="false">
                  <v:path arrowok="t"/>
                  <v:fill opacity="0f" type="solid"/>
                </v:shape>
                <v:line style="position:absolute" from="990,980" to="11250,980" stroked="true" strokeweight=".5pt" strokecolor="#000000">
                  <v:stroke dashstyle="solid"/>
                </v:line>
                <v:shape style="position:absolute;left:990;top:1744;width:10260;height:2" id="docshape280" coordorigin="990,1745" coordsize="10260,0" path="m11250,1745l990,1745e" filled="true" fillcolor="#000000" stroked="false">
                  <v:path arrowok="t"/>
                  <v:fill opacity="0f" type="solid"/>
                </v:shape>
                <v:line style="position:absolute" from="990,1745" to="11250,1745" stroked="true" strokeweight=".5pt" strokecolor="#000000">
                  <v:stroke dashstyle="solid"/>
                </v:line>
                <v:shape style="position:absolute;left:990;top:1979;width:10260;height:40" id="docshape281" coordorigin="990,1980" coordsize="10260,40" path="m990,1980l11250,1980m990,2020l11250,2020e" filled="false" stroked="true" strokeweight="1pt" strokecolor="#000000">
                  <v:path arrowok="t"/>
                  <v:stroke dashstyle="solid"/>
                </v:shape>
                <v:shape style="position:absolute;left:990;top:2254;width:10260;height:2" id="docshape282" coordorigin="990,2255" coordsize="10260,0" path="m11250,2255l990,2255e" filled="true" fillcolor="#000000" stroked="false">
                  <v:path arrowok="t"/>
                  <v:fill opacity="0f" type="solid"/>
                </v:shape>
                <v:line style="position:absolute" from="990,2255" to="11250,2255" stroked="true" strokeweight=".5pt" strokecolor="#000000">
                  <v:stroke dashstyle="solid"/>
                </v:line>
                <v:shape style="position:absolute;left:3750;top:2509;width:3360;height:2" id="docshape283" coordorigin="3750,2510" coordsize="3360,0" path="m7110,2510l3750,2510e" filled="true" fillcolor="#000000" stroked="false">
                  <v:path arrowok="t"/>
                  <v:fill opacity="0f" type="solid"/>
                </v:shape>
                <v:line style="position:absolute" from="3750,2510" to="7110,2510" stroked="true" strokeweight=".5pt" strokecolor="#000000">
                  <v:stroke dashstyle="solid"/>
                </v:line>
                <v:shape style="position:absolute;left:7185;top:2509;width:3360;height:2" id="docshape284" coordorigin="7185,2510" coordsize="3360,0" path="m10545,2510l7185,2510e" filled="true" fillcolor="#000000" stroked="false">
                  <v:path arrowok="t"/>
                  <v:fill opacity="0f" type="solid"/>
                </v:shape>
                <v:line style="position:absolute" from="7185,2510" to="10545,2510" stroked="true" strokeweight=".5pt" strokecolor="#000000">
                  <v:stroke dashstyle="solid"/>
                </v:line>
                <v:shape style="position:absolute;left:990;top:3124;width:10260;height:2" id="docshape285" coordorigin="990,3125" coordsize="10260,0" path="m11250,3125l990,3125e" filled="true" fillcolor="#000000" stroked="false">
                  <v:path arrowok="t"/>
                  <v:fill opacity="0f" type="solid"/>
                </v:shape>
                <v:line style="position:absolute" from="990,3125" to="11250,3125" stroked="true" strokeweight=".5pt" strokecolor="#000000">
                  <v:stroke dashstyle="solid"/>
                </v:line>
                <v:shape style="position:absolute;left:990;top:3889;width:10260;height:2" id="docshape286" coordorigin="990,3890" coordsize="10260,0" path="m11250,3890l990,3890e" filled="true" fillcolor="#000000" stroked="false">
                  <v:path arrowok="t"/>
                  <v:fill opacity="0f" type="solid"/>
                </v:shape>
                <v:line style="position:absolute" from="990,3890" to="11250,3890" stroked="true" strokeweight=".5pt" strokecolor="#000000">
                  <v:stroke dashstyle="solid"/>
                </v:line>
                <v:shape style="position:absolute;left:4808;top:135;width:1265;height:200" type="#_x0000_t202" id="docshape287" filled="false" stroked="false">
                  <v:textbox inset="0,0,0,0">
                    <w:txbxContent>
                      <w:p>
                        <w:pPr>
                          <w:spacing w:line="199" w:lineRule="exact" w:before="0"/>
                          <w:ind w:left="0" w:right="0" w:firstLine="0"/>
                          <w:jc w:val="left"/>
                          <w:rPr>
                            <w:sz w:val="18"/>
                          </w:rPr>
                        </w:pPr>
                        <w:r>
                          <w:rPr>
                            <w:sz w:val="18"/>
                          </w:rPr>
                          <w:t>Investor</w:t>
                        </w:r>
                        <w:r>
                          <w:rPr>
                            <w:spacing w:val="-1"/>
                            <w:sz w:val="18"/>
                          </w:rPr>
                          <w:t> </w:t>
                        </w:r>
                        <w:r>
                          <w:rPr>
                            <w:spacing w:val="-2"/>
                            <w:sz w:val="18"/>
                          </w:rPr>
                          <w:t>Services</w:t>
                        </w:r>
                      </w:p>
                    </w:txbxContent>
                  </v:textbox>
                  <w10:wrap type="none"/>
                </v:shape>
                <v:shape style="position:absolute;left:8248;top:135;width:1255;height:200" type="#_x0000_t202" id="docshape288" filled="false" stroked="false">
                  <v:textbox inset="0,0,0,0">
                    <w:txbxContent>
                      <w:p>
                        <w:pPr>
                          <w:spacing w:line="199" w:lineRule="exact" w:before="0"/>
                          <w:ind w:left="0" w:right="0" w:firstLine="0"/>
                          <w:jc w:val="left"/>
                          <w:rPr>
                            <w:sz w:val="18"/>
                          </w:rPr>
                        </w:pPr>
                        <w:r>
                          <w:rPr>
                            <w:sz w:val="18"/>
                          </w:rPr>
                          <w:t>Advisor</w:t>
                        </w:r>
                        <w:r>
                          <w:rPr>
                            <w:spacing w:val="-2"/>
                            <w:sz w:val="18"/>
                          </w:rPr>
                          <w:t> Services</w:t>
                        </w:r>
                      </w:p>
                    </w:txbxContent>
                  </v:textbox>
                  <w10:wrap type="none"/>
                </v:shape>
                <v:shape style="position:absolute;left:1042;top:390;width:10095;height:560" type="#_x0000_t202" id="docshape289" filled="false" stroked="false">
                  <v:textbox inset="0,0,0,0">
                    <w:txbxContent>
                      <w:p>
                        <w:pPr>
                          <w:tabs>
                            <w:tab w:pos="4202" w:val="left" w:leader="none"/>
                            <w:tab w:pos="5372" w:val="left" w:leader="none"/>
                            <w:tab w:pos="6274" w:val="left" w:leader="none"/>
                            <w:tab w:pos="6430" w:val="left" w:leader="none"/>
                            <w:tab w:pos="7637" w:val="left" w:leader="none"/>
                            <w:tab w:pos="8807" w:val="left" w:leader="none"/>
                          </w:tabs>
                          <w:spacing w:line="208" w:lineRule="auto" w:before="14"/>
                          <w:ind w:left="2840" w:right="675" w:firstLine="155"/>
                          <w:jc w:val="left"/>
                          <w:rPr>
                            <w:sz w:val="18"/>
                          </w:rPr>
                        </w:pPr>
                        <w:r>
                          <w:rPr>
                            <w:spacing w:val="-2"/>
                            <w:sz w:val="18"/>
                          </w:rPr>
                          <w:t>Employee</w:t>
                        </w:r>
                        <w:r>
                          <w:rPr>
                            <w:sz w:val="18"/>
                          </w:rPr>
                          <w:tab/>
                          <w:tab/>
                        </w:r>
                        <w:r>
                          <w:rPr>
                            <w:spacing w:val="-36"/>
                            <w:sz w:val="18"/>
                          </w:rPr>
                          <w:t> </w:t>
                        </w:r>
                        <w:r>
                          <w:rPr>
                            <w:spacing w:val="-2"/>
                            <w:sz w:val="18"/>
                          </w:rPr>
                          <w:t>Investor</w:t>
                        </w:r>
                        <w:r>
                          <w:rPr>
                            <w:sz w:val="18"/>
                          </w:rPr>
                          <w:tab/>
                          <w:tab/>
                        </w:r>
                        <w:r>
                          <w:rPr>
                            <w:spacing w:val="-2"/>
                            <w:sz w:val="18"/>
                          </w:rPr>
                          <w:t>Employee</w:t>
                        </w:r>
                        <w:r>
                          <w:rPr>
                            <w:sz w:val="18"/>
                          </w:rPr>
                          <w:tab/>
                          <w:tab/>
                        </w:r>
                        <w:r>
                          <w:rPr>
                            <w:spacing w:val="-31"/>
                            <w:sz w:val="18"/>
                          </w:rPr>
                          <w:t> </w:t>
                        </w:r>
                        <w:r>
                          <w:rPr>
                            <w:sz w:val="18"/>
                          </w:rPr>
                          <w:t>Advisor </w:t>
                        </w:r>
                        <w:r>
                          <w:rPr>
                            <w:spacing w:val="-2"/>
                            <w:sz w:val="18"/>
                          </w:rPr>
                          <w:t>Compensation</w:t>
                        </w:r>
                        <w:r>
                          <w:rPr>
                            <w:sz w:val="18"/>
                          </w:rPr>
                          <w:tab/>
                          <w:t>Facility</w:t>
                        </w:r>
                        <w:r>
                          <w:rPr>
                            <w:spacing w:val="-1"/>
                            <w:sz w:val="18"/>
                          </w:rPr>
                          <w:t> </w:t>
                        </w:r>
                        <w:r>
                          <w:rPr>
                            <w:spacing w:val="-4"/>
                            <w:sz w:val="18"/>
                          </w:rPr>
                          <w:t>Exit</w:t>
                        </w:r>
                        <w:r>
                          <w:rPr>
                            <w:sz w:val="18"/>
                          </w:rPr>
                          <w:tab/>
                        </w:r>
                        <w:r>
                          <w:rPr>
                            <w:spacing w:val="-2"/>
                            <w:sz w:val="18"/>
                          </w:rPr>
                          <w:t>Services</w:t>
                        </w:r>
                        <w:r>
                          <w:rPr>
                            <w:sz w:val="18"/>
                          </w:rPr>
                          <w:tab/>
                        </w:r>
                        <w:r>
                          <w:rPr>
                            <w:spacing w:val="-2"/>
                            <w:sz w:val="18"/>
                          </w:rPr>
                          <w:t>Compensation</w:t>
                        </w:r>
                        <w:r>
                          <w:rPr>
                            <w:sz w:val="18"/>
                          </w:rPr>
                          <w:tab/>
                          <w:t>Facility</w:t>
                        </w:r>
                        <w:r>
                          <w:rPr>
                            <w:spacing w:val="-3"/>
                            <w:sz w:val="18"/>
                          </w:rPr>
                          <w:t> </w:t>
                        </w:r>
                        <w:r>
                          <w:rPr>
                            <w:spacing w:val="-4"/>
                            <w:sz w:val="18"/>
                          </w:rPr>
                          <w:t>Exit</w:t>
                        </w:r>
                        <w:r>
                          <w:rPr>
                            <w:sz w:val="18"/>
                          </w:rPr>
                          <w:tab/>
                        </w:r>
                        <w:r>
                          <w:rPr>
                            <w:spacing w:val="-2"/>
                            <w:sz w:val="18"/>
                          </w:rPr>
                          <w:t>Services</w:t>
                        </w:r>
                      </w:p>
                      <w:p>
                        <w:pPr>
                          <w:tabs>
                            <w:tab w:pos="2907" w:val="left" w:leader="none"/>
                            <w:tab w:pos="4359" w:val="left" w:leader="none"/>
                            <w:tab w:pos="5487" w:val="left" w:leader="none"/>
                            <w:tab w:pos="6342" w:val="left" w:leader="none"/>
                            <w:tab w:pos="7794" w:val="left" w:leader="none"/>
                            <w:tab w:pos="8922" w:val="left" w:leader="none"/>
                            <w:tab w:pos="9694" w:val="left" w:leader="none"/>
                          </w:tabs>
                          <w:spacing w:line="185" w:lineRule="exact" w:before="0"/>
                          <w:ind w:left="0" w:right="0" w:firstLine="0"/>
                          <w:jc w:val="left"/>
                          <w:rPr>
                            <w:sz w:val="18"/>
                          </w:rPr>
                        </w:pPr>
                        <w:r>
                          <w:rPr>
                            <w:sz w:val="18"/>
                          </w:rPr>
                          <w:t>Three</w:t>
                        </w:r>
                        <w:r>
                          <w:rPr>
                            <w:spacing w:val="-1"/>
                            <w:sz w:val="18"/>
                          </w:rPr>
                          <w:t> </w:t>
                        </w:r>
                        <w:r>
                          <w:rPr>
                            <w:sz w:val="18"/>
                          </w:rPr>
                          <w:t>Months</w:t>
                        </w:r>
                        <w:r>
                          <w:rPr>
                            <w:spacing w:val="-1"/>
                            <w:sz w:val="18"/>
                          </w:rPr>
                          <w:t> </w:t>
                        </w:r>
                        <w:r>
                          <w:rPr>
                            <w:sz w:val="18"/>
                          </w:rPr>
                          <w:t>Ended</w:t>
                        </w:r>
                        <w:r>
                          <w:rPr>
                            <w:spacing w:val="-1"/>
                            <w:sz w:val="18"/>
                          </w:rPr>
                          <w:t> </w:t>
                        </w:r>
                        <w:r>
                          <w:rPr>
                            <w:sz w:val="18"/>
                          </w:rPr>
                          <w:t>September </w:t>
                        </w:r>
                        <w:r>
                          <w:rPr>
                            <w:spacing w:val="-5"/>
                            <w:sz w:val="18"/>
                          </w:rPr>
                          <w:t>30,</w:t>
                        </w:r>
                        <w:r>
                          <w:rPr>
                            <w:sz w:val="18"/>
                          </w:rPr>
                          <w:tab/>
                          <w:t>and</w:t>
                        </w:r>
                        <w:r>
                          <w:rPr>
                            <w:spacing w:val="-2"/>
                            <w:sz w:val="18"/>
                          </w:rPr>
                          <w:t> Benefits</w:t>
                        </w:r>
                        <w:r>
                          <w:rPr>
                            <w:sz w:val="18"/>
                          </w:rPr>
                          <w:tab/>
                          <w:t>Costs</w:t>
                        </w:r>
                        <w:r>
                          <w:rPr>
                            <w:spacing w:val="-4"/>
                            <w:sz w:val="18"/>
                          </w:rPr>
                          <w:t> </w:t>
                        </w:r>
                        <w:r>
                          <w:rPr>
                            <w:spacing w:val="-5"/>
                            <w:sz w:val="18"/>
                            <w:vertAlign w:val="superscript"/>
                          </w:rPr>
                          <w:t>(1)</w:t>
                        </w:r>
                        <w:r>
                          <w:rPr>
                            <w:sz w:val="18"/>
                            <w:vertAlign w:val="baseline"/>
                          </w:rPr>
                          <w:tab/>
                        </w:r>
                        <w:r>
                          <w:rPr>
                            <w:spacing w:val="-2"/>
                            <w:sz w:val="18"/>
                            <w:vertAlign w:val="baseline"/>
                          </w:rPr>
                          <w:t>Total</w:t>
                        </w:r>
                        <w:r>
                          <w:rPr>
                            <w:sz w:val="18"/>
                            <w:vertAlign w:val="baseline"/>
                          </w:rPr>
                          <w:tab/>
                          <w:t>and</w:t>
                        </w:r>
                        <w:r>
                          <w:rPr>
                            <w:spacing w:val="-2"/>
                            <w:sz w:val="18"/>
                            <w:vertAlign w:val="baseline"/>
                          </w:rPr>
                          <w:t> Benefits</w:t>
                        </w:r>
                        <w:r>
                          <w:rPr>
                            <w:sz w:val="18"/>
                            <w:vertAlign w:val="baseline"/>
                          </w:rPr>
                          <w:tab/>
                          <w:t>Costs</w:t>
                        </w:r>
                        <w:r>
                          <w:rPr>
                            <w:spacing w:val="-4"/>
                            <w:sz w:val="18"/>
                            <w:vertAlign w:val="baseline"/>
                          </w:rPr>
                          <w:t> </w:t>
                        </w:r>
                        <w:r>
                          <w:rPr>
                            <w:spacing w:val="-5"/>
                            <w:sz w:val="18"/>
                            <w:vertAlign w:val="superscript"/>
                          </w:rPr>
                          <w:t>(1)</w:t>
                        </w:r>
                        <w:r>
                          <w:rPr>
                            <w:sz w:val="18"/>
                            <w:vertAlign w:val="baseline"/>
                          </w:rPr>
                          <w:tab/>
                        </w:r>
                        <w:r>
                          <w:rPr>
                            <w:spacing w:val="-2"/>
                            <w:sz w:val="18"/>
                            <w:vertAlign w:val="baseline"/>
                          </w:rPr>
                          <w:t>Total</w:t>
                        </w:r>
                        <w:r>
                          <w:rPr>
                            <w:sz w:val="18"/>
                            <w:vertAlign w:val="baseline"/>
                          </w:rPr>
                          <w:tab/>
                        </w:r>
                        <w:r>
                          <w:rPr>
                            <w:spacing w:val="-2"/>
                            <w:sz w:val="18"/>
                            <w:vertAlign w:val="baseline"/>
                          </w:rPr>
                          <w:t>Total</w:t>
                        </w:r>
                      </w:p>
                    </w:txbxContent>
                  </v:textbox>
                  <w10:wrap type="none"/>
                </v:shape>
                <v:shape style="position:absolute;left:1042;top:1260;width:1940;height:200" type="#_x0000_t202" id="docshape290" filled="false" stroked="false">
                  <v:textbox inset="0,0,0,0">
                    <w:txbxContent>
                      <w:p>
                        <w:pPr>
                          <w:spacing w:line="199" w:lineRule="exact" w:before="0"/>
                          <w:ind w:left="0" w:right="0" w:firstLine="0"/>
                          <w:jc w:val="left"/>
                          <w:rPr>
                            <w:sz w:val="18"/>
                          </w:rPr>
                        </w:pPr>
                        <w:r>
                          <w:rPr>
                            <w:sz w:val="18"/>
                          </w:rPr>
                          <w:t>Occupancy</w:t>
                        </w:r>
                        <w:r>
                          <w:rPr>
                            <w:spacing w:val="-1"/>
                            <w:sz w:val="18"/>
                          </w:rPr>
                          <w:t> </w:t>
                        </w:r>
                        <w:r>
                          <w:rPr>
                            <w:sz w:val="18"/>
                          </w:rPr>
                          <w:t>and </w:t>
                        </w:r>
                        <w:r>
                          <w:rPr>
                            <w:spacing w:val="-2"/>
                            <w:sz w:val="18"/>
                          </w:rPr>
                          <w:t>equipment</w:t>
                        </w:r>
                      </w:p>
                    </w:txbxContent>
                  </v:textbox>
                  <w10:wrap type="none"/>
                </v:shape>
                <v:shape style="position:absolute;left:4800;top:1260;width:200;height:200" type="#_x0000_t202" id="docshape291"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6090;top:1260;width:110;height:200" type="#_x0000_t202" id="docshape292" filled="false" stroked="false">
                  <v:textbox inset="0,0,0,0">
                    <w:txbxContent>
                      <w:p>
                        <w:pPr>
                          <w:spacing w:line="199" w:lineRule="exact" w:before="0"/>
                          <w:ind w:left="0" w:right="0" w:firstLine="0"/>
                          <w:jc w:val="left"/>
                          <w:rPr>
                            <w:sz w:val="18"/>
                          </w:rPr>
                        </w:pPr>
                        <w:r>
                          <w:rPr>
                            <w:spacing w:val="-10"/>
                            <w:sz w:val="18"/>
                          </w:rPr>
                          <w:t>3</w:t>
                        </w:r>
                      </w:p>
                    </w:txbxContent>
                  </v:textbox>
                  <w10:wrap type="none"/>
                </v:shape>
                <v:shape style="position:absolute;left:6945;top:1260;width:110;height:200" type="#_x0000_t202" id="docshape293" filled="false" stroked="false">
                  <v:textbox inset="0,0,0,0">
                    <w:txbxContent>
                      <w:p>
                        <w:pPr>
                          <w:spacing w:line="199" w:lineRule="exact" w:before="0"/>
                          <w:ind w:left="0" w:right="0" w:firstLine="0"/>
                          <w:jc w:val="left"/>
                          <w:rPr>
                            <w:sz w:val="18"/>
                          </w:rPr>
                        </w:pPr>
                        <w:r>
                          <w:rPr>
                            <w:spacing w:val="-10"/>
                            <w:sz w:val="18"/>
                          </w:rPr>
                          <w:t>3</w:t>
                        </w:r>
                      </w:p>
                    </w:txbxContent>
                  </v:textbox>
                  <w10:wrap type="none"/>
                </v:shape>
                <v:shape style="position:absolute;left:8235;top:1260;width:200;height:200" type="#_x0000_t202" id="docshape294"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9435;top:1260;width:200;height:200" type="#_x0000_t202" id="docshape295"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10290;top:1260;width:200;height:200" type="#_x0000_t202" id="docshape296"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11085;top:1260;width:110;height:200" type="#_x0000_t202" id="docshape297" filled="false" stroked="false">
                  <v:textbox inset="0,0,0,0">
                    <w:txbxContent>
                      <w:p>
                        <w:pPr>
                          <w:spacing w:line="199" w:lineRule="exact" w:before="0"/>
                          <w:ind w:left="0" w:right="0" w:firstLine="0"/>
                          <w:jc w:val="left"/>
                          <w:rPr>
                            <w:sz w:val="18"/>
                          </w:rPr>
                        </w:pPr>
                        <w:r>
                          <w:rPr>
                            <w:spacing w:val="-10"/>
                            <w:sz w:val="18"/>
                          </w:rPr>
                          <w:t>3</w:t>
                        </w:r>
                      </w:p>
                    </w:txbxContent>
                  </v:textbox>
                  <w10:wrap type="none"/>
                </v:shape>
                <v:shape style="position:absolute;left:1162;top:1770;width:400;height:200" type="#_x0000_t202" id="docshape298" filled="false" stroked="false">
                  <v:textbox inset="0,0,0,0">
                    <w:txbxContent>
                      <w:p>
                        <w:pPr>
                          <w:spacing w:line="199" w:lineRule="exact" w:before="0"/>
                          <w:ind w:left="0" w:right="0" w:firstLine="0"/>
                          <w:jc w:val="left"/>
                          <w:rPr>
                            <w:sz w:val="18"/>
                          </w:rPr>
                        </w:pPr>
                        <w:r>
                          <w:rPr>
                            <w:spacing w:val="-2"/>
                            <w:sz w:val="18"/>
                          </w:rPr>
                          <w:t>Total</w:t>
                        </w:r>
                      </w:p>
                    </w:txbxContent>
                  </v:textbox>
                  <w10:wrap type="none"/>
                </v:shape>
                <v:shape style="position:absolute;left:3802;top:1770;width:110;height:200" type="#_x0000_t202" id="docshape299"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4890;top:1770;width:403;height:200" type="#_x0000_t202" id="docshape300" filled="false" stroked="false">
                  <v:textbox inset="0,0,0,0">
                    <w:txbxContent>
                      <w:p>
                        <w:pPr>
                          <w:tabs>
                            <w:tab w:pos="292" w:val="left" w:leader="none"/>
                          </w:tabs>
                          <w:spacing w:line="199" w:lineRule="exact" w:before="0"/>
                          <w:ind w:left="0" w:right="0" w:firstLine="0"/>
                          <w:jc w:val="left"/>
                          <w:rPr>
                            <w:sz w:val="18"/>
                          </w:rPr>
                        </w:pPr>
                        <w:r>
                          <w:rPr>
                            <w:spacing w:val="-10"/>
                            <w:sz w:val="18"/>
                          </w:rPr>
                          <w:t>9</w:t>
                        </w:r>
                        <w:r>
                          <w:rPr>
                            <w:sz w:val="18"/>
                          </w:rPr>
                          <w:tab/>
                        </w:r>
                        <w:r>
                          <w:rPr>
                            <w:spacing w:val="-10"/>
                            <w:sz w:val="18"/>
                          </w:rPr>
                          <w:t>$</w:t>
                        </w:r>
                      </w:p>
                    </w:txbxContent>
                  </v:textbox>
                  <w10:wrap type="none"/>
                </v:shape>
                <v:shape style="position:absolute;left:6090;top:1770;width:1258;height:200" type="#_x0000_t202" id="docshape301" filled="false" stroked="false">
                  <v:textbox inset="0,0,0,0">
                    <w:txbxContent>
                      <w:p>
                        <w:pPr>
                          <w:tabs>
                            <w:tab w:pos="292" w:val="left" w:leader="none"/>
                            <w:tab w:pos="764" w:val="left" w:leader="none"/>
                            <w:tab w:pos="1147" w:val="left" w:leader="none"/>
                          </w:tabs>
                          <w:spacing w:line="199" w:lineRule="exact" w:before="0"/>
                          <w:ind w:left="0" w:right="0" w:firstLine="0"/>
                          <w:jc w:val="left"/>
                          <w:rPr>
                            <w:sz w:val="18"/>
                          </w:rPr>
                        </w:pPr>
                        <w:r>
                          <w:rPr>
                            <w:spacing w:val="-10"/>
                            <w:sz w:val="18"/>
                          </w:rPr>
                          <w:t>7</w:t>
                        </w:r>
                        <w:r>
                          <w:rPr>
                            <w:sz w:val="18"/>
                          </w:rPr>
                          <w:tab/>
                        </w:r>
                        <w:r>
                          <w:rPr>
                            <w:spacing w:val="-10"/>
                            <w:sz w:val="18"/>
                          </w:rPr>
                          <w:t>$</w:t>
                        </w:r>
                        <w:r>
                          <w:rPr>
                            <w:sz w:val="18"/>
                          </w:rPr>
                          <w:tab/>
                        </w:r>
                        <w:r>
                          <w:rPr>
                            <w:spacing w:val="-5"/>
                            <w:sz w:val="18"/>
                          </w:rPr>
                          <w:t>16</w:t>
                        </w:r>
                        <w:r>
                          <w:rPr>
                            <w:sz w:val="18"/>
                          </w:rPr>
                          <w:tab/>
                        </w:r>
                        <w:r>
                          <w:rPr>
                            <w:spacing w:val="-10"/>
                            <w:sz w:val="18"/>
                          </w:rPr>
                          <w:t>$</w:t>
                        </w:r>
                      </w:p>
                    </w:txbxContent>
                  </v:textbox>
                  <w10:wrap type="none"/>
                </v:shape>
                <v:shape style="position:absolute;left:8235;top:1770;width:493;height:200" type="#_x0000_t202" id="docshape302" filled="false" stroked="false">
                  <v:textbox inset="0,0,0,0">
                    <w:txbxContent>
                      <w:p>
                        <w:pPr>
                          <w:tabs>
                            <w:tab w:pos="382" w:val="left" w:leader="none"/>
                          </w:tabs>
                          <w:spacing w:line="199" w:lineRule="exact" w:before="0"/>
                          <w:ind w:left="0" w:right="0" w:firstLine="0"/>
                          <w:jc w:val="left"/>
                          <w:rPr>
                            <w:sz w:val="18"/>
                          </w:rPr>
                        </w:pPr>
                        <w:r>
                          <w:rPr>
                            <w:spacing w:val="-10"/>
                            <w:sz w:val="18"/>
                          </w:rPr>
                          <w:t>—</w:t>
                        </w:r>
                        <w:r>
                          <w:rPr>
                            <w:sz w:val="18"/>
                          </w:rPr>
                          <w:tab/>
                        </w:r>
                        <w:r>
                          <w:rPr>
                            <w:spacing w:val="-10"/>
                            <w:sz w:val="18"/>
                          </w:rPr>
                          <w:t>$</w:t>
                        </w:r>
                      </w:p>
                    </w:txbxContent>
                  </v:textbox>
                  <w10:wrap type="none"/>
                </v:shape>
                <v:shape style="position:absolute;left:9435;top:1770;width:1760;height:200" type="#_x0000_t202" id="docshape303" filled="false" stroked="false">
                  <v:textbox inset="0,0,0,0">
                    <w:txbxContent>
                      <w:p>
                        <w:pPr>
                          <w:tabs>
                            <w:tab w:pos="382" w:val="left" w:leader="none"/>
                            <w:tab w:pos="854" w:val="left" w:leader="none"/>
                            <w:tab w:pos="1559" w:val="left" w:leader="none"/>
                          </w:tabs>
                          <w:spacing w:line="199" w:lineRule="exact" w:before="0"/>
                          <w:ind w:left="0" w:right="0" w:firstLine="0"/>
                          <w:jc w:val="left"/>
                          <w:rPr>
                            <w:sz w:val="18"/>
                          </w:rPr>
                        </w:pPr>
                        <w:r>
                          <w:rPr>
                            <w:spacing w:val="-10"/>
                            <w:sz w:val="18"/>
                          </w:rPr>
                          <w:t>—</w:t>
                        </w:r>
                        <w:r>
                          <w:rPr>
                            <w:sz w:val="18"/>
                          </w:rPr>
                          <w:tab/>
                        </w:r>
                        <w:r>
                          <w:rPr>
                            <w:spacing w:val="-10"/>
                            <w:sz w:val="18"/>
                          </w:rPr>
                          <w:t>$</w:t>
                        </w:r>
                        <w:r>
                          <w:rPr>
                            <w:sz w:val="18"/>
                          </w:rPr>
                          <w:tab/>
                          <w:t>—</w:t>
                        </w:r>
                        <w:r>
                          <w:rPr>
                            <w:spacing w:val="48"/>
                            <w:sz w:val="18"/>
                          </w:rPr>
                          <w:t>  </w:t>
                        </w:r>
                        <w:r>
                          <w:rPr>
                            <w:spacing w:val="-10"/>
                            <w:sz w:val="18"/>
                          </w:rPr>
                          <w:t>$</w:t>
                        </w:r>
                        <w:r>
                          <w:rPr>
                            <w:sz w:val="18"/>
                          </w:rPr>
                          <w:tab/>
                        </w:r>
                        <w:r>
                          <w:rPr>
                            <w:spacing w:val="-5"/>
                            <w:sz w:val="18"/>
                          </w:rPr>
                          <w:t>16</w:t>
                        </w:r>
                      </w:p>
                    </w:txbxContent>
                  </v:textbox>
                  <w10:wrap type="none"/>
                </v:shape>
                <v:shape style="position:absolute;left:4808;top:2280;width:1265;height:200" type="#_x0000_t202" id="docshape304" filled="false" stroked="false">
                  <v:textbox inset="0,0,0,0">
                    <w:txbxContent>
                      <w:p>
                        <w:pPr>
                          <w:spacing w:line="199" w:lineRule="exact" w:before="0"/>
                          <w:ind w:left="0" w:right="0" w:firstLine="0"/>
                          <w:jc w:val="left"/>
                          <w:rPr>
                            <w:sz w:val="18"/>
                          </w:rPr>
                        </w:pPr>
                        <w:r>
                          <w:rPr>
                            <w:sz w:val="18"/>
                          </w:rPr>
                          <w:t>Investor</w:t>
                        </w:r>
                        <w:r>
                          <w:rPr>
                            <w:spacing w:val="-1"/>
                            <w:sz w:val="18"/>
                          </w:rPr>
                          <w:t> </w:t>
                        </w:r>
                        <w:r>
                          <w:rPr>
                            <w:spacing w:val="-2"/>
                            <w:sz w:val="18"/>
                          </w:rPr>
                          <w:t>Services</w:t>
                        </w:r>
                      </w:p>
                    </w:txbxContent>
                  </v:textbox>
                  <w10:wrap type="none"/>
                </v:shape>
                <v:shape style="position:absolute;left:8248;top:2280;width:1255;height:200" type="#_x0000_t202" id="docshape305" filled="false" stroked="false">
                  <v:textbox inset="0,0,0,0">
                    <w:txbxContent>
                      <w:p>
                        <w:pPr>
                          <w:spacing w:line="199" w:lineRule="exact" w:before="0"/>
                          <w:ind w:left="0" w:right="0" w:firstLine="0"/>
                          <w:jc w:val="left"/>
                          <w:rPr>
                            <w:sz w:val="18"/>
                          </w:rPr>
                        </w:pPr>
                        <w:r>
                          <w:rPr>
                            <w:sz w:val="18"/>
                          </w:rPr>
                          <w:t>Advisor</w:t>
                        </w:r>
                        <w:r>
                          <w:rPr>
                            <w:spacing w:val="-2"/>
                            <w:sz w:val="18"/>
                          </w:rPr>
                          <w:t> Services</w:t>
                        </w:r>
                      </w:p>
                    </w:txbxContent>
                  </v:textbox>
                  <w10:wrap type="none"/>
                </v:shape>
                <v:shape style="position:absolute;left:1042;top:2535;width:10095;height:560" type="#_x0000_t202" id="docshape306" filled="false" stroked="false">
                  <v:textbox inset="0,0,0,0">
                    <w:txbxContent>
                      <w:p>
                        <w:pPr>
                          <w:tabs>
                            <w:tab w:pos="4202" w:val="left" w:leader="none"/>
                            <w:tab w:pos="5372" w:val="left" w:leader="none"/>
                            <w:tab w:pos="6274" w:val="left" w:leader="none"/>
                            <w:tab w:pos="6430" w:val="left" w:leader="none"/>
                            <w:tab w:pos="7637" w:val="left" w:leader="none"/>
                            <w:tab w:pos="8807" w:val="left" w:leader="none"/>
                          </w:tabs>
                          <w:spacing w:line="208" w:lineRule="auto" w:before="14"/>
                          <w:ind w:left="2840" w:right="675" w:firstLine="155"/>
                          <w:jc w:val="left"/>
                          <w:rPr>
                            <w:sz w:val="18"/>
                          </w:rPr>
                        </w:pPr>
                        <w:r>
                          <w:rPr>
                            <w:spacing w:val="-2"/>
                            <w:sz w:val="18"/>
                          </w:rPr>
                          <w:t>Employee</w:t>
                        </w:r>
                        <w:r>
                          <w:rPr>
                            <w:sz w:val="18"/>
                          </w:rPr>
                          <w:tab/>
                          <w:tab/>
                        </w:r>
                        <w:r>
                          <w:rPr>
                            <w:spacing w:val="-36"/>
                            <w:sz w:val="18"/>
                          </w:rPr>
                          <w:t> </w:t>
                        </w:r>
                        <w:r>
                          <w:rPr>
                            <w:spacing w:val="-2"/>
                            <w:sz w:val="18"/>
                          </w:rPr>
                          <w:t>Investor</w:t>
                        </w:r>
                        <w:r>
                          <w:rPr>
                            <w:sz w:val="18"/>
                          </w:rPr>
                          <w:tab/>
                          <w:tab/>
                        </w:r>
                        <w:r>
                          <w:rPr>
                            <w:spacing w:val="-2"/>
                            <w:sz w:val="18"/>
                          </w:rPr>
                          <w:t>Employee</w:t>
                        </w:r>
                        <w:r>
                          <w:rPr>
                            <w:sz w:val="18"/>
                          </w:rPr>
                          <w:tab/>
                          <w:tab/>
                        </w:r>
                        <w:r>
                          <w:rPr>
                            <w:spacing w:val="-31"/>
                            <w:sz w:val="18"/>
                          </w:rPr>
                          <w:t> </w:t>
                        </w:r>
                        <w:r>
                          <w:rPr>
                            <w:sz w:val="18"/>
                          </w:rPr>
                          <w:t>Advisor </w:t>
                        </w:r>
                        <w:r>
                          <w:rPr>
                            <w:spacing w:val="-2"/>
                            <w:sz w:val="18"/>
                          </w:rPr>
                          <w:t>Compensation</w:t>
                        </w:r>
                        <w:r>
                          <w:rPr>
                            <w:sz w:val="18"/>
                          </w:rPr>
                          <w:tab/>
                          <w:t>Facility</w:t>
                        </w:r>
                        <w:r>
                          <w:rPr>
                            <w:spacing w:val="-1"/>
                            <w:sz w:val="18"/>
                          </w:rPr>
                          <w:t> </w:t>
                        </w:r>
                        <w:r>
                          <w:rPr>
                            <w:spacing w:val="-4"/>
                            <w:sz w:val="18"/>
                          </w:rPr>
                          <w:t>Exit</w:t>
                        </w:r>
                        <w:r>
                          <w:rPr>
                            <w:sz w:val="18"/>
                          </w:rPr>
                          <w:tab/>
                        </w:r>
                        <w:r>
                          <w:rPr>
                            <w:spacing w:val="-2"/>
                            <w:sz w:val="18"/>
                          </w:rPr>
                          <w:t>Services</w:t>
                        </w:r>
                        <w:r>
                          <w:rPr>
                            <w:sz w:val="18"/>
                          </w:rPr>
                          <w:tab/>
                        </w:r>
                        <w:r>
                          <w:rPr>
                            <w:spacing w:val="-2"/>
                            <w:sz w:val="18"/>
                          </w:rPr>
                          <w:t>Compensation</w:t>
                        </w:r>
                        <w:r>
                          <w:rPr>
                            <w:sz w:val="18"/>
                          </w:rPr>
                          <w:tab/>
                          <w:t>Facility</w:t>
                        </w:r>
                        <w:r>
                          <w:rPr>
                            <w:spacing w:val="-3"/>
                            <w:sz w:val="18"/>
                          </w:rPr>
                          <w:t> </w:t>
                        </w:r>
                        <w:r>
                          <w:rPr>
                            <w:spacing w:val="-4"/>
                            <w:sz w:val="18"/>
                          </w:rPr>
                          <w:t>Exit</w:t>
                        </w:r>
                        <w:r>
                          <w:rPr>
                            <w:sz w:val="18"/>
                          </w:rPr>
                          <w:tab/>
                        </w:r>
                        <w:r>
                          <w:rPr>
                            <w:spacing w:val="-2"/>
                            <w:sz w:val="18"/>
                          </w:rPr>
                          <w:t>Services</w:t>
                        </w:r>
                      </w:p>
                      <w:p>
                        <w:pPr>
                          <w:tabs>
                            <w:tab w:pos="2907" w:val="left" w:leader="none"/>
                            <w:tab w:pos="4359" w:val="left" w:leader="none"/>
                            <w:tab w:pos="5487" w:val="left" w:leader="none"/>
                            <w:tab w:pos="6342" w:val="left" w:leader="none"/>
                            <w:tab w:pos="7794" w:val="left" w:leader="none"/>
                            <w:tab w:pos="8922" w:val="left" w:leader="none"/>
                            <w:tab w:pos="9694" w:val="left" w:leader="none"/>
                          </w:tabs>
                          <w:spacing w:line="185" w:lineRule="exact" w:before="0"/>
                          <w:ind w:left="0" w:right="0" w:firstLine="0"/>
                          <w:jc w:val="left"/>
                          <w:rPr>
                            <w:sz w:val="18"/>
                          </w:rPr>
                        </w:pPr>
                        <w:r>
                          <w:rPr>
                            <w:sz w:val="18"/>
                          </w:rPr>
                          <w:t>Nine</w:t>
                        </w:r>
                        <w:r>
                          <w:rPr>
                            <w:spacing w:val="-1"/>
                            <w:sz w:val="18"/>
                          </w:rPr>
                          <w:t> </w:t>
                        </w:r>
                        <w:r>
                          <w:rPr>
                            <w:sz w:val="18"/>
                          </w:rPr>
                          <w:t>Months</w:t>
                        </w:r>
                        <w:r>
                          <w:rPr>
                            <w:spacing w:val="-2"/>
                            <w:sz w:val="18"/>
                          </w:rPr>
                          <w:t> </w:t>
                        </w:r>
                        <w:r>
                          <w:rPr>
                            <w:sz w:val="18"/>
                          </w:rPr>
                          <w:t>Ended</w:t>
                        </w:r>
                        <w:r>
                          <w:rPr>
                            <w:spacing w:val="-1"/>
                            <w:sz w:val="18"/>
                          </w:rPr>
                          <w:t> </w:t>
                        </w:r>
                        <w:r>
                          <w:rPr>
                            <w:sz w:val="18"/>
                          </w:rPr>
                          <w:t>September </w:t>
                        </w:r>
                        <w:r>
                          <w:rPr>
                            <w:spacing w:val="-5"/>
                            <w:sz w:val="18"/>
                          </w:rPr>
                          <w:t>30,</w:t>
                        </w:r>
                        <w:r>
                          <w:rPr>
                            <w:sz w:val="18"/>
                          </w:rPr>
                          <w:tab/>
                          <w:t>and</w:t>
                        </w:r>
                        <w:r>
                          <w:rPr>
                            <w:spacing w:val="-2"/>
                            <w:sz w:val="18"/>
                          </w:rPr>
                          <w:t> Benefits</w:t>
                        </w:r>
                        <w:r>
                          <w:rPr>
                            <w:sz w:val="18"/>
                          </w:rPr>
                          <w:tab/>
                          <w:t>Costs</w:t>
                        </w:r>
                        <w:r>
                          <w:rPr>
                            <w:spacing w:val="-4"/>
                            <w:sz w:val="18"/>
                          </w:rPr>
                          <w:t> </w:t>
                        </w:r>
                        <w:r>
                          <w:rPr>
                            <w:spacing w:val="-5"/>
                            <w:sz w:val="18"/>
                            <w:vertAlign w:val="superscript"/>
                          </w:rPr>
                          <w:t>(1)</w:t>
                        </w:r>
                        <w:r>
                          <w:rPr>
                            <w:sz w:val="18"/>
                            <w:vertAlign w:val="baseline"/>
                          </w:rPr>
                          <w:tab/>
                        </w:r>
                        <w:r>
                          <w:rPr>
                            <w:spacing w:val="-2"/>
                            <w:sz w:val="18"/>
                            <w:vertAlign w:val="baseline"/>
                          </w:rPr>
                          <w:t>Total</w:t>
                        </w:r>
                        <w:r>
                          <w:rPr>
                            <w:sz w:val="18"/>
                            <w:vertAlign w:val="baseline"/>
                          </w:rPr>
                          <w:tab/>
                          <w:t>and</w:t>
                        </w:r>
                        <w:r>
                          <w:rPr>
                            <w:spacing w:val="-2"/>
                            <w:sz w:val="18"/>
                            <w:vertAlign w:val="baseline"/>
                          </w:rPr>
                          <w:t> Benefits</w:t>
                        </w:r>
                        <w:r>
                          <w:rPr>
                            <w:sz w:val="18"/>
                            <w:vertAlign w:val="baseline"/>
                          </w:rPr>
                          <w:tab/>
                          <w:t>Costs</w:t>
                        </w:r>
                        <w:r>
                          <w:rPr>
                            <w:spacing w:val="-4"/>
                            <w:sz w:val="18"/>
                            <w:vertAlign w:val="baseline"/>
                          </w:rPr>
                          <w:t> </w:t>
                        </w:r>
                        <w:r>
                          <w:rPr>
                            <w:spacing w:val="-5"/>
                            <w:sz w:val="18"/>
                            <w:vertAlign w:val="superscript"/>
                          </w:rPr>
                          <w:t>(1)</w:t>
                        </w:r>
                        <w:r>
                          <w:rPr>
                            <w:sz w:val="18"/>
                            <w:vertAlign w:val="baseline"/>
                          </w:rPr>
                          <w:tab/>
                        </w:r>
                        <w:r>
                          <w:rPr>
                            <w:spacing w:val="-2"/>
                            <w:sz w:val="18"/>
                            <w:vertAlign w:val="baseline"/>
                          </w:rPr>
                          <w:t>Total</w:t>
                        </w:r>
                        <w:r>
                          <w:rPr>
                            <w:sz w:val="18"/>
                            <w:vertAlign w:val="baseline"/>
                          </w:rPr>
                          <w:tab/>
                        </w:r>
                        <w:r>
                          <w:rPr>
                            <w:spacing w:val="-2"/>
                            <w:sz w:val="18"/>
                            <w:vertAlign w:val="baseline"/>
                          </w:rPr>
                          <w:t>Total</w:t>
                        </w:r>
                      </w:p>
                    </w:txbxContent>
                  </v:textbox>
                  <w10:wrap type="none"/>
                </v:shape>
                <v:shape style="position:absolute;left:1042;top:3405;width:1940;height:200" type="#_x0000_t202" id="docshape307" filled="false" stroked="false">
                  <v:textbox inset="0,0,0,0">
                    <w:txbxContent>
                      <w:p>
                        <w:pPr>
                          <w:spacing w:line="199" w:lineRule="exact" w:before="0"/>
                          <w:ind w:left="0" w:right="0" w:firstLine="0"/>
                          <w:jc w:val="left"/>
                          <w:rPr>
                            <w:sz w:val="18"/>
                          </w:rPr>
                        </w:pPr>
                        <w:r>
                          <w:rPr>
                            <w:sz w:val="18"/>
                          </w:rPr>
                          <w:t>Occupancy</w:t>
                        </w:r>
                        <w:r>
                          <w:rPr>
                            <w:spacing w:val="-1"/>
                            <w:sz w:val="18"/>
                          </w:rPr>
                          <w:t> </w:t>
                        </w:r>
                        <w:r>
                          <w:rPr>
                            <w:sz w:val="18"/>
                          </w:rPr>
                          <w:t>and </w:t>
                        </w:r>
                        <w:r>
                          <w:rPr>
                            <w:spacing w:val="-2"/>
                            <w:sz w:val="18"/>
                          </w:rPr>
                          <w:t>equipment</w:t>
                        </w:r>
                      </w:p>
                    </w:txbxContent>
                  </v:textbox>
                  <w10:wrap type="none"/>
                </v:shape>
                <v:shape style="position:absolute;left:4800;top:3405;width:200;height:200" type="#_x0000_t202" id="docshape308"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6090;top:3405;width:110;height:200" type="#_x0000_t202" id="docshape309" filled="false" stroked="false">
                  <v:textbox inset="0,0,0,0">
                    <w:txbxContent>
                      <w:p>
                        <w:pPr>
                          <w:spacing w:line="199" w:lineRule="exact" w:before="0"/>
                          <w:ind w:left="0" w:right="0" w:firstLine="0"/>
                          <w:jc w:val="left"/>
                          <w:rPr>
                            <w:sz w:val="18"/>
                          </w:rPr>
                        </w:pPr>
                        <w:r>
                          <w:rPr>
                            <w:spacing w:val="-10"/>
                            <w:sz w:val="18"/>
                          </w:rPr>
                          <w:t>6</w:t>
                        </w:r>
                      </w:p>
                    </w:txbxContent>
                  </v:textbox>
                  <w10:wrap type="none"/>
                </v:shape>
                <v:shape style="position:absolute;left:6945;top:3405;width:110;height:200" type="#_x0000_t202" id="docshape310" filled="false" stroked="false">
                  <v:textbox inset="0,0,0,0">
                    <w:txbxContent>
                      <w:p>
                        <w:pPr>
                          <w:spacing w:line="199" w:lineRule="exact" w:before="0"/>
                          <w:ind w:left="0" w:right="0" w:firstLine="0"/>
                          <w:jc w:val="left"/>
                          <w:rPr>
                            <w:sz w:val="18"/>
                          </w:rPr>
                        </w:pPr>
                        <w:r>
                          <w:rPr>
                            <w:spacing w:val="-10"/>
                            <w:sz w:val="18"/>
                          </w:rPr>
                          <w:t>6</w:t>
                        </w:r>
                      </w:p>
                    </w:txbxContent>
                  </v:textbox>
                  <w10:wrap type="none"/>
                </v:shape>
                <v:shape style="position:absolute;left:8235;top:3405;width:200;height:200" type="#_x0000_t202" id="docshape311"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9525;top:3405;width:110;height:200" type="#_x0000_t202" id="docshape312" filled="false" stroked="false">
                  <v:textbox inset="0,0,0,0">
                    <w:txbxContent>
                      <w:p>
                        <w:pPr>
                          <w:spacing w:line="199" w:lineRule="exact" w:before="0"/>
                          <w:ind w:left="0" w:right="0" w:firstLine="0"/>
                          <w:jc w:val="left"/>
                          <w:rPr>
                            <w:sz w:val="18"/>
                          </w:rPr>
                        </w:pPr>
                        <w:r>
                          <w:rPr>
                            <w:spacing w:val="-10"/>
                            <w:sz w:val="18"/>
                          </w:rPr>
                          <w:t>2</w:t>
                        </w:r>
                      </w:p>
                    </w:txbxContent>
                  </v:textbox>
                  <w10:wrap type="none"/>
                </v:shape>
                <v:shape style="position:absolute;left:10380;top:3405;width:110;height:200" type="#_x0000_t202" id="docshape313" filled="false" stroked="false">
                  <v:textbox inset="0,0,0,0">
                    <w:txbxContent>
                      <w:p>
                        <w:pPr>
                          <w:spacing w:line="199" w:lineRule="exact" w:before="0"/>
                          <w:ind w:left="0" w:right="0" w:firstLine="0"/>
                          <w:jc w:val="left"/>
                          <w:rPr>
                            <w:sz w:val="18"/>
                          </w:rPr>
                        </w:pPr>
                        <w:r>
                          <w:rPr>
                            <w:spacing w:val="-10"/>
                            <w:sz w:val="18"/>
                          </w:rPr>
                          <w:t>2</w:t>
                        </w:r>
                      </w:p>
                    </w:txbxContent>
                  </v:textbox>
                  <w10:wrap type="none"/>
                </v:shape>
                <v:shape style="position:absolute;left:11085;top:3405;width:110;height:200" type="#_x0000_t202" id="docshape314" filled="false" stroked="false">
                  <v:textbox inset="0,0,0,0">
                    <w:txbxContent>
                      <w:p>
                        <w:pPr>
                          <w:spacing w:line="199" w:lineRule="exact" w:before="0"/>
                          <w:ind w:left="0" w:right="0" w:firstLine="0"/>
                          <w:jc w:val="left"/>
                          <w:rPr>
                            <w:sz w:val="18"/>
                          </w:rPr>
                        </w:pPr>
                        <w:r>
                          <w:rPr>
                            <w:spacing w:val="-10"/>
                            <w:sz w:val="18"/>
                          </w:rPr>
                          <w:t>8</w:t>
                        </w:r>
                      </w:p>
                    </w:txbxContent>
                  </v:textbox>
                  <w10:wrap type="none"/>
                </v:shape>
                <v:shape style="position:absolute;left:990;top:3634;width:10260;height:250" type="#_x0000_t202" id="docshape315" filled="false" stroked="false">
                  <v:textbox inset="0,0,0,0">
                    <w:txbxContent>
                      <w:p>
                        <w:pPr>
                          <w:tabs>
                            <w:tab w:pos="3810" w:val="left" w:leader="none"/>
                            <w:tab w:pos="5010" w:val="left" w:leader="none"/>
                            <w:tab w:pos="5865" w:val="left" w:leader="none"/>
                            <w:tab w:pos="7245" w:val="left" w:leader="none"/>
                            <w:tab w:pos="8535" w:val="left" w:leader="none"/>
                            <w:tab w:pos="9390" w:val="left" w:leader="none"/>
                            <w:tab w:pos="10185" w:val="right" w:leader="none"/>
                          </w:tabs>
                          <w:spacing w:before="18"/>
                          <w:ind w:left="52" w:right="0" w:firstLine="0"/>
                          <w:jc w:val="left"/>
                          <w:rPr>
                            <w:sz w:val="18"/>
                          </w:rPr>
                        </w:pPr>
                        <w:r>
                          <w:rPr>
                            <w:spacing w:val="-2"/>
                            <w:sz w:val="18"/>
                          </w:rPr>
                          <w:t>Other</w:t>
                        </w:r>
                        <w:r>
                          <w:rPr>
                            <w:sz w:val="18"/>
                          </w:rPr>
                          <w:tab/>
                        </w:r>
                        <w:r>
                          <w:rPr>
                            <w:spacing w:val="-10"/>
                            <w:sz w:val="18"/>
                          </w:rPr>
                          <w:t>—</w:t>
                        </w:r>
                        <w:r>
                          <w:rPr>
                            <w:sz w:val="18"/>
                          </w:rPr>
                          <w:tab/>
                        </w:r>
                        <w:r>
                          <w:rPr>
                            <w:spacing w:val="-5"/>
                            <w:sz w:val="18"/>
                          </w:rPr>
                          <w:t>18</w:t>
                        </w:r>
                        <w:r>
                          <w:rPr>
                            <w:sz w:val="18"/>
                          </w:rPr>
                          <w:tab/>
                        </w:r>
                        <w:r>
                          <w:rPr>
                            <w:spacing w:val="-5"/>
                            <w:sz w:val="18"/>
                          </w:rPr>
                          <w:t>18</w:t>
                        </w:r>
                        <w:r>
                          <w:rPr>
                            <w:sz w:val="18"/>
                          </w:rPr>
                          <w:tab/>
                        </w:r>
                        <w:r>
                          <w:rPr>
                            <w:spacing w:val="-10"/>
                            <w:sz w:val="18"/>
                          </w:rPr>
                          <w:t>—</w:t>
                        </w:r>
                        <w:r>
                          <w:rPr>
                            <w:sz w:val="18"/>
                          </w:rPr>
                          <w:tab/>
                        </w:r>
                        <w:r>
                          <w:rPr>
                            <w:spacing w:val="-10"/>
                            <w:sz w:val="18"/>
                          </w:rPr>
                          <w:t>7</w:t>
                        </w:r>
                        <w:r>
                          <w:rPr>
                            <w:sz w:val="18"/>
                          </w:rPr>
                          <w:tab/>
                        </w:r>
                        <w:r>
                          <w:rPr>
                            <w:spacing w:val="-10"/>
                            <w:sz w:val="18"/>
                          </w:rPr>
                          <w:t>7</w:t>
                        </w:r>
                        <w:r>
                          <w:rPr>
                            <w:sz w:val="18"/>
                          </w:rPr>
                          <w:tab/>
                        </w:r>
                        <w:r>
                          <w:rPr>
                            <w:spacing w:val="-5"/>
                            <w:sz w:val="18"/>
                          </w:rPr>
                          <w:t>25</w:t>
                        </w:r>
                      </w:p>
                    </w:txbxContent>
                  </v:textbox>
                  <w10:wrap type="none"/>
                </v:shape>
                <v:shape style="position:absolute;left:990;top:3129;width:10260;height:250" type="#_x0000_t202" id="docshape316" filled="false" stroked="false">
                  <v:textbox inset="0,0,0,0">
                    <w:txbxContent>
                      <w:p>
                        <w:pPr>
                          <w:tabs>
                            <w:tab w:pos="2812" w:val="left" w:leader="none"/>
                            <w:tab w:pos="3810" w:val="left" w:leader="none"/>
                            <w:tab w:pos="4192" w:val="left" w:leader="none"/>
                            <w:tab w:pos="5010" w:val="left" w:leader="none"/>
                            <w:tab w:pos="5392" w:val="left" w:leader="none"/>
                            <w:tab w:pos="5865" w:val="left" w:leader="none"/>
                            <w:tab w:pos="6247" w:val="left" w:leader="none"/>
                            <w:tab w:pos="7335" w:val="left" w:leader="none"/>
                            <w:tab w:pos="7627" w:val="left" w:leader="none"/>
                            <w:tab w:pos="8445" w:val="left" w:leader="none"/>
                            <w:tab w:pos="8827" w:val="left" w:leader="none"/>
                            <w:tab w:pos="9390" w:val="left" w:leader="none"/>
                            <w:tab w:pos="10005" w:val="left" w:leader="none"/>
                          </w:tabs>
                          <w:spacing w:before="13"/>
                          <w:ind w:left="52" w:right="0" w:firstLine="0"/>
                          <w:jc w:val="left"/>
                          <w:rPr>
                            <w:sz w:val="18"/>
                          </w:rPr>
                        </w:pPr>
                        <w:r>
                          <w:rPr>
                            <w:sz w:val="18"/>
                          </w:rPr>
                          <w:t>Compensation</w:t>
                        </w:r>
                        <w:r>
                          <w:rPr>
                            <w:spacing w:val="-3"/>
                            <w:sz w:val="18"/>
                          </w:rPr>
                          <w:t> </w:t>
                        </w:r>
                        <w:r>
                          <w:rPr>
                            <w:sz w:val="18"/>
                          </w:rPr>
                          <w:t>and </w:t>
                        </w:r>
                        <w:r>
                          <w:rPr>
                            <w:spacing w:val="-2"/>
                            <w:sz w:val="18"/>
                          </w:rPr>
                          <w:t>benefits</w:t>
                        </w:r>
                        <w:r>
                          <w:rPr>
                            <w:sz w:val="18"/>
                          </w:rPr>
                          <w:tab/>
                        </w:r>
                        <w:r>
                          <w:rPr>
                            <w:spacing w:val="-10"/>
                            <w:sz w:val="18"/>
                          </w:rPr>
                          <w:t>$</w:t>
                        </w:r>
                        <w:r>
                          <w:rPr>
                            <w:sz w:val="18"/>
                          </w:rPr>
                          <w:tab/>
                        </w:r>
                        <w:r>
                          <w:rPr>
                            <w:spacing w:val="-5"/>
                            <w:sz w:val="18"/>
                          </w:rPr>
                          <w:t>20</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5"/>
                            <w:sz w:val="18"/>
                          </w:rPr>
                          <w:t>20</w:t>
                        </w:r>
                        <w:r>
                          <w:rPr>
                            <w:sz w:val="18"/>
                          </w:rPr>
                          <w:tab/>
                        </w:r>
                        <w:r>
                          <w:rPr>
                            <w:spacing w:val="-10"/>
                            <w:sz w:val="18"/>
                          </w:rPr>
                          <w:t>$</w:t>
                        </w:r>
                        <w:r>
                          <w:rPr>
                            <w:sz w:val="18"/>
                          </w:rPr>
                          <w:tab/>
                        </w:r>
                        <w:r>
                          <w:rPr>
                            <w:spacing w:val="-10"/>
                            <w:sz w:val="18"/>
                          </w:rPr>
                          <w:t>3</w:t>
                        </w:r>
                        <w:r>
                          <w:rPr>
                            <w:sz w:val="18"/>
                          </w:rPr>
                          <w:tab/>
                        </w:r>
                        <w:r>
                          <w:rPr>
                            <w:spacing w:val="-10"/>
                            <w:sz w:val="18"/>
                          </w:rPr>
                          <w:t>$</w:t>
                        </w:r>
                        <w:r>
                          <w:rPr>
                            <w:sz w:val="18"/>
                          </w:rPr>
                          <w:tab/>
                        </w:r>
                        <w:r>
                          <w:rPr>
                            <w:spacing w:val="-10"/>
                            <w:sz w:val="18"/>
                          </w:rPr>
                          <w:t>—</w:t>
                        </w:r>
                        <w:r>
                          <w:rPr>
                            <w:sz w:val="18"/>
                          </w:rPr>
                          <w:tab/>
                        </w:r>
                        <w:r>
                          <w:rPr>
                            <w:spacing w:val="-10"/>
                            <w:sz w:val="18"/>
                          </w:rPr>
                          <w:t>$</w:t>
                        </w:r>
                        <w:r>
                          <w:rPr>
                            <w:sz w:val="18"/>
                          </w:rPr>
                          <w:tab/>
                          <w:t>3</w:t>
                        </w:r>
                        <w:r>
                          <w:rPr>
                            <w:spacing w:val="48"/>
                            <w:sz w:val="18"/>
                          </w:rPr>
                          <w:t>  </w:t>
                        </w:r>
                        <w:r>
                          <w:rPr>
                            <w:spacing w:val="-10"/>
                            <w:sz w:val="18"/>
                          </w:rPr>
                          <w:t>$</w:t>
                        </w:r>
                        <w:r>
                          <w:rPr>
                            <w:sz w:val="18"/>
                          </w:rPr>
                          <w:tab/>
                        </w:r>
                        <w:r>
                          <w:rPr>
                            <w:spacing w:val="-5"/>
                            <w:sz w:val="18"/>
                          </w:rPr>
                          <w:t>23</w:t>
                        </w:r>
                      </w:p>
                    </w:txbxContent>
                  </v:textbox>
                  <w10:wrap type="none"/>
                </v:shape>
                <v:shape style="position:absolute;left:990;top:1489;width:10260;height:250" type="#_x0000_t202" id="docshape317" filled="false" stroked="false">
                  <v:textbox inset="0,0,0,0">
                    <w:txbxContent>
                      <w:p>
                        <w:pPr>
                          <w:tabs>
                            <w:tab w:pos="3810" w:val="left" w:leader="none"/>
                            <w:tab w:pos="5100" w:val="left" w:leader="none"/>
                            <w:tab w:pos="5955" w:val="left" w:leader="none"/>
                            <w:tab w:pos="7245" w:val="left" w:leader="none"/>
                            <w:tab w:pos="8445" w:val="left" w:leader="none"/>
                            <w:tab w:pos="9300" w:val="left" w:leader="none"/>
                            <w:tab w:pos="10185" w:val="right" w:leader="none"/>
                          </w:tabs>
                          <w:spacing w:before="18"/>
                          <w:ind w:left="52" w:right="0" w:firstLine="0"/>
                          <w:jc w:val="left"/>
                          <w:rPr>
                            <w:sz w:val="18"/>
                          </w:rPr>
                        </w:pPr>
                        <w:r>
                          <w:rPr>
                            <w:spacing w:val="-2"/>
                            <w:sz w:val="18"/>
                          </w:rPr>
                          <w:t>Other</w:t>
                        </w:r>
                        <w:r>
                          <w:rPr>
                            <w:sz w:val="18"/>
                          </w:rPr>
                          <w:tab/>
                        </w:r>
                        <w:r>
                          <w:rPr>
                            <w:spacing w:val="-10"/>
                            <w:sz w:val="18"/>
                          </w:rPr>
                          <w:t>—</w:t>
                        </w:r>
                        <w:r>
                          <w:rPr>
                            <w:sz w:val="18"/>
                          </w:rPr>
                          <w:tab/>
                        </w:r>
                        <w:r>
                          <w:rPr>
                            <w:spacing w:val="-10"/>
                            <w:sz w:val="18"/>
                          </w:rPr>
                          <w:t>4</w:t>
                        </w:r>
                        <w:r>
                          <w:rPr>
                            <w:sz w:val="18"/>
                          </w:rPr>
                          <w:tab/>
                        </w:r>
                        <w:r>
                          <w:rPr>
                            <w:spacing w:val="-10"/>
                            <w:sz w:val="18"/>
                          </w:rPr>
                          <w:t>4</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4</w:t>
                        </w:r>
                      </w:p>
                    </w:txbxContent>
                  </v:textbox>
                  <w10:wrap type="none"/>
                </v:shape>
                <v:shape style="position:absolute;left:990;top:984;width:10260;height:250" type="#_x0000_t202" id="docshape318" filled="false" stroked="false">
                  <v:textbox inset="0,0,0,0">
                    <w:txbxContent>
                      <w:p>
                        <w:pPr>
                          <w:tabs>
                            <w:tab w:pos="2812" w:val="left" w:leader="none"/>
                            <w:tab w:pos="3900" w:val="left" w:leader="none"/>
                            <w:tab w:pos="4192" w:val="left" w:leader="none"/>
                            <w:tab w:pos="5010" w:val="left" w:leader="none"/>
                            <w:tab w:pos="5392" w:val="left" w:leader="none"/>
                            <w:tab w:pos="5955" w:val="left" w:leader="none"/>
                            <w:tab w:pos="6247" w:val="left" w:leader="none"/>
                            <w:tab w:pos="7245" w:val="left" w:leader="none"/>
                            <w:tab w:pos="7627" w:val="left" w:leader="none"/>
                            <w:tab w:pos="8445" w:val="left" w:leader="none"/>
                            <w:tab w:pos="8827" w:val="left" w:leader="none"/>
                            <w:tab w:pos="9300" w:val="left" w:leader="none"/>
                            <w:tab w:pos="10095" w:val="left" w:leader="none"/>
                          </w:tabs>
                          <w:spacing w:before="13"/>
                          <w:ind w:left="52" w:right="0" w:firstLine="0"/>
                          <w:jc w:val="left"/>
                          <w:rPr>
                            <w:sz w:val="18"/>
                          </w:rPr>
                        </w:pPr>
                        <w:r>
                          <w:rPr>
                            <w:sz w:val="18"/>
                          </w:rPr>
                          <w:t>Compensation</w:t>
                        </w:r>
                        <w:r>
                          <w:rPr>
                            <w:spacing w:val="-3"/>
                            <w:sz w:val="18"/>
                          </w:rPr>
                          <w:t> </w:t>
                        </w:r>
                        <w:r>
                          <w:rPr>
                            <w:sz w:val="18"/>
                          </w:rPr>
                          <w:t>and </w:t>
                        </w:r>
                        <w:r>
                          <w:rPr>
                            <w:spacing w:val="-2"/>
                            <w:sz w:val="18"/>
                          </w:rPr>
                          <w:t>benefits</w:t>
                        </w:r>
                        <w:r>
                          <w:rPr>
                            <w:sz w:val="18"/>
                          </w:rPr>
                          <w:tab/>
                        </w:r>
                        <w:r>
                          <w:rPr>
                            <w:spacing w:val="-10"/>
                            <w:sz w:val="18"/>
                          </w:rPr>
                          <w:t>$</w:t>
                        </w:r>
                        <w:r>
                          <w:rPr>
                            <w:sz w:val="18"/>
                          </w:rPr>
                          <w:tab/>
                        </w:r>
                        <w:r>
                          <w:rPr>
                            <w:spacing w:val="-10"/>
                            <w:sz w:val="18"/>
                          </w:rPr>
                          <w:t>9</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9</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t>—</w:t>
                        </w:r>
                        <w:r>
                          <w:rPr>
                            <w:spacing w:val="48"/>
                            <w:sz w:val="18"/>
                          </w:rPr>
                          <w:t>  </w:t>
                        </w:r>
                        <w:r>
                          <w:rPr>
                            <w:spacing w:val="-10"/>
                            <w:sz w:val="18"/>
                          </w:rPr>
                          <w:t>$</w:t>
                        </w:r>
                        <w:r>
                          <w:rPr>
                            <w:sz w:val="18"/>
                          </w:rPr>
                          <w:tab/>
                        </w:r>
                        <w:r>
                          <w:rPr>
                            <w:spacing w:val="-10"/>
                            <w:sz w:val="18"/>
                          </w:rPr>
                          <w:t>9</w:t>
                        </w:r>
                      </w:p>
                    </w:txbxContent>
                  </v:textbox>
                  <w10:wrap type="none"/>
                </v:shape>
                <w10:wrap type="topAndBottom"/>
              </v:group>
            </w:pict>
          </mc:Fallback>
        </mc:AlternateContent>
      </w:r>
    </w:p>
    <w:p>
      <w:pPr>
        <w:tabs>
          <w:tab w:pos="3282" w:val="left" w:leader="none"/>
          <w:tab w:pos="4280" w:val="left" w:leader="none"/>
          <w:tab w:pos="4662" w:val="left" w:leader="none"/>
          <w:tab w:pos="5480" w:val="left" w:leader="none"/>
          <w:tab w:pos="5862" w:val="left" w:leader="none"/>
          <w:tab w:pos="6335" w:val="left" w:leader="none"/>
          <w:tab w:pos="6717" w:val="left" w:leader="none"/>
          <w:tab w:pos="7805" w:val="left" w:leader="none"/>
          <w:tab w:pos="8097" w:val="left" w:leader="none"/>
          <w:tab w:pos="9005" w:val="left" w:leader="none"/>
          <w:tab w:pos="9297" w:val="left" w:leader="none"/>
          <w:tab w:pos="9770" w:val="left" w:leader="none"/>
          <w:tab w:pos="10475" w:val="left" w:leader="none"/>
        </w:tabs>
        <w:spacing w:before="13"/>
        <w:ind w:left="642" w:right="0" w:firstLine="0"/>
        <w:jc w:val="left"/>
        <w:rPr>
          <w:sz w:val="18"/>
        </w:rPr>
      </w:pPr>
      <w:r>
        <w:rPr>
          <w:spacing w:val="-2"/>
          <w:sz w:val="18"/>
        </w:rPr>
        <w:t>Total</w:t>
      </w:r>
      <w:r>
        <w:rPr>
          <w:sz w:val="18"/>
        </w:rPr>
        <w:tab/>
      </w:r>
      <w:r>
        <w:rPr>
          <w:spacing w:val="-10"/>
          <w:sz w:val="18"/>
        </w:rPr>
        <w:t>$</w:t>
      </w:r>
      <w:r>
        <w:rPr>
          <w:sz w:val="18"/>
        </w:rPr>
        <w:tab/>
      </w:r>
      <w:r>
        <w:rPr>
          <w:spacing w:val="-5"/>
          <w:sz w:val="18"/>
        </w:rPr>
        <w:t>20</w:t>
      </w:r>
      <w:r>
        <w:rPr>
          <w:sz w:val="18"/>
        </w:rPr>
        <w:tab/>
      </w:r>
      <w:r>
        <w:rPr>
          <w:spacing w:val="-10"/>
          <w:sz w:val="18"/>
        </w:rPr>
        <w:t>$</w:t>
      </w:r>
      <w:r>
        <w:rPr>
          <w:sz w:val="18"/>
        </w:rPr>
        <w:tab/>
      </w:r>
      <w:r>
        <w:rPr>
          <w:spacing w:val="-5"/>
          <w:sz w:val="18"/>
        </w:rPr>
        <w:t>24</w:t>
      </w:r>
      <w:r>
        <w:rPr>
          <w:sz w:val="18"/>
        </w:rPr>
        <w:tab/>
      </w:r>
      <w:r>
        <w:rPr>
          <w:spacing w:val="-10"/>
          <w:sz w:val="18"/>
        </w:rPr>
        <w:t>$</w:t>
      </w:r>
      <w:r>
        <w:rPr>
          <w:sz w:val="18"/>
        </w:rPr>
        <w:tab/>
      </w:r>
      <w:r>
        <w:rPr>
          <w:spacing w:val="-5"/>
          <w:sz w:val="18"/>
        </w:rPr>
        <w:t>44</w:t>
      </w:r>
      <w:r>
        <w:rPr>
          <w:sz w:val="18"/>
        </w:rPr>
        <w:tab/>
      </w:r>
      <w:r>
        <w:rPr>
          <w:spacing w:val="-10"/>
          <w:sz w:val="18"/>
        </w:rPr>
        <w:t>$</w:t>
      </w:r>
      <w:r>
        <w:rPr>
          <w:sz w:val="18"/>
        </w:rPr>
        <w:tab/>
      </w:r>
      <w:r>
        <w:rPr>
          <w:spacing w:val="-10"/>
          <w:sz w:val="18"/>
        </w:rPr>
        <w:t>3</w:t>
      </w:r>
      <w:r>
        <w:rPr>
          <w:sz w:val="18"/>
        </w:rPr>
        <w:tab/>
      </w:r>
      <w:r>
        <w:rPr>
          <w:spacing w:val="-10"/>
          <w:sz w:val="18"/>
        </w:rPr>
        <w:t>$</w:t>
      </w:r>
      <w:r>
        <w:rPr>
          <w:sz w:val="18"/>
        </w:rPr>
        <w:tab/>
      </w:r>
      <w:r>
        <w:rPr>
          <w:spacing w:val="-10"/>
          <w:sz w:val="18"/>
        </w:rPr>
        <w:t>9</w:t>
      </w:r>
      <w:r>
        <w:rPr>
          <w:sz w:val="18"/>
        </w:rPr>
        <w:tab/>
      </w:r>
      <w:r>
        <w:rPr>
          <w:spacing w:val="-10"/>
          <w:sz w:val="18"/>
        </w:rPr>
        <w:t>$</w:t>
      </w:r>
      <w:r>
        <w:rPr>
          <w:sz w:val="18"/>
        </w:rPr>
        <w:tab/>
        <w:t>12</w:t>
      </w:r>
      <w:r>
        <w:rPr>
          <w:spacing w:val="48"/>
          <w:sz w:val="18"/>
        </w:rPr>
        <w:t>  </w:t>
      </w:r>
      <w:r>
        <w:rPr>
          <w:spacing w:val="-10"/>
          <w:sz w:val="18"/>
        </w:rPr>
        <w:t>$</w:t>
      </w:r>
      <w:r>
        <w:rPr>
          <w:sz w:val="18"/>
        </w:rPr>
        <w:tab/>
      </w:r>
      <w:r>
        <w:rPr>
          <w:spacing w:val="-5"/>
          <w:sz w:val="18"/>
        </w:rPr>
        <w:t>56</w:t>
      </w:r>
    </w:p>
    <w:p>
      <w:pPr>
        <w:pStyle w:val="BodyText"/>
        <w:spacing w:line="60" w:lineRule="exact"/>
        <w:ind w:left="460"/>
        <w:rPr>
          <w:sz w:val="6"/>
        </w:rPr>
      </w:pPr>
      <w:r>
        <w:rPr>
          <w:position w:val="0"/>
          <w:sz w:val="6"/>
        </w:rPr>
        <mc:AlternateContent>
          <mc:Choice Requires="wps">
            <w:drawing>
              <wp:inline distT="0" distB="0" distL="0" distR="0">
                <wp:extent cx="6515100" cy="38100"/>
                <wp:effectExtent l="9525" t="0" r="0" b="0"/>
                <wp:docPr id="450" name="Group 450"/>
                <wp:cNvGraphicFramePr>
                  <a:graphicFrameLocks/>
                </wp:cNvGraphicFramePr>
                <a:graphic>
                  <a:graphicData uri="http://schemas.microsoft.com/office/word/2010/wordprocessingGroup">
                    <wpg:wgp>
                      <wpg:cNvPr id="450" name="Group 450"/>
                      <wpg:cNvGrpSpPr/>
                      <wpg:grpSpPr>
                        <a:xfrm>
                          <a:off x="0" y="0"/>
                          <a:ext cx="6515100" cy="38100"/>
                          <a:chExt cx="6515100" cy="38100"/>
                        </a:xfrm>
                      </wpg:grpSpPr>
                      <wps:wsp>
                        <wps:cNvPr id="451" name="Graphic 451"/>
                        <wps:cNvSpPr/>
                        <wps:spPr>
                          <a:xfrm>
                            <a:off x="0" y="6350"/>
                            <a:ext cx="6515100" cy="25400"/>
                          </a:xfrm>
                          <a:custGeom>
                            <a:avLst/>
                            <a:gdLst/>
                            <a:ahLst/>
                            <a:cxnLst/>
                            <a:rect l="l" t="t" r="r" b="b"/>
                            <a:pathLst>
                              <a:path w="6515100" h="25400">
                                <a:moveTo>
                                  <a:pt x="0" y="0"/>
                                </a:moveTo>
                                <a:lnTo>
                                  <a:pt x="6515100" y="0"/>
                                </a:lnTo>
                              </a:path>
                              <a:path w="6515100" h="25400">
                                <a:moveTo>
                                  <a:pt x="0" y="25400"/>
                                </a:moveTo>
                                <a:lnTo>
                                  <a:pt x="65151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3pt;height:3pt;mso-position-horizontal-relative:char;mso-position-vertical-relative:line" id="docshapegroup319" coordorigin="0,0" coordsize="10260,60">
                <v:shape style="position:absolute;left:0;top:10;width:10260;height:40" id="docshape320" coordorigin="0,10" coordsize="10260,40" path="m0,10l10260,10m0,50l10260,50e" filled="false" stroked="true" strokeweight="1pt" strokecolor="#000000">
                  <v:path arrowok="t"/>
                  <v:stroke dashstyle="solid"/>
                </v:shape>
              </v:group>
            </w:pict>
          </mc:Fallback>
        </mc:AlternateContent>
      </w:r>
      <w:r>
        <w:rPr>
          <w:position w:val="0"/>
          <w:sz w:val="6"/>
        </w:rPr>
      </w:r>
    </w:p>
    <w:p>
      <w:pPr>
        <w:spacing w:line="249" w:lineRule="auto" w:before="31"/>
        <w:ind w:left="650" w:right="761" w:hanging="180"/>
        <w:jc w:val="left"/>
        <w:rPr>
          <w:sz w:val="16"/>
        </w:rPr>
      </w:pPr>
      <w:r>
        <w:rPr>
          <w:sz w:val="16"/>
          <w:vertAlign w:val="superscript"/>
        </w:rPr>
        <w:t>(1)</w:t>
      </w:r>
      <w:r>
        <w:rPr>
          <w:spacing w:val="-15"/>
          <w:sz w:val="16"/>
          <w:vertAlign w:val="baseline"/>
        </w:rPr>
        <w:t> </w:t>
      </w:r>
      <w:r>
        <w:rPr>
          <w:sz w:val="16"/>
          <w:vertAlign w:val="baseline"/>
        </w:rPr>
        <w:t>Costs</w:t>
      </w:r>
      <w:r>
        <w:rPr>
          <w:spacing w:val="-4"/>
          <w:sz w:val="16"/>
          <w:vertAlign w:val="baseline"/>
        </w:rPr>
        <w:t> </w:t>
      </w:r>
      <w:r>
        <w:rPr>
          <w:sz w:val="16"/>
          <w:vertAlign w:val="baseline"/>
        </w:rPr>
        <w:t>related</w:t>
      </w:r>
      <w:r>
        <w:rPr>
          <w:spacing w:val="-2"/>
          <w:sz w:val="16"/>
          <w:vertAlign w:val="baseline"/>
        </w:rPr>
        <w:t> </w:t>
      </w:r>
      <w:r>
        <w:rPr>
          <w:sz w:val="16"/>
          <w:vertAlign w:val="baseline"/>
        </w:rPr>
        <w:t>to</w:t>
      </w:r>
      <w:r>
        <w:rPr>
          <w:spacing w:val="-2"/>
          <w:sz w:val="16"/>
          <w:vertAlign w:val="baseline"/>
        </w:rPr>
        <w:t> </w:t>
      </w:r>
      <w:r>
        <w:rPr>
          <w:sz w:val="16"/>
          <w:vertAlign w:val="baseline"/>
        </w:rPr>
        <w:t>facility</w:t>
      </w:r>
      <w:r>
        <w:rPr>
          <w:spacing w:val="-2"/>
          <w:sz w:val="16"/>
          <w:vertAlign w:val="baseline"/>
        </w:rPr>
        <w:t> </w:t>
      </w:r>
      <w:r>
        <w:rPr>
          <w:sz w:val="16"/>
          <w:vertAlign w:val="baseline"/>
        </w:rPr>
        <w:t>closures.</w:t>
      </w:r>
      <w:r>
        <w:rPr>
          <w:spacing w:val="-2"/>
          <w:sz w:val="16"/>
          <w:vertAlign w:val="baseline"/>
        </w:rPr>
        <w:t> </w:t>
      </w:r>
      <w:r>
        <w:rPr>
          <w:sz w:val="16"/>
          <w:vertAlign w:val="baseline"/>
        </w:rPr>
        <w:t>These</w:t>
      </w:r>
      <w:r>
        <w:rPr>
          <w:spacing w:val="-2"/>
          <w:sz w:val="16"/>
          <w:vertAlign w:val="baseline"/>
        </w:rPr>
        <w:t> </w:t>
      </w:r>
      <w:r>
        <w:rPr>
          <w:sz w:val="16"/>
          <w:vertAlign w:val="baseline"/>
        </w:rPr>
        <w:t>costs,</w:t>
      </w:r>
      <w:r>
        <w:rPr>
          <w:spacing w:val="-2"/>
          <w:sz w:val="16"/>
          <w:vertAlign w:val="baseline"/>
        </w:rPr>
        <w:t> </w:t>
      </w:r>
      <w:r>
        <w:rPr>
          <w:sz w:val="16"/>
          <w:vertAlign w:val="baseline"/>
        </w:rPr>
        <w:t>which</w:t>
      </w:r>
      <w:r>
        <w:rPr>
          <w:spacing w:val="-2"/>
          <w:sz w:val="16"/>
          <w:vertAlign w:val="baseline"/>
        </w:rPr>
        <w:t> </w:t>
      </w:r>
      <w:r>
        <w:rPr>
          <w:sz w:val="16"/>
          <w:vertAlign w:val="baseline"/>
        </w:rPr>
        <w:t>are</w:t>
      </w:r>
      <w:r>
        <w:rPr>
          <w:spacing w:val="-2"/>
          <w:sz w:val="16"/>
          <w:vertAlign w:val="baseline"/>
        </w:rPr>
        <w:t> </w:t>
      </w:r>
      <w:r>
        <w:rPr>
          <w:sz w:val="16"/>
          <w:vertAlign w:val="baseline"/>
        </w:rPr>
        <w:t>comprised</w:t>
      </w:r>
      <w:r>
        <w:rPr>
          <w:spacing w:val="-2"/>
          <w:sz w:val="16"/>
          <w:vertAlign w:val="baseline"/>
        </w:rPr>
        <w:t> </w:t>
      </w:r>
      <w:r>
        <w:rPr>
          <w:sz w:val="16"/>
          <w:vertAlign w:val="baseline"/>
        </w:rPr>
        <w:t>of</w:t>
      </w:r>
      <w:r>
        <w:rPr>
          <w:spacing w:val="-5"/>
          <w:sz w:val="16"/>
          <w:vertAlign w:val="baseline"/>
        </w:rPr>
        <w:t> </w:t>
      </w:r>
      <w:r>
        <w:rPr>
          <w:sz w:val="16"/>
          <w:vertAlign w:val="baseline"/>
        </w:rPr>
        <w:t>impairment</w:t>
      </w:r>
      <w:r>
        <w:rPr>
          <w:spacing w:val="-2"/>
          <w:sz w:val="16"/>
          <w:vertAlign w:val="baseline"/>
        </w:rPr>
        <w:t> </w:t>
      </w:r>
      <w:r>
        <w:rPr>
          <w:sz w:val="16"/>
          <w:vertAlign w:val="baseline"/>
        </w:rPr>
        <w:t>and</w:t>
      </w:r>
      <w:r>
        <w:rPr>
          <w:spacing w:val="-2"/>
          <w:sz w:val="16"/>
          <w:vertAlign w:val="baseline"/>
        </w:rPr>
        <w:t> </w:t>
      </w:r>
      <w:r>
        <w:rPr>
          <w:sz w:val="16"/>
          <w:vertAlign w:val="baseline"/>
        </w:rPr>
        <w:t>accelerated</w:t>
      </w:r>
      <w:r>
        <w:rPr>
          <w:spacing w:val="-2"/>
          <w:sz w:val="16"/>
          <w:vertAlign w:val="baseline"/>
        </w:rPr>
        <w:t> </w:t>
      </w:r>
      <w:r>
        <w:rPr>
          <w:sz w:val="16"/>
          <w:vertAlign w:val="baseline"/>
        </w:rPr>
        <w:t>amortization</w:t>
      </w:r>
      <w:r>
        <w:rPr>
          <w:spacing w:val="-2"/>
          <w:sz w:val="16"/>
          <w:vertAlign w:val="baseline"/>
        </w:rPr>
        <w:t> </w:t>
      </w:r>
      <w:r>
        <w:rPr>
          <w:sz w:val="16"/>
          <w:vertAlign w:val="baseline"/>
        </w:rPr>
        <w:t>of</w:t>
      </w:r>
      <w:r>
        <w:rPr>
          <w:spacing w:val="-2"/>
          <w:sz w:val="16"/>
          <w:vertAlign w:val="baseline"/>
        </w:rPr>
        <w:t> </w:t>
      </w:r>
      <w:r>
        <w:rPr>
          <w:sz w:val="16"/>
          <w:vertAlign w:val="baseline"/>
        </w:rPr>
        <w:t>right-of-use</w:t>
      </w:r>
      <w:r>
        <w:rPr>
          <w:spacing w:val="-2"/>
          <w:sz w:val="16"/>
          <w:vertAlign w:val="baseline"/>
        </w:rPr>
        <w:t> </w:t>
      </w:r>
      <w:r>
        <w:rPr>
          <w:sz w:val="16"/>
          <w:vertAlign w:val="baseline"/>
        </w:rPr>
        <w:t>(ROU)</w:t>
      </w:r>
      <w:r>
        <w:rPr>
          <w:spacing w:val="-2"/>
          <w:sz w:val="16"/>
          <w:vertAlign w:val="baseline"/>
        </w:rPr>
        <w:t> </w:t>
      </w:r>
      <w:r>
        <w:rPr>
          <w:sz w:val="16"/>
          <w:vertAlign w:val="baseline"/>
        </w:rPr>
        <w:t>assets,</w:t>
      </w:r>
      <w:r>
        <w:rPr>
          <w:spacing w:val="-2"/>
          <w:sz w:val="16"/>
          <w:vertAlign w:val="baseline"/>
        </w:rPr>
        <w:t> </w:t>
      </w:r>
      <w:r>
        <w:rPr>
          <w:sz w:val="16"/>
          <w:vertAlign w:val="baseline"/>
        </w:rPr>
        <w:t>relate</w:t>
      </w:r>
      <w:r>
        <w:rPr>
          <w:spacing w:val="-2"/>
          <w:sz w:val="16"/>
          <w:vertAlign w:val="baseline"/>
        </w:rPr>
        <w:t> </w:t>
      </w:r>
      <w:r>
        <w:rPr>
          <w:sz w:val="16"/>
          <w:vertAlign w:val="baseline"/>
        </w:rPr>
        <w:t>to</w:t>
      </w:r>
      <w:r>
        <w:rPr>
          <w:spacing w:val="-2"/>
          <w:sz w:val="16"/>
          <w:vertAlign w:val="baseline"/>
        </w:rPr>
        <w:t> </w:t>
      </w:r>
      <w:r>
        <w:rPr>
          <w:sz w:val="16"/>
          <w:vertAlign w:val="baseline"/>
        </w:rPr>
        <w:t>the</w:t>
      </w:r>
      <w:r>
        <w:rPr>
          <w:spacing w:val="40"/>
          <w:sz w:val="16"/>
          <w:vertAlign w:val="baseline"/>
        </w:rPr>
        <w:t> </w:t>
      </w:r>
      <w:r>
        <w:rPr>
          <w:sz w:val="16"/>
          <w:vertAlign w:val="baseline"/>
        </w:rPr>
        <w:t>impact of abandoning leased properties.</w:t>
      </w:r>
    </w:p>
    <w:p>
      <w:pPr>
        <w:pStyle w:val="BodyText"/>
        <w:spacing w:before="60"/>
        <w:rPr>
          <w:sz w:val="16"/>
        </w:rPr>
      </w:pPr>
    </w:p>
    <w:p>
      <w:pPr>
        <w:pStyle w:val="BodyText"/>
        <w:spacing w:line="249" w:lineRule="auto"/>
        <w:ind w:left="470" w:right="500"/>
      </w:pPr>
      <w:r>
        <w:rPr/>
        <mc:AlternateContent>
          <mc:Choice Requires="wps">
            <w:drawing>
              <wp:anchor distT="0" distB="0" distL="0" distR="0" allowOverlap="1" layoutInCell="1" locked="0" behindDoc="1" simplePos="0" relativeHeight="487617024">
                <wp:simplePos x="0" y="0"/>
                <wp:positionH relativeFrom="page">
                  <wp:posOffset>628650</wp:posOffset>
                </wp:positionH>
                <wp:positionV relativeFrom="paragraph">
                  <wp:posOffset>332313</wp:posOffset>
                </wp:positionV>
                <wp:extent cx="6515100" cy="2260600"/>
                <wp:effectExtent l="0" t="0" r="0" b="0"/>
                <wp:wrapTopAndBottom/>
                <wp:docPr id="452" name="Group 452"/>
                <wp:cNvGraphicFramePr>
                  <a:graphicFrameLocks/>
                </wp:cNvGraphicFramePr>
                <a:graphic>
                  <a:graphicData uri="http://schemas.microsoft.com/office/word/2010/wordprocessingGroup">
                    <wpg:wgp>
                      <wpg:cNvPr id="452" name="Group 452"/>
                      <wpg:cNvGrpSpPr/>
                      <wpg:grpSpPr>
                        <a:xfrm>
                          <a:off x="0" y="0"/>
                          <a:ext cx="6515100" cy="2260600"/>
                          <a:chExt cx="6515100" cy="2260600"/>
                        </a:xfrm>
                      </wpg:grpSpPr>
                      <wps:wsp>
                        <wps:cNvPr id="453" name="Graphic 453"/>
                        <wps:cNvSpPr/>
                        <wps:spPr>
                          <a:xfrm>
                            <a:off x="0" y="555624"/>
                            <a:ext cx="6515100" cy="1685925"/>
                          </a:xfrm>
                          <a:custGeom>
                            <a:avLst/>
                            <a:gdLst/>
                            <a:ahLst/>
                            <a:cxnLst/>
                            <a:rect l="l" t="t" r="r" b="b"/>
                            <a:pathLst>
                              <a:path w="6515100" h="1685925">
                                <a:moveTo>
                                  <a:pt x="6515100" y="1524000"/>
                                </a:moveTo>
                                <a:lnTo>
                                  <a:pt x="0" y="1524000"/>
                                </a:lnTo>
                                <a:lnTo>
                                  <a:pt x="0" y="1685925"/>
                                </a:lnTo>
                                <a:lnTo>
                                  <a:pt x="6515100" y="1685925"/>
                                </a:lnTo>
                                <a:lnTo>
                                  <a:pt x="6515100" y="1524000"/>
                                </a:lnTo>
                                <a:close/>
                              </a:path>
                              <a:path w="6515100" h="1685925">
                                <a:moveTo>
                                  <a:pt x="6515100" y="1200150"/>
                                </a:moveTo>
                                <a:lnTo>
                                  <a:pt x="0" y="1200150"/>
                                </a:lnTo>
                                <a:lnTo>
                                  <a:pt x="0" y="1362075"/>
                                </a:lnTo>
                                <a:lnTo>
                                  <a:pt x="6515100" y="1362075"/>
                                </a:lnTo>
                                <a:lnTo>
                                  <a:pt x="6515100" y="1200150"/>
                                </a:lnTo>
                                <a:close/>
                              </a:path>
                              <a:path w="6515100" h="1685925">
                                <a:moveTo>
                                  <a:pt x="6515100" y="323850"/>
                                </a:moveTo>
                                <a:lnTo>
                                  <a:pt x="0" y="323850"/>
                                </a:lnTo>
                                <a:lnTo>
                                  <a:pt x="0" y="485775"/>
                                </a:lnTo>
                                <a:lnTo>
                                  <a:pt x="6515100" y="485775"/>
                                </a:lnTo>
                                <a:lnTo>
                                  <a:pt x="6515100" y="323850"/>
                                </a:lnTo>
                                <a:close/>
                              </a:path>
                              <a:path w="6515100" h="1685925">
                                <a:moveTo>
                                  <a:pt x="6515100" y="0"/>
                                </a:moveTo>
                                <a:lnTo>
                                  <a:pt x="0" y="0"/>
                                </a:lnTo>
                                <a:lnTo>
                                  <a:pt x="0" y="161925"/>
                                </a:lnTo>
                                <a:lnTo>
                                  <a:pt x="6515100" y="161925"/>
                                </a:lnTo>
                                <a:lnTo>
                                  <a:pt x="6515100" y="0"/>
                                </a:lnTo>
                                <a:close/>
                              </a:path>
                            </a:pathLst>
                          </a:custGeom>
                          <a:solidFill>
                            <a:srgbClr val="CCEDFF"/>
                          </a:solidFill>
                        </wps:spPr>
                        <wps:bodyPr wrap="square" lIns="0" tIns="0" rIns="0" bIns="0" rtlCol="0">
                          <a:prstTxWarp prst="textNoShape">
                            <a:avLst/>
                          </a:prstTxWarp>
                          <a:noAutofit/>
                        </wps:bodyPr>
                      </wps:wsp>
                      <wps:wsp>
                        <wps:cNvPr id="454" name="Graphic 454"/>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455" name="Graphic 455"/>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456" name="Graphic 456"/>
                        <wps:cNvSpPr/>
                        <wps:spPr>
                          <a:xfrm>
                            <a:off x="1695450" y="165100"/>
                            <a:ext cx="2152650" cy="1270"/>
                          </a:xfrm>
                          <a:custGeom>
                            <a:avLst/>
                            <a:gdLst/>
                            <a:ahLst/>
                            <a:cxnLst/>
                            <a:rect l="l" t="t" r="r" b="b"/>
                            <a:pathLst>
                              <a:path w="2152650" h="0">
                                <a:moveTo>
                                  <a:pt x="2152650" y="0"/>
                                </a:moveTo>
                                <a:lnTo>
                                  <a:pt x="0" y="0"/>
                                </a:lnTo>
                              </a:path>
                            </a:pathLst>
                          </a:custGeom>
                          <a:solidFill>
                            <a:srgbClr val="000000"/>
                          </a:solidFill>
                        </wps:spPr>
                        <wps:bodyPr wrap="square" lIns="0" tIns="0" rIns="0" bIns="0" rtlCol="0">
                          <a:prstTxWarp prst="textNoShape">
                            <a:avLst/>
                          </a:prstTxWarp>
                          <a:noAutofit/>
                        </wps:bodyPr>
                      </wps:wsp>
                      <wps:wsp>
                        <wps:cNvPr id="457" name="Graphic 457"/>
                        <wps:cNvSpPr/>
                        <wps:spPr>
                          <a:xfrm>
                            <a:off x="1695450" y="165100"/>
                            <a:ext cx="2152650" cy="1270"/>
                          </a:xfrm>
                          <a:custGeom>
                            <a:avLst/>
                            <a:gdLst/>
                            <a:ahLst/>
                            <a:cxnLst/>
                            <a:rect l="l" t="t" r="r" b="b"/>
                            <a:pathLst>
                              <a:path w="2152650" h="0">
                                <a:moveTo>
                                  <a:pt x="0" y="0"/>
                                </a:moveTo>
                                <a:lnTo>
                                  <a:pt x="2152650" y="0"/>
                                </a:lnTo>
                              </a:path>
                            </a:pathLst>
                          </a:custGeom>
                          <a:ln w="6350">
                            <a:solidFill>
                              <a:srgbClr val="000000"/>
                            </a:solidFill>
                            <a:prstDash val="solid"/>
                          </a:ln>
                        </wps:spPr>
                        <wps:bodyPr wrap="square" lIns="0" tIns="0" rIns="0" bIns="0" rtlCol="0">
                          <a:prstTxWarp prst="textNoShape">
                            <a:avLst/>
                          </a:prstTxWarp>
                          <a:noAutofit/>
                        </wps:bodyPr>
                      </wps:wsp>
                      <wps:wsp>
                        <wps:cNvPr id="458" name="Graphic 458"/>
                        <wps:cNvSpPr/>
                        <wps:spPr>
                          <a:xfrm>
                            <a:off x="3895725" y="165100"/>
                            <a:ext cx="2133600" cy="1270"/>
                          </a:xfrm>
                          <a:custGeom>
                            <a:avLst/>
                            <a:gdLst/>
                            <a:ahLst/>
                            <a:cxnLst/>
                            <a:rect l="l" t="t" r="r" b="b"/>
                            <a:pathLst>
                              <a:path w="2133600" h="0">
                                <a:moveTo>
                                  <a:pt x="2133600" y="0"/>
                                </a:moveTo>
                                <a:lnTo>
                                  <a:pt x="0" y="0"/>
                                </a:lnTo>
                              </a:path>
                            </a:pathLst>
                          </a:custGeom>
                          <a:solidFill>
                            <a:srgbClr val="000000"/>
                          </a:solidFill>
                        </wps:spPr>
                        <wps:bodyPr wrap="square" lIns="0" tIns="0" rIns="0" bIns="0" rtlCol="0">
                          <a:prstTxWarp prst="textNoShape">
                            <a:avLst/>
                          </a:prstTxWarp>
                          <a:noAutofit/>
                        </wps:bodyPr>
                      </wps:wsp>
                      <wps:wsp>
                        <wps:cNvPr id="459" name="Graphic 459"/>
                        <wps:cNvSpPr/>
                        <wps:spPr>
                          <a:xfrm>
                            <a:off x="3895725" y="165100"/>
                            <a:ext cx="2133600" cy="1270"/>
                          </a:xfrm>
                          <a:custGeom>
                            <a:avLst/>
                            <a:gdLst/>
                            <a:ahLst/>
                            <a:cxnLst/>
                            <a:rect l="l" t="t" r="r" b="b"/>
                            <a:pathLst>
                              <a:path w="2133600" h="0">
                                <a:moveTo>
                                  <a:pt x="0" y="0"/>
                                </a:moveTo>
                                <a:lnTo>
                                  <a:pt x="2133600" y="0"/>
                                </a:lnTo>
                              </a:path>
                            </a:pathLst>
                          </a:custGeom>
                          <a:ln w="6350">
                            <a:solidFill>
                              <a:srgbClr val="000000"/>
                            </a:solidFill>
                            <a:prstDash val="solid"/>
                          </a:ln>
                        </wps:spPr>
                        <wps:bodyPr wrap="square" lIns="0" tIns="0" rIns="0" bIns="0" rtlCol="0">
                          <a:prstTxWarp prst="textNoShape">
                            <a:avLst/>
                          </a:prstTxWarp>
                          <a:noAutofit/>
                        </wps:bodyPr>
                      </wps:wsp>
                      <wps:wsp>
                        <wps:cNvPr id="460" name="Graphic 460"/>
                        <wps:cNvSpPr/>
                        <wps:spPr>
                          <a:xfrm>
                            <a:off x="0" y="55562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461" name="Graphic 461"/>
                        <wps:cNvSpPr/>
                        <wps:spPr>
                          <a:xfrm>
                            <a:off x="0" y="55562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462" name="Graphic 462"/>
                        <wps:cNvSpPr/>
                        <wps:spPr>
                          <a:xfrm>
                            <a:off x="0" y="8794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463" name="Graphic 463"/>
                        <wps:cNvSpPr/>
                        <wps:spPr>
                          <a:xfrm>
                            <a:off x="0" y="8794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464" name="Graphic 464"/>
                        <wps:cNvSpPr/>
                        <wps:spPr>
                          <a:xfrm>
                            <a:off x="0" y="1022350"/>
                            <a:ext cx="6515100" cy="12700"/>
                          </a:xfrm>
                          <a:custGeom>
                            <a:avLst/>
                            <a:gdLst/>
                            <a:ahLst/>
                            <a:cxnLst/>
                            <a:rect l="l" t="t" r="r" b="b"/>
                            <a:pathLst>
                              <a:path w="6515100" h="12700">
                                <a:moveTo>
                                  <a:pt x="0" y="12699"/>
                                </a:moveTo>
                                <a:lnTo>
                                  <a:pt x="6515100" y="12699"/>
                                </a:lnTo>
                                <a:lnTo>
                                  <a:pt x="6515100" y="0"/>
                                </a:lnTo>
                                <a:lnTo>
                                  <a:pt x="0" y="0"/>
                                </a:lnTo>
                                <a:lnTo>
                                  <a:pt x="0" y="12699"/>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0" y="1054100"/>
                            <a:ext cx="6515100" cy="1270"/>
                          </a:xfrm>
                          <a:custGeom>
                            <a:avLst/>
                            <a:gdLst/>
                            <a:ahLst/>
                            <a:cxnLst/>
                            <a:rect l="l" t="t" r="r" b="b"/>
                            <a:pathLst>
                              <a:path w="6515100" h="0">
                                <a:moveTo>
                                  <a:pt x="0" y="0"/>
                                </a:moveTo>
                                <a:lnTo>
                                  <a:pt x="6515100" y="0"/>
                                </a:lnTo>
                              </a:path>
                            </a:pathLst>
                          </a:custGeom>
                          <a:ln w="12700">
                            <a:solidFill>
                              <a:srgbClr val="000000"/>
                            </a:solidFill>
                            <a:prstDash val="solid"/>
                          </a:ln>
                        </wps:spPr>
                        <wps:bodyPr wrap="square" lIns="0" tIns="0" rIns="0" bIns="0" rtlCol="0">
                          <a:prstTxWarp prst="textNoShape">
                            <a:avLst/>
                          </a:prstTxWarp>
                          <a:noAutofit/>
                        </wps:bodyPr>
                      </wps:wsp>
                      <wps:wsp>
                        <wps:cNvPr id="466" name="Graphic 466"/>
                        <wps:cNvSpPr/>
                        <wps:spPr>
                          <a:xfrm>
                            <a:off x="0" y="120332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467" name="Graphic 467"/>
                        <wps:cNvSpPr/>
                        <wps:spPr>
                          <a:xfrm>
                            <a:off x="0" y="120332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468" name="Graphic 468"/>
                        <wps:cNvSpPr/>
                        <wps:spPr>
                          <a:xfrm>
                            <a:off x="1695450" y="1365250"/>
                            <a:ext cx="2152650" cy="1270"/>
                          </a:xfrm>
                          <a:custGeom>
                            <a:avLst/>
                            <a:gdLst/>
                            <a:ahLst/>
                            <a:cxnLst/>
                            <a:rect l="l" t="t" r="r" b="b"/>
                            <a:pathLst>
                              <a:path w="2152650" h="0">
                                <a:moveTo>
                                  <a:pt x="2152650" y="0"/>
                                </a:moveTo>
                                <a:lnTo>
                                  <a:pt x="0" y="0"/>
                                </a:lnTo>
                              </a:path>
                            </a:pathLst>
                          </a:custGeom>
                          <a:solidFill>
                            <a:srgbClr val="000000"/>
                          </a:solidFill>
                        </wps:spPr>
                        <wps:bodyPr wrap="square" lIns="0" tIns="0" rIns="0" bIns="0" rtlCol="0">
                          <a:prstTxWarp prst="textNoShape">
                            <a:avLst/>
                          </a:prstTxWarp>
                          <a:noAutofit/>
                        </wps:bodyPr>
                      </wps:wsp>
                      <wps:wsp>
                        <wps:cNvPr id="469" name="Graphic 469"/>
                        <wps:cNvSpPr/>
                        <wps:spPr>
                          <a:xfrm>
                            <a:off x="1695450" y="1365250"/>
                            <a:ext cx="2152650" cy="1270"/>
                          </a:xfrm>
                          <a:custGeom>
                            <a:avLst/>
                            <a:gdLst/>
                            <a:ahLst/>
                            <a:cxnLst/>
                            <a:rect l="l" t="t" r="r" b="b"/>
                            <a:pathLst>
                              <a:path w="2152650" h="0">
                                <a:moveTo>
                                  <a:pt x="0" y="0"/>
                                </a:moveTo>
                                <a:lnTo>
                                  <a:pt x="2152650" y="0"/>
                                </a:lnTo>
                              </a:path>
                            </a:pathLst>
                          </a:custGeom>
                          <a:ln w="6350">
                            <a:solidFill>
                              <a:srgbClr val="000000"/>
                            </a:solidFill>
                            <a:prstDash val="solid"/>
                          </a:ln>
                        </wps:spPr>
                        <wps:bodyPr wrap="square" lIns="0" tIns="0" rIns="0" bIns="0" rtlCol="0">
                          <a:prstTxWarp prst="textNoShape">
                            <a:avLst/>
                          </a:prstTxWarp>
                          <a:noAutofit/>
                        </wps:bodyPr>
                      </wps:wsp>
                      <wps:wsp>
                        <wps:cNvPr id="470" name="Graphic 470"/>
                        <wps:cNvSpPr/>
                        <wps:spPr>
                          <a:xfrm>
                            <a:off x="3895725" y="1365250"/>
                            <a:ext cx="2133600" cy="1270"/>
                          </a:xfrm>
                          <a:custGeom>
                            <a:avLst/>
                            <a:gdLst/>
                            <a:ahLst/>
                            <a:cxnLst/>
                            <a:rect l="l" t="t" r="r" b="b"/>
                            <a:pathLst>
                              <a:path w="2133600" h="0">
                                <a:moveTo>
                                  <a:pt x="2133600" y="0"/>
                                </a:moveTo>
                                <a:lnTo>
                                  <a:pt x="0" y="0"/>
                                </a:lnTo>
                              </a:path>
                            </a:pathLst>
                          </a:custGeom>
                          <a:solidFill>
                            <a:srgbClr val="000000"/>
                          </a:solidFill>
                        </wps:spPr>
                        <wps:bodyPr wrap="square" lIns="0" tIns="0" rIns="0" bIns="0" rtlCol="0">
                          <a:prstTxWarp prst="textNoShape">
                            <a:avLst/>
                          </a:prstTxWarp>
                          <a:noAutofit/>
                        </wps:bodyPr>
                      </wps:wsp>
                      <wps:wsp>
                        <wps:cNvPr id="471" name="Graphic 471"/>
                        <wps:cNvSpPr/>
                        <wps:spPr>
                          <a:xfrm>
                            <a:off x="3895725" y="1365250"/>
                            <a:ext cx="2133600" cy="1270"/>
                          </a:xfrm>
                          <a:custGeom>
                            <a:avLst/>
                            <a:gdLst/>
                            <a:ahLst/>
                            <a:cxnLst/>
                            <a:rect l="l" t="t" r="r" b="b"/>
                            <a:pathLst>
                              <a:path w="2133600" h="0">
                                <a:moveTo>
                                  <a:pt x="0" y="0"/>
                                </a:moveTo>
                                <a:lnTo>
                                  <a:pt x="2133600" y="0"/>
                                </a:lnTo>
                              </a:path>
                            </a:pathLst>
                          </a:custGeom>
                          <a:ln w="6350">
                            <a:solidFill>
                              <a:srgbClr val="000000"/>
                            </a:solidFill>
                            <a:prstDash val="solid"/>
                          </a:ln>
                        </wps:spPr>
                        <wps:bodyPr wrap="square" lIns="0" tIns="0" rIns="0" bIns="0" rtlCol="0">
                          <a:prstTxWarp prst="textNoShape">
                            <a:avLst/>
                          </a:prstTxWarp>
                          <a:noAutofit/>
                        </wps:bodyPr>
                      </wps:wsp>
                      <wps:wsp>
                        <wps:cNvPr id="472" name="Graphic 472"/>
                        <wps:cNvSpPr/>
                        <wps:spPr>
                          <a:xfrm>
                            <a:off x="0" y="17557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473" name="Graphic 473"/>
                        <wps:cNvSpPr/>
                        <wps:spPr>
                          <a:xfrm>
                            <a:off x="0" y="17557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474" name="Graphic 474"/>
                        <wps:cNvSpPr/>
                        <wps:spPr>
                          <a:xfrm>
                            <a:off x="0" y="207962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475" name="Graphic 475"/>
                        <wps:cNvSpPr/>
                        <wps:spPr>
                          <a:xfrm>
                            <a:off x="0" y="207962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476" name="Graphic 476"/>
                        <wps:cNvSpPr/>
                        <wps:spPr>
                          <a:xfrm>
                            <a:off x="0" y="2222500"/>
                            <a:ext cx="6515100" cy="12700"/>
                          </a:xfrm>
                          <a:custGeom>
                            <a:avLst/>
                            <a:gdLst/>
                            <a:ahLst/>
                            <a:cxnLst/>
                            <a:rect l="l" t="t" r="r" b="b"/>
                            <a:pathLst>
                              <a:path w="6515100" h="12700">
                                <a:moveTo>
                                  <a:pt x="0" y="12699"/>
                                </a:moveTo>
                                <a:lnTo>
                                  <a:pt x="6515100" y="12699"/>
                                </a:lnTo>
                                <a:lnTo>
                                  <a:pt x="6515100" y="0"/>
                                </a:lnTo>
                                <a:lnTo>
                                  <a:pt x="0" y="0"/>
                                </a:lnTo>
                                <a:lnTo>
                                  <a:pt x="0" y="12699"/>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0" y="2254250"/>
                            <a:ext cx="6515100" cy="1270"/>
                          </a:xfrm>
                          <a:custGeom>
                            <a:avLst/>
                            <a:gdLst/>
                            <a:ahLst/>
                            <a:cxnLst/>
                            <a:rect l="l" t="t" r="r" b="b"/>
                            <a:pathLst>
                              <a:path w="6515100" h="0">
                                <a:moveTo>
                                  <a:pt x="0" y="0"/>
                                </a:moveTo>
                                <a:lnTo>
                                  <a:pt x="6515100" y="0"/>
                                </a:lnTo>
                              </a:path>
                            </a:pathLst>
                          </a:custGeom>
                          <a:ln w="12700">
                            <a:solidFill>
                              <a:srgbClr val="000000"/>
                            </a:solidFill>
                            <a:prstDash val="solid"/>
                          </a:ln>
                        </wps:spPr>
                        <wps:bodyPr wrap="square" lIns="0" tIns="0" rIns="0" bIns="0" rtlCol="0">
                          <a:prstTxWarp prst="textNoShape">
                            <a:avLst/>
                          </a:prstTxWarp>
                          <a:noAutofit/>
                        </wps:bodyPr>
                      </wps:wsp>
                      <wps:wsp>
                        <wps:cNvPr id="478" name="Textbox 478"/>
                        <wps:cNvSpPr txBox="1"/>
                        <wps:spPr>
                          <a:xfrm>
                            <a:off x="2376932" y="19557"/>
                            <a:ext cx="803275" cy="127000"/>
                          </a:xfrm>
                          <a:prstGeom prst="rect">
                            <a:avLst/>
                          </a:prstGeom>
                        </wps:spPr>
                        <wps:txbx>
                          <w:txbxContent>
                            <w:p>
                              <w:pPr>
                                <w:spacing w:line="199" w:lineRule="exact" w:before="0"/>
                                <w:ind w:left="0" w:right="0" w:firstLine="0"/>
                                <w:jc w:val="left"/>
                                <w:rPr>
                                  <w:sz w:val="18"/>
                                </w:rPr>
                              </w:pPr>
                              <w:r>
                                <w:rPr>
                                  <w:sz w:val="18"/>
                                </w:rPr>
                                <w:t>Investor</w:t>
                              </w:r>
                              <w:r>
                                <w:rPr>
                                  <w:spacing w:val="-1"/>
                                  <w:sz w:val="18"/>
                                </w:rPr>
                                <w:t> </w:t>
                              </w:r>
                              <w:r>
                                <w:rPr>
                                  <w:spacing w:val="-2"/>
                                  <w:sz w:val="18"/>
                                </w:rPr>
                                <w:t>Services</w:t>
                              </w:r>
                            </w:p>
                          </w:txbxContent>
                        </wps:txbx>
                        <wps:bodyPr wrap="square" lIns="0" tIns="0" rIns="0" bIns="0" rtlCol="0">
                          <a:noAutofit/>
                        </wps:bodyPr>
                      </wps:wsp>
                      <wps:wsp>
                        <wps:cNvPr id="479" name="Textbox 479"/>
                        <wps:cNvSpPr txBox="1"/>
                        <wps:spPr>
                          <a:xfrm>
                            <a:off x="4570729" y="19557"/>
                            <a:ext cx="796925" cy="127000"/>
                          </a:xfrm>
                          <a:prstGeom prst="rect">
                            <a:avLst/>
                          </a:prstGeom>
                        </wps:spPr>
                        <wps:txbx>
                          <w:txbxContent>
                            <w:p>
                              <w:pPr>
                                <w:spacing w:line="199" w:lineRule="exact" w:before="0"/>
                                <w:ind w:left="0" w:right="0" w:firstLine="0"/>
                                <w:jc w:val="left"/>
                                <w:rPr>
                                  <w:sz w:val="18"/>
                                </w:rPr>
                              </w:pPr>
                              <w:r>
                                <w:rPr>
                                  <w:sz w:val="18"/>
                                </w:rPr>
                                <w:t>Advisor</w:t>
                              </w:r>
                              <w:r>
                                <w:rPr>
                                  <w:spacing w:val="-2"/>
                                  <w:sz w:val="18"/>
                                </w:rPr>
                                <w:t> Services</w:t>
                              </w:r>
                            </w:p>
                          </w:txbxContent>
                        </wps:txbx>
                        <wps:bodyPr wrap="square" lIns="0" tIns="0" rIns="0" bIns="0" rtlCol="0">
                          <a:noAutofit/>
                        </wps:bodyPr>
                      </wps:wsp>
                      <wps:wsp>
                        <wps:cNvPr id="480" name="Textbox 480"/>
                        <wps:cNvSpPr txBox="1"/>
                        <wps:spPr>
                          <a:xfrm>
                            <a:off x="33401" y="181482"/>
                            <a:ext cx="6391275" cy="355600"/>
                          </a:xfrm>
                          <a:prstGeom prst="rect">
                            <a:avLst/>
                          </a:prstGeom>
                        </wps:spPr>
                        <wps:txbx>
                          <w:txbxContent>
                            <w:p>
                              <w:pPr>
                                <w:tabs>
                                  <w:tab w:pos="2764" w:val="left" w:leader="none"/>
                                  <w:tab w:pos="4142" w:val="left" w:leader="none"/>
                                  <w:tab w:pos="5312" w:val="left" w:leader="none"/>
                                  <w:tab w:pos="6244" w:val="left" w:leader="none"/>
                                  <w:tab w:pos="6400" w:val="left" w:leader="none"/>
                                  <w:tab w:pos="7607" w:val="left" w:leader="none"/>
                                  <w:tab w:pos="8747" w:val="left" w:leader="none"/>
                                </w:tabs>
                                <w:spacing w:line="208" w:lineRule="auto" w:before="14"/>
                                <w:ind w:left="0" w:right="705" w:firstLine="2920"/>
                                <w:jc w:val="left"/>
                                <w:rPr>
                                  <w:sz w:val="18"/>
                                </w:rPr>
                              </w:pPr>
                              <w:r>
                                <w:rPr>
                                  <w:spacing w:val="-2"/>
                                  <w:sz w:val="18"/>
                                </w:rPr>
                                <w:t>Employee</w:t>
                              </w:r>
                              <w:r>
                                <w:rPr>
                                  <w:sz w:val="18"/>
                                </w:rPr>
                                <w:tab/>
                                <w:tab/>
                              </w:r>
                              <w:r>
                                <w:rPr>
                                  <w:spacing w:val="-36"/>
                                  <w:sz w:val="18"/>
                                </w:rPr>
                                <w:t> </w:t>
                              </w:r>
                              <w:r>
                                <w:rPr>
                                  <w:spacing w:val="-2"/>
                                  <w:sz w:val="18"/>
                                </w:rPr>
                                <w:t>Investor</w:t>
                              </w:r>
                              <w:r>
                                <w:rPr>
                                  <w:sz w:val="18"/>
                                </w:rPr>
                                <w:tab/>
                                <w:tab/>
                              </w:r>
                              <w:r>
                                <w:rPr>
                                  <w:spacing w:val="-2"/>
                                  <w:sz w:val="18"/>
                                </w:rPr>
                                <w:t>Employee</w:t>
                              </w:r>
                              <w:r>
                                <w:rPr>
                                  <w:sz w:val="18"/>
                                </w:rPr>
                                <w:tab/>
                                <w:tab/>
                              </w:r>
                              <w:r>
                                <w:rPr>
                                  <w:spacing w:val="-31"/>
                                  <w:sz w:val="18"/>
                                </w:rPr>
                                <w:t> </w:t>
                              </w:r>
                              <w:r>
                                <w:rPr>
                                  <w:sz w:val="18"/>
                                </w:rPr>
                                <w:t>Advisor Three</w:t>
                              </w:r>
                              <w:r>
                                <w:rPr>
                                  <w:spacing w:val="-1"/>
                                  <w:sz w:val="18"/>
                                </w:rPr>
                                <w:t> </w:t>
                              </w:r>
                              <w:r>
                                <w:rPr>
                                  <w:sz w:val="18"/>
                                </w:rPr>
                                <w:t>Months</w:t>
                              </w:r>
                              <w:r>
                                <w:rPr>
                                  <w:spacing w:val="-1"/>
                                  <w:sz w:val="18"/>
                                </w:rPr>
                                <w:t> </w:t>
                              </w:r>
                              <w:r>
                                <w:rPr>
                                  <w:spacing w:val="-2"/>
                                  <w:sz w:val="18"/>
                                </w:rPr>
                                <w:t>Ended</w:t>
                              </w:r>
                              <w:r>
                                <w:rPr>
                                  <w:sz w:val="18"/>
                                </w:rPr>
                                <w:tab/>
                              </w:r>
                              <w:r>
                                <w:rPr>
                                  <w:spacing w:val="-2"/>
                                  <w:sz w:val="18"/>
                                </w:rPr>
                                <w:t>Compensation</w:t>
                              </w:r>
                              <w:r>
                                <w:rPr>
                                  <w:sz w:val="18"/>
                                </w:rPr>
                                <w:tab/>
                                <w:t>Facility</w:t>
                              </w:r>
                              <w:r>
                                <w:rPr>
                                  <w:spacing w:val="-3"/>
                                  <w:sz w:val="18"/>
                                </w:rPr>
                                <w:t> </w:t>
                              </w:r>
                              <w:r>
                                <w:rPr>
                                  <w:spacing w:val="-4"/>
                                  <w:sz w:val="18"/>
                                </w:rPr>
                                <w:t>Exit</w:t>
                              </w:r>
                              <w:r>
                                <w:rPr>
                                  <w:sz w:val="18"/>
                                </w:rPr>
                                <w:tab/>
                              </w:r>
                              <w:r>
                                <w:rPr>
                                  <w:spacing w:val="-2"/>
                                  <w:sz w:val="18"/>
                                </w:rPr>
                                <w:t>Services</w:t>
                              </w:r>
                              <w:r>
                                <w:rPr>
                                  <w:sz w:val="18"/>
                                </w:rPr>
                                <w:tab/>
                              </w:r>
                              <w:r>
                                <w:rPr>
                                  <w:spacing w:val="-2"/>
                                  <w:sz w:val="18"/>
                                </w:rPr>
                                <w:t>Compensation</w:t>
                              </w:r>
                              <w:r>
                                <w:rPr>
                                  <w:sz w:val="18"/>
                                </w:rPr>
                                <w:tab/>
                                <w:t>Facility</w:t>
                              </w:r>
                              <w:r>
                                <w:rPr>
                                  <w:spacing w:val="-3"/>
                                  <w:sz w:val="18"/>
                                </w:rPr>
                                <w:t> </w:t>
                              </w:r>
                              <w:r>
                                <w:rPr>
                                  <w:spacing w:val="-4"/>
                                  <w:sz w:val="18"/>
                                </w:rPr>
                                <w:t>Exit</w:t>
                              </w:r>
                              <w:r>
                                <w:rPr>
                                  <w:sz w:val="18"/>
                                </w:rPr>
                                <w:tab/>
                              </w:r>
                              <w:r>
                                <w:rPr>
                                  <w:spacing w:val="-2"/>
                                  <w:sz w:val="18"/>
                                </w:rPr>
                                <w:t>Services</w:t>
                              </w:r>
                            </w:p>
                            <w:p>
                              <w:pPr>
                                <w:tabs>
                                  <w:tab w:pos="2832" w:val="left" w:leader="none"/>
                                  <w:tab w:pos="4299" w:val="left" w:leader="none"/>
                                  <w:tab w:pos="5427" w:val="left" w:leader="none"/>
                                  <w:tab w:pos="6312" w:val="left" w:leader="none"/>
                                  <w:tab w:pos="7764" w:val="left" w:leader="none"/>
                                  <w:tab w:pos="8862" w:val="left" w:leader="none"/>
                                  <w:tab w:pos="9664" w:val="left" w:leader="none"/>
                                </w:tabs>
                                <w:spacing w:line="185" w:lineRule="exact" w:before="0"/>
                                <w:ind w:left="0" w:right="0" w:firstLine="0"/>
                                <w:jc w:val="left"/>
                                <w:rPr>
                                  <w:sz w:val="18"/>
                                </w:rPr>
                              </w:pPr>
                              <w:r>
                                <w:rPr>
                                  <w:sz w:val="18"/>
                                </w:rPr>
                                <w:t>September</w:t>
                              </w:r>
                              <w:r>
                                <w:rPr>
                                  <w:spacing w:val="-1"/>
                                  <w:sz w:val="18"/>
                                </w:rPr>
                                <w:t> </w:t>
                              </w:r>
                              <w:r>
                                <w:rPr>
                                  <w:spacing w:val="-5"/>
                                  <w:sz w:val="18"/>
                                </w:rPr>
                                <w:t>30,</w:t>
                              </w:r>
                              <w:r>
                                <w:rPr>
                                  <w:sz w:val="18"/>
                                </w:rPr>
                                <w:tab/>
                                <w:t>and</w:t>
                              </w:r>
                              <w:r>
                                <w:rPr>
                                  <w:spacing w:val="-2"/>
                                  <w:sz w:val="18"/>
                                </w:rPr>
                                <w:t> Benefits</w:t>
                              </w:r>
                              <w:r>
                                <w:rPr>
                                  <w:sz w:val="18"/>
                                </w:rPr>
                                <w:tab/>
                                <w:t>Costs</w:t>
                              </w:r>
                              <w:r>
                                <w:rPr>
                                  <w:spacing w:val="-4"/>
                                  <w:sz w:val="18"/>
                                </w:rPr>
                                <w:t> </w:t>
                              </w:r>
                              <w:r>
                                <w:rPr>
                                  <w:spacing w:val="-5"/>
                                  <w:sz w:val="18"/>
                                  <w:vertAlign w:val="superscript"/>
                                </w:rPr>
                                <w:t>(1)</w:t>
                              </w:r>
                              <w:r>
                                <w:rPr>
                                  <w:sz w:val="18"/>
                                  <w:vertAlign w:val="baseline"/>
                                </w:rPr>
                                <w:tab/>
                              </w:r>
                              <w:r>
                                <w:rPr>
                                  <w:spacing w:val="-2"/>
                                  <w:sz w:val="18"/>
                                  <w:vertAlign w:val="baseline"/>
                                </w:rPr>
                                <w:t>Total</w:t>
                              </w:r>
                              <w:r>
                                <w:rPr>
                                  <w:sz w:val="18"/>
                                  <w:vertAlign w:val="baseline"/>
                                </w:rPr>
                                <w:tab/>
                                <w:t>and</w:t>
                              </w:r>
                              <w:r>
                                <w:rPr>
                                  <w:spacing w:val="-2"/>
                                  <w:sz w:val="18"/>
                                  <w:vertAlign w:val="baseline"/>
                                </w:rPr>
                                <w:t> Benefits</w:t>
                              </w:r>
                              <w:r>
                                <w:rPr>
                                  <w:sz w:val="18"/>
                                  <w:vertAlign w:val="baseline"/>
                                </w:rPr>
                                <w:tab/>
                                <w:t>Costs</w:t>
                              </w:r>
                              <w:r>
                                <w:rPr>
                                  <w:spacing w:val="-4"/>
                                  <w:sz w:val="18"/>
                                  <w:vertAlign w:val="baseline"/>
                                </w:rPr>
                                <w:t> </w:t>
                              </w:r>
                              <w:r>
                                <w:rPr>
                                  <w:spacing w:val="-5"/>
                                  <w:sz w:val="18"/>
                                  <w:vertAlign w:val="superscript"/>
                                </w:rPr>
                                <w:t>(1)</w:t>
                              </w:r>
                              <w:r>
                                <w:rPr>
                                  <w:sz w:val="18"/>
                                  <w:vertAlign w:val="baseline"/>
                                </w:rPr>
                                <w:tab/>
                              </w:r>
                              <w:r>
                                <w:rPr>
                                  <w:spacing w:val="-2"/>
                                  <w:sz w:val="18"/>
                                  <w:vertAlign w:val="baseline"/>
                                </w:rPr>
                                <w:t>Total</w:t>
                              </w:r>
                              <w:r>
                                <w:rPr>
                                  <w:sz w:val="18"/>
                                  <w:vertAlign w:val="baseline"/>
                                </w:rPr>
                                <w:tab/>
                              </w:r>
                              <w:r>
                                <w:rPr>
                                  <w:spacing w:val="-2"/>
                                  <w:sz w:val="18"/>
                                  <w:vertAlign w:val="baseline"/>
                                </w:rPr>
                                <w:t>Total</w:t>
                              </w:r>
                            </w:p>
                          </w:txbxContent>
                        </wps:txbx>
                        <wps:bodyPr wrap="square" lIns="0" tIns="0" rIns="0" bIns="0" rtlCol="0">
                          <a:noAutofit/>
                        </wps:bodyPr>
                      </wps:wsp>
                      <wps:wsp>
                        <wps:cNvPr id="481" name="Textbox 481"/>
                        <wps:cNvSpPr txBox="1"/>
                        <wps:spPr>
                          <a:xfrm>
                            <a:off x="33401" y="733932"/>
                            <a:ext cx="1231900" cy="127000"/>
                          </a:xfrm>
                          <a:prstGeom prst="rect">
                            <a:avLst/>
                          </a:prstGeom>
                        </wps:spPr>
                        <wps:txbx>
                          <w:txbxContent>
                            <w:p>
                              <w:pPr>
                                <w:spacing w:line="199" w:lineRule="exact" w:before="0"/>
                                <w:ind w:left="0" w:right="0" w:firstLine="0"/>
                                <w:jc w:val="left"/>
                                <w:rPr>
                                  <w:sz w:val="18"/>
                                </w:rPr>
                              </w:pPr>
                              <w:r>
                                <w:rPr>
                                  <w:sz w:val="18"/>
                                </w:rPr>
                                <w:t>Occupancy</w:t>
                              </w:r>
                              <w:r>
                                <w:rPr>
                                  <w:spacing w:val="-1"/>
                                  <w:sz w:val="18"/>
                                </w:rPr>
                                <w:t> </w:t>
                              </w:r>
                              <w:r>
                                <w:rPr>
                                  <w:sz w:val="18"/>
                                </w:rPr>
                                <w:t>and </w:t>
                              </w:r>
                              <w:r>
                                <w:rPr>
                                  <w:spacing w:val="-2"/>
                                  <w:sz w:val="18"/>
                                </w:rPr>
                                <w:t>equipment</w:t>
                              </w:r>
                            </w:p>
                          </w:txbxContent>
                        </wps:txbx>
                        <wps:bodyPr wrap="square" lIns="0" tIns="0" rIns="0" bIns="0" rtlCol="0">
                          <a:noAutofit/>
                        </wps:bodyPr>
                      </wps:wsp>
                      <wps:wsp>
                        <wps:cNvPr id="482" name="Textbox 482"/>
                        <wps:cNvSpPr txBox="1"/>
                        <wps:spPr>
                          <a:xfrm>
                            <a:off x="2381275" y="733932"/>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483" name="Textbox 483"/>
                        <wps:cNvSpPr txBox="1"/>
                        <wps:spPr>
                          <a:xfrm>
                            <a:off x="3200501" y="733932"/>
                            <a:ext cx="69850" cy="127000"/>
                          </a:xfrm>
                          <a:prstGeom prst="rect">
                            <a:avLst/>
                          </a:prstGeom>
                        </wps:spPr>
                        <wps:txbx>
                          <w:txbxContent>
                            <w:p>
                              <w:pPr>
                                <w:spacing w:line="199" w:lineRule="exact" w:before="0"/>
                                <w:ind w:left="0" w:right="0" w:firstLine="0"/>
                                <w:jc w:val="left"/>
                                <w:rPr>
                                  <w:sz w:val="18"/>
                                </w:rPr>
                              </w:pPr>
                              <w:r>
                                <w:rPr>
                                  <w:spacing w:val="-10"/>
                                  <w:sz w:val="18"/>
                                </w:rPr>
                                <w:t>2</w:t>
                              </w:r>
                            </w:p>
                          </w:txbxContent>
                        </wps:txbx>
                        <wps:bodyPr wrap="square" lIns="0" tIns="0" rIns="0" bIns="0" rtlCol="0">
                          <a:noAutofit/>
                        </wps:bodyPr>
                      </wps:wsp>
                      <wps:wsp>
                        <wps:cNvPr id="484" name="Textbox 484"/>
                        <wps:cNvSpPr txBox="1"/>
                        <wps:spPr>
                          <a:xfrm>
                            <a:off x="3743388" y="733932"/>
                            <a:ext cx="69850" cy="127000"/>
                          </a:xfrm>
                          <a:prstGeom prst="rect">
                            <a:avLst/>
                          </a:prstGeom>
                        </wps:spPr>
                        <wps:txbx>
                          <w:txbxContent>
                            <w:p>
                              <w:pPr>
                                <w:spacing w:line="199" w:lineRule="exact" w:before="0"/>
                                <w:ind w:left="0" w:right="0" w:firstLine="0"/>
                                <w:jc w:val="left"/>
                                <w:rPr>
                                  <w:sz w:val="18"/>
                                </w:rPr>
                              </w:pPr>
                              <w:r>
                                <w:rPr>
                                  <w:spacing w:val="-10"/>
                                  <w:sz w:val="18"/>
                                </w:rPr>
                                <w:t>2</w:t>
                              </w:r>
                            </w:p>
                          </w:txbxContent>
                        </wps:txbx>
                        <wps:bodyPr wrap="square" lIns="0" tIns="0" rIns="0" bIns="0" rtlCol="0">
                          <a:noAutofit/>
                        </wps:bodyPr>
                      </wps:wsp>
                      <wps:wsp>
                        <wps:cNvPr id="485" name="Textbox 485"/>
                        <wps:cNvSpPr txBox="1"/>
                        <wps:spPr>
                          <a:xfrm>
                            <a:off x="4600638" y="733932"/>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486" name="Textbox 486"/>
                        <wps:cNvSpPr txBox="1"/>
                        <wps:spPr>
                          <a:xfrm>
                            <a:off x="5381650" y="733932"/>
                            <a:ext cx="69850" cy="127000"/>
                          </a:xfrm>
                          <a:prstGeom prst="rect">
                            <a:avLst/>
                          </a:prstGeom>
                        </wps:spPr>
                        <wps:txbx>
                          <w:txbxContent>
                            <w:p>
                              <w:pPr>
                                <w:spacing w:line="199" w:lineRule="exact" w:before="0"/>
                                <w:ind w:left="0" w:right="0" w:firstLine="0"/>
                                <w:jc w:val="left"/>
                                <w:rPr>
                                  <w:sz w:val="18"/>
                                </w:rPr>
                              </w:pPr>
                              <w:r>
                                <w:rPr>
                                  <w:spacing w:val="-10"/>
                                  <w:sz w:val="18"/>
                                </w:rPr>
                                <w:t>1</w:t>
                              </w:r>
                            </w:p>
                          </w:txbxContent>
                        </wps:txbx>
                        <wps:bodyPr wrap="square" lIns="0" tIns="0" rIns="0" bIns="0" rtlCol="0">
                          <a:noAutofit/>
                        </wps:bodyPr>
                      </wps:wsp>
                      <wps:wsp>
                        <wps:cNvPr id="487" name="Textbox 487"/>
                        <wps:cNvSpPr txBox="1"/>
                        <wps:spPr>
                          <a:xfrm>
                            <a:off x="5924613" y="733932"/>
                            <a:ext cx="69850" cy="127000"/>
                          </a:xfrm>
                          <a:prstGeom prst="rect">
                            <a:avLst/>
                          </a:prstGeom>
                        </wps:spPr>
                        <wps:txbx>
                          <w:txbxContent>
                            <w:p>
                              <w:pPr>
                                <w:spacing w:line="199" w:lineRule="exact" w:before="0"/>
                                <w:ind w:left="0" w:right="0" w:firstLine="0"/>
                                <w:jc w:val="left"/>
                                <w:rPr>
                                  <w:sz w:val="18"/>
                                </w:rPr>
                              </w:pPr>
                              <w:r>
                                <w:rPr>
                                  <w:spacing w:val="-10"/>
                                  <w:sz w:val="18"/>
                                </w:rPr>
                                <w:t>1</w:t>
                              </w:r>
                            </w:p>
                          </w:txbxContent>
                        </wps:txbx>
                        <wps:bodyPr wrap="square" lIns="0" tIns="0" rIns="0" bIns="0" rtlCol="0">
                          <a:noAutofit/>
                        </wps:bodyPr>
                      </wps:wsp>
                      <wps:wsp>
                        <wps:cNvPr id="488" name="Textbox 488"/>
                        <wps:cNvSpPr txBox="1"/>
                        <wps:spPr>
                          <a:xfrm>
                            <a:off x="6410350" y="733932"/>
                            <a:ext cx="69850" cy="127000"/>
                          </a:xfrm>
                          <a:prstGeom prst="rect">
                            <a:avLst/>
                          </a:prstGeom>
                        </wps:spPr>
                        <wps:txbx>
                          <w:txbxContent>
                            <w:p>
                              <w:pPr>
                                <w:spacing w:line="199" w:lineRule="exact" w:before="0"/>
                                <w:ind w:left="0" w:right="0" w:firstLine="0"/>
                                <w:jc w:val="left"/>
                                <w:rPr>
                                  <w:sz w:val="18"/>
                                </w:rPr>
                              </w:pPr>
                              <w:r>
                                <w:rPr>
                                  <w:spacing w:val="-10"/>
                                  <w:sz w:val="18"/>
                                </w:rPr>
                                <w:t>3</w:t>
                              </w:r>
                            </w:p>
                          </w:txbxContent>
                        </wps:txbx>
                        <wps:bodyPr wrap="square" lIns="0" tIns="0" rIns="0" bIns="0" rtlCol="0">
                          <a:noAutofit/>
                        </wps:bodyPr>
                      </wps:wsp>
                      <wps:wsp>
                        <wps:cNvPr id="489" name="Textbox 489"/>
                        <wps:cNvSpPr txBox="1"/>
                        <wps:spPr>
                          <a:xfrm>
                            <a:off x="2376932" y="1219707"/>
                            <a:ext cx="803275" cy="127000"/>
                          </a:xfrm>
                          <a:prstGeom prst="rect">
                            <a:avLst/>
                          </a:prstGeom>
                        </wps:spPr>
                        <wps:txbx>
                          <w:txbxContent>
                            <w:p>
                              <w:pPr>
                                <w:spacing w:line="199" w:lineRule="exact" w:before="0"/>
                                <w:ind w:left="0" w:right="0" w:firstLine="0"/>
                                <w:jc w:val="left"/>
                                <w:rPr>
                                  <w:sz w:val="18"/>
                                </w:rPr>
                              </w:pPr>
                              <w:r>
                                <w:rPr>
                                  <w:sz w:val="18"/>
                                </w:rPr>
                                <w:t>Investor</w:t>
                              </w:r>
                              <w:r>
                                <w:rPr>
                                  <w:spacing w:val="-1"/>
                                  <w:sz w:val="18"/>
                                </w:rPr>
                                <w:t> </w:t>
                              </w:r>
                              <w:r>
                                <w:rPr>
                                  <w:spacing w:val="-2"/>
                                  <w:sz w:val="18"/>
                                </w:rPr>
                                <w:t>Services</w:t>
                              </w:r>
                            </w:p>
                          </w:txbxContent>
                        </wps:txbx>
                        <wps:bodyPr wrap="square" lIns="0" tIns="0" rIns="0" bIns="0" rtlCol="0">
                          <a:noAutofit/>
                        </wps:bodyPr>
                      </wps:wsp>
                      <wps:wsp>
                        <wps:cNvPr id="490" name="Textbox 490"/>
                        <wps:cNvSpPr txBox="1"/>
                        <wps:spPr>
                          <a:xfrm>
                            <a:off x="4570729" y="1219707"/>
                            <a:ext cx="796925" cy="127000"/>
                          </a:xfrm>
                          <a:prstGeom prst="rect">
                            <a:avLst/>
                          </a:prstGeom>
                        </wps:spPr>
                        <wps:txbx>
                          <w:txbxContent>
                            <w:p>
                              <w:pPr>
                                <w:spacing w:line="199" w:lineRule="exact" w:before="0"/>
                                <w:ind w:left="0" w:right="0" w:firstLine="0"/>
                                <w:jc w:val="left"/>
                                <w:rPr>
                                  <w:sz w:val="18"/>
                                </w:rPr>
                              </w:pPr>
                              <w:r>
                                <w:rPr>
                                  <w:sz w:val="18"/>
                                </w:rPr>
                                <w:t>Advisor</w:t>
                              </w:r>
                              <w:r>
                                <w:rPr>
                                  <w:spacing w:val="-2"/>
                                  <w:sz w:val="18"/>
                                </w:rPr>
                                <w:t> Services</w:t>
                              </w:r>
                            </w:p>
                          </w:txbxContent>
                        </wps:txbx>
                        <wps:bodyPr wrap="square" lIns="0" tIns="0" rIns="0" bIns="0" rtlCol="0">
                          <a:noAutofit/>
                        </wps:bodyPr>
                      </wps:wsp>
                      <wps:wsp>
                        <wps:cNvPr id="491" name="Textbox 491"/>
                        <wps:cNvSpPr txBox="1"/>
                        <wps:spPr>
                          <a:xfrm>
                            <a:off x="33401" y="1381632"/>
                            <a:ext cx="6391275" cy="355600"/>
                          </a:xfrm>
                          <a:prstGeom prst="rect">
                            <a:avLst/>
                          </a:prstGeom>
                        </wps:spPr>
                        <wps:txbx>
                          <w:txbxContent>
                            <w:p>
                              <w:pPr>
                                <w:tabs>
                                  <w:tab w:pos="4142" w:val="left" w:leader="none"/>
                                  <w:tab w:pos="5312" w:val="left" w:leader="none"/>
                                  <w:tab w:pos="6244" w:val="left" w:leader="none"/>
                                  <w:tab w:pos="6400" w:val="left" w:leader="none"/>
                                  <w:tab w:pos="7607" w:val="left" w:leader="none"/>
                                  <w:tab w:pos="8747" w:val="left" w:leader="none"/>
                                </w:tabs>
                                <w:spacing w:line="208" w:lineRule="auto" w:before="14"/>
                                <w:ind w:left="2765" w:right="705" w:firstLine="155"/>
                                <w:jc w:val="left"/>
                                <w:rPr>
                                  <w:sz w:val="18"/>
                                </w:rPr>
                              </w:pPr>
                              <w:r>
                                <w:rPr>
                                  <w:spacing w:val="-2"/>
                                  <w:sz w:val="18"/>
                                </w:rPr>
                                <w:t>Employee</w:t>
                              </w:r>
                              <w:r>
                                <w:rPr>
                                  <w:sz w:val="18"/>
                                </w:rPr>
                                <w:tab/>
                                <w:tab/>
                              </w:r>
                              <w:r>
                                <w:rPr>
                                  <w:spacing w:val="-36"/>
                                  <w:sz w:val="18"/>
                                </w:rPr>
                                <w:t> </w:t>
                              </w:r>
                              <w:r>
                                <w:rPr>
                                  <w:spacing w:val="-2"/>
                                  <w:sz w:val="18"/>
                                </w:rPr>
                                <w:t>Investor</w:t>
                              </w:r>
                              <w:r>
                                <w:rPr>
                                  <w:sz w:val="18"/>
                                </w:rPr>
                                <w:tab/>
                                <w:tab/>
                              </w:r>
                              <w:r>
                                <w:rPr>
                                  <w:spacing w:val="-2"/>
                                  <w:sz w:val="18"/>
                                </w:rPr>
                                <w:t>Employee</w:t>
                              </w:r>
                              <w:r>
                                <w:rPr>
                                  <w:sz w:val="18"/>
                                </w:rPr>
                                <w:tab/>
                                <w:tab/>
                              </w:r>
                              <w:r>
                                <w:rPr>
                                  <w:spacing w:val="-31"/>
                                  <w:sz w:val="18"/>
                                </w:rPr>
                                <w:t> </w:t>
                              </w:r>
                              <w:r>
                                <w:rPr>
                                  <w:sz w:val="18"/>
                                </w:rPr>
                                <w:t>Advisor </w:t>
                              </w:r>
                              <w:r>
                                <w:rPr>
                                  <w:spacing w:val="-2"/>
                                  <w:sz w:val="18"/>
                                </w:rPr>
                                <w:t>Compensation</w:t>
                              </w:r>
                              <w:r>
                                <w:rPr>
                                  <w:sz w:val="18"/>
                                </w:rPr>
                                <w:tab/>
                                <w:t>Facility</w:t>
                              </w:r>
                              <w:r>
                                <w:rPr>
                                  <w:spacing w:val="-1"/>
                                  <w:sz w:val="18"/>
                                </w:rPr>
                                <w:t> </w:t>
                              </w:r>
                              <w:r>
                                <w:rPr>
                                  <w:spacing w:val="-4"/>
                                  <w:sz w:val="18"/>
                                </w:rPr>
                                <w:t>Exit</w:t>
                              </w:r>
                              <w:r>
                                <w:rPr>
                                  <w:sz w:val="18"/>
                                </w:rPr>
                                <w:tab/>
                              </w:r>
                              <w:r>
                                <w:rPr>
                                  <w:spacing w:val="-2"/>
                                  <w:sz w:val="18"/>
                                </w:rPr>
                                <w:t>Services</w:t>
                              </w:r>
                              <w:r>
                                <w:rPr>
                                  <w:sz w:val="18"/>
                                </w:rPr>
                                <w:tab/>
                              </w:r>
                              <w:r>
                                <w:rPr>
                                  <w:spacing w:val="-2"/>
                                  <w:sz w:val="18"/>
                                </w:rPr>
                                <w:t>Compensation</w:t>
                              </w:r>
                              <w:r>
                                <w:rPr>
                                  <w:sz w:val="18"/>
                                </w:rPr>
                                <w:tab/>
                                <w:t>Facility</w:t>
                              </w:r>
                              <w:r>
                                <w:rPr>
                                  <w:spacing w:val="-3"/>
                                  <w:sz w:val="18"/>
                                </w:rPr>
                                <w:t> </w:t>
                              </w:r>
                              <w:r>
                                <w:rPr>
                                  <w:spacing w:val="-4"/>
                                  <w:sz w:val="18"/>
                                </w:rPr>
                                <w:t>Exit</w:t>
                              </w:r>
                              <w:r>
                                <w:rPr>
                                  <w:sz w:val="18"/>
                                </w:rPr>
                                <w:tab/>
                              </w:r>
                              <w:r>
                                <w:rPr>
                                  <w:spacing w:val="-2"/>
                                  <w:sz w:val="18"/>
                                </w:rPr>
                                <w:t>Services</w:t>
                              </w:r>
                            </w:p>
                            <w:p>
                              <w:pPr>
                                <w:tabs>
                                  <w:tab w:pos="2832" w:val="left" w:leader="none"/>
                                  <w:tab w:pos="4299" w:val="left" w:leader="none"/>
                                  <w:tab w:pos="5427" w:val="left" w:leader="none"/>
                                  <w:tab w:pos="6312" w:val="left" w:leader="none"/>
                                  <w:tab w:pos="7764" w:val="left" w:leader="none"/>
                                  <w:tab w:pos="8862" w:val="left" w:leader="none"/>
                                  <w:tab w:pos="9664" w:val="left" w:leader="none"/>
                                </w:tabs>
                                <w:spacing w:line="185" w:lineRule="exact" w:before="0"/>
                                <w:ind w:left="0" w:right="0" w:firstLine="0"/>
                                <w:jc w:val="left"/>
                                <w:rPr>
                                  <w:sz w:val="18"/>
                                </w:rPr>
                              </w:pPr>
                              <w:r>
                                <w:rPr>
                                  <w:sz w:val="18"/>
                                </w:rPr>
                                <w:t>Nine</w:t>
                              </w:r>
                              <w:r>
                                <w:rPr>
                                  <w:spacing w:val="-1"/>
                                  <w:sz w:val="18"/>
                                </w:rPr>
                                <w:t> </w:t>
                              </w:r>
                              <w:r>
                                <w:rPr>
                                  <w:sz w:val="18"/>
                                </w:rPr>
                                <w:t>Months</w:t>
                              </w:r>
                              <w:r>
                                <w:rPr>
                                  <w:spacing w:val="-2"/>
                                  <w:sz w:val="18"/>
                                </w:rPr>
                                <w:t> </w:t>
                              </w:r>
                              <w:r>
                                <w:rPr>
                                  <w:sz w:val="18"/>
                                </w:rPr>
                                <w:t>Ended</w:t>
                              </w:r>
                              <w:r>
                                <w:rPr>
                                  <w:spacing w:val="-1"/>
                                  <w:sz w:val="18"/>
                                </w:rPr>
                                <w:t> </w:t>
                              </w:r>
                              <w:r>
                                <w:rPr>
                                  <w:sz w:val="18"/>
                                </w:rPr>
                                <w:t>September </w:t>
                              </w:r>
                              <w:r>
                                <w:rPr>
                                  <w:spacing w:val="-5"/>
                                  <w:sz w:val="18"/>
                                </w:rPr>
                                <w:t>30,</w:t>
                              </w:r>
                              <w:r>
                                <w:rPr>
                                  <w:sz w:val="18"/>
                                </w:rPr>
                                <w:tab/>
                                <w:t>and</w:t>
                              </w:r>
                              <w:r>
                                <w:rPr>
                                  <w:spacing w:val="-2"/>
                                  <w:sz w:val="18"/>
                                </w:rPr>
                                <w:t> Benefits</w:t>
                              </w:r>
                              <w:r>
                                <w:rPr>
                                  <w:sz w:val="18"/>
                                </w:rPr>
                                <w:tab/>
                                <w:t>Costs</w:t>
                              </w:r>
                              <w:r>
                                <w:rPr>
                                  <w:spacing w:val="-4"/>
                                  <w:sz w:val="18"/>
                                </w:rPr>
                                <w:t> </w:t>
                              </w:r>
                              <w:r>
                                <w:rPr>
                                  <w:spacing w:val="-5"/>
                                  <w:sz w:val="18"/>
                                  <w:vertAlign w:val="superscript"/>
                                </w:rPr>
                                <w:t>(1)</w:t>
                              </w:r>
                              <w:r>
                                <w:rPr>
                                  <w:sz w:val="18"/>
                                  <w:vertAlign w:val="baseline"/>
                                </w:rPr>
                                <w:tab/>
                              </w:r>
                              <w:r>
                                <w:rPr>
                                  <w:spacing w:val="-2"/>
                                  <w:sz w:val="18"/>
                                  <w:vertAlign w:val="baseline"/>
                                </w:rPr>
                                <w:t>Total</w:t>
                              </w:r>
                              <w:r>
                                <w:rPr>
                                  <w:sz w:val="18"/>
                                  <w:vertAlign w:val="baseline"/>
                                </w:rPr>
                                <w:tab/>
                                <w:t>and</w:t>
                              </w:r>
                              <w:r>
                                <w:rPr>
                                  <w:spacing w:val="-2"/>
                                  <w:sz w:val="18"/>
                                  <w:vertAlign w:val="baseline"/>
                                </w:rPr>
                                <w:t> Benefits</w:t>
                              </w:r>
                              <w:r>
                                <w:rPr>
                                  <w:sz w:val="18"/>
                                  <w:vertAlign w:val="baseline"/>
                                </w:rPr>
                                <w:tab/>
                                <w:t>Costs</w:t>
                              </w:r>
                              <w:r>
                                <w:rPr>
                                  <w:spacing w:val="-4"/>
                                  <w:sz w:val="18"/>
                                  <w:vertAlign w:val="baseline"/>
                                </w:rPr>
                                <w:t> </w:t>
                              </w:r>
                              <w:r>
                                <w:rPr>
                                  <w:spacing w:val="-5"/>
                                  <w:sz w:val="18"/>
                                  <w:vertAlign w:val="superscript"/>
                                </w:rPr>
                                <w:t>(1)</w:t>
                              </w:r>
                              <w:r>
                                <w:rPr>
                                  <w:sz w:val="18"/>
                                  <w:vertAlign w:val="baseline"/>
                                </w:rPr>
                                <w:tab/>
                              </w:r>
                              <w:r>
                                <w:rPr>
                                  <w:spacing w:val="-2"/>
                                  <w:sz w:val="18"/>
                                  <w:vertAlign w:val="baseline"/>
                                </w:rPr>
                                <w:t>Total</w:t>
                              </w:r>
                              <w:r>
                                <w:rPr>
                                  <w:sz w:val="18"/>
                                  <w:vertAlign w:val="baseline"/>
                                </w:rPr>
                                <w:tab/>
                              </w:r>
                              <w:r>
                                <w:rPr>
                                  <w:spacing w:val="-2"/>
                                  <w:sz w:val="18"/>
                                  <w:vertAlign w:val="baseline"/>
                                </w:rPr>
                                <w:t>Total</w:t>
                              </w:r>
                            </w:p>
                          </w:txbxContent>
                        </wps:txbx>
                        <wps:bodyPr wrap="square" lIns="0" tIns="0" rIns="0" bIns="0" rtlCol="0">
                          <a:noAutofit/>
                        </wps:bodyPr>
                      </wps:wsp>
                      <wps:wsp>
                        <wps:cNvPr id="492" name="Textbox 492"/>
                        <wps:cNvSpPr txBox="1"/>
                        <wps:spPr>
                          <a:xfrm>
                            <a:off x="33401" y="1934082"/>
                            <a:ext cx="1231900" cy="127000"/>
                          </a:xfrm>
                          <a:prstGeom prst="rect">
                            <a:avLst/>
                          </a:prstGeom>
                        </wps:spPr>
                        <wps:txbx>
                          <w:txbxContent>
                            <w:p>
                              <w:pPr>
                                <w:spacing w:line="199" w:lineRule="exact" w:before="0"/>
                                <w:ind w:left="0" w:right="0" w:firstLine="0"/>
                                <w:jc w:val="left"/>
                                <w:rPr>
                                  <w:sz w:val="18"/>
                                </w:rPr>
                              </w:pPr>
                              <w:r>
                                <w:rPr>
                                  <w:sz w:val="18"/>
                                </w:rPr>
                                <w:t>Occupancy</w:t>
                              </w:r>
                              <w:r>
                                <w:rPr>
                                  <w:spacing w:val="-1"/>
                                  <w:sz w:val="18"/>
                                </w:rPr>
                                <w:t> </w:t>
                              </w:r>
                              <w:r>
                                <w:rPr>
                                  <w:sz w:val="18"/>
                                </w:rPr>
                                <w:t>and </w:t>
                              </w:r>
                              <w:r>
                                <w:rPr>
                                  <w:spacing w:val="-2"/>
                                  <w:sz w:val="18"/>
                                </w:rPr>
                                <w:t>equipment</w:t>
                              </w:r>
                            </w:p>
                          </w:txbxContent>
                        </wps:txbx>
                        <wps:bodyPr wrap="square" lIns="0" tIns="0" rIns="0" bIns="0" rtlCol="0">
                          <a:noAutofit/>
                        </wps:bodyPr>
                      </wps:wsp>
                      <wps:wsp>
                        <wps:cNvPr id="493" name="Textbox 493"/>
                        <wps:cNvSpPr txBox="1"/>
                        <wps:spPr>
                          <a:xfrm>
                            <a:off x="2381275" y="1934082"/>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494" name="Textbox 494"/>
                        <wps:cNvSpPr txBox="1"/>
                        <wps:spPr>
                          <a:xfrm>
                            <a:off x="3200501" y="1934082"/>
                            <a:ext cx="69850" cy="127000"/>
                          </a:xfrm>
                          <a:prstGeom prst="rect">
                            <a:avLst/>
                          </a:prstGeom>
                        </wps:spPr>
                        <wps:txbx>
                          <w:txbxContent>
                            <w:p>
                              <w:pPr>
                                <w:spacing w:line="199" w:lineRule="exact" w:before="0"/>
                                <w:ind w:left="0" w:right="0" w:firstLine="0"/>
                                <w:jc w:val="left"/>
                                <w:rPr>
                                  <w:sz w:val="18"/>
                                </w:rPr>
                              </w:pPr>
                              <w:r>
                                <w:rPr>
                                  <w:spacing w:val="-10"/>
                                  <w:sz w:val="18"/>
                                </w:rPr>
                                <w:t>4</w:t>
                              </w:r>
                            </w:p>
                          </w:txbxContent>
                        </wps:txbx>
                        <wps:bodyPr wrap="square" lIns="0" tIns="0" rIns="0" bIns="0" rtlCol="0">
                          <a:noAutofit/>
                        </wps:bodyPr>
                      </wps:wsp>
                      <wps:wsp>
                        <wps:cNvPr id="495" name="Textbox 495"/>
                        <wps:cNvSpPr txBox="1"/>
                        <wps:spPr>
                          <a:xfrm>
                            <a:off x="3743388" y="1934082"/>
                            <a:ext cx="69850" cy="127000"/>
                          </a:xfrm>
                          <a:prstGeom prst="rect">
                            <a:avLst/>
                          </a:prstGeom>
                        </wps:spPr>
                        <wps:txbx>
                          <w:txbxContent>
                            <w:p>
                              <w:pPr>
                                <w:spacing w:line="199" w:lineRule="exact" w:before="0"/>
                                <w:ind w:left="0" w:right="0" w:firstLine="0"/>
                                <w:jc w:val="left"/>
                                <w:rPr>
                                  <w:sz w:val="18"/>
                                </w:rPr>
                              </w:pPr>
                              <w:r>
                                <w:rPr>
                                  <w:spacing w:val="-10"/>
                                  <w:sz w:val="18"/>
                                </w:rPr>
                                <w:t>4</w:t>
                              </w:r>
                            </w:p>
                          </w:txbxContent>
                        </wps:txbx>
                        <wps:bodyPr wrap="square" lIns="0" tIns="0" rIns="0" bIns="0" rtlCol="0">
                          <a:noAutofit/>
                        </wps:bodyPr>
                      </wps:wsp>
                      <wps:wsp>
                        <wps:cNvPr id="496" name="Textbox 496"/>
                        <wps:cNvSpPr txBox="1"/>
                        <wps:spPr>
                          <a:xfrm>
                            <a:off x="4600638" y="1934082"/>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497" name="Textbox 497"/>
                        <wps:cNvSpPr txBox="1"/>
                        <wps:spPr>
                          <a:xfrm>
                            <a:off x="5381650" y="1934082"/>
                            <a:ext cx="69850" cy="127000"/>
                          </a:xfrm>
                          <a:prstGeom prst="rect">
                            <a:avLst/>
                          </a:prstGeom>
                        </wps:spPr>
                        <wps:txbx>
                          <w:txbxContent>
                            <w:p>
                              <w:pPr>
                                <w:spacing w:line="199" w:lineRule="exact" w:before="0"/>
                                <w:ind w:left="0" w:right="0" w:firstLine="0"/>
                                <w:jc w:val="left"/>
                                <w:rPr>
                                  <w:sz w:val="18"/>
                                </w:rPr>
                              </w:pPr>
                              <w:r>
                                <w:rPr>
                                  <w:spacing w:val="-10"/>
                                  <w:sz w:val="18"/>
                                </w:rPr>
                                <w:t>2</w:t>
                              </w:r>
                            </w:p>
                          </w:txbxContent>
                        </wps:txbx>
                        <wps:bodyPr wrap="square" lIns="0" tIns="0" rIns="0" bIns="0" rtlCol="0">
                          <a:noAutofit/>
                        </wps:bodyPr>
                      </wps:wsp>
                      <wps:wsp>
                        <wps:cNvPr id="498" name="Textbox 498"/>
                        <wps:cNvSpPr txBox="1"/>
                        <wps:spPr>
                          <a:xfrm>
                            <a:off x="5924613" y="1934082"/>
                            <a:ext cx="69850" cy="127000"/>
                          </a:xfrm>
                          <a:prstGeom prst="rect">
                            <a:avLst/>
                          </a:prstGeom>
                        </wps:spPr>
                        <wps:txbx>
                          <w:txbxContent>
                            <w:p>
                              <w:pPr>
                                <w:spacing w:line="199" w:lineRule="exact" w:before="0"/>
                                <w:ind w:left="0" w:right="0" w:firstLine="0"/>
                                <w:jc w:val="left"/>
                                <w:rPr>
                                  <w:sz w:val="18"/>
                                </w:rPr>
                              </w:pPr>
                              <w:r>
                                <w:rPr>
                                  <w:spacing w:val="-10"/>
                                  <w:sz w:val="18"/>
                                </w:rPr>
                                <w:t>2</w:t>
                              </w:r>
                            </w:p>
                          </w:txbxContent>
                        </wps:txbx>
                        <wps:bodyPr wrap="square" lIns="0" tIns="0" rIns="0" bIns="0" rtlCol="0">
                          <a:noAutofit/>
                        </wps:bodyPr>
                      </wps:wsp>
                      <wps:wsp>
                        <wps:cNvPr id="499" name="Textbox 499"/>
                        <wps:cNvSpPr txBox="1"/>
                        <wps:spPr>
                          <a:xfrm>
                            <a:off x="6410350" y="1934082"/>
                            <a:ext cx="69850" cy="127000"/>
                          </a:xfrm>
                          <a:prstGeom prst="rect">
                            <a:avLst/>
                          </a:prstGeom>
                        </wps:spPr>
                        <wps:txbx>
                          <w:txbxContent>
                            <w:p>
                              <w:pPr>
                                <w:spacing w:line="199" w:lineRule="exact" w:before="0"/>
                                <w:ind w:left="0" w:right="0" w:firstLine="0"/>
                                <w:jc w:val="left"/>
                                <w:rPr>
                                  <w:sz w:val="18"/>
                                </w:rPr>
                              </w:pPr>
                              <w:r>
                                <w:rPr>
                                  <w:spacing w:val="-10"/>
                                  <w:sz w:val="18"/>
                                </w:rPr>
                                <w:t>6</w:t>
                              </w:r>
                            </w:p>
                          </w:txbxContent>
                        </wps:txbx>
                        <wps:bodyPr wrap="square" lIns="0" tIns="0" rIns="0" bIns="0" rtlCol="0">
                          <a:noAutofit/>
                        </wps:bodyPr>
                      </wps:wsp>
                      <wps:wsp>
                        <wps:cNvPr id="500" name="Textbox 500"/>
                        <wps:cNvSpPr txBox="1"/>
                        <wps:spPr>
                          <a:xfrm>
                            <a:off x="0" y="2082800"/>
                            <a:ext cx="6515100" cy="139700"/>
                          </a:xfrm>
                          <a:prstGeom prst="rect">
                            <a:avLst/>
                          </a:prstGeom>
                        </wps:spPr>
                        <wps:txbx>
                          <w:txbxContent>
                            <w:p>
                              <w:pPr>
                                <w:tabs>
                                  <w:tab w:pos="2722" w:val="left" w:leader="none"/>
                                  <w:tab w:pos="3749" w:val="left" w:leader="none"/>
                                  <w:tab w:pos="4132" w:val="left" w:leader="none"/>
                                  <w:tab w:pos="5040" w:val="left" w:leader="none"/>
                                  <w:tab w:pos="5332" w:val="left" w:leader="none"/>
                                  <w:tab w:pos="5805" w:val="left" w:leader="none"/>
                                  <w:tab w:pos="6187" w:val="left" w:leader="none"/>
                                  <w:tab w:pos="7335" w:val="left" w:leader="none"/>
                                  <w:tab w:pos="7627" w:val="left" w:leader="none"/>
                                  <w:tab w:pos="8474" w:val="left" w:leader="none"/>
                                  <w:tab w:pos="8767" w:val="left" w:leader="none"/>
                                  <w:tab w:pos="9330" w:val="left" w:leader="none"/>
                                  <w:tab w:pos="10004" w:val="left" w:leader="none"/>
                                </w:tabs>
                                <w:spacing w:before="13"/>
                                <w:ind w:left="172" w:right="0" w:firstLine="0"/>
                                <w:jc w:val="left"/>
                                <w:rPr>
                                  <w:sz w:val="18"/>
                                </w:rPr>
                              </w:pPr>
                              <w:r>
                                <w:rPr>
                                  <w:spacing w:val="-2"/>
                                  <w:sz w:val="18"/>
                                </w:rPr>
                                <w:t>Total</w:t>
                              </w:r>
                              <w:r>
                                <w:rPr>
                                  <w:sz w:val="18"/>
                                </w:rPr>
                                <w:tab/>
                              </w:r>
                              <w:r>
                                <w:rPr>
                                  <w:spacing w:val="-10"/>
                                  <w:sz w:val="18"/>
                                </w:rPr>
                                <w:t>$</w:t>
                              </w:r>
                              <w:r>
                                <w:rPr>
                                  <w:sz w:val="18"/>
                                </w:rPr>
                                <w:tab/>
                              </w:r>
                              <w:r>
                                <w:rPr>
                                  <w:spacing w:val="-5"/>
                                  <w:sz w:val="18"/>
                                </w:rPr>
                                <w:t>18</w:t>
                              </w:r>
                              <w:r>
                                <w:rPr>
                                  <w:sz w:val="18"/>
                                </w:rPr>
                                <w:tab/>
                              </w:r>
                              <w:r>
                                <w:rPr>
                                  <w:spacing w:val="-10"/>
                                  <w:sz w:val="18"/>
                                </w:rPr>
                                <w:t>$</w:t>
                              </w:r>
                              <w:r>
                                <w:rPr>
                                  <w:sz w:val="18"/>
                                </w:rPr>
                                <w:tab/>
                              </w:r>
                              <w:r>
                                <w:rPr>
                                  <w:spacing w:val="-10"/>
                                  <w:sz w:val="18"/>
                                </w:rPr>
                                <w:t>4</w:t>
                              </w:r>
                              <w:r>
                                <w:rPr>
                                  <w:sz w:val="18"/>
                                </w:rPr>
                                <w:tab/>
                              </w:r>
                              <w:r>
                                <w:rPr>
                                  <w:spacing w:val="-10"/>
                                  <w:sz w:val="18"/>
                                </w:rPr>
                                <w:t>$</w:t>
                              </w:r>
                              <w:r>
                                <w:rPr>
                                  <w:sz w:val="18"/>
                                </w:rPr>
                                <w:tab/>
                              </w:r>
                              <w:r>
                                <w:rPr>
                                  <w:spacing w:val="-5"/>
                                  <w:sz w:val="18"/>
                                </w:rPr>
                                <w:t>22</w:t>
                              </w:r>
                              <w:r>
                                <w:rPr>
                                  <w:sz w:val="18"/>
                                </w:rPr>
                                <w:tab/>
                              </w:r>
                              <w:r>
                                <w:rPr>
                                  <w:spacing w:val="-10"/>
                                  <w:sz w:val="18"/>
                                </w:rPr>
                                <w:t>$</w:t>
                              </w:r>
                              <w:r>
                                <w:rPr>
                                  <w:sz w:val="18"/>
                                </w:rPr>
                                <w:tab/>
                              </w:r>
                              <w:r>
                                <w:rPr>
                                  <w:spacing w:val="-10"/>
                                  <w:sz w:val="18"/>
                                </w:rPr>
                                <w:t>5</w:t>
                              </w:r>
                              <w:r>
                                <w:rPr>
                                  <w:sz w:val="18"/>
                                </w:rPr>
                                <w:tab/>
                              </w:r>
                              <w:r>
                                <w:rPr>
                                  <w:spacing w:val="-10"/>
                                  <w:sz w:val="18"/>
                                </w:rPr>
                                <w:t>$</w:t>
                              </w:r>
                              <w:r>
                                <w:rPr>
                                  <w:sz w:val="18"/>
                                </w:rPr>
                                <w:tab/>
                              </w:r>
                              <w:r>
                                <w:rPr>
                                  <w:spacing w:val="-10"/>
                                  <w:sz w:val="18"/>
                                </w:rPr>
                                <w:t>2</w:t>
                              </w:r>
                              <w:r>
                                <w:rPr>
                                  <w:sz w:val="18"/>
                                </w:rPr>
                                <w:tab/>
                              </w:r>
                              <w:r>
                                <w:rPr>
                                  <w:spacing w:val="-10"/>
                                  <w:sz w:val="18"/>
                                </w:rPr>
                                <w:t>$</w:t>
                              </w:r>
                              <w:r>
                                <w:rPr>
                                  <w:sz w:val="18"/>
                                </w:rPr>
                                <w:tab/>
                                <w:t>7</w:t>
                              </w:r>
                              <w:r>
                                <w:rPr>
                                  <w:spacing w:val="48"/>
                                  <w:sz w:val="18"/>
                                </w:rPr>
                                <w:t>  </w:t>
                              </w:r>
                              <w:r>
                                <w:rPr>
                                  <w:spacing w:val="-10"/>
                                  <w:sz w:val="18"/>
                                </w:rPr>
                                <w:t>$</w:t>
                              </w:r>
                              <w:r>
                                <w:rPr>
                                  <w:sz w:val="18"/>
                                </w:rPr>
                                <w:tab/>
                              </w:r>
                              <w:r>
                                <w:rPr>
                                  <w:spacing w:val="-5"/>
                                  <w:sz w:val="18"/>
                                </w:rPr>
                                <w:t>29</w:t>
                              </w:r>
                            </w:p>
                          </w:txbxContent>
                        </wps:txbx>
                        <wps:bodyPr wrap="square" lIns="0" tIns="0" rIns="0" bIns="0" rtlCol="0">
                          <a:noAutofit/>
                        </wps:bodyPr>
                      </wps:wsp>
                      <wps:wsp>
                        <wps:cNvPr id="501" name="Textbox 501"/>
                        <wps:cNvSpPr txBox="1"/>
                        <wps:spPr>
                          <a:xfrm>
                            <a:off x="0" y="1758950"/>
                            <a:ext cx="6515100" cy="158750"/>
                          </a:xfrm>
                          <a:prstGeom prst="rect">
                            <a:avLst/>
                          </a:prstGeom>
                        </wps:spPr>
                        <wps:txbx>
                          <w:txbxContent>
                            <w:p>
                              <w:pPr>
                                <w:tabs>
                                  <w:tab w:pos="2722" w:val="left" w:leader="none"/>
                                  <w:tab w:pos="3749" w:val="left" w:leader="none"/>
                                  <w:tab w:pos="4132" w:val="left" w:leader="none"/>
                                  <w:tab w:pos="4950" w:val="left" w:leader="none"/>
                                  <w:tab w:pos="5332" w:val="left" w:leader="none"/>
                                  <w:tab w:pos="5805" w:val="left" w:leader="none"/>
                                  <w:tab w:pos="6187" w:val="left" w:leader="none"/>
                                  <w:tab w:pos="7335" w:val="left" w:leader="none"/>
                                  <w:tab w:pos="7627" w:val="left" w:leader="none"/>
                                  <w:tab w:pos="8384" w:val="left" w:leader="none"/>
                                  <w:tab w:pos="8767" w:val="left" w:leader="none"/>
                                  <w:tab w:pos="9330" w:val="left" w:leader="none"/>
                                  <w:tab w:pos="10004" w:val="left" w:leader="none"/>
                                </w:tabs>
                                <w:spacing w:before="13"/>
                                <w:ind w:left="52" w:right="0" w:firstLine="0"/>
                                <w:jc w:val="left"/>
                                <w:rPr>
                                  <w:sz w:val="18"/>
                                </w:rPr>
                              </w:pPr>
                              <w:r>
                                <w:rPr>
                                  <w:sz w:val="18"/>
                                </w:rPr>
                                <w:t>Compensation</w:t>
                              </w:r>
                              <w:r>
                                <w:rPr>
                                  <w:spacing w:val="-3"/>
                                  <w:sz w:val="18"/>
                                </w:rPr>
                                <w:t> </w:t>
                              </w:r>
                              <w:r>
                                <w:rPr>
                                  <w:sz w:val="18"/>
                                </w:rPr>
                                <w:t>and </w:t>
                              </w:r>
                              <w:r>
                                <w:rPr>
                                  <w:spacing w:val="-2"/>
                                  <w:sz w:val="18"/>
                                </w:rPr>
                                <w:t>benefits</w:t>
                              </w:r>
                              <w:r>
                                <w:rPr>
                                  <w:sz w:val="18"/>
                                </w:rPr>
                                <w:tab/>
                              </w:r>
                              <w:r>
                                <w:rPr>
                                  <w:spacing w:val="-10"/>
                                  <w:sz w:val="18"/>
                                </w:rPr>
                                <w:t>$</w:t>
                              </w:r>
                              <w:r>
                                <w:rPr>
                                  <w:sz w:val="18"/>
                                </w:rPr>
                                <w:tab/>
                              </w:r>
                              <w:r>
                                <w:rPr>
                                  <w:spacing w:val="-5"/>
                                  <w:sz w:val="18"/>
                                </w:rPr>
                                <w:t>18</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5"/>
                                  <w:sz w:val="18"/>
                                </w:rPr>
                                <w:t>18</w:t>
                              </w:r>
                              <w:r>
                                <w:rPr>
                                  <w:sz w:val="18"/>
                                </w:rPr>
                                <w:tab/>
                              </w:r>
                              <w:r>
                                <w:rPr>
                                  <w:spacing w:val="-10"/>
                                  <w:sz w:val="18"/>
                                </w:rPr>
                                <w:t>$</w:t>
                              </w:r>
                              <w:r>
                                <w:rPr>
                                  <w:sz w:val="18"/>
                                </w:rPr>
                                <w:tab/>
                              </w:r>
                              <w:r>
                                <w:rPr>
                                  <w:spacing w:val="-10"/>
                                  <w:sz w:val="18"/>
                                </w:rPr>
                                <w:t>5</w:t>
                              </w:r>
                              <w:r>
                                <w:rPr>
                                  <w:sz w:val="18"/>
                                </w:rPr>
                                <w:tab/>
                              </w:r>
                              <w:r>
                                <w:rPr>
                                  <w:spacing w:val="-10"/>
                                  <w:sz w:val="18"/>
                                </w:rPr>
                                <w:t>$</w:t>
                              </w:r>
                              <w:r>
                                <w:rPr>
                                  <w:sz w:val="18"/>
                                </w:rPr>
                                <w:tab/>
                              </w:r>
                              <w:r>
                                <w:rPr>
                                  <w:spacing w:val="-10"/>
                                  <w:sz w:val="18"/>
                                </w:rPr>
                                <w:t>—</w:t>
                              </w:r>
                              <w:r>
                                <w:rPr>
                                  <w:sz w:val="18"/>
                                </w:rPr>
                                <w:tab/>
                              </w:r>
                              <w:r>
                                <w:rPr>
                                  <w:spacing w:val="-10"/>
                                  <w:sz w:val="18"/>
                                </w:rPr>
                                <w:t>$</w:t>
                              </w:r>
                              <w:r>
                                <w:rPr>
                                  <w:sz w:val="18"/>
                                </w:rPr>
                                <w:tab/>
                                <w:t>5</w:t>
                              </w:r>
                              <w:r>
                                <w:rPr>
                                  <w:spacing w:val="48"/>
                                  <w:sz w:val="18"/>
                                </w:rPr>
                                <w:t>  </w:t>
                              </w:r>
                              <w:r>
                                <w:rPr>
                                  <w:spacing w:val="-10"/>
                                  <w:sz w:val="18"/>
                                </w:rPr>
                                <w:t>$</w:t>
                              </w:r>
                              <w:r>
                                <w:rPr>
                                  <w:sz w:val="18"/>
                                </w:rPr>
                                <w:tab/>
                              </w:r>
                              <w:r>
                                <w:rPr>
                                  <w:spacing w:val="-5"/>
                                  <w:sz w:val="18"/>
                                </w:rPr>
                                <w:t>23</w:t>
                              </w:r>
                            </w:p>
                          </w:txbxContent>
                        </wps:txbx>
                        <wps:bodyPr wrap="square" lIns="0" tIns="0" rIns="0" bIns="0" rtlCol="0">
                          <a:noAutofit/>
                        </wps:bodyPr>
                      </wps:wsp>
                      <wps:wsp>
                        <wps:cNvPr id="502" name="Textbox 502"/>
                        <wps:cNvSpPr txBox="1"/>
                        <wps:spPr>
                          <a:xfrm>
                            <a:off x="0" y="882650"/>
                            <a:ext cx="6515100" cy="152400"/>
                          </a:xfrm>
                          <a:prstGeom prst="rect">
                            <a:avLst/>
                          </a:prstGeom>
                        </wps:spPr>
                        <wps:txbx>
                          <w:txbxContent>
                            <w:p>
                              <w:pPr>
                                <w:tabs>
                                  <w:tab w:pos="2722" w:val="left" w:leader="none"/>
                                  <w:tab w:pos="3839" w:val="left" w:leader="none"/>
                                  <w:tab w:pos="4132" w:val="left" w:leader="none"/>
                                  <w:tab w:pos="5040" w:val="left" w:leader="none"/>
                                  <w:tab w:pos="5332" w:val="left" w:leader="none"/>
                                  <w:tab w:pos="5895" w:val="left" w:leader="none"/>
                                  <w:tab w:pos="6187" w:val="left" w:leader="none"/>
                                  <w:tab w:pos="7335" w:val="left" w:leader="none"/>
                                  <w:tab w:pos="7627" w:val="left" w:leader="none"/>
                                  <w:tab w:pos="8474" w:val="left" w:leader="none"/>
                                  <w:tab w:pos="8767" w:val="left" w:leader="none"/>
                                  <w:tab w:pos="9330" w:val="left" w:leader="none"/>
                                  <w:tab w:pos="10184" w:val="right" w:leader="none"/>
                                </w:tabs>
                                <w:spacing w:before="13"/>
                                <w:ind w:left="172" w:right="0" w:firstLine="0"/>
                                <w:jc w:val="left"/>
                                <w:rPr>
                                  <w:sz w:val="18"/>
                                </w:rPr>
                              </w:pPr>
                              <w:r>
                                <w:rPr>
                                  <w:spacing w:val="-2"/>
                                  <w:sz w:val="18"/>
                                </w:rPr>
                                <w:t>Total</w:t>
                              </w:r>
                              <w:r>
                                <w:rPr>
                                  <w:sz w:val="18"/>
                                </w:rPr>
                                <w:tab/>
                              </w:r>
                              <w:r>
                                <w:rPr>
                                  <w:spacing w:val="-10"/>
                                  <w:sz w:val="18"/>
                                </w:rPr>
                                <w:t>$</w:t>
                              </w:r>
                              <w:r>
                                <w:rPr>
                                  <w:sz w:val="18"/>
                                </w:rPr>
                                <w:tab/>
                              </w:r>
                              <w:r>
                                <w:rPr>
                                  <w:spacing w:val="-10"/>
                                  <w:sz w:val="18"/>
                                </w:rPr>
                                <w:t>5</w:t>
                              </w:r>
                              <w:r>
                                <w:rPr>
                                  <w:sz w:val="18"/>
                                </w:rPr>
                                <w:tab/>
                              </w:r>
                              <w:r>
                                <w:rPr>
                                  <w:spacing w:val="-10"/>
                                  <w:sz w:val="18"/>
                                </w:rPr>
                                <w:t>$</w:t>
                              </w:r>
                              <w:r>
                                <w:rPr>
                                  <w:sz w:val="18"/>
                                </w:rPr>
                                <w:tab/>
                              </w:r>
                              <w:r>
                                <w:rPr>
                                  <w:spacing w:val="-10"/>
                                  <w:sz w:val="18"/>
                                </w:rPr>
                                <w:t>2</w:t>
                              </w:r>
                              <w:r>
                                <w:rPr>
                                  <w:sz w:val="18"/>
                                </w:rPr>
                                <w:tab/>
                              </w:r>
                              <w:r>
                                <w:rPr>
                                  <w:spacing w:val="-10"/>
                                  <w:sz w:val="18"/>
                                </w:rPr>
                                <w:t>$</w:t>
                              </w:r>
                              <w:r>
                                <w:rPr>
                                  <w:sz w:val="18"/>
                                </w:rPr>
                                <w:tab/>
                              </w:r>
                              <w:r>
                                <w:rPr>
                                  <w:spacing w:val="-10"/>
                                  <w:sz w:val="18"/>
                                </w:rPr>
                                <w:t>7</w:t>
                              </w:r>
                              <w:r>
                                <w:rPr>
                                  <w:sz w:val="18"/>
                                </w:rPr>
                                <w:tab/>
                              </w:r>
                              <w:r>
                                <w:rPr>
                                  <w:spacing w:val="-10"/>
                                  <w:sz w:val="18"/>
                                </w:rPr>
                                <w:t>$</w:t>
                              </w:r>
                              <w:r>
                                <w:rPr>
                                  <w:sz w:val="18"/>
                                </w:rPr>
                                <w:tab/>
                              </w:r>
                              <w:r>
                                <w:rPr>
                                  <w:spacing w:val="-10"/>
                                  <w:sz w:val="18"/>
                                </w:rPr>
                                <w:t>1</w:t>
                              </w:r>
                              <w:r>
                                <w:rPr>
                                  <w:sz w:val="18"/>
                                </w:rPr>
                                <w:tab/>
                              </w:r>
                              <w:r>
                                <w:rPr>
                                  <w:spacing w:val="-10"/>
                                  <w:sz w:val="18"/>
                                </w:rPr>
                                <w:t>$</w:t>
                              </w:r>
                              <w:r>
                                <w:rPr>
                                  <w:sz w:val="18"/>
                                </w:rPr>
                                <w:tab/>
                              </w:r>
                              <w:r>
                                <w:rPr>
                                  <w:spacing w:val="-10"/>
                                  <w:sz w:val="18"/>
                                </w:rPr>
                                <w:t>1</w:t>
                              </w:r>
                              <w:r>
                                <w:rPr>
                                  <w:sz w:val="18"/>
                                </w:rPr>
                                <w:tab/>
                              </w:r>
                              <w:r>
                                <w:rPr>
                                  <w:spacing w:val="-10"/>
                                  <w:sz w:val="18"/>
                                </w:rPr>
                                <w:t>$</w:t>
                              </w:r>
                              <w:r>
                                <w:rPr>
                                  <w:sz w:val="18"/>
                                </w:rPr>
                                <w:tab/>
                                <w:t>2</w:t>
                              </w:r>
                              <w:r>
                                <w:rPr>
                                  <w:spacing w:val="48"/>
                                  <w:sz w:val="18"/>
                                </w:rPr>
                                <w:t>  </w:t>
                              </w:r>
                              <w:r>
                                <w:rPr>
                                  <w:spacing w:val="-10"/>
                                  <w:sz w:val="18"/>
                                </w:rPr>
                                <w:t>$</w:t>
                              </w:r>
                              <w:r>
                                <w:rPr>
                                  <w:sz w:val="18"/>
                                </w:rPr>
                                <w:tab/>
                              </w:r>
                              <w:r>
                                <w:rPr>
                                  <w:spacing w:val="-10"/>
                                  <w:sz w:val="18"/>
                                </w:rPr>
                                <w:t>9</w:t>
                              </w:r>
                            </w:p>
                          </w:txbxContent>
                        </wps:txbx>
                        <wps:bodyPr wrap="square" lIns="0" tIns="0" rIns="0" bIns="0" rtlCol="0">
                          <a:noAutofit/>
                        </wps:bodyPr>
                      </wps:wsp>
                      <wps:wsp>
                        <wps:cNvPr id="503" name="Textbox 503"/>
                        <wps:cNvSpPr txBox="1"/>
                        <wps:spPr>
                          <a:xfrm>
                            <a:off x="0" y="558800"/>
                            <a:ext cx="6515100" cy="158750"/>
                          </a:xfrm>
                          <a:prstGeom prst="rect">
                            <a:avLst/>
                          </a:prstGeom>
                        </wps:spPr>
                        <wps:txbx>
                          <w:txbxContent>
                            <w:p>
                              <w:pPr>
                                <w:tabs>
                                  <w:tab w:pos="2722" w:val="left" w:leader="none"/>
                                  <w:tab w:pos="3839" w:val="left" w:leader="none"/>
                                  <w:tab w:pos="4132" w:val="left" w:leader="none"/>
                                  <w:tab w:pos="4950" w:val="left" w:leader="none"/>
                                  <w:tab w:pos="5332" w:val="left" w:leader="none"/>
                                  <w:tab w:pos="5895" w:val="left" w:leader="none"/>
                                  <w:tab w:pos="6187" w:val="left" w:leader="none"/>
                                  <w:tab w:pos="7335" w:val="left" w:leader="none"/>
                                  <w:tab w:pos="7627" w:val="left" w:leader="none"/>
                                  <w:tab w:pos="8384" w:val="left" w:leader="none"/>
                                  <w:tab w:pos="8767" w:val="left" w:leader="none"/>
                                  <w:tab w:pos="9330" w:val="left" w:leader="none"/>
                                  <w:tab w:pos="10184" w:val="right" w:leader="none"/>
                                </w:tabs>
                                <w:spacing w:before="13"/>
                                <w:ind w:left="52" w:right="0" w:firstLine="0"/>
                                <w:jc w:val="left"/>
                                <w:rPr>
                                  <w:sz w:val="18"/>
                                </w:rPr>
                              </w:pPr>
                              <w:r>
                                <w:rPr>
                                  <w:sz w:val="18"/>
                                </w:rPr>
                                <w:t>Compensation</w:t>
                              </w:r>
                              <w:r>
                                <w:rPr>
                                  <w:spacing w:val="-3"/>
                                  <w:sz w:val="18"/>
                                </w:rPr>
                                <w:t> </w:t>
                              </w:r>
                              <w:r>
                                <w:rPr>
                                  <w:sz w:val="18"/>
                                </w:rPr>
                                <w:t>and </w:t>
                              </w:r>
                              <w:r>
                                <w:rPr>
                                  <w:spacing w:val="-2"/>
                                  <w:sz w:val="18"/>
                                </w:rPr>
                                <w:t>benefits</w:t>
                              </w:r>
                              <w:r>
                                <w:rPr>
                                  <w:sz w:val="18"/>
                                </w:rPr>
                                <w:tab/>
                              </w:r>
                              <w:r>
                                <w:rPr>
                                  <w:spacing w:val="-10"/>
                                  <w:sz w:val="18"/>
                                </w:rPr>
                                <w:t>$</w:t>
                              </w:r>
                              <w:r>
                                <w:rPr>
                                  <w:sz w:val="18"/>
                                </w:rPr>
                                <w:tab/>
                              </w:r>
                              <w:r>
                                <w:rPr>
                                  <w:spacing w:val="-10"/>
                                  <w:sz w:val="18"/>
                                </w:rPr>
                                <w:t>5</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5</w:t>
                              </w:r>
                              <w:r>
                                <w:rPr>
                                  <w:sz w:val="18"/>
                                </w:rPr>
                                <w:tab/>
                              </w:r>
                              <w:r>
                                <w:rPr>
                                  <w:spacing w:val="-10"/>
                                  <w:sz w:val="18"/>
                                </w:rPr>
                                <w:t>$</w:t>
                              </w:r>
                              <w:r>
                                <w:rPr>
                                  <w:sz w:val="18"/>
                                </w:rPr>
                                <w:tab/>
                              </w:r>
                              <w:r>
                                <w:rPr>
                                  <w:spacing w:val="-10"/>
                                  <w:sz w:val="18"/>
                                </w:rPr>
                                <w:t>1</w:t>
                              </w:r>
                              <w:r>
                                <w:rPr>
                                  <w:sz w:val="18"/>
                                </w:rPr>
                                <w:tab/>
                              </w:r>
                              <w:r>
                                <w:rPr>
                                  <w:spacing w:val="-10"/>
                                  <w:sz w:val="18"/>
                                </w:rPr>
                                <w:t>$</w:t>
                              </w:r>
                              <w:r>
                                <w:rPr>
                                  <w:sz w:val="18"/>
                                </w:rPr>
                                <w:tab/>
                              </w:r>
                              <w:r>
                                <w:rPr>
                                  <w:spacing w:val="-10"/>
                                  <w:sz w:val="18"/>
                                </w:rPr>
                                <w:t>—</w:t>
                              </w:r>
                              <w:r>
                                <w:rPr>
                                  <w:sz w:val="18"/>
                                </w:rPr>
                                <w:tab/>
                              </w:r>
                              <w:r>
                                <w:rPr>
                                  <w:spacing w:val="-10"/>
                                  <w:sz w:val="18"/>
                                </w:rPr>
                                <w:t>$</w:t>
                              </w:r>
                              <w:r>
                                <w:rPr>
                                  <w:sz w:val="18"/>
                                </w:rPr>
                                <w:tab/>
                                <w:t>1</w:t>
                              </w:r>
                              <w:r>
                                <w:rPr>
                                  <w:spacing w:val="48"/>
                                  <w:sz w:val="18"/>
                                </w:rPr>
                                <w:t>  </w:t>
                              </w:r>
                              <w:r>
                                <w:rPr>
                                  <w:spacing w:val="-10"/>
                                  <w:sz w:val="18"/>
                                </w:rPr>
                                <w:t>$</w:t>
                              </w:r>
                              <w:r>
                                <w:rPr>
                                  <w:sz w:val="18"/>
                                </w:rPr>
                                <w:tab/>
                              </w:r>
                              <w:r>
                                <w:rPr>
                                  <w:spacing w:val="-10"/>
                                  <w:sz w:val="18"/>
                                </w:rPr>
                                <w:t>6</w:t>
                              </w:r>
                            </w:p>
                          </w:txbxContent>
                        </wps:txbx>
                        <wps:bodyPr wrap="square" lIns="0" tIns="0" rIns="0" bIns="0" rtlCol="0">
                          <a:noAutofit/>
                        </wps:bodyPr>
                      </wps:wsp>
                    </wpg:wgp>
                  </a:graphicData>
                </a:graphic>
              </wp:anchor>
            </w:drawing>
          </mc:Choice>
          <mc:Fallback>
            <w:pict>
              <v:group style="position:absolute;margin-left:49.5pt;margin-top:26.166407pt;width:513pt;height:178pt;mso-position-horizontal-relative:page;mso-position-vertical-relative:paragraph;z-index:-15699456;mso-wrap-distance-left:0;mso-wrap-distance-right:0" id="docshapegroup321" coordorigin="990,523" coordsize="10260,3560">
                <v:shape style="position:absolute;left:990;top:1398;width:10260;height:2655" id="docshape322" coordorigin="990,1398" coordsize="10260,2655" path="m11250,3798l990,3798,990,4053,11250,4053,11250,3798xm11250,3288l990,3288,990,3543,11250,3543,11250,3288xm11250,1908l990,1908,990,2163,11250,2163,11250,1908xm11250,1398l990,1398,990,1653,11250,1653,11250,1398xe" filled="true" fillcolor="#ccedff" stroked="false">
                  <v:path arrowok="t"/>
                  <v:fill type="solid"/>
                </v:shape>
                <v:shape style="position:absolute;left:990;top:528;width:10260;height:2" id="docshape323" coordorigin="990,528" coordsize="10260,0" path="m11250,528l990,528e" filled="true" fillcolor="#000000" stroked="false">
                  <v:path arrowok="t"/>
                  <v:fill opacity="0f" type="solid"/>
                </v:shape>
                <v:line style="position:absolute" from="990,528" to="11250,528" stroked="true" strokeweight=".5pt" strokecolor="#000000">
                  <v:stroke dashstyle="solid"/>
                </v:line>
                <v:shape style="position:absolute;left:3660;top:783;width:3390;height:2" id="docshape324" coordorigin="3660,783" coordsize="3390,0" path="m7050,783l3660,783e" filled="true" fillcolor="#000000" stroked="false">
                  <v:path arrowok="t"/>
                  <v:fill opacity="0f" type="solid"/>
                </v:shape>
                <v:line style="position:absolute" from="3660,783" to="7050,783" stroked="true" strokeweight=".5pt" strokecolor="#000000">
                  <v:stroke dashstyle="solid"/>
                </v:line>
                <v:shape style="position:absolute;left:7125;top:783;width:3360;height:2" id="docshape325" coordorigin="7125,783" coordsize="3360,0" path="m10485,783l7125,783e" filled="true" fillcolor="#000000" stroked="false">
                  <v:path arrowok="t"/>
                  <v:fill opacity="0f" type="solid"/>
                </v:shape>
                <v:line style="position:absolute" from="7125,783" to="10485,783" stroked="true" strokeweight=".5pt" strokecolor="#000000">
                  <v:stroke dashstyle="solid"/>
                </v:line>
                <v:shape style="position:absolute;left:990;top:1398;width:10260;height:2" id="docshape326" coordorigin="990,1398" coordsize="10260,0" path="m11250,1398l990,1398e" filled="true" fillcolor="#000000" stroked="false">
                  <v:path arrowok="t"/>
                  <v:fill opacity="0f" type="solid"/>
                </v:shape>
                <v:line style="position:absolute" from="990,1398" to="11250,1398" stroked="true" strokeweight=".5pt" strokecolor="#000000">
                  <v:stroke dashstyle="solid"/>
                </v:line>
                <v:shape style="position:absolute;left:990;top:1908;width:10260;height:2" id="docshape327" coordorigin="990,1908" coordsize="10260,0" path="m11250,1908l990,1908e" filled="true" fillcolor="#000000" stroked="false">
                  <v:path arrowok="t"/>
                  <v:fill opacity="0f" type="solid"/>
                </v:shape>
                <v:line style="position:absolute" from="990,1908" to="11250,1908" stroked="true" strokeweight=".5pt" strokecolor="#000000">
                  <v:stroke dashstyle="solid"/>
                </v:line>
                <v:rect style="position:absolute;left:990;top:2133;width:10260;height:20" id="docshape328" filled="true" fillcolor="#000000" stroked="false">
                  <v:fill opacity="0f" type="solid"/>
                </v:rect>
                <v:line style="position:absolute" from="990,2183" to="11250,2183" stroked="true" strokeweight="1pt" strokecolor="#000000">
                  <v:stroke dashstyle="solid"/>
                </v:line>
                <v:shape style="position:absolute;left:990;top:2418;width:10260;height:2" id="docshape329" coordorigin="990,2418" coordsize="10260,0" path="m11250,2418l990,2418e" filled="true" fillcolor="#000000" stroked="false">
                  <v:path arrowok="t"/>
                  <v:fill opacity="0f" type="solid"/>
                </v:shape>
                <v:line style="position:absolute" from="990,2418" to="11250,2418" stroked="true" strokeweight=".5pt" strokecolor="#000000">
                  <v:stroke dashstyle="solid"/>
                </v:line>
                <v:shape style="position:absolute;left:3660;top:2673;width:3390;height:2" id="docshape330" coordorigin="3660,2673" coordsize="3390,0" path="m7050,2673l3660,2673e" filled="true" fillcolor="#000000" stroked="false">
                  <v:path arrowok="t"/>
                  <v:fill opacity="0f" type="solid"/>
                </v:shape>
                <v:line style="position:absolute" from="3660,2673" to="7050,2673" stroked="true" strokeweight=".5pt" strokecolor="#000000">
                  <v:stroke dashstyle="solid"/>
                </v:line>
                <v:shape style="position:absolute;left:7125;top:2673;width:3360;height:2" id="docshape331" coordorigin="7125,2673" coordsize="3360,0" path="m10485,2673l7125,2673e" filled="true" fillcolor="#000000" stroked="false">
                  <v:path arrowok="t"/>
                  <v:fill opacity="0f" type="solid"/>
                </v:shape>
                <v:line style="position:absolute" from="7125,2673" to="10485,2673" stroked="true" strokeweight=".5pt" strokecolor="#000000">
                  <v:stroke dashstyle="solid"/>
                </v:line>
                <v:shape style="position:absolute;left:990;top:3288;width:10260;height:2" id="docshape332" coordorigin="990,3288" coordsize="10260,0" path="m11250,3288l990,3288e" filled="true" fillcolor="#000000" stroked="false">
                  <v:path arrowok="t"/>
                  <v:fill opacity="0f" type="solid"/>
                </v:shape>
                <v:line style="position:absolute" from="990,3288" to="11250,3288" stroked="true" strokeweight=".5pt" strokecolor="#000000">
                  <v:stroke dashstyle="solid"/>
                </v:line>
                <v:shape style="position:absolute;left:990;top:3798;width:10260;height:2" id="docshape333" coordorigin="990,3798" coordsize="10260,0" path="m11250,3798l990,3798e" filled="true" fillcolor="#000000" stroked="false">
                  <v:path arrowok="t"/>
                  <v:fill opacity="0f" type="solid"/>
                </v:shape>
                <v:line style="position:absolute" from="990,3798" to="11250,3798" stroked="true" strokeweight=".5pt" strokecolor="#000000">
                  <v:stroke dashstyle="solid"/>
                </v:line>
                <v:rect style="position:absolute;left:990;top:4023;width:10260;height:20" id="docshape334" filled="true" fillcolor="#000000" stroked="false">
                  <v:fill opacity="0f" type="solid"/>
                </v:rect>
                <v:line style="position:absolute" from="990,4073" to="11250,4073" stroked="true" strokeweight="1pt" strokecolor="#000000">
                  <v:stroke dashstyle="solid"/>
                </v:line>
                <v:shape style="position:absolute;left:4733;top:554;width:1265;height:200" type="#_x0000_t202" id="docshape335" filled="false" stroked="false">
                  <v:textbox inset="0,0,0,0">
                    <w:txbxContent>
                      <w:p>
                        <w:pPr>
                          <w:spacing w:line="199" w:lineRule="exact" w:before="0"/>
                          <w:ind w:left="0" w:right="0" w:firstLine="0"/>
                          <w:jc w:val="left"/>
                          <w:rPr>
                            <w:sz w:val="18"/>
                          </w:rPr>
                        </w:pPr>
                        <w:r>
                          <w:rPr>
                            <w:sz w:val="18"/>
                          </w:rPr>
                          <w:t>Investor</w:t>
                        </w:r>
                        <w:r>
                          <w:rPr>
                            <w:spacing w:val="-1"/>
                            <w:sz w:val="18"/>
                          </w:rPr>
                          <w:t> </w:t>
                        </w:r>
                        <w:r>
                          <w:rPr>
                            <w:spacing w:val="-2"/>
                            <w:sz w:val="18"/>
                          </w:rPr>
                          <w:t>Services</w:t>
                        </w:r>
                      </w:p>
                    </w:txbxContent>
                  </v:textbox>
                  <w10:wrap type="none"/>
                </v:shape>
                <v:shape style="position:absolute;left:8188;top:554;width:1255;height:200" type="#_x0000_t202" id="docshape336" filled="false" stroked="false">
                  <v:textbox inset="0,0,0,0">
                    <w:txbxContent>
                      <w:p>
                        <w:pPr>
                          <w:spacing w:line="199" w:lineRule="exact" w:before="0"/>
                          <w:ind w:left="0" w:right="0" w:firstLine="0"/>
                          <w:jc w:val="left"/>
                          <w:rPr>
                            <w:sz w:val="18"/>
                          </w:rPr>
                        </w:pPr>
                        <w:r>
                          <w:rPr>
                            <w:sz w:val="18"/>
                          </w:rPr>
                          <w:t>Advisor</w:t>
                        </w:r>
                        <w:r>
                          <w:rPr>
                            <w:spacing w:val="-2"/>
                            <w:sz w:val="18"/>
                          </w:rPr>
                          <w:t> Services</w:t>
                        </w:r>
                      </w:p>
                    </w:txbxContent>
                  </v:textbox>
                  <w10:wrap type="none"/>
                </v:shape>
                <v:shape style="position:absolute;left:1042;top:809;width:10065;height:560" type="#_x0000_t202" id="docshape337" filled="false" stroked="false">
                  <v:textbox inset="0,0,0,0">
                    <w:txbxContent>
                      <w:p>
                        <w:pPr>
                          <w:tabs>
                            <w:tab w:pos="2764" w:val="left" w:leader="none"/>
                            <w:tab w:pos="4142" w:val="left" w:leader="none"/>
                            <w:tab w:pos="5312" w:val="left" w:leader="none"/>
                            <w:tab w:pos="6244" w:val="left" w:leader="none"/>
                            <w:tab w:pos="6400" w:val="left" w:leader="none"/>
                            <w:tab w:pos="7607" w:val="left" w:leader="none"/>
                            <w:tab w:pos="8747" w:val="left" w:leader="none"/>
                          </w:tabs>
                          <w:spacing w:line="208" w:lineRule="auto" w:before="14"/>
                          <w:ind w:left="0" w:right="705" w:firstLine="2920"/>
                          <w:jc w:val="left"/>
                          <w:rPr>
                            <w:sz w:val="18"/>
                          </w:rPr>
                        </w:pPr>
                        <w:r>
                          <w:rPr>
                            <w:spacing w:val="-2"/>
                            <w:sz w:val="18"/>
                          </w:rPr>
                          <w:t>Employee</w:t>
                        </w:r>
                        <w:r>
                          <w:rPr>
                            <w:sz w:val="18"/>
                          </w:rPr>
                          <w:tab/>
                          <w:tab/>
                        </w:r>
                        <w:r>
                          <w:rPr>
                            <w:spacing w:val="-36"/>
                            <w:sz w:val="18"/>
                          </w:rPr>
                          <w:t> </w:t>
                        </w:r>
                        <w:r>
                          <w:rPr>
                            <w:spacing w:val="-2"/>
                            <w:sz w:val="18"/>
                          </w:rPr>
                          <w:t>Investor</w:t>
                        </w:r>
                        <w:r>
                          <w:rPr>
                            <w:sz w:val="18"/>
                          </w:rPr>
                          <w:tab/>
                          <w:tab/>
                        </w:r>
                        <w:r>
                          <w:rPr>
                            <w:spacing w:val="-2"/>
                            <w:sz w:val="18"/>
                          </w:rPr>
                          <w:t>Employee</w:t>
                        </w:r>
                        <w:r>
                          <w:rPr>
                            <w:sz w:val="18"/>
                          </w:rPr>
                          <w:tab/>
                          <w:tab/>
                        </w:r>
                        <w:r>
                          <w:rPr>
                            <w:spacing w:val="-31"/>
                            <w:sz w:val="18"/>
                          </w:rPr>
                          <w:t> </w:t>
                        </w:r>
                        <w:r>
                          <w:rPr>
                            <w:sz w:val="18"/>
                          </w:rPr>
                          <w:t>Advisor Three</w:t>
                        </w:r>
                        <w:r>
                          <w:rPr>
                            <w:spacing w:val="-1"/>
                            <w:sz w:val="18"/>
                          </w:rPr>
                          <w:t> </w:t>
                        </w:r>
                        <w:r>
                          <w:rPr>
                            <w:sz w:val="18"/>
                          </w:rPr>
                          <w:t>Months</w:t>
                        </w:r>
                        <w:r>
                          <w:rPr>
                            <w:spacing w:val="-1"/>
                            <w:sz w:val="18"/>
                          </w:rPr>
                          <w:t> </w:t>
                        </w:r>
                        <w:r>
                          <w:rPr>
                            <w:spacing w:val="-2"/>
                            <w:sz w:val="18"/>
                          </w:rPr>
                          <w:t>Ended</w:t>
                        </w:r>
                        <w:r>
                          <w:rPr>
                            <w:sz w:val="18"/>
                          </w:rPr>
                          <w:tab/>
                        </w:r>
                        <w:r>
                          <w:rPr>
                            <w:spacing w:val="-2"/>
                            <w:sz w:val="18"/>
                          </w:rPr>
                          <w:t>Compensation</w:t>
                        </w:r>
                        <w:r>
                          <w:rPr>
                            <w:sz w:val="18"/>
                          </w:rPr>
                          <w:tab/>
                          <w:t>Facility</w:t>
                        </w:r>
                        <w:r>
                          <w:rPr>
                            <w:spacing w:val="-3"/>
                            <w:sz w:val="18"/>
                          </w:rPr>
                          <w:t> </w:t>
                        </w:r>
                        <w:r>
                          <w:rPr>
                            <w:spacing w:val="-4"/>
                            <w:sz w:val="18"/>
                          </w:rPr>
                          <w:t>Exit</w:t>
                        </w:r>
                        <w:r>
                          <w:rPr>
                            <w:sz w:val="18"/>
                          </w:rPr>
                          <w:tab/>
                        </w:r>
                        <w:r>
                          <w:rPr>
                            <w:spacing w:val="-2"/>
                            <w:sz w:val="18"/>
                          </w:rPr>
                          <w:t>Services</w:t>
                        </w:r>
                        <w:r>
                          <w:rPr>
                            <w:sz w:val="18"/>
                          </w:rPr>
                          <w:tab/>
                        </w:r>
                        <w:r>
                          <w:rPr>
                            <w:spacing w:val="-2"/>
                            <w:sz w:val="18"/>
                          </w:rPr>
                          <w:t>Compensation</w:t>
                        </w:r>
                        <w:r>
                          <w:rPr>
                            <w:sz w:val="18"/>
                          </w:rPr>
                          <w:tab/>
                          <w:t>Facility</w:t>
                        </w:r>
                        <w:r>
                          <w:rPr>
                            <w:spacing w:val="-3"/>
                            <w:sz w:val="18"/>
                          </w:rPr>
                          <w:t> </w:t>
                        </w:r>
                        <w:r>
                          <w:rPr>
                            <w:spacing w:val="-4"/>
                            <w:sz w:val="18"/>
                          </w:rPr>
                          <w:t>Exit</w:t>
                        </w:r>
                        <w:r>
                          <w:rPr>
                            <w:sz w:val="18"/>
                          </w:rPr>
                          <w:tab/>
                        </w:r>
                        <w:r>
                          <w:rPr>
                            <w:spacing w:val="-2"/>
                            <w:sz w:val="18"/>
                          </w:rPr>
                          <w:t>Services</w:t>
                        </w:r>
                      </w:p>
                      <w:p>
                        <w:pPr>
                          <w:tabs>
                            <w:tab w:pos="2832" w:val="left" w:leader="none"/>
                            <w:tab w:pos="4299" w:val="left" w:leader="none"/>
                            <w:tab w:pos="5427" w:val="left" w:leader="none"/>
                            <w:tab w:pos="6312" w:val="left" w:leader="none"/>
                            <w:tab w:pos="7764" w:val="left" w:leader="none"/>
                            <w:tab w:pos="8862" w:val="left" w:leader="none"/>
                            <w:tab w:pos="9664" w:val="left" w:leader="none"/>
                          </w:tabs>
                          <w:spacing w:line="185" w:lineRule="exact" w:before="0"/>
                          <w:ind w:left="0" w:right="0" w:firstLine="0"/>
                          <w:jc w:val="left"/>
                          <w:rPr>
                            <w:sz w:val="18"/>
                          </w:rPr>
                        </w:pPr>
                        <w:r>
                          <w:rPr>
                            <w:sz w:val="18"/>
                          </w:rPr>
                          <w:t>September</w:t>
                        </w:r>
                        <w:r>
                          <w:rPr>
                            <w:spacing w:val="-1"/>
                            <w:sz w:val="18"/>
                          </w:rPr>
                          <w:t> </w:t>
                        </w:r>
                        <w:r>
                          <w:rPr>
                            <w:spacing w:val="-5"/>
                            <w:sz w:val="18"/>
                          </w:rPr>
                          <w:t>30,</w:t>
                        </w:r>
                        <w:r>
                          <w:rPr>
                            <w:sz w:val="18"/>
                          </w:rPr>
                          <w:tab/>
                          <w:t>and</w:t>
                        </w:r>
                        <w:r>
                          <w:rPr>
                            <w:spacing w:val="-2"/>
                            <w:sz w:val="18"/>
                          </w:rPr>
                          <w:t> Benefits</w:t>
                        </w:r>
                        <w:r>
                          <w:rPr>
                            <w:sz w:val="18"/>
                          </w:rPr>
                          <w:tab/>
                          <w:t>Costs</w:t>
                        </w:r>
                        <w:r>
                          <w:rPr>
                            <w:spacing w:val="-4"/>
                            <w:sz w:val="18"/>
                          </w:rPr>
                          <w:t> </w:t>
                        </w:r>
                        <w:r>
                          <w:rPr>
                            <w:spacing w:val="-5"/>
                            <w:sz w:val="18"/>
                            <w:vertAlign w:val="superscript"/>
                          </w:rPr>
                          <w:t>(1)</w:t>
                        </w:r>
                        <w:r>
                          <w:rPr>
                            <w:sz w:val="18"/>
                            <w:vertAlign w:val="baseline"/>
                          </w:rPr>
                          <w:tab/>
                        </w:r>
                        <w:r>
                          <w:rPr>
                            <w:spacing w:val="-2"/>
                            <w:sz w:val="18"/>
                            <w:vertAlign w:val="baseline"/>
                          </w:rPr>
                          <w:t>Total</w:t>
                        </w:r>
                        <w:r>
                          <w:rPr>
                            <w:sz w:val="18"/>
                            <w:vertAlign w:val="baseline"/>
                          </w:rPr>
                          <w:tab/>
                          <w:t>and</w:t>
                        </w:r>
                        <w:r>
                          <w:rPr>
                            <w:spacing w:val="-2"/>
                            <w:sz w:val="18"/>
                            <w:vertAlign w:val="baseline"/>
                          </w:rPr>
                          <w:t> Benefits</w:t>
                        </w:r>
                        <w:r>
                          <w:rPr>
                            <w:sz w:val="18"/>
                            <w:vertAlign w:val="baseline"/>
                          </w:rPr>
                          <w:tab/>
                          <w:t>Costs</w:t>
                        </w:r>
                        <w:r>
                          <w:rPr>
                            <w:spacing w:val="-4"/>
                            <w:sz w:val="18"/>
                            <w:vertAlign w:val="baseline"/>
                          </w:rPr>
                          <w:t> </w:t>
                        </w:r>
                        <w:r>
                          <w:rPr>
                            <w:spacing w:val="-5"/>
                            <w:sz w:val="18"/>
                            <w:vertAlign w:val="superscript"/>
                          </w:rPr>
                          <w:t>(1)</w:t>
                        </w:r>
                        <w:r>
                          <w:rPr>
                            <w:sz w:val="18"/>
                            <w:vertAlign w:val="baseline"/>
                          </w:rPr>
                          <w:tab/>
                        </w:r>
                        <w:r>
                          <w:rPr>
                            <w:spacing w:val="-2"/>
                            <w:sz w:val="18"/>
                            <w:vertAlign w:val="baseline"/>
                          </w:rPr>
                          <w:t>Total</w:t>
                        </w:r>
                        <w:r>
                          <w:rPr>
                            <w:sz w:val="18"/>
                            <w:vertAlign w:val="baseline"/>
                          </w:rPr>
                          <w:tab/>
                        </w:r>
                        <w:r>
                          <w:rPr>
                            <w:spacing w:val="-2"/>
                            <w:sz w:val="18"/>
                            <w:vertAlign w:val="baseline"/>
                          </w:rPr>
                          <w:t>Total</w:t>
                        </w:r>
                      </w:p>
                    </w:txbxContent>
                  </v:textbox>
                  <w10:wrap type="none"/>
                </v:shape>
                <v:shape style="position:absolute;left:1042;top:1679;width:1940;height:200" type="#_x0000_t202" id="docshape338" filled="false" stroked="false">
                  <v:textbox inset="0,0,0,0">
                    <w:txbxContent>
                      <w:p>
                        <w:pPr>
                          <w:spacing w:line="199" w:lineRule="exact" w:before="0"/>
                          <w:ind w:left="0" w:right="0" w:firstLine="0"/>
                          <w:jc w:val="left"/>
                          <w:rPr>
                            <w:sz w:val="18"/>
                          </w:rPr>
                        </w:pPr>
                        <w:r>
                          <w:rPr>
                            <w:sz w:val="18"/>
                          </w:rPr>
                          <w:t>Occupancy</w:t>
                        </w:r>
                        <w:r>
                          <w:rPr>
                            <w:spacing w:val="-1"/>
                            <w:sz w:val="18"/>
                          </w:rPr>
                          <w:t> </w:t>
                        </w:r>
                        <w:r>
                          <w:rPr>
                            <w:sz w:val="18"/>
                          </w:rPr>
                          <w:t>and </w:t>
                        </w:r>
                        <w:r>
                          <w:rPr>
                            <w:spacing w:val="-2"/>
                            <w:sz w:val="18"/>
                          </w:rPr>
                          <w:t>equipment</w:t>
                        </w:r>
                      </w:p>
                    </w:txbxContent>
                  </v:textbox>
                  <w10:wrap type="none"/>
                </v:shape>
                <v:shape style="position:absolute;left:4740;top:1679;width:200;height:200" type="#_x0000_t202" id="docshape339"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6030;top:1679;width:110;height:200" type="#_x0000_t202" id="docshape340" filled="false" stroked="false">
                  <v:textbox inset="0,0,0,0">
                    <w:txbxContent>
                      <w:p>
                        <w:pPr>
                          <w:spacing w:line="199" w:lineRule="exact" w:before="0"/>
                          <w:ind w:left="0" w:right="0" w:firstLine="0"/>
                          <w:jc w:val="left"/>
                          <w:rPr>
                            <w:sz w:val="18"/>
                          </w:rPr>
                        </w:pPr>
                        <w:r>
                          <w:rPr>
                            <w:spacing w:val="-10"/>
                            <w:sz w:val="18"/>
                          </w:rPr>
                          <w:t>2</w:t>
                        </w:r>
                      </w:p>
                    </w:txbxContent>
                  </v:textbox>
                  <w10:wrap type="none"/>
                </v:shape>
                <v:shape style="position:absolute;left:6885;top:1679;width:110;height:200" type="#_x0000_t202" id="docshape341" filled="false" stroked="false">
                  <v:textbox inset="0,0,0,0">
                    <w:txbxContent>
                      <w:p>
                        <w:pPr>
                          <w:spacing w:line="199" w:lineRule="exact" w:before="0"/>
                          <w:ind w:left="0" w:right="0" w:firstLine="0"/>
                          <w:jc w:val="left"/>
                          <w:rPr>
                            <w:sz w:val="18"/>
                          </w:rPr>
                        </w:pPr>
                        <w:r>
                          <w:rPr>
                            <w:spacing w:val="-10"/>
                            <w:sz w:val="18"/>
                          </w:rPr>
                          <w:t>2</w:t>
                        </w:r>
                      </w:p>
                    </w:txbxContent>
                  </v:textbox>
                  <w10:wrap type="none"/>
                </v:shape>
                <v:shape style="position:absolute;left:8235;top:1679;width:200;height:200" type="#_x0000_t202" id="docshape342"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9465;top:1679;width:110;height:200" type="#_x0000_t202" id="docshape343" filled="false" stroked="false">
                  <v:textbox inset="0,0,0,0">
                    <w:txbxContent>
                      <w:p>
                        <w:pPr>
                          <w:spacing w:line="199" w:lineRule="exact" w:before="0"/>
                          <w:ind w:left="0" w:right="0" w:firstLine="0"/>
                          <w:jc w:val="left"/>
                          <w:rPr>
                            <w:sz w:val="18"/>
                          </w:rPr>
                        </w:pPr>
                        <w:r>
                          <w:rPr>
                            <w:spacing w:val="-10"/>
                            <w:sz w:val="18"/>
                          </w:rPr>
                          <w:t>1</w:t>
                        </w:r>
                      </w:p>
                    </w:txbxContent>
                  </v:textbox>
                  <w10:wrap type="none"/>
                </v:shape>
                <v:shape style="position:absolute;left:10320;top:1679;width:110;height:200" type="#_x0000_t202" id="docshape344" filled="false" stroked="false">
                  <v:textbox inset="0,0,0,0">
                    <w:txbxContent>
                      <w:p>
                        <w:pPr>
                          <w:spacing w:line="199" w:lineRule="exact" w:before="0"/>
                          <w:ind w:left="0" w:right="0" w:firstLine="0"/>
                          <w:jc w:val="left"/>
                          <w:rPr>
                            <w:sz w:val="18"/>
                          </w:rPr>
                        </w:pPr>
                        <w:r>
                          <w:rPr>
                            <w:spacing w:val="-10"/>
                            <w:sz w:val="18"/>
                          </w:rPr>
                          <w:t>1</w:t>
                        </w:r>
                      </w:p>
                    </w:txbxContent>
                  </v:textbox>
                  <w10:wrap type="none"/>
                </v:shape>
                <v:shape style="position:absolute;left:11085;top:1679;width:110;height:200" type="#_x0000_t202" id="docshape345" filled="false" stroked="false">
                  <v:textbox inset="0,0,0,0">
                    <w:txbxContent>
                      <w:p>
                        <w:pPr>
                          <w:spacing w:line="199" w:lineRule="exact" w:before="0"/>
                          <w:ind w:left="0" w:right="0" w:firstLine="0"/>
                          <w:jc w:val="left"/>
                          <w:rPr>
                            <w:sz w:val="18"/>
                          </w:rPr>
                        </w:pPr>
                        <w:r>
                          <w:rPr>
                            <w:spacing w:val="-10"/>
                            <w:sz w:val="18"/>
                          </w:rPr>
                          <w:t>3</w:t>
                        </w:r>
                      </w:p>
                    </w:txbxContent>
                  </v:textbox>
                  <w10:wrap type="none"/>
                </v:shape>
                <v:shape style="position:absolute;left:4733;top:2444;width:1265;height:200" type="#_x0000_t202" id="docshape346" filled="false" stroked="false">
                  <v:textbox inset="0,0,0,0">
                    <w:txbxContent>
                      <w:p>
                        <w:pPr>
                          <w:spacing w:line="199" w:lineRule="exact" w:before="0"/>
                          <w:ind w:left="0" w:right="0" w:firstLine="0"/>
                          <w:jc w:val="left"/>
                          <w:rPr>
                            <w:sz w:val="18"/>
                          </w:rPr>
                        </w:pPr>
                        <w:r>
                          <w:rPr>
                            <w:sz w:val="18"/>
                          </w:rPr>
                          <w:t>Investor</w:t>
                        </w:r>
                        <w:r>
                          <w:rPr>
                            <w:spacing w:val="-1"/>
                            <w:sz w:val="18"/>
                          </w:rPr>
                          <w:t> </w:t>
                        </w:r>
                        <w:r>
                          <w:rPr>
                            <w:spacing w:val="-2"/>
                            <w:sz w:val="18"/>
                          </w:rPr>
                          <w:t>Services</w:t>
                        </w:r>
                      </w:p>
                    </w:txbxContent>
                  </v:textbox>
                  <w10:wrap type="none"/>
                </v:shape>
                <v:shape style="position:absolute;left:8188;top:2444;width:1255;height:200" type="#_x0000_t202" id="docshape347" filled="false" stroked="false">
                  <v:textbox inset="0,0,0,0">
                    <w:txbxContent>
                      <w:p>
                        <w:pPr>
                          <w:spacing w:line="199" w:lineRule="exact" w:before="0"/>
                          <w:ind w:left="0" w:right="0" w:firstLine="0"/>
                          <w:jc w:val="left"/>
                          <w:rPr>
                            <w:sz w:val="18"/>
                          </w:rPr>
                        </w:pPr>
                        <w:r>
                          <w:rPr>
                            <w:sz w:val="18"/>
                          </w:rPr>
                          <w:t>Advisor</w:t>
                        </w:r>
                        <w:r>
                          <w:rPr>
                            <w:spacing w:val="-2"/>
                            <w:sz w:val="18"/>
                          </w:rPr>
                          <w:t> Services</w:t>
                        </w:r>
                      </w:p>
                    </w:txbxContent>
                  </v:textbox>
                  <w10:wrap type="none"/>
                </v:shape>
                <v:shape style="position:absolute;left:1042;top:2699;width:10065;height:560" type="#_x0000_t202" id="docshape348" filled="false" stroked="false">
                  <v:textbox inset="0,0,0,0">
                    <w:txbxContent>
                      <w:p>
                        <w:pPr>
                          <w:tabs>
                            <w:tab w:pos="4142" w:val="left" w:leader="none"/>
                            <w:tab w:pos="5312" w:val="left" w:leader="none"/>
                            <w:tab w:pos="6244" w:val="left" w:leader="none"/>
                            <w:tab w:pos="6400" w:val="left" w:leader="none"/>
                            <w:tab w:pos="7607" w:val="left" w:leader="none"/>
                            <w:tab w:pos="8747" w:val="left" w:leader="none"/>
                          </w:tabs>
                          <w:spacing w:line="208" w:lineRule="auto" w:before="14"/>
                          <w:ind w:left="2765" w:right="705" w:firstLine="155"/>
                          <w:jc w:val="left"/>
                          <w:rPr>
                            <w:sz w:val="18"/>
                          </w:rPr>
                        </w:pPr>
                        <w:r>
                          <w:rPr>
                            <w:spacing w:val="-2"/>
                            <w:sz w:val="18"/>
                          </w:rPr>
                          <w:t>Employee</w:t>
                        </w:r>
                        <w:r>
                          <w:rPr>
                            <w:sz w:val="18"/>
                          </w:rPr>
                          <w:tab/>
                          <w:tab/>
                        </w:r>
                        <w:r>
                          <w:rPr>
                            <w:spacing w:val="-36"/>
                            <w:sz w:val="18"/>
                          </w:rPr>
                          <w:t> </w:t>
                        </w:r>
                        <w:r>
                          <w:rPr>
                            <w:spacing w:val="-2"/>
                            <w:sz w:val="18"/>
                          </w:rPr>
                          <w:t>Investor</w:t>
                        </w:r>
                        <w:r>
                          <w:rPr>
                            <w:sz w:val="18"/>
                          </w:rPr>
                          <w:tab/>
                          <w:tab/>
                        </w:r>
                        <w:r>
                          <w:rPr>
                            <w:spacing w:val="-2"/>
                            <w:sz w:val="18"/>
                          </w:rPr>
                          <w:t>Employee</w:t>
                        </w:r>
                        <w:r>
                          <w:rPr>
                            <w:sz w:val="18"/>
                          </w:rPr>
                          <w:tab/>
                          <w:tab/>
                        </w:r>
                        <w:r>
                          <w:rPr>
                            <w:spacing w:val="-31"/>
                            <w:sz w:val="18"/>
                          </w:rPr>
                          <w:t> </w:t>
                        </w:r>
                        <w:r>
                          <w:rPr>
                            <w:sz w:val="18"/>
                          </w:rPr>
                          <w:t>Advisor </w:t>
                        </w:r>
                        <w:r>
                          <w:rPr>
                            <w:spacing w:val="-2"/>
                            <w:sz w:val="18"/>
                          </w:rPr>
                          <w:t>Compensation</w:t>
                        </w:r>
                        <w:r>
                          <w:rPr>
                            <w:sz w:val="18"/>
                          </w:rPr>
                          <w:tab/>
                          <w:t>Facility</w:t>
                        </w:r>
                        <w:r>
                          <w:rPr>
                            <w:spacing w:val="-1"/>
                            <w:sz w:val="18"/>
                          </w:rPr>
                          <w:t> </w:t>
                        </w:r>
                        <w:r>
                          <w:rPr>
                            <w:spacing w:val="-4"/>
                            <w:sz w:val="18"/>
                          </w:rPr>
                          <w:t>Exit</w:t>
                        </w:r>
                        <w:r>
                          <w:rPr>
                            <w:sz w:val="18"/>
                          </w:rPr>
                          <w:tab/>
                        </w:r>
                        <w:r>
                          <w:rPr>
                            <w:spacing w:val="-2"/>
                            <w:sz w:val="18"/>
                          </w:rPr>
                          <w:t>Services</w:t>
                        </w:r>
                        <w:r>
                          <w:rPr>
                            <w:sz w:val="18"/>
                          </w:rPr>
                          <w:tab/>
                        </w:r>
                        <w:r>
                          <w:rPr>
                            <w:spacing w:val="-2"/>
                            <w:sz w:val="18"/>
                          </w:rPr>
                          <w:t>Compensation</w:t>
                        </w:r>
                        <w:r>
                          <w:rPr>
                            <w:sz w:val="18"/>
                          </w:rPr>
                          <w:tab/>
                          <w:t>Facility</w:t>
                        </w:r>
                        <w:r>
                          <w:rPr>
                            <w:spacing w:val="-3"/>
                            <w:sz w:val="18"/>
                          </w:rPr>
                          <w:t> </w:t>
                        </w:r>
                        <w:r>
                          <w:rPr>
                            <w:spacing w:val="-4"/>
                            <w:sz w:val="18"/>
                          </w:rPr>
                          <w:t>Exit</w:t>
                        </w:r>
                        <w:r>
                          <w:rPr>
                            <w:sz w:val="18"/>
                          </w:rPr>
                          <w:tab/>
                        </w:r>
                        <w:r>
                          <w:rPr>
                            <w:spacing w:val="-2"/>
                            <w:sz w:val="18"/>
                          </w:rPr>
                          <w:t>Services</w:t>
                        </w:r>
                      </w:p>
                      <w:p>
                        <w:pPr>
                          <w:tabs>
                            <w:tab w:pos="2832" w:val="left" w:leader="none"/>
                            <w:tab w:pos="4299" w:val="left" w:leader="none"/>
                            <w:tab w:pos="5427" w:val="left" w:leader="none"/>
                            <w:tab w:pos="6312" w:val="left" w:leader="none"/>
                            <w:tab w:pos="7764" w:val="left" w:leader="none"/>
                            <w:tab w:pos="8862" w:val="left" w:leader="none"/>
                            <w:tab w:pos="9664" w:val="left" w:leader="none"/>
                          </w:tabs>
                          <w:spacing w:line="185" w:lineRule="exact" w:before="0"/>
                          <w:ind w:left="0" w:right="0" w:firstLine="0"/>
                          <w:jc w:val="left"/>
                          <w:rPr>
                            <w:sz w:val="18"/>
                          </w:rPr>
                        </w:pPr>
                        <w:r>
                          <w:rPr>
                            <w:sz w:val="18"/>
                          </w:rPr>
                          <w:t>Nine</w:t>
                        </w:r>
                        <w:r>
                          <w:rPr>
                            <w:spacing w:val="-1"/>
                            <w:sz w:val="18"/>
                          </w:rPr>
                          <w:t> </w:t>
                        </w:r>
                        <w:r>
                          <w:rPr>
                            <w:sz w:val="18"/>
                          </w:rPr>
                          <w:t>Months</w:t>
                        </w:r>
                        <w:r>
                          <w:rPr>
                            <w:spacing w:val="-2"/>
                            <w:sz w:val="18"/>
                          </w:rPr>
                          <w:t> </w:t>
                        </w:r>
                        <w:r>
                          <w:rPr>
                            <w:sz w:val="18"/>
                          </w:rPr>
                          <w:t>Ended</w:t>
                        </w:r>
                        <w:r>
                          <w:rPr>
                            <w:spacing w:val="-1"/>
                            <w:sz w:val="18"/>
                          </w:rPr>
                          <w:t> </w:t>
                        </w:r>
                        <w:r>
                          <w:rPr>
                            <w:sz w:val="18"/>
                          </w:rPr>
                          <w:t>September </w:t>
                        </w:r>
                        <w:r>
                          <w:rPr>
                            <w:spacing w:val="-5"/>
                            <w:sz w:val="18"/>
                          </w:rPr>
                          <w:t>30,</w:t>
                        </w:r>
                        <w:r>
                          <w:rPr>
                            <w:sz w:val="18"/>
                          </w:rPr>
                          <w:tab/>
                          <w:t>and</w:t>
                        </w:r>
                        <w:r>
                          <w:rPr>
                            <w:spacing w:val="-2"/>
                            <w:sz w:val="18"/>
                          </w:rPr>
                          <w:t> Benefits</w:t>
                        </w:r>
                        <w:r>
                          <w:rPr>
                            <w:sz w:val="18"/>
                          </w:rPr>
                          <w:tab/>
                          <w:t>Costs</w:t>
                        </w:r>
                        <w:r>
                          <w:rPr>
                            <w:spacing w:val="-4"/>
                            <w:sz w:val="18"/>
                          </w:rPr>
                          <w:t> </w:t>
                        </w:r>
                        <w:r>
                          <w:rPr>
                            <w:spacing w:val="-5"/>
                            <w:sz w:val="18"/>
                            <w:vertAlign w:val="superscript"/>
                          </w:rPr>
                          <w:t>(1)</w:t>
                        </w:r>
                        <w:r>
                          <w:rPr>
                            <w:sz w:val="18"/>
                            <w:vertAlign w:val="baseline"/>
                          </w:rPr>
                          <w:tab/>
                        </w:r>
                        <w:r>
                          <w:rPr>
                            <w:spacing w:val="-2"/>
                            <w:sz w:val="18"/>
                            <w:vertAlign w:val="baseline"/>
                          </w:rPr>
                          <w:t>Total</w:t>
                        </w:r>
                        <w:r>
                          <w:rPr>
                            <w:sz w:val="18"/>
                            <w:vertAlign w:val="baseline"/>
                          </w:rPr>
                          <w:tab/>
                          <w:t>and</w:t>
                        </w:r>
                        <w:r>
                          <w:rPr>
                            <w:spacing w:val="-2"/>
                            <w:sz w:val="18"/>
                            <w:vertAlign w:val="baseline"/>
                          </w:rPr>
                          <w:t> Benefits</w:t>
                        </w:r>
                        <w:r>
                          <w:rPr>
                            <w:sz w:val="18"/>
                            <w:vertAlign w:val="baseline"/>
                          </w:rPr>
                          <w:tab/>
                          <w:t>Costs</w:t>
                        </w:r>
                        <w:r>
                          <w:rPr>
                            <w:spacing w:val="-4"/>
                            <w:sz w:val="18"/>
                            <w:vertAlign w:val="baseline"/>
                          </w:rPr>
                          <w:t> </w:t>
                        </w:r>
                        <w:r>
                          <w:rPr>
                            <w:spacing w:val="-5"/>
                            <w:sz w:val="18"/>
                            <w:vertAlign w:val="superscript"/>
                          </w:rPr>
                          <w:t>(1)</w:t>
                        </w:r>
                        <w:r>
                          <w:rPr>
                            <w:sz w:val="18"/>
                            <w:vertAlign w:val="baseline"/>
                          </w:rPr>
                          <w:tab/>
                        </w:r>
                        <w:r>
                          <w:rPr>
                            <w:spacing w:val="-2"/>
                            <w:sz w:val="18"/>
                            <w:vertAlign w:val="baseline"/>
                          </w:rPr>
                          <w:t>Total</w:t>
                        </w:r>
                        <w:r>
                          <w:rPr>
                            <w:sz w:val="18"/>
                            <w:vertAlign w:val="baseline"/>
                          </w:rPr>
                          <w:tab/>
                        </w:r>
                        <w:r>
                          <w:rPr>
                            <w:spacing w:val="-2"/>
                            <w:sz w:val="18"/>
                            <w:vertAlign w:val="baseline"/>
                          </w:rPr>
                          <w:t>Total</w:t>
                        </w:r>
                      </w:p>
                    </w:txbxContent>
                  </v:textbox>
                  <w10:wrap type="none"/>
                </v:shape>
                <v:shape style="position:absolute;left:1042;top:3569;width:1940;height:200" type="#_x0000_t202" id="docshape349" filled="false" stroked="false">
                  <v:textbox inset="0,0,0,0">
                    <w:txbxContent>
                      <w:p>
                        <w:pPr>
                          <w:spacing w:line="199" w:lineRule="exact" w:before="0"/>
                          <w:ind w:left="0" w:right="0" w:firstLine="0"/>
                          <w:jc w:val="left"/>
                          <w:rPr>
                            <w:sz w:val="18"/>
                          </w:rPr>
                        </w:pPr>
                        <w:r>
                          <w:rPr>
                            <w:sz w:val="18"/>
                          </w:rPr>
                          <w:t>Occupancy</w:t>
                        </w:r>
                        <w:r>
                          <w:rPr>
                            <w:spacing w:val="-1"/>
                            <w:sz w:val="18"/>
                          </w:rPr>
                          <w:t> </w:t>
                        </w:r>
                        <w:r>
                          <w:rPr>
                            <w:sz w:val="18"/>
                          </w:rPr>
                          <w:t>and </w:t>
                        </w:r>
                        <w:r>
                          <w:rPr>
                            <w:spacing w:val="-2"/>
                            <w:sz w:val="18"/>
                          </w:rPr>
                          <w:t>equipment</w:t>
                        </w:r>
                      </w:p>
                    </w:txbxContent>
                  </v:textbox>
                  <w10:wrap type="none"/>
                </v:shape>
                <v:shape style="position:absolute;left:4740;top:3569;width:200;height:200" type="#_x0000_t202" id="docshape350"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6030;top:3569;width:110;height:200" type="#_x0000_t202" id="docshape351" filled="false" stroked="false">
                  <v:textbox inset="0,0,0,0">
                    <w:txbxContent>
                      <w:p>
                        <w:pPr>
                          <w:spacing w:line="199" w:lineRule="exact" w:before="0"/>
                          <w:ind w:left="0" w:right="0" w:firstLine="0"/>
                          <w:jc w:val="left"/>
                          <w:rPr>
                            <w:sz w:val="18"/>
                          </w:rPr>
                        </w:pPr>
                        <w:r>
                          <w:rPr>
                            <w:spacing w:val="-10"/>
                            <w:sz w:val="18"/>
                          </w:rPr>
                          <w:t>4</w:t>
                        </w:r>
                      </w:p>
                    </w:txbxContent>
                  </v:textbox>
                  <w10:wrap type="none"/>
                </v:shape>
                <v:shape style="position:absolute;left:6885;top:3569;width:110;height:200" type="#_x0000_t202" id="docshape352" filled="false" stroked="false">
                  <v:textbox inset="0,0,0,0">
                    <w:txbxContent>
                      <w:p>
                        <w:pPr>
                          <w:spacing w:line="199" w:lineRule="exact" w:before="0"/>
                          <w:ind w:left="0" w:right="0" w:firstLine="0"/>
                          <w:jc w:val="left"/>
                          <w:rPr>
                            <w:sz w:val="18"/>
                          </w:rPr>
                        </w:pPr>
                        <w:r>
                          <w:rPr>
                            <w:spacing w:val="-10"/>
                            <w:sz w:val="18"/>
                          </w:rPr>
                          <w:t>4</w:t>
                        </w:r>
                      </w:p>
                    </w:txbxContent>
                  </v:textbox>
                  <w10:wrap type="none"/>
                </v:shape>
                <v:shape style="position:absolute;left:8235;top:3569;width:200;height:200" type="#_x0000_t202" id="docshape353"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9465;top:3569;width:110;height:200" type="#_x0000_t202" id="docshape354" filled="false" stroked="false">
                  <v:textbox inset="0,0,0,0">
                    <w:txbxContent>
                      <w:p>
                        <w:pPr>
                          <w:spacing w:line="199" w:lineRule="exact" w:before="0"/>
                          <w:ind w:left="0" w:right="0" w:firstLine="0"/>
                          <w:jc w:val="left"/>
                          <w:rPr>
                            <w:sz w:val="18"/>
                          </w:rPr>
                        </w:pPr>
                        <w:r>
                          <w:rPr>
                            <w:spacing w:val="-10"/>
                            <w:sz w:val="18"/>
                          </w:rPr>
                          <w:t>2</w:t>
                        </w:r>
                      </w:p>
                    </w:txbxContent>
                  </v:textbox>
                  <w10:wrap type="none"/>
                </v:shape>
                <v:shape style="position:absolute;left:10320;top:3569;width:110;height:200" type="#_x0000_t202" id="docshape355" filled="false" stroked="false">
                  <v:textbox inset="0,0,0,0">
                    <w:txbxContent>
                      <w:p>
                        <w:pPr>
                          <w:spacing w:line="199" w:lineRule="exact" w:before="0"/>
                          <w:ind w:left="0" w:right="0" w:firstLine="0"/>
                          <w:jc w:val="left"/>
                          <w:rPr>
                            <w:sz w:val="18"/>
                          </w:rPr>
                        </w:pPr>
                        <w:r>
                          <w:rPr>
                            <w:spacing w:val="-10"/>
                            <w:sz w:val="18"/>
                          </w:rPr>
                          <w:t>2</w:t>
                        </w:r>
                      </w:p>
                    </w:txbxContent>
                  </v:textbox>
                  <w10:wrap type="none"/>
                </v:shape>
                <v:shape style="position:absolute;left:11085;top:3569;width:110;height:200" type="#_x0000_t202" id="docshape356" filled="false" stroked="false">
                  <v:textbox inset="0,0,0,0">
                    <w:txbxContent>
                      <w:p>
                        <w:pPr>
                          <w:spacing w:line="199" w:lineRule="exact" w:before="0"/>
                          <w:ind w:left="0" w:right="0" w:firstLine="0"/>
                          <w:jc w:val="left"/>
                          <w:rPr>
                            <w:sz w:val="18"/>
                          </w:rPr>
                        </w:pPr>
                        <w:r>
                          <w:rPr>
                            <w:spacing w:val="-10"/>
                            <w:sz w:val="18"/>
                          </w:rPr>
                          <w:t>6</w:t>
                        </w:r>
                      </w:p>
                    </w:txbxContent>
                  </v:textbox>
                  <w10:wrap type="none"/>
                </v:shape>
                <v:shape style="position:absolute;left:990;top:3803;width:10260;height:220" type="#_x0000_t202" id="docshape357" filled="false" stroked="false">
                  <v:textbox inset="0,0,0,0">
                    <w:txbxContent>
                      <w:p>
                        <w:pPr>
                          <w:tabs>
                            <w:tab w:pos="2722" w:val="left" w:leader="none"/>
                            <w:tab w:pos="3749" w:val="left" w:leader="none"/>
                            <w:tab w:pos="4132" w:val="left" w:leader="none"/>
                            <w:tab w:pos="5040" w:val="left" w:leader="none"/>
                            <w:tab w:pos="5332" w:val="left" w:leader="none"/>
                            <w:tab w:pos="5805" w:val="left" w:leader="none"/>
                            <w:tab w:pos="6187" w:val="left" w:leader="none"/>
                            <w:tab w:pos="7335" w:val="left" w:leader="none"/>
                            <w:tab w:pos="7627" w:val="left" w:leader="none"/>
                            <w:tab w:pos="8474" w:val="left" w:leader="none"/>
                            <w:tab w:pos="8767" w:val="left" w:leader="none"/>
                            <w:tab w:pos="9330" w:val="left" w:leader="none"/>
                            <w:tab w:pos="10004" w:val="left" w:leader="none"/>
                          </w:tabs>
                          <w:spacing w:before="13"/>
                          <w:ind w:left="172" w:right="0" w:firstLine="0"/>
                          <w:jc w:val="left"/>
                          <w:rPr>
                            <w:sz w:val="18"/>
                          </w:rPr>
                        </w:pPr>
                        <w:r>
                          <w:rPr>
                            <w:spacing w:val="-2"/>
                            <w:sz w:val="18"/>
                          </w:rPr>
                          <w:t>Total</w:t>
                        </w:r>
                        <w:r>
                          <w:rPr>
                            <w:sz w:val="18"/>
                          </w:rPr>
                          <w:tab/>
                        </w:r>
                        <w:r>
                          <w:rPr>
                            <w:spacing w:val="-10"/>
                            <w:sz w:val="18"/>
                          </w:rPr>
                          <w:t>$</w:t>
                        </w:r>
                        <w:r>
                          <w:rPr>
                            <w:sz w:val="18"/>
                          </w:rPr>
                          <w:tab/>
                        </w:r>
                        <w:r>
                          <w:rPr>
                            <w:spacing w:val="-5"/>
                            <w:sz w:val="18"/>
                          </w:rPr>
                          <w:t>18</w:t>
                        </w:r>
                        <w:r>
                          <w:rPr>
                            <w:sz w:val="18"/>
                          </w:rPr>
                          <w:tab/>
                        </w:r>
                        <w:r>
                          <w:rPr>
                            <w:spacing w:val="-10"/>
                            <w:sz w:val="18"/>
                          </w:rPr>
                          <w:t>$</w:t>
                        </w:r>
                        <w:r>
                          <w:rPr>
                            <w:sz w:val="18"/>
                          </w:rPr>
                          <w:tab/>
                        </w:r>
                        <w:r>
                          <w:rPr>
                            <w:spacing w:val="-10"/>
                            <w:sz w:val="18"/>
                          </w:rPr>
                          <w:t>4</w:t>
                        </w:r>
                        <w:r>
                          <w:rPr>
                            <w:sz w:val="18"/>
                          </w:rPr>
                          <w:tab/>
                        </w:r>
                        <w:r>
                          <w:rPr>
                            <w:spacing w:val="-10"/>
                            <w:sz w:val="18"/>
                          </w:rPr>
                          <w:t>$</w:t>
                        </w:r>
                        <w:r>
                          <w:rPr>
                            <w:sz w:val="18"/>
                          </w:rPr>
                          <w:tab/>
                        </w:r>
                        <w:r>
                          <w:rPr>
                            <w:spacing w:val="-5"/>
                            <w:sz w:val="18"/>
                          </w:rPr>
                          <w:t>22</w:t>
                        </w:r>
                        <w:r>
                          <w:rPr>
                            <w:sz w:val="18"/>
                          </w:rPr>
                          <w:tab/>
                        </w:r>
                        <w:r>
                          <w:rPr>
                            <w:spacing w:val="-10"/>
                            <w:sz w:val="18"/>
                          </w:rPr>
                          <w:t>$</w:t>
                        </w:r>
                        <w:r>
                          <w:rPr>
                            <w:sz w:val="18"/>
                          </w:rPr>
                          <w:tab/>
                        </w:r>
                        <w:r>
                          <w:rPr>
                            <w:spacing w:val="-10"/>
                            <w:sz w:val="18"/>
                          </w:rPr>
                          <w:t>5</w:t>
                        </w:r>
                        <w:r>
                          <w:rPr>
                            <w:sz w:val="18"/>
                          </w:rPr>
                          <w:tab/>
                        </w:r>
                        <w:r>
                          <w:rPr>
                            <w:spacing w:val="-10"/>
                            <w:sz w:val="18"/>
                          </w:rPr>
                          <w:t>$</w:t>
                        </w:r>
                        <w:r>
                          <w:rPr>
                            <w:sz w:val="18"/>
                          </w:rPr>
                          <w:tab/>
                        </w:r>
                        <w:r>
                          <w:rPr>
                            <w:spacing w:val="-10"/>
                            <w:sz w:val="18"/>
                          </w:rPr>
                          <w:t>2</w:t>
                        </w:r>
                        <w:r>
                          <w:rPr>
                            <w:sz w:val="18"/>
                          </w:rPr>
                          <w:tab/>
                        </w:r>
                        <w:r>
                          <w:rPr>
                            <w:spacing w:val="-10"/>
                            <w:sz w:val="18"/>
                          </w:rPr>
                          <w:t>$</w:t>
                        </w:r>
                        <w:r>
                          <w:rPr>
                            <w:sz w:val="18"/>
                          </w:rPr>
                          <w:tab/>
                          <w:t>7</w:t>
                        </w:r>
                        <w:r>
                          <w:rPr>
                            <w:spacing w:val="48"/>
                            <w:sz w:val="18"/>
                          </w:rPr>
                          <w:t>  </w:t>
                        </w:r>
                        <w:r>
                          <w:rPr>
                            <w:spacing w:val="-10"/>
                            <w:sz w:val="18"/>
                          </w:rPr>
                          <w:t>$</w:t>
                        </w:r>
                        <w:r>
                          <w:rPr>
                            <w:sz w:val="18"/>
                          </w:rPr>
                          <w:tab/>
                        </w:r>
                        <w:r>
                          <w:rPr>
                            <w:spacing w:val="-5"/>
                            <w:sz w:val="18"/>
                          </w:rPr>
                          <w:t>29</w:t>
                        </w:r>
                      </w:p>
                    </w:txbxContent>
                  </v:textbox>
                  <w10:wrap type="none"/>
                </v:shape>
                <v:shape style="position:absolute;left:990;top:3293;width:10260;height:250" type="#_x0000_t202" id="docshape358" filled="false" stroked="false">
                  <v:textbox inset="0,0,0,0">
                    <w:txbxContent>
                      <w:p>
                        <w:pPr>
                          <w:tabs>
                            <w:tab w:pos="2722" w:val="left" w:leader="none"/>
                            <w:tab w:pos="3749" w:val="left" w:leader="none"/>
                            <w:tab w:pos="4132" w:val="left" w:leader="none"/>
                            <w:tab w:pos="4950" w:val="left" w:leader="none"/>
                            <w:tab w:pos="5332" w:val="left" w:leader="none"/>
                            <w:tab w:pos="5805" w:val="left" w:leader="none"/>
                            <w:tab w:pos="6187" w:val="left" w:leader="none"/>
                            <w:tab w:pos="7335" w:val="left" w:leader="none"/>
                            <w:tab w:pos="7627" w:val="left" w:leader="none"/>
                            <w:tab w:pos="8384" w:val="left" w:leader="none"/>
                            <w:tab w:pos="8767" w:val="left" w:leader="none"/>
                            <w:tab w:pos="9330" w:val="left" w:leader="none"/>
                            <w:tab w:pos="10004" w:val="left" w:leader="none"/>
                          </w:tabs>
                          <w:spacing w:before="13"/>
                          <w:ind w:left="52" w:right="0" w:firstLine="0"/>
                          <w:jc w:val="left"/>
                          <w:rPr>
                            <w:sz w:val="18"/>
                          </w:rPr>
                        </w:pPr>
                        <w:r>
                          <w:rPr>
                            <w:sz w:val="18"/>
                          </w:rPr>
                          <w:t>Compensation</w:t>
                        </w:r>
                        <w:r>
                          <w:rPr>
                            <w:spacing w:val="-3"/>
                            <w:sz w:val="18"/>
                          </w:rPr>
                          <w:t> </w:t>
                        </w:r>
                        <w:r>
                          <w:rPr>
                            <w:sz w:val="18"/>
                          </w:rPr>
                          <w:t>and </w:t>
                        </w:r>
                        <w:r>
                          <w:rPr>
                            <w:spacing w:val="-2"/>
                            <w:sz w:val="18"/>
                          </w:rPr>
                          <w:t>benefits</w:t>
                        </w:r>
                        <w:r>
                          <w:rPr>
                            <w:sz w:val="18"/>
                          </w:rPr>
                          <w:tab/>
                        </w:r>
                        <w:r>
                          <w:rPr>
                            <w:spacing w:val="-10"/>
                            <w:sz w:val="18"/>
                          </w:rPr>
                          <w:t>$</w:t>
                        </w:r>
                        <w:r>
                          <w:rPr>
                            <w:sz w:val="18"/>
                          </w:rPr>
                          <w:tab/>
                        </w:r>
                        <w:r>
                          <w:rPr>
                            <w:spacing w:val="-5"/>
                            <w:sz w:val="18"/>
                          </w:rPr>
                          <w:t>18</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5"/>
                            <w:sz w:val="18"/>
                          </w:rPr>
                          <w:t>18</w:t>
                        </w:r>
                        <w:r>
                          <w:rPr>
                            <w:sz w:val="18"/>
                          </w:rPr>
                          <w:tab/>
                        </w:r>
                        <w:r>
                          <w:rPr>
                            <w:spacing w:val="-10"/>
                            <w:sz w:val="18"/>
                          </w:rPr>
                          <w:t>$</w:t>
                        </w:r>
                        <w:r>
                          <w:rPr>
                            <w:sz w:val="18"/>
                          </w:rPr>
                          <w:tab/>
                        </w:r>
                        <w:r>
                          <w:rPr>
                            <w:spacing w:val="-10"/>
                            <w:sz w:val="18"/>
                          </w:rPr>
                          <w:t>5</w:t>
                        </w:r>
                        <w:r>
                          <w:rPr>
                            <w:sz w:val="18"/>
                          </w:rPr>
                          <w:tab/>
                        </w:r>
                        <w:r>
                          <w:rPr>
                            <w:spacing w:val="-10"/>
                            <w:sz w:val="18"/>
                          </w:rPr>
                          <w:t>$</w:t>
                        </w:r>
                        <w:r>
                          <w:rPr>
                            <w:sz w:val="18"/>
                          </w:rPr>
                          <w:tab/>
                        </w:r>
                        <w:r>
                          <w:rPr>
                            <w:spacing w:val="-10"/>
                            <w:sz w:val="18"/>
                          </w:rPr>
                          <w:t>—</w:t>
                        </w:r>
                        <w:r>
                          <w:rPr>
                            <w:sz w:val="18"/>
                          </w:rPr>
                          <w:tab/>
                        </w:r>
                        <w:r>
                          <w:rPr>
                            <w:spacing w:val="-10"/>
                            <w:sz w:val="18"/>
                          </w:rPr>
                          <w:t>$</w:t>
                        </w:r>
                        <w:r>
                          <w:rPr>
                            <w:sz w:val="18"/>
                          </w:rPr>
                          <w:tab/>
                          <w:t>5</w:t>
                        </w:r>
                        <w:r>
                          <w:rPr>
                            <w:spacing w:val="48"/>
                            <w:sz w:val="18"/>
                          </w:rPr>
                          <w:t>  </w:t>
                        </w:r>
                        <w:r>
                          <w:rPr>
                            <w:spacing w:val="-10"/>
                            <w:sz w:val="18"/>
                          </w:rPr>
                          <w:t>$</w:t>
                        </w:r>
                        <w:r>
                          <w:rPr>
                            <w:sz w:val="18"/>
                          </w:rPr>
                          <w:tab/>
                        </w:r>
                        <w:r>
                          <w:rPr>
                            <w:spacing w:val="-5"/>
                            <w:sz w:val="18"/>
                          </w:rPr>
                          <w:t>23</w:t>
                        </w:r>
                      </w:p>
                    </w:txbxContent>
                  </v:textbox>
                  <w10:wrap type="none"/>
                </v:shape>
                <v:shape style="position:absolute;left:990;top:1913;width:10260;height:240" type="#_x0000_t202" id="docshape359" filled="false" stroked="false">
                  <v:textbox inset="0,0,0,0">
                    <w:txbxContent>
                      <w:p>
                        <w:pPr>
                          <w:tabs>
                            <w:tab w:pos="2722" w:val="left" w:leader="none"/>
                            <w:tab w:pos="3839" w:val="left" w:leader="none"/>
                            <w:tab w:pos="4132" w:val="left" w:leader="none"/>
                            <w:tab w:pos="5040" w:val="left" w:leader="none"/>
                            <w:tab w:pos="5332" w:val="left" w:leader="none"/>
                            <w:tab w:pos="5895" w:val="left" w:leader="none"/>
                            <w:tab w:pos="6187" w:val="left" w:leader="none"/>
                            <w:tab w:pos="7335" w:val="left" w:leader="none"/>
                            <w:tab w:pos="7627" w:val="left" w:leader="none"/>
                            <w:tab w:pos="8474" w:val="left" w:leader="none"/>
                            <w:tab w:pos="8767" w:val="left" w:leader="none"/>
                            <w:tab w:pos="9330" w:val="left" w:leader="none"/>
                            <w:tab w:pos="10184" w:val="right" w:leader="none"/>
                          </w:tabs>
                          <w:spacing w:before="13"/>
                          <w:ind w:left="172" w:right="0" w:firstLine="0"/>
                          <w:jc w:val="left"/>
                          <w:rPr>
                            <w:sz w:val="18"/>
                          </w:rPr>
                        </w:pPr>
                        <w:r>
                          <w:rPr>
                            <w:spacing w:val="-2"/>
                            <w:sz w:val="18"/>
                          </w:rPr>
                          <w:t>Total</w:t>
                        </w:r>
                        <w:r>
                          <w:rPr>
                            <w:sz w:val="18"/>
                          </w:rPr>
                          <w:tab/>
                        </w:r>
                        <w:r>
                          <w:rPr>
                            <w:spacing w:val="-10"/>
                            <w:sz w:val="18"/>
                          </w:rPr>
                          <w:t>$</w:t>
                        </w:r>
                        <w:r>
                          <w:rPr>
                            <w:sz w:val="18"/>
                          </w:rPr>
                          <w:tab/>
                        </w:r>
                        <w:r>
                          <w:rPr>
                            <w:spacing w:val="-10"/>
                            <w:sz w:val="18"/>
                          </w:rPr>
                          <w:t>5</w:t>
                        </w:r>
                        <w:r>
                          <w:rPr>
                            <w:sz w:val="18"/>
                          </w:rPr>
                          <w:tab/>
                        </w:r>
                        <w:r>
                          <w:rPr>
                            <w:spacing w:val="-10"/>
                            <w:sz w:val="18"/>
                          </w:rPr>
                          <w:t>$</w:t>
                        </w:r>
                        <w:r>
                          <w:rPr>
                            <w:sz w:val="18"/>
                          </w:rPr>
                          <w:tab/>
                        </w:r>
                        <w:r>
                          <w:rPr>
                            <w:spacing w:val="-10"/>
                            <w:sz w:val="18"/>
                          </w:rPr>
                          <w:t>2</w:t>
                        </w:r>
                        <w:r>
                          <w:rPr>
                            <w:sz w:val="18"/>
                          </w:rPr>
                          <w:tab/>
                        </w:r>
                        <w:r>
                          <w:rPr>
                            <w:spacing w:val="-10"/>
                            <w:sz w:val="18"/>
                          </w:rPr>
                          <w:t>$</w:t>
                        </w:r>
                        <w:r>
                          <w:rPr>
                            <w:sz w:val="18"/>
                          </w:rPr>
                          <w:tab/>
                        </w:r>
                        <w:r>
                          <w:rPr>
                            <w:spacing w:val="-10"/>
                            <w:sz w:val="18"/>
                          </w:rPr>
                          <w:t>7</w:t>
                        </w:r>
                        <w:r>
                          <w:rPr>
                            <w:sz w:val="18"/>
                          </w:rPr>
                          <w:tab/>
                        </w:r>
                        <w:r>
                          <w:rPr>
                            <w:spacing w:val="-10"/>
                            <w:sz w:val="18"/>
                          </w:rPr>
                          <w:t>$</w:t>
                        </w:r>
                        <w:r>
                          <w:rPr>
                            <w:sz w:val="18"/>
                          </w:rPr>
                          <w:tab/>
                        </w:r>
                        <w:r>
                          <w:rPr>
                            <w:spacing w:val="-10"/>
                            <w:sz w:val="18"/>
                          </w:rPr>
                          <w:t>1</w:t>
                        </w:r>
                        <w:r>
                          <w:rPr>
                            <w:sz w:val="18"/>
                          </w:rPr>
                          <w:tab/>
                        </w:r>
                        <w:r>
                          <w:rPr>
                            <w:spacing w:val="-10"/>
                            <w:sz w:val="18"/>
                          </w:rPr>
                          <w:t>$</w:t>
                        </w:r>
                        <w:r>
                          <w:rPr>
                            <w:sz w:val="18"/>
                          </w:rPr>
                          <w:tab/>
                        </w:r>
                        <w:r>
                          <w:rPr>
                            <w:spacing w:val="-10"/>
                            <w:sz w:val="18"/>
                          </w:rPr>
                          <w:t>1</w:t>
                        </w:r>
                        <w:r>
                          <w:rPr>
                            <w:sz w:val="18"/>
                          </w:rPr>
                          <w:tab/>
                        </w:r>
                        <w:r>
                          <w:rPr>
                            <w:spacing w:val="-10"/>
                            <w:sz w:val="18"/>
                          </w:rPr>
                          <w:t>$</w:t>
                        </w:r>
                        <w:r>
                          <w:rPr>
                            <w:sz w:val="18"/>
                          </w:rPr>
                          <w:tab/>
                          <w:t>2</w:t>
                        </w:r>
                        <w:r>
                          <w:rPr>
                            <w:spacing w:val="48"/>
                            <w:sz w:val="18"/>
                          </w:rPr>
                          <w:t>  </w:t>
                        </w:r>
                        <w:r>
                          <w:rPr>
                            <w:spacing w:val="-10"/>
                            <w:sz w:val="18"/>
                          </w:rPr>
                          <w:t>$</w:t>
                        </w:r>
                        <w:r>
                          <w:rPr>
                            <w:sz w:val="18"/>
                          </w:rPr>
                          <w:tab/>
                        </w:r>
                        <w:r>
                          <w:rPr>
                            <w:spacing w:val="-10"/>
                            <w:sz w:val="18"/>
                          </w:rPr>
                          <w:t>9</w:t>
                        </w:r>
                      </w:p>
                    </w:txbxContent>
                  </v:textbox>
                  <w10:wrap type="none"/>
                </v:shape>
                <v:shape style="position:absolute;left:990;top:1403;width:10260;height:250" type="#_x0000_t202" id="docshape360" filled="false" stroked="false">
                  <v:textbox inset="0,0,0,0">
                    <w:txbxContent>
                      <w:p>
                        <w:pPr>
                          <w:tabs>
                            <w:tab w:pos="2722" w:val="left" w:leader="none"/>
                            <w:tab w:pos="3839" w:val="left" w:leader="none"/>
                            <w:tab w:pos="4132" w:val="left" w:leader="none"/>
                            <w:tab w:pos="4950" w:val="left" w:leader="none"/>
                            <w:tab w:pos="5332" w:val="left" w:leader="none"/>
                            <w:tab w:pos="5895" w:val="left" w:leader="none"/>
                            <w:tab w:pos="6187" w:val="left" w:leader="none"/>
                            <w:tab w:pos="7335" w:val="left" w:leader="none"/>
                            <w:tab w:pos="7627" w:val="left" w:leader="none"/>
                            <w:tab w:pos="8384" w:val="left" w:leader="none"/>
                            <w:tab w:pos="8767" w:val="left" w:leader="none"/>
                            <w:tab w:pos="9330" w:val="left" w:leader="none"/>
                            <w:tab w:pos="10184" w:val="right" w:leader="none"/>
                          </w:tabs>
                          <w:spacing w:before="13"/>
                          <w:ind w:left="52" w:right="0" w:firstLine="0"/>
                          <w:jc w:val="left"/>
                          <w:rPr>
                            <w:sz w:val="18"/>
                          </w:rPr>
                        </w:pPr>
                        <w:r>
                          <w:rPr>
                            <w:sz w:val="18"/>
                          </w:rPr>
                          <w:t>Compensation</w:t>
                        </w:r>
                        <w:r>
                          <w:rPr>
                            <w:spacing w:val="-3"/>
                            <w:sz w:val="18"/>
                          </w:rPr>
                          <w:t> </w:t>
                        </w:r>
                        <w:r>
                          <w:rPr>
                            <w:sz w:val="18"/>
                          </w:rPr>
                          <w:t>and </w:t>
                        </w:r>
                        <w:r>
                          <w:rPr>
                            <w:spacing w:val="-2"/>
                            <w:sz w:val="18"/>
                          </w:rPr>
                          <w:t>benefits</w:t>
                        </w:r>
                        <w:r>
                          <w:rPr>
                            <w:sz w:val="18"/>
                          </w:rPr>
                          <w:tab/>
                        </w:r>
                        <w:r>
                          <w:rPr>
                            <w:spacing w:val="-10"/>
                            <w:sz w:val="18"/>
                          </w:rPr>
                          <w:t>$</w:t>
                        </w:r>
                        <w:r>
                          <w:rPr>
                            <w:sz w:val="18"/>
                          </w:rPr>
                          <w:tab/>
                        </w:r>
                        <w:r>
                          <w:rPr>
                            <w:spacing w:val="-10"/>
                            <w:sz w:val="18"/>
                          </w:rPr>
                          <w:t>5</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5</w:t>
                        </w:r>
                        <w:r>
                          <w:rPr>
                            <w:sz w:val="18"/>
                          </w:rPr>
                          <w:tab/>
                        </w:r>
                        <w:r>
                          <w:rPr>
                            <w:spacing w:val="-10"/>
                            <w:sz w:val="18"/>
                          </w:rPr>
                          <w:t>$</w:t>
                        </w:r>
                        <w:r>
                          <w:rPr>
                            <w:sz w:val="18"/>
                          </w:rPr>
                          <w:tab/>
                        </w:r>
                        <w:r>
                          <w:rPr>
                            <w:spacing w:val="-10"/>
                            <w:sz w:val="18"/>
                          </w:rPr>
                          <w:t>1</w:t>
                        </w:r>
                        <w:r>
                          <w:rPr>
                            <w:sz w:val="18"/>
                          </w:rPr>
                          <w:tab/>
                        </w:r>
                        <w:r>
                          <w:rPr>
                            <w:spacing w:val="-10"/>
                            <w:sz w:val="18"/>
                          </w:rPr>
                          <w:t>$</w:t>
                        </w:r>
                        <w:r>
                          <w:rPr>
                            <w:sz w:val="18"/>
                          </w:rPr>
                          <w:tab/>
                        </w:r>
                        <w:r>
                          <w:rPr>
                            <w:spacing w:val="-10"/>
                            <w:sz w:val="18"/>
                          </w:rPr>
                          <w:t>—</w:t>
                        </w:r>
                        <w:r>
                          <w:rPr>
                            <w:sz w:val="18"/>
                          </w:rPr>
                          <w:tab/>
                        </w:r>
                        <w:r>
                          <w:rPr>
                            <w:spacing w:val="-10"/>
                            <w:sz w:val="18"/>
                          </w:rPr>
                          <w:t>$</w:t>
                        </w:r>
                        <w:r>
                          <w:rPr>
                            <w:sz w:val="18"/>
                          </w:rPr>
                          <w:tab/>
                          <w:t>1</w:t>
                        </w:r>
                        <w:r>
                          <w:rPr>
                            <w:spacing w:val="48"/>
                            <w:sz w:val="18"/>
                          </w:rPr>
                          <w:t>  </w:t>
                        </w:r>
                        <w:r>
                          <w:rPr>
                            <w:spacing w:val="-10"/>
                            <w:sz w:val="18"/>
                          </w:rPr>
                          <w:t>$</w:t>
                        </w:r>
                        <w:r>
                          <w:rPr>
                            <w:sz w:val="18"/>
                          </w:rPr>
                          <w:tab/>
                        </w:r>
                        <w:r>
                          <w:rPr>
                            <w:spacing w:val="-10"/>
                            <w:sz w:val="18"/>
                          </w:rPr>
                          <w:t>6</w:t>
                        </w:r>
                      </w:p>
                    </w:txbxContent>
                  </v:textbox>
                  <w10:wrap type="none"/>
                </v:shape>
                <w10:wrap type="topAndBottom"/>
              </v:group>
            </w:pict>
          </mc:Fallback>
        </mc:AlternateContent>
      </w:r>
      <w:r>
        <w:rPr/>
        <w:t>The</w:t>
      </w:r>
      <w:r>
        <w:rPr>
          <w:spacing w:val="-4"/>
        </w:rPr>
        <w:t> </w:t>
      </w:r>
      <w:r>
        <w:rPr/>
        <w:t>following</w:t>
      </w:r>
      <w:r>
        <w:rPr>
          <w:spacing w:val="-3"/>
        </w:rPr>
        <w:t> </w:t>
      </w:r>
      <w:r>
        <w:rPr/>
        <w:t>table</w:t>
      </w:r>
      <w:r>
        <w:rPr>
          <w:spacing w:val="-4"/>
        </w:rPr>
        <w:t> </w:t>
      </w:r>
      <w:r>
        <w:rPr/>
        <w:t>summarizes</w:t>
      </w:r>
      <w:r>
        <w:rPr>
          <w:spacing w:val="-4"/>
        </w:rPr>
        <w:t> </w:t>
      </w:r>
      <w:r>
        <w:rPr/>
        <w:t>the</w:t>
      </w:r>
      <w:r>
        <w:rPr>
          <w:spacing w:val="-4"/>
        </w:rPr>
        <w:t> </w:t>
      </w:r>
      <w:r>
        <w:rPr/>
        <w:t>TD</w:t>
      </w:r>
      <w:r>
        <w:rPr>
          <w:spacing w:val="-4"/>
        </w:rPr>
        <w:t> </w:t>
      </w:r>
      <w:r>
        <w:rPr/>
        <w:t>Ameritrade</w:t>
      </w:r>
      <w:r>
        <w:rPr>
          <w:spacing w:val="-4"/>
        </w:rPr>
        <w:t> </w:t>
      </w:r>
      <w:r>
        <w:rPr/>
        <w:t>integration</w:t>
      </w:r>
      <w:r>
        <w:rPr>
          <w:spacing w:val="-3"/>
        </w:rPr>
        <w:t> </w:t>
      </w:r>
      <w:r>
        <w:rPr/>
        <w:t>exit</w:t>
      </w:r>
      <w:r>
        <w:rPr>
          <w:spacing w:val="-4"/>
        </w:rPr>
        <w:t> </w:t>
      </w:r>
      <w:r>
        <w:rPr/>
        <w:t>and</w:t>
      </w:r>
      <w:r>
        <w:rPr>
          <w:spacing w:val="-3"/>
        </w:rPr>
        <w:t> </w:t>
      </w:r>
      <w:r>
        <w:rPr/>
        <w:t>other</w:t>
      </w:r>
      <w:r>
        <w:rPr>
          <w:spacing w:val="-3"/>
        </w:rPr>
        <w:t> </w:t>
      </w:r>
      <w:r>
        <w:rPr/>
        <w:t>related</w:t>
      </w:r>
      <w:r>
        <w:rPr>
          <w:spacing w:val="-3"/>
        </w:rPr>
        <w:t> </w:t>
      </w:r>
      <w:r>
        <w:rPr/>
        <w:t>costs</w:t>
      </w:r>
      <w:r>
        <w:rPr>
          <w:spacing w:val="-4"/>
        </w:rPr>
        <w:t> </w:t>
      </w:r>
      <w:r>
        <w:rPr/>
        <w:t>recognized</w:t>
      </w:r>
      <w:r>
        <w:rPr>
          <w:spacing w:val="-3"/>
        </w:rPr>
        <w:t> </w:t>
      </w:r>
      <w:r>
        <w:rPr/>
        <w:t>in</w:t>
      </w:r>
      <w:r>
        <w:rPr>
          <w:spacing w:val="-3"/>
        </w:rPr>
        <w:t> </w:t>
      </w:r>
      <w:r>
        <w:rPr/>
        <w:t>expense</w:t>
      </w:r>
      <w:r>
        <w:rPr>
          <w:spacing w:val="-4"/>
        </w:rPr>
        <w:t> </w:t>
      </w:r>
      <w:r>
        <w:rPr/>
        <w:t>for</w:t>
      </w:r>
      <w:r>
        <w:rPr>
          <w:spacing w:val="-3"/>
        </w:rPr>
        <w:t> </w:t>
      </w:r>
      <w:r>
        <w:rPr/>
        <w:t>the</w:t>
      </w:r>
      <w:r>
        <w:rPr>
          <w:spacing w:val="-4"/>
        </w:rPr>
        <w:t> </w:t>
      </w:r>
      <w:r>
        <w:rPr/>
        <w:t>three and nine months ended September 30, 2022:</w:t>
      </w:r>
    </w:p>
    <w:p>
      <w:pPr>
        <w:spacing w:before="36"/>
        <w:ind w:left="470" w:right="0" w:firstLine="0"/>
        <w:jc w:val="left"/>
        <w:rPr>
          <w:sz w:val="14"/>
        </w:rPr>
      </w:pPr>
      <w:r>
        <w:rPr>
          <w:sz w:val="14"/>
          <w:vertAlign w:val="superscript"/>
        </w:rPr>
        <w:t>(1)</w:t>
      </w:r>
      <w:r>
        <w:rPr>
          <w:spacing w:val="-13"/>
          <w:sz w:val="14"/>
          <w:vertAlign w:val="baseline"/>
        </w:rPr>
        <w:t> </w:t>
      </w:r>
      <w:r>
        <w:rPr>
          <w:sz w:val="14"/>
          <w:vertAlign w:val="baseline"/>
        </w:rPr>
        <w:t>Costs</w:t>
      </w:r>
      <w:r>
        <w:rPr>
          <w:spacing w:val="-5"/>
          <w:sz w:val="14"/>
          <w:vertAlign w:val="baseline"/>
        </w:rPr>
        <w:t> </w:t>
      </w:r>
      <w:r>
        <w:rPr>
          <w:sz w:val="14"/>
          <w:vertAlign w:val="baseline"/>
        </w:rPr>
        <w:t>related</w:t>
      </w:r>
      <w:r>
        <w:rPr>
          <w:spacing w:val="-2"/>
          <w:sz w:val="14"/>
          <w:vertAlign w:val="baseline"/>
        </w:rPr>
        <w:t> </w:t>
      </w:r>
      <w:r>
        <w:rPr>
          <w:sz w:val="14"/>
          <w:vertAlign w:val="baseline"/>
        </w:rPr>
        <w:t>to</w:t>
      </w:r>
      <w:r>
        <w:rPr>
          <w:spacing w:val="-2"/>
          <w:sz w:val="14"/>
          <w:vertAlign w:val="baseline"/>
        </w:rPr>
        <w:t> </w:t>
      </w:r>
      <w:r>
        <w:rPr>
          <w:sz w:val="14"/>
          <w:vertAlign w:val="baseline"/>
        </w:rPr>
        <w:t>facility</w:t>
      </w:r>
      <w:r>
        <w:rPr>
          <w:spacing w:val="-2"/>
          <w:sz w:val="14"/>
          <w:vertAlign w:val="baseline"/>
        </w:rPr>
        <w:t> </w:t>
      </w:r>
      <w:r>
        <w:rPr>
          <w:sz w:val="14"/>
          <w:vertAlign w:val="baseline"/>
        </w:rPr>
        <w:t>closures.</w:t>
      </w:r>
      <w:r>
        <w:rPr>
          <w:spacing w:val="-2"/>
          <w:sz w:val="14"/>
          <w:vertAlign w:val="baseline"/>
        </w:rPr>
        <w:t> </w:t>
      </w:r>
      <w:r>
        <w:rPr>
          <w:sz w:val="14"/>
          <w:vertAlign w:val="baseline"/>
        </w:rPr>
        <w:t>These</w:t>
      </w:r>
      <w:r>
        <w:rPr>
          <w:spacing w:val="-3"/>
          <w:sz w:val="14"/>
          <w:vertAlign w:val="baseline"/>
        </w:rPr>
        <w:t> </w:t>
      </w:r>
      <w:r>
        <w:rPr>
          <w:sz w:val="14"/>
          <w:vertAlign w:val="baseline"/>
        </w:rPr>
        <w:t>costs,</w:t>
      </w:r>
      <w:r>
        <w:rPr>
          <w:spacing w:val="-2"/>
          <w:sz w:val="14"/>
          <w:vertAlign w:val="baseline"/>
        </w:rPr>
        <w:t> </w:t>
      </w:r>
      <w:r>
        <w:rPr>
          <w:sz w:val="14"/>
          <w:vertAlign w:val="baseline"/>
        </w:rPr>
        <w:t>which</w:t>
      </w:r>
      <w:r>
        <w:rPr>
          <w:spacing w:val="-2"/>
          <w:sz w:val="14"/>
          <w:vertAlign w:val="baseline"/>
        </w:rPr>
        <w:t> </w:t>
      </w:r>
      <w:r>
        <w:rPr>
          <w:sz w:val="14"/>
          <w:vertAlign w:val="baseline"/>
        </w:rPr>
        <w:t>are</w:t>
      </w:r>
      <w:r>
        <w:rPr>
          <w:spacing w:val="-3"/>
          <w:sz w:val="14"/>
          <w:vertAlign w:val="baseline"/>
        </w:rPr>
        <w:t> </w:t>
      </w:r>
      <w:r>
        <w:rPr>
          <w:sz w:val="14"/>
          <w:vertAlign w:val="baseline"/>
        </w:rPr>
        <w:t>comprised</w:t>
      </w:r>
      <w:r>
        <w:rPr>
          <w:spacing w:val="-2"/>
          <w:sz w:val="14"/>
          <w:vertAlign w:val="baseline"/>
        </w:rPr>
        <w:t> </w:t>
      </w:r>
      <w:r>
        <w:rPr>
          <w:sz w:val="14"/>
          <w:vertAlign w:val="baseline"/>
        </w:rPr>
        <w:t>of</w:t>
      </w:r>
      <w:r>
        <w:rPr>
          <w:spacing w:val="-2"/>
          <w:sz w:val="14"/>
          <w:vertAlign w:val="baseline"/>
        </w:rPr>
        <w:t> </w:t>
      </w:r>
      <w:r>
        <w:rPr>
          <w:sz w:val="14"/>
          <w:vertAlign w:val="baseline"/>
        </w:rPr>
        <w:t>accelerated</w:t>
      </w:r>
      <w:r>
        <w:rPr>
          <w:spacing w:val="-2"/>
          <w:sz w:val="14"/>
          <w:vertAlign w:val="baseline"/>
        </w:rPr>
        <w:t> </w:t>
      </w:r>
      <w:r>
        <w:rPr>
          <w:sz w:val="14"/>
          <w:vertAlign w:val="baseline"/>
        </w:rPr>
        <w:t>amortization</w:t>
      </w:r>
      <w:r>
        <w:rPr>
          <w:spacing w:val="-2"/>
          <w:sz w:val="14"/>
          <w:vertAlign w:val="baseline"/>
        </w:rPr>
        <w:t> </w:t>
      </w:r>
      <w:r>
        <w:rPr>
          <w:sz w:val="14"/>
          <w:vertAlign w:val="baseline"/>
        </w:rPr>
        <w:t>of</w:t>
      </w:r>
      <w:r>
        <w:rPr>
          <w:spacing w:val="-2"/>
          <w:sz w:val="14"/>
          <w:vertAlign w:val="baseline"/>
        </w:rPr>
        <w:t> </w:t>
      </w:r>
      <w:r>
        <w:rPr>
          <w:sz w:val="14"/>
          <w:vertAlign w:val="baseline"/>
        </w:rPr>
        <w:t>ROU</w:t>
      </w:r>
      <w:r>
        <w:rPr>
          <w:spacing w:val="-3"/>
          <w:sz w:val="14"/>
          <w:vertAlign w:val="baseline"/>
        </w:rPr>
        <w:t> </w:t>
      </w:r>
      <w:r>
        <w:rPr>
          <w:sz w:val="14"/>
          <w:vertAlign w:val="baseline"/>
        </w:rPr>
        <w:t>assets,</w:t>
      </w:r>
      <w:r>
        <w:rPr>
          <w:spacing w:val="-2"/>
          <w:sz w:val="14"/>
          <w:vertAlign w:val="baseline"/>
        </w:rPr>
        <w:t> </w:t>
      </w:r>
      <w:r>
        <w:rPr>
          <w:sz w:val="14"/>
          <w:vertAlign w:val="baseline"/>
        </w:rPr>
        <w:t>relate</w:t>
      </w:r>
      <w:r>
        <w:rPr>
          <w:spacing w:val="-2"/>
          <w:sz w:val="14"/>
          <w:vertAlign w:val="baseline"/>
        </w:rPr>
        <w:t> </w:t>
      </w:r>
      <w:r>
        <w:rPr>
          <w:sz w:val="14"/>
          <w:vertAlign w:val="baseline"/>
        </w:rPr>
        <w:t>to</w:t>
      </w:r>
      <w:r>
        <w:rPr>
          <w:spacing w:val="-2"/>
          <w:sz w:val="14"/>
          <w:vertAlign w:val="baseline"/>
        </w:rPr>
        <w:t> </w:t>
      </w:r>
      <w:r>
        <w:rPr>
          <w:sz w:val="14"/>
          <w:vertAlign w:val="baseline"/>
        </w:rPr>
        <w:t>the</w:t>
      </w:r>
      <w:r>
        <w:rPr>
          <w:spacing w:val="-3"/>
          <w:sz w:val="14"/>
          <w:vertAlign w:val="baseline"/>
        </w:rPr>
        <w:t> </w:t>
      </w:r>
      <w:r>
        <w:rPr>
          <w:sz w:val="14"/>
          <w:vertAlign w:val="baseline"/>
        </w:rPr>
        <w:t>impact</w:t>
      </w:r>
      <w:r>
        <w:rPr>
          <w:spacing w:val="-2"/>
          <w:sz w:val="14"/>
          <w:vertAlign w:val="baseline"/>
        </w:rPr>
        <w:t> </w:t>
      </w:r>
      <w:r>
        <w:rPr>
          <w:sz w:val="14"/>
          <w:vertAlign w:val="baseline"/>
        </w:rPr>
        <w:t>of</w:t>
      </w:r>
      <w:r>
        <w:rPr>
          <w:spacing w:val="-2"/>
          <w:sz w:val="14"/>
          <w:vertAlign w:val="baseline"/>
        </w:rPr>
        <w:t> </w:t>
      </w:r>
      <w:r>
        <w:rPr>
          <w:sz w:val="14"/>
          <w:vertAlign w:val="baseline"/>
        </w:rPr>
        <w:t>abandoning</w:t>
      </w:r>
      <w:r>
        <w:rPr>
          <w:spacing w:val="-2"/>
          <w:sz w:val="14"/>
          <w:vertAlign w:val="baseline"/>
        </w:rPr>
        <w:t> </w:t>
      </w:r>
      <w:r>
        <w:rPr>
          <w:sz w:val="14"/>
          <w:vertAlign w:val="baseline"/>
        </w:rPr>
        <w:t>leased</w:t>
      </w:r>
      <w:r>
        <w:rPr>
          <w:spacing w:val="-2"/>
          <w:sz w:val="14"/>
          <w:vertAlign w:val="baseline"/>
        </w:rPr>
        <w:t> properties.</w:t>
      </w:r>
    </w:p>
    <w:p>
      <w:pPr>
        <w:spacing w:after="0"/>
        <w:jc w:val="left"/>
        <w:rPr>
          <w:sz w:val="14"/>
        </w:rPr>
        <w:sectPr>
          <w:pgSz w:w="12240" w:h="15840"/>
          <w:pgMar w:header="227" w:footer="201" w:top="1080" w:bottom="400" w:left="520" w:right="520"/>
        </w:sectPr>
      </w:pPr>
    </w:p>
    <w:p>
      <w:pPr>
        <w:pStyle w:val="BodyText"/>
        <w:spacing w:line="249" w:lineRule="auto" w:before="214"/>
        <w:ind w:left="470" w:right="761"/>
      </w:pPr>
      <w:r>
        <w:rPr/>
        <w:t>The</w:t>
      </w:r>
      <w:r>
        <w:rPr>
          <w:spacing w:val="-4"/>
        </w:rPr>
        <w:t> </w:t>
      </w:r>
      <w:r>
        <w:rPr/>
        <w:t>following</w:t>
      </w:r>
      <w:r>
        <w:rPr>
          <w:spacing w:val="-3"/>
        </w:rPr>
        <w:t> </w:t>
      </w:r>
      <w:r>
        <w:rPr/>
        <w:t>table</w:t>
      </w:r>
      <w:r>
        <w:rPr>
          <w:spacing w:val="-4"/>
        </w:rPr>
        <w:t> </w:t>
      </w:r>
      <w:r>
        <w:rPr/>
        <w:t>summarizes</w:t>
      </w:r>
      <w:r>
        <w:rPr>
          <w:spacing w:val="-4"/>
        </w:rPr>
        <w:t> </w:t>
      </w:r>
      <w:r>
        <w:rPr/>
        <w:t>the</w:t>
      </w:r>
      <w:r>
        <w:rPr>
          <w:spacing w:val="-4"/>
        </w:rPr>
        <w:t> </w:t>
      </w:r>
      <w:r>
        <w:rPr/>
        <w:t>TD</w:t>
      </w:r>
      <w:r>
        <w:rPr>
          <w:spacing w:val="-4"/>
        </w:rPr>
        <w:t> </w:t>
      </w:r>
      <w:r>
        <w:rPr/>
        <w:t>Ameritrade</w:t>
      </w:r>
      <w:r>
        <w:rPr>
          <w:spacing w:val="-4"/>
        </w:rPr>
        <w:t> </w:t>
      </w:r>
      <w:r>
        <w:rPr/>
        <w:t>integration</w:t>
      </w:r>
      <w:r>
        <w:rPr>
          <w:spacing w:val="-3"/>
        </w:rPr>
        <w:t> </w:t>
      </w:r>
      <w:r>
        <w:rPr/>
        <w:t>exit</w:t>
      </w:r>
      <w:r>
        <w:rPr>
          <w:spacing w:val="-4"/>
        </w:rPr>
        <w:t> </w:t>
      </w:r>
      <w:r>
        <w:rPr/>
        <w:t>and</w:t>
      </w:r>
      <w:r>
        <w:rPr>
          <w:spacing w:val="-3"/>
        </w:rPr>
        <w:t> </w:t>
      </w:r>
      <w:r>
        <w:rPr/>
        <w:t>other</w:t>
      </w:r>
      <w:r>
        <w:rPr>
          <w:spacing w:val="-3"/>
        </w:rPr>
        <w:t> </w:t>
      </w:r>
      <w:r>
        <w:rPr/>
        <w:t>related</w:t>
      </w:r>
      <w:r>
        <w:rPr>
          <w:spacing w:val="-3"/>
        </w:rPr>
        <w:t> </w:t>
      </w:r>
      <w:r>
        <w:rPr/>
        <w:t>costs</w:t>
      </w:r>
      <w:r>
        <w:rPr>
          <w:spacing w:val="-4"/>
        </w:rPr>
        <w:t> </w:t>
      </w:r>
      <w:r>
        <w:rPr/>
        <w:t>incurred</w:t>
      </w:r>
      <w:r>
        <w:rPr>
          <w:spacing w:val="-3"/>
        </w:rPr>
        <w:t> </w:t>
      </w:r>
      <w:r>
        <w:rPr/>
        <w:t>from</w:t>
      </w:r>
      <w:r>
        <w:rPr>
          <w:spacing w:val="-4"/>
        </w:rPr>
        <w:t> </w:t>
      </w:r>
      <w:r>
        <w:rPr/>
        <w:t>October</w:t>
      </w:r>
      <w:r>
        <w:rPr>
          <w:spacing w:val="-3"/>
        </w:rPr>
        <w:t> </w:t>
      </w:r>
      <w:r>
        <w:rPr/>
        <w:t>6,</w:t>
      </w:r>
      <w:r>
        <w:rPr>
          <w:spacing w:val="-3"/>
        </w:rPr>
        <w:t> </w:t>
      </w:r>
      <w:r>
        <w:rPr/>
        <w:t>2020 through September 30, 2023:</w:t>
      </w:r>
    </w:p>
    <w:p>
      <w:pPr>
        <w:pStyle w:val="BodyText"/>
        <w:rPr>
          <w:sz w:val="7"/>
        </w:rPr>
      </w:pPr>
      <w:r>
        <w:rPr/>
        <mc:AlternateContent>
          <mc:Choice Requires="wps">
            <w:drawing>
              <wp:anchor distT="0" distB="0" distL="0" distR="0" allowOverlap="1" layoutInCell="1" locked="0" behindDoc="1" simplePos="0" relativeHeight="487617536">
                <wp:simplePos x="0" y="0"/>
                <wp:positionH relativeFrom="page">
                  <wp:posOffset>628650</wp:posOffset>
                </wp:positionH>
                <wp:positionV relativeFrom="paragraph">
                  <wp:posOffset>66821</wp:posOffset>
                </wp:positionV>
                <wp:extent cx="6515100" cy="6350"/>
                <wp:effectExtent l="0" t="0" r="0" b="0"/>
                <wp:wrapTopAndBottom/>
                <wp:docPr id="504" name="Group 504"/>
                <wp:cNvGraphicFramePr>
                  <a:graphicFrameLocks/>
                </wp:cNvGraphicFramePr>
                <a:graphic>
                  <a:graphicData uri="http://schemas.microsoft.com/office/word/2010/wordprocessingGroup">
                    <wpg:wgp>
                      <wpg:cNvPr id="504" name="Group 504"/>
                      <wpg:cNvGrpSpPr/>
                      <wpg:grpSpPr>
                        <a:xfrm>
                          <a:off x="0" y="0"/>
                          <a:ext cx="6515100" cy="6350"/>
                          <a:chExt cx="6515100" cy="6350"/>
                        </a:xfrm>
                      </wpg:grpSpPr>
                      <wps:wsp>
                        <wps:cNvPr id="505" name="Graphic 505"/>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506" name="Graphic 506"/>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5.261562pt;width:513pt;height:.5pt;mso-position-horizontal-relative:page;mso-position-vertical-relative:paragraph;z-index:-15698944;mso-wrap-distance-left:0;mso-wrap-distance-right:0" id="docshapegroup361" coordorigin="990,105" coordsize="10260,10">
                <v:shape style="position:absolute;left:990;top:110;width:10260;height:2" id="docshape362" coordorigin="990,110" coordsize="10260,0" path="m11250,110l990,110e" filled="true" fillcolor="#000000" stroked="false">
                  <v:path arrowok="t"/>
                  <v:fill opacity="0f" type="solid"/>
                </v:shape>
                <v:line style="position:absolute" from="990,110" to="11250,110" stroked="true" strokeweight=".5pt" strokecolor="#000000">
                  <v:stroke dashstyle="solid"/>
                </v:line>
                <w10:wrap type="topAndBottom"/>
              </v:group>
            </w:pict>
          </mc:Fallback>
        </mc:AlternateContent>
      </w:r>
    </w:p>
    <w:p>
      <w:pPr>
        <w:tabs>
          <w:tab w:pos="7585" w:val="left" w:leader="none"/>
        </w:tabs>
        <w:spacing w:before="13"/>
        <w:ind w:left="3980" w:right="0" w:firstLine="0"/>
        <w:jc w:val="left"/>
        <w:rPr>
          <w:sz w:val="18"/>
        </w:rPr>
      </w:pPr>
      <w:r>
        <w:rPr>
          <w:sz w:val="18"/>
        </w:rPr>
        <w:t>Investor</w:t>
      </w:r>
      <w:r>
        <w:rPr>
          <w:spacing w:val="-1"/>
          <w:sz w:val="18"/>
        </w:rPr>
        <w:t> </w:t>
      </w:r>
      <w:r>
        <w:rPr>
          <w:spacing w:val="-2"/>
          <w:sz w:val="18"/>
        </w:rPr>
        <w:t>Services</w:t>
      </w:r>
      <w:r>
        <w:rPr>
          <w:sz w:val="18"/>
        </w:rPr>
        <w:tab/>
        <w:t>Advisor</w:t>
      </w:r>
      <w:r>
        <w:rPr>
          <w:spacing w:val="-4"/>
          <w:sz w:val="18"/>
        </w:rPr>
        <w:t> </w:t>
      </w:r>
      <w:r>
        <w:rPr>
          <w:spacing w:val="-2"/>
          <w:sz w:val="18"/>
        </w:rPr>
        <w:t>Services</w:t>
      </w:r>
    </w:p>
    <w:p>
      <w:pPr>
        <w:tabs>
          <w:tab w:pos="3980" w:val="left" w:leader="none"/>
          <w:tab w:pos="5254" w:val="left" w:leader="none"/>
          <w:tab w:pos="6110" w:val="left" w:leader="none"/>
          <w:tab w:pos="7580" w:val="left" w:leader="none"/>
          <w:tab w:pos="8944" w:val="left" w:leader="none"/>
          <w:tab w:pos="9800" w:val="left" w:leader="none"/>
          <w:tab w:pos="10654" w:val="right" w:leader="none"/>
        </w:tabs>
        <w:spacing w:before="918"/>
        <w:ind w:left="522" w:right="0" w:firstLine="0"/>
        <w:jc w:val="left"/>
        <w:rPr>
          <w:sz w:val="18"/>
        </w:rPr>
      </w:pPr>
      <w:r>
        <w:rPr/>
        <mc:AlternateContent>
          <mc:Choice Requires="wps">
            <w:drawing>
              <wp:anchor distT="0" distB="0" distL="0" distR="0" allowOverlap="1" layoutInCell="1" locked="0" behindDoc="0" simplePos="0" relativeHeight="15760896">
                <wp:simplePos x="0" y="0"/>
                <wp:positionH relativeFrom="page">
                  <wp:posOffset>628650</wp:posOffset>
                </wp:positionH>
                <wp:positionV relativeFrom="paragraph">
                  <wp:posOffset>15886</wp:posOffset>
                </wp:positionV>
                <wp:extent cx="6515100" cy="555625"/>
                <wp:effectExtent l="0" t="0" r="0" b="0"/>
                <wp:wrapNone/>
                <wp:docPr id="507" name="Group 507"/>
                <wp:cNvGraphicFramePr>
                  <a:graphicFrameLocks/>
                </wp:cNvGraphicFramePr>
                <a:graphic>
                  <a:graphicData uri="http://schemas.microsoft.com/office/word/2010/wordprocessingGroup">
                    <wpg:wgp>
                      <wpg:cNvPr id="507" name="Group 507"/>
                      <wpg:cNvGrpSpPr/>
                      <wpg:grpSpPr>
                        <a:xfrm>
                          <a:off x="0" y="0"/>
                          <a:ext cx="6515100" cy="555625"/>
                          <a:chExt cx="6515100" cy="555625"/>
                        </a:xfrm>
                      </wpg:grpSpPr>
                      <wps:wsp>
                        <wps:cNvPr id="508" name="Graphic 508"/>
                        <wps:cNvSpPr/>
                        <wps:spPr>
                          <a:xfrm>
                            <a:off x="0" y="393700"/>
                            <a:ext cx="6515100" cy="161925"/>
                          </a:xfrm>
                          <a:custGeom>
                            <a:avLst/>
                            <a:gdLst/>
                            <a:ahLst/>
                            <a:cxnLst/>
                            <a:rect l="l" t="t" r="r" b="b"/>
                            <a:pathLst>
                              <a:path w="6515100" h="161925">
                                <a:moveTo>
                                  <a:pt x="6515100" y="0"/>
                                </a:moveTo>
                                <a:lnTo>
                                  <a:pt x="0" y="0"/>
                                </a:lnTo>
                                <a:lnTo>
                                  <a:pt x="0" y="161925"/>
                                </a:lnTo>
                                <a:lnTo>
                                  <a:pt x="6515100" y="161925"/>
                                </a:lnTo>
                                <a:lnTo>
                                  <a:pt x="6515100" y="0"/>
                                </a:lnTo>
                                <a:close/>
                              </a:path>
                            </a:pathLst>
                          </a:custGeom>
                          <a:solidFill>
                            <a:srgbClr val="CCEDFF"/>
                          </a:solidFill>
                        </wps:spPr>
                        <wps:bodyPr wrap="square" lIns="0" tIns="0" rIns="0" bIns="0" rtlCol="0">
                          <a:prstTxWarp prst="textNoShape">
                            <a:avLst/>
                          </a:prstTxWarp>
                          <a:noAutofit/>
                        </wps:bodyPr>
                      </wps:wsp>
                      <wps:wsp>
                        <wps:cNvPr id="509" name="Graphic 509"/>
                        <wps:cNvSpPr/>
                        <wps:spPr>
                          <a:xfrm>
                            <a:off x="1504950" y="3175"/>
                            <a:ext cx="2238375" cy="1270"/>
                          </a:xfrm>
                          <a:custGeom>
                            <a:avLst/>
                            <a:gdLst/>
                            <a:ahLst/>
                            <a:cxnLst/>
                            <a:rect l="l" t="t" r="r" b="b"/>
                            <a:pathLst>
                              <a:path w="2238375" h="0">
                                <a:moveTo>
                                  <a:pt x="2238375" y="0"/>
                                </a:moveTo>
                                <a:lnTo>
                                  <a:pt x="0" y="0"/>
                                </a:lnTo>
                              </a:path>
                            </a:pathLst>
                          </a:custGeom>
                          <a:solidFill>
                            <a:srgbClr val="000000"/>
                          </a:solidFill>
                        </wps:spPr>
                        <wps:bodyPr wrap="square" lIns="0" tIns="0" rIns="0" bIns="0" rtlCol="0">
                          <a:prstTxWarp prst="textNoShape">
                            <a:avLst/>
                          </a:prstTxWarp>
                          <a:noAutofit/>
                        </wps:bodyPr>
                      </wps:wsp>
                      <wps:wsp>
                        <wps:cNvPr id="510" name="Graphic 510"/>
                        <wps:cNvSpPr/>
                        <wps:spPr>
                          <a:xfrm>
                            <a:off x="1504950" y="3175"/>
                            <a:ext cx="2238375" cy="1270"/>
                          </a:xfrm>
                          <a:custGeom>
                            <a:avLst/>
                            <a:gdLst/>
                            <a:ahLst/>
                            <a:cxnLst/>
                            <a:rect l="l" t="t" r="r" b="b"/>
                            <a:pathLst>
                              <a:path w="2238375" h="0">
                                <a:moveTo>
                                  <a:pt x="0" y="0"/>
                                </a:moveTo>
                                <a:lnTo>
                                  <a:pt x="2238375" y="0"/>
                                </a:lnTo>
                              </a:path>
                            </a:pathLst>
                          </a:custGeom>
                          <a:ln w="6350">
                            <a:solidFill>
                              <a:srgbClr val="000000"/>
                            </a:solidFill>
                            <a:prstDash val="solid"/>
                          </a:ln>
                        </wps:spPr>
                        <wps:bodyPr wrap="square" lIns="0" tIns="0" rIns="0" bIns="0" rtlCol="0">
                          <a:prstTxWarp prst="textNoShape">
                            <a:avLst/>
                          </a:prstTxWarp>
                          <a:noAutofit/>
                        </wps:bodyPr>
                      </wps:wsp>
                      <wps:wsp>
                        <wps:cNvPr id="511" name="Graphic 511"/>
                        <wps:cNvSpPr/>
                        <wps:spPr>
                          <a:xfrm>
                            <a:off x="3790950" y="3175"/>
                            <a:ext cx="2238375" cy="1270"/>
                          </a:xfrm>
                          <a:custGeom>
                            <a:avLst/>
                            <a:gdLst/>
                            <a:ahLst/>
                            <a:cxnLst/>
                            <a:rect l="l" t="t" r="r" b="b"/>
                            <a:pathLst>
                              <a:path w="2238375" h="0">
                                <a:moveTo>
                                  <a:pt x="2238375" y="0"/>
                                </a:moveTo>
                                <a:lnTo>
                                  <a:pt x="0" y="0"/>
                                </a:lnTo>
                              </a:path>
                            </a:pathLst>
                          </a:custGeom>
                          <a:solidFill>
                            <a:srgbClr val="000000"/>
                          </a:solidFill>
                        </wps:spPr>
                        <wps:bodyPr wrap="square" lIns="0" tIns="0" rIns="0" bIns="0" rtlCol="0">
                          <a:prstTxWarp prst="textNoShape">
                            <a:avLst/>
                          </a:prstTxWarp>
                          <a:noAutofit/>
                        </wps:bodyPr>
                      </wps:wsp>
                      <wps:wsp>
                        <wps:cNvPr id="512" name="Graphic 512"/>
                        <wps:cNvSpPr/>
                        <wps:spPr>
                          <a:xfrm>
                            <a:off x="3790950" y="3175"/>
                            <a:ext cx="2238375" cy="1270"/>
                          </a:xfrm>
                          <a:custGeom>
                            <a:avLst/>
                            <a:gdLst/>
                            <a:ahLst/>
                            <a:cxnLst/>
                            <a:rect l="l" t="t" r="r" b="b"/>
                            <a:pathLst>
                              <a:path w="2238375" h="0">
                                <a:moveTo>
                                  <a:pt x="0" y="0"/>
                                </a:moveTo>
                                <a:lnTo>
                                  <a:pt x="2238375" y="0"/>
                                </a:lnTo>
                              </a:path>
                            </a:pathLst>
                          </a:custGeom>
                          <a:ln w="6350">
                            <a:solidFill>
                              <a:srgbClr val="000000"/>
                            </a:solidFill>
                            <a:prstDash val="solid"/>
                          </a:ln>
                        </wps:spPr>
                        <wps:bodyPr wrap="square" lIns="0" tIns="0" rIns="0" bIns="0" rtlCol="0">
                          <a:prstTxWarp prst="textNoShape">
                            <a:avLst/>
                          </a:prstTxWarp>
                          <a:noAutofit/>
                        </wps:bodyPr>
                      </wps:wsp>
                      <wps:wsp>
                        <wps:cNvPr id="513" name="Graphic 513"/>
                        <wps:cNvSpPr/>
                        <wps:spPr>
                          <a:xfrm>
                            <a:off x="0" y="393700"/>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514" name="Graphic 514"/>
                        <wps:cNvSpPr/>
                        <wps:spPr>
                          <a:xfrm>
                            <a:off x="0" y="393700"/>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515" name="Textbox 515"/>
                        <wps:cNvSpPr txBox="1"/>
                        <wps:spPr>
                          <a:xfrm>
                            <a:off x="1617725" y="19557"/>
                            <a:ext cx="673735" cy="355600"/>
                          </a:xfrm>
                          <a:prstGeom prst="rect">
                            <a:avLst/>
                          </a:prstGeom>
                        </wps:spPr>
                        <wps:txbx>
                          <w:txbxContent>
                            <w:p>
                              <w:pPr>
                                <w:spacing w:line="208" w:lineRule="auto" w:before="14"/>
                                <w:ind w:left="0" w:right="18" w:firstLine="0"/>
                                <w:jc w:val="center"/>
                                <w:rPr>
                                  <w:sz w:val="18"/>
                                </w:rPr>
                              </w:pPr>
                              <w:r>
                                <w:rPr>
                                  <w:spacing w:val="-2"/>
                                  <w:sz w:val="18"/>
                                </w:rPr>
                                <w:t>Employee Compensation </w:t>
                              </w:r>
                              <w:r>
                                <w:rPr>
                                  <w:sz w:val="18"/>
                                </w:rPr>
                                <w:t>and Benefits</w:t>
                              </w:r>
                            </w:p>
                          </w:txbxContent>
                        </wps:txbx>
                        <wps:bodyPr wrap="square" lIns="0" tIns="0" rIns="0" bIns="0" rtlCol="0">
                          <a:noAutofit/>
                        </wps:bodyPr>
                      </wps:wsp>
                      <wps:wsp>
                        <wps:cNvPr id="516" name="Textbox 516"/>
                        <wps:cNvSpPr txBox="1"/>
                        <wps:spPr>
                          <a:xfrm>
                            <a:off x="2535427" y="19557"/>
                            <a:ext cx="2041525" cy="355600"/>
                          </a:xfrm>
                          <a:prstGeom prst="rect">
                            <a:avLst/>
                          </a:prstGeom>
                        </wps:spPr>
                        <wps:txbx>
                          <w:txbxContent>
                            <w:p>
                              <w:pPr>
                                <w:tabs>
                                  <w:tab w:pos="1207" w:val="left" w:leader="none"/>
                                  <w:tab w:pos="2154" w:val="left" w:leader="none"/>
                                  <w:tab w:pos="2309" w:val="left" w:leader="none"/>
                                </w:tabs>
                                <w:spacing w:line="208" w:lineRule="auto" w:before="14"/>
                                <w:ind w:left="0" w:right="18" w:firstLine="1217"/>
                                <w:jc w:val="left"/>
                                <w:rPr>
                                  <w:sz w:val="18"/>
                                </w:rPr>
                              </w:pPr>
                              <w:r>
                                <w:rPr>
                                  <w:spacing w:val="-2"/>
                                  <w:sz w:val="18"/>
                                </w:rPr>
                                <w:t>Investor</w:t>
                              </w:r>
                              <w:r>
                                <w:rPr>
                                  <w:sz w:val="18"/>
                                </w:rPr>
                                <w:tab/>
                                <w:tab/>
                              </w:r>
                              <w:r>
                                <w:rPr>
                                  <w:spacing w:val="-2"/>
                                  <w:sz w:val="18"/>
                                </w:rPr>
                                <w:t>Employee </w:t>
                              </w:r>
                              <w:r>
                                <w:rPr>
                                  <w:sz w:val="18"/>
                                </w:rPr>
                                <w:t>Facility</w:t>
                              </w:r>
                              <w:r>
                                <w:rPr>
                                  <w:spacing w:val="-1"/>
                                  <w:sz w:val="18"/>
                                </w:rPr>
                                <w:t> </w:t>
                              </w:r>
                              <w:r>
                                <w:rPr>
                                  <w:spacing w:val="-4"/>
                                  <w:sz w:val="18"/>
                                </w:rPr>
                                <w:t>Exit</w:t>
                              </w:r>
                              <w:r>
                                <w:rPr>
                                  <w:sz w:val="18"/>
                                </w:rPr>
                                <w:tab/>
                              </w:r>
                              <w:r>
                                <w:rPr>
                                  <w:spacing w:val="-2"/>
                                  <w:sz w:val="18"/>
                                </w:rPr>
                                <w:t>Services</w:t>
                              </w:r>
                              <w:r>
                                <w:rPr>
                                  <w:sz w:val="18"/>
                                </w:rPr>
                                <w:tab/>
                              </w:r>
                              <w:r>
                                <w:rPr>
                                  <w:spacing w:val="-2"/>
                                  <w:sz w:val="18"/>
                                </w:rPr>
                                <w:t>Compensation</w:t>
                              </w:r>
                            </w:p>
                            <w:p>
                              <w:pPr>
                                <w:tabs>
                                  <w:tab w:pos="1322" w:val="left" w:leader="none"/>
                                  <w:tab w:pos="2222" w:val="left" w:leader="none"/>
                                </w:tabs>
                                <w:spacing w:line="185" w:lineRule="exact" w:before="0"/>
                                <w:ind w:left="156" w:right="0" w:firstLine="0"/>
                                <w:jc w:val="left"/>
                                <w:rPr>
                                  <w:sz w:val="18"/>
                                </w:rPr>
                              </w:pPr>
                              <w:r>
                                <w:rPr>
                                  <w:sz w:val="18"/>
                                </w:rPr>
                                <w:t>Costs</w:t>
                              </w:r>
                              <w:r>
                                <w:rPr>
                                  <w:spacing w:val="-2"/>
                                  <w:sz w:val="18"/>
                                </w:rPr>
                                <w:t> </w:t>
                              </w:r>
                              <w:r>
                                <w:rPr>
                                  <w:spacing w:val="-5"/>
                                  <w:sz w:val="18"/>
                                  <w:vertAlign w:val="superscript"/>
                                </w:rPr>
                                <w:t>(1)</w:t>
                              </w:r>
                              <w:r>
                                <w:rPr>
                                  <w:sz w:val="18"/>
                                  <w:vertAlign w:val="baseline"/>
                                </w:rPr>
                                <w:tab/>
                              </w:r>
                              <w:r>
                                <w:rPr>
                                  <w:spacing w:val="-2"/>
                                  <w:sz w:val="18"/>
                                  <w:vertAlign w:val="baseline"/>
                                </w:rPr>
                                <w:t>Total</w:t>
                              </w:r>
                              <w:r>
                                <w:rPr>
                                  <w:sz w:val="18"/>
                                  <w:vertAlign w:val="baseline"/>
                                </w:rPr>
                                <w:tab/>
                                <w:t>and </w:t>
                              </w:r>
                              <w:r>
                                <w:rPr>
                                  <w:spacing w:val="-2"/>
                                  <w:sz w:val="18"/>
                                  <w:vertAlign w:val="baseline"/>
                                </w:rPr>
                                <w:t>Benefits</w:t>
                              </w:r>
                            </w:p>
                          </w:txbxContent>
                        </wps:txbx>
                        <wps:bodyPr wrap="square" lIns="0" tIns="0" rIns="0" bIns="0" rtlCol="0">
                          <a:noAutofit/>
                        </wps:bodyPr>
                      </wps:wsp>
                      <wps:wsp>
                        <wps:cNvPr id="517" name="Textbox 517"/>
                        <wps:cNvSpPr txBox="1"/>
                        <wps:spPr>
                          <a:xfrm>
                            <a:off x="4821428" y="19557"/>
                            <a:ext cx="1603375" cy="355600"/>
                          </a:xfrm>
                          <a:prstGeom prst="rect">
                            <a:avLst/>
                          </a:prstGeom>
                        </wps:spPr>
                        <wps:txbx>
                          <w:txbxContent>
                            <w:p>
                              <w:pPr>
                                <w:tabs>
                                  <w:tab w:pos="1207" w:val="left" w:leader="none"/>
                                </w:tabs>
                                <w:spacing w:line="208" w:lineRule="auto" w:before="14"/>
                                <w:ind w:left="0" w:right="705" w:firstLine="1222"/>
                                <w:jc w:val="left"/>
                                <w:rPr>
                                  <w:sz w:val="18"/>
                                </w:rPr>
                              </w:pPr>
                              <w:r>
                                <w:rPr>
                                  <w:spacing w:val="-2"/>
                                  <w:sz w:val="18"/>
                                </w:rPr>
                                <w:t>Advisor </w:t>
                              </w:r>
                              <w:r>
                                <w:rPr>
                                  <w:sz w:val="18"/>
                                </w:rPr>
                                <w:t>Facility</w:t>
                              </w:r>
                              <w:r>
                                <w:rPr>
                                  <w:spacing w:val="-1"/>
                                  <w:sz w:val="18"/>
                                </w:rPr>
                                <w:t> </w:t>
                              </w:r>
                              <w:r>
                                <w:rPr>
                                  <w:spacing w:val="-4"/>
                                  <w:sz w:val="18"/>
                                </w:rPr>
                                <w:t>Exit</w:t>
                              </w:r>
                              <w:r>
                                <w:rPr>
                                  <w:sz w:val="18"/>
                                </w:rPr>
                                <w:tab/>
                              </w:r>
                              <w:r>
                                <w:rPr>
                                  <w:spacing w:val="-2"/>
                                  <w:sz w:val="18"/>
                                </w:rPr>
                                <w:t>Services</w:t>
                              </w:r>
                            </w:p>
                            <w:p>
                              <w:pPr>
                                <w:tabs>
                                  <w:tab w:pos="1322" w:val="left" w:leader="none"/>
                                  <w:tab w:pos="2124" w:val="left" w:leader="none"/>
                                </w:tabs>
                                <w:spacing w:line="185" w:lineRule="exact" w:before="0"/>
                                <w:ind w:left="156" w:right="0" w:firstLine="0"/>
                                <w:jc w:val="left"/>
                                <w:rPr>
                                  <w:sz w:val="18"/>
                                </w:rPr>
                              </w:pPr>
                              <w:r>
                                <w:rPr>
                                  <w:sz w:val="18"/>
                                </w:rPr>
                                <w:t>Costs</w:t>
                              </w:r>
                              <w:r>
                                <w:rPr>
                                  <w:spacing w:val="-2"/>
                                  <w:sz w:val="18"/>
                                </w:rPr>
                                <w:t> </w:t>
                              </w:r>
                              <w:r>
                                <w:rPr>
                                  <w:spacing w:val="-5"/>
                                  <w:sz w:val="18"/>
                                  <w:vertAlign w:val="superscript"/>
                                </w:rPr>
                                <w:t>(1)</w:t>
                              </w:r>
                              <w:r>
                                <w:rPr>
                                  <w:sz w:val="18"/>
                                  <w:vertAlign w:val="baseline"/>
                                </w:rPr>
                                <w:tab/>
                              </w:r>
                              <w:r>
                                <w:rPr>
                                  <w:spacing w:val="-2"/>
                                  <w:sz w:val="18"/>
                                  <w:vertAlign w:val="baseline"/>
                                </w:rPr>
                                <w:t>Total</w:t>
                              </w:r>
                              <w:r>
                                <w:rPr>
                                  <w:sz w:val="18"/>
                                  <w:vertAlign w:val="baseline"/>
                                </w:rPr>
                                <w:tab/>
                              </w:r>
                              <w:r>
                                <w:rPr>
                                  <w:spacing w:val="-2"/>
                                  <w:sz w:val="18"/>
                                  <w:vertAlign w:val="baseline"/>
                                </w:rPr>
                                <w:t>Total</w:t>
                              </w:r>
                            </w:p>
                          </w:txbxContent>
                        </wps:txbx>
                        <wps:bodyPr wrap="square" lIns="0" tIns="0" rIns="0" bIns="0" rtlCol="0">
                          <a:noAutofit/>
                        </wps:bodyPr>
                      </wps:wsp>
                      <wps:wsp>
                        <wps:cNvPr id="518" name="Textbox 518"/>
                        <wps:cNvSpPr txBox="1"/>
                        <wps:spPr>
                          <a:xfrm>
                            <a:off x="0" y="396875"/>
                            <a:ext cx="6515100" cy="158750"/>
                          </a:xfrm>
                          <a:prstGeom prst="rect">
                            <a:avLst/>
                          </a:prstGeom>
                        </wps:spPr>
                        <wps:txbx>
                          <w:txbxContent>
                            <w:p>
                              <w:pPr>
                                <w:tabs>
                                  <w:tab w:pos="2422" w:val="left" w:leader="none"/>
                                  <w:tab w:pos="3420" w:val="left" w:leader="none"/>
                                  <w:tab w:pos="3892" w:val="left" w:leader="none"/>
                                  <w:tab w:pos="4784" w:val="left" w:leader="none"/>
                                  <w:tab w:pos="5167" w:val="left" w:leader="none"/>
                                  <w:tab w:pos="5550" w:val="left" w:leader="none"/>
                                  <w:tab w:pos="6022" w:val="left" w:leader="none"/>
                                  <w:tab w:pos="7110" w:val="left" w:leader="none"/>
                                  <w:tab w:pos="7492" w:val="left" w:leader="none"/>
                                  <w:tab w:pos="8384" w:val="left" w:leader="none"/>
                                  <w:tab w:pos="8767" w:val="left" w:leader="none"/>
                                  <w:tab w:pos="9240" w:val="left" w:leader="none"/>
                                  <w:tab w:pos="9914" w:val="left" w:leader="none"/>
                                </w:tabs>
                                <w:spacing w:before="13"/>
                                <w:ind w:left="52" w:right="0" w:firstLine="0"/>
                                <w:jc w:val="left"/>
                                <w:rPr>
                                  <w:sz w:val="18"/>
                                </w:rPr>
                              </w:pPr>
                              <w:r>
                                <w:rPr>
                                  <w:sz w:val="18"/>
                                </w:rPr>
                                <w:t>Compensation</w:t>
                              </w:r>
                              <w:r>
                                <w:rPr>
                                  <w:spacing w:val="-3"/>
                                  <w:sz w:val="18"/>
                                </w:rPr>
                                <w:t> </w:t>
                              </w:r>
                              <w:r>
                                <w:rPr>
                                  <w:sz w:val="18"/>
                                </w:rPr>
                                <w:t>and </w:t>
                              </w:r>
                              <w:r>
                                <w:rPr>
                                  <w:spacing w:val="-2"/>
                                  <w:sz w:val="18"/>
                                </w:rPr>
                                <w:t>benefits</w:t>
                              </w:r>
                              <w:r>
                                <w:rPr>
                                  <w:sz w:val="18"/>
                                </w:rPr>
                                <w:tab/>
                              </w:r>
                              <w:r>
                                <w:rPr>
                                  <w:spacing w:val="-10"/>
                                  <w:sz w:val="18"/>
                                </w:rPr>
                                <w:t>$</w:t>
                              </w:r>
                              <w:r>
                                <w:rPr>
                                  <w:sz w:val="18"/>
                                </w:rPr>
                                <w:tab/>
                              </w:r>
                              <w:r>
                                <w:rPr>
                                  <w:spacing w:val="-5"/>
                                  <w:sz w:val="18"/>
                                </w:rPr>
                                <w:t>243</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5"/>
                                  <w:sz w:val="18"/>
                                </w:rPr>
                                <w:t>243</w:t>
                              </w:r>
                              <w:r>
                                <w:rPr>
                                  <w:sz w:val="18"/>
                                </w:rPr>
                                <w:tab/>
                              </w:r>
                              <w:r>
                                <w:rPr>
                                  <w:spacing w:val="-10"/>
                                  <w:sz w:val="18"/>
                                </w:rPr>
                                <w:t>$</w:t>
                              </w:r>
                              <w:r>
                                <w:rPr>
                                  <w:sz w:val="18"/>
                                </w:rPr>
                                <w:tab/>
                              </w:r>
                              <w:r>
                                <w:rPr>
                                  <w:spacing w:val="-5"/>
                                  <w:sz w:val="18"/>
                                </w:rPr>
                                <w:t>64</w:t>
                              </w:r>
                              <w:r>
                                <w:rPr>
                                  <w:sz w:val="18"/>
                                </w:rPr>
                                <w:tab/>
                              </w:r>
                              <w:r>
                                <w:rPr>
                                  <w:spacing w:val="-10"/>
                                  <w:sz w:val="18"/>
                                </w:rPr>
                                <w:t>$</w:t>
                              </w:r>
                              <w:r>
                                <w:rPr>
                                  <w:sz w:val="18"/>
                                </w:rPr>
                                <w:tab/>
                              </w:r>
                              <w:r>
                                <w:rPr>
                                  <w:spacing w:val="-10"/>
                                  <w:sz w:val="18"/>
                                </w:rPr>
                                <w:t>—</w:t>
                              </w:r>
                              <w:r>
                                <w:rPr>
                                  <w:sz w:val="18"/>
                                </w:rPr>
                                <w:tab/>
                              </w:r>
                              <w:r>
                                <w:rPr>
                                  <w:spacing w:val="-10"/>
                                  <w:sz w:val="18"/>
                                </w:rPr>
                                <w:t>$</w:t>
                              </w:r>
                              <w:r>
                                <w:rPr>
                                  <w:sz w:val="18"/>
                                </w:rPr>
                                <w:tab/>
                                <w:t>64</w:t>
                              </w:r>
                              <w:r>
                                <w:rPr>
                                  <w:spacing w:val="48"/>
                                  <w:sz w:val="18"/>
                                </w:rPr>
                                <w:t>  </w:t>
                              </w:r>
                              <w:r>
                                <w:rPr>
                                  <w:spacing w:val="-10"/>
                                  <w:sz w:val="18"/>
                                </w:rPr>
                                <w:t>$</w:t>
                              </w:r>
                              <w:r>
                                <w:rPr>
                                  <w:sz w:val="18"/>
                                </w:rPr>
                                <w:tab/>
                              </w:r>
                              <w:r>
                                <w:rPr>
                                  <w:spacing w:val="-5"/>
                                  <w:sz w:val="18"/>
                                </w:rPr>
                                <w:t>307</w:t>
                              </w:r>
                            </w:p>
                          </w:txbxContent>
                        </wps:txbx>
                        <wps:bodyPr wrap="square" lIns="0" tIns="0" rIns="0" bIns="0" rtlCol="0">
                          <a:noAutofit/>
                        </wps:bodyPr>
                      </wps:wsp>
                    </wpg:wgp>
                  </a:graphicData>
                </a:graphic>
              </wp:anchor>
            </w:drawing>
          </mc:Choice>
          <mc:Fallback>
            <w:pict>
              <v:group style="position:absolute;margin-left:49.5pt;margin-top:1.250879pt;width:513pt;height:43.75pt;mso-position-horizontal-relative:page;mso-position-vertical-relative:paragraph;z-index:15760896" id="docshapegroup363" coordorigin="990,25" coordsize="10260,875">
                <v:rect style="position:absolute;left:990;top:645;width:10260;height:255" id="docshape364" filled="true" fillcolor="#ccedff" stroked="false">
                  <v:fill type="solid"/>
                </v:rect>
                <v:shape style="position:absolute;left:3360;top:30;width:3525;height:2" id="docshape365" coordorigin="3360,30" coordsize="3525,0" path="m6885,30l3360,30e" filled="true" fillcolor="#000000" stroked="false">
                  <v:path arrowok="t"/>
                  <v:fill opacity="0f" type="solid"/>
                </v:shape>
                <v:line style="position:absolute" from="3360,30" to="6885,30" stroked="true" strokeweight=".5pt" strokecolor="#000000">
                  <v:stroke dashstyle="solid"/>
                </v:line>
                <v:shape style="position:absolute;left:6960;top:30;width:3525;height:2" id="docshape366" coordorigin="6960,30" coordsize="3525,0" path="m10485,30l6960,30e" filled="true" fillcolor="#000000" stroked="false">
                  <v:path arrowok="t"/>
                  <v:fill opacity="0f" type="solid"/>
                </v:shape>
                <v:line style="position:absolute" from="6960,30" to="10485,30" stroked="true" strokeweight=".5pt" strokecolor="#000000">
                  <v:stroke dashstyle="solid"/>
                </v:line>
                <v:shape style="position:absolute;left:990;top:645;width:10260;height:2" id="docshape367" coordorigin="990,645" coordsize="10260,0" path="m11250,645l990,645e" filled="true" fillcolor="#000000" stroked="false">
                  <v:path arrowok="t"/>
                  <v:fill opacity="0f" type="solid"/>
                </v:shape>
                <v:line style="position:absolute" from="990,645" to="11250,645" stroked="true" strokeweight=".5pt" strokecolor="#000000">
                  <v:stroke dashstyle="solid"/>
                </v:line>
                <v:shape style="position:absolute;left:3537;top:55;width:1061;height:560" type="#_x0000_t202" id="docshape368" filled="false" stroked="false">
                  <v:textbox inset="0,0,0,0">
                    <w:txbxContent>
                      <w:p>
                        <w:pPr>
                          <w:spacing w:line="208" w:lineRule="auto" w:before="14"/>
                          <w:ind w:left="0" w:right="18" w:firstLine="0"/>
                          <w:jc w:val="center"/>
                          <w:rPr>
                            <w:sz w:val="18"/>
                          </w:rPr>
                        </w:pPr>
                        <w:r>
                          <w:rPr>
                            <w:spacing w:val="-2"/>
                            <w:sz w:val="18"/>
                          </w:rPr>
                          <w:t>Employee Compensation </w:t>
                        </w:r>
                        <w:r>
                          <w:rPr>
                            <w:sz w:val="18"/>
                          </w:rPr>
                          <w:t>and Benefits</w:t>
                        </w:r>
                      </w:p>
                    </w:txbxContent>
                  </v:textbox>
                  <w10:wrap type="none"/>
                </v:shape>
                <v:shape style="position:absolute;left:4982;top:55;width:3215;height:560" type="#_x0000_t202" id="docshape369" filled="false" stroked="false">
                  <v:textbox inset="0,0,0,0">
                    <w:txbxContent>
                      <w:p>
                        <w:pPr>
                          <w:tabs>
                            <w:tab w:pos="1207" w:val="left" w:leader="none"/>
                            <w:tab w:pos="2154" w:val="left" w:leader="none"/>
                            <w:tab w:pos="2309" w:val="left" w:leader="none"/>
                          </w:tabs>
                          <w:spacing w:line="208" w:lineRule="auto" w:before="14"/>
                          <w:ind w:left="0" w:right="18" w:firstLine="1217"/>
                          <w:jc w:val="left"/>
                          <w:rPr>
                            <w:sz w:val="18"/>
                          </w:rPr>
                        </w:pPr>
                        <w:r>
                          <w:rPr>
                            <w:spacing w:val="-2"/>
                            <w:sz w:val="18"/>
                          </w:rPr>
                          <w:t>Investor</w:t>
                        </w:r>
                        <w:r>
                          <w:rPr>
                            <w:sz w:val="18"/>
                          </w:rPr>
                          <w:tab/>
                          <w:tab/>
                        </w:r>
                        <w:r>
                          <w:rPr>
                            <w:spacing w:val="-2"/>
                            <w:sz w:val="18"/>
                          </w:rPr>
                          <w:t>Employee </w:t>
                        </w:r>
                        <w:r>
                          <w:rPr>
                            <w:sz w:val="18"/>
                          </w:rPr>
                          <w:t>Facility</w:t>
                        </w:r>
                        <w:r>
                          <w:rPr>
                            <w:spacing w:val="-1"/>
                            <w:sz w:val="18"/>
                          </w:rPr>
                          <w:t> </w:t>
                        </w:r>
                        <w:r>
                          <w:rPr>
                            <w:spacing w:val="-4"/>
                            <w:sz w:val="18"/>
                          </w:rPr>
                          <w:t>Exit</w:t>
                        </w:r>
                        <w:r>
                          <w:rPr>
                            <w:sz w:val="18"/>
                          </w:rPr>
                          <w:tab/>
                        </w:r>
                        <w:r>
                          <w:rPr>
                            <w:spacing w:val="-2"/>
                            <w:sz w:val="18"/>
                          </w:rPr>
                          <w:t>Services</w:t>
                        </w:r>
                        <w:r>
                          <w:rPr>
                            <w:sz w:val="18"/>
                          </w:rPr>
                          <w:tab/>
                        </w:r>
                        <w:r>
                          <w:rPr>
                            <w:spacing w:val="-2"/>
                            <w:sz w:val="18"/>
                          </w:rPr>
                          <w:t>Compensation</w:t>
                        </w:r>
                      </w:p>
                      <w:p>
                        <w:pPr>
                          <w:tabs>
                            <w:tab w:pos="1322" w:val="left" w:leader="none"/>
                            <w:tab w:pos="2222" w:val="left" w:leader="none"/>
                          </w:tabs>
                          <w:spacing w:line="185" w:lineRule="exact" w:before="0"/>
                          <w:ind w:left="156" w:right="0" w:firstLine="0"/>
                          <w:jc w:val="left"/>
                          <w:rPr>
                            <w:sz w:val="18"/>
                          </w:rPr>
                        </w:pPr>
                        <w:r>
                          <w:rPr>
                            <w:sz w:val="18"/>
                          </w:rPr>
                          <w:t>Costs</w:t>
                        </w:r>
                        <w:r>
                          <w:rPr>
                            <w:spacing w:val="-2"/>
                            <w:sz w:val="18"/>
                          </w:rPr>
                          <w:t> </w:t>
                        </w:r>
                        <w:r>
                          <w:rPr>
                            <w:spacing w:val="-5"/>
                            <w:sz w:val="18"/>
                            <w:vertAlign w:val="superscript"/>
                          </w:rPr>
                          <w:t>(1)</w:t>
                        </w:r>
                        <w:r>
                          <w:rPr>
                            <w:sz w:val="18"/>
                            <w:vertAlign w:val="baseline"/>
                          </w:rPr>
                          <w:tab/>
                        </w:r>
                        <w:r>
                          <w:rPr>
                            <w:spacing w:val="-2"/>
                            <w:sz w:val="18"/>
                            <w:vertAlign w:val="baseline"/>
                          </w:rPr>
                          <w:t>Total</w:t>
                        </w:r>
                        <w:r>
                          <w:rPr>
                            <w:sz w:val="18"/>
                            <w:vertAlign w:val="baseline"/>
                          </w:rPr>
                          <w:tab/>
                          <w:t>and </w:t>
                        </w:r>
                        <w:r>
                          <w:rPr>
                            <w:spacing w:val="-2"/>
                            <w:sz w:val="18"/>
                            <w:vertAlign w:val="baseline"/>
                          </w:rPr>
                          <w:t>Benefits</w:t>
                        </w:r>
                      </w:p>
                    </w:txbxContent>
                  </v:textbox>
                  <w10:wrap type="none"/>
                </v:shape>
                <v:shape style="position:absolute;left:8582;top:55;width:2525;height:560" type="#_x0000_t202" id="docshape370" filled="false" stroked="false">
                  <v:textbox inset="0,0,0,0">
                    <w:txbxContent>
                      <w:p>
                        <w:pPr>
                          <w:tabs>
                            <w:tab w:pos="1207" w:val="left" w:leader="none"/>
                          </w:tabs>
                          <w:spacing w:line="208" w:lineRule="auto" w:before="14"/>
                          <w:ind w:left="0" w:right="705" w:firstLine="1222"/>
                          <w:jc w:val="left"/>
                          <w:rPr>
                            <w:sz w:val="18"/>
                          </w:rPr>
                        </w:pPr>
                        <w:r>
                          <w:rPr>
                            <w:spacing w:val="-2"/>
                            <w:sz w:val="18"/>
                          </w:rPr>
                          <w:t>Advisor </w:t>
                        </w:r>
                        <w:r>
                          <w:rPr>
                            <w:sz w:val="18"/>
                          </w:rPr>
                          <w:t>Facility</w:t>
                        </w:r>
                        <w:r>
                          <w:rPr>
                            <w:spacing w:val="-1"/>
                            <w:sz w:val="18"/>
                          </w:rPr>
                          <w:t> </w:t>
                        </w:r>
                        <w:r>
                          <w:rPr>
                            <w:spacing w:val="-4"/>
                            <w:sz w:val="18"/>
                          </w:rPr>
                          <w:t>Exit</w:t>
                        </w:r>
                        <w:r>
                          <w:rPr>
                            <w:sz w:val="18"/>
                          </w:rPr>
                          <w:tab/>
                        </w:r>
                        <w:r>
                          <w:rPr>
                            <w:spacing w:val="-2"/>
                            <w:sz w:val="18"/>
                          </w:rPr>
                          <w:t>Services</w:t>
                        </w:r>
                      </w:p>
                      <w:p>
                        <w:pPr>
                          <w:tabs>
                            <w:tab w:pos="1322" w:val="left" w:leader="none"/>
                            <w:tab w:pos="2124" w:val="left" w:leader="none"/>
                          </w:tabs>
                          <w:spacing w:line="185" w:lineRule="exact" w:before="0"/>
                          <w:ind w:left="156" w:right="0" w:firstLine="0"/>
                          <w:jc w:val="left"/>
                          <w:rPr>
                            <w:sz w:val="18"/>
                          </w:rPr>
                        </w:pPr>
                        <w:r>
                          <w:rPr>
                            <w:sz w:val="18"/>
                          </w:rPr>
                          <w:t>Costs</w:t>
                        </w:r>
                        <w:r>
                          <w:rPr>
                            <w:spacing w:val="-2"/>
                            <w:sz w:val="18"/>
                          </w:rPr>
                          <w:t> </w:t>
                        </w:r>
                        <w:r>
                          <w:rPr>
                            <w:spacing w:val="-5"/>
                            <w:sz w:val="18"/>
                            <w:vertAlign w:val="superscript"/>
                          </w:rPr>
                          <w:t>(1)</w:t>
                        </w:r>
                        <w:r>
                          <w:rPr>
                            <w:sz w:val="18"/>
                            <w:vertAlign w:val="baseline"/>
                          </w:rPr>
                          <w:tab/>
                        </w:r>
                        <w:r>
                          <w:rPr>
                            <w:spacing w:val="-2"/>
                            <w:sz w:val="18"/>
                            <w:vertAlign w:val="baseline"/>
                          </w:rPr>
                          <w:t>Total</w:t>
                        </w:r>
                        <w:r>
                          <w:rPr>
                            <w:sz w:val="18"/>
                            <w:vertAlign w:val="baseline"/>
                          </w:rPr>
                          <w:tab/>
                        </w:r>
                        <w:r>
                          <w:rPr>
                            <w:spacing w:val="-2"/>
                            <w:sz w:val="18"/>
                            <w:vertAlign w:val="baseline"/>
                          </w:rPr>
                          <w:t>Total</w:t>
                        </w:r>
                      </w:p>
                    </w:txbxContent>
                  </v:textbox>
                  <w10:wrap type="none"/>
                </v:shape>
                <v:shape style="position:absolute;left:990;top:650;width:10260;height:250" type="#_x0000_t202" id="docshape371" filled="false" stroked="false">
                  <v:textbox inset="0,0,0,0">
                    <w:txbxContent>
                      <w:p>
                        <w:pPr>
                          <w:tabs>
                            <w:tab w:pos="2422" w:val="left" w:leader="none"/>
                            <w:tab w:pos="3420" w:val="left" w:leader="none"/>
                            <w:tab w:pos="3892" w:val="left" w:leader="none"/>
                            <w:tab w:pos="4784" w:val="left" w:leader="none"/>
                            <w:tab w:pos="5167" w:val="left" w:leader="none"/>
                            <w:tab w:pos="5550" w:val="left" w:leader="none"/>
                            <w:tab w:pos="6022" w:val="left" w:leader="none"/>
                            <w:tab w:pos="7110" w:val="left" w:leader="none"/>
                            <w:tab w:pos="7492" w:val="left" w:leader="none"/>
                            <w:tab w:pos="8384" w:val="left" w:leader="none"/>
                            <w:tab w:pos="8767" w:val="left" w:leader="none"/>
                            <w:tab w:pos="9240" w:val="left" w:leader="none"/>
                            <w:tab w:pos="9914" w:val="left" w:leader="none"/>
                          </w:tabs>
                          <w:spacing w:before="13"/>
                          <w:ind w:left="52" w:right="0" w:firstLine="0"/>
                          <w:jc w:val="left"/>
                          <w:rPr>
                            <w:sz w:val="18"/>
                          </w:rPr>
                        </w:pPr>
                        <w:r>
                          <w:rPr>
                            <w:sz w:val="18"/>
                          </w:rPr>
                          <w:t>Compensation</w:t>
                        </w:r>
                        <w:r>
                          <w:rPr>
                            <w:spacing w:val="-3"/>
                            <w:sz w:val="18"/>
                          </w:rPr>
                          <w:t> </w:t>
                        </w:r>
                        <w:r>
                          <w:rPr>
                            <w:sz w:val="18"/>
                          </w:rPr>
                          <w:t>and </w:t>
                        </w:r>
                        <w:r>
                          <w:rPr>
                            <w:spacing w:val="-2"/>
                            <w:sz w:val="18"/>
                          </w:rPr>
                          <w:t>benefits</w:t>
                        </w:r>
                        <w:r>
                          <w:rPr>
                            <w:sz w:val="18"/>
                          </w:rPr>
                          <w:tab/>
                        </w:r>
                        <w:r>
                          <w:rPr>
                            <w:spacing w:val="-10"/>
                            <w:sz w:val="18"/>
                          </w:rPr>
                          <w:t>$</w:t>
                        </w:r>
                        <w:r>
                          <w:rPr>
                            <w:sz w:val="18"/>
                          </w:rPr>
                          <w:tab/>
                        </w:r>
                        <w:r>
                          <w:rPr>
                            <w:spacing w:val="-5"/>
                            <w:sz w:val="18"/>
                          </w:rPr>
                          <w:t>243</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5"/>
                            <w:sz w:val="18"/>
                          </w:rPr>
                          <w:t>243</w:t>
                        </w:r>
                        <w:r>
                          <w:rPr>
                            <w:sz w:val="18"/>
                          </w:rPr>
                          <w:tab/>
                        </w:r>
                        <w:r>
                          <w:rPr>
                            <w:spacing w:val="-10"/>
                            <w:sz w:val="18"/>
                          </w:rPr>
                          <w:t>$</w:t>
                        </w:r>
                        <w:r>
                          <w:rPr>
                            <w:sz w:val="18"/>
                          </w:rPr>
                          <w:tab/>
                        </w:r>
                        <w:r>
                          <w:rPr>
                            <w:spacing w:val="-5"/>
                            <w:sz w:val="18"/>
                          </w:rPr>
                          <w:t>64</w:t>
                        </w:r>
                        <w:r>
                          <w:rPr>
                            <w:sz w:val="18"/>
                          </w:rPr>
                          <w:tab/>
                        </w:r>
                        <w:r>
                          <w:rPr>
                            <w:spacing w:val="-10"/>
                            <w:sz w:val="18"/>
                          </w:rPr>
                          <w:t>$</w:t>
                        </w:r>
                        <w:r>
                          <w:rPr>
                            <w:sz w:val="18"/>
                          </w:rPr>
                          <w:tab/>
                        </w:r>
                        <w:r>
                          <w:rPr>
                            <w:spacing w:val="-10"/>
                            <w:sz w:val="18"/>
                          </w:rPr>
                          <w:t>—</w:t>
                        </w:r>
                        <w:r>
                          <w:rPr>
                            <w:sz w:val="18"/>
                          </w:rPr>
                          <w:tab/>
                        </w:r>
                        <w:r>
                          <w:rPr>
                            <w:spacing w:val="-10"/>
                            <w:sz w:val="18"/>
                          </w:rPr>
                          <w:t>$</w:t>
                        </w:r>
                        <w:r>
                          <w:rPr>
                            <w:sz w:val="18"/>
                          </w:rPr>
                          <w:tab/>
                          <w:t>64</w:t>
                        </w:r>
                        <w:r>
                          <w:rPr>
                            <w:spacing w:val="48"/>
                            <w:sz w:val="18"/>
                          </w:rPr>
                          <w:t>  </w:t>
                        </w:r>
                        <w:r>
                          <w:rPr>
                            <w:spacing w:val="-10"/>
                            <w:sz w:val="18"/>
                          </w:rPr>
                          <w:t>$</w:t>
                        </w:r>
                        <w:r>
                          <w:rPr>
                            <w:sz w:val="18"/>
                          </w:rPr>
                          <w:tab/>
                        </w:r>
                        <w:r>
                          <w:rPr>
                            <w:spacing w:val="-5"/>
                            <w:sz w:val="18"/>
                          </w:rPr>
                          <w:t>307</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1408">
                <wp:simplePos x="0" y="0"/>
                <wp:positionH relativeFrom="page">
                  <wp:posOffset>628650</wp:posOffset>
                </wp:positionH>
                <wp:positionV relativeFrom="paragraph">
                  <wp:posOffset>733436</wp:posOffset>
                </wp:positionV>
                <wp:extent cx="6515100" cy="161925"/>
                <wp:effectExtent l="0" t="0" r="0" b="0"/>
                <wp:wrapNone/>
                <wp:docPr id="519" name="Textbox 519"/>
                <wp:cNvGraphicFramePr>
                  <a:graphicFrameLocks/>
                </wp:cNvGraphicFramePr>
                <a:graphic>
                  <a:graphicData uri="http://schemas.microsoft.com/office/word/2010/wordprocessingShape">
                    <wps:wsp>
                      <wps:cNvPr id="519" name="Textbox 519"/>
                      <wps:cNvSpPr txBox="1"/>
                      <wps:spPr>
                        <a:xfrm>
                          <a:off x="0" y="0"/>
                          <a:ext cx="6515100" cy="161925"/>
                        </a:xfrm>
                        <a:prstGeom prst="rect">
                          <a:avLst/>
                        </a:prstGeom>
                        <a:solidFill>
                          <a:srgbClr val="CCEDFF"/>
                        </a:solidFill>
                      </wps:spPr>
                      <wps:txbx>
                        <w:txbxContent>
                          <w:p>
                            <w:pPr>
                              <w:tabs>
                                <w:tab w:pos="3510" w:val="left" w:leader="none"/>
                                <w:tab w:pos="4874" w:val="left" w:leader="none"/>
                                <w:tab w:pos="5730" w:val="left" w:leader="none"/>
                                <w:tab w:pos="7110" w:val="left" w:leader="none"/>
                                <w:tab w:pos="8474" w:val="left" w:leader="none"/>
                                <w:tab w:pos="9330" w:val="left" w:leader="none"/>
                                <w:tab w:pos="10184" w:val="right" w:leader="none"/>
                              </w:tabs>
                              <w:spacing w:before="18"/>
                              <w:ind w:left="52" w:right="0" w:firstLine="0"/>
                              <w:jc w:val="left"/>
                              <w:rPr>
                                <w:color w:val="000000"/>
                                <w:sz w:val="18"/>
                              </w:rPr>
                            </w:pPr>
                            <w:r>
                              <w:rPr>
                                <w:color w:val="000000"/>
                                <w:sz w:val="18"/>
                              </w:rPr>
                              <w:t>Depreciation</w:t>
                            </w:r>
                            <w:r>
                              <w:rPr>
                                <w:color w:val="000000"/>
                                <w:spacing w:val="-3"/>
                                <w:sz w:val="18"/>
                              </w:rPr>
                              <w:t> </w:t>
                            </w:r>
                            <w:r>
                              <w:rPr>
                                <w:color w:val="000000"/>
                                <w:sz w:val="18"/>
                              </w:rPr>
                              <w:t>and </w:t>
                            </w:r>
                            <w:r>
                              <w:rPr>
                                <w:color w:val="000000"/>
                                <w:spacing w:val="-2"/>
                                <w:sz w:val="18"/>
                              </w:rPr>
                              <w:t>amortization</w:t>
                            </w:r>
                            <w:r>
                              <w:rPr>
                                <w:color w:val="000000"/>
                                <w:sz w:val="18"/>
                              </w:rPr>
                              <w:tab/>
                            </w:r>
                            <w:r>
                              <w:rPr>
                                <w:color w:val="000000"/>
                                <w:spacing w:val="-10"/>
                                <w:sz w:val="18"/>
                              </w:rPr>
                              <w:t>—</w:t>
                            </w:r>
                            <w:r>
                              <w:rPr>
                                <w:color w:val="000000"/>
                                <w:sz w:val="18"/>
                              </w:rPr>
                              <w:tab/>
                            </w:r>
                            <w:r>
                              <w:rPr>
                                <w:color w:val="000000"/>
                                <w:spacing w:val="-10"/>
                                <w:sz w:val="18"/>
                              </w:rPr>
                              <w:t>2</w:t>
                            </w:r>
                            <w:r>
                              <w:rPr>
                                <w:color w:val="000000"/>
                                <w:sz w:val="18"/>
                              </w:rPr>
                              <w:tab/>
                            </w:r>
                            <w:r>
                              <w:rPr>
                                <w:color w:val="000000"/>
                                <w:spacing w:val="-10"/>
                                <w:sz w:val="18"/>
                              </w:rPr>
                              <w:t>2</w:t>
                            </w:r>
                            <w:r>
                              <w:rPr>
                                <w:color w:val="000000"/>
                                <w:sz w:val="18"/>
                              </w:rPr>
                              <w:tab/>
                            </w:r>
                            <w:r>
                              <w:rPr>
                                <w:color w:val="000000"/>
                                <w:spacing w:val="-10"/>
                                <w:sz w:val="18"/>
                              </w:rPr>
                              <w:t>—</w:t>
                            </w:r>
                            <w:r>
                              <w:rPr>
                                <w:color w:val="000000"/>
                                <w:sz w:val="18"/>
                              </w:rPr>
                              <w:tab/>
                            </w:r>
                            <w:r>
                              <w:rPr>
                                <w:color w:val="000000"/>
                                <w:spacing w:val="-10"/>
                                <w:sz w:val="18"/>
                              </w:rPr>
                              <w:t>1</w:t>
                            </w:r>
                            <w:r>
                              <w:rPr>
                                <w:color w:val="000000"/>
                                <w:sz w:val="18"/>
                              </w:rPr>
                              <w:tab/>
                            </w:r>
                            <w:r>
                              <w:rPr>
                                <w:color w:val="000000"/>
                                <w:spacing w:val="-10"/>
                                <w:sz w:val="18"/>
                              </w:rPr>
                              <w:t>1</w:t>
                            </w:r>
                            <w:r>
                              <w:rPr>
                                <w:color w:val="000000"/>
                                <w:sz w:val="18"/>
                              </w:rPr>
                              <w:tab/>
                            </w:r>
                            <w:r>
                              <w:rPr>
                                <w:color w:val="000000"/>
                                <w:spacing w:val="-10"/>
                                <w:sz w:val="18"/>
                              </w:rPr>
                              <w:t>3</w:t>
                            </w:r>
                          </w:p>
                        </w:txbxContent>
                      </wps:txbx>
                      <wps:bodyPr wrap="square" lIns="0" tIns="0" rIns="0" bIns="0" rtlCol="0">
                        <a:noAutofit/>
                      </wps:bodyPr>
                    </wps:wsp>
                  </a:graphicData>
                </a:graphic>
              </wp:anchor>
            </w:drawing>
          </mc:Choice>
          <mc:Fallback>
            <w:pict>
              <v:shape style="position:absolute;margin-left:49.5pt;margin-top:57.750877pt;width:513pt;height:12.75pt;mso-position-horizontal-relative:page;mso-position-vertical-relative:paragraph;z-index:15761408" type="#_x0000_t202" id="docshape372" filled="true" fillcolor="#ccedff" stroked="false">
                <v:textbox inset="0,0,0,0">
                  <w:txbxContent>
                    <w:p>
                      <w:pPr>
                        <w:tabs>
                          <w:tab w:pos="3510" w:val="left" w:leader="none"/>
                          <w:tab w:pos="4874" w:val="left" w:leader="none"/>
                          <w:tab w:pos="5730" w:val="left" w:leader="none"/>
                          <w:tab w:pos="7110" w:val="left" w:leader="none"/>
                          <w:tab w:pos="8474" w:val="left" w:leader="none"/>
                          <w:tab w:pos="9330" w:val="left" w:leader="none"/>
                          <w:tab w:pos="10184" w:val="right" w:leader="none"/>
                        </w:tabs>
                        <w:spacing w:before="18"/>
                        <w:ind w:left="52" w:right="0" w:firstLine="0"/>
                        <w:jc w:val="left"/>
                        <w:rPr>
                          <w:color w:val="000000"/>
                          <w:sz w:val="18"/>
                        </w:rPr>
                      </w:pPr>
                      <w:r>
                        <w:rPr>
                          <w:color w:val="000000"/>
                          <w:sz w:val="18"/>
                        </w:rPr>
                        <w:t>Depreciation</w:t>
                      </w:r>
                      <w:r>
                        <w:rPr>
                          <w:color w:val="000000"/>
                          <w:spacing w:val="-3"/>
                          <w:sz w:val="18"/>
                        </w:rPr>
                        <w:t> </w:t>
                      </w:r>
                      <w:r>
                        <w:rPr>
                          <w:color w:val="000000"/>
                          <w:sz w:val="18"/>
                        </w:rPr>
                        <w:t>and </w:t>
                      </w:r>
                      <w:r>
                        <w:rPr>
                          <w:color w:val="000000"/>
                          <w:spacing w:val="-2"/>
                          <w:sz w:val="18"/>
                        </w:rPr>
                        <w:t>amortization</w:t>
                      </w:r>
                      <w:r>
                        <w:rPr>
                          <w:color w:val="000000"/>
                          <w:sz w:val="18"/>
                        </w:rPr>
                        <w:tab/>
                      </w:r>
                      <w:r>
                        <w:rPr>
                          <w:color w:val="000000"/>
                          <w:spacing w:val="-10"/>
                          <w:sz w:val="18"/>
                        </w:rPr>
                        <w:t>—</w:t>
                      </w:r>
                      <w:r>
                        <w:rPr>
                          <w:color w:val="000000"/>
                          <w:sz w:val="18"/>
                        </w:rPr>
                        <w:tab/>
                      </w:r>
                      <w:r>
                        <w:rPr>
                          <w:color w:val="000000"/>
                          <w:spacing w:val="-10"/>
                          <w:sz w:val="18"/>
                        </w:rPr>
                        <w:t>2</w:t>
                      </w:r>
                      <w:r>
                        <w:rPr>
                          <w:color w:val="000000"/>
                          <w:sz w:val="18"/>
                        </w:rPr>
                        <w:tab/>
                      </w:r>
                      <w:r>
                        <w:rPr>
                          <w:color w:val="000000"/>
                          <w:spacing w:val="-10"/>
                          <w:sz w:val="18"/>
                        </w:rPr>
                        <w:t>2</w:t>
                      </w:r>
                      <w:r>
                        <w:rPr>
                          <w:color w:val="000000"/>
                          <w:sz w:val="18"/>
                        </w:rPr>
                        <w:tab/>
                      </w:r>
                      <w:r>
                        <w:rPr>
                          <w:color w:val="000000"/>
                          <w:spacing w:val="-10"/>
                          <w:sz w:val="18"/>
                        </w:rPr>
                        <w:t>—</w:t>
                      </w:r>
                      <w:r>
                        <w:rPr>
                          <w:color w:val="000000"/>
                          <w:sz w:val="18"/>
                        </w:rPr>
                        <w:tab/>
                      </w:r>
                      <w:r>
                        <w:rPr>
                          <w:color w:val="000000"/>
                          <w:spacing w:val="-10"/>
                          <w:sz w:val="18"/>
                        </w:rPr>
                        <w:t>1</w:t>
                      </w:r>
                      <w:r>
                        <w:rPr>
                          <w:color w:val="000000"/>
                          <w:sz w:val="18"/>
                        </w:rPr>
                        <w:tab/>
                      </w:r>
                      <w:r>
                        <w:rPr>
                          <w:color w:val="000000"/>
                          <w:spacing w:val="-10"/>
                          <w:sz w:val="18"/>
                        </w:rPr>
                        <w:t>1</w:t>
                      </w:r>
                      <w:r>
                        <w:rPr>
                          <w:color w:val="000000"/>
                          <w:sz w:val="18"/>
                        </w:rPr>
                        <w:tab/>
                      </w:r>
                      <w:r>
                        <w:rPr>
                          <w:color w:val="000000"/>
                          <w:spacing w:val="-10"/>
                          <w:sz w:val="18"/>
                        </w:rPr>
                        <w:t>3</w:t>
                      </w:r>
                    </w:p>
                  </w:txbxContent>
                </v:textbox>
                <v:fill type="solid"/>
                <w10:wrap type="none"/>
              </v:shape>
            </w:pict>
          </mc:Fallback>
        </mc:AlternateContent>
      </w:r>
      <w:r>
        <w:rPr>
          <w:sz w:val="18"/>
        </w:rPr>
        <w:t>Occupancy</w:t>
      </w:r>
      <w:r>
        <w:rPr>
          <w:spacing w:val="-1"/>
          <w:sz w:val="18"/>
        </w:rPr>
        <w:t> </w:t>
      </w:r>
      <w:r>
        <w:rPr>
          <w:sz w:val="18"/>
        </w:rPr>
        <w:t>and </w:t>
      </w:r>
      <w:r>
        <w:rPr>
          <w:spacing w:val="-2"/>
          <w:sz w:val="18"/>
        </w:rPr>
        <w:t>equipment</w:t>
      </w:r>
      <w:r>
        <w:rPr>
          <w:sz w:val="18"/>
        </w:rPr>
        <w:tab/>
      </w:r>
      <w:r>
        <w:rPr>
          <w:spacing w:val="-10"/>
          <w:sz w:val="18"/>
        </w:rPr>
        <w:t>—</w:t>
      </w:r>
      <w:r>
        <w:rPr>
          <w:sz w:val="18"/>
        </w:rPr>
        <w:tab/>
      </w:r>
      <w:r>
        <w:rPr>
          <w:spacing w:val="-5"/>
          <w:sz w:val="18"/>
        </w:rPr>
        <w:t>37</w:t>
      </w:r>
      <w:r>
        <w:rPr>
          <w:sz w:val="18"/>
        </w:rPr>
        <w:tab/>
      </w:r>
      <w:r>
        <w:rPr>
          <w:spacing w:val="-5"/>
          <w:sz w:val="18"/>
        </w:rPr>
        <w:t>37</w:t>
      </w:r>
      <w:r>
        <w:rPr>
          <w:sz w:val="18"/>
        </w:rPr>
        <w:tab/>
      </w:r>
      <w:r>
        <w:rPr>
          <w:spacing w:val="-10"/>
          <w:sz w:val="18"/>
        </w:rPr>
        <w:t>—</w:t>
      </w:r>
      <w:r>
        <w:rPr>
          <w:sz w:val="18"/>
        </w:rPr>
        <w:tab/>
      </w:r>
      <w:r>
        <w:rPr>
          <w:spacing w:val="-10"/>
          <w:sz w:val="18"/>
        </w:rPr>
        <w:t>9</w:t>
      </w:r>
      <w:r>
        <w:rPr>
          <w:sz w:val="18"/>
        </w:rPr>
        <w:tab/>
      </w:r>
      <w:r>
        <w:rPr>
          <w:spacing w:val="-10"/>
          <w:sz w:val="18"/>
        </w:rPr>
        <w:t>9</w:t>
      </w:r>
      <w:r>
        <w:rPr>
          <w:sz w:val="18"/>
        </w:rPr>
        <w:tab/>
      </w:r>
      <w:r>
        <w:rPr>
          <w:spacing w:val="-5"/>
          <w:sz w:val="18"/>
        </w:rPr>
        <w:t>46</w:t>
      </w:r>
    </w:p>
    <w:p>
      <w:pPr>
        <w:tabs>
          <w:tab w:pos="3980" w:val="left" w:leader="none"/>
          <w:tab w:pos="5344" w:val="left" w:leader="none"/>
          <w:tab w:pos="6200" w:val="left" w:leader="none"/>
          <w:tab w:pos="7580" w:val="left" w:leader="none"/>
          <w:tab w:pos="8854" w:val="left" w:leader="none"/>
          <w:tab w:pos="9710" w:val="left" w:leader="none"/>
          <w:tab w:pos="10654" w:val="right" w:leader="none"/>
        </w:tabs>
        <w:spacing w:before="303"/>
        <w:ind w:left="522" w:right="0" w:firstLine="0"/>
        <w:jc w:val="left"/>
        <w:rPr>
          <w:sz w:val="18"/>
        </w:rPr>
      </w:pPr>
      <w:r>
        <w:rPr/>
        <mc:AlternateContent>
          <mc:Choice Requires="wps">
            <w:drawing>
              <wp:anchor distT="0" distB="0" distL="0" distR="0" allowOverlap="1" layoutInCell="1" locked="0" behindDoc="1" simplePos="0" relativeHeight="487618048">
                <wp:simplePos x="0" y="0"/>
                <wp:positionH relativeFrom="page">
                  <wp:posOffset>628650</wp:posOffset>
                </wp:positionH>
                <wp:positionV relativeFrom="paragraph">
                  <wp:posOffset>342922</wp:posOffset>
                </wp:positionV>
                <wp:extent cx="6515100" cy="165100"/>
                <wp:effectExtent l="0" t="0" r="0" b="0"/>
                <wp:wrapTopAndBottom/>
                <wp:docPr id="520" name="Group 520"/>
                <wp:cNvGraphicFramePr>
                  <a:graphicFrameLocks/>
                </wp:cNvGraphicFramePr>
                <a:graphic>
                  <a:graphicData uri="http://schemas.microsoft.com/office/word/2010/wordprocessingGroup">
                    <wpg:wgp>
                      <wpg:cNvPr id="520" name="Group 520"/>
                      <wpg:cNvGrpSpPr/>
                      <wpg:grpSpPr>
                        <a:xfrm>
                          <a:off x="0" y="0"/>
                          <a:ext cx="6515100" cy="165100"/>
                          <a:chExt cx="6515100" cy="165100"/>
                        </a:xfrm>
                      </wpg:grpSpPr>
                      <wps:wsp>
                        <wps:cNvPr id="521" name="Graphic 521"/>
                        <wps:cNvSpPr/>
                        <wps:spPr>
                          <a:xfrm>
                            <a:off x="0" y="0"/>
                            <a:ext cx="6515100" cy="161925"/>
                          </a:xfrm>
                          <a:custGeom>
                            <a:avLst/>
                            <a:gdLst/>
                            <a:ahLst/>
                            <a:cxnLst/>
                            <a:rect l="l" t="t" r="r" b="b"/>
                            <a:pathLst>
                              <a:path w="6515100" h="161925">
                                <a:moveTo>
                                  <a:pt x="6515100" y="0"/>
                                </a:moveTo>
                                <a:lnTo>
                                  <a:pt x="0" y="0"/>
                                </a:lnTo>
                                <a:lnTo>
                                  <a:pt x="0" y="161925"/>
                                </a:lnTo>
                                <a:lnTo>
                                  <a:pt x="6515100" y="161925"/>
                                </a:lnTo>
                                <a:lnTo>
                                  <a:pt x="6515100" y="0"/>
                                </a:lnTo>
                                <a:close/>
                              </a:path>
                            </a:pathLst>
                          </a:custGeom>
                          <a:solidFill>
                            <a:srgbClr val="CCEDFF"/>
                          </a:solidFill>
                        </wps:spPr>
                        <wps:bodyPr wrap="square" lIns="0" tIns="0" rIns="0" bIns="0" rtlCol="0">
                          <a:prstTxWarp prst="textNoShape">
                            <a:avLst/>
                          </a:prstTxWarp>
                          <a:noAutofit/>
                        </wps:bodyPr>
                      </wps:wsp>
                      <wps:wsp>
                        <wps:cNvPr id="522" name="Graphic 522"/>
                        <wps:cNvSpPr/>
                        <wps:spPr>
                          <a:xfrm>
                            <a:off x="0" y="16192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523" name="Graphic 523"/>
                        <wps:cNvSpPr/>
                        <wps:spPr>
                          <a:xfrm>
                            <a:off x="0" y="16192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524" name="Textbox 524"/>
                        <wps:cNvSpPr txBox="1"/>
                        <wps:spPr>
                          <a:xfrm>
                            <a:off x="0" y="0"/>
                            <a:ext cx="6515100" cy="158750"/>
                          </a:xfrm>
                          <a:prstGeom prst="rect">
                            <a:avLst/>
                          </a:prstGeom>
                        </wps:spPr>
                        <wps:txbx>
                          <w:txbxContent>
                            <w:p>
                              <w:pPr>
                                <w:tabs>
                                  <w:tab w:pos="3510" w:val="left" w:leader="none"/>
                                  <w:tab w:pos="4784" w:val="left" w:leader="none"/>
                                  <w:tab w:pos="5640" w:val="left" w:leader="none"/>
                                  <w:tab w:pos="7110" w:val="left" w:leader="none"/>
                                  <w:tab w:pos="8474" w:val="left" w:leader="none"/>
                                  <w:tab w:pos="9330" w:val="left" w:leader="none"/>
                                  <w:tab w:pos="10184" w:val="right" w:leader="none"/>
                                </w:tabs>
                                <w:spacing w:before="18"/>
                                <w:ind w:left="52" w:right="0" w:firstLine="0"/>
                                <w:jc w:val="left"/>
                                <w:rPr>
                                  <w:sz w:val="18"/>
                                </w:rPr>
                              </w:pPr>
                              <w:r>
                                <w:rPr>
                                  <w:spacing w:val="-2"/>
                                  <w:sz w:val="18"/>
                                </w:rPr>
                                <w:t>Other</w:t>
                              </w:r>
                              <w:r>
                                <w:rPr>
                                  <w:sz w:val="18"/>
                                </w:rPr>
                                <w:tab/>
                              </w:r>
                              <w:r>
                                <w:rPr>
                                  <w:spacing w:val="-10"/>
                                  <w:sz w:val="18"/>
                                </w:rPr>
                                <w:t>—</w:t>
                              </w:r>
                              <w:r>
                                <w:rPr>
                                  <w:sz w:val="18"/>
                                </w:rPr>
                                <w:tab/>
                              </w:r>
                              <w:r>
                                <w:rPr>
                                  <w:spacing w:val="-5"/>
                                  <w:sz w:val="18"/>
                                </w:rPr>
                                <w:t>20</w:t>
                              </w:r>
                              <w:r>
                                <w:rPr>
                                  <w:sz w:val="18"/>
                                </w:rPr>
                                <w:tab/>
                              </w:r>
                              <w:r>
                                <w:rPr>
                                  <w:spacing w:val="-5"/>
                                  <w:sz w:val="18"/>
                                </w:rPr>
                                <w:t>20</w:t>
                              </w:r>
                              <w:r>
                                <w:rPr>
                                  <w:sz w:val="18"/>
                                </w:rPr>
                                <w:tab/>
                              </w:r>
                              <w:r>
                                <w:rPr>
                                  <w:spacing w:val="-10"/>
                                  <w:sz w:val="18"/>
                                </w:rPr>
                                <w:t>—</w:t>
                              </w:r>
                              <w:r>
                                <w:rPr>
                                  <w:sz w:val="18"/>
                                </w:rPr>
                                <w:tab/>
                              </w:r>
                              <w:r>
                                <w:rPr>
                                  <w:spacing w:val="-10"/>
                                  <w:sz w:val="18"/>
                                </w:rPr>
                                <w:t>7</w:t>
                              </w:r>
                              <w:r>
                                <w:rPr>
                                  <w:sz w:val="18"/>
                                </w:rPr>
                                <w:tab/>
                              </w:r>
                              <w:r>
                                <w:rPr>
                                  <w:spacing w:val="-10"/>
                                  <w:sz w:val="18"/>
                                </w:rPr>
                                <w:t>7</w:t>
                              </w:r>
                              <w:r>
                                <w:rPr>
                                  <w:sz w:val="18"/>
                                </w:rPr>
                                <w:tab/>
                              </w:r>
                              <w:r>
                                <w:rPr>
                                  <w:spacing w:val="-5"/>
                                  <w:sz w:val="18"/>
                                </w:rPr>
                                <w:t>27</w:t>
                              </w:r>
                            </w:p>
                          </w:txbxContent>
                        </wps:txbx>
                        <wps:bodyPr wrap="square" lIns="0" tIns="0" rIns="0" bIns="0" rtlCol="0">
                          <a:noAutofit/>
                        </wps:bodyPr>
                      </wps:wsp>
                    </wpg:wgp>
                  </a:graphicData>
                </a:graphic>
              </wp:anchor>
            </w:drawing>
          </mc:Choice>
          <mc:Fallback>
            <w:pict>
              <v:group style="position:absolute;margin-left:49.5pt;margin-top:27.001759pt;width:513pt;height:13pt;mso-position-horizontal-relative:page;mso-position-vertical-relative:paragraph;z-index:-15698432;mso-wrap-distance-left:0;mso-wrap-distance-right:0" id="docshapegroup373" coordorigin="990,540" coordsize="10260,260">
                <v:rect style="position:absolute;left:990;top:540;width:10260;height:255" id="docshape374" filled="true" fillcolor="#ccedff" stroked="false">
                  <v:fill type="solid"/>
                </v:rect>
                <v:shape style="position:absolute;left:990;top:795;width:10260;height:2" id="docshape375" coordorigin="990,795" coordsize="10260,0" path="m11250,795l990,795e" filled="true" fillcolor="#000000" stroked="false">
                  <v:path arrowok="t"/>
                  <v:fill opacity="0f" type="solid"/>
                </v:shape>
                <v:line style="position:absolute" from="990,795" to="11250,795" stroked="true" strokeweight=".5pt" strokecolor="#000000">
                  <v:stroke dashstyle="solid"/>
                </v:line>
                <v:shape style="position:absolute;left:990;top:540;width:10260;height:250" type="#_x0000_t202" id="docshape376" filled="false" stroked="false">
                  <v:textbox inset="0,0,0,0">
                    <w:txbxContent>
                      <w:p>
                        <w:pPr>
                          <w:tabs>
                            <w:tab w:pos="3510" w:val="left" w:leader="none"/>
                            <w:tab w:pos="4784" w:val="left" w:leader="none"/>
                            <w:tab w:pos="5640" w:val="left" w:leader="none"/>
                            <w:tab w:pos="7110" w:val="left" w:leader="none"/>
                            <w:tab w:pos="8474" w:val="left" w:leader="none"/>
                            <w:tab w:pos="9330" w:val="left" w:leader="none"/>
                            <w:tab w:pos="10184" w:val="right" w:leader="none"/>
                          </w:tabs>
                          <w:spacing w:before="18"/>
                          <w:ind w:left="52" w:right="0" w:firstLine="0"/>
                          <w:jc w:val="left"/>
                          <w:rPr>
                            <w:sz w:val="18"/>
                          </w:rPr>
                        </w:pPr>
                        <w:r>
                          <w:rPr>
                            <w:spacing w:val="-2"/>
                            <w:sz w:val="18"/>
                          </w:rPr>
                          <w:t>Other</w:t>
                        </w:r>
                        <w:r>
                          <w:rPr>
                            <w:sz w:val="18"/>
                          </w:rPr>
                          <w:tab/>
                        </w:r>
                        <w:r>
                          <w:rPr>
                            <w:spacing w:val="-10"/>
                            <w:sz w:val="18"/>
                          </w:rPr>
                          <w:t>—</w:t>
                        </w:r>
                        <w:r>
                          <w:rPr>
                            <w:sz w:val="18"/>
                          </w:rPr>
                          <w:tab/>
                        </w:r>
                        <w:r>
                          <w:rPr>
                            <w:spacing w:val="-5"/>
                            <w:sz w:val="18"/>
                          </w:rPr>
                          <w:t>20</w:t>
                        </w:r>
                        <w:r>
                          <w:rPr>
                            <w:sz w:val="18"/>
                          </w:rPr>
                          <w:tab/>
                        </w:r>
                        <w:r>
                          <w:rPr>
                            <w:spacing w:val="-5"/>
                            <w:sz w:val="18"/>
                          </w:rPr>
                          <w:t>20</w:t>
                        </w:r>
                        <w:r>
                          <w:rPr>
                            <w:sz w:val="18"/>
                          </w:rPr>
                          <w:tab/>
                        </w:r>
                        <w:r>
                          <w:rPr>
                            <w:spacing w:val="-10"/>
                            <w:sz w:val="18"/>
                          </w:rPr>
                          <w:t>—</w:t>
                        </w:r>
                        <w:r>
                          <w:rPr>
                            <w:sz w:val="18"/>
                          </w:rPr>
                          <w:tab/>
                        </w:r>
                        <w:r>
                          <w:rPr>
                            <w:spacing w:val="-10"/>
                            <w:sz w:val="18"/>
                          </w:rPr>
                          <w:t>7</w:t>
                        </w:r>
                        <w:r>
                          <w:rPr>
                            <w:sz w:val="18"/>
                          </w:rPr>
                          <w:tab/>
                        </w:r>
                        <w:r>
                          <w:rPr>
                            <w:spacing w:val="-10"/>
                            <w:sz w:val="18"/>
                          </w:rPr>
                          <w:t>7</w:t>
                        </w:r>
                        <w:r>
                          <w:rPr>
                            <w:sz w:val="18"/>
                          </w:rPr>
                          <w:tab/>
                        </w:r>
                        <w:r>
                          <w:rPr>
                            <w:spacing w:val="-5"/>
                            <w:sz w:val="18"/>
                          </w:rPr>
                          <w:t>27</w:t>
                        </w:r>
                      </w:p>
                    </w:txbxContent>
                  </v:textbox>
                  <w10:wrap type="none"/>
                </v:shape>
                <w10:wrap type="topAndBottom"/>
              </v:group>
            </w:pict>
          </mc:Fallback>
        </mc:AlternateContent>
      </w:r>
      <w:r>
        <w:rPr>
          <w:sz w:val="18"/>
        </w:rPr>
        <w:t>Professional</w:t>
      </w:r>
      <w:r>
        <w:rPr>
          <w:spacing w:val="-5"/>
          <w:sz w:val="18"/>
        </w:rPr>
        <w:t> </w:t>
      </w:r>
      <w:r>
        <w:rPr>
          <w:spacing w:val="-2"/>
          <w:sz w:val="18"/>
        </w:rPr>
        <w:t>services</w:t>
      </w:r>
      <w:r>
        <w:rPr>
          <w:sz w:val="18"/>
        </w:rPr>
        <w:tab/>
      </w:r>
      <w:r>
        <w:rPr>
          <w:spacing w:val="-10"/>
          <w:sz w:val="18"/>
        </w:rPr>
        <w:t>—</w:t>
      </w:r>
      <w:r>
        <w:rPr>
          <w:sz w:val="18"/>
        </w:rPr>
        <w:tab/>
      </w:r>
      <w:r>
        <w:rPr>
          <w:spacing w:val="-10"/>
          <w:sz w:val="18"/>
        </w:rPr>
        <w:t>1</w:t>
      </w:r>
      <w:r>
        <w:rPr>
          <w:sz w:val="18"/>
        </w:rPr>
        <w:tab/>
      </w:r>
      <w:r>
        <w:rPr>
          <w:spacing w:val="-10"/>
          <w:sz w:val="18"/>
        </w:rPr>
        <w:t>1</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1</w:t>
      </w:r>
    </w:p>
    <w:p>
      <w:pPr>
        <w:tabs>
          <w:tab w:pos="2892" w:val="left" w:leader="none"/>
          <w:tab w:pos="3890" w:val="left" w:leader="none"/>
          <w:tab w:pos="4362" w:val="left" w:leader="none"/>
          <w:tab w:pos="5254" w:val="left" w:leader="none"/>
          <w:tab w:pos="5637" w:val="left" w:leader="none"/>
          <w:tab w:pos="6020" w:val="left" w:leader="none"/>
          <w:tab w:pos="6492" w:val="left" w:leader="none"/>
          <w:tab w:pos="7580" w:val="left" w:leader="none"/>
          <w:tab w:pos="7962" w:val="left" w:leader="none"/>
          <w:tab w:pos="8854" w:val="left" w:leader="none"/>
          <w:tab w:pos="9237" w:val="left" w:leader="none"/>
          <w:tab w:pos="9710" w:val="left" w:leader="none"/>
          <w:tab w:pos="10384" w:val="left" w:leader="none"/>
        </w:tabs>
        <w:spacing w:before="13"/>
        <w:ind w:left="642" w:right="0" w:firstLine="0"/>
        <w:jc w:val="left"/>
        <w:rPr>
          <w:sz w:val="18"/>
        </w:rPr>
      </w:pPr>
      <w:r>
        <w:rPr>
          <w:spacing w:val="-2"/>
          <w:sz w:val="18"/>
        </w:rPr>
        <w:t>Total</w:t>
      </w:r>
      <w:r>
        <w:rPr>
          <w:sz w:val="18"/>
        </w:rPr>
        <w:tab/>
      </w:r>
      <w:r>
        <w:rPr>
          <w:spacing w:val="-10"/>
          <w:sz w:val="18"/>
        </w:rPr>
        <w:t>$</w:t>
      </w:r>
      <w:r>
        <w:rPr>
          <w:sz w:val="18"/>
        </w:rPr>
        <w:tab/>
      </w:r>
      <w:r>
        <w:rPr>
          <w:spacing w:val="-5"/>
          <w:sz w:val="18"/>
        </w:rPr>
        <w:t>243</w:t>
      </w:r>
      <w:r>
        <w:rPr>
          <w:sz w:val="18"/>
        </w:rPr>
        <w:tab/>
      </w:r>
      <w:r>
        <w:rPr>
          <w:spacing w:val="-10"/>
          <w:sz w:val="18"/>
        </w:rPr>
        <w:t>$</w:t>
      </w:r>
      <w:r>
        <w:rPr>
          <w:sz w:val="18"/>
        </w:rPr>
        <w:tab/>
      </w:r>
      <w:r>
        <w:rPr>
          <w:spacing w:val="-5"/>
          <w:sz w:val="18"/>
        </w:rPr>
        <w:t>60</w:t>
      </w:r>
      <w:r>
        <w:rPr>
          <w:sz w:val="18"/>
        </w:rPr>
        <w:tab/>
      </w:r>
      <w:r>
        <w:rPr>
          <w:spacing w:val="-10"/>
          <w:sz w:val="18"/>
        </w:rPr>
        <w:t>$</w:t>
      </w:r>
      <w:r>
        <w:rPr>
          <w:sz w:val="18"/>
        </w:rPr>
        <w:tab/>
      </w:r>
      <w:r>
        <w:rPr>
          <w:spacing w:val="-5"/>
          <w:sz w:val="18"/>
        </w:rPr>
        <w:t>303</w:t>
      </w:r>
      <w:r>
        <w:rPr>
          <w:sz w:val="18"/>
        </w:rPr>
        <w:tab/>
      </w:r>
      <w:r>
        <w:rPr>
          <w:spacing w:val="-10"/>
          <w:sz w:val="18"/>
        </w:rPr>
        <w:t>$</w:t>
      </w:r>
      <w:r>
        <w:rPr>
          <w:sz w:val="18"/>
        </w:rPr>
        <w:tab/>
      </w:r>
      <w:r>
        <w:rPr>
          <w:spacing w:val="-5"/>
          <w:sz w:val="18"/>
        </w:rPr>
        <w:t>64</w:t>
      </w:r>
      <w:r>
        <w:rPr>
          <w:sz w:val="18"/>
        </w:rPr>
        <w:tab/>
      </w:r>
      <w:r>
        <w:rPr>
          <w:spacing w:val="-10"/>
          <w:sz w:val="18"/>
        </w:rPr>
        <w:t>$</w:t>
      </w:r>
      <w:r>
        <w:rPr>
          <w:sz w:val="18"/>
        </w:rPr>
        <w:tab/>
      </w:r>
      <w:r>
        <w:rPr>
          <w:spacing w:val="-5"/>
          <w:sz w:val="18"/>
        </w:rPr>
        <w:t>17</w:t>
      </w:r>
      <w:r>
        <w:rPr>
          <w:sz w:val="18"/>
        </w:rPr>
        <w:tab/>
      </w:r>
      <w:r>
        <w:rPr>
          <w:spacing w:val="-10"/>
          <w:sz w:val="18"/>
        </w:rPr>
        <w:t>$</w:t>
      </w:r>
      <w:r>
        <w:rPr>
          <w:sz w:val="18"/>
        </w:rPr>
        <w:tab/>
        <w:t>81</w:t>
      </w:r>
      <w:r>
        <w:rPr>
          <w:spacing w:val="48"/>
          <w:sz w:val="18"/>
        </w:rPr>
        <w:t>  </w:t>
      </w:r>
      <w:r>
        <w:rPr>
          <w:spacing w:val="-10"/>
          <w:sz w:val="18"/>
        </w:rPr>
        <w:t>$</w:t>
      </w:r>
      <w:r>
        <w:rPr>
          <w:sz w:val="18"/>
        </w:rPr>
        <w:tab/>
      </w:r>
      <w:r>
        <w:rPr>
          <w:spacing w:val="-5"/>
          <w:sz w:val="18"/>
        </w:rPr>
        <w:t>384</w:t>
      </w:r>
    </w:p>
    <w:p>
      <w:pPr>
        <w:pStyle w:val="BodyText"/>
        <w:spacing w:line="60" w:lineRule="exact"/>
        <w:ind w:left="460"/>
        <w:rPr>
          <w:sz w:val="6"/>
        </w:rPr>
      </w:pPr>
      <w:r>
        <w:rPr>
          <w:position w:val="0"/>
          <w:sz w:val="6"/>
        </w:rPr>
        <mc:AlternateContent>
          <mc:Choice Requires="wps">
            <w:drawing>
              <wp:inline distT="0" distB="0" distL="0" distR="0">
                <wp:extent cx="6515100" cy="38100"/>
                <wp:effectExtent l="9525" t="0" r="0" b="0"/>
                <wp:docPr id="525" name="Group 525"/>
                <wp:cNvGraphicFramePr>
                  <a:graphicFrameLocks/>
                </wp:cNvGraphicFramePr>
                <a:graphic>
                  <a:graphicData uri="http://schemas.microsoft.com/office/word/2010/wordprocessingGroup">
                    <wpg:wgp>
                      <wpg:cNvPr id="525" name="Group 525"/>
                      <wpg:cNvGrpSpPr/>
                      <wpg:grpSpPr>
                        <a:xfrm>
                          <a:off x="0" y="0"/>
                          <a:ext cx="6515100" cy="38100"/>
                          <a:chExt cx="6515100" cy="38100"/>
                        </a:xfrm>
                      </wpg:grpSpPr>
                      <wps:wsp>
                        <wps:cNvPr id="526" name="Graphic 526"/>
                        <wps:cNvSpPr/>
                        <wps:spPr>
                          <a:xfrm>
                            <a:off x="0" y="6350"/>
                            <a:ext cx="6515100" cy="25400"/>
                          </a:xfrm>
                          <a:custGeom>
                            <a:avLst/>
                            <a:gdLst/>
                            <a:ahLst/>
                            <a:cxnLst/>
                            <a:rect l="l" t="t" r="r" b="b"/>
                            <a:pathLst>
                              <a:path w="6515100" h="25400">
                                <a:moveTo>
                                  <a:pt x="0" y="0"/>
                                </a:moveTo>
                                <a:lnTo>
                                  <a:pt x="6515100" y="0"/>
                                </a:lnTo>
                              </a:path>
                              <a:path w="6515100" h="25400">
                                <a:moveTo>
                                  <a:pt x="0" y="25400"/>
                                </a:moveTo>
                                <a:lnTo>
                                  <a:pt x="65151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3pt;height:3pt;mso-position-horizontal-relative:char;mso-position-vertical-relative:line" id="docshapegroup377" coordorigin="0,0" coordsize="10260,60">
                <v:shape style="position:absolute;left:0;top:10;width:10260;height:40" id="docshape378" coordorigin="0,10" coordsize="10260,40" path="m0,10l10260,10m0,50l10260,50e" filled="false" stroked="true" strokeweight="1pt" strokecolor="#000000">
                  <v:path arrowok="t"/>
                  <v:stroke dashstyle="solid"/>
                </v:shape>
              </v:group>
            </w:pict>
          </mc:Fallback>
        </mc:AlternateContent>
      </w:r>
      <w:r>
        <w:rPr>
          <w:position w:val="0"/>
          <w:sz w:val="6"/>
        </w:rPr>
      </w:r>
    </w:p>
    <w:p>
      <w:pPr>
        <w:spacing w:line="249" w:lineRule="auto" w:before="31"/>
        <w:ind w:left="650" w:right="761" w:hanging="180"/>
        <w:jc w:val="left"/>
        <w:rPr>
          <w:sz w:val="16"/>
        </w:rPr>
      </w:pPr>
      <w:r>
        <w:rPr>
          <w:sz w:val="16"/>
          <w:vertAlign w:val="superscript"/>
        </w:rPr>
        <w:t>(1)</w:t>
      </w:r>
      <w:r>
        <w:rPr>
          <w:spacing w:val="-15"/>
          <w:sz w:val="16"/>
          <w:vertAlign w:val="baseline"/>
        </w:rPr>
        <w:t> </w:t>
      </w:r>
      <w:r>
        <w:rPr>
          <w:sz w:val="16"/>
          <w:vertAlign w:val="baseline"/>
        </w:rPr>
        <w:t>Costs</w:t>
      </w:r>
      <w:r>
        <w:rPr>
          <w:spacing w:val="-4"/>
          <w:sz w:val="16"/>
          <w:vertAlign w:val="baseline"/>
        </w:rPr>
        <w:t> </w:t>
      </w:r>
      <w:r>
        <w:rPr>
          <w:sz w:val="16"/>
          <w:vertAlign w:val="baseline"/>
        </w:rPr>
        <w:t>related</w:t>
      </w:r>
      <w:r>
        <w:rPr>
          <w:spacing w:val="-2"/>
          <w:sz w:val="16"/>
          <w:vertAlign w:val="baseline"/>
        </w:rPr>
        <w:t> </w:t>
      </w:r>
      <w:r>
        <w:rPr>
          <w:sz w:val="16"/>
          <w:vertAlign w:val="baseline"/>
        </w:rPr>
        <w:t>to</w:t>
      </w:r>
      <w:r>
        <w:rPr>
          <w:spacing w:val="-2"/>
          <w:sz w:val="16"/>
          <w:vertAlign w:val="baseline"/>
        </w:rPr>
        <w:t> </w:t>
      </w:r>
      <w:r>
        <w:rPr>
          <w:sz w:val="16"/>
          <w:vertAlign w:val="baseline"/>
        </w:rPr>
        <w:t>facility</w:t>
      </w:r>
      <w:r>
        <w:rPr>
          <w:spacing w:val="-2"/>
          <w:sz w:val="16"/>
          <w:vertAlign w:val="baseline"/>
        </w:rPr>
        <w:t> </w:t>
      </w:r>
      <w:r>
        <w:rPr>
          <w:sz w:val="16"/>
          <w:vertAlign w:val="baseline"/>
        </w:rPr>
        <w:t>closures.</w:t>
      </w:r>
      <w:r>
        <w:rPr>
          <w:spacing w:val="-2"/>
          <w:sz w:val="16"/>
          <w:vertAlign w:val="baseline"/>
        </w:rPr>
        <w:t> </w:t>
      </w:r>
      <w:r>
        <w:rPr>
          <w:sz w:val="16"/>
          <w:vertAlign w:val="baseline"/>
        </w:rPr>
        <w:t>These</w:t>
      </w:r>
      <w:r>
        <w:rPr>
          <w:spacing w:val="-2"/>
          <w:sz w:val="16"/>
          <w:vertAlign w:val="baseline"/>
        </w:rPr>
        <w:t> </w:t>
      </w:r>
      <w:r>
        <w:rPr>
          <w:sz w:val="16"/>
          <w:vertAlign w:val="baseline"/>
        </w:rPr>
        <w:t>costs,</w:t>
      </w:r>
      <w:r>
        <w:rPr>
          <w:spacing w:val="-2"/>
          <w:sz w:val="16"/>
          <w:vertAlign w:val="baseline"/>
        </w:rPr>
        <w:t> </w:t>
      </w:r>
      <w:r>
        <w:rPr>
          <w:sz w:val="16"/>
          <w:vertAlign w:val="baseline"/>
        </w:rPr>
        <w:t>which</w:t>
      </w:r>
      <w:r>
        <w:rPr>
          <w:spacing w:val="-2"/>
          <w:sz w:val="16"/>
          <w:vertAlign w:val="baseline"/>
        </w:rPr>
        <w:t> </w:t>
      </w:r>
      <w:r>
        <w:rPr>
          <w:sz w:val="16"/>
          <w:vertAlign w:val="baseline"/>
        </w:rPr>
        <w:t>are</w:t>
      </w:r>
      <w:r>
        <w:rPr>
          <w:spacing w:val="-2"/>
          <w:sz w:val="16"/>
          <w:vertAlign w:val="baseline"/>
        </w:rPr>
        <w:t> </w:t>
      </w:r>
      <w:r>
        <w:rPr>
          <w:sz w:val="16"/>
          <w:vertAlign w:val="baseline"/>
        </w:rPr>
        <w:t>primarily</w:t>
      </w:r>
      <w:r>
        <w:rPr>
          <w:spacing w:val="-2"/>
          <w:sz w:val="16"/>
          <w:vertAlign w:val="baseline"/>
        </w:rPr>
        <w:t> </w:t>
      </w:r>
      <w:r>
        <w:rPr>
          <w:sz w:val="16"/>
          <w:vertAlign w:val="baseline"/>
        </w:rPr>
        <w:t>comprised</w:t>
      </w:r>
      <w:r>
        <w:rPr>
          <w:spacing w:val="-2"/>
          <w:sz w:val="16"/>
          <w:vertAlign w:val="baseline"/>
        </w:rPr>
        <w:t> </w:t>
      </w:r>
      <w:r>
        <w:rPr>
          <w:sz w:val="16"/>
          <w:vertAlign w:val="baseline"/>
        </w:rPr>
        <w:t>of</w:t>
      </w:r>
      <w:r>
        <w:rPr>
          <w:spacing w:val="-2"/>
          <w:sz w:val="16"/>
          <w:vertAlign w:val="baseline"/>
        </w:rPr>
        <w:t> </w:t>
      </w:r>
      <w:r>
        <w:rPr>
          <w:sz w:val="16"/>
          <w:vertAlign w:val="baseline"/>
        </w:rPr>
        <w:t>impairment</w:t>
      </w:r>
      <w:r>
        <w:rPr>
          <w:spacing w:val="-2"/>
          <w:sz w:val="16"/>
          <w:vertAlign w:val="baseline"/>
        </w:rPr>
        <w:t> </w:t>
      </w:r>
      <w:r>
        <w:rPr>
          <w:sz w:val="16"/>
          <w:vertAlign w:val="baseline"/>
        </w:rPr>
        <w:t>and</w:t>
      </w:r>
      <w:r>
        <w:rPr>
          <w:spacing w:val="-2"/>
          <w:sz w:val="16"/>
          <w:vertAlign w:val="baseline"/>
        </w:rPr>
        <w:t> </w:t>
      </w:r>
      <w:r>
        <w:rPr>
          <w:sz w:val="16"/>
          <w:vertAlign w:val="baseline"/>
        </w:rPr>
        <w:t>accelerated</w:t>
      </w:r>
      <w:r>
        <w:rPr>
          <w:spacing w:val="-2"/>
          <w:sz w:val="16"/>
          <w:vertAlign w:val="baseline"/>
        </w:rPr>
        <w:t> </w:t>
      </w:r>
      <w:r>
        <w:rPr>
          <w:sz w:val="16"/>
          <w:vertAlign w:val="baseline"/>
        </w:rPr>
        <w:t>amortization</w:t>
      </w:r>
      <w:r>
        <w:rPr>
          <w:spacing w:val="-2"/>
          <w:sz w:val="16"/>
          <w:vertAlign w:val="baseline"/>
        </w:rPr>
        <w:t> </w:t>
      </w:r>
      <w:r>
        <w:rPr>
          <w:sz w:val="16"/>
          <w:vertAlign w:val="baseline"/>
        </w:rPr>
        <w:t>of</w:t>
      </w:r>
      <w:r>
        <w:rPr>
          <w:spacing w:val="-2"/>
          <w:sz w:val="16"/>
          <w:vertAlign w:val="baseline"/>
        </w:rPr>
        <w:t> </w:t>
      </w:r>
      <w:r>
        <w:rPr>
          <w:sz w:val="16"/>
          <w:vertAlign w:val="baseline"/>
        </w:rPr>
        <w:t>ROU</w:t>
      </w:r>
      <w:r>
        <w:rPr>
          <w:spacing w:val="-3"/>
          <w:sz w:val="16"/>
          <w:vertAlign w:val="baseline"/>
        </w:rPr>
        <w:t> </w:t>
      </w:r>
      <w:r>
        <w:rPr>
          <w:sz w:val="16"/>
          <w:vertAlign w:val="baseline"/>
        </w:rPr>
        <w:t>assets</w:t>
      </w:r>
      <w:r>
        <w:rPr>
          <w:spacing w:val="-3"/>
          <w:sz w:val="16"/>
          <w:vertAlign w:val="baseline"/>
        </w:rPr>
        <w:t> </w:t>
      </w:r>
      <w:r>
        <w:rPr>
          <w:sz w:val="16"/>
          <w:vertAlign w:val="baseline"/>
        </w:rPr>
        <w:t>and</w:t>
      </w:r>
      <w:r>
        <w:rPr>
          <w:spacing w:val="-2"/>
          <w:sz w:val="16"/>
          <w:vertAlign w:val="baseline"/>
        </w:rPr>
        <w:t> </w:t>
      </w:r>
      <w:r>
        <w:rPr>
          <w:sz w:val="16"/>
          <w:vertAlign w:val="baseline"/>
        </w:rPr>
        <w:t>accelerated</w:t>
      </w:r>
      <w:r>
        <w:rPr>
          <w:spacing w:val="40"/>
          <w:sz w:val="16"/>
          <w:vertAlign w:val="baseline"/>
        </w:rPr>
        <w:t> </w:t>
      </w:r>
      <w:r>
        <w:rPr>
          <w:sz w:val="16"/>
          <w:vertAlign w:val="baseline"/>
        </w:rPr>
        <w:t>depreciation of fixed assets, relate to the impact of abandoning leased and other properties.</w:t>
      </w:r>
    </w:p>
    <w:p>
      <w:pPr>
        <w:pStyle w:val="BodyText"/>
        <w:spacing w:before="88"/>
        <w:rPr>
          <w:sz w:val="16"/>
        </w:rPr>
      </w:pPr>
    </w:p>
    <w:p>
      <w:pPr>
        <w:spacing w:before="0"/>
        <w:ind w:left="470" w:right="0" w:firstLine="0"/>
        <w:jc w:val="left"/>
        <w:rPr>
          <w:i/>
          <w:sz w:val="20"/>
        </w:rPr>
      </w:pPr>
      <w:r>
        <w:rPr>
          <w:i/>
          <w:spacing w:val="-2"/>
          <w:sz w:val="20"/>
        </w:rPr>
        <w:t>Other</w:t>
      </w:r>
    </w:p>
    <w:p>
      <w:pPr>
        <w:pStyle w:val="BodyText"/>
        <w:spacing w:before="20"/>
        <w:rPr>
          <w:i/>
        </w:rPr>
      </w:pPr>
    </w:p>
    <w:p>
      <w:pPr>
        <w:pStyle w:val="BodyText"/>
        <w:spacing w:line="249" w:lineRule="auto"/>
        <w:ind w:left="470" w:right="497"/>
      </w:pPr>
      <w:r>
        <w:rPr/>
        <w:t>With</w:t>
      </w:r>
      <w:r>
        <w:rPr>
          <w:spacing w:val="-2"/>
        </w:rPr>
        <w:t> </w:t>
      </w:r>
      <w:r>
        <w:rPr/>
        <w:t>significant</w:t>
      </w:r>
      <w:r>
        <w:rPr>
          <w:spacing w:val="-3"/>
        </w:rPr>
        <w:t> </w:t>
      </w:r>
      <w:r>
        <w:rPr/>
        <w:t>progress</w:t>
      </w:r>
      <w:r>
        <w:rPr>
          <w:spacing w:val="-3"/>
        </w:rPr>
        <w:t> </w:t>
      </w:r>
      <w:r>
        <w:rPr/>
        <w:t>now</w:t>
      </w:r>
      <w:r>
        <w:rPr>
          <w:spacing w:val="-3"/>
        </w:rPr>
        <w:t> </w:t>
      </w:r>
      <w:r>
        <w:rPr/>
        <w:t>made</w:t>
      </w:r>
      <w:r>
        <w:rPr>
          <w:spacing w:val="-3"/>
        </w:rPr>
        <w:t> </w:t>
      </w:r>
      <w:r>
        <w:rPr/>
        <w:t>in</w:t>
      </w:r>
      <w:r>
        <w:rPr>
          <w:spacing w:val="-2"/>
        </w:rPr>
        <w:t> </w:t>
      </w:r>
      <w:r>
        <w:rPr/>
        <w:t>the</w:t>
      </w:r>
      <w:r>
        <w:rPr>
          <w:spacing w:val="-3"/>
        </w:rPr>
        <w:t> </w:t>
      </w:r>
      <w:r>
        <w:rPr/>
        <w:t>integration</w:t>
      </w:r>
      <w:r>
        <w:rPr>
          <w:spacing w:val="-2"/>
        </w:rPr>
        <w:t> </w:t>
      </w:r>
      <w:r>
        <w:rPr/>
        <w:t>of</w:t>
      </w:r>
      <w:r>
        <w:rPr>
          <w:spacing w:val="-2"/>
        </w:rPr>
        <w:t> </w:t>
      </w:r>
      <w:r>
        <w:rPr/>
        <w:t>TD</w:t>
      </w:r>
      <w:r>
        <w:rPr>
          <w:spacing w:val="-3"/>
        </w:rPr>
        <w:t> </w:t>
      </w:r>
      <w:r>
        <w:rPr/>
        <w:t>Ameritrade,</w:t>
      </w:r>
      <w:r>
        <w:rPr>
          <w:spacing w:val="-2"/>
        </w:rPr>
        <w:t> </w:t>
      </w:r>
      <w:r>
        <w:rPr/>
        <w:t>the</w:t>
      </w:r>
      <w:r>
        <w:rPr>
          <w:spacing w:val="-3"/>
        </w:rPr>
        <w:t> </w:t>
      </w:r>
      <w:r>
        <w:rPr/>
        <w:t>Company</w:t>
      </w:r>
      <w:r>
        <w:rPr>
          <w:spacing w:val="-2"/>
        </w:rPr>
        <w:t> </w:t>
      </w:r>
      <w:r>
        <w:rPr/>
        <w:t>has</w:t>
      </w:r>
      <w:r>
        <w:rPr>
          <w:spacing w:val="-3"/>
        </w:rPr>
        <w:t> </w:t>
      </w:r>
      <w:r>
        <w:rPr/>
        <w:t>begun</w:t>
      </w:r>
      <w:r>
        <w:rPr>
          <w:spacing w:val="-2"/>
        </w:rPr>
        <w:t> </w:t>
      </w:r>
      <w:r>
        <w:rPr/>
        <w:t>to</w:t>
      </w:r>
      <w:r>
        <w:rPr>
          <w:spacing w:val="-2"/>
        </w:rPr>
        <w:t> </w:t>
      </w:r>
      <w:r>
        <w:rPr/>
        <w:t>take</w:t>
      </w:r>
      <w:r>
        <w:rPr>
          <w:spacing w:val="-3"/>
        </w:rPr>
        <w:t> </w:t>
      </w:r>
      <w:r>
        <w:rPr/>
        <w:t>incremental</w:t>
      </w:r>
      <w:r>
        <w:rPr>
          <w:spacing w:val="-3"/>
        </w:rPr>
        <w:t> </w:t>
      </w:r>
      <w:r>
        <w:rPr/>
        <w:t>actions</w:t>
      </w:r>
      <w:r>
        <w:rPr>
          <w:spacing w:val="-3"/>
        </w:rPr>
        <w:t> </w:t>
      </w:r>
      <w:r>
        <w:rPr/>
        <w:t>to streamline its operations to prepare for post-integration, including through position eliminations and decreasing its real estate footprint. In order to achieve anticipated cost savings through these actions, the Company expects to incur exit and related</w:t>
      </w:r>
      <w:r>
        <w:rPr>
          <w:spacing w:val="40"/>
        </w:rPr>
        <w:t> </w:t>
      </w:r>
      <w:r>
        <w:rPr/>
        <w:t>costs, primarily related to employee compensation and benefits and facility exit costs, of approximately $400 million to</w:t>
      </w:r>
    </w:p>
    <w:p>
      <w:pPr>
        <w:pStyle w:val="BodyText"/>
        <w:spacing w:line="249" w:lineRule="auto" w:before="3"/>
        <w:ind w:left="470" w:right="500"/>
      </w:pPr>
      <w:r>
        <w:rPr/>
        <w:t>$500</w:t>
      </w:r>
      <w:r>
        <w:rPr>
          <w:spacing w:val="-3"/>
        </w:rPr>
        <w:t> </w:t>
      </w:r>
      <w:r>
        <w:rPr/>
        <w:t>million</w:t>
      </w:r>
      <w:r>
        <w:rPr>
          <w:spacing w:val="-3"/>
        </w:rPr>
        <w:t> </w:t>
      </w:r>
      <w:r>
        <w:rPr/>
        <w:t>inclusive</w:t>
      </w:r>
      <w:r>
        <w:rPr>
          <w:spacing w:val="-4"/>
        </w:rPr>
        <w:t> </w:t>
      </w:r>
      <w:r>
        <w:rPr/>
        <w:t>of</w:t>
      </w:r>
      <w:r>
        <w:rPr>
          <w:spacing w:val="-3"/>
        </w:rPr>
        <w:t> </w:t>
      </w:r>
      <w:r>
        <w:rPr/>
        <w:t>costs</w:t>
      </w:r>
      <w:r>
        <w:rPr>
          <w:spacing w:val="-4"/>
        </w:rPr>
        <w:t> </w:t>
      </w:r>
      <w:r>
        <w:rPr/>
        <w:t>recognized</w:t>
      </w:r>
      <w:r>
        <w:rPr>
          <w:spacing w:val="-3"/>
        </w:rPr>
        <w:t> </w:t>
      </w:r>
      <w:r>
        <w:rPr/>
        <w:t>through</w:t>
      </w:r>
      <w:r>
        <w:rPr>
          <w:spacing w:val="-3"/>
        </w:rPr>
        <w:t> </w:t>
      </w:r>
      <w:r>
        <w:rPr/>
        <w:t>September</w:t>
      </w:r>
      <w:r>
        <w:rPr>
          <w:spacing w:val="-3"/>
        </w:rPr>
        <w:t> </w:t>
      </w:r>
      <w:r>
        <w:rPr/>
        <w:t>30,</w:t>
      </w:r>
      <w:r>
        <w:rPr>
          <w:spacing w:val="-3"/>
        </w:rPr>
        <w:t> </w:t>
      </w:r>
      <w:r>
        <w:rPr/>
        <w:t>2023.</w:t>
      </w:r>
      <w:r>
        <w:rPr>
          <w:spacing w:val="-3"/>
        </w:rPr>
        <w:t> </w:t>
      </w:r>
      <w:r>
        <w:rPr/>
        <w:t>During</w:t>
      </w:r>
      <w:r>
        <w:rPr>
          <w:spacing w:val="-3"/>
        </w:rPr>
        <w:t> </w:t>
      </w:r>
      <w:r>
        <w:rPr/>
        <w:t>the</w:t>
      </w:r>
      <w:r>
        <w:rPr>
          <w:spacing w:val="-4"/>
        </w:rPr>
        <w:t> </w:t>
      </w:r>
      <w:r>
        <w:rPr/>
        <w:t>three</w:t>
      </w:r>
      <w:r>
        <w:rPr>
          <w:spacing w:val="-4"/>
        </w:rPr>
        <w:t> </w:t>
      </w:r>
      <w:r>
        <w:rPr/>
        <w:t>and</w:t>
      </w:r>
      <w:r>
        <w:rPr>
          <w:spacing w:val="-3"/>
        </w:rPr>
        <w:t> </w:t>
      </w:r>
      <w:r>
        <w:rPr/>
        <w:t>nine</w:t>
      </w:r>
      <w:r>
        <w:rPr>
          <w:spacing w:val="-4"/>
        </w:rPr>
        <w:t> </w:t>
      </w:r>
      <w:r>
        <w:rPr/>
        <w:t>months</w:t>
      </w:r>
      <w:r>
        <w:rPr>
          <w:spacing w:val="-4"/>
        </w:rPr>
        <w:t> </w:t>
      </w:r>
      <w:r>
        <w:rPr/>
        <w:t>ended</w:t>
      </w:r>
      <w:r>
        <w:rPr>
          <w:spacing w:val="-3"/>
        </w:rPr>
        <w:t> </w:t>
      </w:r>
      <w:r>
        <w:rPr/>
        <w:t>September</w:t>
      </w:r>
      <w:r>
        <w:rPr>
          <w:spacing w:val="-3"/>
        </w:rPr>
        <w:t> </w:t>
      </w:r>
      <w:r>
        <w:rPr/>
        <w:t>30, 2023, the Company recognized $279 million of restructuring-related exit costs. The Company anticipates the remaining costs related to position eliminations will be incurred in the fourth quarter of 2023, and costs related to real estate will be incurred in the fourth quarter of 2023 and during 2024. In addition to ASC 420, certain of the costs associated with these activities are accounted for in accordance with ASC 360, ASC 712, ASC 718, and ASC 842.</w:t>
      </w:r>
    </w:p>
    <w:p>
      <w:pPr>
        <w:pStyle w:val="BodyText"/>
        <w:spacing w:before="14"/>
      </w:pPr>
    </w:p>
    <w:p>
      <w:pPr>
        <w:pStyle w:val="BodyText"/>
        <w:spacing w:line="249" w:lineRule="auto"/>
        <w:ind w:left="470" w:right="500"/>
      </w:pPr>
      <w:r>
        <w:rPr/>
        <w:t>The</w:t>
      </w:r>
      <w:r>
        <w:rPr>
          <w:spacing w:val="-3"/>
        </w:rPr>
        <w:t> </w:t>
      </w:r>
      <w:r>
        <w:rPr/>
        <w:t>following</w:t>
      </w:r>
      <w:r>
        <w:rPr>
          <w:spacing w:val="-2"/>
        </w:rPr>
        <w:t> </w:t>
      </w:r>
      <w:r>
        <w:rPr/>
        <w:t>is</w:t>
      </w:r>
      <w:r>
        <w:rPr>
          <w:spacing w:val="-3"/>
        </w:rPr>
        <w:t> </w:t>
      </w:r>
      <w:r>
        <w:rPr/>
        <w:t>a</w:t>
      </w:r>
      <w:r>
        <w:rPr>
          <w:spacing w:val="-3"/>
        </w:rPr>
        <w:t> </w:t>
      </w:r>
      <w:r>
        <w:rPr/>
        <w:t>summary</w:t>
      </w:r>
      <w:r>
        <w:rPr>
          <w:spacing w:val="-2"/>
        </w:rPr>
        <w:t> </w:t>
      </w:r>
      <w:r>
        <w:rPr/>
        <w:t>of</w:t>
      </w:r>
      <w:r>
        <w:rPr>
          <w:spacing w:val="-2"/>
        </w:rPr>
        <w:t> </w:t>
      </w:r>
      <w:r>
        <w:rPr/>
        <w:t>the</w:t>
      </w:r>
      <w:r>
        <w:rPr>
          <w:spacing w:val="-3"/>
        </w:rPr>
        <w:t> </w:t>
      </w:r>
      <w:r>
        <w:rPr/>
        <w:t>restructuring</w:t>
      </w:r>
      <w:r>
        <w:rPr>
          <w:spacing w:val="-2"/>
        </w:rPr>
        <w:t> </w:t>
      </w:r>
      <w:r>
        <w:rPr/>
        <w:t>activity</w:t>
      </w:r>
      <w:r>
        <w:rPr>
          <w:spacing w:val="-2"/>
        </w:rPr>
        <w:t> </w:t>
      </w:r>
      <w:r>
        <w:rPr/>
        <w:t>in</w:t>
      </w:r>
      <w:r>
        <w:rPr>
          <w:spacing w:val="-2"/>
        </w:rPr>
        <w:t> </w:t>
      </w:r>
      <w:r>
        <w:rPr/>
        <w:t>the</w:t>
      </w:r>
      <w:r>
        <w:rPr>
          <w:spacing w:val="-3"/>
        </w:rPr>
        <w:t> </w:t>
      </w:r>
      <w:r>
        <w:rPr/>
        <w:t>Company’s</w:t>
      </w:r>
      <w:r>
        <w:rPr>
          <w:spacing w:val="-3"/>
        </w:rPr>
        <w:t> </w:t>
      </w:r>
      <w:r>
        <w:rPr/>
        <w:t>exit</w:t>
      </w:r>
      <w:r>
        <w:rPr>
          <w:spacing w:val="-3"/>
        </w:rPr>
        <w:t> </w:t>
      </w:r>
      <w:r>
        <w:rPr/>
        <w:t>and</w:t>
      </w:r>
      <w:r>
        <w:rPr>
          <w:spacing w:val="-2"/>
        </w:rPr>
        <w:t> </w:t>
      </w:r>
      <w:r>
        <w:rPr/>
        <w:t>other</w:t>
      </w:r>
      <w:r>
        <w:rPr>
          <w:spacing w:val="-2"/>
        </w:rPr>
        <w:t> </w:t>
      </w:r>
      <w:r>
        <w:rPr/>
        <w:t>related</w:t>
      </w:r>
      <w:r>
        <w:rPr>
          <w:spacing w:val="-2"/>
        </w:rPr>
        <w:t> </w:t>
      </w:r>
      <w:r>
        <w:rPr/>
        <w:t>liabilities</w:t>
      </w:r>
      <w:r>
        <w:rPr>
          <w:spacing w:val="-3"/>
        </w:rPr>
        <w:t> </w:t>
      </w:r>
      <w:r>
        <w:rPr/>
        <w:t>as</w:t>
      </w:r>
      <w:r>
        <w:rPr>
          <w:spacing w:val="-3"/>
        </w:rPr>
        <w:t> </w:t>
      </w:r>
      <w:r>
        <w:rPr/>
        <w:t>of</w:t>
      </w:r>
      <w:r>
        <w:rPr>
          <w:spacing w:val="-2"/>
        </w:rPr>
        <w:t> </w:t>
      </w:r>
      <w:r>
        <w:rPr/>
        <w:t>September</w:t>
      </w:r>
      <w:r>
        <w:rPr>
          <w:spacing w:val="-2"/>
        </w:rPr>
        <w:t> </w:t>
      </w:r>
      <w:r>
        <w:rPr/>
        <w:t>30, 2023 and activity for the nine months ended September 30, 2023:</w:t>
      </w:r>
    </w:p>
    <w:p>
      <w:pPr>
        <w:pStyle w:val="BodyText"/>
        <w:spacing w:before="6" w:after="1"/>
        <w:rPr>
          <w:sz w:val="9"/>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5"/>
        <w:gridCol w:w="1174"/>
        <w:gridCol w:w="1977"/>
        <w:gridCol w:w="185"/>
        <w:gridCol w:w="1977"/>
        <w:gridCol w:w="1347"/>
      </w:tblGrid>
      <w:tr>
        <w:trPr>
          <w:trHeight w:val="605" w:hRule="atLeast"/>
        </w:trPr>
        <w:tc>
          <w:tcPr>
            <w:tcW w:w="4779" w:type="dxa"/>
            <w:gridSpan w:val="2"/>
            <w:tcBorders>
              <w:top w:val="single" w:sz="4" w:space="0" w:color="000000"/>
              <w:bottom w:val="single" w:sz="4" w:space="0" w:color="000000"/>
            </w:tcBorders>
          </w:tcPr>
          <w:p>
            <w:pPr>
              <w:pStyle w:val="TableParagraph"/>
              <w:rPr>
                <w:sz w:val="18"/>
              </w:rPr>
            </w:pPr>
          </w:p>
        </w:tc>
        <w:tc>
          <w:tcPr>
            <w:tcW w:w="1977" w:type="dxa"/>
            <w:tcBorders>
              <w:top w:val="single" w:sz="4" w:space="0" w:color="000000"/>
              <w:bottom w:val="single" w:sz="4" w:space="0" w:color="000000"/>
            </w:tcBorders>
          </w:tcPr>
          <w:p>
            <w:pPr>
              <w:pStyle w:val="TableParagraph"/>
              <w:spacing w:line="208" w:lineRule="auto" w:before="35"/>
              <w:ind w:left="-2" w:right="161"/>
              <w:jc w:val="center"/>
              <w:rPr>
                <w:sz w:val="18"/>
              </w:rPr>
            </w:pPr>
            <w:r>
              <w:rPr>
                <w:sz w:val="18"/>
              </w:rPr>
              <w:t>Investor Services Employee</w:t>
            </w:r>
            <w:r>
              <w:rPr>
                <w:spacing w:val="-12"/>
                <w:sz w:val="18"/>
              </w:rPr>
              <w:t> </w:t>
            </w:r>
            <w:r>
              <w:rPr>
                <w:sz w:val="18"/>
              </w:rPr>
              <w:t>Compensation and Benefits</w:t>
            </w:r>
          </w:p>
        </w:tc>
        <w:tc>
          <w:tcPr>
            <w:tcW w:w="185" w:type="dxa"/>
            <w:tcBorders>
              <w:top w:val="single" w:sz="4" w:space="0" w:color="000000"/>
              <w:bottom w:val="single" w:sz="4" w:space="0" w:color="000000"/>
            </w:tcBorders>
          </w:tcPr>
          <w:p>
            <w:pPr>
              <w:pStyle w:val="TableParagraph"/>
              <w:rPr>
                <w:sz w:val="18"/>
              </w:rPr>
            </w:pPr>
          </w:p>
        </w:tc>
        <w:tc>
          <w:tcPr>
            <w:tcW w:w="1977" w:type="dxa"/>
            <w:tcBorders>
              <w:top w:val="single" w:sz="4" w:space="0" w:color="000000"/>
              <w:bottom w:val="single" w:sz="4" w:space="0" w:color="000000"/>
            </w:tcBorders>
          </w:tcPr>
          <w:p>
            <w:pPr>
              <w:pStyle w:val="TableParagraph"/>
              <w:spacing w:line="208" w:lineRule="auto" w:before="35"/>
              <w:ind w:left="-3" w:right="163" w:hanging="1"/>
              <w:jc w:val="center"/>
              <w:rPr>
                <w:sz w:val="18"/>
              </w:rPr>
            </w:pPr>
            <w:r>
              <w:rPr>
                <w:sz w:val="18"/>
              </w:rPr>
              <w:t>Advisor Services Employee</w:t>
            </w:r>
            <w:r>
              <w:rPr>
                <w:spacing w:val="-12"/>
                <w:sz w:val="18"/>
              </w:rPr>
              <w:t> </w:t>
            </w:r>
            <w:r>
              <w:rPr>
                <w:sz w:val="18"/>
              </w:rPr>
              <w:t>Compensation and Benefits</w:t>
            </w:r>
          </w:p>
        </w:tc>
        <w:tc>
          <w:tcPr>
            <w:tcW w:w="1347" w:type="dxa"/>
            <w:tcBorders>
              <w:top w:val="single" w:sz="4" w:space="0" w:color="000000"/>
              <w:bottom w:val="single" w:sz="4" w:space="0" w:color="000000"/>
            </w:tcBorders>
          </w:tcPr>
          <w:p>
            <w:pPr>
              <w:pStyle w:val="TableParagraph"/>
              <w:spacing w:before="166"/>
              <w:rPr>
                <w:sz w:val="18"/>
              </w:rPr>
            </w:pPr>
          </w:p>
          <w:p>
            <w:pPr>
              <w:pStyle w:val="TableParagraph"/>
              <w:ind w:left="32"/>
              <w:jc w:val="center"/>
              <w:rPr>
                <w:sz w:val="18"/>
              </w:rPr>
            </w:pPr>
            <w:r>
              <w:rPr>
                <w:spacing w:val="-2"/>
                <w:sz w:val="18"/>
              </w:rPr>
              <w:t>Total</w:t>
            </w:r>
          </w:p>
        </w:tc>
      </w:tr>
      <w:tr>
        <w:trPr>
          <w:trHeight w:val="250" w:hRule="atLeast"/>
        </w:trPr>
        <w:tc>
          <w:tcPr>
            <w:tcW w:w="3605" w:type="dxa"/>
            <w:tcBorders>
              <w:top w:val="single" w:sz="4" w:space="0" w:color="000000"/>
              <w:bottom w:val="double" w:sz="8" w:space="0" w:color="000000"/>
            </w:tcBorders>
            <w:shd w:val="clear" w:color="auto" w:fill="CCEDFF"/>
          </w:tcPr>
          <w:p>
            <w:pPr>
              <w:pStyle w:val="TableParagraph"/>
              <w:spacing w:line="187" w:lineRule="exact" w:before="43"/>
              <w:ind w:left="52"/>
              <w:rPr>
                <w:sz w:val="18"/>
              </w:rPr>
            </w:pPr>
            <w:r>
              <w:rPr>
                <w:sz w:val="18"/>
              </w:rPr>
              <w:t>Balance</w:t>
            </w:r>
            <w:r>
              <w:rPr>
                <w:spacing w:val="-1"/>
                <w:sz w:val="18"/>
              </w:rPr>
              <w:t> </w:t>
            </w:r>
            <w:r>
              <w:rPr>
                <w:sz w:val="18"/>
              </w:rPr>
              <w:t>at December 31, 2022</w:t>
            </w:r>
            <w:r>
              <w:rPr>
                <w:spacing w:val="-2"/>
                <w:sz w:val="18"/>
              </w:rPr>
              <w:t> </w:t>
            </w:r>
            <w:r>
              <w:rPr>
                <w:spacing w:val="-5"/>
                <w:sz w:val="18"/>
                <w:vertAlign w:val="superscript"/>
              </w:rPr>
              <w:t>(1)</w:t>
            </w:r>
          </w:p>
        </w:tc>
        <w:tc>
          <w:tcPr>
            <w:tcW w:w="1174" w:type="dxa"/>
            <w:tcBorders>
              <w:top w:val="single" w:sz="4" w:space="0" w:color="000000"/>
              <w:bottom w:val="double" w:sz="8" w:space="0" w:color="000000"/>
            </w:tcBorders>
            <w:shd w:val="clear" w:color="auto" w:fill="CCEDFF"/>
          </w:tcPr>
          <w:p>
            <w:pPr>
              <w:pStyle w:val="TableParagraph"/>
              <w:spacing w:line="187" w:lineRule="exact" w:before="43"/>
              <w:ind w:right="1"/>
              <w:jc w:val="right"/>
              <w:rPr>
                <w:sz w:val="18"/>
              </w:rPr>
            </w:pPr>
            <w:r>
              <w:rPr>
                <w:spacing w:val="-10"/>
                <w:sz w:val="18"/>
              </w:rPr>
              <w:t>$</w:t>
            </w:r>
          </w:p>
        </w:tc>
        <w:tc>
          <w:tcPr>
            <w:tcW w:w="1977" w:type="dxa"/>
            <w:tcBorders>
              <w:top w:val="single" w:sz="4" w:space="0" w:color="000000"/>
              <w:bottom w:val="double" w:sz="8" w:space="0" w:color="000000"/>
            </w:tcBorders>
            <w:shd w:val="clear" w:color="auto" w:fill="CCEDFF"/>
          </w:tcPr>
          <w:p>
            <w:pPr>
              <w:pStyle w:val="TableParagraph"/>
              <w:spacing w:line="187" w:lineRule="exact" w:before="43"/>
              <w:ind w:right="93"/>
              <w:jc w:val="right"/>
              <w:rPr>
                <w:sz w:val="18"/>
              </w:rPr>
            </w:pPr>
            <w:r>
              <w:rPr>
                <w:spacing w:val="-10"/>
                <w:sz w:val="18"/>
              </w:rPr>
              <w:t>—</w:t>
            </w:r>
          </w:p>
        </w:tc>
        <w:tc>
          <w:tcPr>
            <w:tcW w:w="185" w:type="dxa"/>
            <w:tcBorders>
              <w:top w:val="single" w:sz="4" w:space="0" w:color="000000"/>
              <w:bottom w:val="double" w:sz="8" w:space="0" w:color="000000"/>
            </w:tcBorders>
            <w:shd w:val="clear" w:color="auto" w:fill="CCEDFF"/>
          </w:tcPr>
          <w:p>
            <w:pPr>
              <w:pStyle w:val="TableParagraph"/>
              <w:spacing w:line="187" w:lineRule="exact" w:before="43"/>
              <w:ind w:left="88"/>
              <w:jc w:val="center"/>
              <w:rPr>
                <w:sz w:val="18"/>
              </w:rPr>
            </w:pPr>
            <w:r>
              <w:rPr>
                <w:spacing w:val="-10"/>
                <w:sz w:val="18"/>
              </w:rPr>
              <w:t>$</w:t>
            </w:r>
          </w:p>
        </w:tc>
        <w:tc>
          <w:tcPr>
            <w:tcW w:w="1977" w:type="dxa"/>
            <w:tcBorders>
              <w:top w:val="single" w:sz="4" w:space="0" w:color="000000"/>
              <w:bottom w:val="double" w:sz="8" w:space="0" w:color="000000"/>
            </w:tcBorders>
            <w:shd w:val="clear" w:color="auto" w:fill="CCEDFF"/>
          </w:tcPr>
          <w:p>
            <w:pPr>
              <w:pStyle w:val="TableParagraph"/>
              <w:spacing w:line="187" w:lineRule="exact" w:before="43"/>
              <w:ind w:right="95"/>
              <w:jc w:val="right"/>
              <w:rPr>
                <w:sz w:val="18"/>
              </w:rPr>
            </w:pPr>
            <w:r>
              <w:rPr>
                <w:spacing w:val="-10"/>
                <w:sz w:val="18"/>
              </w:rPr>
              <w:t>—</w:t>
            </w:r>
          </w:p>
        </w:tc>
        <w:tc>
          <w:tcPr>
            <w:tcW w:w="1347" w:type="dxa"/>
            <w:tcBorders>
              <w:top w:val="single" w:sz="4" w:space="0" w:color="000000"/>
              <w:bottom w:val="double" w:sz="8" w:space="0" w:color="000000"/>
            </w:tcBorders>
            <w:shd w:val="clear" w:color="auto" w:fill="CCEDFF"/>
          </w:tcPr>
          <w:p>
            <w:pPr>
              <w:pStyle w:val="TableParagraph"/>
              <w:tabs>
                <w:tab w:pos="997" w:val="left" w:leader="none"/>
              </w:tabs>
              <w:spacing w:line="187" w:lineRule="exact" w:before="43"/>
              <w:ind w:right="77"/>
              <w:jc w:val="right"/>
              <w:rPr>
                <w:sz w:val="18"/>
              </w:rPr>
            </w:pPr>
            <w:r>
              <w:rPr>
                <w:spacing w:val="-10"/>
                <w:sz w:val="18"/>
              </w:rPr>
              <w:t>$</w:t>
            </w:r>
            <w:r>
              <w:rPr>
                <w:sz w:val="18"/>
              </w:rPr>
              <w:tab/>
            </w:r>
            <w:r>
              <w:rPr>
                <w:spacing w:val="-10"/>
                <w:sz w:val="18"/>
              </w:rPr>
              <w:t>—</w:t>
            </w:r>
          </w:p>
        </w:tc>
      </w:tr>
      <w:tr>
        <w:trPr>
          <w:trHeight w:val="255" w:hRule="atLeast"/>
        </w:trPr>
        <w:tc>
          <w:tcPr>
            <w:tcW w:w="3605" w:type="dxa"/>
            <w:tcBorders>
              <w:top w:val="double" w:sz="8" w:space="0" w:color="000000"/>
            </w:tcBorders>
          </w:tcPr>
          <w:p>
            <w:pPr>
              <w:pStyle w:val="TableParagraph"/>
              <w:spacing w:before="18"/>
              <w:ind w:left="52"/>
              <w:rPr>
                <w:sz w:val="18"/>
              </w:rPr>
            </w:pPr>
            <w:r>
              <w:rPr>
                <w:sz w:val="18"/>
              </w:rPr>
              <w:t>Amounts</w:t>
            </w:r>
            <w:r>
              <w:rPr>
                <w:spacing w:val="-2"/>
                <w:sz w:val="18"/>
              </w:rPr>
              <w:t> </w:t>
            </w:r>
            <w:r>
              <w:rPr>
                <w:sz w:val="18"/>
              </w:rPr>
              <w:t>recognized</w:t>
            </w:r>
            <w:r>
              <w:rPr>
                <w:spacing w:val="-1"/>
                <w:sz w:val="18"/>
              </w:rPr>
              <w:t> </w:t>
            </w:r>
            <w:r>
              <w:rPr>
                <w:sz w:val="18"/>
              </w:rPr>
              <w:t>in expense</w:t>
            </w:r>
            <w:r>
              <w:rPr>
                <w:spacing w:val="-18"/>
                <w:sz w:val="18"/>
              </w:rPr>
              <w:t> </w:t>
            </w:r>
            <w:r>
              <w:rPr>
                <w:spacing w:val="-5"/>
                <w:sz w:val="18"/>
                <w:vertAlign w:val="superscript"/>
              </w:rPr>
              <w:t>(2)</w:t>
            </w:r>
          </w:p>
        </w:tc>
        <w:tc>
          <w:tcPr>
            <w:tcW w:w="1174" w:type="dxa"/>
            <w:tcBorders>
              <w:top w:val="double" w:sz="8" w:space="0" w:color="000000"/>
            </w:tcBorders>
          </w:tcPr>
          <w:p>
            <w:pPr>
              <w:pStyle w:val="TableParagraph"/>
              <w:rPr>
                <w:sz w:val="18"/>
              </w:rPr>
            </w:pPr>
          </w:p>
        </w:tc>
        <w:tc>
          <w:tcPr>
            <w:tcW w:w="1977" w:type="dxa"/>
            <w:tcBorders>
              <w:top w:val="double" w:sz="8" w:space="0" w:color="000000"/>
            </w:tcBorders>
          </w:tcPr>
          <w:p>
            <w:pPr>
              <w:pStyle w:val="TableParagraph"/>
              <w:spacing w:before="18"/>
              <w:ind w:right="93"/>
              <w:jc w:val="right"/>
              <w:rPr>
                <w:sz w:val="18"/>
              </w:rPr>
            </w:pPr>
            <w:r>
              <w:rPr>
                <w:spacing w:val="-5"/>
                <w:sz w:val="18"/>
              </w:rPr>
              <w:t>202</w:t>
            </w:r>
          </w:p>
        </w:tc>
        <w:tc>
          <w:tcPr>
            <w:tcW w:w="185" w:type="dxa"/>
            <w:tcBorders>
              <w:top w:val="double" w:sz="8" w:space="0" w:color="000000"/>
            </w:tcBorders>
          </w:tcPr>
          <w:p>
            <w:pPr>
              <w:pStyle w:val="TableParagraph"/>
              <w:rPr>
                <w:sz w:val="18"/>
              </w:rPr>
            </w:pPr>
          </w:p>
        </w:tc>
        <w:tc>
          <w:tcPr>
            <w:tcW w:w="1977" w:type="dxa"/>
            <w:tcBorders>
              <w:top w:val="double" w:sz="8" w:space="0" w:color="000000"/>
            </w:tcBorders>
          </w:tcPr>
          <w:p>
            <w:pPr>
              <w:pStyle w:val="TableParagraph"/>
              <w:spacing w:before="18"/>
              <w:ind w:right="95"/>
              <w:jc w:val="right"/>
              <w:rPr>
                <w:sz w:val="18"/>
              </w:rPr>
            </w:pPr>
            <w:r>
              <w:rPr>
                <w:spacing w:val="-5"/>
                <w:sz w:val="18"/>
              </w:rPr>
              <w:t>74</w:t>
            </w:r>
          </w:p>
        </w:tc>
        <w:tc>
          <w:tcPr>
            <w:tcW w:w="1347" w:type="dxa"/>
            <w:tcBorders>
              <w:top w:val="double" w:sz="8" w:space="0" w:color="000000"/>
            </w:tcBorders>
          </w:tcPr>
          <w:p>
            <w:pPr>
              <w:pStyle w:val="TableParagraph"/>
              <w:spacing w:before="18"/>
              <w:ind w:right="77"/>
              <w:jc w:val="right"/>
              <w:rPr>
                <w:sz w:val="18"/>
              </w:rPr>
            </w:pPr>
            <w:r>
              <w:rPr>
                <w:spacing w:val="-5"/>
                <w:sz w:val="18"/>
              </w:rPr>
              <w:t>276</w:t>
            </w:r>
          </w:p>
        </w:tc>
      </w:tr>
      <w:tr>
        <w:trPr>
          <w:trHeight w:val="280" w:hRule="atLeast"/>
        </w:trPr>
        <w:tc>
          <w:tcPr>
            <w:tcW w:w="3605" w:type="dxa"/>
            <w:tcBorders>
              <w:bottom w:val="single" w:sz="4" w:space="0" w:color="000000"/>
            </w:tcBorders>
            <w:shd w:val="clear" w:color="auto" w:fill="CCEDFF"/>
          </w:tcPr>
          <w:p>
            <w:pPr>
              <w:pStyle w:val="TableParagraph"/>
              <w:spacing w:before="48"/>
              <w:ind w:left="52"/>
              <w:rPr>
                <w:sz w:val="18"/>
              </w:rPr>
            </w:pPr>
            <w:r>
              <w:rPr>
                <w:sz w:val="18"/>
              </w:rPr>
              <w:t>Costs</w:t>
            </w:r>
            <w:r>
              <w:rPr>
                <w:spacing w:val="-2"/>
                <w:sz w:val="18"/>
              </w:rPr>
              <w:t> </w:t>
            </w:r>
            <w:r>
              <w:rPr>
                <w:sz w:val="18"/>
              </w:rPr>
              <w:t>paid</w:t>
            </w:r>
            <w:r>
              <w:rPr>
                <w:spacing w:val="-1"/>
                <w:sz w:val="18"/>
              </w:rPr>
              <w:t> </w:t>
            </w:r>
            <w:r>
              <w:rPr>
                <w:sz w:val="18"/>
              </w:rPr>
              <w:t>or</w:t>
            </w:r>
            <w:r>
              <w:rPr>
                <w:spacing w:val="-1"/>
                <w:sz w:val="18"/>
              </w:rPr>
              <w:t> </w:t>
            </w:r>
            <w:r>
              <w:rPr>
                <w:sz w:val="18"/>
              </w:rPr>
              <w:t>otherwise </w:t>
            </w:r>
            <w:r>
              <w:rPr>
                <w:spacing w:val="-2"/>
                <w:sz w:val="18"/>
              </w:rPr>
              <w:t>settled</w:t>
            </w:r>
          </w:p>
        </w:tc>
        <w:tc>
          <w:tcPr>
            <w:tcW w:w="1174" w:type="dxa"/>
            <w:tcBorders>
              <w:bottom w:val="single" w:sz="4" w:space="0" w:color="000000"/>
            </w:tcBorders>
            <w:shd w:val="clear" w:color="auto" w:fill="CCEDFF"/>
          </w:tcPr>
          <w:p>
            <w:pPr>
              <w:pStyle w:val="TableParagraph"/>
              <w:rPr>
                <w:sz w:val="18"/>
              </w:rPr>
            </w:pPr>
          </w:p>
        </w:tc>
        <w:tc>
          <w:tcPr>
            <w:tcW w:w="1977" w:type="dxa"/>
            <w:tcBorders>
              <w:bottom w:val="single" w:sz="4" w:space="0" w:color="000000"/>
            </w:tcBorders>
            <w:shd w:val="clear" w:color="auto" w:fill="CCEDFF"/>
          </w:tcPr>
          <w:p>
            <w:pPr>
              <w:pStyle w:val="TableParagraph"/>
              <w:spacing w:before="48"/>
              <w:ind w:right="93"/>
              <w:jc w:val="right"/>
              <w:rPr>
                <w:sz w:val="18"/>
              </w:rPr>
            </w:pPr>
            <w:r>
              <w:rPr>
                <w:spacing w:val="-10"/>
                <w:sz w:val="18"/>
              </w:rPr>
              <w:t>—</w:t>
            </w:r>
          </w:p>
        </w:tc>
        <w:tc>
          <w:tcPr>
            <w:tcW w:w="185" w:type="dxa"/>
            <w:tcBorders>
              <w:bottom w:val="single" w:sz="4" w:space="0" w:color="000000"/>
            </w:tcBorders>
            <w:shd w:val="clear" w:color="auto" w:fill="CCEDFF"/>
          </w:tcPr>
          <w:p>
            <w:pPr>
              <w:pStyle w:val="TableParagraph"/>
              <w:rPr>
                <w:sz w:val="18"/>
              </w:rPr>
            </w:pPr>
          </w:p>
        </w:tc>
        <w:tc>
          <w:tcPr>
            <w:tcW w:w="1977" w:type="dxa"/>
            <w:tcBorders>
              <w:bottom w:val="single" w:sz="4" w:space="0" w:color="000000"/>
            </w:tcBorders>
            <w:shd w:val="clear" w:color="auto" w:fill="CCEDFF"/>
          </w:tcPr>
          <w:p>
            <w:pPr>
              <w:pStyle w:val="TableParagraph"/>
              <w:spacing w:before="48"/>
              <w:ind w:right="95"/>
              <w:jc w:val="right"/>
              <w:rPr>
                <w:sz w:val="18"/>
              </w:rPr>
            </w:pPr>
            <w:r>
              <w:rPr>
                <w:spacing w:val="-10"/>
                <w:sz w:val="18"/>
              </w:rPr>
              <w:t>—</w:t>
            </w:r>
          </w:p>
        </w:tc>
        <w:tc>
          <w:tcPr>
            <w:tcW w:w="1347" w:type="dxa"/>
            <w:tcBorders>
              <w:bottom w:val="single" w:sz="4" w:space="0" w:color="000000"/>
            </w:tcBorders>
            <w:shd w:val="clear" w:color="auto" w:fill="CCEDFF"/>
          </w:tcPr>
          <w:p>
            <w:pPr>
              <w:pStyle w:val="TableParagraph"/>
              <w:spacing w:before="48"/>
              <w:ind w:right="77"/>
              <w:jc w:val="right"/>
              <w:rPr>
                <w:sz w:val="18"/>
              </w:rPr>
            </w:pPr>
            <w:r>
              <w:rPr>
                <w:spacing w:val="-10"/>
                <w:sz w:val="18"/>
              </w:rPr>
              <w:t>—</w:t>
            </w:r>
          </w:p>
        </w:tc>
      </w:tr>
      <w:tr>
        <w:trPr>
          <w:trHeight w:val="250" w:hRule="atLeast"/>
        </w:trPr>
        <w:tc>
          <w:tcPr>
            <w:tcW w:w="3605" w:type="dxa"/>
            <w:tcBorders>
              <w:top w:val="single" w:sz="4" w:space="0" w:color="000000"/>
              <w:bottom w:val="double" w:sz="8" w:space="0" w:color="000000"/>
            </w:tcBorders>
          </w:tcPr>
          <w:p>
            <w:pPr>
              <w:pStyle w:val="TableParagraph"/>
              <w:spacing w:line="187" w:lineRule="exact" w:before="43"/>
              <w:ind w:left="52"/>
              <w:rPr>
                <w:sz w:val="18"/>
              </w:rPr>
            </w:pPr>
            <w:r>
              <w:rPr>
                <w:sz w:val="18"/>
              </w:rPr>
              <w:t>Balance</w:t>
            </w:r>
            <w:r>
              <w:rPr>
                <w:spacing w:val="-1"/>
                <w:sz w:val="18"/>
              </w:rPr>
              <w:t> </w:t>
            </w:r>
            <w:r>
              <w:rPr>
                <w:sz w:val="18"/>
              </w:rPr>
              <w:t>at September 30, 2023</w:t>
            </w:r>
            <w:r>
              <w:rPr>
                <w:spacing w:val="-2"/>
                <w:sz w:val="18"/>
              </w:rPr>
              <w:t> </w:t>
            </w:r>
            <w:r>
              <w:rPr>
                <w:spacing w:val="-5"/>
                <w:sz w:val="18"/>
                <w:vertAlign w:val="superscript"/>
              </w:rPr>
              <w:t>(1)</w:t>
            </w:r>
          </w:p>
        </w:tc>
        <w:tc>
          <w:tcPr>
            <w:tcW w:w="1174" w:type="dxa"/>
            <w:tcBorders>
              <w:top w:val="single" w:sz="4" w:space="0" w:color="000000"/>
              <w:bottom w:val="double" w:sz="8" w:space="0" w:color="000000"/>
            </w:tcBorders>
          </w:tcPr>
          <w:p>
            <w:pPr>
              <w:pStyle w:val="TableParagraph"/>
              <w:spacing w:line="187" w:lineRule="exact" w:before="43"/>
              <w:ind w:right="1"/>
              <w:jc w:val="right"/>
              <w:rPr>
                <w:sz w:val="18"/>
              </w:rPr>
            </w:pPr>
            <w:r>
              <w:rPr>
                <w:spacing w:val="-10"/>
                <w:sz w:val="18"/>
              </w:rPr>
              <w:t>$</w:t>
            </w:r>
          </w:p>
        </w:tc>
        <w:tc>
          <w:tcPr>
            <w:tcW w:w="1977" w:type="dxa"/>
            <w:tcBorders>
              <w:top w:val="single" w:sz="4" w:space="0" w:color="000000"/>
              <w:bottom w:val="double" w:sz="8" w:space="0" w:color="000000"/>
            </w:tcBorders>
          </w:tcPr>
          <w:p>
            <w:pPr>
              <w:pStyle w:val="TableParagraph"/>
              <w:spacing w:line="187" w:lineRule="exact" w:before="43"/>
              <w:ind w:right="93"/>
              <w:jc w:val="right"/>
              <w:rPr>
                <w:sz w:val="18"/>
              </w:rPr>
            </w:pPr>
            <w:r>
              <w:rPr>
                <w:spacing w:val="-5"/>
                <w:sz w:val="18"/>
              </w:rPr>
              <w:t>202</w:t>
            </w:r>
          </w:p>
        </w:tc>
        <w:tc>
          <w:tcPr>
            <w:tcW w:w="185" w:type="dxa"/>
            <w:tcBorders>
              <w:top w:val="single" w:sz="4" w:space="0" w:color="000000"/>
              <w:bottom w:val="double" w:sz="8" w:space="0" w:color="000000"/>
            </w:tcBorders>
          </w:tcPr>
          <w:p>
            <w:pPr>
              <w:pStyle w:val="TableParagraph"/>
              <w:spacing w:line="187" w:lineRule="exact" w:before="43"/>
              <w:ind w:left="88"/>
              <w:jc w:val="center"/>
              <w:rPr>
                <w:sz w:val="18"/>
              </w:rPr>
            </w:pPr>
            <w:r>
              <w:rPr>
                <w:spacing w:val="-10"/>
                <w:sz w:val="18"/>
              </w:rPr>
              <w:t>$</w:t>
            </w:r>
          </w:p>
        </w:tc>
        <w:tc>
          <w:tcPr>
            <w:tcW w:w="1977" w:type="dxa"/>
            <w:tcBorders>
              <w:top w:val="single" w:sz="4" w:space="0" w:color="000000"/>
              <w:bottom w:val="double" w:sz="8" w:space="0" w:color="000000"/>
            </w:tcBorders>
          </w:tcPr>
          <w:p>
            <w:pPr>
              <w:pStyle w:val="TableParagraph"/>
              <w:spacing w:line="187" w:lineRule="exact" w:before="43"/>
              <w:ind w:right="95"/>
              <w:jc w:val="right"/>
              <w:rPr>
                <w:sz w:val="18"/>
              </w:rPr>
            </w:pPr>
            <w:r>
              <w:rPr>
                <w:spacing w:val="-5"/>
                <w:sz w:val="18"/>
              </w:rPr>
              <w:t>74</w:t>
            </w:r>
          </w:p>
        </w:tc>
        <w:tc>
          <w:tcPr>
            <w:tcW w:w="1347" w:type="dxa"/>
            <w:tcBorders>
              <w:top w:val="single" w:sz="4" w:space="0" w:color="000000"/>
              <w:bottom w:val="double" w:sz="8" w:space="0" w:color="000000"/>
            </w:tcBorders>
          </w:tcPr>
          <w:p>
            <w:pPr>
              <w:pStyle w:val="TableParagraph"/>
              <w:tabs>
                <w:tab w:pos="907" w:val="left" w:leader="none"/>
              </w:tabs>
              <w:spacing w:line="187" w:lineRule="exact" w:before="43"/>
              <w:ind w:right="77"/>
              <w:jc w:val="right"/>
              <w:rPr>
                <w:sz w:val="18"/>
              </w:rPr>
            </w:pPr>
            <w:r>
              <w:rPr>
                <w:spacing w:val="-10"/>
                <w:sz w:val="18"/>
              </w:rPr>
              <w:t>$</w:t>
            </w:r>
            <w:r>
              <w:rPr>
                <w:sz w:val="18"/>
              </w:rPr>
              <w:tab/>
            </w:r>
            <w:r>
              <w:rPr>
                <w:spacing w:val="-5"/>
                <w:sz w:val="18"/>
              </w:rPr>
              <w:t>276</w:t>
            </w:r>
          </w:p>
        </w:tc>
      </w:tr>
    </w:tbl>
    <w:p>
      <w:pPr>
        <w:spacing w:before="26"/>
        <w:ind w:left="470" w:right="0" w:firstLine="0"/>
        <w:jc w:val="left"/>
        <w:rPr>
          <w:sz w:val="16"/>
        </w:rPr>
      </w:pPr>
      <w:r>
        <w:rPr>
          <w:sz w:val="16"/>
          <w:vertAlign w:val="superscript"/>
        </w:rPr>
        <w:t>(1)</w:t>
      </w:r>
      <w:r>
        <w:rPr>
          <w:spacing w:val="-1"/>
          <w:sz w:val="16"/>
          <w:vertAlign w:val="baseline"/>
        </w:rPr>
        <w:t> </w:t>
      </w:r>
      <w:r>
        <w:rPr>
          <w:sz w:val="16"/>
          <w:vertAlign w:val="baseline"/>
        </w:rPr>
        <w:t>Included in</w:t>
      </w:r>
      <w:r>
        <w:rPr>
          <w:spacing w:val="1"/>
          <w:sz w:val="16"/>
          <w:vertAlign w:val="baseline"/>
        </w:rPr>
        <w:t> </w:t>
      </w:r>
      <w:r>
        <w:rPr>
          <w:sz w:val="16"/>
          <w:vertAlign w:val="baseline"/>
        </w:rPr>
        <w:t>accrued expenses and other</w:t>
      </w:r>
      <w:r>
        <w:rPr>
          <w:spacing w:val="1"/>
          <w:sz w:val="16"/>
          <w:vertAlign w:val="baseline"/>
        </w:rPr>
        <w:t> </w:t>
      </w:r>
      <w:r>
        <w:rPr>
          <w:sz w:val="16"/>
          <w:vertAlign w:val="baseline"/>
        </w:rPr>
        <w:t>liabilities</w:t>
      </w:r>
      <w:r>
        <w:rPr>
          <w:spacing w:val="-1"/>
          <w:sz w:val="16"/>
          <w:vertAlign w:val="baseline"/>
        </w:rPr>
        <w:t> </w:t>
      </w:r>
      <w:r>
        <w:rPr>
          <w:sz w:val="16"/>
          <w:vertAlign w:val="baseline"/>
        </w:rPr>
        <w:t>on</w:t>
      </w:r>
      <w:r>
        <w:rPr>
          <w:spacing w:val="1"/>
          <w:sz w:val="16"/>
          <w:vertAlign w:val="baseline"/>
        </w:rPr>
        <w:t> </w:t>
      </w:r>
      <w:r>
        <w:rPr>
          <w:sz w:val="16"/>
          <w:vertAlign w:val="baseline"/>
        </w:rPr>
        <w:t>the condensed</w:t>
      </w:r>
      <w:r>
        <w:rPr>
          <w:spacing w:val="1"/>
          <w:sz w:val="16"/>
          <w:vertAlign w:val="baseline"/>
        </w:rPr>
        <w:t> </w:t>
      </w:r>
      <w:r>
        <w:rPr>
          <w:sz w:val="16"/>
          <w:vertAlign w:val="baseline"/>
        </w:rPr>
        <w:t>consolidated balance</w:t>
      </w:r>
      <w:r>
        <w:rPr>
          <w:spacing w:val="1"/>
          <w:sz w:val="16"/>
          <w:vertAlign w:val="baseline"/>
        </w:rPr>
        <w:t> </w:t>
      </w:r>
      <w:r>
        <w:rPr>
          <w:spacing w:val="-2"/>
          <w:sz w:val="16"/>
          <w:vertAlign w:val="baseline"/>
        </w:rPr>
        <w:t>sheets.</w:t>
      </w:r>
    </w:p>
    <w:p>
      <w:pPr>
        <w:spacing w:line="249" w:lineRule="auto" w:before="8"/>
        <w:ind w:left="650" w:right="500" w:hanging="180"/>
        <w:jc w:val="left"/>
        <w:rPr>
          <w:sz w:val="16"/>
        </w:rPr>
      </w:pPr>
      <w:r>
        <w:rPr>
          <w:sz w:val="16"/>
          <w:vertAlign w:val="superscript"/>
        </w:rPr>
        <w:t>(2)</w:t>
      </w:r>
      <w:r>
        <w:rPr>
          <w:spacing w:val="-3"/>
          <w:sz w:val="16"/>
          <w:vertAlign w:val="baseline"/>
        </w:rPr>
        <w:t> </w:t>
      </w:r>
      <w:r>
        <w:rPr>
          <w:sz w:val="16"/>
          <w:vertAlign w:val="baseline"/>
        </w:rPr>
        <w:t>Amounts</w:t>
      </w:r>
      <w:r>
        <w:rPr>
          <w:spacing w:val="-3"/>
          <w:sz w:val="16"/>
          <w:vertAlign w:val="baseline"/>
        </w:rPr>
        <w:t> </w:t>
      </w:r>
      <w:r>
        <w:rPr>
          <w:sz w:val="16"/>
          <w:vertAlign w:val="baseline"/>
        </w:rPr>
        <w:t>recognized</w:t>
      </w:r>
      <w:r>
        <w:rPr>
          <w:spacing w:val="-2"/>
          <w:sz w:val="16"/>
          <w:vertAlign w:val="baseline"/>
        </w:rPr>
        <w:t> </w:t>
      </w:r>
      <w:r>
        <w:rPr>
          <w:sz w:val="16"/>
          <w:vertAlign w:val="baseline"/>
        </w:rPr>
        <w:t>in</w:t>
      </w:r>
      <w:r>
        <w:rPr>
          <w:spacing w:val="-2"/>
          <w:sz w:val="16"/>
          <w:vertAlign w:val="baseline"/>
        </w:rPr>
        <w:t> </w:t>
      </w:r>
      <w:r>
        <w:rPr>
          <w:sz w:val="16"/>
          <w:vertAlign w:val="baseline"/>
        </w:rPr>
        <w:t>expense</w:t>
      </w:r>
      <w:r>
        <w:rPr>
          <w:spacing w:val="-2"/>
          <w:sz w:val="16"/>
          <w:vertAlign w:val="baseline"/>
        </w:rPr>
        <w:t> </w:t>
      </w:r>
      <w:r>
        <w:rPr>
          <w:sz w:val="16"/>
          <w:vertAlign w:val="baseline"/>
        </w:rPr>
        <w:t>for</w:t>
      </w:r>
      <w:r>
        <w:rPr>
          <w:spacing w:val="-2"/>
          <w:sz w:val="16"/>
          <w:vertAlign w:val="baseline"/>
        </w:rPr>
        <w:t> </w:t>
      </w:r>
      <w:r>
        <w:rPr>
          <w:sz w:val="16"/>
          <w:vertAlign w:val="baseline"/>
        </w:rPr>
        <w:t>severance</w:t>
      </w:r>
      <w:r>
        <w:rPr>
          <w:spacing w:val="-2"/>
          <w:sz w:val="16"/>
          <w:vertAlign w:val="baseline"/>
        </w:rPr>
        <w:t> </w:t>
      </w:r>
      <w:r>
        <w:rPr>
          <w:sz w:val="16"/>
          <w:vertAlign w:val="baseline"/>
        </w:rPr>
        <w:t>pay</w:t>
      </w:r>
      <w:r>
        <w:rPr>
          <w:spacing w:val="-2"/>
          <w:sz w:val="16"/>
          <w:vertAlign w:val="baseline"/>
        </w:rPr>
        <w:t> </w:t>
      </w:r>
      <w:r>
        <w:rPr>
          <w:sz w:val="16"/>
          <w:vertAlign w:val="baseline"/>
        </w:rPr>
        <w:t>and</w:t>
      </w:r>
      <w:r>
        <w:rPr>
          <w:spacing w:val="-2"/>
          <w:sz w:val="16"/>
          <w:vertAlign w:val="baseline"/>
        </w:rPr>
        <w:t> </w:t>
      </w:r>
      <w:r>
        <w:rPr>
          <w:sz w:val="16"/>
          <w:vertAlign w:val="baseline"/>
        </w:rPr>
        <w:t>other</w:t>
      </w:r>
      <w:r>
        <w:rPr>
          <w:spacing w:val="-2"/>
          <w:sz w:val="16"/>
          <w:vertAlign w:val="baseline"/>
        </w:rPr>
        <w:t> </w:t>
      </w:r>
      <w:r>
        <w:rPr>
          <w:sz w:val="16"/>
          <w:vertAlign w:val="baseline"/>
        </w:rPr>
        <w:t>termination</w:t>
      </w:r>
      <w:r>
        <w:rPr>
          <w:spacing w:val="-2"/>
          <w:sz w:val="16"/>
          <w:vertAlign w:val="baseline"/>
        </w:rPr>
        <w:t> </w:t>
      </w:r>
      <w:r>
        <w:rPr>
          <w:sz w:val="16"/>
          <w:vertAlign w:val="baseline"/>
        </w:rPr>
        <w:t>benefits</w:t>
      </w:r>
      <w:r>
        <w:rPr>
          <w:spacing w:val="-3"/>
          <w:sz w:val="16"/>
          <w:vertAlign w:val="baseline"/>
        </w:rPr>
        <w:t> </w:t>
      </w:r>
      <w:r>
        <w:rPr>
          <w:sz w:val="16"/>
          <w:vertAlign w:val="baseline"/>
        </w:rPr>
        <w:t>are</w:t>
      </w:r>
      <w:r>
        <w:rPr>
          <w:spacing w:val="-2"/>
          <w:sz w:val="16"/>
          <w:vertAlign w:val="baseline"/>
        </w:rPr>
        <w:t> </w:t>
      </w:r>
      <w:r>
        <w:rPr>
          <w:sz w:val="16"/>
          <w:vertAlign w:val="baseline"/>
        </w:rPr>
        <w:t>included</w:t>
      </w:r>
      <w:r>
        <w:rPr>
          <w:spacing w:val="-2"/>
          <w:sz w:val="16"/>
          <w:vertAlign w:val="baseline"/>
        </w:rPr>
        <w:t> </w:t>
      </w:r>
      <w:r>
        <w:rPr>
          <w:sz w:val="16"/>
          <w:vertAlign w:val="baseline"/>
        </w:rPr>
        <w:t>in</w:t>
      </w:r>
      <w:r>
        <w:rPr>
          <w:spacing w:val="-2"/>
          <w:sz w:val="16"/>
          <w:vertAlign w:val="baseline"/>
        </w:rPr>
        <w:t> </w:t>
      </w:r>
      <w:r>
        <w:rPr>
          <w:sz w:val="16"/>
          <w:vertAlign w:val="baseline"/>
        </w:rPr>
        <w:t>compensation</w:t>
      </w:r>
      <w:r>
        <w:rPr>
          <w:spacing w:val="-2"/>
          <w:sz w:val="16"/>
          <w:vertAlign w:val="baseline"/>
        </w:rPr>
        <w:t> </w:t>
      </w:r>
      <w:r>
        <w:rPr>
          <w:sz w:val="16"/>
          <w:vertAlign w:val="baseline"/>
        </w:rPr>
        <w:t>and</w:t>
      </w:r>
      <w:r>
        <w:rPr>
          <w:spacing w:val="-2"/>
          <w:sz w:val="16"/>
          <w:vertAlign w:val="baseline"/>
        </w:rPr>
        <w:t> </w:t>
      </w:r>
      <w:r>
        <w:rPr>
          <w:sz w:val="16"/>
          <w:vertAlign w:val="baseline"/>
        </w:rPr>
        <w:t>benefits</w:t>
      </w:r>
      <w:r>
        <w:rPr>
          <w:spacing w:val="-3"/>
          <w:sz w:val="16"/>
          <w:vertAlign w:val="baseline"/>
        </w:rPr>
        <w:t> </w:t>
      </w:r>
      <w:r>
        <w:rPr>
          <w:sz w:val="16"/>
          <w:vertAlign w:val="baseline"/>
        </w:rPr>
        <w:t>on</w:t>
      </w:r>
      <w:r>
        <w:rPr>
          <w:spacing w:val="-2"/>
          <w:sz w:val="16"/>
          <w:vertAlign w:val="baseline"/>
        </w:rPr>
        <w:t> </w:t>
      </w:r>
      <w:r>
        <w:rPr>
          <w:sz w:val="16"/>
          <w:vertAlign w:val="baseline"/>
        </w:rPr>
        <w:t>the</w:t>
      </w:r>
      <w:r>
        <w:rPr>
          <w:spacing w:val="-2"/>
          <w:sz w:val="16"/>
          <w:vertAlign w:val="baseline"/>
        </w:rPr>
        <w:t> </w:t>
      </w:r>
      <w:r>
        <w:rPr>
          <w:sz w:val="16"/>
          <w:vertAlign w:val="baseline"/>
        </w:rPr>
        <w:t>condensed</w:t>
      </w:r>
      <w:r>
        <w:rPr>
          <w:spacing w:val="-2"/>
          <w:sz w:val="16"/>
          <w:vertAlign w:val="baseline"/>
        </w:rPr>
        <w:t> </w:t>
      </w:r>
      <w:r>
        <w:rPr>
          <w:sz w:val="16"/>
          <w:vertAlign w:val="baseline"/>
        </w:rPr>
        <w:t>consolidated</w:t>
      </w:r>
      <w:r>
        <w:rPr>
          <w:spacing w:val="40"/>
          <w:sz w:val="16"/>
          <w:vertAlign w:val="baseline"/>
        </w:rPr>
        <w:t> </w:t>
      </w:r>
      <w:r>
        <w:rPr>
          <w:sz w:val="16"/>
          <w:vertAlign w:val="baseline"/>
        </w:rPr>
        <w:t>statements of income.</w:t>
      </w:r>
    </w:p>
    <w:p>
      <w:pPr>
        <w:pStyle w:val="BodyText"/>
        <w:rPr>
          <w:sz w:val="16"/>
        </w:rPr>
      </w:pPr>
    </w:p>
    <w:p>
      <w:pPr>
        <w:pStyle w:val="BodyText"/>
        <w:spacing w:line="249" w:lineRule="auto"/>
        <w:ind w:left="470" w:right="1130"/>
      </w:pPr>
      <w:r>
        <w:rPr/>
        <mc:AlternateContent>
          <mc:Choice Requires="wps">
            <w:drawing>
              <wp:anchor distT="0" distB="0" distL="0" distR="0" allowOverlap="1" layoutInCell="1" locked="0" behindDoc="1" simplePos="0" relativeHeight="487619072">
                <wp:simplePos x="0" y="0"/>
                <wp:positionH relativeFrom="page">
                  <wp:posOffset>628650</wp:posOffset>
                </wp:positionH>
                <wp:positionV relativeFrom="paragraph">
                  <wp:posOffset>332323</wp:posOffset>
                </wp:positionV>
                <wp:extent cx="6515100" cy="1044575"/>
                <wp:effectExtent l="0" t="0" r="0" b="0"/>
                <wp:wrapTopAndBottom/>
                <wp:docPr id="527" name="Group 527"/>
                <wp:cNvGraphicFramePr>
                  <a:graphicFrameLocks/>
                </wp:cNvGraphicFramePr>
                <a:graphic>
                  <a:graphicData uri="http://schemas.microsoft.com/office/word/2010/wordprocessingGroup">
                    <wpg:wgp>
                      <wpg:cNvPr id="527" name="Group 527"/>
                      <wpg:cNvGrpSpPr/>
                      <wpg:grpSpPr>
                        <a:xfrm>
                          <a:off x="0" y="0"/>
                          <a:ext cx="6515100" cy="1044575"/>
                          <a:chExt cx="6515100" cy="1044575"/>
                        </a:xfrm>
                      </wpg:grpSpPr>
                      <wps:wsp>
                        <wps:cNvPr id="528" name="Graphic 528"/>
                        <wps:cNvSpPr/>
                        <wps:spPr>
                          <a:xfrm>
                            <a:off x="0" y="555624"/>
                            <a:ext cx="6515100" cy="485775"/>
                          </a:xfrm>
                          <a:custGeom>
                            <a:avLst/>
                            <a:gdLst/>
                            <a:ahLst/>
                            <a:cxnLst/>
                            <a:rect l="l" t="t" r="r" b="b"/>
                            <a:pathLst>
                              <a:path w="6515100" h="485775">
                                <a:moveTo>
                                  <a:pt x="6515100" y="323850"/>
                                </a:moveTo>
                                <a:lnTo>
                                  <a:pt x="0" y="323850"/>
                                </a:lnTo>
                                <a:lnTo>
                                  <a:pt x="0" y="485775"/>
                                </a:lnTo>
                                <a:lnTo>
                                  <a:pt x="6515100" y="485775"/>
                                </a:lnTo>
                                <a:lnTo>
                                  <a:pt x="6515100" y="323850"/>
                                </a:lnTo>
                                <a:close/>
                              </a:path>
                              <a:path w="6515100" h="485775">
                                <a:moveTo>
                                  <a:pt x="6515100" y="0"/>
                                </a:moveTo>
                                <a:lnTo>
                                  <a:pt x="0" y="0"/>
                                </a:lnTo>
                                <a:lnTo>
                                  <a:pt x="0" y="161925"/>
                                </a:lnTo>
                                <a:lnTo>
                                  <a:pt x="6515100" y="161925"/>
                                </a:lnTo>
                                <a:lnTo>
                                  <a:pt x="6515100" y="0"/>
                                </a:lnTo>
                                <a:close/>
                              </a:path>
                            </a:pathLst>
                          </a:custGeom>
                          <a:solidFill>
                            <a:srgbClr val="CCEDFF"/>
                          </a:solidFill>
                        </wps:spPr>
                        <wps:bodyPr wrap="square" lIns="0" tIns="0" rIns="0" bIns="0" rtlCol="0">
                          <a:prstTxWarp prst="textNoShape">
                            <a:avLst/>
                          </a:prstTxWarp>
                          <a:noAutofit/>
                        </wps:bodyPr>
                      </wps:wsp>
                      <wps:wsp>
                        <wps:cNvPr id="529" name="Graphic 529"/>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530" name="Graphic 530"/>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531" name="Graphic 531"/>
                        <wps:cNvSpPr/>
                        <wps:spPr>
                          <a:xfrm>
                            <a:off x="1504950" y="165100"/>
                            <a:ext cx="2238375" cy="1270"/>
                          </a:xfrm>
                          <a:custGeom>
                            <a:avLst/>
                            <a:gdLst/>
                            <a:ahLst/>
                            <a:cxnLst/>
                            <a:rect l="l" t="t" r="r" b="b"/>
                            <a:pathLst>
                              <a:path w="2238375" h="0">
                                <a:moveTo>
                                  <a:pt x="2238375" y="0"/>
                                </a:moveTo>
                                <a:lnTo>
                                  <a:pt x="0" y="0"/>
                                </a:lnTo>
                              </a:path>
                            </a:pathLst>
                          </a:custGeom>
                          <a:solidFill>
                            <a:srgbClr val="000000"/>
                          </a:solidFill>
                        </wps:spPr>
                        <wps:bodyPr wrap="square" lIns="0" tIns="0" rIns="0" bIns="0" rtlCol="0">
                          <a:prstTxWarp prst="textNoShape">
                            <a:avLst/>
                          </a:prstTxWarp>
                          <a:noAutofit/>
                        </wps:bodyPr>
                      </wps:wsp>
                      <wps:wsp>
                        <wps:cNvPr id="532" name="Graphic 532"/>
                        <wps:cNvSpPr/>
                        <wps:spPr>
                          <a:xfrm>
                            <a:off x="1504950" y="165100"/>
                            <a:ext cx="2238375" cy="1270"/>
                          </a:xfrm>
                          <a:custGeom>
                            <a:avLst/>
                            <a:gdLst/>
                            <a:ahLst/>
                            <a:cxnLst/>
                            <a:rect l="l" t="t" r="r" b="b"/>
                            <a:pathLst>
                              <a:path w="2238375" h="0">
                                <a:moveTo>
                                  <a:pt x="0" y="0"/>
                                </a:moveTo>
                                <a:lnTo>
                                  <a:pt x="2238375" y="0"/>
                                </a:lnTo>
                              </a:path>
                            </a:pathLst>
                          </a:custGeom>
                          <a:ln w="6350">
                            <a:solidFill>
                              <a:srgbClr val="000000"/>
                            </a:solidFill>
                            <a:prstDash val="solid"/>
                          </a:ln>
                        </wps:spPr>
                        <wps:bodyPr wrap="square" lIns="0" tIns="0" rIns="0" bIns="0" rtlCol="0">
                          <a:prstTxWarp prst="textNoShape">
                            <a:avLst/>
                          </a:prstTxWarp>
                          <a:noAutofit/>
                        </wps:bodyPr>
                      </wps:wsp>
                      <wps:wsp>
                        <wps:cNvPr id="533" name="Graphic 533"/>
                        <wps:cNvSpPr/>
                        <wps:spPr>
                          <a:xfrm>
                            <a:off x="3790950" y="165100"/>
                            <a:ext cx="2238375" cy="1270"/>
                          </a:xfrm>
                          <a:custGeom>
                            <a:avLst/>
                            <a:gdLst/>
                            <a:ahLst/>
                            <a:cxnLst/>
                            <a:rect l="l" t="t" r="r" b="b"/>
                            <a:pathLst>
                              <a:path w="2238375" h="0">
                                <a:moveTo>
                                  <a:pt x="2238375" y="0"/>
                                </a:moveTo>
                                <a:lnTo>
                                  <a:pt x="0" y="0"/>
                                </a:lnTo>
                              </a:path>
                            </a:pathLst>
                          </a:custGeom>
                          <a:solidFill>
                            <a:srgbClr val="000000"/>
                          </a:solidFill>
                        </wps:spPr>
                        <wps:bodyPr wrap="square" lIns="0" tIns="0" rIns="0" bIns="0" rtlCol="0">
                          <a:prstTxWarp prst="textNoShape">
                            <a:avLst/>
                          </a:prstTxWarp>
                          <a:noAutofit/>
                        </wps:bodyPr>
                      </wps:wsp>
                      <wps:wsp>
                        <wps:cNvPr id="534" name="Graphic 534"/>
                        <wps:cNvSpPr/>
                        <wps:spPr>
                          <a:xfrm>
                            <a:off x="3790950" y="165100"/>
                            <a:ext cx="2238375" cy="1270"/>
                          </a:xfrm>
                          <a:custGeom>
                            <a:avLst/>
                            <a:gdLst/>
                            <a:ahLst/>
                            <a:cxnLst/>
                            <a:rect l="l" t="t" r="r" b="b"/>
                            <a:pathLst>
                              <a:path w="2238375" h="0">
                                <a:moveTo>
                                  <a:pt x="0" y="0"/>
                                </a:moveTo>
                                <a:lnTo>
                                  <a:pt x="2238375" y="0"/>
                                </a:lnTo>
                              </a:path>
                            </a:pathLst>
                          </a:custGeom>
                          <a:ln w="6350">
                            <a:solidFill>
                              <a:srgbClr val="000000"/>
                            </a:solidFill>
                            <a:prstDash val="solid"/>
                          </a:ln>
                        </wps:spPr>
                        <wps:bodyPr wrap="square" lIns="0" tIns="0" rIns="0" bIns="0" rtlCol="0">
                          <a:prstTxWarp prst="textNoShape">
                            <a:avLst/>
                          </a:prstTxWarp>
                          <a:noAutofit/>
                        </wps:bodyPr>
                      </wps:wsp>
                      <wps:wsp>
                        <wps:cNvPr id="535" name="Graphic 535"/>
                        <wps:cNvSpPr/>
                        <wps:spPr>
                          <a:xfrm>
                            <a:off x="0" y="55562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536" name="Graphic 536"/>
                        <wps:cNvSpPr/>
                        <wps:spPr>
                          <a:xfrm>
                            <a:off x="0" y="55562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537" name="Graphic 537"/>
                        <wps:cNvSpPr/>
                        <wps:spPr>
                          <a:xfrm>
                            <a:off x="0" y="1041400"/>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538" name="Graphic 538"/>
                        <wps:cNvSpPr/>
                        <wps:spPr>
                          <a:xfrm>
                            <a:off x="0" y="1041400"/>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539" name="Textbox 539"/>
                        <wps:cNvSpPr txBox="1"/>
                        <wps:spPr>
                          <a:xfrm>
                            <a:off x="2229230" y="19557"/>
                            <a:ext cx="803275" cy="127000"/>
                          </a:xfrm>
                          <a:prstGeom prst="rect">
                            <a:avLst/>
                          </a:prstGeom>
                        </wps:spPr>
                        <wps:txbx>
                          <w:txbxContent>
                            <w:p>
                              <w:pPr>
                                <w:spacing w:line="199" w:lineRule="exact" w:before="0"/>
                                <w:ind w:left="0" w:right="0" w:firstLine="0"/>
                                <w:jc w:val="left"/>
                                <w:rPr>
                                  <w:sz w:val="18"/>
                                </w:rPr>
                              </w:pPr>
                              <w:r>
                                <w:rPr>
                                  <w:sz w:val="18"/>
                                </w:rPr>
                                <w:t>Investor</w:t>
                              </w:r>
                              <w:r>
                                <w:rPr>
                                  <w:spacing w:val="-1"/>
                                  <w:sz w:val="18"/>
                                </w:rPr>
                                <w:t> </w:t>
                              </w:r>
                              <w:r>
                                <w:rPr>
                                  <w:spacing w:val="-2"/>
                                  <w:sz w:val="18"/>
                                </w:rPr>
                                <w:t>Services</w:t>
                              </w:r>
                            </w:p>
                          </w:txbxContent>
                        </wps:txbx>
                        <wps:bodyPr wrap="square" lIns="0" tIns="0" rIns="0" bIns="0" rtlCol="0">
                          <a:noAutofit/>
                        </wps:bodyPr>
                      </wps:wsp>
                      <wps:wsp>
                        <wps:cNvPr id="540" name="Textbox 540"/>
                        <wps:cNvSpPr txBox="1"/>
                        <wps:spPr>
                          <a:xfrm>
                            <a:off x="4518405" y="19557"/>
                            <a:ext cx="796925" cy="127000"/>
                          </a:xfrm>
                          <a:prstGeom prst="rect">
                            <a:avLst/>
                          </a:prstGeom>
                        </wps:spPr>
                        <wps:txbx>
                          <w:txbxContent>
                            <w:p>
                              <w:pPr>
                                <w:spacing w:line="199" w:lineRule="exact" w:before="0"/>
                                <w:ind w:left="0" w:right="0" w:firstLine="0"/>
                                <w:jc w:val="left"/>
                                <w:rPr>
                                  <w:sz w:val="18"/>
                                </w:rPr>
                              </w:pPr>
                              <w:r>
                                <w:rPr>
                                  <w:sz w:val="18"/>
                                </w:rPr>
                                <w:t>Advisor</w:t>
                              </w:r>
                              <w:r>
                                <w:rPr>
                                  <w:spacing w:val="-2"/>
                                  <w:sz w:val="18"/>
                                </w:rPr>
                                <w:t> Services</w:t>
                              </w:r>
                            </w:p>
                          </w:txbxContent>
                        </wps:txbx>
                        <wps:bodyPr wrap="square" lIns="0" tIns="0" rIns="0" bIns="0" rtlCol="0">
                          <a:noAutofit/>
                        </wps:bodyPr>
                      </wps:wsp>
                      <wps:wsp>
                        <wps:cNvPr id="541" name="Textbox 541"/>
                        <wps:cNvSpPr txBox="1"/>
                        <wps:spPr>
                          <a:xfrm>
                            <a:off x="1617725" y="181482"/>
                            <a:ext cx="4806950" cy="355600"/>
                          </a:xfrm>
                          <a:prstGeom prst="rect">
                            <a:avLst/>
                          </a:prstGeom>
                        </wps:spPr>
                        <wps:txbx>
                          <w:txbxContent>
                            <w:p>
                              <w:pPr>
                                <w:tabs>
                                  <w:tab w:pos="1445" w:val="left" w:leader="none"/>
                                  <w:tab w:pos="2652" w:val="left" w:leader="none"/>
                                  <w:tab w:pos="3599" w:val="left" w:leader="none"/>
                                  <w:tab w:pos="3755" w:val="left" w:leader="none"/>
                                  <w:tab w:pos="5045" w:val="left" w:leader="none"/>
                                  <w:tab w:pos="6252" w:val="left" w:leader="none"/>
                                </w:tabs>
                                <w:spacing w:line="208" w:lineRule="auto" w:before="14"/>
                                <w:ind w:left="0" w:right="705" w:firstLine="155"/>
                                <w:jc w:val="left"/>
                                <w:rPr>
                                  <w:sz w:val="18"/>
                                </w:rPr>
                              </w:pPr>
                              <w:r>
                                <w:rPr>
                                  <w:spacing w:val="-2"/>
                                  <w:sz w:val="18"/>
                                </w:rPr>
                                <w:t>Employee</w:t>
                              </w:r>
                              <w:r>
                                <w:rPr>
                                  <w:sz w:val="18"/>
                                </w:rPr>
                                <w:tab/>
                                <w:tab/>
                              </w:r>
                              <w:r>
                                <w:rPr>
                                  <w:spacing w:val="-36"/>
                                  <w:sz w:val="18"/>
                                </w:rPr>
                                <w:t> </w:t>
                              </w:r>
                              <w:r>
                                <w:rPr>
                                  <w:spacing w:val="-2"/>
                                  <w:sz w:val="18"/>
                                </w:rPr>
                                <w:t>Investor</w:t>
                              </w:r>
                              <w:r>
                                <w:rPr>
                                  <w:sz w:val="18"/>
                                </w:rPr>
                                <w:tab/>
                                <w:tab/>
                              </w:r>
                              <w:r>
                                <w:rPr>
                                  <w:spacing w:val="-2"/>
                                  <w:sz w:val="18"/>
                                </w:rPr>
                                <w:t>Employee</w:t>
                              </w:r>
                              <w:r>
                                <w:rPr>
                                  <w:sz w:val="18"/>
                                </w:rPr>
                                <w:tab/>
                                <w:tab/>
                              </w:r>
                              <w:r>
                                <w:rPr>
                                  <w:spacing w:val="-31"/>
                                  <w:sz w:val="18"/>
                                </w:rPr>
                                <w:t> </w:t>
                              </w:r>
                              <w:r>
                                <w:rPr>
                                  <w:sz w:val="18"/>
                                </w:rPr>
                                <w:t>Advisor </w:t>
                              </w:r>
                              <w:r>
                                <w:rPr>
                                  <w:spacing w:val="-2"/>
                                  <w:sz w:val="18"/>
                                </w:rPr>
                                <w:t>Compensation</w:t>
                              </w:r>
                              <w:r>
                                <w:rPr>
                                  <w:sz w:val="18"/>
                                </w:rPr>
                                <w:tab/>
                                <w:t>Facility</w:t>
                              </w:r>
                              <w:r>
                                <w:rPr>
                                  <w:spacing w:val="-1"/>
                                  <w:sz w:val="18"/>
                                </w:rPr>
                                <w:t> </w:t>
                              </w:r>
                              <w:r>
                                <w:rPr>
                                  <w:spacing w:val="-4"/>
                                  <w:sz w:val="18"/>
                                </w:rPr>
                                <w:t>Exit</w:t>
                              </w:r>
                              <w:r>
                                <w:rPr>
                                  <w:sz w:val="18"/>
                                </w:rPr>
                                <w:tab/>
                              </w:r>
                              <w:r>
                                <w:rPr>
                                  <w:spacing w:val="-2"/>
                                  <w:sz w:val="18"/>
                                </w:rPr>
                                <w:t>Services</w:t>
                              </w:r>
                              <w:r>
                                <w:rPr>
                                  <w:sz w:val="18"/>
                                </w:rPr>
                                <w:tab/>
                              </w:r>
                              <w:r>
                                <w:rPr>
                                  <w:spacing w:val="-2"/>
                                  <w:sz w:val="18"/>
                                </w:rPr>
                                <w:t>Compensation</w:t>
                              </w:r>
                              <w:r>
                                <w:rPr>
                                  <w:sz w:val="18"/>
                                </w:rPr>
                                <w:tab/>
                                <w:t>Facility</w:t>
                              </w:r>
                              <w:r>
                                <w:rPr>
                                  <w:spacing w:val="-3"/>
                                  <w:sz w:val="18"/>
                                </w:rPr>
                                <w:t> </w:t>
                              </w:r>
                              <w:r>
                                <w:rPr>
                                  <w:spacing w:val="-4"/>
                                  <w:sz w:val="18"/>
                                </w:rPr>
                                <w:t>Exit</w:t>
                              </w:r>
                              <w:r>
                                <w:rPr>
                                  <w:sz w:val="18"/>
                                </w:rPr>
                                <w:tab/>
                              </w:r>
                              <w:r>
                                <w:rPr>
                                  <w:spacing w:val="-2"/>
                                  <w:sz w:val="18"/>
                                </w:rPr>
                                <w:t>Services</w:t>
                              </w:r>
                            </w:p>
                            <w:p>
                              <w:pPr>
                                <w:tabs>
                                  <w:tab w:pos="1601" w:val="left" w:leader="none"/>
                                  <w:tab w:pos="2767" w:val="left" w:leader="none"/>
                                  <w:tab w:pos="3667" w:val="left" w:leader="none"/>
                                  <w:tab w:pos="5201" w:val="left" w:leader="none"/>
                                  <w:tab w:pos="6367" w:val="left" w:leader="none"/>
                                  <w:tab w:pos="7169" w:val="left" w:leader="none"/>
                                </w:tabs>
                                <w:spacing w:line="185" w:lineRule="exact" w:before="0"/>
                                <w:ind w:left="67" w:right="0" w:firstLine="0"/>
                                <w:jc w:val="left"/>
                                <w:rPr>
                                  <w:sz w:val="18"/>
                                </w:rPr>
                              </w:pPr>
                              <w:r>
                                <w:rPr>
                                  <w:sz w:val="18"/>
                                </w:rPr>
                                <w:t>and </w:t>
                              </w:r>
                              <w:r>
                                <w:rPr>
                                  <w:spacing w:val="-2"/>
                                  <w:sz w:val="18"/>
                                </w:rPr>
                                <w:t>Benefits</w:t>
                              </w:r>
                              <w:r>
                                <w:rPr>
                                  <w:sz w:val="18"/>
                                </w:rPr>
                                <w:tab/>
                                <w:t>Costs</w:t>
                              </w:r>
                              <w:r>
                                <w:rPr>
                                  <w:spacing w:val="-2"/>
                                  <w:sz w:val="18"/>
                                </w:rPr>
                                <w:t> </w:t>
                              </w:r>
                              <w:r>
                                <w:rPr>
                                  <w:spacing w:val="-5"/>
                                  <w:sz w:val="18"/>
                                  <w:vertAlign w:val="superscript"/>
                                </w:rPr>
                                <w:t>(1)</w:t>
                              </w:r>
                              <w:r>
                                <w:rPr>
                                  <w:sz w:val="18"/>
                                  <w:vertAlign w:val="baseline"/>
                                </w:rPr>
                                <w:tab/>
                              </w:r>
                              <w:r>
                                <w:rPr>
                                  <w:spacing w:val="-2"/>
                                  <w:sz w:val="18"/>
                                  <w:vertAlign w:val="baseline"/>
                                </w:rPr>
                                <w:t>Total</w:t>
                              </w:r>
                              <w:r>
                                <w:rPr>
                                  <w:sz w:val="18"/>
                                  <w:vertAlign w:val="baseline"/>
                                </w:rPr>
                                <w:tab/>
                                <w:t>and</w:t>
                              </w:r>
                              <w:r>
                                <w:rPr>
                                  <w:spacing w:val="-2"/>
                                  <w:sz w:val="18"/>
                                  <w:vertAlign w:val="baseline"/>
                                </w:rPr>
                                <w:t> Benefits</w:t>
                              </w:r>
                              <w:r>
                                <w:rPr>
                                  <w:sz w:val="18"/>
                                  <w:vertAlign w:val="baseline"/>
                                </w:rPr>
                                <w:tab/>
                                <w:t>Costs</w:t>
                              </w:r>
                              <w:r>
                                <w:rPr>
                                  <w:spacing w:val="-4"/>
                                  <w:sz w:val="18"/>
                                  <w:vertAlign w:val="baseline"/>
                                </w:rPr>
                                <w:t> </w:t>
                              </w:r>
                              <w:r>
                                <w:rPr>
                                  <w:spacing w:val="-5"/>
                                  <w:sz w:val="18"/>
                                  <w:vertAlign w:val="superscript"/>
                                </w:rPr>
                                <w:t>(1)</w:t>
                              </w:r>
                              <w:r>
                                <w:rPr>
                                  <w:sz w:val="18"/>
                                  <w:vertAlign w:val="baseline"/>
                                </w:rPr>
                                <w:tab/>
                              </w:r>
                              <w:r>
                                <w:rPr>
                                  <w:spacing w:val="-2"/>
                                  <w:sz w:val="18"/>
                                  <w:vertAlign w:val="baseline"/>
                                </w:rPr>
                                <w:t>Total</w:t>
                              </w:r>
                              <w:r>
                                <w:rPr>
                                  <w:sz w:val="18"/>
                                  <w:vertAlign w:val="baseline"/>
                                </w:rPr>
                                <w:tab/>
                              </w:r>
                              <w:r>
                                <w:rPr>
                                  <w:spacing w:val="-2"/>
                                  <w:sz w:val="18"/>
                                  <w:vertAlign w:val="baseline"/>
                                </w:rPr>
                                <w:t>Total</w:t>
                              </w:r>
                            </w:p>
                          </w:txbxContent>
                        </wps:txbx>
                        <wps:bodyPr wrap="square" lIns="0" tIns="0" rIns="0" bIns="0" rtlCol="0">
                          <a:noAutofit/>
                        </wps:bodyPr>
                      </wps:wsp>
                      <wps:wsp>
                        <wps:cNvPr id="542" name="Textbox 542"/>
                        <wps:cNvSpPr txBox="1"/>
                        <wps:spPr>
                          <a:xfrm>
                            <a:off x="33401" y="733932"/>
                            <a:ext cx="1231900" cy="127000"/>
                          </a:xfrm>
                          <a:prstGeom prst="rect">
                            <a:avLst/>
                          </a:prstGeom>
                        </wps:spPr>
                        <wps:txbx>
                          <w:txbxContent>
                            <w:p>
                              <w:pPr>
                                <w:spacing w:line="199" w:lineRule="exact" w:before="0"/>
                                <w:ind w:left="0" w:right="0" w:firstLine="0"/>
                                <w:jc w:val="left"/>
                                <w:rPr>
                                  <w:sz w:val="18"/>
                                </w:rPr>
                              </w:pPr>
                              <w:r>
                                <w:rPr>
                                  <w:sz w:val="18"/>
                                </w:rPr>
                                <w:t>Occupancy</w:t>
                              </w:r>
                              <w:r>
                                <w:rPr>
                                  <w:spacing w:val="-1"/>
                                  <w:sz w:val="18"/>
                                </w:rPr>
                                <w:t> </w:t>
                              </w:r>
                              <w:r>
                                <w:rPr>
                                  <w:sz w:val="18"/>
                                </w:rPr>
                                <w:t>and </w:t>
                              </w:r>
                              <w:r>
                                <w:rPr>
                                  <w:spacing w:val="-2"/>
                                  <w:sz w:val="18"/>
                                </w:rPr>
                                <w:t>equipment</w:t>
                              </w:r>
                            </w:p>
                          </w:txbxContent>
                        </wps:txbx>
                        <wps:bodyPr wrap="square" lIns="0" tIns="0" rIns="0" bIns="0" rtlCol="0">
                          <a:noAutofit/>
                        </wps:bodyPr>
                      </wps:wsp>
                      <wps:wsp>
                        <wps:cNvPr id="543" name="Textbox 543"/>
                        <wps:cNvSpPr txBox="1"/>
                        <wps:spPr>
                          <a:xfrm>
                            <a:off x="2228951" y="733932"/>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544" name="Textbox 544"/>
                        <wps:cNvSpPr txBox="1"/>
                        <wps:spPr>
                          <a:xfrm>
                            <a:off x="3095650" y="733932"/>
                            <a:ext cx="69850" cy="127000"/>
                          </a:xfrm>
                          <a:prstGeom prst="rect">
                            <a:avLst/>
                          </a:prstGeom>
                        </wps:spPr>
                        <wps:txbx>
                          <w:txbxContent>
                            <w:p>
                              <w:pPr>
                                <w:spacing w:line="199" w:lineRule="exact" w:before="0"/>
                                <w:ind w:left="0" w:right="0" w:firstLine="0"/>
                                <w:jc w:val="left"/>
                                <w:rPr>
                                  <w:sz w:val="18"/>
                                </w:rPr>
                              </w:pPr>
                              <w:r>
                                <w:rPr>
                                  <w:spacing w:val="-10"/>
                                  <w:sz w:val="18"/>
                                </w:rPr>
                                <w:t>1</w:t>
                              </w:r>
                            </w:p>
                          </w:txbxContent>
                        </wps:txbx>
                        <wps:bodyPr wrap="square" lIns="0" tIns="0" rIns="0" bIns="0" rtlCol="0">
                          <a:noAutofit/>
                        </wps:bodyPr>
                      </wps:wsp>
                      <wps:wsp>
                        <wps:cNvPr id="545" name="Textbox 545"/>
                        <wps:cNvSpPr txBox="1"/>
                        <wps:spPr>
                          <a:xfrm>
                            <a:off x="3638613" y="733932"/>
                            <a:ext cx="69850" cy="127000"/>
                          </a:xfrm>
                          <a:prstGeom prst="rect">
                            <a:avLst/>
                          </a:prstGeom>
                        </wps:spPr>
                        <wps:txbx>
                          <w:txbxContent>
                            <w:p>
                              <w:pPr>
                                <w:spacing w:line="199" w:lineRule="exact" w:before="0"/>
                                <w:ind w:left="0" w:right="0" w:firstLine="0"/>
                                <w:jc w:val="left"/>
                                <w:rPr>
                                  <w:sz w:val="18"/>
                                </w:rPr>
                              </w:pPr>
                              <w:r>
                                <w:rPr>
                                  <w:spacing w:val="-10"/>
                                  <w:sz w:val="18"/>
                                </w:rPr>
                                <w:t>1</w:t>
                              </w:r>
                            </w:p>
                          </w:txbxContent>
                        </wps:txbx>
                        <wps:bodyPr wrap="square" lIns="0" tIns="0" rIns="0" bIns="0" rtlCol="0">
                          <a:noAutofit/>
                        </wps:bodyPr>
                      </wps:wsp>
                      <wps:wsp>
                        <wps:cNvPr id="546" name="Textbox 546"/>
                        <wps:cNvSpPr txBox="1"/>
                        <wps:spPr>
                          <a:xfrm>
                            <a:off x="4514951" y="733932"/>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547" name="Textbox 547"/>
                        <wps:cNvSpPr txBox="1"/>
                        <wps:spPr>
                          <a:xfrm>
                            <a:off x="5381650" y="733932"/>
                            <a:ext cx="69850" cy="127000"/>
                          </a:xfrm>
                          <a:prstGeom prst="rect">
                            <a:avLst/>
                          </a:prstGeom>
                        </wps:spPr>
                        <wps:txbx>
                          <w:txbxContent>
                            <w:p>
                              <w:pPr>
                                <w:spacing w:line="199" w:lineRule="exact" w:before="0"/>
                                <w:ind w:left="0" w:right="0" w:firstLine="0"/>
                                <w:jc w:val="left"/>
                                <w:rPr>
                                  <w:sz w:val="18"/>
                                </w:rPr>
                              </w:pPr>
                              <w:r>
                                <w:rPr>
                                  <w:spacing w:val="-10"/>
                                  <w:sz w:val="18"/>
                                </w:rPr>
                                <w:t>1</w:t>
                              </w:r>
                            </w:p>
                          </w:txbxContent>
                        </wps:txbx>
                        <wps:bodyPr wrap="square" lIns="0" tIns="0" rIns="0" bIns="0" rtlCol="0">
                          <a:noAutofit/>
                        </wps:bodyPr>
                      </wps:wsp>
                      <wps:wsp>
                        <wps:cNvPr id="548" name="Textbox 548"/>
                        <wps:cNvSpPr txBox="1"/>
                        <wps:spPr>
                          <a:xfrm>
                            <a:off x="5924613" y="733932"/>
                            <a:ext cx="69850" cy="127000"/>
                          </a:xfrm>
                          <a:prstGeom prst="rect">
                            <a:avLst/>
                          </a:prstGeom>
                        </wps:spPr>
                        <wps:txbx>
                          <w:txbxContent>
                            <w:p>
                              <w:pPr>
                                <w:spacing w:line="199" w:lineRule="exact" w:before="0"/>
                                <w:ind w:left="0" w:right="0" w:firstLine="0"/>
                                <w:jc w:val="left"/>
                                <w:rPr>
                                  <w:sz w:val="18"/>
                                </w:rPr>
                              </w:pPr>
                              <w:r>
                                <w:rPr>
                                  <w:spacing w:val="-10"/>
                                  <w:sz w:val="18"/>
                                </w:rPr>
                                <w:t>1</w:t>
                              </w:r>
                            </w:p>
                          </w:txbxContent>
                        </wps:txbx>
                        <wps:bodyPr wrap="square" lIns="0" tIns="0" rIns="0" bIns="0" rtlCol="0">
                          <a:noAutofit/>
                        </wps:bodyPr>
                      </wps:wsp>
                      <wps:wsp>
                        <wps:cNvPr id="549" name="Textbox 549"/>
                        <wps:cNvSpPr txBox="1"/>
                        <wps:spPr>
                          <a:xfrm>
                            <a:off x="6410350" y="733932"/>
                            <a:ext cx="69850" cy="127000"/>
                          </a:xfrm>
                          <a:prstGeom prst="rect">
                            <a:avLst/>
                          </a:prstGeom>
                        </wps:spPr>
                        <wps:txbx>
                          <w:txbxContent>
                            <w:p>
                              <w:pPr>
                                <w:spacing w:line="199" w:lineRule="exact" w:before="0"/>
                                <w:ind w:left="0" w:right="0" w:firstLine="0"/>
                                <w:jc w:val="left"/>
                                <w:rPr>
                                  <w:sz w:val="18"/>
                                </w:rPr>
                              </w:pPr>
                              <w:r>
                                <w:rPr>
                                  <w:spacing w:val="-10"/>
                                  <w:sz w:val="18"/>
                                </w:rPr>
                                <w:t>2</w:t>
                              </w:r>
                            </w:p>
                          </w:txbxContent>
                        </wps:txbx>
                        <wps:bodyPr wrap="square" lIns="0" tIns="0" rIns="0" bIns="0" rtlCol="0">
                          <a:noAutofit/>
                        </wps:bodyPr>
                      </wps:wsp>
                      <wps:wsp>
                        <wps:cNvPr id="550" name="Textbox 550"/>
                        <wps:cNvSpPr txBox="1"/>
                        <wps:spPr>
                          <a:xfrm>
                            <a:off x="0" y="879475"/>
                            <a:ext cx="6515100" cy="158750"/>
                          </a:xfrm>
                          <a:prstGeom prst="rect">
                            <a:avLst/>
                          </a:prstGeom>
                        </wps:spPr>
                        <wps:txbx>
                          <w:txbxContent>
                            <w:p>
                              <w:pPr>
                                <w:tabs>
                                  <w:tab w:pos="3510" w:val="left" w:leader="none"/>
                                  <w:tab w:pos="4874" w:val="left" w:leader="none"/>
                                  <w:tab w:pos="5730" w:val="left" w:leader="none"/>
                                  <w:tab w:pos="7110" w:val="left" w:leader="none"/>
                                  <w:tab w:pos="8384" w:val="left" w:leader="none"/>
                                  <w:tab w:pos="9240" w:val="left" w:leader="none"/>
                                  <w:tab w:pos="10184" w:val="right" w:leader="none"/>
                                </w:tabs>
                                <w:spacing w:before="18"/>
                                <w:ind w:left="52" w:right="0" w:firstLine="0"/>
                                <w:jc w:val="left"/>
                                <w:rPr>
                                  <w:sz w:val="18"/>
                                </w:rPr>
                              </w:pPr>
                              <w:r>
                                <w:rPr>
                                  <w:spacing w:val="-2"/>
                                  <w:sz w:val="18"/>
                                </w:rPr>
                                <w:t>Other</w:t>
                              </w:r>
                              <w:r>
                                <w:rPr>
                                  <w:sz w:val="18"/>
                                </w:rPr>
                                <w:tab/>
                              </w:r>
                              <w:r>
                                <w:rPr>
                                  <w:spacing w:val="-10"/>
                                  <w:sz w:val="18"/>
                                </w:rPr>
                                <w:t>—</w:t>
                              </w:r>
                              <w:r>
                                <w:rPr>
                                  <w:sz w:val="18"/>
                                </w:rPr>
                                <w:tab/>
                              </w:r>
                              <w:r>
                                <w:rPr>
                                  <w:spacing w:val="-10"/>
                                  <w:sz w:val="18"/>
                                </w:rPr>
                                <w:t>1</w:t>
                              </w:r>
                              <w:r>
                                <w:rPr>
                                  <w:sz w:val="18"/>
                                </w:rPr>
                                <w:tab/>
                              </w:r>
                              <w:r>
                                <w:rPr>
                                  <w:spacing w:val="-10"/>
                                  <w:sz w:val="18"/>
                                </w:rPr>
                                <w:t>1</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1</w:t>
                              </w:r>
                            </w:p>
                          </w:txbxContent>
                        </wps:txbx>
                        <wps:bodyPr wrap="square" lIns="0" tIns="0" rIns="0" bIns="0" rtlCol="0">
                          <a:noAutofit/>
                        </wps:bodyPr>
                      </wps:wsp>
                      <wps:wsp>
                        <wps:cNvPr id="551" name="Textbox 551"/>
                        <wps:cNvSpPr txBox="1"/>
                        <wps:spPr>
                          <a:xfrm>
                            <a:off x="0" y="558800"/>
                            <a:ext cx="6515100" cy="158750"/>
                          </a:xfrm>
                          <a:prstGeom prst="rect">
                            <a:avLst/>
                          </a:prstGeom>
                        </wps:spPr>
                        <wps:txbx>
                          <w:txbxContent>
                            <w:p>
                              <w:pPr>
                                <w:tabs>
                                  <w:tab w:pos="2422" w:val="left" w:leader="none"/>
                                  <w:tab w:pos="3420" w:val="left" w:leader="none"/>
                                  <w:tab w:pos="3892" w:val="left" w:leader="none"/>
                                  <w:tab w:pos="4784" w:val="left" w:leader="none"/>
                                  <w:tab w:pos="5167" w:val="left" w:leader="none"/>
                                  <w:tab w:pos="5550" w:val="left" w:leader="none"/>
                                  <w:tab w:pos="6022" w:val="left" w:leader="none"/>
                                  <w:tab w:pos="7110" w:val="left" w:leader="none"/>
                                  <w:tab w:pos="7492" w:val="left" w:leader="none"/>
                                  <w:tab w:pos="8384" w:val="left" w:leader="none"/>
                                  <w:tab w:pos="8767" w:val="left" w:leader="none"/>
                                  <w:tab w:pos="9240" w:val="left" w:leader="none"/>
                                  <w:tab w:pos="9914" w:val="left" w:leader="none"/>
                                </w:tabs>
                                <w:spacing w:before="13"/>
                                <w:ind w:left="52" w:right="0" w:firstLine="0"/>
                                <w:jc w:val="left"/>
                                <w:rPr>
                                  <w:sz w:val="18"/>
                                </w:rPr>
                              </w:pPr>
                              <w:r>
                                <w:rPr>
                                  <w:sz w:val="18"/>
                                </w:rPr>
                                <w:t>Compensation</w:t>
                              </w:r>
                              <w:r>
                                <w:rPr>
                                  <w:spacing w:val="-3"/>
                                  <w:sz w:val="18"/>
                                </w:rPr>
                                <w:t> </w:t>
                              </w:r>
                              <w:r>
                                <w:rPr>
                                  <w:sz w:val="18"/>
                                </w:rPr>
                                <w:t>and </w:t>
                              </w:r>
                              <w:r>
                                <w:rPr>
                                  <w:spacing w:val="-2"/>
                                  <w:sz w:val="18"/>
                                </w:rPr>
                                <w:t>benefits</w:t>
                              </w:r>
                              <w:r>
                                <w:rPr>
                                  <w:sz w:val="18"/>
                                </w:rPr>
                                <w:tab/>
                              </w:r>
                              <w:r>
                                <w:rPr>
                                  <w:spacing w:val="-10"/>
                                  <w:sz w:val="18"/>
                                </w:rPr>
                                <w:t>$</w:t>
                              </w:r>
                              <w:r>
                                <w:rPr>
                                  <w:sz w:val="18"/>
                                </w:rPr>
                                <w:tab/>
                              </w:r>
                              <w:r>
                                <w:rPr>
                                  <w:spacing w:val="-5"/>
                                  <w:sz w:val="18"/>
                                </w:rPr>
                                <w:t>202</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5"/>
                                  <w:sz w:val="18"/>
                                </w:rPr>
                                <w:t>202</w:t>
                              </w:r>
                              <w:r>
                                <w:rPr>
                                  <w:sz w:val="18"/>
                                </w:rPr>
                                <w:tab/>
                              </w:r>
                              <w:r>
                                <w:rPr>
                                  <w:spacing w:val="-10"/>
                                  <w:sz w:val="18"/>
                                </w:rPr>
                                <w:t>$</w:t>
                              </w:r>
                              <w:r>
                                <w:rPr>
                                  <w:sz w:val="18"/>
                                </w:rPr>
                                <w:tab/>
                              </w:r>
                              <w:r>
                                <w:rPr>
                                  <w:spacing w:val="-5"/>
                                  <w:sz w:val="18"/>
                                </w:rPr>
                                <w:t>74</w:t>
                              </w:r>
                              <w:r>
                                <w:rPr>
                                  <w:sz w:val="18"/>
                                </w:rPr>
                                <w:tab/>
                              </w:r>
                              <w:r>
                                <w:rPr>
                                  <w:spacing w:val="-10"/>
                                  <w:sz w:val="18"/>
                                </w:rPr>
                                <w:t>$</w:t>
                              </w:r>
                              <w:r>
                                <w:rPr>
                                  <w:sz w:val="18"/>
                                </w:rPr>
                                <w:tab/>
                              </w:r>
                              <w:r>
                                <w:rPr>
                                  <w:spacing w:val="-10"/>
                                  <w:sz w:val="18"/>
                                </w:rPr>
                                <w:t>—</w:t>
                              </w:r>
                              <w:r>
                                <w:rPr>
                                  <w:sz w:val="18"/>
                                </w:rPr>
                                <w:tab/>
                              </w:r>
                              <w:r>
                                <w:rPr>
                                  <w:spacing w:val="-10"/>
                                  <w:sz w:val="18"/>
                                </w:rPr>
                                <w:t>$</w:t>
                              </w:r>
                              <w:r>
                                <w:rPr>
                                  <w:sz w:val="18"/>
                                </w:rPr>
                                <w:tab/>
                                <w:t>74</w:t>
                              </w:r>
                              <w:r>
                                <w:rPr>
                                  <w:spacing w:val="48"/>
                                  <w:sz w:val="18"/>
                                </w:rPr>
                                <w:t>  </w:t>
                              </w:r>
                              <w:r>
                                <w:rPr>
                                  <w:spacing w:val="-10"/>
                                  <w:sz w:val="18"/>
                                </w:rPr>
                                <w:t>$</w:t>
                              </w:r>
                              <w:r>
                                <w:rPr>
                                  <w:sz w:val="18"/>
                                </w:rPr>
                                <w:tab/>
                              </w:r>
                              <w:r>
                                <w:rPr>
                                  <w:spacing w:val="-5"/>
                                  <w:sz w:val="18"/>
                                </w:rPr>
                                <w:t>276</w:t>
                              </w:r>
                            </w:p>
                          </w:txbxContent>
                        </wps:txbx>
                        <wps:bodyPr wrap="square" lIns="0" tIns="0" rIns="0" bIns="0" rtlCol="0">
                          <a:noAutofit/>
                        </wps:bodyPr>
                      </wps:wsp>
                    </wpg:wgp>
                  </a:graphicData>
                </a:graphic>
              </wp:anchor>
            </w:drawing>
          </mc:Choice>
          <mc:Fallback>
            <w:pict>
              <v:group style="position:absolute;margin-left:49.5pt;margin-top:26.167187pt;width:513pt;height:82.25pt;mso-position-horizontal-relative:page;mso-position-vertical-relative:paragraph;z-index:-15697408;mso-wrap-distance-left:0;mso-wrap-distance-right:0" id="docshapegroup379" coordorigin="990,523" coordsize="10260,1645">
                <v:shape style="position:absolute;left:990;top:1398;width:10260;height:765" id="docshape380" coordorigin="990,1398" coordsize="10260,765" path="m11250,1908l990,1908,990,2163,11250,2163,11250,1908xm11250,1398l990,1398,990,1653,11250,1653,11250,1398xe" filled="true" fillcolor="#ccedff" stroked="false">
                  <v:path arrowok="t"/>
                  <v:fill type="solid"/>
                </v:shape>
                <v:shape style="position:absolute;left:990;top:528;width:10260;height:2" id="docshape381" coordorigin="990,528" coordsize="10260,0" path="m11250,528l990,528e" filled="true" fillcolor="#000000" stroked="false">
                  <v:path arrowok="t"/>
                  <v:fill opacity="0f" type="solid"/>
                </v:shape>
                <v:line style="position:absolute" from="990,528" to="11250,528" stroked="true" strokeweight=".5pt" strokecolor="#000000">
                  <v:stroke dashstyle="solid"/>
                </v:line>
                <v:shape style="position:absolute;left:3360;top:783;width:3525;height:2" id="docshape382" coordorigin="3360,783" coordsize="3525,0" path="m6885,783l3360,783e" filled="true" fillcolor="#000000" stroked="false">
                  <v:path arrowok="t"/>
                  <v:fill opacity="0f" type="solid"/>
                </v:shape>
                <v:line style="position:absolute" from="3360,783" to="6885,783" stroked="true" strokeweight=".5pt" strokecolor="#000000">
                  <v:stroke dashstyle="solid"/>
                </v:line>
                <v:shape style="position:absolute;left:6960;top:783;width:3525;height:2" id="docshape383" coordorigin="6960,783" coordsize="3525,0" path="m10485,783l6960,783e" filled="true" fillcolor="#000000" stroked="false">
                  <v:path arrowok="t"/>
                  <v:fill opacity="0f" type="solid"/>
                </v:shape>
                <v:line style="position:absolute" from="6960,783" to="10485,783" stroked="true" strokeweight=".5pt" strokecolor="#000000">
                  <v:stroke dashstyle="solid"/>
                </v:line>
                <v:shape style="position:absolute;left:990;top:1398;width:10260;height:2" id="docshape384" coordorigin="990,1398" coordsize="10260,0" path="m11250,1398l990,1398e" filled="true" fillcolor="#000000" stroked="false">
                  <v:path arrowok="t"/>
                  <v:fill opacity="0f" type="solid"/>
                </v:shape>
                <v:line style="position:absolute" from="990,1398" to="11250,1398" stroked="true" strokeweight=".5pt" strokecolor="#000000">
                  <v:stroke dashstyle="solid"/>
                </v:line>
                <v:shape style="position:absolute;left:990;top:2163;width:10260;height:2" id="docshape385" coordorigin="990,2163" coordsize="10260,0" path="m11250,2163l990,2163e" filled="true" fillcolor="#000000" stroked="false">
                  <v:path arrowok="t"/>
                  <v:fill opacity="0f" type="solid"/>
                </v:shape>
                <v:line style="position:absolute" from="990,2163" to="11250,2163" stroked="true" strokeweight=".5pt" strokecolor="#000000">
                  <v:stroke dashstyle="solid"/>
                </v:line>
                <v:shape style="position:absolute;left:4500;top:554;width:1265;height:200" type="#_x0000_t202" id="docshape386" filled="false" stroked="false">
                  <v:textbox inset="0,0,0,0">
                    <w:txbxContent>
                      <w:p>
                        <w:pPr>
                          <w:spacing w:line="199" w:lineRule="exact" w:before="0"/>
                          <w:ind w:left="0" w:right="0" w:firstLine="0"/>
                          <w:jc w:val="left"/>
                          <w:rPr>
                            <w:sz w:val="18"/>
                          </w:rPr>
                        </w:pPr>
                        <w:r>
                          <w:rPr>
                            <w:sz w:val="18"/>
                          </w:rPr>
                          <w:t>Investor</w:t>
                        </w:r>
                        <w:r>
                          <w:rPr>
                            <w:spacing w:val="-1"/>
                            <w:sz w:val="18"/>
                          </w:rPr>
                          <w:t> </w:t>
                        </w:r>
                        <w:r>
                          <w:rPr>
                            <w:spacing w:val="-2"/>
                            <w:sz w:val="18"/>
                          </w:rPr>
                          <w:t>Services</w:t>
                        </w:r>
                      </w:p>
                    </w:txbxContent>
                  </v:textbox>
                  <w10:wrap type="none"/>
                </v:shape>
                <v:shape style="position:absolute;left:8105;top:554;width:1255;height:200" type="#_x0000_t202" id="docshape387" filled="false" stroked="false">
                  <v:textbox inset="0,0,0,0">
                    <w:txbxContent>
                      <w:p>
                        <w:pPr>
                          <w:spacing w:line="199" w:lineRule="exact" w:before="0"/>
                          <w:ind w:left="0" w:right="0" w:firstLine="0"/>
                          <w:jc w:val="left"/>
                          <w:rPr>
                            <w:sz w:val="18"/>
                          </w:rPr>
                        </w:pPr>
                        <w:r>
                          <w:rPr>
                            <w:sz w:val="18"/>
                          </w:rPr>
                          <w:t>Advisor</w:t>
                        </w:r>
                        <w:r>
                          <w:rPr>
                            <w:spacing w:val="-2"/>
                            <w:sz w:val="18"/>
                          </w:rPr>
                          <w:t> Services</w:t>
                        </w:r>
                      </w:p>
                    </w:txbxContent>
                  </v:textbox>
                  <w10:wrap type="none"/>
                </v:shape>
                <v:shape style="position:absolute;left:3537;top:809;width:7570;height:560" type="#_x0000_t202" id="docshape388" filled="false" stroked="false">
                  <v:textbox inset="0,0,0,0">
                    <w:txbxContent>
                      <w:p>
                        <w:pPr>
                          <w:tabs>
                            <w:tab w:pos="1445" w:val="left" w:leader="none"/>
                            <w:tab w:pos="2652" w:val="left" w:leader="none"/>
                            <w:tab w:pos="3599" w:val="left" w:leader="none"/>
                            <w:tab w:pos="3755" w:val="left" w:leader="none"/>
                            <w:tab w:pos="5045" w:val="left" w:leader="none"/>
                            <w:tab w:pos="6252" w:val="left" w:leader="none"/>
                          </w:tabs>
                          <w:spacing w:line="208" w:lineRule="auto" w:before="14"/>
                          <w:ind w:left="0" w:right="705" w:firstLine="155"/>
                          <w:jc w:val="left"/>
                          <w:rPr>
                            <w:sz w:val="18"/>
                          </w:rPr>
                        </w:pPr>
                        <w:r>
                          <w:rPr>
                            <w:spacing w:val="-2"/>
                            <w:sz w:val="18"/>
                          </w:rPr>
                          <w:t>Employee</w:t>
                        </w:r>
                        <w:r>
                          <w:rPr>
                            <w:sz w:val="18"/>
                          </w:rPr>
                          <w:tab/>
                          <w:tab/>
                        </w:r>
                        <w:r>
                          <w:rPr>
                            <w:spacing w:val="-36"/>
                            <w:sz w:val="18"/>
                          </w:rPr>
                          <w:t> </w:t>
                        </w:r>
                        <w:r>
                          <w:rPr>
                            <w:spacing w:val="-2"/>
                            <w:sz w:val="18"/>
                          </w:rPr>
                          <w:t>Investor</w:t>
                        </w:r>
                        <w:r>
                          <w:rPr>
                            <w:sz w:val="18"/>
                          </w:rPr>
                          <w:tab/>
                          <w:tab/>
                        </w:r>
                        <w:r>
                          <w:rPr>
                            <w:spacing w:val="-2"/>
                            <w:sz w:val="18"/>
                          </w:rPr>
                          <w:t>Employee</w:t>
                        </w:r>
                        <w:r>
                          <w:rPr>
                            <w:sz w:val="18"/>
                          </w:rPr>
                          <w:tab/>
                          <w:tab/>
                        </w:r>
                        <w:r>
                          <w:rPr>
                            <w:spacing w:val="-31"/>
                            <w:sz w:val="18"/>
                          </w:rPr>
                          <w:t> </w:t>
                        </w:r>
                        <w:r>
                          <w:rPr>
                            <w:sz w:val="18"/>
                          </w:rPr>
                          <w:t>Advisor </w:t>
                        </w:r>
                        <w:r>
                          <w:rPr>
                            <w:spacing w:val="-2"/>
                            <w:sz w:val="18"/>
                          </w:rPr>
                          <w:t>Compensation</w:t>
                        </w:r>
                        <w:r>
                          <w:rPr>
                            <w:sz w:val="18"/>
                          </w:rPr>
                          <w:tab/>
                          <w:t>Facility</w:t>
                        </w:r>
                        <w:r>
                          <w:rPr>
                            <w:spacing w:val="-1"/>
                            <w:sz w:val="18"/>
                          </w:rPr>
                          <w:t> </w:t>
                        </w:r>
                        <w:r>
                          <w:rPr>
                            <w:spacing w:val="-4"/>
                            <w:sz w:val="18"/>
                          </w:rPr>
                          <w:t>Exit</w:t>
                        </w:r>
                        <w:r>
                          <w:rPr>
                            <w:sz w:val="18"/>
                          </w:rPr>
                          <w:tab/>
                        </w:r>
                        <w:r>
                          <w:rPr>
                            <w:spacing w:val="-2"/>
                            <w:sz w:val="18"/>
                          </w:rPr>
                          <w:t>Services</w:t>
                        </w:r>
                        <w:r>
                          <w:rPr>
                            <w:sz w:val="18"/>
                          </w:rPr>
                          <w:tab/>
                        </w:r>
                        <w:r>
                          <w:rPr>
                            <w:spacing w:val="-2"/>
                            <w:sz w:val="18"/>
                          </w:rPr>
                          <w:t>Compensation</w:t>
                        </w:r>
                        <w:r>
                          <w:rPr>
                            <w:sz w:val="18"/>
                          </w:rPr>
                          <w:tab/>
                          <w:t>Facility</w:t>
                        </w:r>
                        <w:r>
                          <w:rPr>
                            <w:spacing w:val="-3"/>
                            <w:sz w:val="18"/>
                          </w:rPr>
                          <w:t> </w:t>
                        </w:r>
                        <w:r>
                          <w:rPr>
                            <w:spacing w:val="-4"/>
                            <w:sz w:val="18"/>
                          </w:rPr>
                          <w:t>Exit</w:t>
                        </w:r>
                        <w:r>
                          <w:rPr>
                            <w:sz w:val="18"/>
                          </w:rPr>
                          <w:tab/>
                        </w:r>
                        <w:r>
                          <w:rPr>
                            <w:spacing w:val="-2"/>
                            <w:sz w:val="18"/>
                          </w:rPr>
                          <w:t>Services</w:t>
                        </w:r>
                      </w:p>
                      <w:p>
                        <w:pPr>
                          <w:tabs>
                            <w:tab w:pos="1601" w:val="left" w:leader="none"/>
                            <w:tab w:pos="2767" w:val="left" w:leader="none"/>
                            <w:tab w:pos="3667" w:val="left" w:leader="none"/>
                            <w:tab w:pos="5201" w:val="left" w:leader="none"/>
                            <w:tab w:pos="6367" w:val="left" w:leader="none"/>
                            <w:tab w:pos="7169" w:val="left" w:leader="none"/>
                          </w:tabs>
                          <w:spacing w:line="185" w:lineRule="exact" w:before="0"/>
                          <w:ind w:left="67" w:right="0" w:firstLine="0"/>
                          <w:jc w:val="left"/>
                          <w:rPr>
                            <w:sz w:val="18"/>
                          </w:rPr>
                        </w:pPr>
                        <w:r>
                          <w:rPr>
                            <w:sz w:val="18"/>
                          </w:rPr>
                          <w:t>and </w:t>
                        </w:r>
                        <w:r>
                          <w:rPr>
                            <w:spacing w:val="-2"/>
                            <w:sz w:val="18"/>
                          </w:rPr>
                          <w:t>Benefits</w:t>
                        </w:r>
                        <w:r>
                          <w:rPr>
                            <w:sz w:val="18"/>
                          </w:rPr>
                          <w:tab/>
                          <w:t>Costs</w:t>
                        </w:r>
                        <w:r>
                          <w:rPr>
                            <w:spacing w:val="-2"/>
                            <w:sz w:val="18"/>
                          </w:rPr>
                          <w:t> </w:t>
                        </w:r>
                        <w:r>
                          <w:rPr>
                            <w:spacing w:val="-5"/>
                            <w:sz w:val="18"/>
                            <w:vertAlign w:val="superscript"/>
                          </w:rPr>
                          <w:t>(1)</w:t>
                        </w:r>
                        <w:r>
                          <w:rPr>
                            <w:sz w:val="18"/>
                            <w:vertAlign w:val="baseline"/>
                          </w:rPr>
                          <w:tab/>
                        </w:r>
                        <w:r>
                          <w:rPr>
                            <w:spacing w:val="-2"/>
                            <w:sz w:val="18"/>
                            <w:vertAlign w:val="baseline"/>
                          </w:rPr>
                          <w:t>Total</w:t>
                        </w:r>
                        <w:r>
                          <w:rPr>
                            <w:sz w:val="18"/>
                            <w:vertAlign w:val="baseline"/>
                          </w:rPr>
                          <w:tab/>
                          <w:t>and</w:t>
                        </w:r>
                        <w:r>
                          <w:rPr>
                            <w:spacing w:val="-2"/>
                            <w:sz w:val="18"/>
                            <w:vertAlign w:val="baseline"/>
                          </w:rPr>
                          <w:t> Benefits</w:t>
                        </w:r>
                        <w:r>
                          <w:rPr>
                            <w:sz w:val="18"/>
                            <w:vertAlign w:val="baseline"/>
                          </w:rPr>
                          <w:tab/>
                          <w:t>Costs</w:t>
                        </w:r>
                        <w:r>
                          <w:rPr>
                            <w:spacing w:val="-4"/>
                            <w:sz w:val="18"/>
                            <w:vertAlign w:val="baseline"/>
                          </w:rPr>
                          <w:t> </w:t>
                        </w:r>
                        <w:r>
                          <w:rPr>
                            <w:spacing w:val="-5"/>
                            <w:sz w:val="18"/>
                            <w:vertAlign w:val="superscript"/>
                          </w:rPr>
                          <w:t>(1)</w:t>
                        </w:r>
                        <w:r>
                          <w:rPr>
                            <w:sz w:val="18"/>
                            <w:vertAlign w:val="baseline"/>
                          </w:rPr>
                          <w:tab/>
                        </w:r>
                        <w:r>
                          <w:rPr>
                            <w:spacing w:val="-2"/>
                            <w:sz w:val="18"/>
                            <w:vertAlign w:val="baseline"/>
                          </w:rPr>
                          <w:t>Total</w:t>
                        </w:r>
                        <w:r>
                          <w:rPr>
                            <w:sz w:val="18"/>
                            <w:vertAlign w:val="baseline"/>
                          </w:rPr>
                          <w:tab/>
                        </w:r>
                        <w:r>
                          <w:rPr>
                            <w:spacing w:val="-2"/>
                            <w:sz w:val="18"/>
                            <w:vertAlign w:val="baseline"/>
                          </w:rPr>
                          <w:t>Total</w:t>
                        </w:r>
                      </w:p>
                    </w:txbxContent>
                  </v:textbox>
                  <w10:wrap type="none"/>
                </v:shape>
                <v:shape style="position:absolute;left:1042;top:1679;width:1940;height:200" type="#_x0000_t202" id="docshape389" filled="false" stroked="false">
                  <v:textbox inset="0,0,0,0">
                    <w:txbxContent>
                      <w:p>
                        <w:pPr>
                          <w:spacing w:line="199" w:lineRule="exact" w:before="0"/>
                          <w:ind w:left="0" w:right="0" w:firstLine="0"/>
                          <w:jc w:val="left"/>
                          <w:rPr>
                            <w:sz w:val="18"/>
                          </w:rPr>
                        </w:pPr>
                        <w:r>
                          <w:rPr>
                            <w:sz w:val="18"/>
                          </w:rPr>
                          <w:t>Occupancy</w:t>
                        </w:r>
                        <w:r>
                          <w:rPr>
                            <w:spacing w:val="-1"/>
                            <w:sz w:val="18"/>
                          </w:rPr>
                          <w:t> </w:t>
                        </w:r>
                        <w:r>
                          <w:rPr>
                            <w:sz w:val="18"/>
                          </w:rPr>
                          <w:t>and </w:t>
                        </w:r>
                        <w:r>
                          <w:rPr>
                            <w:spacing w:val="-2"/>
                            <w:sz w:val="18"/>
                          </w:rPr>
                          <w:t>equipment</w:t>
                        </w:r>
                      </w:p>
                    </w:txbxContent>
                  </v:textbox>
                  <w10:wrap type="none"/>
                </v:shape>
                <v:shape style="position:absolute;left:4500;top:1679;width:200;height:200" type="#_x0000_t202" id="docshape390"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5865;top:1679;width:110;height:200" type="#_x0000_t202" id="docshape391" filled="false" stroked="false">
                  <v:textbox inset="0,0,0,0">
                    <w:txbxContent>
                      <w:p>
                        <w:pPr>
                          <w:spacing w:line="199" w:lineRule="exact" w:before="0"/>
                          <w:ind w:left="0" w:right="0" w:firstLine="0"/>
                          <w:jc w:val="left"/>
                          <w:rPr>
                            <w:sz w:val="18"/>
                          </w:rPr>
                        </w:pPr>
                        <w:r>
                          <w:rPr>
                            <w:spacing w:val="-10"/>
                            <w:sz w:val="18"/>
                          </w:rPr>
                          <w:t>1</w:t>
                        </w:r>
                      </w:p>
                    </w:txbxContent>
                  </v:textbox>
                  <w10:wrap type="none"/>
                </v:shape>
                <v:shape style="position:absolute;left:6720;top:1679;width:110;height:200" type="#_x0000_t202" id="docshape392" filled="false" stroked="false">
                  <v:textbox inset="0,0,0,0">
                    <w:txbxContent>
                      <w:p>
                        <w:pPr>
                          <w:spacing w:line="199" w:lineRule="exact" w:before="0"/>
                          <w:ind w:left="0" w:right="0" w:firstLine="0"/>
                          <w:jc w:val="left"/>
                          <w:rPr>
                            <w:sz w:val="18"/>
                          </w:rPr>
                        </w:pPr>
                        <w:r>
                          <w:rPr>
                            <w:spacing w:val="-10"/>
                            <w:sz w:val="18"/>
                          </w:rPr>
                          <w:t>1</w:t>
                        </w:r>
                      </w:p>
                    </w:txbxContent>
                  </v:textbox>
                  <w10:wrap type="none"/>
                </v:shape>
                <v:shape style="position:absolute;left:8100;top:1679;width:200;height:200" type="#_x0000_t202" id="docshape393"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9465;top:1679;width:110;height:200" type="#_x0000_t202" id="docshape394" filled="false" stroked="false">
                  <v:textbox inset="0,0,0,0">
                    <w:txbxContent>
                      <w:p>
                        <w:pPr>
                          <w:spacing w:line="199" w:lineRule="exact" w:before="0"/>
                          <w:ind w:left="0" w:right="0" w:firstLine="0"/>
                          <w:jc w:val="left"/>
                          <w:rPr>
                            <w:sz w:val="18"/>
                          </w:rPr>
                        </w:pPr>
                        <w:r>
                          <w:rPr>
                            <w:spacing w:val="-10"/>
                            <w:sz w:val="18"/>
                          </w:rPr>
                          <w:t>1</w:t>
                        </w:r>
                      </w:p>
                    </w:txbxContent>
                  </v:textbox>
                  <w10:wrap type="none"/>
                </v:shape>
                <v:shape style="position:absolute;left:10320;top:1679;width:110;height:200" type="#_x0000_t202" id="docshape395" filled="false" stroked="false">
                  <v:textbox inset="0,0,0,0">
                    <w:txbxContent>
                      <w:p>
                        <w:pPr>
                          <w:spacing w:line="199" w:lineRule="exact" w:before="0"/>
                          <w:ind w:left="0" w:right="0" w:firstLine="0"/>
                          <w:jc w:val="left"/>
                          <w:rPr>
                            <w:sz w:val="18"/>
                          </w:rPr>
                        </w:pPr>
                        <w:r>
                          <w:rPr>
                            <w:spacing w:val="-10"/>
                            <w:sz w:val="18"/>
                          </w:rPr>
                          <w:t>1</w:t>
                        </w:r>
                      </w:p>
                    </w:txbxContent>
                  </v:textbox>
                  <w10:wrap type="none"/>
                </v:shape>
                <v:shape style="position:absolute;left:11085;top:1679;width:110;height:200" type="#_x0000_t202" id="docshape396" filled="false" stroked="false">
                  <v:textbox inset="0,0,0,0">
                    <w:txbxContent>
                      <w:p>
                        <w:pPr>
                          <w:spacing w:line="199" w:lineRule="exact" w:before="0"/>
                          <w:ind w:left="0" w:right="0" w:firstLine="0"/>
                          <w:jc w:val="left"/>
                          <w:rPr>
                            <w:sz w:val="18"/>
                          </w:rPr>
                        </w:pPr>
                        <w:r>
                          <w:rPr>
                            <w:spacing w:val="-10"/>
                            <w:sz w:val="18"/>
                          </w:rPr>
                          <w:t>2</w:t>
                        </w:r>
                      </w:p>
                    </w:txbxContent>
                  </v:textbox>
                  <w10:wrap type="none"/>
                </v:shape>
                <v:shape style="position:absolute;left:990;top:1908;width:10260;height:250" type="#_x0000_t202" id="docshape397" filled="false" stroked="false">
                  <v:textbox inset="0,0,0,0">
                    <w:txbxContent>
                      <w:p>
                        <w:pPr>
                          <w:tabs>
                            <w:tab w:pos="3510" w:val="left" w:leader="none"/>
                            <w:tab w:pos="4874" w:val="left" w:leader="none"/>
                            <w:tab w:pos="5730" w:val="left" w:leader="none"/>
                            <w:tab w:pos="7110" w:val="left" w:leader="none"/>
                            <w:tab w:pos="8384" w:val="left" w:leader="none"/>
                            <w:tab w:pos="9240" w:val="left" w:leader="none"/>
                            <w:tab w:pos="10184" w:val="right" w:leader="none"/>
                          </w:tabs>
                          <w:spacing w:before="18"/>
                          <w:ind w:left="52" w:right="0" w:firstLine="0"/>
                          <w:jc w:val="left"/>
                          <w:rPr>
                            <w:sz w:val="18"/>
                          </w:rPr>
                        </w:pPr>
                        <w:r>
                          <w:rPr>
                            <w:spacing w:val="-2"/>
                            <w:sz w:val="18"/>
                          </w:rPr>
                          <w:t>Other</w:t>
                        </w:r>
                        <w:r>
                          <w:rPr>
                            <w:sz w:val="18"/>
                          </w:rPr>
                          <w:tab/>
                        </w:r>
                        <w:r>
                          <w:rPr>
                            <w:spacing w:val="-10"/>
                            <w:sz w:val="18"/>
                          </w:rPr>
                          <w:t>—</w:t>
                        </w:r>
                        <w:r>
                          <w:rPr>
                            <w:sz w:val="18"/>
                          </w:rPr>
                          <w:tab/>
                        </w:r>
                        <w:r>
                          <w:rPr>
                            <w:spacing w:val="-10"/>
                            <w:sz w:val="18"/>
                          </w:rPr>
                          <w:t>1</w:t>
                        </w:r>
                        <w:r>
                          <w:rPr>
                            <w:sz w:val="18"/>
                          </w:rPr>
                          <w:tab/>
                        </w:r>
                        <w:r>
                          <w:rPr>
                            <w:spacing w:val="-10"/>
                            <w:sz w:val="18"/>
                          </w:rPr>
                          <w:t>1</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1</w:t>
                        </w:r>
                      </w:p>
                    </w:txbxContent>
                  </v:textbox>
                  <w10:wrap type="none"/>
                </v:shape>
                <v:shape style="position:absolute;left:990;top:1403;width:10260;height:250" type="#_x0000_t202" id="docshape398" filled="false" stroked="false">
                  <v:textbox inset="0,0,0,0">
                    <w:txbxContent>
                      <w:p>
                        <w:pPr>
                          <w:tabs>
                            <w:tab w:pos="2422" w:val="left" w:leader="none"/>
                            <w:tab w:pos="3420" w:val="left" w:leader="none"/>
                            <w:tab w:pos="3892" w:val="left" w:leader="none"/>
                            <w:tab w:pos="4784" w:val="left" w:leader="none"/>
                            <w:tab w:pos="5167" w:val="left" w:leader="none"/>
                            <w:tab w:pos="5550" w:val="left" w:leader="none"/>
                            <w:tab w:pos="6022" w:val="left" w:leader="none"/>
                            <w:tab w:pos="7110" w:val="left" w:leader="none"/>
                            <w:tab w:pos="7492" w:val="left" w:leader="none"/>
                            <w:tab w:pos="8384" w:val="left" w:leader="none"/>
                            <w:tab w:pos="8767" w:val="left" w:leader="none"/>
                            <w:tab w:pos="9240" w:val="left" w:leader="none"/>
                            <w:tab w:pos="9914" w:val="left" w:leader="none"/>
                          </w:tabs>
                          <w:spacing w:before="13"/>
                          <w:ind w:left="52" w:right="0" w:firstLine="0"/>
                          <w:jc w:val="left"/>
                          <w:rPr>
                            <w:sz w:val="18"/>
                          </w:rPr>
                        </w:pPr>
                        <w:r>
                          <w:rPr>
                            <w:sz w:val="18"/>
                          </w:rPr>
                          <w:t>Compensation</w:t>
                        </w:r>
                        <w:r>
                          <w:rPr>
                            <w:spacing w:val="-3"/>
                            <w:sz w:val="18"/>
                          </w:rPr>
                          <w:t> </w:t>
                        </w:r>
                        <w:r>
                          <w:rPr>
                            <w:sz w:val="18"/>
                          </w:rPr>
                          <w:t>and </w:t>
                        </w:r>
                        <w:r>
                          <w:rPr>
                            <w:spacing w:val="-2"/>
                            <w:sz w:val="18"/>
                          </w:rPr>
                          <w:t>benefits</w:t>
                        </w:r>
                        <w:r>
                          <w:rPr>
                            <w:sz w:val="18"/>
                          </w:rPr>
                          <w:tab/>
                        </w:r>
                        <w:r>
                          <w:rPr>
                            <w:spacing w:val="-10"/>
                            <w:sz w:val="18"/>
                          </w:rPr>
                          <w:t>$</w:t>
                        </w:r>
                        <w:r>
                          <w:rPr>
                            <w:sz w:val="18"/>
                          </w:rPr>
                          <w:tab/>
                        </w:r>
                        <w:r>
                          <w:rPr>
                            <w:spacing w:val="-5"/>
                            <w:sz w:val="18"/>
                          </w:rPr>
                          <w:t>202</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5"/>
                            <w:sz w:val="18"/>
                          </w:rPr>
                          <w:t>202</w:t>
                        </w:r>
                        <w:r>
                          <w:rPr>
                            <w:sz w:val="18"/>
                          </w:rPr>
                          <w:tab/>
                        </w:r>
                        <w:r>
                          <w:rPr>
                            <w:spacing w:val="-10"/>
                            <w:sz w:val="18"/>
                          </w:rPr>
                          <w:t>$</w:t>
                        </w:r>
                        <w:r>
                          <w:rPr>
                            <w:sz w:val="18"/>
                          </w:rPr>
                          <w:tab/>
                        </w:r>
                        <w:r>
                          <w:rPr>
                            <w:spacing w:val="-5"/>
                            <w:sz w:val="18"/>
                          </w:rPr>
                          <w:t>74</w:t>
                        </w:r>
                        <w:r>
                          <w:rPr>
                            <w:sz w:val="18"/>
                          </w:rPr>
                          <w:tab/>
                        </w:r>
                        <w:r>
                          <w:rPr>
                            <w:spacing w:val="-10"/>
                            <w:sz w:val="18"/>
                          </w:rPr>
                          <w:t>$</w:t>
                        </w:r>
                        <w:r>
                          <w:rPr>
                            <w:sz w:val="18"/>
                          </w:rPr>
                          <w:tab/>
                        </w:r>
                        <w:r>
                          <w:rPr>
                            <w:spacing w:val="-10"/>
                            <w:sz w:val="18"/>
                          </w:rPr>
                          <w:t>—</w:t>
                        </w:r>
                        <w:r>
                          <w:rPr>
                            <w:sz w:val="18"/>
                          </w:rPr>
                          <w:tab/>
                        </w:r>
                        <w:r>
                          <w:rPr>
                            <w:spacing w:val="-10"/>
                            <w:sz w:val="18"/>
                          </w:rPr>
                          <w:t>$</w:t>
                        </w:r>
                        <w:r>
                          <w:rPr>
                            <w:sz w:val="18"/>
                          </w:rPr>
                          <w:tab/>
                          <w:t>74</w:t>
                        </w:r>
                        <w:r>
                          <w:rPr>
                            <w:spacing w:val="48"/>
                            <w:sz w:val="18"/>
                          </w:rPr>
                          <w:t>  </w:t>
                        </w:r>
                        <w:r>
                          <w:rPr>
                            <w:spacing w:val="-10"/>
                            <w:sz w:val="18"/>
                          </w:rPr>
                          <w:t>$</w:t>
                        </w:r>
                        <w:r>
                          <w:rPr>
                            <w:sz w:val="18"/>
                          </w:rPr>
                          <w:tab/>
                        </w:r>
                        <w:r>
                          <w:rPr>
                            <w:spacing w:val="-5"/>
                            <w:sz w:val="18"/>
                          </w:rPr>
                          <w:t>276</w:t>
                        </w:r>
                      </w:p>
                    </w:txbxContent>
                  </v:textbox>
                  <w10:wrap type="none"/>
                </v:shape>
                <w10:wrap type="topAndBottom"/>
              </v:group>
            </w:pict>
          </mc:Fallback>
        </mc:AlternateContent>
      </w:r>
      <w:r>
        <w:rPr/>
        <w:t>The</w:t>
      </w:r>
      <w:r>
        <w:rPr>
          <w:spacing w:val="-4"/>
        </w:rPr>
        <w:t> </w:t>
      </w:r>
      <w:r>
        <w:rPr/>
        <w:t>following</w:t>
      </w:r>
      <w:r>
        <w:rPr>
          <w:spacing w:val="-3"/>
        </w:rPr>
        <w:t> </w:t>
      </w:r>
      <w:r>
        <w:rPr/>
        <w:t>table</w:t>
      </w:r>
      <w:r>
        <w:rPr>
          <w:spacing w:val="-4"/>
        </w:rPr>
        <w:t> </w:t>
      </w:r>
      <w:r>
        <w:rPr/>
        <w:t>summarizes</w:t>
      </w:r>
      <w:r>
        <w:rPr>
          <w:spacing w:val="-4"/>
        </w:rPr>
        <w:t> </w:t>
      </w:r>
      <w:r>
        <w:rPr/>
        <w:t>the</w:t>
      </w:r>
      <w:r>
        <w:rPr>
          <w:spacing w:val="-4"/>
        </w:rPr>
        <w:t> </w:t>
      </w:r>
      <w:r>
        <w:rPr/>
        <w:t>restructuring</w:t>
      </w:r>
      <w:r>
        <w:rPr>
          <w:spacing w:val="-3"/>
        </w:rPr>
        <w:t> </w:t>
      </w:r>
      <w:r>
        <w:rPr/>
        <w:t>exit</w:t>
      </w:r>
      <w:r>
        <w:rPr>
          <w:spacing w:val="-4"/>
        </w:rPr>
        <w:t> </w:t>
      </w:r>
      <w:r>
        <w:rPr/>
        <w:t>and</w:t>
      </w:r>
      <w:r>
        <w:rPr>
          <w:spacing w:val="-3"/>
        </w:rPr>
        <w:t> </w:t>
      </w:r>
      <w:r>
        <w:rPr/>
        <w:t>other</w:t>
      </w:r>
      <w:r>
        <w:rPr>
          <w:spacing w:val="-3"/>
        </w:rPr>
        <w:t> </w:t>
      </w:r>
      <w:r>
        <w:rPr/>
        <w:t>related</w:t>
      </w:r>
      <w:r>
        <w:rPr>
          <w:spacing w:val="-3"/>
        </w:rPr>
        <w:t> </w:t>
      </w:r>
      <w:r>
        <w:rPr/>
        <w:t>costs</w:t>
      </w:r>
      <w:r>
        <w:rPr>
          <w:spacing w:val="-4"/>
        </w:rPr>
        <w:t> </w:t>
      </w:r>
      <w:r>
        <w:rPr/>
        <w:t>recognized</w:t>
      </w:r>
      <w:r>
        <w:rPr>
          <w:spacing w:val="-3"/>
        </w:rPr>
        <w:t> </w:t>
      </w:r>
      <w:r>
        <w:rPr/>
        <w:t>in</w:t>
      </w:r>
      <w:r>
        <w:rPr>
          <w:spacing w:val="-3"/>
        </w:rPr>
        <w:t> </w:t>
      </w:r>
      <w:r>
        <w:rPr/>
        <w:t>expense</w:t>
      </w:r>
      <w:r>
        <w:rPr>
          <w:spacing w:val="-4"/>
        </w:rPr>
        <w:t> </w:t>
      </w:r>
      <w:r>
        <w:rPr/>
        <w:t>for</w:t>
      </w:r>
      <w:r>
        <w:rPr>
          <w:spacing w:val="-3"/>
        </w:rPr>
        <w:t> </w:t>
      </w:r>
      <w:r>
        <w:rPr/>
        <w:t>the</w:t>
      </w:r>
      <w:r>
        <w:rPr>
          <w:spacing w:val="-4"/>
        </w:rPr>
        <w:t> </w:t>
      </w:r>
      <w:r>
        <w:rPr/>
        <w:t>three</w:t>
      </w:r>
      <w:r>
        <w:rPr>
          <w:spacing w:val="-4"/>
        </w:rPr>
        <w:t> </w:t>
      </w:r>
      <w:r>
        <w:rPr/>
        <w:t>and nine months ended September 30, 2023, which represents cumulative costs incurred to date:</w:t>
      </w:r>
    </w:p>
    <w:p>
      <w:pPr>
        <w:tabs>
          <w:tab w:pos="2892" w:val="left" w:leader="none"/>
          <w:tab w:pos="3890" w:val="left" w:leader="none"/>
          <w:tab w:pos="4362" w:val="left" w:leader="none"/>
          <w:tab w:pos="5344" w:val="left" w:leader="none"/>
          <w:tab w:pos="5637" w:val="left" w:leader="none"/>
          <w:tab w:pos="6020" w:val="left" w:leader="none"/>
          <w:tab w:pos="6492" w:val="left" w:leader="none"/>
          <w:tab w:pos="7580" w:val="left" w:leader="none"/>
          <w:tab w:pos="7962" w:val="left" w:leader="none"/>
          <w:tab w:pos="8944" w:val="left" w:leader="none"/>
          <w:tab w:pos="9237" w:val="left" w:leader="none"/>
          <w:tab w:pos="9710" w:val="left" w:leader="none"/>
          <w:tab w:pos="10384" w:val="left" w:leader="none"/>
        </w:tabs>
        <w:spacing w:before="13"/>
        <w:ind w:left="642" w:right="0" w:firstLine="0"/>
        <w:jc w:val="left"/>
        <w:rPr>
          <w:sz w:val="18"/>
        </w:rPr>
      </w:pPr>
      <w:r>
        <w:rPr>
          <w:spacing w:val="-2"/>
          <w:sz w:val="18"/>
        </w:rPr>
        <w:t>Total</w:t>
      </w:r>
      <w:r>
        <w:rPr>
          <w:sz w:val="18"/>
        </w:rPr>
        <w:tab/>
      </w:r>
      <w:r>
        <w:rPr>
          <w:spacing w:val="-10"/>
          <w:sz w:val="18"/>
        </w:rPr>
        <w:t>$</w:t>
      </w:r>
      <w:r>
        <w:rPr>
          <w:sz w:val="18"/>
        </w:rPr>
        <w:tab/>
      </w:r>
      <w:r>
        <w:rPr>
          <w:spacing w:val="-5"/>
          <w:sz w:val="18"/>
        </w:rPr>
        <w:t>202</w:t>
      </w:r>
      <w:r>
        <w:rPr>
          <w:sz w:val="18"/>
        </w:rPr>
        <w:tab/>
      </w:r>
      <w:r>
        <w:rPr>
          <w:spacing w:val="-10"/>
          <w:sz w:val="18"/>
        </w:rPr>
        <w:t>$</w:t>
      </w:r>
      <w:r>
        <w:rPr>
          <w:sz w:val="18"/>
        </w:rPr>
        <w:tab/>
      </w:r>
      <w:r>
        <w:rPr>
          <w:spacing w:val="-10"/>
          <w:sz w:val="18"/>
        </w:rPr>
        <w:t>2</w:t>
      </w:r>
      <w:r>
        <w:rPr>
          <w:sz w:val="18"/>
        </w:rPr>
        <w:tab/>
      </w:r>
      <w:r>
        <w:rPr>
          <w:spacing w:val="-10"/>
          <w:sz w:val="18"/>
        </w:rPr>
        <w:t>$</w:t>
      </w:r>
      <w:r>
        <w:rPr>
          <w:sz w:val="18"/>
        </w:rPr>
        <w:tab/>
      </w:r>
      <w:r>
        <w:rPr>
          <w:spacing w:val="-5"/>
          <w:sz w:val="18"/>
        </w:rPr>
        <w:t>204</w:t>
      </w:r>
      <w:r>
        <w:rPr>
          <w:sz w:val="18"/>
        </w:rPr>
        <w:tab/>
      </w:r>
      <w:r>
        <w:rPr>
          <w:spacing w:val="-10"/>
          <w:sz w:val="18"/>
        </w:rPr>
        <w:t>$</w:t>
      </w:r>
      <w:r>
        <w:rPr>
          <w:sz w:val="18"/>
        </w:rPr>
        <w:tab/>
      </w:r>
      <w:r>
        <w:rPr>
          <w:spacing w:val="-5"/>
          <w:sz w:val="18"/>
        </w:rPr>
        <w:t>74</w:t>
      </w:r>
      <w:r>
        <w:rPr>
          <w:sz w:val="18"/>
        </w:rPr>
        <w:tab/>
      </w:r>
      <w:r>
        <w:rPr>
          <w:spacing w:val="-10"/>
          <w:sz w:val="18"/>
        </w:rPr>
        <w:t>$</w:t>
      </w:r>
      <w:r>
        <w:rPr>
          <w:sz w:val="18"/>
        </w:rPr>
        <w:tab/>
      </w:r>
      <w:r>
        <w:rPr>
          <w:spacing w:val="-10"/>
          <w:sz w:val="18"/>
        </w:rPr>
        <w:t>1</w:t>
      </w:r>
      <w:r>
        <w:rPr>
          <w:sz w:val="18"/>
        </w:rPr>
        <w:tab/>
      </w:r>
      <w:r>
        <w:rPr>
          <w:spacing w:val="-10"/>
          <w:sz w:val="18"/>
        </w:rPr>
        <w:t>$</w:t>
      </w:r>
      <w:r>
        <w:rPr>
          <w:sz w:val="18"/>
        </w:rPr>
        <w:tab/>
        <w:t>75</w:t>
      </w:r>
      <w:r>
        <w:rPr>
          <w:spacing w:val="48"/>
          <w:sz w:val="18"/>
        </w:rPr>
        <w:t>  </w:t>
      </w:r>
      <w:r>
        <w:rPr>
          <w:spacing w:val="-10"/>
          <w:sz w:val="18"/>
        </w:rPr>
        <w:t>$</w:t>
      </w:r>
      <w:r>
        <w:rPr>
          <w:sz w:val="18"/>
        </w:rPr>
        <w:tab/>
      </w:r>
      <w:r>
        <w:rPr>
          <w:spacing w:val="-5"/>
          <w:sz w:val="18"/>
        </w:rPr>
        <w:t>279</w:t>
      </w:r>
    </w:p>
    <w:p>
      <w:pPr>
        <w:pStyle w:val="BodyText"/>
        <w:spacing w:line="60" w:lineRule="exact"/>
        <w:ind w:left="460"/>
        <w:rPr>
          <w:sz w:val="6"/>
        </w:rPr>
      </w:pPr>
      <w:r>
        <w:rPr>
          <w:position w:val="0"/>
          <w:sz w:val="6"/>
        </w:rPr>
        <mc:AlternateContent>
          <mc:Choice Requires="wps">
            <w:drawing>
              <wp:inline distT="0" distB="0" distL="0" distR="0">
                <wp:extent cx="6515100" cy="38100"/>
                <wp:effectExtent l="9525" t="0" r="0" b="0"/>
                <wp:docPr id="552" name="Group 552"/>
                <wp:cNvGraphicFramePr>
                  <a:graphicFrameLocks/>
                </wp:cNvGraphicFramePr>
                <a:graphic>
                  <a:graphicData uri="http://schemas.microsoft.com/office/word/2010/wordprocessingGroup">
                    <wpg:wgp>
                      <wpg:cNvPr id="552" name="Group 552"/>
                      <wpg:cNvGrpSpPr/>
                      <wpg:grpSpPr>
                        <a:xfrm>
                          <a:off x="0" y="0"/>
                          <a:ext cx="6515100" cy="38100"/>
                          <a:chExt cx="6515100" cy="38100"/>
                        </a:xfrm>
                      </wpg:grpSpPr>
                      <wps:wsp>
                        <wps:cNvPr id="553" name="Graphic 553"/>
                        <wps:cNvSpPr/>
                        <wps:spPr>
                          <a:xfrm>
                            <a:off x="0" y="6350"/>
                            <a:ext cx="6515100" cy="25400"/>
                          </a:xfrm>
                          <a:custGeom>
                            <a:avLst/>
                            <a:gdLst/>
                            <a:ahLst/>
                            <a:cxnLst/>
                            <a:rect l="l" t="t" r="r" b="b"/>
                            <a:pathLst>
                              <a:path w="6515100" h="25400">
                                <a:moveTo>
                                  <a:pt x="0" y="0"/>
                                </a:moveTo>
                                <a:lnTo>
                                  <a:pt x="6515100" y="0"/>
                                </a:lnTo>
                              </a:path>
                              <a:path w="6515100" h="25400">
                                <a:moveTo>
                                  <a:pt x="0" y="25399"/>
                                </a:moveTo>
                                <a:lnTo>
                                  <a:pt x="6515100" y="25399"/>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3pt;height:3pt;mso-position-horizontal-relative:char;mso-position-vertical-relative:line" id="docshapegroup399" coordorigin="0,0" coordsize="10260,60">
                <v:shape style="position:absolute;left:0;top:10;width:10260;height:40" id="docshape400" coordorigin="0,10" coordsize="10260,40" path="m0,10l10260,10m0,50l10260,50e" filled="false" stroked="true" strokeweight="1pt" strokecolor="#000000">
                  <v:path arrowok="t"/>
                  <v:stroke dashstyle="solid"/>
                </v:shape>
              </v:group>
            </w:pict>
          </mc:Fallback>
        </mc:AlternateContent>
      </w:r>
      <w:r>
        <w:rPr>
          <w:position w:val="0"/>
          <w:sz w:val="6"/>
        </w:rPr>
      </w:r>
    </w:p>
    <w:p>
      <w:pPr>
        <w:spacing w:line="249" w:lineRule="auto" w:before="31"/>
        <w:ind w:left="650" w:right="500" w:hanging="180"/>
        <w:jc w:val="left"/>
        <w:rPr>
          <w:sz w:val="16"/>
        </w:rPr>
      </w:pPr>
      <w:r>
        <w:rPr>
          <w:sz w:val="16"/>
          <w:vertAlign w:val="superscript"/>
        </w:rPr>
        <w:t>(1)</w:t>
      </w:r>
      <w:r>
        <w:rPr>
          <w:spacing w:val="-15"/>
          <w:sz w:val="16"/>
          <w:vertAlign w:val="baseline"/>
        </w:rPr>
        <w:t> </w:t>
      </w:r>
      <w:r>
        <w:rPr>
          <w:sz w:val="16"/>
          <w:vertAlign w:val="baseline"/>
        </w:rPr>
        <w:t>Costs</w:t>
      </w:r>
      <w:r>
        <w:rPr>
          <w:spacing w:val="-4"/>
          <w:sz w:val="16"/>
          <w:vertAlign w:val="baseline"/>
        </w:rPr>
        <w:t> </w:t>
      </w:r>
      <w:r>
        <w:rPr>
          <w:sz w:val="16"/>
          <w:vertAlign w:val="baseline"/>
        </w:rPr>
        <w:t>related</w:t>
      </w:r>
      <w:r>
        <w:rPr>
          <w:spacing w:val="-2"/>
          <w:sz w:val="16"/>
          <w:vertAlign w:val="baseline"/>
        </w:rPr>
        <w:t> </w:t>
      </w:r>
      <w:r>
        <w:rPr>
          <w:sz w:val="16"/>
          <w:vertAlign w:val="baseline"/>
        </w:rPr>
        <w:t>to</w:t>
      </w:r>
      <w:r>
        <w:rPr>
          <w:spacing w:val="-2"/>
          <w:sz w:val="16"/>
          <w:vertAlign w:val="baseline"/>
        </w:rPr>
        <w:t> </w:t>
      </w:r>
      <w:r>
        <w:rPr>
          <w:sz w:val="16"/>
          <w:vertAlign w:val="baseline"/>
        </w:rPr>
        <w:t>facility</w:t>
      </w:r>
      <w:r>
        <w:rPr>
          <w:spacing w:val="-2"/>
          <w:sz w:val="16"/>
          <w:vertAlign w:val="baseline"/>
        </w:rPr>
        <w:t> </w:t>
      </w:r>
      <w:r>
        <w:rPr>
          <w:sz w:val="16"/>
          <w:vertAlign w:val="baseline"/>
        </w:rPr>
        <w:t>closures.</w:t>
      </w:r>
      <w:r>
        <w:rPr>
          <w:spacing w:val="-2"/>
          <w:sz w:val="16"/>
          <w:vertAlign w:val="baseline"/>
        </w:rPr>
        <w:t> </w:t>
      </w:r>
      <w:r>
        <w:rPr>
          <w:sz w:val="16"/>
          <w:vertAlign w:val="baseline"/>
        </w:rPr>
        <w:t>These</w:t>
      </w:r>
      <w:r>
        <w:rPr>
          <w:spacing w:val="-2"/>
          <w:sz w:val="16"/>
          <w:vertAlign w:val="baseline"/>
        </w:rPr>
        <w:t> </w:t>
      </w:r>
      <w:r>
        <w:rPr>
          <w:sz w:val="16"/>
          <w:vertAlign w:val="baseline"/>
        </w:rPr>
        <w:t>costs,</w:t>
      </w:r>
      <w:r>
        <w:rPr>
          <w:spacing w:val="-2"/>
          <w:sz w:val="16"/>
          <w:vertAlign w:val="baseline"/>
        </w:rPr>
        <w:t> </w:t>
      </w:r>
      <w:r>
        <w:rPr>
          <w:sz w:val="16"/>
          <w:vertAlign w:val="baseline"/>
        </w:rPr>
        <w:t>which</w:t>
      </w:r>
      <w:r>
        <w:rPr>
          <w:spacing w:val="-2"/>
          <w:sz w:val="16"/>
          <w:vertAlign w:val="baseline"/>
        </w:rPr>
        <w:t> </w:t>
      </w:r>
      <w:r>
        <w:rPr>
          <w:sz w:val="16"/>
          <w:vertAlign w:val="baseline"/>
        </w:rPr>
        <w:t>are</w:t>
      </w:r>
      <w:r>
        <w:rPr>
          <w:spacing w:val="-2"/>
          <w:sz w:val="16"/>
          <w:vertAlign w:val="baseline"/>
        </w:rPr>
        <w:t> </w:t>
      </w:r>
      <w:r>
        <w:rPr>
          <w:sz w:val="16"/>
          <w:vertAlign w:val="baseline"/>
        </w:rPr>
        <w:t>primarily</w:t>
      </w:r>
      <w:r>
        <w:rPr>
          <w:spacing w:val="-2"/>
          <w:sz w:val="16"/>
          <w:vertAlign w:val="baseline"/>
        </w:rPr>
        <w:t> </w:t>
      </w:r>
      <w:r>
        <w:rPr>
          <w:sz w:val="16"/>
          <w:vertAlign w:val="baseline"/>
        </w:rPr>
        <w:t>comprised</w:t>
      </w:r>
      <w:r>
        <w:rPr>
          <w:spacing w:val="-2"/>
          <w:sz w:val="16"/>
          <w:vertAlign w:val="baseline"/>
        </w:rPr>
        <w:t> </w:t>
      </w:r>
      <w:r>
        <w:rPr>
          <w:sz w:val="16"/>
          <w:vertAlign w:val="baseline"/>
        </w:rPr>
        <w:t>of</w:t>
      </w:r>
      <w:r>
        <w:rPr>
          <w:spacing w:val="-6"/>
          <w:sz w:val="16"/>
          <w:vertAlign w:val="baseline"/>
        </w:rPr>
        <w:t> </w:t>
      </w:r>
      <w:r>
        <w:rPr>
          <w:sz w:val="16"/>
          <w:vertAlign w:val="baseline"/>
        </w:rPr>
        <w:t>accelerated</w:t>
      </w:r>
      <w:r>
        <w:rPr>
          <w:spacing w:val="-2"/>
          <w:sz w:val="16"/>
          <w:vertAlign w:val="baseline"/>
        </w:rPr>
        <w:t> </w:t>
      </w:r>
      <w:r>
        <w:rPr>
          <w:sz w:val="16"/>
          <w:vertAlign w:val="baseline"/>
        </w:rPr>
        <w:t>amortization</w:t>
      </w:r>
      <w:r>
        <w:rPr>
          <w:spacing w:val="-2"/>
          <w:sz w:val="16"/>
          <w:vertAlign w:val="baseline"/>
        </w:rPr>
        <w:t> </w:t>
      </w:r>
      <w:r>
        <w:rPr>
          <w:sz w:val="16"/>
          <w:vertAlign w:val="baseline"/>
        </w:rPr>
        <w:t>of</w:t>
      </w:r>
      <w:r>
        <w:rPr>
          <w:spacing w:val="-2"/>
          <w:sz w:val="16"/>
          <w:vertAlign w:val="baseline"/>
        </w:rPr>
        <w:t> </w:t>
      </w:r>
      <w:r>
        <w:rPr>
          <w:sz w:val="16"/>
          <w:vertAlign w:val="baseline"/>
        </w:rPr>
        <w:t>ROU</w:t>
      </w:r>
      <w:r>
        <w:rPr>
          <w:spacing w:val="-3"/>
          <w:sz w:val="16"/>
          <w:vertAlign w:val="baseline"/>
        </w:rPr>
        <w:t> </w:t>
      </w:r>
      <w:r>
        <w:rPr>
          <w:sz w:val="16"/>
          <w:vertAlign w:val="baseline"/>
        </w:rPr>
        <w:t>assets,</w:t>
      </w:r>
      <w:r>
        <w:rPr>
          <w:spacing w:val="-2"/>
          <w:sz w:val="16"/>
          <w:vertAlign w:val="baseline"/>
        </w:rPr>
        <w:t> </w:t>
      </w:r>
      <w:r>
        <w:rPr>
          <w:sz w:val="16"/>
          <w:vertAlign w:val="baseline"/>
        </w:rPr>
        <w:t>relate</w:t>
      </w:r>
      <w:r>
        <w:rPr>
          <w:spacing w:val="-2"/>
          <w:sz w:val="16"/>
          <w:vertAlign w:val="baseline"/>
        </w:rPr>
        <w:t> </w:t>
      </w:r>
      <w:r>
        <w:rPr>
          <w:sz w:val="16"/>
          <w:vertAlign w:val="baseline"/>
        </w:rPr>
        <w:t>to</w:t>
      </w:r>
      <w:r>
        <w:rPr>
          <w:spacing w:val="-2"/>
          <w:sz w:val="16"/>
          <w:vertAlign w:val="baseline"/>
        </w:rPr>
        <w:t> </w:t>
      </w:r>
      <w:r>
        <w:rPr>
          <w:sz w:val="16"/>
          <w:vertAlign w:val="baseline"/>
        </w:rPr>
        <w:t>the</w:t>
      </w:r>
      <w:r>
        <w:rPr>
          <w:spacing w:val="-2"/>
          <w:sz w:val="16"/>
          <w:vertAlign w:val="baseline"/>
        </w:rPr>
        <w:t> </w:t>
      </w:r>
      <w:r>
        <w:rPr>
          <w:sz w:val="16"/>
          <w:vertAlign w:val="baseline"/>
        </w:rPr>
        <w:t>impact</w:t>
      </w:r>
      <w:r>
        <w:rPr>
          <w:spacing w:val="-2"/>
          <w:sz w:val="16"/>
          <w:vertAlign w:val="baseline"/>
        </w:rPr>
        <w:t> </w:t>
      </w:r>
      <w:r>
        <w:rPr>
          <w:sz w:val="16"/>
          <w:vertAlign w:val="baseline"/>
        </w:rPr>
        <w:t>of</w:t>
      </w:r>
      <w:r>
        <w:rPr>
          <w:spacing w:val="-2"/>
          <w:sz w:val="16"/>
          <w:vertAlign w:val="baseline"/>
        </w:rPr>
        <w:t> </w:t>
      </w:r>
      <w:r>
        <w:rPr>
          <w:sz w:val="16"/>
          <w:vertAlign w:val="baseline"/>
        </w:rPr>
        <w:t>abandoning</w:t>
      </w:r>
      <w:r>
        <w:rPr>
          <w:spacing w:val="40"/>
          <w:sz w:val="16"/>
          <w:vertAlign w:val="baseline"/>
        </w:rPr>
        <w:t> </w:t>
      </w:r>
      <w:r>
        <w:rPr>
          <w:sz w:val="16"/>
          <w:vertAlign w:val="baseline"/>
        </w:rPr>
        <w:t>leased</w:t>
      </w:r>
      <w:r>
        <w:rPr>
          <w:spacing w:val="-1"/>
          <w:sz w:val="16"/>
          <w:vertAlign w:val="baseline"/>
        </w:rPr>
        <w:t> </w:t>
      </w:r>
      <w:r>
        <w:rPr>
          <w:sz w:val="16"/>
          <w:vertAlign w:val="baseline"/>
        </w:rPr>
        <w:t>properties.</w:t>
      </w:r>
    </w:p>
    <w:p>
      <w:pPr>
        <w:spacing w:after="0" w:line="249" w:lineRule="auto"/>
        <w:jc w:val="left"/>
        <w:rPr>
          <w:sz w:val="16"/>
        </w:rPr>
        <w:sectPr>
          <w:pgSz w:w="12240" w:h="15840"/>
          <w:pgMar w:header="227" w:footer="201" w:top="1080" w:bottom="400" w:left="520" w:right="520"/>
        </w:sectPr>
      </w:pPr>
    </w:p>
    <w:p>
      <w:pPr>
        <w:pStyle w:val="Heading2"/>
        <w:numPr>
          <w:ilvl w:val="0"/>
          <w:numId w:val="4"/>
        </w:numPr>
        <w:tabs>
          <w:tab w:pos="1189" w:val="left" w:leader="none"/>
        </w:tabs>
        <w:spacing w:line="240" w:lineRule="auto" w:before="211" w:after="0"/>
        <w:ind w:left="1189" w:right="0" w:hanging="719"/>
        <w:jc w:val="left"/>
      </w:pPr>
      <w:bookmarkStart w:name="Note 11 Derivative Instruments and Hedgi" w:id="50"/>
      <w:bookmarkEnd w:id="50"/>
      <w:r>
        <w:rPr>
          <w:b w:val="0"/>
        </w:rPr>
      </w:r>
      <w:r>
        <w:rPr/>
        <w:t>Derivative</w:t>
      </w:r>
      <w:r>
        <w:rPr>
          <w:spacing w:val="-6"/>
        </w:rPr>
        <w:t> </w:t>
      </w:r>
      <w:r>
        <w:rPr/>
        <w:t>Instruments</w:t>
      </w:r>
      <w:r>
        <w:rPr>
          <w:spacing w:val="-5"/>
        </w:rPr>
        <w:t> </w:t>
      </w:r>
      <w:r>
        <w:rPr/>
        <w:t>and</w:t>
      </w:r>
      <w:r>
        <w:rPr>
          <w:spacing w:val="-6"/>
        </w:rPr>
        <w:t> </w:t>
      </w:r>
      <w:r>
        <w:rPr/>
        <w:t>Hedging</w:t>
      </w:r>
      <w:r>
        <w:rPr>
          <w:spacing w:val="-4"/>
        </w:rPr>
        <w:t> </w:t>
      </w:r>
      <w:r>
        <w:rPr>
          <w:spacing w:val="-2"/>
        </w:rPr>
        <w:t>Activities</w:t>
      </w:r>
    </w:p>
    <w:p>
      <w:pPr>
        <w:pStyle w:val="BodyText"/>
        <w:spacing w:before="20"/>
        <w:rPr>
          <w:b/>
        </w:rPr>
      </w:pPr>
    </w:p>
    <w:p>
      <w:pPr>
        <w:pStyle w:val="Heading3"/>
        <w:rPr>
          <w:i/>
        </w:rPr>
      </w:pPr>
      <w:r>
        <w:rPr>
          <w:i/>
        </w:rPr>
        <w:t>Risk</w:t>
      </w:r>
      <w:r>
        <w:rPr>
          <w:i/>
          <w:spacing w:val="-5"/>
        </w:rPr>
        <w:t> </w:t>
      </w:r>
      <w:r>
        <w:rPr>
          <w:i/>
        </w:rPr>
        <w:t>Management</w:t>
      </w:r>
      <w:r>
        <w:rPr>
          <w:i/>
          <w:spacing w:val="-4"/>
        </w:rPr>
        <w:t> </w:t>
      </w:r>
      <w:r>
        <w:rPr>
          <w:i/>
        </w:rPr>
        <w:t>Objective</w:t>
      </w:r>
      <w:r>
        <w:rPr>
          <w:i/>
          <w:spacing w:val="-5"/>
        </w:rPr>
        <w:t> </w:t>
      </w:r>
      <w:r>
        <w:rPr>
          <w:i/>
        </w:rPr>
        <w:t>of</w:t>
      </w:r>
      <w:r>
        <w:rPr>
          <w:i/>
          <w:spacing w:val="-4"/>
        </w:rPr>
        <w:t> </w:t>
      </w:r>
      <w:r>
        <w:rPr>
          <w:i/>
        </w:rPr>
        <w:t>Using</w:t>
      </w:r>
      <w:r>
        <w:rPr>
          <w:i/>
          <w:spacing w:val="-4"/>
        </w:rPr>
        <w:t> </w:t>
      </w:r>
      <w:r>
        <w:rPr>
          <w:i/>
          <w:spacing w:val="-2"/>
        </w:rPr>
        <w:t>Derivatives</w:t>
      </w:r>
    </w:p>
    <w:p>
      <w:pPr>
        <w:pStyle w:val="BodyText"/>
        <w:spacing w:before="23"/>
        <w:rPr>
          <w:b/>
          <w:i/>
        </w:rPr>
      </w:pPr>
    </w:p>
    <w:p>
      <w:pPr>
        <w:pStyle w:val="BodyText"/>
        <w:spacing w:line="249" w:lineRule="auto"/>
        <w:ind w:left="470" w:right="500"/>
      </w:pPr>
      <w:r>
        <w:rPr/>
        <w:t>Beginning in 2023, the Company utilizes derivative instruments to manage interest rate risk exposures that arise from business activities related to changes in fair values or the receipt of future known and uncertain cash amounts due to changes in interest rates.</w:t>
      </w:r>
      <w:r>
        <w:rPr>
          <w:spacing w:val="-2"/>
        </w:rPr>
        <w:t> </w:t>
      </w:r>
      <w:r>
        <w:rPr/>
        <w:t>The</w:t>
      </w:r>
      <w:r>
        <w:rPr>
          <w:spacing w:val="-3"/>
        </w:rPr>
        <w:t> </w:t>
      </w:r>
      <w:r>
        <w:rPr/>
        <w:t>Company</w:t>
      </w:r>
      <w:r>
        <w:rPr>
          <w:spacing w:val="-2"/>
        </w:rPr>
        <w:t> </w:t>
      </w:r>
      <w:r>
        <w:rPr/>
        <w:t>uses</w:t>
      </w:r>
      <w:r>
        <w:rPr>
          <w:spacing w:val="-3"/>
        </w:rPr>
        <w:t> </w:t>
      </w:r>
      <w:r>
        <w:rPr/>
        <w:t>derivative</w:t>
      </w:r>
      <w:r>
        <w:rPr>
          <w:spacing w:val="-3"/>
        </w:rPr>
        <w:t> </w:t>
      </w:r>
      <w:r>
        <w:rPr/>
        <w:t>instruments</w:t>
      </w:r>
      <w:r>
        <w:rPr>
          <w:spacing w:val="-3"/>
        </w:rPr>
        <w:t> </w:t>
      </w:r>
      <w:r>
        <w:rPr/>
        <w:t>to</w:t>
      </w:r>
      <w:r>
        <w:rPr>
          <w:spacing w:val="-2"/>
        </w:rPr>
        <w:t> </w:t>
      </w:r>
      <w:r>
        <w:rPr/>
        <w:t>manage</w:t>
      </w:r>
      <w:r>
        <w:rPr>
          <w:spacing w:val="-3"/>
        </w:rPr>
        <w:t> </w:t>
      </w:r>
      <w:r>
        <w:rPr/>
        <w:t>changes</w:t>
      </w:r>
      <w:r>
        <w:rPr>
          <w:spacing w:val="-3"/>
        </w:rPr>
        <w:t> </w:t>
      </w:r>
      <w:r>
        <w:rPr/>
        <w:t>in</w:t>
      </w:r>
      <w:r>
        <w:rPr>
          <w:spacing w:val="-2"/>
        </w:rPr>
        <w:t> </w:t>
      </w:r>
      <w:r>
        <w:rPr/>
        <w:t>the</w:t>
      </w:r>
      <w:r>
        <w:rPr>
          <w:spacing w:val="-3"/>
        </w:rPr>
        <w:t> </w:t>
      </w:r>
      <w:r>
        <w:rPr/>
        <w:t>fair</w:t>
      </w:r>
      <w:r>
        <w:rPr>
          <w:spacing w:val="-2"/>
        </w:rPr>
        <w:t> </w:t>
      </w:r>
      <w:r>
        <w:rPr/>
        <w:t>values</w:t>
      </w:r>
      <w:r>
        <w:rPr>
          <w:spacing w:val="-3"/>
        </w:rPr>
        <w:t> </w:t>
      </w:r>
      <w:r>
        <w:rPr/>
        <w:t>of,</w:t>
      </w:r>
      <w:r>
        <w:rPr>
          <w:spacing w:val="-2"/>
        </w:rPr>
        <w:t> </w:t>
      </w:r>
      <w:r>
        <w:rPr/>
        <w:t>as</w:t>
      </w:r>
      <w:r>
        <w:rPr>
          <w:spacing w:val="-3"/>
        </w:rPr>
        <w:t> </w:t>
      </w:r>
      <w:r>
        <w:rPr/>
        <w:t>well</w:t>
      </w:r>
      <w:r>
        <w:rPr>
          <w:spacing w:val="-3"/>
        </w:rPr>
        <w:t> </w:t>
      </w:r>
      <w:r>
        <w:rPr/>
        <w:t>as</w:t>
      </w:r>
      <w:r>
        <w:rPr>
          <w:spacing w:val="-3"/>
        </w:rPr>
        <w:t> </w:t>
      </w:r>
      <w:r>
        <w:rPr/>
        <w:t>changes</w:t>
      </w:r>
      <w:r>
        <w:rPr>
          <w:spacing w:val="-3"/>
        </w:rPr>
        <w:t> </w:t>
      </w:r>
      <w:r>
        <w:rPr/>
        <w:t>in</w:t>
      </w:r>
      <w:r>
        <w:rPr>
          <w:spacing w:val="-2"/>
        </w:rPr>
        <w:t> </w:t>
      </w:r>
      <w:r>
        <w:rPr/>
        <w:t>the</w:t>
      </w:r>
      <w:r>
        <w:rPr>
          <w:spacing w:val="-3"/>
        </w:rPr>
        <w:t> </w:t>
      </w:r>
      <w:r>
        <w:rPr/>
        <w:t>amounts</w:t>
      </w:r>
      <w:r>
        <w:rPr>
          <w:spacing w:val="-3"/>
        </w:rPr>
        <w:t> </w:t>
      </w:r>
      <w:r>
        <w:rPr/>
        <w:t>and/ or timing of known or expected cash receipts related to, our AFS investment portfolio.</w:t>
      </w:r>
    </w:p>
    <w:p>
      <w:pPr>
        <w:pStyle w:val="BodyText"/>
        <w:spacing w:before="13"/>
      </w:pPr>
    </w:p>
    <w:p>
      <w:pPr>
        <w:pStyle w:val="BodyText"/>
        <w:spacing w:line="249" w:lineRule="auto" w:before="1"/>
        <w:ind w:left="470" w:right="566"/>
      </w:pPr>
      <w:r>
        <w:rPr/>
        <w:t>For</w:t>
      </w:r>
      <w:r>
        <w:rPr>
          <w:spacing w:val="-2"/>
        </w:rPr>
        <w:t> </w:t>
      </w:r>
      <w:r>
        <w:rPr/>
        <w:t>a</w:t>
      </w:r>
      <w:r>
        <w:rPr>
          <w:spacing w:val="-3"/>
        </w:rPr>
        <w:t> </w:t>
      </w:r>
      <w:r>
        <w:rPr/>
        <w:t>description</w:t>
      </w:r>
      <w:r>
        <w:rPr>
          <w:spacing w:val="-2"/>
        </w:rPr>
        <w:t> </w:t>
      </w:r>
      <w:r>
        <w:rPr/>
        <w:t>of</w:t>
      </w:r>
      <w:r>
        <w:rPr>
          <w:spacing w:val="-2"/>
        </w:rPr>
        <w:t> </w:t>
      </w:r>
      <w:r>
        <w:rPr/>
        <w:t>how</w:t>
      </w:r>
      <w:r>
        <w:rPr>
          <w:spacing w:val="-3"/>
        </w:rPr>
        <w:t> </w:t>
      </w:r>
      <w:r>
        <w:rPr/>
        <w:t>the</w:t>
      </w:r>
      <w:r>
        <w:rPr>
          <w:spacing w:val="-3"/>
        </w:rPr>
        <w:t> </w:t>
      </w:r>
      <w:r>
        <w:rPr/>
        <w:t>Company</w:t>
      </w:r>
      <w:r>
        <w:rPr>
          <w:spacing w:val="-2"/>
        </w:rPr>
        <w:t> </w:t>
      </w:r>
      <w:r>
        <w:rPr/>
        <w:t>accounts</w:t>
      </w:r>
      <w:r>
        <w:rPr>
          <w:spacing w:val="-3"/>
        </w:rPr>
        <w:t> </w:t>
      </w:r>
      <w:r>
        <w:rPr/>
        <w:t>for</w:t>
      </w:r>
      <w:r>
        <w:rPr>
          <w:spacing w:val="-2"/>
        </w:rPr>
        <w:t> </w:t>
      </w:r>
      <w:r>
        <w:rPr/>
        <w:t>derivative</w:t>
      </w:r>
      <w:r>
        <w:rPr>
          <w:spacing w:val="-3"/>
        </w:rPr>
        <w:t> </w:t>
      </w:r>
      <w:r>
        <w:rPr/>
        <w:t>instruments,</w:t>
      </w:r>
      <w:r>
        <w:rPr>
          <w:spacing w:val="-2"/>
        </w:rPr>
        <w:t> </w:t>
      </w:r>
      <w:r>
        <w:rPr/>
        <w:t>see</w:t>
      </w:r>
      <w:r>
        <w:rPr>
          <w:spacing w:val="-3"/>
        </w:rPr>
        <w:t> </w:t>
      </w:r>
      <w:r>
        <w:rPr/>
        <w:t>Note</w:t>
      </w:r>
      <w:r>
        <w:rPr>
          <w:spacing w:val="-3"/>
        </w:rPr>
        <w:t> </w:t>
      </w:r>
      <w:r>
        <w:rPr/>
        <w:t>2.</w:t>
      </w:r>
      <w:r>
        <w:rPr>
          <w:spacing w:val="-2"/>
        </w:rPr>
        <w:t> </w:t>
      </w:r>
      <w:r>
        <w:rPr/>
        <w:t>For</w:t>
      </w:r>
      <w:r>
        <w:rPr>
          <w:spacing w:val="-2"/>
        </w:rPr>
        <w:t> </w:t>
      </w:r>
      <w:r>
        <w:rPr/>
        <w:t>additional</w:t>
      </w:r>
      <w:r>
        <w:rPr>
          <w:spacing w:val="-3"/>
        </w:rPr>
        <w:t> </w:t>
      </w:r>
      <w:r>
        <w:rPr/>
        <w:t>information</w:t>
      </w:r>
      <w:r>
        <w:rPr>
          <w:spacing w:val="-2"/>
        </w:rPr>
        <w:t> </w:t>
      </w:r>
      <w:r>
        <w:rPr/>
        <w:t>on</w:t>
      </w:r>
      <w:r>
        <w:rPr>
          <w:spacing w:val="-2"/>
        </w:rPr>
        <w:t> </w:t>
      </w:r>
      <w:r>
        <w:rPr/>
        <w:t>the</w:t>
      </w:r>
      <w:r>
        <w:rPr>
          <w:spacing w:val="-3"/>
        </w:rPr>
        <w:t> </w:t>
      </w:r>
      <w:r>
        <w:rPr/>
        <w:t>basis of presentation for derivative instruments on the Company’s condensed consolidated balance sheets and related offsetting considerations, see Note 12.</w:t>
      </w:r>
    </w:p>
    <w:p>
      <w:pPr>
        <w:pStyle w:val="BodyText"/>
        <w:spacing w:before="9"/>
      </w:pPr>
    </w:p>
    <w:p>
      <w:pPr>
        <w:pStyle w:val="Heading3"/>
        <w:rPr>
          <w:i/>
        </w:rPr>
      </w:pPr>
      <w:r>
        <w:rPr>
          <w:i/>
        </w:rPr>
        <w:t>Fair</w:t>
      </w:r>
      <w:r>
        <w:rPr>
          <w:i/>
          <w:spacing w:val="-4"/>
        </w:rPr>
        <w:t> </w:t>
      </w:r>
      <w:r>
        <w:rPr>
          <w:i/>
        </w:rPr>
        <w:t>Value</w:t>
      </w:r>
      <w:r>
        <w:rPr>
          <w:i/>
          <w:spacing w:val="-4"/>
        </w:rPr>
        <w:t> </w:t>
      </w:r>
      <w:r>
        <w:rPr>
          <w:i/>
        </w:rPr>
        <w:t>Hedges</w:t>
      </w:r>
      <w:r>
        <w:rPr>
          <w:i/>
          <w:spacing w:val="-4"/>
        </w:rPr>
        <w:t> </w:t>
      </w:r>
      <w:r>
        <w:rPr>
          <w:i/>
        </w:rPr>
        <w:t>of</w:t>
      </w:r>
      <w:r>
        <w:rPr>
          <w:i/>
          <w:spacing w:val="-3"/>
        </w:rPr>
        <w:t> </w:t>
      </w:r>
      <w:r>
        <w:rPr>
          <w:i/>
        </w:rPr>
        <w:t>Interest</w:t>
      </w:r>
      <w:r>
        <w:rPr>
          <w:i/>
          <w:spacing w:val="-4"/>
        </w:rPr>
        <w:t> </w:t>
      </w:r>
      <w:r>
        <w:rPr>
          <w:i/>
        </w:rPr>
        <w:t>Rate</w:t>
      </w:r>
      <w:r>
        <w:rPr>
          <w:i/>
          <w:spacing w:val="-3"/>
        </w:rPr>
        <w:t> </w:t>
      </w:r>
      <w:r>
        <w:rPr>
          <w:i/>
          <w:spacing w:val="-4"/>
        </w:rPr>
        <w:t>Risk</w:t>
      </w:r>
    </w:p>
    <w:p>
      <w:pPr>
        <w:pStyle w:val="BodyText"/>
        <w:spacing w:before="23"/>
        <w:rPr>
          <w:b/>
          <w:i/>
        </w:rPr>
      </w:pPr>
    </w:p>
    <w:p>
      <w:pPr>
        <w:pStyle w:val="BodyText"/>
        <w:spacing w:line="249" w:lineRule="auto"/>
        <w:ind w:left="470" w:right="500"/>
      </w:pPr>
      <w:r>
        <w:rPr/>
        <w:t>The</w:t>
      </w:r>
      <w:r>
        <w:rPr>
          <w:spacing w:val="-3"/>
        </w:rPr>
        <w:t> </w:t>
      </w:r>
      <w:r>
        <w:rPr/>
        <w:t>Company</w:t>
      </w:r>
      <w:r>
        <w:rPr>
          <w:spacing w:val="-2"/>
        </w:rPr>
        <w:t> </w:t>
      </w:r>
      <w:r>
        <w:rPr/>
        <w:t>is</w:t>
      </w:r>
      <w:r>
        <w:rPr>
          <w:spacing w:val="-3"/>
        </w:rPr>
        <w:t> </w:t>
      </w:r>
      <w:r>
        <w:rPr/>
        <w:t>exposed</w:t>
      </w:r>
      <w:r>
        <w:rPr>
          <w:spacing w:val="-2"/>
        </w:rPr>
        <w:t> </w:t>
      </w:r>
      <w:r>
        <w:rPr/>
        <w:t>to</w:t>
      </w:r>
      <w:r>
        <w:rPr>
          <w:spacing w:val="-2"/>
        </w:rPr>
        <w:t> </w:t>
      </w:r>
      <w:r>
        <w:rPr/>
        <w:t>changes</w:t>
      </w:r>
      <w:r>
        <w:rPr>
          <w:spacing w:val="-3"/>
        </w:rPr>
        <w:t> </w:t>
      </w:r>
      <w:r>
        <w:rPr/>
        <w:t>in</w:t>
      </w:r>
      <w:r>
        <w:rPr>
          <w:spacing w:val="-2"/>
        </w:rPr>
        <w:t> </w:t>
      </w:r>
      <w:r>
        <w:rPr/>
        <w:t>the</w:t>
      </w:r>
      <w:r>
        <w:rPr>
          <w:spacing w:val="-3"/>
        </w:rPr>
        <w:t> </w:t>
      </w:r>
      <w:r>
        <w:rPr/>
        <w:t>fair</w:t>
      </w:r>
      <w:r>
        <w:rPr>
          <w:spacing w:val="-2"/>
        </w:rPr>
        <w:t> </w:t>
      </w:r>
      <w:r>
        <w:rPr/>
        <w:t>value</w:t>
      </w:r>
      <w:r>
        <w:rPr>
          <w:spacing w:val="-3"/>
        </w:rPr>
        <w:t> </w:t>
      </w:r>
      <w:r>
        <w:rPr/>
        <w:t>of</w:t>
      </w:r>
      <w:r>
        <w:rPr>
          <w:spacing w:val="-2"/>
        </w:rPr>
        <w:t> </w:t>
      </w:r>
      <w:r>
        <w:rPr/>
        <w:t>its</w:t>
      </w:r>
      <w:r>
        <w:rPr>
          <w:spacing w:val="-3"/>
        </w:rPr>
        <w:t> </w:t>
      </w:r>
      <w:r>
        <w:rPr/>
        <w:t>fixed-rate</w:t>
      </w:r>
      <w:r>
        <w:rPr>
          <w:spacing w:val="-3"/>
        </w:rPr>
        <w:t> </w:t>
      </w:r>
      <w:r>
        <w:rPr/>
        <w:t>AFS</w:t>
      </w:r>
      <w:r>
        <w:rPr>
          <w:spacing w:val="-3"/>
        </w:rPr>
        <w:t> </w:t>
      </w:r>
      <w:r>
        <w:rPr/>
        <w:t>securities</w:t>
      </w:r>
      <w:r>
        <w:rPr>
          <w:spacing w:val="-3"/>
        </w:rPr>
        <w:t> </w:t>
      </w:r>
      <w:r>
        <w:rPr/>
        <w:t>due</w:t>
      </w:r>
      <w:r>
        <w:rPr>
          <w:spacing w:val="-3"/>
        </w:rPr>
        <w:t> </w:t>
      </w:r>
      <w:r>
        <w:rPr/>
        <w:t>to</w:t>
      </w:r>
      <w:r>
        <w:rPr>
          <w:spacing w:val="-2"/>
        </w:rPr>
        <w:t> </w:t>
      </w:r>
      <w:r>
        <w:rPr/>
        <w:t>changes</w:t>
      </w:r>
      <w:r>
        <w:rPr>
          <w:spacing w:val="-3"/>
        </w:rPr>
        <w:t> </w:t>
      </w:r>
      <w:r>
        <w:rPr/>
        <w:t>in</w:t>
      </w:r>
      <w:r>
        <w:rPr>
          <w:spacing w:val="-2"/>
        </w:rPr>
        <w:t> </w:t>
      </w:r>
      <w:r>
        <w:rPr/>
        <w:t>benchmark</w:t>
      </w:r>
      <w:r>
        <w:rPr>
          <w:spacing w:val="-2"/>
        </w:rPr>
        <w:t> </w:t>
      </w:r>
      <w:r>
        <w:rPr/>
        <w:t>interest</w:t>
      </w:r>
      <w:r>
        <w:rPr>
          <w:spacing w:val="-3"/>
        </w:rPr>
        <w:t> </w:t>
      </w:r>
      <w:r>
        <w:rPr/>
        <w:t>rates. The Company uses cleared interest rate swaps to manage its exposure to changes in fair value on these instruments attributable to changes in the designated benchmark interest rate. Cleared interest rate swaps designated as fair value hedges involve the payment of fixed-rate amounts to a CCP in exchange for the Company receiving floating-rate payments over the life of the agreements without the exchange of the underlying notional amount.</w:t>
      </w:r>
    </w:p>
    <w:p>
      <w:pPr>
        <w:pStyle w:val="BodyText"/>
        <w:spacing w:before="14"/>
      </w:pPr>
    </w:p>
    <w:p>
      <w:pPr>
        <w:pStyle w:val="BodyText"/>
        <w:spacing w:line="249" w:lineRule="auto"/>
        <w:ind w:left="470" w:right="500"/>
      </w:pPr>
      <w:r>
        <w:rPr/>
        <w:t>The</w:t>
      </w:r>
      <w:r>
        <w:rPr>
          <w:spacing w:val="-4"/>
        </w:rPr>
        <w:t> </w:t>
      </w:r>
      <w:r>
        <w:rPr/>
        <w:t>Company</w:t>
      </w:r>
      <w:r>
        <w:rPr>
          <w:spacing w:val="-3"/>
        </w:rPr>
        <w:t> </w:t>
      </w:r>
      <w:r>
        <w:rPr/>
        <w:t>had</w:t>
      </w:r>
      <w:r>
        <w:rPr>
          <w:spacing w:val="-3"/>
        </w:rPr>
        <w:t> </w:t>
      </w:r>
      <w:r>
        <w:rPr/>
        <w:t>outstanding</w:t>
      </w:r>
      <w:r>
        <w:rPr>
          <w:spacing w:val="-3"/>
        </w:rPr>
        <w:t> </w:t>
      </w:r>
      <w:r>
        <w:rPr/>
        <w:t>interest</w:t>
      </w:r>
      <w:r>
        <w:rPr>
          <w:spacing w:val="-4"/>
        </w:rPr>
        <w:t> </w:t>
      </w:r>
      <w:r>
        <w:rPr/>
        <w:t>rate</w:t>
      </w:r>
      <w:r>
        <w:rPr>
          <w:spacing w:val="-4"/>
        </w:rPr>
        <w:t> </w:t>
      </w:r>
      <w:r>
        <w:rPr/>
        <w:t>swaps</w:t>
      </w:r>
      <w:r>
        <w:rPr>
          <w:spacing w:val="-4"/>
        </w:rPr>
        <w:t> </w:t>
      </w:r>
      <w:r>
        <w:rPr/>
        <w:t>with</w:t>
      </w:r>
      <w:r>
        <w:rPr>
          <w:spacing w:val="-3"/>
        </w:rPr>
        <w:t> </w:t>
      </w:r>
      <w:r>
        <w:rPr/>
        <w:t>aggregate</w:t>
      </w:r>
      <w:r>
        <w:rPr>
          <w:spacing w:val="-4"/>
        </w:rPr>
        <w:t> </w:t>
      </w:r>
      <w:r>
        <w:rPr/>
        <w:t>notional</w:t>
      </w:r>
      <w:r>
        <w:rPr>
          <w:spacing w:val="-4"/>
        </w:rPr>
        <w:t> </w:t>
      </w:r>
      <w:r>
        <w:rPr/>
        <w:t>amounts</w:t>
      </w:r>
      <w:r>
        <w:rPr>
          <w:spacing w:val="-4"/>
        </w:rPr>
        <w:t> </w:t>
      </w:r>
      <w:r>
        <w:rPr/>
        <w:t>of</w:t>
      </w:r>
      <w:r>
        <w:rPr>
          <w:spacing w:val="-3"/>
        </w:rPr>
        <w:t> </w:t>
      </w:r>
      <w:r>
        <w:rPr/>
        <w:t>$8.9</w:t>
      </w:r>
      <w:r>
        <w:rPr>
          <w:spacing w:val="-3"/>
        </w:rPr>
        <w:t> </w:t>
      </w:r>
      <w:r>
        <w:rPr/>
        <w:t>billion</w:t>
      </w:r>
      <w:r>
        <w:rPr>
          <w:spacing w:val="-3"/>
        </w:rPr>
        <w:t> </w:t>
      </w:r>
      <w:r>
        <w:rPr/>
        <w:t>at</w:t>
      </w:r>
      <w:r>
        <w:rPr>
          <w:spacing w:val="-4"/>
        </w:rPr>
        <w:t> </w:t>
      </w:r>
      <w:r>
        <w:rPr/>
        <w:t>September</w:t>
      </w:r>
      <w:r>
        <w:rPr>
          <w:spacing w:val="-3"/>
        </w:rPr>
        <w:t> </w:t>
      </w:r>
      <w:r>
        <w:rPr/>
        <w:t>30,</w:t>
      </w:r>
      <w:r>
        <w:rPr>
          <w:spacing w:val="-3"/>
        </w:rPr>
        <w:t> </w:t>
      </w:r>
      <w:r>
        <w:rPr/>
        <w:t>2023</w:t>
      </w:r>
      <w:r>
        <w:rPr>
          <w:spacing w:val="-3"/>
        </w:rPr>
        <w:t> </w:t>
      </w:r>
      <w:r>
        <w:rPr/>
        <w:t>that were designated as fair value hedges of interest rate risk.</w:t>
      </w:r>
    </w:p>
    <w:p>
      <w:pPr>
        <w:pStyle w:val="BodyText"/>
        <w:spacing w:before="8"/>
      </w:pPr>
    </w:p>
    <w:p>
      <w:pPr>
        <w:pStyle w:val="Heading3"/>
        <w:spacing w:before="1"/>
        <w:rPr>
          <w:i/>
        </w:rPr>
      </w:pPr>
      <w:r>
        <w:rPr>
          <w:i/>
        </w:rPr>
        <w:t>Fair</w:t>
      </w:r>
      <w:r>
        <w:rPr>
          <w:i/>
          <w:spacing w:val="-5"/>
        </w:rPr>
        <w:t> </w:t>
      </w:r>
      <w:r>
        <w:rPr>
          <w:i/>
        </w:rPr>
        <w:t>Values</w:t>
      </w:r>
      <w:r>
        <w:rPr>
          <w:i/>
          <w:spacing w:val="-4"/>
        </w:rPr>
        <w:t> </w:t>
      </w:r>
      <w:r>
        <w:rPr>
          <w:i/>
        </w:rPr>
        <w:t>of</w:t>
      </w:r>
      <w:r>
        <w:rPr>
          <w:i/>
          <w:spacing w:val="-4"/>
        </w:rPr>
        <w:t> </w:t>
      </w:r>
      <w:r>
        <w:rPr>
          <w:i/>
        </w:rPr>
        <w:t>Derivative</w:t>
      </w:r>
      <w:r>
        <w:rPr>
          <w:i/>
          <w:spacing w:val="-4"/>
        </w:rPr>
        <w:t> </w:t>
      </w:r>
      <w:r>
        <w:rPr>
          <w:i/>
          <w:spacing w:val="-2"/>
        </w:rPr>
        <w:t>Instruments</w:t>
      </w:r>
    </w:p>
    <w:p>
      <w:pPr>
        <w:pStyle w:val="BodyText"/>
        <w:spacing w:before="23"/>
        <w:rPr>
          <w:b/>
          <w:i/>
        </w:rPr>
      </w:pPr>
    </w:p>
    <w:p>
      <w:pPr>
        <w:pStyle w:val="BodyText"/>
        <w:spacing w:line="249" w:lineRule="auto"/>
        <w:ind w:left="470"/>
      </w:pPr>
      <w:r>
        <w:rPr/>
        <mc:AlternateContent>
          <mc:Choice Requires="wps">
            <w:drawing>
              <wp:anchor distT="0" distB="0" distL="0" distR="0" allowOverlap="1" layoutInCell="1" locked="0" behindDoc="1" simplePos="0" relativeHeight="487621120">
                <wp:simplePos x="0" y="0"/>
                <wp:positionH relativeFrom="page">
                  <wp:posOffset>628650</wp:posOffset>
                </wp:positionH>
                <wp:positionV relativeFrom="paragraph">
                  <wp:posOffset>332301</wp:posOffset>
                </wp:positionV>
                <wp:extent cx="6515100" cy="492125"/>
                <wp:effectExtent l="0" t="0" r="0" b="0"/>
                <wp:wrapTopAndBottom/>
                <wp:docPr id="554" name="Group 554"/>
                <wp:cNvGraphicFramePr>
                  <a:graphicFrameLocks/>
                </wp:cNvGraphicFramePr>
                <a:graphic>
                  <a:graphicData uri="http://schemas.microsoft.com/office/word/2010/wordprocessingGroup">
                    <wpg:wgp>
                      <wpg:cNvPr id="554" name="Group 554"/>
                      <wpg:cNvGrpSpPr/>
                      <wpg:grpSpPr>
                        <a:xfrm>
                          <a:off x="0" y="0"/>
                          <a:ext cx="6515100" cy="492125"/>
                          <a:chExt cx="6515100" cy="492125"/>
                        </a:xfrm>
                      </wpg:grpSpPr>
                      <wps:wsp>
                        <wps:cNvPr id="555" name="Graphic 555"/>
                        <wps:cNvSpPr/>
                        <wps:spPr>
                          <a:xfrm>
                            <a:off x="0" y="327025"/>
                            <a:ext cx="6515100" cy="161925"/>
                          </a:xfrm>
                          <a:custGeom>
                            <a:avLst/>
                            <a:gdLst/>
                            <a:ahLst/>
                            <a:cxnLst/>
                            <a:rect l="l" t="t" r="r" b="b"/>
                            <a:pathLst>
                              <a:path w="6515100" h="161925">
                                <a:moveTo>
                                  <a:pt x="6515100" y="0"/>
                                </a:moveTo>
                                <a:lnTo>
                                  <a:pt x="0" y="0"/>
                                </a:lnTo>
                                <a:lnTo>
                                  <a:pt x="0" y="161925"/>
                                </a:lnTo>
                                <a:lnTo>
                                  <a:pt x="6515100" y="161925"/>
                                </a:lnTo>
                                <a:lnTo>
                                  <a:pt x="6515100" y="0"/>
                                </a:lnTo>
                                <a:close/>
                              </a:path>
                            </a:pathLst>
                          </a:custGeom>
                          <a:solidFill>
                            <a:srgbClr val="CCEDFF"/>
                          </a:solidFill>
                        </wps:spPr>
                        <wps:bodyPr wrap="square" lIns="0" tIns="0" rIns="0" bIns="0" rtlCol="0">
                          <a:prstTxWarp prst="textNoShape">
                            <a:avLst/>
                          </a:prstTxWarp>
                          <a:noAutofit/>
                        </wps:bodyPr>
                      </wps:wsp>
                      <wps:wsp>
                        <wps:cNvPr id="556" name="Graphic 556"/>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557" name="Graphic 557"/>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558" name="Graphic 558"/>
                        <wps:cNvSpPr/>
                        <wps:spPr>
                          <a:xfrm>
                            <a:off x="4152900" y="165100"/>
                            <a:ext cx="2362200" cy="1270"/>
                          </a:xfrm>
                          <a:custGeom>
                            <a:avLst/>
                            <a:gdLst/>
                            <a:ahLst/>
                            <a:cxnLst/>
                            <a:rect l="l" t="t" r="r" b="b"/>
                            <a:pathLst>
                              <a:path w="2362200" h="0">
                                <a:moveTo>
                                  <a:pt x="2362200" y="0"/>
                                </a:moveTo>
                                <a:lnTo>
                                  <a:pt x="0" y="0"/>
                                </a:lnTo>
                              </a:path>
                            </a:pathLst>
                          </a:custGeom>
                          <a:solidFill>
                            <a:srgbClr val="000000"/>
                          </a:solidFill>
                        </wps:spPr>
                        <wps:bodyPr wrap="square" lIns="0" tIns="0" rIns="0" bIns="0" rtlCol="0">
                          <a:prstTxWarp prst="textNoShape">
                            <a:avLst/>
                          </a:prstTxWarp>
                          <a:noAutofit/>
                        </wps:bodyPr>
                      </wps:wsp>
                      <wps:wsp>
                        <wps:cNvPr id="559" name="Graphic 559"/>
                        <wps:cNvSpPr/>
                        <wps:spPr>
                          <a:xfrm>
                            <a:off x="4152900" y="165100"/>
                            <a:ext cx="2362200" cy="1270"/>
                          </a:xfrm>
                          <a:custGeom>
                            <a:avLst/>
                            <a:gdLst/>
                            <a:ahLst/>
                            <a:cxnLst/>
                            <a:rect l="l" t="t" r="r" b="b"/>
                            <a:pathLst>
                              <a:path w="2362200" h="0">
                                <a:moveTo>
                                  <a:pt x="0" y="0"/>
                                </a:moveTo>
                                <a:lnTo>
                                  <a:pt x="2362200" y="0"/>
                                </a:lnTo>
                              </a:path>
                            </a:pathLst>
                          </a:custGeom>
                          <a:ln w="6350">
                            <a:solidFill>
                              <a:srgbClr val="000000"/>
                            </a:solidFill>
                            <a:prstDash val="solid"/>
                          </a:ln>
                        </wps:spPr>
                        <wps:bodyPr wrap="square" lIns="0" tIns="0" rIns="0" bIns="0" rtlCol="0">
                          <a:prstTxWarp prst="textNoShape">
                            <a:avLst/>
                          </a:prstTxWarp>
                          <a:noAutofit/>
                        </wps:bodyPr>
                      </wps:wsp>
                      <wps:wsp>
                        <wps:cNvPr id="560" name="Graphic 560"/>
                        <wps:cNvSpPr/>
                        <wps:spPr>
                          <a:xfrm>
                            <a:off x="0" y="32702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561" name="Graphic 561"/>
                        <wps:cNvSpPr/>
                        <wps:spPr>
                          <a:xfrm>
                            <a:off x="0" y="32702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562" name="Graphic 562"/>
                        <wps:cNvSpPr/>
                        <wps:spPr>
                          <a:xfrm>
                            <a:off x="0" y="488950"/>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563" name="Graphic 563"/>
                        <wps:cNvSpPr/>
                        <wps:spPr>
                          <a:xfrm>
                            <a:off x="0" y="488950"/>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564" name="Textbox 564"/>
                        <wps:cNvSpPr txBox="1"/>
                        <wps:spPr>
                          <a:xfrm>
                            <a:off x="0" y="0"/>
                            <a:ext cx="6515100" cy="492125"/>
                          </a:xfrm>
                          <a:prstGeom prst="rect">
                            <a:avLst/>
                          </a:prstGeom>
                        </wps:spPr>
                        <wps:txbx>
                          <w:txbxContent>
                            <w:p>
                              <w:pPr>
                                <w:spacing w:before="23"/>
                                <w:ind w:left="7677" w:right="0" w:firstLine="0"/>
                                <w:jc w:val="left"/>
                                <w:rPr>
                                  <w:sz w:val="18"/>
                                </w:rPr>
                              </w:pPr>
                              <w:r>
                                <w:rPr>
                                  <w:sz w:val="18"/>
                                </w:rPr>
                                <w:t>September</w:t>
                              </w:r>
                              <w:r>
                                <w:rPr>
                                  <w:spacing w:val="-1"/>
                                  <w:sz w:val="18"/>
                                </w:rPr>
                                <w:t> </w:t>
                              </w:r>
                              <w:r>
                                <w:rPr>
                                  <w:sz w:val="18"/>
                                </w:rPr>
                                <w:t>30, </w:t>
                              </w:r>
                              <w:r>
                                <w:rPr>
                                  <w:spacing w:val="-4"/>
                                  <w:sz w:val="18"/>
                                </w:rPr>
                                <w:t>2023</w:t>
                              </w:r>
                            </w:p>
                            <w:p>
                              <w:pPr>
                                <w:tabs>
                                  <w:tab w:pos="8965" w:val="left" w:leader="none"/>
                                </w:tabs>
                                <w:spacing w:before="48"/>
                                <w:ind w:left="7235" w:right="0" w:firstLine="0"/>
                                <w:jc w:val="left"/>
                                <w:rPr>
                                  <w:sz w:val="18"/>
                                </w:rPr>
                              </w:pPr>
                              <w:r>
                                <w:rPr>
                                  <w:spacing w:val="-2"/>
                                  <w:sz w:val="18"/>
                                </w:rPr>
                                <w:t>Assets</w:t>
                              </w:r>
                              <w:r>
                                <w:rPr>
                                  <w:sz w:val="18"/>
                                </w:rPr>
                                <w:tab/>
                              </w:r>
                              <w:r>
                                <w:rPr>
                                  <w:spacing w:val="-2"/>
                                  <w:sz w:val="18"/>
                                </w:rPr>
                                <w:t>Liabilities</w:t>
                              </w:r>
                            </w:p>
                          </w:txbxContent>
                        </wps:txbx>
                        <wps:bodyPr wrap="square" lIns="0" tIns="0" rIns="0" bIns="0" rtlCol="0">
                          <a:noAutofit/>
                        </wps:bodyPr>
                      </wps:wsp>
                      <wps:wsp>
                        <wps:cNvPr id="565" name="Textbox 565"/>
                        <wps:cNvSpPr txBox="1"/>
                        <wps:spPr>
                          <a:xfrm>
                            <a:off x="0" y="330200"/>
                            <a:ext cx="6515100" cy="155575"/>
                          </a:xfrm>
                          <a:prstGeom prst="rect">
                            <a:avLst/>
                          </a:prstGeom>
                        </wps:spPr>
                        <wps:txbx>
                          <w:txbxContent>
                            <w:p>
                              <w:pPr>
                                <w:tabs>
                                  <w:tab w:pos="6592" w:val="left" w:leader="none"/>
                                  <w:tab w:pos="8235" w:val="left" w:leader="none"/>
                                  <w:tab w:pos="10005" w:val="left" w:leader="none"/>
                                </w:tabs>
                                <w:spacing w:before="13"/>
                                <w:ind w:left="52" w:right="0" w:firstLine="0"/>
                                <w:jc w:val="left"/>
                                <w:rPr>
                                  <w:sz w:val="18"/>
                                </w:rPr>
                              </w:pPr>
                              <w:r>
                                <w:rPr>
                                  <w:sz w:val="18"/>
                                </w:rPr>
                                <w:t>Interest</w:t>
                              </w:r>
                              <w:r>
                                <w:rPr>
                                  <w:spacing w:val="-4"/>
                                  <w:sz w:val="18"/>
                                </w:rPr>
                                <w:t> </w:t>
                              </w:r>
                              <w:r>
                                <w:rPr>
                                  <w:sz w:val="18"/>
                                </w:rPr>
                                <w:t>rate</w:t>
                              </w:r>
                              <w:r>
                                <w:rPr>
                                  <w:spacing w:val="-1"/>
                                  <w:sz w:val="18"/>
                                </w:rPr>
                                <w:t> </w:t>
                              </w:r>
                              <w:r>
                                <w:rPr>
                                  <w:sz w:val="18"/>
                                </w:rPr>
                                <w:t>swaps</w:t>
                              </w:r>
                              <w:r>
                                <w:rPr>
                                  <w:spacing w:val="-2"/>
                                  <w:sz w:val="18"/>
                                </w:rPr>
                                <w:t> </w:t>
                              </w:r>
                              <w:r>
                                <w:rPr>
                                  <w:spacing w:val="-4"/>
                                  <w:sz w:val="18"/>
                                  <w:vertAlign w:val="superscript"/>
                                </w:rPr>
                                <w:t>(1,2)</w:t>
                              </w:r>
                              <w:r>
                                <w:rPr>
                                  <w:sz w:val="18"/>
                                  <w:vertAlign w:val="baseline"/>
                                </w:rPr>
                                <w:tab/>
                              </w:r>
                              <w:r>
                                <w:rPr>
                                  <w:spacing w:val="-10"/>
                                  <w:sz w:val="18"/>
                                  <w:vertAlign w:val="baseline"/>
                                </w:rPr>
                                <w:t>$</w:t>
                              </w:r>
                              <w:r>
                                <w:rPr>
                                  <w:sz w:val="18"/>
                                  <w:vertAlign w:val="baseline"/>
                                </w:rPr>
                                <w:tab/>
                                <w:t>3</w:t>
                              </w:r>
                              <w:r>
                                <w:rPr>
                                  <w:spacing w:val="59"/>
                                  <w:w w:val="150"/>
                                  <w:sz w:val="18"/>
                                  <w:vertAlign w:val="baseline"/>
                                </w:rPr>
                                <w:t> </w:t>
                              </w:r>
                              <w:r>
                                <w:rPr>
                                  <w:spacing w:val="-10"/>
                                  <w:sz w:val="18"/>
                                  <w:vertAlign w:val="baseline"/>
                                </w:rPr>
                                <w:t>$</w:t>
                              </w:r>
                              <w:r>
                                <w:rPr>
                                  <w:sz w:val="18"/>
                                  <w:vertAlign w:val="baseline"/>
                                </w:rPr>
                                <w:tab/>
                              </w:r>
                              <w:r>
                                <w:rPr>
                                  <w:spacing w:val="-10"/>
                                  <w:sz w:val="18"/>
                                  <w:vertAlign w:val="baseline"/>
                                </w:rPr>
                                <w:t>—</w:t>
                              </w:r>
                            </w:p>
                          </w:txbxContent>
                        </wps:txbx>
                        <wps:bodyPr wrap="square" lIns="0" tIns="0" rIns="0" bIns="0" rtlCol="0">
                          <a:noAutofit/>
                        </wps:bodyPr>
                      </wps:wsp>
                    </wpg:wgp>
                  </a:graphicData>
                </a:graphic>
              </wp:anchor>
            </w:drawing>
          </mc:Choice>
          <mc:Fallback>
            <w:pict>
              <v:group style="position:absolute;margin-left:49.5pt;margin-top:26.165468pt;width:513pt;height:38.75pt;mso-position-horizontal-relative:page;mso-position-vertical-relative:paragraph;z-index:-15695360;mso-wrap-distance-left:0;mso-wrap-distance-right:0" id="docshapegroup401" coordorigin="990,523" coordsize="10260,775">
                <v:rect style="position:absolute;left:990;top:1038;width:10260;height:255" id="docshape402" filled="true" fillcolor="#ccedff" stroked="false">
                  <v:fill type="solid"/>
                </v:rect>
                <v:shape style="position:absolute;left:990;top:528;width:10260;height:2" id="docshape403" coordorigin="990,528" coordsize="10260,0" path="m11250,528l990,528e" filled="true" fillcolor="#000000" stroked="false">
                  <v:path arrowok="t"/>
                  <v:fill opacity="0f" type="solid"/>
                </v:shape>
                <v:line style="position:absolute" from="990,528" to="11250,528" stroked="true" strokeweight=".5pt" strokecolor="#000000">
                  <v:stroke dashstyle="solid"/>
                </v:line>
                <v:shape style="position:absolute;left:7530;top:783;width:3720;height:2" id="docshape404" coordorigin="7530,783" coordsize="3720,0" path="m11250,783l7530,783e" filled="true" fillcolor="#000000" stroked="false">
                  <v:path arrowok="t"/>
                  <v:fill opacity="0f" type="solid"/>
                </v:shape>
                <v:line style="position:absolute" from="7530,783" to="11250,783" stroked="true" strokeweight=".5pt" strokecolor="#000000">
                  <v:stroke dashstyle="solid"/>
                </v:line>
                <v:shape style="position:absolute;left:990;top:1038;width:10260;height:2" id="docshape405" coordorigin="990,1038" coordsize="10260,0" path="m11250,1038l990,1038e" filled="true" fillcolor="#000000" stroked="false">
                  <v:path arrowok="t"/>
                  <v:fill opacity="0f" type="solid"/>
                </v:shape>
                <v:line style="position:absolute" from="990,1038" to="11250,1038" stroked="true" strokeweight=".5pt" strokecolor="#000000">
                  <v:stroke dashstyle="solid"/>
                </v:line>
                <v:shape style="position:absolute;left:990;top:1293;width:10260;height:2" id="docshape406" coordorigin="990,1293" coordsize="10260,0" path="m11250,1293l990,1293e" filled="true" fillcolor="#000000" stroked="false">
                  <v:path arrowok="t"/>
                  <v:fill opacity="0f" type="solid"/>
                </v:shape>
                <v:line style="position:absolute" from="990,1293" to="11250,1293" stroked="true" strokeweight=".5pt" strokecolor="#000000">
                  <v:stroke dashstyle="solid"/>
                </v:line>
                <v:shape style="position:absolute;left:990;top:523;width:10260;height:775" type="#_x0000_t202" id="docshape407" filled="false" stroked="false">
                  <v:textbox inset="0,0,0,0">
                    <w:txbxContent>
                      <w:p>
                        <w:pPr>
                          <w:spacing w:before="23"/>
                          <w:ind w:left="7677" w:right="0" w:firstLine="0"/>
                          <w:jc w:val="left"/>
                          <w:rPr>
                            <w:sz w:val="18"/>
                          </w:rPr>
                        </w:pPr>
                        <w:r>
                          <w:rPr>
                            <w:sz w:val="18"/>
                          </w:rPr>
                          <w:t>September</w:t>
                        </w:r>
                        <w:r>
                          <w:rPr>
                            <w:spacing w:val="-1"/>
                            <w:sz w:val="18"/>
                          </w:rPr>
                          <w:t> </w:t>
                        </w:r>
                        <w:r>
                          <w:rPr>
                            <w:sz w:val="18"/>
                          </w:rPr>
                          <w:t>30, </w:t>
                        </w:r>
                        <w:r>
                          <w:rPr>
                            <w:spacing w:val="-4"/>
                            <w:sz w:val="18"/>
                          </w:rPr>
                          <w:t>2023</w:t>
                        </w:r>
                      </w:p>
                      <w:p>
                        <w:pPr>
                          <w:tabs>
                            <w:tab w:pos="8965" w:val="left" w:leader="none"/>
                          </w:tabs>
                          <w:spacing w:before="48"/>
                          <w:ind w:left="7235" w:right="0" w:firstLine="0"/>
                          <w:jc w:val="left"/>
                          <w:rPr>
                            <w:sz w:val="18"/>
                          </w:rPr>
                        </w:pPr>
                        <w:r>
                          <w:rPr>
                            <w:spacing w:val="-2"/>
                            <w:sz w:val="18"/>
                          </w:rPr>
                          <w:t>Assets</w:t>
                        </w:r>
                        <w:r>
                          <w:rPr>
                            <w:sz w:val="18"/>
                          </w:rPr>
                          <w:tab/>
                        </w:r>
                        <w:r>
                          <w:rPr>
                            <w:spacing w:val="-2"/>
                            <w:sz w:val="18"/>
                          </w:rPr>
                          <w:t>Liabilities</w:t>
                        </w:r>
                      </w:p>
                    </w:txbxContent>
                  </v:textbox>
                  <w10:wrap type="none"/>
                </v:shape>
                <v:shape style="position:absolute;left:990;top:1043;width:10260;height:245" type="#_x0000_t202" id="docshape408" filled="false" stroked="false">
                  <v:textbox inset="0,0,0,0">
                    <w:txbxContent>
                      <w:p>
                        <w:pPr>
                          <w:tabs>
                            <w:tab w:pos="6592" w:val="left" w:leader="none"/>
                            <w:tab w:pos="8235" w:val="left" w:leader="none"/>
                            <w:tab w:pos="10005" w:val="left" w:leader="none"/>
                          </w:tabs>
                          <w:spacing w:before="13"/>
                          <w:ind w:left="52" w:right="0" w:firstLine="0"/>
                          <w:jc w:val="left"/>
                          <w:rPr>
                            <w:sz w:val="18"/>
                          </w:rPr>
                        </w:pPr>
                        <w:r>
                          <w:rPr>
                            <w:sz w:val="18"/>
                          </w:rPr>
                          <w:t>Interest</w:t>
                        </w:r>
                        <w:r>
                          <w:rPr>
                            <w:spacing w:val="-4"/>
                            <w:sz w:val="18"/>
                          </w:rPr>
                          <w:t> </w:t>
                        </w:r>
                        <w:r>
                          <w:rPr>
                            <w:sz w:val="18"/>
                          </w:rPr>
                          <w:t>rate</w:t>
                        </w:r>
                        <w:r>
                          <w:rPr>
                            <w:spacing w:val="-1"/>
                            <w:sz w:val="18"/>
                          </w:rPr>
                          <w:t> </w:t>
                        </w:r>
                        <w:r>
                          <w:rPr>
                            <w:sz w:val="18"/>
                          </w:rPr>
                          <w:t>swaps</w:t>
                        </w:r>
                        <w:r>
                          <w:rPr>
                            <w:spacing w:val="-2"/>
                            <w:sz w:val="18"/>
                          </w:rPr>
                          <w:t> </w:t>
                        </w:r>
                        <w:r>
                          <w:rPr>
                            <w:spacing w:val="-4"/>
                            <w:sz w:val="18"/>
                            <w:vertAlign w:val="superscript"/>
                          </w:rPr>
                          <w:t>(1,2)</w:t>
                        </w:r>
                        <w:r>
                          <w:rPr>
                            <w:sz w:val="18"/>
                            <w:vertAlign w:val="baseline"/>
                          </w:rPr>
                          <w:tab/>
                        </w:r>
                        <w:r>
                          <w:rPr>
                            <w:spacing w:val="-10"/>
                            <w:sz w:val="18"/>
                            <w:vertAlign w:val="baseline"/>
                          </w:rPr>
                          <w:t>$</w:t>
                        </w:r>
                        <w:r>
                          <w:rPr>
                            <w:sz w:val="18"/>
                            <w:vertAlign w:val="baseline"/>
                          </w:rPr>
                          <w:tab/>
                          <w:t>3</w:t>
                        </w:r>
                        <w:r>
                          <w:rPr>
                            <w:spacing w:val="59"/>
                            <w:w w:val="150"/>
                            <w:sz w:val="18"/>
                            <w:vertAlign w:val="baseline"/>
                          </w:rPr>
                          <w:t> </w:t>
                        </w:r>
                        <w:r>
                          <w:rPr>
                            <w:spacing w:val="-10"/>
                            <w:sz w:val="18"/>
                            <w:vertAlign w:val="baseline"/>
                          </w:rPr>
                          <w:t>$</w:t>
                        </w:r>
                        <w:r>
                          <w:rPr>
                            <w:sz w:val="18"/>
                            <w:vertAlign w:val="baseline"/>
                          </w:rPr>
                          <w:tab/>
                        </w:r>
                        <w:r>
                          <w:rPr>
                            <w:spacing w:val="-10"/>
                            <w:sz w:val="18"/>
                            <w:vertAlign w:val="baseline"/>
                          </w:rPr>
                          <w:t>—</w:t>
                        </w:r>
                      </w:p>
                    </w:txbxContent>
                  </v:textbox>
                  <w10:wrap type="none"/>
                </v:shape>
                <w10:wrap type="topAndBottom"/>
              </v:group>
            </w:pict>
          </mc:Fallback>
        </mc:AlternateContent>
      </w:r>
      <w:r>
        <w:rPr/>
        <w:t>The</w:t>
      </w:r>
      <w:r>
        <w:rPr>
          <w:spacing w:val="-3"/>
        </w:rPr>
        <w:t> </w:t>
      </w:r>
      <w:r>
        <w:rPr/>
        <w:t>table</w:t>
      </w:r>
      <w:r>
        <w:rPr>
          <w:spacing w:val="-3"/>
        </w:rPr>
        <w:t> </w:t>
      </w:r>
      <w:r>
        <w:rPr/>
        <w:t>below</w:t>
      </w:r>
      <w:r>
        <w:rPr>
          <w:spacing w:val="-3"/>
        </w:rPr>
        <w:t> </w:t>
      </w:r>
      <w:r>
        <w:rPr/>
        <w:t>presents</w:t>
      </w:r>
      <w:r>
        <w:rPr>
          <w:spacing w:val="-3"/>
        </w:rPr>
        <w:t> </w:t>
      </w:r>
      <w:r>
        <w:rPr/>
        <w:t>the</w:t>
      </w:r>
      <w:r>
        <w:rPr>
          <w:spacing w:val="-3"/>
        </w:rPr>
        <w:t> </w:t>
      </w:r>
      <w:r>
        <w:rPr/>
        <w:t>gross</w:t>
      </w:r>
      <w:r>
        <w:rPr>
          <w:spacing w:val="-3"/>
        </w:rPr>
        <w:t> </w:t>
      </w:r>
      <w:r>
        <w:rPr/>
        <w:t>fair</w:t>
      </w:r>
      <w:r>
        <w:rPr>
          <w:spacing w:val="-2"/>
        </w:rPr>
        <w:t> </w:t>
      </w:r>
      <w:r>
        <w:rPr/>
        <w:t>values</w:t>
      </w:r>
      <w:r>
        <w:rPr>
          <w:spacing w:val="-3"/>
        </w:rPr>
        <w:t> </w:t>
      </w:r>
      <w:r>
        <w:rPr/>
        <w:t>of</w:t>
      </w:r>
      <w:r>
        <w:rPr>
          <w:spacing w:val="-2"/>
        </w:rPr>
        <w:t> </w:t>
      </w:r>
      <w:r>
        <w:rPr/>
        <w:t>the</w:t>
      </w:r>
      <w:r>
        <w:rPr>
          <w:spacing w:val="-3"/>
        </w:rPr>
        <w:t> </w:t>
      </w:r>
      <w:r>
        <w:rPr/>
        <w:t>Company’s</w:t>
      </w:r>
      <w:r>
        <w:rPr>
          <w:spacing w:val="-3"/>
        </w:rPr>
        <w:t> </w:t>
      </w:r>
      <w:r>
        <w:rPr/>
        <w:t>interest</w:t>
      </w:r>
      <w:r>
        <w:rPr>
          <w:spacing w:val="-3"/>
        </w:rPr>
        <w:t> </w:t>
      </w:r>
      <w:r>
        <w:rPr/>
        <w:t>rate</w:t>
      </w:r>
      <w:r>
        <w:rPr>
          <w:spacing w:val="-3"/>
        </w:rPr>
        <w:t> </w:t>
      </w:r>
      <w:r>
        <w:rPr/>
        <w:t>swaps</w:t>
      </w:r>
      <w:r>
        <w:rPr>
          <w:spacing w:val="-3"/>
        </w:rPr>
        <w:t> </w:t>
      </w:r>
      <w:r>
        <w:rPr/>
        <w:t>designated</w:t>
      </w:r>
      <w:r>
        <w:rPr>
          <w:spacing w:val="-2"/>
        </w:rPr>
        <w:t> </w:t>
      </w:r>
      <w:r>
        <w:rPr/>
        <w:t>as</w:t>
      </w:r>
      <w:r>
        <w:rPr>
          <w:spacing w:val="-3"/>
        </w:rPr>
        <w:t> </w:t>
      </w:r>
      <w:r>
        <w:rPr/>
        <w:t>hedging</w:t>
      </w:r>
      <w:r>
        <w:rPr>
          <w:spacing w:val="-2"/>
        </w:rPr>
        <w:t> </w:t>
      </w:r>
      <w:r>
        <w:rPr/>
        <w:t>instruments</w:t>
      </w:r>
      <w:r>
        <w:rPr>
          <w:spacing w:val="-3"/>
        </w:rPr>
        <w:t> </w:t>
      </w:r>
      <w:r>
        <w:rPr/>
        <w:t>on</w:t>
      </w:r>
      <w:r>
        <w:rPr>
          <w:spacing w:val="-2"/>
        </w:rPr>
        <w:t> </w:t>
      </w:r>
      <w:r>
        <w:rPr/>
        <w:t>the condensed consolidated balance sheet:</w:t>
      </w:r>
    </w:p>
    <w:p>
      <w:pPr>
        <w:spacing w:line="249" w:lineRule="auto" w:before="56"/>
        <w:ind w:left="650" w:right="500" w:hanging="180"/>
        <w:jc w:val="left"/>
        <w:rPr>
          <w:sz w:val="16"/>
        </w:rPr>
      </w:pPr>
      <w:r>
        <w:rPr>
          <w:sz w:val="16"/>
          <w:vertAlign w:val="superscript"/>
        </w:rPr>
        <w:t>(1)</w:t>
      </w:r>
      <w:r>
        <w:rPr>
          <w:spacing w:val="-3"/>
          <w:sz w:val="16"/>
          <w:vertAlign w:val="baseline"/>
        </w:rPr>
        <w:t> </w:t>
      </w:r>
      <w:r>
        <w:rPr>
          <w:sz w:val="16"/>
          <w:vertAlign w:val="baseline"/>
        </w:rPr>
        <w:t>Derivative</w:t>
      </w:r>
      <w:r>
        <w:rPr>
          <w:spacing w:val="-2"/>
          <w:sz w:val="16"/>
          <w:vertAlign w:val="baseline"/>
        </w:rPr>
        <w:t> </w:t>
      </w:r>
      <w:r>
        <w:rPr>
          <w:sz w:val="16"/>
          <w:vertAlign w:val="baseline"/>
        </w:rPr>
        <w:t>assets</w:t>
      </w:r>
      <w:r>
        <w:rPr>
          <w:spacing w:val="-3"/>
          <w:sz w:val="16"/>
          <w:vertAlign w:val="baseline"/>
        </w:rPr>
        <w:t> </w:t>
      </w:r>
      <w:r>
        <w:rPr>
          <w:sz w:val="16"/>
          <w:vertAlign w:val="baseline"/>
        </w:rPr>
        <w:t>are</w:t>
      </w:r>
      <w:r>
        <w:rPr>
          <w:spacing w:val="-2"/>
          <w:sz w:val="16"/>
          <w:vertAlign w:val="baseline"/>
        </w:rPr>
        <w:t> </w:t>
      </w:r>
      <w:r>
        <w:rPr>
          <w:sz w:val="16"/>
          <w:vertAlign w:val="baseline"/>
        </w:rPr>
        <w:t>included</w:t>
      </w:r>
      <w:r>
        <w:rPr>
          <w:spacing w:val="-2"/>
          <w:sz w:val="16"/>
          <w:vertAlign w:val="baseline"/>
        </w:rPr>
        <w:t> </w:t>
      </w:r>
      <w:r>
        <w:rPr>
          <w:sz w:val="16"/>
          <w:vertAlign w:val="baseline"/>
        </w:rPr>
        <w:t>in</w:t>
      </w:r>
      <w:r>
        <w:rPr>
          <w:spacing w:val="-2"/>
          <w:sz w:val="16"/>
          <w:vertAlign w:val="baseline"/>
        </w:rPr>
        <w:t> </w:t>
      </w:r>
      <w:r>
        <w:rPr>
          <w:sz w:val="16"/>
          <w:vertAlign w:val="baseline"/>
        </w:rPr>
        <w:t>other</w:t>
      </w:r>
      <w:r>
        <w:rPr>
          <w:spacing w:val="-2"/>
          <w:sz w:val="16"/>
          <w:vertAlign w:val="baseline"/>
        </w:rPr>
        <w:t> </w:t>
      </w:r>
      <w:r>
        <w:rPr>
          <w:sz w:val="16"/>
          <w:vertAlign w:val="baseline"/>
        </w:rPr>
        <w:t>assets</w:t>
      </w:r>
      <w:r>
        <w:rPr>
          <w:spacing w:val="-3"/>
          <w:sz w:val="16"/>
          <w:vertAlign w:val="baseline"/>
        </w:rPr>
        <w:t> </w:t>
      </w:r>
      <w:r>
        <w:rPr>
          <w:sz w:val="16"/>
          <w:vertAlign w:val="baseline"/>
        </w:rPr>
        <w:t>and</w:t>
      </w:r>
      <w:r>
        <w:rPr>
          <w:spacing w:val="-2"/>
          <w:sz w:val="16"/>
          <w:vertAlign w:val="baseline"/>
        </w:rPr>
        <w:t> </w:t>
      </w:r>
      <w:r>
        <w:rPr>
          <w:sz w:val="16"/>
          <w:vertAlign w:val="baseline"/>
        </w:rPr>
        <w:t>derivative</w:t>
      </w:r>
      <w:r>
        <w:rPr>
          <w:spacing w:val="-2"/>
          <w:sz w:val="16"/>
          <w:vertAlign w:val="baseline"/>
        </w:rPr>
        <w:t> </w:t>
      </w:r>
      <w:r>
        <w:rPr>
          <w:sz w:val="16"/>
          <w:vertAlign w:val="baseline"/>
        </w:rPr>
        <w:t>liabilities</w:t>
      </w:r>
      <w:r>
        <w:rPr>
          <w:spacing w:val="-3"/>
          <w:sz w:val="16"/>
          <w:vertAlign w:val="baseline"/>
        </w:rPr>
        <w:t> </w:t>
      </w:r>
      <w:r>
        <w:rPr>
          <w:sz w:val="16"/>
          <w:vertAlign w:val="baseline"/>
        </w:rPr>
        <w:t>are</w:t>
      </w:r>
      <w:r>
        <w:rPr>
          <w:spacing w:val="-2"/>
          <w:sz w:val="16"/>
          <w:vertAlign w:val="baseline"/>
        </w:rPr>
        <w:t> </w:t>
      </w:r>
      <w:r>
        <w:rPr>
          <w:sz w:val="16"/>
          <w:vertAlign w:val="baseline"/>
        </w:rPr>
        <w:t>included</w:t>
      </w:r>
      <w:r>
        <w:rPr>
          <w:spacing w:val="-2"/>
          <w:sz w:val="16"/>
          <w:vertAlign w:val="baseline"/>
        </w:rPr>
        <w:t> </w:t>
      </w:r>
      <w:r>
        <w:rPr>
          <w:sz w:val="16"/>
          <w:vertAlign w:val="baseline"/>
        </w:rPr>
        <w:t>in</w:t>
      </w:r>
      <w:r>
        <w:rPr>
          <w:spacing w:val="-2"/>
          <w:sz w:val="16"/>
          <w:vertAlign w:val="baseline"/>
        </w:rPr>
        <w:t> </w:t>
      </w:r>
      <w:r>
        <w:rPr>
          <w:sz w:val="16"/>
          <w:vertAlign w:val="baseline"/>
        </w:rPr>
        <w:t>accrued</w:t>
      </w:r>
      <w:r>
        <w:rPr>
          <w:spacing w:val="-2"/>
          <w:sz w:val="16"/>
          <w:vertAlign w:val="baseline"/>
        </w:rPr>
        <w:t> </w:t>
      </w:r>
      <w:r>
        <w:rPr>
          <w:sz w:val="16"/>
          <w:vertAlign w:val="baseline"/>
        </w:rPr>
        <w:t>expenses</w:t>
      </w:r>
      <w:r>
        <w:rPr>
          <w:spacing w:val="-3"/>
          <w:sz w:val="16"/>
          <w:vertAlign w:val="baseline"/>
        </w:rPr>
        <w:t> </w:t>
      </w:r>
      <w:r>
        <w:rPr>
          <w:sz w:val="16"/>
          <w:vertAlign w:val="baseline"/>
        </w:rPr>
        <w:t>and</w:t>
      </w:r>
      <w:r>
        <w:rPr>
          <w:spacing w:val="-2"/>
          <w:sz w:val="16"/>
          <w:vertAlign w:val="baseline"/>
        </w:rPr>
        <w:t> </w:t>
      </w:r>
      <w:r>
        <w:rPr>
          <w:sz w:val="16"/>
          <w:vertAlign w:val="baseline"/>
        </w:rPr>
        <w:t>other</w:t>
      </w:r>
      <w:r>
        <w:rPr>
          <w:spacing w:val="-2"/>
          <w:sz w:val="16"/>
          <w:vertAlign w:val="baseline"/>
        </w:rPr>
        <w:t> </w:t>
      </w:r>
      <w:r>
        <w:rPr>
          <w:sz w:val="16"/>
          <w:vertAlign w:val="baseline"/>
        </w:rPr>
        <w:t>liabilities</w:t>
      </w:r>
      <w:r>
        <w:rPr>
          <w:spacing w:val="-3"/>
          <w:sz w:val="16"/>
          <w:vertAlign w:val="baseline"/>
        </w:rPr>
        <w:t> </w:t>
      </w:r>
      <w:r>
        <w:rPr>
          <w:sz w:val="16"/>
          <w:vertAlign w:val="baseline"/>
        </w:rPr>
        <w:t>on</w:t>
      </w:r>
      <w:r>
        <w:rPr>
          <w:spacing w:val="-2"/>
          <w:sz w:val="16"/>
          <w:vertAlign w:val="baseline"/>
        </w:rPr>
        <w:t> </w:t>
      </w:r>
      <w:r>
        <w:rPr>
          <w:sz w:val="16"/>
          <w:vertAlign w:val="baseline"/>
        </w:rPr>
        <w:t>the</w:t>
      </w:r>
      <w:r>
        <w:rPr>
          <w:spacing w:val="-2"/>
          <w:sz w:val="16"/>
          <w:vertAlign w:val="baseline"/>
        </w:rPr>
        <w:t> </w:t>
      </w:r>
      <w:r>
        <w:rPr>
          <w:sz w:val="16"/>
          <w:vertAlign w:val="baseline"/>
        </w:rPr>
        <w:t>condensed</w:t>
      </w:r>
      <w:r>
        <w:rPr>
          <w:spacing w:val="-2"/>
          <w:sz w:val="16"/>
          <w:vertAlign w:val="baseline"/>
        </w:rPr>
        <w:t> </w:t>
      </w:r>
      <w:r>
        <w:rPr>
          <w:sz w:val="16"/>
          <w:vertAlign w:val="baseline"/>
        </w:rPr>
        <w:t>consolidated</w:t>
      </w:r>
      <w:r>
        <w:rPr>
          <w:spacing w:val="40"/>
          <w:sz w:val="16"/>
          <w:vertAlign w:val="baseline"/>
        </w:rPr>
        <w:t> </w:t>
      </w:r>
      <w:r>
        <w:rPr>
          <w:sz w:val="16"/>
          <w:vertAlign w:val="baseline"/>
        </w:rPr>
        <w:t>balance</w:t>
      </w:r>
      <w:r>
        <w:rPr>
          <w:spacing w:val="-1"/>
          <w:sz w:val="16"/>
          <w:vertAlign w:val="baseline"/>
        </w:rPr>
        <w:t> </w:t>
      </w:r>
      <w:r>
        <w:rPr>
          <w:sz w:val="16"/>
          <w:vertAlign w:val="baseline"/>
        </w:rPr>
        <w:t>sheet.</w:t>
      </w:r>
    </w:p>
    <w:p>
      <w:pPr>
        <w:spacing w:line="249" w:lineRule="auto" w:before="1"/>
        <w:ind w:left="650" w:right="500" w:hanging="180"/>
        <w:jc w:val="left"/>
        <w:rPr>
          <w:sz w:val="16"/>
        </w:rPr>
      </w:pPr>
      <w:r>
        <w:rPr>
          <w:sz w:val="16"/>
          <w:vertAlign w:val="superscript"/>
        </w:rPr>
        <w:t>(2)</w:t>
      </w:r>
      <w:r>
        <w:rPr>
          <w:spacing w:val="-3"/>
          <w:sz w:val="16"/>
          <w:vertAlign w:val="baseline"/>
        </w:rPr>
        <w:t> </w:t>
      </w:r>
      <w:r>
        <w:rPr>
          <w:sz w:val="16"/>
          <w:vertAlign w:val="baseline"/>
        </w:rPr>
        <w:t>Includes</w:t>
      </w:r>
      <w:r>
        <w:rPr>
          <w:spacing w:val="-3"/>
          <w:sz w:val="16"/>
          <w:vertAlign w:val="baseline"/>
        </w:rPr>
        <w:t> </w:t>
      </w:r>
      <w:r>
        <w:rPr>
          <w:sz w:val="16"/>
          <w:vertAlign w:val="baseline"/>
        </w:rPr>
        <w:t>a</w:t>
      </w:r>
      <w:r>
        <w:rPr>
          <w:spacing w:val="-3"/>
          <w:sz w:val="16"/>
          <w:vertAlign w:val="baseline"/>
        </w:rPr>
        <w:t> </w:t>
      </w:r>
      <w:r>
        <w:rPr>
          <w:sz w:val="16"/>
          <w:vertAlign w:val="baseline"/>
        </w:rPr>
        <w:t>$301</w:t>
      </w:r>
      <w:r>
        <w:rPr>
          <w:spacing w:val="-2"/>
          <w:sz w:val="16"/>
          <w:vertAlign w:val="baseline"/>
        </w:rPr>
        <w:t> </w:t>
      </w:r>
      <w:r>
        <w:rPr>
          <w:sz w:val="16"/>
          <w:vertAlign w:val="baseline"/>
        </w:rPr>
        <w:t>million</w:t>
      </w:r>
      <w:r>
        <w:rPr>
          <w:spacing w:val="-3"/>
          <w:sz w:val="16"/>
          <w:vertAlign w:val="baseline"/>
        </w:rPr>
        <w:t> </w:t>
      </w:r>
      <w:r>
        <w:rPr>
          <w:sz w:val="16"/>
          <w:vertAlign w:val="baseline"/>
        </w:rPr>
        <w:t>reduction</w:t>
      </w:r>
      <w:r>
        <w:rPr>
          <w:spacing w:val="-2"/>
          <w:sz w:val="16"/>
          <w:vertAlign w:val="baseline"/>
        </w:rPr>
        <w:t> </w:t>
      </w:r>
      <w:r>
        <w:rPr>
          <w:sz w:val="16"/>
          <w:vertAlign w:val="baseline"/>
        </w:rPr>
        <w:t>of</w:t>
      </w:r>
      <w:r>
        <w:rPr>
          <w:spacing w:val="-2"/>
          <w:sz w:val="16"/>
          <w:vertAlign w:val="baseline"/>
        </w:rPr>
        <w:t> </w:t>
      </w:r>
      <w:r>
        <w:rPr>
          <w:sz w:val="16"/>
          <w:vertAlign w:val="baseline"/>
        </w:rPr>
        <w:t>derivative</w:t>
      </w:r>
      <w:r>
        <w:rPr>
          <w:spacing w:val="-2"/>
          <w:sz w:val="16"/>
          <w:vertAlign w:val="baseline"/>
        </w:rPr>
        <w:t> </w:t>
      </w:r>
      <w:r>
        <w:rPr>
          <w:sz w:val="16"/>
          <w:vertAlign w:val="baseline"/>
        </w:rPr>
        <w:t>assets</w:t>
      </w:r>
      <w:r>
        <w:rPr>
          <w:spacing w:val="-3"/>
          <w:sz w:val="16"/>
          <w:vertAlign w:val="baseline"/>
        </w:rPr>
        <w:t> </w:t>
      </w:r>
      <w:r>
        <w:rPr>
          <w:sz w:val="16"/>
          <w:vertAlign w:val="baseline"/>
        </w:rPr>
        <w:t>related</w:t>
      </w:r>
      <w:r>
        <w:rPr>
          <w:spacing w:val="-2"/>
          <w:sz w:val="16"/>
          <w:vertAlign w:val="baseline"/>
        </w:rPr>
        <w:t> </w:t>
      </w:r>
      <w:r>
        <w:rPr>
          <w:sz w:val="16"/>
          <w:vertAlign w:val="baseline"/>
        </w:rPr>
        <w:t>to</w:t>
      </w:r>
      <w:r>
        <w:rPr>
          <w:spacing w:val="-2"/>
          <w:sz w:val="16"/>
          <w:vertAlign w:val="baseline"/>
        </w:rPr>
        <w:t> </w:t>
      </w:r>
      <w:r>
        <w:rPr>
          <w:sz w:val="16"/>
          <w:vertAlign w:val="baseline"/>
        </w:rPr>
        <w:t>variation</w:t>
      </w:r>
      <w:r>
        <w:rPr>
          <w:spacing w:val="-2"/>
          <w:sz w:val="16"/>
          <w:vertAlign w:val="baseline"/>
        </w:rPr>
        <w:t> </w:t>
      </w:r>
      <w:r>
        <w:rPr>
          <w:sz w:val="16"/>
          <w:vertAlign w:val="baseline"/>
        </w:rPr>
        <w:t>margin</w:t>
      </w:r>
      <w:r>
        <w:rPr>
          <w:spacing w:val="-2"/>
          <w:sz w:val="16"/>
          <w:vertAlign w:val="baseline"/>
        </w:rPr>
        <w:t> </w:t>
      </w:r>
      <w:r>
        <w:rPr>
          <w:sz w:val="16"/>
          <w:vertAlign w:val="baseline"/>
        </w:rPr>
        <w:t>settlements</w:t>
      </w:r>
      <w:r>
        <w:rPr>
          <w:spacing w:val="-3"/>
          <w:sz w:val="16"/>
          <w:vertAlign w:val="baseline"/>
        </w:rPr>
        <w:t> </w:t>
      </w:r>
      <w:r>
        <w:rPr>
          <w:sz w:val="16"/>
          <w:vertAlign w:val="baseline"/>
        </w:rPr>
        <w:t>on</w:t>
      </w:r>
      <w:r>
        <w:rPr>
          <w:spacing w:val="-2"/>
          <w:sz w:val="16"/>
          <w:vertAlign w:val="baseline"/>
        </w:rPr>
        <w:t> </w:t>
      </w:r>
      <w:r>
        <w:rPr>
          <w:sz w:val="16"/>
          <w:vertAlign w:val="baseline"/>
        </w:rPr>
        <w:t>derivatives</w:t>
      </w:r>
      <w:r>
        <w:rPr>
          <w:spacing w:val="-3"/>
          <w:sz w:val="16"/>
          <w:vertAlign w:val="baseline"/>
        </w:rPr>
        <w:t> </w:t>
      </w:r>
      <w:r>
        <w:rPr>
          <w:sz w:val="16"/>
          <w:vertAlign w:val="baseline"/>
        </w:rPr>
        <w:t>cleared</w:t>
      </w:r>
      <w:r>
        <w:rPr>
          <w:spacing w:val="-2"/>
          <w:sz w:val="16"/>
          <w:vertAlign w:val="baseline"/>
        </w:rPr>
        <w:t> </w:t>
      </w:r>
      <w:r>
        <w:rPr>
          <w:sz w:val="16"/>
          <w:vertAlign w:val="baseline"/>
        </w:rPr>
        <w:t>through</w:t>
      </w:r>
      <w:r>
        <w:rPr>
          <w:spacing w:val="-2"/>
          <w:sz w:val="16"/>
          <w:vertAlign w:val="baseline"/>
        </w:rPr>
        <w:t> </w:t>
      </w:r>
      <w:r>
        <w:rPr>
          <w:sz w:val="16"/>
          <w:vertAlign w:val="baseline"/>
        </w:rPr>
        <w:t>CCPs.</w:t>
      </w:r>
      <w:r>
        <w:rPr>
          <w:spacing w:val="-2"/>
          <w:sz w:val="16"/>
          <w:vertAlign w:val="baseline"/>
        </w:rPr>
        <w:t> </w:t>
      </w:r>
      <w:r>
        <w:rPr>
          <w:sz w:val="16"/>
          <w:vertAlign w:val="baseline"/>
        </w:rPr>
        <w:t>Settlements</w:t>
      </w:r>
      <w:r>
        <w:rPr>
          <w:spacing w:val="-3"/>
          <w:sz w:val="16"/>
          <w:vertAlign w:val="baseline"/>
        </w:rPr>
        <w:t> </w:t>
      </w:r>
      <w:r>
        <w:rPr>
          <w:sz w:val="16"/>
          <w:vertAlign w:val="baseline"/>
        </w:rPr>
        <w:t>on</w:t>
      </w:r>
      <w:r>
        <w:rPr>
          <w:spacing w:val="-2"/>
          <w:sz w:val="16"/>
          <w:vertAlign w:val="baseline"/>
        </w:rPr>
        <w:t> </w:t>
      </w:r>
      <w:r>
        <w:rPr>
          <w:sz w:val="16"/>
          <w:vertAlign w:val="baseline"/>
        </w:rPr>
        <w:t>derivative</w:t>
      </w:r>
      <w:r>
        <w:rPr>
          <w:spacing w:val="40"/>
          <w:sz w:val="16"/>
          <w:vertAlign w:val="baseline"/>
        </w:rPr>
        <w:t> </w:t>
      </w:r>
      <w:r>
        <w:rPr>
          <w:sz w:val="16"/>
          <w:vertAlign w:val="baseline"/>
        </w:rPr>
        <w:t>positions cleared through CCPs are reflected as reductions to the associated derivative asset and liability balances.</w:t>
      </w:r>
    </w:p>
    <w:p>
      <w:pPr>
        <w:pStyle w:val="BodyText"/>
        <w:spacing w:before="57"/>
        <w:rPr>
          <w:sz w:val="16"/>
        </w:rPr>
      </w:pPr>
    </w:p>
    <w:p>
      <w:pPr>
        <w:pStyle w:val="Heading3"/>
        <w:rPr>
          <w:i/>
        </w:rPr>
      </w:pPr>
      <w:r>
        <w:rPr>
          <w:i/>
        </w:rPr>
        <w:t>Effects</w:t>
      </w:r>
      <w:r>
        <w:rPr>
          <w:i/>
          <w:spacing w:val="-4"/>
        </w:rPr>
        <w:t> </w:t>
      </w:r>
      <w:r>
        <w:rPr>
          <w:i/>
        </w:rPr>
        <w:t>of</w:t>
      </w:r>
      <w:r>
        <w:rPr>
          <w:i/>
          <w:spacing w:val="-2"/>
        </w:rPr>
        <w:t> </w:t>
      </w:r>
      <w:r>
        <w:rPr>
          <w:i/>
        </w:rPr>
        <w:t>Fair</w:t>
      </w:r>
      <w:r>
        <w:rPr>
          <w:i/>
          <w:spacing w:val="-3"/>
        </w:rPr>
        <w:t> </w:t>
      </w:r>
      <w:r>
        <w:rPr>
          <w:i/>
        </w:rPr>
        <w:t>Value</w:t>
      </w:r>
      <w:r>
        <w:rPr>
          <w:i/>
          <w:spacing w:val="-3"/>
        </w:rPr>
        <w:t> </w:t>
      </w:r>
      <w:r>
        <w:rPr>
          <w:i/>
        </w:rPr>
        <w:t>Hedge</w:t>
      </w:r>
      <w:r>
        <w:rPr>
          <w:i/>
          <w:spacing w:val="-3"/>
        </w:rPr>
        <w:t> </w:t>
      </w:r>
      <w:r>
        <w:rPr>
          <w:i/>
          <w:spacing w:val="-2"/>
        </w:rPr>
        <w:t>Accounting</w:t>
      </w:r>
    </w:p>
    <w:p>
      <w:pPr>
        <w:pStyle w:val="BodyText"/>
        <w:spacing w:before="23"/>
        <w:rPr>
          <w:b/>
          <w:i/>
        </w:rPr>
      </w:pPr>
    </w:p>
    <w:p>
      <w:pPr>
        <w:pStyle w:val="BodyText"/>
        <w:spacing w:line="249" w:lineRule="auto"/>
        <w:ind w:left="470" w:right="761"/>
      </w:pPr>
      <w:r>
        <w:rPr/>
        <mc:AlternateContent>
          <mc:Choice Requires="wps">
            <w:drawing>
              <wp:anchor distT="0" distB="0" distL="0" distR="0" allowOverlap="1" layoutInCell="1" locked="0" behindDoc="1" simplePos="0" relativeHeight="487621632">
                <wp:simplePos x="0" y="0"/>
                <wp:positionH relativeFrom="page">
                  <wp:posOffset>628650</wp:posOffset>
                </wp:positionH>
                <wp:positionV relativeFrom="paragraph">
                  <wp:posOffset>332536</wp:posOffset>
                </wp:positionV>
                <wp:extent cx="6515100" cy="327025"/>
                <wp:effectExtent l="0" t="0" r="0" b="0"/>
                <wp:wrapTopAndBottom/>
                <wp:docPr id="566" name="Group 566"/>
                <wp:cNvGraphicFramePr>
                  <a:graphicFrameLocks/>
                </wp:cNvGraphicFramePr>
                <a:graphic>
                  <a:graphicData uri="http://schemas.microsoft.com/office/word/2010/wordprocessingGroup">
                    <wpg:wgp>
                      <wpg:cNvPr id="566" name="Group 566"/>
                      <wpg:cNvGrpSpPr/>
                      <wpg:grpSpPr>
                        <a:xfrm>
                          <a:off x="0" y="0"/>
                          <a:ext cx="6515100" cy="327025"/>
                          <a:chExt cx="6515100" cy="327025"/>
                        </a:xfrm>
                      </wpg:grpSpPr>
                      <wps:wsp>
                        <wps:cNvPr id="567" name="Graphic 567"/>
                        <wps:cNvSpPr/>
                        <wps:spPr>
                          <a:xfrm>
                            <a:off x="0" y="165100"/>
                            <a:ext cx="6515100" cy="161925"/>
                          </a:xfrm>
                          <a:custGeom>
                            <a:avLst/>
                            <a:gdLst/>
                            <a:ahLst/>
                            <a:cxnLst/>
                            <a:rect l="l" t="t" r="r" b="b"/>
                            <a:pathLst>
                              <a:path w="6515100" h="161925">
                                <a:moveTo>
                                  <a:pt x="6515100" y="0"/>
                                </a:moveTo>
                                <a:lnTo>
                                  <a:pt x="0" y="0"/>
                                </a:lnTo>
                                <a:lnTo>
                                  <a:pt x="0" y="161925"/>
                                </a:lnTo>
                                <a:lnTo>
                                  <a:pt x="6515100" y="161925"/>
                                </a:lnTo>
                                <a:lnTo>
                                  <a:pt x="6515100" y="0"/>
                                </a:lnTo>
                                <a:close/>
                              </a:path>
                            </a:pathLst>
                          </a:custGeom>
                          <a:solidFill>
                            <a:srgbClr val="CCEDFF"/>
                          </a:solidFill>
                        </wps:spPr>
                        <wps:bodyPr wrap="square" lIns="0" tIns="0" rIns="0" bIns="0" rtlCol="0">
                          <a:prstTxWarp prst="textNoShape">
                            <a:avLst/>
                          </a:prstTxWarp>
                          <a:noAutofit/>
                        </wps:bodyPr>
                      </wps:wsp>
                      <wps:wsp>
                        <wps:cNvPr id="568" name="Graphic 568"/>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569" name="Graphic 569"/>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570" name="Graphic 570"/>
                        <wps:cNvSpPr/>
                        <wps:spPr>
                          <a:xfrm>
                            <a:off x="0" y="165100"/>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571" name="Graphic 571"/>
                        <wps:cNvSpPr/>
                        <wps:spPr>
                          <a:xfrm>
                            <a:off x="0" y="165100"/>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572" name="Textbox 572"/>
                        <wps:cNvSpPr txBox="1"/>
                        <wps:spPr>
                          <a:xfrm>
                            <a:off x="0" y="0"/>
                            <a:ext cx="6515100" cy="327025"/>
                          </a:xfrm>
                          <a:prstGeom prst="rect">
                            <a:avLst/>
                          </a:prstGeom>
                        </wps:spPr>
                        <wps:txbx>
                          <w:txbxContent>
                            <w:p>
                              <w:pPr>
                                <w:spacing w:before="23"/>
                                <w:ind w:left="0" w:right="347" w:firstLine="0"/>
                                <w:jc w:val="right"/>
                                <w:rPr>
                                  <w:sz w:val="18"/>
                                </w:rPr>
                              </w:pPr>
                              <w:r>
                                <w:rPr>
                                  <w:sz w:val="18"/>
                                </w:rPr>
                                <w:t>September</w:t>
                              </w:r>
                              <w:r>
                                <w:rPr>
                                  <w:spacing w:val="-1"/>
                                  <w:sz w:val="18"/>
                                </w:rPr>
                                <w:t> </w:t>
                              </w:r>
                              <w:r>
                                <w:rPr>
                                  <w:sz w:val="18"/>
                                </w:rPr>
                                <w:t>30, </w:t>
                              </w:r>
                              <w:r>
                                <w:rPr>
                                  <w:spacing w:val="-4"/>
                                  <w:sz w:val="18"/>
                                </w:rPr>
                                <w:t>2023</w:t>
                              </w:r>
                            </w:p>
                          </w:txbxContent>
                        </wps:txbx>
                        <wps:bodyPr wrap="square" lIns="0" tIns="0" rIns="0" bIns="0" rtlCol="0">
                          <a:noAutofit/>
                        </wps:bodyPr>
                      </wps:wsp>
                      <wps:wsp>
                        <wps:cNvPr id="573" name="Textbox 573"/>
                        <wps:cNvSpPr txBox="1"/>
                        <wps:spPr>
                          <a:xfrm>
                            <a:off x="0" y="168275"/>
                            <a:ext cx="6515100" cy="158750"/>
                          </a:xfrm>
                          <a:prstGeom prst="rect">
                            <a:avLst/>
                          </a:prstGeom>
                        </wps:spPr>
                        <wps:txbx>
                          <w:txbxContent>
                            <w:p>
                              <w:pPr>
                                <w:tabs>
                                  <w:tab w:pos="8167" w:val="left" w:leader="none"/>
                                  <w:tab w:pos="9779" w:val="left" w:leader="none"/>
                                </w:tabs>
                                <w:spacing w:before="13"/>
                                <w:ind w:left="52" w:right="0" w:firstLine="0"/>
                                <w:jc w:val="left"/>
                                <w:rPr>
                                  <w:sz w:val="18"/>
                                </w:rPr>
                              </w:pPr>
                              <w:r>
                                <w:rPr>
                                  <w:sz w:val="18"/>
                                </w:rPr>
                                <w:t>Amortized</w:t>
                              </w:r>
                              <w:r>
                                <w:rPr>
                                  <w:spacing w:val="-1"/>
                                  <w:sz w:val="18"/>
                                </w:rPr>
                                <w:t> </w:t>
                              </w:r>
                              <w:r>
                                <w:rPr>
                                  <w:sz w:val="18"/>
                                </w:rPr>
                                <w:t>cost</w:t>
                              </w:r>
                              <w:r>
                                <w:rPr>
                                  <w:spacing w:val="-1"/>
                                  <w:sz w:val="18"/>
                                </w:rPr>
                                <w:t> </w:t>
                              </w:r>
                              <w:r>
                                <w:rPr>
                                  <w:sz w:val="18"/>
                                </w:rPr>
                                <w:t>of</w:t>
                              </w:r>
                              <w:r>
                                <w:rPr>
                                  <w:spacing w:val="-1"/>
                                  <w:sz w:val="18"/>
                                </w:rPr>
                                <w:t> </w:t>
                              </w:r>
                              <w:r>
                                <w:rPr>
                                  <w:sz w:val="18"/>
                                </w:rPr>
                                <w:t>hedged</w:t>
                              </w:r>
                              <w:r>
                                <w:rPr>
                                  <w:spacing w:val="-1"/>
                                  <w:sz w:val="18"/>
                                </w:rPr>
                                <w:t> </w:t>
                              </w:r>
                              <w:r>
                                <w:rPr>
                                  <w:sz w:val="18"/>
                                </w:rPr>
                                <w:t>AFS</w:t>
                              </w:r>
                              <w:r>
                                <w:rPr>
                                  <w:spacing w:val="-2"/>
                                  <w:sz w:val="18"/>
                                </w:rPr>
                                <w:t> </w:t>
                              </w:r>
                              <w:r>
                                <w:rPr>
                                  <w:sz w:val="18"/>
                                </w:rPr>
                                <w:t>securities</w:t>
                              </w:r>
                              <w:r>
                                <w:rPr>
                                  <w:spacing w:val="-3"/>
                                  <w:sz w:val="18"/>
                                </w:rPr>
                                <w:t> </w:t>
                              </w:r>
                              <w:r>
                                <w:rPr>
                                  <w:spacing w:val="-4"/>
                                  <w:sz w:val="18"/>
                                  <w:vertAlign w:val="superscript"/>
                                </w:rPr>
                                <w:t>(1,2)</w:t>
                              </w:r>
                              <w:r>
                                <w:rPr>
                                  <w:sz w:val="18"/>
                                  <w:vertAlign w:val="baseline"/>
                                </w:rPr>
                                <w:tab/>
                              </w:r>
                              <w:r>
                                <w:rPr>
                                  <w:spacing w:val="-10"/>
                                  <w:sz w:val="18"/>
                                  <w:vertAlign w:val="baseline"/>
                                </w:rPr>
                                <w:t>$</w:t>
                              </w:r>
                              <w:r>
                                <w:rPr>
                                  <w:sz w:val="18"/>
                                  <w:vertAlign w:val="baseline"/>
                                </w:rPr>
                                <w:tab/>
                              </w:r>
                              <w:r>
                                <w:rPr>
                                  <w:spacing w:val="-2"/>
                                  <w:sz w:val="18"/>
                                  <w:vertAlign w:val="baseline"/>
                                </w:rPr>
                                <w:t>8,589</w:t>
                              </w:r>
                            </w:p>
                          </w:txbxContent>
                        </wps:txbx>
                        <wps:bodyPr wrap="square" lIns="0" tIns="0" rIns="0" bIns="0" rtlCol="0">
                          <a:noAutofit/>
                        </wps:bodyPr>
                      </wps:wsp>
                    </wpg:wgp>
                  </a:graphicData>
                </a:graphic>
              </wp:anchor>
            </w:drawing>
          </mc:Choice>
          <mc:Fallback>
            <w:pict>
              <v:group style="position:absolute;margin-left:49.5pt;margin-top:26.183985pt;width:513pt;height:25.75pt;mso-position-horizontal-relative:page;mso-position-vertical-relative:paragraph;z-index:-15694848;mso-wrap-distance-left:0;mso-wrap-distance-right:0" id="docshapegroup409" coordorigin="990,524" coordsize="10260,515">
                <v:rect style="position:absolute;left:990;top:783;width:10260;height:255" id="docshape410" filled="true" fillcolor="#ccedff" stroked="false">
                  <v:fill type="solid"/>
                </v:rect>
                <v:shape style="position:absolute;left:990;top:528;width:10260;height:2" id="docshape411" coordorigin="990,529" coordsize="10260,0" path="m11250,529l990,529e" filled="true" fillcolor="#000000" stroked="false">
                  <v:path arrowok="t"/>
                  <v:fill opacity="0f" type="solid"/>
                </v:shape>
                <v:line style="position:absolute" from="990,529" to="11250,529" stroked="true" strokeweight=".5pt" strokecolor="#000000">
                  <v:stroke dashstyle="solid"/>
                </v:line>
                <v:shape style="position:absolute;left:990;top:783;width:10260;height:2" id="docshape412" coordorigin="990,784" coordsize="10260,0" path="m11250,784l990,784e" filled="true" fillcolor="#000000" stroked="false">
                  <v:path arrowok="t"/>
                  <v:fill opacity="0f" type="solid"/>
                </v:shape>
                <v:line style="position:absolute" from="990,784" to="11250,784" stroked="true" strokeweight=".5pt" strokecolor="#000000">
                  <v:stroke dashstyle="solid"/>
                </v:line>
                <v:shape style="position:absolute;left:990;top:523;width:10260;height:515" type="#_x0000_t202" id="docshape413" filled="false" stroked="false">
                  <v:textbox inset="0,0,0,0">
                    <w:txbxContent>
                      <w:p>
                        <w:pPr>
                          <w:spacing w:before="23"/>
                          <w:ind w:left="0" w:right="347" w:firstLine="0"/>
                          <w:jc w:val="right"/>
                          <w:rPr>
                            <w:sz w:val="18"/>
                          </w:rPr>
                        </w:pPr>
                        <w:r>
                          <w:rPr>
                            <w:sz w:val="18"/>
                          </w:rPr>
                          <w:t>September</w:t>
                        </w:r>
                        <w:r>
                          <w:rPr>
                            <w:spacing w:val="-1"/>
                            <w:sz w:val="18"/>
                          </w:rPr>
                          <w:t> </w:t>
                        </w:r>
                        <w:r>
                          <w:rPr>
                            <w:sz w:val="18"/>
                          </w:rPr>
                          <w:t>30, </w:t>
                        </w:r>
                        <w:r>
                          <w:rPr>
                            <w:spacing w:val="-4"/>
                            <w:sz w:val="18"/>
                          </w:rPr>
                          <w:t>2023</w:t>
                        </w:r>
                      </w:p>
                    </w:txbxContent>
                  </v:textbox>
                  <w10:wrap type="none"/>
                </v:shape>
                <v:shape style="position:absolute;left:990;top:788;width:10260;height:250" type="#_x0000_t202" id="docshape414" filled="false" stroked="false">
                  <v:textbox inset="0,0,0,0">
                    <w:txbxContent>
                      <w:p>
                        <w:pPr>
                          <w:tabs>
                            <w:tab w:pos="8167" w:val="left" w:leader="none"/>
                            <w:tab w:pos="9779" w:val="left" w:leader="none"/>
                          </w:tabs>
                          <w:spacing w:before="13"/>
                          <w:ind w:left="52" w:right="0" w:firstLine="0"/>
                          <w:jc w:val="left"/>
                          <w:rPr>
                            <w:sz w:val="18"/>
                          </w:rPr>
                        </w:pPr>
                        <w:r>
                          <w:rPr>
                            <w:sz w:val="18"/>
                          </w:rPr>
                          <w:t>Amortized</w:t>
                        </w:r>
                        <w:r>
                          <w:rPr>
                            <w:spacing w:val="-1"/>
                            <w:sz w:val="18"/>
                          </w:rPr>
                          <w:t> </w:t>
                        </w:r>
                        <w:r>
                          <w:rPr>
                            <w:sz w:val="18"/>
                          </w:rPr>
                          <w:t>cost</w:t>
                        </w:r>
                        <w:r>
                          <w:rPr>
                            <w:spacing w:val="-1"/>
                            <w:sz w:val="18"/>
                          </w:rPr>
                          <w:t> </w:t>
                        </w:r>
                        <w:r>
                          <w:rPr>
                            <w:sz w:val="18"/>
                          </w:rPr>
                          <w:t>of</w:t>
                        </w:r>
                        <w:r>
                          <w:rPr>
                            <w:spacing w:val="-1"/>
                            <w:sz w:val="18"/>
                          </w:rPr>
                          <w:t> </w:t>
                        </w:r>
                        <w:r>
                          <w:rPr>
                            <w:sz w:val="18"/>
                          </w:rPr>
                          <w:t>hedged</w:t>
                        </w:r>
                        <w:r>
                          <w:rPr>
                            <w:spacing w:val="-1"/>
                            <w:sz w:val="18"/>
                          </w:rPr>
                          <w:t> </w:t>
                        </w:r>
                        <w:r>
                          <w:rPr>
                            <w:sz w:val="18"/>
                          </w:rPr>
                          <w:t>AFS</w:t>
                        </w:r>
                        <w:r>
                          <w:rPr>
                            <w:spacing w:val="-2"/>
                            <w:sz w:val="18"/>
                          </w:rPr>
                          <w:t> </w:t>
                        </w:r>
                        <w:r>
                          <w:rPr>
                            <w:sz w:val="18"/>
                          </w:rPr>
                          <w:t>securities</w:t>
                        </w:r>
                        <w:r>
                          <w:rPr>
                            <w:spacing w:val="-3"/>
                            <w:sz w:val="18"/>
                          </w:rPr>
                          <w:t> </w:t>
                        </w:r>
                        <w:r>
                          <w:rPr>
                            <w:spacing w:val="-4"/>
                            <w:sz w:val="18"/>
                            <w:vertAlign w:val="superscript"/>
                          </w:rPr>
                          <w:t>(1,2)</w:t>
                        </w:r>
                        <w:r>
                          <w:rPr>
                            <w:sz w:val="18"/>
                            <w:vertAlign w:val="baseline"/>
                          </w:rPr>
                          <w:tab/>
                        </w:r>
                        <w:r>
                          <w:rPr>
                            <w:spacing w:val="-10"/>
                            <w:sz w:val="18"/>
                            <w:vertAlign w:val="baseline"/>
                          </w:rPr>
                          <w:t>$</w:t>
                        </w:r>
                        <w:r>
                          <w:rPr>
                            <w:sz w:val="18"/>
                            <w:vertAlign w:val="baseline"/>
                          </w:rPr>
                          <w:tab/>
                        </w:r>
                        <w:r>
                          <w:rPr>
                            <w:spacing w:val="-2"/>
                            <w:sz w:val="18"/>
                            <w:vertAlign w:val="baseline"/>
                          </w:rPr>
                          <w:t>8,589</w:t>
                        </w:r>
                      </w:p>
                    </w:txbxContent>
                  </v:textbox>
                  <w10:wrap type="none"/>
                </v:shape>
                <w10:wrap type="topAndBottom"/>
              </v:group>
            </w:pict>
          </mc:Fallback>
        </mc:AlternateContent>
      </w:r>
      <w:r>
        <w:rPr/>
        <w:t>The</w:t>
      </w:r>
      <w:r>
        <w:rPr>
          <w:spacing w:val="-4"/>
        </w:rPr>
        <w:t> </w:t>
      </w:r>
      <w:r>
        <w:rPr/>
        <w:t>following</w:t>
      </w:r>
      <w:r>
        <w:rPr>
          <w:spacing w:val="-3"/>
        </w:rPr>
        <w:t> </w:t>
      </w:r>
      <w:r>
        <w:rPr/>
        <w:t>amounts</w:t>
      </w:r>
      <w:r>
        <w:rPr>
          <w:spacing w:val="-4"/>
        </w:rPr>
        <w:t> </w:t>
      </w:r>
      <w:r>
        <w:rPr/>
        <w:t>were</w:t>
      </w:r>
      <w:r>
        <w:rPr>
          <w:spacing w:val="-4"/>
        </w:rPr>
        <w:t> </w:t>
      </w:r>
      <w:r>
        <w:rPr/>
        <w:t>recorded</w:t>
      </w:r>
      <w:r>
        <w:rPr>
          <w:spacing w:val="-3"/>
        </w:rPr>
        <w:t> </w:t>
      </w:r>
      <w:r>
        <w:rPr/>
        <w:t>in</w:t>
      </w:r>
      <w:r>
        <w:rPr>
          <w:spacing w:val="-3"/>
        </w:rPr>
        <w:t> </w:t>
      </w:r>
      <w:r>
        <w:rPr/>
        <w:t>AFS</w:t>
      </w:r>
      <w:r>
        <w:rPr>
          <w:spacing w:val="-4"/>
        </w:rPr>
        <w:t> </w:t>
      </w:r>
      <w:r>
        <w:rPr/>
        <w:t>securities</w:t>
      </w:r>
      <w:r>
        <w:rPr>
          <w:spacing w:val="-4"/>
        </w:rPr>
        <w:t> </w:t>
      </w:r>
      <w:r>
        <w:rPr/>
        <w:t>on</w:t>
      </w:r>
      <w:r>
        <w:rPr>
          <w:spacing w:val="-3"/>
        </w:rPr>
        <w:t> </w:t>
      </w:r>
      <w:r>
        <w:rPr/>
        <w:t>the</w:t>
      </w:r>
      <w:r>
        <w:rPr>
          <w:spacing w:val="-4"/>
        </w:rPr>
        <w:t> </w:t>
      </w:r>
      <w:r>
        <w:rPr/>
        <w:t>condensed</w:t>
      </w:r>
      <w:r>
        <w:rPr>
          <w:spacing w:val="-3"/>
        </w:rPr>
        <w:t> </w:t>
      </w:r>
      <w:r>
        <w:rPr/>
        <w:t>consolidated</w:t>
      </w:r>
      <w:r>
        <w:rPr>
          <w:spacing w:val="-3"/>
        </w:rPr>
        <w:t> </w:t>
      </w:r>
      <w:r>
        <w:rPr/>
        <w:t>balance</w:t>
      </w:r>
      <w:r>
        <w:rPr>
          <w:spacing w:val="-4"/>
        </w:rPr>
        <w:t> </w:t>
      </w:r>
      <w:r>
        <w:rPr/>
        <w:t>sheet</w:t>
      </w:r>
      <w:r>
        <w:rPr>
          <w:spacing w:val="-4"/>
        </w:rPr>
        <w:t> </w:t>
      </w:r>
      <w:r>
        <w:rPr/>
        <w:t>related</w:t>
      </w:r>
      <w:r>
        <w:rPr>
          <w:spacing w:val="-3"/>
        </w:rPr>
        <w:t> </w:t>
      </w:r>
      <w:r>
        <w:rPr/>
        <w:t>to</w:t>
      </w:r>
      <w:r>
        <w:rPr>
          <w:spacing w:val="-3"/>
        </w:rPr>
        <w:t> </w:t>
      </w:r>
      <w:r>
        <w:rPr/>
        <w:t>fair</w:t>
      </w:r>
      <w:r>
        <w:rPr>
          <w:spacing w:val="-3"/>
        </w:rPr>
        <w:t> </w:t>
      </w:r>
      <w:r>
        <w:rPr/>
        <w:t>value </w:t>
      </w:r>
      <w:r>
        <w:rPr>
          <w:spacing w:val="-2"/>
        </w:rPr>
        <w:t>hedges:</w:t>
      </w:r>
    </w:p>
    <w:p>
      <w:pPr>
        <w:tabs>
          <w:tab w:pos="10325" w:val="left" w:leader="none"/>
        </w:tabs>
        <w:spacing w:before="18" w:after="24"/>
        <w:ind w:left="522" w:right="0" w:firstLine="0"/>
        <w:jc w:val="left"/>
        <w:rPr>
          <w:sz w:val="18"/>
        </w:rPr>
      </w:pPr>
      <w:r>
        <w:rPr>
          <w:sz w:val="18"/>
        </w:rPr>
        <w:t>Cumulative</w:t>
      </w:r>
      <w:r>
        <w:rPr>
          <w:spacing w:val="-3"/>
          <w:sz w:val="18"/>
        </w:rPr>
        <w:t> </w:t>
      </w:r>
      <w:r>
        <w:rPr>
          <w:sz w:val="18"/>
        </w:rPr>
        <w:t>fair value</w:t>
      </w:r>
      <w:r>
        <w:rPr>
          <w:spacing w:val="-1"/>
          <w:sz w:val="18"/>
        </w:rPr>
        <w:t> </w:t>
      </w:r>
      <w:r>
        <w:rPr>
          <w:sz w:val="18"/>
        </w:rPr>
        <w:t>hedging adjustment included</w:t>
      </w:r>
      <w:r>
        <w:rPr>
          <w:spacing w:val="-1"/>
          <w:sz w:val="18"/>
        </w:rPr>
        <w:t> </w:t>
      </w:r>
      <w:r>
        <w:rPr>
          <w:sz w:val="18"/>
        </w:rPr>
        <w:t>in the amortized</w:t>
      </w:r>
      <w:r>
        <w:rPr>
          <w:spacing w:val="-1"/>
          <w:sz w:val="18"/>
        </w:rPr>
        <w:t> </w:t>
      </w:r>
      <w:r>
        <w:rPr>
          <w:sz w:val="18"/>
        </w:rPr>
        <w:t>cost of hedged</w:t>
      </w:r>
      <w:r>
        <w:rPr>
          <w:spacing w:val="-1"/>
          <w:sz w:val="18"/>
        </w:rPr>
        <w:t> </w:t>
      </w:r>
      <w:r>
        <w:rPr>
          <w:sz w:val="18"/>
        </w:rPr>
        <w:t>AFS</w:t>
      </w:r>
      <w:r>
        <w:rPr>
          <w:spacing w:val="-1"/>
          <w:sz w:val="18"/>
        </w:rPr>
        <w:t> </w:t>
      </w:r>
      <w:r>
        <w:rPr>
          <w:sz w:val="18"/>
        </w:rPr>
        <w:t>securities</w:t>
      </w:r>
      <w:r>
        <w:rPr>
          <w:spacing w:val="-5"/>
          <w:sz w:val="18"/>
        </w:rPr>
        <w:t> </w:t>
      </w:r>
      <w:r>
        <w:rPr>
          <w:spacing w:val="-2"/>
          <w:sz w:val="18"/>
          <w:vertAlign w:val="superscript"/>
        </w:rPr>
        <w:t>(1,2)</w:t>
      </w:r>
      <w:r>
        <w:rPr>
          <w:sz w:val="18"/>
          <w:vertAlign w:val="baseline"/>
        </w:rPr>
        <w:tab/>
      </w:r>
      <w:r>
        <w:rPr>
          <w:spacing w:val="-2"/>
          <w:sz w:val="18"/>
          <w:vertAlign w:val="baseline"/>
        </w:rPr>
        <w:t>(304)</w:t>
      </w:r>
    </w:p>
    <w:p>
      <w:pPr>
        <w:pStyle w:val="BodyText"/>
        <w:spacing w:line="20" w:lineRule="exact"/>
        <w:ind w:left="465"/>
        <w:rPr>
          <w:sz w:val="2"/>
        </w:rPr>
      </w:pPr>
      <w:r>
        <w:rPr>
          <w:sz w:val="2"/>
        </w:rPr>
        <mc:AlternateContent>
          <mc:Choice Requires="wps">
            <w:drawing>
              <wp:inline distT="0" distB="0" distL="0" distR="0">
                <wp:extent cx="6515100" cy="6350"/>
                <wp:effectExtent l="9525" t="0" r="0" b="3175"/>
                <wp:docPr id="574" name="Group 574"/>
                <wp:cNvGraphicFramePr>
                  <a:graphicFrameLocks/>
                </wp:cNvGraphicFramePr>
                <a:graphic>
                  <a:graphicData uri="http://schemas.microsoft.com/office/word/2010/wordprocessingGroup">
                    <wpg:wgp>
                      <wpg:cNvPr id="574" name="Group 574"/>
                      <wpg:cNvGrpSpPr/>
                      <wpg:grpSpPr>
                        <a:xfrm>
                          <a:off x="0" y="0"/>
                          <a:ext cx="6515100" cy="6350"/>
                          <a:chExt cx="6515100" cy="6350"/>
                        </a:xfrm>
                      </wpg:grpSpPr>
                      <wps:wsp>
                        <wps:cNvPr id="575" name="Graphic 575"/>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576" name="Graphic 576"/>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3pt;height:.5pt;mso-position-horizontal-relative:char;mso-position-vertical-relative:line" id="docshapegroup415" coordorigin="0,0" coordsize="10260,10">
                <v:shape style="position:absolute;left:0;top:5;width:10260;height:2" id="docshape416" coordorigin="0,5" coordsize="10260,0" path="m10260,5l0,5e" filled="true" fillcolor="#000000" stroked="false">
                  <v:path arrowok="t"/>
                  <v:fill opacity="0f" type="solid"/>
                </v:shape>
                <v:line style="position:absolute" from="0,5" to="10260,5" stroked="true" strokeweight=".5pt" strokecolor="#000000">
                  <v:stroke dashstyle="solid"/>
                </v:line>
              </v:group>
            </w:pict>
          </mc:Fallback>
        </mc:AlternateContent>
      </w:r>
      <w:r>
        <w:rPr>
          <w:sz w:val="2"/>
        </w:rPr>
      </w:r>
    </w:p>
    <w:p>
      <w:pPr>
        <w:spacing w:line="249" w:lineRule="auto" w:before="46"/>
        <w:ind w:left="650" w:right="488" w:hanging="180"/>
        <w:jc w:val="left"/>
        <w:rPr>
          <w:sz w:val="16"/>
        </w:rPr>
      </w:pPr>
      <w:r>
        <w:rPr>
          <w:sz w:val="16"/>
          <w:vertAlign w:val="superscript"/>
        </w:rPr>
        <w:t>(1)</w:t>
      </w:r>
      <w:r>
        <w:rPr>
          <w:spacing w:val="-2"/>
          <w:sz w:val="16"/>
          <w:vertAlign w:val="baseline"/>
        </w:rPr>
        <w:t> </w:t>
      </w:r>
      <w:r>
        <w:rPr>
          <w:sz w:val="16"/>
          <w:vertAlign w:val="baseline"/>
        </w:rPr>
        <w:t>Includes</w:t>
      </w:r>
      <w:r>
        <w:rPr>
          <w:spacing w:val="-2"/>
          <w:sz w:val="16"/>
          <w:vertAlign w:val="baseline"/>
        </w:rPr>
        <w:t> </w:t>
      </w:r>
      <w:r>
        <w:rPr>
          <w:sz w:val="16"/>
          <w:vertAlign w:val="baseline"/>
        </w:rPr>
        <w:t>the</w:t>
      </w:r>
      <w:r>
        <w:rPr>
          <w:spacing w:val="-1"/>
          <w:sz w:val="16"/>
          <w:vertAlign w:val="baseline"/>
        </w:rPr>
        <w:t> </w:t>
      </w:r>
      <w:r>
        <w:rPr>
          <w:sz w:val="16"/>
          <w:vertAlign w:val="baseline"/>
        </w:rPr>
        <w:t>amortized</w:t>
      </w:r>
      <w:r>
        <w:rPr>
          <w:spacing w:val="-1"/>
          <w:sz w:val="16"/>
          <w:vertAlign w:val="baseline"/>
        </w:rPr>
        <w:t> </w:t>
      </w:r>
      <w:r>
        <w:rPr>
          <w:sz w:val="16"/>
          <w:vertAlign w:val="baseline"/>
        </w:rPr>
        <w:t>cost</w:t>
      </w:r>
      <w:r>
        <w:rPr>
          <w:spacing w:val="-1"/>
          <w:sz w:val="16"/>
          <w:vertAlign w:val="baseline"/>
        </w:rPr>
        <w:t> </w:t>
      </w:r>
      <w:r>
        <w:rPr>
          <w:sz w:val="16"/>
          <w:vertAlign w:val="baseline"/>
        </w:rPr>
        <w:t>basis</w:t>
      </w:r>
      <w:r>
        <w:rPr>
          <w:spacing w:val="-2"/>
          <w:sz w:val="16"/>
          <w:vertAlign w:val="baseline"/>
        </w:rPr>
        <w:t> </w:t>
      </w:r>
      <w:r>
        <w:rPr>
          <w:sz w:val="16"/>
          <w:vertAlign w:val="baseline"/>
        </w:rPr>
        <w:t>of</w:t>
      </w:r>
      <w:r>
        <w:rPr>
          <w:spacing w:val="-1"/>
          <w:sz w:val="16"/>
          <w:vertAlign w:val="baseline"/>
        </w:rPr>
        <w:t> </w:t>
      </w:r>
      <w:r>
        <w:rPr>
          <w:sz w:val="16"/>
          <w:vertAlign w:val="baseline"/>
        </w:rPr>
        <w:t>closed</w:t>
      </w:r>
      <w:r>
        <w:rPr>
          <w:spacing w:val="-1"/>
          <w:sz w:val="16"/>
          <w:vertAlign w:val="baseline"/>
        </w:rPr>
        <w:t> </w:t>
      </w:r>
      <w:r>
        <w:rPr>
          <w:sz w:val="16"/>
          <w:vertAlign w:val="baseline"/>
        </w:rPr>
        <w:t>portfolios</w:t>
      </w:r>
      <w:r>
        <w:rPr>
          <w:spacing w:val="-2"/>
          <w:sz w:val="16"/>
          <w:vertAlign w:val="baseline"/>
        </w:rPr>
        <w:t> </w:t>
      </w:r>
      <w:r>
        <w:rPr>
          <w:sz w:val="16"/>
          <w:vertAlign w:val="baseline"/>
        </w:rPr>
        <w:t>of</w:t>
      </w:r>
      <w:r>
        <w:rPr>
          <w:spacing w:val="-1"/>
          <w:sz w:val="16"/>
          <w:vertAlign w:val="baseline"/>
        </w:rPr>
        <w:t> </w:t>
      </w:r>
      <w:r>
        <w:rPr>
          <w:sz w:val="16"/>
          <w:vertAlign w:val="baseline"/>
        </w:rPr>
        <w:t>AFS</w:t>
      </w:r>
      <w:r>
        <w:rPr>
          <w:spacing w:val="-2"/>
          <w:sz w:val="16"/>
          <w:vertAlign w:val="baseline"/>
        </w:rPr>
        <w:t> </w:t>
      </w:r>
      <w:r>
        <w:rPr>
          <w:sz w:val="16"/>
          <w:vertAlign w:val="baseline"/>
        </w:rPr>
        <w:t>securities</w:t>
      </w:r>
      <w:r>
        <w:rPr>
          <w:spacing w:val="-2"/>
          <w:sz w:val="16"/>
          <w:vertAlign w:val="baseline"/>
        </w:rPr>
        <w:t> </w:t>
      </w:r>
      <w:r>
        <w:rPr>
          <w:sz w:val="16"/>
          <w:vertAlign w:val="baseline"/>
        </w:rPr>
        <w:t>used</w:t>
      </w:r>
      <w:r>
        <w:rPr>
          <w:spacing w:val="-1"/>
          <w:sz w:val="16"/>
          <w:vertAlign w:val="baseline"/>
        </w:rPr>
        <w:t> </w:t>
      </w:r>
      <w:r>
        <w:rPr>
          <w:sz w:val="16"/>
          <w:vertAlign w:val="baseline"/>
        </w:rPr>
        <w:t>to</w:t>
      </w:r>
      <w:r>
        <w:rPr>
          <w:spacing w:val="-1"/>
          <w:sz w:val="16"/>
          <w:vertAlign w:val="baseline"/>
        </w:rPr>
        <w:t> </w:t>
      </w:r>
      <w:r>
        <w:rPr>
          <w:sz w:val="16"/>
          <w:vertAlign w:val="baseline"/>
        </w:rPr>
        <w:t>designate</w:t>
      </w:r>
      <w:r>
        <w:rPr>
          <w:spacing w:val="-1"/>
          <w:sz w:val="16"/>
          <w:vertAlign w:val="baseline"/>
        </w:rPr>
        <w:t> </w:t>
      </w:r>
      <w:r>
        <w:rPr>
          <w:sz w:val="16"/>
          <w:vertAlign w:val="baseline"/>
        </w:rPr>
        <w:t>hedging</w:t>
      </w:r>
      <w:r>
        <w:rPr>
          <w:spacing w:val="-1"/>
          <w:sz w:val="16"/>
          <w:vertAlign w:val="baseline"/>
        </w:rPr>
        <w:t> </w:t>
      </w:r>
      <w:r>
        <w:rPr>
          <w:sz w:val="16"/>
          <w:vertAlign w:val="baseline"/>
        </w:rPr>
        <w:t>relationships</w:t>
      </w:r>
      <w:r>
        <w:rPr>
          <w:spacing w:val="-2"/>
          <w:sz w:val="16"/>
          <w:vertAlign w:val="baseline"/>
        </w:rPr>
        <w:t> </w:t>
      </w:r>
      <w:r>
        <w:rPr>
          <w:sz w:val="16"/>
          <w:vertAlign w:val="baseline"/>
        </w:rPr>
        <w:t>in</w:t>
      </w:r>
      <w:r>
        <w:rPr>
          <w:spacing w:val="-1"/>
          <w:sz w:val="16"/>
          <w:vertAlign w:val="baseline"/>
        </w:rPr>
        <w:t> </w:t>
      </w:r>
      <w:r>
        <w:rPr>
          <w:sz w:val="16"/>
          <w:vertAlign w:val="baseline"/>
        </w:rPr>
        <w:t>which</w:t>
      </w:r>
      <w:r>
        <w:rPr>
          <w:spacing w:val="-1"/>
          <w:sz w:val="16"/>
          <w:vertAlign w:val="baseline"/>
        </w:rPr>
        <w:t> </w:t>
      </w:r>
      <w:r>
        <w:rPr>
          <w:sz w:val="16"/>
          <w:vertAlign w:val="baseline"/>
        </w:rPr>
        <w:t>the</w:t>
      </w:r>
      <w:r>
        <w:rPr>
          <w:spacing w:val="-1"/>
          <w:sz w:val="16"/>
          <w:vertAlign w:val="baseline"/>
        </w:rPr>
        <w:t> </w:t>
      </w:r>
      <w:r>
        <w:rPr>
          <w:sz w:val="16"/>
          <w:vertAlign w:val="baseline"/>
        </w:rPr>
        <w:t>hedged</w:t>
      </w:r>
      <w:r>
        <w:rPr>
          <w:spacing w:val="-1"/>
          <w:sz w:val="16"/>
          <w:vertAlign w:val="baseline"/>
        </w:rPr>
        <w:t> </w:t>
      </w:r>
      <w:r>
        <w:rPr>
          <w:sz w:val="16"/>
          <w:vertAlign w:val="baseline"/>
        </w:rPr>
        <w:t>item</w:t>
      </w:r>
      <w:r>
        <w:rPr>
          <w:spacing w:val="-1"/>
          <w:sz w:val="16"/>
          <w:vertAlign w:val="baseline"/>
        </w:rPr>
        <w:t> </w:t>
      </w:r>
      <w:r>
        <w:rPr>
          <w:sz w:val="16"/>
          <w:vertAlign w:val="baseline"/>
        </w:rPr>
        <w:t>is</w:t>
      </w:r>
      <w:r>
        <w:rPr>
          <w:spacing w:val="-2"/>
          <w:sz w:val="16"/>
          <w:vertAlign w:val="baseline"/>
        </w:rPr>
        <w:t> </w:t>
      </w:r>
      <w:r>
        <w:rPr>
          <w:sz w:val="16"/>
          <w:vertAlign w:val="baseline"/>
        </w:rPr>
        <w:t>the</w:t>
      </w:r>
      <w:r>
        <w:rPr>
          <w:spacing w:val="-1"/>
          <w:sz w:val="16"/>
          <w:vertAlign w:val="baseline"/>
        </w:rPr>
        <w:t> </w:t>
      </w:r>
      <w:r>
        <w:rPr>
          <w:sz w:val="16"/>
          <w:vertAlign w:val="baseline"/>
        </w:rPr>
        <w:t>stated</w:t>
      </w:r>
      <w:r>
        <w:rPr>
          <w:spacing w:val="-1"/>
          <w:sz w:val="16"/>
          <w:vertAlign w:val="baseline"/>
        </w:rPr>
        <w:t> </w:t>
      </w:r>
      <w:r>
        <w:rPr>
          <w:sz w:val="16"/>
          <w:vertAlign w:val="baseline"/>
        </w:rPr>
        <w:t>amount</w:t>
      </w:r>
      <w:r>
        <w:rPr>
          <w:spacing w:val="40"/>
          <w:sz w:val="16"/>
          <w:vertAlign w:val="baseline"/>
        </w:rPr>
        <w:t> </w:t>
      </w:r>
      <w:r>
        <w:rPr>
          <w:sz w:val="16"/>
          <w:vertAlign w:val="baseline"/>
        </w:rPr>
        <w:t>of</w:t>
      </w:r>
      <w:r>
        <w:rPr>
          <w:spacing w:val="-1"/>
          <w:sz w:val="16"/>
          <w:vertAlign w:val="baseline"/>
        </w:rPr>
        <w:t> </w:t>
      </w:r>
      <w:r>
        <w:rPr>
          <w:sz w:val="16"/>
          <w:vertAlign w:val="baseline"/>
        </w:rPr>
        <w:t>assets</w:t>
      </w:r>
      <w:r>
        <w:rPr>
          <w:spacing w:val="-2"/>
          <w:sz w:val="16"/>
          <w:vertAlign w:val="baseline"/>
        </w:rPr>
        <w:t> </w:t>
      </w:r>
      <w:r>
        <w:rPr>
          <w:sz w:val="16"/>
          <w:vertAlign w:val="baseline"/>
        </w:rPr>
        <w:t>in</w:t>
      </w:r>
      <w:r>
        <w:rPr>
          <w:spacing w:val="-1"/>
          <w:sz w:val="16"/>
          <w:vertAlign w:val="baseline"/>
        </w:rPr>
        <w:t> </w:t>
      </w:r>
      <w:r>
        <w:rPr>
          <w:sz w:val="16"/>
          <w:vertAlign w:val="baseline"/>
        </w:rPr>
        <w:t>the</w:t>
      </w:r>
      <w:r>
        <w:rPr>
          <w:spacing w:val="-1"/>
          <w:sz w:val="16"/>
          <w:vertAlign w:val="baseline"/>
        </w:rPr>
        <w:t> </w:t>
      </w:r>
      <w:r>
        <w:rPr>
          <w:sz w:val="16"/>
          <w:vertAlign w:val="baseline"/>
        </w:rPr>
        <w:t>closed</w:t>
      </w:r>
      <w:r>
        <w:rPr>
          <w:spacing w:val="-1"/>
          <w:sz w:val="16"/>
          <w:vertAlign w:val="baseline"/>
        </w:rPr>
        <w:t> </w:t>
      </w:r>
      <w:r>
        <w:rPr>
          <w:sz w:val="16"/>
          <w:vertAlign w:val="baseline"/>
        </w:rPr>
        <w:t>portfolios</w:t>
      </w:r>
      <w:r>
        <w:rPr>
          <w:spacing w:val="-2"/>
          <w:sz w:val="16"/>
          <w:vertAlign w:val="baseline"/>
        </w:rPr>
        <w:t> </w:t>
      </w:r>
      <w:r>
        <w:rPr>
          <w:sz w:val="16"/>
          <w:vertAlign w:val="baseline"/>
        </w:rPr>
        <w:t>anticipated</w:t>
      </w:r>
      <w:r>
        <w:rPr>
          <w:spacing w:val="-1"/>
          <w:sz w:val="16"/>
          <w:vertAlign w:val="baseline"/>
        </w:rPr>
        <w:t> </w:t>
      </w:r>
      <w:r>
        <w:rPr>
          <w:sz w:val="16"/>
          <w:vertAlign w:val="baseline"/>
        </w:rPr>
        <w:t>to</w:t>
      </w:r>
      <w:r>
        <w:rPr>
          <w:spacing w:val="-1"/>
          <w:sz w:val="16"/>
          <w:vertAlign w:val="baseline"/>
        </w:rPr>
        <w:t> </w:t>
      </w:r>
      <w:r>
        <w:rPr>
          <w:sz w:val="16"/>
          <w:vertAlign w:val="baseline"/>
        </w:rPr>
        <w:t>be</w:t>
      </w:r>
      <w:r>
        <w:rPr>
          <w:spacing w:val="-1"/>
          <w:sz w:val="16"/>
          <w:vertAlign w:val="baseline"/>
        </w:rPr>
        <w:t> </w:t>
      </w:r>
      <w:r>
        <w:rPr>
          <w:sz w:val="16"/>
          <w:vertAlign w:val="baseline"/>
        </w:rPr>
        <w:t>outstanding</w:t>
      </w:r>
      <w:r>
        <w:rPr>
          <w:spacing w:val="-1"/>
          <w:sz w:val="16"/>
          <w:vertAlign w:val="baseline"/>
        </w:rPr>
        <w:t> </w:t>
      </w:r>
      <w:r>
        <w:rPr>
          <w:sz w:val="16"/>
          <w:vertAlign w:val="baseline"/>
        </w:rPr>
        <w:t>for</w:t>
      </w:r>
      <w:r>
        <w:rPr>
          <w:spacing w:val="-1"/>
          <w:sz w:val="16"/>
          <w:vertAlign w:val="baseline"/>
        </w:rPr>
        <w:t> </w:t>
      </w:r>
      <w:r>
        <w:rPr>
          <w:sz w:val="16"/>
          <w:vertAlign w:val="baseline"/>
        </w:rPr>
        <w:t>the</w:t>
      </w:r>
      <w:r>
        <w:rPr>
          <w:spacing w:val="-1"/>
          <w:sz w:val="16"/>
          <w:vertAlign w:val="baseline"/>
        </w:rPr>
        <w:t> </w:t>
      </w:r>
      <w:r>
        <w:rPr>
          <w:sz w:val="16"/>
          <w:vertAlign w:val="baseline"/>
        </w:rPr>
        <w:t>designated</w:t>
      </w:r>
      <w:r>
        <w:rPr>
          <w:spacing w:val="-1"/>
          <w:sz w:val="16"/>
          <w:vertAlign w:val="baseline"/>
        </w:rPr>
        <w:t> </w:t>
      </w:r>
      <w:r>
        <w:rPr>
          <w:sz w:val="16"/>
          <w:vertAlign w:val="baseline"/>
        </w:rPr>
        <w:t>hedge</w:t>
      </w:r>
      <w:r>
        <w:rPr>
          <w:spacing w:val="-1"/>
          <w:sz w:val="16"/>
          <w:vertAlign w:val="baseline"/>
        </w:rPr>
        <w:t> </w:t>
      </w:r>
      <w:r>
        <w:rPr>
          <w:sz w:val="16"/>
          <w:vertAlign w:val="baseline"/>
        </w:rPr>
        <w:t>period.</w:t>
      </w:r>
      <w:r>
        <w:rPr>
          <w:spacing w:val="-4"/>
          <w:sz w:val="16"/>
          <w:vertAlign w:val="baseline"/>
        </w:rPr>
        <w:t> </w:t>
      </w:r>
      <w:r>
        <w:rPr>
          <w:sz w:val="16"/>
          <w:vertAlign w:val="baseline"/>
        </w:rPr>
        <w:t>The</w:t>
      </w:r>
      <w:r>
        <w:rPr>
          <w:spacing w:val="-1"/>
          <w:sz w:val="16"/>
          <w:vertAlign w:val="baseline"/>
        </w:rPr>
        <w:t> </w:t>
      </w:r>
      <w:r>
        <w:rPr>
          <w:sz w:val="16"/>
          <w:vertAlign w:val="baseline"/>
        </w:rPr>
        <w:t>amortized</w:t>
      </w:r>
      <w:r>
        <w:rPr>
          <w:spacing w:val="-1"/>
          <w:sz w:val="16"/>
          <w:vertAlign w:val="baseline"/>
        </w:rPr>
        <w:t> </w:t>
      </w:r>
      <w:r>
        <w:rPr>
          <w:sz w:val="16"/>
          <w:vertAlign w:val="baseline"/>
        </w:rPr>
        <w:t>cost</w:t>
      </w:r>
      <w:r>
        <w:rPr>
          <w:spacing w:val="-1"/>
          <w:sz w:val="16"/>
          <w:vertAlign w:val="baseline"/>
        </w:rPr>
        <w:t> </w:t>
      </w:r>
      <w:r>
        <w:rPr>
          <w:sz w:val="16"/>
          <w:vertAlign w:val="baseline"/>
        </w:rPr>
        <w:t>basis</w:t>
      </w:r>
      <w:r>
        <w:rPr>
          <w:spacing w:val="-2"/>
          <w:sz w:val="16"/>
          <w:vertAlign w:val="baseline"/>
        </w:rPr>
        <w:t> </w:t>
      </w:r>
      <w:r>
        <w:rPr>
          <w:sz w:val="16"/>
          <w:vertAlign w:val="baseline"/>
        </w:rPr>
        <w:t>of</w:t>
      </w:r>
      <w:r>
        <w:rPr>
          <w:spacing w:val="-1"/>
          <w:sz w:val="16"/>
          <w:vertAlign w:val="baseline"/>
        </w:rPr>
        <w:t> </w:t>
      </w:r>
      <w:r>
        <w:rPr>
          <w:sz w:val="16"/>
          <w:vertAlign w:val="baseline"/>
        </w:rPr>
        <w:t>the</w:t>
      </w:r>
      <w:r>
        <w:rPr>
          <w:spacing w:val="-1"/>
          <w:sz w:val="16"/>
          <w:vertAlign w:val="baseline"/>
        </w:rPr>
        <w:t> </w:t>
      </w:r>
      <w:r>
        <w:rPr>
          <w:sz w:val="16"/>
          <w:vertAlign w:val="baseline"/>
        </w:rPr>
        <w:t>closed</w:t>
      </w:r>
      <w:r>
        <w:rPr>
          <w:spacing w:val="-1"/>
          <w:sz w:val="16"/>
          <w:vertAlign w:val="baseline"/>
        </w:rPr>
        <w:t> </w:t>
      </w:r>
      <w:r>
        <w:rPr>
          <w:sz w:val="16"/>
          <w:vertAlign w:val="baseline"/>
        </w:rPr>
        <w:t>portfolios</w:t>
      </w:r>
      <w:r>
        <w:rPr>
          <w:spacing w:val="-2"/>
          <w:sz w:val="16"/>
          <w:vertAlign w:val="baseline"/>
        </w:rPr>
        <w:t> </w:t>
      </w:r>
      <w:r>
        <w:rPr>
          <w:sz w:val="16"/>
          <w:vertAlign w:val="baseline"/>
        </w:rPr>
        <w:t>used</w:t>
      </w:r>
      <w:r>
        <w:rPr>
          <w:spacing w:val="-1"/>
          <w:sz w:val="16"/>
          <w:vertAlign w:val="baseline"/>
        </w:rPr>
        <w:t> </w:t>
      </w:r>
      <w:r>
        <w:rPr>
          <w:sz w:val="16"/>
          <w:vertAlign w:val="baseline"/>
        </w:rPr>
        <w:t>in</w:t>
      </w:r>
      <w:r>
        <w:rPr>
          <w:spacing w:val="-1"/>
          <w:sz w:val="16"/>
          <w:vertAlign w:val="baseline"/>
        </w:rPr>
        <w:t> </w:t>
      </w:r>
      <w:r>
        <w:rPr>
          <w:sz w:val="16"/>
          <w:vertAlign w:val="baseline"/>
        </w:rPr>
        <w:t>these</w:t>
      </w:r>
      <w:r>
        <w:rPr>
          <w:spacing w:val="40"/>
          <w:sz w:val="16"/>
          <w:vertAlign w:val="baseline"/>
        </w:rPr>
        <w:t> </w:t>
      </w:r>
      <w:r>
        <w:rPr>
          <w:sz w:val="16"/>
          <w:vertAlign w:val="baseline"/>
        </w:rPr>
        <w:t>hedging relationships is $2.1 billion, of which $1.6 billion is designated in a portfolio layer hedging relationship. The cumulative basis adjustments</w:t>
      </w:r>
      <w:r>
        <w:rPr>
          <w:spacing w:val="40"/>
          <w:sz w:val="16"/>
          <w:vertAlign w:val="baseline"/>
        </w:rPr>
        <w:t> </w:t>
      </w:r>
      <w:r>
        <w:rPr>
          <w:sz w:val="16"/>
          <w:vertAlign w:val="baseline"/>
        </w:rPr>
        <w:t>associated with these hedging relationships are a reduction of the amortized cost basis of the closed portfolios of $57 million.</w:t>
      </w:r>
    </w:p>
    <w:p>
      <w:pPr>
        <w:spacing w:line="249" w:lineRule="auto" w:before="3"/>
        <w:ind w:left="650" w:right="500" w:hanging="180"/>
        <w:jc w:val="left"/>
        <w:rPr>
          <w:sz w:val="16"/>
        </w:rPr>
      </w:pPr>
      <w:r>
        <w:rPr>
          <w:sz w:val="16"/>
          <w:vertAlign w:val="superscript"/>
        </w:rPr>
        <w:t>(2)</w:t>
      </w:r>
      <w:r>
        <w:rPr>
          <w:spacing w:val="-3"/>
          <w:sz w:val="16"/>
          <w:vertAlign w:val="baseline"/>
        </w:rPr>
        <w:t> </w:t>
      </w:r>
      <w:r>
        <w:rPr>
          <w:sz w:val="16"/>
          <w:vertAlign w:val="baseline"/>
        </w:rPr>
        <w:t>Excludes</w:t>
      </w:r>
      <w:r>
        <w:rPr>
          <w:spacing w:val="-3"/>
          <w:sz w:val="16"/>
          <w:vertAlign w:val="baseline"/>
        </w:rPr>
        <w:t> </w:t>
      </w:r>
      <w:r>
        <w:rPr>
          <w:sz w:val="16"/>
          <w:vertAlign w:val="baseline"/>
        </w:rPr>
        <w:t>the</w:t>
      </w:r>
      <w:r>
        <w:rPr>
          <w:spacing w:val="-2"/>
          <w:sz w:val="16"/>
          <w:vertAlign w:val="baseline"/>
        </w:rPr>
        <w:t> </w:t>
      </w:r>
      <w:r>
        <w:rPr>
          <w:sz w:val="16"/>
          <w:vertAlign w:val="baseline"/>
        </w:rPr>
        <w:t>amortized</w:t>
      </w:r>
      <w:r>
        <w:rPr>
          <w:spacing w:val="-2"/>
          <w:sz w:val="16"/>
          <w:vertAlign w:val="baseline"/>
        </w:rPr>
        <w:t> </w:t>
      </w:r>
      <w:r>
        <w:rPr>
          <w:sz w:val="16"/>
          <w:vertAlign w:val="baseline"/>
        </w:rPr>
        <w:t>cost</w:t>
      </w:r>
      <w:r>
        <w:rPr>
          <w:spacing w:val="-2"/>
          <w:sz w:val="16"/>
          <w:vertAlign w:val="baseline"/>
        </w:rPr>
        <w:t> </w:t>
      </w:r>
      <w:r>
        <w:rPr>
          <w:sz w:val="16"/>
          <w:vertAlign w:val="baseline"/>
        </w:rPr>
        <w:t>and</w:t>
      </w:r>
      <w:r>
        <w:rPr>
          <w:spacing w:val="-2"/>
          <w:sz w:val="16"/>
          <w:vertAlign w:val="baseline"/>
        </w:rPr>
        <w:t> </w:t>
      </w:r>
      <w:r>
        <w:rPr>
          <w:sz w:val="16"/>
          <w:vertAlign w:val="baseline"/>
        </w:rPr>
        <w:t>fair</w:t>
      </w:r>
      <w:r>
        <w:rPr>
          <w:spacing w:val="-2"/>
          <w:sz w:val="16"/>
          <w:vertAlign w:val="baseline"/>
        </w:rPr>
        <w:t> </w:t>
      </w:r>
      <w:r>
        <w:rPr>
          <w:sz w:val="16"/>
          <w:vertAlign w:val="baseline"/>
        </w:rPr>
        <w:t>value</w:t>
      </w:r>
      <w:r>
        <w:rPr>
          <w:spacing w:val="-2"/>
          <w:sz w:val="16"/>
          <w:vertAlign w:val="baseline"/>
        </w:rPr>
        <w:t> </w:t>
      </w:r>
      <w:r>
        <w:rPr>
          <w:sz w:val="16"/>
          <w:vertAlign w:val="baseline"/>
        </w:rPr>
        <w:t>hedging</w:t>
      </w:r>
      <w:r>
        <w:rPr>
          <w:spacing w:val="-2"/>
          <w:sz w:val="16"/>
          <w:vertAlign w:val="baseline"/>
        </w:rPr>
        <w:t> </w:t>
      </w:r>
      <w:r>
        <w:rPr>
          <w:sz w:val="16"/>
          <w:vertAlign w:val="baseline"/>
        </w:rPr>
        <w:t>adjustment</w:t>
      </w:r>
      <w:r>
        <w:rPr>
          <w:spacing w:val="-2"/>
          <w:sz w:val="16"/>
          <w:vertAlign w:val="baseline"/>
        </w:rPr>
        <w:t> </w:t>
      </w:r>
      <w:r>
        <w:rPr>
          <w:sz w:val="16"/>
          <w:vertAlign w:val="baseline"/>
        </w:rPr>
        <w:t>of</w:t>
      </w:r>
      <w:r>
        <w:rPr>
          <w:spacing w:val="-2"/>
          <w:sz w:val="16"/>
          <w:vertAlign w:val="baseline"/>
        </w:rPr>
        <w:t> </w:t>
      </w:r>
      <w:r>
        <w:rPr>
          <w:sz w:val="16"/>
          <w:vertAlign w:val="baseline"/>
        </w:rPr>
        <w:t>AFS</w:t>
      </w:r>
      <w:r>
        <w:rPr>
          <w:spacing w:val="-3"/>
          <w:sz w:val="16"/>
          <w:vertAlign w:val="baseline"/>
        </w:rPr>
        <w:t> </w:t>
      </w:r>
      <w:r>
        <w:rPr>
          <w:sz w:val="16"/>
          <w:vertAlign w:val="baseline"/>
        </w:rPr>
        <w:t>securities</w:t>
      </w:r>
      <w:r>
        <w:rPr>
          <w:spacing w:val="-3"/>
          <w:sz w:val="16"/>
          <w:vertAlign w:val="baseline"/>
        </w:rPr>
        <w:t> </w:t>
      </w:r>
      <w:r>
        <w:rPr>
          <w:sz w:val="16"/>
          <w:vertAlign w:val="baseline"/>
        </w:rPr>
        <w:t>for</w:t>
      </w:r>
      <w:r>
        <w:rPr>
          <w:spacing w:val="-2"/>
          <w:sz w:val="16"/>
          <w:vertAlign w:val="baseline"/>
        </w:rPr>
        <w:t> </w:t>
      </w:r>
      <w:r>
        <w:rPr>
          <w:sz w:val="16"/>
          <w:vertAlign w:val="baseline"/>
        </w:rPr>
        <w:t>which</w:t>
      </w:r>
      <w:r>
        <w:rPr>
          <w:spacing w:val="-2"/>
          <w:sz w:val="16"/>
          <w:vertAlign w:val="baseline"/>
        </w:rPr>
        <w:t> </w:t>
      </w:r>
      <w:r>
        <w:rPr>
          <w:sz w:val="16"/>
          <w:vertAlign w:val="baseline"/>
        </w:rPr>
        <w:t>hedge</w:t>
      </w:r>
      <w:r>
        <w:rPr>
          <w:spacing w:val="-2"/>
          <w:sz w:val="16"/>
          <w:vertAlign w:val="baseline"/>
        </w:rPr>
        <w:t> </w:t>
      </w:r>
      <w:r>
        <w:rPr>
          <w:sz w:val="16"/>
          <w:vertAlign w:val="baseline"/>
        </w:rPr>
        <w:t>accounting</w:t>
      </w:r>
      <w:r>
        <w:rPr>
          <w:spacing w:val="-2"/>
          <w:sz w:val="16"/>
          <w:vertAlign w:val="baseline"/>
        </w:rPr>
        <w:t> </w:t>
      </w:r>
      <w:r>
        <w:rPr>
          <w:sz w:val="16"/>
          <w:vertAlign w:val="baseline"/>
        </w:rPr>
        <w:t>has</w:t>
      </w:r>
      <w:r>
        <w:rPr>
          <w:spacing w:val="-3"/>
          <w:sz w:val="16"/>
          <w:vertAlign w:val="baseline"/>
        </w:rPr>
        <w:t> </w:t>
      </w:r>
      <w:r>
        <w:rPr>
          <w:sz w:val="16"/>
          <w:vertAlign w:val="baseline"/>
        </w:rPr>
        <w:t>been</w:t>
      </w:r>
      <w:r>
        <w:rPr>
          <w:spacing w:val="-2"/>
          <w:sz w:val="16"/>
          <w:vertAlign w:val="baseline"/>
        </w:rPr>
        <w:t> </w:t>
      </w:r>
      <w:r>
        <w:rPr>
          <w:sz w:val="16"/>
          <w:vertAlign w:val="baseline"/>
        </w:rPr>
        <w:t>discontinued.</w:t>
      </w:r>
      <w:r>
        <w:rPr>
          <w:spacing w:val="-2"/>
          <w:sz w:val="16"/>
          <w:vertAlign w:val="baseline"/>
        </w:rPr>
        <w:t> </w:t>
      </w:r>
      <w:r>
        <w:rPr>
          <w:sz w:val="16"/>
          <w:vertAlign w:val="baseline"/>
        </w:rPr>
        <w:t>The</w:t>
      </w:r>
      <w:r>
        <w:rPr>
          <w:spacing w:val="-2"/>
          <w:sz w:val="16"/>
          <w:vertAlign w:val="baseline"/>
        </w:rPr>
        <w:t> </w:t>
      </w:r>
      <w:r>
        <w:rPr>
          <w:sz w:val="16"/>
          <w:vertAlign w:val="baseline"/>
        </w:rPr>
        <w:t>cumulative</w:t>
      </w:r>
      <w:r>
        <w:rPr>
          <w:spacing w:val="-2"/>
          <w:sz w:val="16"/>
          <w:vertAlign w:val="baseline"/>
        </w:rPr>
        <w:t> </w:t>
      </w:r>
      <w:r>
        <w:rPr>
          <w:sz w:val="16"/>
          <w:vertAlign w:val="baseline"/>
        </w:rPr>
        <w:t>amount</w:t>
      </w:r>
      <w:r>
        <w:rPr>
          <w:spacing w:val="40"/>
          <w:sz w:val="16"/>
          <w:vertAlign w:val="baseline"/>
        </w:rPr>
        <w:t> </w:t>
      </w:r>
      <w:r>
        <w:rPr>
          <w:sz w:val="16"/>
          <w:vertAlign w:val="baseline"/>
        </w:rPr>
        <w:t>of fair value hedging adjustments remaining for these securities is a reduction of the amortized cost basis of less than</w:t>
      </w:r>
      <w:r>
        <w:rPr>
          <w:spacing w:val="-1"/>
          <w:sz w:val="16"/>
          <w:vertAlign w:val="baseline"/>
        </w:rPr>
        <w:t> </w:t>
      </w:r>
      <w:r>
        <w:rPr>
          <w:sz w:val="16"/>
          <w:vertAlign w:val="baseline"/>
        </w:rPr>
        <w:t>$500 thousand, which is recorded in</w:t>
      </w:r>
      <w:r>
        <w:rPr>
          <w:spacing w:val="40"/>
          <w:sz w:val="16"/>
          <w:vertAlign w:val="baseline"/>
        </w:rPr>
        <w:t> </w:t>
      </w:r>
      <w:r>
        <w:rPr>
          <w:sz w:val="16"/>
          <w:vertAlign w:val="baseline"/>
        </w:rPr>
        <w:t>AFS securities on the condensed consolidated balance sheet and amortized to interest revenue as a yield adjustment over the lives of the securities.</w:t>
      </w:r>
    </w:p>
    <w:p>
      <w:pPr>
        <w:spacing w:after="0" w:line="249" w:lineRule="auto"/>
        <w:jc w:val="left"/>
        <w:rPr>
          <w:sz w:val="16"/>
        </w:rPr>
        <w:sectPr>
          <w:pgSz w:w="12240" w:h="15840"/>
          <w:pgMar w:header="227" w:footer="201" w:top="1080" w:bottom="400" w:left="520" w:right="520"/>
        </w:sectPr>
      </w:pPr>
    </w:p>
    <w:p>
      <w:pPr>
        <w:pStyle w:val="BodyText"/>
        <w:spacing w:line="249" w:lineRule="auto" w:before="214"/>
        <w:ind w:left="470" w:right="761"/>
      </w:pPr>
      <w:r>
        <w:rPr/>
        <mc:AlternateContent>
          <mc:Choice Requires="wps">
            <w:drawing>
              <wp:anchor distT="0" distB="0" distL="0" distR="0" allowOverlap="1" layoutInCell="1" locked="0" behindDoc="0" simplePos="0" relativeHeight="15764992">
                <wp:simplePos x="0" y="0"/>
                <wp:positionH relativeFrom="page">
                  <wp:posOffset>628650</wp:posOffset>
                </wp:positionH>
                <wp:positionV relativeFrom="paragraph">
                  <wp:posOffset>468370</wp:posOffset>
                </wp:positionV>
                <wp:extent cx="6515100" cy="6350"/>
                <wp:effectExtent l="0" t="0" r="0" b="0"/>
                <wp:wrapNone/>
                <wp:docPr id="577" name="Group 577"/>
                <wp:cNvGraphicFramePr>
                  <a:graphicFrameLocks/>
                </wp:cNvGraphicFramePr>
                <a:graphic>
                  <a:graphicData uri="http://schemas.microsoft.com/office/word/2010/wordprocessingGroup">
                    <wpg:wgp>
                      <wpg:cNvPr id="577" name="Group 577"/>
                      <wpg:cNvGrpSpPr/>
                      <wpg:grpSpPr>
                        <a:xfrm>
                          <a:off x="0" y="0"/>
                          <a:ext cx="6515100" cy="6350"/>
                          <a:chExt cx="6515100" cy="6350"/>
                        </a:xfrm>
                      </wpg:grpSpPr>
                      <wps:wsp>
                        <wps:cNvPr id="578" name="Graphic 578"/>
                        <wps:cNvSpPr/>
                        <wps:spPr>
                          <a:xfrm>
                            <a:off x="0" y="3175"/>
                            <a:ext cx="5162550" cy="1270"/>
                          </a:xfrm>
                          <a:custGeom>
                            <a:avLst/>
                            <a:gdLst/>
                            <a:ahLst/>
                            <a:cxnLst/>
                            <a:rect l="l" t="t" r="r" b="b"/>
                            <a:pathLst>
                              <a:path w="5162550" h="0">
                                <a:moveTo>
                                  <a:pt x="5162550" y="0"/>
                                </a:moveTo>
                                <a:lnTo>
                                  <a:pt x="0" y="0"/>
                                </a:lnTo>
                              </a:path>
                            </a:pathLst>
                          </a:custGeom>
                          <a:solidFill>
                            <a:srgbClr val="000000"/>
                          </a:solidFill>
                        </wps:spPr>
                        <wps:bodyPr wrap="square" lIns="0" tIns="0" rIns="0" bIns="0" rtlCol="0">
                          <a:prstTxWarp prst="textNoShape">
                            <a:avLst/>
                          </a:prstTxWarp>
                          <a:noAutofit/>
                        </wps:bodyPr>
                      </wps:wsp>
                      <wps:wsp>
                        <wps:cNvPr id="579" name="Graphic 579"/>
                        <wps:cNvSpPr/>
                        <wps:spPr>
                          <a:xfrm>
                            <a:off x="0" y="3175"/>
                            <a:ext cx="5162550" cy="1270"/>
                          </a:xfrm>
                          <a:custGeom>
                            <a:avLst/>
                            <a:gdLst/>
                            <a:ahLst/>
                            <a:cxnLst/>
                            <a:rect l="l" t="t" r="r" b="b"/>
                            <a:pathLst>
                              <a:path w="5162550" h="0">
                                <a:moveTo>
                                  <a:pt x="0" y="0"/>
                                </a:moveTo>
                                <a:lnTo>
                                  <a:pt x="5162550" y="0"/>
                                </a:lnTo>
                              </a:path>
                            </a:pathLst>
                          </a:custGeom>
                          <a:ln w="6350">
                            <a:solidFill>
                              <a:srgbClr val="000000"/>
                            </a:solidFill>
                            <a:prstDash val="solid"/>
                          </a:ln>
                        </wps:spPr>
                        <wps:bodyPr wrap="square" lIns="0" tIns="0" rIns="0" bIns="0" rtlCol="0">
                          <a:prstTxWarp prst="textNoShape">
                            <a:avLst/>
                          </a:prstTxWarp>
                          <a:noAutofit/>
                        </wps:bodyPr>
                      </wps:wsp>
                      <wps:wsp>
                        <wps:cNvPr id="580" name="Graphic 580"/>
                        <wps:cNvSpPr/>
                        <wps:spPr>
                          <a:xfrm>
                            <a:off x="5162550" y="3175"/>
                            <a:ext cx="1352550" cy="1270"/>
                          </a:xfrm>
                          <a:custGeom>
                            <a:avLst/>
                            <a:gdLst/>
                            <a:ahLst/>
                            <a:cxnLst/>
                            <a:rect l="l" t="t" r="r" b="b"/>
                            <a:pathLst>
                              <a:path w="1352550" h="0">
                                <a:moveTo>
                                  <a:pt x="1352550" y="0"/>
                                </a:moveTo>
                                <a:lnTo>
                                  <a:pt x="0" y="0"/>
                                </a:lnTo>
                              </a:path>
                            </a:pathLst>
                          </a:custGeom>
                          <a:solidFill>
                            <a:srgbClr val="000000"/>
                          </a:solidFill>
                        </wps:spPr>
                        <wps:bodyPr wrap="square" lIns="0" tIns="0" rIns="0" bIns="0" rtlCol="0">
                          <a:prstTxWarp prst="textNoShape">
                            <a:avLst/>
                          </a:prstTxWarp>
                          <a:noAutofit/>
                        </wps:bodyPr>
                      </wps:wsp>
                      <wps:wsp>
                        <wps:cNvPr id="581" name="Graphic 581"/>
                        <wps:cNvSpPr/>
                        <wps:spPr>
                          <a:xfrm>
                            <a:off x="5162550" y="3175"/>
                            <a:ext cx="1352550" cy="1270"/>
                          </a:xfrm>
                          <a:custGeom>
                            <a:avLst/>
                            <a:gdLst/>
                            <a:ahLst/>
                            <a:cxnLst/>
                            <a:rect l="l" t="t" r="r" b="b"/>
                            <a:pathLst>
                              <a:path w="1352550" h="0">
                                <a:moveTo>
                                  <a:pt x="0" y="0"/>
                                </a:moveTo>
                                <a:lnTo>
                                  <a:pt x="135255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36.879532pt;width:513pt;height:.5pt;mso-position-horizontal-relative:page;mso-position-vertical-relative:paragraph;z-index:15764992" id="docshapegroup417" coordorigin="990,738" coordsize="10260,10">
                <v:shape style="position:absolute;left:990;top:742;width:8130;height:2" id="docshape418" coordorigin="990,743" coordsize="8130,0" path="m9120,743l990,743e" filled="true" fillcolor="#000000" stroked="false">
                  <v:path arrowok="t"/>
                  <v:fill opacity="0f" type="solid"/>
                </v:shape>
                <v:line style="position:absolute" from="990,743" to="9120,743" stroked="true" strokeweight=".5pt" strokecolor="#000000">
                  <v:stroke dashstyle="solid"/>
                </v:line>
                <v:shape style="position:absolute;left:9120;top:742;width:2130;height:2" id="docshape419" coordorigin="9120,743" coordsize="2130,0" path="m11250,743l9120,743e" filled="true" fillcolor="#000000" stroked="false">
                  <v:path arrowok="t"/>
                  <v:fill opacity="0f" type="solid"/>
                </v:shape>
                <v:line style="position:absolute" from="9120,743" to="11250,743" stroked="true" strokeweight=".5pt" strokecolor="#000000">
                  <v:stroke dashstyle="solid"/>
                </v:line>
                <w10:wrap type="none"/>
              </v:group>
            </w:pict>
          </mc:Fallback>
        </mc:AlternateContent>
      </w:r>
      <w:r>
        <w:rPr/>
        <w:t>The</w:t>
      </w:r>
      <w:r>
        <w:rPr>
          <w:spacing w:val="-3"/>
        </w:rPr>
        <w:t> </w:t>
      </w:r>
      <w:r>
        <w:rPr/>
        <w:t>table</w:t>
      </w:r>
      <w:r>
        <w:rPr>
          <w:spacing w:val="-3"/>
        </w:rPr>
        <w:t> </w:t>
      </w:r>
      <w:r>
        <w:rPr/>
        <w:t>below</w:t>
      </w:r>
      <w:r>
        <w:rPr>
          <w:spacing w:val="-3"/>
        </w:rPr>
        <w:t> </w:t>
      </w:r>
      <w:r>
        <w:rPr/>
        <w:t>presents</w:t>
      </w:r>
      <w:r>
        <w:rPr>
          <w:spacing w:val="-3"/>
        </w:rPr>
        <w:t> </w:t>
      </w:r>
      <w:r>
        <w:rPr/>
        <w:t>the</w:t>
      </w:r>
      <w:r>
        <w:rPr>
          <w:spacing w:val="-3"/>
        </w:rPr>
        <w:t> </w:t>
      </w:r>
      <w:r>
        <w:rPr/>
        <w:t>effect</w:t>
      </w:r>
      <w:r>
        <w:rPr>
          <w:spacing w:val="-3"/>
        </w:rPr>
        <w:t> </w:t>
      </w:r>
      <w:r>
        <w:rPr/>
        <w:t>of</w:t>
      </w:r>
      <w:r>
        <w:rPr>
          <w:spacing w:val="-2"/>
        </w:rPr>
        <w:t> </w:t>
      </w:r>
      <w:r>
        <w:rPr/>
        <w:t>the</w:t>
      </w:r>
      <w:r>
        <w:rPr>
          <w:spacing w:val="-3"/>
        </w:rPr>
        <w:t> </w:t>
      </w:r>
      <w:r>
        <w:rPr/>
        <w:t>Company’s</w:t>
      </w:r>
      <w:r>
        <w:rPr>
          <w:spacing w:val="-3"/>
        </w:rPr>
        <w:t> </w:t>
      </w:r>
      <w:r>
        <w:rPr/>
        <w:t>interest</w:t>
      </w:r>
      <w:r>
        <w:rPr>
          <w:spacing w:val="-3"/>
        </w:rPr>
        <w:t> </w:t>
      </w:r>
      <w:r>
        <w:rPr/>
        <w:t>rate</w:t>
      </w:r>
      <w:r>
        <w:rPr>
          <w:spacing w:val="-3"/>
        </w:rPr>
        <w:t> </w:t>
      </w:r>
      <w:r>
        <w:rPr/>
        <w:t>swaps</w:t>
      </w:r>
      <w:r>
        <w:rPr>
          <w:spacing w:val="-3"/>
        </w:rPr>
        <w:t> </w:t>
      </w:r>
      <w:r>
        <w:rPr/>
        <w:t>designated</w:t>
      </w:r>
      <w:r>
        <w:rPr>
          <w:spacing w:val="-2"/>
        </w:rPr>
        <w:t> </w:t>
      </w:r>
      <w:r>
        <w:rPr/>
        <w:t>as</w:t>
      </w:r>
      <w:r>
        <w:rPr>
          <w:spacing w:val="-3"/>
        </w:rPr>
        <w:t> </w:t>
      </w:r>
      <w:r>
        <w:rPr/>
        <w:t>fair</w:t>
      </w:r>
      <w:r>
        <w:rPr>
          <w:spacing w:val="-2"/>
        </w:rPr>
        <w:t> </w:t>
      </w:r>
      <w:r>
        <w:rPr/>
        <w:t>value</w:t>
      </w:r>
      <w:r>
        <w:rPr>
          <w:spacing w:val="-3"/>
        </w:rPr>
        <w:t> </w:t>
      </w:r>
      <w:r>
        <w:rPr/>
        <w:t>hedges</w:t>
      </w:r>
      <w:r>
        <w:rPr>
          <w:spacing w:val="-3"/>
        </w:rPr>
        <w:t> </w:t>
      </w:r>
      <w:r>
        <w:rPr/>
        <w:t>on</w:t>
      </w:r>
      <w:r>
        <w:rPr>
          <w:spacing w:val="-2"/>
        </w:rPr>
        <w:t> </w:t>
      </w:r>
      <w:r>
        <w:rPr/>
        <w:t>the</w:t>
      </w:r>
      <w:r>
        <w:rPr>
          <w:spacing w:val="-3"/>
        </w:rPr>
        <w:t> </w:t>
      </w:r>
      <w:r>
        <w:rPr/>
        <w:t>condensed consolidated statement of income:</w:t>
      </w:r>
    </w:p>
    <w:p>
      <w:pPr>
        <w:spacing w:after="0" w:line="249" w:lineRule="auto"/>
        <w:sectPr>
          <w:pgSz w:w="12240" w:h="15840"/>
          <w:pgMar w:header="227" w:footer="201" w:top="1080" w:bottom="400" w:left="520" w:right="520"/>
        </w:sectPr>
      </w:pPr>
    </w:p>
    <w:p>
      <w:pPr>
        <w:spacing w:line="208" w:lineRule="auto" w:before="90"/>
        <w:ind w:left="7045" w:right="0" w:hanging="240"/>
        <w:jc w:val="left"/>
        <w:rPr>
          <w:sz w:val="18"/>
        </w:rPr>
      </w:pPr>
      <w:r>
        <w:rPr>
          <w:sz w:val="18"/>
        </w:rPr>
        <w:t>Three</w:t>
      </w:r>
      <w:r>
        <w:rPr>
          <w:spacing w:val="-12"/>
          <w:sz w:val="18"/>
        </w:rPr>
        <w:t> </w:t>
      </w:r>
      <w:r>
        <w:rPr>
          <w:sz w:val="18"/>
        </w:rPr>
        <w:t>Months</w:t>
      </w:r>
      <w:r>
        <w:rPr>
          <w:spacing w:val="-11"/>
          <w:sz w:val="18"/>
        </w:rPr>
        <w:t> </w:t>
      </w:r>
      <w:r>
        <w:rPr>
          <w:sz w:val="18"/>
        </w:rPr>
        <w:t>Ended September 30,</w:t>
      </w:r>
    </w:p>
    <w:p>
      <w:pPr>
        <w:spacing w:line="208" w:lineRule="auto" w:before="90"/>
        <w:ind w:left="810" w:right="777" w:hanging="205"/>
        <w:jc w:val="left"/>
        <w:rPr>
          <w:sz w:val="18"/>
        </w:rPr>
      </w:pPr>
      <w:r>
        <w:rPr/>
        <w:br w:type="column"/>
      </w:r>
      <w:r>
        <w:rPr>
          <w:sz w:val="18"/>
        </w:rPr>
        <w:t>Nine</w:t>
      </w:r>
      <w:r>
        <w:rPr>
          <w:spacing w:val="-12"/>
          <w:sz w:val="18"/>
        </w:rPr>
        <w:t> </w:t>
      </w:r>
      <w:r>
        <w:rPr>
          <w:sz w:val="18"/>
        </w:rPr>
        <w:t>Months</w:t>
      </w:r>
      <w:r>
        <w:rPr>
          <w:spacing w:val="-11"/>
          <w:sz w:val="18"/>
        </w:rPr>
        <w:t> </w:t>
      </w:r>
      <w:r>
        <w:rPr>
          <w:sz w:val="18"/>
        </w:rPr>
        <w:t>Ended September 30,</w:t>
      </w:r>
    </w:p>
    <w:p>
      <w:pPr>
        <w:spacing w:after="0" w:line="208" w:lineRule="auto"/>
        <w:jc w:val="left"/>
        <w:rPr>
          <w:sz w:val="18"/>
        </w:rPr>
        <w:sectPr>
          <w:type w:val="continuous"/>
          <w:pgSz w:w="12240" w:h="15840"/>
          <w:pgMar w:header="227" w:footer="201" w:top="320" w:bottom="280" w:left="520" w:right="520"/>
          <w:cols w:num="2" w:equalWidth="0">
            <w:col w:w="8326" w:space="40"/>
            <w:col w:w="2834"/>
          </w:cols>
        </w:sectPr>
      </w:pPr>
    </w:p>
    <w:p>
      <w:pPr>
        <w:pStyle w:val="BodyText"/>
        <w:spacing w:before="7"/>
        <w:rPr>
          <w:sz w:val="2"/>
        </w:rPr>
      </w:pPr>
    </w:p>
    <w:p>
      <w:pPr>
        <w:pStyle w:val="BodyText"/>
        <w:spacing w:line="20" w:lineRule="exact"/>
        <w:ind w:left="6525"/>
        <w:rPr>
          <w:sz w:val="2"/>
        </w:rPr>
      </w:pPr>
      <w:r>
        <w:rPr>
          <w:sz w:val="2"/>
        </w:rPr>
        <mc:AlternateContent>
          <mc:Choice Requires="wps">
            <w:drawing>
              <wp:inline distT="0" distB="0" distL="0" distR="0">
                <wp:extent cx="2667000" cy="6350"/>
                <wp:effectExtent l="9525" t="0" r="0" b="3175"/>
                <wp:docPr id="582" name="Group 582"/>
                <wp:cNvGraphicFramePr>
                  <a:graphicFrameLocks/>
                </wp:cNvGraphicFramePr>
                <a:graphic>
                  <a:graphicData uri="http://schemas.microsoft.com/office/word/2010/wordprocessingGroup">
                    <wpg:wgp>
                      <wpg:cNvPr id="582" name="Group 582"/>
                      <wpg:cNvGrpSpPr/>
                      <wpg:grpSpPr>
                        <a:xfrm>
                          <a:off x="0" y="0"/>
                          <a:ext cx="2667000" cy="6350"/>
                          <a:chExt cx="2667000" cy="6350"/>
                        </a:xfrm>
                      </wpg:grpSpPr>
                      <wps:wsp>
                        <wps:cNvPr id="583" name="Graphic 583"/>
                        <wps:cNvSpPr/>
                        <wps:spPr>
                          <a:xfrm>
                            <a:off x="0" y="3175"/>
                            <a:ext cx="1314450" cy="1270"/>
                          </a:xfrm>
                          <a:custGeom>
                            <a:avLst/>
                            <a:gdLst/>
                            <a:ahLst/>
                            <a:cxnLst/>
                            <a:rect l="l" t="t" r="r" b="b"/>
                            <a:pathLst>
                              <a:path w="1314450" h="0">
                                <a:moveTo>
                                  <a:pt x="1314450" y="0"/>
                                </a:moveTo>
                                <a:lnTo>
                                  <a:pt x="0" y="0"/>
                                </a:lnTo>
                              </a:path>
                            </a:pathLst>
                          </a:custGeom>
                          <a:solidFill>
                            <a:srgbClr val="000000"/>
                          </a:solidFill>
                        </wps:spPr>
                        <wps:bodyPr wrap="square" lIns="0" tIns="0" rIns="0" bIns="0" rtlCol="0">
                          <a:prstTxWarp prst="textNoShape">
                            <a:avLst/>
                          </a:prstTxWarp>
                          <a:noAutofit/>
                        </wps:bodyPr>
                      </wps:wsp>
                      <wps:wsp>
                        <wps:cNvPr id="584" name="Graphic 584"/>
                        <wps:cNvSpPr/>
                        <wps:spPr>
                          <a:xfrm>
                            <a:off x="0" y="3175"/>
                            <a:ext cx="1314450" cy="1270"/>
                          </a:xfrm>
                          <a:custGeom>
                            <a:avLst/>
                            <a:gdLst/>
                            <a:ahLst/>
                            <a:cxnLst/>
                            <a:rect l="l" t="t" r="r" b="b"/>
                            <a:pathLst>
                              <a:path w="1314450" h="0">
                                <a:moveTo>
                                  <a:pt x="0" y="0"/>
                                </a:moveTo>
                                <a:lnTo>
                                  <a:pt x="1314450" y="0"/>
                                </a:lnTo>
                              </a:path>
                            </a:pathLst>
                          </a:custGeom>
                          <a:ln w="6350">
                            <a:solidFill>
                              <a:srgbClr val="000000"/>
                            </a:solidFill>
                            <a:prstDash val="solid"/>
                          </a:ln>
                        </wps:spPr>
                        <wps:bodyPr wrap="square" lIns="0" tIns="0" rIns="0" bIns="0" rtlCol="0">
                          <a:prstTxWarp prst="textNoShape">
                            <a:avLst/>
                          </a:prstTxWarp>
                          <a:noAutofit/>
                        </wps:bodyPr>
                      </wps:wsp>
                      <wps:wsp>
                        <wps:cNvPr id="585" name="Graphic 585"/>
                        <wps:cNvSpPr/>
                        <wps:spPr>
                          <a:xfrm>
                            <a:off x="1352550" y="3175"/>
                            <a:ext cx="1314450" cy="1270"/>
                          </a:xfrm>
                          <a:custGeom>
                            <a:avLst/>
                            <a:gdLst/>
                            <a:ahLst/>
                            <a:cxnLst/>
                            <a:rect l="l" t="t" r="r" b="b"/>
                            <a:pathLst>
                              <a:path w="1314450" h="0">
                                <a:moveTo>
                                  <a:pt x="1314450" y="0"/>
                                </a:moveTo>
                                <a:lnTo>
                                  <a:pt x="0" y="0"/>
                                </a:lnTo>
                              </a:path>
                            </a:pathLst>
                          </a:custGeom>
                          <a:solidFill>
                            <a:srgbClr val="000000"/>
                          </a:solidFill>
                        </wps:spPr>
                        <wps:bodyPr wrap="square" lIns="0" tIns="0" rIns="0" bIns="0" rtlCol="0">
                          <a:prstTxWarp prst="textNoShape">
                            <a:avLst/>
                          </a:prstTxWarp>
                          <a:noAutofit/>
                        </wps:bodyPr>
                      </wps:wsp>
                      <wps:wsp>
                        <wps:cNvPr id="586" name="Graphic 586"/>
                        <wps:cNvSpPr/>
                        <wps:spPr>
                          <a:xfrm>
                            <a:off x="1352550" y="3175"/>
                            <a:ext cx="1314450" cy="1270"/>
                          </a:xfrm>
                          <a:custGeom>
                            <a:avLst/>
                            <a:gdLst/>
                            <a:ahLst/>
                            <a:cxnLst/>
                            <a:rect l="l" t="t" r="r" b="b"/>
                            <a:pathLst>
                              <a:path w="1314450" h="0">
                                <a:moveTo>
                                  <a:pt x="0" y="0"/>
                                </a:moveTo>
                                <a:lnTo>
                                  <a:pt x="131445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0pt;height:.5pt;mso-position-horizontal-relative:char;mso-position-vertical-relative:line" id="docshapegroup420" coordorigin="0,0" coordsize="4200,10">
                <v:shape style="position:absolute;left:0;top:5;width:2070;height:2" id="docshape421" coordorigin="0,5" coordsize="2070,0" path="m2070,5l0,5e" filled="true" fillcolor="#000000" stroked="false">
                  <v:path arrowok="t"/>
                  <v:fill opacity="0f" type="solid"/>
                </v:shape>
                <v:line style="position:absolute" from="0,5" to="2070,5" stroked="true" strokeweight=".5pt" strokecolor="#000000">
                  <v:stroke dashstyle="solid"/>
                </v:line>
                <v:shape style="position:absolute;left:2130;top:5;width:2070;height:2" id="docshape422" coordorigin="2130,5" coordsize="2070,0" path="m4200,5l2130,5e" filled="true" fillcolor="#000000" stroked="false">
                  <v:path arrowok="t"/>
                  <v:fill opacity="0f" type="solid"/>
                </v:shape>
                <v:line style="position:absolute" from="2130,5" to="4200,5" stroked="true" strokeweight=".5pt" strokecolor="#000000">
                  <v:stroke dashstyle="solid"/>
                </v:line>
              </v:group>
            </w:pict>
          </mc:Fallback>
        </mc:AlternateContent>
      </w:r>
      <w:r>
        <w:rPr>
          <w:sz w:val="2"/>
        </w:rPr>
      </w:r>
    </w:p>
    <w:p>
      <w:pPr>
        <w:tabs>
          <w:tab w:pos="9514" w:val="left" w:leader="none"/>
        </w:tabs>
        <w:spacing w:before="3"/>
        <w:ind w:left="7385" w:right="0" w:firstLine="0"/>
        <w:jc w:val="left"/>
        <w:rPr>
          <w:sz w:val="18"/>
        </w:rPr>
      </w:pPr>
      <w:r>
        <w:rPr/>
        <mc:AlternateContent>
          <mc:Choice Requires="wps">
            <w:drawing>
              <wp:anchor distT="0" distB="0" distL="0" distR="0" allowOverlap="1" layoutInCell="1" locked="0" behindDoc="1" simplePos="0" relativeHeight="487623168">
                <wp:simplePos x="0" y="0"/>
                <wp:positionH relativeFrom="page">
                  <wp:posOffset>628650</wp:posOffset>
                </wp:positionH>
                <wp:positionV relativeFrom="paragraph">
                  <wp:posOffset>149278</wp:posOffset>
                </wp:positionV>
                <wp:extent cx="6515100" cy="6350"/>
                <wp:effectExtent l="0" t="0" r="0" b="0"/>
                <wp:wrapTopAndBottom/>
                <wp:docPr id="587" name="Group 587"/>
                <wp:cNvGraphicFramePr>
                  <a:graphicFrameLocks/>
                </wp:cNvGraphicFramePr>
                <a:graphic>
                  <a:graphicData uri="http://schemas.microsoft.com/office/word/2010/wordprocessingGroup">
                    <wpg:wgp>
                      <wpg:cNvPr id="587" name="Group 587"/>
                      <wpg:cNvGrpSpPr/>
                      <wpg:grpSpPr>
                        <a:xfrm>
                          <a:off x="0" y="0"/>
                          <a:ext cx="6515100" cy="6350"/>
                          <a:chExt cx="6515100" cy="6350"/>
                        </a:xfrm>
                      </wpg:grpSpPr>
                      <wps:wsp>
                        <wps:cNvPr id="588" name="Graphic 588"/>
                        <wps:cNvSpPr/>
                        <wps:spPr>
                          <a:xfrm>
                            <a:off x="0" y="3175"/>
                            <a:ext cx="5162550" cy="1270"/>
                          </a:xfrm>
                          <a:custGeom>
                            <a:avLst/>
                            <a:gdLst/>
                            <a:ahLst/>
                            <a:cxnLst/>
                            <a:rect l="l" t="t" r="r" b="b"/>
                            <a:pathLst>
                              <a:path w="5162550" h="0">
                                <a:moveTo>
                                  <a:pt x="5162550" y="0"/>
                                </a:moveTo>
                                <a:lnTo>
                                  <a:pt x="0" y="0"/>
                                </a:lnTo>
                              </a:path>
                            </a:pathLst>
                          </a:custGeom>
                          <a:solidFill>
                            <a:srgbClr val="000000"/>
                          </a:solidFill>
                        </wps:spPr>
                        <wps:bodyPr wrap="square" lIns="0" tIns="0" rIns="0" bIns="0" rtlCol="0">
                          <a:prstTxWarp prst="textNoShape">
                            <a:avLst/>
                          </a:prstTxWarp>
                          <a:noAutofit/>
                        </wps:bodyPr>
                      </wps:wsp>
                      <wps:wsp>
                        <wps:cNvPr id="589" name="Graphic 589"/>
                        <wps:cNvSpPr/>
                        <wps:spPr>
                          <a:xfrm>
                            <a:off x="0" y="3175"/>
                            <a:ext cx="5162550" cy="1270"/>
                          </a:xfrm>
                          <a:custGeom>
                            <a:avLst/>
                            <a:gdLst/>
                            <a:ahLst/>
                            <a:cxnLst/>
                            <a:rect l="l" t="t" r="r" b="b"/>
                            <a:pathLst>
                              <a:path w="5162550" h="0">
                                <a:moveTo>
                                  <a:pt x="0" y="0"/>
                                </a:moveTo>
                                <a:lnTo>
                                  <a:pt x="5162550" y="0"/>
                                </a:lnTo>
                              </a:path>
                            </a:pathLst>
                          </a:custGeom>
                          <a:ln w="6350">
                            <a:solidFill>
                              <a:srgbClr val="000000"/>
                            </a:solidFill>
                            <a:prstDash val="solid"/>
                          </a:ln>
                        </wps:spPr>
                        <wps:bodyPr wrap="square" lIns="0" tIns="0" rIns="0" bIns="0" rtlCol="0">
                          <a:prstTxWarp prst="textNoShape">
                            <a:avLst/>
                          </a:prstTxWarp>
                          <a:noAutofit/>
                        </wps:bodyPr>
                      </wps:wsp>
                      <wps:wsp>
                        <wps:cNvPr id="590" name="Graphic 590"/>
                        <wps:cNvSpPr/>
                        <wps:spPr>
                          <a:xfrm>
                            <a:off x="5162550" y="3175"/>
                            <a:ext cx="1352550" cy="1270"/>
                          </a:xfrm>
                          <a:custGeom>
                            <a:avLst/>
                            <a:gdLst/>
                            <a:ahLst/>
                            <a:cxnLst/>
                            <a:rect l="l" t="t" r="r" b="b"/>
                            <a:pathLst>
                              <a:path w="1352550" h="0">
                                <a:moveTo>
                                  <a:pt x="1352550" y="0"/>
                                </a:moveTo>
                                <a:lnTo>
                                  <a:pt x="0" y="0"/>
                                </a:lnTo>
                              </a:path>
                            </a:pathLst>
                          </a:custGeom>
                          <a:solidFill>
                            <a:srgbClr val="000000"/>
                          </a:solidFill>
                        </wps:spPr>
                        <wps:bodyPr wrap="square" lIns="0" tIns="0" rIns="0" bIns="0" rtlCol="0">
                          <a:prstTxWarp prst="textNoShape">
                            <a:avLst/>
                          </a:prstTxWarp>
                          <a:noAutofit/>
                        </wps:bodyPr>
                      </wps:wsp>
                      <wps:wsp>
                        <wps:cNvPr id="591" name="Graphic 591"/>
                        <wps:cNvSpPr/>
                        <wps:spPr>
                          <a:xfrm>
                            <a:off x="5162550" y="3175"/>
                            <a:ext cx="1352550" cy="1270"/>
                          </a:xfrm>
                          <a:custGeom>
                            <a:avLst/>
                            <a:gdLst/>
                            <a:ahLst/>
                            <a:cxnLst/>
                            <a:rect l="l" t="t" r="r" b="b"/>
                            <a:pathLst>
                              <a:path w="1352550" h="0">
                                <a:moveTo>
                                  <a:pt x="0" y="0"/>
                                </a:moveTo>
                                <a:lnTo>
                                  <a:pt x="135255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11.754189pt;width:513pt;height:.5pt;mso-position-horizontal-relative:page;mso-position-vertical-relative:paragraph;z-index:-15693312;mso-wrap-distance-left:0;mso-wrap-distance-right:0" id="docshapegroup423" coordorigin="990,235" coordsize="10260,10">
                <v:shape style="position:absolute;left:990;top:240;width:8130;height:2" id="docshape424" coordorigin="990,240" coordsize="8130,0" path="m9120,240l990,240e" filled="true" fillcolor="#000000" stroked="false">
                  <v:path arrowok="t"/>
                  <v:fill opacity="0f" type="solid"/>
                </v:shape>
                <v:line style="position:absolute" from="990,240" to="9120,240" stroked="true" strokeweight=".5pt" strokecolor="#000000">
                  <v:stroke dashstyle="solid"/>
                </v:line>
                <v:shape style="position:absolute;left:9120;top:240;width:2130;height:2" id="docshape425" coordorigin="9120,240" coordsize="2130,0" path="m11250,240l9120,240e" filled="true" fillcolor="#000000" stroked="false">
                  <v:path arrowok="t"/>
                  <v:fill opacity="0f" type="solid"/>
                </v:shape>
                <v:line style="position:absolute" from="9120,240" to="11250,240" stroked="true" strokeweight=".5pt" strokecolor="#000000">
                  <v:stroke dashstyle="solid"/>
                </v:line>
                <w10:wrap type="topAndBottom"/>
              </v:group>
            </w:pict>
          </mc:Fallback>
        </mc:AlternateContent>
      </w:r>
      <w:r>
        <w:rPr>
          <w:spacing w:val="-4"/>
          <w:sz w:val="18"/>
        </w:rPr>
        <w:t>2023</w:t>
      </w:r>
      <w:r>
        <w:rPr>
          <w:sz w:val="18"/>
        </w:rPr>
        <w:tab/>
      </w:r>
      <w:r>
        <w:rPr>
          <w:spacing w:val="-4"/>
          <w:sz w:val="18"/>
        </w:rPr>
        <w:t>2023</w:t>
      </w:r>
    </w:p>
    <w:p>
      <w:pPr>
        <w:spacing w:before="13"/>
        <w:ind w:left="522" w:right="0" w:firstLine="0"/>
        <w:jc w:val="left"/>
        <w:rPr>
          <w:sz w:val="18"/>
        </w:rPr>
      </w:pPr>
      <w:r>
        <w:rPr>
          <w:sz w:val="18"/>
        </w:rPr>
        <w:t>Gain</w:t>
      </w:r>
      <w:r>
        <w:rPr>
          <w:spacing w:val="-3"/>
          <w:sz w:val="18"/>
        </w:rPr>
        <w:t> </w:t>
      </w:r>
      <w:r>
        <w:rPr>
          <w:sz w:val="18"/>
        </w:rPr>
        <w:t>(loss) on</w:t>
      </w:r>
      <w:r>
        <w:rPr>
          <w:spacing w:val="-1"/>
          <w:sz w:val="18"/>
        </w:rPr>
        <w:t> </w:t>
      </w:r>
      <w:r>
        <w:rPr>
          <w:sz w:val="18"/>
        </w:rPr>
        <w:t>fair value</w:t>
      </w:r>
      <w:r>
        <w:rPr>
          <w:spacing w:val="-1"/>
          <w:sz w:val="18"/>
        </w:rPr>
        <w:t> </w:t>
      </w:r>
      <w:r>
        <w:rPr>
          <w:sz w:val="18"/>
        </w:rPr>
        <w:t>hedging relationships</w:t>
      </w:r>
      <w:r>
        <w:rPr>
          <w:spacing w:val="-2"/>
          <w:sz w:val="18"/>
        </w:rPr>
        <w:t> </w:t>
      </w:r>
      <w:r>
        <w:rPr>
          <w:sz w:val="18"/>
        </w:rPr>
        <w:t>recognized in</w:t>
      </w:r>
      <w:r>
        <w:rPr>
          <w:spacing w:val="-1"/>
          <w:sz w:val="18"/>
        </w:rPr>
        <w:t> </w:t>
      </w:r>
      <w:r>
        <w:rPr>
          <w:sz w:val="18"/>
        </w:rPr>
        <w:t>interest </w:t>
      </w:r>
      <w:r>
        <w:rPr>
          <w:spacing w:val="-2"/>
          <w:sz w:val="18"/>
        </w:rPr>
        <w:t>revenue:</w:t>
      </w:r>
    </w:p>
    <w:p>
      <w:pPr>
        <w:tabs>
          <w:tab w:pos="8255" w:val="left" w:leader="none"/>
          <w:tab w:pos="10655" w:val="right" w:leader="none"/>
        </w:tabs>
        <w:spacing w:before="303"/>
        <w:ind w:left="612" w:right="0" w:firstLine="0"/>
        <w:jc w:val="left"/>
        <w:rPr>
          <w:sz w:val="18"/>
        </w:rPr>
      </w:pPr>
      <w:r>
        <w:rPr/>
        <mc:AlternateContent>
          <mc:Choice Requires="wps">
            <w:drawing>
              <wp:anchor distT="0" distB="0" distL="0" distR="0" allowOverlap="1" layoutInCell="1" locked="0" behindDoc="1" simplePos="0" relativeHeight="487623680">
                <wp:simplePos x="0" y="0"/>
                <wp:positionH relativeFrom="page">
                  <wp:posOffset>628650</wp:posOffset>
                </wp:positionH>
                <wp:positionV relativeFrom="paragraph">
                  <wp:posOffset>339736</wp:posOffset>
                </wp:positionV>
                <wp:extent cx="6515100" cy="6350"/>
                <wp:effectExtent l="0" t="0" r="0" b="0"/>
                <wp:wrapTopAndBottom/>
                <wp:docPr id="592" name="Group 592"/>
                <wp:cNvGraphicFramePr>
                  <a:graphicFrameLocks/>
                </wp:cNvGraphicFramePr>
                <a:graphic>
                  <a:graphicData uri="http://schemas.microsoft.com/office/word/2010/wordprocessingGroup">
                    <wpg:wgp>
                      <wpg:cNvPr id="592" name="Group 592"/>
                      <wpg:cNvGrpSpPr/>
                      <wpg:grpSpPr>
                        <a:xfrm>
                          <a:off x="0" y="0"/>
                          <a:ext cx="6515100" cy="6350"/>
                          <a:chExt cx="6515100" cy="6350"/>
                        </a:xfrm>
                      </wpg:grpSpPr>
                      <wps:wsp>
                        <wps:cNvPr id="593" name="Graphic 593"/>
                        <wps:cNvSpPr/>
                        <wps:spPr>
                          <a:xfrm>
                            <a:off x="0" y="3175"/>
                            <a:ext cx="5162550" cy="1270"/>
                          </a:xfrm>
                          <a:custGeom>
                            <a:avLst/>
                            <a:gdLst/>
                            <a:ahLst/>
                            <a:cxnLst/>
                            <a:rect l="l" t="t" r="r" b="b"/>
                            <a:pathLst>
                              <a:path w="5162550" h="0">
                                <a:moveTo>
                                  <a:pt x="5162550" y="0"/>
                                </a:moveTo>
                                <a:lnTo>
                                  <a:pt x="0" y="0"/>
                                </a:lnTo>
                              </a:path>
                            </a:pathLst>
                          </a:custGeom>
                          <a:solidFill>
                            <a:srgbClr val="000000"/>
                          </a:solidFill>
                        </wps:spPr>
                        <wps:bodyPr wrap="square" lIns="0" tIns="0" rIns="0" bIns="0" rtlCol="0">
                          <a:prstTxWarp prst="textNoShape">
                            <a:avLst/>
                          </a:prstTxWarp>
                          <a:noAutofit/>
                        </wps:bodyPr>
                      </wps:wsp>
                      <wps:wsp>
                        <wps:cNvPr id="594" name="Graphic 594"/>
                        <wps:cNvSpPr/>
                        <wps:spPr>
                          <a:xfrm>
                            <a:off x="0" y="3175"/>
                            <a:ext cx="5162550" cy="1270"/>
                          </a:xfrm>
                          <a:custGeom>
                            <a:avLst/>
                            <a:gdLst/>
                            <a:ahLst/>
                            <a:cxnLst/>
                            <a:rect l="l" t="t" r="r" b="b"/>
                            <a:pathLst>
                              <a:path w="5162550" h="0">
                                <a:moveTo>
                                  <a:pt x="0" y="0"/>
                                </a:moveTo>
                                <a:lnTo>
                                  <a:pt x="5162550" y="0"/>
                                </a:lnTo>
                              </a:path>
                            </a:pathLst>
                          </a:custGeom>
                          <a:ln w="6350">
                            <a:solidFill>
                              <a:srgbClr val="000000"/>
                            </a:solidFill>
                            <a:prstDash val="solid"/>
                          </a:ln>
                        </wps:spPr>
                        <wps:bodyPr wrap="square" lIns="0" tIns="0" rIns="0" bIns="0" rtlCol="0">
                          <a:prstTxWarp prst="textNoShape">
                            <a:avLst/>
                          </a:prstTxWarp>
                          <a:noAutofit/>
                        </wps:bodyPr>
                      </wps:wsp>
                      <wps:wsp>
                        <wps:cNvPr id="595" name="Graphic 595"/>
                        <wps:cNvSpPr/>
                        <wps:spPr>
                          <a:xfrm>
                            <a:off x="5162550" y="3175"/>
                            <a:ext cx="1352550" cy="1270"/>
                          </a:xfrm>
                          <a:custGeom>
                            <a:avLst/>
                            <a:gdLst/>
                            <a:ahLst/>
                            <a:cxnLst/>
                            <a:rect l="l" t="t" r="r" b="b"/>
                            <a:pathLst>
                              <a:path w="1352550" h="0">
                                <a:moveTo>
                                  <a:pt x="1352550" y="0"/>
                                </a:moveTo>
                                <a:lnTo>
                                  <a:pt x="0" y="0"/>
                                </a:lnTo>
                              </a:path>
                            </a:pathLst>
                          </a:custGeom>
                          <a:solidFill>
                            <a:srgbClr val="000000"/>
                          </a:solidFill>
                        </wps:spPr>
                        <wps:bodyPr wrap="square" lIns="0" tIns="0" rIns="0" bIns="0" rtlCol="0">
                          <a:prstTxWarp prst="textNoShape">
                            <a:avLst/>
                          </a:prstTxWarp>
                          <a:noAutofit/>
                        </wps:bodyPr>
                      </wps:wsp>
                      <wps:wsp>
                        <wps:cNvPr id="596" name="Graphic 596"/>
                        <wps:cNvSpPr/>
                        <wps:spPr>
                          <a:xfrm>
                            <a:off x="5162550" y="3175"/>
                            <a:ext cx="1352550" cy="1270"/>
                          </a:xfrm>
                          <a:custGeom>
                            <a:avLst/>
                            <a:gdLst/>
                            <a:ahLst/>
                            <a:cxnLst/>
                            <a:rect l="l" t="t" r="r" b="b"/>
                            <a:pathLst>
                              <a:path w="1352550" h="0">
                                <a:moveTo>
                                  <a:pt x="0" y="0"/>
                                </a:moveTo>
                                <a:lnTo>
                                  <a:pt x="135255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26.750879pt;width:513pt;height:.5pt;mso-position-horizontal-relative:page;mso-position-vertical-relative:paragraph;z-index:-15692800;mso-wrap-distance-left:0;mso-wrap-distance-right:0" id="docshapegroup426" coordorigin="990,535" coordsize="10260,10">
                <v:shape style="position:absolute;left:990;top:540;width:8130;height:2" id="docshape427" coordorigin="990,540" coordsize="8130,0" path="m9120,540l990,540e" filled="true" fillcolor="#000000" stroked="false">
                  <v:path arrowok="t"/>
                  <v:fill opacity="0f" type="solid"/>
                </v:shape>
                <v:line style="position:absolute" from="990,540" to="9120,540" stroked="true" strokeweight=".5pt" strokecolor="#000000">
                  <v:stroke dashstyle="solid"/>
                </v:line>
                <v:shape style="position:absolute;left:9120;top:540;width:2130;height:2" id="docshape428" coordorigin="9120,540" coordsize="2130,0" path="m11250,540l9120,540e" filled="true" fillcolor="#000000" stroked="false">
                  <v:path arrowok="t"/>
                  <v:fill opacity="0f" type="solid"/>
                </v:shape>
                <v:line style="position:absolute" from="9120,540" to="11250,540" stroked="true" strokeweight=".5pt" strokecolor="#000000">
                  <v:stroke dashstyle="solid"/>
                </v:line>
                <w10:wrap type="topAndBottom"/>
              </v:group>
            </w:pict>
          </mc:Fallback>
        </mc:AlternateContent>
      </w:r>
      <w:r>
        <w:rPr/>
        <mc:AlternateContent>
          <mc:Choice Requires="wps">
            <w:drawing>
              <wp:anchor distT="0" distB="0" distL="0" distR="0" allowOverlap="1" layoutInCell="1" locked="0" behindDoc="0" simplePos="0" relativeHeight="15765504">
                <wp:simplePos x="0" y="0"/>
                <wp:positionH relativeFrom="page">
                  <wp:posOffset>628650</wp:posOffset>
                </wp:positionH>
                <wp:positionV relativeFrom="paragraph">
                  <wp:posOffset>19061</wp:posOffset>
                </wp:positionV>
                <wp:extent cx="6515100" cy="161925"/>
                <wp:effectExtent l="0" t="0" r="0" b="0"/>
                <wp:wrapNone/>
                <wp:docPr id="597" name="Textbox 597"/>
                <wp:cNvGraphicFramePr>
                  <a:graphicFrameLocks/>
                </wp:cNvGraphicFramePr>
                <a:graphic>
                  <a:graphicData uri="http://schemas.microsoft.com/office/word/2010/wordprocessingShape">
                    <wps:wsp>
                      <wps:cNvPr id="597" name="Textbox 597"/>
                      <wps:cNvSpPr txBox="1"/>
                      <wps:spPr>
                        <a:xfrm>
                          <a:off x="0" y="0"/>
                          <a:ext cx="6515100" cy="161925"/>
                        </a:xfrm>
                        <a:prstGeom prst="rect">
                          <a:avLst/>
                        </a:prstGeom>
                        <a:solidFill>
                          <a:srgbClr val="CCEDFF"/>
                        </a:solidFill>
                      </wps:spPr>
                      <wps:txbx>
                        <w:txbxContent>
                          <w:p>
                            <w:pPr>
                              <w:tabs>
                                <w:tab w:pos="6112" w:val="left" w:leader="none"/>
                                <w:tab w:pos="7725" w:val="left" w:leader="none"/>
                                <w:tab w:pos="9855" w:val="left" w:leader="none"/>
                              </w:tabs>
                              <w:spacing w:before="18"/>
                              <w:ind w:left="142" w:right="0" w:firstLine="0"/>
                              <w:jc w:val="left"/>
                              <w:rPr>
                                <w:color w:val="000000"/>
                                <w:sz w:val="18"/>
                              </w:rPr>
                            </w:pPr>
                            <w:r>
                              <w:rPr>
                                <w:color w:val="000000"/>
                                <w:sz w:val="18"/>
                              </w:rPr>
                              <w:t>Hedged</w:t>
                            </w:r>
                            <w:r>
                              <w:rPr>
                                <w:color w:val="000000"/>
                                <w:spacing w:val="-1"/>
                                <w:sz w:val="18"/>
                              </w:rPr>
                              <w:t> </w:t>
                            </w:r>
                            <w:r>
                              <w:rPr>
                                <w:color w:val="000000"/>
                                <w:spacing w:val="-2"/>
                                <w:sz w:val="18"/>
                              </w:rPr>
                              <w:t>items</w:t>
                            </w:r>
                            <w:r>
                              <w:rPr>
                                <w:color w:val="000000"/>
                                <w:sz w:val="18"/>
                              </w:rPr>
                              <w:tab/>
                            </w:r>
                            <w:r>
                              <w:rPr>
                                <w:color w:val="000000"/>
                                <w:spacing w:val="-10"/>
                                <w:sz w:val="18"/>
                              </w:rPr>
                              <w:t>$</w:t>
                            </w:r>
                            <w:r>
                              <w:rPr>
                                <w:color w:val="000000"/>
                                <w:sz w:val="18"/>
                              </w:rPr>
                              <w:tab/>
                              <w:t>(182)</w:t>
                            </w:r>
                            <w:r>
                              <w:rPr>
                                <w:color w:val="000000"/>
                                <w:spacing w:val="59"/>
                                <w:w w:val="150"/>
                                <w:sz w:val="18"/>
                              </w:rPr>
                              <w:t> </w:t>
                            </w:r>
                            <w:r>
                              <w:rPr>
                                <w:color w:val="000000"/>
                                <w:spacing w:val="-10"/>
                                <w:sz w:val="18"/>
                              </w:rPr>
                              <w:t>$</w:t>
                            </w:r>
                            <w:r>
                              <w:rPr>
                                <w:color w:val="000000"/>
                                <w:sz w:val="18"/>
                              </w:rPr>
                              <w:tab/>
                            </w:r>
                            <w:r>
                              <w:rPr>
                                <w:color w:val="000000"/>
                                <w:spacing w:val="-2"/>
                                <w:sz w:val="18"/>
                              </w:rPr>
                              <w:t>(304)</w:t>
                            </w:r>
                          </w:p>
                        </w:txbxContent>
                      </wps:txbx>
                      <wps:bodyPr wrap="square" lIns="0" tIns="0" rIns="0" bIns="0" rtlCol="0">
                        <a:noAutofit/>
                      </wps:bodyPr>
                    </wps:wsp>
                  </a:graphicData>
                </a:graphic>
              </wp:anchor>
            </w:drawing>
          </mc:Choice>
          <mc:Fallback>
            <w:pict>
              <v:shape style="position:absolute;margin-left:49.5pt;margin-top:1.500879pt;width:513pt;height:12.75pt;mso-position-horizontal-relative:page;mso-position-vertical-relative:paragraph;z-index:15765504" type="#_x0000_t202" id="docshape429" filled="true" fillcolor="#ccedff" stroked="false">
                <v:textbox inset="0,0,0,0">
                  <w:txbxContent>
                    <w:p>
                      <w:pPr>
                        <w:tabs>
                          <w:tab w:pos="6112" w:val="left" w:leader="none"/>
                          <w:tab w:pos="7725" w:val="left" w:leader="none"/>
                          <w:tab w:pos="9855" w:val="left" w:leader="none"/>
                        </w:tabs>
                        <w:spacing w:before="18"/>
                        <w:ind w:left="142" w:right="0" w:firstLine="0"/>
                        <w:jc w:val="left"/>
                        <w:rPr>
                          <w:color w:val="000000"/>
                          <w:sz w:val="18"/>
                        </w:rPr>
                      </w:pPr>
                      <w:r>
                        <w:rPr>
                          <w:color w:val="000000"/>
                          <w:sz w:val="18"/>
                        </w:rPr>
                        <w:t>Hedged</w:t>
                      </w:r>
                      <w:r>
                        <w:rPr>
                          <w:color w:val="000000"/>
                          <w:spacing w:val="-1"/>
                          <w:sz w:val="18"/>
                        </w:rPr>
                        <w:t> </w:t>
                      </w:r>
                      <w:r>
                        <w:rPr>
                          <w:color w:val="000000"/>
                          <w:spacing w:val="-2"/>
                          <w:sz w:val="18"/>
                        </w:rPr>
                        <w:t>items</w:t>
                      </w:r>
                      <w:r>
                        <w:rPr>
                          <w:color w:val="000000"/>
                          <w:sz w:val="18"/>
                        </w:rPr>
                        <w:tab/>
                      </w:r>
                      <w:r>
                        <w:rPr>
                          <w:color w:val="000000"/>
                          <w:spacing w:val="-10"/>
                          <w:sz w:val="18"/>
                        </w:rPr>
                        <w:t>$</w:t>
                      </w:r>
                      <w:r>
                        <w:rPr>
                          <w:color w:val="000000"/>
                          <w:sz w:val="18"/>
                        </w:rPr>
                        <w:tab/>
                        <w:t>(182)</w:t>
                      </w:r>
                      <w:r>
                        <w:rPr>
                          <w:color w:val="000000"/>
                          <w:spacing w:val="59"/>
                          <w:w w:val="150"/>
                          <w:sz w:val="18"/>
                        </w:rPr>
                        <w:t> </w:t>
                      </w:r>
                      <w:r>
                        <w:rPr>
                          <w:color w:val="000000"/>
                          <w:spacing w:val="-10"/>
                          <w:sz w:val="18"/>
                        </w:rPr>
                        <w:t>$</w:t>
                      </w:r>
                      <w:r>
                        <w:rPr>
                          <w:color w:val="000000"/>
                          <w:sz w:val="18"/>
                        </w:rPr>
                        <w:tab/>
                      </w:r>
                      <w:r>
                        <w:rPr>
                          <w:color w:val="000000"/>
                          <w:spacing w:val="-2"/>
                          <w:sz w:val="18"/>
                        </w:rPr>
                        <w:t>(304)</w:t>
                      </w:r>
                    </w:p>
                  </w:txbxContent>
                </v:textbox>
                <v:fill type="solid"/>
                <w10:wrap type="none"/>
              </v:shape>
            </w:pict>
          </mc:Fallback>
        </mc:AlternateContent>
      </w:r>
      <w:r>
        <w:rPr>
          <w:sz w:val="18"/>
        </w:rPr>
        <w:t>Derivatives</w:t>
      </w:r>
      <w:r>
        <w:rPr>
          <w:spacing w:val="-2"/>
          <w:sz w:val="18"/>
        </w:rPr>
        <w:t> </w:t>
      </w:r>
      <w:r>
        <w:rPr>
          <w:sz w:val="18"/>
        </w:rPr>
        <w:t>designated as</w:t>
      </w:r>
      <w:r>
        <w:rPr>
          <w:spacing w:val="-2"/>
          <w:sz w:val="18"/>
        </w:rPr>
        <w:t> </w:t>
      </w:r>
      <w:r>
        <w:rPr>
          <w:sz w:val="18"/>
        </w:rPr>
        <w:t>hedging </w:t>
      </w:r>
      <w:r>
        <w:rPr>
          <w:spacing w:val="-2"/>
          <w:sz w:val="18"/>
        </w:rPr>
        <w:t>instruments</w:t>
      </w:r>
      <w:r>
        <w:rPr>
          <w:sz w:val="18"/>
        </w:rPr>
        <w:tab/>
      </w:r>
      <w:r>
        <w:rPr>
          <w:spacing w:val="-5"/>
          <w:sz w:val="18"/>
        </w:rPr>
        <w:t>182</w:t>
      </w:r>
      <w:r>
        <w:rPr>
          <w:sz w:val="18"/>
        </w:rPr>
        <w:tab/>
      </w:r>
      <w:r>
        <w:rPr>
          <w:spacing w:val="-5"/>
          <w:sz w:val="18"/>
        </w:rPr>
        <w:t>304</w:t>
      </w:r>
    </w:p>
    <w:p>
      <w:pPr>
        <w:pStyle w:val="BodyText"/>
      </w:pPr>
    </w:p>
    <w:p>
      <w:pPr>
        <w:pStyle w:val="BodyText"/>
        <w:spacing w:before="31"/>
      </w:pPr>
    </w:p>
    <w:p>
      <w:pPr>
        <w:pStyle w:val="Heading2"/>
        <w:numPr>
          <w:ilvl w:val="0"/>
          <w:numId w:val="4"/>
        </w:numPr>
        <w:tabs>
          <w:tab w:pos="1189" w:val="left" w:leader="none"/>
        </w:tabs>
        <w:spacing w:line="240" w:lineRule="auto" w:before="0" w:after="0"/>
        <w:ind w:left="1189" w:right="0" w:hanging="719"/>
        <w:jc w:val="left"/>
      </w:pPr>
      <w:bookmarkStart w:name="Note 12 Financial Instruments Subject to" w:id="51"/>
      <w:bookmarkEnd w:id="51"/>
      <w:r>
        <w:rPr>
          <w:b w:val="0"/>
        </w:rPr>
      </w:r>
      <w:r>
        <w:rPr/>
        <w:t>Financial</w:t>
      </w:r>
      <w:r>
        <w:rPr>
          <w:spacing w:val="-8"/>
        </w:rPr>
        <w:t> </w:t>
      </w:r>
      <w:r>
        <w:rPr/>
        <w:t>Instruments</w:t>
      </w:r>
      <w:r>
        <w:rPr>
          <w:spacing w:val="-6"/>
        </w:rPr>
        <w:t> </w:t>
      </w:r>
      <w:r>
        <w:rPr/>
        <w:t>Subject</w:t>
      </w:r>
      <w:r>
        <w:rPr>
          <w:spacing w:val="-4"/>
        </w:rPr>
        <w:t> </w:t>
      </w:r>
      <w:r>
        <w:rPr/>
        <w:t>to</w:t>
      </w:r>
      <w:r>
        <w:rPr>
          <w:spacing w:val="-5"/>
        </w:rPr>
        <w:t> </w:t>
      </w:r>
      <w:r>
        <w:rPr/>
        <w:t>Off-Balance</w:t>
      </w:r>
      <w:r>
        <w:rPr>
          <w:spacing w:val="-5"/>
        </w:rPr>
        <w:t> </w:t>
      </w:r>
      <w:r>
        <w:rPr/>
        <w:t>Sheet</w:t>
      </w:r>
      <w:r>
        <w:rPr>
          <w:spacing w:val="-5"/>
        </w:rPr>
        <w:t> </w:t>
      </w:r>
      <w:r>
        <w:rPr/>
        <w:t>Credit</w:t>
      </w:r>
      <w:r>
        <w:rPr>
          <w:spacing w:val="-4"/>
        </w:rPr>
        <w:t> Risk</w:t>
      </w:r>
    </w:p>
    <w:p>
      <w:pPr>
        <w:pStyle w:val="BodyText"/>
        <w:spacing w:before="24"/>
        <w:rPr>
          <w:b/>
        </w:rPr>
      </w:pPr>
    </w:p>
    <w:p>
      <w:pPr>
        <w:pStyle w:val="BodyText"/>
        <w:spacing w:line="249" w:lineRule="auto"/>
        <w:ind w:left="470" w:right="500"/>
      </w:pPr>
      <w:r>
        <w:rPr>
          <w:i/>
        </w:rPr>
        <w:t>Interest rate swaps: </w:t>
      </w:r>
      <w:r>
        <w:rPr/>
        <w:t>Beginning in 2023, Schwab uses interest rate swaps to manage certain interest rate risk exposures. Schwab’s</w:t>
      </w:r>
      <w:r>
        <w:rPr>
          <w:spacing w:val="-3"/>
        </w:rPr>
        <w:t> </w:t>
      </w:r>
      <w:r>
        <w:rPr/>
        <w:t>interest</w:t>
      </w:r>
      <w:r>
        <w:rPr>
          <w:spacing w:val="-3"/>
        </w:rPr>
        <w:t> </w:t>
      </w:r>
      <w:r>
        <w:rPr/>
        <w:t>rate</w:t>
      </w:r>
      <w:r>
        <w:rPr>
          <w:spacing w:val="-3"/>
        </w:rPr>
        <w:t> </w:t>
      </w:r>
      <w:r>
        <w:rPr/>
        <w:t>swaps</w:t>
      </w:r>
      <w:r>
        <w:rPr>
          <w:spacing w:val="-3"/>
        </w:rPr>
        <w:t> </w:t>
      </w:r>
      <w:r>
        <w:rPr/>
        <w:t>are</w:t>
      </w:r>
      <w:r>
        <w:rPr>
          <w:spacing w:val="-3"/>
        </w:rPr>
        <w:t> </w:t>
      </w:r>
      <w:r>
        <w:rPr/>
        <w:t>cleared</w:t>
      </w:r>
      <w:r>
        <w:rPr>
          <w:spacing w:val="-3"/>
        </w:rPr>
        <w:t> </w:t>
      </w:r>
      <w:r>
        <w:rPr/>
        <w:t>through</w:t>
      </w:r>
      <w:r>
        <w:rPr>
          <w:spacing w:val="-3"/>
        </w:rPr>
        <w:t> </w:t>
      </w:r>
      <w:r>
        <w:rPr/>
        <w:t>CCPs</w:t>
      </w:r>
      <w:r>
        <w:rPr>
          <w:spacing w:val="-3"/>
        </w:rPr>
        <w:t> </w:t>
      </w:r>
      <w:r>
        <w:rPr/>
        <w:t>which</w:t>
      </w:r>
      <w:r>
        <w:rPr>
          <w:spacing w:val="-3"/>
        </w:rPr>
        <w:t> </w:t>
      </w:r>
      <w:r>
        <w:rPr/>
        <w:t>require</w:t>
      </w:r>
      <w:r>
        <w:rPr>
          <w:spacing w:val="-3"/>
        </w:rPr>
        <w:t> </w:t>
      </w:r>
      <w:r>
        <w:rPr/>
        <w:t>the</w:t>
      </w:r>
      <w:r>
        <w:rPr>
          <w:spacing w:val="-3"/>
        </w:rPr>
        <w:t> </w:t>
      </w:r>
      <w:r>
        <w:rPr/>
        <w:t>Company</w:t>
      </w:r>
      <w:r>
        <w:rPr>
          <w:spacing w:val="-3"/>
        </w:rPr>
        <w:t> </w:t>
      </w:r>
      <w:r>
        <w:rPr/>
        <w:t>to</w:t>
      </w:r>
      <w:r>
        <w:rPr>
          <w:spacing w:val="-3"/>
        </w:rPr>
        <w:t> </w:t>
      </w:r>
      <w:r>
        <w:rPr/>
        <w:t>post</w:t>
      </w:r>
      <w:r>
        <w:rPr>
          <w:spacing w:val="-3"/>
        </w:rPr>
        <w:t> </w:t>
      </w:r>
      <w:r>
        <w:rPr/>
        <w:t>initial</w:t>
      </w:r>
      <w:r>
        <w:rPr>
          <w:spacing w:val="-3"/>
        </w:rPr>
        <w:t> </w:t>
      </w:r>
      <w:r>
        <w:rPr/>
        <w:t>margin</w:t>
      </w:r>
      <w:r>
        <w:rPr>
          <w:spacing w:val="-3"/>
        </w:rPr>
        <w:t> </w:t>
      </w:r>
      <w:r>
        <w:rPr/>
        <w:t>as</w:t>
      </w:r>
      <w:r>
        <w:rPr>
          <w:spacing w:val="-3"/>
        </w:rPr>
        <w:t> </w:t>
      </w:r>
      <w:r>
        <w:rPr/>
        <w:t>collateral</w:t>
      </w:r>
      <w:r>
        <w:rPr>
          <w:spacing w:val="-3"/>
        </w:rPr>
        <w:t> </w:t>
      </w:r>
      <w:r>
        <w:rPr/>
        <w:t>against potential losses. Schwab pledges investment securities as collateral in order to meet the CCP’s initial margin requirements.</w:t>
      </w:r>
    </w:p>
    <w:p>
      <w:pPr>
        <w:pStyle w:val="BodyText"/>
        <w:spacing w:line="249" w:lineRule="auto" w:before="2"/>
        <w:ind w:left="470" w:right="735"/>
      </w:pPr>
      <w:r>
        <w:rPr/>
        <w:t>Initial margin is posted through futures commission merchants (FCM) which serve as the intermediary between CCPs and Schwab.</w:t>
      </w:r>
      <w:r>
        <w:rPr>
          <w:spacing w:val="-3"/>
        </w:rPr>
        <w:t> </w:t>
      </w:r>
      <w:r>
        <w:rPr/>
        <w:t>Our</w:t>
      </w:r>
      <w:r>
        <w:rPr>
          <w:spacing w:val="-3"/>
        </w:rPr>
        <w:t> </w:t>
      </w:r>
      <w:r>
        <w:rPr/>
        <w:t>interest</w:t>
      </w:r>
      <w:r>
        <w:rPr>
          <w:spacing w:val="-4"/>
        </w:rPr>
        <w:t> </w:t>
      </w:r>
      <w:r>
        <w:rPr/>
        <w:t>rate</w:t>
      </w:r>
      <w:r>
        <w:rPr>
          <w:spacing w:val="-4"/>
        </w:rPr>
        <w:t> </w:t>
      </w:r>
      <w:r>
        <w:rPr/>
        <w:t>swaps</w:t>
      </w:r>
      <w:r>
        <w:rPr>
          <w:spacing w:val="-4"/>
        </w:rPr>
        <w:t> </w:t>
      </w:r>
      <w:r>
        <w:rPr/>
        <w:t>are</w:t>
      </w:r>
      <w:r>
        <w:rPr>
          <w:spacing w:val="-4"/>
        </w:rPr>
        <w:t> </w:t>
      </w:r>
      <w:r>
        <w:rPr/>
        <w:t>subject</w:t>
      </w:r>
      <w:r>
        <w:rPr>
          <w:spacing w:val="-4"/>
        </w:rPr>
        <w:t> </w:t>
      </w:r>
      <w:r>
        <w:rPr/>
        <w:t>to</w:t>
      </w:r>
      <w:r>
        <w:rPr>
          <w:spacing w:val="-3"/>
        </w:rPr>
        <w:t> </w:t>
      </w:r>
      <w:r>
        <w:rPr/>
        <w:t>enforceable</w:t>
      </w:r>
      <w:r>
        <w:rPr>
          <w:spacing w:val="-4"/>
        </w:rPr>
        <w:t> </w:t>
      </w:r>
      <w:r>
        <w:rPr/>
        <w:t>master</w:t>
      </w:r>
      <w:r>
        <w:rPr>
          <w:spacing w:val="-3"/>
        </w:rPr>
        <w:t> </w:t>
      </w:r>
      <w:r>
        <w:rPr/>
        <w:t>netting</w:t>
      </w:r>
      <w:r>
        <w:rPr>
          <w:spacing w:val="-3"/>
        </w:rPr>
        <w:t> </w:t>
      </w:r>
      <w:r>
        <w:rPr/>
        <w:t>arrangements</w:t>
      </w:r>
      <w:r>
        <w:rPr>
          <w:spacing w:val="-4"/>
        </w:rPr>
        <w:t> </w:t>
      </w:r>
      <w:r>
        <w:rPr/>
        <w:t>allowing</w:t>
      </w:r>
      <w:r>
        <w:rPr>
          <w:spacing w:val="-3"/>
        </w:rPr>
        <w:t> </w:t>
      </w:r>
      <w:r>
        <w:rPr/>
        <w:t>a</w:t>
      </w:r>
      <w:r>
        <w:rPr>
          <w:spacing w:val="-4"/>
        </w:rPr>
        <w:t> </w:t>
      </w:r>
      <w:r>
        <w:rPr/>
        <w:t>right</w:t>
      </w:r>
      <w:r>
        <w:rPr>
          <w:spacing w:val="-4"/>
        </w:rPr>
        <w:t> </w:t>
      </w:r>
      <w:r>
        <w:rPr/>
        <w:t>of</w:t>
      </w:r>
      <w:r>
        <w:rPr>
          <w:spacing w:val="-3"/>
        </w:rPr>
        <w:t> </w:t>
      </w:r>
      <w:r>
        <w:rPr/>
        <w:t>setoff</w:t>
      </w:r>
      <w:r>
        <w:rPr>
          <w:spacing w:val="-3"/>
        </w:rPr>
        <w:t> </w:t>
      </w:r>
      <w:r>
        <w:rPr/>
        <w:t>within</w:t>
      </w:r>
      <w:r>
        <w:rPr>
          <w:spacing w:val="-3"/>
        </w:rPr>
        <w:t> </w:t>
      </w:r>
      <w:r>
        <w:rPr/>
        <w:t>each FCM-CCP relationship; however, we do not net these positions. Therefore, interest rate swaps are presented gross in the condensed consolidated balance sheets. See Note 11 for additional information on the Company’s interest rate swaps.</w:t>
      </w:r>
    </w:p>
    <w:p>
      <w:pPr>
        <w:pStyle w:val="BodyText"/>
        <w:spacing w:before="13"/>
      </w:pPr>
    </w:p>
    <w:p>
      <w:pPr>
        <w:pStyle w:val="BodyText"/>
        <w:spacing w:line="249" w:lineRule="auto" w:before="1"/>
        <w:ind w:left="470" w:right="500"/>
      </w:pPr>
      <w:r>
        <w:rPr>
          <w:i/>
        </w:rPr>
        <w:t>Resale agreements: </w:t>
      </w:r>
      <w:r>
        <w:rPr/>
        <w:t>Schwab enters into collateralized resale agreements principally with other broker-dealers, which could</w:t>
      </w:r>
      <w:r>
        <w:rPr/>
        <w:t> result in losses in the event the counterparty fails to purchase the securities held as collateral for the cash advanced and the fair value of the securities declines. To mitigate this risk, Schwab requires that the counterparty deliver securities to a custodian, to be held as collateral, with a fair value at or in excess of the resale price. Schwab also sets standards for the credit quality of the counterparty, monitors the fair value of the underlying securities as compared to the related receivable, including accrued interest, and requires additional collateral where deemed appropriate. The collateral provided under these resale agreements is utilized to meet obligations under broker-dealer client protection rules, which place limitations on our ability to access such segregated</w:t>
      </w:r>
      <w:r>
        <w:rPr>
          <w:spacing w:val="-3"/>
        </w:rPr>
        <w:t> </w:t>
      </w:r>
      <w:r>
        <w:rPr/>
        <w:t>securities.</w:t>
      </w:r>
      <w:r>
        <w:rPr>
          <w:spacing w:val="-3"/>
        </w:rPr>
        <w:t> </w:t>
      </w:r>
      <w:r>
        <w:rPr/>
        <w:t>For</w:t>
      </w:r>
      <w:r>
        <w:rPr>
          <w:spacing w:val="-3"/>
        </w:rPr>
        <w:t> </w:t>
      </w:r>
      <w:r>
        <w:rPr/>
        <w:t>Schwab</w:t>
      </w:r>
      <w:r>
        <w:rPr>
          <w:spacing w:val="-3"/>
        </w:rPr>
        <w:t> </w:t>
      </w:r>
      <w:r>
        <w:rPr/>
        <w:t>to</w:t>
      </w:r>
      <w:r>
        <w:rPr>
          <w:spacing w:val="-3"/>
        </w:rPr>
        <w:t> </w:t>
      </w:r>
      <w:r>
        <w:rPr/>
        <w:t>repledge</w:t>
      </w:r>
      <w:r>
        <w:rPr>
          <w:spacing w:val="-4"/>
        </w:rPr>
        <w:t> </w:t>
      </w:r>
      <w:r>
        <w:rPr/>
        <w:t>or</w:t>
      </w:r>
      <w:r>
        <w:rPr>
          <w:spacing w:val="-3"/>
        </w:rPr>
        <w:t> </w:t>
      </w:r>
      <w:r>
        <w:rPr/>
        <w:t>sell</w:t>
      </w:r>
      <w:r>
        <w:rPr>
          <w:spacing w:val="-4"/>
        </w:rPr>
        <w:t> </w:t>
      </w:r>
      <w:r>
        <w:rPr/>
        <w:t>this</w:t>
      </w:r>
      <w:r>
        <w:rPr>
          <w:spacing w:val="-4"/>
        </w:rPr>
        <w:t> </w:t>
      </w:r>
      <w:r>
        <w:rPr/>
        <w:t>collateral,</w:t>
      </w:r>
      <w:r>
        <w:rPr>
          <w:spacing w:val="-3"/>
        </w:rPr>
        <w:t> </w:t>
      </w:r>
      <w:r>
        <w:rPr/>
        <w:t>we</w:t>
      </w:r>
      <w:r>
        <w:rPr>
          <w:spacing w:val="-4"/>
        </w:rPr>
        <w:t> </w:t>
      </w:r>
      <w:r>
        <w:rPr/>
        <w:t>would</w:t>
      </w:r>
      <w:r>
        <w:rPr>
          <w:spacing w:val="-3"/>
        </w:rPr>
        <w:t> </w:t>
      </w:r>
      <w:r>
        <w:rPr/>
        <w:t>be</w:t>
      </w:r>
      <w:r>
        <w:rPr>
          <w:spacing w:val="-4"/>
        </w:rPr>
        <w:t> </w:t>
      </w:r>
      <w:r>
        <w:rPr/>
        <w:t>required</w:t>
      </w:r>
      <w:r>
        <w:rPr>
          <w:spacing w:val="-3"/>
        </w:rPr>
        <w:t> </w:t>
      </w:r>
      <w:r>
        <w:rPr/>
        <w:t>to</w:t>
      </w:r>
      <w:r>
        <w:rPr>
          <w:spacing w:val="-3"/>
        </w:rPr>
        <w:t> </w:t>
      </w:r>
      <w:r>
        <w:rPr/>
        <w:t>deposit</w:t>
      </w:r>
      <w:r>
        <w:rPr>
          <w:spacing w:val="-4"/>
        </w:rPr>
        <w:t> </w:t>
      </w:r>
      <w:r>
        <w:rPr/>
        <w:t>cash</w:t>
      </w:r>
      <w:r>
        <w:rPr>
          <w:spacing w:val="-3"/>
        </w:rPr>
        <w:t> </w:t>
      </w:r>
      <w:r>
        <w:rPr/>
        <w:t>and/or</w:t>
      </w:r>
      <w:r>
        <w:rPr>
          <w:spacing w:val="-3"/>
        </w:rPr>
        <w:t> </w:t>
      </w:r>
      <w:r>
        <w:rPr/>
        <w:t>securities</w:t>
      </w:r>
      <w:r>
        <w:rPr>
          <w:spacing w:val="-4"/>
        </w:rPr>
        <w:t> </w:t>
      </w:r>
      <w:r>
        <w:rPr/>
        <w:t>of</w:t>
      </w:r>
      <w:r>
        <w:rPr>
          <w:spacing w:val="-3"/>
        </w:rPr>
        <w:t> </w:t>
      </w:r>
      <w:r>
        <w:rPr/>
        <w:t>an equal amount into our segregated reserve bank accounts in order to meet our segregated cash and investments requirement.</w:t>
      </w:r>
    </w:p>
    <w:p>
      <w:pPr>
        <w:pStyle w:val="BodyText"/>
        <w:spacing w:before="7"/>
        <w:ind w:left="470"/>
      </w:pPr>
      <w:r>
        <w:rPr/>
        <w:t>Schwab’s</w:t>
      </w:r>
      <w:r>
        <w:rPr>
          <w:spacing w:val="-6"/>
        </w:rPr>
        <w:t> </w:t>
      </w:r>
      <w:r>
        <w:rPr/>
        <w:t>resale</w:t>
      </w:r>
      <w:r>
        <w:rPr>
          <w:spacing w:val="-3"/>
        </w:rPr>
        <w:t> </w:t>
      </w:r>
      <w:r>
        <w:rPr/>
        <w:t>agreements</w:t>
      </w:r>
      <w:r>
        <w:rPr>
          <w:spacing w:val="-4"/>
        </w:rPr>
        <w:t> </w:t>
      </w:r>
      <w:r>
        <w:rPr/>
        <w:t>as</w:t>
      </w:r>
      <w:r>
        <w:rPr>
          <w:spacing w:val="-3"/>
        </w:rPr>
        <w:t> </w:t>
      </w:r>
      <w:r>
        <w:rPr/>
        <w:t>of</w:t>
      </w:r>
      <w:r>
        <w:rPr>
          <w:spacing w:val="-3"/>
        </w:rPr>
        <w:t> </w:t>
      </w:r>
      <w:r>
        <w:rPr/>
        <w:t>September</w:t>
      </w:r>
      <w:r>
        <w:rPr>
          <w:spacing w:val="-2"/>
        </w:rPr>
        <w:t> </w:t>
      </w:r>
      <w:r>
        <w:rPr/>
        <w:t>30,</w:t>
      </w:r>
      <w:r>
        <w:rPr>
          <w:spacing w:val="-3"/>
        </w:rPr>
        <w:t> </w:t>
      </w:r>
      <w:r>
        <w:rPr/>
        <w:t>2023</w:t>
      </w:r>
      <w:r>
        <w:rPr>
          <w:spacing w:val="-2"/>
        </w:rPr>
        <w:t> </w:t>
      </w:r>
      <w:r>
        <w:rPr/>
        <w:t>and</w:t>
      </w:r>
      <w:r>
        <w:rPr>
          <w:spacing w:val="-2"/>
        </w:rPr>
        <w:t> </w:t>
      </w:r>
      <w:r>
        <w:rPr/>
        <w:t>December</w:t>
      </w:r>
      <w:r>
        <w:rPr>
          <w:spacing w:val="-3"/>
        </w:rPr>
        <w:t> </w:t>
      </w:r>
      <w:r>
        <w:rPr/>
        <w:t>31,</w:t>
      </w:r>
      <w:r>
        <w:rPr>
          <w:spacing w:val="-2"/>
        </w:rPr>
        <w:t> </w:t>
      </w:r>
      <w:r>
        <w:rPr/>
        <w:t>2022</w:t>
      </w:r>
      <w:r>
        <w:rPr>
          <w:spacing w:val="-3"/>
        </w:rPr>
        <w:t> </w:t>
      </w:r>
      <w:r>
        <w:rPr/>
        <w:t>were</w:t>
      </w:r>
      <w:r>
        <w:rPr>
          <w:spacing w:val="-3"/>
        </w:rPr>
        <w:t> </w:t>
      </w:r>
      <w:r>
        <w:rPr/>
        <w:t>not</w:t>
      </w:r>
      <w:r>
        <w:rPr>
          <w:spacing w:val="-4"/>
        </w:rPr>
        <w:t> </w:t>
      </w:r>
      <w:r>
        <w:rPr/>
        <w:t>subject</w:t>
      </w:r>
      <w:r>
        <w:rPr>
          <w:spacing w:val="-3"/>
        </w:rPr>
        <w:t> </w:t>
      </w:r>
      <w:r>
        <w:rPr/>
        <w:t>to</w:t>
      </w:r>
      <w:r>
        <w:rPr>
          <w:spacing w:val="-3"/>
        </w:rPr>
        <w:t> </w:t>
      </w:r>
      <w:r>
        <w:rPr/>
        <w:t>master</w:t>
      </w:r>
      <w:r>
        <w:rPr>
          <w:spacing w:val="-2"/>
        </w:rPr>
        <w:t> </w:t>
      </w:r>
      <w:r>
        <w:rPr/>
        <w:t>netting</w:t>
      </w:r>
      <w:r>
        <w:rPr>
          <w:spacing w:val="-2"/>
        </w:rPr>
        <w:t> arrangements.</w:t>
      </w:r>
    </w:p>
    <w:p>
      <w:pPr>
        <w:pStyle w:val="BodyText"/>
        <w:spacing w:before="20"/>
      </w:pPr>
    </w:p>
    <w:p>
      <w:pPr>
        <w:pStyle w:val="BodyText"/>
        <w:spacing w:line="249" w:lineRule="auto"/>
        <w:ind w:left="470" w:right="485"/>
      </w:pPr>
      <w:r>
        <w:rPr>
          <w:i/>
        </w:rPr>
        <w:t>Securities lending: </w:t>
      </w:r>
      <w:r>
        <w:rPr/>
        <w:t>Schwab loans brokerage client securities temporarily to other brokers and clearing houses in connection</w:t>
      </w:r>
      <w:r>
        <w:rPr>
          <w:spacing w:val="40"/>
        </w:rPr>
        <w:t> </w:t>
      </w:r>
      <w:r>
        <w:rPr/>
        <w:t>with its securities lending activities and receives cash as collateral for the securities loaned. Increases in security prices may cause the fair value of the securities loaned to exceed the amount of cash received as collateral. In the event the counterparty to these transactions does not return the loaned securities or provide additional cash collateral, we may be exposed to the risk of acquiring the securities at prevailing market prices in order to satisfy our client obligations. Schwab mitigates this risk by requiring credit approvals for counterparties, monitoring the fair value of securities loaned, and requiring additional cash as collateral when necessary. In addition, most of our securities lending transactions are through a program with a clearing organization,</w:t>
      </w:r>
      <w:r>
        <w:rPr>
          <w:spacing w:val="-2"/>
        </w:rPr>
        <w:t> </w:t>
      </w:r>
      <w:r>
        <w:rPr/>
        <w:t>which</w:t>
      </w:r>
      <w:r>
        <w:rPr>
          <w:spacing w:val="-2"/>
        </w:rPr>
        <w:t> </w:t>
      </w:r>
      <w:r>
        <w:rPr/>
        <w:t>guarantees</w:t>
      </w:r>
      <w:r>
        <w:rPr>
          <w:spacing w:val="-3"/>
        </w:rPr>
        <w:t> </w:t>
      </w:r>
      <w:r>
        <w:rPr/>
        <w:t>the</w:t>
      </w:r>
      <w:r>
        <w:rPr>
          <w:spacing w:val="-3"/>
        </w:rPr>
        <w:t> </w:t>
      </w:r>
      <w:r>
        <w:rPr/>
        <w:t>return</w:t>
      </w:r>
      <w:r>
        <w:rPr>
          <w:spacing w:val="-2"/>
        </w:rPr>
        <w:t> </w:t>
      </w:r>
      <w:r>
        <w:rPr/>
        <w:t>of</w:t>
      </w:r>
      <w:r>
        <w:rPr>
          <w:spacing w:val="-2"/>
        </w:rPr>
        <w:t> </w:t>
      </w:r>
      <w:r>
        <w:rPr/>
        <w:t>cash</w:t>
      </w:r>
      <w:r>
        <w:rPr>
          <w:spacing w:val="-2"/>
        </w:rPr>
        <w:t> </w:t>
      </w:r>
      <w:r>
        <w:rPr/>
        <w:t>to</w:t>
      </w:r>
      <w:r>
        <w:rPr>
          <w:spacing w:val="-2"/>
        </w:rPr>
        <w:t> </w:t>
      </w:r>
      <w:r>
        <w:rPr/>
        <w:t>us.</w:t>
      </w:r>
      <w:r>
        <w:rPr>
          <w:spacing w:val="-2"/>
        </w:rPr>
        <w:t> </w:t>
      </w:r>
      <w:r>
        <w:rPr/>
        <w:t>We</w:t>
      </w:r>
      <w:r>
        <w:rPr>
          <w:spacing w:val="-3"/>
        </w:rPr>
        <w:t> </w:t>
      </w:r>
      <w:r>
        <w:rPr/>
        <w:t>also</w:t>
      </w:r>
      <w:r>
        <w:rPr>
          <w:spacing w:val="-2"/>
        </w:rPr>
        <w:t> </w:t>
      </w:r>
      <w:r>
        <w:rPr/>
        <w:t>borrow</w:t>
      </w:r>
      <w:r>
        <w:rPr>
          <w:spacing w:val="-3"/>
        </w:rPr>
        <w:t> </w:t>
      </w:r>
      <w:r>
        <w:rPr/>
        <w:t>securities</w:t>
      </w:r>
      <w:r>
        <w:rPr>
          <w:spacing w:val="-3"/>
        </w:rPr>
        <w:t> </w:t>
      </w:r>
      <w:r>
        <w:rPr/>
        <w:t>from</w:t>
      </w:r>
      <w:r>
        <w:rPr>
          <w:spacing w:val="-3"/>
        </w:rPr>
        <w:t> </w:t>
      </w:r>
      <w:r>
        <w:rPr/>
        <w:t>other</w:t>
      </w:r>
      <w:r>
        <w:rPr>
          <w:spacing w:val="-2"/>
        </w:rPr>
        <w:t> </w:t>
      </w:r>
      <w:r>
        <w:rPr/>
        <w:t>broker-dealers</w:t>
      </w:r>
      <w:r>
        <w:rPr>
          <w:spacing w:val="-3"/>
        </w:rPr>
        <w:t> </w:t>
      </w:r>
      <w:r>
        <w:rPr/>
        <w:t>to</w:t>
      </w:r>
      <w:r>
        <w:rPr>
          <w:spacing w:val="-2"/>
        </w:rPr>
        <w:t> </w:t>
      </w:r>
      <w:r>
        <w:rPr/>
        <w:t>fulfill</w:t>
      </w:r>
      <w:r>
        <w:rPr>
          <w:spacing w:val="-3"/>
        </w:rPr>
        <w:t> </w:t>
      </w:r>
      <w:r>
        <w:rPr/>
        <w:t>short</w:t>
      </w:r>
      <w:r>
        <w:rPr>
          <w:spacing w:val="-3"/>
        </w:rPr>
        <w:t> </w:t>
      </w:r>
      <w:r>
        <w:rPr/>
        <w:t>sales by brokerage clients and deliver cash to the lender in exchange for the securities. The fair value of these borrowed securities was $853 million and $685 million at September 30, 2023 and December 31, 2022, respectively. Our securities lending transactions</w:t>
      </w:r>
      <w:r>
        <w:rPr>
          <w:spacing w:val="-2"/>
        </w:rPr>
        <w:t> </w:t>
      </w:r>
      <w:r>
        <w:rPr/>
        <w:t>are</w:t>
      </w:r>
      <w:r>
        <w:rPr>
          <w:spacing w:val="-2"/>
        </w:rPr>
        <w:t> </w:t>
      </w:r>
      <w:r>
        <w:rPr/>
        <w:t>subject</w:t>
      </w:r>
      <w:r>
        <w:rPr>
          <w:spacing w:val="-2"/>
        </w:rPr>
        <w:t> </w:t>
      </w:r>
      <w:r>
        <w:rPr/>
        <w:t>to</w:t>
      </w:r>
      <w:r>
        <w:rPr>
          <w:spacing w:val="-1"/>
        </w:rPr>
        <w:t> </w:t>
      </w:r>
      <w:r>
        <w:rPr/>
        <w:t>enforceable</w:t>
      </w:r>
      <w:r>
        <w:rPr>
          <w:spacing w:val="-2"/>
        </w:rPr>
        <w:t> </w:t>
      </w:r>
      <w:r>
        <w:rPr/>
        <w:t>master</w:t>
      </w:r>
      <w:r>
        <w:rPr>
          <w:spacing w:val="-1"/>
        </w:rPr>
        <w:t> </w:t>
      </w:r>
      <w:r>
        <w:rPr/>
        <w:t>netting</w:t>
      </w:r>
      <w:r>
        <w:rPr>
          <w:spacing w:val="-1"/>
        </w:rPr>
        <w:t> </w:t>
      </w:r>
      <w:r>
        <w:rPr/>
        <w:t>arrangements</w:t>
      </w:r>
      <w:r>
        <w:rPr>
          <w:spacing w:val="-2"/>
        </w:rPr>
        <w:t> </w:t>
      </w:r>
      <w:r>
        <w:rPr/>
        <w:t>with</w:t>
      </w:r>
      <w:r>
        <w:rPr>
          <w:spacing w:val="-1"/>
        </w:rPr>
        <w:t> </w:t>
      </w:r>
      <w:r>
        <w:rPr/>
        <w:t>other</w:t>
      </w:r>
      <w:r>
        <w:rPr>
          <w:spacing w:val="-1"/>
        </w:rPr>
        <w:t> </w:t>
      </w:r>
      <w:r>
        <w:rPr/>
        <w:t>broker-dealers;</w:t>
      </w:r>
      <w:r>
        <w:rPr>
          <w:spacing w:val="-2"/>
        </w:rPr>
        <w:t> </w:t>
      </w:r>
      <w:r>
        <w:rPr/>
        <w:t>however,</w:t>
      </w:r>
      <w:r>
        <w:rPr>
          <w:spacing w:val="-1"/>
        </w:rPr>
        <w:t> </w:t>
      </w:r>
      <w:r>
        <w:rPr/>
        <w:t>we</w:t>
      </w:r>
      <w:r>
        <w:rPr>
          <w:spacing w:val="-2"/>
        </w:rPr>
        <w:t> </w:t>
      </w:r>
      <w:r>
        <w:rPr/>
        <w:t>do</w:t>
      </w:r>
      <w:r>
        <w:rPr>
          <w:spacing w:val="-1"/>
        </w:rPr>
        <w:t> </w:t>
      </w:r>
      <w:r>
        <w:rPr/>
        <w:t>not</w:t>
      </w:r>
      <w:r>
        <w:rPr>
          <w:spacing w:val="-2"/>
        </w:rPr>
        <w:t> </w:t>
      </w:r>
      <w:r>
        <w:rPr/>
        <w:t>net</w:t>
      </w:r>
      <w:r>
        <w:rPr>
          <w:spacing w:val="-2"/>
        </w:rPr>
        <w:t> </w:t>
      </w:r>
      <w:r>
        <w:rPr/>
        <w:t>securities lending</w:t>
      </w:r>
      <w:r>
        <w:rPr>
          <w:spacing w:val="-1"/>
        </w:rPr>
        <w:t> </w:t>
      </w:r>
      <w:r>
        <w:rPr/>
        <w:t>transactions.</w:t>
      </w:r>
      <w:r>
        <w:rPr>
          <w:spacing w:val="-1"/>
        </w:rPr>
        <w:t> </w:t>
      </w:r>
      <w:r>
        <w:rPr/>
        <w:t>Therefore,</w:t>
      </w:r>
      <w:r>
        <w:rPr>
          <w:spacing w:val="-1"/>
        </w:rPr>
        <w:t> </w:t>
      </w:r>
      <w:r>
        <w:rPr/>
        <w:t>the</w:t>
      </w:r>
      <w:r>
        <w:rPr>
          <w:spacing w:val="-2"/>
        </w:rPr>
        <w:t> </w:t>
      </w:r>
      <w:r>
        <w:rPr/>
        <w:t>securities</w:t>
      </w:r>
      <w:r>
        <w:rPr>
          <w:spacing w:val="-2"/>
        </w:rPr>
        <w:t> </w:t>
      </w:r>
      <w:r>
        <w:rPr/>
        <w:t>loaned</w:t>
      </w:r>
      <w:r>
        <w:rPr>
          <w:spacing w:val="-1"/>
        </w:rPr>
        <w:t> </w:t>
      </w:r>
      <w:r>
        <w:rPr/>
        <w:t>and</w:t>
      </w:r>
      <w:r>
        <w:rPr>
          <w:spacing w:val="-1"/>
        </w:rPr>
        <w:t> </w:t>
      </w:r>
      <w:r>
        <w:rPr/>
        <w:t>securities</w:t>
      </w:r>
      <w:r>
        <w:rPr>
          <w:spacing w:val="-2"/>
        </w:rPr>
        <w:t> </w:t>
      </w:r>
      <w:r>
        <w:rPr/>
        <w:t>borrowed</w:t>
      </w:r>
      <w:r>
        <w:rPr>
          <w:spacing w:val="-1"/>
        </w:rPr>
        <w:t> </w:t>
      </w:r>
      <w:r>
        <w:rPr/>
        <w:t>are</w:t>
      </w:r>
      <w:r>
        <w:rPr>
          <w:spacing w:val="-2"/>
        </w:rPr>
        <w:t> </w:t>
      </w:r>
      <w:r>
        <w:rPr/>
        <w:t>presented</w:t>
      </w:r>
      <w:r>
        <w:rPr>
          <w:spacing w:val="-1"/>
        </w:rPr>
        <w:t> </w:t>
      </w:r>
      <w:r>
        <w:rPr/>
        <w:t>gross</w:t>
      </w:r>
      <w:r>
        <w:rPr>
          <w:spacing w:val="-2"/>
        </w:rPr>
        <w:t> </w:t>
      </w:r>
      <w:r>
        <w:rPr/>
        <w:t>in</w:t>
      </w:r>
      <w:r>
        <w:rPr>
          <w:spacing w:val="-1"/>
        </w:rPr>
        <w:t> </w:t>
      </w:r>
      <w:r>
        <w:rPr/>
        <w:t>the</w:t>
      </w:r>
      <w:r>
        <w:rPr>
          <w:spacing w:val="-2"/>
        </w:rPr>
        <w:t> </w:t>
      </w:r>
      <w:r>
        <w:rPr/>
        <w:t>condensed</w:t>
      </w:r>
      <w:r>
        <w:rPr>
          <w:spacing w:val="-1"/>
        </w:rPr>
        <w:t> </w:t>
      </w:r>
      <w:r>
        <w:rPr/>
        <w:t>consolidated balance sheets.</w:t>
      </w:r>
    </w:p>
    <w:p>
      <w:pPr>
        <w:pStyle w:val="BodyText"/>
        <w:spacing w:before="21"/>
      </w:pPr>
    </w:p>
    <w:p>
      <w:pPr>
        <w:pStyle w:val="BodyText"/>
        <w:spacing w:line="249" w:lineRule="auto"/>
        <w:ind w:left="470" w:right="500"/>
      </w:pPr>
      <w:r>
        <w:rPr>
          <w:i/>
        </w:rPr>
        <w:t>Repurchase agreements: </w:t>
      </w:r>
      <w:r>
        <w:rPr/>
        <w:t>Schwab enters into collateralized repurchase agreements with external financial institutions in which the Company sells securities and agrees to repurchase these securities on a specified future date at a stated repurchase price. These repurchase agreements are collateralized by investment securities with a fair value equal to or in excess of the secured borrowing liability. Decreases in security prices posted as collateral for repurchase agreements may require Schwab to transfer cash or additional securities deemed acceptable by the counterparty. To mitigate this risk, Schwab monitors the fair value of underlying</w:t>
      </w:r>
      <w:r>
        <w:rPr>
          <w:spacing w:val="-3"/>
        </w:rPr>
        <w:t> </w:t>
      </w:r>
      <w:r>
        <w:rPr/>
        <w:t>securities</w:t>
      </w:r>
      <w:r>
        <w:rPr>
          <w:spacing w:val="-4"/>
        </w:rPr>
        <w:t> </w:t>
      </w:r>
      <w:r>
        <w:rPr/>
        <w:t>pledged</w:t>
      </w:r>
      <w:r>
        <w:rPr>
          <w:spacing w:val="-3"/>
        </w:rPr>
        <w:t> </w:t>
      </w:r>
      <w:r>
        <w:rPr/>
        <w:t>as</w:t>
      </w:r>
      <w:r>
        <w:rPr>
          <w:spacing w:val="-4"/>
        </w:rPr>
        <w:t> </w:t>
      </w:r>
      <w:r>
        <w:rPr/>
        <w:t>collateral</w:t>
      </w:r>
      <w:r>
        <w:rPr>
          <w:spacing w:val="-4"/>
        </w:rPr>
        <w:t> </w:t>
      </w:r>
      <w:r>
        <w:rPr/>
        <w:t>compared</w:t>
      </w:r>
      <w:r>
        <w:rPr>
          <w:spacing w:val="-3"/>
        </w:rPr>
        <w:t> </w:t>
      </w:r>
      <w:r>
        <w:rPr/>
        <w:t>to</w:t>
      </w:r>
      <w:r>
        <w:rPr>
          <w:spacing w:val="-3"/>
        </w:rPr>
        <w:t> </w:t>
      </w:r>
      <w:r>
        <w:rPr/>
        <w:t>the</w:t>
      </w:r>
      <w:r>
        <w:rPr>
          <w:spacing w:val="-4"/>
        </w:rPr>
        <w:t> </w:t>
      </w:r>
      <w:r>
        <w:rPr/>
        <w:t>related</w:t>
      </w:r>
      <w:r>
        <w:rPr>
          <w:spacing w:val="-3"/>
        </w:rPr>
        <w:t> </w:t>
      </w:r>
      <w:r>
        <w:rPr/>
        <w:t>liability.</w:t>
      </w:r>
      <w:r>
        <w:rPr>
          <w:spacing w:val="-3"/>
        </w:rPr>
        <w:t> </w:t>
      </w:r>
      <w:r>
        <w:rPr/>
        <w:t>Our</w:t>
      </w:r>
      <w:r>
        <w:rPr>
          <w:spacing w:val="-3"/>
        </w:rPr>
        <w:t> </w:t>
      </w:r>
      <w:r>
        <w:rPr/>
        <w:t>collateralized</w:t>
      </w:r>
      <w:r>
        <w:rPr>
          <w:spacing w:val="-3"/>
        </w:rPr>
        <w:t> </w:t>
      </w:r>
      <w:r>
        <w:rPr/>
        <w:t>repurchase</w:t>
      </w:r>
      <w:r>
        <w:rPr>
          <w:spacing w:val="-4"/>
        </w:rPr>
        <w:t> </w:t>
      </w:r>
      <w:r>
        <w:rPr/>
        <w:t>agreements</w:t>
      </w:r>
      <w:r>
        <w:rPr>
          <w:spacing w:val="-4"/>
        </w:rPr>
        <w:t> </w:t>
      </w:r>
      <w:r>
        <w:rPr/>
        <w:t>with</w:t>
      </w:r>
      <w:r>
        <w:rPr>
          <w:spacing w:val="-3"/>
        </w:rPr>
        <w:t> </w:t>
      </w:r>
      <w:r>
        <w:rPr/>
        <w:t>each external financial institution are considered to be enforceable master netting arrangements. However, we do not net these arrangements. As such, the secured short-term borrowings associated with these collateralized repurchase agreements are presented gross in the condensed consolidated balance sheets.</w:t>
      </w:r>
    </w:p>
    <w:p>
      <w:pPr>
        <w:spacing w:after="0" w:line="249" w:lineRule="auto"/>
        <w:sectPr>
          <w:type w:val="continuous"/>
          <w:pgSz w:w="12240" w:h="15840"/>
          <w:pgMar w:header="227" w:footer="201" w:top="320" w:bottom="280" w:left="520" w:right="520"/>
        </w:sectPr>
      </w:pPr>
    </w:p>
    <w:p>
      <w:pPr>
        <w:pStyle w:val="BodyText"/>
        <w:spacing w:line="249" w:lineRule="auto" w:before="214"/>
        <w:ind w:left="470"/>
      </w:pPr>
      <w:r>
        <w:rPr/>
        <mc:AlternateContent>
          <mc:Choice Requires="wps">
            <w:drawing>
              <wp:anchor distT="0" distB="0" distL="0" distR="0" allowOverlap="1" layoutInCell="1" locked="0" behindDoc="0" simplePos="0" relativeHeight="15766528">
                <wp:simplePos x="0" y="0"/>
                <wp:positionH relativeFrom="page">
                  <wp:posOffset>628650</wp:posOffset>
                </wp:positionH>
                <wp:positionV relativeFrom="paragraph">
                  <wp:posOffset>531870</wp:posOffset>
                </wp:positionV>
                <wp:extent cx="6515100" cy="6350"/>
                <wp:effectExtent l="0" t="0" r="0" b="0"/>
                <wp:wrapNone/>
                <wp:docPr id="598" name="Group 598"/>
                <wp:cNvGraphicFramePr>
                  <a:graphicFrameLocks/>
                </wp:cNvGraphicFramePr>
                <a:graphic>
                  <a:graphicData uri="http://schemas.microsoft.com/office/word/2010/wordprocessingGroup">
                    <wpg:wgp>
                      <wpg:cNvPr id="598" name="Group 598"/>
                      <wpg:cNvGrpSpPr/>
                      <wpg:grpSpPr>
                        <a:xfrm>
                          <a:off x="0" y="0"/>
                          <a:ext cx="6515100" cy="6350"/>
                          <a:chExt cx="6515100" cy="6350"/>
                        </a:xfrm>
                      </wpg:grpSpPr>
                      <wps:wsp>
                        <wps:cNvPr id="599" name="Graphic 599"/>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600" name="Graphic 600"/>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41.879532pt;width:513pt;height:.5pt;mso-position-horizontal-relative:page;mso-position-vertical-relative:paragraph;z-index:15766528" id="docshapegroup430" coordorigin="990,838" coordsize="10260,10">
                <v:shape style="position:absolute;left:990;top:842;width:10260;height:2" id="docshape431" coordorigin="990,843" coordsize="10260,0" path="m11250,843l990,843e" filled="true" fillcolor="#000000" stroked="false">
                  <v:path arrowok="t"/>
                  <v:fill opacity="0f" type="solid"/>
                </v:shape>
                <v:line style="position:absolute" from="990,843" to="11250,843" stroked="true" strokeweight=".5pt" strokecolor="#000000">
                  <v:stroke dashstyle="solid"/>
                </v:line>
                <w10:wrap type="none"/>
              </v:group>
            </w:pict>
          </mc:Fallback>
        </mc:AlternateContent>
      </w:r>
      <w:r>
        <w:rPr/>
        <w:t>The</w:t>
      </w:r>
      <w:r>
        <w:rPr>
          <w:spacing w:val="-4"/>
        </w:rPr>
        <w:t> </w:t>
      </w:r>
      <w:r>
        <w:rPr/>
        <w:t>following</w:t>
      </w:r>
      <w:r>
        <w:rPr>
          <w:spacing w:val="-3"/>
        </w:rPr>
        <w:t> </w:t>
      </w:r>
      <w:r>
        <w:rPr/>
        <w:t>table</w:t>
      </w:r>
      <w:r>
        <w:rPr>
          <w:spacing w:val="-4"/>
        </w:rPr>
        <w:t> </w:t>
      </w:r>
      <w:r>
        <w:rPr/>
        <w:t>presents</w:t>
      </w:r>
      <w:r>
        <w:rPr>
          <w:spacing w:val="-4"/>
        </w:rPr>
        <w:t> </w:t>
      </w:r>
      <w:r>
        <w:rPr/>
        <w:t>information</w:t>
      </w:r>
      <w:r>
        <w:rPr>
          <w:spacing w:val="-3"/>
        </w:rPr>
        <w:t> </w:t>
      </w:r>
      <w:r>
        <w:rPr/>
        <w:t>about</w:t>
      </w:r>
      <w:r>
        <w:rPr>
          <w:spacing w:val="-4"/>
        </w:rPr>
        <w:t> </w:t>
      </w:r>
      <w:r>
        <w:rPr/>
        <w:t>our</w:t>
      </w:r>
      <w:r>
        <w:rPr>
          <w:spacing w:val="-3"/>
        </w:rPr>
        <w:t> </w:t>
      </w:r>
      <w:r>
        <w:rPr/>
        <w:t>interest</w:t>
      </w:r>
      <w:r>
        <w:rPr>
          <w:spacing w:val="-4"/>
        </w:rPr>
        <w:t> </w:t>
      </w:r>
      <w:r>
        <w:rPr/>
        <w:t>rate</w:t>
      </w:r>
      <w:r>
        <w:rPr>
          <w:spacing w:val="-4"/>
        </w:rPr>
        <w:t> </w:t>
      </w:r>
      <w:r>
        <w:rPr/>
        <w:t>swaps,</w:t>
      </w:r>
      <w:r>
        <w:rPr>
          <w:spacing w:val="-3"/>
        </w:rPr>
        <w:t> </w:t>
      </w:r>
      <w:r>
        <w:rPr/>
        <w:t>resale</w:t>
      </w:r>
      <w:r>
        <w:rPr>
          <w:spacing w:val="-4"/>
        </w:rPr>
        <w:t> </w:t>
      </w:r>
      <w:r>
        <w:rPr/>
        <w:t>agreements,</w:t>
      </w:r>
      <w:r>
        <w:rPr>
          <w:spacing w:val="-3"/>
        </w:rPr>
        <w:t> </w:t>
      </w:r>
      <w:r>
        <w:rPr/>
        <w:t>securities</w:t>
      </w:r>
      <w:r>
        <w:rPr>
          <w:spacing w:val="-4"/>
        </w:rPr>
        <w:t> </w:t>
      </w:r>
      <w:r>
        <w:rPr/>
        <w:t>lending,</w:t>
      </w:r>
      <w:r>
        <w:rPr>
          <w:spacing w:val="-3"/>
        </w:rPr>
        <w:t> </w:t>
      </w:r>
      <w:r>
        <w:rPr/>
        <w:t>and</w:t>
      </w:r>
      <w:r>
        <w:rPr>
          <w:spacing w:val="-3"/>
        </w:rPr>
        <w:t> </w:t>
      </w:r>
      <w:r>
        <w:rPr/>
        <w:t>other</w:t>
      </w:r>
      <w:r>
        <w:rPr>
          <w:spacing w:val="-3"/>
        </w:rPr>
        <w:t> </w:t>
      </w:r>
      <w:r>
        <w:rPr/>
        <w:t>activity depicting the potential effect of rights of setoff between these recognized assets and recognized liabilities.</w:t>
      </w:r>
    </w:p>
    <w:p>
      <w:pPr>
        <w:spacing w:after="0" w:line="249" w:lineRule="auto"/>
        <w:sectPr>
          <w:pgSz w:w="12240" w:h="15840"/>
          <w:pgMar w:header="227" w:footer="201" w:top="1080" w:bottom="400" w:left="520" w:right="520"/>
        </w:sectPr>
      </w:pPr>
    </w:p>
    <w:p>
      <w:pPr>
        <w:pStyle w:val="BodyText"/>
        <w:rPr>
          <w:sz w:val="18"/>
        </w:rPr>
      </w:pPr>
    </w:p>
    <w:p>
      <w:pPr>
        <w:pStyle w:val="BodyText"/>
        <w:spacing w:before="189"/>
        <w:rPr>
          <w:sz w:val="18"/>
        </w:rPr>
      </w:pPr>
    </w:p>
    <w:p>
      <w:pPr>
        <w:spacing w:before="0"/>
        <w:ind w:left="0" w:right="0" w:firstLine="0"/>
        <w:jc w:val="right"/>
        <w:rPr>
          <w:sz w:val="18"/>
        </w:rPr>
      </w:pPr>
      <w:r>
        <w:rPr>
          <w:spacing w:val="-2"/>
          <w:sz w:val="18"/>
        </w:rPr>
        <w:t>Gross</w:t>
      </w:r>
    </w:p>
    <w:p>
      <w:pPr>
        <w:spacing w:line="240" w:lineRule="auto" w:before="58"/>
        <w:rPr>
          <w:sz w:val="18"/>
        </w:rPr>
      </w:pPr>
      <w:r>
        <w:rPr/>
        <w:br w:type="column"/>
      </w:r>
      <w:r>
        <w:rPr>
          <w:sz w:val="18"/>
        </w:rPr>
      </w:r>
    </w:p>
    <w:p>
      <w:pPr>
        <w:spacing w:line="208" w:lineRule="auto" w:before="0"/>
        <w:ind w:left="492" w:right="0" w:firstLine="0"/>
        <w:jc w:val="center"/>
        <w:rPr>
          <w:sz w:val="18"/>
        </w:rPr>
      </w:pPr>
      <w:r>
        <w:rPr>
          <w:sz w:val="18"/>
        </w:rPr>
        <w:t>Gross</w:t>
      </w:r>
      <w:r>
        <w:rPr>
          <w:spacing w:val="-12"/>
          <w:sz w:val="18"/>
        </w:rPr>
        <w:t> </w:t>
      </w:r>
      <w:r>
        <w:rPr>
          <w:sz w:val="18"/>
        </w:rPr>
        <w:t>Amounts Offset in the </w:t>
      </w:r>
      <w:r>
        <w:rPr>
          <w:spacing w:val="-2"/>
          <w:sz w:val="18"/>
        </w:rPr>
        <w:t>Condensed</w:t>
      </w:r>
    </w:p>
    <w:p>
      <w:pPr>
        <w:spacing w:line="240" w:lineRule="auto" w:before="58"/>
        <w:rPr>
          <w:sz w:val="18"/>
        </w:rPr>
      </w:pPr>
      <w:r>
        <w:rPr/>
        <w:br w:type="column"/>
      </w:r>
      <w:r>
        <w:rPr>
          <w:sz w:val="18"/>
        </w:rPr>
      </w:r>
    </w:p>
    <w:p>
      <w:pPr>
        <w:spacing w:line="208" w:lineRule="auto" w:before="0"/>
        <w:ind w:left="285" w:right="0" w:hanging="1"/>
        <w:jc w:val="center"/>
        <w:rPr>
          <w:sz w:val="18"/>
        </w:rPr>
      </w:pPr>
      <w:r>
        <w:rPr>
          <w:sz w:val="18"/>
        </w:rPr>
        <w:t>Net Amounts Presented</w:t>
      </w:r>
      <w:r>
        <w:rPr>
          <w:spacing w:val="-12"/>
          <w:sz w:val="18"/>
        </w:rPr>
        <w:t> </w:t>
      </w:r>
      <w:r>
        <w:rPr>
          <w:sz w:val="18"/>
        </w:rPr>
        <w:t>in</w:t>
      </w:r>
      <w:r>
        <w:rPr>
          <w:spacing w:val="-11"/>
          <w:sz w:val="18"/>
        </w:rPr>
        <w:t> </w:t>
      </w:r>
      <w:r>
        <w:rPr>
          <w:sz w:val="18"/>
        </w:rPr>
        <w:t>the </w:t>
      </w:r>
      <w:r>
        <w:rPr>
          <w:spacing w:val="-2"/>
          <w:sz w:val="18"/>
        </w:rPr>
        <w:t>Condensed</w:t>
      </w:r>
    </w:p>
    <w:p>
      <w:pPr>
        <w:spacing w:line="208" w:lineRule="auto" w:before="190"/>
        <w:ind w:left="225" w:right="1479" w:firstLine="0"/>
        <w:jc w:val="center"/>
        <w:rPr>
          <w:sz w:val="18"/>
        </w:rPr>
      </w:pPr>
      <w:r>
        <w:rPr/>
        <w:br w:type="column"/>
      </w:r>
      <w:r>
        <w:rPr>
          <w:sz w:val="18"/>
        </w:rPr>
        <w:t>Gross</w:t>
      </w:r>
      <w:r>
        <w:rPr>
          <w:spacing w:val="-8"/>
          <w:sz w:val="18"/>
        </w:rPr>
        <w:t> </w:t>
      </w:r>
      <w:r>
        <w:rPr>
          <w:sz w:val="18"/>
        </w:rPr>
        <w:t>Amounts</w:t>
      </w:r>
      <w:r>
        <w:rPr>
          <w:spacing w:val="-8"/>
          <w:sz w:val="18"/>
        </w:rPr>
        <w:t> </w:t>
      </w:r>
      <w:r>
        <w:rPr>
          <w:sz w:val="18"/>
        </w:rPr>
        <w:t>Not</w:t>
      </w:r>
      <w:r>
        <w:rPr>
          <w:spacing w:val="-7"/>
          <w:sz w:val="18"/>
        </w:rPr>
        <w:t> </w:t>
      </w:r>
      <w:r>
        <w:rPr>
          <w:sz w:val="18"/>
        </w:rPr>
        <w:t>Offset</w:t>
      </w:r>
      <w:r>
        <w:rPr>
          <w:spacing w:val="-7"/>
          <w:sz w:val="18"/>
        </w:rPr>
        <w:t> </w:t>
      </w:r>
      <w:r>
        <w:rPr>
          <w:sz w:val="18"/>
        </w:rPr>
        <w:t>in</w:t>
      </w:r>
      <w:r>
        <w:rPr>
          <w:spacing w:val="-7"/>
          <w:sz w:val="18"/>
        </w:rPr>
        <w:t> </w:t>
      </w:r>
      <w:r>
        <w:rPr>
          <w:sz w:val="18"/>
        </w:rPr>
        <w:t>the Condensed Consolidated</w:t>
      </w:r>
      <w:r>
        <w:rPr>
          <w:spacing w:val="40"/>
          <w:sz w:val="18"/>
        </w:rPr>
        <w:t> </w:t>
      </w:r>
      <w:r>
        <w:rPr>
          <w:sz w:val="18"/>
        </w:rPr>
        <w:t>Balance Sheets</w:t>
      </w:r>
    </w:p>
    <w:p>
      <w:pPr>
        <w:spacing w:after="0" w:line="208" w:lineRule="auto"/>
        <w:jc w:val="center"/>
        <w:rPr>
          <w:sz w:val="18"/>
        </w:rPr>
        <w:sectPr>
          <w:type w:val="continuous"/>
          <w:pgSz w:w="12240" w:h="15840"/>
          <w:pgMar w:header="227" w:footer="201" w:top="320" w:bottom="280" w:left="520" w:right="520"/>
          <w:cols w:num="4" w:equalWidth="0">
            <w:col w:w="3936" w:space="40"/>
            <w:col w:w="1618" w:space="39"/>
            <w:col w:w="1435" w:space="39"/>
            <w:col w:w="4093"/>
          </w:cols>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18"/>
        </w:rPr>
      </w:pPr>
    </w:p>
    <w:p>
      <w:pPr>
        <w:spacing w:before="0"/>
        <w:ind w:left="522" w:right="0" w:firstLine="0"/>
        <w:jc w:val="left"/>
        <w:rPr>
          <w:sz w:val="18"/>
        </w:rPr>
      </w:pPr>
      <w:r>
        <w:rPr/>
        <mc:AlternateContent>
          <mc:Choice Requires="wps">
            <w:drawing>
              <wp:anchor distT="0" distB="0" distL="0" distR="0" allowOverlap="1" layoutInCell="1" locked="0" behindDoc="1" simplePos="0" relativeHeight="487625216">
                <wp:simplePos x="0" y="0"/>
                <wp:positionH relativeFrom="page">
                  <wp:posOffset>628650</wp:posOffset>
                </wp:positionH>
                <wp:positionV relativeFrom="paragraph">
                  <wp:posOffset>147690</wp:posOffset>
                </wp:positionV>
                <wp:extent cx="6515100" cy="6350"/>
                <wp:effectExtent l="0" t="0" r="0" b="0"/>
                <wp:wrapTopAndBottom/>
                <wp:docPr id="601" name="Group 601"/>
                <wp:cNvGraphicFramePr>
                  <a:graphicFrameLocks/>
                </wp:cNvGraphicFramePr>
                <a:graphic>
                  <a:graphicData uri="http://schemas.microsoft.com/office/word/2010/wordprocessingGroup">
                    <wpg:wgp>
                      <wpg:cNvPr id="601" name="Group 601"/>
                      <wpg:cNvGrpSpPr/>
                      <wpg:grpSpPr>
                        <a:xfrm>
                          <a:off x="0" y="0"/>
                          <a:ext cx="6515100" cy="6350"/>
                          <a:chExt cx="6515100" cy="6350"/>
                        </a:xfrm>
                      </wpg:grpSpPr>
                      <wps:wsp>
                        <wps:cNvPr id="602" name="Graphic 602"/>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603" name="Graphic 603"/>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11.629141pt;width:513pt;height:.5pt;mso-position-horizontal-relative:page;mso-position-vertical-relative:paragraph;z-index:-15691264;mso-wrap-distance-left:0;mso-wrap-distance-right:0" id="docshapegroup432" coordorigin="990,233" coordsize="10260,10">
                <v:shape style="position:absolute;left:990;top:237;width:10260;height:2" id="docshape433" coordorigin="990,238" coordsize="10260,0" path="m11250,238l990,238e" filled="true" fillcolor="#000000" stroked="false">
                  <v:path arrowok="t"/>
                  <v:fill opacity="0f" type="solid"/>
                </v:shape>
                <v:line style="position:absolute" from="990,238" to="11250,238" stroked="true" strokeweight=".5pt" strokecolor="#000000">
                  <v:stroke dashstyle="solid"/>
                </v:line>
                <w10:wrap type="topAndBottom"/>
              </v:group>
            </w:pict>
          </mc:Fallback>
        </mc:AlternateContent>
      </w:r>
      <w:r>
        <w:rPr/>
        <mc:AlternateContent>
          <mc:Choice Requires="wps">
            <w:drawing>
              <wp:anchor distT="0" distB="0" distL="0" distR="0" allowOverlap="1" layoutInCell="1" locked="0" behindDoc="0" simplePos="0" relativeHeight="15767040">
                <wp:simplePos x="0" y="0"/>
                <wp:positionH relativeFrom="page">
                  <wp:posOffset>590550</wp:posOffset>
                </wp:positionH>
                <wp:positionV relativeFrom="paragraph">
                  <wp:posOffset>-2268484</wp:posOffset>
                </wp:positionV>
                <wp:extent cx="6591300" cy="2078989"/>
                <wp:effectExtent l="0" t="0" r="0" b="0"/>
                <wp:wrapNone/>
                <wp:docPr id="604" name="Textbox 604"/>
                <wp:cNvGraphicFramePr>
                  <a:graphicFrameLocks/>
                </wp:cNvGraphicFramePr>
                <a:graphic>
                  <a:graphicData uri="http://schemas.microsoft.com/office/word/2010/wordprocessingShape">
                    <wps:wsp>
                      <wps:cNvPr id="604" name="Textbox 604"/>
                      <wps:cNvSpPr txBox="1"/>
                      <wps:spPr>
                        <a:xfrm>
                          <a:off x="0" y="0"/>
                          <a:ext cx="6591300" cy="207898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5"/>
                              <w:gridCol w:w="1097"/>
                              <w:gridCol w:w="713"/>
                              <w:gridCol w:w="803"/>
                              <w:gridCol w:w="1459"/>
                              <w:gridCol w:w="1182"/>
                              <w:gridCol w:w="1103"/>
                              <w:gridCol w:w="297"/>
                              <w:gridCol w:w="916"/>
                            </w:tblGrid>
                            <w:tr>
                              <w:trPr>
                                <w:trHeight w:val="425" w:hRule="atLeast"/>
                              </w:trPr>
                              <w:tc>
                                <w:tcPr>
                                  <w:tcW w:w="2695" w:type="dxa"/>
                                  <w:tcBorders>
                                    <w:bottom w:val="single" w:sz="4" w:space="0" w:color="000000"/>
                                  </w:tcBorders>
                                </w:tcPr>
                                <w:p>
                                  <w:pPr>
                                    <w:pStyle w:val="TableParagraph"/>
                                    <w:rPr>
                                      <w:sz w:val="16"/>
                                    </w:rPr>
                                  </w:pPr>
                                </w:p>
                              </w:tc>
                              <w:tc>
                                <w:tcPr>
                                  <w:tcW w:w="1097" w:type="dxa"/>
                                  <w:tcBorders>
                                    <w:bottom w:val="single" w:sz="4" w:space="0" w:color="000000"/>
                                  </w:tcBorders>
                                </w:tcPr>
                                <w:p>
                                  <w:pPr>
                                    <w:pStyle w:val="TableParagraph"/>
                                    <w:spacing w:line="208" w:lineRule="auto" w:before="35"/>
                                    <w:ind w:left="195" w:firstLine="105"/>
                                    <w:rPr>
                                      <w:sz w:val="18"/>
                                    </w:rPr>
                                  </w:pPr>
                                  <w:r>
                                    <w:rPr>
                                      <w:spacing w:val="-2"/>
                                      <w:sz w:val="18"/>
                                    </w:rPr>
                                    <w:t>Assets/ Liabilities</w:t>
                                  </w:r>
                                </w:p>
                              </w:tc>
                              <w:tc>
                                <w:tcPr>
                                  <w:tcW w:w="1516" w:type="dxa"/>
                                  <w:gridSpan w:val="2"/>
                                  <w:tcBorders>
                                    <w:bottom w:val="single" w:sz="4" w:space="0" w:color="000000"/>
                                  </w:tcBorders>
                                </w:tcPr>
                                <w:p>
                                  <w:pPr>
                                    <w:pStyle w:val="TableParagraph"/>
                                    <w:spacing w:line="208" w:lineRule="auto" w:before="35"/>
                                    <w:ind w:left="221" w:right="192" w:firstLine="72"/>
                                    <w:rPr>
                                      <w:sz w:val="18"/>
                                    </w:rPr>
                                  </w:pPr>
                                  <w:r>
                                    <w:rPr>
                                      <w:spacing w:val="-2"/>
                                      <w:sz w:val="18"/>
                                    </w:rPr>
                                    <w:t>Consolidated </w:t>
                                  </w:r>
                                  <w:r>
                                    <w:rPr>
                                      <w:sz w:val="18"/>
                                    </w:rPr>
                                    <w:t>Balance </w:t>
                                  </w:r>
                                  <w:r>
                                    <w:rPr>
                                      <w:spacing w:val="-2"/>
                                      <w:sz w:val="18"/>
                                    </w:rPr>
                                    <w:t>Sheets</w:t>
                                  </w:r>
                                </w:p>
                              </w:tc>
                              <w:tc>
                                <w:tcPr>
                                  <w:tcW w:w="1459" w:type="dxa"/>
                                  <w:tcBorders>
                                    <w:bottom w:val="single" w:sz="4" w:space="0" w:color="000000"/>
                                  </w:tcBorders>
                                </w:tcPr>
                                <w:p>
                                  <w:pPr>
                                    <w:pStyle w:val="TableParagraph"/>
                                    <w:spacing w:line="208" w:lineRule="auto" w:before="35"/>
                                    <w:ind w:left="167" w:right="189" w:firstLine="72"/>
                                    <w:rPr>
                                      <w:sz w:val="18"/>
                                    </w:rPr>
                                  </w:pPr>
                                  <w:r>
                                    <w:rPr>
                                      <w:spacing w:val="-2"/>
                                      <w:sz w:val="18"/>
                                    </w:rPr>
                                    <w:t>Consolidated </w:t>
                                  </w:r>
                                  <w:r>
                                    <w:rPr>
                                      <w:sz w:val="18"/>
                                    </w:rPr>
                                    <w:t>Balance </w:t>
                                  </w:r>
                                  <w:r>
                                    <w:rPr>
                                      <w:spacing w:val="-2"/>
                                      <w:sz w:val="18"/>
                                    </w:rPr>
                                    <w:t>Sheets</w:t>
                                  </w:r>
                                </w:p>
                              </w:tc>
                              <w:tc>
                                <w:tcPr>
                                  <w:tcW w:w="1182" w:type="dxa"/>
                                  <w:tcBorders>
                                    <w:top w:val="single" w:sz="4" w:space="0" w:color="000000"/>
                                    <w:bottom w:val="single" w:sz="4" w:space="0" w:color="000000"/>
                                  </w:tcBorders>
                                </w:tcPr>
                                <w:p>
                                  <w:pPr>
                                    <w:pStyle w:val="TableParagraph"/>
                                    <w:spacing w:line="208" w:lineRule="auto" w:before="35"/>
                                    <w:ind w:left="195" w:right="144" w:hanging="110"/>
                                    <w:rPr>
                                      <w:sz w:val="18"/>
                                    </w:rPr>
                                  </w:pPr>
                                  <w:r>
                                    <w:rPr>
                                      <w:spacing w:val="-2"/>
                                      <w:sz w:val="18"/>
                                    </w:rPr>
                                    <w:t>Counterparty Offsetting</w:t>
                                  </w:r>
                                </w:p>
                              </w:tc>
                              <w:tc>
                                <w:tcPr>
                                  <w:tcW w:w="1400" w:type="dxa"/>
                                  <w:gridSpan w:val="2"/>
                                  <w:tcBorders>
                                    <w:top w:val="single" w:sz="4" w:space="0" w:color="000000"/>
                                    <w:bottom w:val="single" w:sz="4" w:space="0" w:color="000000"/>
                                  </w:tcBorders>
                                </w:tcPr>
                                <w:p>
                                  <w:pPr>
                                    <w:pStyle w:val="TableParagraph"/>
                                    <w:spacing w:before="193"/>
                                    <w:ind w:left="351"/>
                                    <w:rPr>
                                      <w:sz w:val="18"/>
                                    </w:rPr>
                                  </w:pPr>
                                  <w:r>
                                    <w:rPr>
                                      <w:spacing w:val="-2"/>
                                      <w:sz w:val="18"/>
                                    </w:rPr>
                                    <w:t>Collateral</w:t>
                                  </w:r>
                                </w:p>
                              </w:tc>
                              <w:tc>
                                <w:tcPr>
                                  <w:tcW w:w="916" w:type="dxa"/>
                                  <w:tcBorders>
                                    <w:bottom w:val="single" w:sz="4" w:space="0" w:color="000000"/>
                                  </w:tcBorders>
                                </w:tcPr>
                                <w:p>
                                  <w:pPr>
                                    <w:pStyle w:val="TableParagraph"/>
                                    <w:spacing w:line="208" w:lineRule="auto" w:before="35"/>
                                    <w:ind w:left="196" w:right="122" w:firstLine="165"/>
                                    <w:rPr>
                                      <w:sz w:val="18"/>
                                    </w:rPr>
                                  </w:pPr>
                                  <w:r>
                                    <w:rPr>
                                      <w:spacing w:val="-4"/>
                                      <w:sz w:val="18"/>
                                    </w:rPr>
                                    <w:t>Net </w:t>
                                  </w:r>
                                  <w:r>
                                    <w:rPr>
                                      <w:spacing w:val="-2"/>
                                      <w:sz w:val="18"/>
                                    </w:rPr>
                                    <w:t>Amount</w:t>
                                  </w:r>
                                </w:p>
                              </w:tc>
                            </w:tr>
                            <w:tr>
                              <w:trPr>
                                <w:trHeight w:val="245" w:hRule="atLeast"/>
                              </w:trPr>
                              <w:tc>
                                <w:tcPr>
                                  <w:tcW w:w="2695" w:type="dxa"/>
                                  <w:tcBorders>
                                    <w:top w:val="single" w:sz="4" w:space="0" w:color="000000"/>
                                    <w:bottom w:val="single" w:sz="4" w:space="0" w:color="000000"/>
                                  </w:tcBorders>
                                </w:tcPr>
                                <w:p>
                                  <w:pPr>
                                    <w:pStyle w:val="TableParagraph"/>
                                    <w:spacing w:before="13"/>
                                    <w:ind w:left="52"/>
                                    <w:rPr>
                                      <w:sz w:val="18"/>
                                    </w:rPr>
                                  </w:pPr>
                                  <w:r>
                                    <w:rPr>
                                      <w:sz w:val="18"/>
                                    </w:rPr>
                                    <w:t>September</w:t>
                                  </w:r>
                                  <w:r>
                                    <w:rPr>
                                      <w:spacing w:val="-1"/>
                                      <w:sz w:val="18"/>
                                    </w:rPr>
                                    <w:t> </w:t>
                                  </w:r>
                                  <w:r>
                                    <w:rPr>
                                      <w:sz w:val="18"/>
                                    </w:rPr>
                                    <w:t>30, </w:t>
                                  </w:r>
                                  <w:r>
                                    <w:rPr>
                                      <w:spacing w:val="-4"/>
                                      <w:sz w:val="18"/>
                                    </w:rPr>
                                    <w:t>2023</w:t>
                                  </w:r>
                                </w:p>
                              </w:tc>
                              <w:tc>
                                <w:tcPr>
                                  <w:tcW w:w="1097" w:type="dxa"/>
                                  <w:tcBorders>
                                    <w:top w:val="single" w:sz="4" w:space="0" w:color="000000"/>
                                    <w:bottom w:val="single" w:sz="4" w:space="0" w:color="000000"/>
                                  </w:tcBorders>
                                </w:tcPr>
                                <w:p>
                                  <w:pPr>
                                    <w:pStyle w:val="TableParagraph"/>
                                    <w:rPr>
                                      <w:sz w:val="16"/>
                                    </w:rPr>
                                  </w:pPr>
                                </w:p>
                              </w:tc>
                              <w:tc>
                                <w:tcPr>
                                  <w:tcW w:w="1516" w:type="dxa"/>
                                  <w:gridSpan w:val="2"/>
                                  <w:tcBorders>
                                    <w:top w:val="single" w:sz="4" w:space="0" w:color="000000"/>
                                    <w:bottom w:val="single" w:sz="4" w:space="0" w:color="000000"/>
                                  </w:tcBorders>
                                </w:tcPr>
                                <w:p>
                                  <w:pPr>
                                    <w:pStyle w:val="TableParagraph"/>
                                    <w:rPr>
                                      <w:sz w:val="16"/>
                                    </w:rPr>
                                  </w:pPr>
                                </w:p>
                              </w:tc>
                              <w:tc>
                                <w:tcPr>
                                  <w:tcW w:w="1459" w:type="dxa"/>
                                  <w:tcBorders>
                                    <w:top w:val="single" w:sz="4" w:space="0" w:color="000000"/>
                                    <w:bottom w:val="single" w:sz="4" w:space="0" w:color="000000"/>
                                  </w:tcBorders>
                                </w:tcPr>
                                <w:p>
                                  <w:pPr>
                                    <w:pStyle w:val="TableParagraph"/>
                                    <w:rPr>
                                      <w:sz w:val="16"/>
                                    </w:rPr>
                                  </w:pPr>
                                </w:p>
                              </w:tc>
                              <w:tc>
                                <w:tcPr>
                                  <w:tcW w:w="1182" w:type="dxa"/>
                                  <w:tcBorders>
                                    <w:top w:val="single" w:sz="4" w:space="0" w:color="000000"/>
                                    <w:bottom w:val="single" w:sz="4" w:space="0" w:color="000000"/>
                                  </w:tcBorders>
                                </w:tcPr>
                                <w:p>
                                  <w:pPr>
                                    <w:pStyle w:val="TableParagraph"/>
                                    <w:rPr>
                                      <w:sz w:val="16"/>
                                    </w:rPr>
                                  </w:pPr>
                                </w:p>
                              </w:tc>
                              <w:tc>
                                <w:tcPr>
                                  <w:tcW w:w="1400" w:type="dxa"/>
                                  <w:gridSpan w:val="2"/>
                                  <w:tcBorders>
                                    <w:top w:val="single" w:sz="4" w:space="0" w:color="000000"/>
                                    <w:bottom w:val="single" w:sz="4" w:space="0" w:color="000000"/>
                                  </w:tcBorders>
                                </w:tcPr>
                                <w:p>
                                  <w:pPr>
                                    <w:pStyle w:val="TableParagraph"/>
                                    <w:rPr>
                                      <w:sz w:val="16"/>
                                    </w:rPr>
                                  </w:pPr>
                                </w:p>
                              </w:tc>
                              <w:tc>
                                <w:tcPr>
                                  <w:tcW w:w="916" w:type="dxa"/>
                                  <w:tcBorders>
                                    <w:top w:val="single" w:sz="4" w:space="0" w:color="000000"/>
                                    <w:bottom w:val="single" w:sz="4" w:space="0" w:color="000000"/>
                                  </w:tcBorders>
                                </w:tcPr>
                                <w:p>
                                  <w:pPr>
                                    <w:pStyle w:val="TableParagraph"/>
                                    <w:rPr>
                                      <w:sz w:val="16"/>
                                    </w:rPr>
                                  </w:pPr>
                                </w:p>
                              </w:tc>
                            </w:tr>
                            <w:tr>
                              <w:trPr>
                                <w:trHeight w:val="250" w:hRule="atLeast"/>
                              </w:trPr>
                              <w:tc>
                                <w:tcPr>
                                  <w:tcW w:w="2695" w:type="dxa"/>
                                  <w:tcBorders>
                                    <w:top w:val="single" w:sz="4" w:space="0" w:color="000000"/>
                                  </w:tcBorders>
                                </w:tcPr>
                                <w:p>
                                  <w:pPr>
                                    <w:pStyle w:val="TableParagraph"/>
                                    <w:spacing w:before="7"/>
                                    <w:ind w:left="52"/>
                                    <w:rPr>
                                      <w:b/>
                                      <w:sz w:val="18"/>
                                    </w:rPr>
                                  </w:pPr>
                                  <w:r>
                                    <w:rPr>
                                      <w:b/>
                                      <w:spacing w:val="-2"/>
                                      <w:sz w:val="18"/>
                                    </w:rPr>
                                    <w:t>Assets</w:t>
                                  </w:r>
                                </w:p>
                              </w:tc>
                              <w:tc>
                                <w:tcPr>
                                  <w:tcW w:w="1097" w:type="dxa"/>
                                  <w:tcBorders>
                                    <w:top w:val="single" w:sz="4" w:space="0" w:color="000000"/>
                                  </w:tcBorders>
                                </w:tcPr>
                                <w:p>
                                  <w:pPr>
                                    <w:pStyle w:val="TableParagraph"/>
                                    <w:rPr>
                                      <w:sz w:val="16"/>
                                    </w:rPr>
                                  </w:pPr>
                                </w:p>
                              </w:tc>
                              <w:tc>
                                <w:tcPr>
                                  <w:tcW w:w="1516" w:type="dxa"/>
                                  <w:gridSpan w:val="2"/>
                                  <w:tcBorders>
                                    <w:top w:val="single" w:sz="4" w:space="0" w:color="000000"/>
                                  </w:tcBorders>
                                </w:tcPr>
                                <w:p>
                                  <w:pPr>
                                    <w:pStyle w:val="TableParagraph"/>
                                    <w:rPr>
                                      <w:sz w:val="16"/>
                                    </w:rPr>
                                  </w:pPr>
                                </w:p>
                              </w:tc>
                              <w:tc>
                                <w:tcPr>
                                  <w:tcW w:w="1459" w:type="dxa"/>
                                  <w:tcBorders>
                                    <w:top w:val="single" w:sz="4" w:space="0" w:color="000000"/>
                                  </w:tcBorders>
                                </w:tcPr>
                                <w:p>
                                  <w:pPr>
                                    <w:pStyle w:val="TableParagraph"/>
                                    <w:rPr>
                                      <w:sz w:val="16"/>
                                    </w:rPr>
                                  </w:pPr>
                                </w:p>
                              </w:tc>
                              <w:tc>
                                <w:tcPr>
                                  <w:tcW w:w="1182" w:type="dxa"/>
                                  <w:tcBorders>
                                    <w:top w:val="single" w:sz="4" w:space="0" w:color="000000"/>
                                  </w:tcBorders>
                                </w:tcPr>
                                <w:p>
                                  <w:pPr>
                                    <w:pStyle w:val="TableParagraph"/>
                                    <w:rPr>
                                      <w:sz w:val="16"/>
                                    </w:rPr>
                                  </w:pPr>
                                </w:p>
                              </w:tc>
                              <w:tc>
                                <w:tcPr>
                                  <w:tcW w:w="1400" w:type="dxa"/>
                                  <w:gridSpan w:val="2"/>
                                  <w:tcBorders>
                                    <w:top w:val="single" w:sz="4" w:space="0" w:color="000000"/>
                                  </w:tcBorders>
                                </w:tcPr>
                                <w:p>
                                  <w:pPr>
                                    <w:pStyle w:val="TableParagraph"/>
                                    <w:rPr>
                                      <w:sz w:val="16"/>
                                    </w:rPr>
                                  </w:pPr>
                                </w:p>
                              </w:tc>
                              <w:tc>
                                <w:tcPr>
                                  <w:tcW w:w="916" w:type="dxa"/>
                                  <w:tcBorders>
                                    <w:top w:val="single" w:sz="4" w:space="0" w:color="000000"/>
                                  </w:tcBorders>
                                </w:tcPr>
                                <w:p>
                                  <w:pPr>
                                    <w:pStyle w:val="TableParagraph"/>
                                    <w:rPr>
                                      <w:sz w:val="16"/>
                                    </w:rPr>
                                  </w:pPr>
                                </w:p>
                              </w:tc>
                            </w:tr>
                            <w:tr>
                              <w:trPr>
                                <w:trHeight w:val="255" w:hRule="atLeast"/>
                              </w:trPr>
                              <w:tc>
                                <w:tcPr>
                                  <w:tcW w:w="2695" w:type="dxa"/>
                                  <w:shd w:val="clear" w:color="auto" w:fill="CCEDFF"/>
                                </w:tcPr>
                                <w:p>
                                  <w:pPr>
                                    <w:pStyle w:val="TableParagraph"/>
                                    <w:spacing w:before="18"/>
                                    <w:ind w:left="172"/>
                                    <w:rPr>
                                      <w:sz w:val="18"/>
                                    </w:rPr>
                                  </w:pPr>
                                  <w:r>
                                    <w:rPr>
                                      <w:sz w:val="18"/>
                                    </w:rPr>
                                    <w:t>Resale</w:t>
                                  </w:r>
                                  <w:r>
                                    <w:rPr>
                                      <w:spacing w:val="-1"/>
                                      <w:sz w:val="18"/>
                                    </w:rPr>
                                    <w:t> </w:t>
                                  </w:r>
                                  <w:r>
                                    <w:rPr>
                                      <w:sz w:val="18"/>
                                    </w:rPr>
                                    <w:t>agreements</w:t>
                                  </w:r>
                                  <w:r>
                                    <w:rPr>
                                      <w:spacing w:val="-2"/>
                                      <w:sz w:val="18"/>
                                    </w:rPr>
                                    <w:t> </w:t>
                                  </w:r>
                                  <w:r>
                                    <w:rPr>
                                      <w:spacing w:val="-5"/>
                                      <w:sz w:val="18"/>
                                      <w:vertAlign w:val="superscript"/>
                                    </w:rPr>
                                    <w:t>(1)</w:t>
                                  </w:r>
                                </w:p>
                              </w:tc>
                              <w:tc>
                                <w:tcPr>
                                  <w:tcW w:w="1097" w:type="dxa"/>
                                  <w:shd w:val="clear" w:color="auto" w:fill="CCEDFF"/>
                                </w:tcPr>
                                <w:p>
                                  <w:pPr>
                                    <w:pStyle w:val="TableParagraph"/>
                                    <w:tabs>
                                      <w:tab w:pos="487" w:val="left" w:leader="none"/>
                                    </w:tabs>
                                    <w:spacing w:before="18"/>
                                    <w:ind w:right="99"/>
                                    <w:jc w:val="right"/>
                                    <w:rPr>
                                      <w:sz w:val="18"/>
                                    </w:rPr>
                                  </w:pPr>
                                  <w:r>
                                    <w:rPr>
                                      <w:spacing w:val="-10"/>
                                      <w:sz w:val="18"/>
                                    </w:rPr>
                                    <w:t>$</w:t>
                                  </w:r>
                                  <w:r>
                                    <w:rPr>
                                      <w:sz w:val="18"/>
                                    </w:rPr>
                                    <w:tab/>
                                  </w:r>
                                  <w:r>
                                    <w:rPr>
                                      <w:spacing w:val="-2"/>
                                      <w:sz w:val="18"/>
                                    </w:rPr>
                                    <w:t>3,010</w:t>
                                  </w:r>
                                </w:p>
                              </w:tc>
                              <w:tc>
                                <w:tcPr>
                                  <w:tcW w:w="1516" w:type="dxa"/>
                                  <w:gridSpan w:val="2"/>
                                  <w:shd w:val="clear" w:color="auto" w:fill="CCEDFF"/>
                                </w:tcPr>
                                <w:p>
                                  <w:pPr>
                                    <w:pStyle w:val="TableParagraph"/>
                                    <w:tabs>
                                      <w:tab w:pos="1233" w:val="left" w:leader="none"/>
                                    </w:tabs>
                                    <w:spacing w:before="18"/>
                                    <w:ind w:left="100"/>
                                    <w:rPr>
                                      <w:sz w:val="18"/>
                                    </w:rPr>
                                  </w:pPr>
                                  <w:r>
                                    <w:rPr>
                                      <w:spacing w:val="-10"/>
                                      <w:sz w:val="18"/>
                                    </w:rPr>
                                    <w:t>$</w:t>
                                  </w:r>
                                  <w:r>
                                    <w:rPr>
                                      <w:sz w:val="18"/>
                                    </w:rPr>
                                    <w:tab/>
                                  </w:r>
                                  <w:r>
                                    <w:rPr>
                                      <w:spacing w:val="-10"/>
                                      <w:sz w:val="18"/>
                                    </w:rPr>
                                    <w:t>—</w:t>
                                  </w:r>
                                </w:p>
                              </w:tc>
                              <w:tc>
                                <w:tcPr>
                                  <w:tcW w:w="1459" w:type="dxa"/>
                                  <w:shd w:val="clear" w:color="auto" w:fill="CCEDFF"/>
                                </w:tcPr>
                                <w:p>
                                  <w:pPr>
                                    <w:pStyle w:val="TableParagraph"/>
                                    <w:tabs>
                                      <w:tab w:pos="802" w:val="left" w:leader="none"/>
                                    </w:tabs>
                                    <w:spacing w:before="18"/>
                                    <w:ind w:right="149"/>
                                    <w:jc w:val="right"/>
                                    <w:rPr>
                                      <w:sz w:val="18"/>
                                    </w:rPr>
                                  </w:pPr>
                                  <w:r>
                                    <w:rPr>
                                      <w:spacing w:val="-10"/>
                                      <w:sz w:val="18"/>
                                    </w:rPr>
                                    <w:t>$</w:t>
                                  </w:r>
                                  <w:r>
                                    <w:rPr>
                                      <w:sz w:val="18"/>
                                    </w:rPr>
                                    <w:tab/>
                                  </w:r>
                                  <w:r>
                                    <w:rPr>
                                      <w:spacing w:val="-2"/>
                                      <w:sz w:val="18"/>
                                    </w:rPr>
                                    <w:t>3,010</w:t>
                                  </w:r>
                                </w:p>
                              </w:tc>
                              <w:tc>
                                <w:tcPr>
                                  <w:tcW w:w="1182" w:type="dxa"/>
                                  <w:shd w:val="clear" w:color="auto" w:fill="CCEDFF"/>
                                </w:tcPr>
                                <w:p>
                                  <w:pPr>
                                    <w:pStyle w:val="TableParagraph"/>
                                    <w:tabs>
                                      <w:tab w:pos="817" w:val="left" w:leader="none"/>
                                    </w:tabs>
                                    <w:spacing w:before="18"/>
                                    <w:ind w:right="131"/>
                                    <w:jc w:val="right"/>
                                    <w:rPr>
                                      <w:sz w:val="18"/>
                                    </w:rPr>
                                  </w:pPr>
                                  <w:r>
                                    <w:rPr>
                                      <w:spacing w:val="-10"/>
                                      <w:sz w:val="18"/>
                                    </w:rPr>
                                    <w:t>$</w:t>
                                  </w:r>
                                  <w:r>
                                    <w:rPr>
                                      <w:sz w:val="18"/>
                                    </w:rPr>
                                    <w:tab/>
                                  </w:r>
                                  <w:r>
                                    <w:rPr>
                                      <w:spacing w:val="-10"/>
                                      <w:sz w:val="18"/>
                                    </w:rPr>
                                    <w:t>—</w:t>
                                  </w:r>
                                </w:p>
                              </w:tc>
                              <w:tc>
                                <w:tcPr>
                                  <w:tcW w:w="1400" w:type="dxa"/>
                                  <w:gridSpan w:val="2"/>
                                  <w:shd w:val="clear" w:color="auto" w:fill="CCEDFF"/>
                                </w:tcPr>
                                <w:p>
                                  <w:pPr>
                                    <w:pStyle w:val="TableParagraph"/>
                                    <w:tabs>
                                      <w:tab w:pos="541" w:val="left" w:leader="none"/>
                                    </w:tabs>
                                    <w:spacing w:before="18"/>
                                    <w:ind w:left="68"/>
                                    <w:rPr>
                                      <w:sz w:val="18"/>
                                    </w:rPr>
                                  </w:pPr>
                                  <w:r>
                                    <w:rPr>
                                      <w:spacing w:val="-10"/>
                                      <w:sz w:val="18"/>
                                    </w:rPr>
                                    <w:t>$</w:t>
                                  </w:r>
                                  <w:r>
                                    <w:rPr>
                                      <w:sz w:val="18"/>
                                    </w:rPr>
                                    <w:tab/>
                                    <w:t>(3,010)</w:t>
                                  </w:r>
                                  <w:r>
                                    <w:rPr>
                                      <w:spacing w:val="22"/>
                                      <w:sz w:val="18"/>
                                    </w:rPr>
                                    <w:t> </w:t>
                                  </w:r>
                                  <w:r>
                                    <w:rPr>
                                      <w:spacing w:val="-5"/>
                                      <w:sz w:val="18"/>
                                      <w:vertAlign w:val="superscript"/>
                                    </w:rPr>
                                    <w:t>(2)</w:t>
                                  </w:r>
                                </w:p>
                              </w:tc>
                              <w:tc>
                                <w:tcPr>
                                  <w:tcW w:w="916" w:type="dxa"/>
                                  <w:shd w:val="clear" w:color="auto" w:fill="CCEDFF"/>
                                </w:tcPr>
                                <w:p>
                                  <w:pPr>
                                    <w:pStyle w:val="TableParagraph"/>
                                    <w:tabs>
                                      <w:tab w:pos="532" w:val="left" w:leader="none"/>
                                    </w:tabs>
                                    <w:spacing w:before="18"/>
                                    <w:ind w:right="77"/>
                                    <w:jc w:val="right"/>
                                    <w:rPr>
                                      <w:sz w:val="18"/>
                                    </w:rPr>
                                  </w:pPr>
                                  <w:r>
                                    <w:rPr>
                                      <w:spacing w:val="-10"/>
                                      <w:sz w:val="18"/>
                                    </w:rPr>
                                    <w:t>$</w:t>
                                  </w:r>
                                  <w:r>
                                    <w:rPr>
                                      <w:sz w:val="18"/>
                                    </w:rPr>
                                    <w:tab/>
                                  </w:r>
                                  <w:r>
                                    <w:rPr>
                                      <w:spacing w:val="-10"/>
                                      <w:sz w:val="18"/>
                                    </w:rPr>
                                    <w:t>—</w:t>
                                  </w:r>
                                </w:p>
                              </w:tc>
                            </w:tr>
                            <w:tr>
                              <w:trPr>
                                <w:trHeight w:val="256" w:hRule="atLeast"/>
                              </w:trPr>
                              <w:tc>
                                <w:tcPr>
                                  <w:tcW w:w="2695" w:type="dxa"/>
                                </w:tcPr>
                                <w:p>
                                  <w:pPr>
                                    <w:pStyle w:val="TableParagraph"/>
                                    <w:spacing w:before="18"/>
                                    <w:ind w:left="172"/>
                                    <w:rPr>
                                      <w:sz w:val="18"/>
                                    </w:rPr>
                                  </w:pPr>
                                  <w:r>
                                    <w:rPr>
                                      <w:sz w:val="18"/>
                                    </w:rPr>
                                    <w:t>Securities</w:t>
                                  </w:r>
                                  <w:r>
                                    <w:rPr>
                                      <w:spacing w:val="-3"/>
                                      <w:sz w:val="18"/>
                                    </w:rPr>
                                    <w:t> </w:t>
                                  </w:r>
                                  <w:r>
                                    <w:rPr>
                                      <w:sz w:val="18"/>
                                    </w:rPr>
                                    <w:t>borrowed</w:t>
                                  </w:r>
                                  <w:r>
                                    <w:rPr>
                                      <w:spacing w:val="-2"/>
                                      <w:sz w:val="18"/>
                                    </w:rPr>
                                    <w:t> </w:t>
                                  </w:r>
                                  <w:r>
                                    <w:rPr>
                                      <w:spacing w:val="-5"/>
                                      <w:sz w:val="18"/>
                                      <w:vertAlign w:val="superscript"/>
                                    </w:rPr>
                                    <w:t>(3)</w:t>
                                  </w:r>
                                </w:p>
                              </w:tc>
                              <w:tc>
                                <w:tcPr>
                                  <w:tcW w:w="1097" w:type="dxa"/>
                                </w:tcPr>
                                <w:p>
                                  <w:pPr>
                                    <w:pStyle w:val="TableParagraph"/>
                                    <w:spacing w:before="18"/>
                                    <w:ind w:right="99"/>
                                    <w:jc w:val="right"/>
                                    <w:rPr>
                                      <w:sz w:val="18"/>
                                    </w:rPr>
                                  </w:pPr>
                                  <w:r>
                                    <w:rPr>
                                      <w:spacing w:val="-5"/>
                                      <w:sz w:val="18"/>
                                    </w:rPr>
                                    <w:t>892</w:t>
                                  </w:r>
                                </w:p>
                              </w:tc>
                              <w:tc>
                                <w:tcPr>
                                  <w:tcW w:w="1516" w:type="dxa"/>
                                  <w:gridSpan w:val="2"/>
                                </w:tcPr>
                                <w:p>
                                  <w:pPr>
                                    <w:pStyle w:val="TableParagraph"/>
                                    <w:spacing w:before="18"/>
                                    <w:ind w:right="100"/>
                                    <w:jc w:val="right"/>
                                    <w:rPr>
                                      <w:sz w:val="18"/>
                                    </w:rPr>
                                  </w:pPr>
                                  <w:r>
                                    <w:rPr>
                                      <w:spacing w:val="-10"/>
                                      <w:sz w:val="18"/>
                                    </w:rPr>
                                    <w:t>—</w:t>
                                  </w:r>
                                </w:p>
                              </w:tc>
                              <w:tc>
                                <w:tcPr>
                                  <w:tcW w:w="1459" w:type="dxa"/>
                                </w:tcPr>
                                <w:p>
                                  <w:pPr>
                                    <w:pStyle w:val="TableParagraph"/>
                                    <w:spacing w:before="18"/>
                                    <w:ind w:right="149"/>
                                    <w:jc w:val="right"/>
                                    <w:rPr>
                                      <w:sz w:val="18"/>
                                    </w:rPr>
                                  </w:pPr>
                                  <w:r>
                                    <w:rPr>
                                      <w:spacing w:val="-5"/>
                                      <w:sz w:val="18"/>
                                    </w:rPr>
                                    <w:t>892</w:t>
                                  </w:r>
                                </w:p>
                              </w:tc>
                              <w:tc>
                                <w:tcPr>
                                  <w:tcW w:w="1182" w:type="dxa"/>
                                </w:tcPr>
                                <w:p>
                                  <w:pPr>
                                    <w:pStyle w:val="TableParagraph"/>
                                    <w:spacing w:before="18"/>
                                    <w:ind w:right="71"/>
                                    <w:jc w:val="right"/>
                                    <w:rPr>
                                      <w:sz w:val="18"/>
                                    </w:rPr>
                                  </w:pPr>
                                  <w:r>
                                    <w:rPr>
                                      <w:spacing w:val="-2"/>
                                      <w:sz w:val="18"/>
                                    </w:rPr>
                                    <w:t>(646)</w:t>
                                  </w:r>
                                </w:p>
                              </w:tc>
                              <w:tc>
                                <w:tcPr>
                                  <w:tcW w:w="1400" w:type="dxa"/>
                                  <w:gridSpan w:val="2"/>
                                </w:tcPr>
                                <w:p>
                                  <w:pPr>
                                    <w:pStyle w:val="TableParagraph"/>
                                    <w:spacing w:before="18"/>
                                    <w:ind w:left="676"/>
                                    <w:rPr>
                                      <w:sz w:val="18"/>
                                    </w:rPr>
                                  </w:pPr>
                                  <w:r>
                                    <w:rPr>
                                      <w:spacing w:val="-2"/>
                                      <w:sz w:val="18"/>
                                    </w:rPr>
                                    <w:t>(244)</w:t>
                                  </w:r>
                                </w:p>
                              </w:tc>
                              <w:tc>
                                <w:tcPr>
                                  <w:tcW w:w="916" w:type="dxa"/>
                                </w:tcPr>
                                <w:p>
                                  <w:pPr>
                                    <w:pStyle w:val="TableParagraph"/>
                                    <w:spacing w:before="18"/>
                                    <w:ind w:right="77"/>
                                    <w:jc w:val="right"/>
                                    <w:rPr>
                                      <w:sz w:val="18"/>
                                    </w:rPr>
                                  </w:pPr>
                                  <w:r>
                                    <w:rPr>
                                      <w:spacing w:val="-10"/>
                                      <w:sz w:val="18"/>
                                    </w:rPr>
                                    <w:t>2</w:t>
                                  </w:r>
                                </w:p>
                              </w:tc>
                            </w:tr>
                            <w:tr>
                              <w:trPr>
                                <w:trHeight w:val="248" w:hRule="atLeast"/>
                              </w:trPr>
                              <w:tc>
                                <w:tcPr>
                                  <w:tcW w:w="2695" w:type="dxa"/>
                                  <w:tcBorders>
                                    <w:bottom w:val="single" w:sz="4" w:space="0" w:color="000000"/>
                                  </w:tcBorders>
                                  <w:shd w:val="clear" w:color="auto" w:fill="CCEDFF"/>
                                </w:tcPr>
                                <w:p>
                                  <w:pPr>
                                    <w:pStyle w:val="TableParagraph"/>
                                    <w:spacing w:before="18"/>
                                    <w:ind w:left="172"/>
                                    <w:rPr>
                                      <w:sz w:val="18"/>
                                    </w:rPr>
                                  </w:pPr>
                                  <w:r>
                                    <w:rPr>
                                      <w:sz w:val="18"/>
                                    </w:rPr>
                                    <w:t>Interest</w:t>
                                  </w:r>
                                  <w:r>
                                    <w:rPr>
                                      <w:spacing w:val="-2"/>
                                      <w:sz w:val="18"/>
                                    </w:rPr>
                                    <w:t> </w:t>
                                  </w:r>
                                  <w:r>
                                    <w:rPr>
                                      <w:sz w:val="18"/>
                                    </w:rPr>
                                    <w:t>rate</w:t>
                                  </w:r>
                                  <w:r>
                                    <w:rPr>
                                      <w:spacing w:val="-1"/>
                                      <w:sz w:val="18"/>
                                    </w:rPr>
                                    <w:t> </w:t>
                                  </w:r>
                                  <w:r>
                                    <w:rPr>
                                      <w:sz w:val="18"/>
                                    </w:rPr>
                                    <w:t>swaps</w:t>
                                  </w:r>
                                  <w:r>
                                    <w:rPr>
                                      <w:spacing w:val="-2"/>
                                      <w:sz w:val="18"/>
                                    </w:rPr>
                                    <w:t> </w:t>
                                  </w:r>
                                  <w:r>
                                    <w:rPr>
                                      <w:spacing w:val="-5"/>
                                      <w:sz w:val="18"/>
                                      <w:vertAlign w:val="superscript"/>
                                    </w:rPr>
                                    <w:t>(4)</w:t>
                                  </w:r>
                                </w:p>
                              </w:tc>
                              <w:tc>
                                <w:tcPr>
                                  <w:tcW w:w="1097" w:type="dxa"/>
                                  <w:tcBorders>
                                    <w:bottom w:val="single" w:sz="4" w:space="0" w:color="000000"/>
                                  </w:tcBorders>
                                  <w:shd w:val="clear" w:color="auto" w:fill="CCEDFF"/>
                                </w:tcPr>
                                <w:p>
                                  <w:pPr>
                                    <w:pStyle w:val="TableParagraph"/>
                                    <w:spacing w:before="18"/>
                                    <w:ind w:right="99"/>
                                    <w:jc w:val="right"/>
                                    <w:rPr>
                                      <w:sz w:val="18"/>
                                    </w:rPr>
                                  </w:pPr>
                                  <w:r>
                                    <w:rPr>
                                      <w:spacing w:val="-10"/>
                                      <w:sz w:val="18"/>
                                    </w:rPr>
                                    <w:t>3</w:t>
                                  </w:r>
                                </w:p>
                              </w:tc>
                              <w:tc>
                                <w:tcPr>
                                  <w:tcW w:w="1516" w:type="dxa"/>
                                  <w:gridSpan w:val="2"/>
                                  <w:tcBorders>
                                    <w:bottom w:val="single" w:sz="4" w:space="0" w:color="000000"/>
                                  </w:tcBorders>
                                  <w:shd w:val="clear" w:color="auto" w:fill="CCEDFF"/>
                                </w:tcPr>
                                <w:p>
                                  <w:pPr>
                                    <w:pStyle w:val="TableParagraph"/>
                                    <w:spacing w:before="18"/>
                                    <w:ind w:right="100"/>
                                    <w:jc w:val="right"/>
                                    <w:rPr>
                                      <w:sz w:val="18"/>
                                    </w:rPr>
                                  </w:pPr>
                                  <w:r>
                                    <w:rPr>
                                      <w:spacing w:val="-10"/>
                                      <w:sz w:val="18"/>
                                    </w:rPr>
                                    <w:t>—</w:t>
                                  </w:r>
                                </w:p>
                              </w:tc>
                              <w:tc>
                                <w:tcPr>
                                  <w:tcW w:w="1459" w:type="dxa"/>
                                  <w:tcBorders>
                                    <w:bottom w:val="single" w:sz="4" w:space="0" w:color="000000"/>
                                  </w:tcBorders>
                                  <w:shd w:val="clear" w:color="auto" w:fill="CCEDFF"/>
                                </w:tcPr>
                                <w:p>
                                  <w:pPr>
                                    <w:pStyle w:val="TableParagraph"/>
                                    <w:spacing w:before="18"/>
                                    <w:ind w:right="149"/>
                                    <w:jc w:val="right"/>
                                    <w:rPr>
                                      <w:sz w:val="18"/>
                                    </w:rPr>
                                  </w:pPr>
                                  <w:r>
                                    <w:rPr>
                                      <w:spacing w:val="-10"/>
                                      <w:sz w:val="18"/>
                                    </w:rPr>
                                    <w:t>3</w:t>
                                  </w:r>
                                </w:p>
                              </w:tc>
                              <w:tc>
                                <w:tcPr>
                                  <w:tcW w:w="1182" w:type="dxa"/>
                                  <w:tcBorders>
                                    <w:bottom w:val="single" w:sz="4" w:space="0" w:color="000000"/>
                                  </w:tcBorders>
                                  <w:shd w:val="clear" w:color="auto" w:fill="CCEDFF"/>
                                </w:tcPr>
                                <w:p>
                                  <w:pPr>
                                    <w:pStyle w:val="TableParagraph"/>
                                    <w:spacing w:before="18"/>
                                    <w:ind w:right="131"/>
                                    <w:jc w:val="right"/>
                                    <w:rPr>
                                      <w:sz w:val="18"/>
                                    </w:rPr>
                                  </w:pPr>
                                  <w:r>
                                    <w:rPr>
                                      <w:spacing w:val="-10"/>
                                      <w:sz w:val="18"/>
                                    </w:rPr>
                                    <w:t>—</w:t>
                                  </w:r>
                                </w:p>
                              </w:tc>
                              <w:tc>
                                <w:tcPr>
                                  <w:tcW w:w="1103" w:type="dxa"/>
                                  <w:tcBorders>
                                    <w:bottom w:val="single" w:sz="4" w:space="0" w:color="000000"/>
                                  </w:tcBorders>
                                  <w:shd w:val="clear" w:color="auto" w:fill="CCEDFF"/>
                                </w:tcPr>
                                <w:p>
                                  <w:pPr>
                                    <w:pStyle w:val="TableParagraph"/>
                                    <w:spacing w:before="18"/>
                                    <w:ind w:right="94"/>
                                    <w:jc w:val="right"/>
                                    <w:rPr>
                                      <w:sz w:val="18"/>
                                    </w:rPr>
                                  </w:pPr>
                                  <w:r>
                                    <w:rPr>
                                      <w:spacing w:val="-10"/>
                                      <w:sz w:val="18"/>
                                    </w:rPr>
                                    <w:t>—</w:t>
                                  </w:r>
                                </w:p>
                              </w:tc>
                              <w:tc>
                                <w:tcPr>
                                  <w:tcW w:w="297" w:type="dxa"/>
                                  <w:tcBorders>
                                    <w:bottom w:val="single" w:sz="4" w:space="0" w:color="000000"/>
                                  </w:tcBorders>
                                  <w:shd w:val="clear" w:color="auto" w:fill="CCEDFF"/>
                                </w:tcPr>
                                <w:p>
                                  <w:pPr>
                                    <w:pStyle w:val="TableParagraph"/>
                                    <w:spacing w:before="3"/>
                                    <w:ind w:left="30"/>
                                    <w:rPr>
                                      <w:sz w:val="11"/>
                                    </w:rPr>
                                  </w:pPr>
                                  <w:r>
                                    <w:rPr>
                                      <w:spacing w:val="-5"/>
                                      <w:w w:val="105"/>
                                      <w:sz w:val="11"/>
                                    </w:rPr>
                                    <w:t>(5)</w:t>
                                  </w:r>
                                </w:p>
                              </w:tc>
                              <w:tc>
                                <w:tcPr>
                                  <w:tcW w:w="916" w:type="dxa"/>
                                  <w:tcBorders>
                                    <w:bottom w:val="single" w:sz="4" w:space="0" w:color="000000"/>
                                  </w:tcBorders>
                                  <w:shd w:val="clear" w:color="auto" w:fill="CCEDFF"/>
                                </w:tcPr>
                                <w:p>
                                  <w:pPr>
                                    <w:pStyle w:val="TableParagraph"/>
                                    <w:spacing w:before="18"/>
                                    <w:ind w:right="77"/>
                                    <w:jc w:val="right"/>
                                    <w:rPr>
                                      <w:sz w:val="18"/>
                                    </w:rPr>
                                  </w:pPr>
                                  <w:r>
                                    <w:rPr>
                                      <w:spacing w:val="-10"/>
                                      <w:sz w:val="18"/>
                                    </w:rPr>
                                    <w:t>3</w:t>
                                  </w:r>
                                </w:p>
                              </w:tc>
                            </w:tr>
                            <w:tr>
                              <w:trPr>
                                <w:trHeight w:val="220" w:hRule="atLeast"/>
                              </w:trPr>
                              <w:tc>
                                <w:tcPr>
                                  <w:tcW w:w="2695" w:type="dxa"/>
                                  <w:tcBorders>
                                    <w:bottom w:val="double" w:sz="8" w:space="0" w:color="auto"/>
                                  </w:tcBorders>
                                </w:tcPr>
                                <w:p>
                                  <w:pPr>
                                    <w:pStyle w:val="TableParagraph"/>
                                    <w:spacing w:line="187" w:lineRule="exact" w:before="8"/>
                                    <w:ind w:left="277"/>
                                    <w:rPr>
                                      <w:sz w:val="18"/>
                                    </w:rPr>
                                  </w:pPr>
                                  <w:r>
                                    <w:rPr>
                                      <w:spacing w:val="-2"/>
                                      <w:sz w:val="18"/>
                                    </w:rPr>
                                    <w:t>Total</w:t>
                                  </w:r>
                                </w:p>
                              </w:tc>
                              <w:tc>
                                <w:tcPr>
                                  <w:tcW w:w="1097" w:type="dxa"/>
                                  <w:tcBorders>
                                    <w:bottom w:val="double" w:sz="8" w:space="0" w:color="auto"/>
                                  </w:tcBorders>
                                </w:tcPr>
                                <w:p>
                                  <w:pPr>
                                    <w:pStyle w:val="TableParagraph"/>
                                    <w:tabs>
                                      <w:tab w:pos="487" w:val="left" w:leader="none"/>
                                    </w:tabs>
                                    <w:spacing w:line="187" w:lineRule="exact" w:before="8"/>
                                    <w:ind w:right="99"/>
                                    <w:jc w:val="right"/>
                                    <w:rPr>
                                      <w:sz w:val="18"/>
                                    </w:rPr>
                                  </w:pPr>
                                  <w:r>
                                    <w:rPr>
                                      <w:spacing w:val="-10"/>
                                      <w:sz w:val="18"/>
                                    </w:rPr>
                                    <w:t>$</w:t>
                                  </w:r>
                                  <w:r>
                                    <w:rPr>
                                      <w:sz w:val="18"/>
                                    </w:rPr>
                                    <w:tab/>
                                  </w:r>
                                  <w:r>
                                    <w:rPr>
                                      <w:spacing w:val="-2"/>
                                      <w:sz w:val="18"/>
                                    </w:rPr>
                                    <w:t>3,905</w:t>
                                  </w:r>
                                </w:p>
                              </w:tc>
                              <w:tc>
                                <w:tcPr>
                                  <w:tcW w:w="713" w:type="dxa"/>
                                  <w:tcBorders>
                                    <w:bottom w:val="double" w:sz="8" w:space="0" w:color="auto"/>
                                  </w:tcBorders>
                                </w:tcPr>
                                <w:p>
                                  <w:pPr>
                                    <w:pStyle w:val="TableParagraph"/>
                                    <w:spacing w:line="187" w:lineRule="exact" w:before="8"/>
                                    <w:ind w:left="100"/>
                                    <w:rPr>
                                      <w:sz w:val="18"/>
                                    </w:rPr>
                                  </w:pPr>
                                  <w:r>
                                    <w:rPr>
                                      <w:spacing w:val="-10"/>
                                      <w:sz w:val="18"/>
                                    </w:rPr>
                                    <w:t>$</w:t>
                                  </w:r>
                                </w:p>
                              </w:tc>
                              <w:tc>
                                <w:tcPr>
                                  <w:tcW w:w="2262" w:type="dxa"/>
                                  <w:gridSpan w:val="2"/>
                                  <w:tcBorders>
                                    <w:bottom w:val="double" w:sz="8" w:space="0" w:color="auto"/>
                                  </w:tcBorders>
                                </w:tcPr>
                                <w:p>
                                  <w:pPr>
                                    <w:pStyle w:val="TableParagraph"/>
                                    <w:tabs>
                                      <w:tab w:pos="902" w:val="left" w:leader="none"/>
                                      <w:tab w:pos="1704" w:val="left" w:leader="none"/>
                                    </w:tabs>
                                    <w:spacing w:line="187" w:lineRule="exact" w:before="8"/>
                                    <w:ind w:left="520"/>
                                    <w:rPr>
                                      <w:sz w:val="18"/>
                                    </w:rPr>
                                  </w:pPr>
                                  <w:r>
                                    <w:rPr>
                                      <w:spacing w:val="-10"/>
                                      <w:sz w:val="18"/>
                                    </w:rPr>
                                    <w:t>—</w:t>
                                  </w:r>
                                  <w:r>
                                    <w:rPr>
                                      <w:sz w:val="18"/>
                                    </w:rPr>
                                    <w:tab/>
                                  </w:r>
                                  <w:r>
                                    <w:rPr>
                                      <w:spacing w:val="-10"/>
                                      <w:sz w:val="18"/>
                                    </w:rPr>
                                    <w:t>$</w:t>
                                  </w:r>
                                  <w:r>
                                    <w:rPr>
                                      <w:sz w:val="18"/>
                                    </w:rPr>
                                    <w:tab/>
                                  </w:r>
                                  <w:r>
                                    <w:rPr>
                                      <w:spacing w:val="-2"/>
                                      <w:sz w:val="18"/>
                                    </w:rPr>
                                    <w:t>3,905</w:t>
                                  </w:r>
                                </w:p>
                              </w:tc>
                              <w:tc>
                                <w:tcPr>
                                  <w:tcW w:w="1182" w:type="dxa"/>
                                  <w:tcBorders>
                                    <w:bottom w:val="double" w:sz="8" w:space="0" w:color="auto"/>
                                  </w:tcBorders>
                                </w:tcPr>
                                <w:p>
                                  <w:pPr>
                                    <w:pStyle w:val="TableParagraph"/>
                                    <w:tabs>
                                      <w:tab w:pos="667" w:val="left" w:leader="none"/>
                                    </w:tabs>
                                    <w:spacing w:line="187" w:lineRule="exact" w:before="8"/>
                                    <w:ind w:right="71"/>
                                    <w:jc w:val="right"/>
                                    <w:rPr>
                                      <w:sz w:val="18"/>
                                    </w:rPr>
                                  </w:pPr>
                                  <w:r>
                                    <w:rPr>
                                      <w:spacing w:val="-10"/>
                                      <w:sz w:val="18"/>
                                    </w:rPr>
                                    <w:t>$</w:t>
                                  </w:r>
                                  <w:r>
                                    <w:rPr>
                                      <w:sz w:val="18"/>
                                    </w:rPr>
                                    <w:tab/>
                                  </w:r>
                                  <w:r>
                                    <w:rPr>
                                      <w:spacing w:val="-2"/>
                                      <w:sz w:val="18"/>
                                    </w:rPr>
                                    <w:t>(646)</w:t>
                                  </w:r>
                                </w:p>
                              </w:tc>
                              <w:tc>
                                <w:tcPr>
                                  <w:tcW w:w="1103" w:type="dxa"/>
                                  <w:tcBorders>
                                    <w:bottom w:val="double" w:sz="8" w:space="0" w:color="auto"/>
                                  </w:tcBorders>
                                </w:tcPr>
                                <w:p>
                                  <w:pPr>
                                    <w:pStyle w:val="TableParagraph"/>
                                    <w:tabs>
                                      <w:tab w:pos="472" w:val="left" w:leader="none"/>
                                    </w:tabs>
                                    <w:spacing w:line="187" w:lineRule="exact" w:before="8"/>
                                    <w:ind w:right="34"/>
                                    <w:jc w:val="right"/>
                                    <w:rPr>
                                      <w:sz w:val="18"/>
                                    </w:rPr>
                                  </w:pPr>
                                  <w:r>
                                    <w:rPr>
                                      <w:spacing w:val="-10"/>
                                      <w:sz w:val="18"/>
                                    </w:rPr>
                                    <w:t>$</w:t>
                                  </w:r>
                                  <w:r>
                                    <w:rPr>
                                      <w:sz w:val="18"/>
                                    </w:rPr>
                                    <w:tab/>
                                  </w:r>
                                  <w:r>
                                    <w:rPr>
                                      <w:spacing w:val="-2"/>
                                      <w:sz w:val="18"/>
                                    </w:rPr>
                                    <w:t>(3,254)</w:t>
                                  </w:r>
                                </w:p>
                              </w:tc>
                              <w:tc>
                                <w:tcPr>
                                  <w:tcW w:w="1213" w:type="dxa"/>
                                  <w:gridSpan w:val="2"/>
                                  <w:tcBorders>
                                    <w:bottom w:val="double" w:sz="8" w:space="0" w:color="auto"/>
                                  </w:tcBorders>
                                </w:tcPr>
                                <w:p>
                                  <w:pPr>
                                    <w:pStyle w:val="TableParagraph"/>
                                    <w:tabs>
                                      <w:tab w:pos="1042" w:val="left" w:leader="none"/>
                                    </w:tabs>
                                    <w:spacing w:line="187" w:lineRule="exact" w:before="8"/>
                                    <w:ind w:left="420"/>
                                    <w:rPr>
                                      <w:sz w:val="18"/>
                                    </w:rPr>
                                  </w:pPr>
                                  <w:r>
                                    <w:rPr>
                                      <w:spacing w:val="-10"/>
                                      <w:sz w:val="18"/>
                                    </w:rPr>
                                    <w:t>$</w:t>
                                  </w:r>
                                  <w:r>
                                    <w:rPr>
                                      <w:sz w:val="18"/>
                                    </w:rPr>
                                    <w:tab/>
                                  </w:r>
                                  <w:r>
                                    <w:rPr>
                                      <w:spacing w:val="-10"/>
                                      <w:sz w:val="18"/>
                                    </w:rPr>
                                    <w:t>5</w:t>
                                  </w:r>
                                </w:p>
                              </w:tc>
                            </w:tr>
                            <w:tr>
                              <w:trPr>
                                <w:trHeight w:val="225" w:hRule="atLeast"/>
                              </w:trPr>
                              <w:tc>
                                <w:tcPr>
                                  <w:tcW w:w="2695" w:type="dxa"/>
                                  <w:tcBorders>
                                    <w:top w:val="double" w:sz="8" w:space="0" w:color="CCEDFF"/>
                                  </w:tcBorders>
                                  <w:shd w:val="clear" w:color="auto" w:fill="CCEDFF"/>
                                </w:tcPr>
                                <w:p>
                                  <w:pPr>
                                    <w:pStyle w:val="TableParagraph"/>
                                    <w:spacing w:line="195" w:lineRule="exact"/>
                                    <w:ind w:left="52"/>
                                    <w:rPr>
                                      <w:b/>
                                      <w:sz w:val="18"/>
                                    </w:rPr>
                                  </w:pPr>
                                  <w:r>
                                    <w:rPr>
                                      <w:b/>
                                      <w:spacing w:val="-2"/>
                                      <w:sz w:val="18"/>
                                    </w:rPr>
                                    <w:t>Liabilities</w:t>
                                  </w:r>
                                </w:p>
                              </w:tc>
                              <w:tc>
                                <w:tcPr>
                                  <w:tcW w:w="1097" w:type="dxa"/>
                                  <w:tcBorders>
                                    <w:top w:val="double" w:sz="8" w:space="0" w:color="CCEDFF"/>
                                  </w:tcBorders>
                                  <w:shd w:val="clear" w:color="auto" w:fill="CCEDFF"/>
                                </w:tcPr>
                                <w:p>
                                  <w:pPr>
                                    <w:pStyle w:val="TableParagraph"/>
                                    <w:rPr>
                                      <w:sz w:val="16"/>
                                    </w:rPr>
                                  </w:pPr>
                                </w:p>
                              </w:tc>
                              <w:tc>
                                <w:tcPr>
                                  <w:tcW w:w="713" w:type="dxa"/>
                                  <w:tcBorders>
                                    <w:top w:val="double" w:sz="8" w:space="0" w:color="CCEDFF"/>
                                  </w:tcBorders>
                                  <w:shd w:val="clear" w:color="auto" w:fill="CCEDFF"/>
                                </w:tcPr>
                                <w:p>
                                  <w:pPr>
                                    <w:pStyle w:val="TableParagraph"/>
                                    <w:rPr>
                                      <w:sz w:val="16"/>
                                    </w:rPr>
                                  </w:pPr>
                                </w:p>
                              </w:tc>
                              <w:tc>
                                <w:tcPr>
                                  <w:tcW w:w="2262" w:type="dxa"/>
                                  <w:gridSpan w:val="2"/>
                                  <w:tcBorders>
                                    <w:top w:val="double" w:sz="8" w:space="0" w:color="CCEDFF"/>
                                  </w:tcBorders>
                                  <w:shd w:val="clear" w:color="auto" w:fill="CCEDFF"/>
                                </w:tcPr>
                                <w:p>
                                  <w:pPr>
                                    <w:pStyle w:val="TableParagraph"/>
                                    <w:rPr>
                                      <w:sz w:val="16"/>
                                    </w:rPr>
                                  </w:pPr>
                                </w:p>
                              </w:tc>
                              <w:tc>
                                <w:tcPr>
                                  <w:tcW w:w="1182" w:type="dxa"/>
                                  <w:tcBorders>
                                    <w:top w:val="double" w:sz="8" w:space="0" w:color="CCEDFF"/>
                                  </w:tcBorders>
                                  <w:shd w:val="clear" w:color="auto" w:fill="CCEDFF"/>
                                </w:tcPr>
                                <w:p>
                                  <w:pPr>
                                    <w:pStyle w:val="TableParagraph"/>
                                    <w:rPr>
                                      <w:sz w:val="16"/>
                                    </w:rPr>
                                  </w:pPr>
                                </w:p>
                              </w:tc>
                              <w:tc>
                                <w:tcPr>
                                  <w:tcW w:w="1103" w:type="dxa"/>
                                  <w:tcBorders>
                                    <w:top w:val="double" w:sz="8" w:space="0" w:color="CCEDFF"/>
                                  </w:tcBorders>
                                  <w:shd w:val="clear" w:color="auto" w:fill="CCEDFF"/>
                                </w:tcPr>
                                <w:p>
                                  <w:pPr>
                                    <w:pStyle w:val="TableParagraph"/>
                                    <w:rPr>
                                      <w:sz w:val="16"/>
                                    </w:rPr>
                                  </w:pPr>
                                </w:p>
                              </w:tc>
                              <w:tc>
                                <w:tcPr>
                                  <w:tcW w:w="1213" w:type="dxa"/>
                                  <w:gridSpan w:val="2"/>
                                  <w:tcBorders>
                                    <w:top w:val="double" w:sz="8" w:space="0" w:color="CCEDFF"/>
                                  </w:tcBorders>
                                  <w:shd w:val="clear" w:color="auto" w:fill="CCEDFF"/>
                                </w:tcPr>
                                <w:p>
                                  <w:pPr>
                                    <w:pStyle w:val="TableParagraph"/>
                                    <w:rPr>
                                      <w:sz w:val="16"/>
                                    </w:rPr>
                                  </w:pPr>
                                </w:p>
                              </w:tc>
                            </w:tr>
                            <w:tr>
                              <w:trPr>
                                <w:trHeight w:val="255" w:hRule="atLeast"/>
                              </w:trPr>
                              <w:tc>
                                <w:tcPr>
                                  <w:tcW w:w="2695" w:type="dxa"/>
                                </w:tcPr>
                                <w:p>
                                  <w:pPr>
                                    <w:pStyle w:val="TableParagraph"/>
                                    <w:spacing w:before="18"/>
                                    <w:ind w:left="172"/>
                                    <w:rPr>
                                      <w:sz w:val="18"/>
                                    </w:rPr>
                                  </w:pPr>
                                  <w:r>
                                    <w:rPr>
                                      <w:sz w:val="18"/>
                                    </w:rPr>
                                    <w:t>Repurchase</w:t>
                                  </w:r>
                                  <w:r>
                                    <w:rPr>
                                      <w:spacing w:val="-1"/>
                                      <w:sz w:val="18"/>
                                    </w:rPr>
                                    <w:t> </w:t>
                                  </w:r>
                                  <w:r>
                                    <w:rPr>
                                      <w:sz w:val="18"/>
                                    </w:rPr>
                                    <w:t>agreements</w:t>
                                  </w:r>
                                  <w:r>
                                    <w:rPr>
                                      <w:spacing w:val="-2"/>
                                      <w:sz w:val="18"/>
                                    </w:rPr>
                                    <w:t> </w:t>
                                  </w:r>
                                  <w:r>
                                    <w:rPr>
                                      <w:spacing w:val="-5"/>
                                      <w:sz w:val="18"/>
                                      <w:vertAlign w:val="superscript"/>
                                    </w:rPr>
                                    <w:t>(6)</w:t>
                                  </w:r>
                                </w:p>
                              </w:tc>
                              <w:tc>
                                <w:tcPr>
                                  <w:tcW w:w="1097" w:type="dxa"/>
                                </w:tcPr>
                                <w:p>
                                  <w:pPr>
                                    <w:pStyle w:val="TableParagraph"/>
                                    <w:tabs>
                                      <w:tab w:pos="487" w:val="left" w:leader="none"/>
                                    </w:tabs>
                                    <w:spacing w:before="18"/>
                                    <w:ind w:right="99"/>
                                    <w:jc w:val="right"/>
                                    <w:rPr>
                                      <w:sz w:val="18"/>
                                    </w:rPr>
                                  </w:pPr>
                                  <w:r>
                                    <w:rPr>
                                      <w:spacing w:val="-10"/>
                                      <w:sz w:val="18"/>
                                    </w:rPr>
                                    <w:t>$</w:t>
                                  </w:r>
                                  <w:r>
                                    <w:rPr>
                                      <w:sz w:val="18"/>
                                    </w:rPr>
                                    <w:tab/>
                                  </w:r>
                                  <w:r>
                                    <w:rPr>
                                      <w:spacing w:val="-2"/>
                                      <w:sz w:val="18"/>
                                    </w:rPr>
                                    <w:t>6,515</w:t>
                                  </w:r>
                                </w:p>
                              </w:tc>
                              <w:tc>
                                <w:tcPr>
                                  <w:tcW w:w="713" w:type="dxa"/>
                                </w:tcPr>
                                <w:p>
                                  <w:pPr>
                                    <w:pStyle w:val="TableParagraph"/>
                                    <w:spacing w:before="18"/>
                                    <w:ind w:left="100"/>
                                    <w:rPr>
                                      <w:sz w:val="18"/>
                                    </w:rPr>
                                  </w:pPr>
                                  <w:r>
                                    <w:rPr>
                                      <w:spacing w:val="-10"/>
                                      <w:sz w:val="18"/>
                                    </w:rPr>
                                    <w:t>$</w:t>
                                  </w:r>
                                </w:p>
                              </w:tc>
                              <w:tc>
                                <w:tcPr>
                                  <w:tcW w:w="2262" w:type="dxa"/>
                                  <w:gridSpan w:val="2"/>
                                </w:tcPr>
                                <w:p>
                                  <w:pPr>
                                    <w:pStyle w:val="TableParagraph"/>
                                    <w:tabs>
                                      <w:tab w:pos="902" w:val="left" w:leader="none"/>
                                      <w:tab w:pos="1704" w:val="left" w:leader="none"/>
                                    </w:tabs>
                                    <w:spacing w:before="18"/>
                                    <w:ind w:left="520"/>
                                    <w:rPr>
                                      <w:sz w:val="18"/>
                                    </w:rPr>
                                  </w:pPr>
                                  <w:r>
                                    <w:rPr>
                                      <w:spacing w:val="-10"/>
                                      <w:sz w:val="18"/>
                                    </w:rPr>
                                    <w:t>—</w:t>
                                  </w:r>
                                  <w:r>
                                    <w:rPr>
                                      <w:sz w:val="18"/>
                                    </w:rPr>
                                    <w:tab/>
                                  </w:r>
                                  <w:r>
                                    <w:rPr>
                                      <w:spacing w:val="-10"/>
                                      <w:sz w:val="18"/>
                                    </w:rPr>
                                    <w:t>$</w:t>
                                  </w:r>
                                  <w:r>
                                    <w:rPr>
                                      <w:sz w:val="18"/>
                                    </w:rPr>
                                    <w:tab/>
                                  </w:r>
                                  <w:r>
                                    <w:rPr>
                                      <w:spacing w:val="-2"/>
                                      <w:sz w:val="18"/>
                                    </w:rPr>
                                    <w:t>6,515</w:t>
                                  </w:r>
                                </w:p>
                              </w:tc>
                              <w:tc>
                                <w:tcPr>
                                  <w:tcW w:w="1182" w:type="dxa"/>
                                </w:tcPr>
                                <w:p>
                                  <w:pPr>
                                    <w:pStyle w:val="TableParagraph"/>
                                    <w:tabs>
                                      <w:tab w:pos="817" w:val="left" w:leader="none"/>
                                    </w:tabs>
                                    <w:spacing w:before="18"/>
                                    <w:ind w:right="131"/>
                                    <w:jc w:val="right"/>
                                    <w:rPr>
                                      <w:sz w:val="18"/>
                                    </w:rPr>
                                  </w:pPr>
                                  <w:r>
                                    <w:rPr>
                                      <w:spacing w:val="-10"/>
                                      <w:sz w:val="18"/>
                                    </w:rPr>
                                    <w:t>$</w:t>
                                  </w:r>
                                  <w:r>
                                    <w:rPr>
                                      <w:sz w:val="18"/>
                                    </w:rPr>
                                    <w:tab/>
                                  </w:r>
                                  <w:r>
                                    <w:rPr>
                                      <w:spacing w:val="-10"/>
                                      <w:sz w:val="18"/>
                                    </w:rPr>
                                    <w:t>—</w:t>
                                  </w:r>
                                </w:p>
                              </w:tc>
                              <w:tc>
                                <w:tcPr>
                                  <w:tcW w:w="1103" w:type="dxa"/>
                                </w:tcPr>
                                <w:p>
                                  <w:pPr>
                                    <w:pStyle w:val="TableParagraph"/>
                                    <w:tabs>
                                      <w:tab w:pos="472" w:val="left" w:leader="none"/>
                                    </w:tabs>
                                    <w:spacing w:before="18"/>
                                    <w:ind w:right="34"/>
                                    <w:jc w:val="right"/>
                                    <w:rPr>
                                      <w:sz w:val="18"/>
                                    </w:rPr>
                                  </w:pPr>
                                  <w:r>
                                    <w:rPr>
                                      <w:spacing w:val="-10"/>
                                      <w:sz w:val="18"/>
                                    </w:rPr>
                                    <w:t>$</w:t>
                                  </w:r>
                                  <w:r>
                                    <w:rPr>
                                      <w:sz w:val="18"/>
                                    </w:rPr>
                                    <w:tab/>
                                  </w:r>
                                  <w:r>
                                    <w:rPr>
                                      <w:spacing w:val="-2"/>
                                      <w:sz w:val="18"/>
                                    </w:rPr>
                                    <w:t>(6,515)</w:t>
                                  </w:r>
                                </w:p>
                              </w:tc>
                              <w:tc>
                                <w:tcPr>
                                  <w:tcW w:w="1213" w:type="dxa"/>
                                  <w:gridSpan w:val="2"/>
                                </w:tcPr>
                                <w:p>
                                  <w:pPr>
                                    <w:pStyle w:val="TableParagraph"/>
                                    <w:tabs>
                                      <w:tab w:pos="952" w:val="left" w:leader="none"/>
                                    </w:tabs>
                                    <w:spacing w:before="18"/>
                                    <w:ind w:left="420"/>
                                    <w:rPr>
                                      <w:sz w:val="18"/>
                                    </w:rPr>
                                  </w:pPr>
                                  <w:r>
                                    <w:rPr>
                                      <w:spacing w:val="-10"/>
                                      <w:sz w:val="18"/>
                                    </w:rPr>
                                    <w:t>$</w:t>
                                  </w:r>
                                  <w:r>
                                    <w:rPr>
                                      <w:sz w:val="18"/>
                                    </w:rPr>
                                    <w:tab/>
                                  </w:r>
                                  <w:r>
                                    <w:rPr>
                                      <w:spacing w:val="-10"/>
                                      <w:sz w:val="18"/>
                                    </w:rPr>
                                    <w:t>—</w:t>
                                  </w:r>
                                </w:p>
                              </w:tc>
                            </w:tr>
                            <w:tr>
                              <w:trPr>
                                <w:trHeight w:val="255" w:hRule="atLeast"/>
                              </w:trPr>
                              <w:tc>
                                <w:tcPr>
                                  <w:tcW w:w="2695" w:type="dxa"/>
                                  <w:shd w:val="clear" w:color="auto" w:fill="CCEDFF"/>
                                </w:tcPr>
                                <w:p>
                                  <w:pPr>
                                    <w:pStyle w:val="TableParagraph"/>
                                    <w:spacing w:before="18"/>
                                    <w:ind w:left="172"/>
                                    <w:rPr>
                                      <w:sz w:val="18"/>
                                    </w:rPr>
                                  </w:pPr>
                                  <w:r>
                                    <w:rPr>
                                      <w:sz w:val="18"/>
                                    </w:rPr>
                                    <w:t>Securities</w:t>
                                  </w:r>
                                  <w:r>
                                    <w:rPr>
                                      <w:spacing w:val="-2"/>
                                      <w:sz w:val="18"/>
                                    </w:rPr>
                                    <w:t> </w:t>
                                  </w:r>
                                  <w:r>
                                    <w:rPr>
                                      <w:sz w:val="18"/>
                                    </w:rPr>
                                    <w:t>loaned</w:t>
                                  </w:r>
                                  <w:r>
                                    <w:rPr>
                                      <w:spacing w:val="-17"/>
                                      <w:sz w:val="18"/>
                                    </w:rPr>
                                    <w:t> </w:t>
                                  </w:r>
                                  <w:r>
                                    <w:rPr>
                                      <w:spacing w:val="-5"/>
                                      <w:sz w:val="18"/>
                                      <w:vertAlign w:val="superscript"/>
                                    </w:rPr>
                                    <w:t>(7)</w:t>
                                  </w:r>
                                </w:p>
                              </w:tc>
                              <w:tc>
                                <w:tcPr>
                                  <w:tcW w:w="1097" w:type="dxa"/>
                                  <w:shd w:val="clear" w:color="auto" w:fill="CCEDFF"/>
                                </w:tcPr>
                                <w:p>
                                  <w:pPr>
                                    <w:pStyle w:val="TableParagraph"/>
                                    <w:spacing w:before="18"/>
                                    <w:ind w:right="99"/>
                                    <w:jc w:val="right"/>
                                    <w:rPr>
                                      <w:sz w:val="18"/>
                                    </w:rPr>
                                  </w:pPr>
                                  <w:r>
                                    <w:rPr>
                                      <w:spacing w:val="-2"/>
                                      <w:sz w:val="18"/>
                                    </w:rPr>
                                    <w:t>5,878</w:t>
                                  </w:r>
                                </w:p>
                              </w:tc>
                              <w:tc>
                                <w:tcPr>
                                  <w:tcW w:w="713" w:type="dxa"/>
                                  <w:shd w:val="clear" w:color="auto" w:fill="CCEDFF"/>
                                </w:tcPr>
                                <w:p>
                                  <w:pPr>
                                    <w:pStyle w:val="TableParagraph"/>
                                    <w:rPr>
                                      <w:sz w:val="16"/>
                                    </w:rPr>
                                  </w:pPr>
                                </w:p>
                              </w:tc>
                              <w:tc>
                                <w:tcPr>
                                  <w:tcW w:w="2262" w:type="dxa"/>
                                  <w:gridSpan w:val="2"/>
                                  <w:shd w:val="clear" w:color="auto" w:fill="CCEDFF"/>
                                </w:tcPr>
                                <w:p>
                                  <w:pPr>
                                    <w:pStyle w:val="TableParagraph"/>
                                    <w:tabs>
                                      <w:tab w:pos="1704" w:val="left" w:leader="none"/>
                                    </w:tabs>
                                    <w:spacing w:before="18"/>
                                    <w:ind w:left="520"/>
                                    <w:rPr>
                                      <w:sz w:val="18"/>
                                    </w:rPr>
                                  </w:pPr>
                                  <w:r>
                                    <w:rPr>
                                      <w:spacing w:val="-10"/>
                                      <w:sz w:val="18"/>
                                    </w:rPr>
                                    <w:t>—</w:t>
                                  </w:r>
                                  <w:r>
                                    <w:rPr>
                                      <w:sz w:val="18"/>
                                    </w:rPr>
                                    <w:tab/>
                                  </w:r>
                                  <w:r>
                                    <w:rPr>
                                      <w:spacing w:val="-2"/>
                                      <w:sz w:val="18"/>
                                    </w:rPr>
                                    <w:t>5,878</w:t>
                                  </w:r>
                                </w:p>
                              </w:tc>
                              <w:tc>
                                <w:tcPr>
                                  <w:tcW w:w="1182" w:type="dxa"/>
                                  <w:shd w:val="clear" w:color="auto" w:fill="CCEDFF"/>
                                </w:tcPr>
                                <w:p>
                                  <w:pPr>
                                    <w:pStyle w:val="TableParagraph"/>
                                    <w:spacing w:before="18"/>
                                    <w:ind w:right="71"/>
                                    <w:jc w:val="right"/>
                                    <w:rPr>
                                      <w:sz w:val="18"/>
                                    </w:rPr>
                                  </w:pPr>
                                  <w:r>
                                    <w:rPr>
                                      <w:spacing w:val="-2"/>
                                      <w:sz w:val="18"/>
                                    </w:rPr>
                                    <w:t>(646)</w:t>
                                  </w:r>
                                </w:p>
                              </w:tc>
                              <w:tc>
                                <w:tcPr>
                                  <w:tcW w:w="1103" w:type="dxa"/>
                                  <w:shd w:val="clear" w:color="auto" w:fill="CCEDFF"/>
                                </w:tcPr>
                                <w:p>
                                  <w:pPr>
                                    <w:pStyle w:val="TableParagraph"/>
                                    <w:spacing w:before="18"/>
                                    <w:ind w:right="34"/>
                                    <w:jc w:val="right"/>
                                    <w:rPr>
                                      <w:sz w:val="18"/>
                                    </w:rPr>
                                  </w:pPr>
                                  <w:r>
                                    <w:rPr>
                                      <w:spacing w:val="-2"/>
                                      <w:sz w:val="18"/>
                                    </w:rPr>
                                    <w:t>(4,721)</w:t>
                                  </w:r>
                                </w:p>
                              </w:tc>
                              <w:tc>
                                <w:tcPr>
                                  <w:tcW w:w="1213" w:type="dxa"/>
                                  <w:gridSpan w:val="2"/>
                                  <w:shd w:val="clear" w:color="auto" w:fill="CCEDFF"/>
                                </w:tcPr>
                                <w:p>
                                  <w:pPr>
                                    <w:pStyle w:val="TableParagraph"/>
                                    <w:spacing w:before="18"/>
                                    <w:ind w:right="77"/>
                                    <w:jc w:val="right"/>
                                    <w:rPr>
                                      <w:sz w:val="18"/>
                                    </w:rPr>
                                  </w:pPr>
                                  <w:r>
                                    <w:rPr>
                                      <w:spacing w:val="-5"/>
                                      <w:sz w:val="18"/>
                                    </w:rPr>
                                    <w:t>511</w:t>
                                  </w:r>
                                </w:p>
                              </w:tc>
                            </w:tr>
                            <w:tr>
                              <w:trPr>
                                <w:trHeight w:val="250" w:hRule="atLeast"/>
                              </w:trPr>
                              <w:tc>
                                <w:tcPr>
                                  <w:tcW w:w="2695" w:type="dxa"/>
                                  <w:tcBorders>
                                    <w:bottom w:val="single" w:sz="4" w:space="0" w:color="000000"/>
                                  </w:tcBorders>
                                </w:tcPr>
                                <w:p>
                                  <w:pPr>
                                    <w:pStyle w:val="TableParagraph"/>
                                    <w:spacing w:before="18"/>
                                    <w:ind w:left="172"/>
                                    <w:rPr>
                                      <w:sz w:val="18"/>
                                    </w:rPr>
                                  </w:pPr>
                                  <w:r>
                                    <w:rPr>
                                      <w:sz w:val="18"/>
                                    </w:rPr>
                                    <w:t>Secured</w:t>
                                  </w:r>
                                  <w:r>
                                    <w:rPr>
                                      <w:spacing w:val="-2"/>
                                      <w:sz w:val="18"/>
                                    </w:rPr>
                                    <w:t> </w:t>
                                  </w:r>
                                  <w:r>
                                    <w:rPr>
                                      <w:sz w:val="18"/>
                                    </w:rPr>
                                    <w:t>short-term</w:t>
                                  </w:r>
                                  <w:r>
                                    <w:rPr>
                                      <w:spacing w:val="-1"/>
                                      <w:sz w:val="18"/>
                                    </w:rPr>
                                    <w:t> </w:t>
                                  </w:r>
                                  <w:r>
                                    <w:rPr>
                                      <w:sz w:val="18"/>
                                    </w:rPr>
                                    <w:t>borrowings</w:t>
                                  </w:r>
                                  <w:r>
                                    <w:rPr>
                                      <w:spacing w:val="-2"/>
                                      <w:sz w:val="18"/>
                                    </w:rPr>
                                    <w:t> </w:t>
                                  </w:r>
                                  <w:r>
                                    <w:rPr>
                                      <w:spacing w:val="-5"/>
                                      <w:sz w:val="18"/>
                                      <w:vertAlign w:val="superscript"/>
                                    </w:rPr>
                                    <w:t>(8)</w:t>
                                  </w:r>
                                </w:p>
                              </w:tc>
                              <w:tc>
                                <w:tcPr>
                                  <w:tcW w:w="1097" w:type="dxa"/>
                                  <w:tcBorders>
                                    <w:bottom w:val="single" w:sz="4" w:space="0" w:color="000000"/>
                                  </w:tcBorders>
                                </w:tcPr>
                                <w:p>
                                  <w:pPr>
                                    <w:pStyle w:val="TableParagraph"/>
                                    <w:spacing w:before="18"/>
                                    <w:ind w:right="99"/>
                                    <w:jc w:val="right"/>
                                    <w:rPr>
                                      <w:sz w:val="18"/>
                                    </w:rPr>
                                  </w:pPr>
                                  <w:r>
                                    <w:rPr>
                                      <w:spacing w:val="-5"/>
                                      <w:sz w:val="18"/>
                                    </w:rPr>
                                    <w:t>950</w:t>
                                  </w:r>
                                </w:p>
                              </w:tc>
                              <w:tc>
                                <w:tcPr>
                                  <w:tcW w:w="713" w:type="dxa"/>
                                  <w:tcBorders>
                                    <w:bottom w:val="single" w:sz="4" w:space="0" w:color="000000"/>
                                  </w:tcBorders>
                                </w:tcPr>
                                <w:p>
                                  <w:pPr>
                                    <w:pStyle w:val="TableParagraph"/>
                                    <w:rPr>
                                      <w:sz w:val="16"/>
                                    </w:rPr>
                                  </w:pPr>
                                </w:p>
                              </w:tc>
                              <w:tc>
                                <w:tcPr>
                                  <w:tcW w:w="2262" w:type="dxa"/>
                                  <w:gridSpan w:val="2"/>
                                  <w:tcBorders>
                                    <w:bottom w:val="single" w:sz="4" w:space="0" w:color="000000"/>
                                  </w:tcBorders>
                                </w:tcPr>
                                <w:p>
                                  <w:pPr>
                                    <w:pStyle w:val="TableParagraph"/>
                                    <w:tabs>
                                      <w:tab w:pos="1839" w:val="left" w:leader="none"/>
                                    </w:tabs>
                                    <w:spacing w:before="18"/>
                                    <w:ind w:left="520"/>
                                    <w:rPr>
                                      <w:sz w:val="18"/>
                                    </w:rPr>
                                  </w:pPr>
                                  <w:r>
                                    <w:rPr>
                                      <w:spacing w:val="-10"/>
                                      <w:sz w:val="18"/>
                                    </w:rPr>
                                    <w:t>—</w:t>
                                  </w:r>
                                  <w:r>
                                    <w:rPr>
                                      <w:sz w:val="18"/>
                                    </w:rPr>
                                    <w:tab/>
                                  </w:r>
                                  <w:r>
                                    <w:rPr>
                                      <w:spacing w:val="-5"/>
                                      <w:sz w:val="18"/>
                                    </w:rPr>
                                    <w:t>950</w:t>
                                  </w:r>
                                </w:p>
                              </w:tc>
                              <w:tc>
                                <w:tcPr>
                                  <w:tcW w:w="1182" w:type="dxa"/>
                                  <w:tcBorders>
                                    <w:bottom w:val="single" w:sz="4" w:space="0" w:color="000000"/>
                                  </w:tcBorders>
                                </w:tcPr>
                                <w:p>
                                  <w:pPr>
                                    <w:pStyle w:val="TableParagraph"/>
                                    <w:spacing w:before="18"/>
                                    <w:ind w:right="131"/>
                                    <w:jc w:val="right"/>
                                    <w:rPr>
                                      <w:sz w:val="18"/>
                                    </w:rPr>
                                  </w:pPr>
                                  <w:r>
                                    <w:rPr>
                                      <w:spacing w:val="-10"/>
                                      <w:sz w:val="18"/>
                                    </w:rPr>
                                    <w:t>—</w:t>
                                  </w:r>
                                </w:p>
                              </w:tc>
                              <w:tc>
                                <w:tcPr>
                                  <w:tcW w:w="1103" w:type="dxa"/>
                                  <w:tcBorders>
                                    <w:bottom w:val="single" w:sz="4" w:space="0" w:color="000000"/>
                                  </w:tcBorders>
                                </w:tcPr>
                                <w:p>
                                  <w:pPr>
                                    <w:pStyle w:val="TableParagraph"/>
                                    <w:spacing w:before="18"/>
                                    <w:ind w:right="34"/>
                                    <w:jc w:val="right"/>
                                    <w:rPr>
                                      <w:sz w:val="18"/>
                                    </w:rPr>
                                  </w:pPr>
                                  <w:r>
                                    <w:rPr>
                                      <w:spacing w:val="-2"/>
                                      <w:sz w:val="18"/>
                                    </w:rPr>
                                    <w:t>(950)</w:t>
                                  </w:r>
                                </w:p>
                              </w:tc>
                              <w:tc>
                                <w:tcPr>
                                  <w:tcW w:w="1213" w:type="dxa"/>
                                  <w:gridSpan w:val="2"/>
                                  <w:tcBorders>
                                    <w:bottom w:val="single" w:sz="4" w:space="0" w:color="000000"/>
                                  </w:tcBorders>
                                </w:tcPr>
                                <w:p>
                                  <w:pPr>
                                    <w:pStyle w:val="TableParagraph"/>
                                    <w:spacing w:before="18"/>
                                    <w:ind w:right="77"/>
                                    <w:jc w:val="right"/>
                                    <w:rPr>
                                      <w:sz w:val="18"/>
                                    </w:rPr>
                                  </w:pPr>
                                  <w:r>
                                    <w:rPr>
                                      <w:spacing w:val="-10"/>
                                      <w:sz w:val="18"/>
                                    </w:rPr>
                                    <w:t>—</w:t>
                                  </w:r>
                                </w:p>
                              </w:tc>
                            </w:tr>
                            <w:tr>
                              <w:trPr>
                                <w:trHeight w:val="220" w:hRule="atLeast"/>
                              </w:trPr>
                              <w:tc>
                                <w:tcPr>
                                  <w:tcW w:w="2695" w:type="dxa"/>
                                  <w:tcBorders>
                                    <w:top w:val="single" w:sz="4" w:space="0" w:color="000000"/>
                                    <w:bottom w:val="double" w:sz="8" w:space="0" w:color="000000"/>
                                  </w:tcBorders>
                                  <w:shd w:val="clear" w:color="auto" w:fill="CCEDFF"/>
                                </w:tcPr>
                                <w:p>
                                  <w:pPr>
                                    <w:pStyle w:val="TableParagraph"/>
                                    <w:spacing w:line="187" w:lineRule="exact" w:before="13"/>
                                    <w:ind w:left="277"/>
                                    <w:rPr>
                                      <w:sz w:val="18"/>
                                    </w:rPr>
                                  </w:pPr>
                                  <w:r>
                                    <w:rPr>
                                      <w:spacing w:val="-2"/>
                                      <w:sz w:val="18"/>
                                    </w:rPr>
                                    <w:t>Total</w:t>
                                  </w:r>
                                </w:p>
                              </w:tc>
                              <w:tc>
                                <w:tcPr>
                                  <w:tcW w:w="1097" w:type="dxa"/>
                                  <w:tcBorders>
                                    <w:top w:val="single" w:sz="4" w:space="0" w:color="000000"/>
                                    <w:bottom w:val="double" w:sz="8" w:space="0" w:color="000000"/>
                                  </w:tcBorders>
                                  <w:shd w:val="clear" w:color="auto" w:fill="CCEDFF"/>
                                </w:tcPr>
                                <w:p>
                                  <w:pPr>
                                    <w:pStyle w:val="TableParagraph"/>
                                    <w:tabs>
                                      <w:tab w:pos="397" w:val="left" w:leader="none"/>
                                    </w:tabs>
                                    <w:spacing w:line="187" w:lineRule="exact" w:before="13"/>
                                    <w:ind w:right="99"/>
                                    <w:jc w:val="right"/>
                                    <w:rPr>
                                      <w:sz w:val="18"/>
                                    </w:rPr>
                                  </w:pPr>
                                  <w:r>
                                    <w:rPr>
                                      <w:spacing w:val="-10"/>
                                      <w:sz w:val="18"/>
                                    </w:rPr>
                                    <w:t>$</w:t>
                                  </w:r>
                                  <w:r>
                                    <w:rPr>
                                      <w:sz w:val="18"/>
                                    </w:rPr>
                                    <w:tab/>
                                  </w:r>
                                  <w:r>
                                    <w:rPr>
                                      <w:spacing w:val="-2"/>
                                      <w:sz w:val="18"/>
                                    </w:rPr>
                                    <w:t>13,343</w:t>
                                  </w:r>
                                </w:p>
                              </w:tc>
                              <w:tc>
                                <w:tcPr>
                                  <w:tcW w:w="713" w:type="dxa"/>
                                  <w:tcBorders>
                                    <w:top w:val="single" w:sz="4" w:space="0" w:color="000000"/>
                                    <w:bottom w:val="double" w:sz="8" w:space="0" w:color="000000"/>
                                  </w:tcBorders>
                                  <w:shd w:val="clear" w:color="auto" w:fill="CCEDFF"/>
                                </w:tcPr>
                                <w:p>
                                  <w:pPr>
                                    <w:pStyle w:val="TableParagraph"/>
                                    <w:spacing w:line="187" w:lineRule="exact" w:before="13"/>
                                    <w:ind w:left="100"/>
                                    <w:rPr>
                                      <w:sz w:val="18"/>
                                    </w:rPr>
                                  </w:pPr>
                                  <w:r>
                                    <w:rPr>
                                      <w:spacing w:val="-10"/>
                                      <w:sz w:val="18"/>
                                    </w:rPr>
                                    <w:t>$</w:t>
                                  </w:r>
                                </w:p>
                              </w:tc>
                              <w:tc>
                                <w:tcPr>
                                  <w:tcW w:w="2262" w:type="dxa"/>
                                  <w:gridSpan w:val="2"/>
                                  <w:tcBorders>
                                    <w:top w:val="single" w:sz="4" w:space="0" w:color="000000"/>
                                    <w:bottom w:val="double" w:sz="8" w:space="0" w:color="000000"/>
                                  </w:tcBorders>
                                  <w:shd w:val="clear" w:color="auto" w:fill="CCEDFF"/>
                                </w:tcPr>
                                <w:p>
                                  <w:pPr>
                                    <w:pStyle w:val="TableParagraph"/>
                                    <w:tabs>
                                      <w:tab w:pos="902" w:val="left" w:leader="none"/>
                                      <w:tab w:pos="1614" w:val="left" w:leader="none"/>
                                    </w:tabs>
                                    <w:spacing w:line="187" w:lineRule="exact" w:before="13"/>
                                    <w:ind w:left="520"/>
                                    <w:rPr>
                                      <w:sz w:val="18"/>
                                    </w:rPr>
                                  </w:pPr>
                                  <w:r>
                                    <w:rPr>
                                      <w:spacing w:val="-10"/>
                                      <w:sz w:val="18"/>
                                    </w:rPr>
                                    <w:t>—</w:t>
                                  </w:r>
                                  <w:r>
                                    <w:rPr>
                                      <w:sz w:val="18"/>
                                    </w:rPr>
                                    <w:tab/>
                                  </w:r>
                                  <w:r>
                                    <w:rPr>
                                      <w:spacing w:val="-10"/>
                                      <w:sz w:val="18"/>
                                    </w:rPr>
                                    <w:t>$</w:t>
                                  </w:r>
                                  <w:r>
                                    <w:rPr>
                                      <w:sz w:val="18"/>
                                    </w:rPr>
                                    <w:tab/>
                                  </w:r>
                                  <w:r>
                                    <w:rPr>
                                      <w:spacing w:val="-2"/>
                                      <w:sz w:val="18"/>
                                    </w:rPr>
                                    <w:t>13,343</w:t>
                                  </w:r>
                                </w:p>
                              </w:tc>
                              <w:tc>
                                <w:tcPr>
                                  <w:tcW w:w="1182" w:type="dxa"/>
                                  <w:tcBorders>
                                    <w:top w:val="single" w:sz="4" w:space="0" w:color="000000"/>
                                    <w:bottom w:val="double" w:sz="8" w:space="0" w:color="000000"/>
                                  </w:tcBorders>
                                  <w:shd w:val="clear" w:color="auto" w:fill="CCEDFF"/>
                                </w:tcPr>
                                <w:p>
                                  <w:pPr>
                                    <w:pStyle w:val="TableParagraph"/>
                                    <w:tabs>
                                      <w:tab w:pos="667" w:val="left" w:leader="none"/>
                                    </w:tabs>
                                    <w:spacing w:line="187" w:lineRule="exact" w:before="13"/>
                                    <w:ind w:right="71"/>
                                    <w:jc w:val="right"/>
                                    <w:rPr>
                                      <w:sz w:val="18"/>
                                    </w:rPr>
                                  </w:pPr>
                                  <w:r>
                                    <w:rPr>
                                      <w:spacing w:val="-10"/>
                                      <w:sz w:val="18"/>
                                    </w:rPr>
                                    <w:t>$</w:t>
                                  </w:r>
                                  <w:r>
                                    <w:rPr>
                                      <w:sz w:val="18"/>
                                    </w:rPr>
                                    <w:tab/>
                                  </w:r>
                                  <w:r>
                                    <w:rPr>
                                      <w:spacing w:val="-2"/>
                                      <w:sz w:val="18"/>
                                    </w:rPr>
                                    <w:t>(646)</w:t>
                                  </w:r>
                                </w:p>
                              </w:tc>
                              <w:tc>
                                <w:tcPr>
                                  <w:tcW w:w="1103" w:type="dxa"/>
                                  <w:tcBorders>
                                    <w:top w:val="single" w:sz="4" w:space="0" w:color="000000"/>
                                    <w:bottom w:val="double" w:sz="8" w:space="0" w:color="000000"/>
                                  </w:tcBorders>
                                  <w:shd w:val="clear" w:color="auto" w:fill="CCEDFF"/>
                                </w:tcPr>
                                <w:p>
                                  <w:pPr>
                                    <w:pStyle w:val="TableParagraph"/>
                                    <w:tabs>
                                      <w:tab w:pos="382" w:val="left" w:leader="none"/>
                                    </w:tabs>
                                    <w:spacing w:line="187" w:lineRule="exact" w:before="13"/>
                                    <w:ind w:right="34"/>
                                    <w:jc w:val="right"/>
                                    <w:rPr>
                                      <w:sz w:val="18"/>
                                    </w:rPr>
                                  </w:pPr>
                                  <w:r>
                                    <w:rPr>
                                      <w:spacing w:val="-10"/>
                                      <w:sz w:val="18"/>
                                    </w:rPr>
                                    <w:t>$</w:t>
                                  </w:r>
                                  <w:r>
                                    <w:rPr>
                                      <w:sz w:val="18"/>
                                    </w:rPr>
                                    <w:tab/>
                                  </w:r>
                                  <w:r>
                                    <w:rPr>
                                      <w:spacing w:val="-2"/>
                                      <w:sz w:val="18"/>
                                    </w:rPr>
                                    <w:t>(12,186)</w:t>
                                  </w:r>
                                </w:p>
                              </w:tc>
                              <w:tc>
                                <w:tcPr>
                                  <w:tcW w:w="1213" w:type="dxa"/>
                                  <w:gridSpan w:val="2"/>
                                  <w:tcBorders>
                                    <w:top w:val="single" w:sz="4" w:space="0" w:color="000000"/>
                                    <w:bottom w:val="double" w:sz="8" w:space="0" w:color="000000"/>
                                  </w:tcBorders>
                                  <w:shd w:val="clear" w:color="auto" w:fill="CCEDFF"/>
                                </w:tcPr>
                                <w:p>
                                  <w:pPr>
                                    <w:pStyle w:val="TableParagraph"/>
                                    <w:tabs>
                                      <w:tab w:pos="862" w:val="left" w:leader="none"/>
                                    </w:tabs>
                                    <w:spacing w:line="187" w:lineRule="exact" w:before="13"/>
                                    <w:ind w:left="420"/>
                                    <w:rPr>
                                      <w:sz w:val="18"/>
                                    </w:rPr>
                                  </w:pPr>
                                  <w:r>
                                    <w:rPr>
                                      <w:spacing w:val="-10"/>
                                      <w:sz w:val="18"/>
                                    </w:rPr>
                                    <w:t>$</w:t>
                                  </w:r>
                                  <w:r>
                                    <w:rPr>
                                      <w:sz w:val="18"/>
                                    </w:rPr>
                                    <w:tab/>
                                  </w:r>
                                  <w:r>
                                    <w:rPr>
                                      <w:spacing w:val="-5"/>
                                      <w:sz w:val="18"/>
                                    </w:rPr>
                                    <w:t>511</w:t>
                                  </w:r>
                                </w:p>
                              </w:tc>
                            </w:tr>
                          </w:tbl>
                          <w:p>
                            <w:pPr>
                              <w:pStyle w:val="BodyText"/>
                            </w:pPr>
                          </w:p>
                        </w:txbxContent>
                      </wps:txbx>
                      <wps:bodyPr wrap="square" lIns="0" tIns="0" rIns="0" bIns="0" rtlCol="0">
                        <a:noAutofit/>
                      </wps:bodyPr>
                    </wps:wsp>
                  </a:graphicData>
                </a:graphic>
              </wp:anchor>
            </w:drawing>
          </mc:Choice>
          <mc:Fallback>
            <w:pict>
              <v:shape style="position:absolute;margin-left:46.5pt;margin-top:-178.620865pt;width:519pt;height:163.7pt;mso-position-horizontal-relative:page;mso-position-vertical-relative:paragraph;z-index:15767040" type="#_x0000_t202" id="docshape43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5"/>
                        <w:gridCol w:w="1097"/>
                        <w:gridCol w:w="713"/>
                        <w:gridCol w:w="803"/>
                        <w:gridCol w:w="1459"/>
                        <w:gridCol w:w="1182"/>
                        <w:gridCol w:w="1103"/>
                        <w:gridCol w:w="297"/>
                        <w:gridCol w:w="916"/>
                      </w:tblGrid>
                      <w:tr>
                        <w:trPr>
                          <w:trHeight w:val="425" w:hRule="atLeast"/>
                        </w:trPr>
                        <w:tc>
                          <w:tcPr>
                            <w:tcW w:w="2695" w:type="dxa"/>
                            <w:tcBorders>
                              <w:bottom w:val="single" w:sz="4" w:space="0" w:color="000000"/>
                            </w:tcBorders>
                          </w:tcPr>
                          <w:p>
                            <w:pPr>
                              <w:pStyle w:val="TableParagraph"/>
                              <w:rPr>
                                <w:sz w:val="16"/>
                              </w:rPr>
                            </w:pPr>
                          </w:p>
                        </w:tc>
                        <w:tc>
                          <w:tcPr>
                            <w:tcW w:w="1097" w:type="dxa"/>
                            <w:tcBorders>
                              <w:bottom w:val="single" w:sz="4" w:space="0" w:color="000000"/>
                            </w:tcBorders>
                          </w:tcPr>
                          <w:p>
                            <w:pPr>
                              <w:pStyle w:val="TableParagraph"/>
                              <w:spacing w:line="208" w:lineRule="auto" w:before="35"/>
                              <w:ind w:left="195" w:firstLine="105"/>
                              <w:rPr>
                                <w:sz w:val="18"/>
                              </w:rPr>
                            </w:pPr>
                            <w:r>
                              <w:rPr>
                                <w:spacing w:val="-2"/>
                                <w:sz w:val="18"/>
                              </w:rPr>
                              <w:t>Assets/ Liabilities</w:t>
                            </w:r>
                          </w:p>
                        </w:tc>
                        <w:tc>
                          <w:tcPr>
                            <w:tcW w:w="1516" w:type="dxa"/>
                            <w:gridSpan w:val="2"/>
                            <w:tcBorders>
                              <w:bottom w:val="single" w:sz="4" w:space="0" w:color="000000"/>
                            </w:tcBorders>
                          </w:tcPr>
                          <w:p>
                            <w:pPr>
                              <w:pStyle w:val="TableParagraph"/>
                              <w:spacing w:line="208" w:lineRule="auto" w:before="35"/>
                              <w:ind w:left="221" w:right="192" w:firstLine="72"/>
                              <w:rPr>
                                <w:sz w:val="18"/>
                              </w:rPr>
                            </w:pPr>
                            <w:r>
                              <w:rPr>
                                <w:spacing w:val="-2"/>
                                <w:sz w:val="18"/>
                              </w:rPr>
                              <w:t>Consolidated </w:t>
                            </w:r>
                            <w:r>
                              <w:rPr>
                                <w:sz w:val="18"/>
                              </w:rPr>
                              <w:t>Balance </w:t>
                            </w:r>
                            <w:r>
                              <w:rPr>
                                <w:spacing w:val="-2"/>
                                <w:sz w:val="18"/>
                              </w:rPr>
                              <w:t>Sheets</w:t>
                            </w:r>
                          </w:p>
                        </w:tc>
                        <w:tc>
                          <w:tcPr>
                            <w:tcW w:w="1459" w:type="dxa"/>
                            <w:tcBorders>
                              <w:bottom w:val="single" w:sz="4" w:space="0" w:color="000000"/>
                            </w:tcBorders>
                          </w:tcPr>
                          <w:p>
                            <w:pPr>
                              <w:pStyle w:val="TableParagraph"/>
                              <w:spacing w:line="208" w:lineRule="auto" w:before="35"/>
                              <w:ind w:left="167" w:right="189" w:firstLine="72"/>
                              <w:rPr>
                                <w:sz w:val="18"/>
                              </w:rPr>
                            </w:pPr>
                            <w:r>
                              <w:rPr>
                                <w:spacing w:val="-2"/>
                                <w:sz w:val="18"/>
                              </w:rPr>
                              <w:t>Consolidated </w:t>
                            </w:r>
                            <w:r>
                              <w:rPr>
                                <w:sz w:val="18"/>
                              </w:rPr>
                              <w:t>Balance </w:t>
                            </w:r>
                            <w:r>
                              <w:rPr>
                                <w:spacing w:val="-2"/>
                                <w:sz w:val="18"/>
                              </w:rPr>
                              <w:t>Sheets</w:t>
                            </w:r>
                          </w:p>
                        </w:tc>
                        <w:tc>
                          <w:tcPr>
                            <w:tcW w:w="1182" w:type="dxa"/>
                            <w:tcBorders>
                              <w:top w:val="single" w:sz="4" w:space="0" w:color="000000"/>
                              <w:bottom w:val="single" w:sz="4" w:space="0" w:color="000000"/>
                            </w:tcBorders>
                          </w:tcPr>
                          <w:p>
                            <w:pPr>
                              <w:pStyle w:val="TableParagraph"/>
                              <w:spacing w:line="208" w:lineRule="auto" w:before="35"/>
                              <w:ind w:left="195" w:right="144" w:hanging="110"/>
                              <w:rPr>
                                <w:sz w:val="18"/>
                              </w:rPr>
                            </w:pPr>
                            <w:r>
                              <w:rPr>
                                <w:spacing w:val="-2"/>
                                <w:sz w:val="18"/>
                              </w:rPr>
                              <w:t>Counterparty Offsetting</w:t>
                            </w:r>
                          </w:p>
                        </w:tc>
                        <w:tc>
                          <w:tcPr>
                            <w:tcW w:w="1400" w:type="dxa"/>
                            <w:gridSpan w:val="2"/>
                            <w:tcBorders>
                              <w:top w:val="single" w:sz="4" w:space="0" w:color="000000"/>
                              <w:bottom w:val="single" w:sz="4" w:space="0" w:color="000000"/>
                            </w:tcBorders>
                          </w:tcPr>
                          <w:p>
                            <w:pPr>
                              <w:pStyle w:val="TableParagraph"/>
                              <w:spacing w:before="193"/>
                              <w:ind w:left="351"/>
                              <w:rPr>
                                <w:sz w:val="18"/>
                              </w:rPr>
                            </w:pPr>
                            <w:r>
                              <w:rPr>
                                <w:spacing w:val="-2"/>
                                <w:sz w:val="18"/>
                              </w:rPr>
                              <w:t>Collateral</w:t>
                            </w:r>
                          </w:p>
                        </w:tc>
                        <w:tc>
                          <w:tcPr>
                            <w:tcW w:w="916" w:type="dxa"/>
                            <w:tcBorders>
                              <w:bottom w:val="single" w:sz="4" w:space="0" w:color="000000"/>
                            </w:tcBorders>
                          </w:tcPr>
                          <w:p>
                            <w:pPr>
                              <w:pStyle w:val="TableParagraph"/>
                              <w:spacing w:line="208" w:lineRule="auto" w:before="35"/>
                              <w:ind w:left="196" w:right="122" w:firstLine="165"/>
                              <w:rPr>
                                <w:sz w:val="18"/>
                              </w:rPr>
                            </w:pPr>
                            <w:r>
                              <w:rPr>
                                <w:spacing w:val="-4"/>
                                <w:sz w:val="18"/>
                              </w:rPr>
                              <w:t>Net </w:t>
                            </w:r>
                            <w:r>
                              <w:rPr>
                                <w:spacing w:val="-2"/>
                                <w:sz w:val="18"/>
                              </w:rPr>
                              <w:t>Amount</w:t>
                            </w:r>
                          </w:p>
                        </w:tc>
                      </w:tr>
                      <w:tr>
                        <w:trPr>
                          <w:trHeight w:val="245" w:hRule="atLeast"/>
                        </w:trPr>
                        <w:tc>
                          <w:tcPr>
                            <w:tcW w:w="2695" w:type="dxa"/>
                            <w:tcBorders>
                              <w:top w:val="single" w:sz="4" w:space="0" w:color="000000"/>
                              <w:bottom w:val="single" w:sz="4" w:space="0" w:color="000000"/>
                            </w:tcBorders>
                          </w:tcPr>
                          <w:p>
                            <w:pPr>
                              <w:pStyle w:val="TableParagraph"/>
                              <w:spacing w:before="13"/>
                              <w:ind w:left="52"/>
                              <w:rPr>
                                <w:sz w:val="18"/>
                              </w:rPr>
                            </w:pPr>
                            <w:r>
                              <w:rPr>
                                <w:sz w:val="18"/>
                              </w:rPr>
                              <w:t>September</w:t>
                            </w:r>
                            <w:r>
                              <w:rPr>
                                <w:spacing w:val="-1"/>
                                <w:sz w:val="18"/>
                              </w:rPr>
                              <w:t> </w:t>
                            </w:r>
                            <w:r>
                              <w:rPr>
                                <w:sz w:val="18"/>
                              </w:rPr>
                              <w:t>30, </w:t>
                            </w:r>
                            <w:r>
                              <w:rPr>
                                <w:spacing w:val="-4"/>
                                <w:sz w:val="18"/>
                              </w:rPr>
                              <w:t>2023</w:t>
                            </w:r>
                          </w:p>
                        </w:tc>
                        <w:tc>
                          <w:tcPr>
                            <w:tcW w:w="1097" w:type="dxa"/>
                            <w:tcBorders>
                              <w:top w:val="single" w:sz="4" w:space="0" w:color="000000"/>
                              <w:bottom w:val="single" w:sz="4" w:space="0" w:color="000000"/>
                            </w:tcBorders>
                          </w:tcPr>
                          <w:p>
                            <w:pPr>
                              <w:pStyle w:val="TableParagraph"/>
                              <w:rPr>
                                <w:sz w:val="16"/>
                              </w:rPr>
                            </w:pPr>
                          </w:p>
                        </w:tc>
                        <w:tc>
                          <w:tcPr>
                            <w:tcW w:w="1516" w:type="dxa"/>
                            <w:gridSpan w:val="2"/>
                            <w:tcBorders>
                              <w:top w:val="single" w:sz="4" w:space="0" w:color="000000"/>
                              <w:bottom w:val="single" w:sz="4" w:space="0" w:color="000000"/>
                            </w:tcBorders>
                          </w:tcPr>
                          <w:p>
                            <w:pPr>
                              <w:pStyle w:val="TableParagraph"/>
                              <w:rPr>
                                <w:sz w:val="16"/>
                              </w:rPr>
                            </w:pPr>
                          </w:p>
                        </w:tc>
                        <w:tc>
                          <w:tcPr>
                            <w:tcW w:w="1459" w:type="dxa"/>
                            <w:tcBorders>
                              <w:top w:val="single" w:sz="4" w:space="0" w:color="000000"/>
                              <w:bottom w:val="single" w:sz="4" w:space="0" w:color="000000"/>
                            </w:tcBorders>
                          </w:tcPr>
                          <w:p>
                            <w:pPr>
                              <w:pStyle w:val="TableParagraph"/>
                              <w:rPr>
                                <w:sz w:val="16"/>
                              </w:rPr>
                            </w:pPr>
                          </w:p>
                        </w:tc>
                        <w:tc>
                          <w:tcPr>
                            <w:tcW w:w="1182" w:type="dxa"/>
                            <w:tcBorders>
                              <w:top w:val="single" w:sz="4" w:space="0" w:color="000000"/>
                              <w:bottom w:val="single" w:sz="4" w:space="0" w:color="000000"/>
                            </w:tcBorders>
                          </w:tcPr>
                          <w:p>
                            <w:pPr>
                              <w:pStyle w:val="TableParagraph"/>
                              <w:rPr>
                                <w:sz w:val="16"/>
                              </w:rPr>
                            </w:pPr>
                          </w:p>
                        </w:tc>
                        <w:tc>
                          <w:tcPr>
                            <w:tcW w:w="1400" w:type="dxa"/>
                            <w:gridSpan w:val="2"/>
                            <w:tcBorders>
                              <w:top w:val="single" w:sz="4" w:space="0" w:color="000000"/>
                              <w:bottom w:val="single" w:sz="4" w:space="0" w:color="000000"/>
                            </w:tcBorders>
                          </w:tcPr>
                          <w:p>
                            <w:pPr>
                              <w:pStyle w:val="TableParagraph"/>
                              <w:rPr>
                                <w:sz w:val="16"/>
                              </w:rPr>
                            </w:pPr>
                          </w:p>
                        </w:tc>
                        <w:tc>
                          <w:tcPr>
                            <w:tcW w:w="916" w:type="dxa"/>
                            <w:tcBorders>
                              <w:top w:val="single" w:sz="4" w:space="0" w:color="000000"/>
                              <w:bottom w:val="single" w:sz="4" w:space="0" w:color="000000"/>
                            </w:tcBorders>
                          </w:tcPr>
                          <w:p>
                            <w:pPr>
                              <w:pStyle w:val="TableParagraph"/>
                              <w:rPr>
                                <w:sz w:val="16"/>
                              </w:rPr>
                            </w:pPr>
                          </w:p>
                        </w:tc>
                      </w:tr>
                      <w:tr>
                        <w:trPr>
                          <w:trHeight w:val="250" w:hRule="atLeast"/>
                        </w:trPr>
                        <w:tc>
                          <w:tcPr>
                            <w:tcW w:w="2695" w:type="dxa"/>
                            <w:tcBorders>
                              <w:top w:val="single" w:sz="4" w:space="0" w:color="000000"/>
                            </w:tcBorders>
                          </w:tcPr>
                          <w:p>
                            <w:pPr>
                              <w:pStyle w:val="TableParagraph"/>
                              <w:spacing w:before="7"/>
                              <w:ind w:left="52"/>
                              <w:rPr>
                                <w:b/>
                                <w:sz w:val="18"/>
                              </w:rPr>
                            </w:pPr>
                            <w:r>
                              <w:rPr>
                                <w:b/>
                                <w:spacing w:val="-2"/>
                                <w:sz w:val="18"/>
                              </w:rPr>
                              <w:t>Assets</w:t>
                            </w:r>
                          </w:p>
                        </w:tc>
                        <w:tc>
                          <w:tcPr>
                            <w:tcW w:w="1097" w:type="dxa"/>
                            <w:tcBorders>
                              <w:top w:val="single" w:sz="4" w:space="0" w:color="000000"/>
                            </w:tcBorders>
                          </w:tcPr>
                          <w:p>
                            <w:pPr>
                              <w:pStyle w:val="TableParagraph"/>
                              <w:rPr>
                                <w:sz w:val="16"/>
                              </w:rPr>
                            </w:pPr>
                          </w:p>
                        </w:tc>
                        <w:tc>
                          <w:tcPr>
                            <w:tcW w:w="1516" w:type="dxa"/>
                            <w:gridSpan w:val="2"/>
                            <w:tcBorders>
                              <w:top w:val="single" w:sz="4" w:space="0" w:color="000000"/>
                            </w:tcBorders>
                          </w:tcPr>
                          <w:p>
                            <w:pPr>
                              <w:pStyle w:val="TableParagraph"/>
                              <w:rPr>
                                <w:sz w:val="16"/>
                              </w:rPr>
                            </w:pPr>
                          </w:p>
                        </w:tc>
                        <w:tc>
                          <w:tcPr>
                            <w:tcW w:w="1459" w:type="dxa"/>
                            <w:tcBorders>
                              <w:top w:val="single" w:sz="4" w:space="0" w:color="000000"/>
                            </w:tcBorders>
                          </w:tcPr>
                          <w:p>
                            <w:pPr>
                              <w:pStyle w:val="TableParagraph"/>
                              <w:rPr>
                                <w:sz w:val="16"/>
                              </w:rPr>
                            </w:pPr>
                          </w:p>
                        </w:tc>
                        <w:tc>
                          <w:tcPr>
                            <w:tcW w:w="1182" w:type="dxa"/>
                            <w:tcBorders>
                              <w:top w:val="single" w:sz="4" w:space="0" w:color="000000"/>
                            </w:tcBorders>
                          </w:tcPr>
                          <w:p>
                            <w:pPr>
                              <w:pStyle w:val="TableParagraph"/>
                              <w:rPr>
                                <w:sz w:val="16"/>
                              </w:rPr>
                            </w:pPr>
                          </w:p>
                        </w:tc>
                        <w:tc>
                          <w:tcPr>
                            <w:tcW w:w="1400" w:type="dxa"/>
                            <w:gridSpan w:val="2"/>
                            <w:tcBorders>
                              <w:top w:val="single" w:sz="4" w:space="0" w:color="000000"/>
                            </w:tcBorders>
                          </w:tcPr>
                          <w:p>
                            <w:pPr>
                              <w:pStyle w:val="TableParagraph"/>
                              <w:rPr>
                                <w:sz w:val="16"/>
                              </w:rPr>
                            </w:pPr>
                          </w:p>
                        </w:tc>
                        <w:tc>
                          <w:tcPr>
                            <w:tcW w:w="916" w:type="dxa"/>
                            <w:tcBorders>
                              <w:top w:val="single" w:sz="4" w:space="0" w:color="000000"/>
                            </w:tcBorders>
                          </w:tcPr>
                          <w:p>
                            <w:pPr>
                              <w:pStyle w:val="TableParagraph"/>
                              <w:rPr>
                                <w:sz w:val="16"/>
                              </w:rPr>
                            </w:pPr>
                          </w:p>
                        </w:tc>
                      </w:tr>
                      <w:tr>
                        <w:trPr>
                          <w:trHeight w:val="255" w:hRule="atLeast"/>
                        </w:trPr>
                        <w:tc>
                          <w:tcPr>
                            <w:tcW w:w="2695" w:type="dxa"/>
                            <w:shd w:val="clear" w:color="auto" w:fill="CCEDFF"/>
                          </w:tcPr>
                          <w:p>
                            <w:pPr>
                              <w:pStyle w:val="TableParagraph"/>
                              <w:spacing w:before="18"/>
                              <w:ind w:left="172"/>
                              <w:rPr>
                                <w:sz w:val="18"/>
                              </w:rPr>
                            </w:pPr>
                            <w:r>
                              <w:rPr>
                                <w:sz w:val="18"/>
                              </w:rPr>
                              <w:t>Resale</w:t>
                            </w:r>
                            <w:r>
                              <w:rPr>
                                <w:spacing w:val="-1"/>
                                <w:sz w:val="18"/>
                              </w:rPr>
                              <w:t> </w:t>
                            </w:r>
                            <w:r>
                              <w:rPr>
                                <w:sz w:val="18"/>
                              </w:rPr>
                              <w:t>agreements</w:t>
                            </w:r>
                            <w:r>
                              <w:rPr>
                                <w:spacing w:val="-2"/>
                                <w:sz w:val="18"/>
                              </w:rPr>
                              <w:t> </w:t>
                            </w:r>
                            <w:r>
                              <w:rPr>
                                <w:spacing w:val="-5"/>
                                <w:sz w:val="18"/>
                                <w:vertAlign w:val="superscript"/>
                              </w:rPr>
                              <w:t>(1)</w:t>
                            </w:r>
                          </w:p>
                        </w:tc>
                        <w:tc>
                          <w:tcPr>
                            <w:tcW w:w="1097" w:type="dxa"/>
                            <w:shd w:val="clear" w:color="auto" w:fill="CCEDFF"/>
                          </w:tcPr>
                          <w:p>
                            <w:pPr>
                              <w:pStyle w:val="TableParagraph"/>
                              <w:tabs>
                                <w:tab w:pos="487" w:val="left" w:leader="none"/>
                              </w:tabs>
                              <w:spacing w:before="18"/>
                              <w:ind w:right="99"/>
                              <w:jc w:val="right"/>
                              <w:rPr>
                                <w:sz w:val="18"/>
                              </w:rPr>
                            </w:pPr>
                            <w:r>
                              <w:rPr>
                                <w:spacing w:val="-10"/>
                                <w:sz w:val="18"/>
                              </w:rPr>
                              <w:t>$</w:t>
                            </w:r>
                            <w:r>
                              <w:rPr>
                                <w:sz w:val="18"/>
                              </w:rPr>
                              <w:tab/>
                            </w:r>
                            <w:r>
                              <w:rPr>
                                <w:spacing w:val="-2"/>
                                <w:sz w:val="18"/>
                              </w:rPr>
                              <w:t>3,010</w:t>
                            </w:r>
                          </w:p>
                        </w:tc>
                        <w:tc>
                          <w:tcPr>
                            <w:tcW w:w="1516" w:type="dxa"/>
                            <w:gridSpan w:val="2"/>
                            <w:shd w:val="clear" w:color="auto" w:fill="CCEDFF"/>
                          </w:tcPr>
                          <w:p>
                            <w:pPr>
                              <w:pStyle w:val="TableParagraph"/>
                              <w:tabs>
                                <w:tab w:pos="1233" w:val="left" w:leader="none"/>
                              </w:tabs>
                              <w:spacing w:before="18"/>
                              <w:ind w:left="100"/>
                              <w:rPr>
                                <w:sz w:val="18"/>
                              </w:rPr>
                            </w:pPr>
                            <w:r>
                              <w:rPr>
                                <w:spacing w:val="-10"/>
                                <w:sz w:val="18"/>
                              </w:rPr>
                              <w:t>$</w:t>
                            </w:r>
                            <w:r>
                              <w:rPr>
                                <w:sz w:val="18"/>
                              </w:rPr>
                              <w:tab/>
                            </w:r>
                            <w:r>
                              <w:rPr>
                                <w:spacing w:val="-10"/>
                                <w:sz w:val="18"/>
                              </w:rPr>
                              <w:t>—</w:t>
                            </w:r>
                          </w:p>
                        </w:tc>
                        <w:tc>
                          <w:tcPr>
                            <w:tcW w:w="1459" w:type="dxa"/>
                            <w:shd w:val="clear" w:color="auto" w:fill="CCEDFF"/>
                          </w:tcPr>
                          <w:p>
                            <w:pPr>
                              <w:pStyle w:val="TableParagraph"/>
                              <w:tabs>
                                <w:tab w:pos="802" w:val="left" w:leader="none"/>
                              </w:tabs>
                              <w:spacing w:before="18"/>
                              <w:ind w:right="149"/>
                              <w:jc w:val="right"/>
                              <w:rPr>
                                <w:sz w:val="18"/>
                              </w:rPr>
                            </w:pPr>
                            <w:r>
                              <w:rPr>
                                <w:spacing w:val="-10"/>
                                <w:sz w:val="18"/>
                              </w:rPr>
                              <w:t>$</w:t>
                            </w:r>
                            <w:r>
                              <w:rPr>
                                <w:sz w:val="18"/>
                              </w:rPr>
                              <w:tab/>
                            </w:r>
                            <w:r>
                              <w:rPr>
                                <w:spacing w:val="-2"/>
                                <w:sz w:val="18"/>
                              </w:rPr>
                              <w:t>3,010</w:t>
                            </w:r>
                          </w:p>
                        </w:tc>
                        <w:tc>
                          <w:tcPr>
                            <w:tcW w:w="1182" w:type="dxa"/>
                            <w:shd w:val="clear" w:color="auto" w:fill="CCEDFF"/>
                          </w:tcPr>
                          <w:p>
                            <w:pPr>
                              <w:pStyle w:val="TableParagraph"/>
                              <w:tabs>
                                <w:tab w:pos="817" w:val="left" w:leader="none"/>
                              </w:tabs>
                              <w:spacing w:before="18"/>
                              <w:ind w:right="131"/>
                              <w:jc w:val="right"/>
                              <w:rPr>
                                <w:sz w:val="18"/>
                              </w:rPr>
                            </w:pPr>
                            <w:r>
                              <w:rPr>
                                <w:spacing w:val="-10"/>
                                <w:sz w:val="18"/>
                              </w:rPr>
                              <w:t>$</w:t>
                            </w:r>
                            <w:r>
                              <w:rPr>
                                <w:sz w:val="18"/>
                              </w:rPr>
                              <w:tab/>
                            </w:r>
                            <w:r>
                              <w:rPr>
                                <w:spacing w:val="-10"/>
                                <w:sz w:val="18"/>
                              </w:rPr>
                              <w:t>—</w:t>
                            </w:r>
                          </w:p>
                        </w:tc>
                        <w:tc>
                          <w:tcPr>
                            <w:tcW w:w="1400" w:type="dxa"/>
                            <w:gridSpan w:val="2"/>
                            <w:shd w:val="clear" w:color="auto" w:fill="CCEDFF"/>
                          </w:tcPr>
                          <w:p>
                            <w:pPr>
                              <w:pStyle w:val="TableParagraph"/>
                              <w:tabs>
                                <w:tab w:pos="541" w:val="left" w:leader="none"/>
                              </w:tabs>
                              <w:spacing w:before="18"/>
                              <w:ind w:left="68"/>
                              <w:rPr>
                                <w:sz w:val="18"/>
                              </w:rPr>
                            </w:pPr>
                            <w:r>
                              <w:rPr>
                                <w:spacing w:val="-10"/>
                                <w:sz w:val="18"/>
                              </w:rPr>
                              <w:t>$</w:t>
                            </w:r>
                            <w:r>
                              <w:rPr>
                                <w:sz w:val="18"/>
                              </w:rPr>
                              <w:tab/>
                              <w:t>(3,010)</w:t>
                            </w:r>
                            <w:r>
                              <w:rPr>
                                <w:spacing w:val="22"/>
                                <w:sz w:val="18"/>
                              </w:rPr>
                              <w:t> </w:t>
                            </w:r>
                            <w:r>
                              <w:rPr>
                                <w:spacing w:val="-5"/>
                                <w:sz w:val="18"/>
                                <w:vertAlign w:val="superscript"/>
                              </w:rPr>
                              <w:t>(2)</w:t>
                            </w:r>
                          </w:p>
                        </w:tc>
                        <w:tc>
                          <w:tcPr>
                            <w:tcW w:w="916" w:type="dxa"/>
                            <w:shd w:val="clear" w:color="auto" w:fill="CCEDFF"/>
                          </w:tcPr>
                          <w:p>
                            <w:pPr>
                              <w:pStyle w:val="TableParagraph"/>
                              <w:tabs>
                                <w:tab w:pos="532" w:val="left" w:leader="none"/>
                              </w:tabs>
                              <w:spacing w:before="18"/>
                              <w:ind w:right="77"/>
                              <w:jc w:val="right"/>
                              <w:rPr>
                                <w:sz w:val="18"/>
                              </w:rPr>
                            </w:pPr>
                            <w:r>
                              <w:rPr>
                                <w:spacing w:val="-10"/>
                                <w:sz w:val="18"/>
                              </w:rPr>
                              <w:t>$</w:t>
                            </w:r>
                            <w:r>
                              <w:rPr>
                                <w:sz w:val="18"/>
                              </w:rPr>
                              <w:tab/>
                            </w:r>
                            <w:r>
                              <w:rPr>
                                <w:spacing w:val="-10"/>
                                <w:sz w:val="18"/>
                              </w:rPr>
                              <w:t>—</w:t>
                            </w:r>
                          </w:p>
                        </w:tc>
                      </w:tr>
                      <w:tr>
                        <w:trPr>
                          <w:trHeight w:val="256" w:hRule="atLeast"/>
                        </w:trPr>
                        <w:tc>
                          <w:tcPr>
                            <w:tcW w:w="2695" w:type="dxa"/>
                          </w:tcPr>
                          <w:p>
                            <w:pPr>
                              <w:pStyle w:val="TableParagraph"/>
                              <w:spacing w:before="18"/>
                              <w:ind w:left="172"/>
                              <w:rPr>
                                <w:sz w:val="18"/>
                              </w:rPr>
                            </w:pPr>
                            <w:r>
                              <w:rPr>
                                <w:sz w:val="18"/>
                              </w:rPr>
                              <w:t>Securities</w:t>
                            </w:r>
                            <w:r>
                              <w:rPr>
                                <w:spacing w:val="-3"/>
                                <w:sz w:val="18"/>
                              </w:rPr>
                              <w:t> </w:t>
                            </w:r>
                            <w:r>
                              <w:rPr>
                                <w:sz w:val="18"/>
                              </w:rPr>
                              <w:t>borrowed</w:t>
                            </w:r>
                            <w:r>
                              <w:rPr>
                                <w:spacing w:val="-2"/>
                                <w:sz w:val="18"/>
                              </w:rPr>
                              <w:t> </w:t>
                            </w:r>
                            <w:r>
                              <w:rPr>
                                <w:spacing w:val="-5"/>
                                <w:sz w:val="18"/>
                                <w:vertAlign w:val="superscript"/>
                              </w:rPr>
                              <w:t>(3)</w:t>
                            </w:r>
                          </w:p>
                        </w:tc>
                        <w:tc>
                          <w:tcPr>
                            <w:tcW w:w="1097" w:type="dxa"/>
                          </w:tcPr>
                          <w:p>
                            <w:pPr>
                              <w:pStyle w:val="TableParagraph"/>
                              <w:spacing w:before="18"/>
                              <w:ind w:right="99"/>
                              <w:jc w:val="right"/>
                              <w:rPr>
                                <w:sz w:val="18"/>
                              </w:rPr>
                            </w:pPr>
                            <w:r>
                              <w:rPr>
                                <w:spacing w:val="-5"/>
                                <w:sz w:val="18"/>
                              </w:rPr>
                              <w:t>892</w:t>
                            </w:r>
                          </w:p>
                        </w:tc>
                        <w:tc>
                          <w:tcPr>
                            <w:tcW w:w="1516" w:type="dxa"/>
                            <w:gridSpan w:val="2"/>
                          </w:tcPr>
                          <w:p>
                            <w:pPr>
                              <w:pStyle w:val="TableParagraph"/>
                              <w:spacing w:before="18"/>
                              <w:ind w:right="100"/>
                              <w:jc w:val="right"/>
                              <w:rPr>
                                <w:sz w:val="18"/>
                              </w:rPr>
                            </w:pPr>
                            <w:r>
                              <w:rPr>
                                <w:spacing w:val="-10"/>
                                <w:sz w:val="18"/>
                              </w:rPr>
                              <w:t>—</w:t>
                            </w:r>
                          </w:p>
                        </w:tc>
                        <w:tc>
                          <w:tcPr>
                            <w:tcW w:w="1459" w:type="dxa"/>
                          </w:tcPr>
                          <w:p>
                            <w:pPr>
                              <w:pStyle w:val="TableParagraph"/>
                              <w:spacing w:before="18"/>
                              <w:ind w:right="149"/>
                              <w:jc w:val="right"/>
                              <w:rPr>
                                <w:sz w:val="18"/>
                              </w:rPr>
                            </w:pPr>
                            <w:r>
                              <w:rPr>
                                <w:spacing w:val="-5"/>
                                <w:sz w:val="18"/>
                              </w:rPr>
                              <w:t>892</w:t>
                            </w:r>
                          </w:p>
                        </w:tc>
                        <w:tc>
                          <w:tcPr>
                            <w:tcW w:w="1182" w:type="dxa"/>
                          </w:tcPr>
                          <w:p>
                            <w:pPr>
                              <w:pStyle w:val="TableParagraph"/>
                              <w:spacing w:before="18"/>
                              <w:ind w:right="71"/>
                              <w:jc w:val="right"/>
                              <w:rPr>
                                <w:sz w:val="18"/>
                              </w:rPr>
                            </w:pPr>
                            <w:r>
                              <w:rPr>
                                <w:spacing w:val="-2"/>
                                <w:sz w:val="18"/>
                              </w:rPr>
                              <w:t>(646)</w:t>
                            </w:r>
                          </w:p>
                        </w:tc>
                        <w:tc>
                          <w:tcPr>
                            <w:tcW w:w="1400" w:type="dxa"/>
                            <w:gridSpan w:val="2"/>
                          </w:tcPr>
                          <w:p>
                            <w:pPr>
                              <w:pStyle w:val="TableParagraph"/>
                              <w:spacing w:before="18"/>
                              <w:ind w:left="676"/>
                              <w:rPr>
                                <w:sz w:val="18"/>
                              </w:rPr>
                            </w:pPr>
                            <w:r>
                              <w:rPr>
                                <w:spacing w:val="-2"/>
                                <w:sz w:val="18"/>
                              </w:rPr>
                              <w:t>(244)</w:t>
                            </w:r>
                          </w:p>
                        </w:tc>
                        <w:tc>
                          <w:tcPr>
                            <w:tcW w:w="916" w:type="dxa"/>
                          </w:tcPr>
                          <w:p>
                            <w:pPr>
                              <w:pStyle w:val="TableParagraph"/>
                              <w:spacing w:before="18"/>
                              <w:ind w:right="77"/>
                              <w:jc w:val="right"/>
                              <w:rPr>
                                <w:sz w:val="18"/>
                              </w:rPr>
                            </w:pPr>
                            <w:r>
                              <w:rPr>
                                <w:spacing w:val="-10"/>
                                <w:sz w:val="18"/>
                              </w:rPr>
                              <w:t>2</w:t>
                            </w:r>
                          </w:p>
                        </w:tc>
                      </w:tr>
                      <w:tr>
                        <w:trPr>
                          <w:trHeight w:val="248" w:hRule="atLeast"/>
                        </w:trPr>
                        <w:tc>
                          <w:tcPr>
                            <w:tcW w:w="2695" w:type="dxa"/>
                            <w:tcBorders>
                              <w:bottom w:val="single" w:sz="4" w:space="0" w:color="000000"/>
                            </w:tcBorders>
                            <w:shd w:val="clear" w:color="auto" w:fill="CCEDFF"/>
                          </w:tcPr>
                          <w:p>
                            <w:pPr>
                              <w:pStyle w:val="TableParagraph"/>
                              <w:spacing w:before="18"/>
                              <w:ind w:left="172"/>
                              <w:rPr>
                                <w:sz w:val="18"/>
                              </w:rPr>
                            </w:pPr>
                            <w:r>
                              <w:rPr>
                                <w:sz w:val="18"/>
                              </w:rPr>
                              <w:t>Interest</w:t>
                            </w:r>
                            <w:r>
                              <w:rPr>
                                <w:spacing w:val="-2"/>
                                <w:sz w:val="18"/>
                              </w:rPr>
                              <w:t> </w:t>
                            </w:r>
                            <w:r>
                              <w:rPr>
                                <w:sz w:val="18"/>
                              </w:rPr>
                              <w:t>rate</w:t>
                            </w:r>
                            <w:r>
                              <w:rPr>
                                <w:spacing w:val="-1"/>
                                <w:sz w:val="18"/>
                              </w:rPr>
                              <w:t> </w:t>
                            </w:r>
                            <w:r>
                              <w:rPr>
                                <w:sz w:val="18"/>
                              </w:rPr>
                              <w:t>swaps</w:t>
                            </w:r>
                            <w:r>
                              <w:rPr>
                                <w:spacing w:val="-2"/>
                                <w:sz w:val="18"/>
                              </w:rPr>
                              <w:t> </w:t>
                            </w:r>
                            <w:r>
                              <w:rPr>
                                <w:spacing w:val="-5"/>
                                <w:sz w:val="18"/>
                                <w:vertAlign w:val="superscript"/>
                              </w:rPr>
                              <w:t>(4)</w:t>
                            </w:r>
                          </w:p>
                        </w:tc>
                        <w:tc>
                          <w:tcPr>
                            <w:tcW w:w="1097" w:type="dxa"/>
                            <w:tcBorders>
                              <w:bottom w:val="single" w:sz="4" w:space="0" w:color="000000"/>
                            </w:tcBorders>
                            <w:shd w:val="clear" w:color="auto" w:fill="CCEDFF"/>
                          </w:tcPr>
                          <w:p>
                            <w:pPr>
                              <w:pStyle w:val="TableParagraph"/>
                              <w:spacing w:before="18"/>
                              <w:ind w:right="99"/>
                              <w:jc w:val="right"/>
                              <w:rPr>
                                <w:sz w:val="18"/>
                              </w:rPr>
                            </w:pPr>
                            <w:r>
                              <w:rPr>
                                <w:spacing w:val="-10"/>
                                <w:sz w:val="18"/>
                              </w:rPr>
                              <w:t>3</w:t>
                            </w:r>
                          </w:p>
                        </w:tc>
                        <w:tc>
                          <w:tcPr>
                            <w:tcW w:w="1516" w:type="dxa"/>
                            <w:gridSpan w:val="2"/>
                            <w:tcBorders>
                              <w:bottom w:val="single" w:sz="4" w:space="0" w:color="000000"/>
                            </w:tcBorders>
                            <w:shd w:val="clear" w:color="auto" w:fill="CCEDFF"/>
                          </w:tcPr>
                          <w:p>
                            <w:pPr>
                              <w:pStyle w:val="TableParagraph"/>
                              <w:spacing w:before="18"/>
                              <w:ind w:right="100"/>
                              <w:jc w:val="right"/>
                              <w:rPr>
                                <w:sz w:val="18"/>
                              </w:rPr>
                            </w:pPr>
                            <w:r>
                              <w:rPr>
                                <w:spacing w:val="-10"/>
                                <w:sz w:val="18"/>
                              </w:rPr>
                              <w:t>—</w:t>
                            </w:r>
                          </w:p>
                        </w:tc>
                        <w:tc>
                          <w:tcPr>
                            <w:tcW w:w="1459" w:type="dxa"/>
                            <w:tcBorders>
                              <w:bottom w:val="single" w:sz="4" w:space="0" w:color="000000"/>
                            </w:tcBorders>
                            <w:shd w:val="clear" w:color="auto" w:fill="CCEDFF"/>
                          </w:tcPr>
                          <w:p>
                            <w:pPr>
                              <w:pStyle w:val="TableParagraph"/>
                              <w:spacing w:before="18"/>
                              <w:ind w:right="149"/>
                              <w:jc w:val="right"/>
                              <w:rPr>
                                <w:sz w:val="18"/>
                              </w:rPr>
                            </w:pPr>
                            <w:r>
                              <w:rPr>
                                <w:spacing w:val="-10"/>
                                <w:sz w:val="18"/>
                              </w:rPr>
                              <w:t>3</w:t>
                            </w:r>
                          </w:p>
                        </w:tc>
                        <w:tc>
                          <w:tcPr>
                            <w:tcW w:w="1182" w:type="dxa"/>
                            <w:tcBorders>
                              <w:bottom w:val="single" w:sz="4" w:space="0" w:color="000000"/>
                            </w:tcBorders>
                            <w:shd w:val="clear" w:color="auto" w:fill="CCEDFF"/>
                          </w:tcPr>
                          <w:p>
                            <w:pPr>
                              <w:pStyle w:val="TableParagraph"/>
                              <w:spacing w:before="18"/>
                              <w:ind w:right="131"/>
                              <w:jc w:val="right"/>
                              <w:rPr>
                                <w:sz w:val="18"/>
                              </w:rPr>
                            </w:pPr>
                            <w:r>
                              <w:rPr>
                                <w:spacing w:val="-10"/>
                                <w:sz w:val="18"/>
                              </w:rPr>
                              <w:t>—</w:t>
                            </w:r>
                          </w:p>
                        </w:tc>
                        <w:tc>
                          <w:tcPr>
                            <w:tcW w:w="1103" w:type="dxa"/>
                            <w:tcBorders>
                              <w:bottom w:val="single" w:sz="4" w:space="0" w:color="000000"/>
                            </w:tcBorders>
                            <w:shd w:val="clear" w:color="auto" w:fill="CCEDFF"/>
                          </w:tcPr>
                          <w:p>
                            <w:pPr>
                              <w:pStyle w:val="TableParagraph"/>
                              <w:spacing w:before="18"/>
                              <w:ind w:right="94"/>
                              <w:jc w:val="right"/>
                              <w:rPr>
                                <w:sz w:val="18"/>
                              </w:rPr>
                            </w:pPr>
                            <w:r>
                              <w:rPr>
                                <w:spacing w:val="-10"/>
                                <w:sz w:val="18"/>
                              </w:rPr>
                              <w:t>—</w:t>
                            </w:r>
                          </w:p>
                        </w:tc>
                        <w:tc>
                          <w:tcPr>
                            <w:tcW w:w="297" w:type="dxa"/>
                            <w:tcBorders>
                              <w:bottom w:val="single" w:sz="4" w:space="0" w:color="000000"/>
                            </w:tcBorders>
                            <w:shd w:val="clear" w:color="auto" w:fill="CCEDFF"/>
                          </w:tcPr>
                          <w:p>
                            <w:pPr>
                              <w:pStyle w:val="TableParagraph"/>
                              <w:spacing w:before="3"/>
                              <w:ind w:left="30"/>
                              <w:rPr>
                                <w:sz w:val="11"/>
                              </w:rPr>
                            </w:pPr>
                            <w:r>
                              <w:rPr>
                                <w:spacing w:val="-5"/>
                                <w:w w:val="105"/>
                                <w:sz w:val="11"/>
                              </w:rPr>
                              <w:t>(5)</w:t>
                            </w:r>
                          </w:p>
                        </w:tc>
                        <w:tc>
                          <w:tcPr>
                            <w:tcW w:w="916" w:type="dxa"/>
                            <w:tcBorders>
                              <w:bottom w:val="single" w:sz="4" w:space="0" w:color="000000"/>
                            </w:tcBorders>
                            <w:shd w:val="clear" w:color="auto" w:fill="CCEDFF"/>
                          </w:tcPr>
                          <w:p>
                            <w:pPr>
                              <w:pStyle w:val="TableParagraph"/>
                              <w:spacing w:before="18"/>
                              <w:ind w:right="77"/>
                              <w:jc w:val="right"/>
                              <w:rPr>
                                <w:sz w:val="18"/>
                              </w:rPr>
                            </w:pPr>
                            <w:r>
                              <w:rPr>
                                <w:spacing w:val="-10"/>
                                <w:sz w:val="18"/>
                              </w:rPr>
                              <w:t>3</w:t>
                            </w:r>
                          </w:p>
                        </w:tc>
                      </w:tr>
                      <w:tr>
                        <w:trPr>
                          <w:trHeight w:val="220" w:hRule="atLeast"/>
                        </w:trPr>
                        <w:tc>
                          <w:tcPr>
                            <w:tcW w:w="2695" w:type="dxa"/>
                            <w:tcBorders>
                              <w:bottom w:val="double" w:sz="8" w:space="0" w:color="auto"/>
                            </w:tcBorders>
                          </w:tcPr>
                          <w:p>
                            <w:pPr>
                              <w:pStyle w:val="TableParagraph"/>
                              <w:spacing w:line="187" w:lineRule="exact" w:before="8"/>
                              <w:ind w:left="277"/>
                              <w:rPr>
                                <w:sz w:val="18"/>
                              </w:rPr>
                            </w:pPr>
                            <w:r>
                              <w:rPr>
                                <w:spacing w:val="-2"/>
                                <w:sz w:val="18"/>
                              </w:rPr>
                              <w:t>Total</w:t>
                            </w:r>
                          </w:p>
                        </w:tc>
                        <w:tc>
                          <w:tcPr>
                            <w:tcW w:w="1097" w:type="dxa"/>
                            <w:tcBorders>
                              <w:bottom w:val="double" w:sz="8" w:space="0" w:color="auto"/>
                            </w:tcBorders>
                          </w:tcPr>
                          <w:p>
                            <w:pPr>
                              <w:pStyle w:val="TableParagraph"/>
                              <w:tabs>
                                <w:tab w:pos="487" w:val="left" w:leader="none"/>
                              </w:tabs>
                              <w:spacing w:line="187" w:lineRule="exact" w:before="8"/>
                              <w:ind w:right="99"/>
                              <w:jc w:val="right"/>
                              <w:rPr>
                                <w:sz w:val="18"/>
                              </w:rPr>
                            </w:pPr>
                            <w:r>
                              <w:rPr>
                                <w:spacing w:val="-10"/>
                                <w:sz w:val="18"/>
                              </w:rPr>
                              <w:t>$</w:t>
                            </w:r>
                            <w:r>
                              <w:rPr>
                                <w:sz w:val="18"/>
                              </w:rPr>
                              <w:tab/>
                            </w:r>
                            <w:r>
                              <w:rPr>
                                <w:spacing w:val="-2"/>
                                <w:sz w:val="18"/>
                              </w:rPr>
                              <w:t>3,905</w:t>
                            </w:r>
                          </w:p>
                        </w:tc>
                        <w:tc>
                          <w:tcPr>
                            <w:tcW w:w="713" w:type="dxa"/>
                            <w:tcBorders>
                              <w:bottom w:val="double" w:sz="8" w:space="0" w:color="auto"/>
                            </w:tcBorders>
                          </w:tcPr>
                          <w:p>
                            <w:pPr>
                              <w:pStyle w:val="TableParagraph"/>
                              <w:spacing w:line="187" w:lineRule="exact" w:before="8"/>
                              <w:ind w:left="100"/>
                              <w:rPr>
                                <w:sz w:val="18"/>
                              </w:rPr>
                            </w:pPr>
                            <w:r>
                              <w:rPr>
                                <w:spacing w:val="-10"/>
                                <w:sz w:val="18"/>
                              </w:rPr>
                              <w:t>$</w:t>
                            </w:r>
                          </w:p>
                        </w:tc>
                        <w:tc>
                          <w:tcPr>
                            <w:tcW w:w="2262" w:type="dxa"/>
                            <w:gridSpan w:val="2"/>
                            <w:tcBorders>
                              <w:bottom w:val="double" w:sz="8" w:space="0" w:color="auto"/>
                            </w:tcBorders>
                          </w:tcPr>
                          <w:p>
                            <w:pPr>
                              <w:pStyle w:val="TableParagraph"/>
                              <w:tabs>
                                <w:tab w:pos="902" w:val="left" w:leader="none"/>
                                <w:tab w:pos="1704" w:val="left" w:leader="none"/>
                              </w:tabs>
                              <w:spacing w:line="187" w:lineRule="exact" w:before="8"/>
                              <w:ind w:left="520"/>
                              <w:rPr>
                                <w:sz w:val="18"/>
                              </w:rPr>
                            </w:pPr>
                            <w:r>
                              <w:rPr>
                                <w:spacing w:val="-10"/>
                                <w:sz w:val="18"/>
                              </w:rPr>
                              <w:t>—</w:t>
                            </w:r>
                            <w:r>
                              <w:rPr>
                                <w:sz w:val="18"/>
                              </w:rPr>
                              <w:tab/>
                            </w:r>
                            <w:r>
                              <w:rPr>
                                <w:spacing w:val="-10"/>
                                <w:sz w:val="18"/>
                              </w:rPr>
                              <w:t>$</w:t>
                            </w:r>
                            <w:r>
                              <w:rPr>
                                <w:sz w:val="18"/>
                              </w:rPr>
                              <w:tab/>
                            </w:r>
                            <w:r>
                              <w:rPr>
                                <w:spacing w:val="-2"/>
                                <w:sz w:val="18"/>
                              </w:rPr>
                              <w:t>3,905</w:t>
                            </w:r>
                          </w:p>
                        </w:tc>
                        <w:tc>
                          <w:tcPr>
                            <w:tcW w:w="1182" w:type="dxa"/>
                            <w:tcBorders>
                              <w:bottom w:val="double" w:sz="8" w:space="0" w:color="auto"/>
                            </w:tcBorders>
                          </w:tcPr>
                          <w:p>
                            <w:pPr>
                              <w:pStyle w:val="TableParagraph"/>
                              <w:tabs>
                                <w:tab w:pos="667" w:val="left" w:leader="none"/>
                              </w:tabs>
                              <w:spacing w:line="187" w:lineRule="exact" w:before="8"/>
                              <w:ind w:right="71"/>
                              <w:jc w:val="right"/>
                              <w:rPr>
                                <w:sz w:val="18"/>
                              </w:rPr>
                            </w:pPr>
                            <w:r>
                              <w:rPr>
                                <w:spacing w:val="-10"/>
                                <w:sz w:val="18"/>
                              </w:rPr>
                              <w:t>$</w:t>
                            </w:r>
                            <w:r>
                              <w:rPr>
                                <w:sz w:val="18"/>
                              </w:rPr>
                              <w:tab/>
                            </w:r>
                            <w:r>
                              <w:rPr>
                                <w:spacing w:val="-2"/>
                                <w:sz w:val="18"/>
                              </w:rPr>
                              <w:t>(646)</w:t>
                            </w:r>
                          </w:p>
                        </w:tc>
                        <w:tc>
                          <w:tcPr>
                            <w:tcW w:w="1103" w:type="dxa"/>
                            <w:tcBorders>
                              <w:bottom w:val="double" w:sz="8" w:space="0" w:color="auto"/>
                            </w:tcBorders>
                          </w:tcPr>
                          <w:p>
                            <w:pPr>
                              <w:pStyle w:val="TableParagraph"/>
                              <w:tabs>
                                <w:tab w:pos="472" w:val="left" w:leader="none"/>
                              </w:tabs>
                              <w:spacing w:line="187" w:lineRule="exact" w:before="8"/>
                              <w:ind w:right="34"/>
                              <w:jc w:val="right"/>
                              <w:rPr>
                                <w:sz w:val="18"/>
                              </w:rPr>
                            </w:pPr>
                            <w:r>
                              <w:rPr>
                                <w:spacing w:val="-10"/>
                                <w:sz w:val="18"/>
                              </w:rPr>
                              <w:t>$</w:t>
                            </w:r>
                            <w:r>
                              <w:rPr>
                                <w:sz w:val="18"/>
                              </w:rPr>
                              <w:tab/>
                            </w:r>
                            <w:r>
                              <w:rPr>
                                <w:spacing w:val="-2"/>
                                <w:sz w:val="18"/>
                              </w:rPr>
                              <w:t>(3,254)</w:t>
                            </w:r>
                          </w:p>
                        </w:tc>
                        <w:tc>
                          <w:tcPr>
                            <w:tcW w:w="1213" w:type="dxa"/>
                            <w:gridSpan w:val="2"/>
                            <w:tcBorders>
                              <w:bottom w:val="double" w:sz="8" w:space="0" w:color="auto"/>
                            </w:tcBorders>
                          </w:tcPr>
                          <w:p>
                            <w:pPr>
                              <w:pStyle w:val="TableParagraph"/>
                              <w:tabs>
                                <w:tab w:pos="1042" w:val="left" w:leader="none"/>
                              </w:tabs>
                              <w:spacing w:line="187" w:lineRule="exact" w:before="8"/>
                              <w:ind w:left="420"/>
                              <w:rPr>
                                <w:sz w:val="18"/>
                              </w:rPr>
                            </w:pPr>
                            <w:r>
                              <w:rPr>
                                <w:spacing w:val="-10"/>
                                <w:sz w:val="18"/>
                              </w:rPr>
                              <w:t>$</w:t>
                            </w:r>
                            <w:r>
                              <w:rPr>
                                <w:sz w:val="18"/>
                              </w:rPr>
                              <w:tab/>
                            </w:r>
                            <w:r>
                              <w:rPr>
                                <w:spacing w:val="-10"/>
                                <w:sz w:val="18"/>
                              </w:rPr>
                              <w:t>5</w:t>
                            </w:r>
                          </w:p>
                        </w:tc>
                      </w:tr>
                      <w:tr>
                        <w:trPr>
                          <w:trHeight w:val="225" w:hRule="atLeast"/>
                        </w:trPr>
                        <w:tc>
                          <w:tcPr>
                            <w:tcW w:w="2695" w:type="dxa"/>
                            <w:tcBorders>
                              <w:top w:val="double" w:sz="8" w:space="0" w:color="CCEDFF"/>
                            </w:tcBorders>
                            <w:shd w:val="clear" w:color="auto" w:fill="CCEDFF"/>
                          </w:tcPr>
                          <w:p>
                            <w:pPr>
                              <w:pStyle w:val="TableParagraph"/>
                              <w:spacing w:line="195" w:lineRule="exact"/>
                              <w:ind w:left="52"/>
                              <w:rPr>
                                <w:b/>
                                <w:sz w:val="18"/>
                              </w:rPr>
                            </w:pPr>
                            <w:r>
                              <w:rPr>
                                <w:b/>
                                <w:spacing w:val="-2"/>
                                <w:sz w:val="18"/>
                              </w:rPr>
                              <w:t>Liabilities</w:t>
                            </w:r>
                          </w:p>
                        </w:tc>
                        <w:tc>
                          <w:tcPr>
                            <w:tcW w:w="1097" w:type="dxa"/>
                            <w:tcBorders>
                              <w:top w:val="double" w:sz="8" w:space="0" w:color="CCEDFF"/>
                            </w:tcBorders>
                            <w:shd w:val="clear" w:color="auto" w:fill="CCEDFF"/>
                          </w:tcPr>
                          <w:p>
                            <w:pPr>
                              <w:pStyle w:val="TableParagraph"/>
                              <w:rPr>
                                <w:sz w:val="16"/>
                              </w:rPr>
                            </w:pPr>
                          </w:p>
                        </w:tc>
                        <w:tc>
                          <w:tcPr>
                            <w:tcW w:w="713" w:type="dxa"/>
                            <w:tcBorders>
                              <w:top w:val="double" w:sz="8" w:space="0" w:color="CCEDFF"/>
                            </w:tcBorders>
                            <w:shd w:val="clear" w:color="auto" w:fill="CCEDFF"/>
                          </w:tcPr>
                          <w:p>
                            <w:pPr>
                              <w:pStyle w:val="TableParagraph"/>
                              <w:rPr>
                                <w:sz w:val="16"/>
                              </w:rPr>
                            </w:pPr>
                          </w:p>
                        </w:tc>
                        <w:tc>
                          <w:tcPr>
                            <w:tcW w:w="2262" w:type="dxa"/>
                            <w:gridSpan w:val="2"/>
                            <w:tcBorders>
                              <w:top w:val="double" w:sz="8" w:space="0" w:color="CCEDFF"/>
                            </w:tcBorders>
                            <w:shd w:val="clear" w:color="auto" w:fill="CCEDFF"/>
                          </w:tcPr>
                          <w:p>
                            <w:pPr>
                              <w:pStyle w:val="TableParagraph"/>
                              <w:rPr>
                                <w:sz w:val="16"/>
                              </w:rPr>
                            </w:pPr>
                          </w:p>
                        </w:tc>
                        <w:tc>
                          <w:tcPr>
                            <w:tcW w:w="1182" w:type="dxa"/>
                            <w:tcBorders>
                              <w:top w:val="double" w:sz="8" w:space="0" w:color="CCEDFF"/>
                            </w:tcBorders>
                            <w:shd w:val="clear" w:color="auto" w:fill="CCEDFF"/>
                          </w:tcPr>
                          <w:p>
                            <w:pPr>
                              <w:pStyle w:val="TableParagraph"/>
                              <w:rPr>
                                <w:sz w:val="16"/>
                              </w:rPr>
                            </w:pPr>
                          </w:p>
                        </w:tc>
                        <w:tc>
                          <w:tcPr>
                            <w:tcW w:w="1103" w:type="dxa"/>
                            <w:tcBorders>
                              <w:top w:val="double" w:sz="8" w:space="0" w:color="CCEDFF"/>
                            </w:tcBorders>
                            <w:shd w:val="clear" w:color="auto" w:fill="CCEDFF"/>
                          </w:tcPr>
                          <w:p>
                            <w:pPr>
                              <w:pStyle w:val="TableParagraph"/>
                              <w:rPr>
                                <w:sz w:val="16"/>
                              </w:rPr>
                            </w:pPr>
                          </w:p>
                        </w:tc>
                        <w:tc>
                          <w:tcPr>
                            <w:tcW w:w="1213" w:type="dxa"/>
                            <w:gridSpan w:val="2"/>
                            <w:tcBorders>
                              <w:top w:val="double" w:sz="8" w:space="0" w:color="CCEDFF"/>
                            </w:tcBorders>
                            <w:shd w:val="clear" w:color="auto" w:fill="CCEDFF"/>
                          </w:tcPr>
                          <w:p>
                            <w:pPr>
                              <w:pStyle w:val="TableParagraph"/>
                              <w:rPr>
                                <w:sz w:val="16"/>
                              </w:rPr>
                            </w:pPr>
                          </w:p>
                        </w:tc>
                      </w:tr>
                      <w:tr>
                        <w:trPr>
                          <w:trHeight w:val="255" w:hRule="atLeast"/>
                        </w:trPr>
                        <w:tc>
                          <w:tcPr>
                            <w:tcW w:w="2695" w:type="dxa"/>
                          </w:tcPr>
                          <w:p>
                            <w:pPr>
                              <w:pStyle w:val="TableParagraph"/>
                              <w:spacing w:before="18"/>
                              <w:ind w:left="172"/>
                              <w:rPr>
                                <w:sz w:val="18"/>
                              </w:rPr>
                            </w:pPr>
                            <w:r>
                              <w:rPr>
                                <w:sz w:val="18"/>
                              </w:rPr>
                              <w:t>Repurchase</w:t>
                            </w:r>
                            <w:r>
                              <w:rPr>
                                <w:spacing w:val="-1"/>
                                <w:sz w:val="18"/>
                              </w:rPr>
                              <w:t> </w:t>
                            </w:r>
                            <w:r>
                              <w:rPr>
                                <w:sz w:val="18"/>
                              </w:rPr>
                              <w:t>agreements</w:t>
                            </w:r>
                            <w:r>
                              <w:rPr>
                                <w:spacing w:val="-2"/>
                                <w:sz w:val="18"/>
                              </w:rPr>
                              <w:t> </w:t>
                            </w:r>
                            <w:r>
                              <w:rPr>
                                <w:spacing w:val="-5"/>
                                <w:sz w:val="18"/>
                                <w:vertAlign w:val="superscript"/>
                              </w:rPr>
                              <w:t>(6)</w:t>
                            </w:r>
                          </w:p>
                        </w:tc>
                        <w:tc>
                          <w:tcPr>
                            <w:tcW w:w="1097" w:type="dxa"/>
                          </w:tcPr>
                          <w:p>
                            <w:pPr>
                              <w:pStyle w:val="TableParagraph"/>
                              <w:tabs>
                                <w:tab w:pos="487" w:val="left" w:leader="none"/>
                              </w:tabs>
                              <w:spacing w:before="18"/>
                              <w:ind w:right="99"/>
                              <w:jc w:val="right"/>
                              <w:rPr>
                                <w:sz w:val="18"/>
                              </w:rPr>
                            </w:pPr>
                            <w:r>
                              <w:rPr>
                                <w:spacing w:val="-10"/>
                                <w:sz w:val="18"/>
                              </w:rPr>
                              <w:t>$</w:t>
                            </w:r>
                            <w:r>
                              <w:rPr>
                                <w:sz w:val="18"/>
                              </w:rPr>
                              <w:tab/>
                            </w:r>
                            <w:r>
                              <w:rPr>
                                <w:spacing w:val="-2"/>
                                <w:sz w:val="18"/>
                              </w:rPr>
                              <w:t>6,515</w:t>
                            </w:r>
                          </w:p>
                        </w:tc>
                        <w:tc>
                          <w:tcPr>
                            <w:tcW w:w="713" w:type="dxa"/>
                          </w:tcPr>
                          <w:p>
                            <w:pPr>
                              <w:pStyle w:val="TableParagraph"/>
                              <w:spacing w:before="18"/>
                              <w:ind w:left="100"/>
                              <w:rPr>
                                <w:sz w:val="18"/>
                              </w:rPr>
                            </w:pPr>
                            <w:r>
                              <w:rPr>
                                <w:spacing w:val="-10"/>
                                <w:sz w:val="18"/>
                              </w:rPr>
                              <w:t>$</w:t>
                            </w:r>
                          </w:p>
                        </w:tc>
                        <w:tc>
                          <w:tcPr>
                            <w:tcW w:w="2262" w:type="dxa"/>
                            <w:gridSpan w:val="2"/>
                          </w:tcPr>
                          <w:p>
                            <w:pPr>
                              <w:pStyle w:val="TableParagraph"/>
                              <w:tabs>
                                <w:tab w:pos="902" w:val="left" w:leader="none"/>
                                <w:tab w:pos="1704" w:val="left" w:leader="none"/>
                              </w:tabs>
                              <w:spacing w:before="18"/>
                              <w:ind w:left="520"/>
                              <w:rPr>
                                <w:sz w:val="18"/>
                              </w:rPr>
                            </w:pPr>
                            <w:r>
                              <w:rPr>
                                <w:spacing w:val="-10"/>
                                <w:sz w:val="18"/>
                              </w:rPr>
                              <w:t>—</w:t>
                            </w:r>
                            <w:r>
                              <w:rPr>
                                <w:sz w:val="18"/>
                              </w:rPr>
                              <w:tab/>
                            </w:r>
                            <w:r>
                              <w:rPr>
                                <w:spacing w:val="-10"/>
                                <w:sz w:val="18"/>
                              </w:rPr>
                              <w:t>$</w:t>
                            </w:r>
                            <w:r>
                              <w:rPr>
                                <w:sz w:val="18"/>
                              </w:rPr>
                              <w:tab/>
                            </w:r>
                            <w:r>
                              <w:rPr>
                                <w:spacing w:val="-2"/>
                                <w:sz w:val="18"/>
                              </w:rPr>
                              <w:t>6,515</w:t>
                            </w:r>
                          </w:p>
                        </w:tc>
                        <w:tc>
                          <w:tcPr>
                            <w:tcW w:w="1182" w:type="dxa"/>
                          </w:tcPr>
                          <w:p>
                            <w:pPr>
                              <w:pStyle w:val="TableParagraph"/>
                              <w:tabs>
                                <w:tab w:pos="817" w:val="left" w:leader="none"/>
                              </w:tabs>
                              <w:spacing w:before="18"/>
                              <w:ind w:right="131"/>
                              <w:jc w:val="right"/>
                              <w:rPr>
                                <w:sz w:val="18"/>
                              </w:rPr>
                            </w:pPr>
                            <w:r>
                              <w:rPr>
                                <w:spacing w:val="-10"/>
                                <w:sz w:val="18"/>
                              </w:rPr>
                              <w:t>$</w:t>
                            </w:r>
                            <w:r>
                              <w:rPr>
                                <w:sz w:val="18"/>
                              </w:rPr>
                              <w:tab/>
                            </w:r>
                            <w:r>
                              <w:rPr>
                                <w:spacing w:val="-10"/>
                                <w:sz w:val="18"/>
                              </w:rPr>
                              <w:t>—</w:t>
                            </w:r>
                          </w:p>
                        </w:tc>
                        <w:tc>
                          <w:tcPr>
                            <w:tcW w:w="1103" w:type="dxa"/>
                          </w:tcPr>
                          <w:p>
                            <w:pPr>
                              <w:pStyle w:val="TableParagraph"/>
                              <w:tabs>
                                <w:tab w:pos="472" w:val="left" w:leader="none"/>
                              </w:tabs>
                              <w:spacing w:before="18"/>
                              <w:ind w:right="34"/>
                              <w:jc w:val="right"/>
                              <w:rPr>
                                <w:sz w:val="18"/>
                              </w:rPr>
                            </w:pPr>
                            <w:r>
                              <w:rPr>
                                <w:spacing w:val="-10"/>
                                <w:sz w:val="18"/>
                              </w:rPr>
                              <w:t>$</w:t>
                            </w:r>
                            <w:r>
                              <w:rPr>
                                <w:sz w:val="18"/>
                              </w:rPr>
                              <w:tab/>
                            </w:r>
                            <w:r>
                              <w:rPr>
                                <w:spacing w:val="-2"/>
                                <w:sz w:val="18"/>
                              </w:rPr>
                              <w:t>(6,515)</w:t>
                            </w:r>
                          </w:p>
                        </w:tc>
                        <w:tc>
                          <w:tcPr>
                            <w:tcW w:w="1213" w:type="dxa"/>
                            <w:gridSpan w:val="2"/>
                          </w:tcPr>
                          <w:p>
                            <w:pPr>
                              <w:pStyle w:val="TableParagraph"/>
                              <w:tabs>
                                <w:tab w:pos="952" w:val="left" w:leader="none"/>
                              </w:tabs>
                              <w:spacing w:before="18"/>
                              <w:ind w:left="420"/>
                              <w:rPr>
                                <w:sz w:val="18"/>
                              </w:rPr>
                            </w:pPr>
                            <w:r>
                              <w:rPr>
                                <w:spacing w:val="-10"/>
                                <w:sz w:val="18"/>
                              </w:rPr>
                              <w:t>$</w:t>
                            </w:r>
                            <w:r>
                              <w:rPr>
                                <w:sz w:val="18"/>
                              </w:rPr>
                              <w:tab/>
                            </w:r>
                            <w:r>
                              <w:rPr>
                                <w:spacing w:val="-10"/>
                                <w:sz w:val="18"/>
                              </w:rPr>
                              <w:t>—</w:t>
                            </w:r>
                          </w:p>
                        </w:tc>
                      </w:tr>
                      <w:tr>
                        <w:trPr>
                          <w:trHeight w:val="255" w:hRule="atLeast"/>
                        </w:trPr>
                        <w:tc>
                          <w:tcPr>
                            <w:tcW w:w="2695" w:type="dxa"/>
                            <w:shd w:val="clear" w:color="auto" w:fill="CCEDFF"/>
                          </w:tcPr>
                          <w:p>
                            <w:pPr>
                              <w:pStyle w:val="TableParagraph"/>
                              <w:spacing w:before="18"/>
                              <w:ind w:left="172"/>
                              <w:rPr>
                                <w:sz w:val="18"/>
                              </w:rPr>
                            </w:pPr>
                            <w:r>
                              <w:rPr>
                                <w:sz w:val="18"/>
                              </w:rPr>
                              <w:t>Securities</w:t>
                            </w:r>
                            <w:r>
                              <w:rPr>
                                <w:spacing w:val="-2"/>
                                <w:sz w:val="18"/>
                              </w:rPr>
                              <w:t> </w:t>
                            </w:r>
                            <w:r>
                              <w:rPr>
                                <w:sz w:val="18"/>
                              </w:rPr>
                              <w:t>loaned</w:t>
                            </w:r>
                            <w:r>
                              <w:rPr>
                                <w:spacing w:val="-17"/>
                                <w:sz w:val="18"/>
                              </w:rPr>
                              <w:t> </w:t>
                            </w:r>
                            <w:r>
                              <w:rPr>
                                <w:spacing w:val="-5"/>
                                <w:sz w:val="18"/>
                                <w:vertAlign w:val="superscript"/>
                              </w:rPr>
                              <w:t>(7)</w:t>
                            </w:r>
                          </w:p>
                        </w:tc>
                        <w:tc>
                          <w:tcPr>
                            <w:tcW w:w="1097" w:type="dxa"/>
                            <w:shd w:val="clear" w:color="auto" w:fill="CCEDFF"/>
                          </w:tcPr>
                          <w:p>
                            <w:pPr>
                              <w:pStyle w:val="TableParagraph"/>
                              <w:spacing w:before="18"/>
                              <w:ind w:right="99"/>
                              <w:jc w:val="right"/>
                              <w:rPr>
                                <w:sz w:val="18"/>
                              </w:rPr>
                            </w:pPr>
                            <w:r>
                              <w:rPr>
                                <w:spacing w:val="-2"/>
                                <w:sz w:val="18"/>
                              </w:rPr>
                              <w:t>5,878</w:t>
                            </w:r>
                          </w:p>
                        </w:tc>
                        <w:tc>
                          <w:tcPr>
                            <w:tcW w:w="713" w:type="dxa"/>
                            <w:shd w:val="clear" w:color="auto" w:fill="CCEDFF"/>
                          </w:tcPr>
                          <w:p>
                            <w:pPr>
                              <w:pStyle w:val="TableParagraph"/>
                              <w:rPr>
                                <w:sz w:val="16"/>
                              </w:rPr>
                            </w:pPr>
                          </w:p>
                        </w:tc>
                        <w:tc>
                          <w:tcPr>
                            <w:tcW w:w="2262" w:type="dxa"/>
                            <w:gridSpan w:val="2"/>
                            <w:shd w:val="clear" w:color="auto" w:fill="CCEDFF"/>
                          </w:tcPr>
                          <w:p>
                            <w:pPr>
                              <w:pStyle w:val="TableParagraph"/>
                              <w:tabs>
                                <w:tab w:pos="1704" w:val="left" w:leader="none"/>
                              </w:tabs>
                              <w:spacing w:before="18"/>
                              <w:ind w:left="520"/>
                              <w:rPr>
                                <w:sz w:val="18"/>
                              </w:rPr>
                            </w:pPr>
                            <w:r>
                              <w:rPr>
                                <w:spacing w:val="-10"/>
                                <w:sz w:val="18"/>
                              </w:rPr>
                              <w:t>—</w:t>
                            </w:r>
                            <w:r>
                              <w:rPr>
                                <w:sz w:val="18"/>
                              </w:rPr>
                              <w:tab/>
                            </w:r>
                            <w:r>
                              <w:rPr>
                                <w:spacing w:val="-2"/>
                                <w:sz w:val="18"/>
                              </w:rPr>
                              <w:t>5,878</w:t>
                            </w:r>
                          </w:p>
                        </w:tc>
                        <w:tc>
                          <w:tcPr>
                            <w:tcW w:w="1182" w:type="dxa"/>
                            <w:shd w:val="clear" w:color="auto" w:fill="CCEDFF"/>
                          </w:tcPr>
                          <w:p>
                            <w:pPr>
                              <w:pStyle w:val="TableParagraph"/>
                              <w:spacing w:before="18"/>
                              <w:ind w:right="71"/>
                              <w:jc w:val="right"/>
                              <w:rPr>
                                <w:sz w:val="18"/>
                              </w:rPr>
                            </w:pPr>
                            <w:r>
                              <w:rPr>
                                <w:spacing w:val="-2"/>
                                <w:sz w:val="18"/>
                              </w:rPr>
                              <w:t>(646)</w:t>
                            </w:r>
                          </w:p>
                        </w:tc>
                        <w:tc>
                          <w:tcPr>
                            <w:tcW w:w="1103" w:type="dxa"/>
                            <w:shd w:val="clear" w:color="auto" w:fill="CCEDFF"/>
                          </w:tcPr>
                          <w:p>
                            <w:pPr>
                              <w:pStyle w:val="TableParagraph"/>
                              <w:spacing w:before="18"/>
                              <w:ind w:right="34"/>
                              <w:jc w:val="right"/>
                              <w:rPr>
                                <w:sz w:val="18"/>
                              </w:rPr>
                            </w:pPr>
                            <w:r>
                              <w:rPr>
                                <w:spacing w:val="-2"/>
                                <w:sz w:val="18"/>
                              </w:rPr>
                              <w:t>(4,721)</w:t>
                            </w:r>
                          </w:p>
                        </w:tc>
                        <w:tc>
                          <w:tcPr>
                            <w:tcW w:w="1213" w:type="dxa"/>
                            <w:gridSpan w:val="2"/>
                            <w:shd w:val="clear" w:color="auto" w:fill="CCEDFF"/>
                          </w:tcPr>
                          <w:p>
                            <w:pPr>
                              <w:pStyle w:val="TableParagraph"/>
                              <w:spacing w:before="18"/>
                              <w:ind w:right="77"/>
                              <w:jc w:val="right"/>
                              <w:rPr>
                                <w:sz w:val="18"/>
                              </w:rPr>
                            </w:pPr>
                            <w:r>
                              <w:rPr>
                                <w:spacing w:val="-5"/>
                                <w:sz w:val="18"/>
                              </w:rPr>
                              <w:t>511</w:t>
                            </w:r>
                          </w:p>
                        </w:tc>
                      </w:tr>
                      <w:tr>
                        <w:trPr>
                          <w:trHeight w:val="250" w:hRule="atLeast"/>
                        </w:trPr>
                        <w:tc>
                          <w:tcPr>
                            <w:tcW w:w="2695" w:type="dxa"/>
                            <w:tcBorders>
                              <w:bottom w:val="single" w:sz="4" w:space="0" w:color="000000"/>
                            </w:tcBorders>
                          </w:tcPr>
                          <w:p>
                            <w:pPr>
                              <w:pStyle w:val="TableParagraph"/>
                              <w:spacing w:before="18"/>
                              <w:ind w:left="172"/>
                              <w:rPr>
                                <w:sz w:val="18"/>
                              </w:rPr>
                            </w:pPr>
                            <w:r>
                              <w:rPr>
                                <w:sz w:val="18"/>
                              </w:rPr>
                              <w:t>Secured</w:t>
                            </w:r>
                            <w:r>
                              <w:rPr>
                                <w:spacing w:val="-2"/>
                                <w:sz w:val="18"/>
                              </w:rPr>
                              <w:t> </w:t>
                            </w:r>
                            <w:r>
                              <w:rPr>
                                <w:sz w:val="18"/>
                              </w:rPr>
                              <w:t>short-term</w:t>
                            </w:r>
                            <w:r>
                              <w:rPr>
                                <w:spacing w:val="-1"/>
                                <w:sz w:val="18"/>
                              </w:rPr>
                              <w:t> </w:t>
                            </w:r>
                            <w:r>
                              <w:rPr>
                                <w:sz w:val="18"/>
                              </w:rPr>
                              <w:t>borrowings</w:t>
                            </w:r>
                            <w:r>
                              <w:rPr>
                                <w:spacing w:val="-2"/>
                                <w:sz w:val="18"/>
                              </w:rPr>
                              <w:t> </w:t>
                            </w:r>
                            <w:r>
                              <w:rPr>
                                <w:spacing w:val="-5"/>
                                <w:sz w:val="18"/>
                                <w:vertAlign w:val="superscript"/>
                              </w:rPr>
                              <w:t>(8)</w:t>
                            </w:r>
                          </w:p>
                        </w:tc>
                        <w:tc>
                          <w:tcPr>
                            <w:tcW w:w="1097" w:type="dxa"/>
                            <w:tcBorders>
                              <w:bottom w:val="single" w:sz="4" w:space="0" w:color="000000"/>
                            </w:tcBorders>
                          </w:tcPr>
                          <w:p>
                            <w:pPr>
                              <w:pStyle w:val="TableParagraph"/>
                              <w:spacing w:before="18"/>
                              <w:ind w:right="99"/>
                              <w:jc w:val="right"/>
                              <w:rPr>
                                <w:sz w:val="18"/>
                              </w:rPr>
                            </w:pPr>
                            <w:r>
                              <w:rPr>
                                <w:spacing w:val="-5"/>
                                <w:sz w:val="18"/>
                              </w:rPr>
                              <w:t>950</w:t>
                            </w:r>
                          </w:p>
                        </w:tc>
                        <w:tc>
                          <w:tcPr>
                            <w:tcW w:w="713" w:type="dxa"/>
                            <w:tcBorders>
                              <w:bottom w:val="single" w:sz="4" w:space="0" w:color="000000"/>
                            </w:tcBorders>
                          </w:tcPr>
                          <w:p>
                            <w:pPr>
                              <w:pStyle w:val="TableParagraph"/>
                              <w:rPr>
                                <w:sz w:val="16"/>
                              </w:rPr>
                            </w:pPr>
                          </w:p>
                        </w:tc>
                        <w:tc>
                          <w:tcPr>
                            <w:tcW w:w="2262" w:type="dxa"/>
                            <w:gridSpan w:val="2"/>
                            <w:tcBorders>
                              <w:bottom w:val="single" w:sz="4" w:space="0" w:color="000000"/>
                            </w:tcBorders>
                          </w:tcPr>
                          <w:p>
                            <w:pPr>
                              <w:pStyle w:val="TableParagraph"/>
                              <w:tabs>
                                <w:tab w:pos="1839" w:val="left" w:leader="none"/>
                              </w:tabs>
                              <w:spacing w:before="18"/>
                              <w:ind w:left="520"/>
                              <w:rPr>
                                <w:sz w:val="18"/>
                              </w:rPr>
                            </w:pPr>
                            <w:r>
                              <w:rPr>
                                <w:spacing w:val="-10"/>
                                <w:sz w:val="18"/>
                              </w:rPr>
                              <w:t>—</w:t>
                            </w:r>
                            <w:r>
                              <w:rPr>
                                <w:sz w:val="18"/>
                              </w:rPr>
                              <w:tab/>
                            </w:r>
                            <w:r>
                              <w:rPr>
                                <w:spacing w:val="-5"/>
                                <w:sz w:val="18"/>
                              </w:rPr>
                              <w:t>950</w:t>
                            </w:r>
                          </w:p>
                        </w:tc>
                        <w:tc>
                          <w:tcPr>
                            <w:tcW w:w="1182" w:type="dxa"/>
                            <w:tcBorders>
                              <w:bottom w:val="single" w:sz="4" w:space="0" w:color="000000"/>
                            </w:tcBorders>
                          </w:tcPr>
                          <w:p>
                            <w:pPr>
                              <w:pStyle w:val="TableParagraph"/>
                              <w:spacing w:before="18"/>
                              <w:ind w:right="131"/>
                              <w:jc w:val="right"/>
                              <w:rPr>
                                <w:sz w:val="18"/>
                              </w:rPr>
                            </w:pPr>
                            <w:r>
                              <w:rPr>
                                <w:spacing w:val="-10"/>
                                <w:sz w:val="18"/>
                              </w:rPr>
                              <w:t>—</w:t>
                            </w:r>
                          </w:p>
                        </w:tc>
                        <w:tc>
                          <w:tcPr>
                            <w:tcW w:w="1103" w:type="dxa"/>
                            <w:tcBorders>
                              <w:bottom w:val="single" w:sz="4" w:space="0" w:color="000000"/>
                            </w:tcBorders>
                          </w:tcPr>
                          <w:p>
                            <w:pPr>
                              <w:pStyle w:val="TableParagraph"/>
                              <w:spacing w:before="18"/>
                              <w:ind w:right="34"/>
                              <w:jc w:val="right"/>
                              <w:rPr>
                                <w:sz w:val="18"/>
                              </w:rPr>
                            </w:pPr>
                            <w:r>
                              <w:rPr>
                                <w:spacing w:val="-2"/>
                                <w:sz w:val="18"/>
                              </w:rPr>
                              <w:t>(950)</w:t>
                            </w:r>
                          </w:p>
                        </w:tc>
                        <w:tc>
                          <w:tcPr>
                            <w:tcW w:w="1213" w:type="dxa"/>
                            <w:gridSpan w:val="2"/>
                            <w:tcBorders>
                              <w:bottom w:val="single" w:sz="4" w:space="0" w:color="000000"/>
                            </w:tcBorders>
                          </w:tcPr>
                          <w:p>
                            <w:pPr>
                              <w:pStyle w:val="TableParagraph"/>
                              <w:spacing w:before="18"/>
                              <w:ind w:right="77"/>
                              <w:jc w:val="right"/>
                              <w:rPr>
                                <w:sz w:val="18"/>
                              </w:rPr>
                            </w:pPr>
                            <w:r>
                              <w:rPr>
                                <w:spacing w:val="-10"/>
                                <w:sz w:val="18"/>
                              </w:rPr>
                              <w:t>—</w:t>
                            </w:r>
                          </w:p>
                        </w:tc>
                      </w:tr>
                      <w:tr>
                        <w:trPr>
                          <w:trHeight w:val="220" w:hRule="atLeast"/>
                        </w:trPr>
                        <w:tc>
                          <w:tcPr>
                            <w:tcW w:w="2695" w:type="dxa"/>
                            <w:tcBorders>
                              <w:top w:val="single" w:sz="4" w:space="0" w:color="000000"/>
                              <w:bottom w:val="double" w:sz="8" w:space="0" w:color="000000"/>
                            </w:tcBorders>
                            <w:shd w:val="clear" w:color="auto" w:fill="CCEDFF"/>
                          </w:tcPr>
                          <w:p>
                            <w:pPr>
                              <w:pStyle w:val="TableParagraph"/>
                              <w:spacing w:line="187" w:lineRule="exact" w:before="13"/>
                              <w:ind w:left="277"/>
                              <w:rPr>
                                <w:sz w:val="18"/>
                              </w:rPr>
                            </w:pPr>
                            <w:r>
                              <w:rPr>
                                <w:spacing w:val="-2"/>
                                <w:sz w:val="18"/>
                              </w:rPr>
                              <w:t>Total</w:t>
                            </w:r>
                          </w:p>
                        </w:tc>
                        <w:tc>
                          <w:tcPr>
                            <w:tcW w:w="1097" w:type="dxa"/>
                            <w:tcBorders>
                              <w:top w:val="single" w:sz="4" w:space="0" w:color="000000"/>
                              <w:bottom w:val="double" w:sz="8" w:space="0" w:color="000000"/>
                            </w:tcBorders>
                            <w:shd w:val="clear" w:color="auto" w:fill="CCEDFF"/>
                          </w:tcPr>
                          <w:p>
                            <w:pPr>
                              <w:pStyle w:val="TableParagraph"/>
                              <w:tabs>
                                <w:tab w:pos="397" w:val="left" w:leader="none"/>
                              </w:tabs>
                              <w:spacing w:line="187" w:lineRule="exact" w:before="13"/>
                              <w:ind w:right="99"/>
                              <w:jc w:val="right"/>
                              <w:rPr>
                                <w:sz w:val="18"/>
                              </w:rPr>
                            </w:pPr>
                            <w:r>
                              <w:rPr>
                                <w:spacing w:val="-10"/>
                                <w:sz w:val="18"/>
                              </w:rPr>
                              <w:t>$</w:t>
                            </w:r>
                            <w:r>
                              <w:rPr>
                                <w:sz w:val="18"/>
                              </w:rPr>
                              <w:tab/>
                            </w:r>
                            <w:r>
                              <w:rPr>
                                <w:spacing w:val="-2"/>
                                <w:sz w:val="18"/>
                              </w:rPr>
                              <w:t>13,343</w:t>
                            </w:r>
                          </w:p>
                        </w:tc>
                        <w:tc>
                          <w:tcPr>
                            <w:tcW w:w="713" w:type="dxa"/>
                            <w:tcBorders>
                              <w:top w:val="single" w:sz="4" w:space="0" w:color="000000"/>
                              <w:bottom w:val="double" w:sz="8" w:space="0" w:color="000000"/>
                            </w:tcBorders>
                            <w:shd w:val="clear" w:color="auto" w:fill="CCEDFF"/>
                          </w:tcPr>
                          <w:p>
                            <w:pPr>
                              <w:pStyle w:val="TableParagraph"/>
                              <w:spacing w:line="187" w:lineRule="exact" w:before="13"/>
                              <w:ind w:left="100"/>
                              <w:rPr>
                                <w:sz w:val="18"/>
                              </w:rPr>
                            </w:pPr>
                            <w:r>
                              <w:rPr>
                                <w:spacing w:val="-10"/>
                                <w:sz w:val="18"/>
                              </w:rPr>
                              <w:t>$</w:t>
                            </w:r>
                          </w:p>
                        </w:tc>
                        <w:tc>
                          <w:tcPr>
                            <w:tcW w:w="2262" w:type="dxa"/>
                            <w:gridSpan w:val="2"/>
                            <w:tcBorders>
                              <w:top w:val="single" w:sz="4" w:space="0" w:color="000000"/>
                              <w:bottom w:val="double" w:sz="8" w:space="0" w:color="000000"/>
                            </w:tcBorders>
                            <w:shd w:val="clear" w:color="auto" w:fill="CCEDFF"/>
                          </w:tcPr>
                          <w:p>
                            <w:pPr>
                              <w:pStyle w:val="TableParagraph"/>
                              <w:tabs>
                                <w:tab w:pos="902" w:val="left" w:leader="none"/>
                                <w:tab w:pos="1614" w:val="left" w:leader="none"/>
                              </w:tabs>
                              <w:spacing w:line="187" w:lineRule="exact" w:before="13"/>
                              <w:ind w:left="520"/>
                              <w:rPr>
                                <w:sz w:val="18"/>
                              </w:rPr>
                            </w:pPr>
                            <w:r>
                              <w:rPr>
                                <w:spacing w:val="-10"/>
                                <w:sz w:val="18"/>
                              </w:rPr>
                              <w:t>—</w:t>
                            </w:r>
                            <w:r>
                              <w:rPr>
                                <w:sz w:val="18"/>
                              </w:rPr>
                              <w:tab/>
                            </w:r>
                            <w:r>
                              <w:rPr>
                                <w:spacing w:val="-10"/>
                                <w:sz w:val="18"/>
                              </w:rPr>
                              <w:t>$</w:t>
                            </w:r>
                            <w:r>
                              <w:rPr>
                                <w:sz w:val="18"/>
                              </w:rPr>
                              <w:tab/>
                            </w:r>
                            <w:r>
                              <w:rPr>
                                <w:spacing w:val="-2"/>
                                <w:sz w:val="18"/>
                              </w:rPr>
                              <w:t>13,343</w:t>
                            </w:r>
                          </w:p>
                        </w:tc>
                        <w:tc>
                          <w:tcPr>
                            <w:tcW w:w="1182" w:type="dxa"/>
                            <w:tcBorders>
                              <w:top w:val="single" w:sz="4" w:space="0" w:color="000000"/>
                              <w:bottom w:val="double" w:sz="8" w:space="0" w:color="000000"/>
                            </w:tcBorders>
                            <w:shd w:val="clear" w:color="auto" w:fill="CCEDFF"/>
                          </w:tcPr>
                          <w:p>
                            <w:pPr>
                              <w:pStyle w:val="TableParagraph"/>
                              <w:tabs>
                                <w:tab w:pos="667" w:val="left" w:leader="none"/>
                              </w:tabs>
                              <w:spacing w:line="187" w:lineRule="exact" w:before="13"/>
                              <w:ind w:right="71"/>
                              <w:jc w:val="right"/>
                              <w:rPr>
                                <w:sz w:val="18"/>
                              </w:rPr>
                            </w:pPr>
                            <w:r>
                              <w:rPr>
                                <w:spacing w:val="-10"/>
                                <w:sz w:val="18"/>
                              </w:rPr>
                              <w:t>$</w:t>
                            </w:r>
                            <w:r>
                              <w:rPr>
                                <w:sz w:val="18"/>
                              </w:rPr>
                              <w:tab/>
                            </w:r>
                            <w:r>
                              <w:rPr>
                                <w:spacing w:val="-2"/>
                                <w:sz w:val="18"/>
                              </w:rPr>
                              <w:t>(646)</w:t>
                            </w:r>
                          </w:p>
                        </w:tc>
                        <w:tc>
                          <w:tcPr>
                            <w:tcW w:w="1103" w:type="dxa"/>
                            <w:tcBorders>
                              <w:top w:val="single" w:sz="4" w:space="0" w:color="000000"/>
                              <w:bottom w:val="double" w:sz="8" w:space="0" w:color="000000"/>
                            </w:tcBorders>
                            <w:shd w:val="clear" w:color="auto" w:fill="CCEDFF"/>
                          </w:tcPr>
                          <w:p>
                            <w:pPr>
                              <w:pStyle w:val="TableParagraph"/>
                              <w:tabs>
                                <w:tab w:pos="382" w:val="left" w:leader="none"/>
                              </w:tabs>
                              <w:spacing w:line="187" w:lineRule="exact" w:before="13"/>
                              <w:ind w:right="34"/>
                              <w:jc w:val="right"/>
                              <w:rPr>
                                <w:sz w:val="18"/>
                              </w:rPr>
                            </w:pPr>
                            <w:r>
                              <w:rPr>
                                <w:spacing w:val="-10"/>
                                <w:sz w:val="18"/>
                              </w:rPr>
                              <w:t>$</w:t>
                            </w:r>
                            <w:r>
                              <w:rPr>
                                <w:sz w:val="18"/>
                              </w:rPr>
                              <w:tab/>
                            </w:r>
                            <w:r>
                              <w:rPr>
                                <w:spacing w:val="-2"/>
                                <w:sz w:val="18"/>
                              </w:rPr>
                              <w:t>(12,186)</w:t>
                            </w:r>
                          </w:p>
                        </w:tc>
                        <w:tc>
                          <w:tcPr>
                            <w:tcW w:w="1213" w:type="dxa"/>
                            <w:gridSpan w:val="2"/>
                            <w:tcBorders>
                              <w:top w:val="single" w:sz="4" w:space="0" w:color="000000"/>
                              <w:bottom w:val="double" w:sz="8" w:space="0" w:color="000000"/>
                            </w:tcBorders>
                            <w:shd w:val="clear" w:color="auto" w:fill="CCEDFF"/>
                          </w:tcPr>
                          <w:p>
                            <w:pPr>
                              <w:pStyle w:val="TableParagraph"/>
                              <w:tabs>
                                <w:tab w:pos="862" w:val="left" w:leader="none"/>
                              </w:tabs>
                              <w:spacing w:line="187" w:lineRule="exact" w:before="13"/>
                              <w:ind w:left="420"/>
                              <w:rPr>
                                <w:sz w:val="18"/>
                              </w:rPr>
                            </w:pPr>
                            <w:r>
                              <w:rPr>
                                <w:spacing w:val="-10"/>
                                <w:sz w:val="18"/>
                              </w:rPr>
                              <w:t>$</w:t>
                            </w:r>
                            <w:r>
                              <w:rPr>
                                <w:sz w:val="18"/>
                              </w:rPr>
                              <w:tab/>
                            </w:r>
                            <w:r>
                              <w:rPr>
                                <w:spacing w:val="-5"/>
                                <w:sz w:val="18"/>
                              </w:rPr>
                              <w:t>511</w:t>
                            </w:r>
                          </w:p>
                        </w:tc>
                      </w:tr>
                    </w:tbl>
                    <w:p>
                      <w:pPr>
                        <w:pStyle w:val="BodyText"/>
                      </w:pPr>
                    </w:p>
                  </w:txbxContent>
                </v:textbox>
                <w10:wrap type="none"/>
              </v:shape>
            </w:pict>
          </mc:Fallback>
        </mc:AlternateContent>
      </w:r>
      <w:r>
        <w:rPr>
          <w:sz w:val="18"/>
        </w:rPr>
        <w:t>December</w:t>
      </w:r>
      <w:r>
        <w:rPr>
          <w:spacing w:val="-1"/>
          <w:sz w:val="18"/>
        </w:rPr>
        <w:t> </w:t>
      </w:r>
      <w:r>
        <w:rPr>
          <w:sz w:val="18"/>
        </w:rPr>
        <w:t>31, </w:t>
      </w:r>
      <w:r>
        <w:rPr>
          <w:spacing w:val="-4"/>
          <w:sz w:val="18"/>
        </w:rPr>
        <w:t>2022</w:t>
      </w:r>
    </w:p>
    <w:p>
      <w:pPr>
        <w:spacing w:before="7" w:after="36"/>
        <w:ind w:left="522" w:right="0" w:firstLine="0"/>
        <w:jc w:val="left"/>
        <w:rPr>
          <w:b/>
          <w:sz w:val="18"/>
        </w:rPr>
      </w:pPr>
      <w:r>
        <w:rPr>
          <w:b/>
          <w:spacing w:val="-2"/>
          <w:sz w:val="18"/>
        </w:rPr>
        <w:t>Assets</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1371"/>
        <w:gridCol w:w="2924"/>
        <w:gridCol w:w="1229"/>
        <w:gridCol w:w="1398"/>
        <w:gridCol w:w="913"/>
      </w:tblGrid>
      <w:tr>
        <w:trPr>
          <w:trHeight w:val="252" w:hRule="atLeast"/>
        </w:trPr>
        <w:tc>
          <w:tcPr>
            <w:tcW w:w="2419" w:type="dxa"/>
            <w:shd w:val="clear" w:color="auto" w:fill="CCEDFF"/>
          </w:tcPr>
          <w:p>
            <w:pPr>
              <w:pStyle w:val="TableParagraph"/>
              <w:spacing w:before="18"/>
              <w:ind w:left="172"/>
              <w:rPr>
                <w:sz w:val="18"/>
              </w:rPr>
            </w:pPr>
            <w:r>
              <w:rPr>
                <w:sz w:val="18"/>
              </w:rPr>
              <w:t>Resale</w:t>
            </w:r>
            <w:r>
              <w:rPr>
                <w:spacing w:val="-1"/>
                <w:sz w:val="18"/>
              </w:rPr>
              <w:t> </w:t>
            </w:r>
            <w:r>
              <w:rPr>
                <w:sz w:val="18"/>
              </w:rPr>
              <w:t>agreements</w:t>
            </w:r>
            <w:r>
              <w:rPr>
                <w:spacing w:val="-2"/>
                <w:sz w:val="18"/>
              </w:rPr>
              <w:t> </w:t>
            </w:r>
            <w:r>
              <w:rPr>
                <w:spacing w:val="-5"/>
                <w:sz w:val="18"/>
                <w:vertAlign w:val="superscript"/>
              </w:rPr>
              <w:t>(1)</w:t>
            </w:r>
          </w:p>
        </w:tc>
        <w:tc>
          <w:tcPr>
            <w:tcW w:w="1371" w:type="dxa"/>
            <w:shd w:val="clear" w:color="auto" w:fill="CCEDFF"/>
          </w:tcPr>
          <w:p>
            <w:pPr>
              <w:pStyle w:val="TableParagraph"/>
              <w:tabs>
                <w:tab w:pos="397" w:val="left" w:leader="none"/>
              </w:tabs>
              <w:spacing w:before="18"/>
              <w:ind w:right="97"/>
              <w:jc w:val="right"/>
              <w:rPr>
                <w:sz w:val="18"/>
              </w:rPr>
            </w:pPr>
            <w:r>
              <w:rPr>
                <w:spacing w:val="-10"/>
                <w:sz w:val="18"/>
              </w:rPr>
              <w:t>$</w:t>
            </w:r>
            <w:r>
              <w:rPr>
                <w:sz w:val="18"/>
              </w:rPr>
              <w:tab/>
            </w:r>
            <w:r>
              <w:rPr>
                <w:spacing w:val="-2"/>
                <w:sz w:val="18"/>
              </w:rPr>
              <w:t>12,159</w:t>
            </w:r>
          </w:p>
        </w:tc>
        <w:tc>
          <w:tcPr>
            <w:tcW w:w="2924" w:type="dxa"/>
            <w:shd w:val="clear" w:color="auto" w:fill="CCEDFF"/>
          </w:tcPr>
          <w:p>
            <w:pPr>
              <w:pStyle w:val="TableParagraph"/>
              <w:tabs>
                <w:tab w:pos="1132" w:val="left" w:leader="none"/>
                <w:tab w:pos="1514" w:val="left" w:leader="none"/>
                <w:tab w:pos="2227" w:val="left" w:leader="none"/>
              </w:tabs>
              <w:spacing w:before="18"/>
              <w:ind w:right="96"/>
              <w:jc w:val="right"/>
              <w:rPr>
                <w:sz w:val="18"/>
              </w:rPr>
            </w:pPr>
            <w:r>
              <w:rPr>
                <w:spacing w:val="-10"/>
                <w:sz w:val="18"/>
              </w:rPr>
              <w:t>$</w:t>
            </w:r>
            <w:r>
              <w:rPr>
                <w:sz w:val="18"/>
              </w:rPr>
              <w:tab/>
            </w:r>
            <w:r>
              <w:rPr>
                <w:spacing w:val="-10"/>
                <w:sz w:val="18"/>
              </w:rPr>
              <w:t>—</w:t>
            </w:r>
            <w:r>
              <w:rPr>
                <w:sz w:val="18"/>
              </w:rPr>
              <w:tab/>
            </w:r>
            <w:r>
              <w:rPr>
                <w:spacing w:val="-10"/>
                <w:sz w:val="18"/>
              </w:rPr>
              <w:t>$</w:t>
            </w:r>
            <w:r>
              <w:rPr>
                <w:sz w:val="18"/>
              </w:rPr>
              <w:tab/>
            </w:r>
            <w:r>
              <w:rPr>
                <w:spacing w:val="-2"/>
                <w:sz w:val="18"/>
              </w:rPr>
              <w:t>12,159</w:t>
            </w:r>
          </w:p>
        </w:tc>
        <w:tc>
          <w:tcPr>
            <w:tcW w:w="1229" w:type="dxa"/>
            <w:shd w:val="clear" w:color="auto" w:fill="CCEDFF"/>
          </w:tcPr>
          <w:p>
            <w:pPr>
              <w:pStyle w:val="TableParagraph"/>
              <w:tabs>
                <w:tab w:pos="817" w:val="left" w:leader="none"/>
              </w:tabs>
              <w:spacing w:before="18"/>
              <w:ind w:right="125"/>
              <w:jc w:val="right"/>
              <w:rPr>
                <w:sz w:val="18"/>
              </w:rPr>
            </w:pPr>
            <w:r>
              <w:rPr>
                <w:spacing w:val="-10"/>
                <w:sz w:val="18"/>
              </w:rPr>
              <w:t>$</w:t>
            </w:r>
            <w:r>
              <w:rPr>
                <w:sz w:val="18"/>
              </w:rPr>
              <w:tab/>
            </w:r>
            <w:r>
              <w:rPr>
                <w:spacing w:val="-10"/>
                <w:sz w:val="18"/>
              </w:rPr>
              <w:t>—</w:t>
            </w:r>
          </w:p>
        </w:tc>
        <w:tc>
          <w:tcPr>
            <w:tcW w:w="1398" w:type="dxa"/>
            <w:shd w:val="clear" w:color="auto" w:fill="CCEDFF"/>
          </w:tcPr>
          <w:p>
            <w:pPr>
              <w:pStyle w:val="TableParagraph"/>
              <w:tabs>
                <w:tab w:pos="457" w:val="left" w:leader="none"/>
              </w:tabs>
              <w:spacing w:before="18"/>
              <w:ind w:left="74"/>
              <w:rPr>
                <w:sz w:val="18"/>
              </w:rPr>
            </w:pPr>
            <w:r>
              <w:rPr>
                <w:spacing w:val="-10"/>
                <w:sz w:val="18"/>
              </w:rPr>
              <w:t>$</w:t>
            </w:r>
            <w:r>
              <w:rPr>
                <w:sz w:val="18"/>
              </w:rPr>
              <w:tab/>
              <w:t>(12,159)</w:t>
            </w:r>
            <w:r>
              <w:rPr>
                <w:spacing w:val="22"/>
                <w:sz w:val="18"/>
              </w:rPr>
              <w:t> </w:t>
            </w:r>
            <w:r>
              <w:rPr>
                <w:spacing w:val="-5"/>
                <w:sz w:val="18"/>
                <w:vertAlign w:val="superscript"/>
              </w:rPr>
              <w:t>(2)</w:t>
            </w:r>
          </w:p>
        </w:tc>
        <w:tc>
          <w:tcPr>
            <w:tcW w:w="913" w:type="dxa"/>
            <w:shd w:val="clear" w:color="auto" w:fill="CCEDFF"/>
          </w:tcPr>
          <w:p>
            <w:pPr>
              <w:pStyle w:val="TableParagraph"/>
              <w:tabs>
                <w:tab w:pos="532" w:val="left" w:leader="none"/>
              </w:tabs>
              <w:spacing w:before="18"/>
              <w:ind w:right="66"/>
              <w:jc w:val="right"/>
              <w:rPr>
                <w:sz w:val="18"/>
              </w:rPr>
            </w:pPr>
            <w:r>
              <w:rPr>
                <w:spacing w:val="-10"/>
                <w:sz w:val="18"/>
              </w:rPr>
              <w:t>$</w:t>
            </w:r>
            <w:r>
              <w:rPr>
                <w:sz w:val="18"/>
              </w:rPr>
              <w:tab/>
            </w:r>
            <w:r>
              <w:rPr>
                <w:spacing w:val="-10"/>
                <w:sz w:val="18"/>
              </w:rPr>
              <w:t>—</w:t>
            </w:r>
          </w:p>
        </w:tc>
      </w:tr>
      <w:tr>
        <w:trPr>
          <w:trHeight w:val="252" w:hRule="atLeast"/>
        </w:trPr>
        <w:tc>
          <w:tcPr>
            <w:tcW w:w="2419" w:type="dxa"/>
            <w:tcBorders>
              <w:bottom w:val="single" w:sz="4" w:space="0" w:color="000000"/>
            </w:tcBorders>
          </w:tcPr>
          <w:p>
            <w:pPr>
              <w:pStyle w:val="TableParagraph"/>
              <w:spacing w:before="13"/>
              <w:ind w:left="172"/>
              <w:rPr>
                <w:sz w:val="18"/>
              </w:rPr>
            </w:pPr>
            <w:r>
              <w:rPr>
                <w:sz w:val="18"/>
              </w:rPr>
              <w:t>Securities</w:t>
            </w:r>
            <w:r>
              <w:rPr>
                <w:spacing w:val="-3"/>
                <w:sz w:val="18"/>
              </w:rPr>
              <w:t> </w:t>
            </w:r>
            <w:r>
              <w:rPr>
                <w:sz w:val="18"/>
              </w:rPr>
              <w:t>borrowed</w:t>
            </w:r>
            <w:r>
              <w:rPr>
                <w:spacing w:val="-2"/>
                <w:sz w:val="18"/>
              </w:rPr>
              <w:t> </w:t>
            </w:r>
            <w:r>
              <w:rPr>
                <w:spacing w:val="-5"/>
                <w:sz w:val="18"/>
                <w:vertAlign w:val="superscript"/>
              </w:rPr>
              <w:t>(3)</w:t>
            </w:r>
          </w:p>
        </w:tc>
        <w:tc>
          <w:tcPr>
            <w:tcW w:w="1371" w:type="dxa"/>
            <w:tcBorders>
              <w:bottom w:val="single" w:sz="4" w:space="0" w:color="000000"/>
            </w:tcBorders>
          </w:tcPr>
          <w:p>
            <w:pPr>
              <w:pStyle w:val="TableParagraph"/>
              <w:spacing w:before="13"/>
              <w:ind w:right="97"/>
              <w:jc w:val="right"/>
              <w:rPr>
                <w:sz w:val="18"/>
              </w:rPr>
            </w:pPr>
            <w:r>
              <w:rPr>
                <w:spacing w:val="-5"/>
                <w:sz w:val="18"/>
              </w:rPr>
              <w:t>705</w:t>
            </w:r>
          </w:p>
        </w:tc>
        <w:tc>
          <w:tcPr>
            <w:tcW w:w="2924" w:type="dxa"/>
            <w:tcBorders>
              <w:bottom w:val="single" w:sz="4" w:space="0" w:color="000000"/>
            </w:tcBorders>
          </w:tcPr>
          <w:p>
            <w:pPr>
              <w:pStyle w:val="TableParagraph"/>
              <w:tabs>
                <w:tab w:pos="1319" w:val="left" w:leader="none"/>
              </w:tabs>
              <w:spacing w:before="13"/>
              <w:ind w:right="96"/>
              <w:jc w:val="right"/>
              <w:rPr>
                <w:sz w:val="18"/>
              </w:rPr>
            </w:pPr>
            <w:r>
              <w:rPr>
                <w:spacing w:val="-10"/>
                <w:sz w:val="18"/>
              </w:rPr>
              <w:t>—</w:t>
            </w:r>
            <w:r>
              <w:rPr>
                <w:sz w:val="18"/>
              </w:rPr>
              <w:tab/>
            </w:r>
            <w:r>
              <w:rPr>
                <w:spacing w:val="-5"/>
                <w:sz w:val="18"/>
              </w:rPr>
              <w:t>705</w:t>
            </w:r>
          </w:p>
        </w:tc>
        <w:tc>
          <w:tcPr>
            <w:tcW w:w="1229" w:type="dxa"/>
            <w:tcBorders>
              <w:bottom w:val="single" w:sz="4" w:space="0" w:color="000000"/>
            </w:tcBorders>
          </w:tcPr>
          <w:p>
            <w:pPr>
              <w:pStyle w:val="TableParagraph"/>
              <w:spacing w:before="13"/>
              <w:ind w:right="65"/>
              <w:jc w:val="right"/>
              <w:rPr>
                <w:sz w:val="18"/>
              </w:rPr>
            </w:pPr>
            <w:r>
              <w:rPr>
                <w:spacing w:val="-2"/>
                <w:sz w:val="18"/>
              </w:rPr>
              <w:t>(331)</w:t>
            </w:r>
          </w:p>
        </w:tc>
        <w:tc>
          <w:tcPr>
            <w:tcW w:w="1398" w:type="dxa"/>
            <w:tcBorders>
              <w:bottom w:val="single" w:sz="4" w:space="0" w:color="000000"/>
            </w:tcBorders>
          </w:tcPr>
          <w:p>
            <w:pPr>
              <w:pStyle w:val="TableParagraph"/>
              <w:spacing w:before="13"/>
              <w:ind w:left="682"/>
              <w:rPr>
                <w:sz w:val="18"/>
              </w:rPr>
            </w:pPr>
            <w:r>
              <w:rPr>
                <w:spacing w:val="-2"/>
                <w:sz w:val="18"/>
              </w:rPr>
              <w:t>(366)</w:t>
            </w:r>
          </w:p>
        </w:tc>
        <w:tc>
          <w:tcPr>
            <w:tcW w:w="913" w:type="dxa"/>
            <w:tcBorders>
              <w:bottom w:val="single" w:sz="4" w:space="0" w:color="000000"/>
            </w:tcBorders>
          </w:tcPr>
          <w:p>
            <w:pPr>
              <w:pStyle w:val="TableParagraph"/>
              <w:spacing w:before="13"/>
              <w:ind w:right="66"/>
              <w:jc w:val="right"/>
              <w:rPr>
                <w:sz w:val="18"/>
              </w:rPr>
            </w:pPr>
            <w:r>
              <w:rPr>
                <w:spacing w:val="-10"/>
                <w:sz w:val="18"/>
              </w:rPr>
              <w:t>8</w:t>
            </w:r>
          </w:p>
        </w:tc>
      </w:tr>
      <w:tr>
        <w:trPr>
          <w:trHeight w:val="220" w:hRule="atLeast"/>
        </w:trPr>
        <w:tc>
          <w:tcPr>
            <w:tcW w:w="2419" w:type="dxa"/>
            <w:tcBorders>
              <w:top w:val="single" w:sz="4" w:space="0" w:color="000000"/>
              <w:bottom w:val="double" w:sz="8" w:space="0" w:color="000000"/>
            </w:tcBorders>
            <w:shd w:val="clear" w:color="auto" w:fill="CCEDFF"/>
          </w:tcPr>
          <w:p>
            <w:pPr>
              <w:pStyle w:val="TableParagraph"/>
              <w:spacing w:line="191" w:lineRule="exact" w:before="8"/>
              <w:ind w:left="277"/>
              <w:rPr>
                <w:sz w:val="18"/>
              </w:rPr>
            </w:pPr>
            <w:r>
              <w:rPr>
                <w:spacing w:val="-2"/>
                <w:sz w:val="18"/>
              </w:rPr>
              <w:t>Total</w:t>
            </w:r>
          </w:p>
        </w:tc>
        <w:tc>
          <w:tcPr>
            <w:tcW w:w="1371" w:type="dxa"/>
            <w:tcBorders>
              <w:top w:val="single" w:sz="4" w:space="0" w:color="000000"/>
              <w:bottom w:val="double" w:sz="8" w:space="0" w:color="000000"/>
            </w:tcBorders>
            <w:shd w:val="clear" w:color="auto" w:fill="CCEDFF"/>
          </w:tcPr>
          <w:p>
            <w:pPr>
              <w:pStyle w:val="TableParagraph"/>
              <w:tabs>
                <w:tab w:pos="397" w:val="left" w:leader="none"/>
              </w:tabs>
              <w:spacing w:line="191" w:lineRule="exact" w:before="8"/>
              <w:ind w:right="97"/>
              <w:jc w:val="right"/>
              <w:rPr>
                <w:sz w:val="18"/>
              </w:rPr>
            </w:pPr>
            <w:r>
              <w:rPr>
                <w:spacing w:val="-10"/>
                <w:sz w:val="18"/>
              </w:rPr>
              <w:t>$</w:t>
            </w:r>
            <w:r>
              <w:rPr>
                <w:sz w:val="18"/>
              </w:rPr>
              <w:tab/>
            </w:r>
            <w:r>
              <w:rPr>
                <w:spacing w:val="-2"/>
                <w:sz w:val="18"/>
              </w:rPr>
              <w:t>12,864</w:t>
            </w:r>
          </w:p>
        </w:tc>
        <w:tc>
          <w:tcPr>
            <w:tcW w:w="2924" w:type="dxa"/>
            <w:tcBorders>
              <w:top w:val="single" w:sz="4" w:space="0" w:color="000000"/>
              <w:bottom w:val="double" w:sz="8" w:space="0" w:color="000000"/>
            </w:tcBorders>
            <w:shd w:val="clear" w:color="auto" w:fill="CCEDFF"/>
          </w:tcPr>
          <w:p>
            <w:pPr>
              <w:pStyle w:val="TableParagraph"/>
              <w:tabs>
                <w:tab w:pos="1132" w:val="left" w:leader="none"/>
                <w:tab w:pos="1514" w:val="left" w:leader="none"/>
                <w:tab w:pos="2227" w:val="left" w:leader="none"/>
              </w:tabs>
              <w:spacing w:line="191" w:lineRule="exact" w:before="8"/>
              <w:ind w:right="96"/>
              <w:jc w:val="right"/>
              <w:rPr>
                <w:sz w:val="18"/>
              </w:rPr>
            </w:pPr>
            <w:r>
              <w:rPr>
                <w:spacing w:val="-10"/>
                <w:sz w:val="18"/>
              </w:rPr>
              <w:t>$</w:t>
            </w:r>
            <w:r>
              <w:rPr>
                <w:sz w:val="18"/>
              </w:rPr>
              <w:tab/>
            </w:r>
            <w:r>
              <w:rPr>
                <w:spacing w:val="-10"/>
                <w:sz w:val="18"/>
              </w:rPr>
              <w:t>—</w:t>
            </w:r>
            <w:r>
              <w:rPr>
                <w:sz w:val="18"/>
              </w:rPr>
              <w:tab/>
            </w:r>
            <w:r>
              <w:rPr>
                <w:spacing w:val="-10"/>
                <w:sz w:val="18"/>
              </w:rPr>
              <w:t>$</w:t>
            </w:r>
            <w:r>
              <w:rPr>
                <w:sz w:val="18"/>
              </w:rPr>
              <w:tab/>
            </w:r>
            <w:r>
              <w:rPr>
                <w:spacing w:val="-2"/>
                <w:sz w:val="18"/>
              </w:rPr>
              <w:t>12,864</w:t>
            </w:r>
          </w:p>
        </w:tc>
        <w:tc>
          <w:tcPr>
            <w:tcW w:w="1229" w:type="dxa"/>
            <w:tcBorders>
              <w:top w:val="single" w:sz="4" w:space="0" w:color="000000"/>
              <w:bottom w:val="double" w:sz="8" w:space="0" w:color="000000"/>
            </w:tcBorders>
            <w:shd w:val="clear" w:color="auto" w:fill="CCEDFF"/>
          </w:tcPr>
          <w:p>
            <w:pPr>
              <w:pStyle w:val="TableParagraph"/>
              <w:tabs>
                <w:tab w:pos="667" w:val="left" w:leader="none"/>
              </w:tabs>
              <w:spacing w:line="191" w:lineRule="exact" w:before="8"/>
              <w:ind w:right="65"/>
              <w:jc w:val="right"/>
              <w:rPr>
                <w:sz w:val="18"/>
              </w:rPr>
            </w:pPr>
            <w:r>
              <w:rPr>
                <w:spacing w:val="-10"/>
                <w:sz w:val="18"/>
              </w:rPr>
              <w:t>$</w:t>
            </w:r>
            <w:r>
              <w:rPr>
                <w:sz w:val="18"/>
              </w:rPr>
              <w:tab/>
            </w:r>
            <w:r>
              <w:rPr>
                <w:spacing w:val="-2"/>
                <w:sz w:val="18"/>
              </w:rPr>
              <w:t>(331)</w:t>
            </w:r>
          </w:p>
        </w:tc>
        <w:tc>
          <w:tcPr>
            <w:tcW w:w="1398" w:type="dxa"/>
            <w:tcBorders>
              <w:top w:val="single" w:sz="4" w:space="0" w:color="000000"/>
              <w:bottom w:val="double" w:sz="8" w:space="0" w:color="000000"/>
            </w:tcBorders>
            <w:shd w:val="clear" w:color="auto" w:fill="CCEDFF"/>
          </w:tcPr>
          <w:p>
            <w:pPr>
              <w:pStyle w:val="TableParagraph"/>
              <w:tabs>
                <w:tab w:pos="457" w:val="left" w:leader="none"/>
              </w:tabs>
              <w:spacing w:line="191" w:lineRule="exact" w:before="8"/>
              <w:ind w:left="74"/>
              <w:rPr>
                <w:sz w:val="18"/>
              </w:rPr>
            </w:pPr>
            <w:r>
              <w:rPr>
                <w:spacing w:val="-10"/>
                <w:sz w:val="18"/>
              </w:rPr>
              <w:t>$</w:t>
            </w:r>
            <w:r>
              <w:rPr>
                <w:sz w:val="18"/>
              </w:rPr>
              <w:tab/>
            </w:r>
            <w:r>
              <w:rPr>
                <w:spacing w:val="-2"/>
                <w:sz w:val="18"/>
              </w:rPr>
              <w:t>(12,525)</w:t>
            </w:r>
          </w:p>
        </w:tc>
        <w:tc>
          <w:tcPr>
            <w:tcW w:w="913" w:type="dxa"/>
            <w:tcBorders>
              <w:top w:val="single" w:sz="4" w:space="0" w:color="000000"/>
              <w:bottom w:val="double" w:sz="8" w:space="0" w:color="000000"/>
            </w:tcBorders>
            <w:shd w:val="clear" w:color="auto" w:fill="CCEDFF"/>
          </w:tcPr>
          <w:p>
            <w:pPr>
              <w:pStyle w:val="TableParagraph"/>
              <w:tabs>
                <w:tab w:pos="622" w:val="left" w:leader="none"/>
              </w:tabs>
              <w:spacing w:line="191" w:lineRule="exact" w:before="8"/>
              <w:ind w:right="66"/>
              <w:jc w:val="right"/>
              <w:rPr>
                <w:sz w:val="18"/>
              </w:rPr>
            </w:pPr>
            <w:r>
              <w:rPr>
                <w:spacing w:val="-10"/>
                <w:sz w:val="18"/>
              </w:rPr>
              <w:t>$</w:t>
            </w:r>
            <w:r>
              <w:rPr>
                <w:sz w:val="18"/>
              </w:rPr>
              <w:tab/>
            </w:r>
            <w:r>
              <w:rPr>
                <w:spacing w:val="-10"/>
                <w:sz w:val="18"/>
              </w:rPr>
              <w:t>8</w:t>
            </w:r>
          </w:p>
        </w:tc>
      </w:tr>
      <w:tr>
        <w:trPr>
          <w:trHeight w:val="225" w:hRule="atLeast"/>
        </w:trPr>
        <w:tc>
          <w:tcPr>
            <w:tcW w:w="2419" w:type="dxa"/>
            <w:tcBorders>
              <w:top w:val="double" w:sz="8" w:space="0" w:color="000000"/>
            </w:tcBorders>
          </w:tcPr>
          <w:p>
            <w:pPr>
              <w:pStyle w:val="TableParagraph"/>
              <w:spacing w:line="195" w:lineRule="exact"/>
              <w:ind w:left="52"/>
              <w:rPr>
                <w:b/>
                <w:sz w:val="18"/>
              </w:rPr>
            </w:pPr>
            <w:r>
              <w:rPr>
                <w:b/>
                <w:spacing w:val="-2"/>
                <w:sz w:val="18"/>
              </w:rPr>
              <w:t>Liabilities</w:t>
            </w:r>
          </w:p>
        </w:tc>
        <w:tc>
          <w:tcPr>
            <w:tcW w:w="1371" w:type="dxa"/>
            <w:tcBorders>
              <w:top w:val="double" w:sz="8" w:space="0" w:color="000000"/>
            </w:tcBorders>
          </w:tcPr>
          <w:p>
            <w:pPr>
              <w:pStyle w:val="TableParagraph"/>
              <w:rPr>
                <w:sz w:val="16"/>
              </w:rPr>
            </w:pPr>
          </w:p>
        </w:tc>
        <w:tc>
          <w:tcPr>
            <w:tcW w:w="2924" w:type="dxa"/>
            <w:tcBorders>
              <w:top w:val="double" w:sz="8" w:space="0" w:color="000000"/>
            </w:tcBorders>
          </w:tcPr>
          <w:p>
            <w:pPr>
              <w:pStyle w:val="TableParagraph"/>
              <w:rPr>
                <w:sz w:val="16"/>
              </w:rPr>
            </w:pPr>
          </w:p>
        </w:tc>
        <w:tc>
          <w:tcPr>
            <w:tcW w:w="1229" w:type="dxa"/>
            <w:tcBorders>
              <w:top w:val="double" w:sz="8" w:space="0" w:color="000000"/>
            </w:tcBorders>
          </w:tcPr>
          <w:p>
            <w:pPr>
              <w:pStyle w:val="TableParagraph"/>
              <w:rPr>
                <w:sz w:val="16"/>
              </w:rPr>
            </w:pPr>
          </w:p>
        </w:tc>
        <w:tc>
          <w:tcPr>
            <w:tcW w:w="1398" w:type="dxa"/>
            <w:tcBorders>
              <w:top w:val="double" w:sz="8" w:space="0" w:color="000000"/>
            </w:tcBorders>
          </w:tcPr>
          <w:p>
            <w:pPr>
              <w:pStyle w:val="TableParagraph"/>
              <w:rPr>
                <w:sz w:val="16"/>
              </w:rPr>
            </w:pPr>
          </w:p>
        </w:tc>
        <w:tc>
          <w:tcPr>
            <w:tcW w:w="913" w:type="dxa"/>
            <w:tcBorders>
              <w:top w:val="double" w:sz="8" w:space="0" w:color="000000"/>
            </w:tcBorders>
          </w:tcPr>
          <w:p>
            <w:pPr>
              <w:pStyle w:val="TableParagraph"/>
              <w:rPr>
                <w:sz w:val="16"/>
              </w:rPr>
            </w:pPr>
          </w:p>
        </w:tc>
      </w:tr>
      <w:tr>
        <w:trPr>
          <w:trHeight w:val="255" w:hRule="atLeast"/>
        </w:trPr>
        <w:tc>
          <w:tcPr>
            <w:tcW w:w="2419" w:type="dxa"/>
            <w:shd w:val="clear" w:color="auto" w:fill="CCEDFF"/>
          </w:tcPr>
          <w:p>
            <w:pPr>
              <w:pStyle w:val="TableParagraph"/>
              <w:spacing w:before="18"/>
              <w:ind w:left="172"/>
              <w:rPr>
                <w:sz w:val="18"/>
              </w:rPr>
            </w:pPr>
            <w:r>
              <w:rPr>
                <w:sz w:val="18"/>
              </w:rPr>
              <w:t>Repurchase</w:t>
            </w:r>
            <w:r>
              <w:rPr>
                <w:spacing w:val="-1"/>
                <w:sz w:val="18"/>
              </w:rPr>
              <w:t> </w:t>
            </w:r>
            <w:r>
              <w:rPr>
                <w:sz w:val="18"/>
              </w:rPr>
              <w:t>agreements</w:t>
            </w:r>
            <w:r>
              <w:rPr>
                <w:spacing w:val="-18"/>
                <w:sz w:val="18"/>
              </w:rPr>
              <w:t> </w:t>
            </w:r>
            <w:r>
              <w:rPr>
                <w:spacing w:val="-5"/>
                <w:sz w:val="18"/>
                <w:vertAlign w:val="superscript"/>
              </w:rPr>
              <w:t>(6)</w:t>
            </w:r>
          </w:p>
        </w:tc>
        <w:tc>
          <w:tcPr>
            <w:tcW w:w="1371" w:type="dxa"/>
            <w:shd w:val="clear" w:color="auto" w:fill="CCEDFF"/>
          </w:tcPr>
          <w:p>
            <w:pPr>
              <w:pStyle w:val="TableParagraph"/>
              <w:tabs>
                <w:tab w:pos="487" w:val="left" w:leader="none"/>
              </w:tabs>
              <w:spacing w:before="18"/>
              <w:ind w:right="97"/>
              <w:jc w:val="right"/>
              <w:rPr>
                <w:sz w:val="18"/>
              </w:rPr>
            </w:pPr>
            <w:r>
              <w:rPr>
                <w:spacing w:val="-10"/>
                <w:sz w:val="18"/>
              </w:rPr>
              <w:t>$</w:t>
            </w:r>
            <w:r>
              <w:rPr>
                <w:sz w:val="18"/>
              </w:rPr>
              <w:tab/>
            </w:r>
            <w:r>
              <w:rPr>
                <w:spacing w:val="-2"/>
                <w:sz w:val="18"/>
              </w:rPr>
              <w:t>4,402</w:t>
            </w:r>
          </w:p>
        </w:tc>
        <w:tc>
          <w:tcPr>
            <w:tcW w:w="2924" w:type="dxa"/>
            <w:shd w:val="clear" w:color="auto" w:fill="CCEDFF"/>
          </w:tcPr>
          <w:p>
            <w:pPr>
              <w:pStyle w:val="TableParagraph"/>
              <w:tabs>
                <w:tab w:pos="1132" w:val="left" w:leader="none"/>
                <w:tab w:pos="1514" w:val="left" w:leader="none"/>
                <w:tab w:pos="2317" w:val="left" w:leader="none"/>
              </w:tabs>
              <w:spacing w:before="18"/>
              <w:ind w:right="96"/>
              <w:jc w:val="right"/>
              <w:rPr>
                <w:sz w:val="18"/>
              </w:rPr>
            </w:pPr>
            <w:r>
              <w:rPr>
                <w:spacing w:val="-10"/>
                <w:sz w:val="18"/>
              </w:rPr>
              <w:t>$</w:t>
            </w:r>
            <w:r>
              <w:rPr>
                <w:sz w:val="18"/>
              </w:rPr>
              <w:tab/>
            </w:r>
            <w:r>
              <w:rPr>
                <w:spacing w:val="-10"/>
                <w:sz w:val="18"/>
              </w:rPr>
              <w:t>—</w:t>
            </w:r>
            <w:r>
              <w:rPr>
                <w:sz w:val="18"/>
              </w:rPr>
              <w:tab/>
            </w:r>
            <w:r>
              <w:rPr>
                <w:spacing w:val="-10"/>
                <w:sz w:val="18"/>
              </w:rPr>
              <w:t>$</w:t>
            </w:r>
            <w:r>
              <w:rPr>
                <w:sz w:val="18"/>
              </w:rPr>
              <w:tab/>
            </w:r>
            <w:r>
              <w:rPr>
                <w:spacing w:val="-2"/>
                <w:sz w:val="18"/>
              </w:rPr>
              <w:t>4,402</w:t>
            </w:r>
          </w:p>
        </w:tc>
        <w:tc>
          <w:tcPr>
            <w:tcW w:w="1229" w:type="dxa"/>
            <w:shd w:val="clear" w:color="auto" w:fill="CCEDFF"/>
          </w:tcPr>
          <w:p>
            <w:pPr>
              <w:pStyle w:val="TableParagraph"/>
              <w:tabs>
                <w:tab w:pos="817" w:val="left" w:leader="none"/>
              </w:tabs>
              <w:spacing w:before="18"/>
              <w:ind w:right="125"/>
              <w:jc w:val="right"/>
              <w:rPr>
                <w:sz w:val="18"/>
              </w:rPr>
            </w:pPr>
            <w:r>
              <w:rPr>
                <w:spacing w:val="-10"/>
                <w:sz w:val="18"/>
              </w:rPr>
              <w:t>$</w:t>
            </w:r>
            <w:r>
              <w:rPr>
                <w:sz w:val="18"/>
              </w:rPr>
              <w:tab/>
            </w:r>
            <w:r>
              <w:rPr>
                <w:spacing w:val="-10"/>
                <w:sz w:val="18"/>
              </w:rPr>
              <w:t>—</w:t>
            </w:r>
          </w:p>
        </w:tc>
        <w:tc>
          <w:tcPr>
            <w:tcW w:w="1398" w:type="dxa"/>
            <w:shd w:val="clear" w:color="auto" w:fill="CCEDFF"/>
          </w:tcPr>
          <w:p>
            <w:pPr>
              <w:pStyle w:val="TableParagraph"/>
              <w:tabs>
                <w:tab w:pos="547" w:val="left" w:leader="none"/>
              </w:tabs>
              <w:spacing w:before="18"/>
              <w:ind w:left="74"/>
              <w:rPr>
                <w:sz w:val="18"/>
              </w:rPr>
            </w:pPr>
            <w:r>
              <w:rPr>
                <w:spacing w:val="-10"/>
                <w:sz w:val="18"/>
              </w:rPr>
              <w:t>$</w:t>
            </w:r>
            <w:r>
              <w:rPr>
                <w:sz w:val="18"/>
              </w:rPr>
              <w:tab/>
            </w:r>
            <w:r>
              <w:rPr>
                <w:spacing w:val="-2"/>
                <w:sz w:val="18"/>
              </w:rPr>
              <w:t>(4,402)</w:t>
            </w:r>
          </w:p>
        </w:tc>
        <w:tc>
          <w:tcPr>
            <w:tcW w:w="913" w:type="dxa"/>
            <w:shd w:val="clear" w:color="auto" w:fill="CCEDFF"/>
          </w:tcPr>
          <w:p>
            <w:pPr>
              <w:pStyle w:val="TableParagraph"/>
              <w:tabs>
                <w:tab w:pos="532" w:val="left" w:leader="none"/>
              </w:tabs>
              <w:spacing w:before="18"/>
              <w:ind w:right="66"/>
              <w:jc w:val="right"/>
              <w:rPr>
                <w:sz w:val="18"/>
              </w:rPr>
            </w:pPr>
            <w:r>
              <w:rPr>
                <w:spacing w:val="-10"/>
                <w:sz w:val="18"/>
              </w:rPr>
              <w:t>$</w:t>
            </w:r>
            <w:r>
              <w:rPr>
                <w:sz w:val="18"/>
              </w:rPr>
              <w:tab/>
            </w:r>
            <w:r>
              <w:rPr>
                <w:spacing w:val="-10"/>
                <w:sz w:val="18"/>
              </w:rPr>
              <w:t>—</w:t>
            </w:r>
          </w:p>
        </w:tc>
      </w:tr>
      <w:tr>
        <w:trPr>
          <w:trHeight w:val="250" w:hRule="atLeast"/>
        </w:trPr>
        <w:tc>
          <w:tcPr>
            <w:tcW w:w="2419" w:type="dxa"/>
            <w:tcBorders>
              <w:bottom w:val="single" w:sz="4" w:space="0" w:color="000000"/>
            </w:tcBorders>
          </w:tcPr>
          <w:p>
            <w:pPr>
              <w:pStyle w:val="TableParagraph"/>
              <w:spacing w:before="18"/>
              <w:ind w:left="172"/>
              <w:rPr>
                <w:sz w:val="18"/>
              </w:rPr>
            </w:pPr>
            <w:r>
              <w:rPr>
                <w:sz w:val="18"/>
              </w:rPr>
              <w:t>Securities</w:t>
            </w:r>
            <w:r>
              <w:rPr>
                <w:spacing w:val="-2"/>
                <w:sz w:val="18"/>
              </w:rPr>
              <w:t> </w:t>
            </w:r>
            <w:r>
              <w:rPr>
                <w:sz w:val="18"/>
              </w:rPr>
              <w:t>loaned</w:t>
            </w:r>
            <w:r>
              <w:rPr>
                <w:spacing w:val="-1"/>
                <w:sz w:val="18"/>
              </w:rPr>
              <w:t> </w:t>
            </w:r>
            <w:r>
              <w:rPr>
                <w:spacing w:val="-5"/>
                <w:sz w:val="18"/>
                <w:vertAlign w:val="superscript"/>
              </w:rPr>
              <w:t>(7)</w:t>
            </w:r>
          </w:p>
        </w:tc>
        <w:tc>
          <w:tcPr>
            <w:tcW w:w="1371" w:type="dxa"/>
            <w:tcBorders>
              <w:bottom w:val="single" w:sz="4" w:space="0" w:color="000000"/>
            </w:tcBorders>
          </w:tcPr>
          <w:p>
            <w:pPr>
              <w:pStyle w:val="TableParagraph"/>
              <w:spacing w:before="18"/>
              <w:ind w:right="97"/>
              <w:jc w:val="right"/>
              <w:rPr>
                <w:sz w:val="18"/>
              </w:rPr>
            </w:pPr>
            <w:r>
              <w:rPr>
                <w:spacing w:val="-2"/>
                <w:sz w:val="18"/>
              </w:rPr>
              <w:t>4,200</w:t>
            </w:r>
          </w:p>
        </w:tc>
        <w:tc>
          <w:tcPr>
            <w:tcW w:w="2924" w:type="dxa"/>
            <w:tcBorders>
              <w:bottom w:val="single" w:sz="4" w:space="0" w:color="000000"/>
            </w:tcBorders>
          </w:tcPr>
          <w:p>
            <w:pPr>
              <w:pStyle w:val="TableParagraph"/>
              <w:tabs>
                <w:tab w:pos="1184" w:val="left" w:leader="none"/>
              </w:tabs>
              <w:spacing w:before="18"/>
              <w:ind w:right="96"/>
              <w:jc w:val="right"/>
              <w:rPr>
                <w:sz w:val="18"/>
              </w:rPr>
            </w:pPr>
            <w:r>
              <w:rPr>
                <w:spacing w:val="-10"/>
                <w:sz w:val="18"/>
              </w:rPr>
              <w:t>—</w:t>
            </w:r>
            <w:r>
              <w:rPr>
                <w:sz w:val="18"/>
              </w:rPr>
              <w:tab/>
            </w:r>
            <w:r>
              <w:rPr>
                <w:spacing w:val="-2"/>
                <w:sz w:val="18"/>
              </w:rPr>
              <w:t>4,200</w:t>
            </w:r>
          </w:p>
        </w:tc>
        <w:tc>
          <w:tcPr>
            <w:tcW w:w="1229" w:type="dxa"/>
            <w:tcBorders>
              <w:bottom w:val="single" w:sz="4" w:space="0" w:color="000000"/>
            </w:tcBorders>
          </w:tcPr>
          <w:p>
            <w:pPr>
              <w:pStyle w:val="TableParagraph"/>
              <w:spacing w:before="18"/>
              <w:ind w:right="65"/>
              <w:jc w:val="right"/>
              <w:rPr>
                <w:sz w:val="18"/>
              </w:rPr>
            </w:pPr>
            <w:r>
              <w:rPr>
                <w:spacing w:val="-2"/>
                <w:sz w:val="18"/>
              </w:rPr>
              <w:t>(331)</w:t>
            </w:r>
          </w:p>
        </w:tc>
        <w:tc>
          <w:tcPr>
            <w:tcW w:w="1398" w:type="dxa"/>
            <w:tcBorders>
              <w:bottom w:val="single" w:sz="4" w:space="0" w:color="000000"/>
            </w:tcBorders>
          </w:tcPr>
          <w:p>
            <w:pPr>
              <w:pStyle w:val="TableParagraph"/>
              <w:spacing w:before="18"/>
              <w:ind w:left="547"/>
              <w:rPr>
                <w:sz w:val="18"/>
              </w:rPr>
            </w:pPr>
            <w:r>
              <w:rPr>
                <w:spacing w:val="-2"/>
                <w:sz w:val="18"/>
              </w:rPr>
              <w:t>(3,313)</w:t>
            </w:r>
          </w:p>
        </w:tc>
        <w:tc>
          <w:tcPr>
            <w:tcW w:w="913" w:type="dxa"/>
            <w:tcBorders>
              <w:bottom w:val="single" w:sz="4" w:space="0" w:color="000000"/>
            </w:tcBorders>
          </w:tcPr>
          <w:p>
            <w:pPr>
              <w:pStyle w:val="TableParagraph"/>
              <w:spacing w:before="18"/>
              <w:ind w:right="66"/>
              <w:jc w:val="right"/>
              <w:rPr>
                <w:sz w:val="18"/>
              </w:rPr>
            </w:pPr>
            <w:r>
              <w:rPr>
                <w:spacing w:val="-5"/>
                <w:sz w:val="18"/>
              </w:rPr>
              <w:t>556</w:t>
            </w:r>
          </w:p>
        </w:tc>
      </w:tr>
      <w:tr>
        <w:trPr>
          <w:trHeight w:val="220" w:hRule="atLeast"/>
        </w:trPr>
        <w:tc>
          <w:tcPr>
            <w:tcW w:w="2419" w:type="dxa"/>
            <w:tcBorders>
              <w:top w:val="single" w:sz="4" w:space="0" w:color="000000"/>
              <w:bottom w:val="double" w:sz="8" w:space="0" w:color="000000"/>
            </w:tcBorders>
            <w:shd w:val="clear" w:color="auto" w:fill="CCEDFF"/>
          </w:tcPr>
          <w:p>
            <w:pPr>
              <w:pStyle w:val="TableParagraph"/>
              <w:spacing w:line="187" w:lineRule="exact" w:before="13"/>
              <w:ind w:left="277"/>
              <w:rPr>
                <w:sz w:val="18"/>
              </w:rPr>
            </w:pPr>
            <w:r>
              <w:rPr>
                <w:spacing w:val="-2"/>
                <w:sz w:val="18"/>
              </w:rPr>
              <w:t>Total</w:t>
            </w:r>
          </w:p>
        </w:tc>
        <w:tc>
          <w:tcPr>
            <w:tcW w:w="1371" w:type="dxa"/>
            <w:tcBorders>
              <w:top w:val="single" w:sz="4" w:space="0" w:color="000000"/>
              <w:bottom w:val="double" w:sz="8" w:space="0" w:color="000000"/>
            </w:tcBorders>
            <w:shd w:val="clear" w:color="auto" w:fill="CCEDFF"/>
          </w:tcPr>
          <w:p>
            <w:pPr>
              <w:pStyle w:val="TableParagraph"/>
              <w:tabs>
                <w:tab w:pos="487" w:val="left" w:leader="none"/>
              </w:tabs>
              <w:spacing w:line="187" w:lineRule="exact" w:before="13"/>
              <w:ind w:right="97"/>
              <w:jc w:val="right"/>
              <w:rPr>
                <w:sz w:val="18"/>
              </w:rPr>
            </w:pPr>
            <w:r>
              <w:rPr>
                <w:spacing w:val="-10"/>
                <w:sz w:val="18"/>
              </w:rPr>
              <w:t>$</w:t>
            </w:r>
            <w:r>
              <w:rPr>
                <w:sz w:val="18"/>
              </w:rPr>
              <w:tab/>
            </w:r>
            <w:r>
              <w:rPr>
                <w:spacing w:val="-2"/>
                <w:sz w:val="18"/>
              </w:rPr>
              <w:t>8,602</w:t>
            </w:r>
          </w:p>
        </w:tc>
        <w:tc>
          <w:tcPr>
            <w:tcW w:w="2924" w:type="dxa"/>
            <w:tcBorders>
              <w:top w:val="single" w:sz="4" w:space="0" w:color="000000"/>
              <w:bottom w:val="double" w:sz="8" w:space="0" w:color="000000"/>
            </w:tcBorders>
            <w:shd w:val="clear" w:color="auto" w:fill="CCEDFF"/>
          </w:tcPr>
          <w:p>
            <w:pPr>
              <w:pStyle w:val="TableParagraph"/>
              <w:tabs>
                <w:tab w:pos="1132" w:val="left" w:leader="none"/>
                <w:tab w:pos="1514" w:val="left" w:leader="none"/>
                <w:tab w:pos="2317" w:val="left" w:leader="none"/>
              </w:tabs>
              <w:spacing w:line="187" w:lineRule="exact" w:before="13"/>
              <w:ind w:right="96"/>
              <w:jc w:val="right"/>
              <w:rPr>
                <w:sz w:val="18"/>
              </w:rPr>
            </w:pPr>
            <w:r>
              <w:rPr>
                <w:spacing w:val="-10"/>
                <w:sz w:val="18"/>
              </w:rPr>
              <w:t>$</w:t>
            </w:r>
            <w:r>
              <w:rPr>
                <w:sz w:val="18"/>
              </w:rPr>
              <w:tab/>
            </w:r>
            <w:r>
              <w:rPr>
                <w:spacing w:val="-10"/>
                <w:sz w:val="18"/>
              </w:rPr>
              <w:t>—</w:t>
            </w:r>
            <w:r>
              <w:rPr>
                <w:sz w:val="18"/>
              </w:rPr>
              <w:tab/>
            </w:r>
            <w:r>
              <w:rPr>
                <w:spacing w:val="-10"/>
                <w:sz w:val="18"/>
              </w:rPr>
              <w:t>$</w:t>
            </w:r>
            <w:r>
              <w:rPr>
                <w:sz w:val="18"/>
              </w:rPr>
              <w:tab/>
            </w:r>
            <w:r>
              <w:rPr>
                <w:spacing w:val="-2"/>
                <w:sz w:val="18"/>
              </w:rPr>
              <w:t>8,602</w:t>
            </w:r>
          </w:p>
        </w:tc>
        <w:tc>
          <w:tcPr>
            <w:tcW w:w="1229" w:type="dxa"/>
            <w:tcBorders>
              <w:top w:val="single" w:sz="4" w:space="0" w:color="000000"/>
              <w:bottom w:val="double" w:sz="8" w:space="0" w:color="000000"/>
            </w:tcBorders>
            <w:shd w:val="clear" w:color="auto" w:fill="CCEDFF"/>
          </w:tcPr>
          <w:p>
            <w:pPr>
              <w:pStyle w:val="TableParagraph"/>
              <w:tabs>
                <w:tab w:pos="667" w:val="left" w:leader="none"/>
              </w:tabs>
              <w:spacing w:line="187" w:lineRule="exact" w:before="13"/>
              <w:ind w:right="65"/>
              <w:jc w:val="right"/>
              <w:rPr>
                <w:sz w:val="18"/>
              </w:rPr>
            </w:pPr>
            <w:r>
              <w:rPr>
                <w:spacing w:val="-10"/>
                <w:sz w:val="18"/>
              </w:rPr>
              <w:t>$</w:t>
            </w:r>
            <w:r>
              <w:rPr>
                <w:sz w:val="18"/>
              </w:rPr>
              <w:tab/>
            </w:r>
            <w:r>
              <w:rPr>
                <w:spacing w:val="-2"/>
                <w:sz w:val="18"/>
              </w:rPr>
              <w:t>(331)</w:t>
            </w:r>
          </w:p>
        </w:tc>
        <w:tc>
          <w:tcPr>
            <w:tcW w:w="1398" w:type="dxa"/>
            <w:tcBorders>
              <w:top w:val="single" w:sz="4" w:space="0" w:color="000000"/>
              <w:bottom w:val="double" w:sz="8" w:space="0" w:color="000000"/>
            </w:tcBorders>
            <w:shd w:val="clear" w:color="auto" w:fill="CCEDFF"/>
          </w:tcPr>
          <w:p>
            <w:pPr>
              <w:pStyle w:val="TableParagraph"/>
              <w:tabs>
                <w:tab w:pos="547" w:val="left" w:leader="none"/>
              </w:tabs>
              <w:spacing w:line="187" w:lineRule="exact" w:before="13"/>
              <w:ind w:left="74"/>
              <w:rPr>
                <w:sz w:val="18"/>
              </w:rPr>
            </w:pPr>
            <w:r>
              <w:rPr>
                <w:spacing w:val="-10"/>
                <w:sz w:val="18"/>
              </w:rPr>
              <w:t>$</w:t>
            </w:r>
            <w:r>
              <w:rPr>
                <w:sz w:val="18"/>
              </w:rPr>
              <w:tab/>
            </w:r>
            <w:r>
              <w:rPr>
                <w:spacing w:val="-2"/>
                <w:sz w:val="18"/>
              </w:rPr>
              <w:t>(7,715)</w:t>
            </w:r>
          </w:p>
        </w:tc>
        <w:tc>
          <w:tcPr>
            <w:tcW w:w="913" w:type="dxa"/>
            <w:tcBorders>
              <w:top w:val="single" w:sz="4" w:space="0" w:color="000000"/>
              <w:bottom w:val="double" w:sz="8" w:space="0" w:color="000000"/>
            </w:tcBorders>
            <w:shd w:val="clear" w:color="auto" w:fill="CCEDFF"/>
          </w:tcPr>
          <w:p>
            <w:pPr>
              <w:pStyle w:val="TableParagraph"/>
              <w:tabs>
                <w:tab w:pos="442" w:val="left" w:leader="none"/>
              </w:tabs>
              <w:spacing w:line="187" w:lineRule="exact" w:before="13"/>
              <w:ind w:right="66"/>
              <w:jc w:val="right"/>
              <w:rPr>
                <w:sz w:val="18"/>
              </w:rPr>
            </w:pPr>
            <w:r>
              <w:rPr>
                <w:spacing w:val="-10"/>
                <w:sz w:val="18"/>
              </w:rPr>
              <w:t>$</w:t>
            </w:r>
            <w:r>
              <w:rPr>
                <w:sz w:val="18"/>
              </w:rPr>
              <w:tab/>
            </w:r>
            <w:r>
              <w:rPr>
                <w:spacing w:val="-5"/>
                <w:sz w:val="18"/>
              </w:rPr>
              <w:t>556</w:t>
            </w:r>
          </w:p>
        </w:tc>
      </w:tr>
    </w:tbl>
    <w:p>
      <w:pPr>
        <w:spacing w:before="32"/>
        <w:ind w:left="470" w:right="0" w:firstLine="0"/>
        <w:jc w:val="left"/>
        <w:rPr>
          <w:sz w:val="16"/>
        </w:rPr>
      </w:pPr>
      <w:r>
        <w:rPr>
          <w:sz w:val="16"/>
          <w:vertAlign w:val="superscript"/>
        </w:rPr>
        <w:t>(1)</w:t>
      </w:r>
      <w:r>
        <w:rPr>
          <w:spacing w:val="-1"/>
          <w:sz w:val="16"/>
          <w:vertAlign w:val="baseline"/>
        </w:rPr>
        <w:t> </w:t>
      </w:r>
      <w:r>
        <w:rPr>
          <w:sz w:val="16"/>
          <w:vertAlign w:val="baseline"/>
        </w:rPr>
        <w:t>Included in cash and investments</w:t>
      </w:r>
      <w:r>
        <w:rPr>
          <w:spacing w:val="-1"/>
          <w:sz w:val="16"/>
          <w:vertAlign w:val="baseline"/>
        </w:rPr>
        <w:t> </w:t>
      </w:r>
      <w:r>
        <w:rPr>
          <w:sz w:val="16"/>
          <w:vertAlign w:val="baseline"/>
        </w:rPr>
        <w:t>segregated and on deposit for regulatory purposes</w:t>
      </w:r>
      <w:r>
        <w:rPr>
          <w:spacing w:val="-1"/>
          <w:sz w:val="16"/>
          <w:vertAlign w:val="baseline"/>
        </w:rPr>
        <w:t> </w:t>
      </w:r>
      <w:r>
        <w:rPr>
          <w:sz w:val="16"/>
          <w:vertAlign w:val="baseline"/>
        </w:rPr>
        <w:t>in</w:t>
      </w:r>
      <w:r>
        <w:rPr>
          <w:spacing w:val="1"/>
          <w:sz w:val="16"/>
          <w:vertAlign w:val="baseline"/>
        </w:rPr>
        <w:t> </w:t>
      </w:r>
      <w:r>
        <w:rPr>
          <w:sz w:val="16"/>
          <w:vertAlign w:val="baseline"/>
        </w:rPr>
        <w:t>the condensed consolidated balance </w:t>
      </w:r>
      <w:r>
        <w:rPr>
          <w:spacing w:val="-2"/>
          <w:sz w:val="16"/>
          <w:vertAlign w:val="baseline"/>
        </w:rPr>
        <w:t>sheets.</w:t>
      </w:r>
    </w:p>
    <w:p>
      <w:pPr>
        <w:spacing w:line="249" w:lineRule="auto" w:before="8"/>
        <w:ind w:left="650" w:right="761" w:hanging="180"/>
        <w:jc w:val="left"/>
        <w:rPr>
          <w:sz w:val="16"/>
        </w:rPr>
      </w:pPr>
      <w:r>
        <w:rPr>
          <w:sz w:val="16"/>
          <w:vertAlign w:val="superscript"/>
        </w:rPr>
        <w:t>(2)</w:t>
      </w:r>
      <w:r>
        <w:rPr>
          <w:spacing w:val="-3"/>
          <w:sz w:val="16"/>
          <w:vertAlign w:val="baseline"/>
        </w:rPr>
        <w:t> </w:t>
      </w:r>
      <w:r>
        <w:rPr>
          <w:sz w:val="16"/>
          <w:vertAlign w:val="baseline"/>
        </w:rPr>
        <w:t>Actual</w:t>
      </w:r>
      <w:r>
        <w:rPr>
          <w:spacing w:val="-2"/>
          <w:sz w:val="16"/>
          <w:vertAlign w:val="baseline"/>
        </w:rPr>
        <w:t> </w:t>
      </w:r>
      <w:r>
        <w:rPr>
          <w:sz w:val="16"/>
          <w:vertAlign w:val="baseline"/>
        </w:rPr>
        <w:t>collateral</w:t>
      </w:r>
      <w:r>
        <w:rPr>
          <w:spacing w:val="-2"/>
          <w:sz w:val="16"/>
          <w:vertAlign w:val="baseline"/>
        </w:rPr>
        <w:t> </w:t>
      </w:r>
      <w:r>
        <w:rPr>
          <w:sz w:val="16"/>
          <w:vertAlign w:val="baseline"/>
        </w:rPr>
        <w:t>was</w:t>
      </w:r>
      <w:r>
        <w:rPr>
          <w:spacing w:val="-3"/>
          <w:sz w:val="16"/>
          <w:vertAlign w:val="baseline"/>
        </w:rPr>
        <w:t> </w:t>
      </w:r>
      <w:r>
        <w:rPr>
          <w:sz w:val="16"/>
          <w:vertAlign w:val="baseline"/>
        </w:rPr>
        <w:t>greater</w:t>
      </w:r>
      <w:r>
        <w:rPr>
          <w:spacing w:val="-2"/>
          <w:sz w:val="16"/>
          <w:vertAlign w:val="baseline"/>
        </w:rPr>
        <w:t> </w:t>
      </w:r>
      <w:r>
        <w:rPr>
          <w:sz w:val="16"/>
          <w:vertAlign w:val="baseline"/>
        </w:rPr>
        <w:t>than</w:t>
      </w:r>
      <w:r>
        <w:rPr>
          <w:spacing w:val="-2"/>
          <w:sz w:val="16"/>
          <w:vertAlign w:val="baseline"/>
        </w:rPr>
        <w:t> </w:t>
      </w:r>
      <w:r>
        <w:rPr>
          <w:sz w:val="16"/>
          <w:vertAlign w:val="baseline"/>
        </w:rPr>
        <w:t>or</w:t>
      </w:r>
      <w:r>
        <w:rPr>
          <w:spacing w:val="-2"/>
          <w:sz w:val="16"/>
          <w:vertAlign w:val="baseline"/>
        </w:rPr>
        <w:t> </w:t>
      </w:r>
      <w:r>
        <w:rPr>
          <w:sz w:val="16"/>
          <w:vertAlign w:val="baseline"/>
        </w:rPr>
        <w:t>equal</w:t>
      </w:r>
      <w:r>
        <w:rPr>
          <w:spacing w:val="-2"/>
          <w:sz w:val="16"/>
          <w:vertAlign w:val="baseline"/>
        </w:rPr>
        <w:t> </w:t>
      </w:r>
      <w:r>
        <w:rPr>
          <w:sz w:val="16"/>
          <w:vertAlign w:val="baseline"/>
        </w:rPr>
        <w:t>to</w:t>
      </w:r>
      <w:r>
        <w:rPr>
          <w:spacing w:val="-2"/>
          <w:sz w:val="16"/>
          <w:vertAlign w:val="baseline"/>
        </w:rPr>
        <w:t> </w:t>
      </w:r>
      <w:r>
        <w:rPr>
          <w:sz w:val="16"/>
          <w:vertAlign w:val="baseline"/>
        </w:rPr>
        <w:t>the</w:t>
      </w:r>
      <w:r>
        <w:rPr>
          <w:spacing w:val="-2"/>
          <w:sz w:val="16"/>
          <w:vertAlign w:val="baseline"/>
        </w:rPr>
        <w:t> </w:t>
      </w:r>
      <w:r>
        <w:rPr>
          <w:sz w:val="16"/>
          <w:vertAlign w:val="baseline"/>
        </w:rPr>
        <w:t>value</w:t>
      </w:r>
      <w:r>
        <w:rPr>
          <w:spacing w:val="-2"/>
          <w:sz w:val="16"/>
          <w:vertAlign w:val="baseline"/>
        </w:rPr>
        <w:t> </w:t>
      </w:r>
      <w:r>
        <w:rPr>
          <w:sz w:val="16"/>
          <w:vertAlign w:val="baseline"/>
        </w:rPr>
        <w:t>of</w:t>
      </w:r>
      <w:r>
        <w:rPr>
          <w:spacing w:val="-2"/>
          <w:sz w:val="16"/>
          <w:vertAlign w:val="baseline"/>
        </w:rPr>
        <w:t> </w:t>
      </w:r>
      <w:r>
        <w:rPr>
          <w:sz w:val="16"/>
          <w:vertAlign w:val="baseline"/>
        </w:rPr>
        <w:t>the</w:t>
      </w:r>
      <w:r>
        <w:rPr>
          <w:spacing w:val="-2"/>
          <w:sz w:val="16"/>
          <w:vertAlign w:val="baseline"/>
        </w:rPr>
        <w:t> </w:t>
      </w:r>
      <w:r>
        <w:rPr>
          <w:sz w:val="16"/>
          <w:vertAlign w:val="baseline"/>
        </w:rPr>
        <w:t>related</w:t>
      </w:r>
      <w:r>
        <w:rPr>
          <w:spacing w:val="-2"/>
          <w:sz w:val="16"/>
          <w:vertAlign w:val="baseline"/>
        </w:rPr>
        <w:t> </w:t>
      </w:r>
      <w:r>
        <w:rPr>
          <w:sz w:val="16"/>
          <w:vertAlign w:val="baseline"/>
        </w:rPr>
        <w:t>assets.</w:t>
      </w:r>
      <w:r>
        <w:rPr>
          <w:spacing w:val="-2"/>
          <w:sz w:val="16"/>
          <w:vertAlign w:val="baseline"/>
        </w:rPr>
        <w:t> </w:t>
      </w:r>
      <w:r>
        <w:rPr>
          <w:sz w:val="16"/>
          <w:vertAlign w:val="baseline"/>
        </w:rPr>
        <w:t>At</w:t>
      </w:r>
      <w:r>
        <w:rPr>
          <w:spacing w:val="-5"/>
          <w:sz w:val="16"/>
          <w:vertAlign w:val="baseline"/>
        </w:rPr>
        <w:t> </w:t>
      </w:r>
      <w:r>
        <w:rPr>
          <w:sz w:val="16"/>
          <w:vertAlign w:val="baseline"/>
        </w:rPr>
        <w:t>September</w:t>
      </w:r>
      <w:r>
        <w:rPr>
          <w:spacing w:val="-2"/>
          <w:sz w:val="16"/>
          <w:vertAlign w:val="baseline"/>
        </w:rPr>
        <w:t> </w:t>
      </w:r>
      <w:r>
        <w:rPr>
          <w:sz w:val="16"/>
          <w:vertAlign w:val="baseline"/>
        </w:rPr>
        <w:t>30,</w:t>
      </w:r>
      <w:r>
        <w:rPr>
          <w:spacing w:val="-2"/>
          <w:sz w:val="16"/>
          <w:vertAlign w:val="baseline"/>
        </w:rPr>
        <w:t> </w:t>
      </w:r>
      <w:r>
        <w:rPr>
          <w:sz w:val="16"/>
          <w:vertAlign w:val="baseline"/>
        </w:rPr>
        <w:t>2023</w:t>
      </w:r>
      <w:r>
        <w:rPr>
          <w:spacing w:val="-3"/>
          <w:sz w:val="16"/>
          <w:vertAlign w:val="baseline"/>
        </w:rPr>
        <w:t> </w:t>
      </w:r>
      <w:r>
        <w:rPr>
          <w:sz w:val="16"/>
          <w:vertAlign w:val="baseline"/>
        </w:rPr>
        <w:t>and</w:t>
      </w:r>
      <w:r>
        <w:rPr>
          <w:spacing w:val="-3"/>
          <w:sz w:val="16"/>
          <w:vertAlign w:val="baseline"/>
        </w:rPr>
        <w:t> </w:t>
      </w:r>
      <w:r>
        <w:rPr>
          <w:sz w:val="16"/>
          <w:vertAlign w:val="baseline"/>
        </w:rPr>
        <w:t>December</w:t>
      </w:r>
      <w:r>
        <w:rPr>
          <w:spacing w:val="-2"/>
          <w:sz w:val="16"/>
          <w:vertAlign w:val="baseline"/>
        </w:rPr>
        <w:t> </w:t>
      </w:r>
      <w:r>
        <w:rPr>
          <w:sz w:val="16"/>
          <w:vertAlign w:val="baseline"/>
        </w:rPr>
        <w:t>31,</w:t>
      </w:r>
      <w:r>
        <w:rPr>
          <w:spacing w:val="-2"/>
          <w:sz w:val="16"/>
          <w:vertAlign w:val="baseline"/>
        </w:rPr>
        <w:t> </w:t>
      </w:r>
      <w:r>
        <w:rPr>
          <w:sz w:val="16"/>
          <w:vertAlign w:val="baseline"/>
        </w:rPr>
        <w:t>2022,</w:t>
      </w:r>
      <w:r>
        <w:rPr>
          <w:spacing w:val="-2"/>
          <w:sz w:val="16"/>
          <w:vertAlign w:val="baseline"/>
        </w:rPr>
        <w:t> </w:t>
      </w:r>
      <w:r>
        <w:rPr>
          <w:sz w:val="16"/>
          <w:vertAlign w:val="baseline"/>
        </w:rPr>
        <w:t>the</w:t>
      </w:r>
      <w:r>
        <w:rPr>
          <w:spacing w:val="-2"/>
          <w:sz w:val="16"/>
          <w:vertAlign w:val="baseline"/>
        </w:rPr>
        <w:t> </w:t>
      </w:r>
      <w:r>
        <w:rPr>
          <w:sz w:val="16"/>
          <w:vertAlign w:val="baseline"/>
        </w:rPr>
        <w:t>fair</w:t>
      </w:r>
      <w:r>
        <w:rPr>
          <w:spacing w:val="-2"/>
          <w:sz w:val="16"/>
          <w:vertAlign w:val="baseline"/>
        </w:rPr>
        <w:t> </w:t>
      </w:r>
      <w:r>
        <w:rPr>
          <w:sz w:val="16"/>
          <w:vertAlign w:val="baseline"/>
        </w:rPr>
        <w:t>value</w:t>
      </w:r>
      <w:r>
        <w:rPr>
          <w:spacing w:val="-2"/>
          <w:sz w:val="16"/>
          <w:vertAlign w:val="baseline"/>
        </w:rPr>
        <w:t> </w:t>
      </w:r>
      <w:r>
        <w:rPr>
          <w:sz w:val="16"/>
          <w:vertAlign w:val="baseline"/>
        </w:rPr>
        <w:t>of</w:t>
      </w:r>
      <w:r>
        <w:rPr>
          <w:spacing w:val="-2"/>
          <w:sz w:val="16"/>
          <w:vertAlign w:val="baseline"/>
        </w:rPr>
        <w:t> </w:t>
      </w:r>
      <w:r>
        <w:rPr>
          <w:sz w:val="16"/>
          <w:vertAlign w:val="baseline"/>
        </w:rPr>
        <w:t>collateral</w:t>
      </w:r>
      <w:r>
        <w:rPr>
          <w:spacing w:val="40"/>
          <w:sz w:val="16"/>
          <w:vertAlign w:val="baseline"/>
        </w:rPr>
        <w:t> </w:t>
      </w:r>
      <w:r>
        <w:rPr>
          <w:sz w:val="16"/>
          <w:vertAlign w:val="baseline"/>
        </w:rPr>
        <w:t>received in connection with resale agreements that are available to be repledged or sold was $3.1 billion and $12.3 billion, respectively.</w:t>
      </w:r>
    </w:p>
    <w:p>
      <w:pPr>
        <w:spacing w:before="1"/>
        <w:ind w:left="470" w:right="0" w:firstLine="0"/>
        <w:jc w:val="left"/>
        <w:rPr>
          <w:sz w:val="16"/>
        </w:rPr>
      </w:pPr>
      <w:r>
        <w:rPr>
          <w:sz w:val="16"/>
          <w:vertAlign w:val="superscript"/>
        </w:rPr>
        <w:t>(3)</w:t>
      </w:r>
      <w:r>
        <w:rPr>
          <w:spacing w:val="-15"/>
          <w:sz w:val="16"/>
          <w:vertAlign w:val="baseline"/>
        </w:rPr>
        <w:t> </w:t>
      </w:r>
      <w:r>
        <w:rPr>
          <w:sz w:val="16"/>
          <w:vertAlign w:val="baseline"/>
        </w:rPr>
        <w:t>Included in</w:t>
      </w:r>
      <w:r>
        <w:rPr>
          <w:spacing w:val="1"/>
          <w:sz w:val="16"/>
          <w:vertAlign w:val="baseline"/>
        </w:rPr>
        <w:t> </w:t>
      </w:r>
      <w:r>
        <w:rPr>
          <w:sz w:val="16"/>
          <w:vertAlign w:val="baseline"/>
        </w:rPr>
        <w:t>other</w:t>
      </w:r>
      <w:r>
        <w:rPr>
          <w:spacing w:val="1"/>
          <w:sz w:val="16"/>
          <w:vertAlign w:val="baseline"/>
        </w:rPr>
        <w:t> </w:t>
      </w:r>
      <w:r>
        <w:rPr>
          <w:sz w:val="16"/>
          <w:vertAlign w:val="baseline"/>
        </w:rPr>
        <w:t>assets</w:t>
      </w:r>
      <w:r>
        <w:rPr>
          <w:spacing w:val="-1"/>
          <w:sz w:val="16"/>
          <w:vertAlign w:val="baseline"/>
        </w:rPr>
        <w:t> </w:t>
      </w:r>
      <w:r>
        <w:rPr>
          <w:sz w:val="16"/>
          <w:vertAlign w:val="baseline"/>
        </w:rPr>
        <w:t>on</w:t>
      </w:r>
      <w:r>
        <w:rPr>
          <w:spacing w:val="1"/>
          <w:sz w:val="16"/>
          <w:vertAlign w:val="baseline"/>
        </w:rPr>
        <w:t> </w:t>
      </w:r>
      <w:r>
        <w:rPr>
          <w:sz w:val="16"/>
          <w:vertAlign w:val="baseline"/>
        </w:rPr>
        <w:t>the condensed</w:t>
      </w:r>
      <w:r>
        <w:rPr>
          <w:spacing w:val="1"/>
          <w:sz w:val="16"/>
          <w:vertAlign w:val="baseline"/>
        </w:rPr>
        <w:t> </w:t>
      </w:r>
      <w:r>
        <w:rPr>
          <w:sz w:val="16"/>
          <w:vertAlign w:val="baseline"/>
        </w:rPr>
        <w:t>consolidated balance</w:t>
      </w:r>
      <w:r>
        <w:rPr>
          <w:spacing w:val="1"/>
          <w:sz w:val="16"/>
          <w:vertAlign w:val="baseline"/>
        </w:rPr>
        <w:t> </w:t>
      </w:r>
      <w:r>
        <w:rPr>
          <w:spacing w:val="-2"/>
          <w:sz w:val="16"/>
          <w:vertAlign w:val="baseline"/>
        </w:rPr>
        <w:t>sheets.</w:t>
      </w:r>
    </w:p>
    <w:p>
      <w:pPr>
        <w:spacing w:line="249" w:lineRule="auto" w:before="8"/>
        <w:ind w:left="650" w:right="566" w:hanging="180"/>
        <w:jc w:val="left"/>
        <w:rPr>
          <w:sz w:val="16"/>
        </w:rPr>
      </w:pPr>
      <w:r>
        <w:rPr>
          <w:sz w:val="16"/>
          <w:vertAlign w:val="superscript"/>
        </w:rPr>
        <w:t>(4)</w:t>
      </w:r>
      <w:r>
        <w:rPr>
          <w:spacing w:val="-13"/>
          <w:sz w:val="16"/>
          <w:vertAlign w:val="baseline"/>
        </w:rPr>
        <w:t> </w:t>
      </w:r>
      <w:r>
        <w:rPr>
          <w:sz w:val="16"/>
          <w:vertAlign w:val="baseline"/>
        </w:rPr>
        <w:t>Derivative assets are included in other assets and derivative liabilities are included in accrued expenses and other liabilities on the condensed consolidated</w:t>
      </w:r>
      <w:r>
        <w:rPr>
          <w:spacing w:val="40"/>
          <w:sz w:val="16"/>
          <w:vertAlign w:val="baseline"/>
        </w:rPr>
        <w:t> </w:t>
      </w:r>
      <w:r>
        <w:rPr>
          <w:sz w:val="16"/>
          <w:vertAlign w:val="baseline"/>
        </w:rPr>
        <w:t>balance</w:t>
      </w:r>
      <w:r>
        <w:rPr>
          <w:spacing w:val="-2"/>
          <w:sz w:val="16"/>
          <w:vertAlign w:val="baseline"/>
        </w:rPr>
        <w:t> </w:t>
      </w:r>
      <w:r>
        <w:rPr>
          <w:sz w:val="16"/>
          <w:vertAlign w:val="baseline"/>
        </w:rPr>
        <w:t>sheets.</w:t>
      </w:r>
      <w:r>
        <w:rPr>
          <w:spacing w:val="-2"/>
          <w:sz w:val="16"/>
          <w:vertAlign w:val="baseline"/>
        </w:rPr>
        <w:t> </w:t>
      </w:r>
      <w:r>
        <w:rPr>
          <w:sz w:val="16"/>
          <w:vertAlign w:val="baseline"/>
        </w:rPr>
        <w:t>Derivative</w:t>
      </w:r>
      <w:r>
        <w:rPr>
          <w:spacing w:val="-2"/>
          <w:sz w:val="16"/>
          <w:vertAlign w:val="baseline"/>
        </w:rPr>
        <w:t> </w:t>
      </w:r>
      <w:r>
        <w:rPr>
          <w:sz w:val="16"/>
          <w:vertAlign w:val="baseline"/>
        </w:rPr>
        <w:t>asset</w:t>
      </w:r>
      <w:r>
        <w:rPr>
          <w:spacing w:val="-2"/>
          <w:sz w:val="16"/>
          <w:vertAlign w:val="baseline"/>
        </w:rPr>
        <w:t> </w:t>
      </w:r>
      <w:r>
        <w:rPr>
          <w:sz w:val="16"/>
          <w:vertAlign w:val="baseline"/>
        </w:rPr>
        <w:t>and</w:t>
      </w:r>
      <w:r>
        <w:rPr>
          <w:spacing w:val="-2"/>
          <w:sz w:val="16"/>
          <w:vertAlign w:val="baseline"/>
        </w:rPr>
        <w:t> </w:t>
      </w:r>
      <w:r>
        <w:rPr>
          <w:sz w:val="16"/>
          <w:vertAlign w:val="baseline"/>
        </w:rPr>
        <w:t>liability</w:t>
      </w:r>
      <w:r>
        <w:rPr>
          <w:spacing w:val="-2"/>
          <w:sz w:val="16"/>
          <w:vertAlign w:val="baseline"/>
        </w:rPr>
        <w:t> </w:t>
      </w:r>
      <w:r>
        <w:rPr>
          <w:sz w:val="16"/>
          <w:vertAlign w:val="baseline"/>
        </w:rPr>
        <w:t>positions</w:t>
      </w:r>
      <w:r>
        <w:rPr>
          <w:spacing w:val="-3"/>
          <w:sz w:val="16"/>
          <w:vertAlign w:val="baseline"/>
        </w:rPr>
        <w:t> </w:t>
      </w:r>
      <w:r>
        <w:rPr>
          <w:sz w:val="16"/>
          <w:vertAlign w:val="baseline"/>
        </w:rPr>
        <w:t>are</w:t>
      </w:r>
      <w:r>
        <w:rPr>
          <w:spacing w:val="-2"/>
          <w:sz w:val="16"/>
          <w:vertAlign w:val="baseline"/>
        </w:rPr>
        <w:t> </w:t>
      </w:r>
      <w:r>
        <w:rPr>
          <w:sz w:val="16"/>
          <w:vertAlign w:val="baseline"/>
        </w:rPr>
        <w:t>inclusive</w:t>
      </w:r>
      <w:r>
        <w:rPr>
          <w:spacing w:val="-2"/>
          <w:sz w:val="16"/>
          <w:vertAlign w:val="baseline"/>
        </w:rPr>
        <w:t> </w:t>
      </w:r>
      <w:r>
        <w:rPr>
          <w:sz w:val="16"/>
          <w:vertAlign w:val="baseline"/>
        </w:rPr>
        <w:t>of</w:t>
      </w:r>
      <w:r>
        <w:rPr>
          <w:spacing w:val="-2"/>
          <w:sz w:val="16"/>
          <w:vertAlign w:val="baseline"/>
        </w:rPr>
        <w:t> </w:t>
      </w:r>
      <w:r>
        <w:rPr>
          <w:sz w:val="16"/>
          <w:vertAlign w:val="baseline"/>
        </w:rPr>
        <w:t>variation</w:t>
      </w:r>
      <w:r>
        <w:rPr>
          <w:spacing w:val="-2"/>
          <w:sz w:val="16"/>
          <w:vertAlign w:val="baseline"/>
        </w:rPr>
        <w:t> </w:t>
      </w:r>
      <w:r>
        <w:rPr>
          <w:sz w:val="16"/>
          <w:vertAlign w:val="baseline"/>
        </w:rPr>
        <w:t>margin</w:t>
      </w:r>
      <w:r>
        <w:rPr>
          <w:spacing w:val="-2"/>
          <w:sz w:val="16"/>
          <w:vertAlign w:val="baseline"/>
        </w:rPr>
        <w:t> </w:t>
      </w:r>
      <w:r>
        <w:rPr>
          <w:sz w:val="16"/>
          <w:vertAlign w:val="baseline"/>
        </w:rPr>
        <w:t>settlements</w:t>
      </w:r>
      <w:r>
        <w:rPr>
          <w:spacing w:val="-3"/>
          <w:sz w:val="16"/>
          <w:vertAlign w:val="baseline"/>
        </w:rPr>
        <w:t> </w:t>
      </w:r>
      <w:r>
        <w:rPr>
          <w:sz w:val="16"/>
          <w:vertAlign w:val="baseline"/>
        </w:rPr>
        <w:t>cleared</w:t>
      </w:r>
      <w:r>
        <w:rPr>
          <w:spacing w:val="-2"/>
          <w:sz w:val="16"/>
          <w:vertAlign w:val="baseline"/>
        </w:rPr>
        <w:t> </w:t>
      </w:r>
      <w:r>
        <w:rPr>
          <w:sz w:val="16"/>
          <w:vertAlign w:val="baseline"/>
        </w:rPr>
        <w:t>through</w:t>
      </w:r>
      <w:r>
        <w:rPr>
          <w:spacing w:val="-2"/>
          <w:sz w:val="16"/>
          <w:vertAlign w:val="baseline"/>
        </w:rPr>
        <w:t> </w:t>
      </w:r>
      <w:r>
        <w:rPr>
          <w:sz w:val="16"/>
          <w:vertAlign w:val="baseline"/>
        </w:rPr>
        <w:t>CCPs</w:t>
      </w:r>
      <w:r>
        <w:rPr>
          <w:spacing w:val="-3"/>
          <w:sz w:val="16"/>
          <w:vertAlign w:val="baseline"/>
        </w:rPr>
        <w:t> </w:t>
      </w:r>
      <w:r>
        <w:rPr>
          <w:sz w:val="16"/>
          <w:vertAlign w:val="baseline"/>
        </w:rPr>
        <w:t>which</w:t>
      </w:r>
      <w:r>
        <w:rPr>
          <w:spacing w:val="-2"/>
          <w:sz w:val="16"/>
          <w:vertAlign w:val="baseline"/>
        </w:rPr>
        <w:t> </w:t>
      </w:r>
      <w:r>
        <w:rPr>
          <w:sz w:val="16"/>
          <w:vertAlign w:val="baseline"/>
        </w:rPr>
        <w:t>are</w:t>
      </w:r>
      <w:r>
        <w:rPr>
          <w:spacing w:val="-2"/>
          <w:sz w:val="16"/>
          <w:vertAlign w:val="baseline"/>
        </w:rPr>
        <w:t> </w:t>
      </w:r>
      <w:r>
        <w:rPr>
          <w:sz w:val="16"/>
          <w:vertAlign w:val="baseline"/>
        </w:rPr>
        <w:t>reflected</w:t>
      </w:r>
      <w:r>
        <w:rPr>
          <w:spacing w:val="-2"/>
          <w:sz w:val="16"/>
          <w:vertAlign w:val="baseline"/>
        </w:rPr>
        <w:t> </w:t>
      </w:r>
      <w:r>
        <w:rPr>
          <w:sz w:val="16"/>
          <w:vertAlign w:val="baseline"/>
        </w:rPr>
        <w:t>as</w:t>
      </w:r>
      <w:r>
        <w:rPr>
          <w:spacing w:val="-3"/>
          <w:sz w:val="16"/>
          <w:vertAlign w:val="baseline"/>
        </w:rPr>
        <w:t> </w:t>
      </w:r>
      <w:r>
        <w:rPr>
          <w:sz w:val="16"/>
          <w:vertAlign w:val="baseline"/>
        </w:rPr>
        <w:t>reductions</w:t>
      </w:r>
      <w:r>
        <w:rPr>
          <w:spacing w:val="40"/>
          <w:sz w:val="16"/>
          <w:vertAlign w:val="baseline"/>
        </w:rPr>
        <w:t> </w:t>
      </w:r>
      <w:r>
        <w:rPr>
          <w:sz w:val="16"/>
          <w:vertAlign w:val="baseline"/>
        </w:rPr>
        <w:t>to the associated derivative asset and liability balances. See Note 11 for additional information.</w:t>
      </w:r>
    </w:p>
    <w:p>
      <w:pPr>
        <w:spacing w:line="249" w:lineRule="auto" w:before="2"/>
        <w:ind w:left="650" w:right="0" w:hanging="180"/>
        <w:jc w:val="left"/>
        <w:rPr>
          <w:sz w:val="16"/>
        </w:rPr>
      </w:pPr>
      <w:r>
        <w:rPr>
          <w:sz w:val="16"/>
          <w:vertAlign w:val="superscript"/>
        </w:rPr>
        <w:t>(5)</w:t>
      </w:r>
      <w:r>
        <w:rPr>
          <w:spacing w:val="-2"/>
          <w:sz w:val="16"/>
          <w:vertAlign w:val="baseline"/>
        </w:rPr>
        <w:t> </w:t>
      </w:r>
      <w:r>
        <w:rPr>
          <w:sz w:val="16"/>
          <w:vertAlign w:val="baseline"/>
        </w:rPr>
        <w:t>At</w:t>
      </w:r>
      <w:r>
        <w:rPr>
          <w:spacing w:val="-2"/>
          <w:sz w:val="16"/>
          <w:vertAlign w:val="baseline"/>
        </w:rPr>
        <w:t> </w:t>
      </w:r>
      <w:r>
        <w:rPr>
          <w:sz w:val="16"/>
          <w:vertAlign w:val="baseline"/>
        </w:rPr>
        <w:t>September</w:t>
      </w:r>
      <w:r>
        <w:rPr>
          <w:spacing w:val="-1"/>
          <w:sz w:val="16"/>
          <w:vertAlign w:val="baseline"/>
        </w:rPr>
        <w:t> </w:t>
      </w:r>
      <w:r>
        <w:rPr>
          <w:sz w:val="16"/>
          <w:vertAlign w:val="baseline"/>
        </w:rPr>
        <w:t>30,</w:t>
      </w:r>
      <w:r>
        <w:rPr>
          <w:spacing w:val="-1"/>
          <w:sz w:val="16"/>
          <w:vertAlign w:val="baseline"/>
        </w:rPr>
        <w:t> </w:t>
      </w:r>
      <w:r>
        <w:rPr>
          <w:sz w:val="16"/>
          <w:vertAlign w:val="baseline"/>
        </w:rPr>
        <w:t>2023,</w:t>
      </w:r>
      <w:r>
        <w:rPr>
          <w:spacing w:val="-1"/>
          <w:sz w:val="16"/>
          <w:vertAlign w:val="baseline"/>
        </w:rPr>
        <w:t> </w:t>
      </w:r>
      <w:r>
        <w:rPr>
          <w:sz w:val="16"/>
          <w:vertAlign w:val="baseline"/>
        </w:rPr>
        <w:t>the</w:t>
      </w:r>
      <w:r>
        <w:rPr>
          <w:spacing w:val="-1"/>
          <w:sz w:val="16"/>
          <w:vertAlign w:val="baseline"/>
        </w:rPr>
        <w:t> </w:t>
      </w:r>
      <w:r>
        <w:rPr>
          <w:sz w:val="16"/>
          <w:vertAlign w:val="baseline"/>
        </w:rPr>
        <w:t>fair</w:t>
      </w:r>
      <w:r>
        <w:rPr>
          <w:spacing w:val="-1"/>
          <w:sz w:val="16"/>
          <w:vertAlign w:val="baseline"/>
        </w:rPr>
        <w:t> </w:t>
      </w:r>
      <w:r>
        <w:rPr>
          <w:sz w:val="16"/>
          <w:vertAlign w:val="baseline"/>
        </w:rPr>
        <w:t>value</w:t>
      </w:r>
      <w:r>
        <w:rPr>
          <w:spacing w:val="-1"/>
          <w:sz w:val="16"/>
          <w:vertAlign w:val="baseline"/>
        </w:rPr>
        <w:t> </w:t>
      </w:r>
      <w:r>
        <w:rPr>
          <w:sz w:val="16"/>
          <w:vertAlign w:val="baseline"/>
        </w:rPr>
        <w:t>of</w:t>
      </w:r>
      <w:r>
        <w:rPr>
          <w:spacing w:val="-1"/>
          <w:sz w:val="16"/>
          <w:vertAlign w:val="baseline"/>
        </w:rPr>
        <w:t> </w:t>
      </w:r>
      <w:r>
        <w:rPr>
          <w:sz w:val="16"/>
          <w:vertAlign w:val="baseline"/>
        </w:rPr>
        <w:t>initial</w:t>
      </w:r>
      <w:r>
        <w:rPr>
          <w:spacing w:val="-1"/>
          <w:sz w:val="16"/>
          <w:vertAlign w:val="baseline"/>
        </w:rPr>
        <w:t> </w:t>
      </w:r>
      <w:r>
        <w:rPr>
          <w:sz w:val="16"/>
          <w:vertAlign w:val="baseline"/>
        </w:rPr>
        <w:t>margin</w:t>
      </w:r>
      <w:r>
        <w:rPr>
          <w:spacing w:val="-1"/>
          <w:sz w:val="16"/>
          <w:vertAlign w:val="baseline"/>
        </w:rPr>
        <w:t> </w:t>
      </w:r>
      <w:r>
        <w:rPr>
          <w:sz w:val="16"/>
          <w:vertAlign w:val="baseline"/>
        </w:rPr>
        <w:t>pledged</w:t>
      </w:r>
      <w:r>
        <w:rPr>
          <w:spacing w:val="-1"/>
          <w:sz w:val="16"/>
          <w:vertAlign w:val="baseline"/>
        </w:rPr>
        <w:t> </w:t>
      </w:r>
      <w:r>
        <w:rPr>
          <w:sz w:val="16"/>
          <w:vertAlign w:val="baseline"/>
        </w:rPr>
        <w:t>as</w:t>
      </w:r>
      <w:r>
        <w:rPr>
          <w:spacing w:val="-2"/>
          <w:sz w:val="16"/>
          <w:vertAlign w:val="baseline"/>
        </w:rPr>
        <w:t> </w:t>
      </w:r>
      <w:r>
        <w:rPr>
          <w:sz w:val="16"/>
          <w:vertAlign w:val="baseline"/>
        </w:rPr>
        <w:t>collateral</w:t>
      </w:r>
      <w:r>
        <w:rPr>
          <w:spacing w:val="-1"/>
          <w:sz w:val="16"/>
          <w:vertAlign w:val="baseline"/>
        </w:rPr>
        <w:t> </w:t>
      </w:r>
      <w:r>
        <w:rPr>
          <w:sz w:val="16"/>
          <w:vertAlign w:val="baseline"/>
        </w:rPr>
        <w:t>related</w:t>
      </w:r>
      <w:r>
        <w:rPr>
          <w:spacing w:val="-1"/>
          <w:sz w:val="16"/>
          <w:vertAlign w:val="baseline"/>
        </w:rPr>
        <w:t> </w:t>
      </w:r>
      <w:r>
        <w:rPr>
          <w:sz w:val="16"/>
          <w:vertAlign w:val="baseline"/>
        </w:rPr>
        <w:t>to</w:t>
      </w:r>
      <w:r>
        <w:rPr>
          <w:spacing w:val="-1"/>
          <w:sz w:val="16"/>
          <w:vertAlign w:val="baseline"/>
        </w:rPr>
        <w:t> </w:t>
      </w:r>
      <w:r>
        <w:rPr>
          <w:sz w:val="16"/>
          <w:vertAlign w:val="baseline"/>
        </w:rPr>
        <w:t>interest</w:t>
      </w:r>
      <w:r>
        <w:rPr>
          <w:spacing w:val="-1"/>
          <w:sz w:val="16"/>
          <w:vertAlign w:val="baseline"/>
        </w:rPr>
        <w:t> </w:t>
      </w:r>
      <w:r>
        <w:rPr>
          <w:sz w:val="16"/>
          <w:vertAlign w:val="baseline"/>
        </w:rPr>
        <w:t>rate</w:t>
      </w:r>
      <w:r>
        <w:rPr>
          <w:spacing w:val="-1"/>
          <w:sz w:val="16"/>
          <w:vertAlign w:val="baseline"/>
        </w:rPr>
        <w:t> </w:t>
      </w:r>
      <w:r>
        <w:rPr>
          <w:sz w:val="16"/>
          <w:vertAlign w:val="baseline"/>
        </w:rPr>
        <w:t>swaps</w:t>
      </w:r>
      <w:r>
        <w:rPr>
          <w:spacing w:val="-2"/>
          <w:sz w:val="16"/>
          <w:vertAlign w:val="baseline"/>
        </w:rPr>
        <w:t> </w:t>
      </w:r>
      <w:r>
        <w:rPr>
          <w:sz w:val="16"/>
          <w:vertAlign w:val="baseline"/>
        </w:rPr>
        <w:t>was</w:t>
      </w:r>
      <w:r>
        <w:rPr>
          <w:spacing w:val="-5"/>
          <w:sz w:val="16"/>
          <w:vertAlign w:val="baseline"/>
        </w:rPr>
        <w:t> </w:t>
      </w:r>
      <w:r>
        <w:rPr>
          <w:sz w:val="16"/>
          <w:vertAlign w:val="baseline"/>
        </w:rPr>
        <w:t>$180</w:t>
      </w:r>
      <w:r>
        <w:rPr>
          <w:spacing w:val="-1"/>
          <w:sz w:val="16"/>
          <w:vertAlign w:val="baseline"/>
        </w:rPr>
        <w:t> </w:t>
      </w:r>
      <w:r>
        <w:rPr>
          <w:sz w:val="16"/>
          <w:vertAlign w:val="baseline"/>
        </w:rPr>
        <w:t>million.</w:t>
      </w:r>
      <w:r>
        <w:rPr>
          <w:spacing w:val="-1"/>
          <w:sz w:val="16"/>
          <w:vertAlign w:val="baseline"/>
        </w:rPr>
        <w:t> </w:t>
      </w:r>
      <w:r>
        <w:rPr>
          <w:sz w:val="16"/>
          <w:vertAlign w:val="baseline"/>
        </w:rPr>
        <w:t>See</w:t>
      </w:r>
      <w:r>
        <w:rPr>
          <w:spacing w:val="-1"/>
          <w:sz w:val="16"/>
          <w:vertAlign w:val="baseline"/>
        </w:rPr>
        <w:t> </w:t>
      </w:r>
      <w:r>
        <w:rPr>
          <w:sz w:val="16"/>
          <w:vertAlign w:val="baseline"/>
        </w:rPr>
        <w:t>Notes</w:t>
      </w:r>
      <w:r>
        <w:rPr>
          <w:spacing w:val="-2"/>
          <w:sz w:val="16"/>
          <w:vertAlign w:val="baseline"/>
        </w:rPr>
        <w:t> </w:t>
      </w:r>
      <w:r>
        <w:rPr>
          <w:sz w:val="16"/>
          <w:vertAlign w:val="baseline"/>
        </w:rPr>
        <w:t>4</w:t>
      </w:r>
      <w:r>
        <w:rPr>
          <w:spacing w:val="-1"/>
          <w:sz w:val="16"/>
          <w:vertAlign w:val="baseline"/>
        </w:rPr>
        <w:t> </w:t>
      </w:r>
      <w:r>
        <w:rPr>
          <w:sz w:val="16"/>
          <w:vertAlign w:val="baseline"/>
        </w:rPr>
        <w:t>and</w:t>
      </w:r>
      <w:r>
        <w:rPr>
          <w:spacing w:val="-2"/>
          <w:sz w:val="16"/>
          <w:vertAlign w:val="baseline"/>
        </w:rPr>
        <w:t> </w:t>
      </w:r>
      <w:r>
        <w:rPr>
          <w:sz w:val="16"/>
          <w:vertAlign w:val="baseline"/>
        </w:rPr>
        <w:t>11</w:t>
      </w:r>
      <w:r>
        <w:rPr>
          <w:spacing w:val="-1"/>
          <w:sz w:val="16"/>
          <w:vertAlign w:val="baseline"/>
        </w:rPr>
        <w:t> </w:t>
      </w:r>
      <w:r>
        <w:rPr>
          <w:sz w:val="16"/>
          <w:vertAlign w:val="baseline"/>
        </w:rPr>
        <w:t>for</w:t>
      </w:r>
      <w:r>
        <w:rPr>
          <w:spacing w:val="-1"/>
          <w:sz w:val="16"/>
          <w:vertAlign w:val="baseline"/>
        </w:rPr>
        <w:t> </w:t>
      </w:r>
      <w:r>
        <w:rPr>
          <w:sz w:val="16"/>
          <w:vertAlign w:val="baseline"/>
        </w:rPr>
        <w:t>additional</w:t>
      </w:r>
      <w:r>
        <w:rPr>
          <w:spacing w:val="40"/>
          <w:sz w:val="16"/>
          <w:vertAlign w:val="baseline"/>
        </w:rPr>
        <w:t> </w:t>
      </w:r>
      <w:r>
        <w:rPr>
          <w:spacing w:val="-2"/>
          <w:sz w:val="16"/>
          <w:vertAlign w:val="baseline"/>
        </w:rPr>
        <w:t>information.</w:t>
      </w:r>
    </w:p>
    <w:p>
      <w:pPr>
        <w:spacing w:line="249" w:lineRule="auto" w:before="2"/>
        <w:ind w:left="650" w:right="470" w:hanging="180"/>
        <w:jc w:val="left"/>
        <w:rPr>
          <w:sz w:val="16"/>
        </w:rPr>
      </w:pPr>
      <w:r>
        <w:rPr>
          <w:sz w:val="16"/>
          <w:vertAlign w:val="superscript"/>
        </w:rPr>
        <w:t>(6)</w:t>
      </w:r>
      <w:r>
        <w:rPr>
          <w:sz w:val="16"/>
          <w:vertAlign w:val="baseline"/>
        </w:rPr>
        <w:t> Included in other short-term borrowings in the condensed consolidated balance sheets. Actual collateral was greater than or equal to the value of the related</w:t>
      </w:r>
      <w:r>
        <w:rPr>
          <w:spacing w:val="40"/>
          <w:sz w:val="16"/>
          <w:vertAlign w:val="baseline"/>
        </w:rPr>
        <w:t> </w:t>
      </w:r>
      <w:r>
        <w:rPr>
          <w:sz w:val="16"/>
          <w:vertAlign w:val="baseline"/>
        </w:rPr>
        <w:t>liabilities.</w:t>
      </w:r>
      <w:r>
        <w:rPr>
          <w:spacing w:val="-2"/>
          <w:sz w:val="16"/>
          <w:vertAlign w:val="baseline"/>
        </w:rPr>
        <w:t> </w:t>
      </w:r>
      <w:r>
        <w:rPr>
          <w:sz w:val="16"/>
          <w:vertAlign w:val="baseline"/>
        </w:rPr>
        <w:t>At</w:t>
      </w:r>
      <w:r>
        <w:rPr>
          <w:spacing w:val="-3"/>
          <w:sz w:val="16"/>
          <w:vertAlign w:val="baseline"/>
        </w:rPr>
        <w:t> </w:t>
      </w:r>
      <w:r>
        <w:rPr>
          <w:sz w:val="16"/>
          <w:vertAlign w:val="baseline"/>
        </w:rPr>
        <w:t>September</w:t>
      </w:r>
      <w:r>
        <w:rPr>
          <w:spacing w:val="-2"/>
          <w:sz w:val="16"/>
          <w:vertAlign w:val="baseline"/>
        </w:rPr>
        <w:t> </w:t>
      </w:r>
      <w:r>
        <w:rPr>
          <w:sz w:val="16"/>
          <w:vertAlign w:val="baseline"/>
        </w:rPr>
        <w:t>30,</w:t>
      </w:r>
      <w:r>
        <w:rPr>
          <w:spacing w:val="-2"/>
          <w:sz w:val="16"/>
          <w:vertAlign w:val="baseline"/>
        </w:rPr>
        <w:t> </w:t>
      </w:r>
      <w:r>
        <w:rPr>
          <w:sz w:val="16"/>
          <w:vertAlign w:val="baseline"/>
        </w:rPr>
        <w:t>2023</w:t>
      </w:r>
      <w:r>
        <w:rPr>
          <w:spacing w:val="-3"/>
          <w:sz w:val="16"/>
          <w:vertAlign w:val="baseline"/>
        </w:rPr>
        <w:t> </w:t>
      </w:r>
      <w:r>
        <w:rPr>
          <w:sz w:val="16"/>
          <w:vertAlign w:val="baseline"/>
        </w:rPr>
        <w:t>and</w:t>
      </w:r>
      <w:r>
        <w:rPr>
          <w:spacing w:val="-3"/>
          <w:sz w:val="16"/>
          <w:vertAlign w:val="baseline"/>
        </w:rPr>
        <w:t> </w:t>
      </w:r>
      <w:r>
        <w:rPr>
          <w:sz w:val="16"/>
          <w:vertAlign w:val="baseline"/>
        </w:rPr>
        <w:t>December</w:t>
      </w:r>
      <w:r>
        <w:rPr>
          <w:spacing w:val="-2"/>
          <w:sz w:val="16"/>
          <w:vertAlign w:val="baseline"/>
        </w:rPr>
        <w:t> </w:t>
      </w:r>
      <w:r>
        <w:rPr>
          <w:sz w:val="16"/>
          <w:vertAlign w:val="baseline"/>
        </w:rPr>
        <w:t>31,</w:t>
      </w:r>
      <w:r>
        <w:rPr>
          <w:spacing w:val="-2"/>
          <w:sz w:val="16"/>
          <w:vertAlign w:val="baseline"/>
        </w:rPr>
        <w:t> </w:t>
      </w:r>
      <w:r>
        <w:rPr>
          <w:sz w:val="16"/>
          <w:vertAlign w:val="baseline"/>
        </w:rPr>
        <w:t>2022,</w:t>
      </w:r>
      <w:r>
        <w:rPr>
          <w:spacing w:val="-2"/>
          <w:sz w:val="16"/>
          <w:vertAlign w:val="baseline"/>
        </w:rPr>
        <w:t> </w:t>
      </w:r>
      <w:r>
        <w:rPr>
          <w:sz w:val="16"/>
          <w:vertAlign w:val="baseline"/>
        </w:rPr>
        <w:t>the</w:t>
      </w:r>
      <w:r>
        <w:rPr>
          <w:spacing w:val="-2"/>
          <w:sz w:val="16"/>
          <w:vertAlign w:val="baseline"/>
        </w:rPr>
        <w:t> </w:t>
      </w:r>
      <w:r>
        <w:rPr>
          <w:sz w:val="16"/>
          <w:vertAlign w:val="baseline"/>
        </w:rPr>
        <w:t>fair</w:t>
      </w:r>
      <w:r>
        <w:rPr>
          <w:spacing w:val="-2"/>
          <w:sz w:val="16"/>
          <w:vertAlign w:val="baseline"/>
        </w:rPr>
        <w:t> </w:t>
      </w:r>
      <w:r>
        <w:rPr>
          <w:sz w:val="16"/>
          <w:vertAlign w:val="baseline"/>
        </w:rPr>
        <w:t>value</w:t>
      </w:r>
      <w:r>
        <w:rPr>
          <w:spacing w:val="-2"/>
          <w:sz w:val="16"/>
          <w:vertAlign w:val="baseline"/>
        </w:rPr>
        <w:t> </w:t>
      </w:r>
      <w:r>
        <w:rPr>
          <w:sz w:val="16"/>
          <w:vertAlign w:val="baseline"/>
        </w:rPr>
        <w:t>of</w:t>
      </w:r>
      <w:r>
        <w:rPr>
          <w:spacing w:val="-2"/>
          <w:sz w:val="16"/>
          <w:vertAlign w:val="baseline"/>
        </w:rPr>
        <w:t> </w:t>
      </w:r>
      <w:r>
        <w:rPr>
          <w:sz w:val="16"/>
          <w:vertAlign w:val="baseline"/>
        </w:rPr>
        <w:t>collateral</w:t>
      </w:r>
      <w:r>
        <w:rPr>
          <w:spacing w:val="-2"/>
          <w:sz w:val="16"/>
          <w:vertAlign w:val="baseline"/>
        </w:rPr>
        <w:t> </w:t>
      </w:r>
      <w:r>
        <w:rPr>
          <w:sz w:val="16"/>
          <w:vertAlign w:val="baseline"/>
        </w:rPr>
        <w:t>pledged</w:t>
      </w:r>
      <w:r>
        <w:rPr>
          <w:spacing w:val="-2"/>
          <w:sz w:val="16"/>
          <w:vertAlign w:val="baseline"/>
        </w:rPr>
        <w:t> </w:t>
      </w:r>
      <w:r>
        <w:rPr>
          <w:sz w:val="16"/>
          <w:vertAlign w:val="baseline"/>
        </w:rPr>
        <w:t>in</w:t>
      </w:r>
      <w:r>
        <w:rPr>
          <w:spacing w:val="-2"/>
          <w:sz w:val="16"/>
          <w:vertAlign w:val="baseline"/>
        </w:rPr>
        <w:t> </w:t>
      </w:r>
      <w:r>
        <w:rPr>
          <w:sz w:val="16"/>
          <w:vertAlign w:val="baseline"/>
        </w:rPr>
        <w:t>connection</w:t>
      </w:r>
      <w:r>
        <w:rPr>
          <w:spacing w:val="-2"/>
          <w:sz w:val="16"/>
          <w:vertAlign w:val="baseline"/>
        </w:rPr>
        <w:t> </w:t>
      </w:r>
      <w:r>
        <w:rPr>
          <w:sz w:val="16"/>
          <w:vertAlign w:val="baseline"/>
        </w:rPr>
        <w:t>with</w:t>
      </w:r>
      <w:r>
        <w:rPr>
          <w:spacing w:val="-2"/>
          <w:sz w:val="16"/>
          <w:vertAlign w:val="baseline"/>
        </w:rPr>
        <w:t> </w:t>
      </w:r>
      <w:r>
        <w:rPr>
          <w:sz w:val="16"/>
          <w:vertAlign w:val="baseline"/>
        </w:rPr>
        <w:t>repurchase</w:t>
      </w:r>
      <w:r>
        <w:rPr>
          <w:spacing w:val="-2"/>
          <w:sz w:val="16"/>
          <w:vertAlign w:val="baseline"/>
        </w:rPr>
        <w:t> </w:t>
      </w:r>
      <w:r>
        <w:rPr>
          <w:sz w:val="16"/>
          <w:vertAlign w:val="baseline"/>
        </w:rPr>
        <w:t>agreements</w:t>
      </w:r>
      <w:r>
        <w:rPr>
          <w:spacing w:val="-3"/>
          <w:sz w:val="16"/>
          <w:vertAlign w:val="baseline"/>
        </w:rPr>
        <w:t> </w:t>
      </w:r>
      <w:r>
        <w:rPr>
          <w:sz w:val="16"/>
          <w:vertAlign w:val="baseline"/>
        </w:rPr>
        <w:t>was</w:t>
      </w:r>
      <w:r>
        <w:rPr>
          <w:spacing w:val="-6"/>
          <w:sz w:val="16"/>
          <w:vertAlign w:val="baseline"/>
        </w:rPr>
        <w:t> </w:t>
      </w:r>
      <w:r>
        <w:rPr>
          <w:sz w:val="16"/>
          <w:vertAlign w:val="baseline"/>
        </w:rPr>
        <w:t>$7.0</w:t>
      </w:r>
      <w:r>
        <w:rPr>
          <w:spacing w:val="-2"/>
          <w:sz w:val="16"/>
          <w:vertAlign w:val="baseline"/>
        </w:rPr>
        <w:t> </w:t>
      </w:r>
      <w:r>
        <w:rPr>
          <w:sz w:val="16"/>
          <w:vertAlign w:val="baseline"/>
        </w:rPr>
        <w:t>billion</w:t>
      </w:r>
      <w:r>
        <w:rPr>
          <w:spacing w:val="-3"/>
          <w:sz w:val="16"/>
          <w:vertAlign w:val="baseline"/>
        </w:rPr>
        <w:t> </w:t>
      </w:r>
      <w:r>
        <w:rPr>
          <w:sz w:val="16"/>
          <w:vertAlign w:val="baseline"/>
        </w:rPr>
        <w:t>and</w:t>
      </w:r>
    </w:p>
    <w:p>
      <w:pPr>
        <w:spacing w:before="1"/>
        <w:ind w:left="650" w:right="0" w:firstLine="0"/>
        <w:jc w:val="left"/>
        <w:rPr>
          <w:sz w:val="16"/>
        </w:rPr>
      </w:pPr>
      <w:r>
        <w:rPr>
          <w:sz w:val="16"/>
        </w:rPr>
        <w:t>$4.6</w:t>
      </w:r>
      <w:r>
        <w:rPr>
          <w:spacing w:val="-1"/>
          <w:sz w:val="16"/>
        </w:rPr>
        <w:t> </w:t>
      </w:r>
      <w:r>
        <w:rPr>
          <w:sz w:val="16"/>
        </w:rPr>
        <w:t>billion, respectively.</w:t>
      </w:r>
      <w:r>
        <w:rPr>
          <w:spacing w:val="-1"/>
          <w:sz w:val="16"/>
        </w:rPr>
        <w:t> </w:t>
      </w:r>
      <w:r>
        <w:rPr>
          <w:sz w:val="16"/>
        </w:rPr>
        <w:t>See Note</w:t>
      </w:r>
      <w:r>
        <w:rPr>
          <w:spacing w:val="-2"/>
          <w:sz w:val="16"/>
        </w:rPr>
        <w:t> </w:t>
      </w:r>
      <w:r>
        <w:rPr>
          <w:sz w:val="16"/>
        </w:rPr>
        <w:t>8 for</w:t>
      </w:r>
      <w:r>
        <w:rPr>
          <w:spacing w:val="-1"/>
          <w:sz w:val="16"/>
        </w:rPr>
        <w:t> </w:t>
      </w:r>
      <w:r>
        <w:rPr>
          <w:sz w:val="16"/>
        </w:rPr>
        <w:t>additional </w:t>
      </w:r>
      <w:r>
        <w:rPr>
          <w:spacing w:val="-2"/>
          <w:sz w:val="16"/>
        </w:rPr>
        <w:t>information.</w:t>
      </w:r>
    </w:p>
    <w:p>
      <w:pPr>
        <w:spacing w:line="249" w:lineRule="auto" w:before="8"/>
        <w:ind w:left="650" w:right="500" w:hanging="180"/>
        <w:jc w:val="left"/>
        <w:rPr>
          <w:sz w:val="16"/>
        </w:rPr>
      </w:pPr>
      <w:r>
        <w:rPr>
          <w:sz w:val="16"/>
          <w:vertAlign w:val="superscript"/>
        </w:rPr>
        <w:t>(7)</w:t>
      </w:r>
      <w:r>
        <w:rPr>
          <w:sz w:val="16"/>
          <w:vertAlign w:val="baseline"/>
        </w:rPr>
        <w:t> Included in accrued expenses and other liabilities in the condensed consolidated balance sheets. Securities loaned are predominantly comprised of equity</w:t>
      </w:r>
      <w:r>
        <w:rPr>
          <w:spacing w:val="40"/>
          <w:sz w:val="16"/>
          <w:vertAlign w:val="baseline"/>
        </w:rPr>
        <w:t> </w:t>
      </w:r>
      <w:r>
        <w:rPr>
          <w:sz w:val="16"/>
          <w:vertAlign w:val="baseline"/>
        </w:rPr>
        <w:t>securities</w:t>
      </w:r>
      <w:r>
        <w:rPr>
          <w:spacing w:val="-3"/>
          <w:sz w:val="16"/>
          <w:vertAlign w:val="baseline"/>
        </w:rPr>
        <w:t> </w:t>
      </w:r>
      <w:r>
        <w:rPr>
          <w:sz w:val="16"/>
          <w:vertAlign w:val="baseline"/>
        </w:rPr>
        <w:t>held</w:t>
      </w:r>
      <w:r>
        <w:rPr>
          <w:spacing w:val="-2"/>
          <w:sz w:val="16"/>
          <w:vertAlign w:val="baseline"/>
        </w:rPr>
        <w:t> </w:t>
      </w:r>
      <w:r>
        <w:rPr>
          <w:sz w:val="16"/>
          <w:vertAlign w:val="baseline"/>
        </w:rPr>
        <w:t>in</w:t>
      </w:r>
      <w:r>
        <w:rPr>
          <w:spacing w:val="-2"/>
          <w:sz w:val="16"/>
          <w:vertAlign w:val="baseline"/>
        </w:rPr>
        <w:t> </w:t>
      </w:r>
      <w:r>
        <w:rPr>
          <w:sz w:val="16"/>
          <w:vertAlign w:val="baseline"/>
        </w:rPr>
        <w:t>client</w:t>
      </w:r>
      <w:r>
        <w:rPr>
          <w:spacing w:val="-2"/>
          <w:sz w:val="16"/>
          <w:vertAlign w:val="baseline"/>
        </w:rPr>
        <w:t> </w:t>
      </w:r>
      <w:r>
        <w:rPr>
          <w:sz w:val="16"/>
          <w:vertAlign w:val="baseline"/>
        </w:rPr>
        <w:t>brokerage</w:t>
      </w:r>
      <w:r>
        <w:rPr>
          <w:spacing w:val="-2"/>
          <w:sz w:val="16"/>
          <w:vertAlign w:val="baseline"/>
        </w:rPr>
        <w:t> </w:t>
      </w:r>
      <w:r>
        <w:rPr>
          <w:sz w:val="16"/>
          <w:vertAlign w:val="baseline"/>
        </w:rPr>
        <w:t>accounts</w:t>
      </w:r>
      <w:r>
        <w:rPr>
          <w:spacing w:val="-3"/>
          <w:sz w:val="16"/>
          <w:vertAlign w:val="baseline"/>
        </w:rPr>
        <w:t> </w:t>
      </w:r>
      <w:r>
        <w:rPr>
          <w:sz w:val="16"/>
          <w:vertAlign w:val="baseline"/>
        </w:rPr>
        <w:t>with</w:t>
      </w:r>
      <w:r>
        <w:rPr>
          <w:spacing w:val="-2"/>
          <w:sz w:val="16"/>
          <w:vertAlign w:val="baseline"/>
        </w:rPr>
        <w:t> </w:t>
      </w:r>
      <w:r>
        <w:rPr>
          <w:sz w:val="16"/>
          <w:vertAlign w:val="baseline"/>
        </w:rPr>
        <w:t>overnight</w:t>
      </w:r>
      <w:r>
        <w:rPr>
          <w:spacing w:val="-2"/>
          <w:sz w:val="16"/>
          <w:vertAlign w:val="baseline"/>
        </w:rPr>
        <w:t> </w:t>
      </w:r>
      <w:r>
        <w:rPr>
          <w:sz w:val="16"/>
          <w:vertAlign w:val="baseline"/>
        </w:rPr>
        <w:t>and</w:t>
      </w:r>
      <w:r>
        <w:rPr>
          <w:spacing w:val="-2"/>
          <w:sz w:val="16"/>
          <w:vertAlign w:val="baseline"/>
        </w:rPr>
        <w:t> </w:t>
      </w:r>
      <w:r>
        <w:rPr>
          <w:sz w:val="16"/>
          <w:vertAlign w:val="baseline"/>
        </w:rPr>
        <w:t>continuous</w:t>
      </w:r>
      <w:r>
        <w:rPr>
          <w:spacing w:val="-3"/>
          <w:sz w:val="16"/>
          <w:vertAlign w:val="baseline"/>
        </w:rPr>
        <w:t> </w:t>
      </w:r>
      <w:r>
        <w:rPr>
          <w:sz w:val="16"/>
          <w:vertAlign w:val="baseline"/>
        </w:rPr>
        <w:t>remaining</w:t>
      </w:r>
      <w:r>
        <w:rPr>
          <w:spacing w:val="-2"/>
          <w:sz w:val="16"/>
          <w:vertAlign w:val="baseline"/>
        </w:rPr>
        <w:t> </w:t>
      </w:r>
      <w:r>
        <w:rPr>
          <w:sz w:val="16"/>
          <w:vertAlign w:val="baseline"/>
        </w:rPr>
        <w:t>contractual</w:t>
      </w:r>
      <w:r>
        <w:rPr>
          <w:spacing w:val="-2"/>
          <w:sz w:val="16"/>
          <w:vertAlign w:val="baseline"/>
        </w:rPr>
        <w:t> </w:t>
      </w:r>
      <w:r>
        <w:rPr>
          <w:sz w:val="16"/>
          <w:vertAlign w:val="baseline"/>
        </w:rPr>
        <w:t>maturities.</w:t>
      </w:r>
      <w:r>
        <w:rPr>
          <w:spacing w:val="-2"/>
          <w:sz w:val="16"/>
          <w:vertAlign w:val="baseline"/>
        </w:rPr>
        <w:t> </w:t>
      </w:r>
      <w:r>
        <w:rPr>
          <w:sz w:val="16"/>
          <w:vertAlign w:val="baseline"/>
        </w:rPr>
        <w:t>The</w:t>
      </w:r>
      <w:r>
        <w:rPr>
          <w:spacing w:val="-2"/>
          <w:sz w:val="16"/>
          <w:vertAlign w:val="baseline"/>
        </w:rPr>
        <w:t> </w:t>
      </w:r>
      <w:r>
        <w:rPr>
          <w:sz w:val="16"/>
          <w:vertAlign w:val="baseline"/>
        </w:rPr>
        <w:t>cash</w:t>
      </w:r>
      <w:r>
        <w:rPr>
          <w:spacing w:val="-2"/>
          <w:sz w:val="16"/>
          <w:vertAlign w:val="baseline"/>
        </w:rPr>
        <w:t> </w:t>
      </w:r>
      <w:r>
        <w:rPr>
          <w:sz w:val="16"/>
          <w:vertAlign w:val="baseline"/>
        </w:rPr>
        <w:t>collateral</w:t>
      </w:r>
      <w:r>
        <w:rPr>
          <w:spacing w:val="-2"/>
          <w:sz w:val="16"/>
          <w:vertAlign w:val="baseline"/>
        </w:rPr>
        <w:t> </w:t>
      </w:r>
      <w:r>
        <w:rPr>
          <w:sz w:val="16"/>
          <w:vertAlign w:val="baseline"/>
        </w:rPr>
        <w:t>received</w:t>
      </w:r>
      <w:r>
        <w:rPr>
          <w:spacing w:val="-2"/>
          <w:sz w:val="16"/>
          <w:vertAlign w:val="baseline"/>
        </w:rPr>
        <w:t> </w:t>
      </w:r>
      <w:r>
        <w:rPr>
          <w:sz w:val="16"/>
          <w:vertAlign w:val="baseline"/>
        </w:rPr>
        <w:t>from</w:t>
      </w:r>
      <w:r>
        <w:rPr>
          <w:spacing w:val="-2"/>
          <w:sz w:val="16"/>
          <w:vertAlign w:val="baseline"/>
        </w:rPr>
        <w:t> </w:t>
      </w:r>
      <w:r>
        <w:rPr>
          <w:sz w:val="16"/>
          <w:vertAlign w:val="baseline"/>
        </w:rPr>
        <w:t>counterparties</w:t>
      </w:r>
      <w:r>
        <w:rPr>
          <w:spacing w:val="40"/>
          <w:sz w:val="16"/>
          <w:vertAlign w:val="baseline"/>
        </w:rPr>
        <w:t> </w:t>
      </w:r>
      <w:r>
        <w:rPr>
          <w:sz w:val="16"/>
          <w:vertAlign w:val="baseline"/>
        </w:rPr>
        <w:t>under securities lending transactions was equal to or greater than the market value of the securities loaned at September 30, 2023 and December 31, 2022.</w:t>
      </w:r>
    </w:p>
    <w:p>
      <w:pPr>
        <w:spacing w:line="249" w:lineRule="auto" w:before="2"/>
        <w:ind w:left="650" w:right="761" w:hanging="180"/>
        <w:jc w:val="left"/>
        <w:rPr>
          <w:sz w:val="16"/>
        </w:rPr>
      </w:pPr>
      <w:r>
        <w:rPr>
          <w:sz w:val="16"/>
          <w:vertAlign w:val="superscript"/>
        </w:rPr>
        <w:t>(8)</w:t>
      </w:r>
      <w:r>
        <w:rPr>
          <w:spacing w:val="-15"/>
          <w:sz w:val="16"/>
          <w:vertAlign w:val="baseline"/>
        </w:rPr>
        <w:t> </w:t>
      </w:r>
      <w:r>
        <w:rPr>
          <w:sz w:val="16"/>
          <w:vertAlign w:val="baseline"/>
        </w:rPr>
        <w:t>Included</w:t>
      </w:r>
      <w:r>
        <w:rPr>
          <w:spacing w:val="-3"/>
          <w:sz w:val="16"/>
          <w:vertAlign w:val="baseline"/>
        </w:rPr>
        <w:t> </w:t>
      </w:r>
      <w:r>
        <w:rPr>
          <w:sz w:val="16"/>
          <w:vertAlign w:val="baseline"/>
        </w:rPr>
        <w:t>in</w:t>
      </w:r>
      <w:r>
        <w:rPr>
          <w:spacing w:val="-2"/>
          <w:sz w:val="16"/>
          <w:vertAlign w:val="baseline"/>
        </w:rPr>
        <w:t> </w:t>
      </w:r>
      <w:r>
        <w:rPr>
          <w:sz w:val="16"/>
          <w:vertAlign w:val="baseline"/>
        </w:rPr>
        <w:t>other</w:t>
      </w:r>
      <w:r>
        <w:rPr>
          <w:spacing w:val="-2"/>
          <w:sz w:val="16"/>
          <w:vertAlign w:val="baseline"/>
        </w:rPr>
        <w:t> </w:t>
      </w:r>
      <w:r>
        <w:rPr>
          <w:sz w:val="16"/>
          <w:vertAlign w:val="baseline"/>
        </w:rPr>
        <w:t>short-term</w:t>
      </w:r>
      <w:r>
        <w:rPr>
          <w:spacing w:val="-2"/>
          <w:sz w:val="16"/>
          <w:vertAlign w:val="baseline"/>
        </w:rPr>
        <w:t> </w:t>
      </w:r>
      <w:r>
        <w:rPr>
          <w:sz w:val="16"/>
          <w:vertAlign w:val="baseline"/>
        </w:rPr>
        <w:t>borrowings</w:t>
      </w:r>
      <w:r>
        <w:rPr>
          <w:spacing w:val="-3"/>
          <w:sz w:val="16"/>
          <w:vertAlign w:val="baseline"/>
        </w:rPr>
        <w:t> </w:t>
      </w:r>
      <w:r>
        <w:rPr>
          <w:sz w:val="16"/>
          <w:vertAlign w:val="baseline"/>
        </w:rPr>
        <w:t>in</w:t>
      </w:r>
      <w:r>
        <w:rPr>
          <w:spacing w:val="-2"/>
          <w:sz w:val="16"/>
          <w:vertAlign w:val="baseline"/>
        </w:rPr>
        <w:t> </w:t>
      </w:r>
      <w:r>
        <w:rPr>
          <w:sz w:val="16"/>
          <w:vertAlign w:val="baseline"/>
        </w:rPr>
        <w:t>the</w:t>
      </w:r>
      <w:r>
        <w:rPr>
          <w:spacing w:val="-2"/>
          <w:sz w:val="16"/>
          <w:vertAlign w:val="baseline"/>
        </w:rPr>
        <w:t> </w:t>
      </w:r>
      <w:r>
        <w:rPr>
          <w:sz w:val="16"/>
          <w:vertAlign w:val="baseline"/>
        </w:rPr>
        <w:t>condensed</w:t>
      </w:r>
      <w:r>
        <w:rPr>
          <w:spacing w:val="-2"/>
          <w:sz w:val="16"/>
          <w:vertAlign w:val="baseline"/>
        </w:rPr>
        <w:t> </w:t>
      </w:r>
      <w:r>
        <w:rPr>
          <w:sz w:val="16"/>
          <w:vertAlign w:val="baseline"/>
        </w:rPr>
        <w:t>consolidated</w:t>
      </w:r>
      <w:r>
        <w:rPr>
          <w:spacing w:val="-2"/>
          <w:sz w:val="16"/>
          <w:vertAlign w:val="baseline"/>
        </w:rPr>
        <w:t> </w:t>
      </w:r>
      <w:r>
        <w:rPr>
          <w:sz w:val="16"/>
          <w:vertAlign w:val="baseline"/>
        </w:rPr>
        <w:t>balance</w:t>
      </w:r>
      <w:r>
        <w:rPr>
          <w:spacing w:val="-2"/>
          <w:sz w:val="16"/>
          <w:vertAlign w:val="baseline"/>
        </w:rPr>
        <w:t> </w:t>
      </w:r>
      <w:r>
        <w:rPr>
          <w:sz w:val="16"/>
          <w:vertAlign w:val="baseline"/>
        </w:rPr>
        <w:t>sheets.</w:t>
      </w:r>
      <w:r>
        <w:rPr>
          <w:spacing w:val="-2"/>
          <w:sz w:val="16"/>
          <w:vertAlign w:val="baseline"/>
        </w:rPr>
        <w:t> </w:t>
      </w:r>
      <w:r>
        <w:rPr>
          <w:sz w:val="16"/>
          <w:vertAlign w:val="baseline"/>
        </w:rPr>
        <w:t>See</w:t>
      </w:r>
      <w:r>
        <w:rPr>
          <w:spacing w:val="-2"/>
          <w:sz w:val="16"/>
          <w:vertAlign w:val="baseline"/>
        </w:rPr>
        <w:t> </w:t>
      </w:r>
      <w:r>
        <w:rPr>
          <w:sz w:val="16"/>
          <w:vertAlign w:val="baseline"/>
        </w:rPr>
        <w:t>below</w:t>
      </w:r>
      <w:r>
        <w:rPr>
          <w:spacing w:val="-3"/>
          <w:sz w:val="16"/>
          <w:vertAlign w:val="baseline"/>
        </w:rPr>
        <w:t> </w:t>
      </w:r>
      <w:r>
        <w:rPr>
          <w:sz w:val="16"/>
          <w:vertAlign w:val="baseline"/>
        </w:rPr>
        <w:t>for</w:t>
      </w:r>
      <w:r>
        <w:rPr>
          <w:spacing w:val="-2"/>
          <w:sz w:val="16"/>
          <w:vertAlign w:val="baseline"/>
        </w:rPr>
        <w:t> </w:t>
      </w:r>
      <w:r>
        <w:rPr>
          <w:sz w:val="16"/>
          <w:vertAlign w:val="baseline"/>
        </w:rPr>
        <w:t>collateral</w:t>
      </w:r>
      <w:r>
        <w:rPr>
          <w:spacing w:val="-2"/>
          <w:sz w:val="16"/>
          <w:vertAlign w:val="baseline"/>
        </w:rPr>
        <w:t> </w:t>
      </w:r>
      <w:r>
        <w:rPr>
          <w:sz w:val="16"/>
          <w:vertAlign w:val="baseline"/>
        </w:rPr>
        <w:t>pledged</w:t>
      </w:r>
      <w:r>
        <w:rPr>
          <w:spacing w:val="-2"/>
          <w:sz w:val="16"/>
          <w:vertAlign w:val="baseline"/>
        </w:rPr>
        <w:t> </w:t>
      </w:r>
      <w:r>
        <w:rPr>
          <w:sz w:val="16"/>
          <w:vertAlign w:val="baseline"/>
        </w:rPr>
        <w:t>and</w:t>
      </w:r>
      <w:r>
        <w:rPr>
          <w:spacing w:val="-2"/>
          <w:sz w:val="16"/>
          <w:vertAlign w:val="baseline"/>
        </w:rPr>
        <w:t> </w:t>
      </w:r>
      <w:r>
        <w:rPr>
          <w:sz w:val="16"/>
          <w:vertAlign w:val="baseline"/>
        </w:rPr>
        <w:t>Note</w:t>
      </w:r>
      <w:r>
        <w:rPr>
          <w:spacing w:val="-7"/>
          <w:sz w:val="16"/>
          <w:vertAlign w:val="baseline"/>
        </w:rPr>
        <w:t> </w:t>
      </w:r>
      <w:r>
        <w:rPr>
          <w:sz w:val="16"/>
          <w:vertAlign w:val="baseline"/>
        </w:rPr>
        <w:t>8</w:t>
      </w:r>
      <w:r>
        <w:rPr>
          <w:spacing w:val="-2"/>
          <w:sz w:val="16"/>
          <w:vertAlign w:val="baseline"/>
        </w:rPr>
        <w:t> </w:t>
      </w:r>
      <w:r>
        <w:rPr>
          <w:sz w:val="16"/>
          <w:vertAlign w:val="baseline"/>
        </w:rPr>
        <w:t>for</w:t>
      </w:r>
      <w:r>
        <w:rPr>
          <w:spacing w:val="-2"/>
          <w:sz w:val="16"/>
          <w:vertAlign w:val="baseline"/>
        </w:rPr>
        <w:t> </w:t>
      </w:r>
      <w:r>
        <w:rPr>
          <w:sz w:val="16"/>
          <w:vertAlign w:val="baseline"/>
        </w:rPr>
        <w:t>additional</w:t>
      </w:r>
      <w:r>
        <w:rPr>
          <w:spacing w:val="40"/>
          <w:sz w:val="16"/>
          <w:vertAlign w:val="baseline"/>
        </w:rPr>
        <w:t> </w:t>
      </w:r>
      <w:r>
        <w:rPr>
          <w:spacing w:val="-2"/>
          <w:sz w:val="16"/>
          <w:vertAlign w:val="baseline"/>
        </w:rPr>
        <w:t>information.</w:t>
      </w:r>
    </w:p>
    <w:p>
      <w:pPr>
        <w:pStyle w:val="BodyText"/>
        <w:spacing w:before="60"/>
        <w:rPr>
          <w:sz w:val="16"/>
        </w:rPr>
      </w:pPr>
    </w:p>
    <w:p>
      <w:pPr>
        <w:pStyle w:val="BodyText"/>
        <w:spacing w:line="249" w:lineRule="auto"/>
        <w:ind w:left="470" w:right="500"/>
      </w:pPr>
      <w:r>
        <w:rPr>
          <w:i/>
        </w:rPr>
        <w:t>Margin</w:t>
      </w:r>
      <w:r>
        <w:rPr>
          <w:i/>
          <w:spacing w:val="-3"/>
        </w:rPr>
        <w:t> </w:t>
      </w:r>
      <w:r>
        <w:rPr>
          <w:i/>
        </w:rPr>
        <w:t>lending:</w:t>
      </w:r>
      <w:r>
        <w:rPr>
          <w:i/>
          <w:spacing w:val="-3"/>
        </w:rPr>
        <w:t> </w:t>
      </w:r>
      <w:r>
        <w:rPr/>
        <w:t>Clients</w:t>
      </w:r>
      <w:r>
        <w:rPr>
          <w:spacing w:val="-4"/>
        </w:rPr>
        <w:t> </w:t>
      </w:r>
      <w:r>
        <w:rPr/>
        <w:t>with</w:t>
      </w:r>
      <w:r>
        <w:rPr>
          <w:spacing w:val="-3"/>
        </w:rPr>
        <w:t> </w:t>
      </w:r>
      <w:r>
        <w:rPr/>
        <w:t>margin</w:t>
      </w:r>
      <w:r>
        <w:rPr>
          <w:spacing w:val="-3"/>
        </w:rPr>
        <w:t> </w:t>
      </w:r>
      <w:r>
        <w:rPr/>
        <w:t>loans</w:t>
      </w:r>
      <w:r>
        <w:rPr>
          <w:spacing w:val="-4"/>
        </w:rPr>
        <w:t> </w:t>
      </w:r>
      <w:r>
        <w:rPr/>
        <w:t>have</w:t>
      </w:r>
      <w:r>
        <w:rPr>
          <w:spacing w:val="-4"/>
        </w:rPr>
        <w:t> </w:t>
      </w:r>
      <w:r>
        <w:rPr/>
        <w:t>agreed</w:t>
      </w:r>
      <w:r>
        <w:rPr>
          <w:spacing w:val="-3"/>
        </w:rPr>
        <w:t> </w:t>
      </w:r>
      <w:r>
        <w:rPr/>
        <w:t>to</w:t>
      </w:r>
      <w:r>
        <w:rPr>
          <w:spacing w:val="-3"/>
        </w:rPr>
        <w:t> </w:t>
      </w:r>
      <w:r>
        <w:rPr/>
        <w:t>allow</w:t>
      </w:r>
      <w:r>
        <w:rPr>
          <w:spacing w:val="-4"/>
        </w:rPr>
        <w:t> </w:t>
      </w:r>
      <w:r>
        <w:rPr/>
        <w:t>Schwab</w:t>
      </w:r>
      <w:r>
        <w:rPr>
          <w:spacing w:val="-3"/>
        </w:rPr>
        <w:t> </w:t>
      </w:r>
      <w:r>
        <w:rPr/>
        <w:t>to</w:t>
      </w:r>
      <w:r>
        <w:rPr>
          <w:spacing w:val="-3"/>
        </w:rPr>
        <w:t> </w:t>
      </w:r>
      <w:r>
        <w:rPr/>
        <w:t>pledge</w:t>
      </w:r>
      <w:r>
        <w:rPr>
          <w:spacing w:val="-4"/>
        </w:rPr>
        <w:t> </w:t>
      </w:r>
      <w:r>
        <w:rPr/>
        <w:t>collateralized</w:t>
      </w:r>
      <w:r>
        <w:rPr>
          <w:spacing w:val="-3"/>
        </w:rPr>
        <w:t> </w:t>
      </w:r>
      <w:r>
        <w:rPr/>
        <w:t>securities</w:t>
      </w:r>
      <w:r>
        <w:rPr>
          <w:spacing w:val="-4"/>
        </w:rPr>
        <w:t> </w:t>
      </w:r>
      <w:r>
        <w:rPr/>
        <w:t>in</w:t>
      </w:r>
      <w:r>
        <w:rPr>
          <w:spacing w:val="-3"/>
        </w:rPr>
        <w:t> </w:t>
      </w:r>
      <w:r>
        <w:rPr/>
        <w:t>their</w:t>
      </w:r>
      <w:r>
        <w:rPr>
          <w:spacing w:val="-3"/>
        </w:rPr>
        <w:t> </w:t>
      </w:r>
      <w:r>
        <w:rPr/>
        <w:t>brokerage accounts in accordance with federal regulations. The following table summarizes the fair value of client securities that were available, under such regulations, that could have been used as collateral, as well as the fair value of securities that we had pledged to third parties under such regulations and from securities borrowed transactions:</w:t>
      </w:r>
    </w:p>
    <w:p>
      <w:pPr>
        <w:spacing w:after="0" w:line="249" w:lineRule="auto"/>
        <w:sectPr>
          <w:type w:val="continuous"/>
          <w:pgSz w:w="12240" w:h="15840"/>
          <w:pgMar w:header="227" w:footer="201" w:top="320" w:bottom="280" w:left="520" w:right="520"/>
        </w:sectPr>
      </w:pPr>
    </w:p>
    <w:p>
      <w:pPr>
        <w:pStyle w:val="BodyText"/>
        <w:spacing w:before="32"/>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9"/>
        <w:gridCol w:w="2442"/>
        <w:gridCol w:w="1653"/>
      </w:tblGrid>
      <w:tr>
        <w:trPr>
          <w:trHeight w:val="290" w:hRule="atLeast"/>
        </w:trPr>
        <w:tc>
          <w:tcPr>
            <w:tcW w:w="6119" w:type="dxa"/>
            <w:tcBorders>
              <w:top w:val="single" w:sz="4" w:space="0" w:color="000000"/>
              <w:bottom w:val="single" w:sz="4" w:space="0" w:color="000000"/>
            </w:tcBorders>
          </w:tcPr>
          <w:p>
            <w:pPr>
              <w:pStyle w:val="TableParagraph"/>
              <w:rPr>
                <w:sz w:val="18"/>
              </w:rPr>
            </w:pPr>
          </w:p>
        </w:tc>
        <w:tc>
          <w:tcPr>
            <w:tcW w:w="2442" w:type="dxa"/>
            <w:tcBorders>
              <w:top w:val="single" w:sz="4" w:space="0" w:color="000000"/>
              <w:bottom w:val="single" w:sz="4" w:space="0" w:color="000000"/>
            </w:tcBorders>
          </w:tcPr>
          <w:p>
            <w:pPr>
              <w:pStyle w:val="TableParagraph"/>
              <w:spacing w:before="58"/>
              <w:ind w:right="118"/>
              <w:jc w:val="right"/>
              <w:rPr>
                <w:sz w:val="18"/>
              </w:rPr>
            </w:pPr>
            <w:r>
              <w:rPr>
                <w:sz w:val="18"/>
              </w:rPr>
              <w:t>September</w:t>
            </w:r>
            <w:r>
              <w:rPr>
                <w:spacing w:val="-1"/>
                <w:sz w:val="18"/>
              </w:rPr>
              <w:t> </w:t>
            </w:r>
            <w:r>
              <w:rPr>
                <w:sz w:val="18"/>
              </w:rPr>
              <w:t>30, </w:t>
            </w:r>
            <w:r>
              <w:rPr>
                <w:spacing w:val="-4"/>
                <w:sz w:val="18"/>
              </w:rPr>
              <w:t>2023</w:t>
            </w:r>
          </w:p>
        </w:tc>
        <w:tc>
          <w:tcPr>
            <w:tcW w:w="1653" w:type="dxa"/>
            <w:tcBorders>
              <w:top w:val="single" w:sz="4" w:space="0" w:color="000000"/>
              <w:bottom w:val="single" w:sz="4" w:space="0" w:color="000000"/>
            </w:tcBorders>
          </w:tcPr>
          <w:p>
            <w:pPr>
              <w:pStyle w:val="TableParagraph"/>
              <w:spacing w:before="58"/>
              <w:ind w:right="91"/>
              <w:jc w:val="right"/>
              <w:rPr>
                <w:sz w:val="18"/>
              </w:rPr>
            </w:pPr>
            <w:r>
              <w:rPr>
                <w:sz w:val="18"/>
              </w:rPr>
              <w:t>December</w:t>
            </w:r>
            <w:r>
              <w:rPr>
                <w:spacing w:val="-1"/>
                <w:sz w:val="18"/>
              </w:rPr>
              <w:t> </w:t>
            </w:r>
            <w:r>
              <w:rPr>
                <w:sz w:val="18"/>
              </w:rPr>
              <w:t>31, </w:t>
            </w:r>
            <w:r>
              <w:rPr>
                <w:spacing w:val="-4"/>
                <w:sz w:val="18"/>
              </w:rPr>
              <w:t>2022</w:t>
            </w:r>
          </w:p>
        </w:tc>
      </w:tr>
      <w:tr>
        <w:trPr>
          <w:trHeight w:val="290" w:hRule="atLeast"/>
        </w:trPr>
        <w:tc>
          <w:tcPr>
            <w:tcW w:w="6119" w:type="dxa"/>
            <w:tcBorders>
              <w:top w:val="single" w:sz="4" w:space="0" w:color="000000"/>
              <w:bottom w:val="single" w:sz="4" w:space="0" w:color="000000"/>
            </w:tcBorders>
            <w:shd w:val="clear" w:color="auto" w:fill="CCEDFF"/>
          </w:tcPr>
          <w:p>
            <w:pPr>
              <w:pStyle w:val="TableParagraph"/>
              <w:spacing w:before="58"/>
              <w:ind w:left="52"/>
              <w:rPr>
                <w:sz w:val="18"/>
              </w:rPr>
            </w:pPr>
            <w:r>
              <w:rPr>
                <w:sz w:val="18"/>
              </w:rPr>
              <w:t>Fair</w:t>
            </w:r>
            <w:r>
              <w:rPr>
                <w:spacing w:val="-1"/>
                <w:sz w:val="18"/>
              </w:rPr>
              <w:t> </w:t>
            </w:r>
            <w:r>
              <w:rPr>
                <w:sz w:val="18"/>
              </w:rPr>
              <w:t>value of client securities</w:t>
            </w:r>
            <w:r>
              <w:rPr>
                <w:spacing w:val="-2"/>
                <w:sz w:val="18"/>
              </w:rPr>
              <w:t> </w:t>
            </w:r>
            <w:r>
              <w:rPr>
                <w:sz w:val="18"/>
              </w:rPr>
              <w:t>available to be </w:t>
            </w:r>
            <w:r>
              <w:rPr>
                <w:spacing w:val="-2"/>
                <w:sz w:val="18"/>
              </w:rPr>
              <w:t>pledged</w:t>
            </w:r>
          </w:p>
        </w:tc>
        <w:tc>
          <w:tcPr>
            <w:tcW w:w="2442" w:type="dxa"/>
            <w:tcBorders>
              <w:top w:val="single" w:sz="4" w:space="0" w:color="000000"/>
              <w:bottom w:val="single" w:sz="4" w:space="0" w:color="000000"/>
            </w:tcBorders>
            <w:shd w:val="clear" w:color="auto" w:fill="CCEDFF"/>
          </w:tcPr>
          <w:p>
            <w:pPr>
              <w:pStyle w:val="TableParagraph"/>
              <w:tabs>
                <w:tab w:pos="1012" w:val="left" w:leader="none"/>
              </w:tabs>
              <w:spacing w:before="58"/>
              <w:ind w:right="98"/>
              <w:jc w:val="right"/>
              <w:rPr>
                <w:sz w:val="18"/>
              </w:rPr>
            </w:pPr>
            <w:r>
              <w:rPr>
                <w:spacing w:val="-10"/>
                <w:sz w:val="18"/>
              </w:rPr>
              <w:t>$</w:t>
            </w:r>
            <w:r>
              <w:rPr>
                <w:sz w:val="18"/>
              </w:rPr>
              <w:tab/>
            </w:r>
            <w:r>
              <w:rPr>
                <w:spacing w:val="-2"/>
                <w:sz w:val="18"/>
              </w:rPr>
              <w:t>90,299</w:t>
            </w:r>
          </w:p>
        </w:tc>
        <w:tc>
          <w:tcPr>
            <w:tcW w:w="1653" w:type="dxa"/>
            <w:tcBorders>
              <w:top w:val="single" w:sz="4" w:space="0" w:color="000000"/>
              <w:bottom w:val="single" w:sz="4" w:space="0" w:color="000000"/>
            </w:tcBorders>
            <w:shd w:val="clear" w:color="auto" w:fill="CCEDFF"/>
          </w:tcPr>
          <w:p>
            <w:pPr>
              <w:pStyle w:val="TableParagraph"/>
              <w:tabs>
                <w:tab w:pos="982" w:val="left" w:leader="none"/>
              </w:tabs>
              <w:spacing w:before="58"/>
              <w:ind w:right="71"/>
              <w:jc w:val="right"/>
              <w:rPr>
                <w:sz w:val="18"/>
              </w:rPr>
            </w:pPr>
            <w:r>
              <w:rPr>
                <w:spacing w:val="-10"/>
                <w:sz w:val="18"/>
              </w:rPr>
              <w:t>$</w:t>
            </w:r>
            <w:r>
              <w:rPr>
                <w:sz w:val="18"/>
              </w:rPr>
              <w:tab/>
            </w:r>
            <w:r>
              <w:rPr>
                <w:spacing w:val="-2"/>
                <w:sz w:val="18"/>
              </w:rPr>
              <w:t>86,775</w:t>
            </w:r>
          </w:p>
        </w:tc>
      </w:tr>
      <w:tr>
        <w:trPr>
          <w:trHeight w:val="290" w:hRule="atLeast"/>
        </w:trPr>
        <w:tc>
          <w:tcPr>
            <w:tcW w:w="6119" w:type="dxa"/>
            <w:tcBorders>
              <w:top w:val="single" w:sz="4" w:space="0" w:color="000000"/>
              <w:bottom w:val="single" w:sz="4" w:space="0" w:color="000000"/>
            </w:tcBorders>
          </w:tcPr>
          <w:p>
            <w:pPr>
              <w:pStyle w:val="TableParagraph"/>
              <w:spacing w:before="58"/>
              <w:ind w:left="187"/>
              <w:rPr>
                <w:sz w:val="18"/>
              </w:rPr>
            </w:pPr>
            <w:r>
              <w:rPr>
                <w:sz w:val="18"/>
              </w:rPr>
              <w:t>Fair</w:t>
            </w:r>
            <w:r>
              <w:rPr>
                <w:spacing w:val="-1"/>
                <w:sz w:val="18"/>
              </w:rPr>
              <w:t> </w:t>
            </w:r>
            <w:r>
              <w:rPr>
                <w:sz w:val="18"/>
              </w:rPr>
              <w:t>value of</w:t>
            </w:r>
            <w:r>
              <w:rPr>
                <w:spacing w:val="-1"/>
                <w:sz w:val="18"/>
              </w:rPr>
              <w:t> </w:t>
            </w:r>
            <w:r>
              <w:rPr>
                <w:sz w:val="18"/>
              </w:rPr>
              <w:t>securities</w:t>
            </w:r>
            <w:r>
              <w:rPr>
                <w:spacing w:val="-1"/>
                <w:sz w:val="18"/>
              </w:rPr>
              <w:t> </w:t>
            </w:r>
            <w:r>
              <w:rPr>
                <w:sz w:val="18"/>
              </w:rPr>
              <w:t>pledged </w:t>
            </w:r>
            <w:r>
              <w:rPr>
                <w:spacing w:val="-4"/>
                <w:sz w:val="18"/>
              </w:rPr>
              <w:t>for:</w:t>
            </w:r>
          </w:p>
        </w:tc>
        <w:tc>
          <w:tcPr>
            <w:tcW w:w="2442" w:type="dxa"/>
            <w:tcBorders>
              <w:top w:val="single" w:sz="4" w:space="0" w:color="000000"/>
              <w:bottom w:val="single" w:sz="4" w:space="0" w:color="000000"/>
            </w:tcBorders>
          </w:tcPr>
          <w:p>
            <w:pPr>
              <w:pStyle w:val="TableParagraph"/>
              <w:rPr>
                <w:sz w:val="18"/>
              </w:rPr>
            </w:pPr>
          </w:p>
        </w:tc>
        <w:tc>
          <w:tcPr>
            <w:tcW w:w="1653" w:type="dxa"/>
            <w:tcBorders>
              <w:top w:val="single" w:sz="4" w:space="0" w:color="000000"/>
              <w:bottom w:val="single" w:sz="4" w:space="0" w:color="000000"/>
            </w:tcBorders>
          </w:tcPr>
          <w:p>
            <w:pPr>
              <w:pStyle w:val="TableParagraph"/>
              <w:rPr>
                <w:sz w:val="18"/>
              </w:rPr>
            </w:pPr>
          </w:p>
        </w:tc>
      </w:tr>
      <w:tr>
        <w:trPr>
          <w:trHeight w:val="295" w:hRule="atLeast"/>
        </w:trPr>
        <w:tc>
          <w:tcPr>
            <w:tcW w:w="6119" w:type="dxa"/>
            <w:tcBorders>
              <w:top w:val="single" w:sz="4" w:space="0" w:color="000000"/>
            </w:tcBorders>
            <w:shd w:val="clear" w:color="auto" w:fill="CCEDFF"/>
          </w:tcPr>
          <w:p>
            <w:pPr>
              <w:pStyle w:val="TableParagraph"/>
              <w:spacing w:before="58"/>
              <w:ind w:left="292"/>
              <w:rPr>
                <w:sz w:val="18"/>
              </w:rPr>
            </w:pPr>
            <w:r>
              <w:rPr>
                <w:sz w:val="18"/>
              </w:rPr>
              <w:t>Fulfillment</w:t>
            </w:r>
            <w:r>
              <w:rPr>
                <w:spacing w:val="-3"/>
                <w:sz w:val="18"/>
              </w:rPr>
              <w:t> </w:t>
            </w:r>
            <w:r>
              <w:rPr>
                <w:sz w:val="18"/>
              </w:rPr>
              <w:t>of requirements</w:t>
            </w:r>
            <w:r>
              <w:rPr>
                <w:spacing w:val="-2"/>
                <w:sz w:val="18"/>
              </w:rPr>
              <w:t> </w:t>
            </w:r>
            <w:r>
              <w:rPr>
                <w:sz w:val="18"/>
              </w:rPr>
              <w:t>with the Options</w:t>
            </w:r>
            <w:r>
              <w:rPr>
                <w:spacing w:val="-2"/>
                <w:sz w:val="18"/>
              </w:rPr>
              <w:t> </w:t>
            </w:r>
            <w:r>
              <w:rPr>
                <w:sz w:val="18"/>
              </w:rPr>
              <w:t>Clearing Corporation</w:t>
            </w:r>
            <w:r>
              <w:rPr>
                <w:spacing w:val="-4"/>
                <w:sz w:val="18"/>
              </w:rPr>
              <w:t> </w:t>
            </w:r>
            <w:r>
              <w:rPr>
                <w:spacing w:val="-5"/>
                <w:sz w:val="18"/>
                <w:vertAlign w:val="superscript"/>
              </w:rPr>
              <w:t>(1)</w:t>
            </w:r>
          </w:p>
        </w:tc>
        <w:tc>
          <w:tcPr>
            <w:tcW w:w="2442" w:type="dxa"/>
            <w:tcBorders>
              <w:top w:val="single" w:sz="4" w:space="0" w:color="000000"/>
            </w:tcBorders>
            <w:shd w:val="clear" w:color="auto" w:fill="CCEDFF"/>
          </w:tcPr>
          <w:p>
            <w:pPr>
              <w:pStyle w:val="TableParagraph"/>
              <w:tabs>
                <w:tab w:pos="1012" w:val="left" w:leader="none"/>
              </w:tabs>
              <w:spacing w:before="58"/>
              <w:ind w:right="98"/>
              <w:jc w:val="right"/>
              <w:rPr>
                <w:sz w:val="18"/>
              </w:rPr>
            </w:pPr>
            <w:r>
              <w:rPr>
                <w:spacing w:val="-10"/>
                <w:sz w:val="18"/>
              </w:rPr>
              <w:t>$</w:t>
            </w:r>
            <w:r>
              <w:rPr>
                <w:sz w:val="18"/>
              </w:rPr>
              <w:tab/>
            </w:r>
            <w:r>
              <w:rPr>
                <w:spacing w:val="-2"/>
                <w:sz w:val="18"/>
              </w:rPr>
              <w:t>15,086</w:t>
            </w:r>
          </w:p>
        </w:tc>
        <w:tc>
          <w:tcPr>
            <w:tcW w:w="1653" w:type="dxa"/>
            <w:tcBorders>
              <w:top w:val="single" w:sz="4" w:space="0" w:color="000000"/>
            </w:tcBorders>
            <w:shd w:val="clear" w:color="auto" w:fill="CCEDFF"/>
          </w:tcPr>
          <w:p>
            <w:pPr>
              <w:pStyle w:val="TableParagraph"/>
              <w:tabs>
                <w:tab w:pos="982" w:val="left" w:leader="none"/>
              </w:tabs>
              <w:spacing w:before="58"/>
              <w:ind w:right="71"/>
              <w:jc w:val="right"/>
              <w:rPr>
                <w:sz w:val="18"/>
              </w:rPr>
            </w:pPr>
            <w:r>
              <w:rPr>
                <w:spacing w:val="-10"/>
                <w:sz w:val="18"/>
              </w:rPr>
              <w:t>$</w:t>
            </w:r>
            <w:r>
              <w:rPr>
                <w:sz w:val="18"/>
              </w:rPr>
              <w:tab/>
            </w:r>
            <w:r>
              <w:rPr>
                <w:spacing w:val="-2"/>
                <w:sz w:val="18"/>
              </w:rPr>
              <w:t>11,717</w:t>
            </w:r>
          </w:p>
        </w:tc>
      </w:tr>
      <w:tr>
        <w:trPr>
          <w:trHeight w:val="300" w:hRule="atLeast"/>
        </w:trPr>
        <w:tc>
          <w:tcPr>
            <w:tcW w:w="6119" w:type="dxa"/>
          </w:tcPr>
          <w:p>
            <w:pPr>
              <w:pStyle w:val="TableParagraph"/>
              <w:spacing w:before="63"/>
              <w:ind w:left="277"/>
              <w:rPr>
                <w:sz w:val="18"/>
              </w:rPr>
            </w:pPr>
            <w:r>
              <w:rPr>
                <w:sz w:val="18"/>
              </w:rPr>
              <w:t>Fulfillment</w:t>
            </w:r>
            <w:r>
              <w:rPr>
                <w:spacing w:val="-1"/>
                <w:sz w:val="18"/>
              </w:rPr>
              <w:t> </w:t>
            </w:r>
            <w:r>
              <w:rPr>
                <w:sz w:val="18"/>
              </w:rPr>
              <w:t>of client</w:t>
            </w:r>
            <w:r>
              <w:rPr>
                <w:spacing w:val="-1"/>
                <w:sz w:val="18"/>
              </w:rPr>
              <w:t> </w:t>
            </w:r>
            <w:r>
              <w:rPr>
                <w:sz w:val="18"/>
              </w:rPr>
              <w:t>short </w:t>
            </w:r>
            <w:r>
              <w:rPr>
                <w:spacing w:val="-2"/>
                <w:sz w:val="18"/>
              </w:rPr>
              <w:t>sales</w:t>
            </w:r>
          </w:p>
        </w:tc>
        <w:tc>
          <w:tcPr>
            <w:tcW w:w="2442" w:type="dxa"/>
          </w:tcPr>
          <w:p>
            <w:pPr>
              <w:pStyle w:val="TableParagraph"/>
              <w:spacing w:before="63"/>
              <w:ind w:right="98"/>
              <w:jc w:val="right"/>
              <w:rPr>
                <w:sz w:val="18"/>
              </w:rPr>
            </w:pPr>
            <w:r>
              <w:rPr>
                <w:spacing w:val="-2"/>
                <w:sz w:val="18"/>
              </w:rPr>
              <w:t>5,363</w:t>
            </w:r>
          </w:p>
        </w:tc>
        <w:tc>
          <w:tcPr>
            <w:tcW w:w="1653" w:type="dxa"/>
          </w:tcPr>
          <w:p>
            <w:pPr>
              <w:pStyle w:val="TableParagraph"/>
              <w:spacing w:before="63"/>
              <w:ind w:right="71"/>
              <w:jc w:val="right"/>
              <w:rPr>
                <w:sz w:val="18"/>
              </w:rPr>
            </w:pPr>
            <w:r>
              <w:rPr>
                <w:spacing w:val="-2"/>
                <w:sz w:val="18"/>
              </w:rPr>
              <w:t>4,750</w:t>
            </w:r>
          </w:p>
        </w:tc>
      </w:tr>
      <w:tr>
        <w:trPr>
          <w:trHeight w:val="300" w:hRule="atLeast"/>
        </w:trPr>
        <w:tc>
          <w:tcPr>
            <w:tcW w:w="6119" w:type="dxa"/>
            <w:shd w:val="clear" w:color="auto" w:fill="CCEDFF"/>
          </w:tcPr>
          <w:p>
            <w:pPr>
              <w:pStyle w:val="TableParagraph"/>
              <w:spacing w:before="63"/>
              <w:ind w:left="277"/>
              <w:rPr>
                <w:sz w:val="18"/>
              </w:rPr>
            </w:pPr>
            <w:r>
              <w:rPr>
                <w:sz w:val="18"/>
              </w:rPr>
              <w:t>Securities</w:t>
            </w:r>
            <w:r>
              <w:rPr>
                <w:spacing w:val="-2"/>
                <w:sz w:val="18"/>
              </w:rPr>
              <w:t> </w:t>
            </w:r>
            <w:r>
              <w:rPr>
                <w:sz w:val="18"/>
              </w:rPr>
              <w:t>lending to other broker-</w:t>
            </w:r>
            <w:r>
              <w:rPr>
                <w:spacing w:val="-2"/>
                <w:sz w:val="18"/>
              </w:rPr>
              <w:t>dealers</w:t>
            </w:r>
          </w:p>
        </w:tc>
        <w:tc>
          <w:tcPr>
            <w:tcW w:w="2442" w:type="dxa"/>
            <w:shd w:val="clear" w:color="auto" w:fill="CCEDFF"/>
          </w:tcPr>
          <w:p>
            <w:pPr>
              <w:pStyle w:val="TableParagraph"/>
              <w:spacing w:before="63"/>
              <w:ind w:right="98"/>
              <w:jc w:val="right"/>
              <w:rPr>
                <w:sz w:val="18"/>
              </w:rPr>
            </w:pPr>
            <w:r>
              <w:rPr>
                <w:spacing w:val="-2"/>
                <w:sz w:val="18"/>
              </w:rPr>
              <w:t>5,190</w:t>
            </w:r>
          </w:p>
        </w:tc>
        <w:tc>
          <w:tcPr>
            <w:tcW w:w="1653" w:type="dxa"/>
            <w:shd w:val="clear" w:color="auto" w:fill="CCEDFF"/>
          </w:tcPr>
          <w:p>
            <w:pPr>
              <w:pStyle w:val="TableParagraph"/>
              <w:spacing w:before="63"/>
              <w:ind w:right="71"/>
              <w:jc w:val="right"/>
              <w:rPr>
                <w:sz w:val="18"/>
              </w:rPr>
            </w:pPr>
            <w:r>
              <w:rPr>
                <w:spacing w:val="-2"/>
                <w:sz w:val="18"/>
              </w:rPr>
              <w:t>3,472</w:t>
            </w:r>
          </w:p>
        </w:tc>
      </w:tr>
      <w:tr>
        <w:trPr>
          <w:trHeight w:val="295" w:hRule="atLeast"/>
        </w:trPr>
        <w:tc>
          <w:tcPr>
            <w:tcW w:w="6119" w:type="dxa"/>
            <w:tcBorders>
              <w:bottom w:val="single" w:sz="4" w:space="0" w:color="000000"/>
            </w:tcBorders>
          </w:tcPr>
          <w:p>
            <w:pPr>
              <w:pStyle w:val="TableParagraph"/>
              <w:spacing w:before="63"/>
              <w:ind w:left="292"/>
              <w:rPr>
                <w:sz w:val="18"/>
              </w:rPr>
            </w:pPr>
            <w:r>
              <w:rPr>
                <w:sz w:val="18"/>
              </w:rPr>
              <w:t>Collateral</w:t>
            </w:r>
            <w:r>
              <w:rPr>
                <w:spacing w:val="-1"/>
                <w:sz w:val="18"/>
              </w:rPr>
              <w:t> </w:t>
            </w:r>
            <w:r>
              <w:rPr>
                <w:sz w:val="18"/>
              </w:rPr>
              <w:t>for secured</w:t>
            </w:r>
            <w:r>
              <w:rPr>
                <w:spacing w:val="-1"/>
                <w:sz w:val="18"/>
              </w:rPr>
              <w:t> </w:t>
            </w:r>
            <w:r>
              <w:rPr>
                <w:sz w:val="18"/>
              </w:rPr>
              <w:t>short-term </w:t>
            </w:r>
            <w:r>
              <w:rPr>
                <w:spacing w:val="-2"/>
                <w:sz w:val="18"/>
              </w:rPr>
              <w:t>borrowings</w:t>
            </w:r>
          </w:p>
        </w:tc>
        <w:tc>
          <w:tcPr>
            <w:tcW w:w="2442" w:type="dxa"/>
            <w:tcBorders>
              <w:bottom w:val="single" w:sz="4" w:space="0" w:color="000000"/>
            </w:tcBorders>
          </w:tcPr>
          <w:p>
            <w:pPr>
              <w:pStyle w:val="TableParagraph"/>
              <w:spacing w:before="63"/>
              <w:ind w:right="98"/>
              <w:jc w:val="right"/>
              <w:rPr>
                <w:sz w:val="18"/>
              </w:rPr>
            </w:pPr>
            <w:r>
              <w:rPr>
                <w:spacing w:val="-2"/>
                <w:sz w:val="18"/>
              </w:rPr>
              <w:t>1,066</w:t>
            </w:r>
          </w:p>
        </w:tc>
        <w:tc>
          <w:tcPr>
            <w:tcW w:w="1653" w:type="dxa"/>
            <w:tcBorders>
              <w:bottom w:val="single" w:sz="4" w:space="0" w:color="000000"/>
            </w:tcBorders>
          </w:tcPr>
          <w:p>
            <w:pPr>
              <w:pStyle w:val="TableParagraph"/>
              <w:spacing w:before="63"/>
              <w:ind w:right="71"/>
              <w:jc w:val="right"/>
              <w:rPr>
                <w:sz w:val="18"/>
              </w:rPr>
            </w:pPr>
            <w:r>
              <w:rPr>
                <w:spacing w:val="-10"/>
                <w:sz w:val="18"/>
              </w:rPr>
              <w:t>—</w:t>
            </w:r>
          </w:p>
        </w:tc>
      </w:tr>
      <w:tr>
        <w:trPr>
          <w:trHeight w:val="265" w:hRule="atLeast"/>
        </w:trPr>
        <w:tc>
          <w:tcPr>
            <w:tcW w:w="6119" w:type="dxa"/>
            <w:tcBorders>
              <w:top w:val="single" w:sz="4" w:space="0" w:color="000000"/>
              <w:bottom w:val="double" w:sz="8" w:space="0" w:color="000000"/>
            </w:tcBorders>
            <w:shd w:val="clear" w:color="auto" w:fill="CCEDFF"/>
          </w:tcPr>
          <w:p>
            <w:pPr>
              <w:pStyle w:val="TableParagraph"/>
              <w:spacing w:line="187" w:lineRule="exact" w:before="58"/>
              <w:ind w:left="187"/>
              <w:rPr>
                <w:sz w:val="18"/>
              </w:rPr>
            </w:pPr>
            <w:r>
              <w:rPr>
                <w:sz w:val="18"/>
              </w:rPr>
              <w:t>Total collateral pledged to third </w:t>
            </w:r>
            <w:r>
              <w:rPr>
                <w:spacing w:val="-2"/>
                <w:sz w:val="18"/>
              </w:rPr>
              <w:t>parties</w:t>
            </w:r>
          </w:p>
        </w:tc>
        <w:tc>
          <w:tcPr>
            <w:tcW w:w="2442" w:type="dxa"/>
            <w:tcBorders>
              <w:top w:val="single" w:sz="4" w:space="0" w:color="000000"/>
              <w:bottom w:val="double" w:sz="8" w:space="0" w:color="000000"/>
            </w:tcBorders>
            <w:shd w:val="clear" w:color="auto" w:fill="CCEDFF"/>
          </w:tcPr>
          <w:p>
            <w:pPr>
              <w:pStyle w:val="TableParagraph"/>
              <w:tabs>
                <w:tab w:pos="1012" w:val="left" w:leader="none"/>
              </w:tabs>
              <w:spacing w:line="187" w:lineRule="exact" w:before="58"/>
              <w:ind w:right="98"/>
              <w:jc w:val="right"/>
              <w:rPr>
                <w:sz w:val="18"/>
              </w:rPr>
            </w:pPr>
            <w:r>
              <w:rPr>
                <w:spacing w:val="-10"/>
                <w:sz w:val="18"/>
              </w:rPr>
              <w:t>$</w:t>
            </w:r>
            <w:r>
              <w:rPr>
                <w:sz w:val="18"/>
              </w:rPr>
              <w:tab/>
            </w:r>
            <w:r>
              <w:rPr>
                <w:spacing w:val="-2"/>
                <w:sz w:val="18"/>
              </w:rPr>
              <w:t>26,705</w:t>
            </w:r>
          </w:p>
        </w:tc>
        <w:tc>
          <w:tcPr>
            <w:tcW w:w="1653" w:type="dxa"/>
            <w:tcBorders>
              <w:top w:val="single" w:sz="4" w:space="0" w:color="000000"/>
              <w:bottom w:val="double" w:sz="8" w:space="0" w:color="000000"/>
            </w:tcBorders>
            <w:shd w:val="clear" w:color="auto" w:fill="CCEDFF"/>
          </w:tcPr>
          <w:p>
            <w:pPr>
              <w:pStyle w:val="TableParagraph"/>
              <w:tabs>
                <w:tab w:pos="982" w:val="left" w:leader="none"/>
              </w:tabs>
              <w:spacing w:line="187" w:lineRule="exact" w:before="58"/>
              <w:ind w:right="71"/>
              <w:jc w:val="right"/>
              <w:rPr>
                <w:sz w:val="18"/>
              </w:rPr>
            </w:pPr>
            <w:r>
              <w:rPr>
                <w:spacing w:val="-10"/>
                <w:sz w:val="18"/>
              </w:rPr>
              <w:t>$</w:t>
            </w:r>
            <w:r>
              <w:rPr>
                <w:sz w:val="18"/>
              </w:rPr>
              <w:tab/>
            </w:r>
            <w:r>
              <w:rPr>
                <w:spacing w:val="-2"/>
                <w:sz w:val="18"/>
              </w:rPr>
              <w:t>19,939</w:t>
            </w:r>
          </w:p>
        </w:tc>
      </w:tr>
    </w:tbl>
    <w:p>
      <w:pPr>
        <w:spacing w:line="249" w:lineRule="auto" w:before="26"/>
        <w:ind w:left="920" w:right="500" w:hanging="450"/>
        <w:jc w:val="left"/>
        <w:rPr>
          <w:sz w:val="16"/>
        </w:rPr>
      </w:pPr>
      <w:r>
        <w:rPr>
          <w:sz w:val="16"/>
        </w:rPr>
        <w:t>Note:</w:t>
      </w:r>
      <w:r>
        <w:rPr>
          <w:spacing w:val="-2"/>
          <w:sz w:val="16"/>
        </w:rPr>
        <w:t> </w:t>
      </w:r>
      <w:r>
        <w:rPr>
          <w:sz w:val="16"/>
        </w:rPr>
        <w:t>Excludes</w:t>
      </w:r>
      <w:r>
        <w:rPr>
          <w:spacing w:val="-3"/>
          <w:sz w:val="16"/>
        </w:rPr>
        <w:t> </w:t>
      </w:r>
      <w:r>
        <w:rPr>
          <w:sz w:val="16"/>
        </w:rPr>
        <w:t>amounts</w:t>
      </w:r>
      <w:r>
        <w:rPr>
          <w:spacing w:val="-3"/>
          <w:sz w:val="16"/>
        </w:rPr>
        <w:t> </w:t>
      </w:r>
      <w:r>
        <w:rPr>
          <w:sz w:val="16"/>
        </w:rPr>
        <w:t>available</w:t>
      </w:r>
      <w:r>
        <w:rPr>
          <w:spacing w:val="-2"/>
          <w:sz w:val="16"/>
        </w:rPr>
        <w:t> </w:t>
      </w:r>
      <w:r>
        <w:rPr>
          <w:sz w:val="16"/>
        </w:rPr>
        <w:t>and</w:t>
      </w:r>
      <w:r>
        <w:rPr>
          <w:spacing w:val="-2"/>
          <w:sz w:val="16"/>
        </w:rPr>
        <w:t> </w:t>
      </w:r>
      <w:r>
        <w:rPr>
          <w:sz w:val="16"/>
        </w:rPr>
        <w:t>pledged</w:t>
      </w:r>
      <w:r>
        <w:rPr>
          <w:spacing w:val="-2"/>
          <w:sz w:val="16"/>
        </w:rPr>
        <w:t> </w:t>
      </w:r>
      <w:r>
        <w:rPr>
          <w:sz w:val="16"/>
        </w:rPr>
        <w:t>for</w:t>
      </w:r>
      <w:r>
        <w:rPr>
          <w:spacing w:val="-2"/>
          <w:sz w:val="16"/>
        </w:rPr>
        <w:t> </w:t>
      </w:r>
      <w:r>
        <w:rPr>
          <w:sz w:val="16"/>
        </w:rPr>
        <w:t>securities</w:t>
      </w:r>
      <w:r>
        <w:rPr>
          <w:spacing w:val="-3"/>
          <w:sz w:val="16"/>
        </w:rPr>
        <w:t> </w:t>
      </w:r>
      <w:r>
        <w:rPr>
          <w:sz w:val="16"/>
        </w:rPr>
        <w:t>lending</w:t>
      </w:r>
      <w:r>
        <w:rPr>
          <w:spacing w:val="-2"/>
          <w:sz w:val="16"/>
        </w:rPr>
        <w:t> </w:t>
      </w:r>
      <w:r>
        <w:rPr>
          <w:sz w:val="16"/>
        </w:rPr>
        <w:t>from</w:t>
      </w:r>
      <w:r>
        <w:rPr>
          <w:spacing w:val="-2"/>
          <w:sz w:val="16"/>
        </w:rPr>
        <w:t> </w:t>
      </w:r>
      <w:r>
        <w:rPr>
          <w:sz w:val="16"/>
        </w:rPr>
        <w:t>fully-paid</w:t>
      </w:r>
      <w:r>
        <w:rPr>
          <w:spacing w:val="-2"/>
          <w:sz w:val="16"/>
        </w:rPr>
        <w:t> </w:t>
      </w:r>
      <w:r>
        <w:rPr>
          <w:sz w:val="16"/>
        </w:rPr>
        <w:t>client</w:t>
      </w:r>
      <w:r>
        <w:rPr>
          <w:spacing w:val="-2"/>
          <w:sz w:val="16"/>
        </w:rPr>
        <w:t> </w:t>
      </w:r>
      <w:r>
        <w:rPr>
          <w:sz w:val="16"/>
        </w:rPr>
        <w:t>securities.</w:t>
      </w:r>
      <w:r>
        <w:rPr>
          <w:spacing w:val="-2"/>
          <w:sz w:val="16"/>
        </w:rPr>
        <w:t> </w:t>
      </w:r>
      <w:r>
        <w:rPr>
          <w:sz w:val="16"/>
        </w:rPr>
        <w:t>The</w:t>
      </w:r>
      <w:r>
        <w:rPr>
          <w:spacing w:val="-2"/>
          <w:sz w:val="16"/>
        </w:rPr>
        <w:t> </w:t>
      </w:r>
      <w:r>
        <w:rPr>
          <w:sz w:val="16"/>
        </w:rPr>
        <w:t>fair</w:t>
      </w:r>
      <w:r>
        <w:rPr>
          <w:spacing w:val="-2"/>
          <w:sz w:val="16"/>
        </w:rPr>
        <w:t> </w:t>
      </w:r>
      <w:r>
        <w:rPr>
          <w:sz w:val="16"/>
        </w:rPr>
        <w:t>value</w:t>
      </w:r>
      <w:r>
        <w:rPr>
          <w:spacing w:val="-2"/>
          <w:sz w:val="16"/>
        </w:rPr>
        <w:t> </w:t>
      </w:r>
      <w:r>
        <w:rPr>
          <w:sz w:val="16"/>
        </w:rPr>
        <w:t>of</w:t>
      </w:r>
      <w:r>
        <w:rPr>
          <w:spacing w:val="-2"/>
          <w:sz w:val="16"/>
        </w:rPr>
        <w:t> </w:t>
      </w:r>
      <w:r>
        <w:rPr>
          <w:sz w:val="16"/>
        </w:rPr>
        <w:t>fully-paid</w:t>
      </w:r>
      <w:r>
        <w:rPr>
          <w:spacing w:val="-2"/>
          <w:sz w:val="16"/>
        </w:rPr>
        <w:t> </w:t>
      </w:r>
      <w:r>
        <w:rPr>
          <w:sz w:val="16"/>
        </w:rPr>
        <w:t>client</w:t>
      </w:r>
      <w:r>
        <w:rPr>
          <w:spacing w:val="-2"/>
          <w:sz w:val="16"/>
        </w:rPr>
        <w:t> </w:t>
      </w:r>
      <w:r>
        <w:rPr>
          <w:sz w:val="16"/>
        </w:rPr>
        <w:t>securities</w:t>
      </w:r>
      <w:r>
        <w:rPr>
          <w:spacing w:val="-3"/>
          <w:sz w:val="16"/>
        </w:rPr>
        <w:t> </w:t>
      </w:r>
      <w:r>
        <w:rPr>
          <w:sz w:val="16"/>
        </w:rPr>
        <w:t>available</w:t>
      </w:r>
      <w:r>
        <w:rPr>
          <w:spacing w:val="-2"/>
          <w:sz w:val="16"/>
        </w:rPr>
        <w:t> </w:t>
      </w:r>
      <w:r>
        <w:rPr>
          <w:sz w:val="16"/>
        </w:rPr>
        <w:t>and</w:t>
      </w:r>
      <w:r>
        <w:rPr>
          <w:spacing w:val="40"/>
          <w:sz w:val="16"/>
        </w:rPr>
        <w:t> </w:t>
      </w:r>
      <w:r>
        <w:rPr>
          <w:sz w:val="16"/>
        </w:rPr>
        <w:t>pledged was $140 million and $160 million at September 30, 2023 and December 31, 2022, respectively.</w:t>
      </w:r>
    </w:p>
    <w:p>
      <w:pPr>
        <w:tabs>
          <w:tab w:pos="829" w:val="left" w:leader="none"/>
        </w:tabs>
        <w:spacing w:before="1"/>
        <w:ind w:left="470" w:right="0" w:firstLine="0"/>
        <w:jc w:val="left"/>
        <w:rPr>
          <w:sz w:val="16"/>
        </w:rPr>
      </w:pPr>
      <w:r>
        <w:rPr>
          <w:spacing w:val="-5"/>
          <w:sz w:val="16"/>
          <w:vertAlign w:val="superscript"/>
        </w:rPr>
        <w:t>(1)</w:t>
      </w:r>
      <w:r>
        <w:rPr>
          <w:sz w:val="16"/>
          <w:vertAlign w:val="baseline"/>
        </w:rPr>
        <w:tab/>
        <w:t>Securities</w:t>
      </w:r>
      <w:r>
        <w:rPr>
          <w:spacing w:val="-4"/>
          <w:sz w:val="16"/>
          <w:vertAlign w:val="baseline"/>
        </w:rPr>
        <w:t> </w:t>
      </w:r>
      <w:r>
        <w:rPr>
          <w:sz w:val="16"/>
          <w:vertAlign w:val="baseline"/>
        </w:rPr>
        <w:t>pledged to fulfill</w:t>
      </w:r>
      <w:r>
        <w:rPr>
          <w:spacing w:val="-1"/>
          <w:sz w:val="16"/>
          <w:vertAlign w:val="baseline"/>
        </w:rPr>
        <w:t> </w:t>
      </w:r>
      <w:r>
        <w:rPr>
          <w:sz w:val="16"/>
          <w:vertAlign w:val="baseline"/>
        </w:rPr>
        <w:t>client margin requirements</w:t>
      </w:r>
      <w:r>
        <w:rPr>
          <w:spacing w:val="-2"/>
          <w:sz w:val="16"/>
          <w:vertAlign w:val="baseline"/>
        </w:rPr>
        <w:t> </w:t>
      </w:r>
      <w:r>
        <w:rPr>
          <w:sz w:val="16"/>
          <w:vertAlign w:val="baseline"/>
        </w:rPr>
        <w:t>for open option</w:t>
      </w:r>
      <w:r>
        <w:rPr>
          <w:spacing w:val="-1"/>
          <w:sz w:val="16"/>
          <w:vertAlign w:val="baseline"/>
        </w:rPr>
        <w:t> </w:t>
      </w:r>
      <w:r>
        <w:rPr>
          <w:sz w:val="16"/>
          <w:vertAlign w:val="baseline"/>
        </w:rPr>
        <w:t>contracts</w:t>
      </w:r>
      <w:r>
        <w:rPr>
          <w:spacing w:val="-1"/>
          <w:sz w:val="16"/>
          <w:vertAlign w:val="baseline"/>
        </w:rPr>
        <w:t> </w:t>
      </w:r>
      <w:r>
        <w:rPr>
          <w:sz w:val="16"/>
          <w:vertAlign w:val="baseline"/>
        </w:rPr>
        <w:t>established with</w:t>
      </w:r>
      <w:r>
        <w:rPr>
          <w:spacing w:val="-1"/>
          <w:sz w:val="16"/>
          <w:vertAlign w:val="baseline"/>
        </w:rPr>
        <w:t> </w:t>
      </w:r>
      <w:r>
        <w:rPr>
          <w:sz w:val="16"/>
          <w:vertAlign w:val="baseline"/>
        </w:rPr>
        <w:t>the Options</w:t>
      </w:r>
      <w:r>
        <w:rPr>
          <w:spacing w:val="-1"/>
          <w:sz w:val="16"/>
          <w:vertAlign w:val="baseline"/>
        </w:rPr>
        <w:t> </w:t>
      </w:r>
      <w:r>
        <w:rPr>
          <w:sz w:val="16"/>
          <w:vertAlign w:val="baseline"/>
        </w:rPr>
        <w:t>Clearing </w:t>
      </w:r>
      <w:r>
        <w:rPr>
          <w:spacing w:val="-2"/>
          <w:sz w:val="16"/>
          <w:vertAlign w:val="baseline"/>
        </w:rPr>
        <w:t>Corporation.</w:t>
      </w:r>
    </w:p>
    <w:p>
      <w:pPr>
        <w:pStyle w:val="BodyText"/>
        <w:rPr>
          <w:sz w:val="16"/>
        </w:rPr>
      </w:pPr>
    </w:p>
    <w:p>
      <w:pPr>
        <w:pStyle w:val="BodyText"/>
        <w:spacing w:before="12"/>
        <w:rPr>
          <w:sz w:val="16"/>
        </w:rPr>
      </w:pPr>
    </w:p>
    <w:p>
      <w:pPr>
        <w:pStyle w:val="Heading2"/>
        <w:numPr>
          <w:ilvl w:val="0"/>
          <w:numId w:val="4"/>
        </w:numPr>
        <w:tabs>
          <w:tab w:pos="1189" w:val="left" w:leader="none"/>
        </w:tabs>
        <w:spacing w:line="240" w:lineRule="auto" w:before="0" w:after="0"/>
        <w:ind w:left="1189" w:right="0" w:hanging="719"/>
        <w:jc w:val="left"/>
      </w:pPr>
      <w:bookmarkStart w:name="Note 13 Fair Values of Assets and Liabil" w:id="52"/>
      <w:bookmarkEnd w:id="52"/>
      <w:r>
        <w:rPr>
          <w:b w:val="0"/>
        </w:rPr>
      </w:r>
      <w:r>
        <w:rPr/>
        <w:t>Fair</w:t>
      </w:r>
      <w:r>
        <w:rPr>
          <w:spacing w:val="-4"/>
        </w:rPr>
        <w:t> </w:t>
      </w:r>
      <w:r>
        <w:rPr/>
        <w:t>Values</w:t>
      </w:r>
      <w:r>
        <w:rPr>
          <w:spacing w:val="-3"/>
        </w:rPr>
        <w:t> </w:t>
      </w:r>
      <w:r>
        <w:rPr/>
        <w:t>of</w:t>
      </w:r>
      <w:r>
        <w:rPr>
          <w:spacing w:val="-2"/>
        </w:rPr>
        <w:t> </w:t>
      </w:r>
      <w:r>
        <w:rPr/>
        <w:t>Assets</w:t>
      </w:r>
      <w:r>
        <w:rPr>
          <w:spacing w:val="-3"/>
        </w:rPr>
        <w:t> </w:t>
      </w:r>
      <w:r>
        <w:rPr/>
        <w:t>and</w:t>
      </w:r>
      <w:r>
        <w:rPr>
          <w:spacing w:val="-3"/>
        </w:rPr>
        <w:t> </w:t>
      </w:r>
      <w:r>
        <w:rPr>
          <w:spacing w:val="-2"/>
        </w:rPr>
        <w:t>Liabilities</w:t>
      </w:r>
    </w:p>
    <w:p>
      <w:pPr>
        <w:pStyle w:val="BodyText"/>
        <w:spacing w:before="20"/>
        <w:rPr>
          <w:b/>
        </w:rPr>
      </w:pPr>
    </w:p>
    <w:p>
      <w:pPr>
        <w:pStyle w:val="Heading3"/>
        <w:rPr>
          <w:i/>
        </w:rPr>
      </w:pPr>
      <w:r>
        <w:rPr>
          <w:i/>
        </w:rPr>
        <w:t>Assets</w:t>
      </w:r>
      <w:r>
        <w:rPr>
          <w:i/>
          <w:spacing w:val="-7"/>
        </w:rPr>
        <w:t> </w:t>
      </w:r>
      <w:r>
        <w:rPr>
          <w:i/>
        </w:rPr>
        <w:t>and</w:t>
      </w:r>
      <w:r>
        <w:rPr>
          <w:i/>
          <w:spacing w:val="-3"/>
        </w:rPr>
        <w:t> </w:t>
      </w:r>
      <w:r>
        <w:rPr>
          <w:i/>
        </w:rPr>
        <w:t>liabilities</w:t>
      </w:r>
      <w:r>
        <w:rPr>
          <w:i/>
          <w:spacing w:val="-4"/>
        </w:rPr>
        <w:t> </w:t>
      </w:r>
      <w:r>
        <w:rPr>
          <w:i/>
        </w:rPr>
        <w:t>measured</w:t>
      </w:r>
      <w:r>
        <w:rPr>
          <w:i/>
          <w:spacing w:val="-3"/>
        </w:rPr>
        <w:t> </w:t>
      </w:r>
      <w:r>
        <w:rPr>
          <w:i/>
        </w:rPr>
        <w:t>at</w:t>
      </w:r>
      <w:r>
        <w:rPr>
          <w:i/>
          <w:spacing w:val="-4"/>
        </w:rPr>
        <w:t> </w:t>
      </w:r>
      <w:r>
        <w:rPr>
          <w:i/>
        </w:rPr>
        <w:t>fair</w:t>
      </w:r>
      <w:r>
        <w:rPr>
          <w:i/>
          <w:spacing w:val="-5"/>
        </w:rPr>
        <w:t> </w:t>
      </w:r>
      <w:r>
        <w:rPr>
          <w:i/>
        </w:rPr>
        <w:t>value</w:t>
      </w:r>
      <w:r>
        <w:rPr>
          <w:i/>
          <w:spacing w:val="-4"/>
        </w:rPr>
        <w:t> </w:t>
      </w:r>
      <w:r>
        <w:rPr>
          <w:i/>
        </w:rPr>
        <w:t>on</w:t>
      </w:r>
      <w:r>
        <w:rPr>
          <w:i/>
          <w:spacing w:val="-4"/>
        </w:rPr>
        <w:t> </w:t>
      </w:r>
      <w:r>
        <w:rPr>
          <w:i/>
        </w:rPr>
        <w:t>a</w:t>
      </w:r>
      <w:r>
        <w:rPr>
          <w:i/>
          <w:spacing w:val="-3"/>
        </w:rPr>
        <w:t> </w:t>
      </w:r>
      <w:r>
        <w:rPr>
          <w:i/>
        </w:rPr>
        <w:t>recurring</w:t>
      </w:r>
      <w:r>
        <w:rPr>
          <w:i/>
          <w:spacing w:val="-3"/>
        </w:rPr>
        <w:t> </w:t>
      </w:r>
      <w:r>
        <w:rPr>
          <w:i/>
          <w:spacing w:val="-2"/>
        </w:rPr>
        <w:t>basis</w:t>
      </w:r>
    </w:p>
    <w:p>
      <w:pPr>
        <w:pStyle w:val="BodyText"/>
        <w:spacing w:before="23"/>
        <w:rPr>
          <w:b/>
          <w:i/>
        </w:rPr>
      </w:pPr>
    </w:p>
    <w:p>
      <w:pPr>
        <w:pStyle w:val="BodyText"/>
        <w:spacing w:line="249" w:lineRule="auto"/>
        <w:ind w:left="470" w:right="500"/>
      </w:pPr>
      <w:r>
        <w:rPr/>
        <w:t>Schwab’s assets and liabilities measured at fair value on a recurring basis include: certain cash equivalents, certain investments segregated and on deposit for regulatory purposes, AFS securities, certain other assets, interest rate swaps and certain accrued expenses</w:t>
      </w:r>
      <w:r>
        <w:rPr>
          <w:spacing w:val="-4"/>
        </w:rPr>
        <w:t> </w:t>
      </w:r>
      <w:r>
        <w:rPr/>
        <w:t>and</w:t>
      </w:r>
      <w:r>
        <w:rPr>
          <w:spacing w:val="-3"/>
        </w:rPr>
        <w:t> </w:t>
      </w:r>
      <w:r>
        <w:rPr/>
        <w:t>other</w:t>
      </w:r>
      <w:r>
        <w:rPr>
          <w:spacing w:val="-3"/>
        </w:rPr>
        <w:t> </w:t>
      </w:r>
      <w:r>
        <w:rPr/>
        <w:t>liabilities.</w:t>
      </w:r>
      <w:r>
        <w:rPr>
          <w:spacing w:val="-3"/>
        </w:rPr>
        <w:t> </w:t>
      </w:r>
      <w:r>
        <w:rPr/>
        <w:t>The</w:t>
      </w:r>
      <w:r>
        <w:rPr>
          <w:spacing w:val="-4"/>
        </w:rPr>
        <w:t> </w:t>
      </w:r>
      <w:r>
        <w:rPr/>
        <w:t>Company</w:t>
      </w:r>
      <w:r>
        <w:rPr>
          <w:spacing w:val="-3"/>
        </w:rPr>
        <w:t> </w:t>
      </w:r>
      <w:r>
        <w:rPr/>
        <w:t>uses</w:t>
      </w:r>
      <w:r>
        <w:rPr>
          <w:spacing w:val="-4"/>
        </w:rPr>
        <w:t> </w:t>
      </w:r>
      <w:r>
        <w:rPr/>
        <w:t>the</w:t>
      </w:r>
      <w:r>
        <w:rPr>
          <w:spacing w:val="-4"/>
        </w:rPr>
        <w:t> </w:t>
      </w:r>
      <w:r>
        <w:rPr/>
        <w:t>market</w:t>
      </w:r>
      <w:r>
        <w:rPr>
          <w:spacing w:val="-4"/>
        </w:rPr>
        <w:t> </w:t>
      </w:r>
      <w:r>
        <w:rPr/>
        <w:t>approach</w:t>
      </w:r>
      <w:r>
        <w:rPr>
          <w:spacing w:val="-3"/>
        </w:rPr>
        <w:t> </w:t>
      </w:r>
      <w:r>
        <w:rPr/>
        <w:t>to</w:t>
      </w:r>
      <w:r>
        <w:rPr>
          <w:spacing w:val="-3"/>
        </w:rPr>
        <w:t> </w:t>
      </w:r>
      <w:r>
        <w:rPr/>
        <w:t>determine</w:t>
      </w:r>
      <w:r>
        <w:rPr>
          <w:spacing w:val="-4"/>
        </w:rPr>
        <w:t> </w:t>
      </w:r>
      <w:r>
        <w:rPr/>
        <w:t>the</w:t>
      </w:r>
      <w:r>
        <w:rPr>
          <w:spacing w:val="-4"/>
        </w:rPr>
        <w:t> </w:t>
      </w:r>
      <w:r>
        <w:rPr/>
        <w:t>fair</w:t>
      </w:r>
      <w:r>
        <w:rPr>
          <w:spacing w:val="-3"/>
        </w:rPr>
        <w:t> </w:t>
      </w:r>
      <w:r>
        <w:rPr/>
        <w:t>value</w:t>
      </w:r>
      <w:r>
        <w:rPr>
          <w:spacing w:val="-4"/>
        </w:rPr>
        <w:t> </w:t>
      </w:r>
      <w:r>
        <w:rPr/>
        <w:t>of</w:t>
      </w:r>
      <w:r>
        <w:rPr>
          <w:spacing w:val="-3"/>
        </w:rPr>
        <w:t> </w:t>
      </w:r>
      <w:r>
        <w:rPr/>
        <w:t>assets</w:t>
      </w:r>
      <w:r>
        <w:rPr>
          <w:spacing w:val="-4"/>
        </w:rPr>
        <w:t> </w:t>
      </w:r>
      <w:r>
        <w:rPr/>
        <w:t>and</w:t>
      </w:r>
      <w:r>
        <w:rPr>
          <w:spacing w:val="-3"/>
        </w:rPr>
        <w:t> </w:t>
      </w:r>
      <w:r>
        <w:rPr/>
        <w:t>liabilities.</w:t>
      </w:r>
      <w:r>
        <w:rPr>
          <w:spacing w:val="-3"/>
        </w:rPr>
        <w:t> </w:t>
      </w:r>
      <w:r>
        <w:rPr/>
        <w:t>When available,</w:t>
      </w:r>
      <w:r>
        <w:rPr>
          <w:spacing w:val="-2"/>
        </w:rPr>
        <w:t> </w:t>
      </w:r>
      <w:r>
        <w:rPr/>
        <w:t>the</w:t>
      </w:r>
      <w:r>
        <w:rPr>
          <w:spacing w:val="-3"/>
        </w:rPr>
        <w:t> </w:t>
      </w:r>
      <w:r>
        <w:rPr/>
        <w:t>Company</w:t>
      </w:r>
      <w:r>
        <w:rPr>
          <w:spacing w:val="-2"/>
        </w:rPr>
        <w:t> </w:t>
      </w:r>
      <w:r>
        <w:rPr/>
        <w:t>uses</w:t>
      </w:r>
      <w:r>
        <w:rPr>
          <w:spacing w:val="-3"/>
        </w:rPr>
        <w:t> </w:t>
      </w:r>
      <w:r>
        <w:rPr/>
        <w:t>quoted</w:t>
      </w:r>
      <w:r>
        <w:rPr>
          <w:spacing w:val="-2"/>
        </w:rPr>
        <w:t> </w:t>
      </w:r>
      <w:r>
        <w:rPr/>
        <w:t>prices</w:t>
      </w:r>
      <w:r>
        <w:rPr>
          <w:spacing w:val="-3"/>
        </w:rPr>
        <w:t> </w:t>
      </w:r>
      <w:r>
        <w:rPr/>
        <w:t>in</w:t>
      </w:r>
      <w:r>
        <w:rPr>
          <w:spacing w:val="-2"/>
        </w:rPr>
        <w:t> </w:t>
      </w:r>
      <w:r>
        <w:rPr/>
        <w:t>active</w:t>
      </w:r>
      <w:r>
        <w:rPr>
          <w:spacing w:val="-3"/>
        </w:rPr>
        <w:t> </w:t>
      </w:r>
      <w:r>
        <w:rPr/>
        <w:t>markets</w:t>
      </w:r>
      <w:r>
        <w:rPr>
          <w:spacing w:val="-3"/>
        </w:rPr>
        <w:t> </w:t>
      </w:r>
      <w:r>
        <w:rPr/>
        <w:t>to</w:t>
      </w:r>
      <w:r>
        <w:rPr>
          <w:spacing w:val="-2"/>
        </w:rPr>
        <w:t> </w:t>
      </w:r>
      <w:r>
        <w:rPr/>
        <w:t>measure</w:t>
      </w:r>
      <w:r>
        <w:rPr>
          <w:spacing w:val="-3"/>
        </w:rPr>
        <w:t> </w:t>
      </w:r>
      <w:r>
        <w:rPr/>
        <w:t>the</w:t>
      </w:r>
      <w:r>
        <w:rPr>
          <w:spacing w:val="-3"/>
        </w:rPr>
        <w:t> </w:t>
      </w:r>
      <w:r>
        <w:rPr/>
        <w:t>fair</w:t>
      </w:r>
      <w:r>
        <w:rPr>
          <w:spacing w:val="-2"/>
        </w:rPr>
        <w:t> </w:t>
      </w:r>
      <w:r>
        <w:rPr/>
        <w:t>value</w:t>
      </w:r>
      <w:r>
        <w:rPr>
          <w:spacing w:val="-3"/>
        </w:rPr>
        <w:t> </w:t>
      </w:r>
      <w:r>
        <w:rPr/>
        <w:t>of</w:t>
      </w:r>
      <w:r>
        <w:rPr>
          <w:spacing w:val="-2"/>
        </w:rPr>
        <w:t> </w:t>
      </w:r>
      <w:r>
        <w:rPr/>
        <w:t>assets</w:t>
      </w:r>
      <w:r>
        <w:rPr>
          <w:spacing w:val="-3"/>
        </w:rPr>
        <w:t> </w:t>
      </w:r>
      <w:r>
        <w:rPr/>
        <w:t>and</w:t>
      </w:r>
      <w:r>
        <w:rPr>
          <w:spacing w:val="-2"/>
        </w:rPr>
        <w:t> </w:t>
      </w:r>
      <w:r>
        <w:rPr/>
        <w:t>liabilities.</w:t>
      </w:r>
      <w:r>
        <w:rPr>
          <w:spacing w:val="-2"/>
        </w:rPr>
        <w:t> </w:t>
      </w:r>
      <w:r>
        <w:rPr/>
        <w:t>Quoted</w:t>
      </w:r>
      <w:r>
        <w:rPr>
          <w:spacing w:val="-2"/>
        </w:rPr>
        <w:t> </w:t>
      </w:r>
      <w:r>
        <w:rPr/>
        <w:t>prices</w:t>
      </w:r>
      <w:r>
        <w:rPr>
          <w:spacing w:val="-3"/>
        </w:rPr>
        <w:t> </w:t>
      </w:r>
      <w:r>
        <w:rPr/>
        <w:t>for investments in exchange-traded securities represent end-of-day close prices published by exchanges. Quoted prices for money market funds and other mutual funds represent reported net asset values. When utilizing market data and bid-ask spread, the Company uses the price within the bid-ask spread that best represents fair value. When quoted prices in active markets do not exist, the Company uses prices obtained from independent third-party pricing services to measure the fair value of investment assets, and we generally obtain prices from three independent third-party pricing sources for such assets recorded at fair value.</w:t>
      </w:r>
    </w:p>
    <w:p>
      <w:pPr>
        <w:pStyle w:val="BodyText"/>
        <w:spacing w:before="17"/>
      </w:pPr>
    </w:p>
    <w:p>
      <w:pPr>
        <w:pStyle w:val="BodyText"/>
        <w:spacing w:line="249" w:lineRule="auto"/>
        <w:ind w:left="470" w:right="500"/>
      </w:pPr>
      <w:r>
        <w:rPr/>
        <w:t>Our primary independent pricing service provides prices for our fixed income investments such as commercial paper; certificates of deposits; U.S. government and agency securities; state and municipal securities; corporate debt securities; asset- backed securities; foreign government agency securities; and non-agency commercial mortgage-backed securities. Such prices are</w:t>
      </w:r>
      <w:r>
        <w:rPr>
          <w:spacing w:val="-4"/>
        </w:rPr>
        <w:t> </w:t>
      </w:r>
      <w:r>
        <w:rPr/>
        <w:t>based</w:t>
      </w:r>
      <w:r>
        <w:rPr>
          <w:spacing w:val="-3"/>
        </w:rPr>
        <w:t> </w:t>
      </w:r>
      <w:r>
        <w:rPr/>
        <w:t>on</w:t>
      </w:r>
      <w:r>
        <w:rPr>
          <w:spacing w:val="-3"/>
        </w:rPr>
        <w:t> </w:t>
      </w:r>
      <w:r>
        <w:rPr/>
        <w:t>observable</w:t>
      </w:r>
      <w:r>
        <w:rPr>
          <w:spacing w:val="-4"/>
        </w:rPr>
        <w:t> </w:t>
      </w:r>
      <w:r>
        <w:rPr/>
        <w:t>trades,</w:t>
      </w:r>
      <w:r>
        <w:rPr>
          <w:spacing w:val="-3"/>
        </w:rPr>
        <w:t> </w:t>
      </w:r>
      <w:r>
        <w:rPr/>
        <w:t>broker/dealer</w:t>
      </w:r>
      <w:r>
        <w:rPr>
          <w:spacing w:val="-3"/>
        </w:rPr>
        <w:t> </w:t>
      </w:r>
      <w:r>
        <w:rPr/>
        <w:t>quotes,</w:t>
      </w:r>
      <w:r>
        <w:rPr>
          <w:spacing w:val="-3"/>
        </w:rPr>
        <w:t> </w:t>
      </w:r>
      <w:r>
        <w:rPr/>
        <w:t>and</w:t>
      </w:r>
      <w:r>
        <w:rPr>
          <w:spacing w:val="-3"/>
        </w:rPr>
        <w:t> </w:t>
      </w:r>
      <w:r>
        <w:rPr/>
        <w:t>discounted</w:t>
      </w:r>
      <w:r>
        <w:rPr>
          <w:spacing w:val="-3"/>
        </w:rPr>
        <w:t> </w:t>
      </w:r>
      <w:r>
        <w:rPr/>
        <w:t>cash</w:t>
      </w:r>
      <w:r>
        <w:rPr>
          <w:spacing w:val="-3"/>
        </w:rPr>
        <w:t> </w:t>
      </w:r>
      <w:r>
        <w:rPr/>
        <w:t>flows</w:t>
      </w:r>
      <w:r>
        <w:rPr>
          <w:spacing w:val="-4"/>
        </w:rPr>
        <w:t> </w:t>
      </w:r>
      <w:r>
        <w:rPr/>
        <w:t>that</w:t>
      </w:r>
      <w:r>
        <w:rPr>
          <w:spacing w:val="-4"/>
        </w:rPr>
        <w:t> </w:t>
      </w:r>
      <w:r>
        <w:rPr/>
        <w:t>incorporate</w:t>
      </w:r>
      <w:r>
        <w:rPr>
          <w:spacing w:val="-4"/>
        </w:rPr>
        <w:t> </w:t>
      </w:r>
      <w:r>
        <w:rPr/>
        <w:t>observable</w:t>
      </w:r>
      <w:r>
        <w:rPr>
          <w:spacing w:val="-4"/>
        </w:rPr>
        <w:t> </w:t>
      </w:r>
      <w:r>
        <w:rPr/>
        <w:t>information</w:t>
      </w:r>
      <w:r>
        <w:rPr>
          <w:spacing w:val="-3"/>
        </w:rPr>
        <w:t> </w:t>
      </w:r>
      <w:r>
        <w:rPr/>
        <w:t>such</w:t>
      </w:r>
      <w:r>
        <w:rPr>
          <w:spacing w:val="-3"/>
        </w:rPr>
        <w:t> </w:t>
      </w:r>
      <w:r>
        <w:rPr/>
        <w:t>as yields for similar types of securities (a benchmark interest rate plus observable spreads) and weighted-average maturity for the same or similar “to-be-issued” securities. We compare the prices obtained from the primary independent pricing service to the prices obtained from the additional independent pricing services to determine if the price obtained from the primary</w:t>
      </w:r>
      <w:r>
        <w:rPr/>
        <w:t> independent pricing service is reasonable. Schwab does not adjust the prices received from independent third-party pricing services unless such prices are inconsistent with the definition of fair value and result in material differences in the amounts </w:t>
      </w:r>
      <w:r>
        <w:rPr>
          <w:spacing w:val="-2"/>
        </w:rPr>
        <w:t>recorded.</w:t>
      </w:r>
    </w:p>
    <w:p>
      <w:pPr>
        <w:pStyle w:val="BodyText"/>
        <w:spacing w:before="18"/>
      </w:pPr>
    </w:p>
    <w:p>
      <w:pPr>
        <w:pStyle w:val="BodyText"/>
        <w:spacing w:line="249" w:lineRule="auto" w:before="1"/>
        <w:ind w:left="470" w:right="470"/>
      </w:pPr>
      <w:r>
        <w:rPr/>
        <w:t>Liabilities measured at fair value on a recurring basis include interest rate swaps and repurchase liabilities related to client-held fractional shares of equities, ETFs, and other securities, which are included in other assets on the condensed consolidated balance sheets. The Company has elected the fair value option pursuant to ASC 825 </w:t>
      </w:r>
      <w:r>
        <w:rPr>
          <w:i/>
        </w:rPr>
        <w:t>Financial Instruments </w:t>
      </w:r>
      <w:r>
        <w:rPr/>
        <w:t>for the repurchase liabilities</w:t>
      </w:r>
      <w:r>
        <w:rPr>
          <w:spacing w:val="-4"/>
        </w:rPr>
        <w:t> </w:t>
      </w:r>
      <w:r>
        <w:rPr/>
        <w:t>to</w:t>
      </w:r>
      <w:r>
        <w:rPr>
          <w:spacing w:val="-3"/>
        </w:rPr>
        <w:t> </w:t>
      </w:r>
      <w:r>
        <w:rPr/>
        <w:t>match</w:t>
      </w:r>
      <w:r>
        <w:rPr>
          <w:spacing w:val="-3"/>
        </w:rPr>
        <w:t> </w:t>
      </w:r>
      <w:r>
        <w:rPr/>
        <w:t>the</w:t>
      </w:r>
      <w:r>
        <w:rPr>
          <w:spacing w:val="-4"/>
        </w:rPr>
        <w:t> </w:t>
      </w:r>
      <w:r>
        <w:rPr/>
        <w:t>measurement</w:t>
      </w:r>
      <w:r>
        <w:rPr>
          <w:spacing w:val="-4"/>
        </w:rPr>
        <w:t> </w:t>
      </w:r>
      <w:r>
        <w:rPr/>
        <w:t>and</w:t>
      </w:r>
      <w:r>
        <w:rPr>
          <w:spacing w:val="-3"/>
        </w:rPr>
        <w:t> </w:t>
      </w:r>
      <w:r>
        <w:rPr/>
        <w:t>accounting</w:t>
      </w:r>
      <w:r>
        <w:rPr>
          <w:spacing w:val="-3"/>
        </w:rPr>
        <w:t> </w:t>
      </w:r>
      <w:r>
        <w:rPr/>
        <w:t>of</w:t>
      </w:r>
      <w:r>
        <w:rPr>
          <w:spacing w:val="-3"/>
        </w:rPr>
        <w:t> </w:t>
      </w:r>
      <w:r>
        <w:rPr/>
        <w:t>the</w:t>
      </w:r>
      <w:r>
        <w:rPr>
          <w:spacing w:val="-4"/>
        </w:rPr>
        <w:t> </w:t>
      </w:r>
      <w:r>
        <w:rPr/>
        <w:t>related</w:t>
      </w:r>
      <w:r>
        <w:rPr>
          <w:spacing w:val="-3"/>
        </w:rPr>
        <w:t> </w:t>
      </w:r>
      <w:r>
        <w:rPr/>
        <w:t>client-held</w:t>
      </w:r>
      <w:r>
        <w:rPr>
          <w:spacing w:val="-3"/>
        </w:rPr>
        <w:t> </w:t>
      </w:r>
      <w:r>
        <w:rPr/>
        <w:t>fractional</w:t>
      </w:r>
      <w:r>
        <w:rPr>
          <w:spacing w:val="-4"/>
        </w:rPr>
        <w:t> </w:t>
      </w:r>
      <w:r>
        <w:rPr/>
        <w:t>shares.</w:t>
      </w:r>
      <w:r>
        <w:rPr>
          <w:spacing w:val="-3"/>
        </w:rPr>
        <w:t> </w:t>
      </w:r>
      <w:r>
        <w:rPr/>
        <w:t>The</w:t>
      </w:r>
      <w:r>
        <w:rPr>
          <w:spacing w:val="-4"/>
        </w:rPr>
        <w:t> </w:t>
      </w:r>
      <w:r>
        <w:rPr/>
        <w:t>fair</w:t>
      </w:r>
      <w:r>
        <w:rPr>
          <w:spacing w:val="-3"/>
        </w:rPr>
        <w:t> </w:t>
      </w:r>
      <w:r>
        <w:rPr/>
        <w:t>values</w:t>
      </w:r>
      <w:r>
        <w:rPr>
          <w:spacing w:val="-4"/>
        </w:rPr>
        <w:t> </w:t>
      </w:r>
      <w:r>
        <w:rPr/>
        <w:t>of</w:t>
      </w:r>
      <w:r>
        <w:rPr>
          <w:spacing w:val="-3"/>
        </w:rPr>
        <w:t> </w:t>
      </w:r>
      <w:r>
        <w:rPr/>
        <w:t>the</w:t>
      </w:r>
      <w:r>
        <w:rPr>
          <w:spacing w:val="-4"/>
        </w:rPr>
        <w:t> </w:t>
      </w:r>
      <w:r>
        <w:rPr/>
        <w:t>repurchase liabilities are based on quoted market prices or other observable market data consistent with the related client-held fractional shares. Unrealized gains and losses on client-held fractional shares offset the unrealized gains and losses on the corresponding repurchase liabilities, resulting in no impact to the condensed consolidated statements of income. The Company’s liabilities to repurchase client-held fractional shares do not have credit risk, and, as a result, the Company has not recognized any gains or losses in the condensed consolidated statements of income or comprehensive income attributable to instrument-specific credit risk for these repurchase liabilities. The repurchase liabilities are included in accrued expenses and other liabilities on the condensed consolidated balance sheets.</w:t>
      </w:r>
    </w:p>
    <w:p>
      <w:pPr>
        <w:pStyle w:val="BodyText"/>
        <w:spacing w:before="18"/>
      </w:pPr>
    </w:p>
    <w:p>
      <w:pPr>
        <w:pStyle w:val="BodyText"/>
        <w:spacing w:line="249" w:lineRule="auto" w:before="1"/>
        <w:ind w:left="470" w:right="500"/>
      </w:pPr>
      <w:r>
        <w:rPr/>
        <w:t>The fair values of interest rate swaps are based on market observable interest rate yield curves. Fair value measurements are priced considering the coupon rate of the fixed leg of the contract and the variable coupon rate on the floating leg of the contract.</w:t>
      </w:r>
      <w:r>
        <w:rPr>
          <w:spacing w:val="-2"/>
        </w:rPr>
        <w:t> </w:t>
      </w:r>
      <w:r>
        <w:rPr/>
        <w:t>Valuation</w:t>
      </w:r>
      <w:r>
        <w:rPr>
          <w:spacing w:val="-2"/>
        </w:rPr>
        <w:t> </w:t>
      </w:r>
      <w:r>
        <w:rPr/>
        <w:t>is</w:t>
      </w:r>
      <w:r>
        <w:rPr>
          <w:spacing w:val="-3"/>
        </w:rPr>
        <w:t> </w:t>
      </w:r>
      <w:r>
        <w:rPr/>
        <w:t>based</w:t>
      </w:r>
      <w:r>
        <w:rPr>
          <w:spacing w:val="-2"/>
        </w:rPr>
        <w:t> </w:t>
      </w:r>
      <w:r>
        <w:rPr/>
        <w:t>on</w:t>
      </w:r>
      <w:r>
        <w:rPr>
          <w:spacing w:val="-2"/>
        </w:rPr>
        <w:t> </w:t>
      </w:r>
      <w:r>
        <w:rPr/>
        <w:t>both</w:t>
      </w:r>
      <w:r>
        <w:rPr>
          <w:spacing w:val="-2"/>
        </w:rPr>
        <w:t> </w:t>
      </w:r>
      <w:r>
        <w:rPr/>
        <w:t>spot</w:t>
      </w:r>
      <w:r>
        <w:rPr>
          <w:spacing w:val="-3"/>
        </w:rPr>
        <w:t> </w:t>
      </w:r>
      <w:r>
        <w:rPr/>
        <w:t>and</w:t>
      </w:r>
      <w:r>
        <w:rPr>
          <w:spacing w:val="-2"/>
        </w:rPr>
        <w:t> </w:t>
      </w:r>
      <w:r>
        <w:rPr/>
        <w:t>forward</w:t>
      </w:r>
      <w:r>
        <w:rPr>
          <w:spacing w:val="-2"/>
        </w:rPr>
        <w:t> </w:t>
      </w:r>
      <w:r>
        <w:rPr/>
        <w:t>rates</w:t>
      </w:r>
      <w:r>
        <w:rPr>
          <w:spacing w:val="-3"/>
        </w:rPr>
        <w:t> </w:t>
      </w:r>
      <w:r>
        <w:rPr/>
        <w:t>on</w:t>
      </w:r>
      <w:r>
        <w:rPr>
          <w:spacing w:val="-2"/>
        </w:rPr>
        <w:t> </w:t>
      </w:r>
      <w:r>
        <w:rPr/>
        <w:t>the</w:t>
      </w:r>
      <w:r>
        <w:rPr>
          <w:spacing w:val="-3"/>
        </w:rPr>
        <w:t> </w:t>
      </w:r>
      <w:r>
        <w:rPr/>
        <w:t>swap</w:t>
      </w:r>
      <w:r>
        <w:rPr>
          <w:spacing w:val="-2"/>
        </w:rPr>
        <w:t> </w:t>
      </w:r>
      <w:r>
        <w:rPr/>
        <w:t>yield</w:t>
      </w:r>
      <w:r>
        <w:rPr>
          <w:spacing w:val="-2"/>
        </w:rPr>
        <w:t> </w:t>
      </w:r>
      <w:r>
        <w:rPr/>
        <w:t>curve.</w:t>
      </w:r>
      <w:r>
        <w:rPr>
          <w:spacing w:val="-2"/>
        </w:rPr>
        <w:t> </w:t>
      </w:r>
      <w:r>
        <w:rPr/>
        <w:t>The</w:t>
      </w:r>
      <w:r>
        <w:rPr>
          <w:spacing w:val="-3"/>
        </w:rPr>
        <w:t> </w:t>
      </w:r>
      <w:r>
        <w:rPr/>
        <w:t>Company</w:t>
      </w:r>
      <w:r>
        <w:rPr>
          <w:spacing w:val="-2"/>
        </w:rPr>
        <w:t> </w:t>
      </w:r>
      <w:r>
        <w:rPr/>
        <w:t>validates</w:t>
      </w:r>
      <w:r>
        <w:rPr>
          <w:spacing w:val="-3"/>
        </w:rPr>
        <w:t> </w:t>
      </w:r>
      <w:r>
        <w:rPr/>
        <w:t>its</w:t>
      </w:r>
      <w:r>
        <w:rPr>
          <w:spacing w:val="-3"/>
        </w:rPr>
        <w:t> </w:t>
      </w:r>
      <w:r>
        <w:rPr/>
        <w:t>valuations</w:t>
      </w:r>
      <w:r>
        <w:rPr>
          <w:spacing w:val="-3"/>
        </w:rPr>
        <w:t> </w:t>
      </w:r>
      <w:r>
        <w:rPr/>
        <w:t>with counterparty quotations from CCPs. See Note 11 for additional information on the Company’s interest rate swaps.</w:t>
      </w:r>
    </w:p>
    <w:p>
      <w:pPr>
        <w:spacing w:after="0" w:line="249" w:lineRule="auto"/>
        <w:sectPr>
          <w:pgSz w:w="12240" w:h="15840"/>
          <w:pgMar w:header="227" w:footer="201" w:top="1080" w:bottom="400" w:left="520" w:right="520"/>
        </w:sectPr>
      </w:pPr>
    </w:p>
    <w:p>
      <w:pPr>
        <w:pStyle w:val="BodyText"/>
        <w:spacing w:before="214"/>
        <w:ind w:left="470"/>
      </w:pPr>
      <w:r>
        <w:rPr/>
        <w:t>For</w:t>
      </w:r>
      <w:r>
        <w:rPr>
          <w:spacing w:val="-4"/>
        </w:rPr>
        <w:t> </w:t>
      </w:r>
      <w:r>
        <w:rPr/>
        <w:t>a</w:t>
      </w:r>
      <w:r>
        <w:rPr>
          <w:spacing w:val="-3"/>
        </w:rPr>
        <w:t> </w:t>
      </w:r>
      <w:r>
        <w:rPr/>
        <w:t>description</w:t>
      </w:r>
      <w:r>
        <w:rPr>
          <w:spacing w:val="-2"/>
        </w:rPr>
        <w:t> </w:t>
      </w:r>
      <w:r>
        <w:rPr/>
        <w:t>of</w:t>
      </w:r>
      <w:r>
        <w:rPr>
          <w:spacing w:val="-2"/>
        </w:rPr>
        <w:t> </w:t>
      </w:r>
      <w:r>
        <w:rPr/>
        <w:t>the</w:t>
      </w:r>
      <w:r>
        <w:rPr>
          <w:spacing w:val="-2"/>
        </w:rPr>
        <w:t> </w:t>
      </w:r>
      <w:r>
        <w:rPr/>
        <w:t>fair</w:t>
      </w:r>
      <w:r>
        <w:rPr>
          <w:spacing w:val="-2"/>
        </w:rPr>
        <w:t> </w:t>
      </w:r>
      <w:r>
        <w:rPr/>
        <w:t>value</w:t>
      </w:r>
      <w:r>
        <w:rPr>
          <w:spacing w:val="-3"/>
        </w:rPr>
        <w:t> </w:t>
      </w:r>
      <w:r>
        <w:rPr/>
        <w:t>hierarchy</w:t>
      </w:r>
      <w:r>
        <w:rPr>
          <w:spacing w:val="-2"/>
        </w:rPr>
        <w:t> </w:t>
      </w:r>
      <w:r>
        <w:rPr/>
        <w:t>and</w:t>
      </w:r>
      <w:r>
        <w:rPr>
          <w:spacing w:val="-2"/>
        </w:rPr>
        <w:t> </w:t>
      </w:r>
      <w:r>
        <w:rPr/>
        <w:t>Schwab’s</w:t>
      </w:r>
      <w:r>
        <w:rPr>
          <w:spacing w:val="-2"/>
        </w:rPr>
        <w:t> </w:t>
      </w:r>
      <w:r>
        <w:rPr/>
        <w:t>fair</w:t>
      </w:r>
      <w:r>
        <w:rPr>
          <w:spacing w:val="-2"/>
        </w:rPr>
        <w:t> </w:t>
      </w:r>
      <w:r>
        <w:rPr/>
        <w:t>value</w:t>
      </w:r>
      <w:r>
        <w:rPr>
          <w:spacing w:val="-3"/>
        </w:rPr>
        <w:t> </w:t>
      </w:r>
      <w:r>
        <w:rPr/>
        <w:t>methodologies,</w:t>
      </w:r>
      <w:r>
        <w:rPr>
          <w:spacing w:val="-2"/>
        </w:rPr>
        <w:t> </w:t>
      </w:r>
      <w:r>
        <w:rPr/>
        <w:t>see</w:t>
      </w:r>
      <w:r>
        <w:rPr>
          <w:spacing w:val="-2"/>
        </w:rPr>
        <w:t> </w:t>
      </w:r>
      <w:r>
        <w:rPr/>
        <w:t>Item</w:t>
      </w:r>
      <w:r>
        <w:rPr>
          <w:spacing w:val="-3"/>
        </w:rPr>
        <w:t> </w:t>
      </w:r>
      <w:r>
        <w:rPr/>
        <w:t>8</w:t>
      </w:r>
      <w:r>
        <w:rPr>
          <w:spacing w:val="-2"/>
        </w:rPr>
        <w:t> </w:t>
      </w:r>
      <w:r>
        <w:rPr/>
        <w:t>–</w:t>
      </w:r>
      <w:r>
        <w:rPr>
          <w:spacing w:val="-2"/>
        </w:rPr>
        <w:t> </w:t>
      </w:r>
      <w:r>
        <w:rPr/>
        <w:t>Note</w:t>
      </w:r>
      <w:r>
        <w:rPr>
          <w:spacing w:val="-3"/>
        </w:rPr>
        <w:t> </w:t>
      </w:r>
      <w:r>
        <w:rPr/>
        <w:t>2</w:t>
      </w:r>
      <w:r>
        <w:rPr>
          <w:spacing w:val="-1"/>
        </w:rPr>
        <w:t> </w:t>
      </w:r>
      <w:r>
        <w:rPr/>
        <w:t>in</w:t>
      </w:r>
      <w:r>
        <w:rPr>
          <w:spacing w:val="-2"/>
        </w:rPr>
        <w:t> </w:t>
      </w:r>
      <w:r>
        <w:rPr/>
        <w:t>the</w:t>
      </w:r>
      <w:r>
        <w:rPr>
          <w:spacing w:val="-3"/>
        </w:rPr>
        <w:t> </w:t>
      </w:r>
      <w:r>
        <w:rPr/>
        <w:t>2022</w:t>
      </w:r>
      <w:r>
        <w:rPr>
          <w:spacing w:val="-2"/>
        </w:rPr>
        <w:t> </w:t>
      </w:r>
      <w:r>
        <w:rPr/>
        <w:t>Form</w:t>
      </w:r>
      <w:r>
        <w:rPr>
          <w:spacing w:val="-2"/>
        </w:rPr>
        <w:t> </w:t>
      </w:r>
      <w:r>
        <w:rPr>
          <w:spacing w:val="-5"/>
        </w:rPr>
        <w:t>10-</w:t>
      </w:r>
    </w:p>
    <w:p>
      <w:pPr>
        <w:pStyle w:val="BodyText"/>
        <w:spacing w:line="249" w:lineRule="auto" w:before="10"/>
        <w:ind w:left="470" w:right="500"/>
      </w:pPr>
      <w:r>
        <w:rPr/>
        <w:t>K.</w:t>
      </w:r>
      <w:r>
        <w:rPr>
          <w:spacing w:val="-3"/>
        </w:rPr>
        <w:t> </w:t>
      </w:r>
      <w:r>
        <w:rPr/>
        <w:t>The</w:t>
      </w:r>
      <w:r>
        <w:rPr>
          <w:spacing w:val="-4"/>
        </w:rPr>
        <w:t> </w:t>
      </w:r>
      <w:r>
        <w:rPr/>
        <w:t>Company</w:t>
      </w:r>
      <w:r>
        <w:rPr>
          <w:spacing w:val="-3"/>
        </w:rPr>
        <w:t> </w:t>
      </w:r>
      <w:r>
        <w:rPr/>
        <w:t>did</w:t>
      </w:r>
      <w:r>
        <w:rPr>
          <w:spacing w:val="-3"/>
        </w:rPr>
        <w:t> </w:t>
      </w:r>
      <w:r>
        <w:rPr/>
        <w:t>not</w:t>
      </w:r>
      <w:r>
        <w:rPr>
          <w:spacing w:val="-4"/>
        </w:rPr>
        <w:t> </w:t>
      </w:r>
      <w:r>
        <w:rPr/>
        <w:t>adjust</w:t>
      </w:r>
      <w:r>
        <w:rPr>
          <w:spacing w:val="-4"/>
        </w:rPr>
        <w:t> </w:t>
      </w:r>
      <w:r>
        <w:rPr/>
        <w:t>prices</w:t>
      </w:r>
      <w:r>
        <w:rPr>
          <w:spacing w:val="-4"/>
        </w:rPr>
        <w:t> </w:t>
      </w:r>
      <w:r>
        <w:rPr/>
        <w:t>received</w:t>
      </w:r>
      <w:r>
        <w:rPr>
          <w:spacing w:val="-3"/>
        </w:rPr>
        <w:t> </w:t>
      </w:r>
      <w:r>
        <w:rPr/>
        <w:t>from</w:t>
      </w:r>
      <w:r>
        <w:rPr>
          <w:spacing w:val="-4"/>
        </w:rPr>
        <w:t> </w:t>
      </w:r>
      <w:r>
        <w:rPr/>
        <w:t>the</w:t>
      </w:r>
      <w:r>
        <w:rPr>
          <w:spacing w:val="-4"/>
        </w:rPr>
        <w:t> </w:t>
      </w:r>
      <w:r>
        <w:rPr/>
        <w:t>primary</w:t>
      </w:r>
      <w:r>
        <w:rPr>
          <w:spacing w:val="-3"/>
        </w:rPr>
        <w:t> </w:t>
      </w:r>
      <w:r>
        <w:rPr/>
        <w:t>independent</w:t>
      </w:r>
      <w:r>
        <w:rPr>
          <w:spacing w:val="-4"/>
        </w:rPr>
        <w:t> </w:t>
      </w:r>
      <w:r>
        <w:rPr/>
        <w:t>third-party</w:t>
      </w:r>
      <w:r>
        <w:rPr>
          <w:spacing w:val="-3"/>
        </w:rPr>
        <w:t> </w:t>
      </w:r>
      <w:r>
        <w:rPr/>
        <w:t>pricing</w:t>
      </w:r>
      <w:r>
        <w:rPr>
          <w:spacing w:val="-3"/>
        </w:rPr>
        <w:t> </w:t>
      </w:r>
      <w:r>
        <w:rPr/>
        <w:t>service</w:t>
      </w:r>
      <w:r>
        <w:rPr>
          <w:spacing w:val="-4"/>
        </w:rPr>
        <w:t> </w:t>
      </w:r>
      <w:r>
        <w:rPr/>
        <w:t>at</w:t>
      </w:r>
      <w:r>
        <w:rPr>
          <w:spacing w:val="-4"/>
        </w:rPr>
        <w:t> </w:t>
      </w:r>
      <w:r>
        <w:rPr/>
        <w:t>September</w:t>
      </w:r>
      <w:r>
        <w:rPr>
          <w:spacing w:val="-3"/>
        </w:rPr>
        <w:t> </w:t>
      </w:r>
      <w:r>
        <w:rPr/>
        <w:t>30,</w:t>
      </w:r>
      <w:r>
        <w:rPr>
          <w:spacing w:val="-3"/>
        </w:rPr>
        <w:t> </w:t>
      </w:r>
      <w:r>
        <w:rPr/>
        <w:t>2023 or December 31, 2022.</w:t>
      </w:r>
    </w:p>
    <w:p>
      <w:pPr>
        <w:pStyle w:val="BodyText"/>
        <w:spacing w:before="8"/>
      </w:pPr>
    </w:p>
    <w:p>
      <w:pPr>
        <w:pStyle w:val="Heading3"/>
        <w:spacing w:before="1"/>
        <w:rPr>
          <w:i/>
        </w:rPr>
      </w:pPr>
      <w:r>
        <w:rPr>
          <w:i/>
        </w:rPr>
        <w:t>Assets</w:t>
      </w:r>
      <w:r>
        <w:rPr>
          <w:i/>
          <w:spacing w:val="-7"/>
        </w:rPr>
        <w:t> </w:t>
      </w:r>
      <w:r>
        <w:rPr>
          <w:i/>
        </w:rPr>
        <w:t>and</w:t>
      </w:r>
      <w:r>
        <w:rPr>
          <w:i/>
          <w:spacing w:val="-3"/>
        </w:rPr>
        <w:t> </w:t>
      </w:r>
      <w:r>
        <w:rPr>
          <w:i/>
        </w:rPr>
        <w:t>Liabilities</w:t>
      </w:r>
      <w:r>
        <w:rPr>
          <w:i/>
          <w:spacing w:val="-4"/>
        </w:rPr>
        <w:t> </w:t>
      </w:r>
      <w:r>
        <w:rPr>
          <w:i/>
        </w:rPr>
        <w:t>Measured</w:t>
      </w:r>
      <w:r>
        <w:rPr>
          <w:i/>
          <w:spacing w:val="-4"/>
        </w:rPr>
        <w:t> </w:t>
      </w:r>
      <w:r>
        <w:rPr>
          <w:i/>
        </w:rPr>
        <w:t>at</w:t>
      </w:r>
      <w:r>
        <w:rPr>
          <w:i/>
          <w:spacing w:val="-4"/>
        </w:rPr>
        <w:t> </w:t>
      </w:r>
      <w:r>
        <w:rPr>
          <w:i/>
        </w:rPr>
        <w:t>Fair</w:t>
      </w:r>
      <w:r>
        <w:rPr>
          <w:i/>
          <w:spacing w:val="-4"/>
        </w:rPr>
        <w:t> </w:t>
      </w:r>
      <w:r>
        <w:rPr>
          <w:i/>
        </w:rPr>
        <w:t>Value</w:t>
      </w:r>
      <w:r>
        <w:rPr>
          <w:i/>
          <w:spacing w:val="-5"/>
        </w:rPr>
        <w:t> </w:t>
      </w:r>
      <w:r>
        <w:rPr>
          <w:i/>
        </w:rPr>
        <w:t>on</w:t>
      </w:r>
      <w:r>
        <w:rPr>
          <w:i/>
          <w:spacing w:val="-4"/>
        </w:rPr>
        <w:t> </w:t>
      </w:r>
      <w:r>
        <w:rPr>
          <w:i/>
        </w:rPr>
        <w:t>a</w:t>
      </w:r>
      <w:r>
        <w:rPr>
          <w:i/>
          <w:spacing w:val="-3"/>
        </w:rPr>
        <w:t> </w:t>
      </w:r>
      <w:r>
        <w:rPr>
          <w:i/>
        </w:rPr>
        <w:t>Recurring</w:t>
      </w:r>
      <w:r>
        <w:rPr>
          <w:i/>
          <w:spacing w:val="-3"/>
        </w:rPr>
        <w:t> </w:t>
      </w:r>
      <w:r>
        <w:rPr>
          <w:i/>
          <w:spacing w:val="-2"/>
        </w:rPr>
        <w:t>Basis</w:t>
      </w:r>
    </w:p>
    <w:p>
      <w:pPr>
        <w:pStyle w:val="BodyText"/>
        <w:spacing w:before="23"/>
        <w:rPr>
          <w:b/>
          <w:i/>
        </w:rPr>
      </w:pPr>
    </w:p>
    <w:p>
      <w:pPr>
        <w:pStyle w:val="BodyText"/>
        <w:ind w:left="470"/>
      </w:pPr>
      <w:r>
        <w:rPr/>
        <w:t>The</w:t>
      </w:r>
      <w:r>
        <w:rPr>
          <w:spacing w:val="-6"/>
        </w:rPr>
        <w:t> </w:t>
      </w:r>
      <w:r>
        <w:rPr/>
        <w:t>following</w:t>
      </w:r>
      <w:r>
        <w:rPr>
          <w:spacing w:val="-3"/>
        </w:rPr>
        <w:t> </w:t>
      </w:r>
      <w:r>
        <w:rPr/>
        <w:t>tables</w:t>
      </w:r>
      <w:r>
        <w:rPr>
          <w:spacing w:val="-3"/>
        </w:rPr>
        <w:t> </w:t>
      </w:r>
      <w:r>
        <w:rPr/>
        <w:t>present</w:t>
      </w:r>
      <w:r>
        <w:rPr>
          <w:spacing w:val="-4"/>
        </w:rPr>
        <w:t> </w:t>
      </w:r>
      <w:r>
        <w:rPr/>
        <w:t>the</w:t>
      </w:r>
      <w:r>
        <w:rPr>
          <w:spacing w:val="-3"/>
        </w:rPr>
        <w:t> </w:t>
      </w:r>
      <w:r>
        <w:rPr/>
        <w:t>fair</w:t>
      </w:r>
      <w:r>
        <w:rPr>
          <w:spacing w:val="-3"/>
        </w:rPr>
        <w:t> </w:t>
      </w:r>
      <w:r>
        <w:rPr/>
        <w:t>value</w:t>
      </w:r>
      <w:r>
        <w:rPr>
          <w:spacing w:val="-3"/>
        </w:rPr>
        <w:t> </w:t>
      </w:r>
      <w:r>
        <w:rPr/>
        <w:t>hierarchy</w:t>
      </w:r>
      <w:r>
        <w:rPr>
          <w:spacing w:val="-3"/>
        </w:rPr>
        <w:t> </w:t>
      </w:r>
      <w:r>
        <w:rPr/>
        <w:t>for</w:t>
      </w:r>
      <w:r>
        <w:rPr>
          <w:spacing w:val="-3"/>
        </w:rPr>
        <w:t> </w:t>
      </w:r>
      <w:r>
        <w:rPr/>
        <w:t>assets</w:t>
      </w:r>
      <w:r>
        <w:rPr>
          <w:spacing w:val="-3"/>
        </w:rPr>
        <w:t> </w:t>
      </w:r>
      <w:r>
        <w:rPr/>
        <w:t>and</w:t>
      </w:r>
      <w:r>
        <w:rPr>
          <w:spacing w:val="-3"/>
        </w:rPr>
        <w:t> </w:t>
      </w:r>
      <w:r>
        <w:rPr/>
        <w:t>liabilities</w:t>
      </w:r>
      <w:r>
        <w:rPr>
          <w:spacing w:val="-3"/>
        </w:rPr>
        <w:t> </w:t>
      </w:r>
      <w:r>
        <w:rPr/>
        <w:t>measured</w:t>
      </w:r>
      <w:r>
        <w:rPr>
          <w:spacing w:val="-3"/>
        </w:rPr>
        <w:t> </w:t>
      </w:r>
      <w:r>
        <w:rPr/>
        <w:t>at</w:t>
      </w:r>
      <w:r>
        <w:rPr>
          <w:spacing w:val="-4"/>
        </w:rPr>
        <w:t> </w:t>
      </w:r>
      <w:r>
        <w:rPr/>
        <w:t>fair</w:t>
      </w:r>
      <w:r>
        <w:rPr>
          <w:spacing w:val="-2"/>
        </w:rPr>
        <w:t> </w:t>
      </w:r>
      <w:r>
        <w:rPr/>
        <w:t>value</w:t>
      </w:r>
      <w:r>
        <w:rPr>
          <w:spacing w:val="-4"/>
        </w:rPr>
        <w:t> </w:t>
      </w:r>
      <w:r>
        <w:rPr/>
        <w:t>on</w:t>
      </w:r>
      <w:r>
        <w:rPr>
          <w:spacing w:val="-2"/>
        </w:rPr>
        <w:t> </w:t>
      </w:r>
      <w:r>
        <w:rPr/>
        <w:t>a</w:t>
      </w:r>
      <w:r>
        <w:rPr>
          <w:spacing w:val="-4"/>
        </w:rPr>
        <w:t> </w:t>
      </w:r>
      <w:r>
        <w:rPr/>
        <w:t>recurring</w:t>
      </w:r>
      <w:r>
        <w:rPr>
          <w:spacing w:val="-2"/>
        </w:rPr>
        <w:t> basis:</w:t>
      </w:r>
    </w:p>
    <w:p>
      <w:pPr>
        <w:pStyle w:val="BodyText"/>
        <w:spacing w:before="2"/>
        <w:rPr>
          <w:sz w:val="11"/>
        </w:rPr>
      </w:pPr>
      <w:r>
        <w:rPr/>
        <mc:AlternateContent>
          <mc:Choice Requires="wps">
            <w:drawing>
              <wp:anchor distT="0" distB="0" distL="0" distR="0" allowOverlap="1" layoutInCell="1" locked="0" behindDoc="1" simplePos="0" relativeHeight="487626752">
                <wp:simplePos x="0" y="0"/>
                <wp:positionH relativeFrom="page">
                  <wp:posOffset>628650</wp:posOffset>
                </wp:positionH>
                <wp:positionV relativeFrom="paragraph">
                  <wp:posOffset>96830</wp:posOffset>
                </wp:positionV>
                <wp:extent cx="6496050" cy="6350"/>
                <wp:effectExtent l="0" t="0" r="0" b="0"/>
                <wp:wrapTopAndBottom/>
                <wp:docPr id="605" name="Group 605"/>
                <wp:cNvGraphicFramePr>
                  <a:graphicFrameLocks/>
                </wp:cNvGraphicFramePr>
                <a:graphic>
                  <a:graphicData uri="http://schemas.microsoft.com/office/word/2010/wordprocessingGroup">
                    <wpg:wgp>
                      <wpg:cNvPr id="605" name="Group 605"/>
                      <wpg:cNvGrpSpPr/>
                      <wpg:grpSpPr>
                        <a:xfrm>
                          <a:off x="0" y="0"/>
                          <a:ext cx="6496050" cy="6350"/>
                          <a:chExt cx="6496050" cy="6350"/>
                        </a:xfrm>
                      </wpg:grpSpPr>
                      <wps:wsp>
                        <wps:cNvPr id="606" name="Graphic 606"/>
                        <wps:cNvSpPr/>
                        <wps:spPr>
                          <a:xfrm>
                            <a:off x="0" y="3175"/>
                            <a:ext cx="6496050" cy="1270"/>
                          </a:xfrm>
                          <a:custGeom>
                            <a:avLst/>
                            <a:gdLst/>
                            <a:ahLst/>
                            <a:cxnLst/>
                            <a:rect l="l" t="t" r="r" b="b"/>
                            <a:pathLst>
                              <a:path w="6496050" h="0">
                                <a:moveTo>
                                  <a:pt x="6496050" y="0"/>
                                </a:moveTo>
                                <a:lnTo>
                                  <a:pt x="0" y="0"/>
                                </a:lnTo>
                              </a:path>
                            </a:pathLst>
                          </a:custGeom>
                          <a:solidFill>
                            <a:srgbClr val="000000"/>
                          </a:solidFill>
                        </wps:spPr>
                        <wps:bodyPr wrap="square" lIns="0" tIns="0" rIns="0" bIns="0" rtlCol="0">
                          <a:prstTxWarp prst="textNoShape">
                            <a:avLst/>
                          </a:prstTxWarp>
                          <a:noAutofit/>
                        </wps:bodyPr>
                      </wps:wsp>
                      <wps:wsp>
                        <wps:cNvPr id="607" name="Graphic 607"/>
                        <wps:cNvSpPr/>
                        <wps:spPr>
                          <a:xfrm>
                            <a:off x="0" y="3175"/>
                            <a:ext cx="6496050" cy="1270"/>
                          </a:xfrm>
                          <a:custGeom>
                            <a:avLst/>
                            <a:gdLst/>
                            <a:ahLst/>
                            <a:cxnLst/>
                            <a:rect l="l" t="t" r="r" b="b"/>
                            <a:pathLst>
                              <a:path w="6496050" h="0">
                                <a:moveTo>
                                  <a:pt x="0" y="0"/>
                                </a:moveTo>
                                <a:lnTo>
                                  <a:pt x="649605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7.624463pt;width:511.5pt;height:.5pt;mso-position-horizontal-relative:page;mso-position-vertical-relative:paragraph;z-index:-15689728;mso-wrap-distance-left:0;mso-wrap-distance-right:0" id="docshapegroup435" coordorigin="990,152" coordsize="10230,10">
                <v:shape style="position:absolute;left:990;top:157;width:10230;height:2" id="docshape436" coordorigin="990,157" coordsize="10230,0" path="m11220,157l990,157e" filled="true" fillcolor="#000000" stroked="false">
                  <v:path arrowok="t"/>
                  <v:fill opacity="0f" type="solid"/>
                </v:shape>
                <v:line style="position:absolute" from="990,157" to="11220,157" stroked="true" strokeweight=".5pt" strokecolor="#000000">
                  <v:stroke dashstyle="solid"/>
                </v:line>
                <w10:wrap type="topAndBottom"/>
              </v:group>
            </w:pict>
          </mc:Fallback>
        </mc:AlternateContent>
      </w:r>
    </w:p>
    <w:p>
      <w:pPr>
        <w:spacing w:line="188" w:lineRule="exact" w:before="14"/>
        <w:ind w:left="0" w:right="667" w:firstLine="0"/>
        <w:jc w:val="right"/>
        <w:rPr>
          <w:sz w:val="18"/>
        </w:rPr>
      </w:pPr>
      <w:r>
        <w:rPr>
          <w:sz w:val="18"/>
        </w:rPr>
        <w:t>Balance </w:t>
      </w:r>
      <w:r>
        <w:rPr>
          <w:spacing w:val="-5"/>
          <w:sz w:val="18"/>
        </w:rPr>
        <w:t>at</w:t>
      </w:r>
    </w:p>
    <w:p>
      <w:pPr>
        <w:tabs>
          <w:tab w:pos="6370" w:val="left" w:leader="none"/>
          <w:tab w:pos="7540" w:val="left" w:leader="none"/>
          <w:tab w:pos="8710" w:val="left" w:leader="none"/>
          <w:tab w:pos="9770" w:val="left" w:leader="none"/>
        </w:tabs>
        <w:spacing w:line="199" w:lineRule="exact" w:before="0" w:after="30"/>
        <w:ind w:left="522" w:right="0" w:firstLine="0"/>
        <w:jc w:val="left"/>
        <w:rPr>
          <w:sz w:val="18"/>
        </w:rPr>
      </w:pPr>
      <w:r>
        <w:rPr>
          <w:sz w:val="18"/>
        </w:rPr>
        <w:t>September</w:t>
      </w:r>
      <w:r>
        <w:rPr>
          <w:spacing w:val="-1"/>
          <w:sz w:val="18"/>
        </w:rPr>
        <w:t> </w:t>
      </w:r>
      <w:r>
        <w:rPr>
          <w:sz w:val="18"/>
        </w:rPr>
        <w:t>30, </w:t>
      </w:r>
      <w:r>
        <w:rPr>
          <w:spacing w:val="-4"/>
          <w:sz w:val="18"/>
        </w:rPr>
        <w:t>2023</w:t>
      </w:r>
      <w:r>
        <w:rPr>
          <w:sz w:val="18"/>
        </w:rPr>
        <w:tab/>
        <w:t>Level </w:t>
      </w:r>
      <w:r>
        <w:rPr>
          <w:spacing w:val="-10"/>
          <w:sz w:val="18"/>
        </w:rPr>
        <w:t>1</w:t>
      </w:r>
      <w:r>
        <w:rPr>
          <w:sz w:val="18"/>
        </w:rPr>
        <w:tab/>
        <w:t>Level </w:t>
      </w:r>
      <w:r>
        <w:rPr>
          <w:spacing w:val="-10"/>
          <w:sz w:val="18"/>
        </w:rPr>
        <w:t>2</w:t>
      </w:r>
      <w:r>
        <w:rPr>
          <w:sz w:val="18"/>
        </w:rPr>
        <w:tab/>
        <w:t>Level </w:t>
      </w:r>
      <w:r>
        <w:rPr>
          <w:spacing w:val="-10"/>
          <w:sz w:val="18"/>
        </w:rPr>
        <w:t>3</w:t>
      </w:r>
      <w:r>
        <w:rPr>
          <w:sz w:val="18"/>
        </w:rPr>
        <w:tab/>
        <w:t>Fair</w:t>
      </w:r>
      <w:r>
        <w:rPr>
          <w:spacing w:val="-3"/>
          <w:sz w:val="18"/>
        </w:rPr>
        <w:t> </w:t>
      </w:r>
      <w:r>
        <w:rPr>
          <w:spacing w:val="-2"/>
          <w:sz w:val="18"/>
        </w:rPr>
        <w:t>Value</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45"/>
        <w:gridCol w:w="1302"/>
        <w:gridCol w:w="1170"/>
        <w:gridCol w:w="1361"/>
        <w:gridCol w:w="952"/>
      </w:tblGrid>
      <w:tr>
        <w:trPr>
          <w:trHeight w:val="250" w:hRule="atLeast"/>
        </w:trPr>
        <w:tc>
          <w:tcPr>
            <w:tcW w:w="5445" w:type="dxa"/>
            <w:tcBorders>
              <w:top w:val="single" w:sz="4" w:space="0" w:color="000000"/>
            </w:tcBorders>
          </w:tcPr>
          <w:p>
            <w:pPr>
              <w:pStyle w:val="TableParagraph"/>
              <w:spacing w:before="13"/>
              <w:ind w:left="52"/>
              <w:rPr>
                <w:sz w:val="18"/>
              </w:rPr>
            </w:pPr>
            <w:r>
              <w:rPr>
                <w:sz w:val="18"/>
              </w:rPr>
              <w:t>Cash</w:t>
            </w:r>
            <w:r>
              <w:rPr>
                <w:spacing w:val="-1"/>
                <w:sz w:val="18"/>
              </w:rPr>
              <w:t> </w:t>
            </w:r>
            <w:r>
              <w:rPr>
                <w:spacing w:val="-2"/>
                <w:sz w:val="18"/>
              </w:rPr>
              <w:t>equivalents:</w:t>
            </w:r>
          </w:p>
        </w:tc>
        <w:tc>
          <w:tcPr>
            <w:tcW w:w="4785" w:type="dxa"/>
            <w:gridSpan w:val="4"/>
            <w:tcBorders>
              <w:top w:val="single" w:sz="4" w:space="0" w:color="000000"/>
            </w:tcBorders>
          </w:tcPr>
          <w:p>
            <w:pPr>
              <w:pStyle w:val="TableParagraph"/>
              <w:rPr>
                <w:sz w:val="18"/>
              </w:rPr>
            </w:pPr>
          </w:p>
        </w:tc>
      </w:tr>
      <w:tr>
        <w:trPr>
          <w:trHeight w:val="250" w:hRule="atLeast"/>
        </w:trPr>
        <w:tc>
          <w:tcPr>
            <w:tcW w:w="5445" w:type="dxa"/>
            <w:tcBorders>
              <w:bottom w:val="single" w:sz="4" w:space="0" w:color="000000"/>
            </w:tcBorders>
            <w:shd w:val="clear" w:color="auto" w:fill="CCEDFF"/>
          </w:tcPr>
          <w:p>
            <w:pPr>
              <w:pStyle w:val="TableParagraph"/>
              <w:spacing w:before="18"/>
              <w:ind w:left="172"/>
              <w:rPr>
                <w:sz w:val="18"/>
              </w:rPr>
            </w:pPr>
            <w:r>
              <w:rPr>
                <w:sz w:val="18"/>
              </w:rPr>
              <w:t>Money</w:t>
            </w:r>
            <w:r>
              <w:rPr>
                <w:spacing w:val="-1"/>
                <w:sz w:val="18"/>
              </w:rPr>
              <w:t> </w:t>
            </w:r>
            <w:r>
              <w:rPr>
                <w:sz w:val="18"/>
              </w:rPr>
              <w:t>market </w:t>
            </w:r>
            <w:r>
              <w:rPr>
                <w:spacing w:val="-2"/>
                <w:sz w:val="18"/>
              </w:rPr>
              <w:t>funds</w:t>
            </w:r>
          </w:p>
        </w:tc>
        <w:tc>
          <w:tcPr>
            <w:tcW w:w="1302" w:type="dxa"/>
            <w:tcBorders>
              <w:bottom w:val="single" w:sz="4" w:space="0" w:color="000000"/>
            </w:tcBorders>
            <w:shd w:val="clear" w:color="auto" w:fill="CCEDFF"/>
          </w:tcPr>
          <w:p>
            <w:pPr>
              <w:pStyle w:val="TableParagraph"/>
              <w:tabs>
                <w:tab w:pos="472" w:val="left" w:leader="none"/>
              </w:tabs>
              <w:spacing w:before="18"/>
              <w:ind w:right="99"/>
              <w:jc w:val="right"/>
              <w:rPr>
                <w:sz w:val="18"/>
              </w:rPr>
            </w:pPr>
            <w:r>
              <w:rPr>
                <w:spacing w:val="-10"/>
                <w:sz w:val="18"/>
              </w:rPr>
              <w:t>$</w:t>
            </w:r>
            <w:r>
              <w:rPr>
                <w:sz w:val="18"/>
              </w:rPr>
              <w:tab/>
            </w:r>
            <w:r>
              <w:rPr>
                <w:spacing w:val="-2"/>
                <w:sz w:val="18"/>
              </w:rPr>
              <w:t>12,744</w:t>
            </w:r>
          </w:p>
        </w:tc>
        <w:tc>
          <w:tcPr>
            <w:tcW w:w="3483" w:type="dxa"/>
            <w:gridSpan w:val="3"/>
            <w:tcBorders>
              <w:bottom w:val="single" w:sz="4" w:space="0" w:color="000000"/>
            </w:tcBorders>
            <w:shd w:val="clear" w:color="auto" w:fill="CCEDFF"/>
          </w:tcPr>
          <w:p>
            <w:pPr>
              <w:pStyle w:val="TableParagraph"/>
              <w:tabs>
                <w:tab w:pos="888" w:val="left" w:leader="none"/>
                <w:tab w:pos="1270" w:val="left" w:leader="none"/>
                <w:tab w:pos="2058" w:val="left" w:leader="none"/>
                <w:tab w:pos="2440" w:val="left" w:leader="none"/>
                <w:tab w:pos="2913" w:val="left" w:leader="none"/>
              </w:tabs>
              <w:spacing w:before="18"/>
              <w:ind w:left="100"/>
              <w:rPr>
                <w:sz w:val="18"/>
              </w:rPr>
            </w:pP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2"/>
                <w:sz w:val="18"/>
              </w:rPr>
              <w:t>12,744</w:t>
            </w:r>
          </w:p>
        </w:tc>
      </w:tr>
      <w:tr>
        <w:trPr>
          <w:trHeight w:val="250" w:hRule="atLeast"/>
        </w:trPr>
        <w:tc>
          <w:tcPr>
            <w:tcW w:w="5445" w:type="dxa"/>
            <w:tcBorders>
              <w:top w:val="single" w:sz="4" w:space="0" w:color="000000"/>
            </w:tcBorders>
          </w:tcPr>
          <w:p>
            <w:pPr>
              <w:pStyle w:val="TableParagraph"/>
              <w:spacing w:before="13"/>
              <w:ind w:left="292"/>
              <w:rPr>
                <w:sz w:val="18"/>
              </w:rPr>
            </w:pPr>
            <w:r>
              <w:rPr>
                <w:sz w:val="18"/>
              </w:rPr>
              <w:t>Total</w:t>
            </w:r>
            <w:r>
              <w:rPr>
                <w:spacing w:val="-1"/>
                <w:sz w:val="18"/>
              </w:rPr>
              <w:t> </w:t>
            </w:r>
            <w:r>
              <w:rPr>
                <w:sz w:val="18"/>
              </w:rPr>
              <w:t>cash </w:t>
            </w:r>
            <w:r>
              <w:rPr>
                <w:spacing w:val="-2"/>
                <w:sz w:val="18"/>
              </w:rPr>
              <w:t>equivalents</w:t>
            </w:r>
          </w:p>
        </w:tc>
        <w:tc>
          <w:tcPr>
            <w:tcW w:w="1302" w:type="dxa"/>
            <w:tcBorders>
              <w:top w:val="single" w:sz="4" w:space="0" w:color="000000"/>
            </w:tcBorders>
          </w:tcPr>
          <w:p>
            <w:pPr>
              <w:pStyle w:val="TableParagraph"/>
              <w:spacing w:before="13"/>
              <w:ind w:right="99"/>
              <w:jc w:val="right"/>
              <w:rPr>
                <w:sz w:val="18"/>
              </w:rPr>
            </w:pPr>
            <w:r>
              <w:rPr>
                <w:spacing w:val="-2"/>
                <w:sz w:val="18"/>
              </w:rPr>
              <w:t>12,744</w:t>
            </w:r>
          </w:p>
        </w:tc>
        <w:tc>
          <w:tcPr>
            <w:tcW w:w="3483" w:type="dxa"/>
            <w:gridSpan w:val="3"/>
            <w:tcBorders>
              <w:top w:val="single" w:sz="4" w:space="0" w:color="000000"/>
            </w:tcBorders>
          </w:tcPr>
          <w:p>
            <w:pPr>
              <w:pStyle w:val="TableParagraph"/>
              <w:tabs>
                <w:tab w:pos="2058" w:val="left" w:leader="none"/>
                <w:tab w:pos="2913" w:val="left" w:leader="none"/>
              </w:tabs>
              <w:spacing w:before="13"/>
              <w:ind w:left="888"/>
              <w:rPr>
                <w:sz w:val="18"/>
              </w:rPr>
            </w:pPr>
            <w:r>
              <w:rPr>
                <w:spacing w:val="-10"/>
                <w:sz w:val="18"/>
              </w:rPr>
              <w:t>—</w:t>
            </w:r>
            <w:r>
              <w:rPr>
                <w:sz w:val="18"/>
              </w:rPr>
              <w:tab/>
            </w:r>
            <w:r>
              <w:rPr>
                <w:spacing w:val="-10"/>
                <w:sz w:val="18"/>
              </w:rPr>
              <w:t>—</w:t>
            </w:r>
            <w:r>
              <w:rPr>
                <w:sz w:val="18"/>
              </w:rPr>
              <w:tab/>
            </w:r>
            <w:r>
              <w:rPr>
                <w:spacing w:val="-2"/>
                <w:sz w:val="18"/>
              </w:rPr>
              <w:t>12,744</w:t>
            </w:r>
          </w:p>
        </w:tc>
      </w:tr>
      <w:tr>
        <w:trPr>
          <w:trHeight w:val="255" w:hRule="atLeast"/>
        </w:trPr>
        <w:tc>
          <w:tcPr>
            <w:tcW w:w="5445" w:type="dxa"/>
            <w:shd w:val="clear" w:color="auto" w:fill="CCEDFF"/>
          </w:tcPr>
          <w:p>
            <w:pPr>
              <w:pStyle w:val="TableParagraph"/>
              <w:spacing w:before="18"/>
              <w:ind w:left="52"/>
              <w:rPr>
                <w:sz w:val="18"/>
              </w:rPr>
            </w:pPr>
            <w:r>
              <w:rPr>
                <w:sz w:val="18"/>
              </w:rPr>
              <w:t>Investments</w:t>
            </w:r>
            <w:r>
              <w:rPr>
                <w:spacing w:val="-2"/>
                <w:sz w:val="18"/>
              </w:rPr>
              <w:t> </w:t>
            </w:r>
            <w:r>
              <w:rPr>
                <w:sz w:val="18"/>
              </w:rPr>
              <w:t>segregated and</w:t>
            </w:r>
            <w:r>
              <w:rPr>
                <w:spacing w:val="-1"/>
                <w:sz w:val="18"/>
              </w:rPr>
              <w:t> </w:t>
            </w:r>
            <w:r>
              <w:rPr>
                <w:sz w:val="18"/>
              </w:rPr>
              <w:t>on deposit</w:t>
            </w:r>
            <w:r>
              <w:rPr>
                <w:spacing w:val="-1"/>
                <w:sz w:val="18"/>
              </w:rPr>
              <w:t> </w:t>
            </w:r>
            <w:r>
              <w:rPr>
                <w:sz w:val="18"/>
              </w:rPr>
              <w:t>for regulatory </w:t>
            </w:r>
            <w:r>
              <w:rPr>
                <w:spacing w:val="-2"/>
                <w:sz w:val="18"/>
              </w:rPr>
              <w:t>purposes:</w:t>
            </w:r>
          </w:p>
        </w:tc>
        <w:tc>
          <w:tcPr>
            <w:tcW w:w="1302" w:type="dxa"/>
            <w:shd w:val="clear" w:color="auto" w:fill="CCEDFF"/>
          </w:tcPr>
          <w:p>
            <w:pPr>
              <w:pStyle w:val="TableParagraph"/>
              <w:rPr>
                <w:sz w:val="18"/>
              </w:rPr>
            </w:pPr>
          </w:p>
        </w:tc>
        <w:tc>
          <w:tcPr>
            <w:tcW w:w="3483" w:type="dxa"/>
            <w:gridSpan w:val="3"/>
            <w:shd w:val="clear" w:color="auto" w:fill="CCEDFF"/>
          </w:tcPr>
          <w:p>
            <w:pPr>
              <w:pStyle w:val="TableParagraph"/>
              <w:rPr>
                <w:sz w:val="18"/>
              </w:rPr>
            </w:pPr>
          </w:p>
        </w:tc>
      </w:tr>
      <w:tr>
        <w:trPr>
          <w:trHeight w:val="255" w:hRule="atLeast"/>
        </w:trPr>
        <w:tc>
          <w:tcPr>
            <w:tcW w:w="5445" w:type="dxa"/>
          </w:tcPr>
          <w:p>
            <w:pPr>
              <w:pStyle w:val="TableParagraph"/>
              <w:spacing w:before="18"/>
              <w:ind w:left="172"/>
              <w:rPr>
                <w:sz w:val="18"/>
              </w:rPr>
            </w:pPr>
            <w:r>
              <w:rPr>
                <w:sz w:val="18"/>
              </w:rPr>
              <w:t>U.S.</w:t>
            </w:r>
            <w:r>
              <w:rPr>
                <w:spacing w:val="-2"/>
                <w:sz w:val="18"/>
              </w:rPr>
              <w:t> </w:t>
            </w:r>
            <w:r>
              <w:rPr>
                <w:sz w:val="18"/>
              </w:rPr>
              <w:t>Government</w:t>
            </w:r>
            <w:r>
              <w:rPr>
                <w:spacing w:val="-1"/>
                <w:sz w:val="18"/>
              </w:rPr>
              <w:t> </w:t>
            </w:r>
            <w:r>
              <w:rPr>
                <w:spacing w:val="-2"/>
                <w:sz w:val="18"/>
              </w:rPr>
              <w:t>securities</w:t>
            </w:r>
          </w:p>
        </w:tc>
        <w:tc>
          <w:tcPr>
            <w:tcW w:w="1302" w:type="dxa"/>
          </w:tcPr>
          <w:p>
            <w:pPr>
              <w:pStyle w:val="TableParagraph"/>
              <w:spacing w:before="18"/>
              <w:ind w:right="99"/>
              <w:jc w:val="right"/>
              <w:rPr>
                <w:sz w:val="18"/>
              </w:rPr>
            </w:pPr>
            <w:r>
              <w:rPr>
                <w:spacing w:val="-10"/>
                <w:sz w:val="18"/>
              </w:rPr>
              <w:t>—</w:t>
            </w:r>
          </w:p>
        </w:tc>
        <w:tc>
          <w:tcPr>
            <w:tcW w:w="1170" w:type="dxa"/>
          </w:tcPr>
          <w:p>
            <w:pPr>
              <w:pStyle w:val="TableParagraph"/>
              <w:spacing w:before="18"/>
              <w:ind w:right="99"/>
              <w:jc w:val="right"/>
              <w:rPr>
                <w:sz w:val="18"/>
              </w:rPr>
            </w:pPr>
            <w:r>
              <w:rPr>
                <w:spacing w:val="-2"/>
                <w:sz w:val="18"/>
              </w:rPr>
              <w:t>11,368</w:t>
            </w:r>
          </w:p>
        </w:tc>
        <w:tc>
          <w:tcPr>
            <w:tcW w:w="1361" w:type="dxa"/>
          </w:tcPr>
          <w:p>
            <w:pPr>
              <w:pStyle w:val="TableParagraph"/>
              <w:spacing w:before="18"/>
              <w:ind w:right="290"/>
              <w:jc w:val="right"/>
              <w:rPr>
                <w:sz w:val="18"/>
              </w:rPr>
            </w:pPr>
            <w:r>
              <w:rPr>
                <w:spacing w:val="-10"/>
                <w:sz w:val="18"/>
              </w:rPr>
              <w:t>—</w:t>
            </w:r>
          </w:p>
        </w:tc>
        <w:tc>
          <w:tcPr>
            <w:tcW w:w="952" w:type="dxa"/>
          </w:tcPr>
          <w:p>
            <w:pPr>
              <w:pStyle w:val="TableParagraph"/>
              <w:spacing w:before="18"/>
              <w:ind w:right="72"/>
              <w:jc w:val="right"/>
              <w:rPr>
                <w:sz w:val="18"/>
              </w:rPr>
            </w:pPr>
            <w:r>
              <w:rPr>
                <w:spacing w:val="-2"/>
                <w:sz w:val="18"/>
              </w:rPr>
              <w:t>11,368</w:t>
            </w:r>
          </w:p>
        </w:tc>
      </w:tr>
      <w:tr>
        <w:trPr>
          <w:trHeight w:val="250" w:hRule="atLeast"/>
        </w:trPr>
        <w:tc>
          <w:tcPr>
            <w:tcW w:w="5445" w:type="dxa"/>
            <w:tcBorders>
              <w:bottom w:val="single" w:sz="4" w:space="0" w:color="000000"/>
            </w:tcBorders>
            <w:shd w:val="clear" w:color="auto" w:fill="CCEDFF"/>
          </w:tcPr>
          <w:p>
            <w:pPr>
              <w:pStyle w:val="TableParagraph"/>
              <w:spacing w:before="18"/>
              <w:ind w:left="172"/>
              <w:rPr>
                <w:sz w:val="18"/>
              </w:rPr>
            </w:pPr>
            <w:r>
              <w:rPr>
                <w:sz w:val="18"/>
              </w:rPr>
              <w:t>Certificates</w:t>
            </w:r>
            <w:r>
              <w:rPr>
                <w:spacing w:val="-1"/>
                <w:sz w:val="18"/>
              </w:rPr>
              <w:t> </w:t>
            </w:r>
            <w:r>
              <w:rPr>
                <w:sz w:val="18"/>
              </w:rPr>
              <w:t>of </w:t>
            </w:r>
            <w:r>
              <w:rPr>
                <w:spacing w:val="-2"/>
                <w:sz w:val="18"/>
              </w:rPr>
              <w:t>deposit</w:t>
            </w:r>
          </w:p>
        </w:tc>
        <w:tc>
          <w:tcPr>
            <w:tcW w:w="1302" w:type="dxa"/>
            <w:tcBorders>
              <w:bottom w:val="single" w:sz="4" w:space="0" w:color="000000"/>
            </w:tcBorders>
            <w:shd w:val="clear" w:color="auto" w:fill="CCEDFF"/>
          </w:tcPr>
          <w:p>
            <w:pPr>
              <w:pStyle w:val="TableParagraph"/>
              <w:spacing w:before="18"/>
              <w:ind w:right="99"/>
              <w:jc w:val="right"/>
              <w:rPr>
                <w:sz w:val="18"/>
              </w:rPr>
            </w:pPr>
            <w:r>
              <w:rPr>
                <w:spacing w:val="-10"/>
                <w:sz w:val="18"/>
              </w:rPr>
              <w:t>—</w:t>
            </w:r>
          </w:p>
        </w:tc>
        <w:tc>
          <w:tcPr>
            <w:tcW w:w="1170" w:type="dxa"/>
            <w:tcBorders>
              <w:bottom w:val="single" w:sz="4" w:space="0" w:color="000000"/>
            </w:tcBorders>
            <w:shd w:val="clear" w:color="auto" w:fill="CCEDFF"/>
          </w:tcPr>
          <w:p>
            <w:pPr>
              <w:pStyle w:val="TableParagraph"/>
              <w:spacing w:before="18"/>
              <w:ind w:right="99"/>
              <w:jc w:val="right"/>
              <w:rPr>
                <w:sz w:val="18"/>
              </w:rPr>
            </w:pPr>
            <w:r>
              <w:rPr>
                <w:spacing w:val="-5"/>
                <w:sz w:val="18"/>
              </w:rPr>
              <w:t>950</w:t>
            </w:r>
          </w:p>
        </w:tc>
        <w:tc>
          <w:tcPr>
            <w:tcW w:w="1361" w:type="dxa"/>
            <w:tcBorders>
              <w:bottom w:val="single" w:sz="4" w:space="0" w:color="000000"/>
            </w:tcBorders>
            <w:shd w:val="clear" w:color="auto" w:fill="CCEDFF"/>
          </w:tcPr>
          <w:p>
            <w:pPr>
              <w:pStyle w:val="TableParagraph"/>
              <w:spacing w:before="18"/>
              <w:ind w:right="290"/>
              <w:jc w:val="right"/>
              <w:rPr>
                <w:sz w:val="18"/>
              </w:rPr>
            </w:pPr>
            <w:r>
              <w:rPr>
                <w:spacing w:val="-10"/>
                <w:sz w:val="18"/>
              </w:rPr>
              <w:t>—</w:t>
            </w:r>
          </w:p>
        </w:tc>
        <w:tc>
          <w:tcPr>
            <w:tcW w:w="952" w:type="dxa"/>
            <w:tcBorders>
              <w:bottom w:val="single" w:sz="4" w:space="0" w:color="000000"/>
            </w:tcBorders>
            <w:shd w:val="clear" w:color="auto" w:fill="CCEDFF"/>
          </w:tcPr>
          <w:p>
            <w:pPr>
              <w:pStyle w:val="TableParagraph"/>
              <w:spacing w:before="18"/>
              <w:ind w:right="72"/>
              <w:jc w:val="right"/>
              <w:rPr>
                <w:sz w:val="18"/>
              </w:rPr>
            </w:pPr>
            <w:r>
              <w:rPr>
                <w:spacing w:val="-5"/>
                <w:sz w:val="18"/>
              </w:rPr>
              <w:t>950</w:t>
            </w:r>
          </w:p>
        </w:tc>
      </w:tr>
      <w:tr>
        <w:trPr>
          <w:trHeight w:val="250" w:hRule="atLeast"/>
        </w:trPr>
        <w:tc>
          <w:tcPr>
            <w:tcW w:w="5445" w:type="dxa"/>
            <w:tcBorders>
              <w:top w:val="single" w:sz="4" w:space="0" w:color="000000"/>
            </w:tcBorders>
          </w:tcPr>
          <w:p>
            <w:pPr>
              <w:pStyle w:val="TableParagraph"/>
              <w:spacing w:before="13"/>
              <w:ind w:left="292"/>
              <w:rPr>
                <w:sz w:val="18"/>
              </w:rPr>
            </w:pPr>
            <w:r>
              <w:rPr>
                <w:sz w:val="18"/>
              </w:rPr>
              <w:t>Total</w:t>
            </w:r>
            <w:r>
              <w:rPr>
                <w:spacing w:val="-1"/>
                <w:sz w:val="18"/>
              </w:rPr>
              <w:t> </w:t>
            </w:r>
            <w:r>
              <w:rPr>
                <w:sz w:val="18"/>
              </w:rPr>
              <w:t>investments</w:t>
            </w:r>
            <w:r>
              <w:rPr>
                <w:spacing w:val="-1"/>
                <w:sz w:val="18"/>
              </w:rPr>
              <w:t> </w:t>
            </w:r>
            <w:r>
              <w:rPr>
                <w:sz w:val="18"/>
              </w:rPr>
              <w:t>segregated</w:t>
            </w:r>
            <w:r>
              <w:rPr>
                <w:spacing w:val="-1"/>
                <w:sz w:val="18"/>
              </w:rPr>
              <w:t> </w:t>
            </w:r>
            <w:r>
              <w:rPr>
                <w:sz w:val="18"/>
              </w:rPr>
              <w:t>and on deposit</w:t>
            </w:r>
            <w:r>
              <w:rPr>
                <w:spacing w:val="-1"/>
                <w:sz w:val="18"/>
              </w:rPr>
              <w:t> </w:t>
            </w:r>
            <w:r>
              <w:rPr>
                <w:sz w:val="18"/>
              </w:rPr>
              <w:t>for regulatory </w:t>
            </w:r>
            <w:r>
              <w:rPr>
                <w:spacing w:val="-2"/>
                <w:sz w:val="18"/>
              </w:rPr>
              <w:t>purposes</w:t>
            </w:r>
          </w:p>
        </w:tc>
        <w:tc>
          <w:tcPr>
            <w:tcW w:w="1302" w:type="dxa"/>
            <w:tcBorders>
              <w:top w:val="single" w:sz="4" w:space="0" w:color="000000"/>
            </w:tcBorders>
          </w:tcPr>
          <w:p>
            <w:pPr>
              <w:pStyle w:val="TableParagraph"/>
              <w:spacing w:before="13"/>
              <w:ind w:right="99"/>
              <w:jc w:val="right"/>
              <w:rPr>
                <w:sz w:val="18"/>
              </w:rPr>
            </w:pPr>
            <w:r>
              <w:rPr>
                <w:spacing w:val="-10"/>
                <w:sz w:val="18"/>
              </w:rPr>
              <w:t>—</w:t>
            </w:r>
          </w:p>
        </w:tc>
        <w:tc>
          <w:tcPr>
            <w:tcW w:w="1170" w:type="dxa"/>
            <w:tcBorders>
              <w:top w:val="single" w:sz="4" w:space="0" w:color="000000"/>
            </w:tcBorders>
          </w:tcPr>
          <w:p>
            <w:pPr>
              <w:pStyle w:val="TableParagraph"/>
              <w:spacing w:before="13"/>
              <w:ind w:right="99"/>
              <w:jc w:val="right"/>
              <w:rPr>
                <w:sz w:val="18"/>
              </w:rPr>
            </w:pPr>
            <w:r>
              <w:rPr>
                <w:spacing w:val="-2"/>
                <w:sz w:val="18"/>
              </w:rPr>
              <w:t>12,318</w:t>
            </w:r>
          </w:p>
        </w:tc>
        <w:tc>
          <w:tcPr>
            <w:tcW w:w="1361" w:type="dxa"/>
            <w:tcBorders>
              <w:top w:val="single" w:sz="4" w:space="0" w:color="000000"/>
            </w:tcBorders>
          </w:tcPr>
          <w:p>
            <w:pPr>
              <w:pStyle w:val="TableParagraph"/>
              <w:spacing w:before="13"/>
              <w:ind w:right="290"/>
              <w:jc w:val="right"/>
              <w:rPr>
                <w:sz w:val="18"/>
              </w:rPr>
            </w:pPr>
            <w:r>
              <w:rPr>
                <w:spacing w:val="-10"/>
                <w:sz w:val="18"/>
              </w:rPr>
              <w:t>—</w:t>
            </w:r>
          </w:p>
        </w:tc>
        <w:tc>
          <w:tcPr>
            <w:tcW w:w="952" w:type="dxa"/>
            <w:tcBorders>
              <w:top w:val="single" w:sz="4" w:space="0" w:color="000000"/>
            </w:tcBorders>
          </w:tcPr>
          <w:p>
            <w:pPr>
              <w:pStyle w:val="TableParagraph"/>
              <w:spacing w:before="13"/>
              <w:ind w:right="72"/>
              <w:jc w:val="right"/>
              <w:rPr>
                <w:sz w:val="18"/>
              </w:rPr>
            </w:pPr>
            <w:r>
              <w:rPr>
                <w:spacing w:val="-2"/>
                <w:sz w:val="18"/>
              </w:rPr>
              <w:t>12,318</w:t>
            </w:r>
          </w:p>
        </w:tc>
      </w:tr>
      <w:tr>
        <w:trPr>
          <w:trHeight w:val="255" w:hRule="atLeast"/>
        </w:trPr>
        <w:tc>
          <w:tcPr>
            <w:tcW w:w="5445" w:type="dxa"/>
            <w:shd w:val="clear" w:color="auto" w:fill="CCEDFF"/>
          </w:tcPr>
          <w:p>
            <w:pPr>
              <w:pStyle w:val="TableParagraph"/>
              <w:spacing w:before="18"/>
              <w:ind w:left="52"/>
              <w:rPr>
                <w:sz w:val="18"/>
              </w:rPr>
            </w:pPr>
            <w:r>
              <w:rPr>
                <w:sz w:val="18"/>
              </w:rPr>
              <w:t>Available</w:t>
            </w:r>
            <w:r>
              <w:rPr>
                <w:spacing w:val="-1"/>
                <w:sz w:val="18"/>
              </w:rPr>
              <w:t> </w:t>
            </w:r>
            <w:r>
              <w:rPr>
                <w:sz w:val="18"/>
              </w:rPr>
              <w:t>for</w:t>
            </w:r>
            <w:r>
              <w:rPr>
                <w:spacing w:val="-1"/>
                <w:sz w:val="18"/>
              </w:rPr>
              <w:t> </w:t>
            </w:r>
            <w:r>
              <w:rPr>
                <w:sz w:val="18"/>
              </w:rPr>
              <w:t>sale </w:t>
            </w:r>
            <w:r>
              <w:rPr>
                <w:spacing w:val="-2"/>
                <w:sz w:val="18"/>
              </w:rPr>
              <w:t>securities:</w:t>
            </w:r>
          </w:p>
        </w:tc>
        <w:tc>
          <w:tcPr>
            <w:tcW w:w="1302" w:type="dxa"/>
            <w:shd w:val="clear" w:color="auto" w:fill="CCEDFF"/>
          </w:tcPr>
          <w:p>
            <w:pPr>
              <w:pStyle w:val="TableParagraph"/>
              <w:rPr>
                <w:sz w:val="18"/>
              </w:rPr>
            </w:pPr>
          </w:p>
        </w:tc>
        <w:tc>
          <w:tcPr>
            <w:tcW w:w="1170" w:type="dxa"/>
            <w:shd w:val="clear" w:color="auto" w:fill="CCEDFF"/>
          </w:tcPr>
          <w:p>
            <w:pPr>
              <w:pStyle w:val="TableParagraph"/>
              <w:rPr>
                <w:sz w:val="18"/>
              </w:rPr>
            </w:pPr>
          </w:p>
        </w:tc>
        <w:tc>
          <w:tcPr>
            <w:tcW w:w="1361" w:type="dxa"/>
            <w:shd w:val="clear" w:color="auto" w:fill="CCEDFF"/>
          </w:tcPr>
          <w:p>
            <w:pPr>
              <w:pStyle w:val="TableParagraph"/>
              <w:rPr>
                <w:sz w:val="18"/>
              </w:rPr>
            </w:pPr>
          </w:p>
        </w:tc>
        <w:tc>
          <w:tcPr>
            <w:tcW w:w="952" w:type="dxa"/>
            <w:shd w:val="clear" w:color="auto" w:fill="CCEDFF"/>
          </w:tcPr>
          <w:p>
            <w:pPr>
              <w:pStyle w:val="TableParagraph"/>
              <w:rPr>
                <w:sz w:val="18"/>
              </w:rPr>
            </w:pPr>
          </w:p>
        </w:tc>
      </w:tr>
      <w:tr>
        <w:trPr>
          <w:trHeight w:val="255" w:hRule="atLeast"/>
        </w:trPr>
        <w:tc>
          <w:tcPr>
            <w:tcW w:w="5445" w:type="dxa"/>
          </w:tcPr>
          <w:p>
            <w:pPr>
              <w:pStyle w:val="TableParagraph"/>
              <w:spacing w:before="18"/>
              <w:ind w:left="172"/>
              <w:rPr>
                <w:sz w:val="18"/>
              </w:rPr>
            </w:pPr>
            <w:r>
              <w:rPr>
                <w:sz w:val="18"/>
              </w:rPr>
              <w:t>U.S.</w:t>
            </w:r>
            <w:r>
              <w:rPr>
                <w:spacing w:val="-1"/>
                <w:sz w:val="18"/>
              </w:rPr>
              <w:t> </w:t>
            </w:r>
            <w:r>
              <w:rPr>
                <w:sz w:val="18"/>
              </w:rPr>
              <w:t>agency</w:t>
            </w:r>
            <w:r>
              <w:rPr>
                <w:spacing w:val="-1"/>
                <w:sz w:val="18"/>
              </w:rPr>
              <w:t> </w:t>
            </w:r>
            <w:r>
              <w:rPr>
                <w:sz w:val="18"/>
              </w:rPr>
              <w:t>mortgage-backed </w:t>
            </w:r>
            <w:r>
              <w:rPr>
                <w:spacing w:val="-2"/>
                <w:sz w:val="18"/>
              </w:rPr>
              <w:t>securities</w:t>
            </w:r>
          </w:p>
        </w:tc>
        <w:tc>
          <w:tcPr>
            <w:tcW w:w="1302" w:type="dxa"/>
          </w:tcPr>
          <w:p>
            <w:pPr>
              <w:pStyle w:val="TableParagraph"/>
              <w:spacing w:before="18"/>
              <w:ind w:right="99"/>
              <w:jc w:val="right"/>
              <w:rPr>
                <w:sz w:val="18"/>
              </w:rPr>
            </w:pPr>
            <w:r>
              <w:rPr>
                <w:spacing w:val="-10"/>
                <w:sz w:val="18"/>
              </w:rPr>
              <w:t>—</w:t>
            </w:r>
          </w:p>
        </w:tc>
        <w:tc>
          <w:tcPr>
            <w:tcW w:w="1170" w:type="dxa"/>
          </w:tcPr>
          <w:p>
            <w:pPr>
              <w:pStyle w:val="TableParagraph"/>
              <w:spacing w:before="18"/>
              <w:ind w:right="99"/>
              <w:jc w:val="right"/>
              <w:rPr>
                <w:sz w:val="18"/>
              </w:rPr>
            </w:pPr>
            <w:r>
              <w:rPr>
                <w:spacing w:val="-2"/>
                <w:sz w:val="18"/>
              </w:rPr>
              <w:t>64,861</w:t>
            </w:r>
          </w:p>
        </w:tc>
        <w:tc>
          <w:tcPr>
            <w:tcW w:w="1361" w:type="dxa"/>
          </w:tcPr>
          <w:p>
            <w:pPr>
              <w:pStyle w:val="TableParagraph"/>
              <w:spacing w:before="18"/>
              <w:ind w:right="290"/>
              <w:jc w:val="right"/>
              <w:rPr>
                <w:sz w:val="18"/>
              </w:rPr>
            </w:pPr>
            <w:r>
              <w:rPr>
                <w:spacing w:val="-10"/>
                <w:sz w:val="18"/>
              </w:rPr>
              <w:t>—</w:t>
            </w:r>
          </w:p>
        </w:tc>
        <w:tc>
          <w:tcPr>
            <w:tcW w:w="952" w:type="dxa"/>
          </w:tcPr>
          <w:p>
            <w:pPr>
              <w:pStyle w:val="TableParagraph"/>
              <w:spacing w:before="18"/>
              <w:ind w:right="72"/>
              <w:jc w:val="right"/>
              <w:rPr>
                <w:sz w:val="18"/>
              </w:rPr>
            </w:pPr>
            <w:r>
              <w:rPr>
                <w:spacing w:val="-2"/>
                <w:sz w:val="18"/>
              </w:rPr>
              <w:t>64,861</w:t>
            </w:r>
          </w:p>
        </w:tc>
      </w:tr>
      <w:tr>
        <w:trPr>
          <w:trHeight w:val="255" w:hRule="atLeast"/>
        </w:trPr>
        <w:tc>
          <w:tcPr>
            <w:tcW w:w="5445" w:type="dxa"/>
            <w:shd w:val="clear" w:color="auto" w:fill="CCEDFF"/>
          </w:tcPr>
          <w:p>
            <w:pPr>
              <w:pStyle w:val="TableParagraph"/>
              <w:spacing w:before="18"/>
              <w:ind w:left="172"/>
              <w:rPr>
                <w:sz w:val="18"/>
              </w:rPr>
            </w:pPr>
            <w:r>
              <w:rPr>
                <w:sz w:val="18"/>
              </w:rPr>
              <w:t>U.S.</w:t>
            </w:r>
            <w:r>
              <w:rPr>
                <w:spacing w:val="-2"/>
                <w:sz w:val="18"/>
              </w:rPr>
              <w:t> </w:t>
            </w:r>
            <w:r>
              <w:rPr>
                <w:sz w:val="18"/>
              </w:rPr>
              <w:t>Treasury</w:t>
            </w:r>
            <w:r>
              <w:rPr>
                <w:spacing w:val="-1"/>
                <w:sz w:val="18"/>
              </w:rPr>
              <w:t> </w:t>
            </w:r>
            <w:r>
              <w:rPr>
                <w:spacing w:val="-2"/>
                <w:sz w:val="18"/>
              </w:rPr>
              <w:t>securities</w:t>
            </w:r>
          </w:p>
        </w:tc>
        <w:tc>
          <w:tcPr>
            <w:tcW w:w="1302" w:type="dxa"/>
            <w:shd w:val="clear" w:color="auto" w:fill="CCEDFF"/>
          </w:tcPr>
          <w:p>
            <w:pPr>
              <w:pStyle w:val="TableParagraph"/>
              <w:spacing w:before="18"/>
              <w:ind w:right="99"/>
              <w:jc w:val="right"/>
              <w:rPr>
                <w:sz w:val="18"/>
              </w:rPr>
            </w:pPr>
            <w:r>
              <w:rPr>
                <w:spacing w:val="-10"/>
                <w:sz w:val="18"/>
              </w:rPr>
              <w:t>—</w:t>
            </w:r>
          </w:p>
        </w:tc>
        <w:tc>
          <w:tcPr>
            <w:tcW w:w="1170" w:type="dxa"/>
            <w:shd w:val="clear" w:color="auto" w:fill="CCEDFF"/>
          </w:tcPr>
          <w:p>
            <w:pPr>
              <w:pStyle w:val="TableParagraph"/>
              <w:spacing w:before="18"/>
              <w:ind w:right="99"/>
              <w:jc w:val="right"/>
              <w:rPr>
                <w:sz w:val="18"/>
              </w:rPr>
            </w:pPr>
            <w:r>
              <w:rPr>
                <w:spacing w:val="-2"/>
                <w:sz w:val="18"/>
              </w:rPr>
              <w:t>21,788</w:t>
            </w:r>
          </w:p>
        </w:tc>
        <w:tc>
          <w:tcPr>
            <w:tcW w:w="1361" w:type="dxa"/>
            <w:shd w:val="clear" w:color="auto" w:fill="CCEDFF"/>
          </w:tcPr>
          <w:p>
            <w:pPr>
              <w:pStyle w:val="TableParagraph"/>
              <w:spacing w:before="18"/>
              <w:ind w:right="290"/>
              <w:jc w:val="right"/>
              <w:rPr>
                <w:sz w:val="18"/>
              </w:rPr>
            </w:pPr>
            <w:r>
              <w:rPr>
                <w:spacing w:val="-10"/>
                <w:sz w:val="18"/>
              </w:rPr>
              <w:t>—</w:t>
            </w:r>
          </w:p>
        </w:tc>
        <w:tc>
          <w:tcPr>
            <w:tcW w:w="952" w:type="dxa"/>
            <w:shd w:val="clear" w:color="auto" w:fill="CCEDFF"/>
          </w:tcPr>
          <w:p>
            <w:pPr>
              <w:pStyle w:val="TableParagraph"/>
              <w:spacing w:before="18"/>
              <w:ind w:right="72"/>
              <w:jc w:val="right"/>
              <w:rPr>
                <w:sz w:val="18"/>
              </w:rPr>
            </w:pPr>
            <w:r>
              <w:rPr>
                <w:spacing w:val="-2"/>
                <w:sz w:val="18"/>
              </w:rPr>
              <w:t>21,788</w:t>
            </w:r>
          </w:p>
        </w:tc>
      </w:tr>
      <w:tr>
        <w:trPr>
          <w:trHeight w:val="255" w:hRule="atLeast"/>
        </w:trPr>
        <w:tc>
          <w:tcPr>
            <w:tcW w:w="5445" w:type="dxa"/>
          </w:tcPr>
          <w:p>
            <w:pPr>
              <w:pStyle w:val="TableParagraph"/>
              <w:spacing w:before="18"/>
              <w:ind w:left="172"/>
              <w:rPr>
                <w:sz w:val="18"/>
              </w:rPr>
            </w:pPr>
            <w:r>
              <w:rPr>
                <w:sz w:val="18"/>
              </w:rPr>
              <w:t>Asset-backed</w:t>
            </w:r>
            <w:r>
              <w:rPr>
                <w:spacing w:val="-3"/>
                <w:sz w:val="18"/>
              </w:rPr>
              <w:t> </w:t>
            </w:r>
            <w:r>
              <w:rPr>
                <w:spacing w:val="-2"/>
                <w:sz w:val="18"/>
              </w:rPr>
              <w:t>securities</w:t>
            </w:r>
          </w:p>
        </w:tc>
        <w:tc>
          <w:tcPr>
            <w:tcW w:w="1302" w:type="dxa"/>
          </w:tcPr>
          <w:p>
            <w:pPr>
              <w:pStyle w:val="TableParagraph"/>
              <w:spacing w:before="18"/>
              <w:ind w:right="99"/>
              <w:jc w:val="right"/>
              <w:rPr>
                <w:sz w:val="18"/>
              </w:rPr>
            </w:pPr>
            <w:r>
              <w:rPr>
                <w:spacing w:val="-10"/>
                <w:sz w:val="18"/>
              </w:rPr>
              <w:t>—</w:t>
            </w:r>
          </w:p>
        </w:tc>
        <w:tc>
          <w:tcPr>
            <w:tcW w:w="1170" w:type="dxa"/>
          </w:tcPr>
          <w:p>
            <w:pPr>
              <w:pStyle w:val="TableParagraph"/>
              <w:spacing w:before="18"/>
              <w:ind w:right="99"/>
              <w:jc w:val="right"/>
              <w:rPr>
                <w:sz w:val="18"/>
              </w:rPr>
            </w:pPr>
            <w:r>
              <w:rPr>
                <w:spacing w:val="-2"/>
                <w:sz w:val="18"/>
              </w:rPr>
              <w:t>9,624</w:t>
            </w:r>
          </w:p>
        </w:tc>
        <w:tc>
          <w:tcPr>
            <w:tcW w:w="1361" w:type="dxa"/>
          </w:tcPr>
          <w:p>
            <w:pPr>
              <w:pStyle w:val="TableParagraph"/>
              <w:spacing w:before="18"/>
              <w:ind w:right="290"/>
              <w:jc w:val="right"/>
              <w:rPr>
                <w:sz w:val="18"/>
              </w:rPr>
            </w:pPr>
            <w:r>
              <w:rPr>
                <w:spacing w:val="-10"/>
                <w:sz w:val="18"/>
              </w:rPr>
              <w:t>—</w:t>
            </w:r>
          </w:p>
        </w:tc>
        <w:tc>
          <w:tcPr>
            <w:tcW w:w="952" w:type="dxa"/>
          </w:tcPr>
          <w:p>
            <w:pPr>
              <w:pStyle w:val="TableParagraph"/>
              <w:spacing w:before="18"/>
              <w:ind w:right="72"/>
              <w:jc w:val="right"/>
              <w:rPr>
                <w:sz w:val="18"/>
              </w:rPr>
            </w:pPr>
            <w:r>
              <w:rPr>
                <w:spacing w:val="-2"/>
                <w:sz w:val="18"/>
              </w:rPr>
              <w:t>9,624</w:t>
            </w:r>
          </w:p>
        </w:tc>
      </w:tr>
      <w:tr>
        <w:trPr>
          <w:trHeight w:val="255" w:hRule="atLeast"/>
        </w:trPr>
        <w:tc>
          <w:tcPr>
            <w:tcW w:w="5445" w:type="dxa"/>
            <w:shd w:val="clear" w:color="auto" w:fill="CCEDFF"/>
          </w:tcPr>
          <w:p>
            <w:pPr>
              <w:pStyle w:val="TableParagraph"/>
              <w:spacing w:before="18"/>
              <w:ind w:left="172"/>
              <w:rPr>
                <w:sz w:val="18"/>
              </w:rPr>
            </w:pPr>
            <w:r>
              <w:rPr>
                <w:sz w:val="18"/>
              </w:rPr>
              <w:t>Corporate debt </w:t>
            </w:r>
            <w:r>
              <w:rPr>
                <w:spacing w:val="-2"/>
                <w:sz w:val="18"/>
              </w:rPr>
              <w:t>securities</w:t>
            </w:r>
          </w:p>
        </w:tc>
        <w:tc>
          <w:tcPr>
            <w:tcW w:w="1302" w:type="dxa"/>
            <w:shd w:val="clear" w:color="auto" w:fill="CCEDFF"/>
          </w:tcPr>
          <w:p>
            <w:pPr>
              <w:pStyle w:val="TableParagraph"/>
              <w:spacing w:before="18"/>
              <w:ind w:right="99"/>
              <w:jc w:val="right"/>
              <w:rPr>
                <w:sz w:val="18"/>
              </w:rPr>
            </w:pPr>
            <w:r>
              <w:rPr>
                <w:spacing w:val="-10"/>
                <w:sz w:val="18"/>
              </w:rPr>
              <w:t>—</w:t>
            </w:r>
          </w:p>
        </w:tc>
        <w:tc>
          <w:tcPr>
            <w:tcW w:w="1170" w:type="dxa"/>
            <w:shd w:val="clear" w:color="auto" w:fill="CCEDFF"/>
          </w:tcPr>
          <w:p>
            <w:pPr>
              <w:pStyle w:val="TableParagraph"/>
              <w:spacing w:before="18"/>
              <w:ind w:right="99"/>
              <w:jc w:val="right"/>
              <w:rPr>
                <w:sz w:val="18"/>
              </w:rPr>
            </w:pPr>
            <w:r>
              <w:rPr>
                <w:spacing w:val="-2"/>
                <w:sz w:val="18"/>
              </w:rPr>
              <w:t>12,154</w:t>
            </w:r>
          </w:p>
        </w:tc>
        <w:tc>
          <w:tcPr>
            <w:tcW w:w="1361" w:type="dxa"/>
            <w:shd w:val="clear" w:color="auto" w:fill="CCEDFF"/>
          </w:tcPr>
          <w:p>
            <w:pPr>
              <w:pStyle w:val="TableParagraph"/>
              <w:spacing w:before="18"/>
              <w:ind w:right="290"/>
              <w:jc w:val="right"/>
              <w:rPr>
                <w:sz w:val="18"/>
              </w:rPr>
            </w:pPr>
            <w:r>
              <w:rPr>
                <w:spacing w:val="-10"/>
                <w:sz w:val="18"/>
              </w:rPr>
              <w:t>—</w:t>
            </w:r>
          </w:p>
        </w:tc>
        <w:tc>
          <w:tcPr>
            <w:tcW w:w="952" w:type="dxa"/>
            <w:shd w:val="clear" w:color="auto" w:fill="CCEDFF"/>
          </w:tcPr>
          <w:p>
            <w:pPr>
              <w:pStyle w:val="TableParagraph"/>
              <w:spacing w:before="18"/>
              <w:ind w:right="72"/>
              <w:jc w:val="right"/>
              <w:rPr>
                <w:sz w:val="18"/>
              </w:rPr>
            </w:pPr>
            <w:r>
              <w:rPr>
                <w:spacing w:val="-2"/>
                <w:sz w:val="18"/>
              </w:rPr>
              <w:t>12,154</w:t>
            </w:r>
          </w:p>
        </w:tc>
      </w:tr>
      <w:tr>
        <w:trPr>
          <w:trHeight w:val="255" w:hRule="atLeast"/>
        </w:trPr>
        <w:tc>
          <w:tcPr>
            <w:tcW w:w="5445" w:type="dxa"/>
          </w:tcPr>
          <w:p>
            <w:pPr>
              <w:pStyle w:val="TableParagraph"/>
              <w:spacing w:before="18"/>
              <w:ind w:left="172"/>
              <w:rPr>
                <w:sz w:val="18"/>
              </w:rPr>
            </w:pPr>
            <w:r>
              <w:rPr>
                <w:sz w:val="18"/>
              </w:rPr>
              <w:t>Certificates</w:t>
            </w:r>
            <w:r>
              <w:rPr>
                <w:spacing w:val="-1"/>
                <w:sz w:val="18"/>
              </w:rPr>
              <w:t> </w:t>
            </w:r>
            <w:r>
              <w:rPr>
                <w:sz w:val="18"/>
              </w:rPr>
              <w:t>of </w:t>
            </w:r>
            <w:r>
              <w:rPr>
                <w:spacing w:val="-2"/>
                <w:sz w:val="18"/>
              </w:rPr>
              <w:t>deposit</w:t>
            </w:r>
          </w:p>
        </w:tc>
        <w:tc>
          <w:tcPr>
            <w:tcW w:w="1302" w:type="dxa"/>
          </w:tcPr>
          <w:p>
            <w:pPr>
              <w:pStyle w:val="TableParagraph"/>
              <w:spacing w:before="18"/>
              <w:ind w:right="99"/>
              <w:jc w:val="right"/>
              <w:rPr>
                <w:sz w:val="18"/>
              </w:rPr>
            </w:pPr>
            <w:r>
              <w:rPr>
                <w:spacing w:val="-10"/>
                <w:sz w:val="18"/>
              </w:rPr>
              <w:t>—</w:t>
            </w:r>
          </w:p>
        </w:tc>
        <w:tc>
          <w:tcPr>
            <w:tcW w:w="1170" w:type="dxa"/>
          </w:tcPr>
          <w:p>
            <w:pPr>
              <w:pStyle w:val="TableParagraph"/>
              <w:spacing w:before="18"/>
              <w:ind w:right="99"/>
              <w:jc w:val="right"/>
              <w:rPr>
                <w:sz w:val="18"/>
              </w:rPr>
            </w:pPr>
            <w:r>
              <w:rPr>
                <w:spacing w:val="-5"/>
                <w:sz w:val="18"/>
              </w:rPr>
              <w:t>99</w:t>
            </w:r>
          </w:p>
        </w:tc>
        <w:tc>
          <w:tcPr>
            <w:tcW w:w="1361" w:type="dxa"/>
          </w:tcPr>
          <w:p>
            <w:pPr>
              <w:pStyle w:val="TableParagraph"/>
              <w:spacing w:before="18"/>
              <w:ind w:right="290"/>
              <w:jc w:val="right"/>
              <w:rPr>
                <w:sz w:val="18"/>
              </w:rPr>
            </w:pPr>
            <w:r>
              <w:rPr>
                <w:spacing w:val="-10"/>
                <w:sz w:val="18"/>
              </w:rPr>
              <w:t>—</w:t>
            </w:r>
          </w:p>
        </w:tc>
        <w:tc>
          <w:tcPr>
            <w:tcW w:w="952" w:type="dxa"/>
          </w:tcPr>
          <w:p>
            <w:pPr>
              <w:pStyle w:val="TableParagraph"/>
              <w:spacing w:before="18"/>
              <w:ind w:right="72"/>
              <w:jc w:val="right"/>
              <w:rPr>
                <w:sz w:val="18"/>
              </w:rPr>
            </w:pPr>
            <w:r>
              <w:rPr>
                <w:spacing w:val="-5"/>
                <w:sz w:val="18"/>
              </w:rPr>
              <w:t>99</w:t>
            </w:r>
          </w:p>
        </w:tc>
      </w:tr>
      <w:tr>
        <w:trPr>
          <w:trHeight w:val="255" w:hRule="atLeast"/>
        </w:trPr>
        <w:tc>
          <w:tcPr>
            <w:tcW w:w="5445" w:type="dxa"/>
            <w:shd w:val="clear" w:color="auto" w:fill="CCEDFF"/>
          </w:tcPr>
          <w:p>
            <w:pPr>
              <w:pStyle w:val="TableParagraph"/>
              <w:spacing w:before="18"/>
              <w:ind w:left="172"/>
              <w:rPr>
                <w:sz w:val="18"/>
              </w:rPr>
            </w:pPr>
            <w:r>
              <w:rPr>
                <w:sz w:val="18"/>
              </w:rPr>
              <w:t>Foreign</w:t>
            </w:r>
            <w:r>
              <w:rPr>
                <w:spacing w:val="-1"/>
                <w:sz w:val="18"/>
              </w:rPr>
              <w:t> </w:t>
            </w:r>
            <w:r>
              <w:rPr>
                <w:sz w:val="18"/>
              </w:rPr>
              <w:t>government agency </w:t>
            </w:r>
            <w:r>
              <w:rPr>
                <w:spacing w:val="-2"/>
                <w:sz w:val="18"/>
              </w:rPr>
              <w:t>securities</w:t>
            </w:r>
          </w:p>
        </w:tc>
        <w:tc>
          <w:tcPr>
            <w:tcW w:w="1302" w:type="dxa"/>
            <w:shd w:val="clear" w:color="auto" w:fill="CCEDFF"/>
          </w:tcPr>
          <w:p>
            <w:pPr>
              <w:pStyle w:val="TableParagraph"/>
              <w:spacing w:before="18"/>
              <w:ind w:right="99"/>
              <w:jc w:val="right"/>
              <w:rPr>
                <w:sz w:val="18"/>
              </w:rPr>
            </w:pPr>
            <w:r>
              <w:rPr>
                <w:spacing w:val="-10"/>
                <w:sz w:val="18"/>
              </w:rPr>
              <w:t>—</w:t>
            </w:r>
          </w:p>
        </w:tc>
        <w:tc>
          <w:tcPr>
            <w:tcW w:w="1170" w:type="dxa"/>
            <w:shd w:val="clear" w:color="auto" w:fill="CCEDFF"/>
          </w:tcPr>
          <w:p>
            <w:pPr>
              <w:pStyle w:val="TableParagraph"/>
              <w:spacing w:before="18"/>
              <w:ind w:right="99"/>
              <w:jc w:val="right"/>
              <w:rPr>
                <w:sz w:val="18"/>
              </w:rPr>
            </w:pPr>
            <w:r>
              <w:rPr>
                <w:spacing w:val="-5"/>
                <w:sz w:val="18"/>
              </w:rPr>
              <w:t>985</w:t>
            </w:r>
          </w:p>
        </w:tc>
        <w:tc>
          <w:tcPr>
            <w:tcW w:w="1361" w:type="dxa"/>
            <w:shd w:val="clear" w:color="auto" w:fill="CCEDFF"/>
          </w:tcPr>
          <w:p>
            <w:pPr>
              <w:pStyle w:val="TableParagraph"/>
              <w:spacing w:before="18"/>
              <w:ind w:right="290"/>
              <w:jc w:val="right"/>
              <w:rPr>
                <w:sz w:val="18"/>
              </w:rPr>
            </w:pPr>
            <w:r>
              <w:rPr>
                <w:spacing w:val="-10"/>
                <w:sz w:val="18"/>
              </w:rPr>
              <w:t>—</w:t>
            </w:r>
          </w:p>
        </w:tc>
        <w:tc>
          <w:tcPr>
            <w:tcW w:w="952" w:type="dxa"/>
            <w:shd w:val="clear" w:color="auto" w:fill="CCEDFF"/>
          </w:tcPr>
          <w:p>
            <w:pPr>
              <w:pStyle w:val="TableParagraph"/>
              <w:spacing w:before="18"/>
              <w:ind w:right="72"/>
              <w:jc w:val="right"/>
              <w:rPr>
                <w:sz w:val="18"/>
              </w:rPr>
            </w:pPr>
            <w:r>
              <w:rPr>
                <w:spacing w:val="-5"/>
                <w:sz w:val="18"/>
              </w:rPr>
              <w:t>985</w:t>
            </w:r>
          </w:p>
        </w:tc>
      </w:tr>
      <w:tr>
        <w:trPr>
          <w:trHeight w:val="255" w:hRule="atLeast"/>
        </w:trPr>
        <w:tc>
          <w:tcPr>
            <w:tcW w:w="5445" w:type="dxa"/>
          </w:tcPr>
          <w:p>
            <w:pPr>
              <w:pStyle w:val="TableParagraph"/>
              <w:spacing w:before="18"/>
              <w:ind w:left="172"/>
              <w:rPr>
                <w:sz w:val="18"/>
              </w:rPr>
            </w:pPr>
            <w:r>
              <w:rPr>
                <w:sz w:val="18"/>
              </w:rPr>
              <w:t>U.S.</w:t>
            </w:r>
            <w:r>
              <w:rPr>
                <w:spacing w:val="-1"/>
                <w:sz w:val="18"/>
              </w:rPr>
              <w:t> </w:t>
            </w:r>
            <w:r>
              <w:rPr>
                <w:sz w:val="18"/>
              </w:rPr>
              <w:t>state</w:t>
            </w:r>
            <w:r>
              <w:rPr>
                <w:spacing w:val="-1"/>
                <w:sz w:val="18"/>
              </w:rPr>
              <w:t> </w:t>
            </w:r>
            <w:r>
              <w:rPr>
                <w:sz w:val="18"/>
              </w:rPr>
              <w:t>and</w:t>
            </w:r>
            <w:r>
              <w:rPr>
                <w:spacing w:val="-1"/>
                <w:sz w:val="18"/>
              </w:rPr>
              <w:t> </w:t>
            </w:r>
            <w:r>
              <w:rPr>
                <w:sz w:val="18"/>
              </w:rPr>
              <w:t>municipal </w:t>
            </w:r>
            <w:r>
              <w:rPr>
                <w:spacing w:val="-2"/>
                <w:sz w:val="18"/>
              </w:rPr>
              <w:t>securities</w:t>
            </w:r>
          </w:p>
        </w:tc>
        <w:tc>
          <w:tcPr>
            <w:tcW w:w="1302" w:type="dxa"/>
          </w:tcPr>
          <w:p>
            <w:pPr>
              <w:pStyle w:val="TableParagraph"/>
              <w:spacing w:before="18"/>
              <w:ind w:right="99"/>
              <w:jc w:val="right"/>
              <w:rPr>
                <w:sz w:val="18"/>
              </w:rPr>
            </w:pPr>
            <w:r>
              <w:rPr>
                <w:spacing w:val="-10"/>
                <w:sz w:val="18"/>
              </w:rPr>
              <w:t>—</w:t>
            </w:r>
          </w:p>
        </w:tc>
        <w:tc>
          <w:tcPr>
            <w:tcW w:w="1170" w:type="dxa"/>
          </w:tcPr>
          <w:p>
            <w:pPr>
              <w:pStyle w:val="TableParagraph"/>
              <w:spacing w:before="18"/>
              <w:ind w:right="99"/>
              <w:jc w:val="right"/>
              <w:rPr>
                <w:sz w:val="18"/>
              </w:rPr>
            </w:pPr>
            <w:r>
              <w:rPr>
                <w:spacing w:val="-5"/>
                <w:sz w:val="18"/>
              </w:rPr>
              <w:t>555</w:t>
            </w:r>
          </w:p>
        </w:tc>
        <w:tc>
          <w:tcPr>
            <w:tcW w:w="1361" w:type="dxa"/>
          </w:tcPr>
          <w:p>
            <w:pPr>
              <w:pStyle w:val="TableParagraph"/>
              <w:spacing w:before="18"/>
              <w:ind w:right="290"/>
              <w:jc w:val="right"/>
              <w:rPr>
                <w:sz w:val="18"/>
              </w:rPr>
            </w:pPr>
            <w:r>
              <w:rPr>
                <w:spacing w:val="-10"/>
                <w:sz w:val="18"/>
              </w:rPr>
              <w:t>—</w:t>
            </w:r>
          </w:p>
        </w:tc>
        <w:tc>
          <w:tcPr>
            <w:tcW w:w="952" w:type="dxa"/>
          </w:tcPr>
          <w:p>
            <w:pPr>
              <w:pStyle w:val="TableParagraph"/>
              <w:spacing w:before="18"/>
              <w:ind w:right="72"/>
              <w:jc w:val="right"/>
              <w:rPr>
                <w:sz w:val="18"/>
              </w:rPr>
            </w:pPr>
            <w:r>
              <w:rPr>
                <w:spacing w:val="-5"/>
                <w:sz w:val="18"/>
              </w:rPr>
              <w:t>555</w:t>
            </w:r>
          </w:p>
        </w:tc>
      </w:tr>
      <w:tr>
        <w:trPr>
          <w:trHeight w:val="255" w:hRule="atLeast"/>
        </w:trPr>
        <w:tc>
          <w:tcPr>
            <w:tcW w:w="5445" w:type="dxa"/>
            <w:shd w:val="clear" w:color="auto" w:fill="CCEDFF"/>
          </w:tcPr>
          <w:p>
            <w:pPr>
              <w:pStyle w:val="TableParagraph"/>
              <w:spacing w:before="18"/>
              <w:ind w:left="172"/>
              <w:rPr>
                <w:sz w:val="18"/>
              </w:rPr>
            </w:pPr>
            <w:r>
              <w:rPr>
                <w:sz w:val="18"/>
              </w:rPr>
              <w:t>Non-agency</w:t>
            </w:r>
            <w:r>
              <w:rPr>
                <w:spacing w:val="-1"/>
                <w:sz w:val="18"/>
              </w:rPr>
              <w:t> </w:t>
            </w:r>
            <w:r>
              <w:rPr>
                <w:sz w:val="18"/>
              </w:rPr>
              <w:t>commercial mortgage-backed </w:t>
            </w:r>
            <w:r>
              <w:rPr>
                <w:spacing w:val="-2"/>
                <w:sz w:val="18"/>
              </w:rPr>
              <w:t>securities</w:t>
            </w:r>
          </w:p>
        </w:tc>
        <w:tc>
          <w:tcPr>
            <w:tcW w:w="1302" w:type="dxa"/>
            <w:shd w:val="clear" w:color="auto" w:fill="CCEDFF"/>
          </w:tcPr>
          <w:p>
            <w:pPr>
              <w:pStyle w:val="TableParagraph"/>
              <w:spacing w:before="18"/>
              <w:ind w:right="99"/>
              <w:jc w:val="right"/>
              <w:rPr>
                <w:sz w:val="18"/>
              </w:rPr>
            </w:pPr>
            <w:r>
              <w:rPr>
                <w:spacing w:val="-10"/>
                <w:sz w:val="18"/>
              </w:rPr>
              <w:t>—</w:t>
            </w:r>
          </w:p>
        </w:tc>
        <w:tc>
          <w:tcPr>
            <w:tcW w:w="1170" w:type="dxa"/>
            <w:shd w:val="clear" w:color="auto" w:fill="CCEDFF"/>
          </w:tcPr>
          <w:p>
            <w:pPr>
              <w:pStyle w:val="TableParagraph"/>
              <w:spacing w:before="18"/>
              <w:ind w:right="99"/>
              <w:jc w:val="right"/>
              <w:rPr>
                <w:sz w:val="18"/>
              </w:rPr>
            </w:pPr>
            <w:r>
              <w:rPr>
                <w:spacing w:val="-5"/>
                <w:sz w:val="18"/>
              </w:rPr>
              <w:t>188</w:t>
            </w:r>
          </w:p>
        </w:tc>
        <w:tc>
          <w:tcPr>
            <w:tcW w:w="1361" w:type="dxa"/>
            <w:shd w:val="clear" w:color="auto" w:fill="CCEDFF"/>
          </w:tcPr>
          <w:p>
            <w:pPr>
              <w:pStyle w:val="TableParagraph"/>
              <w:spacing w:before="18"/>
              <w:ind w:right="290"/>
              <w:jc w:val="right"/>
              <w:rPr>
                <w:sz w:val="18"/>
              </w:rPr>
            </w:pPr>
            <w:r>
              <w:rPr>
                <w:spacing w:val="-10"/>
                <w:sz w:val="18"/>
              </w:rPr>
              <w:t>—</w:t>
            </w:r>
          </w:p>
        </w:tc>
        <w:tc>
          <w:tcPr>
            <w:tcW w:w="952" w:type="dxa"/>
            <w:shd w:val="clear" w:color="auto" w:fill="CCEDFF"/>
          </w:tcPr>
          <w:p>
            <w:pPr>
              <w:pStyle w:val="TableParagraph"/>
              <w:spacing w:before="18"/>
              <w:ind w:right="72"/>
              <w:jc w:val="right"/>
              <w:rPr>
                <w:sz w:val="18"/>
              </w:rPr>
            </w:pPr>
            <w:r>
              <w:rPr>
                <w:spacing w:val="-5"/>
                <w:sz w:val="18"/>
              </w:rPr>
              <w:t>188</w:t>
            </w:r>
          </w:p>
        </w:tc>
      </w:tr>
      <w:tr>
        <w:trPr>
          <w:trHeight w:val="250" w:hRule="atLeast"/>
        </w:trPr>
        <w:tc>
          <w:tcPr>
            <w:tcW w:w="5445" w:type="dxa"/>
            <w:tcBorders>
              <w:bottom w:val="single" w:sz="4" w:space="0" w:color="000000"/>
            </w:tcBorders>
          </w:tcPr>
          <w:p>
            <w:pPr>
              <w:pStyle w:val="TableParagraph"/>
              <w:spacing w:before="18"/>
              <w:ind w:left="172"/>
              <w:rPr>
                <w:sz w:val="18"/>
              </w:rPr>
            </w:pPr>
            <w:r>
              <w:rPr>
                <w:spacing w:val="-2"/>
                <w:sz w:val="18"/>
              </w:rPr>
              <w:t>Other</w:t>
            </w:r>
          </w:p>
        </w:tc>
        <w:tc>
          <w:tcPr>
            <w:tcW w:w="1302" w:type="dxa"/>
            <w:tcBorders>
              <w:bottom w:val="single" w:sz="4" w:space="0" w:color="000000"/>
            </w:tcBorders>
          </w:tcPr>
          <w:p>
            <w:pPr>
              <w:pStyle w:val="TableParagraph"/>
              <w:spacing w:before="18"/>
              <w:ind w:right="99"/>
              <w:jc w:val="right"/>
              <w:rPr>
                <w:sz w:val="18"/>
              </w:rPr>
            </w:pPr>
            <w:r>
              <w:rPr>
                <w:spacing w:val="-10"/>
                <w:sz w:val="18"/>
              </w:rPr>
              <w:t>—</w:t>
            </w:r>
          </w:p>
        </w:tc>
        <w:tc>
          <w:tcPr>
            <w:tcW w:w="1170" w:type="dxa"/>
            <w:tcBorders>
              <w:bottom w:val="single" w:sz="4" w:space="0" w:color="000000"/>
            </w:tcBorders>
          </w:tcPr>
          <w:p>
            <w:pPr>
              <w:pStyle w:val="TableParagraph"/>
              <w:spacing w:before="18"/>
              <w:ind w:right="99"/>
              <w:jc w:val="right"/>
              <w:rPr>
                <w:sz w:val="18"/>
              </w:rPr>
            </w:pPr>
            <w:r>
              <w:rPr>
                <w:spacing w:val="-5"/>
                <w:sz w:val="18"/>
              </w:rPr>
              <w:t>18</w:t>
            </w:r>
          </w:p>
        </w:tc>
        <w:tc>
          <w:tcPr>
            <w:tcW w:w="1361" w:type="dxa"/>
            <w:tcBorders>
              <w:bottom w:val="single" w:sz="4" w:space="0" w:color="000000"/>
            </w:tcBorders>
          </w:tcPr>
          <w:p>
            <w:pPr>
              <w:pStyle w:val="TableParagraph"/>
              <w:spacing w:before="18"/>
              <w:ind w:right="290"/>
              <w:jc w:val="right"/>
              <w:rPr>
                <w:sz w:val="18"/>
              </w:rPr>
            </w:pPr>
            <w:r>
              <w:rPr>
                <w:spacing w:val="-10"/>
                <w:sz w:val="18"/>
              </w:rPr>
              <w:t>—</w:t>
            </w:r>
          </w:p>
        </w:tc>
        <w:tc>
          <w:tcPr>
            <w:tcW w:w="952" w:type="dxa"/>
            <w:tcBorders>
              <w:bottom w:val="single" w:sz="4" w:space="0" w:color="000000"/>
            </w:tcBorders>
          </w:tcPr>
          <w:p>
            <w:pPr>
              <w:pStyle w:val="TableParagraph"/>
              <w:spacing w:before="18"/>
              <w:ind w:right="72"/>
              <w:jc w:val="right"/>
              <w:rPr>
                <w:sz w:val="18"/>
              </w:rPr>
            </w:pPr>
            <w:r>
              <w:rPr>
                <w:spacing w:val="-5"/>
                <w:sz w:val="18"/>
              </w:rPr>
              <w:t>18</w:t>
            </w:r>
          </w:p>
        </w:tc>
      </w:tr>
      <w:tr>
        <w:trPr>
          <w:trHeight w:val="250" w:hRule="atLeast"/>
        </w:trPr>
        <w:tc>
          <w:tcPr>
            <w:tcW w:w="5445" w:type="dxa"/>
            <w:tcBorders>
              <w:top w:val="single" w:sz="4" w:space="0" w:color="000000"/>
            </w:tcBorders>
            <w:shd w:val="clear" w:color="auto" w:fill="CCEDFF"/>
          </w:tcPr>
          <w:p>
            <w:pPr>
              <w:pStyle w:val="TableParagraph"/>
              <w:spacing w:before="13"/>
              <w:ind w:left="292"/>
              <w:rPr>
                <w:sz w:val="18"/>
              </w:rPr>
            </w:pPr>
            <w:r>
              <w:rPr>
                <w:sz w:val="18"/>
              </w:rPr>
              <w:t>Total</w:t>
            </w:r>
            <w:r>
              <w:rPr>
                <w:spacing w:val="-1"/>
                <w:sz w:val="18"/>
              </w:rPr>
              <w:t> </w:t>
            </w:r>
            <w:r>
              <w:rPr>
                <w:sz w:val="18"/>
              </w:rPr>
              <w:t>available for sale </w:t>
            </w:r>
            <w:r>
              <w:rPr>
                <w:spacing w:val="-2"/>
                <w:sz w:val="18"/>
              </w:rPr>
              <w:t>securities</w:t>
            </w:r>
          </w:p>
        </w:tc>
        <w:tc>
          <w:tcPr>
            <w:tcW w:w="1302" w:type="dxa"/>
            <w:tcBorders>
              <w:top w:val="single" w:sz="4" w:space="0" w:color="000000"/>
            </w:tcBorders>
            <w:shd w:val="clear" w:color="auto" w:fill="CCEDFF"/>
          </w:tcPr>
          <w:p>
            <w:pPr>
              <w:pStyle w:val="TableParagraph"/>
              <w:spacing w:before="13"/>
              <w:ind w:right="99"/>
              <w:jc w:val="right"/>
              <w:rPr>
                <w:sz w:val="18"/>
              </w:rPr>
            </w:pPr>
            <w:r>
              <w:rPr>
                <w:spacing w:val="-10"/>
                <w:sz w:val="18"/>
              </w:rPr>
              <w:t>—</w:t>
            </w:r>
          </w:p>
        </w:tc>
        <w:tc>
          <w:tcPr>
            <w:tcW w:w="1170" w:type="dxa"/>
            <w:tcBorders>
              <w:top w:val="single" w:sz="4" w:space="0" w:color="000000"/>
            </w:tcBorders>
            <w:shd w:val="clear" w:color="auto" w:fill="CCEDFF"/>
          </w:tcPr>
          <w:p>
            <w:pPr>
              <w:pStyle w:val="TableParagraph"/>
              <w:spacing w:before="13"/>
              <w:ind w:right="99"/>
              <w:jc w:val="right"/>
              <w:rPr>
                <w:sz w:val="18"/>
              </w:rPr>
            </w:pPr>
            <w:r>
              <w:rPr>
                <w:spacing w:val="-2"/>
                <w:sz w:val="18"/>
              </w:rPr>
              <w:t>110,272</w:t>
            </w:r>
          </w:p>
        </w:tc>
        <w:tc>
          <w:tcPr>
            <w:tcW w:w="1361" w:type="dxa"/>
            <w:tcBorders>
              <w:top w:val="single" w:sz="4" w:space="0" w:color="000000"/>
            </w:tcBorders>
            <w:shd w:val="clear" w:color="auto" w:fill="CCEDFF"/>
          </w:tcPr>
          <w:p>
            <w:pPr>
              <w:pStyle w:val="TableParagraph"/>
              <w:spacing w:before="13"/>
              <w:ind w:right="290"/>
              <w:jc w:val="right"/>
              <w:rPr>
                <w:sz w:val="18"/>
              </w:rPr>
            </w:pPr>
            <w:r>
              <w:rPr>
                <w:spacing w:val="-10"/>
                <w:sz w:val="18"/>
              </w:rPr>
              <w:t>—</w:t>
            </w:r>
          </w:p>
        </w:tc>
        <w:tc>
          <w:tcPr>
            <w:tcW w:w="952" w:type="dxa"/>
            <w:tcBorders>
              <w:top w:val="single" w:sz="4" w:space="0" w:color="000000"/>
            </w:tcBorders>
            <w:shd w:val="clear" w:color="auto" w:fill="CCEDFF"/>
          </w:tcPr>
          <w:p>
            <w:pPr>
              <w:pStyle w:val="TableParagraph"/>
              <w:spacing w:before="13"/>
              <w:ind w:right="72"/>
              <w:jc w:val="right"/>
              <w:rPr>
                <w:sz w:val="18"/>
              </w:rPr>
            </w:pPr>
            <w:r>
              <w:rPr>
                <w:spacing w:val="-2"/>
                <w:sz w:val="18"/>
              </w:rPr>
              <w:t>110,272</w:t>
            </w:r>
          </w:p>
        </w:tc>
      </w:tr>
      <w:tr>
        <w:trPr>
          <w:trHeight w:val="255" w:hRule="atLeast"/>
        </w:trPr>
        <w:tc>
          <w:tcPr>
            <w:tcW w:w="5445" w:type="dxa"/>
          </w:tcPr>
          <w:p>
            <w:pPr>
              <w:pStyle w:val="TableParagraph"/>
              <w:spacing w:before="18"/>
              <w:ind w:left="52"/>
              <w:rPr>
                <w:sz w:val="18"/>
              </w:rPr>
            </w:pPr>
            <w:r>
              <w:rPr>
                <w:sz w:val="18"/>
              </w:rPr>
              <w:t>Other</w:t>
            </w:r>
            <w:r>
              <w:rPr>
                <w:spacing w:val="-3"/>
                <w:sz w:val="18"/>
              </w:rPr>
              <w:t> </w:t>
            </w:r>
            <w:r>
              <w:rPr>
                <w:spacing w:val="-2"/>
                <w:sz w:val="18"/>
              </w:rPr>
              <w:t>assets:</w:t>
            </w:r>
          </w:p>
        </w:tc>
        <w:tc>
          <w:tcPr>
            <w:tcW w:w="1302" w:type="dxa"/>
          </w:tcPr>
          <w:p>
            <w:pPr>
              <w:pStyle w:val="TableParagraph"/>
              <w:rPr>
                <w:sz w:val="18"/>
              </w:rPr>
            </w:pPr>
          </w:p>
        </w:tc>
        <w:tc>
          <w:tcPr>
            <w:tcW w:w="1170" w:type="dxa"/>
          </w:tcPr>
          <w:p>
            <w:pPr>
              <w:pStyle w:val="TableParagraph"/>
              <w:rPr>
                <w:sz w:val="18"/>
              </w:rPr>
            </w:pPr>
          </w:p>
        </w:tc>
        <w:tc>
          <w:tcPr>
            <w:tcW w:w="1361" w:type="dxa"/>
          </w:tcPr>
          <w:p>
            <w:pPr>
              <w:pStyle w:val="TableParagraph"/>
              <w:rPr>
                <w:sz w:val="18"/>
              </w:rPr>
            </w:pPr>
          </w:p>
        </w:tc>
        <w:tc>
          <w:tcPr>
            <w:tcW w:w="952" w:type="dxa"/>
          </w:tcPr>
          <w:p>
            <w:pPr>
              <w:pStyle w:val="TableParagraph"/>
              <w:rPr>
                <w:sz w:val="18"/>
              </w:rPr>
            </w:pPr>
          </w:p>
        </w:tc>
      </w:tr>
      <w:tr>
        <w:trPr>
          <w:trHeight w:val="255" w:hRule="atLeast"/>
        </w:trPr>
        <w:tc>
          <w:tcPr>
            <w:tcW w:w="10230" w:type="dxa"/>
            <w:gridSpan w:val="5"/>
            <w:shd w:val="clear" w:color="auto" w:fill="CCEDFF"/>
          </w:tcPr>
          <w:p>
            <w:pPr>
              <w:pStyle w:val="TableParagraph"/>
              <w:spacing w:before="18"/>
              <w:ind w:left="172"/>
              <w:rPr>
                <w:sz w:val="18"/>
              </w:rPr>
            </w:pPr>
            <w:r>
              <w:rPr>
                <w:sz w:val="18"/>
              </w:rPr>
              <w:t>Other</w:t>
            </w:r>
            <w:r>
              <w:rPr>
                <w:spacing w:val="-1"/>
                <w:sz w:val="18"/>
              </w:rPr>
              <w:t> </w:t>
            </w:r>
            <w:r>
              <w:rPr>
                <w:sz w:val="18"/>
              </w:rPr>
              <w:t>securities</w:t>
            </w:r>
            <w:r>
              <w:rPr>
                <w:spacing w:val="-2"/>
                <w:sz w:val="18"/>
              </w:rPr>
              <w:t> </w:t>
            </w:r>
            <w:r>
              <w:rPr>
                <w:sz w:val="18"/>
              </w:rPr>
              <w:t>owned at</w:t>
            </w:r>
            <w:r>
              <w:rPr>
                <w:spacing w:val="-1"/>
                <w:sz w:val="18"/>
              </w:rPr>
              <w:t> </w:t>
            </w:r>
            <w:r>
              <w:rPr>
                <w:sz w:val="18"/>
              </w:rPr>
              <w:t>fair </w:t>
            </w:r>
            <w:r>
              <w:rPr>
                <w:spacing w:val="-2"/>
                <w:sz w:val="18"/>
              </w:rPr>
              <w:t>value:</w:t>
            </w:r>
          </w:p>
        </w:tc>
      </w:tr>
      <w:tr>
        <w:trPr>
          <w:trHeight w:val="255" w:hRule="atLeast"/>
        </w:trPr>
        <w:tc>
          <w:tcPr>
            <w:tcW w:w="5445" w:type="dxa"/>
          </w:tcPr>
          <w:p>
            <w:pPr>
              <w:pStyle w:val="TableParagraph"/>
              <w:spacing w:before="18"/>
              <w:ind w:left="307"/>
              <w:rPr>
                <w:sz w:val="18"/>
              </w:rPr>
            </w:pPr>
            <w:r>
              <w:rPr>
                <w:sz w:val="18"/>
              </w:rPr>
              <w:t>Equity, corporate debt, and other </w:t>
            </w:r>
            <w:r>
              <w:rPr>
                <w:spacing w:val="-2"/>
                <w:sz w:val="18"/>
              </w:rPr>
              <w:t>securities</w:t>
            </w:r>
          </w:p>
        </w:tc>
        <w:tc>
          <w:tcPr>
            <w:tcW w:w="1302" w:type="dxa"/>
          </w:tcPr>
          <w:p>
            <w:pPr>
              <w:pStyle w:val="TableParagraph"/>
              <w:spacing w:before="18"/>
              <w:ind w:right="99"/>
              <w:jc w:val="right"/>
              <w:rPr>
                <w:sz w:val="18"/>
              </w:rPr>
            </w:pPr>
            <w:r>
              <w:rPr>
                <w:spacing w:val="-5"/>
                <w:sz w:val="18"/>
              </w:rPr>
              <w:t>877</w:t>
            </w:r>
          </w:p>
        </w:tc>
        <w:tc>
          <w:tcPr>
            <w:tcW w:w="1170" w:type="dxa"/>
          </w:tcPr>
          <w:p>
            <w:pPr>
              <w:pStyle w:val="TableParagraph"/>
              <w:spacing w:before="18"/>
              <w:ind w:right="99"/>
              <w:jc w:val="right"/>
              <w:rPr>
                <w:sz w:val="18"/>
              </w:rPr>
            </w:pPr>
            <w:r>
              <w:rPr>
                <w:spacing w:val="-5"/>
                <w:sz w:val="18"/>
              </w:rPr>
              <w:t>59</w:t>
            </w:r>
          </w:p>
        </w:tc>
        <w:tc>
          <w:tcPr>
            <w:tcW w:w="1361" w:type="dxa"/>
          </w:tcPr>
          <w:p>
            <w:pPr>
              <w:pStyle w:val="TableParagraph"/>
              <w:spacing w:before="18"/>
              <w:ind w:right="290"/>
              <w:jc w:val="right"/>
              <w:rPr>
                <w:sz w:val="18"/>
              </w:rPr>
            </w:pPr>
            <w:r>
              <w:rPr>
                <w:spacing w:val="-10"/>
                <w:sz w:val="18"/>
              </w:rPr>
              <w:t>—</w:t>
            </w:r>
          </w:p>
        </w:tc>
        <w:tc>
          <w:tcPr>
            <w:tcW w:w="952" w:type="dxa"/>
          </w:tcPr>
          <w:p>
            <w:pPr>
              <w:pStyle w:val="TableParagraph"/>
              <w:spacing w:before="18"/>
              <w:ind w:right="72"/>
              <w:jc w:val="right"/>
              <w:rPr>
                <w:sz w:val="18"/>
              </w:rPr>
            </w:pPr>
            <w:r>
              <w:rPr>
                <w:spacing w:val="-5"/>
                <w:sz w:val="18"/>
              </w:rPr>
              <w:t>936</w:t>
            </w:r>
          </w:p>
        </w:tc>
      </w:tr>
      <w:tr>
        <w:trPr>
          <w:trHeight w:val="255" w:hRule="atLeast"/>
        </w:trPr>
        <w:tc>
          <w:tcPr>
            <w:tcW w:w="5445" w:type="dxa"/>
            <w:shd w:val="clear" w:color="auto" w:fill="CCEDFF"/>
          </w:tcPr>
          <w:p>
            <w:pPr>
              <w:pStyle w:val="TableParagraph"/>
              <w:spacing w:before="18"/>
              <w:ind w:left="307"/>
              <w:rPr>
                <w:sz w:val="18"/>
              </w:rPr>
            </w:pPr>
            <w:r>
              <w:rPr>
                <w:sz w:val="18"/>
              </w:rPr>
              <w:t>Mutual</w:t>
            </w:r>
            <w:r>
              <w:rPr>
                <w:spacing w:val="-3"/>
                <w:sz w:val="18"/>
              </w:rPr>
              <w:t> </w:t>
            </w:r>
            <w:r>
              <w:rPr>
                <w:sz w:val="18"/>
              </w:rPr>
              <w:t>funds</w:t>
            </w:r>
            <w:r>
              <w:rPr>
                <w:spacing w:val="-1"/>
                <w:sz w:val="18"/>
              </w:rPr>
              <w:t> </w:t>
            </w:r>
            <w:r>
              <w:rPr>
                <w:sz w:val="18"/>
              </w:rPr>
              <w:t>and </w:t>
            </w:r>
            <w:r>
              <w:rPr>
                <w:spacing w:val="-4"/>
                <w:sz w:val="18"/>
              </w:rPr>
              <w:t>ETFs</w:t>
            </w:r>
          </w:p>
        </w:tc>
        <w:tc>
          <w:tcPr>
            <w:tcW w:w="1302" w:type="dxa"/>
            <w:shd w:val="clear" w:color="auto" w:fill="CCEDFF"/>
          </w:tcPr>
          <w:p>
            <w:pPr>
              <w:pStyle w:val="TableParagraph"/>
              <w:spacing w:before="18"/>
              <w:ind w:right="99"/>
              <w:jc w:val="right"/>
              <w:rPr>
                <w:sz w:val="18"/>
              </w:rPr>
            </w:pPr>
            <w:r>
              <w:rPr>
                <w:spacing w:val="-5"/>
                <w:sz w:val="18"/>
              </w:rPr>
              <w:t>677</w:t>
            </w:r>
          </w:p>
        </w:tc>
        <w:tc>
          <w:tcPr>
            <w:tcW w:w="1170" w:type="dxa"/>
            <w:shd w:val="clear" w:color="auto" w:fill="CCEDFF"/>
          </w:tcPr>
          <w:p>
            <w:pPr>
              <w:pStyle w:val="TableParagraph"/>
              <w:spacing w:before="18"/>
              <w:ind w:right="99"/>
              <w:jc w:val="right"/>
              <w:rPr>
                <w:sz w:val="18"/>
              </w:rPr>
            </w:pPr>
            <w:r>
              <w:rPr>
                <w:spacing w:val="-10"/>
                <w:sz w:val="18"/>
              </w:rPr>
              <w:t>—</w:t>
            </w:r>
          </w:p>
        </w:tc>
        <w:tc>
          <w:tcPr>
            <w:tcW w:w="1361" w:type="dxa"/>
            <w:shd w:val="clear" w:color="auto" w:fill="CCEDFF"/>
          </w:tcPr>
          <w:p>
            <w:pPr>
              <w:pStyle w:val="TableParagraph"/>
              <w:spacing w:before="18"/>
              <w:ind w:right="290"/>
              <w:jc w:val="right"/>
              <w:rPr>
                <w:sz w:val="18"/>
              </w:rPr>
            </w:pPr>
            <w:r>
              <w:rPr>
                <w:spacing w:val="-10"/>
                <w:sz w:val="18"/>
              </w:rPr>
              <w:t>—</w:t>
            </w:r>
          </w:p>
        </w:tc>
        <w:tc>
          <w:tcPr>
            <w:tcW w:w="952" w:type="dxa"/>
            <w:shd w:val="clear" w:color="auto" w:fill="CCEDFF"/>
          </w:tcPr>
          <w:p>
            <w:pPr>
              <w:pStyle w:val="TableParagraph"/>
              <w:spacing w:before="18"/>
              <w:ind w:right="72"/>
              <w:jc w:val="right"/>
              <w:rPr>
                <w:sz w:val="18"/>
              </w:rPr>
            </w:pPr>
            <w:r>
              <w:rPr>
                <w:spacing w:val="-5"/>
                <w:sz w:val="18"/>
              </w:rPr>
              <w:t>677</w:t>
            </w:r>
          </w:p>
        </w:tc>
      </w:tr>
      <w:tr>
        <w:trPr>
          <w:trHeight w:val="255" w:hRule="atLeast"/>
        </w:trPr>
        <w:tc>
          <w:tcPr>
            <w:tcW w:w="5445" w:type="dxa"/>
          </w:tcPr>
          <w:p>
            <w:pPr>
              <w:pStyle w:val="TableParagraph"/>
              <w:spacing w:before="18"/>
              <w:ind w:left="307"/>
              <w:rPr>
                <w:sz w:val="18"/>
              </w:rPr>
            </w:pPr>
            <w:r>
              <w:rPr>
                <w:sz w:val="18"/>
              </w:rPr>
              <w:t>State</w:t>
            </w:r>
            <w:r>
              <w:rPr>
                <w:spacing w:val="-3"/>
                <w:sz w:val="18"/>
              </w:rPr>
              <w:t> </w:t>
            </w:r>
            <w:r>
              <w:rPr>
                <w:sz w:val="18"/>
              </w:rPr>
              <w:t>and municipal debt </w:t>
            </w:r>
            <w:r>
              <w:rPr>
                <w:spacing w:val="-2"/>
                <w:sz w:val="18"/>
              </w:rPr>
              <w:t>obligations</w:t>
            </w:r>
          </w:p>
        </w:tc>
        <w:tc>
          <w:tcPr>
            <w:tcW w:w="1302" w:type="dxa"/>
          </w:tcPr>
          <w:p>
            <w:pPr>
              <w:pStyle w:val="TableParagraph"/>
              <w:spacing w:before="18"/>
              <w:ind w:right="99"/>
              <w:jc w:val="right"/>
              <w:rPr>
                <w:sz w:val="18"/>
              </w:rPr>
            </w:pPr>
            <w:r>
              <w:rPr>
                <w:spacing w:val="-10"/>
                <w:sz w:val="18"/>
              </w:rPr>
              <w:t>—</w:t>
            </w:r>
          </w:p>
        </w:tc>
        <w:tc>
          <w:tcPr>
            <w:tcW w:w="1170" w:type="dxa"/>
          </w:tcPr>
          <w:p>
            <w:pPr>
              <w:pStyle w:val="TableParagraph"/>
              <w:spacing w:before="18"/>
              <w:ind w:right="99"/>
              <w:jc w:val="right"/>
              <w:rPr>
                <w:sz w:val="18"/>
              </w:rPr>
            </w:pPr>
            <w:r>
              <w:rPr>
                <w:spacing w:val="-5"/>
                <w:sz w:val="18"/>
              </w:rPr>
              <w:t>11</w:t>
            </w:r>
          </w:p>
        </w:tc>
        <w:tc>
          <w:tcPr>
            <w:tcW w:w="1361" w:type="dxa"/>
          </w:tcPr>
          <w:p>
            <w:pPr>
              <w:pStyle w:val="TableParagraph"/>
              <w:spacing w:before="18"/>
              <w:ind w:right="290"/>
              <w:jc w:val="right"/>
              <w:rPr>
                <w:sz w:val="18"/>
              </w:rPr>
            </w:pPr>
            <w:r>
              <w:rPr>
                <w:spacing w:val="-10"/>
                <w:sz w:val="18"/>
              </w:rPr>
              <w:t>—</w:t>
            </w:r>
          </w:p>
        </w:tc>
        <w:tc>
          <w:tcPr>
            <w:tcW w:w="952" w:type="dxa"/>
          </w:tcPr>
          <w:p>
            <w:pPr>
              <w:pStyle w:val="TableParagraph"/>
              <w:spacing w:before="18"/>
              <w:ind w:right="72"/>
              <w:jc w:val="right"/>
              <w:rPr>
                <w:sz w:val="18"/>
              </w:rPr>
            </w:pPr>
            <w:r>
              <w:rPr>
                <w:spacing w:val="-5"/>
                <w:sz w:val="18"/>
              </w:rPr>
              <w:t>11</w:t>
            </w:r>
          </w:p>
        </w:tc>
      </w:tr>
      <w:tr>
        <w:trPr>
          <w:trHeight w:val="250" w:hRule="atLeast"/>
        </w:trPr>
        <w:tc>
          <w:tcPr>
            <w:tcW w:w="5445" w:type="dxa"/>
            <w:tcBorders>
              <w:bottom w:val="single" w:sz="4" w:space="0" w:color="000000"/>
            </w:tcBorders>
            <w:shd w:val="clear" w:color="auto" w:fill="CCEDFF"/>
          </w:tcPr>
          <w:p>
            <w:pPr>
              <w:pStyle w:val="TableParagraph"/>
              <w:spacing w:before="18"/>
              <w:ind w:left="307"/>
              <w:rPr>
                <w:sz w:val="18"/>
              </w:rPr>
            </w:pPr>
            <w:r>
              <w:rPr>
                <w:sz w:val="18"/>
              </w:rPr>
              <w:t>U.S.</w:t>
            </w:r>
            <w:r>
              <w:rPr>
                <w:spacing w:val="-2"/>
                <w:sz w:val="18"/>
              </w:rPr>
              <w:t> </w:t>
            </w:r>
            <w:r>
              <w:rPr>
                <w:sz w:val="18"/>
              </w:rPr>
              <w:t>Government</w:t>
            </w:r>
            <w:r>
              <w:rPr>
                <w:spacing w:val="-1"/>
                <w:sz w:val="18"/>
              </w:rPr>
              <w:t> </w:t>
            </w:r>
            <w:r>
              <w:rPr>
                <w:spacing w:val="-2"/>
                <w:sz w:val="18"/>
              </w:rPr>
              <w:t>securities</w:t>
            </w:r>
          </w:p>
        </w:tc>
        <w:tc>
          <w:tcPr>
            <w:tcW w:w="1302" w:type="dxa"/>
            <w:tcBorders>
              <w:bottom w:val="single" w:sz="4" w:space="0" w:color="000000"/>
            </w:tcBorders>
            <w:shd w:val="clear" w:color="auto" w:fill="CCEDFF"/>
          </w:tcPr>
          <w:p>
            <w:pPr>
              <w:pStyle w:val="TableParagraph"/>
              <w:spacing w:before="18"/>
              <w:ind w:right="99"/>
              <w:jc w:val="right"/>
              <w:rPr>
                <w:sz w:val="18"/>
              </w:rPr>
            </w:pPr>
            <w:r>
              <w:rPr>
                <w:spacing w:val="-10"/>
                <w:sz w:val="18"/>
              </w:rPr>
              <w:t>—</w:t>
            </w:r>
          </w:p>
        </w:tc>
        <w:tc>
          <w:tcPr>
            <w:tcW w:w="1170" w:type="dxa"/>
            <w:tcBorders>
              <w:bottom w:val="single" w:sz="4" w:space="0" w:color="000000"/>
            </w:tcBorders>
            <w:shd w:val="clear" w:color="auto" w:fill="CCEDFF"/>
          </w:tcPr>
          <w:p>
            <w:pPr>
              <w:pStyle w:val="TableParagraph"/>
              <w:spacing w:before="18"/>
              <w:ind w:right="99"/>
              <w:jc w:val="right"/>
              <w:rPr>
                <w:sz w:val="18"/>
              </w:rPr>
            </w:pPr>
            <w:r>
              <w:rPr>
                <w:spacing w:val="-10"/>
                <w:sz w:val="18"/>
              </w:rPr>
              <w:t>2</w:t>
            </w:r>
          </w:p>
        </w:tc>
        <w:tc>
          <w:tcPr>
            <w:tcW w:w="1361" w:type="dxa"/>
            <w:tcBorders>
              <w:bottom w:val="single" w:sz="4" w:space="0" w:color="000000"/>
            </w:tcBorders>
            <w:shd w:val="clear" w:color="auto" w:fill="CCEDFF"/>
          </w:tcPr>
          <w:p>
            <w:pPr>
              <w:pStyle w:val="TableParagraph"/>
              <w:spacing w:before="18"/>
              <w:ind w:right="290"/>
              <w:jc w:val="right"/>
              <w:rPr>
                <w:sz w:val="18"/>
              </w:rPr>
            </w:pPr>
            <w:r>
              <w:rPr>
                <w:spacing w:val="-10"/>
                <w:sz w:val="18"/>
              </w:rPr>
              <w:t>—</w:t>
            </w:r>
          </w:p>
        </w:tc>
        <w:tc>
          <w:tcPr>
            <w:tcW w:w="952" w:type="dxa"/>
            <w:tcBorders>
              <w:bottom w:val="single" w:sz="4" w:space="0" w:color="000000"/>
            </w:tcBorders>
            <w:shd w:val="clear" w:color="auto" w:fill="CCEDFF"/>
          </w:tcPr>
          <w:p>
            <w:pPr>
              <w:pStyle w:val="TableParagraph"/>
              <w:spacing w:before="18"/>
              <w:ind w:right="72"/>
              <w:jc w:val="right"/>
              <w:rPr>
                <w:sz w:val="18"/>
              </w:rPr>
            </w:pPr>
            <w:r>
              <w:rPr>
                <w:spacing w:val="-10"/>
                <w:sz w:val="18"/>
              </w:rPr>
              <w:t>2</w:t>
            </w:r>
          </w:p>
        </w:tc>
      </w:tr>
      <w:tr>
        <w:trPr>
          <w:trHeight w:val="250" w:hRule="atLeast"/>
        </w:trPr>
        <w:tc>
          <w:tcPr>
            <w:tcW w:w="5445" w:type="dxa"/>
            <w:tcBorders>
              <w:top w:val="single" w:sz="4" w:space="0" w:color="000000"/>
            </w:tcBorders>
          </w:tcPr>
          <w:p>
            <w:pPr>
              <w:pStyle w:val="TableParagraph"/>
              <w:spacing w:before="13"/>
              <w:ind w:left="412"/>
              <w:rPr>
                <w:sz w:val="18"/>
              </w:rPr>
            </w:pPr>
            <w:r>
              <w:rPr>
                <w:sz w:val="18"/>
              </w:rPr>
              <w:t>Total</w:t>
            </w:r>
            <w:r>
              <w:rPr>
                <w:spacing w:val="-1"/>
                <w:sz w:val="18"/>
              </w:rPr>
              <w:t> </w:t>
            </w:r>
            <w:r>
              <w:rPr>
                <w:sz w:val="18"/>
              </w:rPr>
              <w:t>other securities</w:t>
            </w:r>
            <w:r>
              <w:rPr>
                <w:spacing w:val="-1"/>
                <w:sz w:val="18"/>
              </w:rPr>
              <w:t> </w:t>
            </w:r>
            <w:r>
              <w:rPr>
                <w:sz w:val="18"/>
              </w:rPr>
              <w:t>owned</w:t>
            </w:r>
            <w:r>
              <w:rPr>
                <w:spacing w:val="-1"/>
                <w:sz w:val="18"/>
              </w:rPr>
              <w:t> </w:t>
            </w:r>
            <w:r>
              <w:rPr>
                <w:sz w:val="18"/>
              </w:rPr>
              <w:t>at fair </w:t>
            </w:r>
            <w:r>
              <w:rPr>
                <w:spacing w:val="-2"/>
                <w:sz w:val="18"/>
              </w:rPr>
              <w:t>value</w:t>
            </w:r>
          </w:p>
        </w:tc>
        <w:tc>
          <w:tcPr>
            <w:tcW w:w="1302" w:type="dxa"/>
            <w:tcBorders>
              <w:top w:val="single" w:sz="4" w:space="0" w:color="000000"/>
            </w:tcBorders>
          </w:tcPr>
          <w:p>
            <w:pPr>
              <w:pStyle w:val="TableParagraph"/>
              <w:spacing w:before="13"/>
              <w:ind w:right="99"/>
              <w:jc w:val="right"/>
              <w:rPr>
                <w:sz w:val="18"/>
              </w:rPr>
            </w:pPr>
            <w:r>
              <w:rPr>
                <w:spacing w:val="-2"/>
                <w:sz w:val="18"/>
              </w:rPr>
              <w:t>1,554</w:t>
            </w:r>
          </w:p>
        </w:tc>
        <w:tc>
          <w:tcPr>
            <w:tcW w:w="1170" w:type="dxa"/>
            <w:tcBorders>
              <w:top w:val="single" w:sz="4" w:space="0" w:color="000000"/>
            </w:tcBorders>
          </w:tcPr>
          <w:p>
            <w:pPr>
              <w:pStyle w:val="TableParagraph"/>
              <w:spacing w:before="13"/>
              <w:ind w:right="99"/>
              <w:jc w:val="right"/>
              <w:rPr>
                <w:sz w:val="18"/>
              </w:rPr>
            </w:pPr>
            <w:r>
              <w:rPr>
                <w:spacing w:val="-5"/>
                <w:sz w:val="18"/>
              </w:rPr>
              <w:t>72</w:t>
            </w:r>
          </w:p>
        </w:tc>
        <w:tc>
          <w:tcPr>
            <w:tcW w:w="1361" w:type="dxa"/>
            <w:tcBorders>
              <w:top w:val="single" w:sz="4" w:space="0" w:color="000000"/>
            </w:tcBorders>
          </w:tcPr>
          <w:p>
            <w:pPr>
              <w:pStyle w:val="TableParagraph"/>
              <w:spacing w:before="13"/>
              <w:ind w:right="290"/>
              <w:jc w:val="right"/>
              <w:rPr>
                <w:sz w:val="18"/>
              </w:rPr>
            </w:pPr>
            <w:r>
              <w:rPr>
                <w:spacing w:val="-10"/>
                <w:sz w:val="18"/>
              </w:rPr>
              <w:t>—</w:t>
            </w:r>
          </w:p>
        </w:tc>
        <w:tc>
          <w:tcPr>
            <w:tcW w:w="952" w:type="dxa"/>
            <w:tcBorders>
              <w:top w:val="single" w:sz="4" w:space="0" w:color="000000"/>
            </w:tcBorders>
          </w:tcPr>
          <w:p>
            <w:pPr>
              <w:pStyle w:val="TableParagraph"/>
              <w:spacing w:before="13"/>
              <w:ind w:right="72"/>
              <w:jc w:val="right"/>
              <w:rPr>
                <w:sz w:val="18"/>
              </w:rPr>
            </w:pPr>
            <w:r>
              <w:rPr>
                <w:spacing w:val="-2"/>
                <w:sz w:val="18"/>
              </w:rPr>
              <w:t>1,626</w:t>
            </w:r>
          </w:p>
        </w:tc>
      </w:tr>
      <w:tr>
        <w:trPr>
          <w:trHeight w:val="250" w:hRule="atLeast"/>
        </w:trPr>
        <w:tc>
          <w:tcPr>
            <w:tcW w:w="5445" w:type="dxa"/>
            <w:tcBorders>
              <w:bottom w:val="single" w:sz="4" w:space="0" w:color="000000"/>
            </w:tcBorders>
            <w:shd w:val="clear" w:color="auto" w:fill="CCEDFF"/>
          </w:tcPr>
          <w:p>
            <w:pPr>
              <w:pStyle w:val="TableParagraph"/>
              <w:spacing w:before="18"/>
              <w:ind w:left="172"/>
              <w:rPr>
                <w:sz w:val="18"/>
              </w:rPr>
            </w:pPr>
            <w:r>
              <w:rPr>
                <w:sz w:val="18"/>
              </w:rPr>
              <w:t>Interest</w:t>
            </w:r>
            <w:r>
              <w:rPr>
                <w:spacing w:val="-1"/>
                <w:sz w:val="18"/>
              </w:rPr>
              <w:t> </w:t>
            </w:r>
            <w:r>
              <w:rPr>
                <w:sz w:val="18"/>
              </w:rPr>
              <w:t>rate </w:t>
            </w:r>
            <w:r>
              <w:rPr>
                <w:spacing w:val="-2"/>
                <w:sz w:val="18"/>
              </w:rPr>
              <w:t>swaps</w:t>
            </w:r>
          </w:p>
        </w:tc>
        <w:tc>
          <w:tcPr>
            <w:tcW w:w="1302" w:type="dxa"/>
            <w:tcBorders>
              <w:bottom w:val="single" w:sz="4" w:space="0" w:color="000000"/>
            </w:tcBorders>
            <w:shd w:val="clear" w:color="auto" w:fill="CCEDFF"/>
          </w:tcPr>
          <w:p>
            <w:pPr>
              <w:pStyle w:val="TableParagraph"/>
              <w:spacing w:before="18"/>
              <w:ind w:right="99"/>
              <w:jc w:val="right"/>
              <w:rPr>
                <w:sz w:val="18"/>
              </w:rPr>
            </w:pPr>
            <w:r>
              <w:rPr>
                <w:spacing w:val="-10"/>
                <w:sz w:val="18"/>
              </w:rPr>
              <w:t>—</w:t>
            </w:r>
          </w:p>
        </w:tc>
        <w:tc>
          <w:tcPr>
            <w:tcW w:w="1170" w:type="dxa"/>
            <w:tcBorders>
              <w:bottom w:val="single" w:sz="4" w:space="0" w:color="000000"/>
            </w:tcBorders>
            <w:shd w:val="clear" w:color="auto" w:fill="CCEDFF"/>
          </w:tcPr>
          <w:p>
            <w:pPr>
              <w:pStyle w:val="TableParagraph"/>
              <w:spacing w:before="18"/>
              <w:ind w:right="99"/>
              <w:jc w:val="right"/>
              <w:rPr>
                <w:sz w:val="18"/>
              </w:rPr>
            </w:pPr>
            <w:r>
              <w:rPr>
                <w:spacing w:val="-10"/>
                <w:sz w:val="18"/>
              </w:rPr>
              <w:t>3</w:t>
            </w:r>
          </w:p>
        </w:tc>
        <w:tc>
          <w:tcPr>
            <w:tcW w:w="1361" w:type="dxa"/>
            <w:tcBorders>
              <w:bottom w:val="single" w:sz="4" w:space="0" w:color="000000"/>
            </w:tcBorders>
            <w:shd w:val="clear" w:color="auto" w:fill="CCEDFF"/>
          </w:tcPr>
          <w:p>
            <w:pPr>
              <w:pStyle w:val="TableParagraph"/>
              <w:spacing w:before="18"/>
              <w:ind w:right="290"/>
              <w:jc w:val="right"/>
              <w:rPr>
                <w:sz w:val="18"/>
              </w:rPr>
            </w:pPr>
            <w:r>
              <w:rPr>
                <w:spacing w:val="-10"/>
                <w:sz w:val="18"/>
              </w:rPr>
              <w:t>—</w:t>
            </w:r>
          </w:p>
        </w:tc>
        <w:tc>
          <w:tcPr>
            <w:tcW w:w="952" w:type="dxa"/>
            <w:tcBorders>
              <w:bottom w:val="single" w:sz="4" w:space="0" w:color="000000"/>
            </w:tcBorders>
            <w:shd w:val="clear" w:color="auto" w:fill="CCEDFF"/>
          </w:tcPr>
          <w:p>
            <w:pPr>
              <w:pStyle w:val="TableParagraph"/>
              <w:spacing w:before="18"/>
              <w:ind w:right="72"/>
              <w:jc w:val="right"/>
              <w:rPr>
                <w:sz w:val="18"/>
              </w:rPr>
            </w:pPr>
            <w:r>
              <w:rPr>
                <w:spacing w:val="-10"/>
                <w:sz w:val="18"/>
              </w:rPr>
              <w:t>3</w:t>
            </w:r>
          </w:p>
        </w:tc>
      </w:tr>
      <w:tr>
        <w:trPr>
          <w:trHeight w:val="245" w:hRule="atLeast"/>
        </w:trPr>
        <w:tc>
          <w:tcPr>
            <w:tcW w:w="5445" w:type="dxa"/>
            <w:tcBorders>
              <w:top w:val="single" w:sz="4" w:space="0" w:color="000000"/>
              <w:bottom w:val="single" w:sz="4" w:space="0" w:color="000000"/>
            </w:tcBorders>
          </w:tcPr>
          <w:p>
            <w:pPr>
              <w:pStyle w:val="TableParagraph"/>
              <w:spacing w:before="13"/>
              <w:ind w:left="292"/>
              <w:rPr>
                <w:sz w:val="18"/>
              </w:rPr>
            </w:pPr>
            <w:r>
              <w:rPr>
                <w:sz w:val="18"/>
              </w:rPr>
              <w:t>Total</w:t>
            </w:r>
            <w:r>
              <w:rPr>
                <w:spacing w:val="-2"/>
                <w:sz w:val="18"/>
              </w:rPr>
              <w:t> </w:t>
            </w:r>
            <w:r>
              <w:rPr>
                <w:sz w:val="18"/>
              </w:rPr>
              <w:t>other </w:t>
            </w:r>
            <w:r>
              <w:rPr>
                <w:spacing w:val="-2"/>
                <w:sz w:val="18"/>
              </w:rPr>
              <w:t>assets</w:t>
            </w:r>
          </w:p>
        </w:tc>
        <w:tc>
          <w:tcPr>
            <w:tcW w:w="1302" w:type="dxa"/>
            <w:tcBorders>
              <w:top w:val="single" w:sz="4" w:space="0" w:color="000000"/>
              <w:bottom w:val="single" w:sz="4" w:space="0" w:color="000000"/>
            </w:tcBorders>
          </w:tcPr>
          <w:p>
            <w:pPr>
              <w:pStyle w:val="TableParagraph"/>
              <w:spacing w:before="13"/>
              <w:ind w:right="99"/>
              <w:jc w:val="right"/>
              <w:rPr>
                <w:sz w:val="18"/>
              </w:rPr>
            </w:pPr>
            <w:r>
              <w:rPr>
                <w:spacing w:val="-2"/>
                <w:sz w:val="18"/>
              </w:rPr>
              <w:t>1,554</w:t>
            </w:r>
          </w:p>
        </w:tc>
        <w:tc>
          <w:tcPr>
            <w:tcW w:w="1170" w:type="dxa"/>
            <w:tcBorders>
              <w:top w:val="single" w:sz="4" w:space="0" w:color="000000"/>
              <w:bottom w:val="single" w:sz="4" w:space="0" w:color="000000"/>
            </w:tcBorders>
          </w:tcPr>
          <w:p>
            <w:pPr>
              <w:pStyle w:val="TableParagraph"/>
              <w:spacing w:before="13"/>
              <w:ind w:right="99"/>
              <w:jc w:val="right"/>
              <w:rPr>
                <w:sz w:val="18"/>
              </w:rPr>
            </w:pPr>
            <w:r>
              <w:rPr>
                <w:spacing w:val="-5"/>
                <w:sz w:val="18"/>
              </w:rPr>
              <w:t>75</w:t>
            </w:r>
          </w:p>
        </w:tc>
        <w:tc>
          <w:tcPr>
            <w:tcW w:w="1361" w:type="dxa"/>
            <w:tcBorders>
              <w:top w:val="single" w:sz="4" w:space="0" w:color="000000"/>
              <w:bottom w:val="single" w:sz="4" w:space="0" w:color="000000"/>
            </w:tcBorders>
          </w:tcPr>
          <w:p>
            <w:pPr>
              <w:pStyle w:val="TableParagraph"/>
              <w:spacing w:before="13"/>
              <w:ind w:right="290"/>
              <w:jc w:val="right"/>
              <w:rPr>
                <w:sz w:val="18"/>
              </w:rPr>
            </w:pPr>
            <w:r>
              <w:rPr>
                <w:spacing w:val="-10"/>
                <w:sz w:val="18"/>
              </w:rPr>
              <w:t>—</w:t>
            </w:r>
          </w:p>
        </w:tc>
        <w:tc>
          <w:tcPr>
            <w:tcW w:w="952" w:type="dxa"/>
            <w:tcBorders>
              <w:top w:val="single" w:sz="4" w:space="0" w:color="000000"/>
              <w:bottom w:val="single" w:sz="4" w:space="0" w:color="000000"/>
            </w:tcBorders>
          </w:tcPr>
          <w:p>
            <w:pPr>
              <w:pStyle w:val="TableParagraph"/>
              <w:spacing w:before="13"/>
              <w:ind w:right="72"/>
              <w:jc w:val="right"/>
              <w:rPr>
                <w:sz w:val="18"/>
              </w:rPr>
            </w:pPr>
            <w:r>
              <w:rPr>
                <w:spacing w:val="-2"/>
                <w:sz w:val="18"/>
              </w:rPr>
              <w:t>1,629</w:t>
            </w:r>
          </w:p>
        </w:tc>
      </w:tr>
      <w:tr>
        <w:trPr>
          <w:trHeight w:val="220" w:hRule="atLeast"/>
        </w:trPr>
        <w:tc>
          <w:tcPr>
            <w:tcW w:w="5445" w:type="dxa"/>
            <w:tcBorders>
              <w:top w:val="single" w:sz="4" w:space="0" w:color="000000"/>
              <w:bottom w:val="double" w:sz="8" w:space="0" w:color="000000"/>
            </w:tcBorders>
            <w:shd w:val="clear" w:color="auto" w:fill="CCEDFF"/>
          </w:tcPr>
          <w:p>
            <w:pPr>
              <w:pStyle w:val="TableParagraph"/>
              <w:spacing w:line="187" w:lineRule="exact" w:before="13"/>
              <w:ind w:left="172"/>
              <w:rPr>
                <w:sz w:val="18"/>
              </w:rPr>
            </w:pPr>
            <w:r>
              <w:rPr>
                <w:sz w:val="18"/>
              </w:rPr>
              <w:t>Total </w:t>
            </w:r>
            <w:r>
              <w:rPr>
                <w:spacing w:val="-2"/>
                <w:sz w:val="18"/>
              </w:rPr>
              <w:t>assets</w:t>
            </w:r>
          </w:p>
        </w:tc>
        <w:tc>
          <w:tcPr>
            <w:tcW w:w="1302" w:type="dxa"/>
            <w:tcBorders>
              <w:top w:val="single" w:sz="4" w:space="0" w:color="000000"/>
              <w:bottom w:val="double" w:sz="8" w:space="0" w:color="000000"/>
            </w:tcBorders>
            <w:shd w:val="clear" w:color="auto" w:fill="CCEDFF"/>
          </w:tcPr>
          <w:p>
            <w:pPr>
              <w:pStyle w:val="TableParagraph"/>
              <w:tabs>
                <w:tab w:pos="472" w:val="left" w:leader="none"/>
              </w:tabs>
              <w:spacing w:line="187" w:lineRule="exact" w:before="13"/>
              <w:ind w:right="99"/>
              <w:jc w:val="right"/>
              <w:rPr>
                <w:sz w:val="18"/>
              </w:rPr>
            </w:pPr>
            <w:r>
              <w:rPr>
                <w:spacing w:val="-10"/>
                <w:sz w:val="18"/>
              </w:rPr>
              <w:t>$</w:t>
            </w:r>
            <w:r>
              <w:rPr>
                <w:sz w:val="18"/>
              </w:rPr>
              <w:tab/>
            </w:r>
            <w:r>
              <w:rPr>
                <w:spacing w:val="-2"/>
                <w:sz w:val="18"/>
              </w:rPr>
              <w:t>14,298</w:t>
            </w:r>
          </w:p>
        </w:tc>
        <w:tc>
          <w:tcPr>
            <w:tcW w:w="1170" w:type="dxa"/>
            <w:tcBorders>
              <w:top w:val="single" w:sz="4" w:space="0" w:color="000000"/>
              <w:bottom w:val="double" w:sz="8" w:space="0" w:color="000000"/>
            </w:tcBorders>
            <w:shd w:val="clear" w:color="auto" w:fill="CCEDFF"/>
          </w:tcPr>
          <w:p>
            <w:pPr>
              <w:pStyle w:val="TableParagraph"/>
              <w:tabs>
                <w:tab w:pos="382" w:val="left" w:leader="none"/>
              </w:tabs>
              <w:spacing w:line="187" w:lineRule="exact" w:before="13"/>
              <w:ind w:right="99"/>
              <w:jc w:val="right"/>
              <w:rPr>
                <w:sz w:val="18"/>
              </w:rPr>
            </w:pPr>
            <w:r>
              <w:rPr>
                <w:spacing w:val="-10"/>
                <w:sz w:val="18"/>
              </w:rPr>
              <w:t>$</w:t>
            </w:r>
            <w:r>
              <w:rPr>
                <w:sz w:val="18"/>
              </w:rPr>
              <w:tab/>
            </w:r>
            <w:r>
              <w:rPr>
                <w:spacing w:val="-2"/>
                <w:sz w:val="18"/>
              </w:rPr>
              <w:t>122,665</w:t>
            </w:r>
          </w:p>
        </w:tc>
        <w:tc>
          <w:tcPr>
            <w:tcW w:w="2313" w:type="dxa"/>
            <w:gridSpan w:val="2"/>
            <w:tcBorders>
              <w:top w:val="single" w:sz="4" w:space="0" w:color="000000"/>
              <w:bottom w:val="double" w:sz="8" w:space="0" w:color="000000"/>
            </w:tcBorders>
            <w:shd w:val="clear" w:color="auto" w:fill="CCEDFF"/>
          </w:tcPr>
          <w:p>
            <w:pPr>
              <w:pStyle w:val="TableParagraph"/>
              <w:tabs>
                <w:tab w:pos="888" w:val="left" w:leader="none"/>
                <w:tab w:pos="1270" w:val="left" w:leader="none"/>
                <w:tab w:pos="1653" w:val="left" w:leader="none"/>
              </w:tabs>
              <w:spacing w:line="187" w:lineRule="exact" w:before="13"/>
              <w:ind w:left="100"/>
              <w:rPr>
                <w:sz w:val="18"/>
              </w:rPr>
            </w:pPr>
            <w:r>
              <w:rPr>
                <w:spacing w:val="-10"/>
                <w:sz w:val="18"/>
              </w:rPr>
              <w:t>$</w:t>
            </w:r>
            <w:r>
              <w:rPr>
                <w:sz w:val="18"/>
              </w:rPr>
              <w:tab/>
            </w:r>
            <w:r>
              <w:rPr>
                <w:spacing w:val="-10"/>
                <w:sz w:val="18"/>
              </w:rPr>
              <w:t>—</w:t>
            </w:r>
            <w:r>
              <w:rPr>
                <w:sz w:val="18"/>
              </w:rPr>
              <w:tab/>
            </w:r>
            <w:r>
              <w:rPr>
                <w:spacing w:val="-10"/>
                <w:sz w:val="18"/>
              </w:rPr>
              <w:t>$</w:t>
            </w:r>
            <w:r>
              <w:rPr>
                <w:sz w:val="18"/>
              </w:rPr>
              <w:tab/>
            </w:r>
            <w:r>
              <w:rPr>
                <w:spacing w:val="-2"/>
                <w:sz w:val="18"/>
              </w:rPr>
              <w:t>136,963</w:t>
            </w:r>
          </w:p>
        </w:tc>
      </w:tr>
      <w:tr>
        <w:trPr>
          <w:trHeight w:val="225" w:hRule="atLeast"/>
        </w:trPr>
        <w:tc>
          <w:tcPr>
            <w:tcW w:w="5445" w:type="dxa"/>
            <w:tcBorders>
              <w:top w:val="double" w:sz="8" w:space="0" w:color="000000"/>
            </w:tcBorders>
          </w:tcPr>
          <w:p>
            <w:pPr>
              <w:pStyle w:val="TableParagraph"/>
              <w:spacing w:line="195" w:lineRule="exact"/>
              <w:ind w:left="52"/>
              <w:rPr>
                <w:sz w:val="18"/>
              </w:rPr>
            </w:pPr>
            <w:r>
              <w:rPr>
                <w:sz w:val="18"/>
              </w:rPr>
              <w:t>Accrued</w:t>
            </w:r>
            <w:r>
              <w:rPr>
                <w:spacing w:val="-1"/>
                <w:sz w:val="18"/>
              </w:rPr>
              <w:t> </w:t>
            </w:r>
            <w:r>
              <w:rPr>
                <w:sz w:val="18"/>
              </w:rPr>
              <w:t>expenses</w:t>
            </w:r>
            <w:r>
              <w:rPr>
                <w:spacing w:val="-1"/>
                <w:sz w:val="18"/>
              </w:rPr>
              <w:t> </w:t>
            </w:r>
            <w:r>
              <w:rPr>
                <w:sz w:val="18"/>
              </w:rPr>
              <w:t>and</w:t>
            </w:r>
            <w:r>
              <w:rPr>
                <w:spacing w:val="-1"/>
                <w:sz w:val="18"/>
              </w:rPr>
              <w:t> </w:t>
            </w:r>
            <w:r>
              <w:rPr>
                <w:sz w:val="18"/>
              </w:rPr>
              <w:t>other </w:t>
            </w:r>
            <w:r>
              <w:rPr>
                <w:spacing w:val="-2"/>
                <w:sz w:val="18"/>
              </w:rPr>
              <w:t>liabilities:</w:t>
            </w:r>
          </w:p>
        </w:tc>
        <w:tc>
          <w:tcPr>
            <w:tcW w:w="1302" w:type="dxa"/>
            <w:tcBorders>
              <w:top w:val="double" w:sz="8" w:space="0" w:color="000000"/>
            </w:tcBorders>
          </w:tcPr>
          <w:p>
            <w:pPr>
              <w:pStyle w:val="TableParagraph"/>
              <w:rPr>
                <w:sz w:val="16"/>
              </w:rPr>
            </w:pPr>
          </w:p>
        </w:tc>
        <w:tc>
          <w:tcPr>
            <w:tcW w:w="1170" w:type="dxa"/>
            <w:tcBorders>
              <w:top w:val="double" w:sz="8" w:space="0" w:color="000000"/>
            </w:tcBorders>
          </w:tcPr>
          <w:p>
            <w:pPr>
              <w:pStyle w:val="TableParagraph"/>
              <w:rPr>
                <w:sz w:val="16"/>
              </w:rPr>
            </w:pPr>
          </w:p>
        </w:tc>
        <w:tc>
          <w:tcPr>
            <w:tcW w:w="2313" w:type="dxa"/>
            <w:gridSpan w:val="2"/>
            <w:tcBorders>
              <w:top w:val="double" w:sz="8" w:space="0" w:color="000000"/>
            </w:tcBorders>
          </w:tcPr>
          <w:p>
            <w:pPr>
              <w:pStyle w:val="TableParagraph"/>
              <w:rPr>
                <w:sz w:val="16"/>
              </w:rPr>
            </w:pPr>
          </w:p>
        </w:tc>
      </w:tr>
      <w:tr>
        <w:trPr>
          <w:trHeight w:val="250" w:hRule="atLeast"/>
        </w:trPr>
        <w:tc>
          <w:tcPr>
            <w:tcW w:w="5445" w:type="dxa"/>
            <w:tcBorders>
              <w:bottom w:val="single" w:sz="4" w:space="0" w:color="000000"/>
            </w:tcBorders>
            <w:shd w:val="clear" w:color="auto" w:fill="CCEDFF"/>
          </w:tcPr>
          <w:p>
            <w:pPr>
              <w:pStyle w:val="TableParagraph"/>
              <w:spacing w:before="18"/>
              <w:ind w:left="172"/>
              <w:rPr>
                <w:sz w:val="18"/>
              </w:rPr>
            </w:pPr>
            <w:r>
              <w:rPr>
                <w:spacing w:val="-2"/>
                <w:sz w:val="18"/>
              </w:rPr>
              <w:t>Other</w:t>
            </w:r>
          </w:p>
        </w:tc>
        <w:tc>
          <w:tcPr>
            <w:tcW w:w="1302" w:type="dxa"/>
            <w:tcBorders>
              <w:bottom w:val="single" w:sz="4" w:space="0" w:color="000000"/>
            </w:tcBorders>
            <w:shd w:val="clear" w:color="auto" w:fill="CCEDFF"/>
          </w:tcPr>
          <w:p>
            <w:pPr>
              <w:pStyle w:val="TableParagraph"/>
              <w:tabs>
                <w:tab w:pos="562" w:val="left" w:leader="none"/>
              </w:tabs>
              <w:spacing w:before="18"/>
              <w:ind w:right="99"/>
              <w:jc w:val="right"/>
              <w:rPr>
                <w:sz w:val="18"/>
              </w:rPr>
            </w:pPr>
            <w:r>
              <w:rPr>
                <w:spacing w:val="-10"/>
                <w:sz w:val="18"/>
              </w:rPr>
              <w:t>$</w:t>
            </w:r>
            <w:r>
              <w:rPr>
                <w:sz w:val="18"/>
              </w:rPr>
              <w:tab/>
            </w:r>
            <w:r>
              <w:rPr>
                <w:spacing w:val="-2"/>
                <w:sz w:val="18"/>
              </w:rPr>
              <w:t>1,396</w:t>
            </w:r>
          </w:p>
        </w:tc>
        <w:tc>
          <w:tcPr>
            <w:tcW w:w="1170" w:type="dxa"/>
            <w:tcBorders>
              <w:bottom w:val="single" w:sz="4" w:space="0" w:color="000000"/>
            </w:tcBorders>
            <w:shd w:val="clear" w:color="auto" w:fill="CCEDFF"/>
          </w:tcPr>
          <w:p>
            <w:pPr>
              <w:pStyle w:val="TableParagraph"/>
              <w:tabs>
                <w:tab w:pos="787" w:val="left" w:leader="none"/>
              </w:tabs>
              <w:spacing w:before="18"/>
              <w:ind w:right="99"/>
              <w:jc w:val="right"/>
              <w:rPr>
                <w:sz w:val="18"/>
              </w:rPr>
            </w:pPr>
            <w:r>
              <w:rPr>
                <w:spacing w:val="-10"/>
                <w:sz w:val="18"/>
              </w:rPr>
              <w:t>$</w:t>
            </w:r>
            <w:r>
              <w:rPr>
                <w:sz w:val="18"/>
              </w:rPr>
              <w:tab/>
            </w:r>
            <w:r>
              <w:rPr>
                <w:spacing w:val="-5"/>
                <w:sz w:val="18"/>
              </w:rPr>
              <w:t>37</w:t>
            </w:r>
          </w:p>
        </w:tc>
        <w:tc>
          <w:tcPr>
            <w:tcW w:w="2313" w:type="dxa"/>
            <w:gridSpan w:val="2"/>
            <w:tcBorders>
              <w:bottom w:val="single" w:sz="4" w:space="0" w:color="000000"/>
            </w:tcBorders>
            <w:shd w:val="clear" w:color="auto" w:fill="CCEDFF"/>
          </w:tcPr>
          <w:p>
            <w:pPr>
              <w:pStyle w:val="TableParagraph"/>
              <w:tabs>
                <w:tab w:pos="888" w:val="left" w:leader="none"/>
                <w:tab w:pos="1270" w:val="left" w:leader="none"/>
                <w:tab w:pos="1833" w:val="left" w:leader="none"/>
              </w:tabs>
              <w:spacing w:before="18"/>
              <w:ind w:left="100"/>
              <w:rPr>
                <w:sz w:val="18"/>
              </w:rPr>
            </w:pPr>
            <w:r>
              <w:rPr>
                <w:spacing w:val="-10"/>
                <w:sz w:val="18"/>
              </w:rPr>
              <w:t>$</w:t>
            </w:r>
            <w:r>
              <w:rPr>
                <w:sz w:val="18"/>
              </w:rPr>
              <w:tab/>
            </w:r>
            <w:r>
              <w:rPr>
                <w:spacing w:val="-10"/>
                <w:sz w:val="18"/>
              </w:rPr>
              <w:t>—</w:t>
            </w:r>
            <w:r>
              <w:rPr>
                <w:sz w:val="18"/>
              </w:rPr>
              <w:tab/>
            </w:r>
            <w:r>
              <w:rPr>
                <w:spacing w:val="-10"/>
                <w:sz w:val="18"/>
              </w:rPr>
              <w:t>$</w:t>
            </w:r>
            <w:r>
              <w:rPr>
                <w:sz w:val="18"/>
              </w:rPr>
              <w:tab/>
            </w:r>
            <w:r>
              <w:rPr>
                <w:spacing w:val="-2"/>
                <w:sz w:val="18"/>
              </w:rPr>
              <w:t>1,433</w:t>
            </w:r>
          </w:p>
        </w:tc>
      </w:tr>
      <w:tr>
        <w:trPr>
          <w:trHeight w:val="245" w:hRule="atLeast"/>
        </w:trPr>
        <w:tc>
          <w:tcPr>
            <w:tcW w:w="5445" w:type="dxa"/>
            <w:tcBorders>
              <w:top w:val="single" w:sz="4" w:space="0" w:color="000000"/>
              <w:bottom w:val="single" w:sz="4" w:space="0" w:color="000000"/>
            </w:tcBorders>
          </w:tcPr>
          <w:p>
            <w:pPr>
              <w:pStyle w:val="TableParagraph"/>
              <w:spacing w:before="13"/>
              <w:ind w:left="292"/>
              <w:rPr>
                <w:sz w:val="18"/>
              </w:rPr>
            </w:pPr>
            <w:r>
              <w:rPr>
                <w:sz w:val="18"/>
              </w:rPr>
              <w:t>Total</w:t>
            </w:r>
            <w:r>
              <w:rPr>
                <w:spacing w:val="-3"/>
                <w:sz w:val="18"/>
              </w:rPr>
              <w:t> </w:t>
            </w:r>
            <w:r>
              <w:rPr>
                <w:sz w:val="18"/>
              </w:rPr>
              <w:t>accrued expenses</w:t>
            </w:r>
            <w:r>
              <w:rPr>
                <w:spacing w:val="-1"/>
                <w:sz w:val="18"/>
              </w:rPr>
              <w:t> </w:t>
            </w:r>
            <w:r>
              <w:rPr>
                <w:sz w:val="18"/>
              </w:rPr>
              <w:t>and other </w:t>
            </w:r>
            <w:r>
              <w:rPr>
                <w:spacing w:val="-2"/>
                <w:sz w:val="18"/>
              </w:rPr>
              <w:t>liabilities</w:t>
            </w:r>
          </w:p>
        </w:tc>
        <w:tc>
          <w:tcPr>
            <w:tcW w:w="1302" w:type="dxa"/>
            <w:tcBorders>
              <w:top w:val="single" w:sz="4" w:space="0" w:color="000000"/>
              <w:bottom w:val="single" w:sz="4" w:space="0" w:color="000000"/>
            </w:tcBorders>
          </w:tcPr>
          <w:p>
            <w:pPr>
              <w:pStyle w:val="TableParagraph"/>
              <w:spacing w:before="13"/>
              <w:ind w:right="99"/>
              <w:jc w:val="right"/>
              <w:rPr>
                <w:sz w:val="18"/>
              </w:rPr>
            </w:pPr>
            <w:r>
              <w:rPr>
                <w:spacing w:val="-2"/>
                <w:sz w:val="18"/>
              </w:rPr>
              <w:t>1,396</w:t>
            </w:r>
          </w:p>
        </w:tc>
        <w:tc>
          <w:tcPr>
            <w:tcW w:w="1170" w:type="dxa"/>
            <w:tcBorders>
              <w:top w:val="single" w:sz="4" w:space="0" w:color="000000"/>
              <w:bottom w:val="single" w:sz="4" w:space="0" w:color="000000"/>
            </w:tcBorders>
          </w:tcPr>
          <w:p>
            <w:pPr>
              <w:pStyle w:val="TableParagraph"/>
              <w:spacing w:before="13"/>
              <w:ind w:right="99"/>
              <w:jc w:val="right"/>
              <w:rPr>
                <w:sz w:val="18"/>
              </w:rPr>
            </w:pPr>
            <w:r>
              <w:rPr>
                <w:spacing w:val="-5"/>
                <w:sz w:val="18"/>
              </w:rPr>
              <w:t>37</w:t>
            </w:r>
          </w:p>
        </w:tc>
        <w:tc>
          <w:tcPr>
            <w:tcW w:w="2313" w:type="dxa"/>
            <w:gridSpan w:val="2"/>
            <w:tcBorders>
              <w:top w:val="single" w:sz="4" w:space="0" w:color="000000"/>
              <w:bottom w:val="single" w:sz="4" w:space="0" w:color="000000"/>
            </w:tcBorders>
          </w:tcPr>
          <w:p>
            <w:pPr>
              <w:pStyle w:val="TableParagraph"/>
              <w:tabs>
                <w:tab w:pos="1833" w:val="left" w:leader="none"/>
              </w:tabs>
              <w:spacing w:before="13"/>
              <w:ind w:left="888"/>
              <w:rPr>
                <w:sz w:val="18"/>
              </w:rPr>
            </w:pPr>
            <w:r>
              <w:rPr>
                <w:spacing w:val="-10"/>
                <w:sz w:val="18"/>
              </w:rPr>
              <w:t>—</w:t>
            </w:r>
            <w:r>
              <w:rPr>
                <w:sz w:val="18"/>
              </w:rPr>
              <w:tab/>
            </w:r>
            <w:r>
              <w:rPr>
                <w:spacing w:val="-2"/>
                <w:sz w:val="18"/>
              </w:rPr>
              <w:t>1,433</w:t>
            </w:r>
          </w:p>
        </w:tc>
      </w:tr>
      <w:tr>
        <w:trPr>
          <w:trHeight w:val="220" w:hRule="atLeast"/>
        </w:trPr>
        <w:tc>
          <w:tcPr>
            <w:tcW w:w="5445" w:type="dxa"/>
            <w:tcBorders>
              <w:top w:val="single" w:sz="4" w:space="0" w:color="000000"/>
              <w:bottom w:val="double" w:sz="8" w:space="0" w:color="000000"/>
            </w:tcBorders>
            <w:shd w:val="clear" w:color="auto" w:fill="CCEDFF"/>
          </w:tcPr>
          <w:p>
            <w:pPr>
              <w:pStyle w:val="TableParagraph"/>
              <w:spacing w:line="187" w:lineRule="exact" w:before="13"/>
              <w:ind w:left="187"/>
              <w:rPr>
                <w:sz w:val="18"/>
              </w:rPr>
            </w:pPr>
            <w:r>
              <w:rPr>
                <w:sz w:val="18"/>
              </w:rPr>
              <w:t>Total </w:t>
            </w:r>
            <w:r>
              <w:rPr>
                <w:spacing w:val="-2"/>
                <w:sz w:val="18"/>
              </w:rPr>
              <w:t>liabilities</w:t>
            </w:r>
          </w:p>
        </w:tc>
        <w:tc>
          <w:tcPr>
            <w:tcW w:w="1302" w:type="dxa"/>
            <w:tcBorders>
              <w:top w:val="single" w:sz="4" w:space="0" w:color="000000"/>
              <w:bottom w:val="double" w:sz="8" w:space="0" w:color="000000"/>
            </w:tcBorders>
            <w:shd w:val="clear" w:color="auto" w:fill="CCEDFF"/>
          </w:tcPr>
          <w:p>
            <w:pPr>
              <w:pStyle w:val="TableParagraph"/>
              <w:tabs>
                <w:tab w:pos="562" w:val="left" w:leader="none"/>
              </w:tabs>
              <w:spacing w:line="187" w:lineRule="exact" w:before="13"/>
              <w:ind w:right="99"/>
              <w:jc w:val="right"/>
              <w:rPr>
                <w:sz w:val="18"/>
              </w:rPr>
            </w:pPr>
            <w:r>
              <w:rPr>
                <w:spacing w:val="-10"/>
                <w:sz w:val="18"/>
              </w:rPr>
              <w:t>$</w:t>
            </w:r>
            <w:r>
              <w:rPr>
                <w:sz w:val="18"/>
              </w:rPr>
              <w:tab/>
            </w:r>
            <w:r>
              <w:rPr>
                <w:spacing w:val="-2"/>
                <w:sz w:val="18"/>
              </w:rPr>
              <w:t>1,396</w:t>
            </w:r>
          </w:p>
        </w:tc>
        <w:tc>
          <w:tcPr>
            <w:tcW w:w="1170" w:type="dxa"/>
            <w:tcBorders>
              <w:top w:val="single" w:sz="4" w:space="0" w:color="000000"/>
              <w:bottom w:val="double" w:sz="8" w:space="0" w:color="000000"/>
            </w:tcBorders>
            <w:shd w:val="clear" w:color="auto" w:fill="CCEDFF"/>
          </w:tcPr>
          <w:p>
            <w:pPr>
              <w:pStyle w:val="TableParagraph"/>
              <w:tabs>
                <w:tab w:pos="787" w:val="left" w:leader="none"/>
              </w:tabs>
              <w:spacing w:line="187" w:lineRule="exact" w:before="13"/>
              <w:ind w:right="99"/>
              <w:jc w:val="right"/>
              <w:rPr>
                <w:sz w:val="18"/>
              </w:rPr>
            </w:pPr>
            <w:r>
              <w:rPr>
                <w:spacing w:val="-10"/>
                <w:sz w:val="18"/>
              </w:rPr>
              <w:t>$</w:t>
            </w:r>
            <w:r>
              <w:rPr>
                <w:sz w:val="18"/>
              </w:rPr>
              <w:tab/>
            </w:r>
            <w:r>
              <w:rPr>
                <w:spacing w:val="-5"/>
                <w:sz w:val="18"/>
              </w:rPr>
              <w:t>37</w:t>
            </w:r>
          </w:p>
        </w:tc>
        <w:tc>
          <w:tcPr>
            <w:tcW w:w="2313" w:type="dxa"/>
            <w:gridSpan w:val="2"/>
            <w:tcBorders>
              <w:top w:val="single" w:sz="4" w:space="0" w:color="000000"/>
              <w:bottom w:val="double" w:sz="8" w:space="0" w:color="000000"/>
            </w:tcBorders>
            <w:shd w:val="clear" w:color="auto" w:fill="CCEDFF"/>
          </w:tcPr>
          <w:p>
            <w:pPr>
              <w:pStyle w:val="TableParagraph"/>
              <w:tabs>
                <w:tab w:pos="888" w:val="left" w:leader="none"/>
                <w:tab w:pos="1270" w:val="left" w:leader="none"/>
                <w:tab w:pos="1833" w:val="left" w:leader="none"/>
              </w:tabs>
              <w:spacing w:line="187" w:lineRule="exact" w:before="13"/>
              <w:ind w:left="100"/>
              <w:rPr>
                <w:sz w:val="18"/>
              </w:rPr>
            </w:pPr>
            <w:r>
              <w:rPr>
                <w:spacing w:val="-10"/>
                <w:sz w:val="18"/>
              </w:rPr>
              <w:t>$</w:t>
            </w:r>
            <w:r>
              <w:rPr>
                <w:sz w:val="18"/>
              </w:rPr>
              <w:tab/>
            </w:r>
            <w:r>
              <w:rPr>
                <w:spacing w:val="-10"/>
                <w:sz w:val="18"/>
              </w:rPr>
              <w:t>—</w:t>
            </w:r>
            <w:r>
              <w:rPr>
                <w:sz w:val="18"/>
              </w:rPr>
              <w:tab/>
            </w:r>
            <w:r>
              <w:rPr>
                <w:spacing w:val="-10"/>
                <w:sz w:val="18"/>
              </w:rPr>
              <w:t>$</w:t>
            </w:r>
            <w:r>
              <w:rPr>
                <w:sz w:val="18"/>
              </w:rPr>
              <w:tab/>
            </w:r>
            <w:r>
              <w:rPr>
                <w:spacing w:val="-2"/>
                <w:sz w:val="18"/>
              </w:rPr>
              <w:t>1,433</w:t>
            </w:r>
          </w:p>
        </w:tc>
      </w:tr>
    </w:tbl>
    <w:p>
      <w:pPr>
        <w:spacing w:after="0" w:line="187" w:lineRule="exact"/>
        <w:rPr>
          <w:sz w:val="18"/>
        </w:rPr>
        <w:sectPr>
          <w:pgSz w:w="12240" w:h="15840"/>
          <w:pgMar w:header="227" w:footer="201" w:top="1080" w:bottom="400" w:left="520" w:right="520"/>
        </w:sectPr>
      </w:pPr>
    </w:p>
    <w:p>
      <w:pPr>
        <w:pStyle w:val="BodyText"/>
        <w:spacing w:before="27"/>
      </w:pPr>
    </w:p>
    <w:p>
      <w:pPr>
        <w:pStyle w:val="BodyText"/>
        <w:spacing w:line="20" w:lineRule="exact"/>
        <w:ind w:left="465"/>
        <w:rPr>
          <w:sz w:val="2"/>
        </w:rPr>
      </w:pPr>
      <w:r>
        <w:rPr>
          <w:sz w:val="2"/>
        </w:rPr>
        <mc:AlternateContent>
          <mc:Choice Requires="wps">
            <w:drawing>
              <wp:inline distT="0" distB="0" distL="0" distR="0">
                <wp:extent cx="6496050" cy="6350"/>
                <wp:effectExtent l="9525" t="0" r="0" b="3175"/>
                <wp:docPr id="608" name="Group 608"/>
                <wp:cNvGraphicFramePr>
                  <a:graphicFrameLocks/>
                </wp:cNvGraphicFramePr>
                <a:graphic>
                  <a:graphicData uri="http://schemas.microsoft.com/office/word/2010/wordprocessingGroup">
                    <wpg:wgp>
                      <wpg:cNvPr id="608" name="Group 608"/>
                      <wpg:cNvGrpSpPr/>
                      <wpg:grpSpPr>
                        <a:xfrm>
                          <a:off x="0" y="0"/>
                          <a:ext cx="6496050" cy="6350"/>
                          <a:chExt cx="6496050" cy="6350"/>
                        </a:xfrm>
                      </wpg:grpSpPr>
                      <wps:wsp>
                        <wps:cNvPr id="609" name="Graphic 609"/>
                        <wps:cNvSpPr/>
                        <wps:spPr>
                          <a:xfrm>
                            <a:off x="0" y="3175"/>
                            <a:ext cx="6496050" cy="1270"/>
                          </a:xfrm>
                          <a:custGeom>
                            <a:avLst/>
                            <a:gdLst/>
                            <a:ahLst/>
                            <a:cxnLst/>
                            <a:rect l="l" t="t" r="r" b="b"/>
                            <a:pathLst>
                              <a:path w="6496050" h="0">
                                <a:moveTo>
                                  <a:pt x="6496050" y="0"/>
                                </a:moveTo>
                                <a:lnTo>
                                  <a:pt x="0" y="0"/>
                                </a:lnTo>
                              </a:path>
                            </a:pathLst>
                          </a:custGeom>
                          <a:solidFill>
                            <a:srgbClr val="000000"/>
                          </a:solidFill>
                        </wps:spPr>
                        <wps:bodyPr wrap="square" lIns="0" tIns="0" rIns="0" bIns="0" rtlCol="0">
                          <a:prstTxWarp prst="textNoShape">
                            <a:avLst/>
                          </a:prstTxWarp>
                          <a:noAutofit/>
                        </wps:bodyPr>
                      </wps:wsp>
                      <wps:wsp>
                        <wps:cNvPr id="610" name="Graphic 610"/>
                        <wps:cNvSpPr/>
                        <wps:spPr>
                          <a:xfrm>
                            <a:off x="0" y="3175"/>
                            <a:ext cx="6496050" cy="1270"/>
                          </a:xfrm>
                          <a:custGeom>
                            <a:avLst/>
                            <a:gdLst/>
                            <a:ahLst/>
                            <a:cxnLst/>
                            <a:rect l="l" t="t" r="r" b="b"/>
                            <a:pathLst>
                              <a:path w="6496050" h="0">
                                <a:moveTo>
                                  <a:pt x="0" y="0"/>
                                </a:moveTo>
                                <a:lnTo>
                                  <a:pt x="649605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1.5pt;height:.5pt;mso-position-horizontal-relative:char;mso-position-vertical-relative:line" id="docshapegroup437" coordorigin="0,0" coordsize="10230,10">
                <v:shape style="position:absolute;left:0;top:5;width:10230;height:2" id="docshape438" coordorigin="0,5" coordsize="10230,0" path="m10230,5l0,5e" filled="true" fillcolor="#000000" stroked="false">
                  <v:path arrowok="t"/>
                  <v:fill opacity="0f" type="solid"/>
                </v:shape>
                <v:line style="position:absolute" from="0,5" to="10230,5" stroked="true" strokeweight=".5pt" strokecolor="#000000">
                  <v:stroke dashstyle="solid"/>
                </v:line>
              </v:group>
            </w:pict>
          </mc:Fallback>
        </mc:AlternateContent>
      </w:r>
      <w:r>
        <w:rPr>
          <w:sz w:val="2"/>
        </w:rPr>
      </w:r>
    </w:p>
    <w:p>
      <w:pPr>
        <w:spacing w:after="0" w:line="20" w:lineRule="exact"/>
        <w:rPr>
          <w:sz w:val="2"/>
        </w:rPr>
        <w:sectPr>
          <w:pgSz w:w="12240" w:h="15840"/>
          <w:pgMar w:header="227" w:footer="201" w:top="1080" w:bottom="400" w:left="520" w:right="520"/>
        </w:sectPr>
      </w:pPr>
    </w:p>
    <w:p>
      <w:pPr>
        <w:tabs>
          <w:tab w:pos="6325" w:val="left" w:leader="none"/>
          <w:tab w:pos="7495" w:val="left" w:leader="none"/>
          <w:tab w:pos="8687" w:val="left" w:leader="none"/>
        </w:tabs>
        <w:spacing w:before="183"/>
        <w:ind w:left="522" w:right="0" w:firstLine="0"/>
        <w:jc w:val="left"/>
        <w:rPr>
          <w:sz w:val="18"/>
        </w:rPr>
      </w:pPr>
      <w:r>
        <w:rPr>
          <w:sz w:val="18"/>
        </w:rPr>
        <w:t>December</w:t>
      </w:r>
      <w:r>
        <w:rPr>
          <w:spacing w:val="-1"/>
          <w:sz w:val="18"/>
        </w:rPr>
        <w:t> </w:t>
      </w:r>
      <w:r>
        <w:rPr>
          <w:sz w:val="18"/>
        </w:rPr>
        <w:t>31, </w:t>
      </w:r>
      <w:r>
        <w:rPr>
          <w:spacing w:val="-4"/>
          <w:sz w:val="18"/>
        </w:rPr>
        <w:t>2022</w:t>
      </w:r>
      <w:r>
        <w:rPr>
          <w:sz w:val="18"/>
        </w:rPr>
        <w:tab/>
        <w:t>Level </w:t>
      </w:r>
      <w:r>
        <w:rPr>
          <w:spacing w:val="-10"/>
          <w:sz w:val="18"/>
        </w:rPr>
        <w:t>1</w:t>
      </w:r>
      <w:r>
        <w:rPr>
          <w:sz w:val="18"/>
        </w:rPr>
        <w:tab/>
        <w:t>Level </w:t>
      </w:r>
      <w:r>
        <w:rPr>
          <w:spacing w:val="-10"/>
          <w:sz w:val="18"/>
        </w:rPr>
        <w:t>2</w:t>
      </w:r>
      <w:r>
        <w:rPr>
          <w:sz w:val="18"/>
        </w:rPr>
        <w:tab/>
        <w:t>Level </w:t>
      </w:r>
      <w:r>
        <w:rPr>
          <w:spacing w:val="-10"/>
          <w:sz w:val="18"/>
        </w:rPr>
        <w:t>3</w:t>
      </w:r>
    </w:p>
    <w:p>
      <w:pPr>
        <w:spacing w:line="208" w:lineRule="auto" w:before="25"/>
        <w:ind w:left="497" w:right="658" w:firstLine="5"/>
        <w:jc w:val="left"/>
        <w:rPr>
          <w:sz w:val="18"/>
        </w:rPr>
      </w:pPr>
      <w:r>
        <w:rPr/>
        <w:br w:type="column"/>
      </w:r>
      <w:r>
        <w:rPr>
          <w:sz w:val="18"/>
        </w:rPr>
        <w:t>Balance</w:t>
      </w:r>
      <w:r>
        <w:rPr>
          <w:spacing w:val="-12"/>
          <w:sz w:val="18"/>
        </w:rPr>
        <w:t> </w:t>
      </w:r>
      <w:r>
        <w:rPr>
          <w:sz w:val="18"/>
        </w:rPr>
        <w:t>at Fair</w:t>
      </w:r>
      <w:r>
        <w:rPr>
          <w:spacing w:val="-3"/>
          <w:sz w:val="18"/>
        </w:rPr>
        <w:t> </w:t>
      </w:r>
      <w:r>
        <w:rPr>
          <w:spacing w:val="-2"/>
          <w:sz w:val="18"/>
        </w:rPr>
        <w:t>Value</w:t>
      </w:r>
    </w:p>
    <w:p>
      <w:pPr>
        <w:spacing w:after="0" w:line="208" w:lineRule="auto"/>
        <w:jc w:val="left"/>
        <w:rPr>
          <w:sz w:val="18"/>
        </w:rPr>
        <w:sectPr>
          <w:type w:val="continuous"/>
          <w:pgSz w:w="12240" w:h="15840"/>
          <w:pgMar w:header="227" w:footer="201" w:top="320" w:bottom="280" w:left="520" w:right="520"/>
          <w:cols w:num="2" w:equalWidth="0">
            <w:col w:w="9233" w:space="40"/>
            <w:col w:w="1927"/>
          </w:cols>
        </w:sectPr>
      </w:pPr>
    </w:p>
    <w:p>
      <w:pPr>
        <w:pStyle w:val="BodyText"/>
        <w:spacing w:before="7"/>
        <w:rPr>
          <w:sz w:val="2"/>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2"/>
        <w:gridCol w:w="1279"/>
        <w:gridCol w:w="1170"/>
        <w:gridCol w:w="1406"/>
        <w:gridCol w:w="952"/>
      </w:tblGrid>
      <w:tr>
        <w:trPr>
          <w:trHeight w:val="250" w:hRule="atLeast"/>
        </w:trPr>
        <w:tc>
          <w:tcPr>
            <w:tcW w:w="5422" w:type="dxa"/>
            <w:tcBorders>
              <w:top w:val="single" w:sz="4" w:space="0" w:color="000000"/>
            </w:tcBorders>
          </w:tcPr>
          <w:p>
            <w:pPr>
              <w:pStyle w:val="TableParagraph"/>
              <w:spacing w:before="13"/>
              <w:ind w:left="52"/>
              <w:rPr>
                <w:sz w:val="18"/>
              </w:rPr>
            </w:pPr>
            <w:r>
              <w:rPr>
                <w:sz w:val="18"/>
              </w:rPr>
              <w:t>Cash</w:t>
            </w:r>
            <w:r>
              <w:rPr>
                <w:spacing w:val="-1"/>
                <w:sz w:val="18"/>
              </w:rPr>
              <w:t> </w:t>
            </w:r>
            <w:r>
              <w:rPr>
                <w:spacing w:val="-2"/>
                <w:sz w:val="18"/>
              </w:rPr>
              <w:t>equivalents:</w:t>
            </w:r>
          </w:p>
        </w:tc>
        <w:tc>
          <w:tcPr>
            <w:tcW w:w="1279" w:type="dxa"/>
            <w:tcBorders>
              <w:top w:val="single" w:sz="4" w:space="0" w:color="000000"/>
            </w:tcBorders>
          </w:tcPr>
          <w:p>
            <w:pPr>
              <w:pStyle w:val="TableParagraph"/>
              <w:rPr>
                <w:sz w:val="18"/>
              </w:rPr>
            </w:pPr>
          </w:p>
        </w:tc>
        <w:tc>
          <w:tcPr>
            <w:tcW w:w="1170" w:type="dxa"/>
            <w:tcBorders>
              <w:top w:val="single" w:sz="4" w:space="0" w:color="000000"/>
            </w:tcBorders>
          </w:tcPr>
          <w:p>
            <w:pPr>
              <w:pStyle w:val="TableParagraph"/>
              <w:rPr>
                <w:sz w:val="18"/>
              </w:rPr>
            </w:pPr>
          </w:p>
        </w:tc>
        <w:tc>
          <w:tcPr>
            <w:tcW w:w="1406" w:type="dxa"/>
            <w:tcBorders>
              <w:top w:val="single" w:sz="4" w:space="0" w:color="000000"/>
            </w:tcBorders>
          </w:tcPr>
          <w:p>
            <w:pPr>
              <w:pStyle w:val="TableParagraph"/>
              <w:rPr>
                <w:sz w:val="18"/>
              </w:rPr>
            </w:pPr>
          </w:p>
        </w:tc>
        <w:tc>
          <w:tcPr>
            <w:tcW w:w="952" w:type="dxa"/>
            <w:tcBorders>
              <w:top w:val="single" w:sz="4" w:space="0" w:color="000000"/>
            </w:tcBorders>
          </w:tcPr>
          <w:p>
            <w:pPr>
              <w:pStyle w:val="TableParagraph"/>
              <w:rPr>
                <w:sz w:val="18"/>
              </w:rPr>
            </w:pPr>
          </w:p>
        </w:tc>
      </w:tr>
      <w:tr>
        <w:trPr>
          <w:trHeight w:val="255" w:hRule="atLeast"/>
        </w:trPr>
        <w:tc>
          <w:tcPr>
            <w:tcW w:w="5422" w:type="dxa"/>
            <w:shd w:val="clear" w:color="auto" w:fill="CCEDFF"/>
          </w:tcPr>
          <w:p>
            <w:pPr>
              <w:pStyle w:val="TableParagraph"/>
              <w:spacing w:before="18"/>
              <w:ind w:left="172"/>
              <w:rPr>
                <w:sz w:val="18"/>
              </w:rPr>
            </w:pPr>
            <w:r>
              <w:rPr>
                <w:sz w:val="18"/>
              </w:rPr>
              <w:t>Money</w:t>
            </w:r>
            <w:r>
              <w:rPr>
                <w:spacing w:val="-1"/>
                <w:sz w:val="18"/>
              </w:rPr>
              <w:t> </w:t>
            </w:r>
            <w:r>
              <w:rPr>
                <w:sz w:val="18"/>
              </w:rPr>
              <w:t>market </w:t>
            </w:r>
            <w:r>
              <w:rPr>
                <w:spacing w:val="-2"/>
                <w:sz w:val="18"/>
              </w:rPr>
              <w:t>funds</w:t>
            </w:r>
          </w:p>
        </w:tc>
        <w:tc>
          <w:tcPr>
            <w:tcW w:w="1279" w:type="dxa"/>
            <w:shd w:val="clear" w:color="auto" w:fill="CCEDFF"/>
          </w:tcPr>
          <w:p>
            <w:pPr>
              <w:pStyle w:val="TableParagraph"/>
              <w:tabs>
                <w:tab w:pos="472" w:val="left" w:leader="none"/>
              </w:tabs>
              <w:spacing w:before="18"/>
              <w:ind w:right="98"/>
              <w:jc w:val="right"/>
              <w:rPr>
                <w:sz w:val="18"/>
              </w:rPr>
            </w:pPr>
            <w:r>
              <w:rPr>
                <w:spacing w:val="-10"/>
                <w:sz w:val="18"/>
              </w:rPr>
              <w:t>$</w:t>
            </w:r>
            <w:r>
              <w:rPr>
                <w:sz w:val="18"/>
              </w:rPr>
              <w:tab/>
            </w:r>
            <w:r>
              <w:rPr>
                <w:spacing w:val="-2"/>
                <w:sz w:val="18"/>
              </w:rPr>
              <w:t>14,007</w:t>
            </w:r>
          </w:p>
        </w:tc>
        <w:tc>
          <w:tcPr>
            <w:tcW w:w="1170" w:type="dxa"/>
            <w:shd w:val="clear" w:color="auto" w:fill="CCEDFF"/>
          </w:tcPr>
          <w:p>
            <w:pPr>
              <w:pStyle w:val="TableParagraph"/>
              <w:tabs>
                <w:tab w:pos="787" w:val="left" w:leader="none"/>
              </w:tabs>
              <w:spacing w:before="18"/>
              <w:ind w:right="98"/>
              <w:jc w:val="right"/>
              <w:rPr>
                <w:sz w:val="18"/>
              </w:rPr>
            </w:pPr>
            <w:r>
              <w:rPr>
                <w:spacing w:val="-10"/>
                <w:sz w:val="18"/>
              </w:rPr>
              <w:t>$</w:t>
            </w:r>
            <w:r>
              <w:rPr>
                <w:sz w:val="18"/>
              </w:rPr>
              <w:tab/>
            </w:r>
            <w:r>
              <w:rPr>
                <w:spacing w:val="-10"/>
                <w:sz w:val="18"/>
              </w:rPr>
              <w:t>—</w:t>
            </w:r>
          </w:p>
        </w:tc>
        <w:tc>
          <w:tcPr>
            <w:tcW w:w="2358" w:type="dxa"/>
            <w:gridSpan w:val="2"/>
            <w:shd w:val="clear" w:color="auto" w:fill="CCEDFF"/>
          </w:tcPr>
          <w:p>
            <w:pPr>
              <w:pStyle w:val="TableParagraph"/>
              <w:tabs>
                <w:tab w:pos="934" w:val="left" w:leader="none"/>
                <w:tab w:pos="1316" w:val="left" w:leader="none"/>
                <w:tab w:pos="1789" w:val="left" w:leader="none"/>
              </w:tabs>
              <w:spacing w:before="18"/>
              <w:ind w:left="101"/>
              <w:rPr>
                <w:sz w:val="18"/>
              </w:rPr>
            </w:pPr>
            <w:r>
              <w:rPr>
                <w:spacing w:val="-10"/>
                <w:sz w:val="18"/>
              </w:rPr>
              <w:t>$</w:t>
            </w:r>
            <w:r>
              <w:rPr>
                <w:sz w:val="18"/>
              </w:rPr>
              <w:tab/>
            </w:r>
            <w:r>
              <w:rPr>
                <w:spacing w:val="-10"/>
                <w:sz w:val="18"/>
              </w:rPr>
              <w:t>—</w:t>
            </w:r>
            <w:r>
              <w:rPr>
                <w:sz w:val="18"/>
              </w:rPr>
              <w:tab/>
            </w:r>
            <w:r>
              <w:rPr>
                <w:spacing w:val="-10"/>
                <w:sz w:val="18"/>
              </w:rPr>
              <w:t>$</w:t>
            </w:r>
            <w:r>
              <w:rPr>
                <w:sz w:val="18"/>
              </w:rPr>
              <w:tab/>
            </w:r>
            <w:r>
              <w:rPr>
                <w:spacing w:val="-2"/>
                <w:sz w:val="18"/>
              </w:rPr>
              <w:t>14,007</w:t>
            </w:r>
          </w:p>
        </w:tc>
      </w:tr>
      <w:tr>
        <w:trPr>
          <w:trHeight w:val="250" w:hRule="atLeast"/>
        </w:trPr>
        <w:tc>
          <w:tcPr>
            <w:tcW w:w="5422" w:type="dxa"/>
            <w:tcBorders>
              <w:bottom w:val="single" w:sz="4" w:space="0" w:color="000000"/>
            </w:tcBorders>
          </w:tcPr>
          <w:p>
            <w:pPr>
              <w:pStyle w:val="TableParagraph"/>
              <w:spacing w:before="18"/>
              <w:ind w:left="172"/>
              <w:rPr>
                <w:sz w:val="18"/>
              </w:rPr>
            </w:pPr>
            <w:r>
              <w:rPr>
                <w:sz w:val="18"/>
              </w:rPr>
              <w:t>Commercial </w:t>
            </w:r>
            <w:r>
              <w:rPr>
                <w:spacing w:val="-2"/>
                <w:sz w:val="18"/>
              </w:rPr>
              <w:t>paper</w:t>
            </w:r>
          </w:p>
        </w:tc>
        <w:tc>
          <w:tcPr>
            <w:tcW w:w="1279" w:type="dxa"/>
            <w:tcBorders>
              <w:bottom w:val="single" w:sz="4" w:space="0" w:color="000000"/>
            </w:tcBorders>
          </w:tcPr>
          <w:p>
            <w:pPr>
              <w:pStyle w:val="TableParagraph"/>
              <w:spacing w:before="18"/>
              <w:ind w:right="98"/>
              <w:jc w:val="right"/>
              <w:rPr>
                <w:sz w:val="18"/>
              </w:rPr>
            </w:pPr>
            <w:r>
              <w:rPr>
                <w:spacing w:val="-10"/>
                <w:sz w:val="18"/>
              </w:rPr>
              <w:t>—</w:t>
            </w:r>
          </w:p>
        </w:tc>
        <w:tc>
          <w:tcPr>
            <w:tcW w:w="1170" w:type="dxa"/>
            <w:tcBorders>
              <w:bottom w:val="single" w:sz="4" w:space="0" w:color="000000"/>
            </w:tcBorders>
          </w:tcPr>
          <w:p>
            <w:pPr>
              <w:pStyle w:val="TableParagraph"/>
              <w:spacing w:before="18"/>
              <w:ind w:right="98"/>
              <w:jc w:val="right"/>
              <w:rPr>
                <w:sz w:val="18"/>
              </w:rPr>
            </w:pPr>
            <w:r>
              <w:rPr>
                <w:spacing w:val="-5"/>
                <w:sz w:val="18"/>
              </w:rPr>
              <w:t>48</w:t>
            </w:r>
          </w:p>
        </w:tc>
        <w:tc>
          <w:tcPr>
            <w:tcW w:w="2358" w:type="dxa"/>
            <w:gridSpan w:val="2"/>
            <w:tcBorders>
              <w:bottom w:val="single" w:sz="4" w:space="0" w:color="000000"/>
            </w:tcBorders>
          </w:tcPr>
          <w:p>
            <w:pPr>
              <w:pStyle w:val="TableParagraph"/>
              <w:tabs>
                <w:tab w:pos="2104" w:val="left" w:leader="none"/>
              </w:tabs>
              <w:spacing w:before="18"/>
              <w:ind w:left="934"/>
              <w:rPr>
                <w:sz w:val="18"/>
              </w:rPr>
            </w:pPr>
            <w:r>
              <w:rPr>
                <w:spacing w:val="-10"/>
                <w:sz w:val="18"/>
              </w:rPr>
              <w:t>—</w:t>
            </w:r>
            <w:r>
              <w:rPr>
                <w:sz w:val="18"/>
              </w:rPr>
              <w:tab/>
            </w:r>
            <w:r>
              <w:rPr>
                <w:spacing w:val="-5"/>
                <w:sz w:val="18"/>
              </w:rPr>
              <w:t>48</w:t>
            </w:r>
          </w:p>
        </w:tc>
      </w:tr>
      <w:tr>
        <w:trPr>
          <w:trHeight w:val="250" w:hRule="atLeast"/>
        </w:trPr>
        <w:tc>
          <w:tcPr>
            <w:tcW w:w="5422" w:type="dxa"/>
            <w:tcBorders>
              <w:top w:val="single" w:sz="4" w:space="0" w:color="000000"/>
            </w:tcBorders>
            <w:shd w:val="clear" w:color="auto" w:fill="CCEDFF"/>
          </w:tcPr>
          <w:p>
            <w:pPr>
              <w:pStyle w:val="TableParagraph"/>
              <w:spacing w:before="13"/>
              <w:ind w:left="292"/>
              <w:rPr>
                <w:sz w:val="18"/>
              </w:rPr>
            </w:pPr>
            <w:r>
              <w:rPr>
                <w:sz w:val="18"/>
              </w:rPr>
              <w:t>Total</w:t>
            </w:r>
            <w:r>
              <w:rPr>
                <w:spacing w:val="-1"/>
                <w:sz w:val="18"/>
              </w:rPr>
              <w:t> </w:t>
            </w:r>
            <w:r>
              <w:rPr>
                <w:sz w:val="18"/>
              </w:rPr>
              <w:t>cash </w:t>
            </w:r>
            <w:r>
              <w:rPr>
                <w:spacing w:val="-2"/>
                <w:sz w:val="18"/>
              </w:rPr>
              <w:t>equivalents</w:t>
            </w:r>
          </w:p>
        </w:tc>
        <w:tc>
          <w:tcPr>
            <w:tcW w:w="1279" w:type="dxa"/>
            <w:tcBorders>
              <w:top w:val="single" w:sz="4" w:space="0" w:color="000000"/>
            </w:tcBorders>
            <w:shd w:val="clear" w:color="auto" w:fill="CCEDFF"/>
          </w:tcPr>
          <w:p>
            <w:pPr>
              <w:pStyle w:val="TableParagraph"/>
              <w:spacing w:before="13"/>
              <w:ind w:right="98"/>
              <w:jc w:val="right"/>
              <w:rPr>
                <w:sz w:val="18"/>
              </w:rPr>
            </w:pPr>
            <w:r>
              <w:rPr>
                <w:spacing w:val="-2"/>
                <w:sz w:val="18"/>
              </w:rPr>
              <w:t>14,007</w:t>
            </w:r>
          </w:p>
        </w:tc>
        <w:tc>
          <w:tcPr>
            <w:tcW w:w="1170" w:type="dxa"/>
            <w:tcBorders>
              <w:top w:val="single" w:sz="4" w:space="0" w:color="000000"/>
            </w:tcBorders>
            <w:shd w:val="clear" w:color="auto" w:fill="CCEDFF"/>
          </w:tcPr>
          <w:p>
            <w:pPr>
              <w:pStyle w:val="TableParagraph"/>
              <w:spacing w:before="13"/>
              <w:ind w:right="98"/>
              <w:jc w:val="right"/>
              <w:rPr>
                <w:sz w:val="18"/>
              </w:rPr>
            </w:pPr>
            <w:r>
              <w:rPr>
                <w:spacing w:val="-5"/>
                <w:sz w:val="18"/>
              </w:rPr>
              <w:t>48</w:t>
            </w:r>
          </w:p>
        </w:tc>
        <w:tc>
          <w:tcPr>
            <w:tcW w:w="2358" w:type="dxa"/>
            <w:gridSpan w:val="2"/>
            <w:tcBorders>
              <w:top w:val="single" w:sz="4" w:space="0" w:color="000000"/>
            </w:tcBorders>
            <w:shd w:val="clear" w:color="auto" w:fill="CCEDFF"/>
          </w:tcPr>
          <w:p>
            <w:pPr>
              <w:pStyle w:val="TableParagraph"/>
              <w:tabs>
                <w:tab w:pos="1789" w:val="left" w:leader="none"/>
              </w:tabs>
              <w:spacing w:before="13"/>
              <w:ind w:left="934"/>
              <w:rPr>
                <w:sz w:val="18"/>
              </w:rPr>
            </w:pPr>
            <w:r>
              <w:rPr>
                <w:spacing w:val="-10"/>
                <w:sz w:val="18"/>
              </w:rPr>
              <w:t>—</w:t>
            </w:r>
            <w:r>
              <w:rPr>
                <w:sz w:val="18"/>
              </w:rPr>
              <w:tab/>
            </w:r>
            <w:r>
              <w:rPr>
                <w:spacing w:val="-2"/>
                <w:sz w:val="18"/>
              </w:rPr>
              <w:t>14,055</w:t>
            </w:r>
          </w:p>
        </w:tc>
      </w:tr>
      <w:tr>
        <w:trPr>
          <w:trHeight w:val="255" w:hRule="atLeast"/>
        </w:trPr>
        <w:tc>
          <w:tcPr>
            <w:tcW w:w="5422" w:type="dxa"/>
          </w:tcPr>
          <w:p>
            <w:pPr>
              <w:pStyle w:val="TableParagraph"/>
              <w:spacing w:before="18"/>
              <w:ind w:left="52"/>
              <w:rPr>
                <w:sz w:val="18"/>
              </w:rPr>
            </w:pPr>
            <w:r>
              <w:rPr>
                <w:sz w:val="18"/>
              </w:rPr>
              <w:t>Investments</w:t>
            </w:r>
            <w:r>
              <w:rPr>
                <w:spacing w:val="-2"/>
                <w:sz w:val="18"/>
              </w:rPr>
              <w:t> </w:t>
            </w:r>
            <w:r>
              <w:rPr>
                <w:sz w:val="18"/>
              </w:rPr>
              <w:t>segregated and</w:t>
            </w:r>
            <w:r>
              <w:rPr>
                <w:spacing w:val="-1"/>
                <w:sz w:val="18"/>
              </w:rPr>
              <w:t> </w:t>
            </w:r>
            <w:r>
              <w:rPr>
                <w:sz w:val="18"/>
              </w:rPr>
              <w:t>on deposit</w:t>
            </w:r>
            <w:r>
              <w:rPr>
                <w:spacing w:val="-1"/>
                <w:sz w:val="18"/>
              </w:rPr>
              <w:t> </w:t>
            </w:r>
            <w:r>
              <w:rPr>
                <w:sz w:val="18"/>
              </w:rPr>
              <w:t>for regulatory </w:t>
            </w:r>
            <w:r>
              <w:rPr>
                <w:spacing w:val="-2"/>
                <w:sz w:val="18"/>
              </w:rPr>
              <w:t>purposes:</w:t>
            </w:r>
          </w:p>
        </w:tc>
        <w:tc>
          <w:tcPr>
            <w:tcW w:w="1279" w:type="dxa"/>
          </w:tcPr>
          <w:p>
            <w:pPr>
              <w:pStyle w:val="TableParagraph"/>
              <w:rPr>
                <w:sz w:val="18"/>
              </w:rPr>
            </w:pPr>
          </w:p>
        </w:tc>
        <w:tc>
          <w:tcPr>
            <w:tcW w:w="1170" w:type="dxa"/>
          </w:tcPr>
          <w:p>
            <w:pPr>
              <w:pStyle w:val="TableParagraph"/>
              <w:rPr>
                <w:sz w:val="18"/>
              </w:rPr>
            </w:pPr>
          </w:p>
        </w:tc>
        <w:tc>
          <w:tcPr>
            <w:tcW w:w="2358" w:type="dxa"/>
            <w:gridSpan w:val="2"/>
          </w:tcPr>
          <w:p>
            <w:pPr>
              <w:pStyle w:val="TableParagraph"/>
              <w:rPr>
                <w:sz w:val="18"/>
              </w:rPr>
            </w:pPr>
          </w:p>
        </w:tc>
      </w:tr>
      <w:tr>
        <w:trPr>
          <w:trHeight w:val="255" w:hRule="atLeast"/>
        </w:trPr>
        <w:tc>
          <w:tcPr>
            <w:tcW w:w="5422" w:type="dxa"/>
            <w:shd w:val="clear" w:color="auto" w:fill="CCEDFF"/>
          </w:tcPr>
          <w:p>
            <w:pPr>
              <w:pStyle w:val="TableParagraph"/>
              <w:spacing w:before="18"/>
              <w:ind w:left="172"/>
              <w:rPr>
                <w:sz w:val="18"/>
              </w:rPr>
            </w:pPr>
            <w:r>
              <w:rPr>
                <w:sz w:val="18"/>
              </w:rPr>
              <w:t>U.S.</w:t>
            </w:r>
            <w:r>
              <w:rPr>
                <w:spacing w:val="-2"/>
                <w:sz w:val="18"/>
              </w:rPr>
              <w:t> </w:t>
            </w:r>
            <w:r>
              <w:rPr>
                <w:sz w:val="18"/>
              </w:rPr>
              <w:t>Government</w:t>
            </w:r>
            <w:r>
              <w:rPr>
                <w:spacing w:val="-1"/>
                <w:sz w:val="18"/>
              </w:rPr>
              <w:t> </w:t>
            </w:r>
            <w:r>
              <w:rPr>
                <w:spacing w:val="-2"/>
                <w:sz w:val="18"/>
              </w:rPr>
              <w:t>securities</w:t>
            </w:r>
          </w:p>
        </w:tc>
        <w:tc>
          <w:tcPr>
            <w:tcW w:w="1279" w:type="dxa"/>
            <w:shd w:val="clear" w:color="auto" w:fill="CCEDFF"/>
          </w:tcPr>
          <w:p>
            <w:pPr>
              <w:pStyle w:val="TableParagraph"/>
              <w:spacing w:before="18"/>
              <w:ind w:right="98"/>
              <w:jc w:val="right"/>
              <w:rPr>
                <w:sz w:val="18"/>
              </w:rPr>
            </w:pPr>
            <w:r>
              <w:rPr>
                <w:spacing w:val="-10"/>
                <w:sz w:val="18"/>
              </w:rPr>
              <w:t>—</w:t>
            </w:r>
          </w:p>
        </w:tc>
        <w:tc>
          <w:tcPr>
            <w:tcW w:w="1170" w:type="dxa"/>
            <w:shd w:val="clear" w:color="auto" w:fill="CCEDFF"/>
          </w:tcPr>
          <w:p>
            <w:pPr>
              <w:pStyle w:val="TableParagraph"/>
              <w:spacing w:before="18"/>
              <w:ind w:right="98"/>
              <w:jc w:val="right"/>
              <w:rPr>
                <w:sz w:val="18"/>
              </w:rPr>
            </w:pPr>
            <w:r>
              <w:rPr>
                <w:spacing w:val="-2"/>
                <w:sz w:val="18"/>
              </w:rPr>
              <w:t>23,645</w:t>
            </w:r>
          </w:p>
        </w:tc>
        <w:tc>
          <w:tcPr>
            <w:tcW w:w="2358" w:type="dxa"/>
            <w:gridSpan w:val="2"/>
            <w:shd w:val="clear" w:color="auto" w:fill="CCEDFF"/>
          </w:tcPr>
          <w:p>
            <w:pPr>
              <w:pStyle w:val="TableParagraph"/>
              <w:tabs>
                <w:tab w:pos="1789" w:val="left" w:leader="none"/>
              </w:tabs>
              <w:spacing w:before="18"/>
              <w:ind w:left="934"/>
              <w:rPr>
                <w:sz w:val="18"/>
              </w:rPr>
            </w:pPr>
            <w:r>
              <w:rPr>
                <w:spacing w:val="-10"/>
                <w:sz w:val="18"/>
              </w:rPr>
              <w:t>—</w:t>
            </w:r>
            <w:r>
              <w:rPr>
                <w:sz w:val="18"/>
              </w:rPr>
              <w:tab/>
            </w:r>
            <w:r>
              <w:rPr>
                <w:spacing w:val="-2"/>
                <w:sz w:val="18"/>
              </w:rPr>
              <w:t>23,645</w:t>
            </w:r>
          </w:p>
        </w:tc>
      </w:tr>
      <w:tr>
        <w:trPr>
          <w:trHeight w:val="250" w:hRule="atLeast"/>
        </w:trPr>
        <w:tc>
          <w:tcPr>
            <w:tcW w:w="5422" w:type="dxa"/>
            <w:tcBorders>
              <w:bottom w:val="single" w:sz="4" w:space="0" w:color="000000"/>
            </w:tcBorders>
          </w:tcPr>
          <w:p>
            <w:pPr>
              <w:pStyle w:val="TableParagraph"/>
              <w:spacing w:before="18"/>
              <w:ind w:left="172"/>
              <w:rPr>
                <w:sz w:val="18"/>
              </w:rPr>
            </w:pPr>
            <w:r>
              <w:rPr>
                <w:sz w:val="18"/>
              </w:rPr>
              <w:t>Certificates</w:t>
            </w:r>
            <w:r>
              <w:rPr>
                <w:spacing w:val="-1"/>
                <w:sz w:val="18"/>
              </w:rPr>
              <w:t> </w:t>
            </w:r>
            <w:r>
              <w:rPr>
                <w:sz w:val="18"/>
              </w:rPr>
              <w:t>of </w:t>
            </w:r>
            <w:r>
              <w:rPr>
                <w:spacing w:val="-2"/>
                <w:sz w:val="18"/>
              </w:rPr>
              <w:t>deposit</w:t>
            </w:r>
          </w:p>
        </w:tc>
        <w:tc>
          <w:tcPr>
            <w:tcW w:w="1279" w:type="dxa"/>
            <w:tcBorders>
              <w:bottom w:val="single" w:sz="4" w:space="0" w:color="000000"/>
            </w:tcBorders>
          </w:tcPr>
          <w:p>
            <w:pPr>
              <w:pStyle w:val="TableParagraph"/>
              <w:spacing w:before="18"/>
              <w:ind w:right="98"/>
              <w:jc w:val="right"/>
              <w:rPr>
                <w:sz w:val="18"/>
              </w:rPr>
            </w:pPr>
            <w:r>
              <w:rPr>
                <w:spacing w:val="-10"/>
                <w:sz w:val="18"/>
              </w:rPr>
              <w:t>—</w:t>
            </w:r>
          </w:p>
        </w:tc>
        <w:tc>
          <w:tcPr>
            <w:tcW w:w="1170" w:type="dxa"/>
            <w:tcBorders>
              <w:bottom w:val="single" w:sz="4" w:space="0" w:color="000000"/>
            </w:tcBorders>
          </w:tcPr>
          <w:p>
            <w:pPr>
              <w:pStyle w:val="TableParagraph"/>
              <w:spacing w:before="18"/>
              <w:ind w:right="98"/>
              <w:jc w:val="right"/>
              <w:rPr>
                <w:sz w:val="18"/>
              </w:rPr>
            </w:pPr>
            <w:r>
              <w:rPr>
                <w:spacing w:val="-2"/>
                <w:sz w:val="18"/>
              </w:rPr>
              <w:t>1,000</w:t>
            </w:r>
          </w:p>
        </w:tc>
        <w:tc>
          <w:tcPr>
            <w:tcW w:w="2358" w:type="dxa"/>
            <w:gridSpan w:val="2"/>
            <w:tcBorders>
              <w:bottom w:val="single" w:sz="4" w:space="0" w:color="000000"/>
            </w:tcBorders>
          </w:tcPr>
          <w:p>
            <w:pPr>
              <w:pStyle w:val="TableParagraph"/>
              <w:tabs>
                <w:tab w:pos="1879" w:val="left" w:leader="none"/>
              </w:tabs>
              <w:spacing w:before="18"/>
              <w:ind w:left="934"/>
              <w:rPr>
                <w:sz w:val="18"/>
              </w:rPr>
            </w:pPr>
            <w:r>
              <w:rPr>
                <w:spacing w:val="-10"/>
                <w:sz w:val="18"/>
              </w:rPr>
              <w:t>—</w:t>
            </w:r>
            <w:r>
              <w:rPr>
                <w:sz w:val="18"/>
              </w:rPr>
              <w:tab/>
            </w:r>
            <w:r>
              <w:rPr>
                <w:spacing w:val="-2"/>
                <w:sz w:val="18"/>
              </w:rPr>
              <w:t>1,000</w:t>
            </w:r>
          </w:p>
        </w:tc>
      </w:tr>
      <w:tr>
        <w:trPr>
          <w:trHeight w:val="250" w:hRule="atLeast"/>
        </w:trPr>
        <w:tc>
          <w:tcPr>
            <w:tcW w:w="5422" w:type="dxa"/>
            <w:tcBorders>
              <w:top w:val="single" w:sz="4" w:space="0" w:color="000000"/>
            </w:tcBorders>
            <w:shd w:val="clear" w:color="auto" w:fill="CCEDFF"/>
          </w:tcPr>
          <w:p>
            <w:pPr>
              <w:pStyle w:val="TableParagraph"/>
              <w:spacing w:before="13"/>
              <w:ind w:left="292"/>
              <w:rPr>
                <w:sz w:val="18"/>
              </w:rPr>
            </w:pPr>
            <w:r>
              <w:rPr>
                <w:sz w:val="18"/>
              </w:rPr>
              <w:t>Total</w:t>
            </w:r>
            <w:r>
              <w:rPr>
                <w:spacing w:val="-1"/>
                <w:sz w:val="18"/>
              </w:rPr>
              <w:t> </w:t>
            </w:r>
            <w:r>
              <w:rPr>
                <w:sz w:val="18"/>
              </w:rPr>
              <w:t>investments</w:t>
            </w:r>
            <w:r>
              <w:rPr>
                <w:spacing w:val="-1"/>
                <w:sz w:val="18"/>
              </w:rPr>
              <w:t> </w:t>
            </w:r>
            <w:r>
              <w:rPr>
                <w:sz w:val="18"/>
              </w:rPr>
              <w:t>segregated</w:t>
            </w:r>
            <w:r>
              <w:rPr>
                <w:spacing w:val="-1"/>
                <w:sz w:val="18"/>
              </w:rPr>
              <w:t> </w:t>
            </w:r>
            <w:r>
              <w:rPr>
                <w:sz w:val="18"/>
              </w:rPr>
              <w:t>and on deposit</w:t>
            </w:r>
            <w:r>
              <w:rPr>
                <w:spacing w:val="-1"/>
                <w:sz w:val="18"/>
              </w:rPr>
              <w:t> </w:t>
            </w:r>
            <w:r>
              <w:rPr>
                <w:sz w:val="18"/>
              </w:rPr>
              <w:t>for regulatory </w:t>
            </w:r>
            <w:r>
              <w:rPr>
                <w:spacing w:val="-2"/>
                <w:sz w:val="18"/>
              </w:rPr>
              <w:t>purposes</w:t>
            </w:r>
          </w:p>
        </w:tc>
        <w:tc>
          <w:tcPr>
            <w:tcW w:w="1279" w:type="dxa"/>
            <w:tcBorders>
              <w:top w:val="single" w:sz="4" w:space="0" w:color="000000"/>
            </w:tcBorders>
            <w:shd w:val="clear" w:color="auto" w:fill="CCEDFF"/>
          </w:tcPr>
          <w:p>
            <w:pPr>
              <w:pStyle w:val="TableParagraph"/>
              <w:spacing w:before="13"/>
              <w:ind w:right="98"/>
              <w:jc w:val="right"/>
              <w:rPr>
                <w:sz w:val="18"/>
              </w:rPr>
            </w:pPr>
            <w:r>
              <w:rPr>
                <w:spacing w:val="-10"/>
                <w:sz w:val="18"/>
              </w:rPr>
              <w:t>—</w:t>
            </w:r>
          </w:p>
        </w:tc>
        <w:tc>
          <w:tcPr>
            <w:tcW w:w="1170" w:type="dxa"/>
            <w:tcBorders>
              <w:top w:val="single" w:sz="4" w:space="0" w:color="000000"/>
            </w:tcBorders>
            <w:shd w:val="clear" w:color="auto" w:fill="CCEDFF"/>
          </w:tcPr>
          <w:p>
            <w:pPr>
              <w:pStyle w:val="TableParagraph"/>
              <w:spacing w:before="13"/>
              <w:ind w:right="98"/>
              <w:jc w:val="right"/>
              <w:rPr>
                <w:sz w:val="18"/>
              </w:rPr>
            </w:pPr>
            <w:r>
              <w:rPr>
                <w:spacing w:val="-2"/>
                <w:sz w:val="18"/>
              </w:rPr>
              <w:t>24,645</w:t>
            </w:r>
          </w:p>
        </w:tc>
        <w:tc>
          <w:tcPr>
            <w:tcW w:w="2358" w:type="dxa"/>
            <w:gridSpan w:val="2"/>
            <w:tcBorders>
              <w:top w:val="single" w:sz="4" w:space="0" w:color="000000"/>
            </w:tcBorders>
            <w:shd w:val="clear" w:color="auto" w:fill="CCEDFF"/>
          </w:tcPr>
          <w:p>
            <w:pPr>
              <w:pStyle w:val="TableParagraph"/>
              <w:tabs>
                <w:tab w:pos="1789" w:val="left" w:leader="none"/>
              </w:tabs>
              <w:spacing w:before="13"/>
              <w:ind w:left="934"/>
              <w:rPr>
                <w:sz w:val="18"/>
              </w:rPr>
            </w:pPr>
            <w:r>
              <w:rPr>
                <w:spacing w:val="-10"/>
                <w:sz w:val="18"/>
              </w:rPr>
              <w:t>—</w:t>
            </w:r>
            <w:r>
              <w:rPr>
                <w:sz w:val="18"/>
              </w:rPr>
              <w:tab/>
            </w:r>
            <w:r>
              <w:rPr>
                <w:spacing w:val="-2"/>
                <w:sz w:val="18"/>
              </w:rPr>
              <w:t>24,645</w:t>
            </w:r>
          </w:p>
        </w:tc>
      </w:tr>
      <w:tr>
        <w:trPr>
          <w:trHeight w:val="255" w:hRule="atLeast"/>
        </w:trPr>
        <w:tc>
          <w:tcPr>
            <w:tcW w:w="5422" w:type="dxa"/>
          </w:tcPr>
          <w:p>
            <w:pPr>
              <w:pStyle w:val="TableParagraph"/>
              <w:spacing w:before="18"/>
              <w:ind w:left="52"/>
              <w:rPr>
                <w:sz w:val="18"/>
              </w:rPr>
            </w:pPr>
            <w:r>
              <w:rPr>
                <w:sz w:val="18"/>
              </w:rPr>
              <w:t>Available</w:t>
            </w:r>
            <w:r>
              <w:rPr>
                <w:spacing w:val="-1"/>
                <w:sz w:val="18"/>
              </w:rPr>
              <w:t> </w:t>
            </w:r>
            <w:r>
              <w:rPr>
                <w:sz w:val="18"/>
              </w:rPr>
              <w:t>for</w:t>
            </w:r>
            <w:r>
              <w:rPr>
                <w:spacing w:val="-1"/>
                <w:sz w:val="18"/>
              </w:rPr>
              <w:t> </w:t>
            </w:r>
            <w:r>
              <w:rPr>
                <w:sz w:val="18"/>
              </w:rPr>
              <w:t>sale </w:t>
            </w:r>
            <w:r>
              <w:rPr>
                <w:spacing w:val="-2"/>
                <w:sz w:val="18"/>
              </w:rPr>
              <w:t>securities:</w:t>
            </w:r>
          </w:p>
        </w:tc>
        <w:tc>
          <w:tcPr>
            <w:tcW w:w="1279" w:type="dxa"/>
          </w:tcPr>
          <w:p>
            <w:pPr>
              <w:pStyle w:val="TableParagraph"/>
              <w:rPr>
                <w:sz w:val="18"/>
              </w:rPr>
            </w:pPr>
          </w:p>
        </w:tc>
        <w:tc>
          <w:tcPr>
            <w:tcW w:w="1170" w:type="dxa"/>
          </w:tcPr>
          <w:p>
            <w:pPr>
              <w:pStyle w:val="TableParagraph"/>
              <w:rPr>
                <w:sz w:val="18"/>
              </w:rPr>
            </w:pPr>
          </w:p>
        </w:tc>
        <w:tc>
          <w:tcPr>
            <w:tcW w:w="2358" w:type="dxa"/>
            <w:gridSpan w:val="2"/>
          </w:tcPr>
          <w:p>
            <w:pPr>
              <w:pStyle w:val="TableParagraph"/>
              <w:rPr>
                <w:sz w:val="18"/>
              </w:rPr>
            </w:pPr>
          </w:p>
        </w:tc>
      </w:tr>
      <w:tr>
        <w:trPr>
          <w:trHeight w:val="255" w:hRule="atLeast"/>
        </w:trPr>
        <w:tc>
          <w:tcPr>
            <w:tcW w:w="5422" w:type="dxa"/>
            <w:shd w:val="clear" w:color="auto" w:fill="CCEDFF"/>
          </w:tcPr>
          <w:p>
            <w:pPr>
              <w:pStyle w:val="TableParagraph"/>
              <w:spacing w:before="18"/>
              <w:ind w:left="172"/>
              <w:rPr>
                <w:sz w:val="18"/>
              </w:rPr>
            </w:pPr>
            <w:r>
              <w:rPr>
                <w:sz w:val="18"/>
              </w:rPr>
              <w:t>U.S.</w:t>
            </w:r>
            <w:r>
              <w:rPr>
                <w:spacing w:val="-1"/>
                <w:sz w:val="18"/>
              </w:rPr>
              <w:t> </w:t>
            </w:r>
            <w:r>
              <w:rPr>
                <w:sz w:val="18"/>
              </w:rPr>
              <w:t>agency</w:t>
            </w:r>
            <w:r>
              <w:rPr>
                <w:spacing w:val="-1"/>
                <w:sz w:val="18"/>
              </w:rPr>
              <w:t> </w:t>
            </w:r>
            <w:r>
              <w:rPr>
                <w:sz w:val="18"/>
              </w:rPr>
              <w:t>mortgage-backed </w:t>
            </w:r>
            <w:r>
              <w:rPr>
                <w:spacing w:val="-2"/>
                <w:sz w:val="18"/>
              </w:rPr>
              <w:t>securities</w:t>
            </w:r>
          </w:p>
        </w:tc>
        <w:tc>
          <w:tcPr>
            <w:tcW w:w="1279" w:type="dxa"/>
            <w:shd w:val="clear" w:color="auto" w:fill="CCEDFF"/>
          </w:tcPr>
          <w:p>
            <w:pPr>
              <w:pStyle w:val="TableParagraph"/>
              <w:spacing w:before="18"/>
              <w:ind w:right="98"/>
              <w:jc w:val="right"/>
              <w:rPr>
                <w:sz w:val="18"/>
              </w:rPr>
            </w:pPr>
            <w:r>
              <w:rPr>
                <w:spacing w:val="-10"/>
                <w:sz w:val="18"/>
              </w:rPr>
              <w:t>—</w:t>
            </w:r>
          </w:p>
        </w:tc>
        <w:tc>
          <w:tcPr>
            <w:tcW w:w="1170" w:type="dxa"/>
            <w:shd w:val="clear" w:color="auto" w:fill="CCEDFF"/>
          </w:tcPr>
          <w:p>
            <w:pPr>
              <w:pStyle w:val="TableParagraph"/>
              <w:spacing w:before="18"/>
              <w:ind w:right="98"/>
              <w:jc w:val="right"/>
              <w:rPr>
                <w:sz w:val="18"/>
              </w:rPr>
            </w:pPr>
            <w:r>
              <w:rPr>
                <w:spacing w:val="-2"/>
                <w:sz w:val="18"/>
              </w:rPr>
              <w:t>77,688</w:t>
            </w:r>
          </w:p>
        </w:tc>
        <w:tc>
          <w:tcPr>
            <w:tcW w:w="1406" w:type="dxa"/>
            <w:shd w:val="clear" w:color="auto" w:fill="CCEDFF"/>
          </w:tcPr>
          <w:p>
            <w:pPr>
              <w:pStyle w:val="TableParagraph"/>
              <w:spacing w:before="18"/>
              <w:ind w:right="289"/>
              <w:jc w:val="right"/>
              <w:rPr>
                <w:sz w:val="18"/>
              </w:rPr>
            </w:pPr>
            <w:r>
              <w:rPr>
                <w:spacing w:val="-10"/>
                <w:sz w:val="18"/>
              </w:rPr>
              <w:t>—</w:t>
            </w:r>
          </w:p>
        </w:tc>
        <w:tc>
          <w:tcPr>
            <w:tcW w:w="952" w:type="dxa"/>
            <w:shd w:val="clear" w:color="auto" w:fill="CCEDFF"/>
          </w:tcPr>
          <w:p>
            <w:pPr>
              <w:pStyle w:val="TableParagraph"/>
              <w:spacing w:before="18"/>
              <w:ind w:right="71"/>
              <w:jc w:val="right"/>
              <w:rPr>
                <w:sz w:val="18"/>
              </w:rPr>
            </w:pPr>
            <w:r>
              <w:rPr>
                <w:spacing w:val="-2"/>
                <w:sz w:val="18"/>
              </w:rPr>
              <w:t>77,688</w:t>
            </w:r>
          </w:p>
        </w:tc>
      </w:tr>
      <w:tr>
        <w:trPr>
          <w:trHeight w:val="255" w:hRule="atLeast"/>
        </w:trPr>
        <w:tc>
          <w:tcPr>
            <w:tcW w:w="5422" w:type="dxa"/>
          </w:tcPr>
          <w:p>
            <w:pPr>
              <w:pStyle w:val="TableParagraph"/>
              <w:spacing w:before="18"/>
              <w:ind w:left="172"/>
              <w:rPr>
                <w:sz w:val="18"/>
              </w:rPr>
            </w:pPr>
            <w:r>
              <w:rPr>
                <w:sz w:val="18"/>
              </w:rPr>
              <w:t>U.S.</w:t>
            </w:r>
            <w:r>
              <w:rPr>
                <w:spacing w:val="-2"/>
                <w:sz w:val="18"/>
              </w:rPr>
              <w:t> </w:t>
            </w:r>
            <w:r>
              <w:rPr>
                <w:sz w:val="18"/>
              </w:rPr>
              <w:t>Treasury</w:t>
            </w:r>
            <w:r>
              <w:rPr>
                <w:spacing w:val="-1"/>
                <w:sz w:val="18"/>
              </w:rPr>
              <w:t> </w:t>
            </w:r>
            <w:r>
              <w:rPr>
                <w:spacing w:val="-2"/>
                <w:sz w:val="18"/>
              </w:rPr>
              <w:t>securities</w:t>
            </w:r>
          </w:p>
        </w:tc>
        <w:tc>
          <w:tcPr>
            <w:tcW w:w="1279" w:type="dxa"/>
          </w:tcPr>
          <w:p>
            <w:pPr>
              <w:pStyle w:val="TableParagraph"/>
              <w:spacing w:before="18"/>
              <w:ind w:right="98"/>
              <w:jc w:val="right"/>
              <w:rPr>
                <w:sz w:val="18"/>
              </w:rPr>
            </w:pPr>
            <w:r>
              <w:rPr>
                <w:spacing w:val="-10"/>
                <w:sz w:val="18"/>
              </w:rPr>
              <w:t>—</w:t>
            </w:r>
          </w:p>
        </w:tc>
        <w:tc>
          <w:tcPr>
            <w:tcW w:w="1170" w:type="dxa"/>
          </w:tcPr>
          <w:p>
            <w:pPr>
              <w:pStyle w:val="TableParagraph"/>
              <w:spacing w:before="18"/>
              <w:ind w:right="98"/>
              <w:jc w:val="right"/>
              <w:rPr>
                <w:sz w:val="18"/>
              </w:rPr>
            </w:pPr>
            <w:r>
              <w:rPr>
                <w:spacing w:val="-2"/>
                <w:sz w:val="18"/>
              </w:rPr>
              <w:t>40,002</w:t>
            </w:r>
          </w:p>
        </w:tc>
        <w:tc>
          <w:tcPr>
            <w:tcW w:w="1406" w:type="dxa"/>
          </w:tcPr>
          <w:p>
            <w:pPr>
              <w:pStyle w:val="TableParagraph"/>
              <w:spacing w:before="18"/>
              <w:ind w:right="289"/>
              <w:jc w:val="right"/>
              <w:rPr>
                <w:sz w:val="18"/>
              </w:rPr>
            </w:pPr>
            <w:r>
              <w:rPr>
                <w:spacing w:val="-10"/>
                <w:sz w:val="18"/>
              </w:rPr>
              <w:t>—</w:t>
            </w:r>
          </w:p>
        </w:tc>
        <w:tc>
          <w:tcPr>
            <w:tcW w:w="952" w:type="dxa"/>
          </w:tcPr>
          <w:p>
            <w:pPr>
              <w:pStyle w:val="TableParagraph"/>
              <w:spacing w:before="18"/>
              <w:ind w:right="71"/>
              <w:jc w:val="right"/>
              <w:rPr>
                <w:sz w:val="18"/>
              </w:rPr>
            </w:pPr>
            <w:r>
              <w:rPr>
                <w:spacing w:val="-2"/>
                <w:sz w:val="18"/>
              </w:rPr>
              <w:t>40,002</w:t>
            </w:r>
          </w:p>
        </w:tc>
      </w:tr>
      <w:tr>
        <w:trPr>
          <w:trHeight w:val="255" w:hRule="atLeast"/>
        </w:trPr>
        <w:tc>
          <w:tcPr>
            <w:tcW w:w="5422" w:type="dxa"/>
            <w:shd w:val="clear" w:color="auto" w:fill="CCEDFF"/>
          </w:tcPr>
          <w:p>
            <w:pPr>
              <w:pStyle w:val="TableParagraph"/>
              <w:spacing w:before="18"/>
              <w:ind w:left="172"/>
              <w:rPr>
                <w:sz w:val="18"/>
              </w:rPr>
            </w:pPr>
            <w:r>
              <w:rPr>
                <w:sz w:val="18"/>
              </w:rPr>
              <w:t>Asset-backed</w:t>
            </w:r>
            <w:r>
              <w:rPr>
                <w:spacing w:val="-3"/>
                <w:sz w:val="18"/>
              </w:rPr>
              <w:t> </w:t>
            </w:r>
            <w:r>
              <w:rPr>
                <w:spacing w:val="-2"/>
                <w:sz w:val="18"/>
              </w:rPr>
              <w:t>securities</w:t>
            </w:r>
          </w:p>
        </w:tc>
        <w:tc>
          <w:tcPr>
            <w:tcW w:w="1279" w:type="dxa"/>
            <w:shd w:val="clear" w:color="auto" w:fill="CCEDFF"/>
          </w:tcPr>
          <w:p>
            <w:pPr>
              <w:pStyle w:val="TableParagraph"/>
              <w:spacing w:before="18"/>
              <w:ind w:right="98"/>
              <w:jc w:val="right"/>
              <w:rPr>
                <w:sz w:val="18"/>
              </w:rPr>
            </w:pPr>
            <w:r>
              <w:rPr>
                <w:spacing w:val="-10"/>
                <w:sz w:val="18"/>
              </w:rPr>
              <w:t>—</w:t>
            </w:r>
          </w:p>
        </w:tc>
        <w:tc>
          <w:tcPr>
            <w:tcW w:w="1170" w:type="dxa"/>
            <w:shd w:val="clear" w:color="auto" w:fill="CCEDFF"/>
          </w:tcPr>
          <w:p>
            <w:pPr>
              <w:pStyle w:val="TableParagraph"/>
              <w:spacing w:before="18"/>
              <w:ind w:right="98"/>
              <w:jc w:val="right"/>
              <w:rPr>
                <w:sz w:val="18"/>
              </w:rPr>
            </w:pPr>
            <w:r>
              <w:rPr>
                <w:spacing w:val="-2"/>
                <w:sz w:val="18"/>
              </w:rPr>
              <w:t>13,023</w:t>
            </w:r>
          </w:p>
        </w:tc>
        <w:tc>
          <w:tcPr>
            <w:tcW w:w="1406" w:type="dxa"/>
            <w:shd w:val="clear" w:color="auto" w:fill="CCEDFF"/>
          </w:tcPr>
          <w:p>
            <w:pPr>
              <w:pStyle w:val="TableParagraph"/>
              <w:spacing w:before="18"/>
              <w:ind w:right="289"/>
              <w:jc w:val="right"/>
              <w:rPr>
                <w:sz w:val="18"/>
              </w:rPr>
            </w:pPr>
            <w:r>
              <w:rPr>
                <w:spacing w:val="-10"/>
                <w:sz w:val="18"/>
              </w:rPr>
              <w:t>—</w:t>
            </w:r>
          </w:p>
        </w:tc>
        <w:tc>
          <w:tcPr>
            <w:tcW w:w="952" w:type="dxa"/>
            <w:shd w:val="clear" w:color="auto" w:fill="CCEDFF"/>
          </w:tcPr>
          <w:p>
            <w:pPr>
              <w:pStyle w:val="TableParagraph"/>
              <w:spacing w:before="18"/>
              <w:ind w:right="71"/>
              <w:jc w:val="right"/>
              <w:rPr>
                <w:sz w:val="18"/>
              </w:rPr>
            </w:pPr>
            <w:r>
              <w:rPr>
                <w:spacing w:val="-2"/>
                <w:sz w:val="18"/>
              </w:rPr>
              <w:t>13,023</w:t>
            </w:r>
          </w:p>
        </w:tc>
      </w:tr>
      <w:tr>
        <w:trPr>
          <w:trHeight w:val="255" w:hRule="atLeast"/>
        </w:trPr>
        <w:tc>
          <w:tcPr>
            <w:tcW w:w="5422" w:type="dxa"/>
          </w:tcPr>
          <w:p>
            <w:pPr>
              <w:pStyle w:val="TableParagraph"/>
              <w:spacing w:before="18"/>
              <w:ind w:left="172"/>
              <w:rPr>
                <w:sz w:val="18"/>
              </w:rPr>
            </w:pPr>
            <w:r>
              <w:rPr>
                <w:sz w:val="18"/>
              </w:rPr>
              <w:t>Corporate debt </w:t>
            </w:r>
            <w:r>
              <w:rPr>
                <w:spacing w:val="-2"/>
                <w:sz w:val="18"/>
              </w:rPr>
              <w:t>securities</w:t>
            </w:r>
          </w:p>
        </w:tc>
        <w:tc>
          <w:tcPr>
            <w:tcW w:w="1279" w:type="dxa"/>
          </w:tcPr>
          <w:p>
            <w:pPr>
              <w:pStyle w:val="TableParagraph"/>
              <w:spacing w:before="18"/>
              <w:ind w:right="98"/>
              <w:jc w:val="right"/>
              <w:rPr>
                <w:sz w:val="18"/>
              </w:rPr>
            </w:pPr>
            <w:r>
              <w:rPr>
                <w:spacing w:val="-10"/>
                <w:sz w:val="18"/>
              </w:rPr>
              <w:t>—</w:t>
            </w:r>
          </w:p>
        </w:tc>
        <w:tc>
          <w:tcPr>
            <w:tcW w:w="1170" w:type="dxa"/>
          </w:tcPr>
          <w:p>
            <w:pPr>
              <w:pStyle w:val="TableParagraph"/>
              <w:spacing w:before="18"/>
              <w:ind w:right="98"/>
              <w:jc w:val="right"/>
              <w:rPr>
                <w:sz w:val="18"/>
              </w:rPr>
            </w:pPr>
            <w:r>
              <w:rPr>
                <w:spacing w:val="-2"/>
                <w:sz w:val="18"/>
              </w:rPr>
              <w:t>12,555</w:t>
            </w:r>
          </w:p>
        </w:tc>
        <w:tc>
          <w:tcPr>
            <w:tcW w:w="1406" w:type="dxa"/>
          </w:tcPr>
          <w:p>
            <w:pPr>
              <w:pStyle w:val="TableParagraph"/>
              <w:spacing w:before="18"/>
              <w:ind w:right="289"/>
              <w:jc w:val="right"/>
              <w:rPr>
                <w:sz w:val="18"/>
              </w:rPr>
            </w:pPr>
            <w:r>
              <w:rPr>
                <w:spacing w:val="-10"/>
                <w:sz w:val="18"/>
              </w:rPr>
              <w:t>—</w:t>
            </w:r>
          </w:p>
        </w:tc>
        <w:tc>
          <w:tcPr>
            <w:tcW w:w="952" w:type="dxa"/>
          </w:tcPr>
          <w:p>
            <w:pPr>
              <w:pStyle w:val="TableParagraph"/>
              <w:spacing w:before="18"/>
              <w:ind w:right="71"/>
              <w:jc w:val="right"/>
              <w:rPr>
                <w:sz w:val="18"/>
              </w:rPr>
            </w:pPr>
            <w:r>
              <w:rPr>
                <w:spacing w:val="-2"/>
                <w:sz w:val="18"/>
              </w:rPr>
              <w:t>12,555</w:t>
            </w:r>
          </w:p>
        </w:tc>
      </w:tr>
      <w:tr>
        <w:trPr>
          <w:trHeight w:val="255" w:hRule="atLeast"/>
        </w:trPr>
        <w:tc>
          <w:tcPr>
            <w:tcW w:w="5422" w:type="dxa"/>
            <w:shd w:val="clear" w:color="auto" w:fill="CCEDFF"/>
          </w:tcPr>
          <w:p>
            <w:pPr>
              <w:pStyle w:val="TableParagraph"/>
              <w:spacing w:before="18"/>
              <w:ind w:left="172"/>
              <w:rPr>
                <w:sz w:val="18"/>
              </w:rPr>
            </w:pPr>
            <w:r>
              <w:rPr>
                <w:sz w:val="18"/>
              </w:rPr>
              <w:t>Certificates</w:t>
            </w:r>
            <w:r>
              <w:rPr>
                <w:spacing w:val="-1"/>
                <w:sz w:val="18"/>
              </w:rPr>
              <w:t> </w:t>
            </w:r>
            <w:r>
              <w:rPr>
                <w:sz w:val="18"/>
              </w:rPr>
              <w:t>of </w:t>
            </w:r>
            <w:r>
              <w:rPr>
                <w:spacing w:val="-2"/>
                <w:sz w:val="18"/>
              </w:rPr>
              <w:t>deposit</w:t>
            </w:r>
          </w:p>
        </w:tc>
        <w:tc>
          <w:tcPr>
            <w:tcW w:w="1279" w:type="dxa"/>
            <w:shd w:val="clear" w:color="auto" w:fill="CCEDFF"/>
          </w:tcPr>
          <w:p>
            <w:pPr>
              <w:pStyle w:val="TableParagraph"/>
              <w:spacing w:before="18"/>
              <w:ind w:right="98"/>
              <w:jc w:val="right"/>
              <w:rPr>
                <w:sz w:val="18"/>
              </w:rPr>
            </w:pPr>
            <w:r>
              <w:rPr>
                <w:spacing w:val="-10"/>
                <w:sz w:val="18"/>
              </w:rPr>
              <w:t>—</w:t>
            </w:r>
          </w:p>
        </w:tc>
        <w:tc>
          <w:tcPr>
            <w:tcW w:w="1170" w:type="dxa"/>
            <w:shd w:val="clear" w:color="auto" w:fill="CCEDFF"/>
          </w:tcPr>
          <w:p>
            <w:pPr>
              <w:pStyle w:val="TableParagraph"/>
              <w:spacing w:before="18"/>
              <w:ind w:right="98"/>
              <w:jc w:val="right"/>
              <w:rPr>
                <w:sz w:val="18"/>
              </w:rPr>
            </w:pPr>
            <w:r>
              <w:rPr>
                <w:spacing w:val="-2"/>
                <w:sz w:val="18"/>
              </w:rPr>
              <w:t>2,231</w:t>
            </w:r>
          </w:p>
        </w:tc>
        <w:tc>
          <w:tcPr>
            <w:tcW w:w="1406" w:type="dxa"/>
            <w:shd w:val="clear" w:color="auto" w:fill="CCEDFF"/>
          </w:tcPr>
          <w:p>
            <w:pPr>
              <w:pStyle w:val="TableParagraph"/>
              <w:spacing w:before="18"/>
              <w:ind w:right="289"/>
              <w:jc w:val="right"/>
              <w:rPr>
                <w:sz w:val="18"/>
              </w:rPr>
            </w:pPr>
            <w:r>
              <w:rPr>
                <w:spacing w:val="-10"/>
                <w:sz w:val="18"/>
              </w:rPr>
              <w:t>—</w:t>
            </w:r>
          </w:p>
        </w:tc>
        <w:tc>
          <w:tcPr>
            <w:tcW w:w="952" w:type="dxa"/>
            <w:shd w:val="clear" w:color="auto" w:fill="CCEDFF"/>
          </w:tcPr>
          <w:p>
            <w:pPr>
              <w:pStyle w:val="TableParagraph"/>
              <w:spacing w:before="18"/>
              <w:ind w:right="71"/>
              <w:jc w:val="right"/>
              <w:rPr>
                <w:sz w:val="18"/>
              </w:rPr>
            </w:pPr>
            <w:r>
              <w:rPr>
                <w:spacing w:val="-2"/>
                <w:sz w:val="18"/>
              </w:rPr>
              <w:t>2,231</w:t>
            </w:r>
          </w:p>
        </w:tc>
      </w:tr>
      <w:tr>
        <w:trPr>
          <w:trHeight w:val="255" w:hRule="atLeast"/>
        </w:trPr>
        <w:tc>
          <w:tcPr>
            <w:tcW w:w="5422" w:type="dxa"/>
          </w:tcPr>
          <w:p>
            <w:pPr>
              <w:pStyle w:val="TableParagraph"/>
              <w:spacing w:before="18"/>
              <w:ind w:left="172"/>
              <w:rPr>
                <w:sz w:val="18"/>
              </w:rPr>
            </w:pPr>
            <w:r>
              <w:rPr>
                <w:sz w:val="18"/>
              </w:rPr>
              <w:t>Foreign</w:t>
            </w:r>
            <w:r>
              <w:rPr>
                <w:spacing w:val="-1"/>
                <w:sz w:val="18"/>
              </w:rPr>
              <w:t> </w:t>
            </w:r>
            <w:r>
              <w:rPr>
                <w:sz w:val="18"/>
              </w:rPr>
              <w:t>government agency </w:t>
            </w:r>
            <w:r>
              <w:rPr>
                <w:spacing w:val="-2"/>
                <w:sz w:val="18"/>
              </w:rPr>
              <w:t>securities</w:t>
            </w:r>
          </w:p>
        </w:tc>
        <w:tc>
          <w:tcPr>
            <w:tcW w:w="1279" w:type="dxa"/>
          </w:tcPr>
          <w:p>
            <w:pPr>
              <w:pStyle w:val="TableParagraph"/>
              <w:spacing w:before="18"/>
              <w:ind w:right="98"/>
              <w:jc w:val="right"/>
              <w:rPr>
                <w:sz w:val="18"/>
              </w:rPr>
            </w:pPr>
            <w:r>
              <w:rPr>
                <w:spacing w:val="-10"/>
                <w:sz w:val="18"/>
              </w:rPr>
              <w:t>—</w:t>
            </w:r>
          </w:p>
        </w:tc>
        <w:tc>
          <w:tcPr>
            <w:tcW w:w="1170" w:type="dxa"/>
          </w:tcPr>
          <w:p>
            <w:pPr>
              <w:pStyle w:val="TableParagraph"/>
              <w:spacing w:before="18"/>
              <w:ind w:right="98"/>
              <w:jc w:val="right"/>
              <w:rPr>
                <w:sz w:val="18"/>
              </w:rPr>
            </w:pPr>
            <w:r>
              <w:rPr>
                <w:spacing w:val="-5"/>
                <w:sz w:val="18"/>
              </w:rPr>
              <w:t>969</w:t>
            </w:r>
          </w:p>
        </w:tc>
        <w:tc>
          <w:tcPr>
            <w:tcW w:w="1406" w:type="dxa"/>
          </w:tcPr>
          <w:p>
            <w:pPr>
              <w:pStyle w:val="TableParagraph"/>
              <w:spacing w:before="18"/>
              <w:ind w:right="289"/>
              <w:jc w:val="right"/>
              <w:rPr>
                <w:sz w:val="18"/>
              </w:rPr>
            </w:pPr>
            <w:r>
              <w:rPr>
                <w:spacing w:val="-10"/>
                <w:sz w:val="18"/>
              </w:rPr>
              <w:t>—</w:t>
            </w:r>
          </w:p>
        </w:tc>
        <w:tc>
          <w:tcPr>
            <w:tcW w:w="952" w:type="dxa"/>
          </w:tcPr>
          <w:p>
            <w:pPr>
              <w:pStyle w:val="TableParagraph"/>
              <w:spacing w:before="18"/>
              <w:ind w:right="71"/>
              <w:jc w:val="right"/>
              <w:rPr>
                <w:sz w:val="18"/>
              </w:rPr>
            </w:pPr>
            <w:r>
              <w:rPr>
                <w:spacing w:val="-5"/>
                <w:sz w:val="18"/>
              </w:rPr>
              <w:t>969</w:t>
            </w:r>
          </w:p>
        </w:tc>
      </w:tr>
      <w:tr>
        <w:trPr>
          <w:trHeight w:val="255" w:hRule="atLeast"/>
        </w:trPr>
        <w:tc>
          <w:tcPr>
            <w:tcW w:w="5422" w:type="dxa"/>
            <w:shd w:val="clear" w:color="auto" w:fill="CCEDFF"/>
          </w:tcPr>
          <w:p>
            <w:pPr>
              <w:pStyle w:val="TableParagraph"/>
              <w:spacing w:before="18"/>
              <w:ind w:left="172"/>
              <w:rPr>
                <w:sz w:val="18"/>
              </w:rPr>
            </w:pPr>
            <w:r>
              <w:rPr>
                <w:sz w:val="18"/>
              </w:rPr>
              <w:t>U.S.</w:t>
            </w:r>
            <w:r>
              <w:rPr>
                <w:spacing w:val="-1"/>
                <w:sz w:val="18"/>
              </w:rPr>
              <w:t> </w:t>
            </w:r>
            <w:r>
              <w:rPr>
                <w:sz w:val="18"/>
              </w:rPr>
              <w:t>state</w:t>
            </w:r>
            <w:r>
              <w:rPr>
                <w:spacing w:val="-1"/>
                <w:sz w:val="18"/>
              </w:rPr>
              <w:t> </w:t>
            </w:r>
            <w:r>
              <w:rPr>
                <w:sz w:val="18"/>
              </w:rPr>
              <w:t>and</w:t>
            </w:r>
            <w:r>
              <w:rPr>
                <w:spacing w:val="-1"/>
                <w:sz w:val="18"/>
              </w:rPr>
              <w:t> </w:t>
            </w:r>
            <w:r>
              <w:rPr>
                <w:sz w:val="18"/>
              </w:rPr>
              <w:t>municipal </w:t>
            </w:r>
            <w:r>
              <w:rPr>
                <w:spacing w:val="-2"/>
                <w:sz w:val="18"/>
              </w:rPr>
              <w:t>securities</w:t>
            </w:r>
          </w:p>
        </w:tc>
        <w:tc>
          <w:tcPr>
            <w:tcW w:w="1279" w:type="dxa"/>
            <w:shd w:val="clear" w:color="auto" w:fill="CCEDFF"/>
          </w:tcPr>
          <w:p>
            <w:pPr>
              <w:pStyle w:val="TableParagraph"/>
              <w:spacing w:before="18"/>
              <w:ind w:right="98"/>
              <w:jc w:val="right"/>
              <w:rPr>
                <w:sz w:val="18"/>
              </w:rPr>
            </w:pPr>
            <w:r>
              <w:rPr>
                <w:spacing w:val="-10"/>
                <w:sz w:val="18"/>
              </w:rPr>
              <w:t>—</w:t>
            </w:r>
          </w:p>
        </w:tc>
        <w:tc>
          <w:tcPr>
            <w:tcW w:w="1170" w:type="dxa"/>
            <w:shd w:val="clear" w:color="auto" w:fill="CCEDFF"/>
          </w:tcPr>
          <w:p>
            <w:pPr>
              <w:pStyle w:val="TableParagraph"/>
              <w:spacing w:before="18"/>
              <w:ind w:right="98"/>
              <w:jc w:val="right"/>
              <w:rPr>
                <w:sz w:val="18"/>
              </w:rPr>
            </w:pPr>
            <w:r>
              <w:rPr>
                <w:spacing w:val="-5"/>
                <w:sz w:val="18"/>
              </w:rPr>
              <w:t>638</w:t>
            </w:r>
          </w:p>
        </w:tc>
        <w:tc>
          <w:tcPr>
            <w:tcW w:w="1406" w:type="dxa"/>
            <w:shd w:val="clear" w:color="auto" w:fill="CCEDFF"/>
          </w:tcPr>
          <w:p>
            <w:pPr>
              <w:pStyle w:val="TableParagraph"/>
              <w:spacing w:before="18"/>
              <w:ind w:right="289"/>
              <w:jc w:val="right"/>
              <w:rPr>
                <w:sz w:val="18"/>
              </w:rPr>
            </w:pPr>
            <w:r>
              <w:rPr>
                <w:spacing w:val="-10"/>
                <w:sz w:val="18"/>
              </w:rPr>
              <w:t>—</w:t>
            </w:r>
          </w:p>
        </w:tc>
        <w:tc>
          <w:tcPr>
            <w:tcW w:w="952" w:type="dxa"/>
            <w:shd w:val="clear" w:color="auto" w:fill="CCEDFF"/>
          </w:tcPr>
          <w:p>
            <w:pPr>
              <w:pStyle w:val="TableParagraph"/>
              <w:spacing w:before="18"/>
              <w:ind w:right="71"/>
              <w:jc w:val="right"/>
              <w:rPr>
                <w:sz w:val="18"/>
              </w:rPr>
            </w:pPr>
            <w:r>
              <w:rPr>
                <w:spacing w:val="-5"/>
                <w:sz w:val="18"/>
              </w:rPr>
              <w:t>638</w:t>
            </w:r>
          </w:p>
        </w:tc>
      </w:tr>
      <w:tr>
        <w:trPr>
          <w:trHeight w:val="255" w:hRule="atLeast"/>
        </w:trPr>
        <w:tc>
          <w:tcPr>
            <w:tcW w:w="5422" w:type="dxa"/>
          </w:tcPr>
          <w:p>
            <w:pPr>
              <w:pStyle w:val="TableParagraph"/>
              <w:spacing w:before="18"/>
              <w:ind w:left="172"/>
              <w:rPr>
                <w:sz w:val="18"/>
              </w:rPr>
            </w:pPr>
            <w:r>
              <w:rPr>
                <w:sz w:val="18"/>
              </w:rPr>
              <w:t>Non-agency</w:t>
            </w:r>
            <w:r>
              <w:rPr>
                <w:spacing w:val="-1"/>
                <w:sz w:val="18"/>
              </w:rPr>
              <w:t> </w:t>
            </w:r>
            <w:r>
              <w:rPr>
                <w:sz w:val="18"/>
              </w:rPr>
              <w:t>commercial mortgage-backed </w:t>
            </w:r>
            <w:r>
              <w:rPr>
                <w:spacing w:val="-2"/>
                <w:sz w:val="18"/>
              </w:rPr>
              <w:t>securities</w:t>
            </w:r>
          </w:p>
        </w:tc>
        <w:tc>
          <w:tcPr>
            <w:tcW w:w="1279" w:type="dxa"/>
          </w:tcPr>
          <w:p>
            <w:pPr>
              <w:pStyle w:val="TableParagraph"/>
              <w:spacing w:before="18"/>
              <w:ind w:right="98"/>
              <w:jc w:val="right"/>
              <w:rPr>
                <w:sz w:val="18"/>
              </w:rPr>
            </w:pPr>
            <w:r>
              <w:rPr>
                <w:spacing w:val="-10"/>
                <w:sz w:val="18"/>
              </w:rPr>
              <w:t>—</w:t>
            </w:r>
          </w:p>
        </w:tc>
        <w:tc>
          <w:tcPr>
            <w:tcW w:w="1170" w:type="dxa"/>
          </w:tcPr>
          <w:p>
            <w:pPr>
              <w:pStyle w:val="TableParagraph"/>
              <w:spacing w:before="18"/>
              <w:ind w:right="98"/>
              <w:jc w:val="right"/>
              <w:rPr>
                <w:sz w:val="18"/>
              </w:rPr>
            </w:pPr>
            <w:r>
              <w:rPr>
                <w:spacing w:val="-5"/>
                <w:sz w:val="18"/>
              </w:rPr>
              <w:t>450</w:t>
            </w:r>
          </w:p>
        </w:tc>
        <w:tc>
          <w:tcPr>
            <w:tcW w:w="1406" w:type="dxa"/>
          </w:tcPr>
          <w:p>
            <w:pPr>
              <w:pStyle w:val="TableParagraph"/>
              <w:spacing w:before="18"/>
              <w:ind w:right="289"/>
              <w:jc w:val="right"/>
              <w:rPr>
                <w:sz w:val="18"/>
              </w:rPr>
            </w:pPr>
            <w:r>
              <w:rPr>
                <w:spacing w:val="-10"/>
                <w:sz w:val="18"/>
              </w:rPr>
              <w:t>—</w:t>
            </w:r>
          </w:p>
        </w:tc>
        <w:tc>
          <w:tcPr>
            <w:tcW w:w="952" w:type="dxa"/>
          </w:tcPr>
          <w:p>
            <w:pPr>
              <w:pStyle w:val="TableParagraph"/>
              <w:spacing w:before="18"/>
              <w:ind w:right="71"/>
              <w:jc w:val="right"/>
              <w:rPr>
                <w:sz w:val="18"/>
              </w:rPr>
            </w:pPr>
            <w:r>
              <w:rPr>
                <w:spacing w:val="-5"/>
                <w:sz w:val="18"/>
              </w:rPr>
              <w:t>450</w:t>
            </w:r>
          </w:p>
        </w:tc>
      </w:tr>
      <w:tr>
        <w:trPr>
          <w:trHeight w:val="250" w:hRule="atLeast"/>
        </w:trPr>
        <w:tc>
          <w:tcPr>
            <w:tcW w:w="5422" w:type="dxa"/>
            <w:tcBorders>
              <w:bottom w:val="single" w:sz="4" w:space="0" w:color="000000"/>
            </w:tcBorders>
            <w:shd w:val="clear" w:color="auto" w:fill="CCEDFF"/>
          </w:tcPr>
          <w:p>
            <w:pPr>
              <w:pStyle w:val="TableParagraph"/>
              <w:spacing w:before="18"/>
              <w:ind w:left="172"/>
              <w:rPr>
                <w:sz w:val="18"/>
              </w:rPr>
            </w:pPr>
            <w:r>
              <w:rPr>
                <w:spacing w:val="-2"/>
                <w:sz w:val="18"/>
              </w:rPr>
              <w:t>Other</w:t>
            </w:r>
          </w:p>
        </w:tc>
        <w:tc>
          <w:tcPr>
            <w:tcW w:w="1279" w:type="dxa"/>
            <w:tcBorders>
              <w:bottom w:val="single" w:sz="4" w:space="0" w:color="000000"/>
            </w:tcBorders>
            <w:shd w:val="clear" w:color="auto" w:fill="CCEDFF"/>
          </w:tcPr>
          <w:p>
            <w:pPr>
              <w:pStyle w:val="TableParagraph"/>
              <w:spacing w:before="18"/>
              <w:ind w:right="98"/>
              <w:jc w:val="right"/>
              <w:rPr>
                <w:sz w:val="18"/>
              </w:rPr>
            </w:pPr>
            <w:r>
              <w:rPr>
                <w:spacing w:val="-10"/>
                <w:sz w:val="18"/>
              </w:rPr>
              <w:t>—</w:t>
            </w:r>
          </w:p>
        </w:tc>
        <w:tc>
          <w:tcPr>
            <w:tcW w:w="1170" w:type="dxa"/>
            <w:tcBorders>
              <w:bottom w:val="single" w:sz="4" w:space="0" w:color="000000"/>
            </w:tcBorders>
            <w:shd w:val="clear" w:color="auto" w:fill="CCEDFF"/>
          </w:tcPr>
          <w:p>
            <w:pPr>
              <w:pStyle w:val="TableParagraph"/>
              <w:spacing w:before="18"/>
              <w:ind w:right="98"/>
              <w:jc w:val="right"/>
              <w:rPr>
                <w:sz w:val="18"/>
              </w:rPr>
            </w:pPr>
            <w:r>
              <w:rPr>
                <w:spacing w:val="-5"/>
                <w:sz w:val="18"/>
              </w:rPr>
              <w:t>315</w:t>
            </w:r>
          </w:p>
        </w:tc>
        <w:tc>
          <w:tcPr>
            <w:tcW w:w="1406" w:type="dxa"/>
            <w:tcBorders>
              <w:bottom w:val="single" w:sz="4" w:space="0" w:color="000000"/>
            </w:tcBorders>
            <w:shd w:val="clear" w:color="auto" w:fill="CCEDFF"/>
          </w:tcPr>
          <w:p>
            <w:pPr>
              <w:pStyle w:val="TableParagraph"/>
              <w:spacing w:before="18"/>
              <w:ind w:right="289"/>
              <w:jc w:val="right"/>
              <w:rPr>
                <w:sz w:val="18"/>
              </w:rPr>
            </w:pPr>
            <w:r>
              <w:rPr>
                <w:spacing w:val="-10"/>
                <w:sz w:val="18"/>
              </w:rPr>
              <w:t>—</w:t>
            </w:r>
          </w:p>
        </w:tc>
        <w:tc>
          <w:tcPr>
            <w:tcW w:w="952" w:type="dxa"/>
            <w:tcBorders>
              <w:bottom w:val="single" w:sz="4" w:space="0" w:color="000000"/>
            </w:tcBorders>
            <w:shd w:val="clear" w:color="auto" w:fill="CCEDFF"/>
          </w:tcPr>
          <w:p>
            <w:pPr>
              <w:pStyle w:val="TableParagraph"/>
              <w:spacing w:before="18"/>
              <w:ind w:right="71"/>
              <w:jc w:val="right"/>
              <w:rPr>
                <w:sz w:val="18"/>
              </w:rPr>
            </w:pPr>
            <w:r>
              <w:rPr>
                <w:spacing w:val="-5"/>
                <w:sz w:val="18"/>
              </w:rPr>
              <w:t>315</w:t>
            </w:r>
          </w:p>
        </w:tc>
      </w:tr>
      <w:tr>
        <w:trPr>
          <w:trHeight w:val="250" w:hRule="atLeast"/>
        </w:trPr>
        <w:tc>
          <w:tcPr>
            <w:tcW w:w="5422" w:type="dxa"/>
            <w:tcBorders>
              <w:top w:val="single" w:sz="4" w:space="0" w:color="000000"/>
            </w:tcBorders>
          </w:tcPr>
          <w:p>
            <w:pPr>
              <w:pStyle w:val="TableParagraph"/>
              <w:spacing w:before="13"/>
              <w:ind w:left="292"/>
              <w:rPr>
                <w:sz w:val="18"/>
              </w:rPr>
            </w:pPr>
            <w:r>
              <w:rPr>
                <w:sz w:val="18"/>
              </w:rPr>
              <w:t>Total</w:t>
            </w:r>
            <w:r>
              <w:rPr>
                <w:spacing w:val="-1"/>
                <w:sz w:val="18"/>
              </w:rPr>
              <w:t> </w:t>
            </w:r>
            <w:r>
              <w:rPr>
                <w:sz w:val="18"/>
              </w:rPr>
              <w:t>available for sale </w:t>
            </w:r>
            <w:r>
              <w:rPr>
                <w:spacing w:val="-2"/>
                <w:sz w:val="18"/>
              </w:rPr>
              <w:t>securities</w:t>
            </w:r>
          </w:p>
        </w:tc>
        <w:tc>
          <w:tcPr>
            <w:tcW w:w="1279" w:type="dxa"/>
            <w:tcBorders>
              <w:top w:val="single" w:sz="4" w:space="0" w:color="000000"/>
            </w:tcBorders>
          </w:tcPr>
          <w:p>
            <w:pPr>
              <w:pStyle w:val="TableParagraph"/>
              <w:spacing w:before="13"/>
              <w:ind w:right="98"/>
              <w:jc w:val="right"/>
              <w:rPr>
                <w:sz w:val="18"/>
              </w:rPr>
            </w:pPr>
            <w:r>
              <w:rPr>
                <w:spacing w:val="-10"/>
                <w:sz w:val="18"/>
              </w:rPr>
              <w:t>—</w:t>
            </w:r>
          </w:p>
        </w:tc>
        <w:tc>
          <w:tcPr>
            <w:tcW w:w="1170" w:type="dxa"/>
            <w:tcBorders>
              <w:top w:val="single" w:sz="4" w:space="0" w:color="000000"/>
            </w:tcBorders>
          </w:tcPr>
          <w:p>
            <w:pPr>
              <w:pStyle w:val="TableParagraph"/>
              <w:spacing w:before="13"/>
              <w:ind w:right="98"/>
              <w:jc w:val="right"/>
              <w:rPr>
                <w:sz w:val="18"/>
              </w:rPr>
            </w:pPr>
            <w:r>
              <w:rPr>
                <w:spacing w:val="-2"/>
                <w:sz w:val="18"/>
              </w:rPr>
              <w:t>147,871</w:t>
            </w:r>
          </w:p>
        </w:tc>
        <w:tc>
          <w:tcPr>
            <w:tcW w:w="1406" w:type="dxa"/>
            <w:tcBorders>
              <w:top w:val="single" w:sz="4" w:space="0" w:color="000000"/>
            </w:tcBorders>
          </w:tcPr>
          <w:p>
            <w:pPr>
              <w:pStyle w:val="TableParagraph"/>
              <w:spacing w:before="13"/>
              <w:ind w:right="289"/>
              <w:jc w:val="right"/>
              <w:rPr>
                <w:sz w:val="18"/>
              </w:rPr>
            </w:pPr>
            <w:r>
              <w:rPr>
                <w:spacing w:val="-10"/>
                <w:sz w:val="18"/>
              </w:rPr>
              <w:t>—</w:t>
            </w:r>
          </w:p>
        </w:tc>
        <w:tc>
          <w:tcPr>
            <w:tcW w:w="952" w:type="dxa"/>
            <w:tcBorders>
              <w:top w:val="single" w:sz="4" w:space="0" w:color="000000"/>
            </w:tcBorders>
          </w:tcPr>
          <w:p>
            <w:pPr>
              <w:pStyle w:val="TableParagraph"/>
              <w:spacing w:before="13"/>
              <w:ind w:right="71"/>
              <w:jc w:val="right"/>
              <w:rPr>
                <w:sz w:val="18"/>
              </w:rPr>
            </w:pPr>
            <w:r>
              <w:rPr>
                <w:spacing w:val="-2"/>
                <w:sz w:val="18"/>
              </w:rPr>
              <w:t>147,871</w:t>
            </w:r>
          </w:p>
        </w:tc>
      </w:tr>
      <w:tr>
        <w:trPr>
          <w:trHeight w:val="255" w:hRule="atLeast"/>
        </w:trPr>
        <w:tc>
          <w:tcPr>
            <w:tcW w:w="10229" w:type="dxa"/>
            <w:gridSpan w:val="5"/>
            <w:shd w:val="clear" w:color="auto" w:fill="CCEDFF"/>
          </w:tcPr>
          <w:p>
            <w:pPr>
              <w:pStyle w:val="TableParagraph"/>
              <w:spacing w:before="18"/>
              <w:ind w:left="52"/>
              <w:rPr>
                <w:sz w:val="18"/>
              </w:rPr>
            </w:pPr>
            <w:r>
              <w:rPr>
                <w:sz w:val="18"/>
              </w:rPr>
              <w:t>Other</w:t>
            </w:r>
            <w:r>
              <w:rPr>
                <w:spacing w:val="-3"/>
                <w:sz w:val="18"/>
              </w:rPr>
              <w:t> </w:t>
            </w:r>
            <w:r>
              <w:rPr>
                <w:spacing w:val="-2"/>
                <w:sz w:val="18"/>
              </w:rPr>
              <w:t>assets:</w:t>
            </w:r>
          </w:p>
        </w:tc>
      </w:tr>
      <w:tr>
        <w:trPr>
          <w:trHeight w:val="255" w:hRule="atLeast"/>
        </w:trPr>
        <w:tc>
          <w:tcPr>
            <w:tcW w:w="5422" w:type="dxa"/>
          </w:tcPr>
          <w:p>
            <w:pPr>
              <w:pStyle w:val="TableParagraph"/>
              <w:spacing w:before="18"/>
              <w:ind w:left="172"/>
              <w:rPr>
                <w:sz w:val="18"/>
              </w:rPr>
            </w:pPr>
            <w:r>
              <w:rPr>
                <w:sz w:val="18"/>
              </w:rPr>
              <w:t>Other</w:t>
            </w:r>
            <w:r>
              <w:rPr>
                <w:spacing w:val="-1"/>
                <w:sz w:val="18"/>
              </w:rPr>
              <w:t> </w:t>
            </w:r>
            <w:r>
              <w:rPr>
                <w:sz w:val="18"/>
              </w:rPr>
              <w:t>securities</w:t>
            </w:r>
            <w:r>
              <w:rPr>
                <w:spacing w:val="-2"/>
                <w:sz w:val="18"/>
              </w:rPr>
              <w:t> </w:t>
            </w:r>
            <w:r>
              <w:rPr>
                <w:sz w:val="18"/>
              </w:rPr>
              <w:t>owned at</w:t>
            </w:r>
            <w:r>
              <w:rPr>
                <w:spacing w:val="-1"/>
                <w:sz w:val="18"/>
              </w:rPr>
              <w:t> </w:t>
            </w:r>
            <w:r>
              <w:rPr>
                <w:sz w:val="18"/>
              </w:rPr>
              <w:t>fair </w:t>
            </w:r>
            <w:r>
              <w:rPr>
                <w:spacing w:val="-2"/>
                <w:sz w:val="18"/>
              </w:rPr>
              <w:t>value:</w:t>
            </w:r>
          </w:p>
        </w:tc>
        <w:tc>
          <w:tcPr>
            <w:tcW w:w="1279" w:type="dxa"/>
          </w:tcPr>
          <w:p>
            <w:pPr>
              <w:pStyle w:val="TableParagraph"/>
              <w:rPr>
                <w:sz w:val="18"/>
              </w:rPr>
            </w:pPr>
          </w:p>
        </w:tc>
        <w:tc>
          <w:tcPr>
            <w:tcW w:w="1170" w:type="dxa"/>
          </w:tcPr>
          <w:p>
            <w:pPr>
              <w:pStyle w:val="TableParagraph"/>
              <w:rPr>
                <w:sz w:val="18"/>
              </w:rPr>
            </w:pPr>
          </w:p>
        </w:tc>
        <w:tc>
          <w:tcPr>
            <w:tcW w:w="1406" w:type="dxa"/>
          </w:tcPr>
          <w:p>
            <w:pPr>
              <w:pStyle w:val="TableParagraph"/>
              <w:rPr>
                <w:sz w:val="18"/>
              </w:rPr>
            </w:pPr>
          </w:p>
        </w:tc>
        <w:tc>
          <w:tcPr>
            <w:tcW w:w="952" w:type="dxa"/>
          </w:tcPr>
          <w:p>
            <w:pPr>
              <w:pStyle w:val="TableParagraph"/>
              <w:rPr>
                <w:sz w:val="18"/>
              </w:rPr>
            </w:pPr>
          </w:p>
        </w:tc>
      </w:tr>
      <w:tr>
        <w:trPr>
          <w:trHeight w:val="255" w:hRule="atLeast"/>
        </w:trPr>
        <w:tc>
          <w:tcPr>
            <w:tcW w:w="5422" w:type="dxa"/>
            <w:shd w:val="clear" w:color="auto" w:fill="CCEDFF"/>
          </w:tcPr>
          <w:p>
            <w:pPr>
              <w:pStyle w:val="TableParagraph"/>
              <w:spacing w:before="18"/>
              <w:ind w:left="292"/>
              <w:rPr>
                <w:sz w:val="18"/>
              </w:rPr>
            </w:pPr>
            <w:r>
              <w:rPr>
                <w:sz w:val="18"/>
              </w:rPr>
              <w:t>Equity, corporate debt, and other </w:t>
            </w:r>
            <w:r>
              <w:rPr>
                <w:spacing w:val="-2"/>
                <w:sz w:val="18"/>
              </w:rPr>
              <w:t>securities</w:t>
            </w:r>
          </w:p>
        </w:tc>
        <w:tc>
          <w:tcPr>
            <w:tcW w:w="1279" w:type="dxa"/>
            <w:shd w:val="clear" w:color="auto" w:fill="CCEDFF"/>
          </w:tcPr>
          <w:p>
            <w:pPr>
              <w:pStyle w:val="TableParagraph"/>
              <w:spacing w:before="18"/>
              <w:ind w:right="98"/>
              <w:jc w:val="right"/>
              <w:rPr>
                <w:sz w:val="18"/>
              </w:rPr>
            </w:pPr>
            <w:r>
              <w:rPr>
                <w:spacing w:val="-5"/>
                <w:sz w:val="18"/>
              </w:rPr>
              <w:t>755</w:t>
            </w:r>
          </w:p>
        </w:tc>
        <w:tc>
          <w:tcPr>
            <w:tcW w:w="1170" w:type="dxa"/>
            <w:shd w:val="clear" w:color="auto" w:fill="CCEDFF"/>
          </w:tcPr>
          <w:p>
            <w:pPr>
              <w:pStyle w:val="TableParagraph"/>
              <w:spacing w:before="18"/>
              <w:ind w:right="98"/>
              <w:jc w:val="right"/>
              <w:rPr>
                <w:sz w:val="18"/>
              </w:rPr>
            </w:pPr>
            <w:r>
              <w:rPr>
                <w:spacing w:val="-5"/>
                <w:sz w:val="18"/>
              </w:rPr>
              <w:t>55</w:t>
            </w:r>
          </w:p>
        </w:tc>
        <w:tc>
          <w:tcPr>
            <w:tcW w:w="1406" w:type="dxa"/>
            <w:shd w:val="clear" w:color="auto" w:fill="CCEDFF"/>
          </w:tcPr>
          <w:p>
            <w:pPr>
              <w:pStyle w:val="TableParagraph"/>
              <w:spacing w:before="18"/>
              <w:ind w:right="289"/>
              <w:jc w:val="right"/>
              <w:rPr>
                <w:sz w:val="18"/>
              </w:rPr>
            </w:pPr>
            <w:r>
              <w:rPr>
                <w:spacing w:val="-10"/>
                <w:sz w:val="18"/>
              </w:rPr>
              <w:t>—</w:t>
            </w:r>
          </w:p>
        </w:tc>
        <w:tc>
          <w:tcPr>
            <w:tcW w:w="952" w:type="dxa"/>
            <w:shd w:val="clear" w:color="auto" w:fill="CCEDFF"/>
          </w:tcPr>
          <w:p>
            <w:pPr>
              <w:pStyle w:val="TableParagraph"/>
              <w:spacing w:before="18"/>
              <w:ind w:right="71"/>
              <w:jc w:val="right"/>
              <w:rPr>
                <w:sz w:val="18"/>
              </w:rPr>
            </w:pPr>
            <w:r>
              <w:rPr>
                <w:spacing w:val="-5"/>
                <w:sz w:val="18"/>
              </w:rPr>
              <w:t>810</w:t>
            </w:r>
          </w:p>
        </w:tc>
      </w:tr>
      <w:tr>
        <w:trPr>
          <w:trHeight w:val="255" w:hRule="atLeast"/>
        </w:trPr>
        <w:tc>
          <w:tcPr>
            <w:tcW w:w="5422" w:type="dxa"/>
          </w:tcPr>
          <w:p>
            <w:pPr>
              <w:pStyle w:val="TableParagraph"/>
              <w:spacing w:before="18"/>
              <w:ind w:left="292"/>
              <w:rPr>
                <w:sz w:val="18"/>
              </w:rPr>
            </w:pPr>
            <w:r>
              <w:rPr>
                <w:sz w:val="18"/>
              </w:rPr>
              <w:t>Mutual</w:t>
            </w:r>
            <w:r>
              <w:rPr>
                <w:spacing w:val="-3"/>
                <w:sz w:val="18"/>
              </w:rPr>
              <w:t> </w:t>
            </w:r>
            <w:r>
              <w:rPr>
                <w:sz w:val="18"/>
              </w:rPr>
              <w:t>funds</w:t>
            </w:r>
            <w:r>
              <w:rPr>
                <w:spacing w:val="-1"/>
                <w:sz w:val="18"/>
              </w:rPr>
              <w:t> </w:t>
            </w:r>
            <w:r>
              <w:rPr>
                <w:sz w:val="18"/>
              </w:rPr>
              <w:t>and </w:t>
            </w:r>
            <w:r>
              <w:rPr>
                <w:spacing w:val="-4"/>
                <w:sz w:val="18"/>
              </w:rPr>
              <w:t>ETFs</w:t>
            </w:r>
          </w:p>
        </w:tc>
        <w:tc>
          <w:tcPr>
            <w:tcW w:w="1279" w:type="dxa"/>
          </w:tcPr>
          <w:p>
            <w:pPr>
              <w:pStyle w:val="TableParagraph"/>
              <w:spacing w:before="18"/>
              <w:ind w:right="98"/>
              <w:jc w:val="right"/>
              <w:rPr>
                <w:sz w:val="18"/>
              </w:rPr>
            </w:pPr>
            <w:r>
              <w:rPr>
                <w:spacing w:val="-5"/>
                <w:sz w:val="18"/>
              </w:rPr>
              <w:t>596</w:t>
            </w:r>
          </w:p>
        </w:tc>
        <w:tc>
          <w:tcPr>
            <w:tcW w:w="1170" w:type="dxa"/>
          </w:tcPr>
          <w:p>
            <w:pPr>
              <w:pStyle w:val="TableParagraph"/>
              <w:spacing w:before="18"/>
              <w:ind w:right="98"/>
              <w:jc w:val="right"/>
              <w:rPr>
                <w:sz w:val="18"/>
              </w:rPr>
            </w:pPr>
            <w:r>
              <w:rPr>
                <w:spacing w:val="-10"/>
                <w:sz w:val="18"/>
              </w:rPr>
              <w:t>—</w:t>
            </w:r>
          </w:p>
        </w:tc>
        <w:tc>
          <w:tcPr>
            <w:tcW w:w="1406" w:type="dxa"/>
          </w:tcPr>
          <w:p>
            <w:pPr>
              <w:pStyle w:val="TableParagraph"/>
              <w:spacing w:before="18"/>
              <w:ind w:right="289"/>
              <w:jc w:val="right"/>
              <w:rPr>
                <w:sz w:val="18"/>
              </w:rPr>
            </w:pPr>
            <w:r>
              <w:rPr>
                <w:spacing w:val="-10"/>
                <w:sz w:val="18"/>
              </w:rPr>
              <w:t>—</w:t>
            </w:r>
          </w:p>
        </w:tc>
        <w:tc>
          <w:tcPr>
            <w:tcW w:w="952" w:type="dxa"/>
          </w:tcPr>
          <w:p>
            <w:pPr>
              <w:pStyle w:val="TableParagraph"/>
              <w:spacing w:before="18"/>
              <w:ind w:right="71"/>
              <w:jc w:val="right"/>
              <w:rPr>
                <w:sz w:val="18"/>
              </w:rPr>
            </w:pPr>
            <w:r>
              <w:rPr>
                <w:spacing w:val="-5"/>
                <w:sz w:val="18"/>
              </w:rPr>
              <w:t>596</w:t>
            </w:r>
          </w:p>
        </w:tc>
      </w:tr>
      <w:tr>
        <w:trPr>
          <w:trHeight w:val="255" w:hRule="atLeast"/>
        </w:trPr>
        <w:tc>
          <w:tcPr>
            <w:tcW w:w="5422" w:type="dxa"/>
            <w:shd w:val="clear" w:color="auto" w:fill="CCEDFF"/>
          </w:tcPr>
          <w:p>
            <w:pPr>
              <w:pStyle w:val="TableParagraph"/>
              <w:spacing w:before="18"/>
              <w:ind w:left="292"/>
              <w:rPr>
                <w:sz w:val="18"/>
              </w:rPr>
            </w:pPr>
            <w:r>
              <w:rPr>
                <w:sz w:val="18"/>
              </w:rPr>
              <w:t>State</w:t>
            </w:r>
            <w:r>
              <w:rPr>
                <w:spacing w:val="-3"/>
                <w:sz w:val="18"/>
              </w:rPr>
              <w:t> </w:t>
            </w:r>
            <w:r>
              <w:rPr>
                <w:sz w:val="18"/>
              </w:rPr>
              <w:t>and municipal debt </w:t>
            </w:r>
            <w:r>
              <w:rPr>
                <w:spacing w:val="-2"/>
                <w:sz w:val="18"/>
              </w:rPr>
              <w:t>obligations</w:t>
            </w:r>
          </w:p>
        </w:tc>
        <w:tc>
          <w:tcPr>
            <w:tcW w:w="1279" w:type="dxa"/>
            <w:shd w:val="clear" w:color="auto" w:fill="CCEDFF"/>
          </w:tcPr>
          <w:p>
            <w:pPr>
              <w:pStyle w:val="TableParagraph"/>
              <w:spacing w:before="18"/>
              <w:ind w:right="98"/>
              <w:jc w:val="right"/>
              <w:rPr>
                <w:sz w:val="18"/>
              </w:rPr>
            </w:pPr>
            <w:r>
              <w:rPr>
                <w:spacing w:val="-10"/>
                <w:sz w:val="18"/>
              </w:rPr>
              <w:t>—</w:t>
            </w:r>
          </w:p>
        </w:tc>
        <w:tc>
          <w:tcPr>
            <w:tcW w:w="1170" w:type="dxa"/>
            <w:shd w:val="clear" w:color="auto" w:fill="CCEDFF"/>
          </w:tcPr>
          <w:p>
            <w:pPr>
              <w:pStyle w:val="TableParagraph"/>
              <w:spacing w:before="18"/>
              <w:ind w:right="98"/>
              <w:jc w:val="right"/>
              <w:rPr>
                <w:sz w:val="18"/>
              </w:rPr>
            </w:pPr>
            <w:r>
              <w:rPr>
                <w:spacing w:val="-5"/>
                <w:sz w:val="18"/>
              </w:rPr>
              <w:t>25</w:t>
            </w:r>
          </w:p>
        </w:tc>
        <w:tc>
          <w:tcPr>
            <w:tcW w:w="1406" w:type="dxa"/>
            <w:shd w:val="clear" w:color="auto" w:fill="CCEDFF"/>
          </w:tcPr>
          <w:p>
            <w:pPr>
              <w:pStyle w:val="TableParagraph"/>
              <w:spacing w:before="18"/>
              <w:ind w:right="289"/>
              <w:jc w:val="right"/>
              <w:rPr>
                <w:sz w:val="18"/>
              </w:rPr>
            </w:pPr>
            <w:r>
              <w:rPr>
                <w:spacing w:val="-10"/>
                <w:sz w:val="18"/>
              </w:rPr>
              <w:t>—</w:t>
            </w:r>
          </w:p>
        </w:tc>
        <w:tc>
          <w:tcPr>
            <w:tcW w:w="952" w:type="dxa"/>
            <w:shd w:val="clear" w:color="auto" w:fill="CCEDFF"/>
          </w:tcPr>
          <w:p>
            <w:pPr>
              <w:pStyle w:val="TableParagraph"/>
              <w:spacing w:before="18"/>
              <w:ind w:right="71"/>
              <w:jc w:val="right"/>
              <w:rPr>
                <w:sz w:val="18"/>
              </w:rPr>
            </w:pPr>
            <w:r>
              <w:rPr>
                <w:spacing w:val="-5"/>
                <w:sz w:val="18"/>
              </w:rPr>
              <w:t>25</w:t>
            </w:r>
          </w:p>
        </w:tc>
      </w:tr>
      <w:tr>
        <w:trPr>
          <w:trHeight w:val="250" w:hRule="atLeast"/>
        </w:trPr>
        <w:tc>
          <w:tcPr>
            <w:tcW w:w="5422" w:type="dxa"/>
            <w:tcBorders>
              <w:bottom w:val="single" w:sz="4" w:space="0" w:color="000000"/>
            </w:tcBorders>
          </w:tcPr>
          <w:p>
            <w:pPr>
              <w:pStyle w:val="TableParagraph"/>
              <w:spacing w:before="18"/>
              <w:ind w:left="292"/>
              <w:rPr>
                <w:sz w:val="18"/>
              </w:rPr>
            </w:pPr>
            <w:r>
              <w:rPr>
                <w:sz w:val="18"/>
              </w:rPr>
              <w:t>U.S.</w:t>
            </w:r>
            <w:r>
              <w:rPr>
                <w:spacing w:val="-2"/>
                <w:sz w:val="18"/>
              </w:rPr>
              <w:t> </w:t>
            </w:r>
            <w:r>
              <w:rPr>
                <w:sz w:val="18"/>
              </w:rPr>
              <w:t>Government</w:t>
            </w:r>
            <w:r>
              <w:rPr>
                <w:spacing w:val="-1"/>
                <w:sz w:val="18"/>
              </w:rPr>
              <w:t> </w:t>
            </w:r>
            <w:r>
              <w:rPr>
                <w:spacing w:val="-2"/>
                <w:sz w:val="18"/>
              </w:rPr>
              <w:t>securities</w:t>
            </w:r>
          </w:p>
        </w:tc>
        <w:tc>
          <w:tcPr>
            <w:tcW w:w="1279" w:type="dxa"/>
            <w:tcBorders>
              <w:bottom w:val="single" w:sz="4" w:space="0" w:color="000000"/>
            </w:tcBorders>
          </w:tcPr>
          <w:p>
            <w:pPr>
              <w:pStyle w:val="TableParagraph"/>
              <w:spacing w:before="18"/>
              <w:ind w:right="98"/>
              <w:jc w:val="right"/>
              <w:rPr>
                <w:sz w:val="18"/>
              </w:rPr>
            </w:pPr>
            <w:r>
              <w:rPr>
                <w:spacing w:val="-10"/>
                <w:sz w:val="18"/>
              </w:rPr>
              <w:t>—</w:t>
            </w:r>
          </w:p>
        </w:tc>
        <w:tc>
          <w:tcPr>
            <w:tcW w:w="1170" w:type="dxa"/>
            <w:tcBorders>
              <w:bottom w:val="single" w:sz="4" w:space="0" w:color="000000"/>
            </w:tcBorders>
          </w:tcPr>
          <w:p>
            <w:pPr>
              <w:pStyle w:val="TableParagraph"/>
              <w:spacing w:before="18"/>
              <w:ind w:right="98"/>
              <w:jc w:val="right"/>
              <w:rPr>
                <w:sz w:val="18"/>
              </w:rPr>
            </w:pPr>
            <w:r>
              <w:rPr>
                <w:spacing w:val="-10"/>
                <w:sz w:val="18"/>
              </w:rPr>
              <w:t>1</w:t>
            </w:r>
          </w:p>
        </w:tc>
        <w:tc>
          <w:tcPr>
            <w:tcW w:w="1406" w:type="dxa"/>
            <w:tcBorders>
              <w:bottom w:val="single" w:sz="4" w:space="0" w:color="000000"/>
            </w:tcBorders>
          </w:tcPr>
          <w:p>
            <w:pPr>
              <w:pStyle w:val="TableParagraph"/>
              <w:spacing w:before="18"/>
              <w:ind w:right="289"/>
              <w:jc w:val="right"/>
              <w:rPr>
                <w:sz w:val="18"/>
              </w:rPr>
            </w:pPr>
            <w:r>
              <w:rPr>
                <w:spacing w:val="-10"/>
                <w:sz w:val="18"/>
              </w:rPr>
              <w:t>—</w:t>
            </w:r>
          </w:p>
        </w:tc>
        <w:tc>
          <w:tcPr>
            <w:tcW w:w="952" w:type="dxa"/>
            <w:tcBorders>
              <w:bottom w:val="single" w:sz="4" w:space="0" w:color="000000"/>
            </w:tcBorders>
          </w:tcPr>
          <w:p>
            <w:pPr>
              <w:pStyle w:val="TableParagraph"/>
              <w:spacing w:before="18"/>
              <w:ind w:right="71"/>
              <w:jc w:val="right"/>
              <w:rPr>
                <w:sz w:val="18"/>
              </w:rPr>
            </w:pPr>
            <w:r>
              <w:rPr>
                <w:spacing w:val="-10"/>
                <w:sz w:val="18"/>
              </w:rPr>
              <w:t>1</w:t>
            </w:r>
          </w:p>
        </w:tc>
      </w:tr>
      <w:tr>
        <w:trPr>
          <w:trHeight w:val="245" w:hRule="atLeast"/>
        </w:trPr>
        <w:tc>
          <w:tcPr>
            <w:tcW w:w="5422" w:type="dxa"/>
            <w:tcBorders>
              <w:top w:val="single" w:sz="4" w:space="0" w:color="000000"/>
              <w:bottom w:val="single" w:sz="4" w:space="0" w:color="000000"/>
            </w:tcBorders>
            <w:shd w:val="clear" w:color="auto" w:fill="CCEDFF"/>
          </w:tcPr>
          <w:p>
            <w:pPr>
              <w:pStyle w:val="TableParagraph"/>
              <w:spacing w:before="13"/>
              <w:ind w:left="412"/>
              <w:rPr>
                <w:sz w:val="18"/>
              </w:rPr>
            </w:pPr>
            <w:r>
              <w:rPr>
                <w:sz w:val="18"/>
              </w:rPr>
              <w:t>Total</w:t>
            </w:r>
            <w:r>
              <w:rPr>
                <w:spacing w:val="-1"/>
                <w:sz w:val="18"/>
              </w:rPr>
              <w:t> </w:t>
            </w:r>
            <w:r>
              <w:rPr>
                <w:sz w:val="18"/>
              </w:rPr>
              <w:t>other securities</w:t>
            </w:r>
            <w:r>
              <w:rPr>
                <w:spacing w:val="-1"/>
                <w:sz w:val="18"/>
              </w:rPr>
              <w:t> </w:t>
            </w:r>
            <w:r>
              <w:rPr>
                <w:sz w:val="18"/>
              </w:rPr>
              <w:t>owned</w:t>
            </w:r>
            <w:r>
              <w:rPr>
                <w:spacing w:val="-1"/>
                <w:sz w:val="18"/>
              </w:rPr>
              <w:t> </w:t>
            </w:r>
            <w:r>
              <w:rPr>
                <w:sz w:val="18"/>
              </w:rPr>
              <w:t>at fair </w:t>
            </w:r>
            <w:r>
              <w:rPr>
                <w:spacing w:val="-2"/>
                <w:sz w:val="18"/>
              </w:rPr>
              <w:t>value</w:t>
            </w:r>
          </w:p>
        </w:tc>
        <w:tc>
          <w:tcPr>
            <w:tcW w:w="1279" w:type="dxa"/>
            <w:tcBorders>
              <w:top w:val="single" w:sz="4" w:space="0" w:color="000000"/>
              <w:bottom w:val="single" w:sz="4" w:space="0" w:color="000000"/>
            </w:tcBorders>
            <w:shd w:val="clear" w:color="auto" w:fill="CCEDFF"/>
          </w:tcPr>
          <w:p>
            <w:pPr>
              <w:pStyle w:val="TableParagraph"/>
              <w:spacing w:before="13"/>
              <w:ind w:right="98"/>
              <w:jc w:val="right"/>
              <w:rPr>
                <w:sz w:val="18"/>
              </w:rPr>
            </w:pPr>
            <w:r>
              <w:rPr>
                <w:spacing w:val="-2"/>
                <w:sz w:val="18"/>
              </w:rPr>
              <w:t>1,351</w:t>
            </w:r>
          </w:p>
        </w:tc>
        <w:tc>
          <w:tcPr>
            <w:tcW w:w="1170" w:type="dxa"/>
            <w:tcBorders>
              <w:top w:val="single" w:sz="4" w:space="0" w:color="000000"/>
              <w:bottom w:val="single" w:sz="4" w:space="0" w:color="000000"/>
            </w:tcBorders>
            <w:shd w:val="clear" w:color="auto" w:fill="CCEDFF"/>
          </w:tcPr>
          <w:p>
            <w:pPr>
              <w:pStyle w:val="TableParagraph"/>
              <w:spacing w:before="13"/>
              <w:ind w:right="98"/>
              <w:jc w:val="right"/>
              <w:rPr>
                <w:sz w:val="18"/>
              </w:rPr>
            </w:pPr>
            <w:r>
              <w:rPr>
                <w:spacing w:val="-5"/>
                <w:sz w:val="18"/>
              </w:rPr>
              <w:t>81</w:t>
            </w:r>
          </w:p>
        </w:tc>
        <w:tc>
          <w:tcPr>
            <w:tcW w:w="1406" w:type="dxa"/>
            <w:tcBorders>
              <w:top w:val="single" w:sz="4" w:space="0" w:color="000000"/>
              <w:bottom w:val="single" w:sz="4" w:space="0" w:color="000000"/>
            </w:tcBorders>
            <w:shd w:val="clear" w:color="auto" w:fill="CCEDFF"/>
          </w:tcPr>
          <w:p>
            <w:pPr>
              <w:pStyle w:val="TableParagraph"/>
              <w:spacing w:before="13"/>
              <w:ind w:right="289"/>
              <w:jc w:val="right"/>
              <w:rPr>
                <w:sz w:val="18"/>
              </w:rPr>
            </w:pPr>
            <w:r>
              <w:rPr>
                <w:spacing w:val="-10"/>
                <w:sz w:val="18"/>
              </w:rPr>
              <w:t>—</w:t>
            </w:r>
          </w:p>
        </w:tc>
        <w:tc>
          <w:tcPr>
            <w:tcW w:w="952" w:type="dxa"/>
            <w:tcBorders>
              <w:top w:val="single" w:sz="4" w:space="0" w:color="000000"/>
              <w:bottom w:val="single" w:sz="4" w:space="0" w:color="000000"/>
            </w:tcBorders>
            <w:shd w:val="clear" w:color="auto" w:fill="CCEDFF"/>
          </w:tcPr>
          <w:p>
            <w:pPr>
              <w:pStyle w:val="TableParagraph"/>
              <w:spacing w:before="13"/>
              <w:ind w:right="71"/>
              <w:jc w:val="right"/>
              <w:rPr>
                <w:sz w:val="18"/>
              </w:rPr>
            </w:pPr>
            <w:r>
              <w:rPr>
                <w:spacing w:val="-2"/>
                <w:sz w:val="18"/>
              </w:rPr>
              <w:t>1,432</w:t>
            </w:r>
          </w:p>
        </w:tc>
      </w:tr>
      <w:tr>
        <w:trPr>
          <w:trHeight w:val="245" w:hRule="atLeast"/>
        </w:trPr>
        <w:tc>
          <w:tcPr>
            <w:tcW w:w="5422" w:type="dxa"/>
            <w:tcBorders>
              <w:top w:val="single" w:sz="4" w:space="0" w:color="000000"/>
              <w:bottom w:val="single" w:sz="4" w:space="0" w:color="000000"/>
            </w:tcBorders>
          </w:tcPr>
          <w:p>
            <w:pPr>
              <w:pStyle w:val="TableParagraph"/>
              <w:spacing w:before="13"/>
              <w:ind w:left="292"/>
              <w:rPr>
                <w:sz w:val="18"/>
              </w:rPr>
            </w:pPr>
            <w:r>
              <w:rPr>
                <w:sz w:val="18"/>
              </w:rPr>
              <w:t>Total</w:t>
            </w:r>
            <w:r>
              <w:rPr>
                <w:spacing w:val="-2"/>
                <w:sz w:val="18"/>
              </w:rPr>
              <w:t> </w:t>
            </w:r>
            <w:r>
              <w:rPr>
                <w:sz w:val="18"/>
              </w:rPr>
              <w:t>other </w:t>
            </w:r>
            <w:r>
              <w:rPr>
                <w:spacing w:val="-2"/>
                <w:sz w:val="18"/>
              </w:rPr>
              <w:t>assets</w:t>
            </w:r>
          </w:p>
        </w:tc>
        <w:tc>
          <w:tcPr>
            <w:tcW w:w="1279" w:type="dxa"/>
            <w:tcBorders>
              <w:top w:val="single" w:sz="4" w:space="0" w:color="000000"/>
              <w:bottom w:val="single" w:sz="4" w:space="0" w:color="000000"/>
            </w:tcBorders>
          </w:tcPr>
          <w:p>
            <w:pPr>
              <w:pStyle w:val="TableParagraph"/>
              <w:spacing w:before="13"/>
              <w:ind w:right="98"/>
              <w:jc w:val="right"/>
              <w:rPr>
                <w:sz w:val="18"/>
              </w:rPr>
            </w:pPr>
            <w:r>
              <w:rPr>
                <w:spacing w:val="-2"/>
                <w:sz w:val="18"/>
              </w:rPr>
              <w:t>1,351</w:t>
            </w:r>
          </w:p>
        </w:tc>
        <w:tc>
          <w:tcPr>
            <w:tcW w:w="1170" w:type="dxa"/>
            <w:tcBorders>
              <w:top w:val="single" w:sz="4" w:space="0" w:color="000000"/>
              <w:bottom w:val="single" w:sz="4" w:space="0" w:color="000000"/>
            </w:tcBorders>
          </w:tcPr>
          <w:p>
            <w:pPr>
              <w:pStyle w:val="TableParagraph"/>
              <w:spacing w:before="13"/>
              <w:ind w:right="98"/>
              <w:jc w:val="right"/>
              <w:rPr>
                <w:sz w:val="18"/>
              </w:rPr>
            </w:pPr>
            <w:r>
              <w:rPr>
                <w:spacing w:val="-5"/>
                <w:sz w:val="18"/>
              </w:rPr>
              <w:t>81</w:t>
            </w:r>
          </w:p>
        </w:tc>
        <w:tc>
          <w:tcPr>
            <w:tcW w:w="1406" w:type="dxa"/>
            <w:tcBorders>
              <w:top w:val="single" w:sz="4" w:space="0" w:color="000000"/>
              <w:bottom w:val="single" w:sz="4" w:space="0" w:color="000000"/>
            </w:tcBorders>
          </w:tcPr>
          <w:p>
            <w:pPr>
              <w:pStyle w:val="TableParagraph"/>
              <w:spacing w:before="13"/>
              <w:ind w:right="289"/>
              <w:jc w:val="right"/>
              <w:rPr>
                <w:sz w:val="18"/>
              </w:rPr>
            </w:pPr>
            <w:r>
              <w:rPr>
                <w:spacing w:val="-10"/>
                <w:sz w:val="18"/>
              </w:rPr>
              <w:t>—</w:t>
            </w:r>
          </w:p>
        </w:tc>
        <w:tc>
          <w:tcPr>
            <w:tcW w:w="952" w:type="dxa"/>
            <w:tcBorders>
              <w:top w:val="single" w:sz="4" w:space="0" w:color="000000"/>
              <w:bottom w:val="single" w:sz="4" w:space="0" w:color="000000"/>
            </w:tcBorders>
          </w:tcPr>
          <w:p>
            <w:pPr>
              <w:pStyle w:val="TableParagraph"/>
              <w:spacing w:before="13"/>
              <w:ind w:right="71"/>
              <w:jc w:val="right"/>
              <w:rPr>
                <w:sz w:val="18"/>
              </w:rPr>
            </w:pPr>
            <w:r>
              <w:rPr>
                <w:spacing w:val="-2"/>
                <w:sz w:val="18"/>
              </w:rPr>
              <w:t>1,432</w:t>
            </w:r>
          </w:p>
        </w:tc>
      </w:tr>
      <w:tr>
        <w:trPr>
          <w:trHeight w:val="220" w:hRule="atLeast"/>
        </w:trPr>
        <w:tc>
          <w:tcPr>
            <w:tcW w:w="5422" w:type="dxa"/>
            <w:tcBorders>
              <w:top w:val="single" w:sz="4" w:space="0" w:color="000000"/>
              <w:bottom w:val="double" w:sz="8" w:space="0" w:color="000000"/>
            </w:tcBorders>
            <w:shd w:val="clear" w:color="auto" w:fill="CCEDFF"/>
          </w:tcPr>
          <w:p>
            <w:pPr>
              <w:pStyle w:val="TableParagraph"/>
              <w:spacing w:line="187" w:lineRule="exact" w:before="13"/>
              <w:ind w:left="172"/>
              <w:rPr>
                <w:sz w:val="18"/>
              </w:rPr>
            </w:pPr>
            <w:r>
              <w:rPr>
                <w:sz w:val="18"/>
              </w:rPr>
              <w:t>Total </w:t>
            </w:r>
            <w:r>
              <w:rPr>
                <w:spacing w:val="-2"/>
                <w:sz w:val="18"/>
              </w:rPr>
              <w:t>assets</w:t>
            </w:r>
          </w:p>
        </w:tc>
        <w:tc>
          <w:tcPr>
            <w:tcW w:w="1279" w:type="dxa"/>
            <w:tcBorders>
              <w:top w:val="single" w:sz="4" w:space="0" w:color="000000"/>
              <w:bottom w:val="double" w:sz="8" w:space="0" w:color="000000"/>
            </w:tcBorders>
            <w:shd w:val="clear" w:color="auto" w:fill="CCEDFF"/>
          </w:tcPr>
          <w:p>
            <w:pPr>
              <w:pStyle w:val="TableParagraph"/>
              <w:tabs>
                <w:tab w:pos="472" w:val="left" w:leader="none"/>
              </w:tabs>
              <w:spacing w:line="187" w:lineRule="exact" w:before="13"/>
              <w:ind w:right="98"/>
              <w:jc w:val="right"/>
              <w:rPr>
                <w:sz w:val="18"/>
              </w:rPr>
            </w:pPr>
            <w:r>
              <w:rPr>
                <w:spacing w:val="-10"/>
                <w:sz w:val="18"/>
              </w:rPr>
              <w:t>$</w:t>
            </w:r>
            <w:r>
              <w:rPr>
                <w:sz w:val="18"/>
              </w:rPr>
              <w:tab/>
            </w:r>
            <w:r>
              <w:rPr>
                <w:spacing w:val="-2"/>
                <w:sz w:val="18"/>
              </w:rPr>
              <w:t>15,358</w:t>
            </w:r>
          </w:p>
        </w:tc>
        <w:tc>
          <w:tcPr>
            <w:tcW w:w="1170" w:type="dxa"/>
            <w:tcBorders>
              <w:top w:val="single" w:sz="4" w:space="0" w:color="000000"/>
              <w:bottom w:val="double" w:sz="8" w:space="0" w:color="000000"/>
            </w:tcBorders>
            <w:shd w:val="clear" w:color="auto" w:fill="CCEDFF"/>
          </w:tcPr>
          <w:p>
            <w:pPr>
              <w:pStyle w:val="TableParagraph"/>
              <w:tabs>
                <w:tab w:pos="382" w:val="left" w:leader="none"/>
              </w:tabs>
              <w:spacing w:line="187" w:lineRule="exact" w:before="13"/>
              <w:ind w:right="98"/>
              <w:jc w:val="right"/>
              <w:rPr>
                <w:sz w:val="18"/>
              </w:rPr>
            </w:pPr>
            <w:r>
              <w:rPr>
                <w:spacing w:val="-10"/>
                <w:sz w:val="18"/>
              </w:rPr>
              <w:t>$</w:t>
            </w:r>
            <w:r>
              <w:rPr>
                <w:sz w:val="18"/>
              </w:rPr>
              <w:tab/>
            </w:r>
            <w:r>
              <w:rPr>
                <w:spacing w:val="-2"/>
                <w:sz w:val="18"/>
              </w:rPr>
              <w:t>172,645</w:t>
            </w:r>
          </w:p>
        </w:tc>
        <w:tc>
          <w:tcPr>
            <w:tcW w:w="2358" w:type="dxa"/>
            <w:gridSpan w:val="2"/>
            <w:tcBorders>
              <w:top w:val="single" w:sz="4" w:space="0" w:color="000000"/>
              <w:bottom w:val="double" w:sz="8" w:space="0" w:color="000000"/>
            </w:tcBorders>
            <w:shd w:val="clear" w:color="auto" w:fill="CCEDFF"/>
          </w:tcPr>
          <w:p>
            <w:pPr>
              <w:pStyle w:val="TableParagraph"/>
              <w:tabs>
                <w:tab w:pos="934" w:val="left" w:leader="none"/>
                <w:tab w:pos="1316" w:val="left" w:leader="none"/>
                <w:tab w:pos="1699" w:val="left" w:leader="none"/>
              </w:tabs>
              <w:spacing w:line="187" w:lineRule="exact" w:before="13"/>
              <w:ind w:left="101"/>
              <w:rPr>
                <w:sz w:val="18"/>
              </w:rPr>
            </w:pPr>
            <w:r>
              <w:rPr>
                <w:spacing w:val="-10"/>
                <w:sz w:val="18"/>
              </w:rPr>
              <w:t>$</w:t>
            </w:r>
            <w:r>
              <w:rPr>
                <w:sz w:val="18"/>
              </w:rPr>
              <w:tab/>
            </w:r>
            <w:r>
              <w:rPr>
                <w:spacing w:val="-10"/>
                <w:sz w:val="18"/>
              </w:rPr>
              <w:t>—</w:t>
            </w:r>
            <w:r>
              <w:rPr>
                <w:sz w:val="18"/>
              </w:rPr>
              <w:tab/>
            </w:r>
            <w:r>
              <w:rPr>
                <w:spacing w:val="-10"/>
                <w:sz w:val="18"/>
              </w:rPr>
              <w:t>$</w:t>
            </w:r>
            <w:r>
              <w:rPr>
                <w:sz w:val="18"/>
              </w:rPr>
              <w:tab/>
            </w:r>
            <w:r>
              <w:rPr>
                <w:spacing w:val="-2"/>
                <w:sz w:val="18"/>
              </w:rPr>
              <w:t>188,003</w:t>
            </w:r>
          </w:p>
        </w:tc>
      </w:tr>
      <w:tr>
        <w:trPr>
          <w:trHeight w:val="255" w:hRule="atLeast"/>
        </w:trPr>
        <w:tc>
          <w:tcPr>
            <w:tcW w:w="5422" w:type="dxa"/>
            <w:tcBorders>
              <w:top w:val="double" w:sz="8" w:space="0" w:color="000000"/>
            </w:tcBorders>
          </w:tcPr>
          <w:p>
            <w:pPr>
              <w:pStyle w:val="TableParagraph"/>
              <w:spacing w:before="18"/>
              <w:ind w:left="52"/>
              <w:rPr>
                <w:sz w:val="18"/>
              </w:rPr>
            </w:pPr>
            <w:r>
              <w:rPr>
                <w:sz w:val="18"/>
              </w:rPr>
              <w:t>Accrued</w:t>
            </w:r>
            <w:r>
              <w:rPr>
                <w:spacing w:val="-1"/>
                <w:sz w:val="18"/>
              </w:rPr>
              <w:t> </w:t>
            </w:r>
            <w:r>
              <w:rPr>
                <w:sz w:val="18"/>
              </w:rPr>
              <w:t>expenses</w:t>
            </w:r>
            <w:r>
              <w:rPr>
                <w:spacing w:val="-1"/>
                <w:sz w:val="18"/>
              </w:rPr>
              <w:t> </w:t>
            </w:r>
            <w:r>
              <w:rPr>
                <w:sz w:val="18"/>
              </w:rPr>
              <w:t>and</w:t>
            </w:r>
            <w:r>
              <w:rPr>
                <w:spacing w:val="-1"/>
                <w:sz w:val="18"/>
              </w:rPr>
              <w:t> </w:t>
            </w:r>
            <w:r>
              <w:rPr>
                <w:sz w:val="18"/>
              </w:rPr>
              <w:t>other </w:t>
            </w:r>
            <w:r>
              <w:rPr>
                <w:spacing w:val="-2"/>
                <w:sz w:val="18"/>
              </w:rPr>
              <w:t>liabilities:</w:t>
            </w:r>
          </w:p>
        </w:tc>
        <w:tc>
          <w:tcPr>
            <w:tcW w:w="1279" w:type="dxa"/>
            <w:tcBorders>
              <w:top w:val="double" w:sz="8" w:space="0" w:color="000000"/>
            </w:tcBorders>
          </w:tcPr>
          <w:p>
            <w:pPr>
              <w:pStyle w:val="TableParagraph"/>
              <w:rPr>
                <w:sz w:val="18"/>
              </w:rPr>
            </w:pPr>
          </w:p>
        </w:tc>
        <w:tc>
          <w:tcPr>
            <w:tcW w:w="1170" w:type="dxa"/>
            <w:tcBorders>
              <w:top w:val="double" w:sz="8" w:space="0" w:color="000000"/>
            </w:tcBorders>
          </w:tcPr>
          <w:p>
            <w:pPr>
              <w:pStyle w:val="TableParagraph"/>
              <w:rPr>
                <w:sz w:val="18"/>
              </w:rPr>
            </w:pPr>
          </w:p>
        </w:tc>
        <w:tc>
          <w:tcPr>
            <w:tcW w:w="2358" w:type="dxa"/>
            <w:gridSpan w:val="2"/>
            <w:tcBorders>
              <w:top w:val="double" w:sz="8" w:space="0" w:color="000000"/>
            </w:tcBorders>
          </w:tcPr>
          <w:p>
            <w:pPr>
              <w:pStyle w:val="TableParagraph"/>
              <w:rPr>
                <w:sz w:val="18"/>
              </w:rPr>
            </w:pPr>
          </w:p>
        </w:tc>
      </w:tr>
      <w:tr>
        <w:trPr>
          <w:trHeight w:val="250" w:hRule="atLeast"/>
        </w:trPr>
        <w:tc>
          <w:tcPr>
            <w:tcW w:w="5422" w:type="dxa"/>
            <w:tcBorders>
              <w:bottom w:val="single" w:sz="4" w:space="0" w:color="000000"/>
            </w:tcBorders>
            <w:shd w:val="clear" w:color="auto" w:fill="CCEDFF"/>
          </w:tcPr>
          <w:p>
            <w:pPr>
              <w:pStyle w:val="TableParagraph"/>
              <w:spacing w:before="18"/>
              <w:ind w:left="172"/>
              <w:rPr>
                <w:sz w:val="18"/>
              </w:rPr>
            </w:pPr>
            <w:r>
              <w:rPr>
                <w:spacing w:val="-2"/>
                <w:sz w:val="18"/>
              </w:rPr>
              <w:t>Other</w:t>
            </w:r>
          </w:p>
        </w:tc>
        <w:tc>
          <w:tcPr>
            <w:tcW w:w="1279" w:type="dxa"/>
            <w:tcBorders>
              <w:bottom w:val="single" w:sz="4" w:space="0" w:color="000000"/>
            </w:tcBorders>
            <w:shd w:val="clear" w:color="auto" w:fill="CCEDFF"/>
          </w:tcPr>
          <w:p>
            <w:pPr>
              <w:pStyle w:val="TableParagraph"/>
              <w:tabs>
                <w:tab w:pos="562" w:val="left" w:leader="none"/>
              </w:tabs>
              <w:spacing w:before="18"/>
              <w:ind w:right="98"/>
              <w:jc w:val="right"/>
              <w:rPr>
                <w:sz w:val="18"/>
              </w:rPr>
            </w:pPr>
            <w:r>
              <w:rPr>
                <w:spacing w:val="-10"/>
                <w:sz w:val="18"/>
              </w:rPr>
              <w:t>$</w:t>
            </w:r>
            <w:r>
              <w:rPr>
                <w:sz w:val="18"/>
              </w:rPr>
              <w:tab/>
            </w:r>
            <w:r>
              <w:rPr>
                <w:spacing w:val="-2"/>
                <w:sz w:val="18"/>
              </w:rPr>
              <w:t>1,218</w:t>
            </w:r>
          </w:p>
        </w:tc>
        <w:tc>
          <w:tcPr>
            <w:tcW w:w="1170" w:type="dxa"/>
            <w:tcBorders>
              <w:bottom w:val="single" w:sz="4" w:space="0" w:color="000000"/>
            </w:tcBorders>
            <w:shd w:val="clear" w:color="auto" w:fill="CCEDFF"/>
          </w:tcPr>
          <w:p>
            <w:pPr>
              <w:pStyle w:val="TableParagraph"/>
              <w:tabs>
                <w:tab w:pos="787" w:val="left" w:leader="none"/>
              </w:tabs>
              <w:spacing w:before="18"/>
              <w:ind w:right="98"/>
              <w:jc w:val="right"/>
              <w:rPr>
                <w:sz w:val="18"/>
              </w:rPr>
            </w:pPr>
            <w:r>
              <w:rPr>
                <w:spacing w:val="-10"/>
                <w:sz w:val="18"/>
              </w:rPr>
              <w:t>$</w:t>
            </w:r>
            <w:r>
              <w:rPr>
                <w:sz w:val="18"/>
              </w:rPr>
              <w:tab/>
            </w:r>
            <w:r>
              <w:rPr>
                <w:spacing w:val="-5"/>
                <w:sz w:val="18"/>
              </w:rPr>
              <w:t>43</w:t>
            </w:r>
          </w:p>
        </w:tc>
        <w:tc>
          <w:tcPr>
            <w:tcW w:w="2358" w:type="dxa"/>
            <w:gridSpan w:val="2"/>
            <w:tcBorders>
              <w:bottom w:val="single" w:sz="4" w:space="0" w:color="000000"/>
            </w:tcBorders>
            <w:shd w:val="clear" w:color="auto" w:fill="CCEDFF"/>
          </w:tcPr>
          <w:p>
            <w:pPr>
              <w:pStyle w:val="TableParagraph"/>
              <w:tabs>
                <w:tab w:pos="934" w:val="left" w:leader="none"/>
                <w:tab w:pos="1316" w:val="left" w:leader="none"/>
                <w:tab w:pos="1879" w:val="left" w:leader="none"/>
              </w:tabs>
              <w:spacing w:before="18"/>
              <w:ind w:left="101"/>
              <w:rPr>
                <w:sz w:val="18"/>
              </w:rPr>
            </w:pPr>
            <w:r>
              <w:rPr>
                <w:spacing w:val="-10"/>
                <w:sz w:val="18"/>
              </w:rPr>
              <w:t>$</w:t>
            </w:r>
            <w:r>
              <w:rPr>
                <w:sz w:val="18"/>
              </w:rPr>
              <w:tab/>
            </w:r>
            <w:r>
              <w:rPr>
                <w:spacing w:val="-10"/>
                <w:sz w:val="18"/>
              </w:rPr>
              <w:t>—</w:t>
            </w:r>
            <w:r>
              <w:rPr>
                <w:sz w:val="18"/>
              </w:rPr>
              <w:tab/>
            </w:r>
            <w:r>
              <w:rPr>
                <w:spacing w:val="-10"/>
                <w:sz w:val="18"/>
              </w:rPr>
              <w:t>$</w:t>
            </w:r>
            <w:r>
              <w:rPr>
                <w:sz w:val="18"/>
              </w:rPr>
              <w:tab/>
            </w:r>
            <w:r>
              <w:rPr>
                <w:spacing w:val="-2"/>
                <w:sz w:val="18"/>
              </w:rPr>
              <w:t>1,261</w:t>
            </w:r>
          </w:p>
        </w:tc>
      </w:tr>
      <w:tr>
        <w:trPr>
          <w:trHeight w:val="245" w:hRule="atLeast"/>
        </w:trPr>
        <w:tc>
          <w:tcPr>
            <w:tcW w:w="5422" w:type="dxa"/>
            <w:tcBorders>
              <w:top w:val="single" w:sz="4" w:space="0" w:color="000000"/>
              <w:bottom w:val="single" w:sz="4" w:space="0" w:color="000000"/>
            </w:tcBorders>
          </w:tcPr>
          <w:p>
            <w:pPr>
              <w:pStyle w:val="TableParagraph"/>
              <w:spacing w:before="13"/>
              <w:ind w:left="292"/>
              <w:rPr>
                <w:sz w:val="18"/>
              </w:rPr>
            </w:pPr>
            <w:r>
              <w:rPr>
                <w:sz w:val="18"/>
              </w:rPr>
              <w:t>Total</w:t>
            </w:r>
            <w:r>
              <w:rPr>
                <w:spacing w:val="-3"/>
                <w:sz w:val="18"/>
              </w:rPr>
              <w:t> </w:t>
            </w:r>
            <w:r>
              <w:rPr>
                <w:sz w:val="18"/>
              </w:rPr>
              <w:t>accrued expenses</w:t>
            </w:r>
            <w:r>
              <w:rPr>
                <w:spacing w:val="-1"/>
                <w:sz w:val="18"/>
              </w:rPr>
              <w:t> </w:t>
            </w:r>
            <w:r>
              <w:rPr>
                <w:sz w:val="18"/>
              </w:rPr>
              <w:t>and other </w:t>
            </w:r>
            <w:r>
              <w:rPr>
                <w:spacing w:val="-2"/>
                <w:sz w:val="18"/>
              </w:rPr>
              <w:t>liabilities</w:t>
            </w:r>
          </w:p>
        </w:tc>
        <w:tc>
          <w:tcPr>
            <w:tcW w:w="1279" w:type="dxa"/>
            <w:tcBorders>
              <w:top w:val="single" w:sz="4" w:space="0" w:color="000000"/>
              <w:bottom w:val="single" w:sz="4" w:space="0" w:color="000000"/>
            </w:tcBorders>
          </w:tcPr>
          <w:p>
            <w:pPr>
              <w:pStyle w:val="TableParagraph"/>
              <w:spacing w:before="13"/>
              <w:ind w:right="98"/>
              <w:jc w:val="right"/>
              <w:rPr>
                <w:sz w:val="18"/>
              </w:rPr>
            </w:pPr>
            <w:r>
              <w:rPr>
                <w:spacing w:val="-2"/>
                <w:sz w:val="18"/>
              </w:rPr>
              <w:t>1,218</w:t>
            </w:r>
          </w:p>
        </w:tc>
        <w:tc>
          <w:tcPr>
            <w:tcW w:w="1170" w:type="dxa"/>
            <w:tcBorders>
              <w:top w:val="single" w:sz="4" w:space="0" w:color="000000"/>
              <w:bottom w:val="single" w:sz="4" w:space="0" w:color="000000"/>
            </w:tcBorders>
          </w:tcPr>
          <w:p>
            <w:pPr>
              <w:pStyle w:val="TableParagraph"/>
              <w:spacing w:before="13"/>
              <w:ind w:right="98"/>
              <w:jc w:val="right"/>
              <w:rPr>
                <w:sz w:val="18"/>
              </w:rPr>
            </w:pPr>
            <w:r>
              <w:rPr>
                <w:spacing w:val="-5"/>
                <w:sz w:val="18"/>
              </w:rPr>
              <w:t>43</w:t>
            </w:r>
          </w:p>
        </w:tc>
        <w:tc>
          <w:tcPr>
            <w:tcW w:w="2358" w:type="dxa"/>
            <w:gridSpan w:val="2"/>
            <w:tcBorders>
              <w:top w:val="single" w:sz="4" w:space="0" w:color="000000"/>
              <w:bottom w:val="single" w:sz="4" w:space="0" w:color="000000"/>
            </w:tcBorders>
          </w:tcPr>
          <w:p>
            <w:pPr>
              <w:pStyle w:val="TableParagraph"/>
              <w:tabs>
                <w:tab w:pos="1879" w:val="left" w:leader="none"/>
              </w:tabs>
              <w:spacing w:before="13"/>
              <w:ind w:left="934"/>
              <w:rPr>
                <w:sz w:val="18"/>
              </w:rPr>
            </w:pPr>
            <w:r>
              <w:rPr>
                <w:spacing w:val="-10"/>
                <w:sz w:val="18"/>
              </w:rPr>
              <w:t>—</w:t>
            </w:r>
            <w:r>
              <w:rPr>
                <w:sz w:val="18"/>
              </w:rPr>
              <w:tab/>
            </w:r>
            <w:r>
              <w:rPr>
                <w:spacing w:val="-2"/>
                <w:sz w:val="18"/>
              </w:rPr>
              <w:t>1,261</w:t>
            </w:r>
          </w:p>
        </w:tc>
      </w:tr>
      <w:tr>
        <w:trPr>
          <w:trHeight w:val="220" w:hRule="atLeast"/>
        </w:trPr>
        <w:tc>
          <w:tcPr>
            <w:tcW w:w="5422" w:type="dxa"/>
            <w:tcBorders>
              <w:top w:val="single" w:sz="4" w:space="0" w:color="000000"/>
              <w:bottom w:val="double" w:sz="8" w:space="0" w:color="000000"/>
            </w:tcBorders>
            <w:shd w:val="clear" w:color="auto" w:fill="CCEDFF"/>
          </w:tcPr>
          <w:p>
            <w:pPr>
              <w:pStyle w:val="TableParagraph"/>
              <w:spacing w:line="187" w:lineRule="exact" w:before="13"/>
              <w:ind w:left="172"/>
              <w:rPr>
                <w:sz w:val="18"/>
              </w:rPr>
            </w:pPr>
            <w:r>
              <w:rPr>
                <w:sz w:val="18"/>
              </w:rPr>
              <w:t>Total </w:t>
            </w:r>
            <w:r>
              <w:rPr>
                <w:spacing w:val="-2"/>
                <w:sz w:val="18"/>
              </w:rPr>
              <w:t>liabilities</w:t>
            </w:r>
          </w:p>
        </w:tc>
        <w:tc>
          <w:tcPr>
            <w:tcW w:w="1279" w:type="dxa"/>
            <w:tcBorders>
              <w:top w:val="single" w:sz="4" w:space="0" w:color="000000"/>
              <w:bottom w:val="double" w:sz="8" w:space="0" w:color="000000"/>
            </w:tcBorders>
            <w:shd w:val="clear" w:color="auto" w:fill="CCEDFF"/>
          </w:tcPr>
          <w:p>
            <w:pPr>
              <w:pStyle w:val="TableParagraph"/>
              <w:tabs>
                <w:tab w:pos="562" w:val="left" w:leader="none"/>
              </w:tabs>
              <w:spacing w:line="187" w:lineRule="exact" w:before="13"/>
              <w:ind w:right="98"/>
              <w:jc w:val="right"/>
              <w:rPr>
                <w:sz w:val="18"/>
              </w:rPr>
            </w:pPr>
            <w:r>
              <w:rPr>
                <w:spacing w:val="-10"/>
                <w:sz w:val="18"/>
              </w:rPr>
              <w:t>$</w:t>
            </w:r>
            <w:r>
              <w:rPr>
                <w:sz w:val="18"/>
              </w:rPr>
              <w:tab/>
            </w:r>
            <w:r>
              <w:rPr>
                <w:spacing w:val="-2"/>
                <w:sz w:val="18"/>
              </w:rPr>
              <w:t>1,218</w:t>
            </w:r>
          </w:p>
        </w:tc>
        <w:tc>
          <w:tcPr>
            <w:tcW w:w="1170" w:type="dxa"/>
            <w:tcBorders>
              <w:top w:val="single" w:sz="4" w:space="0" w:color="000000"/>
              <w:bottom w:val="double" w:sz="8" w:space="0" w:color="000000"/>
            </w:tcBorders>
            <w:shd w:val="clear" w:color="auto" w:fill="CCEDFF"/>
          </w:tcPr>
          <w:p>
            <w:pPr>
              <w:pStyle w:val="TableParagraph"/>
              <w:tabs>
                <w:tab w:pos="787" w:val="left" w:leader="none"/>
              </w:tabs>
              <w:spacing w:line="187" w:lineRule="exact" w:before="13"/>
              <w:ind w:right="98"/>
              <w:jc w:val="right"/>
              <w:rPr>
                <w:sz w:val="18"/>
              </w:rPr>
            </w:pPr>
            <w:r>
              <w:rPr>
                <w:spacing w:val="-10"/>
                <w:sz w:val="18"/>
              </w:rPr>
              <w:t>$</w:t>
            </w:r>
            <w:r>
              <w:rPr>
                <w:sz w:val="18"/>
              </w:rPr>
              <w:tab/>
            </w:r>
            <w:r>
              <w:rPr>
                <w:spacing w:val="-5"/>
                <w:sz w:val="18"/>
              </w:rPr>
              <w:t>43</w:t>
            </w:r>
          </w:p>
        </w:tc>
        <w:tc>
          <w:tcPr>
            <w:tcW w:w="2358" w:type="dxa"/>
            <w:gridSpan w:val="2"/>
            <w:tcBorders>
              <w:top w:val="single" w:sz="4" w:space="0" w:color="000000"/>
              <w:bottom w:val="double" w:sz="8" w:space="0" w:color="000000"/>
            </w:tcBorders>
            <w:shd w:val="clear" w:color="auto" w:fill="CCEDFF"/>
          </w:tcPr>
          <w:p>
            <w:pPr>
              <w:pStyle w:val="TableParagraph"/>
              <w:tabs>
                <w:tab w:pos="934" w:val="left" w:leader="none"/>
                <w:tab w:pos="1316" w:val="left" w:leader="none"/>
                <w:tab w:pos="1879" w:val="left" w:leader="none"/>
              </w:tabs>
              <w:spacing w:line="187" w:lineRule="exact" w:before="13"/>
              <w:ind w:left="101"/>
              <w:rPr>
                <w:sz w:val="18"/>
              </w:rPr>
            </w:pPr>
            <w:r>
              <w:rPr>
                <w:spacing w:val="-10"/>
                <w:sz w:val="18"/>
              </w:rPr>
              <w:t>$</w:t>
            </w:r>
            <w:r>
              <w:rPr>
                <w:sz w:val="18"/>
              </w:rPr>
              <w:tab/>
            </w:r>
            <w:r>
              <w:rPr>
                <w:spacing w:val="-10"/>
                <w:sz w:val="18"/>
              </w:rPr>
              <w:t>—</w:t>
            </w:r>
            <w:r>
              <w:rPr>
                <w:sz w:val="18"/>
              </w:rPr>
              <w:tab/>
            </w:r>
            <w:r>
              <w:rPr>
                <w:spacing w:val="-10"/>
                <w:sz w:val="18"/>
              </w:rPr>
              <w:t>$</w:t>
            </w:r>
            <w:r>
              <w:rPr>
                <w:sz w:val="18"/>
              </w:rPr>
              <w:tab/>
            </w:r>
            <w:r>
              <w:rPr>
                <w:spacing w:val="-2"/>
                <w:sz w:val="18"/>
              </w:rPr>
              <w:t>1,261</w:t>
            </w:r>
          </w:p>
        </w:tc>
      </w:tr>
    </w:tbl>
    <w:p>
      <w:pPr>
        <w:spacing w:after="0" w:line="187" w:lineRule="exact"/>
        <w:rPr>
          <w:sz w:val="18"/>
        </w:rPr>
        <w:sectPr>
          <w:type w:val="continuous"/>
          <w:pgSz w:w="12240" w:h="15840"/>
          <w:pgMar w:header="227" w:footer="201" w:top="320" w:bottom="280" w:left="520" w:right="520"/>
        </w:sectPr>
      </w:pPr>
    </w:p>
    <w:p>
      <w:pPr>
        <w:pStyle w:val="Heading3"/>
        <w:spacing w:before="211"/>
        <w:rPr>
          <w:i/>
        </w:rPr>
      </w:pPr>
      <w:r>
        <w:rPr>
          <w:i/>
        </w:rPr>
        <w:t>Fair</w:t>
      </w:r>
      <w:r>
        <w:rPr>
          <w:i/>
          <w:spacing w:val="-4"/>
        </w:rPr>
        <w:t> </w:t>
      </w:r>
      <w:r>
        <w:rPr>
          <w:i/>
        </w:rPr>
        <w:t>Value</w:t>
      </w:r>
      <w:r>
        <w:rPr>
          <w:i/>
          <w:spacing w:val="-4"/>
        </w:rPr>
        <w:t> </w:t>
      </w:r>
      <w:r>
        <w:rPr>
          <w:i/>
        </w:rPr>
        <w:t>of</w:t>
      </w:r>
      <w:r>
        <w:rPr>
          <w:i/>
          <w:spacing w:val="-4"/>
        </w:rPr>
        <w:t> </w:t>
      </w:r>
      <w:r>
        <w:rPr>
          <w:i/>
        </w:rPr>
        <w:t>Other</w:t>
      </w:r>
      <w:r>
        <w:rPr>
          <w:i/>
          <w:spacing w:val="-4"/>
        </w:rPr>
        <w:t> </w:t>
      </w:r>
      <w:r>
        <w:rPr>
          <w:i/>
        </w:rPr>
        <w:t>Financial</w:t>
      </w:r>
      <w:r>
        <w:rPr>
          <w:i/>
          <w:spacing w:val="-3"/>
        </w:rPr>
        <w:t> </w:t>
      </w:r>
      <w:r>
        <w:rPr>
          <w:i/>
          <w:spacing w:val="-2"/>
        </w:rPr>
        <w:t>Instruments</w:t>
      </w:r>
    </w:p>
    <w:p>
      <w:pPr>
        <w:pStyle w:val="BodyText"/>
        <w:spacing w:before="193"/>
        <w:ind w:left="470"/>
      </w:pPr>
      <w:r>
        <w:rPr/>
        <w:t>The</w:t>
      </w:r>
      <w:r>
        <w:rPr>
          <w:spacing w:val="-6"/>
        </w:rPr>
        <w:t> </w:t>
      </w:r>
      <w:r>
        <w:rPr/>
        <w:t>following</w:t>
      </w:r>
      <w:r>
        <w:rPr>
          <w:spacing w:val="-3"/>
        </w:rPr>
        <w:t> </w:t>
      </w:r>
      <w:r>
        <w:rPr/>
        <w:t>tables</w:t>
      </w:r>
      <w:r>
        <w:rPr>
          <w:spacing w:val="-3"/>
        </w:rPr>
        <w:t> </w:t>
      </w:r>
      <w:r>
        <w:rPr/>
        <w:t>present</w:t>
      </w:r>
      <w:r>
        <w:rPr>
          <w:spacing w:val="-4"/>
        </w:rPr>
        <w:t> </w:t>
      </w:r>
      <w:r>
        <w:rPr/>
        <w:t>the</w:t>
      </w:r>
      <w:r>
        <w:rPr>
          <w:spacing w:val="-3"/>
        </w:rPr>
        <w:t> </w:t>
      </w:r>
      <w:r>
        <w:rPr/>
        <w:t>fair</w:t>
      </w:r>
      <w:r>
        <w:rPr>
          <w:spacing w:val="-3"/>
        </w:rPr>
        <w:t> </w:t>
      </w:r>
      <w:r>
        <w:rPr/>
        <w:t>value</w:t>
      </w:r>
      <w:r>
        <w:rPr>
          <w:spacing w:val="-3"/>
        </w:rPr>
        <w:t> </w:t>
      </w:r>
      <w:r>
        <w:rPr/>
        <w:t>hierarchy</w:t>
      </w:r>
      <w:r>
        <w:rPr>
          <w:spacing w:val="-3"/>
        </w:rPr>
        <w:t> </w:t>
      </w:r>
      <w:r>
        <w:rPr/>
        <w:t>for</w:t>
      </w:r>
      <w:r>
        <w:rPr>
          <w:spacing w:val="-2"/>
        </w:rPr>
        <w:t> </w:t>
      </w:r>
      <w:r>
        <w:rPr/>
        <w:t>other</w:t>
      </w:r>
      <w:r>
        <w:rPr>
          <w:spacing w:val="-3"/>
        </w:rPr>
        <w:t> </w:t>
      </w:r>
      <w:r>
        <w:rPr/>
        <w:t>financial</w:t>
      </w:r>
      <w:r>
        <w:rPr>
          <w:spacing w:val="-3"/>
        </w:rPr>
        <w:t> </w:t>
      </w:r>
      <w:r>
        <w:rPr>
          <w:spacing w:val="-2"/>
        </w:rPr>
        <w:t>instruments:</w:t>
      </w:r>
    </w:p>
    <w:p>
      <w:pPr>
        <w:pStyle w:val="BodyText"/>
        <w:spacing w:before="9"/>
        <w:rPr>
          <w:sz w:val="13"/>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97"/>
        <w:gridCol w:w="1749"/>
        <w:gridCol w:w="1170"/>
        <w:gridCol w:w="1155"/>
        <w:gridCol w:w="1418"/>
        <w:gridCol w:w="941"/>
      </w:tblGrid>
      <w:tr>
        <w:trPr>
          <w:trHeight w:val="425" w:hRule="atLeast"/>
        </w:trPr>
        <w:tc>
          <w:tcPr>
            <w:tcW w:w="3797" w:type="dxa"/>
            <w:tcBorders>
              <w:top w:val="single" w:sz="4" w:space="0" w:color="000000"/>
              <w:bottom w:val="single" w:sz="4" w:space="0" w:color="000000"/>
            </w:tcBorders>
          </w:tcPr>
          <w:p>
            <w:pPr>
              <w:pStyle w:val="TableParagraph"/>
              <w:spacing w:before="193"/>
              <w:ind w:left="52"/>
              <w:rPr>
                <w:sz w:val="18"/>
              </w:rPr>
            </w:pPr>
            <w:r>
              <w:rPr>
                <w:sz w:val="18"/>
              </w:rPr>
              <w:t>September</w:t>
            </w:r>
            <w:r>
              <w:rPr>
                <w:spacing w:val="-1"/>
                <w:sz w:val="18"/>
              </w:rPr>
              <w:t> </w:t>
            </w:r>
            <w:r>
              <w:rPr>
                <w:sz w:val="18"/>
              </w:rPr>
              <w:t>30, </w:t>
            </w:r>
            <w:r>
              <w:rPr>
                <w:spacing w:val="-4"/>
                <w:sz w:val="18"/>
              </w:rPr>
              <w:t>2023</w:t>
            </w:r>
          </w:p>
        </w:tc>
        <w:tc>
          <w:tcPr>
            <w:tcW w:w="1749" w:type="dxa"/>
            <w:tcBorders>
              <w:top w:val="single" w:sz="4" w:space="0" w:color="000000"/>
              <w:bottom w:val="single" w:sz="4" w:space="0" w:color="000000"/>
            </w:tcBorders>
          </w:tcPr>
          <w:p>
            <w:pPr>
              <w:pStyle w:val="TableParagraph"/>
              <w:spacing w:line="208" w:lineRule="auto" w:before="35"/>
              <w:ind w:left="895" w:right="235" w:hanging="25"/>
              <w:rPr>
                <w:sz w:val="18"/>
              </w:rPr>
            </w:pPr>
            <w:r>
              <w:rPr>
                <w:spacing w:val="-2"/>
                <w:sz w:val="18"/>
              </w:rPr>
              <w:t>Carrying Amount</w:t>
            </w:r>
          </w:p>
        </w:tc>
        <w:tc>
          <w:tcPr>
            <w:tcW w:w="1170" w:type="dxa"/>
            <w:tcBorders>
              <w:top w:val="single" w:sz="4" w:space="0" w:color="000000"/>
              <w:bottom w:val="single" w:sz="4" w:space="0" w:color="000000"/>
            </w:tcBorders>
          </w:tcPr>
          <w:p>
            <w:pPr>
              <w:pStyle w:val="TableParagraph"/>
              <w:spacing w:before="193"/>
              <w:ind w:left="324"/>
              <w:rPr>
                <w:sz w:val="18"/>
              </w:rPr>
            </w:pPr>
            <w:r>
              <w:rPr>
                <w:sz w:val="18"/>
              </w:rPr>
              <w:t>Level </w:t>
            </w:r>
            <w:r>
              <w:rPr>
                <w:spacing w:val="-10"/>
                <w:sz w:val="18"/>
              </w:rPr>
              <w:t>1</w:t>
            </w:r>
          </w:p>
        </w:tc>
        <w:tc>
          <w:tcPr>
            <w:tcW w:w="1155" w:type="dxa"/>
            <w:tcBorders>
              <w:top w:val="single" w:sz="4" w:space="0" w:color="000000"/>
              <w:bottom w:val="single" w:sz="4" w:space="0" w:color="000000"/>
            </w:tcBorders>
          </w:tcPr>
          <w:p>
            <w:pPr>
              <w:pStyle w:val="TableParagraph"/>
              <w:spacing w:before="193"/>
              <w:ind w:left="316"/>
              <w:rPr>
                <w:sz w:val="18"/>
              </w:rPr>
            </w:pPr>
            <w:r>
              <w:rPr>
                <w:sz w:val="18"/>
              </w:rPr>
              <w:t>Level </w:t>
            </w:r>
            <w:r>
              <w:rPr>
                <w:spacing w:val="-10"/>
                <w:sz w:val="18"/>
              </w:rPr>
              <w:t>2</w:t>
            </w:r>
          </w:p>
        </w:tc>
        <w:tc>
          <w:tcPr>
            <w:tcW w:w="1418" w:type="dxa"/>
            <w:tcBorders>
              <w:top w:val="single" w:sz="4" w:space="0" w:color="000000"/>
              <w:bottom w:val="single" w:sz="4" w:space="0" w:color="000000"/>
            </w:tcBorders>
          </w:tcPr>
          <w:p>
            <w:pPr>
              <w:pStyle w:val="TableParagraph"/>
              <w:spacing w:before="193"/>
              <w:ind w:left="346"/>
              <w:rPr>
                <w:sz w:val="18"/>
              </w:rPr>
            </w:pPr>
            <w:r>
              <w:rPr>
                <w:sz w:val="18"/>
              </w:rPr>
              <w:t>Level </w:t>
            </w:r>
            <w:r>
              <w:rPr>
                <w:spacing w:val="-10"/>
                <w:sz w:val="18"/>
              </w:rPr>
              <w:t>3</w:t>
            </w:r>
          </w:p>
        </w:tc>
        <w:tc>
          <w:tcPr>
            <w:tcW w:w="941" w:type="dxa"/>
            <w:tcBorders>
              <w:top w:val="single" w:sz="4" w:space="0" w:color="000000"/>
              <w:bottom w:val="single" w:sz="4" w:space="0" w:color="000000"/>
            </w:tcBorders>
          </w:tcPr>
          <w:p>
            <w:pPr>
              <w:pStyle w:val="TableParagraph"/>
              <w:spacing w:line="208" w:lineRule="auto" w:before="35"/>
              <w:ind w:left="11" w:right="158" w:firstLine="5"/>
              <w:rPr>
                <w:sz w:val="18"/>
              </w:rPr>
            </w:pPr>
            <w:r>
              <w:rPr>
                <w:sz w:val="18"/>
              </w:rPr>
              <w:t>Balance</w:t>
            </w:r>
            <w:r>
              <w:rPr>
                <w:spacing w:val="-12"/>
                <w:sz w:val="18"/>
              </w:rPr>
              <w:t> </w:t>
            </w:r>
            <w:r>
              <w:rPr>
                <w:sz w:val="18"/>
              </w:rPr>
              <w:t>at Fair</w:t>
            </w:r>
            <w:r>
              <w:rPr>
                <w:spacing w:val="-3"/>
                <w:sz w:val="18"/>
              </w:rPr>
              <w:t> </w:t>
            </w:r>
            <w:r>
              <w:rPr>
                <w:spacing w:val="-2"/>
                <w:sz w:val="18"/>
              </w:rPr>
              <w:t>Value</w:t>
            </w:r>
          </w:p>
        </w:tc>
      </w:tr>
      <w:tr>
        <w:trPr>
          <w:trHeight w:val="250" w:hRule="atLeast"/>
        </w:trPr>
        <w:tc>
          <w:tcPr>
            <w:tcW w:w="3797" w:type="dxa"/>
            <w:tcBorders>
              <w:top w:val="single" w:sz="4" w:space="0" w:color="000000"/>
            </w:tcBorders>
          </w:tcPr>
          <w:p>
            <w:pPr>
              <w:pStyle w:val="TableParagraph"/>
              <w:spacing w:before="13"/>
              <w:ind w:left="52"/>
              <w:rPr>
                <w:b/>
                <w:sz w:val="18"/>
              </w:rPr>
            </w:pPr>
            <w:r>
              <w:rPr>
                <w:b/>
                <w:spacing w:val="-2"/>
                <w:sz w:val="18"/>
              </w:rPr>
              <w:t>Assets</w:t>
            </w:r>
          </w:p>
        </w:tc>
        <w:tc>
          <w:tcPr>
            <w:tcW w:w="1749" w:type="dxa"/>
            <w:tcBorders>
              <w:top w:val="single" w:sz="4" w:space="0" w:color="000000"/>
            </w:tcBorders>
          </w:tcPr>
          <w:p>
            <w:pPr>
              <w:pStyle w:val="TableParagraph"/>
              <w:rPr>
                <w:sz w:val="18"/>
              </w:rPr>
            </w:pPr>
          </w:p>
        </w:tc>
        <w:tc>
          <w:tcPr>
            <w:tcW w:w="1170" w:type="dxa"/>
            <w:tcBorders>
              <w:top w:val="single" w:sz="4" w:space="0" w:color="000000"/>
            </w:tcBorders>
          </w:tcPr>
          <w:p>
            <w:pPr>
              <w:pStyle w:val="TableParagraph"/>
              <w:rPr>
                <w:sz w:val="18"/>
              </w:rPr>
            </w:pPr>
          </w:p>
        </w:tc>
        <w:tc>
          <w:tcPr>
            <w:tcW w:w="1155" w:type="dxa"/>
            <w:tcBorders>
              <w:top w:val="single" w:sz="4" w:space="0" w:color="000000"/>
            </w:tcBorders>
          </w:tcPr>
          <w:p>
            <w:pPr>
              <w:pStyle w:val="TableParagraph"/>
              <w:rPr>
                <w:sz w:val="18"/>
              </w:rPr>
            </w:pPr>
          </w:p>
        </w:tc>
        <w:tc>
          <w:tcPr>
            <w:tcW w:w="1418" w:type="dxa"/>
            <w:tcBorders>
              <w:top w:val="single" w:sz="4" w:space="0" w:color="000000"/>
            </w:tcBorders>
          </w:tcPr>
          <w:p>
            <w:pPr>
              <w:pStyle w:val="TableParagraph"/>
              <w:rPr>
                <w:sz w:val="18"/>
              </w:rPr>
            </w:pPr>
          </w:p>
        </w:tc>
        <w:tc>
          <w:tcPr>
            <w:tcW w:w="941" w:type="dxa"/>
            <w:tcBorders>
              <w:top w:val="single" w:sz="4" w:space="0" w:color="000000"/>
            </w:tcBorders>
          </w:tcPr>
          <w:p>
            <w:pPr>
              <w:pStyle w:val="TableParagraph"/>
              <w:rPr>
                <w:sz w:val="18"/>
              </w:rPr>
            </w:pPr>
          </w:p>
        </w:tc>
      </w:tr>
      <w:tr>
        <w:trPr>
          <w:trHeight w:val="255" w:hRule="atLeast"/>
        </w:trPr>
        <w:tc>
          <w:tcPr>
            <w:tcW w:w="3797" w:type="dxa"/>
            <w:shd w:val="clear" w:color="auto" w:fill="CCEDFF"/>
          </w:tcPr>
          <w:p>
            <w:pPr>
              <w:pStyle w:val="TableParagraph"/>
              <w:spacing w:before="18"/>
              <w:ind w:left="52"/>
              <w:rPr>
                <w:sz w:val="18"/>
              </w:rPr>
            </w:pPr>
            <w:r>
              <w:rPr>
                <w:sz w:val="18"/>
              </w:rPr>
              <w:t>Cash</w:t>
            </w:r>
            <w:r>
              <w:rPr>
                <w:spacing w:val="-1"/>
                <w:sz w:val="18"/>
              </w:rPr>
              <w:t> </w:t>
            </w:r>
            <w:r>
              <w:rPr>
                <w:sz w:val="18"/>
              </w:rPr>
              <w:t>and</w:t>
            </w:r>
            <w:r>
              <w:rPr>
                <w:spacing w:val="-1"/>
                <w:sz w:val="18"/>
              </w:rPr>
              <w:t> </w:t>
            </w:r>
            <w:r>
              <w:rPr>
                <w:sz w:val="18"/>
              </w:rPr>
              <w:t>cash </w:t>
            </w:r>
            <w:r>
              <w:rPr>
                <w:spacing w:val="-2"/>
                <w:sz w:val="18"/>
              </w:rPr>
              <w:t>equivalents</w:t>
            </w:r>
          </w:p>
        </w:tc>
        <w:tc>
          <w:tcPr>
            <w:tcW w:w="1749" w:type="dxa"/>
            <w:shd w:val="clear" w:color="auto" w:fill="CCEDFF"/>
          </w:tcPr>
          <w:p>
            <w:pPr>
              <w:pStyle w:val="TableParagraph"/>
              <w:tabs>
                <w:tab w:pos="442" w:val="left" w:leader="none"/>
              </w:tabs>
              <w:spacing w:before="18"/>
              <w:ind w:right="98"/>
              <w:jc w:val="right"/>
              <w:rPr>
                <w:sz w:val="18"/>
              </w:rPr>
            </w:pPr>
            <w:r>
              <w:rPr>
                <w:spacing w:val="-10"/>
                <w:sz w:val="18"/>
              </w:rPr>
              <w:t>$</w:t>
            </w:r>
            <w:r>
              <w:rPr>
                <w:sz w:val="18"/>
              </w:rPr>
              <w:tab/>
            </w:r>
            <w:r>
              <w:rPr>
                <w:spacing w:val="-2"/>
                <w:sz w:val="18"/>
              </w:rPr>
              <w:t>20,507</w:t>
            </w:r>
          </w:p>
        </w:tc>
        <w:tc>
          <w:tcPr>
            <w:tcW w:w="1170" w:type="dxa"/>
            <w:shd w:val="clear" w:color="auto" w:fill="CCEDFF"/>
          </w:tcPr>
          <w:p>
            <w:pPr>
              <w:pStyle w:val="TableParagraph"/>
              <w:tabs>
                <w:tab w:pos="472" w:val="left" w:leader="none"/>
              </w:tabs>
              <w:spacing w:before="18"/>
              <w:ind w:right="98"/>
              <w:jc w:val="right"/>
              <w:rPr>
                <w:sz w:val="18"/>
              </w:rPr>
            </w:pPr>
            <w:r>
              <w:rPr>
                <w:spacing w:val="-10"/>
                <w:sz w:val="18"/>
              </w:rPr>
              <w:t>$</w:t>
            </w:r>
            <w:r>
              <w:rPr>
                <w:sz w:val="18"/>
              </w:rPr>
              <w:tab/>
            </w:r>
            <w:r>
              <w:rPr>
                <w:spacing w:val="-2"/>
                <w:sz w:val="18"/>
              </w:rPr>
              <w:t>20,507</w:t>
            </w:r>
          </w:p>
        </w:tc>
        <w:tc>
          <w:tcPr>
            <w:tcW w:w="1155" w:type="dxa"/>
            <w:shd w:val="clear" w:color="auto" w:fill="CCEDFF"/>
          </w:tcPr>
          <w:p>
            <w:pPr>
              <w:pStyle w:val="TableParagraph"/>
              <w:tabs>
                <w:tab w:pos="772" w:val="left" w:leader="none"/>
              </w:tabs>
              <w:spacing w:before="18"/>
              <w:ind w:right="98"/>
              <w:jc w:val="right"/>
              <w:rPr>
                <w:sz w:val="18"/>
              </w:rPr>
            </w:pPr>
            <w:r>
              <w:rPr>
                <w:spacing w:val="-10"/>
                <w:sz w:val="18"/>
              </w:rPr>
              <w:t>$</w:t>
            </w:r>
            <w:r>
              <w:rPr>
                <w:sz w:val="18"/>
              </w:rPr>
              <w:tab/>
            </w:r>
            <w:r>
              <w:rPr>
                <w:spacing w:val="-10"/>
                <w:sz w:val="18"/>
              </w:rPr>
              <w:t>—</w:t>
            </w:r>
          </w:p>
        </w:tc>
        <w:tc>
          <w:tcPr>
            <w:tcW w:w="1418" w:type="dxa"/>
            <w:shd w:val="clear" w:color="auto" w:fill="CCEDFF"/>
          </w:tcPr>
          <w:p>
            <w:pPr>
              <w:pStyle w:val="TableParagraph"/>
              <w:tabs>
                <w:tab w:pos="934" w:val="left" w:leader="none"/>
                <w:tab w:pos="1316" w:val="left" w:leader="none"/>
              </w:tabs>
              <w:spacing w:before="18"/>
              <w:ind w:left="101"/>
              <w:rPr>
                <w:sz w:val="18"/>
              </w:rPr>
            </w:pPr>
            <w:r>
              <w:rPr>
                <w:spacing w:val="-10"/>
                <w:sz w:val="18"/>
              </w:rPr>
              <w:t>$</w:t>
            </w:r>
            <w:r>
              <w:rPr>
                <w:sz w:val="18"/>
              </w:rPr>
              <w:tab/>
            </w:r>
            <w:r>
              <w:rPr>
                <w:spacing w:val="-10"/>
                <w:sz w:val="18"/>
              </w:rPr>
              <w:t>—</w:t>
            </w:r>
            <w:r>
              <w:rPr>
                <w:sz w:val="18"/>
              </w:rPr>
              <w:tab/>
            </w:r>
            <w:r>
              <w:rPr>
                <w:spacing w:val="-10"/>
                <w:sz w:val="18"/>
              </w:rPr>
              <w:t>$</w:t>
            </w:r>
          </w:p>
        </w:tc>
        <w:tc>
          <w:tcPr>
            <w:tcW w:w="941" w:type="dxa"/>
            <w:shd w:val="clear" w:color="auto" w:fill="CCEDFF"/>
          </w:tcPr>
          <w:p>
            <w:pPr>
              <w:pStyle w:val="TableParagraph"/>
              <w:spacing w:before="18"/>
              <w:ind w:right="72"/>
              <w:jc w:val="right"/>
              <w:rPr>
                <w:sz w:val="18"/>
              </w:rPr>
            </w:pPr>
            <w:r>
              <w:rPr>
                <w:spacing w:val="-2"/>
                <w:sz w:val="18"/>
              </w:rPr>
              <w:t>20,507</w:t>
            </w:r>
          </w:p>
        </w:tc>
      </w:tr>
      <w:tr>
        <w:trPr>
          <w:trHeight w:val="225" w:hRule="atLeast"/>
        </w:trPr>
        <w:tc>
          <w:tcPr>
            <w:tcW w:w="10230" w:type="dxa"/>
            <w:gridSpan w:val="6"/>
          </w:tcPr>
          <w:p>
            <w:pPr>
              <w:pStyle w:val="TableParagraph"/>
              <w:spacing w:line="187" w:lineRule="exact" w:before="18"/>
              <w:ind w:left="52"/>
              <w:rPr>
                <w:sz w:val="18"/>
              </w:rPr>
            </w:pPr>
            <w:r>
              <w:rPr>
                <w:sz w:val="18"/>
              </w:rPr>
              <w:t>Cash</w:t>
            </w:r>
            <w:r>
              <w:rPr>
                <w:spacing w:val="-1"/>
                <w:sz w:val="18"/>
              </w:rPr>
              <w:t> </w:t>
            </w:r>
            <w:r>
              <w:rPr>
                <w:sz w:val="18"/>
              </w:rPr>
              <w:t>and</w:t>
            </w:r>
            <w:r>
              <w:rPr>
                <w:spacing w:val="-1"/>
                <w:sz w:val="18"/>
              </w:rPr>
              <w:t> </w:t>
            </w:r>
            <w:r>
              <w:rPr>
                <w:sz w:val="18"/>
              </w:rPr>
              <w:t>investments</w:t>
            </w:r>
            <w:r>
              <w:rPr>
                <w:spacing w:val="-1"/>
                <w:sz w:val="18"/>
              </w:rPr>
              <w:t> </w:t>
            </w:r>
            <w:r>
              <w:rPr>
                <w:sz w:val="18"/>
              </w:rPr>
              <w:t>segregated</w:t>
            </w:r>
            <w:r>
              <w:rPr>
                <w:spacing w:val="-1"/>
                <w:sz w:val="18"/>
              </w:rPr>
              <w:t> </w:t>
            </w:r>
            <w:r>
              <w:rPr>
                <w:sz w:val="18"/>
              </w:rPr>
              <w:t>and on</w:t>
            </w:r>
            <w:r>
              <w:rPr>
                <w:spacing w:val="-1"/>
                <w:sz w:val="18"/>
              </w:rPr>
              <w:t> </w:t>
            </w:r>
            <w:r>
              <w:rPr>
                <w:sz w:val="18"/>
              </w:rPr>
              <w:t>deposit </w:t>
            </w:r>
            <w:r>
              <w:rPr>
                <w:spacing w:val="-5"/>
                <w:sz w:val="18"/>
              </w:rPr>
              <w:t>for</w:t>
            </w:r>
          </w:p>
        </w:tc>
      </w:tr>
      <w:tr>
        <w:trPr>
          <w:trHeight w:val="209" w:hRule="atLeast"/>
        </w:trPr>
        <w:tc>
          <w:tcPr>
            <w:tcW w:w="3797" w:type="dxa"/>
          </w:tcPr>
          <w:p>
            <w:pPr>
              <w:pStyle w:val="TableParagraph"/>
              <w:spacing w:line="199" w:lineRule="exact"/>
              <w:ind w:left="142"/>
              <w:rPr>
                <w:sz w:val="18"/>
              </w:rPr>
            </w:pPr>
            <w:r>
              <w:rPr>
                <w:sz w:val="18"/>
              </w:rPr>
              <w:t>regulatory </w:t>
            </w:r>
            <w:r>
              <w:rPr>
                <w:spacing w:val="-2"/>
                <w:sz w:val="18"/>
              </w:rPr>
              <w:t>purposes</w:t>
            </w:r>
          </w:p>
        </w:tc>
        <w:tc>
          <w:tcPr>
            <w:tcW w:w="1749" w:type="dxa"/>
          </w:tcPr>
          <w:p>
            <w:pPr>
              <w:pStyle w:val="TableParagraph"/>
              <w:spacing w:line="199" w:lineRule="exact"/>
              <w:ind w:right="98"/>
              <w:jc w:val="right"/>
              <w:rPr>
                <w:sz w:val="18"/>
              </w:rPr>
            </w:pPr>
            <w:r>
              <w:rPr>
                <w:spacing w:val="-2"/>
                <w:sz w:val="18"/>
              </w:rPr>
              <w:t>6,201</w:t>
            </w:r>
          </w:p>
        </w:tc>
        <w:tc>
          <w:tcPr>
            <w:tcW w:w="1170" w:type="dxa"/>
          </w:tcPr>
          <w:p>
            <w:pPr>
              <w:pStyle w:val="TableParagraph"/>
              <w:spacing w:line="199" w:lineRule="exact"/>
              <w:ind w:right="98"/>
              <w:jc w:val="right"/>
              <w:rPr>
                <w:sz w:val="18"/>
              </w:rPr>
            </w:pPr>
            <w:r>
              <w:rPr>
                <w:spacing w:val="-2"/>
                <w:sz w:val="18"/>
              </w:rPr>
              <w:t>3,201</w:t>
            </w:r>
          </w:p>
        </w:tc>
        <w:tc>
          <w:tcPr>
            <w:tcW w:w="1155" w:type="dxa"/>
          </w:tcPr>
          <w:p>
            <w:pPr>
              <w:pStyle w:val="TableParagraph"/>
              <w:spacing w:line="199" w:lineRule="exact"/>
              <w:ind w:right="98"/>
              <w:jc w:val="right"/>
              <w:rPr>
                <w:sz w:val="18"/>
              </w:rPr>
            </w:pPr>
            <w:r>
              <w:rPr>
                <w:spacing w:val="-2"/>
                <w:sz w:val="18"/>
              </w:rPr>
              <w:t>3,000</w:t>
            </w:r>
          </w:p>
        </w:tc>
        <w:tc>
          <w:tcPr>
            <w:tcW w:w="1418" w:type="dxa"/>
          </w:tcPr>
          <w:p>
            <w:pPr>
              <w:pStyle w:val="TableParagraph"/>
              <w:spacing w:line="199" w:lineRule="exact"/>
              <w:ind w:left="934"/>
              <w:rPr>
                <w:sz w:val="18"/>
              </w:rPr>
            </w:pPr>
            <w:r>
              <w:rPr>
                <w:spacing w:val="-10"/>
                <w:sz w:val="18"/>
              </w:rPr>
              <w:t>—</w:t>
            </w:r>
          </w:p>
        </w:tc>
        <w:tc>
          <w:tcPr>
            <w:tcW w:w="941" w:type="dxa"/>
          </w:tcPr>
          <w:p>
            <w:pPr>
              <w:pStyle w:val="TableParagraph"/>
              <w:spacing w:line="199" w:lineRule="exact"/>
              <w:ind w:right="72"/>
              <w:jc w:val="right"/>
              <w:rPr>
                <w:sz w:val="18"/>
              </w:rPr>
            </w:pPr>
            <w:r>
              <w:rPr>
                <w:spacing w:val="-2"/>
                <w:sz w:val="18"/>
              </w:rPr>
              <w:t>6,201</w:t>
            </w:r>
          </w:p>
        </w:tc>
      </w:tr>
      <w:tr>
        <w:trPr>
          <w:trHeight w:val="255" w:hRule="atLeast"/>
        </w:trPr>
        <w:tc>
          <w:tcPr>
            <w:tcW w:w="3797" w:type="dxa"/>
            <w:shd w:val="clear" w:color="auto" w:fill="CCEDFF"/>
          </w:tcPr>
          <w:p>
            <w:pPr>
              <w:pStyle w:val="TableParagraph"/>
              <w:spacing w:before="18"/>
              <w:ind w:left="52"/>
              <w:rPr>
                <w:sz w:val="18"/>
              </w:rPr>
            </w:pPr>
            <w:r>
              <w:rPr>
                <w:sz w:val="18"/>
              </w:rPr>
              <w:t>Receivables</w:t>
            </w:r>
            <w:r>
              <w:rPr>
                <w:spacing w:val="-1"/>
                <w:sz w:val="18"/>
              </w:rPr>
              <w:t> </w:t>
            </w:r>
            <w:r>
              <w:rPr>
                <w:sz w:val="18"/>
              </w:rPr>
              <w:t>from brokerage clients</w:t>
            </w:r>
            <w:r>
              <w:rPr>
                <w:spacing w:val="-1"/>
                <w:sz w:val="18"/>
              </w:rPr>
              <w:t> </w:t>
            </w:r>
            <w:r>
              <w:rPr>
                <w:sz w:val="18"/>
              </w:rPr>
              <w:t>— </w:t>
            </w:r>
            <w:r>
              <w:rPr>
                <w:spacing w:val="-5"/>
                <w:sz w:val="18"/>
              </w:rPr>
              <w:t>net</w:t>
            </w:r>
          </w:p>
        </w:tc>
        <w:tc>
          <w:tcPr>
            <w:tcW w:w="1749" w:type="dxa"/>
            <w:shd w:val="clear" w:color="auto" w:fill="CCEDFF"/>
          </w:tcPr>
          <w:p>
            <w:pPr>
              <w:pStyle w:val="TableParagraph"/>
              <w:spacing w:before="18"/>
              <w:ind w:right="98"/>
              <w:jc w:val="right"/>
              <w:rPr>
                <w:sz w:val="18"/>
              </w:rPr>
            </w:pPr>
            <w:r>
              <w:rPr>
                <w:spacing w:val="-2"/>
                <w:sz w:val="18"/>
              </w:rPr>
              <w:t>69,034</w:t>
            </w:r>
          </w:p>
        </w:tc>
        <w:tc>
          <w:tcPr>
            <w:tcW w:w="1170" w:type="dxa"/>
            <w:shd w:val="clear" w:color="auto" w:fill="CCEDFF"/>
          </w:tcPr>
          <w:p>
            <w:pPr>
              <w:pStyle w:val="TableParagraph"/>
              <w:spacing w:before="18"/>
              <w:ind w:right="98"/>
              <w:jc w:val="right"/>
              <w:rPr>
                <w:sz w:val="18"/>
              </w:rPr>
            </w:pPr>
            <w:r>
              <w:rPr>
                <w:spacing w:val="-10"/>
                <w:sz w:val="18"/>
              </w:rPr>
              <w:t>—</w:t>
            </w:r>
          </w:p>
        </w:tc>
        <w:tc>
          <w:tcPr>
            <w:tcW w:w="1155" w:type="dxa"/>
            <w:shd w:val="clear" w:color="auto" w:fill="CCEDFF"/>
          </w:tcPr>
          <w:p>
            <w:pPr>
              <w:pStyle w:val="TableParagraph"/>
              <w:spacing w:before="18"/>
              <w:ind w:right="98"/>
              <w:jc w:val="right"/>
              <w:rPr>
                <w:sz w:val="18"/>
              </w:rPr>
            </w:pPr>
            <w:r>
              <w:rPr>
                <w:spacing w:val="-2"/>
                <w:sz w:val="18"/>
              </w:rPr>
              <w:t>69,034</w:t>
            </w:r>
          </w:p>
        </w:tc>
        <w:tc>
          <w:tcPr>
            <w:tcW w:w="1418" w:type="dxa"/>
            <w:shd w:val="clear" w:color="auto" w:fill="CCEDFF"/>
          </w:tcPr>
          <w:p>
            <w:pPr>
              <w:pStyle w:val="TableParagraph"/>
              <w:spacing w:before="18"/>
              <w:ind w:left="934"/>
              <w:rPr>
                <w:sz w:val="18"/>
              </w:rPr>
            </w:pPr>
            <w:r>
              <w:rPr>
                <w:spacing w:val="-10"/>
                <w:sz w:val="18"/>
              </w:rPr>
              <w:t>—</w:t>
            </w:r>
          </w:p>
        </w:tc>
        <w:tc>
          <w:tcPr>
            <w:tcW w:w="941" w:type="dxa"/>
            <w:shd w:val="clear" w:color="auto" w:fill="CCEDFF"/>
          </w:tcPr>
          <w:p>
            <w:pPr>
              <w:pStyle w:val="TableParagraph"/>
              <w:spacing w:before="18"/>
              <w:ind w:right="72"/>
              <w:jc w:val="right"/>
              <w:rPr>
                <w:sz w:val="18"/>
              </w:rPr>
            </w:pPr>
            <w:r>
              <w:rPr>
                <w:spacing w:val="-2"/>
                <w:sz w:val="18"/>
              </w:rPr>
              <w:t>69,034</w:t>
            </w:r>
          </w:p>
        </w:tc>
      </w:tr>
      <w:tr>
        <w:trPr>
          <w:trHeight w:val="255" w:hRule="atLeast"/>
        </w:trPr>
        <w:tc>
          <w:tcPr>
            <w:tcW w:w="3797" w:type="dxa"/>
          </w:tcPr>
          <w:p>
            <w:pPr>
              <w:pStyle w:val="TableParagraph"/>
              <w:spacing w:before="18"/>
              <w:ind w:left="52"/>
              <w:rPr>
                <w:sz w:val="18"/>
              </w:rPr>
            </w:pPr>
            <w:r>
              <w:rPr>
                <w:sz w:val="18"/>
              </w:rPr>
              <w:t>Held</w:t>
            </w:r>
            <w:r>
              <w:rPr>
                <w:spacing w:val="-1"/>
                <w:sz w:val="18"/>
              </w:rPr>
              <w:t> </w:t>
            </w:r>
            <w:r>
              <w:rPr>
                <w:sz w:val="18"/>
              </w:rPr>
              <w:t>to maturity </w:t>
            </w:r>
            <w:r>
              <w:rPr>
                <w:spacing w:val="-2"/>
                <w:sz w:val="18"/>
              </w:rPr>
              <w:t>securities:</w:t>
            </w:r>
          </w:p>
        </w:tc>
        <w:tc>
          <w:tcPr>
            <w:tcW w:w="1749" w:type="dxa"/>
          </w:tcPr>
          <w:p>
            <w:pPr>
              <w:pStyle w:val="TableParagraph"/>
              <w:rPr>
                <w:sz w:val="18"/>
              </w:rPr>
            </w:pPr>
          </w:p>
        </w:tc>
        <w:tc>
          <w:tcPr>
            <w:tcW w:w="1170" w:type="dxa"/>
          </w:tcPr>
          <w:p>
            <w:pPr>
              <w:pStyle w:val="TableParagraph"/>
              <w:rPr>
                <w:sz w:val="18"/>
              </w:rPr>
            </w:pPr>
          </w:p>
        </w:tc>
        <w:tc>
          <w:tcPr>
            <w:tcW w:w="1155" w:type="dxa"/>
          </w:tcPr>
          <w:p>
            <w:pPr>
              <w:pStyle w:val="TableParagraph"/>
              <w:rPr>
                <w:sz w:val="18"/>
              </w:rPr>
            </w:pPr>
          </w:p>
        </w:tc>
        <w:tc>
          <w:tcPr>
            <w:tcW w:w="1418" w:type="dxa"/>
          </w:tcPr>
          <w:p>
            <w:pPr>
              <w:pStyle w:val="TableParagraph"/>
              <w:rPr>
                <w:sz w:val="18"/>
              </w:rPr>
            </w:pPr>
          </w:p>
        </w:tc>
        <w:tc>
          <w:tcPr>
            <w:tcW w:w="941" w:type="dxa"/>
          </w:tcPr>
          <w:p>
            <w:pPr>
              <w:pStyle w:val="TableParagraph"/>
              <w:rPr>
                <w:sz w:val="18"/>
              </w:rPr>
            </w:pPr>
          </w:p>
        </w:tc>
      </w:tr>
      <w:tr>
        <w:trPr>
          <w:trHeight w:val="250" w:hRule="atLeast"/>
        </w:trPr>
        <w:tc>
          <w:tcPr>
            <w:tcW w:w="3797" w:type="dxa"/>
            <w:tcBorders>
              <w:bottom w:val="single" w:sz="4" w:space="0" w:color="000000"/>
            </w:tcBorders>
            <w:shd w:val="clear" w:color="auto" w:fill="CCEDFF"/>
          </w:tcPr>
          <w:p>
            <w:pPr>
              <w:pStyle w:val="TableParagraph"/>
              <w:spacing w:before="18"/>
              <w:ind w:left="187"/>
              <w:rPr>
                <w:sz w:val="18"/>
              </w:rPr>
            </w:pPr>
            <w:r>
              <w:rPr>
                <w:sz w:val="18"/>
              </w:rPr>
              <w:t>U.S.</w:t>
            </w:r>
            <w:r>
              <w:rPr>
                <w:spacing w:val="-1"/>
                <w:sz w:val="18"/>
              </w:rPr>
              <w:t> </w:t>
            </w:r>
            <w:r>
              <w:rPr>
                <w:sz w:val="18"/>
              </w:rPr>
              <w:t>agency</w:t>
            </w:r>
            <w:r>
              <w:rPr>
                <w:spacing w:val="-1"/>
                <w:sz w:val="18"/>
              </w:rPr>
              <w:t> </w:t>
            </w:r>
            <w:r>
              <w:rPr>
                <w:sz w:val="18"/>
              </w:rPr>
              <w:t>mortgage-backed </w:t>
            </w:r>
            <w:r>
              <w:rPr>
                <w:spacing w:val="-2"/>
                <w:sz w:val="18"/>
              </w:rPr>
              <w:t>securities</w:t>
            </w:r>
          </w:p>
        </w:tc>
        <w:tc>
          <w:tcPr>
            <w:tcW w:w="1749" w:type="dxa"/>
            <w:tcBorders>
              <w:bottom w:val="single" w:sz="4" w:space="0" w:color="000000"/>
            </w:tcBorders>
            <w:shd w:val="clear" w:color="auto" w:fill="CCEDFF"/>
          </w:tcPr>
          <w:p>
            <w:pPr>
              <w:pStyle w:val="TableParagraph"/>
              <w:spacing w:before="18"/>
              <w:ind w:right="98"/>
              <w:jc w:val="right"/>
              <w:rPr>
                <w:sz w:val="18"/>
              </w:rPr>
            </w:pPr>
            <w:r>
              <w:rPr>
                <w:spacing w:val="-2"/>
                <w:sz w:val="18"/>
              </w:rPr>
              <w:t>162,452</w:t>
            </w:r>
          </w:p>
        </w:tc>
        <w:tc>
          <w:tcPr>
            <w:tcW w:w="1170" w:type="dxa"/>
            <w:tcBorders>
              <w:bottom w:val="single" w:sz="4" w:space="0" w:color="000000"/>
            </w:tcBorders>
            <w:shd w:val="clear" w:color="auto" w:fill="CCEDFF"/>
          </w:tcPr>
          <w:p>
            <w:pPr>
              <w:pStyle w:val="TableParagraph"/>
              <w:spacing w:before="18"/>
              <w:ind w:right="98"/>
              <w:jc w:val="right"/>
              <w:rPr>
                <w:sz w:val="18"/>
              </w:rPr>
            </w:pPr>
            <w:r>
              <w:rPr>
                <w:spacing w:val="-10"/>
                <w:sz w:val="18"/>
              </w:rPr>
              <w:t>—</w:t>
            </w:r>
          </w:p>
        </w:tc>
        <w:tc>
          <w:tcPr>
            <w:tcW w:w="1155" w:type="dxa"/>
            <w:tcBorders>
              <w:bottom w:val="single" w:sz="4" w:space="0" w:color="000000"/>
            </w:tcBorders>
            <w:shd w:val="clear" w:color="auto" w:fill="CCEDFF"/>
          </w:tcPr>
          <w:p>
            <w:pPr>
              <w:pStyle w:val="TableParagraph"/>
              <w:spacing w:before="18"/>
              <w:ind w:right="98"/>
              <w:jc w:val="right"/>
              <w:rPr>
                <w:sz w:val="18"/>
              </w:rPr>
            </w:pPr>
            <w:r>
              <w:rPr>
                <w:spacing w:val="-2"/>
                <w:sz w:val="18"/>
              </w:rPr>
              <w:t>143,003</w:t>
            </w:r>
          </w:p>
        </w:tc>
        <w:tc>
          <w:tcPr>
            <w:tcW w:w="1418" w:type="dxa"/>
            <w:tcBorders>
              <w:bottom w:val="single" w:sz="4" w:space="0" w:color="000000"/>
            </w:tcBorders>
            <w:shd w:val="clear" w:color="auto" w:fill="CCEDFF"/>
          </w:tcPr>
          <w:p>
            <w:pPr>
              <w:pStyle w:val="TableParagraph"/>
              <w:spacing w:before="18"/>
              <w:ind w:left="934"/>
              <w:rPr>
                <w:sz w:val="18"/>
              </w:rPr>
            </w:pPr>
            <w:r>
              <w:rPr>
                <w:spacing w:val="-10"/>
                <w:sz w:val="18"/>
              </w:rPr>
              <w:t>—</w:t>
            </w:r>
          </w:p>
        </w:tc>
        <w:tc>
          <w:tcPr>
            <w:tcW w:w="941" w:type="dxa"/>
            <w:tcBorders>
              <w:bottom w:val="single" w:sz="4" w:space="0" w:color="000000"/>
            </w:tcBorders>
            <w:shd w:val="clear" w:color="auto" w:fill="CCEDFF"/>
          </w:tcPr>
          <w:p>
            <w:pPr>
              <w:pStyle w:val="TableParagraph"/>
              <w:spacing w:before="18"/>
              <w:ind w:right="72"/>
              <w:jc w:val="right"/>
              <w:rPr>
                <w:sz w:val="18"/>
              </w:rPr>
            </w:pPr>
            <w:r>
              <w:rPr>
                <w:spacing w:val="-2"/>
                <w:sz w:val="18"/>
              </w:rPr>
              <w:t>143,003</w:t>
            </w:r>
          </w:p>
        </w:tc>
      </w:tr>
      <w:tr>
        <w:trPr>
          <w:trHeight w:val="250" w:hRule="atLeast"/>
        </w:trPr>
        <w:tc>
          <w:tcPr>
            <w:tcW w:w="3797" w:type="dxa"/>
            <w:tcBorders>
              <w:top w:val="single" w:sz="4" w:space="0" w:color="000000"/>
            </w:tcBorders>
          </w:tcPr>
          <w:p>
            <w:pPr>
              <w:pStyle w:val="TableParagraph"/>
              <w:spacing w:before="13"/>
              <w:ind w:left="277"/>
              <w:rPr>
                <w:sz w:val="18"/>
              </w:rPr>
            </w:pPr>
            <w:r>
              <w:rPr>
                <w:sz w:val="18"/>
              </w:rPr>
              <w:t>Total held to maturity </w:t>
            </w:r>
            <w:r>
              <w:rPr>
                <w:spacing w:val="-2"/>
                <w:sz w:val="18"/>
              </w:rPr>
              <w:t>securities</w:t>
            </w:r>
          </w:p>
        </w:tc>
        <w:tc>
          <w:tcPr>
            <w:tcW w:w="1749" w:type="dxa"/>
            <w:tcBorders>
              <w:top w:val="single" w:sz="4" w:space="0" w:color="000000"/>
            </w:tcBorders>
          </w:tcPr>
          <w:p>
            <w:pPr>
              <w:pStyle w:val="TableParagraph"/>
              <w:spacing w:before="13"/>
              <w:ind w:right="98"/>
              <w:jc w:val="right"/>
              <w:rPr>
                <w:sz w:val="18"/>
              </w:rPr>
            </w:pPr>
            <w:r>
              <w:rPr>
                <w:spacing w:val="-2"/>
                <w:sz w:val="18"/>
              </w:rPr>
              <w:t>162,452</w:t>
            </w:r>
          </w:p>
        </w:tc>
        <w:tc>
          <w:tcPr>
            <w:tcW w:w="1170" w:type="dxa"/>
            <w:tcBorders>
              <w:top w:val="single" w:sz="4" w:space="0" w:color="000000"/>
            </w:tcBorders>
          </w:tcPr>
          <w:p>
            <w:pPr>
              <w:pStyle w:val="TableParagraph"/>
              <w:spacing w:before="13"/>
              <w:ind w:right="98"/>
              <w:jc w:val="right"/>
              <w:rPr>
                <w:sz w:val="18"/>
              </w:rPr>
            </w:pPr>
            <w:r>
              <w:rPr>
                <w:spacing w:val="-10"/>
                <w:sz w:val="18"/>
              </w:rPr>
              <w:t>—</w:t>
            </w:r>
          </w:p>
        </w:tc>
        <w:tc>
          <w:tcPr>
            <w:tcW w:w="1155" w:type="dxa"/>
            <w:tcBorders>
              <w:top w:val="single" w:sz="4" w:space="0" w:color="000000"/>
            </w:tcBorders>
          </w:tcPr>
          <w:p>
            <w:pPr>
              <w:pStyle w:val="TableParagraph"/>
              <w:spacing w:before="13"/>
              <w:ind w:right="98"/>
              <w:jc w:val="right"/>
              <w:rPr>
                <w:sz w:val="18"/>
              </w:rPr>
            </w:pPr>
            <w:r>
              <w:rPr>
                <w:spacing w:val="-2"/>
                <w:sz w:val="18"/>
              </w:rPr>
              <w:t>143,003</w:t>
            </w:r>
          </w:p>
        </w:tc>
        <w:tc>
          <w:tcPr>
            <w:tcW w:w="1418" w:type="dxa"/>
            <w:tcBorders>
              <w:top w:val="single" w:sz="4" w:space="0" w:color="000000"/>
            </w:tcBorders>
          </w:tcPr>
          <w:p>
            <w:pPr>
              <w:pStyle w:val="TableParagraph"/>
              <w:spacing w:before="13"/>
              <w:ind w:left="934"/>
              <w:rPr>
                <w:sz w:val="18"/>
              </w:rPr>
            </w:pPr>
            <w:r>
              <w:rPr>
                <w:spacing w:val="-10"/>
                <w:sz w:val="18"/>
              </w:rPr>
              <w:t>—</w:t>
            </w:r>
          </w:p>
        </w:tc>
        <w:tc>
          <w:tcPr>
            <w:tcW w:w="941" w:type="dxa"/>
            <w:tcBorders>
              <w:top w:val="single" w:sz="4" w:space="0" w:color="000000"/>
            </w:tcBorders>
          </w:tcPr>
          <w:p>
            <w:pPr>
              <w:pStyle w:val="TableParagraph"/>
              <w:spacing w:before="13"/>
              <w:ind w:right="72"/>
              <w:jc w:val="right"/>
              <w:rPr>
                <w:sz w:val="18"/>
              </w:rPr>
            </w:pPr>
            <w:r>
              <w:rPr>
                <w:spacing w:val="-2"/>
                <w:sz w:val="18"/>
              </w:rPr>
              <w:t>143,003</w:t>
            </w:r>
          </w:p>
        </w:tc>
      </w:tr>
      <w:tr>
        <w:trPr>
          <w:trHeight w:val="255" w:hRule="atLeast"/>
        </w:trPr>
        <w:tc>
          <w:tcPr>
            <w:tcW w:w="3797" w:type="dxa"/>
            <w:shd w:val="clear" w:color="auto" w:fill="CCEDFF"/>
          </w:tcPr>
          <w:p>
            <w:pPr>
              <w:pStyle w:val="TableParagraph"/>
              <w:spacing w:before="18"/>
              <w:ind w:left="52"/>
              <w:rPr>
                <w:sz w:val="18"/>
              </w:rPr>
            </w:pPr>
            <w:r>
              <w:rPr>
                <w:sz w:val="18"/>
              </w:rPr>
              <w:t>Bank loans</w:t>
            </w:r>
            <w:r>
              <w:rPr>
                <w:spacing w:val="-1"/>
                <w:sz w:val="18"/>
              </w:rPr>
              <w:t> </w:t>
            </w:r>
            <w:r>
              <w:rPr>
                <w:sz w:val="18"/>
              </w:rPr>
              <w:t>— </w:t>
            </w:r>
            <w:r>
              <w:rPr>
                <w:spacing w:val="-4"/>
                <w:sz w:val="18"/>
              </w:rPr>
              <w:t>net:</w:t>
            </w:r>
          </w:p>
        </w:tc>
        <w:tc>
          <w:tcPr>
            <w:tcW w:w="1749" w:type="dxa"/>
            <w:shd w:val="clear" w:color="auto" w:fill="CCEDFF"/>
          </w:tcPr>
          <w:p>
            <w:pPr>
              <w:pStyle w:val="TableParagraph"/>
              <w:rPr>
                <w:sz w:val="18"/>
              </w:rPr>
            </w:pPr>
          </w:p>
        </w:tc>
        <w:tc>
          <w:tcPr>
            <w:tcW w:w="1170" w:type="dxa"/>
            <w:shd w:val="clear" w:color="auto" w:fill="CCEDFF"/>
          </w:tcPr>
          <w:p>
            <w:pPr>
              <w:pStyle w:val="TableParagraph"/>
              <w:rPr>
                <w:sz w:val="18"/>
              </w:rPr>
            </w:pPr>
          </w:p>
        </w:tc>
        <w:tc>
          <w:tcPr>
            <w:tcW w:w="1155" w:type="dxa"/>
            <w:shd w:val="clear" w:color="auto" w:fill="CCEDFF"/>
          </w:tcPr>
          <w:p>
            <w:pPr>
              <w:pStyle w:val="TableParagraph"/>
              <w:rPr>
                <w:sz w:val="18"/>
              </w:rPr>
            </w:pPr>
          </w:p>
        </w:tc>
        <w:tc>
          <w:tcPr>
            <w:tcW w:w="1418" w:type="dxa"/>
            <w:shd w:val="clear" w:color="auto" w:fill="CCEDFF"/>
          </w:tcPr>
          <w:p>
            <w:pPr>
              <w:pStyle w:val="TableParagraph"/>
              <w:rPr>
                <w:sz w:val="18"/>
              </w:rPr>
            </w:pPr>
          </w:p>
        </w:tc>
        <w:tc>
          <w:tcPr>
            <w:tcW w:w="941" w:type="dxa"/>
            <w:shd w:val="clear" w:color="auto" w:fill="CCEDFF"/>
          </w:tcPr>
          <w:p>
            <w:pPr>
              <w:pStyle w:val="TableParagraph"/>
              <w:rPr>
                <w:sz w:val="18"/>
              </w:rPr>
            </w:pPr>
          </w:p>
        </w:tc>
      </w:tr>
      <w:tr>
        <w:trPr>
          <w:trHeight w:val="255" w:hRule="atLeast"/>
        </w:trPr>
        <w:tc>
          <w:tcPr>
            <w:tcW w:w="3797" w:type="dxa"/>
          </w:tcPr>
          <w:p>
            <w:pPr>
              <w:pStyle w:val="TableParagraph"/>
              <w:spacing w:before="18"/>
              <w:ind w:left="187"/>
              <w:rPr>
                <w:sz w:val="18"/>
              </w:rPr>
            </w:pPr>
            <w:r>
              <w:rPr>
                <w:sz w:val="18"/>
              </w:rPr>
              <w:t>First</w:t>
            </w:r>
            <w:r>
              <w:rPr>
                <w:spacing w:val="-2"/>
                <w:sz w:val="18"/>
              </w:rPr>
              <w:t> Mortgages</w:t>
            </w:r>
          </w:p>
        </w:tc>
        <w:tc>
          <w:tcPr>
            <w:tcW w:w="1749" w:type="dxa"/>
          </w:tcPr>
          <w:p>
            <w:pPr>
              <w:pStyle w:val="TableParagraph"/>
              <w:spacing w:before="18"/>
              <w:ind w:right="98"/>
              <w:jc w:val="right"/>
              <w:rPr>
                <w:sz w:val="18"/>
              </w:rPr>
            </w:pPr>
            <w:r>
              <w:rPr>
                <w:spacing w:val="-2"/>
                <w:sz w:val="18"/>
              </w:rPr>
              <w:t>26,009</w:t>
            </w:r>
          </w:p>
        </w:tc>
        <w:tc>
          <w:tcPr>
            <w:tcW w:w="1170" w:type="dxa"/>
          </w:tcPr>
          <w:p>
            <w:pPr>
              <w:pStyle w:val="TableParagraph"/>
              <w:spacing w:before="18"/>
              <w:ind w:right="98"/>
              <w:jc w:val="right"/>
              <w:rPr>
                <w:sz w:val="18"/>
              </w:rPr>
            </w:pPr>
            <w:r>
              <w:rPr>
                <w:spacing w:val="-10"/>
                <w:sz w:val="18"/>
              </w:rPr>
              <w:t>—</w:t>
            </w:r>
          </w:p>
        </w:tc>
        <w:tc>
          <w:tcPr>
            <w:tcW w:w="1155" w:type="dxa"/>
          </w:tcPr>
          <w:p>
            <w:pPr>
              <w:pStyle w:val="TableParagraph"/>
              <w:spacing w:before="18"/>
              <w:ind w:right="98"/>
              <w:jc w:val="right"/>
              <w:rPr>
                <w:sz w:val="18"/>
              </w:rPr>
            </w:pPr>
            <w:r>
              <w:rPr>
                <w:spacing w:val="-2"/>
                <w:sz w:val="18"/>
              </w:rPr>
              <w:t>22,420</w:t>
            </w:r>
          </w:p>
        </w:tc>
        <w:tc>
          <w:tcPr>
            <w:tcW w:w="1418" w:type="dxa"/>
          </w:tcPr>
          <w:p>
            <w:pPr>
              <w:pStyle w:val="TableParagraph"/>
              <w:spacing w:before="18"/>
              <w:ind w:left="934"/>
              <w:rPr>
                <w:sz w:val="18"/>
              </w:rPr>
            </w:pPr>
            <w:r>
              <w:rPr>
                <w:spacing w:val="-10"/>
                <w:sz w:val="18"/>
              </w:rPr>
              <w:t>—</w:t>
            </w:r>
          </w:p>
        </w:tc>
        <w:tc>
          <w:tcPr>
            <w:tcW w:w="941" w:type="dxa"/>
          </w:tcPr>
          <w:p>
            <w:pPr>
              <w:pStyle w:val="TableParagraph"/>
              <w:spacing w:before="18"/>
              <w:ind w:right="72"/>
              <w:jc w:val="right"/>
              <w:rPr>
                <w:sz w:val="18"/>
              </w:rPr>
            </w:pPr>
            <w:r>
              <w:rPr>
                <w:spacing w:val="-2"/>
                <w:sz w:val="18"/>
              </w:rPr>
              <w:t>22,420</w:t>
            </w:r>
          </w:p>
        </w:tc>
      </w:tr>
      <w:tr>
        <w:trPr>
          <w:trHeight w:val="255" w:hRule="atLeast"/>
        </w:trPr>
        <w:tc>
          <w:tcPr>
            <w:tcW w:w="3797" w:type="dxa"/>
            <w:shd w:val="clear" w:color="auto" w:fill="CCEDFF"/>
          </w:tcPr>
          <w:p>
            <w:pPr>
              <w:pStyle w:val="TableParagraph"/>
              <w:spacing w:before="18"/>
              <w:ind w:left="187"/>
              <w:rPr>
                <w:sz w:val="18"/>
              </w:rPr>
            </w:pPr>
            <w:r>
              <w:rPr>
                <w:spacing w:val="-2"/>
                <w:sz w:val="18"/>
              </w:rPr>
              <w:t>HELOCs</w:t>
            </w:r>
          </w:p>
        </w:tc>
        <w:tc>
          <w:tcPr>
            <w:tcW w:w="1749" w:type="dxa"/>
            <w:shd w:val="clear" w:color="auto" w:fill="CCEDFF"/>
          </w:tcPr>
          <w:p>
            <w:pPr>
              <w:pStyle w:val="TableParagraph"/>
              <w:spacing w:before="18"/>
              <w:ind w:right="98"/>
              <w:jc w:val="right"/>
              <w:rPr>
                <w:sz w:val="18"/>
              </w:rPr>
            </w:pPr>
            <w:r>
              <w:rPr>
                <w:spacing w:val="-5"/>
                <w:sz w:val="18"/>
              </w:rPr>
              <w:t>491</w:t>
            </w:r>
          </w:p>
        </w:tc>
        <w:tc>
          <w:tcPr>
            <w:tcW w:w="1170" w:type="dxa"/>
            <w:shd w:val="clear" w:color="auto" w:fill="CCEDFF"/>
          </w:tcPr>
          <w:p>
            <w:pPr>
              <w:pStyle w:val="TableParagraph"/>
              <w:spacing w:before="18"/>
              <w:ind w:right="98"/>
              <w:jc w:val="right"/>
              <w:rPr>
                <w:sz w:val="18"/>
              </w:rPr>
            </w:pPr>
            <w:r>
              <w:rPr>
                <w:spacing w:val="-10"/>
                <w:sz w:val="18"/>
              </w:rPr>
              <w:t>—</w:t>
            </w:r>
          </w:p>
        </w:tc>
        <w:tc>
          <w:tcPr>
            <w:tcW w:w="1155" w:type="dxa"/>
            <w:shd w:val="clear" w:color="auto" w:fill="CCEDFF"/>
          </w:tcPr>
          <w:p>
            <w:pPr>
              <w:pStyle w:val="TableParagraph"/>
              <w:spacing w:before="18"/>
              <w:ind w:right="98"/>
              <w:jc w:val="right"/>
              <w:rPr>
                <w:sz w:val="18"/>
              </w:rPr>
            </w:pPr>
            <w:r>
              <w:rPr>
                <w:spacing w:val="-5"/>
                <w:sz w:val="18"/>
              </w:rPr>
              <w:t>545</w:t>
            </w:r>
          </w:p>
        </w:tc>
        <w:tc>
          <w:tcPr>
            <w:tcW w:w="1418" w:type="dxa"/>
            <w:shd w:val="clear" w:color="auto" w:fill="CCEDFF"/>
          </w:tcPr>
          <w:p>
            <w:pPr>
              <w:pStyle w:val="TableParagraph"/>
              <w:spacing w:before="18"/>
              <w:ind w:left="934"/>
              <w:rPr>
                <w:sz w:val="18"/>
              </w:rPr>
            </w:pPr>
            <w:r>
              <w:rPr>
                <w:spacing w:val="-10"/>
                <w:sz w:val="18"/>
              </w:rPr>
              <w:t>—</w:t>
            </w:r>
          </w:p>
        </w:tc>
        <w:tc>
          <w:tcPr>
            <w:tcW w:w="941" w:type="dxa"/>
            <w:shd w:val="clear" w:color="auto" w:fill="CCEDFF"/>
          </w:tcPr>
          <w:p>
            <w:pPr>
              <w:pStyle w:val="TableParagraph"/>
              <w:spacing w:before="18"/>
              <w:ind w:right="72"/>
              <w:jc w:val="right"/>
              <w:rPr>
                <w:sz w:val="18"/>
              </w:rPr>
            </w:pPr>
            <w:r>
              <w:rPr>
                <w:spacing w:val="-5"/>
                <w:sz w:val="18"/>
              </w:rPr>
              <w:t>545</w:t>
            </w:r>
          </w:p>
        </w:tc>
      </w:tr>
      <w:tr>
        <w:trPr>
          <w:trHeight w:val="255" w:hRule="atLeast"/>
        </w:trPr>
        <w:tc>
          <w:tcPr>
            <w:tcW w:w="3797" w:type="dxa"/>
          </w:tcPr>
          <w:p>
            <w:pPr>
              <w:pStyle w:val="TableParagraph"/>
              <w:spacing w:before="18"/>
              <w:ind w:left="187"/>
              <w:rPr>
                <w:sz w:val="18"/>
              </w:rPr>
            </w:pPr>
            <w:r>
              <w:rPr>
                <w:sz w:val="18"/>
              </w:rPr>
              <w:t>Pledged</w:t>
            </w:r>
            <w:r>
              <w:rPr>
                <w:spacing w:val="-2"/>
                <w:sz w:val="18"/>
              </w:rPr>
              <w:t> </w:t>
            </w:r>
            <w:r>
              <w:rPr>
                <w:sz w:val="18"/>
              </w:rPr>
              <w:t>asset</w:t>
            </w:r>
            <w:r>
              <w:rPr>
                <w:spacing w:val="-1"/>
                <w:sz w:val="18"/>
              </w:rPr>
              <w:t> </w:t>
            </w:r>
            <w:r>
              <w:rPr>
                <w:spacing w:val="-2"/>
                <w:sz w:val="18"/>
              </w:rPr>
              <w:t>lines</w:t>
            </w:r>
          </w:p>
        </w:tc>
        <w:tc>
          <w:tcPr>
            <w:tcW w:w="1749" w:type="dxa"/>
          </w:tcPr>
          <w:p>
            <w:pPr>
              <w:pStyle w:val="TableParagraph"/>
              <w:spacing w:before="18"/>
              <w:ind w:right="98"/>
              <w:jc w:val="right"/>
              <w:rPr>
                <w:sz w:val="18"/>
              </w:rPr>
            </w:pPr>
            <w:r>
              <w:rPr>
                <w:spacing w:val="-2"/>
                <w:sz w:val="18"/>
              </w:rPr>
              <w:t>13,538</w:t>
            </w:r>
          </w:p>
        </w:tc>
        <w:tc>
          <w:tcPr>
            <w:tcW w:w="1170" w:type="dxa"/>
          </w:tcPr>
          <w:p>
            <w:pPr>
              <w:pStyle w:val="TableParagraph"/>
              <w:spacing w:before="18"/>
              <w:ind w:right="98"/>
              <w:jc w:val="right"/>
              <w:rPr>
                <w:sz w:val="18"/>
              </w:rPr>
            </w:pPr>
            <w:r>
              <w:rPr>
                <w:spacing w:val="-10"/>
                <w:sz w:val="18"/>
              </w:rPr>
              <w:t>—</w:t>
            </w:r>
          </w:p>
        </w:tc>
        <w:tc>
          <w:tcPr>
            <w:tcW w:w="1155" w:type="dxa"/>
          </w:tcPr>
          <w:p>
            <w:pPr>
              <w:pStyle w:val="TableParagraph"/>
              <w:spacing w:before="18"/>
              <w:ind w:right="98"/>
              <w:jc w:val="right"/>
              <w:rPr>
                <w:sz w:val="18"/>
              </w:rPr>
            </w:pPr>
            <w:r>
              <w:rPr>
                <w:spacing w:val="-2"/>
                <w:sz w:val="18"/>
              </w:rPr>
              <w:t>13,538</w:t>
            </w:r>
          </w:p>
        </w:tc>
        <w:tc>
          <w:tcPr>
            <w:tcW w:w="1418" w:type="dxa"/>
          </w:tcPr>
          <w:p>
            <w:pPr>
              <w:pStyle w:val="TableParagraph"/>
              <w:spacing w:before="18"/>
              <w:ind w:left="934"/>
              <w:rPr>
                <w:sz w:val="18"/>
              </w:rPr>
            </w:pPr>
            <w:r>
              <w:rPr>
                <w:spacing w:val="-10"/>
                <w:sz w:val="18"/>
              </w:rPr>
              <w:t>—</w:t>
            </w:r>
          </w:p>
        </w:tc>
        <w:tc>
          <w:tcPr>
            <w:tcW w:w="941" w:type="dxa"/>
          </w:tcPr>
          <w:p>
            <w:pPr>
              <w:pStyle w:val="TableParagraph"/>
              <w:spacing w:before="18"/>
              <w:ind w:right="72"/>
              <w:jc w:val="right"/>
              <w:rPr>
                <w:sz w:val="18"/>
              </w:rPr>
            </w:pPr>
            <w:r>
              <w:rPr>
                <w:spacing w:val="-2"/>
                <w:sz w:val="18"/>
              </w:rPr>
              <w:t>13,538</w:t>
            </w:r>
          </w:p>
        </w:tc>
      </w:tr>
      <w:tr>
        <w:trPr>
          <w:trHeight w:val="250" w:hRule="atLeast"/>
        </w:trPr>
        <w:tc>
          <w:tcPr>
            <w:tcW w:w="3797" w:type="dxa"/>
            <w:tcBorders>
              <w:bottom w:val="single" w:sz="4" w:space="0" w:color="000000"/>
            </w:tcBorders>
            <w:shd w:val="clear" w:color="auto" w:fill="CCEDFF"/>
          </w:tcPr>
          <w:p>
            <w:pPr>
              <w:pStyle w:val="TableParagraph"/>
              <w:spacing w:before="18"/>
              <w:ind w:left="187"/>
              <w:rPr>
                <w:sz w:val="18"/>
              </w:rPr>
            </w:pPr>
            <w:r>
              <w:rPr>
                <w:spacing w:val="-2"/>
                <w:sz w:val="18"/>
              </w:rPr>
              <w:t>Other</w:t>
            </w:r>
          </w:p>
        </w:tc>
        <w:tc>
          <w:tcPr>
            <w:tcW w:w="1749" w:type="dxa"/>
            <w:tcBorders>
              <w:bottom w:val="single" w:sz="4" w:space="0" w:color="000000"/>
            </w:tcBorders>
            <w:shd w:val="clear" w:color="auto" w:fill="CCEDFF"/>
          </w:tcPr>
          <w:p>
            <w:pPr>
              <w:pStyle w:val="TableParagraph"/>
              <w:spacing w:before="18"/>
              <w:ind w:right="98"/>
              <w:jc w:val="right"/>
              <w:rPr>
                <w:sz w:val="18"/>
              </w:rPr>
            </w:pPr>
            <w:r>
              <w:rPr>
                <w:spacing w:val="-5"/>
                <w:sz w:val="18"/>
              </w:rPr>
              <w:t>289</w:t>
            </w:r>
          </w:p>
        </w:tc>
        <w:tc>
          <w:tcPr>
            <w:tcW w:w="1170" w:type="dxa"/>
            <w:tcBorders>
              <w:bottom w:val="single" w:sz="4" w:space="0" w:color="000000"/>
            </w:tcBorders>
            <w:shd w:val="clear" w:color="auto" w:fill="CCEDFF"/>
          </w:tcPr>
          <w:p>
            <w:pPr>
              <w:pStyle w:val="TableParagraph"/>
              <w:spacing w:before="18"/>
              <w:ind w:right="98"/>
              <w:jc w:val="right"/>
              <w:rPr>
                <w:sz w:val="18"/>
              </w:rPr>
            </w:pPr>
            <w:r>
              <w:rPr>
                <w:spacing w:val="-10"/>
                <w:sz w:val="18"/>
              </w:rPr>
              <w:t>—</w:t>
            </w:r>
          </w:p>
        </w:tc>
        <w:tc>
          <w:tcPr>
            <w:tcW w:w="1155" w:type="dxa"/>
            <w:tcBorders>
              <w:bottom w:val="single" w:sz="4" w:space="0" w:color="000000"/>
            </w:tcBorders>
            <w:shd w:val="clear" w:color="auto" w:fill="CCEDFF"/>
          </w:tcPr>
          <w:p>
            <w:pPr>
              <w:pStyle w:val="TableParagraph"/>
              <w:spacing w:before="18"/>
              <w:ind w:right="98"/>
              <w:jc w:val="right"/>
              <w:rPr>
                <w:sz w:val="18"/>
              </w:rPr>
            </w:pPr>
            <w:r>
              <w:rPr>
                <w:spacing w:val="-5"/>
                <w:sz w:val="18"/>
              </w:rPr>
              <w:t>289</w:t>
            </w:r>
          </w:p>
        </w:tc>
        <w:tc>
          <w:tcPr>
            <w:tcW w:w="1418" w:type="dxa"/>
            <w:tcBorders>
              <w:bottom w:val="single" w:sz="4" w:space="0" w:color="000000"/>
            </w:tcBorders>
            <w:shd w:val="clear" w:color="auto" w:fill="CCEDFF"/>
          </w:tcPr>
          <w:p>
            <w:pPr>
              <w:pStyle w:val="TableParagraph"/>
              <w:spacing w:before="18"/>
              <w:ind w:left="934"/>
              <w:rPr>
                <w:sz w:val="18"/>
              </w:rPr>
            </w:pPr>
            <w:r>
              <w:rPr>
                <w:spacing w:val="-10"/>
                <w:sz w:val="18"/>
              </w:rPr>
              <w:t>—</w:t>
            </w:r>
          </w:p>
        </w:tc>
        <w:tc>
          <w:tcPr>
            <w:tcW w:w="941" w:type="dxa"/>
            <w:tcBorders>
              <w:bottom w:val="single" w:sz="4" w:space="0" w:color="000000"/>
            </w:tcBorders>
            <w:shd w:val="clear" w:color="auto" w:fill="CCEDFF"/>
          </w:tcPr>
          <w:p>
            <w:pPr>
              <w:pStyle w:val="TableParagraph"/>
              <w:spacing w:before="18"/>
              <w:ind w:right="72"/>
              <w:jc w:val="right"/>
              <w:rPr>
                <w:sz w:val="18"/>
              </w:rPr>
            </w:pPr>
            <w:r>
              <w:rPr>
                <w:spacing w:val="-5"/>
                <w:sz w:val="18"/>
              </w:rPr>
              <w:t>289</w:t>
            </w:r>
          </w:p>
        </w:tc>
      </w:tr>
      <w:tr>
        <w:trPr>
          <w:trHeight w:val="250" w:hRule="atLeast"/>
        </w:trPr>
        <w:tc>
          <w:tcPr>
            <w:tcW w:w="3797" w:type="dxa"/>
            <w:tcBorders>
              <w:top w:val="single" w:sz="4" w:space="0" w:color="000000"/>
            </w:tcBorders>
          </w:tcPr>
          <w:p>
            <w:pPr>
              <w:pStyle w:val="TableParagraph"/>
              <w:spacing w:before="13"/>
              <w:ind w:left="277"/>
              <w:rPr>
                <w:sz w:val="18"/>
              </w:rPr>
            </w:pPr>
            <w:r>
              <w:rPr>
                <w:sz w:val="18"/>
              </w:rPr>
              <w:t>Total bank loans</w:t>
            </w:r>
            <w:r>
              <w:rPr>
                <w:spacing w:val="-1"/>
                <w:sz w:val="18"/>
              </w:rPr>
              <w:t> </w:t>
            </w:r>
            <w:r>
              <w:rPr>
                <w:sz w:val="18"/>
              </w:rPr>
              <w:t>— </w:t>
            </w:r>
            <w:r>
              <w:rPr>
                <w:spacing w:val="-5"/>
                <w:sz w:val="18"/>
              </w:rPr>
              <w:t>net</w:t>
            </w:r>
          </w:p>
        </w:tc>
        <w:tc>
          <w:tcPr>
            <w:tcW w:w="1749" w:type="dxa"/>
            <w:tcBorders>
              <w:top w:val="single" w:sz="4" w:space="0" w:color="000000"/>
            </w:tcBorders>
          </w:tcPr>
          <w:p>
            <w:pPr>
              <w:pStyle w:val="TableParagraph"/>
              <w:spacing w:before="13"/>
              <w:ind w:right="98"/>
              <w:jc w:val="right"/>
              <w:rPr>
                <w:sz w:val="18"/>
              </w:rPr>
            </w:pPr>
            <w:r>
              <w:rPr>
                <w:spacing w:val="-2"/>
                <w:sz w:val="18"/>
              </w:rPr>
              <w:t>40,327</w:t>
            </w:r>
          </w:p>
        </w:tc>
        <w:tc>
          <w:tcPr>
            <w:tcW w:w="1170" w:type="dxa"/>
            <w:tcBorders>
              <w:top w:val="single" w:sz="4" w:space="0" w:color="000000"/>
            </w:tcBorders>
          </w:tcPr>
          <w:p>
            <w:pPr>
              <w:pStyle w:val="TableParagraph"/>
              <w:spacing w:before="13"/>
              <w:ind w:right="98"/>
              <w:jc w:val="right"/>
              <w:rPr>
                <w:sz w:val="18"/>
              </w:rPr>
            </w:pPr>
            <w:r>
              <w:rPr>
                <w:spacing w:val="-10"/>
                <w:sz w:val="18"/>
              </w:rPr>
              <w:t>—</w:t>
            </w:r>
          </w:p>
        </w:tc>
        <w:tc>
          <w:tcPr>
            <w:tcW w:w="1155" w:type="dxa"/>
            <w:tcBorders>
              <w:top w:val="single" w:sz="4" w:space="0" w:color="000000"/>
            </w:tcBorders>
          </w:tcPr>
          <w:p>
            <w:pPr>
              <w:pStyle w:val="TableParagraph"/>
              <w:spacing w:before="13"/>
              <w:ind w:right="98"/>
              <w:jc w:val="right"/>
              <w:rPr>
                <w:sz w:val="18"/>
              </w:rPr>
            </w:pPr>
            <w:r>
              <w:rPr>
                <w:spacing w:val="-2"/>
                <w:sz w:val="18"/>
              </w:rPr>
              <w:t>36,792</w:t>
            </w:r>
          </w:p>
        </w:tc>
        <w:tc>
          <w:tcPr>
            <w:tcW w:w="1418" w:type="dxa"/>
            <w:tcBorders>
              <w:top w:val="single" w:sz="4" w:space="0" w:color="000000"/>
            </w:tcBorders>
          </w:tcPr>
          <w:p>
            <w:pPr>
              <w:pStyle w:val="TableParagraph"/>
              <w:spacing w:before="13"/>
              <w:ind w:left="934"/>
              <w:rPr>
                <w:sz w:val="18"/>
              </w:rPr>
            </w:pPr>
            <w:r>
              <w:rPr>
                <w:spacing w:val="-10"/>
                <w:sz w:val="18"/>
              </w:rPr>
              <w:t>—</w:t>
            </w:r>
          </w:p>
        </w:tc>
        <w:tc>
          <w:tcPr>
            <w:tcW w:w="941" w:type="dxa"/>
            <w:tcBorders>
              <w:top w:val="single" w:sz="4" w:space="0" w:color="000000"/>
            </w:tcBorders>
          </w:tcPr>
          <w:p>
            <w:pPr>
              <w:pStyle w:val="TableParagraph"/>
              <w:spacing w:before="13"/>
              <w:ind w:right="72"/>
              <w:jc w:val="right"/>
              <w:rPr>
                <w:sz w:val="18"/>
              </w:rPr>
            </w:pPr>
            <w:r>
              <w:rPr>
                <w:spacing w:val="-2"/>
                <w:sz w:val="18"/>
              </w:rPr>
              <w:t>36,792</w:t>
            </w:r>
          </w:p>
        </w:tc>
      </w:tr>
      <w:tr>
        <w:trPr>
          <w:trHeight w:val="250" w:hRule="atLeast"/>
        </w:trPr>
        <w:tc>
          <w:tcPr>
            <w:tcW w:w="3797" w:type="dxa"/>
            <w:tcBorders>
              <w:bottom w:val="single" w:sz="4" w:space="0" w:color="000000"/>
            </w:tcBorders>
            <w:shd w:val="clear" w:color="auto" w:fill="CCEDFF"/>
          </w:tcPr>
          <w:p>
            <w:pPr>
              <w:pStyle w:val="TableParagraph"/>
              <w:spacing w:before="18"/>
              <w:ind w:left="52"/>
              <w:rPr>
                <w:sz w:val="18"/>
              </w:rPr>
            </w:pPr>
            <w:r>
              <w:rPr>
                <w:sz w:val="18"/>
              </w:rPr>
              <w:t>Other</w:t>
            </w:r>
            <w:r>
              <w:rPr>
                <w:spacing w:val="-1"/>
                <w:sz w:val="18"/>
              </w:rPr>
              <w:t> </w:t>
            </w:r>
            <w:r>
              <w:rPr>
                <w:spacing w:val="-2"/>
                <w:sz w:val="18"/>
              </w:rPr>
              <w:t>assets</w:t>
            </w:r>
          </w:p>
        </w:tc>
        <w:tc>
          <w:tcPr>
            <w:tcW w:w="1749" w:type="dxa"/>
            <w:tcBorders>
              <w:bottom w:val="single" w:sz="4" w:space="0" w:color="000000"/>
            </w:tcBorders>
            <w:shd w:val="clear" w:color="auto" w:fill="CCEDFF"/>
          </w:tcPr>
          <w:p>
            <w:pPr>
              <w:pStyle w:val="TableParagraph"/>
              <w:spacing w:before="18"/>
              <w:ind w:right="98"/>
              <w:jc w:val="right"/>
              <w:rPr>
                <w:sz w:val="18"/>
              </w:rPr>
            </w:pPr>
            <w:r>
              <w:rPr>
                <w:spacing w:val="-2"/>
                <w:sz w:val="18"/>
              </w:rPr>
              <w:t>5,105</w:t>
            </w:r>
          </w:p>
        </w:tc>
        <w:tc>
          <w:tcPr>
            <w:tcW w:w="2325" w:type="dxa"/>
            <w:gridSpan w:val="2"/>
            <w:tcBorders>
              <w:bottom w:val="single" w:sz="4" w:space="0" w:color="000000"/>
            </w:tcBorders>
            <w:shd w:val="clear" w:color="auto" w:fill="CCEDFF"/>
          </w:tcPr>
          <w:p>
            <w:pPr>
              <w:pStyle w:val="TableParagraph"/>
              <w:tabs>
                <w:tab w:pos="1819" w:val="left" w:leader="none"/>
              </w:tabs>
              <w:spacing w:before="18"/>
              <w:ind w:left="889"/>
              <w:rPr>
                <w:sz w:val="18"/>
              </w:rPr>
            </w:pPr>
            <w:r>
              <w:rPr>
                <w:spacing w:val="-10"/>
                <w:sz w:val="18"/>
              </w:rPr>
              <w:t>—</w:t>
            </w:r>
            <w:r>
              <w:rPr>
                <w:sz w:val="18"/>
              </w:rPr>
              <w:tab/>
            </w:r>
            <w:r>
              <w:rPr>
                <w:spacing w:val="-2"/>
                <w:sz w:val="18"/>
              </w:rPr>
              <w:t>5,105</w:t>
            </w:r>
          </w:p>
        </w:tc>
        <w:tc>
          <w:tcPr>
            <w:tcW w:w="2359" w:type="dxa"/>
            <w:gridSpan w:val="2"/>
            <w:tcBorders>
              <w:bottom w:val="single" w:sz="4" w:space="0" w:color="000000"/>
            </w:tcBorders>
            <w:shd w:val="clear" w:color="auto" w:fill="CCEDFF"/>
          </w:tcPr>
          <w:p>
            <w:pPr>
              <w:pStyle w:val="TableParagraph"/>
              <w:tabs>
                <w:tab w:pos="1879" w:val="left" w:leader="none"/>
              </w:tabs>
              <w:spacing w:before="18"/>
              <w:ind w:left="934"/>
              <w:rPr>
                <w:sz w:val="18"/>
              </w:rPr>
            </w:pPr>
            <w:r>
              <w:rPr>
                <w:spacing w:val="-10"/>
                <w:sz w:val="18"/>
              </w:rPr>
              <w:t>—</w:t>
            </w:r>
            <w:r>
              <w:rPr>
                <w:sz w:val="18"/>
              </w:rPr>
              <w:tab/>
            </w:r>
            <w:r>
              <w:rPr>
                <w:spacing w:val="-2"/>
                <w:sz w:val="18"/>
              </w:rPr>
              <w:t>5,105</w:t>
            </w:r>
          </w:p>
        </w:tc>
      </w:tr>
      <w:tr>
        <w:trPr>
          <w:trHeight w:val="250" w:hRule="atLeast"/>
        </w:trPr>
        <w:tc>
          <w:tcPr>
            <w:tcW w:w="3797" w:type="dxa"/>
            <w:tcBorders>
              <w:top w:val="single" w:sz="4" w:space="0" w:color="000000"/>
            </w:tcBorders>
          </w:tcPr>
          <w:p>
            <w:pPr>
              <w:pStyle w:val="TableParagraph"/>
              <w:spacing w:before="13"/>
              <w:ind w:left="52"/>
              <w:rPr>
                <w:b/>
                <w:sz w:val="18"/>
              </w:rPr>
            </w:pPr>
            <w:r>
              <w:rPr>
                <w:b/>
                <w:spacing w:val="-2"/>
                <w:sz w:val="18"/>
              </w:rPr>
              <w:t>Liabilities</w:t>
            </w:r>
          </w:p>
        </w:tc>
        <w:tc>
          <w:tcPr>
            <w:tcW w:w="1749" w:type="dxa"/>
            <w:tcBorders>
              <w:top w:val="single" w:sz="4" w:space="0" w:color="000000"/>
            </w:tcBorders>
          </w:tcPr>
          <w:p>
            <w:pPr>
              <w:pStyle w:val="TableParagraph"/>
              <w:rPr>
                <w:sz w:val="18"/>
              </w:rPr>
            </w:pPr>
          </w:p>
        </w:tc>
        <w:tc>
          <w:tcPr>
            <w:tcW w:w="2325" w:type="dxa"/>
            <w:gridSpan w:val="2"/>
            <w:tcBorders>
              <w:top w:val="single" w:sz="4" w:space="0" w:color="000000"/>
            </w:tcBorders>
          </w:tcPr>
          <w:p>
            <w:pPr>
              <w:pStyle w:val="TableParagraph"/>
              <w:rPr>
                <w:sz w:val="18"/>
              </w:rPr>
            </w:pPr>
          </w:p>
        </w:tc>
        <w:tc>
          <w:tcPr>
            <w:tcW w:w="2359" w:type="dxa"/>
            <w:gridSpan w:val="2"/>
            <w:tcBorders>
              <w:top w:val="single" w:sz="4" w:space="0" w:color="000000"/>
            </w:tcBorders>
          </w:tcPr>
          <w:p>
            <w:pPr>
              <w:pStyle w:val="TableParagraph"/>
              <w:rPr>
                <w:sz w:val="18"/>
              </w:rPr>
            </w:pPr>
          </w:p>
        </w:tc>
      </w:tr>
      <w:tr>
        <w:trPr>
          <w:trHeight w:val="255" w:hRule="atLeast"/>
        </w:trPr>
        <w:tc>
          <w:tcPr>
            <w:tcW w:w="3797" w:type="dxa"/>
            <w:shd w:val="clear" w:color="auto" w:fill="CCEDFF"/>
          </w:tcPr>
          <w:p>
            <w:pPr>
              <w:pStyle w:val="TableParagraph"/>
              <w:spacing w:before="18"/>
              <w:ind w:left="52"/>
              <w:rPr>
                <w:sz w:val="18"/>
              </w:rPr>
            </w:pPr>
            <w:r>
              <w:rPr>
                <w:sz w:val="18"/>
              </w:rPr>
              <w:t>Bank </w:t>
            </w:r>
            <w:r>
              <w:rPr>
                <w:spacing w:val="-2"/>
                <w:sz w:val="18"/>
              </w:rPr>
              <w:t>deposits</w:t>
            </w:r>
          </w:p>
        </w:tc>
        <w:tc>
          <w:tcPr>
            <w:tcW w:w="1749" w:type="dxa"/>
            <w:shd w:val="clear" w:color="auto" w:fill="CCEDFF"/>
          </w:tcPr>
          <w:p>
            <w:pPr>
              <w:pStyle w:val="TableParagraph"/>
              <w:tabs>
                <w:tab w:pos="352" w:val="left" w:leader="none"/>
              </w:tabs>
              <w:spacing w:before="18"/>
              <w:ind w:right="98"/>
              <w:jc w:val="right"/>
              <w:rPr>
                <w:sz w:val="18"/>
              </w:rPr>
            </w:pPr>
            <w:r>
              <w:rPr>
                <w:spacing w:val="-10"/>
                <w:sz w:val="18"/>
              </w:rPr>
              <w:t>$</w:t>
            </w:r>
            <w:r>
              <w:rPr>
                <w:sz w:val="18"/>
              </w:rPr>
              <w:tab/>
            </w:r>
            <w:r>
              <w:rPr>
                <w:spacing w:val="-2"/>
                <w:sz w:val="18"/>
              </w:rPr>
              <w:t>284,408</w:t>
            </w:r>
          </w:p>
        </w:tc>
        <w:tc>
          <w:tcPr>
            <w:tcW w:w="2325" w:type="dxa"/>
            <w:gridSpan w:val="2"/>
            <w:shd w:val="clear" w:color="auto" w:fill="CCEDFF"/>
          </w:tcPr>
          <w:p>
            <w:pPr>
              <w:pStyle w:val="TableParagraph"/>
              <w:tabs>
                <w:tab w:pos="889" w:val="left" w:leader="none"/>
                <w:tab w:pos="1271" w:val="left" w:leader="none"/>
                <w:tab w:pos="1639" w:val="left" w:leader="none"/>
              </w:tabs>
              <w:spacing w:before="18"/>
              <w:ind w:left="101"/>
              <w:rPr>
                <w:sz w:val="18"/>
              </w:rPr>
            </w:pPr>
            <w:r>
              <w:rPr>
                <w:spacing w:val="-10"/>
                <w:sz w:val="18"/>
              </w:rPr>
              <w:t>$</w:t>
            </w:r>
            <w:r>
              <w:rPr>
                <w:sz w:val="18"/>
              </w:rPr>
              <w:tab/>
            </w:r>
            <w:r>
              <w:rPr>
                <w:spacing w:val="-10"/>
                <w:sz w:val="18"/>
              </w:rPr>
              <w:t>—</w:t>
            </w:r>
            <w:r>
              <w:rPr>
                <w:sz w:val="18"/>
              </w:rPr>
              <w:tab/>
            </w:r>
            <w:r>
              <w:rPr>
                <w:spacing w:val="-10"/>
                <w:sz w:val="18"/>
              </w:rPr>
              <w:t>$</w:t>
            </w:r>
            <w:r>
              <w:rPr>
                <w:sz w:val="18"/>
              </w:rPr>
              <w:tab/>
            </w:r>
            <w:r>
              <w:rPr>
                <w:spacing w:val="-2"/>
                <w:sz w:val="18"/>
              </w:rPr>
              <w:t>284,408</w:t>
            </w:r>
          </w:p>
        </w:tc>
        <w:tc>
          <w:tcPr>
            <w:tcW w:w="2359" w:type="dxa"/>
            <w:gridSpan w:val="2"/>
            <w:shd w:val="clear" w:color="auto" w:fill="CCEDFF"/>
          </w:tcPr>
          <w:p>
            <w:pPr>
              <w:pStyle w:val="TableParagraph"/>
              <w:tabs>
                <w:tab w:pos="934" w:val="left" w:leader="none"/>
                <w:tab w:pos="1316" w:val="left" w:leader="none"/>
                <w:tab w:pos="1699" w:val="left" w:leader="none"/>
              </w:tabs>
              <w:spacing w:before="18"/>
              <w:ind w:left="101"/>
              <w:rPr>
                <w:sz w:val="18"/>
              </w:rPr>
            </w:pPr>
            <w:r>
              <w:rPr>
                <w:spacing w:val="-10"/>
                <w:sz w:val="18"/>
              </w:rPr>
              <w:t>$</w:t>
            </w:r>
            <w:r>
              <w:rPr>
                <w:sz w:val="18"/>
              </w:rPr>
              <w:tab/>
            </w:r>
            <w:r>
              <w:rPr>
                <w:spacing w:val="-10"/>
                <w:sz w:val="18"/>
              </w:rPr>
              <w:t>—</w:t>
            </w:r>
            <w:r>
              <w:rPr>
                <w:sz w:val="18"/>
              </w:rPr>
              <w:tab/>
            </w:r>
            <w:r>
              <w:rPr>
                <w:spacing w:val="-10"/>
                <w:sz w:val="18"/>
              </w:rPr>
              <w:t>$</w:t>
            </w:r>
            <w:r>
              <w:rPr>
                <w:sz w:val="18"/>
              </w:rPr>
              <w:tab/>
            </w:r>
            <w:r>
              <w:rPr>
                <w:spacing w:val="-2"/>
                <w:sz w:val="18"/>
              </w:rPr>
              <w:t>284,408</w:t>
            </w:r>
          </w:p>
        </w:tc>
      </w:tr>
      <w:tr>
        <w:trPr>
          <w:trHeight w:val="255" w:hRule="atLeast"/>
        </w:trPr>
        <w:tc>
          <w:tcPr>
            <w:tcW w:w="3797" w:type="dxa"/>
          </w:tcPr>
          <w:p>
            <w:pPr>
              <w:pStyle w:val="TableParagraph"/>
              <w:spacing w:before="18"/>
              <w:ind w:left="52"/>
              <w:rPr>
                <w:sz w:val="18"/>
              </w:rPr>
            </w:pPr>
            <w:r>
              <w:rPr>
                <w:sz w:val="18"/>
              </w:rPr>
              <w:t>Payables</w:t>
            </w:r>
            <w:r>
              <w:rPr>
                <w:spacing w:val="-2"/>
                <w:sz w:val="18"/>
              </w:rPr>
              <w:t> </w:t>
            </w:r>
            <w:r>
              <w:rPr>
                <w:sz w:val="18"/>
              </w:rPr>
              <w:t>to brokerage </w:t>
            </w:r>
            <w:r>
              <w:rPr>
                <w:spacing w:val="-2"/>
                <w:sz w:val="18"/>
              </w:rPr>
              <w:t>clients</w:t>
            </w:r>
          </w:p>
        </w:tc>
        <w:tc>
          <w:tcPr>
            <w:tcW w:w="1749" w:type="dxa"/>
          </w:tcPr>
          <w:p>
            <w:pPr>
              <w:pStyle w:val="TableParagraph"/>
              <w:spacing w:before="18"/>
              <w:ind w:right="98"/>
              <w:jc w:val="right"/>
              <w:rPr>
                <w:sz w:val="18"/>
              </w:rPr>
            </w:pPr>
            <w:r>
              <w:rPr>
                <w:spacing w:val="-2"/>
                <w:sz w:val="18"/>
              </w:rPr>
              <w:t>72,818</w:t>
            </w:r>
          </w:p>
        </w:tc>
        <w:tc>
          <w:tcPr>
            <w:tcW w:w="2325" w:type="dxa"/>
            <w:gridSpan w:val="2"/>
          </w:tcPr>
          <w:p>
            <w:pPr>
              <w:pStyle w:val="TableParagraph"/>
              <w:tabs>
                <w:tab w:pos="1729" w:val="left" w:leader="none"/>
              </w:tabs>
              <w:spacing w:before="18"/>
              <w:ind w:left="889"/>
              <w:rPr>
                <w:sz w:val="18"/>
              </w:rPr>
            </w:pPr>
            <w:r>
              <w:rPr>
                <w:spacing w:val="-10"/>
                <w:sz w:val="18"/>
              </w:rPr>
              <w:t>—</w:t>
            </w:r>
            <w:r>
              <w:rPr>
                <w:sz w:val="18"/>
              </w:rPr>
              <w:tab/>
            </w:r>
            <w:r>
              <w:rPr>
                <w:spacing w:val="-2"/>
                <w:sz w:val="18"/>
              </w:rPr>
              <w:t>72,818</w:t>
            </w:r>
          </w:p>
        </w:tc>
        <w:tc>
          <w:tcPr>
            <w:tcW w:w="2359" w:type="dxa"/>
            <w:gridSpan w:val="2"/>
          </w:tcPr>
          <w:p>
            <w:pPr>
              <w:pStyle w:val="TableParagraph"/>
              <w:tabs>
                <w:tab w:pos="1789" w:val="left" w:leader="none"/>
              </w:tabs>
              <w:spacing w:before="18"/>
              <w:ind w:left="934"/>
              <w:rPr>
                <w:sz w:val="18"/>
              </w:rPr>
            </w:pPr>
            <w:r>
              <w:rPr>
                <w:spacing w:val="-10"/>
                <w:sz w:val="18"/>
              </w:rPr>
              <w:t>—</w:t>
            </w:r>
            <w:r>
              <w:rPr>
                <w:sz w:val="18"/>
              </w:rPr>
              <w:tab/>
            </w:r>
            <w:r>
              <w:rPr>
                <w:spacing w:val="-2"/>
                <w:sz w:val="18"/>
              </w:rPr>
              <w:t>72,818</w:t>
            </w:r>
          </w:p>
        </w:tc>
      </w:tr>
      <w:tr>
        <w:trPr>
          <w:trHeight w:val="255" w:hRule="atLeast"/>
        </w:trPr>
        <w:tc>
          <w:tcPr>
            <w:tcW w:w="3797" w:type="dxa"/>
            <w:shd w:val="clear" w:color="auto" w:fill="CCEDFF"/>
          </w:tcPr>
          <w:p>
            <w:pPr>
              <w:pStyle w:val="TableParagraph"/>
              <w:spacing w:before="18"/>
              <w:ind w:left="52"/>
              <w:rPr>
                <w:sz w:val="18"/>
              </w:rPr>
            </w:pPr>
            <w:r>
              <w:rPr>
                <w:sz w:val="18"/>
              </w:rPr>
              <w:t>Accrued</w:t>
            </w:r>
            <w:r>
              <w:rPr>
                <w:spacing w:val="-1"/>
                <w:sz w:val="18"/>
              </w:rPr>
              <w:t> </w:t>
            </w:r>
            <w:r>
              <w:rPr>
                <w:sz w:val="18"/>
              </w:rPr>
              <w:t>expenses</w:t>
            </w:r>
            <w:r>
              <w:rPr>
                <w:spacing w:val="-1"/>
                <w:sz w:val="18"/>
              </w:rPr>
              <w:t> </w:t>
            </w:r>
            <w:r>
              <w:rPr>
                <w:sz w:val="18"/>
              </w:rPr>
              <w:t>and</w:t>
            </w:r>
            <w:r>
              <w:rPr>
                <w:spacing w:val="-1"/>
                <w:sz w:val="18"/>
              </w:rPr>
              <w:t> </w:t>
            </w:r>
            <w:r>
              <w:rPr>
                <w:sz w:val="18"/>
              </w:rPr>
              <w:t>other </w:t>
            </w:r>
            <w:r>
              <w:rPr>
                <w:spacing w:val="-2"/>
                <w:sz w:val="18"/>
              </w:rPr>
              <w:t>liabilities</w:t>
            </w:r>
          </w:p>
        </w:tc>
        <w:tc>
          <w:tcPr>
            <w:tcW w:w="1749" w:type="dxa"/>
            <w:shd w:val="clear" w:color="auto" w:fill="CCEDFF"/>
          </w:tcPr>
          <w:p>
            <w:pPr>
              <w:pStyle w:val="TableParagraph"/>
              <w:spacing w:before="18"/>
              <w:ind w:right="98"/>
              <w:jc w:val="right"/>
              <w:rPr>
                <w:sz w:val="18"/>
              </w:rPr>
            </w:pPr>
            <w:r>
              <w:rPr>
                <w:spacing w:val="-2"/>
                <w:sz w:val="18"/>
              </w:rPr>
              <w:t>7,061</w:t>
            </w:r>
          </w:p>
        </w:tc>
        <w:tc>
          <w:tcPr>
            <w:tcW w:w="2325" w:type="dxa"/>
            <w:gridSpan w:val="2"/>
            <w:shd w:val="clear" w:color="auto" w:fill="CCEDFF"/>
          </w:tcPr>
          <w:p>
            <w:pPr>
              <w:pStyle w:val="TableParagraph"/>
              <w:tabs>
                <w:tab w:pos="1819" w:val="left" w:leader="none"/>
              </w:tabs>
              <w:spacing w:before="18"/>
              <w:ind w:left="889"/>
              <w:rPr>
                <w:sz w:val="18"/>
              </w:rPr>
            </w:pPr>
            <w:r>
              <w:rPr>
                <w:spacing w:val="-10"/>
                <w:sz w:val="18"/>
              </w:rPr>
              <w:t>—</w:t>
            </w:r>
            <w:r>
              <w:rPr>
                <w:sz w:val="18"/>
              </w:rPr>
              <w:tab/>
            </w:r>
            <w:r>
              <w:rPr>
                <w:spacing w:val="-2"/>
                <w:sz w:val="18"/>
              </w:rPr>
              <w:t>7,061</w:t>
            </w:r>
          </w:p>
        </w:tc>
        <w:tc>
          <w:tcPr>
            <w:tcW w:w="2359" w:type="dxa"/>
            <w:gridSpan w:val="2"/>
            <w:shd w:val="clear" w:color="auto" w:fill="CCEDFF"/>
          </w:tcPr>
          <w:p>
            <w:pPr>
              <w:pStyle w:val="TableParagraph"/>
              <w:tabs>
                <w:tab w:pos="1879" w:val="left" w:leader="none"/>
              </w:tabs>
              <w:spacing w:before="18"/>
              <w:ind w:left="934"/>
              <w:rPr>
                <w:sz w:val="18"/>
              </w:rPr>
            </w:pPr>
            <w:r>
              <w:rPr>
                <w:spacing w:val="-10"/>
                <w:sz w:val="18"/>
              </w:rPr>
              <w:t>—</w:t>
            </w:r>
            <w:r>
              <w:rPr>
                <w:sz w:val="18"/>
              </w:rPr>
              <w:tab/>
            </w:r>
            <w:r>
              <w:rPr>
                <w:spacing w:val="-2"/>
                <w:sz w:val="18"/>
              </w:rPr>
              <w:t>7,061</w:t>
            </w:r>
          </w:p>
        </w:tc>
      </w:tr>
      <w:tr>
        <w:trPr>
          <w:trHeight w:val="255" w:hRule="atLeast"/>
        </w:trPr>
        <w:tc>
          <w:tcPr>
            <w:tcW w:w="3797" w:type="dxa"/>
          </w:tcPr>
          <w:p>
            <w:pPr>
              <w:pStyle w:val="TableParagraph"/>
              <w:spacing w:before="18"/>
              <w:ind w:left="52"/>
              <w:rPr>
                <w:sz w:val="18"/>
              </w:rPr>
            </w:pPr>
            <w:r>
              <w:rPr>
                <w:sz w:val="18"/>
              </w:rPr>
              <w:t>Other</w:t>
            </w:r>
            <w:r>
              <w:rPr>
                <w:spacing w:val="-1"/>
                <w:sz w:val="18"/>
              </w:rPr>
              <w:t> </w:t>
            </w:r>
            <w:r>
              <w:rPr>
                <w:sz w:val="18"/>
              </w:rPr>
              <w:t>short-term</w:t>
            </w:r>
            <w:r>
              <w:rPr>
                <w:spacing w:val="-1"/>
                <w:sz w:val="18"/>
              </w:rPr>
              <w:t> </w:t>
            </w:r>
            <w:r>
              <w:rPr>
                <w:spacing w:val="-2"/>
                <w:sz w:val="18"/>
              </w:rPr>
              <w:t>borrowings</w:t>
            </w:r>
          </w:p>
        </w:tc>
        <w:tc>
          <w:tcPr>
            <w:tcW w:w="1749" w:type="dxa"/>
          </w:tcPr>
          <w:p>
            <w:pPr>
              <w:pStyle w:val="TableParagraph"/>
              <w:spacing w:before="18"/>
              <w:ind w:right="98"/>
              <w:jc w:val="right"/>
              <w:rPr>
                <w:sz w:val="18"/>
              </w:rPr>
            </w:pPr>
            <w:r>
              <w:rPr>
                <w:spacing w:val="-2"/>
                <w:sz w:val="18"/>
              </w:rPr>
              <w:t>7,550</w:t>
            </w:r>
          </w:p>
        </w:tc>
        <w:tc>
          <w:tcPr>
            <w:tcW w:w="2325" w:type="dxa"/>
            <w:gridSpan w:val="2"/>
          </w:tcPr>
          <w:p>
            <w:pPr>
              <w:pStyle w:val="TableParagraph"/>
              <w:tabs>
                <w:tab w:pos="1819" w:val="left" w:leader="none"/>
              </w:tabs>
              <w:spacing w:before="18"/>
              <w:ind w:left="889"/>
              <w:rPr>
                <w:sz w:val="18"/>
              </w:rPr>
            </w:pPr>
            <w:r>
              <w:rPr>
                <w:spacing w:val="-10"/>
                <w:sz w:val="18"/>
              </w:rPr>
              <w:t>—</w:t>
            </w:r>
            <w:r>
              <w:rPr>
                <w:sz w:val="18"/>
              </w:rPr>
              <w:tab/>
            </w:r>
            <w:r>
              <w:rPr>
                <w:spacing w:val="-2"/>
                <w:sz w:val="18"/>
              </w:rPr>
              <w:t>7,550</w:t>
            </w:r>
          </w:p>
        </w:tc>
        <w:tc>
          <w:tcPr>
            <w:tcW w:w="2359" w:type="dxa"/>
            <w:gridSpan w:val="2"/>
          </w:tcPr>
          <w:p>
            <w:pPr>
              <w:pStyle w:val="TableParagraph"/>
              <w:tabs>
                <w:tab w:pos="1879" w:val="left" w:leader="none"/>
              </w:tabs>
              <w:spacing w:before="18"/>
              <w:ind w:left="934"/>
              <w:rPr>
                <w:sz w:val="18"/>
              </w:rPr>
            </w:pPr>
            <w:r>
              <w:rPr>
                <w:spacing w:val="-10"/>
                <w:sz w:val="18"/>
              </w:rPr>
              <w:t>—</w:t>
            </w:r>
            <w:r>
              <w:rPr>
                <w:sz w:val="18"/>
              </w:rPr>
              <w:tab/>
            </w:r>
            <w:r>
              <w:rPr>
                <w:spacing w:val="-2"/>
                <w:sz w:val="18"/>
              </w:rPr>
              <w:t>7,550</w:t>
            </w:r>
          </w:p>
        </w:tc>
      </w:tr>
      <w:tr>
        <w:trPr>
          <w:trHeight w:val="255" w:hRule="atLeast"/>
        </w:trPr>
        <w:tc>
          <w:tcPr>
            <w:tcW w:w="3797" w:type="dxa"/>
            <w:shd w:val="clear" w:color="auto" w:fill="CCEDFF"/>
          </w:tcPr>
          <w:p>
            <w:pPr>
              <w:pStyle w:val="TableParagraph"/>
              <w:spacing w:before="18"/>
              <w:ind w:left="52"/>
              <w:rPr>
                <w:sz w:val="18"/>
              </w:rPr>
            </w:pPr>
            <w:r>
              <w:rPr>
                <w:sz w:val="18"/>
              </w:rPr>
              <w:t>Federal</w:t>
            </w:r>
            <w:r>
              <w:rPr>
                <w:spacing w:val="-1"/>
                <w:sz w:val="18"/>
              </w:rPr>
              <w:t> </w:t>
            </w:r>
            <w:r>
              <w:rPr>
                <w:sz w:val="18"/>
              </w:rPr>
              <w:t>Home Loan</w:t>
            </w:r>
            <w:r>
              <w:rPr>
                <w:spacing w:val="-1"/>
                <w:sz w:val="18"/>
              </w:rPr>
              <w:t> </w:t>
            </w:r>
            <w:r>
              <w:rPr>
                <w:sz w:val="18"/>
              </w:rPr>
              <w:t>Bank </w:t>
            </w:r>
            <w:r>
              <w:rPr>
                <w:spacing w:val="-2"/>
                <w:sz w:val="18"/>
              </w:rPr>
              <w:t>borrowings</w:t>
            </w:r>
          </w:p>
        </w:tc>
        <w:tc>
          <w:tcPr>
            <w:tcW w:w="1749" w:type="dxa"/>
            <w:shd w:val="clear" w:color="auto" w:fill="CCEDFF"/>
          </w:tcPr>
          <w:p>
            <w:pPr>
              <w:pStyle w:val="TableParagraph"/>
              <w:spacing w:before="18"/>
              <w:ind w:right="98"/>
              <w:jc w:val="right"/>
              <w:rPr>
                <w:sz w:val="18"/>
              </w:rPr>
            </w:pPr>
            <w:r>
              <w:rPr>
                <w:spacing w:val="-2"/>
                <w:sz w:val="18"/>
              </w:rPr>
              <w:t>31,800</w:t>
            </w:r>
          </w:p>
        </w:tc>
        <w:tc>
          <w:tcPr>
            <w:tcW w:w="2325" w:type="dxa"/>
            <w:gridSpan w:val="2"/>
            <w:shd w:val="clear" w:color="auto" w:fill="CCEDFF"/>
          </w:tcPr>
          <w:p>
            <w:pPr>
              <w:pStyle w:val="TableParagraph"/>
              <w:tabs>
                <w:tab w:pos="1729" w:val="left" w:leader="none"/>
              </w:tabs>
              <w:spacing w:before="18"/>
              <w:ind w:left="889"/>
              <w:rPr>
                <w:sz w:val="18"/>
              </w:rPr>
            </w:pPr>
            <w:r>
              <w:rPr>
                <w:spacing w:val="-10"/>
                <w:sz w:val="18"/>
              </w:rPr>
              <w:t>—</w:t>
            </w:r>
            <w:r>
              <w:rPr>
                <w:sz w:val="18"/>
              </w:rPr>
              <w:tab/>
            </w:r>
            <w:r>
              <w:rPr>
                <w:spacing w:val="-2"/>
                <w:sz w:val="18"/>
              </w:rPr>
              <w:t>31,800</w:t>
            </w:r>
          </w:p>
        </w:tc>
        <w:tc>
          <w:tcPr>
            <w:tcW w:w="2359" w:type="dxa"/>
            <w:gridSpan w:val="2"/>
            <w:shd w:val="clear" w:color="auto" w:fill="CCEDFF"/>
          </w:tcPr>
          <w:p>
            <w:pPr>
              <w:pStyle w:val="TableParagraph"/>
              <w:tabs>
                <w:tab w:pos="1789" w:val="left" w:leader="none"/>
              </w:tabs>
              <w:spacing w:before="18"/>
              <w:ind w:left="934"/>
              <w:rPr>
                <w:sz w:val="18"/>
              </w:rPr>
            </w:pPr>
            <w:r>
              <w:rPr>
                <w:spacing w:val="-10"/>
                <w:sz w:val="18"/>
              </w:rPr>
              <w:t>—</w:t>
            </w:r>
            <w:r>
              <w:rPr>
                <w:sz w:val="18"/>
              </w:rPr>
              <w:tab/>
            </w:r>
            <w:r>
              <w:rPr>
                <w:spacing w:val="-2"/>
                <w:sz w:val="18"/>
              </w:rPr>
              <w:t>31,800</w:t>
            </w:r>
          </w:p>
        </w:tc>
      </w:tr>
      <w:tr>
        <w:trPr>
          <w:trHeight w:val="250" w:hRule="atLeast"/>
        </w:trPr>
        <w:tc>
          <w:tcPr>
            <w:tcW w:w="3797" w:type="dxa"/>
            <w:tcBorders>
              <w:bottom w:val="single" w:sz="4" w:space="0" w:color="000000"/>
            </w:tcBorders>
          </w:tcPr>
          <w:p>
            <w:pPr>
              <w:pStyle w:val="TableParagraph"/>
              <w:spacing w:before="18"/>
              <w:ind w:left="52"/>
              <w:rPr>
                <w:sz w:val="18"/>
              </w:rPr>
            </w:pPr>
            <w:r>
              <w:rPr>
                <w:sz w:val="18"/>
              </w:rPr>
              <w:t>Long-term </w:t>
            </w:r>
            <w:r>
              <w:rPr>
                <w:spacing w:val="-4"/>
                <w:sz w:val="18"/>
              </w:rPr>
              <w:t>debt</w:t>
            </w:r>
          </w:p>
        </w:tc>
        <w:tc>
          <w:tcPr>
            <w:tcW w:w="1749" w:type="dxa"/>
            <w:tcBorders>
              <w:bottom w:val="single" w:sz="4" w:space="0" w:color="000000"/>
            </w:tcBorders>
          </w:tcPr>
          <w:p>
            <w:pPr>
              <w:pStyle w:val="TableParagraph"/>
              <w:spacing w:before="18"/>
              <w:ind w:right="98"/>
              <w:jc w:val="right"/>
              <w:rPr>
                <w:sz w:val="18"/>
              </w:rPr>
            </w:pPr>
            <w:r>
              <w:rPr>
                <w:spacing w:val="-2"/>
                <w:sz w:val="18"/>
              </w:rPr>
              <w:t>24,758</w:t>
            </w:r>
          </w:p>
        </w:tc>
        <w:tc>
          <w:tcPr>
            <w:tcW w:w="2325" w:type="dxa"/>
            <w:gridSpan w:val="2"/>
            <w:tcBorders>
              <w:bottom w:val="single" w:sz="4" w:space="0" w:color="000000"/>
            </w:tcBorders>
          </w:tcPr>
          <w:p>
            <w:pPr>
              <w:pStyle w:val="TableParagraph"/>
              <w:tabs>
                <w:tab w:pos="1729" w:val="left" w:leader="none"/>
              </w:tabs>
              <w:spacing w:before="18"/>
              <w:ind w:left="889"/>
              <w:rPr>
                <w:sz w:val="18"/>
              </w:rPr>
            </w:pPr>
            <w:r>
              <w:rPr>
                <w:spacing w:val="-10"/>
                <w:sz w:val="18"/>
              </w:rPr>
              <w:t>—</w:t>
            </w:r>
            <w:r>
              <w:rPr>
                <w:sz w:val="18"/>
              </w:rPr>
              <w:tab/>
            </w:r>
            <w:r>
              <w:rPr>
                <w:spacing w:val="-2"/>
                <w:sz w:val="18"/>
              </w:rPr>
              <w:t>22,632</w:t>
            </w:r>
          </w:p>
        </w:tc>
        <w:tc>
          <w:tcPr>
            <w:tcW w:w="2359" w:type="dxa"/>
            <w:gridSpan w:val="2"/>
            <w:tcBorders>
              <w:bottom w:val="single" w:sz="4" w:space="0" w:color="000000"/>
            </w:tcBorders>
          </w:tcPr>
          <w:p>
            <w:pPr>
              <w:pStyle w:val="TableParagraph"/>
              <w:tabs>
                <w:tab w:pos="1789" w:val="left" w:leader="none"/>
              </w:tabs>
              <w:spacing w:before="18"/>
              <w:ind w:left="934"/>
              <w:rPr>
                <w:sz w:val="18"/>
              </w:rPr>
            </w:pPr>
            <w:r>
              <w:rPr>
                <w:spacing w:val="-10"/>
                <w:sz w:val="18"/>
              </w:rPr>
              <w:t>—</w:t>
            </w:r>
            <w:r>
              <w:rPr>
                <w:sz w:val="18"/>
              </w:rPr>
              <w:tab/>
            </w:r>
            <w:r>
              <w:rPr>
                <w:spacing w:val="-2"/>
                <w:sz w:val="18"/>
              </w:rPr>
              <w:t>22,632</w:t>
            </w:r>
          </w:p>
        </w:tc>
      </w:tr>
    </w:tbl>
    <w:p>
      <w:pPr>
        <w:pStyle w:val="BodyText"/>
        <w:spacing w:before="36"/>
      </w:pPr>
    </w:p>
    <w:p>
      <w:pPr>
        <w:pStyle w:val="BodyText"/>
        <w:spacing w:line="20" w:lineRule="exact"/>
        <w:ind w:left="465"/>
        <w:rPr>
          <w:sz w:val="2"/>
        </w:rPr>
      </w:pPr>
      <w:r>
        <w:rPr>
          <w:sz w:val="2"/>
        </w:rPr>
        <mc:AlternateContent>
          <mc:Choice Requires="wps">
            <w:drawing>
              <wp:inline distT="0" distB="0" distL="0" distR="0">
                <wp:extent cx="6496050" cy="6350"/>
                <wp:effectExtent l="9525" t="0" r="0" b="3175"/>
                <wp:docPr id="611" name="Group 611"/>
                <wp:cNvGraphicFramePr>
                  <a:graphicFrameLocks/>
                </wp:cNvGraphicFramePr>
                <a:graphic>
                  <a:graphicData uri="http://schemas.microsoft.com/office/word/2010/wordprocessingGroup">
                    <wpg:wgp>
                      <wpg:cNvPr id="611" name="Group 611"/>
                      <wpg:cNvGrpSpPr/>
                      <wpg:grpSpPr>
                        <a:xfrm>
                          <a:off x="0" y="0"/>
                          <a:ext cx="6496050" cy="6350"/>
                          <a:chExt cx="6496050" cy="6350"/>
                        </a:xfrm>
                      </wpg:grpSpPr>
                      <wps:wsp>
                        <wps:cNvPr id="612" name="Graphic 612"/>
                        <wps:cNvSpPr/>
                        <wps:spPr>
                          <a:xfrm>
                            <a:off x="0" y="3175"/>
                            <a:ext cx="6496050" cy="1270"/>
                          </a:xfrm>
                          <a:custGeom>
                            <a:avLst/>
                            <a:gdLst/>
                            <a:ahLst/>
                            <a:cxnLst/>
                            <a:rect l="l" t="t" r="r" b="b"/>
                            <a:pathLst>
                              <a:path w="6496050" h="0">
                                <a:moveTo>
                                  <a:pt x="6496050" y="0"/>
                                </a:moveTo>
                                <a:lnTo>
                                  <a:pt x="0" y="0"/>
                                </a:lnTo>
                              </a:path>
                            </a:pathLst>
                          </a:custGeom>
                          <a:solidFill>
                            <a:srgbClr val="000000"/>
                          </a:solidFill>
                        </wps:spPr>
                        <wps:bodyPr wrap="square" lIns="0" tIns="0" rIns="0" bIns="0" rtlCol="0">
                          <a:prstTxWarp prst="textNoShape">
                            <a:avLst/>
                          </a:prstTxWarp>
                          <a:noAutofit/>
                        </wps:bodyPr>
                      </wps:wsp>
                      <wps:wsp>
                        <wps:cNvPr id="613" name="Graphic 613"/>
                        <wps:cNvSpPr/>
                        <wps:spPr>
                          <a:xfrm>
                            <a:off x="0" y="3175"/>
                            <a:ext cx="6496050" cy="1270"/>
                          </a:xfrm>
                          <a:custGeom>
                            <a:avLst/>
                            <a:gdLst/>
                            <a:ahLst/>
                            <a:cxnLst/>
                            <a:rect l="l" t="t" r="r" b="b"/>
                            <a:pathLst>
                              <a:path w="6496050" h="0">
                                <a:moveTo>
                                  <a:pt x="0" y="0"/>
                                </a:moveTo>
                                <a:lnTo>
                                  <a:pt x="649605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1.5pt;height:.5pt;mso-position-horizontal-relative:char;mso-position-vertical-relative:line" id="docshapegroup439" coordorigin="0,0" coordsize="10230,10">
                <v:shape style="position:absolute;left:0;top:5;width:10230;height:2" id="docshape440" coordorigin="0,5" coordsize="10230,0" path="m10230,5l0,5e" filled="true" fillcolor="#000000" stroked="false">
                  <v:path arrowok="t"/>
                  <v:fill opacity="0f" type="solid"/>
                </v:shape>
                <v:line style="position:absolute" from="0,5" to="10230,5" stroked="true" strokeweight=".5pt" strokecolor="#000000">
                  <v:stroke dashstyle="solid"/>
                </v:line>
              </v:group>
            </w:pict>
          </mc:Fallback>
        </mc:AlternateContent>
      </w:r>
      <w:r>
        <w:rPr>
          <w:sz w:val="2"/>
        </w:rPr>
      </w:r>
    </w:p>
    <w:p>
      <w:pPr>
        <w:spacing w:after="0" w:line="20" w:lineRule="exact"/>
        <w:rPr>
          <w:sz w:val="2"/>
        </w:rPr>
        <w:sectPr>
          <w:pgSz w:w="12240" w:h="15840"/>
          <w:pgMar w:header="227" w:footer="201" w:top="1080" w:bottom="400" w:left="520" w:right="520"/>
        </w:sectPr>
      </w:pPr>
    </w:p>
    <w:p>
      <w:pPr>
        <w:spacing w:before="183"/>
        <w:ind w:left="522" w:right="0" w:firstLine="0"/>
        <w:jc w:val="left"/>
        <w:rPr>
          <w:sz w:val="18"/>
        </w:rPr>
      </w:pPr>
      <w:r>
        <w:rPr>
          <w:sz w:val="18"/>
        </w:rPr>
        <w:t>December</w:t>
      </w:r>
      <w:r>
        <w:rPr>
          <w:spacing w:val="-1"/>
          <w:sz w:val="18"/>
        </w:rPr>
        <w:t> </w:t>
      </w:r>
      <w:r>
        <w:rPr>
          <w:sz w:val="18"/>
        </w:rPr>
        <w:t>31, </w:t>
      </w:r>
      <w:r>
        <w:rPr>
          <w:spacing w:val="-4"/>
          <w:sz w:val="18"/>
        </w:rPr>
        <w:t>2022</w:t>
      </w:r>
    </w:p>
    <w:p>
      <w:pPr>
        <w:spacing w:before="48"/>
        <w:ind w:left="522" w:right="0" w:firstLine="0"/>
        <w:jc w:val="left"/>
        <w:rPr>
          <w:b/>
          <w:sz w:val="18"/>
        </w:rPr>
      </w:pPr>
      <w:r>
        <w:rPr/>
        <mc:AlternateContent>
          <mc:Choice Requires="wps">
            <w:drawing>
              <wp:anchor distT="0" distB="0" distL="0" distR="0" allowOverlap="1" layoutInCell="1" locked="0" behindDoc="0" simplePos="0" relativeHeight="15769600">
                <wp:simplePos x="0" y="0"/>
                <wp:positionH relativeFrom="page">
                  <wp:posOffset>628650</wp:posOffset>
                </wp:positionH>
                <wp:positionV relativeFrom="paragraph">
                  <wp:posOffset>15886</wp:posOffset>
                </wp:positionV>
                <wp:extent cx="6496050" cy="6350"/>
                <wp:effectExtent l="0" t="0" r="0" b="0"/>
                <wp:wrapNone/>
                <wp:docPr id="614" name="Group 614"/>
                <wp:cNvGraphicFramePr>
                  <a:graphicFrameLocks/>
                </wp:cNvGraphicFramePr>
                <a:graphic>
                  <a:graphicData uri="http://schemas.microsoft.com/office/word/2010/wordprocessingGroup">
                    <wpg:wgp>
                      <wpg:cNvPr id="614" name="Group 614"/>
                      <wpg:cNvGrpSpPr/>
                      <wpg:grpSpPr>
                        <a:xfrm>
                          <a:off x="0" y="0"/>
                          <a:ext cx="6496050" cy="6350"/>
                          <a:chExt cx="6496050" cy="6350"/>
                        </a:xfrm>
                      </wpg:grpSpPr>
                      <wps:wsp>
                        <wps:cNvPr id="615" name="Graphic 615"/>
                        <wps:cNvSpPr/>
                        <wps:spPr>
                          <a:xfrm>
                            <a:off x="0" y="3175"/>
                            <a:ext cx="6496050" cy="1270"/>
                          </a:xfrm>
                          <a:custGeom>
                            <a:avLst/>
                            <a:gdLst/>
                            <a:ahLst/>
                            <a:cxnLst/>
                            <a:rect l="l" t="t" r="r" b="b"/>
                            <a:pathLst>
                              <a:path w="6496050" h="0">
                                <a:moveTo>
                                  <a:pt x="6496050" y="0"/>
                                </a:moveTo>
                                <a:lnTo>
                                  <a:pt x="0" y="0"/>
                                </a:lnTo>
                              </a:path>
                            </a:pathLst>
                          </a:custGeom>
                          <a:solidFill>
                            <a:srgbClr val="000000"/>
                          </a:solidFill>
                        </wps:spPr>
                        <wps:bodyPr wrap="square" lIns="0" tIns="0" rIns="0" bIns="0" rtlCol="0">
                          <a:prstTxWarp prst="textNoShape">
                            <a:avLst/>
                          </a:prstTxWarp>
                          <a:noAutofit/>
                        </wps:bodyPr>
                      </wps:wsp>
                      <wps:wsp>
                        <wps:cNvPr id="616" name="Graphic 616"/>
                        <wps:cNvSpPr/>
                        <wps:spPr>
                          <a:xfrm>
                            <a:off x="0" y="3175"/>
                            <a:ext cx="6496050" cy="1270"/>
                          </a:xfrm>
                          <a:custGeom>
                            <a:avLst/>
                            <a:gdLst/>
                            <a:ahLst/>
                            <a:cxnLst/>
                            <a:rect l="l" t="t" r="r" b="b"/>
                            <a:pathLst>
                              <a:path w="6496050" h="0">
                                <a:moveTo>
                                  <a:pt x="0" y="0"/>
                                </a:moveTo>
                                <a:lnTo>
                                  <a:pt x="649605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1.250879pt;width:511.5pt;height:.5pt;mso-position-horizontal-relative:page;mso-position-vertical-relative:paragraph;z-index:15769600" id="docshapegroup441" coordorigin="990,25" coordsize="10230,10">
                <v:shape style="position:absolute;left:990;top:30;width:10230;height:2" id="docshape442" coordorigin="990,30" coordsize="10230,0" path="m11220,30l990,30e" filled="true" fillcolor="#000000" stroked="false">
                  <v:path arrowok="t"/>
                  <v:fill opacity="0f" type="solid"/>
                </v:shape>
                <v:line style="position:absolute" from="990,30" to="11220,30" stroked="true" strokeweight=".5pt" strokecolor="#000000">
                  <v:stroke dashstyle="solid"/>
                </v:line>
                <w10:wrap type="none"/>
              </v:group>
            </w:pict>
          </mc:Fallback>
        </mc:AlternateContent>
      </w:r>
      <w:r>
        <w:rPr>
          <w:b/>
          <w:spacing w:val="-2"/>
          <w:sz w:val="18"/>
        </w:rPr>
        <w:t>Assets</w:t>
      </w:r>
    </w:p>
    <w:p>
      <w:pPr>
        <w:spacing w:line="193" w:lineRule="exact" w:before="3"/>
        <w:ind w:left="522" w:right="0" w:firstLine="0"/>
        <w:jc w:val="left"/>
        <w:rPr>
          <w:sz w:val="18"/>
        </w:rPr>
      </w:pPr>
      <w:r>
        <w:rPr/>
        <w:br w:type="column"/>
      </w:r>
      <w:r>
        <w:rPr>
          <w:spacing w:val="-2"/>
          <w:sz w:val="18"/>
        </w:rPr>
        <w:t>Carrying</w:t>
      </w:r>
    </w:p>
    <w:p>
      <w:pPr>
        <w:tabs>
          <w:tab w:pos="1724" w:val="left" w:leader="none"/>
          <w:tab w:pos="2887" w:val="left" w:leader="none"/>
          <w:tab w:pos="4072" w:val="left" w:leader="none"/>
        </w:tabs>
        <w:spacing w:line="193" w:lineRule="exact" w:before="0"/>
        <w:ind w:left="547" w:right="0" w:firstLine="0"/>
        <w:jc w:val="left"/>
        <w:rPr>
          <w:sz w:val="18"/>
        </w:rPr>
      </w:pPr>
      <w:r>
        <w:rPr>
          <w:spacing w:val="-2"/>
          <w:sz w:val="18"/>
        </w:rPr>
        <w:t>Amount</w:t>
      </w:r>
      <w:r>
        <w:rPr>
          <w:sz w:val="18"/>
        </w:rPr>
        <w:tab/>
        <w:t>Level</w:t>
      </w:r>
      <w:r>
        <w:rPr>
          <w:spacing w:val="-2"/>
          <w:sz w:val="18"/>
        </w:rPr>
        <w:t> </w:t>
      </w:r>
      <w:r>
        <w:rPr>
          <w:spacing w:val="-10"/>
          <w:sz w:val="18"/>
        </w:rPr>
        <w:t>1</w:t>
      </w:r>
      <w:r>
        <w:rPr>
          <w:sz w:val="18"/>
        </w:rPr>
        <w:tab/>
        <w:t>Level </w:t>
      </w:r>
      <w:r>
        <w:rPr>
          <w:spacing w:val="-10"/>
          <w:sz w:val="18"/>
        </w:rPr>
        <w:t>2</w:t>
      </w:r>
      <w:r>
        <w:rPr>
          <w:sz w:val="18"/>
        </w:rPr>
        <w:tab/>
        <w:t>Level </w:t>
      </w:r>
      <w:r>
        <w:rPr>
          <w:spacing w:val="-10"/>
          <w:sz w:val="18"/>
        </w:rPr>
        <w:t>3</w:t>
      </w:r>
    </w:p>
    <w:p>
      <w:pPr>
        <w:spacing w:line="208" w:lineRule="auto" w:before="25"/>
        <w:ind w:left="497" w:right="658" w:firstLine="5"/>
        <w:jc w:val="left"/>
        <w:rPr>
          <w:sz w:val="18"/>
        </w:rPr>
      </w:pPr>
      <w:r>
        <w:rPr/>
        <w:br w:type="column"/>
      </w:r>
      <w:r>
        <w:rPr>
          <w:sz w:val="18"/>
        </w:rPr>
        <w:t>Balance</w:t>
      </w:r>
      <w:r>
        <w:rPr>
          <w:spacing w:val="-12"/>
          <w:sz w:val="18"/>
        </w:rPr>
        <w:t> </w:t>
      </w:r>
      <w:r>
        <w:rPr>
          <w:sz w:val="18"/>
        </w:rPr>
        <w:t>at Fair</w:t>
      </w:r>
      <w:r>
        <w:rPr>
          <w:spacing w:val="-3"/>
          <w:sz w:val="18"/>
        </w:rPr>
        <w:t> </w:t>
      </w:r>
      <w:r>
        <w:rPr>
          <w:spacing w:val="-2"/>
          <w:sz w:val="18"/>
        </w:rPr>
        <w:t>Value</w:t>
      </w:r>
    </w:p>
    <w:p>
      <w:pPr>
        <w:spacing w:after="0" w:line="208" w:lineRule="auto"/>
        <w:jc w:val="left"/>
        <w:rPr>
          <w:sz w:val="18"/>
        </w:rPr>
        <w:sectPr>
          <w:type w:val="continuous"/>
          <w:pgSz w:w="12240" w:h="15840"/>
          <w:pgMar w:header="227" w:footer="201" w:top="320" w:bottom="280" w:left="520" w:right="520"/>
          <w:cols w:num="3" w:equalWidth="0">
            <w:col w:w="1978" w:space="2637"/>
            <w:col w:w="4618" w:space="40"/>
            <w:col w:w="1927"/>
          </w:cols>
        </w:sectPr>
      </w:pPr>
    </w:p>
    <w:p>
      <w:pPr>
        <w:pStyle w:val="BodyText"/>
        <w:spacing w:before="7"/>
        <w:rPr>
          <w:sz w:val="2"/>
        </w:rPr>
      </w:pPr>
    </w:p>
    <w:p>
      <w:pPr>
        <w:pStyle w:val="BodyText"/>
        <w:ind w:left="470"/>
      </w:pPr>
      <w:r>
        <w:rPr/>
        <mc:AlternateContent>
          <mc:Choice Requires="wps">
            <w:drawing>
              <wp:inline distT="0" distB="0" distL="0" distR="0">
                <wp:extent cx="6496050" cy="161925"/>
                <wp:effectExtent l="0" t="0" r="0" b="0"/>
                <wp:docPr id="617" name="Textbox 617"/>
                <wp:cNvGraphicFramePr>
                  <a:graphicFrameLocks/>
                </wp:cNvGraphicFramePr>
                <a:graphic>
                  <a:graphicData uri="http://schemas.microsoft.com/office/word/2010/wordprocessingShape">
                    <wps:wsp>
                      <wps:cNvPr id="617" name="Textbox 617"/>
                      <wps:cNvSpPr txBox="1"/>
                      <wps:spPr>
                        <a:xfrm>
                          <a:off x="0" y="0"/>
                          <a:ext cx="6496050" cy="161925"/>
                        </a:xfrm>
                        <a:prstGeom prst="rect">
                          <a:avLst/>
                        </a:prstGeom>
                        <a:solidFill>
                          <a:srgbClr val="CCEDFF"/>
                        </a:solidFill>
                      </wps:spPr>
                      <wps:txbx>
                        <w:txbxContent>
                          <w:p>
                            <w:pPr>
                              <w:tabs>
                                <w:tab w:pos="4507" w:val="left" w:leader="none"/>
                                <w:tab w:pos="4949" w:val="left" w:leader="none"/>
                                <w:tab w:pos="5647" w:val="left" w:leader="none"/>
                                <w:tab w:pos="6120" w:val="left" w:leader="none"/>
                                <w:tab w:pos="6817" w:val="left" w:leader="none"/>
                                <w:tab w:pos="7590" w:val="left" w:leader="none"/>
                                <w:tab w:pos="7972" w:val="left" w:leader="none"/>
                                <w:tab w:pos="8805" w:val="left" w:leader="none"/>
                                <w:tab w:pos="9187" w:val="left" w:leader="none"/>
                                <w:tab w:pos="9660" w:val="left" w:leader="none"/>
                              </w:tabs>
                              <w:spacing w:before="18"/>
                              <w:ind w:left="52" w:right="0" w:firstLine="0"/>
                              <w:jc w:val="left"/>
                              <w:rPr>
                                <w:color w:val="000000"/>
                                <w:sz w:val="18"/>
                              </w:rPr>
                            </w:pPr>
                            <w:r>
                              <w:rPr>
                                <w:color w:val="000000"/>
                                <w:sz w:val="18"/>
                              </w:rPr>
                              <w:t>Cash</w:t>
                            </w:r>
                            <w:r>
                              <w:rPr>
                                <w:color w:val="000000"/>
                                <w:spacing w:val="-1"/>
                                <w:sz w:val="18"/>
                              </w:rPr>
                              <w:t> </w:t>
                            </w:r>
                            <w:r>
                              <w:rPr>
                                <w:color w:val="000000"/>
                                <w:sz w:val="18"/>
                              </w:rPr>
                              <w:t>and</w:t>
                            </w:r>
                            <w:r>
                              <w:rPr>
                                <w:color w:val="000000"/>
                                <w:spacing w:val="-1"/>
                                <w:sz w:val="18"/>
                              </w:rPr>
                              <w:t> </w:t>
                            </w:r>
                            <w:r>
                              <w:rPr>
                                <w:color w:val="000000"/>
                                <w:sz w:val="18"/>
                              </w:rPr>
                              <w:t>cash </w:t>
                            </w:r>
                            <w:r>
                              <w:rPr>
                                <w:color w:val="000000"/>
                                <w:spacing w:val="-2"/>
                                <w:sz w:val="18"/>
                              </w:rPr>
                              <w:t>equivalents</w:t>
                            </w:r>
                            <w:r>
                              <w:rPr>
                                <w:color w:val="000000"/>
                                <w:sz w:val="18"/>
                              </w:rPr>
                              <w:tab/>
                            </w:r>
                            <w:r>
                              <w:rPr>
                                <w:color w:val="000000"/>
                                <w:spacing w:val="-10"/>
                                <w:sz w:val="18"/>
                              </w:rPr>
                              <w:t>$</w:t>
                            </w:r>
                            <w:r>
                              <w:rPr>
                                <w:color w:val="000000"/>
                                <w:sz w:val="18"/>
                              </w:rPr>
                              <w:tab/>
                            </w:r>
                            <w:r>
                              <w:rPr>
                                <w:color w:val="000000"/>
                                <w:spacing w:val="-2"/>
                                <w:sz w:val="18"/>
                              </w:rPr>
                              <w:t>26,140</w:t>
                            </w:r>
                            <w:r>
                              <w:rPr>
                                <w:color w:val="000000"/>
                                <w:sz w:val="18"/>
                              </w:rPr>
                              <w:tab/>
                            </w:r>
                            <w:r>
                              <w:rPr>
                                <w:color w:val="000000"/>
                                <w:spacing w:val="-10"/>
                                <w:sz w:val="18"/>
                              </w:rPr>
                              <w:t>$</w:t>
                            </w:r>
                            <w:r>
                              <w:rPr>
                                <w:color w:val="000000"/>
                                <w:sz w:val="18"/>
                              </w:rPr>
                              <w:tab/>
                            </w:r>
                            <w:r>
                              <w:rPr>
                                <w:color w:val="000000"/>
                                <w:spacing w:val="-2"/>
                                <w:sz w:val="18"/>
                              </w:rPr>
                              <w:t>26,140</w:t>
                            </w:r>
                            <w:r>
                              <w:rPr>
                                <w:color w:val="000000"/>
                                <w:sz w:val="18"/>
                              </w:rPr>
                              <w:tab/>
                            </w:r>
                            <w:r>
                              <w:rPr>
                                <w:color w:val="000000"/>
                                <w:spacing w:val="-10"/>
                                <w:sz w:val="18"/>
                              </w:rPr>
                              <w:t>$</w:t>
                            </w:r>
                            <w:r>
                              <w:rPr>
                                <w:color w:val="000000"/>
                                <w:sz w:val="18"/>
                              </w:rPr>
                              <w:tab/>
                            </w:r>
                            <w:r>
                              <w:rPr>
                                <w:color w:val="000000"/>
                                <w:spacing w:val="-10"/>
                                <w:sz w:val="18"/>
                              </w:rPr>
                              <w:t>—</w:t>
                            </w:r>
                            <w:r>
                              <w:rPr>
                                <w:color w:val="000000"/>
                                <w:sz w:val="18"/>
                              </w:rPr>
                              <w:tab/>
                            </w:r>
                            <w:r>
                              <w:rPr>
                                <w:color w:val="000000"/>
                                <w:spacing w:val="-10"/>
                                <w:sz w:val="18"/>
                              </w:rPr>
                              <w:t>$</w:t>
                            </w:r>
                            <w:r>
                              <w:rPr>
                                <w:color w:val="000000"/>
                                <w:sz w:val="18"/>
                              </w:rPr>
                              <w:tab/>
                            </w:r>
                            <w:r>
                              <w:rPr>
                                <w:color w:val="000000"/>
                                <w:spacing w:val="-10"/>
                                <w:sz w:val="18"/>
                              </w:rPr>
                              <w:t>—</w:t>
                            </w:r>
                            <w:r>
                              <w:rPr>
                                <w:color w:val="000000"/>
                                <w:sz w:val="18"/>
                              </w:rPr>
                              <w:tab/>
                            </w:r>
                            <w:r>
                              <w:rPr>
                                <w:color w:val="000000"/>
                                <w:spacing w:val="-10"/>
                                <w:sz w:val="18"/>
                              </w:rPr>
                              <w:t>$</w:t>
                            </w:r>
                            <w:r>
                              <w:rPr>
                                <w:color w:val="000000"/>
                                <w:sz w:val="18"/>
                              </w:rPr>
                              <w:tab/>
                            </w:r>
                            <w:r>
                              <w:rPr>
                                <w:color w:val="000000"/>
                                <w:spacing w:val="-2"/>
                                <w:sz w:val="18"/>
                              </w:rPr>
                              <w:t>26,140</w:t>
                            </w:r>
                          </w:p>
                        </w:txbxContent>
                      </wps:txbx>
                      <wps:bodyPr wrap="square" lIns="0" tIns="0" rIns="0" bIns="0" rtlCol="0">
                        <a:noAutofit/>
                      </wps:bodyPr>
                    </wps:wsp>
                  </a:graphicData>
                </a:graphic>
              </wp:inline>
            </w:drawing>
          </mc:Choice>
          <mc:Fallback>
            <w:pict>
              <v:shape style="width:511.5pt;height:12.75pt;mso-position-horizontal-relative:char;mso-position-vertical-relative:line" type="#_x0000_t202" id="docshape443" filled="true" fillcolor="#ccedff" stroked="false">
                <w10:anchorlock/>
                <v:textbox inset="0,0,0,0">
                  <w:txbxContent>
                    <w:p>
                      <w:pPr>
                        <w:tabs>
                          <w:tab w:pos="4507" w:val="left" w:leader="none"/>
                          <w:tab w:pos="4949" w:val="left" w:leader="none"/>
                          <w:tab w:pos="5647" w:val="left" w:leader="none"/>
                          <w:tab w:pos="6120" w:val="left" w:leader="none"/>
                          <w:tab w:pos="6817" w:val="left" w:leader="none"/>
                          <w:tab w:pos="7590" w:val="left" w:leader="none"/>
                          <w:tab w:pos="7972" w:val="left" w:leader="none"/>
                          <w:tab w:pos="8805" w:val="left" w:leader="none"/>
                          <w:tab w:pos="9187" w:val="left" w:leader="none"/>
                          <w:tab w:pos="9660" w:val="left" w:leader="none"/>
                        </w:tabs>
                        <w:spacing w:before="18"/>
                        <w:ind w:left="52" w:right="0" w:firstLine="0"/>
                        <w:jc w:val="left"/>
                        <w:rPr>
                          <w:color w:val="000000"/>
                          <w:sz w:val="18"/>
                        </w:rPr>
                      </w:pPr>
                      <w:r>
                        <w:rPr>
                          <w:color w:val="000000"/>
                          <w:sz w:val="18"/>
                        </w:rPr>
                        <w:t>Cash</w:t>
                      </w:r>
                      <w:r>
                        <w:rPr>
                          <w:color w:val="000000"/>
                          <w:spacing w:val="-1"/>
                          <w:sz w:val="18"/>
                        </w:rPr>
                        <w:t> </w:t>
                      </w:r>
                      <w:r>
                        <w:rPr>
                          <w:color w:val="000000"/>
                          <w:sz w:val="18"/>
                        </w:rPr>
                        <w:t>and</w:t>
                      </w:r>
                      <w:r>
                        <w:rPr>
                          <w:color w:val="000000"/>
                          <w:spacing w:val="-1"/>
                          <w:sz w:val="18"/>
                        </w:rPr>
                        <w:t> </w:t>
                      </w:r>
                      <w:r>
                        <w:rPr>
                          <w:color w:val="000000"/>
                          <w:sz w:val="18"/>
                        </w:rPr>
                        <w:t>cash </w:t>
                      </w:r>
                      <w:r>
                        <w:rPr>
                          <w:color w:val="000000"/>
                          <w:spacing w:val="-2"/>
                          <w:sz w:val="18"/>
                        </w:rPr>
                        <w:t>equivalents</w:t>
                      </w:r>
                      <w:r>
                        <w:rPr>
                          <w:color w:val="000000"/>
                          <w:sz w:val="18"/>
                        </w:rPr>
                        <w:tab/>
                      </w:r>
                      <w:r>
                        <w:rPr>
                          <w:color w:val="000000"/>
                          <w:spacing w:val="-10"/>
                          <w:sz w:val="18"/>
                        </w:rPr>
                        <w:t>$</w:t>
                      </w:r>
                      <w:r>
                        <w:rPr>
                          <w:color w:val="000000"/>
                          <w:sz w:val="18"/>
                        </w:rPr>
                        <w:tab/>
                      </w:r>
                      <w:r>
                        <w:rPr>
                          <w:color w:val="000000"/>
                          <w:spacing w:val="-2"/>
                          <w:sz w:val="18"/>
                        </w:rPr>
                        <w:t>26,140</w:t>
                      </w:r>
                      <w:r>
                        <w:rPr>
                          <w:color w:val="000000"/>
                          <w:sz w:val="18"/>
                        </w:rPr>
                        <w:tab/>
                      </w:r>
                      <w:r>
                        <w:rPr>
                          <w:color w:val="000000"/>
                          <w:spacing w:val="-10"/>
                          <w:sz w:val="18"/>
                        </w:rPr>
                        <w:t>$</w:t>
                      </w:r>
                      <w:r>
                        <w:rPr>
                          <w:color w:val="000000"/>
                          <w:sz w:val="18"/>
                        </w:rPr>
                        <w:tab/>
                      </w:r>
                      <w:r>
                        <w:rPr>
                          <w:color w:val="000000"/>
                          <w:spacing w:val="-2"/>
                          <w:sz w:val="18"/>
                        </w:rPr>
                        <w:t>26,140</w:t>
                      </w:r>
                      <w:r>
                        <w:rPr>
                          <w:color w:val="000000"/>
                          <w:sz w:val="18"/>
                        </w:rPr>
                        <w:tab/>
                      </w:r>
                      <w:r>
                        <w:rPr>
                          <w:color w:val="000000"/>
                          <w:spacing w:val="-10"/>
                          <w:sz w:val="18"/>
                        </w:rPr>
                        <w:t>$</w:t>
                      </w:r>
                      <w:r>
                        <w:rPr>
                          <w:color w:val="000000"/>
                          <w:sz w:val="18"/>
                        </w:rPr>
                        <w:tab/>
                      </w:r>
                      <w:r>
                        <w:rPr>
                          <w:color w:val="000000"/>
                          <w:spacing w:val="-10"/>
                          <w:sz w:val="18"/>
                        </w:rPr>
                        <w:t>—</w:t>
                      </w:r>
                      <w:r>
                        <w:rPr>
                          <w:color w:val="000000"/>
                          <w:sz w:val="18"/>
                        </w:rPr>
                        <w:tab/>
                      </w:r>
                      <w:r>
                        <w:rPr>
                          <w:color w:val="000000"/>
                          <w:spacing w:val="-10"/>
                          <w:sz w:val="18"/>
                        </w:rPr>
                        <w:t>$</w:t>
                      </w:r>
                      <w:r>
                        <w:rPr>
                          <w:color w:val="000000"/>
                          <w:sz w:val="18"/>
                        </w:rPr>
                        <w:tab/>
                      </w:r>
                      <w:r>
                        <w:rPr>
                          <w:color w:val="000000"/>
                          <w:spacing w:val="-10"/>
                          <w:sz w:val="18"/>
                        </w:rPr>
                        <w:t>—</w:t>
                      </w:r>
                      <w:r>
                        <w:rPr>
                          <w:color w:val="000000"/>
                          <w:sz w:val="18"/>
                        </w:rPr>
                        <w:tab/>
                      </w:r>
                      <w:r>
                        <w:rPr>
                          <w:color w:val="000000"/>
                          <w:spacing w:val="-10"/>
                          <w:sz w:val="18"/>
                        </w:rPr>
                        <w:t>$</w:t>
                      </w:r>
                      <w:r>
                        <w:rPr>
                          <w:color w:val="000000"/>
                          <w:sz w:val="18"/>
                        </w:rPr>
                        <w:tab/>
                      </w:r>
                      <w:r>
                        <w:rPr>
                          <w:color w:val="000000"/>
                          <w:spacing w:val="-2"/>
                          <w:sz w:val="18"/>
                        </w:rPr>
                        <w:t>26,140</w:t>
                      </w:r>
                    </w:p>
                  </w:txbxContent>
                </v:textbox>
                <v:fill type="solid"/>
              </v:shape>
            </w:pict>
          </mc:Fallback>
        </mc:AlternateContent>
      </w:r>
      <w:r>
        <w:rPr/>
      </w:r>
    </w:p>
    <w:p>
      <w:pPr>
        <w:spacing w:before="3"/>
        <w:ind w:left="522" w:right="0" w:firstLine="0"/>
        <w:jc w:val="left"/>
        <w:rPr>
          <w:sz w:val="18"/>
        </w:rPr>
      </w:pPr>
      <w:r>
        <w:rPr>
          <w:sz w:val="18"/>
        </w:rPr>
        <w:t>Cash</w:t>
      </w:r>
      <w:r>
        <w:rPr>
          <w:spacing w:val="-1"/>
          <w:sz w:val="18"/>
        </w:rPr>
        <w:t> </w:t>
      </w:r>
      <w:r>
        <w:rPr>
          <w:sz w:val="18"/>
        </w:rPr>
        <w:t>and</w:t>
      </w:r>
      <w:r>
        <w:rPr>
          <w:spacing w:val="-1"/>
          <w:sz w:val="18"/>
        </w:rPr>
        <w:t> </w:t>
      </w:r>
      <w:r>
        <w:rPr>
          <w:sz w:val="18"/>
        </w:rPr>
        <w:t>investments</w:t>
      </w:r>
      <w:r>
        <w:rPr>
          <w:spacing w:val="-1"/>
          <w:sz w:val="18"/>
        </w:rPr>
        <w:t> </w:t>
      </w:r>
      <w:r>
        <w:rPr>
          <w:sz w:val="18"/>
        </w:rPr>
        <w:t>segregated</w:t>
      </w:r>
      <w:r>
        <w:rPr>
          <w:spacing w:val="-1"/>
          <w:sz w:val="18"/>
        </w:rPr>
        <w:t> </w:t>
      </w:r>
      <w:r>
        <w:rPr>
          <w:sz w:val="18"/>
        </w:rPr>
        <w:t>and on</w:t>
      </w:r>
      <w:r>
        <w:rPr>
          <w:spacing w:val="-1"/>
          <w:sz w:val="18"/>
        </w:rPr>
        <w:t> </w:t>
      </w:r>
      <w:r>
        <w:rPr>
          <w:sz w:val="18"/>
        </w:rPr>
        <w:t>deposit </w:t>
      </w:r>
      <w:r>
        <w:rPr>
          <w:spacing w:val="-5"/>
          <w:sz w:val="18"/>
        </w:rPr>
        <w:t>for</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97"/>
        <w:gridCol w:w="1749"/>
        <w:gridCol w:w="1354"/>
        <w:gridCol w:w="971"/>
        <w:gridCol w:w="1406"/>
        <w:gridCol w:w="952"/>
      </w:tblGrid>
      <w:tr>
        <w:trPr>
          <w:trHeight w:val="229" w:hRule="atLeast"/>
        </w:trPr>
        <w:tc>
          <w:tcPr>
            <w:tcW w:w="3797" w:type="dxa"/>
          </w:tcPr>
          <w:p>
            <w:pPr>
              <w:pStyle w:val="TableParagraph"/>
              <w:spacing w:line="180" w:lineRule="exact"/>
              <w:ind w:left="142"/>
              <w:rPr>
                <w:sz w:val="18"/>
              </w:rPr>
            </w:pPr>
            <w:r>
              <w:rPr>
                <w:sz w:val="18"/>
              </w:rPr>
              <w:t>regulatory </w:t>
            </w:r>
            <w:r>
              <w:rPr>
                <w:spacing w:val="-2"/>
                <w:sz w:val="18"/>
              </w:rPr>
              <w:t>purposes</w:t>
            </w:r>
          </w:p>
        </w:tc>
        <w:tc>
          <w:tcPr>
            <w:tcW w:w="1749" w:type="dxa"/>
          </w:tcPr>
          <w:p>
            <w:pPr>
              <w:pStyle w:val="TableParagraph"/>
              <w:spacing w:line="180" w:lineRule="exact"/>
              <w:ind w:right="98"/>
              <w:jc w:val="right"/>
              <w:rPr>
                <w:sz w:val="18"/>
              </w:rPr>
            </w:pPr>
            <w:r>
              <w:rPr>
                <w:spacing w:val="-2"/>
                <w:sz w:val="18"/>
              </w:rPr>
              <w:t>18,288</w:t>
            </w:r>
          </w:p>
        </w:tc>
        <w:tc>
          <w:tcPr>
            <w:tcW w:w="1354" w:type="dxa"/>
          </w:tcPr>
          <w:p>
            <w:pPr>
              <w:pStyle w:val="TableParagraph"/>
              <w:spacing w:line="180" w:lineRule="exact"/>
              <w:ind w:right="282"/>
              <w:jc w:val="right"/>
              <w:rPr>
                <w:sz w:val="18"/>
              </w:rPr>
            </w:pPr>
            <w:r>
              <w:rPr>
                <w:spacing w:val="-2"/>
                <w:sz w:val="18"/>
              </w:rPr>
              <w:t>6,156</w:t>
            </w:r>
          </w:p>
        </w:tc>
        <w:tc>
          <w:tcPr>
            <w:tcW w:w="971" w:type="dxa"/>
          </w:tcPr>
          <w:p>
            <w:pPr>
              <w:pStyle w:val="TableParagraph"/>
              <w:spacing w:line="180" w:lineRule="exact"/>
              <w:ind w:right="98"/>
              <w:jc w:val="right"/>
              <w:rPr>
                <w:sz w:val="18"/>
              </w:rPr>
            </w:pPr>
            <w:r>
              <w:rPr>
                <w:spacing w:val="-2"/>
                <w:sz w:val="18"/>
              </w:rPr>
              <w:t>12,132</w:t>
            </w:r>
          </w:p>
        </w:tc>
        <w:tc>
          <w:tcPr>
            <w:tcW w:w="1406" w:type="dxa"/>
          </w:tcPr>
          <w:p>
            <w:pPr>
              <w:pStyle w:val="TableParagraph"/>
              <w:spacing w:line="180" w:lineRule="exact"/>
              <w:ind w:right="289"/>
              <w:jc w:val="right"/>
              <w:rPr>
                <w:sz w:val="18"/>
              </w:rPr>
            </w:pPr>
            <w:r>
              <w:rPr>
                <w:spacing w:val="-10"/>
                <w:sz w:val="18"/>
              </w:rPr>
              <w:t>—</w:t>
            </w:r>
          </w:p>
        </w:tc>
        <w:tc>
          <w:tcPr>
            <w:tcW w:w="952" w:type="dxa"/>
          </w:tcPr>
          <w:p>
            <w:pPr>
              <w:pStyle w:val="TableParagraph"/>
              <w:spacing w:line="180" w:lineRule="exact"/>
              <w:ind w:right="71"/>
              <w:jc w:val="right"/>
              <w:rPr>
                <w:sz w:val="18"/>
              </w:rPr>
            </w:pPr>
            <w:r>
              <w:rPr>
                <w:spacing w:val="-2"/>
                <w:sz w:val="18"/>
              </w:rPr>
              <w:t>18,288</w:t>
            </w:r>
          </w:p>
        </w:tc>
      </w:tr>
      <w:tr>
        <w:trPr>
          <w:trHeight w:val="255" w:hRule="atLeast"/>
        </w:trPr>
        <w:tc>
          <w:tcPr>
            <w:tcW w:w="3797" w:type="dxa"/>
            <w:shd w:val="clear" w:color="auto" w:fill="CCEDFF"/>
          </w:tcPr>
          <w:p>
            <w:pPr>
              <w:pStyle w:val="TableParagraph"/>
              <w:spacing w:line="206" w:lineRule="exact"/>
              <w:ind w:left="52"/>
              <w:rPr>
                <w:sz w:val="18"/>
              </w:rPr>
            </w:pPr>
            <w:r>
              <w:rPr>
                <w:sz w:val="18"/>
              </w:rPr>
              <w:t>Receivables</w:t>
            </w:r>
            <w:r>
              <w:rPr>
                <w:spacing w:val="-1"/>
                <w:sz w:val="18"/>
              </w:rPr>
              <w:t> </w:t>
            </w:r>
            <w:r>
              <w:rPr>
                <w:sz w:val="18"/>
              </w:rPr>
              <w:t>from brokerage clients</w:t>
            </w:r>
            <w:r>
              <w:rPr>
                <w:spacing w:val="-1"/>
                <w:sz w:val="18"/>
              </w:rPr>
              <w:t> </w:t>
            </w:r>
            <w:r>
              <w:rPr>
                <w:sz w:val="18"/>
              </w:rPr>
              <w:t>— </w:t>
            </w:r>
            <w:r>
              <w:rPr>
                <w:spacing w:val="-5"/>
                <w:sz w:val="18"/>
              </w:rPr>
              <w:t>net</w:t>
            </w:r>
          </w:p>
        </w:tc>
        <w:tc>
          <w:tcPr>
            <w:tcW w:w="1749" w:type="dxa"/>
            <w:shd w:val="clear" w:color="auto" w:fill="CCEDFF"/>
          </w:tcPr>
          <w:p>
            <w:pPr>
              <w:pStyle w:val="TableParagraph"/>
              <w:spacing w:line="206" w:lineRule="exact"/>
              <w:ind w:right="98"/>
              <w:jc w:val="right"/>
              <w:rPr>
                <w:sz w:val="18"/>
              </w:rPr>
            </w:pPr>
            <w:r>
              <w:rPr>
                <w:spacing w:val="-2"/>
                <w:sz w:val="18"/>
              </w:rPr>
              <w:t>66,573</w:t>
            </w:r>
          </w:p>
        </w:tc>
        <w:tc>
          <w:tcPr>
            <w:tcW w:w="1354" w:type="dxa"/>
            <w:shd w:val="clear" w:color="auto" w:fill="CCEDFF"/>
          </w:tcPr>
          <w:p>
            <w:pPr>
              <w:pStyle w:val="TableParagraph"/>
              <w:spacing w:line="206" w:lineRule="exact"/>
              <w:ind w:right="282"/>
              <w:jc w:val="right"/>
              <w:rPr>
                <w:sz w:val="18"/>
              </w:rPr>
            </w:pPr>
            <w:r>
              <w:rPr>
                <w:spacing w:val="-10"/>
                <w:sz w:val="18"/>
              </w:rPr>
              <w:t>—</w:t>
            </w:r>
          </w:p>
        </w:tc>
        <w:tc>
          <w:tcPr>
            <w:tcW w:w="971" w:type="dxa"/>
            <w:shd w:val="clear" w:color="auto" w:fill="CCEDFF"/>
          </w:tcPr>
          <w:p>
            <w:pPr>
              <w:pStyle w:val="TableParagraph"/>
              <w:spacing w:line="206" w:lineRule="exact"/>
              <w:ind w:right="98"/>
              <w:jc w:val="right"/>
              <w:rPr>
                <w:sz w:val="18"/>
              </w:rPr>
            </w:pPr>
            <w:r>
              <w:rPr>
                <w:spacing w:val="-2"/>
                <w:sz w:val="18"/>
              </w:rPr>
              <w:t>66,573</w:t>
            </w:r>
          </w:p>
        </w:tc>
        <w:tc>
          <w:tcPr>
            <w:tcW w:w="1406" w:type="dxa"/>
            <w:shd w:val="clear" w:color="auto" w:fill="CCEDFF"/>
          </w:tcPr>
          <w:p>
            <w:pPr>
              <w:pStyle w:val="TableParagraph"/>
              <w:spacing w:line="206" w:lineRule="exact"/>
              <w:ind w:right="289"/>
              <w:jc w:val="right"/>
              <w:rPr>
                <w:sz w:val="18"/>
              </w:rPr>
            </w:pPr>
            <w:r>
              <w:rPr>
                <w:spacing w:val="-10"/>
                <w:sz w:val="18"/>
              </w:rPr>
              <w:t>—</w:t>
            </w:r>
          </w:p>
        </w:tc>
        <w:tc>
          <w:tcPr>
            <w:tcW w:w="952" w:type="dxa"/>
            <w:shd w:val="clear" w:color="auto" w:fill="CCEDFF"/>
          </w:tcPr>
          <w:p>
            <w:pPr>
              <w:pStyle w:val="TableParagraph"/>
              <w:spacing w:line="206" w:lineRule="exact"/>
              <w:ind w:right="71"/>
              <w:jc w:val="right"/>
              <w:rPr>
                <w:sz w:val="18"/>
              </w:rPr>
            </w:pPr>
            <w:r>
              <w:rPr>
                <w:spacing w:val="-2"/>
                <w:sz w:val="18"/>
              </w:rPr>
              <w:t>66,573</w:t>
            </w:r>
          </w:p>
        </w:tc>
      </w:tr>
      <w:tr>
        <w:trPr>
          <w:trHeight w:val="255" w:hRule="atLeast"/>
        </w:trPr>
        <w:tc>
          <w:tcPr>
            <w:tcW w:w="3797" w:type="dxa"/>
          </w:tcPr>
          <w:p>
            <w:pPr>
              <w:pStyle w:val="TableParagraph"/>
              <w:spacing w:line="206" w:lineRule="exact"/>
              <w:ind w:left="52"/>
              <w:rPr>
                <w:sz w:val="18"/>
              </w:rPr>
            </w:pPr>
            <w:r>
              <w:rPr>
                <w:sz w:val="18"/>
              </w:rPr>
              <w:t>Held</w:t>
            </w:r>
            <w:r>
              <w:rPr>
                <w:spacing w:val="-1"/>
                <w:sz w:val="18"/>
              </w:rPr>
              <w:t> </w:t>
            </w:r>
            <w:r>
              <w:rPr>
                <w:sz w:val="18"/>
              </w:rPr>
              <w:t>to maturity </w:t>
            </w:r>
            <w:r>
              <w:rPr>
                <w:spacing w:val="-2"/>
                <w:sz w:val="18"/>
              </w:rPr>
              <w:t>securities:</w:t>
            </w:r>
          </w:p>
        </w:tc>
        <w:tc>
          <w:tcPr>
            <w:tcW w:w="1749" w:type="dxa"/>
          </w:tcPr>
          <w:p>
            <w:pPr>
              <w:pStyle w:val="TableParagraph"/>
              <w:rPr>
                <w:sz w:val="18"/>
              </w:rPr>
            </w:pPr>
          </w:p>
        </w:tc>
        <w:tc>
          <w:tcPr>
            <w:tcW w:w="1354" w:type="dxa"/>
          </w:tcPr>
          <w:p>
            <w:pPr>
              <w:pStyle w:val="TableParagraph"/>
              <w:rPr>
                <w:sz w:val="18"/>
              </w:rPr>
            </w:pPr>
          </w:p>
        </w:tc>
        <w:tc>
          <w:tcPr>
            <w:tcW w:w="971" w:type="dxa"/>
          </w:tcPr>
          <w:p>
            <w:pPr>
              <w:pStyle w:val="TableParagraph"/>
              <w:rPr>
                <w:sz w:val="18"/>
              </w:rPr>
            </w:pPr>
          </w:p>
        </w:tc>
        <w:tc>
          <w:tcPr>
            <w:tcW w:w="1406" w:type="dxa"/>
          </w:tcPr>
          <w:p>
            <w:pPr>
              <w:pStyle w:val="TableParagraph"/>
              <w:rPr>
                <w:sz w:val="18"/>
              </w:rPr>
            </w:pPr>
          </w:p>
        </w:tc>
        <w:tc>
          <w:tcPr>
            <w:tcW w:w="952" w:type="dxa"/>
          </w:tcPr>
          <w:p>
            <w:pPr>
              <w:pStyle w:val="TableParagraph"/>
              <w:rPr>
                <w:sz w:val="18"/>
              </w:rPr>
            </w:pPr>
          </w:p>
        </w:tc>
      </w:tr>
      <w:tr>
        <w:trPr>
          <w:trHeight w:val="250" w:hRule="atLeast"/>
        </w:trPr>
        <w:tc>
          <w:tcPr>
            <w:tcW w:w="3797" w:type="dxa"/>
            <w:tcBorders>
              <w:bottom w:val="single" w:sz="4" w:space="0" w:color="000000"/>
            </w:tcBorders>
            <w:shd w:val="clear" w:color="auto" w:fill="CCEDFF"/>
          </w:tcPr>
          <w:p>
            <w:pPr>
              <w:pStyle w:val="TableParagraph"/>
              <w:spacing w:line="206" w:lineRule="exact"/>
              <w:ind w:left="187"/>
              <w:rPr>
                <w:sz w:val="18"/>
              </w:rPr>
            </w:pPr>
            <w:r>
              <w:rPr>
                <w:sz w:val="18"/>
              </w:rPr>
              <w:t>U.S.</w:t>
            </w:r>
            <w:r>
              <w:rPr>
                <w:spacing w:val="-1"/>
                <w:sz w:val="18"/>
              </w:rPr>
              <w:t> </w:t>
            </w:r>
            <w:r>
              <w:rPr>
                <w:sz w:val="18"/>
              </w:rPr>
              <w:t>agency</w:t>
            </w:r>
            <w:r>
              <w:rPr>
                <w:spacing w:val="-1"/>
                <w:sz w:val="18"/>
              </w:rPr>
              <w:t> </w:t>
            </w:r>
            <w:r>
              <w:rPr>
                <w:sz w:val="18"/>
              </w:rPr>
              <w:t>mortgage-backed </w:t>
            </w:r>
            <w:r>
              <w:rPr>
                <w:spacing w:val="-2"/>
                <w:sz w:val="18"/>
              </w:rPr>
              <w:t>securities</w:t>
            </w:r>
          </w:p>
        </w:tc>
        <w:tc>
          <w:tcPr>
            <w:tcW w:w="1749" w:type="dxa"/>
            <w:tcBorders>
              <w:bottom w:val="single" w:sz="4" w:space="0" w:color="000000"/>
            </w:tcBorders>
            <w:shd w:val="clear" w:color="auto" w:fill="CCEDFF"/>
          </w:tcPr>
          <w:p>
            <w:pPr>
              <w:pStyle w:val="TableParagraph"/>
              <w:spacing w:line="206" w:lineRule="exact"/>
              <w:ind w:right="98"/>
              <w:jc w:val="right"/>
              <w:rPr>
                <w:sz w:val="18"/>
              </w:rPr>
            </w:pPr>
            <w:r>
              <w:rPr>
                <w:spacing w:val="-2"/>
                <w:sz w:val="18"/>
              </w:rPr>
              <w:t>173,074</w:t>
            </w:r>
          </w:p>
        </w:tc>
        <w:tc>
          <w:tcPr>
            <w:tcW w:w="1354" w:type="dxa"/>
            <w:tcBorders>
              <w:bottom w:val="single" w:sz="4" w:space="0" w:color="000000"/>
            </w:tcBorders>
            <w:shd w:val="clear" w:color="auto" w:fill="CCEDFF"/>
          </w:tcPr>
          <w:p>
            <w:pPr>
              <w:pStyle w:val="TableParagraph"/>
              <w:spacing w:line="206" w:lineRule="exact"/>
              <w:ind w:right="282"/>
              <w:jc w:val="right"/>
              <w:rPr>
                <w:sz w:val="18"/>
              </w:rPr>
            </w:pPr>
            <w:r>
              <w:rPr>
                <w:spacing w:val="-10"/>
                <w:sz w:val="18"/>
              </w:rPr>
              <w:t>—</w:t>
            </w:r>
          </w:p>
        </w:tc>
        <w:tc>
          <w:tcPr>
            <w:tcW w:w="971" w:type="dxa"/>
            <w:tcBorders>
              <w:bottom w:val="single" w:sz="4" w:space="0" w:color="000000"/>
            </w:tcBorders>
            <w:shd w:val="clear" w:color="auto" w:fill="CCEDFF"/>
          </w:tcPr>
          <w:p>
            <w:pPr>
              <w:pStyle w:val="TableParagraph"/>
              <w:spacing w:line="206" w:lineRule="exact"/>
              <w:ind w:right="98"/>
              <w:jc w:val="right"/>
              <w:rPr>
                <w:sz w:val="18"/>
              </w:rPr>
            </w:pPr>
            <w:r>
              <w:rPr>
                <w:spacing w:val="-2"/>
                <w:sz w:val="18"/>
              </w:rPr>
              <w:t>158,936</w:t>
            </w:r>
          </w:p>
        </w:tc>
        <w:tc>
          <w:tcPr>
            <w:tcW w:w="1406" w:type="dxa"/>
            <w:tcBorders>
              <w:bottom w:val="single" w:sz="4" w:space="0" w:color="000000"/>
            </w:tcBorders>
            <w:shd w:val="clear" w:color="auto" w:fill="CCEDFF"/>
          </w:tcPr>
          <w:p>
            <w:pPr>
              <w:pStyle w:val="TableParagraph"/>
              <w:spacing w:line="206" w:lineRule="exact"/>
              <w:ind w:right="289"/>
              <w:jc w:val="right"/>
              <w:rPr>
                <w:sz w:val="18"/>
              </w:rPr>
            </w:pPr>
            <w:r>
              <w:rPr>
                <w:spacing w:val="-10"/>
                <w:sz w:val="18"/>
              </w:rPr>
              <w:t>—</w:t>
            </w:r>
          </w:p>
        </w:tc>
        <w:tc>
          <w:tcPr>
            <w:tcW w:w="952" w:type="dxa"/>
            <w:tcBorders>
              <w:bottom w:val="single" w:sz="4" w:space="0" w:color="000000"/>
            </w:tcBorders>
            <w:shd w:val="clear" w:color="auto" w:fill="CCEDFF"/>
          </w:tcPr>
          <w:p>
            <w:pPr>
              <w:pStyle w:val="TableParagraph"/>
              <w:spacing w:line="206" w:lineRule="exact"/>
              <w:ind w:right="71"/>
              <w:jc w:val="right"/>
              <w:rPr>
                <w:sz w:val="18"/>
              </w:rPr>
            </w:pPr>
            <w:r>
              <w:rPr>
                <w:spacing w:val="-2"/>
                <w:sz w:val="18"/>
              </w:rPr>
              <w:t>158,936</w:t>
            </w:r>
          </w:p>
        </w:tc>
      </w:tr>
      <w:tr>
        <w:trPr>
          <w:trHeight w:val="250" w:hRule="atLeast"/>
        </w:trPr>
        <w:tc>
          <w:tcPr>
            <w:tcW w:w="3797" w:type="dxa"/>
            <w:tcBorders>
              <w:top w:val="single" w:sz="4" w:space="0" w:color="000000"/>
            </w:tcBorders>
          </w:tcPr>
          <w:p>
            <w:pPr>
              <w:pStyle w:val="TableParagraph"/>
              <w:spacing w:line="201" w:lineRule="exact"/>
              <w:ind w:left="277"/>
              <w:rPr>
                <w:sz w:val="18"/>
              </w:rPr>
            </w:pPr>
            <w:r>
              <w:rPr>
                <w:sz w:val="18"/>
              </w:rPr>
              <w:t>Total held to maturity </w:t>
            </w:r>
            <w:r>
              <w:rPr>
                <w:spacing w:val="-2"/>
                <w:sz w:val="18"/>
              </w:rPr>
              <w:t>securities</w:t>
            </w:r>
          </w:p>
        </w:tc>
        <w:tc>
          <w:tcPr>
            <w:tcW w:w="1749" w:type="dxa"/>
            <w:tcBorders>
              <w:top w:val="single" w:sz="4" w:space="0" w:color="000000"/>
            </w:tcBorders>
          </w:tcPr>
          <w:p>
            <w:pPr>
              <w:pStyle w:val="TableParagraph"/>
              <w:spacing w:line="201" w:lineRule="exact"/>
              <w:ind w:right="98"/>
              <w:jc w:val="right"/>
              <w:rPr>
                <w:sz w:val="18"/>
              </w:rPr>
            </w:pPr>
            <w:r>
              <w:rPr>
                <w:spacing w:val="-2"/>
                <w:sz w:val="18"/>
              </w:rPr>
              <w:t>173,074</w:t>
            </w:r>
          </w:p>
        </w:tc>
        <w:tc>
          <w:tcPr>
            <w:tcW w:w="1354" w:type="dxa"/>
            <w:tcBorders>
              <w:top w:val="single" w:sz="4" w:space="0" w:color="000000"/>
            </w:tcBorders>
          </w:tcPr>
          <w:p>
            <w:pPr>
              <w:pStyle w:val="TableParagraph"/>
              <w:spacing w:line="201" w:lineRule="exact"/>
              <w:ind w:right="282"/>
              <w:jc w:val="right"/>
              <w:rPr>
                <w:sz w:val="18"/>
              </w:rPr>
            </w:pPr>
            <w:r>
              <w:rPr>
                <w:spacing w:val="-10"/>
                <w:sz w:val="18"/>
              </w:rPr>
              <w:t>—</w:t>
            </w:r>
          </w:p>
        </w:tc>
        <w:tc>
          <w:tcPr>
            <w:tcW w:w="971" w:type="dxa"/>
            <w:tcBorders>
              <w:top w:val="single" w:sz="4" w:space="0" w:color="000000"/>
            </w:tcBorders>
          </w:tcPr>
          <w:p>
            <w:pPr>
              <w:pStyle w:val="TableParagraph"/>
              <w:spacing w:line="201" w:lineRule="exact"/>
              <w:ind w:right="98"/>
              <w:jc w:val="right"/>
              <w:rPr>
                <w:sz w:val="18"/>
              </w:rPr>
            </w:pPr>
            <w:r>
              <w:rPr>
                <w:spacing w:val="-2"/>
                <w:sz w:val="18"/>
              </w:rPr>
              <w:t>158,936</w:t>
            </w:r>
          </w:p>
        </w:tc>
        <w:tc>
          <w:tcPr>
            <w:tcW w:w="1406" w:type="dxa"/>
            <w:tcBorders>
              <w:top w:val="single" w:sz="4" w:space="0" w:color="000000"/>
            </w:tcBorders>
          </w:tcPr>
          <w:p>
            <w:pPr>
              <w:pStyle w:val="TableParagraph"/>
              <w:spacing w:line="201" w:lineRule="exact"/>
              <w:ind w:right="289"/>
              <w:jc w:val="right"/>
              <w:rPr>
                <w:sz w:val="18"/>
              </w:rPr>
            </w:pPr>
            <w:r>
              <w:rPr>
                <w:spacing w:val="-10"/>
                <w:sz w:val="18"/>
              </w:rPr>
              <w:t>—</w:t>
            </w:r>
          </w:p>
        </w:tc>
        <w:tc>
          <w:tcPr>
            <w:tcW w:w="952" w:type="dxa"/>
            <w:tcBorders>
              <w:top w:val="single" w:sz="4" w:space="0" w:color="000000"/>
            </w:tcBorders>
          </w:tcPr>
          <w:p>
            <w:pPr>
              <w:pStyle w:val="TableParagraph"/>
              <w:spacing w:line="201" w:lineRule="exact"/>
              <w:ind w:right="71"/>
              <w:jc w:val="right"/>
              <w:rPr>
                <w:sz w:val="18"/>
              </w:rPr>
            </w:pPr>
            <w:r>
              <w:rPr>
                <w:spacing w:val="-2"/>
                <w:sz w:val="18"/>
              </w:rPr>
              <w:t>158,936</w:t>
            </w:r>
          </w:p>
        </w:tc>
      </w:tr>
      <w:tr>
        <w:trPr>
          <w:trHeight w:val="255" w:hRule="atLeast"/>
        </w:trPr>
        <w:tc>
          <w:tcPr>
            <w:tcW w:w="3797" w:type="dxa"/>
            <w:shd w:val="clear" w:color="auto" w:fill="CCEDFF"/>
          </w:tcPr>
          <w:p>
            <w:pPr>
              <w:pStyle w:val="TableParagraph"/>
              <w:spacing w:line="206" w:lineRule="exact"/>
              <w:ind w:left="52"/>
              <w:rPr>
                <w:sz w:val="18"/>
              </w:rPr>
            </w:pPr>
            <w:r>
              <w:rPr>
                <w:sz w:val="18"/>
              </w:rPr>
              <w:t>Bank loans</w:t>
            </w:r>
            <w:r>
              <w:rPr>
                <w:spacing w:val="-1"/>
                <w:sz w:val="18"/>
              </w:rPr>
              <w:t> </w:t>
            </w:r>
            <w:r>
              <w:rPr>
                <w:sz w:val="18"/>
              </w:rPr>
              <w:t>— </w:t>
            </w:r>
            <w:r>
              <w:rPr>
                <w:spacing w:val="-4"/>
                <w:sz w:val="18"/>
              </w:rPr>
              <w:t>net:</w:t>
            </w:r>
          </w:p>
        </w:tc>
        <w:tc>
          <w:tcPr>
            <w:tcW w:w="1749" w:type="dxa"/>
            <w:shd w:val="clear" w:color="auto" w:fill="CCEDFF"/>
          </w:tcPr>
          <w:p>
            <w:pPr>
              <w:pStyle w:val="TableParagraph"/>
              <w:rPr>
                <w:sz w:val="18"/>
              </w:rPr>
            </w:pPr>
          </w:p>
        </w:tc>
        <w:tc>
          <w:tcPr>
            <w:tcW w:w="1354" w:type="dxa"/>
            <w:shd w:val="clear" w:color="auto" w:fill="CCEDFF"/>
          </w:tcPr>
          <w:p>
            <w:pPr>
              <w:pStyle w:val="TableParagraph"/>
              <w:rPr>
                <w:sz w:val="18"/>
              </w:rPr>
            </w:pPr>
          </w:p>
        </w:tc>
        <w:tc>
          <w:tcPr>
            <w:tcW w:w="971" w:type="dxa"/>
            <w:shd w:val="clear" w:color="auto" w:fill="CCEDFF"/>
          </w:tcPr>
          <w:p>
            <w:pPr>
              <w:pStyle w:val="TableParagraph"/>
              <w:rPr>
                <w:sz w:val="18"/>
              </w:rPr>
            </w:pPr>
          </w:p>
        </w:tc>
        <w:tc>
          <w:tcPr>
            <w:tcW w:w="1406" w:type="dxa"/>
            <w:shd w:val="clear" w:color="auto" w:fill="CCEDFF"/>
          </w:tcPr>
          <w:p>
            <w:pPr>
              <w:pStyle w:val="TableParagraph"/>
              <w:rPr>
                <w:sz w:val="18"/>
              </w:rPr>
            </w:pPr>
          </w:p>
        </w:tc>
        <w:tc>
          <w:tcPr>
            <w:tcW w:w="952" w:type="dxa"/>
            <w:shd w:val="clear" w:color="auto" w:fill="CCEDFF"/>
          </w:tcPr>
          <w:p>
            <w:pPr>
              <w:pStyle w:val="TableParagraph"/>
              <w:rPr>
                <w:sz w:val="18"/>
              </w:rPr>
            </w:pPr>
          </w:p>
        </w:tc>
      </w:tr>
      <w:tr>
        <w:trPr>
          <w:trHeight w:val="255" w:hRule="atLeast"/>
        </w:trPr>
        <w:tc>
          <w:tcPr>
            <w:tcW w:w="3797" w:type="dxa"/>
          </w:tcPr>
          <w:p>
            <w:pPr>
              <w:pStyle w:val="TableParagraph"/>
              <w:spacing w:line="206" w:lineRule="exact"/>
              <w:ind w:left="187"/>
              <w:rPr>
                <w:sz w:val="18"/>
              </w:rPr>
            </w:pPr>
            <w:r>
              <w:rPr>
                <w:sz w:val="18"/>
              </w:rPr>
              <w:t>First</w:t>
            </w:r>
            <w:r>
              <w:rPr>
                <w:spacing w:val="-2"/>
                <w:sz w:val="18"/>
              </w:rPr>
              <w:t> Mortgages</w:t>
            </w:r>
          </w:p>
        </w:tc>
        <w:tc>
          <w:tcPr>
            <w:tcW w:w="1749" w:type="dxa"/>
          </w:tcPr>
          <w:p>
            <w:pPr>
              <w:pStyle w:val="TableParagraph"/>
              <w:spacing w:line="206" w:lineRule="exact"/>
              <w:ind w:right="98"/>
              <w:jc w:val="right"/>
              <w:rPr>
                <w:sz w:val="18"/>
              </w:rPr>
            </w:pPr>
            <w:r>
              <w:rPr>
                <w:spacing w:val="-2"/>
                <w:sz w:val="18"/>
              </w:rPr>
              <w:t>25,132</w:t>
            </w:r>
          </w:p>
        </w:tc>
        <w:tc>
          <w:tcPr>
            <w:tcW w:w="1354" w:type="dxa"/>
          </w:tcPr>
          <w:p>
            <w:pPr>
              <w:pStyle w:val="TableParagraph"/>
              <w:spacing w:line="206" w:lineRule="exact"/>
              <w:ind w:right="282"/>
              <w:jc w:val="right"/>
              <w:rPr>
                <w:sz w:val="18"/>
              </w:rPr>
            </w:pPr>
            <w:r>
              <w:rPr>
                <w:spacing w:val="-10"/>
                <w:sz w:val="18"/>
              </w:rPr>
              <w:t>—</w:t>
            </w:r>
          </w:p>
        </w:tc>
        <w:tc>
          <w:tcPr>
            <w:tcW w:w="971" w:type="dxa"/>
          </w:tcPr>
          <w:p>
            <w:pPr>
              <w:pStyle w:val="TableParagraph"/>
              <w:spacing w:line="206" w:lineRule="exact"/>
              <w:ind w:right="98"/>
              <w:jc w:val="right"/>
              <w:rPr>
                <w:sz w:val="18"/>
              </w:rPr>
            </w:pPr>
            <w:r>
              <w:rPr>
                <w:spacing w:val="-2"/>
                <w:sz w:val="18"/>
              </w:rPr>
              <w:t>22,201</w:t>
            </w:r>
          </w:p>
        </w:tc>
        <w:tc>
          <w:tcPr>
            <w:tcW w:w="1406" w:type="dxa"/>
          </w:tcPr>
          <w:p>
            <w:pPr>
              <w:pStyle w:val="TableParagraph"/>
              <w:spacing w:line="206" w:lineRule="exact"/>
              <w:ind w:right="289"/>
              <w:jc w:val="right"/>
              <w:rPr>
                <w:sz w:val="18"/>
              </w:rPr>
            </w:pPr>
            <w:r>
              <w:rPr>
                <w:spacing w:val="-10"/>
                <w:sz w:val="18"/>
              </w:rPr>
              <w:t>—</w:t>
            </w:r>
          </w:p>
        </w:tc>
        <w:tc>
          <w:tcPr>
            <w:tcW w:w="952" w:type="dxa"/>
          </w:tcPr>
          <w:p>
            <w:pPr>
              <w:pStyle w:val="TableParagraph"/>
              <w:spacing w:line="206" w:lineRule="exact"/>
              <w:ind w:right="71"/>
              <w:jc w:val="right"/>
              <w:rPr>
                <w:sz w:val="18"/>
              </w:rPr>
            </w:pPr>
            <w:r>
              <w:rPr>
                <w:spacing w:val="-2"/>
                <w:sz w:val="18"/>
              </w:rPr>
              <w:t>22,201</w:t>
            </w:r>
          </w:p>
        </w:tc>
      </w:tr>
      <w:tr>
        <w:trPr>
          <w:trHeight w:val="255" w:hRule="atLeast"/>
        </w:trPr>
        <w:tc>
          <w:tcPr>
            <w:tcW w:w="3797" w:type="dxa"/>
            <w:shd w:val="clear" w:color="auto" w:fill="CCEDFF"/>
          </w:tcPr>
          <w:p>
            <w:pPr>
              <w:pStyle w:val="TableParagraph"/>
              <w:spacing w:line="206" w:lineRule="exact"/>
              <w:ind w:left="187"/>
              <w:rPr>
                <w:sz w:val="18"/>
              </w:rPr>
            </w:pPr>
            <w:r>
              <w:rPr>
                <w:spacing w:val="-2"/>
                <w:sz w:val="18"/>
              </w:rPr>
              <w:t>HELOCs</w:t>
            </w:r>
          </w:p>
        </w:tc>
        <w:tc>
          <w:tcPr>
            <w:tcW w:w="1749" w:type="dxa"/>
            <w:shd w:val="clear" w:color="auto" w:fill="CCEDFF"/>
          </w:tcPr>
          <w:p>
            <w:pPr>
              <w:pStyle w:val="TableParagraph"/>
              <w:spacing w:line="206" w:lineRule="exact"/>
              <w:ind w:right="98"/>
              <w:jc w:val="right"/>
              <w:rPr>
                <w:sz w:val="18"/>
              </w:rPr>
            </w:pPr>
            <w:r>
              <w:rPr>
                <w:spacing w:val="-5"/>
                <w:sz w:val="18"/>
              </w:rPr>
              <w:t>593</w:t>
            </w:r>
          </w:p>
        </w:tc>
        <w:tc>
          <w:tcPr>
            <w:tcW w:w="1354" w:type="dxa"/>
            <w:shd w:val="clear" w:color="auto" w:fill="CCEDFF"/>
          </w:tcPr>
          <w:p>
            <w:pPr>
              <w:pStyle w:val="TableParagraph"/>
              <w:spacing w:line="206" w:lineRule="exact"/>
              <w:ind w:right="282"/>
              <w:jc w:val="right"/>
              <w:rPr>
                <w:sz w:val="18"/>
              </w:rPr>
            </w:pPr>
            <w:r>
              <w:rPr>
                <w:spacing w:val="-10"/>
                <w:sz w:val="18"/>
              </w:rPr>
              <w:t>—</w:t>
            </w:r>
          </w:p>
        </w:tc>
        <w:tc>
          <w:tcPr>
            <w:tcW w:w="971" w:type="dxa"/>
            <w:shd w:val="clear" w:color="auto" w:fill="CCEDFF"/>
          </w:tcPr>
          <w:p>
            <w:pPr>
              <w:pStyle w:val="TableParagraph"/>
              <w:spacing w:line="206" w:lineRule="exact"/>
              <w:ind w:right="98"/>
              <w:jc w:val="right"/>
              <w:rPr>
                <w:sz w:val="18"/>
              </w:rPr>
            </w:pPr>
            <w:r>
              <w:rPr>
                <w:spacing w:val="-5"/>
                <w:sz w:val="18"/>
              </w:rPr>
              <w:t>657</w:t>
            </w:r>
          </w:p>
        </w:tc>
        <w:tc>
          <w:tcPr>
            <w:tcW w:w="1406" w:type="dxa"/>
            <w:shd w:val="clear" w:color="auto" w:fill="CCEDFF"/>
          </w:tcPr>
          <w:p>
            <w:pPr>
              <w:pStyle w:val="TableParagraph"/>
              <w:spacing w:line="206" w:lineRule="exact"/>
              <w:ind w:right="289"/>
              <w:jc w:val="right"/>
              <w:rPr>
                <w:sz w:val="18"/>
              </w:rPr>
            </w:pPr>
            <w:r>
              <w:rPr>
                <w:spacing w:val="-10"/>
                <w:sz w:val="18"/>
              </w:rPr>
              <w:t>—</w:t>
            </w:r>
          </w:p>
        </w:tc>
        <w:tc>
          <w:tcPr>
            <w:tcW w:w="952" w:type="dxa"/>
            <w:shd w:val="clear" w:color="auto" w:fill="CCEDFF"/>
          </w:tcPr>
          <w:p>
            <w:pPr>
              <w:pStyle w:val="TableParagraph"/>
              <w:spacing w:line="206" w:lineRule="exact"/>
              <w:ind w:right="71"/>
              <w:jc w:val="right"/>
              <w:rPr>
                <w:sz w:val="18"/>
              </w:rPr>
            </w:pPr>
            <w:r>
              <w:rPr>
                <w:spacing w:val="-5"/>
                <w:sz w:val="18"/>
              </w:rPr>
              <w:t>657</w:t>
            </w:r>
          </w:p>
        </w:tc>
      </w:tr>
      <w:tr>
        <w:trPr>
          <w:trHeight w:val="255" w:hRule="atLeast"/>
        </w:trPr>
        <w:tc>
          <w:tcPr>
            <w:tcW w:w="3797" w:type="dxa"/>
          </w:tcPr>
          <w:p>
            <w:pPr>
              <w:pStyle w:val="TableParagraph"/>
              <w:spacing w:line="206" w:lineRule="exact"/>
              <w:ind w:left="187"/>
              <w:rPr>
                <w:sz w:val="18"/>
              </w:rPr>
            </w:pPr>
            <w:r>
              <w:rPr>
                <w:sz w:val="18"/>
              </w:rPr>
              <w:t>Pledged</w:t>
            </w:r>
            <w:r>
              <w:rPr>
                <w:spacing w:val="-2"/>
                <w:sz w:val="18"/>
              </w:rPr>
              <w:t> </w:t>
            </w:r>
            <w:r>
              <w:rPr>
                <w:sz w:val="18"/>
              </w:rPr>
              <w:t>asset</w:t>
            </w:r>
            <w:r>
              <w:rPr>
                <w:spacing w:val="-1"/>
                <w:sz w:val="18"/>
              </w:rPr>
              <w:t> </w:t>
            </w:r>
            <w:r>
              <w:rPr>
                <w:spacing w:val="-2"/>
                <w:sz w:val="18"/>
              </w:rPr>
              <w:t>lines</w:t>
            </w:r>
          </w:p>
        </w:tc>
        <w:tc>
          <w:tcPr>
            <w:tcW w:w="1749" w:type="dxa"/>
          </w:tcPr>
          <w:p>
            <w:pPr>
              <w:pStyle w:val="TableParagraph"/>
              <w:spacing w:line="206" w:lineRule="exact"/>
              <w:ind w:right="98"/>
              <w:jc w:val="right"/>
              <w:rPr>
                <w:sz w:val="18"/>
              </w:rPr>
            </w:pPr>
            <w:r>
              <w:rPr>
                <w:spacing w:val="-2"/>
                <w:sz w:val="18"/>
              </w:rPr>
              <w:t>14,592</w:t>
            </w:r>
          </w:p>
        </w:tc>
        <w:tc>
          <w:tcPr>
            <w:tcW w:w="1354" w:type="dxa"/>
          </w:tcPr>
          <w:p>
            <w:pPr>
              <w:pStyle w:val="TableParagraph"/>
              <w:spacing w:line="206" w:lineRule="exact"/>
              <w:ind w:right="282"/>
              <w:jc w:val="right"/>
              <w:rPr>
                <w:sz w:val="18"/>
              </w:rPr>
            </w:pPr>
            <w:r>
              <w:rPr>
                <w:spacing w:val="-10"/>
                <w:sz w:val="18"/>
              </w:rPr>
              <w:t>—</w:t>
            </w:r>
          </w:p>
        </w:tc>
        <w:tc>
          <w:tcPr>
            <w:tcW w:w="971" w:type="dxa"/>
          </w:tcPr>
          <w:p>
            <w:pPr>
              <w:pStyle w:val="TableParagraph"/>
              <w:spacing w:line="206" w:lineRule="exact"/>
              <w:ind w:right="98"/>
              <w:jc w:val="right"/>
              <w:rPr>
                <w:sz w:val="18"/>
              </w:rPr>
            </w:pPr>
            <w:r>
              <w:rPr>
                <w:spacing w:val="-2"/>
                <w:sz w:val="18"/>
              </w:rPr>
              <w:t>14,592</w:t>
            </w:r>
          </w:p>
        </w:tc>
        <w:tc>
          <w:tcPr>
            <w:tcW w:w="1406" w:type="dxa"/>
          </w:tcPr>
          <w:p>
            <w:pPr>
              <w:pStyle w:val="TableParagraph"/>
              <w:spacing w:line="206" w:lineRule="exact"/>
              <w:ind w:right="289"/>
              <w:jc w:val="right"/>
              <w:rPr>
                <w:sz w:val="18"/>
              </w:rPr>
            </w:pPr>
            <w:r>
              <w:rPr>
                <w:spacing w:val="-10"/>
                <w:sz w:val="18"/>
              </w:rPr>
              <w:t>—</w:t>
            </w:r>
          </w:p>
        </w:tc>
        <w:tc>
          <w:tcPr>
            <w:tcW w:w="952" w:type="dxa"/>
          </w:tcPr>
          <w:p>
            <w:pPr>
              <w:pStyle w:val="TableParagraph"/>
              <w:spacing w:line="206" w:lineRule="exact"/>
              <w:ind w:right="71"/>
              <w:jc w:val="right"/>
              <w:rPr>
                <w:sz w:val="18"/>
              </w:rPr>
            </w:pPr>
            <w:r>
              <w:rPr>
                <w:spacing w:val="-2"/>
                <w:sz w:val="18"/>
              </w:rPr>
              <w:t>14,592</w:t>
            </w:r>
          </w:p>
        </w:tc>
      </w:tr>
      <w:tr>
        <w:trPr>
          <w:trHeight w:val="250" w:hRule="atLeast"/>
        </w:trPr>
        <w:tc>
          <w:tcPr>
            <w:tcW w:w="3797" w:type="dxa"/>
            <w:tcBorders>
              <w:bottom w:val="single" w:sz="4" w:space="0" w:color="000000"/>
            </w:tcBorders>
            <w:shd w:val="clear" w:color="auto" w:fill="CCEDFF"/>
          </w:tcPr>
          <w:p>
            <w:pPr>
              <w:pStyle w:val="TableParagraph"/>
              <w:spacing w:line="206" w:lineRule="exact"/>
              <w:ind w:left="187"/>
              <w:rPr>
                <w:sz w:val="18"/>
              </w:rPr>
            </w:pPr>
            <w:r>
              <w:rPr>
                <w:spacing w:val="-2"/>
                <w:sz w:val="18"/>
              </w:rPr>
              <w:t>Other</w:t>
            </w:r>
          </w:p>
        </w:tc>
        <w:tc>
          <w:tcPr>
            <w:tcW w:w="1749" w:type="dxa"/>
            <w:tcBorders>
              <w:bottom w:val="single" w:sz="4" w:space="0" w:color="000000"/>
            </w:tcBorders>
            <w:shd w:val="clear" w:color="auto" w:fill="CCEDFF"/>
          </w:tcPr>
          <w:p>
            <w:pPr>
              <w:pStyle w:val="TableParagraph"/>
              <w:spacing w:line="206" w:lineRule="exact"/>
              <w:ind w:right="98"/>
              <w:jc w:val="right"/>
              <w:rPr>
                <w:sz w:val="18"/>
              </w:rPr>
            </w:pPr>
            <w:r>
              <w:rPr>
                <w:spacing w:val="-5"/>
                <w:sz w:val="18"/>
              </w:rPr>
              <w:t>188</w:t>
            </w:r>
          </w:p>
        </w:tc>
        <w:tc>
          <w:tcPr>
            <w:tcW w:w="1354" w:type="dxa"/>
            <w:tcBorders>
              <w:bottom w:val="single" w:sz="4" w:space="0" w:color="000000"/>
            </w:tcBorders>
            <w:shd w:val="clear" w:color="auto" w:fill="CCEDFF"/>
          </w:tcPr>
          <w:p>
            <w:pPr>
              <w:pStyle w:val="TableParagraph"/>
              <w:spacing w:line="206" w:lineRule="exact"/>
              <w:ind w:right="282"/>
              <w:jc w:val="right"/>
              <w:rPr>
                <w:sz w:val="18"/>
              </w:rPr>
            </w:pPr>
            <w:r>
              <w:rPr>
                <w:spacing w:val="-10"/>
                <w:sz w:val="18"/>
              </w:rPr>
              <w:t>—</w:t>
            </w:r>
          </w:p>
        </w:tc>
        <w:tc>
          <w:tcPr>
            <w:tcW w:w="971" w:type="dxa"/>
            <w:tcBorders>
              <w:bottom w:val="single" w:sz="4" w:space="0" w:color="000000"/>
            </w:tcBorders>
            <w:shd w:val="clear" w:color="auto" w:fill="CCEDFF"/>
          </w:tcPr>
          <w:p>
            <w:pPr>
              <w:pStyle w:val="TableParagraph"/>
              <w:spacing w:line="206" w:lineRule="exact"/>
              <w:ind w:right="98"/>
              <w:jc w:val="right"/>
              <w:rPr>
                <w:sz w:val="18"/>
              </w:rPr>
            </w:pPr>
            <w:r>
              <w:rPr>
                <w:spacing w:val="-5"/>
                <w:sz w:val="18"/>
              </w:rPr>
              <w:t>188</w:t>
            </w:r>
          </w:p>
        </w:tc>
        <w:tc>
          <w:tcPr>
            <w:tcW w:w="1406" w:type="dxa"/>
            <w:tcBorders>
              <w:bottom w:val="single" w:sz="4" w:space="0" w:color="000000"/>
            </w:tcBorders>
            <w:shd w:val="clear" w:color="auto" w:fill="CCEDFF"/>
          </w:tcPr>
          <w:p>
            <w:pPr>
              <w:pStyle w:val="TableParagraph"/>
              <w:spacing w:line="206" w:lineRule="exact"/>
              <w:ind w:right="289"/>
              <w:jc w:val="right"/>
              <w:rPr>
                <w:sz w:val="18"/>
              </w:rPr>
            </w:pPr>
            <w:r>
              <w:rPr>
                <w:spacing w:val="-10"/>
                <w:sz w:val="18"/>
              </w:rPr>
              <w:t>—</w:t>
            </w:r>
          </w:p>
        </w:tc>
        <w:tc>
          <w:tcPr>
            <w:tcW w:w="952" w:type="dxa"/>
            <w:tcBorders>
              <w:bottom w:val="single" w:sz="4" w:space="0" w:color="000000"/>
            </w:tcBorders>
            <w:shd w:val="clear" w:color="auto" w:fill="CCEDFF"/>
          </w:tcPr>
          <w:p>
            <w:pPr>
              <w:pStyle w:val="TableParagraph"/>
              <w:spacing w:line="206" w:lineRule="exact"/>
              <w:ind w:right="71"/>
              <w:jc w:val="right"/>
              <w:rPr>
                <w:sz w:val="18"/>
              </w:rPr>
            </w:pPr>
            <w:r>
              <w:rPr>
                <w:spacing w:val="-5"/>
                <w:sz w:val="18"/>
              </w:rPr>
              <w:t>188</w:t>
            </w:r>
          </w:p>
        </w:tc>
      </w:tr>
      <w:tr>
        <w:trPr>
          <w:trHeight w:val="250" w:hRule="atLeast"/>
        </w:trPr>
        <w:tc>
          <w:tcPr>
            <w:tcW w:w="3797" w:type="dxa"/>
            <w:tcBorders>
              <w:top w:val="single" w:sz="4" w:space="0" w:color="000000"/>
            </w:tcBorders>
          </w:tcPr>
          <w:p>
            <w:pPr>
              <w:pStyle w:val="TableParagraph"/>
              <w:spacing w:line="201" w:lineRule="exact"/>
              <w:ind w:left="277"/>
              <w:rPr>
                <w:sz w:val="18"/>
              </w:rPr>
            </w:pPr>
            <w:r>
              <w:rPr>
                <w:sz w:val="18"/>
              </w:rPr>
              <w:t>Total bank loans</w:t>
            </w:r>
            <w:r>
              <w:rPr>
                <w:spacing w:val="-1"/>
                <w:sz w:val="18"/>
              </w:rPr>
              <w:t> </w:t>
            </w:r>
            <w:r>
              <w:rPr>
                <w:sz w:val="18"/>
              </w:rPr>
              <w:t>— </w:t>
            </w:r>
            <w:r>
              <w:rPr>
                <w:spacing w:val="-5"/>
                <w:sz w:val="18"/>
              </w:rPr>
              <w:t>net</w:t>
            </w:r>
          </w:p>
        </w:tc>
        <w:tc>
          <w:tcPr>
            <w:tcW w:w="1749" w:type="dxa"/>
            <w:tcBorders>
              <w:top w:val="single" w:sz="4" w:space="0" w:color="000000"/>
            </w:tcBorders>
          </w:tcPr>
          <w:p>
            <w:pPr>
              <w:pStyle w:val="TableParagraph"/>
              <w:spacing w:line="201" w:lineRule="exact"/>
              <w:ind w:right="98"/>
              <w:jc w:val="right"/>
              <w:rPr>
                <w:sz w:val="18"/>
              </w:rPr>
            </w:pPr>
            <w:r>
              <w:rPr>
                <w:spacing w:val="-2"/>
                <w:sz w:val="18"/>
              </w:rPr>
              <w:t>40,505</w:t>
            </w:r>
          </w:p>
        </w:tc>
        <w:tc>
          <w:tcPr>
            <w:tcW w:w="1354" w:type="dxa"/>
            <w:tcBorders>
              <w:top w:val="single" w:sz="4" w:space="0" w:color="000000"/>
            </w:tcBorders>
          </w:tcPr>
          <w:p>
            <w:pPr>
              <w:pStyle w:val="TableParagraph"/>
              <w:spacing w:line="201" w:lineRule="exact"/>
              <w:ind w:right="282"/>
              <w:jc w:val="right"/>
              <w:rPr>
                <w:sz w:val="18"/>
              </w:rPr>
            </w:pPr>
            <w:r>
              <w:rPr>
                <w:spacing w:val="-10"/>
                <w:sz w:val="18"/>
              </w:rPr>
              <w:t>—</w:t>
            </w:r>
          </w:p>
        </w:tc>
        <w:tc>
          <w:tcPr>
            <w:tcW w:w="971" w:type="dxa"/>
            <w:tcBorders>
              <w:top w:val="single" w:sz="4" w:space="0" w:color="000000"/>
            </w:tcBorders>
          </w:tcPr>
          <w:p>
            <w:pPr>
              <w:pStyle w:val="TableParagraph"/>
              <w:spacing w:line="201" w:lineRule="exact"/>
              <w:ind w:right="98"/>
              <w:jc w:val="right"/>
              <w:rPr>
                <w:sz w:val="18"/>
              </w:rPr>
            </w:pPr>
            <w:r>
              <w:rPr>
                <w:spacing w:val="-2"/>
                <w:sz w:val="18"/>
              </w:rPr>
              <w:t>37,638</w:t>
            </w:r>
          </w:p>
        </w:tc>
        <w:tc>
          <w:tcPr>
            <w:tcW w:w="1406" w:type="dxa"/>
            <w:tcBorders>
              <w:top w:val="single" w:sz="4" w:space="0" w:color="000000"/>
            </w:tcBorders>
          </w:tcPr>
          <w:p>
            <w:pPr>
              <w:pStyle w:val="TableParagraph"/>
              <w:spacing w:line="201" w:lineRule="exact"/>
              <w:ind w:right="289"/>
              <w:jc w:val="right"/>
              <w:rPr>
                <w:sz w:val="18"/>
              </w:rPr>
            </w:pPr>
            <w:r>
              <w:rPr>
                <w:spacing w:val="-10"/>
                <w:sz w:val="18"/>
              </w:rPr>
              <w:t>—</w:t>
            </w:r>
          </w:p>
        </w:tc>
        <w:tc>
          <w:tcPr>
            <w:tcW w:w="952" w:type="dxa"/>
            <w:tcBorders>
              <w:top w:val="single" w:sz="4" w:space="0" w:color="000000"/>
            </w:tcBorders>
          </w:tcPr>
          <w:p>
            <w:pPr>
              <w:pStyle w:val="TableParagraph"/>
              <w:spacing w:line="201" w:lineRule="exact"/>
              <w:ind w:right="71"/>
              <w:jc w:val="right"/>
              <w:rPr>
                <w:sz w:val="18"/>
              </w:rPr>
            </w:pPr>
            <w:r>
              <w:rPr>
                <w:spacing w:val="-2"/>
                <w:sz w:val="18"/>
              </w:rPr>
              <w:t>37,638</w:t>
            </w:r>
          </w:p>
        </w:tc>
      </w:tr>
      <w:tr>
        <w:trPr>
          <w:trHeight w:val="250" w:hRule="atLeast"/>
        </w:trPr>
        <w:tc>
          <w:tcPr>
            <w:tcW w:w="3797" w:type="dxa"/>
            <w:tcBorders>
              <w:bottom w:val="single" w:sz="4" w:space="0" w:color="000000"/>
            </w:tcBorders>
            <w:shd w:val="clear" w:color="auto" w:fill="CCEDFF"/>
          </w:tcPr>
          <w:p>
            <w:pPr>
              <w:pStyle w:val="TableParagraph"/>
              <w:spacing w:line="206" w:lineRule="exact"/>
              <w:ind w:left="52"/>
              <w:rPr>
                <w:sz w:val="18"/>
              </w:rPr>
            </w:pPr>
            <w:r>
              <w:rPr>
                <w:sz w:val="18"/>
              </w:rPr>
              <w:t>Other</w:t>
            </w:r>
            <w:r>
              <w:rPr>
                <w:spacing w:val="-1"/>
                <w:sz w:val="18"/>
              </w:rPr>
              <w:t> </w:t>
            </w:r>
            <w:r>
              <w:rPr>
                <w:spacing w:val="-2"/>
                <w:sz w:val="18"/>
              </w:rPr>
              <w:t>assets</w:t>
            </w:r>
          </w:p>
        </w:tc>
        <w:tc>
          <w:tcPr>
            <w:tcW w:w="1749" w:type="dxa"/>
            <w:tcBorders>
              <w:bottom w:val="single" w:sz="4" w:space="0" w:color="000000"/>
            </w:tcBorders>
            <w:shd w:val="clear" w:color="auto" w:fill="CCEDFF"/>
          </w:tcPr>
          <w:p>
            <w:pPr>
              <w:pStyle w:val="TableParagraph"/>
              <w:spacing w:line="206" w:lineRule="exact"/>
              <w:ind w:right="98"/>
              <w:jc w:val="right"/>
              <w:rPr>
                <w:sz w:val="18"/>
              </w:rPr>
            </w:pPr>
            <w:r>
              <w:rPr>
                <w:spacing w:val="-2"/>
                <w:sz w:val="18"/>
              </w:rPr>
              <w:t>3,788</w:t>
            </w:r>
          </w:p>
        </w:tc>
        <w:tc>
          <w:tcPr>
            <w:tcW w:w="2325" w:type="dxa"/>
            <w:gridSpan w:val="2"/>
            <w:tcBorders>
              <w:bottom w:val="single" w:sz="4" w:space="0" w:color="000000"/>
            </w:tcBorders>
            <w:shd w:val="clear" w:color="auto" w:fill="CCEDFF"/>
          </w:tcPr>
          <w:p>
            <w:pPr>
              <w:pStyle w:val="TableParagraph"/>
              <w:tabs>
                <w:tab w:pos="1819" w:val="left" w:leader="none"/>
              </w:tabs>
              <w:spacing w:line="206" w:lineRule="exact"/>
              <w:ind w:left="889"/>
              <w:rPr>
                <w:sz w:val="18"/>
              </w:rPr>
            </w:pPr>
            <w:r>
              <w:rPr>
                <w:spacing w:val="-10"/>
                <w:sz w:val="18"/>
              </w:rPr>
              <w:t>—</w:t>
            </w:r>
            <w:r>
              <w:rPr>
                <w:sz w:val="18"/>
              </w:rPr>
              <w:tab/>
            </w:r>
            <w:r>
              <w:rPr>
                <w:spacing w:val="-2"/>
                <w:sz w:val="18"/>
              </w:rPr>
              <w:t>3,788</w:t>
            </w:r>
          </w:p>
        </w:tc>
        <w:tc>
          <w:tcPr>
            <w:tcW w:w="2358" w:type="dxa"/>
            <w:gridSpan w:val="2"/>
            <w:tcBorders>
              <w:bottom w:val="single" w:sz="4" w:space="0" w:color="000000"/>
            </w:tcBorders>
            <w:shd w:val="clear" w:color="auto" w:fill="CCEDFF"/>
          </w:tcPr>
          <w:p>
            <w:pPr>
              <w:pStyle w:val="TableParagraph"/>
              <w:tabs>
                <w:tab w:pos="1879" w:val="left" w:leader="none"/>
              </w:tabs>
              <w:spacing w:line="206" w:lineRule="exact"/>
              <w:ind w:left="934"/>
              <w:rPr>
                <w:sz w:val="18"/>
              </w:rPr>
            </w:pPr>
            <w:r>
              <w:rPr>
                <w:spacing w:val="-10"/>
                <w:sz w:val="18"/>
              </w:rPr>
              <w:t>—</w:t>
            </w:r>
            <w:r>
              <w:rPr>
                <w:sz w:val="18"/>
              </w:rPr>
              <w:tab/>
            </w:r>
            <w:r>
              <w:rPr>
                <w:spacing w:val="-2"/>
                <w:sz w:val="18"/>
              </w:rPr>
              <w:t>3,788</w:t>
            </w:r>
          </w:p>
        </w:tc>
      </w:tr>
      <w:tr>
        <w:trPr>
          <w:trHeight w:val="250" w:hRule="atLeast"/>
        </w:trPr>
        <w:tc>
          <w:tcPr>
            <w:tcW w:w="3797" w:type="dxa"/>
            <w:tcBorders>
              <w:top w:val="single" w:sz="4" w:space="0" w:color="000000"/>
            </w:tcBorders>
          </w:tcPr>
          <w:p>
            <w:pPr>
              <w:pStyle w:val="TableParagraph"/>
              <w:spacing w:line="201" w:lineRule="exact"/>
              <w:ind w:left="52"/>
              <w:rPr>
                <w:b/>
                <w:sz w:val="18"/>
              </w:rPr>
            </w:pPr>
            <w:r>
              <w:rPr>
                <w:b/>
                <w:spacing w:val="-2"/>
                <w:sz w:val="18"/>
              </w:rPr>
              <w:t>Liabilities</w:t>
            </w:r>
          </w:p>
        </w:tc>
        <w:tc>
          <w:tcPr>
            <w:tcW w:w="1749" w:type="dxa"/>
            <w:tcBorders>
              <w:top w:val="single" w:sz="4" w:space="0" w:color="000000"/>
            </w:tcBorders>
          </w:tcPr>
          <w:p>
            <w:pPr>
              <w:pStyle w:val="TableParagraph"/>
              <w:rPr>
                <w:sz w:val="18"/>
              </w:rPr>
            </w:pPr>
          </w:p>
        </w:tc>
        <w:tc>
          <w:tcPr>
            <w:tcW w:w="2325" w:type="dxa"/>
            <w:gridSpan w:val="2"/>
            <w:tcBorders>
              <w:top w:val="single" w:sz="4" w:space="0" w:color="000000"/>
            </w:tcBorders>
          </w:tcPr>
          <w:p>
            <w:pPr>
              <w:pStyle w:val="TableParagraph"/>
              <w:rPr>
                <w:sz w:val="18"/>
              </w:rPr>
            </w:pPr>
          </w:p>
        </w:tc>
        <w:tc>
          <w:tcPr>
            <w:tcW w:w="2358" w:type="dxa"/>
            <w:gridSpan w:val="2"/>
            <w:tcBorders>
              <w:top w:val="single" w:sz="4" w:space="0" w:color="000000"/>
            </w:tcBorders>
          </w:tcPr>
          <w:p>
            <w:pPr>
              <w:pStyle w:val="TableParagraph"/>
              <w:rPr>
                <w:sz w:val="18"/>
              </w:rPr>
            </w:pPr>
          </w:p>
        </w:tc>
      </w:tr>
      <w:tr>
        <w:trPr>
          <w:trHeight w:val="255" w:hRule="atLeast"/>
        </w:trPr>
        <w:tc>
          <w:tcPr>
            <w:tcW w:w="3797" w:type="dxa"/>
            <w:shd w:val="clear" w:color="auto" w:fill="CCEDFF"/>
          </w:tcPr>
          <w:p>
            <w:pPr>
              <w:pStyle w:val="TableParagraph"/>
              <w:spacing w:line="206" w:lineRule="exact"/>
              <w:ind w:left="52"/>
              <w:rPr>
                <w:sz w:val="18"/>
              </w:rPr>
            </w:pPr>
            <w:r>
              <w:rPr>
                <w:sz w:val="18"/>
              </w:rPr>
              <w:t>Bank </w:t>
            </w:r>
            <w:r>
              <w:rPr>
                <w:spacing w:val="-2"/>
                <w:sz w:val="18"/>
              </w:rPr>
              <w:t>deposits</w:t>
            </w:r>
          </w:p>
        </w:tc>
        <w:tc>
          <w:tcPr>
            <w:tcW w:w="1749" w:type="dxa"/>
            <w:shd w:val="clear" w:color="auto" w:fill="CCEDFF"/>
          </w:tcPr>
          <w:p>
            <w:pPr>
              <w:pStyle w:val="TableParagraph"/>
              <w:tabs>
                <w:tab w:pos="352" w:val="left" w:leader="none"/>
              </w:tabs>
              <w:spacing w:line="206" w:lineRule="exact"/>
              <w:ind w:right="98"/>
              <w:jc w:val="right"/>
              <w:rPr>
                <w:sz w:val="18"/>
              </w:rPr>
            </w:pPr>
            <w:r>
              <w:rPr>
                <w:spacing w:val="-10"/>
                <w:sz w:val="18"/>
              </w:rPr>
              <w:t>$</w:t>
            </w:r>
            <w:r>
              <w:rPr>
                <w:sz w:val="18"/>
              </w:rPr>
              <w:tab/>
            </w:r>
            <w:r>
              <w:rPr>
                <w:spacing w:val="-2"/>
                <w:sz w:val="18"/>
              </w:rPr>
              <w:t>366,724</w:t>
            </w:r>
          </w:p>
        </w:tc>
        <w:tc>
          <w:tcPr>
            <w:tcW w:w="2325" w:type="dxa"/>
            <w:gridSpan w:val="2"/>
            <w:shd w:val="clear" w:color="auto" w:fill="CCEDFF"/>
          </w:tcPr>
          <w:p>
            <w:pPr>
              <w:pStyle w:val="TableParagraph"/>
              <w:tabs>
                <w:tab w:pos="889" w:val="left" w:leader="none"/>
                <w:tab w:pos="1271" w:val="left" w:leader="none"/>
                <w:tab w:pos="1639" w:val="left" w:leader="none"/>
              </w:tabs>
              <w:spacing w:line="206" w:lineRule="exact"/>
              <w:ind w:left="101"/>
              <w:rPr>
                <w:sz w:val="18"/>
              </w:rPr>
            </w:pPr>
            <w:r>
              <w:rPr>
                <w:spacing w:val="-10"/>
                <w:sz w:val="18"/>
              </w:rPr>
              <w:t>$</w:t>
            </w:r>
            <w:r>
              <w:rPr>
                <w:sz w:val="18"/>
              </w:rPr>
              <w:tab/>
            </w:r>
            <w:r>
              <w:rPr>
                <w:spacing w:val="-10"/>
                <w:sz w:val="18"/>
              </w:rPr>
              <w:t>—</w:t>
            </w:r>
            <w:r>
              <w:rPr>
                <w:sz w:val="18"/>
              </w:rPr>
              <w:tab/>
            </w:r>
            <w:r>
              <w:rPr>
                <w:spacing w:val="-10"/>
                <w:sz w:val="18"/>
              </w:rPr>
              <w:t>$</w:t>
            </w:r>
            <w:r>
              <w:rPr>
                <w:sz w:val="18"/>
              </w:rPr>
              <w:tab/>
            </w:r>
            <w:r>
              <w:rPr>
                <w:spacing w:val="-2"/>
                <w:sz w:val="18"/>
              </w:rPr>
              <w:t>366,724</w:t>
            </w:r>
          </w:p>
        </w:tc>
        <w:tc>
          <w:tcPr>
            <w:tcW w:w="2358" w:type="dxa"/>
            <w:gridSpan w:val="2"/>
            <w:shd w:val="clear" w:color="auto" w:fill="CCEDFF"/>
          </w:tcPr>
          <w:p>
            <w:pPr>
              <w:pStyle w:val="TableParagraph"/>
              <w:tabs>
                <w:tab w:pos="934" w:val="left" w:leader="none"/>
                <w:tab w:pos="1316" w:val="left" w:leader="none"/>
                <w:tab w:pos="1699" w:val="left" w:leader="none"/>
              </w:tabs>
              <w:spacing w:line="206" w:lineRule="exact"/>
              <w:ind w:left="101"/>
              <w:rPr>
                <w:sz w:val="18"/>
              </w:rPr>
            </w:pPr>
            <w:r>
              <w:rPr>
                <w:spacing w:val="-10"/>
                <w:sz w:val="18"/>
              </w:rPr>
              <w:t>$</w:t>
            </w:r>
            <w:r>
              <w:rPr>
                <w:sz w:val="18"/>
              </w:rPr>
              <w:tab/>
            </w:r>
            <w:r>
              <w:rPr>
                <w:spacing w:val="-10"/>
                <w:sz w:val="18"/>
              </w:rPr>
              <w:t>—</w:t>
            </w:r>
            <w:r>
              <w:rPr>
                <w:sz w:val="18"/>
              </w:rPr>
              <w:tab/>
            </w:r>
            <w:r>
              <w:rPr>
                <w:spacing w:val="-10"/>
                <w:sz w:val="18"/>
              </w:rPr>
              <w:t>$</w:t>
            </w:r>
            <w:r>
              <w:rPr>
                <w:sz w:val="18"/>
              </w:rPr>
              <w:tab/>
            </w:r>
            <w:r>
              <w:rPr>
                <w:spacing w:val="-2"/>
                <w:sz w:val="18"/>
              </w:rPr>
              <w:t>366,724</w:t>
            </w:r>
          </w:p>
        </w:tc>
      </w:tr>
      <w:tr>
        <w:trPr>
          <w:trHeight w:val="255" w:hRule="atLeast"/>
        </w:trPr>
        <w:tc>
          <w:tcPr>
            <w:tcW w:w="3797" w:type="dxa"/>
          </w:tcPr>
          <w:p>
            <w:pPr>
              <w:pStyle w:val="TableParagraph"/>
              <w:spacing w:line="206" w:lineRule="exact"/>
              <w:ind w:left="52"/>
              <w:rPr>
                <w:sz w:val="18"/>
              </w:rPr>
            </w:pPr>
            <w:r>
              <w:rPr>
                <w:sz w:val="18"/>
              </w:rPr>
              <w:t>Payables</w:t>
            </w:r>
            <w:r>
              <w:rPr>
                <w:spacing w:val="-2"/>
                <w:sz w:val="18"/>
              </w:rPr>
              <w:t> </w:t>
            </w:r>
            <w:r>
              <w:rPr>
                <w:sz w:val="18"/>
              </w:rPr>
              <w:t>to brokerage </w:t>
            </w:r>
            <w:r>
              <w:rPr>
                <w:spacing w:val="-2"/>
                <w:sz w:val="18"/>
              </w:rPr>
              <w:t>clients</w:t>
            </w:r>
          </w:p>
        </w:tc>
        <w:tc>
          <w:tcPr>
            <w:tcW w:w="1749" w:type="dxa"/>
          </w:tcPr>
          <w:p>
            <w:pPr>
              <w:pStyle w:val="TableParagraph"/>
              <w:spacing w:line="206" w:lineRule="exact"/>
              <w:ind w:right="98"/>
              <w:jc w:val="right"/>
              <w:rPr>
                <w:sz w:val="18"/>
              </w:rPr>
            </w:pPr>
            <w:r>
              <w:rPr>
                <w:spacing w:val="-2"/>
                <w:sz w:val="18"/>
              </w:rPr>
              <w:t>97,438</w:t>
            </w:r>
          </w:p>
        </w:tc>
        <w:tc>
          <w:tcPr>
            <w:tcW w:w="2325" w:type="dxa"/>
            <w:gridSpan w:val="2"/>
          </w:tcPr>
          <w:p>
            <w:pPr>
              <w:pStyle w:val="TableParagraph"/>
              <w:tabs>
                <w:tab w:pos="1729" w:val="left" w:leader="none"/>
              </w:tabs>
              <w:spacing w:line="206" w:lineRule="exact"/>
              <w:ind w:left="889"/>
              <w:rPr>
                <w:sz w:val="18"/>
              </w:rPr>
            </w:pPr>
            <w:r>
              <w:rPr>
                <w:spacing w:val="-10"/>
                <w:sz w:val="18"/>
              </w:rPr>
              <w:t>—</w:t>
            </w:r>
            <w:r>
              <w:rPr>
                <w:sz w:val="18"/>
              </w:rPr>
              <w:tab/>
            </w:r>
            <w:r>
              <w:rPr>
                <w:spacing w:val="-2"/>
                <w:sz w:val="18"/>
              </w:rPr>
              <w:t>97,438</w:t>
            </w:r>
          </w:p>
        </w:tc>
        <w:tc>
          <w:tcPr>
            <w:tcW w:w="2358" w:type="dxa"/>
            <w:gridSpan w:val="2"/>
          </w:tcPr>
          <w:p>
            <w:pPr>
              <w:pStyle w:val="TableParagraph"/>
              <w:tabs>
                <w:tab w:pos="1789" w:val="left" w:leader="none"/>
              </w:tabs>
              <w:spacing w:line="206" w:lineRule="exact"/>
              <w:ind w:left="934"/>
              <w:rPr>
                <w:sz w:val="18"/>
              </w:rPr>
            </w:pPr>
            <w:r>
              <w:rPr>
                <w:spacing w:val="-10"/>
                <w:sz w:val="18"/>
              </w:rPr>
              <w:t>—</w:t>
            </w:r>
            <w:r>
              <w:rPr>
                <w:sz w:val="18"/>
              </w:rPr>
              <w:tab/>
            </w:r>
            <w:r>
              <w:rPr>
                <w:spacing w:val="-2"/>
                <w:sz w:val="18"/>
              </w:rPr>
              <w:t>97,438</w:t>
            </w:r>
          </w:p>
        </w:tc>
      </w:tr>
      <w:tr>
        <w:trPr>
          <w:trHeight w:val="255" w:hRule="atLeast"/>
        </w:trPr>
        <w:tc>
          <w:tcPr>
            <w:tcW w:w="3797" w:type="dxa"/>
            <w:shd w:val="clear" w:color="auto" w:fill="CCEDFF"/>
          </w:tcPr>
          <w:p>
            <w:pPr>
              <w:pStyle w:val="TableParagraph"/>
              <w:spacing w:line="206" w:lineRule="exact"/>
              <w:ind w:left="52"/>
              <w:rPr>
                <w:sz w:val="18"/>
              </w:rPr>
            </w:pPr>
            <w:r>
              <w:rPr>
                <w:sz w:val="18"/>
              </w:rPr>
              <w:t>Accrued</w:t>
            </w:r>
            <w:r>
              <w:rPr>
                <w:spacing w:val="-1"/>
                <w:sz w:val="18"/>
              </w:rPr>
              <w:t> </w:t>
            </w:r>
            <w:r>
              <w:rPr>
                <w:sz w:val="18"/>
              </w:rPr>
              <w:t>expenses</w:t>
            </w:r>
            <w:r>
              <w:rPr>
                <w:spacing w:val="-1"/>
                <w:sz w:val="18"/>
              </w:rPr>
              <w:t> </w:t>
            </w:r>
            <w:r>
              <w:rPr>
                <w:sz w:val="18"/>
              </w:rPr>
              <w:t>and</w:t>
            </w:r>
            <w:r>
              <w:rPr>
                <w:spacing w:val="-1"/>
                <w:sz w:val="18"/>
              </w:rPr>
              <w:t> </w:t>
            </w:r>
            <w:r>
              <w:rPr>
                <w:sz w:val="18"/>
              </w:rPr>
              <w:t>other </w:t>
            </w:r>
            <w:r>
              <w:rPr>
                <w:spacing w:val="-2"/>
                <w:sz w:val="18"/>
              </w:rPr>
              <w:t>liabilities</w:t>
            </w:r>
          </w:p>
        </w:tc>
        <w:tc>
          <w:tcPr>
            <w:tcW w:w="1749" w:type="dxa"/>
            <w:shd w:val="clear" w:color="auto" w:fill="CCEDFF"/>
          </w:tcPr>
          <w:p>
            <w:pPr>
              <w:pStyle w:val="TableParagraph"/>
              <w:spacing w:line="206" w:lineRule="exact"/>
              <w:ind w:right="98"/>
              <w:jc w:val="right"/>
              <w:rPr>
                <w:sz w:val="18"/>
              </w:rPr>
            </w:pPr>
            <w:r>
              <w:rPr>
                <w:spacing w:val="-2"/>
                <w:sz w:val="18"/>
              </w:rPr>
              <w:t>5,584</w:t>
            </w:r>
          </w:p>
        </w:tc>
        <w:tc>
          <w:tcPr>
            <w:tcW w:w="2325" w:type="dxa"/>
            <w:gridSpan w:val="2"/>
            <w:shd w:val="clear" w:color="auto" w:fill="CCEDFF"/>
          </w:tcPr>
          <w:p>
            <w:pPr>
              <w:pStyle w:val="TableParagraph"/>
              <w:tabs>
                <w:tab w:pos="1819" w:val="left" w:leader="none"/>
              </w:tabs>
              <w:spacing w:line="206" w:lineRule="exact"/>
              <w:ind w:left="889"/>
              <w:rPr>
                <w:sz w:val="18"/>
              </w:rPr>
            </w:pPr>
            <w:r>
              <w:rPr>
                <w:spacing w:val="-10"/>
                <w:sz w:val="18"/>
              </w:rPr>
              <w:t>—</w:t>
            </w:r>
            <w:r>
              <w:rPr>
                <w:sz w:val="18"/>
              </w:rPr>
              <w:tab/>
            </w:r>
            <w:r>
              <w:rPr>
                <w:spacing w:val="-2"/>
                <w:sz w:val="18"/>
              </w:rPr>
              <w:t>5,584</w:t>
            </w:r>
          </w:p>
        </w:tc>
        <w:tc>
          <w:tcPr>
            <w:tcW w:w="2358" w:type="dxa"/>
            <w:gridSpan w:val="2"/>
            <w:shd w:val="clear" w:color="auto" w:fill="CCEDFF"/>
          </w:tcPr>
          <w:p>
            <w:pPr>
              <w:pStyle w:val="TableParagraph"/>
              <w:tabs>
                <w:tab w:pos="1879" w:val="left" w:leader="none"/>
              </w:tabs>
              <w:spacing w:line="206" w:lineRule="exact"/>
              <w:ind w:left="934"/>
              <w:rPr>
                <w:sz w:val="18"/>
              </w:rPr>
            </w:pPr>
            <w:r>
              <w:rPr>
                <w:spacing w:val="-10"/>
                <w:sz w:val="18"/>
              </w:rPr>
              <w:t>—</w:t>
            </w:r>
            <w:r>
              <w:rPr>
                <w:sz w:val="18"/>
              </w:rPr>
              <w:tab/>
            </w:r>
            <w:r>
              <w:rPr>
                <w:spacing w:val="-2"/>
                <w:sz w:val="18"/>
              </w:rPr>
              <w:t>5,584</w:t>
            </w:r>
          </w:p>
        </w:tc>
      </w:tr>
      <w:tr>
        <w:trPr>
          <w:trHeight w:val="255" w:hRule="atLeast"/>
        </w:trPr>
        <w:tc>
          <w:tcPr>
            <w:tcW w:w="3797" w:type="dxa"/>
          </w:tcPr>
          <w:p>
            <w:pPr>
              <w:pStyle w:val="TableParagraph"/>
              <w:spacing w:line="206" w:lineRule="exact"/>
              <w:ind w:left="52"/>
              <w:rPr>
                <w:sz w:val="18"/>
              </w:rPr>
            </w:pPr>
            <w:r>
              <w:rPr>
                <w:sz w:val="18"/>
              </w:rPr>
              <w:t>Other</w:t>
            </w:r>
            <w:r>
              <w:rPr>
                <w:spacing w:val="-1"/>
                <w:sz w:val="18"/>
              </w:rPr>
              <w:t> </w:t>
            </w:r>
            <w:r>
              <w:rPr>
                <w:sz w:val="18"/>
              </w:rPr>
              <w:t>short-term</w:t>
            </w:r>
            <w:r>
              <w:rPr>
                <w:spacing w:val="-1"/>
                <w:sz w:val="18"/>
              </w:rPr>
              <w:t> </w:t>
            </w:r>
            <w:r>
              <w:rPr>
                <w:spacing w:val="-2"/>
                <w:sz w:val="18"/>
              </w:rPr>
              <w:t>borrowings</w:t>
            </w:r>
          </w:p>
        </w:tc>
        <w:tc>
          <w:tcPr>
            <w:tcW w:w="1749" w:type="dxa"/>
          </w:tcPr>
          <w:p>
            <w:pPr>
              <w:pStyle w:val="TableParagraph"/>
              <w:spacing w:line="206" w:lineRule="exact"/>
              <w:ind w:right="98"/>
              <w:jc w:val="right"/>
              <w:rPr>
                <w:sz w:val="18"/>
              </w:rPr>
            </w:pPr>
            <w:r>
              <w:rPr>
                <w:spacing w:val="-2"/>
                <w:sz w:val="18"/>
              </w:rPr>
              <w:t>4,650</w:t>
            </w:r>
          </w:p>
        </w:tc>
        <w:tc>
          <w:tcPr>
            <w:tcW w:w="2325" w:type="dxa"/>
            <w:gridSpan w:val="2"/>
          </w:tcPr>
          <w:p>
            <w:pPr>
              <w:pStyle w:val="TableParagraph"/>
              <w:tabs>
                <w:tab w:pos="1819" w:val="left" w:leader="none"/>
              </w:tabs>
              <w:spacing w:line="206" w:lineRule="exact"/>
              <w:ind w:left="889"/>
              <w:rPr>
                <w:sz w:val="18"/>
              </w:rPr>
            </w:pPr>
            <w:r>
              <w:rPr>
                <w:spacing w:val="-10"/>
                <w:sz w:val="18"/>
              </w:rPr>
              <w:t>—</w:t>
            </w:r>
            <w:r>
              <w:rPr>
                <w:sz w:val="18"/>
              </w:rPr>
              <w:tab/>
            </w:r>
            <w:r>
              <w:rPr>
                <w:spacing w:val="-2"/>
                <w:sz w:val="18"/>
              </w:rPr>
              <w:t>4,650</w:t>
            </w:r>
          </w:p>
        </w:tc>
        <w:tc>
          <w:tcPr>
            <w:tcW w:w="2358" w:type="dxa"/>
            <w:gridSpan w:val="2"/>
          </w:tcPr>
          <w:p>
            <w:pPr>
              <w:pStyle w:val="TableParagraph"/>
              <w:tabs>
                <w:tab w:pos="1879" w:val="left" w:leader="none"/>
              </w:tabs>
              <w:spacing w:line="206" w:lineRule="exact"/>
              <w:ind w:left="934"/>
              <w:rPr>
                <w:sz w:val="18"/>
              </w:rPr>
            </w:pPr>
            <w:r>
              <w:rPr>
                <w:spacing w:val="-10"/>
                <w:sz w:val="18"/>
              </w:rPr>
              <w:t>—</w:t>
            </w:r>
            <w:r>
              <w:rPr>
                <w:sz w:val="18"/>
              </w:rPr>
              <w:tab/>
            </w:r>
            <w:r>
              <w:rPr>
                <w:spacing w:val="-2"/>
                <w:sz w:val="18"/>
              </w:rPr>
              <w:t>4,650</w:t>
            </w:r>
          </w:p>
        </w:tc>
      </w:tr>
      <w:tr>
        <w:trPr>
          <w:trHeight w:val="255" w:hRule="atLeast"/>
        </w:trPr>
        <w:tc>
          <w:tcPr>
            <w:tcW w:w="3797" w:type="dxa"/>
            <w:shd w:val="clear" w:color="auto" w:fill="CCEDFF"/>
          </w:tcPr>
          <w:p>
            <w:pPr>
              <w:pStyle w:val="TableParagraph"/>
              <w:spacing w:line="206" w:lineRule="exact"/>
              <w:ind w:left="52"/>
              <w:rPr>
                <w:sz w:val="18"/>
              </w:rPr>
            </w:pPr>
            <w:r>
              <w:rPr>
                <w:sz w:val="18"/>
              </w:rPr>
              <w:t>Federal</w:t>
            </w:r>
            <w:r>
              <w:rPr>
                <w:spacing w:val="-1"/>
                <w:sz w:val="18"/>
              </w:rPr>
              <w:t> </w:t>
            </w:r>
            <w:r>
              <w:rPr>
                <w:sz w:val="18"/>
              </w:rPr>
              <w:t>Home Loan</w:t>
            </w:r>
            <w:r>
              <w:rPr>
                <w:spacing w:val="-1"/>
                <w:sz w:val="18"/>
              </w:rPr>
              <w:t> </w:t>
            </w:r>
            <w:r>
              <w:rPr>
                <w:sz w:val="18"/>
              </w:rPr>
              <w:t>Bank </w:t>
            </w:r>
            <w:r>
              <w:rPr>
                <w:spacing w:val="-2"/>
                <w:sz w:val="18"/>
              </w:rPr>
              <w:t>borrowings</w:t>
            </w:r>
          </w:p>
        </w:tc>
        <w:tc>
          <w:tcPr>
            <w:tcW w:w="1749" w:type="dxa"/>
            <w:shd w:val="clear" w:color="auto" w:fill="CCEDFF"/>
          </w:tcPr>
          <w:p>
            <w:pPr>
              <w:pStyle w:val="TableParagraph"/>
              <w:spacing w:line="206" w:lineRule="exact"/>
              <w:ind w:right="98"/>
              <w:jc w:val="right"/>
              <w:rPr>
                <w:sz w:val="18"/>
              </w:rPr>
            </w:pPr>
            <w:r>
              <w:rPr>
                <w:spacing w:val="-2"/>
                <w:sz w:val="18"/>
              </w:rPr>
              <w:t>12,400</w:t>
            </w:r>
          </w:p>
        </w:tc>
        <w:tc>
          <w:tcPr>
            <w:tcW w:w="2325" w:type="dxa"/>
            <w:gridSpan w:val="2"/>
            <w:shd w:val="clear" w:color="auto" w:fill="CCEDFF"/>
          </w:tcPr>
          <w:p>
            <w:pPr>
              <w:pStyle w:val="TableParagraph"/>
              <w:tabs>
                <w:tab w:pos="1729" w:val="left" w:leader="none"/>
              </w:tabs>
              <w:spacing w:line="206" w:lineRule="exact"/>
              <w:ind w:left="889"/>
              <w:rPr>
                <w:sz w:val="18"/>
              </w:rPr>
            </w:pPr>
            <w:r>
              <w:rPr>
                <w:spacing w:val="-10"/>
                <w:sz w:val="18"/>
              </w:rPr>
              <w:t>—</w:t>
            </w:r>
            <w:r>
              <w:rPr>
                <w:sz w:val="18"/>
              </w:rPr>
              <w:tab/>
            </w:r>
            <w:r>
              <w:rPr>
                <w:spacing w:val="-2"/>
                <w:sz w:val="18"/>
              </w:rPr>
              <w:t>12,400</w:t>
            </w:r>
          </w:p>
        </w:tc>
        <w:tc>
          <w:tcPr>
            <w:tcW w:w="2358" w:type="dxa"/>
            <w:gridSpan w:val="2"/>
            <w:shd w:val="clear" w:color="auto" w:fill="CCEDFF"/>
          </w:tcPr>
          <w:p>
            <w:pPr>
              <w:pStyle w:val="TableParagraph"/>
              <w:tabs>
                <w:tab w:pos="1789" w:val="left" w:leader="none"/>
              </w:tabs>
              <w:spacing w:line="206" w:lineRule="exact"/>
              <w:ind w:left="934"/>
              <w:rPr>
                <w:sz w:val="18"/>
              </w:rPr>
            </w:pPr>
            <w:r>
              <w:rPr>
                <w:spacing w:val="-10"/>
                <w:sz w:val="18"/>
              </w:rPr>
              <w:t>—</w:t>
            </w:r>
            <w:r>
              <w:rPr>
                <w:sz w:val="18"/>
              </w:rPr>
              <w:tab/>
            </w:r>
            <w:r>
              <w:rPr>
                <w:spacing w:val="-2"/>
                <w:sz w:val="18"/>
              </w:rPr>
              <w:t>12,400</w:t>
            </w:r>
          </w:p>
        </w:tc>
      </w:tr>
      <w:tr>
        <w:trPr>
          <w:trHeight w:val="250" w:hRule="atLeast"/>
        </w:trPr>
        <w:tc>
          <w:tcPr>
            <w:tcW w:w="3797" w:type="dxa"/>
            <w:tcBorders>
              <w:bottom w:val="single" w:sz="4" w:space="0" w:color="000000"/>
            </w:tcBorders>
          </w:tcPr>
          <w:p>
            <w:pPr>
              <w:pStyle w:val="TableParagraph"/>
              <w:spacing w:line="206" w:lineRule="exact"/>
              <w:ind w:left="52"/>
              <w:rPr>
                <w:sz w:val="18"/>
              </w:rPr>
            </w:pPr>
            <w:r>
              <w:rPr>
                <w:sz w:val="18"/>
              </w:rPr>
              <w:t>Long-term </w:t>
            </w:r>
            <w:r>
              <w:rPr>
                <w:spacing w:val="-4"/>
                <w:sz w:val="18"/>
              </w:rPr>
              <w:t>debt</w:t>
            </w:r>
          </w:p>
        </w:tc>
        <w:tc>
          <w:tcPr>
            <w:tcW w:w="1749" w:type="dxa"/>
            <w:tcBorders>
              <w:bottom w:val="single" w:sz="4" w:space="0" w:color="000000"/>
            </w:tcBorders>
          </w:tcPr>
          <w:p>
            <w:pPr>
              <w:pStyle w:val="TableParagraph"/>
              <w:spacing w:line="206" w:lineRule="exact"/>
              <w:ind w:right="98"/>
              <w:jc w:val="right"/>
              <w:rPr>
                <w:sz w:val="18"/>
              </w:rPr>
            </w:pPr>
            <w:r>
              <w:rPr>
                <w:spacing w:val="-2"/>
                <w:sz w:val="18"/>
              </w:rPr>
              <w:t>20,760</w:t>
            </w:r>
          </w:p>
        </w:tc>
        <w:tc>
          <w:tcPr>
            <w:tcW w:w="2325" w:type="dxa"/>
            <w:gridSpan w:val="2"/>
            <w:tcBorders>
              <w:bottom w:val="single" w:sz="4" w:space="0" w:color="000000"/>
            </w:tcBorders>
          </w:tcPr>
          <w:p>
            <w:pPr>
              <w:pStyle w:val="TableParagraph"/>
              <w:tabs>
                <w:tab w:pos="1729" w:val="left" w:leader="none"/>
              </w:tabs>
              <w:spacing w:line="206" w:lineRule="exact"/>
              <w:ind w:left="889"/>
              <w:rPr>
                <w:sz w:val="18"/>
              </w:rPr>
            </w:pPr>
            <w:r>
              <w:rPr>
                <w:spacing w:val="-10"/>
                <w:sz w:val="18"/>
              </w:rPr>
              <w:t>—</w:t>
            </w:r>
            <w:r>
              <w:rPr>
                <w:sz w:val="18"/>
              </w:rPr>
              <w:tab/>
            </w:r>
            <w:r>
              <w:rPr>
                <w:spacing w:val="-2"/>
                <w:sz w:val="18"/>
              </w:rPr>
              <w:t>19,108</w:t>
            </w:r>
          </w:p>
        </w:tc>
        <w:tc>
          <w:tcPr>
            <w:tcW w:w="2358" w:type="dxa"/>
            <w:gridSpan w:val="2"/>
            <w:tcBorders>
              <w:bottom w:val="single" w:sz="4" w:space="0" w:color="000000"/>
            </w:tcBorders>
          </w:tcPr>
          <w:p>
            <w:pPr>
              <w:pStyle w:val="TableParagraph"/>
              <w:tabs>
                <w:tab w:pos="1789" w:val="left" w:leader="none"/>
              </w:tabs>
              <w:spacing w:line="206" w:lineRule="exact"/>
              <w:ind w:left="934"/>
              <w:rPr>
                <w:sz w:val="18"/>
              </w:rPr>
            </w:pPr>
            <w:r>
              <w:rPr>
                <w:spacing w:val="-10"/>
                <w:sz w:val="18"/>
              </w:rPr>
              <w:t>—</w:t>
            </w:r>
            <w:r>
              <w:rPr>
                <w:sz w:val="18"/>
              </w:rPr>
              <w:tab/>
            </w:r>
            <w:r>
              <w:rPr>
                <w:spacing w:val="-2"/>
                <w:sz w:val="18"/>
              </w:rPr>
              <w:t>19,108</w:t>
            </w:r>
          </w:p>
        </w:tc>
      </w:tr>
    </w:tbl>
    <w:p>
      <w:pPr>
        <w:spacing w:after="0" w:line="206" w:lineRule="exact"/>
        <w:rPr>
          <w:sz w:val="18"/>
        </w:rPr>
        <w:sectPr>
          <w:type w:val="continuous"/>
          <w:pgSz w:w="12240" w:h="15840"/>
          <w:pgMar w:header="227" w:footer="201" w:top="320" w:bottom="280" w:left="520" w:right="520"/>
        </w:sectPr>
      </w:pPr>
    </w:p>
    <w:p>
      <w:pPr>
        <w:pStyle w:val="Heading2"/>
        <w:numPr>
          <w:ilvl w:val="0"/>
          <w:numId w:val="4"/>
        </w:numPr>
        <w:tabs>
          <w:tab w:pos="829" w:val="left" w:leader="none"/>
        </w:tabs>
        <w:spacing w:line="240" w:lineRule="auto" w:before="211" w:after="0"/>
        <w:ind w:left="829" w:right="0" w:hanging="719"/>
        <w:jc w:val="left"/>
      </w:pPr>
      <w:bookmarkStart w:name="Note 14 Stockholders' Equity" w:id="53"/>
      <w:bookmarkEnd w:id="53"/>
      <w:r>
        <w:rPr>
          <w:b w:val="0"/>
        </w:rPr>
      </w:r>
      <w:r>
        <w:rPr/>
        <w:t>Stockholders’</w:t>
      </w:r>
      <w:r>
        <w:rPr>
          <w:spacing w:val="-11"/>
        </w:rPr>
        <w:t> </w:t>
      </w:r>
      <w:r>
        <w:rPr>
          <w:spacing w:val="-2"/>
        </w:rPr>
        <w:t>Equity</w:t>
      </w:r>
    </w:p>
    <w:p>
      <w:pPr>
        <w:pStyle w:val="BodyText"/>
        <w:spacing w:before="23"/>
        <w:rPr>
          <w:b/>
        </w:rPr>
      </w:pPr>
    </w:p>
    <w:p>
      <w:pPr>
        <w:pStyle w:val="BodyText"/>
        <w:spacing w:line="249" w:lineRule="auto"/>
        <w:ind w:left="110" w:right="117"/>
      </w:pPr>
      <w:r>
        <w:rPr/>
        <w:t>On July 27, 2022, CSC publicly announced that its Board of Directors approved a new share repurchase authorization to repurchase up</w:t>
      </w:r>
      <w:r>
        <w:rPr>
          <w:spacing w:val="40"/>
        </w:rPr>
        <w:t> </w:t>
      </w:r>
      <w:r>
        <w:rPr/>
        <w:t>to $15.0 billion of common stock, replacing the previous and now terminated share repurchase authorization of up to $4.0 billion of common stock. The new share repurchase authorization does not have an expiration date. There were no repurchases of CSC’s common stock</w:t>
      </w:r>
      <w:r>
        <w:rPr>
          <w:spacing w:val="-2"/>
        </w:rPr>
        <w:t> </w:t>
      </w:r>
      <w:r>
        <w:rPr/>
        <w:t>during</w:t>
      </w:r>
      <w:r>
        <w:rPr>
          <w:spacing w:val="-2"/>
        </w:rPr>
        <w:t> </w:t>
      </w:r>
      <w:r>
        <w:rPr/>
        <w:t>the</w:t>
      </w:r>
      <w:r>
        <w:rPr>
          <w:spacing w:val="-3"/>
        </w:rPr>
        <w:t> </w:t>
      </w:r>
      <w:r>
        <w:rPr/>
        <w:t>three</w:t>
      </w:r>
      <w:r>
        <w:rPr>
          <w:spacing w:val="-3"/>
        </w:rPr>
        <w:t> </w:t>
      </w:r>
      <w:r>
        <w:rPr/>
        <w:t>months</w:t>
      </w:r>
      <w:r>
        <w:rPr>
          <w:spacing w:val="-3"/>
        </w:rPr>
        <w:t> </w:t>
      </w:r>
      <w:r>
        <w:rPr/>
        <w:t>ended</w:t>
      </w:r>
      <w:r>
        <w:rPr>
          <w:spacing w:val="-2"/>
        </w:rPr>
        <w:t> </w:t>
      </w:r>
      <w:r>
        <w:rPr/>
        <w:t>September</w:t>
      </w:r>
      <w:r>
        <w:rPr>
          <w:spacing w:val="-2"/>
        </w:rPr>
        <w:t> </w:t>
      </w:r>
      <w:r>
        <w:rPr/>
        <w:t>30,</w:t>
      </w:r>
      <w:r>
        <w:rPr>
          <w:spacing w:val="-2"/>
        </w:rPr>
        <w:t> </w:t>
      </w:r>
      <w:r>
        <w:rPr/>
        <w:t>2023.</w:t>
      </w:r>
      <w:r>
        <w:rPr>
          <w:spacing w:val="-2"/>
        </w:rPr>
        <w:t> </w:t>
      </w:r>
      <w:r>
        <w:rPr/>
        <w:t>CSC</w:t>
      </w:r>
      <w:r>
        <w:rPr>
          <w:spacing w:val="-3"/>
        </w:rPr>
        <w:t> </w:t>
      </w:r>
      <w:r>
        <w:rPr/>
        <w:t>repurchased</w:t>
      </w:r>
      <w:r>
        <w:rPr>
          <w:spacing w:val="-2"/>
        </w:rPr>
        <w:t> </w:t>
      </w:r>
      <w:r>
        <w:rPr/>
        <w:t>37</w:t>
      </w:r>
      <w:r>
        <w:rPr>
          <w:spacing w:val="-2"/>
        </w:rPr>
        <w:t> </w:t>
      </w:r>
      <w:r>
        <w:rPr/>
        <w:t>million</w:t>
      </w:r>
      <w:r>
        <w:rPr>
          <w:spacing w:val="-2"/>
        </w:rPr>
        <w:t> </w:t>
      </w:r>
      <w:r>
        <w:rPr/>
        <w:t>shares</w:t>
      </w:r>
      <w:r>
        <w:rPr>
          <w:spacing w:val="-3"/>
        </w:rPr>
        <w:t> </w:t>
      </w:r>
      <w:r>
        <w:rPr/>
        <w:t>of</w:t>
      </w:r>
      <w:r>
        <w:rPr>
          <w:spacing w:val="-2"/>
        </w:rPr>
        <w:t> </w:t>
      </w:r>
      <w:r>
        <w:rPr/>
        <w:t>its</w:t>
      </w:r>
      <w:r>
        <w:rPr>
          <w:spacing w:val="-3"/>
        </w:rPr>
        <w:t> </w:t>
      </w:r>
      <w:r>
        <w:rPr/>
        <w:t>common</w:t>
      </w:r>
      <w:r>
        <w:rPr>
          <w:spacing w:val="-2"/>
        </w:rPr>
        <w:t> </w:t>
      </w:r>
      <w:r>
        <w:rPr/>
        <w:t>stock</w:t>
      </w:r>
      <w:r>
        <w:rPr>
          <w:spacing w:val="-2"/>
        </w:rPr>
        <w:t> </w:t>
      </w:r>
      <w:r>
        <w:rPr/>
        <w:t>for</w:t>
      </w:r>
      <w:r>
        <w:rPr>
          <w:spacing w:val="-2"/>
        </w:rPr>
        <w:t> </w:t>
      </w:r>
      <w:r>
        <w:rPr/>
        <w:t>$2.8</w:t>
      </w:r>
      <w:r>
        <w:rPr>
          <w:spacing w:val="-2"/>
        </w:rPr>
        <w:t> </w:t>
      </w:r>
      <w:r>
        <w:rPr/>
        <w:t>billion</w:t>
      </w:r>
      <w:r>
        <w:rPr>
          <w:spacing w:val="-2"/>
        </w:rPr>
        <w:t> </w:t>
      </w:r>
      <w:r>
        <w:rPr/>
        <w:t>during the nine months ended September 30, 2023. As of September 30, 2023, approximately $8.7 billion remained on the new authorization.</w:t>
      </w:r>
    </w:p>
    <w:p>
      <w:pPr>
        <w:pStyle w:val="BodyText"/>
        <w:spacing w:before="14"/>
      </w:pPr>
    </w:p>
    <w:p>
      <w:pPr>
        <w:pStyle w:val="BodyText"/>
        <w:spacing w:line="249" w:lineRule="auto"/>
        <w:ind w:left="110" w:right="500"/>
      </w:pPr>
      <w:r>
        <w:rPr/>
        <w:t>There</w:t>
      </w:r>
      <w:r>
        <w:rPr>
          <w:spacing w:val="-4"/>
        </w:rPr>
        <w:t> </w:t>
      </w:r>
      <w:r>
        <w:rPr/>
        <w:t>were</w:t>
      </w:r>
      <w:r>
        <w:rPr>
          <w:spacing w:val="-4"/>
        </w:rPr>
        <w:t> </w:t>
      </w:r>
      <w:r>
        <w:rPr/>
        <w:t>no</w:t>
      </w:r>
      <w:r>
        <w:rPr>
          <w:spacing w:val="-3"/>
        </w:rPr>
        <w:t> </w:t>
      </w:r>
      <w:r>
        <w:rPr/>
        <w:t>repurchases</w:t>
      </w:r>
      <w:r>
        <w:rPr>
          <w:spacing w:val="-4"/>
        </w:rPr>
        <w:t> </w:t>
      </w:r>
      <w:r>
        <w:rPr/>
        <w:t>of</w:t>
      </w:r>
      <w:r>
        <w:rPr>
          <w:spacing w:val="-3"/>
        </w:rPr>
        <w:t> </w:t>
      </w:r>
      <w:r>
        <w:rPr/>
        <w:t>CSC’s</w:t>
      </w:r>
      <w:r>
        <w:rPr>
          <w:spacing w:val="-4"/>
        </w:rPr>
        <w:t> </w:t>
      </w:r>
      <w:r>
        <w:rPr/>
        <w:t>preferred</w:t>
      </w:r>
      <w:r>
        <w:rPr>
          <w:spacing w:val="-3"/>
        </w:rPr>
        <w:t> </w:t>
      </w:r>
      <w:r>
        <w:rPr/>
        <w:t>stock</w:t>
      </w:r>
      <w:r>
        <w:rPr>
          <w:spacing w:val="-3"/>
        </w:rPr>
        <w:t> </w:t>
      </w:r>
      <w:r>
        <w:rPr/>
        <w:t>during</w:t>
      </w:r>
      <w:r>
        <w:rPr>
          <w:spacing w:val="-3"/>
        </w:rPr>
        <w:t> </w:t>
      </w:r>
      <w:r>
        <w:rPr/>
        <w:t>the</w:t>
      </w:r>
      <w:r>
        <w:rPr>
          <w:spacing w:val="-4"/>
        </w:rPr>
        <w:t> </w:t>
      </w:r>
      <w:r>
        <w:rPr/>
        <w:t>three</w:t>
      </w:r>
      <w:r>
        <w:rPr>
          <w:spacing w:val="-4"/>
        </w:rPr>
        <w:t> </w:t>
      </w:r>
      <w:r>
        <w:rPr/>
        <w:t>months</w:t>
      </w:r>
      <w:r>
        <w:rPr>
          <w:spacing w:val="-4"/>
        </w:rPr>
        <w:t> </w:t>
      </w:r>
      <w:r>
        <w:rPr/>
        <w:t>ended</w:t>
      </w:r>
      <w:r>
        <w:rPr>
          <w:spacing w:val="-3"/>
        </w:rPr>
        <w:t> </w:t>
      </w:r>
      <w:r>
        <w:rPr/>
        <w:t>September</w:t>
      </w:r>
      <w:r>
        <w:rPr>
          <w:spacing w:val="-3"/>
        </w:rPr>
        <w:t> </w:t>
      </w:r>
      <w:r>
        <w:rPr/>
        <w:t>30,</w:t>
      </w:r>
      <w:r>
        <w:rPr>
          <w:spacing w:val="-3"/>
        </w:rPr>
        <w:t> </w:t>
      </w:r>
      <w:r>
        <w:rPr/>
        <w:t>2023.</w:t>
      </w:r>
      <w:r>
        <w:rPr>
          <w:spacing w:val="-3"/>
        </w:rPr>
        <w:t> </w:t>
      </w:r>
      <w:r>
        <w:rPr/>
        <w:t>The</w:t>
      </w:r>
      <w:r>
        <w:rPr>
          <w:spacing w:val="-4"/>
        </w:rPr>
        <w:t> </w:t>
      </w:r>
      <w:r>
        <w:rPr/>
        <w:t>Company</w:t>
      </w:r>
      <w:r>
        <w:rPr>
          <w:spacing w:val="-3"/>
        </w:rPr>
        <w:t> </w:t>
      </w:r>
      <w:r>
        <w:rPr/>
        <w:t>repurchased 11,620 depositary shares representing interests in Series F preferred stock for $11 million, 42,036 depositary shares representing interests</w:t>
      </w:r>
      <w:r>
        <w:rPr>
          <w:spacing w:val="-1"/>
        </w:rPr>
        <w:t> </w:t>
      </w:r>
      <w:r>
        <w:rPr/>
        <w:t>in Series</w:t>
      </w:r>
      <w:r>
        <w:rPr>
          <w:spacing w:val="-1"/>
        </w:rPr>
        <w:t> </w:t>
      </w:r>
      <w:r>
        <w:rPr/>
        <w:t>G</w:t>
      </w:r>
      <w:r>
        <w:rPr>
          <w:spacing w:val="-1"/>
        </w:rPr>
        <w:t> </w:t>
      </w:r>
      <w:r>
        <w:rPr/>
        <w:t>preferred stock for $42 million, 273,251 depositary shares</w:t>
      </w:r>
      <w:r>
        <w:rPr>
          <w:spacing w:val="-1"/>
        </w:rPr>
        <w:t> </w:t>
      </w:r>
      <w:r>
        <w:rPr/>
        <w:t>representing interests</w:t>
      </w:r>
      <w:r>
        <w:rPr>
          <w:spacing w:val="-1"/>
        </w:rPr>
        <w:t> </w:t>
      </w:r>
      <w:r>
        <w:rPr/>
        <w:t>in Series</w:t>
      </w:r>
      <w:r>
        <w:rPr>
          <w:spacing w:val="-1"/>
        </w:rPr>
        <w:t> </w:t>
      </w:r>
      <w:r>
        <w:rPr/>
        <w:t>H</w:t>
      </w:r>
      <w:r>
        <w:rPr>
          <w:spacing w:val="-1"/>
        </w:rPr>
        <w:t> </w:t>
      </w:r>
      <w:r>
        <w:rPr/>
        <w:t>preferred stock for</w:t>
      </w:r>
    </w:p>
    <w:p>
      <w:pPr>
        <w:pStyle w:val="BodyText"/>
        <w:spacing w:line="249" w:lineRule="auto" w:before="3"/>
        <w:ind w:left="110" w:right="146"/>
      </w:pPr>
      <w:r>
        <w:rPr/>
        <w:t>$235</w:t>
      </w:r>
      <w:r>
        <w:rPr>
          <w:spacing w:val="-3"/>
        </w:rPr>
        <w:t> </w:t>
      </w:r>
      <w:r>
        <w:rPr/>
        <w:t>million,</w:t>
      </w:r>
      <w:r>
        <w:rPr>
          <w:spacing w:val="-3"/>
        </w:rPr>
        <w:t> </w:t>
      </w:r>
      <w:r>
        <w:rPr/>
        <w:t>and</w:t>
      </w:r>
      <w:r>
        <w:rPr>
          <w:spacing w:val="-3"/>
        </w:rPr>
        <w:t> </w:t>
      </w:r>
      <w:r>
        <w:rPr/>
        <w:t>194,567</w:t>
      </w:r>
      <w:r>
        <w:rPr>
          <w:spacing w:val="-3"/>
        </w:rPr>
        <w:t> </w:t>
      </w:r>
      <w:r>
        <w:rPr/>
        <w:t>depositary</w:t>
      </w:r>
      <w:r>
        <w:rPr>
          <w:spacing w:val="-3"/>
        </w:rPr>
        <w:t> </w:t>
      </w:r>
      <w:r>
        <w:rPr/>
        <w:t>shares</w:t>
      </w:r>
      <w:r>
        <w:rPr>
          <w:spacing w:val="-3"/>
        </w:rPr>
        <w:t> </w:t>
      </w:r>
      <w:r>
        <w:rPr/>
        <w:t>representing</w:t>
      </w:r>
      <w:r>
        <w:rPr>
          <w:spacing w:val="-3"/>
        </w:rPr>
        <w:t> </w:t>
      </w:r>
      <w:r>
        <w:rPr/>
        <w:t>interests</w:t>
      </w:r>
      <w:r>
        <w:rPr>
          <w:spacing w:val="-3"/>
        </w:rPr>
        <w:t> </w:t>
      </w:r>
      <w:r>
        <w:rPr/>
        <w:t>in</w:t>
      </w:r>
      <w:r>
        <w:rPr>
          <w:spacing w:val="-3"/>
        </w:rPr>
        <w:t> </w:t>
      </w:r>
      <w:r>
        <w:rPr/>
        <w:t>Series</w:t>
      </w:r>
      <w:r>
        <w:rPr>
          <w:spacing w:val="-3"/>
        </w:rPr>
        <w:t> </w:t>
      </w:r>
      <w:r>
        <w:rPr/>
        <w:t>I</w:t>
      </w:r>
      <w:r>
        <w:rPr>
          <w:spacing w:val="-3"/>
        </w:rPr>
        <w:t> </w:t>
      </w:r>
      <w:r>
        <w:rPr/>
        <w:t>preferred</w:t>
      </w:r>
      <w:r>
        <w:rPr>
          <w:spacing w:val="-3"/>
        </w:rPr>
        <w:t> </w:t>
      </w:r>
      <w:r>
        <w:rPr/>
        <w:t>stock</w:t>
      </w:r>
      <w:r>
        <w:rPr>
          <w:spacing w:val="-3"/>
        </w:rPr>
        <w:t> </w:t>
      </w:r>
      <w:r>
        <w:rPr/>
        <w:t>for</w:t>
      </w:r>
      <w:r>
        <w:rPr>
          <w:spacing w:val="-3"/>
        </w:rPr>
        <w:t> </w:t>
      </w:r>
      <w:r>
        <w:rPr/>
        <w:t>$179</w:t>
      </w:r>
      <w:r>
        <w:rPr>
          <w:spacing w:val="-3"/>
        </w:rPr>
        <w:t> </w:t>
      </w:r>
      <w:r>
        <w:rPr/>
        <w:t>million</w:t>
      </w:r>
      <w:r>
        <w:rPr>
          <w:spacing w:val="-3"/>
        </w:rPr>
        <w:t> </w:t>
      </w:r>
      <w:r>
        <w:rPr/>
        <w:t>on</w:t>
      </w:r>
      <w:r>
        <w:rPr>
          <w:spacing w:val="-3"/>
        </w:rPr>
        <w:t> </w:t>
      </w:r>
      <w:r>
        <w:rPr/>
        <w:t>the</w:t>
      </w:r>
      <w:r>
        <w:rPr>
          <w:spacing w:val="-3"/>
        </w:rPr>
        <w:t> </w:t>
      </w:r>
      <w:r>
        <w:rPr/>
        <w:t>open</w:t>
      </w:r>
      <w:r>
        <w:rPr>
          <w:spacing w:val="-3"/>
        </w:rPr>
        <w:t> </w:t>
      </w:r>
      <w:r>
        <w:rPr/>
        <w:t>market</w:t>
      </w:r>
      <w:r>
        <w:rPr>
          <w:spacing w:val="-3"/>
        </w:rPr>
        <w:t> </w:t>
      </w:r>
      <w:r>
        <w:rPr/>
        <w:t>during the nine months ended September 30, 2023. The repurchase prices are inclusive of $3 million of dividends accrued by the stockholders as of the repurchase date.</w:t>
      </w:r>
    </w:p>
    <w:p>
      <w:pPr>
        <w:pStyle w:val="BodyText"/>
        <w:spacing w:before="12"/>
      </w:pPr>
    </w:p>
    <w:p>
      <w:pPr>
        <w:pStyle w:val="BodyText"/>
        <w:spacing w:line="249" w:lineRule="auto"/>
        <w:ind w:left="110"/>
      </w:pPr>
      <w:r>
        <w:rPr/>
        <w:t>Beginning</w:t>
      </w:r>
      <w:r>
        <w:rPr>
          <w:spacing w:val="-2"/>
        </w:rPr>
        <w:t> </w:t>
      </w:r>
      <w:r>
        <w:rPr/>
        <w:t>in</w:t>
      </w:r>
      <w:r>
        <w:rPr>
          <w:spacing w:val="-2"/>
        </w:rPr>
        <w:t> </w:t>
      </w:r>
      <w:r>
        <w:rPr/>
        <w:t>2023,</w:t>
      </w:r>
      <w:r>
        <w:rPr>
          <w:spacing w:val="-2"/>
        </w:rPr>
        <w:t> </w:t>
      </w:r>
      <w:r>
        <w:rPr/>
        <w:t>share</w:t>
      </w:r>
      <w:r>
        <w:rPr>
          <w:spacing w:val="-3"/>
        </w:rPr>
        <w:t> </w:t>
      </w:r>
      <w:r>
        <w:rPr/>
        <w:t>repurchases,</w:t>
      </w:r>
      <w:r>
        <w:rPr>
          <w:spacing w:val="-2"/>
        </w:rPr>
        <w:t> </w:t>
      </w:r>
      <w:r>
        <w:rPr/>
        <w:t>net</w:t>
      </w:r>
      <w:r>
        <w:rPr>
          <w:spacing w:val="-3"/>
        </w:rPr>
        <w:t> </w:t>
      </w:r>
      <w:r>
        <w:rPr/>
        <w:t>of</w:t>
      </w:r>
      <w:r>
        <w:rPr>
          <w:spacing w:val="-2"/>
        </w:rPr>
        <w:t> </w:t>
      </w:r>
      <w:r>
        <w:rPr/>
        <w:t>issuances,</w:t>
      </w:r>
      <w:r>
        <w:rPr>
          <w:spacing w:val="-2"/>
        </w:rPr>
        <w:t> </w:t>
      </w:r>
      <w:r>
        <w:rPr/>
        <w:t>are</w:t>
      </w:r>
      <w:r>
        <w:rPr>
          <w:spacing w:val="-3"/>
        </w:rPr>
        <w:t> </w:t>
      </w:r>
      <w:r>
        <w:rPr/>
        <w:t>subject</w:t>
      </w:r>
      <w:r>
        <w:rPr>
          <w:spacing w:val="-3"/>
        </w:rPr>
        <w:t> </w:t>
      </w:r>
      <w:r>
        <w:rPr/>
        <w:t>to</w:t>
      </w:r>
      <w:r>
        <w:rPr>
          <w:spacing w:val="-2"/>
        </w:rPr>
        <w:t> </w:t>
      </w:r>
      <w:r>
        <w:rPr/>
        <w:t>a</w:t>
      </w:r>
      <w:r>
        <w:rPr>
          <w:spacing w:val="-3"/>
        </w:rPr>
        <w:t> </w:t>
      </w:r>
      <w:r>
        <w:rPr/>
        <w:t>nondeductible</w:t>
      </w:r>
      <w:r>
        <w:rPr>
          <w:spacing w:val="-3"/>
        </w:rPr>
        <w:t> </w:t>
      </w:r>
      <w:r>
        <w:rPr/>
        <w:t>excise</w:t>
      </w:r>
      <w:r>
        <w:rPr>
          <w:spacing w:val="-3"/>
        </w:rPr>
        <w:t> </w:t>
      </w:r>
      <w:r>
        <w:rPr/>
        <w:t>tax</w:t>
      </w:r>
      <w:r>
        <w:rPr>
          <w:spacing w:val="-2"/>
        </w:rPr>
        <w:t> </w:t>
      </w:r>
      <w:r>
        <w:rPr/>
        <w:t>which</w:t>
      </w:r>
      <w:r>
        <w:rPr>
          <w:spacing w:val="-2"/>
        </w:rPr>
        <w:t> </w:t>
      </w:r>
      <w:r>
        <w:rPr/>
        <w:t>was</w:t>
      </w:r>
      <w:r>
        <w:rPr>
          <w:spacing w:val="-3"/>
        </w:rPr>
        <w:t> </w:t>
      </w:r>
      <w:r>
        <w:rPr/>
        <w:t>recognized</w:t>
      </w:r>
      <w:r>
        <w:rPr>
          <w:spacing w:val="-2"/>
        </w:rPr>
        <w:t> </w:t>
      </w:r>
      <w:r>
        <w:rPr/>
        <w:t>as</w:t>
      </w:r>
      <w:r>
        <w:rPr>
          <w:spacing w:val="-3"/>
        </w:rPr>
        <w:t> </w:t>
      </w:r>
      <w:r>
        <w:rPr/>
        <w:t>a</w:t>
      </w:r>
      <w:r>
        <w:rPr>
          <w:spacing w:val="-3"/>
        </w:rPr>
        <w:t> </w:t>
      </w:r>
      <w:r>
        <w:rPr/>
        <w:t>direct</w:t>
      </w:r>
      <w:r>
        <w:rPr>
          <w:spacing w:val="-3"/>
        </w:rPr>
        <w:t> </w:t>
      </w:r>
      <w:r>
        <w:rPr/>
        <w:t>and incremental cost associated with these transactions.</w:t>
      </w:r>
    </w:p>
    <w:p>
      <w:pPr>
        <w:pStyle w:val="BodyText"/>
        <w:spacing w:before="12"/>
      </w:pPr>
    </w:p>
    <w:p>
      <w:pPr>
        <w:pStyle w:val="BodyText"/>
        <w:ind w:left="110"/>
      </w:pPr>
      <w:r>
        <w:rPr/>
        <mc:AlternateContent>
          <mc:Choice Requires="wps">
            <w:drawing>
              <wp:anchor distT="0" distB="0" distL="0" distR="0" allowOverlap="1" layoutInCell="1" locked="0" behindDoc="0" simplePos="0" relativeHeight="15772672">
                <wp:simplePos x="0" y="0"/>
                <wp:positionH relativeFrom="page">
                  <wp:posOffset>361950</wp:posOffset>
                </wp:positionH>
                <wp:positionV relativeFrom="paragraph">
                  <wp:posOffset>246603</wp:posOffset>
                </wp:positionV>
                <wp:extent cx="7048500" cy="1459864"/>
                <wp:effectExtent l="0" t="0" r="0" b="0"/>
                <wp:wrapNone/>
                <wp:docPr id="618" name="Textbox 618"/>
                <wp:cNvGraphicFramePr>
                  <a:graphicFrameLocks/>
                </wp:cNvGraphicFramePr>
                <a:graphic>
                  <a:graphicData uri="http://schemas.microsoft.com/office/word/2010/wordprocessingShape">
                    <wps:wsp>
                      <wps:cNvPr id="618" name="Textbox 618"/>
                      <wps:cNvSpPr txBox="1"/>
                      <wps:spPr>
                        <a:xfrm>
                          <a:off x="0" y="0"/>
                          <a:ext cx="7048500" cy="145986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164"/>
                              <w:gridCol w:w="839"/>
                              <w:gridCol w:w="856"/>
                              <w:gridCol w:w="1043"/>
                              <w:gridCol w:w="1014"/>
                              <w:gridCol w:w="706"/>
                              <w:gridCol w:w="1061"/>
                              <w:gridCol w:w="914"/>
                              <w:gridCol w:w="792"/>
                              <w:gridCol w:w="796"/>
                              <w:gridCol w:w="655"/>
                            </w:tblGrid>
                            <w:tr>
                              <w:trPr>
                                <w:trHeight w:val="271" w:hRule="atLeast"/>
                              </w:trPr>
                              <w:tc>
                                <w:tcPr>
                                  <w:tcW w:w="8745" w:type="dxa"/>
                                  <w:gridSpan w:val="9"/>
                                  <w:vMerge w:val="restart"/>
                                  <w:tcBorders>
                                    <w:top w:val="single" w:sz="4" w:space="0" w:color="000000"/>
                                  </w:tcBorders>
                                </w:tcPr>
                                <w:p>
                                  <w:pPr>
                                    <w:pStyle w:val="TableParagraph"/>
                                    <w:rPr>
                                      <w:sz w:val="16"/>
                                    </w:rPr>
                                  </w:pPr>
                                </w:p>
                              </w:tc>
                              <w:tc>
                                <w:tcPr>
                                  <w:tcW w:w="792" w:type="dxa"/>
                                  <w:tcBorders>
                                    <w:top w:val="single" w:sz="4" w:space="0" w:color="000000"/>
                                  </w:tcBorders>
                                </w:tcPr>
                                <w:p>
                                  <w:pPr>
                                    <w:pStyle w:val="TableParagraph"/>
                                    <w:spacing w:line="155" w:lineRule="exact" w:before="96"/>
                                    <w:ind w:right="201"/>
                                    <w:jc w:val="right"/>
                                    <w:rPr>
                                      <w:sz w:val="16"/>
                                    </w:rPr>
                                  </w:pPr>
                                  <w:r>
                                    <w:rPr>
                                      <w:sz w:val="16"/>
                                    </w:rPr>
                                    <w:t>Date</w:t>
                                  </w:r>
                                  <w:r>
                                    <w:rPr>
                                      <w:spacing w:val="-1"/>
                                      <w:sz w:val="16"/>
                                    </w:rPr>
                                    <w:t> </w:t>
                                  </w:r>
                                  <w:r>
                                    <w:rPr>
                                      <w:spacing w:val="-5"/>
                                      <w:sz w:val="16"/>
                                    </w:rPr>
                                    <w:t>at</w:t>
                                  </w:r>
                                </w:p>
                              </w:tc>
                              <w:tc>
                                <w:tcPr>
                                  <w:tcW w:w="1451" w:type="dxa"/>
                                  <w:gridSpan w:val="2"/>
                                  <w:vMerge w:val="restart"/>
                                  <w:tcBorders>
                                    <w:top w:val="single" w:sz="4" w:space="0" w:color="000000"/>
                                  </w:tcBorders>
                                </w:tcPr>
                                <w:p>
                                  <w:pPr>
                                    <w:pStyle w:val="TableParagraph"/>
                                    <w:rPr>
                                      <w:sz w:val="16"/>
                                    </w:rPr>
                                  </w:pPr>
                                </w:p>
                              </w:tc>
                            </w:tr>
                            <w:tr>
                              <w:trPr>
                                <w:trHeight w:val="160" w:hRule="atLeast"/>
                              </w:trPr>
                              <w:tc>
                                <w:tcPr>
                                  <w:tcW w:w="8745" w:type="dxa"/>
                                  <w:gridSpan w:val="9"/>
                                  <w:vMerge/>
                                  <w:tcBorders>
                                    <w:top w:val="nil"/>
                                  </w:tcBorders>
                                </w:tcPr>
                                <w:p>
                                  <w:pPr>
                                    <w:rPr>
                                      <w:sz w:val="2"/>
                                      <w:szCs w:val="2"/>
                                    </w:rPr>
                                  </w:pPr>
                                </w:p>
                              </w:tc>
                              <w:tc>
                                <w:tcPr>
                                  <w:tcW w:w="792" w:type="dxa"/>
                                </w:tcPr>
                                <w:p>
                                  <w:pPr>
                                    <w:pStyle w:val="TableParagraph"/>
                                    <w:spacing w:line="140" w:lineRule="exact"/>
                                    <w:ind w:left="146"/>
                                    <w:rPr>
                                      <w:sz w:val="16"/>
                                    </w:rPr>
                                  </w:pPr>
                                  <w:r>
                                    <w:rPr>
                                      <w:spacing w:val="-2"/>
                                      <w:sz w:val="16"/>
                                    </w:rPr>
                                    <w:t>Which</w:t>
                                  </w:r>
                                </w:p>
                              </w:tc>
                              <w:tc>
                                <w:tcPr>
                                  <w:tcW w:w="1451" w:type="dxa"/>
                                  <w:gridSpan w:val="2"/>
                                  <w:vMerge/>
                                  <w:tcBorders>
                                    <w:top w:val="nil"/>
                                  </w:tcBorders>
                                </w:tcPr>
                                <w:p>
                                  <w:pPr>
                                    <w:rPr>
                                      <w:sz w:val="2"/>
                                      <w:szCs w:val="2"/>
                                    </w:rPr>
                                  </w:pPr>
                                </w:p>
                              </w:tc>
                            </w:tr>
                            <w:tr>
                              <w:trPr>
                                <w:trHeight w:val="160" w:hRule="atLeast"/>
                              </w:trPr>
                              <w:tc>
                                <w:tcPr>
                                  <w:tcW w:w="8745" w:type="dxa"/>
                                  <w:gridSpan w:val="9"/>
                                  <w:vMerge/>
                                  <w:tcBorders>
                                    <w:top w:val="nil"/>
                                  </w:tcBorders>
                                </w:tcPr>
                                <w:p>
                                  <w:pPr>
                                    <w:rPr>
                                      <w:sz w:val="2"/>
                                      <w:szCs w:val="2"/>
                                    </w:rPr>
                                  </w:pPr>
                                </w:p>
                              </w:tc>
                              <w:tc>
                                <w:tcPr>
                                  <w:tcW w:w="792" w:type="dxa"/>
                                </w:tcPr>
                                <w:p>
                                  <w:pPr>
                                    <w:pStyle w:val="TableParagraph"/>
                                    <w:spacing w:line="140" w:lineRule="exact"/>
                                    <w:ind w:right="132"/>
                                    <w:jc w:val="right"/>
                                    <w:rPr>
                                      <w:sz w:val="16"/>
                                    </w:rPr>
                                  </w:pPr>
                                  <w:r>
                                    <w:rPr>
                                      <w:spacing w:val="-2"/>
                                      <w:sz w:val="16"/>
                                    </w:rPr>
                                    <w:t>Dividend</w:t>
                                  </w:r>
                                </w:p>
                              </w:tc>
                              <w:tc>
                                <w:tcPr>
                                  <w:tcW w:w="796" w:type="dxa"/>
                                </w:tcPr>
                                <w:p>
                                  <w:pPr>
                                    <w:pStyle w:val="TableParagraph"/>
                                    <w:rPr>
                                      <w:sz w:val="10"/>
                                    </w:rPr>
                                  </w:pPr>
                                </w:p>
                              </w:tc>
                              <w:tc>
                                <w:tcPr>
                                  <w:tcW w:w="655" w:type="dxa"/>
                                </w:tcPr>
                                <w:p>
                                  <w:pPr>
                                    <w:pStyle w:val="TableParagraph"/>
                                    <w:spacing w:line="140" w:lineRule="exact"/>
                                    <w:ind w:right="100"/>
                                    <w:jc w:val="right"/>
                                    <w:rPr>
                                      <w:sz w:val="16"/>
                                    </w:rPr>
                                  </w:pPr>
                                  <w:r>
                                    <w:rPr>
                                      <w:spacing w:val="-2"/>
                                      <w:sz w:val="16"/>
                                    </w:rPr>
                                    <w:t>Margin</w:t>
                                  </w:r>
                                </w:p>
                              </w:tc>
                            </w:tr>
                            <w:tr>
                              <w:trPr>
                                <w:trHeight w:val="160" w:hRule="atLeast"/>
                              </w:trPr>
                              <w:tc>
                                <w:tcPr>
                                  <w:tcW w:w="6770" w:type="dxa"/>
                                  <w:gridSpan w:val="7"/>
                                </w:tcPr>
                                <w:p>
                                  <w:pPr>
                                    <w:pStyle w:val="TableParagraph"/>
                                    <w:rPr>
                                      <w:sz w:val="6"/>
                                    </w:rPr>
                                  </w:pPr>
                                </w:p>
                              </w:tc>
                              <w:tc>
                                <w:tcPr>
                                  <w:tcW w:w="1061" w:type="dxa"/>
                                </w:tcPr>
                                <w:p>
                                  <w:pPr>
                                    <w:pStyle w:val="TableParagraph"/>
                                    <w:spacing w:line="140" w:lineRule="exact"/>
                                    <w:ind w:right="66"/>
                                    <w:jc w:val="right"/>
                                    <w:rPr>
                                      <w:sz w:val="16"/>
                                    </w:rPr>
                                  </w:pPr>
                                  <w:r>
                                    <w:rPr>
                                      <w:sz w:val="16"/>
                                    </w:rPr>
                                    <w:t>Dividend</w:t>
                                  </w:r>
                                  <w:r>
                                    <w:rPr>
                                      <w:spacing w:val="-1"/>
                                      <w:sz w:val="16"/>
                                    </w:rPr>
                                    <w:t> </w:t>
                                  </w:r>
                                  <w:r>
                                    <w:rPr>
                                      <w:spacing w:val="-4"/>
                                      <w:sz w:val="16"/>
                                    </w:rPr>
                                    <w:t>Rate</w:t>
                                  </w:r>
                                </w:p>
                              </w:tc>
                              <w:tc>
                                <w:tcPr>
                                  <w:tcW w:w="914" w:type="dxa"/>
                                </w:tcPr>
                                <w:p>
                                  <w:pPr>
                                    <w:pStyle w:val="TableParagraph"/>
                                    <w:rPr>
                                      <w:sz w:val="10"/>
                                    </w:rPr>
                                  </w:pPr>
                                </w:p>
                              </w:tc>
                              <w:tc>
                                <w:tcPr>
                                  <w:tcW w:w="792" w:type="dxa"/>
                                </w:tcPr>
                                <w:p>
                                  <w:pPr>
                                    <w:pStyle w:val="TableParagraph"/>
                                    <w:spacing w:line="140" w:lineRule="exact"/>
                                    <w:ind w:left="213"/>
                                    <w:rPr>
                                      <w:sz w:val="16"/>
                                    </w:rPr>
                                  </w:pPr>
                                  <w:r>
                                    <w:rPr>
                                      <w:spacing w:val="-4"/>
                                      <w:sz w:val="16"/>
                                    </w:rPr>
                                    <w:t>Rate</w:t>
                                  </w:r>
                                </w:p>
                              </w:tc>
                              <w:tc>
                                <w:tcPr>
                                  <w:tcW w:w="796" w:type="dxa"/>
                                </w:tcPr>
                                <w:p>
                                  <w:pPr>
                                    <w:pStyle w:val="TableParagraph"/>
                                    <w:rPr>
                                      <w:sz w:val="10"/>
                                    </w:rPr>
                                  </w:pPr>
                                </w:p>
                              </w:tc>
                              <w:tc>
                                <w:tcPr>
                                  <w:tcW w:w="655" w:type="dxa"/>
                                </w:tcPr>
                                <w:p>
                                  <w:pPr>
                                    <w:pStyle w:val="TableParagraph"/>
                                    <w:spacing w:line="140" w:lineRule="exact"/>
                                    <w:ind w:left="157"/>
                                    <w:rPr>
                                      <w:sz w:val="16"/>
                                    </w:rPr>
                                  </w:pPr>
                                  <w:r>
                                    <w:rPr>
                                      <w:spacing w:val="-4"/>
                                      <w:sz w:val="16"/>
                                    </w:rPr>
                                    <w:t>Over</w:t>
                                  </w:r>
                                </w:p>
                              </w:tc>
                            </w:tr>
                            <w:tr>
                              <w:trPr>
                                <w:trHeight w:val="160" w:hRule="atLeast"/>
                              </w:trPr>
                              <w:tc>
                                <w:tcPr>
                                  <w:tcW w:w="6770" w:type="dxa"/>
                                  <w:gridSpan w:val="7"/>
                                </w:tcPr>
                                <w:p>
                                  <w:pPr>
                                    <w:pStyle w:val="TableParagraph"/>
                                    <w:spacing w:line="155" w:lineRule="exact" w:before="21"/>
                                    <w:ind w:left="385"/>
                                    <w:jc w:val="center"/>
                                    <w:rPr>
                                      <w:sz w:val="16"/>
                                    </w:rPr>
                                  </w:pPr>
                                  <w:r>
                                    <w:rPr>
                                      <w:spacing w:val="-2"/>
                                      <w:sz w:val="16"/>
                                    </w:rPr>
                                    <w:t>Liquidation</w:t>
                                  </w:r>
                                </w:p>
                              </w:tc>
                              <w:tc>
                                <w:tcPr>
                                  <w:tcW w:w="1061" w:type="dxa"/>
                                </w:tcPr>
                                <w:p>
                                  <w:pPr>
                                    <w:pStyle w:val="TableParagraph"/>
                                    <w:spacing w:line="140" w:lineRule="exact"/>
                                    <w:ind w:left="172"/>
                                    <w:rPr>
                                      <w:sz w:val="16"/>
                                    </w:rPr>
                                  </w:pPr>
                                  <w:r>
                                    <w:rPr>
                                      <w:sz w:val="16"/>
                                    </w:rPr>
                                    <w:t>in</w:t>
                                  </w:r>
                                  <w:r>
                                    <w:rPr>
                                      <w:spacing w:val="-1"/>
                                      <w:sz w:val="16"/>
                                    </w:rPr>
                                    <w:t> </w:t>
                                  </w:r>
                                  <w:r>
                                    <w:rPr>
                                      <w:sz w:val="16"/>
                                    </w:rPr>
                                    <w:t>Effect </w:t>
                                  </w:r>
                                  <w:r>
                                    <w:rPr>
                                      <w:spacing w:val="-5"/>
                                      <w:sz w:val="16"/>
                                    </w:rPr>
                                    <w:t>at</w:t>
                                  </w:r>
                                </w:p>
                              </w:tc>
                              <w:tc>
                                <w:tcPr>
                                  <w:tcW w:w="914" w:type="dxa"/>
                                </w:tcPr>
                                <w:p>
                                  <w:pPr>
                                    <w:pStyle w:val="TableParagraph"/>
                                    <w:spacing w:line="140" w:lineRule="exact"/>
                                    <w:ind w:right="13"/>
                                    <w:jc w:val="center"/>
                                    <w:rPr>
                                      <w:sz w:val="16"/>
                                    </w:rPr>
                                  </w:pPr>
                                  <w:r>
                                    <w:rPr>
                                      <w:spacing w:val="-2"/>
                                      <w:sz w:val="16"/>
                                    </w:rPr>
                                    <w:t>Earliest</w:t>
                                  </w:r>
                                </w:p>
                              </w:tc>
                              <w:tc>
                                <w:tcPr>
                                  <w:tcW w:w="792" w:type="dxa"/>
                                </w:tcPr>
                                <w:p>
                                  <w:pPr>
                                    <w:pStyle w:val="TableParagraph"/>
                                    <w:spacing w:line="140" w:lineRule="exact"/>
                                    <w:ind w:right="134"/>
                                    <w:jc w:val="right"/>
                                    <w:rPr>
                                      <w:sz w:val="16"/>
                                    </w:rPr>
                                  </w:pPr>
                                  <w:r>
                                    <w:rPr>
                                      <w:sz w:val="16"/>
                                    </w:rPr>
                                    <w:t>Resets</w:t>
                                  </w:r>
                                  <w:r>
                                    <w:rPr>
                                      <w:spacing w:val="-2"/>
                                      <w:sz w:val="16"/>
                                    </w:rPr>
                                    <w:t> </w:t>
                                  </w:r>
                                  <w:r>
                                    <w:rPr>
                                      <w:spacing w:val="-5"/>
                                      <w:sz w:val="16"/>
                                    </w:rPr>
                                    <w:t>or</w:t>
                                  </w:r>
                                </w:p>
                              </w:tc>
                              <w:tc>
                                <w:tcPr>
                                  <w:tcW w:w="796" w:type="dxa"/>
                                </w:tcPr>
                                <w:p>
                                  <w:pPr>
                                    <w:pStyle w:val="TableParagraph"/>
                                    <w:spacing w:line="140" w:lineRule="exact"/>
                                    <w:ind w:left="143"/>
                                    <w:rPr>
                                      <w:sz w:val="16"/>
                                    </w:rPr>
                                  </w:pPr>
                                  <w:r>
                                    <w:rPr>
                                      <w:sz w:val="16"/>
                                    </w:rPr>
                                    <w:t>Reset</w:t>
                                  </w:r>
                                  <w:r>
                                    <w:rPr>
                                      <w:spacing w:val="-1"/>
                                      <w:sz w:val="16"/>
                                    </w:rPr>
                                    <w:t> </w:t>
                                  </w:r>
                                  <w:r>
                                    <w:rPr>
                                      <w:spacing w:val="-10"/>
                                      <w:sz w:val="16"/>
                                    </w:rPr>
                                    <w:t>/</w:t>
                                  </w:r>
                                </w:p>
                              </w:tc>
                              <w:tc>
                                <w:tcPr>
                                  <w:tcW w:w="655" w:type="dxa"/>
                                </w:tcPr>
                                <w:p>
                                  <w:pPr>
                                    <w:pStyle w:val="TableParagraph"/>
                                    <w:spacing w:line="140" w:lineRule="exact"/>
                                    <w:ind w:right="115"/>
                                    <w:jc w:val="right"/>
                                    <w:rPr>
                                      <w:sz w:val="16"/>
                                    </w:rPr>
                                  </w:pPr>
                                  <w:r>
                                    <w:rPr>
                                      <w:sz w:val="16"/>
                                    </w:rPr>
                                    <w:t>Reset</w:t>
                                  </w:r>
                                  <w:r>
                                    <w:rPr>
                                      <w:spacing w:val="-1"/>
                                      <w:sz w:val="16"/>
                                    </w:rPr>
                                    <w:t> </w:t>
                                  </w:r>
                                  <w:r>
                                    <w:rPr>
                                      <w:spacing w:val="-10"/>
                                      <w:sz w:val="16"/>
                                    </w:rPr>
                                    <w:t>/</w:t>
                                  </w:r>
                                </w:p>
                              </w:tc>
                            </w:tr>
                            <w:tr>
                              <w:trPr>
                                <w:trHeight w:val="160" w:hRule="atLeast"/>
                              </w:trPr>
                              <w:tc>
                                <w:tcPr>
                                  <w:tcW w:w="6770" w:type="dxa"/>
                                  <w:gridSpan w:val="7"/>
                                </w:tcPr>
                                <w:p>
                                  <w:pPr>
                                    <w:pStyle w:val="TableParagraph"/>
                                    <w:tabs>
                                      <w:tab w:pos="6248" w:val="left" w:leader="none"/>
                                    </w:tabs>
                                    <w:spacing w:line="140" w:lineRule="exact"/>
                                    <w:ind w:left="1150"/>
                                    <w:rPr>
                                      <w:sz w:val="16"/>
                                    </w:rPr>
                                  </w:pPr>
                                  <w:r>
                                    <w:rPr>
                                      <w:sz w:val="16"/>
                                    </w:rPr>
                                    <w:t>September</w:t>
                                  </w:r>
                                  <w:r>
                                    <w:rPr>
                                      <w:spacing w:val="-3"/>
                                      <w:sz w:val="16"/>
                                    </w:rPr>
                                    <w:t> </w:t>
                                  </w:r>
                                  <w:r>
                                    <w:rPr>
                                      <w:sz w:val="16"/>
                                    </w:rPr>
                                    <w:t>30,</w:t>
                                  </w:r>
                                  <w:r>
                                    <w:rPr>
                                      <w:spacing w:val="75"/>
                                      <w:sz w:val="16"/>
                                    </w:rPr>
                                    <w:t> </w:t>
                                  </w:r>
                                  <w:r>
                                    <w:rPr>
                                      <w:sz w:val="16"/>
                                    </w:rPr>
                                    <w:t>December 31,</w:t>
                                  </w:r>
                                  <w:r>
                                    <w:rPr>
                                      <w:spacing w:val="32"/>
                                      <w:sz w:val="16"/>
                                    </w:rPr>
                                    <w:t>  </w:t>
                                  </w:r>
                                  <w:r>
                                    <w:rPr>
                                      <w:sz w:val="16"/>
                                    </w:rPr>
                                    <w:t>Preference</w:t>
                                  </w:r>
                                  <w:r>
                                    <w:rPr>
                                      <w:spacing w:val="34"/>
                                      <w:sz w:val="16"/>
                                    </w:rPr>
                                    <w:t>  </w:t>
                                  </w:r>
                                  <w:r>
                                    <w:rPr>
                                      <w:sz w:val="16"/>
                                    </w:rPr>
                                    <w:t>September 30,</w:t>
                                  </w:r>
                                  <w:r>
                                    <w:rPr>
                                      <w:spacing w:val="75"/>
                                      <w:sz w:val="16"/>
                                    </w:rPr>
                                    <w:t> </w:t>
                                  </w:r>
                                  <w:r>
                                    <w:rPr>
                                      <w:sz w:val="16"/>
                                    </w:rPr>
                                    <w:t>December </w:t>
                                  </w:r>
                                  <w:r>
                                    <w:rPr>
                                      <w:spacing w:val="-5"/>
                                      <w:sz w:val="16"/>
                                    </w:rPr>
                                    <w:t>31,</w:t>
                                  </w:r>
                                  <w:r>
                                    <w:rPr>
                                      <w:sz w:val="16"/>
                                    </w:rPr>
                                    <w:tab/>
                                  </w:r>
                                  <w:r>
                                    <w:rPr>
                                      <w:spacing w:val="-2"/>
                                      <w:sz w:val="16"/>
                                    </w:rPr>
                                    <w:t>Issue</w:t>
                                  </w:r>
                                </w:p>
                              </w:tc>
                              <w:tc>
                                <w:tcPr>
                                  <w:tcW w:w="1061" w:type="dxa"/>
                                </w:tcPr>
                                <w:p>
                                  <w:pPr>
                                    <w:pStyle w:val="TableParagraph"/>
                                    <w:spacing w:line="140" w:lineRule="exact"/>
                                    <w:ind w:right="69"/>
                                    <w:jc w:val="right"/>
                                    <w:rPr>
                                      <w:sz w:val="16"/>
                                    </w:rPr>
                                  </w:pPr>
                                  <w:r>
                                    <w:rPr>
                                      <w:sz w:val="16"/>
                                    </w:rPr>
                                    <w:t>September</w:t>
                                  </w:r>
                                  <w:r>
                                    <w:rPr>
                                      <w:spacing w:val="-1"/>
                                      <w:sz w:val="16"/>
                                    </w:rPr>
                                    <w:t> </w:t>
                                  </w:r>
                                  <w:r>
                                    <w:rPr>
                                      <w:spacing w:val="-5"/>
                                      <w:sz w:val="16"/>
                                    </w:rPr>
                                    <w:t>30,</w:t>
                                  </w:r>
                                </w:p>
                              </w:tc>
                              <w:tc>
                                <w:tcPr>
                                  <w:tcW w:w="914" w:type="dxa"/>
                                </w:tcPr>
                                <w:p>
                                  <w:pPr>
                                    <w:pStyle w:val="TableParagraph"/>
                                    <w:spacing w:line="140" w:lineRule="exact"/>
                                    <w:ind w:right="13"/>
                                    <w:jc w:val="center"/>
                                    <w:rPr>
                                      <w:sz w:val="16"/>
                                    </w:rPr>
                                  </w:pPr>
                                  <w:r>
                                    <w:rPr>
                                      <w:spacing w:val="-2"/>
                                      <w:sz w:val="16"/>
                                    </w:rPr>
                                    <w:t>Redemption</w:t>
                                  </w:r>
                                </w:p>
                              </w:tc>
                              <w:tc>
                                <w:tcPr>
                                  <w:tcW w:w="792" w:type="dxa"/>
                                </w:tcPr>
                                <w:p>
                                  <w:pPr>
                                    <w:pStyle w:val="TableParagraph"/>
                                    <w:spacing w:line="140" w:lineRule="exact"/>
                                    <w:ind w:right="136"/>
                                    <w:jc w:val="right"/>
                                    <w:rPr>
                                      <w:sz w:val="16"/>
                                    </w:rPr>
                                  </w:pPr>
                                  <w:r>
                                    <w:rPr>
                                      <w:spacing w:val="-2"/>
                                      <w:sz w:val="16"/>
                                    </w:rPr>
                                    <w:t>Becomes</w:t>
                                  </w:r>
                                </w:p>
                              </w:tc>
                              <w:tc>
                                <w:tcPr>
                                  <w:tcW w:w="796" w:type="dxa"/>
                                </w:tcPr>
                                <w:p>
                                  <w:pPr>
                                    <w:pStyle w:val="TableParagraph"/>
                                    <w:spacing w:line="140" w:lineRule="exact"/>
                                    <w:ind w:left="96"/>
                                    <w:rPr>
                                      <w:sz w:val="16"/>
                                    </w:rPr>
                                  </w:pPr>
                                  <w:r>
                                    <w:rPr>
                                      <w:spacing w:val="-2"/>
                                      <w:sz w:val="16"/>
                                    </w:rPr>
                                    <w:t>Floating</w:t>
                                  </w:r>
                                </w:p>
                              </w:tc>
                              <w:tc>
                                <w:tcPr>
                                  <w:tcW w:w="655" w:type="dxa"/>
                                </w:tcPr>
                                <w:p>
                                  <w:pPr>
                                    <w:pStyle w:val="TableParagraph"/>
                                    <w:spacing w:line="140" w:lineRule="exact"/>
                                    <w:ind w:right="69"/>
                                    <w:jc w:val="right"/>
                                    <w:rPr>
                                      <w:sz w:val="16"/>
                                    </w:rPr>
                                  </w:pPr>
                                  <w:r>
                                    <w:rPr>
                                      <w:spacing w:val="-2"/>
                                      <w:sz w:val="16"/>
                                    </w:rPr>
                                    <w:t>Floating</w:t>
                                  </w:r>
                                </w:p>
                              </w:tc>
                            </w:tr>
                            <w:tr>
                              <w:trPr>
                                <w:trHeight w:val="193" w:hRule="atLeast"/>
                              </w:trPr>
                              <w:tc>
                                <w:tcPr>
                                  <w:tcW w:w="6770" w:type="dxa"/>
                                  <w:gridSpan w:val="7"/>
                                  <w:tcBorders>
                                    <w:bottom w:val="single" w:sz="4" w:space="0" w:color="000000"/>
                                  </w:tcBorders>
                                </w:tcPr>
                                <w:p>
                                  <w:pPr>
                                    <w:pStyle w:val="TableParagraph"/>
                                    <w:tabs>
                                      <w:tab w:pos="2399" w:val="left" w:leader="none"/>
                                      <w:tab w:pos="3268" w:val="left" w:leader="none"/>
                                      <w:tab w:pos="4369" w:val="left" w:leader="none"/>
                                      <w:tab w:pos="5397" w:val="left" w:leader="none"/>
                                      <w:tab w:pos="6261" w:val="left" w:leader="none"/>
                                    </w:tabs>
                                    <w:spacing w:line="169" w:lineRule="exact"/>
                                    <w:ind w:left="1371"/>
                                    <w:rPr>
                                      <w:sz w:val="16"/>
                                    </w:rPr>
                                  </w:pPr>
                                  <w:r>
                                    <w:rPr>
                                      <w:sz w:val="16"/>
                                    </w:rPr>
                                    <w:t>2023 </w:t>
                                  </w:r>
                                  <w:r>
                                    <w:rPr>
                                      <w:spacing w:val="-5"/>
                                      <w:sz w:val="16"/>
                                      <w:vertAlign w:val="superscript"/>
                                    </w:rPr>
                                    <w:t>(1)</w:t>
                                  </w:r>
                                  <w:r>
                                    <w:rPr>
                                      <w:sz w:val="16"/>
                                      <w:vertAlign w:val="baseline"/>
                                    </w:rPr>
                                    <w:tab/>
                                    <w:t>2022 </w:t>
                                  </w:r>
                                  <w:r>
                                    <w:rPr>
                                      <w:spacing w:val="-5"/>
                                      <w:sz w:val="16"/>
                                      <w:vertAlign w:val="superscript"/>
                                    </w:rPr>
                                    <w:t>(1)</w:t>
                                  </w:r>
                                  <w:r>
                                    <w:rPr>
                                      <w:sz w:val="16"/>
                                      <w:vertAlign w:val="baseline"/>
                                    </w:rPr>
                                    <w:tab/>
                                    <w:t>Per</w:t>
                                  </w:r>
                                  <w:r>
                                    <w:rPr>
                                      <w:spacing w:val="-1"/>
                                      <w:sz w:val="16"/>
                                      <w:vertAlign w:val="baseline"/>
                                    </w:rPr>
                                    <w:t> </w:t>
                                  </w:r>
                                  <w:r>
                                    <w:rPr>
                                      <w:spacing w:val="-2"/>
                                      <w:sz w:val="16"/>
                                      <w:vertAlign w:val="baseline"/>
                                    </w:rPr>
                                    <w:t>Share</w:t>
                                  </w:r>
                                  <w:r>
                                    <w:rPr>
                                      <w:sz w:val="16"/>
                                      <w:vertAlign w:val="baseline"/>
                                    </w:rPr>
                                    <w:tab/>
                                  </w:r>
                                  <w:r>
                                    <w:rPr>
                                      <w:spacing w:val="-4"/>
                                      <w:sz w:val="16"/>
                                      <w:vertAlign w:val="baseline"/>
                                    </w:rPr>
                                    <w:t>2023</w:t>
                                  </w:r>
                                  <w:r>
                                    <w:rPr>
                                      <w:sz w:val="16"/>
                                      <w:vertAlign w:val="baseline"/>
                                    </w:rPr>
                                    <w:tab/>
                                  </w:r>
                                  <w:r>
                                    <w:rPr>
                                      <w:spacing w:val="-4"/>
                                      <w:sz w:val="16"/>
                                      <w:vertAlign w:val="baseline"/>
                                    </w:rPr>
                                    <w:t>2022</w:t>
                                  </w:r>
                                  <w:r>
                                    <w:rPr>
                                      <w:sz w:val="16"/>
                                      <w:vertAlign w:val="baseline"/>
                                    </w:rPr>
                                    <w:tab/>
                                  </w:r>
                                  <w:r>
                                    <w:rPr>
                                      <w:spacing w:val="-4"/>
                                      <w:sz w:val="16"/>
                                      <w:vertAlign w:val="baseline"/>
                                    </w:rPr>
                                    <w:t>Date</w:t>
                                  </w:r>
                                </w:p>
                              </w:tc>
                              <w:tc>
                                <w:tcPr>
                                  <w:tcW w:w="1061" w:type="dxa"/>
                                  <w:tcBorders>
                                    <w:bottom w:val="single" w:sz="4" w:space="0" w:color="000000"/>
                                  </w:tcBorders>
                                </w:tcPr>
                                <w:p>
                                  <w:pPr>
                                    <w:pStyle w:val="TableParagraph"/>
                                    <w:spacing w:line="169" w:lineRule="exact"/>
                                    <w:ind w:right="4"/>
                                    <w:jc w:val="center"/>
                                    <w:rPr>
                                      <w:sz w:val="16"/>
                                    </w:rPr>
                                  </w:pPr>
                                  <w:r>
                                    <w:rPr>
                                      <w:spacing w:val="-4"/>
                                      <w:sz w:val="16"/>
                                    </w:rPr>
                                    <w:t>2023</w:t>
                                  </w:r>
                                </w:p>
                              </w:tc>
                              <w:tc>
                                <w:tcPr>
                                  <w:tcW w:w="914" w:type="dxa"/>
                                  <w:tcBorders>
                                    <w:bottom w:val="single" w:sz="4" w:space="0" w:color="000000"/>
                                  </w:tcBorders>
                                </w:tcPr>
                                <w:p>
                                  <w:pPr>
                                    <w:pStyle w:val="TableParagraph"/>
                                    <w:spacing w:line="169" w:lineRule="exact"/>
                                    <w:ind w:right="13"/>
                                    <w:jc w:val="center"/>
                                    <w:rPr>
                                      <w:sz w:val="16"/>
                                    </w:rPr>
                                  </w:pPr>
                                  <w:r>
                                    <w:rPr>
                                      <w:spacing w:val="-4"/>
                                      <w:sz w:val="16"/>
                                    </w:rPr>
                                    <w:t>Date</w:t>
                                  </w:r>
                                </w:p>
                              </w:tc>
                              <w:tc>
                                <w:tcPr>
                                  <w:tcW w:w="792" w:type="dxa"/>
                                  <w:tcBorders>
                                    <w:bottom w:val="single" w:sz="4" w:space="0" w:color="000000"/>
                                  </w:tcBorders>
                                </w:tcPr>
                                <w:p>
                                  <w:pPr>
                                    <w:pStyle w:val="TableParagraph"/>
                                    <w:spacing w:line="169" w:lineRule="exact"/>
                                    <w:ind w:right="163"/>
                                    <w:jc w:val="right"/>
                                    <w:rPr>
                                      <w:sz w:val="16"/>
                                    </w:rPr>
                                  </w:pPr>
                                  <w:r>
                                    <w:rPr>
                                      <w:spacing w:val="-2"/>
                                      <w:sz w:val="16"/>
                                    </w:rPr>
                                    <w:t>Floating</w:t>
                                  </w:r>
                                </w:p>
                              </w:tc>
                              <w:tc>
                                <w:tcPr>
                                  <w:tcW w:w="796" w:type="dxa"/>
                                  <w:tcBorders>
                                    <w:bottom w:val="single" w:sz="4" w:space="0" w:color="000000"/>
                                  </w:tcBorders>
                                </w:tcPr>
                                <w:p>
                                  <w:pPr>
                                    <w:pStyle w:val="TableParagraph"/>
                                    <w:spacing w:line="169" w:lineRule="exact"/>
                                    <w:ind w:left="216"/>
                                    <w:rPr>
                                      <w:sz w:val="16"/>
                                    </w:rPr>
                                  </w:pPr>
                                  <w:r>
                                    <w:rPr>
                                      <w:spacing w:val="-4"/>
                                      <w:sz w:val="16"/>
                                    </w:rPr>
                                    <w:t>Rate</w:t>
                                  </w:r>
                                </w:p>
                              </w:tc>
                              <w:tc>
                                <w:tcPr>
                                  <w:tcW w:w="655" w:type="dxa"/>
                                  <w:tcBorders>
                                    <w:bottom w:val="single" w:sz="4" w:space="0" w:color="000000"/>
                                  </w:tcBorders>
                                </w:tcPr>
                                <w:p>
                                  <w:pPr>
                                    <w:pStyle w:val="TableParagraph"/>
                                    <w:spacing w:line="169" w:lineRule="exact"/>
                                    <w:ind w:left="170"/>
                                    <w:rPr>
                                      <w:sz w:val="16"/>
                                    </w:rPr>
                                  </w:pPr>
                                  <w:r>
                                    <w:rPr>
                                      <w:spacing w:val="-4"/>
                                      <w:sz w:val="16"/>
                                    </w:rPr>
                                    <w:t>Rate</w:t>
                                  </w:r>
                                </w:p>
                              </w:tc>
                            </w:tr>
                            <w:tr>
                              <w:trPr>
                                <w:trHeight w:val="250" w:hRule="atLeast"/>
                              </w:trPr>
                              <w:tc>
                                <w:tcPr>
                                  <w:tcW w:w="1148" w:type="dxa"/>
                                  <w:tcBorders>
                                    <w:top w:val="single" w:sz="4" w:space="0" w:color="000000"/>
                                  </w:tcBorders>
                                </w:tcPr>
                                <w:p>
                                  <w:pPr>
                                    <w:pStyle w:val="TableParagraph"/>
                                    <w:spacing w:before="36"/>
                                    <w:ind w:left="52"/>
                                    <w:rPr>
                                      <w:sz w:val="16"/>
                                    </w:rPr>
                                  </w:pPr>
                                  <w:r>
                                    <w:rPr>
                                      <w:spacing w:val="-2"/>
                                      <w:sz w:val="16"/>
                                    </w:rPr>
                                    <w:t>Fixed-rate:</w:t>
                                  </w:r>
                                </w:p>
                              </w:tc>
                              <w:tc>
                                <w:tcPr>
                                  <w:tcW w:w="1164" w:type="dxa"/>
                                  <w:tcBorders>
                                    <w:top w:val="single" w:sz="4" w:space="0" w:color="000000"/>
                                  </w:tcBorders>
                                </w:tcPr>
                                <w:p>
                                  <w:pPr>
                                    <w:pStyle w:val="TableParagraph"/>
                                    <w:rPr>
                                      <w:sz w:val="16"/>
                                    </w:rPr>
                                  </w:pPr>
                                </w:p>
                              </w:tc>
                              <w:tc>
                                <w:tcPr>
                                  <w:tcW w:w="839" w:type="dxa"/>
                                  <w:tcBorders>
                                    <w:top w:val="single" w:sz="4" w:space="0" w:color="000000"/>
                                  </w:tcBorders>
                                </w:tcPr>
                                <w:p>
                                  <w:pPr>
                                    <w:pStyle w:val="TableParagraph"/>
                                    <w:rPr>
                                      <w:sz w:val="16"/>
                                    </w:rPr>
                                  </w:pPr>
                                </w:p>
                              </w:tc>
                              <w:tc>
                                <w:tcPr>
                                  <w:tcW w:w="856" w:type="dxa"/>
                                  <w:tcBorders>
                                    <w:top w:val="single" w:sz="4" w:space="0" w:color="000000"/>
                                  </w:tcBorders>
                                </w:tcPr>
                                <w:p>
                                  <w:pPr>
                                    <w:pStyle w:val="TableParagraph"/>
                                    <w:rPr>
                                      <w:sz w:val="16"/>
                                    </w:rPr>
                                  </w:pPr>
                                </w:p>
                              </w:tc>
                              <w:tc>
                                <w:tcPr>
                                  <w:tcW w:w="1043" w:type="dxa"/>
                                  <w:tcBorders>
                                    <w:top w:val="single" w:sz="4" w:space="0" w:color="000000"/>
                                  </w:tcBorders>
                                </w:tcPr>
                                <w:p>
                                  <w:pPr>
                                    <w:pStyle w:val="TableParagraph"/>
                                    <w:rPr>
                                      <w:sz w:val="16"/>
                                    </w:rPr>
                                  </w:pPr>
                                </w:p>
                              </w:tc>
                              <w:tc>
                                <w:tcPr>
                                  <w:tcW w:w="1014" w:type="dxa"/>
                                  <w:tcBorders>
                                    <w:top w:val="single" w:sz="4" w:space="0" w:color="000000"/>
                                  </w:tcBorders>
                                </w:tcPr>
                                <w:p>
                                  <w:pPr>
                                    <w:pStyle w:val="TableParagraph"/>
                                    <w:rPr>
                                      <w:sz w:val="16"/>
                                    </w:rPr>
                                  </w:pPr>
                                </w:p>
                              </w:tc>
                              <w:tc>
                                <w:tcPr>
                                  <w:tcW w:w="706" w:type="dxa"/>
                                  <w:tcBorders>
                                    <w:top w:val="single" w:sz="4" w:space="0" w:color="000000"/>
                                  </w:tcBorders>
                                </w:tcPr>
                                <w:p>
                                  <w:pPr>
                                    <w:pStyle w:val="TableParagraph"/>
                                    <w:rPr>
                                      <w:sz w:val="16"/>
                                    </w:rPr>
                                  </w:pPr>
                                </w:p>
                              </w:tc>
                              <w:tc>
                                <w:tcPr>
                                  <w:tcW w:w="1061" w:type="dxa"/>
                                  <w:tcBorders>
                                    <w:top w:val="single" w:sz="4" w:space="0" w:color="000000"/>
                                  </w:tcBorders>
                                </w:tcPr>
                                <w:p>
                                  <w:pPr>
                                    <w:pStyle w:val="TableParagraph"/>
                                    <w:rPr>
                                      <w:sz w:val="16"/>
                                    </w:rPr>
                                  </w:pPr>
                                </w:p>
                              </w:tc>
                              <w:tc>
                                <w:tcPr>
                                  <w:tcW w:w="914" w:type="dxa"/>
                                  <w:tcBorders>
                                    <w:top w:val="single" w:sz="4" w:space="0" w:color="000000"/>
                                  </w:tcBorders>
                                </w:tcPr>
                                <w:p>
                                  <w:pPr>
                                    <w:pStyle w:val="TableParagraph"/>
                                    <w:rPr>
                                      <w:sz w:val="16"/>
                                    </w:rPr>
                                  </w:pPr>
                                </w:p>
                              </w:tc>
                              <w:tc>
                                <w:tcPr>
                                  <w:tcW w:w="792" w:type="dxa"/>
                                  <w:tcBorders>
                                    <w:top w:val="single" w:sz="4" w:space="0" w:color="000000"/>
                                  </w:tcBorders>
                                </w:tcPr>
                                <w:p>
                                  <w:pPr>
                                    <w:pStyle w:val="TableParagraph"/>
                                    <w:rPr>
                                      <w:sz w:val="16"/>
                                    </w:rPr>
                                  </w:pPr>
                                </w:p>
                              </w:tc>
                              <w:tc>
                                <w:tcPr>
                                  <w:tcW w:w="796" w:type="dxa"/>
                                  <w:tcBorders>
                                    <w:top w:val="single" w:sz="4" w:space="0" w:color="000000"/>
                                  </w:tcBorders>
                                </w:tcPr>
                                <w:p>
                                  <w:pPr>
                                    <w:pStyle w:val="TableParagraph"/>
                                    <w:rPr>
                                      <w:sz w:val="16"/>
                                    </w:rPr>
                                  </w:pPr>
                                </w:p>
                              </w:tc>
                              <w:tc>
                                <w:tcPr>
                                  <w:tcW w:w="655" w:type="dxa"/>
                                  <w:tcBorders>
                                    <w:top w:val="single" w:sz="4" w:space="0" w:color="000000"/>
                                  </w:tcBorders>
                                </w:tcPr>
                                <w:p>
                                  <w:pPr>
                                    <w:pStyle w:val="TableParagraph"/>
                                    <w:rPr>
                                      <w:sz w:val="16"/>
                                    </w:rPr>
                                  </w:pPr>
                                </w:p>
                              </w:tc>
                            </w:tr>
                            <w:tr>
                              <w:trPr>
                                <w:trHeight w:val="255" w:hRule="atLeast"/>
                              </w:trPr>
                              <w:tc>
                                <w:tcPr>
                                  <w:tcW w:w="1148" w:type="dxa"/>
                                  <w:shd w:val="clear" w:color="auto" w:fill="CCEDFF"/>
                                </w:tcPr>
                                <w:p>
                                  <w:pPr>
                                    <w:pStyle w:val="TableParagraph"/>
                                    <w:spacing w:before="27"/>
                                    <w:ind w:left="172"/>
                                    <w:rPr>
                                      <w:sz w:val="16"/>
                                    </w:rPr>
                                  </w:pPr>
                                  <w:r>
                                    <w:rPr>
                                      <w:sz w:val="16"/>
                                    </w:rPr>
                                    <w:t>Series</w:t>
                                  </w:r>
                                  <w:r>
                                    <w:rPr>
                                      <w:spacing w:val="-2"/>
                                      <w:sz w:val="16"/>
                                    </w:rPr>
                                    <w:t> </w:t>
                                  </w:r>
                                  <w:r>
                                    <w:rPr>
                                      <w:spacing w:val="-10"/>
                                      <w:sz w:val="16"/>
                                    </w:rPr>
                                    <w:t>D</w:t>
                                  </w:r>
                                </w:p>
                              </w:tc>
                              <w:tc>
                                <w:tcPr>
                                  <w:tcW w:w="1164" w:type="dxa"/>
                                  <w:shd w:val="clear" w:color="auto" w:fill="CCEDFF"/>
                                </w:tcPr>
                                <w:p>
                                  <w:pPr>
                                    <w:pStyle w:val="TableParagraph"/>
                                    <w:spacing w:before="41"/>
                                    <w:ind w:right="248"/>
                                    <w:jc w:val="right"/>
                                    <w:rPr>
                                      <w:sz w:val="16"/>
                                    </w:rPr>
                                  </w:pPr>
                                  <w:r>
                                    <w:rPr>
                                      <w:spacing w:val="-2"/>
                                      <w:sz w:val="16"/>
                                    </w:rPr>
                                    <w:t>750,000</w:t>
                                  </w:r>
                                </w:p>
                              </w:tc>
                              <w:tc>
                                <w:tcPr>
                                  <w:tcW w:w="839" w:type="dxa"/>
                                  <w:shd w:val="clear" w:color="auto" w:fill="CCEDFF"/>
                                </w:tcPr>
                                <w:p>
                                  <w:pPr>
                                    <w:pStyle w:val="TableParagraph"/>
                                    <w:spacing w:before="41"/>
                                    <w:ind w:right="67"/>
                                    <w:jc w:val="right"/>
                                    <w:rPr>
                                      <w:sz w:val="16"/>
                                    </w:rPr>
                                  </w:pPr>
                                  <w:r>
                                    <w:rPr>
                                      <w:spacing w:val="-2"/>
                                      <w:sz w:val="16"/>
                                    </w:rPr>
                                    <w:t>750,000</w:t>
                                  </w:r>
                                </w:p>
                              </w:tc>
                              <w:tc>
                                <w:tcPr>
                                  <w:tcW w:w="856" w:type="dxa"/>
                                  <w:shd w:val="clear" w:color="auto" w:fill="CCEDFF"/>
                                </w:tcPr>
                                <w:p>
                                  <w:pPr>
                                    <w:pStyle w:val="TableParagraph"/>
                                    <w:tabs>
                                      <w:tab w:pos="373" w:val="left" w:leader="none"/>
                                    </w:tabs>
                                    <w:spacing w:before="41"/>
                                    <w:ind w:right="68"/>
                                    <w:jc w:val="right"/>
                                    <w:rPr>
                                      <w:sz w:val="16"/>
                                    </w:rPr>
                                  </w:pPr>
                                  <w:r>
                                    <w:rPr>
                                      <w:spacing w:val="-10"/>
                                      <w:sz w:val="16"/>
                                    </w:rPr>
                                    <w:t>$</w:t>
                                  </w:r>
                                  <w:r>
                                    <w:rPr>
                                      <w:sz w:val="16"/>
                                    </w:rPr>
                                    <w:tab/>
                                  </w:r>
                                  <w:r>
                                    <w:rPr>
                                      <w:spacing w:val="-2"/>
                                      <w:sz w:val="16"/>
                                    </w:rPr>
                                    <w:t>1,000</w:t>
                                  </w:r>
                                </w:p>
                              </w:tc>
                              <w:tc>
                                <w:tcPr>
                                  <w:tcW w:w="1043" w:type="dxa"/>
                                  <w:shd w:val="clear" w:color="auto" w:fill="CCEDFF"/>
                                </w:tcPr>
                                <w:p>
                                  <w:pPr>
                                    <w:pStyle w:val="TableParagraph"/>
                                    <w:tabs>
                                      <w:tab w:pos="689" w:val="left" w:leader="none"/>
                                    </w:tabs>
                                    <w:spacing w:before="41"/>
                                    <w:ind w:right="61"/>
                                    <w:jc w:val="right"/>
                                    <w:rPr>
                                      <w:sz w:val="16"/>
                                    </w:rPr>
                                  </w:pPr>
                                  <w:r>
                                    <w:rPr>
                                      <w:spacing w:val="-10"/>
                                      <w:sz w:val="16"/>
                                    </w:rPr>
                                    <w:t>$</w:t>
                                  </w:r>
                                  <w:r>
                                    <w:rPr>
                                      <w:sz w:val="16"/>
                                    </w:rPr>
                                    <w:tab/>
                                  </w:r>
                                  <w:r>
                                    <w:rPr>
                                      <w:spacing w:val="-5"/>
                                      <w:sz w:val="16"/>
                                    </w:rPr>
                                    <w:t>728</w:t>
                                  </w:r>
                                </w:p>
                              </w:tc>
                              <w:tc>
                                <w:tcPr>
                                  <w:tcW w:w="1014" w:type="dxa"/>
                                  <w:shd w:val="clear" w:color="auto" w:fill="CCEDFF"/>
                                </w:tcPr>
                                <w:p>
                                  <w:pPr>
                                    <w:pStyle w:val="TableParagraph"/>
                                    <w:tabs>
                                      <w:tab w:pos="644" w:val="left" w:leader="none"/>
                                    </w:tabs>
                                    <w:spacing w:before="41"/>
                                    <w:ind w:right="70"/>
                                    <w:jc w:val="right"/>
                                    <w:rPr>
                                      <w:sz w:val="16"/>
                                    </w:rPr>
                                  </w:pPr>
                                  <w:r>
                                    <w:rPr>
                                      <w:spacing w:val="-10"/>
                                      <w:sz w:val="16"/>
                                    </w:rPr>
                                    <w:t>$</w:t>
                                  </w:r>
                                  <w:r>
                                    <w:rPr>
                                      <w:sz w:val="16"/>
                                    </w:rPr>
                                    <w:tab/>
                                  </w:r>
                                  <w:r>
                                    <w:rPr>
                                      <w:spacing w:val="-5"/>
                                      <w:sz w:val="16"/>
                                    </w:rPr>
                                    <w:t>728</w:t>
                                  </w:r>
                                </w:p>
                              </w:tc>
                              <w:tc>
                                <w:tcPr>
                                  <w:tcW w:w="706" w:type="dxa"/>
                                  <w:shd w:val="clear" w:color="auto" w:fill="CCEDFF"/>
                                </w:tcPr>
                                <w:p>
                                  <w:pPr>
                                    <w:pStyle w:val="TableParagraph"/>
                                    <w:spacing w:before="41"/>
                                    <w:ind w:right="7"/>
                                    <w:jc w:val="center"/>
                                    <w:rPr>
                                      <w:sz w:val="16"/>
                                    </w:rPr>
                                  </w:pPr>
                                  <w:r>
                                    <w:rPr>
                                      <w:spacing w:val="-2"/>
                                      <w:sz w:val="16"/>
                                    </w:rPr>
                                    <w:t>03/07/16</w:t>
                                  </w:r>
                                </w:p>
                              </w:tc>
                              <w:tc>
                                <w:tcPr>
                                  <w:tcW w:w="1061" w:type="dxa"/>
                                  <w:shd w:val="clear" w:color="auto" w:fill="CCEDFF"/>
                                </w:tcPr>
                                <w:p>
                                  <w:pPr>
                                    <w:pStyle w:val="TableParagraph"/>
                                    <w:spacing w:before="41"/>
                                    <w:ind w:right="67"/>
                                    <w:jc w:val="right"/>
                                    <w:rPr>
                                      <w:sz w:val="16"/>
                                    </w:rPr>
                                  </w:pPr>
                                  <w:r>
                                    <w:rPr>
                                      <w:spacing w:val="-2"/>
                                      <w:sz w:val="16"/>
                                    </w:rPr>
                                    <w:t>5.950%</w:t>
                                  </w:r>
                                </w:p>
                              </w:tc>
                              <w:tc>
                                <w:tcPr>
                                  <w:tcW w:w="914" w:type="dxa"/>
                                  <w:shd w:val="clear" w:color="auto" w:fill="CCEDFF"/>
                                </w:tcPr>
                                <w:p>
                                  <w:pPr>
                                    <w:pStyle w:val="TableParagraph"/>
                                    <w:spacing w:before="41"/>
                                    <w:ind w:right="13"/>
                                    <w:jc w:val="center"/>
                                    <w:rPr>
                                      <w:sz w:val="16"/>
                                    </w:rPr>
                                  </w:pPr>
                                  <w:r>
                                    <w:rPr>
                                      <w:spacing w:val="-2"/>
                                      <w:sz w:val="16"/>
                                    </w:rPr>
                                    <w:t>06/01/21</w:t>
                                  </w:r>
                                </w:p>
                              </w:tc>
                              <w:tc>
                                <w:tcPr>
                                  <w:tcW w:w="792" w:type="dxa"/>
                                  <w:shd w:val="clear" w:color="auto" w:fill="CCEDFF"/>
                                </w:tcPr>
                                <w:p>
                                  <w:pPr>
                                    <w:pStyle w:val="TableParagraph"/>
                                    <w:spacing w:before="41"/>
                                    <w:ind w:right="107"/>
                                    <w:jc w:val="right"/>
                                    <w:rPr>
                                      <w:sz w:val="16"/>
                                    </w:rPr>
                                  </w:pPr>
                                  <w:r>
                                    <w:rPr>
                                      <w:spacing w:val="-5"/>
                                      <w:sz w:val="16"/>
                                    </w:rPr>
                                    <w:t>N/A</w:t>
                                  </w:r>
                                </w:p>
                              </w:tc>
                              <w:tc>
                                <w:tcPr>
                                  <w:tcW w:w="796" w:type="dxa"/>
                                  <w:shd w:val="clear" w:color="auto" w:fill="CCEDFF"/>
                                </w:tcPr>
                                <w:p>
                                  <w:pPr>
                                    <w:pStyle w:val="TableParagraph"/>
                                    <w:spacing w:before="41"/>
                                    <w:ind w:right="63"/>
                                    <w:jc w:val="right"/>
                                    <w:rPr>
                                      <w:sz w:val="16"/>
                                    </w:rPr>
                                  </w:pPr>
                                  <w:r>
                                    <w:rPr>
                                      <w:spacing w:val="-5"/>
                                      <w:sz w:val="16"/>
                                    </w:rPr>
                                    <w:t>N/A</w:t>
                                  </w:r>
                                </w:p>
                              </w:tc>
                              <w:tc>
                                <w:tcPr>
                                  <w:tcW w:w="655" w:type="dxa"/>
                                  <w:shd w:val="clear" w:color="auto" w:fill="CCEDFF"/>
                                </w:tcPr>
                                <w:p>
                                  <w:pPr>
                                    <w:pStyle w:val="TableParagraph"/>
                                    <w:spacing w:before="41"/>
                                    <w:ind w:right="58"/>
                                    <w:jc w:val="right"/>
                                    <w:rPr>
                                      <w:sz w:val="16"/>
                                    </w:rPr>
                                  </w:pPr>
                                  <w:r>
                                    <w:rPr>
                                      <w:spacing w:val="-5"/>
                                      <w:sz w:val="16"/>
                                    </w:rPr>
                                    <w:t>N/A</w:t>
                                  </w:r>
                                </w:p>
                              </w:tc>
                            </w:tr>
                            <w:tr>
                              <w:trPr>
                                <w:trHeight w:val="255" w:hRule="atLeast"/>
                              </w:trPr>
                              <w:tc>
                                <w:tcPr>
                                  <w:tcW w:w="1148" w:type="dxa"/>
                                </w:tcPr>
                                <w:p>
                                  <w:pPr>
                                    <w:pStyle w:val="TableParagraph"/>
                                    <w:spacing w:before="27"/>
                                    <w:ind w:left="172"/>
                                    <w:rPr>
                                      <w:sz w:val="16"/>
                                    </w:rPr>
                                  </w:pPr>
                                  <w:r>
                                    <w:rPr>
                                      <w:sz w:val="16"/>
                                    </w:rPr>
                                    <w:t>Series</w:t>
                                  </w:r>
                                  <w:r>
                                    <w:rPr>
                                      <w:spacing w:val="-2"/>
                                      <w:sz w:val="16"/>
                                    </w:rPr>
                                    <w:t> </w:t>
                                  </w:r>
                                  <w:r>
                                    <w:rPr>
                                      <w:spacing w:val="-10"/>
                                      <w:sz w:val="16"/>
                                    </w:rPr>
                                    <w:t>J</w:t>
                                  </w:r>
                                </w:p>
                              </w:tc>
                              <w:tc>
                                <w:tcPr>
                                  <w:tcW w:w="1164" w:type="dxa"/>
                                </w:tcPr>
                                <w:p>
                                  <w:pPr>
                                    <w:pStyle w:val="TableParagraph"/>
                                    <w:spacing w:before="41"/>
                                    <w:ind w:right="248"/>
                                    <w:jc w:val="right"/>
                                    <w:rPr>
                                      <w:sz w:val="16"/>
                                    </w:rPr>
                                  </w:pPr>
                                  <w:r>
                                    <w:rPr>
                                      <w:spacing w:val="-2"/>
                                      <w:sz w:val="16"/>
                                    </w:rPr>
                                    <w:t>600,000</w:t>
                                  </w:r>
                                </w:p>
                              </w:tc>
                              <w:tc>
                                <w:tcPr>
                                  <w:tcW w:w="839" w:type="dxa"/>
                                </w:tcPr>
                                <w:p>
                                  <w:pPr>
                                    <w:pStyle w:val="TableParagraph"/>
                                    <w:spacing w:before="41"/>
                                    <w:ind w:right="67"/>
                                    <w:jc w:val="right"/>
                                    <w:rPr>
                                      <w:sz w:val="16"/>
                                    </w:rPr>
                                  </w:pPr>
                                  <w:r>
                                    <w:rPr>
                                      <w:spacing w:val="-2"/>
                                      <w:sz w:val="16"/>
                                    </w:rPr>
                                    <w:t>600,000</w:t>
                                  </w:r>
                                </w:p>
                              </w:tc>
                              <w:tc>
                                <w:tcPr>
                                  <w:tcW w:w="856" w:type="dxa"/>
                                </w:tcPr>
                                <w:p>
                                  <w:pPr>
                                    <w:pStyle w:val="TableParagraph"/>
                                    <w:spacing w:before="41"/>
                                    <w:ind w:right="68"/>
                                    <w:jc w:val="right"/>
                                    <w:rPr>
                                      <w:sz w:val="16"/>
                                    </w:rPr>
                                  </w:pPr>
                                  <w:r>
                                    <w:rPr>
                                      <w:spacing w:val="-2"/>
                                      <w:sz w:val="16"/>
                                    </w:rPr>
                                    <w:t>1,000</w:t>
                                  </w:r>
                                </w:p>
                              </w:tc>
                              <w:tc>
                                <w:tcPr>
                                  <w:tcW w:w="1043" w:type="dxa"/>
                                </w:tcPr>
                                <w:p>
                                  <w:pPr>
                                    <w:pStyle w:val="TableParagraph"/>
                                    <w:spacing w:before="41"/>
                                    <w:ind w:right="61"/>
                                    <w:jc w:val="right"/>
                                    <w:rPr>
                                      <w:sz w:val="16"/>
                                    </w:rPr>
                                  </w:pPr>
                                  <w:r>
                                    <w:rPr>
                                      <w:spacing w:val="-5"/>
                                      <w:sz w:val="16"/>
                                    </w:rPr>
                                    <w:t>584</w:t>
                                  </w:r>
                                </w:p>
                              </w:tc>
                              <w:tc>
                                <w:tcPr>
                                  <w:tcW w:w="1014" w:type="dxa"/>
                                </w:tcPr>
                                <w:p>
                                  <w:pPr>
                                    <w:pStyle w:val="TableParagraph"/>
                                    <w:spacing w:before="41"/>
                                    <w:ind w:right="70"/>
                                    <w:jc w:val="right"/>
                                    <w:rPr>
                                      <w:sz w:val="16"/>
                                    </w:rPr>
                                  </w:pPr>
                                  <w:r>
                                    <w:rPr>
                                      <w:spacing w:val="-5"/>
                                      <w:sz w:val="16"/>
                                    </w:rPr>
                                    <w:t>584</w:t>
                                  </w:r>
                                </w:p>
                              </w:tc>
                              <w:tc>
                                <w:tcPr>
                                  <w:tcW w:w="706" w:type="dxa"/>
                                </w:tcPr>
                                <w:p>
                                  <w:pPr>
                                    <w:pStyle w:val="TableParagraph"/>
                                    <w:spacing w:before="41"/>
                                    <w:ind w:right="7"/>
                                    <w:jc w:val="center"/>
                                    <w:rPr>
                                      <w:sz w:val="16"/>
                                    </w:rPr>
                                  </w:pPr>
                                  <w:r>
                                    <w:rPr>
                                      <w:spacing w:val="-2"/>
                                      <w:sz w:val="16"/>
                                    </w:rPr>
                                    <w:t>03/30/21</w:t>
                                  </w:r>
                                </w:p>
                              </w:tc>
                              <w:tc>
                                <w:tcPr>
                                  <w:tcW w:w="1061" w:type="dxa"/>
                                </w:tcPr>
                                <w:p>
                                  <w:pPr>
                                    <w:pStyle w:val="TableParagraph"/>
                                    <w:spacing w:before="41"/>
                                    <w:ind w:right="67"/>
                                    <w:jc w:val="right"/>
                                    <w:rPr>
                                      <w:sz w:val="16"/>
                                    </w:rPr>
                                  </w:pPr>
                                  <w:r>
                                    <w:rPr>
                                      <w:spacing w:val="-2"/>
                                      <w:sz w:val="16"/>
                                    </w:rPr>
                                    <w:t>4.450%</w:t>
                                  </w:r>
                                </w:p>
                              </w:tc>
                              <w:tc>
                                <w:tcPr>
                                  <w:tcW w:w="914" w:type="dxa"/>
                                </w:tcPr>
                                <w:p>
                                  <w:pPr>
                                    <w:pStyle w:val="TableParagraph"/>
                                    <w:spacing w:before="41"/>
                                    <w:ind w:right="13"/>
                                    <w:jc w:val="center"/>
                                    <w:rPr>
                                      <w:sz w:val="16"/>
                                    </w:rPr>
                                  </w:pPr>
                                  <w:r>
                                    <w:rPr>
                                      <w:spacing w:val="-2"/>
                                      <w:sz w:val="16"/>
                                    </w:rPr>
                                    <w:t>06/01/26</w:t>
                                  </w:r>
                                </w:p>
                              </w:tc>
                              <w:tc>
                                <w:tcPr>
                                  <w:tcW w:w="792" w:type="dxa"/>
                                </w:tcPr>
                                <w:p>
                                  <w:pPr>
                                    <w:pStyle w:val="TableParagraph"/>
                                    <w:spacing w:before="41"/>
                                    <w:ind w:right="107"/>
                                    <w:jc w:val="right"/>
                                    <w:rPr>
                                      <w:sz w:val="16"/>
                                    </w:rPr>
                                  </w:pPr>
                                  <w:r>
                                    <w:rPr>
                                      <w:spacing w:val="-5"/>
                                      <w:sz w:val="16"/>
                                    </w:rPr>
                                    <w:t>N/A</w:t>
                                  </w:r>
                                </w:p>
                              </w:tc>
                              <w:tc>
                                <w:tcPr>
                                  <w:tcW w:w="796" w:type="dxa"/>
                                </w:tcPr>
                                <w:p>
                                  <w:pPr>
                                    <w:pStyle w:val="TableParagraph"/>
                                    <w:spacing w:before="41"/>
                                    <w:ind w:right="63"/>
                                    <w:jc w:val="right"/>
                                    <w:rPr>
                                      <w:sz w:val="16"/>
                                    </w:rPr>
                                  </w:pPr>
                                  <w:r>
                                    <w:rPr>
                                      <w:spacing w:val="-5"/>
                                      <w:sz w:val="16"/>
                                    </w:rPr>
                                    <w:t>N/A</w:t>
                                  </w:r>
                                </w:p>
                              </w:tc>
                              <w:tc>
                                <w:tcPr>
                                  <w:tcW w:w="655" w:type="dxa"/>
                                </w:tcPr>
                                <w:p>
                                  <w:pPr>
                                    <w:pStyle w:val="TableParagraph"/>
                                    <w:spacing w:before="41"/>
                                    <w:ind w:right="58"/>
                                    <w:jc w:val="right"/>
                                    <w:rPr>
                                      <w:sz w:val="16"/>
                                    </w:rPr>
                                  </w:pPr>
                                  <w:r>
                                    <w:rPr>
                                      <w:spacing w:val="-5"/>
                                      <w:sz w:val="16"/>
                                    </w:rPr>
                                    <w:t>N/A</w:t>
                                  </w:r>
                                </w:p>
                              </w:tc>
                            </w:tr>
                            <w:tr>
                              <w:trPr>
                                <w:trHeight w:val="255" w:hRule="atLeast"/>
                              </w:trPr>
                              <w:tc>
                                <w:tcPr>
                                  <w:tcW w:w="10988" w:type="dxa"/>
                                  <w:gridSpan w:val="12"/>
                                  <w:shd w:val="clear" w:color="auto" w:fill="CCEDFF"/>
                                </w:tcPr>
                                <w:p>
                                  <w:pPr>
                                    <w:pStyle w:val="TableParagraph"/>
                                    <w:spacing w:before="27"/>
                                    <w:ind w:left="52"/>
                                    <w:rPr>
                                      <w:sz w:val="16"/>
                                    </w:rPr>
                                  </w:pPr>
                                  <w:r>
                                    <w:rPr>
                                      <w:sz w:val="16"/>
                                    </w:rPr>
                                    <w:t>Fixed-to-floating</w:t>
                                  </w:r>
                                  <w:r>
                                    <w:rPr>
                                      <w:spacing w:val="-1"/>
                                      <w:sz w:val="16"/>
                                    </w:rPr>
                                    <w:t> </w:t>
                                  </w:r>
                                  <w:r>
                                    <w:rPr>
                                      <w:sz w:val="16"/>
                                    </w:rPr>
                                    <w:t>rate/Fixed-rate</w:t>
                                  </w:r>
                                  <w:r>
                                    <w:rPr>
                                      <w:spacing w:val="-1"/>
                                      <w:sz w:val="16"/>
                                    </w:rPr>
                                    <w:t> </w:t>
                                  </w:r>
                                  <w:r>
                                    <w:rPr>
                                      <w:spacing w:val="-2"/>
                                      <w:sz w:val="16"/>
                                    </w:rPr>
                                    <w:t>reset:</w:t>
                                  </w:r>
                                </w:p>
                              </w:tc>
                            </w:tr>
                          </w:tbl>
                          <w:p>
                            <w:pPr>
                              <w:pStyle w:val="BodyText"/>
                            </w:pPr>
                          </w:p>
                        </w:txbxContent>
                      </wps:txbx>
                      <wps:bodyPr wrap="square" lIns="0" tIns="0" rIns="0" bIns="0" rtlCol="0">
                        <a:noAutofit/>
                      </wps:bodyPr>
                    </wps:wsp>
                  </a:graphicData>
                </a:graphic>
              </wp:anchor>
            </w:drawing>
          </mc:Choice>
          <mc:Fallback>
            <w:pict>
              <v:shape style="position:absolute;margin-left:28.5pt;margin-top:19.417618pt;width:555pt;height:114.95pt;mso-position-horizontal-relative:page;mso-position-vertical-relative:paragraph;z-index:15772672" type="#_x0000_t202" id="docshape44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164"/>
                        <w:gridCol w:w="839"/>
                        <w:gridCol w:w="856"/>
                        <w:gridCol w:w="1043"/>
                        <w:gridCol w:w="1014"/>
                        <w:gridCol w:w="706"/>
                        <w:gridCol w:w="1061"/>
                        <w:gridCol w:w="914"/>
                        <w:gridCol w:w="792"/>
                        <w:gridCol w:w="796"/>
                        <w:gridCol w:w="655"/>
                      </w:tblGrid>
                      <w:tr>
                        <w:trPr>
                          <w:trHeight w:val="271" w:hRule="atLeast"/>
                        </w:trPr>
                        <w:tc>
                          <w:tcPr>
                            <w:tcW w:w="8745" w:type="dxa"/>
                            <w:gridSpan w:val="9"/>
                            <w:vMerge w:val="restart"/>
                            <w:tcBorders>
                              <w:top w:val="single" w:sz="4" w:space="0" w:color="000000"/>
                            </w:tcBorders>
                          </w:tcPr>
                          <w:p>
                            <w:pPr>
                              <w:pStyle w:val="TableParagraph"/>
                              <w:rPr>
                                <w:sz w:val="16"/>
                              </w:rPr>
                            </w:pPr>
                          </w:p>
                        </w:tc>
                        <w:tc>
                          <w:tcPr>
                            <w:tcW w:w="792" w:type="dxa"/>
                            <w:tcBorders>
                              <w:top w:val="single" w:sz="4" w:space="0" w:color="000000"/>
                            </w:tcBorders>
                          </w:tcPr>
                          <w:p>
                            <w:pPr>
                              <w:pStyle w:val="TableParagraph"/>
                              <w:spacing w:line="155" w:lineRule="exact" w:before="96"/>
                              <w:ind w:right="201"/>
                              <w:jc w:val="right"/>
                              <w:rPr>
                                <w:sz w:val="16"/>
                              </w:rPr>
                            </w:pPr>
                            <w:r>
                              <w:rPr>
                                <w:sz w:val="16"/>
                              </w:rPr>
                              <w:t>Date</w:t>
                            </w:r>
                            <w:r>
                              <w:rPr>
                                <w:spacing w:val="-1"/>
                                <w:sz w:val="16"/>
                              </w:rPr>
                              <w:t> </w:t>
                            </w:r>
                            <w:r>
                              <w:rPr>
                                <w:spacing w:val="-5"/>
                                <w:sz w:val="16"/>
                              </w:rPr>
                              <w:t>at</w:t>
                            </w:r>
                          </w:p>
                        </w:tc>
                        <w:tc>
                          <w:tcPr>
                            <w:tcW w:w="1451" w:type="dxa"/>
                            <w:gridSpan w:val="2"/>
                            <w:vMerge w:val="restart"/>
                            <w:tcBorders>
                              <w:top w:val="single" w:sz="4" w:space="0" w:color="000000"/>
                            </w:tcBorders>
                          </w:tcPr>
                          <w:p>
                            <w:pPr>
                              <w:pStyle w:val="TableParagraph"/>
                              <w:rPr>
                                <w:sz w:val="16"/>
                              </w:rPr>
                            </w:pPr>
                          </w:p>
                        </w:tc>
                      </w:tr>
                      <w:tr>
                        <w:trPr>
                          <w:trHeight w:val="160" w:hRule="atLeast"/>
                        </w:trPr>
                        <w:tc>
                          <w:tcPr>
                            <w:tcW w:w="8745" w:type="dxa"/>
                            <w:gridSpan w:val="9"/>
                            <w:vMerge/>
                            <w:tcBorders>
                              <w:top w:val="nil"/>
                            </w:tcBorders>
                          </w:tcPr>
                          <w:p>
                            <w:pPr>
                              <w:rPr>
                                <w:sz w:val="2"/>
                                <w:szCs w:val="2"/>
                              </w:rPr>
                            </w:pPr>
                          </w:p>
                        </w:tc>
                        <w:tc>
                          <w:tcPr>
                            <w:tcW w:w="792" w:type="dxa"/>
                          </w:tcPr>
                          <w:p>
                            <w:pPr>
                              <w:pStyle w:val="TableParagraph"/>
                              <w:spacing w:line="140" w:lineRule="exact"/>
                              <w:ind w:left="146"/>
                              <w:rPr>
                                <w:sz w:val="16"/>
                              </w:rPr>
                            </w:pPr>
                            <w:r>
                              <w:rPr>
                                <w:spacing w:val="-2"/>
                                <w:sz w:val="16"/>
                              </w:rPr>
                              <w:t>Which</w:t>
                            </w:r>
                          </w:p>
                        </w:tc>
                        <w:tc>
                          <w:tcPr>
                            <w:tcW w:w="1451" w:type="dxa"/>
                            <w:gridSpan w:val="2"/>
                            <w:vMerge/>
                            <w:tcBorders>
                              <w:top w:val="nil"/>
                            </w:tcBorders>
                          </w:tcPr>
                          <w:p>
                            <w:pPr>
                              <w:rPr>
                                <w:sz w:val="2"/>
                                <w:szCs w:val="2"/>
                              </w:rPr>
                            </w:pPr>
                          </w:p>
                        </w:tc>
                      </w:tr>
                      <w:tr>
                        <w:trPr>
                          <w:trHeight w:val="160" w:hRule="atLeast"/>
                        </w:trPr>
                        <w:tc>
                          <w:tcPr>
                            <w:tcW w:w="8745" w:type="dxa"/>
                            <w:gridSpan w:val="9"/>
                            <w:vMerge/>
                            <w:tcBorders>
                              <w:top w:val="nil"/>
                            </w:tcBorders>
                          </w:tcPr>
                          <w:p>
                            <w:pPr>
                              <w:rPr>
                                <w:sz w:val="2"/>
                                <w:szCs w:val="2"/>
                              </w:rPr>
                            </w:pPr>
                          </w:p>
                        </w:tc>
                        <w:tc>
                          <w:tcPr>
                            <w:tcW w:w="792" w:type="dxa"/>
                          </w:tcPr>
                          <w:p>
                            <w:pPr>
                              <w:pStyle w:val="TableParagraph"/>
                              <w:spacing w:line="140" w:lineRule="exact"/>
                              <w:ind w:right="132"/>
                              <w:jc w:val="right"/>
                              <w:rPr>
                                <w:sz w:val="16"/>
                              </w:rPr>
                            </w:pPr>
                            <w:r>
                              <w:rPr>
                                <w:spacing w:val="-2"/>
                                <w:sz w:val="16"/>
                              </w:rPr>
                              <w:t>Dividend</w:t>
                            </w:r>
                          </w:p>
                        </w:tc>
                        <w:tc>
                          <w:tcPr>
                            <w:tcW w:w="796" w:type="dxa"/>
                          </w:tcPr>
                          <w:p>
                            <w:pPr>
                              <w:pStyle w:val="TableParagraph"/>
                              <w:rPr>
                                <w:sz w:val="10"/>
                              </w:rPr>
                            </w:pPr>
                          </w:p>
                        </w:tc>
                        <w:tc>
                          <w:tcPr>
                            <w:tcW w:w="655" w:type="dxa"/>
                          </w:tcPr>
                          <w:p>
                            <w:pPr>
                              <w:pStyle w:val="TableParagraph"/>
                              <w:spacing w:line="140" w:lineRule="exact"/>
                              <w:ind w:right="100"/>
                              <w:jc w:val="right"/>
                              <w:rPr>
                                <w:sz w:val="16"/>
                              </w:rPr>
                            </w:pPr>
                            <w:r>
                              <w:rPr>
                                <w:spacing w:val="-2"/>
                                <w:sz w:val="16"/>
                              </w:rPr>
                              <w:t>Margin</w:t>
                            </w:r>
                          </w:p>
                        </w:tc>
                      </w:tr>
                      <w:tr>
                        <w:trPr>
                          <w:trHeight w:val="160" w:hRule="atLeast"/>
                        </w:trPr>
                        <w:tc>
                          <w:tcPr>
                            <w:tcW w:w="6770" w:type="dxa"/>
                            <w:gridSpan w:val="7"/>
                          </w:tcPr>
                          <w:p>
                            <w:pPr>
                              <w:pStyle w:val="TableParagraph"/>
                              <w:rPr>
                                <w:sz w:val="6"/>
                              </w:rPr>
                            </w:pPr>
                          </w:p>
                        </w:tc>
                        <w:tc>
                          <w:tcPr>
                            <w:tcW w:w="1061" w:type="dxa"/>
                          </w:tcPr>
                          <w:p>
                            <w:pPr>
                              <w:pStyle w:val="TableParagraph"/>
                              <w:spacing w:line="140" w:lineRule="exact"/>
                              <w:ind w:right="66"/>
                              <w:jc w:val="right"/>
                              <w:rPr>
                                <w:sz w:val="16"/>
                              </w:rPr>
                            </w:pPr>
                            <w:r>
                              <w:rPr>
                                <w:sz w:val="16"/>
                              </w:rPr>
                              <w:t>Dividend</w:t>
                            </w:r>
                            <w:r>
                              <w:rPr>
                                <w:spacing w:val="-1"/>
                                <w:sz w:val="16"/>
                              </w:rPr>
                              <w:t> </w:t>
                            </w:r>
                            <w:r>
                              <w:rPr>
                                <w:spacing w:val="-4"/>
                                <w:sz w:val="16"/>
                              </w:rPr>
                              <w:t>Rate</w:t>
                            </w:r>
                          </w:p>
                        </w:tc>
                        <w:tc>
                          <w:tcPr>
                            <w:tcW w:w="914" w:type="dxa"/>
                          </w:tcPr>
                          <w:p>
                            <w:pPr>
                              <w:pStyle w:val="TableParagraph"/>
                              <w:rPr>
                                <w:sz w:val="10"/>
                              </w:rPr>
                            </w:pPr>
                          </w:p>
                        </w:tc>
                        <w:tc>
                          <w:tcPr>
                            <w:tcW w:w="792" w:type="dxa"/>
                          </w:tcPr>
                          <w:p>
                            <w:pPr>
                              <w:pStyle w:val="TableParagraph"/>
                              <w:spacing w:line="140" w:lineRule="exact"/>
                              <w:ind w:left="213"/>
                              <w:rPr>
                                <w:sz w:val="16"/>
                              </w:rPr>
                            </w:pPr>
                            <w:r>
                              <w:rPr>
                                <w:spacing w:val="-4"/>
                                <w:sz w:val="16"/>
                              </w:rPr>
                              <w:t>Rate</w:t>
                            </w:r>
                          </w:p>
                        </w:tc>
                        <w:tc>
                          <w:tcPr>
                            <w:tcW w:w="796" w:type="dxa"/>
                          </w:tcPr>
                          <w:p>
                            <w:pPr>
                              <w:pStyle w:val="TableParagraph"/>
                              <w:rPr>
                                <w:sz w:val="10"/>
                              </w:rPr>
                            </w:pPr>
                          </w:p>
                        </w:tc>
                        <w:tc>
                          <w:tcPr>
                            <w:tcW w:w="655" w:type="dxa"/>
                          </w:tcPr>
                          <w:p>
                            <w:pPr>
                              <w:pStyle w:val="TableParagraph"/>
                              <w:spacing w:line="140" w:lineRule="exact"/>
                              <w:ind w:left="157"/>
                              <w:rPr>
                                <w:sz w:val="16"/>
                              </w:rPr>
                            </w:pPr>
                            <w:r>
                              <w:rPr>
                                <w:spacing w:val="-4"/>
                                <w:sz w:val="16"/>
                              </w:rPr>
                              <w:t>Over</w:t>
                            </w:r>
                          </w:p>
                        </w:tc>
                      </w:tr>
                      <w:tr>
                        <w:trPr>
                          <w:trHeight w:val="160" w:hRule="atLeast"/>
                        </w:trPr>
                        <w:tc>
                          <w:tcPr>
                            <w:tcW w:w="6770" w:type="dxa"/>
                            <w:gridSpan w:val="7"/>
                          </w:tcPr>
                          <w:p>
                            <w:pPr>
                              <w:pStyle w:val="TableParagraph"/>
                              <w:spacing w:line="155" w:lineRule="exact" w:before="21"/>
                              <w:ind w:left="385"/>
                              <w:jc w:val="center"/>
                              <w:rPr>
                                <w:sz w:val="16"/>
                              </w:rPr>
                            </w:pPr>
                            <w:r>
                              <w:rPr>
                                <w:spacing w:val="-2"/>
                                <w:sz w:val="16"/>
                              </w:rPr>
                              <w:t>Liquidation</w:t>
                            </w:r>
                          </w:p>
                        </w:tc>
                        <w:tc>
                          <w:tcPr>
                            <w:tcW w:w="1061" w:type="dxa"/>
                          </w:tcPr>
                          <w:p>
                            <w:pPr>
                              <w:pStyle w:val="TableParagraph"/>
                              <w:spacing w:line="140" w:lineRule="exact"/>
                              <w:ind w:left="172"/>
                              <w:rPr>
                                <w:sz w:val="16"/>
                              </w:rPr>
                            </w:pPr>
                            <w:r>
                              <w:rPr>
                                <w:sz w:val="16"/>
                              </w:rPr>
                              <w:t>in</w:t>
                            </w:r>
                            <w:r>
                              <w:rPr>
                                <w:spacing w:val="-1"/>
                                <w:sz w:val="16"/>
                              </w:rPr>
                              <w:t> </w:t>
                            </w:r>
                            <w:r>
                              <w:rPr>
                                <w:sz w:val="16"/>
                              </w:rPr>
                              <w:t>Effect </w:t>
                            </w:r>
                            <w:r>
                              <w:rPr>
                                <w:spacing w:val="-5"/>
                                <w:sz w:val="16"/>
                              </w:rPr>
                              <w:t>at</w:t>
                            </w:r>
                          </w:p>
                        </w:tc>
                        <w:tc>
                          <w:tcPr>
                            <w:tcW w:w="914" w:type="dxa"/>
                          </w:tcPr>
                          <w:p>
                            <w:pPr>
                              <w:pStyle w:val="TableParagraph"/>
                              <w:spacing w:line="140" w:lineRule="exact"/>
                              <w:ind w:right="13"/>
                              <w:jc w:val="center"/>
                              <w:rPr>
                                <w:sz w:val="16"/>
                              </w:rPr>
                            </w:pPr>
                            <w:r>
                              <w:rPr>
                                <w:spacing w:val="-2"/>
                                <w:sz w:val="16"/>
                              </w:rPr>
                              <w:t>Earliest</w:t>
                            </w:r>
                          </w:p>
                        </w:tc>
                        <w:tc>
                          <w:tcPr>
                            <w:tcW w:w="792" w:type="dxa"/>
                          </w:tcPr>
                          <w:p>
                            <w:pPr>
                              <w:pStyle w:val="TableParagraph"/>
                              <w:spacing w:line="140" w:lineRule="exact"/>
                              <w:ind w:right="134"/>
                              <w:jc w:val="right"/>
                              <w:rPr>
                                <w:sz w:val="16"/>
                              </w:rPr>
                            </w:pPr>
                            <w:r>
                              <w:rPr>
                                <w:sz w:val="16"/>
                              </w:rPr>
                              <w:t>Resets</w:t>
                            </w:r>
                            <w:r>
                              <w:rPr>
                                <w:spacing w:val="-2"/>
                                <w:sz w:val="16"/>
                              </w:rPr>
                              <w:t> </w:t>
                            </w:r>
                            <w:r>
                              <w:rPr>
                                <w:spacing w:val="-5"/>
                                <w:sz w:val="16"/>
                              </w:rPr>
                              <w:t>or</w:t>
                            </w:r>
                          </w:p>
                        </w:tc>
                        <w:tc>
                          <w:tcPr>
                            <w:tcW w:w="796" w:type="dxa"/>
                          </w:tcPr>
                          <w:p>
                            <w:pPr>
                              <w:pStyle w:val="TableParagraph"/>
                              <w:spacing w:line="140" w:lineRule="exact"/>
                              <w:ind w:left="143"/>
                              <w:rPr>
                                <w:sz w:val="16"/>
                              </w:rPr>
                            </w:pPr>
                            <w:r>
                              <w:rPr>
                                <w:sz w:val="16"/>
                              </w:rPr>
                              <w:t>Reset</w:t>
                            </w:r>
                            <w:r>
                              <w:rPr>
                                <w:spacing w:val="-1"/>
                                <w:sz w:val="16"/>
                              </w:rPr>
                              <w:t> </w:t>
                            </w:r>
                            <w:r>
                              <w:rPr>
                                <w:spacing w:val="-10"/>
                                <w:sz w:val="16"/>
                              </w:rPr>
                              <w:t>/</w:t>
                            </w:r>
                          </w:p>
                        </w:tc>
                        <w:tc>
                          <w:tcPr>
                            <w:tcW w:w="655" w:type="dxa"/>
                          </w:tcPr>
                          <w:p>
                            <w:pPr>
                              <w:pStyle w:val="TableParagraph"/>
                              <w:spacing w:line="140" w:lineRule="exact"/>
                              <w:ind w:right="115"/>
                              <w:jc w:val="right"/>
                              <w:rPr>
                                <w:sz w:val="16"/>
                              </w:rPr>
                            </w:pPr>
                            <w:r>
                              <w:rPr>
                                <w:sz w:val="16"/>
                              </w:rPr>
                              <w:t>Reset</w:t>
                            </w:r>
                            <w:r>
                              <w:rPr>
                                <w:spacing w:val="-1"/>
                                <w:sz w:val="16"/>
                              </w:rPr>
                              <w:t> </w:t>
                            </w:r>
                            <w:r>
                              <w:rPr>
                                <w:spacing w:val="-10"/>
                                <w:sz w:val="16"/>
                              </w:rPr>
                              <w:t>/</w:t>
                            </w:r>
                          </w:p>
                        </w:tc>
                      </w:tr>
                      <w:tr>
                        <w:trPr>
                          <w:trHeight w:val="160" w:hRule="atLeast"/>
                        </w:trPr>
                        <w:tc>
                          <w:tcPr>
                            <w:tcW w:w="6770" w:type="dxa"/>
                            <w:gridSpan w:val="7"/>
                          </w:tcPr>
                          <w:p>
                            <w:pPr>
                              <w:pStyle w:val="TableParagraph"/>
                              <w:tabs>
                                <w:tab w:pos="6248" w:val="left" w:leader="none"/>
                              </w:tabs>
                              <w:spacing w:line="140" w:lineRule="exact"/>
                              <w:ind w:left="1150"/>
                              <w:rPr>
                                <w:sz w:val="16"/>
                              </w:rPr>
                            </w:pPr>
                            <w:r>
                              <w:rPr>
                                <w:sz w:val="16"/>
                              </w:rPr>
                              <w:t>September</w:t>
                            </w:r>
                            <w:r>
                              <w:rPr>
                                <w:spacing w:val="-3"/>
                                <w:sz w:val="16"/>
                              </w:rPr>
                              <w:t> </w:t>
                            </w:r>
                            <w:r>
                              <w:rPr>
                                <w:sz w:val="16"/>
                              </w:rPr>
                              <w:t>30,</w:t>
                            </w:r>
                            <w:r>
                              <w:rPr>
                                <w:spacing w:val="75"/>
                                <w:sz w:val="16"/>
                              </w:rPr>
                              <w:t> </w:t>
                            </w:r>
                            <w:r>
                              <w:rPr>
                                <w:sz w:val="16"/>
                              </w:rPr>
                              <w:t>December 31,</w:t>
                            </w:r>
                            <w:r>
                              <w:rPr>
                                <w:spacing w:val="32"/>
                                <w:sz w:val="16"/>
                              </w:rPr>
                              <w:t>  </w:t>
                            </w:r>
                            <w:r>
                              <w:rPr>
                                <w:sz w:val="16"/>
                              </w:rPr>
                              <w:t>Preference</w:t>
                            </w:r>
                            <w:r>
                              <w:rPr>
                                <w:spacing w:val="34"/>
                                <w:sz w:val="16"/>
                              </w:rPr>
                              <w:t>  </w:t>
                            </w:r>
                            <w:r>
                              <w:rPr>
                                <w:sz w:val="16"/>
                              </w:rPr>
                              <w:t>September 30,</w:t>
                            </w:r>
                            <w:r>
                              <w:rPr>
                                <w:spacing w:val="75"/>
                                <w:sz w:val="16"/>
                              </w:rPr>
                              <w:t> </w:t>
                            </w:r>
                            <w:r>
                              <w:rPr>
                                <w:sz w:val="16"/>
                              </w:rPr>
                              <w:t>December </w:t>
                            </w:r>
                            <w:r>
                              <w:rPr>
                                <w:spacing w:val="-5"/>
                                <w:sz w:val="16"/>
                              </w:rPr>
                              <w:t>31,</w:t>
                            </w:r>
                            <w:r>
                              <w:rPr>
                                <w:sz w:val="16"/>
                              </w:rPr>
                              <w:tab/>
                            </w:r>
                            <w:r>
                              <w:rPr>
                                <w:spacing w:val="-2"/>
                                <w:sz w:val="16"/>
                              </w:rPr>
                              <w:t>Issue</w:t>
                            </w:r>
                          </w:p>
                        </w:tc>
                        <w:tc>
                          <w:tcPr>
                            <w:tcW w:w="1061" w:type="dxa"/>
                          </w:tcPr>
                          <w:p>
                            <w:pPr>
                              <w:pStyle w:val="TableParagraph"/>
                              <w:spacing w:line="140" w:lineRule="exact"/>
                              <w:ind w:right="69"/>
                              <w:jc w:val="right"/>
                              <w:rPr>
                                <w:sz w:val="16"/>
                              </w:rPr>
                            </w:pPr>
                            <w:r>
                              <w:rPr>
                                <w:sz w:val="16"/>
                              </w:rPr>
                              <w:t>September</w:t>
                            </w:r>
                            <w:r>
                              <w:rPr>
                                <w:spacing w:val="-1"/>
                                <w:sz w:val="16"/>
                              </w:rPr>
                              <w:t> </w:t>
                            </w:r>
                            <w:r>
                              <w:rPr>
                                <w:spacing w:val="-5"/>
                                <w:sz w:val="16"/>
                              </w:rPr>
                              <w:t>30,</w:t>
                            </w:r>
                          </w:p>
                        </w:tc>
                        <w:tc>
                          <w:tcPr>
                            <w:tcW w:w="914" w:type="dxa"/>
                          </w:tcPr>
                          <w:p>
                            <w:pPr>
                              <w:pStyle w:val="TableParagraph"/>
                              <w:spacing w:line="140" w:lineRule="exact"/>
                              <w:ind w:right="13"/>
                              <w:jc w:val="center"/>
                              <w:rPr>
                                <w:sz w:val="16"/>
                              </w:rPr>
                            </w:pPr>
                            <w:r>
                              <w:rPr>
                                <w:spacing w:val="-2"/>
                                <w:sz w:val="16"/>
                              </w:rPr>
                              <w:t>Redemption</w:t>
                            </w:r>
                          </w:p>
                        </w:tc>
                        <w:tc>
                          <w:tcPr>
                            <w:tcW w:w="792" w:type="dxa"/>
                          </w:tcPr>
                          <w:p>
                            <w:pPr>
                              <w:pStyle w:val="TableParagraph"/>
                              <w:spacing w:line="140" w:lineRule="exact"/>
                              <w:ind w:right="136"/>
                              <w:jc w:val="right"/>
                              <w:rPr>
                                <w:sz w:val="16"/>
                              </w:rPr>
                            </w:pPr>
                            <w:r>
                              <w:rPr>
                                <w:spacing w:val="-2"/>
                                <w:sz w:val="16"/>
                              </w:rPr>
                              <w:t>Becomes</w:t>
                            </w:r>
                          </w:p>
                        </w:tc>
                        <w:tc>
                          <w:tcPr>
                            <w:tcW w:w="796" w:type="dxa"/>
                          </w:tcPr>
                          <w:p>
                            <w:pPr>
                              <w:pStyle w:val="TableParagraph"/>
                              <w:spacing w:line="140" w:lineRule="exact"/>
                              <w:ind w:left="96"/>
                              <w:rPr>
                                <w:sz w:val="16"/>
                              </w:rPr>
                            </w:pPr>
                            <w:r>
                              <w:rPr>
                                <w:spacing w:val="-2"/>
                                <w:sz w:val="16"/>
                              </w:rPr>
                              <w:t>Floating</w:t>
                            </w:r>
                          </w:p>
                        </w:tc>
                        <w:tc>
                          <w:tcPr>
                            <w:tcW w:w="655" w:type="dxa"/>
                          </w:tcPr>
                          <w:p>
                            <w:pPr>
                              <w:pStyle w:val="TableParagraph"/>
                              <w:spacing w:line="140" w:lineRule="exact"/>
                              <w:ind w:right="69"/>
                              <w:jc w:val="right"/>
                              <w:rPr>
                                <w:sz w:val="16"/>
                              </w:rPr>
                            </w:pPr>
                            <w:r>
                              <w:rPr>
                                <w:spacing w:val="-2"/>
                                <w:sz w:val="16"/>
                              </w:rPr>
                              <w:t>Floating</w:t>
                            </w:r>
                          </w:p>
                        </w:tc>
                      </w:tr>
                      <w:tr>
                        <w:trPr>
                          <w:trHeight w:val="193" w:hRule="atLeast"/>
                        </w:trPr>
                        <w:tc>
                          <w:tcPr>
                            <w:tcW w:w="6770" w:type="dxa"/>
                            <w:gridSpan w:val="7"/>
                            <w:tcBorders>
                              <w:bottom w:val="single" w:sz="4" w:space="0" w:color="000000"/>
                            </w:tcBorders>
                          </w:tcPr>
                          <w:p>
                            <w:pPr>
                              <w:pStyle w:val="TableParagraph"/>
                              <w:tabs>
                                <w:tab w:pos="2399" w:val="left" w:leader="none"/>
                                <w:tab w:pos="3268" w:val="left" w:leader="none"/>
                                <w:tab w:pos="4369" w:val="left" w:leader="none"/>
                                <w:tab w:pos="5397" w:val="left" w:leader="none"/>
                                <w:tab w:pos="6261" w:val="left" w:leader="none"/>
                              </w:tabs>
                              <w:spacing w:line="169" w:lineRule="exact"/>
                              <w:ind w:left="1371"/>
                              <w:rPr>
                                <w:sz w:val="16"/>
                              </w:rPr>
                            </w:pPr>
                            <w:r>
                              <w:rPr>
                                <w:sz w:val="16"/>
                              </w:rPr>
                              <w:t>2023 </w:t>
                            </w:r>
                            <w:r>
                              <w:rPr>
                                <w:spacing w:val="-5"/>
                                <w:sz w:val="16"/>
                                <w:vertAlign w:val="superscript"/>
                              </w:rPr>
                              <w:t>(1)</w:t>
                            </w:r>
                            <w:r>
                              <w:rPr>
                                <w:sz w:val="16"/>
                                <w:vertAlign w:val="baseline"/>
                              </w:rPr>
                              <w:tab/>
                              <w:t>2022 </w:t>
                            </w:r>
                            <w:r>
                              <w:rPr>
                                <w:spacing w:val="-5"/>
                                <w:sz w:val="16"/>
                                <w:vertAlign w:val="superscript"/>
                              </w:rPr>
                              <w:t>(1)</w:t>
                            </w:r>
                            <w:r>
                              <w:rPr>
                                <w:sz w:val="16"/>
                                <w:vertAlign w:val="baseline"/>
                              </w:rPr>
                              <w:tab/>
                              <w:t>Per</w:t>
                            </w:r>
                            <w:r>
                              <w:rPr>
                                <w:spacing w:val="-1"/>
                                <w:sz w:val="16"/>
                                <w:vertAlign w:val="baseline"/>
                              </w:rPr>
                              <w:t> </w:t>
                            </w:r>
                            <w:r>
                              <w:rPr>
                                <w:spacing w:val="-2"/>
                                <w:sz w:val="16"/>
                                <w:vertAlign w:val="baseline"/>
                              </w:rPr>
                              <w:t>Share</w:t>
                            </w:r>
                            <w:r>
                              <w:rPr>
                                <w:sz w:val="16"/>
                                <w:vertAlign w:val="baseline"/>
                              </w:rPr>
                              <w:tab/>
                            </w:r>
                            <w:r>
                              <w:rPr>
                                <w:spacing w:val="-4"/>
                                <w:sz w:val="16"/>
                                <w:vertAlign w:val="baseline"/>
                              </w:rPr>
                              <w:t>2023</w:t>
                            </w:r>
                            <w:r>
                              <w:rPr>
                                <w:sz w:val="16"/>
                                <w:vertAlign w:val="baseline"/>
                              </w:rPr>
                              <w:tab/>
                            </w:r>
                            <w:r>
                              <w:rPr>
                                <w:spacing w:val="-4"/>
                                <w:sz w:val="16"/>
                                <w:vertAlign w:val="baseline"/>
                              </w:rPr>
                              <w:t>2022</w:t>
                            </w:r>
                            <w:r>
                              <w:rPr>
                                <w:sz w:val="16"/>
                                <w:vertAlign w:val="baseline"/>
                              </w:rPr>
                              <w:tab/>
                            </w:r>
                            <w:r>
                              <w:rPr>
                                <w:spacing w:val="-4"/>
                                <w:sz w:val="16"/>
                                <w:vertAlign w:val="baseline"/>
                              </w:rPr>
                              <w:t>Date</w:t>
                            </w:r>
                          </w:p>
                        </w:tc>
                        <w:tc>
                          <w:tcPr>
                            <w:tcW w:w="1061" w:type="dxa"/>
                            <w:tcBorders>
                              <w:bottom w:val="single" w:sz="4" w:space="0" w:color="000000"/>
                            </w:tcBorders>
                          </w:tcPr>
                          <w:p>
                            <w:pPr>
                              <w:pStyle w:val="TableParagraph"/>
                              <w:spacing w:line="169" w:lineRule="exact"/>
                              <w:ind w:right="4"/>
                              <w:jc w:val="center"/>
                              <w:rPr>
                                <w:sz w:val="16"/>
                              </w:rPr>
                            </w:pPr>
                            <w:r>
                              <w:rPr>
                                <w:spacing w:val="-4"/>
                                <w:sz w:val="16"/>
                              </w:rPr>
                              <w:t>2023</w:t>
                            </w:r>
                          </w:p>
                        </w:tc>
                        <w:tc>
                          <w:tcPr>
                            <w:tcW w:w="914" w:type="dxa"/>
                            <w:tcBorders>
                              <w:bottom w:val="single" w:sz="4" w:space="0" w:color="000000"/>
                            </w:tcBorders>
                          </w:tcPr>
                          <w:p>
                            <w:pPr>
                              <w:pStyle w:val="TableParagraph"/>
                              <w:spacing w:line="169" w:lineRule="exact"/>
                              <w:ind w:right="13"/>
                              <w:jc w:val="center"/>
                              <w:rPr>
                                <w:sz w:val="16"/>
                              </w:rPr>
                            </w:pPr>
                            <w:r>
                              <w:rPr>
                                <w:spacing w:val="-4"/>
                                <w:sz w:val="16"/>
                              </w:rPr>
                              <w:t>Date</w:t>
                            </w:r>
                          </w:p>
                        </w:tc>
                        <w:tc>
                          <w:tcPr>
                            <w:tcW w:w="792" w:type="dxa"/>
                            <w:tcBorders>
                              <w:bottom w:val="single" w:sz="4" w:space="0" w:color="000000"/>
                            </w:tcBorders>
                          </w:tcPr>
                          <w:p>
                            <w:pPr>
                              <w:pStyle w:val="TableParagraph"/>
                              <w:spacing w:line="169" w:lineRule="exact"/>
                              <w:ind w:right="163"/>
                              <w:jc w:val="right"/>
                              <w:rPr>
                                <w:sz w:val="16"/>
                              </w:rPr>
                            </w:pPr>
                            <w:r>
                              <w:rPr>
                                <w:spacing w:val="-2"/>
                                <w:sz w:val="16"/>
                              </w:rPr>
                              <w:t>Floating</w:t>
                            </w:r>
                          </w:p>
                        </w:tc>
                        <w:tc>
                          <w:tcPr>
                            <w:tcW w:w="796" w:type="dxa"/>
                            <w:tcBorders>
                              <w:bottom w:val="single" w:sz="4" w:space="0" w:color="000000"/>
                            </w:tcBorders>
                          </w:tcPr>
                          <w:p>
                            <w:pPr>
                              <w:pStyle w:val="TableParagraph"/>
                              <w:spacing w:line="169" w:lineRule="exact"/>
                              <w:ind w:left="216"/>
                              <w:rPr>
                                <w:sz w:val="16"/>
                              </w:rPr>
                            </w:pPr>
                            <w:r>
                              <w:rPr>
                                <w:spacing w:val="-4"/>
                                <w:sz w:val="16"/>
                              </w:rPr>
                              <w:t>Rate</w:t>
                            </w:r>
                          </w:p>
                        </w:tc>
                        <w:tc>
                          <w:tcPr>
                            <w:tcW w:w="655" w:type="dxa"/>
                            <w:tcBorders>
                              <w:bottom w:val="single" w:sz="4" w:space="0" w:color="000000"/>
                            </w:tcBorders>
                          </w:tcPr>
                          <w:p>
                            <w:pPr>
                              <w:pStyle w:val="TableParagraph"/>
                              <w:spacing w:line="169" w:lineRule="exact"/>
                              <w:ind w:left="170"/>
                              <w:rPr>
                                <w:sz w:val="16"/>
                              </w:rPr>
                            </w:pPr>
                            <w:r>
                              <w:rPr>
                                <w:spacing w:val="-4"/>
                                <w:sz w:val="16"/>
                              </w:rPr>
                              <w:t>Rate</w:t>
                            </w:r>
                          </w:p>
                        </w:tc>
                      </w:tr>
                      <w:tr>
                        <w:trPr>
                          <w:trHeight w:val="250" w:hRule="atLeast"/>
                        </w:trPr>
                        <w:tc>
                          <w:tcPr>
                            <w:tcW w:w="1148" w:type="dxa"/>
                            <w:tcBorders>
                              <w:top w:val="single" w:sz="4" w:space="0" w:color="000000"/>
                            </w:tcBorders>
                          </w:tcPr>
                          <w:p>
                            <w:pPr>
                              <w:pStyle w:val="TableParagraph"/>
                              <w:spacing w:before="36"/>
                              <w:ind w:left="52"/>
                              <w:rPr>
                                <w:sz w:val="16"/>
                              </w:rPr>
                            </w:pPr>
                            <w:r>
                              <w:rPr>
                                <w:spacing w:val="-2"/>
                                <w:sz w:val="16"/>
                              </w:rPr>
                              <w:t>Fixed-rate:</w:t>
                            </w:r>
                          </w:p>
                        </w:tc>
                        <w:tc>
                          <w:tcPr>
                            <w:tcW w:w="1164" w:type="dxa"/>
                            <w:tcBorders>
                              <w:top w:val="single" w:sz="4" w:space="0" w:color="000000"/>
                            </w:tcBorders>
                          </w:tcPr>
                          <w:p>
                            <w:pPr>
                              <w:pStyle w:val="TableParagraph"/>
                              <w:rPr>
                                <w:sz w:val="16"/>
                              </w:rPr>
                            </w:pPr>
                          </w:p>
                        </w:tc>
                        <w:tc>
                          <w:tcPr>
                            <w:tcW w:w="839" w:type="dxa"/>
                            <w:tcBorders>
                              <w:top w:val="single" w:sz="4" w:space="0" w:color="000000"/>
                            </w:tcBorders>
                          </w:tcPr>
                          <w:p>
                            <w:pPr>
                              <w:pStyle w:val="TableParagraph"/>
                              <w:rPr>
                                <w:sz w:val="16"/>
                              </w:rPr>
                            </w:pPr>
                          </w:p>
                        </w:tc>
                        <w:tc>
                          <w:tcPr>
                            <w:tcW w:w="856" w:type="dxa"/>
                            <w:tcBorders>
                              <w:top w:val="single" w:sz="4" w:space="0" w:color="000000"/>
                            </w:tcBorders>
                          </w:tcPr>
                          <w:p>
                            <w:pPr>
                              <w:pStyle w:val="TableParagraph"/>
                              <w:rPr>
                                <w:sz w:val="16"/>
                              </w:rPr>
                            </w:pPr>
                          </w:p>
                        </w:tc>
                        <w:tc>
                          <w:tcPr>
                            <w:tcW w:w="1043" w:type="dxa"/>
                            <w:tcBorders>
                              <w:top w:val="single" w:sz="4" w:space="0" w:color="000000"/>
                            </w:tcBorders>
                          </w:tcPr>
                          <w:p>
                            <w:pPr>
                              <w:pStyle w:val="TableParagraph"/>
                              <w:rPr>
                                <w:sz w:val="16"/>
                              </w:rPr>
                            </w:pPr>
                          </w:p>
                        </w:tc>
                        <w:tc>
                          <w:tcPr>
                            <w:tcW w:w="1014" w:type="dxa"/>
                            <w:tcBorders>
                              <w:top w:val="single" w:sz="4" w:space="0" w:color="000000"/>
                            </w:tcBorders>
                          </w:tcPr>
                          <w:p>
                            <w:pPr>
                              <w:pStyle w:val="TableParagraph"/>
                              <w:rPr>
                                <w:sz w:val="16"/>
                              </w:rPr>
                            </w:pPr>
                          </w:p>
                        </w:tc>
                        <w:tc>
                          <w:tcPr>
                            <w:tcW w:w="706" w:type="dxa"/>
                            <w:tcBorders>
                              <w:top w:val="single" w:sz="4" w:space="0" w:color="000000"/>
                            </w:tcBorders>
                          </w:tcPr>
                          <w:p>
                            <w:pPr>
                              <w:pStyle w:val="TableParagraph"/>
                              <w:rPr>
                                <w:sz w:val="16"/>
                              </w:rPr>
                            </w:pPr>
                          </w:p>
                        </w:tc>
                        <w:tc>
                          <w:tcPr>
                            <w:tcW w:w="1061" w:type="dxa"/>
                            <w:tcBorders>
                              <w:top w:val="single" w:sz="4" w:space="0" w:color="000000"/>
                            </w:tcBorders>
                          </w:tcPr>
                          <w:p>
                            <w:pPr>
                              <w:pStyle w:val="TableParagraph"/>
                              <w:rPr>
                                <w:sz w:val="16"/>
                              </w:rPr>
                            </w:pPr>
                          </w:p>
                        </w:tc>
                        <w:tc>
                          <w:tcPr>
                            <w:tcW w:w="914" w:type="dxa"/>
                            <w:tcBorders>
                              <w:top w:val="single" w:sz="4" w:space="0" w:color="000000"/>
                            </w:tcBorders>
                          </w:tcPr>
                          <w:p>
                            <w:pPr>
                              <w:pStyle w:val="TableParagraph"/>
                              <w:rPr>
                                <w:sz w:val="16"/>
                              </w:rPr>
                            </w:pPr>
                          </w:p>
                        </w:tc>
                        <w:tc>
                          <w:tcPr>
                            <w:tcW w:w="792" w:type="dxa"/>
                            <w:tcBorders>
                              <w:top w:val="single" w:sz="4" w:space="0" w:color="000000"/>
                            </w:tcBorders>
                          </w:tcPr>
                          <w:p>
                            <w:pPr>
                              <w:pStyle w:val="TableParagraph"/>
                              <w:rPr>
                                <w:sz w:val="16"/>
                              </w:rPr>
                            </w:pPr>
                          </w:p>
                        </w:tc>
                        <w:tc>
                          <w:tcPr>
                            <w:tcW w:w="796" w:type="dxa"/>
                            <w:tcBorders>
                              <w:top w:val="single" w:sz="4" w:space="0" w:color="000000"/>
                            </w:tcBorders>
                          </w:tcPr>
                          <w:p>
                            <w:pPr>
                              <w:pStyle w:val="TableParagraph"/>
                              <w:rPr>
                                <w:sz w:val="16"/>
                              </w:rPr>
                            </w:pPr>
                          </w:p>
                        </w:tc>
                        <w:tc>
                          <w:tcPr>
                            <w:tcW w:w="655" w:type="dxa"/>
                            <w:tcBorders>
                              <w:top w:val="single" w:sz="4" w:space="0" w:color="000000"/>
                            </w:tcBorders>
                          </w:tcPr>
                          <w:p>
                            <w:pPr>
                              <w:pStyle w:val="TableParagraph"/>
                              <w:rPr>
                                <w:sz w:val="16"/>
                              </w:rPr>
                            </w:pPr>
                          </w:p>
                        </w:tc>
                      </w:tr>
                      <w:tr>
                        <w:trPr>
                          <w:trHeight w:val="255" w:hRule="atLeast"/>
                        </w:trPr>
                        <w:tc>
                          <w:tcPr>
                            <w:tcW w:w="1148" w:type="dxa"/>
                            <w:shd w:val="clear" w:color="auto" w:fill="CCEDFF"/>
                          </w:tcPr>
                          <w:p>
                            <w:pPr>
                              <w:pStyle w:val="TableParagraph"/>
                              <w:spacing w:before="27"/>
                              <w:ind w:left="172"/>
                              <w:rPr>
                                <w:sz w:val="16"/>
                              </w:rPr>
                            </w:pPr>
                            <w:r>
                              <w:rPr>
                                <w:sz w:val="16"/>
                              </w:rPr>
                              <w:t>Series</w:t>
                            </w:r>
                            <w:r>
                              <w:rPr>
                                <w:spacing w:val="-2"/>
                                <w:sz w:val="16"/>
                              </w:rPr>
                              <w:t> </w:t>
                            </w:r>
                            <w:r>
                              <w:rPr>
                                <w:spacing w:val="-10"/>
                                <w:sz w:val="16"/>
                              </w:rPr>
                              <w:t>D</w:t>
                            </w:r>
                          </w:p>
                        </w:tc>
                        <w:tc>
                          <w:tcPr>
                            <w:tcW w:w="1164" w:type="dxa"/>
                            <w:shd w:val="clear" w:color="auto" w:fill="CCEDFF"/>
                          </w:tcPr>
                          <w:p>
                            <w:pPr>
                              <w:pStyle w:val="TableParagraph"/>
                              <w:spacing w:before="41"/>
                              <w:ind w:right="248"/>
                              <w:jc w:val="right"/>
                              <w:rPr>
                                <w:sz w:val="16"/>
                              </w:rPr>
                            </w:pPr>
                            <w:r>
                              <w:rPr>
                                <w:spacing w:val="-2"/>
                                <w:sz w:val="16"/>
                              </w:rPr>
                              <w:t>750,000</w:t>
                            </w:r>
                          </w:p>
                        </w:tc>
                        <w:tc>
                          <w:tcPr>
                            <w:tcW w:w="839" w:type="dxa"/>
                            <w:shd w:val="clear" w:color="auto" w:fill="CCEDFF"/>
                          </w:tcPr>
                          <w:p>
                            <w:pPr>
                              <w:pStyle w:val="TableParagraph"/>
                              <w:spacing w:before="41"/>
                              <w:ind w:right="67"/>
                              <w:jc w:val="right"/>
                              <w:rPr>
                                <w:sz w:val="16"/>
                              </w:rPr>
                            </w:pPr>
                            <w:r>
                              <w:rPr>
                                <w:spacing w:val="-2"/>
                                <w:sz w:val="16"/>
                              </w:rPr>
                              <w:t>750,000</w:t>
                            </w:r>
                          </w:p>
                        </w:tc>
                        <w:tc>
                          <w:tcPr>
                            <w:tcW w:w="856" w:type="dxa"/>
                            <w:shd w:val="clear" w:color="auto" w:fill="CCEDFF"/>
                          </w:tcPr>
                          <w:p>
                            <w:pPr>
                              <w:pStyle w:val="TableParagraph"/>
                              <w:tabs>
                                <w:tab w:pos="373" w:val="left" w:leader="none"/>
                              </w:tabs>
                              <w:spacing w:before="41"/>
                              <w:ind w:right="68"/>
                              <w:jc w:val="right"/>
                              <w:rPr>
                                <w:sz w:val="16"/>
                              </w:rPr>
                            </w:pPr>
                            <w:r>
                              <w:rPr>
                                <w:spacing w:val="-10"/>
                                <w:sz w:val="16"/>
                              </w:rPr>
                              <w:t>$</w:t>
                            </w:r>
                            <w:r>
                              <w:rPr>
                                <w:sz w:val="16"/>
                              </w:rPr>
                              <w:tab/>
                            </w:r>
                            <w:r>
                              <w:rPr>
                                <w:spacing w:val="-2"/>
                                <w:sz w:val="16"/>
                              </w:rPr>
                              <w:t>1,000</w:t>
                            </w:r>
                          </w:p>
                        </w:tc>
                        <w:tc>
                          <w:tcPr>
                            <w:tcW w:w="1043" w:type="dxa"/>
                            <w:shd w:val="clear" w:color="auto" w:fill="CCEDFF"/>
                          </w:tcPr>
                          <w:p>
                            <w:pPr>
                              <w:pStyle w:val="TableParagraph"/>
                              <w:tabs>
                                <w:tab w:pos="689" w:val="left" w:leader="none"/>
                              </w:tabs>
                              <w:spacing w:before="41"/>
                              <w:ind w:right="61"/>
                              <w:jc w:val="right"/>
                              <w:rPr>
                                <w:sz w:val="16"/>
                              </w:rPr>
                            </w:pPr>
                            <w:r>
                              <w:rPr>
                                <w:spacing w:val="-10"/>
                                <w:sz w:val="16"/>
                              </w:rPr>
                              <w:t>$</w:t>
                            </w:r>
                            <w:r>
                              <w:rPr>
                                <w:sz w:val="16"/>
                              </w:rPr>
                              <w:tab/>
                            </w:r>
                            <w:r>
                              <w:rPr>
                                <w:spacing w:val="-5"/>
                                <w:sz w:val="16"/>
                              </w:rPr>
                              <w:t>728</w:t>
                            </w:r>
                          </w:p>
                        </w:tc>
                        <w:tc>
                          <w:tcPr>
                            <w:tcW w:w="1014" w:type="dxa"/>
                            <w:shd w:val="clear" w:color="auto" w:fill="CCEDFF"/>
                          </w:tcPr>
                          <w:p>
                            <w:pPr>
                              <w:pStyle w:val="TableParagraph"/>
                              <w:tabs>
                                <w:tab w:pos="644" w:val="left" w:leader="none"/>
                              </w:tabs>
                              <w:spacing w:before="41"/>
                              <w:ind w:right="70"/>
                              <w:jc w:val="right"/>
                              <w:rPr>
                                <w:sz w:val="16"/>
                              </w:rPr>
                            </w:pPr>
                            <w:r>
                              <w:rPr>
                                <w:spacing w:val="-10"/>
                                <w:sz w:val="16"/>
                              </w:rPr>
                              <w:t>$</w:t>
                            </w:r>
                            <w:r>
                              <w:rPr>
                                <w:sz w:val="16"/>
                              </w:rPr>
                              <w:tab/>
                            </w:r>
                            <w:r>
                              <w:rPr>
                                <w:spacing w:val="-5"/>
                                <w:sz w:val="16"/>
                              </w:rPr>
                              <w:t>728</w:t>
                            </w:r>
                          </w:p>
                        </w:tc>
                        <w:tc>
                          <w:tcPr>
                            <w:tcW w:w="706" w:type="dxa"/>
                            <w:shd w:val="clear" w:color="auto" w:fill="CCEDFF"/>
                          </w:tcPr>
                          <w:p>
                            <w:pPr>
                              <w:pStyle w:val="TableParagraph"/>
                              <w:spacing w:before="41"/>
                              <w:ind w:right="7"/>
                              <w:jc w:val="center"/>
                              <w:rPr>
                                <w:sz w:val="16"/>
                              </w:rPr>
                            </w:pPr>
                            <w:r>
                              <w:rPr>
                                <w:spacing w:val="-2"/>
                                <w:sz w:val="16"/>
                              </w:rPr>
                              <w:t>03/07/16</w:t>
                            </w:r>
                          </w:p>
                        </w:tc>
                        <w:tc>
                          <w:tcPr>
                            <w:tcW w:w="1061" w:type="dxa"/>
                            <w:shd w:val="clear" w:color="auto" w:fill="CCEDFF"/>
                          </w:tcPr>
                          <w:p>
                            <w:pPr>
                              <w:pStyle w:val="TableParagraph"/>
                              <w:spacing w:before="41"/>
                              <w:ind w:right="67"/>
                              <w:jc w:val="right"/>
                              <w:rPr>
                                <w:sz w:val="16"/>
                              </w:rPr>
                            </w:pPr>
                            <w:r>
                              <w:rPr>
                                <w:spacing w:val="-2"/>
                                <w:sz w:val="16"/>
                              </w:rPr>
                              <w:t>5.950%</w:t>
                            </w:r>
                          </w:p>
                        </w:tc>
                        <w:tc>
                          <w:tcPr>
                            <w:tcW w:w="914" w:type="dxa"/>
                            <w:shd w:val="clear" w:color="auto" w:fill="CCEDFF"/>
                          </w:tcPr>
                          <w:p>
                            <w:pPr>
                              <w:pStyle w:val="TableParagraph"/>
                              <w:spacing w:before="41"/>
                              <w:ind w:right="13"/>
                              <w:jc w:val="center"/>
                              <w:rPr>
                                <w:sz w:val="16"/>
                              </w:rPr>
                            </w:pPr>
                            <w:r>
                              <w:rPr>
                                <w:spacing w:val="-2"/>
                                <w:sz w:val="16"/>
                              </w:rPr>
                              <w:t>06/01/21</w:t>
                            </w:r>
                          </w:p>
                        </w:tc>
                        <w:tc>
                          <w:tcPr>
                            <w:tcW w:w="792" w:type="dxa"/>
                            <w:shd w:val="clear" w:color="auto" w:fill="CCEDFF"/>
                          </w:tcPr>
                          <w:p>
                            <w:pPr>
                              <w:pStyle w:val="TableParagraph"/>
                              <w:spacing w:before="41"/>
                              <w:ind w:right="107"/>
                              <w:jc w:val="right"/>
                              <w:rPr>
                                <w:sz w:val="16"/>
                              </w:rPr>
                            </w:pPr>
                            <w:r>
                              <w:rPr>
                                <w:spacing w:val="-5"/>
                                <w:sz w:val="16"/>
                              </w:rPr>
                              <w:t>N/A</w:t>
                            </w:r>
                          </w:p>
                        </w:tc>
                        <w:tc>
                          <w:tcPr>
                            <w:tcW w:w="796" w:type="dxa"/>
                            <w:shd w:val="clear" w:color="auto" w:fill="CCEDFF"/>
                          </w:tcPr>
                          <w:p>
                            <w:pPr>
                              <w:pStyle w:val="TableParagraph"/>
                              <w:spacing w:before="41"/>
                              <w:ind w:right="63"/>
                              <w:jc w:val="right"/>
                              <w:rPr>
                                <w:sz w:val="16"/>
                              </w:rPr>
                            </w:pPr>
                            <w:r>
                              <w:rPr>
                                <w:spacing w:val="-5"/>
                                <w:sz w:val="16"/>
                              </w:rPr>
                              <w:t>N/A</w:t>
                            </w:r>
                          </w:p>
                        </w:tc>
                        <w:tc>
                          <w:tcPr>
                            <w:tcW w:w="655" w:type="dxa"/>
                            <w:shd w:val="clear" w:color="auto" w:fill="CCEDFF"/>
                          </w:tcPr>
                          <w:p>
                            <w:pPr>
                              <w:pStyle w:val="TableParagraph"/>
                              <w:spacing w:before="41"/>
                              <w:ind w:right="58"/>
                              <w:jc w:val="right"/>
                              <w:rPr>
                                <w:sz w:val="16"/>
                              </w:rPr>
                            </w:pPr>
                            <w:r>
                              <w:rPr>
                                <w:spacing w:val="-5"/>
                                <w:sz w:val="16"/>
                              </w:rPr>
                              <w:t>N/A</w:t>
                            </w:r>
                          </w:p>
                        </w:tc>
                      </w:tr>
                      <w:tr>
                        <w:trPr>
                          <w:trHeight w:val="255" w:hRule="atLeast"/>
                        </w:trPr>
                        <w:tc>
                          <w:tcPr>
                            <w:tcW w:w="1148" w:type="dxa"/>
                          </w:tcPr>
                          <w:p>
                            <w:pPr>
                              <w:pStyle w:val="TableParagraph"/>
                              <w:spacing w:before="27"/>
                              <w:ind w:left="172"/>
                              <w:rPr>
                                <w:sz w:val="16"/>
                              </w:rPr>
                            </w:pPr>
                            <w:r>
                              <w:rPr>
                                <w:sz w:val="16"/>
                              </w:rPr>
                              <w:t>Series</w:t>
                            </w:r>
                            <w:r>
                              <w:rPr>
                                <w:spacing w:val="-2"/>
                                <w:sz w:val="16"/>
                              </w:rPr>
                              <w:t> </w:t>
                            </w:r>
                            <w:r>
                              <w:rPr>
                                <w:spacing w:val="-10"/>
                                <w:sz w:val="16"/>
                              </w:rPr>
                              <w:t>J</w:t>
                            </w:r>
                          </w:p>
                        </w:tc>
                        <w:tc>
                          <w:tcPr>
                            <w:tcW w:w="1164" w:type="dxa"/>
                          </w:tcPr>
                          <w:p>
                            <w:pPr>
                              <w:pStyle w:val="TableParagraph"/>
                              <w:spacing w:before="41"/>
                              <w:ind w:right="248"/>
                              <w:jc w:val="right"/>
                              <w:rPr>
                                <w:sz w:val="16"/>
                              </w:rPr>
                            </w:pPr>
                            <w:r>
                              <w:rPr>
                                <w:spacing w:val="-2"/>
                                <w:sz w:val="16"/>
                              </w:rPr>
                              <w:t>600,000</w:t>
                            </w:r>
                          </w:p>
                        </w:tc>
                        <w:tc>
                          <w:tcPr>
                            <w:tcW w:w="839" w:type="dxa"/>
                          </w:tcPr>
                          <w:p>
                            <w:pPr>
                              <w:pStyle w:val="TableParagraph"/>
                              <w:spacing w:before="41"/>
                              <w:ind w:right="67"/>
                              <w:jc w:val="right"/>
                              <w:rPr>
                                <w:sz w:val="16"/>
                              </w:rPr>
                            </w:pPr>
                            <w:r>
                              <w:rPr>
                                <w:spacing w:val="-2"/>
                                <w:sz w:val="16"/>
                              </w:rPr>
                              <w:t>600,000</w:t>
                            </w:r>
                          </w:p>
                        </w:tc>
                        <w:tc>
                          <w:tcPr>
                            <w:tcW w:w="856" w:type="dxa"/>
                          </w:tcPr>
                          <w:p>
                            <w:pPr>
                              <w:pStyle w:val="TableParagraph"/>
                              <w:spacing w:before="41"/>
                              <w:ind w:right="68"/>
                              <w:jc w:val="right"/>
                              <w:rPr>
                                <w:sz w:val="16"/>
                              </w:rPr>
                            </w:pPr>
                            <w:r>
                              <w:rPr>
                                <w:spacing w:val="-2"/>
                                <w:sz w:val="16"/>
                              </w:rPr>
                              <w:t>1,000</w:t>
                            </w:r>
                          </w:p>
                        </w:tc>
                        <w:tc>
                          <w:tcPr>
                            <w:tcW w:w="1043" w:type="dxa"/>
                          </w:tcPr>
                          <w:p>
                            <w:pPr>
                              <w:pStyle w:val="TableParagraph"/>
                              <w:spacing w:before="41"/>
                              <w:ind w:right="61"/>
                              <w:jc w:val="right"/>
                              <w:rPr>
                                <w:sz w:val="16"/>
                              </w:rPr>
                            </w:pPr>
                            <w:r>
                              <w:rPr>
                                <w:spacing w:val="-5"/>
                                <w:sz w:val="16"/>
                              </w:rPr>
                              <w:t>584</w:t>
                            </w:r>
                          </w:p>
                        </w:tc>
                        <w:tc>
                          <w:tcPr>
                            <w:tcW w:w="1014" w:type="dxa"/>
                          </w:tcPr>
                          <w:p>
                            <w:pPr>
                              <w:pStyle w:val="TableParagraph"/>
                              <w:spacing w:before="41"/>
                              <w:ind w:right="70"/>
                              <w:jc w:val="right"/>
                              <w:rPr>
                                <w:sz w:val="16"/>
                              </w:rPr>
                            </w:pPr>
                            <w:r>
                              <w:rPr>
                                <w:spacing w:val="-5"/>
                                <w:sz w:val="16"/>
                              </w:rPr>
                              <w:t>584</w:t>
                            </w:r>
                          </w:p>
                        </w:tc>
                        <w:tc>
                          <w:tcPr>
                            <w:tcW w:w="706" w:type="dxa"/>
                          </w:tcPr>
                          <w:p>
                            <w:pPr>
                              <w:pStyle w:val="TableParagraph"/>
                              <w:spacing w:before="41"/>
                              <w:ind w:right="7"/>
                              <w:jc w:val="center"/>
                              <w:rPr>
                                <w:sz w:val="16"/>
                              </w:rPr>
                            </w:pPr>
                            <w:r>
                              <w:rPr>
                                <w:spacing w:val="-2"/>
                                <w:sz w:val="16"/>
                              </w:rPr>
                              <w:t>03/30/21</w:t>
                            </w:r>
                          </w:p>
                        </w:tc>
                        <w:tc>
                          <w:tcPr>
                            <w:tcW w:w="1061" w:type="dxa"/>
                          </w:tcPr>
                          <w:p>
                            <w:pPr>
                              <w:pStyle w:val="TableParagraph"/>
                              <w:spacing w:before="41"/>
                              <w:ind w:right="67"/>
                              <w:jc w:val="right"/>
                              <w:rPr>
                                <w:sz w:val="16"/>
                              </w:rPr>
                            </w:pPr>
                            <w:r>
                              <w:rPr>
                                <w:spacing w:val="-2"/>
                                <w:sz w:val="16"/>
                              </w:rPr>
                              <w:t>4.450%</w:t>
                            </w:r>
                          </w:p>
                        </w:tc>
                        <w:tc>
                          <w:tcPr>
                            <w:tcW w:w="914" w:type="dxa"/>
                          </w:tcPr>
                          <w:p>
                            <w:pPr>
                              <w:pStyle w:val="TableParagraph"/>
                              <w:spacing w:before="41"/>
                              <w:ind w:right="13"/>
                              <w:jc w:val="center"/>
                              <w:rPr>
                                <w:sz w:val="16"/>
                              </w:rPr>
                            </w:pPr>
                            <w:r>
                              <w:rPr>
                                <w:spacing w:val="-2"/>
                                <w:sz w:val="16"/>
                              </w:rPr>
                              <w:t>06/01/26</w:t>
                            </w:r>
                          </w:p>
                        </w:tc>
                        <w:tc>
                          <w:tcPr>
                            <w:tcW w:w="792" w:type="dxa"/>
                          </w:tcPr>
                          <w:p>
                            <w:pPr>
                              <w:pStyle w:val="TableParagraph"/>
                              <w:spacing w:before="41"/>
                              <w:ind w:right="107"/>
                              <w:jc w:val="right"/>
                              <w:rPr>
                                <w:sz w:val="16"/>
                              </w:rPr>
                            </w:pPr>
                            <w:r>
                              <w:rPr>
                                <w:spacing w:val="-5"/>
                                <w:sz w:val="16"/>
                              </w:rPr>
                              <w:t>N/A</w:t>
                            </w:r>
                          </w:p>
                        </w:tc>
                        <w:tc>
                          <w:tcPr>
                            <w:tcW w:w="796" w:type="dxa"/>
                          </w:tcPr>
                          <w:p>
                            <w:pPr>
                              <w:pStyle w:val="TableParagraph"/>
                              <w:spacing w:before="41"/>
                              <w:ind w:right="63"/>
                              <w:jc w:val="right"/>
                              <w:rPr>
                                <w:sz w:val="16"/>
                              </w:rPr>
                            </w:pPr>
                            <w:r>
                              <w:rPr>
                                <w:spacing w:val="-5"/>
                                <w:sz w:val="16"/>
                              </w:rPr>
                              <w:t>N/A</w:t>
                            </w:r>
                          </w:p>
                        </w:tc>
                        <w:tc>
                          <w:tcPr>
                            <w:tcW w:w="655" w:type="dxa"/>
                          </w:tcPr>
                          <w:p>
                            <w:pPr>
                              <w:pStyle w:val="TableParagraph"/>
                              <w:spacing w:before="41"/>
                              <w:ind w:right="58"/>
                              <w:jc w:val="right"/>
                              <w:rPr>
                                <w:sz w:val="16"/>
                              </w:rPr>
                            </w:pPr>
                            <w:r>
                              <w:rPr>
                                <w:spacing w:val="-5"/>
                                <w:sz w:val="16"/>
                              </w:rPr>
                              <w:t>N/A</w:t>
                            </w:r>
                          </w:p>
                        </w:tc>
                      </w:tr>
                      <w:tr>
                        <w:trPr>
                          <w:trHeight w:val="255" w:hRule="atLeast"/>
                        </w:trPr>
                        <w:tc>
                          <w:tcPr>
                            <w:tcW w:w="10988" w:type="dxa"/>
                            <w:gridSpan w:val="12"/>
                            <w:shd w:val="clear" w:color="auto" w:fill="CCEDFF"/>
                          </w:tcPr>
                          <w:p>
                            <w:pPr>
                              <w:pStyle w:val="TableParagraph"/>
                              <w:spacing w:before="27"/>
                              <w:ind w:left="52"/>
                              <w:rPr>
                                <w:sz w:val="16"/>
                              </w:rPr>
                            </w:pPr>
                            <w:r>
                              <w:rPr>
                                <w:sz w:val="16"/>
                              </w:rPr>
                              <w:t>Fixed-to-floating</w:t>
                            </w:r>
                            <w:r>
                              <w:rPr>
                                <w:spacing w:val="-1"/>
                                <w:sz w:val="16"/>
                              </w:rPr>
                              <w:t> </w:t>
                            </w:r>
                            <w:r>
                              <w:rPr>
                                <w:sz w:val="16"/>
                              </w:rPr>
                              <w:t>rate/Fixed-rate</w:t>
                            </w:r>
                            <w:r>
                              <w:rPr>
                                <w:spacing w:val="-1"/>
                                <w:sz w:val="16"/>
                              </w:rPr>
                              <w:t> </w:t>
                            </w:r>
                            <w:r>
                              <w:rPr>
                                <w:spacing w:val="-2"/>
                                <w:sz w:val="16"/>
                              </w:rPr>
                              <w:t>reset:</w:t>
                            </w:r>
                          </w:p>
                        </w:tc>
                      </w:tr>
                    </w:tbl>
                    <w:p>
                      <w:pPr>
                        <w:pStyle w:val="BodyText"/>
                      </w:pPr>
                    </w:p>
                  </w:txbxContent>
                </v:textbox>
                <w10:wrap type="none"/>
              </v:shape>
            </w:pict>
          </mc:Fallback>
        </mc:AlternateContent>
      </w:r>
      <w:r>
        <w:rPr/>
        <w:t>The</w:t>
      </w:r>
      <w:r>
        <w:rPr>
          <w:spacing w:val="-4"/>
        </w:rPr>
        <w:t> </w:t>
      </w:r>
      <w:r>
        <w:rPr/>
        <w:t>Company’s</w:t>
      </w:r>
      <w:r>
        <w:rPr>
          <w:spacing w:val="-3"/>
        </w:rPr>
        <w:t> </w:t>
      </w:r>
      <w:r>
        <w:rPr/>
        <w:t>preferred</w:t>
      </w:r>
      <w:r>
        <w:rPr>
          <w:spacing w:val="-3"/>
        </w:rPr>
        <w:t> </w:t>
      </w:r>
      <w:r>
        <w:rPr/>
        <w:t>stock</w:t>
      </w:r>
      <w:r>
        <w:rPr>
          <w:spacing w:val="-2"/>
        </w:rPr>
        <w:t> </w:t>
      </w:r>
      <w:r>
        <w:rPr/>
        <w:t>issued</w:t>
      </w:r>
      <w:r>
        <w:rPr>
          <w:spacing w:val="-3"/>
        </w:rPr>
        <w:t> </w:t>
      </w:r>
      <w:r>
        <w:rPr/>
        <w:t>and</w:t>
      </w:r>
      <w:r>
        <w:rPr>
          <w:spacing w:val="-2"/>
        </w:rPr>
        <w:t> </w:t>
      </w:r>
      <w:r>
        <w:rPr/>
        <w:t>outstanding</w:t>
      </w:r>
      <w:r>
        <w:rPr>
          <w:spacing w:val="-3"/>
        </w:rPr>
        <w:t> </w:t>
      </w:r>
      <w:r>
        <w:rPr/>
        <w:t>is</w:t>
      </w:r>
      <w:r>
        <w:rPr>
          <w:spacing w:val="-3"/>
        </w:rPr>
        <w:t> </w:t>
      </w:r>
      <w:r>
        <w:rPr/>
        <w:t>as</w:t>
      </w:r>
      <w:r>
        <w:rPr>
          <w:spacing w:val="-3"/>
        </w:rPr>
        <w:t> </w:t>
      </w:r>
      <w:r>
        <w:rPr>
          <w:spacing w:val="-2"/>
        </w:rPr>
        <w:t>follows:</w:t>
      </w:r>
    </w:p>
    <w:p>
      <w:pPr>
        <w:pStyle w:val="BodyText"/>
      </w:pPr>
    </w:p>
    <w:p>
      <w:pPr>
        <w:pStyle w:val="BodyText"/>
        <w:spacing w:before="44"/>
      </w:pPr>
    </w:p>
    <w:p>
      <w:pPr>
        <w:spacing w:line="172" w:lineRule="exact" w:before="0"/>
        <w:ind w:left="1659" w:right="0" w:firstLine="0"/>
        <w:jc w:val="left"/>
        <w:rPr>
          <w:sz w:val="16"/>
        </w:rPr>
      </w:pPr>
      <w:r>
        <w:rPr>
          <w:sz w:val="16"/>
        </w:rPr>
        <w:t>Shares</w:t>
      </w:r>
      <w:r>
        <w:rPr>
          <w:spacing w:val="-5"/>
          <w:sz w:val="16"/>
        </w:rPr>
        <w:t> </w:t>
      </w:r>
      <w:r>
        <w:rPr>
          <w:sz w:val="16"/>
        </w:rPr>
        <w:t>Issued</w:t>
      </w:r>
      <w:r>
        <w:rPr>
          <w:spacing w:val="-1"/>
          <w:sz w:val="16"/>
        </w:rPr>
        <w:t> </w:t>
      </w:r>
      <w:r>
        <w:rPr>
          <w:spacing w:val="-5"/>
          <w:sz w:val="16"/>
        </w:rPr>
        <w:t>and</w:t>
      </w:r>
    </w:p>
    <w:p>
      <w:pPr>
        <w:tabs>
          <w:tab w:pos="4569" w:val="left" w:leader="none"/>
        </w:tabs>
        <w:spacing w:line="172" w:lineRule="exact" w:before="0"/>
        <w:ind w:left="1461" w:right="0" w:firstLine="0"/>
        <w:jc w:val="left"/>
        <w:rPr>
          <w:sz w:val="16"/>
        </w:rPr>
      </w:pPr>
      <w:r>
        <w:rPr/>
        <mc:AlternateContent>
          <mc:Choice Requires="wps">
            <w:drawing>
              <wp:anchor distT="0" distB="0" distL="0" distR="0" allowOverlap="1" layoutInCell="1" locked="0" behindDoc="1" simplePos="0" relativeHeight="487629312">
                <wp:simplePos x="0" y="0"/>
                <wp:positionH relativeFrom="page">
                  <wp:posOffset>1095375</wp:posOffset>
                </wp:positionH>
                <wp:positionV relativeFrom="paragraph">
                  <wp:posOffset>125360</wp:posOffset>
                </wp:positionV>
                <wp:extent cx="1304925" cy="6350"/>
                <wp:effectExtent l="0" t="0" r="0" b="0"/>
                <wp:wrapTopAndBottom/>
                <wp:docPr id="619" name="Group 619"/>
                <wp:cNvGraphicFramePr>
                  <a:graphicFrameLocks/>
                </wp:cNvGraphicFramePr>
                <a:graphic>
                  <a:graphicData uri="http://schemas.microsoft.com/office/word/2010/wordprocessingGroup">
                    <wpg:wgp>
                      <wpg:cNvPr id="619" name="Group 619"/>
                      <wpg:cNvGrpSpPr/>
                      <wpg:grpSpPr>
                        <a:xfrm>
                          <a:off x="0" y="0"/>
                          <a:ext cx="1304925" cy="6350"/>
                          <a:chExt cx="1304925" cy="6350"/>
                        </a:xfrm>
                      </wpg:grpSpPr>
                      <wps:wsp>
                        <wps:cNvPr id="620" name="Graphic 620"/>
                        <wps:cNvSpPr/>
                        <wps:spPr>
                          <a:xfrm>
                            <a:off x="0" y="3175"/>
                            <a:ext cx="1304925" cy="1270"/>
                          </a:xfrm>
                          <a:custGeom>
                            <a:avLst/>
                            <a:gdLst/>
                            <a:ahLst/>
                            <a:cxnLst/>
                            <a:rect l="l" t="t" r="r" b="b"/>
                            <a:pathLst>
                              <a:path w="1304925" h="0">
                                <a:moveTo>
                                  <a:pt x="1304925" y="0"/>
                                </a:moveTo>
                                <a:lnTo>
                                  <a:pt x="0" y="0"/>
                                </a:lnTo>
                              </a:path>
                            </a:pathLst>
                          </a:custGeom>
                          <a:solidFill>
                            <a:srgbClr val="000000"/>
                          </a:solidFill>
                        </wps:spPr>
                        <wps:bodyPr wrap="square" lIns="0" tIns="0" rIns="0" bIns="0" rtlCol="0">
                          <a:prstTxWarp prst="textNoShape">
                            <a:avLst/>
                          </a:prstTxWarp>
                          <a:noAutofit/>
                        </wps:bodyPr>
                      </wps:wsp>
                      <wps:wsp>
                        <wps:cNvPr id="621" name="Graphic 621"/>
                        <wps:cNvSpPr/>
                        <wps:spPr>
                          <a:xfrm>
                            <a:off x="0" y="3175"/>
                            <a:ext cx="1304925" cy="1270"/>
                          </a:xfrm>
                          <a:custGeom>
                            <a:avLst/>
                            <a:gdLst/>
                            <a:ahLst/>
                            <a:cxnLst/>
                            <a:rect l="l" t="t" r="r" b="b"/>
                            <a:pathLst>
                              <a:path w="1304925" h="0">
                                <a:moveTo>
                                  <a:pt x="0" y="0"/>
                                </a:moveTo>
                                <a:lnTo>
                                  <a:pt x="130492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6.25pt;margin-top:9.870937pt;width:102.75pt;height:.5pt;mso-position-horizontal-relative:page;mso-position-vertical-relative:paragraph;z-index:-15687168;mso-wrap-distance-left:0;mso-wrap-distance-right:0" id="docshapegroup445" coordorigin="1725,197" coordsize="2055,10">
                <v:shape style="position:absolute;left:1725;top:202;width:2055;height:2" id="docshape446" coordorigin="1725,202" coordsize="2055,0" path="m3780,202l1725,202e" filled="true" fillcolor="#000000" stroked="false">
                  <v:path arrowok="t"/>
                  <v:fill opacity="0f" type="solid"/>
                </v:shape>
                <v:line style="position:absolute" from="1725,202" to="3780,202" stroked="true" strokeweight=".5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629824">
                <wp:simplePos x="0" y="0"/>
                <wp:positionH relativeFrom="page">
                  <wp:posOffset>2943225</wp:posOffset>
                </wp:positionH>
                <wp:positionV relativeFrom="paragraph">
                  <wp:posOffset>125360</wp:posOffset>
                </wp:positionV>
                <wp:extent cx="1304925" cy="6350"/>
                <wp:effectExtent l="0" t="0" r="0" b="0"/>
                <wp:wrapTopAndBottom/>
                <wp:docPr id="622" name="Group 622"/>
                <wp:cNvGraphicFramePr>
                  <a:graphicFrameLocks/>
                </wp:cNvGraphicFramePr>
                <a:graphic>
                  <a:graphicData uri="http://schemas.microsoft.com/office/word/2010/wordprocessingGroup">
                    <wpg:wgp>
                      <wpg:cNvPr id="622" name="Group 622"/>
                      <wpg:cNvGrpSpPr/>
                      <wpg:grpSpPr>
                        <a:xfrm>
                          <a:off x="0" y="0"/>
                          <a:ext cx="1304925" cy="6350"/>
                          <a:chExt cx="1304925" cy="6350"/>
                        </a:xfrm>
                      </wpg:grpSpPr>
                      <wps:wsp>
                        <wps:cNvPr id="623" name="Graphic 623"/>
                        <wps:cNvSpPr/>
                        <wps:spPr>
                          <a:xfrm>
                            <a:off x="0" y="3175"/>
                            <a:ext cx="1304925" cy="1270"/>
                          </a:xfrm>
                          <a:custGeom>
                            <a:avLst/>
                            <a:gdLst/>
                            <a:ahLst/>
                            <a:cxnLst/>
                            <a:rect l="l" t="t" r="r" b="b"/>
                            <a:pathLst>
                              <a:path w="1304925" h="0">
                                <a:moveTo>
                                  <a:pt x="1304925" y="0"/>
                                </a:moveTo>
                                <a:lnTo>
                                  <a:pt x="0" y="0"/>
                                </a:lnTo>
                              </a:path>
                            </a:pathLst>
                          </a:custGeom>
                          <a:solidFill>
                            <a:srgbClr val="000000"/>
                          </a:solidFill>
                        </wps:spPr>
                        <wps:bodyPr wrap="square" lIns="0" tIns="0" rIns="0" bIns="0" rtlCol="0">
                          <a:prstTxWarp prst="textNoShape">
                            <a:avLst/>
                          </a:prstTxWarp>
                          <a:noAutofit/>
                        </wps:bodyPr>
                      </wps:wsp>
                      <wps:wsp>
                        <wps:cNvPr id="624" name="Graphic 624"/>
                        <wps:cNvSpPr/>
                        <wps:spPr>
                          <a:xfrm>
                            <a:off x="0" y="3175"/>
                            <a:ext cx="1304925" cy="1270"/>
                          </a:xfrm>
                          <a:custGeom>
                            <a:avLst/>
                            <a:gdLst/>
                            <a:ahLst/>
                            <a:cxnLst/>
                            <a:rect l="l" t="t" r="r" b="b"/>
                            <a:pathLst>
                              <a:path w="1304925" h="0">
                                <a:moveTo>
                                  <a:pt x="0" y="0"/>
                                </a:moveTo>
                                <a:lnTo>
                                  <a:pt x="130492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1.75pt;margin-top:9.870937pt;width:102.75pt;height:.5pt;mso-position-horizontal-relative:page;mso-position-vertical-relative:paragraph;z-index:-15686656;mso-wrap-distance-left:0;mso-wrap-distance-right:0" id="docshapegroup447" coordorigin="4635,197" coordsize="2055,10">
                <v:shape style="position:absolute;left:4635;top:202;width:2055;height:2" id="docshape448" coordorigin="4635,202" coordsize="2055,0" path="m6690,202l4635,202e" filled="true" fillcolor="#000000" stroked="false">
                  <v:path arrowok="t"/>
                  <v:fill opacity="0f" type="solid"/>
                </v:shape>
                <v:line style="position:absolute" from="4635,202" to="6690,202" stroked="true" strokeweight=".5pt" strokecolor="#000000">
                  <v:stroke dashstyle="solid"/>
                </v:line>
                <w10:wrap type="topAndBottom"/>
              </v:group>
            </w:pict>
          </mc:Fallback>
        </mc:AlternateContent>
      </w:r>
      <w:r>
        <w:rPr>
          <w:sz w:val="16"/>
        </w:rPr>
        <w:t>Outstanding</w:t>
      </w:r>
      <w:r>
        <w:rPr>
          <w:spacing w:val="-3"/>
          <w:sz w:val="16"/>
        </w:rPr>
        <w:t> </w:t>
      </w:r>
      <w:r>
        <w:rPr>
          <w:sz w:val="16"/>
        </w:rPr>
        <w:t>(in</w:t>
      </w:r>
      <w:r>
        <w:rPr>
          <w:spacing w:val="-1"/>
          <w:sz w:val="16"/>
        </w:rPr>
        <w:t> </w:t>
      </w:r>
      <w:r>
        <w:rPr>
          <w:sz w:val="16"/>
        </w:rPr>
        <w:t>ones)</w:t>
      </w:r>
      <w:r>
        <w:rPr>
          <w:spacing w:val="-1"/>
          <w:sz w:val="16"/>
        </w:rPr>
        <w:t> </w:t>
      </w:r>
      <w:r>
        <w:rPr>
          <w:spacing w:val="-5"/>
          <w:sz w:val="16"/>
        </w:rPr>
        <w:t>at</w:t>
      </w:r>
      <w:r>
        <w:rPr>
          <w:sz w:val="16"/>
        </w:rPr>
        <w:tab/>
        <w:t>Carrying</w:t>
      </w:r>
      <w:r>
        <w:rPr>
          <w:spacing w:val="-3"/>
          <w:sz w:val="16"/>
        </w:rPr>
        <w:t> </w:t>
      </w:r>
      <w:r>
        <w:rPr>
          <w:sz w:val="16"/>
        </w:rPr>
        <w:t>Value </w:t>
      </w:r>
      <w:r>
        <w:rPr>
          <w:spacing w:val="-5"/>
          <w:sz w:val="16"/>
        </w:rPr>
        <w:t>at</w:t>
      </w:r>
    </w:p>
    <w:p>
      <w:pPr>
        <w:pStyle w:val="BodyText"/>
      </w:pPr>
    </w:p>
    <w:p>
      <w:pPr>
        <w:pStyle w:val="BodyText"/>
      </w:pPr>
    </w:p>
    <w:p>
      <w:pPr>
        <w:pStyle w:val="BodyText"/>
      </w:pPr>
    </w:p>
    <w:p>
      <w:pPr>
        <w:pStyle w:val="BodyText"/>
      </w:pPr>
    </w:p>
    <w:p>
      <w:pPr>
        <w:pStyle w:val="BodyText"/>
      </w:pPr>
    </w:p>
    <w:p>
      <w:pPr>
        <w:pStyle w:val="BodyText"/>
        <w:spacing w:before="128"/>
      </w:pPr>
    </w:p>
    <w:p>
      <w:pPr>
        <w:spacing w:after="0"/>
        <w:sectPr>
          <w:pgSz w:w="12240" w:h="15840"/>
          <w:pgMar w:header="227" w:footer="201" w:top="1080" w:bottom="400" w:left="520" w:right="520"/>
        </w:sectPr>
      </w:pPr>
    </w:p>
    <w:p>
      <w:pPr>
        <w:pStyle w:val="BodyText"/>
        <w:spacing w:before="69"/>
        <w:rPr>
          <w:sz w:val="16"/>
        </w:rPr>
      </w:pPr>
    </w:p>
    <w:p>
      <w:pPr>
        <w:tabs>
          <w:tab w:pos="1811" w:val="left" w:leader="none"/>
          <w:tab w:pos="2831" w:val="left" w:leader="none"/>
          <w:tab w:pos="3526" w:val="left" w:leader="none"/>
          <w:tab w:pos="4856" w:val="left" w:leader="none"/>
          <w:tab w:pos="5861" w:val="left" w:leader="none"/>
          <w:tab w:pos="7378" w:val="left" w:leader="none"/>
          <w:tab w:pos="8105" w:val="left" w:leader="none"/>
          <w:tab w:pos="8968" w:val="left" w:leader="none"/>
        </w:tabs>
        <w:spacing w:before="0"/>
        <w:ind w:left="282" w:right="0" w:firstLine="0"/>
        <w:jc w:val="left"/>
        <w:rPr>
          <w:sz w:val="16"/>
        </w:rPr>
      </w:pPr>
      <w:r>
        <w:rPr>
          <w:sz w:val="16"/>
        </w:rPr>
        <w:t>Series</w:t>
      </w:r>
      <w:r>
        <w:rPr>
          <w:spacing w:val="-2"/>
          <w:sz w:val="16"/>
        </w:rPr>
        <w:t> </w:t>
      </w:r>
      <w:r>
        <w:rPr>
          <w:spacing w:val="-10"/>
          <w:sz w:val="16"/>
        </w:rPr>
        <w:t>F</w:t>
      </w:r>
      <w:r>
        <w:rPr>
          <w:sz w:val="16"/>
        </w:rPr>
        <w:tab/>
      </w:r>
      <w:r>
        <w:rPr>
          <w:spacing w:val="-2"/>
          <w:sz w:val="16"/>
        </w:rPr>
        <w:t>4,884</w:t>
      </w:r>
      <w:r>
        <w:rPr>
          <w:sz w:val="16"/>
        </w:rPr>
        <w:tab/>
      </w:r>
      <w:r>
        <w:rPr>
          <w:spacing w:val="-2"/>
          <w:sz w:val="16"/>
        </w:rPr>
        <w:t>5,000</w:t>
      </w:r>
      <w:r>
        <w:rPr>
          <w:sz w:val="16"/>
        </w:rPr>
        <w:tab/>
      </w:r>
      <w:r>
        <w:rPr>
          <w:spacing w:val="-2"/>
          <w:sz w:val="16"/>
        </w:rPr>
        <w:t>100,000</w:t>
      </w:r>
      <w:r>
        <w:rPr>
          <w:sz w:val="16"/>
        </w:rPr>
        <w:tab/>
      </w:r>
      <w:r>
        <w:rPr>
          <w:spacing w:val="-5"/>
          <w:sz w:val="16"/>
        </w:rPr>
        <w:t>481</w:t>
      </w:r>
      <w:r>
        <w:rPr>
          <w:sz w:val="16"/>
        </w:rPr>
        <w:tab/>
        <w:t>492</w:t>
      </w:r>
      <w:r>
        <w:rPr>
          <w:spacing w:val="76"/>
          <w:w w:val="150"/>
          <w:sz w:val="16"/>
        </w:rPr>
        <w:t> </w:t>
      </w:r>
      <w:r>
        <w:rPr>
          <w:spacing w:val="-2"/>
          <w:sz w:val="16"/>
        </w:rPr>
        <w:t>10/31/17</w:t>
      </w:r>
      <w:r>
        <w:rPr>
          <w:sz w:val="16"/>
        </w:rPr>
        <w:tab/>
      </w:r>
      <w:r>
        <w:rPr>
          <w:spacing w:val="-2"/>
          <w:sz w:val="16"/>
        </w:rPr>
        <w:t>5.000%</w:t>
      </w:r>
      <w:r>
        <w:rPr>
          <w:sz w:val="16"/>
        </w:rPr>
        <w:tab/>
      </w:r>
      <w:r>
        <w:rPr>
          <w:spacing w:val="-2"/>
          <w:sz w:val="16"/>
        </w:rPr>
        <w:t>12/01/27</w:t>
      </w:r>
      <w:r>
        <w:rPr>
          <w:sz w:val="16"/>
        </w:rPr>
        <w:tab/>
      </w:r>
      <w:r>
        <w:rPr>
          <w:spacing w:val="-2"/>
          <w:sz w:val="16"/>
        </w:rPr>
        <w:t>12/01/27</w:t>
      </w:r>
    </w:p>
    <w:p>
      <w:pPr>
        <w:spacing w:line="172" w:lineRule="exact" w:before="93"/>
        <w:ind w:left="321" w:right="0" w:firstLine="0"/>
        <w:jc w:val="left"/>
        <w:rPr>
          <w:sz w:val="16"/>
        </w:rPr>
      </w:pPr>
      <w:r>
        <w:rPr/>
        <w:br w:type="column"/>
      </w:r>
      <w:r>
        <w:rPr>
          <w:spacing w:val="-5"/>
          <w:sz w:val="16"/>
        </w:rPr>
        <w:t>3M</w:t>
      </w:r>
    </w:p>
    <w:p>
      <w:pPr>
        <w:tabs>
          <w:tab w:pos="950" w:val="left" w:leader="none"/>
        </w:tabs>
        <w:spacing w:line="172" w:lineRule="exact" w:before="0"/>
        <w:ind w:left="132" w:right="0" w:firstLine="0"/>
        <w:jc w:val="left"/>
        <w:rPr>
          <w:sz w:val="16"/>
        </w:rPr>
      </w:pPr>
      <w:r>
        <w:rPr>
          <w:spacing w:val="-2"/>
          <w:sz w:val="16"/>
        </w:rPr>
        <w:t>LIBOR</w:t>
      </w:r>
      <w:r>
        <w:rPr>
          <w:spacing w:val="-2"/>
          <w:sz w:val="16"/>
          <w:vertAlign w:val="superscript"/>
        </w:rPr>
        <w:t>(4)</w:t>
      </w:r>
      <w:r>
        <w:rPr>
          <w:sz w:val="16"/>
          <w:vertAlign w:val="baseline"/>
        </w:rPr>
        <w:tab/>
      </w:r>
      <w:r>
        <w:rPr>
          <w:spacing w:val="-2"/>
          <w:sz w:val="16"/>
          <w:vertAlign w:val="baseline"/>
        </w:rPr>
        <w:t>2.575%</w:t>
      </w:r>
    </w:p>
    <w:p>
      <w:pPr>
        <w:spacing w:after="0" w:line="172" w:lineRule="exact"/>
        <w:jc w:val="left"/>
        <w:rPr>
          <w:sz w:val="16"/>
        </w:rPr>
        <w:sectPr>
          <w:type w:val="continuous"/>
          <w:pgSz w:w="12240" w:h="15840"/>
          <w:pgMar w:header="227" w:footer="201" w:top="320" w:bottom="280" w:left="520" w:right="520"/>
          <w:cols w:num="2" w:equalWidth="0">
            <w:col w:w="9538" w:space="40"/>
            <w:col w:w="1622"/>
          </w:cols>
        </w:sectPr>
      </w:pPr>
    </w:p>
    <w:p>
      <w:pPr>
        <w:pStyle w:val="BodyText"/>
        <w:spacing w:before="7"/>
        <w:rPr>
          <w:sz w:val="2"/>
        </w:rPr>
      </w:pPr>
    </w:p>
    <w:p>
      <w:pPr>
        <w:pStyle w:val="BodyText"/>
        <w:ind w:left="110"/>
      </w:pPr>
      <w:r>
        <w:rPr/>
        <mc:AlternateContent>
          <mc:Choice Requires="wps">
            <w:drawing>
              <wp:inline distT="0" distB="0" distL="0" distR="0">
                <wp:extent cx="6972300" cy="257175"/>
                <wp:effectExtent l="0" t="0" r="0" b="0"/>
                <wp:docPr id="625" name="Group 625"/>
                <wp:cNvGraphicFramePr>
                  <a:graphicFrameLocks/>
                </wp:cNvGraphicFramePr>
                <a:graphic>
                  <a:graphicData uri="http://schemas.microsoft.com/office/word/2010/wordprocessingGroup">
                    <wpg:wgp>
                      <wpg:cNvPr id="625" name="Group 625"/>
                      <wpg:cNvGrpSpPr/>
                      <wpg:grpSpPr>
                        <a:xfrm>
                          <a:off x="0" y="0"/>
                          <a:ext cx="6972300" cy="257175"/>
                          <a:chExt cx="6972300" cy="257175"/>
                        </a:xfrm>
                      </wpg:grpSpPr>
                      <wps:wsp>
                        <wps:cNvPr id="626" name="Graphic 626"/>
                        <wps:cNvSpPr/>
                        <wps:spPr>
                          <a:xfrm>
                            <a:off x="0" y="0"/>
                            <a:ext cx="6972300" cy="257175"/>
                          </a:xfrm>
                          <a:custGeom>
                            <a:avLst/>
                            <a:gdLst/>
                            <a:ahLst/>
                            <a:cxnLst/>
                            <a:rect l="l" t="t" r="r" b="b"/>
                            <a:pathLst>
                              <a:path w="6972300" h="257175">
                                <a:moveTo>
                                  <a:pt x="6972300" y="0"/>
                                </a:moveTo>
                                <a:lnTo>
                                  <a:pt x="0" y="0"/>
                                </a:lnTo>
                                <a:lnTo>
                                  <a:pt x="0" y="257175"/>
                                </a:lnTo>
                                <a:lnTo>
                                  <a:pt x="6972300" y="257175"/>
                                </a:lnTo>
                                <a:lnTo>
                                  <a:pt x="6972300" y="0"/>
                                </a:lnTo>
                                <a:close/>
                              </a:path>
                            </a:pathLst>
                          </a:custGeom>
                          <a:solidFill>
                            <a:srgbClr val="CCEDFF"/>
                          </a:solidFill>
                        </wps:spPr>
                        <wps:bodyPr wrap="square" lIns="0" tIns="0" rIns="0" bIns="0" rtlCol="0">
                          <a:prstTxWarp prst="textNoShape">
                            <a:avLst/>
                          </a:prstTxWarp>
                          <a:noAutofit/>
                        </wps:bodyPr>
                      </wps:wsp>
                      <wps:wsp>
                        <wps:cNvPr id="627" name="Textbox 627"/>
                        <wps:cNvSpPr txBox="1"/>
                        <wps:spPr>
                          <a:xfrm>
                            <a:off x="109601" y="112169"/>
                            <a:ext cx="462280" cy="126364"/>
                          </a:xfrm>
                          <a:prstGeom prst="rect">
                            <a:avLst/>
                          </a:prstGeom>
                        </wps:spPr>
                        <wps:txbx>
                          <w:txbxContent>
                            <w:p>
                              <w:pPr>
                                <w:spacing w:before="14"/>
                                <w:ind w:left="0" w:right="0" w:firstLine="0"/>
                                <w:jc w:val="left"/>
                                <w:rPr>
                                  <w:sz w:val="16"/>
                                </w:rPr>
                              </w:pPr>
                              <w:r>
                                <w:rPr>
                                  <w:sz w:val="16"/>
                                </w:rPr>
                                <w:t>Series</w:t>
                              </w:r>
                              <w:r>
                                <w:rPr>
                                  <w:spacing w:val="-2"/>
                                  <w:sz w:val="16"/>
                                </w:rPr>
                                <w:t> </w:t>
                              </w:r>
                              <w:r>
                                <w:rPr>
                                  <w:sz w:val="16"/>
                                </w:rPr>
                                <w:t>G</w:t>
                              </w:r>
                              <w:r>
                                <w:rPr>
                                  <w:spacing w:val="-1"/>
                                  <w:sz w:val="16"/>
                                </w:rPr>
                                <w:t> </w:t>
                              </w:r>
                              <w:r>
                                <w:rPr>
                                  <w:spacing w:val="-5"/>
                                  <w:sz w:val="16"/>
                                  <w:vertAlign w:val="superscript"/>
                                </w:rPr>
                                <w:t>(2)</w:t>
                              </w:r>
                            </w:p>
                          </w:txbxContent>
                        </wps:txbx>
                        <wps:bodyPr wrap="square" lIns="0" tIns="0" rIns="0" bIns="0" rtlCol="0">
                          <a:noAutofit/>
                        </wps:bodyPr>
                      </wps:wsp>
                      <wps:wsp>
                        <wps:cNvPr id="628" name="Textbox 628"/>
                        <wps:cNvSpPr txBox="1"/>
                        <wps:spPr>
                          <a:xfrm>
                            <a:off x="1029766" y="125743"/>
                            <a:ext cx="292100" cy="113030"/>
                          </a:xfrm>
                          <a:prstGeom prst="rect">
                            <a:avLst/>
                          </a:prstGeom>
                        </wps:spPr>
                        <wps:txbx>
                          <w:txbxContent>
                            <w:p>
                              <w:pPr>
                                <w:spacing w:line="177" w:lineRule="exact" w:before="0"/>
                                <w:ind w:left="0" w:right="0" w:firstLine="0"/>
                                <w:jc w:val="left"/>
                                <w:rPr>
                                  <w:sz w:val="16"/>
                                </w:rPr>
                              </w:pPr>
                              <w:r>
                                <w:rPr>
                                  <w:spacing w:val="-2"/>
                                  <w:sz w:val="16"/>
                                </w:rPr>
                                <w:t>24,580</w:t>
                              </w:r>
                            </w:p>
                          </w:txbxContent>
                        </wps:txbx>
                        <wps:bodyPr wrap="square" lIns="0" tIns="0" rIns="0" bIns="0" rtlCol="0">
                          <a:noAutofit/>
                        </wps:bodyPr>
                      </wps:wsp>
                      <wps:wsp>
                        <wps:cNvPr id="629" name="Textbox 629"/>
                        <wps:cNvSpPr txBox="1"/>
                        <wps:spPr>
                          <a:xfrm>
                            <a:off x="1677542" y="125743"/>
                            <a:ext cx="835025" cy="113030"/>
                          </a:xfrm>
                          <a:prstGeom prst="rect">
                            <a:avLst/>
                          </a:prstGeom>
                        </wps:spPr>
                        <wps:txbx>
                          <w:txbxContent>
                            <w:p>
                              <w:pPr>
                                <w:tabs>
                                  <w:tab w:pos="774" w:val="left" w:leader="none"/>
                                </w:tabs>
                                <w:spacing w:line="177" w:lineRule="exact" w:before="0"/>
                                <w:ind w:left="0" w:right="0" w:firstLine="0"/>
                                <w:jc w:val="left"/>
                                <w:rPr>
                                  <w:sz w:val="16"/>
                                </w:rPr>
                              </w:pPr>
                              <w:r>
                                <w:rPr>
                                  <w:spacing w:val="-2"/>
                                  <w:sz w:val="16"/>
                                </w:rPr>
                                <w:t>25,000</w:t>
                              </w:r>
                              <w:r>
                                <w:rPr>
                                  <w:sz w:val="16"/>
                                </w:rPr>
                                <w:tab/>
                              </w:r>
                              <w:r>
                                <w:rPr>
                                  <w:spacing w:val="-2"/>
                                  <w:sz w:val="16"/>
                                </w:rPr>
                                <w:t>100,000</w:t>
                              </w:r>
                            </w:p>
                          </w:txbxContent>
                        </wps:txbx>
                        <wps:bodyPr wrap="square" lIns="0" tIns="0" rIns="0" bIns="0" rtlCol="0">
                          <a:noAutofit/>
                        </wps:bodyPr>
                      </wps:wsp>
                      <wps:wsp>
                        <wps:cNvPr id="630" name="Textbox 630"/>
                        <wps:cNvSpPr txBox="1"/>
                        <wps:spPr>
                          <a:xfrm>
                            <a:off x="2937967" y="125743"/>
                            <a:ext cx="241300" cy="113030"/>
                          </a:xfrm>
                          <a:prstGeom prst="rect">
                            <a:avLst/>
                          </a:prstGeom>
                        </wps:spPr>
                        <wps:txbx>
                          <w:txbxContent>
                            <w:p>
                              <w:pPr>
                                <w:spacing w:line="177" w:lineRule="exact" w:before="0"/>
                                <w:ind w:left="0" w:right="0" w:firstLine="0"/>
                                <w:jc w:val="left"/>
                                <w:rPr>
                                  <w:sz w:val="16"/>
                                </w:rPr>
                              </w:pPr>
                              <w:r>
                                <w:rPr>
                                  <w:spacing w:val="-2"/>
                                  <w:sz w:val="16"/>
                                </w:rPr>
                                <w:t>2,428</w:t>
                              </w:r>
                            </w:p>
                          </w:txbxContent>
                        </wps:txbx>
                        <wps:bodyPr wrap="square" lIns="0" tIns="0" rIns="0" bIns="0" rtlCol="0">
                          <a:noAutofit/>
                        </wps:bodyPr>
                      </wps:wsp>
                      <wps:wsp>
                        <wps:cNvPr id="631" name="Textbox 631"/>
                        <wps:cNvSpPr txBox="1"/>
                        <wps:spPr>
                          <a:xfrm>
                            <a:off x="3576167" y="125743"/>
                            <a:ext cx="689610" cy="113030"/>
                          </a:xfrm>
                          <a:prstGeom prst="rect">
                            <a:avLst/>
                          </a:prstGeom>
                        </wps:spPr>
                        <wps:txbx>
                          <w:txbxContent>
                            <w:p>
                              <w:pPr>
                                <w:spacing w:line="177" w:lineRule="exact" w:before="0"/>
                                <w:ind w:left="0" w:right="0" w:firstLine="0"/>
                                <w:jc w:val="left"/>
                                <w:rPr>
                                  <w:sz w:val="16"/>
                                </w:rPr>
                              </w:pPr>
                              <w:r>
                                <w:rPr>
                                  <w:sz w:val="16"/>
                                </w:rPr>
                                <w:t>2,470</w:t>
                              </w:r>
                              <w:r>
                                <w:rPr>
                                  <w:spacing w:val="76"/>
                                  <w:w w:val="150"/>
                                  <w:sz w:val="16"/>
                                </w:rPr>
                                <w:t> </w:t>
                              </w:r>
                              <w:r>
                                <w:rPr>
                                  <w:spacing w:val="-2"/>
                                  <w:sz w:val="16"/>
                                </w:rPr>
                                <w:t>04/30/20</w:t>
                              </w:r>
                            </w:p>
                          </w:txbxContent>
                        </wps:txbx>
                        <wps:bodyPr wrap="square" lIns="0" tIns="0" rIns="0" bIns="0" rtlCol="0">
                          <a:noAutofit/>
                        </wps:bodyPr>
                      </wps:wsp>
                      <wps:wsp>
                        <wps:cNvPr id="632" name="Textbox 632"/>
                        <wps:cNvSpPr txBox="1"/>
                        <wps:spPr>
                          <a:xfrm>
                            <a:off x="4615560" y="24143"/>
                            <a:ext cx="2326640" cy="214629"/>
                          </a:xfrm>
                          <a:prstGeom prst="rect">
                            <a:avLst/>
                          </a:prstGeom>
                        </wps:spPr>
                        <wps:txbx>
                          <w:txbxContent>
                            <w:p>
                              <w:pPr>
                                <w:spacing w:line="165" w:lineRule="exact" w:before="0"/>
                                <w:ind w:left="2409" w:right="0" w:firstLine="0"/>
                                <w:jc w:val="left"/>
                                <w:rPr>
                                  <w:sz w:val="16"/>
                                </w:rPr>
                              </w:pPr>
                              <w:r>
                                <w:rPr>
                                  <w:sz w:val="16"/>
                                </w:rPr>
                                <w:t>5-</w:t>
                              </w:r>
                              <w:r>
                                <w:rPr>
                                  <w:spacing w:val="-4"/>
                                  <w:sz w:val="16"/>
                                </w:rPr>
                                <w:t>Year</w:t>
                              </w:r>
                            </w:p>
                            <w:p>
                              <w:pPr>
                                <w:tabs>
                                  <w:tab w:pos="726" w:val="left" w:leader="none"/>
                                  <w:tab w:pos="1589" w:val="left" w:leader="none"/>
                                  <w:tab w:pos="3149" w:val="left" w:leader="none"/>
                                </w:tabs>
                                <w:spacing w:line="172" w:lineRule="exact" w:before="0"/>
                                <w:ind w:left="0" w:right="0" w:firstLine="0"/>
                                <w:jc w:val="left"/>
                                <w:rPr>
                                  <w:sz w:val="16"/>
                                </w:rPr>
                              </w:pPr>
                              <w:r>
                                <w:rPr>
                                  <w:spacing w:val="-2"/>
                                  <w:sz w:val="16"/>
                                </w:rPr>
                                <w:t>5.375%</w:t>
                              </w:r>
                              <w:r>
                                <w:rPr>
                                  <w:sz w:val="16"/>
                                </w:rPr>
                                <w:tab/>
                              </w:r>
                              <w:r>
                                <w:rPr>
                                  <w:spacing w:val="-2"/>
                                  <w:sz w:val="16"/>
                                </w:rPr>
                                <w:t>06/01/25</w:t>
                              </w:r>
                              <w:r>
                                <w:rPr>
                                  <w:sz w:val="16"/>
                                </w:rPr>
                                <w:tab/>
                                <w:t>06/01/25</w:t>
                              </w:r>
                              <w:r>
                                <w:rPr>
                                  <w:spacing w:val="54"/>
                                  <w:sz w:val="16"/>
                                </w:rPr>
                                <w:t>  </w:t>
                              </w:r>
                              <w:r>
                                <w:rPr>
                                  <w:spacing w:val="-2"/>
                                  <w:sz w:val="16"/>
                                </w:rPr>
                                <w:t>Treasury</w:t>
                              </w:r>
                              <w:r>
                                <w:rPr>
                                  <w:sz w:val="16"/>
                                </w:rPr>
                                <w:tab/>
                              </w:r>
                              <w:r>
                                <w:rPr>
                                  <w:spacing w:val="-2"/>
                                  <w:sz w:val="16"/>
                                </w:rPr>
                                <w:t>4.971%</w:t>
                              </w:r>
                            </w:p>
                          </w:txbxContent>
                        </wps:txbx>
                        <wps:bodyPr wrap="square" lIns="0" tIns="0" rIns="0" bIns="0" rtlCol="0">
                          <a:noAutofit/>
                        </wps:bodyPr>
                      </wps:wsp>
                    </wpg:wgp>
                  </a:graphicData>
                </a:graphic>
              </wp:inline>
            </w:drawing>
          </mc:Choice>
          <mc:Fallback>
            <w:pict>
              <v:group style="width:549pt;height:20.25pt;mso-position-horizontal-relative:char;mso-position-vertical-relative:line" id="docshapegroup449" coordorigin="0,0" coordsize="10980,405">
                <v:rect style="position:absolute;left:0;top:0;width:10980;height:405" id="docshape450" filled="true" fillcolor="#ccedff" stroked="false">
                  <v:fill type="solid"/>
                </v:rect>
                <v:shape style="position:absolute;left:172;top:176;width:728;height:199" type="#_x0000_t202" id="docshape451" filled="false" stroked="false">
                  <v:textbox inset="0,0,0,0">
                    <w:txbxContent>
                      <w:p>
                        <w:pPr>
                          <w:spacing w:before="14"/>
                          <w:ind w:left="0" w:right="0" w:firstLine="0"/>
                          <w:jc w:val="left"/>
                          <w:rPr>
                            <w:sz w:val="16"/>
                          </w:rPr>
                        </w:pPr>
                        <w:r>
                          <w:rPr>
                            <w:sz w:val="16"/>
                          </w:rPr>
                          <w:t>Series</w:t>
                        </w:r>
                        <w:r>
                          <w:rPr>
                            <w:spacing w:val="-2"/>
                            <w:sz w:val="16"/>
                          </w:rPr>
                          <w:t> </w:t>
                        </w:r>
                        <w:r>
                          <w:rPr>
                            <w:sz w:val="16"/>
                          </w:rPr>
                          <w:t>G</w:t>
                        </w:r>
                        <w:r>
                          <w:rPr>
                            <w:spacing w:val="-1"/>
                            <w:sz w:val="16"/>
                          </w:rPr>
                          <w:t> </w:t>
                        </w:r>
                        <w:r>
                          <w:rPr>
                            <w:spacing w:val="-5"/>
                            <w:sz w:val="16"/>
                            <w:vertAlign w:val="superscript"/>
                          </w:rPr>
                          <w:t>(2)</w:t>
                        </w:r>
                      </w:p>
                    </w:txbxContent>
                  </v:textbox>
                  <w10:wrap type="none"/>
                </v:shape>
                <v:shape style="position:absolute;left:1621;top:198;width:460;height:178" type="#_x0000_t202" id="docshape452" filled="false" stroked="false">
                  <v:textbox inset="0,0,0,0">
                    <w:txbxContent>
                      <w:p>
                        <w:pPr>
                          <w:spacing w:line="177" w:lineRule="exact" w:before="0"/>
                          <w:ind w:left="0" w:right="0" w:firstLine="0"/>
                          <w:jc w:val="left"/>
                          <w:rPr>
                            <w:sz w:val="16"/>
                          </w:rPr>
                        </w:pPr>
                        <w:r>
                          <w:rPr>
                            <w:spacing w:val="-2"/>
                            <w:sz w:val="16"/>
                          </w:rPr>
                          <w:t>24,580</w:t>
                        </w:r>
                      </w:p>
                    </w:txbxContent>
                  </v:textbox>
                  <w10:wrap type="none"/>
                </v:shape>
                <v:shape style="position:absolute;left:2641;top:198;width:1315;height:178" type="#_x0000_t202" id="docshape453" filled="false" stroked="false">
                  <v:textbox inset="0,0,0,0">
                    <w:txbxContent>
                      <w:p>
                        <w:pPr>
                          <w:tabs>
                            <w:tab w:pos="774" w:val="left" w:leader="none"/>
                          </w:tabs>
                          <w:spacing w:line="177" w:lineRule="exact" w:before="0"/>
                          <w:ind w:left="0" w:right="0" w:firstLine="0"/>
                          <w:jc w:val="left"/>
                          <w:rPr>
                            <w:sz w:val="16"/>
                          </w:rPr>
                        </w:pPr>
                        <w:r>
                          <w:rPr>
                            <w:spacing w:val="-2"/>
                            <w:sz w:val="16"/>
                          </w:rPr>
                          <w:t>25,000</w:t>
                        </w:r>
                        <w:r>
                          <w:rPr>
                            <w:sz w:val="16"/>
                          </w:rPr>
                          <w:tab/>
                        </w:r>
                        <w:r>
                          <w:rPr>
                            <w:spacing w:val="-2"/>
                            <w:sz w:val="16"/>
                          </w:rPr>
                          <w:t>100,000</w:t>
                        </w:r>
                      </w:p>
                    </w:txbxContent>
                  </v:textbox>
                  <w10:wrap type="none"/>
                </v:shape>
                <v:shape style="position:absolute;left:4626;top:198;width:380;height:178" type="#_x0000_t202" id="docshape454" filled="false" stroked="false">
                  <v:textbox inset="0,0,0,0">
                    <w:txbxContent>
                      <w:p>
                        <w:pPr>
                          <w:spacing w:line="177" w:lineRule="exact" w:before="0"/>
                          <w:ind w:left="0" w:right="0" w:firstLine="0"/>
                          <w:jc w:val="left"/>
                          <w:rPr>
                            <w:sz w:val="16"/>
                          </w:rPr>
                        </w:pPr>
                        <w:r>
                          <w:rPr>
                            <w:spacing w:val="-2"/>
                            <w:sz w:val="16"/>
                          </w:rPr>
                          <w:t>2,428</w:t>
                        </w:r>
                      </w:p>
                    </w:txbxContent>
                  </v:textbox>
                  <w10:wrap type="none"/>
                </v:shape>
                <v:shape style="position:absolute;left:5631;top:198;width:1086;height:178" type="#_x0000_t202" id="docshape455" filled="false" stroked="false">
                  <v:textbox inset="0,0,0,0">
                    <w:txbxContent>
                      <w:p>
                        <w:pPr>
                          <w:spacing w:line="177" w:lineRule="exact" w:before="0"/>
                          <w:ind w:left="0" w:right="0" w:firstLine="0"/>
                          <w:jc w:val="left"/>
                          <w:rPr>
                            <w:sz w:val="16"/>
                          </w:rPr>
                        </w:pPr>
                        <w:r>
                          <w:rPr>
                            <w:sz w:val="16"/>
                          </w:rPr>
                          <w:t>2,470</w:t>
                        </w:r>
                        <w:r>
                          <w:rPr>
                            <w:spacing w:val="76"/>
                            <w:w w:val="150"/>
                            <w:sz w:val="16"/>
                          </w:rPr>
                          <w:t> </w:t>
                        </w:r>
                        <w:r>
                          <w:rPr>
                            <w:spacing w:val="-2"/>
                            <w:sz w:val="16"/>
                          </w:rPr>
                          <w:t>04/30/20</w:t>
                        </w:r>
                      </w:p>
                    </w:txbxContent>
                  </v:textbox>
                  <w10:wrap type="none"/>
                </v:shape>
                <v:shape style="position:absolute;left:7268;top:38;width:3664;height:338" type="#_x0000_t202" id="docshape456" filled="false" stroked="false">
                  <v:textbox inset="0,0,0,0">
                    <w:txbxContent>
                      <w:p>
                        <w:pPr>
                          <w:spacing w:line="165" w:lineRule="exact" w:before="0"/>
                          <w:ind w:left="2409" w:right="0" w:firstLine="0"/>
                          <w:jc w:val="left"/>
                          <w:rPr>
                            <w:sz w:val="16"/>
                          </w:rPr>
                        </w:pPr>
                        <w:r>
                          <w:rPr>
                            <w:sz w:val="16"/>
                          </w:rPr>
                          <w:t>5-</w:t>
                        </w:r>
                        <w:r>
                          <w:rPr>
                            <w:spacing w:val="-4"/>
                            <w:sz w:val="16"/>
                          </w:rPr>
                          <w:t>Year</w:t>
                        </w:r>
                      </w:p>
                      <w:p>
                        <w:pPr>
                          <w:tabs>
                            <w:tab w:pos="726" w:val="left" w:leader="none"/>
                            <w:tab w:pos="1589" w:val="left" w:leader="none"/>
                            <w:tab w:pos="3149" w:val="left" w:leader="none"/>
                          </w:tabs>
                          <w:spacing w:line="172" w:lineRule="exact" w:before="0"/>
                          <w:ind w:left="0" w:right="0" w:firstLine="0"/>
                          <w:jc w:val="left"/>
                          <w:rPr>
                            <w:sz w:val="16"/>
                          </w:rPr>
                        </w:pPr>
                        <w:r>
                          <w:rPr>
                            <w:spacing w:val="-2"/>
                            <w:sz w:val="16"/>
                          </w:rPr>
                          <w:t>5.375%</w:t>
                        </w:r>
                        <w:r>
                          <w:rPr>
                            <w:sz w:val="16"/>
                          </w:rPr>
                          <w:tab/>
                        </w:r>
                        <w:r>
                          <w:rPr>
                            <w:spacing w:val="-2"/>
                            <w:sz w:val="16"/>
                          </w:rPr>
                          <w:t>06/01/25</w:t>
                        </w:r>
                        <w:r>
                          <w:rPr>
                            <w:sz w:val="16"/>
                          </w:rPr>
                          <w:tab/>
                          <w:t>06/01/25</w:t>
                        </w:r>
                        <w:r>
                          <w:rPr>
                            <w:spacing w:val="54"/>
                            <w:sz w:val="16"/>
                          </w:rPr>
                          <w:t>  </w:t>
                        </w:r>
                        <w:r>
                          <w:rPr>
                            <w:spacing w:val="-2"/>
                            <w:sz w:val="16"/>
                          </w:rPr>
                          <w:t>Treasury</w:t>
                        </w:r>
                        <w:r>
                          <w:rPr>
                            <w:sz w:val="16"/>
                          </w:rPr>
                          <w:tab/>
                        </w:r>
                        <w:r>
                          <w:rPr>
                            <w:spacing w:val="-2"/>
                            <w:sz w:val="16"/>
                          </w:rPr>
                          <w:t>4.971%</w:t>
                        </w:r>
                      </w:p>
                    </w:txbxContent>
                  </v:textbox>
                  <w10:wrap type="none"/>
                </v:shape>
              </v:group>
            </w:pict>
          </mc:Fallback>
        </mc:AlternateContent>
      </w:r>
      <w:r>
        <w:rPr/>
      </w:r>
    </w:p>
    <w:p>
      <w:pPr>
        <w:spacing w:after="0"/>
        <w:sectPr>
          <w:type w:val="continuous"/>
          <w:pgSz w:w="12240" w:h="15840"/>
          <w:pgMar w:header="227" w:footer="201" w:top="320" w:bottom="280" w:left="520" w:right="520"/>
        </w:sectPr>
      </w:pPr>
    </w:p>
    <w:p>
      <w:pPr>
        <w:tabs>
          <w:tab w:pos="1731" w:val="left" w:leader="none"/>
          <w:tab w:pos="2751" w:val="left" w:leader="none"/>
          <w:tab w:pos="3526" w:val="left" w:leader="none"/>
          <w:tab w:pos="4736" w:val="left" w:leader="none"/>
          <w:tab w:pos="5741" w:val="left" w:leader="none"/>
          <w:tab w:pos="7378" w:val="left" w:leader="none"/>
          <w:tab w:pos="8105" w:val="left" w:leader="none"/>
          <w:tab w:pos="8968" w:val="left" w:leader="none"/>
        </w:tabs>
        <w:spacing w:before="166"/>
        <w:ind w:left="282" w:right="0" w:firstLine="0"/>
        <w:jc w:val="left"/>
        <w:rPr>
          <w:sz w:val="16"/>
        </w:rPr>
      </w:pPr>
      <w:r>
        <w:rPr>
          <w:sz w:val="16"/>
        </w:rPr>
        <w:t>Series</w:t>
      </w:r>
      <w:r>
        <w:rPr>
          <w:spacing w:val="-2"/>
          <w:sz w:val="16"/>
        </w:rPr>
        <w:t> </w:t>
      </w:r>
      <w:r>
        <w:rPr>
          <w:sz w:val="16"/>
        </w:rPr>
        <w:t>H</w:t>
      </w:r>
      <w:r>
        <w:rPr>
          <w:spacing w:val="-1"/>
          <w:sz w:val="16"/>
        </w:rPr>
        <w:t> </w:t>
      </w:r>
      <w:r>
        <w:rPr>
          <w:spacing w:val="-5"/>
          <w:sz w:val="16"/>
          <w:vertAlign w:val="superscript"/>
        </w:rPr>
        <w:t>(3)</w:t>
      </w:r>
      <w:r>
        <w:rPr>
          <w:sz w:val="16"/>
          <w:vertAlign w:val="baseline"/>
        </w:rPr>
        <w:tab/>
      </w:r>
      <w:r>
        <w:rPr>
          <w:spacing w:val="-2"/>
          <w:sz w:val="16"/>
          <w:vertAlign w:val="baseline"/>
        </w:rPr>
        <w:t>22,267</w:t>
      </w:r>
      <w:r>
        <w:rPr>
          <w:sz w:val="16"/>
          <w:vertAlign w:val="baseline"/>
        </w:rPr>
        <w:tab/>
      </w:r>
      <w:r>
        <w:rPr>
          <w:spacing w:val="-2"/>
          <w:sz w:val="16"/>
          <w:vertAlign w:val="baseline"/>
        </w:rPr>
        <w:t>25,000</w:t>
      </w:r>
      <w:r>
        <w:rPr>
          <w:sz w:val="16"/>
          <w:vertAlign w:val="baseline"/>
        </w:rPr>
        <w:tab/>
      </w:r>
      <w:r>
        <w:rPr>
          <w:spacing w:val="-2"/>
          <w:sz w:val="16"/>
          <w:vertAlign w:val="baseline"/>
        </w:rPr>
        <w:t>100,000</w:t>
      </w:r>
      <w:r>
        <w:rPr>
          <w:sz w:val="16"/>
          <w:vertAlign w:val="baseline"/>
        </w:rPr>
        <w:tab/>
      </w:r>
      <w:r>
        <w:rPr>
          <w:spacing w:val="-2"/>
          <w:sz w:val="16"/>
          <w:vertAlign w:val="baseline"/>
        </w:rPr>
        <w:t>2,200</w:t>
      </w:r>
      <w:r>
        <w:rPr>
          <w:sz w:val="16"/>
          <w:vertAlign w:val="baseline"/>
        </w:rPr>
        <w:tab/>
        <w:t>2,470</w:t>
      </w:r>
      <w:r>
        <w:rPr>
          <w:spacing w:val="76"/>
          <w:w w:val="150"/>
          <w:sz w:val="16"/>
          <w:vertAlign w:val="baseline"/>
        </w:rPr>
        <w:t> </w:t>
      </w:r>
      <w:r>
        <w:rPr>
          <w:spacing w:val="-2"/>
          <w:sz w:val="16"/>
          <w:vertAlign w:val="baseline"/>
        </w:rPr>
        <w:t>12/11/20</w:t>
      </w:r>
      <w:r>
        <w:rPr>
          <w:sz w:val="16"/>
          <w:vertAlign w:val="baseline"/>
        </w:rPr>
        <w:tab/>
      </w:r>
      <w:r>
        <w:rPr>
          <w:spacing w:val="-2"/>
          <w:sz w:val="16"/>
          <w:vertAlign w:val="baseline"/>
        </w:rPr>
        <w:t>4.000%</w:t>
      </w:r>
      <w:r>
        <w:rPr>
          <w:sz w:val="16"/>
          <w:vertAlign w:val="baseline"/>
        </w:rPr>
        <w:tab/>
      </w:r>
      <w:r>
        <w:rPr>
          <w:spacing w:val="-2"/>
          <w:sz w:val="16"/>
          <w:vertAlign w:val="baseline"/>
        </w:rPr>
        <w:t>12/01/30</w:t>
      </w:r>
      <w:r>
        <w:rPr>
          <w:sz w:val="16"/>
          <w:vertAlign w:val="baseline"/>
        </w:rPr>
        <w:tab/>
      </w:r>
      <w:r>
        <w:rPr>
          <w:spacing w:val="-2"/>
          <w:sz w:val="16"/>
          <w:vertAlign w:val="baseline"/>
        </w:rPr>
        <w:t>12/01/30</w:t>
      </w:r>
    </w:p>
    <w:p>
      <w:pPr>
        <w:spacing w:line="172" w:lineRule="exact" w:before="6"/>
        <w:ind w:left="170" w:right="0" w:firstLine="0"/>
        <w:jc w:val="left"/>
        <w:rPr>
          <w:sz w:val="16"/>
        </w:rPr>
      </w:pPr>
      <w:r>
        <w:rPr/>
        <w:br w:type="column"/>
      </w:r>
      <w:r>
        <w:rPr>
          <w:sz w:val="16"/>
        </w:rPr>
        <w:t>10-</w:t>
      </w:r>
      <w:r>
        <w:rPr>
          <w:spacing w:val="-4"/>
          <w:sz w:val="16"/>
        </w:rPr>
        <w:t>Year</w:t>
      </w:r>
    </w:p>
    <w:p>
      <w:pPr>
        <w:tabs>
          <w:tab w:pos="950" w:val="left" w:leader="none"/>
        </w:tabs>
        <w:spacing w:line="172" w:lineRule="exact" w:before="0"/>
        <w:ind w:left="148" w:right="0" w:firstLine="0"/>
        <w:jc w:val="left"/>
        <w:rPr>
          <w:sz w:val="16"/>
        </w:rPr>
      </w:pPr>
      <w:r>
        <w:rPr>
          <w:spacing w:val="-2"/>
          <w:sz w:val="16"/>
        </w:rPr>
        <w:t>Treasury</w:t>
      </w:r>
      <w:r>
        <w:rPr>
          <w:sz w:val="16"/>
        </w:rPr>
        <w:tab/>
      </w:r>
      <w:r>
        <w:rPr>
          <w:spacing w:val="-2"/>
          <w:sz w:val="16"/>
        </w:rPr>
        <w:t>3.079%</w:t>
      </w:r>
    </w:p>
    <w:p>
      <w:pPr>
        <w:spacing w:after="0" w:line="172" w:lineRule="exact"/>
        <w:jc w:val="left"/>
        <w:rPr>
          <w:sz w:val="16"/>
        </w:rPr>
        <w:sectPr>
          <w:type w:val="continuous"/>
          <w:pgSz w:w="12240" w:h="15840"/>
          <w:pgMar w:header="227" w:footer="201" w:top="320" w:bottom="280" w:left="520" w:right="520"/>
          <w:cols w:num="2" w:equalWidth="0">
            <w:col w:w="9538" w:space="40"/>
            <w:col w:w="1622"/>
          </w:cols>
        </w:sectPr>
      </w:pPr>
    </w:p>
    <w:p>
      <w:pPr>
        <w:pStyle w:val="BodyText"/>
        <w:spacing w:before="7"/>
        <w:rPr>
          <w:sz w:val="2"/>
        </w:rPr>
      </w:pPr>
    </w:p>
    <w:p>
      <w:pPr>
        <w:pStyle w:val="BodyText"/>
        <w:ind w:left="110"/>
      </w:pPr>
      <w:r>
        <w:rPr/>
        <mc:AlternateContent>
          <mc:Choice Requires="wps">
            <w:drawing>
              <wp:inline distT="0" distB="0" distL="0" distR="0">
                <wp:extent cx="6972300" cy="257175"/>
                <wp:effectExtent l="0" t="0" r="0" b="0"/>
                <wp:docPr id="633" name="Group 633"/>
                <wp:cNvGraphicFramePr>
                  <a:graphicFrameLocks/>
                </wp:cNvGraphicFramePr>
                <a:graphic>
                  <a:graphicData uri="http://schemas.microsoft.com/office/word/2010/wordprocessingGroup">
                    <wpg:wgp>
                      <wpg:cNvPr id="633" name="Group 633"/>
                      <wpg:cNvGrpSpPr/>
                      <wpg:grpSpPr>
                        <a:xfrm>
                          <a:off x="0" y="0"/>
                          <a:ext cx="6972300" cy="257175"/>
                          <a:chExt cx="6972300" cy="257175"/>
                        </a:xfrm>
                      </wpg:grpSpPr>
                      <wps:wsp>
                        <wps:cNvPr id="634" name="Graphic 634"/>
                        <wps:cNvSpPr/>
                        <wps:spPr>
                          <a:xfrm>
                            <a:off x="0" y="0"/>
                            <a:ext cx="6972300" cy="257175"/>
                          </a:xfrm>
                          <a:custGeom>
                            <a:avLst/>
                            <a:gdLst/>
                            <a:ahLst/>
                            <a:cxnLst/>
                            <a:rect l="l" t="t" r="r" b="b"/>
                            <a:pathLst>
                              <a:path w="6972300" h="257175">
                                <a:moveTo>
                                  <a:pt x="6972300" y="0"/>
                                </a:moveTo>
                                <a:lnTo>
                                  <a:pt x="0" y="0"/>
                                </a:lnTo>
                                <a:lnTo>
                                  <a:pt x="0" y="257175"/>
                                </a:lnTo>
                                <a:lnTo>
                                  <a:pt x="6972300" y="257175"/>
                                </a:lnTo>
                                <a:lnTo>
                                  <a:pt x="6972300" y="0"/>
                                </a:lnTo>
                                <a:close/>
                              </a:path>
                            </a:pathLst>
                          </a:custGeom>
                          <a:solidFill>
                            <a:srgbClr val="CCEDFF"/>
                          </a:solidFill>
                        </wps:spPr>
                        <wps:bodyPr wrap="square" lIns="0" tIns="0" rIns="0" bIns="0" rtlCol="0">
                          <a:prstTxWarp prst="textNoShape">
                            <a:avLst/>
                          </a:prstTxWarp>
                          <a:noAutofit/>
                        </wps:bodyPr>
                      </wps:wsp>
                      <wps:wsp>
                        <wps:cNvPr id="635" name="Textbox 635"/>
                        <wps:cNvSpPr txBox="1"/>
                        <wps:spPr>
                          <a:xfrm>
                            <a:off x="109601" y="112169"/>
                            <a:ext cx="414020" cy="126364"/>
                          </a:xfrm>
                          <a:prstGeom prst="rect">
                            <a:avLst/>
                          </a:prstGeom>
                        </wps:spPr>
                        <wps:txbx>
                          <w:txbxContent>
                            <w:p>
                              <w:pPr>
                                <w:spacing w:before="14"/>
                                <w:ind w:left="0" w:right="0" w:firstLine="0"/>
                                <w:jc w:val="left"/>
                                <w:rPr>
                                  <w:sz w:val="16"/>
                                </w:rPr>
                              </w:pPr>
                              <w:r>
                                <w:rPr>
                                  <w:sz w:val="16"/>
                                </w:rPr>
                                <w:t>Series</w:t>
                              </w:r>
                              <w:r>
                                <w:rPr>
                                  <w:spacing w:val="-2"/>
                                  <w:sz w:val="16"/>
                                </w:rPr>
                                <w:t> </w:t>
                              </w:r>
                              <w:r>
                                <w:rPr>
                                  <w:sz w:val="16"/>
                                </w:rPr>
                                <w:t>I</w:t>
                              </w:r>
                              <w:r>
                                <w:rPr>
                                  <w:spacing w:val="-15"/>
                                  <w:sz w:val="16"/>
                                </w:rPr>
                                <w:t> </w:t>
                              </w:r>
                              <w:r>
                                <w:rPr>
                                  <w:spacing w:val="-5"/>
                                  <w:sz w:val="16"/>
                                  <w:vertAlign w:val="superscript"/>
                                </w:rPr>
                                <w:t>(2)</w:t>
                              </w:r>
                            </w:p>
                          </w:txbxContent>
                        </wps:txbx>
                        <wps:bodyPr wrap="square" lIns="0" tIns="0" rIns="0" bIns="0" rtlCol="0">
                          <a:noAutofit/>
                        </wps:bodyPr>
                      </wps:wsp>
                      <wps:wsp>
                        <wps:cNvPr id="636" name="Textbox 636"/>
                        <wps:cNvSpPr txBox="1"/>
                        <wps:spPr>
                          <a:xfrm>
                            <a:off x="1029766" y="125743"/>
                            <a:ext cx="292100" cy="113030"/>
                          </a:xfrm>
                          <a:prstGeom prst="rect">
                            <a:avLst/>
                          </a:prstGeom>
                        </wps:spPr>
                        <wps:txbx>
                          <w:txbxContent>
                            <w:p>
                              <w:pPr>
                                <w:spacing w:line="177" w:lineRule="exact" w:before="0"/>
                                <w:ind w:left="0" w:right="0" w:firstLine="0"/>
                                <w:jc w:val="left"/>
                                <w:rPr>
                                  <w:sz w:val="16"/>
                                </w:rPr>
                              </w:pPr>
                              <w:r>
                                <w:rPr>
                                  <w:spacing w:val="-2"/>
                                  <w:sz w:val="16"/>
                                </w:rPr>
                                <w:t>20,554</w:t>
                              </w:r>
                            </w:p>
                          </w:txbxContent>
                        </wps:txbx>
                        <wps:bodyPr wrap="square" lIns="0" tIns="0" rIns="0" bIns="0" rtlCol="0">
                          <a:noAutofit/>
                        </wps:bodyPr>
                      </wps:wsp>
                      <wps:wsp>
                        <wps:cNvPr id="637" name="Textbox 637"/>
                        <wps:cNvSpPr txBox="1"/>
                        <wps:spPr>
                          <a:xfrm>
                            <a:off x="1677542" y="125743"/>
                            <a:ext cx="835025" cy="113030"/>
                          </a:xfrm>
                          <a:prstGeom prst="rect">
                            <a:avLst/>
                          </a:prstGeom>
                        </wps:spPr>
                        <wps:txbx>
                          <w:txbxContent>
                            <w:p>
                              <w:pPr>
                                <w:tabs>
                                  <w:tab w:pos="774" w:val="left" w:leader="none"/>
                                </w:tabs>
                                <w:spacing w:line="177" w:lineRule="exact" w:before="0"/>
                                <w:ind w:left="0" w:right="0" w:firstLine="0"/>
                                <w:jc w:val="left"/>
                                <w:rPr>
                                  <w:sz w:val="16"/>
                                </w:rPr>
                              </w:pPr>
                              <w:r>
                                <w:rPr>
                                  <w:spacing w:val="-2"/>
                                  <w:sz w:val="16"/>
                                </w:rPr>
                                <w:t>22,500</w:t>
                              </w:r>
                              <w:r>
                                <w:rPr>
                                  <w:sz w:val="16"/>
                                </w:rPr>
                                <w:tab/>
                              </w:r>
                              <w:r>
                                <w:rPr>
                                  <w:spacing w:val="-2"/>
                                  <w:sz w:val="16"/>
                                </w:rPr>
                                <w:t>100,000</w:t>
                              </w:r>
                            </w:p>
                          </w:txbxContent>
                        </wps:txbx>
                        <wps:bodyPr wrap="square" lIns="0" tIns="0" rIns="0" bIns="0" rtlCol="0">
                          <a:noAutofit/>
                        </wps:bodyPr>
                      </wps:wsp>
                      <wps:wsp>
                        <wps:cNvPr id="638" name="Textbox 638"/>
                        <wps:cNvSpPr txBox="1"/>
                        <wps:spPr>
                          <a:xfrm>
                            <a:off x="2937967" y="125743"/>
                            <a:ext cx="241300" cy="113030"/>
                          </a:xfrm>
                          <a:prstGeom prst="rect">
                            <a:avLst/>
                          </a:prstGeom>
                        </wps:spPr>
                        <wps:txbx>
                          <w:txbxContent>
                            <w:p>
                              <w:pPr>
                                <w:spacing w:line="177" w:lineRule="exact" w:before="0"/>
                                <w:ind w:left="0" w:right="0" w:firstLine="0"/>
                                <w:jc w:val="left"/>
                                <w:rPr>
                                  <w:sz w:val="16"/>
                                </w:rPr>
                              </w:pPr>
                              <w:r>
                                <w:rPr>
                                  <w:spacing w:val="-2"/>
                                  <w:sz w:val="16"/>
                                </w:rPr>
                                <w:t>2,030</w:t>
                              </w:r>
                            </w:p>
                          </w:txbxContent>
                        </wps:txbx>
                        <wps:bodyPr wrap="square" lIns="0" tIns="0" rIns="0" bIns="0" rtlCol="0">
                          <a:noAutofit/>
                        </wps:bodyPr>
                      </wps:wsp>
                      <wps:wsp>
                        <wps:cNvPr id="639" name="Textbox 639"/>
                        <wps:cNvSpPr txBox="1"/>
                        <wps:spPr>
                          <a:xfrm>
                            <a:off x="3576167" y="125743"/>
                            <a:ext cx="689610" cy="113030"/>
                          </a:xfrm>
                          <a:prstGeom prst="rect">
                            <a:avLst/>
                          </a:prstGeom>
                        </wps:spPr>
                        <wps:txbx>
                          <w:txbxContent>
                            <w:p>
                              <w:pPr>
                                <w:spacing w:line="177" w:lineRule="exact" w:before="0"/>
                                <w:ind w:left="0" w:right="0" w:firstLine="0"/>
                                <w:jc w:val="left"/>
                                <w:rPr>
                                  <w:sz w:val="16"/>
                                </w:rPr>
                              </w:pPr>
                              <w:r>
                                <w:rPr>
                                  <w:sz w:val="16"/>
                                </w:rPr>
                                <w:t>2,222</w:t>
                              </w:r>
                              <w:r>
                                <w:rPr>
                                  <w:spacing w:val="76"/>
                                  <w:w w:val="150"/>
                                  <w:sz w:val="16"/>
                                </w:rPr>
                                <w:t> </w:t>
                              </w:r>
                              <w:r>
                                <w:rPr>
                                  <w:spacing w:val="-2"/>
                                  <w:sz w:val="16"/>
                                </w:rPr>
                                <w:t>03/18/21</w:t>
                              </w:r>
                            </w:p>
                          </w:txbxContent>
                        </wps:txbx>
                        <wps:bodyPr wrap="square" lIns="0" tIns="0" rIns="0" bIns="0" rtlCol="0">
                          <a:noAutofit/>
                        </wps:bodyPr>
                      </wps:wsp>
                      <wps:wsp>
                        <wps:cNvPr id="640" name="Textbox 640"/>
                        <wps:cNvSpPr txBox="1"/>
                        <wps:spPr>
                          <a:xfrm>
                            <a:off x="4615560" y="24143"/>
                            <a:ext cx="2326640" cy="214629"/>
                          </a:xfrm>
                          <a:prstGeom prst="rect">
                            <a:avLst/>
                          </a:prstGeom>
                        </wps:spPr>
                        <wps:txbx>
                          <w:txbxContent>
                            <w:p>
                              <w:pPr>
                                <w:spacing w:line="165" w:lineRule="exact" w:before="0"/>
                                <w:ind w:left="2409" w:right="0" w:firstLine="0"/>
                                <w:jc w:val="left"/>
                                <w:rPr>
                                  <w:sz w:val="16"/>
                                </w:rPr>
                              </w:pPr>
                              <w:r>
                                <w:rPr>
                                  <w:sz w:val="16"/>
                                </w:rPr>
                                <w:t>5-</w:t>
                              </w:r>
                              <w:r>
                                <w:rPr>
                                  <w:spacing w:val="-4"/>
                                  <w:sz w:val="16"/>
                                </w:rPr>
                                <w:t>Year</w:t>
                              </w:r>
                            </w:p>
                            <w:p>
                              <w:pPr>
                                <w:tabs>
                                  <w:tab w:pos="726" w:val="left" w:leader="none"/>
                                  <w:tab w:pos="1589" w:val="left" w:leader="none"/>
                                  <w:tab w:pos="3149" w:val="left" w:leader="none"/>
                                </w:tabs>
                                <w:spacing w:line="172" w:lineRule="exact" w:before="0"/>
                                <w:ind w:left="0" w:right="0" w:firstLine="0"/>
                                <w:jc w:val="left"/>
                                <w:rPr>
                                  <w:sz w:val="16"/>
                                </w:rPr>
                              </w:pPr>
                              <w:r>
                                <w:rPr>
                                  <w:spacing w:val="-2"/>
                                  <w:sz w:val="16"/>
                                </w:rPr>
                                <w:t>4.000%</w:t>
                              </w:r>
                              <w:r>
                                <w:rPr>
                                  <w:sz w:val="16"/>
                                </w:rPr>
                                <w:tab/>
                              </w:r>
                              <w:r>
                                <w:rPr>
                                  <w:spacing w:val="-2"/>
                                  <w:sz w:val="16"/>
                                </w:rPr>
                                <w:t>06/01/26</w:t>
                              </w:r>
                              <w:r>
                                <w:rPr>
                                  <w:sz w:val="16"/>
                                </w:rPr>
                                <w:tab/>
                                <w:t>06/01/26</w:t>
                              </w:r>
                              <w:r>
                                <w:rPr>
                                  <w:spacing w:val="54"/>
                                  <w:sz w:val="16"/>
                                </w:rPr>
                                <w:t>  </w:t>
                              </w:r>
                              <w:r>
                                <w:rPr>
                                  <w:spacing w:val="-2"/>
                                  <w:sz w:val="16"/>
                                </w:rPr>
                                <w:t>Treasury</w:t>
                              </w:r>
                              <w:r>
                                <w:rPr>
                                  <w:sz w:val="16"/>
                                </w:rPr>
                                <w:tab/>
                              </w:r>
                              <w:r>
                                <w:rPr>
                                  <w:spacing w:val="-2"/>
                                  <w:sz w:val="16"/>
                                </w:rPr>
                                <w:t>3.168%</w:t>
                              </w:r>
                            </w:p>
                          </w:txbxContent>
                        </wps:txbx>
                        <wps:bodyPr wrap="square" lIns="0" tIns="0" rIns="0" bIns="0" rtlCol="0">
                          <a:noAutofit/>
                        </wps:bodyPr>
                      </wps:wsp>
                    </wpg:wgp>
                  </a:graphicData>
                </a:graphic>
              </wp:inline>
            </w:drawing>
          </mc:Choice>
          <mc:Fallback>
            <w:pict>
              <v:group style="width:549pt;height:20.25pt;mso-position-horizontal-relative:char;mso-position-vertical-relative:line" id="docshapegroup457" coordorigin="0,0" coordsize="10980,405">
                <v:rect style="position:absolute;left:0;top:0;width:10980;height:405" id="docshape458" filled="true" fillcolor="#ccedff" stroked="false">
                  <v:fill type="solid"/>
                </v:rect>
                <v:shape style="position:absolute;left:172;top:176;width:652;height:199" type="#_x0000_t202" id="docshape459" filled="false" stroked="false">
                  <v:textbox inset="0,0,0,0">
                    <w:txbxContent>
                      <w:p>
                        <w:pPr>
                          <w:spacing w:before="14"/>
                          <w:ind w:left="0" w:right="0" w:firstLine="0"/>
                          <w:jc w:val="left"/>
                          <w:rPr>
                            <w:sz w:val="16"/>
                          </w:rPr>
                        </w:pPr>
                        <w:r>
                          <w:rPr>
                            <w:sz w:val="16"/>
                          </w:rPr>
                          <w:t>Series</w:t>
                        </w:r>
                        <w:r>
                          <w:rPr>
                            <w:spacing w:val="-2"/>
                            <w:sz w:val="16"/>
                          </w:rPr>
                          <w:t> </w:t>
                        </w:r>
                        <w:r>
                          <w:rPr>
                            <w:sz w:val="16"/>
                          </w:rPr>
                          <w:t>I</w:t>
                        </w:r>
                        <w:r>
                          <w:rPr>
                            <w:spacing w:val="-15"/>
                            <w:sz w:val="16"/>
                          </w:rPr>
                          <w:t> </w:t>
                        </w:r>
                        <w:r>
                          <w:rPr>
                            <w:spacing w:val="-5"/>
                            <w:sz w:val="16"/>
                            <w:vertAlign w:val="superscript"/>
                          </w:rPr>
                          <w:t>(2)</w:t>
                        </w:r>
                      </w:p>
                    </w:txbxContent>
                  </v:textbox>
                  <w10:wrap type="none"/>
                </v:shape>
                <v:shape style="position:absolute;left:1621;top:198;width:460;height:178" type="#_x0000_t202" id="docshape460" filled="false" stroked="false">
                  <v:textbox inset="0,0,0,0">
                    <w:txbxContent>
                      <w:p>
                        <w:pPr>
                          <w:spacing w:line="177" w:lineRule="exact" w:before="0"/>
                          <w:ind w:left="0" w:right="0" w:firstLine="0"/>
                          <w:jc w:val="left"/>
                          <w:rPr>
                            <w:sz w:val="16"/>
                          </w:rPr>
                        </w:pPr>
                        <w:r>
                          <w:rPr>
                            <w:spacing w:val="-2"/>
                            <w:sz w:val="16"/>
                          </w:rPr>
                          <w:t>20,554</w:t>
                        </w:r>
                      </w:p>
                    </w:txbxContent>
                  </v:textbox>
                  <w10:wrap type="none"/>
                </v:shape>
                <v:shape style="position:absolute;left:2641;top:198;width:1315;height:178" type="#_x0000_t202" id="docshape461" filled="false" stroked="false">
                  <v:textbox inset="0,0,0,0">
                    <w:txbxContent>
                      <w:p>
                        <w:pPr>
                          <w:tabs>
                            <w:tab w:pos="774" w:val="left" w:leader="none"/>
                          </w:tabs>
                          <w:spacing w:line="177" w:lineRule="exact" w:before="0"/>
                          <w:ind w:left="0" w:right="0" w:firstLine="0"/>
                          <w:jc w:val="left"/>
                          <w:rPr>
                            <w:sz w:val="16"/>
                          </w:rPr>
                        </w:pPr>
                        <w:r>
                          <w:rPr>
                            <w:spacing w:val="-2"/>
                            <w:sz w:val="16"/>
                          </w:rPr>
                          <w:t>22,500</w:t>
                        </w:r>
                        <w:r>
                          <w:rPr>
                            <w:sz w:val="16"/>
                          </w:rPr>
                          <w:tab/>
                        </w:r>
                        <w:r>
                          <w:rPr>
                            <w:spacing w:val="-2"/>
                            <w:sz w:val="16"/>
                          </w:rPr>
                          <w:t>100,000</w:t>
                        </w:r>
                      </w:p>
                    </w:txbxContent>
                  </v:textbox>
                  <w10:wrap type="none"/>
                </v:shape>
                <v:shape style="position:absolute;left:4626;top:198;width:380;height:178" type="#_x0000_t202" id="docshape462" filled="false" stroked="false">
                  <v:textbox inset="0,0,0,0">
                    <w:txbxContent>
                      <w:p>
                        <w:pPr>
                          <w:spacing w:line="177" w:lineRule="exact" w:before="0"/>
                          <w:ind w:left="0" w:right="0" w:firstLine="0"/>
                          <w:jc w:val="left"/>
                          <w:rPr>
                            <w:sz w:val="16"/>
                          </w:rPr>
                        </w:pPr>
                        <w:r>
                          <w:rPr>
                            <w:spacing w:val="-2"/>
                            <w:sz w:val="16"/>
                          </w:rPr>
                          <w:t>2,030</w:t>
                        </w:r>
                      </w:p>
                    </w:txbxContent>
                  </v:textbox>
                  <w10:wrap type="none"/>
                </v:shape>
                <v:shape style="position:absolute;left:5631;top:198;width:1086;height:178" type="#_x0000_t202" id="docshape463" filled="false" stroked="false">
                  <v:textbox inset="0,0,0,0">
                    <w:txbxContent>
                      <w:p>
                        <w:pPr>
                          <w:spacing w:line="177" w:lineRule="exact" w:before="0"/>
                          <w:ind w:left="0" w:right="0" w:firstLine="0"/>
                          <w:jc w:val="left"/>
                          <w:rPr>
                            <w:sz w:val="16"/>
                          </w:rPr>
                        </w:pPr>
                        <w:r>
                          <w:rPr>
                            <w:sz w:val="16"/>
                          </w:rPr>
                          <w:t>2,222</w:t>
                        </w:r>
                        <w:r>
                          <w:rPr>
                            <w:spacing w:val="76"/>
                            <w:w w:val="150"/>
                            <w:sz w:val="16"/>
                          </w:rPr>
                          <w:t> </w:t>
                        </w:r>
                        <w:r>
                          <w:rPr>
                            <w:spacing w:val="-2"/>
                            <w:sz w:val="16"/>
                          </w:rPr>
                          <w:t>03/18/21</w:t>
                        </w:r>
                      </w:p>
                    </w:txbxContent>
                  </v:textbox>
                  <w10:wrap type="none"/>
                </v:shape>
                <v:shape style="position:absolute;left:7268;top:38;width:3664;height:338" type="#_x0000_t202" id="docshape464" filled="false" stroked="false">
                  <v:textbox inset="0,0,0,0">
                    <w:txbxContent>
                      <w:p>
                        <w:pPr>
                          <w:spacing w:line="165" w:lineRule="exact" w:before="0"/>
                          <w:ind w:left="2409" w:right="0" w:firstLine="0"/>
                          <w:jc w:val="left"/>
                          <w:rPr>
                            <w:sz w:val="16"/>
                          </w:rPr>
                        </w:pPr>
                        <w:r>
                          <w:rPr>
                            <w:sz w:val="16"/>
                          </w:rPr>
                          <w:t>5-</w:t>
                        </w:r>
                        <w:r>
                          <w:rPr>
                            <w:spacing w:val="-4"/>
                            <w:sz w:val="16"/>
                          </w:rPr>
                          <w:t>Year</w:t>
                        </w:r>
                      </w:p>
                      <w:p>
                        <w:pPr>
                          <w:tabs>
                            <w:tab w:pos="726" w:val="left" w:leader="none"/>
                            <w:tab w:pos="1589" w:val="left" w:leader="none"/>
                            <w:tab w:pos="3149" w:val="left" w:leader="none"/>
                          </w:tabs>
                          <w:spacing w:line="172" w:lineRule="exact" w:before="0"/>
                          <w:ind w:left="0" w:right="0" w:firstLine="0"/>
                          <w:jc w:val="left"/>
                          <w:rPr>
                            <w:sz w:val="16"/>
                          </w:rPr>
                        </w:pPr>
                        <w:r>
                          <w:rPr>
                            <w:spacing w:val="-2"/>
                            <w:sz w:val="16"/>
                          </w:rPr>
                          <w:t>4.000%</w:t>
                        </w:r>
                        <w:r>
                          <w:rPr>
                            <w:sz w:val="16"/>
                          </w:rPr>
                          <w:tab/>
                        </w:r>
                        <w:r>
                          <w:rPr>
                            <w:spacing w:val="-2"/>
                            <w:sz w:val="16"/>
                          </w:rPr>
                          <w:t>06/01/26</w:t>
                        </w:r>
                        <w:r>
                          <w:rPr>
                            <w:sz w:val="16"/>
                          </w:rPr>
                          <w:tab/>
                          <w:t>06/01/26</w:t>
                        </w:r>
                        <w:r>
                          <w:rPr>
                            <w:spacing w:val="54"/>
                            <w:sz w:val="16"/>
                          </w:rPr>
                          <w:t>  </w:t>
                        </w:r>
                        <w:r>
                          <w:rPr>
                            <w:spacing w:val="-2"/>
                            <w:sz w:val="16"/>
                          </w:rPr>
                          <w:t>Treasury</w:t>
                        </w:r>
                        <w:r>
                          <w:rPr>
                            <w:sz w:val="16"/>
                          </w:rPr>
                          <w:tab/>
                        </w:r>
                        <w:r>
                          <w:rPr>
                            <w:spacing w:val="-2"/>
                            <w:sz w:val="16"/>
                          </w:rPr>
                          <w:t>3.168%</w:t>
                        </w:r>
                      </w:p>
                    </w:txbxContent>
                  </v:textbox>
                  <w10:wrap type="none"/>
                </v:shape>
              </v:group>
            </w:pict>
          </mc:Fallback>
        </mc:AlternateContent>
      </w:r>
      <w:r>
        <w:rPr/>
      </w:r>
    </w:p>
    <w:p>
      <w:pPr>
        <w:spacing w:after="0"/>
        <w:sectPr>
          <w:type w:val="continuous"/>
          <w:pgSz w:w="12240" w:h="15840"/>
          <w:pgMar w:header="227" w:footer="201" w:top="320" w:bottom="280" w:left="520" w:right="520"/>
        </w:sectPr>
      </w:pPr>
    </w:p>
    <w:p>
      <w:pPr>
        <w:tabs>
          <w:tab w:pos="1811" w:val="left" w:leader="none"/>
          <w:tab w:pos="2831" w:val="left" w:leader="none"/>
          <w:tab w:pos="3526" w:val="left" w:leader="none"/>
          <w:tab w:pos="4856" w:val="left" w:leader="none"/>
          <w:tab w:pos="5861" w:val="left" w:leader="none"/>
          <w:tab w:pos="7378" w:val="left" w:leader="none"/>
          <w:tab w:pos="8105" w:val="left" w:leader="none"/>
          <w:tab w:pos="8968" w:val="left" w:leader="none"/>
        </w:tabs>
        <w:spacing w:before="166"/>
        <w:ind w:left="282" w:right="0" w:firstLine="0"/>
        <w:jc w:val="left"/>
        <w:rPr>
          <w:sz w:val="16"/>
        </w:rPr>
      </w:pPr>
      <w:r>
        <w:rPr>
          <w:sz w:val="16"/>
        </w:rPr>
        <w:t>Series</w:t>
      </w:r>
      <w:r>
        <w:rPr>
          <w:spacing w:val="-2"/>
          <w:sz w:val="16"/>
        </w:rPr>
        <w:t> </w:t>
      </w:r>
      <w:r>
        <w:rPr>
          <w:sz w:val="16"/>
        </w:rPr>
        <w:t>K</w:t>
      </w:r>
      <w:r>
        <w:rPr>
          <w:spacing w:val="-1"/>
          <w:sz w:val="16"/>
        </w:rPr>
        <w:t> </w:t>
      </w:r>
      <w:r>
        <w:rPr>
          <w:spacing w:val="-5"/>
          <w:sz w:val="16"/>
          <w:vertAlign w:val="superscript"/>
        </w:rPr>
        <w:t>(2)</w:t>
      </w:r>
      <w:r>
        <w:rPr>
          <w:sz w:val="16"/>
          <w:vertAlign w:val="baseline"/>
        </w:rPr>
        <w:tab/>
      </w:r>
      <w:r>
        <w:rPr>
          <w:spacing w:val="-2"/>
          <w:sz w:val="16"/>
          <w:vertAlign w:val="baseline"/>
        </w:rPr>
        <w:t>7,500</w:t>
      </w:r>
      <w:r>
        <w:rPr>
          <w:sz w:val="16"/>
          <w:vertAlign w:val="baseline"/>
        </w:rPr>
        <w:tab/>
      </w:r>
      <w:r>
        <w:rPr>
          <w:spacing w:val="-2"/>
          <w:sz w:val="16"/>
          <w:vertAlign w:val="baseline"/>
        </w:rPr>
        <w:t>7,500</w:t>
      </w:r>
      <w:r>
        <w:rPr>
          <w:sz w:val="16"/>
          <w:vertAlign w:val="baseline"/>
        </w:rPr>
        <w:tab/>
      </w:r>
      <w:r>
        <w:rPr>
          <w:spacing w:val="-2"/>
          <w:sz w:val="16"/>
          <w:vertAlign w:val="baseline"/>
        </w:rPr>
        <w:t>100,000</w:t>
      </w:r>
      <w:r>
        <w:rPr>
          <w:sz w:val="16"/>
          <w:vertAlign w:val="baseline"/>
        </w:rPr>
        <w:tab/>
      </w:r>
      <w:r>
        <w:rPr>
          <w:spacing w:val="-5"/>
          <w:sz w:val="16"/>
          <w:vertAlign w:val="baseline"/>
        </w:rPr>
        <w:t>740</w:t>
      </w:r>
      <w:r>
        <w:rPr>
          <w:sz w:val="16"/>
          <w:vertAlign w:val="baseline"/>
        </w:rPr>
        <w:tab/>
        <w:t>740</w:t>
      </w:r>
      <w:r>
        <w:rPr>
          <w:spacing w:val="76"/>
          <w:w w:val="150"/>
          <w:sz w:val="16"/>
          <w:vertAlign w:val="baseline"/>
        </w:rPr>
        <w:t> </w:t>
      </w:r>
      <w:r>
        <w:rPr>
          <w:spacing w:val="-2"/>
          <w:sz w:val="16"/>
          <w:vertAlign w:val="baseline"/>
        </w:rPr>
        <w:t>03/04/22</w:t>
      </w:r>
      <w:r>
        <w:rPr>
          <w:sz w:val="16"/>
          <w:vertAlign w:val="baseline"/>
        </w:rPr>
        <w:tab/>
      </w:r>
      <w:r>
        <w:rPr>
          <w:spacing w:val="-2"/>
          <w:sz w:val="16"/>
          <w:vertAlign w:val="baseline"/>
        </w:rPr>
        <w:t>5.000%</w:t>
      </w:r>
      <w:r>
        <w:rPr>
          <w:sz w:val="16"/>
          <w:vertAlign w:val="baseline"/>
        </w:rPr>
        <w:tab/>
      </w:r>
      <w:r>
        <w:rPr>
          <w:spacing w:val="-2"/>
          <w:sz w:val="16"/>
          <w:vertAlign w:val="baseline"/>
        </w:rPr>
        <w:t>06/01/27</w:t>
      </w:r>
      <w:r>
        <w:rPr>
          <w:sz w:val="16"/>
          <w:vertAlign w:val="baseline"/>
        </w:rPr>
        <w:tab/>
      </w:r>
      <w:r>
        <w:rPr>
          <w:spacing w:val="-2"/>
          <w:sz w:val="16"/>
          <w:vertAlign w:val="baseline"/>
        </w:rPr>
        <w:t>06/01/27</w:t>
      </w:r>
    </w:p>
    <w:p>
      <w:pPr>
        <w:spacing w:line="172" w:lineRule="exact" w:before="6"/>
        <w:ind w:left="210" w:right="0" w:firstLine="0"/>
        <w:jc w:val="left"/>
        <w:rPr>
          <w:sz w:val="16"/>
        </w:rPr>
      </w:pPr>
      <w:r>
        <w:rPr/>
        <w:br w:type="column"/>
      </w:r>
      <w:r>
        <w:rPr>
          <w:sz w:val="16"/>
        </w:rPr>
        <w:t>5-</w:t>
      </w:r>
      <w:r>
        <w:rPr>
          <w:spacing w:val="-4"/>
          <w:sz w:val="16"/>
        </w:rPr>
        <w:t>Year</w:t>
      </w:r>
    </w:p>
    <w:p>
      <w:pPr>
        <w:tabs>
          <w:tab w:pos="950" w:val="left" w:leader="none"/>
        </w:tabs>
        <w:spacing w:line="172" w:lineRule="exact" w:before="0"/>
        <w:ind w:left="148" w:right="0" w:firstLine="0"/>
        <w:jc w:val="left"/>
        <w:rPr>
          <w:sz w:val="16"/>
        </w:rPr>
      </w:pPr>
      <w:r>
        <w:rPr>
          <w:spacing w:val="-2"/>
          <w:sz w:val="16"/>
        </w:rPr>
        <w:t>Treasury</w:t>
      </w:r>
      <w:r>
        <w:rPr>
          <w:sz w:val="16"/>
        </w:rPr>
        <w:tab/>
      </w:r>
      <w:r>
        <w:rPr>
          <w:spacing w:val="-2"/>
          <w:sz w:val="16"/>
        </w:rPr>
        <w:t>3.256%</w:t>
      </w:r>
    </w:p>
    <w:p>
      <w:pPr>
        <w:spacing w:after="0" w:line="172" w:lineRule="exact"/>
        <w:jc w:val="left"/>
        <w:rPr>
          <w:sz w:val="16"/>
        </w:rPr>
        <w:sectPr>
          <w:type w:val="continuous"/>
          <w:pgSz w:w="12240" w:h="15840"/>
          <w:pgMar w:header="227" w:footer="201" w:top="320" w:bottom="280" w:left="520" w:right="520"/>
          <w:cols w:num="2" w:equalWidth="0">
            <w:col w:w="9538" w:space="40"/>
            <w:col w:w="1622"/>
          </w:cols>
        </w:sectPr>
      </w:pPr>
    </w:p>
    <w:p>
      <w:pPr>
        <w:pStyle w:val="BodyText"/>
        <w:spacing w:before="2"/>
        <w:rPr>
          <w:sz w:val="2"/>
        </w:rPr>
      </w:pPr>
    </w:p>
    <w:p>
      <w:pPr>
        <w:pStyle w:val="BodyText"/>
        <w:ind w:left="100"/>
      </w:pPr>
      <w:r>
        <w:rPr/>
        <mc:AlternateContent>
          <mc:Choice Requires="wps">
            <w:drawing>
              <wp:inline distT="0" distB="0" distL="0" distR="0">
                <wp:extent cx="6972300" cy="279400"/>
                <wp:effectExtent l="9525" t="0" r="0" b="6350"/>
                <wp:docPr id="641" name="Group 641"/>
                <wp:cNvGraphicFramePr>
                  <a:graphicFrameLocks/>
                </wp:cNvGraphicFramePr>
                <a:graphic>
                  <a:graphicData uri="http://schemas.microsoft.com/office/word/2010/wordprocessingGroup">
                    <wpg:wgp>
                      <wpg:cNvPr id="641" name="Group 641"/>
                      <wpg:cNvGrpSpPr/>
                      <wpg:grpSpPr>
                        <a:xfrm>
                          <a:off x="0" y="0"/>
                          <a:ext cx="6972300" cy="279400"/>
                          <a:chExt cx="6972300" cy="279400"/>
                        </a:xfrm>
                      </wpg:grpSpPr>
                      <wps:wsp>
                        <wps:cNvPr id="642" name="Graphic 642"/>
                        <wps:cNvSpPr/>
                        <wps:spPr>
                          <a:xfrm>
                            <a:off x="0" y="3175"/>
                            <a:ext cx="6972300" cy="257175"/>
                          </a:xfrm>
                          <a:custGeom>
                            <a:avLst/>
                            <a:gdLst/>
                            <a:ahLst/>
                            <a:cxnLst/>
                            <a:rect l="l" t="t" r="r" b="b"/>
                            <a:pathLst>
                              <a:path w="6972300" h="257175">
                                <a:moveTo>
                                  <a:pt x="6972300" y="0"/>
                                </a:moveTo>
                                <a:lnTo>
                                  <a:pt x="0" y="0"/>
                                </a:lnTo>
                                <a:lnTo>
                                  <a:pt x="0" y="257175"/>
                                </a:lnTo>
                                <a:lnTo>
                                  <a:pt x="6972300" y="257175"/>
                                </a:lnTo>
                                <a:lnTo>
                                  <a:pt x="6972300" y="0"/>
                                </a:lnTo>
                                <a:close/>
                              </a:path>
                            </a:pathLst>
                          </a:custGeom>
                          <a:solidFill>
                            <a:srgbClr val="CCEDFF"/>
                          </a:solidFill>
                        </wps:spPr>
                        <wps:bodyPr wrap="square" lIns="0" tIns="0" rIns="0" bIns="0" rtlCol="0">
                          <a:prstTxWarp prst="textNoShape">
                            <a:avLst/>
                          </a:prstTxWarp>
                          <a:noAutofit/>
                        </wps:bodyPr>
                      </wps:wsp>
                      <wps:wsp>
                        <wps:cNvPr id="643" name="Graphic 643"/>
                        <wps:cNvSpPr/>
                        <wps:spPr>
                          <a:xfrm>
                            <a:off x="0" y="3175"/>
                            <a:ext cx="6972300" cy="1270"/>
                          </a:xfrm>
                          <a:custGeom>
                            <a:avLst/>
                            <a:gdLst/>
                            <a:ahLst/>
                            <a:cxnLst/>
                            <a:rect l="l" t="t" r="r" b="b"/>
                            <a:pathLst>
                              <a:path w="6972300" h="0">
                                <a:moveTo>
                                  <a:pt x="6972300" y="0"/>
                                </a:moveTo>
                                <a:lnTo>
                                  <a:pt x="0" y="0"/>
                                </a:lnTo>
                              </a:path>
                            </a:pathLst>
                          </a:custGeom>
                          <a:solidFill>
                            <a:srgbClr val="000000"/>
                          </a:solidFill>
                        </wps:spPr>
                        <wps:bodyPr wrap="square" lIns="0" tIns="0" rIns="0" bIns="0" rtlCol="0">
                          <a:prstTxWarp prst="textNoShape">
                            <a:avLst/>
                          </a:prstTxWarp>
                          <a:noAutofit/>
                        </wps:bodyPr>
                      </wps:wsp>
                      <wps:wsp>
                        <wps:cNvPr id="644" name="Graphic 644"/>
                        <wps:cNvSpPr/>
                        <wps:spPr>
                          <a:xfrm>
                            <a:off x="0" y="3175"/>
                            <a:ext cx="6972300" cy="1270"/>
                          </a:xfrm>
                          <a:custGeom>
                            <a:avLst/>
                            <a:gdLst/>
                            <a:ahLst/>
                            <a:cxnLst/>
                            <a:rect l="l" t="t" r="r" b="b"/>
                            <a:pathLst>
                              <a:path w="6972300" h="0">
                                <a:moveTo>
                                  <a:pt x="0" y="0"/>
                                </a:moveTo>
                                <a:lnTo>
                                  <a:pt x="6972300" y="0"/>
                                </a:lnTo>
                              </a:path>
                            </a:pathLst>
                          </a:custGeom>
                          <a:ln w="6350">
                            <a:solidFill>
                              <a:srgbClr val="000000"/>
                            </a:solidFill>
                            <a:prstDash val="solid"/>
                          </a:ln>
                        </wps:spPr>
                        <wps:bodyPr wrap="square" lIns="0" tIns="0" rIns="0" bIns="0" rtlCol="0">
                          <a:prstTxWarp prst="textNoShape">
                            <a:avLst/>
                          </a:prstTxWarp>
                          <a:noAutofit/>
                        </wps:bodyPr>
                      </wps:wsp>
                      <wps:wsp>
                        <wps:cNvPr id="645" name="Graphic 645"/>
                        <wps:cNvSpPr/>
                        <wps:spPr>
                          <a:xfrm>
                            <a:off x="0" y="241300"/>
                            <a:ext cx="6972300" cy="12700"/>
                          </a:xfrm>
                          <a:custGeom>
                            <a:avLst/>
                            <a:gdLst/>
                            <a:ahLst/>
                            <a:cxnLst/>
                            <a:rect l="l" t="t" r="r" b="b"/>
                            <a:pathLst>
                              <a:path w="6972300" h="12700">
                                <a:moveTo>
                                  <a:pt x="0" y="12700"/>
                                </a:moveTo>
                                <a:lnTo>
                                  <a:pt x="6972300" y="12700"/>
                                </a:lnTo>
                                <a:lnTo>
                                  <a:pt x="69723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646" name="Graphic 646"/>
                        <wps:cNvSpPr/>
                        <wps:spPr>
                          <a:xfrm>
                            <a:off x="0" y="273050"/>
                            <a:ext cx="6972300" cy="1270"/>
                          </a:xfrm>
                          <a:custGeom>
                            <a:avLst/>
                            <a:gdLst/>
                            <a:ahLst/>
                            <a:cxnLst/>
                            <a:rect l="l" t="t" r="r" b="b"/>
                            <a:pathLst>
                              <a:path w="6972300" h="0">
                                <a:moveTo>
                                  <a:pt x="0" y="0"/>
                                </a:moveTo>
                                <a:lnTo>
                                  <a:pt x="6972300" y="0"/>
                                </a:lnTo>
                              </a:path>
                            </a:pathLst>
                          </a:custGeom>
                          <a:ln w="12700">
                            <a:solidFill>
                              <a:srgbClr val="000000"/>
                            </a:solidFill>
                            <a:prstDash val="solid"/>
                          </a:ln>
                        </wps:spPr>
                        <wps:bodyPr wrap="square" lIns="0" tIns="0" rIns="0" bIns="0" rtlCol="0">
                          <a:prstTxWarp prst="textNoShape">
                            <a:avLst/>
                          </a:prstTxWarp>
                          <a:noAutofit/>
                        </wps:bodyPr>
                      </wps:wsp>
                      <wps:wsp>
                        <wps:cNvPr id="647" name="Textbox 647"/>
                        <wps:cNvSpPr txBox="1"/>
                        <wps:spPr>
                          <a:xfrm>
                            <a:off x="33401" y="21857"/>
                            <a:ext cx="624840" cy="214629"/>
                          </a:xfrm>
                          <a:prstGeom prst="rect">
                            <a:avLst/>
                          </a:prstGeom>
                        </wps:spPr>
                        <wps:txbx>
                          <w:txbxContent>
                            <w:p>
                              <w:pPr>
                                <w:spacing w:line="208" w:lineRule="auto" w:before="12"/>
                                <w:ind w:left="120" w:right="10" w:hanging="120"/>
                                <w:jc w:val="left"/>
                                <w:rPr>
                                  <w:sz w:val="16"/>
                                </w:rPr>
                              </w:pPr>
                              <w:r>
                                <w:rPr>
                                  <w:sz w:val="16"/>
                                </w:rPr>
                                <w:t>Total</w:t>
                              </w:r>
                              <w:r>
                                <w:rPr>
                                  <w:spacing w:val="-10"/>
                                  <w:sz w:val="16"/>
                                </w:rPr>
                                <w:t> </w:t>
                              </w:r>
                              <w:r>
                                <w:rPr>
                                  <w:sz w:val="16"/>
                                </w:rPr>
                                <w:t>preferred</w:t>
                              </w:r>
                              <w:r>
                                <w:rPr>
                                  <w:spacing w:val="40"/>
                                  <w:sz w:val="16"/>
                                </w:rPr>
                                <w:t> </w:t>
                              </w:r>
                              <w:r>
                                <w:rPr>
                                  <w:spacing w:val="-2"/>
                                  <w:sz w:val="16"/>
                                </w:rPr>
                                <w:t>stock</w:t>
                              </w:r>
                            </w:p>
                          </w:txbxContent>
                        </wps:txbx>
                        <wps:bodyPr wrap="square" lIns="0" tIns="0" rIns="0" bIns="0" rtlCol="0">
                          <a:noAutofit/>
                        </wps:bodyPr>
                      </wps:wsp>
                      <wps:wsp>
                        <wps:cNvPr id="648" name="Textbox 648"/>
                        <wps:cNvSpPr txBox="1"/>
                        <wps:spPr>
                          <a:xfrm>
                            <a:off x="902766" y="128918"/>
                            <a:ext cx="1067435" cy="113030"/>
                          </a:xfrm>
                          <a:prstGeom prst="rect">
                            <a:avLst/>
                          </a:prstGeom>
                        </wps:spPr>
                        <wps:txbx>
                          <w:txbxContent>
                            <w:p>
                              <w:pPr>
                                <w:tabs>
                                  <w:tab w:pos="1020" w:val="left" w:leader="none"/>
                                </w:tabs>
                                <w:spacing w:line="177" w:lineRule="exact" w:before="0"/>
                                <w:ind w:left="0" w:right="0" w:firstLine="0"/>
                                <w:jc w:val="left"/>
                                <w:rPr>
                                  <w:sz w:val="16"/>
                                </w:rPr>
                              </w:pPr>
                              <w:r>
                                <w:rPr>
                                  <w:spacing w:val="-2"/>
                                  <w:sz w:val="16"/>
                                </w:rPr>
                                <w:t>1,429,785</w:t>
                              </w:r>
                              <w:r>
                                <w:rPr>
                                  <w:sz w:val="16"/>
                                </w:rPr>
                                <w:tab/>
                              </w:r>
                              <w:r>
                                <w:rPr>
                                  <w:spacing w:val="-2"/>
                                  <w:sz w:val="16"/>
                                </w:rPr>
                                <w:t>1,435,000</w:t>
                              </w:r>
                            </w:p>
                          </w:txbxContent>
                        </wps:txbx>
                        <wps:bodyPr wrap="square" lIns="0" tIns="0" rIns="0" bIns="0" rtlCol="0">
                          <a:noAutofit/>
                        </wps:bodyPr>
                      </wps:wsp>
                      <wps:wsp>
                        <wps:cNvPr id="649" name="Textbox 649"/>
                        <wps:cNvSpPr txBox="1"/>
                        <wps:spPr>
                          <a:xfrm>
                            <a:off x="2576576" y="128918"/>
                            <a:ext cx="635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650" name="Textbox 650"/>
                        <wps:cNvSpPr txBox="1"/>
                        <wps:spPr>
                          <a:xfrm>
                            <a:off x="2937967" y="128918"/>
                            <a:ext cx="368935" cy="113030"/>
                          </a:xfrm>
                          <a:prstGeom prst="rect">
                            <a:avLst/>
                          </a:prstGeom>
                        </wps:spPr>
                        <wps:txbx>
                          <w:txbxContent>
                            <w:p>
                              <w:pPr>
                                <w:spacing w:line="177" w:lineRule="exact" w:before="0"/>
                                <w:ind w:left="0" w:right="0" w:firstLine="0"/>
                                <w:jc w:val="left"/>
                                <w:rPr>
                                  <w:sz w:val="16"/>
                                </w:rPr>
                              </w:pPr>
                              <w:r>
                                <w:rPr>
                                  <w:sz w:val="16"/>
                                </w:rPr>
                                <w:t>9,191</w:t>
                              </w:r>
                              <w:r>
                                <w:rPr>
                                  <w:spacing w:val="80"/>
                                  <w:sz w:val="16"/>
                                </w:rPr>
                                <w:t> </w:t>
                              </w:r>
                              <w:r>
                                <w:rPr>
                                  <w:spacing w:val="-10"/>
                                  <w:sz w:val="16"/>
                                </w:rPr>
                                <w:t>$</w:t>
                              </w:r>
                            </w:p>
                          </w:txbxContent>
                        </wps:txbx>
                        <wps:bodyPr wrap="square" lIns="0" tIns="0" rIns="0" bIns="0" rtlCol="0">
                          <a:noAutofit/>
                        </wps:bodyPr>
                      </wps:wsp>
                      <wps:wsp>
                        <wps:cNvPr id="651" name="Textbox 651"/>
                        <wps:cNvSpPr txBox="1"/>
                        <wps:spPr>
                          <a:xfrm>
                            <a:off x="3576167" y="128918"/>
                            <a:ext cx="241300" cy="113030"/>
                          </a:xfrm>
                          <a:prstGeom prst="rect">
                            <a:avLst/>
                          </a:prstGeom>
                        </wps:spPr>
                        <wps:txbx>
                          <w:txbxContent>
                            <w:p>
                              <w:pPr>
                                <w:spacing w:line="177" w:lineRule="exact" w:before="0"/>
                                <w:ind w:left="0" w:right="0" w:firstLine="0"/>
                                <w:jc w:val="left"/>
                                <w:rPr>
                                  <w:sz w:val="16"/>
                                </w:rPr>
                              </w:pPr>
                              <w:r>
                                <w:rPr>
                                  <w:spacing w:val="-2"/>
                                  <w:sz w:val="16"/>
                                </w:rPr>
                                <w:t>9,706</w:t>
                              </w:r>
                            </w:p>
                          </w:txbxContent>
                        </wps:txbx>
                        <wps:bodyPr wrap="square" lIns="0" tIns="0" rIns="0" bIns="0" rtlCol="0">
                          <a:noAutofit/>
                        </wps:bodyPr>
                      </wps:wsp>
                    </wpg:wgp>
                  </a:graphicData>
                </a:graphic>
              </wp:inline>
            </w:drawing>
          </mc:Choice>
          <mc:Fallback>
            <w:pict>
              <v:group style="width:549pt;height:22pt;mso-position-horizontal-relative:char;mso-position-vertical-relative:line" id="docshapegroup465" coordorigin="0,0" coordsize="10980,440">
                <v:rect style="position:absolute;left:0;top:5;width:10980;height:405" id="docshape466" filled="true" fillcolor="#ccedff" stroked="false">
                  <v:fill type="solid"/>
                </v:rect>
                <v:shape style="position:absolute;left:0;top:5;width:10980;height:2" id="docshape467" coordorigin="0,5" coordsize="10980,0" path="m10980,5l0,5e" filled="true" fillcolor="#000000" stroked="false">
                  <v:path arrowok="t"/>
                  <v:fill opacity="0f" type="solid"/>
                </v:shape>
                <v:line style="position:absolute" from="0,5" to="10980,5" stroked="true" strokeweight=".5pt" strokecolor="#000000">
                  <v:stroke dashstyle="solid"/>
                </v:line>
                <v:rect style="position:absolute;left:0;top:380;width:10980;height:20" id="docshape468" filled="true" fillcolor="#000000" stroked="false">
                  <v:fill opacity="0f" type="solid"/>
                </v:rect>
                <v:line style="position:absolute" from="0,430" to="10980,430" stroked="true" strokeweight="1pt" strokecolor="#000000">
                  <v:stroke dashstyle="solid"/>
                </v:line>
                <v:shape style="position:absolute;left:52;top:34;width:984;height:338" type="#_x0000_t202" id="docshape469" filled="false" stroked="false">
                  <v:textbox inset="0,0,0,0">
                    <w:txbxContent>
                      <w:p>
                        <w:pPr>
                          <w:spacing w:line="208" w:lineRule="auto" w:before="12"/>
                          <w:ind w:left="120" w:right="10" w:hanging="120"/>
                          <w:jc w:val="left"/>
                          <w:rPr>
                            <w:sz w:val="16"/>
                          </w:rPr>
                        </w:pPr>
                        <w:r>
                          <w:rPr>
                            <w:sz w:val="16"/>
                          </w:rPr>
                          <w:t>Total</w:t>
                        </w:r>
                        <w:r>
                          <w:rPr>
                            <w:spacing w:val="-10"/>
                            <w:sz w:val="16"/>
                          </w:rPr>
                          <w:t> </w:t>
                        </w:r>
                        <w:r>
                          <w:rPr>
                            <w:sz w:val="16"/>
                          </w:rPr>
                          <w:t>preferred</w:t>
                        </w:r>
                        <w:r>
                          <w:rPr>
                            <w:spacing w:val="40"/>
                            <w:sz w:val="16"/>
                          </w:rPr>
                          <w:t> </w:t>
                        </w:r>
                        <w:r>
                          <w:rPr>
                            <w:spacing w:val="-2"/>
                            <w:sz w:val="16"/>
                          </w:rPr>
                          <w:t>stock</w:t>
                        </w:r>
                      </w:p>
                    </w:txbxContent>
                  </v:textbox>
                  <w10:wrap type="none"/>
                </v:shape>
                <v:shape style="position:absolute;left:1421;top:203;width:1681;height:178" type="#_x0000_t202" id="docshape470" filled="false" stroked="false">
                  <v:textbox inset="0,0,0,0">
                    <w:txbxContent>
                      <w:p>
                        <w:pPr>
                          <w:tabs>
                            <w:tab w:pos="1020" w:val="left" w:leader="none"/>
                          </w:tabs>
                          <w:spacing w:line="177" w:lineRule="exact" w:before="0"/>
                          <w:ind w:left="0" w:right="0" w:firstLine="0"/>
                          <w:jc w:val="left"/>
                          <w:rPr>
                            <w:sz w:val="16"/>
                          </w:rPr>
                        </w:pPr>
                        <w:r>
                          <w:rPr>
                            <w:spacing w:val="-2"/>
                            <w:sz w:val="16"/>
                          </w:rPr>
                          <w:t>1,429,785</w:t>
                        </w:r>
                        <w:r>
                          <w:rPr>
                            <w:sz w:val="16"/>
                          </w:rPr>
                          <w:tab/>
                        </w:r>
                        <w:r>
                          <w:rPr>
                            <w:spacing w:val="-2"/>
                            <w:sz w:val="16"/>
                          </w:rPr>
                          <w:t>1,435,000</w:t>
                        </w:r>
                      </w:p>
                    </w:txbxContent>
                  </v:textbox>
                  <w10:wrap type="none"/>
                </v:shape>
                <v:shape style="position:absolute;left:4057;top:203;width:100;height:178" type="#_x0000_t202" id="docshape471"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4626;top:203;width:581;height:178" type="#_x0000_t202" id="docshape472" filled="false" stroked="false">
                  <v:textbox inset="0,0,0,0">
                    <w:txbxContent>
                      <w:p>
                        <w:pPr>
                          <w:spacing w:line="177" w:lineRule="exact" w:before="0"/>
                          <w:ind w:left="0" w:right="0" w:firstLine="0"/>
                          <w:jc w:val="left"/>
                          <w:rPr>
                            <w:sz w:val="16"/>
                          </w:rPr>
                        </w:pPr>
                        <w:r>
                          <w:rPr>
                            <w:sz w:val="16"/>
                          </w:rPr>
                          <w:t>9,191</w:t>
                        </w:r>
                        <w:r>
                          <w:rPr>
                            <w:spacing w:val="80"/>
                            <w:sz w:val="16"/>
                          </w:rPr>
                          <w:t> </w:t>
                        </w:r>
                        <w:r>
                          <w:rPr>
                            <w:spacing w:val="-10"/>
                            <w:sz w:val="16"/>
                          </w:rPr>
                          <w:t>$</w:t>
                        </w:r>
                      </w:p>
                    </w:txbxContent>
                  </v:textbox>
                  <w10:wrap type="none"/>
                </v:shape>
                <v:shape style="position:absolute;left:5631;top:203;width:380;height:178" type="#_x0000_t202" id="docshape473" filled="false" stroked="false">
                  <v:textbox inset="0,0,0,0">
                    <w:txbxContent>
                      <w:p>
                        <w:pPr>
                          <w:spacing w:line="177" w:lineRule="exact" w:before="0"/>
                          <w:ind w:left="0" w:right="0" w:firstLine="0"/>
                          <w:jc w:val="left"/>
                          <w:rPr>
                            <w:sz w:val="16"/>
                          </w:rPr>
                        </w:pPr>
                        <w:r>
                          <w:rPr>
                            <w:spacing w:val="-2"/>
                            <w:sz w:val="16"/>
                          </w:rPr>
                          <w:t>9,706</w:t>
                        </w:r>
                      </w:p>
                    </w:txbxContent>
                  </v:textbox>
                  <w10:wrap type="none"/>
                </v:shape>
              </v:group>
            </w:pict>
          </mc:Fallback>
        </mc:AlternateContent>
      </w:r>
      <w:r>
        <w:rPr/>
      </w:r>
    </w:p>
    <w:p>
      <w:pPr>
        <w:spacing w:before="6"/>
        <w:ind w:left="110" w:right="0" w:firstLine="0"/>
        <w:jc w:val="left"/>
        <w:rPr>
          <w:sz w:val="16"/>
        </w:rPr>
      </w:pPr>
      <w:r>
        <w:rPr>
          <w:sz w:val="16"/>
          <w:vertAlign w:val="superscript"/>
        </w:rPr>
        <w:t>(1)</w:t>
      </w:r>
      <w:r>
        <w:rPr>
          <w:sz w:val="16"/>
          <w:vertAlign w:val="baseline"/>
        </w:rPr>
        <w:t> Represented</w:t>
      </w:r>
      <w:r>
        <w:rPr>
          <w:spacing w:val="2"/>
          <w:sz w:val="16"/>
          <w:vertAlign w:val="baseline"/>
        </w:rPr>
        <w:t> </w:t>
      </w:r>
      <w:r>
        <w:rPr>
          <w:sz w:val="16"/>
          <w:vertAlign w:val="baseline"/>
        </w:rPr>
        <w:t>by</w:t>
      </w:r>
      <w:r>
        <w:rPr>
          <w:spacing w:val="2"/>
          <w:sz w:val="16"/>
          <w:vertAlign w:val="baseline"/>
        </w:rPr>
        <w:t> </w:t>
      </w:r>
      <w:r>
        <w:rPr>
          <w:sz w:val="16"/>
          <w:vertAlign w:val="baseline"/>
        </w:rPr>
        <w:t>depositary</w:t>
      </w:r>
      <w:r>
        <w:rPr>
          <w:spacing w:val="2"/>
          <w:sz w:val="16"/>
          <w:vertAlign w:val="baseline"/>
        </w:rPr>
        <w:t> </w:t>
      </w:r>
      <w:r>
        <w:rPr>
          <w:spacing w:val="-2"/>
          <w:sz w:val="16"/>
          <w:vertAlign w:val="baseline"/>
        </w:rPr>
        <w:t>shares.</w:t>
      </w:r>
    </w:p>
    <w:p>
      <w:pPr>
        <w:spacing w:before="8"/>
        <w:ind w:left="110" w:right="0" w:firstLine="0"/>
        <w:jc w:val="left"/>
        <w:rPr>
          <w:sz w:val="16"/>
        </w:rPr>
      </w:pPr>
      <w:r>
        <w:rPr>
          <w:sz w:val="16"/>
          <w:vertAlign w:val="superscript"/>
        </w:rPr>
        <w:t>(2)</w:t>
      </w:r>
      <w:r>
        <w:rPr>
          <w:spacing w:val="-2"/>
          <w:sz w:val="16"/>
          <w:vertAlign w:val="baseline"/>
        </w:rPr>
        <w:t> </w:t>
      </w:r>
      <w:r>
        <w:rPr>
          <w:sz w:val="16"/>
          <w:vertAlign w:val="baseline"/>
        </w:rPr>
        <w:t>The dividend rate for Series</w:t>
      </w:r>
      <w:r>
        <w:rPr>
          <w:spacing w:val="-1"/>
          <w:sz w:val="16"/>
          <w:vertAlign w:val="baseline"/>
        </w:rPr>
        <w:t> </w:t>
      </w:r>
      <w:r>
        <w:rPr>
          <w:sz w:val="16"/>
          <w:vertAlign w:val="baseline"/>
        </w:rPr>
        <w:t>G, Series</w:t>
      </w:r>
      <w:r>
        <w:rPr>
          <w:spacing w:val="-1"/>
          <w:sz w:val="16"/>
          <w:vertAlign w:val="baseline"/>
        </w:rPr>
        <w:t> </w:t>
      </w:r>
      <w:r>
        <w:rPr>
          <w:sz w:val="16"/>
          <w:vertAlign w:val="baseline"/>
        </w:rPr>
        <w:t>I, and Series</w:t>
      </w:r>
      <w:r>
        <w:rPr>
          <w:spacing w:val="-1"/>
          <w:sz w:val="16"/>
          <w:vertAlign w:val="baseline"/>
        </w:rPr>
        <w:t> </w:t>
      </w:r>
      <w:r>
        <w:rPr>
          <w:sz w:val="16"/>
          <w:vertAlign w:val="baseline"/>
        </w:rPr>
        <w:t>K</w:t>
      </w:r>
      <w:r>
        <w:rPr>
          <w:spacing w:val="-1"/>
          <w:sz w:val="16"/>
          <w:vertAlign w:val="baseline"/>
        </w:rPr>
        <w:t> </w:t>
      </w:r>
      <w:r>
        <w:rPr>
          <w:sz w:val="16"/>
          <w:vertAlign w:val="baseline"/>
        </w:rPr>
        <w:t>resets</w:t>
      </w:r>
      <w:r>
        <w:rPr>
          <w:spacing w:val="-1"/>
          <w:sz w:val="16"/>
          <w:vertAlign w:val="baseline"/>
        </w:rPr>
        <w:t> </w:t>
      </w:r>
      <w:r>
        <w:rPr>
          <w:sz w:val="16"/>
          <w:vertAlign w:val="baseline"/>
        </w:rPr>
        <w:t>on each</w:t>
      </w:r>
      <w:r>
        <w:rPr>
          <w:spacing w:val="-3"/>
          <w:sz w:val="16"/>
          <w:vertAlign w:val="baseline"/>
        </w:rPr>
        <w:t> </w:t>
      </w:r>
      <w:r>
        <w:rPr>
          <w:sz w:val="16"/>
          <w:vertAlign w:val="baseline"/>
        </w:rPr>
        <w:t>five-year</w:t>
      </w:r>
      <w:r>
        <w:rPr>
          <w:spacing w:val="-1"/>
          <w:sz w:val="16"/>
          <w:vertAlign w:val="baseline"/>
        </w:rPr>
        <w:t> </w:t>
      </w:r>
      <w:r>
        <w:rPr>
          <w:sz w:val="16"/>
          <w:vertAlign w:val="baseline"/>
        </w:rPr>
        <w:t>anniversary from the first reset </w:t>
      </w:r>
      <w:r>
        <w:rPr>
          <w:spacing w:val="-2"/>
          <w:sz w:val="16"/>
          <w:vertAlign w:val="baseline"/>
        </w:rPr>
        <w:t>date.</w:t>
      </w:r>
    </w:p>
    <w:p>
      <w:pPr>
        <w:spacing w:before="8"/>
        <w:ind w:left="110" w:right="0" w:firstLine="0"/>
        <w:jc w:val="left"/>
        <w:rPr>
          <w:sz w:val="16"/>
        </w:rPr>
      </w:pPr>
      <w:r>
        <w:rPr>
          <w:sz w:val="16"/>
          <w:vertAlign w:val="superscript"/>
        </w:rPr>
        <w:t>(3)</w:t>
      </w:r>
      <w:r>
        <w:rPr>
          <w:spacing w:val="-15"/>
          <w:sz w:val="16"/>
          <w:vertAlign w:val="baseline"/>
        </w:rPr>
        <w:t> </w:t>
      </w:r>
      <w:r>
        <w:rPr>
          <w:sz w:val="16"/>
          <w:vertAlign w:val="baseline"/>
        </w:rPr>
        <w:t>The dividend rate for Series</w:t>
      </w:r>
      <w:r>
        <w:rPr>
          <w:spacing w:val="-1"/>
          <w:sz w:val="16"/>
          <w:vertAlign w:val="baseline"/>
        </w:rPr>
        <w:t> </w:t>
      </w:r>
      <w:r>
        <w:rPr>
          <w:sz w:val="16"/>
          <w:vertAlign w:val="baseline"/>
        </w:rPr>
        <w:t>H</w:t>
      </w:r>
      <w:r>
        <w:rPr>
          <w:spacing w:val="-1"/>
          <w:sz w:val="16"/>
          <w:vertAlign w:val="baseline"/>
        </w:rPr>
        <w:t> </w:t>
      </w:r>
      <w:r>
        <w:rPr>
          <w:sz w:val="16"/>
          <w:vertAlign w:val="baseline"/>
        </w:rPr>
        <w:t>resets on each</w:t>
      </w:r>
      <w:r>
        <w:rPr>
          <w:spacing w:val="-2"/>
          <w:sz w:val="16"/>
          <w:vertAlign w:val="baseline"/>
        </w:rPr>
        <w:t> </w:t>
      </w:r>
      <w:r>
        <w:rPr>
          <w:sz w:val="16"/>
          <w:vertAlign w:val="baseline"/>
        </w:rPr>
        <w:t>ten-year</w:t>
      </w:r>
      <w:r>
        <w:rPr>
          <w:spacing w:val="-1"/>
          <w:sz w:val="16"/>
          <w:vertAlign w:val="baseline"/>
        </w:rPr>
        <w:t> </w:t>
      </w:r>
      <w:r>
        <w:rPr>
          <w:sz w:val="16"/>
          <w:vertAlign w:val="baseline"/>
        </w:rPr>
        <w:t>anniversary from the</w:t>
      </w:r>
      <w:r>
        <w:rPr>
          <w:spacing w:val="1"/>
          <w:sz w:val="16"/>
          <w:vertAlign w:val="baseline"/>
        </w:rPr>
        <w:t> </w:t>
      </w:r>
      <w:r>
        <w:rPr>
          <w:sz w:val="16"/>
          <w:vertAlign w:val="baseline"/>
        </w:rPr>
        <w:t>first reset </w:t>
      </w:r>
      <w:r>
        <w:rPr>
          <w:spacing w:val="-2"/>
          <w:sz w:val="16"/>
          <w:vertAlign w:val="baseline"/>
        </w:rPr>
        <w:t>date.</w:t>
      </w:r>
    </w:p>
    <w:p>
      <w:pPr>
        <w:spacing w:line="249" w:lineRule="auto" w:before="8"/>
        <w:ind w:left="290" w:right="0" w:hanging="180"/>
        <w:jc w:val="left"/>
        <w:rPr>
          <w:sz w:val="16"/>
        </w:rPr>
      </w:pPr>
      <w:r>
        <w:rPr>
          <w:sz w:val="16"/>
          <w:vertAlign w:val="superscript"/>
        </w:rPr>
        <w:t>(4)</w:t>
      </w:r>
      <w:r>
        <w:rPr>
          <w:spacing w:val="-15"/>
          <w:sz w:val="16"/>
          <w:vertAlign w:val="baseline"/>
        </w:rPr>
        <w:t> </w:t>
      </w:r>
      <w:r>
        <w:rPr>
          <w:sz w:val="16"/>
          <w:vertAlign w:val="baseline"/>
        </w:rPr>
        <w:t>The</w:t>
      </w:r>
      <w:r>
        <w:rPr>
          <w:spacing w:val="-2"/>
          <w:sz w:val="16"/>
          <w:vertAlign w:val="baseline"/>
        </w:rPr>
        <w:t> </w:t>
      </w:r>
      <w:r>
        <w:rPr>
          <w:sz w:val="16"/>
          <w:vertAlign w:val="baseline"/>
        </w:rPr>
        <w:t>reset/floating</w:t>
      </w:r>
      <w:r>
        <w:rPr>
          <w:spacing w:val="-2"/>
          <w:sz w:val="16"/>
          <w:vertAlign w:val="baseline"/>
        </w:rPr>
        <w:t> </w:t>
      </w:r>
      <w:r>
        <w:rPr>
          <w:sz w:val="16"/>
          <w:vertAlign w:val="baseline"/>
        </w:rPr>
        <w:t>rate</w:t>
      </w:r>
      <w:r>
        <w:rPr>
          <w:spacing w:val="-2"/>
          <w:sz w:val="16"/>
          <w:vertAlign w:val="baseline"/>
        </w:rPr>
        <w:t> </w:t>
      </w:r>
      <w:r>
        <w:rPr>
          <w:sz w:val="16"/>
          <w:vertAlign w:val="baseline"/>
        </w:rPr>
        <w:t>for</w:t>
      </w:r>
      <w:r>
        <w:rPr>
          <w:spacing w:val="-2"/>
          <w:sz w:val="16"/>
          <w:vertAlign w:val="baseline"/>
        </w:rPr>
        <w:t> </w:t>
      </w:r>
      <w:r>
        <w:rPr>
          <w:sz w:val="16"/>
          <w:vertAlign w:val="baseline"/>
        </w:rPr>
        <w:t>Series</w:t>
      </w:r>
      <w:r>
        <w:rPr>
          <w:spacing w:val="-3"/>
          <w:sz w:val="16"/>
          <w:vertAlign w:val="baseline"/>
        </w:rPr>
        <w:t> </w:t>
      </w:r>
      <w:r>
        <w:rPr>
          <w:sz w:val="16"/>
          <w:vertAlign w:val="baseline"/>
        </w:rPr>
        <w:t>F</w:t>
      </w:r>
      <w:r>
        <w:rPr>
          <w:spacing w:val="-3"/>
          <w:sz w:val="16"/>
          <w:vertAlign w:val="baseline"/>
        </w:rPr>
        <w:t> </w:t>
      </w:r>
      <w:r>
        <w:rPr>
          <w:sz w:val="16"/>
          <w:vertAlign w:val="baseline"/>
        </w:rPr>
        <w:t>will</w:t>
      </w:r>
      <w:r>
        <w:rPr>
          <w:spacing w:val="-2"/>
          <w:sz w:val="16"/>
          <w:vertAlign w:val="baseline"/>
        </w:rPr>
        <w:t> </w:t>
      </w:r>
      <w:r>
        <w:rPr>
          <w:sz w:val="16"/>
          <w:vertAlign w:val="baseline"/>
        </w:rPr>
        <w:t>be</w:t>
      </w:r>
      <w:r>
        <w:rPr>
          <w:spacing w:val="-2"/>
          <w:sz w:val="16"/>
          <w:vertAlign w:val="baseline"/>
        </w:rPr>
        <w:t> </w:t>
      </w:r>
      <w:r>
        <w:rPr>
          <w:sz w:val="16"/>
          <w:vertAlign w:val="baseline"/>
        </w:rPr>
        <w:t>determined</w:t>
      </w:r>
      <w:r>
        <w:rPr>
          <w:spacing w:val="-2"/>
          <w:sz w:val="16"/>
          <w:vertAlign w:val="baseline"/>
        </w:rPr>
        <w:t> </w:t>
      </w:r>
      <w:r>
        <w:rPr>
          <w:sz w:val="16"/>
          <w:vertAlign w:val="baseline"/>
        </w:rPr>
        <w:t>by</w:t>
      </w:r>
      <w:r>
        <w:rPr>
          <w:spacing w:val="-2"/>
          <w:sz w:val="16"/>
          <w:vertAlign w:val="baseline"/>
        </w:rPr>
        <w:t> </w:t>
      </w:r>
      <w:r>
        <w:rPr>
          <w:sz w:val="16"/>
          <w:vertAlign w:val="baseline"/>
        </w:rPr>
        <w:t>the</w:t>
      </w:r>
      <w:r>
        <w:rPr>
          <w:spacing w:val="-2"/>
          <w:sz w:val="16"/>
          <w:vertAlign w:val="baseline"/>
        </w:rPr>
        <w:t> </w:t>
      </w:r>
      <w:r>
        <w:rPr>
          <w:sz w:val="16"/>
          <w:vertAlign w:val="baseline"/>
        </w:rPr>
        <w:t>calculation</w:t>
      </w:r>
      <w:r>
        <w:rPr>
          <w:spacing w:val="-2"/>
          <w:sz w:val="16"/>
          <w:vertAlign w:val="baseline"/>
        </w:rPr>
        <w:t> </w:t>
      </w:r>
      <w:r>
        <w:rPr>
          <w:sz w:val="16"/>
          <w:vertAlign w:val="baseline"/>
        </w:rPr>
        <w:t>agent</w:t>
      </w:r>
      <w:r>
        <w:rPr>
          <w:spacing w:val="-2"/>
          <w:sz w:val="16"/>
          <w:vertAlign w:val="baseline"/>
        </w:rPr>
        <w:t> </w:t>
      </w:r>
      <w:r>
        <w:rPr>
          <w:sz w:val="16"/>
          <w:vertAlign w:val="baseline"/>
        </w:rPr>
        <w:t>prior</w:t>
      </w:r>
      <w:r>
        <w:rPr>
          <w:spacing w:val="-2"/>
          <w:sz w:val="16"/>
          <w:vertAlign w:val="baseline"/>
        </w:rPr>
        <w:t> </w:t>
      </w:r>
      <w:r>
        <w:rPr>
          <w:sz w:val="16"/>
          <w:vertAlign w:val="baseline"/>
        </w:rPr>
        <w:t>to</w:t>
      </w:r>
      <w:r>
        <w:rPr>
          <w:spacing w:val="-2"/>
          <w:sz w:val="16"/>
          <w:vertAlign w:val="baseline"/>
        </w:rPr>
        <w:t> </w:t>
      </w:r>
      <w:r>
        <w:rPr>
          <w:sz w:val="16"/>
          <w:vertAlign w:val="baseline"/>
        </w:rPr>
        <w:t>the</w:t>
      </w:r>
      <w:r>
        <w:rPr>
          <w:spacing w:val="-2"/>
          <w:sz w:val="16"/>
          <w:vertAlign w:val="baseline"/>
        </w:rPr>
        <w:t> </w:t>
      </w:r>
      <w:r>
        <w:rPr>
          <w:sz w:val="16"/>
          <w:vertAlign w:val="baseline"/>
        </w:rPr>
        <w:t>commencement</w:t>
      </w:r>
      <w:r>
        <w:rPr>
          <w:spacing w:val="-2"/>
          <w:sz w:val="16"/>
          <w:vertAlign w:val="baseline"/>
        </w:rPr>
        <w:t> </w:t>
      </w:r>
      <w:r>
        <w:rPr>
          <w:sz w:val="16"/>
          <w:vertAlign w:val="baseline"/>
        </w:rPr>
        <w:t>of</w:t>
      </w:r>
      <w:r>
        <w:rPr>
          <w:spacing w:val="-2"/>
          <w:sz w:val="16"/>
          <w:vertAlign w:val="baseline"/>
        </w:rPr>
        <w:t> </w:t>
      </w:r>
      <w:r>
        <w:rPr>
          <w:sz w:val="16"/>
          <w:vertAlign w:val="baseline"/>
        </w:rPr>
        <w:t>the</w:t>
      </w:r>
      <w:r>
        <w:rPr>
          <w:spacing w:val="-2"/>
          <w:sz w:val="16"/>
          <w:vertAlign w:val="baseline"/>
        </w:rPr>
        <w:t> </w:t>
      </w:r>
      <w:r>
        <w:rPr>
          <w:sz w:val="16"/>
          <w:vertAlign w:val="baseline"/>
        </w:rPr>
        <w:t>floating</w:t>
      </w:r>
      <w:r>
        <w:rPr>
          <w:spacing w:val="-2"/>
          <w:sz w:val="16"/>
          <w:vertAlign w:val="baseline"/>
        </w:rPr>
        <w:t> </w:t>
      </w:r>
      <w:r>
        <w:rPr>
          <w:sz w:val="16"/>
          <w:vertAlign w:val="baseline"/>
        </w:rPr>
        <w:t>rate</w:t>
      </w:r>
      <w:r>
        <w:rPr>
          <w:spacing w:val="-2"/>
          <w:sz w:val="16"/>
          <w:vertAlign w:val="baseline"/>
        </w:rPr>
        <w:t> </w:t>
      </w:r>
      <w:r>
        <w:rPr>
          <w:sz w:val="16"/>
          <w:vertAlign w:val="baseline"/>
        </w:rPr>
        <w:t>period</w:t>
      </w:r>
      <w:r>
        <w:rPr>
          <w:spacing w:val="-2"/>
          <w:sz w:val="16"/>
          <w:vertAlign w:val="baseline"/>
        </w:rPr>
        <w:t> </w:t>
      </w:r>
      <w:r>
        <w:rPr>
          <w:sz w:val="16"/>
          <w:vertAlign w:val="baseline"/>
        </w:rPr>
        <w:t>using</w:t>
      </w:r>
      <w:r>
        <w:rPr>
          <w:spacing w:val="-2"/>
          <w:sz w:val="16"/>
          <w:vertAlign w:val="baseline"/>
        </w:rPr>
        <w:t> </w:t>
      </w:r>
      <w:r>
        <w:rPr>
          <w:sz w:val="16"/>
          <w:vertAlign w:val="baseline"/>
        </w:rPr>
        <w:t>what</w:t>
      </w:r>
      <w:r>
        <w:rPr>
          <w:spacing w:val="-2"/>
          <w:sz w:val="16"/>
          <w:vertAlign w:val="baseline"/>
        </w:rPr>
        <w:t> </w:t>
      </w:r>
      <w:r>
        <w:rPr>
          <w:sz w:val="16"/>
          <w:vertAlign w:val="baseline"/>
        </w:rPr>
        <w:t>the</w:t>
      </w:r>
      <w:r>
        <w:rPr>
          <w:spacing w:val="-2"/>
          <w:sz w:val="16"/>
          <w:vertAlign w:val="baseline"/>
        </w:rPr>
        <w:t> </w:t>
      </w:r>
      <w:r>
        <w:rPr>
          <w:sz w:val="16"/>
          <w:vertAlign w:val="baseline"/>
        </w:rPr>
        <w:t>calculation</w:t>
      </w:r>
      <w:r>
        <w:rPr>
          <w:spacing w:val="-2"/>
          <w:sz w:val="16"/>
          <w:vertAlign w:val="baseline"/>
        </w:rPr>
        <w:t> </w:t>
      </w:r>
      <w:r>
        <w:rPr>
          <w:sz w:val="16"/>
          <w:vertAlign w:val="baseline"/>
        </w:rPr>
        <w:t>agent</w:t>
      </w:r>
      <w:r>
        <w:rPr>
          <w:spacing w:val="40"/>
          <w:sz w:val="16"/>
          <w:vertAlign w:val="baseline"/>
        </w:rPr>
        <w:t> </w:t>
      </w:r>
      <w:r>
        <w:rPr>
          <w:sz w:val="16"/>
          <w:vertAlign w:val="baseline"/>
        </w:rPr>
        <w:t>determines to be the industry-accepted substitute or successor base rate to LIBOR.</w:t>
      </w:r>
    </w:p>
    <w:p>
      <w:pPr>
        <w:spacing w:before="2"/>
        <w:ind w:left="110" w:right="0" w:firstLine="0"/>
        <w:jc w:val="left"/>
        <w:rPr>
          <w:sz w:val="16"/>
        </w:rPr>
      </w:pPr>
      <w:r>
        <w:rPr>
          <w:sz w:val="16"/>
        </w:rPr>
        <w:t>N/A</w:t>
      </w:r>
      <w:r>
        <w:rPr>
          <w:spacing w:val="-2"/>
          <w:sz w:val="16"/>
        </w:rPr>
        <w:t> </w:t>
      </w:r>
      <w:r>
        <w:rPr>
          <w:sz w:val="16"/>
        </w:rPr>
        <w:t>Not</w:t>
      </w:r>
      <w:r>
        <w:rPr>
          <w:spacing w:val="-1"/>
          <w:sz w:val="16"/>
        </w:rPr>
        <w:t> </w:t>
      </w:r>
      <w:r>
        <w:rPr>
          <w:spacing w:val="-2"/>
          <w:sz w:val="16"/>
        </w:rPr>
        <w:t>applicable.</w:t>
      </w:r>
    </w:p>
    <w:p>
      <w:pPr>
        <w:spacing w:after="0"/>
        <w:jc w:val="left"/>
        <w:rPr>
          <w:sz w:val="16"/>
        </w:rPr>
        <w:sectPr>
          <w:type w:val="continuous"/>
          <w:pgSz w:w="12240" w:h="15840"/>
          <w:pgMar w:header="227" w:footer="201" w:top="320" w:bottom="280" w:left="520" w:right="520"/>
        </w:sectPr>
      </w:pPr>
    </w:p>
    <w:p>
      <w:pPr>
        <w:pStyle w:val="BodyText"/>
        <w:spacing w:before="214"/>
        <w:ind w:left="110"/>
      </w:pPr>
      <w:r>
        <w:rPr/>
        <w:t>Dividends</w:t>
      </w:r>
      <w:r>
        <w:rPr>
          <w:spacing w:val="-6"/>
        </w:rPr>
        <w:t> </w:t>
      </w:r>
      <w:r>
        <w:rPr/>
        <w:t>declared</w:t>
      </w:r>
      <w:r>
        <w:rPr>
          <w:spacing w:val="-2"/>
        </w:rPr>
        <w:t> </w:t>
      </w:r>
      <w:r>
        <w:rPr/>
        <w:t>on</w:t>
      </w:r>
      <w:r>
        <w:rPr>
          <w:spacing w:val="-3"/>
        </w:rPr>
        <w:t> </w:t>
      </w:r>
      <w:r>
        <w:rPr/>
        <w:t>the</w:t>
      </w:r>
      <w:r>
        <w:rPr>
          <w:spacing w:val="-3"/>
        </w:rPr>
        <w:t> </w:t>
      </w:r>
      <w:r>
        <w:rPr/>
        <w:t>Company’s</w:t>
      </w:r>
      <w:r>
        <w:rPr>
          <w:spacing w:val="-3"/>
        </w:rPr>
        <w:t> </w:t>
      </w:r>
      <w:r>
        <w:rPr/>
        <w:t>preferred</w:t>
      </w:r>
      <w:r>
        <w:rPr>
          <w:spacing w:val="-3"/>
        </w:rPr>
        <w:t> </w:t>
      </w:r>
      <w:r>
        <w:rPr/>
        <w:t>stock</w:t>
      </w:r>
      <w:r>
        <w:rPr>
          <w:spacing w:val="-2"/>
        </w:rPr>
        <w:t> </w:t>
      </w:r>
      <w:r>
        <w:rPr/>
        <w:t>are</w:t>
      </w:r>
      <w:r>
        <w:rPr>
          <w:spacing w:val="-3"/>
        </w:rPr>
        <w:t> </w:t>
      </w:r>
      <w:r>
        <w:rPr/>
        <w:t>as</w:t>
      </w:r>
      <w:r>
        <w:rPr>
          <w:spacing w:val="-3"/>
        </w:rPr>
        <w:t> </w:t>
      </w:r>
      <w:r>
        <w:rPr>
          <w:spacing w:val="-2"/>
        </w:rPr>
        <w:t>follows:</w:t>
      </w:r>
    </w:p>
    <w:p>
      <w:pPr>
        <w:pStyle w:val="BodyText"/>
        <w:spacing w:before="3"/>
        <w:rPr>
          <w:sz w:val="11"/>
        </w:rPr>
      </w:pPr>
      <w:r>
        <w:rPr/>
        <mc:AlternateContent>
          <mc:Choice Requires="wps">
            <w:drawing>
              <wp:anchor distT="0" distB="0" distL="0" distR="0" allowOverlap="1" layoutInCell="1" locked="0" behindDoc="1" simplePos="0" relativeHeight="487632384">
                <wp:simplePos x="0" y="0"/>
                <wp:positionH relativeFrom="page">
                  <wp:posOffset>400050</wp:posOffset>
                </wp:positionH>
                <wp:positionV relativeFrom="paragraph">
                  <wp:posOffset>97542</wp:posOffset>
                </wp:positionV>
                <wp:extent cx="6972300" cy="6350"/>
                <wp:effectExtent l="0" t="0" r="0" b="0"/>
                <wp:wrapTopAndBottom/>
                <wp:docPr id="652" name="Group 652"/>
                <wp:cNvGraphicFramePr>
                  <a:graphicFrameLocks/>
                </wp:cNvGraphicFramePr>
                <a:graphic>
                  <a:graphicData uri="http://schemas.microsoft.com/office/word/2010/wordprocessingGroup">
                    <wpg:wgp>
                      <wpg:cNvPr id="652" name="Group 652"/>
                      <wpg:cNvGrpSpPr/>
                      <wpg:grpSpPr>
                        <a:xfrm>
                          <a:off x="0" y="0"/>
                          <a:ext cx="6972300" cy="6350"/>
                          <a:chExt cx="6972300" cy="6350"/>
                        </a:xfrm>
                      </wpg:grpSpPr>
                      <wps:wsp>
                        <wps:cNvPr id="653" name="Graphic 653"/>
                        <wps:cNvSpPr/>
                        <wps:spPr>
                          <a:xfrm>
                            <a:off x="0" y="3175"/>
                            <a:ext cx="6972300" cy="1270"/>
                          </a:xfrm>
                          <a:custGeom>
                            <a:avLst/>
                            <a:gdLst/>
                            <a:ahLst/>
                            <a:cxnLst/>
                            <a:rect l="l" t="t" r="r" b="b"/>
                            <a:pathLst>
                              <a:path w="6972300" h="0">
                                <a:moveTo>
                                  <a:pt x="6972300" y="0"/>
                                </a:moveTo>
                                <a:lnTo>
                                  <a:pt x="0" y="0"/>
                                </a:lnTo>
                              </a:path>
                            </a:pathLst>
                          </a:custGeom>
                          <a:solidFill>
                            <a:srgbClr val="000000"/>
                          </a:solidFill>
                        </wps:spPr>
                        <wps:bodyPr wrap="square" lIns="0" tIns="0" rIns="0" bIns="0" rtlCol="0">
                          <a:prstTxWarp prst="textNoShape">
                            <a:avLst/>
                          </a:prstTxWarp>
                          <a:noAutofit/>
                        </wps:bodyPr>
                      </wps:wsp>
                      <wps:wsp>
                        <wps:cNvPr id="654" name="Graphic 654"/>
                        <wps:cNvSpPr/>
                        <wps:spPr>
                          <a:xfrm>
                            <a:off x="0" y="3175"/>
                            <a:ext cx="6972300" cy="1270"/>
                          </a:xfrm>
                          <a:custGeom>
                            <a:avLst/>
                            <a:gdLst/>
                            <a:ahLst/>
                            <a:cxnLst/>
                            <a:rect l="l" t="t" r="r" b="b"/>
                            <a:pathLst>
                              <a:path w="6972300" h="0">
                                <a:moveTo>
                                  <a:pt x="0" y="0"/>
                                </a:moveTo>
                                <a:lnTo>
                                  <a:pt x="69723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5pt;margin-top:7.680508pt;width:549pt;height:.5pt;mso-position-horizontal-relative:page;mso-position-vertical-relative:paragraph;z-index:-15684096;mso-wrap-distance-left:0;mso-wrap-distance-right:0" id="docshapegroup474" coordorigin="630,154" coordsize="10980,10">
                <v:shape style="position:absolute;left:630;top:158;width:10980;height:2" id="docshape475" coordorigin="630,159" coordsize="10980,0" path="m11610,159l630,159e" filled="true" fillcolor="#000000" stroked="false">
                  <v:path arrowok="t"/>
                  <v:fill opacity="0f" type="solid"/>
                </v:shape>
                <v:line style="position:absolute" from="630,159" to="11610,159" stroked="true" strokeweight=".5pt" strokecolor="#000000">
                  <v:stroke dashstyle="solid"/>
                </v:line>
                <w10:wrap type="topAndBottom"/>
              </v:group>
            </w:pict>
          </mc:Fallback>
        </mc:AlternateContent>
      </w:r>
    </w:p>
    <w:p>
      <w:pPr>
        <w:tabs>
          <w:tab w:pos="7603" w:val="left" w:leader="none"/>
        </w:tabs>
        <w:spacing w:before="13" w:after="24"/>
        <w:ind w:left="3046" w:right="0" w:firstLine="0"/>
        <w:jc w:val="left"/>
        <w:rPr>
          <w:sz w:val="18"/>
        </w:rPr>
      </w:pPr>
      <w:r>
        <w:rPr>
          <w:sz w:val="18"/>
        </w:rPr>
        <w:t>Three</w:t>
      </w:r>
      <w:r>
        <w:rPr>
          <w:spacing w:val="-1"/>
          <w:sz w:val="18"/>
        </w:rPr>
        <w:t> </w:t>
      </w:r>
      <w:r>
        <w:rPr>
          <w:sz w:val="18"/>
        </w:rPr>
        <w:t>Months</w:t>
      </w:r>
      <w:r>
        <w:rPr>
          <w:spacing w:val="-1"/>
          <w:sz w:val="18"/>
        </w:rPr>
        <w:t> </w:t>
      </w:r>
      <w:r>
        <w:rPr>
          <w:sz w:val="18"/>
        </w:rPr>
        <w:t>Ended</w:t>
      </w:r>
      <w:r>
        <w:rPr>
          <w:spacing w:val="-1"/>
          <w:sz w:val="18"/>
        </w:rPr>
        <w:t> </w:t>
      </w:r>
      <w:r>
        <w:rPr>
          <w:sz w:val="18"/>
        </w:rPr>
        <w:t>September </w:t>
      </w:r>
      <w:r>
        <w:rPr>
          <w:spacing w:val="-5"/>
          <w:sz w:val="18"/>
        </w:rPr>
        <w:t>30,</w:t>
      </w:r>
      <w:r>
        <w:rPr>
          <w:sz w:val="18"/>
        </w:rPr>
        <w:tab/>
        <w:t>Nine</w:t>
      </w:r>
      <w:r>
        <w:rPr>
          <w:spacing w:val="-3"/>
          <w:sz w:val="18"/>
        </w:rPr>
        <w:t> </w:t>
      </w:r>
      <w:r>
        <w:rPr>
          <w:sz w:val="18"/>
        </w:rPr>
        <w:t>Months</w:t>
      </w:r>
      <w:r>
        <w:rPr>
          <w:spacing w:val="-2"/>
          <w:sz w:val="18"/>
        </w:rPr>
        <w:t> </w:t>
      </w:r>
      <w:r>
        <w:rPr>
          <w:sz w:val="18"/>
        </w:rPr>
        <w:t>Ended</w:t>
      </w:r>
      <w:r>
        <w:rPr>
          <w:spacing w:val="-1"/>
          <w:sz w:val="18"/>
        </w:rPr>
        <w:t> </w:t>
      </w:r>
      <w:r>
        <w:rPr>
          <w:sz w:val="18"/>
        </w:rPr>
        <w:t>September </w:t>
      </w:r>
      <w:r>
        <w:rPr>
          <w:spacing w:val="-5"/>
          <w:sz w:val="18"/>
        </w:rPr>
        <w:t>30,</w:t>
      </w:r>
    </w:p>
    <w:p>
      <w:pPr>
        <w:pStyle w:val="BodyText"/>
        <w:spacing w:line="20" w:lineRule="exact"/>
        <w:ind w:left="2100"/>
        <w:rPr>
          <w:sz w:val="2"/>
        </w:rPr>
      </w:pPr>
      <w:r>
        <w:rPr>
          <w:sz w:val="2"/>
        </w:rPr>
        <mc:AlternateContent>
          <mc:Choice Requires="wps">
            <w:drawing>
              <wp:inline distT="0" distB="0" distL="0" distR="0">
                <wp:extent cx="5705475" cy="6350"/>
                <wp:effectExtent l="9525" t="0" r="0" b="3175"/>
                <wp:docPr id="655" name="Group 655"/>
                <wp:cNvGraphicFramePr>
                  <a:graphicFrameLocks/>
                </wp:cNvGraphicFramePr>
                <a:graphic>
                  <a:graphicData uri="http://schemas.microsoft.com/office/word/2010/wordprocessingGroup">
                    <wpg:wgp>
                      <wpg:cNvPr id="655" name="Group 655"/>
                      <wpg:cNvGrpSpPr/>
                      <wpg:grpSpPr>
                        <a:xfrm>
                          <a:off x="0" y="0"/>
                          <a:ext cx="5705475" cy="6350"/>
                          <a:chExt cx="5705475" cy="6350"/>
                        </a:xfrm>
                      </wpg:grpSpPr>
                      <wps:wsp>
                        <wps:cNvPr id="656" name="Graphic 656"/>
                        <wps:cNvSpPr/>
                        <wps:spPr>
                          <a:xfrm>
                            <a:off x="0" y="3175"/>
                            <a:ext cx="2847975" cy="1270"/>
                          </a:xfrm>
                          <a:custGeom>
                            <a:avLst/>
                            <a:gdLst/>
                            <a:ahLst/>
                            <a:cxnLst/>
                            <a:rect l="l" t="t" r="r" b="b"/>
                            <a:pathLst>
                              <a:path w="2847975" h="0">
                                <a:moveTo>
                                  <a:pt x="2847975" y="0"/>
                                </a:moveTo>
                                <a:lnTo>
                                  <a:pt x="0" y="0"/>
                                </a:lnTo>
                              </a:path>
                            </a:pathLst>
                          </a:custGeom>
                          <a:solidFill>
                            <a:srgbClr val="000000"/>
                          </a:solidFill>
                        </wps:spPr>
                        <wps:bodyPr wrap="square" lIns="0" tIns="0" rIns="0" bIns="0" rtlCol="0">
                          <a:prstTxWarp prst="textNoShape">
                            <a:avLst/>
                          </a:prstTxWarp>
                          <a:noAutofit/>
                        </wps:bodyPr>
                      </wps:wsp>
                      <wps:wsp>
                        <wps:cNvPr id="657" name="Graphic 657"/>
                        <wps:cNvSpPr/>
                        <wps:spPr>
                          <a:xfrm>
                            <a:off x="0" y="3175"/>
                            <a:ext cx="2847975" cy="1270"/>
                          </a:xfrm>
                          <a:custGeom>
                            <a:avLst/>
                            <a:gdLst/>
                            <a:ahLst/>
                            <a:cxnLst/>
                            <a:rect l="l" t="t" r="r" b="b"/>
                            <a:pathLst>
                              <a:path w="2847975" h="0">
                                <a:moveTo>
                                  <a:pt x="0" y="0"/>
                                </a:moveTo>
                                <a:lnTo>
                                  <a:pt x="2847975" y="0"/>
                                </a:lnTo>
                              </a:path>
                            </a:pathLst>
                          </a:custGeom>
                          <a:ln w="6350">
                            <a:solidFill>
                              <a:srgbClr val="000000"/>
                            </a:solidFill>
                            <a:prstDash val="solid"/>
                          </a:ln>
                        </wps:spPr>
                        <wps:bodyPr wrap="square" lIns="0" tIns="0" rIns="0" bIns="0" rtlCol="0">
                          <a:prstTxWarp prst="textNoShape">
                            <a:avLst/>
                          </a:prstTxWarp>
                          <a:noAutofit/>
                        </wps:bodyPr>
                      </wps:wsp>
                      <wps:wsp>
                        <wps:cNvPr id="658" name="Graphic 658"/>
                        <wps:cNvSpPr/>
                        <wps:spPr>
                          <a:xfrm>
                            <a:off x="2886075" y="3175"/>
                            <a:ext cx="2819400" cy="1270"/>
                          </a:xfrm>
                          <a:custGeom>
                            <a:avLst/>
                            <a:gdLst/>
                            <a:ahLst/>
                            <a:cxnLst/>
                            <a:rect l="l" t="t" r="r" b="b"/>
                            <a:pathLst>
                              <a:path w="2819400" h="0">
                                <a:moveTo>
                                  <a:pt x="2819400" y="0"/>
                                </a:moveTo>
                                <a:lnTo>
                                  <a:pt x="0" y="0"/>
                                </a:lnTo>
                              </a:path>
                            </a:pathLst>
                          </a:custGeom>
                          <a:solidFill>
                            <a:srgbClr val="000000"/>
                          </a:solidFill>
                        </wps:spPr>
                        <wps:bodyPr wrap="square" lIns="0" tIns="0" rIns="0" bIns="0" rtlCol="0">
                          <a:prstTxWarp prst="textNoShape">
                            <a:avLst/>
                          </a:prstTxWarp>
                          <a:noAutofit/>
                        </wps:bodyPr>
                      </wps:wsp>
                      <wps:wsp>
                        <wps:cNvPr id="659" name="Graphic 659"/>
                        <wps:cNvSpPr/>
                        <wps:spPr>
                          <a:xfrm>
                            <a:off x="2886075" y="3175"/>
                            <a:ext cx="2819400" cy="1270"/>
                          </a:xfrm>
                          <a:custGeom>
                            <a:avLst/>
                            <a:gdLst/>
                            <a:ahLst/>
                            <a:cxnLst/>
                            <a:rect l="l" t="t" r="r" b="b"/>
                            <a:pathLst>
                              <a:path w="2819400" h="0">
                                <a:moveTo>
                                  <a:pt x="0" y="0"/>
                                </a:moveTo>
                                <a:lnTo>
                                  <a:pt x="281940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9.25pt;height:.5pt;mso-position-horizontal-relative:char;mso-position-vertical-relative:line" id="docshapegroup476" coordorigin="0,0" coordsize="8985,10">
                <v:shape style="position:absolute;left:0;top:5;width:4485;height:2" id="docshape477" coordorigin="0,5" coordsize="4485,0" path="m4485,5l0,5e" filled="true" fillcolor="#000000" stroked="false">
                  <v:path arrowok="t"/>
                  <v:fill opacity="0f" type="solid"/>
                </v:shape>
                <v:line style="position:absolute" from="0,5" to="4485,5" stroked="true" strokeweight=".5pt" strokecolor="#000000">
                  <v:stroke dashstyle="solid"/>
                </v:line>
                <v:shape style="position:absolute;left:4545;top:5;width:4440;height:2" id="docshape478" coordorigin="4545,5" coordsize="4440,0" path="m8985,5l4545,5e" filled="true" fillcolor="#000000" stroked="false">
                  <v:path arrowok="t"/>
                  <v:fill opacity="0f" type="solid"/>
                </v:shape>
                <v:line style="position:absolute" from="4545,5" to="8985,5" stroked="true" strokeweight=".5pt" strokecolor="#000000">
                  <v:stroke dashstyle="solid"/>
                </v:line>
              </v:group>
            </w:pict>
          </mc:Fallback>
        </mc:AlternateContent>
      </w:r>
      <w:r>
        <w:rPr>
          <w:sz w:val="2"/>
        </w:rPr>
      </w:r>
    </w:p>
    <w:p>
      <w:pPr>
        <w:tabs>
          <w:tab w:pos="5307" w:val="left" w:leader="none"/>
          <w:tab w:pos="7564" w:val="left" w:leader="none"/>
          <w:tab w:pos="9814" w:val="left" w:leader="none"/>
        </w:tabs>
        <w:spacing w:before="3" w:after="30"/>
        <w:ind w:left="3027" w:right="0" w:firstLine="0"/>
        <w:jc w:val="left"/>
        <w:rPr>
          <w:sz w:val="18"/>
        </w:rPr>
      </w:pPr>
      <w:r>
        <w:rPr/>
        <mc:AlternateContent>
          <mc:Choice Requires="wps">
            <w:drawing>
              <wp:anchor distT="0" distB="0" distL="0" distR="0" allowOverlap="1" layoutInCell="1" locked="0" behindDoc="0" simplePos="0" relativeHeight="15774208">
                <wp:simplePos x="0" y="0"/>
                <wp:positionH relativeFrom="page">
                  <wp:posOffset>3114675</wp:posOffset>
                </wp:positionH>
                <wp:positionV relativeFrom="paragraph">
                  <wp:posOffset>149225</wp:posOffset>
                </wp:positionV>
                <wp:extent cx="4257675" cy="6350"/>
                <wp:effectExtent l="0" t="0" r="0" b="0"/>
                <wp:wrapNone/>
                <wp:docPr id="660" name="Group 660"/>
                <wp:cNvGraphicFramePr>
                  <a:graphicFrameLocks/>
                </wp:cNvGraphicFramePr>
                <a:graphic>
                  <a:graphicData uri="http://schemas.microsoft.com/office/word/2010/wordprocessingGroup">
                    <wpg:wgp>
                      <wpg:cNvPr id="660" name="Group 660"/>
                      <wpg:cNvGrpSpPr/>
                      <wpg:grpSpPr>
                        <a:xfrm>
                          <a:off x="0" y="0"/>
                          <a:ext cx="4257675" cy="6350"/>
                          <a:chExt cx="4257675" cy="6350"/>
                        </a:xfrm>
                      </wpg:grpSpPr>
                      <wps:wsp>
                        <wps:cNvPr id="661" name="Graphic 661"/>
                        <wps:cNvSpPr/>
                        <wps:spPr>
                          <a:xfrm>
                            <a:off x="0" y="3175"/>
                            <a:ext cx="1400175" cy="1270"/>
                          </a:xfrm>
                          <a:custGeom>
                            <a:avLst/>
                            <a:gdLst/>
                            <a:ahLst/>
                            <a:cxnLst/>
                            <a:rect l="l" t="t" r="r" b="b"/>
                            <a:pathLst>
                              <a:path w="1400175" h="0">
                                <a:moveTo>
                                  <a:pt x="1400175" y="0"/>
                                </a:moveTo>
                                <a:lnTo>
                                  <a:pt x="0" y="0"/>
                                </a:lnTo>
                              </a:path>
                            </a:pathLst>
                          </a:custGeom>
                          <a:solidFill>
                            <a:srgbClr val="000000"/>
                          </a:solidFill>
                        </wps:spPr>
                        <wps:bodyPr wrap="square" lIns="0" tIns="0" rIns="0" bIns="0" rtlCol="0">
                          <a:prstTxWarp prst="textNoShape">
                            <a:avLst/>
                          </a:prstTxWarp>
                          <a:noAutofit/>
                        </wps:bodyPr>
                      </wps:wsp>
                      <wps:wsp>
                        <wps:cNvPr id="662" name="Graphic 662"/>
                        <wps:cNvSpPr/>
                        <wps:spPr>
                          <a:xfrm>
                            <a:off x="0" y="3175"/>
                            <a:ext cx="1400175" cy="1270"/>
                          </a:xfrm>
                          <a:custGeom>
                            <a:avLst/>
                            <a:gdLst/>
                            <a:ahLst/>
                            <a:cxnLst/>
                            <a:rect l="l" t="t" r="r" b="b"/>
                            <a:pathLst>
                              <a:path w="1400175" h="0">
                                <a:moveTo>
                                  <a:pt x="0" y="0"/>
                                </a:moveTo>
                                <a:lnTo>
                                  <a:pt x="1400175" y="0"/>
                                </a:lnTo>
                              </a:path>
                            </a:pathLst>
                          </a:custGeom>
                          <a:ln w="6350">
                            <a:solidFill>
                              <a:srgbClr val="000000"/>
                            </a:solidFill>
                            <a:prstDash val="solid"/>
                          </a:ln>
                        </wps:spPr>
                        <wps:bodyPr wrap="square" lIns="0" tIns="0" rIns="0" bIns="0" rtlCol="0">
                          <a:prstTxWarp prst="textNoShape">
                            <a:avLst/>
                          </a:prstTxWarp>
                          <a:noAutofit/>
                        </wps:bodyPr>
                      </wps:wsp>
                      <wps:wsp>
                        <wps:cNvPr id="663" name="Graphic 663"/>
                        <wps:cNvSpPr/>
                        <wps:spPr>
                          <a:xfrm>
                            <a:off x="1438275" y="3175"/>
                            <a:ext cx="1390650" cy="1270"/>
                          </a:xfrm>
                          <a:custGeom>
                            <a:avLst/>
                            <a:gdLst/>
                            <a:ahLst/>
                            <a:cxnLst/>
                            <a:rect l="l" t="t" r="r" b="b"/>
                            <a:pathLst>
                              <a:path w="1390650" h="0">
                                <a:moveTo>
                                  <a:pt x="1390650" y="0"/>
                                </a:moveTo>
                                <a:lnTo>
                                  <a:pt x="0" y="0"/>
                                </a:lnTo>
                              </a:path>
                            </a:pathLst>
                          </a:custGeom>
                          <a:solidFill>
                            <a:srgbClr val="000000"/>
                          </a:solidFill>
                        </wps:spPr>
                        <wps:bodyPr wrap="square" lIns="0" tIns="0" rIns="0" bIns="0" rtlCol="0">
                          <a:prstTxWarp prst="textNoShape">
                            <a:avLst/>
                          </a:prstTxWarp>
                          <a:noAutofit/>
                        </wps:bodyPr>
                      </wps:wsp>
                      <wps:wsp>
                        <wps:cNvPr id="664" name="Graphic 664"/>
                        <wps:cNvSpPr/>
                        <wps:spPr>
                          <a:xfrm>
                            <a:off x="1438275" y="3175"/>
                            <a:ext cx="1390650" cy="1270"/>
                          </a:xfrm>
                          <a:custGeom>
                            <a:avLst/>
                            <a:gdLst/>
                            <a:ahLst/>
                            <a:cxnLst/>
                            <a:rect l="l" t="t" r="r" b="b"/>
                            <a:pathLst>
                              <a:path w="1390650" h="0">
                                <a:moveTo>
                                  <a:pt x="0" y="0"/>
                                </a:moveTo>
                                <a:lnTo>
                                  <a:pt x="1390650" y="0"/>
                                </a:lnTo>
                              </a:path>
                            </a:pathLst>
                          </a:custGeom>
                          <a:ln w="6350">
                            <a:solidFill>
                              <a:srgbClr val="000000"/>
                            </a:solidFill>
                            <a:prstDash val="solid"/>
                          </a:ln>
                        </wps:spPr>
                        <wps:bodyPr wrap="square" lIns="0" tIns="0" rIns="0" bIns="0" rtlCol="0">
                          <a:prstTxWarp prst="textNoShape">
                            <a:avLst/>
                          </a:prstTxWarp>
                          <a:noAutofit/>
                        </wps:bodyPr>
                      </wps:wsp>
                      <wps:wsp>
                        <wps:cNvPr id="665" name="Graphic 665"/>
                        <wps:cNvSpPr/>
                        <wps:spPr>
                          <a:xfrm>
                            <a:off x="2867025" y="3175"/>
                            <a:ext cx="1390650" cy="1270"/>
                          </a:xfrm>
                          <a:custGeom>
                            <a:avLst/>
                            <a:gdLst/>
                            <a:ahLst/>
                            <a:cxnLst/>
                            <a:rect l="l" t="t" r="r" b="b"/>
                            <a:pathLst>
                              <a:path w="1390650" h="0">
                                <a:moveTo>
                                  <a:pt x="1390650" y="0"/>
                                </a:moveTo>
                                <a:lnTo>
                                  <a:pt x="0" y="0"/>
                                </a:lnTo>
                              </a:path>
                            </a:pathLst>
                          </a:custGeom>
                          <a:solidFill>
                            <a:srgbClr val="000000"/>
                          </a:solidFill>
                        </wps:spPr>
                        <wps:bodyPr wrap="square" lIns="0" tIns="0" rIns="0" bIns="0" rtlCol="0">
                          <a:prstTxWarp prst="textNoShape">
                            <a:avLst/>
                          </a:prstTxWarp>
                          <a:noAutofit/>
                        </wps:bodyPr>
                      </wps:wsp>
                      <wps:wsp>
                        <wps:cNvPr id="666" name="Graphic 666"/>
                        <wps:cNvSpPr/>
                        <wps:spPr>
                          <a:xfrm>
                            <a:off x="2867025" y="3175"/>
                            <a:ext cx="1390650" cy="1270"/>
                          </a:xfrm>
                          <a:custGeom>
                            <a:avLst/>
                            <a:gdLst/>
                            <a:ahLst/>
                            <a:cxnLst/>
                            <a:rect l="l" t="t" r="r" b="b"/>
                            <a:pathLst>
                              <a:path w="1390650" h="0">
                                <a:moveTo>
                                  <a:pt x="0" y="0"/>
                                </a:moveTo>
                                <a:lnTo>
                                  <a:pt x="139065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25pt;margin-top:11.75pt;width:335.25pt;height:.5pt;mso-position-horizontal-relative:page;mso-position-vertical-relative:paragraph;z-index:15774208" id="docshapegroup479" coordorigin="4905,235" coordsize="6705,10">
                <v:shape style="position:absolute;left:4905;top:240;width:2205;height:2" id="docshape480" coordorigin="4905,240" coordsize="2205,0" path="m7110,240l4905,240e" filled="true" fillcolor="#000000" stroked="false">
                  <v:path arrowok="t"/>
                  <v:fill opacity="0f" type="solid"/>
                </v:shape>
                <v:line style="position:absolute" from="4905,240" to="7110,240" stroked="true" strokeweight=".5pt" strokecolor="#000000">
                  <v:stroke dashstyle="solid"/>
                </v:line>
                <v:shape style="position:absolute;left:7170;top:240;width:2190;height:2" id="docshape481" coordorigin="7170,240" coordsize="2190,0" path="m9360,240l7170,240e" filled="true" fillcolor="#000000" stroked="false">
                  <v:path arrowok="t"/>
                  <v:fill opacity="0f" type="solid"/>
                </v:shape>
                <v:line style="position:absolute" from="7170,240" to="9360,240" stroked="true" strokeweight=".5pt" strokecolor="#000000">
                  <v:stroke dashstyle="solid"/>
                </v:line>
                <v:shape style="position:absolute;left:9420;top:240;width:2190;height:2" id="docshape482" coordorigin="9420,240" coordsize="2190,0" path="m11610,240l9420,240e" filled="true" fillcolor="#000000" stroked="false">
                  <v:path arrowok="t"/>
                  <v:fill opacity="0f" type="solid"/>
                </v:shape>
                <v:line style="position:absolute" from="9420,240" to="11610,240" stroked="true" strokeweight=".5pt" strokecolor="#000000">
                  <v:stroke dashstyle="solid"/>
                </v:line>
                <w10:wrap type="none"/>
              </v:group>
            </w:pict>
          </mc:Fallback>
        </mc:AlternateContent>
      </w:r>
      <w:r>
        <w:rPr>
          <w:spacing w:val="-4"/>
          <w:sz w:val="18"/>
        </w:rPr>
        <w:t>2023</w:t>
      </w:r>
      <w:r>
        <w:rPr>
          <w:sz w:val="18"/>
        </w:rPr>
        <w:tab/>
      </w:r>
      <w:r>
        <w:rPr>
          <w:spacing w:val="-4"/>
          <w:sz w:val="18"/>
        </w:rPr>
        <w:t>2022</w:t>
      </w:r>
      <w:r>
        <w:rPr>
          <w:sz w:val="18"/>
        </w:rPr>
        <w:tab/>
      </w:r>
      <w:r>
        <w:rPr>
          <w:spacing w:val="-4"/>
          <w:sz w:val="18"/>
        </w:rPr>
        <w:t>2023</w:t>
      </w:r>
      <w:r>
        <w:rPr>
          <w:sz w:val="18"/>
        </w:rPr>
        <w:tab/>
      </w:r>
      <w:r>
        <w:rPr>
          <w:spacing w:val="-4"/>
          <w:sz w:val="18"/>
        </w:rPr>
        <w:t>2022</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1121"/>
        <w:gridCol w:w="1083"/>
        <w:gridCol w:w="1164"/>
        <w:gridCol w:w="1131"/>
        <w:gridCol w:w="1154"/>
        <w:gridCol w:w="1124"/>
        <w:gridCol w:w="1094"/>
        <w:gridCol w:w="1105"/>
      </w:tblGrid>
      <w:tr>
        <w:trPr>
          <w:trHeight w:val="425" w:hRule="atLeast"/>
        </w:trPr>
        <w:tc>
          <w:tcPr>
            <w:tcW w:w="1995" w:type="dxa"/>
            <w:tcBorders>
              <w:bottom w:val="single" w:sz="4" w:space="0" w:color="000000"/>
            </w:tcBorders>
          </w:tcPr>
          <w:p>
            <w:pPr>
              <w:pStyle w:val="TableParagraph"/>
              <w:rPr>
                <w:sz w:val="16"/>
              </w:rPr>
            </w:pPr>
          </w:p>
        </w:tc>
        <w:tc>
          <w:tcPr>
            <w:tcW w:w="1121" w:type="dxa"/>
            <w:tcBorders>
              <w:top w:val="single" w:sz="4" w:space="0" w:color="000000"/>
              <w:bottom w:val="single" w:sz="4" w:space="0" w:color="000000"/>
            </w:tcBorders>
          </w:tcPr>
          <w:p>
            <w:pPr>
              <w:pStyle w:val="TableParagraph"/>
              <w:spacing w:line="208" w:lineRule="auto" w:before="35"/>
              <w:ind w:left="208" w:right="259" w:firstLine="134"/>
              <w:rPr>
                <w:sz w:val="18"/>
              </w:rPr>
            </w:pPr>
            <w:r>
              <w:rPr>
                <w:spacing w:val="-2"/>
                <w:sz w:val="18"/>
              </w:rPr>
              <w:t>Total Declared</w:t>
            </w:r>
          </w:p>
        </w:tc>
        <w:tc>
          <w:tcPr>
            <w:tcW w:w="1083" w:type="dxa"/>
            <w:tcBorders>
              <w:top w:val="single" w:sz="4" w:space="0" w:color="000000"/>
              <w:bottom w:val="single" w:sz="4" w:space="0" w:color="000000"/>
            </w:tcBorders>
          </w:tcPr>
          <w:p>
            <w:pPr>
              <w:pStyle w:val="TableParagraph"/>
              <w:spacing w:line="208" w:lineRule="auto" w:before="35"/>
              <w:ind w:left="256" w:right="177" w:hanging="53"/>
              <w:rPr>
                <w:sz w:val="18"/>
              </w:rPr>
            </w:pPr>
            <w:r>
              <w:rPr>
                <w:sz w:val="18"/>
              </w:rPr>
              <w:t>Per</w:t>
            </w:r>
            <w:r>
              <w:rPr>
                <w:spacing w:val="-12"/>
                <w:sz w:val="18"/>
              </w:rPr>
              <w:t> </w:t>
            </w:r>
            <w:r>
              <w:rPr>
                <w:sz w:val="18"/>
              </w:rPr>
              <w:t>Share </w:t>
            </w:r>
            <w:r>
              <w:rPr>
                <w:spacing w:val="-2"/>
                <w:sz w:val="18"/>
              </w:rPr>
              <w:t>Amount</w:t>
            </w:r>
          </w:p>
        </w:tc>
        <w:tc>
          <w:tcPr>
            <w:tcW w:w="1164" w:type="dxa"/>
            <w:tcBorders>
              <w:bottom w:val="single" w:sz="4" w:space="0" w:color="000000"/>
            </w:tcBorders>
          </w:tcPr>
          <w:p>
            <w:pPr>
              <w:pStyle w:val="TableParagraph"/>
              <w:spacing w:line="208" w:lineRule="auto" w:before="35"/>
              <w:ind w:left="283" w:right="227" w:firstLine="134"/>
              <w:rPr>
                <w:sz w:val="18"/>
              </w:rPr>
            </w:pPr>
            <w:r>
              <w:rPr>
                <w:spacing w:val="-2"/>
                <w:sz w:val="18"/>
              </w:rPr>
              <w:t>Total Declared</w:t>
            </w:r>
          </w:p>
        </w:tc>
        <w:tc>
          <w:tcPr>
            <w:tcW w:w="1131" w:type="dxa"/>
            <w:tcBorders>
              <w:bottom w:val="single" w:sz="4" w:space="0" w:color="000000"/>
            </w:tcBorders>
          </w:tcPr>
          <w:p>
            <w:pPr>
              <w:pStyle w:val="TableParagraph"/>
              <w:spacing w:line="208" w:lineRule="auto" w:before="35"/>
              <w:ind w:left="289" w:right="192" w:hanging="53"/>
              <w:rPr>
                <w:sz w:val="18"/>
              </w:rPr>
            </w:pPr>
            <w:r>
              <w:rPr>
                <w:sz w:val="18"/>
              </w:rPr>
              <w:t>Per</w:t>
            </w:r>
            <w:r>
              <w:rPr>
                <w:spacing w:val="-12"/>
                <w:sz w:val="18"/>
              </w:rPr>
              <w:t> </w:t>
            </w:r>
            <w:r>
              <w:rPr>
                <w:sz w:val="18"/>
              </w:rPr>
              <w:t>Share </w:t>
            </w:r>
            <w:r>
              <w:rPr>
                <w:spacing w:val="-2"/>
                <w:sz w:val="18"/>
              </w:rPr>
              <w:t>Amount</w:t>
            </w:r>
          </w:p>
        </w:tc>
        <w:tc>
          <w:tcPr>
            <w:tcW w:w="1154" w:type="dxa"/>
            <w:tcBorders>
              <w:bottom w:val="single" w:sz="4" w:space="0" w:color="000000"/>
            </w:tcBorders>
          </w:tcPr>
          <w:p>
            <w:pPr>
              <w:pStyle w:val="TableParagraph"/>
              <w:spacing w:line="208" w:lineRule="auto" w:before="35"/>
              <w:ind w:left="163" w:firstLine="225"/>
              <w:rPr>
                <w:sz w:val="18"/>
              </w:rPr>
            </w:pPr>
            <w:r>
              <w:rPr>
                <w:spacing w:val="-2"/>
                <w:sz w:val="18"/>
              </w:rPr>
              <w:t>Total Declared</w:t>
            </w:r>
            <w:r>
              <w:rPr>
                <w:spacing w:val="-10"/>
                <w:sz w:val="18"/>
              </w:rPr>
              <w:t> </w:t>
            </w:r>
            <w:r>
              <w:rPr>
                <w:spacing w:val="-2"/>
                <w:sz w:val="18"/>
                <w:vertAlign w:val="superscript"/>
              </w:rPr>
              <w:t>(1)</w:t>
            </w:r>
          </w:p>
        </w:tc>
        <w:tc>
          <w:tcPr>
            <w:tcW w:w="1124" w:type="dxa"/>
            <w:tcBorders>
              <w:bottom w:val="single" w:sz="4" w:space="0" w:color="000000"/>
            </w:tcBorders>
          </w:tcPr>
          <w:p>
            <w:pPr>
              <w:pStyle w:val="TableParagraph"/>
              <w:spacing w:line="208" w:lineRule="auto" w:before="35"/>
              <w:ind w:left="254" w:right="220" w:hanging="53"/>
              <w:rPr>
                <w:sz w:val="18"/>
              </w:rPr>
            </w:pPr>
            <w:r>
              <w:rPr>
                <w:sz w:val="18"/>
              </w:rPr>
              <w:t>Per</w:t>
            </w:r>
            <w:r>
              <w:rPr>
                <w:spacing w:val="-12"/>
                <w:sz w:val="18"/>
              </w:rPr>
              <w:t> </w:t>
            </w:r>
            <w:r>
              <w:rPr>
                <w:sz w:val="18"/>
              </w:rPr>
              <w:t>Share </w:t>
            </w:r>
            <w:r>
              <w:rPr>
                <w:spacing w:val="-2"/>
                <w:sz w:val="18"/>
              </w:rPr>
              <w:t>Amount</w:t>
            </w:r>
          </w:p>
        </w:tc>
        <w:tc>
          <w:tcPr>
            <w:tcW w:w="1094" w:type="dxa"/>
            <w:tcBorders>
              <w:bottom w:val="single" w:sz="4" w:space="0" w:color="000000"/>
            </w:tcBorders>
          </w:tcPr>
          <w:p>
            <w:pPr>
              <w:pStyle w:val="TableParagraph"/>
              <w:spacing w:line="208" w:lineRule="auto" w:before="35"/>
              <w:ind w:left="226" w:right="214" w:firstLine="134"/>
              <w:rPr>
                <w:sz w:val="18"/>
              </w:rPr>
            </w:pPr>
            <w:r>
              <w:rPr>
                <w:spacing w:val="-2"/>
                <w:sz w:val="18"/>
              </w:rPr>
              <w:t>Total Declared</w:t>
            </w:r>
          </w:p>
        </w:tc>
        <w:tc>
          <w:tcPr>
            <w:tcW w:w="1105" w:type="dxa"/>
            <w:tcBorders>
              <w:bottom w:val="single" w:sz="4" w:space="0" w:color="000000"/>
            </w:tcBorders>
          </w:tcPr>
          <w:p>
            <w:pPr>
              <w:pStyle w:val="TableParagraph"/>
              <w:spacing w:line="208" w:lineRule="auto" w:before="35"/>
              <w:ind w:left="286" w:right="169" w:hanging="53"/>
              <w:rPr>
                <w:sz w:val="18"/>
              </w:rPr>
            </w:pPr>
            <w:r>
              <w:rPr>
                <w:sz w:val="18"/>
              </w:rPr>
              <w:t>Per</w:t>
            </w:r>
            <w:r>
              <w:rPr>
                <w:spacing w:val="-12"/>
                <w:sz w:val="18"/>
              </w:rPr>
              <w:t> </w:t>
            </w:r>
            <w:r>
              <w:rPr>
                <w:sz w:val="18"/>
              </w:rPr>
              <w:t>Share </w:t>
            </w:r>
            <w:r>
              <w:rPr>
                <w:spacing w:val="-2"/>
                <w:sz w:val="18"/>
              </w:rPr>
              <w:t>Amount</w:t>
            </w:r>
          </w:p>
        </w:tc>
      </w:tr>
      <w:tr>
        <w:trPr>
          <w:trHeight w:val="250" w:hRule="atLeast"/>
        </w:trPr>
        <w:tc>
          <w:tcPr>
            <w:tcW w:w="1995" w:type="dxa"/>
            <w:tcBorders>
              <w:top w:val="single" w:sz="4" w:space="0" w:color="000000"/>
            </w:tcBorders>
            <w:shd w:val="clear" w:color="auto" w:fill="CCEDFF"/>
          </w:tcPr>
          <w:p>
            <w:pPr>
              <w:pStyle w:val="TableParagraph"/>
              <w:spacing w:before="13"/>
              <w:ind w:left="52"/>
              <w:rPr>
                <w:sz w:val="18"/>
              </w:rPr>
            </w:pPr>
            <w:r>
              <w:rPr>
                <w:sz w:val="18"/>
              </w:rPr>
              <w:t>Series</w:t>
            </w:r>
            <w:r>
              <w:rPr>
                <w:spacing w:val="-2"/>
                <w:sz w:val="18"/>
              </w:rPr>
              <w:t> </w:t>
            </w:r>
            <w:r>
              <w:rPr>
                <w:sz w:val="18"/>
              </w:rPr>
              <w:t>A</w:t>
            </w:r>
            <w:r>
              <w:rPr>
                <w:spacing w:val="-1"/>
                <w:sz w:val="18"/>
              </w:rPr>
              <w:t> </w:t>
            </w:r>
            <w:r>
              <w:rPr>
                <w:spacing w:val="-5"/>
                <w:sz w:val="18"/>
                <w:vertAlign w:val="superscript"/>
              </w:rPr>
              <w:t>(2)</w:t>
            </w:r>
          </w:p>
        </w:tc>
        <w:tc>
          <w:tcPr>
            <w:tcW w:w="1121" w:type="dxa"/>
            <w:tcBorders>
              <w:top w:val="single" w:sz="4" w:space="0" w:color="000000"/>
            </w:tcBorders>
            <w:shd w:val="clear" w:color="auto" w:fill="CCEDFF"/>
          </w:tcPr>
          <w:p>
            <w:pPr>
              <w:pStyle w:val="TableParagraph"/>
              <w:spacing w:before="13"/>
              <w:ind w:right="68"/>
              <w:jc w:val="right"/>
              <w:rPr>
                <w:sz w:val="18"/>
              </w:rPr>
            </w:pPr>
            <w:r>
              <w:rPr>
                <w:spacing w:val="-5"/>
                <w:sz w:val="18"/>
              </w:rPr>
              <w:t>N/A</w:t>
            </w:r>
          </w:p>
        </w:tc>
        <w:tc>
          <w:tcPr>
            <w:tcW w:w="1083" w:type="dxa"/>
            <w:tcBorders>
              <w:top w:val="single" w:sz="4" w:space="0" w:color="000000"/>
            </w:tcBorders>
            <w:shd w:val="clear" w:color="auto" w:fill="CCEDFF"/>
          </w:tcPr>
          <w:p>
            <w:pPr>
              <w:pStyle w:val="TableParagraph"/>
              <w:spacing w:before="13"/>
              <w:ind w:right="11"/>
              <w:jc w:val="right"/>
              <w:rPr>
                <w:sz w:val="18"/>
              </w:rPr>
            </w:pPr>
            <w:r>
              <w:rPr>
                <w:spacing w:val="-5"/>
                <w:sz w:val="18"/>
              </w:rPr>
              <w:t>N/A</w:t>
            </w:r>
          </w:p>
        </w:tc>
        <w:tc>
          <w:tcPr>
            <w:tcW w:w="1164" w:type="dxa"/>
            <w:tcBorders>
              <w:top w:val="single" w:sz="4" w:space="0" w:color="000000"/>
            </w:tcBorders>
            <w:shd w:val="clear" w:color="auto" w:fill="CCEDFF"/>
          </w:tcPr>
          <w:p>
            <w:pPr>
              <w:pStyle w:val="TableParagraph"/>
              <w:tabs>
                <w:tab w:pos="840" w:val="left" w:leader="none"/>
              </w:tabs>
              <w:spacing w:before="13"/>
              <w:ind w:left="128"/>
              <w:rPr>
                <w:sz w:val="18"/>
              </w:rPr>
            </w:pPr>
            <w:r>
              <w:rPr>
                <w:spacing w:val="-10"/>
                <w:sz w:val="18"/>
              </w:rPr>
              <w:t>$</w:t>
            </w:r>
            <w:r>
              <w:rPr>
                <w:sz w:val="18"/>
              </w:rPr>
              <w:tab/>
            </w:r>
            <w:r>
              <w:rPr>
                <w:spacing w:val="-5"/>
                <w:sz w:val="18"/>
              </w:rPr>
              <w:t>7.7</w:t>
            </w:r>
          </w:p>
        </w:tc>
        <w:tc>
          <w:tcPr>
            <w:tcW w:w="1131" w:type="dxa"/>
            <w:tcBorders>
              <w:top w:val="single" w:sz="4" w:space="0" w:color="000000"/>
            </w:tcBorders>
            <w:shd w:val="clear" w:color="auto" w:fill="CCEDFF"/>
          </w:tcPr>
          <w:p>
            <w:pPr>
              <w:pStyle w:val="TableParagraph"/>
              <w:tabs>
                <w:tab w:pos="532" w:val="left" w:leader="none"/>
              </w:tabs>
              <w:spacing w:before="13"/>
              <w:ind w:right="86"/>
              <w:jc w:val="right"/>
              <w:rPr>
                <w:sz w:val="18"/>
              </w:rPr>
            </w:pPr>
            <w:r>
              <w:rPr>
                <w:spacing w:val="-10"/>
                <w:sz w:val="18"/>
              </w:rPr>
              <w:t>$</w:t>
            </w:r>
            <w:r>
              <w:rPr>
                <w:sz w:val="18"/>
              </w:rPr>
              <w:tab/>
            </w:r>
            <w:r>
              <w:rPr>
                <w:spacing w:val="-2"/>
                <w:sz w:val="18"/>
              </w:rPr>
              <w:t>19.43</w:t>
            </w:r>
          </w:p>
        </w:tc>
        <w:tc>
          <w:tcPr>
            <w:tcW w:w="1154" w:type="dxa"/>
            <w:tcBorders>
              <w:top w:val="single" w:sz="4" w:space="0" w:color="000000"/>
            </w:tcBorders>
            <w:shd w:val="clear" w:color="auto" w:fill="CCEDFF"/>
          </w:tcPr>
          <w:p>
            <w:pPr>
              <w:pStyle w:val="TableParagraph"/>
              <w:spacing w:before="13"/>
              <w:ind w:right="55"/>
              <w:jc w:val="right"/>
              <w:rPr>
                <w:sz w:val="18"/>
              </w:rPr>
            </w:pPr>
            <w:r>
              <w:rPr>
                <w:spacing w:val="-5"/>
                <w:sz w:val="18"/>
              </w:rPr>
              <w:t>N/A</w:t>
            </w:r>
          </w:p>
        </w:tc>
        <w:tc>
          <w:tcPr>
            <w:tcW w:w="1124" w:type="dxa"/>
            <w:tcBorders>
              <w:top w:val="single" w:sz="4" w:space="0" w:color="000000"/>
            </w:tcBorders>
            <w:shd w:val="clear" w:color="auto" w:fill="CCEDFF"/>
          </w:tcPr>
          <w:p>
            <w:pPr>
              <w:pStyle w:val="TableParagraph"/>
              <w:spacing w:before="13"/>
              <w:ind w:right="54"/>
              <w:jc w:val="right"/>
              <w:rPr>
                <w:sz w:val="18"/>
              </w:rPr>
            </w:pPr>
            <w:r>
              <w:rPr>
                <w:spacing w:val="-5"/>
                <w:sz w:val="18"/>
              </w:rPr>
              <w:t>N/A</w:t>
            </w:r>
          </w:p>
        </w:tc>
        <w:tc>
          <w:tcPr>
            <w:tcW w:w="1094" w:type="dxa"/>
            <w:tcBorders>
              <w:top w:val="single" w:sz="4" w:space="0" w:color="000000"/>
            </w:tcBorders>
            <w:shd w:val="clear" w:color="auto" w:fill="CCEDFF"/>
          </w:tcPr>
          <w:p>
            <w:pPr>
              <w:pStyle w:val="TableParagraph"/>
              <w:tabs>
                <w:tab w:pos="622" w:val="left" w:leader="none"/>
              </w:tabs>
              <w:spacing w:before="13"/>
              <w:ind w:right="83"/>
              <w:jc w:val="right"/>
              <w:rPr>
                <w:sz w:val="18"/>
              </w:rPr>
            </w:pPr>
            <w:r>
              <w:rPr>
                <w:spacing w:val="-10"/>
                <w:sz w:val="18"/>
              </w:rPr>
              <w:t>$</w:t>
            </w:r>
            <w:r>
              <w:rPr>
                <w:sz w:val="18"/>
              </w:rPr>
              <w:tab/>
            </w:r>
            <w:r>
              <w:rPr>
                <w:spacing w:val="-4"/>
                <w:sz w:val="18"/>
              </w:rPr>
              <w:t>18.9</w:t>
            </w:r>
          </w:p>
        </w:tc>
        <w:tc>
          <w:tcPr>
            <w:tcW w:w="1105" w:type="dxa"/>
            <w:tcBorders>
              <w:top w:val="single" w:sz="4" w:space="0" w:color="000000"/>
            </w:tcBorders>
            <w:shd w:val="clear" w:color="auto" w:fill="CCEDFF"/>
          </w:tcPr>
          <w:p>
            <w:pPr>
              <w:pStyle w:val="TableParagraph"/>
              <w:tabs>
                <w:tab w:pos="532" w:val="left" w:leader="none"/>
              </w:tabs>
              <w:spacing w:before="13"/>
              <w:ind w:right="63"/>
              <w:jc w:val="right"/>
              <w:rPr>
                <w:sz w:val="18"/>
              </w:rPr>
            </w:pPr>
            <w:r>
              <w:rPr>
                <w:spacing w:val="-10"/>
                <w:sz w:val="18"/>
              </w:rPr>
              <w:t>$</w:t>
            </w:r>
            <w:r>
              <w:rPr>
                <w:sz w:val="18"/>
              </w:rPr>
              <w:tab/>
            </w:r>
            <w:r>
              <w:rPr>
                <w:spacing w:val="-2"/>
                <w:sz w:val="18"/>
              </w:rPr>
              <w:t>47.73</w:t>
            </w:r>
          </w:p>
        </w:tc>
      </w:tr>
      <w:tr>
        <w:trPr>
          <w:trHeight w:val="255" w:hRule="atLeast"/>
        </w:trPr>
        <w:tc>
          <w:tcPr>
            <w:tcW w:w="1995" w:type="dxa"/>
          </w:tcPr>
          <w:p>
            <w:pPr>
              <w:pStyle w:val="TableParagraph"/>
              <w:spacing w:before="18"/>
              <w:ind w:left="52"/>
              <w:rPr>
                <w:sz w:val="18"/>
              </w:rPr>
            </w:pPr>
            <w:r>
              <w:rPr>
                <w:sz w:val="18"/>
              </w:rPr>
              <w:t>Series</w:t>
            </w:r>
            <w:r>
              <w:rPr>
                <w:spacing w:val="-2"/>
                <w:sz w:val="18"/>
              </w:rPr>
              <w:t> </w:t>
            </w:r>
            <w:r>
              <w:rPr>
                <w:sz w:val="18"/>
              </w:rPr>
              <w:t>D</w:t>
            </w:r>
            <w:r>
              <w:rPr>
                <w:spacing w:val="-1"/>
                <w:sz w:val="18"/>
              </w:rPr>
              <w:t> </w:t>
            </w:r>
            <w:r>
              <w:rPr>
                <w:spacing w:val="-5"/>
                <w:sz w:val="18"/>
                <w:vertAlign w:val="superscript"/>
              </w:rPr>
              <w:t>(3)</w:t>
            </w:r>
          </w:p>
        </w:tc>
        <w:tc>
          <w:tcPr>
            <w:tcW w:w="1121" w:type="dxa"/>
          </w:tcPr>
          <w:p>
            <w:pPr>
              <w:pStyle w:val="TableParagraph"/>
              <w:tabs>
                <w:tab w:pos="622" w:val="left" w:leader="none"/>
              </w:tabs>
              <w:spacing w:before="18"/>
              <w:ind w:right="128"/>
              <w:jc w:val="right"/>
              <w:rPr>
                <w:sz w:val="18"/>
              </w:rPr>
            </w:pPr>
            <w:r>
              <w:rPr>
                <w:spacing w:val="-10"/>
                <w:sz w:val="18"/>
              </w:rPr>
              <w:t>$</w:t>
            </w:r>
            <w:r>
              <w:rPr>
                <w:sz w:val="18"/>
              </w:rPr>
              <w:tab/>
            </w:r>
            <w:r>
              <w:rPr>
                <w:spacing w:val="-4"/>
                <w:sz w:val="18"/>
              </w:rPr>
              <w:t>11.2</w:t>
            </w:r>
          </w:p>
        </w:tc>
        <w:tc>
          <w:tcPr>
            <w:tcW w:w="1083" w:type="dxa"/>
          </w:tcPr>
          <w:p>
            <w:pPr>
              <w:pStyle w:val="TableParagraph"/>
              <w:tabs>
                <w:tab w:pos="603" w:val="left" w:leader="none"/>
              </w:tabs>
              <w:spacing w:before="18"/>
              <w:ind w:left="71"/>
              <w:rPr>
                <w:sz w:val="18"/>
              </w:rPr>
            </w:pPr>
            <w:r>
              <w:rPr>
                <w:spacing w:val="-10"/>
                <w:sz w:val="18"/>
              </w:rPr>
              <w:t>$</w:t>
            </w:r>
            <w:r>
              <w:rPr>
                <w:sz w:val="18"/>
              </w:rPr>
              <w:tab/>
            </w:r>
            <w:r>
              <w:rPr>
                <w:spacing w:val="-2"/>
                <w:sz w:val="18"/>
              </w:rPr>
              <w:t>14.88</w:t>
            </w:r>
          </w:p>
        </w:tc>
        <w:tc>
          <w:tcPr>
            <w:tcW w:w="1164" w:type="dxa"/>
          </w:tcPr>
          <w:p>
            <w:pPr>
              <w:pStyle w:val="TableParagraph"/>
              <w:spacing w:before="18"/>
              <w:ind w:left="751"/>
              <w:rPr>
                <w:sz w:val="18"/>
              </w:rPr>
            </w:pPr>
            <w:r>
              <w:rPr>
                <w:spacing w:val="-4"/>
                <w:sz w:val="18"/>
              </w:rPr>
              <w:t>11.2</w:t>
            </w:r>
          </w:p>
        </w:tc>
        <w:tc>
          <w:tcPr>
            <w:tcW w:w="1131" w:type="dxa"/>
          </w:tcPr>
          <w:p>
            <w:pPr>
              <w:pStyle w:val="TableParagraph"/>
              <w:spacing w:before="18"/>
              <w:ind w:right="86"/>
              <w:jc w:val="right"/>
              <w:rPr>
                <w:sz w:val="18"/>
              </w:rPr>
            </w:pPr>
            <w:r>
              <w:rPr>
                <w:spacing w:val="-2"/>
                <w:sz w:val="18"/>
              </w:rPr>
              <w:t>14.88</w:t>
            </w:r>
          </w:p>
        </w:tc>
        <w:tc>
          <w:tcPr>
            <w:tcW w:w="1154" w:type="dxa"/>
          </w:tcPr>
          <w:p>
            <w:pPr>
              <w:pStyle w:val="TableParagraph"/>
              <w:tabs>
                <w:tab w:pos="622" w:val="left" w:leader="none"/>
              </w:tabs>
              <w:spacing w:before="18"/>
              <w:ind w:right="115"/>
              <w:jc w:val="right"/>
              <w:rPr>
                <w:sz w:val="18"/>
              </w:rPr>
            </w:pPr>
            <w:r>
              <w:rPr>
                <w:spacing w:val="-10"/>
                <w:sz w:val="18"/>
              </w:rPr>
              <w:t>$</w:t>
            </w:r>
            <w:r>
              <w:rPr>
                <w:sz w:val="18"/>
              </w:rPr>
              <w:tab/>
            </w:r>
            <w:r>
              <w:rPr>
                <w:spacing w:val="-4"/>
                <w:sz w:val="18"/>
              </w:rPr>
              <w:t>33.5</w:t>
            </w:r>
          </w:p>
        </w:tc>
        <w:tc>
          <w:tcPr>
            <w:tcW w:w="1124" w:type="dxa"/>
          </w:tcPr>
          <w:p>
            <w:pPr>
              <w:pStyle w:val="TableParagraph"/>
              <w:tabs>
                <w:tab w:pos="532" w:val="left" w:leader="none"/>
              </w:tabs>
              <w:spacing w:before="18"/>
              <w:ind w:right="114"/>
              <w:jc w:val="right"/>
              <w:rPr>
                <w:sz w:val="18"/>
              </w:rPr>
            </w:pPr>
            <w:r>
              <w:rPr>
                <w:spacing w:val="-10"/>
                <w:sz w:val="18"/>
              </w:rPr>
              <w:t>$</w:t>
            </w:r>
            <w:r>
              <w:rPr>
                <w:sz w:val="18"/>
              </w:rPr>
              <w:tab/>
            </w:r>
            <w:r>
              <w:rPr>
                <w:spacing w:val="-2"/>
                <w:sz w:val="18"/>
              </w:rPr>
              <w:t>44.64</w:t>
            </w:r>
          </w:p>
        </w:tc>
        <w:tc>
          <w:tcPr>
            <w:tcW w:w="1094" w:type="dxa"/>
          </w:tcPr>
          <w:p>
            <w:pPr>
              <w:pStyle w:val="TableParagraph"/>
              <w:spacing w:before="18"/>
              <w:ind w:right="83"/>
              <w:jc w:val="right"/>
              <w:rPr>
                <w:sz w:val="18"/>
              </w:rPr>
            </w:pPr>
            <w:r>
              <w:rPr>
                <w:spacing w:val="-4"/>
                <w:sz w:val="18"/>
              </w:rPr>
              <w:t>33.5</w:t>
            </w:r>
          </w:p>
        </w:tc>
        <w:tc>
          <w:tcPr>
            <w:tcW w:w="1105" w:type="dxa"/>
          </w:tcPr>
          <w:p>
            <w:pPr>
              <w:pStyle w:val="TableParagraph"/>
              <w:spacing w:before="18"/>
              <w:ind w:right="63"/>
              <w:jc w:val="right"/>
              <w:rPr>
                <w:sz w:val="18"/>
              </w:rPr>
            </w:pPr>
            <w:r>
              <w:rPr>
                <w:spacing w:val="-2"/>
                <w:sz w:val="18"/>
              </w:rPr>
              <w:t>44.64</w:t>
            </w:r>
          </w:p>
        </w:tc>
      </w:tr>
      <w:tr>
        <w:trPr>
          <w:trHeight w:val="255" w:hRule="atLeast"/>
        </w:trPr>
        <w:tc>
          <w:tcPr>
            <w:tcW w:w="1995" w:type="dxa"/>
            <w:shd w:val="clear" w:color="auto" w:fill="CCEDFF"/>
          </w:tcPr>
          <w:p>
            <w:pPr>
              <w:pStyle w:val="TableParagraph"/>
              <w:spacing w:before="18"/>
              <w:ind w:left="52"/>
              <w:rPr>
                <w:sz w:val="18"/>
              </w:rPr>
            </w:pPr>
            <w:r>
              <w:rPr>
                <w:sz w:val="18"/>
              </w:rPr>
              <w:t>Series</w:t>
            </w:r>
            <w:r>
              <w:rPr>
                <w:spacing w:val="-2"/>
                <w:sz w:val="18"/>
              </w:rPr>
              <w:t> </w:t>
            </w:r>
            <w:r>
              <w:rPr>
                <w:sz w:val="18"/>
              </w:rPr>
              <w:t>E</w:t>
            </w:r>
            <w:r>
              <w:rPr>
                <w:spacing w:val="-1"/>
                <w:sz w:val="18"/>
              </w:rPr>
              <w:t> </w:t>
            </w:r>
            <w:r>
              <w:rPr>
                <w:spacing w:val="-5"/>
                <w:sz w:val="18"/>
                <w:vertAlign w:val="superscript"/>
              </w:rPr>
              <w:t>(4)</w:t>
            </w:r>
          </w:p>
        </w:tc>
        <w:tc>
          <w:tcPr>
            <w:tcW w:w="1121" w:type="dxa"/>
            <w:shd w:val="clear" w:color="auto" w:fill="CCEDFF"/>
          </w:tcPr>
          <w:p>
            <w:pPr>
              <w:pStyle w:val="TableParagraph"/>
              <w:spacing w:before="18"/>
              <w:ind w:right="68"/>
              <w:jc w:val="right"/>
              <w:rPr>
                <w:sz w:val="18"/>
              </w:rPr>
            </w:pPr>
            <w:r>
              <w:rPr>
                <w:spacing w:val="-5"/>
                <w:sz w:val="18"/>
              </w:rPr>
              <w:t>N/A</w:t>
            </w:r>
          </w:p>
        </w:tc>
        <w:tc>
          <w:tcPr>
            <w:tcW w:w="1083" w:type="dxa"/>
            <w:shd w:val="clear" w:color="auto" w:fill="CCEDFF"/>
          </w:tcPr>
          <w:p>
            <w:pPr>
              <w:pStyle w:val="TableParagraph"/>
              <w:spacing w:before="18"/>
              <w:ind w:right="11"/>
              <w:jc w:val="right"/>
              <w:rPr>
                <w:sz w:val="18"/>
              </w:rPr>
            </w:pPr>
            <w:r>
              <w:rPr>
                <w:spacing w:val="-5"/>
                <w:sz w:val="18"/>
              </w:rPr>
              <w:t>N/A</w:t>
            </w:r>
          </w:p>
        </w:tc>
        <w:tc>
          <w:tcPr>
            <w:tcW w:w="1164" w:type="dxa"/>
            <w:shd w:val="clear" w:color="auto" w:fill="CCEDFF"/>
          </w:tcPr>
          <w:p>
            <w:pPr>
              <w:pStyle w:val="TableParagraph"/>
              <w:spacing w:before="18"/>
              <w:ind w:right="95"/>
              <w:jc w:val="right"/>
              <w:rPr>
                <w:sz w:val="18"/>
              </w:rPr>
            </w:pPr>
            <w:r>
              <w:rPr>
                <w:spacing w:val="-5"/>
                <w:sz w:val="18"/>
              </w:rPr>
              <w:t>7.4</w:t>
            </w:r>
          </w:p>
        </w:tc>
        <w:tc>
          <w:tcPr>
            <w:tcW w:w="1131" w:type="dxa"/>
            <w:shd w:val="clear" w:color="auto" w:fill="CCEDFF"/>
          </w:tcPr>
          <w:p>
            <w:pPr>
              <w:pStyle w:val="TableParagraph"/>
              <w:spacing w:before="18"/>
              <w:ind w:right="86"/>
              <w:jc w:val="right"/>
              <w:rPr>
                <w:sz w:val="18"/>
              </w:rPr>
            </w:pPr>
            <w:r>
              <w:rPr>
                <w:spacing w:val="-2"/>
                <w:sz w:val="18"/>
              </w:rPr>
              <w:t>1,251.05</w:t>
            </w:r>
          </w:p>
        </w:tc>
        <w:tc>
          <w:tcPr>
            <w:tcW w:w="1154" w:type="dxa"/>
            <w:shd w:val="clear" w:color="auto" w:fill="CCEDFF"/>
          </w:tcPr>
          <w:p>
            <w:pPr>
              <w:pStyle w:val="TableParagraph"/>
              <w:spacing w:before="18"/>
              <w:ind w:right="55"/>
              <w:jc w:val="right"/>
              <w:rPr>
                <w:sz w:val="18"/>
              </w:rPr>
            </w:pPr>
            <w:r>
              <w:rPr>
                <w:spacing w:val="-5"/>
                <w:sz w:val="18"/>
              </w:rPr>
              <w:t>N/A</w:t>
            </w:r>
          </w:p>
        </w:tc>
        <w:tc>
          <w:tcPr>
            <w:tcW w:w="1124" w:type="dxa"/>
            <w:shd w:val="clear" w:color="auto" w:fill="CCEDFF"/>
          </w:tcPr>
          <w:p>
            <w:pPr>
              <w:pStyle w:val="TableParagraph"/>
              <w:spacing w:before="18"/>
              <w:ind w:right="54"/>
              <w:jc w:val="right"/>
              <w:rPr>
                <w:sz w:val="18"/>
              </w:rPr>
            </w:pPr>
            <w:r>
              <w:rPr>
                <w:spacing w:val="-5"/>
                <w:sz w:val="18"/>
              </w:rPr>
              <w:t>N/A</w:t>
            </w:r>
          </w:p>
        </w:tc>
        <w:tc>
          <w:tcPr>
            <w:tcW w:w="1094" w:type="dxa"/>
            <w:shd w:val="clear" w:color="auto" w:fill="CCEDFF"/>
          </w:tcPr>
          <w:p>
            <w:pPr>
              <w:pStyle w:val="TableParagraph"/>
              <w:spacing w:before="18"/>
              <w:ind w:right="83"/>
              <w:jc w:val="right"/>
              <w:rPr>
                <w:sz w:val="18"/>
              </w:rPr>
            </w:pPr>
            <w:r>
              <w:rPr>
                <w:spacing w:val="-4"/>
                <w:sz w:val="18"/>
              </w:rPr>
              <w:t>27.2</w:t>
            </w:r>
          </w:p>
        </w:tc>
        <w:tc>
          <w:tcPr>
            <w:tcW w:w="1105" w:type="dxa"/>
            <w:shd w:val="clear" w:color="auto" w:fill="CCEDFF"/>
          </w:tcPr>
          <w:p>
            <w:pPr>
              <w:pStyle w:val="TableParagraph"/>
              <w:spacing w:before="18"/>
              <w:ind w:right="63"/>
              <w:jc w:val="right"/>
              <w:rPr>
                <w:sz w:val="18"/>
              </w:rPr>
            </w:pPr>
            <w:r>
              <w:rPr>
                <w:spacing w:val="-2"/>
                <w:sz w:val="18"/>
              </w:rPr>
              <w:t>4,544.37</w:t>
            </w:r>
          </w:p>
        </w:tc>
      </w:tr>
      <w:tr>
        <w:trPr>
          <w:trHeight w:val="255" w:hRule="atLeast"/>
        </w:trPr>
        <w:tc>
          <w:tcPr>
            <w:tcW w:w="1995" w:type="dxa"/>
          </w:tcPr>
          <w:p>
            <w:pPr>
              <w:pStyle w:val="TableParagraph"/>
              <w:spacing w:before="18"/>
              <w:ind w:left="52"/>
              <w:rPr>
                <w:sz w:val="18"/>
              </w:rPr>
            </w:pPr>
            <w:r>
              <w:rPr>
                <w:sz w:val="18"/>
              </w:rPr>
              <w:t>Series</w:t>
            </w:r>
            <w:r>
              <w:rPr>
                <w:spacing w:val="-2"/>
                <w:sz w:val="18"/>
              </w:rPr>
              <w:t> </w:t>
            </w:r>
            <w:r>
              <w:rPr>
                <w:sz w:val="18"/>
              </w:rPr>
              <w:t>F</w:t>
            </w:r>
            <w:r>
              <w:rPr>
                <w:spacing w:val="-1"/>
                <w:sz w:val="18"/>
              </w:rPr>
              <w:t> </w:t>
            </w:r>
            <w:r>
              <w:rPr>
                <w:spacing w:val="-5"/>
                <w:sz w:val="18"/>
                <w:vertAlign w:val="superscript"/>
              </w:rPr>
              <w:t>(5)</w:t>
            </w:r>
          </w:p>
        </w:tc>
        <w:tc>
          <w:tcPr>
            <w:tcW w:w="1121" w:type="dxa"/>
          </w:tcPr>
          <w:p>
            <w:pPr>
              <w:pStyle w:val="TableParagraph"/>
              <w:spacing w:before="18"/>
              <w:ind w:right="128"/>
              <w:jc w:val="right"/>
              <w:rPr>
                <w:sz w:val="18"/>
              </w:rPr>
            </w:pPr>
            <w:r>
              <w:rPr>
                <w:spacing w:val="-10"/>
                <w:sz w:val="18"/>
              </w:rPr>
              <w:t>—</w:t>
            </w:r>
          </w:p>
        </w:tc>
        <w:tc>
          <w:tcPr>
            <w:tcW w:w="1083" w:type="dxa"/>
          </w:tcPr>
          <w:p>
            <w:pPr>
              <w:pStyle w:val="TableParagraph"/>
              <w:spacing w:before="18"/>
              <w:ind w:right="71"/>
              <w:jc w:val="right"/>
              <w:rPr>
                <w:sz w:val="18"/>
              </w:rPr>
            </w:pPr>
            <w:r>
              <w:rPr>
                <w:spacing w:val="-10"/>
                <w:sz w:val="18"/>
              </w:rPr>
              <w:t>—</w:t>
            </w:r>
          </w:p>
        </w:tc>
        <w:tc>
          <w:tcPr>
            <w:tcW w:w="1164" w:type="dxa"/>
          </w:tcPr>
          <w:p>
            <w:pPr>
              <w:pStyle w:val="TableParagraph"/>
              <w:spacing w:before="18"/>
              <w:ind w:right="95"/>
              <w:jc w:val="right"/>
              <w:rPr>
                <w:sz w:val="18"/>
              </w:rPr>
            </w:pPr>
            <w:r>
              <w:rPr>
                <w:spacing w:val="-10"/>
                <w:sz w:val="18"/>
              </w:rPr>
              <w:t>—</w:t>
            </w:r>
          </w:p>
        </w:tc>
        <w:tc>
          <w:tcPr>
            <w:tcW w:w="1131" w:type="dxa"/>
          </w:tcPr>
          <w:p>
            <w:pPr>
              <w:pStyle w:val="TableParagraph"/>
              <w:spacing w:before="18"/>
              <w:ind w:right="86"/>
              <w:jc w:val="right"/>
              <w:rPr>
                <w:sz w:val="18"/>
              </w:rPr>
            </w:pPr>
            <w:r>
              <w:rPr>
                <w:spacing w:val="-10"/>
                <w:sz w:val="18"/>
              </w:rPr>
              <w:t>—</w:t>
            </w:r>
          </w:p>
        </w:tc>
        <w:tc>
          <w:tcPr>
            <w:tcW w:w="1154" w:type="dxa"/>
          </w:tcPr>
          <w:p>
            <w:pPr>
              <w:pStyle w:val="TableParagraph"/>
              <w:spacing w:before="18"/>
              <w:ind w:right="115"/>
              <w:jc w:val="right"/>
              <w:rPr>
                <w:sz w:val="18"/>
              </w:rPr>
            </w:pPr>
            <w:r>
              <w:rPr>
                <w:spacing w:val="-4"/>
                <w:sz w:val="18"/>
              </w:rPr>
              <w:t>12.2</w:t>
            </w:r>
          </w:p>
        </w:tc>
        <w:tc>
          <w:tcPr>
            <w:tcW w:w="1124" w:type="dxa"/>
          </w:tcPr>
          <w:p>
            <w:pPr>
              <w:pStyle w:val="TableParagraph"/>
              <w:spacing w:before="18"/>
              <w:ind w:right="114"/>
              <w:jc w:val="right"/>
              <w:rPr>
                <w:sz w:val="18"/>
              </w:rPr>
            </w:pPr>
            <w:r>
              <w:rPr>
                <w:spacing w:val="-2"/>
                <w:sz w:val="18"/>
              </w:rPr>
              <w:t>2,500.00</w:t>
            </w:r>
          </w:p>
        </w:tc>
        <w:tc>
          <w:tcPr>
            <w:tcW w:w="1094" w:type="dxa"/>
          </w:tcPr>
          <w:p>
            <w:pPr>
              <w:pStyle w:val="TableParagraph"/>
              <w:spacing w:before="18"/>
              <w:ind w:right="83"/>
              <w:jc w:val="right"/>
              <w:rPr>
                <w:sz w:val="18"/>
              </w:rPr>
            </w:pPr>
            <w:r>
              <w:rPr>
                <w:spacing w:val="-4"/>
                <w:sz w:val="18"/>
              </w:rPr>
              <w:t>12.5</w:t>
            </w:r>
          </w:p>
        </w:tc>
        <w:tc>
          <w:tcPr>
            <w:tcW w:w="1105" w:type="dxa"/>
          </w:tcPr>
          <w:p>
            <w:pPr>
              <w:pStyle w:val="TableParagraph"/>
              <w:spacing w:before="18"/>
              <w:ind w:right="63"/>
              <w:jc w:val="right"/>
              <w:rPr>
                <w:sz w:val="18"/>
              </w:rPr>
            </w:pPr>
            <w:r>
              <w:rPr>
                <w:spacing w:val="-2"/>
                <w:sz w:val="18"/>
              </w:rPr>
              <w:t>2,500.00</w:t>
            </w:r>
          </w:p>
        </w:tc>
      </w:tr>
      <w:tr>
        <w:trPr>
          <w:trHeight w:val="255" w:hRule="atLeast"/>
        </w:trPr>
        <w:tc>
          <w:tcPr>
            <w:tcW w:w="1995" w:type="dxa"/>
            <w:shd w:val="clear" w:color="auto" w:fill="CCEDFF"/>
          </w:tcPr>
          <w:p>
            <w:pPr>
              <w:pStyle w:val="TableParagraph"/>
              <w:spacing w:before="18"/>
              <w:ind w:left="52"/>
              <w:rPr>
                <w:sz w:val="18"/>
              </w:rPr>
            </w:pPr>
            <w:r>
              <w:rPr>
                <w:sz w:val="18"/>
              </w:rPr>
              <w:t>Series</w:t>
            </w:r>
            <w:r>
              <w:rPr>
                <w:spacing w:val="-2"/>
                <w:sz w:val="18"/>
              </w:rPr>
              <w:t> </w:t>
            </w:r>
            <w:r>
              <w:rPr>
                <w:sz w:val="18"/>
              </w:rPr>
              <w:t>G</w:t>
            </w:r>
            <w:r>
              <w:rPr>
                <w:spacing w:val="-1"/>
                <w:sz w:val="18"/>
              </w:rPr>
              <w:t> </w:t>
            </w:r>
            <w:r>
              <w:rPr>
                <w:spacing w:val="-5"/>
                <w:sz w:val="18"/>
                <w:vertAlign w:val="superscript"/>
              </w:rPr>
              <w:t>(3)</w:t>
            </w:r>
          </w:p>
        </w:tc>
        <w:tc>
          <w:tcPr>
            <w:tcW w:w="1121" w:type="dxa"/>
            <w:shd w:val="clear" w:color="auto" w:fill="CCEDFF"/>
          </w:tcPr>
          <w:p>
            <w:pPr>
              <w:pStyle w:val="TableParagraph"/>
              <w:spacing w:before="18"/>
              <w:ind w:right="128"/>
              <w:jc w:val="right"/>
              <w:rPr>
                <w:sz w:val="18"/>
              </w:rPr>
            </w:pPr>
            <w:r>
              <w:rPr>
                <w:spacing w:val="-4"/>
                <w:sz w:val="18"/>
              </w:rPr>
              <w:t>33.0</w:t>
            </w:r>
          </w:p>
        </w:tc>
        <w:tc>
          <w:tcPr>
            <w:tcW w:w="1083" w:type="dxa"/>
            <w:shd w:val="clear" w:color="auto" w:fill="CCEDFF"/>
          </w:tcPr>
          <w:p>
            <w:pPr>
              <w:pStyle w:val="TableParagraph"/>
              <w:spacing w:before="18"/>
              <w:ind w:right="71"/>
              <w:jc w:val="right"/>
              <w:rPr>
                <w:sz w:val="18"/>
              </w:rPr>
            </w:pPr>
            <w:r>
              <w:rPr>
                <w:spacing w:val="-2"/>
                <w:sz w:val="18"/>
              </w:rPr>
              <w:t>1,343.75</w:t>
            </w:r>
          </w:p>
        </w:tc>
        <w:tc>
          <w:tcPr>
            <w:tcW w:w="1164" w:type="dxa"/>
            <w:shd w:val="clear" w:color="auto" w:fill="CCEDFF"/>
          </w:tcPr>
          <w:p>
            <w:pPr>
              <w:pStyle w:val="TableParagraph"/>
              <w:spacing w:before="18"/>
              <w:ind w:left="751"/>
              <w:rPr>
                <w:sz w:val="18"/>
              </w:rPr>
            </w:pPr>
            <w:r>
              <w:rPr>
                <w:spacing w:val="-4"/>
                <w:sz w:val="18"/>
              </w:rPr>
              <w:t>33.6</w:t>
            </w:r>
          </w:p>
        </w:tc>
        <w:tc>
          <w:tcPr>
            <w:tcW w:w="1131" w:type="dxa"/>
            <w:shd w:val="clear" w:color="auto" w:fill="CCEDFF"/>
          </w:tcPr>
          <w:p>
            <w:pPr>
              <w:pStyle w:val="TableParagraph"/>
              <w:spacing w:before="18"/>
              <w:ind w:right="86"/>
              <w:jc w:val="right"/>
              <w:rPr>
                <w:sz w:val="18"/>
              </w:rPr>
            </w:pPr>
            <w:r>
              <w:rPr>
                <w:spacing w:val="-2"/>
                <w:sz w:val="18"/>
              </w:rPr>
              <w:t>1,343.75</w:t>
            </w:r>
          </w:p>
        </w:tc>
        <w:tc>
          <w:tcPr>
            <w:tcW w:w="1154" w:type="dxa"/>
            <w:shd w:val="clear" w:color="auto" w:fill="CCEDFF"/>
          </w:tcPr>
          <w:p>
            <w:pPr>
              <w:pStyle w:val="TableParagraph"/>
              <w:spacing w:before="18"/>
              <w:ind w:right="115"/>
              <w:jc w:val="right"/>
              <w:rPr>
                <w:sz w:val="18"/>
              </w:rPr>
            </w:pPr>
            <w:r>
              <w:rPr>
                <w:spacing w:val="-4"/>
                <w:sz w:val="18"/>
              </w:rPr>
              <w:t>99.3</w:t>
            </w:r>
          </w:p>
        </w:tc>
        <w:tc>
          <w:tcPr>
            <w:tcW w:w="1124" w:type="dxa"/>
            <w:shd w:val="clear" w:color="auto" w:fill="CCEDFF"/>
          </w:tcPr>
          <w:p>
            <w:pPr>
              <w:pStyle w:val="TableParagraph"/>
              <w:spacing w:before="18"/>
              <w:ind w:right="114"/>
              <w:jc w:val="right"/>
              <w:rPr>
                <w:sz w:val="18"/>
              </w:rPr>
            </w:pPr>
            <w:r>
              <w:rPr>
                <w:spacing w:val="-2"/>
                <w:sz w:val="18"/>
              </w:rPr>
              <w:t>4,031.25</w:t>
            </w:r>
          </w:p>
        </w:tc>
        <w:tc>
          <w:tcPr>
            <w:tcW w:w="1094" w:type="dxa"/>
            <w:shd w:val="clear" w:color="auto" w:fill="CCEDFF"/>
          </w:tcPr>
          <w:p>
            <w:pPr>
              <w:pStyle w:val="TableParagraph"/>
              <w:spacing w:before="18"/>
              <w:ind w:right="83"/>
              <w:jc w:val="right"/>
              <w:rPr>
                <w:sz w:val="18"/>
              </w:rPr>
            </w:pPr>
            <w:r>
              <w:rPr>
                <w:spacing w:val="-2"/>
                <w:sz w:val="18"/>
              </w:rPr>
              <w:t>100.8</w:t>
            </w:r>
          </w:p>
        </w:tc>
        <w:tc>
          <w:tcPr>
            <w:tcW w:w="1105" w:type="dxa"/>
            <w:shd w:val="clear" w:color="auto" w:fill="CCEDFF"/>
          </w:tcPr>
          <w:p>
            <w:pPr>
              <w:pStyle w:val="TableParagraph"/>
              <w:spacing w:before="18"/>
              <w:ind w:right="63"/>
              <w:jc w:val="right"/>
              <w:rPr>
                <w:sz w:val="18"/>
              </w:rPr>
            </w:pPr>
            <w:r>
              <w:rPr>
                <w:spacing w:val="-2"/>
                <w:sz w:val="18"/>
              </w:rPr>
              <w:t>4,031.25</w:t>
            </w:r>
          </w:p>
        </w:tc>
      </w:tr>
      <w:tr>
        <w:trPr>
          <w:trHeight w:val="255" w:hRule="atLeast"/>
        </w:trPr>
        <w:tc>
          <w:tcPr>
            <w:tcW w:w="1995" w:type="dxa"/>
          </w:tcPr>
          <w:p>
            <w:pPr>
              <w:pStyle w:val="TableParagraph"/>
              <w:spacing w:before="18"/>
              <w:ind w:left="52"/>
              <w:rPr>
                <w:sz w:val="18"/>
              </w:rPr>
            </w:pPr>
            <w:r>
              <w:rPr>
                <w:sz w:val="18"/>
              </w:rPr>
              <w:t>Series</w:t>
            </w:r>
            <w:r>
              <w:rPr>
                <w:spacing w:val="-2"/>
                <w:sz w:val="18"/>
              </w:rPr>
              <w:t> </w:t>
            </w:r>
            <w:r>
              <w:rPr>
                <w:sz w:val="18"/>
              </w:rPr>
              <w:t>H</w:t>
            </w:r>
            <w:r>
              <w:rPr>
                <w:spacing w:val="-1"/>
                <w:sz w:val="18"/>
              </w:rPr>
              <w:t> </w:t>
            </w:r>
            <w:r>
              <w:rPr>
                <w:spacing w:val="-5"/>
                <w:sz w:val="18"/>
                <w:vertAlign w:val="superscript"/>
              </w:rPr>
              <w:t>(3)</w:t>
            </w:r>
          </w:p>
        </w:tc>
        <w:tc>
          <w:tcPr>
            <w:tcW w:w="1121" w:type="dxa"/>
          </w:tcPr>
          <w:p>
            <w:pPr>
              <w:pStyle w:val="TableParagraph"/>
              <w:spacing w:before="18"/>
              <w:ind w:right="128"/>
              <w:jc w:val="right"/>
              <w:rPr>
                <w:sz w:val="18"/>
              </w:rPr>
            </w:pPr>
            <w:r>
              <w:rPr>
                <w:spacing w:val="-4"/>
                <w:sz w:val="18"/>
              </w:rPr>
              <w:t>22.2</w:t>
            </w:r>
          </w:p>
        </w:tc>
        <w:tc>
          <w:tcPr>
            <w:tcW w:w="1083" w:type="dxa"/>
          </w:tcPr>
          <w:p>
            <w:pPr>
              <w:pStyle w:val="TableParagraph"/>
              <w:spacing w:before="18"/>
              <w:ind w:right="71"/>
              <w:jc w:val="right"/>
              <w:rPr>
                <w:sz w:val="18"/>
              </w:rPr>
            </w:pPr>
            <w:r>
              <w:rPr>
                <w:spacing w:val="-2"/>
                <w:sz w:val="18"/>
              </w:rPr>
              <w:t>1,000.00</w:t>
            </w:r>
          </w:p>
        </w:tc>
        <w:tc>
          <w:tcPr>
            <w:tcW w:w="1164" w:type="dxa"/>
          </w:tcPr>
          <w:p>
            <w:pPr>
              <w:pStyle w:val="TableParagraph"/>
              <w:spacing w:before="18"/>
              <w:ind w:left="751"/>
              <w:rPr>
                <w:sz w:val="18"/>
              </w:rPr>
            </w:pPr>
            <w:r>
              <w:rPr>
                <w:spacing w:val="-4"/>
                <w:sz w:val="18"/>
              </w:rPr>
              <w:t>25.0</w:t>
            </w:r>
          </w:p>
        </w:tc>
        <w:tc>
          <w:tcPr>
            <w:tcW w:w="1131" w:type="dxa"/>
          </w:tcPr>
          <w:p>
            <w:pPr>
              <w:pStyle w:val="TableParagraph"/>
              <w:spacing w:before="18"/>
              <w:ind w:right="86"/>
              <w:jc w:val="right"/>
              <w:rPr>
                <w:sz w:val="18"/>
              </w:rPr>
            </w:pPr>
            <w:r>
              <w:rPr>
                <w:spacing w:val="-2"/>
                <w:sz w:val="18"/>
              </w:rPr>
              <w:t>1,000.00</w:t>
            </w:r>
          </w:p>
        </w:tc>
        <w:tc>
          <w:tcPr>
            <w:tcW w:w="1154" w:type="dxa"/>
          </w:tcPr>
          <w:p>
            <w:pPr>
              <w:pStyle w:val="TableParagraph"/>
              <w:spacing w:before="18"/>
              <w:ind w:right="115"/>
              <w:jc w:val="right"/>
              <w:rPr>
                <w:sz w:val="18"/>
              </w:rPr>
            </w:pPr>
            <w:r>
              <w:rPr>
                <w:spacing w:val="-4"/>
                <w:sz w:val="18"/>
              </w:rPr>
              <w:t>68.2</w:t>
            </w:r>
          </w:p>
        </w:tc>
        <w:tc>
          <w:tcPr>
            <w:tcW w:w="1124" w:type="dxa"/>
          </w:tcPr>
          <w:p>
            <w:pPr>
              <w:pStyle w:val="TableParagraph"/>
              <w:spacing w:before="18"/>
              <w:ind w:right="114"/>
              <w:jc w:val="right"/>
              <w:rPr>
                <w:sz w:val="18"/>
              </w:rPr>
            </w:pPr>
            <w:r>
              <w:rPr>
                <w:spacing w:val="-2"/>
                <w:sz w:val="18"/>
              </w:rPr>
              <w:t>3,000.00</w:t>
            </w:r>
          </w:p>
        </w:tc>
        <w:tc>
          <w:tcPr>
            <w:tcW w:w="1094" w:type="dxa"/>
          </w:tcPr>
          <w:p>
            <w:pPr>
              <w:pStyle w:val="TableParagraph"/>
              <w:spacing w:before="18"/>
              <w:ind w:right="83"/>
              <w:jc w:val="right"/>
              <w:rPr>
                <w:sz w:val="18"/>
              </w:rPr>
            </w:pPr>
            <w:r>
              <w:rPr>
                <w:spacing w:val="-4"/>
                <w:sz w:val="18"/>
              </w:rPr>
              <w:t>75.0</w:t>
            </w:r>
          </w:p>
        </w:tc>
        <w:tc>
          <w:tcPr>
            <w:tcW w:w="1105" w:type="dxa"/>
          </w:tcPr>
          <w:p>
            <w:pPr>
              <w:pStyle w:val="TableParagraph"/>
              <w:spacing w:before="18"/>
              <w:ind w:right="63"/>
              <w:jc w:val="right"/>
              <w:rPr>
                <w:sz w:val="18"/>
              </w:rPr>
            </w:pPr>
            <w:r>
              <w:rPr>
                <w:spacing w:val="-2"/>
                <w:sz w:val="18"/>
              </w:rPr>
              <w:t>3,000.00</w:t>
            </w:r>
          </w:p>
        </w:tc>
      </w:tr>
      <w:tr>
        <w:trPr>
          <w:trHeight w:val="255" w:hRule="atLeast"/>
        </w:trPr>
        <w:tc>
          <w:tcPr>
            <w:tcW w:w="1995" w:type="dxa"/>
            <w:shd w:val="clear" w:color="auto" w:fill="CCEDFF"/>
          </w:tcPr>
          <w:p>
            <w:pPr>
              <w:pStyle w:val="TableParagraph"/>
              <w:spacing w:before="18"/>
              <w:ind w:left="52"/>
              <w:rPr>
                <w:sz w:val="18"/>
              </w:rPr>
            </w:pPr>
            <w:r>
              <w:rPr>
                <w:sz w:val="18"/>
              </w:rPr>
              <w:t>Series</w:t>
            </w:r>
            <w:r>
              <w:rPr>
                <w:spacing w:val="-2"/>
                <w:sz w:val="18"/>
              </w:rPr>
              <w:t> </w:t>
            </w:r>
            <w:r>
              <w:rPr>
                <w:sz w:val="18"/>
              </w:rPr>
              <w:t>I</w:t>
            </w:r>
            <w:r>
              <w:rPr>
                <w:spacing w:val="-1"/>
                <w:sz w:val="18"/>
              </w:rPr>
              <w:t> </w:t>
            </w:r>
            <w:r>
              <w:rPr>
                <w:spacing w:val="-5"/>
                <w:sz w:val="18"/>
                <w:vertAlign w:val="superscript"/>
              </w:rPr>
              <w:t>(3)</w:t>
            </w:r>
          </w:p>
        </w:tc>
        <w:tc>
          <w:tcPr>
            <w:tcW w:w="1121" w:type="dxa"/>
            <w:shd w:val="clear" w:color="auto" w:fill="CCEDFF"/>
          </w:tcPr>
          <w:p>
            <w:pPr>
              <w:pStyle w:val="TableParagraph"/>
              <w:spacing w:before="18"/>
              <w:ind w:right="128"/>
              <w:jc w:val="right"/>
              <w:rPr>
                <w:sz w:val="18"/>
              </w:rPr>
            </w:pPr>
            <w:r>
              <w:rPr>
                <w:spacing w:val="-4"/>
                <w:sz w:val="18"/>
              </w:rPr>
              <w:t>20.6</w:t>
            </w:r>
          </w:p>
        </w:tc>
        <w:tc>
          <w:tcPr>
            <w:tcW w:w="1083" w:type="dxa"/>
            <w:shd w:val="clear" w:color="auto" w:fill="CCEDFF"/>
          </w:tcPr>
          <w:p>
            <w:pPr>
              <w:pStyle w:val="TableParagraph"/>
              <w:spacing w:before="18"/>
              <w:ind w:right="71"/>
              <w:jc w:val="right"/>
              <w:rPr>
                <w:sz w:val="18"/>
              </w:rPr>
            </w:pPr>
            <w:r>
              <w:rPr>
                <w:spacing w:val="-2"/>
                <w:sz w:val="18"/>
              </w:rPr>
              <w:t>1,000.00</w:t>
            </w:r>
          </w:p>
        </w:tc>
        <w:tc>
          <w:tcPr>
            <w:tcW w:w="1164" w:type="dxa"/>
            <w:shd w:val="clear" w:color="auto" w:fill="CCEDFF"/>
          </w:tcPr>
          <w:p>
            <w:pPr>
              <w:pStyle w:val="TableParagraph"/>
              <w:spacing w:before="18"/>
              <w:ind w:left="751"/>
              <w:rPr>
                <w:sz w:val="18"/>
              </w:rPr>
            </w:pPr>
            <w:r>
              <w:rPr>
                <w:spacing w:val="-4"/>
                <w:sz w:val="18"/>
              </w:rPr>
              <w:t>22.5</w:t>
            </w:r>
          </w:p>
        </w:tc>
        <w:tc>
          <w:tcPr>
            <w:tcW w:w="1131" w:type="dxa"/>
            <w:shd w:val="clear" w:color="auto" w:fill="CCEDFF"/>
          </w:tcPr>
          <w:p>
            <w:pPr>
              <w:pStyle w:val="TableParagraph"/>
              <w:spacing w:before="18"/>
              <w:ind w:right="86"/>
              <w:jc w:val="right"/>
              <w:rPr>
                <w:sz w:val="18"/>
              </w:rPr>
            </w:pPr>
            <w:r>
              <w:rPr>
                <w:spacing w:val="-2"/>
                <w:sz w:val="18"/>
              </w:rPr>
              <w:t>1,000.00</w:t>
            </w:r>
          </w:p>
        </w:tc>
        <w:tc>
          <w:tcPr>
            <w:tcW w:w="1154" w:type="dxa"/>
            <w:shd w:val="clear" w:color="auto" w:fill="CCEDFF"/>
          </w:tcPr>
          <w:p>
            <w:pPr>
              <w:pStyle w:val="TableParagraph"/>
              <w:spacing w:before="18"/>
              <w:ind w:right="115"/>
              <w:jc w:val="right"/>
              <w:rPr>
                <w:sz w:val="18"/>
              </w:rPr>
            </w:pPr>
            <w:r>
              <w:rPr>
                <w:spacing w:val="-4"/>
                <w:sz w:val="18"/>
              </w:rPr>
              <w:t>62.5</w:t>
            </w:r>
          </w:p>
        </w:tc>
        <w:tc>
          <w:tcPr>
            <w:tcW w:w="1124" w:type="dxa"/>
            <w:shd w:val="clear" w:color="auto" w:fill="CCEDFF"/>
          </w:tcPr>
          <w:p>
            <w:pPr>
              <w:pStyle w:val="TableParagraph"/>
              <w:spacing w:before="18"/>
              <w:ind w:right="114"/>
              <w:jc w:val="right"/>
              <w:rPr>
                <w:sz w:val="18"/>
              </w:rPr>
            </w:pPr>
            <w:r>
              <w:rPr>
                <w:spacing w:val="-2"/>
                <w:sz w:val="18"/>
              </w:rPr>
              <w:t>3,000.00</w:t>
            </w:r>
          </w:p>
        </w:tc>
        <w:tc>
          <w:tcPr>
            <w:tcW w:w="1094" w:type="dxa"/>
            <w:shd w:val="clear" w:color="auto" w:fill="CCEDFF"/>
          </w:tcPr>
          <w:p>
            <w:pPr>
              <w:pStyle w:val="TableParagraph"/>
              <w:spacing w:before="18"/>
              <w:ind w:right="83"/>
              <w:jc w:val="right"/>
              <w:rPr>
                <w:sz w:val="18"/>
              </w:rPr>
            </w:pPr>
            <w:r>
              <w:rPr>
                <w:spacing w:val="-4"/>
                <w:sz w:val="18"/>
              </w:rPr>
              <w:t>67.5</w:t>
            </w:r>
          </w:p>
        </w:tc>
        <w:tc>
          <w:tcPr>
            <w:tcW w:w="1105" w:type="dxa"/>
            <w:shd w:val="clear" w:color="auto" w:fill="CCEDFF"/>
          </w:tcPr>
          <w:p>
            <w:pPr>
              <w:pStyle w:val="TableParagraph"/>
              <w:spacing w:before="18"/>
              <w:ind w:right="63"/>
              <w:jc w:val="right"/>
              <w:rPr>
                <w:sz w:val="18"/>
              </w:rPr>
            </w:pPr>
            <w:r>
              <w:rPr>
                <w:spacing w:val="-2"/>
                <w:sz w:val="18"/>
              </w:rPr>
              <w:t>3,000.00</w:t>
            </w:r>
          </w:p>
        </w:tc>
      </w:tr>
      <w:tr>
        <w:trPr>
          <w:trHeight w:val="255" w:hRule="atLeast"/>
        </w:trPr>
        <w:tc>
          <w:tcPr>
            <w:tcW w:w="1995" w:type="dxa"/>
          </w:tcPr>
          <w:p>
            <w:pPr>
              <w:pStyle w:val="TableParagraph"/>
              <w:spacing w:before="18"/>
              <w:ind w:left="52"/>
              <w:rPr>
                <w:sz w:val="18"/>
              </w:rPr>
            </w:pPr>
            <w:r>
              <w:rPr>
                <w:sz w:val="18"/>
              </w:rPr>
              <w:t>Series</w:t>
            </w:r>
            <w:r>
              <w:rPr>
                <w:spacing w:val="-2"/>
                <w:sz w:val="18"/>
              </w:rPr>
              <w:t> </w:t>
            </w:r>
            <w:r>
              <w:rPr>
                <w:sz w:val="18"/>
              </w:rPr>
              <w:t>J</w:t>
            </w:r>
            <w:r>
              <w:rPr>
                <w:spacing w:val="-1"/>
                <w:sz w:val="18"/>
              </w:rPr>
              <w:t> </w:t>
            </w:r>
            <w:r>
              <w:rPr>
                <w:spacing w:val="-5"/>
                <w:sz w:val="18"/>
                <w:vertAlign w:val="superscript"/>
              </w:rPr>
              <w:t>(3)</w:t>
            </w:r>
          </w:p>
        </w:tc>
        <w:tc>
          <w:tcPr>
            <w:tcW w:w="1121" w:type="dxa"/>
          </w:tcPr>
          <w:p>
            <w:pPr>
              <w:pStyle w:val="TableParagraph"/>
              <w:spacing w:before="18"/>
              <w:ind w:right="128"/>
              <w:jc w:val="right"/>
              <w:rPr>
                <w:sz w:val="18"/>
              </w:rPr>
            </w:pPr>
            <w:r>
              <w:rPr>
                <w:spacing w:val="-5"/>
                <w:sz w:val="18"/>
              </w:rPr>
              <w:t>6.7</w:t>
            </w:r>
          </w:p>
        </w:tc>
        <w:tc>
          <w:tcPr>
            <w:tcW w:w="1083" w:type="dxa"/>
          </w:tcPr>
          <w:p>
            <w:pPr>
              <w:pStyle w:val="TableParagraph"/>
              <w:spacing w:before="18"/>
              <w:ind w:right="71"/>
              <w:jc w:val="right"/>
              <w:rPr>
                <w:sz w:val="18"/>
              </w:rPr>
            </w:pPr>
            <w:r>
              <w:rPr>
                <w:spacing w:val="-2"/>
                <w:sz w:val="18"/>
              </w:rPr>
              <w:t>11.13</w:t>
            </w:r>
          </w:p>
        </w:tc>
        <w:tc>
          <w:tcPr>
            <w:tcW w:w="1164" w:type="dxa"/>
          </w:tcPr>
          <w:p>
            <w:pPr>
              <w:pStyle w:val="TableParagraph"/>
              <w:spacing w:before="18"/>
              <w:ind w:right="95"/>
              <w:jc w:val="right"/>
              <w:rPr>
                <w:sz w:val="18"/>
              </w:rPr>
            </w:pPr>
            <w:r>
              <w:rPr>
                <w:spacing w:val="-5"/>
                <w:sz w:val="18"/>
              </w:rPr>
              <w:t>6.7</w:t>
            </w:r>
          </w:p>
        </w:tc>
        <w:tc>
          <w:tcPr>
            <w:tcW w:w="1131" w:type="dxa"/>
          </w:tcPr>
          <w:p>
            <w:pPr>
              <w:pStyle w:val="TableParagraph"/>
              <w:spacing w:before="18"/>
              <w:ind w:right="86"/>
              <w:jc w:val="right"/>
              <w:rPr>
                <w:sz w:val="18"/>
              </w:rPr>
            </w:pPr>
            <w:r>
              <w:rPr>
                <w:spacing w:val="-2"/>
                <w:sz w:val="18"/>
              </w:rPr>
              <w:t>11.13</w:t>
            </w:r>
          </w:p>
        </w:tc>
        <w:tc>
          <w:tcPr>
            <w:tcW w:w="1154" w:type="dxa"/>
          </w:tcPr>
          <w:p>
            <w:pPr>
              <w:pStyle w:val="TableParagraph"/>
              <w:spacing w:before="18"/>
              <w:ind w:right="115"/>
              <w:jc w:val="right"/>
              <w:rPr>
                <w:sz w:val="18"/>
              </w:rPr>
            </w:pPr>
            <w:r>
              <w:rPr>
                <w:spacing w:val="-4"/>
                <w:sz w:val="18"/>
              </w:rPr>
              <w:t>20.1</w:t>
            </w:r>
          </w:p>
        </w:tc>
        <w:tc>
          <w:tcPr>
            <w:tcW w:w="1124" w:type="dxa"/>
          </w:tcPr>
          <w:p>
            <w:pPr>
              <w:pStyle w:val="TableParagraph"/>
              <w:spacing w:before="18"/>
              <w:ind w:right="114"/>
              <w:jc w:val="right"/>
              <w:rPr>
                <w:sz w:val="18"/>
              </w:rPr>
            </w:pPr>
            <w:r>
              <w:rPr>
                <w:spacing w:val="-2"/>
                <w:sz w:val="18"/>
              </w:rPr>
              <w:t>33.39</w:t>
            </w:r>
          </w:p>
        </w:tc>
        <w:tc>
          <w:tcPr>
            <w:tcW w:w="1094" w:type="dxa"/>
          </w:tcPr>
          <w:p>
            <w:pPr>
              <w:pStyle w:val="TableParagraph"/>
              <w:spacing w:before="18"/>
              <w:ind w:right="83"/>
              <w:jc w:val="right"/>
              <w:rPr>
                <w:sz w:val="18"/>
              </w:rPr>
            </w:pPr>
            <w:r>
              <w:rPr>
                <w:spacing w:val="-4"/>
                <w:sz w:val="18"/>
              </w:rPr>
              <w:t>20.1</w:t>
            </w:r>
          </w:p>
        </w:tc>
        <w:tc>
          <w:tcPr>
            <w:tcW w:w="1105" w:type="dxa"/>
          </w:tcPr>
          <w:p>
            <w:pPr>
              <w:pStyle w:val="TableParagraph"/>
              <w:spacing w:before="18"/>
              <w:ind w:right="63"/>
              <w:jc w:val="right"/>
              <w:rPr>
                <w:sz w:val="18"/>
              </w:rPr>
            </w:pPr>
            <w:r>
              <w:rPr>
                <w:spacing w:val="-2"/>
                <w:sz w:val="18"/>
              </w:rPr>
              <w:t>33.39</w:t>
            </w:r>
          </w:p>
        </w:tc>
      </w:tr>
      <w:tr>
        <w:trPr>
          <w:trHeight w:val="250" w:hRule="atLeast"/>
        </w:trPr>
        <w:tc>
          <w:tcPr>
            <w:tcW w:w="1995" w:type="dxa"/>
            <w:tcBorders>
              <w:bottom w:val="single" w:sz="4" w:space="0" w:color="000000"/>
            </w:tcBorders>
            <w:shd w:val="clear" w:color="auto" w:fill="CCEDFF"/>
          </w:tcPr>
          <w:p>
            <w:pPr>
              <w:pStyle w:val="TableParagraph"/>
              <w:spacing w:before="18"/>
              <w:ind w:left="52"/>
              <w:rPr>
                <w:sz w:val="18"/>
              </w:rPr>
            </w:pPr>
            <w:r>
              <w:rPr>
                <w:sz w:val="18"/>
              </w:rPr>
              <w:t>Series</w:t>
            </w:r>
            <w:r>
              <w:rPr>
                <w:spacing w:val="-2"/>
                <w:sz w:val="18"/>
              </w:rPr>
              <w:t> </w:t>
            </w:r>
            <w:r>
              <w:rPr>
                <w:sz w:val="18"/>
              </w:rPr>
              <w:t>K</w:t>
            </w:r>
            <w:r>
              <w:rPr>
                <w:spacing w:val="-1"/>
                <w:sz w:val="18"/>
              </w:rPr>
              <w:t> </w:t>
            </w:r>
            <w:r>
              <w:rPr>
                <w:spacing w:val="-5"/>
                <w:sz w:val="18"/>
                <w:vertAlign w:val="superscript"/>
              </w:rPr>
              <w:t>(6)</w:t>
            </w:r>
          </w:p>
        </w:tc>
        <w:tc>
          <w:tcPr>
            <w:tcW w:w="1121" w:type="dxa"/>
            <w:tcBorders>
              <w:bottom w:val="single" w:sz="4" w:space="0" w:color="000000"/>
            </w:tcBorders>
            <w:shd w:val="clear" w:color="auto" w:fill="CCEDFF"/>
          </w:tcPr>
          <w:p>
            <w:pPr>
              <w:pStyle w:val="TableParagraph"/>
              <w:spacing w:before="18"/>
              <w:ind w:right="128"/>
              <w:jc w:val="right"/>
              <w:rPr>
                <w:sz w:val="18"/>
              </w:rPr>
            </w:pPr>
            <w:r>
              <w:rPr>
                <w:spacing w:val="-5"/>
                <w:sz w:val="18"/>
              </w:rPr>
              <w:t>9.3</w:t>
            </w:r>
          </w:p>
        </w:tc>
        <w:tc>
          <w:tcPr>
            <w:tcW w:w="1083" w:type="dxa"/>
            <w:tcBorders>
              <w:bottom w:val="single" w:sz="4" w:space="0" w:color="000000"/>
            </w:tcBorders>
            <w:shd w:val="clear" w:color="auto" w:fill="CCEDFF"/>
          </w:tcPr>
          <w:p>
            <w:pPr>
              <w:pStyle w:val="TableParagraph"/>
              <w:spacing w:before="18"/>
              <w:ind w:right="71"/>
              <w:jc w:val="right"/>
              <w:rPr>
                <w:sz w:val="18"/>
              </w:rPr>
            </w:pPr>
            <w:r>
              <w:rPr>
                <w:spacing w:val="-2"/>
                <w:sz w:val="18"/>
              </w:rPr>
              <w:t>1,250.00</w:t>
            </w:r>
          </w:p>
        </w:tc>
        <w:tc>
          <w:tcPr>
            <w:tcW w:w="1164" w:type="dxa"/>
            <w:tcBorders>
              <w:bottom w:val="single" w:sz="4" w:space="0" w:color="000000"/>
            </w:tcBorders>
            <w:shd w:val="clear" w:color="auto" w:fill="CCEDFF"/>
          </w:tcPr>
          <w:p>
            <w:pPr>
              <w:pStyle w:val="TableParagraph"/>
              <w:spacing w:before="18"/>
              <w:ind w:right="95"/>
              <w:jc w:val="right"/>
              <w:rPr>
                <w:sz w:val="18"/>
              </w:rPr>
            </w:pPr>
            <w:r>
              <w:rPr>
                <w:spacing w:val="-5"/>
                <w:sz w:val="18"/>
              </w:rPr>
              <w:t>9.3</w:t>
            </w:r>
          </w:p>
        </w:tc>
        <w:tc>
          <w:tcPr>
            <w:tcW w:w="1131" w:type="dxa"/>
            <w:tcBorders>
              <w:bottom w:val="single" w:sz="4" w:space="0" w:color="000000"/>
            </w:tcBorders>
            <w:shd w:val="clear" w:color="auto" w:fill="CCEDFF"/>
          </w:tcPr>
          <w:p>
            <w:pPr>
              <w:pStyle w:val="TableParagraph"/>
              <w:spacing w:before="18"/>
              <w:ind w:right="86"/>
              <w:jc w:val="right"/>
              <w:rPr>
                <w:sz w:val="18"/>
              </w:rPr>
            </w:pPr>
            <w:r>
              <w:rPr>
                <w:spacing w:val="-2"/>
                <w:sz w:val="18"/>
              </w:rPr>
              <w:t>1,250.00</w:t>
            </w:r>
          </w:p>
        </w:tc>
        <w:tc>
          <w:tcPr>
            <w:tcW w:w="1154" w:type="dxa"/>
            <w:tcBorders>
              <w:bottom w:val="single" w:sz="4" w:space="0" w:color="000000"/>
            </w:tcBorders>
            <w:shd w:val="clear" w:color="auto" w:fill="CCEDFF"/>
          </w:tcPr>
          <w:p>
            <w:pPr>
              <w:pStyle w:val="TableParagraph"/>
              <w:spacing w:before="18"/>
              <w:ind w:right="115"/>
              <w:jc w:val="right"/>
              <w:rPr>
                <w:sz w:val="18"/>
              </w:rPr>
            </w:pPr>
            <w:r>
              <w:rPr>
                <w:spacing w:val="-4"/>
                <w:sz w:val="18"/>
              </w:rPr>
              <w:t>28.1</w:t>
            </w:r>
          </w:p>
        </w:tc>
        <w:tc>
          <w:tcPr>
            <w:tcW w:w="1124" w:type="dxa"/>
            <w:tcBorders>
              <w:bottom w:val="single" w:sz="4" w:space="0" w:color="000000"/>
            </w:tcBorders>
            <w:shd w:val="clear" w:color="auto" w:fill="CCEDFF"/>
          </w:tcPr>
          <w:p>
            <w:pPr>
              <w:pStyle w:val="TableParagraph"/>
              <w:spacing w:before="18"/>
              <w:ind w:right="114"/>
              <w:jc w:val="right"/>
              <w:rPr>
                <w:sz w:val="18"/>
              </w:rPr>
            </w:pPr>
            <w:r>
              <w:rPr>
                <w:spacing w:val="-2"/>
                <w:sz w:val="18"/>
              </w:rPr>
              <w:t>3,750.00</w:t>
            </w:r>
          </w:p>
        </w:tc>
        <w:tc>
          <w:tcPr>
            <w:tcW w:w="1094" w:type="dxa"/>
            <w:tcBorders>
              <w:bottom w:val="single" w:sz="4" w:space="0" w:color="000000"/>
            </w:tcBorders>
            <w:shd w:val="clear" w:color="auto" w:fill="CCEDFF"/>
          </w:tcPr>
          <w:p>
            <w:pPr>
              <w:pStyle w:val="TableParagraph"/>
              <w:spacing w:before="18"/>
              <w:ind w:right="83"/>
              <w:jc w:val="right"/>
              <w:rPr>
                <w:sz w:val="18"/>
              </w:rPr>
            </w:pPr>
            <w:r>
              <w:rPr>
                <w:spacing w:val="-4"/>
                <w:sz w:val="18"/>
              </w:rPr>
              <w:t>18.4</w:t>
            </w:r>
          </w:p>
        </w:tc>
        <w:tc>
          <w:tcPr>
            <w:tcW w:w="1105" w:type="dxa"/>
            <w:tcBorders>
              <w:bottom w:val="single" w:sz="4" w:space="0" w:color="000000"/>
            </w:tcBorders>
            <w:shd w:val="clear" w:color="auto" w:fill="CCEDFF"/>
          </w:tcPr>
          <w:p>
            <w:pPr>
              <w:pStyle w:val="TableParagraph"/>
              <w:spacing w:before="18"/>
              <w:ind w:right="63"/>
              <w:jc w:val="right"/>
              <w:rPr>
                <w:sz w:val="18"/>
              </w:rPr>
            </w:pPr>
            <w:r>
              <w:rPr>
                <w:spacing w:val="-2"/>
                <w:sz w:val="18"/>
              </w:rPr>
              <w:t>2,458.33</w:t>
            </w:r>
          </w:p>
        </w:tc>
      </w:tr>
      <w:tr>
        <w:trPr>
          <w:trHeight w:val="220" w:hRule="atLeast"/>
        </w:trPr>
        <w:tc>
          <w:tcPr>
            <w:tcW w:w="1995" w:type="dxa"/>
            <w:tcBorders>
              <w:top w:val="single" w:sz="4" w:space="0" w:color="000000"/>
              <w:bottom w:val="double" w:sz="8" w:space="0" w:color="000000"/>
            </w:tcBorders>
          </w:tcPr>
          <w:p>
            <w:pPr>
              <w:pStyle w:val="TableParagraph"/>
              <w:spacing w:line="187" w:lineRule="exact" w:before="13"/>
              <w:ind w:left="52"/>
              <w:rPr>
                <w:sz w:val="18"/>
              </w:rPr>
            </w:pPr>
            <w:r>
              <w:rPr>
                <w:spacing w:val="-2"/>
                <w:sz w:val="18"/>
              </w:rPr>
              <w:t>Total</w:t>
            </w:r>
          </w:p>
        </w:tc>
        <w:tc>
          <w:tcPr>
            <w:tcW w:w="1121" w:type="dxa"/>
            <w:tcBorders>
              <w:top w:val="single" w:sz="4" w:space="0" w:color="000000"/>
              <w:bottom w:val="double" w:sz="8" w:space="0" w:color="000000"/>
            </w:tcBorders>
          </w:tcPr>
          <w:p>
            <w:pPr>
              <w:pStyle w:val="TableParagraph"/>
              <w:tabs>
                <w:tab w:pos="532" w:val="left" w:leader="none"/>
              </w:tabs>
              <w:spacing w:line="187" w:lineRule="exact" w:before="13"/>
              <w:ind w:right="128"/>
              <w:jc w:val="right"/>
              <w:rPr>
                <w:sz w:val="18"/>
              </w:rPr>
            </w:pPr>
            <w:r>
              <w:rPr>
                <w:spacing w:val="-10"/>
                <w:sz w:val="18"/>
              </w:rPr>
              <w:t>$</w:t>
            </w:r>
            <w:r>
              <w:rPr>
                <w:sz w:val="18"/>
              </w:rPr>
              <w:tab/>
            </w:r>
            <w:r>
              <w:rPr>
                <w:spacing w:val="-2"/>
                <w:sz w:val="18"/>
              </w:rPr>
              <w:t>103.0</w:t>
            </w:r>
          </w:p>
        </w:tc>
        <w:tc>
          <w:tcPr>
            <w:tcW w:w="1083" w:type="dxa"/>
            <w:tcBorders>
              <w:top w:val="single" w:sz="4" w:space="0" w:color="000000"/>
              <w:bottom w:val="double" w:sz="8" w:space="0" w:color="000000"/>
            </w:tcBorders>
          </w:tcPr>
          <w:p>
            <w:pPr>
              <w:pStyle w:val="TableParagraph"/>
              <w:rPr>
                <w:sz w:val="14"/>
              </w:rPr>
            </w:pPr>
          </w:p>
        </w:tc>
        <w:tc>
          <w:tcPr>
            <w:tcW w:w="1164" w:type="dxa"/>
            <w:tcBorders>
              <w:top w:val="single" w:sz="4" w:space="0" w:color="000000"/>
              <w:bottom w:val="double" w:sz="8" w:space="0" w:color="000000"/>
            </w:tcBorders>
          </w:tcPr>
          <w:p>
            <w:pPr>
              <w:pStyle w:val="TableParagraph"/>
              <w:tabs>
                <w:tab w:pos="660" w:val="left" w:leader="none"/>
              </w:tabs>
              <w:spacing w:line="187" w:lineRule="exact" w:before="13"/>
              <w:ind w:left="128"/>
              <w:rPr>
                <w:sz w:val="18"/>
              </w:rPr>
            </w:pPr>
            <w:r>
              <w:rPr>
                <w:spacing w:val="-10"/>
                <w:sz w:val="18"/>
              </w:rPr>
              <w:t>$</w:t>
            </w:r>
            <w:r>
              <w:rPr>
                <w:sz w:val="18"/>
              </w:rPr>
              <w:tab/>
            </w:r>
            <w:r>
              <w:rPr>
                <w:spacing w:val="-2"/>
                <w:sz w:val="18"/>
              </w:rPr>
              <w:t>123.4</w:t>
            </w:r>
          </w:p>
        </w:tc>
        <w:tc>
          <w:tcPr>
            <w:tcW w:w="1131" w:type="dxa"/>
            <w:tcBorders>
              <w:top w:val="single" w:sz="4" w:space="0" w:color="000000"/>
              <w:bottom w:val="double" w:sz="8" w:space="0" w:color="000000"/>
            </w:tcBorders>
          </w:tcPr>
          <w:p>
            <w:pPr>
              <w:pStyle w:val="TableParagraph"/>
              <w:rPr>
                <w:sz w:val="14"/>
              </w:rPr>
            </w:pPr>
          </w:p>
        </w:tc>
        <w:tc>
          <w:tcPr>
            <w:tcW w:w="1154" w:type="dxa"/>
            <w:tcBorders>
              <w:top w:val="single" w:sz="4" w:space="0" w:color="000000"/>
              <w:bottom w:val="double" w:sz="8" w:space="0" w:color="000000"/>
            </w:tcBorders>
          </w:tcPr>
          <w:p>
            <w:pPr>
              <w:pStyle w:val="TableParagraph"/>
              <w:tabs>
                <w:tab w:pos="532" w:val="left" w:leader="none"/>
              </w:tabs>
              <w:spacing w:line="187" w:lineRule="exact" w:before="13"/>
              <w:ind w:right="115"/>
              <w:jc w:val="right"/>
              <w:rPr>
                <w:sz w:val="18"/>
              </w:rPr>
            </w:pPr>
            <w:r>
              <w:rPr>
                <w:spacing w:val="-10"/>
                <w:sz w:val="18"/>
              </w:rPr>
              <w:t>$</w:t>
            </w:r>
            <w:r>
              <w:rPr>
                <w:sz w:val="18"/>
              </w:rPr>
              <w:tab/>
            </w:r>
            <w:r>
              <w:rPr>
                <w:spacing w:val="-2"/>
                <w:sz w:val="18"/>
              </w:rPr>
              <w:t>323.9</w:t>
            </w:r>
          </w:p>
        </w:tc>
        <w:tc>
          <w:tcPr>
            <w:tcW w:w="1124" w:type="dxa"/>
            <w:tcBorders>
              <w:top w:val="single" w:sz="4" w:space="0" w:color="000000"/>
              <w:bottom w:val="double" w:sz="8" w:space="0" w:color="000000"/>
            </w:tcBorders>
          </w:tcPr>
          <w:p>
            <w:pPr>
              <w:pStyle w:val="TableParagraph"/>
              <w:rPr>
                <w:sz w:val="14"/>
              </w:rPr>
            </w:pPr>
          </w:p>
        </w:tc>
        <w:tc>
          <w:tcPr>
            <w:tcW w:w="1094" w:type="dxa"/>
            <w:tcBorders>
              <w:top w:val="single" w:sz="4" w:space="0" w:color="000000"/>
              <w:bottom w:val="double" w:sz="8" w:space="0" w:color="000000"/>
            </w:tcBorders>
          </w:tcPr>
          <w:p>
            <w:pPr>
              <w:pStyle w:val="TableParagraph"/>
              <w:tabs>
                <w:tab w:pos="532" w:val="left" w:leader="none"/>
              </w:tabs>
              <w:spacing w:line="187" w:lineRule="exact" w:before="13"/>
              <w:ind w:right="83"/>
              <w:jc w:val="right"/>
              <w:rPr>
                <w:sz w:val="18"/>
              </w:rPr>
            </w:pPr>
            <w:r>
              <w:rPr>
                <w:spacing w:val="-10"/>
                <w:sz w:val="18"/>
              </w:rPr>
              <w:t>$</w:t>
            </w:r>
            <w:r>
              <w:rPr>
                <w:sz w:val="18"/>
              </w:rPr>
              <w:tab/>
            </w:r>
            <w:r>
              <w:rPr>
                <w:spacing w:val="-2"/>
                <w:sz w:val="18"/>
              </w:rPr>
              <w:t>373.9</w:t>
            </w:r>
          </w:p>
        </w:tc>
        <w:tc>
          <w:tcPr>
            <w:tcW w:w="1105" w:type="dxa"/>
            <w:tcBorders>
              <w:top w:val="single" w:sz="4" w:space="0" w:color="000000"/>
              <w:bottom w:val="double" w:sz="8" w:space="0" w:color="000000"/>
            </w:tcBorders>
          </w:tcPr>
          <w:p>
            <w:pPr>
              <w:pStyle w:val="TableParagraph"/>
              <w:rPr>
                <w:sz w:val="14"/>
              </w:rPr>
            </w:pPr>
          </w:p>
        </w:tc>
      </w:tr>
    </w:tbl>
    <w:p>
      <w:pPr>
        <w:spacing w:line="249" w:lineRule="auto" w:before="26"/>
        <w:ind w:left="290" w:right="0" w:hanging="180"/>
        <w:jc w:val="left"/>
        <w:rPr>
          <w:sz w:val="16"/>
        </w:rPr>
      </w:pPr>
      <w:r>
        <w:rPr>
          <w:sz w:val="16"/>
          <w:vertAlign w:val="superscript"/>
        </w:rPr>
        <w:t>(1)</w:t>
      </w:r>
      <w:r>
        <w:rPr>
          <w:spacing w:val="-2"/>
          <w:sz w:val="16"/>
          <w:vertAlign w:val="baseline"/>
        </w:rPr>
        <w:t> </w:t>
      </w:r>
      <w:r>
        <w:rPr>
          <w:sz w:val="16"/>
          <w:vertAlign w:val="baseline"/>
        </w:rPr>
        <w:t>Excludes</w:t>
      </w:r>
      <w:r>
        <w:rPr>
          <w:spacing w:val="-2"/>
          <w:sz w:val="16"/>
          <w:vertAlign w:val="baseline"/>
        </w:rPr>
        <w:t> </w:t>
      </w:r>
      <w:r>
        <w:rPr>
          <w:sz w:val="16"/>
          <w:vertAlign w:val="baseline"/>
        </w:rPr>
        <w:t>$3</w:t>
      </w:r>
      <w:r>
        <w:rPr>
          <w:spacing w:val="-1"/>
          <w:sz w:val="16"/>
          <w:vertAlign w:val="baseline"/>
        </w:rPr>
        <w:t> </w:t>
      </w:r>
      <w:r>
        <w:rPr>
          <w:sz w:val="16"/>
          <w:vertAlign w:val="baseline"/>
        </w:rPr>
        <w:t>million</w:t>
      </w:r>
      <w:r>
        <w:rPr>
          <w:spacing w:val="-2"/>
          <w:sz w:val="16"/>
          <w:vertAlign w:val="baseline"/>
        </w:rPr>
        <w:t> </w:t>
      </w:r>
      <w:r>
        <w:rPr>
          <w:sz w:val="16"/>
          <w:vertAlign w:val="baseline"/>
        </w:rPr>
        <w:t>of</w:t>
      </w:r>
      <w:r>
        <w:rPr>
          <w:spacing w:val="-1"/>
          <w:sz w:val="16"/>
          <w:vertAlign w:val="baseline"/>
        </w:rPr>
        <w:t> </w:t>
      </w:r>
      <w:r>
        <w:rPr>
          <w:sz w:val="16"/>
          <w:vertAlign w:val="baseline"/>
        </w:rPr>
        <w:t>dividends</w:t>
      </w:r>
      <w:r>
        <w:rPr>
          <w:spacing w:val="-2"/>
          <w:sz w:val="16"/>
          <w:vertAlign w:val="baseline"/>
        </w:rPr>
        <w:t> </w:t>
      </w:r>
      <w:r>
        <w:rPr>
          <w:sz w:val="16"/>
          <w:vertAlign w:val="baseline"/>
        </w:rPr>
        <w:t>declared</w:t>
      </w:r>
      <w:r>
        <w:rPr>
          <w:spacing w:val="-1"/>
          <w:sz w:val="16"/>
          <w:vertAlign w:val="baseline"/>
        </w:rPr>
        <w:t> </w:t>
      </w:r>
      <w:r>
        <w:rPr>
          <w:sz w:val="16"/>
          <w:vertAlign w:val="baseline"/>
        </w:rPr>
        <w:t>on</w:t>
      </w:r>
      <w:r>
        <w:rPr>
          <w:spacing w:val="-1"/>
          <w:sz w:val="16"/>
          <w:vertAlign w:val="baseline"/>
        </w:rPr>
        <w:t> </w:t>
      </w:r>
      <w:r>
        <w:rPr>
          <w:sz w:val="16"/>
          <w:vertAlign w:val="baseline"/>
        </w:rPr>
        <w:t>Series</w:t>
      </w:r>
      <w:r>
        <w:rPr>
          <w:spacing w:val="-2"/>
          <w:sz w:val="16"/>
          <w:vertAlign w:val="baseline"/>
        </w:rPr>
        <w:t> </w:t>
      </w:r>
      <w:r>
        <w:rPr>
          <w:sz w:val="16"/>
          <w:vertAlign w:val="baseline"/>
        </w:rPr>
        <w:t>G,</w:t>
      </w:r>
      <w:r>
        <w:rPr>
          <w:spacing w:val="-1"/>
          <w:sz w:val="16"/>
          <w:vertAlign w:val="baseline"/>
        </w:rPr>
        <w:t> </w:t>
      </w:r>
      <w:r>
        <w:rPr>
          <w:sz w:val="16"/>
          <w:vertAlign w:val="baseline"/>
        </w:rPr>
        <w:t>H</w:t>
      </w:r>
      <w:r>
        <w:rPr>
          <w:spacing w:val="-2"/>
          <w:sz w:val="16"/>
          <w:vertAlign w:val="baseline"/>
        </w:rPr>
        <w:t> </w:t>
      </w:r>
      <w:r>
        <w:rPr>
          <w:sz w:val="16"/>
          <w:vertAlign w:val="baseline"/>
        </w:rPr>
        <w:t>and</w:t>
      </w:r>
      <w:r>
        <w:rPr>
          <w:spacing w:val="-1"/>
          <w:sz w:val="16"/>
          <w:vertAlign w:val="baseline"/>
        </w:rPr>
        <w:t> </w:t>
      </w:r>
      <w:r>
        <w:rPr>
          <w:sz w:val="16"/>
          <w:vertAlign w:val="baseline"/>
        </w:rPr>
        <w:t>I,</w:t>
      </w:r>
      <w:r>
        <w:rPr>
          <w:spacing w:val="-1"/>
          <w:sz w:val="16"/>
          <w:vertAlign w:val="baseline"/>
        </w:rPr>
        <w:t> </w:t>
      </w:r>
      <w:r>
        <w:rPr>
          <w:sz w:val="16"/>
          <w:vertAlign w:val="baseline"/>
        </w:rPr>
        <w:t>and</w:t>
      </w:r>
      <w:r>
        <w:rPr>
          <w:spacing w:val="-1"/>
          <w:sz w:val="16"/>
          <w:vertAlign w:val="baseline"/>
        </w:rPr>
        <w:t> </w:t>
      </w:r>
      <w:r>
        <w:rPr>
          <w:sz w:val="16"/>
          <w:vertAlign w:val="baseline"/>
        </w:rPr>
        <w:t>accrued</w:t>
      </w:r>
      <w:r>
        <w:rPr>
          <w:spacing w:val="-1"/>
          <w:sz w:val="16"/>
          <w:vertAlign w:val="baseline"/>
        </w:rPr>
        <w:t> </w:t>
      </w:r>
      <w:r>
        <w:rPr>
          <w:sz w:val="16"/>
          <w:vertAlign w:val="baseline"/>
        </w:rPr>
        <w:t>by</w:t>
      </w:r>
      <w:r>
        <w:rPr>
          <w:spacing w:val="-1"/>
          <w:sz w:val="16"/>
          <w:vertAlign w:val="baseline"/>
        </w:rPr>
        <w:t> </w:t>
      </w:r>
      <w:r>
        <w:rPr>
          <w:sz w:val="16"/>
          <w:vertAlign w:val="baseline"/>
        </w:rPr>
        <w:t>stockholders</w:t>
      </w:r>
      <w:r>
        <w:rPr>
          <w:spacing w:val="-2"/>
          <w:sz w:val="16"/>
          <w:vertAlign w:val="baseline"/>
        </w:rPr>
        <w:t> </w:t>
      </w:r>
      <w:r>
        <w:rPr>
          <w:sz w:val="16"/>
          <w:vertAlign w:val="baseline"/>
        </w:rPr>
        <w:t>as</w:t>
      </w:r>
      <w:r>
        <w:rPr>
          <w:spacing w:val="-2"/>
          <w:sz w:val="16"/>
          <w:vertAlign w:val="baseline"/>
        </w:rPr>
        <w:t> </w:t>
      </w:r>
      <w:r>
        <w:rPr>
          <w:sz w:val="16"/>
          <w:vertAlign w:val="baseline"/>
        </w:rPr>
        <w:t>of</w:t>
      </w:r>
      <w:r>
        <w:rPr>
          <w:spacing w:val="-1"/>
          <w:sz w:val="16"/>
          <w:vertAlign w:val="baseline"/>
        </w:rPr>
        <w:t> </w:t>
      </w:r>
      <w:r>
        <w:rPr>
          <w:sz w:val="16"/>
          <w:vertAlign w:val="baseline"/>
        </w:rPr>
        <w:t>the</w:t>
      </w:r>
      <w:r>
        <w:rPr>
          <w:spacing w:val="-1"/>
          <w:sz w:val="16"/>
          <w:vertAlign w:val="baseline"/>
        </w:rPr>
        <w:t> </w:t>
      </w:r>
      <w:r>
        <w:rPr>
          <w:sz w:val="16"/>
          <w:vertAlign w:val="baseline"/>
        </w:rPr>
        <w:t>repurchase</w:t>
      </w:r>
      <w:r>
        <w:rPr>
          <w:spacing w:val="-1"/>
          <w:sz w:val="16"/>
          <w:vertAlign w:val="baseline"/>
        </w:rPr>
        <w:t> </w:t>
      </w:r>
      <w:r>
        <w:rPr>
          <w:sz w:val="16"/>
          <w:vertAlign w:val="baseline"/>
        </w:rPr>
        <w:t>date.</w:t>
      </w:r>
      <w:r>
        <w:rPr>
          <w:spacing w:val="-1"/>
          <w:sz w:val="16"/>
          <w:vertAlign w:val="baseline"/>
        </w:rPr>
        <w:t> </w:t>
      </w:r>
      <w:r>
        <w:rPr>
          <w:sz w:val="16"/>
          <w:vertAlign w:val="baseline"/>
        </w:rPr>
        <w:t>Such</w:t>
      </w:r>
      <w:r>
        <w:rPr>
          <w:spacing w:val="-1"/>
          <w:sz w:val="16"/>
          <w:vertAlign w:val="baseline"/>
        </w:rPr>
        <w:t> </w:t>
      </w:r>
      <w:r>
        <w:rPr>
          <w:sz w:val="16"/>
          <w:vertAlign w:val="baseline"/>
        </w:rPr>
        <w:t>dividends</w:t>
      </w:r>
      <w:r>
        <w:rPr>
          <w:spacing w:val="-2"/>
          <w:sz w:val="16"/>
          <w:vertAlign w:val="baseline"/>
        </w:rPr>
        <w:t> </w:t>
      </w:r>
      <w:r>
        <w:rPr>
          <w:sz w:val="16"/>
          <w:vertAlign w:val="baseline"/>
        </w:rPr>
        <w:t>are</w:t>
      </w:r>
      <w:r>
        <w:rPr>
          <w:spacing w:val="-1"/>
          <w:sz w:val="16"/>
          <w:vertAlign w:val="baseline"/>
        </w:rPr>
        <w:t> </w:t>
      </w:r>
      <w:r>
        <w:rPr>
          <w:sz w:val="16"/>
          <w:vertAlign w:val="baseline"/>
        </w:rPr>
        <w:t>part</w:t>
      </w:r>
      <w:r>
        <w:rPr>
          <w:spacing w:val="-1"/>
          <w:sz w:val="16"/>
          <w:vertAlign w:val="baseline"/>
        </w:rPr>
        <w:t> </w:t>
      </w:r>
      <w:r>
        <w:rPr>
          <w:sz w:val="16"/>
          <w:vertAlign w:val="baseline"/>
        </w:rPr>
        <w:t>of</w:t>
      </w:r>
      <w:r>
        <w:rPr>
          <w:spacing w:val="-1"/>
          <w:sz w:val="16"/>
          <w:vertAlign w:val="baseline"/>
        </w:rPr>
        <w:t> </w:t>
      </w:r>
      <w:r>
        <w:rPr>
          <w:sz w:val="16"/>
          <w:vertAlign w:val="baseline"/>
        </w:rPr>
        <w:t>the</w:t>
      </w:r>
      <w:r>
        <w:rPr>
          <w:spacing w:val="-1"/>
          <w:sz w:val="16"/>
          <w:vertAlign w:val="baseline"/>
        </w:rPr>
        <w:t> </w:t>
      </w:r>
      <w:r>
        <w:rPr>
          <w:sz w:val="16"/>
          <w:vertAlign w:val="baseline"/>
        </w:rPr>
        <w:t>consideration</w:t>
      </w:r>
      <w:r>
        <w:rPr>
          <w:spacing w:val="-1"/>
          <w:sz w:val="16"/>
          <w:vertAlign w:val="baseline"/>
        </w:rPr>
        <w:t> </w:t>
      </w:r>
      <w:r>
        <w:rPr>
          <w:sz w:val="16"/>
          <w:vertAlign w:val="baseline"/>
        </w:rPr>
        <w:t>paid</w:t>
      </w:r>
      <w:r>
        <w:rPr>
          <w:spacing w:val="40"/>
          <w:sz w:val="16"/>
          <w:vertAlign w:val="baseline"/>
        </w:rPr>
        <w:t> </w:t>
      </w:r>
      <w:r>
        <w:rPr>
          <w:sz w:val="16"/>
          <w:vertAlign w:val="baseline"/>
        </w:rPr>
        <w:t>upon repurchase of the depositary shares during the nine months ended September 30, 2023.</w:t>
      </w:r>
    </w:p>
    <w:p>
      <w:pPr>
        <w:spacing w:line="249" w:lineRule="auto" w:before="1"/>
        <w:ind w:left="290" w:right="500" w:hanging="180"/>
        <w:jc w:val="left"/>
        <w:rPr>
          <w:sz w:val="16"/>
        </w:rPr>
      </w:pPr>
      <w:r>
        <w:rPr>
          <w:sz w:val="16"/>
          <w:vertAlign w:val="superscript"/>
        </w:rPr>
        <w:t>(2)</w:t>
      </w:r>
      <w:r>
        <w:rPr>
          <w:spacing w:val="-15"/>
          <w:sz w:val="16"/>
          <w:vertAlign w:val="baseline"/>
        </w:rPr>
        <w:t> </w:t>
      </w:r>
      <w:r>
        <w:rPr>
          <w:sz w:val="16"/>
          <w:vertAlign w:val="baseline"/>
        </w:rPr>
        <w:t>Series</w:t>
      </w:r>
      <w:r>
        <w:rPr>
          <w:spacing w:val="-3"/>
          <w:sz w:val="16"/>
          <w:vertAlign w:val="baseline"/>
        </w:rPr>
        <w:t> </w:t>
      </w:r>
      <w:r>
        <w:rPr>
          <w:sz w:val="16"/>
          <w:vertAlign w:val="baseline"/>
        </w:rPr>
        <w:t>A</w:t>
      </w:r>
      <w:r>
        <w:rPr>
          <w:spacing w:val="-3"/>
          <w:sz w:val="16"/>
          <w:vertAlign w:val="baseline"/>
        </w:rPr>
        <w:t> </w:t>
      </w:r>
      <w:r>
        <w:rPr>
          <w:sz w:val="16"/>
          <w:vertAlign w:val="baseline"/>
        </w:rPr>
        <w:t>was</w:t>
      </w:r>
      <w:r>
        <w:rPr>
          <w:spacing w:val="-3"/>
          <w:sz w:val="16"/>
          <w:vertAlign w:val="baseline"/>
        </w:rPr>
        <w:t> </w:t>
      </w:r>
      <w:r>
        <w:rPr>
          <w:sz w:val="16"/>
          <w:vertAlign w:val="baseline"/>
        </w:rPr>
        <w:t>redeemed</w:t>
      </w:r>
      <w:r>
        <w:rPr>
          <w:spacing w:val="-2"/>
          <w:sz w:val="16"/>
          <w:vertAlign w:val="baseline"/>
        </w:rPr>
        <w:t> </w:t>
      </w:r>
      <w:r>
        <w:rPr>
          <w:sz w:val="16"/>
          <w:vertAlign w:val="baseline"/>
        </w:rPr>
        <w:t>on</w:t>
      </w:r>
      <w:r>
        <w:rPr>
          <w:spacing w:val="-2"/>
          <w:sz w:val="16"/>
          <w:vertAlign w:val="baseline"/>
        </w:rPr>
        <w:t> </w:t>
      </w:r>
      <w:r>
        <w:rPr>
          <w:sz w:val="16"/>
          <w:vertAlign w:val="baseline"/>
        </w:rPr>
        <w:t>November</w:t>
      </w:r>
      <w:r>
        <w:rPr>
          <w:spacing w:val="-2"/>
          <w:sz w:val="16"/>
          <w:vertAlign w:val="baseline"/>
        </w:rPr>
        <w:t> </w:t>
      </w:r>
      <w:r>
        <w:rPr>
          <w:sz w:val="16"/>
          <w:vertAlign w:val="baseline"/>
        </w:rPr>
        <w:t>1,</w:t>
      </w:r>
      <w:r>
        <w:rPr>
          <w:spacing w:val="-2"/>
          <w:sz w:val="16"/>
          <w:vertAlign w:val="baseline"/>
        </w:rPr>
        <w:t> </w:t>
      </w:r>
      <w:r>
        <w:rPr>
          <w:sz w:val="16"/>
          <w:vertAlign w:val="baseline"/>
        </w:rPr>
        <w:t>2022.</w:t>
      </w:r>
      <w:r>
        <w:rPr>
          <w:spacing w:val="-2"/>
          <w:sz w:val="16"/>
          <w:vertAlign w:val="baseline"/>
        </w:rPr>
        <w:t> </w:t>
      </w:r>
      <w:r>
        <w:rPr>
          <w:sz w:val="16"/>
          <w:vertAlign w:val="baseline"/>
        </w:rPr>
        <w:t>Prior</w:t>
      </w:r>
      <w:r>
        <w:rPr>
          <w:spacing w:val="-2"/>
          <w:sz w:val="16"/>
          <w:vertAlign w:val="baseline"/>
        </w:rPr>
        <w:t> </w:t>
      </w:r>
      <w:r>
        <w:rPr>
          <w:sz w:val="16"/>
          <w:vertAlign w:val="baseline"/>
        </w:rPr>
        <w:t>to</w:t>
      </w:r>
      <w:r>
        <w:rPr>
          <w:spacing w:val="-2"/>
          <w:sz w:val="16"/>
          <w:vertAlign w:val="baseline"/>
        </w:rPr>
        <w:t> </w:t>
      </w:r>
      <w:r>
        <w:rPr>
          <w:sz w:val="16"/>
          <w:vertAlign w:val="baseline"/>
        </w:rPr>
        <w:t>redemption,</w:t>
      </w:r>
      <w:r>
        <w:rPr>
          <w:spacing w:val="-2"/>
          <w:sz w:val="16"/>
          <w:vertAlign w:val="baseline"/>
        </w:rPr>
        <w:t> </w:t>
      </w:r>
      <w:r>
        <w:rPr>
          <w:sz w:val="16"/>
          <w:vertAlign w:val="baseline"/>
        </w:rPr>
        <w:t>dividends</w:t>
      </w:r>
      <w:r>
        <w:rPr>
          <w:spacing w:val="-3"/>
          <w:sz w:val="16"/>
          <w:vertAlign w:val="baseline"/>
        </w:rPr>
        <w:t> </w:t>
      </w:r>
      <w:r>
        <w:rPr>
          <w:sz w:val="16"/>
          <w:vertAlign w:val="baseline"/>
        </w:rPr>
        <w:t>were</w:t>
      </w:r>
      <w:r>
        <w:rPr>
          <w:spacing w:val="-2"/>
          <w:sz w:val="16"/>
          <w:vertAlign w:val="baseline"/>
        </w:rPr>
        <w:t> </w:t>
      </w:r>
      <w:r>
        <w:rPr>
          <w:sz w:val="16"/>
          <w:vertAlign w:val="baseline"/>
        </w:rPr>
        <w:t>paid</w:t>
      </w:r>
      <w:r>
        <w:rPr>
          <w:spacing w:val="-2"/>
          <w:sz w:val="16"/>
          <w:vertAlign w:val="baseline"/>
        </w:rPr>
        <w:t> </w:t>
      </w:r>
      <w:r>
        <w:rPr>
          <w:sz w:val="16"/>
          <w:vertAlign w:val="baseline"/>
        </w:rPr>
        <w:t>semi-annually</w:t>
      </w:r>
      <w:r>
        <w:rPr>
          <w:spacing w:val="-2"/>
          <w:sz w:val="16"/>
          <w:vertAlign w:val="baseline"/>
        </w:rPr>
        <w:t> </w:t>
      </w:r>
      <w:r>
        <w:rPr>
          <w:sz w:val="16"/>
          <w:vertAlign w:val="baseline"/>
        </w:rPr>
        <w:t>until</w:t>
      </w:r>
      <w:r>
        <w:rPr>
          <w:spacing w:val="-2"/>
          <w:sz w:val="16"/>
          <w:vertAlign w:val="baseline"/>
        </w:rPr>
        <w:t> </w:t>
      </w:r>
      <w:r>
        <w:rPr>
          <w:sz w:val="16"/>
          <w:vertAlign w:val="baseline"/>
        </w:rPr>
        <w:t>February</w:t>
      </w:r>
      <w:r>
        <w:rPr>
          <w:spacing w:val="-2"/>
          <w:sz w:val="16"/>
          <w:vertAlign w:val="baseline"/>
        </w:rPr>
        <w:t> </w:t>
      </w:r>
      <w:r>
        <w:rPr>
          <w:sz w:val="16"/>
          <w:vertAlign w:val="baseline"/>
        </w:rPr>
        <w:t>1,</w:t>
      </w:r>
      <w:r>
        <w:rPr>
          <w:spacing w:val="-2"/>
          <w:sz w:val="16"/>
          <w:vertAlign w:val="baseline"/>
        </w:rPr>
        <w:t> </w:t>
      </w:r>
      <w:r>
        <w:rPr>
          <w:sz w:val="16"/>
          <w:vertAlign w:val="baseline"/>
        </w:rPr>
        <w:t>2022</w:t>
      </w:r>
      <w:r>
        <w:rPr>
          <w:spacing w:val="-2"/>
          <w:sz w:val="16"/>
          <w:vertAlign w:val="baseline"/>
        </w:rPr>
        <w:t> </w:t>
      </w:r>
      <w:r>
        <w:rPr>
          <w:sz w:val="16"/>
          <w:vertAlign w:val="baseline"/>
        </w:rPr>
        <w:t>and</w:t>
      </w:r>
      <w:r>
        <w:rPr>
          <w:spacing w:val="-2"/>
          <w:sz w:val="16"/>
          <w:vertAlign w:val="baseline"/>
        </w:rPr>
        <w:t> </w:t>
      </w:r>
      <w:r>
        <w:rPr>
          <w:sz w:val="16"/>
          <w:vertAlign w:val="baseline"/>
        </w:rPr>
        <w:t>quarterly</w:t>
      </w:r>
      <w:r>
        <w:rPr>
          <w:spacing w:val="-2"/>
          <w:sz w:val="16"/>
          <w:vertAlign w:val="baseline"/>
        </w:rPr>
        <w:t> </w:t>
      </w:r>
      <w:r>
        <w:rPr>
          <w:sz w:val="16"/>
          <w:vertAlign w:val="baseline"/>
        </w:rPr>
        <w:t>thereafter.</w:t>
      </w:r>
      <w:r>
        <w:rPr>
          <w:spacing w:val="-2"/>
          <w:sz w:val="16"/>
          <w:vertAlign w:val="baseline"/>
        </w:rPr>
        <w:t> </w:t>
      </w:r>
      <w:r>
        <w:rPr>
          <w:sz w:val="16"/>
          <w:vertAlign w:val="baseline"/>
        </w:rPr>
        <w:t>The</w:t>
      </w:r>
      <w:r>
        <w:rPr>
          <w:spacing w:val="-2"/>
          <w:sz w:val="16"/>
          <w:vertAlign w:val="baseline"/>
        </w:rPr>
        <w:t> </w:t>
      </w:r>
      <w:r>
        <w:rPr>
          <w:sz w:val="16"/>
          <w:vertAlign w:val="baseline"/>
        </w:rPr>
        <w:t>final</w:t>
      </w:r>
      <w:r>
        <w:rPr>
          <w:spacing w:val="40"/>
          <w:sz w:val="16"/>
          <w:vertAlign w:val="baseline"/>
        </w:rPr>
        <w:t> </w:t>
      </w:r>
      <w:r>
        <w:rPr>
          <w:sz w:val="16"/>
          <w:vertAlign w:val="baseline"/>
        </w:rPr>
        <w:t>dividend was paid on November 1, 2022.</w:t>
      </w:r>
    </w:p>
    <w:p>
      <w:pPr>
        <w:spacing w:before="2"/>
        <w:ind w:left="110" w:right="0" w:firstLine="0"/>
        <w:jc w:val="left"/>
        <w:rPr>
          <w:sz w:val="16"/>
        </w:rPr>
      </w:pPr>
      <w:r>
        <w:rPr>
          <w:sz w:val="16"/>
          <w:vertAlign w:val="superscript"/>
        </w:rPr>
        <w:t>(3)</w:t>
      </w:r>
      <w:r>
        <w:rPr>
          <w:spacing w:val="1"/>
          <w:sz w:val="16"/>
          <w:vertAlign w:val="baseline"/>
        </w:rPr>
        <w:t> </w:t>
      </w:r>
      <w:r>
        <w:rPr>
          <w:sz w:val="16"/>
          <w:vertAlign w:val="baseline"/>
        </w:rPr>
        <w:t>Dividends</w:t>
      </w:r>
      <w:r>
        <w:rPr>
          <w:spacing w:val="2"/>
          <w:sz w:val="16"/>
          <w:vertAlign w:val="baseline"/>
        </w:rPr>
        <w:t> </w:t>
      </w:r>
      <w:r>
        <w:rPr>
          <w:sz w:val="16"/>
          <w:vertAlign w:val="baseline"/>
        </w:rPr>
        <w:t>paid</w:t>
      </w:r>
      <w:r>
        <w:rPr>
          <w:spacing w:val="3"/>
          <w:sz w:val="16"/>
          <w:vertAlign w:val="baseline"/>
        </w:rPr>
        <w:t> </w:t>
      </w:r>
      <w:r>
        <w:rPr>
          <w:spacing w:val="-2"/>
          <w:sz w:val="16"/>
          <w:vertAlign w:val="baseline"/>
        </w:rPr>
        <w:t>quarterly.</w:t>
      </w:r>
    </w:p>
    <w:p>
      <w:pPr>
        <w:spacing w:line="249" w:lineRule="auto" w:before="8"/>
        <w:ind w:left="290" w:right="146" w:hanging="180"/>
        <w:jc w:val="left"/>
        <w:rPr>
          <w:sz w:val="16"/>
        </w:rPr>
      </w:pPr>
      <w:r>
        <w:rPr>
          <w:sz w:val="16"/>
          <w:vertAlign w:val="superscript"/>
        </w:rPr>
        <w:t>(4)</w:t>
      </w:r>
      <w:r>
        <w:rPr>
          <w:spacing w:val="-3"/>
          <w:sz w:val="16"/>
          <w:vertAlign w:val="baseline"/>
        </w:rPr>
        <w:t> </w:t>
      </w:r>
      <w:r>
        <w:rPr>
          <w:sz w:val="16"/>
          <w:vertAlign w:val="baseline"/>
        </w:rPr>
        <w:t>Series</w:t>
      </w:r>
      <w:r>
        <w:rPr>
          <w:spacing w:val="-3"/>
          <w:sz w:val="16"/>
          <w:vertAlign w:val="baseline"/>
        </w:rPr>
        <w:t> </w:t>
      </w:r>
      <w:r>
        <w:rPr>
          <w:sz w:val="16"/>
          <w:vertAlign w:val="baseline"/>
        </w:rPr>
        <w:t>E</w:t>
      </w:r>
      <w:r>
        <w:rPr>
          <w:spacing w:val="-3"/>
          <w:sz w:val="16"/>
          <w:vertAlign w:val="baseline"/>
        </w:rPr>
        <w:t> </w:t>
      </w:r>
      <w:r>
        <w:rPr>
          <w:sz w:val="16"/>
          <w:vertAlign w:val="baseline"/>
        </w:rPr>
        <w:t>was</w:t>
      </w:r>
      <w:r>
        <w:rPr>
          <w:spacing w:val="-3"/>
          <w:sz w:val="16"/>
          <w:vertAlign w:val="baseline"/>
        </w:rPr>
        <w:t> </w:t>
      </w:r>
      <w:r>
        <w:rPr>
          <w:sz w:val="16"/>
          <w:vertAlign w:val="baseline"/>
        </w:rPr>
        <w:t>redeemed</w:t>
      </w:r>
      <w:r>
        <w:rPr>
          <w:spacing w:val="-2"/>
          <w:sz w:val="16"/>
          <w:vertAlign w:val="baseline"/>
        </w:rPr>
        <w:t> </w:t>
      </w:r>
      <w:r>
        <w:rPr>
          <w:sz w:val="16"/>
          <w:vertAlign w:val="baseline"/>
        </w:rPr>
        <w:t>on</w:t>
      </w:r>
      <w:r>
        <w:rPr>
          <w:spacing w:val="-2"/>
          <w:sz w:val="16"/>
          <w:vertAlign w:val="baseline"/>
        </w:rPr>
        <w:t> </w:t>
      </w:r>
      <w:r>
        <w:rPr>
          <w:sz w:val="16"/>
          <w:vertAlign w:val="baseline"/>
        </w:rPr>
        <w:t>December</w:t>
      </w:r>
      <w:r>
        <w:rPr>
          <w:spacing w:val="-2"/>
          <w:sz w:val="16"/>
          <w:vertAlign w:val="baseline"/>
        </w:rPr>
        <w:t> </w:t>
      </w:r>
      <w:r>
        <w:rPr>
          <w:sz w:val="16"/>
          <w:vertAlign w:val="baseline"/>
        </w:rPr>
        <w:t>1,</w:t>
      </w:r>
      <w:r>
        <w:rPr>
          <w:spacing w:val="-2"/>
          <w:sz w:val="16"/>
          <w:vertAlign w:val="baseline"/>
        </w:rPr>
        <w:t> </w:t>
      </w:r>
      <w:r>
        <w:rPr>
          <w:sz w:val="16"/>
          <w:vertAlign w:val="baseline"/>
        </w:rPr>
        <w:t>2022.</w:t>
      </w:r>
      <w:r>
        <w:rPr>
          <w:spacing w:val="-2"/>
          <w:sz w:val="16"/>
          <w:vertAlign w:val="baseline"/>
        </w:rPr>
        <w:t> </w:t>
      </w:r>
      <w:r>
        <w:rPr>
          <w:sz w:val="16"/>
          <w:vertAlign w:val="baseline"/>
        </w:rPr>
        <w:t>Prior</w:t>
      </w:r>
      <w:r>
        <w:rPr>
          <w:spacing w:val="-2"/>
          <w:sz w:val="16"/>
          <w:vertAlign w:val="baseline"/>
        </w:rPr>
        <w:t> </w:t>
      </w:r>
      <w:r>
        <w:rPr>
          <w:sz w:val="16"/>
          <w:vertAlign w:val="baseline"/>
        </w:rPr>
        <w:t>to</w:t>
      </w:r>
      <w:r>
        <w:rPr>
          <w:spacing w:val="-2"/>
          <w:sz w:val="16"/>
          <w:vertAlign w:val="baseline"/>
        </w:rPr>
        <w:t> </w:t>
      </w:r>
      <w:r>
        <w:rPr>
          <w:sz w:val="16"/>
          <w:vertAlign w:val="baseline"/>
        </w:rPr>
        <w:t>redemption,</w:t>
      </w:r>
      <w:r>
        <w:rPr>
          <w:spacing w:val="-2"/>
          <w:sz w:val="16"/>
          <w:vertAlign w:val="baseline"/>
        </w:rPr>
        <w:t> </w:t>
      </w:r>
      <w:r>
        <w:rPr>
          <w:sz w:val="16"/>
          <w:vertAlign w:val="baseline"/>
        </w:rPr>
        <w:t>dividends</w:t>
      </w:r>
      <w:r>
        <w:rPr>
          <w:spacing w:val="-3"/>
          <w:sz w:val="16"/>
          <w:vertAlign w:val="baseline"/>
        </w:rPr>
        <w:t> </w:t>
      </w:r>
      <w:r>
        <w:rPr>
          <w:sz w:val="16"/>
          <w:vertAlign w:val="baseline"/>
        </w:rPr>
        <w:t>were</w:t>
      </w:r>
      <w:r>
        <w:rPr>
          <w:spacing w:val="-2"/>
          <w:sz w:val="16"/>
          <w:vertAlign w:val="baseline"/>
        </w:rPr>
        <w:t> </w:t>
      </w:r>
      <w:r>
        <w:rPr>
          <w:sz w:val="16"/>
          <w:vertAlign w:val="baseline"/>
        </w:rPr>
        <w:t>paid</w:t>
      </w:r>
      <w:r>
        <w:rPr>
          <w:spacing w:val="-2"/>
          <w:sz w:val="16"/>
          <w:vertAlign w:val="baseline"/>
        </w:rPr>
        <w:t> </w:t>
      </w:r>
      <w:r>
        <w:rPr>
          <w:sz w:val="16"/>
          <w:vertAlign w:val="baseline"/>
        </w:rPr>
        <w:t>semi-annually</w:t>
      </w:r>
      <w:r>
        <w:rPr>
          <w:spacing w:val="-2"/>
          <w:sz w:val="16"/>
          <w:vertAlign w:val="baseline"/>
        </w:rPr>
        <w:t> </w:t>
      </w:r>
      <w:r>
        <w:rPr>
          <w:sz w:val="16"/>
          <w:vertAlign w:val="baseline"/>
        </w:rPr>
        <w:t>until</w:t>
      </w:r>
      <w:r>
        <w:rPr>
          <w:spacing w:val="-2"/>
          <w:sz w:val="16"/>
          <w:vertAlign w:val="baseline"/>
        </w:rPr>
        <w:t> </w:t>
      </w:r>
      <w:r>
        <w:rPr>
          <w:sz w:val="16"/>
          <w:vertAlign w:val="baseline"/>
        </w:rPr>
        <w:t>March</w:t>
      </w:r>
      <w:r>
        <w:rPr>
          <w:spacing w:val="-2"/>
          <w:sz w:val="16"/>
          <w:vertAlign w:val="baseline"/>
        </w:rPr>
        <w:t> </w:t>
      </w:r>
      <w:r>
        <w:rPr>
          <w:sz w:val="16"/>
          <w:vertAlign w:val="baseline"/>
        </w:rPr>
        <w:t>1,</w:t>
      </w:r>
      <w:r>
        <w:rPr>
          <w:spacing w:val="-2"/>
          <w:sz w:val="16"/>
          <w:vertAlign w:val="baseline"/>
        </w:rPr>
        <w:t> </w:t>
      </w:r>
      <w:r>
        <w:rPr>
          <w:sz w:val="16"/>
          <w:vertAlign w:val="baseline"/>
        </w:rPr>
        <w:t>2022</w:t>
      </w:r>
      <w:r>
        <w:rPr>
          <w:spacing w:val="-2"/>
          <w:sz w:val="16"/>
          <w:vertAlign w:val="baseline"/>
        </w:rPr>
        <w:t> </w:t>
      </w:r>
      <w:r>
        <w:rPr>
          <w:sz w:val="16"/>
          <w:vertAlign w:val="baseline"/>
        </w:rPr>
        <w:t>and</w:t>
      </w:r>
      <w:r>
        <w:rPr>
          <w:spacing w:val="-2"/>
          <w:sz w:val="16"/>
          <w:vertAlign w:val="baseline"/>
        </w:rPr>
        <w:t> </w:t>
      </w:r>
      <w:r>
        <w:rPr>
          <w:sz w:val="16"/>
          <w:vertAlign w:val="baseline"/>
        </w:rPr>
        <w:t>quarterly</w:t>
      </w:r>
      <w:r>
        <w:rPr>
          <w:spacing w:val="-2"/>
          <w:sz w:val="16"/>
          <w:vertAlign w:val="baseline"/>
        </w:rPr>
        <w:t> </w:t>
      </w:r>
      <w:r>
        <w:rPr>
          <w:sz w:val="16"/>
          <w:vertAlign w:val="baseline"/>
        </w:rPr>
        <w:t>thereafter.</w:t>
      </w:r>
      <w:r>
        <w:rPr>
          <w:spacing w:val="-2"/>
          <w:sz w:val="16"/>
          <w:vertAlign w:val="baseline"/>
        </w:rPr>
        <w:t> </w:t>
      </w:r>
      <w:r>
        <w:rPr>
          <w:sz w:val="16"/>
          <w:vertAlign w:val="baseline"/>
        </w:rPr>
        <w:t>The</w:t>
      </w:r>
      <w:r>
        <w:rPr>
          <w:spacing w:val="-2"/>
          <w:sz w:val="16"/>
          <w:vertAlign w:val="baseline"/>
        </w:rPr>
        <w:t> </w:t>
      </w:r>
      <w:r>
        <w:rPr>
          <w:sz w:val="16"/>
          <w:vertAlign w:val="baseline"/>
        </w:rPr>
        <w:t>final</w:t>
      </w:r>
      <w:r>
        <w:rPr>
          <w:spacing w:val="-2"/>
          <w:sz w:val="16"/>
          <w:vertAlign w:val="baseline"/>
        </w:rPr>
        <w:t> </w:t>
      </w:r>
      <w:r>
        <w:rPr>
          <w:sz w:val="16"/>
          <w:vertAlign w:val="baseline"/>
        </w:rPr>
        <w:t>dividend</w:t>
      </w:r>
      <w:r>
        <w:rPr>
          <w:spacing w:val="40"/>
          <w:sz w:val="16"/>
          <w:vertAlign w:val="baseline"/>
        </w:rPr>
        <w:t> </w:t>
      </w:r>
      <w:r>
        <w:rPr>
          <w:sz w:val="16"/>
          <w:vertAlign w:val="baseline"/>
        </w:rPr>
        <w:t>was paid on December 1, 2022.</w:t>
      </w:r>
    </w:p>
    <w:p>
      <w:pPr>
        <w:spacing w:before="1"/>
        <w:ind w:left="110" w:right="0" w:firstLine="0"/>
        <w:jc w:val="left"/>
        <w:rPr>
          <w:sz w:val="16"/>
        </w:rPr>
      </w:pPr>
      <w:r>
        <w:rPr>
          <w:sz w:val="16"/>
          <w:vertAlign w:val="superscript"/>
        </w:rPr>
        <w:t>(5)</w:t>
      </w:r>
      <w:r>
        <w:rPr>
          <w:spacing w:val="-1"/>
          <w:sz w:val="16"/>
          <w:vertAlign w:val="baseline"/>
        </w:rPr>
        <w:t> </w:t>
      </w:r>
      <w:r>
        <w:rPr>
          <w:sz w:val="16"/>
          <w:vertAlign w:val="baseline"/>
        </w:rPr>
        <w:t>Dividends paid semi-annually</w:t>
      </w:r>
      <w:r>
        <w:rPr>
          <w:spacing w:val="1"/>
          <w:sz w:val="16"/>
          <w:vertAlign w:val="baseline"/>
        </w:rPr>
        <w:t> </w:t>
      </w:r>
      <w:r>
        <w:rPr>
          <w:sz w:val="16"/>
          <w:vertAlign w:val="baseline"/>
        </w:rPr>
        <w:t>until</w:t>
      </w:r>
      <w:r>
        <w:rPr>
          <w:spacing w:val="1"/>
          <w:sz w:val="16"/>
          <w:vertAlign w:val="baseline"/>
        </w:rPr>
        <w:t> </w:t>
      </w:r>
      <w:r>
        <w:rPr>
          <w:sz w:val="16"/>
          <w:vertAlign w:val="baseline"/>
        </w:rPr>
        <w:t>December 1,</w:t>
      </w:r>
      <w:r>
        <w:rPr>
          <w:spacing w:val="1"/>
          <w:sz w:val="16"/>
          <w:vertAlign w:val="baseline"/>
        </w:rPr>
        <w:t> </w:t>
      </w:r>
      <w:r>
        <w:rPr>
          <w:sz w:val="16"/>
          <w:vertAlign w:val="baseline"/>
        </w:rPr>
        <w:t>2027</w:t>
      </w:r>
      <w:r>
        <w:rPr>
          <w:spacing w:val="1"/>
          <w:sz w:val="16"/>
          <w:vertAlign w:val="baseline"/>
        </w:rPr>
        <w:t> </w:t>
      </w:r>
      <w:r>
        <w:rPr>
          <w:sz w:val="16"/>
          <w:vertAlign w:val="baseline"/>
        </w:rPr>
        <w:t>and quarterly</w:t>
      </w:r>
      <w:r>
        <w:rPr>
          <w:spacing w:val="1"/>
          <w:sz w:val="16"/>
          <w:vertAlign w:val="baseline"/>
        </w:rPr>
        <w:t> </w:t>
      </w:r>
      <w:r>
        <w:rPr>
          <w:spacing w:val="-2"/>
          <w:sz w:val="16"/>
          <w:vertAlign w:val="baseline"/>
        </w:rPr>
        <w:t>thereafter.</w:t>
      </w:r>
    </w:p>
    <w:p>
      <w:pPr>
        <w:spacing w:line="249" w:lineRule="auto" w:before="8"/>
        <w:ind w:left="110" w:right="3393" w:firstLine="0"/>
        <w:jc w:val="left"/>
        <w:rPr>
          <w:sz w:val="16"/>
        </w:rPr>
      </w:pPr>
      <w:r>
        <w:rPr>
          <w:sz w:val="16"/>
          <w:vertAlign w:val="superscript"/>
        </w:rPr>
        <w:t>(6)</w:t>
      </w:r>
      <w:r>
        <w:rPr>
          <w:spacing w:val="-15"/>
          <w:sz w:val="16"/>
          <w:vertAlign w:val="baseline"/>
        </w:rPr>
        <w:t> </w:t>
      </w:r>
      <w:r>
        <w:rPr>
          <w:sz w:val="16"/>
          <w:vertAlign w:val="baseline"/>
        </w:rPr>
        <w:t>Series</w:t>
      </w:r>
      <w:r>
        <w:rPr>
          <w:spacing w:val="-3"/>
          <w:sz w:val="16"/>
          <w:vertAlign w:val="baseline"/>
        </w:rPr>
        <w:t> </w:t>
      </w:r>
      <w:r>
        <w:rPr>
          <w:sz w:val="16"/>
          <w:vertAlign w:val="baseline"/>
        </w:rPr>
        <w:t>K</w:t>
      </w:r>
      <w:r>
        <w:rPr>
          <w:spacing w:val="-3"/>
          <w:sz w:val="16"/>
          <w:vertAlign w:val="baseline"/>
        </w:rPr>
        <w:t> </w:t>
      </w:r>
      <w:r>
        <w:rPr>
          <w:sz w:val="16"/>
          <w:vertAlign w:val="baseline"/>
        </w:rPr>
        <w:t>was</w:t>
      </w:r>
      <w:r>
        <w:rPr>
          <w:spacing w:val="-3"/>
          <w:sz w:val="16"/>
          <w:vertAlign w:val="baseline"/>
        </w:rPr>
        <w:t> </w:t>
      </w:r>
      <w:r>
        <w:rPr>
          <w:sz w:val="16"/>
          <w:vertAlign w:val="baseline"/>
        </w:rPr>
        <w:t>issued</w:t>
      </w:r>
      <w:r>
        <w:rPr>
          <w:spacing w:val="-2"/>
          <w:sz w:val="16"/>
          <w:vertAlign w:val="baseline"/>
        </w:rPr>
        <w:t> </w:t>
      </w:r>
      <w:r>
        <w:rPr>
          <w:sz w:val="16"/>
          <w:vertAlign w:val="baseline"/>
        </w:rPr>
        <w:t>on</w:t>
      </w:r>
      <w:r>
        <w:rPr>
          <w:spacing w:val="-2"/>
          <w:sz w:val="16"/>
          <w:vertAlign w:val="baseline"/>
        </w:rPr>
        <w:t> </w:t>
      </w:r>
      <w:r>
        <w:rPr>
          <w:sz w:val="16"/>
          <w:vertAlign w:val="baseline"/>
        </w:rPr>
        <w:t>March</w:t>
      </w:r>
      <w:r>
        <w:rPr>
          <w:spacing w:val="-2"/>
          <w:sz w:val="16"/>
          <w:vertAlign w:val="baseline"/>
        </w:rPr>
        <w:t> </w:t>
      </w:r>
      <w:r>
        <w:rPr>
          <w:sz w:val="16"/>
          <w:vertAlign w:val="baseline"/>
        </w:rPr>
        <w:t>4,</w:t>
      </w:r>
      <w:r>
        <w:rPr>
          <w:spacing w:val="-2"/>
          <w:sz w:val="16"/>
          <w:vertAlign w:val="baseline"/>
        </w:rPr>
        <w:t> </w:t>
      </w:r>
      <w:r>
        <w:rPr>
          <w:sz w:val="16"/>
          <w:vertAlign w:val="baseline"/>
        </w:rPr>
        <w:t>2022.</w:t>
      </w:r>
      <w:r>
        <w:rPr>
          <w:spacing w:val="-2"/>
          <w:sz w:val="16"/>
          <w:vertAlign w:val="baseline"/>
        </w:rPr>
        <w:t> </w:t>
      </w:r>
      <w:r>
        <w:rPr>
          <w:sz w:val="16"/>
          <w:vertAlign w:val="baseline"/>
        </w:rPr>
        <w:t>Dividends</w:t>
      </w:r>
      <w:r>
        <w:rPr>
          <w:spacing w:val="-3"/>
          <w:sz w:val="16"/>
          <w:vertAlign w:val="baseline"/>
        </w:rPr>
        <w:t> </w:t>
      </w:r>
      <w:r>
        <w:rPr>
          <w:sz w:val="16"/>
          <w:vertAlign w:val="baseline"/>
        </w:rPr>
        <w:t>are</w:t>
      </w:r>
      <w:r>
        <w:rPr>
          <w:spacing w:val="-2"/>
          <w:sz w:val="16"/>
          <w:vertAlign w:val="baseline"/>
        </w:rPr>
        <w:t> </w:t>
      </w:r>
      <w:r>
        <w:rPr>
          <w:sz w:val="16"/>
          <w:vertAlign w:val="baseline"/>
        </w:rPr>
        <w:t>paid</w:t>
      </w:r>
      <w:r>
        <w:rPr>
          <w:spacing w:val="-2"/>
          <w:sz w:val="16"/>
          <w:vertAlign w:val="baseline"/>
        </w:rPr>
        <w:t> </w:t>
      </w:r>
      <w:r>
        <w:rPr>
          <w:sz w:val="16"/>
          <w:vertAlign w:val="baseline"/>
        </w:rPr>
        <w:t>quarterly,</w:t>
      </w:r>
      <w:r>
        <w:rPr>
          <w:spacing w:val="-2"/>
          <w:sz w:val="16"/>
          <w:vertAlign w:val="baseline"/>
        </w:rPr>
        <w:t> </w:t>
      </w:r>
      <w:r>
        <w:rPr>
          <w:sz w:val="16"/>
          <w:vertAlign w:val="baseline"/>
        </w:rPr>
        <w:t>and</w:t>
      </w:r>
      <w:r>
        <w:rPr>
          <w:spacing w:val="-2"/>
          <w:sz w:val="16"/>
          <w:vertAlign w:val="baseline"/>
        </w:rPr>
        <w:t> </w:t>
      </w:r>
      <w:r>
        <w:rPr>
          <w:sz w:val="16"/>
          <w:vertAlign w:val="baseline"/>
        </w:rPr>
        <w:t>the</w:t>
      </w:r>
      <w:r>
        <w:rPr>
          <w:spacing w:val="-2"/>
          <w:sz w:val="16"/>
          <w:vertAlign w:val="baseline"/>
        </w:rPr>
        <w:t> </w:t>
      </w:r>
      <w:r>
        <w:rPr>
          <w:sz w:val="16"/>
          <w:vertAlign w:val="baseline"/>
        </w:rPr>
        <w:t>first</w:t>
      </w:r>
      <w:r>
        <w:rPr>
          <w:spacing w:val="-2"/>
          <w:sz w:val="16"/>
          <w:vertAlign w:val="baseline"/>
        </w:rPr>
        <w:t> </w:t>
      </w:r>
      <w:r>
        <w:rPr>
          <w:sz w:val="16"/>
          <w:vertAlign w:val="baseline"/>
        </w:rPr>
        <w:t>dividend</w:t>
      </w:r>
      <w:r>
        <w:rPr>
          <w:spacing w:val="-2"/>
          <w:sz w:val="16"/>
          <w:vertAlign w:val="baseline"/>
        </w:rPr>
        <w:t> </w:t>
      </w:r>
      <w:r>
        <w:rPr>
          <w:sz w:val="16"/>
          <w:vertAlign w:val="baseline"/>
        </w:rPr>
        <w:t>was</w:t>
      </w:r>
      <w:r>
        <w:rPr>
          <w:spacing w:val="-3"/>
          <w:sz w:val="16"/>
          <w:vertAlign w:val="baseline"/>
        </w:rPr>
        <w:t> </w:t>
      </w:r>
      <w:r>
        <w:rPr>
          <w:sz w:val="16"/>
          <w:vertAlign w:val="baseline"/>
        </w:rPr>
        <w:t>paid</w:t>
      </w:r>
      <w:r>
        <w:rPr>
          <w:spacing w:val="-2"/>
          <w:sz w:val="16"/>
          <w:vertAlign w:val="baseline"/>
        </w:rPr>
        <w:t> </w:t>
      </w:r>
      <w:r>
        <w:rPr>
          <w:sz w:val="16"/>
          <w:vertAlign w:val="baseline"/>
        </w:rPr>
        <w:t>on</w:t>
      </w:r>
      <w:r>
        <w:rPr>
          <w:spacing w:val="-2"/>
          <w:sz w:val="16"/>
          <w:vertAlign w:val="baseline"/>
        </w:rPr>
        <w:t> </w:t>
      </w:r>
      <w:r>
        <w:rPr>
          <w:sz w:val="16"/>
          <w:vertAlign w:val="baseline"/>
        </w:rPr>
        <w:t>June</w:t>
      </w:r>
      <w:r>
        <w:rPr>
          <w:spacing w:val="-2"/>
          <w:sz w:val="16"/>
          <w:vertAlign w:val="baseline"/>
        </w:rPr>
        <w:t> </w:t>
      </w:r>
      <w:r>
        <w:rPr>
          <w:sz w:val="16"/>
          <w:vertAlign w:val="baseline"/>
        </w:rPr>
        <w:t>1,</w:t>
      </w:r>
      <w:r>
        <w:rPr>
          <w:spacing w:val="-2"/>
          <w:sz w:val="16"/>
          <w:vertAlign w:val="baseline"/>
        </w:rPr>
        <w:t> </w:t>
      </w:r>
      <w:r>
        <w:rPr>
          <w:sz w:val="16"/>
          <w:vertAlign w:val="baseline"/>
        </w:rPr>
        <w:t>2022.</w:t>
      </w:r>
      <w:r>
        <w:rPr>
          <w:spacing w:val="40"/>
          <w:sz w:val="16"/>
          <w:vertAlign w:val="baseline"/>
        </w:rPr>
        <w:t> </w:t>
      </w:r>
      <w:r>
        <w:rPr>
          <w:sz w:val="16"/>
          <w:vertAlign w:val="baseline"/>
        </w:rPr>
        <w:t>N/A Not applicable.</w:t>
      </w:r>
    </w:p>
    <w:p>
      <w:pPr>
        <w:spacing w:after="0" w:line="249" w:lineRule="auto"/>
        <w:jc w:val="left"/>
        <w:rPr>
          <w:sz w:val="16"/>
        </w:rPr>
        <w:sectPr>
          <w:pgSz w:w="12240" w:h="15840"/>
          <w:pgMar w:header="227" w:footer="201" w:top="1080" w:bottom="400" w:left="520" w:right="520"/>
        </w:sectPr>
      </w:pPr>
    </w:p>
    <w:p>
      <w:pPr>
        <w:pStyle w:val="Heading2"/>
        <w:numPr>
          <w:ilvl w:val="0"/>
          <w:numId w:val="4"/>
        </w:numPr>
        <w:tabs>
          <w:tab w:pos="1369" w:val="left" w:leader="none"/>
        </w:tabs>
        <w:spacing w:line="240" w:lineRule="auto" w:before="211" w:after="0"/>
        <w:ind w:left="1369" w:right="0" w:hanging="899"/>
        <w:jc w:val="left"/>
      </w:pPr>
      <w:bookmarkStart w:name="Note 15 Accumulated Other Comprehensive " w:id="54"/>
      <w:bookmarkEnd w:id="54"/>
      <w:r>
        <w:rPr>
          <w:b w:val="0"/>
        </w:rPr>
      </w:r>
      <w:r>
        <w:rPr/>
        <w:t>Accumulated</w:t>
      </w:r>
      <w:r>
        <w:rPr>
          <w:spacing w:val="-10"/>
        </w:rPr>
        <w:t> </w:t>
      </w:r>
      <w:r>
        <w:rPr/>
        <w:t>Other</w:t>
      </w:r>
      <w:r>
        <w:rPr>
          <w:spacing w:val="-7"/>
        </w:rPr>
        <w:t> </w:t>
      </w:r>
      <w:r>
        <w:rPr/>
        <w:t>Comprehensive</w:t>
      </w:r>
      <w:r>
        <w:rPr>
          <w:spacing w:val="-7"/>
        </w:rPr>
        <w:t> </w:t>
      </w:r>
      <w:r>
        <w:rPr>
          <w:spacing w:val="-2"/>
        </w:rPr>
        <w:t>Income</w:t>
      </w:r>
    </w:p>
    <w:p>
      <w:pPr>
        <w:pStyle w:val="BodyText"/>
        <w:spacing w:before="23"/>
        <w:rPr>
          <w:b/>
        </w:rPr>
      </w:pPr>
    </w:p>
    <w:p>
      <w:pPr>
        <w:pStyle w:val="BodyText"/>
        <w:spacing w:line="249" w:lineRule="auto"/>
        <w:ind w:left="470"/>
      </w:pPr>
      <w:r>
        <w:rPr/>
        <w:t>AOCI</w:t>
      </w:r>
      <w:r>
        <w:rPr>
          <w:spacing w:val="-3"/>
        </w:rPr>
        <w:t> </w:t>
      </w:r>
      <w:r>
        <w:rPr/>
        <w:t>represents</w:t>
      </w:r>
      <w:r>
        <w:rPr>
          <w:spacing w:val="-4"/>
        </w:rPr>
        <w:t> </w:t>
      </w:r>
      <w:r>
        <w:rPr/>
        <w:t>cumulative</w:t>
      </w:r>
      <w:r>
        <w:rPr>
          <w:spacing w:val="-4"/>
        </w:rPr>
        <w:t> </w:t>
      </w:r>
      <w:r>
        <w:rPr/>
        <w:t>gains</w:t>
      </w:r>
      <w:r>
        <w:rPr>
          <w:spacing w:val="-4"/>
        </w:rPr>
        <w:t> </w:t>
      </w:r>
      <w:r>
        <w:rPr/>
        <w:t>and</w:t>
      </w:r>
      <w:r>
        <w:rPr>
          <w:spacing w:val="-3"/>
        </w:rPr>
        <w:t> </w:t>
      </w:r>
      <w:r>
        <w:rPr/>
        <w:t>losses</w:t>
      </w:r>
      <w:r>
        <w:rPr>
          <w:spacing w:val="-4"/>
        </w:rPr>
        <w:t> </w:t>
      </w:r>
      <w:r>
        <w:rPr/>
        <w:t>that</w:t>
      </w:r>
      <w:r>
        <w:rPr>
          <w:spacing w:val="-4"/>
        </w:rPr>
        <w:t> </w:t>
      </w:r>
      <w:r>
        <w:rPr/>
        <w:t>are</w:t>
      </w:r>
      <w:r>
        <w:rPr>
          <w:spacing w:val="-4"/>
        </w:rPr>
        <w:t> </w:t>
      </w:r>
      <w:r>
        <w:rPr/>
        <w:t>not</w:t>
      </w:r>
      <w:r>
        <w:rPr>
          <w:spacing w:val="-4"/>
        </w:rPr>
        <w:t> </w:t>
      </w:r>
      <w:r>
        <w:rPr/>
        <w:t>reflected</w:t>
      </w:r>
      <w:r>
        <w:rPr>
          <w:spacing w:val="-3"/>
        </w:rPr>
        <w:t> </w:t>
      </w:r>
      <w:r>
        <w:rPr/>
        <w:t>in</w:t>
      </w:r>
      <w:r>
        <w:rPr>
          <w:spacing w:val="-3"/>
        </w:rPr>
        <w:t> </w:t>
      </w:r>
      <w:r>
        <w:rPr/>
        <w:t>earnings.</w:t>
      </w:r>
      <w:r>
        <w:rPr>
          <w:spacing w:val="-3"/>
        </w:rPr>
        <w:t> </w:t>
      </w:r>
      <w:r>
        <w:rPr/>
        <w:t>AOCI</w:t>
      </w:r>
      <w:r>
        <w:rPr>
          <w:spacing w:val="-3"/>
        </w:rPr>
        <w:t> </w:t>
      </w:r>
      <w:r>
        <w:rPr/>
        <w:t>balances</w:t>
      </w:r>
      <w:r>
        <w:rPr>
          <w:spacing w:val="-4"/>
        </w:rPr>
        <w:t> </w:t>
      </w:r>
      <w:r>
        <w:rPr/>
        <w:t>and</w:t>
      </w:r>
      <w:r>
        <w:rPr>
          <w:spacing w:val="-3"/>
        </w:rPr>
        <w:t> </w:t>
      </w:r>
      <w:r>
        <w:rPr/>
        <w:t>the</w:t>
      </w:r>
      <w:r>
        <w:rPr>
          <w:spacing w:val="-4"/>
        </w:rPr>
        <w:t> </w:t>
      </w:r>
      <w:r>
        <w:rPr/>
        <w:t>components</w:t>
      </w:r>
      <w:r>
        <w:rPr>
          <w:spacing w:val="-4"/>
        </w:rPr>
        <w:t> </w:t>
      </w:r>
      <w:r>
        <w:rPr/>
        <w:t>of</w:t>
      </w:r>
      <w:r>
        <w:rPr>
          <w:spacing w:val="-3"/>
        </w:rPr>
        <w:t> </w:t>
      </w:r>
      <w:r>
        <w:rPr/>
        <w:t>other comprehensive income (loss) are as follows:</w:t>
      </w:r>
    </w:p>
    <w:p>
      <w:pPr>
        <w:pStyle w:val="BodyText"/>
        <w:rPr>
          <w:sz w:val="7"/>
        </w:rPr>
      </w:pPr>
      <w:r>
        <w:rPr/>
        <mc:AlternateContent>
          <mc:Choice Requires="wps">
            <w:drawing>
              <wp:anchor distT="0" distB="0" distL="0" distR="0" allowOverlap="1" layoutInCell="1" locked="0" behindDoc="1" simplePos="0" relativeHeight="487633920">
                <wp:simplePos x="0" y="0"/>
                <wp:positionH relativeFrom="page">
                  <wp:posOffset>628650</wp:posOffset>
                </wp:positionH>
                <wp:positionV relativeFrom="paragraph">
                  <wp:posOffset>66846</wp:posOffset>
                </wp:positionV>
                <wp:extent cx="6515100" cy="6350"/>
                <wp:effectExtent l="0" t="0" r="0" b="0"/>
                <wp:wrapTopAndBottom/>
                <wp:docPr id="667" name="Group 667"/>
                <wp:cNvGraphicFramePr>
                  <a:graphicFrameLocks/>
                </wp:cNvGraphicFramePr>
                <a:graphic>
                  <a:graphicData uri="http://schemas.microsoft.com/office/word/2010/wordprocessingGroup">
                    <wpg:wgp>
                      <wpg:cNvPr id="667" name="Group 667"/>
                      <wpg:cNvGrpSpPr/>
                      <wpg:grpSpPr>
                        <a:xfrm>
                          <a:off x="0" y="0"/>
                          <a:ext cx="6515100" cy="6350"/>
                          <a:chExt cx="6515100" cy="6350"/>
                        </a:xfrm>
                      </wpg:grpSpPr>
                      <wps:wsp>
                        <wps:cNvPr id="668" name="Graphic 668"/>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669" name="Graphic 669"/>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5.263515pt;width:513pt;height:.5pt;mso-position-horizontal-relative:page;mso-position-vertical-relative:paragraph;z-index:-15682560;mso-wrap-distance-left:0;mso-wrap-distance-right:0" id="docshapegroup483" coordorigin="990,105" coordsize="10260,10">
                <v:shape style="position:absolute;left:990;top:110;width:10260;height:2" id="docshape484" coordorigin="990,110" coordsize="10260,0" path="m11250,110l990,110e" filled="true" fillcolor="#000000" stroked="false">
                  <v:path arrowok="t"/>
                  <v:fill opacity="0f" type="solid"/>
                </v:shape>
                <v:line style="position:absolute" from="990,110" to="11250,110" stroked="true" strokeweight=".5pt" strokecolor="#000000">
                  <v:stroke dashstyle="solid"/>
                </v:line>
                <w10:wrap type="topAndBottom"/>
              </v:group>
            </w:pict>
          </mc:Fallback>
        </mc:AlternateContent>
      </w:r>
    </w:p>
    <w:p>
      <w:pPr>
        <w:spacing w:before="13" w:after="30"/>
        <w:ind w:left="0" w:right="623" w:firstLine="0"/>
        <w:jc w:val="right"/>
        <w:rPr>
          <w:sz w:val="18"/>
        </w:rPr>
      </w:pPr>
      <w:r>
        <w:rPr>
          <w:sz w:val="18"/>
        </w:rPr>
        <w:t>Total </w:t>
      </w:r>
      <w:r>
        <w:rPr>
          <w:spacing w:val="-4"/>
          <w:sz w:val="18"/>
        </w:rPr>
        <w:t>AOCI</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6"/>
        <w:gridCol w:w="1304"/>
      </w:tblGrid>
      <w:tr>
        <w:trPr>
          <w:trHeight w:val="250" w:hRule="atLeast"/>
        </w:trPr>
        <w:tc>
          <w:tcPr>
            <w:tcW w:w="8956" w:type="dxa"/>
            <w:tcBorders>
              <w:top w:val="single" w:sz="4" w:space="0" w:color="000000"/>
            </w:tcBorders>
            <w:shd w:val="clear" w:color="auto" w:fill="CCEDFF"/>
          </w:tcPr>
          <w:p>
            <w:pPr>
              <w:pStyle w:val="TableParagraph"/>
              <w:spacing w:before="13"/>
              <w:ind w:left="52"/>
              <w:rPr>
                <w:sz w:val="18"/>
              </w:rPr>
            </w:pPr>
            <w:r>
              <w:rPr>
                <w:sz w:val="18"/>
              </w:rPr>
              <w:t>Balance</w:t>
            </w:r>
            <w:r>
              <w:rPr>
                <w:spacing w:val="-1"/>
                <w:sz w:val="18"/>
              </w:rPr>
              <w:t> </w:t>
            </w:r>
            <w:r>
              <w:rPr>
                <w:sz w:val="18"/>
              </w:rPr>
              <w:t>at June 30, </w:t>
            </w:r>
            <w:r>
              <w:rPr>
                <w:spacing w:val="-4"/>
                <w:sz w:val="18"/>
              </w:rPr>
              <w:t>2022</w:t>
            </w:r>
          </w:p>
        </w:tc>
        <w:tc>
          <w:tcPr>
            <w:tcW w:w="1304" w:type="dxa"/>
            <w:tcBorders>
              <w:top w:val="single" w:sz="4" w:space="0" w:color="000000"/>
            </w:tcBorders>
            <w:shd w:val="clear" w:color="auto" w:fill="CCEDFF"/>
          </w:tcPr>
          <w:p>
            <w:pPr>
              <w:pStyle w:val="TableParagraph"/>
              <w:tabs>
                <w:tab w:pos="532" w:val="left" w:leader="none"/>
              </w:tabs>
              <w:spacing w:before="13"/>
              <w:ind w:right="12"/>
              <w:jc w:val="right"/>
              <w:rPr>
                <w:sz w:val="18"/>
              </w:rPr>
            </w:pPr>
            <w:r>
              <w:rPr>
                <w:spacing w:val="-10"/>
                <w:sz w:val="18"/>
              </w:rPr>
              <w:t>$</w:t>
            </w:r>
            <w:r>
              <w:rPr>
                <w:sz w:val="18"/>
              </w:rPr>
              <w:tab/>
            </w:r>
            <w:r>
              <w:rPr>
                <w:spacing w:val="-2"/>
                <w:sz w:val="18"/>
              </w:rPr>
              <w:t>(16,022)</w:t>
            </w:r>
          </w:p>
        </w:tc>
      </w:tr>
      <w:tr>
        <w:trPr>
          <w:trHeight w:val="255" w:hRule="atLeast"/>
        </w:trPr>
        <w:tc>
          <w:tcPr>
            <w:tcW w:w="8956" w:type="dxa"/>
          </w:tcPr>
          <w:p>
            <w:pPr>
              <w:pStyle w:val="TableParagraph"/>
              <w:spacing w:before="18"/>
              <w:ind w:left="52"/>
              <w:rPr>
                <w:sz w:val="18"/>
              </w:rPr>
            </w:pPr>
            <w:r>
              <w:rPr>
                <w:sz w:val="18"/>
              </w:rPr>
              <w:t>Available</w:t>
            </w:r>
            <w:r>
              <w:rPr>
                <w:spacing w:val="-1"/>
                <w:sz w:val="18"/>
              </w:rPr>
              <w:t> </w:t>
            </w:r>
            <w:r>
              <w:rPr>
                <w:sz w:val="18"/>
              </w:rPr>
              <w:t>for</w:t>
            </w:r>
            <w:r>
              <w:rPr>
                <w:spacing w:val="-1"/>
                <w:sz w:val="18"/>
              </w:rPr>
              <w:t> </w:t>
            </w:r>
            <w:r>
              <w:rPr>
                <w:sz w:val="18"/>
              </w:rPr>
              <w:t>sale </w:t>
            </w:r>
            <w:r>
              <w:rPr>
                <w:spacing w:val="-2"/>
                <w:sz w:val="18"/>
              </w:rPr>
              <w:t>securities:</w:t>
            </w:r>
          </w:p>
        </w:tc>
        <w:tc>
          <w:tcPr>
            <w:tcW w:w="1304" w:type="dxa"/>
          </w:tcPr>
          <w:p>
            <w:pPr>
              <w:pStyle w:val="TableParagraph"/>
              <w:rPr>
                <w:sz w:val="18"/>
              </w:rPr>
            </w:pPr>
          </w:p>
        </w:tc>
      </w:tr>
      <w:tr>
        <w:trPr>
          <w:trHeight w:val="255" w:hRule="atLeast"/>
        </w:trPr>
        <w:tc>
          <w:tcPr>
            <w:tcW w:w="8956" w:type="dxa"/>
            <w:shd w:val="clear" w:color="auto" w:fill="CCEDFF"/>
          </w:tcPr>
          <w:p>
            <w:pPr>
              <w:pStyle w:val="TableParagraph"/>
              <w:spacing w:before="18"/>
              <w:ind w:left="292"/>
              <w:rPr>
                <w:sz w:val="18"/>
              </w:rPr>
            </w:pPr>
            <w:r>
              <w:rPr>
                <w:sz w:val="18"/>
              </w:rPr>
              <w:t>Net</w:t>
            </w:r>
            <w:r>
              <w:rPr>
                <w:spacing w:val="-1"/>
                <w:sz w:val="18"/>
              </w:rPr>
              <w:t> </w:t>
            </w:r>
            <w:r>
              <w:rPr>
                <w:sz w:val="18"/>
              </w:rPr>
              <w:t>unrealized gain</w:t>
            </w:r>
            <w:r>
              <w:rPr>
                <w:spacing w:val="-1"/>
                <w:sz w:val="18"/>
              </w:rPr>
              <w:t> </w:t>
            </w:r>
            <w:r>
              <w:rPr>
                <w:sz w:val="18"/>
              </w:rPr>
              <w:t>(loss), net</w:t>
            </w:r>
            <w:r>
              <w:rPr>
                <w:spacing w:val="-1"/>
                <w:sz w:val="18"/>
              </w:rPr>
              <w:t> </w:t>
            </w:r>
            <w:r>
              <w:rPr>
                <w:sz w:val="18"/>
              </w:rPr>
              <w:t>of tax expense</w:t>
            </w:r>
            <w:r>
              <w:rPr>
                <w:spacing w:val="-1"/>
                <w:sz w:val="18"/>
              </w:rPr>
              <w:t> </w:t>
            </w:r>
            <w:r>
              <w:rPr>
                <w:sz w:val="18"/>
              </w:rPr>
              <w:t>(benefit) of</w:t>
            </w:r>
            <w:r>
              <w:rPr>
                <w:spacing w:val="-4"/>
                <w:sz w:val="18"/>
              </w:rPr>
              <w:t> </w:t>
            </w:r>
            <w:r>
              <w:rPr>
                <w:spacing w:val="-2"/>
                <w:sz w:val="18"/>
              </w:rPr>
              <w:t>$(2,286)</w:t>
            </w:r>
          </w:p>
        </w:tc>
        <w:tc>
          <w:tcPr>
            <w:tcW w:w="1304" w:type="dxa"/>
            <w:shd w:val="clear" w:color="auto" w:fill="CCEDFF"/>
          </w:tcPr>
          <w:p>
            <w:pPr>
              <w:pStyle w:val="TableParagraph"/>
              <w:spacing w:before="18"/>
              <w:ind w:right="12"/>
              <w:jc w:val="right"/>
              <w:rPr>
                <w:sz w:val="18"/>
              </w:rPr>
            </w:pPr>
            <w:r>
              <w:rPr>
                <w:spacing w:val="-2"/>
                <w:sz w:val="18"/>
              </w:rPr>
              <w:t>(7,207)</w:t>
            </w:r>
          </w:p>
        </w:tc>
      </w:tr>
      <w:tr>
        <w:trPr>
          <w:trHeight w:val="255" w:hRule="atLeast"/>
        </w:trPr>
        <w:tc>
          <w:tcPr>
            <w:tcW w:w="8956" w:type="dxa"/>
          </w:tcPr>
          <w:p>
            <w:pPr>
              <w:pStyle w:val="TableParagraph"/>
              <w:spacing w:before="18"/>
              <w:ind w:left="292"/>
              <w:rPr>
                <w:sz w:val="18"/>
              </w:rPr>
            </w:pPr>
            <w:r>
              <w:rPr>
                <w:sz w:val="18"/>
              </w:rPr>
              <w:t>Other</w:t>
            </w:r>
            <w:r>
              <w:rPr>
                <w:spacing w:val="-1"/>
                <w:sz w:val="18"/>
              </w:rPr>
              <w:t> </w:t>
            </w:r>
            <w:r>
              <w:rPr>
                <w:sz w:val="18"/>
              </w:rPr>
              <w:t>reclassifications</w:t>
            </w:r>
            <w:r>
              <w:rPr>
                <w:spacing w:val="-1"/>
                <w:sz w:val="18"/>
              </w:rPr>
              <w:t> </w:t>
            </w:r>
            <w:r>
              <w:rPr>
                <w:sz w:val="18"/>
              </w:rPr>
              <w:t>included in</w:t>
            </w:r>
            <w:r>
              <w:rPr>
                <w:spacing w:val="-1"/>
                <w:sz w:val="18"/>
              </w:rPr>
              <w:t> </w:t>
            </w:r>
            <w:r>
              <w:rPr>
                <w:sz w:val="18"/>
              </w:rPr>
              <w:t>other revenue,</w:t>
            </w:r>
            <w:r>
              <w:rPr>
                <w:spacing w:val="-1"/>
                <w:sz w:val="18"/>
              </w:rPr>
              <w:t> </w:t>
            </w:r>
            <w:r>
              <w:rPr>
                <w:sz w:val="18"/>
              </w:rPr>
              <w:t>net of tax</w:t>
            </w:r>
            <w:r>
              <w:rPr>
                <w:spacing w:val="-1"/>
                <w:sz w:val="18"/>
              </w:rPr>
              <w:t> </w:t>
            </w:r>
            <w:r>
              <w:rPr>
                <w:sz w:val="18"/>
              </w:rPr>
              <w:t>expense (benefit) of</w:t>
            </w:r>
            <w:r>
              <w:rPr>
                <w:spacing w:val="-5"/>
                <w:sz w:val="18"/>
              </w:rPr>
              <w:t> $4</w:t>
            </w:r>
          </w:p>
        </w:tc>
        <w:tc>
          <w:tcPr>
            <w:tcW w:w="1304" w:type="dxa"/>
          </w:tcPr>
          <w:p>
            <w:pPr>
              <w:pStyle w:val="TableParagraph"/>
              <w:spacing w:before="18"/>
              <w:ind w:right="72"/>
              <w:jc w:val="right"/>
              <w:rPr>
                <w:sz w:val="18"/>
              </w:rPr>
            </w:pPr>
            <w:r>
              <w:rPr>
                <w:spacing w:val="-5"/>
                <w:sz w:val="18"/>
              </w:rPr>
              <w:t>12</w:t>
            </w:r>
          </w:p>
        </w:tc>
      </w:tr>
      <w:tr>
        <w:trPr>
          <w:trHeight w:val="255" w:hRule="atLeast"/>
        </w:trPr>
        <w:tc>
          <w:tcPr>
            <w:tcW w:w="8956" w:type="dxa"/>
            <w:shd w:val="clear" w:color="auto" w:fill="CCEDFF"/>
          </w:tcPr>
          <w:p>
            <w:pPr>
              <w:pStyle w:val="TableParagraph"/>
              <w:spacing w:before="18"/>
              <w:ind w:left="52"/>
              <w:rPr>
                <w:sz w:val="18"/>
              </w:rPr>
            </w:pPr>
            <w:r>
              <w:rPr>
                <w:sz w:val="18"/>
              </w:rPr>
              <w:t>Held</w:t>
            </w:r>
            <w:r>
              <w:rPr>
                <w:spacing w:val="-1"/>
                <w:sz w:val="18"/>
              </w:rPr>
              <w:t> </w:t>
            </w:r>
            <w:r>
              <w:rPr>
                <w:sz w:val="18"/>
              </w:rPr>
              <w:t>to maturity </w:t>
            </w:r>
            <w:r>
              <w:rPr>
                <w:spacing w:val="-2"/>
                <w:sz w:val="18"/>
              </w:rPr>
              <w:t>securities:</w:t>
            </w:r>
          </w:p>
        </w:tc>
        <w:tc>
          <w:tcPr>
            <w:tcW w:w="1304" w:type="dxa"/>
            <w:shd w:val="clear" w:color="auto" w:fill="CCEDFF"/>
          </w:tcPr>
          <w:p>
            <w:pPr>
              <w:pStyle w:val="TableParagraph"/>
              <w:rPr>
                <w:sz w:val="18"/>
              </w:rPr>
            </w:pPr>
          </w:p>
        </w:tc>
      </w:tr>
      <w:tr>
        <w:trPr>
          <w:trHeight w:val="250" w:hRule="atLeast"/>
        </w:trPr>
        <w:tc>
          <w:tcPr>
            <w:tcW w:w="8956" w:type="dxa"/>
            <w:tcBorders>
              <w:bottom w:val="single" w:sz="4" w:space="0" w:color="000000"/>
            </w:tcBorders>
          </w:tcPr>
          <w:p>
            <w:pPr>
              <w:pStyle w:val="TableParagraph"/>
              <w:spacing w:before="18"/>
              <w:ind w:left="292"/>
              <w:rPr>
                <w:sz w:val="18"/>
              </w:rPr>
            </w:pPr>
            <w:r>
              <w:rPr>
                <w:sz w:val="18"/>
              </w:rPr>
              <w:t>Amortization</w:t>
            </w:r>
            <w:r>
              <w:rPr>
                <w:spacing w:val="-1"/>
                <w:sz w:val="18"/>
              </w:rPr>
              <w:t> </w:t>
            </w:r>
            <w:r>
              <w:rPr>
                <w:sz w:val="18"/>
              </w:rPr>
              <w:t>of amounts</w:t>
            </w:r>
            <w:r>
              <w:rPr>
                <w:spacing w:val="-1"/>
                <w:sz w:val="18"/>
              </w:rPr>
              <w:t> </w:t>
            </w:r>
            <w:r>
              <w:rPr>
                <w:sz w:val="18"/>
              </w:rPr>
              <w:t>previously</w:t>
            </w:r>
            <w:r>
              <w:rPr>
                <w:spacing w:val="-1"/>
                <w:sz w:val="18"/>
              </w:rPr>
              <w:t> </w:t>
            </w:r>
            <w:r>
              <w:rPr>
                <w:sz w:val="18"/>
              </w:rPr>
              <w:t>recorded upon transfer</w:t>
            </w:r>
            <w:r>
              <w:rPr>
                <w:spacing w:val="-1"/>
                <w:sz w:val="18"/>
              </w:rPr>
              <w:t> </w:t>
            </w:r>
            <w:r>
              <w:rPr>
                <w:sz w:val="18"/>
              </w:rPr>
              <w:t>from available for sale,</w:t>
            </w:r>
            <w:r>
              <w:rPr>
                <w:spacing w:val="-1"/>
                <w:sz w:val="18"/>
              </w:rPr>
              <w:t> </w:t>
            </w:r>
            <w:r>
              <w:rPr>
                <w:sz w:val="18"/>
              </w:rPr>
              <w:t>net of tax</w:t>
            </w:r>
            <w:r>
              <w:rPr>
                <w:spacing w:val="-1"/>
                <w:sz w:val="18"/>
              </w:rPr>
              <w:t> </w:t>
            </w:r>
            <w:r>
              <w:rPr>
                <w:sz w:val="18"/>
              </w:rPr>
              <w:t>expense (benefit) of</w:t>
            </w:r>
            <w:r>
              <w:rPr>
                <w:spacing w:val="-7"/>
                <w:sz w:val="18"/>
              </w:rPr>
              <w:t> </w:t>
            </w:r>
            <w:r>
              <w:rPr>
                <w:spacing w:val="-5"/>
                <w:sz w:val="18"/>
              </w:rPr>
              <w:t>$18</w:t>
            </w:r>
          </w:p>
        </w:tc>
        <w:tc>
          <w:tcPr>
            <w:tcW w:w="1304" w:type="dxa"/>
            <w:tcBorders>
              <w:bottom w:val="single" w:sz="4" w:space="0" w:color="000000"/>
            </w:tcBorders>
          </w:tcPr>
          <w:p>
            <w:pPr>
              <w:pStyle w:val="TableParagraph"/>
              <w:spacing w:before="18"/>
              <w:ind w:right="72"/>
              <w:jc w:val="right"/>
              <w:rPr>
                <w:sz w:val="18"/>
              </w:rPr>
            </w:pPr>
            <w:r>
              <w:rPr>
                <w:spacing w:val="-5"/>
                <w:sz w:val="18"/>
              </w:rPr>
              <w:t>65</w:t>
            </w:r>
          </w:p>
        </w:tc>
      </w:tr>
      <w:tr>
        <w:trPr>
          <w:trHeight w:val="220" w:hRule="atLeast"/>
        </w:trPr>
        <w:tc>
          <w:tcPr>
            <w:tcW w:w="8956" w:type="dxa"/>
            <w:tcBorders>
              <w:top w:val="single" w:sz="4" w:space="0" w:color="000000"/>
              <w:bottom w:val="double" w:sz="8" w:space="0" w:color="000000"/>
            </w:tcBorders>
            <w:shd w:val="clear" w:color="auto" w:fill="CCEDFF"/>
          </w:tcPr>
          <w:p>
            <w:pPr>
              <w:pStyle w:val="TableParagraph"/>
              <w:spacing w:line="187" w:lineRule="exact" w:before="13"/>
              <w:ind w:left="52"/>
              <w:rPr>
                <w:sz w:val="18"/>
              </w:rPr>
            </w:pPr>
            <w:r>
              <w:rPr>
                <w:sz w:val="18"/>
              </w:rPr>
              <w:t>Balance</w:t>
            </w:r>
            <w:r>
              <w:rPr>
                <w:spacing w:val="-1"/>
                <w:sz w:val="18"/>
              </w:rPr>
              <w:t> </w:t>
            </w:r>
            <w:r>
              <w:rPr>
                <w:sz w:val="18"/>
              </w:rPr>
              <w:t>at September 30, </w:t>
            </w:r>
            <w:r>
              <w:rPr>
                <w:spacing w:val="-4"/>
                <w:sz w:val="18"/>
              </w:rPr>
              <w:t>2022</w:t>
            </w:r>
          </w:p>
        </w:tc>
        <w:tc>
          <w:tcPr>
            <w:tcW w:w="1304" w:type="dxa"/>
            <w:tcBorders>
              <w:top w:val="single" w:sz="4" w:space="0" w:color="000000"/>
              <w:bottom w:val="double" w:sz="8" w:space="0" w:color="000000"/>
            </w:tcBorders>
            <w:shd w:val="clear" w:color="auto" w:fill="CCEDFF"/>
          </w:tcPr>
          <w:p>
            <w:pPr>
              <w:pStyle w:val="TableParagraph"/>
              <w:tabs>
                <w:tab w:pos="532" w:val="left" w:leader="none"/>
              </w:tabs>
              <w:spacing w:line="187" w:lineRule="exact" w:before="13"/>
              <w:ind w:right="12"/>
              <w:jc w:val="right"/>
              <w:rPr>
                <w:sz w:val="18"/>
              </w:rPr>
            </w:pPr>
            <w:r>
              <w:rPr>
                <w:spacing w:val="-10"/>
                <w:sz w:val="18"/>
              </w:rPr>
              <w:t>$</w:t>
            </w:r>
            <w:r>
              <w:rPr>
                <w:sz w:val="18"/>
              </w:rPr>
              <w:tab/>
            </w:r>
            <w:r>
              <w:rPr>
                <w:spacing w:val="-2"/>
                <w:sz w:val="18"/>
              </w:rPr>
              <w:t>(23,152)</w:t>
            </w:r>
          </w:p>
        </w:tc>
      </w:tr>
      <w:tr>
        <w:trPr>
          <w:trHeight w:val="285" w:hRule="atLeast"/>
        </w:trPr>
        <w:tc>
          <w:tcPr>
            <w:tcW w:w="8956" w:type="dxa"/>
            <w:tcBorders>
              <w:top w:val="double" w:sz="8" w:space="0" w:color="000000"/>
            </w:tcBorders>
          </w:tcPr>
          <w:p>
            <w:pPr>
              <w:pStyle w:val="TableParagraph"/>
              <w:rPr>
                <w:sz w:val="18"/>
              </w:rPr>
            </w:pPr>
          </w:p>
        </w:tc>
        <w:tc>
          <w:tcPr>
            <w:tcW w:w="1304" w:type="dxa"/>
            <w:tcBorders>
              <w:top w:val="double" w:sz="8" w:space="0" w:color="000000"/>
            </w:tcBorders>
          </w:tcPr>
          <w:p>
            <w:pPr>
              <w:pStyle w:val="TableParagraph"/>
              <w:rPr>
                <w:sz w:val="18"/>
              </w:rPr>
            </w:pPr>
          </w:p>
        </w:tc>
      </w:tr>
      <w:tr>
        <w:trPr>
          <w:trHeight w:val="255" w:hRule="atLeast"/>
        </w:trPr>
        <w:tc>
          <w:tcPr>
            <w:tcW w:w="8956" w:type="dxa"/>
            <w:shd w:val="clear" w:color="auto" w:fill="CCEDFF"/>
          </w:tcPr>
          <w:p>
            <w:pPr>
              <w:pStyle w:val="TableParagraph"/>
              <w:spacing w:before="18"/>
              <w:ind w:left="52"/>
              <w:rPr>
                <w:sz w:val="18"/>
              </w:rPr>
            </w:pPr>
            <w:r>
              <w:rPr>
                <w:sz w:val="18"/>
              </w:rPr>
              <w:t>Balance</w:t>
            </w:r>
            <w:r>
              <w:rPr>
                <w:spacing w:val="-1"/>
                <w:sz w:val="18"/>
              </w:rPr>
              <w:t> </w:t>
            </w:r>
            <w:r>
              <w:rPr>
                <w:sz w:val="18"/>
              </w:rPr>
              <w:t>at June 30, </w:t>
            </w:r>
            <w:r>
              <w:rPr>
                <w:spacing w:val="-4"/>
                <w:sz w:val="18"/>
              </w:rPr>
              <w:t>2023</w:t>
            </w:r>
          </w:p>
        </w:tc>
        <w:tc>
          <w:tcPr>
            <w:tcW w:w="1304" w:type="dxa"/>
            <w:shd w:val="clear" w:color="auto" w:fill="CCEDFF"/>
          </w:tcPr>
          <w:p>
            <w:pPr>
              <w:pStyle w:val="TableParagraph"/>
              <w:tabs>
                <w:tab w:pos="532" w:val="left" w:leader="none"/>
              </w:tabs>
              <w:spacing w:before="18"/>
              <w:ind w:right="12"/>
              <w:jc w:val="right"/>
              <w:rPr>
                <w:sz w:val="18"/>
              </w:rPr>
            </w:pPr>
            <w:r>
              <w:rPr>
                <w:spacing w:val="-10"/>
                <w:sz w:val="18"/>
              </w:rPr>
              <w:t>$</w:t>
            </w:r>
            <w:r>
              <w:rPr>
                <w:sz w:val="18"/>
              </w:rPr>
              <w:tab/>
            </w:r>
            <w:r>
              <w:rPr>
                <w:spacing w:val="-2"/>
                <w:sz w:val="18"/>
              </w:rPr>
              <w:t>(20,730)</w:t>
            </w:r>
          </w:p>
        </w:tc>
      </w:tr>
      <w:tr>
        <w:trPr>
          <w:trHeight w:val="255" w:hRule="atLeast"/>
        </w:trPr>
        <w:tc>
          <w:tcPr>
            <w:tcW w:w="8956" w:type="dxa"/>
          </w:tcPr>
          <w:p>
            <w:pPr>
              <w:pStyle w:val="TableParagraph"/>
              <w:spacing w:before="18"/>
              <w:ind w:left="52"/>
              <w:rPr>
                <w:sz w:val="18"/>
              </w:rPr>
            </w:pPr>
            <w:r>
              <w:rPr>
                <w:sz w:val="18"/>
              </w:rPr>
              <w:t>Available</w:t>
            </w:r>
            <w:r>
              <w:rPr>
                <w:spacing w:val="-1"/>
                <w:sz w:val="18"/>
              </w:rPr>
              <w:t> </w:t>
            </w:r>
            <w:r>
              <w:rPr>
                <w:sz w:val="18"/>
              </w:rPr>
              <w:t>for</w:t>
            </w:r>
            <w:r>
              <w:rPr>
                <w:spacing w:val="-1"/>
                <w:sz w:val="18"/>
              </w:rPr>
              <w:t> </w:t>
            </w:r>
            <w:r>
              <w:rPr>
                <w:sz w:val="18"/>
              </w:rPr>
              <w:t>sale </w:t>
            </w:r>
            <w:r>
              <w:rPr>
                <w:spacing w:val="-2"/>
                <w:sz w:val="18"/>
              </w:rPr>
              <w:t>securities:</w:t>
            </w:r>
          </w:p>
        </w:tc>
        <w:tc>
          <w:tcPr>
            <w:tcW w:w="1304" w:type="dxa"/>
          </w:tcPr>
          <w:p>
            <w:pPr>
              <w:pStyle w:val="TableParagraph"/>
              <w:rPr>
                <w:sz w:val="18"/>
              </w:rPr>
            </w:pPr>
          </w:p>
        </w:tc>
      </w:tr>
      <w:tr>
        <w:trPr>
          <w:trHeight w:val="255" w:hRule="atLeast"/>
        </w:trPr>
        <w:tc>
          <w:tcPr>
            <w:tcW w:w="8956" w:type="dxa"/>
            <w:shd w:val="clear" w:color="auto" w:fill="CCEDFF"/>
          </w:tcPr>
          <w:p>
            <w:pPr>
              <w:pStyle w:val="TableParagraph"/>
              <w:spacing w:before="18"/>
              <w:ind w:left="292"/>
              <w:rPr>
                <w:sz w:val="18"/>
              </w:rPr>
            </w:pPr>
            <w:r>
              <w:rPr>
                <w:sz w:val="18"/>
              </w:rPr>
              <w:t>Net</w:t>
            </w:r>
            <w:r>
              <w:rPr>
                <w:spacing w:val="-1"/>
                <w:sz w:val="18"/>
              </w:rPr>
              <w:t> </w:t>
            </w:r>
            <w:r>
              <w:rPr>
                <w:sz w:val="18"/>
              </w:rPr>
              <w:t>unrealized gain</w:t>
            </w:r>
            <w:r>
              <w:rPr>
                <w:spacing w:val="-1"/>
                <w:sz w:val="18"/>
              </w:rPr>
              <w:t> </w:t>
            </w:r>
            <w:r>
              <w:rPr>
                <w:sz w:val="18"/>
              </w:rPr>
              <w:t>(loss), net</w:t>
            </w:r>
            <w:r>
              <w:rPr>
                <w:spacing w:val="-1"/>
                <w:sz w:val="18"/>
              </w:rPr>
              <w:t> </w:t>
            </w:r>
            <w:r>
              <w:rPr>
                <w:sz w:val="18"/>
              </w:rPr>
              <w:t>of tax expense</w:t>
            </w:r>
            <w:r>
              <w:rPr>
                <w:spacing w:val="-1"/>
                <w:sz w:val="18"/>
              </w:rPr>
              <w:t> </w:t>
            </w:r>
            <w:r>
              <w:rPr>
                <w:sz w:val="18"/>
              </w:rPr>
              <w:t>(benefit) of</w:t>
            </w:r>
            <w:r>
              <w:rPr>
                <w:spacing w:val="-4"/>
                <w:sz w:val="18"/>
              </w:rPr>
              <w:t> </w:t>
            </w:r>
            <w:r>
              <w:rPr>
                <w:spacing w:val="-2"/>
                <w:sz w:val="18"/>
              </w:rPr>
              <w:t>$(182)</w:t>
            </w:r>
          </w:p>
        </w:tc>
        <w:tc>
          <w:tcPr>
            <w:tcW w:w="1304" w:type="dxa"/>
            <w:shd w:val="clear" w:color="auto" w:fill="CCEDFF"/>
          </w:tcPr>
          <w:p>
            <w:pPr>
              <w:pStyle w:val="TableParagraph"/>
              <w:spacing w:before="18"/>
              <w:ind w:right="12"/>
              <w:jc w:val="right"/>
              <w:rPr>
                <w:sz w:val="18"/>
              </w:rPr>
            </w:pPr>
            <w:r>
              <w:rPr>
                <w:spacing w:val="-2"/>
                <w:sz w:val="18"/>
              </w:rPr>
              <w:t>(538)</w:t>
            </w:r>
          </w:p>
        </w:tc>
      </w:tr>
      <w:tr>
        <w:trPr>
          <w:trHeight w:val="255" w:hRule="atLeast"/>
        </w:trPr>
        <w:tc>
          <w:tcPr>
            <w:tcW w:w="8956" w:type="dxa"/>
          </w:tcPr>
          <w:p>
            <w:pPr>
              <w:pStyle w:val="TableParagraph"/>
              <w:spacing w:before="18"/>
              <w:ind w:left="292"/>
              <w:rPr>
                <w:sz w:val="18"/>
              </w:rPr>
            </w:pPr>
            <w:r>
              <w:rPr>
                <w:sz w:val="18"/>
              </w:rPr>
              <w:t>Other</w:t>
            </w:r>
            <w:r>
              <w:rPr>
                <w:spacing w:val="-1"/>
                <w:sz w:val="18"/>
              </w:rPr>
              <w:t> </w:t>
            </w:r>
            <w:r>
              <w:rPr>
                <w:sz w:val="18"/>
              </w:rPr>
              <w:t>reclassifications</w:t>
            </w:r>
            <w:r>
              <w:rPr>
                <w:spacing w:val="-1"/>
                <w:sz w:val="18"/>
              </w:rPr>
              <w:t> </w:t>
            </w:r>
            <w:r>
              <w:rPr>
                <w:sz w:val="18"/>
              </w:rPr>
              <w:t>included in</w:t>
            </w:r>
            <w:r>
              <w:rPr>
                <w:spacing w:val="-1"/>
                <w:sz w:val="18"/>
              </w:rPr>
              <w:t> </w:t>
            </w:r>
            <w:r>
              <w:rPr>
                <w:sz w:val="18"/>
              </w:rPr>
              <w:t>other revenue,</w:t>
            </w:r>
            <w:r>
              <w:rPr>
                <w:spacing w:val="-1"/>
                <w:sz w:val="18"/>
              </w:rPr>
              <w:t> </w:t>
            </w:r>
            <w:r>
              <w:rPr>
                <w:sz w:val="18"/>
              </w:rPr>
              <w:t>net of tax</w:t>
            </w:r>
            <w:r>
              <w:rPr>
                <w:spacing w:val="-1"/>
                <w:sz w:val="18"/>
              </w:rPr>
              <w:t> </w:t>
            </w:r>
            <w:r>
              <w:rPr>
                <w:sz w:val="18"/>
              </w:rPr>
              <w:t>expense (benefit) of</w:t>
            </w:r>
            <w:r>
              <w:rPr>
                <w:spacing w:val="-5"/>
                <w:sz w:val="18"/>
              </w:rPr>
              <w:t> $6</w:t>
            </w:r>
          </w:p>
        </w:tc>
        <w:tc>
          <w:tcPr>
            <w:tcW w:w="1304" w:type="dxa"/>
          </w:tcPr>
          <w:p>
            <w:pPr>
              <w:pStyle w:val="TableParagraph"/>
              <w:spacing w:before="18"/>
              <w:ind w:right="72"/>
              <w:jc w:val="right"/>
              <w:rPr>
                <w:sz w:val="18"/>
              </w:rPr>
            </w:pPr>
            <w:r>
              <w:rPr>
                <w:spacing w:val="-5"/>
                <w:sz w:val="18"/>
              </w:rPr>
              <w:t>18</w:t>
            </w:r>
          </w:p>
        </w:tc>
      </w:tr>
      <w:tr>
        <w:trPr>
          <w:trHeight w:val="255" w:hRule="atLeast"/>
        </w:trPr>
        <w:tc>
          <w:tcPr>
            <w:tcW w:w="10260" w:type="dxa"/>
            <w:gridSpan w:val="2"/>
            <w:shd w:val="clear" w:color="auto" w:fill="CCEDFF"/>
          </w:tcPr>
          <w:p>
            <w:pPr>
              <w:pStyle w:val="TableParagraph"/>
              <w:spacing w:before="18"/>
              <w:ind w:left="52"/>
              <w:rPr>
                <w:sz w:val="18"/>
              </w:rPr>
            </w:pPr>
            <w:r>
              <w:rPr>
                <w:sz w:val="18"/>
              </w:rPr>
              <w:t>Held</w:t>
            </w:r>
            <w:r>
              <w:rPr>
                <w:spacing w:val="-1"/>
                <w:sz w:val="18"/>
              </w:rPr>
              <w:t> </w:t>
            </w:r>
            <w:r>
              <w:rPr>
                <w:sz w:val="18"/>
              </w:rPr>
              <w:t>to maturity </w:t>
            </w:r>
            <w:r>
              <w:rPr>
                <w:spacing w:val="-2"/>
                <w:sz w:val="18"/>
              </w:rPr>
              <w:t>securities:</w:t>
            </w:r>
          </w:p>
        </w:tc>
      </w:tr>
    </w:tbl>
    <w:p>
      <w:pPr>
        <w:tabs>
          <w:tab w:pos="10655" w:val="right" w:leader="none"/>
        </w:tabs>
        <w:spacing w:before="13"/>
        <w:ind w:left="762" w:right="0" w:firstLine="0"/>
        <w:jc w:val="left"/>
        <w:rPr>
          <w:sz w:val="18"/>
        </w:rPr>
      </w:pPr>
      <w:r>
        <w:rPr/>
        <mc:AlternateContent>
          <mc:Choice Requires="wps">
            <w:drawing>
              <wp:anchor distT="0" distB="0" distL="0" distR="0" allowOverlap="1" layoutInCell="1" locked="0" behindDoc="0" simplePos="0" relativeHeight="15775232">
                <wp:simplePos x="0" y="0"/>
                <wp:positionH relativeFrom="page">
                  <wp:posOffset>628650</wp:posOffset>
                </wp:positionH>
                <wp:positionV relativeFrom="paragraph">
                  <wp:posOffset>155575</wp:posOffset>
                </wp:positionV>
                <wp:extent cx="6515100" cy="184150"/>
                <wp:effectExtent l="0" t="0" r="0" b="0"/>
                <wp:wrapNone/>
                <wp:docPr id="670" name="Group 670"/>
                <wp:cNvGraphicFramePr>
                  <a:graphicFrameLocks/>
                </wp:cNvGraphicFramePr>
                <a:graphic>
                  <a:graphicData uri="http://schemas.microsoft.com/office/word/2010/wordprocessingGroup">
                    <wpg:wgp>
                      <wpg:cNvPr id="670" name="Group 670"/>
                      <wpg:cNvGrpSpPr/>
                      <wpg:grpSpPr>
                        <a:xfrm>
                          <a:off x="0" y="0"/>
                          <a:ext cx="6515100" cy="184150"/>
                          <a:chExt cx="6515100" cy="184150"/>
                        </a:xfrm>
                      </wpg:grpSpPr>
                      <wps:wsp>
                        <wps:cNvPr id="671" name="Graphic 671"/>
                        <wps:cNvSpPr/>
                        <wps:spPr>
                          <a:xfrm>
                            <a:off x="0" y="3175"/>
                            <a:ext cx="6515100" cy="161925"/>
                          </a:xfrm>
                          <a:custGeom>
                            <a:avLst/>
                            <a:gdLst/>
                            <a:ahLst/>
                            <a:cxnLst/>
                            <a:rect l="l" t="t" r="r" b="b"/>
                            <a:pathLst>
                              <a:path w="6515100" h="161925">
                                <a:moveTo>
                                  <a:pt x="6515100" y="0"/>
                                </a:moveTo>
                                <a:lnTo>
                                  <a:pt x="0" y="0"/>
                                </a:lnTo>
                                <a:lnTo>
                                  <a:pt x="0" y="161925"/>
                                </a:lnTo>
                                <a:lnTo>
                                  <a:pt x="6515100" y="161925"/>
                                </a:lnTo>
                                <a:lnTo>
                                  <a:pt x="6515100" y="0"/>
                                </a:lnTo>
                                <a:close/>
                              </a:path>
                            </a:pathLst>
                          </a:custGeom>
                          <a:solidFill>
                            <a:srgbClr val="CCEDFF"/>
                          </a:solidFill>
                        </wps:spPr>
                        <wps:bodyPr wrap="square" lIns="0" tIns="0" rIns="0" bIns="0" rtlCol="0">
                          <a:prstTxWarp prst="textNoShape">
                            <a:avLst/>
                          </a:prstTxWarp>
                          <a:noAutofit/>
                        </wps:bodyPr>
                      </wps:wsp>
                      <wps:wsp>
                        <wps:cNvPr id="672" name="Graphic 672"/>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673" name="Graphic 673"/>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s:wsp>
                        <wps:cNvPr id="674" name="Graphic 674"/>
                        <wps:cNvSpPr/>
                        <wps:spPr>
                          <a:xfrm>
                            <a:off x="0" y="146050"/>
                            <a:ext cx="6515100" cy="12700"/>
                          </a:xfrm>
                          <a:custGeom>
                            <a:avLst/>
                            <a:gdLst/>
                            <a:ahLst/>
                            <a:cxnLst/>
                            <a:rect l="l" t="t" r="r" b="b"/>
                            <a:pathLst>
                              <a:path w="6515100" h="12700">
                                <a:moveTo>
                                  <a:pt x="0" y="12700"/>
                                </a:moveTo>
                                <a:lnTo>
                                  <a:pt x="6515100" y="12700"/>
                                </a:lnTo>
                                <a:lnTo>
                                  <a:pt x="65151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675" name="Graphic 675"/>
                        <wps:cNvSpPr/>
                        <wps:spPr>
                          <a:xfrm>
                            <a:off x="0" y="177800"/>
                            <a:ext cx="6515100" cy="1270"/>
                          </a:xfrm>
                          <a:custGeom>
                            <a:avLst/>
                            <a:gdLst/>
                            <a:ahLst/>
                            <a:cxnLst/>
                            <a:rect l="l" t="t" r="r" b="b"/>
                            <a:pathLst>
                              <a:path w="6515100" h="0">
                                <a:moveTo>
                                  <a:pt x="0" y="0"/>
                                </a:moveTo>
                                <a:lnTo>
                                  <a:pt x="6515100" y="0"/>
                                </a:lnTo>
                              </a:path>
                            </a:pathLst>
                          </a:custGeom>
                          <a:ln w="12700">
                            <a:solidFill>
                              <a:srgbClr val="000000"/>
                            </a:solidFill>
                            <a:prstDash val="solid"/>
                          </a:ln>
                        </wps:spPr>
                        <wps:bodyPr wrap="square" lIns="0" tIns="0" rIns="0" bIns="0" rtlCol="0">
                          <a:prstTxWarp prst="textNoShape">
                            <a:avLst/>
                          </a:prstTxWarp>
                          <a:noAutofit/>
                        </wps:bodyPr>
                      </wps:wsp>
                      <wps:wsp>
                        <wps:cNvPr id="676" name="Textbox 676"/>
                        <wps:cNvSpPr txBox="1"/>
                        <wps:spPr>
                          <a:xfrm>
                            <a:off x="0" y="6350"/>
                            <a:ext cx="6515100" cy="152400"/>
                          </a:xfrm>
                          <a:prstGeom prst="rect">
                            <a:avLst/>
                          </a:prstGeom>
                        </wps:spPr>
                        <wps:txbx>
                          <w:txbxContent>
                            <w:p>
                              <w:pPr>
                                <w:tabs>
                                  <w:tab w:pos="9097" w:val="left" w:leader="none"/>
                                  <w:tab w:pos="9630" w:val="left" w:leader="none"/>
                                </w:tabs>
                                <w:spacing w:before="13"/>
                                <w:ind w:left="52" w:right="0" w:firstLine="0"/>
                                <w:jc w:val="left"/>
                                <w:rPr>
                                  <w:sz w:val="18"/>
                                </w:rPr>
                              </w:pPr>
                              <w:r>
                                <w:rPr>
                                  <w:sz w:val="18"/>
                                </w:rPr>
                                <w:t>Balance</w:t>
                              </w:r>
                              <w:r>
                                <w:rPr>
                                  <w:spacing w:val="-1"/>
                                  <w:sz w:val="18"/>
                                </w:rPr>
                                <w:t> </w:t>
                              </w:r>
                              <w:r>
                                <w:rPr>
                                  <w:sz w:val="18"/>
                                </w:rPr>
                                <w:t>at September 30, </w:t>
                              </w:r>
                              <w:r>
                                <w:rPr>
                                  <w:spacing w:val="-4"/>
                                  <w:sz w:val="18"/>
                                </w:rPr>
                                <w:t>2023</w:t>
                              </w:r>
                              <w:r>
                                <w:rPr>
                                  <w:sz w:val="18"/>
                                </w:rPr>
                                <w:tab/>
                              </w:r>
                              <w:r>
                                <w:rPr>
                                  <w:spacing w:val="-10"/>
                                  <w:sz w:val="18"/>
                                </w:rPr>
                                <w:t>$</w:t>
                              </w:r>
                              <w:r>
                                <w:rPr>
                                  <w:sz w:val="18"/>
                                </w:rPr>
                                <w:tab/>
                              </w:r>
                              <w:r>
                                <w:rPr>
                                  <w:spacing w:val="-2"/>
                                  <w:sz w:val="18"/>
                                </w:rPr>
                                <w:t>(20,752)</w:t>
                              </w:r>
                            </w:p>
                          </w:txbxContent>
                        </wps:txbx>
                        <wps:bodyPr wrap="square" lIns="0" tIns="0" rIns="0" bIns="0" rtlCol="0">
                          <a:noAutofit/>
                        </wps:bodyPr>
                      </wps:wsp>
                    </wpg:wgp>
                  </a:graphicData>
                </a:graphic>
              </wp:anchor>
            </w:drawing>
          </mc:Choice>
          <mc:Fallback>
            <w:pict>
              <v:group style="position:absolute;margin-left:49.5pt;margin-top:12.25pt;width:513pt;height:14.5pt;mso-position-horizontal-relative:page;mso-position-vertical-relative:paragraph;z-index:15775232" id="docshapegroup485" coordorigin="990,245" coordsize="10260,290">
                <v:rect style="position:absolute;left:990;top:250;width:10260;height:255" id="docshape486" filled="true" fillcolor="#ccedff" stroked="false">
                  <v:fill type="solid"/>
                </v:rect>
                <v:shape style="position:absolute;left:990;top:250;width:10260;height:2" id="docshape487" coordorigin="990,250" coordsize="10260,0" path="m11250,250l990,250e" filled="true" fillcolor="#000000" stroked="false">
                  <v:path arrowok="t"/>
                  <v:fill opacity="0f" type="solid"/>
                </v:shape>
                <v:line style="position:absolute" from="990,250" to="11250,250" stroked="true" strokeweight=".5pt" strokecolor="#000000">
                  <v:stroke dashstyle="solid"/>
                </v:line>
                <v:rect style="position:absolute;left:990;top:475;width:10260;height:20" id="docshape488" filled="true" fillcolor="#000000" stroked="false">
                  <v:fill opacity="0f" type="solid"/>
                </v:rect>
                <v:line style="position:absolute" from="990,525" to="11250,525" stroked="true" strokeweight="1pt" strokecolor="#000000">
                  <v:stroke dashstyle="solid"/>
                </v:line>
                <v:shape style="position:absolute;left:990;top:255;width:10260;height:240" type="#_x0000_t202" id="docshape489" filled="false" stroked="false">
                  <v:textbox inset="0,0,0,0">
                    <w:txbxContent>
                      <w:p>
                        <w:pPr>
                          <w:tabs>
                            <w:tab w:pos="9097" w:val="left" w:leader="none"/>
                            <w:tab w:pos="9630" w:val="left" w:leader="none"/>
                          </w:tabs>
                          <w:spacing w:before="13"/>
                          <w:ind w:left="52" w:right="0" w:firstLine="0"/>
                          <w:jc w:val="left"/>
                          <w:rPr>
                            <w:sz w:val="18"/>
                          </w:rPr>
                        </w:pPr>
                        <w:r>
                          <w:rPr>
                            <w:sz w:val="18"/>
                          </w:rPr>
                          <w:t>Balance</w:t>
                        </w:r>
                        <w:r>
                          <w:rPr>
                            <w:spacing w:val="-1"/>
                            <w:sz w:val="18"/>
                          </w:rPr>
                          <w:t> </w:t>
                        </w:r>
                        <w:r>
                          <w:rPr>
                            <w:sz w:val="18"/>
                          </w:rPr>
                          <w:t>at September 30, </w:t>
                        </w:r>
                        <w:r>
                          <w:rPr>
                            <w:spacing w:val="-4"/>
                            <w:sz w:val="18"/>
                          </w:rPr>
                          <w:t>2023</w:t>
                        </w:r>
                        <w:r>
                          <w:rPr>
                            <w:sz w:val="18"/>
                          </w:rPr>
                          <w:tab/>
                        </w:r>
                        <w:r>
                          <w:rPr>
                            <w:spacing w:val="-10"/>
                            <w:sz w:val="18"/>
                          </w:rPr>
                          <w:t>$</w:t>
                        </w:r>
                        <w:r>
                          <w:rPr>
                            <w:sz w:val="18"/>
                          </w:rPr>
                          <w:tab/>
                        </w:r>
                        <w:r>
                          <w:rPr>
                            <w:spacing w:val="-2"/>
                            <w:sz w:val="18"/>
                          </w:rPr>
                          <w:t>(20,752)</w:t>
                        </w:r>
                      </w:p>
                    </w:txbxContent>
                  </v:textbox>
                  <w10:wrap type="none"/>
                </v:shape>
                <w10:wrap type="none"/>
              </v:group>
            </w:pict>
          </mc:Fallback>
        </mc:AlternateContent>
      </w:r>
      <w:r>
        <w:rPr>
          <w:sz w:val="18"/>
        </w:rPr>
        <w:t>Amortization</w:t>
      </w:r>
      <w:r>
        <w:rPr>
          <w:spacing w:val="-1"/>
          <w:sz w:val="18"/>
        </w:rPr>
        <w:t> </w:t>
      </w:r>
      <w:r>
        <w:rPr>
          <w:sz w:val="18"/>
        </w:rPr>
        <w:t>of amounts</w:t>
      </w:r>
      <w:r>
        <w:rPr>
          <w:spacing w:val="-1"/>
          <w:sz w:val="18"/>
        </w:rPr>
        <w:t> </w:t>
      </w:r>
      <w:r>
        <w:rPr>
          <w:sz w:val="18"/>
        </w:rPr>
        <w:t>previously</w:t>
      </w:r>
      <w:r>
        <w:rPr>
          <w:spacing w:val="-1"/>
          <w:sz w:val="18"/>
        </w:rPr>
        <w:t> </w:t>
      </w:r>
      <w:r>
        <w:rPr>
          <w:sz w:val="18"/>
        </w:rPr>
        <w:t>recorded upon transfer</w:t>
      </w:r>
      <w:r>
        <w:rPr>
          <w:spacing w:val="-1"/>
          <w:sz w:val="18"/>
        </w:rPr>
        <w:t> </w:t>
      </w:r>
      <w:r>
        <w:rPr>
          <w:sz w:val="18"/>
        </w:rPr>
        <w:t>from available for sale,</w:t>
      </w:r>
      <w:r>
        <w:rPr>
          <w:spacing w:val="-1"/>
          <w:sz w:val="18"/>
        </w:rPr>
        <w:t> </w:t>
      </w:r>
      <w:r>
        <w:rPr>
          <w:sz w:val="18"/>
        </w:rPr>
        <w:t>net of tax</w:t>
      </w:r>
      <w:r>
        <w:rPr>
          <w:spacing w:val="-1"/>
          <w:sz w:val="18"/>
        </w:rPr>
        <w:t> </w:t>
      </w:r>
      <w:r>
        <w:rPr>
          <w:sz w:val="18"/>
        </w:rPr>
        <w:t>expense (benefit) of</w:t>
      </w:r>
      <w:r>
        <w:rPr>
          <w:spacing w:val="-7"/>
          <w:sz w:val="18"/>
        </w:rPr>
        <w:t> </w:t>
      </w:r>
      <w:r>
        <w:rPr>
          <w:spacing w:val="-4"/>
          <w:sz w:val="18"/>
        </w:rPr>
        <w:t>$147</w:t>
      </w:r>
      <w:r>
        <w:rPr>
          <w:sz w:val="18"/>
        </w:rPr>
        <w:tab/>
      </w:r>
      <w:r>
        <w:rPr>
          <w:spacing w:val="-5"/>
          <w:sz w:val="18"/>
        </w:rPr>
        <w:t>498</w:t>
      </w:r>
    </w:p>
    <w:p>
      <w:pPr>
        <w:spacing w:before="763" w:after="30"/>
        <w:ind w:left="0" w:right="623" w:firstLine="0"/>
        <w:jc w:val="right"/>
        <w:rPr>
          <w:sz w:val="18"/>
        </w:rPr>
      </w:pPr>
      <w:r>
        <w:rPr/>
        <mc:AlternateContent>
          <mc:Choice Requires="wps">
            <w:drawing>
              <wp:anchor distT="0" distB="0" distL="0" distR="0" allowOverlap="1" layoutInCell="1" locked="0" behindDoc="0" simplePos="0" relativeHeight="15775744">
                <wp:simplePos x="0" y="0"/>
                <wp:positionH relativeFrom="page">
                  <wp:posOffset>628650</wp:posOffset>
                </wp:positionH>
                <wp:positionV relativeFrom="paragraph">
                  <wp:posOffset>469911</wp:posOffset>
                </wp:positionV>
                <wp:extent cx="6515100" cy="6350"/>
                <wp:effectExtent l="0" t="0" r="0" b="0"/>
                <wp:wrapNone/>
                <wp:docPr id="677" name="Group 677"/>
                <wp:cNvGraphicFramePr>
                  <a:graphicFrameLocks/>
                </wp:cNvGraphicFramePr>
                <a:graphic>
                  <a:graphicData uri="http://schemas.microsoft.com/office/word/2010/wordprocessingGroup">
                    <wpg:wgp>
                      <wpg:cNvPr id="677" name="Group 677"/>
                      <wpg:cNvGrpSpPr/>
                      <wpg:grpSpPr>
                        <a:xfrm>
                          <a:off x="0" y="0"/>
                          <a:ext cx="6515100" cy="6350"/>
                          <a:chExt cx="6515100" cy="6350"/>
                        </a:xfrm>
                      </wpg:grpSpPr>
                      <wps:wsp>
                        <wps:cNvPr id="678" name="Graphic 678"/>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679" name="Graphic 679"/>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37.000877pt;width:513pt;height:.5pt;mso-position-horizontal-relative:page;mso-position-vertical-relative:paragraph;z-index:15775744" id="docshapegroup490" coordorigin="990,740" coordsize="10260,10">
                <v:shape style="position:absolute;left:990;top:745;width:10260;height:2" id="docshape491" coordorigin="990,745" coordsize="10260,0" path="m11250,745l990,745e" filled="true" fillcolor="#000000" stroked="false">
                  <v:path arrowok="t"/>
                  <v:fill opacity="0f" type="solid"/>
                </v:shape>
                <v:line style="position:absolute" from="990,745" to="11250,745" stroked="true" strokeweight=".5pt" strokecolor="#000000">
                  <v:stroke dashstyle="solid"/>
                </v:line>
                <w10:wrap type="none"/>
              </v:group>
            </w:pict>
          </mc:Fallback>
        </mc:AlternateContent>
      </w:r>
      <w:r>
        <w:rPr>
          <w:sz w:val="18"/>
        </w:rPr>
        <w:t>Total </w:t>
      </w:r>
      <w:r>
        <w:rPr>
          <w:spacing w:val="-4"/>
          <w:sz w:val="18"/>
        </w:rPr>
        <w:t>AOCI</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94"/>
        <w:gridCol w:w="1267"/>
      </w:tblGrid>
      <w:tr>
        <w:trPr>
          <w:trHeight w:val="250" w:hRule="atLeast"/>
        </w:trPr>
        <w:tc>
          <w:tcPr>
            <w:tcW w:w="8994" w:type="dxa"/>
            <w:tcBorders>
              <w:top w:val="single" w:sz="4" w:space="0" w:color="000000"/>
            </w:tcBorders>
            <w:shd w:val="clear" w:color="auto" w:fill="CCEDFF"/>
          </w:tcPr>
          <w:p>
            <w:pPr>
              <w:pStyle w:val="TableParagraph"/>
              <w:spacing w:before="13"/>
              <w:ind w:left="52"/>
              <w:rPr>
                <w:sz w:val="18"/>
              </w:rPr>
            </w:pPr>
            <w:r>
              <w:rPr>
                <w:sz w:val="18"/>
              </w:rPr>
              <w:t>Balance</w:t>
            </w:r>
            <w:r>
              <w:rPr>
                <w:spacing w:val="-1"/>
                <w:sz w:val="18"/>
              </w:rPr>
              <w:t> </w:t>
            </w:r>
            <w:r>
              <w:rPr>
                <w:sz w:val="18"/>
              </w:rPr>
              <w:t>at December 31, </w:t>
            </w:r>
            <w:r>
              <w:rPr>
                <w:spacing w:val="-4"/>
                <w:sz w:val="18"/>
              </w:rPr>
              <w:t>2021</w:t>
            </w:r>
          </w:p>
        </w:tc>
        <w:tc>
          <w:tcPr>
            <w:tcW w:w="1267" w:type="dxa"/>
            <w:tcBorders>
              <w:top w:val="single" w:sz="4" w:space="0" w:color="000000"/>
            </w:tcBorders>
            <w:shd w:val="clear" w:color="auto" w:fill="CCEDFF"/>
          </w:tcPr>
          <w:p>
            <w:pPr>
              <w:pStyle w:val="TableParagraph"/>
              <w:tabs>
                <w:tab w:pos="622" w:val="left" w:leader="none"/>
              </w:tabs>
              <w:spacing w:before="13"/>
              <w:ind w:right="13"/>
              <w:jc w:val="right"/>
              <w:rPr>
                <w:sz w:val="18"/>
              </w:rPr>
            </w:pPr>
            <w:r>
              <w:rPr>
                <w:spacing w:val="-10"/>
                <w:sz w:val="18"/>
              </w:rPr>
              <w:t>$</w:t>
            </w:r>
            <w:r>
              <w:rPr>
                <w:sz w:val="18"/>
              </w:rPr>
              <w:tab/>
            </w:r>
            <w:r>
              <w:rPr>
                <w:spacing w:val="-2"/>
                <w:sz w:val="18"/>
              </w:rPr>
              <w:t>(1,109)</w:t>
            </w:r>
          </w:p>
        </w:tc>
      </w:tr>
      <w:tr>
        <w:trPr>
          <w:trHeight w:val="255" w:hRule="atLeast"/>
        </w:trPr>
        <w:tc>
          <w:tcPr>
            <w:tcW w:w="8994" w:type="dxa"/>
          </w:tcPr>
          <w:p>
            <w:pPr>
              <w:pStyle w:val="TableParagraph"/>
              <w:spacing w:before="18"/>
              <w:ind w:left="52"/>
              <w:rPr>
                <w:sz w:val="18"/>
              </w:rPr>
            </w:pPr>
            <w:r>
              <w:rPr>
                <w:sz w:val="18"/>
              </w:rPr>
              <w:t>Available</w:t>
            </w:r>
            <w:r>
              <w:rPr>
                <w:spacing w:val="-1"/>
                <w:sz w:val="18"/>
              </w:rPr>
              <w:t> </w:t>
            </w:r>
            <w:r>
              <w:rPr>
                <w:sz w:val="18"/>
              </w:rPr>
              <w:t>for</w:t>
            </w:r>
            <w:r>
              <w:rPr>
                <w:spacing w:val="-1"/>
                <w:sz w:val="18"/>
              </w:rPr>
              <w:t> </w:t>
            </w:r>
            <w:r>
              <w:rPr>
                <w:sz w:val="18"/>
              </w:rPr>
              <w:t>sale </w:t>
            </w:r>
            <w:r>
              <w:rPr>
                <w:spacing w:val="-2"/>
                <w:sz w:val="18"/>
              </w:rPr>
              <w:t>securities:</w:t>
            </w:r>
          </w:p>
        </w:tc>
        <w:tc>
          <w:tcPr>
            <w:tcW w:w="1267" w:type="dxa"/>
          </w:tcPr>
          <w:p>
            <w:pPr>
              <w:pStyle w:val="TableParagraph"/>
              <w:rPr>
                <w:sz w:val="18"/>
              </w:rPr>
            </w:pPr>
          </w:p>
        </w:tc>
      </w:tr>
      <w:tr>
        <w:trPr>
          <w:trHeight w:val="255" w:hRule="atLeast"/>
        </w:trPr>
        <w:tc>
          <w:tcPr>
            <w:tcW w:w="8994" w:type="dxa"/>
            <w:shd w:val="clear" w:color="auto" w:fill="CCEDFF"/>
          </w:tcPr>
          <w:p>
            <w:pPr>
              <w:pStyle w:val="TableParagraph"/>
              <w:spacing w:before="18"/>
              <w:ind w:left="292"/>
              <w:rPr>
                <w:sz w:val="18"/>
              </w:rPr>
            </w:pPr>
            <w:r>
              <w:rPr>
                <w:sz w:val="18"/>
              </w:rPr>
              <w:t>Net</w:t>
            </w:r>
            <w:r>
              <w:rPr>
                <w:spacing w:val="-1"/>
                <w:sz w:val="18"/>
              </w:rPr>
              <w:t> </w:t>
            </w:r>
            <w:r>
              <w:rPr>
                <w:sz w:val="18"/>
              </w:rPr>
              <w:t>unrealized gain (loss),</w:t>
            </w:r>
            <w:r>
              <w:rPr>
                <w:spacing w:val="-1"/>
                <w:sz w:val="18"/>
              </w:rPr>
              <w:t> </w:t>
            </w:r>
            <w:r>
              <w:rPr>
                <w:sz w:val="18"/>
              </w:rPr>
              <w:t>excluding transfers</w:t>
            </w:r>
            <w:r>
              <w:rPr>
                <w:spacing w:val="-1"/>
                <w:sz w:val="18"/>
              </w:rPr>
              <w:t> </w:t>
            </w:r>
            <w:r>
              <w:rPr>
                <w:sz w:val="18"/>
              </w:rPr>
              <w:t>to</w:t>
            </w:r>
            <w:r>
              <w:rPr>
                <w:spacing w:val="-1"/>
                <w:sz w:val="18"/>
              </w:rPr>
              <w:t> </w:t>
            </w:r>
            <w:r>
              <w:rPr>
                <w:sz w:val="18"/>
              </w:rPr>
              <w:t>held to maturity,</w:t>
            </w:r>
            <w:r>
              <w:rPr>
                <w:spacing w:val="-1"/>
                <w:sz w:val="18"/>
              </w:rPr>
              <w:t> </w:t>
            </w:r>
            <w:r>
              <w:rPr>
                <w:sz w:val="18"/>
              </w:rPr>
              <w:t>net of tax</w:t>
            </w:r>
            <w:r>
              <w:rPr>
                <w:spacing w:val="-1"/>
                <w:sz w:val="18"/>
              </w:rPr>
              <w:t> </w:t>
            </w:r>
            <w:r>
              <w:rPr>
                <w:sz w:val="18"/>
              </w:rPr>
              <w:t>expense (benefit) of</w:t>
            </w:r>
            <w:r>
              <w:rPr>
                <w:spacing w:val="-5"/>
                <w:sz w:val="18"/>
              </w:rPr>
              <w:t> </w:t>
            </w:r>
            <w:r>
              <w:rPr>
                <w:spacing w:val="-2"/>
                <w:sz w:val="18"/>
              </w:rPr>
              <w:t>$(7,027)</w:t>
            </w:r>
          </w:p>
        </w:tc>
        <w:tc>
          <w:tcPr>
            <w:tcW w:w="1267" w:type="dxa"/>
            <w:shd w:val="clear" w:color="auto" w:fill="CCEDFF"/>
          </w:tcPr>
          <w:p>
            <w:pPr>
              <w:pStyle w:val="TableParagraph"/>
              <w:spacing w:before="18"/>
              <w:ind w:right="13"/>
              <w:jc w:val="right"/>
              <w:rPr>
                <w:sz w:val="18"/>
              </w:rPr>
            </w:pPr>
            <w:r>
              <w:rPr>
                <w:spacing w:val="-2"/>
                <w:sz w:val="18"/>
              </w:rPr>
              <w:t>(22,272)</w:t>
            </w:r>
          </w:p>
        </w:tc>
      </w:tr>
      <w:tr>
        <w:trPr>
          <w:trHeight w:val="255" w:hRule="atLeast"/>
        </w:trPr>
        <w:tc>
          <w:tcPr>
            <w:tcW w:w="8994" w:type="dxa"/>
          </w:tcPr>
          <w:p>
            <w:pPr>
              <w:pStyle w:val="TableParagraph"/>
              <w:spacing w:before="18"/>
              <w:ind w:left="292"/>
              <w:rPr>
                <w:sz w:val="18"/>
              </w:rPr>
            </w:pPr>
            <w:r>
              <w:rPr>
                <w:sz w:val="18"/>
              </w:rPr>
              <w:t>Net</w:t>
            </w:r>
            <w:r>
              <w:rPr>
                <w:spacing w:val="-1"/>
                <w:sz w:val="18"/>
              </w:rPr>
              <w:t> </w:t>
            </w:r>
            <w:r>
              <w:rPr>
                <w:sz w:val="18"/>
              </w:rPr>
              <w:t>unrealized loss</w:t>
            </w:r>
            <w:r>
              <w:rPr>
                <w:spacing w:val="-1"/>
                <w:sz w:val="18"/>
              </w:rPr>
              <w:t> </w:t>
            </w:r>
            <w:r>
              <w:rPr>
                <w:sz w:val="18"/>
              </w:rPr>
              <w:t>on</w:t>
            </w:r>
            <w:r>
              <w:rPr>
                <w:spacing w:val="-1"/>
                <w:sz w:val="18"/>
              </w:rPr>
              <w:t> </w:t>
            </w:r>
            <w:r>
              <w:rPr>
                <w:sz w:val="18"/>
              </w:rPr>
              <w:t>securities</w:t>
            </w:r>
            <w:r>
              <w:rPr>
                <w:spacing w:val="-1"/>
                <w:sz w:val="18"/>
              </w:rPr>
              <w:t> </w:t>
            </w:r>
            <w:r>
              <w:rPr>
                <w:sz w:val="18"/>
              </w:rPr>
              <w:t>transferred to held</w:t>
            </w:r>
            <w:r>
              <w:rPr>
                <w:spacing w:val="-1"/>
                <w:sz w:val="18"/>
              </w:rPr>
              <w:t> </w:t>
            </w:r>
            <w:r>
              <w:rPr>
                <w:sz w:val="18"/>
              </w:rPr>
              <w:t>to maturity, net of</w:t>
            </w:r>
            <w:r>
              <w:rPr>
                <w:spacing w:val="-1"/>
                <w:sz w:val="18"/>
              </w:rPr>
              <w:t> </w:t>
            </w:r>
            <w:r>
              <w:rPr>
                <w:sz w:val="18"/>
              </w:rPr>
              <w:t>tax benefit of</w:t>
            </w:r>
            <w:r>
              <w:rPr>
                <w:spacing w:val="-5"/>
                <w:sz w:val="18"/>
              </w:rPr>
              <w:t> </w:t>
            </w:r>
            <w:r>
              <w:rPr>
                <w:spacing w:val="-4"/>
                <w:sz w:val="18"/>
              </w:rPr>
              <w:t>$579</w:t>
            </w:r>
          </w:p>
        </w:tc>
        <w:tc>
          <w:tcPr>
            <w:tcW w:w="1267" w:type="dxa"/>
          </w:tcPr>
          <w:p>
            <w:pPr>
              <w:pStyle w:val="TableParagraph"/>
              <w:spacing w:before="18"/>
              <w:ind w:right="73"/>
              <w:jc w:val="right"/>
              <w:rPr>
                <w:sz w:val="18"/>
              </w:rPr>
            </w:pPr>
            <w:r>
              <w:rPr>
                <w:spacing w:val="-2"/>
                <w:sz w:val="18"/>
              </w:rPr>
              <w:t>1,850</w:t>
            </w:r>
          </w:p>
        </w:tc>
      </w:tr>
      <w:tr>
        <w:trPr>
          <w:trHeight w:val="255" w:hRule="atLeast"/>
        </w:trPr>
        <w:tc>
          <w:tcPr>
            <w:tcW w:w="8994" w:type="dxa"/>
            <w:shd w:val="clear" w:color="auto" w:fill="CCEDFF"/>
          </w:tcPr>
          <w:p>
            <w:pPr>
              <w:pStyle w:val="TableParagraph"/>
              <w:spacing w:before="18"/>
              <w:ind w:left="292"/>
              <w:rPr>
                <w:sz w:val="18"/>
              </w:rPr>
            </w:pPr>
            <w:r>
              <w:rPr>
                <w:sz w:val="18"/>
              </w:rPr>
              <w:t>Other</w:t>
            </w:r>
            <w:r>
              <w:rPr>
                <w:spacing w:val="-1"/>
                <w:sz w:val="18"/>
              </w:rPr>
              <w:t> </w:t>
            </w:r>
            <w:r>
              <w:rPr>
                <w:sz w:val="18"/>
              </w:rPr>
              <w:t>reclassifications</w:t>
            </w:r>
            <w:r>
              <w:rPr>
                <w:spacing w:val="-1"/>
                <w:sz w:val="18"/>
              </w:rPr>
              <w:t> </w:t>
            </w:r>
            <w:r>
              <w:rPr>
                <w:sz w:val="18"/>
              </w:rPr>
              <w:t>included</w:t>
            </w:r>
            <w:r>
              <w:rPr>
                <w:spacing w:val="-1"/>
                <w:sz w:val="18"/>
              </w:rPr>
              <w:t> </w:t>
            </w:r>
            <w:r>
              <w:rPr>
                <w:sz w:val="18"/>
              </w:rPr>
              <w:t>in</w:t>
            </w:r>
            <w:r>
              <w:rPr>
                <w:spacing w:val="-1"/>
                <w:sz w:val="18"/>
              </w:rPr>
              <w:t> </w:t>
            </w:r>
            <w:r>
              <w:rPr>
                <w:sz w:val="18"/>
              </w:rPr>
              <w:t>other revenue</w:t>
            </w:r>
            <w:r>
              <w:rPr>
                <w:spacing w:val="-3"/>
                <w:sz w:val="18"/>
              </w:rPr>
              <w:t> </w:t>
            </w:r>
            <w:r>
              <w:rPr>
                <w:spacing w:val="-5"/>
                <w:sz w:val="18"/>
                <w:vertAlign w:val="superscript"/>
              </w:rPr>
              <w:t>(1)</w:t>
            </w:r>
          </w:p>
        </w:tc>
        <w:tc>
          <w:tcPr>
            <w:tcW w:w="1267" w:type="dxa"/>
            <w:shd w:val="clear" w:color="auto" w:fill="CCEDFF"/>
          </w:tcPr>
          <w:p>
            <w:pPr>
              <w:pStyle w:val="TableParagraph"/>
              <w:spacing w:before="18"/>
              <w:ind w:right="13"/>
              <w:jc w:val="right"/>
              <w:rPr>
                <w:sz w:val="18"/>
              </w:rPr>
            </w:pPr>
            <w:r>
              <w:rPr>
                <w:spacing w:val="-5"/>
                <w:sz w:val="18"/>
              </w:rPr>
              <w:t>(1)</w:t>
            </w:r>
          </w:p>
        </w:tc>
      </w:tr>
      <w:tr>
        <w:trPr>
          <w:trHeight w:val="255" w:hRule="atLeast"/>
        </w:trPr>
        <w:tc>
          <w:tcPr>
            <w:tcW w:w="8994" w:type="dxa"/>
          </w:tcPr>
          <w:p>
            <w:pPr>
              <w:pStyle w:val="TableParagraph"/>
              <w:spacing w:before="18"/>
              <w:ind w:left="52"/>
              <w:rPr>
                <w:sz w:val="18"/>
              </w:rPr>
            </w:pPr>
            <w:r>
              <w:rPr>
                <w:sz w:val="18"/>
              </w:rPr>
              <w:t>Held</w:t>
            </w:r>
            <w:r>
              <w:rPr>
                <w:spacing w:val="-1"/>
                <w:sz w:val="18"/>
              </w:rPr>
              <w:t> </w:t>
            </w:r>
            <w:r>
              <w:rPr>
                <w:sz w:val="18"/>
              </w:rPr>
              <w:t>to maturity </w:t>
            </w:r>
            <w:r>
              <w:rPr>
                <w:spacing w:val="-2"/>
                <w:sz w:val="18"/>
              </w:rPr>
              <w:t>securities:</w:t>
            </w:r>
          </w:p>
        </w:tc>
        <w:tc>
          <w:tcPr>
            <w:tcW w:w="1267" w:type="dxa"/>
          </w:tcPr>
          <w:p>
            <w:pPr>
              <w:pStyle w:val="TableParagraph"/>
              <w:rPr>
                <w:sz w:val="18"/>
              </w:rPr>
            </w:pPr>
          </w:p>
        </w:tc>
      </w:tr>
      <w:tr>
        <w:trPr>
          <w:trHeight w:val="255" w:hRule="atLeast"/>
        </w:trPr>
        <w:tc>
          <w:tcPr>
            <w:tcW w:w="8994" w:type="dxa"/>
            <w:shd w:val="clear" w:color="auto" w:fill="CCEDFF"/>
          </w:tcPr>
          <w:p>
            <w:pPr>
              <w:pStyle w:val="TableParagraph"/>
              <w:spacing w:before="18"/>
              <w:ind w:left="292"/>
              <w:rPr>
                <w:sz w:val="18"/>
              </w:rPr>
            </w:pPr>
            <w:r>
              <w:rPr>
                <w:sz w:val="18"/>
              </w:rPr>
              <w:t>Net</w:t>
            </w:r>
            <w:r>
              <w:rPr>
                <w:spacing w:val="-1"/>
                <w:sz w:val="18"/>
              </w:rPr>
              <w:t> </w:t>
            </w:r>
            <w:r>
              <w:rPr>
                <w:sz w:val="18"/>
              </w:rPr>
              <w:t>unrealized loss</w:t>
            </w:r>
            <w:r>
              <w:rPr>
                <w:spacing w:val="-1"/>
                <w:sz w:val="18"/>
              </w:rPr>
              <w:t> </w:t>
            </w:r>
            <w:r>
              <w:rPr>
                <w:sz w:val="18"/>
              </w:rPr>
              <w:t>on</w:t>
            </w:r>
            <w:r>
              <w:rPr>
                <w:spacing w:val="-1"/>
                <w:sz w:val="18"/>
              </w:rPr>
              <w:t> </w:t>
            </w:r>
            <w:r>
              <w:rPr>
                <w:sz w:val="18"/>
              </w:rPr>
              <w:t>securities</w:t>
            </w:r>
            <w:r>
              <w:rPr>
                <w:spacing w:val="-1"/>
                <w:sz w:val="18"/>
              </w:rPr>
              <w:t> </w:t>
            </w:r>
            <w:r>
              <w:rPr>
                <w:sz w:val="18"/>
              </w:rPr>
              <w:t>transferred from</w:t>
            </w:r>
            <w:r>
              <w:rPr>
                <w:spacing w:val="-1"/>
                <w:sz w:val="18"/>
              </w:rPr>
              <w:t> </w:t>
            </w:r>
            <w:r>
              <w:rPr>
                <w:sz w:val="18"/>
              </w:rPr>
              <w:t>available for</w:t>
            </w:r>
            <w:r>
              <w:rPr>
                <w:spacing w:val="-1"/>
                <w:sz w:val="18"/>
              </w:rPr>
              <w:t> </w:t>
            </w:r>
            <w:r>
              <w:rPr>
                <w:sz w:val="18"/>
              </w:rPr>
              <w:t>sale, net of</w:t>
            </w:r>
            <w:r>
              <w:rPr>
                <w:spacing w:val="-1"/>
                <w:sz w:val="18"/>
              </w:rPr>
              <w:t> </w:t>
            </w:r>
            <w:r>
              <w:rPr>
                <w:sz w:val="18"/>
              </w:rPr>
              <w:t>tax benefit of</w:t>
            </w:r>
            <w:r>
              <w:rPr>
                <w:spacing w:val="-6"/>
                <w:sz w:val="18"/>
              </w:rPr>
              <w:t> </w:t>
            </w:r>
            <w:r>
              <w:rPr>
                <w:spacing w:val="-4"/>
                <w:sz w:val="18"/>
              </w:rPr>
              <w:t>$579</w:t>
            </w:r>
          </w:p>
        </w:tc>
        <w:tc>
          <w:tcPr>
            <w:tcW w:w="1267" w:type="dxa"/>
            <w:shd w:val="clear" w:color="auto" w:fill="CCEDFF"/>
          </w:tcPr>
          <w:p>
            <w:pPr>
              <w:pStyle w:val="TableParagraph"/>
              <w:spacing w:before="18"/>
              <w:ind w:right="13"/>
              <w:jc w:val="right"/>
              <w:rPr>
                <w:sz w:val="18"/>
              </w:rPr>
            </w:pPr>
            <w:r>
              <w:rPr>
                <w:spacing w:val="-2"/>
                <w:sz w:val="18"/>
              </w:rPr>
              <w:t>(1,850)</w:t>
            </w:r>
          </w:p>
        </w:tc>
      </w:tr>
      <w:tr>
        <w:trPr>
          <w:trHeight w:val="250" w:hRule="atLeast"/>
        </w:trPr>
        <w:tc>
          <w:tcPr>
            <w:tcW w:w="8994" w:type="dxa"/>
            <w:tcBorders>
              <w:bottom w:val="single" w:sz="4" w:space="0" w:color="000000"/>
            </w:tcBorders>
          </w:tcPr>
          <w:p>
            <w:pPr>
              <w:pStyle w:val="TableParagraph"/>
              <w:spacing w:before="18"/>
              <w:ind w:right="177"/>
              <w:jc w:val="right"/>
              <w:rPr>
                <w:sz w:val="18"/>
              </w:rPr>
            </w:pPr>
            <w:r>
              <w:rPr>
                <w:sz w:val="18"/>
              </w:rPr>
              <w:t>Amortization</w:t>
            </w:r>
            <w:r>
              <w:rPr>
                <w:spacing w:val="-1"/>
                <w:sz w:val="18"/>
              </w:rPr>
              <w:t> </w:t>
            </w:r>
            <w:r>
              <w:rPr>
                <w:sz w:val="18"/>
              </w:rPr>
              <w:t>of amounts</w:t>
            </w:r>
            <w:r>
              <w:rPr>
                <w:spacing w:val="-1"/>
                <w:sz w:val="18"/>
              </w:rPr>
              <w:t> </w:t>
            </w:r>
            <w:r>
              <w:rPr>
                <w:sz w:val="18"/>
              </w:rPr>
              <w:t>previously</w:t>
            </w:r>
            <w:r>
              <w:rPr>
                <w:spacing w:val="-1"/>
                <w:sz w:val="18"/>
              </w:rPr>
              <w:t> </w:t>
            </w:r>
            <w:r>
              <w:rPr>
                <w:sz w:val="18"/>
              </w:rPr>
              <w:t>recorded upon transfer</w:t>
            </w:r>
            <w:r>
              <w:rPr>
                <w:spacing w:val="-1"/>
                <w:sz w:val="18"/>
              </w:rPr>
              <w:t> </w:t>
            </w:r>
            <w:r>
              <w:rPr>
                <w:sz w:val="18"/>
              </w:rPr>
              <w:t>from available for sale,</w:t>
            </w:r>
            <w:r>
              <w:rPr>
                <w:spacing w:val="-1"/>
                <w:sz w:val="18"/>
              </w:rPr>
              <w:t> </w:t>
            </w:r>
            <w:r>
              <w:rPr>
                <w:sz w:val="18"/>
              </w:rPr>
              <w:t>net of tax</w:t>
            </w:r>
            <w:r>
              <w:rPr>
                <w:spacing w:val="-1"/>
                <w:sz w:val="18"/>
              </w:rPr>
              <w:t> </w:t>
            </w:r>
            <w:r>
              <w:rPr>
                <w:sz w:val="18"/>
              </w:rPr>
              <w:t>expense (benefit) of</w:t>
            </w:r>
            <w:r>
              <w:rPr>
                <w:spacing w:val="-7"/>
                <w:sz w:val="18"/>
              </w:rPr>
              <w:t> </w:t>
            </w:r>
            <w:r>
              <w:rPr>
                <w:spacing w:val="-5"/>
                <w:sz w:val="18"/>
              </w:rPr>
              <w:t>$67</w:t>
            </w:r>
          </w:p>
        </w:tc>
        <w:tc>
          <w:tcPr>
            <w:tcW w:w="1267" w:type="dxa"/>
            <w:tcBorders>
              <w:bottom w:val="single" w:sz="4" w:space="0" w:color="000000"/>
            </w:tcBorders>
          </w:tcPr>
          <w:p>
            <w:pPr>
              <w:pStyle w:val="TableParagraph"/>
              <w:spacing w:before="18"/>
              <w:ind w:right="73"/>
              <w:jc w:val="right"/>
              <w:rPr>
                <w:sz w:val="18"/>
              </w:rPr>
            </w:pPr>
            <w:r>
              <w:rPr>
                <w:spacing w:val="-5"/>
                <w:sz w:val="18"/>
              </w:rPr>
              <w:t>230</w:t>
            </w:r>
          </w:p>
        </w:tc>
      </w:tr>
      <w:tr>
        <w:trPr>
          <w:trHeight w:val="220" w:hRule="atLeast"/>
        </w:trPr>
        <w:tc>
          <w:tcPr>
            <w:tcW w:w="8994" w:type="dxa"/>
            <w:tcBorders>
              <w:top w:val="single" w:sz="4" w:space="0" w:color="000000"/>
              <w:bottom w:val="double" w:sz="8" w:space="0" w:color="000000"/>
            </w:tcBorders>
            <w:shd w:val="clear" w:color="auto" w:fill="CCEDFF"/>
          </w:tcPr>
          <w:p>
            <w:pPr>
              <w:pStyle w:val="TableParagraph"/>
              <w:spacing w:line="187" w:lineRule="exact" w:before="13"/>
              <w:ind w:left="52"/>
              <w:rPr>
                <w:sz w:val="18"/>
              </w:rPr>
            </w:pPr>
            <w:r>
              <w:rPr>
                <w:sz w:val="18"/>
              </w:rPr>
              <w:t>Balance</w:t>
            </w:r>
            <w:r>
              <w:rPr>
                <w:spacing w:val="-1"/>
                <w:sz w:val="18"/>
              </w:rPr>
              <w:t> </w:t>
            </w:r>
            <w:r>
              <w:rPr>
                <w:sz w:val="18"/>
              </w:rPr>
              <w:t>at September 30, </w:t>
            </w:r>
            <w:r>
              <w:rPr>
                <w:spacing w:val="-4"/>
                <w:sz w:val="18"/>
              </w:rPr>
              <w:t>2022</w:t>
            </w:r>
          </w:p>
        </w:tc>
        <w:tc>
          <w:tcPr>
            <w:tcW w:w="1267" w:type="dxa"/>
            <w:tcBorders>
              <w:top w:val="single" w:sz="4" w:space="0" w:color="000000"/>
              <w:bottom w:val="double" w:sz="8" w:space="0" w:color="000000"/>
            </w:tcBorders>
            <w:shd w:val="clear" w:color="auto" w:fill="CCEDFF"/>
          </w:tcPr>
          <w:p>
            <w:pPr>
              <w:pStyle w:val="TableParagraph"/>
              <w:tabs>
                <w:tab w:pos="532" w:val="left" w:leader="none"/>
              </w:tabs>
              <w:spacing w:line="187" w:lineRule="exact" w:before="13"/>
              <w:ind w:right="13"/>
              <w:jc w:val="right"/>
              <w:rPr>
                <w:sz w:val="18"/>
              </w:rPr>
            </w:pPr>
            <w:r>
              <w:rPr>
                <w:spacing w:val="-10"/>
                <w:sz w:val="18"/>
              </w:rPr>
              <w:t>$</w:t>
            </w:r>
            <w:r>
              <w:rPr>
                <w:sz w:val="18"/>
              </w:rPr>
              <w:tab/>
            </w:r>
            <w:r>
              <w:rPr>
                <w:spacing w:val="-2"/>
                <w:sz w:val="18"/>
              </w:rPr>
              <w:t>(23,152)</w:t>
            </w:r>
          </w:p>
        </w:tc>
      </w:tr>
      <w:tr>
        <w:trPr>
          <w:trHeight w:val="285" w:hRule="atLeast"/>
        </w:trPr>
        <w:tc>
          <w:tcPr>
            <w:tcW w:w="8994" w:type="dxa"/>
            <w:tcBorders>
              <w:top w:val="double" w:sz="8" w:space="0" w:color="000000"/>
            </w:tcBorders>
          </w:tcPr>
          <w:p>
            <w:pPr>
              <w:pStyle w:val="TableParagraph"/>
              <w:rPr>
                <w:sz w:val="18"/>
              </w:rPr>
            </w:pPr>
          </w:p>
        </w:tc>
        <w:tc>
          <w:tcPr>
            <w:tcW w:w="1267" w:type="dxa"/>
            <w:tcBorders>
              <w:top w:val="double" w:sz="8" w:space="0" w:color="000000"/>
            </w:tcBorders>
          </w:tcPr>
          <w:p>
            <w:pPr>
              <w:pStyle w:val="TableParagraph"/>
              <w:rPr>
                <w:sz w:val="18"/>
              </w:rPr>
            </w:pPr>
          </w:p>
        </w:tc>
      </w:tr>
      <w:tr>
        <w:trPr>
          <w:trHeight w:val="255" w:hRule="atLeast"/>
        </w:trPr>
        <w:tc>
          <w:tcPr>
            <w:tcW w:w="8994" w:type="dxa"/>
            <w:shd w:val="clear" w:color="auto" w:fill="CCEDFF"/>
          </w:tcPr>
          <w:p>
            <w:pPr>
              <w:pStyle w:val="TableParagraph"/>
              <w:spacing w:before="18"/>
              <w:ind w:left="52"/>
              <w:rPr>
                <w:sz w:val="18"/>
              </w:rPr>
            </w:pPr>
            <w:r>
              <w:rPr>
                <w:sz w:val="18"/>
              </w:rPr>
              <w:t>Balance</w:t>
            </w:r>
            <w:r>
              <w:rPr>
                <w:spacing w:val="-1"/>
                <w:sz w:val="18"/>
              </w:rPr>
              <w:t> </w:t>
            </w:r>
            <w:r>
              <w:rPr>
                <w:sz w:val="18"/>
              </w:rPr>
              <w:t>at December 31, </w:t>
            </w:r>
            <w:r>
              <w:rPr>
                <w:spacing w:val="-4"/>
                <w:sz w:val="18"/>
              </w:rPr>
              <w:t>2022</w:t>
            </w:r>
          </w:p>
        </w:tc>
        <w:tc>
          <w:tcPr>
            <w:tcW w:w="1267" w:type="dxa"/>
            <w:shd w:val="clear" w:color="auto" w:fill="CCEDFF"/>
          </w:tcPr>
          <w:p>
            <w:pPr>
              <w:pStyle w:val="TableParagraph"/>
              <w:tabs>
                <w:tab w:pos="532" w:val="left" w:leader="none"/>
              </w:tabs>
              <w:spacing w:before="18"/>
              <w:ind w:right="13"/>
              <w:jc w:val="right"/>
              <w:rPr>
                <w:sz w:val="18"/>
              </w:rPr>
            </w:pPr>
            <w:r>
              <w:rPr>
                <w:spacing w:val="-10"/>
                <w:sz w:val="18"/>
              </w:rPr>
              <w:t>$</w:t>
            </w:r>
            <w:r>
              <w:rPr>
                <w:sz w:val="18"/>
              </w:rPr>
              <w:tab/>
            </w:r>
            <w:r>
              <w:rPr>
                <w:spacing w:val="-2"/>
                <w:sz w:val="18"/>
              </w:rPr>
              <w:t>(22,621)</w:t>
            </w:r>
          </w:p>
        </w:tc>
      </w:tr>
      <w:tr>
        <w:trPr>
          <w:trHeight w:val="255" w:hRule="atLeast"/>
        </w:trPr>
        <w:tc>
          <w:tcPr>
            <w:tcW w:w="8994" w:type="dxa"/>
          </w:tcPr>
          <w:p>
            <w:pPr>
              <w:pStyle w:val="TableParagraph"/>
              <w:spacing w:before="18"/>
              <w:ind w:left="52"/>
              <w:rPr>
                <w:sz w:val="18"/>
              </w:rPr>
            </w:pPr>
            <w:r>
              <w:rPr>
                <w:sz w:val="18"/>
              </w:rPr>
              <w:t>Available</w:t>
            </w:r>
            <w:r>
              <w:rPr>
                <w:spacing w:val="-1"/>
                <w:sz w:val="18"/>
              </w:rPr>
              <w:t> </w:t>
            </w:r>
            <w:r>
              <w:rPr>
                <w:sz w:val="18"/>
              </w:rPr>
              <w:t>for</w:t>
            </w:r>
            <w:r>
              <w:rPr>
                <w:spacing w:val="-1"/>
                <w:sz w:val="18"/>
              </w:rPr>
              <w:t> </w:t>
            </w:r>
            <w:r>
              <w:rPr>
                <w:sz w:val="18"/>
              </w:rPr>
              <w:t>sale </w:t>
            </w:r>
            <w:r>
              <w:rPr>
                <w:spacing w:val="-2"/>
                <w:sz w:val="18"/>
              </w:rPr>
              <w:t>securities:</w:t>
            </w:r>
          </w:p>
        </w:tc>
        <w:tc>
          <w:tcPr>
            <w:tcW w:w="1267" w:type="dxa"/>
          </w:tcPr>
          <w:p>
            <w:pPr>
              <w:pStyle w:val="TableParagraph"/>
              <w:rPr>
                <w:sz w:val="18"/>
              </w:rPr>
            </w:pPr>
          </w:p>
        </w:tc>
      </w:tr>
      <w:tr>
        <w:trPr>
          <w:trHeight w:val="255" w:hRule="atLeast"/>
        </w:trPr>
        <w:tc>
          <w:tcPr>
            <w:tcW w:w="8994" w:type="dxa"/>
            <w:shd w:val="clear" w:color="auto" w:fill="CCEDFF"/>
          </w:tcPr>
          <w:p>
            <w:pPr>
              <w:pStyle w:val="TableParagraph"/>
              <w:spacing w:before="13"/>
              <w:ind w:left="277"/>
              <w:rPr>
                <w:sz w:val="18"/>
              </w:rPr>
            </w:pPr>
            <w:r>
              <w:rPr>
                <w:sz w:val="18"/>
              </w:rPr>
              <w:t>Net</w:t>
            </w:r>
            <w:r>
              <w:rPr>
                <w:spacing w:val="-1"/>
                <w:sz w:val="18"/>
              </w:rPr>
              <w:t> </w:t>
            </w:r>
            <w:r>
              <w:rPr>
                <w:sz w:val="18"/>
              </w:rPr>
              <w:t>unrealized gain</w:t>
            </w:r>
            <w:r>
              <w:rPr>
                <w:spacing w:val="-1"/>
                <w:sz w:val="18"/>
              </w:rPr>
              <w:t> </w:t>
            </w:r>
            <w:r>
              <w:rPr>
                <w:sz w:val="18"/>
              </w:rPr>
              <w:t>(loss), net</w:t>
            </w:r>
            <w:r>
              <w:rPr>
                <w:spacing w:val="-1"/>
                <w:sz w:val="18"/>
              </w:rPr>
              <w:t> </w:t>
            </w:r>
            <w:r>
              <w:rPr>
                <w:sz w:val="18"/>
              </w:rPr>
              <w:t>of tax expense</w:t>
            </w:r>
            <w:r>
              <w:rPr>
                <w:spacing w:val="-1"/>
                <w:sz w:val="18"/>
              </w:rPr>
              <w:t> </w:t>
            </w:r>
            <w:r>
              <w:rPr>
                <w:sz w:val="18"/>
              </w:rPr>
              <w:t>(benefit) of</w:t>
            </w:r>
            <w:r>
              <w:rPr>
                <w:spacing w:val="-4"/>
                <w:sz w:val="18"/>
              </w:rPr>
              <w:t> </w:t>
            </w:r>
            <w:r>
              <w:rPr>
                <w:spacing w:val="-5"/>
                <w:sz w:val="18"/>
              </w:rPr>
              <w:t>$79</w:t>
            </w:r>
          </w:p>
        </w:tc>
        <w:tc>
          <w:tcPr>
            <w:tcW w:w="1267" w:type="dxa"/>
            <w:shd w:val="clear" w:color="auto" w:fill="CCEDFF"/>
          </w:tcPr>
          <w:p>
            <w:pPr>
              <w:pStyle w:val="TableParagraph"/>
              <w:spacing w:before="18"/>
              <w:ind w:right="73"/>
              <w:jc w:val="right"/>
              <w:rPr>
                <w:sz w:val="18"/>
              </w:rPr>
            </w:pPr>
            <w:r>
              <w:rPr>
                <w:spacing w:val="-5"/>
                <w:sz w:val="18"/>
              </w:rPr>
              <w:t>367</w:t>
            </w:r>
          </w:p>
        </w:tc>
      </w:tr>
      <w:tr>
        <w:trPr>
          <w:trHeight w:val="255" w:hRule="atLeast"/>
        </w:trPr>
        <w:tc>
          <w:tcPr>
            <w:tcW w:w="8994" w:type="dxa"/>
          </w:tcPr>
          <w:p>
            <w:pPr>
              <w:pStyle w:val="TableParagraph"/>
              <w:spacing w:before="13"/>
              <w:ind w:left="277"/>
              <w:rPr>
                <w:sz w:val="18"/>
              </w:rPr>
            </w:pPr>
            <w:r>
              <w:rPr>
                <w:sz w:val="18"/>
              </w:rPr>
              <w:t>Other</w:t>
            </w:r>
            <w:r>
              <w:rPr>
                <w:spacing w:val="-1"/>
                <w:sz w:val="18"/>
              </w:rPr>
              <w:t> </w:t>
            </w:r>
            <w:r>
              <w:rPr>
                <w:sz w:val="18"/>
              </w:rPr>
              <w:t>reclassifications</w:t>
            </w:r>
            <w:r>
              <w:rPr>
                <w:spacing w:val="-1"/>
                <w:sz w:val="18"/>
              </w:rPr>
              <w:t> </w:t>
            </w:r>
            <w:r>
              <w:rPr>
                <w:sz w:val="18"/>
              </w:rPr>
              <w:t>included in</w:t>
            </w:r>
            <w:r>
              <w:rPr>
                <w:spacing w:val="-1"/>
                <w:sz w:val="18"/>
              </w:rPr>
              <w:t> </w:t>
            </w:r>
            <w:r>
              <w:rPr>
                <w:sz w:val="18"/>
              </w:rPr>
              <w:t>other revenue,</w:t>
            </w:r>
            <w:r>
              <w:rPr>
                <w:spacing w:val="-1"/>
                <w:sz w:val="18"/>
              </w:rPr>
              <w:t> </w:t>
            </w:r>
            <w:r>
              <w:rPr>
                <w:sz w:val="18"/>
              </w:rPr>
              <w:t>net of tax</w:t>
            </w:r>
            <w:r>
              <w:rPr>
                <w:spacing w:val="-1"/>
                <w:sz w:val="18"/>
              </w:rPr>
              <w:t> </w:t>
            </w:r>
            <w:r>
              <w:rPr>
                <w:sz w:val="18"/>
              </w:rPr>
              <w:t>expense (benefit) of</w:t>
            </w:r>
            <w:r>
              <w:rPr>
                <w:spacing w:val="-5"/>
                <w:sz w:val="18"/>
              </w:rPr>
              <w:t> $11</w:t>
            </w:r>
          </w:p>
        </w:tc>
        <w:tc>
          <w:tcPr>
            <w:tcW w:w="1267" w:type="dxa"/>
          </w:tcPr>
          <w:p>
            <w:pPr>
              <w:pStyle w:val="TableParagraph"/>
              <w:spacing w:before="18"/>
              <w:ind w:right="73"/>
              <w:jc w:val="right"/>
              <w:rPr>
                <w:sz w:val="18"/>
              </w:rPr>
            </w:pPr>
            <w:r>
              <w:rPr>
                <w:spacing w:val="-5"/>
                <w:sz w:val="18"/>
              </w:rPr>
              <w:t>33</w:t>
            </w:r>
          </w:p>
        </w:tc>
      </w:tr>
      <w:tr>
        <w:trPr>
          <w:trHeight w:val="255" w:hRule="atLeast"/>
        </w:trPr>
        <w:tc>
          <w:tcPr>
            <w:tcW w:w="10261" w:type="dxa"/>
            <w:gridSpan w:val="2"/>
            <w:shd w:val="clear" w:color="auto" w:fill="CCEDFF"/>
          </w:tcPr>
          <w:p>
            <w:pPr>
              <w:pStyle w:val="TableParagraph"/>
              <w:spacing w:before="18"/>
              <w:ind w:left="52"/>
              <w:rPr>
                <w:sz w:val="18"/>
              </w:rPr>
            </w:pPr>
            <w:r>
              <w:rPr>
                <w:sz w:val="18"/>
              </w:rPr>
              <w:t>Held</w:t>
            </w:r>
            <w:r>
              <w:rPr>
                <w:spacing w:val="-1"/>
                <w:sz w:val="18"/>
              </w:rPr>
              <w:t> </w:t>
            </w:r>
            <w:r>
              <w:rPr>
                <w:sz w:val="18"/>
              </w:rPr>
              <w:t>to maturity </w:t>
            </w:r>
            <w:r>
              <w:rPr>
                <w:spacing w:val="-2"/>
                <w:sz w:val="18"/>
              </w:rPr>
              <w:t>securities:</w:t>
            </w:r>
          </w:p>
        </w:tc>
      </w:tr>
      <w:tr>
        <w:trPr>
          <w:trHeight w:val="255" w:hRule="atLeast"/>
        </w:trPr>
        <w:tc>
          <w:tcPr>
            <w:tcW w:w="8994" w:type="dxa"/>
          </w:tcPr>
          <w:p>
            <w:pPr>
              <w:pStyle w:val="TableParagraph"/>
              <w:spacing w:before="18"/>
              <w:ind w:right="102"/>
              <w:jc w:val="right"/>
              <w:rPr>
                <w:sz w:val="18"/>
              </w:rPr>
            </w:pPr>
            <w:r>
              <w:rPr>
                <w:sz w:val="18"/>
              </w:rPr>
              <w:t>Amortization</w:t>
            </w:r>
            <w:r>
              <w:rPr>
                <w:spacing w:val="-1"/>
                <w:sz w:val="18"/>
              </w:rPr>
              <w:t> </w:t>
            </w:r>
            <w:r>
              <w:rPr>
                <w:sz w:val="18"/>
              </w:rPr>
              <w:t>of amounts</w:t>
            </w:r>
            <w:r>
              <w:rPr>
                <w:spacing w:val="-1"/>
                <w:sz w:val="18"/>
              </w:rPr>
              <w:t> </w:t>
            </w:r>
            <w:r>
              <w:rPr>
                <w:sz w:val="18"/>
              </w:rPr>
              <w:t>previously</w:t>
            </w:r>
            <w:r>
              <w:rPr>
                <w:spacing w:val="-1"/>
                <w:sz w:val="18"/>
              </w:rPr>
              <w:t> </w:t>
            </w:r>
            <w:r>
              <w:rPr>
                <w:sz w:val="18"/>
              </w:rPr>
              <w:t>recorded upon transfer</w:t>
            </w:r>
            <w:r>
              <w:rPr>
                <w:spacing w:val="-1"/>
                <w:sz w:val="18"/>
              </w:rPr>
              <w:t> </w:t>
            </w:r>
            <w:r>
              <w:rPr>
                <w:sz w:val="18"/>
              </w:rPr>
              <w:t>from available for sale,</w:t>
            </w:r>
            <w:r>
              <w:rPr>
                <w:spacing w:val="-1"/>
                <w:sz w:val="18"/>
              </w:rPr>
              <w:t> </w:t>
            </w:r>
            <w:r>
              <w:rPr>
                <w:sz w:val="18"/>
              </w:rPr>
              <w:t>net of tax</w:t>
            </w:r>
            <w:r>
              <w:rPr>
                <w:spacing w:val="-1"/>
                <w:sz w:val="18"/>
              </w:rPr>
              <w:t> </w:t>
            </w:r>
            <w:r>
              <w:rPr>
                <w:sz w:val="18"/>
              </w:rPr>
              <w:t>expense (benefit) of</w:t>
            </w:r>
            <w:r>
              <w:rPr>
                <w:spacing w:val="-7"/>
                <w:sz w:val="18"/>
              </w:rPr>
              <w:t> </w:t>
            </w:r>
            <w:r>
              <w:rPr>
                <w:spacing w:val="-4"/>
                <w:sz w:val="18"/>
              </w:rPr>
              <w:t>$420</w:t>
            </w:r>
          </w:p>
        </w:tc>
        <w:tc>
          <w:tcPr>
            <w:tcW w:w="1267" w:type="dxa"/>
          </w:tcPr>
          <w:p>
            <w:pPr>
              <w:pStyle w:val="TableParagraph"/>
              <w:spacing w:before="18"/>
              <w:ind w:right="73"/>
              <w:jc w:val="right"/>
              <w:rPr>
                <w:sz w:val="18"/>
              </w:rPr>
            </w:pPr>
            <w:r>
              <w:rPr>
                <w:spacing w:val="-2"/>
                <w:sz w:val="18"/>
              </w:rPr>
              <w:t>1,476</w:t>
            </w:r>
          </w:p>
        </w:tc>
      </w:tr>
      <w:tr>
        <w:trPr>
          <w:trHeight w:val="250" w:hRule="atLeast"/>
        </w:trPr>
        <w:tc>
          <w:tcPr>
            <w:tcW w:w="8994" w:type="dxa"/>
            <w:tcBorders>
              <w:bottom w:val="single" w:sz="4" w:space="0" w:color="000000"/>
            </w:tcBorders>
            <w:shd w:val="clear" w:color="auto" w:fill="CCEDFF"/>
          </w:tcPr>
          <w:p>
            <w:pPr>
              <w:pStyle w:val="TableParagraph"/>
              <w:spacing w:before="18"/>
              <w:ind w:left="52"/>
              <w:rPr>
                <w:sz w:val="18"/>
              </w:rPr>
            </w:pPr>
            <w:r>
              <w:rPr>
                <w:sz w:val="18"/>
              </w:rPr>
              <w:t>Other,</w:t>
            </w:r>
            <w:r>
              <w:rPr>
                <w:spacing w:val="-1"/>
                <w:sz w:val="18"/>
              </w:rPr>
              <w:t> </w:t>
            </w:r>
            <w:r>
              <w:rPr>
                <w:sz w:val="18"/>
              </w:rPr>
              <w:t>net of tax</w:t>
            </w:r>
            <w:r>
              <w:rPr>
                <w:spacing w:val="-1"/>
                <w:sz w:val="18"/>
              </w:rPr>
              <w:t> </w:t>
            </w:r>
            <w:r>
              <w:rPr>
                <w:sz w:val="18"/>
              </w:rPr>
              <w:t>expense (benefit) of</w:t>
            </w:r>
            <w:r>
              <w:rPr>
                <w:spacing w:val="-3"/>
                <w:sz w:val="18"/>
              </w:rPr>
              <w:t> </w:t>
            </w:r>
            <w:r>
              <w:rPr>
                <w:spacing w:val="-4"/>
                <w:sz w:val="18"/>
              </w:rPr>
              <w:t>$(2)</w:t>
            </w:r>
          </w:p>
        </w:tc>
        <w:tc>
          <w:tcPr>
            <w:tcW w:w="1267" w:type="dxa"/>
            <w:tcBorders>
              <w:bottom w:val="single" w:sz="4" w:space="0" w:color="000000"/>
            </w:tcBorders>
            <w:shd w:val="clear" w:color="auto" w:fill="CCEDFF"/>
          </w:tcPr>
          <w:p>
            <w:pPr>
              <w:pStyle w:val="TableParagraph"/>
              <w:spacing w:before="18"/>
              <w:ind w:right="13"/>
              <w:jc w:val="right"/>
              <w:rPr>
                <w:sz w:val="18"/>
              </w:rPr>
            </w:pPr>
            <w:r>
              <w:rPr>
                <w:spacing w:val="-5"/>
                <w:sz w:val="18"/>
              </w:rPr>
              <w:t>(7)</w:t>
            </w:r>
          </w:p>
        </w:tc>
      </w:tr>
      <w:tr>
        <w:trPr>
          <w:trHeight w:val="220" w:hRule="atLeast"/>
        </w:trPr>
        <w:tc>
          <w:tcPr>
            <w:tcW w:w="8994" w:type="dxa"/>
            <w:tcBorders>
              <w:top w:val="single" w:sz="4" w:space="0" w:color="000000"/>
              <w:bottom w:val="double" w:sz="8" w:space="0" w:color="000000"/>
            </w:tcBorders>
          </w:tcPr>
          <w:p>
            <w:pPr>
              <w:pStyle w:val="TableParagraph"/>
              <w:spacing w:line="187" w:lineRule="exact" w:before="13"/>
              <w:ind w:left="52"/>
              <w:rPr>
                <w:sz w:val="18"/>
              </w:rPr>
            </w:pPr>
            <w:r>
              <w:rPr>
                <w:sz w:val="18"/>
              </w:rPr>
              <w:t>Balance</w:t>
            </w:r>
            <w:r>
              <w:rPr>
                <w:spacing w:val="-1"/>
                <w:sz w:val="18"/>
              </w:rPr>
              <w:t> </w:t>
            </w:r>
            <w:r>
              <w:rPr>
                <w:sz w:val="18"/>
              </w:rPr>
              <w:t>at September 30, </w:t>
            </w:r>
            <w:r>
              <w:rPr>
                <w:spacing w:val="-4"/>
                <w:sz w:val="18"/>
              </w:rPr>
              <w:t>2023</w:t>
            </w:r>
          </w:p>
        </w:tc>
        <w:tc>
          <w:tcPr>
            <w:tcW w:w="1267" w:type="dxa"/>
            <w:tcBorders>
              <w:top w:val="single" w:sz="4" w:space="0" w:color="000000"/>
              <w:bottom w:val="double" w:sz="8" w:space="0" w:color="000000"/>
            </w:tcBorders>
          </w:tcPr>
          <w:p>
            <w:pPr>
              <w:pStyle w:val="TableParagraph"/>
              <w:tabs>
                <w:tab w:pos="532" w:val="left" w:leader="none"/>
              </w:tabs>
              <w:spacing w:line="187" w:lineRule="exact" w:before="13"/>
              <w:ind w:right="13"/>
              <w:jc w:val="right"/>
              <w:rPr>
                <w:sz w:val="18"/>
              </w:rPr>
            </w:pPr>
            <w:r>
              <w:rPr>
                <w:spacing w:val="-10"/>
                <w:sz w:val="18"/>
              </w:rPr>
              <w:t>$</w:t>
            </w:r>
            <w:r>
              <w:rPr>
                <w:sz w:val="18"/>
              </w:rPr>
              <w:tab/>
            </w:r>
            <w:r>
              <w:rPr>
                <w:spacing w:val="-2"/>
                <w:sz w:val="18"/>
              </w:rPr>
              <w:t>(20,752)</w:t>
            </w:r>
          </w:p>
        </w:tc>
      </w:tr>
      <w:tr>
        <w:trPr>
          <w:trHeight w:val="215" w:hRule="atLeast"/>
        </w:trPr>
        <w:tc>
          <w:tcPr>
            <w:tcW w:w="8994" w:type="dxa"/>
            <w:tcBorders>
              <w:top w:val="double" w:sz="8" w:space="0" w:color="000000"/>
            </w:tcBorders>
          </w:tcPr>
          <w:p>
            <w:pPr>
              <w:pStyle w:val="TableParagraph"/>
              <w:spacing w:line="164" w:lineRule="exact" w:before="31"/>
              <w:rPr>
                <w:sz w:val="16"/>
              </w:rPr>
            </w:pPr>
            <w:r>
              <w:rPr>
                <w:sz w:val="16"/>
                <w:vertAlign w:val="superscript"/>
              </w:rPr>
              <w:t>(1)</w:t>
            </w:r>
            <w:r>
              <w:rPr>
                <w:spacing w:val="-1"/>
                <w:sz w:val="16"/>
                <w:vertAlign w:val="baseline"/>
              </w:rPr>
              <w:t> </w:t>
            </w:r>
            <w:r>
              <w:rPr>
                <w:sz w:val="16"/>
                <w:vertAlign w:val="baseline"/>
              </w:rPr>
              <w:t>Tax</w:t>
            </w:r>
            <w:r>
              <w:rPr>
                <w:spacing w:val="1"/>
                <w:sz w:val="16"/>
                <w:vertAlign w:val="baseline"/>
              </w:rPr>
              <w:t> </w:t>
            </w:r>
            <w:r>
              <w:rPr>
                <w:sz w:val="16"/>
                <w:vertAlign w:val="baseline"/>
              </w:rPr>
              <w:t>expense</w:t>
            </w:r>
            <w:r>
              <w:rPr>
                <w:spacing w:val="1"/>
                <w:sz w:val="16"/>
                <w:vertAlign w:val="baseline"/>
              </w:rPr>
              <w:t> </w:t>
            </w:r>
            <w:r>
              <w:rPr>
                <w:sz w:val="16"/>
                <w:vertAlign w:val="baseline"/>
              </w:rPr>
              <w:t>(benefit) was less than</w:t>
            </w:r>
            <w:r>
              <w:rPr>
                <w:spacing w:val="-2"/>
                <w:sz w:val="16"/>
                <w:vertAlign w:val="baseline"/>
              </w:rPr>
              <w:t> </w:t>
            </w:r>
            <w:r>
              <w:rPr>
                <w:sz w:val="16"/>
                <w:vertAlign w:val="baseline"/>
              </w:rPr>
              <w:t>$1</w:t>
            </w:r>
            <w:r>
              <w:rPr>
                <w:spacing w:val="1"/>
                <w:sz w:val="16"/>
                <w:vertAlign w:val="baseline"/>
              </w:rPr>
              <w:t> </w:t>
            </w:r>
            <w:r>
              <w:rPr>
                <w:spacing w:val="-2"/>
                <w:sz w:val="16"/>
                <w:vertAlign w:val="baseline"/>
              </w:rPr>
              <w:t>million.</w:t>
            </w:r>
          </w:p>
        </w:tc>
        <w:tc>
          <w:tcPr>
            <w:tcW w:w="1267" w:type="dxa"/>
            <w:tcBorders>
              <w:top w:val="double" w:sz="8" w:space="0" w:color="000000"/>
            </w:tcBorders>
          </w:tcPr>
          <w:p>
            <w:pPr>
              <w:pStyle w:val="TableParagraph"/>
              <w:rPr>
                <w:sz w:val="14"/>
              </w:rPr>
            </w:pPr>
          </w:p>
        </w:tc>
      </w:tr>
    </w:tbl>
    <w:p>
      <w:pPr>
        <w:pStyle w:val="BodyText"/>
        <w:spacing w:before="38"/>
        <w:rPr>
          <w:sz w:val="18"/>
        </w:rPr>
      </w:pPr>
    </w:p>
    <w:p>
      <w:pPr>
        <w:pStyle w:val="BodyText"/>
        <w:spacing w:line="249" w:lineRule="auto" w:before="1"/>
        <w:ind w:left="470" w:right="761"/>
      </w:pPr>
      <w:r>
        <w:rPr/>
        <w:t>In</w:t>
      </w:r>
      <w:r>
        <w:rPr>
          <w:spacing w:val="-2"/>
        </w:rPr>
        <w:t> </w:t>
      </w:r>
      <w:r>
        <w:rPr/>
        <w:t>2022,</w:t>
      </w:r>
      <w:r>
        <w:rPr>
          <w:spacing w:val="-2"/>
        </w:rPr>
        <w:t> </w:t>
      </w:r>
      <w:r>
        <w:rPr/>
        <w:t>the</w:t>
      </w:r>
      <w:r>
        <w:rPr>
          <w:spacing w:val="-3"/>
        </w:rPr>
        <w:t> </w:t>
      </w:r>
      <w:r>
        <w:rPr/>
        <w:t>Company</w:t>
      </w:r>
      <w:r>
        <w:rPr>
          <w:spacing w:val="-2"/>
        </w:rPr>
        <w:t> </w:t>
      </w:r>
      <w:r>
        <w:rPr/>
        <w:t>transferred</w:t>
      </w:r>
      <w:r>
        <w:rPr>
          <w:spacing w:val="-2"/>
        </w:rPr>
        <w:t> </w:t>
      </w:r>
      <w:r>
        <w:rPr/>
        <w:t>a</w:t>
      </w:r>
      <w:r>
        <w:rPr>
          <w:spacing w:val="-3"/>
        </w:rPr>
        <w:t> </w:t>
      </w:r>
      <w:r>
        <w:rPr/>
        <w:t>portion</w:t>
      </w:r>
      <w:r>
        <w:rPr>
          <w:spacing w:val="-2"/>
        </w:rPr>
        <w:t> </w:t>
      </w:r>
      <w:r>
        <w:rPr/>
        <w:t>of</w:t>
      </w:r>
      <w:r>
        <w:rPr>
          <w:spacing w:val="-2"/>
        </w:rPr>
        <w:t> </w:t>
      </w:r>
      <w:r>
        <w:rPr/>
        <w:t>its</w:t>
      </w:r>
      <w:r>
        <w:rPr>
          <w:spacing w:val="-3"/>
        </w:rPr>
        <w:t> </w:t>
      </w:r>
      <w:r>
        <w:rPr/>
        <w:t>AFS</w:t>
      </w:r>
      <w:r>
        <w:rPr>
          <w:spacing w:val="-3"/>
        </w:rPr>
        <w:t> </w:t>
      </w:r>
      <w:r>
        <w:rPr/>
        <w:t>securities</w:t>
      </w:r>
      <w:r>
        <w:rPr>
          <w:spacing w:val="-3"/>
        </w:rPr>
        <w:t> </w:t>
      </w:r>
      <w:r>
        <w:rPr/>
        <w:t>to</w:t>
      </w:r>
      <w:r>
        <w:rPr>
          <w:spacing w:val="-2"/>
        </w:rPr>
        <w:t> </w:t>
      </w:r>
      <w:r>
        <w:rPr/>
        <w:t>the</w:t>
      </w:r>
      <w:r>
        <w:rPr>
          <w:spacing w:val="-3"/>
        </w:rPr>
        <w:t> </w:t>
      </w:r>
      <w:r>
        <w:rPr/>
        <w:t>HTM</w:t>
      </w:r>
      <w:r>
        <w:rPr>
          <w:spacing w:val="-3"/>
        </w:rPr>
        <w:t> </w:t>
      </w:r>
      <w:r>
        <w:rPr/>
        <w:t>category.</w:t>
      </w:r>
      <w:r>
        <w:rPr>
          <w:spacing w:val="-2"/>
        </w:rPr>
        <w:t> </w:t>
      </w:r>
      <w:r>
        <w:rPr/>
        <w:t>As</w:t>
      </w:r>
      <w:r>
        <w:rPr>
          <w:spacing w:val="-3"/>
        </w:rPr>
        <w:t> </w:t>
      </w:r>
      <w:r>
        <w:rPr/>
        <w:t>of</w:t>
      </w:r>
      <w:r>
        <w:rPr>
          <w:spacing w:val="-2"/>
        </w:rPr>
        <w:t> </w:t>
      </w:r>
      <w:r>
        <w:rPr/>
        <w:t>September</w:t>
      </w:r>
      <w:r>
        <w:rPr>
          <w:spacing w:val="-2"/>
        </w:rPr>
        <w:t> </w:t>
      </w:r>
      <w:r>
        <w:rPr/>
        <w:t>30,</w:t>
      </w:r>
      <w:r>
        <w:rPr>
          <w:spacing w:val="-2"/>
        </w:rPr>
        <w:t> </w:t>
      </w:r>
      <w:r>
        <w:rPr/>
        <w:t>2023,</w:t>
      </w:r>
      <w:r>
        <w:rPr>
          <w:spacing w:val="-2"/>
        </w:rPr>
        <w:t> </w:t>
      </w:r>
      <w:r>
        <w:rPr/>
        <w:t>the</w:t>
      </w:r>
      <w:r>
        <w:rPr>
          <w:spacing w:val="-3"/>
        </w:rPr>
        <w:t> </w:t>
      </w:r>
      <w:r>
        <w:rPr/>
        <w:t>total remaining unamortized loss on these securities transferred to HTM included in AOCI was $11.8 billion net of tax effect ($15.6 billion pre-tax). See Note 4 for additional discussion on the 2022 transfers of AFS securities to HTM.</w:t>
      </w:r>
    </w:p>
    <w:p>
      <w:pPr>
        <w:spacing w:after="0" w:line="249" w:lineRule="auto"/>
        <w:sectPr>
          <w:pgSz w:w="12240" w:h="15840"/>
          <w:pgMar w:header="227" w:footer="201" w:top="1080" w:bottom="400" w:left="520" w:right="520"/>
        </w:sectPr>
      </w:pPr>
    </w:p>
    <w:p>
      <w:pPr>
        <w:pStyle w:val="Heading2"/>
        <w:numPr>
          <w:ilvl w:val="0"/>
          <w:numId w:val="4"/>
        </w:numPr>
        <w:tabs>
          <w:tab w:pos="1189" w:val="left" w:leader="none"/>
        </w:tabs>
        <w:spacing w:line="240" w:lineRule="auto" w:before="211" w:after="0"/>
        <w:ind w:left="1189" w:right="0" w:hanging="719"/>
        <w:jc w:val="left"/>
      </w:pPr>
      <w:bookmarkStart w:name="Note 16 Earnings Per Common Share" w:id="55"/>
      <w:bookmarkEnd w:id="55"/>
      <w:r>
        <w:rPr>
          <w:b w:val="0"/>
        </w:rPr>
      </w:r>
      <w:r>
        <w:rPr/>
        <w:t>Earnings</w:t>
      </w:r>
      <w:r>
        <w:rPr>
          <w:spacing w:val="-4"/>
        </w:rPr>
        <w:t> </w:t>
      </w:r>
      <w:r>
        <w:rPr/>
        <w:t>Per</w:t>
      </w:r>
      <w:r>
        <w:rPr>
          <w:spacing w:val="-4"/>
        </w:rPr>
        <w:t> </w:t>
      </w:r>
      <w:r>
        <w:rPr/>
        <w:t>Common</w:t>
      </w:r>
      <w:r>
        <w:rPr>
          <w:spacing w:val="-3"/>
        </w:rPr>
        <w:t> </w:t>
      </w:r>
      <w:r>
        <w:rPr>
          <w:spacing w:val="-4"/>
        </w:rPr>
        <w:t>Share</w:t>
      </w:r>
    </w:p>
    <w:p>
      <w:pPr>
        <w:pStyle w:val="BodyText"/>
        <w:spacing w:before="23"/>
        <w:rPr>
          <w:b/>
        </w:rPr>
      </w:pPr>
    </w:p>
    <w:p>
      <w:pPr>
        <w:pStyle w:val="BodyText"/>
        <w:spacing w:line="249" w:lineRule="auto"/>
        <w:ind w:left="470" w:right="500"/>
      </w:pPr>
      <w:r>
        <w:rPr/>
        <w:t>For the three and nine months ended September 30, 2023 and 2022, the Company had voting and nonvoting common stock outstanding. Since the rights of the voting and nonvoting common stock are identical, except with respect to voting, the net income of the Company has been allocated on a proportionate basis to the two classes. Diluted earnings per share is calculated using</w:t>
      </w:r>
      <w:r>
        <w:rPr>
          <w:spacing w:val="-3"/>
        </w:rPr>
        <w:t> </w:t>
      </w:r>
      <w:r>
        <w:rPr/>
        <w:t>the</w:t>
      </w:r>
      <w:r>
        <w:rPr>
          <w:spacing w:val="-4"/>
        </w:rPr>
        <w:t> </w:t>
      </w:r>
      <w:r>
        <w:rPr/>
        <w:t>treasury</w:t>
      </w:r>
      <w:r>
        <w:rPr>
          <w:spacing w:val="-3"/>
        </w:rPr>
        <w:t> </w:t>
      </w:r>
      <w:r>
        <w:rPr/>
        <w:t>stock</w:t>
      </w:r>
      <w:r>
        <w:rPr>
          <w:spacing w:val="-3"/>
        </w:rPr>
        <w:t> </w:t>
      </w:r>
      <w:r>
        <w:rPr/>
        <w:t>method</w:t>
      </w:r>
      <w:r>
        <w:rPr>
          <w:spacing w:val="-3"/>
        </w:rPr>
        <w:t> </w:t>
      </w:r>
      <w:r>
        <w:rPr/>
        <w:t>for</w:t>
      </w:r>
      <w:r>
        <w:rPr>
          <w:spacing w:val="-3"/>
        </w:rPr>
        <w:t> </w:t>
      </w:r>
      <w:r>
        <w:rPr/>
        <w:t>outstanding</w:t>
      </w:r>
      <w:r>
        <w:rPr>
          <w:spacing w:val="-3"/>
        </w:rPr>
        <w:t> </w:t>
      </w:r>
      <w:r>
        <w:rPr/>
        <w:t>stock</w:t>
      </w:r>
      <w:r>
        <w:rPr>
          <w:spacing w:val="-3"/>
        </w:rPr>
        <w:t> </w:t>
      </w:r>
      <w:r>
        <w:rPr/>
        <w:t>options</w:t>
      </w:r>
      <w:r>
        <w:rPr>
          <w:spacing w:val="-4"/>
        </w:rPr>
        <w:t> </w:t>
      </w:r>
      <w:r>
        <w:rPr/>
        <w:t>and</w:t>
      </w:r>
      <w:r>
        <w:rPr>
          <w:spacing w:val="-3"/>
        </w:rPr>
        <w:t> </w:t>
      </w:r>
      <w:r>
        <w:rPr/>
        <w:t>non-vested</w:t>
      </w:r>
      <w:r>
        <w:rPr>
          <w:spacing w:val="-3"/>
        </w:rPr>
        <w:t> </w:t>
      </w:r>
      <w:r>
        <w:rPr/>
        <w:t>restricted</w:t>
      </w:r>
      <w:r>
        <w:rPr>
          <w:spacing w:val="-3"/>
        </w:rPr>
        <w:t> </w:t>
      </w:r>
      <w:r>
        <w:rPr/>
        <w:t>stock</w:t>
      </w:r>
      <w:r>
        <w:rPr>
          <w:spacing w:val="-3"/>
        </w:rPr>
        <w:t> </w:t>
      </w:r>
      <w:r>
        <w:rPr/>
        <w:t>units</w:t>
      </w:r>
      <w:r>
        <w:rPr>
          <w:spacing w:val="-4"/>
        </w:rPr>
        <w:t> </w:t>
      </w:r>
      <w:r>
        <w:rPr/>
        <w:t>and</w:t>
      </w:r>
      <w:r>
        <w:rPr>
          <w:spacing w:val="-3"/>
        </w:rPr>
        <w:t> </w:t>
      </w:r>
      <w:r>
        <w:rPr/>
        <w:t>the</w:t>
      </w:r>
      <w:r>
        <w:rPr>
          <w:spacing w:val="-4"/>
        </w:rPr>
        <w:t> </w:t>
      </w:r>
      <w:r>
        <w:rPr/>
        <w:t>if-converted</w:t>
      </w:r>
      <w:r>
        <w:rPr>
          <w:spacing w:val="-3"/>
        </w:rPr>
        <w:t> </w:t>
      </w:r>
      <w:r>
        <w:rPr/>
        <w:t>method for nonvoting common stock. The if-converted method assumes conversion of all nonvoting common stock to common stock. For further details surrounding the EPS computation, see Item 8 – Note 25 in the 2022 Form 10-K.</w:t>
      </w:r>
    </w:p>
    <w:p>
      <w:pPr>
        <w:pStyle w:val="BodyText"/>
        <w:spacing w:before="15"/>
      </w:pPr>
    </w:p>
    <w:p>
      <w:pPr>
        <w:pStyle w:val="BodyText"/>
        <w:ind w:left="470"/>
      </w:pPr>
      <w:r>
        <w:rPr/>
        <mc:AlternateContent>
          <mc:Choice Requires="wps">
            <w:drawing>
              <wp:anchor distT="0" distB="0" distL="0" distR="0" allowOverlap="1" layoutInCell="1" locked="0" behindDoc="0" simplePos="0" relativeHeight="15776768">
                <wp:simplePos x="0" y="0"/>
                <wp:positionH relativeFrom="page">
                  <wp:posOffset>628650</wp:posOffset>
                </wp:positionH>
                <wp:positionV relativeFrom="paragraph">
                  <wp:posOffset>180067</wp:posOffset>
                </wp:positionV>
                <wp:extent cx="6515100" cy="6350"/>
                <wp:effectExtent l="0" t="0" r="0" b="0"/>
                <wp:wrapNone/>
                <wp:docPr id="680" name="Group 680"/>
                <wp:cNvGraphicFramePr>
                  <a:graphicFrameLocks/>
                </wp:cNvGraphicFramePr>
                <a:graphic>
                  <a:graphicData uri="http://schemas.microsoft.com/office/word/2010/wordprocessingGroup">
                    <wpg:wgp>
                      <wpg:cNvPr id="680" name="Group 680"/>
                      <wpg:cNvGrpSpPr/>
                      <wpg:grpSpPr>
                        <a:xfrm>
                          <a:off x="0" y="0"/>
                          <a:ext cx="6515100" cy="6350"/>
                          <a:chExt cx="6515100" cy="6350"/>
                        </a:xfrm>
                      </wpg:grpSpPr>
                      <wps:wsp>
                        <wps:cNvPr id="681" name="Graphic 681"/>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682" name="Graphic 682"/>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14.178555pt;width:513pt;height:.5pt;mso-position-horizontal-relative:page;mso-position-vertical-relative:paragraph;z-index:15776768" id="docshapegroup492" coordorigin="990,284" coordsize="10260,10">
                <v:shape style="position:absolute;left:990;top:288;width:10260;height:2" id="docshape493" coordorigin="990,289" coordsize="10260,0" path="m11250,289l990,289e" filled="true" fillcolor="#000000" stroked="false">
                  <v:path arrowok="t"/>
                  <v:fill opacity="0f" type="solid"/>
                </v:shape>
                <v:line style="position:absolute" from="990,289" to="11250,289" stroked="true" strokeweight=".5pt" strokecolor="#000000">
                  <v:stroke dashstyle="solid"/>
                </v:line>
                <w10:wrap type="none"/>
              </v:group>
            </w:pict>
          </mc:Fallback>
        </mc:AlternateContent>
      </w:r>
      <w:r>
        <w:rPr/>
        <w:t>EPS</w:t>
      </w:r>
      <w:r>
        <w:rPr>
          <w:spacing w:val="-6"/>
        </w:rPr>
        <w:t> </w:t>
      </w:r>
      <w:r>
        <w:rPr/>
        <w:t>under</w:t>
      </w:r>
      <w:r>
        <w:rPr>
          <w:spacing w:val="-2"/>
        </w:rPr>
        <w:t> </w:t>
      </w:r>
      <w:r>
        <w:rPr/>
        <w:t>the</w:t>
      </w:r>
      <w:r>
        <w:rPr>
          <w:spacing w:val="-3"/>
        </w:rPr>
        <w:t> </w:t>
      </w:r>
      <w:r>
        <w:rPr/>
        <w:t>basic</w:t>
      </w:r>
      <w:r>
        <w:rPr>
          <w:spacing w:val="-3"/>
        </w:rPr>
        <w:t> </w:t>
      </w:r>
      <w:r>
        <w:rPr/>
        <w:t>and</w:t>
      </w:r>
      <w:r>
        <w:rPr>
          <w:spacing w:val="-2"/>
        </w:rPr>
        <w:t> </w:t>
      </w:r>
      <w:r>
        <w:rPr/>
        <w:t>diluted</w:t>
      </w:r>
      <w:r>
        <w:rPr>
          <w:spacing w:val="-2"/>
        </w:rPr>
        <w:t> </w:t>
      </w:r>
      <w:r>
        <w:rPr/>
        <w:t>computations</w:t>
      </w:r>
      <w:r>
        <w:rPr>
          <w:spacing w:val="-3"/>
        </w:rPr>
        <w:t> </w:t>
      </w:r>
      <w:r>
        <w:rPr/>
        <w:t>for</w:t>
      </w:r>
      <w:r>
        <w:rPr>
          <w:spacing w:val="-2"/>
        </w:rPr>
        <w:t> </w:t>
      </w:r>
      <w:r>
        <w:rPr/>
        <w:t>both</w:t>
      </w:r>
      <w:r>
        <w:rPr>
          <w:spacing w:val="-3"/>
        </w:rPr>
        <w:t> </w:t>
      </w:r>
      <w:r>
        <w:rPr/>
        <w:t>common</w:t>
      </w:r>
      <w:r>
        <w:rPr>
          <w:spacing w:val="-2"/>
        </w:rPr>
        <w:t> </w:t>
      </w:r>
      <w:r>
        <w:rPr/>
        <w:t>stock</w:t>
      </w:r>
      <w:r>
        <w:rPr>
          <w:spacing w:val="-2"/>
        </w:rPr>
        <w:t> </w:t>
      </w:r>
      <w:r>
        <w:rPr/>
        <w:t>and</w:t>
      </w:r>
      <w:r>
        <w:rPr>
          <w:spacing w:val="-2"/>
        </w:rPr>
        <w:t> </w:t>
      </w:r>
      <w:r>
        <w:rPr/>
        <w:t>nonvoting</w:t>
      </w:r>
      <w:r>
        <w:rPr>
          <w:spacing w:val="-2"/>
        </w:rPr>
        <w:t> </w:t>
      </w:r>
      <w:r>
        <w:rPr/>
        <w:t>common</w:t>
      </w:r>
      <w:r>
        <w:rPr>
          <w:spacing w:val="-2"/>
        </w:rPr>
        <w:t> </w:t>
      </w:r>
      <w:r>
        <w:rPr/>
        <w:t>stock</w:t>
      </w:r>
      <w:r>
        <w:rPr>
          <w:spacing w:val="-2"/>
        </w:rPr>
        <w:t> </w:t>
      </w:r>
      <w:r>
        <w:rPr/>
        <w:t>are</w:t>
      </w:r>
      <w:r>
        <w:rPr>
          <w:spacing w:val="-3"/>
        </w:rPr>
        <w:t> </w:t>
      </w:r>
      <w:r>
        <w:rPr/>
        <w:t>as</w:t>
      </w:r>
      <w:r>
        <w:rPr>
          <w:spacing w:val="-3"/>
        </w:rPr>
        <w:t> </w:t>
      </w:r>
      <w:r>
        <w:rPr>
          <w:spacing w:val="-2"/>
        </w:rPr>
        <w:t>follows:</w:t>
      </w:r>
    </w:p>
    <w:p>
      <w:pPr>
        <w:spacing w:after="0"/>
        <w:sectPr>
          <w:pgSz w:w="12240" w:h="15840"/>
          <w:pgMar w:header="227" w:footer="201" w:top="1080" w:bottom="400" w:left="520" w:right="520"/>
        </w:sectPr>
      </w:pPr>
    </w:p>
    <w:p>
      <w:pPr>
        <w:spacing w:line="208" w:lineRule="auto" w:before="109"/>
        <w:ind w:left="5228" w:right="0" w:hanging="214"/>
        <w:jc w:val="left"/>
        <w:rPr>
          <w:sz w:val="16"/>
        </w:rPr>
      </w:pPr>
      <w:r>
        <w:rPr>
          <w:sz w:val="16"/>
        </w:rPr>
        <w:t>Three</w:t>
      </w:r>
      <w:r>
        <w:rPr>
          <w:spacing w:val="-10"/>
          <w:sz w:val="16"/>
        </w:rPr>
        <w:t> </w:t>
      </w:r>
      <w:r>
        <w:rPr>
          <w:sz w:val="16"/>
        </w:rPr>
        <w:t>Months</w:t>
      </w:r>
      <w:r>
        <w:rPr>
          <w:spacing w:val="-10"/>
          <w:sz w:val="16"/>
        </w:rPr>
        <w:t> </w:t>
      </w:r>
      <w:r>
        <w:rPr>
          <w:sz w:val="16"/>
        </w:rPr>
        <w:t>Ended</w:t>
      </w:r>
      <w:r>
        <w:rPr>
          <w:spacing w:val="40"/>
          <w:sz w:val="16"/>
        </w:rPr>
        <w:t> </w:t>
      </w:r>
      <w:r>
        <w:rPr>
          <w:sz w:val="16"/>
        </w:rPr>
        <w:t>September</w:t>
      </w:r>
      <w:r>
        <w:rPr>
          <w:spacing w:val="-1"/>
          <w:sz w:val="16"/>
        </w:rPr>
        <w:t> </w:t>
      </w:r>
      <w:r>
        <w:rPr>
          <w:sz w:val="16"/>
        </w:rPr>
        <w:t>30,</w:t>
      </w:r>
    </w:p>
    <w:p>
      <w:pPr>
        <w:spacing w:line="208" w:lineRule="auto" w:before="109"/>
        <w:ind w:left="2182" w:right="1503" w:hanging="183"/>
        <w:jc w:val="left"/>
        <w:rPr>
          <w:sz w:val="16"/>
        </w:rPr>
      </w:pPr>
      <w:r>
        <w:rPr/>
        <w:br w:type="column"/>
      </w:r>
      <w:r>
        <w:rPr>
          <w:sz w:val="16"/>
        </w:rPr>
        <w:t>Nine</w:t>
      </w:r>
      <w:r>
        <w:rPr>
          <w:spacing w:val="-10"/>
          <w:sz w:val="16"/>
        </w:rPr>
        <w:t> </w:t>
      </w:r>
      <w:r>
        <w:rPr>
          <w:sz w:val="16"/>
        </w:rPr>
        <w:t>Months</w:t>
      </w:r>
      <w:r>
        <w:rPr>
          <w:spacing w:val="-10"/>
          <w:sz w:val="16"/>
        </w:rPr>
        <w:t> </w:t>
      </w:r>
      <w:r>
        <w:rPr>
          <w:sz w:val="16"/>
        </w:rPr>
        <w:t>Ended</w:t>
      </w:r>
      <w:r>
        <w:rPr>
          <w:spacing w:val="40"/>
          <w:sz w:val="16"/>
        </w:rPr>
        <w:t> </w:t>
      </w:r>
      <w:r>
        <w:rPr>
          <w:sz w:val="16"/>
        </w:rPr>
        <w:t>September</w:t>
      </w:r>
      <w:r>
        <w:rPr>
          <w:spacing w:val="-1"/>
          <w:sz w:val="16"/>
        </w:rPr>
        <w:t> </w:t>
      </w:r>
      <w:r>
        <w:rPr>
          <w:sz w:val="16"/>
        </w:rPr>
        <w:t>30,</w:t>
      </w:r>
    </w:p>
    <w:p>
      <w:pPr>
        <w:spacing w:after="0" w:line="208" w:lineRule="auto"/>
        <w:jc w:val="left"/>
        <w:rPr>
          <w:sz w:val="16"/>
        </w:rPr>
        <w:sectPr>
          <w:type w:val="continuous"/>
          <w:pgSz w:w="12240" w:h="15840"/>
          <w:pgMar w:header="227" w:footer="201" w:top="320" w:bottom="280" w:left="520" w:right="520"/>
          <w:cols w:num="2" w:equalWidth="0">
            <w:col w:w="6366" w:space="40"/>
            <w:col w:w="4794"/>
          </w:cols>
        </w:sectPr>
      </w:pPr>
    </w:p>
    <w:p>
      <w:pPr>
        <w:pStyle w:val="BodyText"/>
        <w:spacing w:before="6"/>
        <w:rPr>
          <w:sz w:val="2"/>
        </w:rPr>
      </w:pPr>
    </w:p>
    <w:p>
      <w:pPr>
        <w:pStyle w:val="BodyText"/>
        <w:spacing w:line="20" w:lineRule="exact"/>
        <w:ind w:left="465"/>
        <w:rPr>
          <w:sz w:val="2"/>
        </w:rPr>
      </w:pPr>
      <w:r>
        <w:rPr>
          <w:sz w:val="2"/>
        </w:rPr>
        <mc:AlternateContent>
          <mc:Choice Requires="wps">
            <w:drawing>
              <wp:inline distT="0" distB="0" distL="0" distR="0">
                <wp:extent cx="6515100" cy="6350"/>
                <wp:effectExtent l="9525" t="0" r="0" b="3175"/>
                <wp:docPr id="683" name="Group 683"/>
                <wp:cNvGraphicFramePr>
                  <a:graphicFrameLocks/>
                </wp:cNvGraphicFramePr>
                <a:graphic>
                  <a:graphicData uri="http://schemas.microsoft.com/office/word/2010/wordprocessingGroup">
                    <wpg:wgp>
                      <wpg:cNvPr id="683" name="Group 683"/>
                      <wpg:cNvGrpSpPr/>
                      <wpg:grpSpPr>
                        <a:xfrm>
                          <a:off x="0" y="0"/>
                          <a:ext cx="6515100" cy="6350"/>
                          <a:chExt cx="6515100" cy="6350"/>
                        </a:xfrm>
                      </wpg:grpSpPr>
                      <wps:wsp>
                        <wps:cNvPr id="684" name="Graphic 684"/>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685" name="Graphic 685"/>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3pt;height:.5pt;mso-position-horizontal-relative:char;mso-position-vertical-relative:line" id="docshapegroup494" coordorigin="0,0" coordsize="10260,10">
                <v:shape style="position:absolute;left:0;top:5;width:10260;height:2" id="docshape495" coordorigin="0,5" coordsize="10260,0" path="m10260,5l0,5e" filled="true" fillcolor="#000000" stroked="false">
                  <v:path arrowok="t"/>
                  <v:fill opacity="0f" type="solid"/>
                </v:shape>
                <v:line style="position:absolute" from="0,5" to="10260,5" stroked="true" strokeweight=".5pt" strokecolor="#000000">
                  <v:stroke dashstyle="solid"/>
                </v:line>
              </v:group>
            </w:pict>
          </mc:Fallback>
        </mc:AlternateContent>
      </w:r>
      <w:r>
        <w:rPr>
          <w:sz w:val="2"/>
        </w:rPr>
      </w:r>
    </w:p>
    <w:p>
      <w:pPr>
        <w:tabs>
          <w:tab w:pos="6369" w:val="left" w:leader="none"/>
          <w:tab w:pos="8049" w:val="left" w:leader="none"/>
          <w:tab w:pos="9729" w:val="left" w:leader="none"/>
        </w:tabs>
        <w:spacing w:before="11"/>
        <w:ind w:left="4690" w:right="0" w:firstLine="0"/>
        <w:jc w:val="left"/>
        <w:rPr>
          <w:sz w:val="16"/>
        </w:rPr>
      </w:pPr>
      <w:r>
        <w:rPr/>
        <mc:AlternateContent>
          <mc:Choice Requires="wps">
            <w:drawing>
              <wp:anchor distT="0" distB="0" distL="0" distR="0" allowOverlap="1" layoutInCell="1" locked="0" behindDoc="0" simplePos="0" relativeHeight="15777280">
                <wp:simplePos x="0" y="0"/>
                <wp:positionH relativeFrom="page">
                  <wp:posOffset>2876550</wp:posOffset>
                </wp:positionH>
                <wp:positionV relativeFrom="paragraph">
                  <wp:posOffset>139991</wp:posOffset>
                </wp:positionV>
                <wp:extent cx="4267200" cy="6350"/>
                <wp:effectExtent l="0" t="0" r="0" b="0"/>
                <wp:wrapNone/>
                <wp:docPr id="686" name="Group 686"/>
                <wp:cNvGraphicFramePr>
                  <a:graphicFrameLocks/>
                </wp:cNvGraphicFramePr>
                <a:graphic>
                  <a:graphicData uri="http://schemas.microsoft.com/office/word/2010/wordprocessingGroup">
                    <wpg:wgp>
                      <wpg:cNvPr id="686" name="Group 686"/>
                      <wpg:cNvGrpSpPr/>
                      <wpg:grpSpPr>
                        <a:xfrm>
                          <a:off x="0" y="0"/>
                          <a:ext cx="4267200" cy="6350"/>
                          <a:chExt cx="4267200" cy="6350"/>
                        </a:xfrm>
                      </wpg:grpSpPr>
                      <wps:wsp>
                        <wps:cNvPr id="687" name="Graphic 687"/>
                        <wps:cNvSpPr/>
                        <wps:spPr>
                          <a:xfrm>
                            <a:off x="0" y="3175"/>
                            <a:ext cx="4267200" cy="1270"/>
                          </a:xfrm>
                          <a:custGeom>
                            <a:avLst/>
                            <a:gdLst/>
                            <a:ahLst/>
                            <a:cxnLst/>
                            <a:rect l="l" t="t" r="r" b="b"/>
                            <a:pathLst>
                              <a:path w="4267200" h="0">
                                <a:moveTo>
                                  <a:pt x="4267200" y="0"/>
                                </a:moveTo>
                                <a:lnTo>
                                  <a:pt x="0" y="0"/>
                                </a:lnTo>
                              </a:path>
                            </a:pathLst>
                          </a:custGeom>
                          <a:solidFill>
                            <a:srgbClr val="000000"/>
                          </a:solidFill>
                        </wps:spPr>
                        <wps:bodyPr wrap="square" lIns="0" tIns="0" rIns="0" bIns="0" rtlCol="0">
                          <a:prstTxWarp prst="textNoShape">
                            <a:avLst/>
                          </a:prstTxWarp>
                          <a:noAutofit/>
                        </wps:bodyPr>
                      </wps:wsp>
                      <wps:wsp>
                        <wps:cNvPr id="688" name="Graphic 688"/>
                        <wps:cNvSpPr/>
                        <wps:spPr>
                          <a:xfrm>
                            <a:off x="0" y="3175"/>
                            <a:ext cx="4267200" cy="1270"/>
                          </a:xfrm>
                          <a:custGeom>
                            <a:avLst/>
                            <a:gdLst/>
                            <a:ahLst/>
                            <a:cxnLst/>
                            <a:rect l="l" t="t" r="r" b="b"/>
                            <a:pathLst>
                              <a:path w="4267200" h="0">
                                <a:moveTo>
                                  <a:pt x="0" y="0"/>
                                </a:moveTo>
                                <a:lnTo>
                                  <a:pt x="42672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6.5pt;margin-top:11.022988pt;width:336pt;height:.5pt;mso-position-horizontal-relative:page;mso-position-vertical-relative:paragraph;z-index:15777280" id="docshapegroup496" coordorigin="4530,220" coordsize="6720,10">
                <v:shape style="position:absolute;left:4530;top:225;width:6720;height:2" id="docshape497" coordorigin="4530,225" coordsize="6720,0" path="m11250,225l4530,225e" filled="true" fillcolor="#000000" stroked="false">
                  <v:path arrowok="t"/>
                  <v:fill opacity="0f" type="solid"/>
                </v:shape>
                <v:line style="position:absolute" from="4530,225" to="11250,225" stroked="true" strokeweight=".5pt" strokecolor="#000000">
                  <v:stroke dashstyle="solid"/>
                </v:line>
                <w10:wrap type="none"/>
              </v:group>
            </w:pict>
          </mc:Fallback>
        </mc:AlternateContent>
      </w:r>
      <w:r>
        <w:rPr>
          <w:spacing w:val="-4"/>
          <w:sz w:val="16"/>
        </w:rPr>
        <w:t>2023</w:t>
      </w:r>
      <w:r>
        <w:rPr>
          <w:sz w:val="16"/>
        </w:rPr>
        <w:tab/>
      </w:r>
      <w:r>
        <w:rPr>
          <w:spacing w:val="-4"/>
          <w:sz w:val="16"/>
        </w:rPr>
        <w:t>2022</w:t>
      </w:r>
      <w:r>
        <w:rPr>
          <w:sz w:val="16"/>
        </w:rPr>
        <w:tab/>
      </w:r>
      <w:r>
        <w:rPr>
          <w:spacing w:val="-4"/>
          <w:sz w:val="16"/>
        </w:rPr>
        <w:t>2023</w:t>
      </w:r>
      <w:r>
        <w:rPr>
          <w:sz w:val="16"/>
        </w:rPr>
        <w:tab/>
      </w:r>
      <w:r>
        <w:rPr>
          <w:spacing w:val="-4"/>
          <w:sz w:val="16"/>
        </w:rPr>
        <w:t>2022</w:t>
      </w:r>
    </w:p>
    <w:p>
      <w:pPr>
        <w:spacing w:after="0"/>
        <w:jc w:val="left"/>
        <w:rPr>
          <w:sz w:val="16"/>
        </w:rPr>
        <w:sectPr>
          <w:type w:val="continuous"/>
          <w:pgSz w:w="12240" w:h="15840"/>
          <w:pgMar w:header="227" w:footer="201" w:top="320" w:bottom="280" w:left="520" w:right="520"/>
        </w:sectPr>
      </w:pPr>
    </w:p>
    <w:p>
      <w:pPr>
        <w:pStyle w:val="BodyText"/>
        <w:rPr>
          <w:sz w:val="16"/>
        </w:rPr>
      </w:pPr>
    </w:p>
    <w:p>
      <w:pPr>
        <w:pStyle w:val="BodyText"/>
        <w:rPr>
          <w:sz w:val="16"/>
        </w:rPr>
      </w:pPr>
    </w:p>
    <w:p>
      <w:pPr>
        <w:pStyle w:val="BodyText"/>
        <w:spacing w:before="74"/>
        <w:rPr>
          <w:sz w:val="16"/>
        </w:rPr>
      </w:pPr>
    </w:p>
    <w:p>
      <w:pPr>
        <w:spacing w:line="333" w:lineRule="auto" w:before="0"/>
        <w:ind w:left="522" w:right="38" w:firstLine="0"/>
        <w:jc w:val="left"/>
        <w:rPr>
          <w:sz w:val="16"/>
        </w:rPr>
      </w:pPr>
      <w:r>
        <w:rPr/>
        <mc:AlternateContent>
          <mc:Choice Requires="wps">
            <w:drawing>
              <wp:anchor distT="0" distB="0" distL="0" distR="0" allowOverlap="1" layoutInCell="1" locked="0" behindDoc="0" simplePos="0" relativeHeight="15778304">
                <wp:simplePos x="0" y="0"/>
                <wp:positionH relativeFrom="page">
                  <wp:posOffset>590550</wp:posOffset>
                </wp:positionH>
                <wp:positionV relativeFrom="paragraph">
                  <wp:posOffset>298146</wp:posOffset>
                </wp:positionV>
                <wp:extent cx="6591300" cy="3438525"/>
                <wp:effectExtent l="0" t="0" r="0" b="0"/>
                <wp:wrapNone/>
                <wp:docPr id="689" name="Textbox 689"/>
                <wp:cNvGraphicFramePr>
                  <a:graphicFrameLocks/>
                </wp:cNvGraphicFramePr>
                <a:graphic>
                  <a:graphicData uri="http://schemas.microsoft.com/office/word/2010/wordprocessingShape">
                    <wps:wsp>
                      <wps:cNvPr id="689" name="Textbox 689"/>
                      <wps:cNvSpPr txBox="1"/>
                      <wps:spPr>
                        <a:xfrm>
                          <a:off x="0" y="0"/>
                          <a:ext cx="6591300" cy="34385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5"/>
                              <w:gridCol w:w="1198"/>
                              <w:gridCol w:w="507"/>
                              <w:gridCol w:w="1134"/>
                              <w:gridCol w:w="547"/>
                              <w:gridCol w:w="1134"/>
                              <w:gridCol w:w="547"/>
                              <w:gridCol w:w="1134"/>
                              <w:gridCol w:w="528"/>
                            </w:tblGrid>
                            <w:tr>
                              <w:trPr>
                                <w:trHeight w:val="255" w:hRule="atLeast"/>
                              </w:trPr>
                              <w:tc>
                                <w:tcPr>
                                  <w:tcW w:w="3535" w:type="dxa"/>
                                  <w:shd w:val="clear" w:color="auto" w:fill="CCEDFF"/>
                                </w:tcPr>
                                <w:p>
                                  <w:pPr>
                                    <w:pStyle w:val="TableParagraph"/>
                                    <w:spacing w:before="41"/>
                                    <w:ind w:left="292"/>
                                    <w:rPr>
                                      <w:sz w:val="16"/>
                                    </w:rPr>
                                  </w:pPr>
                                  <w:r>
                                    <w:rPr>
                                      <w:sz w:val="16"/>
                                    </w:rPr>
                                    <w:t>Net</w:t>
                                  </w:r>
                                  <w:r>
                                    <w:rPr>
                                      <w:spacing w:val="-1"/>
                                      <w:sz w:val="16"/>
                                    </w:rPr>
                                    <w:t> </w:t>
                                  </w:r>
                                  <w:r>
                                    <w:rPr>
                                      <w:spacing w:val="-2"/>
                                      <w:sz w:val="16"/>
                                    </w:rPr>
                                    <w:t>income</w:t>
                                  </w:r>
                                </w:p>
                              </w:tc>
                              <w:tc>
                                <w:tcPr>
                                  <w:tcW w:w="1198" w:type="dxa"/>
                                  <w:shd w:val="clear" w:color="auto" w:fill="CCEDFF"/>
                                </w:tcPr>
                                <w:p>
                                  <w:pPr>
                                    <w:pStyle w:val="TableParagraph"/>
                                    <w:tabs>
                                      <w:tab w:pos="416" w:val="left" w:leader="none"/>
                                    </w:tabs>
                                    <w:spacing w:before="41"/>
                                    <w:ind w:left="57"/>
                                    <w:rPr>
                                      <w:sz w:val="16"/>
                                    </w:rPr>
                                  </w:pPr>
                                  <w:r>
                                    <w:rPr>
                                      <w:spacing w:val="-10"/>
                                      <w:sz w:val="16"/>
                                    </w:rPr>
                                    <w:t>$</w:t>
                                  </w:r>
                                  <w:r>
                                    <w:rPr>
                                      <w:sz w:val="16"/>
                                    </w:rPr>
                                    <w:tab/>
                                    <w:t>1,094</w:t>
                                  </w:r>
                                  <w:r>
                                    <w:rPr>
                                      <w:spacing w:val="60"/>
                                      <w:w w:val="150"/>
                                      <w:sz w:val="16"/>
                                    </w:rPr>
                                    <w:t> </w:t>
                                  </w:r>
                                  <w:r>
                                    <w:rPr>
                                      <w:spacing w:val="-10"/>
                                      <w:sz w:val="16"/>
                                    </w:rPr>
                                    <w:t>$</w:t>
                                  </w:r>
                                </w:p>
                              </w:tc>
                              <w:tc>
                                <w:tcPr>
                                  <w:tcW w:w="507" w:type="dxa"/>
                                  <w:shd w:val="clear" w:color="auto" w:fill="CCEDFF"/>
                                </w:tcPr>
                                <w:p>
                                  <w:pPr>
                                    <w:pStyle w:val="TableParagraph"/>
                                    <w:spacing w:before="41"/>
                                    <w:ind w:left="170"/>
                                    <w:jc w:val="center"/>
                                    <w:rPr>
                                      <w:sz w:val="16"/>
                                    </w:rPr>
                                  </w:pPr>
                                  <w:r>
                                    <w:rPr>
                                      <w:spacing w:val="-5"/>
                                      <w:sz w:val="16"/>
                                    </w:rPr>
                                    <w:t>31</w:t>
                                  </w:r>
                                </w:p>
                              </w:tc>
                              <w:tc>
                                <w:tcPr>
                                  <w:tcW w:w="1134" w:type="dxa"/>
                                  <w:shd w:val="clear" w:color="auto" w:fill="CCEDFF"/>
                                </w:tcPr>
                                <w:p>
                                  <w:pPr>
                                    <w:pStyle w:val="TableParagraph"/>
                                    <w:tabs>
                                      <w:tab w:pos="391" w:val="left" w:leader="none"/>
                                    </w:tabs>
                                    <w:spacing w:before="41"/>
                                    <w:ind w:left="32"/>
                                    <w:rPr>
                                      <w:sz w:val="16"/>
                                    </w:rPr>
                                  </w:pPr>
                                  <w:r>
                                    <w:rPr>
                                      <w:spacing w:val="-10"/>
                                      <w:sz w:val="16"/>
                                    </w:rPr>
                                    <w:t>$</w:t>
                                  </w:r>
                                  <w:r>
                                    <w:rPr>
                                      <w:sz w:val="16"/>
                                    </w:rPr>
                                    <w:tab/>
                                    <w:t>1,956</w:t>
                                  </w:r>
                                  <w:r>
                                    <w:rPr>
                                      <w:spacing w:val="60"/>
                                      <w:w w:val="150"/>
                                      <w:sz w:val="16"/>
                                    </w:rPr>
                                    <w:t> </w:t>
                                  </w:r>
                                  <w:r>
                                    <w:rPr>
                                      <w:spacing w:val="-10"/>
                                      <w:sz w:val="16"/>
                                    </w:rPr>
                                    <w:t>$</w:t>
                                  </w:r>
                                </w:p>
                              </w:tc>
                              <w:tc>
                                <w:tcPr>
                                  <w:tcW w:w="547" w:type="dxa"/>
                                  <w:shd w:val="clear" w:color="auto" w:fill="CCEDFF"/>
                                </w:tcPr>
                                <w:p>
                                  <w:pPr>
                                    <w:pStyle w:val="TableParagraph"/>
                                    <w:spacing w:before="41"/>
                                    <w:ind w:right="87"/>
                                    <w:jc w:val="right"/>
                                    <w:rPr>
                                      <w:sz w:val="16"/>
                                    </w:rPr>
                                  </w:pPr>
                                  <w:r>
                                    <w:rPr>
                                      <w:spacing w:val="-5"/>
                                      <w:sz w:val="16"/>
                                    </w:rPr>
                                    <w:t>64</w:t>
                                  </w:r>
                                </w:p>
                              </w:tc>
                              <w:tc>
                                <w:tcPr>
                                  <w:tcW w:w="1134" w:type="dxa"/>
                                  <w:shd w:val="clear" w:color="auto" w:fill="CCEDFF"/>
                                </w:tcPr>
                                <w:p>
                                  <w:pPr>
                                    <w:pStyle w:val="TableParagraph"/>
                                    <w:tabs>
                                      <w:tab w:pos="390" w:val="left" w:leader="none"/>
                                    </w:tabs>
                                    <w:spacing w:before="41"/>
                                    <w:ind w:left="31"/>
                                    <w:rPr>
                                      <w:sz w:val="16"/>
                                    </w:rPr>
                                  </w:pPr>
                                  <w:r>
                                    <w:rPr>
                                      <w:spacing w:val="-10"/>
                                      <w:sz w:val="16"/>
                                    </w:rPr>
                                    <w:t>$</w:t>
                                  </w:r>
                                  <w:r>
                                    <w:rPr>
                                      <w:sz w:val="16"/>
                                    </w:rPr>
                                    <w:tab/>
                                    <w:t>3,910</w:t>
                                  </w:r>
                                  <w:r>
                                    <w:rPr>
                                      <w:spacing w:val="60"/>
                                      <w:w w:val="150"/>
                                      <w:sz w:val="16"/>
                                    </w:rPr>
                                    <w:t> </w:t>
                                  </w:r>
                                  <w:r>
                                    <w:rPr>
                                      <w:spacing w:val="-10"/>
                                      <w:sz w:val="16"/>
                                    </w:rPr>
                                    <w:t>$</w:t>
                                  </w:r>
                                </w:p>
                              </w:tc>
                              <w:tc>
                                <w:tcPr>
                                  <w:tcW w:w="547" w:type="dxa"/>
                                  <w:shd w:val="clear" w:color="auto" w:fill="CCEDFF"/>
                                </w:tcPr>
                                <w:p>
                                  <w:pPr>
                                    <w:pStyle w:val="TableParagraph"/>
                                    <w:spacing w:before="41"/>
                                    <w:ind w:right="88"/>
                                    <w:jc w:val="right"/>
                                    <w:rPr>
                                      <w:sz w:val="16"/>
                                    </w:rPr>
                                  </w:pPr>
                                  <w:r>
                                    <w:rPr>
                                      <w:spacing w:val="-5"/>
                                      <w:sz w:val="16"/>
                                    </w:rPr>
                                    <w:t>112</w:t>
                                  </w:r>
                                </w:p>
                              </w:tc>
                              <w:tc>
                                <w:tcPr>
                                  <w:tcW w:w="1134" w:type="dxa"/>
                                  <w:shd w:val="clear" w:color="auto" w:fill="CCEDFF"/>
                                </w:tcPr>
                                <w:p>
                                  <w:pPr>
                                    <w:pStyle w:val="TableParagraph"/>
                                    <w:tabs>
                                      <w:tab w:pos="389" w:val="left" w:leader="none"/>
                                    </w:tabs>
                                    <w:spacing w:before="41"/>
                                    <w:ind w:left="30"/>
                                    <w:rPr>
                                      <w:sz w:val="16"/>
                                    </w:rPr>
                                  </w:pPr>
                                  <w:r>
                                    <w:rPr>
                                      <w:spacing w:val="-10"/>
                                      <w:sz w:val="16"/>
                                    </w:rPr>
                                    <w:t>$</w:t>
                                  </w:r>
                                  <w:r>
                                    <w:rPr>
                                      <w:sz w:val="16"/>
                                    </w:rPr>
                                    <w:tab/>
                                    <w:t>5,014</w:t>
                                  </w:r>
                                  <w:r>
                                    <w:rPr>
                                      <w:spacing w:val="60"/>
                                      <w:w w:val="150"/>
                                      <w:sz w:val="16"/>
                                    </w:rPr>
                                    <w:t> </w:t>
                                  </w:r>
                                  <w:r>
                                    <w:rPr>
                                      <w:spacing w:val="-10"/>
                                      <w:sz w:val="16"/>
                                    </w:rPr>
                                    <w:t>$</w:t>
                                  </w:r>
                                </w:p>
                              </w:tc>
                              <w:tc>
                                <w:tcPr>
                                  <w:tcW w:w="528" w:type="dxa"/>
                                  <w:shd w:val="clear" w:color="auto" w:fill="CCEDFF"/>
                                </w:tcPr>
                                <w:p>
                                  <w:pPr>
                                    <w:pStyle w:val="TableParagraph"/>
                                    <w:spacing w:before="41"/>
                                    <w:ind w:left="143"/>
                                    <w:jc w:val="center"/>
                                    <w:rPr>
                                      <w:sz w:val="16"/>
                                    </w:rPr>
                                  </w:pPr>
                                  <w:r>
                                    <w:rPr>
                                      <w:spacing w:val="-5"/>
                                      <w:sz w:val="16"/>
                                    </w:rPr>
                                    <w:t>201</w:t>
                                  </w:r>
                                </w:p>
                              </w:tc>
                            </w:tr>
                            <w:tr>
                              <w:trPr>
                                <w:trHeight w:val="250" w:hRule="atLeast"/>
                              </w:trPr>
                              <w:tc>
                                <w:tcPr>
                                  <w:tcW w:w="3535" w:type="dxa"/>
                                  <w:tcBorders>
                                    <w:bottom w:val="single" w:sz="4" w:space="0" w:color="000000"/>
                                  </w:tcBorders>
                                </w:tcPr>
                                <w:p>
                                  <w:pPr>
                                    <w:pStyle w:val="TableParagraph"/>
                                    <w:spacing w:before="41"/>
                                    <w:ind w:left="292"/>
                                    <w:rPr>
                                      <w:sz w:val="16"/>
                                    </w:rPr>
                                  </w:pPr>
                                  <w:r>
                                    <w:rPr>
                                      <w:sz w:val="16"/>
                                    </w:rPr>
                                    <w:t>Preferred</w:t>
                                  </w:r>
                                  <w:r>
                                    <w:rPr>
                                      <w:spacing w:val="-1"/>
                                      <w:sz w:val="16"/>
                                    </w:rPr>
                                    <w:t> </w:t>
                                  </w:r>
                                  <w:r>
                                    <w:rPr>
                                      <w:sz w:val="16"/>
                                    </w:rPr>
                                    <w:t>stock dividends</w:t>
                                  </w:r>
                                  <w:r>
                                    <w:rPr>
                                      <w:spacing w:val="-2"/>
                                      <w:sz w:val="16"/>
                                    </w:rPr>
                                    <w:t> </w:t>
                                  </w:r>
                                  <w:r>
                                    <w:rPr>
                                      <w:sz w:val="16"/>
                                    </w:rPr>
                                    <w:t>and other</w:t>
                                  </w:r>
                                  <w:r>
                                    <w:rPr>
                                      <w:spacing w:val="-2"/>
                                      <w:sz w:val="16"/>
                                    </w:rPr>
                                    <w:t> </w:t>
                                  </w:r>
                                  <w:r>
                                    <w:rPr>
                                      <w:spacing w:val="-5"/>
                                      <w:sz w:val="16"/>
                                      <w:vertAlign w:val="superscript"/>
                                    </w:rPr>
                                    <w:t>(1)</w:t>
                                  </w:r>
                                </w:p>
                              </w:tc>
                              <w:tc>
                                <w:tcPr>
                                  <w:tcW w:w="1198" w:type="dxa"/>
                                  <w:tcBorders>
                                    <w:bottom w:val="single" w:sz="4" w:space="0" w:color="000000"/>
                                  </w:tcBorders>
                                </w:tcPr>
                                <w:p>
                                  <w:pPr>
                                    <w:pStyle w:val="TableParagraph"/>
                                    <w:spacing w:before="41"/>
                                    <w:ind w:left="483"/>
                                    <w:rPr>
                                      <w:sz w:val="16"/>
                                    </w:rPr>
                                  </w:pPr>
                                  <w:r>
                                    <w:rPr>
                                      <w:spacing w:val="-2"/>
                                      <w:sz w:val="16"/>
                                    </w:rPr>
                                    <w:t>(105)</w:t>
                                  </w:r>
                                </w:p>
                              </w:tc>
                              <w:tc>
                                <w:tcPr>
                                  <w:tcW w:w="507" w:type="dxa"/>
                                  <w:tcBorders>
                                    <w:bottom w:val="single" w:sz="4" w:space="0" w:color="000000"/>
                                  </w:tcBorders>
                                </w:tcPr>
                                <w:p>
                                  <w:pPr>
                                    <w:pStyle w:val="TableParagraph"/>
                                    <w:spacing w:before="41"/>
                                    <w:ind w:left="250"/>
                                    <w:jc w:val="center"/>
                                    <w:rPr>
                                      <w:sz w:val="16"/>
                                    </w:rPr>
                                  </w:pPr>
                                  <w:r>
                                    <w:rPr>
                                      <w:spacing w:val="-5"/>
                                      <w:sz w:val="16"/>
                                    </w:rPr>
                                    <w:t>(3)</w:t>
                                  </w:r>
                                </w:p>
                              </w:tc>
                              <w:tc>
                                <w:tcPr>
                                  <w:tcW w:w="1134" w:type="dxa"/>
                                  <w:tcBorders>
                                    <w:bottom w:val="single" w:sz="4" w:space="0" w:color="000000"/>
                                  </w:tcBorders>
                                </w:tcPr>
                                <w:p>
                                  <w:pPr>
                                    <w:pStyle w:val="TableParagraph"/>
                                    <w:spacing w:before="41"/>
                                    <w:ind w:left="458"/>
                                    <w:rPr>
                                      <w:sz w:val="16"/>
                                    </w:rPr>
                                  </w:pPr>
                                  <w:r>
                                    <w:rPr>
                                      <w:spacing w:val="-2"/>
                                      <w:sz w:val="16"/>
                                    </w:rPr>
                                    <w:t>(132)</w:t>
                                  </w:r>
                                </w:p>
                              </w:tc>
                              <w:tc>
                                <w:tcPr>
                                  <w:tcW w:w="547" w:type="dxa"/>
                                  <w:tcBorders>
                                    <w:bottom w:val="single" w:sz="4" w:space="0" w:color="000000"/>
                                  </w:tcBorders>
                                </w:tcPr>
                                <w:p>
                                  <w:pPr>
                                    <w:pStyle w:val="TableParagraph"/>
                                    <w:spacing w:before="41"/>
                                    <w:ind w:right="33"/>
                                    <w:jc w:val="right"/>
                                    <w:rPr>
                                      <w:sz w:val="16"/>
                                    </w:rPr>
                                  </w:pPr>
                                  <w:r>
                                    <w:rPr>
                                      <w:spacing w:val="-5"/>
                                      <w:sz w:val="16"/>
                                    </w:rPr>
                                    <w:t>(4)</w:t>
                                  </w:r>
                                </w:p>
                              </w:tc>
                              <w:tc>
                                <w:tcPr>
                                  <w:tcW w:w="1134" w:type="dxa"/>
                                  <w:tcBorders>
                                    <w:bottom w:val="single" w:sz="4" w:space="0" w:color="000000"/>
                                  </w:tcBorders>
                                </w:tcPr>
                                <w:p>
                                  <w:pPr>
                                    <w:pStyle w:val="TableParagraph"/>
                                    <w:spacing w:before="41"/>
                                    <w:ind w:left="457"/>
                                    <w:rPr>
                                      <w:sz w:val="16"/>
                                    </w:rPr>
                                  </w:pPr>
                                  <w:r>
                                    <w:rPr>
                                      <w:spacing w:val="-2"/>
                                      <w:sz w:val="16"/>
                                    </w:rPr>
                                    <w:t>(291)</w:t>
                                  </w:r>
                                </w:p>
                              </w:tc>
                              <w:tc>
                                <w:tcPr>
                                  <w:tcW w:w="547" w:type="dxa"/>
                                  <w:tcBorders>
                                    <w:bottom w:val="single" w:sz="4" w:space="0" w:color="000000"/>
                                  </w:tcBorders>
                                </w:tcPr>
                                <w:p>
                                  <w:pPr>
                                    <w:pStyle w:val="TableParagraph"/>
                                    <w:spacing w:before="41"/>
                                    <w:ind w:right="34"/>
                                    <w:jc w:val="right"/>
                                    <w:rPr>
                                      <w:sz w:val="16"/>
                                    </w:rPr>
                                  </w:pPr>
                                  <w:r>
                                    <w:rPr>
                                      <w:spacing w:val="-5"/>
                                      <w:sz w:val="16"/>
                                    </w:rPr>
                                    <w:t>(8)</w:t>
                                  </w:r>
                                </w:p>
                              </w:tc>
                              <w:tc>
                                <w:tcPr>
                                  <w:tcW w:w="1134" w:type="dxa"/>
                                  <w:tcBorders>
                                    <w:bottom w:val="single" w:sz="4" w:space="0" w:color="000000"/>
                                  </w:tcBorders>
                                </w:tcPr>
                                <w:p>
                                  <w:pPr>
                                    <w:pStyle w:val="TableParagraph"/>
                                    <w:spacing w:before="41"/>
                                    <w:ind w:left="456"/>
                                    <w:rPr>
                                      <w:sz w:val="16"/>
                                    </w:rPr>
                                  </w:pPr>
                                  <w:r>
                                    <w:rPr>
                                      <w:spacing w:val="-2"/>
                                      <w:sz w:val="16"/>
                                    </w:rPr>
                                    <w:t>(385)</w:t>
                                  </w:r>
                                </w:p>
                              </w:tc>
                              <w:tc>
                                <w:tcPr>
                                  <w:tcW w:w="528" w:type="dxa"/>
                                  <w:tcBorders>
                                    <w:bottom w:val="single" w:sz="4" w:space="0" w:color="000000"/>
                                  </w:tcBorders>
                                </w:tcPr>
                                <w:p>
                                  <w:pPr>
                                    <w:pStyle w:val="TableParagraph"/>
                                    <w:spacing w:before="41"/>
                                    <w:ind w:left="223"/>
                                    <w:jc w:val="center"/>
                                    <w:rPr>
                                      <w:sz w:val="16"/>
                                    </w:rPr>
                                  </w:pPr>
                                  <w:r>
                                    <w:rPr>
                                      <w:spacing w:val="-4"/>
                                      <w:sz w:val="16"/>
                                    </w:rPr>
                                    <w:t>(16)</w:t>
                                  </w:r>
                                </w:p>
                              </w:tc>
                            </w:tr>
                            <w:tr>
                              <w:trPr>
                                <w:trHeight w:val="245" w:hRule="atLeast"/>
                              </w:trPr>
                              <w:tc>
                                <w:tcPr>
                                  <w:tcW w:w="3535" w:type="dxa"/>
                                  <w:tcBorders>
                                    <w:top w:val="single" w:sz="4" w:space="0" w:color="000000"/>
                                    <w:bottom w:val="single" w:sz="4" w:space="0" w:color="000000"/>
                                  </w:tcBorders>
                                  <w:shd w:val="clear" w:color="auto" w:fill="CCEDFF"/>
                                </w:tcPr>
                                <w:p>
                                  <w:pPr>
                                    <w:pStyle w:val="TableParagraph"/>
                                    <w:spacing w:before="36"/>
                                    <w:ind w:left="292"/>
                                    <w:rPr>
                                      <w:sz w:val="16"/>
                                    </w:rPr>
                                  </w:pPr>
                                  <w:r>
                                    <w:rPr>
                                      <w:sz w:val="16"/>
                                    </w:rPr>
                                    <w:t>Net</w:t>
                                  </w:r>
                                  <w:r>
                                    <w:rPr>
                                      <w:spacing w:val="-1"/>
                                      <w:sz w:val="16"/>
                                    </w:rPr>
                                    <w:t> </w:t>
                                  </w:r>
                                  <w:r>
                                    <w:rPr>
                                      <w:sz w:val="16"/>
                                    </w:rPr>
                                    <w:t>income available to common </w:t>
                                  </w:r>
                                  <w:r>
                                    <w:rPr>
                                      <w:spacing w:val="-2"/>
                                      <w:sz w:val="16"/>
                                    </w:rPr>
                                    <w:t>stockholders</w:t>
                                  </w:r>
                                </w:p>
                              </w:tc>
                              <w:tc>
                                <w:tcPr>
                                  <w:tcW w:w="1198" w:type="dxa"/>
                                  <w:tcBorders>
                                    <w:top w:val="single" w:sz="4" w:space="0" w:color="000000"/>
                                    <w:bottom w:val="single" w:sz="4" w:space="0" w:color="000000"/>
                                  </w:tcBorders>
                                  <w:shd w:val="clear" w:color="auto" w:fill="CCEDFF"/>
                                </w:tcPr>
                                <w:p>
                                  <w:pPr>
                                    <w:pStyle w:val="TableParagraph"/>
                                    <w:tabs>
                                      <w:tab w:pos="536" w:val="left" w:leader="none"/>
                                    </w:tabs>
                                    <w:spacing w:before="36"/>
                                    <w:ind w:left="57"/>
                                    <w:rPr>
                                      <w:sz w:val="16"/>
                                    </w:rPr>
                                  </w:pPr>
                                  <w:r>
                                    <w:rPr>
                                      <w:spacing w:val="-10"/>
                                      <w:sz w:val="16"/>
                                    </w:rPr>
                                    <w:t>$</w:t>
                                  </w:r>
                                  <w:r>
                                    <w:rPr>
                                      <w:sz w:val="16"/>
                                    </w:rPr>
                                    <w:tab/>
                                    <w:t>989</w:t>
                                  </w:r>
                                  <w:r>
                                    <w:rPr>
                                      <w:spacing w:val="60"/>
                                      <w:w w:val="150"/>
                                      <w:sz w:val="16"/>
                                    </w:rPr>
                                    <w:t> </w:t>
                                  </w:r>
                                  <w:r>
                                    <w:rPr>
                                      <w:spacing w:val="-10"/>
                                      <w:sz w:val="16"/>
                                    </w:rPr>
                                    <w:t>$</w:t>
                                  </w:r>
                                </w:p>
                              </w:tc>
                              <w:tc>
                                <w:tcPr>
                                  <w:tcW w:w="507" w:type="dxa"/>
                                  <w:tcBorders>
                                    <w:top w:val="single" w:sz="4" w:space="0" w:color="000000"/>
                                    <w:bottom w:val="single" w:sz="4" w:space="0" w:color="000000"/>
                                  </w:tcBorders>
                                  <w:shd w:val="clear" w:color="auto" w:fill="CCEDFF"/>
                                </w:tcPr>
                                <w:p>
                                  <w:pPr>
                                    <w:pStyle w:val="TableParagraph"/>
                                    <w:spacing w:before="36"/>
                                    <w:ind w:left="170"/>
                                    <w:jc w:val="center"/>
                                    <w:rPr>
                                      <w:sz w:val="16"/>
                                    </w:rPr>
                                  </w:pPr>
                                  <w:r>
                                    <w:rPr>
                                      <w:spacing w:val="-5"/>
                                      <w:sz w:val="16"/>
                                    </w:rPr>
                                    <w:t>28</w:t>
                                  </w:r>
                                </w:p>
                              </w:tc>
                              <w:tc>
                                <w:tcPr>
                                  <w:tcW w:w="1134" w:type="dxa"/>
                                  <w:tcBorders>
                                    <w:top w:val="single" w:sz="4" w:space="0" w:color="000000"/>
                                    <w:bottom w:val="single" w:sz="4" w:space="0" w:color="000000"/>
                                  </w:tcBorders>
                                  <w:shd w:val="clear" w:color="auto" w:fill="CCEDFF"/>
                                </w:tcPr>
                                <w:p>
                                  <w:pPr>
                                    <w:pStyle w:val="TableParagraph"/>
                                    <w:tabs>
                                      <w:tab w:pos="391" w:val="left" w:leader="none"/>
                                    </w:tabs>
                                    <w:spacing w:before="36"/>
                                    <w:ind w:left="32"/>
                                    <w:rPr>
                                      <w:sz w:val="16"/>
                                    </w:rPr>
                                  </w:pPr>
                                  <w:r>
                                    <w:rPr>
                                      <w:spacing w:val="-10"/>
                                      <w:sz w:val="16"/>
                                    </w:rPr>
                                    <w:t>$</w:t>
                                  </w:r>
                                  <w:r>
                                    <w:rPr>
                                      <w:sz w:val="16"/>
                                    </w:rPr>
                                    <w:tab/>
                                    <w:t>1,824</w:t>
                                  </w:r>
                                  <w:r>
                                    <w:rPr>
                                      <w:spacing w:val="60"/>
                                      <w:w w:val="150"/>
                                      <w:sz w:val="16"/>
                                    </w:rPr>
                                    <w:t> </w:t>
                                  </w:r>
                                  <w:r>
                                    <w:rPr>
                                      <w:spacing w:val="-10"/>
                                      <w:sz w:val="16"/>
                                    </w:rPr>
                                    <w:t>$</w:t>
                                  </w:r>
                                </w:p>
                              </w:tc>
                              <w:tc>
                                <w:tcPr>
                                  <w:tcW w:w="547" w:type="dxa"/>
                                  <w:tcBorders>
                                    <w:top w:val="single" w:sz="4" w:space="0" w:color="000000"/>
                                    <w:bottom w:val="single" w:sz="4" w:space="0" w:color="000000"/>
                                  </w:tcBorders>
                                  <w:shd w:val="clear" w:color="auto" w:fill="CCEDFF"/>
                                </w:tcPr>
                                <w:p>
                                  <w:pPr>
                                    <w:pStyle w:val="TableParagraph"/>
                                    <w:spacing w:before="36"/>
                                    <w:ind w:right="87"/>
                                    <w:jc w:val="right"/>
                                    <w:rPr>
                                      <w:sz w:val="16"/>
                                    </w:rPr>
                                  </w:pPr>
                                  <w:r>
                                    <w:rPr>
                                      <w:spacing w:val="-5"/>
                                      <w:sz w:val="16"/>
                                    </w:rPr>
                                    <w:t>60</w:t>
                                  </w:r>
                                </w:p>
                              </w:tc>
                              <w:tc>
                                <w:tcPr>
                                  <w:tcW w:w="1134" w:type="dxa"/>
                                  <w:tcBorders>
                                    <w:top w:val="single" w:sz="4" w:space="0" w:color="000000"/>
                                    <w:bottom w:val="single" w:sz="4" w:space="0" w:color="000000"/>
                                  </w:tcBorders>
                                  <w:shd w:val="clear" w:color="auto" w:fill="CCEDFF"/>
                                </w:tcPr>
                                <w:p>
                                  <w:pPr>
                                    <w:pStyle w:val="TableParagraph"/>
                                    <w:tabs>
                                      <w:tab w:pos="390" w:val="left" w:leader="none"/>
                                    </w:tabs>
                                    <w:spacing w:before="36"/>
                                    <w:ind w:left="31"/>
                                    <w:rPr>
                                      <w:sz w:val="16"/>
                                    </w:rPr>
                                  </w:pPr>
                                  <w:r>
                                    <w:rPr>
                                      <w:spacing w:val="-10"/>
                                      <w:sz w:val="16"/>
                                    </w:rPr>
                                    <w:t>$</w:t>
                                  </w:r>
                                  <w:r>
                                    <w:rPr>
                                      <w:sz w:val="16"/>
                                    </w:rPr>
                                    <w:tab/>
                                    <w:t>3,619</w:t>
                                  </w:r>
                                  <w:r>
                                    <w:rPr>
                                      <w:spacing w:val="60"/>
                                      <w:w w:val="150"/>
                                      <w:sz w:val="16"/>
                                    </w:rPr>
                                    <w:t> </w:t>
                                  </w:r>
                                  <w:r>
                                    <w:rPr>
                                      <w:spacing w:val="-10"/>
                                      <w:sz w:val="16"/>
                                    </w:rPr>
                                    <w:t>$</w:t>
                                  </w:r>
                                </w:p>
                              </w:tc>
                              <w:tc>
                                <w:tcPr>
                                  <w:tcW w:w="547" w:type="dxa"/>
                                  <w:tcBorders>
                                    <w:top w:val="single" w:sz="4" w:space="0" w:color="000000"/>
                                    <w:bottom w:val="single" w:sz="4" w:space="0" w:color="000000"/>
                                  </w:tcBorders>
                                  <w:shd w:val="clear" w:color="auto" w:fill="CCEDFF"/>
                                </w:tcPr>
                                <w:p>
                                  <w:pPr>
                                    <w:pStyle w:val="TableParagraph"/>
                                    <w:spacing w:before="36"/>
                                    <w:ind w:right="88"/>
                                    <w:jc w:val="right"/>
                                    <w:rPr>
                                      <w:sz w:val="16"/>
                                    </w:rPr>
                                  </w:pPr>
                                  <w:r>
                                    <w:rPr>
                                      <w:spacing w:val="-5"/>
                                      <w:sz w:val="16"/>
                                    </w:rPr>
                                    <w:t>104</w:t>
                                  </w:r>
                                </w:p>
                              </w:tc>
                              <w:tc>
                                <w:tcPr>
                                  <w:tcW w:w="1134" w:type="dxa"/>
                                  <w:tcBorders>
                                    <w:top w:val="single" w:sz="4" w:space="0" w:color="000000"/>
                                    <w:bottom w:val="single" w:sz="4" w:space="0" w:color="000000"/>
                                  </w:tcBorders>
                                  <w:shd w:val="clear" w:color="auto" w:fill="CCEDFF"/>
                                </w:tcPr>
                                <w:p>
                                  <w:pPr>
                                    <w:pStyle w:val="TableParagraph"/>
                                    <w:tabs>
                                      <w:tab w:pos="389" w:val="left" w:leader="none"/>
                                    </w:tabs>
                                    <w:spacing w:before="36"/>
                                    <w:ind w:left="30"/>
                                    <w:rPr>
                                      <w:sz w:val="16"/>
                                    </w:rPr>
                                  </w:pPr>
                                  <w:r>
                                    <w:rPr>
                                      <w:spacing w:val="-10"/>
                                      <w:sz w:val="16"/>
                                    </w:rPr>
                                    <w:t>$</w:t>
                                  </w:r>
                                  <w:r>
                                    <w:rPr>
                                      <w:sz w:val="16"/>
                                    </w:rPr>
                                    <w:tab/>
                                    <w:t>4,629</w:t>
                                  </w:r>
                                  <w:r>
                                    <w:rPr>
                                      <w:spacing w:val="60"/>
                                      <w:w w:val="150"/>
                                      <w:sz w:val="16"/>
                                    </w:rPr>
                                    <w:t> </w:t>
                                  </w:r>
                                  <w:r>
                                    <w:rPr>
                                      <w:spacing w:val="-10"/>
                                      <w:sz w:val="16"/>
                                    </w:rPr>
                                    <w:t>$</w:t>
                                  </w:r>
                                </w:p>
                              </w:tc>
                              <w:tc>
                                <w:tcPr>
                                  <w:tcW w:w="528" w:type="dxa"/>
                                  <w:tcBorders>
                                    <w:top w:val="single" w:sz="4" w:space="0" w:color="000000"/>
                                    <w:bottom w:val="single" w:sz="4" w:space="0" w:color="000000"/>
                                  </w:tcBorders>
                                  <w:shd w:val="clear" w:color="auto" w:fill="CCEDFF"/>
                                </w:tcPr>
                                <w:p>
                                  <w:pPr>
                                    <w:pStyle w:val="TableParagraph"/>
                                    <w:spacing w:before="36"/>
                                    <w:ind w:left="143"/>
                                    <w:jc w:val="center"/>
                                    <w:rPr>
                                      <w:sz w:val="16"/>
                                    </w:rPr>
                                  </w:pPr>
                                  <w:r>
                                    <w:rPr>
                                      <w:spacing w:val="-5"/>
                                      <w:sz w:val="16"/>
                                    </w:rPr>
                                    <w:t>185</w:t>
                                  </w:r>
                                </w:p>
                              </w:tc>
                            </w:tr>
                            <w:tr>
                              <w:trPr>
                                <w:trHeight w:val="250" w:hRule="atLeast"/>
                              </w:trPr>
                              <w:tc>
                                <w:tcPr>
                                  <w:tcW w:w="3535" w:type="dxa"/>
                                  <w:tcBorders>
                                    <w:top w:val="single" w:sz="4" w:space="0" w:color="000000"/>
                                  </w:tcBorders>
                                </w:tcPr>
                                <w:p>
                                  <w:pPr>
                                    <w:pStyle w:val="TableParagraph"/>
                                    <w:spacing w:before="36"/>
                                    <w:ind w:left="52"/>
                                    <w:rPr>
                                      <w:sz w:val="16"/>
                                    </w:rPr>
                                  </w:pPr>
                                  <w:r>
                                    <w:rPr>
                                      <w:spacing w:val="-2"/>
                                      <w:sz w:val="16"/>
                                    </w:rPr>
                                    <w:t>Denominator</w:t>
                                  </w:r>
                                </w:p>
                              </w:tc>
                              <w:tc>
                                <w:tcPr>
                                  <w:tcW w:w="1198" w:type="dxa"/>
                                  <w:tcBorders>
                                    <w:top w:val="single" w:sz="4" w:space="0" w:color="000000"/>
                                  </w:tcBorders>
                                </w:tcPr>
                                <w:p>
                                  <w:pPr>
                                    <w:pStyle w:val="TableParagraph"/>
                                    <w:rPr>
                                      <w:sz w:val="16"/>
                                    </w:rPr>
                                  </w:pPr>
                                </w:p>
                              </w:tc>
                              <w:tc>
                                <w:tcPr>
                                  <w:tcW w:w="507" w:type="dxa"/>
                                  <w:tcBorders>
                                    <w:top w:val="single" w:sz="4" w:space="0" w:color="000000"/>
                                  </w:tcBorders>
                                </w:tcPr>
                                <w:p>
                                  <w:pPr>
                                    <w:pStyle w:val="TableParagraph"/>
                                    <w:rPr>
                                      <w:sz w:val="16"/>
                                    </w:rPr>
                                  </w:pPr>
                                </w:p>
                              </w:tc>
                              <w:tc>
                                <w:tcPr>
                                  <w:tcW w:w="1134" w:type="dxa"/>
                                  <w:tcBorders>
                                    <w:top w:val="single" w:sz="4" w:space="0" w:color="000000"/>
                                  </w:tcBorders>
                                </w:tcPr>
                                <w:p>
                                  <w:pPr>
                                    <w:pStyle w:val="TableParagraph"/>
                                    <w:rPr>
                                      <w:sz w:val="16"/>
                                    </w:rPr>
                                  </w:pPr>
                                </w:p>
                              </w:tc>
                              <w:tc>
                                <w:tcPr>
                                  <w:tcW w:w="547" w:type="dxa"/>
                                  <w:tcBorders>
                                    <w:top w:val="single" w:sz="4" w:space="0" w:color="000000"/>
                                  </w:tcBorders>
                                </w:tcPr>
                                <w:p>
                                  <w:pPr>
                                    <w:pStyle w:val="TableParagraph"/>
                                    <w:rPr>
                                      <w:sz w:val="16"/>
                                    </w:rPr>
                                  </w:pPr>
                                </w:p>
                              </w:tc>
                              <w:tc>
                                <w:tcPr>
                                  <w:tcW w:w="1134" w:type="dxa"/>
                                  <w:tcBorders>
                                    <w:top w:val="single" w:sz="4" w:space="0" w:color="000000"/>
                                  </w:tcBorders>
                                </w:tcPr>
                                <w:p>
                                  <w:pPr>
                                    <w:pStyle w:val="TableParagraph"/>
                                    <w:rPr>
                                      <w:sz w:val="16"/>
                                    </w:rPr>
                                  </w:pPr>
                                </w:p>
                              </w:tc>
                              <w:tc>
                                <w:tcPr>
                                  <w:tcW w:w="547" w:type="dxa"/>
                                  <w:tcBorders>
                                    <w:top w:val="single" w:sz="4" w:space="0" w:color="000000"/>
                                  </w:tcBorders>
                                </w:tcPr>
                                <w:p>
                                  <w:pPr>
                                    <w:pStyle w:val="TableParagraph"/>
                                    <w:rPr>
                                      <w:sz w:val="16"/>
                                    </w:rPr>
                                  </w:pPr>
                                </w:p>
                              </w:tc>
                              <w:tc>
                                <w:tcPr>
                                  <w:tcW w:w="1134" w:type="dxa"/>
                                  <w:tcBorders>
                                    <w:top w:val="single" w:sz="4" w:space="0" w:color="000000"/>
                                  </w:tcBorders>
                                </w:tcPr>
                                <w:p>
                                  <w:pPr>
                                    <w:pStyle w:val="TableParagraph"/>
                                    <w:rPr>
                                      <w:sz w:val="16"/>
                                    </w:rPr>
                                  </w:pPr>
                                </w:p>
                              </w:tc>
                              <w:tc>
                                <w:tcPr>
                                  <w:tcW w:w="528" w:type="dxa"/>
                                  <w:tcBorders>
                                    <w:top w:val="single" w:sz="4" w:space="0" w:color="000000"/>
                                  </w:tcBorders>
                                </w:tcPr>
                                <w:p>
                                  <w:pPr>
                                    <w:pStyle w:val="TableParagraph"/>
                                    <w:rPr>
                                      <w:sz w:val="16"/>
                                    </w:rPr>
                                  </w:pPr>
                                </w:p>
                              </w:tc>
                            </w:tr>
                            <w:tr>
                              <w:trPr>
                                <w:trHeight w:val="400" w:hRule="atLeast"/>
                              </w:trPr>
                              <w:tc>
                                <w:tcPr>
                                  <w:tcW w:w="3535" w:type="dxa"/>
                                  <w:tcBorders>
                                    <w:bottom w:val="single" w:sz="4" w:space="0" w:color="000000"/>
                                  </w:tcBorders>
                                  <w:shd w:val="clear" w:color="auto" w:fill="CCEDFF"/>
                                </w:tcPr>
                                <w:p>
                                  <w:pPr>
                                    <w:pStyle w:val="TableParagraph"/>
                                    <w:spacing w:line="172" w:lineRule="exact" w:before="31"/>
                                    <w:ind w:left="292"/>
                                    <w:rPr>
                                      <w:sz w:val="16"/>
                                    </w:rPr>
                                  </w:pPr>
                                  <w:r>
                                    <w:rPr>
                                      <w:sz w:val="16"/>
                                    </w:rPr>
                                    <w:t>Weighted-average</w:t>
                                  </w:r>
                                  <w:r>
                                    <w:rPr>
                                      <w:spacing w:val="-1"/>
                                      <w:sz w:val="16"/>
                                    </w:rPr>
                                    <w:t> </w:t>
                                  </w:r>
                                  <w:r>
                                    <w:rPr>
                                      <w:sz w:val="16"/>
                                    </w:rPr>
                                    <w:t>common shares</w:t>
                                  </w:r>
                                  <w:r>
                                    <w:rPr>
                                      <w:spacing w:val="-1"/>
                                      <w:sz w:val="16"/>
                                    </w:rPr>
                                    <w:t> </w:t>
                                  </w:r>
                                  <w:r>
                                    <w:rPr>
                                      <w:spacing w:val="-2"/>
                                      <w:sz w:val="16"/>
                                    </w:rPr>
                                    <w:t>outstanding</w:t>
                                  </w:r>
                                </w:p>
                                <w:p>
                                  <w:pPr>
                                    <w:pStyle w:val="TableParagraph"/>
                                    <w:spacing w:line="172" w:lineRule="exact"/>
                                    <w:ind w:left="292"/>
                                    <w:rPr>
                                      <w:sz w:val="16"/>
                                    </w:rPr>
                                  </w:pPr>
                                  <w:r>
                                    <w:rPr>
                                      <w:sz w:val="16"/>
                                    </w:rPr>
                                    <w:t>— </w:t>
                                  </w:r>
                                  <w:r>
                                    <w:rPr>
                                      <w:spacing w:val="-2"/>
                                      <w:sz w:val="16"/>
                                    </w:rPr>
                                    <w:t>basic</w:t>
                                  </w:r>
                                </w:p>
                              </w:tc>
                              <w:tc>
                                <w:tcPr>
                                  <w:tcW w:w="1198" w:type="dxa"/>
                                  <w:tcBorders>
                                    <w:bottom w:val="single" w:sz="4" w:space="0" w:color="000000"/>
                                  </w:tcBorders>
                                  <w:shd w:val="clear" w:color="auto" w:fill="CCEDFF"/>
                                </w:tcPr>
                                <w:p>
                                  <w:pPr>
                                    <w:pStyle w:val="TableParagraph"/>
                                    <w:spacing w:before="7"/>
                                    <w:rPr>
                                      <w:sz w:val="16"/>
                                    </w:rPr>
                                  </w:pPr>
                                </w:p>
                                <w:p>
                                  <w:pPr>
                                    <w:pStyle w:val="TableParagraph"/>
                                    <w:ind w:left="275" w:right="277"/>
                                    <w:jc w:val="center"/>
                                    <w:rPr>
                                      <w:sz w:val="16"/>
                                    </w:rPr>
                                  </w:pPr>
                                  <w:r>
                                    <w:rPr>
                                      <w:spacing w:val="-2"/>
                                      <w:sz w:val="16"/>
                                    </w:rPr>
                                    <w:t>1,770</w:t>
                                  </w:r>
                                </w:p>
                              </w:tc>
                              <w:tc>
                                <w:tcPr>
                                  <w:tcW w:w="507" w:type="dxa"/>
                                  <w:tcBorders>
                                    <w:bottom w:val="single" w:sz="4" w:space="0" w:color="000000"/>
                                  </w:tcBorders>
                                  <w:shd w:val="clear" w:color="auto" w:fill="CCEDFF"/>
                                </w:tcPr>
                                <w:p>
                                  <w:pPr>
                                    <w:pStyle w:val="TableParagraph"/>
                                    <w:spacing w:before="7"/>
                                    <w:rPr>
                                      <w:sz w:val="16"/>
                                    </w:rPr>
                                  </w:pPr>
                                </w:p>
                                <w:p>
                                  <w:pPr>
                                    <w:pStyle w:val="TableParagraph"/>
                                    <w:ind w:left="170"/>
                                    <w:jc w:val="center"/>
                                    <w:rPr>
                                      <w:sz w:val="16"/>
                                    </w:rPr>
                                  </w:pPr>
                                  <w:r>
                                    <w:rPr>
                                      <w:spacing w:val="-5"/>
                                      <w:sz w:val="16"/>
                                    </w:rPr>
                                    <w:t>51</w:t>
                                  </w:r>
                                </w:p>
                              </w:tc>
                              <w:tc>
                                <w:tcPr>
                                  <w:tcW w:w="1134" w:type="dxa"/>
                                  <w:tcBorders>
                                    <w:bottom w:val="single" w:sz="4" w:space="0" w:color="000000"/>
                                  </w:tcBorders>
                                  <w:shd w:val="clear" w:color="auto" w:fill="CCEDFF"/>
                                </w:tcPr>
                                <w:p>
                                  <w:pPr>
                                    <w:pStyle w:val="TableParagraph"/>
                                    <w:spacing w:before="7"/>
                                    <w:rPr>
                                      <w:sz w:val="16"/>
                                    </w:rPr>
                                  </w:pPr>
                                </w:p>
                                <w:p>
                                  <w:pPr>
                                    <w:pStyle w:val="TableParagraph"/>
                                    <w:ind w:left="289" w:right="280"/>
                                    <w:jc w:val="center"/>
                                    <w:rPr>
                                      <w:sz w:val="16"/>
                                    </w:rPr>
                                  </w:pPr>
                                  <w:r>
                                    <w:rPr>
                                      <w:spacing w:val="-2"/>
                                      <w:sz w:val="16"/>
                                    </w:rPr>
                                    <w:t>1,827</w:t>
                                  </w:r>
                                </w:p>
                              </w:tc>
                              <w:tc>
                                <w:tcPr>
                                  <w:tcW w:w="547" w:type="dxa"/>
                                  <w:tcBorders>
                                    <w:bottom w:val="single" w:sz="4" w:space="0" w:color="000000"/>
                                  </w:tcBorders>
                                  <w:shd w:val="clear" w:color="auto" w:fill="CCEDFF"/>
                                </w:tcPr>
                                <w:p>
                                  <w:pPr>
                                    <w:pStyle w:val="TableParagraph"/>
                                    <w:spacing w:before="7"/>
                                    <w:rPr>
                                      <w:sz w:val="16"/>
                                    </w:rPr>
                                  </w:pPr>
                                </w:p>
                                <w:p>
                                  <w:pPr>
                                    <w:pStyle w:val="TableParagraph"/>
                                    <w:ind w:right="87"/>
                                    <w:jc w:val="right"/>
                                    <w:rPr>
                                      <w:sz w:val="16"/>
                                    </w:rPr>
                                  </w:pPr>
                                  <w:r>
                                    <w:rPr>
                                      <w:spacing w:val="-5"/>
                                      <w:sz w:val="16"/>
                                    </w:rPr>
                                    <w:t>60</w:t>
                                  </w:r>
                                </w:p>
                              </w:tc>
                              <w:tc>
                                <w:tcPr>
                                  <w:tcW w:w="1134" w:type="dxa"/>
                                  <w:tcBorders>
                                    <w:bottom w:val="single" w:sz="4" w:space="0" w:color="000000"/>
                                  </w:tcBorders>
                                  <w:shd w:val="clear" w:color="auto" w:fill="CCEDFF"/>
                                </w:tcPr>
                                <w:p>
                                  <w:pPr>
                                    <w:pStyle w:val="TableParagraph"/>
                                    <w:spacing w:before="7"/>
                                    <w:rPr>
                                      <w:sz w:val="16"/>
                                    </w:rPr>
                                  </w:pPr>
                                </w:p>
                                <w:p>
                                  <w:pPr>
                                    <w:pStyle w:val="TableParagraph"/>
                                    <w:ind w:left="289" w:right="282"/>
                                    <w:jc w:val="center"/>
                                    <w:rPr>
                                      <w:sz w:val="16"/>
                                    </w:rPr>
                                  </w:pPr>
                                  <w:r>
                                    <w:rPr>
                                      <w:spacing w:val="-2"/>
                                      <w:sz w:val="16"/>
                                    </w:rPr>
                                    <w:t>1,774</w:t>
                                  </w:r>
                                </w:p>
                              </w:tc>
                              <w:tc>
                                <w:tcPr>
                                  <w:tcW w:w="547" w:type="dxa"/>
                                  <w:tcBorders>
                                    <w:bottom w:val="single" w:sz="4" w:space="0" w:color="000000"/>
                                  </w:tcBorders>
                                  <w:shd w:val="clear" w:color="auto" w:fill="CCEDFF"/>
                                </w:tcPr>
                                <w:p>
                                  <w:pPr>
                                    <w:pStyle w:val="TableParagraph"/>
                                    <w:spacing w:before="7"/>
                                    <w:rPr>
                                      <w:sz w:val="16"/>
                                    </w:rPr>
                                  </w:pPr>
                                </w:p>
                                <w:p>
                                  <w:pPr>
                                    <w:pStyle w:val="TableParagraph"/>
                                    <w:ind w:right="88"/>
                                    <w:jc w:val="right"/>
                                    <w:rPr>
                                      <w:sz w:val="16"/>
                                    </w:rPr>
                                  </w:pPr>
                                  <w:r>
                                    <w:rPr>
                                      <w:spacing w:val="-5"/>
                                      <w:sz w:val="16"/>
                                    </w:rPr>
                                    <w:t>51</w:t>
                                  </w:r>
                                </w:p>
                              </w:tc>
                              <w:tc>
                                <w:tcPr>
                                  <w:tcW w:w="1134" w:type="dxa"/>
                                  <w:tcBorders>
                                    <w:bottom w:val="single" w:sz="4" w:space="0" w:color="000000"/>
                                  </w:tcBorders>
                                  <w:shd w:val="clear" w:color="auto" w:fill="CCEDFF"/>
                                </w:tcPr>
                                <w:p>
                                  <w:pPr>
                                    <w:pStyle w:val="TableParagraph"/>
                                    <w:spacing w:before="7"/>
                                    <w:rPr>
                                      <w:sz w:val="16"/>
                                    </w:rPr>
                                  </w:pPr>
                                </w:p>
                                <w:p>
                                  <w:pPr>
                                    <w:pStyle w:val="TableParagraph"/>
                                    <w:ind w:left="289" w:right="284"/>
                                    <w:jc w:val="center"/>
                                    <w:rPr>
                                      <w:sz w:val="16"/>
                                    </w:rPr>
                                  </w:pPr>
                                  <w:r>
                                    <w:rPr>
                                      <w:spacing w:val="-2"/>
                                      <w:sz w:val="16"/>
                                    </w:rPr>
                                    <w:t>1,819</w:t>
                                  </w:r>
                                </w:p>
                              </w:tc>
                              <w:tc>
                                <w:tcPr>
                                  <w:tcW w:w="528" w:type="dxa"/>
                                  <w:tcBorders>
                                    <w:bottom w:val="single" w:sz="4" w:space="0" w:color="000000"/>
                                  </w:tcBorders>
                                  <w:shd w:val="clear" w:color="auto" w:fill="CCEDFF"/>
                                </w:tcPr>
                                <w:p>
                                  <w:pPr>
                                    <w:pStyle w:val="TableParagraph"/>
                                    <w:spacing w:before="7"/>
                                    <w:rPr>
                                      <w:sz w:val="16"/>
                                    </w:rPr>
                                  </w:pPr>
                                </w:p>
                                <w:p>
                                  <w:pPr>
                                    <w:pStyle w:val="TableParagraph"/>
                                    <w:ind w:left="223"/>
                                    <w:jc w:val="center"/>
                                    <w:rPr>
                                      <w:sz w:val="16"/>
                                    </w:rPr>
                                  </w:pPr>
                                  <w:r>
                                    <w:rPr>
                                      <w:spacing w:val="-5"/>
                                      <w:sz w:val="16"/>
                                    </w:rPr>
                                    <w:t>73</w:t>
                                  </w:r>
                                </w:p>
                              </w:tc>
                            </w:tr>
                            <w:tr>
                              <w:trPr>
                                <w:trHeight w:val="220" w:hRule="atLeast"/>
                              </w:trPr>
                              <w:tc>
                                <w:tcPr>
                                  <w:tcW w:w="3535" w:type="dxa"/>
                                  <w:tcBorders>
                                    <w:top w:val="single" w:sz="4" w:space="0" w:color="000000"/>
                                    <w:bottom w:val="double" w:sz="8" w:space="0" w:color="auto"/>
                                  </w:tcBorders>
                                </w:tcPr>
                                <w:p>
                                  <w:pPr>
                                    <w:pStyle w:val="TableParagraph"/>
                                    <w:spacing w:line="164" w:lineRule="exact" w:before="36"/>
                                    <w:ind w:left="52"/>
                                    <w:rPr>
                                      <w:sz w:val="16"/>
                                    </w:rPr>
                                  </w:pPr>
                                  <w:r>
                                    <w:rPr>
                                      <w:sz w:val="16"/>
                                    </w:rPr>
                                    <w:t>Basic</w:t>
                                  </w:r>
                                  <w:r>
                                    <w:rPr>
                                      <w:spacing w:val="-1"/>
                                      <w:sz w:val="16"/>
                                    </w:rPr>
                                    <w:t> </w:t>
                                  </w:r>
                                  <w:r>
                                    <w:rPr>
                                      <w:sz w:val="16"/>
                                    </w:rPr>
                                    <w:t>earnings</w:t>
                                  </w:r>
                                  <w:r>
                                    <w:rPr>
                                      <w:spacing w:val="-1"/>
                                      <w:sz w:val="16"/>
                                    </w:rPr>
                                    <w:t> </w:t>
                                  </w:r>
                                  <w:r>
                                    <w:rPr>
                                      <w:sz w:val="16"/>
                                    </w:rPr>
                                    <w:t>per </w:t>
                                  </w:r>
                                  <w:r>
                                    <w:rPr>
                                      <w:spacing w:val="-2"/>
                                      <w:sz w:val="16"/>
                                    </w:rPr>
                                    <w:t>share</w:t>
                                  </w:r>
                                </w:p>
                              </w:tc>
                              <w:tc>
                                <w:tcPr>
                                  <w:tcW w:w="1198" w:type="dxa"/>
                                  <w:tcBorders>
                                    <w:top w:val="single" w:sz="4" w:space="0" w:color="000000"/>
                                    <w:bottom w:val="double" w:sz="8" w:space="0" w:color="auto"/>
                                  </w:tcBorders>
                                </w:tcPr>
                                <w:p>
                                  <w:pPr>
                                    <w:pStyle w:val="TableParagraph"/>
                                    <w:tabs>
                                      <w:tab w:pos="576" w:val="left" w:leader="none"/>
                                    </w:tabs>
                                    <w:spacing w:line="164" w:lineRule="exact" w:before="36"/>
                                    <w:ind w:left="57"/>
                                    <w:rPr>
                                      <w:sz w:val="16"/>
                                    </w:rPr>
                                  </w:pPr>
                                  <w:r>
                                    <w:rPr>
                                      <w:spacing w:val="-10"/>
                                      <w:sz w:val="16"/>
                                    </w:rPr>
                                    <w:t>$</w:t>
                                  </w:r>
                                  <w:r>
                                    <w:rPr>
                                      <w:sz w:val="16"/>
                                    </w:rPr>
                                    <w:tab/>
                                    <w:t>.56</w:t>
                                  </w:r>
                                  <w:r>
                                    <w:rPr>
                                      <w:spacing w:val="60"/>
                                      <w:w w:val="150"/>
                                      <w:sz w:val="16"/>
                                    </w:rPr>
                                    <w:t> </w:t>
                                  </w:r>
                                  <w:r>
                                    <w:rPr>
                                      <w:spacing w:val="-10"/>
                                      <w:sz w:val="16"/>
                                    </w:rPr>
                                    <w:t>$</w:t>
                                  </w:r>
                                </w:p>
                              </w:tc>
                              <w:tc>
                                <w:tcPr>
                                  <w:tcW w:w="507" w:type="dxa"/>
                                  <w:tcBorders>
                                    <w:top w:val="single" w:sz="4" w:space="0" w:color="000000"/>
                                    <w:bottom w:val="double" w:sz="8" w:space="0" w:color="auto"/>
                                  </w:tcBorders>
                                </w:tcPr>
                                <w:p>
                                  <w:pPr>
                                    <w:pStyle w:val="TableParagraph"/>
                                    <w:spacing w:line="164" w:lineRule="exact" w:before="36"/>
                                    <w:ind w:left="130"/>
                                    <w:jc w:val="center"/>
                                    <w:rPr>
                                      <w:sz w:val="16"/>
                                    </w:rPr>
                                  </w:pPr>
                                  <w:r>
                                    <w:rPr>
                                      <w:spacing w:val="-5"/>
                                      <w:sz w:val="16"/>
                                    </w:rPr>
                                    <w:t>.56</w:t>
                                  </w:r>
                                </w:p>
                              </w:tc>
                              <w:tc>
                                <w:tcPr>
                                  <w:tcW w:w="1134" w:type="dxa"/>
                                  <w:tcBorders>
                                    <w:top w:val="single" w:sz="4" w:space="0" w:color="000000"/>
                                    <w:bottom w:val="double" w:sz="8" w:space="0" w:color="auto"/>
                                  </w:tcBorders>
                                </w:tcPr>
                                <w:p>
                                  <w:pPr>
                                    <w:pStyle w:val="TableParagraph"/>
                                    <w:tabs>
                                      <w:tab w:pos="471" w:val="left" w:leader="none"/>
                                    </w:tabs>
                                    <w:spacing w:line="164" w:lineRule="exact" w:before="36"/>
                                    <w:ind w:left="32"/>
                                    <w:rPr>
                                      <w:sz w:val="16"/>
                                    </w:rPr>
                                  </w:pPr>
                                  <w:r>
                                    <w:rPr>
                                      <w:spacing w:val="-10"/>
                                      <w:sz w:val="16"/>
                                    </w:rPr>
                                    <w:t>$</w:t>
                                  </w:r>
                                  <w:r>
                                    <w:rPr>
                                      <w:sz w:val="16"/>
                                    </w:rPr>
                                    <w:tab/>
                                    <w:t>1.00</w:t>
                                  </w:r>
                                  <w:r>
                                    <w:rPr>
                                      <w:spacing w:val="60"/>
                                      <w:w w:val="150"/>
                                      <w:sz w:val="16"/>
                                    </w:rPr>
                                    <w:t> </w:t>
                                  </w:r>
                                  <w:r>
                                    <w:rPr>
                                      <w:spacing w:val="-10"/>
                                      <w:sz w:val="16"/>
                                    </w:rPr>
                                    <w:t>$</w:t>
                                  </w:r>
                                </w:p>
                              </w:tc>
                              <w:tc>
                                <w:tcPr>
                                  <w:tcW w:w="547" w:type="dxa"/>
                                  <w:tcBorders>
                                    <w:top w:val="single" w:sz="4" w:space="0" w:color="000000"/>
                                    <w:bottom w:val="double" w:sz="8" w:space="0" w:color="auto"/>
                                  </w:tcBorders>
                                </w:tcPr>
                                <w:p>
                                  <w:pPr>
                                    <w:pStyle w:val="TableParagraph"/>
                                    <w:spacing w:line="164" w:lineRule="exact" w:before="36"/>
                                    <w:ind w:right="87"/>
                                    <w:jc w:val="right"/>
                                    <w:rPr>
                                      <w:sz w:val="16"/>
                                    </w:rPr>
                                  </w:pPr>
                                  <w:r>
                                    <w:rPr>
                                      <w:spacing w:val="-4"/>
                                      <w:sz w:val="16"/>
                                    </w:rPr>
                                    <w:t>1.00</w:t>
                                  </w:r>
                                </w:p>
                              </w:tc>
                              <w:tc>
                                <w:tcPr>
                                  <w:tcW w:w="1134" w:type="dxa"/>
                                  <w:tcBorders>
                                    <w:top w:val="single" w:sz="4" w:space="0" w:color="000000"/>
                                    <w:bottom w:val="double" w:sz="8" w:space="0" w:color="auto"/>
                                  </w:tcBorders>
                                </w:tcPr>
                                <w:p>
                                  <w:pPr>
                                    <w:pStyle w:val="TableParagraph"/>
                                    <w:tabs>
                                      <w:tab w:pos="470" w:val="left" w:leader="none"/>
                                    </w:tabs>
                                    <w:spacing w:line="164" w:lineRule="exact" w:before="36"/>
                                    <w:ind w:left="31"/>
                                    <w:rPr>
                                      <w:sz w:val="16"/>
                                    </w:rPr>
                                  </w:pPr>
                                  <w:r>
                                    <w:rPr>
                                      <w:spacing w:val="-10"/>
                                      <w:sz w:val="16"/>
                                    </w:rPr>
                                    <w:t>$</w:t>
                                  </w:r>
                                  <w:r>
                                    <w:rPr>
                                      <w:sz w:val="16"/>
                                    </w:rPr>
                                    <w:tab/>
                                    <w:t>2.04</w:t>
                                  </w:r>
                                  <w:r>
                                    <w:rPr>
                                      <w:spacing w:val="60"/>
                                      <w:w w:val="150"/>
                                      <w:sz w:val="16"/>
                                    </w:rPr>
                                    <w:t> </w:t>
                                  </w:r>
                                  <w:r>
                                    <w:rPr>
                                      <w:spacing w:val="-10"/>
                                      <w:sz w:val="16"/>
                                    </w:rPr>
                                    <w:t>$</w:t>
                                  </w:r>
                                </w:p>
                              </w:tc>
                              <w:tc>
                                <w:tcPr>
                                  <w:tcW w:w="547" w:type="dxa"/>
                                  <w:tcBorders>
                                    <w:top w:val="single" w:sz="4" w:space="0" w:color="000000"/>
                                    <w:bottom w:val="double" w:sz="8" w:space="0" w:color="auto"/>
                                  </w:tcBorders>
                                </w:tcPr>
                                <w:p>
                                  <w:pPr>
                                    <w:pStyle w:val="TableParagraph"/>
                                    <w:spacing w:line="164" w:lineRule="exact" w:before="36"/>
                                    <w:ind w:right="88"/>
                                    <w:jc w:val="right"/>
                                    <w:rPr>
                                      <w:sz w:val="16"/>
                                    </w:rPr>
                                  </w:pPr>
                                  <w:r>
                                    <w:rPr>
                                      <w:spacing w:val="-4"/>
                                      <w:sz w:val="16"/>
                                    </w:rPr>
                                    <w:t>2.04</w:t>
                                  </w:r>
                                </w:p>
                              </w:tc>
                              <w:tc>
                                <w:tcPr>
                                  <w:tcW w:w="1134" w:type="dxa"/>
                                  <w:tcBorders>
                                    <w:top w:val="single" w:sz="4" w:space="0" w:color="000000"/>
                                    <w:bottom w:val="double" w:sz="8" w:space="0" w:color="auto"/>
                                  </w:tcBorders>
                                </w:tcPr>
                                <w:p>
                                  <w:pPr>
                                    <w:pStyle w:val="TableParagraph"/>
                                    <w:tabs>
                                      <w:tab w:pos="469" w:val="left" w:leader="none"/>
                                    </w:tabs>
                                    <w:spacing w:line="164" w:lineRule="exact" w:before="36"/>
                                    <w:ind w:left="30"/>
                                    <w:rPr>
                                      <w:sz w:val="16"/>
                                    </w:rPr>
                                  </w:pPr>
                                  <w:r>
                                    <w:rPr>
                                      <w:spacing w:val="-10"/>
                                      <w:sz w:val="16"/>
                                    </w:rPr>
                                    <w:t>$</w:t>
                                  </w:r>
                                  <w:r>
                                    <w:rPr>
                                      <w:sz w:val="16"/>
                                    </w:rPr>
                                    <w:tab/>
                                    <w:t>2.54</w:t>
                                  </w:r>
                                  <w:r>
                                    <w:rPr>
                                      <w:spacing w:val="60"/>
                                      <w:w w:val="150"/>
                                      <w:sz w:val="16"/>
                                    </w:rPr>
                                    <w:t> </w:t>
                                  </w:r>
                                  <w:r>
                                    <w:rPr>
                                      <w:spacing w:val="-10"/>
                                      <w:sz w:val="16"/>
                                    </w:rPr>
                                    <w:t>$</w:t>
                                  </w:r>
                                </w:p>
                              </w:tc>
                              <w:tc>
                                <w:tcPr>
                                  <w:tcW w:w="528" w:type="dxa"/>
                                  <w:tcBorders>
                                    <w:top w:val="single" w:sz="4" w:space="0" w:color="000000"/>
                                    <w:bottom w:val="double" w:sz="8" w:space="0" w:color="auto"/>
                                  </w:tcBorders>
                                </w:tcPr>
                                <w:p>
                                  <w:pPr>
                                    <w:pStyle w:val="TableParagraph"/>
                                    <w:spacing w:line="164" w:lineRule="exact" w:before="36"/>
                                    <w:ind w:left="103"/>
                                    <w:jc w:val="center"/>
                                    <w:rPr>
                                      <w:sz w:val="16"/>
                                    </w:rPr>
                                  </w:pPr>
                                  <w:r>
                                    <w:rPr>
                                      <w:spacing w:val="-4"/>
                                      <w:sz w:val="16"/>
                                    </w:rPr>
                                    <w:t>2.54</w:t>
                                  </w:r>
                                </w:p>
                              </w:tc>
                            </w:tr>
                            <w:tr>
                              <w:trPr>
                                <w:trHeight w:val="225" w:hRule="atLeast"/>
                              </w:trPr>
                              <w:tc>
                                <w:tcPr>
                                  <w:tcW w:w="3535" w:type="dxa"/>
                                  <w:tcBorders>
                                    <w:top w:val="double" w:sz="8" w:space="0" w:color="CCEDFF"/>
                                  </w:tcBorders>
                                  <w:shd w:val="clear" w:color="auto" w:fill="CCEDFF"/>
                                </w:tcPr>
                                <w:p>
                                  <w:pPr>
                                    <w:pStyle w:val="TableParagraph"/>
                                    <w:spacing w:before="11"/>
                                    <w:ind w:left="52"/>
                                    <w:rPr>
                                      <w:sz w:val="16"/>
                                    </w:rPr>
                                  </w:pPr>
                                  <w:r>
                                    <w:rPr>
                                      <w:sz w:val="16"/>
                                    </w:rPr>
                                    <w:t>Diluted</w:t>
                                  </w:r>
                                  <w:r>
                                    <w:rPr>
                                      <w:spacing w:val="-1"/>
                                      <w:sz w:val="16"/>
                                    </w:rPr>
                                    <w:t> </w:t>
                                  </w:r>
                                  <w:r>
                                    <w:rPr>
                                      <w:sz w:val="16"/>
                                    </w:rPr>
                                    <w:t>earnings</w:t>
                                  </w:r>
                                  <w:r>
                                    <w:rPr>
                                      <w:spacing w:val="-1"/>
                                      <w:sz w:val="16"/>
                                    </w:rPr>
                                    <w:t> </w:t>
                                  </w:r>
                                  <w:r>
                                    <w:rPr>
                                      <w:sz w:val="16"/>
                                    </w:rPr>
                                    <w:t>per </w:t>
                                  </w:r>
                                  <w:r>
                                    <w:rPr>
                                      <w:spacing w:val="-2"/>
                                      <w:sz w:val="16"/>
                                    </w:rPr>
                                    <w:t>share:</w:t>
                                  </w:r>
                                </w:p>
                              </w:tc>
                              <w:tc>
                                <w:tcPr>
                                  <w:tcW w:w="1198" w:type="dxa"/>
                                  <w:tcBorders>
                                    <w:top w:val="double" w:sz="8" w:space="0" w:color="CCEDFF"/>
                                  </w:tcBorders>
                                  <w:shd w:val="clear" w:color="auto" w:fill="CCEDFF"/>
                                </w:tcPr>
                                <w:p>
                                  <w:pPr>
                                    <w:pStyle w:val="TableParagraph"/>
                                    <w:rPr>
                                      <w:sz w:val="16"/>
                                    </w:rPr>
                                  </w:pPr>
                                </w:p>
                              </w:tc>
                              <w:tc>
                                <w:tcPr>
                                  <w:tcW w:w="507" w:type="dxa"/>
                                  <w:tcBorders>
                                    <w:top w:val="double" w:sz="8" w:space="0" w:color="CCEDFF"/>
                                  </w:tcBorders>
                                  <w:shd w:val="clear" w:color="auto" w:fill="CCEDFF"/>
                                </w:tcPr>
                                <w:p>
                                  <w:pPr>
                                    <w:pStyle w:val="TableParagraph"/>
                                    <w:rPr>
                                      <w:sz w:val="16"/>
                                    </w:rPr>
                                  </w:pPr>
                                </w:p>
                              </w:tc>
                              <w:tc>
                                <w:tcPr>
                                  <w:tcW w:w="1134" w:type="dxa"/>
                                  <w:tcBorders>
                                    <w:top w:val="double" w:sz="8" w:space="0" w:color="CCEDFF"/>
                                  </w:tcBorders>
                                  <w:shd w:val="clear" w:color="auto" w:fill="CCEDFF"/>
                                </w:tcPr>
                                <w:p>
                                  <w:pPr>
                                    <w:pStyle w:val="TableParagraph"/>
                                    <w:rPr>
                                      <w:sz w:val="16"/>
                                    </w:rPr>
                                  </w:pPr>
                                </w:p>
                              </w:tc>
                              <w:tc>
                                <w:tcPr>
                                  <w:tcW w:w="547" w:type="dxa"/>
                                  <w:tcBorders>
                                    <w:top w:val="double" w:sz="8" w:space="0" w:color="CCEDFF"/>
                                  </w:tcBorders>
                                  <w:shd w:val="clear" w:color="auto" w:fill="CCEDFF"/>
                                </w:tcPr>
                                <w:p>
                                  <w:pPr>
                                    <w:pStyle w:val="TableParagraph"/>
                                    <w:rPr>
                                      <w:sz w:val="16"/>
                                    </w:rPr>
                                  </w:pPr>
                                </w:p>
                              </w:tc>
                              <w:tc>
                                <w:tcPr>
                                  <w:tcW w:w="1134" w:type="dxa"/>
                                  <w:tcBorders>
                                    <w:top w:val="double" w:sz="8" w:space="0" w:color="CCEDFF"/>
                                  </w:tcBorders>
                                  <w:shd w:val="clear" w:color="auto" w:fill="CCEDFF"/>
                                </w:tcPr>
                                <w:p>
                                  <w:pPr>
                                    <w:pStyle w:val="TableParagraph"/>
                                    <w:rPr>
                                      <w:sz w:val="16"/>
                                    </w:rPr>
                                  </w:pPr>
                                </w:p>
                              </w:tc>
                              <w:tc>
                                <w:tcPr>
                                  <w:tcW w:w="547" w:type="dxa"/>
                                  <w:tcBorders>
                                    <w:top w:val="double" w:sz="8" w:space="0" w:color="CCEDFF"/>
                                  </w:tcBorders>
                                  <w:shd w:val="clear" w:color="auto" w:fill="CCEDFF"/>
                                </w:tcPr>
                                <w:p>
                                  <w:pPr>
                                    <w:pStyle w:val="TableParagraph"/>
                                    <w:rPr>
                                      <w:sz w:val="16"/>
                                    </w:rPr>
                                  </w:pPr>
                                </w:p>
                              </w:tc>
                              <w:tc>
                                <w:tcPr>
                                  <w:tcW w:w="1134" w:type="dxa"/>
                                  <w:tcBorders>
                                    <w:top w:val="double" w:sz="8" w:space="0" w:color="CCEDFF"/>
                                  </w:tcBorders>
                                  <w:shd w:val="clear" w:color="auto" w:fill="CCEDFF"/>
                                </w:tcPr>
                                <w:p>
                                  <w:pPr>
                                    <w:pStyle w:val="TableParagraph"/>
                                    <w:rPr>
                                      <w:sz w:val="16"/>
                                    </w:rPr>
                                  </w:pPr>
                                </w:p>
                              </w:tc>
                              <w:tc>
                                <w:tcPr>
                                  <w:tcW w:w="528" w:type="dxa"/>
                                  <w:tcBorders>
                                    <w:top w:val="double" w:sz="8" w:space="0" w:color="CCEDFF"/>
                                  </w:tcBorders>
                                  <w:shd w:val="clear" w:color="auto" w:fill="CCEDFF"/>
                                </w:tcPr>
                                <w:p>
                                  <w:pPr>
                                    <w:pStyle w:val="TableParagraph"/>
                                    <w:rPr>
                                      <w:sz w:val="16"/>
                                    </w:rPr>
                                  </w:pPr>
                                </w:p>
                              </w:tc>
                            </w:tr>
                            <w:tr>
                              <w:trPr>
                                <w:trHeight w:val="255" w:hRule="atLeast"/>
                              </w:trPr>
                              <w:tc>
                                <w:tcPr>
                                  <w:tcW w:w="3535" w:type="dxa"/>
                                </w:tcPr>
                                <w:p>
                                  <w:pPr>
                                    <w:pStyle w:val="TableParagraph"/>
                                    <w:spacing w:before="41"/>
                                    <w:ind w:left="52"/>
                                    <w:rPr>
                                      <w:sz w:val="16"/>
                                    </w:rPr>
                                  </w:pPr>
                                  <w:r>
                                    <w:rPr>
                                      <w:spacing w:val="-2"/>
                                      <w:sz w:val="16"/>
                                    </w:rPr>
                                    <w:t>Numerator</w:t>
                                  </w:r>
                                </w:p>
                              </w:tc>
                              <w:tc>
                                <w:tcPr>
                                  <w:tcW w:w="1198" w:type="dxa"/>
                                </w:tcPr>
                                <w:p>
                                  <w:pPr>
                                    <w:pStyle w:val="TableParagraph"/>
                                    <w:rPr>
                                      <w:sz w:val="16"/>
                                    </w:rPr>
                                  </w:pPr>
                                </w:p>
                              </w:tc>
                              <w:tc>
                                <w:tcPr>
                                  <w:tcW w:w="507" w:type="dxa"/>
                                </w:tcPr>
                                <w:p>
                                  <w:pPr>
                                    <w:pStyle w:val="TableParagraph"/>
                                    <w:rPr>
                                      <w:sz w:val="16"/>
                                    </w:rPr>
                                  </w:pPr>
                                </w:p>
                              </w:tc>
                              <w:tc>
                                <w:tcPr>
                                  <w:tcW w:w="1134" w:type="dxa"/>
                                </w:tcPr>
                                <w:p>
                                  <w:pPr>
                                    <w:pStyle w:val="TableParagraph"/>
                                    <w:rPr>
                                      <w:sz w:val="16"/>
                                    </w:rPr>
                                  </w:pPr>
                                </w:p>
                              </w:tc>
                              <w:tc>
                                <w:tcPr>
                                  <w:tcW w:w="547" w:type="dxa"/>
                                </w:tcPr>
                                <w:p>
                                  <w:pPr>
                                    <w:pStyle w:val="TableParagraph"/>
                                    <w:rPr>
                                      <w:sz w:val="16"/>
                                    </w:rPr>
                                  </w:pPr>
                                </w:p>
                              </w:tc>
                              <w:tc>
                                <w:tcPr>
                                  <w:tcW w:w="1134" w:type="dxa"/>
                                </w:tcPr>
                                <w:p>
                                  <w:pPr>
                                    <w:pStyle w:val="TableParagraph"/>
                                    <w:rPr>
                                      <w:sz w:val="16"/>
                                    </w:rPr>
                                  </w:pPr>
                                </w:p>
                              </w:tc>
                              <w:tc>
                                <w:tcPr>
                                  <w:tcW w:w="547" w:type="dxa"/>
                                </w:tcPr>
                                <w:p>
                                  <w:pPr>
                                    <w:pStyle w:val="TableParagraph"/>
                                    <w:rPr>
                                      <w:sz w:val="16"/>
                                    </w:rPr>
                                  </w:pPr>
                                </w:p>
                              </w:tc>
                              <w:tc>
                                <w:tcPr>
                                  <w:tcW w:w="1134" w:type="dxa"/>
                                </w:tcPr>
                                <w:p>
                                  <w:pPr>
                                    <w:pStyle w:val="TableParagraph"/>
                                    <w:rPr>
                                      <w:sz w:val="16"/>
                                    </w:rPr>
                                  </w:pPr>
                                </w:p>
                              </w:tc>
                              <w:tc>
                                <w:tcPr>
                                  <w:tcW w:w="528" w:type="dxa"/>
                                </w:tcPr>
                                <w:p>
                                  <w:pPr>
                                    <w:pStyle w:val="TableParagraph"/>
                                    <w:rPr>
                                      <w:sz w:val="16"/>
                                    </w:rPr>
                                  </w:pPr>
                                </w:p>
                              </w:tc>
                            </w:tr>
                            <w:tr>
                              <w:trPr>
                                <w:trHeight w:val="255" w:hRule="atLeast"/>
                              </w:trPr>
                              <w:tc>
                                <w:tcPr>
                                  <w:tcW w:w="3535" w:type="dxa"/>
                                  <w:shd w:val="clear" w:color="auto" w:fill="CCEDFF"/>
                                </w:tcPr>
                                <w:p>
                                  <w:pPr>
                                    <w:pStyle w:val="TableParagraph"/>
                                    <w:spacing w:before="41"/>
                                    <w:ind w:left="292"/>
                                    <w:rPr>
                                      <w:sz w:val="16"/>
                                    </w:rPr>
                                  </w:pPr>
                                  <w:r>
                                    <w:rPr>
                                      <w:sz w:val="16"/>
                                    </w:rPr>
                                    <w:t>Net</w:t>
                                  </w:r>
                                  <w:r>
                                    <w:rPr>
                                      <w:spacing w:val="-1"/>
                                      <w:sz w:val="16"/>
                                    </w:rPr>
                                    <w:t> </w:t>
                                  </w:r>
                                  <w:r>
                                    <w:rPr>
                                      <w:sz w:val="16"/>
                                    </w:rPr>
                                    <w:t>income available to common </w:t>
                                  </w:r>
                                  <w:r>
                                    <w:rPr>
                                      <w:spacing w:val="-2"/>
                                      <w:sz w:val="16"/>
                                    </w:rPr>
                                    <w:t>stockholders</w:t>
                                  </w:r>
                                </w:p>
                              </w:tc>
                              <w:tc>
                                <w:tcPr>
                                  <w:tcW w:w="1198" w:type="dxa"/>
                                  <w:shd w:val="clear" w:color="auto" w:fill="CCEDFF"/>
                                </w:tcPr>
                                <w:p>
                                  <w:pPr>
                                    <w:pStyle w:val="TableParagraph"/>
                                    <w:tabs>
                                      <w:tab w:pos="536" w:val="left" w:leader="none"/>
                                    </w:tabs>
                                    <w:spacing w:before="41"/>
                                    <w:ind w:left="57"/>
                                    <w:rPr>
                                      <w:sz w:val="16"/>
                                    </w:rPr>
                                  </w:pPr>
                                  <w:r>
                                    <w:rPr>
                                      <w:spacing w:val="-10"/>
                                      <w:sz w:val="16"/>
                                    </w:rPr>
                                    <w:t>$</w:t>
                                  </w:r>
                                  <w:r>
                                    <w:rPr>
                                      <w:sz w:val="16"/>
                                    </w:rPr>
                                    <w:tab/>
                                    <w:t>989</w:t>
                                  </w:r>
                                  <w:r>
                                    <w:rPr>
                                      <w:spacing w:val="60"/>
                                      <w:w w:val="150"/>
                                      <w:sz w:val="16"/>
                                    </w:rPr>
                                    <w:t> </w:t>
                                  </w:r>
                                  <w:r>
                                    <w:rPr>
                                      <w:spacing w:val="-10"/>
                                      <w:sz w:val="16"/>
                                    </w:rPr>
                                    <w:t>$</w:t>
                                  </w:r>
                                </w:p>
                              </w:tc>
                              <w:tc>
                                <w:tcPr>
                                  <w:tcW w:w="507" w:type="dxa"/>
                                  <w:shd w:val="clear" w:color="auto" w:fill="CCEDFF"/>
                                </w:tcPr>
                                <w:p>
                                  <w:pPr>
                                    <w:pStyle w:val="TableParagraph"/>
                                    <w:spacing w:before="41"/>
                                    <w:ind w:left="170"/>
                                    <w:jc w:val="center"/>
                                    <w:rPr>
                                      <w:sz w:val="16"/>
                                    </w:rPr>
                                  </w:pPr>
                                  <w:r>
                                    <w:rPr>
                                      <w:spacing w:val="-5"/>
                                      <w:sz w:val="16"/>
                                    </w:rPr>
                                    <w:t>28</w:t>
                                  </w:r>
                                </w:p>
                              </w:tc>
                              <w:tc>
                                <w:tcPr>
                                  <w:tcW w:w="1134" w:type="dxa"/>
                                  <w:shd w:val="clear" w:color="auto" w:fill="CCEDFF"/>
                                </w:tcPr>
                                <w:p>
                                  <w:pPr>
                                    <w:pStyle w:val="TableParagraph"/>
                                    <w:tabs>
                                      <w:tab w:pos="391" w:val="left" w:leader="none"/>
                                    </w:tabs>
                                    <w:spacing w:before="41"/>
                                    <w:ind w:left="32"/>
                                    <w:rPr>
                                      <w:sz w:val="16"/>
                                    </w:rPr>
                                  </w:pPr>
                                  <w:r>
                                    <w:rPr>
                                      <w:spacing w:val="-10"/>
                                      <w:sz w:val="16"/>
                                    </w:rPr>
                                    <w:t>$</w:t>
                                  </w:r>
                                  <w:r>
                                    <w:rPr>
                                      <w:sz w:val="16"/>
                                    </w:rPr>
                                    <w:tab/>
                                    <w:t>1,824</w:t>
                                  </w:r>
                                  <w:r>
                                    <w:rPr>
                                      <w:spacing w:val="60"/>
                                      <w:w w:val="150"/>
                                      <w:sz w:val="16"/>
                                    </w:rPr>
                                    <w:t> </w:t>
                                  </w:r>
                                  <w:r>
                                    <w:rPr>
                                      <w:spacing w:val="-10"/>
                                      <w:sz w:val="16"/>
                                    </w:rPr>
                                    <w:t>$</w:t>
                                  </w:r>
                                </w:p>
                              </w:tc>
                              <w:tc>
                                <w:tcPr>
                                  <w:tcW w:w="547" w:type="dxa"/>
                                  <w:shd w:val="clear" w:color="auto" w:fill="CCEDFF"/>
                                </w:tcPr>
                                <w:p>
                                  <w:pPr>
                                    <w:pStyle w:val="TableParagraph"/>
                                    <w:spacing w:before="41"/>
                                    <w:ind w:right="87"/>
                                    <w:jc w:val="right"/>
                                    <w:rPr>
                                      <w:sz w:val="16"/>
                                    </w:rPr>
                                  </w:pPr>
                                  <w:r>
                                    <w:rPr>
                                      <w:spacing w:val="-5"/>
                                      <w:sz w:val="16"/>
                                    </w:rPr>
                                    <w:t>60</w:t>
                                  </w:r>
                                </w:p>
                              </w:tc>
                              <w:tc>
                                <w:tcPr>
                                  <w:tcW w:w="1134" w:type="dxa"/>
                                  <w:shd w:val="clear" w:color="auto" w:fill="CCEDFF"/>
                                </w:tcPr>
                                <w:p>
                                  <w:pPr>
                                    <w:pStyle w:val="TableParagraph"/>
                                    <w:tabs>
                                      <w:tab w:pos="390" w:val="left" w:leader="none"/>
                                    </w:tabs>
                                    <w:spacing w:before="41"/>
                                    <w:ind w:left="31"/>
                                    <w:rPr>
                                      <w:sz w:val="16"/>
                                    </w:rPr>
                                  </w:pPr>
                                  <w:r>
                                    <w:rPr>
                                      <w:spacing w:val="-10"/>
                                      <w:sz w:val="16"/>
                                    </w:rPr>
                                    <w:t>$</w:t>
                                  </w:r>
                                  <w:r>
                                    <w:rPr>
                                      <w:sz w:val="16"/>
                                    </w:rPr>
                                    <w:tab/>
                                    <w:t>3,619</w:t>
                                  </w:r>
                                  <w:r>
                                    <w:rPr>
                                      <w:spacing w:val="60"/>
                                      <w:w w:val="150"/>
                                      <w:sz w:val="16"/>
                                    </w:rPr>
                                    <w:t> </w:t>
                                  </w:r>
                                  <w:r>
                                    <w:rPr>
                                      <w:spacing w:val="-10"/>
                                      <w:sz w:val="16"/>
                                    </w:rPr>
                                    <w:t>$</w:t>
                                  </w:r>
                                </w:p>
                              </w:tc>
                              <w:tc>
                                <w:tcPr>
                                  <w:tcW w:w="547" w:type="dxa"/>
                                  <w:shd w:val="clear" w:color="auto" w:fill="CCEDFF"/>
                                </w:tcPr>
                                <w:p>
                                  <w:pPr>
                                    <w:pStyle w:val="TableParagraph"/>
                                    <w:spacing w:before="41"/>
                                    <w:ind w:right="88"/>
                                    <w:jc w:val="right"/>
                                    <w:rPr>
                                      <w:sz w:val="16"/>
                                    </w:rPr>
                                  </w:pPr>
                                  <w:r>
                                    <w:rPr>
                                      <w:spacing w:val="-5"/>
                                      <w:sz w:val="16"/>
                                    </w:rPr>
                                    <w:t>104</w:t>
                                  </w:r>
                                </w:p>
                              </w:tc>
                              <w:tc>
                                <w:tcPr>
                                  <w:tcW w:w="1134" w:type="dxa"/>
                                  <w:shd w:val="clear" w:color="auto" w:fill="CCEDFF"/>
                                </w:tcPr>
                                <w:p>
                                  <w:pPr>
                                    <w:pStyle w:val="TableParagraph"/>
                                    <w:tabs>
                                      <w:tab w:pos="389" w:val="left" w:leader="none"/>
                                    </w:tabs>
                                    <w:spacing w:before="41"/>
                                    <w:ind w:left="30"/>
                                    <w:rPr>
                                      <w:sz w:val="16"/>
                                    </w:rPr>
                                  </w:pPr>
                                  <w:r>
                                    <w:rPr>
                                      <w:spacing w:val="-10"/>
                                      <w:sz w:val="16"/>
                                    </w:rPr>
                                    <w:t>$</w:t>
                                  </w:r>
                                  <w:r>
                                    <w:rPr>
                                      <w:sz w:val="16"/>
                                    </w:rPr>
                                    <w:tab/>
                                    <w:t>4,629</w:t>
                                  </w:r>
                                  <w:r>
                                    <w:rPr>
                                      <w:spacing w:val="60"/>
                                      <w:w w:val="150"/>
                                      <w:sz w:val="16"/>
                                    </w:rPr>
                                    <w:t> </w:t>
                                  </w:r>
                                  <w:r>
                                    <w:rPr>
                                      <w:spacing w:val="-10"/>
                                      <w:sz w:val="16"/>
                                    </w:rPr>
                                    <w:t>$</w:t>
                                  </w:r>
                                </w:p>
                              </w:tc>
                              <w:tc>
                                <w:tcPr>
                                  <w:tcW w:w="528" w:type="dxa"/>
                                  <w:shd w:val="clear" w:color="auto" w:fill="CCEDFF"/>
                                </w:tcPr>
                                <w:p>
                                  <w:pPr>
                                    <w:pStyle w:val="TableParagraph"/>
                                    <w:spacing w:before="41"/>
                                    <w:ind w:left="143"/>
                                    <w:jc w:val="center"/>
                                    <w:rPr>
                                      <w:sz w:val="16"/>
                                    </w:rPr>
                                  </w:pPr>
                                  <w:r>
                                    <w:rPr>
                                      <w:spacing w:val="-5"/>
                                      <w:sz w:val="16"/>
                                    </w:rPr>
                                    <w:t>185</w:t>
                                  </w:r>
                                </w:p>
                              </w:tc>
                            </w:tr>
                            <w:tr>
                              <w:trPr>
                                <w:trHeight w:val="550" w:hRule="atLeast"/>
                              </w:trPr>
                              <w:tc>
                                <w:tcPr>
                                  <w:tcW w:w="3535" w:type="dxa"/>
                                  <w:tcBorders>
                                    <w:bottom w:val="single" w:sz="4" w:space="0" w:color="000000"/>
                                  </w:tcBorders>
                                </w:tcPr>
                                <w:p>
                                  <w:pPr>
                                    <w:pStyle w:val="TableParagraph"/>
                                    <w:spacing w:line="208" w:lineRule="auto" w:before="40"/>
                                    <w:ind w:left="292" w:right="84"/>
                                    <w:rPr>
                                      <w:sz w:val="16"/>
                                    </w:rPr>
                                  </w:pPr>
                                  <w:r>
                                    <w:rPr>
                                      <w:sz w:val="16"/>
                                    </w:rPr>
                                    <w:t>Reallocation</w:t>
                                  </w:r>
                                  <w:r>
                                    <w:rPr>
                                      <w:spacing w:val="-7"/>
                                      <w:sz w:val="16"/>
                                    </w:rPr>
                                    <w:t> </w:t>
                                  </w:r>
                                  <w:r>
                                    <w:rPr>
                                      <w:sz w:val="16"/>
                                    </w:rPr>
                                    <w:t>of</w:t>
                                  </w:r>
                                  <w:r>
                                    <w:rPr>
                                      <w:spacing w:val="-7"/>
                                      <w:sz w:val="16"/>
                                    </w:rPr>
                                    <w:t> </w:t>
                                  </w:r>
                                  <w:r>
                                    <w:rPr>
                                      <w:sz w:val="16"/>
                                    </w:rPr>
                                    <w:t>net</w:t>
                                  </w:r>
                                  <w:r>
                                    <w:rPr>
                                      <w:spacing w:val="-7"/>
                                      <w:sz w:val="16"/>
                                    </w:rPr>
                                    <w:t> </w:t>
                                  </w:r>
                                  <w:r>
                                    <w:rPr>
                                      <w:sz w:val="16"/>
                                    </w:rPr>
                                    <w:t>income</w:t>
                                  </w:r>
                                  <w:r>
                                    <w:rPr>
                                      <w:spacing w:val="-7"/>
                                      <w:sz w:val="16"/>
                                    </w:rPr>
                                    <w:t> </w:t>
                                  </w:r>
                                  <w:r>
                                    <w:rPr>
                                      <w:sz w:val="16"/>
                                    </w:rPr>
                                    <w:t>available</w:t>
                                  </w:r>
                                  <w:r>
                                    <w:rPr>
                                      <w:spacing w:val="-7"/>
                                      <w:sz w:val="16"/>
                                    </w:rPr>
                                    <w:t> </w:t>
                                  </w:r>
                                  <w:r>
                                    <w:rPr>
                                      <w:sz w:val="16"/>
                                    </w:rPr>
                                    <w:t>to</w:t>
                                  </w:r>
                                  <w:r>
                                    <w:rPr>
                                      <w:spacing w:val="-7"/>
                                      <w:sz w:val="16"/>
                                    </w:rPr>
                                    <w:t> </w:t>
                                  </w:r>
                                  <w:r>
                                    <w:rPr>
                                      <w:sz w:val="16"/>
                                    </w:rPr>
                                    <w:t>common</w:t>
                                  </w:r>
                                  <w:r>
                                    <w:rPr>
                                      <w:spacing w:val="40"/>
                                      <w:sz w:val="16"/>
                                    </w:rPr>
                                    <w:t> </w:t>
                                  </w:r>
                                  <w:r>
                                    <w:rPr>
                                      <w:sz w:val="16"/>
                                    </w:rPr>
                                    <w:t>stockholders as a result of conversion of</w:t>
                                  </w:r>
                                  <w:r>
                                    <w:rPr>
                                      <w:spacing w:val="40"/>
                                      <w:sz w:val="16"/>
                                    </w:rPr>
                                    <w:t> </w:t>
                                  </w:r>
                                  <w:r>
                                    <w:rPr>
                                      <w:sz w:val="16"/>
                                    </w:rPr>
                                    <w:t>nonvoting to voting shares</w:t>
                                  </w:r>
                                </w:p>
                              </w:tc>
                              <w:tc>
                                <w:tcPr>
                                  <w:tcW w:w="1198" w:type="dxa"/>
                                  <w:tcBorders>
                                    <w:bottom w:val="single" w:sz="4" w:space="0" w:color="000000"/>
                                  </w:tcBorders>
                                </w:tcPr>
                                <w:p>
                                  <w:pPr>
                                    <w:pStyle w:val="TableParagraph"/>
                                    <w:spacing w:before="157"/>
                                    <w:rPr>
                                      <w:sz w:val="16"/>
                                    </w:rPr>
                                  </w:pPr>
                                </w:p>
                                <w:p>
                                  <w:pPr>
                                    <w:pStyle w:val="TableParagraph"/>
                                    <w:ind w:left="275" w:right="80"/>
                                    <w:jc w:val="center"/>
                                    <w:rPr>
                                      <w:sz w:val="16"/>
                                    </w:rPr>
                                  </w:pPr>
                                  <w:r>
                                    <w:rPr>
                                      <w:spacing w:val="-5"/>
                                      <w:sz w:val="16"/>
                                    </w:rPr>
                                    <w:t>28</w:t>
                                  </w:r>
                                </w:p>
                              </w:tc>
                              <w:tc>
                                <w:tcPr>
                                  <w:tcW w:w="507" w:type="dxa"/>
                                  <w:tcBorders>
                                    <w:bottom w:val="single" w:sz="4" w:space="0" w:color="000000"/>
                                  </w:tcBorders>
                                </w:tcPr>
                                <w:p>
                                  <w:pPr>
                                    <w:pStyle w:val="TableParagraph"/>
                                    <w:spacing w:before="157"/>
                                    <w:rPr>
                                      <w:sz w:val="16"/>
                                    </w:rPr>
                                  </w:pPr>
                                </w:p>
                                <w:p>
                                  <w:pPr>
                                    <w:pStyle w:val="TableParagraph"/>
                                    <w:ind w:left="170"/>
                                    <w:jc w:val="center"/>
                                    <w:rPr>
                                      <w:sz w:val="16"/>
                                    </w:rPr>
                                  </w:pPr>
                                  <w:r>
                                    <w:rPr>
                                      <w:spacing w:val="-10"/>
                                      <w:sz w:val="16"/>
                                    </w:rPr>
                                    <w:t>—</w:t>
                                  </w:r>
                                </w:p>
                              </w:tc>
                              <w:tc>
                                <w:tcPr>
                                  <w:tcW w:w="1134" w:type="dxa"/>
                                  <w:tcBorders>
                                    <w:bottom w:val="single" w:sz="4" w:space="0" w:color="000000"/>
                                  </w:tcBorders>
                                </w:tcPr>
                                <w:p>
                                  <w:pPr>
                                    <w:pStyle w:val="TableParagraph"/>
                                    <w:spacing w:before="157"/>
                                    <w:rPr>
                                      <w:sz w:val="16"/>
                                    </w:rPr>
                                  </w:pPr>
                                </w:p>
                                <w:p>
                                  <w:pPr>
                                    <w:pStyle w:val="TableParagraph"/>
                                    <w:ind w:left="289" w:right="80"/>
                                    <w:jc w:val="center"/>
                                    <w:rPr>
                                      <w:sz w:val="16"/>
                                    </w:rPr>
                                  </w:pPr>
                                  <w:r>
                                    <w:rPr>
                                      <w:spacing w:val="-5"/>
                                      <w:sz w:val="16"/>
                                    </w:rPr>
                                    <w:t>60</w:t>
                                  </w:r>
                                </w:p>
                              </w:tc>
                              <w:tc>
                                <w:tcPr>
                                  <w:tcW w:w="547" w:type="dxa"/>
                                  <w:tcBorders>
                                    <w:bottom w:val="single" w:sz="4" w:space="0" w:color="000000"/>
                                  </w:tcBorders>
                                </w:tcPr>
                                <w:p>
                                  <w:pPr>
                                    <w:pStyle w:val="TableParagraph"/>
                                    <w:spacing w:before="157"/>
                                    <w:rPr>
                                      <w:sz w:val="16"/>
                                    </w:rPr>
                                  </w:pPr>
                                </w:p>
                                <w:p>
                                  <w:pPr>
                                    <w:pStyle w:val="TableParagraph"/>
                                    <w:ind w:right="87"/>
                                    <w:jc w:val="right"/>
                                    <w:rPr>
                                      <w:sz w:val="16"/>
                                    </w:rPr>
                                  </w:pPr>
                                  <w:r>
                                    <w:rPr>
                                      <w:spacing w:val="-10"/>
                                      <w:sz w:val="16"/>
                                    </w:rPr>
                                    <w:t>—</w:t>
                                  </w:r>
                                </w:p>
                              </w:tc>
                              <w:tc>
                                <w:tcPr>
                                  <w:tcW w:w="1134" w:type="dxa"/>
                                  <w:tcBorders>
                                    <w:bottom w:val="single" w:sz="4" w:space="0" w:color="000000"/>
                                  </w:tcBorders>
                                </w:tcPr>
                                <w:p>
                                  <w:pPr>
                                    <w:pStyle w:val="TableParagraph"/>
                                    <w:spacing w:before="157"/>
                                    <w:rPr>
                                      <w:sz w:val="16"/>
                                    </w:rPr>
                                  </w:pPr>
                                </w:p>
                                <w:p>
                                  <w:pPr>
                                    <w:pStyle w:val="TableParagraph"/>
                                    <w:ind w:left="289" w:right="162"/>
                                    <w:jc w:val="center"/>
                                    <w:rPr>
                                      <w:sz w:val="16"/>
                                    </w:rPr>
                                  </w:pPr>
                                  <w:r>
                                    <w:rPr>
                                      <w:spacing w:val="-5"/>
                                      <w:sz w:val="16"/>
                                    </w:rPr>
                                    <w:t>104</w:t>
                                  </w:r>
                                </w:p>
                              </w:tc>
                              <w:tc>
                                <w:tcPr>
                                  <w:tcW w:w="547" w:type="dxa"/>
                                  <w:tcBorders>
                                    <w:bottom w:val="single" w:sz="4" w:space="0" w:color="000000"/>
                                  </w:tcBorders>
                                </w:tcPr>
                                <w:p>
                                  <w:pPr>
                                    <w:pStyle w:val="TableParagraph"/>
                                    <w:spacing w:before="157"/>
                                    <w:rPr>
                                      <w:sz w:val="16"/>
                                    </w:rPr>
                                  </w:pPr>
                                </w:p>
                                <w:p>
                                  <w:pPr>
                                    <w:pStyle w:val="TableParagraph"/>
                                    <w:ind w:right="88"/>
                                    <w:jc w:val="right"/>
                                    <w:rPr>
                                      <w:sz w:val="16"/>
                                    </w:rPr>
                                  </w:pPr>
                                  <w:r>
                                    <w:rPr>
                                      <w:spacing w:val="-10"/>
                                      <w:sz w:val="16"/>
                                    </w:rPr>
                                    <w:t>—</w:t>
                                  </w:r>
                                </w:p>
                              </w:tc>
                              <w:tc>
                                <w:tcPr>
                                  <w:tcW w:w="1134" w:type="dxa"/>
                                  <w:tcBorders>
                                    <w:bottom w:val="single" w:sz="4" w:space="0" w:color="000000"/>
                                  </w:tcBorders>
                                </w:tcPr>
                                <w:p>
                                  <w:pPr>
                                    <w:pStyle w:val="TableParagraph"/>
                                    <w:spacing w:before="157"/>
                                    <w:rPr>
                                      <w:sz w:val="16"/>
                                    </w:rPr>
                                  </w:pPr>
                                </w:p>
                                <w:p>
                                  <w:pPr>
                                    <w:pStyle w:val="TableParagraph"/>
                                    <w:ind w:left="289" w:right="164"/>
                                    <w:jc w:val="center"/>
                                    <w:rPr>
                                      <w:sz w:val="16"/>
                                    </w:rPr>
                                  </w:pPr>
                                  <w:r>
                                    <w:rPr>
                                      <w:spacing w:val="-5"/>
                                      <w:sz w:val="16"/>
                                    </w:rPr>
                                    <w:t>185</w:t>
                                  </w:r>
                                </w:p>
                              </w:tc>
                              <w:tc>
                                <w:tcPr>
                                  <w:tcW w:w="528" w:type="dxa"/>
                                  <w:tcBorders>
                                    <w:bottom w:val="single" w:sz="4" w:space="0" w:color="000000"/>
                                  </w:tcBorders>
                                </w:tcPr>
                                <w:p>
                                  <w:pPr>
                                    <w:pStyle w:val="TableParagraph"/>
                                    <w:spacing w:before="157"/>
                                    <w:rPr>
                                      <w:sz w:val="16"/>
                                    </w:rPr>
                                  </w:pPr>
                                </w:p>
                                <w:p>
                                  <w:pPr>
                                    <w:pStyle w:val="TableParagraph"/>
                                    <w:ind w:left="223"/>
                                    <w:jc w:val="center"/>
                                    <w:rPr>
                                      <w:sz w:val="16"/>
                                    </w:rPr>
                                  </w:pPr>
                                  <w:r>
                                    <w:rPr>
                                      <w:spacing w:val="-10"/>
                                      <w:sz w:val="16"/>
                                    </w:rPr>
                                    <w:t>—</w:t>
                                  </w:r>
                                </w:p>
                              </w:tc>
                            </w:tr>
                            <w:tr>
                              <w:trPr>
                                <w:trHeight w:val="395" w:hRule="atLeast"/>
                              </w:trPr>
                              <w:tc>
                                <w:tcPr>
                                  <w:tcW w:w="3535" w:type="dxa"/>
                                  <w:tcBorders>
                                    <w:top w:val="single" w:sz="4" w:space="0" w:color="000000"/>
                                    <w:bottom w:val="single" w:sz="4" w:space="0" w:color="000000"/>
                                  </w:tcBorders>
                                  <w:shd w:val="clear" w:color="auto" w:fill="CCEDFF"/>
                                </w:tcPr>
                                <w:p>
                                  <w:pPr>
                                    <w:pStyle w:val="TableParagraph"/>
                                    <w:spacing w:line="208" w:lineRule="auto" w:before="45"/>
                                    <w:ind w:left="292"/>
                                    <w:rPr>
                                      <w:sz w:val="16"/>
                                    </w:rPr>
                                  </w:pPr>
                                  <w:r>
                                    <w:rPr>
                                      <w:sz w:val="16"/>
                                    </w:rPr>
                                    <w:t>Allocation</w:t>
                                  </w:r>
                                  <w:r>
                                    <w:rPr>
                                      <w:spacing w:val="-7"/>
                                      <w:sz w:val="16"/>
                                    </w:rPr>
                                    <w:t> </w:t>
                                  </w:r>
                                  <w:r>
                                    <w:rPr>
                                      <w:sz w:val="16"/>
                                    </w:rPr>
                                    <w:t>of</w:t>
                                  </w:r>
                                  <w:r>
                                    <w:rPr>
                                      <w:spacing w:val="-7"/>
                                      <w:sz w:val="16"/>
                                    </w:rPr>
                                    <w:t> </w:t>
                                  </w:r>
                                  <w:r>
                                    <w:rPr>
                                      <w:sz w:val="16"/>
                                    </w:rPr>
                                    <w:t>net</w:t>
                                  </w:r>
                                  <w:r>
                                    <w:rPr>
                                      <w:spacing w:val="-7"/>
                                      <w:sz w:val="16"/>
                                    </w:rPr>
                                    <w:t> </w:t>
                                  </w:r>
                                  <w:r>
                                    <w:rPr>
                                      <w:sz w:val="16"/>
                                    </w:rPr>
                                    <w:t>income</w:t>
                                  </w:r>
                                  <w:r>
                                    <w:rPr>
                                      <w:spacing w:val="-7"/>
                                      <w:sz w:val="16"/>
                                    </w:rPr>
                                    <w:t> </w:t>
                                  </w:r>
                                  <w:r>
                                    <w:rPr>
                                      <w:sz w:val="16"/>
                                    </w:rPr>
                                    <w:t>available</w:t>
                                  </w:r>
                                  <w:r>
                                    <w:rPr>
                                      <w:spacing w:val="-7"/>
                                      <w:sz w:val="16"/>
                                    </w:rPr>
                                    <w:t> </w:t>
                                  </w:r>
                                  <w:r>
                                    <w:rPr>
                                      <w:sz w:val="16"/>
                                    </w:rPr>
                                    <w:t>to</w:t>
                                  </w:r>
                                  <w:r>
                                    <w:rPr>
                                      <w:spacing w:val="-7"/>
                                      <w:sz w:val="16"/>
                                    </w:rPr>
                                    <w:t> </w:t>
                                  </w:r>
                                  <w:r>
                                    <w:rPr>
                                      <w:sz w:val="16"/>
                                    </w:rPr>
                                    <w:t>common</w:t>
                                  </w:r>
                                  <w:r>
                                    <w:rPr>
                                      <w:spacing w:val="40"/>
                                      <w:sz w:val="16"/>
                                    </w:rPr>
                                    <w:t> </w:t>
                                  </w:r>
                                  <w:r>
                                    <w:rPr>
                                      <w:spacing w:val="-2"/>
                                      <w:sz w:val="16"/>
                                    </w:rPr>
                                    <w:t>stockholders:</w:t>
                                  </w:r>
                                </w:p>
                              </w:tc>
                              <w:tc>
                                <w:tcPr>
                                  <w:tcW w:w="1198" w:type="dxa"/>
                                  <w:tcBorders>
                                    <w:top w:val="single" w:sz="4" w:space="0" w:color="000000"/>
                                    <w:bottom w:val="single" w:sz="4" w:space="0" w:color="000000"/>
                                  </w:tcBorders>
                                  <w:shd w:val="clear" w:color="auto" w:fill="CCEDFF"/>
                                </w:tcPr>
                                <w:p>
                                  <w:pPr>
                                    <w:pStyle w:val="TableParagraph"/>
                                    <w:spacing w:before="2"/>
                                    <w:rPr>
                                      <w:sz w:val="16"/>
                                    </w:rPr>
                                  </w:pPr>
                                </w:p>
                                <w:p>
                                  <w:pPr>
                                    <w:pStyle w:val="TableParagraph"/>
                                    <w:tabs>
                                      <w:tab w:pos="416" w:val="left" w:leader="none"/>
                                    </w:tabs>
                                    <w:ind w:left="57"/>
                                    <w:rPr>
                                      <w:sz w:val="16"/>
                                    </w:rPr>
                                  </w:pPr>
                                  <w:r>
                                    <w:rPr>
                                      <w:spacing w:val="-10"/>
                                      <w:sz w:val="16"/>
                                    </w:rPr>
                                    <w:t>$</w:t>
                                  </w:r>
                                  <w:r>
                                    <w:rPr>
                                      <w:sz w:val="16"/>
                                    </w:rPr>
                                    <w:tab/>
                                    <w:t>1,017</w:t>
                                  </w:r>
                                  <w:r>
                                    <w:rPr>
                                      <w:spacing w:val="60"/>
                                      <w:w w:val="150"/>
                                      <w:sz w:val="16"/>
                                    </w:rPr>
                                    <w:t> </w:t>
                                  </w:r>
                                  <w:r>
                                    <w:rPr>
                                      <w:spacing w:val="-10"/>
                                      <w:sz w:val="16"/>
                                    </w:rPr>
                                    <w:t>$</w:t>
                                  </w:r>
                                </w:p>
                              </w:tc>
                              <w:tc>
                                <w:tcPr>
                                  <w:tcW w:w="507" w:type="dxa"/>
                                  <w:tcBorders>
                                    <w:top w:val="single" w:sz="4" w:space="0" w:color="000000"/>
                                    <w:bottom w:val="single" w:sz="4" w:space="0" w:color="000000"/>
                                  </w:tcBorders>
                                  <w:shd w:val="clear" w:color="auto" w:fill="CCEDFF"/>
                                </w:tcPr>
                                <w:p>
                                  <w:pPr>
                                    <w:pStyle w:val="TableParagraph"/>
                                    <w:spacing w:before="2"/>
                                    <w:rPr>
                                      <w:sz w:val="16"/>
                                    </w:rPr>
                                  </w:pPr>
                                </w:p>
                                <w:p>
                                  <w:pPr>
                                    <w:pStyle w:val="TableParagraph"/>
                                    <w:ind w:left="170"/>
                                    <w:jc w:val="center"/>
                                    <w:rPr>
                                      <w:sz w:val="16"/>
                                    </w:rPr>
                                  </w:pPr>
                                  <w:r>
                                    <w:rPr>
                                      <w:spacing w:val="-5"/>
                                      <w:sz w:val="16"/>
                                    </w:rPr>
                                    <w:t>28</w:t>
                                  </w:r>
                                </w:p>
                              </w:tc>
                              <w:tc>
                                <w:tcPr>
                                  <w:tcW w:w="1134" w:type="dxa"/>
                                  <w:tcBorders>
                                    <w:top w:val="single" w:sz="4" w:space="0" w:color="000000"/>
                                    <w:bottom w:val="single" w:sz="4" w:space="0" w:color="000000"/>
                                  </w:tcBorders>
                                  <w:shd w:val="clear" w:color="auto" w:fill="CCEDFF"/>
                                </w:tcPr>
                                <w:p>
                                  <w:pPr>
                                    <w:pStyle w:val="TableParagraph"/>
                                    <w:spacing w:before="2"/>
                                    <w:rPr>
                                      <w:sz w:val="16"/>
                                    </w:rPr>
                                  </w:pPr>
                                </w:p>
                                <w:p>
                                  <w:pPr>
                                    <w:pStyle w:val="TableParagraph"/>
                                    <w:tabs>
                                      <w:tab w:pos="391" w:val="left" w:leader="none"/>
                                    </w:tabs>
                                    <w:ind w:left="32"/>
                                    <w:rPr>
                                      <w:sz w:val="16"/>
                                    </w:rPr>
                                  </w:pPr>
                                  <w:r>
                                    <w:rPr>
                                      <w:spacing w:val="-10"/>
                                      <w:sz w:val="16"/>
                                    </w:rPr>
                                    <w:t>$</w:t>
                                  </w:r>
                                  <w:r>
                                    <w:rPr>
                                      <w:sz w:val="16"/>
                                    </w:rPr>
                                    <w:tab/>
                                    <w:t>1,884</w:t>
                                  </w:r>
                                  <w:r>
                                    <w:rPr>
                                      <w:spacing w:val="60"/>
                                      <w:w w:val="150"/>
                                      <w:sz w:val="16"/>
                                    </w:rPr>
                                    <w:t> </w:t>
                                  </w:r>
                                  <w:r>
                                    <w:rPr>
                                      <w:spacing w:val="-10"/>
                                      <w:sz w:val="16"/>
                                    </w:rPr>
                                    <w:t>$</w:t>
                                  </w:r>
                                </w:p>
                              </w:tc>
                              <w:tc>
                                <w:tcPr>
                                  <w:tcW w:w="547" w:type="dxa"/>
                                  <w:tcBorders>
                                    <w:top w:val="single" w:sz="4" w:space="0" w:color="000000"/>
                                    <w:bottom w:val="single" w:sz="4" w:space="0" w:color="000000"/>
                                  </w:tcBorders>
                                  <w:shd w:val="clear" w:color="auto" w:fill="CCEDFF"/>
                                </w:tcPr>
                                <w:p>
                                  <w:pPr>
                                    <w:pStyle w:val="TableParagraph"/>
                                    <w:spacing w:before="2"/>
                                    <w:rPr>
                                      <w:sz w:val="16"/>
                                    </w:rPr>
                                  </w:pPr>
                                </w:p>
                                <w:p>
                                  <w:pPr>
                                    <w:pStyle w:val="TableParagraph"/>
                                    <w:ind w:right="87"/>
                                    <w:jc w:val="right"/>
                                    <w:rPr>
                                      <w:sz w:val="16"/>
                                    </w:rPr>
                                  </w:pPr>
                                  <w:r>
                                    <w:rPr>
                                      <w:spacing w:val="-5"/>
                                      <w:sz w:val="16"/>
                                    </w:rPr>
                                    <w:t>60</w:t>
                                  </w:r>
                                </w:p>
                              </w:tc>
                              <w:tc>
                                <w:tcPr>
                                  <w:tcW w:w="1134" w:type="dxa"/>
                                  <w:tcBorders>
                                    <w:top w:val="single" w:sz="4" w:space="0" w:color="000000"/>
                                    <w:bottom w:val="single" w:sz="4" w:space="0" w:color="000000"/>
                                  </w:tcBorders>
                                  <w:shd w:val="clear" w:color="auto" w:fill="CCEDFF"/>
                                </w:tcPr>
                                <w:p>
                                  <w:pPr>
                                    <w:pStyle w:val="TableParagraph"/>
                                    <w:spacing w:before="2"/>
                                    <w:rPr>
                                      <w:sz w:val="16"/>
                                    </w:rPr>
                                  </w:pPr>
                                </w:p>
                                <w:p>
                                  <w:pPr>
                                    <w:pStyle w:val="TableParagraph"/>
                                    <w:tabs>
                                      <w:tab w:pos="390" w:val="left" w:leader="none"/>
                                    </w:tabs>
                                    <w:ind w:left="31"/>
                                    <w:rPr>
                                      <w:sz w:val="16"/>
                                    </w:rPr>
                                  </w:pPr>
                                  <w:r>
                                    <w:rPr>
                                      <w:spacing w:val="-10"/>
                                      <w:sz w:val="16"/>
                                    </w:rPr>
                                    <w:t>$</w:t>
                                  </w:r>
                                  <w:r>
                                    <w:rPr>
                                      <w:sz w:val="16"/>
                                    </w:rPr>
                                    <w:tab/>
                                    <w:t>3,723</w:t>
                                  </w:r>
                                  <w:r>
                                    <w:rPr>
                                      <w:spacing w:val="60"/>
                                      <w:w w:val="150"/>
                                      <w:sz w:val="16"/>
                                    </w:rPr>
                                    <w:t> </w:t>
                                  </w:r>
                                  <w:r>
                                    <w:rPr>
                                      <w:spacing w:val="-10"/>
                                      <w:sz w:val="16"/>
                                    </w:rPr>
                                    <w:t>$</w:t>
                                  </w:r>
                                </w:p>
                              </w:tc>
                              <w:tc>
                                <w:tcPr>
                                  <w:tcW w:w="547" w:type="dxa"/>
                                  <w:tcBorders>
                                    <w:top w:val="single" w:sz="4" w:space="0" w:color="000000"/>
                                    <w:bottom w:val="single" w:sz="4" w:space="0" w:color="000000"/>
                                  </w:tcBorders>
                                  <w:shd w:val="clear" w:color="auto" w:fill="CCEDFF"/>
                                </w:tcPr>
                                <w:p>
                                  <w:pPr>
                                    <w:pStyle w:val="TableParagraph"/>
                                    <w:spacing w:before="2"/>
                                    <w:rPr>
                                      <w:sz w:val="16"/>
                                    </w:rPr>
                                  </w:pPr>
                                </w:p>
                                <w:p>
                                  <w:pPr>
                                    <w:pStyle w:val="TableParagraph"/>
                                    <w:ind w:right="88"/>
                                    <w:jc w:val="right"/>
                                    <w:rPr>
                                      <w:sz w:val="16"/>
                                    </w:rPr>
                                  </w:pPr>
                                  <w:r>
                                    <w:rPr>
                                      <w:spacing w:val="-5"/>
                                      <w:sz w:val="16"/>
                                    </w:rPr>
                                    <w:t>104</w:t>
                                  </w:r>
                                </w:p>
                              </w:tc>
                              <w:tc>
                                <w:tcPr>
                                  <w:tcW w:w="1134" w:type="dxa"/>
                                  <w:tcBorders>
                                    <w:top w:val="single" w:sz="4" w:space="0" w:color="000000"/>
                                    <w:bottom w:val="single" w:sz="4" w:space="0" w:color="000000"/>
                                  </w:tcBorders>
                                  <w:shd w:val="clear" w:color="auto" w:fill="CCEDFF"/>
                                </w:tcPr>
                                <w:p>
                                  <w:pPr>
                                    <w:pStyle w:val="TableParagraph"/>
                                    <w:spacing w:before="2"/>
                                    <w:rPr>
                                      <w:sz w:val="16"/>
                                    </w:rPr>
                                  </w:pPr>
                                </w:p>
                                <w:p>
                                  <w:pPr>
                                    <w:pStyle w:val="TableParagraph"/>
                                    <w:tabs>
                                      <w:tab w:pos="389" w:val="left" w:leader="none"/>
                                    </w:tabs>
                                    <w:ind w:left="30"/>
                                    <w:rPr>
                                      <w:sz w:val="16"/>
                                    </w:rPr>
                                  </w:pPr>
                                  <w:r>
                                    <w:rPr>
                                      <w:spacing w:val="-10"/>
                                      <w:sz w:val="16"/>
                                    </w:rPr>
                                    <w:t>$</w:t>
                                  </w:r>
                                  <w:r>
                                    <w:rPr>
                                      <w:sz w:val="16"/>
                                    </w:rPr>
                                    <w:tab/>
                                    <w:t>4,814</w:t>
                                  </w:r>
                                  <w:r>
                                    <w:rPr>
                                      <w:spacing w:val="60"/>
                                      <w:w w:val="150"/>
                                      <w:sz w:val="16"/>
                                    </w:rPr>
                                    <w:t> </w:t>
                                  </w:r>
                                  <w:r>
                                    <w:rPr>
                                      <w:spacing w:val="-10"/>
                                      <w:sz w:val="16"/>
                                    </w:rPr>
                                    <w:t>$</w:t>
                                  </w:r>
                                </w:p>
                              </w:tc>
                              <w:tc>
                                <w:tcPr>
                                  <w:tcW w:w="528" w:type="dxa"/>
                                  <w:tcBorders>
                                    <w:top w:val="single" w:sz="4" w:space="0" w:color="000000"/>
                                    <w:bottom w:val="single" w:sz="4" w:space="0" w:color="000000"/>
                                  </w:tcBorders>
                                  <w:shd w:val="clear" w:color="auto" w:fill="CCEDFF"/>
                                </w:tcPr>
                                <w:p>
                                  <w:pPr>
                                    <w:pStyle w:val="TableParagraph"/>
                                    <w:spacing w:before="2"/>
                                    <w:rPr>
                                      <w:sz w:val="16"/>
                                    </w:rPr>
                                  </w:pPr>
                                </w:p>
                                <w:p>
                                  <w:pPr>
                                    <w:pStyle w:val="TableParagraph"/>
                                    <w:ind w:left="143"/>
                                    <w:jc w:val="center"/>
                                    <w:rPr>
                                      <w:sz w:val="16"/>
                                    </w:rPr>
                                  </w:pPr>
                                  <w:r>
                                    <w:rPr>
                                      <w:spacing w:val="-5"/>
                                      <w:sz w:val="16"/>
                                    </w:rPr>
                                    <w:t>185</w:t>
                                  </w:r>
                                </w:p>
                              </w:tc>
                            </w:tr>
                            <w:tr>
                              <w:trPr>
                                <w:trHeight w:val="250" w:hRule="atLeast"/>
                              </w:trPr>
                              <w:tc>
                                <w:tcPr>
                                  <w:tcW w:w="3535" w:type="dxa"/>
                                  <w:tcBorders>
                                    <w:top w:val="single" w:sz="4" w:space="0" w:color="000000"/>
                                  </w:tcBorders>
                                </w:tcPr>
                                <w:p>
                                  <w:pPr>
                                    <w:pStyle w:val="TableParagraph"/>
                                    <w:spacing w:before="36"/>
                                    <w:ind w:left="52"/>
                                    <w:rPr>
                                      <w:sz w:val="16"/>
                                    </w:rPr>
                                  </w:pPr>
                                  <w:r>
                                    <w:rPr>
                                      <w:spacing w:val="-2"/>
                                      <w:sz w:val="16"/>
                                    </w:rPr>
                                    <w:t>Denominator</w:t>
                                  </w:r>
                                </w:p>
                              </w:tc>
                              <w:tc>
                                <w:tcPr>
                                  <w:tcW w:w="1198" w:type="dxa"/>
                                  <w:tcBorders>
                                    <w:top w:val="single" w:sz="4" w:space="0" w:color="000000"/>
                                  </w:tcBorders>
                                </w:tcPr>
                                <w:p>
                                  <w:pPr>
                                    <w:pStyle w:val="TableParagraph"/>
                                    <w:rPr>
                                      <w:sz w:val="16"/>
                                    </w:rPr>
                                  </w:pPr>
                                </w:p>
                              </w:tc>
                              <w:tc>
                                <w:tcPr>
                                  <w:tcW w:w="507" w:type="dxa"/>
                                  <w:tcBorders>
                                    <w:top w:val="single" w:sz="4" w:space="0" w:color="000000"/>
                                  </w:tcBorders>
                                </w:tcPr>
                                <w:p>
                                  <w:pPr>
                                    <w:pStyle w:val="TableParagraph"/>
                                    <w:rPr>
                                      <w:sz w:val="16"/>
                                    </w:rPr>
                                  </w:pPr>
                                </w:p>
                              </w:tc>
                              <w:tc>
                                <w:tcPr>
                                  <w:tcW w:w="1134" w:type="dxa"/>
                                  <w:tcBorders>
                                    <w:top w:val="single" w:sz="4" w:space="0" w:color="000000"/>
                                  </w:tcBorders>
                                </w:tcPr>
                                <w:p>
                                  <w:pPr>
                                    <w:pStyle w:val="TableParagraph"/>
                                    <w:rPr>
                                      <w:sz w:val="16"/>
                                    </w:rPr>
                                  </w:pPr>
                                </w:p>
                              </w:tc>
                              <w:tc>
                                <w:tcPr>
                                  <w:tcW w:w="547" w:type="dxa"/>
                                  <w:tcBorders>
                                    <w:top w:val="single" w:sz="4" w:space="0" w:color="000000"/>
                                  </w:tcBorders>
                                </w:tcPr>
                                <w:p>
                                  <w:pPr>
                                    <w:pStyle w:val="TableParagraph"/>
                                    <w:rPr>
                                      <w:sz w:val="16"/>
                                    </w:rPr>
                                  </w:pPr>
                                </w:p>
                              </w:tc>
                              <w:tc>
                                <w:tcPr>
                                  <w:tcW w:w="1134" w:type="dxa"/>
                                  <w:tcBorders>
                                    <w:top w:val="single" w:sz="4" w:space="0" w:color="000000"/>
                                  </w:tcBorders>
                                </w:tcPr>
                                <w:p>
                                  <w:pPr>
                                    <w:pStyle w:val="TableParagraph"/>
                                    <w:rPr>
                                      <w:sz w:val="16"/>
                                    </w:rPr>
                                  </w:pPr>
                                </w:p>
                              </w:tc>
                              <w:tc>
                                <w:tcPr>
                                  <w:tcW w:w="547" w:type="dxa"/>
                                  <w:tcBorders>
                                    <w:top w:val="single" w:sz="4" w:space="0" w:color="000000"/>
                                  </w:tcBorders>
                                </w:tcPr>
                                <w:p>
                                  <w:pPr>
                                    <w:pStyle w:val="TableParagraph"/>
                                    <w:rPr>
                                      <w:sz w:val="16"/>
                                    </w:rPr>
                                  </w:pPr>
                                </w:p>
                              </w:tc>
                              <w:tc>
                                <w:tcPr>
                                  <w:tcW w:w="1134" w:type="dxa"/>
                                  <w:tcBorders>
                                    <w:top w:val="single" w:sz="4" w:space="0" w:color="000000"/>
                                  </w:tcBorders>
                                </w:tcPr>
                                <w:p>
                                  <w:pPr>
                                    <w:pStyle w:val="TableParagraph"/>
                                    <w:rPr>
                                      <w:sz w:val="16"/>
                                    </w:rPr>
                                  </w:pPr>
                                </w:p>
                              </w:tc>
                              <w:tc>
                                <w:tcPr>
                                  <w:tcW w:w="528" w:type="dxa"/>
                                  <w:tcBorders>
                                    <w:top w:val="single" w:sz="4" w:space="0" w:color="000000"/>
                                  </w:tcBorders>
                                </w:tcPr>
                                <w:p>
                                  <w:pPr>
                                    <w:pStyle w:val="TableParagraph"/>
                                    <w:rPr>
                                      <w:sz w:val="16"/>
                                    </w:rPr>
                                  </w:pPr>
                                </w:p>
                              </w:tc>
                            </w:tr>
                            <w:tr>
                              <w:trPr>
                                <w:trHeight w:val="405" w:hRule="atLeast"/>
                              </w:trPr>
                              <w:tc>
                                <w:tcPr>
                                  <w:tcW w:w="3535" w:type="dxa"/>
                                  <w:shd w:val="clear" w:color="auto" w:fill="CCEDFF"/>
                                </w:tcPr>
                                <w:p>
                                  <w:pPr>
                                    <w:pStyle w:val="TableParagraph"/>
                                    <w:spacing w:line="208" w:lineRule="auto" w:before="50"/>
                                    <w:ind w:left="277"/>
                                    <w:rPr>
                                      <w:sz w:val="16"/>
                                    </w:rPr>
                                  </w:pPr>
                                  <w:r>
                                    <w:rPr>
                                      <w:sz w:val="16"/>
                                    </w:rPr>
                                    <w:t>Weighted-average</w:t>
                                  </w:r>
                                  <w:r>
                                    <w:rPr>
                                      <w:spacing w:val="-10"/>
                                      <w:sz w:val="16"/>
                                    </w:rPr>
                                    <w:t> </w:t>
                                  </w:r>
                                  <w:r>
                                    <w:rPr>
                                      <w:sz w:val="16"/>
                                    </w:rPr>
                                    <w:t>common</w:t>
                                  </w:r>
                                  <w:r>
                                    <w:rPr>
                                      <w:spacing w:val="-9"/>
                                      <w:sz w:val="16"/>
                                    </w:rPr>
                                    <w:t> </w:t>
                                  </w:r>
                                  <w:r>
                                    <w:rPr>
                                      <w:sz w:val="16"/>
                                    </w:rPr>
                                    <w:t>shares</w:t>
                                  </w:r>
                                  <w:r>
                                    <w:rPr>
                                      <w:spacing w:val="-10"/>
                                      <w:sz w:val="16"/>
                                    </w:rPr>
                                    <w:t> </w:t>
                                  </w:r>
                                  <w:r>
                                    <w:rPr>
                                      <w:sz w:val="16"/>
                                    </w:rPr>
                                    <w:t>outstanding</w:t>
                                  </w:r>
                                  <w:r>
                                    <w:rPr>
                                      <w:spacing w:val="-10"/>
                                      <w:sz w:val="16"/>
                                    </w:rPr>
                                    <w:t> </w:t>
                                  </w:r>
                                  <w:r>
                                    <w:rPr>
                                      <w:sz w:val="16"/>
                                    </w:rPr>
                                    <w:t>—</w:t>
                                  </w:r>
                                  <w:r>
                                    <w:rPr>
                                      <w:spacing w:val="40"/>
                                      <w:sz w:val="16"/>
                                    </w:rPr>
                                    <w:t> </w:t>
                                  </w:r>
                                  <w:r>
                                    <w:rPr>
                                      <w:spacing w:val="-2"/>
                                      <w:sz w:val="16"/>
                                    </w:rPr>
                                    <w:t>basic</w:t>
                                  </w:r>
                                </w:p>
                              </w:tc>
                              <w:tc>
                                <w:tcPr>
                                  <w:tcW w:w="1198" w:type="dxa"/>
                                  <w:shd w:val="clear" w:color="auto" w:fill="CCEDFF"/>
                                </w:tcPr>
                                <w:p>
                                  <w:pPr>
                                    <w:pStyle w:val="TableParagraph"/>
                                    <w:spacing w:before="7"/>
                                    <w:rPr>
                                      <w:sz w:val="16"/>
                                    </w:rPr>
                                  </w:pPr>
                                </w:p>
                                <w:p>
                                  <w:pPr>
                                    <w:pStyle w:val="TableParagraph"/>
                                    <w:ind w:left="275" w:right="277"/>
                                    <w:jc w:val="center"/>
                                    <w:rPr>
                                      <w:sz w:val="16"/>
                                    </w:rPr>
                                  </w:pPr>
                                  <w:r>
                                    <w:rPr>
                                      <w:spacing w:val="-2"/>
                                      <w:sz w:val="16"/>
                                    </w:rPr>
                                    <w:t>1,770</w:t>
                                  </w:r>
                                </w:p>
                              </w:tc>
                              <w:tc>
                                <w:tcPr>
                                  <w:tcW w:w="507" w:type="dxa"/>
                                  <w:shd w:val="clear" w:color="auto" w:fill="CCEDFF"/>
                                </w:tcPr>
                                <w:p>
                                  <w:pPr>
                                    <w:pStyle w:val="TableParagraph"/>
                                    <w:spacing w:before="7"/>
                                    <w:rPr>
                                      <w:sz w:val="16"/>
                                    </w:rPr>
                                  </w:pPr>
                                </w:p>
                                <w:p>
                                  <w:pPr>
                                    <w:pStyle w:val="TableParagraph"/>
                                    <w:ind w:left="170"/>
                                    <w:jc w:val="center"/>
                                    <w:rPr>
                                      <w:sz w:val="16"/>
                                    </w:rPr>
                                  </w:pPr>
                                  <w:r>
                                    <w:rPr>
                                      <w:spacing w:val="-5"/>
                                      <w:sz w:val="16"/>
                                    </w:rPr>
                                    <w:t>51</w:t>
                                  </w:r>
                                </w:p>
                              </w:tc>
                              <w:tc>
                                <w:tcPr>
                                  <w:tcW w:w="1134" w:type="dxa"/>
                                  <w:shd w:val="clear" w:color="auto" w:fill="CCEDFF"/>
                                </w:tcPr>
                                <w:p>
                                  <w:pPr>
                                    <w:pStyle w:val="TableParagraph"/>
                                    <w:spacing w:before="7"/>
                                    <w:rPr>
                                      <w:sz w:val="16"/>
                                    </w:rPr>
                                  </w:pPr>
                                </w:p>
                                <w:p>
                                  <w:pPr>
                                    <w:pStyle w:val="TableParagraph"/>
                                    <w:ind w:left="289" w:right="280"/>
                                    <w:jc w:val="center"/>
                                    <w:rPr>
                                      <w:sz w:val="16"/>
                                    </w:rPr>
                                  </w:pPr>
                                  <w:r>
                                    <w:rPr>
                                      <w:spacing w:val="-2"/>
                                      <w:sz w:val="16"/>
                                    </w:rPr>
                                    <w:t>1,827</w:t>
                                  </w:r>
                                </w:p>
                              </w:tc>
                              <w:tc>
                                <w:tcPr>
                                  <w:tcW w:w="547" w:type="dxa"/>
                                  <w:shd w:val="clear" w:color="auto" w:fill="CCEDFF"/>
                                </w:tcPr>
                                <w:p>
                                  <w:pPr>
                                    <w:pStyle w:val="TableParagraph"/>
                                    <w:spacing w:before="7"/>
                                    <w:rPr>
                                      <w:sz w:val="16"/>
                                    </w:rPr>
                                  </w:pPr>
                                </w:p>
                                <w:p>
                                  <w:pPr>
                                    <w:pStyle w:val="TableParagraph"/>
                                    <w:ind w:right="87"/>
                                    <w:jc w:val="right"/>
                                    <w:rPr>
                                      <w:sz w:val="16"/>
                                    </w:rPr>
                                  </w:pPr>
                                  <w:r>
                                    <w:rPr>
                                      <w:spacing w:val="-5"/>
                                      <w:sz w:val="16"/>
                                    </w:rPr>
                                    <w:t>60</w:t>
                                  </w:r>
                                </w:p>
                              </w:tc>
                              <w:tc>
                                <w:tcPr>
                                  <w:tcW w:w="1134" w:type="dxa"/>
                                  <w:shd w:val="clear" w:color="auto" w:fill="CCEDFF"/>
                                </w:tcPr>
                                <w:p>
                                  <w:pPr>
                                    <w:pStyle w:val="TableParagraph"/>
                                    <w:spacing w:before="7"/>
                                    <w:rPr>
                                      <w:sz w:val="16"/>
                                    </w:rPr>
                                  </w:pPr>
                                </w:p>
                                <w:p>
                                  <w:pPr>
                                    <w:pStyle w:val="TableParagraph"/>
                                    <w:ind w:left="289" w:right="282"/>
                                    <w:jc w:val="center"/>
                                    <w:rPr>
                                      <w:sz w:val="16"/>
                                    </w:rPr>
                                  </w:pPr>
                                  <w:r>
                                    <w:rPr>
                                      <w:spacing w:val="-2"/>
                                      <w:sz w:val="16"/>
                                    </w:rPr>
                                    <w:t>1,774</w:t>
                                  </w:r>
                                </w:p>
                              </w:tc>
                              <w:tc>
                                <w:tcPr>
                                  <w:tcW w:w="547" w:type="dxa"/>
                                  <w:shd w:val="clear" w:color="auto" w:fill="CCEDFF"/>
                                </w:tcPr>
                                <w:p>
                                  <w:pPr>
                                    <w:pStyle w:val="TableParagraph"/>
                                    <w:spacing w:before="7"/>
                                    <w:rPr>
                                      <w:sz w:val="16"/>
                                    </w:rPr>
                                  </w:pPr>
                                </w:p>
                                <w:p>
                                  <w:pPr>
                                    <w:pStyle w:val="TableParagraph"/>
                                    <w:ind w:right="88"/>
                                    <w:jc w:val="right"/>
                                    <w:rPr>
                                      <w:sz w:val="16"/>
                                    </w:rPr>
                                  </w:pPr>
                                  <w:r>
                                    <w:rPr>
                                      <w:spacing w:val="-5"/>
                                      <w:sz w:val="16"/>
                                    </w:rPr>
                                    <w:t>51</w:t>
                                  </w:r>
                                </w:p>
                              </w:tc>
                              <w:tc>
                                <w:tcPr>
                                  <w:tcW w:w="1134" w:type="dxa"/>
                                  <w:shd w:val="clear" w:color="auto" w:fill="CCEDFF"/>
                                </w:tcPr>
                                <w:p>
                                  <w:pPr>
                                    <w:pStyle w:val="TableParagraph"/>
                                    <w:spacing w:before="7"/>
                                    <w:rPr>
                                      <w:sz w:val="16"/>
                                    </w:rPr>
                                  </w:pPr>
                                </w:p>
                                <w:p>
                                  <w:pPr>
                                    <w:pStyle w:val="TableParagraph"/>
                                    <w:ind w:left="289" w:right="284"/>
                                    <w:jc w:val="center"/>
                                    <w:rPr>
                                      <w:sz w:val="16"/>
                                    </w:rPr>
                                  </w:pPr>
                                  <w:r>
                                    <w:rPr>
                                      <w:spacing w:val="-2"/>
                                      <w:sz w:val="16"/>
                                    </w:rPr>
                                    <w:t>1,819</w:t>
                                  </w:r>
                                </w:p>
                              </w:tc>
                              <w:tc>
                                <w:tcPr>
                                  <w:tcW w:w="528" w:type="dxa"/>
                                  <w:shd w:val="clear" w:color="auto" w:fill="CCEDFF"/>
                                </w:tcPr>
                                <w:p>
                                  <w:pPr>
                                    <w:pStyle w:val="TableParagraph"/>
                                    <w:spacing w:before="7"/>
                                    <w:rPr>
                                      <w:sz w:val="16"/>
                                    </w:rPr>
                                  </w:pPr>
                                </w:p>
                                <w:p>
                                  <w:pPr>
                                    <w:pStyle w:val="TableParagraph"/>
                                    <w:ind w:left="223"/>
                                    <w:jc w:val="center"/>
                                    <w:rPr>
                                      <w:sz w:val="16"/>
                                    </w:rPr>
                                  </w:pPr>
                                  <w:r>
                                    <w:rPr>
                                      <w:spacing w:val="-5"/>
                                      <w:sz w:val="16"/>
                                    </w:rPr>
                                    <w:t>73</w:t>
                                  </w:r>
                                </w:p>
                              </w:tc>
                            </w:tr>
                            <w:tr>
                              <w:trPr>
                                <w:trHeight w:val="255" w:hRule="atLeast"/>
                              </w:trPr>
                              <w:tc>
                                <w:tcPr>
                                  <w:tcW w:w="3535" w:type="dxa"/>
                                </w:tcPr>
                                <w:p>
                                  <w:pPr>
                                    <w:pStyle w:val="TableParagraph"/>
                                    <w:spacing w:before="41"/>
                                    <w:ind w:left="292"/>
                                    <w:rPr>
                                      <w:sz w:val="16"/>
                                    </w:rPr>
                                  </w:pPr>
                                  <w:r>
                                    <w:rPr>
                                      <w:sz w:val="16"/>
                                    </w:rPr>
                                    <w:t>Conversion</w:t>
                                  </w:r>
                                  <w:r>
                                    <w:rPr>
                                      <w:spacing w:val="-1"/>
                                      <w:sz w:val="16"/>
                                    </w:rPr>
                                    <w:t> </w:t>
                                  </w:r>
                                  <w:r>
                                    <w:rPr>
                                      <w:sz w:val="16"/>
                                    </w:rPr>
                                    <w:t>of nonvoting shares</w:t>
                                  </w:r>
                                  <w:r>
                                    <w:rPr>
                                      <w:spacing w:val="-2"/>
                                      <w:sz w:val="16"/>
                                    </w:rPr>
                                    <w:t> </w:t>
                                  </w:r>
                                  <w:r>
                                    <w:rPr>
                                      <w:sz w:val="16"/>
                                    </w:rPr>
                                    <w:t>to voting </w:t>
                                  </w:r>
                                  <w:r>
                                    <w:rPr>
                                      <w:spacing w:val="-2"/>
                                      <w:sz w:val="16"/>
                                    </w:rPr>
                                    <w:t>shares</w:t>
                                  </w:r>
                                </w:p>
                              </w:tc>
                              <w:tc>
                                <w:tcPr>
                                  <w:tcW w:w="1198" w:type="dxa"/>
                                </w:tcPr>
                                <w:p>
                                  <w:pPr>
                                    <w:pStyle w:val="TableParagraph"/>
                                    <w:spacing w:before="41"/>
                                    <w:ind w:left="275" w:right="80"/>
                                    <w:jc w:val="center"/>
                                    <w:rPr>
                                      <w:sz w:val="16"/>
                                    </w:rPr>
                                  </w:pPr>
                                  <w:r>
                                    <w:rPr>
                                      <w:spacing w:val="-5"/>
                                      <w:sz w:val="16"/>
                                    </w:rPr>
                                    <w:t>51</w:t>
                                  </w:r>
                                </w:p>
                              </w:tc>
                              <w:tc>
                                <w:tcPr>
                                  <w:tcW w:w="507" w:type="dxa"/>
                                </w:tcPr>
                                <w:p>
                                  <w:pPr>
                                    <w:pStyle w:val="TableParagraph"/>
                                    <w:spacing w:before="41"/>
                                    <w:ind w:left="170"/>
                                    <w:jc w:val="center"/>
                                    <w:rPr>
                                      <w:sz w:val="16"/>
                                    </w:rPr>
                                  </w:pPr>
                                  <w:r>
                                    <w:rPr>
                                      <w:spacing w:val="-10"/>
                                      <w:sz w:val="16"/>
                                    </w:rPr>
                                    <w:t>—</w:t>
                                  </w:r>
                                </w:p>
                              </w:tc>
                              <w:tc>
                                <w:tcPr>
                                  <w:tcW w:w="1134" w:type="dxa"/>
                                </w:tcPr>
                                <w:p>
                                  <w:pPr>
                                    <w:pStyle w:val="TableParagraph"/>
                                    <w:spacing w:before="41"/>
                                    <w:ind w:left="289" w:right="80"/>
                                    <w:jc w:val="center"/>
                                    <w:rPr>
                                      <w:sz w:val="16"/>
                                    </w:rPr>
                                  </w:pPr>
                                  <w:r>
                                    <w:rPr>
                                      <w:spacing w:val="-5"/>
                                      <w:sz w:val="16"/>
                                    </w:rPr>
                                    <w:t>60</w:t>
                                  </w:r>
                                </w:p>
                              </w:tc>
                              <w:tc>
                                <w:tcPr>
                                  <w:tcW w:w="547" w:type="dxa"/>
                                </w:tcPr>
                                <w:p>
                                  <w:pPr>
                                    <w:pStyle w:val="TableParagraph"/>
                                    <w:spacing w:before="41"/>
                                    <w:ind w:right="87"/>
                                    <w:jc w:val="right"/>
                                    <w:rPr>
                                      <w:sz w:val="16"/>
                                    </w:rPr>
                                  </w:pPr>
                                  <w:r>
                                    <w:rPr>
                                      <w:spacing w:val="-10"/>
                                      <w:sz w:val="16"/>
                                    </w:rPr>
                                    <w:t>—</w:t>
                                  </w:r>
                                </w:p>
                              </w:tc>
                              <w:tc>
                                <w:tcPr>
                                  <w:tcW w:w="1134" w:type="dxa"/>
                                </w:tcPr>
                                <w:p>
                                  <w:pPr>
                                    <w:pStyle w:val="TableParagraph"/>
                                    <w:spacing w:before="41"/>
                                    <w:ind w:left="289" w:right="82"/>
                                    <w:jc w:val="center"/>
                                    <w:rPr>
                                      <w:sz w:val="16"/>
                                    </w:rPr>
                                  </w:pPr>
                                  <w:r>
                                    <w:rPr>
                                      <w:spacing w:val="-5"/>
                                      <w:sz w:val="16"/>
                                    </w:rPr>
                                    <w:t>51</w:t>
                                  </w:r>
                                </w:p>
                              </w:tc>
                              <w:tc>
                                <w:tcPr>
                                  <w:tcW w:w="547" w:type="dxa"/>
                                </w:tcPr>
                                <w:p>
                                  <w:pPr>
                                    <w:pStyle w:val="TableParagraph"/>
                                    <w:spacing w:before="41"/>
                                    <w:ind w:right="88"/>
                                    <w:jc w:val="right"/>
                                    <w:rPr>
                                      <w:sz w:val="16"/>
                                    </w:rPr>
                                  </w:pPr>
                                  <w:r>
                                    <w:rPr>
                                      <w:spacing w:val="-10"/>
                                      <w:sz w:val="16"/>
                                    </w:rPr>
                                    <w:t>—</w:t>
                                  </w:r>
                                </w:p>
                              </w:tc>
                              <w:tc>
                                <w:tcPr>
                                  <w:tcW w:w="1134" w:type="dxa"/>
                                </w:tcPr>
                                <w:p>
                                  <w:pPr>
                                    <w:pStyle w:val="TableParagraph"/>
                                    <w:spacing w:before="41"/>
                                    <w:ind w:left="289" w:right="84"/>
                                    <w:jc w:val="center"/>
                                    <w:rPr>
                                      <w:sz w:val="16"/>
                                    </w:rPr>
                                  </w:pPr>
                                  <w:r>
                                    <w:rPr>
                                      <w:spacing w:val="-5"/>
                                      <w:sz w:val="16"/>
                                    </w:rPr>
                                    <w:t>73</w:t>
                                  </w:r>
                                </w:p>
                              </w:tc>
                              <w:tc>
                                <w:tcPr>
                                  <w:tcW w:w="528" w:type="dxa"/>
                                </w:tcPr>
                                <w:p>
                                  <w:pPr>
                                    <w:pStyle w:val="TableParagraph"/>
                                    <w:spacing w:before="41"/>
                                    <w:ind w:left="223"/>
                                    <w:jc w:val="center"/>
                                    <w:rPr>
                                      <w:sz w:val="16"/>
                                    </w:rPr>
                                  </w:pPr>
                                  <w:r>
                                    <w:rPr>
                                      <w:spacing w:val="-10"/>
                                      <w:sz w:val="16"/>
                                    </w:rPr>
                                    <w:t>—</w:t>
                                  </w:r>
                                </w:p>
                              </w:tc>
                            </w:tr>
                            <w:tr>
                              <w:trPr>
                                <w:trHeight w:val="400" w:hRule="atLeast"/>
                              </w:trPr>
                              <w:tc>
                                <w:tcPr>
                                  <w:tcW w:w="3535" w:type="dxa"/>
                                  <w:tcBorders>
                                    <w:bottom w:val="single" w:sz="4" w:space="0" w:color="000000"/>
                                  </w:tcBorders>
                                  <w:shd w:val="clear" w:color="auto" w:fill="CCEDFF"/>
                                </w:tcPr>
                                <w:p>
                                  <w:pPr>
                                    <w:pStyle w:val="TableParagraph"/>
                                    <w:spacing w:line="208" w:lineRule="auto" w:before="50"/>
                                    <w:ind w:left="292"/>
                                    <w:rPr>
                                      <w:sz w:val="16"/>
                                    </w:rPr>
                                  </w:pPr>
                                  <w:r>
                                    <w:rPr>
                                      <w:sz w:val="16"/>
                                    </w:rPr>
                                    <w:t>Common</w:t>
                                  </w:r>
                                  <w:r>
                                    <w:rPr>
                                      <w:spacing w:val="-6"/>
                                      <w:sz w:val="16"/>
                                    </w:rPr>
                                    <w:t> </w:t>
                                  </w:r>
                                  <w:r>
                                    <w:rPr>
                                      <w:sz w:val="16"/>
                                    </w:rPr>
                                    <w:t>stock</w:t>
                                  </w:r>
                                  <w:r>
                                    <w:rPr>
                                      <w:spacing w:val="-6"/>
                                      <w:sz w:val="16"/>
                                    </w:rPr>
                                    <w:t> </w:t>
                                  </w:r>
                                  <w:r>
                                    <w:rPr>
                                      <w:sz w:val="16"/>
                                    </w:rPr>
                                    <w:t>equivalent</w:t>
                                  </w:r>
                                  <w:r>
                                    <w:rPr>
                                      <w:spacing w:val="-6"/>
                                      <w:sz w:val="16"/>
                                    </w:rPr>
                                    <w:t> </w:t>
                                  </w:r>
                                  <w:r>
                                    <w:rPr>
                                      <w:sz w:val="16"/>
                                    </w:rPr>
                                    <w:t>shares</w:t>
                                  </w:r>
                                  <w:r>
                                    <w:rPr>
                                      <w:spacing w:val="-7"/>
                                      <w:sz w:val="16"/>
                                    </w:rPr>
                                    <w:t> </w:t>
                                  </w:r>
                                  <w:r>
                                    <w:rPr>
                                      <w:sz w:val="16"/>
                                    </w:rPr>
                                    <w:t>related</w:t>
                                  </w:r>
                                  <w:r>
                                    <w:rPr>
                                      <w:spacing w:val="-6"/>
                                      <w:sz w:val="16"/>
                                    </w:rPr>
                                    <w:t> </w:t>
                                  </w:r>
                                  <w:r>
                                    <w:rPr>
                                      <w:sz w:val="16"/>
                                    </w:rPr>
                                    <w:t>to</w:t>
                                  </w:r>
                                  <w:r>
                                    <w:rPr>
                                      <w:spacing w:val="-6"/>
                                      <w:sz w:val="16"/>
                                    </w:rPr>
                                    <w:t> </w:t>
                                  </w:r>
                                  <w:r>
                                    <w:rPr>
                                      <w:sz w:val="16"/>
                                    </w:rPr>
                                    <w:t>stock</w:t>
                                  </w:r>
                                  <w:r>
                                    <w:rPr>
                                      <w:spacing w:val="40"/>
                                      <w:sz w:val="16"/>
                                    </w:rPr>
                                    <w:t> </w:t>
                                  </w:r>
                                  <w:r>
                                    <w:rPr>
                                      <w:sz w:val="16"/>
                                    </w:rPr>
                                    <w:t>incentive</w:t>
                                  </w:r>
                                  <w:r>
                                    <w:rPr>
                                      <w:spacing w:val="-1"/>
                                      <w:sz w:val="16"/>
                                    </w:rPr>
                                    <w:t> </w:t>
                                  </w:r>
                                  <w:r>
                                    <w:rPr>
                                      <w:sz w:val="16"/>
                                    </w:rPr>
                                    <w:t>plans</w:t>
                                  </w:r>
                                </w:p>
                              </w:tc>
                              <w:tc>
                                <w:tcPr>
                                  <w:tcW w:w="1198" w:type="dxa"/>
                                  <w:tcBorders>
                                    <w:bottom w:val="single" w:sz="4" w:space="0" w:color="000000"/>
                                  </w:tcBorders>
                                  <w:shd w:val="clear" w:color="auto" w:fill="CCEDFF"/>
                                </w:tcPr>
                                <w:p>
                                  <w:pPr>
                                    <w:pStyle w:val="TableParagraph"/>
                                    <w:spacing w:before="7"/>
                                    <w:rPr>
                                      <w:sz w:val="16"/>
                                    </w:rPr>
                                  </w:pPr>
                                </w:p>
                                <w:p>
                                  <w:pPr>
                                    <w:pStyle w:val="TableParagraph"/>
                                    <w:ind w:left="277" w:right="2"/>
                                    <w:jc w:val="center"/>
                                    <w:rPr>
                                      <w:sz w:val="16"/>
                                    </w:rPr>
                                  </w:pPr>
                                  <w:r>
                                    <w:rPr>
                                      <w:spacing w:val="-10"/>
                                      <w:sz w:val="16"/>
                                    </w:rPr>
                                    <w:t>6</w:t>
                                  </w:r>
                                </w:p>
                              </w:tc>
                              <w:tc>
                                <w:tcPr>
                                  <w:tcW w:w="507" w:type="dxa"/>
                                  <w:tcBorders>
                                    <w:bottom w:val="single" w:sz="4" w:space="0" w:color="000000"/>
                                  </w:tcBorders>
                                  <w:shd w:val="clear" w:color="auto" w:fill="CCEDFF"/>
                                </w:tcPr>
                                <w:p>
                                  <w:pPr>
                                    <w:pStyle w:val="TableParagraph"/>
                                    <w:spacing w:before="7"/>
                                    <w:rPr>
                                      <w:sz w:val="16"/>
                                    </w:rPr>
                                  </w:pPr>
                                </w:p>
                                <w:p>
                                  <w:pPr>
                                    <w:pStyle w:val="TableParagraph"/>
                                    <w:ind w:left="170"/>
                                    <w:jc w:val="center"/>
                                    <w:rPr>
                                      <w:sz w:val="16"/>
                                    </w:rPr>
                                  </w:pPr>
                                  <w:r>
                                    <w:rPr>
                                      <w:spacing w:val="-10"/>
                                      <w:sz w:val="16"/>
                                    </w:rPr>
                                    <w:t>—</w:t>
                                  </w:r>
                                </w:p>
                              </w:tc>
                              <w:tc>
                                <w:tcPr>
                                  <w:tcW w:w="1134" w:type="dxa"/>
                                  <w:tcBorders>
                                    <w:bottom w:val="single" w:sz="4" w:space="0" w:color="000000"/>
                                  </w:tcBorders>
                                  <w:shd w:val="clear" w:color="auto" w:fill="CCEDFF"/>
                                </w:tcPr>
                                <w:p>
                                  <w:pPr>
                                    <w:pStyle w:val="TableParagraph"/>
                                    <w:spacing w:before="7"/>
                                    <w:rPr>
                                      <w:sz w:val="16"/>
                                    </w:rPr>
                                  </w:pPr>
                                </w:p>
                                <w:p>
                                  <w:pPr>
                                    <w:pStyle w:val="TableParagraph"/>
                                    <w:ind w:left="289"/>
                                    <w:jc w:val="center"/>
                                    <w:rPr>
                                      <w:sz w:val="16"/>
                                    </w:rPr>
                                  </w:pPr>
                                  <w:r>
                                    <w:rPr>
                                      <w:spacing w:val="-10"/>
                                      <w:sz w:val="16"/>
                                    </w:rPr>
                                    <w:t>8</w:t>
                                  </w:r>
                                </w:p>
                              </w:tc>
                              <w:tc>
                                <w:tcPr>
                                  <w:tcW w:w="547" w:type="dxa"/>
                                  <w:tcBorders>
                                    <w:bottom w:val="single" w:sz="4" w:space="0" w:color="000000"/>
                                  </w:tcBorders>
                                  <w:shd w:val="clear" w:color="auto" w:fill="CCEDFF"/>
                                </w:tcPr>
                                <w:p>
                                  <w:pPr>
                                    <w:pStyle w:val="TableParagraph"/>
                                    <w:spacing w:before="7"/>
                                    <w:rPr>
                                      <w:sz w:val="16"/>
                                    </w:rPr>
                                  </w:pPr>
                                </w:p>
                                <w:p>
                                  <w:pPr>
                                    <w:pStyle w:val="TableParagraph"/>
                                    <w:ind w:right="87"/>
                                    <w:jc w:val="right"/>
                                    <w:rPr>
                                      <w:sz w:val="16"/>
                                    </w:rPr>
                                  </w:pPr>
                                  <w:r>
                                    <w:rPr>
                                      <w:spacing w:val="-10"/>
                                      <w:sz w:val="16"/>
                                    </w:rPr>
                                    <w:t>—</w:t>
                                  </w:r>
                                </w:p>
                              </w:tc>
                              <w:tc>
                                <w:tcPr>
                                  <w:tcW w:w="1134" w:type="dxa"/>
                                  <w:tcBorders>
                                    <w:bottom w:val="single" w:sz="4" w:space="0" w:color="000000"/>
                                  </w:tcBorders>
                                  <w:shd w:val="clear" w:color="auto" w:fill="CCEDFF"/>
                                </w:tcPr>
                                <w:p>
                                  <w:pPr>
                                    <w:pStyle w:val="TableParagraph"/>
                                    <w:spacing w:before="7"/>
                                    <w:rPr>
                                      <w:sz w:val="16"/>
                                    </w:rPr>
                                  </w:pPr>
                                </w:p>
                                <w:p>
                                  <w:pPr>
                                    <w:pStyle w:val="TableParagraph"/>
                                    <w:ind w:left="289" w:right="2"/>
                                    <w:jc w:val="center"/>
                                    <w:rPr>
                                      <w:sz w:val="16"/>
                                    </w:rPr>
                                  </w:pPr>
                                  <w:r>
                                    <w:rPr>
                                      <w:spacing w:val="-10"/>
                                      <w:sz w:val="16"/>
                                    </w:rPr>
                                    <w:t>7</w:t>
                                  </w:r>
                                </w:p>
                              </w:tc>
                              <w:tc>
                                <w:tcPr>
                                  <w:tcW w:w="547" w:type="dxa"/>
                                  <w:tcBorders>
                                    <w:bottom w:val="single" w:sz="4" w:space="0" w:color="000000"/>
                                  </w:tcBorders>
                                  <w:shd w:val="clear" w:color="auto" w:fill="CCEDFF"/>
                                </w:tcPr>
                                <w:p>
                                  <w:pPr>
                                    <w:pStyle w:val="TableParagraph"/>
                                    <w:spacing w:before="7"/>
                                    <w:rPr>
                                      <w:sz w:val="16"/>
                                    </w:rPr>
                                  </w:pPr>
                                </w:p>
                                <w:p>
                                  <w:pPr>
                                    <w:pStyle w:val="TableParagraph"/>
                                    <w:ind w:right="88"/>
                                    <w:jc w:val="right"/>
                                    <w:rPr>
                                      <w:sz w:val="16"/>
                                    </w:rPr>
                                  </w:pPr>
                                  <w:r>
                                    <w:rPr>
                                      <w:spacing w:val="-10"/>
                                      <w:sz w:val="16"/>
                                    </w:rPr>
                                    <w:t>—</w:t>
                                  </w:r>
                                </w:p>
                              </w:tc>
                              <w:tc>
                                <w:tcPr>
                                  <w:tcW w:w="1134" w:type="dxa"/>
                                  <w:tcBorders>
                                    <w:bottom w:val="single" w:sz="4" w:space="0" w:color="000000"/>
                                  </w:tcBorders>
                                  <w:shd w:val="clear" w:color="auto" w:fill="CCEDFF"/>
                                </w:tcPr>
                                <w:p>
                                  <w:pPr>
                                    <w:pStyle w:val="TableParagraph"/>
                                    <w:spacing w:before="7"/>
                                    <w:rPr>
                                      <w:sz w:val="16"/>
                                    </w:rPr>
                                  </w:pPr>
                                </w:p>
                                <w:p>
                                  <w:pPr>
                                    <w:pStyle w:val="TableParagraph"/>
                                    <w:ind w:left="289" w:right="4"/>
                                    <w:jc w:val="center"/>
                                    <w:rPr>
                                      <w:sz w:val="16"/>
                                    </w:rPr>
                                  </w:pPr>
                                  <w:r>
                                    <w:rPr>
                                      <w:spacing w:val="-10"/>
                                      <w:sz w:val="16"/>
                                    </w:rPr>
                                    <w:t>9</w:t>
                                  </w:r>
                                </w:p>
                              </w:tc>
                              <w:tc>
                                <w:tcPr>
                                  <w:tcW w:w="528" w:type="dxa"/>
                                  <w:tcBorders>
                                    <w:bottom w:val="single" w:sz="4" w:space="0" w:color="000000"/>
                                  </w:tcBorders>
                                  <w:shd w:val="clear" w:color="auto" w:fill="CCEDFF"/>
                                </w:tcPr>
                                <w:p>
                                  <w:pPr>
                                    <w:pStyle w:val="TableParagraph"/>
                                    <w:spacing w:before="7"/>
                                    <w:rPr>
                                      <w:sz w:val="16"/>
                                    </w:rPr>
                                  </w:pPr>
                                </w:p>
                                <w:p>
                                  <w:pPr>
                                    <w:pStyle w:val="TableParagraph"/>
                                    <w:ind w:left="223"/>
                                    <w:jc w:val="center"/>
                                    <w:rPr>
                                      <w:sz w:val="16"/>
                                    </w:rPr>
                                  </w:pPr>
                                  <w:r>
                                    <w:rPr>
                                      <w:spacing w:val="-10"/>
                                      <w:sz w:val="16"/>
                                    </w:rPr>
                                    <w:t>—</w:t>
                                  </w:r>
                                </w:p>
                              </w:tc>
                            </w:tr>
                            <w:tr>
                              <w:trPr>
                                <w:trHeight w:val="395" w:hRule="atLeast"/>
                              </w:trPr>
                              <w:tc>
                                <w:tcPr>
                                  <w:tcW w:w="3535" w:type="dxa"/>
                                  <w:tcBorders>
                                    <w:top w:val="single" w:sz="4" w:space="0" w:color="000000"/>
                                    <w:bottom w:val="single" w:sz="4" w:space="0" w:color="000000"/>
                                  </w:tcBorders>
                                </w:tcPr>
                                <w:p>
                                  <w:pPr>
                                    <w:pStyle w:val="TableParagraph"/>
                                    <w:spacing w:line="208" w:lineRule="auto" w:before="45"/>
                                    <w:ind w:left="532" w:right="84"/>
                                    <w:rPr>
                                      <w:sz w:val="16"/>
                                    </w:rPr>
                                  </w:pPr>
                                  <w:r>
                                    <w:rPr>
                                      <w:sz w:val="16"/>
                                    </w:rPr>
                                    <w:t>Weighted-average</w:t>
                                  </w:r>
                                  <w:r>
                                    <w:rPr>
                                      <w:spacing w:val="-10"/>
                                      <w:sz w:val="16"/>
                                    </w:rPr>
                                    <w:t> </w:t>
                                  </w:r>
                                  <w:r>
                                    <w:rPr>
                                      <w:sz w:val="16"/>
                                    </w:rPr>
                                    <w:t>common</w:t>
                                  </w:r>
                                  <w:r>
                                    <w:rPr>
                                      <w:spacing w:val="-10"/>
                                      <w:sz w:val="16"/>
                                    </w:rPr>
                                    <w:t> </w:t>
                                  </w:r>
                                  <w:r>
                                    <w:rPr>
                                      <w:sz w:val="16"/>
                                    </w:rPr>
                                    <w:t>shares</w:t>
                                  </w:r>
                                  <w:r>
                                    <w:rPr>
                                      <w:spacing w:val="40"/>
                                      <w:sz w:val="16"/>
                                    </w:rPr>
                                    <w:t> </w:t>
                                  </w:r>
                                  <w:r>
                                    <w:rPr>
                                      <w:sz w:val="16"/>
                                    </w:rPr>
                                    <w:t>outstanding — diluted </w:t>
                                  </w:r>
                                  <w:r>
                                    <w:rPr>
                                      <w:sz w:val="16"/>
                                      <w:vertAlign w:val="superscript"/>
                                    </w:rPr>
                                    <w:t>(2)</w:t>
                                  </w:r>
                                </w:p>
                              </w:tc>
                              <w:tc>
                                <w:tcPr>
                                  <w:tcW w:w="1198" w:type="dxa"/>
                                  <w:tcBorders>
                                    <w:top w:val="single" w:sz="4" w:space="0" w:color="000000"/>
                                    <w:bottom w:val="single" w:sz="4" w:space="0" w:color="000000"/>
                                  </w:tcBorders>
                                </w:tcPr>
                                <w:p>
                                  <w:pPr>
                                    <w:pStyle w:val="TableParagraph"/>
                                    <w:spacing w:before="2"/>
                                    <w:rPr>
                                      <w:sz w:val="16"/>
                                    </w:rPr>
                                  </w:pPr>
                                </w:p>
                                <w:p>
                                  <w:pPr>
                                    <w:pStyle w:val="TableParagraph"/>
                                    <w:ind w:left="275" w:right="277"/>
                                    <w:jc w:val="center"/>
                                    <w:rPr>
                                      <w:sz w:val="16"/>
                                    </w:rPr>
                                  </w:pPr>
                                  <w:r>
                                    <w:rPr>
                                      <w:spacing w:val="-2"/>
                                      <w:sz w:val="16"/>
                                    </w:rPr>
                                    <w:t>1,827</w:t>
                                  </w:r>
                                </w:p>
                              </w:tc>
                              <w:tc>
                                <w:tcPr>
                                  <w:tcW w:w="507" w:type="dxa"/>
                                  <w:tcBorders>
                                    <w:top w:val="single" w:sz="4" w:space="0" w:color="000000"/>
                                    <w:bottom w:val="single" w:sz="4" w:space="0" w:color="000000"/>
                                  </w:tcBorders>
                                </w:tcPr>
                                <w:p>
                                  <w:pPr>
                                    <w:pStyle w:val="TableParagraph"/>
                                    <w:spacing w:before="2"/>
                                    <w:rPr>
                                      <w:sz w:val="16"/>
                                    </w:rPr>
                                  </w:pPr>
                                </w:p>
                                <w:p>
                                  <w:pPr>
                                    <w:pStyle w:val="TableParagraph"/>
                                    <w:ind w:left="170"/>
                                    <w:jc w:val="center"/>
                                    <w:rPr>
                                      <w:sz w:val="16"/>
                                    </w:rPr>
                                  </w:pPr>
                                  <w:r>
                                    <w:rPr>
                                      <w:spacing w:val="-5"/>
                                      <w:sz w:val="16"/>
                                    </w:rPr>
                                    <w:t>51</w:t>
                                  </w:r>
                                </w:p>
                              </w:tc>
                              <w:tc>
                                <w:tcPr>
                                  <w:tcW w:w="1134" w:type="dxa"/>
                                  <w:tcBorders>
                                    <w:top w:val="single" w:sz="4" w:space="0" w:color="000000"/>
                                    <w:bottom w:val="single" w:sz="4" w:space="0" w:color="000000"/>
                                  </w:tcBorders>
                                </w:tcPr>
                                <w:p>
                                  <w:pPr>
                                    <w:pStyle w:val="TableParagraph"/>
                                    <w:spacing w:before="2"/>
                                    <w:rPr>
                                      <w:sz w:val="16"/>
                                    </w:rPr>
                                  </w:pPr>
                                </w:p>
                                <w:p>
                                  <w:pPr>
                                    <w:pStyle w:val="TableParagraph"/>
                                    <w:ind w:left="289" w:right="280"/>
                                    <w:jc w:val="center"/>
                                    <w:rPr>
                                      <w:sz w:val="16"/>
                                    </w:rPr>
                                  </w:pPr>
                                  <w:r>
                                    <w:rPr>
                                      <w:spacing w:val="-2"/>
                                      <w:sz w:val="16"/>
                                    </w:rPr>
                                    <w:t>1,895</w:t>
                                  </w:r>
                                </w:p>
                              </w:tc>
                              <w:tc>
                                <w:tcPr>
                                  <w:tcW w:w="547" w:type="dxa"/>
                                  <w:tcBorders>
                                    <w:top w:val="single" w:sz="4" w:space="0" w:color="000000"/>
                                    <w:bottom w:val="single" w:sz="4" w:space="0" w:color="000000"/>
                                  </w:tcBorders>
                                </w:tcPr>
                                <w:p>
                                  <w:pPr>
                                    <w:pStyle w:val="TableParagraph"/>
                                    <w:spacing w:before="2"/>
                                    <w:rPr>
                                      <w:sz w:val="16"/>
                                    </w:rPr>
                                  </w:pPr>
                                </w:p>
                                <w:p>
                                  <w:pPr>
                                    <w:pStyle w:val="TableParagraph"/>
                                    <w:ind w:right="87"/>
                                    <w:jc w:val="right"/>
                                    <w:rPr>
                                      <w:sz w:val="16"/>
                                    </w:rPr>
                                  </w:pPr>
                                  <w:r>
                                    <w:rPr>
                                      <w:spacing w:val="-5"/>
                                      <w:sz w:val="16"/>
                                    </w:rPr>
                                    <w:t>60</w:t>
                                  </w:r>
                                </w:p>
                              </w:tc>
                              <w:tc>
                                <w:tcPr>
                                  <w:tcW w:w="1134" w:type="dxa"/>
                                  <w:tcBorders>
                                    <w:top w:val="single" w:sz="4" w:space="0" w:color="000000"/>
                                    <w:bottom w:val="single" w:sz="4" w:space="0" w:color="000000"/>
                                  </w:tcBorders>
                                </w:tcPr>
                                <w:p>
                                  <w:pPr>
                                    <w:pStyle w:val="TableParagraph"/>
                                    <w:spacing w:before="2"/>
                                    <w:rPr>
                                      <w:sz w:val="16"/>
                                    </w:rPr>
                                  </w:pPr>
                                </w:p>
                                <w:p>
                                  <w:pPr>
                                    <w:pStyle w:val="TableParagraph"/>
                                    <w:ind w:left="289" w:right="282"/>
                                    <w:jc w:val="center"/>
                                    <w:rPr>
                                      <w:sz w:val="16"/>
                                    </w:rPr>
                                  </w:pPr>
                                  <w:r>
                                    <w:rPr>
                                      <w:spacing w:val="-2"/>
                                      <w:sz w:val="16"/>
                                    </w:rPr>
                                    <w:t>1,832</w:t>
                                  </w:r>
                                </w:p>
                              </w:tc>
                              <w:tc>
                                <w:tcPr>
                                  <w:tcW w:w="547" w:type="dxa"/>
                                  <w:tcBorders>
                                    <w:top w:val="single" w:sz="4" w:space="0" w:color="000000"/>
                                    <w:bottom w:val="single" w:sz="4" w:space="0" w:color="000000"/>
                                  </w:tcBorders>
                                </w:tcPr>
                                <w:p>
                                  <w:pPr>
                                    <w:pStyle w:val="TableParagraph"/>
                                    <w:spacing w:before="2"/>
                                    <w:rPr>
                                      <w:sz w:val="16"/>
                                    </w:rPr>
                                  </w:pPr>
                                </w:p>
                                <w:p>
                                  <w:pPr>
                                    <w:pStyle w:val="TableParagraph"/>
                                    <w:ind w:right="88"/>
                                    <w:jc w:val="right"/>
                                    <w:rPr>
                                      <w:sz w:val="16"/>
                                    </w:rPr>
                                  </w:pPr>
                                  <w:r>
                                    <w:rPr>
                                      <w:spacing w:val="-5"/>
                                      <w:sz w:val="16"/>
                                    </w:rPr>
                                    <w:t>51</w:t>
                                  </w:r>
                                </w:p>
                              </w:tc>
                              <w:tc>
                                <w:tcPr>
                                  <w:tcW w:w="1134" w:type="dxa"/>
                                  <w:tcBorders>
                                    <w:top w:val="single" w:sz="4" w:space="0" w:color="000000"/>
                                    <w:bottom w:val="single" w:sz="4" w:space="0" w:color="000000"/>
                                  </w:tcBorders>
                                </w:tcPr>
                                <w:p>
                                  <w:pPr>
                                    <w:pStyle w:val="TableParagraph"/>
                                    <w:spacing w:before="2"/>
                                    <w:rPr>
                                      <w:sz w:val="16"/>
                                    </w:rPr>
                                  </w:pPr>
                                </w:p>
                                <w:p>
                                  <w:pPr>
                                    <w:pStyle w:val="TableParagraph"/>
                                    <w:ind w:left="289" w:right="284"/>
                                    <w:jc w:val="center"/>
                                    <w:rPr>
                                      <w:sz w:val="16"/>
                                    </w:rPr>
                                  </w:pPr>
                                  <w:r>
                                    <w:rPr>
                                      <w:spacing w:val="-2"/>
                                      <w:sz w:val="16"/>
                                    </w:rPr>
                                    <w:t>1,901</w:t>
                                  </w:r>
                                </w:p>
                              </w:tc>
                              <w:tc>
                                <w:tcPr>
                                  <w:tcW w:w="528" w:type="dxa"/>
                                  <w:tcBorders>
                                    <w:top w:val="single" w:sz="4" w:space="0" w:color="000000"/>
                                    <w:bottom w:val="single" w:sz="4" w:space="0" w:color="000000"/>
                                  </w:tcBorders>
                                </w:tcPr>
                                <w:p>
                                  <w:pPr>
                                    <w:pStyle w:val="TableParagraph"/>
                                    <w:spacing w:before="2"/>
                                    <w:rPr>
                                      <w:sz w:val="16"/>
                                    </w:rPr>
                                  </w:pPr>
                                </w:p>
                                <w:p>
                                  <w:pPr>
                                    <w:pStyle w:val="TableParagraph"/>
                                    <w:ind w:left="223"/>
                                    <w:jc w:val="center"/>
                                    <w:rPr>
                                      <w:sz w:val="16"/>
                                    </w:rPr>
                                  </w:pPr>
                                  <w:r>
                                    <w:rPr>
                                      <w:spacing w:val="-5"/>
                                      <w:sz w:val="16"/>
                                    </w:rPr>
                                    <w:t>73</w:t>
                                  </w:r>
                                </w:p>
                              </w:tc>
                            </w:tr>
                            <w:tr>
                              <w:trPr>
                                <w:trHeight w:val="220" w:hRule="atLeast"/>
                              </w:trPr>
                              <w:tc>
                                <w:tcPr>
                                  <w:tcW w:w="3535" w:type="dxa"/>
                                  <w:tcBorders>
                                    <w:top w:val="single" w:sz="4" w:space="0" w:color="000000"/>
                                    <w:bottom w:val="double" w:sz="8" w:space="0" w:color="000000"/>
                                  </w:tcBorders>
                                  <w:shd w:val="clear" w:color="auto" w:fill="CCEDFF"/>
                                </w:tcPr>
                                <w:p>
                                  <w:pPr>
                                    <w:pStyle w:val="TableParagraph"/>
                                    <w:spacing w:line="164" w:lineRule="exact" w:before="36"/>
                                    <w:ind w:left="52"/>
                                    <w:rPr>
                                      <w:sz w:val="16"/>
                                    </w:rPr>
                                  </w:pPr>
                                  <w:r>
                                    <w:rPr>
                                      <w:sz w:val="16"/>
                                    </w:rPr>
                                    <w:t>Diluted</w:t>
                                  </w:r>
                                  <w:r>
                                    <w:rPr>
                                      <w:spacing w:val="-1"/>
                                      <w:sz w:val="16"/>
                                    </w:rPr>
                                    <w:t> </w:t>
                                  </w:r>
                                  <w:r>
                                    <w:rPr>
                                      <w:sz w:val="16"/>
                                    </w:rPr>
                                    <w:t>earnings</w:t>
                                  </w:r>
                                  <w:r>
                                    <w:rPr>
                                      <w:spacing w:val="-1"/>
                                      <w:sz w:val="16"/>
                                    </w:rPr>
                                    <w:t> </w:t>
                                  </w:r>
                                  <w:r>
                                    <w:rPr>
                                      <w:sz w:val="16"/>
                                    </w:rPr>
                                    <w:t>per </w:t>
                                  </w:r>
                                  <w:r>
                                    <w:rPr>
                                      <w:spacing w:val="-2"/>
                                      <w:sz w:val="16"/>
                                    </w:rPr>
                                    <w:t>share</w:t>
                                  </w:r>
                                </w:p>
                              </w:tc>
                              <w:tc>
                                <w:tcPr>
                                  <w:tcW w:w="1198" w:type="dxa"/>
                                  <w:tcBorders>
                                    <w:top w:val="single" w:sz="4" w:space="0" w:color="000000"/>
                                    <w:bottom w:val="double" w:sz="8" w:space="0" w:color="000000"/>
                                  </w:tcBorders>
                                  <w:shd w:val="clear" w:color="auto" w:fill="CCEDFF"/>
                                </w:tcPr>
                                <w:p>
                                  <w:pPr>
                                    <w:pStyle w:val="TableParagraph"/>
                                    <w:tabs>
                                      <w:tab w:pos="576" w:val="left" w:leader="none"/>
                                    </w:tabs>
                                    <w:spacing w:line="164" w:lineRule="exact" w:before="36"/>
                                    <w:ind w:left="57"/>
                                    <w:rPr>
                                      <w:sz w:val="16"/>
                                    </w:rPr>
                                  </w:pPr>
                                  <w:r>
                                    <w:rPr>
                                      <w:spacing w:val="-10"/>
                                      <w:sz w:val="16"/>
                                    </w:rPr>
                                    <w:t>$</w:t>
                                  </w:r>
                                  <w:r>
                                    <w:rPr>
                                      <w:sz w:val="16"/>
                                    </w:rPr>
                                    <w:tab/>
                                    <w:t>.56</w:t>
                                  </w:r>
                                  <w:r>
                                    <w:rPr>
                                      <w:spacing w:val="60"/>
                                      <w:w w:val="150"/>
                                      <w:sz w:val="16"/>
                                    </w:rPr>
                                    <w:t> </w:t>
                                  </w:r>
                                  <w:r>
                                    <w:rPr>
                                      <w:spacing w:val="-10"/>
                                      <w:sz w:val="16"/>
                                    </w:rPr>
                                    <w:t>$</w:t>
                                  </w:r>
                                </w:p>
                              </w:tc>
                              <w:tc>
                                <w:tcPr>
                                  <w:tcW w:w="507" w:type="dxa"/>
                                  <w:tcBorders>
                                    <w:top w:val="single" w:sz="4" w:space="0" w:color="000000"/>
                                    <w:bottom w:val="double" w:sz="8" w:space="0" w:color="000000"/>
                                  </w:tcBorders>
                                  <w:shd w:val="clear" w:color="auto" w:fill="CCEDFF"/>
                                </w:tcPr>
                                <w:p>
                                  <w:pPr>
                                    <w:pStyle w:val="TableParagraph"/>
                                    <w:spacing w:line="164" w:lineRule="exact" w:before="36"/>
                                    <w:ind w:left="130"/>
                                    <w:jc w:val="center"/>
                                    <w:rPr>
                                      <w:sz w:val="16"/>
                                    </w:rPr>
                                  </w:pPr>
                                  <w:r>
                                    <w:rPr>
                                      <w:spacing w:val="-5"/>
                                      <w:sz w:val="16"/>
                                    </w:rPr>
                                    <w:t>.56</w:t>
                                  </w:r>
                                </w:p>
                              </w:tc>
                              <w:tc>
                                <w:tcPr>
                                  <w:tcW w:w="1134" w:type="dxa"/>
                                  <w:tcBorders>
                                    <w:top w:val="single" w:sz="4" w:space="0" w:color="000000"/>
                                    <w:bottom w:val="double" w:sz="8" w:space="0" w:color="000000"/>
                                  </w:tcBorders>
                                  <w:shd w:val="clear" w:color="auto" w:fill="CCEDFF"/>
                                </w:tcPr>
                                <w:p>
                                  <w:pPr>
                                    <w:pStyle w:val="TableParagraph"/>
                                    <w:tabs>
                                      <w:tab w:pos="551" w:val="left" w:leader="none"/>
                                    </w:tabs>
                                    <w:spacing w:line="164" w:lineRule="exact" w:before="36"/>
                                    <w:ind w:left="32"/>
                                    <w:rPr>
                                      <w:sz w:val="16"/>
                                    </w:rPr>
                                  </w:pPr>
                                  <w:r>
                                    <w:rPr>
                                      <w:spacing w:val="-10"/>
                                      <w:sz w:val="16"/>
                                    </w:rPr>
                                    <w:t>$</w:t>
                                  </w:r>
                                  <w:r>
                                    <w:rPr>
                                      <w:sz w:val="16"/>
                                    </w:rPr>
                                    <w:tab/>
                                    <w:t>.99</w:t>
                                  </w:r>
                                  <w:r>
                                    <w:rPr>
                                      <w:spacing w:val="60"/>
                                      <w:w w:val="150"/>
                                      <w:sz w:val="16"/>
                                    </w:rPr>
                                    <w:t> </w:t>
                                  </w:r>
                                  <w:r>
                                    <w:rPr>
                                      <w:spacing w:val="-10"/>
                                      <w:sz w:val="16"/>
                                    </w:rPr>
                                    <w:t>$</w:t>
                                  </w:r>
                                </w:p>
                              </w:tc>
                              <w:tc>
                                <w:tcPr>
                                  <w:tcW w:w="547" w:type="dxa"/>
                                  <w:tcBorders>
                                    <w:top w:val="single" w:sz="4" w:space="0" w:color="000000"/>
                                    <w:bottom w:val="double" w:sz="8" w:space="0" w:color="000000"/>
                                  </w:tcBorders>
                                  <w:shd w:val="clear" w:color="auto" w:fill="CCEDFF"/>
                                </w:tcPr>
                                <w:p>
                                  <w:pPr>
                                    <w:pStyle w:val="TableParagraph"/>
                                    <w:spacing w:line="164" w:lineRule="exact" w:before="36"/>
                                    <w:ind w:right="87"/>
                                    <w:jc w:val="right"/>
                                    <w:rPr>
                                      <w:sz w:val="16"/>
                                    </w:rPr>
                                  </w:pPr>
                                  <w:r>
                                    <w:rPr>
                                      <w:spacing w:val="-5"/>
                                      <w:sz w:val="16"/>
                                    </w:rPr>
                                    <w:t>.99</w:t>
                                  </w:r>
                                </w:p>
                              </w:tc>
                              <w:tc>
                                <w:tcPr>
                                  <w:tcW w:w="1134" w:type="dxa"/>
                                  <w:tcBorders>
                                    <w:top w:val="single" w:sz="4" w:space="0" w:color="000000"/>
                                    <w:bottom w:val="double" w:sz="8" w:space="0" w:color="000000"/>
                                  </w:tcBorders>
                                  <w:shd w:val="clear" w:color="auto" w:fill="CCEDFF"/>
                                </w:tcPr>
                                <w:p>
                                  <w:pPr>
                                    <w:pStyle w:val="TableParagraph"/>
                                    <w:tabs>
                                      <w:tab w:pos="470" w:val="left" w:leader="none"/>
                                    </w:tabs>
                                    <w:spacing w:line="164" w:lineRule="exact" w:before="36"/>
                                    <w:ind w:left="31"/>
                                    <w:rPr>
                                      <w:sz w:val="16"/>
                                    </w:rPr>
                                  </w:pPr>
                                  <w:r>
                                    <w:rPr>
                                      <w:spacing w:val="-10"/>
                                      <w:sz w:val="16"/>
                                    </w:rPr>
                                    <w:t>$</w:t>
                                  </w:r>
                                  <w:r>
                                    <w:rPr>
                                      <w:sz w:val="16"/>
                                    </w:rPr>
                                    <w:tab/>
                                    <w:t>2.03</w:t>
                                  </w:r>
                                  <w:r>
                                    <w:rPr>
                                      <w:spacing w:val="60"/>
                                      <w:w w:val="150"/>
                                      <w:sz w:val="16"/>
                                    </w:rPr>
                                    <w:t> </w:t>
                                  </w:r>
                                  <w:r>
                                    <w:rPr>
                                      <w:spacing w:val="-10"/>
                                      <w:sz w:val="16"/>
                                    </w:rPr>
                                    <w:t>$</w:t>
                                  </w:r>
                                </w:p>
                              </w:tc>
                              <w:tc>
                                <w:tcPr>
                                  <w:tcW w:w="547" w:type="dxa"/>
                                  <w:tcBorders>
                                    <w:top w:val="single" w:sz="4" w:space="0" w:color="000000"/>
                                    <w:bottom w:val="double" w:sz="8" w:space="0" w:color="000000"/>
                                  </w:tcBorders>
                                  <w:shd w:val="clear" w:color="auto" w:fill="CCEDFF"/>
                                </w:tcPr>
                                <w:p>
                                  <w:pPr>
                                    <w:pStyle w:val="TableParagraph"/>
                                    <w:spacing w:line="164" w:lineRule="exact" w:before="36"/>
                                    <w:ind w:right="88"/>
                                    <w:jc w:val="right"/>
                                    <w:rPr>
                                      <w:sz w:val="16"/>
                                    </w:rPr>
                                  </w:pPr>
                                  <w:r>
                                    <w:rPr>
                                      <w:spacing w:val="-4"/>
                                      <w:sz w:val="16"/>
                                    </w:rPr>
                                    <w:t>2.03</w:t>
                                  </w:r>
                                </w:p>
                              </w:tc>
                              <w:tc>
                                <w:tcPr>
                                  <w:tcW w:w="1134" w:type="dxa"/>
                                  <w:tcBorders>
                                    <w:top w:val="single" w:sz="4" w:space="0" w:color="000000"/>
                                    <w:bottom w:val="double" w:sz="8" w:space="0" w:color="000000"/>
                                  </w:tcBorders>
                                  <w:shd w:val="clear" w:color="auto" w:fill="CCEDFF"/>
                                </w:tcPr>
                                <w:p>
                                  <w:pPr>
                                    <w:pStyle w:val="TableParagraph"/>
                                    <w:tabs>
                                      <w:tab w:pos="469" w:val="left" w:leader="none"/>
                                    </w:tabs>
                                    <w:spacing w:line="164" w:lineRule="exact" w:before="36"/>
                                    <w:ind w:left="30"/>
                                    <w:rPr>
                                      <w:sz w:val="16"/>
                                    </w:rPr>
                                  </w:pPr>
                                  <w:r>
                                    <w:rPr>
                                      <w:spacing w:val="-10"/>
                                      <w:sz w:val="16"/>
                                    </w:rPr>
                                    <w:t>$</w:t>
                                  </w:r>
                                  <w:r>
                                    <w:rPr>
                                      <w:sz w:val="16"/>
                                    </w:rPr>
                                    <w:tab/>
                                    <w:t>2.53</w:t>
                                  </w:r>
                                  <w:r>
                                    <w:rPr>
                                      <w:spacing w:val="60"/>
                                      <w:w w:val="150"/>
                                      <w:sz w:val="16"/>
                                    </w:rPr>
                                    <w:t> </w:t>
                                  </w:r>
                                  <w:r>
                                    <w:rPr>
                                      <w:spacing w:val="-10"/>
                                      <w:sz w:val="16"/>
                                    </w:rPr>
                                    <w:t>$</w:t>
                                  </w:r>
                                </w:p>
                              </w:tc>
                              <w:tc>
                                <w:tcPr>
                                  <w:tcW w:w="528" w:type="dxa"/>
                                  <w:tcBorders>
                                    <w:top w:val="single" w:sz="4" w:space="0" w:color="000000"/>
                                    <w:bottom w:val="double" w:sz="8" w:space="0" w:color="000000"/>
                                  </w:tcBorders>
                                  <w:shd w:val="clear" w:color="auto" w:fill="CCEDFF"/>
                                </w:tcPr>
                                <w:p>
                                  <w:pPr>
                                    <w:pStyle w:val="TableParagraph"/>
                                    <w:spacing w:line="164" w:lineRule="exact" w:before="36"/>
                                    <w:ind w:left="103"/>
                                    <w:jc w:val="center"/>
                                    <w:rPr>
                                      <w:sz w:val="16"/>
                                    </w:rPr>
                                  </w:pPr>
                                  <w:r>
                                    <w:rPr>
                                      <w:spacing w:val="-4"/>
                                      <w:sz w:val="16"/>
                                    </w:rPr>
                                    <w:t>2.53</w:t>
                                  </w:r>
                                </w:p>
                              </w:tc>
                            </w:tr>
                          </w:tbl>
                          <w:p>
                            <w:pPr>
                              <w:pStyle w:val="BodyText"/>
                            </w:pPr>
                          </w:p>
                        </w:txbxContent>
                      </wps:txbx>
                      <wps:bodyPr wrap="square" lIns="0" tIns="0" rIns="0" bIns="0" rtlCol="0">
                        <a:noAutofit/>
                      </wps:bodyPr>
                    </wps:wsp>
                  </a:graphicData>
                </a:graphic>
              </wp:anchor>
            </w:drawing>
          </mc:Choice>
          <mc:Fallback>
            <w:pict>
              <v:shape style="position:absolute;margin-left:46.5pt;margin-top:23.476112pt;width:519pt;height:270.75pt;mso-position-horizontal-relative:page;mso-position-vertical-relative:paragraph;z-index:15778304" type="#_x0000_t202" id="docshape49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5"/>
                        <w:gridCol w:w="1198"/>
                        <w:gridCol w:w="507"/>
                        <w:gridCol w:w="1134"/>
                        <w:gridCol w:w="547"/>
                        <w:gridCol w:w="1134"/>
                        <w:gridCol w:w="547"/>
                        <w:gridCol w:w="1134"/>
                        <w:gridCol w:w="528"/>
                      </w:tblGrid>
                      <w:tr>
                        <w:trPr>
                          <w:trHeight w:val="255" w:hRule="atLeast"/>
                        </w:trPr>
                        <w:tc>
                          <w:tcPr>
                            <w:tcW w:w="3535" w:type="dxa"/>
                            <w:shd w:val="clear" w:color="auto" w:fill="CCEDFF"/>
                          </w:tcPr>
                          <w:p>
                            <w:pPr>
                              <w:pStyle w:val="TableParagraph"/>
                              <w:spacing w:before="41"/>
                              <w:ind w:left="292"/>
                              <w:rPr>
                                <w:sz w:val="16"/>
                              </w:rPr>
                            </w:pPr>
                            <w:r>
                              <w:rPr>
                                <w:sz w:val="16"/>
                              </w:rPr>
                              <w:t>Net</w:t>
                            </w:r>
                            <w:r>
                              <w:rPr>
                                <w:spacing w:val="-1"/>
                                <w:sz w:val="16"/>
                              </w:rPr>
                              <w:t> </w:t>
                            </w:r>
                            <w:r>
                              <w:rPr>
                                <w:spacing w:val="-2"/>
                                <w:sz w:val="16"/>
                              </w:rPr>
                              <w:t>income</w:t>
                            </w:r>
                          </w:p>
                        </w:tc>
                        <w:tc>
                          <w:tcPr>
                            <w:tcW w:w="1198" w:type="dxa"/>
                            <w:shd w:val="clear" w:color="auto" w:fill="CCEDFF"/>
                          </w:tcPr>
                          <w:p>
                            <w:pPr>
                              <w:pStyle w:val="TableParagraph"/>
                              <w:tabs>
                                <w:tab w:pos="416" w:val="left" w:leader="none"/>
                              </w:tabs>
                              <w:spacing w:before="41"/>
                              <w:ind w:left="57"/>
                              <w:rPr>
                                <w:sz w:val="16"/>
                              </w:rPr>
                            </w:pPr>
                            <w:r>
                              <w:rPr>
                                <w:spacing w:val="-10"/>
                                <w:sz w:val="16"/>
                              </w:rPr>
                              <w:t>$</w:t>
                            </w:r>
                            <w:r>
                              <w:rPr>
                                <w:sz w:val="16"/>
                              </w:rPr>
                              <w:tab/>
                              <w:t>1,094</w:t>
                            </w:r>
                            <w:r>
                              <w:rPr>
                                <w:spacing w:val="60"/>
                                <w:w w:val="150"/>
                                <w:sz w:val="16"/>
                              </w:rPr>
                              <w:t> </w:t>
                            </w:r>
                            <w:r>
                              <w:rPr>
                                <w:spacing w:val="-10"/>
                                <w:sz w:val="16"/>
                              </w:rPr>
                              <w:t>$</w:t>
                            </w:r>
                          </w:p>
                        </w:tc>
                        <w:tc>
                          <w:tcPr>
                            <w:tcW w:w="507" w:type="dxa"/>
                            <w:shd w:val="clear" w:color="auto" w:fill="CCEDFF"/>
                          </w:tcPr>
                          <w:p>
                            <w:pPr>
                              <w:pStyle w:val="TableParagraph"/>
                              <w:spacing w:before="41"/>
                              <w:ind w:left="170"/>
                              <w:jc w:val="center"/>
                              <w:rPr>
                                <w:sz w:val="16"/>
                              </w:rPr>
                            </w:pPr>
                            <w:r>
                              <w:rPr>
                                <w:spacing w:val="-5"/>
                                <w:sz w:val="16"/>
                              </w:rPr>
                              <w:t>31</w:t>
                            </w:r>
                          </w:p>
                        </w:tc>
                        <w:tc>
                          <w:tcPr>
                            <w:tcW w:w="1134" w:type="dxa"/>
                            <w:shd w:val="clear" w:color="auto" w:fill="CCEDFF"/>
                          </w:tcPr>
                          <w:p>
                            <w:pPr>
                              <w:pStyle w:val="TableParagraph"/>
                              <w:tabs>
                                <w:tab w:pos="391" w:val="left" w:leader="none"/>
                              </w:tabs>
                              <w:spacing w:before="41"/>
                              <w:ind w:left="32"/>
                              <w:rPr>
                                <w:sz w:val="16"/>
                              </w:rPr>
                            </w:pPr>
                            <w:r>
                              <w:rPr>
                                <w:spacing w:val="-10"/>
                                <w:sz w:val="16"/>
                              </w:rPr>
                              <w:t>$</w:t>
                            </w:r>
                            <w:r>
                              <w:rPr>
                                <w:sz w:val="16"/>
                              </w:rPr>
                              <w:tab/>
                              <w:t>1,956</w:t>
                            </w:r>
                            <w:r>
                              <w:rPr>
                                <w:spacing w:val="60"/>
                                <w:w w:val="150"/>
                                <w:sz w:val="16"/>
                              </w:rPr>
                              <w:t> </w:t>
                            </w:r>
                            <w:r>
                              <w:rPr>
                                <w:spacing w:val="-10"/>
                                <w:sz w:val="16"/>
                              </w:rPr>
                              <w:t>$</w:t>
                            </w:r>
                          </w:p>
                        </w:tc>
                        <w:tc>
                          <w:tcPr>
                            <w:tcW w:w="547" w:type="dxa"/>
                            <w:shd w:val="clear" w:color="auto" w:fill="CCEDFF"/>
                          </w:tcPr>
                          <w:p>
                            <w:pPr>
                              <w:pStyle w:val="TableParagraph"/>
                              <w:spacing w:before="41"/>
                              <w:ind w:right="87"/>
                              <w:jc w:val="right"/>
                              <w:rPr>
                                <w:sz w:val="16"/>
                              </w:rPr>
                            </w:pPr>
                            <w:r>
                              <w:rPr>
                                <w:spacing w:val="-5"/>
                                <w:sz w:val="16"/>
                              </w:rPr>
                              <w:t>64</w:t>
                            </w:r>
                          </w:p>
                        </w:tc>
                        <w:tc>
                          <w:tcPr>
                            <w:tcW w:w="1134" w:type="dxa"/>
                            <w:shd w:val="clear" w:color="auto" w:fill="CCEDFF"/>
                          </w:tcPr>
                          <w:p>
                            <w:pPr>
                              <w:pStyle w:val="TableParagraph"/>
                              <w:tabs>
                                <w:tab w:pos="390" w:val="left" w:leader="none"/>
                              </w:tabs>
                              <w:spacing w:before="41"/>
                              <w:ind w:left="31"/>
                              <w:rPr>
                                <w:sz w:val="16"/>
                              </w:rPr>
                            </w:pPr>
                            <w:r>
                              <w:rPr>
                                <w:spacing w:val="-10"/>
                                <w:sz w:val="16"/>
                              </w:rPr>
                              <w:t>$</w:t>
                            </w:r>
                            <w:r>
                              <w:rPr>
                                <w:sz w:val="16"/>
                              </w:rPr>
                              <w:tab/>
                              <w:t>3,910</w:t>
                            </w:r>
                            <w:r>
                              <w:rPr>
                                <w:spacing w:val="60"/>
                                <w:w w:val="150"/>
                                <w:sz w:val="16"/>
                              </w:rPr>
                              <w:t> </w:t>
                            </w:r>
                            <w:r>
                              <w:rPr>
                                <w:spacing w:val="-10"/>
                                <w:sz w:val="16"/>
                              </w:rPr>
                              <w:t>$</w:t>
                            </w:r>
                          </w:p>
                        </w:tc>
                        <w:tc>
                          <w:tcPr>
                            <w:tcW w:w="547" w:type="dxa"/>
                            <w:shd w:val="clear" w:color="auto" w:fill="CCEDFF"/>
                          </w:tcPr>
                          <w:p>
                            <w:pPr>
                              <w:pStyle w:val="TableParagraph"/>
                              <w:spacing w:before="41"/>
                              <w:ind w:right="88"/>
                              <w:jc w:val="right"/>
                              <w:rPr>
                                <w:sz w:val="16"/>
                              </w:rPr>
                            </w:pPr>
                            <w:r>
                              <w:rPr>
                                <w:spacing w:val="-5"/>
                                <w:sz w:val="16"/>
                              </w:rPr>
                              <w:t>112</w:t>
                            </w:r>
                          </w:p>
                        </w:tc>
                        <w:tc>
                          <w:tcPr>
                            <w:tcW w:w="1134" w:type="dxa"/>
                            <w:shd w:val="clear" w:color="auto" w:fill="CCEDFF"/>
                          </w:tcPr>
                          <w:p>
                            <w:pPr>
                              <w:pStyle w:val="TableParagraph"/>
                              <w:tabs>
                                <w:tab w:pos="389" w:val="left" w:leader="none"/>
                              </w:tabs>
                              <w:spacing w:before="41"/>
                              <w:ind w:left="30"/>
                              <w:rPr>
                                <w:sz w:val="16"/>
                              </w:rPr>
                            </w:pPr>
                            <w:r>
                              <w:rPr>
                                <w:spacing w:val="-10"/>
                                <w:sz w:val="16"/>
                              </w:rPr>
                              <w:t>$</w:t>
                            </w:r>
                            <w:r>
                              <w:rPr>
                                <w:sz w:val="16"/>
                              </w:rPr>
                              <w:tab/>
                              <w:t>5,014</w:t>
                            </w:r>
                            <w:r>
                              <w:rPr>
                                <w:spacing w:val="60"/>
                                <w:w w:val="150"/>
                                <w:sz w:val="16"/>
                              </w:rPr>
                              <w:t> </w:t>
                            </w:r>
                            <w:r>
                              <w:rPr>
                                <w:spacing w:val="-10"/>
                                <w:sz w:val="16"/>
                              </w:rPr>
                              <w:t>$</w:t>
                            </w:r>
                          </w:p>
                        </w:tc>
                        <w:tc>
                          <w:tcPr>
                            <w:tcW w:w="528" w:type="dxa"/>
                            <w:shd w:val="clear" w:color="auto" w:fill="CCEDFF"/>
                          </w:tcPr>
                          <w:p>
                            <w:pPr>
                              <w:pStyle w:val="TableParagraph"/>
                              <w:spacing w:before="41"/>
                              <w:ind w:left="143"/>
                              <w:jc w:val="center"/>
                              <w:rPr>
                                <w:sz w:val="16"/>
                              </w:rPr>
                            </w:pPr>
                            <w:r>
                              <w:rPr>
                                <w:spacing w:val="-5"/>
                                <w:sz w:val="16"/>
                              </w:rPr>
                              <w:t>201</w:t>
                            </w:r>
                          </w:p>
                        </w:tc>
                      </w:tr>
                      <w:tr>
                        <w:trPr>
                          <w:trHeight w:val="250" w:hRule="atLeast"/>
                        </w:trPr>
                        <w:tc>
                          <w:tcPr>
                            <w:tcW w:w="3535" w:type="dxa"/>
                            <w:tcBorders>
                              <w:bottom w:val="single" w:sz="4" w:space="0" w:color="000000"/>
                            </w:tcBorders>
                          </w:tcPr>
                          <w:p>
                            <w:pPr>
                              <w:pStyle w:val="TableParagraph"/>
                              <w:spacing w:before="41"/>
                              <w:ind w:left="292"/>
                              <w:rPr>
                                <w:sz w:val="16"/>
                              </w:rPr>
                            </w:pPr>
                            <w:r>
                              <w:rPr>
                                <w:sz w:val="16"/>
                              </w:rPr>
                              <w:t>Preferred</w:t>
                            </w:r>
                            <w:r>
                              <w:rPr>
                                <w:spacing w:val="-1"/>
                                <w:sz w:val="16"/>
                              </w:rPr>
                              <w:t> </w:t>
                            </w:r>
                            <w:r>
                              <w:rPr>
                                <w:sz w:val="16"/>
                              </w:rPr>
                              <w:t>stock dividends</w:t>
                            </w:r>
                            <w:r>
                              <w:rPr>
                                <w:spacing w:val="-2"/>
                                <w:sz w:val="16"/>
                              </w:rPr>
                              <w:t> </w:t>
                            </w:r>
                            <w:r>
                              <w:rPr>
                                <w:sz w:val="16"/>
                              </w:rPr>
                              <w:t>and other</w:t>
                            </w:r>
                            <w:r>
                              <w:rPr>
                                <w:spacing w:val="-2"/>
                                <w:sz w:val="16"/>
                              </w:rPr>
                              <w:t> </w:t>
                            </w:r>
                            <w:r>
                              <w:rPr>
                                <w:spacing w:val="-5"/>
                                <w:sz w:val="16"/>
                                <w:vertAlign w:val="superscript"/>
                              </w:rPr>
                              <w:t>(1)</w:t>
                            </w:r>
                          </w:p>
                        </w:tc>
                        <w:tc>
                          <w:tcPr>
                            <w:tcW w:w="1198" w:type="dxa"/>
                            <w:tcBorders>
                              <w:bottom w:val="single" w:sz="4" w:space="0" w:color="000000"/>
                            </w:tcBorders>
                          </w:tcPr>
                          <w:p>
                            <w:pPr>
                              <w:pStyle w:val="TableParagraph"/>
                              <w:spacing w:before="41"/>
                              <w:ind w:left="483"/>
                              <w:rPr>
                                <w:sz w:val="16"/>
                              </w:rPr>
                            </w:pPr>
                            <w:r>
                              <w:rPr>
                                <w:spacing w:val="-2"/>
                                <w:sz w:val="16"/>
                              </w:rPr>
                              <w:t>(105)</w:t>
                            </w:r>
                          </w:p>
                        </w:tc>
                        <w:tc>
                          <w:tcPr>
                            <w:tcW w:w="507" w:type="dxa"/>
                            <w:tcBorders>
                              <w:bottom w:val="single" w:sz="4" w:space="0" w:color="000000"/>
                            </w:tcBorders>
                          </w:tcPr>
                          <w:p>
                            <w:pPr>
                              <w:pStyle w:val="TableParagraph"/>
                              <w:spacing w:before="41"/>
                              <w:ind w:left="250"/>
                              <w:jc w:val="center"/>
                              <w:rPr>
                                <w:sz w:val="16"/>
                              </w:rPr>
                            </w:pPr>
                            <w:r>
                              <w:rPr>
                                <w:spacing w:val="-5"/>
                                <w:sz w:val="16"/>
                              </w:rPr>
                              <w:t>(3)</w:t>
                            </w:r>
                          </w:p>
                        </w:tc>
                        <w:tc>
                          <w:tcPr>
                            <w:tcW w:w="1134" w:type="dxa"/>
                            <w:tcBorders>
                              <w:bottom w:val="single" w:sz="4" w:space="0" w:color="000000"/>
                            </w:tcBorders>
                          </w:tcPr>
                          <w:p>
                            <w:pPr>
                              <w:pStyle w:val="TableParagraph"/>
                              <w:spacing w:before="41"/>
                              <w:ind w:left="458"/>
                              <w:rPr>
                                <w:sz w:val="16"/>
                              </w:rPr>
                            </w:pPr>
                            <w:r>
                              <w:rPr>
                                <w:spacing w:val="-2"/>
                                <w:sz w:val="16"/>
                              </w:rPr>
                              <w:t>(132)</w:t>
                            </w:r>
                          </w:p>
                        </w:tc>
                        <w:tc>
                          <w:tcPr>
                            <w:tcW w:w="547" w:type="dxa"/>
                            <w:tcBorders>
                              <w:bottom w:val="single" w:sz="4" w:space="0" w:color="000000"/>
                            </w:tcBorders>
                          </w:tcPr>
                          <w:p>
                            <w:pPr>
                              <w:pStyle w:val="TableParagraph"/>
                              <w:spacing w:before="41"/>
                              <w:ind w:right="33"/>
                              <w:jc w:val="right"/>
                              <w:rPr>
                                <w:sz w:val="16"/>
                              </w:rPr>
                            </w:pPr>
                            <w:r>
                              <w:rPr>
                                <w:spacing w:val="-5"/>
                                <w:sz w:val="16"/>
                              </w:rPr>
                              <w:t>(4)</w:t>
                            </w:r>
                          </w:p>
                        </w:tc>
                        <w:tc>
                          <w:tcPr>
                            <w:tcW w:w="1134" w:type="dxa"/>
                            <w:tcBorders>
                              <w:bottom w:val="single" w:sz="4" w:space="0" w:color="000000"/>
                            </w:tcBorders>
                          </w:tcPr>
                          <w:p>
                            <w:pPr>
                              <w:pStyle w:val="TableParagraph"/>
                              <w:spacing w:before="41"/>
                              <w:ind w:left="457"/>
                              <w:rPr>
                                <w:sz w:val="16"/>
                              </w:rPr>
                            </w:pPr>
                            <w:r>
                              <w:rPr>
                                <w:spacing w:val="-2"/>
                                <w:sz w:val="16"/>
                              </w:rPr>
                              <w:t>(291)</w:t>
                            </w:r>
                          </w:p>
                        </w:tc>
                        <w:tc>
                          <w:tcPr>
                            <w:tcW w:w="547" w:type="dxa"/>
                            <w:tcBorders>
                              <w:bottom w:val="single" w:sz="4" w:space="0" w:color="000000"/>
                            </w:tcBorders>
                          </w:tcPr>
                          <w:p>
                            <w:pPr>
                              <w:pStyle w:val="TableParagraph"/>
                              <w:spacing w:before="41"/>
                              <w:ind w:right="34"/>
                              <w:jc w:val="right"/>
                              <w:rPr>
                                <w:sz w:val="16"/>
                              </w:rPr>
                            </w:pPr>
                            <w:r>
                              <w:rPr>
                                <w:spacing w:val="-5"/>
                                <w:sz w:val="16"/>
                              </w:rPr>
                              <w:t>(8)</w:t>
                            </w:r>
                          </w:p>
                        </w:tc>
                        <w:tc>
                          <w:tcPr>
                            <w:tcW w:w="1134" w:type="dxa"/>
                            <w:tcBorders>
                              <w:bottom w:val="single" w:sz="4" w:space="0" w:color="000000"/>
                            </w:tcBorders>
                          </w:tcPr>
                          <w:p>
                            <w:pPr>
                              <w:pStyle w:val="TableParagraph"/>
                              <w:spacing w:before="41"/>
                              <w:ind w:left="456"/>
                              <w:rPr>
                                <w:sz w:val="16"/>
                              </w:rPr>
                            </w:pPr>
                            <w:r>
                              <w:rPr>
                                <w:spacing w:val="-2"/>
                                <w:sz w:val="16"/>
                              </w:rPr>
                              <w:t>(385)</w:t>
                            </w:r>
                          </w:p>
                        </w:tc>
                        <w:tc>
                          <w:tcPr>
                            <w:tcW w:w="528" w:type="dxa"/>
                            <w:tcBorders>
                              <w:bottom w:val="single" w:sz="4" w:space="0" w:color="000000"/>
                            </w:tcBorders>
                          </w:tcPr>
                          <w:p>
                            <w:pPr>
                              <w:pStyle w:val="TableParagraph"/>
                              <w:spacing w:before="41"/>
                              <w:ind w:left="223"/>
                              <w:jc w:val="center"/>
                              <w:rPr>
                                <w:sz w:val="16"/>
                              </w:rPr>
                            </w:pPr>
                            <w:r>
                              <w:rPr>
                                <w:spacing w:val="-4"/>
                                <w:sz w:val="16"/>
                              </w:rPr>
                              <w:t>(16)</w:t>
                            </w:r>
                          </w:p>
                        </w:tc>
                      </w:tr>
                      <w:tr>
                        <w:trPr>
                          <w:trHeight w:val="245" w:hRule="atLeast"/>
                        </w:trPr>
                        <w:tc>
                          <w:tcPr>
                            <w:tcW w:w="3535" w:type="dxa"/>
                            <w:tcBorders>
                              <w:top w:val="single" w:sz="4" w:space="0" w:color="000000"/>
                              <w:bottom w:val="single" w:sz="4" w:space="0" w:color="000000"/>
                            </w:tcBorders>
                            <w:shd w:val="clear" w:color="auto" w:fill="CCEDFF"/>
                          </w:tcPr>
                          <w:p>
                            <w:pPr>
                              <w:pStyle w:val="TableParagraph"/>
                              <w:spacing w:before="36"/>
                              <w:ind w:left="292"/>
                              <w:rPr>
                                <w:sz w:val="16"/>
                              </w:rPr>
                            </w:pPr>
                            <w:r>
                              <w:rPr>
                                <w:sz w:val="16"/>
                              </w:rPr>
                              <w:t>Net</w:t>
                            </w:r>
                            <w:r>
                              <w:rPr>
                                <w:spacing w:val="-1"/>
                                <w:sz w:val="16"/>
                              </w:rPr>
                              <w:t> </w:t>
                            </w:r>
                            <w:r>
                              <w:rPr>
                                <w:sz w:val="16"/>
                              </w:rPr>
                              <w:t>income available to common </w:t>
                            </w:r>
                            <w:r>
                              <w:rPr>
                                <w:spacing w:val="-2"/>
                                <w:sz w:val="16"/>
                              </w:rPr>
                              <w:t>stockholders</w:t>
                            </w:r>
                          </w:p>
                        </w:tc>
                        <w:tc>
                          <w:tcPr>
                            <w:tcW w:w="1198" w:type="dxa"/>
                            <w:tcBorders>
                              <w:top w:val="single" w:sz="4" w:space="0" w:color="000000"/>
                              <w:bottom w:val="single" w:sz="4" w:space="0" w:color="000000"/>
                            </w:tcBorders>
                            <w:shd w:val="clear" w:color="auto" w:fill="CCEDFF"/>
                          </w:tcPr>
                          <w:p>
                            <w:pPr>
                              <w:pStyle w:val="TableParagraph"/>
                              <w:tabs>
                                <w:tab w:pos="536" w:val="left" w:leader="none"/>
                              </w:tabs>
                              <w:spacing w:before="36"/>
                              <w:ind w:left="57"/>
                              <w:rPr>
                                <w:sz w:val="16"/>
                              </w:rPr>
                            </w:pPr>
                            <w:r>
                              <w:rPr>
                                <w:spacing w:val="-10"/>
                                <w:sz w:val="16"/>
                              </w:rPr>
                              <w:t>$</w:t>
                            </w:r>
                            <w:r>
                              <w:rPr>
                                <w:sz w:val="16"/>
                              </w:rPr>
                              <w:tab/>
                              <w:t>989</w:t>
                            </w:r>
                            <w:r>
                              <w:rPr>
                                <w:spacing w:val="60"/>
                                <w:w w:val="150"/>
                                <w:sz w:val="16"/>
                              </w:rPr>
                              <w:t> </w:t>
                            </w:r>
                            <w:r>
                              <w:rPr>
                                <w:spacing w:val="-10"/>
                                <w:sz w:val="16"/>
                              </w:rPr>
                              <w:t>$</w:t>
                            </w:r>
                          </w:p>
                        </w:tc>
                        <w:tc>
                          <w:tcPr>
                            <w:tcW w:w="507" w:type="dxa"/>
                            <w:tcBorders>
                              <w:top w:val="single" w:sz="4" w:space="0" w:color="000000"/>
                              <w:bottom w:val="single" w:sz="4" w:space="0" w:color="000000"/>
                            </w:tcBorders>
                            <w:shd w:val="clear" w:color="auto" w:fill="CCEDFF"/>
                          </w:tcPr>
                          <w:p>
                            <w:pPr>
                              <w:pStyle w:val="TableParagraph"/>
                              <w:spacing w:before="36"/>
                              <w:ind w:left="170"/>
                              <w:jc w:val="center"/>
                              <w:rPr>
                                <w:sz w:val="16"/>
                              </w:rPr>
                            </w:pPr>
                            <w:r>
                              <w:rPr>
                                <w:spacing w:val="-5"/>
                                <w:sz w:val="16"/>
                              </w:rPr>
                              <w:t>28</w:t>
                            </w:r>
                          </w:p>
                        </w:tc>
                        <w:tc>
                          <w:tcPr>
                            <w:tcW w:w="1134" w:type="dxa"/>
                            <w:tcBorders>
                              <w:top w:val="single" w:sz="4" w:space="0" w:color="000000"/>
                              <w:bottom w:val="single" w:sz="4" w:space="0" w:color="000000"/>
                            </w:tcBorders>
                            <w:shd w:val="clear" w:color="auto" w:fill="CCEDFF"/>
                          </w:tcPr>
                          <w:p>
                            <w:pPr>
                              <w:pStyle w:val="TableParagraph"/>
                              <w:tabs>
                                <w:tab w:pos="391" w:val="left" w:leader="none"/>
                              </w:tabs>
                              <w:spacing w:before="36"/>
                              <w:ind w:left="32"/>
                              <w:rPr>
                                <w:sz w:val="16"/>
                              </w:rPr>
                            </w:pPr>
                            <w:r>
                              <w:rPr>
                                <w:spacing w:val="-10"/>
                                <w:sz w:val="16"/>
                              </w:rPr>
                              <w:t>$</w:t>
                            </w:r>
                            <w:r>
                              <w:rPr>
                                <w:sz w:val="16"/>
                              </w:rPr>
                              <w:tab/>
                              <w:t>1,824</w:t>
                            </w:r>
                            <w:r>
                              <w:rPr>
                                <w:spacing w:val="60"/>
                                <w:w w:val="150"/>
                                <w:sz w:val="16"/>
                              </w:rPr>
                              <w:t> </w:t>
                            </w:r>
                            <w:r>
                              <w:rPr>
                                <w:spacing w:val="-10"/>
                                <w:sz w:val="16"/>
                              </w:rPr>
                              <w:t>$</w:t>
                            </w:r>
                          </w:p>
                        </w:tc>
                        <w:tc>
                          <w:tcPr>
                            <w:tcW w:w="547" w:type="dxa"/>
                            <w:tcBorders>
                              <w:top w:val="single" w:sz="4" w:space="0" w:color="000000"/>
                              <w:bottom w:val="single" w:sz="4" w:space="0" w:color="000000"/>
                            </w:tcBorders>
                            <w:shd w:val="clear" w:color="auto" w:fill="CCEDFF"/>
                          </w:tcPr>
                          <w:p>
                            <w:pPr>
                              <w:pStyle w:val="TableParagraph"/>
                              <w:spacing w:before="36"/>
                              <w:ind w:right="87"/>
                              <w:jc w:val="right"/>
                              <w:rPr>
                                <w:sz w:val="16"/>
                              </w:rPr>
                            </w:pPr>
                            <w:r>
                              <w:rPr>
                                <w:spacing w:val="-5"/>
                                <w:sz w:val="16"/>
                              </w:rPr>
                              <w:t>60</w:t>
                            </w:r>
                          </w:p>
                        </w:tc>
                        <w:tc>
                          <w:tcPr>
                            <w:tcW w:w="1134" w:type="dxa"/>
                            <w:tcBorders>
                              <w:top w:val="single" w:sz="4" w:space="0" w:color="000000"/>
                              <w:bottom w:val="single" w:sz="4" w:space="0" w:color="000000"/>
                            </w:tcBorders>
                            <w:shd w:val="clear" w:color="auto" w:fill="CCEDFF"/>
                          </w:tcPr>
                          <w:p>
                            <w:pPr>
                              <w:pStyle w:val="TableParagraph"/>
                              <w:tabs>
                                <w:tab w:pos="390" w:val="left" w:leader="none"/>
                              </w:tabs>
                              <w:spacing w:before="36"/>
                              <w:ind w:left="31"/>
                              <w:rPr>
                                <w:sz w:val="16"/>
                              </w:rPr>
                            </w:pPr>
                            <w:r>
                              <w:rPr>
                                <w:spacing w:val="-10"/>
                                <w:sz w:val="16"/>
                              </w:rPr>
                              <w:t>$</w:t>
                            </w:r>
                            <w:r>
                              <w:rPr>
                                <w:sz w:val="16"/>
                              </w:rPr>
                              <w:tab/>
                              <w:t>3,619</w:t>
                            </w:r>
                            <w:r>
                              <w:rPr>
                                <w:spacing w:val="60"/>
                                <w:w w:val="150"/>
                                <w:sz w:val="16"/>
                              </w:rPr>
                              <w:t> </w:t>
                            </w:r>
                            <w:r>
                              <w:rPr>
                                <w:spacing w:val="-10"/>
                                <w:sz w:val="16"/>
                              </w:rPr>
                              <w:t>$</w:t>
                            </w:r>
                          </w:p>
                        </w:tc>
                        <w:tc>
                          <w:tcPr>
                            <w:tcW w:w="547" w:type="dxa"/>
                            <w:tcBorders>
                              <w:top w:val="single" w:sz="4" w:space="0" w:color="000000"/>
                              <w:bottom w:val="single" w:sz="4" w:space="0" w:color="000000"/>
                            </w:tcBorders>
                            <w:shd w:val="clear" w:color="auto" w:fill="CCEDFF"/>
                          </w:tcPr>
                          <w:p>
                            <w:pPr>
                              <w:pStyle w:val="TableParagraph"/>
                              <w:spacing w:before="36"/>
                              <w:ind w:right="88"/>
                              <w:jc w:val="right"/>
                              <w:rPr>
                                <w:sz w:val="16"/>
                              </w:rPr>
                            </w:pPr>
                            <w:r>
                              <w:rPr>
                                <w:spacing w:val="-5"/>
                                <w:sz w:val="16"/>
                              </w:rPr>
                              <w:t>104</w:t>
                            </w:r>
                          </w:p>
                        </w:tc>
                        <w:tc>
                          <w:tcPr>
                            <w:tcW w:w="1134" w:type="dxa"/>
                            <w:tcBorders>
                              <w:top w:val="single" w:sz="4" w:space="0" w:color="000000"/>
                              <w:bottom w:val="single" w:sz="4" w:space="0" w:color="000000"/>
                            </w:tcBorders>
                            <w:shd w:val="clear" w:color="auto" w:fill="CCEDFF"/>
                          </w:tcPr>
                          <w:p>
                            <w:pPr>
                              <w:pStyle w:val="TableParagraph"/>
                              <w:tabs>
                                <w:tab w:pos="389" w:val="left" w:leader="none"/>
                              </w:tabs>
                              <w:spacing w:before="36"/>
                              <w:ind w:left="30"/>
                              <w:rPr>
                                <w:sz w:val="16"/>
                              </w:rPr>
                            </w:pPr>
                            <w:r>
                              <w:rPr>
                                <w:spacing w:val="-10"/>
                                <w:sz w:val="16"/>
                              </w:rPr>
                              <w:t>$</w:t>
                            </w:r>
                            <w:r>
                              <w:rPr>
                                <w:sz w:val="16"/>
                              </w:rPr>
                              <w:tab/>
                              <w:t>4,629</w:t>
                            </w:r>
                            <w:r>
                              <w:rPr>
                                <w:spacing w:val="60"/>
                                <w:w w:val="150"/>
                                <w:sz w:val="16"/>
                              </w:rPr>
                              <w:t> </w:t>
                            </w:r>
                            <w:r>
                              <w:rPr>
                                <w:spacing w:val="-10"/>
                                <w:sz w:val="16"/>
                              </w:rPr>
                              <w:t>$</w:t>
                            </w:r>
                          </w:p>
                        </w:tc>
                        <w:tc>
                          <w:tcPr>
                            <w:tcW w:w="528" w:type="dxa"/>
                            <w:tcBorders>
                              <w:top w:val="single" w:sz="4" w:space="0" w:color="000000"/>
                              <w:bottom w:val="single" w:sz="4" w:space="0" w:color="000000"/>
                            </w:tcBorders>
                            <w:shd w:val="clear" w:color="auto" w:fill="CCEDFF"/>
                          </w:tcPr>
                          <w:p>
                            <w:pPr>
                              <w:pStyle w:val="TableParagraph"/>
                              <w:spacing w:before="36"/>
                              <w:ind w:left="143"/>
                              <w:jc w:val="center"/>
                              <w:rPr>
                                <w:sz w:val="16"/>
                              </w:rPr>
                            </w:pPr>
                            <w:r>
                              <w:rPr>
                                <w:spacing w:val="-5"/>
                                <w:sz w:val="16"/>
                              </w:rPr>
                              <w:t>185</w:t>
                            </w:r>
                          </w:p>
                        </w:tc>
                      </w:tr>
                      <w:tr>
                        <w:trPr>
                          <w:trHeight w:val="250" w:hRule="atLeast"/>
                        </w:trPr>
                        <w:tc>
                          <w:tcPr>
                            <w:tcW w:w="3535" w:type="dxa"/>
                            <w:tcBorders>
                              <w:top w:val="single" w:sz="4" w:space="0" w:color="000000"/>
                            </w:tcBorders>
                          </w:tcPr>
                          <w:p>
                            <w:pPr>
                              <w:pStyle w:val="TableParagraph"/>
                              <w:spacing w:before="36"/>
                              <w:ind w:left="52"/>
                              <w:rPr>
                                <w:sz w:val="16"/>
                              </w:rPr>
                            </w:pPr>
                            <w:r>
                              <w:rPr>
                                <w:spacing w:val="-2"/>
                                <w:sz w:val="16"/>
                              </w:rPr>
                              <w:t>Denominator</w:t>
                            </w:r>
                          </w:p>
                        </w:tc>
                        <w:tc>
                          <w:tcPr>
                            <w:tcW w:w="1198" w:type="dxa"/>
                            <w:tcBorders>
                              <w:top w:val="single" w:sz="4" w:space="0" w:color="000000"/>
                            </w:tcBorders>
                          </w:tcPr>
                          <w:p>
                            <w:pPr>
                              <w:pStyle w:val="TableParagraph"/>
                              <w:rPr>
                                <w:sz w:val="16"/>
                              </w:rPr>
                            </w:pPr>
                          </w:p>
                        </w:tc>
                        <w:tc>
                          <w:tcPr>
                            <w:tcW w:w="507" w:type="dxa"/>
                            <w:tcBorders>
                              <w:top w:val="single" w:sz="4" w:space="0" w:color="000000"/>
                            </w:tcBorders>
                          </w:tcPr>
                          <w:p>
                            <w:pPr>
                              <w:pStyle w:val="TableParagraph"/>
                              <w:rPr>
                                <w:sz w:val="16"/>
                              </w:rPr>
                            </w:pPr>
                          </w:p>
                        </w:tc>
                        <w:tc>
                          <w:tcPr>
                            <w:tcW w:w="1134" w:type="dxa"/>
                            <w:tcBorders>
                              <w:top w:val="single" w:sz="4" w:space="0" w:color="000000"/>
                            </w:tcBorders>
                          </w:tcPr>
                          <w:p>
                            <w:pPr>
                              <w:pStyle w:val="TableParagraph"/>
                              <w:rPr>
                                <w:sz w:val="16"/>
                              </w:rPr>
                            </w:pPr>
                          </w:p>
                        </w:tc>
                        <w:tc>
                          <w:tcPr>
                            <w:tcW w:w="547" w:type="dxa"/>
                            <w:tcBorders>
                              <w:top w:val="single" w:sz="4" w:space="0" w:color="000000"/>
                            </w:tcBorders>
                          </w:tcPr>
                          <w:p>
                            <w:pPr>
                              <w:pStyle w:val="TableParagraph"/>
                              <w:rPr>
                                <w:sz w:val="16"/>
                              </w:rPr>
                            </w:pPr>
                          </w:p>
                        </w:tc>
                        <w:tc>
                          <w:tcPr>
                            <w:tcW w:w="1134" w:type="dxa"/>
                            <w:tcBorders>
                              <w:top w:val="single" w:sz="4" w:space="0" w:color="000000"/>
                            </w:tcBorders>
                          </w:tcPr>
                          <w:p>
                            <w:pPr>
                              <w:pStyle w:val="TableParagraph"/>
                              <w:rPr>
                                <w:sz w:val="16"/>
                              </w:rPr>
                            </w:pPr>
                          </w:p>
                        </w:tc>
                        <w:tc>
                          <w:tcPr>
                            <w:tcW w:w="547" w:type="dxa"/>
                            <w:tcBorders>
                              <w:top w:val="single" w:sz="4" w:space="0" w:color="000000"/>
                            </w:tcBorders>
                          </w:tcPr>
                          <w:p>
                            <w:pPr>
                              <w:pStyle w:val="TableParagraph"/>
                              <w:rPr>
                                <w:sz w:val="16"/>
                              </w:rPr>
                            </w:pPr>
                          </w:p>
                        </w:tc>
                        <w:tc>
                          <w:tcPr>
                            <w:tcW w:w="1134" w:type="dxa"/>
                            <w:tcBorders>
                              <w:top w:val="single" w:sz="4" w:space="0" w:color="000000"/>
                            </w:tcBorders>
                          </w:tcPr>
                          <w:p>
                            <w:pPr>
                              <w:pStyle w:val="TableParagraph"/>
                              <w:rPr>
                                <w:sz w:val="16"/>
                              </w:rPr>
                            </w:pPr>
                          </w:p>
                        </w:tc>
                        <w:tc>
                          <w:tcPr>
                            <w:tcW w:w="528" w:type="dxa"/>
                            <w:tcBorders>
                              <w:top w:val="single" w:sz="4" w:space="0" w:color="000000"/>
                            </w:tcBorders>
                          </w:tcPr>
                          <w:p>
                            <w:pPr>
                              <w:pStyle w:val="TableParagraph"/>
                              <w:rPr>
                                <w:sz w:val="16"/>
                              </w:rPr>
                            </w:pPr>
                          </w:p>
                        </w:tc>
                      </w:tr>
                      <w:tr>
                        <w:trPr>
                          <w:trHeight w:val="400" w:hRule="atLeast"/>
                        </w:trPr>
                        <w:tc>
                          <w:tcPr>
                            <w:tcW w:w="3535" w:type="dxa"/>
                            <w:tcBorders>
                              <w:bottom w:val="single" w:sz="4" w:space="0" w:color="000000"/>
                            </w:tcBorders>
                            <w:shd w:val="clear" w:color="auto" w:fill="CCEDFF"/>
                          </w:tcPr>
                          <w:p>
                            <w:pPr>
                              <w:pStyle w:val="TableParagraph"/>
                              <w:spacing w:line="172" w:lineRule="exact" w:before="31"/>
                              <w:ind w:left="292"/>
                              <w:rPr>
                                <w:sz w:val="16"/>
                              </w:rPr>
                            </w:pPr>
                            <w:r>
                              <w:rPr>
                                <w:sz w:val="16"/>
                              </w:rPr>
                              <w:t>Weighted-average</w:t>
                            </w:r>
                            <w:r>
                              <w:rPr>
                                <w:spacing w:val="-1"/>
                                <w:sz w:val="16"/>
                              </w:rPr>
                              <w:t> </w:t>
                            </w:r>
                            <w:r>
                              <w:rPr>
                                <w:sz w:val="16"/>
                              </w:rPr>
                              <w:t>common shares</w:t>
                            </w:r>
                            <w:r>
                              <w:rPr>
                                <w:spacing w:val="-1"/>
                                <w:sz w:val="16"/>
                              </w:rPr>
                              <w:t> </w:t>
                            </w:r>
                            <w:r>
                              <w:rPr>
                                <w:spacing w:val="-2"/>
                                <w:sz w:val="16"/>
                              </w:rPr>
                              <w:t>outstanding</w:t>
                            </w:r>
                          </w:p>
                          <w:p>
                            <w:pPr>
                              <w:pStyle w:val="TableParagraph"/>
                              <w:spacing w:line="172" w:lineRule="exact"/>
                              <w:ind w:left="292"/>
                              <w:rPr>
                                <w:sz w:val="16"/>
                              </w:rPr>
                            </w:pPr>
                            <w:r>
                              <w:rPr>
                                <w:sz w:val="16"/>
                              </w:rPr>
                              <w:t>— </w:t>
                            </w:r>
                            <w:r>
                              <w:rPr>
                                <w:spacing w:val="-2"/>
                                <w:sz w:val="16"/>
                              </w:rPr>
                              <w:t>basic</w:t>
                            </w:r>
                          </w:p>
                        </w:tc>
                        <w:tc>
                          <w:tcPr>
                            <w:tcW w:w="1198" w:type="dxa"/>
                            <w:tcBorders>
                              <w:bottom w:val="single" w:sz="4" w:space="0" w:color="000000"/>
                            </w:tcBorders>
                            <w:shd w:val="clear" w:color="auto" w:fill="CCEDFF"/>
                          </w:tcPr>
                          <w:p>
                            <w:pPr>
                              <w:pStyle w:val="TableParagraph"/>
                              <w:spacing w:before="7"/>
                              <w:rPr>
                                <w:sz w:val="16"/>
                              </w:rPr>
                            </w:pPr>
                          </w:p>
                          <w:p>
                            <w:pPr>
                              <w:pStyle w:val="TableParagraph"/>
                              <w:ind w:left="275" w:right="277"/>
                              <w:jc w:val="center"/>
                              <w:rPr>
                                <w:sz w:val="16"/>
                              </w:rPr>
                            </w:pPr>
                            <w:r>
                              <w:rPr>
                                <w:spacing w:val="-2"/>
                                <w:sz w:val="16"/>
                              </w:rPr>
                              <w:t>1,770</w:t>
                            </w:r>
                          </w:p>
                        </w:tc>
                        <w:tc>
                          <w:tcPr>
                            <w:tcW w:w="507" w:type="dxa"/>
                            <w:tcBorders>
                              <w:bottom w:val="single" w:sz="4" w:space="0" w:color="000000"/>
                            </w:tcBorders>
                            <w:shd w:val="clear" w:color="auto" w:fill="CCEDFF"/>
                          </w:tcPr>
                          <w:p>
                            <w:pPr>
                              <w:pStyle w:val="TableParagraph"/>
                              <w:spacing w:before="7"/>
                              <w:rPr>
                                <w:sz w:val="16"/>
                              </w:rPr>
                            </w:pPr>
                          </w:p>
                          <w:p>
                            <w:pPr>
                              <w:pStyle w:val="TableParagraph"/>
                              <w:ind w:left="170"/>
                              <w:jc w:val="center"/>
                              <w:rPr>
                                <w:sz w:val="16"/>
                              </w:rPr>
                            </w:pPr>
                            <w:r>
                              <w:rPr>
                                <w:spacing w:val="-5"/>
                                <w:sz w:val="16"/>
                              </w:rPr>
                              <w:t>51</w:t>
                            </w:r>
                          </w:p>
                        </w:tc>
                        <w:tc>
                          <w:tcPr>
                            <w:tcW w:w="1134" w:type="dxa"/>
                            <w:tcBorders>
                              <w:bottom w:val="single" w:sz="4" w:space="0" w:color="000000"/>
                            </w:tcBorders>
                            <w:shd w:val="clear" w:color="auto" w:fill="CCEDFF"/>
                          </w:tcPr>
                          <w:p>
                            <w:pPr>
                              <w:pStyle w:val="TableParagraph"/>
                              <w:spacing w:before="7"/>
                              <w:rPr>
                                <w:sz w:val="16"/>
                              </w:rPr>
                            </w:pPr>
                          </w:p>
                          <w:p>
                            <w:pPr>
                              <w:pStyle w:val="TableParagraph"/>
                              <w:ind w:left="289" w:right="280"/>
                              <w:jc w:val="center"/>
                              <w:rPr>
                                <w:sz w:val="16"/>
                              </w:rPr>
                            </w:pPr>
                            <w:r>
                              <w:rPr>
                                <w:spacing w:val="-2"/>
                                <w:sz w:val="16"/>
                              </w:rPr>
                              <w:t>1,827</w:t>
                            </w:r>
                          </w:p>
                        </w:tc>
                        <w:tc>
                          <w:tcPr>
                            <w:tcW w:w="547" w:type="dxa"/>
                            <w:tcBorders>
                              <w:bottom w:val="single" w:sz="4" w:space="0" w:color="000000"/>
                            </w:tcBorders>
                            <w:shd w:val="clear" w:color="auto" w:fill="CCEDFF"/>
                          </w:tcPr>
                          <w:p>
                            <w:pPr>
                              <w:pStyle w:val="TableParagraph"/>
                              <w:spacing w:before="7"/>
                              <w:rPr>
                                <w:sz w:val="16"/>
                              </w:rPr>
                            </w:pPr>
                          </w:p>
                          <w:p>
                            <w:pPr>
                              <w:pStyle w:val="TableParagraph"/>
                              <w:ind w:right="87"/>
                              <w:jc w:val="right"/>
                              <w:rPr>
                                <w:sz w:val="16"/>
                              </w:rPr>
                            </w:pPr>
                            <w:r>
                              <w:rPr>
                                <w:spacing w:val="-5"/>
                                <w:sz w:val="16"/>
                              </w:rPr>
                              <w:t>60</w:t>
                            </w:r>
                          </w:p>
                        </w:tc>
                        <w:tc>
                          <w:tcPr>
                            <w:tcW w:w="1134" w:type="dxa"/>
                            <w:tcBorders>
                              <w:bottom w:val="single" w:sz="4" w:space="0" w:color="000000"/>
                            </w:tcBorders>
                            <w:shd w:val="clear" w:color="auto" w:fill="CCEDFF"/>
                          </w:tcPr>
                          <w:p>
                            <w:pPr>
                              <w:pStyle w:val="TableParagraph"/>
                              <w:spacing w:before="7"/>
                              <w:rPr>
                                <w:sz w:val="16"/>
                              </w:rPr>
                            </w:pPr>
                          </w:p>
                          <w:p>
                            <w:pPr>
                              <w:pStyle w:val="TableParagraph"/>
                              <w:ind w:left="289" w:right="282"/>
                              <w:jc w:val="center"/>
                              <w:rPr>
                                <w:sz w:val="16"/>
                              </w:rPr>
                            </w:pPr>
                            <w:r>
                              <w:rPr>
                                <w:spacing w:val="-2"/>
                                <w:sz w:val="16"/>
                              </w:rPr>
                              <w:t>1,774</w:t>
                            </w:r>
                          </w:p>
                        </w:tc>
                        <w:tc>
                          <w:tcPr>
                            <w:tcW w:w="547" w:type="dxa"/>
                            <w:tcBorders>
                              <w:bottom w:val="single" w:sz="4" w:space="0" w:color="000000"/>
                            </w:tcBorders>
                            <w:shd w:val="clear" w:color="auto" w:fill="CCEDFF"/>
                          </w:tcPr>
                          <w:p>
                            <w:pPr>
                              <w:pStyle w:val="TableParagraph"/>
                              <w:spacing w:before="7"/>
                              <w:rPr>
                                <w:sz w:val="16"/>
                              </w:rPr>
                            </w:pPr>
                          </w:p>
                          <w:p>
                            <w:pPr>
                              <w:pStyle w:val="TableParagraph"/>
                              <w:ind w:right="88"/>
                              <w:jc w:val="right"/>
                              <w:rPr>
                                <w:sz w:val="16"/>
                              </w:rPr>
                            </w:pPr>
                            <w:r>
                              <w:rPr>
                                <w:spacing w:val="-5"/>
                                <w:sz w:val="16"/>
                              </w:rPr>
                              <w:t>51</w:t>
                            </w:r>
                          </w:p>
                        </w:tc>
                        <w:tc>
                          <w:tcPr>
                            <w:tcW w:w="1134" w:type="dxa"/>
                            <w:tcBorders>
                              <w:bottom w:val="single" w:sz="4" w:space="0" w:color="000000"/>
                            </w:tcBorders>
                            <w:shd w:val="clear" w:color="auto" w:fill="CCEDFF"/>
                          </w:tcPr>
                          <w:p>
                            <w:pPr>
                              <w:pStyle w:val="TableParagraph"/>
                              <w:spacing w:before="7"/>
                              <w:rPr>
                                <w:sz w:val="16"/>
                              </w:rPr>
                            </w:pPr>
                          </w:p>
                          <w:p>
                            <w:pPr>
                              <w:pStyle w:val="TableParagraph"/>
                              <w:ind w:left="289" w:right="284"/>
                              <w:jc w:val="center"/>
                              <w:rPr>
                                <w:sz w:val="16"/>
                              </w:rPr>
                            </w:pPr>
                            <w:r>
                              <w:rPr>
                                <w:spacing w:val="-2"/>
                                <w:sz w:val="16"/>
                              </w:rPr>
                              <w:t>1,819</w:t>
                            </w:r>
                          </w:p>
                        </w:tc>
                        <w:tc>
                          <w:tcPr>
                            <w:tcW w:w="528" w:type="dxa"/>
                            <w:tcBorders>
                              <w:bottom w:val="single" w:sz="4" w:space="0" w:color="000000"/>
                            </w:tcBorders>
                            <w:shd w:val="clear" w:color="auto" w:fill="CCEDFF"/>
                          </w:tcPr>
                          <w:p>
                            <w:pPr>
                              <w:pStyle w:val="TableParagraph"/>
                              <w:spacing w:before="7"/>
                              <w:rPr>
                                <w:sz w:val="16"/>
                              </w:rPr>
                            </w:pPr>
                          </w:p>
                          <w:p>
                            <w:pPr>
                              <w:pStyle w:val="TableParagraph"/>
                              <w:ind w:left="223"/>
                              <w:jc w:val="center"/>
                              <w:rPr>
                                <w:sz w:val="16"/>
                              </w:rPr>
                            </w:pPr>
                            <w:r>
                              <w:rPr>
                                <w:spacing w:val="-5"/>
                                <w:sz w:val="16"/>
                              </w:rPr>
                              <w:t>73</w:t>
                            </w:r>
                          </w:p>
                        </w:tc>
                      </w:tr>
                      <w:tr>
                        <w:trPr>
                          <w:trHeight w:val="220" w:hRule="atLeast"/>
                        </w:trPr>
                        <w:tc>
                          <w:tcPr>
                            <w:tcW w:w="3535" w:type="dxa"/>
                            <w:tcBorders>
                              <w:top w:val="single" w:sz="4" w:space="0" w:color="000000"/>
                              <w:bottom w:val="double" w:sz="8" w:space="0" w:color="auto"/>
                            </w:tcBorders>
                          </w:tcPr>
                          <w:p>
                            <w:pPr>
                              <w:pStyle w:val="TableParagraph"/>
                              <w:spacing w:line="164" w:lineRule="exact" w:before="36"/>
                              <w:ind w:left="52"/>
                              <w:rPr>
                                <w:sz w:val="16"/>
                              </w:rPr>
                            </w:pPr>
                            <w:r>
                              <w:rPr>
                                <w:sz w:val="16"/>
                              </w:rPr>
                              <w:t>Basic</w:t>
                            </w:r>
                            <w:r>
                              <w:rPr>
                                <w:spacing w:val="-1"/>
                                <w:sz w:val="16"/>
                              </w:rPr>
                              <w:t> </w:t>
                            </w:r>
                            <w:r>
                              <w:rPr>
                                <w:sz w:val="16"/>
                              </w:rPr>
                              <w:t>earnings</w:t>
                            </w:r>
                            <w:r>
                              <w:rPr>
                                <w:spacing w:val="-1"/>
                                <w:sz w:val="16"/>
                              </w:rPr>
                              <w:t> </w:t>
                            </w:r>
                            <w:r>
                              <w:rPr>
                                <w:sz w:val="16"/>
                              </w:rPr>
                              <w:t>per </w:t>
                            </w:r>
                            <w:r>
                              <w:rPr>
                                <w:spacing w:val="-2"/>
                                <w:sz w:val="16"/>
                              </w:rPr>
                              <w:t>share</w:t>
                            </w:r>
                          </w:p>
                        </w:tc>
                        <w:tc>
                          <w:tcPr>
                            <w:tcW w:w="1198" w:type="dxa"/>
                            <w:tcBorders>
                              <w:top w:val="single" w:sz="4" w:space="0" w:color="000000"/>
                              <w:bottom w:val="double" w:sz="8" w:space="0" w:color="auto"/>
                            </w:tcBorders>
                          </w:tcPr>
                          <w:p>
                            <w:pPr>
                              <w:pStyle w:val="TableParagraph"/>
                              <w:tabs>
                                <w:tab w:pos="576" w:val="left" w:leader="none"/>
                              </w:tabs>
                              <w:spacing w:line="164" w:lineRule="exact" w:before="36"/>
                              <w:ind w:left="57"/>
                              <w:rPr>
                                <w:sz w:val="16"/>
                              </w:rPr>
                            </w:pPr>
                            <w:r>
                              <w:rPr>
                                <w:spacing w:val="-10"/>
                                <w:sz w:val="16"/>
                              </w:rPr>
                              <w:t>$</w:t>
                            </w:r>
                            <w:r>
                              <w:rPr>
                                <w:sz w:val="16"/>
                              </w:rPr>
                              <w:tab/>
                              <w:t>.56</w:t>
                            </w:r>
                            <w:r>
                              <w:rPr>
                                <w:spacing w:val="60"/>
                                <w:w w:val="150"/>
                                <w:sz w:val="16"/>
                              </w:rPr>
                              <w:t> </w:t>
                            </w:r>
                            <w:r>
                              <w:rPr>
                                <w:spacing w:val="-10"/>
                                <w:sz w:val="16"/>
                              </w:rPr>
                              <w:t>$</w:t>
                            </w:r>
                          </w:p>
                        </w:tc>
                        <w:tc>
                          <w:tcPr>
                            <w:tcW w:w="507" w:type="dxa"/>
                            <w:tcBorders>
                              <w:top w:val="single" w:sz="4" w:space="0" w:color="000000"/>
                              <w:bottom w:val="double" w:sz="8" w:space="0" w:color="auto"/>
                            </w:tcBorders>
                          </w:tcPr>
                          <w:p>
                            <w:pPr>
                              <w:pStyle w:val="TableParagraph"/>
                              <w:spacing w:line="164" w:lineRule="exact" w:before="36"/>
                              <w:ind w:left="130"/>
                              <w:jc w:val="center"/>
                              <w:rPr>
                                <w:sz w:val="16"/>
                              </w:rPr>
                            </w:pPr>
                            <w:r>
                              <w:rPr>
                                <w:spacing w:val="-5"/>
                                <w:sz w:val="16"/>
                              </w:rPr>
                              <w:t>.56</w:t>
                            </w:r>
                          </w:p>
                        </w:tc>
                        <w:tc>
                          <w:tcPr>
                            <w:tcW w:w="1134" w:type="dxa"/>
                            <w:tcBorders>
                              <w:top w:val="single" w:sz="4" w:space="0" w:color="000000"/>
                              <w:bottom w:val="double" w:sz="8" w:space="0" w:color="auto"/>
                            </w:tcBorders>
                          </w:tcPr>
                          <w:p>
                            <w:pPr>
                              <w:pStyle w:val="TableParagraph"/>
                              <w:tabs>
                                <w:tab w:pos="471" w:val="left" w:leader="none"/>
                              </w:tabs>
                              <w:spacing w:line="164" w:lineRule="exact" w:before="36"/>
                              <w:ind w:left="32"/>
                              <w:rPr>
                                <w:sz w:val="16"/>
                              </w:rPr>
                            </w:pPr>
                            <w:r>
                              <w:rPr>
                                <w:spacing w:val="-10"/>
                                <w:sz w:val="16"/>
                              </w:rPr>
                              <w:t>$</w:t>
                            </w:r>
                            <w:r>
                              <w:rPr>
                                <w:sz w:val="16"/>
                              </w:rPr>
                              <w:tab/>
                              <w:t>1.00</w:t>
                            </w:r>
                            <w:r>
                              <w:rPr>
                                <w:spacing w:val="60"/>
                                <w:w w:val="150"/>
                                <w:sz w:val="16"/>
                              </w:rPr>
                              <w:t> </w:t>
                            </w:r>
                            <w:r>
                              <w:rPr>
                                <w:spacing w:val="-10"/>
                                <w:sz w:val="16"/>
                              </w:rPr>
                              <w:t>$</w:t>
                            </w:r>
                          </w:p>
                        </w:tc>
                        <w:tc>
                          <w:tcPr>
                            <w:tcW w:w="547" w:type="dxa"/>
                            <w:tcBorders>
                              <w:top w:val="single" w:sz="4" w:space="0" w:color="000000"/>
                              <w:bottom w:val="double" w:sz="8" w:space="0" w:color="auto"/>
                            </w:tcBorders>
                          </w:tcPr>
                          <w:p>
                            <w:pPr>
                              <w:pStyle w:val="TableParagraph"/>
                              <w:spacing w:line="164" w:lineRule="exact" w:before="36"/>
                              <w:ind w:right="87"/>
                              <w:jc w:val="right"/>
                              <w:rPr>
                                <w:sz w:val="16"/>
                              </w:rPr>
                            </w:pPr>
                            <w:r>
                              <w:rPr>
                                <w:spacing w:val="-4"/>
                                <w:sz w:val="16"/>
                              </w:rPr>
                              <w:t>1.00</w:t>
                            </w:r>
                          </w:p>
                        </w:tc>
                        <w:tc>
                          <w:tcPr>
                            <w:tcW w:w="1134" w:type="dxa"/>
                            <w:tcBorders>
                              <w:top w:val="single" w:sz="4" w:space="0" w:color="000000"/>
                              <w:bottom w:val="double" w:sz="8" w:space="0" w:color="auto"/>
                            </w:tcBorders>
                          </w:tcPr>
                          <w:p>
                            <w:pPr>
                              <w:pStyle w:val="TableParagraph"/>
                              <w:tabs>
                                <w:tab w:pos="470" w:val="left" w:leader="none"/>
                              </w:tabs>
                              <w:spacing w:line="164" w:lineRule="exact" w:before="36"/>
                              <w:ind w:left="31"/>
                              <w:rPr>
                                <w:sz w:val="16"/>
                              </w:rPr>
                            </w:pPr>
                            <w:r>
                              <w:rPr>
                                <w:spacing w:val="-10"/>
                                <w:sz w:val="16"/>
                              </w:rPr>
                              <w:t>$</w:t>
                            </w:r>
                            <w:r>
                              <w:rPr>
                                <w:sz w:val="16"/>
                              </w:rPr>
                              <w:tab/>
                              <w:t>2.04</w:t>
                            </w:r>
                            <w:r>
                              <w:rPr>
                                <w:spacing w:val="60"/>
                                <w:w w:val="150"/>
                                <w:sz w:val="16"/>
                              </w:rPr>
                              <w:t> </w:t>
                            </w:r>
                            <w:r>
                              <w:rPr>
                                <w:spacing w:val="-10"/>
                                <w:sz w:val="16"/>
                              </w:rPr>
                              <w:t>$</w:t>
                            </w:r>
                          </w:p>
                        </w:tc>
                        <w:tc>
                          <w:tcPr>
                            <w:tcW w:w="547" w:type="dxa"/>
                            <w:tcBorders>
                              <w:top w:val="single" w:sz="4" w:space="0" w:color="000000"/>
                              <w:bottom w:val="double" w:sz="8" w:space="0" w:color="auto"/>
                            </w:tcBorders>
                          </w:tcPr>
                          <w:p>
                            <w:pPr>
                              <w:pStyle w:val="TableParagraph"/>
                              <w:spacing w:line="164" w:lineRule="exact" w:before="36"/>
                              <w:ind w:right="88"/>
                              <w:jc w:val="right"/>
                              <w:rPr>
                                <w:sz w:val="16"/>
                              </w:rPr>
                            </w:pPr>
                            <w:r>
                              <w:rPr>
                                <w:spacing w:val="-4"/>
                                <w:sz w:val="16"/>
                              </w:rPr>
                              <w:t>2.04</w:t>
                            </w:r>
                          </w:p>
                        </w:tc>
                        <w:tc>
                          <w:tcPr>
                            <w:tcW w:w="1134" w:type="dxa"/>
                            <w:tcBorders>
                              <w:top w:val="single" w:sz="4" w:space="0" w:color="000000"/>
                              <w:bottom w:val="double" w:sz="8" w:space="0" w:color="auto"/>
                            </w:tcBorders>
                          </w:tcPr>
                          <w:p>
                            <w:pPr>
                              <w:pStyle w:val="TableParagraph"/>
                              <w:tabs>
                                <w:tab w:pos="469" w:val="left" w:leader="none"/>
                              </w:tabs>
                              <w:spacing w:line="164" w:lineRule="exact" w:before="36"/>
                              <w:ind w:left="30"/>
                              <w:rPr>
                                <w:sz w:val="16"/>
                              </w:rPr>
                            </w:pPr>
                            <w:r>
                              <w:rPr>
                                <w:spacing w:val="-10"/>
                                <w:sz w:val="16"/>
                              </w:rPr>
                              <w:t>$</w:t>
                            </w:r>
                            <w:r>
                              <w:rPr>
                                <w:sz w:val="16"/>
                              </w:rPr>
                              <w:tab/>
                              <w:t>2.54</w:t>
                            </w:r>
                            <w:r>
                              <w:rPr>
                                <w:spacing w:val="60"/>
                                <w:w w:val="150"/>
                                <w:sz w:val="16"/>
                              </w:rPr>
                              <w:t> </w:t>
                            </w:r>
                            <w:r>
                              <w:rPr>
                                <w:spacing w:val="-10"/>
                                <w:sz w:val="16"/>
                              </w:rPr>
                              <w:t>$</w:t>
                            </w:r>
                          </w:p>
                        </w:tc>
                        <w:tc>
                          <w:tcPr>
                            <w:tcW w:w="528" w:type="dxa"/>
                            <w:tcBorders>
                              <w:top w:val="single" w:sz="4" w:space="0" w:color="000000"/>
                              <w:bottom w:val="double" w:sz="8" w:space="0" w:color="auto"/>
                            </w:tcBorders>
                          </w:tcPr>
                          <w:p>
                            <w:pPr>
                              <w:pStyle w:val="TableParagraph"/>
                              <w:spacing w:line="164" w:lineRule="exact" w:before="36"/>
                              <w:ind w:left="103"/>
                              <w:jc w:val="center"/>
                              <w:rPr>
                                <w:sz w:val="16"/>
                              </w:rPr>
                            </w:pPr>
                            <w:r>
                              <w:rPr>
                                <w:spacing w:val="-4"/>
                                <w:sz w:val="16"/>
                              </w:rPr>
                              <w:t>2.54</w:t>
                            </w:r>
                          </w:p>
                        </w:tc>
                      </w:tr>
                      <w:tr>
                        <w:trPr>
                          <w:trHeight w:val="225" w:hRule="atLeast"/>
                        </w:trPr>
                        <w:tc>
                          <w:tcPr>
                            <w:tcW w:w="3535" w:type="dxa"/>
                            <w:tcBorders>
                              <w:top w:val="double" w:sz="8" w:space="0" w:color="CCEDFF"/>
                            </w:tcBorders>
                            <w:shd w:val="clear" w:color="auto" w:fill="CCEDFF"/>
                          </w:tcPr>
                          <w:p>
                            <w:pPr>
                              <w:pStyle w:val="TableParagraph"/>
                              <w:spacing w:before="11"/>
                              <w:ind w:left="52"/>
                              <w:rPr>
                                <w:sz w:val="16"/>
                              </w:rPr>
                            </w:pPr>
                            <w:r>
                              <w:rPr>
                                <w:sz w:val="16"/>
                              </w:rPr>
                              <w:t>Diluted</w:t>
                            </w:r>
                            <w:r>
                              <w:rPr>
                                <w:spacing w:val="-1"/>
                                <w:sz w:val="16"/>
                              </w:rPr>
                              <w:t> </w:t>
                            </w:r>
                            <w:r>
                              <w:rPr>
                                <w:sz w:val="16"/>
                              </w:rPr>
                              <w:t>earnings</w:t>
                            </w:r>
                            <w:r>
                              <w:rPr>
                                <w:spacing w:val="-1"/>
                                <w:sz w:val="16"/>
                              </w:rPr>
                              <w:t> </w:t>
                            </w:r>
                            <w:r>
                              <w:rPr>
                                <w:sz w:val="16"/>
                              </w:rPr>
                              <w:t>per </w:t>
                            </w:r>
                            <w:r>
                              <w:rPr>
                                <w:spacing w:val="-2"/>
                                <w:sz w:val="16"/>
                              </w:rPr>
                              <w:t>share:</w:t>
                            </w:r>
                          </w:p>
                        </w:tc>
                        <w:tc>
                          <w:tcPr>
                            <w:tcW w:w="1198" w:type="dxa"/>
                            <w:tcBorders>
                              <w:top w:val="double" w:sz="8" w:space="0" w:color="CCEDFF"/>
                            </w:tcBorders>
                            <w:shd w:val="clear" w:color="auto" w:fill="CCEDFF"/>
                          </w:tcPr>
                          <w:p>
                            <w:pPr>
                              <w:pStyle w:val="TableParagraph"/>
                              <w:rPr>
                                <w:sz w:val="16"/>
                              </w:rPr>
                            </w:pPr>
                          </w:p>
                        </w:tc>
                        <w:tc>
                          <w:tcPr>
                            <w:tcW w:w="507" w:type="dxa"/>
                            <w:tcBorders>
                              <w:top w:val="double" w:sz="8" w:space="0" w:color="CCEDFF"/>
                            </w:tcBorders>
                            <w:shd w:val="clear" w:color="auto" w:fill="CCEDFF"/>
                          </w:tcPr>
                          <w:p>
                            <w:pPr>
                              <w:pStyle w:val="TableParagraph"/>
                              <w:rPr>
                                <w:sz w:val="16"/>
                              </w:rPr>
                            </w:pPr>
                          </w:p>
                        </w:tc>
                        <w:tc>
                          <w:tcPr>
                            <w:tcW w:w="1134" w:type="dxa"/>
                            <w:tcBorders>
                              <w:top w:val="double" w:sz="8" w:space="0" w:color="CCEDFF"/>
                            </w:tcBorders>
                            <w:shd w:val="clear" w:color="auto" w:fill="CCEDFF"/>
                          </w:tcPr>
                          <w:p>
                            <w:pPr>
                              <w:pStyle w:val="TableParagraph"/>
                              <w:rPr>
                                <w:sz w:val="16"/>
                              </w:rPr>
                            </w:pPr>
                          </w:p>
                        </w:tc>
                        <w:tc>
                          <w:tcPr>
                            <w:tcW w:w="547" w:type="dxa"/>
                            <w:tcBorders>
                              <w:top w:val="double" w:sz="8" w:space="0" w:color="CCEDFF"/>
                            </w:tcBorders>
                            <w:shd w:val="clear" w:color="auto" w:fill="CCEDFF"/>
                          </w:tcPr>
                          <w:p>
                            <w:pPr>
                              <w:pStyle w:val="TableParagraph"/>
                              <w:rPr>
                                <w:sz w:val="16"/>
                              </w:rPr>
                            </w:pPr>
                          </w:p>
                        </w:tc>
                        <w:tc>
                          <w:tcPr>
                            <w:tcW w:w="1134" w:type="dxa"/>
                            <w:tcBorders>
                              <w:top w:val="double" w:sz="8" w:space="0" w:color="CCEDFF"/>
                            </w:tcBorders>
                            <w:shd w:val="clear" w:color="auto" w:fill="CCEDFF"/>
                          </w:tcPr>
                          <w:p>
                            <w:pPr>
                              <w:pStyle w:val="TableParagraph"/>
                              <w:rPr>
                                <w:sz w:val="16"/>
                              </w:rPr>
                            </w:pPr>
                          </w:p>
                        </w:tc>
                        <w:tc>
                          <w:tcPr>
                            <w:tcW w:w="547" w:type="dxa"/>
                            <w:tcBorders>
                              <w:top w:val="double" w:sz="8" w:space="0" w:color="CCEDFF"/>
                            </w:tcBorders>
                            <w:shd w:val="clear" w:color="auto" w:fill="CCEDFF"/>
                          </w:tcPr>
                          <w:p>
                            <w:pPr>
                              <w:pStyle w:val="TableParagraph"/>
                              <w:rPr>
                                <w:sz w:val="16"/>
                              </w:rPr>
                            </w:pPr>
                          </w:p>
                        </w:tc>
                        <w:tc>
                          <w:tcPr>
                            <w:tcW w:w="1134" w:type="dxa"/>
                            <w:tcBorders>
                              <w:top w:val="double" w:sz="8" w:space="0" w:color="CCEDFF"/>
                            </w:tcBorders>
                            <w:shd w:val="clear" w:color="auto" w:fill="CCEDFF"/>
                          </w:tcPr>
                          <w:p>
                            <w:pPr>
                              <w:pStyle w:val="TableParagraph"/>
                              <w:rPr>
                                <w:sz w:val="16"/>
                              </w:rPr>
                            </w:pPr>
                          </w:p>
                        </w:tc>
                        <w:tc>
                          <w:tcPr>
                            <w:tcW w:w="528" w:type="dxa"/>
                            <w:tcBorders>
                              <w:top w:val="double" w:sz="8" w:space="0" w:color="CCEDFF"/>
                            </w:tcBorders>
                            <w:shd w:val="clear" w:color="auto" w:fill="CCEDFF"/>
                          </w:tcPr>
                          <w:p>
                            <w:pPr>
                              <w:pStyle w:val="TableParagraph"/>
                              <w:rPr>
                                <w:sz w:val="16"/>
                              </w:rPr>
                            </w:pPr>
                          </w:p>
                        </w:tc>
                      </w:tr>
                      <w:tr>
                        <w:trPr>
                          <w:trHeight w:val="255" w:hRule="atLeast"/>
                        </w:trPr>
                        <w:tc>
                          <w:tcPr>
                            <w:tcW w:w="3535" w:type="dxa"/>
                          </w:tcPr>
                          <w:p>
                            <w:pPr>
                              <w:pStyle w:val="TableParagraph"/>
                              <w:spacing w:before="41"/>
                              <w:ind w:left="52"/>
                              <w:rPr>
                                <w:sz w:val="16"/>
                              </w:rPr>
                            </w:pPr>
                            <w:r>
                              <w:rPr>
                                <w:spacing w:val="-2"/>
                                <w:sz w:val="16"/>
                              </w:rPr>
                              <w:t>Numerator</w:t>
                            </w:r>
                          </w:p>
                        </w:tc>
                        <w:tc>
                          <w:tcPr>
                            <w:tcW w:w="1198" w:type="dxa"/>
                          </w:tcPr>
                          <w:p>
                            <w:pPr>
                              <w:pStyle w:val="TableParagraph"/>
                              <w:rPr>
                                <w:sz w:val="16"/>
                              </w:rPr>
                            </w:pPr>
                          </w:p>
                        </w:tc>
                        <w:tc>
                          <w:tcPr>
                            <w:tcW w:w="507" w:type="dxa"/>
                          </w:tcPr>
                          <w:p>
                            <w:pPr>
                              <w:pStyle w:val="TableParagraph"/>
                              <w:rPr>
                                <w:sz w:val="16"/>
                              </w:rPr>
                            </w:pPr>
                          </w:p>
                        </w:tc>
                        <w:tc>
                          <w:tcPr>
                            <w:tcW w:w="1134" w:type="dxa"/>
                          </w:tcPr>
                          <w:p>
                            <w:pPr>
                              <w:pStyle w:val="TableParagraph"/>
                              <w:rPr>
                                <w:sz w:val="16"/>
                              </w:rPr>
                            </w:pPr>
                          </w:p>
                        </w:tc>
                        <w:tc>
                          <w:tcPr>
                            <w:tcW w:w="547" w:type="dxa"/>
                          </w:tcPr>
                          <w:p>
                            <w:pPr>
                              <w:pStyle w:val="TableParagraph"/>
                              <w:rPr>
                                <w:sz w:val="16"/>
                              </w:rPr>
                            </w:pPr>
                          </w:p>
                        </w:tc>
                        <w:tc>
                          <w:tcPr>
                            <w:tcW w:w="1134" w:type="dxa"/>
                          </w:tcPr>
                          <w:p>
                            <w:pPr>
                              <w:pStyle w:val="TableParagraph"/>
                              <w:rPr>
                                <w:sz w:val="16"/>
                              </w:rPr>
                            </w:pPr>
                          </w:p>
                        </w:tc>
                        <w:tc>
                          <w:tcPr>
                            <w:tcW w:w="547" w:type="dxa"/>
                          </w:tcPr>
                          <w:p>
                            <w:pPr>
                              <w:pStyle w:val="TableParagraph"/>
                              <w:rPr>
                                <w:sz w:val="16"/>
                              </w:rPr>
                            </w:pPr>
                          </w:p>
                        </w:tc>
                        <w:tc>
                          <w:tcPr>
                            <w:tcW w:w="1134" w:type="dxa"/>
                          </w:tcPr>
                          <w:p>
                            <w:pPr>
                              <w:pStyle w:val="TableParagraph"/>
                              <w:rPr>
                                <w:sz w:val="16"/>
                              </w:rPr>
                            </w:pPr>
                          </w:p>
                        </w:tc>
                        <w:tc>
                          <w:tcPr>
                            <w:tcW w:w="528" w:type="dxa"/>
                          </w:tcPr>
                          <w:p>
                            <w:pPr>
                              <w:pStyle w:val="TableParagraph"/>
                              <w:rPr>
                                <w:sz w:val="16"/>
                              </w:rPr>
                            </w:pPr>
                          </w:p>
                        </w:tc>
                      </w:tr>
                      <w:tr>
                        <w:trPr>
                          <w:trHeight w:val="255" w:hRule="atLeast"/>
                        </w:trPr>
                        <w:tc>
                          <w:tcPr>
                            <w:tcW w:w="3535" w:type="dxa"/>
                            <w:shd w:val="clear" w:color="auto" w:fill="CCEDFF"/>
                          </w:tcPr>
                          <w:p>
                            <w:pPr>
                              <w:pStyle w:val="TableParagraph"/>
                              <w:spacing w:before="41"/>
                              <w:ind w:left="292"/>
                              <w:rPr>
                                <w:sz w:val="16"/>
                              </w:rPr>
                            </w:pPr>
                            <w:r>
                              <w:rPr>
                                <w:sz w:val="16"/>
                              </w:rPr>
                              <w:t>Net</w:t>
                            </w:r>
                            <w:r>
                              <w:rPr>
                                <w:spacing w:val="-1"/>
                                <w:sz w:val="16"/>
                              </w:rPr>
                              <w:t> </w:t>
                            </w:r>
                            <w:r>
                              <w:rPr>
                                <w:sz w:val="16"/>
                              </w:rPr>
                              <w:t>income available to common </w:t>
                            </w:r>
                            <w:r>
                              <w:rPr>
                                <w:spacing w:val="-2"/>
                                <w:sz w:val="16"/>
                              </w:rPr>
                              <w:t>stockholders</w:t>
                            </w:r>
                          </w:p>
                        </w:tc>
                        <w:tc>
                          <w:tcPr>
                            <w:tcW w:w="1198" w:type="dxa"/>
                            <w:shd w:val="clear" w:color="auto" w:fill="CCEDFF"/>
                          </w:tcPr>
                          <w:p>
                            <w:pPr>
                              <w:pStyle w:val="TableParagraph"/>
                              <w:tabs>
                                <w:tab w:pos="536" w:val="left" w:leader="none"/>
                              </w:tabs>
                              <w:spacing w:before="41"/>
                              <w:ind w:left="57"/>
                              <w:rPr>
                                <w:sz w:val="16"/>
                              </w:rPr>
                            </w:pPr>
                            <w:r>
                              <w:rPr>
                                <w:spacing w:val="-10"/>
                                <w:sz w:val="16"/>
                              </w:rPr>
                              <w:t>$</w:t>
                            </w:r>
                            <w:r>
                              <w:rPr>
                                <w:sz w:val="16"/>
                              </w:rPr>
                              <w:tab/>
                              <w:t>989</w:t>
                            </w:r>
                            <w:r>
                              <w:rPr>
                                <w:spacing w:val="60"/>
                                <w:w w:val="150"/>
                                <w:sz w:val="16"/>
                              </w:rPr>
                              <w:t> </w:t>
                            </w:r>
                            <w:r>
                              <w:rPr>
                                <w:spacing w:val="-10"/>
                                <w:sz w:val="16"/>
                              </w:rPr>
                              <w:t>$</w:t>
                            </w:r>
                          </w:p>
                        </w:tc>
                        <w:tc>
                          <w:tcPr>
                            <w:tcW w:w="507" w:type="dxa"/>
                            <w:shd w:val="clear" w:color="auto" w:fill="CCEDFF"/>
                          </w:tcPr>
                          <w:p>
                            <w:pPr>
                              <w:pStyle w:val="TableParagraph"/>
                              <w:spacing w:before="41"/>
                              <w:ind w:left="170"/>
                              <w:jc w:val="center"/>
                              <w:rPr>
                                <w:sz w:val="16"/>
                              </w:rPr>
                            </w:pPr>
                            <w:r>
                              <w:rPr>
                                <w:spacing w:val="-5"/>
                                <w:sz w:val="16"/>
                              </w:rPr>
                              <w:t>28</w:t>
                            </w:r>
                          </w:p>
                        </w:tc>
                        <w:tc>
                          <w:tcPr>
                            <w:tcW w:w="1134" w:type="dxa"/>
                            <w:shd w:val="clear" w:color="auto" w:fill="CCEDFF"/>
                          </w:tcPr>
                          <w:p>
                            <w:pPr>
                              <w:pStyle w:val="TableParagraph"/>
                              <w:tabs>
                                <w:tab w:pos="391" w:val="left" w:leader="none"/>
                              </w:tabs>
                              <w:spacing w:before="41"/>
                              <w:ind w:left="32"/>
                              <w:rPr>
                                <w:sz w:val="16"/>
                              </w:rPr>
                            </w:pPr>
                            <w:r>
                              <w:rPr>
                                <w:spacing w:val="-10"/>
                                <w:sz w:val="16"/>
                              </w:rPr>
                              <w:t>$</w:t>
                            </w:r>
                            <w:r>
                              <w:rPr>
                                <w:sz w:val="16"/>
                              </w:rPr>
                              <w:tab/>
                              <w:t>1,824</w:t>
                            </w:r>
                            <w:r>
                              <w:rPr>
                                <w:spacing w:val="60"/>
                                <w:w w:val="150"/>
                                <w:sz w:val="16"/>
                              </w:rPr>
                              <w:t> </w:t>
                            </w:r>
                            <w:r>
                              <w:rPr>
                                <w:spacing w:val="-10"/>
                                <w:sz w:val="16"/>
                              </w:rPr>
                              <w:t>$</w:t>
                            </w:r>
                          </w:p>
                        </w:tc>
                        <w:tc>
                          <w:tcPr>
                            <w:tcW w:w="547" w:type="dxa"/>
                            <w:shd w:val="clear" w:color="auto" w:fill="CCEDFF"/>
                          </w:tcPr>
                          <w:p>
                            <w:pPr>
                              <w:pStyle w:val="TableParagraph"/>
                              <w:spacing w:before="41"/>
                              <w:ind w:right="87"/>
                              <w:jc w:val="right"/>
                              <w:rPr>
                                <w:sz w:val="16"/>
                              </w:rPr>
                            </w:pPr>
                            <w:r>
                              <w:rPr>
                                <w:spacing w:val="-5"/>
                                <w:sz w:val="16"/>
                              </w:rPr>
                              <w:t>60</w:t>
                            </w:r>
                          </w:p>
                        </w:tc>
                        <w:tc>
                          <w:tcPr>
                            <w:tcW w:w="1134" w:type="dxa"/>
                            <w:shd w:val="clear" w:color="auto" w:fill="CCEDFF"/>
                          </w:tcPr>
                          <w:p>
                            <w:pPr>
                              <w:pStyle w:val="TableParagraph"/>
                              <w:tabs>
                                <w:tab w:pos="390" w:val="left" w:leader="none"/>
                              </w:tabs>
                              <w:spacing w:before="41"/>
                              <w:ind w:left="31"/>
                              <w:rPr>
                                <w:sz w:val="16"/>
                              </w:rPr>
                            </w:pPr>
                            <w:r>
                              <w:rPr>
                                <w:spacing w:val="-10"/>
                                <w:sz w:val="16"/>
                              </w:rPr>
                              <w:t>$</w:t>
                            </w:r>
                            <w:r>
                              <w:rPr>
                                <w:sz w:val="16"/>
                              </w:rPr>
                              <w:tab/>
                              <w:t>3,619</w:t>
                            </w:r>
                            <w:r>
                              <w:rPr>
                                <w:spacing w:val="60"/>
                                <w:w w:val="150"/>
                                <w:sz w:val="16"/>
                              </w:rPr>
                              <w:t> </w:t>
                            </w:r>
                            <w:r>
                              <w:rPr>
                                <w:spacing w:val="-10"/>
                                <w:sz w:val="16"/>
                              </w:rPr>
                              <w:t>$</w:t>
                            </w:r>
                          </w:p>
                        </w:tc>
                        <w:tc>
                          <w:tcPr>
                            <w:tcW w:w="547" w:type="dxa"/>
                            <w:shd w:val="clear" w:color="auto" w:fill="CCEDFF"/>
                          </w:tcPr>
                          <w:p>
                            <w:pPr>
                              <w:pStyle w:val="TableParagraph"/>
                              <w:spacing w:before="41"/>
                              <w:ind w:right="88"/>
                              <w:jc w:val="right"/>
                              <w:rPr>
                                <w:sz w:val="16"/>
                              </w:rPr>
                            </w:pPr>
                            <w:r>
                              <w:rPr>
                                <w:spacing w:val="-5"/>
                                <w:sz w:val="16"/>
                              </w:rPr>
                              <w:t>104</w:t>
                            </w:r>
                          </w:p>
                        </w:tc>
                        <w:tc>
                          <w:tcPr>
                            <w:tcW w:w="1134" w:type="dxa"/>
                            <w:shd w:val="clear" w:color="auto" w:fill="CCEDFF"/>
                          </w:tcPr>
                          <w:p>
                            <w:pPr>
                              <w:pStyle w:val="TableParagraph"/>
                              <w:tabs>
                                <w:tab w:pos="389" w:val="left" w:leader="none"/>
                              </w:tabs>
                              <w:spacing w:before="41"/>
                              <w:ind w:left="30"/>
                              <w:rPr>
                                <w:sz w:val="16"/>
                              </w:rPr>
                            </w:pPr>
                            <w:r>
                              <w:rPr>
                                <w:spacing w:val="-10"/>
                                <w:sz w:val="16"/>
                              </w:rPr>
                              <w:t>$</w:t>
                            </w:r>
                            <w:r>
                              <w:rPr>
                                <w:sz w:val="16"/>
                              </w:rPr>
                              <w:tab/>
                              <w:t>4,629</w:t>
                            </w:r>
                            <w:r>
                              <w:rPr>
                                <w:spacing w:val="60"/>
                                <w:w w:val="150"/>
                                <w:sz w:val="16"/>
                              </w:rPr>
                              <w:t> </w:t>
                            </w:r>
                            <w:r>
                              <w:rPr>
                                <w:spacing w:val="-10"/>
                                <w:sz w:val="16"/>
                              </w:rPr>
                              <w:t>$</w:t>
                            </w:r>
                          </w:p>
                        </w:tc>
                        <w:tc>
                          <w:tcPr>
                            <w:tcW w:w="528" w:type="dxa"/>
                            <w:shd w:val="clear" w:color="auto" w:fill="CCEDFF"/>
                          </w:tcPr>
                          <w:p>
                            <w:pPr>
                              <w:pStyle w:val="TableParagraph"/>
                              <w:spacing w:before="41"/>
                              <w:ind w:left="143"/>
                              <w:jc w:val="center"/>
                              <w:rPr>
                                <w:sz w:val="16"/>
                              </w:rPr>
                            </w:pPr>
                            <w:r>
                              <w:rPr>
                                <w:spacing w:val="-5"/>
                                <w:sz w:val="16"/>
                              </w:rPr>
                              <w:t>185</w:t>
                            </w:r>
                          </w:p>
                        </w:tc>
                      </w:tr>
                      <w:tr>
                        <w:trPr>
                          <w:trHeight w:val="550" w:hRule="atLeast"/>
                        </w:trPr>
                        <w:tc>
                          <w:tcPr>
                            <w:tcW w:w="3535" w:type="dxa"/>
                            <w:tcBorders>
                              <w:bottom w:val="single" w:sz="4" w:space="0" w:color="000000"/>
                            </w:tcBorders>
                          </w:tcPr>
                          <w:p>
                            <w:pPr>
                              <w:pStyle w:val="TableParagraph"/>
                              <w:spacing w:line="208" w:lineRule="auto" w:before="40"/>
                              <w:ind w:left="292" w:right="84"/>
                              <w:rPr>
                                <w:sz w:val="16"/>
                              </w:rPr>
                            </w:pPr>
                            <w:r>
                              <w:rPr>
                                <w:sz w:val="16"/>
                              </w:rPr>
                              <w:t>Reallocation</w:t>
                            </w:r>
                            <w:r>
                              <w:rPr>
                                <w:spacing w:val="-7"/>
                                <w:sz w:val="16"/>
                              </w:rPr>
                              <w:t> </w:t>
                            </w:r>
                            <w:r>
                              <w:rPr>
                                <w:sz w:val="16"/>
                              </w:rPr>
                              <w:t>of</w:t>
                            </w:r>
                            <w:r>
                              <w:rPr>
                                <w:spacing w:val="-7"/>
                                <w:sz w:val="16"/>
                              </w:rPr>
                              <w:t> </w:t>
                            </w:r>
                            <w:r>
                              <w:rPr>
                                <w:sz w:val="16"/>
                              </w:rPr>
                              <w:t>net</w:t>
                            </w:r>
                            <w:r>
                              <w:rPr>
                                <w:spacing w:val="-7"/>
                                <w:sz w:val="16"/>
                              </w:rPr>
                              <w:t> </w:t>
                            </w:r>
                            <w:r>
                              <w:rPr>
                                <w:sz w:val="16"/>
                              </w:rPr>
                              <w:t>income</w:t>
                            </w:r>
                            <w:r>
                              <w:rPr>
                                <w:spacing w:val="-7"/>
                                <w:sz w:val="16"/>
                              </w:rPr>
                              <w:t> </w:t>
                            </w:r>
                            <w:r>
                              <w:rPr>
                                <w:sz w:val="16"/>
                              </w:rPr>
                              <w:t>available</w:t>
                            </w:r>
                            <w:r>
                              <w:rPr>
                                <w:spacing w:val="-7"/>
                                <w:sz w:val="16"/>
                              </w:rPr>
                              <w:t> </w:t>
                            </w:r>
                            <w:r>
                              <w:rPr>
                                <w:sz w:val="16"/>
                              </w:rPr>
                              <w:t>to</w:t>
                            </w:r>
                            <w:r>
                              <w:rPr>
                                <w:spacing w:val="-7"/>
                                <w:sz w:val="16"/>
                              </w:rPr>
                              <w:t> </w:t>
                            </w:r>
                            <w:r>
                              <w:rPr>
                                <w:sz w:val="16"/>
                              </w:rPr>
                              <w:t>common</w:t>
                            </w:r>
                            <w:r>
                              <w:rPr>
                                <w:spacing w:val="40"/>
                                <w:sz w:val="16"/>
                              </w:rPr>
                              <w:t> </w:t>
                            </w:r>
                            <w:r>
                              <w:rPr>
                                <w:sz w:val="16"/>
                              </w:rPr>
                              <w:t>stockholders as a result of conversion of</w:t>
                            </w:r>
                            <w:r>
                              <w:rPr>
                                <w:spacing w:val="40"/>
                                <w:sz w:val="16"/>
                              </w:rPr>
                              <w:t> </w:t>
                            </w:r>
                            <w:r>
                              <w:rPr>
                                <w:sz w:val="16"/>
                              </w:rPr>
                              <w:t>nonvoting to voting shares</w:t>
                            </w:r>
                          </w:p>
                        </w:tc>
                        <w:tc>
                          <w:tcPr>
                            <w:tcW w:w="1198" w:type="dxa"/>
                            <w:tcBorders>
                              <w:bottom w:val="single" w:sz="4" w:space="0" w:color="000000"/>
                            </w:tcBorders>
                          </w:tcPr>
                          <w:p>
                            <w:pPr>
                              <w:pStyle w:val="TableParagraph"/>
                              <w:spacing w:before="157"/>
                              <w:rPr>
                                <w:sz w:val="16"/>
                              </w:rPr>
                            </w:pPr>
                          </w:p>
                          <w:p>
                            <w:pPr>
                              <w:pStyle w:val="TableParagraph"/>
                              <w:ind w:left="275" w:right="80"/>
                              <w:jc w:val="center"/>
                              <w:rPr>
                                <w:sz w:val="16"/>
                              </w:rPr>
                            </w:pPr>
                            <w:r>
                              <w:rPr>
                                <w:spacing w:val="-5"/>
                                <w:sz w:val="16"/>
                              </w:rPr>
                              <w:t>28</w:t>
                            </w:r>
                          </w:p>
                        </w:tc>
                        <w:tc>
                          <w:tcPr>
                            <w:tcW w:w="507" w:type="dxa"/>
                            <w:tcBorders>
                              <w:bottom w:val="single" w:sz="4" w:space="0" w:color="000000"/>
                            </w:tcBorders>
                          </w:tcPr>
                          <w:p>
                            <w:pPr>
                              <w:pStyle w:val="TableParagraph"/>
                              <w:spacing w:before="157"/>
                              <w:rPr>
                                <w:sz w:val="16"/>
                              </w:rPr>
                            </w:pPr>
                          </w:p>
                          <w:p>
                            <w:pPr>
                              <w:pStyle w:val="TableParagraph"/>
                              <w:ind w:left="170"/>
                              <w:jc w:val="center"/>
                              <w:rPr>
                                <w:sz w:val="16"/>
                              </w:rPr>
                            </w:pPr>
                            <w:r>
                              <w:rPr>
                                <w:spacing w:val="-10"/>
                                <w:sz w:val="16"/>
                              </w:rPr>
                              <w:t>—</w:t>
                            </w:r>
                          </w:p>
                        </w:tc>
                        <w:tc>
                          <w:tcPr>
                            <w:tcW w:w="1134" w:type="dxa"/>
                            <w:tcBorders>
                              <w:bottom w:val="single" w:sz="4" w:space="0" w:color="000000"/>
                            </w:tcBorders>
                          </w:tcPr>
                          <w:p>
                            <w:pPr>
                              <w:pStyle w:val="TableParagraph"/>
                              <w:spacing w:before="157"/>
                              <w:rPr>
                                <w:sz w:val="16"/>
                              </w:rPr>
                            </w:pPr>
                          </w:p>
                          <w:p>
                            <w:pPr>
                              <w:pStyle w:val="TableParagraph"/>
                              <w:ind w:left="289" w:right="80"/>
                              <w:jc w:val="center"/>
                              <w:rPr>
                                <w:sz w:val="16"/>
                              </w:rPr>
                            </w:pPr>
                            <w:r>
                              <w:rPr>
                                <w:spacing w:val="-5"/>
                                <w:sz w:val="16"/>
                              </w:rPr>
                              <w:t>60</w:t>
                            </w:r>
                          </w:p>
                        </w:tc>
                        <w:tc>
                          <w:tcPr>
                            <w:tcW w:w="547" w:type="dxa"/>
                            <w:tcBorders>
                              <w:bottom w:val="single" w:sz="4" w:space="0" w:color="000000"/>
                            </w:tcBorders>
                          </w:tcPr>
                          <w:p>
                            <w:pPr>
                              <w:pStyle w:val="TableParagraph"/>
                              <w:spacing w:before="157"/>
                              <w:rPr>
                                <w:sz w:val="16"/>
                              </w:rPr>
                            </w:pPr>
                          </w:p>
                          <w:p>
                            <w:pPr>
                              <w:pStyle w:val="TableParagraph"/>
                              <w:ind w:right="87"/>
                              <w:jc w:val="right"/>
                              <w:rPr>
                                <w:sz w:val="16"/>
                              </w:rPr>
                            </w:pPr>
                            <w:r>
                              <w:rPr>
                                <w:spacing w:val="-10"/>
                                <w:sz w:val="16"/>
                              </w:rPr>
                              <w:t>—</w:t>
                            </w:r>
                          </w:p>
                        </w:tc>
                        <w:tc>
                          <w:tcPr>
                            <w:tcW w:w="1134" w:type="dxa"/>
                            <w:tcBorders>
                              <w:bottom w:val="single" w:sz="4" w:space="0" w:color="000000"/>
                            </w:tcBorders>
                          </w:tcPr>
                          <w:p>
                            <w:pPr>
                              <w:pStyle w:val="TableParagraph"/>
                              <w:spacing w:before="157"/>
                              <w:rPr>
                                <w:sz w:val="16"/>
                              </w:rPr>
                            </w:pPr>
                          </w:p>
                          <w:p>
                            <w:pPr>
                              <w:pStyle w:val="TableParagraph"/>
                              <w:ind w:left="289" w:right="162"/>
                              <w:jc w:val="center"/>
                              <w:rPr>
                                <w:sz w:val="16"/>
                              </w:rPr>
                            </w:pPr>
                            <w:r>
                              <w:rPr>
                                <w:spacing w:val="-5"/>
                                <w:sz w:val="16"/>
                              </w:rPr>
                              <w:t>104</w:t>
                            </w:r>
                          </w:p>
                        </w:tc>
                        <w:tc>
                          <w:tcPr>
                            <w:tcW w:w="547" w:type="dxa"/>
                            <w:tcBorders>
                              <w:bottom w:val="single" w:sz="4" w:space="0" w:color="000000"/>
                            </w:tcBorders>
                          </w:tcPr>
                          <w:p>
                            <w:pPr>
                              <w:pStyle w:val="TableParagraph"/>
                              <w:spacing w:before="157"/>
                              <w:rPr>
                                <w:sz w:val="16"/>
                              </w:rPr>
                            </w:pPr>
                          </w:p>
                          <w:p>
                            <w:pPr>
                              <w:pStyle w:val="TableParagraph"/>
                              <w:ind w:right="88"/>
                              <w:jc w:val="right"/>
                              <w:rPr>
                                <w:sz w:val="16"/>
                              </w:rPr>
                            </w:pPr>
                            <w:r>
                              <w:rPr>
                                <w:spacing w:val="-10"/>
                                <w:sz w:val="16"/>
                              </w:rPr>
                              <w:t>—</w:t>
                            </w:r>
                          </w:p>
                        </w:tc>
                        <w:tc>
                          <w:tcPr>
                            <w:tcW w:w="1134" w:type="dxa"/>
                            <w:tcBorders>
                              <w:bottom w:val="single" w:sz="4" w:space="0" w:color="000000"/>
                            </w:tcBorders>
                          </w:tcPr>
                          <w:p>
                            <w:pPr>
                              <w:pStyle w:val="TableParagraph"/>
                              <w:spacing w:before="157"/>
                              <w:rPr>
                                <w:sz w:val="16"/>
                              </w:rPr>
                            </w:pPr>
                          </w:p>
                          <w:p>
                            <w:pPr>
                              <w:pStyle w:val="TableParagraph"/>
                              <w:ind w:left="289" w:right="164"/>
                              <w:jc w:val="center"/>
                              <w:rPr>
                                <w:sz w:val="16"/>
                              </w:rPr>
                            </w:pPr>
                            <w:r>
                              <w:rPr>
                                <w:spacing w:val="-5"/>
                                <w:sz w:val="16"/>
                              </w:rPr>
                              <w:t>185</w:t>
                            </w:r>
                          </w:p>
                        </w:tc>
                        <w:tc>
                          <w:tcPr>
                            <w:tcW w:w="528" w:type="dxa"/>
                            <w:tcBorders>
                              <w:bottom w:val="single" w:sz="4" w:space="0" w:color="000000"/>
                            </w:tcBorders>
                          </w:tcPr>
                          <w:p>
                            <w:pPr>
                              <w:pStyle w:val="TableParagraph"/>
                              <w:spacing w:before="157"/>
                              <w:rPr>
                                <w:sz w:val="16"/>
                              </w:rPr>
                            </w:pPr>
                          </w:p>
                          <w:p>
                            <w:pPr>
                              <w:pStyle w:val="TableParagraph"/>
                              <w:ind w:left="223"/>
                              <w:jc w:val="center"/>
                              <w:rPr>
                                <w:sz w:val="16"/>
                              </w:rPr>
                            </w:pPr>
                            <w:r>
                              <w:rPr>
                                <w:spacing w:val="-10"/>
                                <w:sz w:val="16"/>
                              </w:rPr>
                              <w:t>—</w:t>
                            </w:r>
                          </w:p>
                        </w:tc>
                      </w:tr>
                      <w:tr>
                        <w:trPr>
                          <w:trHeight w:val="395" w:hRule="atLeast"/>
                        </w:trPr>
                        <w:tc>
                          <w:tcPr>
                            <w:tcW w:w="3535" w:type="dxa"/>
                            <w:tcBorders>
                              <w:top w:val="single" w:sz="4" w:space="0" w:color="000000"/>
                              <w:bottom w:val="single" w:sz="4" w:space="0" w:color="000000"/>
                            </w:tcBorders>
                            <w:shd w:val="clear" w:color="auto" w:fill="CCEDFF"/>
                          </w:tcPr>
                          <w:p>
                            <w:pPr>
                              <w:pStyle w:val="TableParagraph"/>
                              <w:spacing w:line="208" w:lineRule="auto" w:before="45"/>
                              <w:ind w:left="292"/>
                              <w:rPr>
                                <w:sz w:val="16"/>
                              </w:rPr>
                            </w:pPr>
                            <w:r>
                              <w:rPr>
                                <w:sz w:val="16"/>
                              </w:rPr>
                              <w:t>Allocation</w:t>
                            </w:r>
                            <w:r>
                              <w:rPr>
                                <w:spacing w:val="-7"/>
                                <w:sz w:val="16"/>
                              </w:rPr>
                              <w:t> </w:t>
                            </w:r>
                            <w:r>
                              <w:rPr>
                                <w:sz w:val="16"/>
                              </w:rPr>
                              <w:t>of</w:t>
                            </w:r>
                            <w:r>
                              <w:rPr>
                                <w:spacing w:val="-7"/>
                                <w:sz w:val="16"/>
                              </w:rPr>
                              <w:t> </w:t>
                            </w:r>
                            <w:r>
                              <w:rPr>
                                <w:sz w:val="16"/>
                              </w:rPr>
                              <w:t>net</w:t>
                            </w:r>
                            <w:r>
                              <w:rPr>
                                <w:spacing w:val="-7"/>
                                <w:sz w:val="16"/>
                              </w:rPr>
                              <w:t> </w:t>
                            </w:r>
                            <w:r>
                              <w:rPr>
                                <w:sz w:val="16"/>
                              </w:rPr>
                              <w:t>income</w:t>
                            </w:r>
                            <w:r>
                              <w:rPr>
                                <w:spacing w:val="-7"/>
                                <w:sz w:val="16"/>
                              </w:rPr>
                              <w:t> </w:t>
                            </w:r>
                            <w:r>
                              <w:rPr>
                                <w:sz w:val="16"/>
                              </w:rPr>
                              <w:t>available</w:t>
                            </w:r>
                            <w:r>
                              <w:rPr>
                                <w:spacing w:val="-7"/>
                                <w:sz w:val="16"/>
                              </w:rPr>
                              <w:t> </w:t>
                            </w:r>
                            <w:r>
                              <w:rPr>
                                <w:sz w:val="16"/>
                              </w:rPr>
                              <w:t>to</w:t>
                            </w:r>
                            <w:r>
                              <w:rPr>
                                <w:spacing w:val="-7"/>
                                <w:sz w:val="16"/>
                              </w:rPr>
                              <w:t> </w:t>
                            </w:r>
                            <w:r>
                              <w:rPr>
                                <w:sz w:val="16"/>
                              </w:rPr>
                              <w:t>common</w:t>
                            </w:r>
                            <w:r>
                              <w:rPr>
                                <w:spacing w:val="40"/>
                                <w:sz w:val="16"/>
                              </w:rPr>
                              <w:t> </w:t>
                            </w:r>
                            <w:r>
                              <w:rPr>
                                <w:spacing w:val="-2"/>
                                <w:sz w:val="16"/>
                              </w:rPr>
                              <w:t>stockholders:</w:t>
                            </w:r>
                          </w:p>
                        </w:tc>
                        <w:tc>
                          <w:tcPr>
                            <w:tcW w:w="1198" w:type="dxa"/>
                            <w:tcBorders>
                              <w:top w:val="single" w:sz="4" w:space="0" w:color="000000"/>
                              <w:bottom w:val="single" w:sz="4" w:space="0" w:color="000000"/>
                            </w:tcBorders>
                            <w:shd w:val="clear" w:color="auto" w:fill="CCEDFF"/>
                          </w:tcPr>
                          <w:p>
                            <w:pPr>
                              <w:pStyle w:val="TableParagraph"/>
                              <w:spacing w:before="2"/>
                              <w:rPr>
                                <w:sz w:val="16"/>
                              </w:rPr>
                            </w:pPr>
                          </w:p>
                          <w:p>
                            <w:pPr>
                              <w:pStyle w:val="TableParagraph"/>
                              <w:tabs>
                                <w:tab w:pos="416" w:val="left" w:leader="none"/>
                              </w:tabs>
                              <w:ind w:left="57"/>
                              <w:rPr>
                                <w:sz w:val="16"/>
                              </w:rPr>
                            </w:pPr>
                            <w:r>
                              <w:rPr>
                                <w:spacing w:val="-10"/>
                                <w:sz w:val="16"/>
                              </w:rPr>
                              <w:t>$</w:t>
                            </w:r>
                            <w:r>
                              <w:rPr>
                                <w:sz w:val="16"/>
                              </w:rPr>
                              <w:tab/>
                              <w:t>1,017</w:t>
                            </w:r>
                            <w:r>
                              <w:rPr>
                                <w:spacing w:val="60"/>
                                <w:w w:val="150"/>
                                <w:sz w:val="16"/>
                              </w:rPr>
                              <w:t> </w:t>
                            </w:r>
                            <w:r>
                              <w:rPr>
                                <w:spacing w:val="-10"/>
                                <w:sz w:val="16"/>
                              </w:rPr>
                              <w:t>$</w:t>
                            </w:r>
                          </w:p>
                        </w:tc>
                        <w:tc>
                          <w:tcPr>
                            <w:tcW w:w="507" w:type="dxa"/>
                            <w:tcBorders>
                              <w:top w:val="single" w:sz="4" w:space="0" w:color="000000"/>
                              <w:bottom w:val="single" w:sz="4" w:space="0" w:color="000000"/>
                            </w:tcBorders>
                            <w:shd w:val="clear" w:color="auto" w:fill="CCEDFF"/>
                          </w:tcPr>
                          <w:p>
                            <w:pPr>
                              <w:pStyle w:val="TableParagraph"/>
                              <w:spacing w:before="2"/>
                              <w:rPr>
                                <w:sz w:val="16"/>
                              </w:rPr>
                            </w:pPr>
                          </w:p>
                          <w:p>
                            <w:pPr>
                              <w:pStyle w:val="TableParagraph"/>
                              <w:ind w:left="170"/>
                              <w:jc w:val="center"/>
                              <w:rPr>
                                <w:sz w:val="16"/>
                              </w:rPr>
                            </w:pPr>
                            <w:r>
                              <w:rPr>
                                <w:spacing w:val="-5"/>
                                <w:sz w:val="16"/>
                              </w:rPr>
                              <w:t>28</w:t>
                            </w:r>
                          </w:p>
                        </w:tc>
                        <w:tc>
                          <w:tcPr>
                            <w:tcW w:w="1134" w:type="dxa"/>
                            <w:tcBorders>
                              <w:top w:val="single" w:sz="4" w:space="0" w:color="000000"/>
                              <w:bottom w:val="single" w:sz="4" w:space="0" w:color="000000"/>
                            </w:tcBorders>
                            <w:shd w:val="clear" w:color="auto" w:fill="CCEDFF"/>
                          </w:tcPr>
                          <w:p>
                            <w:pPr>
                              <w:pStyle w:val="TableParagraph"/>
                              <w:spacing w:before="2"/>
                              <w:rPr>
                                <w:sz w:val="16"/>
                              </w:rPr>
                            </w:pPr>
                          </w:p>
                          <w:p>
                            <w:pPr>
                              <w:pStyle w:val="TableParagraph"/>
                              <w:tabs>
                                <w:tab w:pos="391" w:val="left" w:leader="none"/>
                              </w:tabs>
                              <w:ind w:left="32"/>
                              <w:rPr>
                                <w:sz w:val="16"/>
                              </w:rPr>
                            </w:pPr>
                            <w:r>
                              <w:rPr>
                                <w:spacing w:val="-10"/>
                                <w:sz w:val="16"/>
                              </w:rPr>
                              <w:t>$</w:t>
                            </w:r>
                            <w:r>
                              <w:rPr>
                                <w:sz w:val="16"/>
                              </w:rPr>
                              <w:tab/>
                              <w:t>1,884</w:t>
                            </w:r>
                            <w:r>
                              <w:rPr>
                                <w:spacing w:val="60"/>
                                <w:w w:val="150"/>
                                <w:sz w:val="16"/>
                              </w:rPr>
                              <w:t> </w:t>
                            </w:r>
                            <w:r>
                              <w:rPr>
                                <w:spacing w:val="-10"/>
                                <w:sz w:val="16"/>
                              </w:rPr>
                              <w:t>$</w:t>
                            </w:r>
                          </w:p>
                        </w:tc>
                        <w:tc>
                          <w:tcPr>
                            <w:tcW w:w="547" w:type="dxa"/>
                            <w:tcBorders>
                              <w:top w:val="single" w:sz="4" w:space="0" w:color="000000"/>
                              <w:bottom w:val="single" w:sz="4" w:space="0" w:color="000000"/>
                            </w:tcBorders>
                            <w:shd w:val="clear" w:color="auto" w:fill="CCEDFF"/>
                          </w:tcPr>
                          <w:p>
                            <w:pPr>
                              <w:pStyle w:val="TableParagraph"/>
                              <w:spacing w:before="2"/>
                              <w:rPr>
                                <w:sz w:val="16"/>
                              </w:rPr>
                            </w:pPr>
                          </w:p>
                          <w:p>
                            <w:pPr>
                              <w:pStyle w:val="TableParagraph"/>
                              <w:ind w:right="87"/>
                              <w:jc w:val="right"/>
                              <w:rPr>
                                <w:sz w:val="16"/>
                              </w:rPr>
                            </w:pPr>
                            <w:r>
                              <w:rPr>
                                <w:spacing w:val="-5"/>
                                <w:sz w:val="16"/>
                              </w:rPr>
                              <w:t>60</w:t>
                            </w:r>
                          </w:p>
                        </w:tc>
                        <w:tc>
                          <w:tcPr>
                            <w:tcW w:w="1134" w:type="dxa"/>
                            <w:tcBorders>
                              <w:top w:val="single" w:sz="4" w:space="0" w:color="000000"/>
                              <w:bottom w:val="single" w:sz="4" w:space="0" w:color="000000"/>
                            </w:tcBorders>
                            <w:shd w:val="clear" w:color="auto" w:fill="CCEDFF"/>
                          </w:tcPr>
                          <w:p>
                            <w:pPr>
                              <w:pStyle w:val="TableParagraph"/>
                              <w:spacing w:before="2"/>
                              <w:rPr>
                                <w:sz w:val="16"/>
                              </w:rPr>
                            </w:pPr>
                          </w:p>
                          <w:p>
                            <w:pPr>
                              <w:pStyle w:val="TableParagraph"/>
                              <w:tabs>
                                <w:tab w:pos="390" w:val="left" w:leader="none"/>
                              </w:tabs>
                              <w:ind w:left="31"/>
                              <w:rPr>
                                <w:sz w:val="16"/>
                              </w:rPr>
                            </w:pPr>
                            <w:r>
                              <w:rPr>
                                <w:spacing w:val="-10"/>
                                <w:sz w:val="16"/>
                              </w:rPr>
                              <w:t>$</w:t>
                            </w:r>
                            <w:r>
                              <w:rPr>
                                <w:sz w:val="16"/>
                              </w:rPr>
                              <w:tab/>
                              <w:t>3,723</w:t>
                            </w:r>
                            <w:r>
                              <w:rPr>
                                <w:spacing w:val="60"/>
                                <w:w w:val="150"/>
                                <w:sz w:val="16"/>
                              </w:rPr>
                              <w:t> </w:t>
                            </w:r>
                            <w:r>
                              <w:rPr>
                                <w:spacing w:val="-10"/>
                                <w:sz w:val="16"/>
                              </w:rPr>
                              <w:t>$</w:t>
                            </w:r>
                          </w:p>
                        </w:tc>
                        <w:tc>
                          <w:tcPr>
                            <w:tcW w:w="547" w:type="dxa"/>
                            <w:tcBorders>
                              <w:top w:val="single" w:sz="4" w:space="0" w:color="000000"/>
                              <w:bottom w:val="single" w:sz="4" w:space="0" w:color="000000"/>
                            </w:tcBorders>
                            <w:shd w:val="clear" w:color="auto" w:fill="CCEDFF"/>
                          </w:tcPr>
                          <w:p>
                            <w:pPr>
                              <w:pStyle w:val="TableParagraph"/>
                              <w:spacing w:before="2"/>
                              <w:rPr>
                                <w:sz w:val="16"/>
                              </w:rPr>
                            </w:pPr>
                          </w:p>
                          <w:p>
                            <w:pPr>
                              <w:pStyle w:val="TableParagraph"/>
                              <w:ind w:right="88"/>
                              <w:jc w:val="right"/>
                              <w:rPr>
                                <w:sz w:val="16"/>
                              </w:rPr>
                            </w:pPr>
                            <w:r>
                              <w:rPr>
                                <w:spacing w:val="-5"/>
                                <w:sz w:val="16"/>
                              </w:rPr>
                              <w:t>104</w:t>
                            </w:r>
                          </w:p>
                        </w:tc>
                        <w:tc>
                          <w:tcPr>
                            <w:tcW w:w="1134" w:type="dxa"/>
                            <w:tcBorders>
                              <w:top w:val="single" w:sz="4" w:space="0" w:color="000000"/>
                              <w:bottom w:val="single" w:sz="4" w:space="0" w:color="000000"/>
                            </w:tcBorders>
                            <w:shd w:val="clear" w:color="auto" w:fill="CCEDFF"/>
                          </w:tcPr>
                          <w:p>
                            <w:pPr>
                              <w:pStyle w:val="TableParagraph"/>
                              <w:spacing w:before="2"/>
                              <w:rPr>
                                <w:sz w:val="16"/>
                              </w:rPr>
                            </w:pPr>
                          </w:p>
                          <w:p>
                            <w:pPr>
                              <w:pStyle w:val="TableParagraph"/>
                              <w:tabs>
                                <w:tab w:pos="389" w:val="left" w:leader="none"/>
                              </w:tabs>
                              <w:ind w:left="30"/>
                              <w:rPr>
                                <w:sz w:val="16"/>
                              </w:rPr>
                            </w:pPr>
                            <w:r>
                              <w:rPr>
                                <w:spacing w:val="-10"/>
                                <w:sz w:val="16"/>
                              </w:rPr>
                              <w:t>$</w:t>
                            </w:r>
                            <w:r>
                              <w:rPr>
                                <w:sz w:val="16"/>
                              </w:rPr>
                              <w:tab/>
                              <w:t>4,814</w:t>
                            </w:r>
                            <w:r>
                              <w:rPr>
                                <w:spacing w:val="60"/>
                                <w:w w:val="150"/>
                                <w:sz w:val="16"/>
                              </w:rPr>
                              <w:t> </w:t>
                            </w:r>
                            <w:r>
                              <w:rPr>
                                <w:spacing w:val="-10"/>
                                <w:sz w:val="16"/>
                              </w:rPr>
                              <w:t>$</w:t>
                            </w:r>
                          </w:p>
                        </w:tc>
                        <w:tc>
                          <w:tcPr>
                            <w:tcW w:w="528" w:type="dxa"/>
                            <w:tcBorders>
                              <w:top w:val="single" w:sz="4" w:space="0" w:color="000000"/>
                              <w:bottom w:val="single" w:sz="4" w:space="0" w:color="000000"/>
                            </w:tcBorders>
                            <w:shd w:val="clear" w:color="auto" w:fill="CCEDFF"/>
                          </w:tcPr>
                          <w:p>
                            <w:pPr>
                              <w:pStyle w:val="TableParagraph"/>
                              <w:spacing w:before="2"/>
                              <w:rPr>
                                <w:sz w:val="16"/>
                              </w:rPr>
                            </w:pPr>
                          </w:p>
                          <w:p>
                            <w:pPr>
                              <w:pStyle w:val="TableParagraph"/>
                              <w:ind w:left="143"/>
                              <w:jc w:val="center"/>
                              <w:rPr>
                                <w:sz w:val="16"/>
                              </w:rPr>
                            </w:pPr>
                            <w:r>
                              <w:rPr>
                                <w:spacing w:val="-5"/>
                                <w:sz w:val="16"/>
                              </w:rPr>
                              <w:t>185</w:t>
                            </w:r>
                          </w:p>
                        </w:tc>
                      </w:tr>
                      <w:tr>
                        <w:trPr>
                          <w:trHeight w:val="250" w:hRule="atLeast"/>
                        </w:trPr>
                        <w:tc>
                          <w:tcPr>
                            <w:tcW w:w="3535" w:type="dxa"/>
                            <w:tcBorders>
                              <w:top w:val="single" w:sz="4" w:space="0" w:color="000000"/>
                            </w:tcBorders>
                          </w:tcPr>
                          <w:p>
                            <w:pPr>
                              <w:pStyle w:val="TableParagraph"/>
                              <w:spacing w:before="36"/>
                              <w:ind w:left="52"/>
                              <w:rPr>
                                <w:sz w:val="16"/>
                              </w:rPr>
                            </w:pPr>
                            <w:r>
                              <w:rPr>
                                <w:spacing w:val="-2"/>
                                <w:sz w:val="16"/>
                              </w:rPr>
                              <w:t>Denominator</w:t>
                            </w:r>
                          </w:p>
                        </w:tc>
                        <w:tc>
                          <w:tcPr>
                            <w:tcW w:w="1198" w:type="dxa"/>
                            <w:tcBorders>
                              <w:top w:val="single" w:sz="4" w:space="0" w:color="000000"/>
                            </w:tcBorders>
                          </w:tcPr>
                          <w:p>
                            <w:pPr>
                              <w:pStyle w:val="TableParagraph"/>
                              <w:rPr>
                                <w:sz w:val="16"/>
                              </w:rPr>
                            </w:pPr>
                          </w:p>
                        </w:tc>
                        <w:tc>
                          <w:tcPr>
                            <w:tcW w:w="507" w:type="dxa"/>
                            <w:tcBorders>
                              <w:top w:val="single" w:sz="4" w:space="0" w:color="000000"/>
                            </w:tcBorders>
                          </w:tcPr>
                          <w:p>
                            <w:pPr>
                              <w:pStyle w:val="TableParagraph"/>
                              <w:rPr>
                                <w:sz w:val="16"/>
                              </w:rPr>
                            </w:pPr>
                          </w:p>
                        </w:tc>
                        <w:tc>
                          <w:tcPr>
                            <w:tcW w:w="1134" w:type="dxa"/>
                            <w:tcBorders>
                              <w:top w:val="single" w:sz="4" w:space="0" w:color="000000"/>
                            </w:tcBorders>
                          </w:tcPr>
                          <w:p>
                            <w:pPr>
                              <w:pStyle w:val="TableParagraph"/>
                              <w:rPr>
                                <w:sz w:val="16"/>
                              </w:rPr>
                            </w:pPr>
                          </w:p>
                        </w:tc>
                        <w:tc>
                          <w:tcPr>
                            <w:tcW w:w="547" w:type="dxa"/>
                            <w:tcBorders>
                              <w:top w:val="single" w:sz="4" w:space="0" w:color="000000"/>
                            </w:tcBorders>
                          </w:tcPr>
                          <w:p>
                            <w:pPr>
                              <w:pStyle w:val="TableParagraph"/>
                              <w:rPr>
                                <w:sz w:val="16"/>
                              </w:rPr>
                            </w:pPr>
                          </w:p>
                        </w:tc>
                        <w:tc>
                          <w:tcPr>
                            <w:tcW w:w="1134" w:type="dxa"/>
                            <w:tcBorders>
                              <w:top w:val="single" w:sz="4" w:space="0" w:color="000000"/>
                            </w:tcBorders>
                          </w:tcPr>
                          <w:p>
                            <w:pPr>
                              <w:pStyle w:val="TableParagraph"/>
                              <w:rPr>
                                <w:sz w:val="16"/>
                              </w:rPr>
                            </w:pPr>
                          </w:p>
                        </w:tc>
                        <w:tc>
                          <w:tcPr>
                            <w:tcW w:w="547" w:type="dxa"/>
                            <w:tcBorders>
                              <w:top w:val="single" w:sz="4" w:space="0" w:color="000000"/>
                            </w:tcBorders>
                          </w:tcPr>
                          <w:p>
                            <w:pPr>
                              <w:pStyle w:val="TableParagraph"/>
                              <w:rPr>
                                <w:sz w:val="16"/>
                              </w:rPr>
                            </w:pPr>
                          </w:p>
                        </w:tc>
                        <w:tc>
                          <w:tcPr>
                            <w:tcW w:w="1134" w:type="dxa"/>
                            <w:tcBorders>
                              <w:top w:val="single" w:sz="4" w:space="0" w:color="000000"/>
                            </w:tcBorders>
                          </w:tcPr>
                          <w:p>
                            <w:pPr>
                              <w:pStyle w:val="TableParagraph"/>
                              <w:rPr>
                                <w:sz w:val="16"/>
                              </w:rPr>
                            </w:pPr>
                          </w:p>
                        </w:tc>
                        <w:tc>
                          <w:tcPr>
                            <w:tcW w:w="528" w:type="dxa"/>
                            <w:tcBorders>
                              <w:top w:val="single" w:sz="4" w:space="0" w:color="000000"/>
                            </w:tcBorders>
                          </w:tcPr>
                          <w:p>
                            <w:pPr>
                              <w:pStyle w:val="TableParagraph"/>
                              <w:rPr>
                                <w:sz w:val="16"/>
                              </w:rPr>
                            </w:pPr>
                          </w:p>
                        </w:tc>
                      </w:tr>
                      <w:tr>
                        <w:trPr>
                          <w:trHeight w:val="405" w:hRule="atLeast"/>
                        </w:trPr>
                        <w:tc>
                          <w:tcPr>
                            <w:tcW w:w="3535" w:type="dxa"/>
                            <w:shd w:val="clear" w:color="auto" w:fill="CCEDFF"/>
                          </w:tcPr>
                          <w:p>
                            <w:pPr>
                              <w:pStyle w:val="TableParagraph"/>
                              <w:spacing w:line="208" w:lineRule="auto" w:before="50"/>
                              <w:ind w:left="277"/>
                              <w:rPr>
                                <w:sz w:val="16"/>
                              </w:rPr>
                            </w:pPr>
                            <w:r>
                              <w:rPr>
                                <w:sz w:val="16"/>
                              </w:rPr>
                              <w:t>Weighted-average</w:t>
                            </w:r>
                            <w:r>
                              <w:rPr>
                                <w:spacing w:val="-10"/>
                                <w:sz w:val="16"/>
                              </w:rPr>
                              <w:t> </w:t>
                            </w:r>
                            <w:r>
                              <w:rPr>
                                <w:sz w:val="16"/>
                              </w:rPr>
                              <w:t>common</w:t>
                            </w:r>
                            <w:r>
                              <w:rPr>
                                <w:spacing w:val="-9"/>
                                <w:sz w:val="16"/>
                              </w:rPr>
                              <w:t> </w:t>
                            </w:r>
                            <w:r>
                              <w:rPr>
                                <w:sz w:val="16"/>
                              </w:rPr>
                              <w:t>shares</w:t>
                            </w:r>
                            <w:r>
                              <w:rPr>
                                <w:spacing w:val="-10"/>
                                <w:sz w:val="16"/>
                              </w:rPr>
                              <w:t> </w:t>
                            </w:r>
                            <w:r>
                              <w:rPr>
                                <w:sz w:val="16"/>
                              </w:rPr>
                              <w:t>outstanding</w:t>
                            </w:r>
                            <w:r>
                              <w:rPr>
                                <w:spacing w:val="-10"/>
                                <w:sz w:val="16"/>
                              </w:rPr>
                              <w:t> </w:t>
                            </w:r>
                            <w:r>
                              <w:rPr>
                                <w:sz w:val="16"/>
                              </w:rPr>
                              <w:t>—</w:t>
                            </w:r>
                            <w:r>
                              <w:rPr>
                                <w:spacing w:val="40"/>
                                <w:sz w:val="16"/>
                              </w:rPr>
                              <w:t> </w:t>
                            </w:r>
                            <w:r>
                              <w:rPr>
                                <w:spacing w:val="-2"/>
                                <w:sz w:val="16"/>
                              </w:rPr>
                              <w:t>basic</w:t>
                            </w:r>
                          </w:p>
                        </w:tc>
                        <w:tc>
                          <w:tcPr>
                            <w:tcW w:w="1198" w:type="dxa"/>
                            <w:shd w:val="clear" w:color="auto" w:fill="CCEDFF"/>
                          </w:tcPr>
                          <w:p>
                            <w:pPr>
                              <w:pStyle w:val="TableParagraph"/>
                              <w:spacing w:before="7"/>
                              <w:rPr>
                                <w:sz w:val="16"/>
                              </w:rPr>
                            </w:pPr>
                          </w:p>
                          <w:p>
                            <w:pPr>
                              <w:pStyle w:val="TableParagraph"/>
                              <w:ind w:left="275" w:right="277"/>
                              <w:jc w:val="center"/>
                              <w:rPr>
                                <w:sz w:val="16"/>
                              </w:rPr>
                            </w:pPr>
                            <w:r>
                              <w:rPr>
                                <w:spacing w:val="-2"/>
                                <w:sz w:val="16"/>
                              </w:rPr>
                              <w:t>1,770</w:t>
                            </w:r>
                          </w:p>
                        </w:tc>
                        <w:tc>
                          <w:tcPr>
                            <w:tcW w:w="507" w:type="dxa"/>
                            <w:shd w:val="clear" w:color="auto" w:fill="CCEDFF"/>
                          </w:tcPr>
                          <w:p>
                            <w:pPr>
                              <w:pStyle w:val="TableParagraph"/>
                              <w:spacing w:before="7"/>
                              <w:rPr>
                                <w:sz w:val="16"/>
                              </w:rPr>
                            </w:pPr>
                          </w:p>
                          <w:p>
                            <w:pPr>
                              <w:pStyle w:val="TableParagraph"/>
                              <w:ind w:left="170"/>
                              <w:jc w:val="center"/>
                              <w:rPr>
                                <w:sz w:val="16"/>
                              </w:rPr>
                            </w:pPr>
                            <w:r>
                              <w:rPr>
                                <w:spacing w:val="-5"/>
                                <w:sz w:val="16"/>
                              </w:rPr>
                              <w:t>51</w:t>
                            </w:r>
                          </w:p>
                        </w:tc>
                        <w:tc>
                          <w:tcPr>
                            <w:tcW w:w="1134" w:type="dxa"/>
                            <w:shd w:val="clear" w:color="auto" w:fill="CCEDFF"/>
                          </w:tcPr>
                          <w:p>
                            <w:pPr>
                              <w:pStyle w:val="TableParagraph"/>
                              <w:spacing w:before="7"/>
                              <w:rPr>
                                <w:sz w:val="16"/>
                              </w:rPr>
                            </w:pPr>
                          </w:p>
                          <w:p>
                            <w:pPr>
                              <w:pStyle w:val="TableParagraph"/>
                              <w:ind w:left="289" w:right="280"/>
                              <w:jc w:val="center"/>
                              <w:rPr>
                                <w:sz w:val="16"/>
                              </w:rPr>
                            </w:pPr>
                            <w:r>
                              <w:rPr>
                                <w:spacing w:val="-2"/>
                                <w:sz w:val="16"/>
                              </w:rPr>
                              <w:t>1,827</w:t>
                            </w:r>
                          </w:p>
                        </w:tc>
                        <w:tc>
                          <w:tcPr>
                            <w:tcW w:w="547" w:type="dxa"/>
                            <w:shd w:val="clear" w:color="auto" w:fill="CCEDFF"/>
                          </w:tcPr>
                          <w:p>
                            <w:pPr>
                              <w:pStyle w:val="TableParagraph"/>
                              <w:spacing w:before="7"/>
                              <w:rPr>
                                <w:sz w:val="16"/>
                              </w:rPr>
                            </w:pPr>
                          </w:p>
                          <w:p>
                            <w:pPr>
                              <w:pStyle w:val="TableParagraph"/>
                              <w:ind w:right="87"/>
                              <w:jc w:val="right"/>
                              <w:rPr>
                                <w:sz w:val="16"/>
                              </w:rPr>
                            </w:pPr>
                            <w:r>
                              <w:rPr>
                                <w:spacing w:val="-5"/>
                                <w:sz w:val="16"/>
                              </w:rPr>
                              <w:t>60</w:t>
                            </w:r>
                          </w:p>
                        </w:tc>
                        <w:tc>
                          <w:tcPr>
                            <w:tcW w:w="1134" w:type="dxa"/>
                            <w:shd w:val="clear" w:color="auto" w:fill="CCEDFF"/>
                          </w:tcPr>
                          <w:p>
                            <w:pPr>
                              <w:pStyle w:val="TableParagraph"/>
                              <w:spacing w:before="7"/>
                              <w:rPr>
                                <w:sz w:val="16"/>
                              </w:rPr>
                            </w:pPr>
                          </w:p>
                          <w:p>
                            <w:pPr>
                              <w:pStyle w:val="TableParagraph"/>
                              <w:ind w:left="289" w:right="282"/>
                              <w:jc w:val="center"/>
                              <w:rPr>
                                <w:sz w:val="16"/>
                              </w:rPr>
                            </w:pPr>
                            <w:r>
                              <w:rPr>
                                <w:spacing w:val="-2"/>
                                <w:sz w:val="16"/>
                              </w:rPr>
                              <w:t>1,774</w:t>
                            </w:r>
                          </w:p>
                        </w:tc>
                        <w:tc>
                          <w:tcPr>
                            <w:tcW w:w="547" w:type="dxa"/>
                            <w:shd w:val="clear" w:color="auto" w:fill="CCEDFF"/>
                          </w:tcPr>
                          <w:p>
                            <w:pPr>
                              <w:pStyle w:val="TableParagraph"/>
                              <w:spacing w:before="7"/>
                              <w:rPr>
                                <w:sz w:val="16"/>
                              </w:rPr>
                            </w:pPr>
                          </w:p>
                          <w:p>
                            <w:pPr>
                              <w:pStyle w:val="TableParagraph"/>
                              <w:ind w:right="88"/>
                              <w:jc w:val="right"/>
                              <w:rPr>
                                <w:sz w:val="16"/>
                              </w:rPr>
                            </w:pPr>
                            <w:r>
                              <w:rPr>
                                <w:spacing w:val="-5"/>
                                <w:sz w:val="16"/>
                              </w:rPr>
                              <w:t>51</w:t>
                            </w:r>
                          </w:p>
                        </w:tc>
                        <w:tc>
                          <w:tcPr>
                            <w:tcW w:w="1134" w:type="dxa"/>
                            <w:shd w:val="clear" w:color="auto" w:fill="CCEDFF"/>
                          </w:tcPr>
                          <w:p>
                            <w:pPr>
                              <w:pStyle w:val="TableParagraph"/>
                              <w:spacing w:before="7"/>
                              <w:rPr>
                                <w:sz w:val="16"/>
                              </w:rPr>
                            </w:pPr>
                          </w:p>
                          <w:p>
                            <w:pPr>
                              <w:pStyle w:val="TableParagraph"/>
                              <w:ind w:left="289" w:right="284"/>
                              <w:jc w:val="center"/>
                              <w:rPr>
                                <w:sz w:val="16"/>
                              </w:rPr>
                            </w:pPr>
                            <w:r>
                              <w:rPr>
                                <w:spacing w:val="-2"/>
                                <w:sz w:val="16"/>
                              </w:rPr>
                              <w:t>1,819</w:t>
                            </w:r>
                          </w:p>
                        </w:tc>
                        <w:tc>
                          <w:tcPr>
                            <w:tcW w:w="528" w:type="dxa"/>
                            <w:shd w:val="clear" w:color="auto" w:fill="CCEDFF"/>
                          </w:tcPr>
                          <w:p>
                            <w:pPr>
                              <w:pStyle w:val="TableParagraph"/>
                              <w:spacing w:before="7"/>
                              <w:rPr>
                                <w:sz w:val="16"/>
                              </w:rPr>
                            </w:pPr>
                          </w:p>
                          <w:p>
                            <w:pPr>
                              <w:pStyle w:val="TableParagraph"/>
                              <w:ind w:left="223"/>
                              <w:jc w:val="center"/>
                              <w:rPr>
                                <w:sz w:val="16"/>
                              </w:rPr>
                            </w:pPr>
                            <w:r>
                              <w:rPr>
                                <w:spacing w:val="-5"/>
                                <w:sz w:val="16"/>
                              </w:rPr>
                              <w:t>73</w:t>
                            </w:r>
                          </w:p>
                        </w:tc>
                      </w:tr>
                      <w:tr>
                        <w:trPr>
                          <w:trHeight w:val="255" w:hRule="atLeast"/>
                        </w:trPr>
                        <w:tc>
                          <w:tcPr>
                            <w:tcW w:w="3535" w:type="dxa"/>
                          </w:tcPr>
                          <w:p>
                            <w:pPr>
                              <w:pStyle w:val="TableParagraph"/>
                              <w:spacing w:before="41"/>
                              <w:ind w:left="292"/>
                              <w:rPr>
                                <w:sz w:val="16"/>
                              </w:rPr>
                            </w:pPr>
                            <w:r>
                              <w:rPr>
                                <w:sz w:val="16"/>
                              </w:rPr>
                              <w:t>Conversion</w:t>
                            </w:r>
                            <w:r>
                              <w:rPr>
                                <w:spacing w:val="-1"/>
                                <w:sz w:val="16"/>
                              </w:rPr>
                              <w:t> </w:t>
                            </w:r>
                            <w:r>
                              <w:rPr>
                                <w:sz w:val="16"/>
                              </w:rPr>
                              <w:t>of nonvoting shares</w:t>
                            </w:r>
                            <w:r>
                              <w:rPr>
                                <w:spacing w:val="-2"/>
                                <w:sz w:val="16"/>
                              </w:rPr>
                              <w:t> </w:t>
                            </w:r>
                            <w:r>
                              <w:rPr>
                                <w:sz w:val="16"/>
                              </w:rPr>
                              <w:t>to voting </w:t>
                            </w:r>
                            <w:r>
                              <w:rPr>
                                <w:spacing w:val="-2"/>
                                <w:sz w:val="16"/>
                              </w:rPr>
                              <w:t>shares</w:t>
                            </w:r>
                          </w:p>
                        </w:tc>
                        <w:tc>
                          <w:tcPr>
                            <w:tcW w:w="1198" w:type="dxa"/>
                          </w:tcPr>
                          <w:p>
                            <w:pPr>
                              <w:pStyle w:val="TableParagraph"/>
                              <w:spacing w:before="41"/>
                              <w:ind w:left="275" w:right="80"/>
                              <w:jc w:val="center"/>
                              <w:rPr>
                                <w:sz w:val="16"/>
                              </w:rPr>
                            </w:pPr>
                            <w:r>
                              <w:rPr>
                                <w:spacing w:val="-5"/>
                                <w:sz w:val="16"/>
                              </w:rPr>
                              <w:t>51</w:t>
                            </w:r>
                          </w:p>
                        </w:tc>
                        <w:tc>
                          <w:tcPr>
                            <w:tcW w:w="507" w:type="dxa"/>
                          </w:tcPr>
                          <w:p>
                            <w:pPr>
                              <w:pStyle w:val="TableParagraph"/>
                              <w:spacing w:before="41"/>
                              <w:ind w:left="170"/>
                              <w:jc w:val="center"/>
                              <w:rPr>
                                <w:sz w:val="16"/>
                              </w:rPr>
                            </w:pPr>
                            <w:r>
                              <w:rPr>
                                <w:spacing w:val="-10"/>
                                <w:sz w:val="16"/>
                              </w:rPr>
                              <w:t>—</w:t>
                            </w:r>
                          </w:p>
                        </w:tc>
                        <w:tc>
                          <w:tcPr>
                            <w:tcW w:w="1134" w:type="dxa"/>
                          </w:tcPr>
                          <w:p>
                            <w:pPr>
                              <w:pStyle w:val="TableParagraph"/>
                              <w:spacing w:before="41"/>
                              <w:ind w:left="289" w:right="80"/>
                              <w:jc w:val="center"/>
                              <w:rPr>
                                <w:sz w:val="16"/>
                              </w:rPr>
                            </w:pPr>
                            <w:r>
                              <w:rPr>
                                <w:spacing w:val="-5"/>
                                <w:sz w:val="16"/>
                              </w:rPr>
                              <w:t>60</w:t>
                            </w:r>
                          </w:p>
                        </w:tc>
                        <w:tc>
                          <w:tcPr>
                            <w:tcW w:w="547" w:type="dxa"/>
                          </w:tcPr>
                          <w:p>
                            <w:pPr>
                              <w:pStyle w:val="TableParagraph"/>
                              <w:spacing w:before="41"/>
                              <w:ind w:right="87"/>
                              <w:jc w:val="right"/>
                              <w:rPr>
                                <w:sz w:val="16"/>
                              </w:rPr>
                            </w:pPr>
                            <w:r>
                              <w:rPr>
                                <w:spacing w:val="-10"/>
                                <w:sz w:val="16"/>
                              </w:rPr>
                              <w:t>—</w:t>
                            </w:r>
                          </w:p>
                        </w:tc>
                        <w:tc>
                          <w:tcPr>
                            <w:tcW w:w="1134" w:type="dxa"/>
                          </w:tcPr>
                          <w:p>
                            <w:pPr>
                              <w:pStyle w:val="TableParagraph"/>
                              <w:spacing w:before="41"/>
                              <w:ind w:left="289" w:right="82"/>
                              <w:jc w:val="center"/>
                              <w:rPr>
                                <w:sz w:val="16"/>
                              </w:rPr>
                            </w:pPr>
                            <w:r>
                              <w:rPr>
                                <w:spacing w:val="-5"/>
                                <w:sz w:val="16"/>
                              </w:rPr>
                              <w:t>51</w:t>
                            </w:r>
                          </w:p>
                        </w:tc>
                        <w:tc>
                          <w:tcPr>
                            <w:tcW w:w="547" w:type="dxa"/>
                          </w:tcPr>
                          <w:p>
                            <w:pPr>
                              <w:pStyle w:val="TableParagraph"/>
                              <w:spacing w:before="41"/>
                              <w:ind w:right="88"/>
                              <w:jc w:val="right"/>
                              <w:rPr>
                                <w:sz w:val="16"/>
                              </w:rPr>
                            </w:pPr>
                            <w:r>
                              <w:rPr>
                                <w:spacing w:val="-10"/>
                                <w:sz w:val="16"/>
                              </w:rPr>
                              <w:t>—</w:t>
                            </w:r>
                          </w:p>
                        </w:tc>
                        <w:tc>
                          <w:tcPr>
                            <w:tcW w:w="1134" w:type="dxa"/>
                          </w:tcPr>
                          <w:p>
                            <w:pPr>
                              <w:pStyle w:val="TableParagraph"/>
                              <w:spacing w:before="41"/>
                              <w:ind w:left="289" w:right="84"/>
                              <w:jc w:val="center"/>
                              <w:rPr>
                                <w:sz w:val="16"/>
                              </w:rPr>
                            </w:pPr>
                            <w:r>
                              <w:rPr>
                                <w:spacing w:val="-5"/>
                                <w:sz w:val="16"/>
                              </w:rPr>
                              <w:t>73</w:t>
                            </w:r>
                          </w:p>
                        </w:tc>
                        <w:tc>
                          <w:tcPr>
                            <w:tcW w:w="528" w:type="dxa"/>
                          </w:tcPr>
                          <w:p>
                            <w:pPr>
                              <w:pStyle w:val="TableParagraph"/>
                              <w:spacing w:before="41"/>
                              <w:ind w:left="223"/>
                              <w:jc w:val="center"/>
                              <w:rPr>
                                <w:sz w:val="16"/>
                              </w:rPr>
                            </w:pPr>
                            <w:r>
                              <w:rPr>
                                <w:spacing w:val="-10"/>
                                <w:sz w:val="16"/>
                              </w:rPr>
                              <w:t>—</w:t>
                            </w:r>
                          </w:p>
                        </w:tc>
                      </w:tr>
                      <w:tr>
                        <w:trPr>
                          <w:trHeight w:val="400" w:hRule="atLeast"/>
                        </w:trPr>
                        <w:tc>
                          <w:tcPr>
                            <w:tcW w:w="3535" w:type="dxa"/>
                            <w:tcBorders>
                              <w:bottom w:val="single" w:sz="4" w:space="0" w:color="000000"/>
                            </w:tcBorders>
                            <w:shd w:val="clear" w:color="auto" w:fill="CCEDFF"/>
                          </w:tcPr>
                          <w:p>
                            <w:pPr>
                              <w:pStyle w:val="TableParagraph"/>
                              <w:spacing w:line="208" w:lineRule="auto" w:before="50"/>
                              <w:ind w:left="292"/>
                              <w:rPr>
                                <w:sz w:val="16"/>
                              </w:rPr>
                            </w:pPr>
                            <w:r>
                              <w:rPr>
                                <w:sz w:val="16"/>
                              </w:rPr>
                              <w:t>Common</w:t>
                            </w:r>
                            <w:r>
                              <w:rPr>
                                <w:spacing w:val="-6"/>
                                <w:sz w:val="16"/>
                              </w:rPr>
                              <w:t> </w:t>
                            </w:r>
                            <w:r>
                              <w:rPr>
                                <w:sz w:val="16"/>
                              </w:rPr>
                              <w:t>stock</w:t>
                            </w:r>
                            <w:r>
                              <w:rPr>
                                <w:spacing w:val="-6"/>
                                <w:sz w:val="16"/>
                              </w:rPr>
                              <w:t> </w:t>
                            </w:r>
                            <w:r>
                              <w:rPr>
                                <w:sz w:val="16"/>
                              </w:rPr>
                              <w:t>equivalent</w:t>
                            </w:r>
                            <w:r>
                              <w:rPr>
                                <w:spacing w:val="-6"/>
                                <w:sz w:val="16"/>
                              </w:rPr>
                              <w:t> </w:t>
                            </w:r>
                            <w:r>
                              <w:rPr>
                                <w:sz w:val="16"/>
                              </w:rPr>
                              <w:t>shares</w:t>
                            </w:r>
                            <w:r>
                              <w:rPr>
                                <w:spacing w:val="-7"/>
                                <w:sz w:val="16"/>
                              </w:rPr>
                              <w:t> </w:t>
                            </w:r>
                            <w:r>
                              <w:rPr>
                                <w:sz w:val="16"/>
                              </w:rPr>
                              <w:t>related</w:t>
                            </w:r>
                            <w:r>
                              <w:rPr>
                                <w:spacing w:val="-6"/>
                                <w:sz w:val="16"/>
                              </w:rPr>
                              <w:t> </w:t>
                            </w:r>
                            <w:r>
                              <w:rPr>
                                <w:sz w:val="16"/>
                              </w:rPr>
                              <w:t>to</w:t>
                            </w:r>
                            <w:r>
                              <w:rPr>
                                <w:spacing w:val="-6"/>
                                <w:sz w:val="16"/>
                              </w:rPr>
                              <w:t> </w:t>
                            </w:r>
                            <w:r>
                              <w:rPr>
                                <w:sz w:val="16"/>
                              </w:rPr>
                              <w:t>stock</w:t>
                            </w:r>
                            <w:r>
                              <w:rPr>
                                <w:spacing w:val="40"/>
                                <w:sz w:val="16"/>
                              </w:rPr>
                              <w:t> </w:t>
                            </w:r>
                            <w:r>
                              <w:rPr>
                                <w:sz w:val="16"/>
                              </w:rPr>
                              <w:t>incentive</w:t>
                            </w:r>
                            <w:r>
                              <w:rPr>
                                <w:spacing w:val="-1"/>
                                <w:sz w:val="16"/>
                              </w:rPr>
                              <w:t> </w:t>
                            </w:r>
                            <w:r>
                              <w:rPr>
                                <w:sz w:val="16"/>
                              </w:rPr>
                              <w:t>plans</w:t>
                            </w:r>
                          </w:p>
                        </w:tc>
                        <w:tc>
                          <w:tcPr>
                            <w:tcW w:w="1198" w:type="dxa"/>
                            <w:tcBorders>
                              <w:bottom w:val="single" w:sz="4" w:space="0" w:color="000000"/>
                            </w:tcBorders>
                            <w:shd w:val="clear" w:color="auto" w:fill="CCEDFF"/>
                          </w:tcPr>
                          <w:p>
                            <w:pPr>
                              <w:pStyle w:val="TableParagraph"/>
                              <w:spacing w:before="7"/>
                              <w:rPr>
                                <w:sz w:val="16"/>
                              </w:rPr>
                            </w:pPr>
                          </w:p>
                          <w:p>
                            <w:pPr>
                              <w:pStyle w:val="TableParagraph"/>
                              <w:ind w:left="277" w:right="2"/>
                              <w:jc w:val="center"/>
                              <w:rPr>
                                <w:sz w:val="16"/>
                              </w:rPr>
                            </w:pPr>
                            <w:r>
                              <w:rPr>
                                <w:spacing w:val="-10"/>
                                <w:sz w:val="16"/>
                              </w:rPr>
                              <w:t>6</w:t>
                            </w:r>
                          </w:p>
                        </w:tc>
                        <w:tc>
                          <w:tcPr>
                            <w:tcW w:w="507" w:type="dxa"/>
                            <w:tcBorders>
                              <w:bottom w:val="single" w:sz="4" w:space="0" w:color="000000"/>
                            </w:tcBorders>
                            <w:shd w:val="clear" w:color="auto" w:fill="CCEDFF"/>
                          </w:tcPr>
                          <w:p>
                            <w:pPr>
                              <w:pStyle w:val="TableParagraph"/>
                              <w:spacing w:before="7"/>
                              <w:rPr>
                                <w:sz w:val="16"/>
                              </w:rPr>
                            </w:pPr>
                          </w:p>
                          <w:p>
                            <w:pPr>
                              <w:pStyle w:val="TableParagraph"/>
                              <w:ind w:left="170"/>
                              <w:jc w:val="center"/>
                              <w:rPr>
                                <w:sz w:val="16"/>
                              </w:rPr>
                            </w:pPr>
                            <w:r>
                              <w:rPr>
                                <w:spacing w:val="-10"/>
                                <w:sz w:val="16"/>
                              </w:rPr>
                              <w:t>—</w:t>
                            </w:r>
                          </w:p>
                        </w:tc>
                        <w:tc>
                          <w:tcPr>
                            <w:tcW w:w="1134" w:type="dxa"/>
                            <w:tcBorders>
                              <w:bottom w:val="single" w:sz="4" w:space="0" w:color="000000"/>
                            </w:tcBorders>
                            <w:shd w:val="clear" w:color="auto" w:fill="CCEDFF"/>
                          </w:tcPr>
                          <w:p>
                            <w:pPr>
                              <w:pStyle w:val="TableParagraph"/>
                              <w:spacing w:before="7"/>
                              <w:rPr>
                                <w:sz w:val="16"/>
                              </w:rPr>
                            </w:pPr>
                          </w:p>
                          <w:p>
                            <w:pPr>
                              <w:pStyle w:val="TableParagraph"/>
                              <w:ind w:left="289"/>
                              <w:jc w:val="center"/>
                              <w:rPr>
                                <w:sz w:val="16"/>
                              </w:rPr>
                            </w:pPr>
                            <w:r>
                              <w:rPr>
                                <w:spacing w:val="-10"/>
                                <w:sz w:val="16"/>
                              </w:rPr>
                              <w:t>8</w:t>
                            </w:r>
                          </w:p>
                        </w:tc>
                        <w:tc>
                          <w:tcPr>
                            <w:tcW w:w="547" w:type="dxa"/>
                            <w:tcBorders>
                              <w:bottom w:val="single" w:sz="4" w:space="0" w:color="000000"/>
                            </w:tcBorders>
                            <w:shd w:val="clear" w:color="auto" w:fill="CCEDFF"/>
                          </w:tcPr>
                          <w:p>
                            <w:pPr>
                              <w:pStyle w:val="TableParagraph"/>
                              <w:spacing w:before="7"/>
                              <w:rPr>
                                <w:sz w:val="16"/>
                              </w:rPr>
                            </w:pPr>
                          </w:p>
                          <w:p>
                            <w:pPr>
                              <w:pStyle w:val="TableParagraph"/>
                              <w:ind w:right="87"/>
                              <w:jc w:val="right"/>
                              <w:rPr>
                                <w:sz w:val="16"/>
                              </w:rPr>
                            </w:pPr>
                            <w:r>
                              <w:rPr>
                                <w:spacing w:val="-10"/>
                                <w:sz w:val="16"/>
                              </w:rPr>
                              <w:t>—</w:t>
                            </w:r>
                          </w:p>
                        </w:tc>
                        <w:tc>
                          <w:tcPr>
                            <w:tcW w:w="1134" w:type="dxa"/>
                            <w:tcBorders>
                              <w:bottom w:val="single" w:sz="4" w:space="0" w:color="000000"/>
                            </w:tcBorders>
                            <w:shd w:val="clear" w:color="auto" w:fill="CCEDFF"/>
                          </w:tcPr>
                          <w:p>
                            <w:pPr>
                              <w:pStyle w:val="TableParagraph"/>
                              <w:spacing w:before="7"/>
                              <w:rPr>
                                <w:sz w:val="16"/>
                              </w:rPr>
                            </w:pPr>
                          </w:p>
                          <w:p>
                            <w:pPr>
                              <w:pStyle w:val="TableParagraph"/>
                              <w:ind w:left="289" w:right="2"/>
                              <w:jc w:val="center"/>
                              <w:rPr>
                                <w:sz w:val="16"/>
                              </w:rPr>
                            </w:pPr>
                            <w:r>
                              <w:rPr>
                                <w:spacing w:val="-10"/>
                                <w:sz w:val="16"/>
                              </w:rPr>
                              <w:t>7</w:t>
                            </w:r>
                          </w:p>
                        </w:tc>
                        <w:tc>
                          <w:tcPr>
                            <w:tcW w:w="547" w:type="dxa"/>
                            <w:tcBorders>
                              <w:bottom w:val="single" w:sz="4" w:space="0" w:color="000000"/>
                            </w:tcBorders>
                            <w:shd w:val="clear" w:color="auto" w:fill="CCEDFF"/>
                          </w:tcPr>
                          <w:p>
                            <w:pPr>
                              <w:pStyle w:val="TableParagraph"/>
                              <w:spacing w:before="7"/>
                              <w:rPr>
                                <w:sz w:val="16"/>
                              </w:rPr>
                            </w:pPr>
                          </w:p>
                          <w:p>
                            <w:pPr>
                              <w:pStyle w:val="TableParagraph"/>
                              <w:ind w:right="88"/>
                              <w:jc w:val="right"/>
                              <w:rPr>
                                <w:sz w:val="16"/>
                              </w:rPr>
                            </w:pPr>
                            <w:r>
                              <w:rPr>
                                <w:spacing w:val="-10"/>
                                <w:sz w:val="16"/>
                              </w:rPr>
                              <w:t>—</w:t>
                            </w:r>
                          </w:p>
                        </w:tc>
                        <w:tc>
                          <w:tcPr>
                            <w:tcW w:w="1134" w:type="dxa"/>
                            <w:tcBorders>
                              <w:bottom w:val="single" w:sz="4" w:space="0" w:color="000000"/>
                            </w:tcBorders>
                            <w:shd w:val="clear" w:color="auto" w:fill="CCEDFF"/>
                          </w:tcPr>
                          <w:p>
                            <w:pPr>
                              <w:pStyle w:val="TableParagraph"/>
                              <w:spacing w:before="7"/>
                              <w:rPr>
                                <w:sz w:val="16"/>
                              </w:rPr>
                            </w:pPr>
                          </w:p>
                          <w:p>
                            <w:pPr>
                              <w:pStyle w:val="TableParagraph"/>
                              <w:ind w:left="289" w:right="4"/>
                              <w:jc w:val="center"/>
                              <w:rPr>
                                <w:sz w:val="16"/>
                              </w:rPr>
                            </w:pPr>
                            <w:r>
                              <w:rPr>
                                <w:spacing w:val="-10"/>
                                <w:sz w:val="16"/>
                              </w:rPr>
                              <w:t>9</w:t>
                            </w:r>
                          </w:p>
                        </w:tc>
                        <w:tc>
                          <w:tcPr>
                            <w:tcW w:w="528" w:type="dxa"/>
                            <w:tcBorders>
                              <w:bottom w:val="single" w:sz="4" w:space="0" w:color="000000"/>
                            </w:tcBorders>
                            <w:shd w:val="clear" w:color="auto" w:fill="CCEDFF"/>
                          </w:tcPr>
                          <w:p>
                            <w:pPr>
                              <w:pStyle w:val="TableParagraph"/>
                              <w:spacing w:before="7"/>
                              <w:rPr>
                                <w:sz w:val="16"/>
                              </w:rPr>
                            </w:pPr>
                          </w:p>
                          <w:p>
                            <w:pPr>
                              <w:pStyle w:val="TableParagraph"/>
                              <w:ind w:left="223"/>
                              <w:jc w:val="center"/>
                              <w:rPr>
                                <w:sz w:val="16"/>
                              </w:rPr>
                            </w:pPr>
                            <w:r>
                              <w:rPr>
                                <w:spacing w:val="-10"/>
                                <w:sz w:val="16"/>
                              </w:rPr>
                              <w:t>—</w:t>
                            </w:r>
                          </w:p>
                        </w:tc>
                      </w:tr>
                      <w:tr>
                        <w:trPr>
                          <w:trHeight w:val="395" w:hRule="atLeast"/>
                        </w:trPr>
                        <w:tc>
                          <w:tcPr>
                            <w:tcW w:w="3535" w:type="dxa"/>
                            <w:tcBorders>
                              <w:top w:val="single" w:sz="4" w:space="0" w:color="000000"/>
                              <w:bottom w:val="single" w:sz="4" w:space="0" w:color="000000"/>
                            </w:tcBorders>
                          </w:tcPr>
                          <w:p>
                            <w:pPr>
                              <w:pStyle w:val="TableParagraph"/>
                              <w:spacing w:line="208" w:lineRule="auto" w:before="45"/>
                              <w:ind w:left="532" w:right="84"/>
                              <w:rPr>
                                <w:sz w:val="16"/>
                              </w:rPr>
                            </w:pPr>
                            <w:r>
                              <w:rPr>
                                <w:sz w:val="16"/>
                              </w:rPr>
                              <w:t>Weighted-average</w:t>
                            </w:r>
                            <w:r>
                              <w:rPr>
                                <w:spacing w:val="-10"/>
                                <w:sz w:val="16"/>
                              </w:rPr>
                              <w:t> </w:t>
                            </w:r>
                            <w:r>
                              <w:rPr>
                                <w:sz w:val="16"/>
                              </w:rPr>
                              <w:t>common</w:t>
                            </w:r>
                            <w:r>
                              <w:rPr>
                                <w:spacing w:val="-10"/>
                                <w:sz w:val="16"/>
                              </w:rPr>
                              <w:t> </w:t>
                            </w:r>
                            <w:r>
                              <w:rPr>
                                <w:sz w:val="16"/>
                              </w:rPr>
                              <w:t>shares</w:t>
                            </w:r>
                            <w:r>
                              <w:rPr>
                                <w:spacing w:val="40"/>
                                <w:sz w:val="16"/>
                              </w:rPr>
                              <w:t> </w:t>
                            </w:r>
                            <w:r>
                              <w:rPr>
                                <w:sz w:val="16"/>
                              </w:rPr>
                              <w:t>outstanding — diluted </w:t>
                            </w:r>
                            <w:r>
                              <w:rPr>
                                <w:sz w:val="16"/>
                                <w:vertAlign w:val="superscript"/>
                              </w:rPr>
                              <w:t>(2)</w:t>
                            </w:r>
                          </w:p>
                        </w:tc>
                        <w:tc>
                          <w:tcPr>
                            <w:tcW w:w="1198" w:type="dxa"/>
                            <w:tcBorders>
                              <w:top w:val="single" w:sz="4" w:space="0" w:color="000000"/>
                              <w:bottom w:val="single" w:sz="4" w:space="0" w:color="000000"/>
                            </w:tcBorders>
                          </w:tcPr>
                          <w:p>
                            <w:pPr>
                              <w:pStyle w:val="TableParagraph"/>
                              <w:spacing w:before="2"/>
                              <w:rPr>
                                <w:sz w:val="16"/>
                              </w:rPr>
                            </w:pPr>
                          </w:p>
                          <w:p>
                            <w:pPr>
                              <w:pStyle w:val="TableParagraph"/>
                              <w:ind w:left="275" w:right="277"/>
                              <w:jc w:val="center"/>
                              <w:rPr>
                                <w:sz w:val="16"/>
                              </w:rPr>
                            </w:pPr>
                            <w:r>
                              <w:rPr>
                                <w:spacing w:val="-2"/>
                                <w:sz w:val="16"/>
                              </w:rPr>
                              <w:t>1,827</w:t>
                            </w:r>
                          </w:p>
                        </w:tc>
                        <w:tc>
                          <w:tcPr>
                            <w:tcW w:w="507" w:type="dxa"/>
                            <w:tcBorders>
                              <w:top w:val="single" w:sz="4" w:space="0" w:color="000000"/>
                              <w:bottom w:val="single" w:sz="4" w:space="0" w:color="000000"/>
                            </w:tcBorders>
                          </w:tcPr>
                          <w:p>
                            <w:pPr>
                              <w:pStyle w:val="TableParagraph"/>
                              <w:spacing w:before="2"/>
                              <w:rPr>
                                <w:sz w:val="16"/>
                              </w:rPr>
                            </w:pPr>
                          </w:p>
                          <w:p>
                            <w:pPr>
                              <w:pStyle w:val="TableParagraph"/>
                              <w:ind w:left="170"/>
                              <w:jc w:val="center"/>
                              <w:rPr>
                                <w:sz w:val="16"/>
                              </w:rPr>
                            </w:pPr>
                            <w:r>
                              <w:rPr>
                                <w:spacing w:val="-5"/>
                                <w:sz w:val="16"/>
                              </w:rPr>
                              <w:t>51</w:t>
                            </w:r>
                          </w:p>
                        </w:tc>
                        <w:tc>
                          <w:tcPr>
                            <w:tcW w:w="1134" w:type="dxa"/>
                            <w:tcBorders>
                              <w:top w:val="single" w:sz="4" w:space="0" w:color="000000"/>
                              <w:bottom w:val="single" w:sz="4" w:space="0" w:color="000000"/>
                            </w:tcBorders>
                          </w:tcPr>
                          <w:p>
                            <w:pPr>
                              <w:pStyle w:val="TableParagraph"/>
                              <w:spacing w:before="2"/>
                              <w:rPr>
                                <w:sz w:val="16"/>
                              </w:rPr>
                            </w:pPr>
                          </w:p>
                          <w:p>
                            <w:pPr>
                              <w:pStyle w:val="TableParagraph"/>
                              <w:ind w:left="289" w:right="280"/>
                              <w:jc w:val="center"/>
                              <w:rPr>
                                <w:sz w:val="16"/>
                              </w:rPr>
                            </w:pPr>
                            <w:r>
                              <w:rPr>
                                <w:spacing w:val="-2"/>
                                <w:sz w:val="16"/>
                              </w:rPr>
                              <w:t>1,895</w:t>
                            </w:r>
                          </w:p>
                        </w:tc>
                        <w:tc>
                          <w:tcPr>
                            <w:tcW w:w="547" w:type="dxa"/>
                            <w:tcBorders>
                              <w:top w:val="single" w:sz="4" w:space="0" w:color="000000"/>
                              <w:bottom w:val="single" w:sz="4" w:space="0" w:color="000000"/>
                            </w:tcBorders>
                          </w:tcPr>
                          <w:p>
                            <w:pPr>
                              <w:pStyle w:val="TableParagraph"/>
                              <w:spacing w:before="2"/>
                              <w:rPr>
                                <w:sz w:val="16"/>
                              </w:rPr>
                            </w:pPr>
                          </w:p>
                          <w:p>
                            <w:pPr>
                              <w:pStyle w:val="TableParagraph"/>
                              <w:ind w:right="87"/>
                              <w:jc w:val="right"/>
                              <w:rPr>
                                <w:sz w:val="16"/>
                              </w:rPr>
                            </w:pPr>
                            <w:r>
                              <w:rPr>
                                <w:spacing w:val="-5"/>
                                <w:sz w:val="16"/>
                              </w:rPr>
                              <w:t>60</w:t>
                            </w:r>
                          </w:p>
                        </w:tc>
                        <w:tc>
                          <w:tcPr>
                            <w:tcW w:w="1134" w:type="dxa"/>
                            <w:tcBorders>
                              <w:top w:val="single" w:sz="4" w:space="0" w:color="000000"/>
                              <w:bottom w:val="single" w:sz="4" w:space="0" w:color="000000"/>
                            </w:tcBorders>
                          </w:tcPr>
                          <w:p>
                            <w:pPr>
                              <w:pStyle w:val="TableParagraph"/>
                              <w:spacing w:before="2"/>
                              <w:rPr>
                                <w:sz w:val="16"/>
                              </w:rPr>
                            </w:pPr>
                          </w:p>
                          <w:p>
                            <w:pPr>
                              <w:pStyle w:val="TableParagraph"/>
                              <w:ind w:left="289" w:right="282"/>
                              <w:jc w:val="center"/>
                              <w:rPr>
                                <w:sz w:val="16"/>
                              </w:rPr>
                            </w:pPr>
                            <w:r>
                              <w:rPr>
                                <w:spacing w:val="-2"/>
                                <w:sz w:val="16"/>
                              </w:rPr>
                              <w:t>1,832</w:t>
                            </w:r>
                          </w:p>
                        </w:tc>
                        <w:tc>
                          <w:tcPr>
                            <w:tcW w:w="547" w:type="dxa"/>
                            <w:tcBorders>
                              <w:top w:val="single" w:sz="4" w:space="0" w:color="000000"/>
                              <w:bottom w:val="single" w:sz="4" w:space="0" w:color="000000"/>
                            </w:tcBorders>
                          </w:tcPr>
                          <w:p>
                            <w:pPr>
                              <w:pStyle w:val="TableParagraph"/>
                              <w:spacing w:before="2"/>
                              <w:rPr>
                                <w:sz w:val="16"/>
                              </w:rPr>
                            </w:pPr>
                          </w:p>
                          <w:p>
                            <w:pPr>
                              <w:pStyle w:val="TableParagraph"/>
                              <w:ind w:right="88"/>
                              <w:jc w:val="right"/>
                              <w:rPr>
                                <w:sz w:val="16"/>
                              </w:rPr>
                            </w:pPr>
                            <w:r>
                              <w:rPr>
                                <w:spacing w:val="-5"/>
                                <w:sz w:val="16"/>
                              </w:rPr>
                              <w:t>51</w:t>
                            </w:r>
                          </w:p>
                        </w:tc>
                        <w:tc>
                          <w:tcPr>
                            <w:tcW w:w="1134" w:type="dxa"/>
                            <w:tcBorders>
                              <w:top w:val="single" w:sz="4" w:space="0" w:color="000000"/>
                              <w:bottom w:val="single" w:sz="4" w:space="0" w:color="000000"/>
                            </w:tcBorders>
                          </w:tcPr>
                          <w:p>
                            <w:pPr>
                              <w:pStyle w:val="TableParagraph"/>
                              <w:spacing w:before="2"/>
                              <w:rPr>
                                <w:sz w:val="16"/>
                              </w:rPr>
                            </w:pPr>
                          </w:p>
                          <w:p>
                            <w:pPr>
                              <w:pStyle w:val="TableParagraph"/>
                              <w:ind w:left="289" w:right="284"/>
                              <w:jc w:val="center"/>
                              <w:rPr>
                                <w:sz w:val="16"/>
                              </w:rPr>
                            </w:pPr>
                            <w:r>
                              <w:rPr>
                                <w:spacing w:val="-2"/>
                                <w:sz w:val="16"/>
                              </w:rPr>
                              <w:t>1,901</w:t>
                            </w:r>
                          </w:p>
                        </w:tc>
                        <w:tc>
                          <w:tcPr>
                            <w:tcW w:w="528" w:type="dxa"/>
                            <w:tcBorders>
                              <w:top w:val="single" w:sz="4" w:space="0" w:color="000000"/>
                              <w:bottom w:val="single" w:sz="4" w:space="0" w:color="000000"/>
                            </w:tcBorders>
                          </w:tcPr>
                          <w:p>
                            <w:pPr>
                              <w:pStyle w:val="TableParagraph"/>
                              <w:spacing w:before="2"/>
                              <w:rPr>
                                <w:sz w:val="16"/>
                              </w:rPr>
                            </w:pPr>
                          </w:p>
                          <w:p>
                            <w:pPr>
                              <w:pStyle w:val="TableParagraph"/>
                              <w:ind w:left="223"/>
                              <w:jc w:val="center"/>
                              <w:rPr>
                                <w:sz w:val="16"/>
                              </w:rPr>
                            </w:pPr>
                            <w:r>
                              <w:rPr>
                                <w:spacing w:val="-5"/>
                                <w:sz w:val="16"/>
                              </w:rPr>
                              <w:t>73</w:t>
                            </w:r>
                          </w:p>
                        </w:tc>
                      </w:tr>
                      <w:tr>
                        <w:trPr>
                          <w:trHeight w:val="220" w:hRule="atLeast"/>
                        </w:trPr>
                        <w:tc>
                          <w:tcPr>
                            <w:tcW w:w="3535" w:type="dxa"/>
                            <w:tcBorders>
                              <w:top w:val="single" w:sz="4" w:space="0" w:color="000000"/>
                              <w:bottom w:val="double" w:sz="8" w:space="0" w:color="000000"/>
                            </w:tcBorders>
                            <w:shd w:val="clear" w:color="auto" w:fill="CCEDFF"/>
                          </w:tcPr>
                          <w:p>
                            <w:pPr>
                              <w:pStyle w:val="TableParagraph"/>
                              <w:spacing w:line="164" w:lineRule="exact" w:before="36"/>
                              <w:ind w:left="52"/>
                              <w:rPr>
                                <w:sz w:val="16"/>
                              </w:rPr>
                            </w:pPr>
                            <w:r>
                              <w:rPr>
                                <w:sz w:val="16"/>
                              </w:rPr>
                              <w:t>Diluted</w:t>
                            </w:r>
                            <w:r>
                              <w:rPr>
                                <w:spacing w:val="-1"/>
                                <w:sz w:val="16"/>
                              </w:rPr>
                              <w:t> </w:t>
                            </w:r>
                            <w:r>
                              <w:rPr>
                                <w:sz w:val="16"/>
                              </w:rPr>
                              <w:t>earnings</w:t>
                            </w:r>
                            <w:r>
                              <w:rPr>
                                <w:spacing w:val="-1"/>
                                <w:sz w:val="16"/>
                              </w:rPr>
                              <w:t> </w:t>
                            </w:r>
                            <w:r>
                              <w:rPr>
                                <w:sz w:val="16"/>
                              </w:rPr>
                              <w:t>per </w:t>
                            </w:r>
                            <w:r>
                              <w:rPr>
                                <w:spacing w:val="-2"/>
                                <w:sz w:val="16"/>
                              </w:rPr>
                              <w:t>share</w:t>
                            </w:r>
                          </w:p>
                        </w:tc>
                        <w:tc>
                          <w:tcPr>
                            <w:tcW w:w="1198" w:type="dxa"/>
                            <w:tcBorders>
                              <w:top w:val="single" w:sz="4" w:space="0" w:color="000000"/>
                              <w:bottom w:val="double" w:sz="8" w:space="0" w:color="000000"/>
                            </w:tcBorders>
                            <w:shd w:val="clear" w:color="auto" w:fill="CCEDFF"/>
                          </w:tcPr>
                          <w:p>
                            <w:pPr>
                              <w:pStyle w:val="TableParagraph"/>
                              <w:tabs>
                                <w:tab w:pos="576" w:val="left" w:leader="none"/>
                              </w:tabs>
                              <w:spacing w:line="164" w:lineRule="exact" w:before="36"/>
                              <w:ind w:left="57"/>
                              <w:rPr>
                                <w:sz w:val="16"/>
                              </w:rPr>
                            </w:pPr>
                            <w:r>
                              <w:rPr>
                                <w:spacing w:val="-10"/>
                                <w:sz w:val="16"/>
                              </w:rPr>
                              <w:t>$</w:t>
                            </w:r>
                            <w:r>
                              <w:rPr>
                                <w:sz w:val="16"/>
                              </w:rPr>
                              <w:tab/>
                              <w:t>.56</w:t>
                            </w:r>
                            <w:r>
                              <w:rPr>
                                <w:spacing w:val="60"/>
                                <w:w w:val="150"/>
                                <w:sz w:val="16"/>
                              </w:rPr>
                              <w:t> </w:t>
                            </w:r>
                            <w:r>
                              <w:rPr>
                                <w:spacing w:val="-10"/>
                                <w:sz w:val="16"/>
                              </w:rPr>
                              <w:t>$</w:t>
                            </w:r>
                          </w:p>
                        </w:tc>
                        <w:tc>
                          <w:tcPr>
                            <w:tcW w:w="507" w:type="dxa"/>
                            <w:tcBorders>
                              <w:top w:val="single" w:sz="4" w:space="0" w:color="000000"/>
                              <w:bottom w:val="double" w:sz="8" w:space="0" w:color="000000"/>
                            </w:tcBorders>
                            <w:shd w:val="clear" w:color="auto" w:fill="CCEDFF"/>
                          </w:tcPr>
                          <w:p>
                            <w:pPr>
                              <w:pStyle w:val="TableParagraph"/>
                              <w:spacing w:line="164" w:lineRule="exact" w:before="36"/>
                              <w:ind w:left="130"/>
                              <w:jc w:val="center"/>
                              <w:rPr>
                                <w:sz w:val="16"/>
                              </w:rPr>
                            </w:pPr>
                            <w:r>
                              <w:rPr>
                                <w:spacing w:val="-5"/>
                                <w:sz w:val="16"/>
                              </w:rPr>
                              <w:t>.56</w:t>
                            </w:r>
                          </w:p>
                        </w:tc>
                        <w:tc>
                          <w:tcPr>
                            <w:tcW w:w="1134" w:type="dxa"/>
                            <w:tcBorders>
                              <w:top w:val="single" w:sz="4" w:space="0" w:color="000000"/>
                              <w:bottom w:val="double" w:sz="8" w:space="0" w:color="000000"/>
                            </w:tcBorders>
                            <w:shd w:val="clear" w:color="auto" w:fill="CCEDFF"/>
                          </w:tcPr>
                          <w:p>
                            <w:pPr>
                              <w:pStyle w:val="TableParagraph"/>
                              <w:tabs>
                                <w:tab w:pos="551" w:val="left" w:leader="none"/>
                              </w:tabs>
                              <w:spacing w:line="164" w:lineRule="exact" w:before="36"/>
                              <w:ind w:left="32"/>
                              <w:rPr>
                                <w:sz w:val="16"/>
                              </w:rPr>
                            </w:pPr>
                            <w:r>
                              <w:rPr>
                                <w:spacing w:val="-10"/>
                                <w:sz w:val="16"/>
                              </w:rPr>
                              <w:t>$</w:t>
                            </w:r>
                            <w:r>
                              <w:rPr>
                                <w:sz w:val="16"/>
                              </w:rPr>
                              <w:tab/>
                              <w:t>.99</w:t>
                            </w:r>
                            <w:r>
                              <w:rPr>
                                <w:spacing w:val="60"/>
                                <w:w w:val="150"/>
                                <w:sz w:val="16"/>
                              </w:rPr>
                              <w:t> </w:t>
                            </w:r>
                            <w:r>
                              <w:rPr>
                                <w:spacing w:val="-10"/>
                                <w:sz w:val="16"/>
                              </w:rPr>
                              <w:t>$</w:t>
                            </w:r>
                          </w:p>
                        </w:tc>
                        <w:tc>
                          <w:tcPr>
                            <w:tcW w:w="547" w:type="dxa"/>
                            <w:tcBorders>
                              <w:top w:val="single" w:sz="4" w:space="0" w:color="000000"/>
                              <w:bottom w:val="double" w:sz="8" w:space="0" w:color="000000"/>
                            </w:tcBorders>
                            <w:shd w:val="clear" w:color="auto" w:fill="CCEDFF"/>
                          </w:tcPr>
                          <w:p>
                            <w:pPr>
                              <w:pStyle w:val="TableParagraph"/>
                              <w:spacing w:line="164" w:lineRule="exact" w:before="36"/>
                              <w:ind w:right="87"/>
                              <w:jc w:val="right"/>
                              <w:rPr>
                                <w:sz w:val="16"/>
                              </w:rPr>
                            </w:pPr>
                            <w:r>
                              <w:rPr>
                                <w:spacing w:val="-5"/>
                                <w:sz w:val="16"/>
                              </w:rPr>
                              <w:t>.99</w:t>
                            </w:r>
                          </w:p>
                        </w:tc>
                        <w:tc>
                          <w:tcPr>
                            <w:tcW w:w="1134" w:type="dxa"/>
                            <w:tcBorders>
                              <w:top w:val="single" w:sz="4" w:space="0" w:color="000000"/>
                              <w:bottom w:val="double" w:sz="8" w:space="0" w:color="000000"/>
                            </w:tcBorders>
                            <w:shd w:val="clear" w:color="auto" w:fill="CCEDFF"/>
                          </w:tcPr>
                          <w:p>
                            <w:pPr>
                              <w:pStyle w:val="TableParagraph"/>
                              <w:tabs>
                                <w:tab w:pos="470" w:val="left" w:leader="none"/>
                              </w:tabs>
                              <w:spacing w:line="164" w:lineRule="exact" w:before="36"/>
                              <w:ind w:left="31"/>
                              <w:rPr>
                                <w:sz w:val="16"/>
                              </w:rPr>
                            </w:pPr>
                            <w:r>
                              <w:rPr>
                                <w:spacing w:val="-10"/>
                                <w:sz w:val="16"/>
                              </w:rPr>
                              <w:t>$</w:t>
                            </w:r>
                            <w:r>
                              <w:rPr>
                                <w:sz w:val="16"/>
                              </w:rPr>
                              <w:tab/>
                              <w:t>2.03</w:t>
                            </w:r>
                            <w:r>
                              <w:rPr>
                                <w:spacing w:val="60"/>
                                <w:w w:val="150"/>
                                <w:sz w:val="16"/>
                              </w:rPr>
                              <w:t> </w:t>
                            </w:r>
                            <w:r>
                              <w:rPr>
                                <w:spacing w:val="-10"/>
                                <w:sz w:val="16"/>
                              </w:rPr>
                              <w:t>$</w:t>
                            </w:r>
                          </w:p>
                        </w:tc>
                        <w:tc>
                          <w:tcPr>
                            <w:tcW w:w="547" w:type="dxa"/>
                            <w:tcBorders>
                              <w:top w:val="single" w:sz="4" w:space="0" w:color="000000"/>
                              <w:bottom w:val="double" w:sz="8" w:space="0" w:color="000000"/>
                            </w:tcBorders>
                            <w:shd w:val="clear" w:color="auto" w:fill="CCEDFF"/>
                          </w:tcPr>
                          <w:p>
                            <w:pPr>
                              <w:pStyle w:val="TableParagraph"/>
                              <w:spacing w:line="164" w:lineRule="exact" w:before="36"/>
                              <w:ind w:right="88"/>
                              <w:jc w:val="right"/>
                              <w:rPr>
                                <w:sz w:val="16"/>
                              </w:rPr>
                            </w:pPr>
                            <w:r>
                              <w:rPr>
                                <w:spacing w:val="-4"/>
                                <w:sz w:val="16"/>
                              </w:rPr>
                              <w:t>2.03</w:t>
                            </w:r>
                          </w:p>
                        </w:tc>
                        <w:tc>
                          <w:tcPr>
                            <w:tcW w:w="1134" w:type="dxa"/>
                            <w:tcBorders>
                              <w:top w:val="single" w:sz="4" w:space="0" w:color="000000"/>
                              <w:bottom w:val="double" w:sz="8" w:space="0" w:color="000000"/>
                            </w:tcBorders>
                            <w:shd w:val="clear" w:color="auto" w:fill="CCEDFF"/>
                          </w:tcPr>
                          <w:p>
                            <w:pPr>
                              <w:pStyle w:val="TableParagraph"/>
                              <w:tabs>
                                <w:tab w:pos="469" w:val="left" w:leader="none"/>
                              </w:tabs>
                              <w:spacing w:line="164" w:lineRule="exact" w:before="36"/>
                              <w:ind w:left="30"/>
                              <w:rPr>
                                <w:sz w:val="16"/>
                              </w:rPr>
                            </w:pPr>
                            <w:r>
                              <w:rPr>
                                <w:spacing w:val="-10"/>
                                <w:sz w:val="16"/>
                              </w:rPr>
                              <w:t>$</w:t>
                            </w:r>
                            <w:r>
                              <w:rPr>
                                <w:sz w:val="16"/>
                              </w:rPr>
                              <w:tab/>
                              <w:t>2.53</w:t>
                            </w:r>
                            <w:r>
                              <w:rPr>
                                <w:spacing w:val="60"/>
                                <w:w w:val="150"/>
                                <w:sz w:val="16"/>
                              </w:rPr>
                              <w:t> </w:t>
                            </w:r>
                            <w:r>
                              <w:rPr>
                                <w:spacing w:val="-10"/>
                                <w:sz w:val="16"/>
                              </w:rPr>
                              <w:t>$</w:t>
                            </w:r>
                          </w:p>
                        </w:tc>
                        <w:tc>
                          <w:tcPr>
                            <w:tcW w:w="528" w:type="dxa"/>
                            <w:tcBorders>
                              <w:top w:val="single" w:sz="4" w:space="0" w:color="000000"/>
                              <w:bottom w:val="double" w:sz="8" w:space="0" w:color="000000"/>
                            </w:tcBorders>
                            <w:shd w:val="clear" w:color="auto" w:fill="CCEDFF"/>
                          </w:tcPr>
                          <w:p>
                            <w:pPr>
                              <w:pStyle w:val="TableParagraph"/>
                              <w:spacing w:line="164" w:lineRule="exact" w:before="36"/>
                              <w:ind w:left="103"/>
                              <w:jc w:val="center"/>
                              <w:rPr>
                                <w:sz w:val="16"/>
                              </w:rPr>
                            </w:pPr>
                            <w:r>
                              <w:rPr>
                                <w:spacing w:val="-4"/>
                                <w:sz w:val="16"/>
                              </w:rPr>
                              <w:t>2.53</w:t>
                            </w:r>
                          </w:p>
                        </w:tc>
                      </w:tr>
                    </w:tbl>
                    <w:p>
                      <w:pPr>
                        <w:pStyle w:val="BodyText"/>
                      </w:pPr>
                    </w:p>
                  </w:txbxContent>
                </v:textbox>
                <w10:wrap type="none"/>
              </v:shape>
            </w:pict>
          </mc:Fallback>
        </mc:AlternateContent>
      </w:r>
      <w:r>
        <w:rPr>
          <w:sz w:val="16"/>
        </w:rPr>
        <w:t>Basic</w:t>
      </w:r>
      <w:r>
        <w:rPr>
          <w:spacing w:val="-10"/>
          <w:sz w:val="16"/>
        </w:rPr>
        <w:t> </w:t>
      </w:r>
      <w:r>
        <w:rPr>
          <w:sz w:val="16"/>
        </w:rPr>
        <w:t>earnings</w:t>
      </w:r>
      <w:r>
        <w:rPr>
          <w:spacing w:val="-10"/>
          <w:sz w:val="16"/>
        </w:rPr>
        <w:t> </w:t>
      </w:r>
      <w:r>
        <w:rPr>
          <w:sz w:val="16"/>
        </w:rPr>
        <w:t>per</w:t>
      </w:r>
      <w:r>
        <w:rPr>
          <w:spacing w:val="-10"/>
          <w:sz w:val="16"/>
        </w:rPr>
        <w:t> </w:t>
      </w:r>
      <w:r>
        <w:rPr>
          <w:sz w:val="16"/>
        </w:rPr>
        <w:t>share:</w:t>
      </w:r>
      <w:r>
        <w:rPr>
          <w:spacing w:val="40"/>
          <w:sz w:val="16"/>
        </w:rPr>
        <w:t> </w:t>
      </w:r>
      <w:r>
        <w:rPr>
          <w:spacing w:val="-2"/>
          <w:sz w:val="16"/>
        </w:rPr>
        <w:t>Numerator</w:t>
      </w:r>
    </w:p>
    <w:p>
      <w:pPr>
        <w:spacing w:line="240" w:lineRule="auto" w:before="47"/>
        <w:rPr>
          <w:sz w:val="16"/>
        </w:rPr>
      </w:pPr>
      <w:r>
        <w:rPr/>
        <w:br w:type="column"/>
      </w:r>
      <w:r>
        <w:rPr>
          <w:sz w:val="16"/>
        </w:rPr>
      </w:r>
    </w:p>
    <w:p>
      <w:pPr>
        <w:spacing w:line="208" w:lineRule="auto" w:before="0"/>
        <w:ind w:left="638" w:right="0" w:hanging="116"/>
        <w:jc w:val="left"/>
        <w:rPr>
          <w:sz w:val="16"/>
        </w:rPr>
      </w:pPr>
      <w:r>
        <w:rPr/>
        <mc:AlternateContent>
          <mc:Choice Requires="wps">
            <w:drawing>
              <wp:anchor distT="0" distB="0" distL="0" distR="0" allowOverlap="1" layoutInCell="1" locked="0" behindDoc="0" simplePos="0" relativeHeight="15777792">
                <wp:simplePos x="0" y="0"/>
                <wp:positionH relativeFrom="page">
                  <wp:posOffset>628650</wp:posOffset>
                </wp:positionH>
                <wp:positionV relativeFrom="paragraph">
                  <wp:posOffset>221926</wp:posOffset>
                </wp:positionV>
                <wp:extent cx="6515100" cy="6350"/>
                <wp:effectExtent l="0" t="0" r="0" b="0"/>
                <wp:wrapNone/>
                <wp:docPr id="690" name="Group 690"/>
                <wp:cNvGraphicFramePr>
                  <a:graphicFrameLocks/>
                </wp:cNvGraphicFramePr>
                <a:graphic>
                  <a:graphicData uri="http://schemas.microsoft.com/office/word/2010/wordprocessingGroup">
                    <wpg:wgp>
                      <wpg:cNvPr id="690" name="Group 690"/>
                      <wpg:cNvGrpSpPr/>
                      <wpg:grpSpPr>
                        <a:xfrm>
                          <a:off x="0" y="0"/>
                          <a:ext cx="6515100" cy="6350"/>
                          <a:chExt cx="6515100" cy="6350"/>
                        </a:xfrm>
                      </wpg:grpSpPr>
                      <wps:wsp>
                        <wps:cNvPr id="691" name="Graphic 691"/>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692" name="Graphic 692"/>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17.47455pt;width:513pt;height:.5pt;mso-position-horizontal-relative:page;mso-position-vertical-relative:paragraph;z-index:15777792" id="docshapegroup499" coordorigin="990,349" coordsize="10260,10">
                <v:shape style="position:absolute;left:990;top:354;width:10260;height:2" id="docshape500" coordorigin="990,354" coordsize="10260,0" path="m11250,354l990,354e" filled="true" fillcolor="#000000" stroked="false">
                  <v:path arrowok="t"/>
                  <v:fill opacity="0f" type="solid"/>
                </v:shape>
                <v:line style="position:absolute" from="990,354" to="11250,354" stroked="true" strokeweight=".5pt" strokecolor="#000000">
                  <v:stroke dashstyle="solid"/>
                </v:line>
                <w10:wrap type="none"/>
              </v:group>
            </w:pict>
          </mc:Fallback>
        </mc:AlternateContent>
      </w:r>
      <w:r>
        <w:rPr>
          <w:spacing w:val="-2"/>
          <w:sz w:val="16"/>
        </w:rPr>
        <w:t>Common</w:t>
      </w:r>
      <w:r>
        <w:rPr>
          <w:spacing w:val="40"/>
          <w:sz w:val="16"/>
        </w:rPr>
        <w:t> </w:t>
      </w:r>
      <w:r>
        <w:rPr>
          <w:spacing w:val="-2"/>
          <w:sz w:val="16"/>
        </w:rPr>
        <w:t>Stock</w:t>
      </w:r>
    </w:p>
    <w:p>
      <w:pPr>
        <w:spacing w:line="208" w:lineRule="auto" w:before="71"/>
        <w:ind w:left="159" w:right="0" w:firstLine="0"/>
        <w:jc w:val="center"/>
        <w:rPr>
          <w:sz w:val="16"/>
        </w:rPr>
      </w:pPr>
      <w:r>
        <w:rPr/>
        <w:br w:type="column"/>
      </w:r>
      <w:r>
        <w:rPr>
          <w:spacing w:val="-2"/>
          <w:sz w:val="16"/>
        </w:rPr>
        <w:t>Nonvoting</w:t>
      </w:r>
      <w:r>
        <w:rPr>
          <w:spacing w:val="40"/>
          <w:sz w:val="16"/>
        </w:rPr>
        <w:t> </w:t>
      </w:r>
      <w:r>
        <w:rPr>
          <w:spacing w:val="-2"/>
          <w:sz w:val="16"/>
        </w:rPr>
        <w:t>Common</w:t>
      </w:r>
      <w:r>
        <w:rPr>
          <w:spacing w:val="40"/>
          <w:sz w:val="16"/>
        </w:rPr>
        <w:t> </w:t>
      </w:r>
      <w:r>
        <w:rPr>
          <w:spacing w:val="-2"/>
          <w:sz w:val="16"/>
        </w:rPr>
        <w:t>Stock</w:t>
      </w:r>
    </w:p>
    <w:p>
      <w:pPr>
        <w:spacing w:line="240" w:lineRule="auto" w:before="47"/>
        <w:rPr>
          <w:sz w:val="16"/>
        </w:rPr>
      </w:pPr>
      <w:r>
        <w:rPr/>
        <w:br w:type="column"/>
      </w:r>
      <w:r>
        <w:rPr>
          <w:sz w:val="16"/>
        </w:rPr>
      </w:r>
    </w:p>
    <w:p>
      <w:pPr>
        <w:spacing w:line="208" w:lineRule="auto" w:before="0"/>
        <w:ind w:left="275" w:right="-7" w:hanging="116"/>
        <w:jc w:val="left"/>
        <w:rPr>
          <w:sz w:val="16"/>
        </w:rPr>
      </w:pPr>
      <w:r>
        <w:rPr>
          <w:spacing w:val="-2"/>
          <w:sz w:val="16"/>
        </w:rPr>
        <w:t>Common</w:t>
      </w:r>
      <w:r>
        <w:rPr>
          <w:spacing w:val="40"/>
          <w:sz w:val="16"/>
        </w:rPr>
        <w:t> </w:t>
      </w:r>
      <w:r>
        <w:rPr>
          <w:spacing w:val="-2"/>
          <w:sz w:val="16"/>
        </w:rPr>
        <w:t>Stock</w:t>
      </w:r>
    </w:p>
    <w:p>
      <w:pPr>
        <w:spacing w:line="208" w:lineRule="auto" w:before="71"/>
        <w:ind w:left="159" w:right="0" w:firstLine="0"/>
        <w:jc w:val="center"/>
        <w:rPr>
          <w:sz w:val="16"/>
        </w:rPr>
      </w:pPr>
      <w:r>
        <w:rPr/>
        <w:br w:type="column"/>
      </w:r>
      <w:r>
        <w:rPr>
          <w:spacing w:val="-2"/>
          <w:sz w:val="16"/>
        </w:rPr>
        <w:t>Nonvoting</w:t>
      </w:r>
      <w:r>
        <w:rPr>
          <w:spacing w:val="40"/>
          <w:sz w:val="16"/>
        </w:rPr>
        <w:t> </w:t>
      </w:r>
      <w:r>
        <w:rPr>
          <w:spacing w:val="-2"/>
          <w:sz w:val="16"/>
        </w:rPr>
        <w:t>Common</w:t>
      </w:r>
      <w:r>
        <w:rPr>
          <w:spacing w:val="40"/>
          <w:sz w:val="16"/>
        </w:rPr>
        <w:t> </w:t>
      </w:r>
      <w:r>
        <w:rPr>
          <w:spacing w:val="-2"/>
          <w:sz w:val="16"/>
        </w:rPr>
        <w:t>Stock</w:t>
      </w:r>
    </w:p>
    <w:p>
      <w:pPr>
        <w:spacing w:line="240" w:lineRule="auto" w:before="47"/>
        <w:rPr>
          <w:sz w:val="16"/>
        </w:rPr>
      </w:pPr>
      <w:r>
        <w:rPr/>
        <w:br w:type="column"/>
      </w:r>
      <w:r>
        <w:rPr>
          <w:sz w:val="16"/>
        </w:rPr>
      </w:r>
    </w:p>
    <w:p>
      <w:pPr>
        <w:spacing w:line="208" w:lineRule="auto" w:before="0"/>
        <w:ind w:left="275" w:right="-7" w:hanging="116"/>
        <w:jc w:val="left"/>
        <w:rPr>
          <w:sz w:val="16"/>
        </w:rPr>
      </w:pPr>
      <w:r>
        <w:rPr>
          <w:spacing w:val="-2"/>
          <w:sz w:val="16"/>
        </w:rPr>
        <w:t>Common</w:t>
      </w:r>
      <w:r>
        <w:rPr>
          <w:spacing w:val="40"/>
          <w:sz w:val="16"/>
        </w:rPr>
        <w:t> </w:t>
      </w:r>
      <w:r>
        <w:rPr>
          <w:spacing w:val="-2"/>
          <w:sz w:val="16"/>
        </w:rPr>
        <w:t>Stock</w:t>
      </w:r>
    </w:p>
    <w:p>
      <w:pPr>
        <w:spacing w:line="208" w:lineRule="auto" w:before="67"/>
        <w:ind w:left="159" w:right="0" w:firstLine="0"/>
        <w:jc w:val="center"/>
        <w:rPr>
          <w:sz w:val="16"/>
        </w:rPr>
      </w:pPr>
      <w:r>
        <w:rPr/>
        <w:br w:type="column"/>
      </w:r>
      <w:r>
        <w:rPr>
          <w:spacing w:val="-2"/>
          <w:sz w:val="16"/>
        </w:rPr>
        <w:t>Nonvoting</w:t>
      </w:r>
      <w:r>
        <w:rPr>
          <w:spacing w:val="40"/>
          <w:sz w:val="16"/>
        </w:rPr>
        <w:t> </w:t>
      </w:r>
      <w:r>
        <w:rPr>
          <w:spacing w:val="-2"/>
          <w:sz w:val="16"/>
        </w:rPr>
        <w:t>Common</w:t>
      </w:r>
      <w:r>
        <w:rPr>
          <w:spacing w:val="40"/>
          <w:sz w:val="16"/>
        </w:rPr>
        <w:t> </w:t>
      </w:r>
      <w:r>
        <w:rPr>
          <w:spacing w:val="-2"/>
          <w:sz w:val="16"/>
        </w:rPr>
        <w:t>Stock</w:t>
      </w:r>
    </w:p>
    <w:p>
      <w:pPr>
        <w:spacing w:line="208" w:lineRule="auto" w:before="147"/>
        <w:ind w:left="275" w:right="-7" w:hanging="116"/>
        <w:jc w:val="left"/>
        <w:rPr>
          <w:sz w:val="16"/>
        </w:rPr>
      </w:pPr>
      <w:r>
        <w:rPr/>
        <w:br w:type="column"/>
      </w:r>
      <w:r>
        <w:rPr>
          <w:spacing w:val="-2"/>
          <w:sz w:val="16"/>
        </w:rPr>
        <w:t>Common</w:t>
      </w:r>
      <w:r>
        <w:rPr>
          <w:spacing w:val="40"/>
          <w:sz w:val="16"/>
        </w:rPr>
        <w:t> </w:t>
      </w:r>
      <w:r>
        <w:rPr>
          <w:spacing w:val="-2"/>
          <w:sz w:val="16"/>
        </w:rPr>
        <w:t>Stock</w:t>
      </w:r>
    </w:p>
    <w:p>
      <w:pPr>
        <w:spacing w:line="208" w:lineRule="auto" w:before="67"/>
        <w:ind w:left="159" w:right="545" w:firstLine="0"/>
        <w:jc w:val="center"/>
        <w:rPr>
          <w:sz w:val="16"/>
        </w:rPr>
      </w:pPr>
      <w:r>
        <w:rPr/>
        <w:br w:type="column"/>
      </w:r>
      <w:r>
        <w:rPr>
          <w:spacing w:val="-2"/>
          <w:sz w:val="16"/>
        </w:rPr>
        <w:t>Nonvoting</w:t>
      </w:r>
      <w:r>
        <w:rPr>
          <w:spacing w:val="40"/>
          <w:sz w:val="16"/>
        </w:rPr>
        <w:t> </w:t>
      </w:r>
      <w:r>
        <w:rPr>
          <w:spacing w:val="-2"/>
          <w:sz w:val="16"/>
        </w:rPr>
        <w:t>Common</w:t>
      </w:r>
      <w:r>
        <w:rPr>
          <w:spacing w:val="40"/>
          <w:sz w:val="16"/>
        </w:rPr>
        <w:t> </w:t>
      </w:r>
      <w:r>
        <w:rPr>
          <w:spacing w:val="-2"/>
          <w:sz w:val="16"/>
        </w:rPr>
        <w:t>Stock</w:t>
      </w:r>
    </w:p>
    <w:p>
      <w:pPr>
        <w:spacing w:after="0" w:line="208" w:lineRule="auto"/>
        <w:jc w:val="center"/>
        <w:rPr>
          <w:sz w:val="16"/>
        </w:rPr>
        <w:sectPr>
          <w:type w:val="continuous"/>
          <w:pgSz w:w="12240" w:h="15840"/>
          <w:pgMar w:header="227" w:footer="201" w:top="320" w:bottom="280" w:left="520" w:right="520"/>
          <w:cols w:num="9" w:equalWidth="0">
            <w:col w:w="2167" w:space="1443"/>
            <w:col w:w="1119" w:space="39"/>
            <w:col w:w="845" w:space="39"/>
            <w:col w:w="756" w:space="40"/>
            <w:col w:w="845" w:space="39"/>
            <w:col w:w="756" w:space="40"/>
            <w:col w:w="845" w:space="39"/>
            <w:col w:w="756" w:space="40"/>
            <w:col w:w="1392"/>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8"/>
        <w:rPr>
          <w:sz w:val="16"/>
        </w:rPr>
      </w:pPr>
    </w:p>
    <w:p>
      <w:pPr>
        <w:spacing w:before="1"/>
        <w:ind w:left="470" w:right="0" w:firstLine="0"/>
        <w:jc w:val="left"/>
        <w:rPr>
          <w:sz w:val="16"/>
        </w:rPr>
      </w:pPr>
      <w:r>
        <w:rPr>
          <w:sz w:val="16"/>
          <w:vertAlign w:val="superscript"/>
        </w:rPr>
        <w:t>(1)</w:t>
      </w:r>
      <w:r>
        <w:rPr>
          <w:spacing w:val="-15"/>
          <w:sz w:val="16"/>
          <w:vertAlign w:val="baseline"/>
        </w:rPr>
        <w:t> </w:t>
      </w:r>
      <w:r>
        <w:rPr>
          <w:sz w:val="16"/>
          <w:vertAlign w:val="baseline"/>
        </w:rPr>
        <w:t>Includes</w:t>
      </w:r>
      <w:r>
        <w:rPr>
          <w:spacing w:val="-1"/>
          <w:sz w:val="16"/>
          <w:vertAlign w:val="baseline"/>
        </w:rPr>
        <w:t> </w:t>
      </w:r>
      <w:r>
        <w:rPr>
          <w:sz w:val="16"/>
          <w:vertAlign w:val="baseline"/>
        </w:rPr>
        <w:t>preferred stock</w:t>
      </w:r>
      <w:r>
        <w:rPr>
          <w:spacing w:val="1"/>
          <w:sz w:val="16"/>
          <w:vertAlign w:val="baseline"/>
        </w:rPr>
        <w:t> </w:t>
      </w:r>
      <w:r>
        <w:rPr>
          <w:sz w:val="16"/>
          <w:vertAlign w:val="baseline"/>
        </w:rPr>
        <w:t>dividends</w:t>
      </w:r>
      <w:r>
        <w:rPr>
          <w:spacing w:val="-1"/>
          <w:sz w:val="16"/>
          <w:vertAlign w:val="baseline"/>
        </w:rPr>
        <w:t> </w:t>
      </w:r>
      <w:r>
        <w:rPr>
          <w:sz w:val="16"/>
          <w:vertAlign w:val="baseline"/>
        </w:rPr>
        <w:t>and undistributed earnings and dividends</w:t>
      </w:r>
      <w:r>
        <w:rPr>
          <w:spacing w:val="-1"/>
          <w:sz w:val="16"/>
          <w:vertAlign w:val="baseline"/>
        </w:rPr>
        <w:t> </w:t>
      </w:r>
      <w:r>
        <w:rPr>
          <w:sz w:val="16"/>
          <w:vertAlign w:val="baseline"/>
        </w:rPr>
        <w:t>allocated</w:t>
      </w:r>
      <w:r>
        <w:rPr>
          <w:spacing w:val="1"/>
          <w:sz w:val="16"/>
          <w:vertAlign w:val="baseline"/>
        </w:rPr>
        <w:t> </w:t>
      </w:r>
      <w:r>
        <w:rPr>
          <w:sz w:val="16"/>
          <w:vertAlign w:val="baseline"/>
        </w:rPr>
        <w:t>to non-vested restricted</w:t>
      </w:r>
      <w:r>
        <w:rPr>
          <w:spacing w:val="1"/>
          <w:sz w:val="16"/>
          <w:vertAlign w:val="baseline"/>
        </w:rPr>
        <w:t> </w:t>
      </w:r>
      <w:r>
        <w:rPr>
          <w:sz w:val="16"/>
          <w:vertAlign w:val="baseline"/>
        </w:rPr>
        <w:t>stock </w:t>
      </w:r>
      <w:r>
        <w:rPr>
          <w:spacing w:val="-2"/>
          <w:sz w:val="16"/>
          <w:vertAlign w:val="baseline"/>
        </w:rPr>
        <w:t>units.</w:t>
      </w:r>
    </w:p>
    <w:p>
      <w:pPr>
        <w:spacing w:line="249" w:lineRule="auto" w:before="8"/>
        <w:ind w:left="650" w:right="761" w:hanging="180"/>
        <w:jc w:val="left"/>
        <w:rPr>
          <w:sz w:val="16"/>
        </w:rPr>
      </w:pPr>
      <w:r>
        <w:rPr>
          <w:sz w:val="16"/>
          <w:vertAlign w:val="superscript"/>
        </w:rPr>
        <w:t>(2)</w:t>
      </w:r>
      <w:r>
        <w:rPr>
          <w:spacing w:val="-15"/>
          <w:sz w:val="16"/>
          <w:vertAlign w:val="baseline"/>
        </w:rPr>
        <w:t> </w:t>
      </w:r>
      <w:r>
        <w:rPr>
          <w:sz w:val="16"/>
          <w:vertAlign w:val="baseline"/>
        </w:rPr>
        <w:t>Antidilutive</w:t>
      </w:r>
      <w:r>
        <w:rPr>
          <w:spacing w:val="-2"/>
          <w:sz w:val="16"/>
          <w:vertAlign w:val="baseline"/>
        </w:rPr>
        <w:t> </w:t>
      </w:r>
      <w:r>
        <w:rPr>
          <w:sz w:val="16"/>
          <w:vertAlign w:val="baseline"/>
        </w:rPr>
        <w:t>stock</w:t>
      </w:r>
      <w:r>
        <w:rPr>
          <w:spacing w:val="-1"/>
          <w:sz w:val="16"/>
          <w:vertAlign w:val="baseline"/>
        </w:rPr>
        <w:t> </w:t>
      </w:r>
      <w:r>
        <w:rPr>
          <w:sz w:val="16"/>
          <w:vertAlign w:val="baseline"/>
        </w:rPr>
        <w:t>options</w:t>
      </w:r>
      <w:r>
        <w:rPr>
          <w:spacing w:val="-2"/>
          <w:sz w:val="16"/>
          <w:vertAlign w:val="baseline"/>
        </w:rPr>
        <w:t> </w:t>
      </w:r>
      <w:r>
        <w:rPr>
          <w:sz w:val="16"/>
          <w:vertAlign w:val="baseline"/>
        </w:rPr>
        <w:t>and</w:t>
      </w:r>
      <w:r>
        <w:rPr>
          <w:spacing w:val="-1"/>
          <w:sz w:val="16"/>
          <w:vertAlign w:val="baseline"/>
        </w:rPr>
        <w:t> </w:t>
      </w:r>
      <w:r>
        <w:rPr>
          <w:sz w:val="16"/>
          <w:vertAlign w:val="baseline"/>
        </w:rPr>
        <w:t>restricted</w:t>
      </w:r>
      <w:r>
        <w:rPr>
          <w:spacing w:val="-2"/>
          <w:sz w:val="16"/>
          <w:vertAlign w:val="baseline"/>
        </w:rPr>
        <w:t> </w:t>
      </w:r>
      <w:r>
        <w:rPr>
          <w:sz w:val="16"/>
          <w:vertAlign w:val="baseline"/>
        </w:rPr>
        <w:t>stock</w:t>
      </w:r>
      <w:r>
        <w:rPr>
          <w:spacing w:val="-1"/>
          <w:sz w:val="16"/>
          <w:vertAlign w:val="baseline"/>
        </w:rPr>
        <w:t> </w:t>
      </w:r>
      <w:r>
        <w:rPr>
          <w:sz w:val="16"/>
          <w:vertAlign w:val="baseline"/>
        </w:rPr>
        <w:t>units</w:t>
      </w:r>
      <w:r>
        <w:rPr>
          <w:spacing w:val="-2"/>
          <w:sz w:val="16"/>
          <w:vertAlign w:val="baseline"/>
        </w:rPr>
        <w:t> </w:t>
      </w:r>
      <w:r>
        <w:rPr>
          <w:sz w:val="16"/>
          <w:vertAlign w:val="baseline"/>
        </w:rPr>
        <w:t>excluded</w:t>
      </w:r>
      <w:r>
        <w:rPr>
          <w:spacing w:val="-1"/>
          <w:sz w:val="16"/>
          <w:vertAlign w:val="baseline"/>
        </w:rPr>
        <w:t> </w:t>
      </w:r>
      <w:r>
        <w:rPr>
          <w:sz w:val="16"/>
          <w:vertAlign w:val="baseline"/>
        </w:rPr>
        <w:t>from</w:t>
      </w:r>
      <w:r>
        <w:rPr>
          <w:spacing w:val="-2"/>
          <w:sz w:val="16"/>
          <w:vertAlign w:val="baseline"/>
        </w:rPr>
        <w:t> </w:t>
      </w:r>
      <w:r>
        <w:rPr>
          <w:sz w:val="16"/>
          <w:vertAlign w:val="baseline"/>
        </w:rPr>
        <w:t>the</w:t>
      </w:r>
      <w:r>
        <w:rPr>
          <w:spacing w:val="-1"/>
          <w:sz w:val="16"/>
          <w:vertAlign w:val="baseline"/>
        </w:rPr>
        <w:t> </w:t>
      </w:r>
      <w:r>
        <w:rPr>
          <w:sz w:val="16"/>
          <w:vertAlign w:val="baseline"/>
        </w:rPr>
        <w:t>calculation</w:t>
      </w:r>
      <w:r>
        <w:rPr>
          <w:spacing w:val="-2"/>
          <w:sz w:val="16"/>
          <w:vertAlign w:val="baseline"/>
        </w:rPr>
        <w:t> </w:t>
      </w:r>
      <w:r>
        <w:rPr>
          <w:sz w:val="16"/>
          <w:vertAlign w:val="baseline"/>
        </w:rPr>
        <w:t>of</w:t>
      </w:r>
      <w:r>
        <w:rPr>
          <w:spacing w:val="-1"/>
          <w:sz w:val="16"/>
          <w:vertAlign w:val="baseline"/>
        </w:rPr>
        <w:t> </w:t>
      </w:r>
      <w:r>
        <w:rPr>
          <w:sz w:val="16"/>
          <w:vertAlign w:val="baseline"/>
        </w:rPr>
        <w:t>diluted</w:t>
      </w:r>
      <w:r>
        <w:rPr>
          <w:spacing w:val="-2"/>
          <w:sz w:val="16"/>
          <w:vertAlign w:val="baseline"/>
        </w:rPr>
        <w:t> </w:t>
      </w:r>
      <w:r>
        <w:rPr>
          <w:sz w:val="16"/>
          <w:vertAlign w:val="baseline"/>
        </w:rPr>
        <w:t>EPS</w:t>
      </w:r>
      <w:r>
        <w:rPr>
          <w:spacing w:val="-2"/>
          <w:sz w:val="16"/>
          <w:vertAlign w:val="baseline"/>
        </w:rPr>
        <w:t> </w:t>
      </w:r>
      <w:r>
        <w:rPr>
          <w:sz w:val="16"/>
          <w:vertAlign w:val="baseline"/>
        </w:rPr>
        <w:t>totaled</w:t>
      </w:r>
      <w:r>
        <w:rPr>
          <w:spacing w:val="-5"/>
          <w:sz w:val="16"/>
          <w:vertAlign w:val="baseline"/>
        </w:rPr>
        <w:t> </w:t>
      </w:r>
      <w:r>
        <w:rPr>
          <w:sz w:val="16"/>
          <w:vertAlign w:val="baseline"/>
        </w:rPr>
        <w:t>15</w:t>
      </w:r>
      <w:r>
        <w:rPr>
          <w:spacing w:val="-1"/>
          <w:sz w:val="16"/>
          <w:vertAlign w:val="baseline"/>
        </w:rPr>
        <w:t> </w:t>
      </w:r>
      <w:r>
        <w:rPr>
          <w:sz w:val="16"/>
          <w:vertAlign w:val="baseline"/>
        </w:rPr>
        <w:t>million</w:t>
      </w:r>
      <w:r>
        <w:rPr>
          <w:spacing w:val="-2"/>
          <w:sz w:val="16"/>
          <w:vertAlign w:val="baseline"/>
        </w:rPr>
        <w:t> </w:t>
      </w:r>
      <w:r>
        <w:rPr>
          <w:sz w:val="16"/>
          <w:vertAlign w:val="baseline"/>
        </w:rPr>
        <w:t>and</w:t>
      </w:r>
      <w:r>
        <w:rPr>
          <w:spacing w:val="-2"/>
          <w:sz w:val="16"/>
          <w:vertAlign w:val="baseline"/>
        </w:rPr>
        <w:t> </w:t>
      </w:r>
      <w:r>
        <w:rPr>
          <w:sz w:val="16"/>
          <w:vertAlign w:val="baseline"/>
        </w:rPr>
        <w:t>18</w:t>
      </w:r>
      <w:r>
        <w:rPr>
          <w:spacing w:val="-1"/>
          <w:sz w:val="16"/>
          <w:vertAlign w:val="baseline"/>
        </w:rPr>
        <w:t> </w:t>
      </w:r>
      <w:r>
        <w:rPr>
          <w:sz w:val="16"/>
          <w:vertAlign w:val="baseline"/>
        </w:rPr>
        <w:t>million</w:t>
      </w:r>
      <w:r>
        <w:rPr>
          <w:spacing w:val="-2"/>
          <w:sz w:val="16"/>
          <w:vertAlign w:val="baseline"/>
        </w:rPr>
        <w:t> </w:t>
      </w:r>
      <w:r>
        <w:rPr>
          <w:sz w:val="16"/>
          <w:vertAlign w:val="baseline"/>
        </w:rPr>
        <w:t>for</w:t>
      </w:r>
      <w:r>
        <w:rPr>
          <w:spacing w:val="-1"/>
          <w:sz w:val="16"/>
          <w:vertAlign w:val="baseline"/>
        </w:rPr>
        <w:t> </w:t>
      </w:r>
      <w:r>
        <w:rPr>
          <w:sz w:val="16"/>
          <w:vertAlign w:val="baseline"/>
        </w:rPr>
        <w:t>the</w:t>
      </w:r>
      <w:r>
        <w:rPr>
          <w:spacing w:val="-2"/>
          <w:sz w:val="16"/>
          <w:vertAlign w:val="baseline"/>
        </w:rPr>
        <w:t> </w:t>
      </w:r>
      <w:r>
        <w:rPr>
          <w:sz w:val="16"/>
          <w:vertAlign w:val="baseline"/>
        </w:rPr>
        <w:t>three</w:t>
      </w:r>
      <w:r>
        <w:rPr>
          <w:spacing w:val="-1"/>
          <w:sz w:val="16"/>
          <w:vertAlign w:val="baseline"/>
        </w:rPr>
        <w:t> </w:t>
      </w:r>
      <w:r>
        <w:rPr>
          <w:sz w:val="16"/>
          <w:vertAlign w:val="baseline"/>
        </w:rPr>
        <w:t>and</w:t>
      </w:r>
      <w:r>
        <w:rPr>
          <w:spacing w:val="-2"/>
          <w:sz w:val="16"/>
          <w:vertAlign w:val="baseline"/>
        </w:rPr>
        <w:t> </w:t>
      </w:r>
      <w:r>
        <w:rPr>
          <w:sz w:val="16"/>
          <w:vertAlign w:val="baseline"/>
        </w:rPr>
        <w:t>nine</w:t>
      </w:r>
      <w:r>
        <w:rPr>
          <w:spacing w:val="40"/>
          <w:sz w:val="16"/>
          <w:vertAlign w:val="baseline"/>
        </w:rPr>
        <w:t> </w:t>
      </w:r>
      <w:r>
        <w:rPr>
          <w:sz w:val="16"/>
          <w:vertAlign w:val="baseline"/>
        </w:rPr>
        <w:t>months ended September 30, 2023, respectively, and 13 million and 15 million for the three and nine months ended September 30, 2022, respectively.</w:t>
      </w:r>
    </w:p>
    <w:p>
      <w:pPr>
        <w:spacing w:after="0" w:line="249" w:lineRule="auto"/>
        <w:jc w:val="left"/>
        <w:rPr>
          <w:sz w:val="16"/>
        </w:rPr>
        <w:sectPr>
          <w:type w:val="continuous"/>
          <w:pgSz w:w="12240" w:h="15840"/>
          <w:pgMar w:header="227" w:footer="201" w:top="320" w:bottom="280" w:left="520" w:right="520"/>
        </w:sectPr>
      </w:pPr>
    </w:p>
    <w:p>
      <w:pPr>
        <w:pStyle w:val="Heading2"/>
        <w:numPr>
          <w:ilvl w:val="0"/>
          <w:numId w:val="4"/>
        </w:numPr>
        <w:tabs>
          <w:tab w:pos="1189" w:val="left" w:leader="none"/>
        </w:tabs>
        <w:spacing w:line="240" w:lineRule="auto" w:before="211" w:after="0"/>
        <w:ind w:left="1189" w:right="0" w:hanging="719"/>
        <w:jc w:val="left"/>
      </w:pPr>
      <w:bookmarkStart w:name="Note 17 Regulatory Requirements" w:id="56"/>
      <w:bookmarkEnd w:id="56"/>
      <w:r>
        <w:rPr>
          <w:b w:val="0"/>
        </w:rPr>
      </w:r>
      <w:r>
        <w:rPr/>
        <w:t>Regulatory</w:t>
      </w:r>
      <w:r>
        <w:rPr>
          <w:spacing w:val="-5"/>
        </w:rPr>
        <w:t> </w:t>
      </w:r>
      <w:r>
        <w:rPr>
          <w:spacing w:val="-2"/>
        </w:rPr>
        <w:t>Requirements</w:t>
      </w:r>
    </w:p>
    <w:p>
      <w:pPr>
        <w:pStyle w:val="BodyText"/>
        <w:spacing w:before="23"/>
        <w:rPr>
          <w:b/>
        </w:rPr>
      </w:pPr>
    </w:p>
    <w:p>
      <w:pPr>
        <w:pStyle w:val="BodyText"/>
        <w:spacing w:line="249" w:lineRule="auto"/>
        <w:ind w:left="470" w:right="761"/>
      </w:pPr>
      <w:r>
        <w:rPr/>
        <mc:AlternateContent>
          <mc:Choice Requires="wps">
            <w:drawing>
              <wp:anchor distT="0" distB="0" distL="0" distR="0" allowOverlap="1" layoutInCell="1" locked="0" behindDoc="0" simplePos="0" relativeHeight="15779328">
                <wp:simplePos x="0" y="0"/>
                <wp:positionH relativeFrom="page">
                  <wp:posOffset>628650</wp:posOffset>
                </wp:positionH>
                <wp:positionV relativeFrom="paragraph">
                  <wp:posOffset>396004</wp:posOffset>
                </wp:positionV>
                <wp:extent cx="6505575" cy="6350"/>
                <wp:effectExtent l="0" t="0" r="0" b="0"/>
                <wp:wrapNone/>
                <wp:docPr id="693" name="Group 693"/>
                <wp:cNvGraphicFramePr>
                  <a:graphicFrameLocks/>
                </wp:cNvGraphicFramePr>
                <a:graphic>
                  <a:graphicData uri="http://schemas.microsoft.com/office/word/2010/wordprocessingGroup">
                    <wpg:wgp>
                      <wpg:cNvPr id="693" name="Group 693"/>
                      <wpg:cNvGrpSpPr/>
                      <wpg:grpSpPr>
                        <a:xfrm>
                          <a:off x="0" y="0"/>
                          <a:ext cx="6505575" cy="6350"/>
                          <a:chExt cx="6505575" cy="6350"/>
                        </a:xfrm>
                      </wpg:grpSpPr>
                      <wps:wsp>
                        <wps:cNvPr id="694" name="Graphic 694"/>
                        <wps:cNvSpPr/>
                        <wps:spPr>
                          <a:xfrm>
                            <a:off x="0" y="3175"/>
                            <a:ext cx="6505575" cy="1270"/>
                          </a:xfrm>
                          <a:custGeom>
                            <a:avLst/>
                            <a:gdLst/>
                            <a:ahLst/>
                            <a:cxnLst/>
                            <a:rect l="l" t="t" r="r" b="b"/>
                            <a:pathLst>
                              <a:path w="6505575" h="0">
                                <a:moveTo>
                                  <a:pt x="6505575" y="0"/>
                                </a:moveTo>
                                <a:lnTo>
                                  <a:pt x="0" y="0"/>
                                </a:lnTo>
                              </a:path>
                            </a:pathLst>
                          </a:custGeom>
                          <a:solidFill>
                            <a:srgbClr val="000000"/>
                          </a:solidFill>
                        </wps:spPr>
                        <wps:bodyPr wrap="square" lIns="0" tIns="0" rIns="0" bIns="0" rtlCol="0">
                          <a:prstTxWarp prst="textNoShape">
                            <a:avLst/>
                          </a:prstTxWarp>
                          <a:noAutofit/>
                        </wps:bodyPr>
                      </wps:wsp>
                      <wps:wsp>
                        <wps:cNvPr id="695" name="Graphic 695"/>
                        <wps:cNvSpPr/>
                        <wps:spPr>
                          <a:xfrm>
                            <a:off x="0" y="3175"/>
                            <a:ext cx="6505575" cy="1270"/>
                          </a:xfrm>
                          <a:custGeom>
                            <a:avLst/>
                            <a:gdLst/>
                            <a:ahLst/>
                            <a:cxnLst/>
                            <a:rect l="l" t="t" r="r" b="b"/>
                            <a:pathLst>
                              <a:path w="6505575" h="0">
                                <a:moveTo>
                                  <a:pt x="0" y="0"/>
                                </a:moveTo>
                                <a:lnTo>
                                  <a:pt x="650557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31.181484pt;width:512.25pt;height:.5pt;mso-position-horizontal-relative:page;mso-position-vertical-relative:paragraph;z-index:15779328" id="docshapegroup501" coordorigin="990,624" coordsize="10245,10">
                <v:shape style="position:absolute;left:990;top:628;width:10245;height:2" id="docshape502" coordorigin="990,629" coordsize="10245,0" path="m11235,629l990,629e" filled="true" fillcolor="#000000" stroked="false">
                  <v:path arrowok="t"/>
                  <v:fill opacity="0f" type="solid"/>
                </v:shape>
                <v:line style="position:absolute" from="990,629" to="11235,629" stroked="true" strokeweight=".5pt" strokecolor="#000000">
                  <v:stroke dashstyle="solid"/>
                </v:line>
                <w10:wrap type="none"/>
              </v:group>
            </w:pict>
          </mc:Fallback>
        </mc:AlternateContent>
      </w:r>
      <w:r>
        <w:rPr/>
        <w:t>At</w:t>
      </w:r>
      <w:r>
        <w:rPr>
          <w:spacing w:val="-4"/>
        </w:rPr>
        <w:t> </w:t>
      </w:r>
      <w:r>
        <w:rPr/>
        <w:t>September</w:t>
      </w:r>
      <w:r>
        <w:rPr>
          <w:spacing w:val="-3"/>
        </w:rPr>
        <w:t> </w:t>
      </w:r>
      <w:r>
        <w:rPr/>
        <w:t>30,</w:t>
      </w:r>
      <w:r>
        <w:rPr>
          <w:spacing w:val="-3"/>
        </w:rPr>
        <w:t> </w:t>
      </w:r>
      <w:r>
        <w:rPr/>
        <w:t>2023,</w:t>
      </w:r>
      <w:r>
        <w:rPr>
          <w:spacing w:val="-3"/>
        </w:rPr>
        <w:t> </w:t>
      </w:r>
      <w:r>
        <w:rPr/>
        <w:t>CSC</w:t>
      </w:r>
      <w:r>
        <w:rPr>
          <w:spacing w:val="-4"/>
        </w:rPr>
        <w:t> </w:t>
      </w:r>
      <w:r>
        <w:rPr/>
        <w:t>and</w:t>
      </w:r>
      <w:r>
        <w:rPr>
          <w:spacing w:val="-3"/>
        </w:rPr>
        <w:t> </w:t>
      </w:r>
      <w:r>
        <w:rPr/>
        <w:t>its</w:t>
      </w:r>
      <w:r>
        <w:rPr>
          <w:spacing w:val="-4"/>
        </w:rPr>
        <w:t> </w:t>
      </w:r>
      <w:r>
        <w:rPr/>
        <w:t>banking</w:t>
      </w:r>
      <w:r>
        <w:rPr>
          <w:spacing w:val="-3"/>
        </w:rPr>
        <w:t> </w:t>
      </w:r>
      <w:r>
        <w:rPr/>
        <w:t>subsidiaries</w:t>
      </w:r>
      <w:r>
        <w:rPr>
          <w:spacing w:val="-4"/>
        </w:rPr>
        <w:t> </w:t>
      </w:r>
      <w:r>
        <w:rPr/>
        <w:t>met</w:t>
      </w:r>
      <w:r>
        <w:rPr>
          <w:spacing w:val="-4"/>
        </w:rPr>
        <w:t> </w:t>
      </w:r>
      <w:r>
        <w:rPr/>
        <w:t>all</w:t>
      </w:r>
      <w:r>
        <w:rPr>
          <w:spacing w:val="-4"/>
        </w:rPr>
        <w:t> </w:t>
      </w:r>
      <w:r>
        <w:rPr/>
        <w:t>of</w:t>
      </w:r>
      <w:r>
        <w:rPr>
          <w:spacing w:val="-3"/>
        </w:rPr>
        <w:t> </w:t>
      </w:r>
      <w:r>
        <w:rPr/>
        <w:t>their</w:t>
      </w:r>
      <w:r>
        <w:rPr>
          <w:spacing w:val="-3"/>
        </w:rPr>
        <w:t> </w:t>
      </w:r>
      <w:r>
        <w:rPr/>
        <w:t>respective</w:t>
      </w:r>
      <w:r>
        <w:rPr>
          <w:spacing w:val="-4"/>
        </w:rPr>
        <w:t> </w:t>
      </w:r>
      <w:r>
        <w:rPr/>
        <w:t>capital</w:t>
      </w:r>
      <w:r>
        <w:rPr>
          <w:spacing w:val="-4"/>
        </w:rPr>
        <w:t> </w:t>
      </w:r>
      <w:r>
        <w:rPr/>
        <w:t>requirements.</w:t>
      </w:r>
      <w:r>
        <w:rPr>
          <w:spacing w:val="-3"/>
        </w:rPr>
        <w:t> </w:t>
      </w:r>
      <w:r>
        <w:rPr/>
        <w:t>Regulatory</w:t>
      </w:r>
      <w:r>
        <w:rPr>
          <w:spacing w:val="-3"/>
        </w:rPr>
        <w:t> </w:t>
      </w:r>
      <w:r>
        <w:rPr/>
        <w:t>capital and ratios for CSC (consolidated) and CSB are as follows:</w:t>
      </w:r>
    </w:p>
    <w:p>
      <w:pPr>
        <w:spacing w:after="0" w:line="249" w:lineRule="auto"/>
        <w:sectPr>
          <w:pgSz w:w="12240" w:h="15840"/>
          <w:pgMar w:header="227" w:footer="201" w:top="1080" w:bottom="400" w:left="520" w:right="520"/>
        </w:sectPr>
      </w:pPr>
    </w:p>
    <w:p>
      <w:pPr>
        <w:pStyle w:val="BodyText"/>
        <w:spacing w:before="141"/>
        <w:rPr>
          <w:sz w:val="18"/>
        </w:rPr>
      </w:pPr>
    </w:p>
    <w:p>
      <w:pPr>
        <w:spacing w:before="0"/>
        <w:ind w:left="0" w:right="0" w:firstLine="0"/>
        <w:jc w:val="right"/>
        <w:rPr>
          <w:sz w:val="18"/>
        </w:rPr>
      </w:pPr>
      <w:r>
        <w:rPr>
          <w:spacing w:val="-2"/>
          <w:sz w:val="18"/>
        </w:rPr>
        <w:t>Actual</w:t>
      </w:r>
    </w:p>
    <w:p>
      <w:pPr>
        <w:spacing w:line="208" w:lineRule="auto" w:before="190"/>
        <w:ind w:left="1047" w:right="0" w:firstLine="47"/>
        <w:jc w:val="left"/>
        <w:rPr>
          <w:sz w:val="18"/>
        </w:rPr>
      </w:pPr>
      <w:r>
        <w:rPr/>
        <w:br w:type="column"/>
      </w:r>
      <w:r>
        <w:rPr>
          <w:sz w:val="18"/>
        </w:rPr>
        <w:t>Minimum to be Well </w:t>
      </w:r>
      <w:r>
        <w:rPr>
          <w:spacing w:val="-2"/>
          <w:sz w:val="18"/>
        </w:rPr>
        <w:t>Capitalized</w:t>
      </w:r>
    </w:p>
    <w:p>
      <w:pPr>
        <w:spacing w:line="208" w:lineRule="auto" w:before="190"/>
        <w:ind w:left="822" w:right="770" w:hanging="178"/>
        <w:jc w:val="left"/>
        <w:rPr>
          <w:sz w:val="18"/>
        </w:rPr>
      </w:pPr>
      <w:r>
        <w:rPr/>
        <w:br w:type="column"/>
      </w:r>
      <w:r>
        <w:rPr>
          <w:sz w:val="18"/>
        </w:rPr>
        <w:t>Minimum</w:t>
      </w:r>
      <w:r>
        <w:rPr>
          <w:spacing w:val="-12"/>
          <w:sz w:val="18"/>
        </w:rPr>
        <w:t> </w:t>
      </w:r>
      <w:r>
        <w:rPr>
          <w:sz w:val="18"/>
        </w:rPr>
        <w:t>Capital </w:t>
      </w:r>
      <w:r>
        <w:rPr>
          <w:spacing w:val="-2"/>
          <w:sz w:val="18"/>
        </w:rPr>
        <w:t>Requirement</w:t>
      </w:r>
    </w:p>
    <w:p>
      <w:pPr>
        <w:spacing w:after="0" w:line="208" w:lineRule="auto"/>
        <w:jc w:val="left"/>
        <w:rPr>
          <w:sz w:val="18"/>
        </w:rPr>
        <w:sectPr>
          <w:type w:val="continuous"/>
          <w:pgSz w:w="12240" w:h="15840"/>
          <w:pgMar w:header="227" w:footer="201" w:top="320" w:bottom="280" w:left="520" w:right="520"/>
          <w:cols w:num="3" w:equalWidth="0">
            <w:col w:w="6156" w:space="40"/>
            <w:col w:w="2263" w:space="39"/>
            <w:col w:w="2702"/>
          </w:cols>
        </w:sectPr>
      </w:pPr>
    </w:p>
    <w:p>
      <w:pPr>
        <w:pStyle w:val="BodyText"/>
        <w:spacing w:before="7"/>
        <w:rPr>
          <w:sz w:val="2"/>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5"/>
        <w:gridCol w:w="1024"/>
        <w:gridCol w:w="836"/>
        <w:gridCol w:w="75"/>
        <w:gridCol w:w="1035"/>
        <w:gridCol w:w="825"/>
        <w:gridCol w:w="75"/>
        <w:gridCol w:w="979"/>
        <w:gridCol w:w="882"/>
      </w:tblGrid>
      <w:tr>
        <w:trPr>
          <w:trHeight w:val="245" w:hRule="atLeast"/>
        </w:trPr>
        <w:tc>
          <w:tcPr>
            <w:tcW w:w="4515" w:type="dxa"/>
            <w:tcBorders>
              <w:bottom w:val="single" w:sz="4" w:space="0" w:color="000000"/>
            </w:tcBorders>
          </w:tcPr>
          <w:p>
            <w:pPr>
              <w:pStyle w:val="TableParagraph"/>
              <w:spacing w:before="8"/>
              <w:ind w:left="52"/>
              <w:rPr>
                <w:sz w:val="18"/>
              </w:rPr>
            </w:pPr>
            <w:r>
              <w:rPr>
                <w:sz w:val="18"/>
              </w:rPr>
              <w:t>September</w:t>
            </w:r>
            <w:r>
              <w:rPr>
                <w:spacing w:val="-1"/>
                <w:sz w:val="18"/>
              </w:rPr>
              <w:t> </w:t>
            </w:r>
            <w:r>
              <w:rPr>
                <w:sz w:val="18"/>
              </w:rPr>
              <w:t>30, </w:t>
            </w:r>
            <w:r>
              <w:rPr>
                <w:spacing w:val="-4"/>
                <w:sz w:val="18"/>
              </w:rPr>
              <w:t>2023</w:t>
            </w:r>
          </w:p>
        </w:tc>
        <w:tc>
          <w:tcPr>
            <w:tcW w:w="1024" w:type="dxa"/>
            <w:tcBorders>
              <w:top w:val="single" w:sz="4" w:space="0" w:color="000000"/>
              <w:bottom w:val="single" w:sz="4" w:space="0" w:color="000000"/>
            </w:tcBorders>
          </w:tcPr>
          <w:p>
            <w:pPr>
              <w:pStyle w:val="TableParagraph"/>
              <w:spacing w:before="13"/>
              <w:ind w:left="155"/>
              <w:rPr>
                <w:sz w:val="18"/>
              </w:rPr>
            </w:pPr>
            <w:r>
              <w:rPr>
                <w:spacing w:val="-2"/>
                <w:sz w:val="18"/>
              </w:rPr>
              <w:t>Amount</w:t>
            </w:r>
          </w:p>
        </w:tc>
        <w:tc>
          <w:tcPr>
            <w:tcW w:w="836" w:type="dxa"/>
            <w:tcBorders>
              <w:top w:val="single" w:sz="4" w:space="0" w:color="000000"/>
              <w:bottom w:val="single" w:sz="4" w:space="0" w:color="000000"/>
            </w:tcBorders>
          </w:tcPr>
          <w:p>
            <w:pPr>
              <w:pStyle w:val="TableParagraph"/>
              <w:spacing w:before="13"/>
              <w:ind w:left="198"/>
              <w:rPr>
                <w:sz w:val="18"/>
              </w:rPr>
            </w:pPr>
            <w:r>
              <w:rPr>
                <w:spacing w:val="-2"/>
                <w:sz w:val="18"/>
              </w:rPr>
              <w:t>Ratio</w:t>
            </w:r>
          </w:p>
        </w:tc>
        <w:tc>
          <w:tcPr>
            <w:tcW w:w="75" w:type="dxa"/>
            <w:tcBorders>
              <w:bottom w:val="single" w:sz="4" w:space="0" w:color="000000"/>
            </w:tcBorders>
          </w:tcPr>
          <w:p>
            <w:pPr>
              <w:pStyle w:val="TableParagraph"/>
              <w:rPr>
                <w:sz w:val="16"/>
              </w:rPr>
            </w:pPr>
          </w:p>
        </w:tc>
        <w:tc>
          <w:tcPr>
            <w:tcW w:w="1035" w:type="dxa"/>
            <w:tcBorders>
              <w:top w:val="single" w:sz="4" w:space="0" w:color="000000"/>
              <w:bottom w:val="single" w:sz="4" w:space="0" w:color="000000"/>
            </w:tcBorders>
          </w:tcPr>
          <w:p>
            <w:pPr>
              <w:pStyle w:val="TableParagraph"/>
              <w:spacing w:before="13"/>
              <w:ind w:left="155"/>
              <w:rPr>
                <w:sz w:val="18"/>
              </w:rPr>
            </w:pPr>
            <w:r>
              <w:rPr>
                <w:spacing w:val="-2"/>
                <w:sz w:val="18"/>
              </w:rPr>
              <w:t>Amount</w:t>
            </w:r>
          </w:p>
        </w:tc>
        <w:tc>
          <w:tcPr>
            <w:tcW w:w="825" w:type="dxa"/>
            <w:tcBorders>
              <w:top w:val="single" w:sz="4" w:space="0" w:color="000000"/>
              <w:bottom w:val="single" w:sz="4" w:space="0" w:color="000000"/>
            </w:tcBorders>
          </w:tcPr>
          <w:p>
            <w:pPr>
              <w:pStyle w:val="TableParagraph"/>
              <w:spacing w:before="13"/>
              <w:ind w:left="187"/>
              <w:rPr>
                <w:sz w:val="18"/>
              </w:rPr>
            </w:pPr>
            <w:r>
              <w:rPr>
                <w:spacing w:val="-2"/>
                <w:sz w:val="18"/>
              </w:rPr>
              <w:t>Ratio</w:t>
            </w:r>
          </w:p>
        </w:tc>
        <w:tc>
          <w:tcPr>
            <w:tcW w:w="75" w:type="dxa"/>
            <w:tcBorders>
              <w:bottom w:val="single" w:sz="4" w:space="0" w:color="000000"/>
            </w:tcBorders>
          </w:tcPr>
          <w:p>
            <w:pPr>
              <w:pStyle w:val="TableParagraph"/>
              <w:rPr>
                <w:sz w:val="16"/>
              </w:rPr>
            </w:pPr>
          </w:p>
        </w:tc>
        <w:tc>
          <w:tcPr>
            <w:tcW w:w="979" w:type="dxa"/>
            <w:tcBorders>
              <w:top w:val="single" w:sz="4" w:space="0" w:color="000000"/>
              <w:bottom w:val="single" w:sz="4" w:space="0" w:color="000000"/>
            </w:tcBorders>
          </w:tcPr>
          <w:p>
            <w:pPr>
              <w:pStyle w:val="TableParagraph"/>
              <w:spacing w:before="13"/>
              <w:ind w:left="155"/>
              <w:rPr>
                <w:sz w:val="18"/>
              </w:rPr>
            </w:pPr>
            <w:r>
              <w:rPr>
                <w:spacing w:val="-2"/>
                <w:sz w:val="18"/>
              </w:rPr>
              <w:t>Amount</w:t>
            </w:r>
          </w:p>
        </w:tc>
        <w:tc>
          <w:tcPr>
            <w:tcW w:w="882" w:type="dxa"/>
            <w:tcBorders>
              <w:top w:val="single" w:sz="4" w:space="0" w:color="000000"/>
              <w:bottom w:val="single" w:sz="4" w:space="0" w:color="000000"/>
            </w:tcBorders>
          </w:tcPr>
          <w:p>
            <w:pPr>
              <w:pStyle w:val="TableParagraph"/>
              <w:spacing w:before="13"/>
              <w:ind w:left="152"/>
              <w:rPr>
                <w:sz w:val="18"/>
              </w:rPr>
            </w:pPr>
            <w:r>
              <w:rPr>
                <w:sz w:val="18"/>
              </w:rPr>
              <w:t>Ratio</w:t>
            </w:r>
            <w:r>
              <w:rPr>
                <w:spacing w:val="-1"/>
                <w:sz w:val="18"/>
              </w:rPr>
              <w:t> </w:t>
            </w:r>
            <w:r>
              <w:rPr>
                <w:spacing w:val="-5"/>
                <w:sz w:val="18"/>
                <w:vertAlign w:val="superscript"/>
              </w:rPr>
              <w:t>(1)</w:t>
            </w:r>
          </w:p>
        </w:tc>
      </w:tr>
      <w:tr>
        <w:trPr>
          <w:trHeight w:val="250" w:hRule="atLeast"/>
        </w:trPr>
        <w:tc>
          <w:tcPr>
            <w:tcW w:w="4515" w:type="dxa"/>
            <w:tcBorders>
              <w:top w:val="single" w:sz="4" w:space="0" w:color="000000"/>
            </w:tcBorders>
          </w:tcPr>
          <w:p>
            <w:pPr>
              <w:pStyle w:val="TableParagraph"/>
              <w:spacing w:before="13"/>
              <w:ind w:left="52"/>
              <w:rPr>
                <w:b/>
                <w:sz w:val="18"/>
              </w:rPr>
            </w:pPr>
            <w:r>
              <w:rPr>
                <w:b/>
                <w:spacing w:val="-5"/>
                <w:sz w:val="18"/>
              </w:rPr>
              <w:t>CSC</w:t>
            </w:r>
          </w:p>
        </w:tc>
        <w:tc>
          <w:tcPr>
            <w:tcW w:w="1024" w:type="dxa"/>
            <w:tcBorders>
              <w:top w:val="single" w:sz="4" w:space="0" w:color="000000"/>
            </w:tcBorders>
          </w:tcPr>
          <w:p>
            <w:pPr>
              <w:pStyle w:val="TableParagraph"/>
              <w:rPr>
                <w:sz w:val="16"/>
              </w:rPr>
            </w:pPr>
          </w:p>
        </w:tc>
        <w:tc>
          <w:tcPr>
            <w:tcW w:w="836" w:type="dxa"/>
            <w:tcBorders>
              <w:top w:val="single" w:sz="4" w:space="0" w:color="000000"/>
            </w:tcBorders>
          </w:tcPr>
          <w:p>
            <w:pPr>
              <w:pStyle w:val="TableParagraph"/>
              <w:rPr>
                <w:sz w:val="16"/>
              </w:rPr>
            </w:pPr>
          </w:p>
        </w:tc>
        <w:tc>
          <w:tcPr>
            <w:tcW w:w="75" w:type="dxa"/>
            <w:tcBorders>
              <w:top w:val="single" w:sz="4" w:space="0" w:color="000000"/>
            </w:tcBorders>
          </w:tcPr>
          <w:p>
            <w:pPr>
              <w:pStyle w:val="TableParagraph"/>
              <w:rPr>
                <w:sz w:val="16"/>
              </w:rPr>
            </w:pPr>
          </w:p>
        </w:tc>
        <w:tc>
          <w:tcPr>
            <w:tcW w:w="1035" w:type="dxa"/>
            <w:tcBorders>
              <w:top w:val="single" w:sz="4" w:space="0" w:color="000000"/>
            </w:tcBorders>
          </w:tcPr>
          <w:p>
            <w:pPr>
              <w:pStyle w:val="TableParagraph"/>
              <w:rPr>
                <w:sz w:val="16"/>
              </w:rPr>
            </w:pPr>
          </w:p>
        </w:tc>
        <w:tc>
          <w:tcPr>
            <w:tcW w:w="825" w:type="dxa"/>
            <w:tcBorders>
              <w:top w:val="single" w:sz="4" w:space="0" w:color="000000"/>
            </w:tcBorders>
          </w:tcPr>
          <w:p>
            <w:pPr>
              <w:pStyle w:val="TableParagraph"/>
              <w:rPr>
                <w:sz w:val="16"/>
              </w:rPr>
            </w:pPr>
          </w:p>
        </w:tc>
        <w:tc>
          <w:tcPr>
            <w:tcW w:w="75" w:type="dxa"/>
            <w:tcBorders>
              <w:top w:val="single" w:sz="4" w:space="0" w:color="000000"/>
            </w:tcBorders>
          </w:tcPr>
          <w:p>
            <w:pPr>
              <w:pStyle w:val="TableParagraph"/>
              <w:rPr>
                <w:sz w:val="16"/>
              </w:rPr>
            </w:pPr>
          </w:p>
        </w:tc>
        <w:tc>
          <w:tcPr>
            <w:tcW w:w="979" w:type="dxa"/>
            <w:tcBorders>
              <w:top w:val="single" w:sz="4" w:space="0" w:color="000000"/>
            </w:tcBorders>
          </w:tcPr>
          <w:p>
            <w:pPr>
              <w:pStyle w:val="TableParagraph"/>
              <w:rPr>
                <w:sz w:val="16"/>
              </w:rPr>
            </w:pPr>
          </w:p>
        </w:tc>
        <w:tc>
          <w:tcPr>
            <w:tcW w:w="882" w:type="dxa"/>
            <w:tcBorders>
              <w:top w:val="single" w:sz="4" w:space="0" w:color="000000"/>
            </w:tcBorders>
          </w:tcPr>
          <w:p>
            <w:pPr>
              <w:pStyle w:val="TableParagraph"/>
              <w:rPr>
                <w:sz w:val="16"/>
              </w:rPr>
            </w:pPr>
          </w:p>
        </w:tc>
      </w:tr>
      <w:tr>
        <w:trPr>
          <w:trHeight w:val="255" w:hRule="atLeast"/>
        </w:trPr>
        <w:tc>
          <w:tcPr>
            <w:tcW w:w="4515" w:type="dxa"/>
            <w:shd w:val="clear" w:color="auto" w:fill="CCEDFF"/>
          </w:tcPr>
          <w:p>
            <w:pPr>
              <w:pStyle w:val="TableParagraph"/>
              <w:spacing w:before="18"/>
              <w:ind w:right="1105"/>
              <w:jc w:val="right"/>
              <w:rPr>
                <w:sz w:val="18"/>
              </w:rPr>
            </w:pPr>
            <w:r>
              <w:rPr>
                <w:sz w:val="18"/>
              </w:rPr>
              <w:t>Common</w:t>
            </w:r>
            <w:r>
              <w:rPr>
                <w:spacing w:val="-1"/>
                <w:sz w:val="18"/>
              </w:rPr>
              <w:t> </w:t>
            </w:r>
            <w:r>
              <w:rPr>
                <w:sz w:val="18"/>
              </w:rPr>
              <w:t>Equity Tier</w:t>
            </w:r>
            <w:r>
              <w:rPr>
                <w:spacing w:val="-1"/>
                <w:sz w:val="18"/>
              </w:rPr>
              <w:t> </w:t>
            </w:r>
            <w:r>
              <w:rPr>
                <w:sz w:val="18"/>
              </w:rPr>
              <w:t>1 Risk-Based </w:t>
            </w:r>
            <w:r>
              <w:rPr>
                <w:spacing w:val="-2"/>
                <w:sz w:val="18"/>
              </w:rPr>
              <w:t>Capital</w:t>
            </w:r>
          </w:p>
        </w:tc>
        <w:tc>
          <w:tcPr>
            <w:tcW w:w="1024" w:type="dxa"/>
            <w:shd w:val="clear" w:color="auto" w:fill="CCEDFF"/>
          </w:tcPr>
          <w:p>
            <w:pPr>
              <w:pStyle w:val="TableParagraph"/>
              <w:spacing w:before="18"/>
              <w:ind w:right="196"/>
              <w:jc w:val="right"/>
              <w:rPr>
                <w:sz w:val="18"/>
              </w:rPr>
            </w:pPr>
            <w:r>
              <w:rPr>
                <w:sz w:val="18"/>
              </w:rPr>
              <w:t>$</w:t>
            </w:r>
            <w:r>
              <w:rPr>
                <w:spacing w:val="48"/>
                <w:sz w:val="18"/>
              </w:rPr>
              <w:t>  </w:t>
            </w:r>
            <w:r>
              <w:rPr>
                <w:spacing w:val="-2"/>
                <w:sz w:val="18"/>
              </w:rPr>
              <w:t>30,781</w:t>
            </w:r>
          </w:p>
        </w:tc>
        <w:tc>
          <w:tcPr>
            <w:tcW w:w="836" w:type="dxa"/>
            <w:shd w:val="clear" w:color="auto" w:fill="CCEDFF"/>
          </w:tcPr>
          <w:p>
            <w:pPr>
              <w:pStyle w:val="TableParagraph"/>
              <w:spacing w:before="18"/>
              <w:ind w:right="72"/>
              <w:jc w:val="right"/>
              <w:rPr>
                <w:sz w:val="18"/>
              </w:rPr>
            </w:pPr>
            <w:r>
              <w:rPr>
                <w:spacing w:val="-2"/>
                <w:sz w:val="18"/>
              </w:rPr>
              <w:t>23.8%</w:t>
            </w:r>
          </w:p>
        </w:tc>
        <w:tc>
          <w:tcPr>
            <w:tcW w:w="75" w:type="dxa"/>
            <w:shd w:val="clear" w:color="auto" w:fill="CCEDFF"/>
          </w:tcPr>
          <w:p>
            <w:pPr>
              <w:pStyle w:val="TableParagraph"/>
              <w:rPr>
                <w:sz w:val="16"/>
              </w:rPr>
            </w:pPr>
          </w:p>
        </w:tc>
        <w:tc>
          <w:tcPr>
            <w:tcW w:w="1035" w:type="dxa"/>
            <w:shd w:val="clear" w:color="auto" w:fill="CCEDFF"/>
          </w:tcPr>
          <w:p>
            <w:pPr>
              <w:pStyle w:val="TableParagraph"/>
              <w:spacing w:before="18"/>
              <w:ind w:right="185"/>
              <w:jc w:val="right"/>
              <w:rPr>
                <w:sz w:val="18"/>
              </w:rPr>
            </w:pPr>
            <w:r>
              <w:rPr>
                <w:spacing w:val="-5"/>
                <w:sz w:val="18"/>
              </w:rPr>
              <w:t>N/A</w:t>
            </w:r>
          </w:p>
        </w:tc>
        <w:tc>
          <w:tcPr>
            <w:tcW w:w="825" w:type="dxa"/>
            <w:shd w:val="clear" w:color="auto" w:fill="CCEDFF"/>
          </w:tcPr>
          <w:p>
            <w:pPr>
              <w:pStyle w:val="TableParagraph"/>
              <w:rPr>
                <w:sz w:val="16"/>
              </w:rPr>
            </w:pPr>
          </w:p>
        </w:tc>
        <w:tc>
          <w:tcPr>
            <w:tcW w:w="75" w:type="dxa"/>
            <w:shd w:val="clear" w:color="auto" w:fill="CCEDFF"/>
          </w:tcPr>
          <w:p>
            <w:pPr>
              <w:pStyle w:val="TableParagraph"/>
              <w:rPr>
                <w:sz w:val="16"/>
              </w:rPr>
            </w:pPr>
          </w:p>
        </w:tc>
        <w:tc>
          <w:tcPr>
            <w:tcW w:w="979" w:type="dxa"/>
            <w:shd w:val="clear" w:color="auto" w:fill="CCEDFF"/>
          </w:tcPr>
          <w:p>
            <w:pPr>
              <w:pStyle w:val="TableParagraph"/>
              <w:tabs>
                <w:tab w:pos="367" w:val="left" w:leader="none"/>
              </w:tabs>
              <w:spacing w:before="18"/>
              <w:ind w:right="151"/>
              <w:jc w:val="right"/>
              <w:rPr>
                <w:sz w:val="18"/>
              </w:rPr>
            </w:pPr>
            <w:r>
              <w:rPr>
                <w:spacing w:val="-10"/>
                <w:sz w:val="18"/>
              </w:rPr>
              <w:t>$</w:t>
            </w:r>
            <w:r>
              <w:rPr>
                <w:sz w:val="18"/>
              </w:rPr>
              <w:tab/>
            </w:r>
            <w:r>
              <w:rPr>
                <w:spacing w:val="-2"/>
                <w:sz w:val="18"/>
              </w:rPr>
              <w:t>5,829</w:t>
            </w:r>
          </w:p>
        </w:tc>
        <w:tc>
          <w:tcPr>
            <w:tcW w:w="882" w:type="dxa"/>
            <w:shd w:val="clear" w:color="auto" w:fill="CCEDFF"/>
          </w:tcPr>
          <w:p>
            <w:pPr>
              <w:pStyle w:val="TableParagraph"/>
              <w:spacing w:before="18"/>
              <w:ind w:right="73"/>
              <w:jc w:val="right"/>
              <w:rPr>
                <w:sz w:val="18"/>
              </w:rPr>
            </w:pPr>
            <w:r>
              <w:rPr>
                <w:spacing w:val="-4"/>
                <w:sz w:val="18"/>
              </w:rPr>
              <w:t>4.5%</w:t>
            </w:r>
          </w:p>
        </w:tc>
      </w:tr>
      <w:tr>
        <w:trPr>
          <w:trHeight w:val="255" w:hRule="atLeast"/>
        </w:trPr>
        <w:tc>
          <w:tcPr>
            <w:tcW w:w="4515" w:type="dxa"/>
          </w:tcPr>
          <w:p>
            <w:pPr>
              <w:pStyle w:val="TableParagraph"/>
              <w:spacing w:before="18"/>
              <w:ind w:left="292"/>
              <w:rPr>
                <w:sz w:val="18"/>
              </w:rPr>
            </w:pPr>
            <w:r>
              <w:rPr>
                <w:sz w:val="18"/>
              </w:rPr>
              <w:t>Tier</w:t>
            </w:r>
            <w:r>
              <w:rPr>
                <w:spacing w:val="-1"/>
                <w:sz w:val="18"/>
              </w:rPr>
              <w:t> </w:t>
            </w:r>
            <w:r>
              <w:rPr>
                <w:sz w:val="18"/>
              </w:rPr>
              <w:t>1</w:t>
            </w:r>
            <w:r>
              <w:rPr>
                <w:spacing w:val="-1"/>
                <w:sz w:val="18"/>
              </w:rPr>
              <w:t> </w:t>
            </w:r>
            <w:r>
              <w:rPr>
                <w:sz w:val="18"/>
              </w:rPr>
              <w:t>Risk-Based </w:t>
            </w:r>
            <w:r>
              <w:rPr>
                <w:spacing w:val="-2"/>
                <w:sz w:val="18"/>
              </w:rPr>
              <w:t>Capital</w:t>
            </w:r>
          </w:p>
        </w:tc>
        <w:tc>
          <w:tcPr>
            <w:tcW w:w="1024" w:type="dxa"/>
          </w:tcPr>
          <w:p>
            <w:pPr>
              <w:pStyle w:val="TableParagraph"/>
              <w:spacing w:before="18"/>
              <w:ind w:right="196"/>
              <w:jc w:val="right"/>
              <w:rPr>
                <w:sz w:val="18"/>
              </w:rPr>
            </w:pPr>
            <w:r>
              <w:rPr>
                <w:spacing w:val="-2"/>
                <w:sz w:val="18"/>
              </w:rPr>
              <w:t>39,972</w:t>
            </w:r>
          </w:p>
        </w:tc>
        <w:tc>
          <w:tcPr>
            <w:tcW w:w="836" w:type="dxa"/>
          </w:tcPr>
          <w:p>
            <w:pPr>
              <w:pStyle w:val="TableParagraph"/>
              <w:spacing w:before="18"/>
              <w:ind w:right="72"/>
              <w:jc w:val="right"/>
              <w:rPr>
                <w:sz w:val="18"/>
              </w:rPr>
            </w:pPr>
            <w:r>
              <w:rPr>
                <w:spacing w:val="-2"/>
                <w:sz w:val="18"/>
              </w:rPr>
              <w:t>30.9%</w:t>
            </w:r>
          </w:p>
        </w:tc>
        <w:tc>
          <w:tcPr>
            <w:tcW w:w="75" w:type="dxa"/>
          </w:tcPr>
          <w:p>
            <w:pPr>
              <w:pStyle w:val="TableParagraph"/>
              <w:rPr>
                <w:sz w:val="16"/>
              </w:rPr>
            </w:pPr>
          </w:p>
        </w:tc>
        <w:tc>
          <w:tcPr>
            <w:tcW w:w="1035" w:type="dxa"/>
          </w:tcPr>
          <w:p>
            <w:pPr>
              <w:pStyle w:val="TableParagraph"/>
              <w:spacing w:before="18"/>
              <w:ind w:right="185"/>
              <w:jc w:val="right"/>
              <w:rPr>
                <w:sz w:val="18"/>
              </w:rPr>
            </w:pPr>
            <w:r>
              <w:rPr>
                <w:spacing w:val="-5"/>
                <w:sz w:val="18"/>
              </w:rPr>
              <w:t>N/A</w:t>
            </w:r>
          </w:p>
        </w:tc>
        <w:tc>
          <w:tcPr>
            <w:tcW w:w="825" w:type="dxa"/>
          </w:tcPr>
          <w:p>
            <w:pPr>
              <w:pStyle w:val="TableParagraph"/>
              <w:rPr>
                <w:sz w:val="16"/>
              </w:rPr>
            </w:pPr>
          </w:p>
        </w:tc>
        <w:tc>
          <w:tcPr>
            <w:tcW w:w="75" w:type="dxa"/>
          </w:tcPr>
          <w:p>
            <w:pPr>
              <w:pStyle w:val="TableParagraph"/>
              <w:rPr>
                <w:sz w:val="16"/>
              </w:rPr>
            </w:pPr>
          </w:p>
        </w:tc>
        <w:tc>
          <w:tcPr>
            <w:tcW w:w="979" w:type="dxa"/>
          </w:tcPr>
          <w:p>
            <w:pPr>
              <w:pStyle w:val="TableParagraph"/>
              <w:spacing w:before="18"/>
              <w:ind w:right="151"/>
              <w:jc w:val="right"/>
              <w:rPr>
                <w:sz w:val="18"/>
              </w:rPr>
            </w:pPr>
            <w:r>
              <w:rPr>
                <w:spacing w:val="-2"/>
                <w:sz w:val="18"/>
              </w:rPr>
              <w:t>7,773</w:t>
            </w:r>
          </w:p>
        </w:tc>
        <w:tc>
          <w:tcPr>
            <w:tcW w:w="882" w:type="dxa"/>
          </w:tcPr>
          <w:p>
            <w:pPr>
              <w:pStyle w:val="TableParagraph"/>
              <w:spacing w:before="18"/>
              <w:ind w:right="73"/>
              <w:jc w:val="right"/>
              <w:rPr>
                <w:sz w:val="18"/>
              </w:rPr>
            </w:pPr>
            <w:r>
              <w:rPr>
                <w:spacing w:val="-4"/>
                <w:sz w:val="18"/>
              </w:rPr>
              <w:t>6.0%</w:t>
            </w:r>
          </w:p>
        </w:tc>
      </w:tr>
      <w:tr>
        <w:trPr>
          <w:trHeight w:val="255" w:hRule="atLeast"/>
        </w:trPr>
        <w:tc>
          <w:tcPr>
            <w:tcW w:w="4515" w:type="dxa"/>
            <w:shd w:val="clear" w:color="auto" w:fill="CCEDFF"/>
          </w:tcPr>
          <w:p>
            <w:pPr>
              <w:pStyle w:val="TableParagraph"/>
              <w:spacing w:before="18"/>
              <w:ind w:left="292"/>
              <w:rPr>
                <w:sz w:val="18"/>
              </w:rPr>
            </w:pPr>
            <w:r>
              <w:rPr>
                <w:sz w:val="18"/>
              </w:rPr>
              <w:t>Total</w:t>
            </w:r>
            <w:r>
              <w:rPr>
                <w:spacing w:val="-1"/>
                <w:sz w:val="18"/>
              </w:rPr>
              <w:t> </w:t>
            </w:r>
            <w:r>
              <w:rPr>
                <w:sz w:val="18"/>
              </w:rPr>
              <w:t>Risk-Based</w:t>
            </w:r>
            <w:r>
              <w:rPr>
                <w:spacing w:val="-1"/>
                <w:sz w:val="18"/>
              </w:rPr>
              <w:t> </w:t>
            </w:r>
            <w:r>
              <w:rPr>
                <w:spacing w:val="-2"/>
                <w:sz w:val="18"/>
              </w:rPr>
              <w:t>Capital</w:t>
            </w:r>
          </w:p>
        </w:tc>
        <w:tc>
          <w:tcPr>
            <w:tcW w:w="1024" w:type="dxa"/>
            <w:shd w:val="clear" w:color="auto" w:fill="CCEDFF"/>
          </w:tcPr>
          <w:p>
            <w:pPr>
              <w:pStyle w:val="TableParagraph"/>
              <w:spacing w:before="18"/>
              <w:ind w:right="196"/>
              <w:jc w:val="right"/>
              <w:rPr>
                <w:sz w:val="18"/>
              </w:rPr>
            </w:pPr>
            <w:r>
              <w:rPr>
                <w:spacing w:val="-2"/>
                <w:sz w:val="18"/>
              </w:rPr>
              <w:t>40,032</w:t>
            </w:r>
          </w:p>
        </w:tc>
        <w:tc>
          <w:tcPr>
            <w:tcW w:w="836" w:type="dxa"/>
            <w:shd w:val="clear" w:color="auto" w:fill="CCEDFF"/>
          </w:tcPr>
          <w:p>
            <w:pPr>
              <w:pStyle w:val="TableParagraph"/>
              <w:spacing w:before="18"/>
              <w:ind w:right="72"/>
              <w:jc w:val="right"/>
              <w:rPr>
                <w:sz w:val="18"/>
              </w:rPr>
            </w:pPr>
            <w:r>
              <w:rPr>
                <w:spacing w:val="-2"/>
                <w:sz w:val="18"/>
              </w:rPr>
              <w:t>30.9%</w:t>
            </w:r>
          </w:p>
        </w:tc>
        <w:tc>
          <w:tcPr>
            <w:tcW w:w="75" w:type="dxa"/>
            <w:shd w:val="clear" w:color="auto" w:fill="CCEDFF"/>
          </w:tcPr>
          <w:p>
            <w:pPr>
              <w:pStyle w:val="TableParagraph"/>
              <w:rPr>
                <w:sz w:val="16"/>
              </w:rPr>
            </w:pPr>
          </w:p>
        </w:tc>
        <w:tc>
          <w:tcPr>
            <w:tcW w:w="1035" w:type="dxa"/>
            <w:shd w:val="clear" w:color="auto" w:fill="CCEDFF"/>
          </w:tcPr>
          <w:p>
            <w:pPr>
              <w:pStyle w:val="TableParagraph"/>
              <w:spacing w:before="18"/>
              <w:ind w:right="185"/>
              <w:jc w:val="right"/>
              <w:rPr>
                <w:sz w:val="18"/>
              </w:rPr>
            </w:pPr>
            <w:r>
              <w:rPr>
                <w:spacing w:val="-5"/>
                <w:sz w:val="18"/>
              </w:rPr>
              <w:t>N/A</w:t>
            </w:r>
          </w:p>
        </w:tc>
        <w:tc>
          <w:tcPr>
            <w:tcW w:w="825" w:type="dxa"/>
            <w:shd w:val="clear" w:color="auto" w:fill="CCEDFF"/>
          </w:tcPr>
          <w:p>
            <w:pPr>
              <w:pStyle w:val="TableParagraph"/>
              <w:rPr>
                <w:sz w:val="16"/>
              </w:rPr>
            </w:pPr>
          </w:p>
        </w:tc>
        <w:tc>
          <w:tcPr>
            <w:tcW w:w="75" w:type="dxa"/>
            <w:shd w:val="clear" w:color="auto" w:fill="CCEDFF"/>
          </w:tcPr>
          <w:p>
            <w:pPr>
              <w:pStyle w:val="TableParagraph"/>
              <w:rPr>
                <w:sz w:val="16"/>
              </w:rPr>
            </w:pPr>
          </w:p>
        </w:tc>
        <w:tc>
          <w:tcPr>
            <w:tcW w:w="979" w:type="dxa"/>
            <w:shd w:val="clear" w:color="auto" w:fill="CCEDFF"/>
          </w:tcPr>
          <w:p>
            <w:pPr>
              <w:pStyle w:val="TableParagraph"/>
              <w:spacing w:before="18"/>
              <w:ind w:right="151"/>
              <w:jc w:val="right"/>
              <w:rPr>
                <w:sz w:val="18"/>
              </w:rPr>
            </w:pPr>
            <w:r>
              <w:rPr>
                <w:spacing w:val="-2"/>
                <w:sz w:val="18"/>
              </w:rPr>
              <w:t>10,364</w:t>
            </w:r>
          </w:p>
        </w:tc>
        <w:tc>
          <w:tcPr>
            <w:tcW w:w="882" w:type="dxa"/>
            <w:shd w:val="clear" w:color="auto" w:fill="CCEDFF"/>
          </w:tcPr>
          <w:p>
            <w:pPr>
              <w:pStyle w:val="TableParagraph"/>
              <w:spacing w:before="18"/>
              <w:ind w:right="73"/>
              <w:jc w:val="right"/>
              <w:rPr>
                <w:sz w:val="18"/>
              </w:rPr>
            </w:pPr>
            <w:r>
              <w:rPr>
                <w:spacing w:val="-4"/>
                <w:sz w:val="18"/>
              </w:rPr>
              <w:t>8.0%</w:t>
            </w:r>
          </w:p>
        </w:tc>
      </w:tr>
      <w:tr>
        <w:trPr>
          <w:trHeight w:val="255" w:hRule="atLeast"/>
        </w:trPr>
        <w:tc>
          <w:tcPr>
            <w:tcW w:w="4515" w:type="dxa"/>
          </w:tcPr>
          <w:p>
            <w:pPr>
              <w:pStyle w:val="TableParagraph"/>
              <w:spacing w:before="18"/>
              <w:ind w:left="292"/>
              <w:rPr>
                <w:sz w:val="18"/>
              </w:rPr>
            </w:pPr>
            <w:r>
              <w:rPr>
                <w:sz w:val="18"/>
              </w:rPr>
              <w:t>Tier 1 </w:t>
            </w:r>
            <w:r>
              <w:rPr>
                <w:spacing w:val="-2"/>
                <w:sz w:val="18"/>
              </w:rPr>
              <w:t>Leverage</w:t>
            </w:r>
          </w:p>
        </w:tc>
        <w:tc>
          <w:tcPr>
            <w:tcW w:w="1024" w:type="dxa"/>
          </w:tcPr>
          <w:p>
            <w:pPr>
              <w:pStyle w:val="TableParagraph"/>
              <w:spacing w:before="18"/>
              <w:ind w:right="196"/>
              <w:jc w:val="right"/>
              <w:rPr>
                <w:sz w:val="18"/>
              </w:rPr>
            </w:pPr>
            <w:r>
              <w:rPr>
                <w:spacing w:val="-2"/>
                <w:sz w:val="18"/>
              </w:rPr>
              <w:t>39,972</w:t>
            </w:r>
          </w:p>
        </w:tc>
        <w:tc>
          <w:tcPr>
            <w:tcW w:w="836" w:type="dxa"/>
          </w:tcPr>
          <w:p>
            <w:pPr>
              <w:pStyle w:val="TableParagraph"/>
              <w:spacing w:before="18"/>
              <w:ind w:right="72"/>
              <w:jc w:val="right"/>
              <w:rPr>
                <w:sz w:val="18"/>
              </w:rPr>
            </w:pPr>
            <w:r>
              <w:rPr>
                <w:spacing w:val="-4"/>
                <w:sz w:val="18"/>
              </w:rPr>
              <w:t>8.2%</w:t>
            </w:r>
          </w:p>
        </w:tc>
        <w:tc>
          <w:tcPr>
            <w:tcW w:w="75" w:type="dxa"/>
          </w:tcPr>
          <w:p>
            <w:pPr>
              <w:pStyle w:val="TableParagraph"/>
              <w:rPr>
                <w:sz w:val="16"/>
              </w:rPr>
            </w:pPr>
          </w:p>
        </w:tc>
        <w:tc>
          <w:tcPr>
            <w:tcW w:w="1035" w:type="dxa"/>
          </w:tcPr>
          <w:p>
            <w:pPr>
              <w:pStyle w:val="TableParagraph"/>
              <w:spacing w:before="18"/>
              <w:ind w:right="185"/>
              <w:jc w:val="right"/>
              <w:rPr>
                <w:sz w:val="18"/>
              </w:rPr>
            </w:pPr>
            <w:r>
              <w:rPr>
                <w:spacing w:val="-5"/>
                <w:sz w:val="18"/>
              </w:rPr>
              <w:t>N/A</w:t>
            </w:r>
          </w:p>
        </w:tc>
        <w:tc>
          <w:tcPr>
            <w:tcW w:w="825" w:type="dxa"/>
          </w:tcPr>
          <w:p>
            <w:pPr>
              <w:pStyle w:val="TableParagraph"/>
              <w:rPr>
                <w:sz w:val="16"/>
              </w:rPr>
            </w:pPr>
          </w:p>
        </w:tc>
        <w:tc>
          <w:tcPr>
            <w:tcW w:w="75" w:type="dxa"/>
          </w:tcPr>
          <w:p>
            <w:pPr>
              <w:pStyle w:val="TableParagraph"/>
              <w:rPr>
                <w:sz w:val="16"/>
              </w:rPr>
            </w:pPr>
          </w:p>
        </w:tc>
        <w:tc>
          <w:tcPr>
            <w:tcW w:w="979" w:type="dxa"/>
          </w:tcPr>
          <w:p>
            <w:pPr>
              <w:pStyle w:val="TableParagraph"/>
              <w:spacing w:before="18"/>
              <w:ind w:right="151"/>
              <w:jc w:val="right"/>
              <w:rPr>
                <w:sz w:val="18"/>
              </w:rPr>
            </w:pPr>
            <w:r>
              <w:rPr>
                <w:spacing w:val="-2"/>
                <w:sz w:val="18"/>
              </w:rPr>
              <w:t>19,545</w:t>
            </w:r>
          </w:p>
        </w:tc>
        <w:tc>
          <w:tcPr>
            <w:tcW w:w="882" w:type="dxa"/>
          </w:tcPr>
          <w:p>
            <w:pPr>
              <w:pStyle w:val="TableParagraph"/>
              <w:spacing w:before="18"/>
              <w:ind w:right="73"/>
              <w:jc w:val="right"/>
              <w:rPr>
                <w:sz w:val="18"/>
              </w:rPr>
            </w:pPr>
            <w:r>
              <w:rPr>
                <w:spacing w:val="-4"/>
                <w:sz w:val="18"/>
              </w:rPr>
              <w:t>4.0%</w:t>
            </w:r>
          </w:p>
        </w:tc>
      </w:tr>
      <w:tr>
        <w:trPr>
          <w:trHeight w:val="255" w:hRule="atLeast"/>
        </w:trPr>
        <w:tc>
          <w:tcPr>
            <w:tcW w:w="4515" w:type="dxa"/>
            <w:shd w:val="clear" w:color="auto" w:fill="CCEDFF"/>
          </w:tcPr>
          <w:p>
            <w:pPr>
              <w:pStyle w:val="TableParagraph"/>
              <w:spacing w:before="18"/>
              <w:ind w:left="292"/>
              <w:rPr>
                <w:sz w:val="18"/>
              </w:rPr>
            </w:pPr>
            <w:r>
              <w:rPr>
                <w:sz w:val="18"/>
              </w:rPr>
              <w:t>Supplementary</w:t>
            </w:r>
            <w:r>
              <w:rPr>
                <w:spacing w:val="-1"/>
                <w:sz w:val="18"/>
              </w:rPr>
              <w:t> </w:t>
            </w:r>
            <w:r>
              <w:rPr>
                <w:sz w:val="18"/>
              </w:rPr>
              <w:t>Leverage </w:t>
            </w:r>
            <w:r>
              <w:rPr>
                <w:spacing w:val="-2"/>
                <w:sz w:val="18"/>
              </w:rPr>
              <w:t>Ratio</w:t>
            </w:r>
          </w:p>
        </w:tc>
        <w:tc>
          <w:tcPr>
            <w:tcW w:w="1024" w:type="dxa"/>
            <w:shd w:val="clear" w:color="auto" w:fill="CCEDFF"/>
          </w:tcPr>
          <w:p>
            <w:pPr>
              <w:pStyle w:val="TableParagraph"/>
              <w:spacing w:before="18"/>
              <w:ind w:right="196"/>
              <w:jc w:val="right"/>
              <w:rPr>
                <w:sz w:val="18"/>
              </w:rPr>
            </w:pPr>
            <w:r>
              <w:rPr>
                <w:spacing w:val="-2"/>
                <w:sz w:val="18"/>
              </w:rPr>
              <w:t>39,972</w:t>
            </w:r>
          </w:p>
        </w:tc>
        <w:tc>
          <w:tcPr>
            <w:tcW w:w="836" w:type="dxa"/>
            <w:shd w:val="clear" w:color="auto" w:fill="CCEDFF"/>
          </w:tcPr>
          <w:p>
            <w:pPr>
              <w:pStyle w:val="TableParagraph"/>
              <w:spacing w:before="18"/>
              <w:ind w:right="72"/>
              <w:jc w:val="right"/>
              <w:rPr>
                <w:sz w:val="18"/>
              </w:rPr>
            </w:pPr>
            <w:r>
              <w:rPr>
                <w:spacing w:val="-4"/>
                <w:sz w:val="18"/>
              </w:rPr>
              <w:t>8.1%</w:t>
            </w:r>
          </w:p>
        </w:tc>
        <w:tc>
          <w:tcPr>
            <w:tcW w:w="75" w:type="dxa"/>
            <w:shd w:val="clear" w:color="auto" w:fill="CCEDFF"/>
          </w:tcPr>
          <w:p>
            <w:pPr>
              <w:pStyle w:val="TableParagraph"/>
              <w:rPr>
                <w:sz w:val="16"/>
              </w:rPr>
            </w:pPr>
          </w:p>
        </w:tc>
        <w:tc>
          <w:tcPr>
            <w:tcW w:w="1035" w:type="dxa"/>
            <w:shd w:val="clear" w:color="auto" w:fill="CCEDFF"/>
          </w:tcPr>
          <w:p>
            <w:pPr>
              <w:pStyle w:val="TableParagraph"/>
              <w:spacing w:before="18"/>
              <w:ind w:right="185"/>
              <w:jc w:val="right"/>
              <w:rPr>
                <w:sz w:val="18"/>
              </w:rPr>
            </w:pPr>
            <w:r>
              <w:rPr>
                <w:spacing w:val="-5"/>
                <w:sz w:val="18"/>
              </w:rPr>
              <w:t>N/A</w:t>
            </w:r>
          </w:p>
        </w:tc>
        <w:tc>
          <w:tcPr>
            <w:tcW w:w="825" w:type="dxa"/>
            <w:shd w:val="clear" w:color="auto" w:fill="CCEDFF"/>
          </w:tcPr>
          <w:p>
            <w:pPr>
              <w:pStyle w:val="TableParagraph"/>
              <w:rPr>
                <w:sz w:val="16"/>
              </w:rPr>
            </w:pPr>
          </w:p>
        </w:tc>
        <w:tc>
          <w:tcPr>
            <w:tcW w:w="75" w:type="dxa"/>
            <w:shd w:val="clear" w:color="auto" w:fill="CCEDFF"/>
          </w:tcPr>
          <w:p>
            <w:pPr>
              <w:pStyle w:val="TableParagraph"/>
              <w:rPr>
                <w:sz w:val="16"/>
              </w:rPr>
            </w:pPr>
          </w:p>
        </w:tc>
        <w:tc>
          <w:tcPr>
            <w:tcW w:w="979" w:type="dxa"/>
            <w:shd w:val="clear" w:color="auto" w:fill="CCEDFF"/>
          </w:tcPr>
          <w:p>
            <w:pPr>
              <w:pStyle w:val="TableParagraph"/>
              <w:spacing w:before="18"/>
              <w:ind w:right="151"/>
              <w:jc w:val="right"/>
              <w:rPr>
                <w:sz w:val="18"/>
              </w:rPr>
            </w:pPr>
            <w:r>
              <w:rPr>
                <w:spacing w:val="-2"/>
                <w:sz w:val="18"/>
              </w:rPr>
              <w:t>14,769</w:t>
            </w:r>
          </w:p>
        </w:tc>
        <w:tc>
          <w:tcPr>
            <w:tcW w:w="882" w:type="dxa"/>
            <w:shd w:val="clear" w:color="auto" w:fill="CCEDFF"/>
          </w:tcPr>
          <w:p>
            <w:pPr>
              <w:pStyle w:val="TableParagraph"/>
              <w:spacing w:before="18"/>
              <w:ind w:right="73"/>
              <w:jc w:val="right"/>
              <w:rPr>
                <w:sz w:val="18"/>
              </w:rPr>
            </w:pPr>
            <w:r>
              <w:rPr>
                <w:spacing w:val="-4"/>
                <w:sz w:val="18"/>
              </w:rPr>
              <w:t>3.0%</w:t>
            </w:r>
          </w:p>
        </w:tc>
      </w:tr>
      <w:tr>
        <w:trPr>
          <w:trHeight w:val="255" w:hRule="atLeast"/>
        </w:trPr>
        <w:tc>
          <w:tcPr>
            <w:tcW w:w="4515" w:type="dxa"/>
          </w:tcPr>
          <w:p>
            <w:pPr>
              <w:pStyle w:val="TableParagraph"/>
              <w:spacing w:before="18"/>
              <w:ind w:left="52"/>
              <w:rPr>
                <w:b/>
                <w:sz w:val="18"/>
              </w:rPr>
            </w:pPr>
            <w:r>
              <w:rPr>
                <w:b/>
                <w:spacing w:val="-5"/>
                <w:sz w:val="18"/>
              </w:rPr>
              <w:t>CSB</w:t>
            </w:r>
          </w:p>
        </w:tc>
        <w:tc>
          <w:tcPr>
            <w:tcW w:w="1024" w:type="dxa"/>
          </w:tcPr>
          <w:p>
            <w:pPr>
              <w:pStyle w:val="TableParagraph"/>
              <w:rPr>
                <w:sz w:val="16"/>
              </w:rPr>
            </w:pPr>
          </w:p>
        </w:tc>
        <w:tc>
          <w:tcPr>
            <w:tcW w:w="836" w:type="dxa"/>
          </w:tcPr>
          <w:p>
            <w:pPr>
              <w:pStyle w:val="TableParagraph"/>
              <w:rPr>
                <w:sz w:val="16"/>
              </w:rPr>
            </w:pPr>
          </w:p>
        </w:tc>
        <w:tc>
          <w:tcPr>
            <w:tcW w:w="75" w:type="dxa"/>
          </w:tcPr>
          <w:p>
            <w:pPr>
              <w:pStyle w:val="TableParagraph"/>
              <w:rPr>
                <w:sz w:val="16"/>
              </w:rPr>
            </w:pPr>
          </w:p>
        </w:tc>
        <w:tc>
          <w:tcPr>
            <w:tcW w:w="1035" w:type="dxa"/>
          </w:tcPr>
          <w:p>
            <w:pPr>
              <w:pStyle w:val="TableParagraph"/>
              <w:rPr>
                <w:sz w:val="16"/>
              </w:rPr>
            </w:pPr>
          </w:p>
        </w:tc>
        <w:tc>
          <w:tcPr>
            <w:tcW w:w="825" w:type="dxa"/>
          </w:tcPr>
          <w:p>
            <w:pPr>
              <w:pStyle w:val="TableParagraph"/>
              <w:rPr>
                <w:sz w:val="16"/>
              </w:rPr>
            </w:pPr>
          </w:p>
        </w:tc>
        <w:tc>
          <w:tcPr>
            <w:tcW w:w="75" w:type="dxa"/>
          </w:tcPr>
          <w:p>
            <w:pPr>
              <w:pStyle w:val="TableParagraph"/>
              <w:rPr>
                <w:sz w:val="16"/>
              </w:rPr>
            </w:pPr>
          </w:p>
        </w:tc>
        <w:tc>
          <w:tcPr>
            <w:tcW w:w="979" w:type="dxa"/>
          </w:tcPr>
          <w:p>
            <w:pPr>
              <w:pStyle w:val="TableParagraph"/>
              <w:rPr>
                <w:sz w:val="16"/>
              </w:rPr>
            </w:pPr>
          </w:p>
        </w:tc>
        <w:tc>
          <w:tcPr>
            <w:tcW w:w="882" w:type="dxa"/>
          </w:tcPr>
          <w:p>
            <w:pPr>
              <w:pStyle w:val="TableParagraph"/>
              <w:rPr>
                <w:sz w:val="16"/>
              </w:rPr>
            </w:pPr>
          </w:p>
        </w:tc>
      </w:tr>
      <w:tr>
        <w:trPr>
          <w:trHeight w:val="255" w:hRule="atLeast"/>
        </w:trPr>
        <w:tc>
          <w:tcPr>
            <w:tcW w:w="4515" w:type="dxa"/>
            <w:shd w:val="clear" w:color="auto" w:fill="CCEDFF"/>
          </w:tcPr>
          <w:p>
            <w:pPr>
              <w:pStyle w:val="TableParagraph"/>
              <w:spacing w:before="18"/>
              <w:ind w:right="1105"/>
              <w:jc w:val="right"/>
              <w:rPr>
                <w:sz w:val="18"/>
              </w:rPr>
            </w:pPr>
            <w:r>
              <w:rPr>
                <w:sz w:val="18"/>
              </w:rPr>
              <w:t>Common</w:t>
            </w:r>
            <w:r>
              <w:rPr>
                <w:spacing w:val="-1"/>
                <w:sz w:val="18"/>
              </w:rPr>
              <w:t> </w:t>
            </w:r>
            <w:r>
              <w:rPr>
                <w:sz w:val="18"/>
              </w:rPr>
              <w:t>Equity Tier</w:t>
            </w:r>
            <w:r>
              <w:rPr>
                <w:spacing w:val="-1"/>
                <w:sz w:val="18"/>
              </w:rPr>
              <w:t> </w:t>
            </w:r>
            <w:r>
              <w:rPr>
                <w:sz w:val="18"/>
              </w:rPr>
              <w:t>1 Risk-Based </w:t>
            </w:r>
            <w:r>
              <w:rPr>
                <w:spacing w:val="-2"/>
                <w:sz w:val="18"/>
              </w:rPr>
              <w:t>Capital</w:t>
            </w:r>
          </w:p>
        </w:tc>
        <w:tc>
          <w:tcPr>
            <w:tcW w:w="1024" w:type="dxa"/>
            <w:shd w:val="clear" w:color="auto" w:fill="CCEDFF"/>
          </w:tcPr>
          <w:p>
            <w:pPr>
              <w:pStyle w:val="TableParagraph"/>
              <w:spacing w:before="18"/>
              <w:ind w:right="196"/>
              <w:jc w:val="right"/>
              <w:rPr>
                <w:sz w:val="18"/>
              </w:rPr>
            </w:pPr>
            <w:r>
              <w:rPr>
                <w:sz w:val="18"/>
              </w:rPr>
              <w:t>$</w:t>
            </w:r>
            <w:r>
              <w:rPr>
                <w:spacing w:val="48"/>
                <w:sz w:val="18"/>
              </w:rPr>
              <w:t>  </w:t>
            </w:r>
            <w:r>
              <w:rPr>
                <w:spacing w:val="-2"/>
                <w:sz w:val="18"/>
              </w:rPr>
              <w:t>31,765</w:t>
            </w:r>
          </w:p>
        </w:tc>
        <w:tc>
          <w:tcPr>
            <w:tcW w:w="836" w:type="dxa"/>
            <w:shd w:val="clear" w:color="auto" w:fill="CCEDFF"/>
          </w:tcPr>
          <w:p>
            <w:pPr>
              <w:pStyle w:val="TableParagraph"/>
              <w:spacing w:before="18"/>
              <w:ind w:right="72"/>
              <w:jc w:val="right"/>
              <w:rPr>
                <w:sz w:val="18"/>
              </w:rPr>
            </w:pPr>
            <w:r>
              <w:rPr>
                <w:spacing w:val="-2"/>
                <w:sz w:val="18"/>
              </w:rPr>
              <w:t>34.7%</w:t>
            </w:r>
          </w:p>
        </w:tc>
        <w:tc>
          <w:tcPr>
            <w:tcW w:w="75" w:type="dxa"/>
            <w:shd w:val="clear" w:color="auto" w:fill="CCEDFF"/>
          </w:tcPr>
          <w:p>
            <w:pPr>
              <w:pStyle w:val="TableParagraph"/>
              <w:rPr>
                <w:sz w:val="16"/>
              </w:rPr>
            </w:pPr>
          </w:p>
        </w:tc>
        <w:tc>
          <w:tcPr>
            <w:tcW w:w="1035" w:type="dxa"/>
            <w:shd w:val="clear" w:color="auto" w:fill="CCEDFF"/>
          </w:tcPr>
          <w:p>
            <w:pPr>
              <w:pStyle w:val="TableParagraph"/>
              <w:tabs>
                <w:tab w:pos="367" w:val="left" w:leader="none"/>
              </w:tabs>
              <w:spacing w:before="18"/>
              <w:ind w:right="207"/>
              <w:jc w:val="right"/>
              <w:rPr>
                <w:sz w:val="18"/>
              </w:rPr>
            </w:pPr>
            <w:r>
              <w:rPr>
                <w:spacing w:val="-10"/>
                <w:sz w:val="18"/>
              </w:rPr>
              <w:t>$</w:t>
            </w:r>
            <w:r>
              <w:rPr>
                <w:sz w:val="18"/>
              </w:rPr>
              <w:tab/>
            </w:r>
            <w:r>
              <w:rPr>
                <w:spacing w:val="-2"/>
                <w:sz w:val="18"/>
              </w:rPr>
              <w:t>5,946</w:t>
            </w:r>
          </w:p>
        </w:tc>
        <w:tc>
          <w:tcPr>
            <w:tcW w:w="825" w:type="dxa"/>
            <w:shd w:val="clear" w:color="auto" w:fill="CCEDFF"/>
          </w:tcPr>
          <w:p>
            <w:pPr>
              <w:pStyle w:val="TableParagraph"/>
              <w:spacing w:before="18"/>
              <w:ind w:right="72"/>
              <w:jc w:val="right"/>
              <w:rPr>
                <w:sz w:val="18"/>
              </w:rPr>
            </w:pPr>
            <w:r>
              <w:rPr>
                <w:spacing w:val="-4"/>
                <w:sz w:val="18"/>
              </w:rPr>
              <w:t>6.5%</w:t>
            </w:r>
          </w:p>
        </w:tc>
        <w:tc>
          <w:tcPr>
            <w:tcW w:w="75" w:type="dxa"/>
            <w:shd w:val="clear" w:color="auto" w:fill="CCEDFF"/>
          </w:tcPr>
          <w:p>
            <w:pPr>
              <w:pStyle w:val="TableParagraph"/>
              <w:rPr>
                <w:sz w:val="16"/>
              </w:rPr>
            </w:pPr>
          </w:p>
        </w:tc>
        <w:tc>
          <w:tcPr>
            <w:tcW w:w="979" w:type="dxa"/>
            <w:shd w:val="clear" w:color="auto" w:fill="CCEDFF"/>
          </w:tcPr>
          <w:p>
            <w:pPr>
              <w:pStyle w:val="TableParagraph"/>
              <w:tabs>
                <w:tab w:pos="367" w:val="left" w:leader="none"/>
              </w:tabs>
              <w:spacing w:before="18"/>
              <w:ind w:right="151"/>
              <w:jc w:val="right"/>
              <w:rPr>
                <w:sz w:val="18"/>
              </w:rPr>
            </w:pPr>
            <w:r>
              <w:rPr>
                <w:spacing w:val="-10"/>
                <w:sz w:val="18"/>
              </w:rPr>
              <w:t>$</w:t>
            </w:r>
            <w:r>
              <w:rPr>
                <w:sz w:val="18"/>
              </w:rPr>
              <w:tab/>
            </w:r>
            <w:r>
              <w:rPr>
                <w:spacing w:val="-2"/>
                <w:sz w:val="18"/>
              </w:rPr>
              <w:t>4,117</w:t>
            </w:r>
          </w:p>
        </w:tc>
        <w:tc>
          <w:tcPr>
            <w:tcW w:w="882" w:type="dxa"/>
            <w:shd w:val="clear" w:color="auto" w:fill="CCEDFF"/>
          </w:tcPr>
          <w:p>
            <w:pPr>
              <w:pStyle w:val="TableParagraph"/>
              <w:spacing w:before="18"/>
              <w:ind w:right="73"/>
              <w:jc w:val="right"/>
              <w:rPr>
                <w:sz w:val="18"/>
              </w:rPr>
            </w:pPr>
            <w:r>
              <w:rPr>
                <w:spacing w:val="-4"/>
                <w:sz w:val="18"/>
              </w:rPr>
              <w:t>4.5%</w:t>
            </w:r>
          </w:p>
        </w:tc>
      </w:tr>
      <w:tr>
        <w:trPr>
          <w:trHeight w:val="255" w:hRule="atLeast"/>
        </w:trPr>
        <w:tc>
          <w:tcPr>
            <w:tcW w:w="4515" w:type="dxa"/>
          </w:tcPr>
          <w:p>
            <w:pPr>
              <w:pStyle w:val="TableParagraph"/>
              <w:spacing w:before="18"/>
              <w:ind w:left="292"/>
              <w:rPr>
                <w:sz w:val="18"/>
              </w:rPr>
            </w:pPr>
            <w:r>
              <w:rPr>
                <w:sz w:val="18"/>
              </w:rPr>
              <w:t>Tier</w:t>
            </w:r>
            <w:r>
              <w:rPr>
                <w:spacing w:val="-1"/>
                <w:sz w:val="18"/>
              </w:rPr>
              <w:t> </w:t>
            </w:r>
            <w:r>
              <w:rPr>
                <w:sz w:val="18"/>
              </w:rPr>
              <w:t>1</w:t>
            </w:r>
            <w:r>
              <w:rPr>
                <w:spacing w:val="-1"/>
                <w:sz w:val="18"/>
              </w:rPr>
              <w:t> </w:t>
            </w:r>
            <w:r>
              <w:rPr>
                <w:sz w:val="18"/>
              </w:rPr>
              <w:t>Risk-Based </w:t>
            </w:r>
            <w:r>
              <w:rPr>
                <w:spacing w:val="-2"/>
                <w:sz w:val="18"/>
              </w:rPr>
              <w:t>Capital</w:t>
            </w:r>
          </w:p>
        </w:tc>
        <w:tc>
          <w:tcPr>
            <w:tcW w:w="1024" w:type="dxa"/>
          </w:tcPr>
          <w:p>
            <w:pPr>
              <w:pStyle w:val="TableParagraph"/>
              <w:spacing w:before="18"/>
              <w:ind w:right="196"/>
              <w:jc w:val="right"/>
              <w:rPr>
                <w:sz w:val="18"/>
              </w:rPr>
            </w:pPr>
            <w:r>
              <w:rPr>
                <w:spacing w:val="-2"/>
                <w:sz w:val="18"/>
              </w:rPr>
              <w:t>31,765</w:t>
            </w:r>
          </w:p>
        </w:tc>
        <w:tc>
          <w:tcPr>
            <w:tcW w:w="836" w:type="dxa"/>
          </w:tcPr>
          <w:p>
            <w:pPr>
              <w:pStyle w:val="TableParagraph"/>
              <w:spacing w:before="18"/>
              <w:ind w:right="72"/>
              <w:jc w:val="right"/>
              <w:rPr>
                <w:sz w:val="18"/>
              </w:rPr>
            </w:pPr>
            <w:r>
              <w:rPr>
                <w:spacing w:val="-2"/>
                <w:sz w:val="18"/>
              </w:rPr>
              <w:t>34.7%</w:t>
            </w:r>
          </w:p>
        </w:tc>
        <w:tc>
          <w:tcPr>
            <w:tcW w:w="75" w:type="dxa"/>
          </w:tcPr>
          <w:p>
            <w:pPr>
              <w:pStyle w:val="TableParagraph"/>
              <w:rPr>
                <w:sz w:val="16"/>
              </w:rPr>
            </w:pPr>
          </w:p>
        </w:tc>
        <w:tc>
          <w:tcPr>
            <w:tcW w:w="1035" w:type="dxa"/>
          </w:tcPr>
          <w:p>
            <w:pPr>
              <w:pStyle w:val="TableParagraph"/>
              <w:spacing w:before="18"/>
              <w:ind w:right="207"/>
              <w:jc w:val="right"/>
              <w:rPr>
                <w:sz w:val="18"/>
              </w:rPr>
            </w:pPr>
            <w:r>
              <w:rPr>
                <w:spacing w:val="-2"/>
                <w:sz w:val="18"/>
              </w:rPr>
              <w:t>7,318</w:t>
            </w:r>
          </w:p>
        </w:tc>
        <w:tc>
          <w:tcPr>
            <w:tcW w:w="825" w:type="dxa"/>
          </w:tcPr>
          <w:p>
            <w:pPr>
              <w:pStyle w:val="TableParagraph"/>
              <w:spacing w:before="18"/>
              <w:ind w:right="72"/>
              <w:jc w:val="right"/>
              <w:rPr>
                <w:sz w:val="18"/>
              </w:rPr>
            </w:pPr>
            <w:r>
              <w:rPr>
                <w:spacing w:val="-4"/>
                <w:sz w:val="18"/>
              </w:rPr>
              <w:t>8.0%</w:t>
            </w:r>
          </w:p>
        </w:tc>
        <w:tc>
          <w:tcPr>
            <w:tcW w:w="75" w:type="dxa"/>
          </w:tcPr>
          <w:p>
            <w:pPr>
              <w:pStyle w:val="TableParagraph"/>
              <w:rPr>
                <w:sz w:val="16"/>
              </w:rPr>
            </w:pPr>
          </w:p>
        </w:tc>
        <w:tc>
          <w:tcPr>
            <w:tcW w:w="979" w:type="dxa"/>
          </w:tcPr>
          <w:p>
            <w:pPr>
              <w:pStyle w:val="TableParagraph"/>
              <w:spacing w:before="18"/>
              <w:ind w:right="151"/>
              <w:jc w:val="right"/>
              <w:rPr>
                <w:sz w:val="18"/>
              </w:rPr>
            </w:pPr>
            <w:r>
              <w:rPr>
                <w:spacing w:val="-2"/>
                <w:sz w:val="18"/>
              </w:rPr>
              <w:t>5,489</w:t>
            </w:r>
          </w:p>
        </w:tc>
        <w:tc>
          <w:tcPr>
            <w:tcW w:w="882" w:type="dxa"/>
          </w:tcPr>
          <w:p>
            <w:pPr>
              <w:pStyle w:val="TableParagraph"/>
              <w:spacing w:before="18"/>
              <w:ind w:right="73"/>
              <w:jc w:val="right"/>
              <w:rPr>
                <w:sz w:val="18"/>
              </w:rPr>
            </w:pPr>
            <w:r>
              <w:rPr>
                <w:spacing w:val="-4"/>
                <w:sz w:val="18"/>
              </w:rPr>
              <w:t>6.0%</w:t>
            </w:r>
          </w:p>
        </w:tc>
      </w:tr>
      <w:tr>
        <w:trPr>
          <w:trHeight w:val="255" w:hRule="atLeast"/>
        </w:trPr>
        <w:tc>
          <w:tcPr>
            <w:tcW w:w="4515" w:type="dxa"/>
            <w:shd w:val="clear" w:color="auto" w:fill="CCEDFF"/>
          </w:tcPr>
          <w:p>
            <w:pPr>
              <w:pStyle w:val="TableParagraph"/>
              <w:spacing w:before="18"/>
              <w:ind w:left="292"/>
              <w:rPr>
                <w:sz w:val="18"/>
              </w:rPr>
            </w:pPr>
            <w:r>
              <w:rPr>
                <w:sz w:val="18"/>
              </w:rPr>
              <w:t>Total</w:t>
            </w:r>
            <w:r>
              <w:rPr>
                <w:spacing w:val="-1"/>
                <w:sz w:val="18"/>
              </w:rPr>
              <w:t> </w:t>
            </w:r>
            <w:r>
              <w:rPr>
                <w:sz w:val="18"/>
              </w:rPr>
              <w:t>Risk-Based</w:t>
            </w:r>
            <w:r>
              <w:rPr>
                <w:spacing w:val="-1"/>
                <w:sz w:val="18"/>
              </w:rPr>
              <w:t> </w:t>
            </w:r>
            <w:r>
              <w:rPr>
                <w:spacing w:val="-2"/>
                <w:sz w:val="18"/>
              </w:rPr>
              <w:t>Capital</w:t>
            </w:r>
          </w:p>
        </w:tc>
        <w:tc>
          <w:tcPr>
            <w:tcW w:w="1024" w:type="dxa"/>
            <w:shd w:val="clear" w:color="auto" w:fill="CCEDFF"/>
          </w:tcPr>
          <w:p>
            <w:pPr>
              <w:pStyle w:val="TableParagraph"/>
              <w:spacing w:before="18"/>
              <w:ind w:right="196"/>
              <w:jc w:val="right"/>
              <w:rPr>
                <w:sz w:val="18"/>
              </w:rPr>
            </w:pPr>
            <w:r>
              <w:rPr>
                <w:spacing w:val="-2"/>
                <w:sz w:val="18"/>
              </w:rPr>
              <w:t>31,820</w:t>
            </w:r>
          </w:p>
        </w:tc>
        <w:tc>
          <w:tcPr>
            <w:tcW w:w="836" w:type="dxa"/>
            <w:shd w:val="clear" w:color="auto" w:fill="CCEDFF"/>
          </w:tcPr>
          <w:p>
            <w:pPr>
              <w:pStyle w:val="TableParagraph"/>
              <w:spacing w:before="18"/>
              <w:ind w:right="72"/>
              <w:jc w:val="right"/>
              <w:rPr>
                <w:sz w:val="18"/>
              </w:rPr>
            </w:pPr>
            <w:r>
              <w:rPr>
                <w:spacing w:val="-2"/>
                <w:sz w:val="18"/>
              </w:rPr>
              <w:t>34.8%</w:t>
            </w:r>
          </w:p>
        </w:tc>
        <w:tc>
          <w:tcPr>
            <w:tcW w:w="75" w:type="dxa"/>
            <w:shd w:val="clear" w:color="auto" w:fill="CCEDFF"/>
          </w:tcPr>
          <w:p>
            <w:pPr>
              <w:pStyle w:val="TableParagraph"/>
              <w:rPr>
                <w:sz w:val="16"/>
              </w:rPr>
            </w:pPr>
          </w:p>
        </w:tc>
        <w:tc>
          <w:tcPr>
            <w:tcW w:w="1035" w:type="dxa"/>
            <w:shd w:val="clear" w:color="auto" w:fill="CCEDFF"/>
          </w:tcPr>
          <w:p>
            <w:pPr>
              <w:pStyle w:val="TableParagraph"/>
              <w:spacing w:before="18"/>
              <w:ind w:right="207"/>
              <w:jc w:val="right"/>
              <w:rPr>
                <w:sz w:val="18"/>
              </w:rPr>
            </w:pPr>
            <w:r>
              <w:rPr>
                <w:spacing w:val="-2"/>
                <w:sz w:val="18"/>
              </w:rPr>
              <w:t>9,148</w:t>
            </w:r>
          </w:p>
        </w:tc>
        <w:tc>
          <w:tcPr>
            <w:tcW w:w="825" w:type="dxa"/>
            <w:shd w:val="clear" w:color="auto" w:fill="CCEDFF"/>
          </w:tcPr>
          <w:p>
            <w:pPr>
              <w:pStyle w:val="TableParagraph"/>
              <w:spacing w:before="18"/>
              <w:ind w:right="72"/>
              <w:jc w:val="right"/>
              <w:rPr>
                <w:sz w:val="18"/>
              </w:rPr>
            </w:pPr>
            <w:r>
              <w:rPr>
                <w:spacing w:val="-2"/>
                <w:sz w:val="18"/>
              </w:rPr>
              <w:t>10.0%</w:t>
            </w:r>
          </w:p>
        </w:tc>
        <w:tc>
          <w:tcPr>
            <w:tcW w:w="75" w:type="dxa"/>
            <w:shd w:val="clear" w:color="auto" w:fill="CCEDFF"/>
          </w:tcPr>
          <w:p>
            <w:pPr>
              <w:pStyle w:val="TableParagraph"/>
              <w:rPr>
                <w:sz w:val="16"/>
              </w:rPr>
            </w:pPr>
          </w:p>
        </w:tc>
        <w:tc>
          <w:tcPr>
            <w:tcW w:w="979" w:type="dxa"/>
            <w:shd w:val="clear" w:color="auto" w:fill="CCEDFF"/>
          </w:tcPr>
          <w:p>
            <w:pPr>
              <w:pStyle w:val="TableParagraph"/>
              <w:spacing w:before="18"/>
              <w:ind w:right="151"/>
              <w:jc w:val="right"/>
              <w:rPr>
                <w:sz w:val="18"/>
              </w:rPr>
            </w:pPr>
            <w:r>
              <w:rPr>
                <w:spacing w:val="-2"/>
                <w:sz w:val="18"/>
              </w:rPr>
              <w:t>7,318</w:t>
            </w:r>
          </w:p>
        </w:tc>
        <w:tc>
          <w:tcPr>
            <w:tcW w:w="882" w:type="dxa"/>
            <w:shd w:val="clear" w:color="auto" w:fill="CCEDFF"/>
          </w:tcPr>
          <w:p>
            <w:pPr>
              <w:pStyle w:val="TableParagraph"/>
              <w:spacing w:before="18"/>
              <w:ind w:right="73"/>
              <w:jc w:val="right"/>
              <w:rPr>
                <w:sz w:val="18"/>
              </w:rPr>
            </w:pPr>
            <w:r>
              <w:rPr>
                <w:spacing w:val="-4"/>
                <w:sz w:val="18"/>
              </w:rPr>
              <w:t>8.0%</w:t>
            </w:r>
          </w:p>
        </w:tc>
      </w:tr>
      <w:tr>
        <w:trPr>
          <w:trHeight w:val="255" w:hRule="atLeast"/>
        </w:trPr>
        <w:tc>
          <w:tcPr>
            <w:tcW w:w="4515" w:type="dxa"/>
          </w:tcPr>
          <w:p>
            <w:pPr>
              <w:pStyle w:val="TableParagraph"/>
              <w:spacing w:before="18"/>
              <w:ind w:left="292"/>
              <w:rPr>
                <w:sz w:val="18"/>
              </w:rPr>
            </w:pPr>
            <w:r>
              <w:rPr>
                <w:sz w:val="18"/>
              </w:rPr>
              <w:t>Tier 1 </w:t>
            </w:r>
            <w:r>
              <w:rPr>
                <w:spacing w:val="-2"/>
                <w:sz w:val="18"/>
              </w:rPr>
              <w:t>Leverage</w:t>
            </w:r>
          </w:p>
        </w:tc>
        <w:tc>
          <w:tcPr>
            <w:tcW w:w="1024" w:type="dxa"/>
          </w:tcPr>
          <w:p>
            <w:pPr>
              <w:pStyle w:val="TableParagraph"/>
              <w:spacing w:before="18"/>
              <w:ind w:right="196"/>
              <w:jc w:val="right"/>
              <w:rPr>
                <w:sz w:val="18"/>
              </w:rPr>
            </w:pPr>
            <w:r>
              <w:rPr>
                <w:spacing w:val="-2"/>
                <w:sz w:val="18"/>
              </w:rPr>
              <w:t>31,765</w:t>
            </w:r>
          </w:p>
        </w:tc>
        <w:tc>
          <w:tcPr>
            <w:tcW w:w="836" w:type="dxa"/>
          </w:tcPr>
          <w:p>
            <w:pPr>
              <w:pStyle w:val="TableParagraph"/>
              <w:spacing w:before="18"/>
              <w:ind w:right="72"/>
              <w:jc w:val="right"/>
              <w:rPr>
                <w:sz w:val="18"/>
              </w:rPr>
            </w:pPr>
            <w:r>
              <w:rPr>
                <w:spacing w:val="-4"/>
                <w:sz w:val="18"/>
              </w:rPr>
              <w:t>9.6%</w:t>
            </w:r>
          </w:p>
        </w:tc>
        <w:tc>
          <w:tcPr>
            <w:tcW w:w="75" w:type="dxa"/>
          </w:tcPr>
          <w:p>
            <w:pPr>
              <w:pStyle w:val="TableParagraph"/>
              <w:rPr>
                <w:sz w:val="16"/>
              </w:rPr>
            </w:pPr>
          </w:p>
        </w:tc>
        <w:tc>
          <w:tcPr>
            <w:tcW w:w="1035" w:type="dxa"/>
          </w:tcPr>
          <w:p>
            <w:pPr>
              <w:pStyle w:val="TableParagraph"/>
              <w:spacing w:before="18"/>
              <w:ind w:right="207"/>
              <w:jc w:val="right"/>
              <w:rPr>
                <w:sz w:val="18"/>
              </w:rPr>
            </w:pPr>
            <w:r>
              <w:rPr>
                <w:spacing w:val="-2"/>
                <w:sz w:val="18"/>
              </w:rPr>
              <w:t>16,545</w:t>
            </w:r>
          </w:p>
        </w:tc>
        <w:tc>
          <w:tcPr>
            <w:tcW w:w="825" w:type="dxa"/>
          </w:tcPr>
          <w:p>
            <w:pPr>
              <w:pStyle w:val="TableParagraph"/>
              <w:spacing w:before="18"/>
              <w:ind w:right="72"/>
              <w:jc w:val="right"/>
              <w:rPr>
                <w:sz w:val="18"/>
              </w:rPr>
            </w:pPr>
            <w:r>
              <w:rPr>
                <w:spacing w:val="-4"/>
                <w:sz w:val="18"/>
              </w:rPr>
              <w:t>5.0%</w:t>
            </w:r>
          </w:p>
        </w:tc>
        <w:tc>
          <w:tcPr>
            <w:tcW w:w="75" w:type="dxa"/>
          </w:tcPr>
          <w:p>
            <w:pPr>
              <w:pStyle w:val="TableParagraph"/>
              <w:rPr>
                <w:sz w:val="16"/>
              </w:rPr>
            </w:pPr>
          </w:p>
        </w:tc>
        <w:tc>
          <w:tcPr>
            <w:tcW w:w="979" w:type="dxa"/>
          </w:tcPr>
          <w:p>
            <w:pPr>
              <w:pStyle w:val="TableParagraph"/>
              <w:spacing w:before="18"/>
              <w:ind w:right="151"/>
              <w:jc w:val="right"/>
              <w:rPr>
                <w:sz w:val="18"/>
              </w:rPr>
            </w:pPr>
            <w:r>
              <w:rPr>
                <w:spacing w:val="-2"/>
                <w:sz w:val="18"/>
              </w:rPr>
              <w:t>13,236</w:t>
            </w:r>
          </w:p>
        </w:tc>
        <w:tc>
          <w:tcPr>
            <w:tcW w:w="882" w:type="dxa"/>
          </w:tcPr>
          <w:p>
            <w:pPr>
              <w:pStyle w:val="TableParagraph"/>
              <w:spacing w:before="18"/>
              <w:ind w:right="73"/>
              <w:jc w:val="right"/>
              <w:rPr>
                <w:sz w:val="18"/>
              </w:rPr>
            </w:pPr>
            <w:r>
              <w:rPr>
                <w:spacing w:val="-4"/>
                <w:sz w:val="18"/>
              </w:rPr>
              <w:t>4.0%</w:t>
            </w:r>
          </w:p>
        </w:tc>
      </w:tr>
      <w:tr>
        <w:trPr>
          <w:trHeight w:val="250" w:hRule="atLeast"/>
        </w:trPr>
        <w:tc>
          <w:tcPr>
            <w:tcW w:w="4515" w:type="dxa"/>
            <w:tcBorders>
              <w:bottom w:val="single" w:sz="4" w:space="0" w:color="000000"/>
            </w:tcBorders>
            <w:shd w:val="clear" w:color="auto" w:fill="CCEDFF"/>
          </w:tcPr>
          <w:p>
            <w:pPr>
              <w:pStyle w:val="TableParagraph"/>
              <w:spacing w:before="18"/>
              <w:ind w:left="292"/>
              <w:rPr>
                <w:sz w:val="18"/>
              </w:rPr>
            </w:pPr>
            <w:r>
              <w:rPr>
                <w:sz w:val="18"/>
              </w:rPr>
              <w:t>Supplementary</w:t>
            </w:r>
            <w:r>
              <w:rPr>
                <w:spacing w:val="-1"/>
                <w:sz w:val="18"/>
              </w:rPr>
              <w:t> </w:t>
            </w:r>
            <w:r>
              <w:rPr>
                <w:sz w:val="18"/>
              </w:rPr>
              <w:t>Leverage </w:t>
            </w:r>
            <w:r>
              <w:rPr>
                <w:spacing w:val="-2"/>
                <w:sz w:val="18"/>
              </w:rPr>
              <w:t>Ratio</w:t>
            </w:r>
          </w:p>
        </w:tc>
        <w:tc>
          <w:tcPr>
            <w:tcW w:w="1024" w:type="dxa"/>
            <w:tcBorders>
              <w:bottom w:val="single" w:sz="4" w:space="0" w:color="000000"/>
            </w:tcBorders>
            <w:shd w:val="clear" w:color="auto" w:fill="CCEDFF"/>
          </w:tcPr>
          <w:p>
            <w:pPr>
              <w:pStyle w:val="TableParagraph"/>
              <w:spacing w:before="18"/>
              <w:ind w:right="196"/>
              <w:jc w:val="right"/>
              <w:rPr>
                <w:sz w:val="18"/>
              </w:rPr>
            </w:pPr>
            <w:r>
              <w:rPr>
                <w:spacing w:val="-2"/>
                <w:sz w:val="18"/>
              </w:rPr>
              <w:t>31,765</w:t>
            </w:r>
          </w:p>
        </w:tc>
        <w:tc>
          <w:tcPr>
            <w:tcW w:w="836" w:type="dxa"/>
            <w:tcBorders>
              <w:bottom w:val="single" w:sz="4" w:space="0" w:color="000000"/>
            </w:tcBorders>
            <w:shd w:val="clear" w:color="auto" w:fill="CCEDFF"/>
          </w:tcPr>
          <w:p>
            <w:pPr>
              <w:pStyle w:val="TableParagraph"/>
              <w:spacing w:before="18"/>
              <w:ind w:right="72"/>
              <w:jc w:val="right"/>
              <w:rPr>
                <w:sz w:val="18"/>
              </w:rPr>
            </w:pPr>
            <w:r>
              <w:rPr>
                <w:spacing w:val="-4"/>
                <w:sz w:val="18"/>
              </w:rPr>
              <w:t>9.5%</w:t>
            </w:r>
          </w:p>
        </w:tc>
        <w:tc>
          <w:tcPr>
            <w:tcW w:w="75" w:type="dxa"/>
            <w:tcBorders>
              <w:bottom w:val="single" w:sz="4" w:space="0" w:color="000000"/>
            </w:tcBorders>
            <w:shd w:val="clear" w:color="auto" w:fill="CCEDFF"/>
          </w:tcPr>
          <w:p>
            <w:pPr>
              <w:pStyle w:val="TableParagraph"/>
              <w:rPr>
                <w:sz w:val="16"/>
              </w:rPr>
            </w:pPr>
          </w:p>
        </w:tc>
        <w:tc>
          <w:tcPr>
            <w:tcW w:w="1035" w:type="dxa"/>
            <w:tcBorders>
              <w:bottom w:val="single" w:sz="4" w:space="0" w:color="000000"/>
            </w:tcBorders>
            <w:shd w:val="clear" w:color="auto" w:fill="CCEDFF"/>
          </w:tcPr>
          <w:p>
            <w:pPr>
              <w:pStyle w:val="TableParagraph"/>
              <w:spacing w:before="18"/>
              <w:ind w:right="185"/>
              <w:jc w:val="right"/>
              <w:rPr>
                <w:sz w:val="18"/>
              </w:rPr>
            </w:pPr>
            <w:r>
              <w:rPr>
                <w:spacing w:val="-5"/>
                <w:sz w:val="18"/>
              </w:rPr>
              <w:t>N/A</w:t>
            </w:r>
          </w:p>
        </w:tc>
        <w:tc>
          <w:tcPr>
            <w:tcW w:w="825" w:type="dxa"/>
            <w:tcBorders>
              <w:bottom w:val="single" w:sz="4" w:space="0" w:color="000000"/>
            </w:tcBorders>
            <w:shd w:val="clear" w:color="auto" w:fill="CCEDFF"/>
          </w:tcPr>
          <w:p>
            <w:pPr>
              <w:pStyle w:val="TableParagraph"/>
              <w:rPr>
                <w:sz w:val="16"/>
              </w:rPr>
            </w:pPr>
          </w:p>
        </w:tc>
        <w:tc>
          <w:tcPr>
            <w:tcW w:w="75" w:type="dxa"/>
            <w:tcBorders>
              <w:bottom w:val="single" w:sz="4" w:space="0" w:color="000000"/>
            </w:tcBorders>
            <w:shd w:val="clear" w:color="auto" w:fill="CCEDFF"/>
          </w:tcPr>
          <w:p>
            <w:pPr>
              <w:pStyle w:val="TableParagraph"/>
              <w:rPr>
                <w:sz w:val="16"/>
              </w:rPr>
            </w:pPr>
          </w:p>
        </w:tc>
        <w:tc>
          <w:tcPr>
            <w:tcW w:w="979" w:type="dxa"/>
            <w:tcBorders>
              <w:bottom w:val="single" w:sz="4" w:space="0" w:color="000000"/>
            </w:tcBorders>
            <w:shd w:val="clear" w:color="auto" w:fill="CCEDFF"/>
          </w:tcPr>
          <w:p>
            <w:pPr>
              <w:pStyle w:val="TableParagraph"/>
              <w:spacing w:before="18"/>
              <w:ind w:right="151"/>
              <w:jc w:val="right"/>
              <w:rPr>
                <w:sz w:val="18"/>
              </w:rPr>
            </w:pPr>
            <w:r>
              <w:rPr>
                <w:spacing w:val="-2"/>
                <w:sz w:val="18"/>
              </w:rPr>
              <w:t>10,002</w:t>
            </w:r>
          </w:p>
        </w:tc>
        <w:tc>
          <w:tcPr>
            <w:tcW w:w="882" w:type="dxa"/>
            <w:tcBorders>
              <w:bottom w:val="single" w:sz="4" w:space="0" w:color="000000"/>
            </w:tcBorders>
            <w:shd w:val="clear" w:color="auto" w:fill="CCEDFF"/>
          </w:tcPr>
          <w:p>
            <w:pPr>
              <w:pStyle w:val="TableParagraph"/>
              <w:spacing w:before="18"/>
              <w:ind w:right="73"/>
              <w:jc w:val="right"/>
              <w:rPr>
                <w:sz w:val="18"/>
              </w:rPr>
            </w:pPr>
            <w:r>
              <w:rPr>
                <w:spacing w:val="-4"/>
                <w:sz w:val="18"/>
              </w:rPr>
              <w:t>3.0%</w:t>
            </w:r>
          </w:p>
        </w:tc>
      </w:tr>
    </w:tbl>
    <w:p>
      <w:pPr>
        <w:pStyle w:val="BodyText"/>
        <w:spacing w:before="116"/>
        <w:rPr>
          <w:sz w:val="18"/>
        </w:rPr>
      </w:pPr>
    </w:p>
    <w:p>
      <w:pPr>
        <w:spacing w:before="0"/>
        <w:ind w:left="522" w:right="0" w:firstLine="0"/>
        <w:jc w:val="left"/>
        <w:rPr>
          <w:sz w:val="18"/>
        </w:rPr>
      </w:pPr>
      <w:r>
        <w:rPr/>
        <mc:AlternateContent>
          <mc:Choice Requires="wps">
            <w:drawing>
              <wp:anchor distT="0" distB="0" distL="0" distR="0" allowOverlap="1" layoutInCell="1" locked="0" behindDoc="1" simplePos="0" relativeHeight="487638016">
                <wp:simplePos x="0" y="0"/>
                <wp:positionH relativeFrom="page">
                  <wp:posOffset>628650</wp:posOffset>
                </wp:positionH>
                <wp:positionV relativeFrom="paragraph">
                  <wp:posOffset>147526</wp:posOffset>
                </wp:positionV>
                <wp:extent cx="6505575" cy="6350"/>
                <wp:effectExtent l="0" t="0" r="0" b="0"/>
                <wp:wrapTopAndBottom/>
                <wp:docPr id="696" name="Group 696"/>
                <wp:cNvGraphicFramePr>
                  <a:graphicFrameLocks/>
                </wp:cNvGraphicFramePr>
                <a:graphic>
                  <a:graphicData uri="http://schemas.microsoft.com/office/word/2010/wordprocessingGroup">
                    <wpg:wgp>
                      <wpg:cNvPr id="696" name="Group 696"/>
                      <wpg:cNvGrpSpPr/>
                      <wpg:grpSpPr>
                        <a:xfrm>
                          <a:off x="0" y="0"/>
                          <a:ext cx="6505575" cy="6350"/>
                          <a:chExt cx="6505575" cy="6350"/>
                        </a:xfrm>
                      </wpg:grpSpPr>
                      <wps:wsp>
                        <wps:cNvPr id="697" name="Graphic 697"/>
                        <wps:cNvSpPr/>
                        <wps:spPr>
                          <a:xfrm>
                            <a:off x="0" y="3175"/>
                            <a:ext cx="6505575" cy="1270"/>
                          </a:xfrm>
                          <a:custGeom>
                            <a:avLst/>
                            <a:gdLst/>
                            <a:ahLst/>
                            <a:cxnLst/>
                            <a:rect l="l" t="t" r="r" b="b"/>
                            <a:pathLst>
                              <a:path w="6505575" h="0">
                                <a:moveTo>
                                  <a:pt x="6505575" y="0"/>
                                </a:moveTo>
                                <a:lnTo>
                                  <a:pt x="0" y="0"/>
                                </a:lnTo>
                              </a:path>
                            </a:pathLst>
                          </a:custGeom>
                          <a:solidFill>
                            <a:srgbClr val="000000"/>
                          </a:solidFill>
                        </wps:spPr>
                        <wps:bodyPr wrap="square" lIns="0" tIns="0" rIns="0" bIns="0" rtlCol="0">
                          <a:prstTxWarp prst="textNoShape">
                            <a:avLst/>
                          </a:prstTxWarp>
                          <a:noAutofit/>
                        </wps:bodyPr>
                      </wps:wsp>
                      <wps:wsp>
                        <wps:cNvPr id="698" name="Graphic 698"/>
                        <wps:cNvSpPr/>
                        <wps:spPr>
                          <a:xfrm>
                            <a:off x="0" y="3175"/>
                            <a:ext cx="6505575" cy="1270"/>
                          </a:xfrm>
                          <a:custGeom>
                            <a:avLst/>
                            <a:gdLst/>
                            <a:ahLst/>
                            <a:cxnLst/>
                            <a:rect l="l" t="t" r="r" b="b"/>
                            <a:pathLst>
                              <a:path w="6505575" h="0">
                                <a:moveTo>
                                  <a:pt x="0" y="0"/>
                                </a:moveTo>
                                <a:lnTo>
                                  <a:pt x="650557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11.61625pt;width:512.25pt;height:.5pt;mso-position-horizontal-relative:page;mso-position-vertical-relative:paragraph;z-index:-15678464;mso-wrap-distance-left:0;mso-wrap-distance-right:0" id="docshapegroup503" coordorigin="990,232" coordsize="10245,10">
                <v:shape style="position:absolute;left:990;top:237;width:10245;height:2" id="docshape504" coordorigin="990,237" coordsize="10245,0" path="m11235,237l990,237e" filled="true" fillcolor="#000000" stroked="false">
                  <v:path arrowok="t"/>
                  <v:fill opacity="0f" type="solid"/>
                </v:shape>
                <v:line style="position:absolute" from="990,237" to="11235,237" stroked="true" strokeweight=".5pt" strokecolor="#000000">
                  <v:stroke dashstyle="solid"/>
                </v:line>
                <w10:wrap type="topAndBottom"/>
              </v:group>
            </w:pict>
          </mc:Fallback>
        </mc:AlternateContent>
      </w:r>
      <w:r>
        <w:rPr>
          <w:sz w:val="18"/>
        </w:rPr>
        <w:t>December</w:t>
      </w:r>
      <w:r>
        <w:rPr>
          <w:spacing w:val="-1"/>
          <w:sz w:val="18"/>
        </w:rPr>
        <w:t> </w:t>
      </w:r>
      <w:r>
        <w:rPr>
          <w:sz w:val="18"/>
        </w:rPr>
        <w:t>31, </w:t>
      </w:r>
      <w:r>
        <w:rPr>
          <w:spacing w:val="-4"/>
          <w:sz w:val="18"/>
        </w:rPr>
        <w:t>2022</w:t>
      </w:r>
    </w:p>
    <w:p>
      <w:pPr>
        <w:spacing w:before="13" w:after="30"/>
        <w:ind w:left="522" w:right="0" w:firstLine="0"/>
        <w:jc w:val="left"/>
        <w:rPr>
          <w:b/>
          <w:sz w:val="18"/>
        </w:rPr>
      </w:pPr>
      <w:r>
        <w:rPr>
          <w:b/>
          <w:spacing w:val="-5"/>
          <w:sz w:val="18"/>
        </w:rPr>
        <w:t>CSC</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8"/>
        <w:gridCol w:w="1601"/>
        <w:gridCol w:w="815"/>
        <w:gridCol w:w="1134"/>
        <w:gridCol w:w="804"/>
        <w:gridCol w:w="1168"/>
        <w:gridCol w:w="744"/>
      </w:tblGrid>
      <w:tr>
        <w:trPr>
          <w:trHeight w:val="255" w:hRule="atLeast"/>
        </w:trPr>
        <w:tc>
          <w:tcPr>
            <w:tcW w:w="3988" w:type="dxa"/>
            <w:shd w:val="clear" w:color="auto" w:fill="CCEDFF"/>
          </w:tcPr>
          <w:p>
            <w:pPr>
              <w:pStyle w:val="TableParagraph"/>
              <w:spacing w:before="13"/>
              <w:ind w:right="578"/>
              <w:jc w:val="right"/>
              <w:rPr>
                <w:sz w:val="18"/>
              </w:rPr>
            </w:pPr>
            <w:r>
              <w:rPr>
                <w:sz w:val="18"/>
              </w:rPr>
              <w:t>Common</w:t>
            </w:r>
            <w:r>
              <w:rPr>
                <w:spacing w:val="-1"/>
                <w:sz w:val="18"/>
              </w:rPr>
              <w:t> </w:t>
            </w:r>
            <w:r>
              <w:rPr>
                <w:sz w:val="18"/>
              </w:rPr>
              <w:t>Equity Tier</w:t>
            </w:r>
            <w:r>
              <w:rPr>
                <w:spacing w:val="-1"/>
                <w:sz w:val="18"/>
              </w:rPr>
              <w:t> </w:t>
            </w:r>
            <w:r>
              <w:rPr>
                <w:sz w:val="18"/>
              </w:rPr>
              <w:t>1 Risk-Based </w:t>
            </w:r>
            <w:r>
              <w:rPr>
                <w:spacing w:val="-2"/>
                <w:sz w:val="18"/>
              </w:rPr>
              <w:t>Capital</w:t>
            </w:r>
          </w:p>
        </w:tc>
        <w:tc>
          <w:tcPr>
            <w:tcW w:w="1601" w:type="dxa"/>
            <w:shd w:val="clear" w:color="auto" w:fill="CCEDFF"/>
          </w:tcPr>
          <w:p>
            <w:pPr>
              <w:pStyle w:val="TableParagraph"/>
              <w:spacing w:before="13"/>
              <w:ind w:right="246"/>
              <w:jc w:val="right"/>
              <w:rPr>
                <w:sz w:val="18"/>
              </w:rPr>
            </w:pPr>
            <w:r>
              <w:rPr>
                <w:sz w:val="18"/>
              </w:rPr>
              <w:t>$</w:t>
            </w:r>
            <w:r>
              <w:rPr>
                <w:spacing w:val="48"/>
                <w:sz w:val="18"/>
              </w:rPr>
              <w:t>  </w:t>
            </w:r>
            <w:r>
              <w:rPr>
                <w:spacing w:val="-2"/>
                <w:sz w:val="18"/>
              </w:rPr>
              <w:t>30,590</w:t>
            </w:r>
          </w:p>
        </w:tc>
        <w:tc>
          <w:tcPr>
            <w:tcW w:w="815" w:type="dxa"/>
            <w:shd w:val="clear" w:color="auto" w:fill="CCEDFF"/>
          </w:tcPr>
          <w:p>
            <w:pPr>
              <w:pStyle w:val="TableParagraph"/>
              <w:spacing w:before="13"/>
              <w:ind w:right="101"/>
              <w:jc w:val="right"/>
              <w:rPr>
                <w:sz w:val="18"/>
              </w:rPr>
            </w:pPr>
            <w:r>
              <w:rPr>
                <w:spacing w:val="-2"/>
                <w:sz w:val="18"/>
              </w:rPr>
              <w:t>21.9%</w:t>
            </w:r>
          </w:p>
        </w:tc>
        <w:tc>
          <w:tcPr>
            <w:tcW w:w="1134" w:type="dxa"/>
            <w:shd w:val="clear" w:color="auto" w:fill="CCEDFF"/>
          </w:tcPr>
          <w:p>
            <w:pPr>
              <w:pStyle w:val="TableParagraph"/>
              <w:spacing w:before="13"/>
              <w:ind w:right="238"/>
              <w:jc w:val="right"/>
              <w:rPr>
                <w:sz w:val="18"/>
              </w:rPr>
            </w:pPr>
            <w:r>
              <w:rPr>
                <w:spacing w:val="-5"/>
                <w:sz w:val="18"/>
              </w:rPr>
              <w:t>N/A</w:t>
            </w:r>
          </w:p>
        </w:tc>
        <w:tc>
          <w:tcPr>
            <w:tcW w:w="1972" w:type="dxa"/>
            <w:gridSpan w:val="2"/>
            <w:shd w:val="clear" w:color="auto" w:fill="CCEDFF"/>
          </w:tcPr>
          <w:p>
            <w:pPr>
              <w:pStyle w:val="TableParagraph"/>
              <w:tabs>
                <w:tab w:pos="1267" w:val="left" w:leader="none"/>
              </w:tabs>
              <w:spacing w:before="13"/>
              <w:ind w:left="899"/>
              <w:rPr>
                <w:sz w:val="18"/>
              </w:rPr>
            </w:pPr>
            <w:r>
              <w:rPr>
                <w:spacing w:val="-10"/>
                <w:sz w:val="18"/>
              </w:rPr>
              <w:t>$</w:t>
            </w:r>
            <w:r>
              <w:rPr>
                <w:sz w:val="18"/>
              </w:rPr>
              <w:tab/>
            </w:r>
            <w:r>
              <w:rPr>
                <w:spacing w:val="-2"/>
                <w:sz w:val="18"/>
              </w:rPr>
              <w:t>6,285</w:t>
            </w:r>
          </w:p>
        </w:tc>
        <w:tc>
          <w:tcPr>
            <w:tcW w:w="744" w:type="dxa"/>
            <w:shd w:val="clear" w:color="auto" w:fill="CCEDFF"/>
          </w:tcPr>
          <w:p>
            <w:pPr>
              <w:pStyle w:val="TableParagraph"/>
              <w:spacing w:before="13"/>
              <w:ind w:right="81"/>
              <w:jc w:val="right"/>
              <w:rPr>
                <w:sz w:val="18"/>
              </w:rPr>
            </w:pPr>
            <w:r>
              <w:rPr>
                <w:spacing w:val="-4"/>
                <w:sz w:val="18"/>
              </w:rPr>
              <w:t>4.5%</w:t>
            </w:r>
          </w:p>
        </w:tc>
      </w:tr>
      <w:tr>
        <w:trPr>
          <w:trHeight w:val="255" w:hRule="atLeast"/>
        </w:trPr>
        <w:tc>
          <w:tcPr>
            <w:tcW w:w="3988" w:type="dxa"/>
          </w:tcPr>
          <w:p>
            <w:pPr>
              <w:pStyle w:val="TableParagraph"/>
              <w:spacing w:before="18"/>
              <w:ind w:left="292"/>
              <w:rPr>
                <w:sz w:val="18"/>
              </w:rPr>
            </w:pPr>
            <w:r>
              <w:rPr>
                <w:sz w:val="18"/>
              </w:rPr>
              <w:t>Tier</w:t>
            </w:r>
            <w:r>
              <w:rPr>
                <w:spacing w:val="-1"/>
                <w:sz w:val="18"/>
              </w:rPr>
              <w:t> </w:t>
            </w:r>
            <w:r>
              <w:rPr>
                <w:sz w:val="18"/>
              </w:rPr>
              <w:t>1</w:t>
            </w:r>
            <w:r>
              <w:rPr>
                <w:spacing w:val="-1"/>
                <w:sz w:val="18"/>
              </w:rPr>
              <w:t> </w:t>
            </w:r>
            <w:r>
              <w:rPr>
                <w:sz w:val="18"/>
              </w:rPr>
              <w:t>Risk-Based </w:t>
            </w:r>
            <w:r>
              <w:rPr>
                <w:spacing w:val="-2"/>
                <w:sz w:val="18"/>
              </w:rPr>
              <w:t>Capital</w:t>
            </w:r>
          </w:p>
        </w:tc>
        <w:tc>
          <w:tcPr>
            <w:tcW w:w="1601" w:type="dxa"/>
          </w:tcPr>
          <w:p>
            <w:pPr>
              <w:pStyle w:val="TableParagraph"/>
              <w:spacing w:before="18"/>
              <w:ind w:right="246"/>
              <w:jc w:val="right"/>
              <w:rPr>
                <w:sz w:val="18"/>
              </w:rPr>
            </w:pPr>
            <w:r>
              <w:rPr>
                <w:spacing w:val="-2"/>
                <w:sz w:val="18"/>
              </w:rPr>
              <w:t>40,296</w:t>
            </w:r>
          </w:p>
        </w:tc>
        <w:tc>
          <w:tcPr>
            <w:tcW w:w="815" w:type="dxa"/>
          </w:tcPr>
          <w:p>
            <w:pPr>
              <w:pStyle w:val="TableParagraph"/>
              <w:spacing w:before="18"/>
              <w:ind w:right="101"/>
              <w:jc w:val="right"/>
              <w:rPr>
                <w:sz w:val="18"/>
              </w:rPr>
            </w:pPr>
            <w:r>
              <w:rPr>
                <w:spacing w:val="-2"/>
                <w:sz w:val="18"/>
              </w:rPr>
              <w:t>28.9%</w:t>
            </w:r>
          </w:p>
        </w:tc>
        <w:tc>
          <w:tcPr>
            <w:tcW w:w="1134" w:type="dxa"/>
          </w:tcPr>
          <w:p>
            <w:pPr>
              <w:pStyle w:val="TableParagraph"/>
              <w:spacing w:before="18"/>
              <w:ind w:right="238"/>
              <w:jc w:val="right"/>
              <w:rPr>
                <w:sz w:val="18"/>
              </w:rPr>
            </w:pPr>
            <w:r>
              <w:rPr>
                <w:spacing w:val="-5"/>
                <w:sz w:val="18"/>
              </w:rPr>
              <w:t>N/A</w:t>
            </w:r>
          </w:p>
        </w:tc>
        <w:tc>
          <w:tcPr>
            <w:tcW w:w="1972" w:type="dxa"/>
            <w:gridSpan w:val="2"/>
          </w:tcPr>
          <w:p>
            <w:pPr>
              <w:pStyle w:val="TableParagraph"/>
              <w:spacing w:before="18"/>
              <w:ind w:left="1267"/>
              <w:rPr>
                <w:sz w:val="18"/>
              </w:rPr>
            </w:pPr>
            <w:r>
              <w:rPr>
                <w:spacing w:val="-2"/>
                <w:sz w:val="18"/>
              </w:rPr>
              <w:t>8,379</w:t>
            </w:r>
          </w:p>
        </w:tc>
        <w:tc>
          <w:tcPr>
            <w:tcW w:w="744" w:type="dxa"/>
          </w:tcPr>
          <w:p>
            <w:pPr>
              <w:pStyle w:val="TableParagraph"/>
              <w:spacing w:before="18"/>
              <w:ind w:right="81"/>
              <w:jc w:val="right"/>
              <w:rPr>
                <w:sz w:val="18"/>
              </w:rPr>
            </w:pPr>
            <w:r>
              <w:rPr>
                <w:spacing w:val="-4"/>
                <w:sz w:val="18"/>
              </w:rPr>
              <w:t>6.0%</w:t>
            </w:r>
          </w:p>
        </w:tc>
      </w:tr>
      <w:tr>
        <w:trPr>
          <w:trHeight w:val="255" w:hRule="atLeast"/>
        </w:trPr>
        <w:tc>
          <w:tcPr>
            <w:tcW w:w="3988" w:type="dxa"/>
            <w:shd w:val="clear" w:color="auto" w:fill="CCEDFF"/>
          </w:tcPr>
          <w:p>
            <w:pPr>
              <w:pStyle w:val="TableParagraph"/>
              <w:spacing w:before="13"/>
              <w:ind w:left="292"/>
              <w:rPr>
                <w:sz w:val="18"/>
              </w:rPr>
            </w:pPr>
            <w:r>
              <w:rPr>
                <w:sz w:val="18"/>
              </w:rPr>
              <w:t>Total</w:t>
            </w:r>
            <w:r>
              <w:rPr>
                <w:spacing w:val="-1"/>
                <w:sz w:val="18"/>
              </w:rPr>
              <w:t> </w:t>
            </w:r>
            <w:r>
              <w:rPr>
                <w:sz w:val="18"/>
              </w:rPr>
              <w:t>Risk-Based</w:t>
            </w:r>
            <w:r>
              <w:rPr>
                <w:spacing w:val="-1"/>
                <w:sz w:val="18"/>
              </w:rPr>
              <w:t> </w:t>
            </w:r>
            <w:r>
              <w:rPr>
                <w:spacing w:val="-2"/>
                <w:sz w:val="18"/>
              </w:rPr>
              <w:t>Capital</w:t>
            </w:r>
          </w:p>
        </w:tc>
        <w:tc>
          <w:tcPr>
            <w:tcW w:w="1601" w:type="dxa"/>
            <w:shd w:val="clear" w:color="auto" w:fill="CCEDFF"/>
          </w:tcPr>
          <w:p>
            <w:pPr>
              <w:pStyle w:val="TableParagraph"/>
              <w:spacing w:before="13"/>
              <w:ind w:right="246"/>
              <w:jc w:val="right"/>
              <w:rPr>
                <w:sz w:val="18"/>
              </w:rPr>
            </w:pPr>
            <w:r>
              <w:rPr>
                <w:spacing w:val="-2"/>
                <w:sz w:val="18"/>
              </w:rPr>
              <w:t>40,376</w:t>
            </w:r>
          </w:p>
        </w:tc>
        <w:tc>
          <w:tcPr>
            <w:tcW w:w="815" w:type="dxa"/>
            <w:shd w:val="clear" w:color="auto" w:fill="CCEDFF"/>
          </w:tcPr>
          <w:p>
            <w:pPr>
              <w:pStyle w:val="TableParagraph"/>
              <w:spacing w:before="13"/>
              <w:ind w:right="101"/>
              <w:jc w:val="right"/>
              <w:rPr>
                <w:sz w:val="18"/>
              </w:rPr>
            </w:pPr>
            <w:r>
              <w:rPr>
                <w:spacing w:val="-2"/>
                <w:sz w:val="18"/>
              </w:rPr>
              <w:t>28.9%</w:t>
            </w:r>
          </w:p>
        </w:tc>
        <w:tc>
          <w:tcPr>
            <w:tcW w:w="1134" w:type="dxa"/>
            <w:shd w:val="clear" w:color="auto" w:fill="CCEDFF"/>
          </w:tcPr>
          <w:p>
            <w:pPr>
              <w:pStyle w:val="TableParagraph"/>
              <w:spacing w:before="13"/>
              <w:ind w:right="238"/>
              <w:jc w:val="right"/>
              <w:rPr>
                <w:sz w:val="18"/>
              </w:rPr>
            </w:pPr>
            <w:r>
              <w:rPr>
                <w:spacing w:val="-5"/>
                <w:sz w:val="18"/>
              </w:rPr>
              <w:t>N/A</w:t>
            </w:r>
          </w:p>
        </w:tc>
        <w:tc>
          <w:tcPr>
            <w:tcW w:w="1972" w:type="dxa"/>
            <w:gridSpan w:val="2"/>
            <w:shd w:val="clear" w:color="auto" w:fill="CCEDFF"/>
          </w:tcPr>
          <w:p>
            <w:pPr>
              <w:pStyle w:val="TableParagraph"/>
              <w:spacing w:before="13"/>
              <w:ind w:left="1177"/>
              <w:rPr>
                <w:sz w:val="18"/>
              </w:rPr>
            </w:pPr>
            <w:r>
              <w:rPr>
                <w:spacing w:val="-2"/>
                <w:sz w:val="18"/>
              </w:rPr>
              <w:t>11,173</w:t>
            </w:r>
          </w:p>
        </w:tc>
        <w:tc>
          <w:tcPr>
            <w:tcW w:w="744" w:type="dxa"/>
            <w:shd w:val="clear" w:color="auto" w:fill="CCEDFF"/>
          </w:tcPr>
          <w:p>
            <w:pPr>
              <w:pStyle w:val="TableParagraph"/>
              <w:spacing w:before="13"/>
              <w:ind w:right="81"/>
              <w:jc w:val="right"/>
              <w:rPr>
                <w:sz w:val="18"/>
              </w:rPr>
            </w:pPr>
            <w:r>
              <w:rPr>
                <w:spacing w:val="-4"/>
                <w:sz w:val="18"/>
              </w:rPr>
              <w:t>8.0%</w:t>
            </w:r>
          </w:p>
        </w:tc>
      </w:tr>
      <w:tr>
        <w:trPr>
          <w:trHeight w:val="255" w:hRule="atLeast"/>
        </w:trPr>
        <w:tc>
          <w:tcPr>
            <w:tcW w:w="3988" w:type="dxa"/>
          </w:tcPr>
          <w:p>
            <w:pPr>
              <w:pStyle w:val="TableParagraph"/>
              <w:spacing w:before="18"/>
              <w:ind w:left="292"/>
              <w:rPr>
                <w:sz w:val="18"/>
              </w:rPr>
            </w:pPr>
            <w:r>
              <w:rPr>
                <w:sz w:val="18"/>
              </w:rPr>
              <w:t>Tier 1 </w:t>
            </w:r>
            <w:r>
              <w:rPr>
                <w:spacing w:val="-2"/>
                <w:sz w:val="18"/>
              </w:rPr>
              <w:t>Leverage</w:t>
            </w:r>
          </w:p>
        </w:tc>
        <w:tc>
          <w:tcPr>
            <w:tcW w:w="1601" w:type="dxa"/>
          </w:tcPr>
          <w:p>
            <w:pPr>
              <w:pStyle w:val="TableParagraph"/>
              <w:spacing w:before="18"/>
              <w:ind w:right="246"/>
              <w:jc w:val="right"/>
              <w:rPr>
                <w:sz w:val="18"/>
              </w:rPr>
            </w:pPr>
            <w:r>
              <w:rPr>
                <w:spacing w:val="-2"/>
                <w:sz w:val="18"/>
              </w:rPr>
              <w:t>40,296</w:t>
            </w:r>
          </w:p>
        </w:tc>
        <w:tc>
          <w:tcPr>
            <w:tcW w:w="815" w:type="dxa"/>
          </w:tcPr>
          <w:p>
            <w:pPr>
              <w:pStyle w:val="TableParagraph"/>
              <w:spacing w:before="18"/>
              <w:ind w:right="101"/>
              <w:jc w:val="right"/>
              <w:rPr>
                <w:sz w:val="18"/>
              </w:rPr>
            </w:pPr>
            <w:r>
              <w:rPr>
                <w:spacing w:val="-4"/>
                <w:sz w:val="18"/>
              </w:rPr>
              <w:t>7.2%</w:t>
            </w:r>
          </w:p>
        </w:tc>
        <w:tc>
          <w:tcPr>
            <w:tcW w:w="1134" w:type="dxa"/>
          </w:tcPr>
          <w:p>
            <w:pPr>
              <w:pStyle w:val="TableParagraph"/>
              <w:spacing w:before="18"/>
              <w:ind w:right="238"/>
              <w:jc w:val="right"/>
              <w:rPr>
                <w:sz w:val="18"/>
              </w:rPr>
            </w:pPr>
            <w:r>
              <w:rPr>
                <w:spacing w:val="-5"/>
                <w:sz w:val="18"/>
              </w:rPr>
              <w:t>N/A</w:t>
            </w:r>
          </w:p>
        </w:tc>
        <w:tc>
          <w:tcPr>
            <w:tcW w:w="1972" w:type="dxa"/>
            <w:gridSpan w:val="2"/>
          </w:tcPr>
          <w:p>
            <w:pPr>
              <w:pStyle w:val="TableParagraph"/>
              <w:spacing w:before="18"/>
              <w:ind w:left="1177"/>
              <w:rPr>
                <w:sz w:val="18"/>
              </w:rPr>
            </w:pPr>
            <w:r>
              <w:rPr>
                <w:spacing w:val="-2"/>
                <w:sz w:val="18"/>
              </w:rPr>
              <w:t>22,512</w:t>
            </w:r>
          </w:p>
        </w:tc>
        <w:tc>
          <w:tcPr>
            <w:tcW w:w="744" w:type="dxa"/>
          </w:tcPr>
          <w:p>
            <w:pPr>
              <w:pStyle w:val="TableParagraph"/>
              <w:spacing w:before="18"/>
              <w:ind w:right="81"/>
              <w:jc w:val="right"/>
              <w:rPr>
                <w:sz w:val="18"/>
              </w:rPr>
            </w:pPr>
            <w:r>
              <w:rPr>
                <w:spacing w:val="-4"/>
                <w:sz w:val="18"/>
              </w:rPr>
              <w:t>4.0%</w:t>
            </w:r>
          </w:p>
        </w:tc>
      </w:tr>
      <w:tr>
        <w:trPr>
          <w:trHeight w:val="255" w:hRule="atLeast"/>
        </w:trPr>
        <w:tc>
          <w:tcPr>
            <w:tcW w:w="3988" w:type="dxa"/>
            <w:shd w:val="clear" w:color="auto" w:fill="CCEDFF"/>
          </w:tcPr>
          <w:p>
            <w:pPr>
              <w:pStyle w:val="TableParagraph"/>
              <w:spacing w:before="18"/>
              <w:ind w:left="292"/>
              <w:rPr>
                <w:sz w:val="18"/>
              </w:rPr>
            </w:pPr>
            <w:r>
              <w:rPr>
                <w:sz w:val="18"/>
              </w:rPr>
              <w:t>Supplementary</w:t>
            </w:r>
            <w:r>
              <w:rPr>
                <w:spacing w:val="-1"/>
                <w:sz w:val="18"/>
              </w:rPr>
              <w:t> </w:t>
            </w:r>
            <w:r>
              <w:rPr>
                <w:sz w:val="18"/>
              </w:rPr>
              <w:t>Leverage </w:t>
            </w:r>
            <w:r>
              <w:rPr>
                <w:spacing w:val="-2"/>
                <w:sz w:val="18"/>
              </w:rPr>
              <w:t>Ratio</w:t>
            </w:r>
          </w:p>
        </w:tc>
        <w:tc>
          <w:tcPr>
            <w:tcW w:w="1601" w:type="dxa"/>
            <w:shd w:val="clear" w:color="auto" w:fill="CCEDFF"/>
          </w:tcPr>
          <w:p>
            <w:pPr>
              <w:pStyle w:val="TableParagraph"/>
              <w:spacing w:before="18"/>
              <w:ind w:right="246"/>
              <w:jc w:val="right"/>
              <w:rPr>
                <w:sz w:val="18"/>
              </w:rPr>
            </w:pPr>
            <w:r>
              <w:rPr>
                <w:spacing w:val="-2"/>
                <w:sz w:val="18"/>
              </w:rPr>
              <w:t>40,296</w:t>
            </w:r>
          </w:p>
        </w:tc>
        <w:tc>
          <w:tcPr>
            <w:tcW w:w="815" w:type="dxa"/>
            <w:shd w:val="clear" w:color="auto" w:fill="CCEDFF"/>
          </w:tcPr>
          <w:p>
            <w:pPr>
              <w:pStyle w:val="TableParagraph"/>
              <w:spacing w:before="18"/>
              <w:ind w:right="101"/>
              <w:jc w:val="right"/>
              <w:rPr>
                <w:sz w:val="18"/>
              </w:rPr>
            </w:pPr>
            <w:r>
              <w:rPr>
                <w:spacing w:val="-4"/>
                <w:sz w:val="18"/>
              </w:rPr>
              <w:t>7.1%</w:t>
            </w:r>
          </w:p>
        </w:tc>
        <w:tc>
          <w:tcPr>
            <w:tcW w:w="1134" w:type="dxa"/>
            <w:shd w:val="clear" w:color="auto" w:fill="CCEDFF"/>
          </w:tcPr>
          <w:p>
            <w:pPr>
              <w:pStyle w:val="TableParagraph"/>
              <w:spacing w:before="13"/>
              <w:ind w:right="238"/>
              <w:jc w:val="right"/>
              <w:rPr>
                <w:sz w:val="18"/>
              </w:rPr>
            </w:pPr>
            <w:r>
              <w:rPr>
                <w:spacing w:val="-5"/>
                <w:sz w:val="18"/>
              </w:rPr>
              <w:t>N/A</w:t>
            </w:r>
          </w:p>
        </w:tc>
        <w:tc>
          <w:tcPr>
            <w:tcW w:w="1972" w:type="dxa"/>
            <w:gridSpan w:val="2"/>
            <w:shd w:val="clear" w:color="auto" w:fill="CCEDFF"/>
          </w:tcPr>
          <w:p>
            <w:pPr>
              <w:pStyle w:val="TableParagraph"/>
              <w:spacing w:before="18"/>
              <w:ind w:left="1177"/>
              <w:rPr>
                <w:sz w:val="18"/>
              </w:rPr>
            </w:pPr>
            <w:r>
              <w:rPr>
                <w:spacing w:val="-2"/>
                <w:sz w:val="18"/>
              </w:rPr>
              <w:t>17,004</w:t>
            </w:r>
          </w:p>
        </w:tc>
        <w:tc>
          <w:tcPr>
            <w:tcW w:w="744" w:type="dxa"/>
            <w:shd w:val="clear" w:color="auto" w:fill="CCEDFF"/>
          </w:tcPr>
          <w:p>
            <w:pPr>
              <w:pStyle w:val="TableParagraph"/>
              <w:spacing w:before="18"/>
              <w:ind w:right="81"/>
              <w:jc w:val="right"/>
              <w:rPr>
                <w:sz w:val="18"/>
              </w:rPr>
            </w:pPr>
            <w:r>
              <w:rPr>
                <w:spacing w:val="-4"/>
                <w:sz w:val="18"/>
              </w:rPr>
              <w:t>3.0%</w:t>
            </w:r>
          </w:p>
        </w:tc>
      </w:tr>
      <w:tr>
        <w:trPr>
          <w:trHeight w:val="255" w:hRule="atLeast"/>
        </w:trPr>
        <w:tc>
          <w:tcPr>
            <w:tcW w:w="3988" w:type="dxa"/>
          </w:tcPr>
          <w:p>
            <w:pPr>
              <w:pStyle w:val="TableParagraph"/>
              <w:spacing w:before="12"/>
              <w:ind w:left="52"/>
              <w:rPr>
                <w:b/>
                <w:sz w:val="18"/>
              </w:rPr>
            </w:pPr>
            <w:r>
              <w:rPr>
                <w:b/>
                <w:spacing w:val="-5"/>
                <w:sz w:val="18"/>
              </w:rPr>
              <w:t>CSB</w:t>
            </w:r>
          </w:p>
        </w:tc>
        <w:tc>
          <w:tcPr>
            <w:tcW w:w="1601" w:type="dxa"/>
          </w:tcPr>
          <w:p>
            <w:pPr>
              <w:pStyle w:val="TableParagraph"/>
              <w:rPr>
                <w:sz w:val="16"/>
              </w:rPr>
            </w:pPr>
          </w:p>
        </w:tc>
        <w:tc>
          <w:tcPr>
            <w:tcW w:w="815" w:type="dxa"/>
          </w:tcPr>
          <w:p>
            <w:pPr>
              <w:pStyle w:val="TableParagraph"/>
              <w:rPr>
                <w:sz w:val="16"/>
              </w:rPr>
            </w:pPr>
          </w:p>
        </w:tc>
        <w:tc>
          <w:tcPr>
            <w:tcW w:w="1134" w:type="dxa"/>
          </w:tcPr>
          <w:p>
            <w:pPr>
              <w:pStyle w:val="TableParagraph"/>
              <w:rPr>
                <w:sz w:val="16"/>
              </w:rPr>
            </w:pPr>
          </w:p>
        </w:tc>
        <w:tc>
          <w:tcPr>
            <w:tcW w:w="1972" w:type="dxa"/>
            <w:gridSpan w:val="2"/>
          </w:tcPr>
          <w:p>
            <w:pPr>
              <w:pStyle w:val="TableParagraph"/>
              <w:rPr>
                <w:sz w:val="16"/>
              </w:rPr>
            </w:pPr>
          </w:p>
        </w:tc>
        <w:tc>
          <w:tcPr>
            <w:tcW w:w="744" w:type="dxa"/>
          </w:tcPr>
          <w:p>
            <w:pPr>
              <w:pStyle w:val="TableParagraph"/>
              <w:rPr>
                <w:sz w:val="16"/>
              </w:rPr>
            </w:pPr>
          </w:p>
        </w:tc>
      </w:tr>
      <w:tr>
        <w:trPr>
          <w:trHeight w:val="255" w:hRule="atLeast"/>
        </w:trPr>
        <w:tc>
          <w:tcPr>
            <w:tcW w:w="3988" w:type="dxa"/>
            <w:shd w:val="clear" w:color="auto" w:fill="CCEDFF"/>
          </w:tcPr>
          <w:p>
            <w:pPr>
              <w:pStyle w:val="TableParagraph"/>
              <w:spacing w:before="18"/>
              <w:ind w:right="578"/>
              <w:jc w:val="right"/>
              <w:rPr>
                <w:sz w:val="18"/>
              </w:rPr>
            </w:pPr>
            <w:r>
              <w:rPr>
                <w:sz w:val="18"/>
              </w:rPr>
              <w:t>Common</w:t>
            </w:r>
            <w:r>
              <w:rPr>
                <w:spacing w:val="-1"/>
                <w:sz w:val="18"/>
              </w:rPr>
              <w:t> </w:t>
            </w:r>
            <w:r>
              <w:rPr>
                <w:sz w:val="18"/>
              </w:rPr>
              <w:t>Equity Tier</w:t>
            </w:r>
            <w:r>
              <w:rPr>
                <w:spacing w:val="-1"/>
                <w:sz w:val="18"/>
              </w:rPr>
              <w:t> </w:t>
            </w:r>
            <w:r>
              <w:rPr>
                <w:sz w:val="18"/>
              </w:rPr>
              <w:t>1 Risk-Based </w:t>
            </w:r>
            <w:r>
              <w:rPr>
                <w:spacing w:val="-2"/>
                <w:sz w:val="18"/>
              </w:rPr>
              <w:t>Capital</w:t>
            </w:r>
          </w:p>
        </w:tc>
        <w:tc>
          <w:tcPr>
            <w:tcW w:w="1601" w:type="dxa"/>
            <w:shd w:val="clear" w:color="auto" w:fill="CCEDFF"/>
          </w:tcPr>
          <w:p>
            <w:pPr>
              <w:pStyle w:val="TableParagraph"/>
              <w:spacing w:before="18"/>
              <w:ind w:right="246"/>
              <w:jc w:val="right"/>
              <w:rPr>
                <w:sz w:val="18"/>
              </w:rPr>
            </w:pPr>
            <w:r>
              <w:rPr>
                <w:sz w:val="18"/>
              </w:rPr>
              <w:t>$</w:t>
            </w:r>
            <w:r>
              <w:rPr>
                <w:spacing w:val="48"/>
                <w:sz w:val="18"/>
              </w:rPr>
              <w:t>  </w:t>
            </w:r>
            <w:r>
              <w:rPr>
                <w:spacing w:val="-2"/>
                <w:sz w:val="18"/>
              </w:rPr>
              <w:t>27,296</w:t>
            </w:r>
          </w:p>
        </w:tc>
        <w:tc>
          <w:tcPr>
            <w:tcW w:w="815" w:type="dxa"/>
            <w:shd w:val="clear" w:color="auto" w:fill="CCEDFF"/>
          </w:tcPr>
          <w:p>
            <w:pPr>
              <w:pStyle w:val="TableParagraph"/>
              <w:spacing w:before="18"/>
              <w:ind w:right="101"/>
              <w:jc w:val="right"/>
              <w:rPr>
                <w:sz w:val="18"/>
              </w:rPr>
            </w:pPr>
            <w:r>
              <w:rPr>
                <w:spacing w:val="-2"/>
                <w:sz w:val="18"/>
              </w:rPr>
              <w:t>27.4%</w:t>
            </w:r>
          </w:p>
        </w:tc>
        <w:tc>
          <w:tcPr>
            <w:tcW w:w="1134" w:type="dxa"/>
            <w:shd w:val="clear" w:color="auto" w:fill="CCEDFF"/>
          </w:tcPr>
          <w:p>
            <w:pPr>
              <w:pStyle w:val="TableParagraph"/>
              <w:tabs>
                <w:tab w:pos="367" w:val="left" w:leader="none"/>
              </w:tabs>
              <w:spacing w:before="18"/>
              <w:ind w:right="260"/>
              <w:jc w:val="right"/>
              <w:rPr>
                <w:sz w:val="18"/>
              </w:rPr>
            </w:pPr>
            <w:r>
              <w:rPr>
                <w:spacing w:val="-10"/>
                <w:sz w:val="18"/>
              </w:rPr>
              <w:t>$</w:t>
            </w:r>
            <w:r>
              <w:rPr>
                <w:sz w:val="18"/>
              </w:rPr>
              <w:tab/>
            </w:r>
            <w:r>
              <w:rPr>
                <w:spacing w:val="-2"/>
                <w:sz w:val="18"/>
              </w:rPr>
              <w:t>6,476</w:t>
            </w:r>
          </w:p>
        </w:tc>
        <w:tc>
          <w:tcPr>
            <w:tcW w:w="804" w:type="dxa"/>
            <w:shd w:val="clear" w:color="auto" w:fill="CCEDFF"/>
          </w:tcPr>
          <w:p>
            <w:pPr>
              <w:pStyle w:val="TableParagraph"/>
              <w:spacing w:before="18"/>
              <w:ind w:left="215"/>
              <w:jc w:val="center"/>
              <w:rPr>
                <w:sz w:val="18"/>
              </w:rPr>
            </w:pPr>
            <w:r>
              <w:rPr>
                <w:spacing w:val="-4"/>
                <w:sz w:val="18"/>
              </w:rPr>
              <w:t>6.5%</w:t>
            </w:r>
          </w:p>
        </w:tc>
        <w:tc>
          <w:tcPr>
            <w:tcW w:w="1168" w:type="dxa"/>
            <w:shd w:val="clear" w:color="auto" w:fill="CCEDFF"/>
          </w:tcPr>
          <w:p>
            <w:pPr>
              <w:pStyle w:val="TableParagraph"/>
              <w:tabs>
                <w:tab w:pos="367" w:val="left" w:leader="none"/>
              </w:tabs>
              <w:spacing w:before="18"/>
              <w:ind w:right="297"/>
              <w:jc w:val="right"/>
              <w:rPr>
                <w:sz w:val="18"/>
              </w:rPr>
            </w:pPr>
            <w:r>
              <w:rPr>
                <w:spacing w:val="-10"/>
                <w:sz w:val="18"/>
              </w:rPr>
              <w:t>$</w:t>
            </w:r>
            <w:r>
              <w:rPr>
                <w:sz w:val="18"/>
              </w:rPr>
              <w:tab/>
            </w:r>
            <w:r>
              <w:rPr>
                <w:spacing w:val="-2"/>
                <w:sz w:val="18"/>
              </w:rPr>
              <w:t>4,483</w:t>
            </w:r>
          </w:p>
        </w:tc>
        <w:tc>
          <w:tcPr>
            <w:tcW w:w="744" w:type="dxa"/>
            <w:shd w:val="clear" w:color="auto" w:fill="CCEDFF"/>
          </w:tcPr>
          <w:p>
            <w:pPr>
              <w:pStyle w:val="TableParagraph"/>
              <w:spacing w:before="18"/>
              <w:ind w:right="81"/>
              <w:jc w:val="right"/>
              <w:rPr>
                <w:sz w:val="18"/>
              </w:rPr>
            </w:pPr>
            <w:r>
              <w:rPr>
                <w:spacing w:val="-4"/>
                <w:sz w:val="18"/>
              </w:rPr>
              <w:t>4.5%</w:t>
            </w:r>
          </w:p>
        </w:tc>
      </w:tr>
      <w:tr>
        <w:trPr>
          <w:trHeight w:val="255" w:hRule="atLeast"/>
        </w:trPr>
        <w:tc>
          <w:tcPr>
            <w:tcW w:w="3988" w:type="dxa"/>
          </w:tcPr>
          <w:p>
            <w:pPr>
              <w:pStyle w:val="TableParagraph"/>
              <w:spacing w:before="13"/>
              <w:ind w:left="292"/>
              <w:rPr>
                <w:sz w:val="18"/>
              </w:rPr>
            </w:pPr>
            <w:r>
              <w:rPr>
                <w:sz w:val="18"/>
              </w:rPr>
              <w:t>Tier</w:t>
            </w:r>
            <w:r>
              <w:rPr>
                <w:spacing w:val="-1"/>
                <w:sz w:val="18"/>
              </w:rPr>
              <w:t> </w:t>
            </w:r>
            <w:r>
              <w:rPr>
                <w:sz w:val="18"/>
              </w:rPr>
              <w:t>1</w:t>
            </w:r>
            <w:r>
              <w:rPr>
                <w:spacing w:val="-1"/>
                <w:sz w:val="18"/>
              </w:rPr>
              <w:t> </w:t>
            </w:r>
            <w:r>
              <w:rPr>
                <w:sz w:val="18"/>
              </w:rPr>
              <w:t>Risk-Based </w:t>
            </w:r>
            <w:r>
              <w:rPr>
                <w:spacing w:val="-2"/>
                <w:sz w:val="18"/>
              </w:rPr>
              <w:t>Capital</w:t>
            </w:r>
          </w:p>
        </w:tc>
        <w:tc>
          <w:tcPr>
            <w:tcW w:w="1601" w:type="dxa"/>
          </w:tcPr>
          <w:p>
            <w:pPr>
              <w:pStyle w:val="TableParagraph"/>
              <w:spacing w:before="13"/>
              <w:ind w:right="246"/>
              <w:jc w:val="right"/>
              <w:rPr>
                <w:sz w:val="18"/>
              </w:rPr>
            </w:pPr>
            <w:r>
              <w:rPr>
                <w:spacing w:val="-2"/>
                <w:sz w:val="18"/>
              </w:rPr>
              <w:t>27,296</w:t>
            </w:r>
          </w:p>
        </w:tc>
        <w:tc>
          <w:tcPr>
            <w:tcW w:w="815" w:type="dxa"/>
          </w:tcPr>
          <w:p>
            <w:pPr>
              <w:pStyle w:val="TableParagraph"/>
              <w:spacing w:before="13"/>
              <w:ind w:right="101"/>
              <w:jc w:val="right"/>
              <w:rPr>
                <w:sz w:val="18"/>
              </w:rPr>
            </w:pPr>
            <w:r>
              <w:rPr>
                <w:spacing w:val="-2"/>
                <w:sz w:val="18"/>
              </w:rPr>
              <w:t>27.4%</w:t>
            </w:r>
          </w:p>
        </w:tc>
        <w:tc>
          <w:tcPr>
            <w:tcW w:w="1134" w:type="dxa"/>
          </w:tcPr>
          <w:p>
            <w:pPr>
              <w:pStyle w:val="TableParagraph"/>
              <w:spacing w:before="13"/>
              <w:ind w:right="260"/>
              <w:jc w:val="right"/>
              <w:rPr>
                <w:sz w:val="18"/>
              </w:rPr>
            </w:pPr>
            <w:r>
              <w:rPr>
                <w:spacing w:val="-2"/>
                <w:sz w:val="18"/>
              </w:rPr>
              <w:t>7,970</w:t>
            </w:r>
          </w:p>
        </w:tc>
        <w:tc>
          <w:tcPr>
            <w:tcW w:w="804" w:type="dxa"/>
          </w:tcPr>
          <w:p>
            <w:pPr>
              <w:pStyle w:val="TableParagraph"/>
              <w:spacing w:before="13"/>
              <w:ind w:left="215"/>
              <w:jc w:val="center"/>
              <w:rPr>
                <w:sz w:val="18"/>
              </w:rPr>
            </w:pPr>
            <w:r>
              <w:rPr>
                <w:spacing w:val="-4"/>
                <w:sz w:val="18"/>
              </w:rPr>
              <w:t>8.0%</w:t>
            </w:r>
          </w:p>
        </w:tc>
        <w:tc>
          <w:tcPr>
            <w:tcW w:w="1168" w:type="dxa"/>
          </w:tcPr>
          <w:p>
            <w:pPr>
              <w:pStyle w:val="TableParagraph"/>
              <w:spacing w:before="13"/>
              <w:ind w:right="297"/>
              <w:jc w:val="right"/>
              <w:rPr>
                <w:sz w:val="18"/>
              </w:rPr>
            </w:pPr>
            <w:r>
              <w:rPr>
                <w:spacing w:val="-2"/>
                <w:sz w:val="18"/>
              </w:rPr>
              <w:t>5,978</w:t>
            </w:r>
          </w:p>
        </w:tc>
        <w:tc>
          <w:tcPr>
            <w:tcW w:w="744" w:type="dxa"/>
          </w:tcPr>
          <w:p>
            <w:pPr>
              <w:pStyle w:val="TableParagraph"/>
              <w:spacing w:before="13"/>
              <w:ind w:right="81"/>
              <w:jc w:val="right"/>
              <w:rPr>
                <w:sz w:val="18"/>
              </w:rPr>
            </w:pPr>
            <w:r>
              <w:rPr>
                <w:spacing w:val="-4"/>
                <w:sz w:val="18"/>
              </w:rPr>
              <w:t>6.0%</w:t>
            </w:r>
          </w:p>
        </w:tc>
      </w:tr>
      <w:tr>
        <w:trPr>
          <w:trHeight w:val="255" w:hRule="atLeast"/>
        </w:trPr>
        <w:tc>
          <w:tcPr>
            <w:tcW w:w="3988" w:type="dxa"/>
            <w:shd w:val="clear" w:color="auto" w:fill="CCEDFF"/>
          </w:tcPr>
          <w:p>
            <w:pPr>
              <w:pStyle w:val="TableParagraph"/>
              <w:spacing w:before="18"/>
              <w:ind w:left="292"/>
              <w:rPr>
                <w:sz w:val="18"/>
              </w:rPr>
            </w:pPr>
            <w:r>
              <w:rPr>
                <w:sz w:val="18"/>
              </w:rPr>
              <w:t>Total</w:t>
            </w:r>
            <w:r>
              <w:rPr>
                <w:spacing w:val="-1"/>
                <w:sz w:val="18"/>
              </w:rPr>
              <w:t> </w:t>
            </w:r>
            <w:r>
              <w:rPr>
                <w:sz w:val="18"/>
              </w:rPr>
              <w:t>Risk-Based</w:t>
            </w:r>
            <w:r>
              <w:rPr>
                <w:spacing w:val="-1"/>
                <w:sz w:val="18"/>
              </w:rPr>
              <w:t> </w:t>
            </w:r>
            <w:r>
              <w:rPr>
                <w:spacing w:val="-2"/>
                <w:sz w:val="18"/>
              </w:rPr>
              <w:t>Capital</w:t>
            </w:r>
          </w:p>
        </w:tc>
        <w:tc>
          <w:tcPr>
            <w:tcW w:w="1601" w:type="dxa"/>
            <w:shd w:val="clear" w:color="auto" w:fill="CCEDFF"/>
          </w:tcPr>
          <w:p>
            <w:pPr>
              <w:pStyle w:val="TableParagraph"/>
              <w:spacing w:before="18"/>
              <w:ind w:right="246"/>
              <w:jc w:val="right"/>
              <w:rPr>
                <w:sz w:val="18"/>
              </w:rPr>
            </w:pPr>
            <w:r>
              <w:rPr>
                <w:spacing w:val="-2"/>
                <w:sz w:val="18"/>
              </w:rPr>
              <w:t>27,370</w:t>
            </w:r>
          </w:p>
        </w:tc>
        <w:tc>
          <w:tcPr>
            <w:tcW w:w="815" w:type="dxa"/>
            <w:shd w:val="clear" w:color="auto" w:fill="CCEDFF"/>
          </w:tcPr>
          <w:p>
            <w:pPr>
              <w:pStyle w:val="TableParagraph"/>
              <w:spacing w:before="18"/>
              <w:ind w:right="101"/>
              <w:jc w:val="right"/>
              <w:rPr>
                <w:sz w:val="18"/>
              </w:rPr>
            </w:pPr>
            <w:r>
              <w:rPr>
                <w:spacing w:val="-2"/>
                <w:sz w:val="18"/>
              </w:rPr>
              <w:t>27.5%</w:t>
            </w:r>
          </w:p>
        </w:tc>
        <w:tc>
          <w:tcPr>
            <w:tcW w:w="1134" w:type="dxa"/>
            <w:shd w:val="clear" w:color="auto" w:fill="CCEDFF"/>
          </w:tcPr>
          <w:p>
            <w:pPr>
              <w:pStyle w:val="TableParagraph"/>
              <w:spacing w:before="18"/>
              <w:ind w:right="260"/>
              <w:jc w:val="right"/>
              <w:rPr>
                <w:sz w:val="18"/>
              </w:rPr>
            </w:pPr>
            <w:r>
              <w:rPr>
                <w:spacing w:val="-2"/>
                <w:sz w:val="18"/>
              </w:rPr>
              <w:t>9,963</w:t>
            </w:r>
          </w:p>
        </w:tc>
        <w:tc>
          <w:tcPr>
            <w:tcW w:w="804" w:type="dxa"/>
            <w:shd w:val="clear" w:color="auto" w:fill="CCEDFF"/>
          </w:tcPr>
          <w:p>
            <w:pPr>
              <w:pStyle w:val="TableParagraph"/>
              <w:spacing w:before="18"/>
              <w:ind w:left="215" w:right="90"/>
              <w:jc w:val="center"/>
              <w:rPr>
                <w:sz w:val="18"/>
              </w:rPr>
            </w:pPr>
            <w:r>
              <w:rPr>
                <w:spacing w:val="-2"/>
                <w:sz w:val="18"/>
              </w:rPr>
              <w:t>10.0%</w:t>
            </w:r>
          </w:p>
        </w:tc>
        <w:tc>
          <w:tcPr>
            <w:tcW w:w="1168" w:type="dxa"/>
            <w:shd w:val="clear" w:color="auto" w:fill="CCEDFF"/>
          </w:tcPr>
          <w:p>
            <w:pPr>
              <w:pStyle w:val="TableParagraph"/>
              <w:spacing w:before="18"/>
              <w:ind w:right="297"/>
              <w:jc w:val="right"/>
              <w:rPr>
                <w:sz w:val="18"/>
              </w:rPr>
            </w:pPr>
            <w:r>
              <w:rPr>
                <w:spacing w:val="-2"/>
                <w:sz w:val="18"/>
              </w:rPr>
              <w:t>7,970</w:t>
            </w:r>
          </w:p>
        </w:tc>
        <w:tc>
          <w:tcPr>
            <w:tcW w:w="744" w:type="dxa"/>
            <w:shd w:val="clear" w:color="auto" w:fill="CCEDFF"/>
          </w:tcPr>
          <w:p>
            <w:pPr>
              <w:pStyle w:val="TableParagraph"/>
              <w:spacing w:before="18"/>
              <w:ind w:right="81"/>
              <w:jc w:val="right"/>
              <w:rPr>
                <w:sz w:val="18"/>
              </w:rPr>
            </w:pPr>
            <w:r>
              <w:rPr>
                <w:spacing w:val="-4"/>
                <w:sz w:val="18"/>
              </w:rPr>
              <w:t>8.0%</w:t>
            </w:r>
          </w:p>
        </w:tc>
      </w:tr>
      <w:tr>
        <w:trPr>
          <w:trHeight w:val="255" w:hRule="atLeast"/>
        </w:trPr>
        <w:tc>
          <w:tcPr>
            <w:tcW w:w="3988" w:type="dxa"/>
          </w:tcPr>
          <w:p>
            <w:pPr>
              <w:pStyle w:val="TableParagraph"/>
              <w:spacing w:before="13"/>
              <w:ind w:left="292"/>
              <w:rPr>
                <w:sz w:val="18"/>
              </w:rPr>
            </w:pPr>
            <w:r>
              <w:rPr>
                <w:sz w:val="18"/>
              </w:rPr>
              <w:t>Tier 1 </w:t>
            </w:r>
            <w:r>
              <w:rPr>
                <w:spacing w:val="-2"/>
                <w:sz w:val="18"/>
              </w:rPr>
              <w:t>Leverage</w:t>
            </w:r>
          </w:p>
        </w:tc>
        <w:tc>
          <w:tcPr>
            <w:tcW w:w="1601" w:type="dxa"/>
          </w:tcPr>
          <w:p>
            <w:pPr>
              <w:pStyle w:val="TableParagraph"/>
              <w:spacing w:before="13"/>
              <w:ind w:right="246"/>
              <w:jc w:val="right"/>
              <w:rPr>
                <w:sz w:val="18"/>
              </w:rPr>
            </w:pPr>
            <w:r>
              <w:rPr>
                <w:spacing w:val="-2"/>
                <w:sz w:val="18"/>
              </w:rPr>
              <w:t>27,296</w:t>
            </w:r>
          </w:p>
        </w:tc>
        <w:tc>
          <w:tcPr>
            <w:tcW w:w="815" w:type="dxa"/>
          </w:tcPr>
          <w:p>
            <w:pPr>
              <w:pStyle w:val="TableParagraph"/>
              <w:spacing w:before="13"/>
              <w:ind w:right="101"/>
              <w:jc w:val="right"/>
              <w:rPr>
                <w:sz w:val="18"/>
              </w:rPr>
            </w:pPr>
            <w:r>
              <w:rPr>
                <w:spacing w:val="-4"/>
                <w:sz w:val="18"/>
              </w:rPr>
              <w:t>7.3%</w:t>
            </w:r>
          </w:p>
        </w:tc>
        <w:tc>
          <w:tcPr>
            <w:tcW w:w="1134" w:type="dxa"/>
          </w:tcPr>
          <w:p>
            <w:pPr>
              <w:pStyle w:val="TableParagraph"/>
              <w:spacing w:before="13"/>
              <w:ind w:right="260"/>
              <w:jc w:val="right"/>
              <w:rPr>
                <w:sz w:val="18"/>
              </w:rPr>
            </w:pPr>
            <w:r>
              <w:rPr>
                <w:spacing w:val="-2"/>
                <w:sz w:val="18"/>
              </w:rPr>
              <w:t>18,640</w:t>
            </w:r>
          </w:p>
        </w:tc>
        <w:tc>
          <w:tcPr>
            <w:tcW w:w="804" w:type="dxa"/>
          </w:tcPr>
          <w:p>
            <w:pPr>
              <w:pStyle w:val="TableParagraph"/>
              <w:spacing w:before="13"/>
              <w:ind w:left="215"/>
              <w:jc w:val="center"/>
              <w:rPr>
                <w:sz w:val="18"/>
              </w:rPr>
            </w:pPr>
            <w:r>
              <w:rPr>
                <w:spacing w:val="-4"/>
                <w:sz w:val="18"/>
              </w:rPr>
              <w:t>5.0%</w:t>
            </w:r>
          </w:p>
        </w:tc>
        <w:tc>
          <w:tcPr>
            <w:tcW w:w="1168" w:type="dxa"/>
          </w:tcPr>
          <w:p>
            <w:pPr>
              <w:pStyle w:val="TableParagraph"/>
              <w:spacing w:before="13"/>
              <w:ind w:right="297"/>
              <w:jc w:val="right"/>
              <w:rPr>
                <w:sz w:val="18"/>
              </w:rPr>
            </w:pPr>
            <w:r>
              <w:rPr>
                <w:spacing w:val="-2"/>
                <w:sz w:val="18"/>
              </w:rPr>
              <w:t>14,912</w:t>
            </w:r>
          </w:p>
        </w:tc>
        <w:tc>
          <w:tcPr>
            <w:tcW w:w="744" w:type="dxa"/>
          </w:tcPr>
          <w:p>
            <w:pPr>
              <w:pStyle w:val="TableParagraph"/>
              <w:spacing w:before="13"/>
              <w:ind w:right="81"/>
              <w:jc w:val="right"/>
              <w:rPr>
                <w:sz w:val="18"/>
              </w:rPr>
            </w:pPr>
            <w:r>
              <w:rPr>
                <w:spacing w:val="-4"/>
                <w:sz w:val="18"/>
              </w:rPr>
              <w:t>4.0%</w:t>
            </w:r>
          </w:p>
        </w:tc>
      </w:tr>
      <w:tr>
        <w:trPr>
          <w:trHeight w:val="250" w:hRule="atLeast"/>
        </w:trPr>
        <w:tc>
          <w:tcPr>
            <w:tcW w:w="3988" w:type="dxa"/>
            <w:tcBorders>
              <w:bottom w:val="single" w:sz="4" w:space="0" w:color="000000"/>
            </w:tcBorders>
            <w:shd w:val="clear" w:color="auto" w:fill="CCEDFF"/>
          </w:tcPr>
          <w:p>
            <w:pPr>
              <w:pStyle w:val="TableParagraph"/>
              <w:spacing w:before="18"/>
              <w:ind w:left="292"/>
              <w:rPr>
                <w:sz w:val="18"/>
              </w:rPr>
            </w:pPr>
            <w:r>
              <w:rPr>
                <w:sz w:val="18"/>
              </w:rPr>
              <w:t>Supplementary</w:t>
            </w:r>
            <w:r>
              <w:rPr>
                <w:spacing w:val="-1"/>
                <w:sz w:val="18"/>
              </w:rPr>
              <w:t> </w:t>
            </w:r>
            <w:r>
              <w:rPr>
                <w:sz w:val="18"/>
              </w:rPr>
              <w:t>Leverage </w:t>
            </w:r>
            <w:r>
              <w:rPr>
                <w:spacing w:val="-2"/>
                <w:sz w:val="18"/>
              </w:rPr>
              <w:t>Ratio</w:t>
            </w:r>
          </w:p>
        </w:tc>
        <w:tc>
          <w:tcPr>
            <w:tcW w:w="1601" w:type="dxa"/>
            <w:tcBorders>
              <w:bottom w:val="single" w:sz="4" w:space="0" w:color="000000"/>
            </w:tcBorders>
            <w:shd w:val="clear" w:color="auto" w:fill="CCEDFF"/>
          </w:tcPr>
          <w:p>
            <w:pPr>
              <w:pStyle w:val="TableParagraph"/>
              <w:spacing w:before="18"/>
              <w:ind w:right="246"/>
              <w:jc w:val="right"/>
              <w:rPr>
                <w:sz w:val="18"/>
              </w:rPr>
            </w:pPr>
            <w:r>
              <w:rPr>
                <w:spacing w:val="-2"/>
                <w:sz w:val="18"/>
              </w:rPr>
              <w:t>27,296</w:t>
            </w:r>
          </w:p>
        </w:tc>
        <w:tc>
          <w:tcPr>
            <w:tcW w:w="815" w:type="dxa"/>
            <w:tcBorders>
              <w:bottom w:val="single" w:sz="4" w:space="0" w:color="000000"/>
            </w:tcBorders>
            <w:shd w:val="clear" w:color="auto" w:fill="CCEDFF"/>
          </w:tcPr>
          <w:p>
            <w:pPr>
              <w:pStyle w:val="TableParagraph"/>
              <w:spacing w:before="18"/>
              <w:ind w:right="101"/>
              <w:jc w:val="right"/>
              <w:rPr>
                <w:sz w:val="18"/>
              </w:rPr>
            </w:pPr>
            <w:r>
              <w:rPr>
                <w:spacing w:val="-4"/>
                <w:sz w:val="18"/>
              </w:rPr>
              <w:t>7.3%</w:t>
            </w:r>
          </w:p>
        </w:tc>
        <w:tc>
          <w:tcPr>
            <w:tcW w:w="1134" w:type="dxa"/>
            <w:tcBorders>
              <w:bottom w:val="single" w:sz="4" w:space="0" w:color="000000"/>
            </w:tcBorders>
            <w:shd w:val="clear" w:color="auto" w:fill="CCEDFF"/>
          </w:tcPr>
          <w:p>
            <w:pPr>
              <w:pStyle w:val="TableParagraph"/>
              <w:spacing w:before="18"/>
              <w:ind w:right="238"/>
              <w:jc w:val="right"/>
              <w:rPr>
                <w:sz w:val="18"/>
              </w:rPr>
            </w:pPr>
            <w:r>
              <w:rPr>
                <w:spacing w:val="-5"/>
                <w:sz w:val="18"/>
              </w:rPr>
              <w:t>N/A</w:t>
            </w:r>
          </w:p>
        </w:tc>
        <w:tc>
          <w:tcPr>
            <w:tcW w:w="804" w:type="dxa"/>
            <w:tcBorders>
              <w:bottom w:val="single" w:sz="4" w:space="0" w:color="000000"/>
            </w:tcBorders>
            <w:shd w:val="clear" w:color="auto" w:fill="CCEDFF"/>
          </w:tcPr>
          <w:p>
            <w:pPr>
              <w:pStyle w:val="TableParagraph"/>
              <w:rPr>
                <w:sz w:val="16"/>
              </w:rPr>
            </w:pPr>
          </w:p>
        </w:tc>
        <w:tc>
          <w:tcPr>
            <w:tcW w:w="1168" w:type="dxa"/>
            <w:tcBorders>
              <w:bottom w:val="single" w:sz="4" w:space="0" w:color="000000"/>
            </w:tcBorders>
            <w:shd w:val="clear" w:color="auto" w:fill="CCEDFF"/>
          </w:tcPr>
          <w:p>
            <w:pPr>
              <w:pStyle w:val="TableParagraph"/>
              <w:spacing w:before="18"/>
              <w:ind w:right="297"/>
              <w:jc w:val="right"/>
              <w:rPr>
                <w:sz w:val="18"/>
              </w:rPr>
            </w:pPr>
            <w:r>
              <w:rPr>
                <w:spacing w:val="-2"/>
                <w:sz w:val="18"/>
              </w:rPr>
              <w:t>11,275</w:t>
            </w:r>
          </w:p>
        </w:tc>
        <w:tc>
          <w:tcPr>
            <w:tcW w:w="744" w:type="dxa"/>
            <w:tcBorders>
              <w:bottom w:val="single" w:sz="4" w:space="0" w:color="000000"/>
            </w:tcBorders>
            <w:shd w:val="clear" w:color="auto" w:fill="CCEDFF"/>
          </w:tcPr>
          <w:p>
            <w:pPr>
              <w:pStyle w:val="TableParagraph"/>
              <w:spacing w:before="18"/>
              <w:ind w:right="81"/>
              <w:jc w:val="right"/>
              <w:rPr>
                <w:sz w:val="18"/>
              </w:rPr>
            </w:pPr>
            <w:r>
              <w:rPr>
                <w:spacing w:val="-4"/>
                <w:sz w:val="18"/>
              </w:rPr>
              <w:t>3.0%</w:t>
            </w:r>
          </w:p>
        </w:tc>
      </w:tr>
    </w:tbl>
    <w:p>
      <w:pPr>
        <w:spacing w:line="249" w:lineRule="auto" w:before="56"/>
        <w:ind w:left="650" w:right="500" w:hanging="180"/>
        <w:jc w:val="left"/>
        <w:rPr>
          <w:sz w:val="16"/>
        </w:rPr>
      </w:pPr>
      <w:r>
        <w:rPr>
          <w:sz w:val="16"/>
          <w:vertAlign w:val="superscript"/>
        </w:rPr>
        <w:t>(1)</w:t>
      </w:r>
      <w:r>
        <w:rPr>
          <w:spacing w:val="-15"/>
          <w:sz w:val="16"/>
          <w:vertAlign w:val="baseline"/>
        </w:rPr>
        <w:t> </w:t>
      </w:r>
      <w:r>
        <w:rPr>
          <w:sz w:val="16"/>
          <w:vertAlign w:val="baseline"/>
        </w:rPr>
        <w:t>Under risk-based capital rules, CSC and CSB are also required to maintain additional capital buffers</w:t>
      </w:r>
      <w:r>
        <w:rPr>
          <w:spacing w:val="-1"/>
          <w:sz w:val="16"/>
          <w:vertAlign w:val="baseline"/>
        </w:rPr>
        <w:t> </w:t>
      </w:r>
      <w:r>
        <w:rPr>
          <w:sz w:val="16"/>
          <w:vertAlign w:val="baseline"/>
        </w:rPr>
        <w:t>above the regulatory minimum risk-based capital ratios.</w:t>
      </w:r>
      <w:r>
        <w:rPr>
          <w:spacing w:val="40"/>
          <w:sz w:val="16"/>
          <w:vertAlign w:val="baseline"/>
        </w:rPr>
        <w:t> </w:t>
      </w:r>
      <w:r>
        <w:rPr>
          <w:sz w:val="16"/>
          <w:vertAlign w:val="baseline"/>
        </w:rPr>
        <w:t>As</w:t>
      </w:r>
      <w:r>
        <w:rPr>
          <w:spacing w:val="-3"/>
          <w:sz w:val="16"/>
          <w:vertAlign w:val="baseline"/>
        </w:rPr>
        <w:t> </w:t>
      </w:r>
      <w:r>
        <w:rPr>
          <w:sz w:val="16"/>
          <w:vertAlign w:val="baseline"/>
        </w:rPr>
        <w:t>of</w:t>
      </w:r>
      <w:r>
        <w:rPr>
          <w:spacing w:val="-3"/>
          <w:sz w:val="16"/>
          <w:vertAlign w:val="baseline"/>
        </w:rPr>
        <w:t> </w:t>
      </w:r>
      <w:r>
        <w:rPr>
          <w:sz w:val="16"/>
          <w:vertAlign w:val="baseline"/>
        </w:rPr>
        <w:t>September</w:t>
      </w:r>
      <w:r>
        <w:rPr>
          <w:spacing w:val="-2"/>
          <w:sz w:val="16"/>
          <w:vertAlign w:val="baseline"/>
        </w:rPr>
        <w:t> </w:t>
      </w:r>
      <w:r>
        <w:rPr>
          <w:sz w:val="16"/>
          <w:vertAlign w:val="baseline"/>
        </w:rPr>
        <w:t>30,</w:t>
      </w:r>
      <w:r>
        <w:rPr>
          <w:spacing w:val="-2"/>
          <w:sz w:val="16"/>
          <w:vertAlign w:val="baseline"/>
        </w:rPr>
        <w:t> </w:t>
      </w:r>
      <w:r>
        <w:rPr>
          <w:sz w:val="16"/>
          <w:vertAlign w:val="baseline"/>
        </w:rPr>
        <w:t>2023,</w:t>
      </w:r>
      <w:r>
        <w:rPr>
          <w:spacing w:val="-2"/>
          <w:sz w:val="16"/>
          <w:vertAlign w:val="baseline"/>
        </w:rPr>
        <w:t> </w:t>
      </w:r>
      <w:r>
        <w:rPr>
          <w:sz w:val="16"/>
          <w:vertAlign w:val="baseline"/>
        </w:rPr>
        <w:t>CSC</w:t>
      </w:r>
      <w:r>
        <w:rPr>
          <w:spacing w:val="-2"/>
          <w:sz w:val="16"/>
          <w:vertAlign w:val="baseline"/>
        </w:rPr>
        <w:t> </w:t>
      </w:r>
      <w:r>
        <w:rPr>
          <w:sz w:val="16"/>
          <w:vertAlign w:val="baseline"/>
        </w:rPr>
        <w:t>was</w:t>
      </w:r>
      <w:r>
        <w:rPr>
          <w:spacing w:val="-3"/>
          <w:sz w:val="16"/>
          <w:vertAlign w:val="baseline"/>
        </w:rPr>
        <w:t> </w:t>
      </w:r>
      <w:r>
        <w:rPr>
          <w:sz w:val="16"/>
          <w:vertAlign w:val="baseline"/>
        </w:rPr>
        <w:t>subject</w:t>
      </w:r>
      <w:r>
        <w:rPr>
          <w:spacing w:val="-2"/>
          <w:sz w:val="16"/>
          <w:vertAlign w:val="baseline"/>
        </w:rPr>
        <w:t> </w:t>
      </w:r>
      <w:r>
        <w:rPr>
          <w:sz w:val="16"/>
          <w:vertAlign w:val="baseline"/>
        </w:rPr>
        <w:t>to</w:t>
      </w:r>
      <w:r>
        <w:rPr>
          <w:spacing w:val="-2"/>
          <w:sz w:val="16"/>
          <w:vertAlign w:val="baseline"/>
        </w:rPr>
        <w:t> </w:t>
      </w:r>
      <w:r>
        <w:rPr>
          <w:sz w:val="16"/>
          <w:vertAlign w:val="baseline"/>
        </w:rPr>
        <w:t>a</w:t>
      </w:r>
      <w:r>
        <w:rPr>
          <w:spacing w:val="-2"/>
          <w:sz w:val="16"/>
          <w:vertAlign w:val="baseline"/>
        </w:rPr>
        <w:t> </w:t>
      </w:r>
      <w:r>
        <w:rPr>
          <w:sz w:val="16"/>
          <w:vertAlign w:val="baseline"/>
        </w:rPr>
        <w:t>stress</w:t>
      </w:r>
      <w:r>
        <w:rPr>
          <w:spacing w:val="-3"/>
          <w:sz w:val="16"/>
          <w:vertAlign w:val="baseline"/>
        </w:rPr>
        <w:t> </w:t>
      </w:r>
      <w:r>
        <w:rPr>
          <w:sz w:val="16"/>
          <w:vertAlign w:val="baseline"/>
        </w:rPr>
        <w:t>capital</w:t>
      </w:r>
      <w:r>
        <w:rPr>
          <w:spacing w:val="-2"/>
          <w:sz w:val="16"/>
          <w:vertAlign w:val="baseline"/>
        </w:rPr>
        <w:t> </w:t>
      </w:r>
      <w:r>
        <w:rPr>
          <w:sz w:val="16"/>
          <w:vertAlign w:val="baseline"/>
        </w:rPr>
        <w:t>buffer</w:t>
      </w:r>
      <w:r>
        <w:rPr>
          <w:spacing w:val="-2"/>
          <w:sz w:val="16"/>
          <w:vertAlign w:val="baseline"/>
        </w:rPr>
        <w:t> </w:t>
      </w:r>
      <w:r>
        <w:rPr>
          <w:sz w:val="16"/>
          <w:vertAlign w:val="baseline"/>
        </w:rPr>
        <w:t>of</w:t>
      </w:r>
      <w:r>
        <w:rPr>
          <w:spacing w:val="-2"/>
          <w:sz w:val="16"/>
          <w:vertAlign w:val="baseline"/>
        </w:rPr>
        <w:t> </w:t>
      </w:r>
      <w:r>
        <w:rPr>
          <w:sz w:val="16"/>
          <w:vertAlign w:val="baseline"/>
        </w:rPr>
        <w:t>2.5%.</w:t>
      </w:r>
      <w:r>
        <w:rPr>
          <w:spacing w:val="-2"/>
          <w:sz w:val="16"/>
          <w:vertAlign w:val="baseline"/>
        </w:rPr>
        <w:t> </w:t>
      </w:r>
      <w:r>
        <w:rPr>
          <w:sz w:val="16"/>
          <w:vertAlign w:val="baseline"/>
        </w:rPr>
        <w:t>In</w:t>
      </w:r>
      <w:r>
        <w:rPr>
          <w:spacing w:val="-2"/>
          <w:sz w:val="16"/>
          <w:vertAlign w:val="baseline"/>
        </w:rPr>
        <w:t> </w:t>
      </w:r>
      <w:r>
        <w:rPr>
          <w:sz w:val="16"/>
          <w:vertAlign w:val="baseline"/>
        </w:rPr>
        <w:t>addition,</w:t>
      </w:r>
      <w:r>
        <w:rPr>
          <w:spacing w:val="-2"/>
          <w:sz w:val="16"/>
          <w:vertAlign w:val="baseline"/>
        </w:rPr>
        <w:t> </w:t>
      </w:r>
      <w:r>
        <w:rPr>
          <w:sz w:val="16"/>
          <w:vertAlign w:val="baseline"/>
        </w:rPr>
        <w:t>CSB</w:t>
      </w:r>
      <w:r>
        <w:rPr>
          <w:spacing w:val="-2"/>
          <w:sz w:val="16"/>
          <w:vertAlign w:val="baseline"/>
        </w:rPr>
        <w:t> </w:t>
      </w:r>
      <w:r>
        <w:rPr>
          <w:sz w:val="16"/>
          <w:vertAlign w:val="baseline"/>
        </w:rPr>
        <w:t>is</w:t>
      </w:r>
      <w:r>
        <w:rPr>
          <w:spacing w:val="-3"/>
          <w:sz w:val="16"/>
          <w:vertAlign w:val="baseline"/>
        </w:rPr>
        <w:t> </w:t>
      </w:r>
      <w:r>
        <w:rPr>
          <w:sz w:val="16"/>
          <w:vertAlign w:val="baseline"/>
        </w:rPr>
        <w:t>required</w:t>
      </w:r>
      <w:r>
        <w:rPr>
          <w:spacing w:val="-2"/>
          <w:sz w:val="16"/>
          <w:vertAlign w:val="baseline"/>
        </w:rPr>
        <w:t> </w:t>
      </w:r>
      <w:r>
        <w:rPr>
          <w:sz w:val="16"/>
          <w:vertAlign w:val="baseline"/>
        </w:rPr>
        <w:t>to</w:t>
      </w:r>
      <w:r>
        <w:rPr>
          <w:spacing w:val="-2"/>
          <w:sz w:val="16"/>
          <w:vertAlign w:val="baseline"/>
        </w:rPr>
        <w:t> </w:t>
      </w:r>
      <w:r>
        <w:rPr>
          <w:sz w:val="16"/>
          <w:vertAlign w:val="baseline"/>
        </w:rPr>
        <w:t>maintain</w:t>
      </w:r>
      <w:r>
        <w:rPr>
          <w:spacing w:val="-2"/>
          <w:sz w:val="16"/>
          <w:vertAlign w:val="baseline"/>
        </w:rPr>
        <w:t> </w:t>
      </w:r>
      <w:r>
        <w:rPr>
          <w:sz w:val="16"/>
          <w:vertAlign w:val="baseline"/>
        </w:rPr>
        <w:t>a</w:t>
      </w:r>
      <w:r>
        <w:rPr>
          <w:spacing w:val="-2"/>
          <w:sz w:val="16"/>
          <w:vertAlign w:val="baseline"/>
        </w:rPr>
        <w:t> </w:t>
      </w:r>
      <w:r>
        <w:rPr>
          <w:sz w:val="16"/>
          <w:vertAlign w:val="baseline"/>
        </w:rPr>
        <w:t>capital</w:t>
      </w:r>
      <w:r>
        <w:rPr>
          <w:spacing w:val="-2"/>
          <w:sz w:val="16"/>
          <w:vertAlign w:val="baseline"/>
        </w:rPr>
        <w:t> </w:t>
      </w:r>
      <w:r>
        <w:rPr>
          <w:sz w:val="16"/>
          <w:vertAlign w:val="baseline"/>
        </w:rPr>
        <w:t>conservation</w:t>
      </w:r>
      <w:r>
        <w:rPr>
          <w:spacing w:val="-2"/>
          <w:sz w:val="16"/>
          <w:vertAlign w:val="baseline"/>
        </w:rPr>
        <w:t> </w:t>
      </w:r>
      <w:r>
        <w:rPr>
          <w:sz w:val="16"/>
          <w:vertAlign w:val="baseline"/>
        </w:rPr>
        <w:t>buffer</w:t>
      </w:r>
      <w:r>
        <w:rPr>
          <w:spacing w:val="-2"/>
          <w:sz w:val="16"/>
          <w:vertAlign w:val="baseline"/>
        </w:rPr>
        <w:t> </w:t>
      </w:r>
      <w:r>
        <w:rPr>
          <w:sz w:val="16"/>
          <w:vertAlign w:val="baseline"/>
        </w:rPr>
        <w:t>of</w:t>
      </w:r>
      <w:r>
        <w:rPr>
          <w:spacing w:val="-2"/>
          <w:sz w:val="16"/>
          <w:vertAlign w:val="baseline"/>
        </w:rPr>
        <w:t> </w:t>
      </w:r>
      <w:r>
        <w:rPr>
          <w:sz w:val="16"/>
          <w:vertAlign w:val="baseline"/>
        </w:rPr>
        <w:t>2.5%.</w:t>
      </w:r>
      <w:r>
        <w:rPr>
          <w:spacing w:val="40"/>
          <w:sz w:val="16"/>
          <w:vertAlign w:val="baseline"/>
        </w:rPr>
        <w:t> </w:t>
      </w:r>
      <w:r>
        <w:rPr>
          <w:sz w:val="16"/>
          <w:vertAlign w:val="baseline"/>
        </w:rPr>
        <w:t>CSC</w:t>
      </w:r>
      <w:r>
        <w:rPr>
          <w:spacing w:val="-1"/>
          <w:sz w:val="16"/>
          <w:vertAlign w:val="baseline"/>
        </w:rPr>
        <w:t> </w:t>
      </w:r>
      <w:r>
        <w:rPr>
          <w:sz w:val="16"/>
          <w:vertAlign w:val="baseline"/>
        </w:rPr>
        <w:t>and</w:t>
      </w:r>
      <w:r>
        <w:rPr>
          <w:spacing w:val="-1"/>
          <w:sz w:val="16"/>
          <w:vertAlign w:val="baseline"/>
        </w:rPr>
        <w:t> </w:t>
      </w:r>
      <w:r>
        <w:rPr>
          <w:sz w:val="16"/>
          <w:vertAlign w:val="baseline"/>
        </w:rPr>
        <w:t>CSB</w:t>
      </w:r>
      <w:r>
        <w:rPr>
          <w:spacing w:val="-1"/>
          <w:sz w:val="16"/>
          <w:vertAlign w:val="baseline"/>
        </w:rPr>
        <w:t> </w:t>
      </w:r>
      <w:r>
        <w:rPr>
          <w:sz w:val="16"/>
          <w:vertAlign w:val="baseline"/>
        </w:rPr>
        <w:t>are</w:t>
      </w:r>
      <w:r>
        <w:rPr>
          <w:spacing w:val="-1"/>
          <w:sz w:val="16"/>
          <w:vertAlign w:val="baseline"/>
        </w:rPr>
        <w:t> </w:t>
      </w:r>
      <w:r>
        <w:rPr>
          <w:sz w:val="16"/>
          <w:vertAlign w:val="baseline"/>
        </w:rPr>
        <w:t>also</w:t>
      </w:r>
      <w:r>
        <w:rPr>
          <w:spacing w:val="-1"/>
          <w:sz w:val="16"/>
          <w:vertAlign w:val="baseline"/>
        </w:rPr>
        <w:t> </w:t>
      </w:r>
      <w:r>
        <w:rPr>
          <w:sz w:val="16"/>
          <w:vertAlign w:val="baseline"/>
        </w:rPr>
        <w:t>required</w:t>
      </w:r>
      <w:r>
        <w:rPr>
          <w:spacing w:val="-1"/>
          <w:sz w:val="16"/>
          <w:vertAlign w:val="baseline"/>
        </w:rPr>
        <w:t> </w:t>
      </w:r>
      <w:r>
        <w:rPr>
          <w:sz w:val="16"/>
          <w:vertAlign w:val="baseline"/>
        </w:rPr>
        <w:t>to</w:t>
      </w:r>
      <w:r>
        <w:rPr>
          <w:spacing w:val="-1"/>
          <w:sz w:val="16"/>
          <w:vertAlign w:val="baseline"/>
        </w:rPr>
        <w:t> </w:t>
      </w:r>
      <w:r>
        <w:rPr>
          <w:sz w:val="16"/>
          <w:vertAlign w:val="baseline"/>
        </w:rPr>
        <w:t>maintain</w:t>
      </w:r>
      <w:r>
        <w:rPr>
          <w:spacing w:val="-1"/>
          <w:sz w:val="16"/>
          <w:vertAlign w:val="baseline"/>
        </w:rPr>
        <w:t> </w:t>
      </w:r>
      <w:r>
        <w:rPr>
          <w:sz w:val="16"/>
          <w:vertAlign w:val="baseline"/>
        </w:rPr>
        <w:t>a</w:t>
      </w:r>
      <w:r>
        <w:rPr>
          <w:spacing w:val="-1"/>
          <w:sz w:val="16"/>
          <w:vertAlign w:val="baseline"/>
        </w:rPr>
        <w:t> </w:t>
      </w:r>
      <w:r>
        <w:rPr>
          <w:sz w:val="16"/>
          <w:vertAlign w:val="baseline"/>
        </w:rPr>
        <w:t>countercyclical</w:t>
      </w:r>
      <w:r>
        <w:rPr>
          <w:spacing w:val="-1"/>
          <w:sz w:val="16"/>
          <w:vertAlign w:val="baseline"/>
        </w:rPr>
        <w:t> </w:t>
      </w:r>
      <w:r>
        <w:rPr>
          <w:sz w:val="16"/>
          <w:vertAlign w:val="baseline"/>
        </w:rPr>
        <w:t>capital</w:t>
      </w:r>
      <w:r>
        <w:rPr>
          <w:spacing w:val="-1"/>
          <w:sz w:val="16"/>
          <w:vertAlign w:val="baseline"/>
        </w:rPr>
        <w:t> </w:t>
      </w:r>
      <w:r>
        <w:rPr>
          <w:sz w:val="16"/>
          <w:vertAlign w:val="baseline"/>
        </w:rPr>
        <w:t>buffer</w:t>
      </w:r>
      <w:r>
        <w:rPr>
          <w:spacing w:val="-1"/>
          <w:sz w:val="16"/>
          <w:vertAlign w:val="baseline"/>
        </w:rPr>
        <w:t> </w:t>
      </w:r>
      <w:r>
        <w:rPr>
          <w:sz w:val="16"/>
          <w:vertAlign w:val="baseline"/>
        </w:rPr>
        <w:t>above</w:t>
      </w:r>
      <w:r>
        <w:rPr>
          <w:spacing w:val="-1"/>
          <w:sz w:val="16"/>
          <w:vertAlign w:val="baseline"/>
        </w:rPr>
        <w:t> </w:t>
      </w:r>
      <w:r>
        <w:rPr>
          <w:sz w:val="16"/>
          <w:vertAlign w:val="baseline"/>
        </w:rPr>
        <w:t>the</w:t>
      </w:r>
      <w:r>
        <w:rPr>
          <w:spacing w:val="-1"/>
          <w:sz w:val="16"/>
          <w:vertAlign w:val="baseline"/>
        </w:rPr>
        <w:t> </w:t>
      </w:r>
      <w:r>
        <w:rPr>
          <w:sz w:val="16"/>
          <w:vertAlign w:val="baseline"/>
        </w:rPr>
        <w:t>regulatory</w:t>
      </w:r>
      <w:r>
        <w:rPr>
          <w:spacing w:val="-1"/>
          <w:sz w:val="16"/>
          <w:vertAlign w:val="baseline"/>
        </w:rPr>
        <w:t> </w:t>
      </w:r>
      <w:r>
        <w:rPr>
          <w:sz w:val="16"/>
          <w:vertAlign w:val="baseline"/>
        </w:rPr>
        <w:t>minimum</w:t>
      </w:r>
      <w:r>
        <w:rPr>
          <w:spacing w:val="-1"/>
          <w:sz w:val="16"/>
          <w:vertAlign w:val="baseline"/>
        </w:rPr>
        <w:t> </w:t>
      </w:r>
      <w:r>
        <w:rPr>
          <w:sz w:val="16"/>
          <w:vertAlign w:val="baseline"/>
        </w:rPr>
        <w:t>risk-based</w:t>
      </w:r>
      <w:r>
        <w:rPr>
          <w:spacing w:val="-1"/>
          <w:sz w:val="16"/>
          <w:vertAlign w:val="baseline"/>
        </w:rPr>
        <w:t> </w:t>
      </w:r>
      <w:r>
        <w:rPr>
          <w:sz w:val="16"/>
          <w:vertAlign w:val="baseline"/>
        </w:rPr>
        <w:t>capital</w:t>
      </w:r>
      <w:r>
        <w:rPr>
          <w:spacing w:val="-1"/>
          <w:sz w:val="16"/>
          <w:vertAlign w:val="baseline"/>
        </w:rPr>
        <w:t> </w:t>
      </w:r>
      <w:r>
        <w:rPr>
          <w:sz w:val="16"/>
          <w:vertAlign w:val="baseline"/>
        </w:rPr>
        <w:t>ratios,</w:t>
      </w:r>
      <w:r>
        <w:rPr>
          <w:spacing w:val="-1"/>
          <w:sz w:val="16"/>
          <w:vertAlign w:val="baseline"/>
        </w:rPr>
        <w:t> </w:t>
      </w:r>
      <w:r>
        <w:rPr>
          <w:sz w:val="16"/>
          <w:vertAlign w:val="baseline"/>
        </w:rPr>
        <w:t>which</w:t>
      </w:r>
      <w:r>
        <w:rPr>
          <w:spacing w:val="-1"/>
          <w:sz w:val="16"/>
          <w:vertAlign w:val="baseline"/>
        </w:rPr>
        <w:t> </w:t>
      </w:r>
      <w:r>
        <w:rPr>
          <w:sz w:val="16"/>
          <w:vertAlign w:val="baseline"/>
        </w:rPr>
        <w:t>was</w:t>
      </w:r>
      <w:r>
        <w:rPr>
          <w:spacing w:val="-2"/>
          <w:sz w:val="16"/>
          <w:vertAlign w:val="baseline"/>
        </w:rPr>
        <w:t> </w:t>
      </w:r>
      <w:r>
        <w:rPr>
          <w:sz w:val="16"/>
          <w:vertAlign w:val="baseline"/>
        </w:rPr>
        <w:t>zero</w:t>
      </w:r>
      <w:r>
        <w:rPr>
          <w:spacing w:val="-1"/>
          <w:sz w:val="16"/>
          <w:vertAlign w:val="baseline"/>
        </w:rPr>
        <w:t> </w:t>
      </w:r>
      <w:r>
        <w:rPr>
          <w:sz w:val="16"/>
          <w:vertAlign w:val="baseline"/>
        </w:rPr>
        <w:t>for</w:t>
      </w:r>
      <w:r>
        <w:rPr>
          <w:spacing w:val="-1"/>
          <w:sz w:val="16"/>
          <w:vertAlign w:val="baseline"/>
        </w:rPr>
        <w:t> </w:t>
      </w:r>
      <w:r>
        <w:rPr>
          <w:sz w:val="16"/>
          <w:vertAlign w:val="baseline"/>
        </w:rPr>
        <w:t>both</w:t>
      </w:r>
      <w:r>
        <w:rPr>
          <w:spacing w:val="40"/>
          <w:sz w:val="16"/>
          <w:vertAlign w:val="baseline"/>
        </w:rPr>
        <w:t> </w:t>
      </w:r>
      <w:r>
        <w:rPr>
          <w:sz w:val="16"/>
          <w:vertAlign w:val="baseline"/>
        </w:rPr>
        <w:t>periods presented. If a buffer falls below the minimum requirement, CSC and CSB would be subject to increasingly strict limits on capital distributions and</w:t>
      </w:r>
      <w:r>
        <w:rPr>
          <w:spacing w:val="40"/>
          <w:sz w:val="16"/>
          <w:vertAlign w:val="baseline"/>
        </w:rPr>
        <w:t> </w:t>
      </w:r>
      <w:r>
        <w:rPr>
          <w:sz w:val="16"/>
          <w:vertAlign w:val="baseline"/>
        </w:rPr>
        <w:t>discretionary bonus payments to executive officers. At September 30, 2023, the minimum capital ratio requirements for both CSC and CSB, inclusive of</w:t>
      </w:r>
      <w:r>
        <w:rPr>
          <w:spacing w:val="40"/>
          <w:sz w:val="16"/>
          <w:vertAlign w:val="baseline"/>
        </w:rPr>
        <w:t> </w:t>
      </w:r>
      <w:r>
        <w:rPr>
          <w:sz w:val="16"/>
          <w:vertAlign w:val="baseline"/>
        </w:rPr>
        <w:t>their respective buffers, were 7.0%, 8.5%, and 10.5% for Common Equity Tier 1 Risk-Based Capital, Tier 1 Risk-Based Capital, and Total Risk-Based</w:t>
      </w:r>
      <w:r>
        <w:rPr>
          <w:spacing w:val="40"/>
          <w:sz w:val="16"/>
          <w:vertAlign w:val="baseline"/>
        </w:rPr>
        <w:t> </w:t>
      </w:r>
      <w:r>
        <w:rPr>
          <w:sz w:val="16"/>
          <w:vertAlign w:val="baseline"/>
        </w:rPr>
        <w:t>Capital,</w:t>
      </w:r>
      <w:r>
        <w:rPr>
          <w:spacing w:val="-1"/>
          <w:sz w:val="16"/>
          <w:vertAlign w:val="baseline"/>
        </w:rPr>
        <w:t> </w:t>
      </w:r>
      <w:r>
        <w:rPr>
          <w:sz w:val="16"/>
          <w:vertAlign w:val="baseline"/>
        </w:rPr>
        <w:t>respectively.</w:t>
      </w:r>
    </w:p>
    <w:p>
      <w:pPr>
        <w:spacing w:before="5"/>
        <w:ind w:left="470" w:right="0" w:firstLine="0"/>
        <w:jc w:val="left"/>
        <w:rPr>
          <w:sz w:val="16"/>
        </w:rPr>
      </w:pPr>
      <w:r>
        <w:rPr>
          <w:sz w:val="16"/>
        </w:rPr>
        <w:t>N/A</w:t>
      </w:r>
      <w:r>
        <w:rPr>
          <w:spacing w:val="-2"/>
          <w:sz w:val="16"/>
        </w:rPr>
        <w:t> </w:t>
      </w:r>
      <w:r>
        <w:rPr>
          <w:sz w:val="16"/>
        </w:rPr>
        <w:t>Not</w:t>
      </w:r>
      <w:r>
        <w:rPr>
          <w:spacing w:val="-1"/>
          <w:sz w:val="16"/>
        </w:rPr>
        <w:t> </w:t>
      </w:r>
      <w:r>
        <w:rPr>
          <w:spacing w:val="-2"/>
          <w:sz w:val="16"/>
        </w:rPr>
        <w:t>applicable.</w:t>
      </w:r>
    </w:p>
    <w:p>
      <w:pPr>
        <w:pStyle w:val="BodyText"/>
        <w:spacing w:before="54"/>
        <w:rPr>
          <w:sz w:val="16"/>
        </w:rPr>
      </w:pPr>
    </w:p>
    <w:p>
      <w:pPr>
        <w:pStyle w:val="BodyText"/>
        <w:spacing w:line="249" w:lineRule="auto"/>
        <w:ind w:left="470" w:right="534"/>
        <w:jc w:val="both"/>
      </w:pPr>
      <w:r>
        <w:rPr/>
        <w:t>Based</w:t>
      </w:r>
      <w:r>
        <w:rPr>
          <w:spacing w:val="-3"/>
        </w:rPr>
        <w:t> </w:t>
      </w:r>
      <w:r>
        <w:rPr/>
        <w:t>on</w:t>
      </w:r>
      <w:r>
        <w:rPr>
          <w:spacing w:val="-3"/>
        </w:rPr>
        <w:t> </w:t>
      </w:r>
      <w:r>
        <w:rPr/>
        <w:t>its</w:t>
      </w:r>
      <w:r>
        <w:rPr>
          <w:spacing w:val="-3"/>
        </w:rPr>
        <w:t> </w:t>
      </w:r>
      <w:r>
        <w:rPr/>
        <w:t>regulatory</w:t>
      </w:r>
      <w:r>
        <w:rPr>
          <w:spacing w:val="-3"/>
        </w:rPr>
        <w:t> </w:t>
      </w:r>
      <w:r>
        <w:rPr/>
        <w:t>capital</w:t>
      </w:r>
      <w:r>
        <w:rPr>
          <w:spacing w:val="-3"/>
        </w:rPr>
        <w:t> </w:t>
      </w:r>
      <w:r>
        <w:rPr/>
        <w:t>ratios</w:t>
      </w:r>
      <w:r>
        <w:rPr>
          <w:spacing w:val="-3"/>
        </w:rPr>
        <w:t> </w:t>
      </w:r>
      <w:r>
        <w:rPr/>
        <w:t>at</w:t>
      </w:r>
      <w:r>
        <w:rPr>
          <w:spacing w:val="-3"/>
        </w:rPr>
        <w:t> </w:t>
      </w:r>
      <w:r>
        <w:rPr/>
        <w:t>September</w:t>
      </w:r>
      <w:r>
        <w:rPr>
          <w:spacing w:val="-3"/>
        </w:rPr>
        <w:t> </w:t>
      </w:r>
      <w:r>
        <w:rPr/>
        <w:t>30,</w:t>
      </w:r>
      <w:r>
        <w:rPr>
          <w:spacing w:val="-3"/>
        </w:rPr>
        <w:t> </w:t>
      </w:r>
      <w:r>
        <w:rPr/>
        <w:t>2023,</w:t>
      </w:r>
      <w:r>
        <w:rPr>
          <w:spacing w:val="-3"/>
        </w:rPr>
        <w:t> </w:t>
      </w:r>
      <w:r>
        <w:rPr/>
        <w:t>CSB</w:t>
      </w:r>
      <w:r>
        <w:rPr>
          <w:spacing w:val="-3"/>
        </w:rPr>
        <w:t> </w:t>
      </w:r>
      <w:r>
        <w:rPr/>
        <w:t>is</w:t>
      </w:r>
      <w:r>
        <w:rPr>
          <w:spacing w:val="-3"/>
        </w:rPr>
        <w:t> </w:t>
      </w:r>
      <w:r>
        <w:rPr/>
        <w:t>considered</w:t>
      </w:r>
      <w:r>
        <w:rPr>
          <w:spacing w:val="-3"/>
        </w:rPr>
        <w:t> </w:t>
      </w:r>
      <w:r>
        <w:rPr/>
        <w:t>well</w:t>
      </w:r>
      <w:r>
        <w:rPr>
          <w:spacing w:val="-3"/>
        </w:rPr>
        <w:t> </w:t>
      </w:r>
      <w:r>
        <w:rPr/>
        <w:t>capitalized</w:t>
      </w:r>
      <w:r>
        <w:rPr>
          <w:spacing w:val="-3"/>
        </w:rPr>
        <w:t> </w:t>
      </w:r>
      <w:r>
        <w:rPr/>
        <w:t>(the</w:t>
      </w:r>
      <w:r>
        <w:rPr>
          <w:spacing w:val="-3"/>
        </w:rPr>
        <w:t> </w:t>
      </w:r>
      <w:r>
        <w:rPr/>
        <w:t>highest</w:t>
      </w:r>
      <w:r>
        <w:rPr>
          <w:spacing w:val="-3"/>
        </w:rPr>
        <w:t> </w:t>
      </w:r>
      <w:r>
        <w:rPr/>
        <w:t>category)</w:t>
      </w:r>
      <w:r>
        <w:rPr>
          <w:spacing w:val="-3"/>
        </w:rPr>
        <w:t> </w:t>
      </w:r>
      <w:r>
        <w:rPr/>
        <w:t>under</w:t>
      </w:r>
      <w:r>
        <w:rPr>
          <w:spacing w:val="-3"/>
        </w:rPr>
        <w:t> </w:t>
      </w:r>
      <w:r>
        <w:rPr/>
        <w:t>its respective regulatory capital rules. There are no conditions or events since September 30, 2023 that management believes have changed CSB’s capital category.</w:t>
      </w:r>
    </w:p>
    <w:p>
      <w:pPr>
        <w:pStyle w:val="BodyText"/>
        <w:spacing w:before="12"/>
      </w:pPr>
    </w:p>
    <w:p>
      <w:pPr>
        <w:pStyle w:val="BodyText"/>
        <w:spacing w:line="249" w:lineRule="auto" w:before="1"/>
        <w:ind w:left="470" w:right="761"/>
      </w:pPr>
      <w:r>
        <w:rPr/>
        <w:t>At September 30, 2023, the balance sheets of Charles Schwab Premier Bank, SSB (CSPB) and Charles Schwab Trust Bank (Trust</w:t>
      </w:r>
      <w:r>
        <w:rPr>
          <w:spacing w:val="-4"/>
        </w:rPr>
        <w:t> </w:t>
      </w:r>
      <w:r>
        <w:rPr/>
        <w:t>Bank)</w:t>
      </w:r>
      <w:r>
        <w:rPr>
          <w:spacing w:val="-3"/>
        </w:rPr>
        <w:t> </w:t>
      </w:r>
      <w:r>
        <w:rPr/>
        <w:t>consisted</w:t>
      </w:r>
      <w:r>
        <w:rPr>
          <w:spacing w:val="-3"/>
        </w:rPr>
        <w:t> </w:t>
      </w:r>
      <w:r>
        <w:rPr/>
        <w:t>primarily</w:t>
      </w:r>
      <w:r>
        <w:rPr>
          <w:spacing w:val="-3"/>
        </w:rPr>
        <w:t> </w:t>
      </w:r>
      <w:r>
        <w:rPr/>
        <w:t>of</w:t>
      </w:r>
      <w:r>
        <w:rPr>
          <w:spacing w:val="-3"/>
        </w:rPr>
        <w:t> </w:t>
      </w:r>
      <w:r>
        <w:rPr/>
        <w:t>investment</w:t>
      </w:r>
      <w:r>
        <w:rPr>
          <w:spacing w:val="-4"/>
        </w:rPr>
        <w:t> </w:t>
      </w:r>
      <w:r>
        <w:rPr/>
        <w:t>securities,</w:t>
      </w:r>
      <w:r>
        <w:rPr>
          <w:spacing w:val="-3"/>
        </w:rPr>
        <w:t> </w:t>
      </w:r>
      <w:r>
        <w:rPr/>
        <w:t>and</w:t>
      </w:r>
      <w:r>
        <w:rPr>
          <w:spacing w:val="-3"/>
        </w:rPr>
        <w:t> </w:t>
      </w:r>
      <w:r>
        <w:rPr/>
        <w:t>the</w:t>
      </w:r>
      <w:r>
        <w:rPr>
          <w:spacing w:val="-4"/>
        </w:rPr>
        <w:t> </w:t>
      </w:r>
      <w:r>
        <w:rPr/>
        <w:t>entities</w:t>
      </w:r>
      <w:r>
        <w:rPr>
          <w:spacing w:val="-4"/>
        </w:rPr>
        <w:t> </w:t>
      </w:r>
      <w:r>
        <w:rPr/>
        <w:t>held</w:t>
      </w:r>
      <w:r>
        <w:rPr>
          <w:spacing w:val="-3"/>
        </w:rPr>
        <w:t> </w:t>
      </w:r>
      <w:r>
        <w:rPr/>
        <w:t>total</w:t>
      </w:r>
      <w:r>
        <w:rPr>
          <w:spacing w:val="-4"/>
        </w:rPr>
        <w:t> </w:t>
      </w:r>
      <w:r>
        <w:rPr/>
        <w:t>assets</w:t>
      </w:r>
      <w:r>
        <w:rPr>
          <w:spacing w:val="-4"/>
        </w:rPr>
        <w:t> </w:t>
      </w:r>
      <w:r>
        <w:rPr/>
        <w:t>of</w:t>
      </w:r>
      <w:r>
        <w:rPr>
          <w:spacing w:val="-3"/>
        </w:rPr>
        <w:t> </w:t>
      </w:r>
      <w:r>
        <w:rPr/>
        <w:t>$27.6</w:t>
      </w:r>
      <w:r>
        <w:rPr>
          <w:spacing w:val="-3"/>
        </w:rPr>
        <w:t> </w:t>
      </w:r>
      <w:r>
        <w:rPr/>
        <w:t>billion</w:t>
      </w:r>
      <w:r>
        <w:rPr>
          <w:spacing w:val="-3"/>
        </w:rPr>
        <w:t> </w:t>
      </w:r>
      <w:r>
        <w:rPr/>
        <w:t>and</w:t>
      </w:r>
      <w:r>
        <w:rPr>
          <w:spacing w:val="-3"/>
        </w:rPr>
        <w:t> </w:t>
      </w:r>
      <w:r>
        <w:rPr/>
        <w:t>$11.4</w:t>
      </w:r>
      <w:r>
        <w:rPr>
          <w:spacing w:val="-3"/>
        </w:rPr>
        <w:t> </w:t>
      </w:r>
      <w:r>
        <w:rPr/>
        <w:t>billion, respectively. Based on their regulatory capital ratios, at September 30, 2023, CSPB and Trust Bank are considered well capitalized under their respective regulatory capital rules.</w:t>
      </w:r>
    </w:p>
    <w:p>
      <w:pPr>
        <w:spacing w:after="0" w:line="249" w:lineRule="auto"/>
        <w:sectPr>
          <w:type w:val="continuous"/>
          <w:pgSz w:w="12240" w:h="15840"/>
          <w:pgMar w:header="227" w:footer="201" w:top="320" w:bottom="280" w:left="520" w:right="520"/>
        </w:sectPr>
      </w:pPr>
    </w:p>
    <w:p>
      <w:pPr>
        <w:pStyle w:val="BodyText"/>
        <w:spacing w:before="214"/>
        <w:ind w:left="470"/>
      </w:pPr>
      <w:r>
        <w:rPr/>
        <w:t>Net</w:t>
      </w:r>
      <w:r>
        <w:rPr>
          <w:spacing w:val="-6"/>
        </w:rPr>
        <w:t> </w:t>
      </w:r>
      <w:r>
        <w:rPr/>
        <w:t>capital</w:t>
      </w:r>
      <w:r>
        <w:rPr>
          <w:spacing w:val="-4"/>
        </w:rPr>
        <w:t> </w:t>
      </w:r>
      <w:r>
        <w:rPr/>
        <w:t>and</w:t>
      </w:r>
      <w:r>
        <w:rPr>
          <w:spacing w:val="-2"/>
        </w:rPr>
        <w:t> </w:t>
      </w:r>
      <w:r>
        <w:rPr/>
        <w:t>net</w:t>
      </w:r>
      <w:r>
        <w:rPr>
          <w:spacing w:val="-4"/>
        </w:rPr>
        <w:t> </w:t>
      </w:r>
      <w:r>
        <w:rPr/>
        <w:t>capital</w:t>
      </w:r>
      <w:r>
        <w:rPr>
          <w:spacing w:val="-4"/>
        </w:rPr>
        <w:t> </w:t>
      </w:r>
      <w:r>
        <w:rPr/>
        <w:t>requirements</w:t>
      </w:r>
      <w:r>
        <w:rPr>
          <w:spacing w:val="-3"/>
        </w:rPr>
        <w:t> </w:t>
      </w:r>
      <w:r>
        <w:rPr/>
        <w:t>for</w:t>
      </w:r>
      <w:r>
        <w:rPr>
          <w:spacing w:val="-3"/>
        </w:rPr>
        <w:t> </w:t>
      </w:r>
      <w:r>
        <w:rPr/>
        <w:t>CS&amp;Co,</w:t>
      </w:r>
      <w:r>
        <w:rPr>
          <w:spacing w:val="-3"/>
        </w:rPr>
        <w:t> </w:t>
      </w:r>
      <w:r>
        <w:rPr/>
        <w:t>TDAC,</w:t>
      </w:r>
      <w:r>
        <w:rPr>
          <w:spacing w:val="-2"/>
        </w:rPr>
        <w:t> </w:t>
      </w:r>
      <w:r>
        <w:rPr/>
        <w:t>and</w:t>
      </w:r>
      <w:r>
        <w:rPr>
          <w:spacing w:val="-3"/>
        </w:rPr>
        <w:t> </w:t>
      </w:r>
      <w:r>
        <w:rPr/>
        <w:t>TD</w:t>
      </w:r>
      <w:r>
        <w:rPr>
          <w:spacing w:val="-4"/>
        </w:rPr>
        <w:t> </w:t>
      </w:r>
      <w:r>
        <w:rPr/>
        <w:t>Ameritrade,</w:t>
      </w:r>
      <w:r>
        <w:rPr>
          <w:spacing w:val="-3"/>
        </w:rPr>
        <w:t> </w:t>
      </w:r>
      <w:r>
        <w:rPr/>
        <w:t>Inc.,</w:t>
      </w:r>
      <w:r>
        <w:rPr>
          <w:spacing w:val="-2"/>
        </w:rPr>
        <w:t> </w:t>
      </w:r>
      <w:r>
        <w:rPr/>
        <w:t>are</w:t>
      </w:r>
      <w:r>
        <w:rPr>
          <w:spacing w:val="-4"/>
        </w:rPr>
        <w:t> </w:t>
      </w:r>
      <w:r>
        <w:rPr/>
        <w:t>as</w:t>
      </w:r>
      <w:r>
        <w:rPr>
          <w:spacing w:val="-3"/>
        </w:rPr>
        <w:t> </w:t>
      </w:r>
      <w:r>
        <w:rPr>
          <w:spacing w:val="-2"/>
        </w:rPr>
        <w:t>follows:</w:t>
      </w:r>
    </w:p>
    <w:p>
      <w:pPr>
        <w:pStyle w:val="BodyText"/>
        <w:spacing w:before="9"/>
        <w:rPr>
          <w:sz w:val="7"/>
        </w:rPr>
      </w:pPr>
      <w:r>
        <w:rPr/>
        <mc:AlternateContent>
          <mc:Choice Requires="wps">
            <w:drawing>
              <wp:anchor distT="0" distB="0" distL="0" distR="0" allowOverlap="1" layoutInCell="1" locked="0" behindDoc="1" simplePos="0" relativeHeight="487639040">
                <wp:simplePos x="0" y="0"/>
                <wp:positionH relativeFrom="page">
                  <wp:posOffset>628650</wp:posOffset>
                </wp:positionH>
                <wp:positionV relativeFrom="paragraph">
                  <wp:posOffset>72142</wp:posOffset>
                </wp:positionV>
                <wp:extent cx="6505575" cy="6350"/>
                <wp:effectExtent l="0" t="0" r="0" b="0"/>
                <wp:wrapTopAndBottom/>
                <wp:docPr id="699" name="Group 699"/>
                <wp:cNvGraphicFramePr>
                  <a:graphicFrameLocks/>
                </wp:cNvGraphicFramePr>
                <a:graphic>
                  <a:graphicData uri="http://schemas.microsoft.com/office/word/2010/wordprocessingGroup">
                    <wpg:wgp>
                      <wpg:cNvPr id="699" name="Group 699"/>
                      <wpg:cNvGrpSpPr/>
                      <wpg:grpSpPr>
                        <a:xfrm>
                          <a:off x="0" y="0"/>
                          <a:ext cx="6505575" cy="6350"/>
                          <a:chExt cx="6505575" cy="6350"/>
                        </a:xfrm>
                      </wpg:grpSpPr>
                      <wps:wsp>
                        <wps:cNvPr id="700" name="Graphic 700"/>
                        <wps:cNvSpPr/>
                        <wps:spPr>
                          <a:xfrm>
                            <a:off x="0" y="3175"/>
                            <a:ext cx="6505575" cy="1270"/>
                          </a:xfrm>
                          <a:custGeom>
                            <a:avLst/>
                            <a:gdLst/>
                            <a:ahLst/>
                            <a:cxnLst/>
                            <a:rect l="l" t="t" r="r" b="b"/>
                            <a:pathLst>
                              <a:path w="6505575" h="0">
                                <a:moveTo>
                                  <a:pt x="6505575" y="0"/>
                                </a:moveTo>
                                <a:lnTo>
                                  <a:pt x="0" y="0"/>
                                </a:lnTo>
                              </a:path>
                            </a:pathLst>
                          </a:custGeom>
                          <a:solidFill>
                            <a:srgbClr val="000000"/>
                          </a:solidFill>
                        </wps:spPr>
                        <wps:bodyPr wrap="square" lIns="0" tIns="0" rIns="0" bIns="0" rtlCol="0">
                          <a:prstTxWarp prst="textNoShape">
                            <a:avLst/>
                          </a:prstTxWarp>
                          <a:noAutofit/>
                        </wps:bodyPr>
                      </wps:wsp>
                      <wps:wsp>
                        <wps:cNvPr id="701" name="Graphic 701"/>
                        <wps:cNvSpPr/>
                        <wps:spPr>
                          <a:xfrm>
                            <a:off x="0" y="3175"/>
                            <a:ext cx="6505575" cy="1270"/>
                          </a:xfrm>
                          <a:custGeom>
                            <a:avLst/>
                            <a:gdLst/>
                            <a:ahLst/>
                            <a:cxnLst/>
                            <a:rect l="l" t="t" r="r" b="b"/>
                            <a:pathLst>
                              <a:path w="6505575" h="0">
                                <a:moveTo>
                                  <a:pt x="0" y="0"/>
                                </a:moveTo>
                                <a:lnTo>
                                  <a:pt x="650557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5.680508pt;width:512.25pt;height:.5pt;mso-position-horizontal-relative:page;mso-position-vertical-relative:paragraph;z-index:-15677440;mso-wrap-distance-left:0;mso-wrap-distance-right:0" id="docshapegroup505" coordorigin="990,114" coordsize="10245,10">
                <v:shape style="position:absolute;left:990;top:118;width:10245;height:2" id="docshape506" coordorigin="990,119" coordsize="10245,0" path="m11235,119l990,119e" filled="true" fillcolor="#000000" stroked="false">
                  <v:path arrowok="t"/>
                  <v:fill opacity="0f" type="solid"/>
                </v:shape>
                <v:line style="position:absolute" from="990,119" to="11235,119" stroked="true" strokeweight=".5pt" strokecolor="#000000">
                  <v:stroke dashstyle="solid"/>
                </v:line>
                <w10:wrap type="topAndBottom"/>
              </v:group>
            </w:pict>
          </mc:Fallback>
        </mc:AlternateContent>
      </w:r>
    </w:p>
    <w:p>
      <w:pPr>
        <w:tabs>
          <w:tab w:pos="1710" w:val="left" w:leader="none"/>
        </w:tabs>
        <w:spacing w:before="13" w:after="24"/>
        <w:ind w:left="0" w:right="577" w:firstLine="0"/>
        <w:jc w:val="right"/>
        <w:rPr>
          <w:sz w:val="18"/>
        </w:rPr>
      </w:pPr>
      <w:r>
        <w:rPr>
          <w:sz w:val="18"/>
        </w:rPr>
        <w:t>September</w:t>
      </w:r>
      <w:r>
        <w:rPr>
          <w:spacing w:val="-1"/>
          <w:sz w:val="18"/>
        </w:rPr>
        <w:t> </w:t>
      </w:r>
      <w:r>
        <w:rPr>
          <w:sz w:val="18"/>
        </w:rPr>
        <w:t>30, </w:t>
      </w:r>
      <w:r>
        <w:rPr>
          <w:spacing w:val="-4"/>
          <w:sz w:val="18"/>
        </w:rPr>
        <w:t>2023</w:t>
      </w:r>
      <w:r>
        <w:rPr>
          <w:sz w:val="18"/>
        </w:rPr>
        <w:tab/>
        <w:t>December</w:t>
      </w:r>
      <w:r>
        <w:rPr>
          <w:spacing w:val="-3"/>
          <w:sz w:val="18"/>
        </w:rPr>
        <w:t> </w:t>
      </w:r>
      <w:r>
        <w:rPr>
          <w:sz w:val="18"/>
        </w:rPr>
        <w:t>31, </w:t>
      </w:r>
      <w:r>
        <w:rPr>
          <w:spacing w:val="-4"/>
          <w:sz w:val="18"/>
        </w:rPr>
        <w:t>2022</w:t>
      </w:r>
    </w:p>
    <w:p>
      <w:pPr>
        <w:pStyle w:val="BodyText"/>
        <w:spacing w:line="20" w:lineRule="exact"/>
        <w:ind w:left="465"/>
        <w:rPr>
          <w:sz w:val="2"/>
        </w:rPr>
      </w:pPr>
      <w:r>
        <w:rPr>
          <w:sz w:val="2"/>
        </w:rPr>
        <mc:AlternateContent>
          <mc:Choice Requires="wps">
            <w:drawing>
              <wp:inline distT="0" distB="0" distL="0" distR="0">
                <wp:extent cx="6505575" cy="6350"/>
                <wp:effectExtent l="9525" t="0" r="0" b="3175"/>
                <wp:docPr id="702" name="Group 702"/>
                <wp:cNvGraphicFramePr>
                  <a:graphicFrameLocks/>
                </wp:cNvGraphicFramePr>
                <a:graphic>
                  <a:graphicData uri="http://schemas.microsoft.com/office/word/2010/wordprocessingGroup">
                    <wpg:wgp>
                      <wpg:cNvPr id="702" name="Group 702"/>
                      <wpg:cNvGrpSpPr/>
                      <wpg:grpSpPr>
                        <a:xfrm>
                          <a:off x="0" y="0"/>
                          <a:ext cx="6505575" cy="6350"/>
                          <a:chExt cx="6505575" cy="6350"/>
                        </a:xfrm>
                      </wpg:grpSpPr>
                      <wps:wsp>
                        <wps:cNvPr id="703" name="Graphic 703"/>
                        <wps:cNvSpPr/>
                        <wps:spPr>
                          <a:xfrm>
                            <a:off x="0" y="3175"/>
                            <a:ext cx="4352925" cy="1270"/>
                          </a:xfrm>
                          <a:custGeom>
                            <a:avLst/>
                            <a:gdLst/>
                            <a:ahLst/>
                            <a:cxnLst/>
                            <a:rect l="l" t="t" r="r" b="b"/>
                            <a:pathLst>
                              <a:path w="4352925" h="0">
                                <a:moveTo>
                                  <a:pt x="4352925" y="0"/>
                                </a:moveTo>
                                <a:lnTo>
                                  <a:pt x="0" y="0"/>
                                </a:lnTo>
                              </a:path>
                            </a:pathLst>
                          </a:custGeom>
                          <a:solidFill>
                            <a:srgbClr val="000000"/>
                          </a:solidFill>
                        </wps:spPr>
                        <wps:bodyPr wrap="square" lIns="0" tIns="0" rIns="0" bIns="0" rtlCol="0">
                          <a:prstTxWarp prst="textNoShape">
                            <a:avLst/>
                          </a:prstTxWarp>
                          <a:noAutofit/>
                        </wps:bodyPr>
                      </wps:wsp>
                      <wps:wsp>
                        <wps:cNvPr id="704" name="Graphic 704"/>
                        <wps:cNvSpPr/>
                        <wps:spPr>
                          <a:xfrm>
                            <a:off x="0" y="3175"/>
                            <a:ext cx="4352925" cy="1270"/>
                          </a:xfrm>
                          <a:custGeom>
                            <a:avLst/>
                            <a:gdLst/>
                            <a:ahLst/>
                            <a:cxnLst/>
                            <a:rect l="l" t="t" r="r" b="b"/>
                            <a:pathLst>
                              <a:path w="4352925" h="0">
                                <a:moveTo>
                                  <a:pt x="0" y="0"/>
                                </a:moveTo>
                                <a:lnTo>
                                  <a:pt x="4352925" y="0"/>
                                </a:lnTo>
                              </a:path>
                            </a:pathLst>
                          </a:custGeom>
                          <a:ln w="6350">
                            <a:solidFill>
                              <a:srgbClr val="000000"/>
                            </a:solidFill>
                            <a:prstDash val="solid"/>
                          </a:ln>
                        </wps:spPr>
                        <wps:bodyPr wrap="square" lIns="0" tIns="0" rIns="0" bIns="0" rtlCol="0">
                          <a:prstTxWarp prst="textNoShape">
                            <a:avLst/>
                          </a:prstTxWarp>
                          <a:noAutofit/>
                        </wps:bodyPr>
                      </wps:wsp>
                      <wps:wsp>
                        <wps:cNvPr id="705" name="Graphic 705"/>
                        <wps:cNvSpPr/>
                        <wps:spPr>
                          <a:xfrm>
                            <a:off x="4352925" y="3175"/>
                            <a:ext cx="2152650" cy="1270"/>
                          </a:xfrm>
                          <a:custGeom>
                            <a:avLst/>
                            <a:gdLst/>
                            <a:ahLst/>
                            <a:cxnLst/>
                            <a:rect l="l" t="t" r="r" b="b"/>
                            <a:pathLst>
                              <a:path w="2152650" h="0">
                                <a:moveTo>
                                  <a:pt x="2152650" y="0"/>
                                </a:moveTo>
                                <a:lnTo>
                                  <a:pt x="0" y="0"/>
                                </a:lnTo>
                              </a:path>
                            </a:pathLst>
                          </a:custGeom>
                          <a:solidFill>
                            <a:srgbClr val="000000"/>
                          </a:solidFill>
                        </wps:spPr>
                        <wps:bodyPr wrap="square" lIns="0" tIns="0" rIns="0" bIns="0" rtlCol="0">
                          <a:prstTxWarp prst="textNoShape">
                            <a:avLst/>
                          </a:prstTxWarp>
                          <a:noAutofit/>
                        </wps:bodyPr>
                      </wps:wsp>
                      <wps:wsp>
                        <wps:cNvPr id="706" name="Graphic 706"/>
                        <wps:cNvSpPr/>
                        <wps:spPr>
                          <a:xfrm>
                            <a:off x="4352925" y="3175"/>
                            <a:ext cx="2152650" cy="1270"/>
                          </a:xfrm>
                          <a:custGeom>
                            <a:avLst/>
                            <a:gdLst/>
                            <a:ahLst/>
                            <a:cxnLst/>
                            <a:rect l="l" t="t" r="r" b="b"/>
                            <a:pathLst>
                              <a:path w="2152650" h="0">
                                <a:moveTo>
                                  <a:pt x="0" y="0"/>
                                </a:moveTo>
                                <a:lnTo>
                                  <a:pt x="215265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2.25pt;height:.5pt;mso-position-horizontal-relative:char;mso-position-vertical-relative:line" id="docshapegroup507" coordorigin="0,0" coordsize="10245,10">
                <v:shape style="position:absolute;left:0;top:5;width:6855;height:2" id="docshape508" coordorigin="0,5" coordsize="6855,0" path="m6855,5l0,5e" filled="true" fillcolor="#000000" stroked="false">
                  <v:path arrowok="t"/>
                  <v:fill opacity="0f" type="solid"/>
                </v:shape>
                <v:line style="position:absolute" from="0,5" to="6855,5" stroked="true" strokeweight=".5pt" strokecolor="#000000">
                  <v:stroke dashstyle="solid"/>
                </v:line>
                <v:shape style="position:absolute;left:6855;top:5;width:3390;height:2" id="docshape509" coordorigin="6855,5" coordsize="3390,0" path="m10245,5l6855,5e" filled="true" fillcolor="#000000" stroked="false">
                  <v:path arrowok="t"/>
                  <v:fill opacity="0f" type="solid"/>
                </v:shape>
                <v:line style="position:absolute" from="6855,5" to="10245,5" stroked="true" strokeweight=".5pt" strokecolor="#000000">
                  <v:stroke dashstyle="solid"/>
                </v:line>
              </v:group>
            </w:pict>
          </mc:Fallback>
        </mc:AlternateContent>
      </w:r>
      <w:r>
        <w:rPr>
          <w:sz w:val="2"/>
        </w:rPr>
      </w:r>
    </w:p>
    <w:p>
      <w:pPr>
        <w:spacing w:before="3" w:after="30"/>
        <w:ind w:left="522" w:right="0" w:firstLine="0"/>
        <w:jc w:val="left"/>
        <w:rPr>
          <w:b/>
          <w:sz w:val="18"/>
        </w:rPr>
      </w:pPr>
      <w:r>
        <w:rPr>
          <w:b/>
          <w:spacing w:val="-2"/>
          <w:sz w:val="18"/>
        </w:rPr>
        <w:t>CS&amp;Co</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5"/>
        <w:gridCol w:w="2385"/>
        <w:gridCol w:w="1013"/>
        <w:gridCol w:w="1669"/>
      </w:tblGrid>
      <w:tr>
        <w:trPr>
          <w:trHeight w:val="255" w:hRule="atLeast"/>
        </w:trPr>
        <w:tc>
          <w:tcPr>
            <w:tcW w:w="5195" w:type="dxa"/>
            <w:shd w:val="clear" w:color="auto" w:fill="CCEDFF"/>
          </w:tcPr>
          <w:p>
            <w:pPr>
              <w:pStyle w:val="TableParagraph"/>
              <w:spacing w:before="18"/>
              <w:ind w:left="292"/>
              <w:rPr>
                <w:sz w:val="18"/>
              </w:rPr>
            </w:pPr>
            <w:r>
              <w:rPr>
                <w:sz w:val="18"/>
              </w:rPr>
              <w:t>Net</w:t>
            </w:r>
            <w:r>
              <w:rPr>
                <w:spacing w:val="-1"/>
                <w:sz w:val="18"/>
              </w:rPr>
              <w:t> </w:t>
            </w:r>
            <w:r>
              <w:rPr>
                <w:spacing w:val="-2"/>
                <w:sz w:val="18"/>
              </w:rPr>
              <w:t>capital</w:t>
            </w:r>
          </w:p>
        </w:tc>
        <w:tc>
          <w:tcPr>
            <w:tcW w:w="2385" w:type="dxa"/>
            <w:shd w:val="clear" w:color="auto" w:fill="CCEDFF"/>
          </w:tcPr>
          <w:p>
            <w:pPr>
              <w:pStyle w:val="TableParagraph"/>
              <w:spacing w:before="18"/>
              <w:ind w:right="505"/>
              <w:jc w:val="right"/>
              <w:rPr>
                <w:sz w:val="18"/>
              </w:rPr>
            </w:pPr>
            <w:r>
              <w:rPr>
                <w:spacing w:val="-10"/>
                <w:sz w:val="18"/>
              </w:rPr>
              <w:t>$</w:t>
            </w:r>
          </w:p>
        </w:tc>
        <w:tc>
          <w:tcPr>
            <w:tcW w:w="1013" w:type="dxa"/>
            <w:shd w:val="clear" w:color="auto" w:fill="CCEDFF"/>
          </w:tcPr>
          <w:p>
            <w:pPr>
              <w:pStyle w:val="TableParagraph"/>
              <w:spacing w:before="18"/>
              <w:ind w:right="100"/>
              <w:jc w:val="right"/>
              <w:rPr>
                <w:sz w:val="18"/>
              </w:rPr>
            </w:pPr>
            <w:r>
              <w:rPr>
                <w:spacing w:val="-2"/>
                <w:sz w:val="18"/>
              </w:rPr>
              <w:t>5,290</w:t>
            </w:r>
          </w:p>
        </w:tc>
        <w:tc>
          <w:tcPr>
            <w:tcW w:w="1669" w:type="dxa"/>
            <w:shd w:val="clear" w:color="auto" w:fill="CCEDFF"/>
          </w:tcPr>
          <w:p>
            <w:pPr>
              <w:pStyle w:val="TableParagraph"/>
              <w:tabs>
                <w:tab w:pos="1072" w:val="left" w:leader="none"/>
              </w:tabs>
              <w:spacing w:before="18"/>
              <w:ind w:right="89"/>
              <w:jc w:val="right"/>
              <w:rPr>
                <w:sz w:val="18"/>
              </w:rPr>
            </w:pPr>
            <w:r>
              <w:rPr>
                <w:spacing w:val="-10"/>
                <w:sz w:val="18"/>
              </w:rPr>
              <w:t>$</w:t>
            </w:r>
            <w:r>
              <w:rPr>
                <w:sz w:val="18"/>
              </w:rPr>
              <w:tab/>
            </w:r>
            <w:r>
              <w:rPr>
                <w:spacing w:val="-2"/>
                <w:sz w:val="18"/>
              </w:rPr>
              <w:t>5,386</w:t>
            </w:r>
          </w:p>
        </w:tc>
      </w:tr>
      <w:tr>
        <w:trPr>
          <w:trHeight w:val="255" w:hRule="atLeast"/>
        </w:trPr>
        <w:tc>
          <w:tcPr>
            <w:tcW w:w="5195" w:type="dxa"/>
          </w:tcPr>
          <w:p>
            <w:pPr>
              <w:pStyle w:val="TableParagraph"/>
              <w:spacing w:before="18"/>
              <w:ind w:left="292"/>
              <w:rPr>
                <w:sz w:val="18"/>
              </w:rPr>
            </w:pPr>
            <w:r>
              <w:rPr>
                <w:sz w:val="18"/>
              </w:rPr>
              <w:t>Minimum</w:t>
            </w:r>
            <w:r>
              <w:rPr>
                <w:spacing w:val="-1"/>
                <w:sz w:val="18"/>
              </w:rPr>
              <w:t> </w:t>
            </w:r>
            <w:r>
              <w:rPr>
                <w:sz w:val="18"/>
              </w:rPr>
              <w:t>dollar </w:t>
            </w:r>
            <w:r>
              <w:rPr>
                <w:spacing w:val="-2"/>
                <w:sz w:val="18"/>
              </w:rPr>
              <w:t>requirement</w:t>
            </w:r>
          </w:p>
        </w:tc>
        <w:tc>
          <w:tcPr>
            <w:tcW w:w="2385" w:type="dxa"/>
          </w:tcPr>
          <w:p>
            <w:pPr>
              <w:pStyle w:val="TableParagraph"/>
              <w:rPr>
                <w:sz w:val="18"/>
              </w:rPr>
            </w:pPr>
          </w:p>
        </w:tc>
        <w:tc>
          <w:tcPr>
            <w:tcW w:w="1013" w:type="dxa"/>
          </w:tcPr>
          <w:p>
            <w:pPr>
              <w:pStyle w:val="TableParagraph"/>
              <w:spacing w:before="18"/>
              <w:ind w:right="100"/>
              <w:jc w:val="right"/>
              <w:rPr>
                <w:sz w:val="18"/>
              </w:rPr>
            </w:pPr>
            <w:r>
              <w:rPr>
                <w:spacing w:val="-2"/>
                <w:sz w:val="18"/>
              </w:rPr>
              <w:t>0.250</w:t>
            </w:r>
          </w:p>
        </w:tc>
        <w:tc>
          <w:tcPr>
            <w:tcW w:w="1669" w:type="dxa"/>
          </w:tcPr>
          <w:p>
            <w:pPr>
              <w:pStyle w:val="TableParagraph"/>
              <w:spacing w:before="18"/>
              <w:ind w:right="89"/>
              <w:jc w:val="right"/>
              <w:rPr>
                <w:sz w:val="18"/>
              </w:rPr>
            </w:pPr>
            <w:r>
              <w:rPr>
                <w:spacing w:val="-2"/>
                <w:sz w:val="18"/>
              </w:rPr>
              <w:t>0.250</w:t>
            </w:r>
          </w:p>
        </w:tc>
      </w:tr>
      <w:tr>
        <w:trPr>
          <w:trHeight w:val="255" w:hRule="atLeast"/>
        </w:trPr>
        <w:tc>
          <w:tcPr>
            <w:tcW w:w="5195" w:type="dxa"/>
            <w:shd w:val="clear" w:color="auto" w:fill="CCEDFF"/>
          </w:tcPr>
          <w:p>
            <w:pPr>
              <w:pStyle w:val="TableParagraph"/>
              <w:spacing w:before="18"/>
              <w:ind w:left="292"/>
              <w:rPr>
                <w:sz w:val="18"/>
              </w:rPr>
            </w:pPr>
            <w:r>
              <w:rPr>
                <w:sz w:val="18"/>
              </w:rPr>
              <w:t>2% of aggregate debit </w:t>
            </w:r>
            <w:r>
              <w:rPr>
                <w:spacing w:val="-2"/>
                <w:sz w:val="18"/>
              </w:rPr>
              <w:t>balances</w:t>
            </w:r>
          </w:p>
        </w:tc>
        <w:tc>
          <w:tcPr>
            <w:tcW w:w="2385" w:type="dxa"/>
            <w:shd w:val="clear" w:color="auto" w:fill="CCEDFF"/>
          </w:tcPr>
          <w:p>
            <w:pPr>
              <w:pStyle w:val="TableParagraph"/>
              <w:rPr>
                <w:sz w:val="18"/>
              </w:rPr>
            </w:pPr>
          </w:p>
        </w:tc>
        <w:tc>
          <w:tcPr>
            <w:tcW w:w="1013" w:type="dxa"/>
            <w:shd w:val="clear" w:color="auto" w:fill="CCEDFF"/>
          </w:tcPr>
          <w:p>
            <w:pPr>
              <w:pStyle w:val="TableParagraph"/>
              <w:spacing w:before="18"/>
              <w:ind w:right="100"/>
              <w:jc w:val="right"/>
              <w:rPr>
                <w:sz w:val="18"/>
              </w:rPr>
            </w:pPr>
            <w:r>
              <w:rPr>
                <w:spacing w:val="-5"/>
                <w:sz w:val="18"/>
              </w:rPr>
              <w:t>997</w:t>
            </w:r>
          </w:p>
        </w:tc>
        <w:tc>
          <w:tcPr>
            <w:tcW w:w="1669" w:type="dxa"/>
            <w:shd w:val="clear" w:color="auto" w:fill="CCEDFF"/>
          </w:tcPr>
          <w:p>
            <w:pPr>
              <w:pStyle w:val="TableParagraph"/>
              <w:spacing w:before="18"/>
              <w:ind w:right="89"/>
              <w:jc w:val="right"/>
              <w:rPr>
                <w:sz w:val="18"/>
              </w:rPr>
            </w:pPr>
            <w:r>
              <w:rPr>
                <w:spacing w:val="-5"/>
                <w:sz w:val="18"/>
              </w:rPr>
              <w:t>778</w:t>
            </w:r>
          </w:p>
        </w:tc>
      </w:tr>
      <w:tr>
        <w:trPr>
          <w:trHeight w:val="250" w:hRule="atLeast"/>
        </w:trPr>
        <w:tc>
          <w:tcPr>
            <w:tcW w:w="5195" w:type="dxa"/>
            <w:tcBorders>
              <w:bottom w:val="single" w:sz="4" w:space="0" w:color="000000"/>
            </w:tcBorders>
          </w:tcPr>
          <w:p>
            <w:pPr>
              <w:pStyle w:val="TableParagraph"/>
              <w:spacing w:before="18"/>
              <w:ind w:right="1786"/>
              <w:jc w:val="right"/>
              <w:rPr>
                <w:sz w:val="18"/>
              </w:rPr>
            </w:pPr>
            <w:r>
              <w:rPr>
                <w:sz w:val="18"/>
              </w:rPr>
              <w:t>Net</w:t>
            </w:r>
            <w:r>
              <w:rPr>
                <w:spacing w:val="-1"/>
                <w:sz w:val="18"/>
              </w:rPr>
              <w:t> </w:t>
            </w:r>
            <w:r>
              <w:rPr>
                <w:sz w:val="18"/>
              </w:rPr>
              <w:t>capital in excess</w:t>
            </w:r>
            <w:r>
              <w:rPr>
                <w:spacing w:val="-2"/>
                <w:sz w:val="18"/>
              </w:rPr>
              <w:t> </w:t>
            </w:r>
            <w:r>
              <w:rPr>
                <w:sz w:val="18"/>
              </w:rPr>
              <w:t>of required net </w:t>
            </w:r>
            <w:r>
              <w:rPr>
                <w:spacing w:val="-2"/>
                <w:sz w:val="18"/>
              </w:rPr>
              <w:t>capital</w:t>
            </w:r>
          </w:p>
        </w:tc>
        <w:tc>
          <w:tcPr>
            <w:tcW w:w="2385" w:type="dxa"/>
            <w:tcBorders>
              <w:bottom w:val="single" w:sz="4" w:space="0" w:color="000000"/>
            </w:tcBorders>
          </w:tcPr>
          <w:p>
            <w:pPr>
              <w:pStyle w:val="TableParagraph"/>
              <w:spacing w:before="18"/>
              <w:ind w:right="505"/>
              <w:jc w:val="right"/>
              <w:rPr>
                <w:sz w:val="18"/>
              </w:rPr>
            </w:pPr>
            <w:r>
              <w:rPr>
                <w:spacing w:val="-10"/>
                <w:sz w:val="18"/>
              </w:rPr>
              <w:t>$</w:t>
            </w:r>
          </w:p>
        </w:tc>
        <w:tc>
          <w:tcPr>
            <w:tcW w:w="1013" w:type="dxa"/>
            <w:tcBorders>
              <w:bottom w:val="single" w:sz="4" w:space="0" w:color="000000"/>
            </w:tcBorders>
          </w:tcPr>
          <w:p>
            <w:pPr>
              <w:pStyle w:val="TableParagraph"/>
              <w:spacing w:before="18"/>
              <w:ind w:right="100"/>
              <w:jc w:val="right"/>
              <w:rPr>
                <w:sz w:val="18"/>
              </w:rPr>
            </w:pPr>
            <w:r>
              <w:rPr>
                <w:spacing w:val="-2"/>
                <w:sz w:val="18"/>
              </w:rPr>
              <w:t>4,293</w:t>
            </w:r>
          </w:p>
        </w:tc>
        <w:tc>
          <w:tcPr>
            <w:tcW w:w="1669" w:type="dxa"/>
            <w:tcBorders>
              <w:bottom w:val="single" w:sz="4" w:space="0" w:color="000000"/>
            </w:tcBorders>
          </w:tcPr>
          <w:p>
            <w:pPr>
              <w:pStyle w:val="TableParagraph"/>
              <w:tabs>
                <w:tab w:pos="1072" w:val="left" w:leader="none"/>
              </w:tabs>
              <w:spacing w:before="18"/>
              <w:ind w:right="89"/>
              <w:jc w:val="right"/>
              <w:rPr>
                <w:sz w:val="18"/>
              </w:rPr>
            </w:pPr>
            <w:r>
              <w:rPr>
                <w:spacing w:val="-10"/>
                <w:sz w:val="18"/>
              </w:rPr>
              <w:t>$</w:t>
            </w:r>
            <w:r>
              <w:rPr>
                <w:sz w:val="18"/>
              </w:rPr>
              <w:tab/>
            </w:r>
            <w:r>
              <w:rPr>
                <w:spacing w:val="-2"/>
                <w:sz w:val="18"/>
              </w:rPr>
              <w:t>4,608</w:t>
            </w:r>
          </w:p>
        </w:tc>
      </w:tr>
      <w:tr>
        <w:trPr>
          <w:trHeight w:val="250" w:hRule="atLeast"/>
        </w:trPr>
        <w:tc>
          <w:tcPr>
            <w:tcW w:w="5195" w:type="dxa"/>
            <w:tcBorders>
              <w:top w:val="single" w:sz="4" w:space="0" w:color="000000"/>
            </w:tcBorders>
            <w:shd w:val="clear" w:color="auto" w:fill="CCEDFF"/>
          </w:tcPr>
          <w:p>
            <w:pPr>
              <w:pStyle w:val="TableParagraph"/>
              <w:spacing w:before="13"/>
              <w:ind w:left="52"/>
              <w:rPr>
                <w:b/>
                <w:sz w:val="18"/>
              </w:rPr>
            </w:pPr>
            <w:r>
              <w:rPr>
                <w:b/>
                <w:spacing w:val="-4"/>
                <w:sz w:val="18"/>
              </w:rPr>
              <w:t>TDAC</w:t>
            </w:r>
          </w:p>
        </w:tc>
        <w:tc>
          <w:tcPr>
            <w:tcW w:w="2385" w:type="dxa"/>
            <w:tcBorders>
              <w:top w:val="single" w:sz="4" w:space="0" w:color="000000"/>
            </w:tcBorders>
            <w:shd w:val="clear" w:color="auto" w:fill="CCEDFF"/>
          </w:tcPr>
          <w:p>
            <w:pPr>
              <w:pStyle w:val="TableParagraph"/>
              <w:rPr>
                <w:sz w:val="18"/>
              </w:rPr>
            </w:pPr>
          </w:p>
        </w:tc>
        <w:tc>
          <w:tcPr>
            <w:tcW w:w="1013" w:type="dxa"/>
            <w:tcBorders>
              <w:top w:val="single" w:sz="4" w:space="0" w:color="000000"/>
            </w:tcBorders>
            <w:shd w:val="clear" w:color="auto" w:fill="CCEDFF"/>
          </w:tcPr>
          <w:p>
            <w:pPr>
              <w:pStyle w:val="TableParagraph"/>
              <w:rPr>
                <w:sz w:val="18"/>
              </w:rPr>
            </w:pPr>
          </w:p>
        </w:tc>
        <w:tc>
          <w:tcPr>
            <w:tcW w:w="1669" w:type="dxa"/>
            <w:tcBorders>
              <w:top w:val="single" w:sz="4" w:space="0" w:color="000000"/>
            </w:tcBorders>
            <w:shd w:val="clear" w:color="auto" w:fill="CCEDFF"/>
          </w:tcPr>
          <w:p>
            <w:pPr>
              <w:pStyle w:val="TableParagraph"/>
              <w:rPr>
                <w:sz w:val="18"/>
              </w:rPr>
            </w:pPr>
          </w:p>
        </w:tc>
      </w:tr>
      <w:tr>
        <w:trPr>
          <w:trHeight w:val="255" w:hRule="atLeast"/>
        </w:trPr>
        <w:tc>
          <w:tcPr>
            <w:tcW w:w="5195" w:type="dxa"/>
          </w:tcPr>
          <w:p>
            <w:pPr>
              <w:pStyle w:val="TableParagraph"/>
              <w:spacing w:before="18"/>
              <w:ind w:left="292"/>
              <w:rPr>
                <w:sz w:val="18"/>
              </w:rPr>
            </w:pPr>
            <w:r>
              <w:rPr>
                <w:sz w:val="18"/>
              </w:rPr>
              <w:t>Net</w:t>
            </w:r>
            <w:r>
              <w:rPr>
                <w:spacing w:val="-1"/>
                <w:sz w:val="18"/>
              </w:rPr>
              <w:t> </w:t>
            </w:r>
            <w:r>
              <w:rPr>
                <w:spacing w:val="-2"/>
                <w:sz w:val="18"/>
              </w:rPr>
              <w:t>capital</w:t>
            </w:r>
          </w:p>
        </w:tc>
        <w:tc>
          <w:tcPr>
            <w:tcW w:w="2385" w:type="dxa"/>
          </w:tcPr>
          <w:p>
            <w:pPr>
              <w:pStyle w:val="TableParagraph"/>
              <w:spacing w:before="18"/>
              <w:ind w:right="505"/>
              <w:jc w:val="right"/>
              <w:rPr>
                <w:sz w:val="18"/>
              </w:rPr>
            </w:pPr>
            <w:r>
              <w:rPr>
                <w:spacing w:val="-10"/>
                <w:sz w:val="18"/>
              </w:rPr>
              <w:t>$</w:t>
            </w:r>
          </w:p>
        </w:tc>
        <w:tc>
          <w:tcPr>
            <w:tcW w:w="1013" w:type="dxa"/>
          </w:tcPr>
          <w:p>
            <w:pPr>
              <w:pStyle w:val="TableParagraph"/>
              <w:spacing w:before="18"/>
              <w:ind w:right="100"/>
              <w:jc w:val="right"/>
              <w:rPr>
                <w:sz w:val="18"/>
              </w:rPr>
            </w:pPr>
            <w:r>
              <w:rPr>
                <w:spacing w:val="-2"/>
                <w:sz w:val="18"/>
              </w:rPr>
              <w:t>4,201</w:t>
            </w:r>
          </w:p>
        </w:tc>
        <w:tc>
          <w:tcPr>
            <w:tcW w:w="1669" w:type="dxa"/>
          </w:tcPr>
          <w:p>
            <w:pPr>
              <w:pStyle w:val="TableParagraph"/>
              <w:tabs>
                <w:tab w:pos="1072" w:val="left" w:leader="none"/>
              </w:tabs>
              <w:spacing w:before="18"/>
              <w:ind w:right="89"/>
              <w:jc w:val="right"/>
              <w:rPr>
                <w:sz w:val="18"/>
              </w:rPr>
            </w:pPr>
            <w:r>
              <w:rPr>
                <w:spacing w:val="-10"/>
                <w:sz w:val="18"/>
              </w:rPr>
              <w:t>$</w:t>
            </w:r>
            <w:r>
              <w:rPr>
                <w:sz w:val="18"/>
              </w:rPr>
              <w:tab/>
            </w:r>
            <w:r>
              <w:rPr>
                <w:spacing w:val="-2"/>
                <w:sz w:val="18"/>
              </w:rPr>
              <w:t>5,291</w:t>
            </w:r>
          </w:p>
        </w:tc>
      </w:tr>
      <w:tr>
        <w:trPr>
          <w:trHeight w:val="255" w:hRule="atLeast"/>
        </w:trPr>
        <w:tc>
          <w:tcPr>
            <w:tcW w:w="5195" w:type="dxa"/>
            <w:shd w:val="clear" w:color="auto" w:fill="CCEDFF"/>
          </w:tcPr>
          <w:p>
            <w:pPr>
              <w:pStyle w:val="TableParagraph"/>
              <w:spacing w:before="18"/>
              <w:ind w:left="292"/>
              <w:rPr>
                <w:sz w:val="18"/>
              </w:rPr>
            </w:pPr>
            <w:r>
              <w:rPr>
                <w:sz w:val="18"/>
              </w:rPr>
              <w:t>Minimum</w:t>
            </w:r>
            <w:r>
              <w:rPr>
                <w:spacing w:val="-1"/>
                <w:sz w:val="18"/>
              </w:rPr>
              <w:t> </w:t>
            </w:r>
            <w:r>
              <w:rPr>
                <w:sz w:val="18"/>
              </w:rPr>
              <w:t>dollar </w:t>
            </w:r>
            <w:r>
              <w:rPr>
                <w:spacing w:val="-2"/>
                <w:sz w:val="18"/>
              </w:rPr>
              <w:t>requirement</w:t>
            </w:r>
          </w:p>
        </w:tc>
        <w:tc>
          <w:tcPr>
            <w:tcW w:w="2385" w:type="dxa"/>
            <w:shd w:val="clear" w:color="auto" w:fill="CCEDFF"/>
          </w:tcPr>
          <w:p>
            <w:pPr>
              <w:pStyle w:val="TableParagraph"/>
              <w:rPr>
                <w:sz w:val="18"/>
              </w:rPr>
            </w:pPr>
          </w:p>
        </w:tc>
        <w:tc>
          <w:tcPr>
            <w:tcW w:w="1013" w:type="dxa"/>
            <w:shd w:val="clear" w:color="auto" w:fill="CCEDFF"/>
          </w:tcPr>
          <w:p>
            <w:pPr>
              <w:pStyle w:val="TableParagraph"/>
              <w:spacing w:before="18"/>
              <w:ind w:right="100"/>
              <w:jc w:val="right"/>
              <w:rPr>
                <w:sz w:val="18"/>
              </w:rPr>
            </w:pPr>
            <w:r>
              <w:rPr>
                <w:spacing w:val="-2"/>
                <w:sz w:val="18"/>
              </w:rPr>
              <w:t>1.500</w:t>
            </w:r>
          </w:p>
        </w:tc>
        <w:tc>
          <w:tcPr>
            <w:tcW w:w="1669" w:type="dxa"/>
            <w:shd w:val="clear" w:color="auto" w:fill="CCEDFF"/>
          </w:tcPr>
          <w:p>
            <w:pPr>
              <w:pStyle w:val="TableParagraph"/>
              <w:spacing w:before="18"/>
              <w:ind w:right="89"/>
              <w:jc w:val="right"/>
              <w:rPr>
                <w:sz w:val="18"/>
              </w:rPr>
            </w:pPr>
            <w:r>
              <w:rPr>
                <w:spacing w:val="-2"/>
                <w:sz w:val="18"/>
              </w:rPr>
              <w:t>1.500</w:t>
            </w:r>
          </w:p>
        </w:tc>
      </w:tr>
      <w:tr>
        <w:trPr>
          <w:trHeight w:val="255" w:hRule="atLeast"/>
        </w:trPr>
        <w:tc>
          <w:tcPr>
            <w:tcW w:w="5195" w:type="dxa"/>
          </w:tcPr>
          <w:p>
            <w:pPr>
              <w:pStyle w:val="TableParagraph"/>
              <w:spacing w:before="18"/>
              <w:ind w:left="292"/>
              <w:rPr>
                <w:sz w:val="18"/>
              </w:rPr>
            </w:pPr>
            <w:r>
              <w:rPr>
                <w:sz w:val="18"/>
              </w:rPr>
              <w:t>2% of aggregate debit </w:t>
            </w:r>
            <w:r>
              <w:rPr>
                <w:spacing w:val="-2"/>
                <w:sz w:val="18"/>
              </w:rPr>
              <w:t>balances</w:t>
            </w:r>
          </w:p>
        </w:tc>
        <w:tc>
          <w:tcPr>
            <w:tcW w:w="2385" w:type="dxa"/>
          </w:tcPr>
          <w:p>
            <w:pPr>
              <w:pStyle w:val="TableParagraph"/>
              <w:rPr>
                <w:sz w:val="18"/>
              </w:rPr>
            </w:pPr>
          </w:p>
        </w:tc>
        <w:tc>
          <w:tcPr>
            <w:tcW w:w="1013" w:type="dxa"/>
          </w:tcPr>
          <w:p>
            <w:pPr>
              <w:pStyle w:val="TableParagraph"/>
              <w:spacing w:before="18"/>
              <w:ind w:right="100"/>
              <w:jc w:val="right"/>
              <w:rPr>
                <w:sz w:val="18"/>
              </w:rPr>
            </w:pPr>
            <w:r>
              <w:rPr>
                <w:spacing w:val="-5"/>
                <w:sz w:val="18"/>
              </w:rPr>
              <w:t>501</w:t>
            </w:r>
          </w:p>
        </w:tc>
        <w:tc>
          <w:tcPr>
            <w:tcW w:w="1669" w:type="dxa"/>
          </w:tcPr>
          <w:p>
            <w:pPr>
              <w:pStyle w:val="TableParagraph"/>
              <w:spacing w:before="18"/>
              <w:ind w:right="89"/>
              <w:jc w:val="right"/>
              <w:rPr>
                <w:sz w:val="18"/>
              </w:rPr>
            </w:pPr>
            <w:r>
              <w:rPr>
                <w:spacing w:val="-5"/>
                <w:sz w:val="18"/>
              </w:rPr>
              <w:t>626</w:t>
            </w:r>
          </w:p>
        </w:tc>
      </w:tr>
      <w:tr>
        <w:trPr>
          <w:trHeight w:val="250" w:hRule="atLeast"/>
        </w:trPr>
        <w:tc>
          <w:tcPr>
            <w:tcW w:w="5195" w:type="dxa"/>
            <w:tcBorders>
              <w:bottom w:val="single" w:sz="4" w:space="0" w:color="000000"/>
            </w:tcBorders>
            <w:shd w:val="clear" w:color="auto" w:fill="CCEDFF"/>
          </w:tcPr>
          <w:p>
            <w:pPr>
              <w:pStyle w:val="TableParagraph"/>
              <w:spacing w:before="18"/>
              <w:ind w:right="1786"/>
              <w:jc w:val="right"/>
              <w:rPr>
                <w:sz w:val="18"/>
              </w:rPr>
            </w:pPr>
            <w:r>
              <w:rPr>
                <w:sz w:val="18"/>
              </w:rPr>
              <w:t>Net</w:t>
            </w:r>
            <w:r>
              <w:rPr>
                <w:spacing w:val="-1"/>
                <w:sz w:val="18"/>
              </w:rPr>
              <w:t> </w:t>
            </w:r>
            <w:r>
              <w:rPr>
                <w:sz w:val="18"/>
              </w:rPr>
              <w:t>capital in excess</w:t>
            </w:r>
            <w:r>
              <w:rPr>
                <w:spacing w:val="-2"/>
                <w:sz w:val="18"/>
              </w:rPr>
              <w:t> </w:t>
            </w:r>
            <w:r>
              <w:rPr>
                <w:sz w:val="18"/>
              </w:rPr>
              <w:t>of required net </w:t>
            </w:r>
            <w:r>
              <w:rPr>
                <w:spacing w:val="-2"/>
                <w:sz w:val="18"/>
              </w:rPr>
              <w:t>capital</w:t>
            </w:r>
          </w:p>
        </w:tc>
        <w:tc>
          <w:tcPr>
            <w:tcW w:w="2385" w:type="dxa"/>
            <w:tcBorders>
              <w:bottom w:val="single" w:sz="4" w:space="0" w:color="000000"/>
            </w:tcBorders>
            <w:shd w:val="clear" w:color="auto" w:fill="CCEDFF"/>
          </w:tcPr>
          <w:p>
            <w:pPr>
              <w:pStyle w:val="TableParagraph"/>
              <w:spacing w:before="18"/>
              <w:ind w:right="505"/>
              <w:jc w:val="right"/>
              <w:rPr>
                <w:sz w:val="18"/>
              </w:rPr>
            </w:pPr>
            <w:r>
              <w:rPr>
                <w:spacing w:val="-10"/>
                <w:sz w:val="18"/>
              </w:rPr>
              <w:t>$</w:t>
            </w:r>
          </w:p>
        </w:tc>
        <w:tc>
          <w:tcPr>
            <w:tcW w:w="1013" w:type="dxa"/>
            <w:tcBorders>
              <w:bottom w:val="single" w:sz="4" w:space="0" w:color="000000"/>
            </w:tcBorders>
            <w:shd w:val="clear" w:color="auto" w:fill="CCEDFF"/>
          </w:tcPr>
          <w:p>
            <w:pPr>
              <w:pStyle w:val="TableParagraph"/>
              <w:spacing w:before="18"/>
              <w:ind w:right="100"/>
              <w:jc w:val="right"/>
              <w:rPr>
                <w:sz w:val="18"/>
              </w:rPr>
            </w:pPr>
            <w:r>
              <w:rPr>
                <w:spacing w:val="-2"/>
                <w:sz w:val="18"/>
              </w:rPr>
              <w:t>3,700</w:t>
            </w:r>
          </w:p>
        </w:tc>
        <w:tc>
          <w:tcPr>
            <w:tcW w:w="1669" w:type="dxa"/>
            <w:tcBorders>
              <w:bottom w:val="single" w:sz="4" w:space="0" w:color="000000"/>
            </w:tcBorders>
            <w:shd w:val="clear" w:color="auto" w:fill="CCEDFF"/>
          </w:tcPr>
          <w:p>
            <w:pPr>
              <w:pStyle w:val="TableParagraph"/>
              <w:tabs>
                <w:tab w:pos="1072" w:val="left" w:leader="none"/>
              </w:tabs>
              <w:spacing w:before="18"/>
              <w:ind w:right="89"/>
              <w:jc w:val="right"/>
              <w:rPr>
                <w:sz w:val="18"/>
              </w:rPr>
            </w:pPr>
            <w:r>
              <w:rPr>
                <w:spacing w:val="-10"/>
                <w:sz w:val="18"/>
              </w:rPr>
              <w:t>$</w:t>
            </w:r>
            <w:r>
              <w:rPr>
                <w:sz w:val="18"/>
              </w:rPr>
              <w:tab/>
            </w:r>
            <w:r>
              <w:rPr>
                <w:spacing w:val="-2"/>
                <w:sz w:val="18"/>
              </w:rPr>
              <w:t>4,665</w:t>
            </w:r>
          </w:p>
        </w:tc>
      </w:tr>
      <w:tr>
        <w:trPr>
          <w:trHeight w:val="250" w:hRule="atLeast"/>
        </w:trPr>
        <w:tc>
          <w:tcPr>
            <w:tcW w:w="5195" w:type="dxa"/>
            <w:tcBorders>
              <w:top w:val="single" w:sz="4" w:space="0" w:color="000000"/>
            </w:tcBorders>
          </w:tcPr>
          <w:p>
            <w:pPr>
              <w:pStyle w:val="TableParagraph"/>
              <w:spacing w:before="13"/>
              <w:ind w:left="52"/>
              <w:rPr>
                <w:b/>
                <w:sz w:val="18"/>
              </w:rPr>
            </w:pPr>
            <w:r>
              <w:rPr>
                <w:b/>
                <w:sz w:val="18"/>
              </w:rPr>
              <w:t>TD</w:t>
            </w:r>
            <w:r>
              <w:rPr>
                <w:b/>
                <w:spacing w:val="-4"/>
                <w:sz w:val="18"/>
              </w:rPr>
              <w:t> </w:t>
            </w:r>
            <w:r>
              <w:rPr>
                <w:b/>
                <w:sz w:val="18"/>
              </w:rPr>
              <w:t>Ameritrade,</w:t>
            </w:r>
            <w:r>
              <w:rPr>
                <w:b/>
                <w:spacing w:val="-1"/>
                <w:sz w:val="18"/>
              </w:rPr>
              <w:t> </w:t>
            </w:r>
            <w:r>
              <w:rPr>
                <w:b/>
                <w:spacing w:val="-4"/>
                <w:sz w:val="18"/>
              </w:rPr>
              <w:t>Inc.</w:t>
            </w:r>
          </w:p>
        </w:tc>
        <w:tc>
          <w:tcPr>
            <w:tcW w:w="2385" w:type="dxa"/>
            <w:tcBorders>
              <w:top w:val="single" w:sz="4" w:space="0" w:color="000000"/>
            </w:tcBorders>
          </w:tcPr>
          <w:p>
            <w:pPr>
              <w:pStyle w:val="TableParagraph"/>
              <w:rPr>
                <w:sz w:val="18"/>
              </w:rPr>
            </w:pPr>
          </w:p>
        </w:tc>
        <w:tc>
          <w:tcPr>
            <w:tcW w:w="1013" w:type="dxa"/>
            <w:tcBorders>
              <w:top w:val="single" w:sz="4" w:space="0" w:color="000000"/>
            </w:tcBorders>
          </w:tcPr>
          <w:p>
            <w:pPr>
              <w:pStyle w:val="TableParagraph"/>
              <w:rPr>
                <w:sz w:val="18"/>
              </w:rPr>
            </w:pPr>
          </w:p>
        </w:tc>
        <w:tc>
          <w:tcPr>
            <w:tcW w:w="1669" w:type="dxa"/>
            <w:tcBorders>
              <w:top w:val="single" w:sz="4" w:space="0" w:color="000000"/>
            </w:tcBorders>
          </w:tcPr>
          <w:p>
            <w:pPr>
              <w:pStyle w:val="TableParagraph"/>
              <w:rPr>
                <w:sz w:val="18"/>
              </w:rPr>
            </w:pPr>
          </w:p>
        </w:tc>
      </w:tr>
      <w:tr>
        <w:trPr>
          <w:trHeight w:val="255" w:hRule="atLeast"/>
        </w:trPr>
        <w:tc>
          <w:tcPr>
            <w:tcW w:w="5195" w:type="dxa"/>
            <w:shd w:val="clear" w:color="auto" w:fill="CCEDFF"/>
          </w:tcPr>
          <w:p>
            <w:pPr>
              <w:pStyle w:val="TableParagraph"/>
              <w:spacing w:before="18"/>
              <w:ind w:left="292"/>
              <w:rPr>
                <w:sz w:val="18"/>
              </w:rPr>
            </w:pPr>
            <w:r>
              <w:rPr>
                <w:sz w:val="18"/>
              </w:rPr>
              <w:t>Net</w:t>
            </w:r>
            <w:r>
              <w:rPr>
                <w:spacing w:val="-1"/>
                <w:sz w:val="18"/>
              </w:rPr>
              <w:t> </w:t>
            </w:r>
            <w:r>
              <w:rPr>
                <w:spacing w:val="-2"/>
                <w:sz w:val="18"/>
              </w:rPr>
              <w:t>capital</w:t>
            </w:r>
          </w:p>
        </w:tc>
        <w:tc>
          <w:tcPr>
            <w:tcW w:w="2385" w:type="dxa"/>
            <w:shd w:val="clear" w:color="auto" w:fill="CCEDFF"/>
          </w:tcPr>
          <w:p>
            <w:pPr>
              <w:pStyle w:val="TableParagraph"/>
              <w:spacing w:before="18"/>
              <w:ind w:right="505"/>
              <w:jc w:val="right"/>
              <w:rPr>
                <w:sz w:val="18"/>
              </w:rPr>
            </w:pPr>
            <w:r>
              <w:rPr>
                <w:spacing w:val="-10"/>
                <w:sz w:val="18"/>
              </w:rPr>
              <w:t>$</w:t>
            </w:r>
          </w:p>
        </w:tc>
        <w:tc>
          <w:tcPr>
            <w:tcW w:w="1013" w:type="dxa"/>
            <w:shd w:val="clear" w:color="auto" w:fill="CCEDFF"/>
          </w:tcPr>
          <w:p>
            <w:pPr>
              <w:pStyle w:val="TableParagraph"/>
              <w:spacing w:before="18"/>
              <w:ind w:right="100"/>
              <w:jc w:val="right"/>
              <w:rPr>
                <w:sz w:val="18"/>
              </w:rPr>
            </w:pPr>
            <w:r>
              <w:rPr>
                <w:spacing w:val="-5"/>
                <w:sz w:val="18"/>
              </w:rPr>
              <w:t>671</w:t>
            </w:r>
          </w:p>
        </w:tc>
        <w:tc>
          <w:tcPr>
            <w:tcW w:w="1669" w:type="dxa"/>
            <w:shd w:val="clear" w:color="auto" w:fill="CCEDFF"/>
          </w:tcPr>
          <w:p>
            <w:pPr>
              <w:pStyle w:val="TableParagraph"/>
              <w:tabs>
                <w:tab w:pos="1207" w:val="left" w:leader="none"/>
              </w:tabs>
              <w:spacing w:before="18"/>
              <w:ind w:right="89"/>
              <w:jc w:val="right"/>
              <w:rPr>
                <w:sz w:val="18"/>
              </w:rPr>
            </w:pPr>
            <w:r>
              <w:rPr>
                <w:spacing w:val="-10"/>
                <w:sz w:val="18"/>
              </w:rPr>
              <w:t>$</w:t>
            </w:r>
            <w:r>
              <w:rPr>
                <w:sz w:val="18"/>
              </w:rPr>
              <w:tab/>
            </w:r>
            <w:r>
              <w:rPr>
                <w:spacing w:val="-5"/>
                <w:sz w:val="18"/>
              </w:rPr>
              <w:t>806</w:t>
            </w:r>
          </w:p>
        </w:tc>
      </w:tr>
      <w:tr>
        <w:trPr>
          <w:trHeight w:val="255" w:hRule="atLeast"/>
        </w:trPr>
        <w:tc>
          <w:tcPr>
            <w:tcW w:w="5195" w:type="dxa"/>
          </w:tcPr>
          <w:p>
            <w:pPr>
              <w:pStyle w:val="TableParagraph"/>
              <w:spacing w:before="18"/>
              <w:ind w:left="292"/>
              <w:rPr>
                <w:sz w:val="18"/>
              </w:rPr>
            </w:pPr>
            <w:r>
              <w:rPr>
                <w:sz w:val="18"/>
              </w:rPr>
              <w:t>Minimum</w:t>
            </w:r>
            <w:r>
              <w:rPr>
                <w:spacing w:val="-1"/>
                <w:sz w:val="18"/>
              </w:rPr>
              <w:t> </w:t>
            </w:r>
            <w:r>
              <w:rPr>
                <w:sz w:val="18"/>
              </w:rPr>
              <w:t>dollar </w:t>
            </w:r>
            <w:r>
              <w:rPr>
                <w:spacing w:val="-2"/>
                <w:sz w:val="18"/>
              </w:rPr>
              <w:t>requirement</w:t>
            </w:r>
          </w:p>
        </w:tc>
        <w:tc>
          <w:tcPr>
            <w:tcW w:w="2385" w:type="dxa"/>
          </w:tcPr>
          <w:p>
            <w:pPr>
              <w:pStyle w:val="TableParagraph"/>
              <w:rPr>
                <w:sz w:val="18"/>
              </w:rPr>
            </w:pPr>
          </w:p>
        </w:tc>
        <w:tc>
          <w:tcPr>
            <w:tcW w:w="1013" w:type="dxa"/>
          </w:tcPr>
          <w:p>
            <w:pPr>
              <w:pStyle w:val="TableParagraph"/>
              <w:spacing w:before="18"/>
              <w:ind w:right="100"/>
              <w:jc w:val="right"/>
              <w:rPr>
                <w:sz w:val="18"/>
              </w:rPr>
            </w:pPr>
            <w:r>
              <w:rPr>
                <w:spacing w:val="-2"/>
                <w:sz w:val="18"/>
              </w:rPr>
              <w:t>0.250</w:t>
            </w:r>
          </w:p>
        </w:tc>
        <w:tc>
          <w:tcPr>
            <w:tcW w:w="1669" w:type="dxa"/>
          </w:tcPr>
          <w:p>
            <w:pPr>
              <w:pStyle w:val="TableParagraph"/>
              <w:spacing w:before="18"/>
              <w:ind w:right="89"/>
              <w:jc w:val="right"/>
              <w:rPr>
                <w:sz w:val="18"/>
              </w:rPr>
            </w:pPr>
            <w:r>
              <w:rPr>
                <w:spacing w:val="-2"/>
                <w:sz w:val="18"/>
              </w:rPr>
              <w:t>0.250</w:t>
            </w:r>
          </w:p>
        </w:tc>
      </w:tr>
      <w:tr>
        <w:trPr>
          <w:trHeight w:val="255" w:hRule="atLeast"/>
        </w:trPr>
        <w:tc>
          <w:tcPr>
            <w:tcW w:w="5195" w:type="dxa"/>
            <w:shd w:val="clear" w:color="auto" w:fill="CCEDFF"/>
          </w:tcPr>
          <w:p>
            <w:pPr>
              <w:pStyle w:val="TableParagraph"/>
              <w:spacing w:before="18"/>
              <w:ind w:left="292"/>
              <w:rPr>
                <w:sz w:val="18"/>
              </w:rPr>
            </w:pPr>
            <w:r>
              <w:rPr>
                <w:sz w:val="18"/>
              </w:rPr>
              <w:t>2% of aggregate debit </w:t>
            </w:r>
            <w:r>
              <w:rPr>
                <w:spacing w:val="-2"/>
                <w:sz w:val="18"/>
              </w:rPr>
              <w:t>balances</w:t>
            </w:r>
          </w:p>
        </w:tc>
        <w:tc>
          <w:tcPr>
            <w:tcW w:w="2385" w:type="dxa"/>
            <w:shd w:val="clear" w:color="auto" w:fill="CCEDFF"/>
          </w:tcPr>
          <w:p>
            <w:pPr>
              <w:pStyle w:val="TableParagraph"/>
              <w:rPr>
                <w:sz w:val="18"/>
              </w:rPr>
            </w:pPr>
          </w:p>
        </w:tc>
        <w:tc>
          <w:tcPr>
            <w:tcW w:w="1013" w:type="dxa"/>
            <w:shd w:val="clear" w:color="auto" w:fill="CCEDFF"/>
          </w:tcPr>
          <w:p>
            <w:pPr>
              <w:pStyle w:val="TableParagraph"/>
              <w:spacing w:before="18"/>
              <w:ind w:right="100"/>
              <w:jc w:val="right"/>
              <w:rPr>
                <w:sz w:val="18"/>
              </w:rPr>
            </w:pPr>
            <w:r>
              <w:rPr>
                <w:spacing w:val="-10"/>
                <w:sz w:val="18"/>
              </w:rPr>
              <w:t>—</w:t>
            </w:r>
          </w:p>
        </w:tc>
        <w:tc>
          <w:tcPr>
            <w:tcW w:w="1669" w:type="dxa"/>
            <w:shd w:val="clear" w:color="auto" w:fill="CCEDFF"/>
          </w:tcPr>
          <w:p>
            <w:pPr>
              <w:pStyle w:val="TableParagraph"/>
              <w:spacing w:before="18"/>
              <w:ind w:right="89"/>
              <w:jc w:val="right"/>
              <w:rPr>
                <w:sz w:val="18"/>
              </w:rPr>
            </w:pPr>
            <w:r>
              <w:rPr>
                <w:spacing w:val="-10"/>
                <w:sz w:val="18"/>
              </w:rPr>
              <w:t>—</w:t>
            </w:r>
          </w:p>
        </w:tc>
      </w:tr>
      <w:tr>
        <w:trPr>
          <w:trHeight w:val="250" w:hRule="atLeast"/>
        </w:trPr>
        <w:tc>
          <w:tcPr>
            <w:tcW w:w="5195" w:type="dxa"/>
            <w:tcBorders>
              <w:bottom w:val="single" w:sz="4" w:space="0" w:color="000000"/>
            </w:tcBorders>
          </w:tcPr>
          <w:p>
            <w:pPr>
              <w:pStyle w:val="TableParagraph"/>
              <w:spacing w:before="18"/>
              <w:ind w:right="1786"/>
              <w:jc w:val="right"/>
              <w:rPr>
                <w:sz w:val="18"/>
              </w:rPr>
            </w:pPr>
            <w:r>
              <w:rPr>
                <w:sz w:val="18"/>
              </w:rPr>
              <w:t>Net</w:t>
            </w:r>
            <w:r>
              <w:rPr>
                <w:spacing w:val="-1"/>
                <w:sz w:val="18"/>
              </w:rPr>
              <w:t> </w:t>
            </w:r>
            <w:r>
              <w:rPr>
                <w:sz w:val="18"/>
              </w:rPr>
              <w:t>capital in excess</w:t>
            </w:r>
            <w:r>
              <w:rPr>
                <w:spacing w:val="-2"/>
                <w:sz w:val="18"/>
              </w:rPr>
              <w:t> </w:t>
            </w:r>
            <w:r>
              <w:rPr>
                <w:sz w:val="18"/>
              </w:rPr>
              <w:t>of required net </w:t>
            </w:r>
            <w:r>
              <w:rPr>
                <w:spacing w:val="-2"/>
                <w:sz w:val="18"/>
              </w:rPr>
              <w:t>capital</w:t>
            </w:r>
          </w:p>
        </w:tc>
        <w:tc>
          <w:tcPr>
            <w:tcW w:w="2385" w:type="dxa"/>
            <w:tcBorders>
              <w:bottom w:val="single" w:sz="4" w:space="0" w:color="000000"/>
            </w:tcBorders>
          </w:tcPr>
          <w:p>
            <w:pPr>
              <w:pStyle w:val="TableParagraph"/>
              <w:spacing w:before="18"/>
              <w:ind w:right="505"/>
              <w:jc w:val="right"/>
              <w:rPr>
                <w:sz w:val="18"/>
              </w:rPr>
            </w:pPr>
            <w:r>
              <w:rPr>
                <w:spacing w:val="-10"/>
                <w:sz w:val="18"/>
              </w:rPr>
              <w:t>$</w:t>
            </w:r>
          </w:p>
        </w:tc>
        <w:tc>
          <w:tcPr>
            <w:tcW w:w="1013" w:type="dxa"/>
            <w:tcBorders>
              <w:bottom w:val="single" w:sz="4" w:space="0" w:color="000000"/>
            </w:tcBorders>
          </w:tcPr>
          <w:p>
            <w:pPr>
              <w:pStyle w:val="TableParagraph"/>
              <w:spacing w:before="18"/>
              <w:ind w:right="100"/>
              <w:jc w:val="right"/>
              <w:rPr>
                <w:sz w:val="18"/>
              </w:rPr>
            </w:pPr>
            <w:r>
              <w:rPr>
                <w:spacing w:val="-5"/>
                <w:sz w:val="18"/>
              </w:rPr>
              <w:t>671</w:t>
            </w:r>
          </w:p>
        </w:tc>
        <w:tc>
          <w:tcPr>
            <w:tcW w:w="1669" w:type="dxa"/>
            <w:tcBorders>
              <w:bottom w:val="single" w:sz="4" w:space="0" w:color="000000"/>
            </w:tcBorders>
          </w:tcPr>
          <w:p>
            <w:pPr>
              <w:pStyle w:val="TableParagraph"/>
              <w:tabs>
                <w:tab w:pos="1207" w:val="left" w:leader="none"/>
              </w:tabs>
              <w:spacing w:before="18"/>
              <w:ind w:right="89"/>
              <w:jc w:val="right"/>
              <w:rPr>
                <w:sz w:val="18"/>
              </w:rPr>
            </w:pPr>
            <w:r>
              <w:rPr>
                <w:spacing w:val="-10"/>
                <w:sz w:val="18"/>
              </w:rPr>
              <w:t>$</w:t>
            </w:r>
            <w:r>
              <w:rPr>
                <w:sz w:val="18"/>
              </w:rPr>
              <w:tab/>
            </w:r>
            <w:r>
              <w:rPr>
                <w:spacing w:val="-5"/>
                <w:sz w:val="18"/>
              </w:rPr>
              <w:t>806</w:t>
            </w:r>
          </w:p>
        </w:tc>
      </w:tr>
    </w:tbl>
    <w:p>
      <w:pPr>
        <w:pStyle w:val="BodyText"/>
        <w:spacing w:before="79"/>
        <w:rPr>
          <w:b/>
          <w:sz w:val="18"/>
        </w:rPr>
      </w:pPr>
    </w:p>
    <w:p>
      <w:pPr>
        <w:pStyle w:val="BodyText"/>
        <w:spacing w:line="249" w:lineRule="auto" w:before="1"/>
        <w:ind w:left="470" w:right="500"/>
      </w:pPr>
      <w:r>
        <w:rPr/>
        <w:t>Pursuant</w:t>
      </w:r>
      <w:r>
        <w:rPr>
          <w:spacing w:val="-4"/>
        </w:rPr>
        <w:t> </w:t>
      </w:r>
      <w:r>
        <w:rPr/>
        <w:t>to</w:t>
      </w:r>
      <w:r>
        <w:rPr>
          <w:spacing w:val="-3"/>
        </w:rPr>
        <w:t> </w:t>
      </w:r>
      <w:r>
        <w:rPr/>
        <w:t>the</w:t>
      </w:r>
      <w:r>
        <w:rPr>
          <w:spacing w:val="-4"/>
        </w:rPr>
        <w:t> </w:t>
      </w:r>
      <w:r>
        <w:rPr/>
        <w:t>SEC’s</w:t>
      </w:r>
      <w:r>
        <w:rPr>
          <w:spacing w:val="-4"/>
        </w:rPr>
        <w:t> </w:t>
      </w:r>
      <w:r>
        <w:rPr/>
        <w:t>Customer</w:t>
      </w:r>
      <w:r>
        <w:rPr>
          <w:spacing w:val="-3"/>
        </w:rPr>
        <w:t> </w:t>
      </w:r>
      <w:r>
        <w:rPr/>
        <w:t>Protection</w:t>
      </w:r>
      <w:r>
        <w:rPr>
          <w:spacing w:val="-3"/>
        </w:rPr>
        <w:t> </w:t>
      </w:r>
      <w:r>
        <w:rPr/>
        <w:t>Rule</w:t>
      </w:r>
      <w:r>
        <w:rPr>
          <w:spacing w:val="-4"/>
        </w:rPr>
        <w:t> </w:t>
      </w:r>
      <w:r>
        <w:rPr/>
        <w:t>and</w:t>
      </w:r>
      <w:r>
        <w:rPr>
          <w:spacing w:val="-3"/>
        </w:rPr>
        <w:t> </w:t>
      </w:r>
      <w:r>
        <w:rPr/>
        <w:t>other</w:t>
      </w:r>
      <w:r>
        <w:rPr>
          <w:spacing w:val="-3"/>
        </w:rPr>
        <w:t> </w:t>
      </w:r>
      <w:r>
        <w:rPr/>
        <w:t>applicable</w:t>
      </w:r>
      <w:r>
        <w:rPr>
          <w:spacing w:val="-4"/>
        </w:rPr>
        <w:t> </w:t>
      </w:r>
      <w:r>
        <w:rPr/>
        <w:t>regulations,</w:t>
      </w:r>
      <w:r>
        <w:rPr>
          <w:spacing w:val="-3"/>
        </w:rPr>
        <w:t> </w:t>
      </w:r>
      <w:r>
        <w:rPr/>
        <w:t>Schwab</w:t>
      </w:r>
      <w:r>
        <w:rPr>
          <w:spacing w:val="-3"/>
        </w:rPr>
        <w:t> </w:t>
      </w:r>
      <w:r>
        <w:rPr/>
        <w:t>had</w:t>
      </w:r>
      <w:r>
        <w:rPr>
          <w:spacing w:val="-3"/>
        </w:rPr>
        <w:t> </w:t>
      </w:r>
      <w:r>
        <w:rPr/>
        <w:t>cash</w:t>
      </w:r>
      <w:r>
        <w:rPr>
          <w:spacing w:val="-3"/>
        </w:rPr>
        <w:t> </w:t>
      </w:r>
      <w:r>
        <w:rPr/>
        <w:t>and</w:t>
      </w:r>
      <w:r>
        <w:rPr>
          <w:spacing w:val="-3"/>
        </w:rPr>
        <w:t> </w:t>
      </w:r>
      <w:r>
        <w:rPr/>
        <w:t>investments</w:t>
      </w:r>
      <w:r>
        <w:rPr>
          <w:spacing w:val="-4"/>
        </w:rPr>
        <w:t> </w:t>
      </w:r>
      <w:r>
        <w:rPr/>
        <w:t>segregated for the exclusive benefit of clients at September 30, 2023. The SEC’s Customer Protection Rule requires broker-dealers to segregate client fully-paid securities and cash balances not collateralizing margin positions and not swept to money market funds or bank deposit accounts. Amounts included in cash and investments segregated and on deposit for regulatory purposes represent</w:t>
      </w:r>
      <w:r>
        <w:rPr>
          <w:spacing w:val="-1"/>
        </w:rPr>
        <w:t> </w:t>
      </w:r>
      <w:r>
        <w:rPr/>
        <w:t>actual</w:t>
      </w:r>
      <w:r>
        <w:rPr>
          <w:spacing w:val="-1"/>
        </w:rPr>
        <w:t> </w:t>
      </w:r>
      <w:r>
        <w:rPr/>
        <w:t>balances</w:t>
      </w:r>
      <w:r>
        <w:rPr>
          <w:spacing w:val="-1"/>
        </w:rPr>
        <w:t> </w:t>
      </w:r>
      <w:r>
        <w:rPr/>
        <w:t>on deposit. Cash and cash equivalents</w:t>
      </w:r>
      <w:r>
        <w:rPr>
          <w:spacing w:val="-1"/>
        </w:rPr>
        <w:t> </w:t>
      </w:r>
      <w:r>
        <w:rPr/>
        <w:t>included in cash and investments</w:t>
      </w:r>
      <w:r>
        <w:rPr>
          <w:spacing w:val="-1"/>
        </w:rPr>
        <w:t> </w:t>
      </w:r>
      <w:r>
        <w:rPr/>
        <w:t>segregated and on deposit</w:t>
      </w:r>
      <w:r>
        <w:rPr>
          <w:spacing w:val="-1"/>
        </w:rPr>
        <w:t> </w:t>
      </w:r>
      <w:r>
        <w:rPr/>
        <w:t>for regulatory purposes are presented as part of Schwab’s cash balances in the condensed consolidated statements of cash flows.</w:t>
      </w:r>
    </w:p>
    <w:p>
      <w:pPr>
        <w:pStyle w:val="BodyText"/>
      </w:pPr>
    </w:p>
    <w:p>
      <w:pPr>
        <w:pStyle w:val="BodyText"/>
        <w:spacing w:before="21"/>
      </w:pPr>
    </w:p>
    <w:p>
      <w:pPr>
        <w:pStyle w:val="Heading2"/>
        <w:numPr>
          <w:ilvl w:val="0"/>
          <w:numId w:val="4"/>
        </w:numPr>
        <w:tabs>
          <w:tab w:pos="1189" w:val="left" w:leader="none"/>
        </w:tabs>
        <w:spacing w:line="240" w:lineRule="auto" w:before="0" w:after="0"/>
        <w:ind w:left="1189" w:right="0" w:hanging="719"/>
        <w:jc w:val="left"/>
      </w:pPr>
      <w:bookmarkStart w:name="Note 18 Segment Information" w:id="57"/>
      <w:bookmarkEnd w:id="57"/>
      <w:r>
        <w:rPr>
          <w:b w:val="0"/>
        </w:rPr>
      </w:r>
      <w:r>
        <w:rPr/>
        <w:t>Segment</w:t>
      </w:r>
      <w:r>
        <w:rPr>
          <w:spacing w:val="-6"/>
        </w:rPr>
        <w:t> </w:t>
      </w:r>
      <w:r>
        <w:rPr>
          <w:spacing w:val="-2"/>
        </w:rPr>
        <w:t>Information</w:t>
      </w:r>
    </w:p>
    <w:p>
      <w:pPr>
        <w:pStyle w:val="BodyText"/>
        <w:spacing w:line="249" w:lineRule="auto" w:before="194"/>
        <w:ind w:left="470" w:right="500"/>
      </w:pPr>
      <w:r>
        <w:rPr/>
        <w:t>Schwab’s two reportable segments are Investor Services and Advisor Services. Schwab structures the operating segments according to its clients and the services provided to those clients. The Investor Services segment provides retail brokerage, investment advisory, and banking and trust services to individual investors, and retirement plan services, as well as other corporate brokerage services, to businesses and their employees. The Advisor Services segment provides custodial, trading, banking</w:t>
      </w:r>
      <w:r>
        <w:rPr>
          <w:spacing w:val="-3"/>
        </w:rPr>
        <w:t> </w:t>
      </w:r>
      <w:r>
        <w:rPr/>
        <w:t>and</w:t>
      </w:r>
      <w:r>
        <w:rPr>
          <w:spacing w:val="-3"/>
        </w:rPr>
        <w:t> </w:t>
      </w:r>
      <w:r>
        <w:rPr/>
        <w:t>trust,</w:t>
      </w:r>
      <w:r>
        <w:rPr>
          <w:spacing w:val="-3"/>
        </w:rPr>
        <w:t> </w:t>
      </w:r>
      <w:r>
        <w:rPr/>
        <w:t>and</w:t>
      </w:r>
      <w:r>
        <w:rPr>
          <w:spacing w:val="-3"/>
        </w:rPr>
        <w:t> </w:t>
      </w:r>
      <w:r>
        <w:rPr/>
        <w:t>support</w:t>
      </w:r>
      <w:r>
        <w:rPr>
          <w:spacing w:val="-4"/>
        </w:rPr>
        <w:t> </w:t>
      </w:r>
      <w:r>
        <w:rPr/>
        <w:t>services,</w:t>
      </w:r>
      <w:r>
        <w:rPr>
          <w:spacing w:val="-3"/>
        </w:rPr>
        <w:t> </w:t>
      </w:r>
      <w:r>
        <w:rPr/>
        <w:t>as</w:t>
      </w:r>
      <w:r>
        <w:rPr>
          <w:spacing w:val="-4"/>
        </w:rPr>
        <w:t> </w:t>
      </w:r>
      <w:r>
        <w:rPr/>
        <w:t>well</w:t>
      </w:r>
      <w:r>
        <w:rPr>
          <w:spacing w:val="-4"/>
        </w:rPr>
        <w:t> </w:t>
      </w:r>
      <w:r>
        <w:rPr/>
        <w:t>as</w:t>
      </w:r>
      <w:r>
        <w:rPr>
          <w:spacing w:val="-4"/>
        </w:rPr>
        <w:t> </w:t>
      </w:r>
      <w:r>
        <w:rPr/>
        <w:t>retirement</w:t>
      </w:r>
      <w:r>
        <w:rPr>
          <w:spacing w:val="-4"/>
        </w:rPr>
        <w:t> </w:t>
      </w:r>
      <w:r>
        <w:rPr/>
        <w:t>business</w:t>
      </w:r>
      <w:r>
        <w:rPr>
          <w:spacing w:val="-4"/>
        </w:rPr>
        <w:t> </w:t>
      </w:r>
      <w:r>
        <w:rPr/>
        <w:t>services,</w:t>
      </w:r>
      <w:r>
        <w:rPr>
          <w:spacing w:val="-3"/>
        </w:rPr>
        <w:t> </w:t>
      </w:r>
      <w:r>
        <w:rPr/>
        <w:t>to</w:t>
      </w:r>
      <w:r>
        <w:rPr>
          <w:spacing w:val="-3"/>
        </w:rPr>
        <w:t> </w:t>
      </w:r>
      <w:r>
        <w:rPr/>
        <w:t>independent</w:t>
      </w:r>
      <w:r>
        <w:rPr>
          <w:spacing w:val="-4"/>
        </w:rPr>
        <w:t> </w:t>
      </w:r>
      <w:r>
        <w:rPr/>
        <w:t>RIAs,</w:t>
      </w:r>
      <w:r>
        <w:rPr>
          <w:spacing w:val="-3"/>
        </w:rPr>
        <w:t> </w:t>
      </w:r>
      <w:r>
        <w:rPr/>
        <w:t>independent</w:t>
      </w:r>
      <w:r>
        <w:rPr>
          <w:spacing w:val="-4"/>
        </w:rPr>
        <w:t> </w:t>
      </w:r>
      <w:r>
        <w:rPr/>
        <w:t>retirement advisors,</w:t>
      </w:r>
      <w:r>
        <w:rPr>
          <w:spacing w:val="-1"/>
        </w:rPr>
        <w:t> </w:t>
      </w:r>
      <w:r>
        <w:rPr/>
        <w:t>and</w:t>
      </w:r>
      <w:r>
        <w:rPr>
          <w:spacing w:val="-1"/>
        </w:rPr>
        <w:t> </w:t>
      </w:r>
      <w:r>
        <w:rPr/>
        <w:t>recordkeepers.</w:t>
      </w:r>
      <w:r>
        <w:rPr>
          <w:spacing w:val="-1"/>
        </w:rPr>
        <w:t> </w:t>
      </w:r>
      <w:r>
        <w:rPr/>
        <w:t>Revenues</w:t>
      </w:r>
      <w:r>
        <w:rPr>
          <w:spacing w:val="-2"/>
        </w:rPr>
        <w:t> </w:t>
      </w:r>
      <w:r>
        <w:rPr/>
        <w:t>and</w:t>
      </w:r>
      <w:r>
        <w:rPr>
          <w:spacing w:val="-1"/>
        </w:rPr>
        <w:t> </w:t>
      </w:r>
      <w:r>
        <w:rPr/>
        <w:t>expenses</w:t>
      </w:r>
      <w:r>
        <w:rPr>
          <w:spacing w:val="-2"/>
        </w:rPr>
        <w:t> </w:t>
      </w:r>
      <w:r>
        <w:rPr/>
        <w:t>are</w:t>
      </w:r>
      <w:r>
        <w:rPr>
          <w:spacing w:val="-2"/>
        </w:rPr>
        <w:t> </w:t>
      </w:r>
      <w:r>
        <w:rPr/>
        <w:t>attributed</w:t>
      </w:r>
      <w:r>
        <w:rPr>
          <w:spacing w:val="-1"/>
        </w:rPr>
        <w:t> </w:t>
      </w:r>
      <w:r>
        <w:rPr/>
        <w:t>to</w:t>
      </w:r>
      <w:r>
        <w:rPr>
          <w:spacing w:val="-1"/>
        </w:rPr>
        <w:t> </w:t>
      </w:r>
      <w:r>
        <w:rPr/>
        <w:t>the</w:t>
      </w:r>
      <w:r>
        <w:rPr>
          <w:spacing w:val="-2"/>
        </w:rPr>
        <w:t> </w:t>
      </w:r>
      <w:r>
        <w:rPr/>
        <w:t>two</w:t>
      </w:r>
      <w:r>
        <w:rPr>
          <w:spacing w:val="-1"/>
        </w:rPr>
        <w:t> </w:t>
      </w:r>
      <w:r>
        <w:rPr/>
        <w:t>segments</w:t>
      </w:r>
      <w:r>
        <w:rPr>
          <w:spacing w:val="-2"/>
        </w:rPr>
        <w:t> </w:t>
      </w:r>
      <w:r>
        <w:rPr/>
        <w:t>based</w:t>
      </w:r>
      <w:r>
        <w:rPr>
          <w:spacing w:val="-1"/>
        </w:rPr>
        <w:t> </w:t>
      </w:r>
      <w:r>
        <w:rPr/>
        <w:t>on</w:t>
      </w:r>
      <w:r>
        <w:rPr>
          <w:spacing w:val="-1"/>
        </w:rPr>
        <w:t> </w:t>
      </w:r>
      <w:r>
        <w:rPr/>
        <w:t>which</w:t>
      </w:r>
      <w:r>
        <w:rPr>
          <w:spacing w:val="-1"/>
        </w:rPr>
        <w:t> </w:t>
      </w:r>
      <w:r>
        <w:rPr/>
        <w:t>segment</w:t>
      </w:r>
      <w:r>
        <w:rPr>
          <w:spacing w:val="-2"/>
        </w:rPr>
        <w:t> </w:t>
      </w:r>
      <w:r>
        <w:rPr/>
        <w:t>services</w:t>
      </w:r>
      <w:r>
        <w:rPr>
          <w:spacing w:val="-2"/>
        </w:rPr>
        <w:t> </w:t>
      </w:r>
      <w:r>
        <w:rPr/>
        <w:t>the </w:t>
      </w:r>
      <w:r>
        <w:rPr>
          <w:spacing w:val="-2"/>
        </w:rPr>
        <w:t>client.</w:t>
      </w:r>
    </w:p>
    <w:p>
      <w:pPr>
        <w:pStyle w:val="BodyText"/>
        <w:spacing w:before="15"/>
      </w:pPr>
    </w:p>
    <w:p>
      <w:pPr>
        <w:pStyle w:val="BodyText"/>
        <w:spacing w:line="249" w:lineRule="auto"/>
        <w:ind w:left="470" w:right="500"/>
      </w:pPr>
      <w:r>
        <w:rPr/>
        <w:t>Management evaluates the performance of the segments on a pre-tax basis. Segment assets and liabilities are not used for evaluating</w:t>
      </w:r>
      <w:r>
        <w:rPr>
          <w:spacing w:val="-3"/>
        </w:rPr>
        <w:t> </w:t>
      </w:r>
      <w:r>
        <w:rPr/>
        <w:t>segment</w:t>
      </w:r>
      <w:r>
        <w:rPr>
          <w:spacing w:val="-4"/>
        </w:rPr>
        <w:t> </w:t>
      </w:r>
      <w:r>
        <w:rPr/>
        <w:t>performance</w:t>
      </w:r>
      <w:r>
        <w:rPr>
          <w:spacing w:val="-4"/>
        </w:rPr>
        <w:t> </w:t>
      </w:r>
      <w:r>
        <w:rPr/>
        <w:t>or</w:t>
      </w:r>
      <w:r>
        <w:rPr>
          <w:spacing w:val="-3"/>
        </w:rPr>
        <w:t> </w:t>
      </w:r>
      <w:r>
        <w:rPr/>
        <w:t>in</w:t>
      </w:r>
      <w:r>
        <w:rPr>
          <w:spacing w:val="-3"/>
        </w:rPr>
        <w:t> </w:t>
      </w:r>
      <w:r>
        <w:rPr/>
        <w:t>deciding</w:t>
      </w:r>
      <w:r>
        <w:rPr>
          <w:spacing w:val="-3"/>
        </w:rPr>
        <w:t> </w:t>
      </w:r>
      <w:r>
        <w:rPr/>
        <w:t>how</w:t>
      </w:r>
      <w:r>
        <w:rPr>
          <w:spacing w:val="-4"/>
        </w:rPr>
        <w:t> </w:t>
      </w:r>
      <w:r>
        <w:rPr/>
        <w:t>to</w:t>
      </w:r>
      <w:r>
        <w:rPr>
          <w:spacing w:val="-3"/>
        </w:rPr>
        <w:t> </w:t>
      </w:r>
      <w:r>
        <w:rPr/>
        <w:t>allocate</w:t>
      </w:r>
      <w:r>
        <w:rPr>
          <w:spacing w:val="-4"/>
        </w:rPr>
        <w:t> </w:t>
      </w:r>
      <w:r>
        <w:rPr/>
        <w:t>resources</w:t>
      </w:r>
      <w:r>
        <w:rPr>
          <w:spacing w:val="-4"/>
        </w:rPr>
        <w:t> </w:t>
      </w:r>
      <w:r>
        <w:rPr/>
        <w:t>to</w:t>
      </w:r>
      <w:r>
        <w:rPr>
          <w:spacing w:val="-3"/>
        </w:rPr>
        <w:t> </w:t>
      </w:r>
      <w:r>
        <w:rPr/>
        <w:t>segments.</w:t>
      </w:r>
      <w:r>
        <w:rPr>
          <w:spacing w:val="-3"/>
        </w:rPr>
        <w:t> </w:t>
      </w:r>
      <w:r>
        <w:rPr/>
        <w:t>There</w:t>
      </w:r>
      <w:r>
        <w:rPr>
          <w:spacing w:val="-4"/>
        </w:rPr>
        <w:t> </w:t>
      </w:r>
      <w:r>
        <w:rPr/>
        <w:t>are</w:t>
      </w:r>
      <w:r>
        <w:rPr>
          <w:spacing w:val="-4"/>
        </w:rPr>
        <w:t> </w:t>
      </w:r>
      <w:r>
        <w:rPr/>
        <w:t>no</w:t>
      </w:r>
      <w:r>
        <w:rPr>
          <w:spacing w:val="-3"/>
        </w:rPr>
        <w:t> </w:t>
      </w:r>
      <w:r>
        <w:rPr/>
        <w:t>revenues</w:t>
      </w:r>
      <w:r>
        <w:rPr>
          <w:spacing w:val="-4"/>
        </w:rPr>
        <w:t> </w:t>
      </w:r>
      <w:r>
        <w:rPr/>
        <w:t>from</w:t>
      </w:r>
      <w:r>
        <w:rPr>
          <w:spacing w:val="-4"/>
        </w:rPr>
        <w:t> </w:t>
      </w:r>
      <w:r>
        <w:rPr/>
        <w:t>transactions between the segments.</w:t>
      </w:r>
    </w:p>
    <w:p>
      <w:pPr>
        <w:pStyle w:val="BodyText"/>
        <w:spacing w:before="183"/>
        <w:ind w:left="470"/>
      </w:pPr>
      <w:r>
        <w:rPr/>
        <mc:AlternateContent>
          <mc:Choice Requires="wps">
            <w:drawing>
              <wp:anchor distT="0" distB="0" distL="0" distR="0" allowOverlap="1" layoutInCell="1" locked="0" behindDoc="1" simplePos="0" relativeHeight="487640064">
                <wp:simplePos x="0" y="0"/>
                <wp:positionH relativeFrom="page">
                  <wp:posOffset>628650</wp:posOffset>
                </wp:positionH>
                <wp:positionV relativeFrom="paragraph">
                  <wp:posOffset>296050</wp:posOffset>
                </wp:positionV>
                <wp:extent cx="6515100" cy="6350"/>
                <wp:effectExtent l="0" t="0" r="0" b="0"/>
                <wp:wrapTopAndBottom/>
                <wp:docPr id="707" name="Group 707"/>
                <wp:cNvGraphicFramePr>
                  <a:graphicFrameLocks/>
                </wp:cNvGraphicFramePr>
                <a:graphic>
                  <a:graphicData uri="http://schemas.microsoft.com/office/word/2010/wordprocessingGroup">
                    <wpg:wgp>
                      <wpg:cNvPr id="707" name="Group 707"/>
                      <wpg:cNvGrpSpPr/>
                      <wpg:grpSpPr>
                        <a:xfrm>
                          <a:off x="0" y="0"/>
                          <a:ext cx="6515100" cy="6350"/>
                          <a:chExt cx="6515100" cy="6350"/>
                        </a:xfrm>
                      </wpg:grpSpPr>
                      <wps:wsp>
                        <wps:cNvPr id="708" name="Graphic 708"/>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709" name="Graphic 709"/>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23.311035pt;width:513pt;height:.5pt;mso-position-horizontal-relative:page;mso-position-vertical-relative:paragraph;z-index:-15676416;mso-wrap-distance-left:0;mso-wrap-distance-right:0" id="docshapegroup510" coordorigin="990,466" coordsize="10260,10">
                <v:shape style="position:absolute;left:990;top:471;width:10260;height:2" id="docshape511" coordorigin="990,471" coordsize="10260,0" path="m11250,471l990,471e" filled="true" fillcolor="#000000" stroked="false">
                  <v:path arrowok="t"/>
                  <v:fill opacity="0f" type="solid"/>
                </v:shape>
                <v:line style="position:absolute" from="990,471" to="11250,471" stroked="true" strokeweight=".5pt" strokecolor="#000000">
                  <v:stroke dashstyle="solid"/>
                </v:line>
                <w10:wrap type="topAndBottom"/>
              </v:group>
            </w:pict>
          </mc:Fallback>
        </mc:AlternateContent>
      </w:r>
      <w:r>
        <w:rPr/>
        <w:t>Financial</w:t>
      </w:r>
      <w:r>
        <w:rPr>
          <w:spacing w:val="-4"/>
        </w:rPr>
        <w:t> </w:t>
      </w:r>
      <w:r>
        <w:rPr/>
        <w:t>information</w:t>
      </w:r>
      <w:r>
        <w:rPr>
          <w:spacing w:val="-3"/>
        </w:rPr>
        <w:t> </w:t>
      </w:r>
      <w:r>
        <w:rPr/>
        <w:t>for</w:t>
      </w:r>
      <w:r>
        <w:rPr>
          <w:spacing w:val="-3"/>
        </w:rPr>
        <w:t> </w:t>
      </w:r>
      <w:r>
        <w:rPr/>
        <w:t>the</w:t>
      </w:r>
      <w:r>
        <w:rPr>
          <w:spacing w:val="-4"/>
        </w:rPr>
        <w:t> </w:t>
      </w:r>
      <w:r>
        <w:rPr/>
        <w:t>segments</w:t>
      </w:r>
      <w:r>
        <w:rPr>
          <w:spacing w:val="-4"/>
        </w:rPr>
        <w:t> </w:t>
      </w:r>
      <w:r>
        <w:rPr/>
        <w:t>is</w:t>
      </w:r>
      <w:r>
        <w:rPr>
          <w:spacing w:val="-4"/>
        </w:rPr>
        <w:t> </w:t>
      </w:r>
      <w:r>
        <w:rPr/>
        <w:t>presented</w:t>
      </w:r>
      <w:r>
        <w:rPr>
          <w:spacing w:val="-3"/>
        </w:rPr>
        <w:t> </w:t>
      </w:r>
      <w:r>
        <w:rPr/>
        <w:t>in</w:t>
      </w:r>
      <w:r>
        <w:rPr>
          <w:spacing w:val="-3"/>
        </w:rPr>
        <w:t> </w:t>
      </w:r>
      <w:r>
        <w:rPr/>
        <w:t>the</w:t>
      </w:r>
      <w:r>
        <w:rPr>
          <w:spacing w:val="-4"/>
        </w:rPr>
        <w:t> </w:t>
      </w:r>
      <w:r>
        <w:rPr/>
        <w:t>following</w:t>
      </w:r>
      <w:r>
        <w:rPr>
          <w:spacing w:val="-2"/>
        </w:rPr>
        <w:t> table:</w:t>
      </w:r>
    </w:p>
    <w:p>
      <w:pPr>
        <w:tabs>
          <w:tab w:pos="6910" w:val="left" w:leader="none"/>
          <w:tab w:pos="9497" w:val="left" w:leader="none"/>
        </w:tabs>
        <w:spacing w:before="43" w:after="30"/>
        <w:ind w:left="4745" w:right="0" w:firstLine="0"/>
        <w:jc w:val="left"/>
        <w:rPr>
          <w:sz w:val="18"/>
        </w:rPr>
      </w:pPr>
      <w:r>
        <w:rPr>
          <w:sz w:val="18"/>
        </w:rPr>
        <w:t>Investor</w:t>
      </w:r>
      <w:r>
        <w:rPr>
          <w:spacing w:val="-1"/>
          <w:sz w:val="18"/>
        </w:rPr>
        <w:t> </w:t>
      </w:r>
      <w:r>
        <w:rPr>
          <w:spacing w:val="-2"/>
          <w:sz w:val="18"/>
        </w:rPr>
        <w:t>Services</w:t>
      </w:r>
      <w:r>
        <w:rPr>
          <w:sz w:val="18"/>
        </w:rPr>
        <w:tab/>
        <w:t>Advisor</w:t>
      </w:r>
      <w:r>
        <w:rPr>
          <w:spacing w:val="-2"/>
          <w:sz w:val="18"/>
        </w:rPr>
        <w:t> Services</w:t>
      </w:r>
      <w:r>
        <w:rPr>
          <w:sz w:val="18"/>
        </w:rPr>
        <w:tab/>
      </w:r>
      <w:r>
        <w:rPr>
          <w:spacing w:val="-2"/>
          <w:sz w:val="18"/>
        </w:rPr>
        <w:t>Total</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5"/>
        <w:gridCol w:w="1031"/>
        <w:gridCol w:w="1053"/>
        <w:gridCol w:w="74"/>
        <w:gridCol w:w="1030"/>
        <w:gridCol w:w="1052"/>
        <w:gridCol w:w="73"/>
        <w:gridCol w:w="1029"/>
        <w:gridCol w:w="1051"/>
      </w:tblGrid>
      <w:tr>
        <w:trPr>
          <w:trHeight w:val="275" w:hRule="atLeast"/>
        </w:trPr>
        <w:tc>
          <w:tcPr>
            <w:tcW w:w="3855" w:type="dxa"/>
            <w:tcBorders>
              <w:bottom w:val="single" w:sz="4" w:space="0" w:color="000000"/>
            </w:tcBorders>
          </w:tcPr>
          <w:p>
            <w:pPr>
              <w:pStyle w:val="TableParagraph"/>
              <w:spacing w:before="43"/>
              <w:ind w:left="52"/>
              <w:rPr>
                <w:sz w:val="18"/>
              </w:rPr>
            </w:pPr>
            <w:r>
              <w:rPr>
                <w:sz w:val="18"/>
              </w:rPr>
              <w:t>Three</w:t>
            </w:r>
            <w:r>
              <w:rPr>
                <w:spacing w:val="-1"/>
                <w:sz w:val="18"/>
              </w:rPr>
              <w:t> </w:t>
            </w:r>
            <w:r>
              <w:rPr>
                <w:sz w:val="18"/>
              </w:rPr>
              <w:t>Months</w:t>
            </w:r>
            <w:r>
              <w:rPr>
                <w:spacing w:val="-1"/>
                <w:sz w:val="18"/>
              </w:rPr>
              <w:t> </w:t>
            </w:r>
            <w:r>
              <w:rPr>
                <w:sz w:val="18"/>
              </w:rPr>
              <w:t>Ended</w:t>
            </w:r>
            <w:r>
              <w:rPr>
                <w:spacing w:val="-1"/>
                <w:sz w:val="18"/>
              </w:rPr>
              <w:t> </w:t>
            </w:r>
            <w:r>
              <w:rPr>
                <w:sz w:val="18"/>
              </w:rPr>
              <w:t>September </w:t>
            </w:r>
            <w:r>
              <w:rPr>
                <w:spacing w:val="-5"/>
                <w:sz w:val="18"/>
              </w:rPr>
              <w:t>30,</w:t>
            </w:r>
          </w:p>
        </w:tc>
        <w:tc>
          <w:tcPr>
            <w:tcW w:w="1031" w:type="dxa"/>
            <w:tcBorders>
              <w:top w:val="single" w:sz="4" w:space="0" w:color="000000"/>
              <w:bottom w:val="single" w:sz="4" w:space="0" w:color="000000"/>
            </w:tcBorders>
          </w:tcPr>
          <w:p>
            <w:pPr>
              <w:pStyle w:val="TableParagraph"/>
              <w:spacing w:before="43"/>
              <w:ind w:left="322"/>
              <w:rPr>
                <w:sz w:val="18"/>
              </w:rPr>
            </w:pPr>
            <w:r>
              <w:rPr>
                <w:spacing w:val="-4"/>
                <w:sz w:val="18"/>
              </w:rPr>
              <w:t>2023</w:t>
            </w:r>
          </w:p>
        </w:tc>
        <w:tc>
          <w:tcPr>
            <w:tcW w:w="1053" w:type="dxa"/>
            <w:tcBorders>
              <w:top w:val="single" w:sz="4" w:space="0" w:color="000000"/>
              <w:bottom w:val="single" w:sz="4" w:space="0" w:color="000000"/>
            </w:tcBorders>
          </w:tcPr>
          <w:p>
            <w:pPr>
              <w:pStyle w:val="TableParagraph"/>
              <w:spacing w:before="43"/>
              <w:ind w:left="371"/>
              <w:rPr>
                <w:sz w:val="18"/>
              </w:rPr>
            </w:pPr>
            <w:r>
              <w:rPr>
                <w:spacing w:val="-4"/>
                <w:sz w:val="18"/>
              </w:rPr>
              <w:t>2022</w:t>
            </w:r>
          </w:p>
        </w:tc>
        <w:tc>
          <w:tcPr>
            <w:tcW w:w="74" w:type="dxa"/>
            <w:tcBorders>
              <w:bottom w:val="single" w:sz="4" w:space="0" w:color="000000"/>
            </w:tcBorders>
          </w:tcPr>
          <w:p>
            <w:pPr>
              <w:pStyle w:val="TableParagraph"/>
              <w:rPr>
                <w:sz w:val="18"/>
              </w:rPr>
            </w:pPr>
          </w:p>
        </w:tc>
        <w:tc>
          <w:tcPr>
            <w:tcW w:w="1030" w:type="dxa"/>
            <w:tcBorders>
              <w:top w:val="single" w:sz="4" w:space="0" w:color="000000"/>
              <w:bottom w:val="single" w:sz="4" w:space="0" w:color="000000"/>
            </w:tcBorders>
          </w:tcPr>
          <w:p>
            <w:pPr>
              <w:pStyle w:val="TableParagraph"/>
              <w:spacing w:before="43"/>
              <w:ind w:left="324"/>
              <w:rPr>
                <w:sz w:val="18"/>
              </w:rPr>
            </w:pPr>
            <w:r>
              <w:rPr>
                <w:spacing w:val="-4"/>
                <w:sz w:val="18"/>
              </w:rPr>
              <w:t>2023</w:t>
            </w:r>
          </w:p>
        </w:tc>
        <w:tc>
          <w:tcPr>
            <w:tcW w:w="1052" w:type="dxa"/>
            <w:tcBorders>
              <w:top w:val="single" w:sz="4" w:space="0" w:color="000000"/>
              <w:bottom w:val="single" w:sz="4" w:space="0" w:color="000000"/>
            </w:tcBorders>
          </w:tcPr>
          <w:p>
            <w:pPr>
              <w:pStyle w:val="TableParagraph"/>
              <w:spacing w:before="43"/>
              <w:ind w:left="374"/>
              <w:rPr>
                <w:sz w:val="18"/>
              </w:rPr>
            </w:pPr>
            <w:r>
              <w:rPr>
                <w:spacing w:val="-4"/>
                <w:sz w:val="18"/>
              </w:rPr>
              <w:t>2022</w:t>
            </w:r>
          </w:p>
        </w:tc>
        <w:tc>
          <w:tcPr>
            <w:tcW w:w="73" w:type="dxa"/>
            <w:tcBorders>
              <w:bottom w:val="single" w:sz="4" w:space="0" w:color="000000"/>
            </w:tcBorders>
          </w:tcPr>
          <w:p>
            <w:pPr>
              <w:pStyle w:val="TableParagraph"/>
              <w:rPr>
                <w:sz w:val="18"/>
              </w:rPr>
            </w:pPr>
          </w:p>
        </w:tc>
        <w:tc>
          <w:tcPr>
            <w:tcW w:w="1029" w:type="dxa"/>
            <w:tcBorders>
              <w:top w:val="single" w:sz="4" w:space="0" w:color="000000"/>
              <w:bottom w:val="single" w:sz="4" w:space="0" w:color="000000"/>
            </w:tcBorders>
          </w:tcPr>
          <w:p>
            <w:pPr>
              <w:pStyle w:val="TableParagraph"/>
              <w:spacing w:before="43"/>
              <w:ind w:left="329"/>
              <w:rPr>
                <w:sz w:val="18"/>
              </w:rPr>
            </w:pPr>
            <w:r>
              <w:rPr>
                <w:spacing w:val="-4"/>
                <w:sz w:val="18"/>
              </w:rPr>
              <w:t>2023</w:t>
            </w:r>
          </w:p>
        </w:tc>
        <w:tc>
          <w:tcPr>
            <w:tcW w:w="1051" w:type="dxa"/>
            <w:tcBorders>
              <w:top w:val="single" w:sz="4" w:space="0" w:color="000000"/>
              <w:bottom w:val="single" w:sz="4" w:space="0" w:color="000000"/>
            </w:tcBorders>
          </w:tcPr>
          <w:p>
            <w:pPr>
              <w:pStyle w:val="TableParagraph"/>
              <w:spacing w:before="43"/>
              <w:ind w:left="380"/>
              <w:rPr>
                <w:sz w:val="18"/>
              </w:rPr>
            </w:pPr>
            <w:r>
              <w:rPr>
                <w:spacing w:val="-4"/>
                <w:sz w:val="18"/>
              </w:rPr>
              <w:t>2022</w:t>
            </w:r>
          </w:p>
        </w:tc>
      </w:tr>
      <w:tr>
        <w:trPr>
          <w:trHeight w:val="280" w:hRule="atLeast"/>
        </w:trPr>
        <w:tc>
          <w:tcPr>
            <w:tcW w:w="3855" w:type="dxa"/>
            <w:tcBorders>
              <w:top w:val="single" w:sz="4" w:space="0" w:color="000000"/>
            </w:tcBorders>
          </w:tcPr>
          <w:p>
            <w:pPr>
              <w:pStyle w:val="TableParagraph"/>
              <w:spacing w:before="43"/>
              <w:ind w:left="52"/>
              <w:rPr>
                <w:b/>
                <w:sz w:val="18"/>
              </w:rPr>
            </w:pPr>
            <w:r>
              <w:rPr>
                <w:b/>
                <w:sz w:val="18"/>
              </w:rPr>
              <w:t>Net</w:t>
            </w:r>
            <w:r>
              <w:rPr>
                <w:b/>
                <w:spacing w:val="-1"/>
                <w:sz w:val="18"/>
              </w:rPr>
              <w:t> </w:t>
            </w:r>
            <w:r>
              <w:rPr>
                <w:b/>
                <w:spacing w:val="-2"/>
                <w:sz w:val="18"/>
              </w:rPr>
              <w:t>Revenues</w:t>
            </w:r>
          </w:p>
        </w:tc>
        <w:tc>
          <w:tcPr>
            <w:tcW w:w="1031" w:type="dxa"/>
            <w:tcBorders>
              <w:top w:val="single" w:sz="4" w:space="0" w:color="000000"/>
            </w:tcBorders>
          </w:tcPr>
          <w:p>
            <w:pPr>
              <w:pStyle w:val="TableParagraph"/>
              <w:rPr>
                <w:sz w:val="18"/>
              </w:rPr>
            </w:pPr>
          </w:p>
        </w:tc>
        <w:tc>
          <w:tcPr>
            <w:tcW w:w="1053" w:type="dxa"/>
            <w:tcBorders>
              <w:top w:val="single" w:sz="4" w:space="0" w:color="000000"/>
            </w:tcBorders>
          </w:tcPr>
          <w:p>
            <w:pPr>
              <w:pStyle w:val="TableParagraph"/>
              <w:rPr>
                <w:sz w:val="18"/>
              </w:rPr>
            </w:pPr>
          </w:p>
        </w:tc>
        <w:tc>
          <w:tcPr>
            <w:tcW w:w="74" w:type="dxa"/>
            <w:tcBorders>
              <w:top w:val="single" w:sz="4" w:space="0" w:color="000000"/>
            </w:tcBorders>
          </w:tcPr>
          <w:p>
            <w:pPr>
              <w:pStyle w:val="TableParagraph"/>
              <w:rPr>
                <w:sz w:val="18"/>
              </w:rPr>
            </w:pPr>
          </w:p>
        </w:tc>
        <w:tc>
          <w:tcPr>
            <w:tcW w:w="1030" w:type="dxa"/>
            <w:tcBorders>
              <w:top w:val="single" w:sz="4" w:space="0" w:color="000000"/>
            </w:tcBorders>
          </w:tcPr>
          <w:p>
            <w:pPr>
              <w:pStyle w:val="TableParagraph"/>
              <w:rPr>
                <w:sz w:val="18"/>
              </w:rPr>
            </w:pPr>
          </w:p>
        </w:tc>
        <w:tc>
          <w:tcPr>
            <w:tcW w:w="1052" w:type="dxa"/>
            <w:tcBorders>
              <w:top w:val="single" w:sz="4" w:space="0" w:color="000000"/>
            </w:tcBorders>
          </w:tcPr>
          <w:p>
            <w:pPr>
              <w:pStyle w:val="TableParagraph"/>
              <w:rPr>
                <w:sz w:val="18"/>
              </w:rPr>
            </w:pPr>
          </w:p>
        </w:tc>
        <w:tc>
          <w:tcPr>
            <w:tcW w:w="73" w:type="dxa"/>
            <w:tcBorders>
              <w:top w:val="single" w:sz="4" w:space="0" w:color="000000"/>
            </w:tcBorders>
          </w:tcPr>
          <w:p>
            <w:pPr>
              <w:pStyle w:val="TableParagraph"/>
              <w:rPr>
                <w:sz w:val="18"/>
              </w:rPr>
            </w:pPr>
          </w:p>
        </w:tc>
        <w:tc>
          <w:tcPr>
            <w:tcW w:w="1029" w:type="dxa"/>
            <w:tcBorders>
              <w:top w:val="single" w:sz="4" w:space="0" w:color="000000"/>
            </w:tcBorders>
          </w:tcPr>
          <w:p>
            <w:pPr>
              <w:pStyle w:val="TableParagraph"/>
              <w:rPr>
                <w:sz w:val="18"/>
              </w:rPr>
            </w:pPr>
          </w:p>
        </w:tc>
        <w:tc>
          <w:tcPr>
            <w:tcW w:w="1051" w:type="dxa"/>
            <w:tcBorders>
              <w:top w:val="single" w:sz="4" w:space="0" w:color="000000"/>
            </w:tcBorders>
          </w:tcPr>
          <w:p>
            <w:pPr>
              <w:pStyle w:val="TableParagraph"/>
              <w:rPr>
                <w:sz w:val="18"/>
              </w:rPr>
            </w:pPr>
          </w:p>
        </w:tc>
      </w:tr>
      <w:tr>
        <w:trPr>
          <w:trHeight w:val="285" w:hRule="atLeast"/>
        </w:trPr>
        <w:tc>
          <w:tcPr>
            <w:tcW w:w="3855" w:type="dxa"/>
            <w:shd w:val="clear" w:color="auto" w:fill="CCEDFF"/>
          </w:tcPr>
          <w:p>
            <w:pPr>
              <w:pStyle w:val="TableParagraph"/>
              <w:spacing w:before="48"/>
              <w:ind w:left="52"/>
              <w:rPr>
                <w:sz w:val="18"/>
              </w:rPr>
            </w:pPr>
            <w:r>
              <w:rPr>
                <w:sz w:val="18"/>
              </w:rPr>
              <w:t>Net</w:t>
            </w:r>
            <w:r>
              <w:rPr>
                <w:spacing w:val="-1"/>
                <w:sz w:val="18"/>
              </w:rPr>
              <w:t> </w:t>
            </w:r>
            <w:r>
              <w:rPr>
                <w:sz w:val="18"/>
              </w:rPr>
              <w:t>interest</w:t>
            </w:r>
            <w:r>
              <w:rPr>
                <w:spacing w:val="-1"/>
                <w:sz w:val="18"/>
              </w:rPr>
              <w:t> </w:t>
            </w:r>
            <w:r>
              <w:rPr>
                <w:spacing w:val="-2"/>
                <w:sz w:val="18"/>
              </w:rPr>
              <w:t>revenue</w:t>
            </w:r>
          </w:p>
        </w:tc>
        <w:tc>
          <w:tcPr>
            <w:tcW w:w="1031" w:type="dxa"/>
            <w:shd w:val="clear" w:color="auto" w:fill="CCEDFF"/>
          </w:tcPr>
          <w:p>
            <w:pPr>
              <w:pStyle w:val="TableParagraph"/>
              <w:tabs>
                <w:tab w:pos="472" w:val="left" w:leader="none"/>
              </w:tabs>
              <w:spacing w:before="48"/>
              <w:ind w:right="98"/>
              <w:jc w:val="right"/>
              <w:rPr>
                <w:sz w:val="18"/>
              </w:rPr>
            </w:pPr>
            <w:r>
              <w:rPr>
                <w:spacing w:val="-10"/>
                <w:sz w:val="18"/>
              </w:rPr>
              <w:t>$</w:t>
            </w:r>
            <w:r>
              <w:rPr>
                <w:sz w:val="18"/>
              </w:rPr>
              <w:tab/>
            </w:r>
            <w:r>
              <w:rPr>
                <w:spacing w:val="-2"/>
                <w:sz w:val="18"/>
              </w:rPr>
              <w:t>1,710</w:t>
            </w:r>
          </w:p>
        </w:tc>
        <w:tc>
          <w:tcPr>
            <w:tcW w:w="1053" w:type="dxa"/>
            <w:shd w:val="clear" w:color="auto" w:fill="CCEDFF"/>
          </w:tcPr>
          <w:p>
            <w:pPr>
              <w:pStyle w:val="TableParagraph"/>
              <w:tabs>
                <w:tab w:pos="472" w:val="left" w:leader="none"/>
              </w:tabs>
              <w:spacing w:before="48"/>
              <w:ind w:right="71"/>
              <w:jc w:val="right"/>
              <w:rPr>
                <w:sz w:val="18"/>
              </w:rPr>
            </w:pPr>
            <w:r>
              <w:rPr>
                <w:spacing w:val="-10"/>
                <w:sz w:val="18"/>
              </w:rPr>
              <w:t>$</w:t>
            </w:r>
            <w:r>
              <w:rPr>
                <w:sz w:val="18"/>
              </w:rPr>
              <w:tab/>
            </w:r>
            <w:r>
              <w:rPr>
                <w:spacing w:val="-2"/>
                <w:sz w:val="18"/>
              </w:rPr>
              <w:t>2,143</w:t>
            </w:r>
          </w:p>
        </w:tc>
        <w:tc>
          <w:tcPr>
            <w:tcW w:w="74" w:type="dxa"/>
            <w:shd w:val="clear" w:color="auto" w:fill="CCEDFF"/>
          </w:tcPr>
          <w:p>
            <w:pPr>
              <w:pStyle w:val="TableParagraph"/>
              <w:rPr>
                <w:sz w:val="18"/>
              </w:rPr>
            </w:pPr>
          </w:p>
        </w:tc>
        <w:tc>
          <w:tcPr>
            <w:tcW w:w="1030" w:type="dxa"/>
            <w:shd w:val="clear" w:color="auto" w:fill="CCEDFF"/>
          </w:tcPr>
          <w:p>
            <w:pPr>
              <w:pStyle w:val="TableParagraph"/>
              <w:tabs>
                <w:tab w:pos="607" w:val="left" w:leader="none"/>
              </w:tabs>
              <w:spacing w:before="48"/>
              <w:ind w:right="95"/>
              <w:jc w:val="right"/>
              <w:rPr>
                <w:sz w:val="18"/>
              </w:rPr>
            </w:pPr>
            <w:r>
              <w:rPr>
                <w:spacing w:val="-10"/>
                <w:sz w:val="18"/>
              </w:rPr>
              <w:t>$</w:t>
            </w:r>
            <w:r>
              <w:rPr>
                <w:sz w:val="18"/>
              </w:rPr>
              <w:tab/>
            </w:r>
            <w:r>
              <w:rPr>
                <w:spacing w:val="-5"/>
                <w:sz w:val="18"/>
              </w:rPr>
              <w:t>527</w:t>
            </w:r>
          </w:p>
        </w:tc>
        <w:tc>
          <w:tcPr>
            <w:tcW w:w="1052" w:type="dxa"/>
            <w:shd w:val="clear" w:color="auto" w:fill="CCEDFF"/>
          </w:tcPr>
          <w:p>
            <w:pPr>
              <w:pStyle w:val="TableParagraph"/>
              <w:tabs>
                <w:tab w:pos="607" w:val="left" w:leader="none"/>
              </w:tabs>
              <w:spacing w:before="48"/>
              <w:ind w:right="67"/>
              <w:jc w:val="right"/>
              <w:rPr>
                <w:sz w:val="18"/>
              </w:rPr>
            </w:pPr>
            <w:r>
              <w:rPr>
                <w:spacing w:val="-10"/>
                <w:sz w:val="18"/>
              </w:rPr>
              <w:t>$</w:t>
            </w:r>
            <w:r>
              <w:rPr>
                <w:sz w:val="18"/>
              </w:rPr>
              <w:tab/>
            </w:r>
            <w:r>
              <w:rPr>
                <w:spacing w:val="-5"/>
                <w:sz w:val="18"/>
              </w:rPr>
              <w:t>783</w:t>
            </w:r>
          </w:p>
        </w:tc>
        <w:tc>
          <w:tcPr>
            <w:tcW w:w="73" w:type="dxa"/>
            <w:shd w:val="clear" w:color="auto" w:fill="CCEDFF"/>
          </w:tcPr>
          <w:p>
            <w:pPr>
              <w:pStyle w:val="TableParagraph"/>
              <w:rPr>
                <w:sz w:val="18"/>
              </w:rPr>
            </w:pPr>
          </w:p>
        </w:tc>
        <w:tc>
          <w:tcPr>
            <w:tcW w:w="1029" w:type="dxa"/>
            <w:shd w:val="clear" w:color="auto" w:fill="CCEDFF"/>
          </w:tcPr>
          <w:p>
            <w:pPr>
              <w:pStyle w:val="TableParagraph"/>
              <w:tabs>
                <w:tab w:pos="472" w:val="left" w:leader="none"/>
              </w:tabs>
              <w:spacing w:before="48"/>
              <w:ind w:right="89"/>
              <w:jc w:val="right"/>
              <w:rPr>
                <w:sz w:val="18"/>
              </w:rPr>
            </w:pPr>
            <w:r>
              <w:rPr>
                <w:spacing w:val="-10"/>
                <w:sz w:val="18"/>
              </w:rPr>
              <w:t>$</w:t>
            </w:r>
            <w:r>
              <w:rPr>
                <w:sz w:val="18"/>
              </w:rPr>
              <w:tab/>
            </w:r>
            <w:r>
              <w:rPr>
                <w:spacing w:val="-2"/>
                <w:sz w:val="18"/>
              </w:rPr>
              <w:t>2,237</w:t>
            </w:r>
          </w:p>
        </w:tc>
        <w:tc>
          <w:tcPr>
            <w:tcW w:w="1051" w:type="dxa"/>
            <w:shd w:val="clear" w:color="auto" w:fill="CCEDFF"/>
          </w:tcPr>
          <w:p>
            <w:pPr>
              <w:pStyle w:val="TableParagraph"/>
              <w:tabs>
                <w:tab w:pos="472" w:val="left" w:leader="none"/>
              </w:tabs>
              <w:spacing w:before="48"/>
              <w:ind w:right="60"/>
              <w:jc w:val="right"/>
              <w:rPr>
                <w:sz w:val="18"/>
              </w:rPr>
            </w:pPr>
            <w:r>
              <w:rPr>
                <w:spacing w:val="-10"/>
                <w:sz w:val="18"/>
              </w:rPr>
              <w:t>$</w:t>
            </w:r>
            <w:r>
              <w:rPr>
                <w:sz w:val="18"/>
              </w:rPr>
              <w:tab/>
            </w:r>
            <w:r>
              <w:rPr>
                <w:spacing w:val="-2"/>
                <w:sz w:val="18"/>
              </w:rPr>
              <w:t>2,926</w:t>
            </w:r>
          </w:p>
        </w:tc>
      </w:tr>
      <w:tr>
        <w:trPr>
          <w:trHeight w:val="285" w:hRule="atLeast"/>
        </w:trPr>
        <w:tc>
          <w:tcPr>
            <w:tcW w:w="3855" w:type="dxa"/>
          </w:tcPr>
          <w:p>
            <w:pPr>
              <w:pStyle w:val="TableParagraph"/>
              <w:spacing w:before="48"/>
              <w:ind w:left="52"/>
              <w:rPr>
                <w:sz w:val="18"/>
              </w:rPr>
            </w:pPr>
            <w:r>
              <w:rPr>
                <w:sz w:val="18"/>
              </w:rPr>
              <w:t>Asset</w:t>
            </w:r>
            <w:r>
              <w:rPr>
                <w:spacing w:val="-1"/>
                <w:sz w:val="18"/>
              </w:rPr>
              <w:t> </w:t>
            </w:r>
            <w:r>
              <w:rPr>
                <w:sz w:val="18"/>
              </w:rPr>
              <w:t>management</w:t>
            </w:r>
            <w:r>
              <w:rPr>
                <w:spacing w:val="-1"/>
                <w:sz w:val="18"/>
              </w:rPr>
              <w:t> </w:t>
            </w:r>
            <w:r>
              <w:rPr>
                <w:sz w:val="18"/>
              </w:rPr>
              <w:t>and</w:t>
            </w:r>
            <w:r>
              <w:rPr>
                <w:spacing w:val="-1"/>
                <w:sz w:val="18"/>
              </w:rPr>
              <w:t> </w:t>
            </w:r>
            <w:r>
              <w:rPr>
                <w:sz w:val="18"/>
              </w:rPr>
              <w:t>administration</w:t>
            </w:r>
            <w:r>
              <w:rPr>
                <w:spacing w:val="-1"/>
                <w:sz w:val="18"/>
              </w:rPr>
              <w:t> </w:t>
            </w:r>
            <w:r>
              <w:rPr>
                <w:spacing w:val="-4"/>
                <w:sz w:val="18"/>
              </w:rPr>
              <w:t>fees</w:t>
            </w:r>
          </w:p>
        </w:tc>
        <w:tc>
          <w:tcPr>
            <w:tcW w:w="1031" w:type="dxa"/>
          </w:tcPr>
          <w:p>
            <w:pPr>
              <w:pStyle w:val="TableParagraph"/>
              <w:spacing w:before="48"/>
              <w:ind w:right="98"/>
              <w:jc w:val="right"/>
              <w:rPr>
                <w:sz w:val="18"/>
              </w:rPr>
            </w:pPr>
            <w:r>
              <w:rPr>
                <w:spacing w:val="-5"/>
                <w:sz w:val="18"/>
              </w:rPr>
              <w:t>877</w:t>
            </w:r>
          </w:p>
        </w:tc>
        <w:tc>
          <w:tcPr>
            <w:tcW w:w="1053" w:type="dxa"/>
          </w:tcPr>
          <w:p>
            <w:pPr>
              <w:pStyle w:val="TableParagraph"/>
              <w:spacing w:before="48"/>
              <w:ind w:right="71"/>
              <w:jc w:val="right"/>
              <w:rPr>
                <w:sz w:val="18"/>
              </w:rPr>
            </w:pPr>
            <w:r>
              <w:rPr>
                <w:spacing w:val="-5"/>
                <w:sz w:val="18"/>
              </w:rPr>
              <w:t>755</w:t>
            </w:r>
          </w:p>
        </w:tc>
        <w:tc>
          <w:tcPr>
            <w:tcW w:w="74" w:type="dxa"/>
          </w:tcPr>
          <w:p>
            <w:pPr>
              <w:pStyle w:val="TableParagraph"/>
              <w:rPr>
                <w:sz w:val="18"/>
              </w:rPr>
            </w:pPr>
          </w:p>
        </w:tc>
        <w:tc>
          <w:tcPr>
            <w:tcW w:w="1030" w:type="dxa"/>
          </w:tcPr>
          <w:p>
            <w:pPr>
              <w:pStyle w:val="TableParagraph"/>
              <w:spacing w:before="48"/>
              <w:ind w:right="95"/>
              <w:jc w:val="right"/>
              <w:rPr>
                <w:sz w:val="18"/>
              </w:rPr>
            </w:pPr>
            <w:r>
              <w:rPr>
                <w:spacing w:val="-5"/>
                <w:sz w:val="18"/>
              </w:rPr>
              <w:t>347</w:t>
            </w:r>
          </w:p>
        </w:tc>
        <w:tc>
          <w:tcPr>
            <w:tcW w:w="1052" w:type="dxa"/>
          </w:tcPr>
          <w:p>
            <w:pPr>
              <w:pStyle w:val="TableParagraph"/>
              <w:spacing w:before="48"/>
              <w:ind w:right="67"/>
              <w:jc w:val="right"/>
              <w:rPr>
                <w:sz w:val="18"/>
              </w:rPr>
            </w:pPr>
            <w:r>
              <w:rPr>
                <w:spacing w:val="-5"/>
                <w:sz w:val="18"/>
              </w:rPr>
              <w:t>292</w:t>
            </w:r>
          </w:p>
        </w:tc>
        <w:tc>
          <w:tcPr>
            <w:tcW w:w="73" w:type="dxa"/>
          </w:tcPr>
          <w:p>
            <w:pPr>
              <w:pStyle w:val="TableParagraph"/>
              <w:rPr>
                <w:sz w:val="18"/>
              </w:rPr>
            </w:pPr>
          </w:p>
        </w:tc>
        <w:tc>
          <w:tcPr>
            <w:tcW w:w="1029" w:type="dxa"/>
          </w:tcPr>
          <w:p>
            <w:pPr>
              <w:pStyle w:val="TableParagraph"/>
              <w:spacing w:before="48"/>
              <w:ind w:right="89"/>
              <w:jc w:val="right"/>
              <w:rPr>
                <w:sz w:val="18"/>
              </w:rPr>
            </w:pPr>
            <w:r>
              <w:rPr>
                <w:spacing w:val="-2"/>
                <w:sz w:val="18"/>
              </w:rPr>
              <w:t>1,224</w:t>
            </w:r>
          </w:p>
        </w:tc>
        <w:tc>
          <w:tcPr>
            <w:tcW w:w="1051" w:type="dxa"/>
          </w:tcPr>
          <w:p>
            <w:pPr>
              <w:pStyle w:val="TableParagraph"/>
              <w:spacing w:before="48"/>
              <w:ind w:right="60"/>
              <w:jc w:val="right"/>
              <w:rPr>
                <w:sz w:val="18"/>
              </w:rPr>
            </w:pPr>
            <w:r>
              <w:rPr>
                <w:spacing w:val="-2"/>
                <w:sz w:val="18"/>
              </w:rPr>
              <w:t>1,047</w:t>
            </w:r>
          </w:p>
        </w:tc>
      </w:tr>
      <w:tr>
        <w:trPr>
          <w:trHeight w:val="285" w:hRule="atLeast"/>
        </w:trPr>
        <w:tc>
          <w:tcPr>
            <w:tcW w:w="3855" w:type="dxa"/>
            <w:shd w:val="clear" w:color="auto" w:fill="CCEDFF"/>
          </w:tcPr>
          <w:p>
            <w:pPr>
              <w:pStyle w:val="TableParagraph"/>
              <w:spacing w:before="48"/>
              <w:ind w:left="52"/>
              <w:rPr>
                <w:sz w:val="18"/>
              </w:rPr>
            </w:pPr>
            <w:r>
              <w:rPr>
                <w:sz w:val="18"/>
              </w:rPr>
              <w:t>Trading </w:t>
            </w:r>
            <w:r>
              <w:rPr>
                <w:spacing w:val="-2"/>
                <w:sz w:val="18"/>
              </w:rPr>
              <w:t>revenue</w:t>
            </w:r>
          </w:p>
        </w:tc>
        <w:tc>
          <w:tcPr>
            <w:tcW w:w="1031" w:type="dxa"/>
            <w:shd w:val="clear" w:color="auto" w:fill="CCEDFF"/>
          </w:tcPr>
          <w:p>
            <w:pPr>
              <w:pStyle w:val="TableParagraph"/>
              <w:spacing w:before="48"/>
              <w:ind w:right="98"/>
              <w:jc w:val="right"/>
              <w:rPr>
                <w:sz w:val="18"/>
              </w:rPr>
            </w:pPr>
            <w:r>
              <w:rPr>
                <w:spacing w:val="-5"/>
                <w:sz w:val="18"/>
              </w:rPr>
              <w:t>672</w:t>
            </w:r>
          </w:p>
        </w:tc>
        <w:tc>
          <w:tcPr>
            <w:tcW w:w="1053" w:type="dxa"/>
            <w:shd w:val="clear" w:color="auto" w:fill="CCEDFF"/>
          </w:tcPr>
          <w:p>
            <w:pPr>
              <w:pStyle w:val="TableParagraph"/>
              <w:spacing w:before="48"/>
              <w:ind w:right="71"/>
              <w:jc w:val="right"/>
              <w:rPr>
                <w:sz w:val="18"/>
              </w:rPr>
            </w:pPr>
            <w:r>
              <w:rPr>
                <w:spacing w:val="-5"/>
                <w:sz w:val="18"/>
              </w:rPr>
              <w:t>800</w:t>
            </w:r>
          </w:p>
        </w:tc>
        <w:tc>
          <w:tcPr>
            <w:tcW w:w="74" w:type="dxa"/>
            <w:shd w:val="clear" w:color="auto" w:fill="CCEDFF"/>
          </w:tcPr>
          <w:p>
            <w:pPr>
              <w:pStyle w:val="TableParagraph"/>
              <w:rPr>
                <w:sz w:val="18"/>
              </w:rPr>
            </w:pPr>
          </w:p>
        </w:tc>
        <w:tc>
          <w:tcPr>
            <w:tcW w:w="1030" w:type="dxa"/>
            <w:shd w:val="clear" w:color="auto" w:fill="CCEDFF"/>
          </w:tcPr>
          <w:p>
            <w:pPr>
              <w:pStyle w:val="TableParagraph"/>
              <w:spacing w:before="48"/>
              <w:ind w:right="95"/>
              <w:jc w:val="right"/>
              <w:rPr>
                <w:sz w:val="18"/>
              </w:rPr>
            </w:pPr>
            <w:r>
              <w:rPr>
                <w:spacing w:val="-5"/>
                <w:sz w:val="18"/>
              </w:rPr>
              <w:t>96</w:t>
            </w:r>
          </w:p>
        </w:tc>
        <w:tc>
          <w:tcPr>
            <w:tcW w:w="1052" w:type="dxa"/>
            <w:shd w:val="clear" w:color="auto" w:fill="CCEDFF"/>
          </w:tcPr>
          <w:p>
            <w:pPr>
              <w:pStyle w:val="TableParagraph"/>
              <w:spacing w:before="48"/>
              <w:ind w:right="67"/>
              <w:jc w:val="right"/>
              <w:rPr>
                <w:sz w:val="18"/>
              </w:rPr>
            </w:pPr>
            <w:r>
              <w:rPr>
                <w:spacing w:val="-5"/>
                <w:sz w:val="18"/>
              </w:rPr>
              <w:t>130</w:t>
            </w:r>
          </w:p>
        </w:tc>
        <w:tc>
          <w:tcPr>
            <w:tcW w:w="73" w:type="dxa"/>
            <w:shd w:val="clear" w:color="auto" w:fill="CCEDFF"/>
          </w:tcPr>
          <w:p>
            <w:pPr>
              <w:pStyle w:val="TableParagraph"/>
              <w:rPr>
                <w:sz w:val="18"/>
              </w:rPr>
            </w:pPr>
          </w:p>
        </w:tc>
        <w:tc>
          <w:tcPr>
            <w:tcW w:w="1029" w:type="dxa"/>
            <w:shd w:val="clear" w:color="auto" w:fill="CCEDFF"/>
          </w:tcPr>
          <w:p>
            <w:pPr>
              <w:pStyle w:val="TableParagraph"/>
              <w:spacing w:before="48"/>
              <w:ind w:right="89"/>
              <w:jc w:val="right"/>
              <w:rPr>
                <w:sz w:val="18"/>
              </w:rPr>
            </w:pPr>
            <w:r>
              <w:rPr>
                <w:spacing w:val="-5"/>
                <w:sz w:val="18"/>
              </w:rPr>
              <w:t>768</w:t>
            </w:r>
          </w:p>
        </w:tc>
        <w:tc>
          <w:tcPr>
            <w:tcW w:w="1051" w:type="dxa"/>
            <w:shd w:val="clear" w:color="auto" w:fill="CCEDFF"/>
          </w:tcPr>
          <w:p>
            <w:pPr>
              <w:pStyle w:val="TableParagraph"/>
              <w:spacing w:before="48"/>
              <w:ind w:right="60"/>
              <w:jc w:val="right"/>
              <w:rPr>
                <w:sz w:val="18"/>
              </w:rPr>
            </w:pPr>
            <w:r>
              <w:rPr>
                <w:spacing w:val="-5"/>
                <w:sz w:val="18"/>
              </w:rPr>
              <w:t>930</w:t>
            </w:r>
          </w:p>
        </w:tc>
      </w:tr>
      <w:tr>
        <w:trPr>
          <w:trHeight w:val="285" w:hRule="atLeast"/>
        </w:trPr>
        <w:tc>
          <w:tcPr>
            <w:tcW w:w="3855" w:type="dxa"/>
          </w:tcPr>
          <w:p>
            <w:pPr>
              <w:pStyle w:val="TableParagraph"/>
              <w:spacing w:before="48"/>
              <w:ind w:left="52"/>
              <w:rPr>
                <w:sz w:val="18"/>
              </w:rPr>
            </w:pPr>
            <w:r>
              <w:rPr>
                <w:sz w:val="18"/>
              </w:rPr>
              <w:t>Bank</w:t>
            </w:r>
            <w:r>
              <w:rPr>
                <w:spacing w:val="-1"/>
                <w:sz w:val="18"/>
              </w:rPr>
              <w:t> </w:t>
            </w:r>
            <w:r>
              <w:rPr>
                <w:sz w:val="18"/>
              </w:rPr>
              <w:t>deposit account </w:t>
            </w:r>
            <w:r>
              <w:rPr>
                <w:spacing w:val="-4"/>
                <w:sz w:val="18"/>
              </w:rPr>
              <w:t>fees</w:t>
            </w:r>
          </w:p>
        </w:tc>
        <w:tc>
          <w:tcPr>
            <w:tcW w:w="1031" w:type="dxa"/>
          </w:tcPr>
          <w:p>
            <w:pPr>
              <w:pStyle w:val="TableParagraph"/>
              <w:spacing w:before="48"/>
              <w:ind w:right="98"/>
              <w:jc w:val="right"/>
              <w:rPr>
                <w:sz w:val="18"/>
              </w:rPr>
            </w:pPr>
            <w:r>
              <w:rPr>
                <w:spacing w:val="-5"/>
                <w:sz w:val="18"/>
              </w:rPr>
              <w:t>157</w:t>
            </w:r>
          </w:p>
        </w:tc>
        <w:tc>
          <w:tcPr>
            <w:tcW w:w="1053" w:type="dxa"/>
          </w:tcPr>
          <w:p>
            <w:pPr>
              <w:pStyle w:val="TableParagraph"/>
              <w:spacing w:before="48"/>
              <w:ind w:right="71"/>
              <w:jc w:val="right"/>
              <w:rPr>
                <w:sz w:val="18"/>
              </w:rPr>
            </w:pPr>
            <w:r>
              <w:rPr>
                <w:spacing w:val="-5"/>
                <w:sz w:val="18"/>
              </w:rPr>
              <w:t>263</w:t>
            </w:r>
          </w:p>
        </w:tc>
        <w:tc>
          <w:tcPr>
            <w:tcW w:w="74" w:type="dxa"/>
          </w:tcPr>
          <w:p>
            <w:pPr>
              <w:pStyle w:val="TableParagraph"/>
              <w:rPr>
                <w:sz w:val="18"/>
              </w:rPr>
            </w:pPr>
          </w:p>
        </w:tc>
        <w:tc>
          <w:tcPr>
            <w:tcW w:w="1030" w:type="dxa"/>
          </w:tcPr>
          <w:p>
            <w:pPr>
              <w:pStyle w:val="TableParagraph"/>
              <w:spacing w:before="48"/>
              <w:ind w:right="95"/>
              <w:jc w:val="right"/>
              <w:rPr>
                <w:sz w:val="18"/>
              </w:rPr>
            </w:pPr>
            <w:r>
              <w:rPr>
                <w:spacing w:val="-5"/>
                <w:sz w:val="18"/>
              </w:rPr>
              <w:t>48</w:t>
            </w:r>
          </w:p>
        </w:tc>
        <w:tc>
          <w:tcPr>
            <w:tcW w:w="1052" w:type="dxa"/>
          </w:tcPr>
          <w:p>
            <w:pPr>
              <w:pStyle w:val="TableParagraph"/>
              <w:spacing w:before="48"/>
              <w:ind w:right="67"/>
              <w:jc w:val="right"/>
              <w:rPr>
                <w:sz w:val="18"/>
              </w:rPr>
            </w:pPr>
            <w:r>
              <w:rPr>
                <w:spacing w:val="-5"/>
                <w:sz w:val="18"/>
              </w:rPr>
              <w:t>150</w:t>
            </w:r>
          </w:p>
        </w:tc>
        <w:tc>
          <w:tcPr>
            <w:tcW w:w="73" w:type="dxa"/>
          </w:tcPr>
          <w:p>
            <w:pPr>
              <w:pStyle w:val="TableParagraph"/>
              <w:rPr>
                <w:sz w:val="18"/>
              </w:rPr>
            </w:pPr>
          </w:p>
        </w:tc>
        <w:tc>
          <w:tcPr>
            <w:tcW w:w="1029" w:type="dxa"/>
          </w:tcPr>
          <w:p>
            <w:pPr>
              <w:pStyle w:val="TableParagraph"/>
              <w:spacing w:before="48"/>
              <w:ind w:right="89"/>
              <w:jc w:val="right"/>
              <w:rPr>
                <w:sz w:val="18"/>
              </w:rPr>
            </w:pPr>
            <w:r>
              <w:rPr>
                <w:spacing w:val="-5"/>
                <w:sz w:val="18"/>
              </w:rPr>
              <w:t>205</w:t>
            </w:r>
          </w:p>
        </w:tc>
        <w:tc>
          <w:tcPr>
            <w:tcW w:w="1051" w:type="dxa"/>
          </w:tcPr>
          <w:p>
            <w:pPr>
              <w:pStyle w:val="TableParagraph"/>
              <w:spacing w:before="48"/>
              <w:ind w:right="60"/>
              <w:jc w:val="right"/>
              <w:rPr>
                <w:sz w:val="18"/>
              </w:rPr>
            </w:pPr>
            <w:r>
              <w:rPr>
                <w:spacing w:val="-5"/>
                <w:sz w:val="18"/>
              </w:rPr>
              <w:t>413</w:t>
            </w:r>
          </w:p>
        </w:tc>
      </w:tr>
      <w:tr>
        <w:trPr>
          <w:trHeight w:val="280" w:hRule="atLeast"/>
        </w:trPr>
        <w:tc>
          <w:tcPr>
            <w:tcW w:w="3855" w:type="dxa"/>
            <w:tcBorders>
              <w:bottom w:val="single" w:sz="4" w:space="0" w:color="000000"/>
            </w:tcBorders>
            <w:shd w:val="clear" w:color="auto" w:fill="CCEDFF"/>
          </w:tcPr>
          <w:p>
            <w:pPr>
              <w:pStyle w:val="TableParagraph"/>
              <w:spacing w:before="48"/>
              <w:ind w:left="52"/>
              <w:rPr>
                <w:sz w:val="18"/>
              </w:rPr>
            </w:pPr>
            <w:r>
              <w:rPr>
                <w:spacing w:val="-2"/>
                <w:sz w:val="18"/>
              </w:rPr>
              <w:t>Other</w:t>
            </w:r>
          </w:p>
        </w:tc>
        <w:tc>
          <w:tcPr>
            <w:tcW w:w="1031" w:type="dxa"/>
            <w:tcBorders>
              <w:bottom w:val="single" w:sz="4" w:space="0" w:color="000000"/>
            </w:tcBorders>
            <w:shd w:val="clear" w:color="auto" w:fill="CCEDFF"/>
          </w:tcPr>
          <w:p>
            <w:pPr>
              <w:pStyle w:val="TableParagraph"/>
              <w:spacing w:before="48"/>
              <w:ind w:right="98"/>
              <w:jc w:val="right"/>
              <w:rPr>
                <w:sz w:val="18"/>
              </w:rPr>
            </w:pPr>
            <w:r>
              <w:rPr>
                <w:spacing w:val="-5"/>
                <w:sz w:val="18"/>
              </w:rPr>
              <w:t>144</w:t>
            </w:r>
          </w:p>
        </w:tc>
        <w:tc>
          <w:tcPr>
            <w:tcW w:w="1053" w:type="dxa"/>
            <w:tcBorders>
              <w:bottom w:val="single" w:sz="4" w:space="0" w:color="000000"/>
            </w:tcBorders>
            <w:shd w:val="clear" w:color="auto" w:fill="CCEDFF"/>
          </w:tcPr>
          <w:p>
            <w:pPr>
              <w:pStyle w:val="TableParagraph"/>
              <w:spacing w:before="48"/>
              <w:ind w:right="71"/>
              <w:jc w:val="right"/>
              <w:rPr>
                <w:sz w:val="18"/>
              </w:rPr>
            </w:pPr>
            <w:r>
              <w:rPr>
                <w:spacing w:val="-5"/>
                <w:sz w:val="18"/>
              </w:rPr>
              <w:t>151</w:t>
            </w:r>
          </w:p>
        </w:tc>
        <w:tc>
          <w:tcPr>
            <w:tcW w:w="74" w:type="dxa"/>
            <w:tcBorders>
              <w:bottom w:val="single" w:sz="4" w:space="0" w:color="000000"/>
            </w:tcBorders>
            <w:shd w:val="clear" w:color="auto" w:fill="CCEDFF"/>
          </w:tcPr>
          <w:p>
            <w:pPr>
              <w:pStyle w:val="TableParagraph"/>
              <w:rPr>
                <w:sz w:val="18"/>
              </w:rPr>
            </w:pPr>
          </w:p>
        </w:tc>
        <w:tc>
          <w:tcPr>
            <w:tcW w:w="1030" w:type="dxa"/>
            <w:tcBorders>
              <w:bottom w:val="single" w:sz="4" w:space="0" w:color="000000"/>
            </w:tcBorders>
            <w:shd w:val="clear" w:color="auto" w:fill="CCEDFF"/>
          </w:tcPr>
          <w:p>
            <w:pPr>
              <w:pStyle w:val="TableParagraph"/>
              <w:spacing w:before="48"/>
              <w:ind w:right="95"/>
              <w:jc w:val="right"/>
              <w:rPr>
                <w:sz w:val="18"/>
              </w:rPr>
            </w:pPr>
            <w:r>
              <w:rPr>
                <w:spacing w:val="-5"/>
                <w:sz w:val="18"/>
              </w:rPr>
              <w:t>28</w:t>
            </w:r>
          </w:p>
        </w:tc>
        <w:tc>
          <w:tcPr>
            <w:tcW w:w="1052" w:type="dxa"/>
            <w:tcBorders>
              <w:bottom w:val="single" w:sz="4" w:space="0" w:color="000000"/>
            </w:tcBorders>
            <w:shd w:val="clear" w:color="auto" w:fill="CCEDFF"/>
          </w:tcPr>
          <w:p>
            <w:pPr>
              <w:pStyle w:val="TableParagraph"/>
              <w:spacing w:before="48"/>
              <w:ind w:right="67"/>
              <w:jc w:val="right"/>
              <w:rPr>
                <w:sz w:val="18"/>
              </w:rPr>
            </w:pPr>
            <w:r>
              <w:rPr>
                <w:spacing w:val="-5"/>
                <w:sz w:val="18"/>
              </w:rPr>
              <w:t>33</w:t>
            </w:r>
          </w:p>
        </w:tc>
        <w:tc>
          <w:tcPr>
            <w:tcW w:w="73" w:type="dxa"/>
            <w:tcBorders>
              <w:bottom w:val="single" w:sz="4" w:space="0" w:color="000000"/>
            </w:tcBorders>
            <w:shd w:val="clear" w:color="auto" w:fill="CCEDFF"/>
          </w:tcPr>
          <w:p>
            <w:pPr>
              <w:pStyle w:val="TableParagraph"/>
              <w:rPr>
                <w:sz w:val="18"/>
              </w:rPr>
            </w:pPr>
          </w:p>
        </w:tc>
        <w:tc>
          <w:tcPr>
            <w:tcW w:w="1029" w:type="dxa"/>
            <w:tcBorders>
              <w:bottom w:val="single" w:sz="4" w:space="0" w:color="000000"/>
            </w:tcBorders>
            <w:shd w:val="clear" w:color="auto" w:fill="CCEDFF"/>
          </w:tcPr>
          <w:p>
            <w:pPr>
              <w:pStyle w:val="TableParagraph"/>
              <w:spacing w:before="48"/>
              <w:ind w:right="89"/>
              <w:jc w:val="right"/>
              <w:rPr>
                <w:sz w:val="18"/>
              </w:rPr>
            </w:pPr>
            <w:r>
              <w:rPr>
                <w:spacing w:val="-5"/>
                <w:sz w:val="18"/>
              </w:rPr>
              <w:t>172</w:t>
            </w:r>
          </w:p>
        </w:tc>
        <w:tc>
          <w:tcPr>
            <w:tcW w:w="1051" w:type="dxa"/>
            <w:tcBorders>
              <w:bottom w:val="single" w:sz="4" w:space="0" w:color="000000"/>
            </w:tcBorders>
            <w:shd w:val="clear" w:color="auto" w:fill="CCEDFF"/>
          </w:tcPr>
          <w:p>
            <w:pPr>
              <w:pStyle w:val="TableParagraph"/>
              <w:spacing w:before="48"/>
              <w:ind w:right="60"/>
              <w:jc w:val="right"/>
              <w:rPr>
                <w:sz w:val="18"/>
              </w:rPr>
            </w:pPr>
            <w:r>
              <w:rPr>
                <w:spacing w:val="-5"/>
                <w:sz w:val="18"/>
              </w:rPr>
              <w:t>184</w:t>
            </w:r>
          </w:p>
        </w:tc>
      </w:tr>
      <w:tr>
        <w:trPr>
          <w:trHeight w:val="275" w:hRule="atLeast"/>
        </w:trPr>
        <w:tc>
          <w:tcPr>
            <w:tcW w:w="3855" w:type="dxa"/>
            <w:tcBorders>
              <w:top w:val="single" w:sz="4" w:space="0" w:color="000000"/>
              <w:bottom w:val="single" w:sz="4" w:space="0" w:color="000000"/>
            </w:tcBorders>
          </w:tcPr>
          <w:p>
            <w:pPr>
              <w:pStyle w:val="TableParagraph"/>
              <w:spacing w:before="43"/>
              <w:ind w:left="187"/>
              <w:rPr>
                <w:sz w:val="18"/>
              </w:rPr>
            </w:pPr>
            <w:r>
              <w:rPr>
                <w:sz w:val="18"/>
              </w:rPr>
              <w:t>Total net </w:t>
            </w:r>
            <w:r>
              <w:rPr>
                <w:spacing w:val="-2"/>
                <w:sz w:val="18"/>
              </w:rPr>
              <w:t>revenues</w:t>
            </w:r>
          </w:p>
        </w:tc>
        <w:tc>
          <w:tcPr>
            <w:tcW w:w="1031" w:type="dxa"/>
            <w:tcBorders>
              <w:top w:val="single" w:sz="4" w:space="0" w:color="000000"/>
              <w:bottom w:val="single" w:sz="4" w:space="0" w:color="000000"/>
            </w:tcBorders>
          </w:tcPr>
          <w:p>
            <w:pPr>
              <w:pStyle w:val="TableParagraph"/>
              <w:spacing w:before="43"/>
              <w:ind w:right="98"/>
              <w:jc w:val="right"/>
              <w:rPr>
                <w:sz w:val="18"/>
              </w:rPr>
            </w:pPr>
            <w:r>
              <w:rPr>
                <w:spacing w:val="-2"/>
                <w:sz w:val="18"/>
              </w:rPr>
              <w:t>3,560</w:t>
            </w:r>
          </w:p>
        </w:tc>
        <w:tc>
          <w:tcPr>
            <w:tcW w:w="1053" w:type="dxa"/>
            <w:tcBorders>
              <w:top w:val="single" w:sz="4" w:space="0" w:color="000000"/>
              <w:bottom w:val="single" w:sz="4" w:space="0" w:color="000000"/>
            </w:tcBorders>
          </w:tcPr>
          <w:p>
            <w:pPr>
              <w:pStyle w:val="TableParagraph"/>
              <w:spacing w:before="43"/>
              <w:ind w:right="71"/>
              <w:jc w:val="right"/>
              <w:rPr>
                <w:sz w:val="18"/>
              </w:rPr>
            </w:pPr>
            <w:r>
              <w:rPr>
                <w:spacing w:val="-2"/>
                <w:sz w:val="18"/>
              </w:rPr>
              <w:t>4,112</w:t>
            </w:r>
          </w:p>
        </w:tc>
        <w:tc>
          <w:tcPr>
            <w:tcW w:w="74" w:type="dxa"/>
            <w:tcBorders>
              <w:top w:val="single" w:sz="4" w:space="0" w:color="000000"/>
              <w:bottom w:val="single" w:sz="4" w:space="0" w:color="000000"/>
            </w:tcBorders>
          </w:tcPr>
          <w:p>
            <w:pPr>
              <w:pStyle w:val="TableParagraph"/>
              <w:rPr>
                <w:sz w:val="18"/>
              </w:rPr>
            </w:pPr>
          </w:p>
        </w:tc>
        <w:tc>
          <w:tcPr>
            <w:tcW w:w="1030" w:type="dxa"/>
            <w:tcBorders>
              <w:top w:val="single" w:sz="4" w:space="0" w:color="000000"/>
              <w:bottom w:val="single" w:sz="4" w:space="0" w:color="000000"/>
            </w:tcBorders>
          </w:tcPr>
          <w:p>
            <w:pPr>
              <w:pStyle w:val="TableParagraph"/>
              <w:spacing w:before="43"/>
              <w:ind w:right="95"/>
              <w:jc w:val="right"/>
              <w:rPr>
                <w:sz w:val="18"/>
              </w:rPr>
            </w:pPr>
            <w:r>
              <w:rPr>
                <w:spacing w:val="-2"/>
                <w:sz w:val="18"/>
              </w:rPr>
              <w:t>1,046</w:t>
            </w:r>
          </w:p>
        </w:tc>
        <w:tc>
          <w:tcPr>
            <w:tcW w:w="1052" w:type="dxa"/>
            <w:tcBorders>
              <w:top w:val="single" w:sz="4" w:space="0" w:color="000000"/>
              <w:bottom w:val="single" w:sz="4" w:space="0" w:color="000000"/>
            </w:tcBorders>
          </w:tcPr>
          <w:p>
            <w:pPr>
              <w:pStyle w:val="TableParagraph"/>
              <w:spacing w:before="43"/>
              <w:ind w:right="67"/>
              <w:jc w:val="right"/>
              <w:rPr>
                <w:sz w:val="18"/>
              </w:rPr>
            </w:pPr>
            <w:r>
              <w:rPr>
                <w:spacing w:val="-2"/>
                <w:sz w:val="18"/>
              </w:rPr>
              <w:t>1,388</w:t>
            </w:r>
          </w:p>
        </w:tc>
        <w:tc>
          <w:tcPr>
            <w:tcW w:w="73" w:type="dxa"/>
            <w:tcBorders>
              <w:top w:val="single" w:sz="4" w:space="0" w:color="000000"/>
              <w:bottom w:val="single" w:sz="4" w:space="0" w:color="000000"/>
            </w:tcBorders>
          </w:tcPr>
          <w:p>
            <w:pPr>
              <w:pStyle w:val="TableParagraph"/>
              <w:rPr>
                <w:sz w:val="18"/>
              </w:rPr>
            </w:pPr>
          </w:p>
        </w:tc>
        <w:tc>
          <w:tcPr>
            <w:tcW w:w="1029" w:type="dxa"/>
            <w:tcBorders>
              <w:top w:val="single" w:sz="4" w:space="0" w:color="000000"/>
              <w:bottom w:val="single" w:sz="4" w:space="0" w:color="000000"/>
            </w:tcBorders>
          </w:tcPr>
          <w:p>
            <w:pPr>
              <w:pStyle w:val="TableParagraph"/>
              <w:spacing w:before="43"/>
              <w:ind w:right="89"/>
              <w:jc w:val="right"/>
              <w:rPr>
                <w:sz w:val="18"/>
              </w:rPr>
            </w:pPr>
            <w:r>
              <w:rPr>
                <w:spacing w:val="-2"/>
                <w:sz w:val="18"/>
              </w:rPr>
              <w:t>4,606</w:t>
            </w:r>
          </w:p>
        </w:tc>
        <w:tc>
          <w:tcPr>
            <w:tcW w:w="1051" w:type="dxa"/>
            <w:tcBorders>
              <w:top w:val="single" w:sz="4" w:space="0" w:color="000000"/>
              <w:bottom w:val="single" w:sz="4" w:space="0" w:color="000000"/>
            </w:tcBorders>
          </w:tcPr>
          <w:p>
            <w:pPr>
              <w:pStyle w:val="TableParagraph"/>
              <w:spacing w:before="43"/>
              <w:ind w:right="60"/>
              <w:jc w:val="right"/>
              <w:rPr>
                <w:sz w:val="18"/>
              </w:rPr>
            </w:pPr>
            <w:r>
              <w:rPr>
                <w:spacing w:val="-2"/>
                <w:sz w:val="18"/>
              </w:rPr>
              <w:t>5,500</w:t>
            </w:r>
          </w:p>
        </w:tc>
      </w:tr>
      <w:tr>
        <w:trPr>
          <w:trHeight w:val="275" w:hRule="atLeast"/>
        </w:trPr>
        <w:tc>
          <w:tcPr>
            <w:tcW w:w="3855" w:type="dxa"/>
            <w:tcBorders>
              <w:top w:val="single" w:sz="4" w:space="0" w:color="000000"/>
              <w:bottom w:val="single" w:sz="4" w:space="0" w:color="000000"/>
            </w:tcBorders>
            <w:shd w:val="clear" w:color="auto" w:fill="CCEDFF"/>
          </w:tcPr>
          <w:p>
            <w:pPr>
              <w:pStyle w:val="TableParagraph"/>
              <w:spacing w:before="43"/>
              <w:ind w:left="52"/>
              <w:rPr>
                <w:b/>
                <w:sz w:val="18"/>
              </w:rPr>
            </w:pPr>
            <w:r>
              <w:rPr>
                <w:b/>
                <w:sz w:val="18"/>
              </w:rPr>
              <w:t>Expenses</w:t>
            </w:r>
            <w:r>
              <w:rPr>
                <w:b/>
                <w:spacing w:val="-4"/>
                <w:sz w:val="18"/>
              </w:rPr>
              <w:t> </w:t>
            </w:r>
            <w:r>
              <w:rPr>
                <w:b/>
                <w:sz w:val="18"/>
              </w:rPr>
              <w:t>Excluding</w:t>
            </w:r>
            <w:r>
              <w:rPr>
                <w:b/>
                <w:spacing w:val="-3"/>
                <w:sz w:val="18"/>
              </w:rPr>
              <w:t> </w:t>
            </w:r>
            <w:r>
              <w:rPr>
                <w:b/>
                <w:spacing w:val="-2"/>
                <w:sz w:val="18"/>
              </w:rPr>
              <w:t>Interest</w:t>
            </w:r>
          </w:p>
        </w:tc>
        <w:tc>
          <w:tcPr>
            <w:tcW w:w="1031" w:type="dxa"/>
            <w:tcBorders>
              <w:top w:val="single" w:sz="4" w:space="0" w:color="000000"/>
              <w:bottom w:val="single" w:sz="4" w:space="0" w:color="000000"/>
            </w:tcBorders>
            <w:shd w:val="clear" w:color="auto" w:fill="CCEDFF"/>
          </w:tcPr>
          <w:p>
            <w:pPr>
              <w:pStyle w:val="TableParagraph"/>
              <w:spacing w:before="43"/>
              <w:ind w:right="98"/>
              <w:jc w:val="right"/>
              <w:rPr>
                <w:sz w:val="18"/>
              </w:rPr>
            </w:pPr>
            <w:r>
              <w:rPr>
                <w:spacing w:val="-2"/>
                <w:sz w:val="18"/>
              </w:rPr>
              <w:t>2,356</w:t>
            </w:r>
          </w:p>
        </w:tc>
        <w:tc>
          <w:tcPr>
            <w:tcW w:w="1053" w:type="dxa"/>
            <w:tcBorders>
              <w:top w:val="single" w:sz="4" w:space="0" w:color="000000"/>
              <w:bottom w:val="single" w:sz="4" w:space="0" w:color="000000"/>
            </w:tcBorders>
            <w:shd w:val="clear" w:color="auto" w:fill="CCEDFF"/>
          </w:tcPr>
          <w:p>
            <w:pPr>
              <w:pStyle w:val="TableParagraph"/>
              <w:spacing w:before="43"/>
              <w:ind w:right="71"/>
              <w:jc w:val="right"/>
              <w:rPr>
                <w:sz w:val="18"/>
              </w:rPr>
            </w:pPr>
            <w:r>
              <w:rPr>
                <w:spacing w:val="-2"/>
                <w:sz w:val="18"/>
              </w:rPr>
              <w:t>2,117</w:t>
            </w:r>
          </w:p>
        </w:tc>
        <w:tc>
          <w:tcPr>
            <w:tcW w:w="74" w:type="dxa"/>
            <w:tcBorders>
              <w:top w:val="single" w:sz="4" w:space="0" w:color="000000"/>
              <w:bottom w:val="single" w:sz="4" w:space="0" w:color="000000"/>
            </w:tcBorders>
            <w:shd w:val="clear" w:color="auto" w:fill="CCEDFF"/>
          </w:tcPr>
          <w:p>
            <w:pPr>
              <w:pStyle w:val="TableParagraph"/>
              <w:rPr>
                <w:sz w:val="18"/>
              </w:rPr>
            </w:pPr>
          </w:p>
        </w:tc>
        <w:tc>
          <w:tcPr>
            <w:tcW w:w="1030" w:type="dxa"/>
            <w:tcBorders>
              <w:top w:val="single" w:sz="4" w:space="0" w:color="000000"/>
              <w:bottom w:val="single" w:sz="4" w:space="0" w:color="000000"/>
            </w:tcBorders>
            <w:shd w:val="clear" w:color="auto" w:fill="CCEDFF"/>
          </w:tcPr>
          <w:p>
            <w:pPr>
              <w:pStyle w:val="TableParagraph"/>
              <w:spacing w:before="43"/>
              <w:ind w:right="95"/>
              <w:jc w:val="right"/>
              <w:rPr>
                <w:sz w:val="18"/>
              </w:rPr>
            </w:pPr>
            <w:r>
              <w:rPr>
                <w:spacing w:val="-5"/>
                <w:sz w:val="18"/>
              </w:rPr>
              <w:t>867</w:t>
            </w:r>
          </w:p>
        </w:tc>
        <w:tc>
          <w:tcPr>
            <w:tcW w:w="1052" w:type="dxa"/>
            <w:tcBorders>
              <w:top w:val="single" w:sz="4" w:space="0" w:color="000000"/>
              <w:bottom w:val="single" w:sz="4" w:space="0" w:color="000000"/>
            </w:tcBorders>
            <w:shd w:val="clear" w:color="auto" w:fill="CCEDFF"/>
          </w:tcPr>
          <w:p>
            <w:pPr>
              <w:pStyle w:val="TableParagraph"/>
              <w:spacing w:before="43"/>
              <w:ind w:right="67"/>
              <w:jc w:val="right"/>
              <w:rPr>
                <w:sz w:val="18"/>
              </w:rPr>
            </w:pPr>
            <w:r>
              <w:rPr>
                <w:spacing w:val="-5"/>
                <w:sz w:val="18"/>
              </w:rPr>
              <w:t>706</w:t>
            </w:r>
          </w:p>
        </w:tc>
        <w:tc>
          <w:tcPr>
            <w:tcW w:w="73" w:type="dxa"/>
            <w:tcBorders>
              <w:top w:val="single" w:sz="4" w:space="0" w:color="000000"/>
              <w:bottom w:val="single" w:sz="4" w:space="0" w:color="000000"/>
            </w:tcBorders>
            <w:shd w:val="clear" w:color="auto" w:fill="CCEDFF"/>
          </w:tcPr>
          <w:p>
            <w:pPr>
              <w:pStyle w:val="TableParagraph"/>
              <w:rPr>
                <w:sz w:val="18"/>
              </w:rPr>
            </w:pPr>
          </w:p>
        </w:tc>
        <w:tc>
          <w:tcPr>
            <w:tcW w:w="1029" w:type="dxa"/>
            <w:tcBorders>
              <w:top w:val="single" w:sz="4" w:space="0" w:color="000000"/>
              <w:bottom w:val="single" w:sz="4" w:space="0" w:color="000000"/>
            </w:tcBorders>
            <w:shd w:val="clear" w:color="auto" w:fill="CCEDFF"/>
          </w:tcPr>
          <w:p>
            <w:pPr>
              <w:pStyle w:val="TableParagraph"/>
              <w:spacing w:before="43"/>
              <w:ind w:right="89"/>
              <w:jc w:val="right"/>
              <w:rPr>
                <w:sz w:val="18"/>
              </w:rPr>
            </w:pPr>
            <w:r>
              <w:rPr>
                <w:spacing w:val="-2"/>
                <w:sz w:val="18"/>
              </w:rPr>
              <w:t>3,223</w:t>
            </w:r>
          </w:p>
        </w:tc>
        <w:tc>
          <w:tcPr>
            <w:tcW w:w="1051" w:type="dxa"/>
            <w:tcBorders>
              <w:top w:val="single" w:sz="4" w:space="0" w:color="000000"/>
              <w:bottom w:val="single" w:sz="4" w:space="0" w:color="000000"/>
            </w:tcBorders>
            <w:shd w:val="clear" w:color="auto" w:fill="CCEDFF"/>
          </w:tcPr>
          <w:p>
            <w:pPr>
              <w:pStyle w:val="TableParagraph"/>
              <w:spacing w:before="43"/>
              <w:ind w:right="60"/>
              <w:jc w:val="right"/>
              <w:rPr>
                <w:sz w:val="18"/>
              </w:rPr>
            </w:pPr>
            <w:r>
              <w:rPr>
                <w:spacing w:val="-2"/>
                <w:sz w:val="18"/>
              </w:rPr>
              <w:t>2,823</w:t>
            </w:r>
          </w:p>
        </w:tc>
      </w:tr>
      <w:tr>
        <w:trPr>
          <w:trHeight w:val="250" w:hRule="atLeast"/>
        </w:trPr>
        <w:tc>
          <w:tcPr>
            <w:tcW w:w="3855" w:type="dxa"/>
            <w:tcBorders>
              <w:top w:val="single" w:sz="4" w:space="0" w:color="000000"/>
              <w:bottom w:val="double" w:sz="8" w:space="0" w:color="000000"/>
            </w:tcBorders>
          </w:tcPr>
          <w:p>
            <w:pPr>
              <w:pStyle w:val="TableParagraph"/>
              <w:spacing w:line="187" w:lineRule="exact" w:before="43"/>
              <w:ind w:left="52"/>
              <w:rPr>
                <w:b/>
                <w:sz w:val="18"/>
              </w:rPr>
            </w:pPr>
            <w:r>
              <w:rPr>
                <w:b/>
                <w:sz w:val="18"/>
              </w:rPr>
              <w:t>Income</w:t>
            </w:r>
            <w:r>
              <w:rPr>
                <w:b/>
                <w:spacing w:val="-3"/>
                <w:sz w:val="18"/>
              </w:rPr>
              <w:t> </w:t>
            </w:r>
            <w:r>
              <w:rPr>
                <w:b/>
                <w:sz w:val="18"/>
              </w:rPr>
              <w:t>before</w:t>
            </w:r>
            <w:r>
              <w:rPr>
                <w:b/>
                <w:spacing w:val="-1"/>
                <w:sz w:val="18"/>
              </w:rPr>
              <w:t> </w:t>
            </w:r>
            <w:r>
              <w:rPr>
                <w:b/>
                <w:sz w:val="18"/>
              </w:rPr>
              <w:t>taxes</w:t>
            </w:r>
            <w:r>
              <w:rPr>
                <w:b/>
                <w:spacing w:val="-2"/>
                <w:sz w:val="18"/>
              </w:rPr>
              <w:t> </w:t>
            </w:r>
            <w:r>
              <w:rPr>
                <w:b/>
                <w:sz w:val="18"/>
              </w:rPr>
              <w:t>on</w:t>
            </w:r>
            <w:r>
              <w:rPr>
                <w:b/>
                <w:spacing w:val="-1"/>
                <w:sz w:val="18"/>
              </w:rPr>
              <w:t> </w:t>
            </w:r>
            <w:r>
              <w:rPr>
                <w:b/>
                <w:spacing w:val="-2"/>
                <w:sz w:val="18"/>
              </w:rPr>
              <w:t>income</w:t>
            </w:r>
          </w:p>
        </w:tc>
        <w:tc>
          <w:tcPr>
            <w:tcW w:w="1031" w:type="dxa"/>
            <w:tcBorders>
              <w:top w:val="single" w:sz="4" w:space="0" w:color="000000"/>
              <w:bottom w:val="double" w:sz="8" w:space="0" w:color="000000"/>
            </w:tcBorders>
          </w:tcPr>
          <w:p>
            <w:pPr>
              <w:pStyle w:val="TableParagraph"/>
              <w:tabs>
                <w:tab w:pos="472" w:val="left" w:leader="none"/>
              </w:tabs>
              <w:spacing w:line="187" w:lineRule="exact" w:before="43"/>
              <w:ind w:right="98"/>
              <w:jc w:val="right"/>
              <w:rPr>
                <w:sz w:val="18"/>
              </w:rPr>
            </w:pPr>
            <w:r>
              <w:rPr>
                <w:spacing w:val="-10"/>
                <w:sz w:val="18"/>
              </w:rPr>
              <w:t>$</w:t>
            </w:r>
            <w:r>
              <w:rPr>
                <w:sz w:val="18"/>
              </w:rPr>
              <w:tab/>
            </w:r>
            <w:r>
              <w:rPr>
                <w:spacing w:val="-2"/>
                <w:sz w:val="18"/>
              </w:rPr>
              <w:t>1,204</w:t>
            </w:r>
          </w:p>
        </w:tc>
        <w:tc>
          <w:tcPr>
            <w:tcW w:w="1053" w:type="dxa"/>
            <w:tcBorders>
              <w:top w:val="single" w:sz="4" w:space="0" w:color="000000"/>
              <w:bottom w:val="double" w:sz="8" w:space="0" w:color="000000"/>
            </w:tcBorders>
          </w:tcPr>
          <w:p>
            <w:pPr>
              <w:pStyle w:val="TableParagraph"/>
              <w:tabs>
                <w:tab w:pos="472" w:val="left" w:leader="none"/>
              </w:tabs>
              <w:spacing w:line="187" w:lineRule="exact" w:before="43"/>
              <w:ind w:right="71"/>
              <w:jc w:val="right"/>
              <w:rPr>
                <w:sz w:val="18"/>
              </w:rPr>
            </w:pPr>
            <w:r>
              <w:rPr>
                <w:spacing w:val="-10"/>
                <w:sz w:val="18"/>
              </w:rPr>
              <w:t>$</w:t>
            </w:r>
            <w:r>
              <w:rPr>
                <w:sz w:val="18"/>
              </w:rPr>
              <w:tab/>
            </w:r>
            <w:r>
              <w:rPr>
                <w:spacing w:val="-2"/>
                <w:sz w:val="18"/>
              </w:rPr>
              <w:t>1,995</w:t>
            </w:r>
          </w:p>
        </w:tc>
        <w:tc>
          <w:tcPr>
            <w:tcW w:w="74" w:type="dxa"/>
            <w:tcBorders>
              <w:top w:val="single" w:sz="4" w:space="0" w:color="000000"/>
              <w:bottom w:val="double" w:sz="8" w:space="0" w:color="000000"/>
            </w:tcBorders>
          </w:tcPr>
          <w:p>
            <w:pPr>
              <w:pStyle w:val="TableParagraph"/>
              <w:rPr>
                <w:sz w:val="18"/>
              </w:rPr>
            </w:pPr>
          </w:p>
        </w:tc>
        <w:tc>
          <w:tcPr>
            <w:tcW w:w="1030" w:type="dxa"/>
            <w:tcBorders>
              <w:top w:val="single" w:sz="4" w:space="0" w:color="000000"/>
              <w:bottom w:val="double" w:sz="8" w:space="0" w:color="000000"/>
            </w:tcBorders>
          </w:tcPr>
          <w:p>
            <w:pPr>
              <w:pStyle w:val="TableParagraph"/>
              <w:tabs>
                <w:tab w:pos="607" w:val="left" w:leader="none"/>
              </w:tabs>
              <w:spacing w:line="187" w:lineRule="exact" w:before="43"/>
              <w:ind w:right="95"/>
              <w:jc w:val="right"/>
              <w:rPr>
                <w:sz w:val="18"/>
              </w:rPr>
            </w:pPr>
            <w:r>
              <w:rPr>
                <w:spacing w:val="-10"/>
                <w:sz w:val="18"/>
              </w:rPr>
              <w:t>$</w:t>
            </w:r>
            <w:r>
              <w:rPr>
                <w:sz w:val="18"/>
              </w:rPr>
              <w:tab/>
            </w:r>
            <w:r>
              <w:rPr>
                <w:spacing w:val="-5"/>
                <w:sz w:val="18"/>
              </w:rPr>
              <w:t>179</w:t>
            </w:r>
          </w:p>
        </w:tc>
        <w:tc>
          <w:tcPr>
            <w:tcW w:w="1052" w:type="dxa"/>
            <w:tcBorders>
              <w:top w:val="single" w:sz="4" w:space="0" w:color="000000"/>
              <w:bottom w:val="double" w:sz="8" w:space="0" w:color="000000"/>
            </w:tcBorders>
          </w:tcPr>
          <w:p>
            <w:pPr>
              <w:pStyle w:val="TableParagraph"/>
              <w:tabs>
                <w:tab w:pos="607" w:val="left" w:leader="none"/>
              </w:tabs>
              <w:spacing w:line="187" w:lineRule="exact" w:before="43"/>
              <w:ind w:right="67"/>
              <w:jc w:val="right"/>
              <w:rPr>
                <w:sz w:val="18"/>
              </w:rPr>
            </w:pPr>
            <w:r>
              <w:rPr>
                <w:spacing w:val="-10"/>
                <w:sz w:val="18"/>
              </w:rPr>
              <w:t>$</w:t>
            </w:r>
            <w:r>
              <w:rPr>
                <w:sz w:val="18"/>
              </w:rPr>
              <w:tab/>
            </w:r>
            <w:r>
              <w:rPr>
                <w:spacing w:val="-5"/>
                <w:sz w:val="18"/>
              </w:rPr>
              <w:t>682</w:t>
            </w:r>
          </w:p>
        </w:tc>
        <w:tc>
          <w:tcPr>
            <w:tcW w:w="73" w:type="dxa"/>
            <w:tcBorders>
              <w:top w:val="single" w:sz="4" w:space="0" w:color="000000"/>
              <w:bottom w:val="double" w:sz="8" w:space="0" w:color="000000"/>
            </w:tcBorders>
          </w:tcPr>
          <w:p>
            <w:pPr>
              <w:pStyle w:val="TableParagraph"/>
              <w:rPr>
                <w:sz w:val="18"/>
              </w:rPr>
            </w:pPr>
          </w:p>
        </w:tc>
        <w:tc>
          <w:tcPr>
            <w:tcW w:w="1029" w:type="dxa"/>
            <w:tcBorders>
              <w:top w:val="single" w:sz="4" w:space="0" w:color="000000"/>
              <w:bottom w:val="double" w:sz="8" w:space="0" w:color="000000"/>
            </w:tcBorders>
          </w:tcPr>
          <w:p>
            <w:pPr>
              <w:pStyle w:val="TableParagraph"/>
              <w:tabs>
                <w:tab w:pos="472" w:val="left" w:leader="none"/>
              </w:tabs>
              <w:spacing w:line="187" w:lineRule="exact" w:before="43"/>
              <w:ind w:right="89"/>
              <w:jc w:val="right"/>
              <w:rPr>
                <w:sz w:val="18"/>
              </w:rPr>
            </w:pPr>
            <w:r>
              <w:rPr>
                <w:spacing w:val="-10"/>
                <w:sz w:val="18"/>
              </w:rPr>
              <w:t>$</w:t>
            </w:r>
            <w:r>
              <w:rPr>
                <w:sz w:val="18"/>
              </w:rPr>
              <w:tab/>
            </w:r>
            <w:r>
              <w:rPr>
                <w:spacing w:val="-2"/>
                <w:sz w:val="18"/>
              </w:rPr>
              <w:t>1,383</w:t>
            </w:r>
          </w:p>
        </w:tc>
        <w:tc>
          <w:tcPr>
            <w:tcW w:w="1051" w:type="dxa"/>
            <w:tcBorders>
              <w:top w:val="single" w:sz="4" w:space="0" w:color="000000"/>
              <w:bottom w:val="double" w:sz="8" w:space="0" w:color="000000"/>
            </w:tcBorders>
          </w:tcPr>
          <w:p>
            <w:pPr>
              <w:pStyle w:val="TableParagraph"/>
              <w:tabs>
                <w:tab w:pos="472" w:val="left" w:leader="none"/>
              </w:tabs>
              <w:spacing w:line="187" w:lineRule="exact" w:before="43"/>
              <w:ind w:right="60"/>
              <w:jc w:val="right"/>
              <w:rPr>
                <w:sz w:val="18"/>
              </w:rPr>
            </w:pPr>
            <w:r>
              <w:rPr>
                <w:spacing w:val="-10"/>
                <w:sz w:val="18"/>
              </w:rPr>
              <w:t>$</w:t>
            </w:r>
            <w:r>
              <w:rPr>
                <w:sz w:val="18"/>
              </w:rPr>
              <w:tab/>
            </w:r>
            <w:r>
              <w:rPr>
                <w:spacing w:val="-2"/>
                <w:sz w:val="18"/>
              </w:rPr>
              <w:t>2,677</w:t>
            </w:r>
          </w:p>
        </w:tc>
      </w:tr>
    </w:tbl>
    <w:p>
      <w:pPr>
        <w:spacing w:after="0" w:line="187" w:lineRule="exact"/>
        <w:jc w:val="right"/>
        <w:rPr>
          <w:sz w:val="18"/>
        </w:rPr>
        <w:sectPr>
          <w:pgSz w:w="12240" w:h="15840"/>
          <w:pgMar w:header="227" w:footer="201" w:top="1080" w:bottom="400" w:left="520" w:right="520"/>
        </w:sectPr>
      </w:pPr>
    </w:p>
    <w:p>
      <w:pPr>
        <w:pStyle w:val="BodyText"/>
      </w:pPr>
    </w:p>
    <w:p>
      <w:pPr>
        <w:pStyle w:val="BodyText"/>
        <w:spacing w:before="152"/>
      </w:pPr>
    </w:p>
    <w:p>
      <w:pPr>
        <w:pStyle w:val="BodyText"/>
        <w:spacing w:line="20" w:lineRule="exact"/>
        <w:ind w:left="465"/>
        <w:rPr>
          <w:sz w:val="2"/>
        </w:rPr>
      </w:pPr>
      <w:r>
        <w:rPr>
          <w:sz w:val="2"/>
        </w:rPr>
        <mc:AlternateContent>
          <mc:Choice Requires="wps">
            <w:drawing>
              <wp:inline distT="0" distB="0" distL="0" distR="0">
                <wp:extent cx="6515100" cy="6350"/>
                <wp:effectExtent l="9525" t="0" r="0" b="3175"/>
                <wp:docPr id="710" name="Group 710"/>
                <wp:cNvGraphicFramePr>
                  <a:graphicFrameLocks/>
                </wp:cNvGraphicFramePr>
                <a:graphic>
                  <a:graphicData uri="http://schemas.microsoft.com/office/word/2010/wordprocessingGroup">
                    <wpg:wgp>
                      <wpg:cNvPr id="710" name="Group 710"/>
                      <wpg:cNvGrpSpPr/>
                      <wpg:grpSpPr>
                        <a:xfrm>
                          <a:off x="0" y="0"/>
                          <a:ext cx="6515100" cy="6350"/>
                          <a:chExt cx="6515100" cy="6350"/>
                        </a:xfrm>
                      </wpg:grpSpPr>
                      <wps:wsp>
                        <wps:cNvPr id="711" name="Graphic 711"/>
                        <wps:cNvSpPr/>
                        <wps:spPr>
                          <a:xfrm>
                            <a:off x="0" y="317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712" name="Graphic 712"/>
                        <wps:cNvSpPr/>
                        <wps:spPr>
                          <a:xfrm>
                            <a:off x="0" y="3175"/>
                            <a:ext cx="6515100" cy="1270"/>
                          </a:xfrm>
                          <a:custGeom>
                            <a:avLst/>
                            <a:gdLst/>
                            <a:ahLst/>
                            <a:cxnLst/>
                            <a:rect l="l" t="t" r="r" b="b"/>
                            <a:pathLst>
                              <a:path w="6515100" h="0">
                                <a:moveTo>
                                  <a:pt x="0" y="0"/>
                                </a:moveTo>
                                <a:lnTo>
                                  <a:pt x="651510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3pt;height:.5pt;mso-position-horizontal-relative:char;mso-position-vertical-relative:line" id="docshapegroup512" coordorigin="0,0" coordsize="10260,10">
                <v:shape style="position:absolute;left:0;top:5;width:10260;height:2" id="docshape513" coordorigin="0,5" coordsize="10260,0" path="m10260,5l0,5e" filled="true" fillcolor="#000000" stroked="false">
                  <v:path arrowok="t"/>
                  <v:fill opacity="0f" type="solid"/>
                </v:shape>
                <v:line style="position:absolute" from="0,5" to="10260,5" stroked="true" strokeweight=".5pt" strokecolor="#000000">
                  <v:stroke dashstyle="solid"/>
                </v:line>
              </v:group>
            </w:pict>
          </mc:Fallback>
        </mc:AlternateContent>
      </w:r>
      <w:r>
        <w:rPr>
          <w:sz w:val="2"/>
        </w:rPr>
      </w:r>
    </w:p>
    <w:p>
      <w:pPr>
        <w:tabs>
          <w:tab w:pos="6910" w:val="left" w:leader="none"/>
          <w:tab w:pos="9497" w:val="left" w:leader="none"/>
        </w:tabs>
        <w:spacing w:before="33" w:after="30"/>
        <w:ind w:left="4730" w:right="0" w:firstLine="0"/>
        <w:jc w:val="left"/>
        <w:rPr>
          <w:sz w:val="18"/>
        </w:rPr>
      </w:pPr>
      <w:r>
        <w:rPr>
          <w:sz w:val="18"/>
        </w:rPr>
        <w:t>Investor</w:t>
      </w:r>
      <w:r>
        <w:rPr>
          <w:spacing w:val="-1"/>
          <w:sz w:val="18"/>
        </w:rPr>
        <w:t> </w:t>
      </w:r>
      <w:r>
        <w:rPr>
          <w:spacing w:val="-2"/>
          <w:sz w:val="18"/>
        </w:rPr>
        <w:t>Services</w:t>
      </w:r>
      <w:r>
        <w:rPr>
          <w:sz w:val="18"/>
        </w:rPr>
        <w:tab/>
        <w:t>Advisor</w:t>
      </w:r>
      <w:r>
        <w:rPr>
          <w:spacing w:val="-2"/>
          <w:sz w:val="18"/>
        </w:rPr>
        <w:t> Services</w:t>
      </w:r>
      <w:r>
        <w:rPr>
          <w:sz w:val="18"/>
        </w:rPr>
        <w:tab/>
      </w:r>
      <w:r>
        <w:rPr>
          <w:spacing w:val="-2"/>
          <w:sz w:val="18"/>
        </w:rPr>
        <w:t>Total</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5"/>
        <w:gridCol w:w="1046"/>
        <w:gridCol w:w="1068"/>
        <w:gridCol w:w="74"/>
        <w:gridCol w:w="1030"/>
        <w:gridCol w:w="1052"/>
        <w:gridCol w:w="73"/>
        <w:gridCol w:w="1029"/>
        <w:gridCol w:w="1051"/>
      </w:tblGrid>
      <w:tr>
        <w:trPr>
          <w:trHeight w:val="245" w:hRule="atLeast"/>
        </w:trPr>
        <w:tc>
          <w:tcPr>
            <w:tcW w:w="3825" w:type="dxa"/>
            <w:tcBorders>
              <w:bottom w:val="single" w:sz="4" w:space="0" w:color="000000"/>
            </w:tcBorders>
          </w:tcPr>
          <w:p>
            <w:pPr>
              <w:pStyle w:val="TableParagraph"/>
              <w:spacing w:before="13"/>
              <w:ind w:left="52"/>
              <w:rPr>
                <w:sz w:val="18"/>
              </w:rPr>
            </w:pPr>
            <w:r>
              <w:rPr>
                <w:sz w:val="18"/>
              </w:rPr>
              <w:t>Nine</w:t>
            </w:r>
            <w:r>
              <w:rPr>
                <w:spacing w:val="-1"/>
                <w:sz w:val="18"/>
              </w:rPr>
              <w:t> </w:t>
            </w:r>
            <w:r>
              <w:rPr>
                <w:sz w:val="18"/>
              </w:rPr>
              <w:t>Months</w:t>
            </w:r>
            <w:r>
              <w:rPr>
                <w:spacing w:val="-2"/>
                <w:sz w:val="18"/>
              </w:rPr>
              <w:t> </w:t>
            </w:r>
            <w:r>
              <w:rPr>
                <w:sz w:val="18"/>
              </w:rPr>
              <w:t>Ended</w:t>
            </w:r>
            <w:r>
              <w:rPr>
                <w:spacing w:val="-1"/>
                <w:sz w:val="18"/>
              </w:rPr>
              <w:t> </w:t>
            </w:r>
            <w:r>
              <w:rPr>
                <w:sz w:val="18"/>
              </w:rPr>
              <w:t>September </w:t>
            </w:r>
            <w:r>
              <w:rPr>
                <w:spacing w:val="-5"/>
                <w:sz w:val="18"/>
              </w:rPr>
              <w:t>30,</w:t>
            </w:r>
          </w:p>
        </w:tc>
        <w:tc>
          <w:tcPr>
            <w:tcW w:w="1046" w:type="dxa"/>
            <w:tcBorders>
              <w:top w:val="single" w:sz="4" w:space="0" w:color="000000"/>
              <w:bottom w:val="single" w:sz="4" w:space="0" w:color="000000"/>
            </w:tcBorders>
          </w:tcPr>
          <w:p>
            <w:pPr>
              <w:pStyle w:val="TableParagraph"/>
              <w:spacing w:before="13"/>
              <w:ind w:left="322"/>
              <w:rPr>
                <w:sz w:val="18"/>
              </w:rPr>
            </w:pPr>
            <w:r>
              <w:rPr>
                <w:spacing w:val="-4"/>
                <w:sz w:val="18"/>
              </w:rPr>
              <w:t>2023</w:t>
            </w:r>
          </w:p>
        </w:tc>
        <w:tc>
          <w:tcPr>
            <w:tcW w:w="1068" w:type="dxa"/>
            <w:tcBorders>
              <w:top w:val="single" w:sz="4" w:space="0" w:color="000000"/>
              <w:bottom w:val="single" w:sz="4" w:space="0" w:color="000000"/>
            </w:tcBorders>
          </w:tcPr>
          <w:p>
            <w:pPr>
              <w:pStyle w:val="TableParagraph"/>
              <w:spacing w:before="13"/>
              <w:ind w:left="386"/>
              <w:rPr>
                <w:sz w:val="18"/>
              </w:rPr>
            </w:pPr>
            <w:r>
              <w:rPr>
                <w:spacing w:val="-4"/>
                <w:sz w:val="18"/>
              </w:rPr>
              <w:t>2022</w:t>
            </w:r>
          </w:p>
        </w:tc>
        <w:tc>
          <w:tcPr>
            <w:tcW w:w="74" w:type="dxa"/>
            <w:tcBorders>
              <w:bottom w:val="single" w:sz="4" w:space="0" w:color="000000"/>
            </w:tcBorders>
          </w:tcPr>
          <w:p>
            <w:pPr>
              <w:pStyle w:val="TableParagraph"/>
              <w:rPr>
                <w:sz w:val="16"/>
              </w:rPr>
            </w:pPr>
          </w:p>
        </w:tc>
        <w:tc>
          <w:tcPr>
            <w:tcW w:w="1030" w:type="dxa"/>
            <w:tcBorders>
              <w:top w:val="single" w:sz="4" w:space="0" w:color="000000"/>
              <w:bottom w:val="single" w:sz="4" w:space="0" w:color="000000"/>
            </w:tcBorders>
          </w:tcPr>
          <w:p>
            <w:pPr>
              <w:pStyle w:val="TableParagraph"/>
              <w:spacing w:before="13"/>
              <w:ind w:left="324"/>
              <w:rPr>
                <w:sz w:val="18"/>
              </w:rPr>
            </w:pPr>
            <w:r>
              <w:rPr>
                <w:spacing w:val="-4"/>
                <w:sz w:val="18"/>
              </w:rPr>
              <w:t>2023</w:t>
            </w:r>
          </w:p>
        </w:tc>
        <w:tc>
          <w:tcPr>
            <w:tcW w:w="1052" w:type="dxa"/>
            <w:tcBorders>
              <w:top w:val="single" w:sz="4" w:space="0" w:color="000000"/>
              <w:bottom w:val="single" w:sz="4" w:space="0" w:color="000000"/>
            </w:tcBorders>
          </w:tcPr>
          <w:p>
            <w:pPr>
              <w:pStyle w:val="TableParagraph"/>
              <w:spacing w:before="13"/>
              <w:ind w:left="374"/>
              <w:rPr>
                <w:sz w:val="18"/>
              </w:rPr>
            </w:pPr>
            <w:r>
              <w:rPr>
                <w:spacing w:val="-4"/>
                <w:sz w:val="18"/>
              </w:rPr>
              <w:t>2022</w:t>
            </w:r>
          </w:p>
        </w:tc>
        <w:tc>
          <w:tcPr>
            <w:tcW w:w="73" w:type="dxa"/>
            <w:tcBorders>
              <w:bottom w:val="single" w:sz="4" w:space="0" w:color="000000"/>
            </w:tcBorders>
          </w:tcPr>
          <w:p>
            <w:pPr>
              <w:pStyle w:val="TableParagraph"/>
              <w:rPr>
                <w:sz w:val="16"/>
              </w:rPr>
            </w:pPr>
          </w:p>
        </w:tc>
        <w:tc>
          <w:tcPr>
            <w:tcW w:w="1029" w:type="dxa"/>
            <w:tcBorders>
              <w:top w:val="single" w:sz="4" w:space="0" w:color="000000"/>
              <w:bottom w:val="single" w:sz="4" w:space="0" w:color="000000"/>
            </w:tcBorders>
          </w:tcPr>
          <w:p>
            <w:pPr>
              <w:pStyle w:val="TableParagraph"/>
              <w:spacing w:before="13"/>
              <w:ind w:left="329"/>
              <w:rPr>
                <w:sz w:val="18"/>
              </w:rPr>
            </w:pPr>
            <w:r>
              <w:rPr>
                <w:spacing w:val="-4"/>
                <w:sz w:val="18"/>
              </w:rPr>
              <w:t>2023</w:t>
            </w:r>
          </w:p>
        </w:tc>
        <w:tc>
          <w:tcPr>
            <w:tcW w:w="1051" w:type="dxa"/>
            <w:tcBorders>
              <w:top w:val="single" w:sz="4" w:space="0" w:color="000000"/>
              <w:bottom w:val="single" w:sz="4" w:space="0" w:color="000000"/>
            </w:tcBorders>
          </w:tcPr>
          <w:p>
            <w:pPr>
              <w:pStyle w:val="TableParagraph"/>
              <w:spacing w:before="13"/>
              <w:ind w:left="380"/>
              <w:rPr>
                <w:sz w:val="18"/>
              </w:rPr>
            </w:pPr>
            <w:r>
              <w:rPr>
                <w:spacing w:val="-4"/>
                <w:sz w:val="18"/>
              </w:rPr>
              <w:t>2022</w:t>
            </w:r>
          </w:p>
        </w:tc>
      </w:tr>
      <w:tr>
        <w:trPr>
          <w:trHeight w:val="280" w:hRule="atLeast"/>
        </w:trPr>
        <w:tc>
          <w:tcPr>
            <w:tcW w:w="3825" w:type="dxa"/>
            <w:tcBorders>
              <w:top w:val="single" w:sz="4" w:space="0" w:color="000000"/>
            </w:tcBorders>
          </w:tcPr>
          <w:p>
            <w:pPr>
              <w:pStyle w:val="TableParagraph"/>
              <w:spacing w:before="43"/>
              <w:ind w:left="52"/>
              <w:rPr>
                <w:b/>
                <w:sz w:val="18"/>
              </w:rPr>
            </w:pPr>
            <w:r>
              <w:rPr>
                <w:b/>
                <w:sz w:val="18"/>
              </w:rPr>
              <w:t>Net</w:t>
            </w:r>
            <w:r>
              <w:rPr>
                <w:b/>
                <w:spacing w:val="-1"/>
                <w:sz w:val="18"/>
              </w:rPr>
              <w:t> </w:t>
            </w:r>
            <w:r>
              <w:rPr>
                <w:b/>
                <w:spacing w:val="-2"/>
                <w:sz w:val="18"/>
              </w:rPr>
              <w:t>Revenues</w:t>
            </w:r>
          </w:p>
        </w:tc>
        <w:tc>
          <w:tcPr>
            <w:tcW w:w="1046" w:type="dxa"/>
            <w:tcBorders>
              <w:top w:val="single" w:sz="4" w:space="0" w:color="000000"/>
            </w:tcBorders>
          </w:tcPr>
          <w:p>
            <w:pPr>
              <w:pStyle w:val="TableParagraph"/>
              <w:rPr>
                <w:sz w:val="18"/>
              </w:rPr>
            </w:pPr>
          </w:p>
        </w:tc>
        <w:tc>
          <w:tcPr>
            <w:tcW w:w="1068" w:type="dxa"/>
            <w:tcBorders>
              <w:top w:val="single" w:sz="4" w:space="0" w:color="000000"/>
            </w:tcBorders>
          </w:tcPr>
          <w:p>
            <w:pPr>
              <w:pStyle w:val="TableParagraph"/>
              <w:rPr>
                <w:sz w:val="18"/>
              </w:rPr>
            </w:pPr>
          </w:p>
        </w:tc>
        <w:tc>
          <w:tcPr>
            <w:tcW w:w="74" w:type="dxa"/>
            <w:tcBorders>
              <w:top w:val="single" w:sz="4" w:space="0" w:color="000000"/>
            </w:tcBorders>
          </w:tcPr>
          <w:p>
            <w:pPr>
              <w:pStyle w:val="TableParagraph"/>
              <w:rPr>
                <w:sz w:val="18"/>
              </w:rPr>
            </w:pPr>
          </w:p>
        </w:tc>
        <w:tc>
          <w:tcPr>
            <w:tcW w:w="1030" w:type="dxa"/>
            <w:tcBorders>
              <w:top w:val="single" w:sz="4" w:space="0" w:color="000000"/>
            </w:tcBorders>
          </w:tcPr>
          <w:p>
            <w:pPr>
              <w:pStyle w:val="TableParagraph"/>
              <w:rPr>
                <w:sz w:val="18"/>
              </w:rPr>
            </w:pPr>
          </w:p>
        </w:tc>
        <w:tc>
          <w:tcPr>
            <w:tcW w:w="1052" w:type="dxa"/>
            <w:tcBorders>
              <w:top w:val="single" w:sz="4" w:space="0" w:color="000000"/>
            </w:tcBorders>
          </w:tcPr>
          <w:p>
            <w:pPr>
              <w:pStyle w:val="TableParagraph"/>
              <w:rPr>
                <w:sz w:val="18"/>
              </w:rPr>
            </w:pPr>
          </w:p>
        </w:tc>
        <w:tc>
          <w:tcPr>
            <w:tcW w:w="73" w:type="dxa"/>
            <w:tcBorders>
              <w:top w:val="single" w:sz="4" w:space="0" w:color="000000"/>
            </w:tcBorders>
          </w:tcPr>
          <w:p>
            <w:pPr>
              <w:pStyle w:val="TableParagraph"/>
              <w:rPr>
                <w:sz w:val="18"/>
              </w:rPr>
            </w:pPr>
          </w:p>
        </w:tc>
        <w:tc>
          <w:tcPr>
            <w:tcW w:w="1029" w:type="dxa"/>
            <w:tcBorders>
              <w:top w:val="single" w:sz="4" w:space="0" w:color="000000"/>
            </w:tcBorders>
          </w:tcPr>
          <w:p>
            <w:pPr>
              <w:pStyle w:val="TableParagraph"/>
              <w:rPr>
                <w:sz w:val="18"/>
              </w:rPr>
            </w:pPr>
          </w:p>
        </w:tc>
        <w:tc>
          <w:tcPr>
            <w:tcW w:w="1051" w:type="dxa"/>
            <w:tcBorders>
              <w:top w:val="single" w:sz="4" w:space="0" w:color="000000"/>
            </w:tcBorders>
          </w:tcPr>
          <w:p>
            <w:pPr>
              <w:pStyle w:val="TableParagraph"/>
              <w:rPr>
                <w:sz w:val="18"/>
              </w:rPr>
            </w:pPr>
          </w:p>
        </w:tc>
      </w:tr>
      <w:tr>
        <w:trPr>
          <w:trHeight w:val="285" w:hRule="atLeast"/>
        </w:trPr>
        <w:tc>
          <w:tcPr>
            <w:tcW w:w="3825" w:type="dxa"/>
            <w:shd w:val="clear" w:color="auto" w:fill="CCEDFF"/>
          </w:tcPr>
          <w:p>
            <w:pPr>
              <w:pStyle w:val="TableParagraph"/>
              <w:spacing w:before="48"/>
              <w:ind w:left="52"/>
              <w:rPr>
                <w:sz w:val="18"/>
              </w:rPr>
            </w:pPr>
            <w:r>
              <w:rPr>
                <w:sz w:val="18"/>
              </w:rPr>
              <w:t>Net</w:t>
            </w:r>
            <w:r>
              <w:rPr>
                <w:spacing w:val="-1"/>
                <w:sz w:val="18"/>
              </w:rPr>
              <w:t> </w:t>
            </w:r>
            <w:r>
              <w:rPr>
                <w:sz w:val="18"/>
              </w:rPr>
              <w:t>interest</w:t>
            </w:r>
            <w:r>
              <w:rPr>
                <w:spacing w:val="-1"/>
                <w:sz w:val="18"/>
              </w:rPr>
              <w:t> </w:t>
            </w:r>
            <w:r>
              <w:rPr>
                <w:spacing w:val="-2"/>
                <w:sz w:val="18"/>
              </w:rPr>
              <w:t>revenue</w:t>
            </w:r>
          </w:p>
        </w:tc>
        <w:tc>
          <w:tcPr>
            <w:tcW w:w="1046" w:type="dxa"/>
            <w:shd w:val="clear" w:color="auto" w:fill="CCEDFF"/>
          </w:tcPr>
          <w:p>
            <w:pPr>
              <w:pStyle w:val="TableParagraph"/>
              <w:tabs>
                <w:tab w:pos="472" w:val="left" w:leader="none"/>
              </w:tabs>
              <w:spacing w:before="48"/>
              <w:ind w:right="113"/>
              <w:jc w:val="right"/>
              <w:rPr>
                <w:sz w:val="18"/>
              </w:rPr>
            </w:pPr>
            <w:r>
              <w:rPr>
                <w:spacing w:val="-10"/>
                <w:sz w:val="18"/>
              </w:rPr>
              <w:t>$</w:t>
            </w:r>
            <w:r>
              <w:rPr>
                <w:sz w:val="18"/>
              </w:rPr>
              <w:tab/>
            </w:r>
            <w:r>
              <w:rPr>
                <w:spacing w:val="-2"/>
                <w:sz w:val="18"/>
              </w:rPr>
              <w:t>5,448</w:t>
            </w:r>
          </w:p>
        </w:tc>
        <w:tc>
          <w:tcPr>
            <w:tcW w:w="1068" w:type="dxa"/>
            <w:shd w:val="clear" w:color="auto" w:fill="CCEDFF"/>
          </w:tcPr>
          <w:p>
            <w:pPr>
              <w:pStyle w:val="TableParagraph"/>
              <w:tabs>
                <w:tab w:pos="472" w:val="left" w:leader="none"/>
              </w:tabs>
              <w:spacing w:before="48"/>
              <w:ind w:right="71"/>
              <w:jc w:val="right"/>
              <w:rPr>
                <w:sz w:val="18"/>
              </w:rPr>
            </w:pPr>
            <w:r>
              <w:rPr>
                <w:spacing w:val="-10"/>
                <w:sz w:val="18"/>
              </w:rPr>
              <w:t>$</w:t>
            </w:r>
            <w:r>
              <w:rPr>
                <w:sz w:val="18"/>
              </w:rPr>
              <w:tab/>
            </w:r>
            <w:r>
              <w:rPr>
                <w:spacing w:val="-2"/>
                <w:sz w:val="18"/>
              </w:rPr>
              <w:t>5,551</w:t>
            </w:r>
          </w:p>
        </w:tc>
        <w:tc>
          <w:tcPr>
            <w:tcW w:w="74" w:type="dxa"/>
            <w:shd w:val="clear" w:color="auto" w:fill="CCEDFF"/>
          </w:tcPr>
          <w:p>
            <w:pPr>
              <w:pStyle w:val="TableParagraph"/>
              <w:rPr>
                <w:sz w:val="18"/>
              </w:rPr>
            </w:pPr>
          </w:p>
        </w:tc>
        <w:tc>
          <w:tcPr>
            <w:tcW w:w="1030" w:type="dxa"/>
            <w:shd w:val="clear" w:color="auto" w:fill="CCEDFF"/>
          </w:tcPr>
          <w:p>
            <w:pPr>
              <w:pStyle w:val="TableParagraph"/>
              <w:tabs>
                <w:tab w:pos="472" w:val="left" w:leader="none"/>
              </w:tabs>
              <w:spacing w:before="48"/>
              <w:ind w:right="95"/>
              <w:jc w:val="right"/>
              <w:rPr>
                <w:sz w:val="18"/>
              </w:rPr>
            </w:pPr>
            <w:r>
              <w:rPr>
                <w:spacing w:val="-10"/>
                <w:sz w:val="18"/>
              </w:rPr>
              <w:t>$</w:t>
            </w:r>
            <w:r>
              <w:rPr>
                <w:sz w:val="18"/>
              </w:rPr>
              <w:tab/>
            </w:r>
            <w:r>
              <w:rPr>
                <w:spacing w:val="-2"/>
                <w:sz w:val="18"/>
              </w:rPr>
              <w:t>1,849</w:t>
            </w:r>
          </w:p>
        </w:tc>
        <w:tc>
          <w:tcPr>
            <w:tcW w:w="1052" w:type="dxa"/>
            <w:shd w:val="clear" w:color="auto" w:fill="CCEDFF"/>
          </w:tcPr>
          <w:p>
            <w:pPr>
              <w:pStyle w:val="TableParagraph"/>
              <w:tabs>
                <w:tab w:pos="472" w:val="left" w:leader="none"/>
              </w:tabs>
              <w:spacing w:before="48"/>
              <w:ind w:right="67"/>
              <w:jc w:val="right"/>
              <w:rPr>
                <w:sz w:val="18"/>
              </w:rPr>
            </w:pPr>
            <w:r>
              <w:rPr>
                <w:spacing w:val="-10"/>
                <w:sz w:val="18"/>
              </w:rPr>
              <w:t>$</w:t>
            </w:r>
            <w:r>
              <w:rPr>
                <w:sz w:val="18"/>
              </w:rPr>
              <w:tab/>
            </w:r>
            <w:r>
              <w:rPr>
                <w:spacing w:val="-2"/>
                <w:sz w:val="18"/>
              </w:rPr>
              <w:t>2,102</w:t>
            </w:r>
          </w:p>
        </w:tc>
        <w:tc>
          <w:tcPr>
            <w:tcW w:w="73" w:type="dxa"/>
            <w:shd w:val="clear" w:color="auto" w:fill="CCEDFF"/>
          </w:tcPr>
          <w:p>
            <w:pPr>
              <w:pStyle w:val="TableParagraph"/>
              <w:rPr>
                <w:sz w:val="18"/>
              </w:rPr>
            </w:pPr>
          </w:p>
        </w:tc>
        <w:tc>
          <w:tcPr>
            <w:tcW w:w="1029" w:type="dxa"/>
            <w:shd w:val="clear" w:color="auto" w:fill="CCEDFF"/>
          </w:tcPr>
          <w:p>
            <w:pPr>
              <w:pStyle w:val="TableParagraph"/>
              <w:tabs>
                <w:tab w:pos="472" w:val="left" w:leader="none"/>
              </w:tabs>
              <w:spacing w:before="48"/>
              <w:ind w:right="89"/>
              <w:jc w:val="right"/>
              <w:rPr>
                <w:sz w:val="18"/>
              </w:rPr>
            </w:pPr>
            <w:r>
              <w:rPr>
                <w:spacing w:val="-10"/>
                <w:sz w:val="18"/>
              </w:rPr>
              <w:t>$</w:t>
            </w:r>
            <w:r>
              <w:rPr>
                <w:sz w:val="18"/>
              </w:rPr>
              <w:tab/>
            </w:r>
            <w:r>
              <w:rPr>
                <w:spacing w:val="-2"/>
                <w:sz w:val="18"/>
              </w:rPr>
              <w:t>7,297</w:t>
            </w:r>
          </w:p>
        </w:tc>
        <w:tc>
          <w:tcPr>
            <w:tcW w:w="1051" w:type="dxa"/>
            <w:shd w:val="clear" w:color="auto" w:fill="CCEDFF"/>
          </w:tcPr>
          <w:p>
            <w:pPr>
              <w:pStyle w:val="TableParagraph"/>
              <w:tabs>
                <w:tab w:pos="472" w:val="left" w:leader="none"/>
              </w:tabs>
              <w:spacing w:before="48"/>
              <w:ind w:right="60"/>
              <w:jc w:val="right"/>
              <w:rPr>
                <w:sz w:val="18"/>
              </w:rPr>
            </w:pPr>
            <w:r>
              <w:rPr>
                <w:spacing w:val="-10"/>
                <w:sz w:val="18"/>
              </w:rPr>
              <w:t>$</w:t>
            </w:r>
            <w:r>
              <w:rPr>
                <w:sz w:val="18"/>
              </w:rPr>
              <w:tab/>
            </w:r>
            <w:r>
              <w:rPr>
                <w:spacing w:val="-2"/>
                <w:sz w:val="18"/>
              </w:rPr>
              <w:t>7,653</w:t>
            </w:r>
          </w:p>
        </w:tc>
      </w:tr>
      <w:tr>
        <w:trPr>
          <w:trHeight w:val="285" w:hRule="atLeast"/>
        </w:trPr>
        <w:tc>
          <w:tcPr>
            <w:tcW w:w="3825" w:type="dxa"/>
          </w:tcPr>
          <w:p>
            <w:pPr>
              <w:pStyle w:val="TableParagraph"/>
              <w:spacing w:before="48"/>
              <w:ind w:left="52"/>
              <w:rPr>
                <w:sz w:val="18"/>
              </w:rPr>
            </w:pPr>
            <w:r>
              <w:rPr>
                <w:sz w:val="18"/>
              </w:rPr>
              <w:t>Asset</w:t>
            </w:r>
            <w:r>
              <w:rPr>
                <w:spacing w:val="-1"/>
                <w:sz w:val="18"/>
              </w:rPr>
              <w:t> </w:t>
            </w:r>
            <w:r>
              <w:rPr>
                <w:sz w:val="18"/>
              </w:rPr>
              <w:t>management</w:t>
            </w:r>
            <w:r>
              <w:rPr>
                <w:spacing w:val="-1"/>
                <w:sz w:val="18"/>
              </w:rPr>
              <w:t> </w:t>
            </w:r>
            <w:r>
              <w:rPr>
                <w:sz w:val="18"/>
              </w:rPr>
              <w:t>and</w:t>
            </w:r>
            <w:r>
              <w:rPr>
                <w:spacing w:val="-1"/>
                <w:sz w:val="18"/>
              </w:rPr>
              <w:t> </w:t>
            </w:r>
            <w:r>
              <w:rPr>
                <w:sz w:val="18"/>
              </w:rPr>
              <w:t>administration</w:t>
            </w:r>
            <w:r>
              <w:rPr>
                <w:spacing w:val="-1"/>
                <w:sz w:val="18"/>
              </w:rPr>
              <w:t> </w:t>
            </w:r>
            <w:r>
              <w:rPr>
                <w:spacing w:val="-4"/>
                <w:sz w:val="18"/>
              </w:rPr>
              <w:t>fees</w:t>
            </w:r>
          </w:p>
        </w:tc>
        <w:tc>
          <w:tcPr>
            <w:tcW w:w="1046" w:type="dxa"/>
          </w:tcPr>
          <w:p>
            <w:pPr>
              <w:pStyle w:val="TableParagraph"/>
              <w:spacing w:before="48"/>
              <w:ind w:right="113"/>
              <w:jc w:val="right"/>
              <w:rPr>
                <w:sz w:val="18"/>
              </w:rPr>
            </w:pPr>
            <w:r>
              <w:rPr>
                <w:spacing w:val="-2"/>
                <w:sz w:val="18"/>
              </w:rPr>
              <w:t>2,523</w:t>
            </w:r>
          </w:p>
        </w:tc>
        <w:tc>
          <w:tcPr>
            <w:tcW w:w="1068" w:type="dxa"/>
          </w:tcPr>
          <w:p>
            <w:pPr>
              <w:pStyle w:val="TableParagraph"/>
              <w:spacing w:before="48"/>
              <w:ind w:right="71"/>
              <w:jc w:val="right"/>
              <w:rPr>
                <w:sz w:val="18"/>
              </w:rPr>
            </w:pPr>
            <w:r>
              <w:rPr>
                <w:spacing w:val="-2"/>
                <w:sz w:val="18"/>
              </w:rPr>
              <w:t>2,299</w:t>
            </w:r>
          </w:p>
        </w:tc>
        <w:tc>
          <w:tcPr>
            <w:tcW w:w="74" w:type="dxa"/>
          </w:tcPr>
          <w:p>
            <w:pPr>
              <w:pStyle w:val="TableParagraph"/>
              <w:rPr>
                <w:sz w:val="18"/>
              </w:rPr>
            </w:pPr>
          </w:p>
        </w:tc>
        <w:tc>
          <w:tcPr>
            <w:tcW w:w="1030" w:type="dxa"/>
          </w:tcPr>
          <w:p>
            <w:pPr>
              <w:pStyle w:val="TableParagraph"/>
              <w:spacing w:before="48"/>
              <w:ind w:right="95"/>
              <w:jc w:val="right"/>
              <w:rPr>
                <w:sz w:val="18"/>
              </w:rPr>
            </w:pPr>
            <w:r>
              <w:rPr>
                <w:spacing w:val="-5"/>
                <w:sz w:val="18"/>
              </w:rPr>
              <w:t>992</w:t>
            </w:r>
          </w:p>
        </w:tc>
        <w:tc>
          <w:tcPr>
            <w:tcW w:w="1052" w:type="dxa"/>
          </w:tcPr>
          <w:p>
            <w:pPr>
              <w:pStyle w:val="TableParagraph"/>
              <w:spacing w:before="48"/>
              <w:ind w:right="67"/>
              <w:jc w:val="right"/>
              <w:rPr>
                <w:sz w:val="18"/>
              </w:rPr>
            </w:pPr>
            <w:r>
              <w:rPr>
                <w:spacing w:val="-5"/>
                <w:sz w:val="18"/>
              </w:rPr>
              <w:t>868</w:t>
            </w:r>
          </w:p>
        </w:tc>
        <w:tc>
          <w:tcPr>
            <w:tcW w:w="73" w:type="dxa"/>
          </w:tcPr>
          <w:p>
            <w:pPr>
              <w:pStyle w:val="TableParagraph"/>
              <w:rPr>
                <w:sz w:val="18"/>
              </w:rPr>
            </w:pPr>
          </w:p>
        </w:tc>
        <w:tc>
          <w:tcPr>
            <w:tcW w:w="1029" w:type="dxa"/>
          </w:tcPr>
          <w:p>
            <w:pPr>
              <w:pStyle w:val="TableParagraph"/>
              <w:spacing w:before="48"/>
              <w:ind w:right="89"/>
              <w:jc w:val="right"/>
              <w:rPr>
                <w:sz w:val="18"/>
              </w:rPr>
            </w:pPr>
            <w:r>
              <w:rPr>
                <w:spacing w:val="-2"/>
                <w:sz w:val="18"/>
              </w:rPr>
              <w:t>3,515</w:t>
            </w:r>
          </w:p>
        </w:tc>
        <w:tc>
          <w:tcPr>
            <w:tcW w:w="1051" w:type="dxa"/>
          </w:tcPr>
          <w:p>
            <w:pPr>
              <w:pStyle w:val="TableParagraph"/>
              <w:spacing w:before="48"/>
              <w:ind w:right="60"/>
              <w:jc w:val="right"/>
              <w:rPr>
                <w:sz w:val="18"/>
              </w:rPr>
            </w:pPr>
            <w:r>
              <w:rPr>
                <w:spacing w:val="-2"/>
                <w:sz w:val="18"/>
              </w:rPr>
              <w:t>3,167</w:t>
            </w:r>
          </w:p>
        </w:tc>
      </w:tr>
      <w:tr>
        <w:trPr>
          <w:trHeight w:val="285" w:hRule="atLeast"/>
        </w:trPr>
        <w:tc>
          <w:tcPr>
            <w:tcW w:w="3825" w:type="dxa"/>
            <w:shd w:val="clear" w:color="auto" w:fill="CCEDFF"/>
          </w:tcPr>
          <w:p>
            <w:pPr>
              <w:pStyle w:val="TableParagraph"/>
              <w:spacing w:before="48"/>
              <w:ind w:left="52"/>
              <w:rPr>
                <w:sz w:val="18"/>
              </w:rPr>
            </w:pPr>
            <w:r>
              <w:rPr>
                <w:sz w:val="18"/>
              </w:rPr>
              <w:t>Trading </w:t>
            </w:r>
            <w:r>
              <w:rPr>
                <w:spacing w:val="-2"/>
                <w:sz w:val="18"/>
              </w:rPr>
              <w:t>revenue</w:t>
            </w:r>
          </w:p>
        </w:tc>
        <w:tc>
          <w:tcPr>
            <w:tcW w:w="1046" w:type="dxa"/>
            <w:shd w:val="clear" w:color="auto" w:fill="CCEDFF"/>
          </w:tcPr>
          <w:p>
            <w:pPr>
              <w:pStyle w:val="TableParagraph"/>
              <w:spacing w:before="48"/>
              <w:ind w:right="113"/>
              <w:jc w:val="right"/>
              <w:rPr>
                <w:sz w:val="18"/>
              </w:rPr>
            </w:pPr>
            <w:r>
              <w:rPr>
                <w:spacing w:val="-2"/>
                <w:sz w:val="18"/>
              </w:rPr>
              <w:t>2,148</w:t>
            </w:r>
          </w:p>
        </w:tc>
        <w:tc>
          <w:tcPr>
            <w:tcW w:w="1068" w:type="dxa"/>
            <w:shd w:val="clear" w:color="auto" w:fill="CCEDFF"/>
          </w:tcPr>
          <w:p>
            <w:pPr>
              <w:pStyle w:val="TableParagraph"/>
              <w:spacing w:before="48"/>
              <w:ind w:right="71"/>
              <w:jc w:val="right"/>
              <w:rPr>
                <w:sz w:val="18"/>
              </w:rPr>
            </w:pPr>
            <w:r>
              <w:rPr>
                <w:spacing w:val="-2"/>
                <w:sz w:val="18"/>
              </w:rPr>
              <w:t>2,407</w:t>
            </w:r>
          </w:p>
        </w:tc>
        <w:tc>
          <w:tcPr>
            <w:tcW w:w="74" w:type="dxa"/>
            <w:shd w:val="clear" w:color="auto" w:fill="CCEDFF"/>
          </w:tcPr>
          <w:p>
            <w:pPr>
              <w:pStyle w:val="TableParagraph"/>
              <w:rPr>
                <w:sz w:val="18"/>
              </w:rPr>
            </w:pPr>
          </w:p>
        </w:tc>
        <w:tc>
          <w:tcPr>
            <w:tcW w:w="1030" w:type="dxa"/>
            <w:shd w:val="clear" w:color="auto" w:fill="CCEDFF"/>
          </w:tcPr>
          <w:p>
            <w:pPr>
              <w:pStyle w:val="TableParagraph"/>
              <w:spacing w:before="48"/>
              <w:ind w:right="95"/>
              <w:jc w:val="right"/>
              <w:rPr>
                <w:sz w:val="18"/>
              </w:rPr>
            </w:pPr>
            <w:r>
              <w:rPr>
                <w:spacing w:val="-5"/>
                <w:sz w:val="18"/>
              </w:rPr>
              <w:t>315</w:t>
            </w:r>
          </w:p>
        </w:tc>
        <w:tc>
          <w:tcPr>
            <w:tcW w:w="1052" w:type="dxa"/>
            <w:shd w:val="clear" w:color="auto" w:fill="CCEDFF"/>
          </w:tcPr>
          <w:p>
            <w:pPr>
              <w:pStyle w:val="TableParagraph"/>
              <w:spacing w:before="48"/>
              <w:ind w:right="67"/>
              <w:jc w:val="right"/>
              <w:rPr>
                <w:sz w:val="18"/>
              </w:rPr>
            </w:pPr>
            <w:r>
              <w:rPr>
                <w:spacing w:val="-5"/>
                <w:sz w:val="18"/>
              </w:rPr>
              <w:t>371</w:t>
            </w:r>
          </w:p>
        </w:tc>
        <w:tc>
          <w:tcPr>
            <w:tcW w:w="73" w:type="dxa"/>
            <w:shd w:val="clear" w:color="auto" w:fill="CCEDFF"/>
          </w:tcPr>
          <w:p>
            <w:pPr>
              <w:pStyle w:val="TableParagraph"/>
              <w:rPr>
                <w:sz w:val="18"/>
              </w:rPr>
            </w:pPr>
          </w:p>
        </w:tc>
        <w:tc>
          <w:tcPr>
            <w:tcW w:w="1029" w:type="dxa"/>
            <w:shd w:val="clear" w:color="auto" w:fill="CCEDFF"/>
          </w:tcPr>
          <w:p>
            <w:pPr>
              <w:pStyle w:val="TableParagraph"/>
              <w:spacing w:before="48"/>
              <w:ind w:right="89"/>
              <w:jc w:val="right"/>
              <w:rPr>
                <w:sz w:val="18"/>
              </w:rPr>
            </w:pPr>
            <w:r>
              <w:rPr>
                <w:spacing w:val="-2"/>
                <w:sz w:val="18"/>
              </w:rPr>
              <w:t>2,463</w:t>
            </w:r>
          </w:p>
        </w:tc>
        <w:tc>
          <w:tcPr>
            <w:tcW w:w="1051" w:type="dxa"/>
            <w:shd w:val="clear" w:color="auto" w:fill="CCEDFF"/>
          </w:tcPr>
          <w:p>
            <w:pPr>
              <w:pStyle w:val="TableParagraph"/>
              <w:spacing w:before="48"/>
              <w:ind w:right="60"/>
              <w:jc w:val="right"/>
              <w:rPr>
                <w:sz w:val="18"/>
              </w:rPr>
            </w:pPr>
            <w:r>
              <w:rPr>
                <w:spacing w:val="-2"/>
                <w:sz w:val="18"/>
              </w:rPr>
              <w:t>2,778</w:t>
            </w:r>
          </w:p>
        </w:tc>
      </w:tr>
      <w:tr>
        <w:trPr>
          <w:trHeight w:val="285" w:hRule="atLeast"/>
        </w:trPr>
        <w:tc>
          <w:tcPr>
            <w:tcW w:w="3825" w:type="dxa"/>
          </w:tcPr>
          <w:p>
            <w:pPr>
              <w:pStyle w:val="TableParagraph"/>
              <w:spacing w:before="48"/>
              <w:ind w:left="52"/>
              <w:rPr>
                <w:sz w:val="18"/>
              </w:rPr>
            </w:pPr>
            <w:r>
              <w:rPr>
                <w:sz w:val="18"/>
              </w:rPr>
              <w:t>Bank</w:t>
            </w:r>
            <w:r>
              <w:rPr>
                <w:spacing w:val="-1"/>
                <w:sz w:val="18"/>
              </w:rPr>
              <w:t> </w:t>
            </w:r>
            <w:r>
              <w:rPr>
                <w:sz w:val="18"/>
              </w:rPr>
              <w:t>deposit account </w:t>
            </w:r>
            <w:r>
              <w:rPr>
                <w:spacing w:val="-4"/>
                <w:sz w:val="18"/>
              </w:rPr>
              <w:t>fees</w:t>
            </w:r>
          </w:p>
        </w:tc>
        <w:tc>
          <w:tcPr>
            <w:tcW w:w="1046" w:type="dxa"/>
          </w:tcPr>
          <w:p>
            <w:pPr>
              <w:pStyle w:val="TableParagraph"/>
              <w:spacing w:before="48"/>
              <w:ind w:right="113"/>
              <w:jc w:val="right"/>
              <w:rPr>
                <w:sz w:val="18"/>
              </w:rPr>
            </w:pPr>
            <w:r>
              <w:rPr>
                <w:spacing w:val="-5"/>
                <w:sz w:val="18"/>
              </w:rPr>
              <w:t>396</w:t>
            </w:r>
          </w:p>
        </w:tc>
        <w:tc>
          <w:tcPr>
            <w:tcW w:w="1068" w:type="dxa"/>
          </w:tcPr>
          <w:p>
            <w:pPr>
              <w:pStyle w:val="TableParagraph"/>
              <w:spacing w:before="48"/>
              <w:ind w:right="71"/>
              <w:jc w:val="right"/>
              <w:rPr>
                <w:sz w:val="18"/>
              </w:rPr>
            </w:pPr>
            <w:r>
              <w:rPr>
                <w:spacing w:val="-5"/>
                <w:sz w:val="18"/>
              </w:rPr>
              <w:t>690</w:t>
            </w:r>
          </w:p>
        </w:tc>
        <w:tc>
          <w:tcPr>
            <w:tcW w:w="74" w:type="dxa"/>
          </w:tcPr>
          <w:p>
            <w:pPr>
              <w:pStyle w:val="TableParagraph"/>
              <w:rPr>
                <w:sz w:val="18"/>
              </w:rPr>
            </w:pPr>
          </w:p>
        </w:tc>
        <w:tc>
          <w:tcPr>
            <w:tcW w:w="1030" w:type="dxa"/>
          </w:tcPr>
          <w:p>
            <w:pPr>
              <w:pStyle w:val="TableParagraph"/>
              <w:spacing w:before="48"/>
              <w:ind w:right="95"/>
              <w:jc w:val="right"/>
              <w:rPr>
                <w:sz w:val="18"/>
              </w:rPr>
            </w:pPr>
            <w:r>
              <w:rPr>
                <w:spacing w:val="-5"/>
                <w:sz w:val="18"/>
              </w:rPr>
              <w:t>135</w:t>
            </w:r>
          </w:p>
        </w:tc>
        <w:tc>
          <w:tcPr>
            <w:tcW w:w="1052" w:type="dxa"/>
          </w:tcPr>
          <w:p>
            <w:pPr>
              <w:pStyle w:val="TableParagraph"/>
              <w:spacing w:before="48"/>
              <w:ind w:right="67"/>
              <w:jc w:val="right"/>
              <w:rPr>
                <w:sz w:val="18"/>
              </w:rPr>
            </w:pPr>
            <w:r>
              <w:rPr>
                <w:spacing w:val="-5"/>
                <w:sz w:val="18"/>
              </w:rPr>
              <w:t>369</w:t>
            </w:r>
          </w:p>
        </w:tc>
        <w:tc>
          <w:tcPr>
            <w:tcW w:w="73" w:type="dxa"/>
          </w:tcPr>
          <w:p>
            <w:pPr>
              <w:pStyle w:val="TableParagraph"/>
              <w:rPr>
                <w:sz w:val="18"/>
              </w:rPr>
            </w:pPr>
          </w:p>
        </w:tc>
        <w:tc>
          <w:tcPr>
            <w:tcW w:w="1029" w:type="dxa"/>
          </w:tcPr>
          <w:p>
            <w:pPr>
              <w:pStyle w:val="TableParagraph"/>
              <w:spacing w:before="48"/>
              <w:ind w:right="89"/>
              <w:jc w:val="right"/>
              <w:rPr>
                <w:sz w:val="18"/>
              </w:rPr>
            </w:pPr>
            <w:r>
              <w:rPr>
                <w:spacing w:val="-5"/>
                <w:sz w:val="18"/>
              </w:rPr>
              <w:t>531</w:t>
            </w:r>
          </w:p>
        </w:tc>
        <w:tc>
          <w:tcPr>
            <w:tcW w:w="1051" w:type="dxa"/>
          </w:tcPr>
          <w:p>
            <w:pPr>
              <w:pStyle w:val="TableParagraph"/>
              <w:spacing w:before="48"/>
              <w:ind w:right="60"/>
              <w:jc w:val="right"/>
              <w:rPr>
                <w:sz w:val="18"/>
              </w:rPr>
            </w:pPr>
            <w:r>
              <w:rPr>
                <w:spacing w:val="-2"/>
                <w:sz w:val="18"/>
              </w:rPr>
              <w:t>1,059</w:t>
            </w:r>
          </w:p>
        </w:tc>
      </w:tr>
      <w:tr>
        <w:trPr>
          <w:trHeight w:val="280" w:hRule="atLeast"/>
        </w:trPr>
        <w:tc>
          <w:tcPr>
            <w:tcW w:w="3825" w:type="dxa"/>
            <w:tcBorders>
              <w:bottom w:val="single" w:sz="4" w:space="0" w:color="000000"/>
            </w:tcBorders>
            <w:shd w:val="clear" w:color="auto" w:fill="CCEDFF"/>
          </w:tcPr>
          <w:p>
            <w:pPr>
              <w:pStyle w:val="TableParagraph"/>
              <w:spacing w:before="48"/>
              <w:ind w:left="52"/>
              <w:rPr>
                <w:sz w:val="18"/>
              </w:rPr>
            </w:pPr>
            <w:r>
              <w:rPr>
                <w:spacing w:val="-2"/>
                <w:sz w:val="18"/>
              </w:rPr>
              <w:t>Other</w:t>
            </w:r>
          </w:p>
        </w:tc>
        <w:tc>
          <w:tcPr>
            <w:tcW w:w="1046" w:type="dxa"/>
            <w:tcBorders>
              <w:bottom w:val="single" w:sz="4" w:space="0" w:color="000000"/>
            </w:tcBorders>
            <w:shd w:val="clear" w:color="auto" w:fill="CCEDFF"/>
          </w:tcPr>
          <w:p>
            <w:pPr>
              <w:pStyle w:val="TableParagraph"/>
              <w:spacing w:before="48"/>
              <w:ind w:right="113"/>
              <w:jc w:val="right"/>
              <w:rPr>
                <w:sz w:val="18"/>
              </w:rPr>
            </w:pPr>
            <w:r>
              <w:rPr>
                <w:spacing w:val="-5"/>
                <w:sz w:val="18"/>
              </w:rPr>
              <w:t>451</w:t>
            </w:r>
          </w:p>
        </w:tc>
        <w:tc>
          <w:tcPr>
            <w:tcW w:w="1068" w:type="dxa"/>
            <w:tcBorders>
              <w:bottom w:val="single" w:sz="4" w:space="0" w:color="000000"/>
            </w:tcBorders>
            <w:shd w:val="clear" w:color="auto" w:fill="CCEDFF"/>
          </w:tcPr>
          <w:p>
            <w:pPr>
              <w:pStyle w:val="TableParagraph"/>
              <w:spacing w:before="48"/>
              <w:ind w:right="71"/>
              <w:jc w:val="right"/>
              <w:rPr>
                <w:sz w:val="18"/>
              </w:rPr>
            </w:pPr>
            <w:r>
              <w:rPr>
                <w:spacing w:val="-5"/>
                <w:sz w:val="18"/>
              </w:rPr>
              <w:t>465</w:t>
            </w:r>
          </w:p>
        </w:tc>
        <w:tc>
          <w:tcPr>
            <w:tcW w:w="74" w:type="dxa"/>
            <w:tcBorders>
              <w:bottom w:val="single" w:sz="4" w:space="0" w:color="000000"/>
            </w:tcBorders>
            <w:shd w:val="clear" w:color="auto" w:fill="CCEDFF"/>
          </w:tcPr>
          <w:p>
            <w:pPr>
              <w:pStyle w:val="TableParagraph"/>
              <w:rPr>
                <w:sz w:val="18"/>
              </w:rPr>
            </w:pPr>
          </w:p>
        </w:tc>
        <w:tc>
          <w:tcPr>
            <w:tcW w:w="1030" w:type="dxa"/>
            <w:tcBorders>
              <w:bottom w:val="single" w:sz="4" w:space="0" w:color="000000"/>
            </w:tcBorders>
            <w:shd w:val="clear" w:color="auto" w:fill="CCEDFF"/>
          </w:tcPr>
          <w:p>
            <w:pPr>
              <w:pStyle w:val="TableParagraph"/>
              <w:spacing w:before="48"/>
              <w:ind w:right="95"/>
              <w:jc w:val="right"/>
              <w:rPr>
                <w:sz w:val="18"/>
              </w:rPr>
            </w:pPr>
            <w:r>
              <w:rPr>
                <w:spacing w:val="-5"/>
                <w:sz w:val="18"/>
              </w:rPr>
              <w:t>121</w:t>
            </w:r>
          </w:p>
        </w:tc>
        <w:tc>
          <w:tcPr>
            <w:tcW w:w="1052" w:type="dxa"/>
            <w:tcBorders>
              <w:bottom w:val="single" w:sz="4" w:space="0" w:color="000000"/>
            </w:tcBorders>
            <w:shd w:val="clear" w:color="auto" w:fill="CCEDFF"/>
          </w:tcPr>
          <w:p>
            <w:pPr>
              <w:pStyle w:val="TableParagraph"/>
              <w:spacing w:before="48"/>
              <w:ind w:right="67"/>
              <w:jc w:val="right"/>
              <w:rPr>
                <w:sz w:val="18"/>
              </w:rPr>
            </w:pPr>
            <w:r>
              <w:rPr>
                <w:spacing w:val="-5"/>
                <w:sz w:val="18"/>
              </w:rPr>
              <w:t>143</w:t>
            </w:r>
          </w:p>
        </w:tc>
        <w:tc>
          <w:tcPr>
            <w:tcW w:w="73" w:type="dxa"/>
            <w:tcBorders>
              <w:bottom w:val="single" w:sz="4" w:space="0" w:color="000000"/>
            </w:tcBorders>
            <w:shd w:val="clear" w:color="auto" w:fill="CCEDFF"/>
          </w:tcPr>
          <w:p>
            <w:pPr>
              <w:pStyle w:val="TableParagraph"/>
              <w:rPr>
                <w:sz w:val="18"/>
              </w:rPr>
            </w:pPr>
          </w:p>
        </w:tc>
        <w:tc>
          <w:tcPr>
            <w:tcW w:w="1029" w:type="dxa"/>
            <w:tcBorders>
              <w:bottom w:val="single" w:sz="4" w:space="0" w:color="000000"/>
            </w:tcBorders>
            <w:shd w:val="clear" w:color="auto" w:fill="CCEDFF"/>
          </w:tcPr>
          <w:p>
            <w:pPr>
              <w:pStyle w:val="TableParagraph"/>
              <w:spacing w:before="48"/>
              <w:ind w:right="89"/>
              <w:jc w:val="right"/>
              <w:rPr>
                <w:sz w:val="18"/>
              </w:rPr>
            </w:pPr>
            <w:r>
              <w:rPr>
                <w:spacing w:val="-5"/>
                <w:sz w:val="18"/>
              </w:rPr>
              <w:t>572</w:t>
            </w:r>
          </w:p>
        </w:tc>
        <w:tc>
          <w:tcPr>
            <w:tcW w:w="1051" w:type="dxa"/>
            <w:tcBorders>
              <w:bottom w:val="single" w:sz="4" w:space="0" w:color="000000"/>
            </w:tcBorders>
            <w:shd w:val="clear" w:color="auto" w:fill="CCEDFF"/>
          </w:tcPr>
          <w:p>
            <w:pPr>
              <w:pStyle w:val="TableParagraph"/>
              <w:spacing w:before="48"/>
              <w:ind w:right="60"/>
              <w:jc w:val="right"/>
              <w:rPr>
                <w:sz w:val="18"/>
              </w:rPr>
            </w:pPr>
            <w:r>
              <w:rPr>
                <w:spacing w:val="-5"/>
                <w:sz w:val="18"/>
              </w:rPr>
              <w:t>608</w:t>
            </w:r>
          </w:p>
        </w:tc>
      </w:tr>
      <w:tr>
        <w:trPr>
          <w:trHeight w:val="275" w:hRule="atLeast"/>
        </w:trPr>
        <w:tc>
          <w:tcPr>
            <w:tcW w:w="3825" w:type="dxa"/>
            <w:tcBorders>
              <w:top w:val="single" w:sz="4" w:space="0" w:color="000000"/>
              <w:bottom w:val="single" w:sz="4" w:space="0" w:color="000000"/>
            </w:tcBorders>
          </w:tcPr>
          <w:p>
            <w:pPr>
              <w:pStyle w:val="TableParagraph"/>
              <w:spacing w:before="43"/>
              <w:ind w:left="172"/>
              <w:rPr>
                <w:sz w:val="18"/>
              </w:rPr>
            </w:pPr>
            <w:r>
              <w:rPr>
                <w:sz w:val="18"/>
              </w:rPr>
              <w:t>Total net </w:t>
            </w:r>
            <w:r>
              <w:rPr>
                <w:spacing w:val="-2"/>
                <w:sz w:val="18"/>
              </w:rPr>
              <w:t>revenues</w:t>
            </w:r>
          </w:p>
        </w:tc>
        <w:tc>
          <w:tcPr>
            <w:tcW w:w="1046" w:type="dxa"/>
            <w:tcBorders>
              <w:top w:val="single" w:sz="4" w:space="0" w:color="000000"/>
              <w:bottom w:val="single" w:sz="4" w:space="0" w:color="000000"/>
            </w:tcBorders>
          </w:tcPr>
          <w:p>
            <w:pPr>
              <w:pStyle w:val="TableParagraph"/>
              <w:spacing w:before="43"/>
              <w:ind w:right="113"/>
              <w:jc w:val="right"/>
              <w:rPr>
                <w:sz w:val="18"/>
              </w:rPr>
            </w:pPr>
            <w:r>
              <w:rPr>
                <w:spacing w:val="-2"/>
                <w:sz w:val="18"/>
              </w:rPr>
              <w:t>10,966</w:t>
            </w:r>
          </w:p>
        </w:tc>
        <w:tc>
          <w:tcPr>
            <w:tcW w:w="1068" w:type="dxa"/>
            <w:tcBorders>
              <w:top w:val="single" w:sz="4" w:space="0" w:color="000000"/>
              <w:bottom w:val="single" w:sz="4" w:space="0" w:color="000000"/>
            </w:tcBorders>
          </w:tcPr>
          <w:p>
            <w:pPr>
              <w:pStyle w:val="TableParagraph"/>
              <w:spacing w:before="43"/>
              <w:ind w:right="71"/>
              <w:jc w:val="right"/>
              <w:rPr>
                <w:sz w:val="18"/>
              </w:rPr>
            </w:pPr>
            <w:r>
              <w:rPr>
                <w:spacing w:val="-2"/>
                <w:sz w:val="18"/>
              </w:rPr>
              <w:t>11,412</w:t>
            </w:r>
          </w:p>
        </w:tc>
        <w:tc>
          <w:tcPr>
            <w:tcW w:w="74" w:type="dxa"/>
            <w:tcBorders>
              <w:top w:val="single" w:sz="4" w:space="0" w:color="000000"/>
              <w:bottom w:val="single" w:sz="4" w:space="0" w:color="000000"/>
            </w:tcBorders>
          </w:tcPr>
          <w:p>
            <w:pPr>
              <w:pStyle w:val="TableParagraph"/>
              <w:rPr>
                <w:sz w:val="18"/>
              </w:rPr>
            </w:pPr>
          </w:p>
        </w:tc>
        <w:tc>
          <w:tcPr>
            <w:tcW w:w="1030" w:type="dxa"/>
            <w:tcBorders>
              <w:top w:val="single" w:sz="4" w:space="0" w:color="000000"/>
              <w:bottom w:val="single" w:sz="4" w:space="0" w:color="000000"/>
            </w:tcBorders>
          </w:tcPr>
          <w:p>
            <w:pPr>
              <w:pStyle w:val="TableParagraph"/>
              <w:spacing w:before="43"/>
              <w:ind w:right="95"/>
              <w:jc w:val="right"/>
              <w:rPr>
                <w:sz w:val="18"/>
              </w:rPr>
            </w:pPr>
            <w:r>
              <w:rPr>
                <w:spacing w:val="-2"/>
                <w:sz w:val="18"/>
              </w:rPr>
              <w:t>3,412</w:t>
            </w:r>
          </w:p>
        </w:tc>
        <w:tc>
          <w:tcPr>
            <w:tcW w:w="1052" w:type="dxa"/>
            <w:tcBorders>
              <w:top w:val="single" w:sz="4" w:space="0" w:color="000000"/>
              <w:bottom w:val="single" w:sz="4" w:space="0" w:color="000000"/>
            </w:tcBorders>
          </w:tcPr>
          <w:p>
            <w:pPr>
              <w:pStyle w:val="TableParagraph"/>
              <w:spacing w:before="43"/>
              <w:ind w:right="67"/>
              <w:jc w:val="right"/>
              <w:rPr>
                <w:sz w:val="18"/>
              </w:rPr>
            </w:pPr>
            <w:r>
              <w:rPr>
                <w:spacing w:val="-2"/>
                <w:sz w:val="18"/>
              </w:rPr>
              <w:t>3,853</w:t>
            </w:r>
          </w:p>
        </w:tc>
        <w:tc>
          <w:tcPr>
            <w:tcW w:w="73" w:type="dxa"/>
            <w:tcBorders>
              <w:top w:val="single" w:sz="4" w:space="0" w:color="000000"/>
              <w:bottom w:val="single" w:sz="4" w:space="0" w:color="000000"/>
            </w:tcBorders>
          </w:tcPr>
          <w:p>
            <w:pPr>
              <w:pStyle w:val="TableParagraph"/>
              <w:rPr>
                <w:sz w:val="18"/>
              </w:rPr>
            </w:pPr>
          </w:p>
        </w:tc>
        <w:tc>
          <w:tcPr>
            <w:tcW w:w="1029" w:type="dxa"/>
            <w:tcBorders>
              <w:top w:val="single" w:sz="4" w:space="0" w:color="000000"/>
              <w:bottom w:val="single" w:sz="4" w:space="0" w:color="000000"/>
            </w:tcBorders>
          </w:tcPr>
          <w:p>
            <w:pPr>
              <w:pStyle w:val="TableParagraph"/>
              <w:spacing w:before="43"/>
              <w:ind w:right="89"/>
              <w:jc w:val="right"/>
              <w:rPr>
                <w:sz w:val="18"/>
              </w:rPr>
            </w:pPr>
            <w:r>
              <w:rPr>
                <w:spacing w:val="-2"/>
                <w:sz w:val="18"/>
              </w:rPr>
              <w:t>14,378</w:t>
            </w:r>
          </w:p>
        </w:tc>
        <w:tc>
          <w:tcPr>
            <w:tcW w:w="1051" w:type="dxa"/>
            <w:tcBorders>
              <w:top w:val="single" w:sz="4" w:space="0" w:color="000000"/>
              <w:bottom w:val="single" w:sz="4" w:space="0" w:color="000000"/>
            </w:tcBorders>
          </w:tcPr>
          <w:p>
            <w:pPr>
              <w:pStyle w:val="TableParagraph"/>
              <w:spacing w:before="43"/>
              <w:ind w:right="60"/>
              <w:jc w:val="right"/>
              <w:rPr>
                <w:sz w:val="18"/>
              </w:rPr>
            </w:pPr>
            <w:r>
              <w:rPr>
                <w:spacing w:val="-2"/>
                <w:sz w:val="18"/>
              </w:rPr>
              <w:t>15,265</w:t>
            </w:r>
          </w:p>
        </w:tc>
      </w:tr>
      <w:tr>
        <w:trPr>
          <w:trHeight w:val="275" w:hRule="atLeast"/>
        </w:trPr>
        <w:tc>
          <w:tcPr>
            <w:tcW w:w="3825" w:type="dxa"/>
            <w:tcBorders>
              <w:top w:val="single" w:sz="4" w:space="0" w:color="000000"/>
              <w:bottom w:val="single" w:sz="4" w:space="0" w:color="000000"/>
            </w:tcBorders>
            <w:shd w:val="clear" w:color="auto" w:fill="CCEDFF"/>
          </w:tcPr>
          <w:p>
            <w:pPr>
              <w:pStyle w:val="TableParagraph"/>
              <w:spacing w:before="43"/>
              <w:ind w:left="52"/>
              <w:rPr>
                <w:b/>
                <w:sz w:val="18"/>
              </w:rPr>
            </w:pPr>
            <w:r>
              <w:rPr>
                <w:b/>
                <w:sz w:val="18"/>
              </w:rPr>
              <w:t>Expenses</w:t>
            </w:r>
            <w:r>
              <w:rPr>
                <w:b/>
                <w:spacing w:val="-4"/>
                <w:sz w:val="18"/>
              </w:rPr>
              <w:t> </w:t>
            </w:r>
            <w:r>
              <w:rPr>
                <w:b/>
                <w:sz w:val="18"/>
              </w:rPr>
              <w:t>Excluding</w:t>
            </w:r>
            <w:r>
              <w:rPr>
                <w:b/>
                <w:spacing w:val="-3"/>
                <w:sz w:val="18"/>
              </w:rPr>
              <w:t> </w:t>
            </w:r>
            <w:r>
              <w:rPr>
                <w:b/>
                <w:spacing w:val="-2"/>
                <w:sz w:val="18"/>
              </w:rPr>
              <w:t>Interest</w:t>
            </w:r>
          </w:p>
        </w:tc>
        <w:tc>
          <w:tcPr>
            <w:tcW w:w="1046" w:type="dxa"/>
            <w:tcBorders>
              <w:top w:val="single" w:sz="4" w:space="0" w:color="000000"/>
              <w:bottom w:val="single" w:sz="4" w:space="0" w:color="000000"/>
            </w:tcBorders>
            <w:shd w:val="clear" w:color="auto" w:fill="CCEDFF"/>
          </w:tcPr>
          <w:p>
            <w:pPr>
              <w:pStyle w:val="TableParagraph"/>
              <w:spacing w:before="43"/>
              <w:ind w:right="113"/>
              <w:jc w:val="right"/>
              <w:rPr>
                <w:sz w:val="18"/>
              </w:rPr>
            </w:pPr>
            <w:r>
              <w:rPr>
                <w:spacing w:val="-2"/>
                <w:sz w:val="18"/>
              </w:rPr>
              <w:t>6,780</w:t>
            </w:r>
          </w:p>
        </w:tc>
        <w:tc>
          <w:tcPr>
            <w:tcW w:w="1068" w:type="dxa"/>
            <w:tcBorders>
              <w:top w:val="single" w:sz="4" w:space="0" w:color="000000"/>
              <w:bottom w:val="single" w:sz="4" w:space="0" w:color="000000"/>
            </w:tcBorders>
            <w:shd w:val="clear" w:color="auto" w:fill="CCEDFF"/>
          </w:tcPr>
          <w:p>
            <w:pPr>
              <w:pStyle w:val="TableParagraph"/>
              <w:spacing w:before="43"/>
              <w:ind w:right="71"/>
              <w:jc w:val="right"/>
              <w:rPr>
                <w:sz w:val="18"/>
              </w:rPr>
            </w:pPr>
            <w:r>
              <w:rPr>
                <w:spacing w:val="-2"/>
                <w:sz w:val="18"/>
              </w:rPr>
              <w:t>6,359</w:t>
            </w:r>
          </w:p>
        </w:tc>
        <w:tc>
          <w:tcPr>
            <w:tcW w:w="74" w:type="dxa"/>
            <w:tcBorders>
              <w:top w:val="single" w:sz="4" w:space="0" w:color="000000"/>
              <w:bottom w:val="single" w:sz="4" w:space="0" w:color="000000"/>
            </w:tcBorders>
            <w:shd w:val="clear" w:color="auto" w:fill="CCEDFF"/>
          </w:tcPr>
          <w:p>
            <w:pPr>
              <w:pStyle w:val="TableParagraph"/>
              <w:rPr>
                <w:sz w:val="18"/>
              </w:rPr>
            </w:pPr>
          </w:p>
        </w:tc>
        <w:tc>
          <w:tcPr>
            <w:tcW w:w="1030" w:type="dxa"/>
            <w:tcBorders>
              <w:top w:val="single" w:sz="4" w:space="0" w:color="000000"/>
              <w:bottom w:val="single" w:sz="4" w:space="0" w:color="000000"/>
            </w:tcBorders>
            <w:shd w:val="clear" w:color="auto" w:fill="CCEDFF"/>
          </w:tcPr>
          <w:p>
            <w:pPr>
              <w:pStyle w:val="TableParagraph"/>
              <w:spacing w:before="43"/>
              <w:ind w:right="95"/>
              <w:jc w:val="right"/>
              <w:rPr>
                <w:sz w:val="18"/>
              </w:rPr>
            </w:pPr>
            <w:r>
              <w:rPr>
                <w:spacing w:val="-2"/>
                <w:sz w:val="18"/>
              </w:rPr>
              <w:t>2,414</w:t>
            </w:r>
          </w:p>
        </w:tc>
        <w:tc>
          <w:tcPr>
            <w:tcW w:w="1052" w:type="dxa"/>
            <w:tcBorders>
              <w:top w:val="single" w:sz="4" w:space="0" w:color="000000"/>
              <w:bottom w:val="single" w:sz="4" w:space="0" w:color="000000"/>
            </w:tcBorders>
            <w:shd w:val="clear" w:color="auto" w:fill="CCEDFF"/>
          </w:tcPr>
          <w:p>
            <w:pPr>
              <w:pStyle w:val="TableParagraph"/>
              <w:spacing w:before="43"/>
              <w:ind w:right="67"/>
              <w:jc w:val="right"/>
              <w:rPr>
                <w:sz w:val="18"/>
              </w:rPr>
            </w:pPr>
            <w:r>
              <w:rPr>
                <w:spacing w:val="-2"/>
                <w:sz w:val="18"/>
              </w:rPr>
              <w:t>2,116</w:t>
            </w:r>
          </w:p>
        </w:tc>
        <w:tc>
          <w:tcPr>
            <w:tcW w:w="73" w:type="dxa"/>
            <w:tcBorders>
              <w:top w:val="single" w:sz="4" w:space="0" w:color="000000"/>
              <w:bottom w:val="single" w:sz="4" w:space="0" w:color="000000"/>
            </w:tcBorders>
            <w:shd w:val="clear" w:color="auto" w:fill="CCEDFF"/>
          </w:tcPr>
          <w:p>
            <w:pPr>
              <w:pStyle w:val="TableParagraph"/>
              <w:rPr>
                <w:sz w:val="18"/>
              </w:rPr>
            </w:pPr>
          </w:p>
        </w:tc>
        <w:tc>
          <w:tcPr>
            <w:tcW w:w="1029" w:type="dxa"/>
            <w:tcBorders>
              <w:top w:val="single" w:sz="4" w:space="0" w:color="000000"/>
              <w:bottom w:val="single" w:sz="4" w:space="0" w:color="000000"/>
            </w:tcBorders>
            <w:shd w:val="clear" w:color="auto" w:fill="CCEDFF"/>
          </w:tcPr>
          <w:p>
            <w:pPr>
              <w:pStyle w:val="TableParagraph"/>
              <w:spacing w:before="43"/>
              <w:ind w:right="89"/>
              <w:jc w:val="right"/>
              <w:rPr>
                <w:sz w:val="18"/>
              </w:rPr>
            </w:pPr>
            <w:r>
              <w:rPr>
                <w:spacing w:val="-2"/>
                <w:sz w:val="18"/>
              </w:rPr>
              <w:t>9,194</w:t>
            </w:r>
          </w:p>
        </w:tc>
        <w:tc>
          <w:tcPr>
            <w:tcW w:w="1051" w:type="dxa"/>
            <w:tcBorders>
              <w:top w:val="single" w:sz="4" w:space="0" w:color="000000"/>
              <w:bottom w:val="single" w:sz="4" w:space="0" w:color="000000"/>
            </w:tcBorders>
            <w:shd w:val="clear" w:color="auto" w:fill="CCEDFF"/>
          </w:tcPr>
          <w:p>
            <w:pPr>
              <w:pStyle w:val="TableParagraph"/>
              <w:spacing w:before="43"/>
              <w:ind w:right="60"/>
              <w:jc w:val="right"/>
              <w:rPr>
                <w:sz w:val="18"/>
              </w:rPr>
            </w:pPr>
            <w:r>
              <w:rPr>
                <w:spacing w:val="-2"/>
                <w:sz w:val="18"/>
              </w:rPr>
              <w:t>8,475</w:t>
            </w:r>
          </w:p>
        </w:tc>
      </w:tr>
      <w:tr>
        <w:trPr>
          <w:trHeight w:val="250" w:hRule="atLeast"/>
        </w:trPr>
        <w:tc>
          <w:tcPr>
            <w:tcW w:w="3825" w:type="dxa"/>
            <w:tcBorders>
              <w:top w:val="single" w:sz="4" w:space="0" w:color="000000"/>
              <w:bottom w:val="double" w:sz="8" w:space="0" w:color="000000"/>
            </w:tcBorders>
          </w:tcPr>
          <w:p>
            <w:pPr>
              <w:pStyle w:val="TableParagraph"/>
              <w:spacing w:line="187" w:lineRule="exact" w:before="43"/>
              <w:ind w:left="52"/>
              <w:rPr>
                <w:b/>
                <w:sz w:val="18"/>
              </w:rPr>
            </w:pPr>
            <w:r>
              <w:rPr>
                <w:b/>
                <w:sz w:val="18"/>
              </w:rPr>
              <w:t>Income</w:t>
            </w:r>
            <w:r>
              <w:rPr>
                <w:b/>
                <w:spacing w:val="-3"/>
                <w:sz w:val="18"/>
              </w:rPr>
              <w:t> </w:t>
            </w:r>
            <w:r>
              <w:rPr>
                <w:b/>
                <w:sz w:val="18"/>
              </w:rPr>
              <w:t>before</w:t>
            </w:r>
            <w:r>
              <w:rPr>
                <w:b/>
                <w:spacing w:val="-1"/>
                <w:sz w:val="18"/>
              </w:rPr>
              <w:t> </w:t>
            </w:r>
            <w:r>
              <w:rPr>
                <w:b/>
                <w:sz w:val="18"/>
              </w:rPr>
              <w:t>taxes</w:t>
            </w:r>
            <w:r>
              <w:rPr>
                <w:b/>
                <w:spacing w:val="-2"/>
                <w:sz w:val="18"/>
              </w:rPr>
              <w:t> </w:t>
            </w:r>
            <w:r>
              <w:rPr>
                <w:b/>
                <w:sz w:val="18"/>
              </w:rPr>
              <w:t>on</w:t>
            </w:r>
            <w:r>
              <w:rPr>
                <w:b/>
                <w:spacing w:val="-1"/>
                <w:sz w:val="18"/>
              </w:rPr>
              <w:t> </w:t>
            </w:r>
            <w:r>
              <w:rPr>
                <w:b/>
                <w:spacing w:val="-2"/>
                <w:sz w:val="18"/>
              </w:rPr>
              <w:t>income</w:t>
            </w:r>
          </w:p>
        </w:tc>
        <w:tc>
          <w:tcPr>
            <w:tcW w:w="1046" w:type="dxa"/>
            <w:tcBorders>
              <w:top w:val="single" w:sz="4" w:space="0" w:color="000000"/>
              <w:bottom w:val="double" w:sz="8" w:space="0" w:color="000000"/>
            </w:tcBorders>
          </w:tcPr>
          <w:p>
            <w:pPr>
              <w:pStyle w:val="TableParagraph"/>
              <w:tabs>
                <w:tab w:pos="472" w:val="left" w:leader="none"/>
              </w:tabs>
              <w:spacing w:line="187" w:lineRule="exact" w:before="43"/>
              <w:ind w:right="113"/>
              <w:jc w:val="right"/>
              <w:rPr>
                <w:sz w:val="18"/>
              </w:rPr>
            </w:pPr>
            <w:r>
              <w:rPr>
                <w:spacing w:val="-10"/>
                <w:sz w:val="18"/>
              </w:rPr>
              <w:t>$</w:t>
            </w:r>
            <w:r>
              <w:rPr>
                <w:sz w:val="18"/>
              </w:rPr>
              <w:tab/>
            </w:r>
            <w:r>
              <w:rPr>
                <w:spacing w:val="-2"/>
                <w:sz w:val="18"/>
              </w:rPr>
              <w:t>4,186</w:t>
            </w:r>
          </w:p>
        </w:tc>
        <w:tc>
          <w:tcPr>
            <w:tcW w:w="1068" w:type="dxa"/>
            <w:tcBorders>
              <w:top w:val="single" w:sz="4" w:space="0" w:color="000000"/>
              <w:bottom w:val="double" w:sz="8" w:space="0" w:color="000000"/>
            </w:tcBorders>
          </w:tcPr>
          <w:p>
            <w:pPr>
              <w:pStyle w:val="TableParagraph"/>
              <w:tabs>
                <w:tab w:pos="472" w:val="left" w:leader="none"/>
              </w:tabs>
              <w:spacing w:line="187" w:lineRule="exact" w:before="43"/>
              <w:ind w:right="71"/>
              <w:jc w:val="right"/>
              <w:rPr>
                <w:sz w:val="18"/>
              </w:rPr>
            </w:pPr>
            <w:r>
              <w:rPr>
                <w:spacing w:val="-10"/>
                <w:sz w:val="18"/>
              </w:rPr>
              <w:t>$</w:t>
            </w:r>
            <w:r>
              <w:rPr>
                <w:sz w:val="18"/>
              </w:rPr>
              <w:tab/>
            </w:r>
            <w:r>
              <w:rPr>
                <w:spacing w:val="-2"/>
                <w:sz w:val="18"/>
              </w:rPr>
              <w:t>5,053</w:t>
            </w:r>
          </w:p>
        </w:tc>
        <w:tc>
          <w:tcPr>
            <w:tcW w:w="74" w:type="dxa"/>
            <w:tcBorders>
              <w:top w:val="single" w:sz="4" w:space="0" w:color="000000"/>
              <w:bottom w:val="double" w:sz="8" w:space="0" w:color="000000"/>
            </w:tcBorders>
          </w:tcPr>
          <w:p>
            <w:pPr>
              <w:pStyle w:val="TableParagraph"/>
              <w:rPr>
                <w:sz w:val="18"/>
              </w:rPr>
            </w:pPr>
          </w:p>
        </w:tc>
        <w:tc>
          <w:tcPr>
            <w:tcW w:w="1030" w:type="dxa"/>
            <w:tcBorders>
              <w:top w:val="single" w:sz="4" w:space="0" w:color="000000"/>
              <w:bottom w:val="double" w:sz="8" w:space="0" w:color="000000"/>
            </w:tcBorders>
          </w:tcPr>
          <w:p>
            <w:pPr>
              <w:pStyle w:val="TableParagraph"/>
              <w:tabs>
                <w:tab w:pos="607" w:val="left" w:leader="none"/>
              </w:tabs>
              <w:spacing w:line="187" w:lineRule="exact" w:before="43"/>
              <w:ind w:right="95"/>
              <w:jc w:val="right"/>
              <w:rPr>
                <w:sz w:val="18"/>
              </w:rPr>
            </w:pPr>
            <w:r>
              <w:rPr>
                <w:spacing w:val="-10"/>
                <w:sz w:val="18"/>
              </w:rPr>
              <w:t>$</w:t>
            </w:r>
            <w:r>
              <w:rPr>
                <w:sz w:val="18"/>
              </w:rPr>
              <w:tab/>
            </w:r>
            <w:r>
              <w:rPr>
                <w:spacing w:val="-5"/>
                <w:sz w:val="18"/>
              </w:rPr>
              <w:t>998</w:t>
            </w:r>
          </w:p>
        </w:tc>
        <w:tc>
          <w:tcPr>
            <w:tcW w:w="1052" w:type="dxa"/>
            <w:tcBorders>
              <w:top w:val="single" w:sz="4" w:space="0" w:color="000000"/>
              <w:bottom w:val="double" w:sz="8" w:space="0" w:color="000000"/>
            </w:tcBorders>
          </w:tcPr>
          <w:p>
            <w:pPr>
              <w:pStyle w:val="TableParagraph"/>
              <w:tabs>
                <w:tab w:pos="472" w:val="left" w:leader="none"/>
              </w:tabs>
              <w:spacing w:line="187" w:lineRule="exact" w:before="43"/>
              <w:ind w:right="67"/>
              <w:jc w:val="right"/>
              <w:rPr>
                <w:sz w:val="18"/>
              </w:rPr>
            </w:pPr>
            <w:r>
              <w:rPr>
                <w:spacing w:val="-10"/>
                <w:sz w:val="18"/>
              </w:rPr>
              <w:t>$</w:t>
            </w:r>
            <w:r>
              <w:rPr>
                <w:sz w:val="18"/>
              </w:rPr>
              <w:tab/>
            </w:r>
            <w:r>
              <w:rPr>
                <w:spacing w:val="-2"/>
                <w:sz w:val="18"/>
              </w:rPr>
              <w:t>1,737</w:t>
            </w:r>
          </w:p>
        </w:tc>
        <w:tc>
          <w:tcPr>
            <w:tcW w:w="73" w:type="dxa"/>
            <w:tcBorders>
              <w:top w:val="single" w:sz="4" w:space="0" w:color="000000"/>
              <w:bottom w:val="double" w:sz="8" w:space="0" w:color="000000"/>
            </w:tcBorders>
          </w:tcPr>
          <w:p>
            <w:pPr>
              <w:pStyle w:val="TableParagraph"/>
              <w:rPr>
                <w:sz w:val="18"/>
              </w:rPr>
            </w:pPr>
          </w:p>
        </w:tc>
        <w:tc>
          <w:tcPr>
            <w:tcW w:w="1029" w:type="dxa"/>
            <w:tcBorders>
              <w:top w:val="single" w:sz="4" w:space="0" w:color="000000"/>
              <w:bottom w:val="double" w:sz="8" w:space="0" w:color="000000"/>
            </w:tcBorders>
          </w:tcPr>
          <w:p>
            <w:pPr>
              <w:pStyle w:val="TableParagraph"/>
              <w:tabs>
                <w:tab w:pos="472" w:val="left" w:leader="none"/>
              </w:tabs>
              <w:spacing w:line="187" w:lineRule="exact" w:before="43"/>
              <w:ind w:right="89"/>
              <w:jc w:val="right"/>
              <w:rPr>
                <w:sz w:val="18"/>
              </w:rPr>
            </w:pPr>
            <w:r>
              <w:rPr>
                <w:spacing w:val="-10"/>
                <w:sz w:val="18"/>
              </w:rPr>
              <w:t>$</w:t>
            </w:r>
            <w:r>
              <w:rPr>
                <w:sz w:val="18"/>
              </w:rPr>
              <w:tab/>
            </w:r>
            <w:r>
              <w:rPr>
                <w:spacing w:val="-2"/>
                <w:sz w:val="18"/>
              </w:rPr>
              <w:t>5,184</w:t>
            </w:r>
          </w:p>
        </w:tc>
        <w:tc>
          <w:tcPr>
            <w:tcW w:w="1051" w:type="dxa"/>
            <w:tcBorders>
              <w:top w:val="single" w:sz="4" w:space="0" w:color="000000"/>
              <w:bottom w:val="double" w:sz="8" w:space="0" w:color="000000"/>
            </w:tcBorders>
          </w:tcPr>
          <w:p>
            <w:pPr>
              <w:pStyle w:val="TableParagraph"/>
              <w:tabs>
                <w:tab w:pos="472" w:val="left" w:leader="none"/>
              </w:tabs>
              <w:spacing w:line="187" w:lineRule="exact" w:before="43"/>
              <w:ind w:right="60"/>
              <w:jc w:val="right"/>
              <w:rPr>
                <w:sz w:val="18"/>
              </w:rPr>
            </w:pPr>
            <w:r>
              <w:rPr>
                <w:spacing w:val="-10"/>
                <w:sz w:val="18"/>
              </w:rPr>
              <w:t>$</w:t>
            </w:r>
            <w:r>
              <w:rPr>
                <w:sz w:val="18"/>
              </w:rPr>
              <w:tab/>
            </w:r>
            <w:r>
              <w:rPr>
                <w:spacing w:val="-2"/>
                <w:sz w:val="18"/>
              </w:rPr>
              <w:t>6,790</w:t>
            </w:r>
          </w:p>
        </w:tc>
      </w:tr>
    </w:tbl>
    <w:p>
      <w:pPr>
        <w:spacing w:after="0" w:line="187" w:lineRule="exact"/>
        <w:jc w:val="right"/>
        <w:rPr>
          <w:sz w:val="18"/>
        </w:rPr>
        <w:sectPr>
          <w:pgSz w:w="12240" w:h="15840"/>
          <w:pgMar w:header="227" w:footer="201" w:top="1080" w:bottom="400" w:left="520" w:right="520"/>
        </w:sectPr>
      </w:pPr>
    </w:p>
    <w:p>
      <w:pPr>
        <w:pStyle w:val="BodyText"/>
        <w:spacing w:before="200"/>
      </w:pPr>
    </w:p>
    <w:p>
      <w:pPr>
        <w:pStyle w:val="Heading2"/>
        <w:tabs>
          <w:tab w:pos="1369" w:val="left" w:leader="none"/>
        </w:tabs>
      </w:pPr>
      <w:bookmarkStart w:name="Item 4. Controls and Procedures" w:id="58"/>
      <w:bookmarkEnd w:id="58"/>
      <w:r>
        <w:rPr>
          <w:b w:val="0"/>
        </w:rPr>
      </w:r>
      <w:bookmarkStart w:name="_bookmark8" w:id="59"/>
      <w:bookmarkEnd w:id="59"/>
      <w:r>
        <w:rPr>
          <w:b w:val="0"/>
        </w:rPr>
      </w:r>
      <w:r>
        <w:rPr/>
        <w:t>Item</w:t>
      </w:r>
      <w:r>
        <w:rPr>
          <w:spacing w:val="-2"/>
        </w:rPr>
        <w:t> </w:t>
      </w:r>
      <w:r>
        <w:rPr>
          <w:spacing w:val="-5"/>
        </w:rPr>
        <w:t>4.</w:t>
      </w:r>
      <w:r>
        <w:rPr/>
        <w:tab/>
        <w:t>Controls</w:t>
      </w:r>
      <w:r>
        <w:rPr>
          <w:spacing w:val="-4"/>
        </w:rPr>
        <w:t> </w:t>
      </w:r>
      <w:r>
        <w:rPr/>
        <w:t>and</w:t>
      </w:r>
      <w:r>
        <w:rPr>
          <w:spacing w:val="-3"/>
        </w:rPr>
        <w:t> </w:t>
      </w:r>
      <w:r>
        <w:rPr>
          <w:spacing w:val="-2"/>
        </w:rPr>
        <w:t>Procedures</w:t>
      </w:r>
    </w:p>
    <w:p>
      <w:pPr>
        <w:pStyle w:val="BodyText"/>
        <w:spacing w:line="249" w:lineRule="auto" w:before="193"/>
        <w:ind w:left="470" w:right="585"/>
        <w:jc w:val="both"/>
      </w:pPr>
      <w:r>
        <w:rPr>
          <w:i/>
        </w:rPr>
        <w:t>Evaluation of disclosure controls and procedures: </w:t>
      </w:r>
      <w:r>
        <w:rPr/>
        <w:t>The management of the Company, with the participation of the Company’s Chief</w:t>
      </w:r>
      <w:r>
        <w:rPr>
          <w:spacing w:val="-1"/>
        </w:rPr>
        <w:t> </w:t>
      </w:r>
      <w:r>
        <w:rPr/>
        <w:t>Executive</w:t>
      </w:r>
      <w:r>
        <w:rPr>
          <w:spacing w:val="-2"/>
        </w:rPr>
        <w:t> </w:t>
      </w:r>
      <w:r>
        <w:rPr/>
        <w:t>Officer</w:t>
      </w:r>
      <w:r>
        <w:rPr>
          <w:spacing w:val="-1"/>
        </w:rPr>
        <w:t> </w:t>
      </w:r>
      <w:r>
        <w:rPr/>
        <w:t>and</w:t>
      </w:r>
      <w:r>
        <w:rPr>
          <w:spacing w:val="-1"/>
        </w:rPr>
        <w:t> </w:t>
      </w:r>
      <w:r>
        <w:rPr/>
        <w:t>Chief</w:t>
      </w:r>
      <w:r>
        <w:rPr>
          <w:spacing w:val="-1"/>
        </w:rPr>
        <w:t> </w:t>
      </w:r>
      <w:r>
        <w:rPr/>
        <w:t>Financial</w:t>
      </w:r>
      <w:r>
        <w:rPr>
          <w:spacing w:val="-2"/>
        </w:rPr>
        <w:t> </w:t>
      </w:r>
      <w:r>
        <w:rPr/>
        <w:t>Officer,</w:t>
      </w:r>
      <w:r>
        <w:rPr>
          <w:spacing w:val="-1"/>
        </w:rPr>
        <w:t> </w:t>
      </w:r>
      <w:r>
        <w:rPr/>
        <w:t>has</w:t>
      </w:r>
      <w:r>
        <w:rPr>
          <w:spacing w:val="-2"/>
        </w:rPr>
        <w:t> </w:t>
      </w:r>
      <w:r>
        <w:rPr/>
        <w:t>evaluated</w:t>
      </w:r>
      <w:r>
        <w:rPr>
          <w:spacing w:val="-1"/>
        </w:rPr>
        <w:t> </w:t>
      </w:r>
      <w:r>
        <w:rPr/>
        <w:t>the</w:t>
      </w:r>
      <w:r>
        <w:rPr>
          <w:spacing w:val="-2"/>
        </w:rPr>
        <w:t> </w:t>
      </w:r>
      <w:r>
        <w:rPr/>
        <w:t>effectiveness</w:t>
      </w:r>
      <w:r>
        <w:rPr>
          <w:spacing w:val="-2"/>
        </w:rPr>
        <w:t> </w:t>
      </w:r>
      <w:r>
        <w:rPr/>
        <w:t>of</w:t>
      </w:r>
      <w:r>
        <w:rPr>
          <w:spacing w:val="-1"/>
        </w:rPr>
        <w:t> </w:t>
      </w:r>
      <w:r>
        <w:rPr/>
        <w:t>the</w:t>
      </w:r>
      <w:r>
        <w:rPr>
          <w:spacing w:val="-2"/>
        </w:rPr>
        <w:t> </w:t>
      </w:r>
      <w:r>
        <w:rPr/>
        <w:t>Company’s</w:t>
      </w:r>
      <w:r>
        <w:rPr>
          <w:spacing w:val="-2"/>
        </w:rPr>
        <w:t> </w:t>
      </w:r>
      <w:r>
        <w:rPr/>
        <w:t>disclosure</w:t>
      </w:r>
      <w:r>
        <w:rPr>
          <w:spacing w:val="-2"/>
        </w:rPr>
        <w:t> </w:t>
      </w:r>
      <w:r>
        <w:rPr/>
        <w:t>controls</w:t>
      </w:r>
      <w:r>
        <w:rPr>
          <w:spacing w:val="-2"/>
        </w:rPr>
        <w:t> </w:t>
      </w:r>
      <w:r>
        <w:rPr/>
        <w:t>and procedures (as defined in Rule 13a-15(e) under the Securities Exchange Act of 1934) as of September 30, 2023. Based on this evaluation,</w:t>
      </w:r>
      <w:r>
        <w:rPr>
          <w:spacing w:val="-3"/>
        </w:rPr>
        <w:t> </w:t>
      </w:r>
      <w:r>
        <w:rPr/>
        <w:t>the</w:t>
      </w:r>
      <w:r>
        <w:rPr>
          <w:spacing w:val="-4"/>
        </w:rPr>
        <w:t> </w:t>
      </w:r>
      <w:r>
        <w:rPr/>
        <w:t>Company’s</w:t>
      </w:r>
      <w:r>
        <w:rPr>
          <w:spacing w:val="-4"/>
        </w:rPr>
        <w:t> </w:t>
      </w:r>
      <w:r>
        <w:rPr/>
        <w:t>Chief</w:t>
      </w:r>
      <w:r>
        <w:rPr>
          <w:spacing w:val="-3"/>
        </w:rPr>
        <w:t> </w:t>
      </w:r>
      <w:r>
        <w:rPr/>
        <w:t>Executive</w:t>
      </w:r>
      <w:r>
        <w:rPr>
          <w:spacing w:val="-4"/>
        </w:rPr>
        <w:t> </w:t>
      </w:r>
      <w:r>
        <w:rPr/>
        <w:t>Officer</w:t>
      </w:r>
      <w:r>
        <w:rPr>
          <w:spacing w:val="-3"/>
        </w:rPr>
        <w:t> </w:t>
      </w:r>
      <w:r>
        <w:rPr/>
        <w:t>and</w:t>
      </w:r>
      <w:r>
        <w:rPr>
          <w:spacing w:val="-3"/>
        </w:rPr>
        <w:t> </w:t>
      </w:r>
      <w:r>
        <w:rPr/>
        <w:t>Chief</w:t>
      </w:r>
      <w:r>
        <w:rPr>
          <w:spacing w:val="-3"/>
        </w:rPr>
        <w:t> </w:t>
      </w:r>
      <w:r>
        <w:rPr/>
        <w:t>Financial</w:t>
      </w:r>
      <w:r>
        <w:rPr>
          <w:spacing w:val="-4"/>
        </w:rPr>
        <w:t> </w:t>
      </w:r>
      <w:r>
        <w:rPr/>
        <w:t>Officer</w:t>
      </w:r>
      <w:r>
        <w:rPr>
          <w:spacing w:val="-3"/>
        </w:rPr>
        <w:t> </w:t>
      </w:r>
      <w:r>
        <w:rPr/>
        <w:t>have</w:t>
      </w:r>
      <w:r>
        <w:rPr>
          <w:spacing w:val="-4"/>
        </w:rPr>
        <w:t> </w:t>
      </w:r>
      <w:r>
        <w:rPr/>
        <w:t>concluded</w:t>
      </w:r>
      <w:r>
        <w:rPr>
          <w:spacing w:val="-3"/>
        </w:rPr>
        <w:t> </w:t>
      </w:r>
      <w:r>
        <w:rPr/>
        <w:t>that</w:t>
      </w:r>
      <w:r>
        <w:rPr>
          <w:spacing w:val="-4"/>
        </w:rPr>
        <w:t> </w:t>
      </w:r>
      <w:r>
        <w:rPr/>
        <w:t>the</w:t>
      </w:r>
      <w:r>
        <w:rPr>
          <w:spacing w:val="-4"/>
        </w:rPr>
        <w:t> </w:t>
      </w:r>
      <w:r>
        <w:rPr/>
        <w:t>Company’s</w:t>
      </w:r>
      <w:r>
        <w:rPr>
          <w:spacing w:val="-4"/>
        </w:rPr>
        <w:t> </w:t>
      </w:r>
      <w:r>
        <w:rPr/>
        <w:t>disclosure controls and procedures were effective as of September 30, 2023.</w:t>
      </w:r>
    </w:p>
    <w:p>
      <w:pPr>
        <w:pStyle w:val="BodyText"/>
        <w:spacing w:before="14"/>
      </w:pPr>
    </w:p>
    <w:p>
      <w:pPr>
        <w:pStyle w:val="BodyText"/>
        <w:spacing w:line="249" w:lineRule="auto"/>
        <w:ind w:left="470" w:right="500"/>
      </w:pPr>
      <w:r>
        <w:rPr>
          <w:i/>
        </w:rPr>
        <w:t>Changes</w:t>
      </w:r>
      <w:r>
        <w:rPr>
          <w:i/>
          <w:spacing w:val="-4"/>
        </w:rPr>
        <w:t> </w:t>
      </w:r>
      <w:r>
        <w:rPr>
          <w:i/>
        </w:rPr>
        <w:t>in</w:t>
      </w:r>
      <w:r>
        <w:rPr>
          <w:i/>
          <w:spacing w:val="-3"/>
        </w:rPr>
        <w:t> </w:t>
      </w:r>
      <w:r>
        <w:rPr>
          <w:i/>
        </w:rPr>
        <w:t>internal</w:t>
      </w:r>
      <w:r>
        <w:rPr>
          <w:i/>
          <w:spacing w:val="-4"/>
        </w:rPr>
        <w:t> </w:t>
      </w:r>
      <w:r>
        <w:rPr>
          <w:i/>
        </w:rPr>
        <w:t>control</w:t>
      </w:r>
      <w:r>
        <w:rPr>
          <w:i/>
          <w:spacing w:val="-4"/>
        </w:rPr>
        <w:t> </w:t>
      </w:r>
      <w:r>
        <w:rPr>
          <w:i/>
        </w:rPr>
        <w:t>over</w:t>
      </w:r>
      <w:r>
        <w:rPr>
          <w:i/>
          <w:spacing w:val="-4"/>
        </w:rPr>
        <w:t> </w:t>
      </w:r>
      <w:r>
        <w:rPr>
          <w:i/>
        </w:rPr>
        <w:t>financial</w:t>
      </w:r>
      <w:r>
        <w:rPr>
          <w:i/>
          <w:spacing w:val="-4"/>
        </w:rPr>
        <w:t> </w:t>
      </w:r>
      <w:r>
        <w:rPr>
          <w:i/>
        </w:rPr>
        <w:t>reporting:</w:t>
      </w:r>
      <w:r>
        <w:rPr>
          <w:i/>
          <w:spacing w:val="-3"/>
        </w:rPr>
        <w:t> </w:t>
      </w:r>
      <w:r>
        <w:rPr/>
        <w:t>No</w:t>
      </w:r>
      <w:r>
        <w:rPr>
          <w:spacing w:val="-3"/>
        </w:rPr>
        <w:t> </w:t>
      </w:r>
      <w:r>
        <w:rPr/>
        <w:t>change</w:t>
      </w:r>
      <w:r>
        <w:rPr>
          <w:spacing w:val="-4"/>
        </w:rPr>
        <w:t> </w:t>
      </w:r>
      <w:r>
        <w:rPr/>
        <w:t>in</w:t>
      </w:r>
      <w:r>
        <w:rPr>
          <w:spacing w:val="-3"/>
        </w:rPr>
        <w:t> </w:t>
      </w:r>
      <w:r>
        <w:rPr/>
        <w:t>the</w:t>
      </w:r>
      <w:r>
        <w:rPr>
          <w:spacing w:val="-4"/>
        </w:rPr>
        <w:t> </w:t>
      </w:r>
      <w:r>
        <w:rPr/>
        <w:t>Company’s</w:t>
      </w:r>
      <w:r>
        <w:rPr>
          <w:spacing w:val="-4"/>
        </w:rPr>
        <w:t> </w:t>
      </w:r>
      <w:r>
        <w:rPr/>
        <w:t>internal</w:t>
      </w:r>
      <w:r>
        <w:rPr>
          <w:spacing w:val="-4"/>
        </w:rPr>
        <w:t> </w:t>
      </w:r>
      <w:r>
        <w:rPr/>
        <w:t>control</w:t>
      </w:r>
      <w:r>
        <w:rPr>
          <w:spacing w:val="-4"/>
        </w:rPr>
        <w:t> </w:t>
      </w:r>
      <w:r>
        <w:rPr/>
        <w:t>over</w:t>
      </w:r>
      <w:r>
        <w:rPr>
          <w:spacing w:val="-3"/>
        </w:rPr>
        <w:t> </w:t>
      </w:r>
      <w:r>
        <w:rPr/>
        <w:t>financial</w:t>
      </w:r>
      <w:r>
        <w:rPr>
          <w:spacing w:val="-4"/>
        </w:rPr>
        <w:t> </w:t>
      </w:r>
      <w:r>
        <w:rPr/>
        <w:t>reporting</w:t>
      </w:r>
      <w:r>
        <w:rPr>
          <w:spacing w:val="-3"/>
        </w:rPr>
        <w:t> </w:t>
      </w:r>
      <w:r>
        <w:rPr/>
        <w:t>(as defined in Rule 13a-15(f) under the Securities Exchange Act of 1934) was identified during the quarter ended September 30, 2023, that has materially affected, or is reasonably likely to materially affect, the Company’s internal control over financial </w:t>
      </w:r>
      <w:r>
        <w:rPr>
          <w:spacing w:val="-2"/>
        </w:rPr>
        <w:t>reporting.</w:t>
      </w:r>
    </w:p>
    <w:p>
      <w:pPr>
        <w:pStyle w:val="BodyText"/>
      </w:pPr>
    </w:p>
    <w:p>
      <w:pPr>
        <w:pStyle w:val="BodyText"/>
        <w:spacing w:before="20"/>
      </w:pPr>
    </w:p>
    <w:p>
      <w:pPr>
        <w:pStyle w:val="Heading1"/>
        <w:spacing w:before="0"/>
        <w:ind w:left="470"/>
        <w:jc w:val="both"/>
      </w:pPr>
      <w:bookmarkStart w:name="Part II - Other Information" w:id="60"/>
      <w:bookmarkEnd w:id="60"/>
      <w:r>
        <w:rPr>
          <w:b w:val="0"/>
        </w:rPr>
      </w:r>
      <w:bookmarkStart w:name="_bookmark9" w:id="61"/>
      <w:bookmarkEnd w:id="61"/>
      <w:r>
        <w:rPr>
          <w:b w:val="0"/>
        </w:rPr>
      </w:r>
      <w:r>
        <w:rPr/>
        <w:t>PART</w:t>
      </w:r>
      <w:r>
        <w:rPr>
          <w:spacing w:val="47"/>
        </w:rPr>
        <w:t> </w:t>
      </w:r>
      <w:r>
        <w:rPr/>
        <w:t>II</w:t>
      </w:r>
      <w:r>
        <w:rPr>
          <w:spacing w:val="47"/>
        </w:rPr>
        <w:t> </w:t>
      </w:r>
      <w:r>
        <w:rPr/>
        <w:t>-</w:t>
      </w:r>
      <w:r>
        <w:rPr>
          <w:spacing w:val="48"/>
        </w:rPr>
        <w:t> </w:t>
      </w:r>
      <w:r>
        <w:rPr/>
        <w:t>OTHER</w:t>
      </w:r>
      <w:r>
        <w:rPr>
          <w:spacing w:val="47"/>
        </w:rPr>
        <w:t> </w:t>
      </w:r>
      <w:r>
        <w:rPr>
          <w:spacing w:val="-2"/>
        </w:rPr>
        <w:t>INFORMATION</w:t>
      </w:r>
    </w:p>
    <w:p>
      <w:pPr>
        <w:pStyle w:val="BodyText"/>
        <w:rPr>
          <w:b/>
        </w:rPr>
      </w:pPr>
    </w:p>
    <w:p>
      <w:pPr>
        <w:pStyle w:val="BodyText"/>
        <w:spacing w:before="30"/>
        <w:rPr>
          <w:b/>
        </w:rPr>
      </w:pPr>
    </w:p>
    <w:p>
      <w:pPr>
        <w:pStyle w:val="Heading2"/>
        <w:tabs>
          <w:tab w:pos="1369" w:val="left" w:leader="none"/>
        </w:tabs>
      </w:pPr>
      <w:bookmarkStart w:name="Item 1. Legal Proceedings" w:id="62"/>
      <w:bookmarkEnd w:id="62"/>
      <w:r>
        <w:rPr>
          <w:b w:val="0"/>
        </w:rPr>
      </w:r>
      <w:bookmarkStart w:name="_bookmark10" w:id="63"/>
      <w:bookmarkEnd w:id="63"/>
      <w:r>
        <w:rPr>
          <w:b w:val="0"/>
        </w:rPr>
      </w:r>
      <w:r>
        <w:rPr/>
        <w:t>Item</w:t>
      </w:r>
      <w:r>
        <w:rPr>
          <w:spacing w:val="-2"/>
        </w:rPr>
        <w:t> </w:t>
      </w:r>
      <w:r>
        <w:rPr>
          <w:spacing w:val="-5"/>
        </w:rPr>
        <w:t>1.</w:t>
      </w:r>
      <w:r>
        <w:rPr/>
        <w:tab/>
        <w:t>Legal</w:t>
      </w:r>
      <w:r>
        <w:rPr>
          <w:spacing w:val="-3"/>
        </w:rPr>
        <w:t> </w:t>
      </w:r>
      <w:r>
        <w:rPr>
          <w:spacing w:val="-2"/>
        </w:rPr>
        <w:t>Proceedings</w:t>
      </w:r>
    </w:p>
    <w:p>
      <w:pPr>
        <w:pStyle w:val="BodyText"/>
        <w:spacing w:before="193"/>
        <w:ind w:left="470"/>
      </w:pPr>
      <w:r>
        <w:rPr/>
        <w:t>For</w:t>
      </w:r>
      <w:r>
        <w:rPr>
          <w:spacing w:val="-2"/>
        </w:rPr>
        <w:t> </w:t>
      </w:r>
      <w:r>
        <w:rPr/>
        <w:t>a</w:t>
      </w:r>
      <w:r>
        <w:rPr>
          <w:spacing w:val="-3"/>
        </w:rPr>
        <w:t> </w:t>
      </w:r>
      <w:r>
        <w:rPr/>
        <w:t>discussion</w:t>
      </w:r>
      <w:r>
        <w:rPr>
          <w:spacing w:val="-1"/>
        </w:rPr>
        <w:t> </w:t>
      </w:r>
      <w:r>
        <w:rPr/>
        <w:t>of</w:t>
      </w:r>
      <w:r>
        <w:rPr>
          <w:spacing w:val="-2"/>
        </w:rPr>
        <w:t> </w:t>
      </w:r>
      <w:r>
        <w:rPr/>
        <w:t>legal</w:t>
      </w:r>
      <w:r>
        <w:rPr>
          <w:spacing w:val="-3"/>
        </w:rPr>
        <w:t> </w:t>
      </w:r>
      <w:r>
        <w:rPr/>
        <w:t>proceedings,</w:t>
      </w:r>
      <w:r>
        <w:rPr>
          <w:spacing w:val="-1"/>
        </w:rPr>
        <w:t> </w:t>
      </w:r>
      <w:r>
        <w:rPr/>
        <w:t>see</w:t>
      </w:r>
      <w:r>
        <w:rPr>
          <w:spacing w:val="-3"/>
        </w:rPr>
        <w:t> </w:t>
      </w:r>
      <w:r>
        <w:rPr/>
        <w:t>Part</w:t>
      </w:r>
      <w:r>
        <w:rPr>
          <w:spacing w:val="-3"/>
        </w:rPr>
        <w:t> </w:t>
      </w:r>
      <w:r>
        <w:rPr/>
        <w:t>I</w:t>
      </w:r>
      <w:r>
        <w:rPr>
          <w:spacing w:val="-1"/>
        </w:rPr>
        <w:t> </w:t>
      </w:r>
      <w:r>
        <w:rPr/>
        <w:t>–</w:t>
      </w:r>
      <w:r>
        <w:rPr>
          <w:spacing w:val="-2"/>
        </w:rPr>
        <w:t> </w:t>
      </w:r>
      <w:r>
        <w:rPr/>
        <w:t>Item</w:t>
      </w:r>
      <w:r>
        <w:rPr>
          <w:spacing w:val="-3"/>
        </w:rPr>
        <w:t> </w:t>
      </w:r>
      <w:r>
        <w:rPr/>
        <w:t>1</w:t>
      </w:r>
      <w:r>
        <w:rPr>
          <w:spacing w:val="-1"/>
        </w:rPr>
        <w:t> </w:t>
      </w:r>
      <w:r>
        <w:rPr/>
        <w:t>–</w:t>
      </w:r>
      <w:r>
        <w:rPr>
          <w:spacing w:val="-2"/>
        </w:rPr>
        <w:t> </w:t>
      </w:r>
      <w:r>
        <w:rPr/>
        <w:t>Note</w:t>
      </w:r>
      <w:r>
        <w:rPr>
          <w:spacing w:val="-2"/>
        </w:rPr>
        <w:t> </w:t>
      </w:r>
      <w:r>
        <w:rPr>
          <w:spacing w:val="-5"/>
        </w:rPr>
        <w:t>9.</w:t>
      </w:r>
    </w:p>
    <w:p>
      <w:pPr>
        <w:pStyle w:val="BodyText"/>
      </w:pPr>
    </w:p>
    <w:p>
      <w:pPr>
        <w:pStyle w:val="BodyText"/>
        <w:spacing w:before="27"/>
      </w:pPr>
    </w:p>
    <w:p>
      <w:pPr>
        <w:pStyle w:val="Heading2"/>
      </w:pPr>
      <w:bookmarkStart w:name="Item 1A. Risk Factors" w:id="64"/>
      <w:bookmarkEnd w:id="64"/>
      <w:r>
        <w:rPr>
          <w:b w:val="0"/>
        </w:rPr>
      </w:r>
      <w:bookmarkStart w:name="_bookmark11" w:id="65"/>
      <w:bookmarkEnd w:id="65"/>
      <w:r>
        <w:rPr>
          <w:b w:val="0"/>
        </w:rPr>
      </w:r>
      <w:r>
        <w:rPr/>
        <w:t>Item</w:t>
      </w:r>
      <w:r>
        <w:rPr>
          <w:spacing w:val="-2"/>
        </w:rPr>
        <w:t> </w:t>
      </w:r>
      <w:r>
        <w:rPr/>
        <w:t>1A.</w:t>
      </w:r>
      <w:r>
        <w:rPr>
          <w:spacing w:val="78"/>
          <w:w w:val="150"/>
        </w:rPr>
        <w:t> </w:t>
      </w:r>
      <w:r>
        <w:rPr/>
        <w:t>Risk</w:t>
      </w:r>
      <w:r>
        <w:rPr>
          <w:spacing w:val="-2"/>
        </w:rPr>
        <w:t> Factors</w:t>
      </w:r>
    </w:p>
    <w:p>
      <w:pPr>
        <w:pStyle w:val="BodyText"/>
        <w:spacing w:before="23"/>
        <w:rPr>
          <w:b/>
        </w:rPr>
      </w:pPr>
    </w:p>
    <w:p>
      <w:pPr>
        <w:pStyle w:val="BodyText"/>
        <w:spacing w:line="249" w:lineRule="auto" w:before="1"/>
        <w:ind w:left="470" w:right="566"/>
      </w:pPr>
      <w:r>
        <w:rPr/>
        <w:t>During</w:t>
      </w:r>
      <w:r>
        <w:rPr>
          <w:spacing w:val="-2"/>
        </w:rPr>
        <w:t> </w:t>
      </w:r>
      <w:r>
        <w:rPr/>
        <w:t>the</w:t>
      </w:r>
      <w:r>
        <w:rPr>
          <w:spacing w:val="-3"/>
        </w:rPr>
        <w:t> </w:t>
      </w:r>
      <w:r>
        <w:rPr/>
        <w:t>first</w:t>
      </w:r>
      <w:r>
        <w:rPr>
          <w:spacing w:val="-3"/>
        </w:rPr>
        <w:t> </w:t>
      </w:r>
      <w:r>
        <w:rPr/>
        <w:t>nine</w:t>
      </w:r>
      <w:r>
        <w:rPr>
          <w:spacing w:val="-3"/>
        </w:rPr>
        <w:t> </w:t>
      </w:r>
      <w:r>
        <w:rPr/>
        <w:t>months</w:t>
      </w:r>
      <w:r>
        <w:rPr>
          <w:spacing w:val="-3"/>
        </w:rPr>
        <w:t> </w:t>
      </w:r>
      <w:r>
        <w:rPr/>
        <w:t>of</w:t>
      </w:r>
      <w:r>
        <w:rPr>
          <w:spacing w:val="-2"/>
        </w:rPr>
        <w:t> </w:t>
      </w:r>
      <w:r>
        <w:rPr/>
        <w:t>2023,</w:t>
      </w:r>
      <w:r>
        <w:rPr>
          <w:spacing w:val="-2"/>
        </w:rPr>
        <w:t> </w:t>
      </w:r>
      <w:r>
        <w:rPr/>
        <w:t>there</w:t>
      </w:r>
      <w:r>
        <w:rPr>
          <w:spacing w:val="-3"/>
        </w:rPr>
        <w:t> </w:t>
      </w:r>
      <w:r>
        <w:rPr/>
        <w:t>have</w:t>
      </w:r>
      <w:r>
        <w:rPr>
          <w:spacing w:val="-3"/>
        </w:rPr>
        <w:t> </w:t>
      </w:r>
      <w:r>
        <w:rPr/>
        <w:t>been</w:t>
      </w:r>
      <w:r>
        <w:rPr>
          <w:spacing w:val="-2"/>
        </w:rPr>
        <w:t> </w:t>
      </w:r>
      <w:r>
        <w:rPr/>
        <w:t>no</w:t>
      </w:r>
      <w:r>
        <w:rPr>
          <w:spacing w:val="-2"/>
        </w:rPr>
        <w:t> </w:t>
      </w:r>
      <w:r>
        <w:rPr/>
        <w:t>material</w:t>
      </w:r>
      <w:r>
        <w:rPr>
          <w:spacing w:val="-3"/>
        </w:rPr>
        <w:t> </w:t>
      </w:r>
      <w:r>
        <w:rPr/>
        <w:t>changes</w:t>
      </w:r>
      <w:r>
        <w:rPr>
          <w:spacing w:val="-3"/>
        </w:rPr>
        <w:t> </w:t>
      </w:r>
      <w:r>
        <w:rPr/>
        <w:t>to</w:t>
      </w:r>
      <w:r>
        <w:rPr>
          <w:spacing w:val="-2"/>
        </w:rPr>
        <w:t> </w:t>
      </w:r>
      <w:r>
        <w:rPr/>
        <w:t>the</w:t>
      </w:r>
      <w:r>
        <w:rPr>
          <w:spacing w:val="-3"/>
        </w:rPr>
        <w:t> </w:t>
      </w:r>
      <w:r>
        <w:rPr/>
        <w:t>risk</w:t>
      </w:r>
      <w:r>
        <w:rPr>
          <w:spacing w:val="-2"/>
        </w:rPr>
        <w:t> </w:t>
      </w:r>
      <w:r>
        <w:rPr/>
        <w:t>factors</w:t>
      </w:r>
      <w:r>
        <w:rPr>
          <w:spacing w:val="-3"/>
        </w:rPr>
        <w:t> </w:t>
      </w:r>
      <w:r>
        <w:rPr/>
        <w:t>in</w:t>
      </w:r>
      <w:r>
        <w:rPr>
          <w:spacing w:val="-2"/>
        </w:rPr>
        <w:t> </w:t>
      </w:r>
      <w:r>
        <w:rPr/>
        <w:t>Part</w:t>
      </w:r>
      <w:r>
        <w:rPr>
          <w:spacing w:val="-3"/>
        </w:rPr>
        <w:t> </w:t>
      </w:r>
      <w:r>
        <w:rPr/>
        <w:t>I</w:t>
      </w:r>
      <w:r>
        <w:rPr>
          <w:spacing w:val="-2"/>
        </w:rPr>
        <w:t> </w:t>
      </w:r>
      <w:r>
        <w:rPr/>
        <w:t>–</w:t>
      </w:r>
      <w:r>
        <w:rPr>
          <w:spacing w:val="-2"/>
        </w:rPr>
        <w:t> </w:t>
      </w:r>
      <w:r>
        <w:rPr/>
        <w:t>Item</w:t>
      </w:r>
      <w:r>
        <w:rPr>
          <w:spacing w:val="-3"/>
        </w:rPr>
        <w:t> </w:t>
      </w:r>
      <w:r>
        <w:rPr/>
        <w:t>1A</w:t>
      </w:r>
      <w:r>
        <w:rPr>
          <w:spacing w:val="-3"/>
        </w:rPr>
        <w:t> </w:t>
      </w:r>
      <w:r>
        <w:rPr/>
        <w:t>–</w:t>
      </w:r>
      <w:r>
        <w:rPr>
          <w:spacing w:val="-2"/>
        </w:rPr>
        <w:t> </w:t>
      </w:r>
      <w:r>
        <w:rPr/>
        <w:t>Risk</w:t>
      </w:r>
      <w:r>
        <w:rPr>
          <w:spacing w:val="-2"/>
        </w:rPr>
        <w:t> </w:t>
      </w:r>
      <w:r>
        <w:rPr/>
        <w:t>Factors in the 2022 Form 10-K.</w:t>
      </w:r>
    </w:p>
    <w:p>
      <w:pPr>
        <w:pStyle w:val="BodyText"/>
      </w:pPr>
    </w:p>
    <w:p>
      <w:pPr>
        <w:pStyle w:val="BodyText"/>
        <w:spacing w:before="18"/>
      </w:pPr>
    </w:p>
    <w:p>
      <w:pPr>
        <w:pStyle w:val="Heading2"/>
        <w:tabs>
          <w:tab w:pos="1369" w:val="left" w:leader="none"/>
        </w:tabs>
        <w:spacing w:line="439" w:lineRule="auto"/>
        <w:ind w:right="4743"/>
      </w:pPr>
      <w:bookmarkStart w:name="Item 2. Unregistered Sales of Equity Sec" w:id="66"/>
      <w:bookmarkEnd w:id="66"/>
      <w:r>
        <w:rPr>
          <w:b w:val="0"/>
        </w:rPr>
      </w:r>
      <w:bookmarkStart w:name="_bookmark12" w:id="67"/>
      <w:bookmarkEnd w:id="67"/>
      <w:r>
        <w:rPr>
          <w:b w:val="0"/>
        </w:rPr>
      </w:r>
      <w:r>
        <w:rPr/>
        <w:t>Item 2.</w:t>
        <w:tab/>
        <w:t>Unregistered</w:t>
      </w:r>
      <w:r>
        <w:rPr>
          <w:spacing w:val="-6"/>
        </w:rPr>
        <w:t> </w:t>
      </w:r>
      <w:r>
        <w:rPr/>
        <w:t>Sales</w:t>
      </w:r>
      <w:r>
        <w:rPr>
          <w:spacing w:val="-6"/>
        </w:rPr>
        <w:t> </w:t>
      </w:r>
      <w:r>
        <w:rPr/>
        <w:t>of</w:t>
      </w:r>
      <w:r>
        <w:rPr>
          <w:spacing w:val="-5"/>
        </w:rPr>
        <w:t> </w:t>
      </w:r>
      <w:r>
        <w:rPr/>
        <w:t>Equity</w:t>
      </w:r>
      <w:r>
        <w:rPr>
          <w:spacing w:val="-5"/>
        </w:rPr>
        <w:t> </w:t>
      </w:r>
      <w:r>
        <w:rPr/>
        <w:t>Securities</w:t>
      </w:r>
      <w:r>
        <w:rPr>
          <w:spacing w:val="-6"/>
        </w:rPr>
        <w:t> </w:t>
      </w:r>
      <w:r>
        <w:rPr/>
        <w:t>and</w:t>
      </w:r>
      <w:r>
        <w:rPr>
          <w:spacing w:val="-6"/>
        </w:rPr>
        <w:t> </w:t>
      </w:r>
      <w:r>
        <w:rPr/>
        <w:t>Use</w:t>
      </w:r>
      <w:r>
        <w:rPr>
          <w:spacing w:val="-6"/>
        </w:rPr>
        <w:t> </w:t>
      </w:r>
      <w:r>
        <w:rPr/>
        <w:t>of</w:t>
      </w:r>
      <w:r>
        <w:rPr>
          <w:spacing w:val="-5"/>
        </w:rPr>
        <w:t> </w:t>
      </w:r>
      <w:r>
        <w:rPr/>
        <w:t>Proceeds Issuer Purchases of Equity Securities</w:t>
      </w:r>
    </w:p>
    <w:p>
      <w:pPr>
        <w:pStyle w:val="BodyText"/>
        <w:spacing w:line="249" w:lineRule="auto" w:before="2"/>
        <w:ind w:left="470" w:right="761"/>
      </w:pPr>
      <w:r>
        <w:rPr/>
        <w:t>On July 27, 2022, CSC publicly announced that its Board of Directors terminated its prior repurchase authorization and replaced</w:t>
      </w:r>
      <w:r>
        <w:rPr>
          <w:spacing w:val="-2"/>
        </w:rPr>
        <w:t> </w:t>
      </w:r>
      <w:r>
        <w:rPr/>
        <w:t>it</w:t>
      </w:r>
      <w:r>
        <w:rPr>
          <w:spacing w:val="-3"/>
        </w:rPr>
        <w:t> </w:t>
      </w:r>
      <w:r>
        <w:rPr/>
        <w:t>with</w:t>
      </w:r>
      <w:r>
        <w:rPr>
          <w:spacing w:val="-2"/>
        </w:rPr>
        <w:t> </w:t>
      </w:r>
      <w:r>
        <w:rPr/>
        <w:t>a</w:t>
      </w:r>
      <w:r>
        <w:rPr>
          <w:spacing w:val="-3"/>
        </w:rPr>
        <w:t> </w:t>
      </w:r>
      <w:r>
        <w:rPr/>
        <w:t>new</w:t>
      </w:r>
      <w:r>
        <w:rPr>
          <w:spacing w:val="-3"/>
        </w:rPr>
        <w:t> </w:t>
      </w:r>
      <w:r>
        <w:rPr/>
        <w:t>authorization</w:t>
      </w:r>
      <w:r>
        <w:rPr>
          <w:spacing w:val="-2"/>
        </w:rPr>
        <w:t> </w:t>
      </w:r>
      <w:r>
        <w:rPr/>
        <w:t>to</w:t>
      </w:r>
      <w:r>
        <w:rPr>
          <w:spacing w:val="-2"/>
        </w:rPr>
        <w:t> </w:t>
      </w:r>
      <w:r>
        <w:rPr/>
        <w:t>repurchase</w:t>
      </w:r>
      <w:r>
        <w:rPr>
          <w:spacing w:val="-3"/>
        </w:rPr>
        <w:t> </w:t>
      </w:r>
      <w:r>
        <w:rPr/>
        <w:t>up</w:t>
      </w:r>
      <w:r>
        <w:rPr>
          <w:spacing w:val="-2"/>
        </w:rPr>
        <w:t> </w:t>
      </w:r>
      <w:r>
        <w:rPr/>
        <w:t>to</w:t>
      </w:r>
      <w:r>
        <w:rPr>
          <w:spacing w:val="-2"/>
        </w:rPr>
        <w:t> </w:t>
      </w:r>
      <w:r>
        <w:rPr/>
        <w:t>$15.0</w:t>
      </w:r>
      <w:r>
        <w:rPr>
          <w:spacing w:val="-2"/>
        </w:rPr>
        <w:t> </w:t>
      </w:r>
      <w:r>
        <w:rPr/>
        <w:t>billion</w:t>
      </w:r>
      <w:r>
        <w:rPr>
          <w:spacing w:val="-2"/>
        </w:rPr>
        <w:t> </w:t>
      </w:r>
      <w:r>
        <w:rPr/>
        <w:t>of</w:t>
      </w:r>
      <w:r>
        <w:rPr>
          <w:spacing w:val="-2"/>
        </w:rPr>
        <w:t> </w:t>
      </w:r>
      <w:r>
        <w:rPr/>
        <w:t>common</w:t>
      </w:r>
      <w:r>
        <w:rPr>
          <w:spacing w:val="-2"/>
        </w:rPr>
        <w:t> </w:t>
      </w:r>
      <w:r>
        <w:rPr/>
        <w:t>stock.</w:t>
      </w:r>
      <w:r>
        <w:rPr>
          <w:spacing w:val="-2"/>
        </w:rPr>
        <w:t> </w:t>
      </w:r>
      <w:r>
        <w:rPr/>
        <w:t>The</w:t>
      </w:r>
      <w:r>
        <w:rPr>
          <w:spacing w:val="-3"/>
        </w:rPr>
        <w:t> </w:t>
      </w:r>
      <w:r>
        <w:rPr/>
        <w:t>authorization</w:t>
      </w:r>
      <w:r>
        <w:rPr>
          <w:spacing w:val="-2"/>
        </w:rPr>
        <w:t> </w:t>
      </w:r>
      <w:r>
        <w:rPr/>
        <w:t>does</w:t>
      </w:r>
      <w:r>
        <w:rPr>
          <w:spacing w:val="-3"/>
        </w:rPr>
        <w:t> </w:t>
      </w:r>
      <w:r>
        <w:rPr/>
        <w:t>not</w:t>
      </w:r>
      <w:r>
        <w:rPr>
          <w:spacing w:val="-3"/>
        </w:rPr>
        <w:t> </w:t>
      </w:r>
      <w:r>
        <w:rPr/>
        <w:t>have</w:t>
      </w:r>
      <w:r>
        <w:rPr>
          <w:spacing w:val="-3"/>
        </w:rPr>
        <w:t> </w:t>
      </w:r>
      <w:r>
        <w:rPr/>
        <w:t>an expiration date. See also Part I – Item 1 – Note 14.</w:t>
      </w:r>
    </w:p>
    <w:p>
      <w:pPr>
        <w:pStyle w:val="BodyText"/>
        <w:spacing w:before="12"/>
      </w:pPr>
    </w:p>
    <w:p>
      <w:pPr>
        <w:pStyle w:val="BodyText"/>
        <w:spacing w:line="249" w:lineRule="auto"/>
        <w:ind w:left="470" w:right="500"/>
      </w:pPr>
      <w:r>
        <w:rPr/>
        <w:t>The</w:t>
      </w:r>
      <w:r>
        <w:rPr>
          <w:spacing w:val="-3"/>
        </w:rPr>
        <w:t> </w:t>
      </w:r>
      <w:r>
        <w:rPr/>
        <w:t>following</w:t>
      </w:r>
      <w:r>
        <w:rPr>
          <w:spacing w:val="-2"/>
        </w:rPr>
        <w:t> </w:t>
      </w:r>
      <w:r>
        <w:rPr/>
        <w:t>table</w:t>
      </w:r>
      <w:r>
        <w:rPr>
          <w:spacing w:val="-3"/>
        </w:rPr>
        <w:t> </w:t>
      </w:r>
      <w:r>
        <w:rPr/>
        <w:t>summarizes</w:t>
      </w:r>
      <w:r>
        <w:rPr>
          <w:spacing w:val="-3"/>
        </w:rPr>
        <w:t> </w:t>
      </w:r>
      <w:r>
        <w:rPr/>
        <w:t>purchases</w:t>
      </w:r>
      <w:r>
        <w:rPr>
          <w:spacing w:val="-3"/>
        </w:rPr>
        <w:t> </w:t>
      </w:r>
      <w:r>
        <w:rPr/>
        <w:t>made</w:t>
      </w:r>
      <w:r>
        <w:rPr>
          <w:spacing w:val="-3"/>
        </w:rPr>
        <w:t> </w:t>
      </w:r>
      <w:r>
        <w:rPr/>
        <w:t>by</w:t>
      </w:r>
      <w:r>
        <w:rPr>
          <w:spacing w:val="-2"/>
        </w:rPr>
        <w:t> </w:t>
      </w:r>
      <w:r>
        <w:rPr/>
        <w:t>or</w:t>
      </w:r>
      <w:r>
        <w:rPr>
          <w:spacing w:val="-2"/>
        </w:rPr>
        <w:t> </w:t>
      </w:r>
      <w:r>
        <w:rPr/>
        <w:t>on</w:t>
      </w:r>
      <w:r>
        <w:rPr>
          <w:spacing w:val="-2"/>
        </w:rPr>
        <w:t> </w:t>
      </w:r>
      <w:r>
        <w:rPr/>
        <w:t>behalf</w:t>
      </w:r>
      <w:r>
        <w:rPr>
          <w:spacing w:val="-2"/>
        </w:rPr>
        <w:t> </w:t>
      </w:r>
      <w:r>
        <w:rPr/>
        <w:t>of</w:t>
      </w:r>
      <w:r>
        <w:rPr>
          <w:spacing w:val="-2"/>
        </w:rPr>
        <w:t> </w:t>
      </w:r>
      <w:r>
        <w:rPr/>
        <w:t>CSC</w:t>
      </w:r>
      <w:r>
        <w:rPr>
          <w:spacing w:val="-3"/>
        </w:rPr>
        <w:t> </w:t>
      </w:r>
      <w:r>
        <w:rPr/>
        <w:t>of</w:t>
      </w:r>
      <w:r>
        <w:rPr>
          <w:spacing w:val="-2"/>
        </w:rPr>
        <w:t> </w:t>
      </w:r>
      <w:r>
        <w:rPr/>
        <w:t>its</w:t>
      </w:r>
      <w:r>
        <w:rPr>
          <w:spacing w:val="-3"/>
        </w:rPr>
        <w:t> </w:t>
      </w:r>
      <w:r>
        <w:rPr/>
        <w:t>common</w:t>
      </w:r>
      <w:r>
        <w:rPr>
          <w:spacing w:val="-2"/>
        </w:rPr>
        <w:t> </w:t>
      </w:r>
      <w:r>
        <w:rPr/>
        <w:t>stock</w:t>
      </w:r>
      <w:r>
        <w:rPr>
          <w:spacing w:val="-2"/>
        </w:rPr>
        <w:t> </w:t>
      </w:r>
      <w:r>
        <w:rPr/>
        <w:t>for</w:t>
      </w:r>
      <w:r>
        <w:rPr>
          <w:spacing w:val="-2"/>
        </w:rPr>
        <w:t> </w:t>
      </w:r>
      <w:r>
        <w:rPr/>
        <w:t>each</w:t>
      </w:r>
      <w:r>
        <w:rPr>
          <w:spacing w:val="-2"/>
        </w:rPr>
        <w:t> </w:t>
      </w:r>
      <w:r>
        <w:rPr/>
        <w:t>calendar</w:t>
      </w:r>
      <w:r>
        <w:rPr>
          <w:spacing w:val="-2"/>
        </w:rPr>
        <w:t> </w:t>
      </w:r>
      <w:r>
        <w:rPr/>
        <w:t>month</w:t>
      </w:r>
      <w:r>
        <w:rPr>
          <w:spacing w:val="-2"/>
        </w:rPr>
        <w:t> </w:t>
      </w:r>
      <w:r>
        <w:rPr/>
        <w:t>in</w:t>
      </w:r>
      <w:r>
        <w:rPr>
          <w:spacing w:val="-2"/>
        </w:rPr>
        <w:t> </w:t>
      </w:r>
      <w:r>
        <w:rPr/>
        <w:t>the third quarter of 2023 (in millions, except number of shares, which are in thousands, and per share amounts):</w:t>
      </w:r>
    </w:p>
    <w:p>
      <w:pPr>
        <w:pStyle w:val="BodyText"/>
        <w:rPr>
          <w:sz w:val="13"/>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9"/>
        <w:gridCol w:w="2651"/>
        <w:gridCol w:w="1498"/>
        <w:gridCol w:w="1468"/>
        <w:gridCol w:w="1413"/>
      </w:tblGrid>
      <w:tr>
        <w:trPr>
          <w:trHeight w:val="196" w:hRule="atLeast"/>
        </w:trPr>
        <w:tc>
          <w:tcPr>
            <w:tcW w:w="7378" w:type="dxa"/>
            <w:gridSpan w:val="3"/>
            <w:vMerge w:val="restart"/>
            <w:tcBorders>
              <w:top w:val="single" w:sz="4" w:space="0" w:color="000000"/>
            </w:tcBorders>
          </w:tcPr>
          <w:p>
            <w:pPr>
              <w:pStyle w:val="TableParagraph"/>
              <w:rPr>
                <w:sz w:val="18"/>
              </w:rPr>
            </w:pPr>
          </w:p>
        </w:tc>
        <w:tc>
          <w:tcPr>
            <w:tcW w:w="1468" w:type="dxa"/>
            <w:tcBorders>
              <w:top w:val="single" w:sz="4" w:space="0" w:color="000000"/>
            </w:tcBorders>
          </w:tcPr>
          <w:p>
            <w:pPr>
              <w:pStyle w:val="TableParagraph"/>
              <w:rPr>
                <w:sz w:val="12"/>
              </w:rPr>
            </w:pPr>
          </w:p>
        </w:tc>
        <w:tc>
          <w:tcPr>
            <w:tcW w:w="1413" w:type="dxa"/>
            <w:tcBorders>
              <w:top w:val="single" w:sz="4" w:space="0" w:color="000000"/>
            </w:tcBorders>
          </w:tcPr>
          <w:p>
            <w:pPr>
              <w:pStyle w:val="TableParagraph"/>
              <w:spacing w:line="155" w:lineRule="exact" w:before="21"/>
              <w:ind w:left="294"/>
              <w:rPr>
                <w:sz w:val="16"/>
              </w:rPr>
            </w:pPr>
            <w:r>
              <w:rPr>
                <w:spacing w:val="-2"/>
                <w:sz w:val="16"/>
              </w:rPr>
              <w:t>Approximate</w:t>
            </w:r>
          </w:p>
        </w:tc>
      </w:tr>
      <w:tr>
        <w:trPr>
          <w:trHeight w:val="160" w:hRule="atLeast"/>
        </w:trPr>
        <w:tc>
          <w:tcPr>
            <w:tcW w:w="7378" w:type="dxa"/>
            <w:gridSpan w:val="3"/>
            <w:vMerge/>
            <w:tcBorders>
              <w:top w:val="nil"/>
            </w:tcBorders>
          </w:tcPr>
          <w:p>
            <w:pPr>
              <w:rPr>
                <w:sz w:val="2"/>
                <w:szCs w:val="2"/>
              </w:rPr>
            </w:pPr>
          </w:p>
        </w:tc>
        <w:tc>
          <w:tcPr>
            <w:tcW w:w="1468" w:type="dxa"/>
          </w:tcPr>
          <w:p>
            <w:pPr>
              <w:pStyle w:val="TableParagraph"/>
              <w:rPr>
                <w:sz w:val="10"/>
              </w:rPr>
            </w:pPr>
          </w:p>
        </w:tc>
        <w:tc>
          <w:tcPr>
            <w:tcW w:w="1413" w:type="dxa"/>
          </w:tcPr>
          <w:p>
            <w:pPr>
              <w:pStyle w:val="TableParagraph"/>
              <w:spacing w:line="140" w:lineRule="exact"/>
              <w:ind w:left="214"/>
              <w:rPr>
                <w:sz w:val="16"/>
              </w:rPr>
            </w:pPr>
            <w:r>
              <w:rPr>
                <w:sz w:val="16"/>
              </w:rPr>
              <w:t>Dollar</w:t>
            </w:r>
            <w:r>
              <w:rPr>
                <w:spacing w:val="-3"/>
                <w:sz w:val="16"/>
              </w:rPr>
              <w:t> </w:t>
            </w:r>
            <w:r>
              <w:rPr>
                <w:sz w:val="16"/>
              </w:rPr>
              <w:t>Value</w:t>
            </w:r>
            <w:r>
              <w:rPr>
                <w:spacing w:val="-1"/>
                <w:sz w:val="16"/>
              </w:rPr>
              <w:t> </w:t>
            </w:r>
            <w:r>
              <w:rPr>
                <w:spacing w:val="-5"/>
                <w:sz w:val="16"/>
              </w:rPr>
              <w:t>of</w:t>
            </w:r>
          </w:p>
        </w:tc>
      </w:tr>
      <w:tr>
        <w:trPr>
          <w:trHeight w:val="160" w:hRule="atLeast"/>
        </w:trPr>
        <w:tc>
          <w:tcPr>
            <w:tcW w:w="7378" w:type="dxa"/>
            <w:gridSpan w:val="3"/>
            <w:vMerge/>
            <w:tcBorders>
              <w:top w:val="nil"/>
            </w:tcBorders>
          </w:tcPr>
          <w:p>
            <w:pPr>
              <w:rPr>
                <w:sz w:val="2"/>
                <w:szCs w:val="2"/>
              </w:rPr>
            </w:pPr>
          </w:p>
        </w:tc>
        <w:tc>
          <w:tcPr>
            <w:tcW w:w="1468" w:type="dxa"/>
          </w:tcPr>
          <w:p>
            <w:pPr>
              <w:pStyle w:val="TableParagraph"/>
              <w:spacing w:line="140" w:lineRule="exact"/>
              <w:ind w:left="177"/>
              <w:rPr>
                <w:sz w:val="16"/>
              </w:rPr>
            </w:pPr>
            <w:r>
              <w:rPr>
                <w:sz w:val="16"/>
              </w:rPr>
              <w:t>Total</w:t>
            </w:r>
            <w:r>
              <w:rPr>
                <w:spacing w:val="-3"/>
                <w:sz w:val="16"/>
              </w:rPr>
              <w:t> </w:t>
            </w:r>
            <w:r>
              <w:rPr>
                <w:sz w:val="16"/>
              </w:rPr>
              <w:t>Number</w:t>
            </w:r>
            <w:r>
              <w:rPr>
                <w:spacing w:val="-1"/>
                <w:sz w:val="16"/>
              </w:rPr>
              <w:t> </w:t>
            </w:r>
            <w:r>
              <w:rPr>
                <w:spacing w:val="-5"/>
                <w:sz w:val="16"/>
              </w:rPr>
              <w:t>of</w:t>
            </w:r>
          </w:p>
        </w:tc>
        <w:tc>
          <w:tcPr>
            <w:tcW w:w="1413" w:type="dxa"/>
          </w:tcPr>
          <w:p>
            <w:pPr>
              <w:pStyle w:val="TableParagraph"/>
              <w:spacing w:line="140" w:lineRule="exact"/>
              <w:ind w:left="170"/>
              <w:rPr>
                <w:sz w:val="16"/>
              </w:rPr>
            </w:pPr>
            <w:r>
              <w:rPr>
                <w:sz w:val="16"/>
              </w:rPr>
              <w:t>Shares</w:t>
            </w:r>
            <w:r>
              <w:rPr>
                <w:spacing w:val="-4"/>
                <w:sz w:val="16"/>
              </w:rPr>
              <w:t> </w:t>
            </w:r>
            <w:r>
              <w:rPr>
                <w:sz w:val="16"/>
              </w:rPr>
              <w:t>That</w:t>
            </w:r>
            <w:r>
              <w:rPr>
                <w:spacing w:val="-1"/>
                <w:sz w:val="16"/>
              </w:rPr>
              <w:t> </w:t>
            </w:r>
            <w:r>
              <w:rPr>
                <w:spacing w:val="-5"/>
                <w:sz w:val="16"/>
              </w:rPr>
              <w:t>May</w:t>
            </w:r>
          </w:p>
        </w:tc>
      </w:tr>
      <w:tr>
        <w:trPr>
          <w:trHeight w:val="160" w:hRule="atLeast"/>
        </w:trPr>
        <w:tc>
          <w:tcPr>
            <w:tcW w:w="7378" w:type="dxa"/>
            <w:gridSpan w:val="3"/>
            <w:vMerge/>
            <w:tcBorders>
              <w:top w:val="nil"/>
            </w:tcBorders>
          </w:tcPr>
          <w:p>
            <w:pPr>
              <w:rPr>
                <w:sz w:val="2"/>
                <w:szCs w:val="2"/>
              </w:rPr>
            </w:pPr>
          </w:p>
        </w:tc>
        <w:tc>
          <w:tcPr>
            <w:tcW w:w="1468" w:type="dxa"/>
          </w:tcPr>
          <w:p>
            <w:pPr>
              <w:pStyle w:val="TableParagraph"/>
              <w:spacing w:line="140" w:lineRule="exact"/>
              <w:ind w:left="152"/>
              <w:rPr>
                <w:sz w:val="16"/>
              </w:rPr>
            </w:pPr>
            <w:r>
              <w:rPr>
                <w:sz w:val="16"/>
              </w:rPr>
              <w:t>Shares</w:t>
            </w:r>
            <w:r>
              <w:rPr>
                <w:spacing w:val="-4"/>
                <w:sz w:val="16"/>
              </w:rPr>
              <w:t> </w:t>
            </w:r>
            <w:r>
              <w:rPr>
                <w:spacing w:val="-2"/>
                <w:sz w:val="16"/>
              </w:rPr>
              <w:t>Purchased</w:t>
            </w:r>
          </w:p>
        </w:tc>
        <w:tc>
          <w:tcPr>
            <w:tcW w:w="1413" w:type="dxa"/>
          </w:tcPr>
          <w:p>
            <w:pPr>
              <w:pStyle w:val="TableParagraph"/>
              <w:spacing w:line="140" w:lineRule="exact"/>
              <w:ind w:left="143"/>
              <w:rPr>
                <w:sz w:val="16"/>
              </w:rPr>
            </w:pPr>
            <w:r>
              <w:rPr>
                <w:sz w:val="16"/>
              </w:rPr>
              <w:t>Yet</w:t>
            </w:r>
            <w:r>
              <w:rPr>
                <w:spacing w:val="-1"/>
                <w:sz w:val="16"/>
              </w:rPr>
              <w:t> </w:t>
            </w:r>
            <w:r>
              <w:rPr>
                <w:sz w:val="16"/>
              </w:rPr>
              <w:t>Be </w:t>
            </w:r>
            <w:r>
              <w:rPr>
                <w:spacing w:val="-2"/>
                <w:sz w:val="16"/>
              </w:rPr>
              <w:t>Purchased</w:t>
            </w:r>
          </w:p>
        </w:tc>
      </w:tr>
      <w:tr>
        <w:trPr>
          <w:trHeight w:val="160" w:hRule="atLeast"/>
        </w:trPr>
        <w:tc>
          <w:tcPr>
            <w:tcW w:w="7378" w:type="dxa"/>
            <w:gridSpan w:val="3"/>
            <w:vMerge/>
            <w:tcBorders>
              <w:top w:val="nil"/>
            </w:tcBorders>
          </w:tcPr>
          <w:p>
            <w:pPr>
              <w:rPr>
                <w:sz w:val="2"/>
                <w:szCs w:val="2"/>
              </w:rPr>
            </w:pPr>
          </w:p>
        </w:tc>
        <w:tc>
          <w:tcPr>
            <w:tcW w:w="1468" w:type="dxa"/>
          </w:tcPr>
          <w:p>
            <w:pPr>
              <w:pStyle w:val="TableParagraph"/>
              <w:spacing w:line="140" w:lineRule="exact"/>
              <w:ind w:left="126"/>
              <w:rPr>
                <w:sz w:val="16"/>
              </w:rPr>
            </w:pPr>
            <w:r>
              <w:rPr>
                <w:sz w:val="16"/>
              </w:rPr>
              <w:t>as</w:t>
            </w:r>
            <w:r>
              <w:rPr>
                <w:spacing w:val="-2"/>
                <w:sz w:val="16"/>
              </w:rPr>
              <w:t> </w:t>
            </w:r>
            <w:r>
              <w:rPr>
                <w:sz w:val="16"/>
              </w:rPr>
              <w:t>Part of </w:t>
            </w:r>
            <w:r>
              <w:rPr>
                <w:spacing w:val="-2"/>
                <w:sz w:val="16"/>
              </w:rPr>
              <w:t>Publicly</w:t>
            </w:r>
          </w:p>
        </w:tc>
        <w:tc>
          <w:tcPr>
            <w:tcW w:w="1413" w:type="dxa"/>
          </w:tcPr>
          <w:p>
            <w:pPr>
              <w:pStyle w:val="TableParagraph"/>
              <w:spacing w:line="140" w:lineRule="exact"/>
              <w:ind w:left="112"/>
              <w:rPr>
                <w:sz w:val="16"/>
              </w:rPr>
            </w:pPr>
            <w:r>
              <w:rPr>
                <w:sz w:val="16"/>
              </w:rPr>
              <w:t>Under</w:t>
            </w:r>
            <w:r>
              <w:rPr>
                <w:spacing w:val="-1"/>
                <w:sz w:val="16"/>
              </w:rPr>
              <w:t> </w:t>
            </w:r>
            <w:r>
              <w:rPr>
                <w:sz w:val="16"/>
              </w:rPr>
              <w:t>the </w:t>
            </w:r>
            <w:r>
              <w:rPr>
                <w:spacing w:val="-2"/>
                <w:sz w:val="16"/>
              </w:rPr>
              <w:t>Publicly</w:t>
            </w:r>
          </w:p>
        </w:tc>
      </w:tr>
      <w:tr>
        <w:trPr>
          <w:trHeight w:val="160" w:hRule="atLeast"/>
        </w:trPr>
        <w:tc>
          <w:tcPr>
            <w:tcW w:w="3229" w:type="dxa"/>
          </w:tcPr>
          <w:p>
            <w:pPr>
              <w:pStyle w:val="TableParagraph"/>
              <w:rPr>
                <w:sz w:val="10"/>
              </w:rPr>
            </w:pPr>
          </w:p>
        </w:tc>
        <w:tc>
          <w:tcPr>
            <w:tcW w:w="2651" w:type="dxa"/>
          </w:tcPr>
          <w:p>
            <w:pPr>
              <w:pStyle w:val="TableParagraph"/>
              <w:spacing w:line="140" w:lineRule="exact"/>
              <w:ind w:right="187"/>
              <w:jc w:val="right"/>
              <w:rPr>
                <w:sz w:val="16"/>
              </w:rPr>
            </w:pPr>
            <w:r>
              <w:rPr>
                <w:sz w:val="16"/>
              </w:rPr>
              <w:t>Total</w:t>
            </w:r>
            <w:r>
              <w:rPr>
                <w:spacing w:val="-3"/>
                <w:sz w:val="16"/>
              </w:rPr>
              <w:t> </w:t>
            </w:r>
            <w:r>
              <w:rPr>
                <w:sz w:val="16"/>
              </w:rPr>
              <w:t>Number</w:t>
            </w:r>
            <w:r>
              <w:rPr>
                <w:spacing w:val="-1"/>
                <w:sz w:val="16"/>
              </w:rPr>
              <w:t> </w:t>
            </w:r>
            <w:r>
              <w:rPr>
                <w:spacing w:val="-5"/>
                <w:sz w:val="16"/>
              </w:rPr>
              <w:t>of</w:t>
            </w:r>
          </w:p>
        </w:tc>
        <w:tc>
          <w:tcPr>
            <w:tcW w:w="1498" w:type="dxa"/>
          </w:tcPr>
          <w:p>
            <w:pPr>
              <w:pStyle w:val="TableParagraph"/>
              <w:spacing w:line="140" w:lineRule="exact"/>
              <w:ind w:right="10"/>
              <w:jc w:val="center"/>
              <w:rPr>
                <w:sz w:val="16"/>
              </w:rPr>
            </w:pPr>
            <w:r>
              <w:rPr>
                <w:sz w:val="16"/>
              </w:rPr>
              <w:t>Average</w:t>
            </w:r>
            <w:r>
              <w:rPr>
                <w:spacing w:val="-3"/>
                <w:sz w:val="16"/>
              </w:rPr>
              <w:t> </w:t>
            </w:r>
            <w:r>
              <w:rPr>
                <w:sz w:val="16"/>
              </w:rPr>
              <w:t>Price</w:t>
            </w:r>
            <w:r>
              <w:rPr>
                <w:spacing w:val="-1"/>
                <w:sz w:val="16"/>
              </w:rPr>
              <w:t> </w:t>
            </w:r>
            <w:r>
              <w:rPr>
                <w:spacing w:val="-4"/>
                <w:sz w:val="16"/>
              </w:rPr>
              <w:t>Paid</w:t>
            </w:r>
          </w:p>
        </w:tc>
        <w:tc>
          <w:tcPr>
            <w:tcW w:w="1468" w:type="dxa"/>
          </w:tcPr>
          <w:p>
            <w:pPr>
              <w:pStyle w:val="TableParagraph"/>
              <w:spacing w:line="140" w:lineRule="exact"/>
              <w:ind w:left="345"/>
              <w:rPr>
                <w:sz w:val="16"/>
              </w:rPr>
            </w:pPr>
            <w:r>
              <w:rPr>
                <w:spacing w:val="-2"/>
                <w:sz w:val="16"/>
              </w:rPr>
              <w:t>Announced</w:t>
            </w:r>
          </w:p>
        </w:tc>
        <w:tc>
          <w:tcPr>
            <w:tcW w:w="1413" w:type="dxa"/>
          </w:tcPr>
          <w:p>
            <w:pPr>
              <w:pStyle w:val="TableParagraph"/>
              <w:spacing w:line="140" w:lineRule="exact"/>
              <w:ind w:left="347"/>
              <w:rPr>
                <w:sz w:val="16"/>
              </w:rPr>
            </w:pPr>
            <w:r>
              <w:rPr>
                <w:spacing w:val="-2"/>
                <w:sz w:val="16"/>
              </w:rPr>
              <w:t>Announced</w:t>
            </w:r>
          </w:p>
        </w:tc>
      </w:tr>
      <w:tr>
        <w:trPr>
          <w:trHeight w:val="193" w:hRule="atLeast"/>
        </w:trPr>
        <w:tc>
          <w:tcPr>
            <w:tcW w:w="3229" w:type="dxa"/>
            <w:tcBorders>
              <w:bottom w:val="single" w:sz="4" w:space="0" w:color="000000"/>
            </w:tcBorders>
          </w:tcPr>
          <w:p>
            <w:pPr>
              <w:pStyle w:val="TableParagraph"/>
              <w:spacing w:line="169" w:lineRule="exact"/>
              <w:ind w:left="52"/>
              <w:rPr>
                <w:sz w:val="16"/>
              </w:rPr>
            </w:pPr>
            <w:r>
              <w:rPr>
                <w:spacing w:val="-2"/>
                <w:sz w:val="16"/>
              </w:rPr>
              <w:t>Month</w:t>
            </w:r>
          </w:p>
        </w:tc>
        <w:tc>
          <w:tcPr>
            <w:tcW w:w="2651" w:type="dxa"/>
            <w:tcBorders>
              <w:bottom w:val="single" w:sz="4" w:space="0" w:color="000000"/>
            </w:tcBorders>
          </w:tcPr>
          <w:p>
            <w:pPr>
              <w:pStyle w:val="TableParagraph"/>
              <w:spacing w:line="169" w:lineRule="exact"/>
              <w:ind w:right="163"/>
              <w:jc w:val="right"/>
              <w:rPr>
                <w:sz w:val="16"/>
              </w:rPr>
            </w:pPr>
            <w:r>
              <w:rPr>
                <w:sz w:val="16"/>
              </w:rPr>
              <w:t>Shares</w:t>
            </w:r>
            <w:r>
              <w:rPr>
                <w:spacing w:val="-4"/>
                <w:sz w:val="16"/>
              </w:rPr>
              <w:t> </w:t>
            </w:r>
            <w:r>
              <w:rPr>
                <w:spacing w:val="-2"/>
                <w:sz w:val="16"/>
              </w:rPr>
              <w:t>Purchased</w:t>
            </w:r>
          </w:p>
        </w:tc>
        <w:tc>
          <w:tcPr>
            <w:tcW w:w="1498" w:type="dxa"/>
            <w:tcBorders>
              <w:bottom w:val="single" w:sz="4" w:space="0" w:color="000000"/>
            </w:tcBorders>
          </w:tcPr>
          <w:p>
            <w:pPr>
              <w:pStyle w:val="TableParagraph"/>
              <w:spacing w:line="169" w:lineRule="exact"/>
              <w:ind w:right="10"/>
              <w:jc w:val="center"/>
              <w:rPr>
                <w:sz w:val="16"/>
              </w:rPr>
            </w:pPr>
            <w:r>
              <w:rPr>
                <w:sz w:val="16"/>
              </w:rPr>
              <w:t>per </w:t>
            </w:r>
            <w:r>
              <w:rPr>
                <w:spacing w:val="-2"/>
                <w:sz w:val="16"/>
              </w:rPr>
              <w:t>Share</w:t>
            </w:r>
          </w:p>
        </w:tc>
        <w:tc>
          <w:tcPr>
            <w:tcW w:w="1468" w:type="dxa"/>
            <w:tcBorders>
              <w:bottom w:val="single" w:sz="4" w:space="0" w:color="000000"/>
            </w:tcBorders>
          </w:tcPr>
          <w:p>
            <w:pPr>
              <w:pStyle w:val="TableParagraph"/>
              <w:spacing w:line="169" w:lineRule="exact"/>
              <w:ind w:left="439"/>
              <w:rPr>
                <w:sz w:val="16"/>
              </w:rPr>
            </w:pPr>
            <w:r>
              <w:rPr>
                <w:spacing w:val="-2"/>
                <w:sz w:val="16"/>
              </w:rPr>
              <w:t>Program</w:t>
            </w:r>
          </w:p>
        </w:tc>
        <w:tc>
          <w:tcPr>
            <w:tcW w:w="1413" w:type="dxa"/>
            <w:tcBorders>
              <w:bottom w:val="single" w:sz="4" w:space="0" w:color="000000"/>
            </w:tcBorders>
          </w:tcPr>
          <w:p>
            <w:pPr>
              <w:pStyle w:val="TableParagraph"/>
              <w:spacing w:line="169" w:lineRule="exact"/>
              <w:ind w:left="441"/>
              <w:rPr>
                <w:sz w:val="16"/>
              </w:rPr>
            </w:pPr>
            <w:r>
              <w:rPr>
                <w:spacing w:val="-2"/>
                <w:sz w:val="16"/>
              </w:rPr>
              <w:t>Program</w:t>
            </w:r>
          </w:p>
        </w:tc>
      </w:tr>
      <w:tr>
        <w:trPr>
          <w:trHeight w:val="235" w:hRule="atLeast"/>
        </w:trPr>
        <w:tc>
          <w:tcPr>
            <w:tcW w:w="3229" w:type="dxa"/>
            <w:tcBorders>
              <w:top w:val="single" w:sz="4" w:space="0" w:color="000000"/>
            </w:tcBorders>
          </w:tcPr>
          <w:p>
            <w:pPr>
              <w:pStyle w:val="TableParagraph"/>
              <w:spacing w:before="21"/>
              <w:ind w:left="52"/>
              <w:rPr>
                <w:sz w:val="16"/>
              </w:rPr>
            </w:pPr>
            <w:r>
              <w:rPr>
                <w:spacing w:val="-2"/>
                <w:sz w:val="16"/>
              </w:rPr>
              <w:t>July:</w:t>
            </w:r>
          </w:p>
        </w:tc>
        <w:tc>
          <w:tcPr>
            <w:tcW w:w="2651" w:type="dxa"/>
            <w:tcBorders>
              <w:top w:val="single" w:sz="4" w:space="0" w:color="000000"/>
            </w:tcBorders>
          </w:tcPr>
          <w:p>
            <w:pPr>
              <w:pStyle w:val="TableParagraph"/>
              <w:rPr>
                <w:sz w:val="16"/>
              </w:rPr>
            </w:pPr>
          </w:p>
        </w:tc>
        <w:tc>
          <w:tcPr>
            <w:tcW w:w="1498" w:type="dxa"/>
            <w:tcBorders>
              <w:top w:val="single" w:sz="4" w:space="0" w:color="000000"/>
            </w:tcBorders>
          </w:tcPr>
          <w:p>
            <w:pPr>
              <w:pStyle w:val="TableParagraph"/>
              <w:rPr>
                <w:sz w:val="16"/>
              </w:rPr>
            </w:pPr>
          </w:p>
        </w:tc>
        <w:tc>
          <w:tcPr>
            <w:tcW w:w="1468" w:type="dxa"/>
            <w:tcBorders>
              <w:top w:val="single" w:sz="4" w:space="0" w:color="000000"/>
            </w:tcBorders>
          </w:tcPr>
          <w:p>
            <w:pPr>
              <w:pStyle w:val="TableParagraph"/>
              <w:rPr>
                <w:sz w:val="16"/>
              </w:rPr>
            </w:pPr>
          </w:p>
        </w:tc>
        <w:tc>
          <w:tcPr>
            <w:tcW w:w="1413" w:type="dxa"/>
            <w:tcBorders>
              <w:top w:val="single" w:sz="4" w:space="0" w:color="000000"/>
            </w:tcBorders>
          </w:tcPr>
          <w:p>
            <w:pPr>
              <w:pStyle w:val="TableParagraph"/>
              <w:rPr>
                <w:sz w:val="16"/>
              </w:rPr>
            </w:pPr>
          </w:p>
        </w:tc>
      </w:tr>
      <w:tr>
        <w:trPr>
          <w:trHeight w:val="240" w:hRule="atLeast"/>
        </w:trPr>
        <w:tc>
          <w:tcPr>
            <w:tcW w:w="3229" w:type="dxa"/>
            <w:shd w:val="clear" w:color="auto" w:fill="CCEDFF"/>
          </w:tcPr>
          <w:p>
            <w:pPr>
              <w:pStyle w:val="TableParagraph"/>
              <w:spacing w:before="26"/>
              <w:ind w:right="1360"/>
              <w:jc w:val="right"/>
              <w:rPr>
                <w:sz w:val="16"/>
              </w:rPr>
            </w:pPr>
            <w:r>
              <w:rPr>
                <w:sz w:val="16"/>
              </w:rPr>
              <w:t>Share</w:t>
            </w:r>
            <w:r>
              <w:rPr>
                <w:spacing w:val="-1"/>
                <w:sz w:val="16"/>
              </w:rPr>
              <w:t> </w:t>
            </w:r>
            <w:r>
              <w:rPr>
                <w:sz w:val="16"/>
              </w:rPr>
              <w:t>repurchase</w:t>
            </w:r>
            <w:r>
              <w:rPr>
                <w:spacing w:val="-1"/>
                <w:sz w:val="16"/>
              </w:rPr>
              <w:t> </w:t>
            </w:r>
            <w:r>
              <w:rPr>
                <w:spacing w:val="-2"/>
                <w:sz w:val="16"/>
              </w:rPr>
              <w:t>program</w:t>
            </w:r>
          </w:p>
        </w:tc>
        <w:tc>
          <w:tcPr>
            <w:tcW w:w="2651" w:type="dxa"/>
            <w:shd w:val="clear" w:color="auto" w:fill="CCEDFF"/>
          </w:tcPr>
          <w:p>
            <w:pPr>
              <w:pStyle w:val="TableParagraph"/>
              <w:spacing w:before="26"/>
              <w:ind w:right="96"/>
              <w:jc w:val="right"/>
              <w:rPr>
                <w:sz w:val="16"/>
              </w:rPr>
            </w:pPr>
            <w:r>
              <w:rPr>
                <w:spacing w:val="-10"/>
                <w:sz w:val="16"/>
              </w:rPr>
              <w:t>—</w:t>
            </w:r>
          </w:p>
        </w:tc>
        <w:tc>
          <w:tcPr>
            <w:tcW w:w="1498" w:type="dxa"/>
            <w:shd w:val="clear" w:color="auto" w:fill="CCEDFF"/>
          </w:tcPr>
          <w:p>
            <w:pPr>
              <w:pStyle w:val="TableParagraph"/>
              <w:tabs>
                <w:tab w:pos="1113" w:val="left" w:leader="none"/>
              </w:tabs>
              <w:spacing w:before="26"/>
              <w:ind w:right="26"/>
              <w:jc w:val="center"/>
              <w:rPr>
                <w:sz w:val="16"/>
              </w:rPr>
            </w:pPr>
            <w:r>
              <w:rPr>
                <w:spacing w:val="-10"/>
                <w:sz w:val="16"/>
              </w:rPr>
              <w:t>$</w:t>
            </w:r>
            <w:r>
              <w:rPr>
                <w:sz w:val="16"/>
              </w:rPr>
              <w:tab/>
            </w:r>
            <w:r>
              <w:rPr>
                <w:spacing w:val="-10"/>
                <w:sz w:val="16"/>
              </w:rPr>
              <w:t>—</w:t>
            </w:r>
          </w:p>
        </w:tc>
        <w:tc>
          <w:tcPr>
            <w:tcW w:w="1468" w:type="dxa"/>
            <w:shd w:val="clear" w:color="auto" w:fill="CCEDFF"/>
          </w:tcPr>
          <w:p>
            <w:pPr>
              <w:pStyle w:val="TableParagraph"/>
              <w:spacing w:before="26"/>
              <w:ind w:right="122"/>
              <w:jc w:val="right"/>
              <w:rPr>
                <w:sz w:val="16"/>
              </w:rPr>
            </w:pPr>
            <w:r>
              <w:rPr>
                <w:spacing w:val="-10"/>
                <w:sz w:val="16"/>
              </w:rPr>
              <w:t>—</w:t>
            </w:r>
          </w:p>
        </w:tc>
        <w:tc>
          <w:tcPr>
            <w:tcW w:w="1413" w:type="dxa"/>
            <w:shd w:val="clear" w:color="auto" w:fill="CCEDFF"/>
          </w:tcPr>
          <w:p>
            <w:pPr>
              <w:pStyle w:val="TableParagraph"/>
              <w:tabs>
                <w:tab w:pos="985" w:val="left" w:leader="none"/>
              </w:tabs>
              <w:spacing w:before="26"/>
              <w:ind w:left="71"/>
              <w:rPr>
                <w:sz w:val="16"/>
              </w:rPr>
            </w:pPr>
            <w:r>
              <w:rPr>
                <w:spacing w:val="-10"/>
                <w:sz w:val="16"/>
              </w:rPr>
              <w:t>$</w:t>
            </w:r>
            <w:r>
              <w:rPr>
                <w:sz w:val="16"/>
              </w:rPr>
              <w:tab/>
            </w:r>
            <w:r>
              <w:rPr>
                <w:spacing w:val="-2"/>
                <w:sz w:val="16"/>
              </w:rPr>
              <w:t>8,723</w:t>
            </w:r>
          </w:p>
        </w:tc>
      </w:tr>
      <w:tr>
        <w:trPr>
          <w:trHeight w:val="240" w:hRule="atLeast"/>
        </w:trPr>
        <w:tc>
          <w:tcPr>
            <w:tcW w:w="3229" w:type="dxa"/>
          </w:tcPr>
          <w:p>
            <w:pPr>
              <w:pStyle w:val="TableParagraph"/>
              <w:spacing w:before="26"/>
              <w:ind w:left="187"/>
              <w:rPr>
                <w:sz w:val="16"/>
              </w:rPr>
            </w:pPr>
            <w:r>
              <w:rPr>
                <w:sz w:val="16"/>
              </w:rPr>
              <w:t>Employee</w:t>
            </w:r>
            <w:r>
              <w:rPr>
                <w:spacing w:val="-2"/>
                <w:sz w:val="16"/>
              </w:rPr>
              <w:t> </w:t>
            </w:r>
            <w:r>
              <w:rPr>
                <w:sz w:val="16"/>
              </w:rPr>
              <w:t>transactions</w:t>
            </w:r>
            <w:r>
              <w:rPr>
                <w:spacing w:val="-1"/>
                <w:sz w:val="16"/>
              </w:rPr>
              <w:t> </w:t>
            </w:r>
            <w:r>
              <w:rPr>
                <w:spacing w:val="-5"/>
                <w:sz w:val="16"/>
                <w:vertAlign w:val="superscript"/>
              </w:rPr>
              <w:t>(1)</w:t>
            </w:r>
          </w:p>
        </w:tc>
        <w:tc>
          <w:tcPr>
            <w:tcW w:w="2651" w:type="dxa"/>
          </w:tcPr>
          <w:p>
            <w:pPr>
              <w:pStyle w:val="TableParagraph"/>
              <w:spacing w:before="26"/>
              <w:ind w:right="96"/>
              <w:jc w:val="right"/>
              <w:rPr>
                <w:sz w:val="16"/>
              </w:rPr>
            </w:pPr>
            <w:r>
              <w:rPr>
                <w:spacing w:val="-5"/>
                <w:sz w:val="16"/>
              </w:rPr>
              <w:t>34</w:t>
            </w:r>
          </w:p>
        </w:tc>
        <w:tc>
          <w:tcPr>
            <w:tcW w:w="1498" w:type="dxa"/>
          </w:tcPr>
          <w:p>
            <w:pPr>
              <w:pStyle w:val="TableParagraph"/>
              <w:tabs>
                <w:tab w:pos="913" w:val="left" w:leader="none"/>
              </w:tabs>
              <w:spacing w:before="26"/>
              <w:ind w:right="26"/>
              <w:jc w:val="center"/>
              <w:rPr>
                <w:sz w:val="16"/>
              </w:rPr>
            </w:pPr>
            <w:r>
              <w:rPr>
                <w:spacing w:val="-10"/>
                <w:sz w:val="16"/>
              </w:rPr>
              <w:t>$</w:t>
            </w:r>
            <w:r>
              <w:rPr>
                <w:sz w:val="16"/>
              </w:rPr>
              <w:tab/>
            </w:r>
            <w:r>
              <w:rPr>
                <w:spacing w:val="-2"/>
                <w:sz w:val="16"/>
              </w:rPr>
              <w:t>57.44</w:t>
            </w:r>
          </w:p>
        </w:tc>
        <w:tc>
          <w:tcPr>
            <w:tcW w:w="1468" w:type="dxa"/>
          </w:tcPr>
          <w:p>
            <w:pPr>
              <w:pStyle w:val="TableParagraph"/>
              <w:spacing w:before="26"/>
              <w:ind w:right="68"/>
              <w:jc w:val="right"/>
              <w:rPr>
                <w:sz w:val="16"/>
              </w:rPr>
            </w:pPr>
            <w:r>
              <w:rPr>
                <w:spacing w:val="-5"/>
                <w:sz w:val="16"/>
              </w:rPr>
              <w:t>N/A</w:t>
            </w:r>
          </w:p>
        </w:tc>
        <w:tc>
          <w:tcPr>
            <w:tcW w:w="1413" w:type="dxa"/>
          </w:tcPr>
          <w:p>
            <w:pPr>
              <w:pStyle w:val="TableParagraph"/>
              <w:spacing w:before="26"/>
              <w:ind w:right="11"/>
              <w:jc w:val="right"/>
              <w:rPr>
                <w:sz w:val="16"/>
              </w:rPr>
            </w:pPr>
            <w:r>
              <w:rPr>
                <w:spacing w:val="-5"/>
                <w:sz w:val="16"/>
              </w:rPr>
              <w:t>N/A</w:t>
            </w:r>
          </w:p>
        </w:tc>
      </w:tr>
      <w:tr>
        <w:trPr>
          <w:trHeight w:val="240" w:hRule="atLeast"/>
        </w:trPr>
        <w:tc>
          <w:tcPr>
            <w:tcW w:w="3229" w:type="dxa"/>
            <w:shd w:val="clear" w:color="auto" w:fill="CCEDFF"/>
          </w:tcPr>
          <w:p>
            <w:pPr>
              <w:pStyle w:val="TableParagraph"/>
              <w:spacing w:before="26"/>
              <w:ind w:left="52"/>
              <w:rPr>
                <w:sz w:val="16"/>
              </w:rPr>
            </w:pPr>
            <w:r>
              <w:rPr>
                <w:spacing w:val="-2"/>
                <w:sz w:val="16"/>
              </w:rPr>
              <w:t>August:</w:t>
            </w:r>
          </w:p>
        </w:tc>
        <w:tc>
          <w:tcPr>
            <w:tcW w:w="2651" w:type="dxa"/>
            <w:shd w:val="clear" w:color="auto" w:fill="CCEDFF"/>
          </w:tcPr>
          <w:p>
            <w:pPr>
              <w:pStyle w:val="TableParagraph"/>
              <w:rPr>
                <w:sz w:val="16"/>
              </w:rPr>
            </w:pPr>
          </w:p>
        </w:tc>
        <w:tc>
          <w:tcPr>
            <w:tcW w:w="1498" w:type="dxa"/>
            <w:shd w:val="clear" w:color="auto" w:fill="CCEDFF"/>
          </w:tcPr>
          <w:p>
            <w:pPr>
              <w:pStyle w:val="TableParagraph"/>
              <w:rPr>
                <w:sz w:val="16"/>
              </w:rPr>
            </w:pPr>
          </w:p>
        </w:tc>
        <w:tc>
          <w:tcPr>
            <w:tcW w:w="1468" w:type="dxa"/>
            <w:shd w:val="clear" w:color="auto" w:fill="CCEDFF"/>
          </w:tcPr>
          <w:p>
            <w:pPr>
              <w:pStyle w:val="TableParagraph"/>
              <w:rPr>
                <w:sz w:val="16"/>
              </w:rPr>
            </w:pPr>
          </w:p>
        </w:tc>
        <w:tc>
          <w:tcPr>
            <w:tcW w:w="1413" w:type="dxa"/>
            <w:shd w:val="clear" w:color="auto" w:fill="CCEDFF"/>
          </w:tcPr>
          <w:p>
            <w:pPr>
              <w:pStyle w:val="TableParagraph"/>
              <w:rPr>
                <w:sz w:val="16"/>
              </w:rPr>
            </w:pPr>
          </w:p>
        </w:tc>
      </w:tr>
      <w:tr>
        <w:trPr>
          <w:trHeight w:val="240" w:hRule="atLeast"/>
        </w:trPr>
        <w:tc>
          <w:tcPr>
            <w:tcW w:w="3229" w:type="dxa"/>
          </w:tcPr>
          <w:p>
            <w:pPr>
              <w:pStyle w:val="TableParagraph"/>
              <w:spacing w:before="26"/>
              <w:ind w:right="1360"/>
              <w:jc w:val="right"/>
              <w:rPr>
                <w:sz w:val="16"/>
              </w:rPr>
            </w:pPr>
            <w:r>
              <w:rPr>
                <w:sz w:val="16"/>
              </w:rPr>
              <w:t>Share</w:t>
            </w:r>
            <w:r>
              <w:rPr>
                <w:spacing w:val="-1"/>
                <w:sz w:val="16"/>
              </w:rPr>
              <w:t> </w:t>
            </w:r>
            <w:r>
              <w:rPr>
                <w:sz w:val="16"/>
              </w:rPr>
              <w:t>repurchase</w:t>
            </w:r>
            <w:r>
              <w:rPr>
                <w:spacing w:val="-1"/>
                <w:sz w:val="16"/>
              </w:rPr>
              <w:t> </w:t>
            </w:r>
            <w:r>
              <w:rPr>
                <w:spacing w:val="-2"/>
                <w:sz w:val="16"/>
              </w:rPr>
              <w:t>program</w:t>
            </w:r>
          </w:p>
        </w:tc>
        <w:tc>
          <w:tcPr>
            <w:tcW w:w="2651" w:type="dxa"/>
          </w:tcPr>
          <w:p>
            <w:pPr>
              <w:pStyle w:val="TableParagraph"/>
              <w:spacing w:before="26"/>
              <w:ind w:right="96"/>
              <w:jc w:val="right"/>
              <w:rPr>
                <w:sz w:val="16"/>
              </w:rPr>
            </w:pPr>
            <w:r>
              <w:rPr>
                <w:spacing w:val="-10"/>
                <w:sz w:val="16"/>
              </w:rPr>
              <w:t>—</w:t>
            </w:r>
          </w:p>
        </w:tc>
        <w:tc>
          <w:tcPr>
            <w:tcW w:w="1498" w:type="dxa"/>
          </w:tcPr>
          <w:p>
            <w:pPr>
              <w:pStyle w:val="TableParagraph"/>
              <w:tabs>
                <w:tab w:pos="1113" w:val="left" w:leader="none"/>
              </w:tabs>
              <w:spacing w:before="26"/>
              <w:ind w:right="26"/>
              <w:jc w:val="center"/>
              <w:rPr>
                <w:sz w:val="16"/>
              </w:rPr>
            </w:pPr>
            <w:r>
              <w:rPr>
                <w:spacing w:val="-10"/>
                <w:sz w:val="16"/>
              </w:rPr>
              <w:t>$</w:t>
            </w:r>
            <w:r>
              <w:rPr>
                <w:sz w:val="16"/>
              </w:rPr>
              <w:tab/>
            </w:r>
            <w:r>
              <w:rPr>
                <w:spacing w:val="-10"/>
                <w:sz w:val="16"/>
              </w:rPr>
              <w:t>—</w:t>
            </w:r>
          </w:p>
        </w:tc>
        <w:tc>
          <w:tcPr>
            <w:tcW w:w="1468" w:type="dxa"/>
          </w:tcPr>
          <w:p>
            <w:pPr>
              <w:pStyle w:val="TableParagraph"/>
              <w:spacing w:before="26"/>
              <w:ind w:right="122"/>
              <w:jc w:val="right"/>
              <w:rPr>
                <w:sz w:val="16"/>
              </w:rPr>
            </w:pPr>
            <w:r>
              <w:rPr>
                <w:spacing w:val="-10"/>
                <w:sz w:val="16"/>
              </w:rPr>
              <w:t>—</w:t>
            </w:r>
          </w:p>
        </w:tc>
        <w:tc>
          <w:tcPr>
            <w:tcW w:w="1413" w:type="dxa"/>
          </w:tcPr>
          <w:p>
            <w:pPr>
              <w:pStyle w:val="TableParagraph"/>
              <w:tabs>
                <w:tab w:pos="985" w:val="left" w:leader="none"/>
              </w:tabs>
              <w:spacing w:before="26"/>
              <w:ind w:left="71"/>
              <w:rPr>
                <w:sz w:val="16"/>
              </w:rPr>
            </w:pPr>
            <w:r>
              <w:rPr>
                <w:spacing w:val="-10"/>
                <w:sz w:val="16"/>
              </w:rPr>
              <w:t>$</w:t>
            </w:r>
            <w:r>
              <w:rPr>
                <w:sz w:val="16"/>
              </w:rPr>
              <w:tab/>
            </w:r>
            <w:r>
              <w:rPr>
                <w:spacing w:val="-2"/>
                <w:sz w:val="16"/>
              </w:rPr>
              <w:t>8,723</w:t>
            </w:r>
          </w:p>
        </w:tc>
      </w:tr>
      <w:tr>
        <w:trPr>
          <w:trHeight w:val="240" w:hRule="atLeast"/>
        </w:trPr>
        <w:tc>
          <w:tcPr>
            <w:tcW w:w="3229" w:type="dxa"/>
            <w:shd w:val="clear" w:color="auto" w:fill="CCEDFF"/>
          </w:tcPr>
          <w:p>
            <w:pPr>
              <w:pStyle w:val="TableParagraph"/>
              <w:spacing w:before="26"/>
              <w:ind w:left="187"/>
              <w:rPr>
                <w:sz w:val="16"/>
              </w:rPr>
            </w:pPr>
            <w:r>
              <w:rPr>
                <w:sz w:val="16"/>
              </w:rPr>
              <w:t>Employee</w:t>
            </w:r>
            <w:r>
              <w:rPr>
                <w:spacing w:val="-2"/>
                <w:sz w:val="16"/>
              </w:rPr>
              <w:t> </w:t>
            </w:r>
            <w:r>
              <w:rPr>
                <w:sz w:val="16"/>
              </w:rPr>
              <w:t>transactions</w:t>
            </w:r>
            <w:r>
              <w:rPr>
                <w:spacing w:val="-1"/>
                <w:sz w:val="16"/>
              </w:rPr>
              <w:t> </w:t>
            </w:r>
            <w:r>
              <w:rPr>
                <w:spacing w:val="-5"/>
                <w:sz w:val="16"/>
                <w:vertAlign w:val="superscript"/>
              </w:rPr>
              <w:t>(1)</w:t>
            </w:r>
          </w:p>
        </w:tc>
        <w:tc>
          <w:tcPr>
            <w:tcW w:w="2651" w:type="dxa"/>
            <w:shd w:val="clear" w:color="auto" w:fill="CCEDFF"/>
          </w:tcPr>
          <w:p>
            <w:pPr>
              <w:pStyle w:val="TableParagraph"/>
              <w:spacing w:before="26"/>
              <w:ind w:right="96"/>
              <w:jc w:val="right"/>
              <w:rPr>
                <w:sz w:val="16"/>
              </w:rPr>
            </w:pPr>
            <w:r>
              <w:rPr>
                <w:spacing w:val="-10"/>
                <w:sz w:val="16"/>
              </w:rPr>
              <w:t>5</w:t>
            </w:r>
          </w:p>
        </w:tc>
        <w:tc>
          <w:tcPr>
            <w:tcW w:w="1498" w:type="dxa"/>
            <w:shd w:val="clear" w:color="auto" w:fill="CCEDFF"/>
          </w:tcPr>
          <w:p>
            <w:pPr>
              <w:pStyle w:val="TableParagraph"/>
              <w:tabs>
                <w:tab w:pos="913" w:val="left" w:leader="none"/>
              </w:tabs>
              <w:spacing w:before="26"/>
              <w:ind w:right="26"/>
              <w:jc w:val="center"/>
              <w:rPr>
                <w:sz w:val="16"/>
              </w:rPr>
            </w:pPr>
            <w:r>
              <w:rPr>
                <w:spacing w:val="-10"/>
                <w:sz w:val="16"/>
              </w:rPr>
              <w:t>$</w:t>
            </w:r>
            <w:r>
              <w:rPr>
                <w:sz w:val="16"/>
              </w:rPr>
              <w:tab/>
            </w:r>
            <w:r>
              <w:rPr>
                <w:spacing w:val="-2"/>
                <w:sz w:val="16"/>
              </w:rPr>
              <w:t>65.44</w:t>
            </w:r>
          </w:p>
        </w:tc>
        <w:tc>
          <w:tcPr>
            <w:tcW w:w="1468" w:type="dxa"/>
            <w:shd w:val="clear" w:color="auto" w:fill="CCEDFF"/>
          </w:tcPr>
          <w:p>
            <w:pPr>
              <w:pStyle w:val="TableParagraph"/>
              <w:spacing w:before="26"/>
              <w:ind w:right="68"/>
              <w:jc w:val="right"/>
              <w:rPr>
                <w:sz w:val="16"/>
              </w:rPr>
            </w:pPr>
            <w:r>
              <w:rPr>
                <w:spacing w:val="-5"/>
                <w:sz w:val="16"/>
              </w:rPr>
              <w:t>N/A</w:t>
            </w:r>
          </w:p>
        </w:tc>
        <w:tc>
          <w:tcPr>
            <w:tcW w:w="1413" w:type="dxa"/>
            <w:shd w:val="clear" w:color="auto" w:fill="CCEDFF"/>
          </w:tcPr>
          <w:p>
            <w:pPr>
              <w:pStyle w:val="TableParagraph"/>
              <w:spacing w:before="26"/>
              <w:ind w:right="11"/>
              <w:jc w:val="right"/>
              <w:rPr>
                <w:sz w:val="16"/>
              </w:rPr>
            </w:pPr>
            <w:r>
              <w:rPr>
                <w:spacing w:val="-5"/>
                <w:sz w:val="16"/>
              </w:rPr>
              <w:t>N/A</w:t>
            </w:r>
          </w:p>
        </w:tc>
      </w:tr>
      <w:tr>
        <w:trPr>
          <w:trHeight w:val="240" w:hRule="atLeast"/>
        </w:trPr>
        <w:tc>
          <w:tcPr>
            <w:tcW w:w="3229" w:type="dxa"/>
          </w:tcPr>
          <w:p>
            <w:pPr>
              <w:pStyle w:val="TableParagraph"/>
              <w:spacing w:before="26"/>
              <w:ind w:left="52"/>
              <w:rPr>
                <w:sz w:val="16"/>
              </w:rPr>
            </w:pPr>
            <w:r>
              <w:rPr>
                <w:spacing w:val="-2"/>
                <w:sz w:val="16"/>
              </w:rPr>
              <w:t>September</w:t>
            </w:r>
          </w:p>
        </w:tc>
        <w:tc>
          <w:tcPr>
            <w:tcW w:w="2651" w:type="dxa"/>
          </w:tcPr>
          <w:p>
            <w:pPr>
              <w:pStyle w:val="TableParagraph"/>
              <w:rPr>
                <w:sz w:val="16"/>
              </w:rPr>
            </w:pPr>
          </w:p>
        </w:tc>
        <w:tc>
          <w:tcPr>
            <w:tcW w:w="1498" w:type="dxa"/>
          </w:tcPr>
          <w:p>
            <w:pPr>
              <w:pStyle w:val="TableParagraph"/>
              <w:rPr>
                <w:sz w:val="16"/>
              </w:rPr>
            </w:pPr>
          </w:p>
        </w:tc>
        <w:tc>
          <w:tcPr>
            <w:tcW w:w="1468" w:type="dxa"/>
          </w:tcPr>
          <w:p>
            <w:pPr>
              <w:pStyle w:val="TableParagraph"/>
              <w:rPr>
                <w:sz w:val="16"/>
              </w:rPr>
            </w:pPr>
          </w:p>
        </w:tc>
        <w:tc>
          <w:tcPr>
            <w:tcW w:w="1413" w:type="dxa"/>
          </w:tcPr>
          <w:p>
            <w:pPr>
              <w:pStyle w:val="TableParagraph"/>
              <w:rPr>
                <w:sz w:val="16"/>
              </w:rPr>
            </w:pPr>
          </w:p>
        </w:tc>
      </w:tr>
      <w:tr>
        <w:trPr>
          <w:trHeight w:val="240" w:hRule="atLeast"/>
        </w:trPr>
        <w:tc>
          <w:tcPr>
            <w:tcW w:w="3229" w:type="dxa"/>
            <w:shd w:val="clear" w:color="auto" w:fill="CCEDFF"/>
          </w:tcPr>
          <w:p>
            <w:pPr>
              <w:pStyle w:val="TableParagraph"/>
              <w:spacing w:before="26"/>
              <w:ind w:right="1360"/>
              <w:jc w:val="right"/>
              <w:rPr>
                <w:sz w:val="16"/>
              </w:rPr>
            </w:pPr>
            <w:r>
              <w:rPr>
                <w:sz w:val="16"/>
              </w:rPr>
              <w:t>Share</w:t>
            </w:r>
            <w:r>
              <w:rPr>
                <w:spacing w:val="-1"/>
                <w:sz w:val="16"/>
              </w:rPr>
              <w:t> </w:t>
            </w:r>
            <w:r>
              <w:rPr>
                <w:sz w:val="16"/>
              </w:rPr>
              <w:t>repurchase</w:t>
            </w:r>
            <w:r>
              <w:rPr>
                <w:spacing w:val="-1"/>
                <w:sz w:val="16"/>
              </w:rPr>
              <w:t> </w:t>
            </w:r>
            <w:r>
              <w:rPr>
                <w:spacing w:val="-2"/>
                <w:sz w:val="16"/>
              </w:rPr>
              <w:t>program</w:t>
            </w:r>
          </w:p>
        </w:tc>
        <w:tc>
          <w:tcPr>
            <w:tcW w:w="2651" w:type="dxa"/>
            <w:shd w:val="clear" w:color="auto" w:fill="CCEDFF"/>
          </w:tcPr>
          <w:p>
            <w:pPr>
              <w:pStyle w:val="TableParagraph"/>
              <w:spacing w:before="26"/>
              <w:ind w:right="96"/>
              <w:jc w:val="right"/>
              <w:rPr>
                <w:sz w:val="16"/>
              </w:rPr>
            </w:pPr>
            <w:r>
              <w:rPr>
                <w:spacing w:val="-10"/>
                <w:sz w:val="16"/>
              </w:rPr>
              <w:t>—</w:t>
            </w:r>
          </w:p>
        </w:tc>
        <w:tc>
          <w:tcPr>
            <w:tcW w:w="1498" w:type="dxa"/>
            <w:shd w:val="clear" w:color="auto" w:fill="CCEDFF"/>
          </w:tcPr>
          <w:p>
            <w:pPr>
              <w:pStyle w:val="TableParagraph"/>
              <w:tabs>
                <w:tab w:pos="1113" w:val="left" w:leader="none"/>
              </w:tabs>
              <w:spacing w:before="26"/>
              <w:ind w:right="26"/>
              <w:jc w:val="center"/>
              <w:rPr>
                <w:sz w:val="16"/>
              </w:rPr>
            </w:pPr>
            <w:r>
              <w:rPr>
                <w:spacing w:val="-10"/>
                <w:sz w:val="16"/>
              </w:rPr>
              <w:t>$</w:t>
            </w:r>
            <w:r>
              <w:rPr>
                <w:sz w:val="16"/>
              </w:rPr>
              <w:tab/>
            </w:r>
            <w:r>
              <w:rPr>
                <w:spacing w:val="-10"/>
                <w:sz w:val="16"/>
              </w:rPr>
              <w:t>—</w:t>
            </w:r>
          </w:p>
        </w:tc>
        <w:tc>
          <w:tcPr>
            <w:tcW w:w="1468" w:type="dxa"/>
            <w:shd w:val="clear" w:color="auto" w:fill="CCEDFF"/>
          </w:tcPr>
          <w:p>
            <w:pPr>
              <w:pStyle w:val="TableParagraph"/>
              <w:spacing w:before="26"/>
              <w:ind w:right="122"/>
              <w:jc w:val="right"/>
              <w:rPr>
                <w:sz w:val="16"/>
              </w:rPr>
            </w:pPr>
            <w:r>
              <w:rPr>
                <w:spacing w:val="-10"/>
                <w:sz w:val="16"/>
              </w:rPr>
              <w:t>—</w:t>
            </w:r>
          </w:p>
        </w:tc>
        <w:tc>
          <w:tcPr>
            <w:tcW w:w="1413" w:type="dxa"/>
            <w:shd w:val="clear" w:color="auto" w:fill="CCEDFF"/>
          </w:tcPr>
          <w:p>
            <w:pPr>
              <w:pStyle w:val="TableParagraph"/>
              <w:tabs>
                <w:tab w:pos="985" w:val="left" w:leader="none"/>
              </w:tabs>
              <w:spacing w:before="26"/>
              <w:ind w:left="71"/>
              <w:rPr>
                <w:sz w:val="16"/>
              </w:rPr>
            </w:pPr>
            <w:r>
              <w:rPr>
                <w:spacing w:val="-10"/>
                <w:sz w:val="16"/>
              </w:rPr>
              <w:t>$</w:t>
            </w:r>
            <w:r>
              <w:rPr>
                <w:sz w:val="16"/>
              </w:rPr>
              <w:tab/>
            </w:r>
            <w:r>
              <w:rPr>
                <w:spacing w:val="-2"/>
                <w:sz w:val="16"/>
              </w:rPr>
              <w:t>8,723</w:t>
            </w:r>
          </w:p>
        </w:tc>
      </w:tr>
      <w:tr>
        <w:trPr>
          <w:trHeight w:val="235" w:hRule="atLeast"/>
        </w:trPr>
        <w:tc>
          <w:tcPr>
            <w:tcW w:w="3229" w:type="dxa"/>
            <w:tcBorders>
              <w:bottom w:val="single" w:sz="4" w:space="0" w:color="000000"/>
            </w:tcBorders>
          </w:tcPr>
          <w:p>
            <w:pPr>
              <w:pStyle w:val="TableParagraph"/>
              <w:spacing w:before="26"/>
              <w:ind w:left="187"/>
              <w:rPr>
                <w:sz w:val="16"/>
              </w:rPr>
            </w:pPr>
            <w:r>
              <w:rPr>
                <w:sz w:val="16"/>
              </w:rPr>
              <w:t>Employee</w:t>
            </w:r>
            <w:r>
              <w:rPr>
                <w:spacing w:val="-2"/>
                <w:sz w:val="16"/>
              </w:rPr>
              <w:t> </w:t>
            </w:r>
            <w:r>
              <w:rPr>
                <w:sz w:val="16"/>
              </w:rPr>
              <w:t>transactions</w:t>
            </w:r>
            <w:r>
              <w:rPr>
                <w:spacing w:val="-1"/>
                <w:sz w:val="16"/>
              </w:rPr>
              <w:t> </w:t>
            </w:r>
            <w:r>
              <w:rPr>
                <w:spacing w:val="-5"/>
                <w:sz w:val="16"/>
                <w:vertAlign w:val="superscript"/>
              </w:rPr>
              <w:t>(1)</w:t>
            </w:r>
          </w:p>
        </w:tc>
        <w:tc>
          <w:tcPr>
            <w:tcW w:w="2651" w:type="dxa"/>
            <w:tcBorders>
              <w:bottom w:val="single" w:sz="4" w:space="0" w:color="000000"/>
            </w:tcBorders>
          </w:tcPr>
          <w:p>
            <w:pPr>
              <w:pStyle w:val="TableParagraph"/>
              <w:spacing w:before="26"/>
              <w:ind w:right="96"/>
              <w:jc w:val="right"/>
              <w:rPr>
                <w:sz w:val="16"/>
              </w:rPr>
            </w:pPr>
            <w:r>
              <w:rPr>
                <w:spacing w:val="-5"/>
                <w:sz w:val="16"/>
              </w:rPr>
              <w:t>64</w:t>
            </w:r>
          </w:p>
        </w:tc>
        <w:tc>
          <w:tcPr>
            <w:tcW w:w="1498" w:type="dxa"/>
            <w:tcBorders>
              <w:bottom w:val="single" w:sz="4" w:space="0" w:color="000000"/>
            </w:tcBorders>
          </w:tcPr>
          <w:p>
            <w:pPr>
              <w:pStyle w:val="TableParagraph"/>
              <w:tabs>
                <w:tab w:pos="913" w:val="left" w:leader="none"/>
              </w:tabs>
              <w:spacing w:before="26"/>
              <w:ind w:right="26"/>
              <w:jc w:val="center"/>
              <w:rPr>
                <w:sz w:val="16"/>
              </w:rPr>
            </w:pPr>
            <w:r>
              <w:rPr>
                <w:spacing w:val="-10"/>
                <w:sz w:val="16"/>
              </w:rPr>
              <w:t>$</w:t>
            </w:r>
            <w:r>
              <w:rPr>
                <w:sz w:val="16"/>
              </w:rPr>
              <w:tab/>
            </w:r>
            <w:r>
              <w:rPr>
                <w:spacing w:val="-2"/>
                <w:sz w:val="16"/>
              </w:rPr>
              <w:t>55.32</w:t>
            </w:r>
          </w:p>
        </w:tc>
        <w:tc>
          <w:tcPr>
            <w:tcW w:w="1468" w:type="dxa"/>
            <w:tcBorders>
              <w:bottom w:val="single" w:sz="4" w:space="0" w:color="000000"/>
            </w:tcBorders>
          </w:tcPr>
          <w:p>
            <w:pPr>
              <w:pStyle w:val="TableParagraph"/>
              <w:spacing w:before="26"/>
              <w:ind w:right="68"/>
              <w:jc w:val="right"/>
              <w:rPr>
                <w:sz w:val="16"/>
              </w:rPr>
            </w:pPr>
            <w:r>
              <w:rPr>
                <w:spacing w:val="-5"/>
                <w:sz w:val="16"/>
              </w:rPr>
              <w:t>N/A</w:t>
            </w:r>
          </w:p>
        </w:tc>
        <w:tc>
          <w:tcPr>
            <w:tcW w:w="1413" w:type="dxa"/>
            <w:tcBorders>
              <w:bottom w:val="single" w:sz="4" w:space="0" w:color="000000"/>
            </w:tcBorders>
          </w:tcPr>
          <w:p>
            <w:pPr>
              <w:pStyle w:val="TableParagraph"/>
              <w:spacing w:before="26"/>
              <w:ind w:right="11"/>
              <w:jc w:val="right"/>
              <w:rPr>
                <w:sz w:val="16"/>
              </w:rPr>
            </w:pPr>
            <w:r>
              <w:rPr>
                <w:spacing w:val="-5"/>
                <w:sz w:val="16"/>
              </w:rPr>
              <w:t>N/A</w:t>
            </w:r>
          </w:p>
        </w:tc>
      </w:tr>
      <w:tr>
        <w:trPr>
          <w:trHeight w:val="235" w:hRule="atLeast"/>
        </w:trPr>
        <w:tc>
          <w:tcPr>
            <w:tcW w:w="3229" w:type="dxa"/>
            <w:tcBorders>
              <w:top w:val="single" w:sz="4" w:space="0" w:color="000000"/>
            </w:tcBorders>
            <w:shd w:val="clear" w:color="auto" w:fill="CCEDFF"/>
          </w:tcPr>
          <w:p>
            <w:pPr>
              <w:pStyle w:val="TableParagraph"/>
              <w:spacing w:before="21"/>
              <w:ind w:left="52"/>
              <w:rPr>
                <w:sz w:val="16"/>
              </w:rPr>
            </w:pPr>
            <w:r>
              <w:rPr>
                <w:spacing w:val="-2"/>
                <w:sz w:val="16"/>
              </w:rPr>
              <w:t>Total:</w:t>
            </w:r>
          </w:p>
        </w:tc>
        <w:tc>
          <w:tcPr>
            <w:tcW w:w="2651" w:type="dxa"/>
            <w:tcBorders>
              <w:top w:val="single" w:sz="4" w:space="0" w:color="000000"/>
            </w:tcBorders>
            <w:shd w:val="clear" w:color="auto" w:fill="CCEDFF"/>
          </w:tcPr>
          <w:p>
            <w:pPr>
              <w:pStyle w:val="TableParagraph"/>
              <w:rPr>
                <w:sz w:val="16"/>
              </w:rPr>
            </w:pPr>
          </w:p>
        </w:tc>
        <w:tc>
          <w:tcPr>
            <w:tcW w:w="1498" w:type="dxa"/>
            <w:tcBorders>
              <w:top w:val="single" w:sz="4" w:space="0" w:color="000000"/>
            </w:tcBorders>
            <w:shd w:val="clear" w:color="auto" w:fill="CCEDFF"/>
          </w:tcPr>
          <w:p>
            <w:pPr>
              <w:pStyle w:val="TableParagraph"/>
              <w:rPr>
                <w:sz w:val="16"/>
              </w:rPr>
            </w:pPr>
          </w:p>
        </w:tc>
        <w:tc>
          <w:tcPr>
            <w:tcW w:w="1468" w:type="dxa"/>
            <w:tcBorders>
              <w:top w:val="single" w:sz="4" w:space="0" w:color="000000"/>
            </w:tcBorders>
            <w:shd w:val="clear" w:color="auto" w:fill="CCEDFF"/>
          </w:tcPr>
          <w:p>
            <w:pPr>
              <w:pStyle w:val="TableParagraph"/>
              <w:rPr>
                <w:sz w:val="16"/>
              </w:rPr>
            </w:pPr>
          </w:p>
        </w:tc>
        <w:tc>
          <w:tcPr>
            <w:tcW w:w="1413" w:type="dxa"/>
            <w:tcBorders>
              <w:top w:val="single" w:sz="4" w:space="0" w:color="000000"/>
            </w:tcBorders>
            <w:shd w:val="clear" w:color="auto" w:fill="CCEDFF"/>
          </w:tcPr>
          <w:p>
            <w:pPr>
              <w:pStyle w:val="TableParagraph"/>
              <w:rPr>
                <w:sz w:val="16"/>
              </w:rPr>
            </w:pPr>
          </w:p>
        </w:tc>
      </w:tr>
      <w:tr>
        <w:trPr>
          <w:trHeight w:val="240" w:hRule="atLeast"/>
        </w:trPr>
        <w:tc>
          <w:tcPr>
            <w:tcW w:w="3229" w:type="dxa"/>
          </w:tcPr>
          <w:p>
            <w:pPr>
              <w:pStyle w:val="TableParagraph"/>
              <w:spacing w:before="26"/>
              <w:ind w:right="1360"/>
              <w:jc w:val="right"/>
              <w:rPr>
                <w:sz w:val="16"/>
              </w:rPr>
            </w:pPr>
            <w:r>
              <w:rPr>
                <w:sz w:val="16"/>
              </w:rPr>
              <w:t>Share</w:t>
            </w:r>
            <w:r>
              <w:rPr>
                <w:spacing w:val="-1"/>
                <w:sz w:val="16"/>
              </w:rPr>
              <w:t> </w:t>
            </w:r>
            <w:r>
              <w:rPr>
                <w:sz w:val="16"/>
              </w:rPr>
              <w:t>repurchase</w:t>
            </w:r>
            <w:r>
              <w:rPr>
                <w:spacing w:val="-1"/>
                <w:sz w:val="16"/>
              </w:rPr>
              <w:t> </w:t>
            </w:r>
            <w:r>
              <w:rPr>
                <w:spacing w:val="-2"/>
                <w:sz w:val="16"/>
              </w:rPr>
              <w:t>program</w:t>
            </w:r>
          </w:p>
        </w:tc>
        <w:tc>
          <w:tcPr>
            <w:tcW w:w="2651" w:type="dxa"/>
          </w:tcPr>
          <w:p>
            <w:pPr>
              <w:pStyle w:val="TableParagraph"/>
              <w:spacing w:before="26"/>
              <w:ind w:right="96"/>
              <w:jc w:val="right"/>
              <w:rPr>
                <w:sz w:val="16"/>
              </w:rPr>
            </w:pPr>
            <w:r>
              <w:rPr>
                <w:spacing w:val="-10"/>
                <w:sz w:val="16"/>
              </w:rPr>
              <w:t>—</w:t>
            </w:r>
          </w:p>
        </w:tc>
        <w:tc>
          <w:tcPr>
            <w:tcW w:w="1498" w:type="dxa"/>
          </w:tcPr>
          <w:p>
            <w:pPr>
              <w:pStyle w:val="TableParagraph"/>
              <w:tabs>
                <w:tab w:pos="1113" w:val="left" w:leader="none"/>
              </w:tabs>
              <w:spacing w:before="26"/>
              <w:ind w:right="26"/>
              <w:jc w:val="center"/>
              <w:rPr>
                <w:sz w:val="16"/>
              </w:rPr>
            </w:pPr>
            <w:r>
              <w:rPr>
                <w:spacing w:val="-10"/>
                <w:sz w:val="16"/>
              </w:rPr>
              <w:t>$</w:t>
            </w:r>
            <w:r>
              <w:rPr>
                <w:sz w:val="16"/>
              </w:rPr>
              <w:tab/>
            </w:r>
            <w:r>
              <w:rPr>
                <w:spacing w:val="-10"/>
                <w:sz w:val="16"/>
              </w:rPr>
              <w:t>—</w:t>
            </w:r>
          </w:p>
        </w:tc>
        <w:tc>
          <w:tcPr>
            <w:tcW w:w="1468" w:type="dxa"/>
          </w:tcPr>
          <w:p>
            <w:pPr>
              <w:pStyle w:val="TableParagraph"/>
              <w:spacing w:before="26"/>
              <w:ind w:right="122"/>
              <w:jc w:val="right"/>
              <w:rPr>
                <w:sz w:val="16"/>
              </w:rPr>
            </w:pPr>
            <w:r>
              <w:rPr>
                <w:spacing w:val="-10"/>
                <w:sz w:val="16"/>
              </w:rPr>
              <w:t>—</w:t>
            </w:r>
          </w:p>
        </w:tc>
        <w:tc>
          <w:tcPr>
            <w:tcW w:w="1413" w:type="dxa"/>
          </w:tcPr>
          <w:p>
            <w:pPr>
              <w:pStyle w:val="TableParagraph"/>
              <w:tabs>
                <w:tab w:pos="985" w:val="left" w:leader="none"/>
              </w:tabs>
              <w:spacing w:before="26"/>
              <w:ind w:left="71"/>
              <w:rPr>
                <w:sz w:val="16"/>
              </w:rPr>
            </w:pPr>
            <w:r>
              <w:rPr>
                <w:spacing w:val="-10"/>
                <w:sz w:val="16"/>
              </w:rPr>
              <w:t>$</w:t>
            </w:r>
            <w:r>
              <w:rPr>
                <w:sz w:val="16"/>
              </w:rPr>
              <w:tab/>
            </w:r>
            <w:r>
              <w:rPr>
                <w:spacing w:val="-2"/>
                <w:sz w:val="16"/>
              </w:rPr>
              <w:t>8,723</w:t>
            </w:r>
          </w:p>
        </w:tc>
      </w:tr>
      <w:tr>
        <w:trPr>
          <w:trHeight w:val="250" w:hRule="atLeast"/>
        </w:trPr>
        <w:tc>
          <w:tcPr>
            <w:tcW w:w="3229" w:type="dxa"/>
            <w:tcBorders>
              <w:bottom w:val="single" w:sz="8" w:space="0" w:color="000000"/>
            </w:tcBorders>
            <w:shd w:val="clear" w:color="auto" w:fill="CCEDFF"/>
          </w:tcPr>
          <w:p>
            <w:pPr>
              <w:pStyle w:val="TableParagraph"/>
              <w:spacing w:before="26"/>
              <w:ind w:left="187"/>
              <w:rPr>
                <w:sz w:val="16"/>
              </w:rPr>
            </w:pPr>
            <w:r>
              <w:rPr/>
              <mc:AlternateContent>
                <mc:Choice Requires="wps">
                  <w:drawing>
                    <wp:anchor distT="0" distB="0" distL="0" distR="0" allowOverlap="1" layoutInCell="1" locked="0" behindDoc="1" simplePos="0" relativeHeight="475953664">
                      <wp:simplePos x="0" y="0"/>
                      <wp:positionH relativeFrom="column">
                        <wp:posOffset>0</wp:posOffset>
                      </wp:positionH>
                      <wp:positionV relativeFrom="paragraph">
                        <wp:posOffset>133207</wp:posOffset>
                      </wp:positionV>
                      <wp:extent cx="6515100" cy="12700"/>
                      <wp:effectExtent l="0" t="0" r="0" b="0"/>
                      <wp:wrapNone/>
                      <wp:docPr id="715" name="Group 715"/>
                      <wp:cNvGraphicFramePr>
                        <a:graphicFrameLocks/>
                      </wp:cNvGraphicFramePr>
                      <a:graphic>
                        <a:graphicData uri="http://schemas.microsoft.com/office/word/2010/wordprocessingGroup">
                          <wpg:wgp>
                            <wpg:cNvPr id="715" name="Group 715"/>
                            <wpg:cNvGrpSpPr/>
                            <wpg:grpSpPr>
                              <a:xfrm>
                                <a:off x="0" y="0"/>
                                <a:ext cx="6515100" cy="12700"/>
                                <a:chExt cx="6515100" cy="12700"/>
                              </a:xfrm>
                            </wpg:grpSpPr>
                            <wps:wsp>
                              <wps:cNvPr id="716" name="Graphic 716"/>
                              <wps:cNvSpPr/>
                              <wps:spPr>
                                <a:xfrm>
                                  <a:off x="0" y="0"/>
                                  <a:ext cx="6515100" cy="12700"/>
                                </a:xfrm>
                                <a:custGeom>
                                  <a:avLst/>
                                  <a:gdLst/>
                                  <a:ahLst/>
                                  <a:cxnLst/>
                                  <a:rect l="l" t="t" r="r" b="b"/>
                                  <a:pathLst>
                                    <a:path w="6515100" h="12700">
                                      <a:moveTo>
                                        <a:pt x="0" y="12700"/>
                                      </a:moveTo>
                                      <a:lnTo>
                                        <a:pt x="6515100" y="12700"/>
                                      </a:lnTo>
                                      <a:lnTo>
                                        <a:pt x="6515100" y="0"/>
                                      </a:lnTo>
                                      <a:lnTo>
                                        <a:pt x="0" y="0"/>
                                      </a:lnTo>
                                      <a:lnTo>
                                        <a:pt x="0" y="127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488751pt;width:513pt;height:1pt;mso-position-horizontal-relative:column;mso-position-vertical-relative:paragraph;z-index:-27362816" id="docshapegroup516" coordorigin="0,210" coordsize="10260,20">
                      <v:rect style="position:absolute;left:0;top:209;width:10260;height:20" id="docshape517" filled="true" fillcolor="#000000" stroked="false">
                        <v:fill opacity="0f" type="solid"/>
                      </v:rect>
                      <w10:wrap type="none"/>
                    </v:group>
                  </w:pict>
                </mc:Fallback>
              </mc:AlternateContent>
            </w:r>
            <w:r>
              <w:rPr>
                <w:sz w:val="16"/>
              </w:rPr>
              <w:t>Employee</w:t>
            </w:r>
            <w:r>
              <w:rPr>
                <w:spacing w:val="-2"/>
                <w:sz w:val="16"/>
              </w:rPr>
              <w:t> </w:t>
            </w:r>
            <w:r>
              <w:rPr>
                <w:sz w:val="16"/>
              </w:rPr>
              <w:t>transactions</w:t>
            </w:r>
            <w:r>
              <w:rPr>
                <w:spacing w:val="-1"/>
                <w:sz w:val="16"/>
              </w:rPr>
              <w:t> </w:t>
            </w:r>
            <w:r>
              <w:rPr>
                <w:spacing w:val="-5"/>
                <w:sz w:val="16"/>
                <w:vertAlign w:val="superscript"/>
              </w:rPr>
              <w:t>(1)</w:t>
            </w:r>
          </w:p>
        </w:tc>
        <w:tc>
          <w:tcPr>
            <w:tcW w:w="2651" w:type="dxa"/>
            <w:tcBorders>
              <w:bottom w:val="single" w:sz="8" w:space="0" w:color="000000"/>
            </w:tcBorders>
            <w:shd w:val="clear" w:color="auto" w:fill="CCEDFF"/>
          </w:tcPr>
          <w:p>
            <w:pPr>
              <w:pStyle w:val="TableParagraph"/>
              <w:spacing w:before="26"/>
              <w:ind w:right="96"/>
              <w:jc w:val="right"/>
              <w:rPr>
                <w:sz w:val="16"/>
              </w:rPr>
            </w:pPr>
            <w:r>
              <w:rPr>
                <w:spacing w:val="-5"/>
                <w:sz w:val="16"/>
              </w:rPr>
              <w:t>103</w:t>
            </w:r>
          </w:p>
        </w:tc>
        <w:tc>
          <w:tcPr>
            <w:tcW w:w="1498" w:type="dxa"/>
            <w:tcBorders>
              <w:bottom w:val="single" w:sz="8" w:space="0" w:color="000000"/>
            </w:tcBorders>
            <w:shd w:val="clear" w:color="auto" w:fill="CCEDFF"/>
          </w:tcPr>
          <w:p>
            <w:pPr>
              <w:pStyle w:val="TableParagraph"/>
              <w:tabs>
                <w:tab w:pos="913" w:val="left" w:leader="none"/>
              </w:tabs>
              <w:spacing w:before="26"/>
              <w:ind w:right="26"/>
              <w:jc w:val="center"/>
              <w:rPr>
                <w:sz w:val="16"/>
              </w:rPr>
            </w:pPr>
            <w:r>
              <w:rPr>
                <w:spacing w:val="-10"/>
                <w:sz w:val="16"/>
              </w:rPr>
              <w:t>$</w:t>
            </w:r>
            <w:r>
              <w:rPr>
                <w:sz w:val="16"/>
              </w:rPr>
              <w:tab/>
            </w:r>
            <w:r>
              <w:rPr>
                <w:spacing w:val="-2"/>
                <w:sz w:val="16"/>
              </w:rPr>
              <w:t>56.51</w:t>
            </w:r>
          </w:p>
        </w:tc>
        <w:tc>
          <w:tcPr>
            <w:tcW w:w="1468" w:type="dxa"/>
            <w:tcBorders>
              <w:bottom w:val="single" w:sz="8" w:space="0" w:color="000000"/>
            </w:tcBorders>
            <w:shd w:val="clear" w:color="auto" w:fill="CCEDFF"/>
          </w:tcPr>
          <w:p>
            <w:pPr>
              <w:pStyle w:val="TableParagraph"/>
              <w:spacing w:before="26"/>
              <w:ind w:right="68"/>
              <w:jc w:val="right"/>
              <w:rPr>
                <w:sz w:val="16"/>
              </w:rPr>
            </w:pPr>
            <w:r>
              <w:rPr>
                <w:spacing w:val="-5"/>
                <w:sz w:val="16"/>
              </w:rPr>
              <w:t>N/A</w:t>
            </w:r>
          </w:p>
        </w:tc>
        <w:tc>
          <w:tcPr>
            <w:tcW w:w="1413" w:type="dxa"/>
            <w:tcBorders>
              <w:bottom w:val="single" w:sz="8" w:space="0" w:color="000000"/>
            </w:tcBorders>
            <w:shd w:val="clear" w:color="auto" w:fill="CCEDFF"/>
          </w:tcPr>
          <w:p>
            <w:pPr>
              <w:pStyle w:val="TableParagraph"/>
              <w:spacing w:before="26"/>
              <w:ind w:right="11"/>
              <w:jc w:val="right"/>
              <w:rPr>
                <w:sz w:val="16"/>
              </w:rPr>
            </w:pPr>
            <w:r>
              <w:rPr>
                <w:spacing w:val="-5"/>
                <w:sz w:val="16"/>
              </w:rPr>
              <w:t>N/A</w:t>
            </w:r>
          </w:p>
        </w:tc>
      </w:tr>
    </w:tbl>
    <w:p>
      <w:pPr>
        <w:spacing w:line="249" w:lineRule="auto" w:before="27"/>
        <w:ind w:left="650" w:right="566" w:hanging="180"/>
        <w:jc w:val="left"/>
        <w:rPr>
          <w:sz w:val="16"/>
        </w:rPr>
      </w:pPr>
      <w:r>
        <w:rPr>
          <w:sz w:val="16"/>
          <w:vertAlign w:val="superscript"/>
        </w:rPr>
        <w:t>(1)</w:t>
      </w:r>
      <w:r>
        <w:rPr>
          <w:sz w:val="16"/>
          <w:vertAlign w:val="baseline"/>
        </w:rPr>
        <w:t> Includes restricted shares withheld (under the terms of grants under employee stock incentive plans) to offset tax withholding obligations that occur upon</w:t>
      </w:r>
      <w:r>
        <w:rPr>
          <w:spacing w:val="40"/>
          <w:sz w:val="16"/>
          <w:vertAlign w:val="baseline"/>
        </w:rPr>
        <w:t> </w:t>
      </w:r>
      <w:r>
        <w:rPr>
          <w:sz w:val="16"/>
          <w:vertAlign w:val="baseline"/>
        </w:rPr>
        <w:t>vesting</w:t>
      </w:r>
      <w:r>
        <w:rPr>
          <w:spacing w:val="-2"/>
          <w:sz w:val="16"/>
          <w:vertAlign w:val="baseline"/>
        </w:rPr>
        <w:t> </w:t>
      </w:r>
      <w:r>
        <w:rPr>
          <w:sz w:val="16"/>
          <w:vertAlign w:val="baseline"/>
        </w:rPr>
        <w:t>and</w:t>
      </w:r>
      <w:r>
        <w:rPr>
          <w:spacing w:val="-2"/>
          <w:sz w:val="16"/>
          <w:vertAlign w:val="baseline"/>
        </w:rPr>
        <w:t> </w:t>
      </w:r>
      <w:r>
        <w:rPr>
          <w:sz w:val="16"/>
          <w:vertAlign w:val="baseline"/>
        </w:rPr>
        <w:t>release</w:t>
      </w:r>
      <w:r>
        <w:rPr>
          <w:spacing w:val="-2"/>
          <w:sz w:val="16"/>
          <w:vertAlign w:val="baseline"/>
        </w:rPr>
        <w:t> </w:t>
      </w:r>
      <w:r>
        <w:rPr>
          <w:sz w:val="16"/>
          <w:vertAlign w:val="baseline"/>
        </w:rPr>
        <w:t>of</w:t>
      </w:r>
      <w:r>
        <w:rPr>
          <w:spacing w:val="-2"/>
          <w:sz w:val="16"/>
          <w:vertAlign w:val="baseline"/>
        </w:rPr>
        <w:t> </w:t>
      </w:r>
      <w:r>
        <w:rPr>
          <w:sz w:val="16"/>
          <w:vertAlign w:val="baseline"/>
        </w:rPr>
        <w:t>restricted</w:t>
      </w:r>
      <w:r>
        <w:rPr>
          <w:spacing w:val="-2"/>
          <w:sz w:val="16"/>
          <w:vertAlign w:val="baseline"/>
        </w:rPr>
        <w:t> </w:t>
      </w:r>
      <w:r>
        <w:rPr>
          <w:sz w:val="16"/>
          <w:vertAlign w:val="baseline"/>
        </w:rPr>
        <w:t>shares.</w:t>
      </w:r>
      <w:r>
        <w:rPr>
          <w:spacing w:val="-2"/>
          <w:sz w:val="16"/>
          <w:vertAlign w:val="baseline"/>
        </w:rPr>
        <w:t> </w:t>
      </w:r>
      <w:r>
        <w:rPr>
          <w:sz w:val="16"/>
          <w:vertAlign w:val="baseline"/>
        </w:rPr>
        <w:t>CSC</w:t>
      </w:r>
      <w:r>
        <w:rPr>
          <w:spacing w:val="-2"/>
          <w:sz w:val="16"/>
          <w:vertAlign w:val="baseline"/>
        </w:rPr>
        <w:t> </w:t>
      </w:r>
      <w:r>
        <w:rPr>
          <w:sz w:val="16"/>
          <w:vertAlign w:val="baseline"/>
        </w:rPr>
        <w:t>may</w:t>
      </w:r>
      <w:r>
        <w:rPr>
          <w:spacing w:val="-2"/>
          <w:sz w:val="16"/>
          <w:vertAlign w:val="baseline"/>
        </w:rPr>
        <w:t> </w:t>
      </w:r>
      <w:r>
        <w:rPr>
          <w:sz w:val="16"/>
          <w:vertAlign w:val="baseline"/>
        </w:rPr>
        <w:t>receive</w:t>
      </w:r>
      <w:r>
        <w:rPr>
          <w:spacing w:val="-2"/>
          <w:sz w:val="16"/>
          <w:vertAlign w:val="baseline"/>
        </w:rPr>
        <w:t> </w:t>
      </w:r>
      <w:r>
        <w:rPr>
          <w:sz w:val="16"/>
          <w:vertAlign w:val="baseline"/>
        </w:rPr>
        <w:t>shares</w:t>
      </w:r>
      <w:r>
        <w:rPr>
          <w:spacing w:val="-3"/>
          <w:sz w:val="16"/>
          <w:vertAlign w:val="baseline"/>
        </w:rPr>
        <w:t> </w:t>
      </w:r>
      <w:r>
        <w:rPr>
          <w:sz w:val="16"/>
          <w:vertAlign w:val="baseline"/>
        </w:rPr>
        <w:t>delivered</w:t>
      </w:r>
      <w:r>
        <w:rPr>
          <w:spacing w:val="-2"/>
          <w:sz w:val="16"/>
          <w:vertAlign w:val="baseline"/>
        </w:rPr>
        <w:t> </w:t>
      </w:r>
      <w:r>
        <w:rPr>
          <w:sz w:val="16"/>
          <w:vertAlign w:val="baseline"/>
        </w:rPr>
        <w:t>or</w:t>
      </w:r>
      <w:r>
        <w:rPr>
          <w:spacing w:val="-2"/>
          <w:sz w:val="16"/>
          <w:vertAlign w:val="baseline"/>
        </w:rPr>
        <w:t> </w:t>
      </w:r>
      <w:r>
        <w:rPr>
          <w:sz w:val="16"/>
          <w:vertAlign w:val="baseline"/>
        </w:rPr>
        <w:t>attested</w:t>
      </w:r>
      <w:r>
        <w:rPr>
          <w:spacing w:val="-2"/>
          <w:sz w:val="16"/>
          <w:vertAlign w:val="baseline"/>
        </w:rPr>
        <w:t> </w:t>
      </w:r>
      <w:r>
        <w:rPr>
          <w:sz w:val="16"/>
          <w:vertAlign w:val="baseline"/>
        </w:rPr>
        <w:t>to</w:t>
      </w:r>
      <w:r>
        <w:rPr>
          <w:spacing w:val="-2"/>
          <w:sz w:val="16"/>
          <w:vertAlign w:val="baseline"/>
        </w:rPr>
        <w:t> </w:t>
      </w:r>
      <w:r>
        <w:rPr>
          <w:sz w:val="16"/>
          <w:vertAlign w:val="baseline"/>
        </w:rPr>
        <w:t>pay</w:t>
      </w:r>
      <w:r>
        <w:rPr>
          <w:spacing w:val="-2"/>
          <w:sz w:val="16"/>
          <w:vertAlign w:val="baseline"/>
        </w:rPr>
        <w:t> </w:t>
      </w:r>
      <w:r>
        <w:rPr>
          <w:sz w:val="16"/>
          <w:vertAlign w:val="baseline"/>
        </w:rPr>
        <w:t>the</w:t>
      </w:r>
      <w:r>
        <w:rPr>
          <w:spacing w:val="-2"/>
          <w:sz w:val="16"/>
          <w:vertAlign w:val="baseline"/>
        </w:rPr>
        <w:t> </w:t>
      </w:r>
      <w:r>
        <w:rPr>
          <w:sz w:val="16"/>
          <w:vertAlign w:val="baseline"/>
        </w:rPr>
        <w:t>exercise</w:t>
      </w:r>
      <w:r>
        <w:rPr>
          <w:spacing w:val="-2"/>
          <w:sz w:val="16"/>
          <w:vertAlign w:val="baseline"/>
        </w:rPr>
        <w:t> </w:t>
      </w:r>
      <w:r>
        <w:rPr>
          <w:sz w:val="16"/>
          <w:vertAlign w:val="baseline"/>
        </w:rPr>
        <w:t>price</w:t>
      </w:r>
      <w:r>
        <w:rPr>
          <w:spacing w:val="-2"/>
          <w:sz w:val="16"/>
          <w:vertAlign w:val="baseline"/>
        </w:rPr>
        <w:t> </w:t>
      </w:r>
      <w:r>
        <w:rPr>
          <w:sz w:val="16"/>
          <w:vertAlign w:val="baseline"/>
        </w:rPr>
        <w:t>and/or</w:t>
      </w:r>
      <w:r>
        <w:rPr>
          <w:spacing w:val="-2"/>
          <w:sz w:val="16"/>
          <w:vertAlign w:val="baseline"/>
        </w:rPr>
        <w:t> </w:t>
      </w:r>
      <w:r>
        <w:rPr>
          <w:sz w:val="16"/>
          <w:vertAlign w:val="baseline"/>
        </w:rPr>
        <w:t>to</w:t>
      </w:r>
      <w:r>
        <w:rPr>
          <w:spacing w:val="-2"/>
          <w:sz w:val="16"/>
          <w:vertAlign w:val="baseline"/>
        </w:rPr>
        <w:t> </w:t>
      </w:r>
      <w:r>
        <w:rPr>
          <w:sz w:val="16"/>
          <w:vertAlign w:val="baseline"/>
        </w:rPr>
        <w:t>satisfy</w:t>
      </w:r>
      <w:r>
        <w:rPr>
          <w:spacing w:val="-2"/>
          <w:sz w:val="16"/>
          <w:vertAlign w:val="baseline"/>
        </w:rPr>
        <w:t> </w:t>
      </w:r>
      <w:r>
        <w:rPr>
          <w:sz w:val="16"/>
          <w:vertAlign w:val="baseline"/>
        </w:rPr>
        <w:t>tax</w:t>
      </w:r>
      <w:r>
        <w:rPr>
          <w:spacing w:val="-2"/>
          <w:sz w:val="16"/>
          <w:vertAlign w:val="baseline"/>
        </w:rPr>
        <w:t> </w:t>
      </w:r>
      <w:r>
        <w:rPr>
          <w:sz w:val="16"/>
          <w:vertAlign w:val="baseline"/>
        </w:rPr>
        <w:t>withholding</w:t>
      </w:r>
      <w:r>
        <w:rPr>
          <w:spacing w:val="-2"/>
          <w:sz w:val="16"/>
          <w:vertAlign w:val="baseline"/>
        </w:rPr>
        <w:t> </w:t>
      </w:r>
      <w:r>
        <w:rPr>
          <w:sz w:val="16"/>
          <w:vertAlign w:val="baseline"/>
        </w:rPr>
        <w:t>obligations</w:t>
      </w:r>
      <w:r>
        <w:rPr>
          <w:spacing w:val="40"/>
          <w:sz w:val="16"/>
          <w:vertAlign w:val="baseline"/>
        </w:rPr>
        <w:t> </w:t>
      </w:r>
      <w:r>
        <w:rPr>
          <w:sz w:val="16"/>
          <w:vertAlign w:val="baseline"/>
        </w:rPr>
        <w:t>by employees who exercise stock options granted under employee stock incentive plans, which are commonly referred to as stock swap exercises.</w:t>
      </w:r>
    </w:p>
    <w:p>
      <w:pPr>
        <w:spacing w:before="2"/>
        <w:ind w:left="470" w:right="0" w:firstLine="0"/>
        <w:jc w:val="left"/>
        <w:rPr>
          <w:sz w:val="16"/>
        </w:rPr>
      </w:pPr>
      <w:r>
        <w:rPr>
          <w:sz w:val="16"/>
        </w:rPr>
        <w:t>N/A</w:t>
      </w:r>
      <w:r>
        <w:rPr>
          <w:spacing w:val="-2"/>
          <w:sz w:val="16"/>
        </w:rPr>
        <w:t> </w:t>
      </w:r>
      <w:r>
        <w:rPr>
          <w:sz w:val="16"/>
        </w:rPr>
        <w:t>Not</w:t>
      </w:r>
      <w:r>
        <w:rPr>
          <w:spacing w:val="-1"/>
          <w:sz w:val="16"/>
        </w:rPr>
        <w:t> </w:t>
      </w:r>
      <w:r>
        <w:rPr>
          <w:spacing w:val="-2"/>
          <w:sz w:val="16"/>
        </w:rPr>
        <w:t>applicable.</w:t>
      </w:r>
    </w:p>
    <w:p>
      <w:pPr>
        <w:spacing w:after="0"/>
        <w:jc w:val="left"/>
        <w:rPr>
          <w:sz w:val="16"/>
        </w:rPr>
        <w:sectPr>
          <w:headerReference w:type="default" r:id="rId22"/>
          <w:footerReference w:type="default" r:id="rId23"/>
          <w:pgSz w:w="12240" w:h="15840"/>
          <w:pgMar w:header="467" w:footer="201" w:top="680" w:bottom="400" w:left="520" w:right="520"/>
        </w:sectPr>
      </w:pPr>
    </w:p>
    <w:p>
      <w:pPr>
        <w:pStyle w:val="BodyText"/>
        <w:spacing w:before="200"/>
      </w:pPr>
    </w:p>
    <w:p>
      <w:pPr>
        <w:pStyle w:val="Heading2"/>
        <w:tabs>
          <w:tab w:pos="1369" w:val="left" w:leader="none"/>
        </w:tabs>
      </w:pPr>
      <w:bookmarkStart w:name="Item 3. Defaults Upon Senior Securities" w:id="68"/>
      <w:bookmarkEnd w:id="68"/>
      <w:r>
        <w:rPr>
          <w:b w:val="0"/>
        </w:rPr>
      </w:r>
      <w:bookmarkStart w:name="_bookmark13" w:id="69"/>
      <w:bookmarkEnd w:id="69"/>
      <w:r>
        <w:rPr>
          <w:b w:val="0"/>
        </w:rPr>
      </w:r>
      <w:r>
        <w:rPr/>
        <w:t>Item</w:t>
      </w:r>
      <w:r>
        <w:rPr>
          <w:spacing w:val="-2"/>
        </w:rPr>
        <w:t> </w:t>
      </w:r>
      <w:r>
        <w:rPr>
          <w:spacing w:val="-5"/>
        </w:rPr>
        <w:t>3.</w:t>
      </w:r>
      <w:r>
        <w:rPr/>
        <w:tab/>
        <w:t>Defaults</w:t>
      </w:r>
      <w:r>
        <w:rPr>
          <w:spacing w:val="-5"/>
        </w:rPr>
        <w:t> </w:t>
      </w:r>
      <w:r>
        <w:rPr/>
        <w:t>Upon</w:t>
      </w:r>
      <w:r>
        <w:rPr>
          <w:spacing w:val="-4"/>
        </w:rPr>
        <w:t> </w:t>
      </w:r>
      <w:r>
        <w:rPr/>
        <w:t>Senior</w:t>
      </w:r>
      <w:r>
        <w:rPr>
          <w:spacing w:val="-4"/>
        </w:rPr>
        <w:t> </w:t>
      </w:r>
      <w:r>
        <w:rPr>
          <w:spacing w:val="-2"/>
        </w:rPr>
        <w:t>Securities</w:t>
      </w:r>
    </w:p>
    <w:p>
      <w:pPr>
        <w:pStyle w:val="BodyText"/>
        <w:spacing w:before="23"/>
        <w:rPr>
          <w:b/>
        </w:rPr>
      </w:pPr>
    </w:p>
    <w:p>
      <w:pPr>
        <w:pStyle w:val="BodyText"/>
        <w:ind w:left="470"/>
      </w:pPr>
      <w:r>
        <w:rPr>
          <w:spacing w:val="-2"/>
        </w:rPr>
        <w:t>None.</w:t>
      </w:r>
    </w:p>
    <w:p>
      <w:pPr>
        <w:pStyle w:val="BodyText"/>
      </w:pPr>
    </w:p>
    <w:p>
      <w:pPr>
        <w:pStyle w:val="BodyText"/>
        <w:spacing w:before="27"/>
      </w:pPr>
    </w:p>
    <w:p>
      <w:pPr>
        <w:pStyle w:val="Heading2"/>
        <w:tabs>
          <w:tab w:pos="1369" w:val="left" w:leader="none"/>
        </w:tabs>
      </w:pPr>
      <w:bookmarkStart w:name="Item 4. Mine Safety Disclosures" w:id="70"/>
      <w:bookmarkEnd w:id="70"/>
      <w:r>
        <w:rPr>
          <w:b w:val="0"/>
        </w:rPr>
      </w:r>
      <w:bookmarkStart w:name="_bookmark14" w:id="71"/>
      <w:bookmarkEnd w:id="71"/>
      <w:r>
        <w:rPr>
          <w:b w:val="0"/>
        </w:rPr>
      </w:r>
      <w:r>
        <w:rPr/>
        <w:t>Item</w:t>
      </w:r>
      <w:r>
        <w:rPr>
          <w:spacing w:val="-2"/>
        </w:rPr>
        <w:t> </w:t>
      </w:r>
      <w:r>
        <w:rPr>
          <w:spacing w:val="-5"/>
        </w:rPr>
        <w:t>4.</w:t>
      </w:r>
      <w:r>
        <w:rPr/>
        <w:tab/>
        <w:t>Mine</w:t>
      </w:r>
      <w:r>
        <w:rPr>
          <w:spacing w:val="-4"/>
        </w:rPr>
        <w:t> </w:t>
      </w:r>
      <w:r>
        <w:rPr/>
        <w:t>Safety</w:t>
      </w:r>
      <w:r>
        <w:rPr>
          <w:spacing w:val="-2"/>
        </w:rPr>
        <w:t> Disclosures</w:t>
      </w:r>
    </w:p>
    <w:p>
      <w:pPr>
        <w:pStyle w:val="BodyText"/>
        <w:spacing w:before="23"/>
        <w:rPr>
          <w:b/>
        </w:rPr>
      </w:pPr>
    </w:p>
    <w:p>
      <w:pPr>
        <w:pStyle w:val="BodyText"/>
        <w:ind w:left="470"/>
      </w:pPr>
      <w:r>
        <w:rPr/>
        <w:t>Not</w:t>
      </w:r>
      <w:r>
        <w:rPr>
          <w:spacing w:val="-2"/>
        </w:rPr>
        <w:t> applicable.</w:t>
      </w:r>
    </w:p>
    <w:p>
      <w:pPr>
        <w:pStyle w:val="BodyText"/>
      </w:pPr>
    </w:p>
    <w:p>
      <w:pPr>
        <w:pStyle w:val="BodyText"/>
        <w:spacing w:before="27"/>
      </w:pPr>
    </w:p>
    <w:p>
      <w:pPr>
        <w:pStyle w:val="Heading2"/>
        <w:tabs>
          <w:tab w:pos="1369" w:val="left" w:leader="none"/>
        </w:tabs>
      </w:pPr>
      <w:bookmarkStart w:name="Item 5. Other Information" w:id="72"/>
      <w:bookmarkEnd w:id="72"/>
      <w:r>
        <w:rPr>
          <w:b w:val="0"/>
        </w:rPr>
      </w:r>
      <w:bookmarkStart w:name="_bookmark15" w:id="73"/>
      <w:bookmarkEnd w:id="73"/>
      <w:r>
        <w:rPr>
          <w:b w:val="0"/>
        </w:rPr>
      </w:r>
      <w:r>
        <w:rPr/>
        <w:t>Item</w:t>
      </w:r>
      <w:r>
        <w:rPr>
          <w:spacing w:val="-2"/>
        </w:rPr>
        <w:t> </w:t>
      </w:r>
      <w:r>
        <w:rPr>
          <w:spacing w:val="-5"/>
        </w:rPr>
        <w:t>5.</w:t>
      </w:r>
      <w:r>
        <w:rPr/>
        <w:tab/>
        <w:t>Other</w:t>
      </w:r>
      <w:r>
        <w:rPr>
          <w:spacing w:val="-4"/>
        </w:rPr>
        <w:t> </w:t>
      </w:r>
      <w:r>
        <w:rPr>
          <w:spacing w:val="-2"/>
        </w:rPr>
        <w:t>Information</w:t>
      </w:r>
    </w:p>
    <w:p>
      <w:pPr>
        <w:pStyle w:val="BodyText"/>
        <w:spacing w:before="23"/>
        <w:rPr>
          <w:b/>
        </w:rPr>
      </w:pPr>
    </w:p>
    <w:p>
      <w:pPr>
        <w:pStyle w:val="BodyText"/>
        <w:ind w:left="470" w:right="761"/>
      </w:pPr>
      <w:r>
        <w:rPr/>
        <w:t>During</w:t>
      </w:r>
      <w:r>
        <w:rPr>
          <w:spacing w:val="-3"/>
        </w:rPr>
        <w:t> </w:t>
      </w:r>
      <w:r>
        <w:rPr/>
        <w:t>the</w:t>
      </w:r>
      <w:r>
        <w:rPr>
          <w:spacing w:val="-4"/>
        </w:rPr>
        <w:t> </w:t>
      </w:r>
      <w:r>
        <w:rPr/>
        <w:t>three</w:t>
      </w:r>
      <w:r>
        <w:rPr>
          <w:spacing w:val="-4"/>
        </w:rPr>
        <w:t> </w:t>
      </w:r>
      <w:r>
        <w:rPr/>
        <w:t>months</w:t>
      </w:r>
      <w:r>
        <w:rPr>
          <w:spacing w:val="-4"/>
        </w:rPr>
        <w:t> </w:t>
      </w:r>
      <w:r>
        <w:rPr/>
        <w:t>ended</w:t>
      </w:r>
      <w:r>
        <w:rPr>
          <w:spacing w:val="-3"/>
        </w:rPr>
        <w:t> </w:t>
      </w:r>
      <w:r>
        <w:rPr/>
        <w:t>September</w:t>
      </w:r>
      <w:r>
        <w:rPr>
          <w:spacing w:val="-3"/>
        </w:rPr>
        <w:t> </w:t>
      </w:r>
      <w:r>
        <w:rPr/>
        <w:t>30,</w:t>
      </w:r>
      <w:r>
        <w:rPr>
          <w:spacing w:val="-3"/>
        </w:rPr>
        <w:t> </w:t>
      </w:r>
      <w:r>
        <w:rPr/>
        <w:t>2023,</w:t>
      </w:r>
      <w:r>
        <w:rPr>
          <w:spacing w:val="-3"/>
        </w:rPr>
        <w:t> </w:t>
      </w:r>
      <w:r>
        <w:rPr/>
        <w:t>certain</w:t>
      </w:r>
      <w:r>
        <w:rPr>
          <w:spacing w:val="-3"/>
        </w:rPr>
        <w:t> </w:t>
      </w:r>
      <w:r>
        <w:rPr/>
        <w:t>of</w:t>
      </w:r>
      <w:r>
        <w:rPr>
          <w:spacing w:val="-3"/>
        </w:rPr>
        <w:t> </w:t>
      </w:r>
      <w:r>
        <w:rPr/>
        <w:t>our</w:t>
      </w:r>
      <w:r>
        <w:rPr>
          <w:spacing w:val="-3"/>
        </w:rPr>
        <w:t> </w:t>
      </w:r>
      <w:r>
        <w:rPr/>
        <w:t>officers</w:t>
      </w:r>
      <w:r>
        <w:rPr>
          <w:spacing w:val="-4"/>
        </w:rPr>
        <w:t> </w:t>
      </w:r>
      <w:r>
        <w:rPr/>
        <w:t>and</w:t>
      </w:r>
      <w:r>
        <w:rPr>
          <w:spacing w:val="-3"/>
        </w:rPr>
        <w:t> </w:t>
      </w:r>
      <w:r>
        <w:rPr/>
        <w:t>directors</w:t>
      </w:r>
      <w:r>
        <w:rPr>
          <w:spacing w:val="-4"/>
        </w:rPr>
        <w:t> </w:t>
      </w:r>
      <w:r>
        <w:rPr/>
        <w:t>adopted</w:t>
      </w:r>
      <w:r>
        <w:rPr>
          <w:spacing w:val="-3"/>
        </w:rPr>
        <w:t> </w:t>
      </w:r>
      <w:r>
        <w:rPr/>
        <w:t>or</w:t>
      </w:r>
      <w:r>
        <w:rPr>
          <w:spacing w:val="-3"/>
        </w:rPr>
        <w:t> </w:t>
      </w:r>
      <w:r>
        <w:rPr/>
        <w:t>terminated</w:t>
      </w:r>
      <w:r>
        <w:rPr>
          <w:spacing w:val="-3"/>
        </w:rPr>
        <w:t> </w:t>
      </w:r>
      <w:r>
        <w:rPr/>
        <w:t>trading arrangements for the sale of shares of our common stock as follows:</w:t>
      </w:r>
    </w:p>
    <w:p>
      <w:pPr>
        <w:pStyle w:val="BodyText"/>
        <w:spacing w:before="10"/>
        <w:rPr>
          <w:sz w:val="6"/>
        </w:rPr>
      </w:pPr>
      <w:r>
        <w:rPr/>
        <mc:AlternateContent>
          <mc:Choice Requires="wps">
            <w:drawing>
              <wp:anchor distT="0" distB="0" distL="0" distR="0" allowOverlap="1" layoutInCell="1" locked="0" behindDoc="1" simplePos="0" relativeHeight="487641600">
                <wp:simplePos x="0" y="0"/>
                <wp:positionH relativeFrom="page">
                  <wp:posOffset>628650</wp:posOffset>
                </wp:positionH>
                <wp:positionV relativeFrom="paragraph">
                  <wp:posOffset>65805</wp:posOffset>
                </wp:positionV>
                <wp:extent cx="6429375" cy="6350"/>
                <wp:effectExtent l="0" t="0" r="0" b="0"/>
                <wp:wrapTopAndBottom/>
                <wp:docPr id="717" name="Group 717"/>
                <wp:cNvGraphicFramePr>
                  <a:graphicFrameLocks/>
                </wp:cNvGraphicFramePr>
                <a:graphic>
                  <a:graphicData uri="http://schemas.microsoft.com/office/word/2010/wordprocessingGroup">
                    <wpg:wgp>
                      <wpg:cNvPr id="717" name="Group 717"/>
                      <wpg:cNvGrpSpPr/>
                      <wpg:grpSpPr>
                        <a:xfrm>
                          <a:off x="0" y="0"/>
                          <a:ext cx="6429375" cy="6350"/>
                          <a:chExt cx="6429375" cy="6350"/>
                        </a:xfrm>
                      </wpg:grpSpPr>
                      <wps:wsp>
                        <wps:cNvPr id="718" name="Graphic 718"/>
                        <wps:cNvSpPr/>
                        <wps:spPr>
                          <a:xfrm>
                            <a:off x="0" y="3175"/>
                            <a:ext cx="6429375" cy="1270"/>
                          </a:xfrm>
                          <a:custGeom>
                            <a:avLst/>
                            <a:gdLst/>
                            <a:ahLst/>
                            <a:cxnLst/>
                            <a:rect l="l" t="t" r="r" b="b"/>
                            <a:pathLst>
                              <a:path w="6429375" h="0">
                                <a:moveTo>
                                  <a:pt x="6429375" y="0"/>
                                </a:moveTo>
                                <a:lnTo>
                                  <a:pt x="0" y="0"/>
                                </a:lnTo>
                              </a:path>
                            </a:pathLst>
                          </a:custGeom>
                          <a:solidFill>
                            <a:srgbClr val="000000"/>
                          </a:solidFill>
                        </wps:spPr>
                        <wps:bodyPr wrap="square" lIns="0" tIns="0" rIns="0" bIns="0" rtlCol="0">
                          <a:prstTxWarp prst="textNoShape">
                            <a:avLst/>
                          </a:prstTxWarp>
                          <a:noAutofit/>
                        </wps:bodyPr>
                      </wps:wsp>
                      <wps:wsp>
                        <wps:cNvPr id="719" name="Graphic 719"/>
                        <wps:cNvSpPr/>
                        <wps:spPr>
                          <a:xfrm>
                            <a:off x="0" y="3175"/>
                            <a:ext cx="6429375" cy="1270"/>
                          </a:xfrm>
                          <a:custGeom>
                            <a:avLst/>
                            <a:gdLst/>
                            <a:ahLst/>
                            <a:cxnLst/>
                            <a:rect l="l" t="t" r="r" b="b"/>
                            <a:pathLst>
                              <a:path w="6429375" h="0">
                                <a:moveTo>
                                  <a:pt x="0" y="0"/>
                                </a:moveTo>
                                <a:lnTo>
                                  <a:pt x="642937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5.181562pt;width:506.25pt;height:.5pt;mso-position-horizontal-relative:page;mso-position-vertical-relative:paragraph;z-index:-15674880;mso-wrap-distance-left:0;mso-wrap-distance-right:0" id="docshapegroup518" coordorigin="990,104" coordsize="10125,10">
                <v:shape style="position:absolute;left:990;top:108;width:10125;height:2" id="docshape519" coordorigin="990,109" coordsize="10125,0" path="m11115,109l990,109e" filled="true" fillcolor="#000000" stroked="false">
                  <v:path arrowok="t"/>
                  <v:fill opacity="0f" type="solid"/>
                </v:shape>
                <v:line style="position:absolute" from="990,109" to="11115,109" stroked="true" strokeweight=".5pt" strokecolor="#000000">
                  <v:stroke dashstyle="solid"/>
                </v:line>
                <w10:wrap type="topAndBottom"/>
              </v:group>
            </w:pict>
          </mc:Fallback>
        </mc:AlternateContent>
      </w:r>
    </w:p>
    <w:p>
      <w:pPr>
        <w:spacing w:before="73" w:after="24"/>
        <w:ind w:left="164" w:right="89" w:firstLine="0"/>
        <w:jc w:val="center"/>
        <w:rPr>
          <w:sz w:val="18"/>
        </w:rPr>
      </w:pPr>
      <w:r>
        <w:rPr>
          <w:spacing w:val="-2"/>
          <w:sz w:val="18"/>
        </w:rPr>
        <w:t>Plans</w:t>
      </w:r>
    </w:p>
    <w:p>
      <w:pPr>
        <w:pStyle w:val="BodyText"/>
        <w:spacing w:line="20" w:lineRule="exact"/>
        <w:ind w:left="4260"/>
        <w:rPr>
          <w:sz w:val="2"/>
        </w:rPr>
      </w:pPr>
      <w:r>
        <w:rPr>
          <w:sz w:val="2"/>
        </w:rPr>
        <mc:AlternateContent>
          <mc:Choice Requires="wps">
            <w:drawing>
              <wp:inline distT="0" distB="0" distL="0" distR="0">
                <wp:extent cx="1743075" cy="6350"/>
                <wp:effectExtent l="9525" t="0" r="0" b="3175"/>
                <wp:docPr id="720" name="Group 720"/>
                <wp:cNvGraphicFramePr>
                  <a:graphicFrameLocks/>
                </wp:cNvGraphicFramePr>
                <a:graphic>
                  <a:graphicData uri="http://schemas.microsoft.com/office/word/2010/wordprocessingGroup">
                    <wpg:wgp>
                      <wpg:cNvPr id="720" name="Group 720"/>
                      <wpg:cNvGrpSpPr/>
                      <wpg:grpSpPr>
                        <a:xfrm>
                          <a:off x="0" y="0"/>
                          <a:ext cx="1743075" cy="6350"/>
                          <a:chExt cx="1743075" cy="6350"/>
                        </a:xfrm>
                      </wpg:grpSpPr>
                      <wps:wsp>
                        <wps:cNvPr id="721" name="Graphic 721"/>
                        <wps:cNvSpPr/>
                        <wps:spPr>
                          <a:xfrm>
                            <a:off x="0" y="3175"/>
                            <a:ext cx="1743075" cy="1270"/>
                          </a:xfrm>
                          <a:custGeom>
                            <a:avLst/>
                            <a:gdLst/>
                            <a:ahLst/>
                            <a:cxnLst/>
                            <a:rect l="l" t="t" r="r" b="b"/>
                            <a:pathLst>
                              <a:path w="1743075" h="0">
                                <a:moveTo>
                                  <a:pt x="1743075" y="0"/>
                                </a:moveTo>
                                <a:lnTo>
                                  <a:pt x="0" y="0"/>
                                </a:lnTo>
                              </a:path>
                            </a:pathLst>
                          </a:custGeom>
                          <a:solidFill>
                            <a:srgbClr val="000000"/>
                          </a:solidFill>
                        </wps:spPr>
                        <wps:bodyPr wrap="square" lIns="0" tIns="0" rIns="0" bIns="0" rtlCol="0">
                          <a:prstTxWarp prst="textNoShape">
                            <a:avLst/>
                          </a:prstTxWarp>
                          <a:noAutofit/>
                        </wps:bodyPr>
                      </wps:wsp>
                      <wps:wsp>
                        <wps:cNvPr id="722" name="Graphic 722"/>
                        <wps:cNvSpPr/>
                        <wps:spPr>
                          <a:xfrm>
                            <a:off x="0" y="3175"/>
                            <a:ext cx="1743075" cy="1270"/>
                          </a:xfrm>
                          <a:custGeom>
                            <a:avLst/>
                            <a:gdLst/>
                            <a:ahLst/>
                            <a:cxnLst/>
                            <a:rect l="l" t="t" r="r" b="b"/>
                            <a:pathLst>
                              <a:path w="1743075" h="0">
                                <a:moveTo>
                                  <a:pt x="0" y="0"/>
                                </a:moveTo>
                                <a:lnTo>
                                  <a:pt x="1743075"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7.25pt;height:.5pt;mso-position-horizontal-relative:char;mso-position-vertical-relative:line" id="docshapegroup520" coordorigin="0,0" coordsize="2745,10">
                <v:shape style="position:absolute;left:0;top:5;width:2745;height:2" id="docshape521" coordorigin="0,5" coordsize="2745,0" path="m2745,5l0,5e" filled="true" fillcolor="#000000" stroked="false">
                  <v:path arrowok="t"/>
                  <v:fill opacity="0f" type="solid"/>
                </v:shape>
                <v:line style="position:absolute" from="0,5" to="2745,5" stroked="true" strokeweight=".5pt" strokecolor="#000000">
                  <v:stroke dashstyle="solid"/>
                </v:line>
              </v:group>
            </w:pict>
          </mc:Fallback>
        </mc:AlternateContent>
      </w:r>
      <w:r>
        <w:rPr>
          <w:sz w:val="2"/>
        </w:rPr>
      </w:r>
    </w:p>
    <w:p>
      <w:pPr>
        <w:spacing w:line="208" w:lineRule="auto" w:before="55"/>
        <w:ind w:left="7245" w:right="3052" w:firstLine="55"/>
        <w:jc w:val="left"/>
        <w:rPr>
          <w:sz w:val="18"/>
        </w:rPr>
      </w:pPr>
      <w:r>
        <w:rPr>
          <w:sz w:val="18"/>
        </w:rPr>
        <w:t>Number of Securities</w:t>
      </w:r>
      <w:r>
        <w:rPr>
          <w:spacing w:val="-2"/>
          <w:sz w:val="18"/>
        </w:rPr>
        <w:t> </w:t>
      </w:r>
      <w:r>
        <w:rPr>
          <w:spacing w:val="-5"/>
          <w:sz w:val="18"/>
        </w:rPr>
        <w:t>to</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5"/>
        <w:gridCol w:w="853"/>
        <w:gridCol w:w="1313"/>
        <w:gridCol w:w="1178"/>
        <w:gridCol w:w="1694"/>
        <w:gridCol w:w="1298"/>
        <w:gridCol w:w="2156"/>
      </w:tblGrid>
      <w:tr>
        <w:trPr>
          <w:trHeight w:val="248" w:hRule="atLeast"/>
        </w:trPr>
        <w:tc>
          <w:tcPr>
            <w:tcW w:w="1635" w:type="dxa"/>
            <w:tcBorders>
              <w:bottom w:val="single" w:sz="4" w:space="0" w:color="000000"/>
            </w:tcBorders>
          </w:tcPr>
          <w:p>
            <w:pPr>
              <w:pStyle w:val="TableParagraph"/>
              <w:rPr>
                <w:sz w:val="18"/>
              </w:rPr>
            </w:pPr>
          </w:p>
        </w:tc>
        <w:tc>
          <w:tcPr>
            <w:tcW w:w="853" w:type="dxa"/>
            <w:tcBorders>
              <w:bottom w:val="single" w:sz="4" w:space="0" w:color="000000"/>
            </w:tcBorders>
          </w:tcPr>
          <w:p>
            <w:pPr>
              <w:pStyle w:val="TableParagraph"/>
              <w:spacing w:line="185" w:lineRule="exact"/>
              <w:ind w:left="62"/>
              <w:jc w:val="center"/>
              <w:rPr>
                <w:sz w:val="18"/>
              </w:rPr>
            </w:pPr>
            <w:r>
              <w:rPr>
                <w:spacing w:val="-2"/>
                <w:sz w:val="18"/>
              </w:rPr>
              <w:t>Action</w:t>
            </w:r>
          </w:p>
        </w:tc>
        <w:tc>
          <w:tcPr>
            <w:tcW w:w="1313" w:type="dxa"/>
            <w:tcBorders>
              <w:bottom w:val="single" w:sz="4" w:space="0" w:color="000000"/>
            </w:tcBorders>
          </w:tcPr>
          <w:p>
            <w:pPr>
              <w:pStyle w:val="TableParagraph"/>
              <w:spacing w:line="185" w:lineRule="exact"/>
              <w:ind w:left="1" w:right="2"/>
              <w:jc w:val="center"/>
              <w:rPr>
                <w:sz w:val="18"/>
              </w:rPr>
            </w:pPr>
            <w:r>
              <w:rPr>
                <w:spacing w:val="-4"/>
                <w:sz w:val="18"/>
              </w:rPr>
              <w:t>Date</w:t>
            </w:r>
          </w:p>
        </w:tc>
        <w:tc>
          <w:tcPr>
            <w:tcW w:w="1178" w:type="dxa"/>
            <w:tcBorders>
              <w:bottom w:val="single" w:sz="4" w:space="0" w:color="000000"/>
            </w:tcBorders>
          </w:tcPr>
          <w:p>
            <w:pPr>
              <w:pStyle w:val="TableParagraph"/>
              <w:spacing w:line="185" w:lineRule="exact"/>
              <w:ind w:right="2"/>
              <w:jc w:val="center"/>
              <w:rPr>
                <w:sz w:val="18"/>
              </w:rPr>
            </w:pPr>
            <w:r>
              <w:rPr>
                <w:sz w:val="18"/>
              </w:rPr>
              <w:t>Rule 10b5-1</w:t>
            </w:r>
            <w:r>
              <w:rPr>
                <w:spacing w:val="-17"/>
                <w:sz w:val="18"/>
              </w:rPr>
              <w:t> </w:t>
            </w:r>
            <w:r>
              <w:rPr>
                <w:spacing w:val="-5"/>
                <w:sz w:val="18"/>
                <w:vertAlign w:val="superscript"/>
              </w:rPr>
              <w:t>(1)</w:t>
            </w:r>
          </w:p>
        </w:tc>
        <w:tc>
          <w:tcPr>
            <w:tcW w:w="1694" w:type="dxa"/>
            <w:tcBorders>
              <w:bottom w:val="single" w:sz="4" w:space="0" w:color="000000"/>
            </w:tcBorders>
          </w:tcPr>
          <w:p>
            <w:pPr>
              <w:pStyle w:val="TableParagraph"/>
              <w:spacing w:line="185" w:lineRule="exact"/>
              <w:ind w:right="129"/>
              <w:jc w:val="center"/>
              <w:rPr>
                <w:sz w:val="18"/>
              </w:rPr>
            </w:pPr>
            <w:r>
              <w:rPr>
                <w:sz w:val="18"/>
              </w:rPr>
              <w:t>Non-Rule</w:t>
            </w:r>
            <w:r>
              <w:rPr>
                <w:spacing w:val="-1"/>
                <w:sz w:val="18"/>
              </w:rPr>
              <w:t> </w:t>
            </w:r>
            <w:r>
              <w:rPr>
                <w:sz w:val="18"/>
              </w:rPr>
              <w:t>10b5-1</w:t>
            </w:r>
            <w:r>
              <w:rPr>
                <w:spacing w:val="-1"/>
                <w:sz w:val="18"/>
              </w:rPr>
              <w:t> </w:t>
            </w:r>
            <w:r>
              <w:rPr>
                <w:spacing w:val="-5"/>
                <w:sz w:val="18"/>
                <w:vertAlign w:val="superscript"/>
              </w:rPr>
              <w:t>(2)</w:t>
            </w:r>
          </w:p>
        </w:tc>
        <w:tc>
          <w:tcPr>
            <w:tcW w:w="1298" w:type="dxa"/>
            <w:tcBorders>
              <w:bottom w:val="single" w:sz="4" w:space="0" w:color="000000"/>
            </w:tcBorders>
          </w:tcPr>
          <w:p>
            <w:pPr>
              <w:pStyle w:val="TableParagraph"/>
              <w:spacing w:line="185" w:lineRule="exact"/>
              <w:ind w:right="196"/>
              <w:jc w:val="center"/>
              <w:rPr>
                <w:sz w:val="18"/>
              </w:rPr>
            </w:pPr>
            <w:r>
              <w:rPr>
                <w:sz w:val="18"/>
              </w:rPr>
              <w:t>be</w:t>
            </w:r>
            <w:r>
              <w:rPr>
                <w:spacing w:val="-1"/>
                <w:sz w:val="18"/>
              </w:rPr>
              <w:t> </w:t>
            </w:r>
            <w:r>
              <w:rPr>
                <w:sz w:val="18"/>
              </w:rPr>
              <w:t>Sold</w:t>
            </w:r>
            <w:r>
              <w:rPr>
                <w:spacing w:val="-1"/>
                <w:sz w:val="18"/>
              </w:rPr>
              <w:t> </w:t>
            </w:r>
            <w:r>
              <w:rPr>
                <w:spacing w:val="-5"/>
                <w:sz w:val="18"/>
                <w:vertAlign w:val="superscript"/>
              </w:rPr>
              <w:t>(3)</w:t>
            </w:r>
          </w:p>
        </w:tc>
        <w:tc>
          <w:tcPr>
            <w:tcW w:w="2156" w:type="dxa"/>
            <w:tcBorders>
              <w:bottom w:val="single" w:sz="4" w:space="0" w:color="000000"/>
            </w:tcBorders>
          </w:tcPr>
          <w:p>
            <w:pPr>
              <w:pStyle w:val="TableParagraph"/>
              <w:spacing w:line="185" w:lineRule="exact"/>
              <w:ind w:left="452"/>
              <w:rPr>
                <w:sz w:val="18"/>
              </w:rPr>
            </w:pPr>
            <w:r>
              <w:rPr>
                <w:sz w:val="18"/>
              </w:rPr>
              <w:t>Latest</w:t>
            </w:r>
            <w:r>
              <w:rPr>
                <w:spacing w:val="-1"/>
                <w:sz w:val="18"/>
              </w:rPr>
              <w:t> </w:t>
            </w:r>
            <w:r>
              <w:rPr>
                <w:spacing w:val="-2"/>
                <w:sz w:val="18"/>
              </w:rPr>
              <w:t>Expiration</w:t>
            </w:r>
          </w:p>
        </w:tc>
      </w:tr>
      <w:tr>
        <w:trPr>
          <w:trHeight w:val="425" w:hRule="atLeast"/>
        </w:trPr>
        <w:tc>
          <w:tcPr>
            <w:tcW w:w="1635" w:type="dxa"/>
            <w:tcBorders>
              <w:top w:val="single" w:sz="4" w:space="0" w:color="000000"/>
              <w:bottom w:val="single" w:sz="4" w:space="0" w:color="000000"/>
            </w:tcBorders>
            <w:shd w:val="clear" w:color="auto" w:fill="CCEDFF"/>
          </w:tcPr>
          <w:p>
            <w:pPr>
              <w:pStyle w:val="TableParagraph"/>
              <w:spacing w:line="208" w:lineRule="auto"/>
              <w:ind w:left="52" w:right="111"/>
              <w:rPr>
                <w:sz w:val="18"/>
              </w:rPr>
            </w:pPr>
            <w:r>
              <w:rPr>
                <w:sz w:val="18"/>
              </w:rPr>
              <w:t>John</w:t>
            </w:r>
            <w:r>
              <w:rPr>
                <w:spacing w:val="-10"/>
                <w:sz w:val="18"/>
              </w:rPr>
              <w:t> </w:t>
            </w:r>
            <w:r>
              <w:rPr>
                <w:sz w:val="18"/>
              </w:rPr>
              <w:t>K.</w:t>
            </w:r>
            <w:r>
              <w:rPr>
                <w:spacing w:val="-10"/>
                <w:sz w:val="18"/>
              </w:rPr>
              <w:t> </w:t>
            </w:r>
            <w:r>
              <w:rPr>
                <w:sz w:val="18"/>
              </w:rPr>
              <w:t>Adams,</w:t>
            </w:r>
            <w:r>
              <w:rPr>
                <w:spacing w:val="-10"/>
                <w:sz w:val="18"/>
              </w:rPr>
              <w:t> </w:t>
            </w:r>
            <w:r>
              <w:rPr>
                <w:sz w:val="18"/>
              </w:rPr>
              <w:t>Jr.</w:t>
            </w:r>
            <w:r>
              <w:rPr>
                <w:spacing w:val="-11"/>
                <w:sz w:val="18"/>
              </w:rPr>
              <w:t> </w:t>
            </w:r>
            <w:r>
              <w:rPr>
                <w:sz w:val="18"/>
              </w:rPr>
              <w:t>, </w:t>
            </w:r>
            <w:r>
              <w:rPr>
                <w:spacing w:val="-2"/>
                <w:sz w:val="18"/>
              </w:rPr>
              <w:t>Director</w:t>
            </w:r>
          </w:p>
        </w:tc>
        <w:tc>
          <w:tcPr>
            <w:tcW w:w="853" w:type="dxa"/>
            <w:tcBorders>
              <w:top w:val="single" w:sz="4" w:space="0" w:color="000000"/>
              <w:bottom w:val="single" w:sz="4" w:space="0" w:color="000000"/>
            </w:tcBorders>
            <w:shd w:val="clear" w:color="auto" w:fill="CCEDFF"/>
          </w:tcPr>
          <w:p>
            <w:pPr>
              <w:pStyle w:val="TableParagraph"/>
              <w:spacing w:before="154"/>
              <w:ind w:left="62" w:right="10"/>
              <w:jc w:val="center"/>
              <w:rPr>
                <w:sz w:val="18"/>
              </w:rPr>
            </w:pPr>
            <w:r>
              <w:rPr>
                <w:spacing w:val="-2"/>
                <w:sz w:val="18"/>
              </w:rPr>
              <w:t>Adoption</w:t>
            </w:r>
          </w:p>
        </w:tc>
        <w:tc>
          <w:tcPr>
            <w:tcW w:w="1313" w:type="dxa"/>
            <w:tcBorders>
              <w:top w:val="single" w:sz="4" w:space="0" w:color="000000"/>
              <w:bottom w:val="single" w:sz="4" w:space="0" w:color="000000"/>
            </w:tcBorders>
            <w:shd w:val="clear" w:color="auto" w:fill="CCEDFF"/>
          </w:tcPr>
          <w:p>
            <w:pPr>
              <w:pStyle w:val="TableParagraph"/>
              <w:spacing w:before="154"/>
              <w:ind w:left="2" w:right="1"/>
              <w:jc w:val="center"/>
              <w:rPr>
                <w:sz w:val="18"/>
              </w:rPr>
            </w:pPr>
            <w:r>
              <w:rPr>
                <w:sz w:val="18"/>
              </w:rPr>
              <w:t>August</w:t>
            </w:r>
            <w:r>
              <w:rPr>
                <w:spacing w:val="-3"/>
                <w:sz w:val="18"/>
              </w:rPr>
              <w:t> </w:t>
            </w:r>
            <w:r>
              <w:rPr>
                <w:sz w:val="18"/>
              </w:rPr>
              <w:t>28,</w:t>
            </w:r>
            <w:r>
              <w:rPr>
                <w:spacing w:val="-1"/>
                <w:sz w:val="18"/>
              </w:rPr>
              <w:t> </w:t>
            </w:r>
            <w:r>
              <w:rPr>
                <w:spacing w:val="-4"/>
                <w:sz w:val="18"/>
              </w:rPr>
              <w:t>2023</w:t>
            </w:r>
          </w:p>
        </w:tc>
        <w:tc>
          <w:tcPr>
            <w:tcW w:w="1178" w:type="dxa"/>
            <w:tcBorders>
              <w:top w:val="single" w:sz="4" w:space="0" w:color="000000"/>
              <w:bottom w:val="single" w:sz="4" w:space="0" w:color="000000"/>
            </w:tcBorders>
            <w:shd w:val="clear" w:color="auto" w:fill="CCEDFF"/>
          </w:tcPr>
          <w:p>
            <w:pPr>
              <w:pStyle w:val="TableParagraph"/>
              <w:spacing w:before="154"/>
              <w:ind w:right="2"/>
              <w:jc w:val="center"/>
              <w:rPr>
                <w:sz w:val="18"/>
              </w:rPr>
            </w:pPr>
            <w:r>
              <w:rPr>
                <w:spacing w:val="-10"/>
                <w:sz w:val="18"/>
              </w:rPr>
              <w:t>X</w:t>
            </w:r>
          </w:p>
        </w:tc>
        <w:tc>
          <w:tcPr>
            <w:tcW w:w="1694" w:type="dxa"/>
            <w:tcBorders>
              <w:top w:val="single" w:sz="4" w:space="0" w:color="000000"/>
              <w:bottom w:val="single" w:sz="4" w:space="0" w:color="000000"/>
            </w:tcBorders>
            <w:shd w:val="clear" w:color="auto" w:fill="CCEDFF"/>
          </w:tcPr>
          <w:p>
            <w:pPr>
              <w:pStyle w:val="TableParagraph"/>
              <w:spacing w:before="154"/>
              <w:ind w:left="37" w:right="129"/>
              <w:jc w:val="center"/>
              <w:rPr>
                <w:sz w:val="18"/>
              </w:rPr>
            </w:pPr>
            <w:r>
              <w:rPr>
                <w:spacing w:val="-10"/>
                <w:sz w:val="18"/>
              </w:rPr>
              <w:t>—</w:t>
            </w:r>
          </w:p>
        </w:tc>
        <w:tc>
          <w:tcPr>
            <w:tcW w:w="1298" w:type="dxa"/>
            <w:tcBorders>
              <w:top w:val="single" w:sz="4" w:space="0" w:color="000000"/>
              <w:bottom w:val="single" w:sz="4" w:space="0" w:color="000000"/>
            </w:tcBorders>
            <w:shd w:val="clear" w:color="auto" w:fill="CCEDFF"/>
          </w:tcPr>
          <w:p>
            <w:pPr>
              <w:pStyle w:val="TableParagraph"/>
              <w:spacing w:before="154"/>
              <w:ind w:left="37" w:right="196"/>
              <w:jc w:val="center"/>
              <w:rPr>
                <w:sz w:val="18"/>
              </w:rPr>
            </w:pPr>
            <w:r>
              <w:rPr>
                <w:spacing w:val="-2"/>
                <w:sz w:val="18"/>
              </w:rPr>
              <w:t>15,701</w:t>
            </w:r>
          </w:p>
        </w:tc>
        <w:tc>
          <w:tcPr>
            <w:tcW w:w="2156" w:type="dxa"/>
            <w:tcBorders>
              <w:top w:val="single" w:sz="4" w:space="0" w:color="000000"/>
              <w:bottom w:val="single" w:sz="4" w:space="0" w:color="000000"/>
            </w:tcBorders>
            <w:shd w:val="clear" w:color="auto" w:fill="CCEDFF"/>
          </w:tcPr>
          <w:p>
            <w:pPr>
              <w:pStyle w:val="TableParagraph"/>
              <w:spacing w:line="208" w:lineRule="auto"/>
              <w:ind w:left="571" w:right="114" w:hanging="190"/>
              <w:rPr>
                <w:sz w:val="18"/>
              </w:rPr>
            </w:pPr>
            <w:r>
              <w:rPr>
                <w:sz w:val="18"/>
              </w:rPr>
              <w:t>Close</w:t>
            </w:r>
            <w:r>
              <w:rPr>
                <w:spacing w:val="-12"/>
                <w:sz w:val="18"/>
              </w:rPr>
              <w:t> </w:t>
            </w:r>
            <w:r>
              <w:rPr>
                <w:sz w:val="18"/>
              </w:rPr>
              <w:t>of</w:t>
            </w:r>
            <w:r>
              <w:rPr>
                <w:spacing w:val="-11"/>
                <w:sz w:val="18"/>
              </w:rPr>
              <w:t> </w:t>
            </w:r>
            <w:r>
              <w:rPr>
                <w:sz w:val="18"/>
              </w:rPr>
              <w:t>trading</w:t>
            </w:r>
            <w:r>
              <w:rPr>
                <w:spacing w:val="-11"/>
                <w:sz w:val="18"/>
              </w:rPr>
              <w:t> </w:t>
            </w:r>
            <w:r>
              <w:rPr>
                <w:sz w:val="18"/>
              </w:rPr>
              <w:t>on May 15, 2025</w:t>
            </w:r>
          </w:p>
        </w:tc>
      </w:tr>
    </w:tbl>
    <w:p>
      <w:pPr>
        <w:spacing w:before="18"/>
        <w:ind w:left="470" w:right="0" w:firstLine="0"/>
        <w:jc w:val="left"/>
        <w:rPr>
          <w:sz w:val="16"/>
        </w:rPr>
      </w:pPr>
      <w:r>
        <w:rPr>
          <w:sz w:val="16"/>
          <w:vertAlign w:val="superscript"/>
        </w:rPr>
        <w:t>(1)</w:t>
      </w:r>
      <w:r>
        <w:rPr>
          <w:spacing w:val="-15"/>
          <w:sz w:val="16"/>
          <w:vertAlign w:val="baseline"/>
        </w:rPr>
        <w:t> </w:t>
      </w:r>
      <w:r>
        <w:rPr>
          <w:sz w:val="16"/>
          <w:vertAlign w:val="baseline"/>
        </w:rPr>
        <w:t>Intended</w:t>
      </w:r>
      <w:r>
        <w:rPr>
          <w:spacing w:val="1"/>
          <w:sz w:val="16"/>
          <w:vertAlign w:val="baseline"/>
        </w:rPr>
        <w:t> </w:t>
      </w:r>
      <w:r>
        <w:rPr>
          <w:sz w:val="16"/>
          <w:vertAlign w:val="baseline"/>
        </w:rPr>
        <w:t>to satisfy</w:t>
      </w:r>
      <w:r>
        <w:rPr>
          <w:spacing w:val="1"/>
          <w:sz w:val="16"/>
          <w:vertAlign w:val="baseline"/>
        </w:rPr>
        <w:t> </w:t>
      </w:r>
      <w:r>
        <w:rPr>
          <w:sz w:val="16"/>
          <w:vertAlign w:val="baseline"/>
        </w:rPr>
        <w:t>the</w:t>
      </w:r>
      <w:r>
        <w:rPr>
          <w:spacing w:val="1"/>
          <w:sz w:val="16"/>
          <w:vertAlign w:val="baseline"/>
        </w:rPr>
        <w:t> </w:t>
      </w:r>
      <w:r>
        <w:rPr>
          <w:sz w:val="16"/>
          <w:vertAlign w:val="baseline"/>
        </w:rPr>
        <w:t>affirmative defense</w:t>
      </w:r>
      <w:r>
        <w:rPr>
          <w:spacing w:val="1"/>
          <w:sz w:val="16"/>
          <w:vertAlign w:val="baseline"/>
        </w:rPr>
        <w:t> </w:t>
      </w:r>
      <w:r>
        <w:rPr>
          <w:sz w:val="16"/>
          <w:vertAlign w:val="baseline"/>
        </w:rPr>
        <w:t>conditions of Rule</w:t>
      </w:r>
      <w:r>
        <w:rPr>
          <w:spacing w:val="1"/>
          <w:sz w:val="16"/>
          <w:vertAlign w:val="baseline"/>
        </w:rPr>
        <w:t> </w:t>
      </w:r>
      <w:r>
        <w:rPr>
          <w:sz w:val="16"/>
          <w:vertAlign w:val="baseline"/>
        </w:rPr>
        <w:t>10b5-</w:t>
      </w:r>
      <w:r>
        <w:rPr>
          <w:spacing w:val="-4"/>
          <w:sz w:val="16"/>
          <w:vertAlign w:val="baseline"/>
        </w:rPr>
        <w:t>1(c).</w:t>
      </w:r>
    </w:p>
    <w:p>
      <w:pPr>
        <w:spacing w:before="8"/>
        <w:ind w:left="470" w:right="0" w:firstLine="0"/>
        <w:jc w:val="left"/>
        <w:rPr>
          <w:sz w:val="16"/>
        </w:rPr>
      </w:pPr>
      <w:r>
        <w:rPr>
          <w:sz w:val="16"/>
          <w:vertAlign w:val="superscript"/>
        </w:rPr>
        <w:t>(2)</w:t>
      </w:r>
      <w:r>
        <w:rPr>
          <w:spacing w:val="-15"/>
          <w:sz w:val="16"/>
          <w:vertAlign w:val="baseline"/>
        </w:rPr>
        <w:t> </w:t>
      </w:r>
      <w:r>
        <w:rPr>
          <w:sz w:val="16"/>
          <w:vertAlign w:val="baseline"/>
        </w:rPr>
        <w:t>Not intended</w:t>
      </w:r>
      <w:r>
        <w:rPr>
          <w:spacing w:val="1"/>
          <w:sz w:val="16"/>
          <w:vertAlign w:val="baseline"/>
        </w:rPr>
        <w:t> </w:t>
      </w:r>
      <w:r>
        <w:rPr>
          <w:sz w:val="16"/>
          <w:vertAlign w:val="baseline"/>
        </w:rPr>
        <w:t>to satisfy</w:t>
      </w:r>
      <w:r>
        <w:rPr>
          <w:spacing w:val="1"/>
          <w:sz w:val="16"/>
          <w:vertAlign w:val="baseline"/>
        </w:rPr>
        <w:t> </w:t>
      </w:r>
      <w:r>
        <w:rPr>
          <w:sz w:val="16"/>
          <w:vertAlign w:val="baseline"/>
        </w:rPr>
        <w:t>the affirmative</w:t>
      </w:r>
      <w:r>
        <w:rPr>
          <w:spacing w:val="1"/>
          <w:sz w:val="16"/>
          <w:vertAlign w:val="baseline"/>
        </w:rPr>
        <w:t> </w:t>
      </w:r>
      <w:r>
        <w:rPr>
          <w:sz w:val="16"/>
          <w:vertAlign w:val="baseline"/>
        </w:rPr>
        <w:t>defense conditions of Rule</w:t>
      </w:r>
      <w:r>
        <w:rPr>
          <w:spacing w:val="1"/>
          <w:sz w:val="16"/>
          <w:vertAlign w:val="baseline"/>
        </w:rPr>
        <w:t> </w:t>
      </w:r>
      <w:r>
        <w:rPr>
          <w:sz w:val="16"/>
          <w:vertAlign w:val="baseline"/>
        </w:rPr>
        <w:t>10b5-</w:t>
      </w:r>
      <w:r>
        <w:rPr>
          <w:spacing w:val="-2"/>
          <w:sz w:val="16"/>
          <w:vertAlign w:val="baseline"/>
        </w:rPr>
        <w:t>1(c).</w:t>
      </w:r>
    </w:p>
    <w:p>
      <w:pPr>
        <w:spacing w:before="8"/>
        <w:ind w:left="470" w:right="0" w:firstLine="0"/>
        <w:jc w:val="left"/>
        <w:rPr>
          <w:sz w:val="16"/>
        </w:rPr>
      </w:pPr>
      <w:r>
        <w:rPr>
          <w:sz w:val="16"/>
          <w:vertAlign w:val="superscript"/>
        </w:rPr>
        <w:t>(3)</w:t>
      </w:r>
      <w:r>
        <w:rPr>
          <w:spacing w:val="-1"/>
          <w:sz w:val="16"/>
          <w:vertAlign w:val="baseline"/>
        </w:rPr>
        <w:t> </w:t>
      </w:r>
      <w:r>
        <w:rPr>
          <w:sz w:val="16"/>
          <w:vertAlign w:val="baseline"/>
        </w:rPr>
        <w:t>Securities</w:t>
      </w:r>
      <w:r>
        <w:rPr>
          <w:spacing w:val="-1"/>
          <w:sz w:val="16"/>
          <w:vertAlign w:val="baseline"/>
        </w:rPr>
        <w:t> </w:t>
      </w:r>
      <w:r>
        <w:rPr>
          <w:sz w:val="16"/>
          <w:vertAlign w:val="baseline"/>
        </w:rPr>
        <w:t>to be sold</w:t>
      </w:r>
      <w:r>
        <w:rPr>
          <w:spacing w:val="1"/>
          <w:sz w:val="16"/>
          <w:vertAlign w:val="baseline"/>
        </w:rPr>
        <w:t> </w:t>
      </w:r>
      <w:r>
        <w:rPr>
          <w:sz w:val="16"/>
          <w:vertAlign w:val="baseline"/>
        </w:rPr>
        <w:t>under the plan represent shares acquired upon the exercise of</w:t>
      </w:r>
      <w:r>
        <w:rPr>
          <w:spacing w:val="1"/>
          <w:sz w:val="16"/>
          <w:vertAlign w:val="baseline"/>
        </w:rPr>
        <w:t> </w:t>
      </w:r>
      <w:r>
        <w:rPr>
          <w:sz w:val="16"/>
          <w:vertAlign w:val="baseline"/>
        </w:rPr>
        <w:t>stock </w:t>
      </w:r>
      <w:r>
        <w:rPr>
          <w:spacing w:val="-2"/>
          <w:sz w:val="16"/>
          <w:vertAlign w:val="baseline"/>
        </w:rPr>
        <w:t>options.</w:t>
      </w:r>
    </w:p>
    <w:p>
      <w:pPr>
        <w:spacing w:after="0"/>
        <w:jc w:val="left"/>
        <w:rPr>
          <w:sz w:val="16"/>
        </w:rPr>
        <w:sectPr>
          <w:pgSz w:w="12240" w:h="15840"/>
          <w:pgMar w:header="467" w:footer="201" w:top="680" w:bottom="400" w:left="520" w:right="520"/>
        </w:sectPr>
      </w:pPr>
    </w:p>
    <w:p>
      <w:pPr>
        <w:pStyle w:val="BodyText"/>
        <w:spacing w:before="108"/>
      </w:pPr>
    </w:p>
    <w:p>
      <w:pPr>
        <w:spacing w:after="0"/>
        <w:sectPr>
          <w:pgSz w:w="12240" w:h="15840"/>
          <w:pgMar w:header="467" w:footer="201" w:top="680" w:bottom="400" w:left="520" w:right="520"/>
        </w:sectPr>
      </w:pPr>
    </w:p>
    <w:p>
      <w:pPr>
        <w:pStyle w:val="Heading2"/>
        <w:tabs>
          <w:tab w:pos="1369" w:val="left" w:leader="none"/>
        </w:tabs>
        <w:spacing w:before="92"/>
      </w:pPr>
      <w:bookmarkStart w:name="Item 6. Exhibits" w:id="74"/>
      <w:bookmarkEnd w:id="74"/>
      <w:r>
        <w:rPr>
          <w:b w:val="0"/>
        </w:rPr>
      </w:r>
      <w:bookmarkStart w:name="_bookmark16" w:id="75"/>
      <w:bookmarkEnd w:id="75"/>
      <w:r>
        <w:rPr>
          <w:b w:val="0"/>
        </w:rPr>
      </w:r>
      <w:r>
        <w:rPr/>
        <w:t>Item</w:t>
      </w:r>
      <w:r>
        <w:rPr>
          <w:spacing w:val="-2"/>
        </w:rPr>
        <w:t> </w:t>
      </w:r>
      <w:r>
        <w:rPr>
          <w:spacing w:val="-5"/>
        </w:rPr>
        <w:t>6.</w:t>
      </w:r>
      <w:r>
        <w:rPr/>
        <w:tab/>
      </w:r>
      <w:r>
        <w:rPr>
          <w:spacing w:val="-2"/>
        </w:rPr>
        <w:t>Exhibits</w:t>
      </w:r>
    </w:p>
    <w:p>
      <w:pPr>
        <w:pStyle w:val="BodyText"/>
        <w:spacing w:before="193"/>
        <w:ind w:left="470"/>
      </w:pPr>
      <w:r>
        <w:rPr/>
        <w:t>The</w:t>
      </w:r>
      <w:r>
        <w:rPr>
          <w:spacing w:val="-3"/>
        </w:rPr>
        <w:t> </w:t>
      </w:r>
      <w:r>
        <w:rPr/>
        <w:t>following</w:t>
      </w:r>
      <w:r>
        <w:rPr>
          <w:spacing w:val="-2"/>
        </w:rPr>
        <w:t> </w:t>
      </w:r>
      <w:r>
        <w:rPr/>
        <w:t>exhibits</w:t>
      </w:r>
      <w:r>
        <w:rPr>
          <w:spacing w:val="-3"/>
        </w:rPr>
        <w:t> </w:t>
      </w:r>
      <w:r>
        <w:rPr/>
        <w:t>are</w:t>
      </w:r>
      <w:r>
        <w:rPr>
          <w:spacing w:val="-3"/>
        </w:rPr>
        <w:t> </w:t>
      </w:r>
      <w:r>
        <w:rPr/>
        <w:t>filed</w:t>
      </w:r>
      <w:r>
        <w:rPr>
          <w:spacing w:val="-2"/>
        </w:rPr>
        <w:t> </w:t>
      </w:r>
      <w:r>
        <w:rPr/>
        <w:t>as</w:t>
      </w:r>
      <w:r>
        <w:rPr>
          <w:spacing w:val="-3"/>
        </w:rPr>
        <w:t> </w:t>
      </w:r>
      <w:r>
        <w:rPr/>
        <w:t>part</w:t>
      </w:r>
      <w:r>
        <w:rPr>
          <w:spacing w:val="-3"/>
        </w:rPr>
        <w:t> </w:t>
      </w:r>
      <w:r>
        <w:rPr/>
        <w:t>of</w:t>
      </w:r>
      <w:r>
        <w:rPr>
          <w:spacing w:val="-2"/>
        </w:rPr>
        <w:t> </w:t>
      </w:r>
      <w:r>
        <w:rPr/>
        <w:t>this</w:t>
      </w:r>
      <w:r>
        <w:rPr>
          <w:spacing w:val="-3"/>
        </w:rPr>
        <w:t> </w:t>
      </w:r>
      <w:r>
        <w:rPr/>
        <w:t>Quarterly</w:t>
      </w:r>
      <w:r>
        <w:rPr>
          <w:spacing w:val="-2"/>
        </w:rPr>
        <w:t> </w:t>
      </w:r>
      <w:r>
        <w:rPr/>
        <w:t>Report</w:t>
      </w:r>
      <w:r>
        <w:rPr>
          <w:spacing w:val="-3"/>
        </w:rPr>
        <w:t> </w:t>
      </w:r>
      <w:r>
        <w:rPr/>
        <w:t>on</w:t>
      </w:r>
      <w:r>
        <w:rPr>
          <w:spacing w:val="-2"/>
        </w:rPr>
        <w:t> </w:t>
      </w:r>
      <w:r>
        <w:rPr/>
        <w:t>Form</w:t>
      </w:r>
      <w:r>
        <w:rPr>
          <w:spacing w:val="-2"/>
        </w:rPr>
        <w:t> </w:t>
      </w:r>
      <w:r>
        <w:rPr/>
        <w:t>10-</w:t>
      </w:r>
      <w:r>
        <w:rPr>
          <w:spacing w:val="-5"/>
        </w:rPr>
        <w:t>Q:</w:t>
      </w:r>
    </w:p>
    <w:p>
      <w:pPr>
        <w:pStyle w:val="BodyText"/>
        <w:spacing w:line="215" w:lineRule="exact" w:before="63"/>
        <w:ind w:left="522"/>
      </w:pPr>
      <w:r>
        <w:rPr/>
        <mc:AlternateContent>
          <mc:Choice Requires="wps">
            <w:drawing>
              <wp:anchor distT="0" distB="0" distL="0" distR="0" allowOverlap="1" layoutInCell="1" locked="0" behindDoc="1" simplePos="0" relativeHeight="475955200">
                <wp:simplePos x="0" y="0"/>
                <wp:positionH relativeFrom="page">
                  <wp:posOffset>622300</wp:posOffset>
                </wp:positionH>
                <wp:positionV relativeFrom="paragraph">
                  <wp:posOffset>30732</wp:posOffset>
                </wp:positionV>
                <wp:extent cx="6527800" cy="4775200"/>
                <wp:effectExtent l="0" t="0" r="0" b="0"/>
                <wp:wrapNone/>
                <wp:docPr id="723" name="Group 723"/>
                <wp:cNvGraphicFramePr>
                  <a:graphicFrameLocks/>
                </wp:cNvGraphicFramePr>
                <a:graphic>
                  <a:graphicData uri="http://schemas.microsoft.com/office/word/2010/wordprocessingGroup">
                    <wpg:wgp>
                      <wpg:cNvPr id="723" name="Group 723"/>
                      <wpg:cNvGrpSpPr/>
                      <wpg:grpSpPr>
                        <a:xfrm>
                          <a:off x="0" y="0"/>
                          <a:ext cx="6527800" cy="4775200"/>
                          <a:chExt cx="6527800" cy="4775200"/>
                        </a:xfrm>
                      </wpg:grpSpPr>
                      <wps:wsp>
                        <wps:cNvPr id="724" name="Graphic 724"/>
                        <wps:cNvSpPr/>
                        <wps:spPr>
                          <a:xfrm>
                            <a:off x="6350" y="6350"/>
                            <a:ext cx="1270" cy="295275"/>
                          </a:xfrm>
                          <a:custGeom>
                            <a:avLst/>
                            <a:gdLst/>
                            <a:ahLst/>
                            <a:cxnLst/>
                            <a:rect l="l" t="t" r="r" b="b"/>
                            <a:pathLst>
                              <a:path w="0" h="295275">
                                <a:moveTo>
                                  <a:pt x="0" y="0"/>
                                </a:moveTo>
                                <a:lnTo>
                                  <a:pt x="0" y="295275"/>
                                </a:lnTo>
                              </a:path>
                            </a:pathLst>
                          </a:custGeom>
                          <a:solidFill>
                            <a:srgbClr val="000000"/>
                          </a:solidFill>
                        </wps:spPr>
                        <wps:bodyPr wrap="square" lIns="0" tIns="0" rIns="0" bIns="0" rtlCol="0">
                          <a:prstTxWarp prst="textNoShape">
                            <a:avLst/>
                          </a:prstTxWarp>
                          <a:noAutofit/>
                        </wps:bodyPr>
                      </wps:wsp>
                      <wps:wsp>
                        <wps:cNvPr id="725" name="Graphic 725"/>
                        <wps:cNvSpPr/>
                        <wps:spPr>
                          <a:xfrm>
                            <a:off x="6350" y="6350"/>
                            <a:ext cx="1270" cy="295275"/>
                          </a:xfrm>
                          <a:custGeom>
                            <a:avLst/>
                            <a:gdLst/>
                            <a:ahLst/>
                            <a:cxnLst/>
                            <a:rect l="l" t="t" r="r" b="b"/>
                            <a:pathLst>
                              <a:path w="0" h="295275">
                                <a:moveTo>
                                  <a:pt x="0" y="0"/>
                                </a:moveTo>
                                <a:lnTo>
                                  <a:pt x="0" y="295275"/>
                                </a:lnTo>
                              </a:path>
                            </a:pathLst>
                          </a:custGeom>
                          <a:ln w="12700">
                            <a:solidFill>
                              <a:srgbClr val="000000"/>
                            </a:solidFill>
                            <a:prstDash val="solid"/>
                          </a:ln>
                        </wps:spPr>
                        <wps:bodyPr wrap="square" lIns="0" tIns="0" rIns="0" bIns="0" rtlCol="0">
                          <a:prstTxWarp prst="textNoShape">
                            <a:avLst/>
                          </a:prstTxWarp>
                          <a:noAutofit/>
                        </wps:bodyPr>
                      </wps:wsp>
                      <wps:wsp>
                        <wps:cNvPr id="726" name="Graphic 726"/>
                        <wps:cNvSpPr/>
                        <wps:spPr>
                          <a:xfrm>
                            <a:off x="6521450" y="6350"/>
                            <a:ext cx="1270" cy="295275"/>
                          </a:xfrm>
                          <a:custGeom>
                            <a:avLst/>
                            <a:gdLst/>
                            <a:ahLst/>
                            <a:cxnLst/>
                            <a:rect l="l" t="t" r="r" b="b"/>
                            <a:pathLst>
                              <a:path w="0" h="295275">
                                <a:moveTo>
                                  <a:pt x="0" y="0"/>
                                </a:moveTo>
                                <a:lnTo>
                                  <a:pt x="0" y="295275"/>
                                </a:lnTo>
                              </a:path>
                            </a:pathLst>
                          </a:custGeom>
                          <a:solidFill>
                            <a:srgbClr val="000000"/>
                          </a:solidFill>
                        </wps:spPr>
                        <wps:bodyPr wrap="square" lIns="0" tIns="0" rIns="0" bIns="0" rtlCol="0">
                          <a:prstTxWarp prst="textNoShape">
                            <a:avLst/>
                          </a:prstTxWarp>
                          <a:noAutofit/>
                        </wps:bodyPr>
                      </wps:wsp>
                      <wps:wsp>
                        <wps:cNvPr id="727" name="Graphic 727"/>
                        <wps:cNvSpPr/>
                        <wps:spPr>
                          <a:xfrm>
                            <a:off x="6521450" y="6350"/>
                            <a:ext cx="1270" cy="295275"/>
                          </a:xfrm>
                          <a:custGeom>
                            <a:avLst/>
                            <a:gdLst/>
                            <a:ahLst/>
                            <a:cxnLst/>
                            <a:rect l="l" t="t" r="r" b="b"/>
                            <a:pathLst>
                              <a:path w="0" h="295275">
                                <a:moveTo>
                                  <a:pt x="0" y="0"/>
                                </a:moveTo>
                                <a:lnTo>
                                  <a:pt x="0" y="295275"/>
                                </a:lnTo>
                              </a:path>
                            </a:pathLst>
                          </a:custGeom>
                          <a:ln w="12700">
                            <a:solidFill>
                              <a:srgbClr val="000000"/>
                            </a:solidFill>
                            <a:prstDash val="solid"/>
                          </a:ln>
                        </wps:spPr>
                        <wps:bodyPr wrap="square" lIns="0" tIns="0" rIns="0" bIns="0" rtlCol="0">
                          <a:prstTxWarp prst="textNoShape">
                            <a:avLst/>
                          </a:prstTxWarp>
                          <a:noAutofit/>
                        </wps:bodyPr>
                      </wps:wsp>
                      <wps:wsp>
                        <wps:cNvPr id="728" name="Graphic 728"/>
                        <wps:cNvSpPr/>
                        <wps:spPr>
                          <a:xfrm>
                            <a:off x="6350" y="6350"/>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729" name="Graphic 729"/>
                        <wps:cNvSpPr/>
                        <wps:spPr>
                          <a:xfrm>
                            <a:off x="6350" y="6350"/>
                            <a:ext cx="6515100" cy="1270"/>
                          </a:xfrm>
                          <a:custGeom>
                            <a:avLst/>
                            <a:gdLst/>
                            <a:ahLst/>
                            <a:cxnLst/>
                            <a:rect l="l" t="t" r="r" b="b"/>
                            <a:pathLst>
                              <a:path w="6515100" h="0">
                                <a:moveTo>
                                  <a:pt x="0" y="0"/>
                                </a:moveTo>
                                <a:lnTo>
                                  <a:pt x="6515100" y="0"/>
                                </a:lnTo>
                              </a:path>
                            </a:pathLst>
                          </a:custGeom>
                          <a:ln w="12700">
                            <a:solidFill>
                              <a:srgbClr val="000000"/>
                            </a:solidFill>
                            <a:prstDash val="solid"/>
                          </a:ln>
                        </wps:spPr>
                        <wps:bodyPr wrap="square" lIns="0" tIns="0" rIns="0" bIns="0" rtlCol="0">
                          <a:prstTxWarp prst="textNoShape">
                            <a:avLst/>
                          </a:prstTxWarp>
                          <a:noAutofit/>
                        </wps:bodyPr>
                      </wps:wsp>
                      <wps:wsp>
                        <wps:cNvPr id="730" name="Graphic 730"/>
                        <wps:cNvSpPr/>
                        <wps:spPr>
                          <a:xfrm>
                            <a:off x="6350" y="301625"/>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731" name="Graphic 731"/>
                        <wps:cNvSpPr/>
                        <wps:spPr>
                          <a:xfrm>
                            <a:off x="6350" y="301625"/>
                            <a:ext cx="6515100" cy="1270"/>
                          </a:xfrm>
                          <a:custGeom>
                            <a:avLst/>
                            <a:gdLst/>
                            <a:ahLst/>
                            <a:cxnLst/>
                            <a:rect l="l" t="t" r="r" b="b"/>
                            <a:pathLst>
                              <a:path w="6515100" h="0">
                                <a:moveTo>
                                  <a:pt x="0" y="0"/>
                                </a:moveTo>
                                <a:lnTo>
                                  <a:pt x="6515100" y="0"/>
                                </a:lnTo>
                              </a:path>
                            </a:pathLst>
                          </a:custGeom>
                          <a:ln w="12700">
                            <a:solidFill>
                              <a:srgbClr val="000000"/>
                            </a:solidFill>
                            <a:prstDash val="solid"/>
                          </a:ln>
                        </wps:spPr>
                        <wps:bodyPr wrap="square" lIns="0" tIns="0" rIns="0" bIns="0" rtlCol="0">
                          <a:prstTxWarp prst="textNoShape">
                            <a:avLst/>
                          </a:prstTxWarp>
                          <a:noAutofit/>
                        </wps:bodyPr>
                      </wps:wsp>
                      <wps:wsp>
                        <wps:cNvPr id="732" name="Graphic 732"/>
                        <wps:cNvSpPr/>
                        <wps:spPr>
                          <a:xfrm>
                            <a:off x="6350" y="301625"/>
                            <a:ext cx="1270" cy="3638550"/>
                          </a:xfrm>
                          <a:custGeom>
                            <a:avLst/>
                            <a:gdLst/>
                            <a:ahLst/>
                            <a:cxnLst/>
                            <a:rect l="l" t="t" r="r" b="b"/>
                            <a:pathLst>
                              <a:path w="0" h="3638550">
                                <a:moveTo>
                                  <a:pt x="0" y="0"/>
                                </a:moveTo>
                                <a:lnTo>
                                  <a:pt x="0" y="3638550"/>
                                </a:lnTo>
                              </a:path>
                            </a:pathLst>
                          </a:custGeom>
                          <a:solidFill>
                            <a:srgbClr val="000000"/>
                          </a:solidFill>
                        </wps:spPr>
                        <wps:bodyPr wrap="square" lIns="0" tIns="0" rIns="0" bIns="0" rtlCol="0">
                          <a:prstTxWarp prst="textNoShape">
                            <a:avLst/>
                          </a:prstTxWarp>
                          <a:noAutofit/>
                        </wps:bodyPr>
                      </wps:wsp>
                      <wps:wsp>
                        <wps:cNvPr id="733" name="Graphic 733"/>
                        <wps:cNvSpPr/>
                        <wps:spPr>
                          <a:xfrm>
                            <a:off x="6350" y="301625"/>
                            <a:ext cx="1270" cy="3638550"/>
                          </a:xfrm>
                          <a:custGeom>
                            <a:avLst/>
                            <a:gdLst/>
                            <a:ahLst/>
                            <a:cxnLst/>
                            <a:rect l="l" t="t" r="r" b="b"/>
                            <a:pathLst>
                              <a:path w="0" h="3638550">
                                <a:moveTo>
                                  <a:pt x="0" y="0"/>
                                </a:moveTo>
                                <a:lnTo>
                                  <a:pt x="0" y="3638550"/>
                                </a:lnTo>
                              </a:path>
                            </a:pathLst>
                          </a:custGeom>
                          <a:ln w="12700">
                            <a:solidFill>
                              <a:srgbClr val="000000"/>
                            </a:solidFill>
                            <a:prstDash val="solid"/>
                          </a:ln>
                        </wps:spPr>
                        <wps:bodyPr wrap="square" lIns="0" tIns="0" rIns="0" bIns="0" rtlCol="0">
                          <a:prstTxWarp prst="textNoShape">
                            <a:avLst/>
                          </a:prstTxWarp>
                          <a:noAutofit/>
                        </wps:bodyPr>
                      </wps:wsp>
                      <wps:wsp>
                        <wps:cNvPr id="734" name="Graphic 734"/>
                        <wps:cNvSpPr/>
                        <wps:spPr>
                          <a:xfrm>
                            <a:off x="6350" y="3940175"/>
                            <a:ext cx="1270" cy="828675"/>
                          </a:xfrm>
                          <a:custGeom>
                            <a:avLst/>
                            <a:gdLst/>
                            <a:ahLst/>
                            <a:cxnLst/>
                            <a:rect l="l" t="t" r="r" b="b"/>
                            <a:pathLst>
                              <a:path w="0" h="828675">
                                <a:moveTo>
                                  <a:pt x="0" y="0"/>
                                </a:moveTo>
                                <a:lnTo>
                                  <a:pt x="0" y="828675"/>
                                </a:lnTo>
                              </a:path>
                            </a:pathLst>
                          </a:custGeom>
                          <a:solidFill>
                            <a:srgbClr val="000000"/>
                          </a:solidFill>
                        </wps:spPr>
                        <wps:bodyPr wrap="square" lIns="0" tIns="0" rIns="0" bIns="0" rtlCol="0">
                          <a:prstTxWarp prst="textNoShape">
                            <a:avLst/>
                          </a:prstTxWarp>
                          <a:noAutofit/>
                        </wps:bodyPr>
                      </wps:wsp>
                      <wps:wsp>
                        <wps:cNvPr id="735" name="Graphic 735"/>
                        <wps:cNvSpPr/>
                        <wps:spPr>
                          <a:xfrm>
                            <a:off x="6350" y="3940175"/>
                            <a:ext cx="1270" cy="828675"/>
                          </a:xfrm>
                          <a:custGeom>
                            <a:avLst/>
                            <a:gdLst/>
                            <a:ahLst/>
                            <a:cxnLst/>
                            <a:rect l="l" t="t" r="r" b="b"/>
                            <a:pathLst>
                              <a:path w="0" h="828675">
                                <a:moveTo>
                                  <a:pt x="0" y="0"/>
                                </a:moveTo>
                                <a:lnTo>
                                  <a:pt x="0" y="828675"/>
                                </a:lnTo>
                              </a:path>
                            </a:pathLst>
                          </a:custGeom>
                          <a:ln w="12700">
                            <a:solidFill>
                              <a:srgbClr val="000000"/>
                            </a:solidFill>
                            <a:prstDash val="solid"/>
                          </a:ln>
                        </wps:spPr>
                        <wps:bodyPr wrap="square" lIns="0" tIns="0" rIns="0" bIns="0" rtlCol="0">
                          <a:prstTxWarp prst="textNoShape">
                            <a:avLst/>
                          </a:prstTxWarp>
                          <a:noAutofit/>
                        </wps:bodyPr>
                      </wps:wsp>
                      <wps:wsp>
                        <wps:cNvPr id="736" name="Graphic 736"/>
                        <wps:cNvSpPr/>
                        <wps:spPr>
                          <a:xfrm>
                            <a:off x="6521450" y="301625"/>
                            <a:ext cx="1270" cy="3638550"/>
                          </a:xfrm>
                          <a:custGeom>
                            <a:avLst/>
                            <a:gdLst/>
                            <a:ahLst/>
                            <a:cxnLst/>
                            <a:rect l="l" t="t" r="r" b="b"/>
                            <a:pathLst>
                              <a:path w="0" h="3638550">
                                <a:moveTo>
                                  <a:pt x="0" y="0"/>
                                </a:moveTo>
                                <a:lnTo>
                                  <a:pt x="0" y="3638550"/>
                                </a:lnTo>
                              </a:path>
                            </a:pathLst>
                          </a:custGeom>
                          <a:solidFill>
                            <a:srgbClr val="000000"/>
                          </a:solidFill>
                        </wps:spPr>
                        <wps:bodyPr wrap="square" lIns="0" tIns="0" rIns="0" bIns="0" rtlCol="0">
                          <a:prstTxWarp prst="textNoShape">
                            <a:avLst/>
                          </a:prstTxWarp>
                          <a:noAutofit/>
                        </wps:bodyPr>
                      </wps:wsp>
                      <wps:wsp>
                        <wps:cNvPr id="737" name="Graphic 737"/>
                        <wps:cNvSpPr/>
                        <wps:spPr>
                          <a:xfrm>
                            <a:off x="6521450" y="301625"/>
                            <a:ext cx="1270" cy="3638550"/>
                          </a:xfrm>
                          <a:custGeom>
                            <a:avLst/>
                            <a:gdLst/>
                            <a:ahLst/>
                            <a:cxnLst/>
                            <a:rect l="l" t="t" r="r" b="b"/>
                            <a:pathLst>
                              <a:path w="0" h="3638550">
                                <a:moveTo>
                                  <a:pt x="0" y="0"/>
                                </a:moveTo>
                                <a:lnTo>
                                  <a:pt x="0" y="3638550"/>
                                </a:lnTo>
                              </a:path>
                            </a:pathLst>
                          </a:custGeom>
                          <a:ln w="12700">
                            <a:solidFill>
                              <a:srgbClr val="000000"/>
                            </a:solidFill>
                            <a:prstDash val="solid"/>
                          </a:ln>
                        </wps:spPr>
                        <wps:bodyPr wrap="square" lIns="0" tIns="0" rIns="0" bIns="0" rtlCol="0">
                          <a:prstTxWarp prst="textNoShape">
                            <a:avLst/>
                          </a:prstTxWarp>
                          <a:noAutofit/>
                        </wps:bodyPr>
                      </wps:wsp>
                      <wps:wsp>
                        <wps:cNvPr id="738" name="Graphic 738"/>
                        <wps:cNvSpPr/>
                        <wps:spPr>
                          <a:xfrm>
                            <a:off x="6521450" y="3940175"/>
                            <a:ext cx="1270" cy="828675"/>
                          </a:xfrm>
                          <a:custGeom>
                            <a:avLst/>
                            <a:gdLst/>
                            <a:ahLst/>
                            <a:cxnLst/>
                            <a:rect l="l" t="t" r="r" b="b"/>
                            <a:pathLst>
                              <a:path w="0" h="828675">
                                <a:moveTo>
                                  <a:pt x="0" y="0"/>
                                </a:moveTo>
                                <a:lnTo>
                                  <a:pt x="0" y="828675"/>
                                </a:lnTo>
                              </a:path>
                            </a:pathLst>
                          </a:custGeom>
                          <a:solidFill>
                            <a:srgbClr val="000000"/>
                          </a:solidFill>
                        </wps:spPr>
                        <wps:bodyPr wrap="square" lIns="0" tIns="0" rIns="0" bIns="0" rtlCol="0">
                          <a:prstTxWarp prst="textNoShape">
                            <a:avLst/>
                          </a:prstTxWarp>
                          <a:noAutofit/>
                        </wps:bodyPr>
                      </wps:wsp>
                      <wps:wsp>
                        <wps:cNvPr id="739" name="Graphic 739"/>
                        <wps:cNvSpPr/>
                        <wps:spPr>
                          <a:xfrm>
                            <a:off x="6521450" y="3940175"/>
                            <a:ext cx="1270" cy="828675"/>
                          </a:xfrm>
                          <a:custGeom>
                            <a:avLst/>
                            <a:gdLst/>
                            <a:ahLst/>
                            <a:cxnLst/>
                            <a:rect l="l" t="t" r="r" b="b"/>
                            <a:pathLst>
                              <a:path w="0" h="828675">
                                <a:moveTo>
                                  <a:pt x="0" y="0"/>
                                </a:moveTo>
                                <a:lnTo>
                                  <a:pt x="0" y="828675"/>
                                </a:lnTo>
                              </a:path>
                            </a:pathLst>
                          </a:custGeom>
                          <a:ln w="12700">
                            <a:solidFill>
                              <a:srgbClr val="000000"/>
                            </a:solidFill>
                            <a:prstDash val="solid"/>
                          </a:ln>
                        </wps:spPr>
                        <wps:bodyPr wrap="square" lIns="0" tIns="0" rIns="0" bIns="0" rtlCol="0">
                          <a:prstTxWarp prst="textNoShape">
                            <a:avLst/>
                          </a:prstTxWarp>
                          <a:noAutofit/>
                        </wps:bodyPr>
                      </wps:wsp>
                      <wps:wsp>
                        <wps:cNvPr id="740" name="Graphic 740"/>
                        <wps:cNvSpPr/>
                        <wps:spPr>
                          <a:xfrm>
                            <a:off x="6350" y="4768850"/>
                            <a:ext cx="6515100" cy="1270"/>
                          </a:xfrm>
                          <a:custGeom>
                            <a:avLst/>
                            <a:gdLst/>
                            <a:ahLst/>
                            <a:cxnLst/>
                            <a:rect l="l" t="t" r="r" b="b"/>
                            <a:pathLst>
                              <a:path w="6515100" h="0">
                                <a:moveTo>
                                  <a:pt x="6515100" y="0"/>
                                </a:moveTo>
                                <a:lnTo>
                                  <a:pt x="0" y="0"/>
                                </a:lnTo>
                              </a:path>
                            </a:pathLst>
                          </a:custGeom>
                          <a:solidFill>
                            <a:srgbClr val="000000"/>
                          </a:solidFill>
                        </wps:spPr>
                        <wps:bodyPr wrap="square" lIns="0" tIns="0" rIns="0" bIns="0" rtlCol="0">
                          <a:prstTxWarp prst="textNoShape">
                            <a:avLst/>
                          </a:prstTxWarp>
                          <a:noAutofit/>
                        </wps:bodyPr>
                      </wps:wsp>
                      <wps:wsp>
                        <wps:cNvPr id="741" name="Graphic 741"/>
                        <wps:cNvSpPr/>
                        <wps:spPr>
                          <a:xfrm>
                            <a:off x="6350" y="4768850"/>
                            <a:ext cx="6515100" cy="1270"/>
                          </a:xfrm>
                          <a:custGeom>
                            <a:avLst/>
                            <a:gdLst/>
                            <a:ahLst/>
                            <a:cxnLst/>
                            <a:rect l="l" t="t" r="r" b="b"/>
                            <a:pathLst>
                              <a:path w="6515100" h="0">
                                <a:moveTo>
                                  <a:pt x="0" y="0"/>
                                </a:moveTo>
                                <a:lnTo>
                                  <a:pt x="65151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pt;margin-top:2.419844pt;width:514pt;height:376pt;mso-position-horizontal-relative:page;mso-position-vertical-relative:paragraph;z-index:-27361280" id="docshapegroup522" coordorigin="980,48" coordsize="10280,7520">
                <v:shape style="position:absolute;left:990;top:58;width:2;height:465" id="docshape523" coordorigin="990,58" coordsize="0,465" path="m990,58l990,523e" filled="true" fillcolor="#000000" stroked="false">
                  <v:path arrowok="t"/>
                  <v:fill opacity="0f" type="solid"/>
                </v:shape>
                <v:line style="position:absolute" from="990,58" to="990,523" stroked="true" strokeweight="1pt" strokecolor="#000000">
                  <v:stroke dashstyle="solid"/>
                </v:line>
                <v:shape style="position:absolute;left:11250;top:58;width:2;height:465" id="docshape524" coordorigin="11250,58" coordsize="0,465" path="m11250,58l11250,523e" filled="true" fillcolor="#000000" stroked="false">
                  <v:path arrowok="t"/>
                  <v:fill opacity="0f" type="solid"/>
                </v:shape>
                <v:line style="position:absolute" from="11250,58" to="11250,523" stroked="true" strokeweight="1pt" strokecolor="#000000">
                  <v:stroke dashstyle="solid"/>
                </v:line>
                <v:shape style="position:absolute;left:990;top:58;width:10260;height:2" id="docshape525" coordorigin="990,58" coordsize="10260,0" path="m11250,58l990,58e" filled="true" fillcolor="#000000" stroked="false">
                  <v:path arrowok="t"/>
                  <v:fill opacity="0f" type="solid"/>
                </v:shape>
                <v:line style="position:absolute" from="990,58" to="11250,58" stroked="true" strokeweight="1pt" strokecolor="#000000">
                  <v:stroke dashstyle="solid"/>
                </v:line>
                <v:shape style="position:absolute;left:990;top:523;width:10260;height:2" id="docshape526" coordorigin="990,523" coordsize="10260,0" path="m11250,523l990,523e" filled="true" fillcolor="#000000" stroked="false">
                  <v:path arrowok="t"/>
                  <v:fill opacity="0f" type="solid"/>
                </v:shape>
                <v:line style="position:absolute" from="990,523" to="11250,523" stroked="true" strokeweight="1pt" strokecolor="#000000">
                  <v:stroke dashstyle="solid"/>
                </v:line>
                <v:shape style="position:absolute;left:990;top:523;width:2;height:5730" id="docshape527" coordorigin="990,523" coordsize="0,5730" path="m990,523l990,6253e" filled="true" fillcolor="#000000" stroked="false">
                  <v:path arrowok="t"/>
                  <v:fill opacity="0f" type="solid"/>
                </v:shape>
                <v:line style="position:absolute" from="990,523" to="990,6253" stroked="true" strokeweight="1pt" strokecolor="#000000">
                  <v:stroke dashstyle="solid"/>
                </v:line>
                <v:shape style="position:absolute;left:990;top:6253;width:2;height:1305" id="docshape528" coordorigin="990,6253" coordsize="0,1305" path="m990,6253l990,7558e" filled="true" fillcolor="#000000" stroked="false">
                  <v:path arrowok="t"/>
                  <v:fill opacity="0f" type="solid"/>
                </v:shape>
                <v:line style="position:absolute" from="990,6253" to="990,7558" stroked="true" strokeweight="1pt" strokecolor="#000000">
                  <v:stroke dashstyle="solid"/>
                </v:line>
                <v:shape style="position:absolute;left:11250;top:523;width:2;height:5730" id="docshape529" coordorigin="11250,523" coordsize="0,5730" path="m11250,523l11250,6253e" filled="true" fillcolor="#000000" stroked="false">
                  <v:path arrowok="t"/>
                  <v:fill opacity="0f" type="solid"/>
                </v:shape>
                <v:line style="position:absolute" from="11250,523" to="11250,6253" stroked="true" strokeweight="1pt" strokecolor="#000000">
                  <v:stroke dashstyle="solid"/>
                </v:line>
                <v:shape style="position:absolute;left:11250;top:6253;width:2;height:1305" id="docshape530" coordorigin="11250,6253" coordsize="0,1305" path="m11250,6253l11250,7558e" filled="true" fillcolor="#000000" stroked="false">
                  <v:path arrowok="t"/>
                  <v:fill opacity="0f" type="solid"/>
                </v:shape>
                <v:line style="position:absolute" from="11250,6253" to="11250,7558" stroked="true" strokeweight="1pt" strokecolor="#000000">
                  <v:stroke dashstyle="solid"/>
                </v:line>
                <v:shape style="position:absolute;left:990;top:7558;width:10260;height:2" id="docshape531" coordorigin="990,7558" coordsize="10260,0" path="m11250,7558l990,7558e" filled="true" fillcolor="#000000" stroked="false">
                  <v:path arrowok="t"/>
                  <v:fill opacity="0f" type="solid"/>
                </v:shape>
                <v:line style="position:absolute" from="990,7558" to="11250,7558" stroked="true" strokeweight="1pt" strokecolor="#000000">
                  <v:stroke dashstyle="solid"/>
                </v:line>
                <w10:wrap type="none"/>
              </v:group>
            </w:pict>
          </mc:Fallback>
        </mc:AlternateContent>
      </w:r>
      <w:r>
        <w:rPr>
          <w:spacing w:val="-2"/>
        </w:rPr>
        <w:t>Exhibit</w:t>
      </w:r>
    </w:p>
    <w:p>
      <w:pPr>
        <w:pStyle w:val="BodyText"/>
        <w:tabs>
          <w:tab w:pos="1497" w:val="left" w:leader="none"/>
        </w:tabs>
        <w:spacing w:line="215" w:lineRule="exact"/>
        <w:ind w:left="522"/>
      </w:pPr>
      <w:r>
        <w:rPr>
          <w:spacing w:val="-2"/>
        </w:rPr>
        <w:t>Number</w:t>
      </w:r>
      <w:r>
        <w:rPr/>
        <w:tab/>
      </w:r>
      <w:r>
        <w:rPr>
          <w:spacing w:val="-2"/>
        </w:rPr>
        <w:t>Exhibit</w:t>
      </w:r>
    </w:p>
    <w:p>
      <w:pPr>
        <w:pStyle w:val="ListParagraph"/>
        <w:numPr>
          <w:ilvl w:val="1"/>
          <w:numId w:val="8"/>
        </w:numPr>
        <w:tabs>
          <w:tab w:pos="1497" w:val="left" w:leader="none"/>
        </w:tabs>
        <w:spacing w:line="208" w:lineRule="auto" w:before="59" w:after="0"/>
        <w:ind w:left="1497" w:right="675" w:hanging="697"/>
        <w:jc w:val="left"/>
        <w:rPr>
          <w:sz w:val="20"/>
        </w:rPr>
      </w:pPr>
      <w:r>
        <w:rPr>
          <w:color w:val="0000FF"/>
          <w:sz w:val="20"/>
          <w:u w:val="single" w:color="0000FF"/>
        </w:rPr>
        <w:t>Certification</w:t>
      </w:r>
      <w:r>
        <w:rPr>
          <w:color w:val="0000FF"/>
          <w:spacing w:val="-4"/>
          <w:sz w:val="20"/>
          <w:u w:val="single" w:color="0000FF"/>
        </w:rPr>
        <w:t> </w:t>
      </w:r>
      <w:r>
        <w:rPr>
          <w:color w:val="0000FF"/>
          <w:sz w:val="20"/>
          <w:u w:val="single" w:color="0000FF"/>
        </w:rPr>
        <w:t>Pursuant</w:t>
      </w:r>
      <w:r>
        <w:rPr>
          <w:color w:val="0000FF"/>
          <w:spacing w:val="-5"/>
          <w:sz w:val="20"/>
          <w:u w:val="single" w:color="0000FF"/>
        </w:rPr>
        <w:t> </w:t>
      </w:r>
      <w:r>
        <w:rPr>
          <w:color w:val="0000FF"/>
          <w:sz w:val="20"/>
          <w:u w:val="single" w:color="0000FF"/>
        </w:rPr>
        <w:t>to</w:t>
      </w:r>
      <w:r>
        <w:rPr>
          <w:color w:val="0000FF"/>
          <w:spacing w:val="-4"/>
          <w:sz w:val="20"/>
          <w:u w:val="single" w:color="0000FF"/>
        </w:rPr>
        <w:t> </w:t>
      </w:r>
      <w:r>
        <w:rPr>
          <w:color w:val="0000FF"/>
          <w:sz w:val="20"/>
          <w:u w:val="single" w:color="0000FF"/>
        </w:rPr>
        <w:t>Rule</w:t>
      </w:r>
      <w:r>
        <w:rPr>
          <w:color w:val="0000FF"/>
          <w:spacing w:val="-5"/>
          <w:sz w:val="20"/>
          <w:u w:val="single" w:color="0000FF"/>
        </w:rPr>
        <w:t> </w:t>
      </w:r>
      <w:r>
        <w:rPr>
          <w:color w:val="0000FF"/>
          <w:sz w:val="20"/>
          <w:u w:val="single" w:color="0000FF"/>
        </w:rPr>
        <w:t>13a-14(a)/15d-14(a),</w:t>
      </w:r>
      <w:r>
        <w:rPr>
          <w:color w:val="0000FF"/>
          <w:spacing w:val="-4"/>
          <w:sz w:val="20"/>
          <w:u w:val="single" w:color="0000FF"/>
        </w:rPr>
        <w:t> </w:t>
      </w:r>
      <w:r>
        <w:rPr>
          <w:color w:val="0000FF"/>
          <w:sz w:val="20"/>
          <w:u w:val="single" w:color="0000FF"/>
        </w:rPr>
        <w:t>As</w:t>
      </w:r>
      <w:r>
        <w:rPr>
          <w:color w:val="0000FF"/>
          <w:spacing w:val="-5"/>
          <w:sz w:val="20"/>
          <w:u w:val="single" w:color="0000FF"/>
        </w:rPr>
        <w:t> </w:t>
      </w:r>
      <w:r>
        <w:rPr>
          <w:color w:val="0000FF"/>
          <w:sz w:val="20"/>
          <w:u w:val="single" w:color="0000FF"/>
        </w:rPr>
        <w:t>Adopted</w:t>
      </w:r>
      <w:r>
        <w:rPr>
          <w:color w:val="0000FF"/>
          <w:spacing w:val="-4"/>
          <w:sz w:val="20"/>
          <w:u w:val="single" w:color="0000FF"/>
        </w:rPr>
        <w:t> </w:t>
      </w:r>
      <w:r>
        <w:rPr>
          <w:color w:val="0000FF"/>
          <w:sz w:val="20"/>
          <w:u w:val="single" w:color="0000FF"/>
        </w:rPr>
        <w:t>Pursuant</w:t>
      </w:r>
      <w:r>
        <w:rPr>
          <w:color w:val="0000FF"/>
          <w:spacing w:val="-5"/>
          <w:sz w:val="20"/>
          <w:u w:val="single" w:color="0000FF"/>
        </w:rPr>
        <w:t> </w:t>
      </w:r>
      <w:r>
        <w:rPr>
          <w:color w:val="0000FF"/>
          <w:sz w:val="20"/>
          <w:u w:val="single" w:color="0000FF"/>
        </w:rPr>
        <w:t>to</w:t>
      </w:r>
      <w:r>
        <w:rPr>
          <w:color w:val="0000FF"/>
          <w:spacing w:val="-4"/>
          <w:sz w:val="20"/>
          <w:u w:val="single" w:color="0000FF"/>
        </w:rPr>
        <w:t> </w:t>
      </w:r>
      <w:r>
        <w:rPr>
          <w:color w:val="0000FF"/>
          <w:sz w:val="20"/>
          <w:u w:val="single" w:color="0000FF"/>
        </w:rPr>
        <w:t>Section</w:t>
      </w:r>
      <w:r>
        <w:rPr>
          <w:color w:val="0000FF"/>
          <w:spacing w:val="-4"/>
          <w:sz w:val="20"/>
          <w:u w:val="single" w:color="0000FF"/>
        </w:rPr>
        <w:t> </w:t>
      </w:r>
      <w:r>
        <w:rPr>
          <w:color w:val="0000FF"/>
          <w:sz w:val="20"/>
          <w:u w:val="single" w:color="0000FF"/>
        </w:rPr>
        <w:t>302</w:t>
      </w:r>
      <w:r>
        <w:rPr>
          <w:color w:val="0000FF"/>
          <w:spacing w:val="-4"/>
          <w:sz w:val="20"/>
          <w:u w:val="single" w:color="0000FF"/>
        </w:rPr>
        <w:t> </w:t>
      </w:r>
      <w:r>
        <w:rPr>
          <w:color w:val="0000FF"/>
          <w:sz w:val="20"/>
          <w:u w:val="single" w:color="0000FF"/>
        </w:rPr>
        <w:t>of</w:t>
      </w:r>
      <w:r>
        <w:rPr>
          <w:color w:val="0000FF"/>
          <w:spacing w:val="-4"/>
          <w:sz w:val="20"/>
          <w:u w:val="single" w:color="0000FF"/>
        </w:rPr>
        <w:t> </w:t>
      </w:r>
      <w:r>
        <w:rPr>
          <w:color w:val="0000FF"/>
          <w:sz w:val="20"/>
          <w:u w:val="single" w:color="0000FF"/>
        </w:rPr>
        <w:t>The</w:t>
      </w:r>
      <w:r>
        <w:rPr>
          <w:color w:val="0000FF"/>
          <w:sz w:val="20"/>
          <w:u w:val="none"/>
        </w:rPr>
        <w:t> </w:t>
      </w:r>
      <w:r>
        <w:rPr>
          <w:color w:val="0000FF"/>
          <w:sz w:val="20"/>
          <w:u w:val="single" w:color="0000FF"/>
        </w:rPr>
        <w:t>Sarbanes-Oxley Act of 2002.</w:t>
      </w:r>
    </w:p>
    <w:p>
      <w:pPr>
        <w:pStyle w:val="ListParagraph"/>
        <w:numPr>
          <w:ilvl w:val="1"/>
          <w:numId w:val="8"/>
        </w:numPr>
        <w:tabs>
          <w:tab w:pos="1497" w:val="left" w:leader="none"/>
        </w:tabs>
        <w:spacing w:line="208" w:lineRule="auto" w:before="200" w:after="0"/>
        <w:ind w:left="1497" w:right="675" w:hanging="697"/>
        <w:jc w:val="left"/>
        <w:rPr>
          <w:sz w:val="20"/>
        </w:rPr>
      </w:pPr>
      <w:r>
        <w:rPr>
          <w:color w:val="0000FF"/>
          <w:sz w:val="20"/>
          <w:u w:val="single" w:color="0000FF"/>
        </w:rPr>
        <w:t>Certification</w:t>
      </w:r>
      <w:r>
        <w:rPr>
          <w:color w:val="0000FF"/>
          <w:spacing w:val="-4"/>
          <w:sz w:val="20"/>
          <w:u w:val="single" w:color="0000FF"/>
        </w:rPr>
        <w:t> </w:t>
      </w:r>
      <w:r>
        <w:rPr>
          <w:color w:val="0000FF"/>
          <w:sz w:val="20"/>
          <w:u w:val="single" w:color="0000FF"/>
        </w:rPr>
        <w:t>Pursuant</w:t>
      </w:r>
      <w:r>
        <w:rPr>
          <w:color w:val="0000FF"/>
          <w:spacing w:val="-5"/>
          <w:sz w:val="20"/>
          <w:u w:val="single" w:color="0000FF"/>
        </w:rPr>
        <w:t> </w:t>
      </w:r>
      <w:r>
        <w:rPr>
          <w:color w:val="0000FF"/>
          <w:sz w:val="20"/>
          <w:u w:val="single" w:color="0000FF"/>
        </w:rPr>
        <w:t>to</w:t>
      </w:r>
      <w:r>
        <w:rPr>
          <w:color w:val="0000FF"/>
          <w:spacing w:val="-4"/>
          <w:sz w:val="20"/>
          <w:u w:val="single" w:color="0000FF"/>
        </w:rPr>
        <w:t> </w:t>
      </w:r>
      <w:r>
        <w:rPr>
          <w:color w:val="0000FF"/>
          <w:sz w:val="20"/>
          <w:u w:val="single" w:color="0000FF"/>
        </w:rPr>
        <w:t>Rule</w:t>
      </w:r>
      <w:r>
        <w:rPr>
          <w:color w:val="0000FF"/>
          <w:spacing w:val="-5"/>
          <w:sz w:val="20"/>
          <w:u w:val="single" w:color="0000FF"/>
        </w:rPr>
        <w:t> </w:t>
      </w:r>
      <w:r>
        <w:rPr>
          <w:color w:val="0000FF"/>
          <w:sz w:val="20"/>
          <w:u w:val="single" w:color="0000FF"/>
        </w:rPr>
        <w:t>13a-14(a)/15d-14(a),</w:t>
      </w:r>
      <w:r>
        <w:rPr>
          <w:color w:val="0000FF"/>
          <w:spacing w:val="-4"/>
          <w:sz w:val="20"/>
          <w:u w:val="single" w:color="0000FF"/>
        </w:rPr>
        <w:t> </w:t>
      </w:r>
      <w:r>
        <w:rPr>
          <w:color w:val="0000FF"/>
          <w:sz w:val="20"/>
          <w:u w:val="single" w:color="0000FF"/>
        </w:rPr>
        <w:t>As</w:t>
      </w:r>
      <w:r>
        <w:rPr>
          <w:color w:val="0000FF"/>
          <w:spacing w:val="-5"/>
          <w:sz w:val="20"/>
          <w:u w:val="single" w:color="0000FF"/>
        </w:rPr>
        <w:t> </w:t>
      </w:r>
      <w:r>
        <w:rPr>
          <w:color w:val="0000FF"/>
          <w:sz w:val="20"/>
          <w:u w:val="single" w:color="0000FF"/>
        </w:rPr>
        <w:t>Adopted</w:t>
      </w:r>
      <w:r>
        <w:rPr>
          <w:color w:val="0000FF"/>
          <w:spacing w:val="-4"/>
          <w:sz w:val="20"/>
          <w:u w:val="single" w:color="0000FF"/>
        </w:rPr>
        <w:t> </w:t>
      </w:r>
      <w:r>
        <w:rPr>
          <w:color w:val="0000FF"/>
          <w:sz w:val="20"/>
          <w:u w:val="single" w:color="0000FF"/>
        </w:rPr>
        <w:t>Pursuant</w:t>
      </w:r>
      <w:r>
        <w:rPr>
          <w:color w:val="0000FF"/>
          <w:spacing w:val="-5"/>
          <w:sz w:val="20"/>
          <w:u w:val="single" w:color="0000FF"/>
        </w:rPr>
        <w:t> </w:t>
      </w:r>
      <w:r>
        <w:rPr>
          <w:color w:val="0000FF"/>
          <w:sz w:val="20"/>
          <w:u w:val="single" w:color="0000FF"/>
        </w:rPr>
        <w:t>to</w:t>
      </w:r>
      <w:r>
        <w:rPr>
          <w:color w:val="0000FF"/>
          <w:spacing w:val="-4"/>
          <w:sz w:val="20"/>
          <w:u w:val="single" w:color="0000FF"/>
        </w:rPr>
        <w:t> </w:t>
      </w:r>
      <w:r>
        <w:rPr>
          <w:color w:val="0000FF"/>
          <w:sz w:val="20"/>
          <w:u w:val="single" w:color="0000FF"/>
        </w:rPr>
        <w:t>Section</w:t>
      </w:r>
      <w:r>
        <w:rPr>
          <w:color w:val="0000FF"/>
          <w:spacing w:val="-4"/>
          <w:sz w:val="20"/>
          <w:u w:val="single" w:color="0000FF"/>
        </w:rPr>
        <w:t> </w:t>
      </w:r>
      <w:r>
        <w:rPr>
          <w:color w:val="0000FF"/>
          <w:sz w:val="20"/>
          <w:u w:val="single" w:color="0000FF"/>
        </w:rPr>
        <w:t>302</w:t>
      </w:r>
      <w:r>
        <w:rPr>
          <w:color w:val="0000FF"/>
          <w:spacing w:val="-4"/>
          <w:sz w:val="20"/>
          <w:u w:val="single" w:color="0000FF"/>
        </w:rPr>
        <w:t> </w:t>
      </w:r>
      <w:r>
        <w:rPr>
          <w:color w:val="0000FF"/>
          <w:sz w:val="20"/>
          <w:u w:val="single" w:color="0000FF"/>
        </w:rPr>
        <w:t>of</w:t>
      </w:r>
      <w:r>
        <w:rPr>
          <w:color w:val="0000FF"/>
          <w:spacing w:val="-4"/>
          <w:sz w:val="20"/>
          <w:u w:val="single" w:color="0000FF"/>
        </w:rPr>
        <w:t> </w:t>
      </w:r>
      <w:r>
        <w:rPr>
          <w:color w:val="0000FF"/>
          <w:sz w:val="20"/>
          <w:u w:val="single" w:color="0000FF"/>
        </w:rPr>
        <w:t>The</w:t>
      </w:r>
      <w:r>
        <w:rPr>
          <w:color w:val="0000FF"/>
          <w:sz w:val="20"/>
          <w:u w:val="none"/>
        </w:rPr>
        <w:t> </w:t>
      </w:r>
      <w:r>
        <w:rPr>
          <w:color w:val="0000FF"/>
          <w:sz w:val="20"/>
          <w:u w:val="single" w:color="0000FF"/>
        </w:rPr>
        <w:t>Sarbanes-Oxley Act of 2002.</w:t>
      </w:r>
    </w:p>
    <w:p>
      <w:pPr>
        <w:pStyle w:val="ListParagraph"/>
        <w:numPr>
          <w:ilvl w:val="1"/>
          <w:numId w:val="9"/>
        </w:numPr>
        <w:tabs>
          <w:tab w:pos="1497" w:val="left" w:leader="none"/>
        </w:tabs>
        <w:spacing w:line="208" w:lineRule="auto" w:before="200" w:after="0"/>
        <w:ind w:left="1497" w:right="0" w:hanging="697"/>
        <w:jc w:val="left"/>
        <w:rPr>
          <w:sz w:val="20"/>
        </w:rPr>
      </w:pPr>
      <w:r>
        <w:rPr>
          <w:color w:val="0000FF"/>
          <w:sz w:val="20"/>
          <w:u w:val="single" w:color="0000FF"/>
        </w:rPr>
        <w:t>Certification</w:t>
      </w:r>
      <w:r>
        <w:rPr>
          <w:color w:val="0000FF"/>
          <w:spacing w:val="-3"/>
          <w:sz w:val="20"/>
          <w:u w:val="single" w:color="0000FF"/>
        </w:rPr>
        <w:t> </w:t>
      </w:r>
      <w:r>
        <w:rPr>
          <w:color w:val="0000FF"/>
          <w:sz w:val="20"/>
          <w:u w:val="single" w:color="0000FF"/>
        </w:rPr>
        <w:t>Pursuant</w:t>
      </w:r>
      <w:r>
        <w:rPr>
          <w:color w:val="0000FF"/>
          <w:spacing w:val="-4"/>
          <w:sz w:val="20"/>
          <w:u w:val="single" w:color="0000FF"/>
        </w:rPr>
        <w:t> </w:t>
      </w:r>
      <w:r>
        <w:rPr>
          <w:color w:val="0000FF"/>
          <w:sz w:val="20"/>
          <w:u w:val="single" w:color="0000FF"/>
        </w:rPr>
        <w:t>to</w:t>
      </w:r>
      <w:r>
        <w:rPr>
          <w:color w:val="0000FF"/>
          <w:spacing w:val="-3"/>
          <w:sz w:val="20"/>
          <w:u w:val="single" w:color="0000FF"/>
        </w:rPr>
        <w:t> </w:t>
      </w:r>
      <w:r>
        <w:rPr>
          <w:color w:val="0000FF"/>
          <w:sz w:val="20"/>
          <w:u w:val="single" w:color="0000FF"/>
        </w:rPr>
        <w:t>18</w:t>
      </w:r>
      <w:r>
        <w:rPr>
          <w:color w:val="0000FF"/>
          <w:spacing w:val="-3"/>
          <w:sz w:val="20"/>
          <w:u w:val="single" w:color="0000FF"/>
        </w:rPr>
        <w:t> </w:t>
      </w:r>
      <w:r>
        <w:rPr>
          <w:color w:val="0000FF"/>
          <w:sz w:val="20"/>
          <w:u w:val="single" w:color="0000FF"/>
        </w:rPr>
        <w:t>U.S.C.</w:t>
      </w:r>
      <w:r>
        <w:rPr>
          <w:color w:val="0000FF"/>
          <w:spacing w:val="-3"/>
          <w:sz w:val="20"/>
          <w:u w:val="single" w:color="0000FF"/>
        </w:rPr>
        <w:t> </w:t>
      </w:r>
      <w:r>
        <w:rPr>
          <w:color w:val="0000FF"/>
          <w:sz w:val="20"/>
          <w:u w:val="single" w:color="0000FF"/>
        </w:rPr>
        <w:t>Section</w:t>
      </w:r>
      <w:r>
        <w:rPr>
          <w:color w:val="0000FF"/>
          <w:spacing w:val="-3"/>
          <w:sz w:val="20"/>
          <w:u w:val="single" w:color="0000FF"/>
        </w:rPr>
        <w:t> </w:t>
      </w:r>
      <w:r>
        <w:rPr>
          <w:color w:val="0000FF"/>
          <w:sz w:val="20"/>
          <w:u w:val="single" w:color="0000FF"/>
        </w:rPr>
        <w:t>1350,</w:t>
      </w:r>
      <w:r>
        <w:rPr>
          <w:color w:val="0000FF"/>
          <w:spacing w:val="-3"/>
          <w:sz w:val="20"/>
          <w:u w:val="single" w:color="0000FF"/>
        </w:rPr>
        <w:t> </w:t>
      </w:r>
      <w:r>
        <w:rPr>
          <w:color w:val="0000FF"/>
          <w:sz w:val="20"/>
          <w:u w:val="single" w:color="0000FF"/>
        </w:rPr>
        <w:t>As</w:t>
      </w:r>
      <w:r>
        <w:rPr>
          <w:color w:val="0000FF"/>
          <w:spacing w:val="-4"/>
          <w:sz w:val="20"/>
          <w:u w:val="single" w:color="0000FF"/>
        </w:rPr>
        <w:t> </w:t>
      </w:r>
      <w:r>
        <w:rPr>
          <w:color w:val="0000FF"/>
          <w:sz w:val="20"/>
          <w:u w:val="single" w:color="0000FF"/>
        </w:rPr>
        <w:t>Adopted</w:t>
      </w:r>
      <w:r>
        <w:rPr>
          <w:color w:val="0000FF"/>
          <w:spacing w:val="-3"/>
          <w:sz w:val="20"/>
          <w:u w:val="single" w:color="0000FF"/>
        </w:rPr>
        <w:t> </w:t>
      </w:r>
      <w:r>
        <w:rPr>
          <w:color w:val="0000FF"/>
          <w:sz w:val="20"/>
          <w:u w:val="single" w:color="0000FF"/>
        </w:rPr>
        <w:t>Pursuant</w:t>
      </w:r>
      <w:r>
        <w:rPr>
          <w:color w:val="0000FF"/>
          <w:spacing w:val="-4"/>
          <w:sz w:val="20"/>
          <w:u w:val="single" w:color="0000FF"/>
        </w:rPr>
        <w:t> </w:t>
      </w:r>
      <w:r>
        <w:rPr>
          <w:color w:val="0000FF"/>
          <w:sz w:val="20"/>
          <w:u w:val="single" w:color="0000FF"/>
        </w:rPr>
        <w:t>to</w:t>
      </w:r>
      <w:r>
        <w:rPr>
          <w:color w:val="0000FF"/>
          <w:spacing w:val="-3"/>
          <w:sz w:val="20"/>
          <w:u w:val="single" w:color="0000FF"/>
        </w:rPr>
        <w:t> </w:t>
      </w:r>
      <w:r>
        <w:rPr>
          <w:color w:val="0000FF"/>
          <w:sz w:val="20"/>
          <w:u w:val="single" w:color="0000FF"/>
        </w:rPr>
        <w:t>Section</w:t>
      </w:r>
      <w:r>
        <w:rPr>
          <w:color w:val="0000FF"/>
          <w:spacing w:val="-3"/>
          <w:sz w:val="20"/>
          <w:u w:val="single" w:color="0000FF"/>
        </w:rPr>
        <w:t> </w:t>
      </w:r>
      <w:r>
        <w:rPr>
          <w:color w:val="0000FF"/>
          <w:sz w:val="20"/>
          <w:u w:val="single" w:color="0000FF"/>
        </w:rPr>
        <w:t>906</w:t>
      </w:r>
      <w:r>
        <w:rPr>
          <w:color w:val="0000FF"/>
          <w:spacing w:val="-3"/>
          <w:sz w:val="20"/>
          <w:u w:val="single" w:color="0000FF"/>
        </w:rPr>
        <w:t> </w:t>
      </w:r>
      <w:r>
        <w:rPr>
          <w:color w:val="0000FF"/>
          <w:sz w:val="20"/>
          <w:u w:val="single" w:color="0000FF"/>
        </w:rPr>
        <w:t>of</w:t>
      </w:r>
      <w:r>
        <w:rPr>
          <w:color w:val="0000FF"/>
          <w:spacing w:val="-3"/>
          <w:sz w:val="20"/>
          <w:u w:val="single" w:color="0000FF"/>
        </w:rPr>
        <w:t> </w:t>
      </w:r>
      <w:r>
        <w:rPr>
          <w:color w:val="0000FF"/>
          <w:sz w:val="20"/>
          <w:u w:val="single" w:color="0000FF"/>
        </w:rPr>
        <w:t>The</w:t>
      </w:r>
      <w:r>
        <w:rPr>
          <w:color w:val="0000FF"/>
          <w:spacing w:val="-4"/>
          <w:sz w:val="20"/>
          <w:u w:val="single" w:color="0000FF"/>
        </w:rPr>
        <w:t> </w:t>
      </w:r>
      <w:r>
        <w:rPr>
          <w:color w:val="0000FF"/>
          <w:sz w:val="20"/>
          <w:u w:val="single" w:color="0000FF"/>
        </w:rPr>
        <w:t>Sarbanes-</w:t>
      </w:r>
      <w:r>
        <w:rPr>
          <w:color w:val="0000FF"/>
          <w:sz w:val="20"/>
          <w:u w:val="none"/>
        </w:rPr>
        <w:t> </w:t>
      </w:r>
      <w:r>
        <w:rPr>
          <w:color w:val="0000FF"/>
          <w:sz w:val="20"/>
          <w:u w:val="single" w:color="0000FF"/>
        </w:rPr>
        <w:t>Oxley Act of 2002.</w:t>
      </w:r>
    </w:p>
    <w:p>
      <w:pPr>
        <w:pStyle w:val="ListParagraph"/>
        <w:numPr>
          <w:ilvl w:val="1"/>
          <w:numId w:val="9"/>
        </w:numPr>
        <w:tabs>
          <w:tab w:pos="1497" w:val="left" w:leader="none"/>
        </w:tabs>
        <w:spacing w:line="238" w:lineRule="exact" w:before="146" w:after="0"/>
        <w:ind w:left="1497" w:right="0" w:hanging="696"/>
        <w:jc w:val="left"/>
        <w:rPr>
          <w:position w:val="3"/>
          <w:sz w:val="20"/>
        </w:rPr>
      </w:pPr>
      <w:r>
        <w:rPr>
          <w:color w:val="0000FF"/>
          <w:sz w:val="20"/>
          <w:u w:val="single" w:color="0000FF"/>
        </w:rPr>
        <w:t>Certification</w:t>
      </w:r>
      <w:r>
        <w:rPr>
          <w:color w:val="0000FF"/>
          <w:spacing w:val="-5"/>
          <w:sz w:val="20"/>
          <w:u w:val="single" w:color="0000FF"/>
        </w:rPr>
        <w:t> </w:t>
      </w:r>
      <w:r>
        <w:rPr>
          <w:color w:val="0000FF"/>
          <w:sz w:val="20"/>
          <w:u w:val="single" w:color="0000FF"/>
        </w:rPr>
        <w:t>Pursuant</w:t>
      </w:r>
      <w:r>
        <w:rPr>
          <w:color w:val="0000FF"/>
          <w:spacing w:val="-3"/>
          <w:sz w:val="20"/>
          <w:u w:val="single" w:color="0000FF"/>
        </w:rPr>
        <w:t> </w:t>
      </w:r>
      <w:r>
        <w:rPr>
          <w:color w:val="0000FF"/>
          <w:sz w:val="20"/>
          <w:u w:val="single" w:color="0000FF"/>
        </w:rPr>
        <w:t>to</w:t>
      </w:r>
      <w:r>
        <w:rPr>
          <w:color w:val="0000FF"/>
          <w:spacing w:val="-2"/>
          <w:sz w:val="20"/>
          <w:u w:val="single" w:color="0000FF"/>
        </w:rPr>
        <w:t> </w:t>
      </w:r>
      <w:r>
        <w:rPr>
          <w:color w:val="0000FF"/>
          <w:sz w:val="20"/>
          <w:u w:val="single" w:color="0000FF"/>
        </w:rPr>
        <w:t>18</w:t>
      </w:r>
      <w:r>
        <w:rPr>
          <w:color w:val="0000FF"/>
          <w:spacing w:val="-3"/>
          <w:sz w:val="20"/>
          <w:u w:val="single" w:color="0000FF"/>
        </w:rPr>
        <w:t> </w:t>
      </w:r>
      <w:r>
        <w:rPr>
          <w:color w:val="0000FF"/>
          <w:sz w:val="20"/>
          <w:u w:val="single" w:color="0000FF"/>
        </w:rPr>
        <w:t>U.S.C.</w:t>
      </w:r>
      <w:r>
        <w:rPr>
          <w:color w:val="0000FF"/>
          <w:spacing w:val="-2"/>
          <w:sz w:val="20"/>
          <w:u w:val="single" w:color="0000FF"/>
        </w:rPr>
        <w:t> </w:t>
      </w:r>
      <w:r>
        <w:rPr>
          <w:color w:val="0000FF"/>
          <w:sz w:val="20"/>
          <w:u w:val="single" w:color="0000FF"/>
        </w:rPr>
        <w:t>Section</w:t>
      </w:r>
      <w:r>
        <w:rPr>
          <w:color w:val="0000FF"/>
          <w:spacing w:val="-3"/>
          <w:sz w:val="20"/>
          <w:u w:val="single" w:color="0000FF"/>
        </w:rPr>
        <w:t> </w:t>
      </w:r>
      <w:r>
        <w:rPr>
          <w:color w:val="0000FF"/>
          <w:sz w:val="20"/>
          <w:u w:val="single" w:color="0000FF"/>
        </w:rPr>
        <w:t>1350,</w:t>
      </w:r>
      <w:r>
        <w:rPr>
          <w:color w:val="0000FF"/>
          <w:spacing w:val="-2"/>
          <w:sz w:val="20"/>
          <w:u w:val="single" w:color="0000FF"/>
        </w:rPr>
        <w:t> </w:t>
      </w:r>
      <w:r>
        <w:rPr>
          <w:color w:val="0000FF"/>
          <w:sz w:val="20"/>
          <w:u w:val="single" w:color="0000FF"/>
        </w:rPr>
        <w:t>As</w:t>
      </w:r>
      <w:r>
        <w:rPr>
          <w:color w:val="0000FF"/>
          <w:spacing w:val="-3"/>
          <w:sz w:val="20"/>
          <w:u w:val="single" w:color="0000FF"/>
        </w:rPr>
        <w:t> </w:t>
      </w:r>
      <w:r>
        <w:rPr>
          <w:color w:val="0000FF"/>
          <w:sz w:val="20"/>
          <w:u w:val="single" w:color="0000FF"/>
        </w:rPr>
        <w:t>Adopted</w:t>
      </w:r>
      <w:r>
        <w:rPr>
          <w:color w:val="0000FF"/>
          <w:spacing w:val="-3"/>
          <w:sz w:val="20"/>
          <w:u w:val="single" w:color="0000FF"/>
        </w:rPr>
        <w:t> </w:t>
      </w:r>
      <w:r>
        <w:rPr>
          <w:color w:val="0000FF"/>
          <w:sz w:val="20"/>
          <w:u w:val="single" w:color="0000FF"/>
        </w:rPr>
        <w:t>Pursuant</w:t>
      </w:r>
      <w:r>
        <w:rPr>
          <w:color w:val="0000FF"/>
          <w:spacing w:val="-3"/>
          <w:sz w:val="20"/>
          <w:u w:val="single" w:color="0000FF"/>
        </w:rPr>
        <w:t> </w:t>
      </w:r>
      <w:r>
        <w:rPr>
          <w:color w:val="0000FF"/>
          <w:sz w:val="20"/>
          <w:u w:val="single" w:color="0000FF"/>
        </w:rPr>
        <w:t>to</w:t>
      </w:r>
      <w:r>
        <w:rPr>
          <w:color w:val="0000FF"/>
          <w:spacing w:val="-2"/>
          <w:sz w:val="20"/>
          <w:u w:val="single" w:color="0000FF"/>
        </w:rPr>
        <w:t> </w:t>
      </w:r>
      <w:r>
        <w:rPr>
          <w:color w:val="0000FF"/>
          <w:sz w:val="20"/>
          <w:u w:val="single" w:color="0000FF"/>
        </w:rPr>
        <w:t>Section</w:t>
      </w:r>
      <w:r>
        <w:rPr>
          <w:color w:val="0000FF"/>
          <w:spacing w:val="-2"/>
          <w:sz w:val="20"/>
          <w:u w:val="single" w:color="0000FF"/>
        </w:rPr>
        <w:t> </w:t>
      </w:r>
      <w:r>
        <w:rPr>
          <w:color w:val="0000FF"/>
          <w:sz w:val="20"/>
          <w:u w:val="single" w:color="0000FF"/>
        </w:rPr>
        <w:t>906</w:t>
      </w:r>
      <w:r>
        <w:rPr>
          <w:color w:val="0000FF"/>
          <w:spacing w:val="-3"/>
          <w:sz w:val="20"/>
          <w:u w:val="single" w:color="0000FF"/>
        </w:rPr>
        <w:t> </w:t>
      </w:r>
      <w:r>
        <w:rPr>
          <w:color w:val="0000FF"/>
          <w:sz w:val="20"/>
          <w:u w:val="single" w:color="0000FF"/>
        </w:rPr>
        <w:t>of</w:t>
      </w:r>
      <w:r>
        <w:rPr>
          <w:color w:val="0000FF"/>
          <w:spacing w:val="-2"/>
          <w:sz w:val="20"/>
          <w:u w:val="single" w:color="0000FF"/>
        </w:rPr>
        <w:t> </w:t>
      </w:r>
      <w:r>
        <w:rPr>
          <w:color w:val="0000FF"/>
          <w:sz w:val="20"/>
          <w:u w:val="single" w:color="0000FF"/>
        </w:rPr>
        <w:t>The</w:t>
      </w:r>
      <w:r>
        <w:rPr>
          <w:color w:val="0000FF"/>
          <w:spacing w:val="-3"/>
          <w:sz w:val="20"/>
          <w:u w:val="single" w:color="0000FF"/>
        </w:rPr>
        <w:t> </w:t>
      </w:r>
      <w:r>
        <w:rPr>
          <w:color w:val="0000FF"/>
          <w:spacing w:val="-2"/>
          <w:sz w:val="20"/>
          <w:u w:val="single" w:color="0000FF"/>
        </w:rPr>
        <w:t>Sarbanes-</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3"/>
      </w:pPr>
    </w:p>
    <w:p>
      <w:pPr>
        <w:pStyle w:val="BodyText"/>
        <w:ind w:left="402"/>
      </w:pPr>
      <w:r>
        <w:rPr>
          <w:spacing w:val="-5"/>
        </w:rPr>
        <w:t>(1)</w:t>
      </w:r>
    </w:p>
    <w:p>
      <w:pPr>
        <w:spacing w:after="0"/>
        <w:sectPr>
          <w:type w:val="continuous"/>
          <w:pgSz w:w="12240" w:h="15840"/>
          <w:pgMar w:header="467" w:footer="201" w:top="320" w:bottom="280" w:left="520" w:right="520"/>
          <w:cols w:num="2" w:equalWidth="0">
            <w:col w:w="9830" w:space="40"/>
            <w:col w:w="1330"/>
          </w:cols>
        </w:sectPr>
      </w:pPr>
    </w:p>
    <w:p>
      <w:pPr>
        <w:pStyle w:val="BodyText"/>
        <w:tabs>
          <w:tab w:pos="10272" w:val="left" w:leader="none"/>
        </w:tabs>
        <w:spacing w:line="222" w:lineRule="exact"/>
        <w:ind w:left="1497"/>
      </w:pPr>
      <w:r>
        <w:rPr>
          <w:color w:val="0000FF"/>
          <w:u w:val="single" w:color="0000FF"/>
        </w:rPr>
        <w:t>Oxley</w:t>
      </w:r>
      <w:r>
        <w:rPr>
          <w:color w:val="0000FF"/>
          <w:spacing w:val="-2"/>
          <w:u w:val="single" w:color="0000FF"/>
        </w:rPr>
        <w:t> </w:t>
      </w:r>
      <w:r>
        <w:rPr>
          <w:color w:val="0000FF"/>
          <w:u w:val="single" w:color="0000FF"/>
        </w:rPr>
        <w:t>Act</w:t>
      </w:r>
      <w:r>
        <w:rPr>
          <w:color w:val="0000FF"/>
          <w:spacing w:val="-3"/>
          <w:u w:val="single" w:color="0000FF"/>
        </w:rPr>
        <w:t> </w:t>
      </w:r>
      <w:r>
        <w:rPr>
          <w:color w:val="0000FF"/>
          <w:u w:val="single" w:color="0000FF"/>
        </w:rPr>
        <w:t>of</w:t>
      </w:r>
      <w:r>
        <w:rPr>
          <w:color w:val="0000FF"/>
          <w:spacing w:val="-1"/>
          <w:u w:val="single" w:color="0000FF"/>
        </w:rPr>
        <w:t> </w:t>
      </w:r>
      <w:r>
        <w:rPr>
          <w:color w:val="0000FF"/>
          <w:spacing w:val="-2"/>
          <w:u w:val="single" w:color="0000FF"/>
        </w:rPr>
        <w:t>2002.</w:t>
      </w:r>
      <w:r>
        <w:rPr>
          <w:color w:val="0000FF"/>
          <w:u w:val="none"/>
        </w:rPr>
        <w:tab/>
      </w:r>
      <w:r>
        <w:rPr>
          <w:spacing w:val="-5"/>
          <w:u w:val="none"/>
        </w:rPr>
        <w:t>(1)</w:t>
      </w:r>
    </w:p>
    <w:p>
      <w:pPr>
        <w:spacing w:after="0" w:line="222" w:lineRule="exact"/>
        <w:sectPr>
          <w:type w:val="continuous"/>
          <w:pgSz w:w="12240" w:h="15840"/>
          <w:pgMar w:header="467" w:footer="201" w:top="320" w:bottom="280" w:left="520" w:right="520"/>
        </w:sectPr>
      </w:pPr>
    </w:p>
    <w:p>
      <w:pPr>
        <w:pStyle w:val="BodyText"/>
        <w:tabs>
          <w:tab w:pos="1497" w:val="left" w:leader="none"/>
        </w:tabs>
        <w:spacing w:line="208" w:lineRule="auto" w:before="163"/>
        <w:ind w:left="1497" w:hanging="877"/>
      </w:pPr>
      <w:r>
        <w:rPr>
          <w:spacing w:val="-2"/>
        </w:rPr>
        <w:t>101.INS</w:t>
      </w:r>
      <w:r>
        <w:rPr/>
        <w:tab/>
        <w:t>Inline</w:t>
      </w:r>
      <w:r>
        <w:rPr>
          <w:spacing w:val="-4"/>
        </w:rPr>
        <w:t> </w:t>
      </w:r>
      <w:r>
        <w:rPr/>
        <w:t>XBRL</w:t>
      </w:r>
      <w:r>
        <w:rPr>
          <w:spacing w:val="-4"/>
        </w:rPr>
        <w:t> </w:t>
      </w:r>
      <w:r>
        <w:rPr/>
        <w:t>Instance</w:t>
      </w:r>
      <w:r>
        <w:rPr>
          <w:spacing w:val="-4"/>
        </w:rPr>
        <w:t> </w:t>
      </w:r>
      <w:r>
        <w:rPr/>
        <w:t>Document</w:t>
      </w:r>
      <w:r>
        <w:rPr>
          <w:spacing w:val="-4"/>
        </w:rPr>
        <w:t> </w:t>
      </w:r>
      <w:r>
        <w:rPr/>
        <w:t>–</w:t>
      </w:r>
      <w:r>
        <w:rPr>
          <w:spacing w:val="-3"/>
        </w:rPr>
        <w:t> </w:t>
      </w:r>
      <w:r>
        <w:rPr/>
        <w:t>the</w:t>
      </w:r>
      <w:r>
        <w:rPr>
          <w:spacing w:val="-4"/>
        </w:rPr>
        <w:t> </w:t>
      </w:r>
      <w:r>
        <w:rPr/>
        <w:t>instance</w:t>
      </w:r>
      <w:r>
        <w:rPr>
          <w:spacing w:val="-4"/>
        </w:rPr>
        <w:t> </w:t>
      </w:r>
      <w:r>
        <w:rPr/>
        <w:t>document</w:t>
      </w:r>
      <w:r>
        <w:rPr>
          <w:spacing w:val="-4"/>
        </w:rPr>
        <w:t> </w:t>
      </w:r>
      <w:r>
        <w:rPr/>
        <w:t>does</w:t>
      </w:r>
      <w:r>
        <w:rPr>
          <w:spacing w:val="-4"/>
        </w:rPr>
        <w:t> </w:t>
      </w:r>
      <w:r>
        <w:rPr/>
        <w:t>not</w:t>
      </w:r>
      <w:r>
        <w:rPr>
          <w:spacing w:val="-4"/>
        </w:rPr>
        <w:t> </w:t>
      </w:r>
      <w:r>
        <w:rPr/>
        <w:t>appear</w:t>
      </w:r>
      <w:r>
        <w:rPr>
          <w:spacing w:val="-3"/>
        </w:rPr>
        <w:t> </w:t>
      </w:r>
      <w:r>
        <w:rPr/>
        <w:t>in</w:t>
      </w:r>
      <w:r>
        <w:rPr>
          <w:spacing w:val="-3"/>
        </w:rPr>
        <w:t> </w:t>
      </w:r>
      <w:r>
        <w:rPr/>
        <w:t>the</w:t>
      </w:r>
      <w:r>
        <w:rPr>
          <w:spacing w:val="-4"/>
        </w:rPr>
        <w:t> </w:t>
      </w:r>
      <w:r>
        <w:rPr/>
        <w:t>Interactive</w:t>
      </w:r>
      <w:r>
        <w:rPr>
          <w:spacing w:val="-4"/>
        </w:rPr>
        <w:t> </w:t>
      </w:r>
      <w:r>
        <w:rPr/>
        <w:t>Data</w:t>
      </w:r>
      <w:r>
        <w:rPr>
          <w:spacing w:val="-4"/>
        </w:rPr>
        <w:t> </w:t>
      </w:r>
      <w:r>
        <w:rPr/>
        <w:t>File because its XBRL tags are embedded within the Inline XBRL document.</w:t>
      </w:r>
    </w:p>
    <w:p>
      <w:pPr>
        <w:spacing w:before="139"/>
        <w:ind w:left="0" w:right="86" w:firstLine="0"/>
        <w:jc w:val="center"/>
        <w:rPr>
          <w:sz w:val="20"/>
        </w:rPr>
      </w:pPr>
      <w:r>
        <w:rPr/>
        <w:br w:type="column"/>
      </w:r>
      <w:r>
        <w:rPr>
          <w:spacing w:val="-5"/>
          <w:sz w:val="20"/>
        </w:rPr>
        <w:t>(2)</w:t>
      </w:r>
    </w:p>
    <w:p>
      <w:pPr>
        <w:spacing w:after="0"/>
        <w:jc w:val="center"/>
        <w:rPr>
          <w:sz w:val="20"/>
        </w:rPr>
        <w:sectPr>
          <w:type w:val="continuous"/>
          <w:pgSz w:w="12240" w:h="15840"/>
          <w:pgMar w:header="467" w:footer="201" w:top="320" w:bottom="280" w:left="520" w:right="520"/>
          <w:cols w:num="2" w:equalWidth="0">
            <w:col w:w="9626" w:space="40"/>
            <w:col w:w="1534"/>
          </w:cols>
        </w:sectPr>
      </w:pPr>
    </w:p>
    <w:p>
      <w:pPr>
        <w:pStyle w:val="BodyText"/>
        <w:tabs>
          <w:tab w:pos="10272" w:val="left" w:leader="none"/>
        </w:tabs>
        <w:spacing w:before="176"/>
        <w:ind w:left="588"/>
      </w:pPr>
      <w:r>
        <w:rPr/>
        <w:t>101.SCH</w:t>
      </w:r>
      <w:r>
        <w:rPr>
          <w:spacing w:val="31"/>
        </w:rPr>
        <w:t>  </w:t>
      </w:r>
      <w:r>
        <w:rPr/>
        <w:t>Inline</w:t>
      </w:r>
      <w:r>
        <w:rPr>
          <w:spacing w:val="-2"/>
        </w:rPr>
        <w:t> </w:t>
      </w:r>
      <w:r>
        <w:rPr/>
        <w:t>XBRL</w:t>
      </w:r>
      <w:r>
        <w:rPr>
          <w:spacing w:val="-3"/>
        </w:rPr>
        <w:t> </w:t>
      </w:r>
      <w:r>
        <w:rPr/>
        <w:t>Taxonomy</w:t>
      </w:r>
      <w:r>
        <w:rPr>
          <w:spacing w:val="-2"/>
        </w:rPr>
        <w:t> </w:t>
      </w:r>
      <w:r>
        <w:rPr/>
        <w:t>Extension</w:t>
      </w:r>
      <w:r>
        <w:rPr>
          <w:spacing w:val="-2"/>
        </w:rPr>
        <w:t> Schema</w:t>
      </w:r>
      <w:r>
        <w:rPr/>
        <w:tab/>
      </w:r>
      <w:r>
        <w:rPr>
          <w:spacing w:val="-5"/>
        </w:rPr>
        <w:t>(2)</w:t>
      </w:r>
    </w:p>
    <w:p>
      <w:pPr>
        <w:pStyle w:val="BodyText"/>
        <w:tabs>
          <w:tab w:pos="10272" w:val="left" w:leader="none"/>
        </w:tabs>
        <w:spacing w:before="160"/>
        <w:ind w:left="582"/>
      </w:pPr>
      <w:r>
        <w:rPr/>
        <w:t>101.CAL</w:t>
      </w:r>
      <w:r>
        <w:rPr>
          <w:spacing w:val="29"/>
        </w:rPr>
        <w:t>  </w:t>
      </w:r>
      <w:r>
        <w:rPr/>
        <w:t>Inline</w:t>
      </w:r>
      <w:r>
        <w:rPr>
          <w:spacing w:val="-3"/>
        </w:rPr>
        <w:t> </w:t>
      </w:r>
      <w:r>
        <w:rPr/>
        <w:t>XBRL</w:t>
      </w:r>
      <w:r>
        <w:rPr>
          <w:spacing w:val="-3"/>
        </w:rPr>
        <w:t> </w:t>
      </w:r>
      <w:r>
        <w:rPr/>
        <w:t>Taxonomy</w:t>
      </w:r>
      <w:r>
        <w:rPr>
          <w:spacing w:val="-2"/>
        </w:rPr>
        <w:t> </w:t>
      </w:r>
      <w:r>
        <w:rPr/>
        <w:t>Extension</w:t>
      </w:r>
      <w:r>
        <w:rPr>
          <w:spacing w:val="-2"/>
        </w:rPr>
        <w:t> Calculation</w:t>
      </w:r>
      <w:r>
        <w:rPr/>
        <w:tab/>
      </w:r>
      <w:r>
        <w:rPr>
          <w:spacing w:val="-5"/>
        </w:rPr>
        <w:t>(2)</w:t>
      </w:r>
    </w:p>
    <w:p>
      <w:pPr>
        <w:pStyle w:val="BodyText"/>
        <w:tabs>
          <w:tab w:pos="10272" w:val="left" w:leader="none"/>
        </w:tabs>
        <w:spacing w:before="160"/>
        <w:ind w:left="593"/>
      </w:pPr>
      <w:r>
        <w:rPr/>
        <w:t>101.DEF</w:t>
      </w:r>
      <w:r>
        <w:rPr>
          <w:spacing w:val="34"/>
        </w:rPr>
        <w:t>  </w:t>
      </w:r>
      <w:r>
        <w:rPr/>
        <w:t>Inline</w:t>
      </w:r>
      <w:r>
        <w:rPr>
          <w:spacing w:val="-2"/>
        </w:rPr>
        <w:t> </w:t>
      </w:r>
      <w:r>
        <w:rPr/>
        <w:t>XBRL</w:t>
      </w:r>
      <w:r>
        <w:rPr>
          <w:spacing w:val="-3"/>
        </w:rPr>
        <w:t> </w:t>
      </w:r>
      <w:r>
        <w:rPr/>
        <w:t>Extension</w:t>
      </w:r>
      <w:r>
        <w:rPr>
          <w:spacing w:val="-1"/>
        </w:rPr>
        <w:t> </w:t>
      </w:r>
      <w:r>
        <w:rPr>
          <w:spacing w:val="-2"/>
        </w:rPr>
        <w:t>Definition</w:t>
      </w:r>
      <w:r>
        <w:rPr/>
        <w:tab/>
      </w:r>
      <w:r>
        <w:rPr>
          <w:spacing w:val="-5"/>
        </w:rPr>
        <w:t>(2)</w:t>
      </w:r>
    </w:p>
    <w:p>
      <w:pPr>
        <w:pStyle w:val="BodyText"/>
        <w:tabs>
          <w:tab w:pos="10272" w:val="left" w:leader="none"/>
        </w:tabs>
        <w:spacing w:before="160"/>
        <w:ind w:left="582"/>
      </w:pPr>
      <w:r>
        <w:rPr/>
        <w:t>101.LAB</w:t>
      </w:r>
      <w:r>
        <w:rPr>
          <w:spacing w:val="29"/>
        </w:rPr>
        <w:t>  </w:t>
      </w:r>
      <w:r>
        <w:rPr/>
        <w:t>Inline</w:t>
      </w:r>
      <w:r>
        <w:rPr>
          <w:spacing w:val="-3"/>
        </w:rPr>
        <w:t> </w:t>
      </w:r>
      <w:r>
        <w:rPr/>
        <w:t>XBRL</w:t>
      </w:r>
      <w:r>
        <w:rPr>
          <w:spacing w:val="-3"/>
        </w:rPr>
        <w:t> </w:t>
      </w:r>
      <w:r>
        <w:rPr/>
        <w:t>Taxonomy</w:t>
      </w:r>
      <w:r>
        <w:rPr>
          <w:spacing w:val="-2"/>
        </w:rPr>
        <w:t> </w:t>
      </w:r>
      <w:r>
        <w:rPr/>
        <w:t>Extension</w:t>
      </w:r>
      <w:r>
        <w:rPr>
          <w:spacing w:val="-2"/>
        </w:rPr>
        <w:t> </w:t>
      </w:r>
      <w:r>
        <w:rPr>
          <w:spacing w:val="-4"/>
        </w:rPr>
        <w:t>Label</w:t>
      </w:r>
      <w:r>
        <w:rPr/>
        <w:tab/>
      </w:r>
      <w:r>
        <w:rPr>
          <w:spacing w:val="-5"/>
        </w:rPr>
        <w:t>(2)</w:t>
      </w:r>
    </w:p>
    <w:p>
      <w:pPr>
        <w:pStyle w:val="BodyText"/>
        <w:tabs>
          <w:tab w:pos="10272" w:val="left" w:leader="none"/>
        </w:tabs>
        <w:spacing w:before="160"/>
        <w:ind w:left="599"/>
      </w:pPr>
      <w:r>
        <w:rPr/>
        <w:t>101.PRE</w:t>
      </w:r>
      <w:r>
        <w:rPr>
          <w:spacing w:val="36"/>
        </w:rPr>
        <w:t>  </w:t>
      </w:r>
      <w:r>
        <w:rPr/>
        <w:t>Inline</w:t>
      </w:r>
      <w:r>
        <w:rPr>
          <w:spacing w:val="-2"/>
        </w:rPr>
        <w:t> </w:t>
      </w:r>
      <w:r>
        <w:rPr/>
        <w:t>XBRL</w:t>
      </w:r>
      <w:r>
        <w:rPr>
          <w:spacing w:val="-3"/>
        </w:rPr>
        <w:t> </w:t>
      </w:r>
      <w:r>
        <w:rPr/>
        <w:t>Taxonomy</w:t>
      </w:r>
      <w:r>
        <w:rPr>
          <w:spacing w:val="-2"/>
        </w:rPr>
        <w:t> </w:t>
      </w:r>
      <w:r>
        <w:rPr/>
        <w:t>Extension</w:t>
      </w:r>
      <w:r>
        <w:rPr>
          <w:spacing w:val="-1"/>
        </w:rPr>
        <w:t> </w:t>
      </w:r>
      <w:r>
        <w:rPr>
          <w:spacing w:val="-2"/>
        </w:rPr>
        <w:t>Presentation</w:t>
      </w:r>
      <w:r>
        <w:rPr/>
        <w:tab/>
      </w:r>
      <w:r>
        <w:rPr>
          <w:spacing w:val="-5"/>
        </w:rPr>
        <w:t>(2)</w:t>
      </w:r>
    </w:p>
    <w:p>
      <w:pPr>
        <w:pStyle w:val="BodyText"/>
        <w:tabs>
          <w:tab w:pos="1497" w:val="left" w:leader="none"/>
        </w:tabs>
        <w:spacing w:before="160"/>
        <w:ind w:left="807"/>
      </w:pPr>
      <w:r>
        <w:rPr>
          <w:spacing w:val="-5"/>
        </w:rPr>
        <w:t>104</w:t>
      </w:r>
      <w:r>
        <w:rPr/>
        <w:tab/>
        <w:t>Cover</w:t>
      </w:r>
      <w:r>
        <w:rPr>
          <w:spacing w:val="-5"/>
        </w:rPr>
        <w:t> </w:t>
      </w:r>
      <w:r>
        <w:rPr/>
        <w:t>Page</w:t>
      </w:r>
      <w:r>
        <w:rPr>
          <w:spacing w:val="-4"/>
        </w:rPr>
        <w:t> </w:t>
      </w:r>
      <w:r>
        <w:rPr/>
        <w:t>Interactive</w:t>
      </w:r>
      <w:r>
        <w:rPr>
          <w:spacing w:val="-4"/>
        </w:rPr>
        <w:t> </w:t>
      </w:r>
      <w:r>
        <w:rPr/>
        <w:t>Data</w:t>
      </w:r>
      <w:r>
        <w:rPr>
          <w:spacing w:val="-4"/>
        </w:rPr>
        <w:t> </w:t>
      </w:r>
      <w:r>
        <w:rPr/>
        <w:t>File</w:t>
      </w:r>
      <w:r>
        <w:rPr>
          <w:spacing w:val="-4"/>
        </w:rPr>
        <w:t> </w:t>
      </w:r>
      <w:r>
        <w:rPr/>
        <w:t>(formatted</w:t>
      </w:r>
      <w:r>
        <w:rPr>
          <w:spacing w:val="-3"/>
        </w:rPr>
        <w:t> </w:t>
      </w:r>
      <w:r>
        <w:rPr/>
        <w:t>as</w:t>
      </w:r>
      <w:r>
        <w:rPr>
          <w:spacing w:val="-3"/>
        </w:rPr>
        <w:t> </w:t>
      </w:r>
      <w:r>
        <w:rPr/>
        <w:t>Inline</w:t>
      </w:r>
      <w:r>
        <w:rPr>
          <w:spacing w:val="-4"/>
        </w:rPr>
        <w:t> </w:t>
      </w:r>
      <w:r>
        <w:rPr/>
        <w:t>XBRL</w:t>
      </w:r>
      <w:r>
        <w:rPr>
          <w:spacing w:val="-4"/>
        </w:rPr>
        <w:t> </w:t>
      </w:r>
      <w:r>
        <w:rPr/>
        <w:t>and</w:t>
      </w:r>
      <w:r>
        <w:rPr>
          <w:spacing w:val="-3"/>
        </w:rPr>
        <w:t> </w:t>
      </w:r>
      <w:r>
        <w:rPr/>
        <w:t>contained</w:t>
      </w:r>
      <w:r>
        <w:rPr>
          <w:spacing w:val="-3"/>
        </w:rPr>
        <w:t> </w:t>
      </w:r>
      <w:r>
        <w:rPr/>
        <w:t>in</w:t>
      </w:r>
      <w:r>
        <w:rPr>
          <w:spacing w:val="-3"/>
        </w:rPr>
        <w:t> </w:t>
      </w:r>
      <w:r>
        <w:rPr/>
        <w:t>Exhibit</w:t>
      </w:r>
      <w:r>
        <w:rPr>
          <w:spacing w:val="-3"/>
        </w:rPr>
        <w:t> </w:t>
      </w:r>
      <w:r>
        <w:rPr>
          <w:spacing w:val="-4"/>
        </w:rPr>
        <w:t>101)</w:t>
      </w:r>
    </w:p>
    <w:p>
      <w:pPr>
        <w:pStyle w:val="ListParagraph"/>
        <w:numPr>
          <w:ilvl w:val="0"/>
          <w:numId w:val="10"/>
        </w:numPr>
        <w:tabs>
          <w:tab w:pos="1497" w:val="left" w:leader="none"/>
        </w:tabs>
        <w:spacing w:line="240" w:lineRule="auto" w:before="175" w:after="0"/>
        <w:ind w:left="1497" w:right="0" w:hanging="638"/>
        <w:jc w:val="left"/>
        <w:rPr>
          <w:i/>
          <w:sz w:val="20"/>
        </w:rPr>
      </w:pPr>
      <w:r>
        <w:rPr>
          <w:i/>
          <w:sz w:val="20"/>
        </w:rPr>
        <w:t>Furnished</w:t>
      </w:r>
      <w:r>
        <w:rPr>
          <w:i/>
          <w:spacing w:val="-5"/>
          <w:sz w:val="20"/>
        </w:rPr>
        <w:t> </w:t>
      </w:r>
      <w:r>
        <w:rPr>
          <w:i/>
          <w:sz w:val="20"/>
        </w:rPr>
        <w:t>as</w:t>
      </w:r>
      <w:r>
        <w:rPr>
          <w:i/>
          <w:spacing w:val="-3"/>
          <w:sz w:val="20"/>
        </w:rPr>
        <w:t> </w:t>
      </w:r>
      <w:r>
        <w:rPr>
          <w:i/>
          <w:sz w:val="20"/>
        </w:rPr>
        <w:t>an</w:t>
      </w:r>
      <w:r>
        <w:rPr>
          <w:i/>
          <w:spacing w:val="-2"/>
          <w:sz w:val="20"/>
        </w:rPr>
        <w:t> </w:t>
      </w:r>
      <w:r>
        <w:rPr>
          <w:i/>
          <w:sz w:val="20"/>
        </w:rPr>
        <w:t>exhibit</w:t>
      </w:r>
      <w:r>
        <w:rPr>
          <w:i/>
          <w:spacing w:val="-4"/>
          <w:sz w:val="20"/>
        </w:rPr>
        <w:t> </w:t>
      </w:r>
      <w:r>
        <w:rPr>
          <w:i/>
          <w:sz w:val="20"/>
        </w:rPr>
        <w:t>to</w:t>
      </w:r>
      <w:r>
        <w:rPr>
          <w:i/>
          <w:spacing w:val="-2"/>
          <w:sz w:val="20"/>
        </w:rPr>
        <w:t> </w:t>
      </w:r>
      <w:r>
        <w:rPr>
          <w:i/>
          <w:sz w:val="20"/>
        </w:rPr>
        <w:t>this</w:t>
      </w:r>
      <w:r>
        <w:rPr>
          <w:i/>
          <w:spacing w:val="-3"/>
          <w:sz w:val="20"/>
        </w:rPr>
        <w:t> </w:t>
      </w:r>
      <w:r>
        <w:rPr>
          <w:i/>
          <w:sz w:val="20"/>
        </w:rPr>
        <w:t>Quarterly</w:t>
      </w:r>
      <w:r>
        <w:rPr>
          <w:i/>
          <w:spacing w:val="-4"/>
          <w:sz w:val="20"/>
        </w:rPr>
        <w:t> </w:t>
      </w:r>
      <w:r>
        <w:rPr>
          <w:i/>
          <w:sz w:val="20"/>
        </w:rPr>
        <w:t>Report</w:t>
      </w:r>
      <w:r>
        <w:rPr>
          <w:i/>
          <w:spacing w:val="-3"/>
          <w:sz w:val="20"/>
        </w:rPr>
        <w:t> </w:t>
      </w:r>
      <w:r>
        <w:rPr>
          <w:i/>
          <w:sz w:val="20"/>
        </w:rPr>
        <w:t>on</w:t>
      </w:r>
      <w:r>
        <w:rPr>
          <w:i/>
          <w:spacing w:val="-2"/>
          <w:sz w:val="20"/>
        </w:rPr>
        <w:t> </w:t>
      </w:r>
      <w:r>
        <w:rPr>
          <w:i/>
          <w:sz w:val="20"/>
        </w:rPr>
        <w:t>Form</w:t>
      </w:r>
      <w:r>
        <w:rPr>
          <w:i/>
          <w:spacing w:val="-3"/>
          <w:sz w:val="20"/>
        </w:rPr>
        <w:t> </w:t>
      </w:r>
      <w:r>
        <w:rPr>
          <w:i/>
          <w:sz w:val="20"/>
        </w:rPr>
        <w:t>10-</w:t>
      </w:r>
      <w:r>
        <w:rPr>
          <w:i/>
          <w:spacing w:val="-5"/>
          <w:sz w:val="20"/>
        </w:rPr>
        <w:t>Q.</w:t>
      </w:r>
    </w:p>
    <w:p>
      <w:pPr>
        <w:pStyle w:val="ListParagraph"/>
        <w:numPr>
          <w:ilvl w:val="0"/>
          <w:numId w:val="10"/>
        </w:numPr>
        <w:tabs>
          <w:tab w:pos="1497" w:val="left" w:leader="none"/>
        </w:tabs>
        <w:spacing w:line="208" w:lineRule="auto" w:before="199" w:after="0"/>
        <w:ind w:left="1497" w:right="1264" w:hanging="638"/>
        <w:jc w:val="left"/>
        <w:rPr>
          <w:i/>
          <w:sz w:val="20"/>
        </w:rPr>
      </w:pPr>
      <w:r>
        <w:rPr>
          <w:i/>
          <w:sz w:val="20"/>
        </w:rPr>
        <w:t>Attached as Exhibit 101 to this Quarterly Report on Form 10-Q for the quarterly period ended</w:t>
      </w:r>
      <w:r>
        <w:rPr>
          <w:i/>
          <w:spacing w:val="40"/>
          <w:sz w:val="20"/>
        </w:rPr>
        <w:t> </w:t>
      </w:r>
      <w:r>
        <w:rPr>
          <w:i/>
          <w:sz w:val="20"/>
        </w:rPr>
        <w:t>September</w:t>
      </w:r>
      <w:r>
        <w:rPr>
          <w:i/>
          <w:spacing w:val="-4"/>
          <w:sz w:val="20"/>
        </w:rPr>
        <w:t> </w:t>
      </w:r>
      <w:r>
        <w:rPr>
          <w:i/>
          <w:sz w:val="20"/>
        </w:rPr>
        <w:t>30,</w:t>
      </w:r>
      <w:r>
        <w:rPr>
          <w:i/>
          <w:spacing w:val="-3"/>
          <w:sz w:val="20"/>
        </w:rPr>
        <w:t> </w:t>
      </w:r>
      <w:r>
        <w:rPr>
          <w:i/>
          <w:sz w:val="20"/>
        </w:rPr>
        <w:t>2023</w:t>
      </w:r>
      <w:r>
        <w:rPr>
          <w:i/>
          <w:spacing w:val="-3"/>
          <w:sz w:val="20"/>
        </w:rPr>
        <w:t> </w:t>
      </w:r>
      <w:r>
        <w:rPr>
          <w:i/>
          <w:sz w:val="20"/>
        </w:rPr>
        <w:t>are</w:t>
      </w:r>
      <w:r>
        <w:rPr>
          <w:i/>
          <w:spacing w:val="-4"/>
          <w:sz w:val="20"/>
        </w:rPr>
        <w:t> </w:t>
      </w:r>
      <w:r>
        <w:rPr>
          <w:i/>
          <w:sz w:val="20"/>
        </w:rPr>
        <w:t>the</w:t>
      </w:r>
      <w:r>
        <w:rPr>
          <w:i/>
          <w:spacing w:val="-4"/>
          <w:sz w:val="20"/>
        </w:rPr>
        <w:t> </w:t>
      </w:r>
      <w:r>
        <w:rPr>
          <w:i/>
          <w:sz w:val="20"/>
        </w:rPr>
        <w:t>following</w:t>
      </w:r>
      <w:r>
        <w:rPr>
          <w:i/>
          <w:spacing w:val="-3"/>
          <w:sz w:val="20"/>
        </w:rPr>
        <w:t> </w:t>
      </w:r>
      <w:r>
        <w:rPr>
          <w:i/>
          <w:sz w:val="20"/>
        </w:rPr>
        <w:t>materials</w:t>
      </w:r>
      <w:r>
        <w:rPr>
          <w:i/>
          <w:spacing w:val="-4"/>
          <w:sz w:val="20"/>
        </w:rPr>
        <w:t> </w:t>
      </w:r>
      <w:r>
        <w:rPr>
          <w:i/>
          <w:sz w:val="20"/>
        </w:rPr>
        <w:t>formatted</w:t>
      </w:r>
      <w:r>
        <w:rPr>
          <w:i/>
          <w:spacing w:val="-3"/>
          <w:sz w:val="20"/>
        </w:rPr>
        <w:t> </w:t>
      </w:r>
      <w:r>
        <w:rPr>
          <w:i/>
          <w:sz w:val="20"/>
        </w:rPr>
        <w:t>in</w:t>
      </w:r>
      <w:r>
        <w:rPr>
          <w:i/>
          <w:spacing w:val="-3"/>
          <w:sz w:val="20"/>
        </w:rPr>
        <w:t> </w:t>
      </w:r>
      <w:r>
        <w:rPr>
          <w:i/>
          <w:sz w:val="20"/>
        </w:rPr>
        <w:t>Inline</w:t>
      </w:r>
      <w:r>
        <w:rPr>
          <w:i/>
          <w:spacing w:val="-4"/>
          <w:sz w:val="20"/>
        </w:rPr>
        <w:t> </w:t>
      </w:r>
      <w:r>
        <w:rPr>
          <w:i/>
          <w:sz w:val="20"/>
        </w:rPr>
        <w:t>XBRL</w:t>
      </w:r>
      <w:r>
        <w:rPr>
          <w:i/>
          <w:spacing w:val="-4"/>
          <w:sz w:val="20"/>
        </w:rPr>
        <w:t> </w:t>
      </w:r>
      <w:r>
        <w:rPr>
          <w:i/>
          <w:sz w:val="20"/>
        </w:rPr>
        <w:t>(Extensible</w:t>
      </w:r>
      <w:r>
        <w:rPr>
          <w:i/>
          <w:spacing w:val="-4"/>
          <w:sz w:val="20"/>
        </w:rPr>
        <w:t> </w:t>
      </w:r>
      <w:r>
        <w:rPr>
          <w:i/>
          <w:sz w:val="20"/>
        </w:rPr>
        <w:t>Business</w:t>
      </w:r>
      <w:r>
        <w:rPr>
          <w:i/>
          <w:spacing w:val="-4"/>
          <w:sz w:val="20"/>
        </w:rPr>
        <w:t> </w:t>
      </w:r>
      <w:r>
        <w:rPr>
          <w:i/>
          <w:sz w:val="20"/>
        </w:rPr>
        <w:t>Reporting Language) (i) the Condensed Consolidated Statements of Income, (ii) the Condensed Consolidated Statements of Comprehensive Income, (iii) the Condensed Consolidated Balance Sheets, (iv) the Condensed</w:t>
      </w:r>
      <w:r>
        <w:rPr>
          <w:i/>
          <w:spacing w:val="-4"/>
          <w:sz w:val="20"/>
        </w:rPr>
        <w:t> </w:t>
      </w:r>
      <w:r>
        <w:rPr>
          <w:i/>
          <w:sz w:val="20"/>
        </w:rPr>
        <w:t>Consolidated</w:t>
      </w:r>
      <w:r>
        <w:rPr>
          <w:i/>
          <w:spacing w:val="-4"/>
          <w:sz w:val="20"/>
        </w:rPr>
        <w:t> </w:t>
      </w:r>
      <w:r>
        <w:rPr>
          <w:i/>
          <w:sz w:val="20"/>
        </w:rPr>
        <w:t>Statements</w:t>
      </w:r>
      <w:r>
        <w:rPr>
          <w:i/>
          <w:spacing w:val="-5"/>
          <w:sz w:val="20"/>
        </w:rPr>
        <w:t> </w:t>
      </w:r>
      <w:r>
        <w:rPr>
          <w:i/>
          <w:sz w:val="20"/>
        </w:rPr>
        <w:t>of</w:t>
      </w:r>
      <w:r>
        <w:rPr>
          <w:i/>
          <w:spacing w:val="-5"/>
          <w:sz w:val="20"/>
        </w:rPr>
        <w:t> </w:t>
      </w:r>
      <w:r>
        <w:rPr>
          <w:i/>
          <w:sz w:val="20"/>
        </w:rPr>
        <w:t>Stockholders’</w:t>
      </w:r>
      <w:r>
        <w:rPr>
          <w:i/>
          <w:spacing w:val="-4"/>
          <w:sz w:val="20"/>
        </w:rPr>
        <w:t> </w:t>
      </w:r>
      <w:r>
        <w:rPr>
          <w:i/>
          <w:sz w:val="20"/>
        </w:rPr>
        <w:t>Equity,</w:t>
      </w:r>
      <w:r>
        <w:rPr>
          <w:i/>
          <w:spacing w:val="-4"/>
          <w:sz w:val="20"/>
        </w:rPr>
        <w:t> </w:t>
      </w:r>
      <w:r>
        <w:rPr>
          <w:i/>
          <w:sz w:val="20"/>
        </w:rPr>
        <w:t>(v)</w:t>
      </w:r>
      <w:r>
        <w:rPr>
          <w:i/>
          <w:spacing w:val="-4"/>
          <w:sz w:val="20"/>
        </w:rPr>
        <w:t> </w:t>
      </w:r>
      <w:r>
        <w:rPr>
          <w:i/>
          <w:sz w:val="20"/>
        </w:rPr>
        <w:t>the</w:t>
      </w:r>
      <w:r>
        <w:rPr>
          <w:i/>
          <w:spacing w:val="-5"/>
          <w:sz w:val="20"/>
        </w:rPr>
        <w:t> </w:t>
      </w:r>
      <w:r>
        <w:rPr>
          <w:i/>
          <w:sz w:val="20"/>
        </w:rPr>
        <w:t>Condensed</w:t>
      </w:r>
      <w:r>
        <w:rPr>
          <w:i/>
          <w:spacing w:val="-4"/>
          <w:sz w:val="20"/>
        </w:rPr>
        <w:t> </w:t>
      </w:r>
      <w:r>
        <w:rPr>
          <w:i/>
          <w:sz w:val="20"/>
        </w:rPr>
        <w:t>Consolidated</w:t>
      </w:r>
      <w:r>
        <w:rPr>
          <w:i/>
          <w:spacing w:val="-4"/>
          <w:sz w:val="20"/>
        </w:rPr>
        <w:t> </w:t>
      </w:r>
      <w:r>
        <w:rPr>
          <w:i/>
          <w:sz w:val="20"/>
        </w:rPr>
        <w:t>Statements of Cash Flows, and (vi) Notes to Condensed Consolidated Financial Statements.</w:t>
      </w:r>
    </w:p>
    <w:p>
      <w:pPr>
        <w:spacing w:after="0" w:line="208" w:lineRule="auto"/>
        <w:jc w:val="left"/>
        <w:rPr>
          <w:sz w:val="20"/>
        </w:rPr>
        <w:sectPr>
          <w:type w:val="continuous"/>
          <w:pgSz w:w="12240" w:h="15840"/>
          <w:pgMar w:header="467" w:footer="201" w:top="320" w:bottom="280" w:left="520" w:right="520"/>
        </w:sectPr>
      </w:pPr>
    </w:p>
    <w:p>
      <w:pPr>
        <w:pStyle w:val="BodyText"/>
        <w:rPr>
          <w:i/>
        </w:rPr>
      </w:pPr>
    </w:p>
    <w:p>
      <w:pPr>
        <w:pStyle w:val="BodyText"/>
        <w:rPr>
          <w:i/>
        </w:rPr>
      </w:pPr>
    </w:p>
    <w:p>
      <w:pPr>
        <w:pStyle w:val="BodyText"/>
        <w:rPr>
          <w:i/>
        </w:rPr>
      </w:pPr>
    </w:p>
    <w:p>
      <w:pPr>
        <w:pStyle w:val="BodyText"/>
        <w:spacing w:before="200"/>
        <w:rPr>
          <w:i/>
        </w:rPr>
      </w:pPr>
    </w:p>
    <w:p>
      <w:pPr>
        <w:pStyle w:val="Heading1"/>
        <w:spacing w:before="0"/>
        <w:ind w:left="89" w:right="89"/>
        <w:jc w:val="center"/>
      </w:pPr>
      <w:bookmarkStart w:name="Signature" w:id="76"/>
      <w:bookmarkEnd w:id="76"/>
      <w:r>
        <w:rPr>
          <w:b w:val="0"/>
        </w:rPr>
      </w:r>
      <w:bookmarkStart w:name="_bookmark17" w:id="77"/>
      <w:bookmarkEnd w:id="77"/>
      <w:r>
        <w:rPr>
          <w:b w:val="0"/>
        </w:rPr>
      </w:r>
      <w:r>
        <w:rPr>
          <w:spacing w:val="-2"/>
        </w:rPr>
        <w:t>SIGNATURE</w:t>
      </w:r>
    </w:p>
    <w:p>
      <w:pPr>
        <w:pStyle w:val="BodyText"/>
        <w:rPr>
          <w:b/>
        </w:rPr>
      </w:pPr>
    </w:p>
    <w:p>
      <w:pPr>
        <w:pStyle w:val="BodyText"/>
        <w:rPr>
          <w:b/>
        </w:rPr>
      </w:pPr>
    </w:p>
    <w:p>
      <w:pPr>
        <w:pStyle w:val="BodyText"/>
        <w:spacing w:before="163"/>
        <w:rPr>
          <w:b/>
        </w:rPr>
      </w:pPr>
    </w:p>
    <w:p>
      <w:pPr>
        <w:pStyle w:val="BodyText"/>
        <w:spacing w:line="249" w:lineRule="auto"/>
        <w:ind w:left="470" w:right="566"/>
      </w:pPr>
      <w:r>
        <w:rPr/>
        <w:t>Pursuant</w:t>
      </w:r>
      <w:r>
        <w:rPr>
          <w:spacing w:val="-3"/>
        </w:rPr>
        <w:t> </w:t>
      </w:r>
      <w:r>
        <w:rPr/>
        <w:t>to</w:t>
      </w:r>
      <w:r>
        <w:rPr>
          <w:spacing w:val="-2"/>
        </w:rPr>
        <w:t> </w:t>
      </w:r>
      <w:r>
        <w:rPr/>
        <w:t>the</w:t>
      </w:r>
      <w:r>
        <w:rPr>
          <w:spacing w:val="-3"/>
        </w:rPr>
        <w:t> </w:t>
      </w:r>
      <w:r>
        <w:rPr/>
        <w:t>requirements</w:t>
      </w:r>
      <w:r>
        <w:rPr>
          <w:spacing w:val="-3"/>
        </w:rPr>
        <w:t> </w:t>
      </w:r>
      <w:r>
        <w:rPr/>
        <w:t>of</w:t>
      </w:r>
      <w:r>
        <w:rPr>
          <w:spacing w:val="-2"/>
        </w:rPr>
        <w:t> </w:t>
      </w:r>
      <w:r>
        <w:rPr/>
        <w:t>the</w:t>
      </w:r>
      <w:r>
        <w:rPr>
          <w:spacing w:val="-3"/>
        </w:rPr>
        <w:t> </w:t>
      </w:r>
      <w:r>
        <w:rPr/>
        <w:t>Securities</w:t>
      </w:r>
      <w:r>
        <w:rPr>
          <w:spacing w:val="-3"/>
        </w:rPr>
        <w:t> </w:t>
      </w:r>
      <w:r>
        <w:rPr/>
        <w:t>Exchange</w:t>
      </w:r>
      <w:r>
        <w:rPr>
          <w:spacing w:val="-3"/>
        </w:rPr>
        <w:t> </w:t>
      </w:r>
      <w:r>
        <w:rPr/>
        <w:t>Act</w:t>
      </w:r>
      <w:r>
        <w:rPr>
          <w:spacing w:val="-3"/>
        </w:rPr>
        <w:t> </w:t>
      </w:r>
      <w:r>
        <w:rPr/>
        <w:t>of</w:t>
      </w:r>
      <w:r>
        <w:rPr>
          <w:spacing w:val="-2"/>
        </w:rPr>
        <w:t> </w:t>
      </w:r>
      <w:r>
        <w:rPr/>
        <w:t>1934,</w:t>
      </w:r>
      <w:r>
        <w:rPr>
          <w:spacing w:val="-2"/>
        </w:rPr>
        <w:t> </w:t>
      </w:r>
      <w:r>
        <w:rPr/>
        <w:t>the</w:t>
      </w:r>
      <w:r>
        <w:rPr>
          <w:spacing w:val="-3"/>
        </w:rPr>
        <w:t> </w:t>
      </w:r>
      <w:r>
        <w:rPr/>
        <w:t>registrant</w:t>
      </w:r>
      <w:r>
        <w:rPr>
          <w:spacing w:val="-3"/>
        </w:rPr>
        <w:t> </w:t>
      </w:r>
      <w:r>
        <w:rPr/>
        <w:t>has</w:t>
      </w:r>
      <w:r>
        <w:rPr>
          <w:spacing w:val="-3"/>
        </w:rPr>
        <w:t> </w:t>
      </w:r>
      <w:r>
        <w:rPr/>
        <w:t>duly</w:t>
      </w:r>
      <w:r>
        <w:rPr>
          <w:spacing w:val="-2"/>
        </w:rPr>
        <w:t> </w:t>
      </w:r>
      <w:r>
        <w:rPr/>
        <w:t>caused</w:t>
      </w:r>
      <w:r>
        <w:rPr>
          <w:spacing w:val="-2"/>
        </w:rPr>
        <w:t> </w:t>
      </w:r>
      <w:r>
        <w:rPr/>
        <w:t>this</w:t>
      </w:r>
      <w:r>
        <w:rPr>
          <w:spacing w:val="-3"/>
        </w:rPr>
        <w:t> </w:t>
      </w:r>
      <w:r>
        <w:rPr/>
        <w:t>report</w:t>
      </w:r>
      <w:r>
        <w:rPr>
          <w:spacing w:val="-3"/>
        </w:rPr>
        <w:t> </w:t>
      </w:r>
      <w:r>
        <w:rPr/>
        <w:t>to</w:t>
      </w:r>
      <w:r>
        <w:rPr>
          <w:spacing w:val="-2"/>
        </w:rPr>
        <w:t> </w:t>
      </w:r>
      <w:r>
        <w:rPr/>
        <w:t>be</w:t>
      </w:r>
      <w:r>
        <w:rPr>
          <w:spacing w:val="-3"/>
        </w:rPr>
        <w:t> </w:t>
      </w:r>
      <w:r>
        <w:rPr/>
        <w:t>signed</w:t>
      </w:r>
      <w:r>
        <w:rPr>
          <w:spacing w:val="-2"/>
        </w:rPr>
        <w:t> </w:t>
      </w:r>
      <w:r>
        <w:rPr/>
        <w:t>on its behalf by the undersigned thereunto duly authorized.</w:t>
      </w:r>
    </w:p>
    <w:p>
      <w:pPr>
        <w:pStyle w:val="BodyText"/>
        <w:spacing w:before="61"/>
      </w:pPr>
    </w:p>
    <w:p>
      <w:pPr>
        <w:pStyle w:val="Heading1"/>
        <w:spacing w:before="0"/>
        <w:ind w:left="5624" w:right="89"/>
        <w:jc w:val="center"/>
      </w:pPr>
      <w:r>
        <w:rPr/>
        <w:t>THE</w:t>
      </w:r>
      <w:r>
        <w:rPr>
          <w:spacing w:val="-5"/>
        </w:rPr>
        <w:t> </w:t>
      </w:r>
      <w:r>
        <w:rPr/>
        <w:t>CHARLES</w:t>
      </w:r>
      <w:r>
        <w:rPr>
          <w:spacing w:val="-5"/>
        </w:rPr>
        <w:t> </w:t>
      </w:r>
      <w:r>
        <w:rPr/>
        <w:t>SCHWAB</w:t>
      </w:r>
      <w:r>
        <w:rPr>
          <w:spacing w:val="-5"/>
        </w:rPr>
        <w:t> </w:t>
      </w:r>
      <w:r>
        <w:rPr>
          <w:spacing w:val="-2"/>
        </w:rPr>
        <w:t>CORPORATION</w:t>
      </w:r>
    </w:p>
    <w:p>
      <w:pPr>
        <w:pStyle w:val="BodyText"/>
        <w:spacing w:before="73"/>
        <w:ind w:left="5624" w:right="89"/>
        <w:jc w:val="center"/>
      </w:pPr>
      <w:r>
        <w:rPr>
          <w:spacing w:val="-2"/>
        </w:rPr>
        <w:t>(Registrant)</w:t>
      </w:r>
    </w:p>
    <w:p>
      <w:pPr>
        <w:pStyle w:val="BodyText"/>
      </w:pPr>
    </w:p>
    <w:p>
      <w:pPr>
        <w:pStyle w:val="BodyText"/>
      </w:pPr>
    </w:p>
    <w:p>
      <w:pPr>
        <w:pStyle w:val="BodyText"/>
        <w:spacing w:before="221"/>
      </w:pPr>
    </w:p>
    <w:p>
      <w:pPr>
        <w:pStyle w:val="BodyText"/>
        <w:tabs>
          <w:tab w:pos="1197" w:val="left" w:leader="none"/>
          <w:tab w:pos="6057" w:val="left" w:leader="none"/>
        </w:tabs>
        <w:spacing w:line="276" w:lineRule="auto"/>
        <w:ind w:left="6057" w:right="3675" w:hanging="5535"/>
      </w:pPr>
      <w:r>
        <w:rPr/>
        <mc:AlternateContent>
          <mc:Choice Requires="wps">
            <w:drawing>
              <wp:anchor distT="0" distB="0" distL="0" distR="0" allowOverlap="1" layoutInCell="1" locked="0" behindDoc="0" simplePos="0" relativeHeight="15783936">
                <wp:simplePos x="0" y="0"/>
                <wp:positionH relativeFrom="page">
                  <wp:posOffset>1057275</wp:posOffset>
                </wp:positionH>
                <wp:positionV relativeFrom="paragraph">
                  <wp:posOffset>174785</wp:posOffset>
                </wp:positionV>
                <wp:extent cx="2590800" cy="6350"/>
                <wp:effectExtent l="0" t="0" r="0" b="0"/>
                <wp:wrapNone/>
                <wp:docPr id="742" name="Group 742"/>
                <wp:cNvGraphicFramePr>
                  <a:graphicFrameLocks/>
                </wp:cNvGraphicFramePr>
                <a:graphic>
                  <a:graphicData uri="http://schemas.microsoft.com/office/word/2010/wordprocessingGroup">
                    <wpg:wgp>
                      <wpg:cNvPr id="742" name="Group 742"/>
                      <wpg:cNvGrpSpPr/>
                      <wpg:grpSpPr>
                        <a:xfrm>
                          <a:off x="0" y="0"/>
                          <a:ext cx="2590800" cy="6350"/>
                          <a:chExt cx="2590800" cy="6350"/>
                        </a:xfrm>
                      </wpg:grpSpPr>
                      <wps:wsp>
                        <wps:cNvPr id="743" name="Graphic 743"/>
                        <wps:cNvSpPr/>
                        <wps:spPr>
                          <a:xfrm>
                            <a:off x="0" y="3175"/>
                            <a:ext cx="2590800" cy="1270"/>
                          </a:xfrm>
                          <a:custGeom>
                            <a:avLst/>
                            <a:gdLst/>
                            <a:ahLst/>
                            <a:cxnLst/>
                            <a:rect l="l" t="t" r="r" b="b"/>
                            <a:pathLst>
                              <a:path w="2590800" h="0">
                                <a:moveTo>
                                  <a:pt x="2590800" y="0"/>
                                </a:moveTo>
                                <a:lnTo>
                                  <a:pt x="0" y="0"/>
                                </a:lnTo>
                              </a:path>
                            </a:pathLst>
                          </a:custGeom>
                          <a:solidFill>
                            <a:srgbClr val="000000"/>
                          </a:solidFill>
                        </wps:spPr>
                        <wps:bodyPr wrap="square" lIns="0" tIns="0" rIns="0" bIns="0" rtlCol="0">
                          <a:prstTxWarp prst="textNoShape">
                            <a:avLst/>
                          </a:prstTxWarp>
                          <a:noAutofit/>
                        </wps:bodyPr>
                      </wps:wsp>
                      <wps:wsp>
                        <wps:cNvPr id="744" name="Graphic 744"/>
                        <wps:cNvSpPr/>
                        <wps:spPr>
                          <a:xfrm>
                            <a:off x="0" y="3175"/>
                            <a:ext cx="2590800" cy="1270"/>
                          </a:xfrm>
                          <a:custGeom>
                            <a:avLst/>
                            <a:gdLst/>
                            <a:ahLst/>
                            <a:cxnLst/>
                            <a:rect l="l" t="t" r="r" b="b"/>
                            <a:pathLst>
                              <a:path w="2590800" h="0">
                                <a:moveTo>
                                  <a:pt x="0" y="0"/>
                                </a:moveTo>
                                <a:lnTo>
                                  <a:pt x="25908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25pt;margin-top:13.762617pt;width:204pt;height:.5pt;mso-position-horizontal-relative:page;mso-position-vertical-relative:paragraph;z-index:15783936" id="docshapegroup532" coordorigin="1665,275" coordsize="4080,10">
                <v:shape style="position:absolute;left:1665;top:280;width:4080;height:2" id="docshape533" coordorigin="1665,280" coordsize="4080,0" path="m5745,280l1665,280e" filled="true" fillcolor="#000000" stroked="false">
                  <v:path arrowok="t"/>
                  <v:fill opacity="0f" type="solid"/>
                </v:shape>
                <v:line style="position:absolute" from="1665,280" to="5745,280" stroked="true" strokeweight=".5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4448">
                <wp:simplePos x="0" y="0"/>
                <wp:positionH relativeFrom="page">
                  <wp:posOffset>4143375</wp:posOffset>
                </wp:positionH>
                <wp:positionV relativeFrom="paragraph">
                  <wp:posOffset>174785</wp:posOffset>
                </wp:positionV>
                <wp:extent cx="3000375" cy="6350"/>
                <wp:effectExtent l="0" t="0" r="0" b="0"/>
                <wp:wrapNone/>
                <wp:docPr id="745" name="Group 745"/>
                <wp:cNvGraphicFramePr>
                  <a:graphicFrameLocks/>
                </wp:cNvGraphicFramePr>
                <a:graphic>
                  <a:graphicData uri="http://schemas.microsoft.com/office/word/2010/wordprocessingGroup">
                    <wpg:wgp>
                      <wpg:cNvPr id="745" name="Group 745"/>
                      <wpg:cNvGrpSpPr/>
                      <wpg:grpSpPr>
                        <a:xfrm>
                          <a:off x="0" y="0"/>
                          <a:ext cx="3000375" cy="6350"/>
                          <a:chExt cx="3000375" cy="6350"/>
                        </a:xfrm>
                      </wpg:grpSpPr>
                      <wps:wsp>
                        <wps:cNvPr id="746" name="Graphic 746"/>
                        <wps:cNvSpPr/>
                        <wps:spPr>
                          <a:xfrm>
                            <a:off x="0" y="3175"/>
                            <a:ext cx="3000375" cy="1270"/>
                          </a:xfrm>
                          <a:custGeom>
                            <a:avLst/>
                            <a:gdLst/>
                            <a:ahLst/>
                            <a:cxnLst/>
                            <a:rect l="l" t="t" r="r" b="b"/>
                            <a:pathLst>
                              <a:path w="3000375" h="0">
                                <a:moveTo>
                                  <a:pt x="3000375" y="0"/>
                                </a:moveTo>
                                <a:lnTo>
                                  <a:pt x="0" y="0"/>
                                </a:lnTo>
                              </a:path>
                            </a:pathLst>
                          </a:custGeom>
                          <a:solidFill>
                            <a:srgbClr val="000000"/>
                          </a:solidFill>
                        </wps:spPr>
                        <wps:bodyPr wrap="square" lIns="0" tIns="0" rIns="0" bIns="0" rtlCol="0">
                          <a:prstTxWarp prst="textNoShape">
                            <a:avLst/>
                          </a:prstTxWarp>
                          <a:noAutofit/>
                        </wps:bodyPr>
                      </wps:wsp>
                      <wps:wsp>
                        <wps:cNvPr id="747" name="Graphic 747"/>
                        <wps:cNvSpPr/>
                        <wps:spPr>
                          <a:xfrm>
                            <a:off x="0" y="3175"/>
                            <a:ext cx="3000375" cy="1270"/>
                          </a:xfrm>
                          <a:custGeom>
                            <a:avLst/>
                            <a:gdLst/>
                            <a:ahLst/>
                            <a:cxnLst/>
                            <a:rect l="l" t="t" r="r" b="b"/>
                            <a:pathLst>
                              <a:path w="3000375" h="0">
                                <a:moveTo>
                                  <a:pt x="0" y="0"/>
                                </a:moveTo>
                                <a:lnTo>
                                  <a:pt x="300037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25pt;margin-top:13.762617pt;width:236.25pt;height:.5pt;mso-position-horizontal-relative:page;mso-position-vertical-relative:paragraph;z-index:15784448" id="docshapegroup534" coordorigin="6525,275" coordsize="4725,10">
                <v:shape style="position:absolute;left:6525;top:280;width:4725;height:2" id="docshape535" coordorigin="6525,280" coordsize="4725,0" path="m11250,280l6525,280e" filled="true" fillcolor="#000000" stroked="false">
                  <v:path arrowok="t"/>
                  <v:fill opacity="0f" type="solid"/>
                </v:shape>
                <v:line style="position:absolute" from="6525,280" to="11250,280" stroked="true" strokeweight=".5pt" strokecolor="#000000">
                  <v:stroke dashstyle="solid"/>
                </v:line>
                <w10:wrap type="none"/>
              </v:group>
            </w:pict>
          </mc:Fallback>
        </mc:AlternateContent>
      </w:r>
      <w:r>
        <w:rPr>
          <w:spacing w:val="-2"/>
          <w:position w:val="2"/>
        </w:rPr>
        <w:t>Date:</w:t>
      </w:r>
      <w:r>
        <w:rPr>
          <w:position w:val="2"/>
        </w:rPr>
        <w:tab/>
      </w:r>
      <w:r>
        <w:rPr/>
        <w:t>November 8, 2023</w:t>
        <w:tab/>
        <w:t>/s/</w:t>
      </w:r>
      <w:r>
        <w:rPr>
          <w:spacing w:val="-13"/>
        </w:rPr>
        <w:t> </w:t>
      </w:r>
      <w:r>
        <w:rPr/>
        <w:t>Peter</w:t>
      </w:r>
      <w:r>
        <w:rPr>
          <w:spacing w:val="-12"/>
        </w:rPr>
        <w:t> </w:t>
      </w:r>
      <w:r>
        <w:rPr/>
        <w:t>Crawford Peter Crawford</w:t>
      </w:r>
    </w:p>
    <w:p>
      <w:pPr>
        <w:pStyle w:val="BodyText"/>
        <w:spacing w:before="41"/>
        <w:ind w:left="6057"/>
      </w:pPr>
      <w:r>
        <w:rPr/>
        <w:t>Managing</w:t>
      </w:r>
      <w:r>
        <w:rPr>
          <w:spacing w:val="-6"/>
        </w:rPr>
        <w:t> </w:t>
      </w:r>
      <w:r>
        <w:rPr/>
        <w:t>Director</w:t>
      </w:r>
      <w:r>
        <w:rPr>
          <w:spacing w:val="-4"/>
        </w:rPr>
        <w:t> </w:t>
      </w:r>
      <w:r>
        <w:rPr/>
        <w:t>and</w:t>
      </w:r>
      <w:r>
        <w:rPr>
          <w:spacing w:val="-4"/>
        </w:rPr>
        <w:t> </w:t>
      </w:r>
      <w:r>
        <w:rPr/>
        <w:t>Chief</w:t>
      </w:r>
      <w:r>
        <w:rPr>
          <w:spacing w:val="-4"/>
        </w:rPr>
        <w:t> </w:t>
      </w:r>
      <w:r>
        <w:rPr/>
        <w:t>Financial</w:t>
      </w:r>
      <w:r>
        <w:rPr>
          <w:spacing w:val="-4"/>
        </w:rPr>
        <w:t> </w:t>
      </w:r>
      <w:r>
        <w:rPr>
          <w:spacing w:val="-2"/>
        </w:rPr>
        <w:t>Officer</w:t>
      </w:r>
    </w:p>
    <w:p>
      <w:pPr>
        <w:spacing w:after="0"/>
        <w:sectPr>
          <w:pgSz w:w="12240" w:h="15840"/>
          <w:pgMar w:header="467" w:footer="201" w:top="680" w:bottom="400" w:left="520" w:right="520"/>
        </w:sectPr>
      </w:pPr>
    </w:p>
    <w:p>
      <w:pPr>
        <w:pStyle w:val="BodyText"/>
      </w:pPr>
    </w:p>
    <w:p>
      <w:pPr>
        <w:pStyle w:val="BodyText"/>
        <w:spacing w:before="35"/>
      </w:pPr>
    </w:p>
    <w:p>
      <w:pPr>
        <w:pStyle w:val="Heading2"/>
        <w:spacing w:line="232" w:lineRule="auto"/>
        <w:ind w:left="3004" w:right="761" w:hanging="1551"/>
      </w:pPr>
      <w:bookmarkStart w:name="Exhibit 31.1" w:id="78"/>
      <w:bookmarkEnd w:id="78"/>
      <w:r>
        <w:rPr>
          <w:b w:val="0"/>
        </w:rPr>
      </w:r>
      <w:r>
        <w:rPr/>
        <w:t>CERTIFICATION</w:t>
      </w:r>
      <w:r>
        <w:rPr>
          <w:spacing w:val="-6"/>
        </w:rPr>
        <w:t> </w:t>
      </w:r>
      <w:r>
        <w:rPr/>
        <w:t>PURSUANT</w:t>
      </w:r>
      <w:r>
        <w:rPr>
          <w:spacing w:val="-6"/>
        </w:rPr>
        <w:t> </w:t>
      </w:r>
      <w:r>
        <w:rPr/>
        <w:t>TO</w:t>
      </w:r>
      <w:r>
        <w:rPr>
          <w:spacing w:val="-6"/>
        </w:rPr>
        <w:t> </w:t>
      </w:r>
      <w:r>
        <w:rPr/>
        <w:t>RULE</w:t>
      </w:r>
      <w:r>
        <w:rPr>
          <w:spacing w:val="-6"/>
        </w:rPr>
        <w:t> </w:t>
      </w:r>
      <w:r>
        <w:rPr/>
        <w:t>13a</w:t>
      </w:r>
      <w:r>
        <w:rPr>
          <w:rFonts w:ascii="FreeSerif"/>
          <w:b w:val="0"/>
        </w:rPr>
        <w:t>-</w:t>
      </w:r>
      <w:r>
        <w:rPr/>
        <w:t>14(a)/15d</w:t>
      </w:r>
      <w:r>
        <w:rPr>
          <w:rFonts w:ascii="FreeSerif"/>
          <w:b w:val="0"/>
        </w:rPr>
        <w:t>-</w:t>
      </w:r>
      <w:r>
        <w:rPr/>
        <w:t>14(a),</w:t>
      </w:r>
      <w:r>
        <w:rPr>
          <w:spacing w:val="-5"/>
        </w:rPr>
        <w:t> </w:t>
      </w:r>
      <w:r>
        <w:rPr/>
        <w:t>AS</w:t>
      </w:r>
      <w:r>
        <w:rPr>
          <w:spacing w:val="-6"/>
        </w:rPr>
        <w:t> </w:t>
      </w:r>
      <w:r>
        <w:rPr/>
        <w:t>ADOPTED</w:t>
      </w:r>
      <w:r>
        <w:rPr>
          <w:spacing w:val="-6"/>
        </w:rPr>
        <w:t> </w:t>
      </w:r>
      <w:r>
        <w:rPr/>
        <w:t>PURSUANT</w:t>
      </w:r>
      <w:r>
        <w:rPr>
          <w:spacing w:val="-6"/>
        </w:rPr>
        <w:t> </w:t>
      </w:r>
      <w:r>
        <w:rPr/>
        <w:t>TO SECTION 302 OF THE SARBANES-OXLEY ACT OF 2002</w:t>
      </w:r>
    </w:p>
    <w:p>
      <w:pPr>
        <w:pStyle w:val="BodyText"/>
        <w:spacing w:before="25"/>
        <w:rPr>
          <w:b/>
        </w:rPr>
      </w:pPr>
    </w:p>
    <w:p>
      <w:pPr>
        <w:pStyle w:val="BodyText"/>
        <w:ind w:left="470"/>
      </w:pPr>
      <w:r>
        <w:rPr/>
        <w:t>I,</w:t>
      </w:r>
      <w:r>
        <w:rPr>
          <w:spacing w:val="-3"/>
        </w:rPr>
        <w:t> </w:t>
      </w:r>
      <w:r>
        <w:rPr/>
        <w:t>Walter</w:t>
      </w:r>
      <w:r>
        <w:rPr>
          <w:spacing w:val="-3"/>
        </w:rPr>
        <w:t> </w:t>
      </w:r>
      <w:r>
        <w:rPr/>
        <w:t>W.</w:t>
      </w:r>
      <w:r>
        <w:rPr>
          <w:spacing w:val="-2"/>
        </w:rPr>
        <w:t> </w:t>
      </w:r>
      <w:r>
        <w:rPr/>
        <w:t>Bettinger</w:t>
      </w:r>
      <w:r>
        <w:rPr>
          <w:spacing w:val="-3"/>
        </w:rPr>
        <w:t> </w:t>
      </w:r>
      <w:r>
        <w:rPr/>
        <w:t>II,</w:t>
      </w:r>
      <w:r>
        <w:rPr>
          <w:spacing w:val="-3"/>
        </w:rPr>
        <w:t> </w:t>
      </w:r>
      <w:r>
        <w:rPr/>
        <w:t>certify</w:t>
      </w:r>
      <w:r>
        <w:rPr>
          <w:spacing w:val="-2"/>
        </w:rPr>
        <w:t> </w:t>
      </w:r>
      <w:r>
        <w:rPr>
          <w:spacing w:val="-4"/>
        </w:rPr>
        <w:t>that:</w:t>
      </w:r>
    </w:p>
    <w:p>
      <w:pPr>
        <w:pStyle w:val="BodyText"/>
        <w:spacing w:before="20"/>
      </w:pPr>
    </w:p>
    <w:p>
      <w:pPr>
        <w:pStyle w:val="ListParagraph"/>
        <w:numPr>
          <w:ilvl w:val="0"/>
          <w:numId w:val="11"/>
        </w:numPr>
        <w:tabs>
          <w:tab w:pos="829" w:val="left" w:leader="none"/>
        </w:tabs>
        <w:spacing w:line="240" w:lineRule="auto" w:before="0" w:after="0"/>
        <w:ind w:left="829" w:right="0" w:hanging="359"/>
        <w:jc w:val="left"/>
        <w:rPr>
          <w:sz w:val="20"/>
        </w:rPr>
      </w:pPr>
      <w:r>
        <w:rPr>
          <w:sz w:val="20"/>
        </w:rPr>
        <w:t>I</w:t>
      </w:r>
      <w:r>
        <w:rPr>
          <w:spacing w:val="-4"/>
          <w:sz w:val="20"/>
        </w:rPr>
        <w:t> </w:t>
      </w:r>
      <w:r>
        <w:rPr>
          <w:sz w:val="20"/>
        </w:rPr>
        <w:t>have</w:t>
      </w:r>
      <w:r>
        <w:rPr>
          <w:spacing w:val="-3"/>
          <w:sz w:val="20"/>
        </w:rPr>
        <w:t> </w:t>
      </w:r>
      <w:r>
        <w:rPr>
          <w:sz w:val="20"/>
        </w:rPr>
        <w:t>reviewed</w:t>
      </w:r>
      <w:r>
        <w:rPr>
          <w:spacing w:val="-2"/>
          <w:sz w:val="20"/>
        </w:rPr>
        <w:t> </w:t>
      </w:r>
      <w:r>
        <w:rPr>
          <w:sz w:val="20"/>
        </w:rPr>
        <w:t>this</w:t>
      </w:r>
      <w:r>
        <w:rPr>
          <w:spacing w:val="-3"/>
          <w:sz w:val="20"/>
        </w:rPr>
        <w:t> </w:t>
      </w:r>
      <w:r>
        <w:rPr>
          <w:sz w:val="20"/>
        </w:rPr>
        <w:t>Quarterly</w:t>
      </w:r>
      <w:r>
        <w:rPr>
          <w:spacing w:val="-2"/>
          <w:sz w:val="20"/>
        </w:rPr>
        <w:t> </w:t>
      </w:r>
      <w:r>
        <w:rPr>
          <w:sz w:val="20"/>
        </w:rPr>
        <w:t>Report</w:t>
      </w:r>
      <w:r>
        <w:rPr>
          <w:spacing w:val="-3"/>
          <w:sz w:val="20"/>
        </w:rPr>
        <w:t> </w:t>
      </w:r>
      <w:r>
        <w:rPr>
          <w:sz w:val="20"/>
        </w:rPr>
        <w:t>on</w:t>
      </w:r>
      <w:r>
        <w:rPr>
          <w:spacing w:val="-2"/>
          <w:sz w:val="20"/>
        </w:rPr>
        <w:t> </w:t>
      </w:r>
      <w:r>
        <w:rPr>
          <w:sz w:val="20"/>
        </w:rPr>
        <w:t>Form</w:t>
      </w:r>
      <w:r>
        <w:rPr>
          <w:spacing w:val="-3"/>
          <w:sz w:val="20"/>
        </w:rPr>
        <w:t> </w:t>
      </w:r>
      <w:r>
        <w:rPr>
          <w:sz w:val="20"/>
        </w:rPr>
        <w:t>10-Q</w:t>
      </w:r>
      <w:r>
        <w:rPr>
          <w:spacing w:val="-3"/>
          <w:sz w:val="20"/>
        </w:rPr>
        <w:t> </w:t>
      </w:r>
      <w:r>
        <w:rPr>
          <w:sz w:val="20"/>
        </w:rPr>
        <w:t>of</w:t>
      </w:r>
      <w:r>
        <w:rPr>
          <w:spacing w:val="-2"/>
          <w:sz w:val="20"/>
        </w:rPr>
        <w:t> </w:t>
      </w:r>
      <w:r>
        <w:rPr>
          <w:sz w:val="20"/>
        </w:rPr>
        <w:t>The</w:t>
      </w:r>
      <w:r>
        <w:rPr>
          <w:spacing w:val="-3"/>
          <w:sz w:val="20"/>
        </w:rPr>
        <w:t> </w:t>
      </w:r>
      <w:r>
        <w:rPr>
          <w:sz w:val="20"/>
        </w:rPr>
        <w:t>Charles</w:t>
      </w:r>
      <w:r>
        <w:rPr>
          <w:spacing w:val="-3"/>
          <w:sz w:val="20"/>
        </w:rPr>
        <w:t> </w:t>
      </w:r>
      <w:r>
        <w:rPr>
          <w:sz w:val="20"/>
        </w:rPr>
        <w:t>Schwab</w:t>
      </w:r>
      <w:r>
        <w:rPr>
          <w:spacing w:val="-1"/>
          <w:sz w:val="20"/>
        </w:rPr>
        <w:t> </w:t>
      </w:r>
      <w:r>
        <w:rPr>
          <w:spacing w:val="-2"/>
          <w:sz w:val="20"/>
        </w:rPr>
        <w:t>Corporation;</w:t>
      </w:r>
    </w:p>
    <w:p>
      <w:pPr>
        <w:pStyle w:val="BodyText"/>
        <w:spacing w:before="20"/>
      </w:pPr>
    </w:p>
    <w:p>
      <w:pPr>
        <w:pStyle w:val="ListParagraph"/>
        <w:numPr>
          <w:ilvl w:val="0"/>
          <w:numId w:val="11"/>
        </w:numPr>
        <w:tabs>
          <w:tab w:pos="830" w:val="left" w:leader="none"/>
        </w:tabs>
        <w:spacing w:line="249" w:lineRule="auto" w:before="0" w:after="0"/>
        <w:ind w:left="830" w:right="553" w:hanging="360"/>
        <w:jc w:val="left"/>
        <w:rPr>
          <w:sz w:val="20"/>
        </w:rPr>
      </w:pPr>
      <w:r>
        <w:rPr>
          <w:sz w:val="20"/>
        </w:rPr>
        <w:t>Based</w:t>
      </w:r>
      <w:r>
        <w:rPr>
          <w:spacing w:val="-2"/>
          <w:sz w:val="20"/>
        </w:rPr>
        <w:t> </w:t>
      </w:r>
      <w:r>
        <w:rPr>
          <w:sz w:val="20"/>
        </w:rPr>
        <w:t>on</w:t>
      </w:r>
      <w:r>
        <w:rPr>
          <w:spacing w:val="-2"/>
          <w:sz w:val="20"/>
        </w:rPr>
        <w:t> </w:t>
      </w:r>
      <w:r>
        <w:rPr>
          <w:sz w:val="20"/>
        </w:rPr>
        <w:t>my</w:t>
      </w:r>
      <w:r>
        <w:rPr>
          <w:spacing w:val="-2"/>
          <w:sz w:val="20"/>
        </w:rPr>
        <w:t> </w:t>
      </w:r>
      <w:r>
        <w:rPr>
          <w:sz w:val="20"/>
        </w:rPr>
        <w:t>knowledge,</w:t>
      </w:r>
      <w:r>
        <w:rPr>
          <w:spacing w:val="-2"/>
          <w:sz w:val="20"/>
        </w:rPr>
        <w:t> </w:t>
      </w:r>
      <w:r>
        <w:rPr>
          <w:sz w:val="20"/>
        </w:rPr>
        <w:t>this</w:t>
      </w:r>
      <w:r>
        <w:rPr>
          <w:spacing w:val="-3"/>
          <w:sz w:val="20"/>
        </w:rPr>
        <w:t> </w:t>
      </w:r>
      <w:r>
        <w:rPr>
          <w:sz w:val="20"/>
        </w:rPr>
        <w:t>report</w:t>
      </w:r>
      <w:r>
        <w:rPr>
          <w:spacing w:val="-3"/>
          <w:sz w:val="20"/>
        </w:rPr>
        <w:t> </w:t>
      </w:r>
      <w:r>
        <w:rPr>
          <w:sz w:val="20"/>
        </w:rPr>
        <w:t>does</w:t>
      </w:r>
      <w:r>
        <w:rPr>
          <w:spacing w:val="-3"/>
          <w:sz w:val="20"/>
        </w:rPr>
        <w:t> </w:t>
      </w:r>
      <w:r>
        <w:rPr>
          <w:sz w:val="20"/>
        </w:rPr>
        <w:t>not</w:t>
      </w:r>
      <w:r>
        <w:rPr>
          <w:spacing w:val="-3"/>
          <w:sz w:val="20"/>
        </w:rPr>
        <w:t> </w:t>
      </w:r>
      <w:r>
        <w:rPr>
          <w:sz w:val="20"/>
        </w:rPr>
        <w:t>contain</w:t>
      </w:r>
      <w:r>
        <w:rPr>
          <w:spacing w:val="-2"/>
          <w:sz w:val="20"/>
        </w:rPr>
        <w:t> </w:t>
      </w:r>
      <w:r>
        <w:rPr>
          <w:sz w:val="20"/>
        </w:rPr>
        <w:t>any</w:t>
      </w:r>
      <w:r>
        <w:rPr>
          <w:spacing w:val="-2"/>
          <w:sz w:val="20"/>
        </w:rPr>
        <w:t> </w:t>
      </w:r>
      <w:r>
        <w:rPr>
          <w:sz w:val="20"/>
        </w:rPr>
        <w:t>untrue</w:t>
      </w:r>
      <w:r>
        <w:rPr>
          <w:spacing w:val="-3"/>
          <w:sz w:val="20"/>
        </w:rPr>
        <w:t> </w:t>
      </w:r>
      <w:r>
        <w:rPr>
          <w:sz w:val="20"/>
        </w:rPr>
        <w:t>statement</w:t>
      </w:r>
      <w:r>
        <w:rPr>
          <w:spacing w:val="-3"/>
          <w:sz w:val="20"/>
        </w:rPr>
        <w:t> </w:t>
      </w:r>
      <w:r>
        <w:rPr>
          <w:sz w:val="20"/>
        </w:rPr>
        <w:t>of</w:t>
      </w:r>
      <w:r>
        <w:rPr>
          <w:spacing w:val="-2"/>
          <w:sz w:val="20"/>
        </w:rPr>
        <w:t> </w:t>
      </w:r>
      <w:r>
        <w:rPr>
          <w:sz w:val="20"/>
        </w:rPr>
        <w:t>a</w:t>
      </w:r>
      <w:r>
        <w:rPr>
          <w:spacing w:val="-3"/>
          <w:sz w:val="20"/>
        </w:rPr>
        <w:t> </w:t>
      </w:r>
      <w:r>
        <w:rPr>
          <w:sz w:val="20"/>
        </w:rPr>
        <w:t>material</w:t>
      </w:r>
      <w:r>
        <w:rPr>
          <w:spacing w:val="-3"/>
          <w:sz w:val="20"/>
        </w:rPr>
        <w:t> </w:t>
      </w:r>
      <w:r>
        <w:rPr>
          <w:sz w:val="20"/>
        </w:rPr>
        <w:t>fact</w:t>
      </w:r>
      <w:r>
        <w:rPr>
          <w:spacing w:val="-3"/>
          <w:sz w:val="20"/>
        </w:rPr>
        <w:t> </w:t>
      </w:r>
      <w:r>
        <w:rPr>
          <w:sz w:val="20"/>
        </w:rPr>
        <w:t>or</w:t>
      </w:r>
      <w:r>
        <w:rPr>
          <w:spacing w:val="-2"/>
          <w:sz w:val="20"/>
        </w:rPr>
        <w:t> </w:t>
      </w:r>
      <w:r>
        <w:rPr>
          <w:sz w:val="20"/>
        </w:rPr>
        <w:t>omit</w:t>
      </w:r>
      <w:r>
        <w:rPr>
          <w:spacing w:val="-3"/>
          <w:sz w:val="20"/>
        </w:rPr>
        <w:t> </w:t>
      </w:r>
      <w:r>
        <w:rPr>
          <w:sz w:val="20"/>
        </w:rPr>
        <w:t>to</w:t>
      </w:r>
      <w:r>
        <w:rPr>
          <w:spacing w:val="-2"/>
          <w:sz w:val="20"/>
        </w:rPr>
        <w:t> </w:t>
      </w:r>
      <w:r>
        <w:rPr>
          <w:sz w:val="20"/>
        </w:rPr>
        <w:t>state</w:t>
      </w:r>
      <w:r>
        <w:rPr>
          <w:spacing w:val="-3"/>
          <w:sz w:val="20"/>
        </w:rPr>
        <w:t> </w:t>
      </w:r>
      <w:r>
        <w:rPr>
          <w:sz w:val="20"/>
        </w:rPr>
        <w:t>a</w:t>
      </w:r>
      <w:r>
        <w:rPr>
          <w:spacing w:val="-3"/>
          <w:sz w:val="20"/>
        </w:rPr>
        <w:t> </w:t>
      </w:r>
      <w:r>
        <w:rPr>
          <w:sz w:val="20"/>
        </w:rPr>
        <w:t>material</w:t>
      </w:r>
      <w:r>
        <w:rPr>
          <w:spacing w:val="-3"/>
          <w:sz w:val="20"/>
        </w:rPr>
        <w:t> </w:t>
      </w:r>
      <w:r>
        <w:rPr>
          <w:sz w:val="20"/>
        </w:rPr>
        <w:t>fact necessary to make the statements made, in light of the circumstances under which such statements were made, not misleading with respect to the period covered by this report;</w:t>
      </w:r>
    </w:p>
    <w:p>
      <w:pPr>
        <w:pStyle w:val="BodyText"/>
        <w:spacing w:before="13"/>
      </w:pPr>
    </w:p>
    <w:p>
      <w:pPr>
        <w:pStyle w:val="ListParagraph"/>
        <w:numPr>
          <w:ilvl w:val="0"/>
          <w:numId w:val="11"/>
        </w:numPr>
        <w:tabs>
          <w:tab w:pos="830" w:val="left" w:leader="none"/>
        </w:tabs>
        <w:spacing w:line="249" w:lineRule="auto" w:before="0" w:after="0"/>
        <w:ind w:left="830" w:right="563" w:hanging="360"/>
        <w:jc w:val="left"/>
        <w:rPr>
          <w:sz w:val="20"/>
        </w:rPr>
      </w:pPr>
      <w:r>
        <w:rPr>
          <w:sz w:val="20"/>
        </w:rPr>
        <w:t>Based on my knowledge, the financial statements, and other financial information included in this report, fairly present in all</w:t>
      </w:r>
      <w:r>
        <w:rPr>
          <w:spacing w:val="-3"/>
          <w:sz w:val="20"/>
        </w:rPr>
        <w:t> </w:t>
      </w:r>
      <w:r>
        <w:rPr>
          <w:sz w:val="20"/>
        </w:rPr>
        <w:t>material</w:t>
      </w:r>
      <w:r>
        <w:rPr>
          <w:spacing w:val="-3"/>
          <w:sz w:val="20"/>
        </w:rPr>
        <w:t> </w:t>
      </w:r>
      <w:r>
        <w:rPr>
          <w:sz w:val="20"/>
        </w:rPr>
        <w:t>respects</w:t>
      </w:r>
      <w:r>
        <w:rPr>
          <w:spacing w:val="-3"/>
          <w:sz w:val="20"/>
        </w:rPr>
        <w:t> </w:t>
      </w:r>
      <w:r>
        <w:rPr>
          <w:sz w:val="20"/>
        </w:rPr>
        <w:t>the</w:t>
      </w:r>
      <w:r>
        <w:rPr>
          <w:spacing w:val="-3"/>
          <w:sz w:val="20"/>
        </w:rPr>
        <w:t> </w:t>
      </w:r>
      <w:r>
        <w:rPr>
          <w:sz w:val="20"/>
        </w:rPr>
        <w:t>financial</w:t>
      </w:r>
      <w:r>
        <w:rPr>
          <w:spacing w:val="-3"/>
          <w:sz w:val="20"/>
        </w:rPr>
        <w:t> </w:t>
      </w:r>
      <w:r>
        <w:rPr>
          <w:sz w:val="20"/>
        </w:rPr>
        <w:t>condition,</w:t>
      </w:r>
      <w:r>
        <w:rPr>
          <w:spacing w:val="-2"/>
          <w:sz w:val="20"/>
        </w:rPr>
        <w:t> </w:t>
      </w:r>
      <w:r>
        <w:rPr>
          <w:sz w:val="20"/>
        </w:rPr>
        <w:t>results</w:t>
      </w:r>
      <w:r>
        <w:rPr>
          <w:spacing w:val="-3"/>
          <w:sz w:val="20"/>
        </w:rPr>
        <w:t> </w:t>
      </w:r>
      <w:r>
        <w:rPr>
          <w:sz w:val="20"/>
        </w:rPr>
        <w:t>of</w:t>
      </w:r>
      <w:r>
        <w:rPr>
          <w:spacing w:val="-2"/>
          <w:sz w:val="20"/>
        </w:rPr>
        <w:t> </w:t>
      </w:r>
      <w:r>
        <w:rPr>
          <w:sz w:val="20"/>
        </w:rPr>
        <w:t>operations</w:t>
      </w:r>
      <w:r>
        <w:rPr>
          <w:spacing w:val="-3"/>
          <w:sz w:val="20"/>
        </w:rPr>
        <w:t> </w:t>
      </w:r>
      <w:r>
        <w:rPr>
          <w:sz w:val="20"/>
        </w:rPr>
        <w:t>and</w:t>
      </w:r>
      <w:r>
        <w:rPr>
          <w:spacing w:val="-2"/>
          <w:sz w:val="20"/>
        </w:rPr>
        <w:t> </w:t>
      </w:r>
      <w:r>
        <w:rPr>
          <w:sz w:val="20"/>
        </w:rPr>
        <w:t>cash</w:t>
      </w:r>
      <w:r>
        <w:rPr>
          <w:spacing w:val="-2"/>
          <w:sz w:val="20"/>
        </w:rPr>
        <w:t> </w:t>
      </w:r>
      <w:r>
        <w:rPr>
          <w:sz w:val="20"/>
        </w:rPr>
        <w:t>flows</w:t>
      </w:r>
      <w:r>
        <w:rPr>
          <w:spacing w:val="-3"/>
          <w:sz w:val="20"/>
        </w:rPr>
        <w:t> </w:t>
      </w:r>
      <w:r>
        <w:rPr>
          <w:sz w:val="20"/>
        </w:rPr>
        <w:t>of</w:t>
      </w:r>
      <w:r>
        <w:rPr>
          <w:spacing w:val="-2"/>
          <w:sz w:val="20"/>
        </w:rPr>
        <w:t> </w:t>
      </w:r>
      <w:r>
        <w:rPr>
          <w:sz w:val="20"/>
        </w:rPr>
        <w:t>the</w:t>
      </w:r>
      <w:r>
        <w:rPr>
          <w:spacing w:val="-3"/>
          <w:sz w:val="20"/>
        </w:rPr>
        <w:t> </w:t>
      </w:r>
      <w:r>
        <w:rPr>
          <w:sz w:val="20"/>
        </w:rPr>
        <w:t>registrant</w:t>
      </w:r>
      <w:r>
        <w:rPr>
          <w:spacing w:val="-3"/>
          <w:sz w:val="20"/>
        </w:rPr>
        <w:t> </w:t>
      </w:r>
      <w:r>
        <w:rPr>
          <w:sz w:val="20"/>
        </w:rPr>
        <w:t>as</w:t>
      </w:r>
      <w:r>
        <w:rPr>
          <w:spacing w:val="-3"/>
          <w:sz w:val="20"/>
        </w:rPr>
        <w:t> </w:t>
      </w:r>
      <w:r>
        <w:rPr>
          <w:sz w:val="20"/>
        </w:rPr>
        <w:t>of,</w:t>
      </w:r>
      <w:r>
        <w:rPr>
          <w:spacing w:val="-2"/>
          <w:sz w:val="20"/>
        </w:rPr>
        <w:t> </w:t>
      </w:r>
      <w:r>
        <w:rPr>
          <w:sz w:val="20"/>
        </w:rPr>
        <w:t>and</w:t>
      </w:r>
      <w:r>
        <w:rPr>
          <w:spacing w:val="-2"/>
          <w:sz w:val="20"/>
        </w:rPr>
        <w:t> </w:t>
      </w:r>
      <w:r>
        <w:rPr>
          <w:sz w:val="20"/>
        </w:rPr>
        <w:t>for,</w:t>
      </w:r>
      <w:r>
        <w:rPr>
          <w:spacing w:val="-2"/>
          <w:sz w:val="20"/>
        </w:rPr>
        <w:t> </w:t>
      </w:r>
      <w:r>
        <w:rPr>
          <w:sz w:val="20"/>
        </w:rPr>
        <w:t>the</w:t>
      </w:r>
      <w:r>
        <w:rPr>
          <w:spacing w:val="-3"/>
          <w:sz w:val="20"/>
        </w:rPr>
        <w:t> </w:t>
      </w:r>
      <w:r>
        <w:rPr>
          <w:sz w:val="20"/>
        </w:rPr>
        <w:t>periods presented in this report;</w:t>
      </w:r>
    </w:p>
    <w:p>
      <w:pPr>
        <w:pStyle w:val="BodyText"/>
        <w:spacing w:before="12"/>
      </w:pPr>
    </w:p>
    <w:p>
      <w:pPr>
        <w:pStyle w:val="ListParagraph"/>
        <w:numPr>
          <w:ilvl w:val="0"/>
          <w:numId w:val="11"/>
        </w:numPr>
        <w:tabs>
          <w:tab w:pos="830" w:val="left" w:leader="none"/>
        </w:tabs>
        <w:spacing w:line="249" w:lineRule="auto" w:before="0" w:after="0"/>
        <w:ind w:left="830" w:right="767" w:hanging="360"/>
        <w:jc w:val="left"/>
        <w:rPr>
          <w:sz w:val="20"/>
        </w:rPr>
      </w:pPr>
      <w:r>
        <w:rPr>
          <w:sz w:val="20"/>
        </w:rPr>
        <w:t>The registrant’s other certifying officer and I are responsible for establishing and maintaining disclosure controls and procedures</w:t>
      </w:r>
      <w:r>
        <w:rPr>
          <w:spacing w:val="-4"/>
          <w:sz w:val="20"/>
        </w:rPr>
        <w:t> </w:t>
      </w:r>
      <w:r>
        <w:rPr>
          <w:sz w:val="20"/>
        </w:rPr>
        <w:t>(as</w:t>
      </w:r>
      <w:r>
        <w:rPr>
          <w:spacing w:val="-4"/>
          <w:sz w:val="20"/>
        </w:rPr>
        <w:t> </w:t>
      </w:r>
      <w:r>
        <w:rPr>
          <w:sz w:val="20"/>
        </w:rPr>
        <w:t>defined</w:t>
      </w:r>
      <w:r>
        <w:rPr>
          <w:spacing w:val="-3"/>
          <w:sz w:val="20"/>
        </w:rPr>
        <w:t> </w:t>
      </w:r>
      <w:r>
        <w:rPr>
          <w:sz w:val="20"/>
        </w:rPr>
        <w:t>in</w:t>
      </w:r>
      <w:r>
        <w:rPr>
          <w:spacing w:val="-3"/>
          <w:sz w:val="20"/>
        </w:rPr>
        <w:t> </w:t>
      </w:r>
      <w:r>
        <w:rPr>
          <w:sz w:val="20"/>
        </w:rPr>
        <w:t>Exchange</w:t>
      </w:r>
      <w:r>
        <w:rPr>
          <w:spacing w:val="-4"/>
          <w:sz w:val="20"/>
        </w:rPr>
        <w:t> </w:t>
      </w:r>
      <w:r>
        <w:rPr>
          <w:sz w:val="20"/>
        </w:rPr>
        <w:t>Act</w:t>
      </w:r>
      <w:r>
        <w:rPr>
          <w:spacing w:val="-4"/>
          <w:sz w:val="20"/>
        </w:rPr>
        <w:t> </w:t>
      </w:r>
      <w:r>
        <w:rPr>
          <w:sz w:val="20"/>
        </w:rPr>
        <w:t>Rules</w:t>
      </w:r>
      <w:r>
        <w:rPr>
          <w:spacing w:val="-4"/>
          <w:sz w:val="20"/>
        </w:rPr>
        <w:t> </w:t>
      </w:r>
      <w:r>
        <w:rPr>
          <w:sz w:val="20"/>
        </w:rPr>
        <w:t>13a-15(e)</w:t>
      </w:r>
      <w:r>
        <w:rPr>
          <w:spacing w:val="-3"/>
          <w:sz w:val="20"/>
        </w:rPr>
        <w:t> </w:t>
      </w:r>
      <w:r>
        <w:rPr>
          <w:sz w:val="20"/>
        </w:rPr>
        <w:t>and</w:t>
      </w:r>
      <w:r>
        <w:rPr>
          <w:spacing w:val="-3"/>
          <w:sz w:val="20"/>
        </w:rPr>
        <w:t> </w:t>
      </w:r>
      <w:r>
        <w:rPr>
          <w:sz w:val="20"/>
        </w:rPr>
        <w:t>15d-15(e))</w:t>
      </w:r>
      <w:r>
        <w:rPr>
          <w:spacing w:val="-3"/>
          <w:sz w:val="20"/>
        </w:rPr>
        <w:t> </w:t>
      </w:r>
      <w:r>
        <w:rPr>
          <w:sz w:val="20"/>
        </w:rPr>
        <w:t>and</w:t>
      </w:r>
      <w:r>
        <w:rPr>
          <w:spacing w:val="-3"/>
          <w:sz w:val="20"/>
        </w:rPr>
        <w:t> </w:t>
      </w:r>
      <w:r>
        <w:rPr>
          <w:sz w:val="20"/>
        </w:rPr>
        <w:t>internal</w:t>
      </w:r>
      <w:r>
        <w:rPr>
          <w:spacing w:val="-4"/>
          <w:sz w:val="20"/>
        </w:rPr>
        <w:t> </w:t>
      </w:r>
      <w:r>
        <w:rPr>
          <w:sz w:val="20"/>
        </w:rPr>
        <w:t>control</w:t>
      </w:r>
      <w:r>
        <w:rPr>
          <w:spacing w:val="-4"/>
          <w:sz w:val="20"/>
        </w:rPr>
        <w:t> </w:t>
      </w:r>
      <w:r>
        <w:rPr>
          <w:sz w:val="20"/>
        </w:rPr>
        <w:t>over</w:t>
      </w:r>
      <w:r>
        <w:rPr>
          <w:spacing w:val="-3"/>
          <w:sz w:val="20"/>
        </w:rPr>
        <w:t> </w:t>
      </w:r>
      <w:r>
        <w:rPr>
          <w:sz w:val="20"/>
        </w:rPr>
        <w:t>financial</w:t>
      </w:r>
      <w:r>
        <w:rPr>
          <w:spacing w:val="-4"/>
          <w:sz w:val="20"/>
        </w:rPr>
        <w:t> </w:t>
      </w:r>
      <w:r>
        <w:rPr>
          <w:sz w:val="20"/>
        </w:rPr>
        <w:t>reporting</w:t>
      </w:r>
      <w:r>
        <w:rPr>
          <w:spacing w:val="-3"/>
          <w:sz w:val="20"/>
        </w:rPr>
        <w:t> </w:t>
      </w:r>
      <w:r>
        <w:rPr>
          <w:sz w:val="20"/>
        </w:rPr>
        <w:t>(as defined in Exchange Act Rules 13a-15(f) and 15d-15(f)) for the registrant and have:</w:t>
      </w:r>
    </w:p>
    <w:p>
      <w:pPr>
        <w:pStyle w:val="ListParagraph"/>
        <w:numPr>
          <w:ilvl w:val="1"/>
          <w:numId w:val="11"/>
        </w:numPr>
        <w:tabs>
          <w:tab w:pos="1730" w:val="left" w:leader="none"/>
        </w:tabs>
        <w:spacing w:line="249" w:lineRule="auto" w:before="203" w:after="0"/>
        <w:ind w:left="1730" w:right="621" w:hanging="540"/>
        <w:jc w:val="left"/>
        <w:rPr>
          <w:sz w:val="20"/>
        </w:rPr>
      </w:pPr>
      <w:r>
        <w:rPr>
          <w:sz w:val="20"/>
        </w:rPr>
        <w:t>Designed such disclosure controls and procedures, or caused such disclosure controls and procedures to be designed under our supervision, to ensure that material information relating to the registrant, including its consolidated</w:t>
      </w:r>
      <w:r>
        <w:rPr>
          <w:spacing w:val="-3"/>
          <w:sz w:val="20"/>
        </w:rPr>
        <w:t> </w:t>
      </w:r>
      <w:r>
        <w:rPr>
          <w:sz w:val="20"/>
        </w:rPr>
        <w:t>subsidiaries,</w:t>
      </w:r>
      <w:r>
        <w:rPr>
          <w:spacing w:val="-3"/>
          <w:sz w:val="20"/>
        </w:rPr>
        <w:t> </w:t>
      </w:r>
      <w:r>
        <w:rPr>
          <w:sz w:val="20"/>
        </w:rPr>
        <w:t>is</w:t>
      </w:r>
      <w:r>
        <w:rPr>
          <w:spacing w:val="-4"/>
          <w:sz w:val="20"/>
        </w:rPr>
        <w:t> </w:t>
      </w:r>
      <w:r>
        <w:rPr>
          <w:sz w:val="20"/>
        </w:rPr>
        <w:t>made</w:t>
      </w:r>
      <w:r>
        <w:rPr>
          <w:spacing w:val="-4"/>
          <w:sz w:val="20"/>
        </w:rPr>
        <w:t> </w:t>
      </w:r>
      <w:r>
        <w:rPr>
          <w:sz w:val="20"/>
        </w:rPr>
        <w:t>known</w:t>
      </w:r>
      <w:r>
        <w:rPr>
          <w:spacing w:val="-3"/>
          <w:sz w:val="20"/>
        </w:rPr>
        <w:t> </w:t>
      </w:r>
      <w:r>
        <w:rPr>
          <w:sz w:val="20"/>
        </w:rPr>
        <w:t>to</w:t>
      </w:r>
      <w:r>
        <w:rPr>
          <w:spacing w:val="-3"/>
          <w:sz w:val="20"/>
        </w:rPr>
        <w:t> </w:t>
      </w:r>
      <w:r>
        <w:rPr>
          <w:sz w:val="20"/>
        </w:rPr>
        <w:t>us</w:t>
      </w:r>
      <w:r>
        <w:rPr>
          <w:spacing w:val="-4"/>
          <w:sz w:val="20"/>
        </w:rPr>
        <w:t> </w:t>
      </w:r>
      <w:r>
        <w:rPr>
          <w:sz w:val="20"/>
        </w:rPr>
        <w:t>by</w:t>
      </w:r>
      <w:r>
        <w:rPr>
          <w:spacing w:val="-3"/>
          <w:sz w:val="20"/>
        </w:rPr>
        <w:t> </w:t>
      </w:r>
      <w:r>
        <w:rPr>
          <w:sz w:val="20"/>
        </w:rPr>
        <w:t>others</w:t>
      </w:r>
      <w:r>
        <w:rPr>
          <w:spacing w:val="-4"/>
          <w:sz w:val="20"/>
        </w:rPr>
        <w:t> </w:t>
      </w:r>
      <w:r>
        <w:rPr>
          <w:sz w:val="20"/>
        </w:rPr>
        <w:t>within</w:t>
      </w:r>
      <w:r>
        <w:rPr>
          <w:spacing w:val="-3"/>
          <w:sz w:val="20"/>
        </w:rPr>
        <w:t> </w:t>
      </w:r>
      <w:r>
        <w:rPr>
          <w:sz w:val="20"/>
        </w:rPr>
        <w:t>those</w:t>
      </w:r>
      <w:r>
        <w:rPr>
          <w:spacing w:val="-4"/>
          <w:sz w:val="20"/>
        </w:rPr>
        <w:t> </w:t>
      </w:r>
      <w:r>
        <w:rPr>
          <w:sz w:val="20"/>
        </w:rPr>
        <w:t>entities,</w:t>
      </w:r>
      <w:r>
        <w:rPr>
          <w:spacing w:val="-3"/>
          <w:sz w:val="20"/>
        </w:rPr>
        <w:t> </w:t>
      </w:r>
      <w:r>
        <w:rPr>
          <w:sz w:val="20"/>
        </w:rPr>
        <w:t>particularly</w:t>
      </w:r>
      <w:r>
        <w:rPr>
          <w:spacing w:val="-3"/>
          <w:sz w:val="20"/>
        </w:rPr>
        <w:t> </w:t>
      </w:r>
      <w:r>
        <w:rPr>
          <w:sz w:val="20"/>
        </w:rPr>
        <w:t>during</w:t>
      </w:r>
      <w:r>
        <w:rPr>
          <w:spacing w:val="-3"/>
          <w:sz w:val="20"/>
        </w:rPr>
        <w:t> </w:t>
      </w:r>
      <w:r>
        <w:rPr>
          <w:sz w:val="20"/>
        </w:rPr>
        <w:t>the</w:t>
      </w:r>
      <w:r>
        <w:rPr>
          <w:spacing w:val="-4"/>
          <w:sz w:val="20"/>
        </w:rPr>
        <w:t> </w:t>
      </w:r>
      <w:r>
        <w:rPr>
          <w:sz w:val="20"/>
        </w:rPr>
        <w:t>period</w:t>
      </w:r>
      <w:r>
        <w:rPr>
          <w:spacing w:val="-3"/>
          <w:sz w:val="20"/>
        </w:rPr>
        <w:t> </w:t>
      </w:r>
      <w:r>
        <w:rPr>
          <w:sz w:val="20"/>
        </w:rPr>
        <w:t>in which this report is being prepared;</w:t>
      </w:r>
    </w:p>
    <w:p>
      <w:pPr>
        <w:pStyle w:val="ListParagraph"/>
        <w:numPr>
          <w:ilvl w:val="1"/>
          <w:numId w:val="11"/>
        </w:numPr>
        <w:tabs>
          <w:tab w:pos="1730" w:val="left" w:leader="none"/>
        </w:tabs>
        <w:spacing w:line="249" w:lineRule="auto" w:before="203" w:after="0"/>
        <w:ind w:left="1730" w:right="595" w:hanging="540"/>
        <w:jc w:val="left"/>
        <w:rPr>
          <w:sz w:val="20"/>
        </w:rPr>
      </w:pPr>
      <w:r>
        <w:rPr>
          <w:sz w:val="20"/>
        </w:rPr>
        <w:t>Designed</w:t>
      </w:r>
      <w:r>
        <w:rPr>
          <w:spacing w:val="-3"/>
          <w:sz w:val="20"/>
        </w:rPr>
        <w:t> </w:t>
      </w:r>
      <w:r>
        <w:rPr>
          <w:sz w:val="20"/>
        </w:rPr>
        <w:t>such</w:t>
      </w:r>
      <w:r>
        <w:rPr>
          <w:spacing w:val="-3"/>
          <w:sz w:val="20"/>
        </w:rPr>
        <w:t> </w:t>
      </w:r>
      <w:r>
        <w:rPr>
          <w:sz w:val="20"/>
        </w:rPr>
        <w:t>internal</w:t>
      </w:r>
      <w:r>
        <w:rPr>
          <w:spacing w:val="-4"/>
          <w:sz w:val="20"/>
        </w:rPr>
        <w:t> </w:t>
      </w:r>
      <w:r>
        <w:rPr>
          <w:sz w:val="20"/>
        </w:rPr>
        <w:t>control</w:t>
      </w:r>
      <w:r>
        <w:rPr>
          <w:spacing w:val="-4"/>
          <w:sz w:val="20"/>
        </w:rPr>
        <w:t> </w:t>
      </w:r>
      <w:r>
        <w:rPr>
          <w:sz w:val="20"/>
        </w:rPr>
        <w:t>over</w:t>
      </w:r>
      <w:r>
        <w:rPr>
          <w:spacing w:val="-3"/>
          <w:sz w:val="20"/>
        </w:rPr>
        <w:t> </w:t>
      </w:r>
      <w:r>
        <w:rPr>
          <w:sz w:val="20"/>
        </w:rPr>
        <w:t>financial</w:t>
      </w:r>
      <w:r>
        <w:rPr>
          <w:spacing w:val="-4"/>
          <w:sz w:val="20"/>
        </w:rPr>
        <w:t> </w:t>
      </w:r>
      <w:r>
        <w:rPr>
          <w:sz w:val="20"/>
        </w:rPr>
        <w:t>reporting,</w:t>
      </w:r>
      <w:r>
        <w:rPr>
          <w:spacing w:val="-3"/>
          <w:sz w:val="20"/>
        </w:rPr>
        <w:t> </w:t>
      </w:r>
      <w:r>
        <w:rPr>
          <w:sz w:val="20"/>
        </w:rPr>
        <w:t>or</w:t>
      </w:r>
      <w:r>
        <w:rPr>
          <w:spacing w:val="-3"/>
          <w:sz w:val="20"/>
        </w:rPr>
        <w:t> </w:t>
      </w:r>
      <w:r>
        <w:rPr>
          <w:sz w:val="20"/>
        </w:rPr>
        <w:t>caused</w:t>
      </w:r>
      <w:r>
        <w:rPr>
          <w:spacing w:val="-3"/>
          <w:sz w:val="20"/>
        </w:rPr>
        <w:t> </w:t>
      </w:r>
      <w:r>
        <w:rPr>
          <w:sz w:val="20"/>
        </w:rPr>
        <w:t>such</w:t>
      </w:r>
      <w:r>
        <w:rPr>
          <w:spacing w:val="-3"/>
          <w:sz w:val="20"/>
        </w:rPr>
        <w:t> </w:t>
      </w:r>
      <w:r>
        <w:rPr>
          <w:sz w:val="20"/>
        </w:rPr>
        <w:t>internal</w:t>
      </w:r>
      <w:r>
        <w:rPr>
          <w:spacing w:val="-4"/>
          <w:sz w:val="20"/>
        </w:rPr>
        <w:t> </w:t>
      </w:r>
      <w:r>
        <w:rPr>
          <w:sz w:val="20"/>
        </w:rPr>
        <w:t>control</w:t>
      </w:r>
      <w:r>
        <w:rPr>
          <w:spacing w:val="-4"/>
          <w:sz w:val="20"/>
        </w:rPr>
        <w:t> </w:t>
      </w:r>
      <w:r>
        <w:rPr>
          <w:sz w:val="20"/>
        </w:rPr>
        <w:t>over</w:t>
      </w:r>
      <w:r>
        <w:rPr>
          <w:spacing w:val="-3"/>
          <w:sz w:val="20"/>
        </w:rPr>
        <w:t> </w:t>
      </w:r>
      <w:r>
        <w:rPr>
          <w:sz w:val="20"/>
        </w:rPr>
        <w:t>financial</w:t>
      </w:r>
      <w:r>
        <w:rPr>
          <w:spacing w:val="-4"/>
          <w:sz w:val="20"/>
        </w:rPr>
        <w:t> </w:t>
      </w:r>
      <w:r>
        <w:rPr>
          <w:sz w:val="20"/>
        </w:rPr>
        <w:t>reporting to be designed under our supervision, to provide reasonable assurance regarding the reliability of financial reporting and the preparation of financial statements for external purposes in accordance with generally accepted accounting principles;</w:t>
      </w:r>
    </w:p>
    <w:p>
      <w:pPr>
        <w:pStyle w:val="ListParagraph"/>
        <w:numPr>
          <w:ilvl w:val="1"/>
          <w:numId w:val="11"/>
        </w:numPr>
        <w:tabs>
          <w:tab w:pos="1728" w:val="left" w:leader="none"/>
          <w:tab w:pos="1730" w:val="left" w:leader="none"/>
        </w:tabs>
        <w:spacing w:line="249" w:lineRule="auto" w:before="203" w:after="0"/>
        <w:ind w:left="1730" w:right="778" w:hanging="540"/>
        <w:jc w:val="both"/>
        <w:rPr>
          <w:sz w:val="20"/>
        </w:rPr>
      </w:pPr>
      <w:r>
        <w:rPr>
          <w:sz w:val="20"/>
        </w:rPr>
        <w:t>Evaluated</w:t>
      </w:r>
      <w:r>
        <w:rPr>
          <w:spacing w:val="-3"/>
          <w:sz w:val="20"/>
        </w:rPr>
        <w:t> </w:t>
      </w:r>
      <w:r>
        <w:rPr>
          <w:sz w:val="20"/>
        </w:rPr>
        <w:t>the</w:t>
      </w:r>
      <w:r>
        <w:rPr>
          <w:spacing w:val="-4"/>
          <w:sz w:val="20"/>
        </w:rPr>
        <w:t> </w:t>
      </w:r>
      <w:r>
        <w:rPr>
          <w:sz w:val="20"/>
        </w:rPr>
        <w:t>effectiveness</w:t>
      </w:r>
      <w:r>
        <w:rPr>
          <w:spacing w:val="-4"/>
          <w:sz w:val="20"/>
        </w:rPr>
        <w:t> </w:t>
      </w:r>
      <w:r>
        <w:rPr>
          <w:sz w:val="20"/>
        </w:rPr>
        <w:t>of</w:t>
      </w:r>
      <w:r>
        <w:rPr>
          <w:spacing w:val="-3"/>
          <w:sz w:val="20"/>
        </w:rPr>
        <w:t> </w:t>
      </w:r>
      <w:r>
        <w:rPr>
          <w:sz w:val="20"/>
        </w:rPr>
        <w:t>the</w:t>
      </w:r>
      <w:r>
        <w:rPr>
          <w:spacing w:val="-4"/>
          <w:sz w:val="20"/>
        </w:rPr>
        <w:t> </w:t>
      </w:r>
      <w:r>
        <w:rPr>
          <w:sz w:val="20"/>
        </w:rPr>
        <w:t>registrant’s</w:t>
      </w:r>
      <w:r>
        <w:rPr>
          <w:spacing w:val="-4"/>
          <w:sz w:val="20"/>
        </w:rPr>
        <w:t> </w:t>
      </w:r>
      <w:r>
        <w:rPr>
          <w:sz w:val="20"/>
        </w:rPr>
        <w:t>disclosure</w:t>
      </w:r>
      <w:r>
        <w:rPr>
          <w:spacing w:val="-4"/>
          <w:sz w:val="20"/>
        </w:rPr>
        <w:t> </w:t>
      </w:r>
      <w:r>
        <w:rPr>
          <w:sz w:val="20"/>
        </w:rPr>
        <w:t>controls</w:t>
      </w:r>
      <w:r>
        <w:rPr>
          <w:spacing w:val="-4"/>
          <w:sz w:val="20"/>
        </w:rPr>
        <w:t> </w:t>
      </w:r>
      <w:r>
        <w:rPr>
          <w:sz w:val="20"/>
        </w:rPr>
        <w:t>and</w:t>
      </w:r>
      <w:r>
        <w:rPr>
          <w:spacing w:val="-3"/>
          <w:sz w:val="20"/>
        </w:rPr>
        <w:t> </w:t>
      </w:r>
      <w:r>
        <w:rPr>
          <w:sz w:val="20"/>
        </w:rPr>
        <w:t>procedures</w:t>
      </w:r>
      <w:r>
        <w:rPr>
          <w:spacing w:val="-4"/>
          <w:sz w:val="20"/>
        </w:rPr>
        <w:t> </w:t>
      </w:r>
      <w:r>
        <w:rPr>
          <w:sz w:val="20"/>
        </w:rPr>
        <w:t>and</w:t>
      </w:r>
      <w:r>
        <w:rPr>
          <w:spacing w:val="-3"/>
          <w:sz w:val="20"/>
        </w:rPr>
        <w:t> </w:t>
      </w:r>
      <w:r>
        <w:rPr>
          <w:sz w:val="20"/>
        </w:rPr>
        <w:t>presented</w:t>
      </w:r>
      <w:r>
        <w:rPr>
          <w:spacing w:val="-3"/>
          <w:sz w:val="20"/>
        </w:rPr>
        <w:t> </w:t>
      </w:r>
      <w:r>
        <w:rPr>
          <w:sz w:val="20"/>
        </w:rPr>
        <w:t>in</w:t>
      </w:r>
      <w:r>
        <w:rPr>
          <w:spacing w:val="-3"/>
          <w:sz w:val="20"/>
        </w:rPr>
        <w:t> </w:t>
      </w:r>
      <w:r>
        <w:rPr>
          <w:sz w:val="20"/>
        </w:rPr>
        <w:t>this</w:t>
      </w:r>
      <w:r>
        <w:rPr>
          <w:spacing w:val="-4"/>
          <w:sz w:val="20"/>
        </w:rPr>
        <w:t> </w:t>
      </w:r>
      <w:r>
        <w:rPr>
          <w:sz w:val="20"/>
        </w:rPr>
        <w:t>report our</w:t>
      </w:r>
      <w:r>
        <w:rPr>
          <w:spacing w:val="-1"/>
          <w:sz w:val="20"/>
        </w:rPr>
        <w:t> </w:t>
      </w:r>
      <w:r>
        <w:rPr>
          <w:sz w:val="20"/>
        </w:rPr>
        <w:t>conclusions</w:t>
      </w:r>
      <w:r>
        <w:rPr>
          <w:spacing w:val="-2"/>
          <w:sz w:val="20"/>
        </w:rPr>
        <w:t> </w:t>
      </w:r>
      <w:r>
        <w:rPr>
          <w:sz w:val="20"/>
        </w:rPr>
        <w:t>about</w:t>
      </w:r>
      <w:r>
        <w:rPr>
          <w:spacing w:val="-2"/>
          <w:sz w:val="20"/>
        </w:rPr>
        <w:t> </w:t>
      </w:r>
      <w:r>
        <w:rPr>
          <w:sz w:val="20"/>
        </w:rPr>
        <w:t>the</w:t>
      </w:r>
      <w:r>
        <w:rPr>
          <w:spacing w:val="-2"/>
          <w:sz w:val="20"/>
        </w:rPr>
        <w:t> </w:t>
      </w:r>
      <w:r>
        <w:rPr>
          <w:sz w:val="20"/>
        </w:rPr>
        <w:t>effectiveness</w:t>
      </w:r>
      <w:r>
        <w:rPr>
          <w:spacing w:val="-2"/>
          <w:sz w:val="20"/>
        </w:rPr>
        <w:t> </w:t>
      </w:r>
      <w:r>
        <w:rPr>
          <w:sz w:val="20"/>
        </w:rPr>
        <w:t>of</w:t>
      </w:r>
      <w:r>
        <w:rPr>
          <w:spacing w:val="-1"/>
          <w:sz w:val="20"/>
        </w:rPr>
        <w:t> </w:t>
      </w:r>
      <w:r>
        <w:rPr>
          <w:sz w:val="20"/>
        </w:rPr>
        <w:t>the</w:t>
      </w:r>
      <w:r>
        <w:rPr>
          <w:spacing w:val="-2"/>
          <w:sz w:val="20"/>
        </w:rPr>
        <w:t> </w:t>
      </w:r>
      <w:r>
        <w:rPr>
          <w:sz w:val="20"/>
        </w:rPr>
        <w:t>disclosure</w:t>
      </w:r>
      <w:r>
        <w:rPr>
          <w:spacing w:val="-2"/>
          <w:sz w:val="20"/>
        </w:rPr>
        <w:t> </w:t>
      </w:r>
      <w:r>
        <w:rPr>
          <w:sz w:val="20"/>
        </w:rPr>
        <w:t>controls</w:t>
      </w:r>
      <w:r>
        <w:rPr>
          <w:spacing w:val="-2"/>
          <w:sz w:val="20"/>
        </w:rPr>
        <w:t> </w:t>
      </w:r>
      <w:r>
        <w:rPr>
          <w:sz w:val="20"/>
        </w:rPr>
        <w:t>and</w:t>
      </w:r>
      <w:r>
        <w:rPr>
          <w:spacing w:val="-1"/>
          <w:sz w:val="20"/>
        </w:rPr>
        <w:t> </w:t>
      </w:r>
      <w:r>
        <w:rPr>
          <w:sz w:val="20"/>
        </w:rPr>
        <w:t>procedures,</w:t>
      </w:r>
      <w:r>
        <w:rPr>
          <w:spacing w:val="-1"/>
          <w:sz w:val="20"/>
        </w:rPr>
        <w:t> </w:t>
      </w:r>
      <w:r>
        <w:rPr>
          <w:sz w:val="20"/>
        </w:rPr>
        <w:t>as</w:t>
      </w:r>
      <w:r>
        <w:rPr>
          <w:spacing w:val="-2"/>
          <w:sz w:val="20"/>
        </w:rPr>
        <w:t> </w:t>
      </w:r>
      <w:r>
        <w:rPr>
          <w:sz w:val="20"/>
        </w:rPr>
        <w:t>of</w:t>
      </w:r>
      <w:r>
        <w:rPr>
          <w:spacing w:val="-1"/>
          <w:sz w:val="20"/>
        </w:rPr>
        <w:t> </w:t>
      </w:r>
      <w:r>
        <w:rPr>
          <w:sz w:val="20"/>
        </w:rPr>
        <w:t>the</w:t>
      </w:r>
      <w:r>
        <w:rPr>
          <w:spacing w:val="-2"/>
          <w:sz w:val="20"/>
        </w:rPr>
        <w:t> </w:t>
      </w:r>
      <w:r>
        <w:rPr>
          <w:sz w:val="20"/>
        </w:rPr>
        <w:t>end</w:t>
      </w:r>
      <w:r>
        <w:rPr>
          <w:spacing w:val="-1"/>
          <w:sz w:val="20"/>
        </w:rPr>
        <w:t> </w:t>
      </w:r>
      <w:r>
        <w:rPr>
          <w:sz w:val="20"/>
        </w:rPr>
        <w:t>of</w:t>
      </w:r>
      <w:r>
        <w:rPr>
          <w:spacing w:val="-1"/>
          <w:sz w:val="20"/>
        </w:rPr>
        <w:t> </w:t>
      </w:r>
      <w:r>
        <w:rPr>
          <w:sz w:val="20"/>
        </w:rPr>
        <w:t>the</w:t>
      </w:r>
      <w:r>
        <w:rPr>
          <w:spacing w:val="-2"/>
          <w:sz w:val="20"/>
        </w:rPr>
        <w:t> </w:t>
      </w:r>
      <w:r>
        <w:rPr>
          <w:sz w:val="20"/>
        </w:rPr>
        <w:t>period covered by this report based on such evaluation; and</w:t>
      </w:r>
    </w:p>
    <w:p>
      <w:pPr>
        <w:pStyle w:val="ListParagraph"/>
        <w:numPr>
          <w:ilvl w:val="1"/>
          <w:numId w:val="11"/>
        </w:numPr>
        <w:tabs>
          <w:tab w:pos="1730" w:val="left" w:leader="none"/>
        </w:tabs>
        <w:spacing w:line="249" w:lineRule="auto" w:before="203" w:after="0"/>
        <w:ind w:left="1730" w:right="697" w:hanging="540"/>
        <w:jc w:val="left"/>
        <w:rPr>
          <w:sz w:val="20"/>
        </w:rPr>
      </w:pPr>
      <w:r>
        <w:rPr>
          <w:sz w:val="20"/>
        </w:rPr>
        <w:t>Disclosed in this report any change in the registrant’s internal control over financial reporting that occurred during the registrant’s most recent fiscal quarter (the registrant’s fourth fiscal quarter in the case of an annual report)</w:t>
      </w:r>
      <w:r>
        <w:rPr>
          <w:spacing w:val="-3"/>
          <w:sz w:val="20"/>
        </w:rPr>
        <w:t> </w:t>
      </w:r>
      <w:r>
        <w:rPr>
          <w:sz w:val="20"/>
        </w:rPr>
        <w:t>that</w:t>
      </w:r>
      <w:r>
        <w:rPr>
          <w:spacing w:val="-4"/>
          <w:sz w:val="20"/>
        </w:rPr>
        <w:t> </w:t>
      </w:r>
      <w:r>
        <w:rPr>
          <w:sz w:val="20"/>
        </w:rPr>
        <w:t>has</w:t>
      </w:r>
      <w:r>
        <w:rPr>
          <w:spacing w:val="-4"/>
          <w:sz w:val="20"/>
        </w:rPr>
        <w:t> </w:t>
      </w:r>
      <w:r>
        <w:rPr>
          <w:sz w:val="20"/>
        </w:rPr>
        <w:t>materially</w:t>
      </w:r>
      <w:r>
        <w:rPr>
          <w:spacing w:val="-3"/>
          <w:sz w:val="20"/>
        </w:rPr>
        <w:t> </w:t>
      </w:r>
      <w:r>
        <w:rPr>
          <w:sz w:val="20"/>
        </w:rPr>
        <w:t>affected,</w:t>
      </w:r>
      <w:r>
        <w:rPr>
          <w:spacing w:val="-3"/>
          <w:sz w:val="20"/>
        </w:rPr>
        <w:t> </w:t>
      </w:r>
      <w:r>
        <w:rPr>
          <w:sz w:val="20"/>
        </w:rPr>
        <w:t>or</w:t>
      </w:r>
      <w:r>
        <w:rPr>
          <w:spacing w:val="-3"/>
          <w:sz w:val="20"/>
        </w:rPr>
        <w:t> </w:t>
      </w:r>
      <w:r>
        <w:rPr>
          <w:sz w:val="20"/>
        </w:rPr>
        <w:t>is</w:t>
      </w:r>
      <w:r>
        <w:rPr>
          <w:spacing w:val="-4"/>
          <w:sz w:val="20"/>
        </w:rPr>
        <w:t> </w:t>
      </w:r>
      <w:r>
        <w:rPr>
          <w:sz w:val="20"/>
        </w:rPr>
        <w:t>reasonably</w:t>
      </w:r>
      <w:r>
        <w:rPr>
          <w:spacing w:val="-3"/>
          <w:sz w:val="20"/>
        </w:rPr>
        <w:t> </w:t>
      </w:r>
      <w:r>
        <w:rPr>
          <w:sz w:val="20"/>
        </w:rPr>
        <w:t>likely</w:t>
      </w:r>
      <w:r>
        <w:rPr>
          <w:spacing w:val="-3"/>
          <w:sz w:val="20"/>
        </w:rPr>
        <w:t> </w:t>
      </w:r>
      <w:r>
        <w:rPr>
          <w:sz w:val="20"/>
        </w:rPr>
        <w:t>to</w:t>
      </w:r>
      <w:r>
        <w:rPr>
          <w:spacing w:val="-3"/>
          <w:sz w:val="20"/>
        </w:rPr>
        <w:t> </w:t>
      </w:r>
      <w:r>
        <w:rPr>
          <w:sz w:val="20"/>
        </w:rPr>
        <w:t>materially</w:t>
      </w:r>
      <w:r>
        <w:rPr>
          <w:spacing w:val="-3"/>
          <w:sz w:val="20"/>
        </w:rPr>
        <w:t> </w:t>
      </w:r>
      <w:r>
        <w:rPr>
          <w:sz w:val="20"/>
        </w:rPr>
        <w:t>affect,</w:t>
      </w:r>
      <w:r>
        <w:rPr>
          <w:spacing w:val="-3"/>
          <w:sz w:val="20"/>
        </w:rPr>
        <w:t> </w:t>
      </w:r>
      <w:r>
        <w:rPr>
          <w:sz w:val="20"/>
        </w:rPr>
        <w:t>the</w:t>
      </w:r>
      <w:r>
        <w:rPr>
          <w:spacing w:val="-4"/>
          <w:sz w:val="20"/>
        </w:rPr>
        <w:t> </w:t>
      </w:r>
      <w:r>
        <w:rPr>
          <w:sz w:val="20"/>
        </w:rPr>
        <w:t>registrant’s</w:t>
      </w:r>
      <w:r>
        <w:rPr>
          <w:spacing w:val="-4"/>
          <w:sz w:val="20"/>
        </w:rPr>
        <w:t> </w:t>
      </w:r>
      <w:r>
        <w:rPr>
          <w:sz w:val="20"/>
        </w:rPr>
        <w:t>internal</w:t>
      </w:r>
      <w:r>
        <w:rPr>
          <w:spacing w:val="-4"/>
          <w:sz w:val="20"/>
        </w:rPr>
        <w:t> </w:t>
      </w:r>
      <w:r>
        <w:rPr>
          <w:sz w:val="20"/>
        </w:rPr>
        <w:t>control over financial reporting; and</w:t>
      </w:r>
    </w:p>
    <w:p>
      <w:pPr>
        <w:pStyle w:val="ListParagraph"/>
        <w:numPr>
          <w:ilvl w:val="0"/>
          <w:numId w:val="11"/>
        </w:numPr>
        <w:tabs>
          <w:tab w:pos="830" w:val="left" w:leader="none"/>
        </w:tabs>
        <w:spacing w:line="249" w:lineRule="auto" w:before="203" w:after="0"/>
        <w:ind w:left="830" w:right="685" w:hanging="360"/>
        <w:jc w:val="left"/>
        <w:rPr>
          <w:sz w:val="20"/>
        </w:rPr>
      </w:pPr>
      <w:r>
        <w:rPr>
          <w:sz w:val="20"/>
        </w:rPr>
        <w:t>The</w:t>
      </w:r>
      <w:r>
        <w:rPr>
          <w:spacing w:val="-4"/>
          <w:sz w:val="20"/>
        </w:rPr>
        <w:t> </w:t>
      </w:r>
      <w:r>
        <w:rPr>
          <w:sz w:val="20"/>
        </w:rPr>
        <w:t>registrant’s</w:t>
      </w:r>
      <w:r>
        <w:rPr>
          <w:spacing w:val="-4"/>
          <w:sz w:val="20"/>
        </w:rPr>
        <w:t> </w:t>
      </w:r>
      <w:r>
        <w:rPr>
          <w:sz w:val="20"/>
        </w:rPr>
        <w:t>other</w:t>
      </w:r>
      <w:r>
        <w:rPr>
          <w:spacing w:val="-3"/>
          <w:sz w:val="20"/>
        </w:rPr>
        <w:t> </w:t>
      </w:r>
      <w:r>
        <w:rPr>
          <w:sz w:val="20"/>
        </w:rPr>
        <w:t>certifying</w:t>
      </w:r>
      <w:r>
        <w:rPr>
          <w:spacing w:val="-3"/>
          <w:sz w:val="20"/>
        </w:rPr>
        <w:t> </w:t>
      </w:r>
      <w:r>
        <w:rPr>
          <w:sz w:val="20"/>
        </w:rPr>
        <w:t>officer</w:t>
      </w:r>
      <w:r>
        <w:rPr>
          <w:spacing w:val="-3"/>
          <w:sz w:val="20"/>
        </w:rPr>
        <w:t> </w:t>
      </w:r>
      <w:r>
        <w:rPr>
          <w:sz w:val="20"/>
        </w:rPr>
        <w:t>and</w:t>
      </w:r>
      <w:r>
        <w:rPr>
          <w:spacing w:val="-3"/>
          <w:sz w:val="20"/>
        </w:rPr>
        <w:t> </w:t>
      </w:r>
      <w:r>
        <w:rPr>
          <w:sz w:val="20"/>
        </w:rPr>
        <w:t>I</w:t>
      </w:r>
      <w:r>
        <w:rPr>
          <w:spacing w:val="-3"/>
          <w:sz w:val="20"/>
        </w:rPr>
        <w:t> </w:t>
      </w:r>
      <w:r>
        <w:rPr>
          <w:sz w:val="20"/>
        </w:rPr>
        <w:t>have</w:t>
      </w:r>
      <w:r>
        <w:rPr>
          <w:spacing w:val="-4"/>
          <w:sz w:val="20"/>
        </w:rPr>
        <w:t> </w:t>
      </w:r>
      <w:r>
        <w:rPr>
          <w:sz w:val="20"/>
        </w:rPr>
        <w:t>disclosed,</w:t>
      </w:r>
      <w:r>
        <w:rPr>
          <w:spacing w:val="-3"/>
          <w:sz w:val="20"/>
        </w:rPr>
        <w:t> </w:t>
      </w:r>
      <w:r>
        <w:rPr>
          <w:sz w:val="20"/>
        </w:rPr>
        <w:t>based</w:t>
      </w:r>
      <w:r>
        <w:rPr>
          <w:spacing w:val="-3"/>
          <w:sz w:val="20"/>
        </w:rPr>
        <w:t> </w:t>
      </w:r>
      <w:r>
        <w:rPr>
          <w:sz w:val="20"/>
        </w:rPr>
        <w:t>on</w:t>
      </w:r>
      <w:r>
        <w:rPr>
          <w:spacing w:val="-3"/>
          <w:sz w:val="20"/>
        </w:rPr>
        <w:t> </w:t>
      </w:r>
      <w:r>
        <w:rPr>
          <w:sz w:val="20"/>
        </w:rPr>
        <w:t>our</w:t>
      </w:r>
      <w:r>
        <w:rPr>
          <w:spacing w:val="-3"/>
          <w:sz w:val="20"/>
        </w:rPr>
        <w:t> </w:t>
      </w:r>
      <w:r>
        <w:rPr>
          <w:sz w:val="20"/>
        </w:rPr>
        <w:t>most</w:t>
      </w:r>
      <w:r>
        <w:rPr>
          <w:spacing w:val="-4"/>
          <w:sz w:val="20"/>
        </w:rPr>
        <w:t> </w:t>
      </w:r>
      <w:r>
        <w:rPr>
          <w:sz w:val="20"/>
        </w:rPr>
        <w:t>recent</w:t>
      </w:r>
      <w:r>
        <w:rPr>
          <w:spacing w:val="-4"/>
          <w:sz w:val="20"/>
        </w:rPr>
        <w:t> </w:t>
      </w:r>
      <w:r>
        <w:rPr>
          <w:sz w:val="20"/>
        </w:rPr>
        <w:t>evaluation</w:t>
      </w:r>
      <w:r>
        <w:rPr>
          <w:spacing w:val="-3"/>
          <w:sz w:val="20"/>
        </w:rPr>
        <w:t> </w:t>
      </w:r>
      <w:r>
        <w:rPr>
          <w:sz w:val="20"/>
        </w:rPr>
        <w:t>of</w:t>
      </w:r>
      <w:r>
        <w:rPr>
          <w:spacing w:val="-3"/>
          <w:sz w:val="20"/>
        </w:rPr>
        <w:t> </w:t>
      </w:r>
      <w:r>
        <w:rPr>
          <w:sz w:val="20"/>
        </w:rPr>
        <w:t>internal</w:t>
      </w:r>
      <w:r>
        <w:rPr>
          <w:spacing w:val="-4"/>
          <w:sz w:val="20"/>
        </w:rPr>
        <w:t> </w:t>
      </w:r>
      <w:r>
        <w:rPr>
          <w:sz w:val="20"/>
        </w:rPr>
        <w:t>control</w:t>
      </w:r>
      <w:r>
        <w:rPr>
          <w:spacing w:val="-4"/>
          <w:sz w:val="20"/>
        </w:rPr>
        <w:t> </w:t>
      </w:r>
      <w:r>
        <w:rPr>
          <w:sz w:val="20"/>
        </w:rPr>
        <w:t>over financial reporting, to the registrant’s auditors and the audit committee of the registrant’s board of directors (or persons performing the equivalent functions):</w:t>
      </w:r>
    </w:p>
    <w:p>
      <w:pPr>
        <w:pStyle w:val="ListParagraph"/>
        <w:numPr>
          <w:ilvl w:val="1"/>
          <w:numId w:val="11"/>
        </w:numPr>
        <w:tabs>
          <w:tab w:pos="1730" w:val="left" w:leader="none"/>
        </w:tabs>
        <w:spacing w:line="249" w:lineRule="auto" w:before="203" w:after="0"/>
        <w:ind w:left="1730" w:right="552" w:hanging="540"/>
        <w:jc w:val="left"/>
        <w:rPr>
          <w:sz w:val="20"/>
        </w:rPr>
      </w:pPr>
      <w:r>
        <w:rPr>
          <w:sz w:val="20"/>
        </w:rPr>
        <w:t>All</w:t>
      </w:r>
      <w:r>
        <w:rPr>
          <w:spacing w:val="-4"/>
          <w:sz w:val="20"/>
        </w:rPr>
        <w:t> </w:t>
      </w:r>
      <w:r>
        <w:rPr>
          <w:sz w:val="20"/>
        </w:rPr>
        <w:t>significant</w:t>
      </w:r>
      <w:r>
        <w:rPr>
          <w:spacing w:val="-4"/>
          <w:sz w:val="20"/>
        </w:rPr>
        <w:t> </w:t>
      </w:r>
      <w:r>
        <w:rPr>
          <w:sz w:val="20"/>
        </w:rPr>
        <w:t>deficiencies</w:t>
      </w:r>
      <w:r>
        <w:rPr>
          <w:spacing w:val="-4"/>
          <w:sz w:val="20"/>
        </w:rPr>
        <w:t> </w:t>
      </w:r>
      <w:r>
        <w:rPr>
          <w:sz w:val="20"/>
        </w:rPr>
        <w:t>and</w:t>
      </w:r>
      <w:r>
        <w:rPr>
          <w:spacing w:val="-3"/>
          <w:sz w:val="20"/>
        </w:rPr>
        <w:t> </w:t>
      </w:r>
      <w:r>
        <w:rPr>
          <w:sz w:val="20"/>
        </w:rPr>
        <w:t>material</w:t>
      </w:r>
      <w:r>
        <w:rPr>
          <w:spacing w:val="-4"/>
          <w:sz w:val="20"/>
        </w:rPr>
        <w:t> </w:t>
      </w:r>
      <w:r>
        <w:rPr>
          <w:sz w:val="20"/>
        </w:rPr>
        <w:t>weaknesses</w:t>
      </w:r>
      <w:r>
        <w:rPr>
          <w:spacing w:val="-4"/>
          <w:sz w:val="20"/>
        </w:rPr>
        <w:t> </w:t>
      </w:r>
      <w:r>
        <w:rPr>
          <w:sz w:val="20"/>
        </w:rPr>
        <w:t>in</w:t>
      </w:r>
      <w:r>
        <w:rPr>
          <w:spacing w:val="-3"/>
          <w:sz w:val="20"/>
        </w:rPr>
        <w:t> </w:t>
      </w:r>
      <w:r>
        <w:rPr>
          <w:sz w:val="20"/>
        </w:rPr>
        <w:t>the</w:t>
      </w:r>
      <w:r>
        <w:rPr>
          <w:spacing w:val="-4"/>
          <w:sz w:val="20"/>
        </w:rPr>
        <w:t> </w:t>
      </w:r>
      <w:r>
        <w:rPr>
          <w:sz w:val="20"/>
        </w:rPr>
        <w:t>design</w:t>
      </w:r>
      <w:r>
        <w:rPr>
          <w:spacing w:val="-3"/>
          <w:sz w:val="20"/>
        </w:rPr>
        <w:t> </w:t>
      </w:r>
      <w:r>
        <w:rPr>
          <w:sz w:val="20"/>
        </w:rPr>
        <w:t>or</w:t>
      </w:r>
      <w:r>
        <w:rPr>
          <w:spacing w:val="-3"/>
          <w:sz w:val="20"/>
        </w:rPr>
        <w:t> </w:t>
      </w:r>
      <w:r>
        <w:rPr>
          <w:sz w:val="20"/>
        </w:rPr>
        <w:t>operation</w:t>
      </w:r>
      <w:r>
        <w:rPr>
          <w:spacing w:val="-3"/>
          <w:sz w:val="20"/>
        </w:rPr>
        <w:t> </w:t>
      </w:r>
      <w:r>
        <w:rPr>
          <w:sz w:val="20"/>
        </w:rPr>
        <w:t>of</w:t>
      </w:r>
      <w:r>
        <w:rPr>
          <w:spacing w:val="-3"/>
          <w:sz w:val="20"/>
        </w:rPr>
        <w:t> </w:t>
      </w:r>
      <w:r>
        <w:rPr>
          <w:sz w:val="20"/>
        </w:rPr>
        <w:t>internal</w:t>
      </w:r>
      <w:r>
        <w:rPr>
          <w:spacing w:val="-4"/>
          <w:sz w:val="20"/>
        </w:rPr>
        <w:t> </w:t>
      </w:r>
      <w:r>
        <w:rPr>
          <w:sz w:val="20"/>
        </w:rPr>
        <w:t>control</w:t>
      </w:r>
      <w:r>
        <w:rPr>
          <w:spacing w:val="-4"/>
          <w:sz w:val="20"/>
        </w:rPr>
        <w:t> </w:t>
      </w:r>
      <w:r>
        <w:rPr>
          <w:sz w:val="20"/>
        </w:rPr>
        <w:t>over</w:t>
      </w:r>
      <w:r>
        <w:rPr>
          <w:spacing w:val="-3"/>
          <w:sz w:val="20"/>
        </w:rPr>
        <w:t> </w:t>
      </w:r>
      <w:r>
        <w:rPr>
          <w:sz w:val="20"/>
        </w:rPr>
        <w:t>financial reporting which are reasonably likely to adversely affect the registrant’s ability to record, process, summarize and report financial information; and</w:t>
      </w:r>
    </w:p>
    <w:p>
      <w:pPr>
        <w:pStyle w:val="ListParagraph"/>
        <w:numPr>
          <w:ilvl w:val="1"/>
          <w:numId w:val="11"/>
        </w:numPr>
        <w:tabs>
          <w:tab w:pos="1730" w:val="left" w:leader="none"/>
        </w:tabs>
        <w:spacing w:line="249" w:lineRule="auto" w:before="202" w:after="0"/>
        <w:ind w:left="1730" w:right="485" w:hanging="540"/>
        <w:jc w:val="left"/>
        <w:rPr>
          <w:sz w:val="20"/>
        </w:rPr>
      </w:pPr>
      <w:r>
        <w:rPr>
          <w:sz w:val="20"/>
        </w:rPr>
        <w:t>Any</w:t>
      </w:r>
      <w:r>
        <w:rPr>
          <w:spacing w:val="-3"/>
          <w:sz w:val="20"/>
        </w:rPr>
        <w:t> </w:t>
      </w:r>
      <w:r>
        <w:rPr>
          <w:sz w:val="20"/>
        </w:rPr>
        <w:t>fraud,</w:t>
      </w:r>
      <w:r>
        <w:rPr>
          <w:spacing w:val="-3"/>
          <w:sz w:val="20"/>
        </w:rPr>
        <w:t> </w:t>
      </w:r>
      <w:r>
        <w:rPr>
          <w:sz w:val="20"/>
        </w:rPr>
        <w:t>whether</w:t>
      </w:r>
      <w:r>
        <w:rPr>
          <w:spacing w:val="-3"/>
          <w:sz w:val="20"/>
        </w:rPr>
        <w:t> </w:t>
      </w:r>
      <w:r>
        <w:rPr>
          <w:sz w:val="20"/>
        </w:rPr>
        <w:t>or</w:t>
      </w:r>
      <w:r>
        <w:rPr>
          <w:spacing w:val="-3"/>
          <w:sz w:val="20"/>
        </w:rPr>
        <w:t> </w:t>
      </w:r>
      <w:r>
        <w:rPr>
          <w:sz w:val="20"/>
        </w:rPr>
        <w:t>not</w:t>
      </w:r>
      <w:r>
        <w:rPr>
          <w:spacing w:val="-4"/>
          <w:sz w:val="20"/>
        </w:rPr>
        <w:t> </w:t>
      </w:r>
      <w:r>
        <w:rPr>
          <w:sz w:val="20"/>
        </w:rPr>
        <w:t>material,</w:t>
      </w:r>
      <w:r>
        <w:rPr>
          <w:spacing w:val="-3"/>
          <w:sz w:val="20"/>
        </w:rPr>
        <w:t> </w:t>
      </w:r>
      <w:r>
        <w:rPr>
          <w:sz w:val="20"/>
        </w:rPr>
        <w:t>that</w:t>
      </w:r>
      <w:r>
        <w:rPr>
          <w:spacing w:val="-4"/>
          <w:sz w:val="20"/>
        </w:rPr>
        <w:t> </w:t>
      </w:r>
      <w:r>
        <w:rPr>
          <w:sz w:val="20"/>
        </w:rPr>
        <w:t>involves</w:t>
      </w:r>
      <w:r>
        <w:rPr>
          <w:spacing w:val="-4"/>
          <w:sz w:val="20"/>
        </w:rPr>
        <w:t> </w:t>
      </w:r>
      <w:r>
        <w:rPr>
          <w:sz w:val="20"/>
        </w:rPr>
        <w:t>management</w:t>
      </w:r>
      <w:r>
        <w:rPr>
          <w:spacing w:val="-4"/>
          <w:sz w:val="20"/>
        </w:rPr>
        <w:t> </w:t>
      </w:r>
      <w:r>
        <w:rPr>
          <w:sz w:val="20"/>
        </w:rPr>
        <w:t>or</w:t>
      </w:r>
      <w:r>
        <w:rPr>
          <w:spacing w:val="-3"/>
          <w:sz w:val="20"/>
        </w:rPr>
        <w:t> </w:t>
      </w:r>
      <w:r>
        <w:rPr>
          <w:sz w:val="20"/>
        </w:rPr>
        <w:t>other</w:t>
      </w:r>
      <w:r>
        <w:rPr>
          <w:spacing w:val="-3"/>
          <w:sz w:val="20"/>
        </w:rPr>
        <w:t> </w:t>
      </w:r>
      <w:r>
        <w:rPr>
          <w:sz w:val="20"/>
        </w:rPr>
        <w:t>employees</w:t>
      </w:r>
      <w:r>
        <w:rPr>
          <w:spacing w:val="-4"/>
          <w:sz w:val="20"/>
        </w:rPr>
        <w:t> </w:t>
      </w:r>
      <w:r>
        <w:rPr>
          <w:sz w:val="20"/>
        </w:rPr>
        <w:t>who</w:t>
      </w:r>
      <w:r>
        <w:rPr>
          <w:spacing w:val="-3"/>
          <w:sz w:val="20"/>
        </w:rPr>
        <w:t> </w:t>
      </w:r>
      <w:r>
        <w:rPr>
          <w:sz w:val="20"/>
        </w:rPr>
        <w:t>have</w:t>
      </w:r>
      <w:r>
        <w:rPr>
          <w:spacing w:val="-4"/>
          <w:sz w:val="20"/>
        </w:rPr>
        <w:t> </w:t>
      </w:r>
      <w:r>
        <w:rPr>
          <w:sz w:val="20"/>
        </w:rPr>
        <w:t>a</w:t>
      </w:r>
      <w:r>
        <w:rPr>
          <w:spacing w:val="-4"/>
          <w:sz w:val="20"/>
        </w:rPr>
        <w:t> </w:t>
      </w:r>
      <w:r>
        <w:rPr>
          <w:sz w:val="20"/>
        </w:rPr>
        <w:t>significant</w:t>
      </w:r>
      <w:r>
        <w:rPr>
          <w:spacing w:val="-4"/>
          <w:sz w:val="20"/>
        </w:rPr>
        <w:t> </w:t>
      </w:r>
      <w:r>
        <w:rPr>
          <w:sz w:val="20"/>
        </w:rPr>
        <w:t>role</w:t>
      </w:r>
      <w:r>
        <w:rPr>
          <w:spacing w:val="-4"/>
          <w:sz w:val="20"/>
        </w:rPr>
        <w:t> </w:t>
      </w:r>
      <w:r>
        <w:rPr>
          <w:sz w:val="20"/>
        </w:rPr>
        <w:t>in the registrant’s internal control over financial reporting.</w:t>
      </w:r>
    </w:p>
    <w:p>
      <w:pPr>
        <w:pStyle w:val="BodyText"/>
      </w:pPr>
    </w:p>
    <w:p>
      <w:pPr>
        <w:pStyle w:val="BodyText"/>
        <w:spacing w:before="34"/>
      </w:pPr>
    </w:p>
    <w:p>
      <w:pPr>
        <w:pStyle w:val="BodyText"/>
        <w:tabs>
          <w:tab w:pos="1197" w:val="left" w:leader="none"/>
          <w:tab w:pos="5757" w:val="left" w:leader="none"/>
        </w:tabs>
        <w:spacing w:line="297" w:lineRule="auto"/>
        <w:ind w:left="5757" w:right="3393" w:hanging="5235"/>
      </w:pPr>
      <w:r>
        <w:rPr/>
        <mc:AlternateContent>
          <mc:Choice Requires="wps">
            <w:drawing>
              <wp:anchor distT="0" distB="0" distL="0" distR="0" allowOverlap="1" layoutInCell="1" locked="0" behindDoc="0" simplePos="0" relativeHeight="15784960">
                <wp:simplePos x="0" y="0"/>
                <wp:positionH relativeFrom="page">
                  <wp:posOffset>1057275</wp:posOffset>
                </wp:positionH>
                <wp:positionV relativeFrom="paragraph">
                  <wp:posOffset>175389</wp:posOffset>
                </wp:positionV>
                <wp:extent cx="2286000" cy="6350"/>
                <wp:effectExtent l="0" t="0" r="0" b="0"/>
                <wp:wrapNone/>
                <wp:docPr id="750" name="Group 750"/>
                <wp:cNvGraphicFramePr>
                  <a:graphicFrameLocks/>
                </wp:cNvGraphicFramePr>
                <a:graphic>
                  <a:graphicData uri="http://schemas.microsoft.com/office/word/2010/wordprocessingGroup">
                    <wpg:wgp>
                      <wpg:cNvPr id="750" name="Group 750"/>
                      <wpg:cNvGrpSpPr/>
                      <wpg:grpSpPr>
                        <a:xfrm>
                          <a:off x="0" y="0"/>
                          <a:ext cx="2286000" cy="6350"/>
                          <a:chExt cx="2286000" cy="6350"/>
                        </a:xfrm>
                      </wpg:grpSpPr>
                      <wps:wsp>
                        <wps:cNvPr id="751" name="Graphic 751"/>
                        <wps:cNvSpPr/>
                        <wps:spPr>
                          <a:xfrm>
                            <a:off x="0" y="3175"/>
                            <a:ext cx="2286000" cy="1270"/>
                          </a:xfrm>
                          <a:custGeom>
                            <a:avLst/>
                            <a:gdLst/>
                            <a:ahLst/>
                            <a:cxnLst/>
                            <a:rect l="l" t="t" r="r" b="b"/>
                            <a:pathLst>
                              <a:path w="2286000" h="0">
                                <a:moveTo>
                                  <a:pt x="2286000" y="0"/>
                                </a:moveTo>
                                <a:lnTo>
                                  <a:pt x="0" y="0"/>
                                </a:lnTo>
                              </a:path>
                            </a:pathLst>
                          </a:custGeom>
                          <a:solidFill>
                            <a:srgbClr val="000000"/>
                          </a:solidFill>
                        </wps:spPr>
                        <wps:bodyPr wrap="square" lIns="0" tIns="0" rIns="0" bIns="0" rtlCol="0">
                          <a:prstTxWarp prst="textNoShape">
                            <a:avLst/>
                          </a:prstTxWarp>
                          <a:noAutofit/>
                        </wps:bodyPr>
                      </wps:wsp>
                      <wps:wsp>
                        <wps:cNvPr id="752" name="Graphic 752"/>
                        <wps:cNvSpPr/>
                        <wps:spPr>
                          <a:xfrm>
                            <a:off x="0" y="3175"/>
                            <a:ext cx="2286000" cy="1270"/>
                          </a:xfrm>
                          <a:custGeom>
                            <a:avLst/>
                            <a:gdLst/>
                            <a:ahLst/>
                            <a:cxnLst/>
                            <a:rect l="l" t="t" r="r" b="b"/>
                            <a:pathLst>
                              <a:path w="2286000" h="0">
                                <a:moveTo>
                                  <a:pt x="0" y="0"/>
                                </a:moveTo>
                                <a:lnTo>
                                  <a:pt x="22860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25pt;margin-top:13.810166pt;width:180pt;height:.5pt;mso-position-horizontal-relative:page;mso-position-vertical-relative:paragraph;z-index:15784960" id="docshapegroup538" coordorigin="1665,276" coordsize="3600,10">
                <v:shape style="position:absolute;left:1665;top:281;width:3600;height:2" id="docshape539" coordorigin="1665,281" coordsize="3600,0" path="m5265,281l1665,281e" filled="true" fillcolor="#000000" stroked="false">
                  <v:path arrowok="t"/>
                  <v:fill opacity="0f" type="solid"/>
                </v:shape>
                <v:line style="position:absolute" from="1665,281" to="5265,281" stroked="true" strokeweight=".5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5472">
                <wp:simplePos x="0" y="0"/>
                <wp:positionH relativeFrom="page">
                  <wp:posOffset>3952875</wp:posOffset>
                </wp:positionH>
                <wp:positionV relativeFrom="paragraph">
                  <wp:posOffset>175389</wp:posOffset>
                </wp:positionV>
                <wp:extent cx="3190875" cy="6350"/>
                <wp:effectExtent l="0" t="0" r="0" b="0"/>
                <wp:wrapNone/>
                <wp:docPr id="753" name="Group 753"/>
                <wp:cNvGraphicFramePr>
                  <a:graphicFrameLocks/>
                </wp:cNvGraphicFramePr>
                <a:graphic>
                  <a:graphicData uri="http://schemas.microsoft.com/office/word/2010/wordprocessingGroup">
                    <wpg:wgp>
                      <wpg:cNvPr id="753" name="Group 753"/>
                      <wpg:cNvGrpSpPr/>
                      <wpg:grpSpPr>
                        <a:xfrm>
                          <a:off x="0" y="0"/>
                          <a:ext cx="3190875" cy="6350"/>
                          <a:chExt cx="3190875" cy="6350"/>
                        </a:xfrm>
                      </wpg:grpSpPr>
                      <wps:wsp>
                        <wps:cNvPr id="754" name="Graphic 754"/>
                        <wps:cNvSpPr/>
                        <wps:spPr>
                          <a:xfrm>
                            <a:off x="0" y="3175"/>
                            <a:ext cx="3190875" cy="1270"/>
                          </a:xfrm>
                          <a:custGeom>
                            <a:avLst/>
                            <a:gdLst/>
                            <a:ahLst/>
                            <a:cxnLst/>
                            <a:rect l="l" t="t" r="r" b="b"/>
                            <a:pathLst>
                              <a:path w="3190875" h="0">
                                <a:moveTo>
                                  <a:pt x="3190875" y="0"/>
                                </a:moveTo>
                                <a:lnTo>
                                  <a:pt x="0" y="0"/>
                                </a:lnTo>
                              </a:path>
                            </a:pathLst>
                          </a:custGeom>
                          <a:solidFill>
                            <a:srgbClr val="000000"/>
                          </a:solidFill>
                        </wps:spPr>
                        <wps:bodyPr wrap="square" lIns="0" tIns="0" rIns="0" bIns="0" rtlCol="0">
                          <a:prstTxWarp prst="textNoShape">
                            <a:avLst/>
                          </a:prstTxWarp>
                          <a:noAutofit/>
                        </wps:bodyPr>
                      </wps:wsp>
                      <wps:wsp>
                        <wps:cNvPr id="755" name="Graphic 755"/>
                        <wps:cNvSpPr/>
                        <wps:spPr>
                          <a:xfrm>
                            <a:off x="0" y="3175"/>
                            <a:ext cx="3190875" cy="1270"/>
                          </a:xfrm>
                          <a:custGeom>
                            <a:avLst/>
                            <a:gdLst/>
                            <a:ahLst/>
                            <a:cxnLst/>
                            <a:rect l="l" t="t" r="r" b="b"/>
                            <a:pathLst>
                              <a:path w="3190875" h="0">
                                <a:moveTo>
                                  <a:pt x="0" y="0"/>
                                </a:moveTo>
                                <a:lnTo>
                                  <a:pt x="319087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1.25pt;margin-top:13.810166pt;width:251.25pt;height:.5pt;mso-position-horizontal-relative:page;mso-position-vertical-relative:paragraph;z-index:15785472" id="docshapegroup540" coordorigin="6225,276" coordsize="5025,10">
                <v:shape style="position:absolute;left:6225;top:281;width:5025;height:2" id="docshape541" coordorigin="6225,281" coordsize="5025,0" path="m11250,281l6225,281e" filled="true" fillcolor="#000000" stroked="false">
                  <v:path arrowok="t"/>
                  <v:fill opacity="0f" type="solid"/>
                </v:shape>
                <v:line style="position:absolute" from="6225,281" to="11250,281" stroked="true" strokeweight=".5pt" strokecolor="#000000">
                  <v:stroke dashstyle="solid"/>
                </v:line>
                <w10:wrap type="none"/>
              </v:group>
            </w:pict>
          </mc:Fallback>
        </mc:AlternateContent>
      </w:r>
      <w:r>
        <w:rPr>
          <w:spacing w:val="-2"/>
        </w:rPr>
        <w:t>Date:</w:t>
      </w:r>
      <w:r>
        <w:rPr/>
        <w:tab/>
        <w:t>November 8, 2023</w:t>
        <w:tab/>
        <w:t>/s/</w:t>
      </w:r>
      <w:r>
        <w:rPr>
          <w:spacing w:val="-11"/>
        </w:rPr>
        <w:t> </w:t>
      </w:r>
      <w:r>
        <w:rPr/>
        <w:t>Walter</w:t>
      </w:r>
      <w:r>
        <w:rPr>
          <w:spacing w:val="-10"/>
        </w:rPr>
        <w:t> </w:t>
      </w:r>
      <w:r>
        <w:rPr/>
        <w:t>W.</w:t>
      </w:r>
      <w:r>
        <w:rPr>
          <w:spacing w:val="-10"/>
        </w:rPr>
        <w:t> </w:t>
      </w:r>
      <w:r>
        <w:rPr/>
        <w:t>Bettinger</w:t>
      </w:r>
      <w:r>
        <w:rPr>
          <w:spacing w:val="-10"/>
        </w:rPr>
        <w:t> </w:t>
      </w:r>
      <w:r>
        <w:rPr/>
        <w:t>II Walter W. Bettinger II</w:t>
      </w:r>
    </w:p>
    <w:p>
      <w:pPr>
        <w:pStyle w:val="BodyText"/>
        <w:spacing w:line="230" w:lineRule="exact"/>
        <w:ind w:left="5757"/>
      </w:pPr>
      <w:r>
        <w:rPr/>
        <w:t>Co-Chairman</w:t>
      </w:r>
      <w:r>
        <w:rPr>
          <w:spacing w:val="-4"/>
        </w:rPr>
        <w:t> </w:t>
      </w:r>
      <w:r>
        <w:rPr/>
        <w:t>and</w:t>
      </w:r>
      <w:r>
        <w:rPr>
          <w:spacing w:val="-4"/>
        </w:rPr>
        <w:t> </w:t>
      </w:r>
      <w:r>
        <w:rPr/>
        <w:t>Chief</w:t>
      </w:r>
      <w:r>
        <w:rPr>
          <w:spacing w:val="-4"/>
        </w:rPr>
        <w:t> </w:t>
      </w:r>
      <w:r>
        <w:rPr/>
        <w:t>Executive</w:t>
      </w:r>
      <w:r>
        <w:rPr>
          <w:spacing w:val="-4"/>
        </w:rPr>
        <w:t> </w:t>
      </w:r>
      <w:r>
        <w:rPr>
          <w:spacing w:val="-2"/>
        </w:rPr>
        <w:t>Officer</w:t>
      </w:r>
    </w:p>
    <w:p>
      <w:pPr>
        <w:spacing w:after="0" w:line="230" w:lineRule="exact"/>
        <w:sectPr>
          <w:headerReference w:type="default" r:id="rId24"/>
          <w:footerReference w:type="default" r:id="rId25"/>
          <w:pgSz w:w="12240" w:h="15840"/>
          <w:pgMar w:header="470" w:footer="0" w:top="1020" w:bottom="280" w:left="520" w:right="520"/>
          <w:pgNumType w:start="1"/>
        </w:sectPr>
      </w:pPr>
    </w:p>
    <w:p>
      <w:pPr>
        <w:pStyle w:val="BodyText"/>
      </w:pPr>
    </w:p>
    <w:p>
      <w:pPr>
        <w:pStyle w:val="BodyText"/>
        <w:spacing w:before="35"/>
      </w:pPr>
    </w:p>
    <w:p>
      <w:pPr>
        <w:pStyle w:val="Heading2"/>
        <w:spacing w:line="232" w:lineRule="auto"/>
        <w:ind w:left="3004" w:right="761" w:hanging="1551"/>
      </w:pPr>
      <w:bookmarkStart w:name="Exhibit 31.2" w:id="79"/>
      <w:bookmarkEnd w:id="79"/>
      <w:r>
        <w:rPr>
          <w:b w:val="0"/>
        </w:rPr>
      </w:r>
      <w:r>
        <w:rPr/>
        <w:t>CERTIFICATION</w:t>
      </w:r>
      <w:r>
        <w:rPr>
          <w:spacing w:val="-6"/>
        </w:rPr>
        <w:t> </w:t>
      </w:r>
      <w:r>
        <w:rPr/>
        <w:t>PURSUANT</w:t>
      </w:r>
      <w:r>
        <w:rPr>
          <w:spacing w:val="-6"/>
        </w:rPr>
        <w:t> </w:t>
      </w:r>
      <w:r>
        <w:rPr/>
        <w:t>TO</w:t>
      </w:r>
      <w:r>
        <w:rPr>
          <w:spacing w:val="-6"/>
        </w:rPr>
        <w:t> </w:t>
      </w:r>
      <w:r>
        <w:rPr/>
        <w:t>RULE</w:t>
      </w:r>
      <w:r>
        <w:rPr>
          <w:spacing w:val="-6"/>
        </w:rPr>
        <w:t> </w:t>
      </w:r>
      <w:r>
        <w:rPr/>
        <w:t>13a</w:t>
      </w:r>
      <w:r>
        <w:rPr>
          <w:rFonts w:ascii="FreeSerif"/>
          <w:b w:val="0"/>
        </w:rPr>
        <w:t>-</w:t>
      </w:r>
      <w:r>
        <w:rPr/>
        <w:t>14(a)/15d</w:t>
      </w:r>
      <w:r>
        <w:rPr>
          <w:rFonts w:ascii="FreeSerif"/>
          <w:b w:val="0"/>
        </w:rPr>
        <w:t>-</w:t>
      </w:r>
      <w:r>
        <w:rPr/>
        <w:t>14(a),</w:t>
      </w:r>
      <w:r>
        <w:rPr>
          <w:spacing w:val="-5"/>
        </w:rPr>
        <w:t> </w:t>
      </w:r>
      <w:r>
        <w:rPr/>
        <w:t>AS</w:t>
      </w:r>
      <w:r>
        <w:rPr>
          <w:spacing w:val="-6"/>
        </w:rPr>
        <w:t> </w:t>
      </w:r>
      <w:r>
        <w:rPr/>
        <w:t>ADOPTED</w:t>
      </w:r>
      <w:r>
        <w:rPr>
          <w:spacing w:val="-6"/>
        </w:rPr>
        <w:t> </w:t>
      </w:r>
      <w:r>
        <w:rPr/>
        <w:t>PURSUANT</w:t>
      </w:r>
      <w:r>
        <w:rPr>
          <w:spacing w:val="-6"/>
        </w:rPr>
        <w:t> </w:t>
      </w:r>
      <w:r>
        <w:rPr/>
        <w:t>TO SECTION 302 OF THE SARBANES-OXLEY ACT OF 2002</w:t>
      </w:r>
    </w:p>
    <w:p>
      <w:pPr>
        <w:pStyle w:val="BodyText"/>
        <w:spacing w:before="25"/>
        <w:rPr>
          <w:b/>
        </w:rPr>
      </w:pPr>
    </w:p>
    <w:p>
      <w:pPr>
        <w:pStyle w:val="BodyText"/>
        <w:ind w:left="470"/>
      </w:pPr>
      <w:r>
        <w:rPr/>
        <w:t>I,</w:t>
      </w:r>
      <w:r>
        <w:rPr>
          <w:spacing w:val="-3"/>
        </w:rPr>
        <w:t> </w:t>
      </w:r>
      <w:r>
        <w:rPr/>
        <w:t>Peter</w:t>
      </w:r>
      <w:r>
        <w:rPr>
          <w:spacing w:val="-3"/>
        </w:rPr>
        <w:t> </w:t>
      </w:r>
      <w:r>
        <w:rPr/>
        <w:t>Crawford,</w:t>
      </w:r>
      <w:r>
        <w:rPr>
          <w:spacing w:val="-3"/>
        </w:rPr>
        <w:t> </w:t>
      </w:r>
      <w:r>
        <w:rPr/>
        <w:t>certify</w:t>
      </w:r>
      <w:r>
        <w:rPr>
          <w:spacing w:val="-2"/>
        </w:rPr>
        <w:t> </w:t>
      </w:r>
      <w:r>
        <w:rPr>
          <w:spacing w:val="-4"/>
        </w:rPr>
        <w:t>that:</w:t>
      </w:r>
    </w:p>
    <w:p>
      <w:pPr>
        <w:pStyle w:val="BodyText"/>
        <w:spacing w:before="20"/>
      </w:pPr>
    </w:p>
    <w:p>
      <w:pPr>
        <w:pStyle w:val="ListParagraph"/>
        <w:numPr>
          <w:ilvl w:val="0"/>
          <w:numId w:val="12"/>
        </w:numPr>
        <w:tabs>
          <w:tab w:pos="829" w:val="left" w:leader="none"/>
        </w:tabs>
        <w:spacing w:line="240" w:lineRule="auto" w:before="0" w:after="0"/>
        <w:ind w:left="829" w:right="0" w:hanging="359"/>
        <w:jc w:val="left"/>
        <w:rPr>
          <w:sz w:val="20"/>
        </w:rPr>
      </w:pPr>
      <w:r>
        <w:rPr>
          <w:sz w:val="20"/>
        </w:rPr>
        <w:t>I</w:t>
      </w:r>
      <w:r>
        <w:rPr>
          <w:spacing w:val="-4"/>
          <w:sz w:val="20"/>
        </w:rPr>
        <w:t> </w:t>
      </w:r>
      <w:r>
        <w:rPr>
          <w:sz w:val="20"/>
        </w:rPr>
        <w:t>have</w:t>
      </w:r>
      <w:r>
        <w:rPr>
          <w:spacing w:val="-3"/>
          <w:sz w:val="20"/>
        </w:rPr>
        <w:t> </w:t>
      </w:r>
      <w:r>
        <w:rPr>
          <w:sz w:val="20"/>
        </w:rPr>
        <w:t>reviewed</w:t>
      </w:r>
      <w:r>
        <w:rPr>
          <w:spacing w:val="-2"/>
          <w:sz w:val="20"/>
        </w:rPr>
        <w:t> </w:t>
      </w:r>
      <w:r>
        <w:rPr>
          <w:sz w:val="20"/>
        </w:rPr>
        <w:t>this</w:t>
      </w:r>
      <w:r>
        <w:rPr>
          <w:spacing w:val="-3"/>
          <w:sz w:val="20"/>
        </w:rPr>
        <w:t> </w:t>
      </w:r>
      <w:r>
        <w:rPr>
          <w:sz w:val="20"/>
        </w:rPr>
        <w:t>Quarterly</w:t>
      </w:r>
      <w:r>
        <w:rPr>
          <w:spacing w:val="-2"/>
          <w:sz w:val="20"/>
        </w:rPr>
        <w:t> </w:t>
      </w:r>
      <w:r>
        <w:rPr>
          <w:sz w:val="20"/>
        </w:rPr>
        <w:t>Report</w:t>
      </w:r>
      <w:r>
        <w:rPr>
          <w:spacing w:val="-3"/>
          <w:sz w:val="20"/>
        </w:rPr>
        <w:t> </w:t>
      </w:r>
      <w:r>
        <w:rPr>
          <w:sz w:val="20"/>
        </w:rPr>
        <w:t>on</w:t>
      </w:r>
      <w:r>
        <w:rPr>
          <w:spacing w:val="-2"/>
          <w:sz w:val="20"/>
        </w:rPr>
        <w:t> </w:t>
      </w:r>
      <w:r>
        <w:rPr>
          <w:sz w:val="20"/>
        </w:rPr>
        <w:t>Form</w:t>
      </w:r>
      <w:r>
        <w:rPr>
          <w:spacing w:val="-3"/>
          <w:sz w:val="20"/>
        </w:rPr>
        <w:t> </w:t>
      </w:r>
      <w:r>
        <w:rPr>
          <w:sz w:val="20"/>
        </w:rPr>
        <w:t>10-Q</w:t>
      </w:r>
      <w:r>
        <w:rPr>
          <w:spacing w:val="-3"/>
          <w:sz w:val="20"/>
        </w:rPr>
        <w:t> </w:t>
      </w:r>
      <w:r>
        <w:rPr>
          <w:sz w:val="20"/>
        </w:rPr>
        <w:t>of</w:t>
      </w:r>
      <w:r>
        <w:rPr>
          <w:spacing w:val="-2"/>
          <w:sz w:val="20"/>
        </w:rPr>
        <w:t> </w:t>
      </w:r>
      <w:r>
        <w:rPr>
          <w:sz w:val="20"/>
        </w:rPr>
        <w:t>The</w:t>
      </w:r>
      <w:r>
        <w:rPr>
          <w:spacing w:val="-3"/>
          <w:sz w:val="20"/>
        </w:rPr>
        <w:t> </w:t>
      </w:r>
      <w:r>
        <w:rPr>
          <w:sz w:val="20"/>
        </w:rPr>
        <w:t>Charles</w:t>
      </w:r>
      <w:r>
        <w:rPr>
          <w:spacing w:val="-3"/>
          <w:sz w:val="20"/>
        </w:rPr>
        <w:t> </w:t>
      </w:r>
      <w:r>
        <w:rPr>
          <w:sz w:val="20"/>
        </w:rPr>
        <w:t>Schwab</w:t>
      </w:r>
      <w:r>
        <w:rPr>
          <w:spacing w:val="-1"/>
          <w:sz w:val="20"/>
        </w:rPr>
        <w:t> </w:t>
      </w:r>
      <w:r>
        <w:rPr>
          <w:spacing w:val="-2"/>
          <w:sz w:val="20"/>
        </w:rPr>
        <w:t>Corporation;</w:t>
      </w:r>
    </w:p>
    <w:p>
      <w:pPr>
        <w:pStyle w:val="BodyText"/>
        <w:spacing w:before="20"/>
      </w:pPr>
    </w:p>
    <w:p>
      <w:pPr>
        <w:pStyle w:val="ListParagraph"/>
        <w:numPr>
          <w:ilvl w:val="0"/>
          <w:numId w:val="12"/>
        </w:numPr>
        <w:tabs>
          <w:tab w:pos="830" w:val="left" w:leader="none"/>
        </w:tabs>
        <w:spacing w:line="249" w:lineRule="auto" w:before="0" w:after="0"/>
        <w:ind w:left="830" w:right="553" w:hanging="360"/>
        <w:jc w:val="left"/>
        <w:rPr>
          <w:sz w:val="20"/>
        </w:rPr>
      </w:pPr>
      <w:r>
        <w:rPr>
          <w:sz w:val="20"/>
        </w:rPr>
        <w:t>Based</w:t>
      </w:r>
      <w:r>
        <w:rPr>
          <w:spacing w:val="-2"/>
          <w:sz w:val="20"/>
        </w:rPr>
        <w:t> </w:t>
      </w:r>
      <w:r>
        <w:rPr>
          <w:sz w:val="20"/>
        </w:rPr>
        <w:t>on</w:t>
      </w:r>
      <w:r>
        <w:rPr>
          <w:spacing w:val="-2"/>
          <w:sz w:val="20"/>
        </w:rPr>
        <w:t> </w:t>
      </w:r>
      <w:r>
        <w:rPr>
          <w:sz w:val="20"/>
        </w:rPr>
        <w:t>my</w:t>
      </w:r>
      <w:r>
        <w:rPr>
          <w:spacing w:val="-2"/>
          <w:sz w:val="20"/>
        </w:rPr>
        <w:t> </w:t>
      </w:r>
      <w:r>
        <w:rPr>
          <w:sz w:val="20"/>
        </w:rPr>
        <w:t>knowledge,</w:t>
      </w:r>
      <w:r>
        <w:rPr>
          <w:spacing w:val="-2"/>
          <w:sz w:val="20"/>
        </w:rPr>
        <w:t> </w:t>
      </w:r>
      <w:r>
        <w:rPr>
          <w:sz w:val="20"/>
        </w:rPr>
        <w:t>this</w:t>
      </w:r>
      <w:r>
        <w:rPr>
          <w:spacing w:val="-3"/>
          <w:sz w:val="20"/>
        </w:rPr>
        <w:t> </w:t>
      </w:r>
      <w:r>
        <w:rPr>
          <w:sz w:val="20"/>
        </w:rPr>
        <w:t>report</w:t>
      </w:r>
      <w:r>
        <w:rPr>
          <w:spacing w:val="-3"/>
          <w:sz w:val="20"/>
        </w:rPr>
        <w:t> </w:t>
      </w:r>
      <w:r>
        <w:rPr>
          <w:sz w:val="20"/>
        </w:rPr>
        <w:t>does</w:t>
      </w:r>
      <w:r>
        <w:rPr>
          <w:spacing w:val="-3"/>
          <w:sz w:val="20"/>
        </w:rPr>
        <w:t> </w:t>
      </w:r>
      <w:r>
        <w:rPr>
          <w:sz w:val="20"/>
        </w:rPr>
        <w:t>not</w:t>
      </w:r>
      <w:r>
        <w:rPr>
          <w:spacing w:val="-3"/>
          <w:sz w:val="20"/>
        </w:rPr>
        <w:t> </w:t>
      </w:r>
      <w:r>
        <w:rPr>
          <w:sz w:val="20"/>
        </w:rPr>
        <w:t>contain</w:t>
      </w:r>
      <w:r>
        <w:rPr>
          <w:spacing w:val="-2"/>
          <w:sz w:val="20"/>
        </w:rPr>
        <w:t> </w:t>
      </w:r>
      <w:r>
        <w:rPr>
          <w:sz w:val="20"/>
        </w:rPr>
        <w:t>any</w:t>
      </w:r>
      <w:r>
        <w:rPr>
          <w:spacing w:val="-2"/>
          <w:sz w:val="20"/>
        </w:rPr>
        <w:t> </w:t>
      </w:r>
      <w:r>
        <w:rPr>
          <w:sz w:val="20"/>
        </w:rPr>
        <w:t>untrue</w:t>
      </w:r>
      <w:r>
        <w:rPr>
          <w:spacing w:val="-3"/>
          <w:sz w:val="20"/>
        </w:rPr>
        <w:t> </w:t>
      </w:r>
      <w:r>
        <w:rPr>
          <w:sz w:val="20"/>
        </w:rPr>
        <w:t>statement</w:t>
      </w:r>
      <w:r>
        <w:rPr>
          <w:spacing w:val="-3"/>
          <w:sz w:val="20"/>
        </w:rPr>
        <w:t> </w:t>
      </w:r>
      <w:r>
        <w:rPr>
          <w:sz w:val="20"/>
        </w:rPr>
        <w:t>of</w:t>
      </w:r>
      <w:r>
        <w:rPr>
          <w:spacing w:val="-2"/>
          <w:sz w:val="20"/>
        </w:rPr>
        <w:t> </w:t>
      </w:r>
      <w:r>
        <w:rPr>
          <w:sz w:val="20"/>
        </w:rPr>
        <w:t>a</w:t>
      </w:r>
      <w:r>
        <w:rPr>
          <w:spacing w:val="-3"/>
          <w:sz w:val="20"/>
        </w:rPr>
        <w:t> </w:t>
      </w:r>
      <w:r>
        <w:rPr>
          <w:sz w:val="20"/>
        </w:rPr>
        <w:t>material</w:t>
      </w:r>
      <w:r>
        <w:rPr>
          <w:spacing w:val="-3"/>
          <w:sz w:val="20"/>
        </w:rPr>
        <w:t> </w:t>
      </w:r>
      <w:r>
        <w:rPr>
          <w:sz w:val="20"/>
        </w:rPr>
        <w:t>fact</w:t>
      </w:r>
      <w:r>
        <w:rPr>
          <w:spacing w:val="-3"/>
          <w:sz w:val="20"/>
        </w:rPr>
        <w:t> </w:t>
      </w:r>
      <w:r>
        <w:rPr>
          <w:sz w:val="20"/>
        </w:rPr>
        <w:t>or</w:t>
      </w:r>
      <w:r>
        <w:rPr>
          <w:spacing w:val="-2"/>
          <w:sz w:val="20"/>
        </w:rPr>
        <w:t> </w:t>
      </w:r>
      <w:r>
        <w:rPr>
          <w:sz w:val="20"/>
        </w:rPr>
        <w:t>omit</w:t>
      </w:r>
      <w:r>
        <w:rPr>
          <w:spacing w:val="-3"/>
          <w:sz w:val="20"/>
        </w:rPr>
        <w:t> </w:t>
      </w:r>
      <w:r>
        <w:rPr>
          <w:sz w:val="20"/>
        </w:rPr>
        <w:t>to</w:t>
      </w:r>
      <w:r>
        <w:rPr>
          <w:spacing w:val="-2"/>
          <w:sz w:val="20"/>
        </w:rPr>
        <w:t> </w:t>
      </w:r>
      <w:r>
        <w:rPr>
          <w:sz w:val="20"/>
        </w:rPr>
        <w:t>state</w:t>
      </w:r>
      <w:r>
        <w:rPr>
          <w:spacing w:val="-3"/>
          <w:sz w:val="20"/>
        </w:rPr>
        <w:t> </w:t>
      </w:r>
      <w:r>
        <w:rPr>
          <w:sz w:val="20"/>
        </w:rPr>
        <w:t>a</w:t>
      </w:r>
      <w:r>
        <w:rPr>
          <w:spacing w:val="-3"/>
          <w:sz w:val="20"/>
        </w:rPr>
        <w:t> </w:t>
      </w:r>
      <w:r>
        <w:rPr>
          <w:sz w:val="20"/>
        </w:rPr>
        <w:t>material</w:t>
      </w:r>
      <w:r>
        <w:rPr>
          <w:spacing w:val="-3"/>
          <w:sz w:val="20"/>
        </w:rPr>
        <w:t> </w:t>
      </w:r>
      <w:r>
        <w:rPr>
          <w:sz w:val="20"/>
        </w:rPr>
        <w:t>fact necessary to make the statements made, in light of the circumstances under which such statements were made, not misleading with respect to the period covered by this report;</w:t>
      </w:r>
    </w:p>
    <w:p>
      <w:pPr>
        <w:pStyle w:val="BodyText"/>
        <w:spacing w:before="13"/>
      </w:pPr>
    </w:p>
    <w:p>
      <w:pPr>
        <w:pStyle w:val="ListParagraph"/>
        <w:numPr>
          <w:ilvl w:val="0"/>
          <w:numId w:val="12"/>
        </w:numPr>
        <w:tabs>
          <w:tab w:pos="830" w:val="left" w:leader="none"/>
        </w:tabs>
        <w:spacing w:line="249" w:lineRule="auto" w:before="0" w:after="0"/>
        <w:ind w:left="830" w:right="563" w:hanging="360"/>
        <w:jc w:val="left"/>
        <w:rPr>
          <w:sz w:val="20"/>
        </w:rPr>
      </w:pPr>
      <w:r>
        <w:rPr>
          <w:sz w:val="20"/>
        </w:rPr>
        <w:t>Based on my knowledge, the financial statements, and other financial information included in this report, fairly present in all</w:t>
      </w:r>
      <w:r>
        <w:rPr>
          <w:spacing w:val="-3"/>
          <w:sz w:val="20"/>
        </w:rPr>
        <w:t> </w:t>
      </w:r>
      <w:r>
        <w:rPr>
          <w:sz w:val="20"/>
        </w:rPr>
        <w:t>material</w:t>
      </w:r>
      <w:r>
        <w:rPr>
          <w:spacing w:val="-3"/>
          <w:sz w:val="20"/>
        </w:rPr>
        <w:t> </w:t>
      </w:r>
      <w:r>
        <w:rPr>
          <w:sz w:val="20"/>
        </w:rPr>
        <w:t>respects</w:t>
      </w:r>
      <w:r>
        <w:rPr>
          <w:spacing w:val="-3"/>
          <w:sz w:val="20"/>
        </w:rPr>
        <w:t> </w:t>
      </w:r>
      <w:r>
        <w:rPr>
          <w:sz w:val="20"/>
        </w:rPr>
        <w:t>the</w:t>
      </w:r>
      <w:r>
        <w:rPr>
          <w:spacing w:val="-3"/>
          <w:sz w:val="20"/>
        </w:rPr>
        <w:t> </w:t>
      </w:r>
      <w:r>
        <w:rPr>
          <w:sz w:val="20"/>
        </w:rPr>
        <w:t>financial</w:t>
      </w:r>
      <w:r>
        <w:rPr>
          <w:spacing w:val="-3"/>
          <w:sz w:val="20"/>
        </w:rPr>
        <w:t> </w:t>
      </w:r>
      <w:r>
        <w:rPr>
          <w:sz w:val="20"/>
        </w:rPr>
        <w:t>condition,</w:t>
      </w:r>
      <w:r>
        <w:rPr>
          <w:spacing w:val="-2"/>
          <w:sz w:val="20"/>
        </w:rPr>
        <w:t> </w:t>
      </w:r>
      <w:r>
        <w:rPr>
          <w:sz w:val="20"/>
        </w:rPr>
        <w:t>results</w:t>
      </w:r>
      <w:r>
        <w:rPr>
          <w:spacing w:val="-3"/>
          <w:sz w:val="20"/>
        </w:rPr>
        <w:t> </w:t>
      </w:r>
      <w:r>
        <w:rPr>
          <w:sz w:val="20"/>
        </w:rPr>
        <w:t>of</w:t>
      </w:r>
      <w:r>
        <w:rPr>
          <w:spacing w:val="-2"/>
          <w:sz w:val="20"/>
        </w:rPr>
        <w:t> </w:t>
      </w:r>
      <w:r>
        <w:rPr>
          <w:sz w:val="20"/>
        </w:rPr>
        <w:t>operations</w:t>
      </w:r>
      <w:r>
        <w:rPr>
          <w:spacing w:val="-3"/>
          <w:sz w:val="20"/>
        </w:rPr>
        <w:t> </w:t>
      </w:r>
      <w:r>
        <w:rPr>
          <w:sz w:val="20"/>
        </w:rPr>
        <w:t>and</w:t>
      </w:r>
      <w:r>
        <w:rPr>
          <w:spacing w:val="-2"/>
          <w:sz w:val="20"/>
        </w:rPr>
        <w:t> </w:t>
      </w:r>
      <w:r>
        <w:rPr>
          <w:sz w:val="20"/>
        </w:rPr>
        <w:t>cash</w:t>
      </w:r>
      <w:r>
        <w:rPr>
          <w:spacing w:val="-2"/>
          <w:sz w:val="20"/>
        </w:rPr>
        <w:t> </w:t>
      </w:r>
      <w:r>
        <w:rPr>
          <w:sz w:val="20"/>
        </w:rPr>
        <w:t>flows</w:t>
      </w:r>
      <w:r>
        <w:rPr>
          <w:spacing w:val="-3"/>
          <w:sz w:val="20"/>
        </w:rPr>
        <w:t> </w:t>
      </w:r>
      <w:r>
        <w:rPr>
          <w:sz w:val="20"/>
        </w:rPr>
        <w:t>of</w:t>
      </w:r>
      <w:r>
        <w:rPr>
          <w:spacing w:val="-2"/>
          <w:sz w:val="20"/>
        </w:rPr>
        <w:t> </w:t>
      </w:r>
      <w:r>
        <w:rPr>
          <w:sz w:val="20"/>
        </w:rPr>
        <w:t>the</w:t>
      </w:r>
      <w:r>
        <w:rPr>
          <w:spacing w:val="-3"/>
          <w:sz w:val="20"/>
        </w:rPr>
        <w:t> </w:t>
      </w:r>
      <w:r>
        <w:rPr>
          <w:sz w:val="20"/>
        </w:rPr>
        <w:t>registrant</w:t>
      </w:r>
      <w:r>
        <w:rPr>
          <w:spacing w:val="-3"/>
          <w:sz w:val="20"/>
        </w:rPr>
        <w:t> </w:t>
      </w:r>
      <w:r>
        <w:rPr>
          <w:sz w:val="20"/>
        </w:rPr>
        <w:t>as</w:t>
      </w:r>
      <w:r>
        <w:rPr>
          <w:spacing w:val="-3"/>
          <w:sz w:val="20"/>
        </w:rPr>
        <w:t> </w:t>
      </w:r>
      <w:r>
        <w:rPr>
          <w:sz w:val="20"/>
        </w:rPr>
        <w:t>of,</w:t>
      </w:r>
      <w:r>
        <w:rPr>
          <w:spacing w:val="-2"/>
          <w:sz w:val="20"/>
        </w:rPr>
        <w:t> </w:t>
      </w:r>
      <w:r>
        <w:rPr>
          <w:sz w:val="20"/>
        </w:rPr>
        <w:t>and</w:t>
      </w:r>
      <w:r>
        <w:rPr>
          <w:spacing w:val="-2"/>
          <w:sz w:val="20"/>
        </w:rPr>
        <w:t> </w:t>
      </w:r>
      <w:r>
        <w:rPr>
          <w:sz w:val="20"/>
        </w:rPr>
        <w:t>for,</w:t>
      </w:r>
      <w:r>
        <w:rPr>
          <w:spacing w:val="-2"/>
          <w:sz w:val="20"/>
        </w:rPr>
        <w:t> </w:t>
      </w:r>
      <w:r>
        <w:rPr>
          <w:sz w:val="20"/>
        </w:rPr>
        <w:t>the</w:t>
      </w:r>
      <w:r>
        <w:rPr>
          <w:spacing w:val="-3"/>
          <w:sz w:val="20"/>
        </w:rPr>
        <w:t> </w:t>
      </w:r>
      <w:r>
        <w:rPr>
          <w:sz w:val="20"/>
        </w:rPr>
        <w:t>periods presented in this report;</w:t>
      </w:r>
    </w:p>
    <w:p>
      <w:pPr>
        <w:pStyle w:val="BodyText"/>
        <w:spacing w:before="12"/>
      </w:pPr>
    </w:p>
    <w:p>
      <w:pPr>
        <w:pStyle w:val="ListParagraph"/>
        <w:numPr>
          <w:ilvl w:val="0"/>
          <w:numId w:val="12"/>
        </w:numPr>
        <w:tabs>
          <w:tab w:pos="830" w:val="left" w:leader="none"/>
        </w:tabs>
        <w:spacing w:line="249" w:lineRule="auto" w:before="0" w:after="0"/>
        <w:ind w:left="830" w:right="767" w:hanging="360"/>
        <w:jc w:val="left"/>
        <w:rPr>
          <w:sz w:val="20"/>
        </w:rPr>
      </w:pPr>
      <w:r>
        <w:rPr>
          <w:sz w:val="20"/>
        </w:rPr>
        <w:t>The registrant’s other certifying officer and I are responsible for establishing and maintaining disclosure controls and procedures</w:t>
      </w:r>
      <w:r>
        <w:rPr>
          <w:spacing w:val="-4"/>
          <w:sz w:val="20"/>
        </w:rPr>
        <w:t> </w:t>
      </w:r>
      <w:r>
        <w:rPr>
          <w:sz w:val="20"/>
        </w:rPr>
        <w:t>(as</w:t>
      </w:r>
      <w:r>
        <w:rPr>
          <w:spacing w:val="-4"/>
          <w:sz w:val="20"/>
        </w:rPr>
        <w:t> </w:t>
      </w:r>
      <w:r>
        <w:rPr>
          <w:sz w:val="20"/>
        </w:rPr>
        <w:t>defined</w:t>
      </w:r>
      <w:r>
        <w:rPr>
          <w:spacing w:val="-3"/>
          <w:sz w:val="20"/>
        </w:rPr>
        <w:t> </w:t>
      </w:r>
      <w:r>
        <w:rPr>
          <w:sz w:val="20"/>
        </w:rPr>
        <w:t>in</w:t>
      </w:r>
      <w:r>
        <w:rPr>
          <w:spacing w:val="-3"/>
          <w:sz w:val="20"/>
        </w:rPr>
        <w:t> </w:t>
      </w:r>
      <w:r>
        <w:rPr>
          <w:sz w:val="20"/>
        </w:rPr>
        <w:t>Exchange</w:t>
      </w:r>
      <w:r>
        <w:rPr>
          <w:spacing w:val="-4"/>
          <w:sz w:val="20"/>
        </w:rPr>
        <w:t> </w:t>
      </w:r>
      <w:r>
        <w:rPr>
          <w:sz w:val="20"/>
        </w:rPr>
        <w:t>Act</w:t>
      </w:r>
      <w:r>
        <w:rPr>
          <w:spacing w:val="-4"/>
          <w:sz w:val="20"/>
        </w:rPr>
        <w:t> </w:t>
      </w:r>
      <w:r>
        <w:rPr>
          <w:sz w:val="20"/>
        </w:rPr>
        <w:t>Rules</w:t>
      </w:r>
      <w:r>
        <w:rPr>
          <w:spacing w:val="-4"/>
          <w:sz w:val="20"/>
        </w:rPr>
        <w:t> </w:t>
      </w:r>
      <w:r>
        <w:rPr>
          <w:sz w:val="20"/>
        </w:rPr>
        <w:t>13a-15(e)</w:t>
      </w:r>
      <w:r>
        <w:rPr>
          <w:spacing w:val="-3"/>
          <w:sz w:val="20"/>
        </w:rPr>
        <w:t> </w:t>
      </w:r>
      <w:r>
        <w:rPr>
          <w:sz w:val="20"/>
        </w:rPr>
        <w:t>and</w:t>
      </w:r>
      <w:r>
        <w:rPr>
          <w:spacing w:val="-3"/>
          <w:sz w:val="20"/>
        </w:rPr>
        <w:t> </w:t>
      </w:r>
      <w:r>
        <w:rPr>
          <w:sz w:val="20"/>
        </w:rPr>
        <w:t>15d-15(e))</w:t>
      </w:r>
      <w:r>
        <w:rPr>
          <w:spacing w:val="-3"/>
          <w:sz w:val="20"/>
        </w:rPr>
        <w:t> </w:t>
      </w:r>
      <w:r>
        <w:rPr>
          <w:sz w:val="20"/>
        </w:rPr>
        <w:t>and</w:t>
      </w:r>
      <w:r>
        <w:rPr>
          <w:spacing w:val="-3"/>
          <w:sz w:val="20"/>
        </w:rPr>
        <w:t> </w:t>
      </w:r>
      <w:r>
        <w:rPr>
          <w:sz w:val="20"/>
        </w:rPr>
        <w:t>internal</w:t>
      </w:r>
      <w:r>
        <w:rPr>
          <w:spacing w:val="-4"/>
          <w:sz w:val="20"/>
        </w:rPr>
        <w:t> </w:t>
      </w:r>
      <w:r>
        <w:rPr>
          <w:sz w:val="20"/>
        </w:rPr>
        <w:t>control</w:t>
      </w:r>
      <w:r>
        <w:rPr>
          <w:spacing w:val="-4"/>
          <w:sz w:val="20"/>
        </w:rPr>
        <w:t> </w:t>
      </w:r>
      <w:r>
        <w:rPr>
          <w:sz w:val="20"/>
        </w:rPr>
        <w:t>over</w:t>
      </w:r>
      <w:r>
        <w:rPr>
          <w:spacing w:val="-3"/>
          <w:sz w:val="20"/>
        </w:rPr>
        <w:t> </w:t>
      </w:r>
      <w:r>
        <w:rPr>
          <w:sz w:val="20"/>
        </w:rPr>
        <w:t>financial</w:t>
      </w:r>
      <w:r>
        <w:rPr>
          <w:spacing w:val="-4"/>
          <w:sz w:val="20"/>
        </w:rPr>
        <w:t> </w:t>
      </w:r>
      <w:r>
        <w:rPr>
          <w:sz w:val="20"/>
        </w:rPr>
        <w:t>reporting</w:t>
      </w:r>
      <w:r>
        <w:rPr>
          <w:spacing w:val="-3"/>
          <w:sz w:val="20"/>
        </w:rPr>
        <w:t> </w:t>
      </w:r>
      <w:r>
        <w:rPr>
          <w:sz w:val="20"/>
        </w:rPr>
        <w:t>(as defined in Exchange Act Rules 13a-15(f) and 15d-15(f)) for the registrant and have:</w:t>
      </w:r>
    </w:p>
    <w:p>
      <w:pPr>
        <w:pStyle w:val="ListParagraph"/>
        <w:numPr>
          <w:ilvl w:val="1"/>
          <w:numId w:val="12"/>
        </w:numPr>
        <w:tabs>
          <w:tab w:pos="1730" w:val="left" w:leader="none"/>
        </w:tabs>
        <w:spacing w:line="249" w:lineRule="auto" w:before="203" w:after="0"/>
        <w:ind w:left="1730" w:right="621" w:hanging="540"/>
        <w:jc w:val="left"/>
        <w:rPr>
          <w:sz w:val="20"/>
        </w:rPr>
      </w:pPr>
      <w:r>
        <w:rPr>
          <w:sz w:val="20"/>
        </w:rPr>
        <w:t>Designed such disclosure controls and procedures, or caused such disclosure controls and procedures to be designed under our supervision, to ensure that material information relating to the registrant, including its consolidated</w:t>
      </w:r>
      <w:r>
        <w:rPr>
          <w:spacing w:val="-3"/>
          <w:sz w:val="20"/>
        </w:rPr>
        <w:t> </w:t>
      </w:r>
      <w:r>
        <w:rPr>
          <w:sz w:val="20"/>
        </w:rPr>
        <w:t>subsidiaries,</w:t>
      </w:r>
      <w:r>
        <w:rPr>
          <w:spacing w:val="-3"/>
          <w:sz w:val="20"/>
        </w:rPr>
        <w:t> </w:t>
      </w:r>
      <w:r>
        <w:rPr>
          <w:sz w:val="20"/>
        </w:rPr>
        <w:t>is</w:t>
      </w:r>
      <w:r>
        <w:rPr>
          <w:spacing w:val="-4"/>
          <w:sz w:val="20"/>
        </w:rPr>
        <w:t> </w:t>
      </w:r>
      <w:r>
        <w:rPr>
          <w:sz w:val="20"/>
        </w:rPr>
        <w:t>made</w:t>
      </w:r>
      <w:r>
        <w:rPr>
          <w:spacing w:val="-4"/>
          <w:sz w:val="20"/>
        </w:rPr>
        <w:t> </w:t>
      </w:r>
      <w:r>
        <w:rPr>
          <w:sz w:val="20"/>
        </w:rPr>
        <w:t>known</w:t>
      </w:r>
      <w:r>
        <w:rPr>
          <w:spacing w:val="-3"/>
          <w:sz w:val="20"/>
        </w:rPr>
        <w:t> </w:t>
      </w:r>
      <w:r>
        <w:rPr>
          <w:sz w:val="20"/>
        </w:rPr>
        <w:t>to</w:t>
      </w:r>
      <w:r>
        <w:rPr>
          <w:spacing w:val="-3"/>
          <w:sz w:val="20"/>
        </w:rPr>
        <w:t> </w:t>
      </w:r>
      <w:r>
        <w:rPr>
          <w:sz w:val="20"/>
        </w:rPr>
        <w:t>us</w:t>
      </w:r>
      <w:r>
        <w:rPr>
          <w:spacing w:val="-4"/>
          <w:sz w:val="20"/>
        </w:rPr>
        <w:t> </w:t>
      </w:r>
      <w:r>
        <w:rPr>
          <w:sz w:val="20"/>
        </w:rPr>
        <w:t>by</w:t>
      </w:r>
      <w:r>
        <w:rPr>
          <w:spacing w:val="-3"/>
          <w:sz w:val="20"/>
        </w:rPr>
        <w:t> </w:t>
      </w:r>
      <w:r>
        <w:rPr>
          <w:sz w:val="20"/>
        </w:rPr>
        <w:t>others</w:t>
      </w:r>
      <w:r>
        <w:rPr>
          <w:spacing w:val="-4"/>
          <w:sz w:val="20"/>
        </w:rPr>
        <w:t> </w:t>
      </w:r>
      <w:r>
        <w:rPr>
          <w:sz w:val="20"/>
        </w:rPr>
        <w:t>within</w:t>
      </w:r>
      <w:r>
        <w:rPr>
          <w:spacing w:val="-3"/>
          <w:sz w:val="20"/>
        </w:rPr>
        <w:t> </w:t>
      </w:r>
      <w:r>
        <w:rPr>
          <w:sz w:val="20"/>
        </w:rPr>
        <w:t>those</w:t>
      </w:r>
      <w:r>
        <w:rPr>
          <w:spacing w:val="-4"/>
          <w:sz w:val="20"/>
        </w:rPr>
        <w:t> </w:t>
      </w:r>
      <w:r>
        <w:rPr>
          <w:sz w:val="20"/>
        </w:rPr>
        <w:t>entities,</w:t>
      </w:r>
      <w:r>
        <w:rPr>
          <w:spacing w:val="-3"/>
          <w:sz w:val="20"/>
        </w:rPr>
        <w:t> </w:t>
      </w:r>
      <w:r>
        <w:rPr>
          <w:sz w:val="20"/>
        </w:rPr>
        <w:t>particularly</w:t>
      </w:r>
      <w:r>
        <w:rPr>
          <w:spacing w:val="-3"/>
          <w:sz w:val="20"/>
        </w:rPr>
        <w:t> </w:t>
      </w:r>
      <w:r>
        <w:rPr>
          <w:sz w:val="20"/>
        </w:rPr>
        <w:t>during</w:t>
      </w:r>
      <w:r>
        <w:rPr>
          <w:spacing w:val="-3"/>
          <w:sz w:val="20"/>
        </w:rPr>
        <w:t> </w:t>
      </w:r>
      <w:r>
        <w:rPr>
          <w:sz w:val="20"/>
        </w:rPr>
        <w:t>the</w:t>
      </w:r>
      <w:r>
        <w:rPr>
          <w:spacing w:val="-4"/>
          <w:sz w:val="20"/>
        </w:rPr>
        <w:t> </w:t>
      </w:r>
      <w:r>
        <w:rPr>
          <w:sz w:val="20"/>
        </w:rPr>
        <w:t>period</w:t>
      </w:r>
      <w:r>
        <w:rPr>
          <w:spacing w:val="-3"/>
          <w:sz w:val="20"/>
        </w:rPr>
        <w:t> </w:t>
      </w:r>
      <w:r>
        <w:rPr>
          <w:sz w:val="20"/>
        </w:rPr>
        <w:t>in which this report is being prepared;</w:t>
      </w:r>
    </w:p>
    <w:p>
      <w:pPr>
        <w:pStyle w:val="ListParagraph"/>
        <w:numPr>
          <w:ilvl w:val="1"/>
          <w:numId w:val="12"/>
        </w:numPr>
        <w:tabs>
          <w:tab w:pos="1730" w:val="left" w:leader="none"/>
        </w:tabs>
        <w:spacing w:line="249" w:lineRule="auto" w:before="203" w:after="0"/>
        <w:ind w:left="1730" w:right="595" w:hanging="540"/>
        <w:jc w:val="left"/>
        <w:rPr>
          <w:sz w:val="20"/>
        </w:rPr>
      </w:pPr>
      <w:r>
        <w:rPr>
          <w:sz w:val="20"/>
        </w:rPr>
        <w:t>Designed</w:t>
      </w:r>
      <w:r>
        <w:rPr>
          <w:spacing w:val="-3"/>
          <w:sz w:val="20"/>
        </w:rPr>
        <w:t> </w:t>
      </w:r>
      <w:r>
        <w:rPr>
          <w:sz w:val="20"/>
        </w:rPr>
        <w:t>such</w:t>
      </w:r>
      <w:r>
        <w:rPr>
          <w:spacing w:val="-3"/>
          <w:sz w:val="20"/>
        </w:rPr>
        <w:t> </w:t>
      </w:r>
      <w:r>
        <w:rPr>
          <w:sz w:val="20"/>
        </w:rPr>
        <w:t>internal</w:t>
      </w:r>
      <w:r>
        <w:rPr>
          <w:spacing w:val="-4"/>
          <w:sz w:val="20"/>
        </w:rPr>
        <w:t> </w:t>
      </w:r>
      <w:r>
        <w:rPr>
          <w:sz w:val="20"/>
        </w:rPr>
        <w:t>control</w:t>
      </w:r>
      <w:r>
        <w:rPr>
          <w:spacing w:val="-4"/>
          <w:sz w:val="20"/>
        </w:rPr>
        <w:t> </w:t>
      </w:r>
      <w:r>
        <w:rPr>
          <w:sz w:val="20"/>
        </w:rPr>
        <w:t>over</w:t>
      </w:r>
      <w:r>
        <w:rPr>
          <w:spacing w:val="-3"/>
          <w:sz w:val="20"/>
        </w:rPr>
        <w:t> </w:t>
      </w:r>
      <w:r>
        <w:rPr>
          <w:sz w:val="20"/>
        </w:rPr>
        <w:t>financial</w:t>
      </w:r>
      <w:r>
        <w:rPr>
          <w:spacing w:val="-4"/>
          <w:sz w:val="20"/>
        </w:rPr>
        <w:t> </w:t>
      </w:r>
      <w:r>
        <w:rPr>
          <w:sz w:val="20"/>
        </w:rPr>
        <w:t>reporting,</w:t>
      </w:r>
      <w:r>
        <w:rPr>
          <w:spacing w:val="-3"/>
          <w:sz w:val="20"/>
        </w:rPr>
        <w:t> </w:t>
      </w:r>
      <w:r>
        <w:rPr>
          <w:sz w:val="20"/>
        </w:rPr>
        <w:t>or</w:t>
      </w:r>
      <w:r>
        <w:rPr>
          <w:spacing w:val="-3"/>
          <w:sz w:val="20"/>
        </w:rPr>
        <w:t> </w:t>
      </w:r>
      <w:r>
        <w:rPr>
          <w:sz w:val="20"/>
        </w:rPr>
        <w:t>caused</w:t>
      </w:r>
      <w:r>
        <w:rPr>
          <w:spacing w:val="-3"/>
          <w:sz w:val="20"/>
        </w:rPr>
        <w:t> </w:t>
      </w:r>
      <w:r>
        <w:rPr>
          <w:sz w:val="20"/>
        </w:rPr>
        <w:t>such</w:t>
      </w:r>
      <w:r>
        <w:rPr>
          <w:spacing w:val="-3"/>
          <w:sz w:val="20"/>
        </w:rPr>
        <w:t> </w:t>
      </w:r>
      <w:r>
        <w:rPr>
          <w:sz w:val="20"/>
        </w:rPr>
        <w:t>internal</w:t>
      </w:r>
      <w:r>
        <w:rPr>
          <w:spacing w:val="-4"/>
          <w:sz w:val="20"/>
        </w:rPr>
        <w:t> </w:t>
      </w:r>
      <w:r>
        <w:rPr>
          <w:sz w:val="20"/>
        </w:rPr>
        <w:t>control</w:t>
      </w:r>
      <w:r>
        <w:rPr>
          <w:spacing w:val="-4"/>
          <w:sz w:val="20"/>
        </w:rPr>
        <w:t> </w:t>
      </w:r>
      <w:r>
        <w:rPr>
          <w:sz w:val="20"/>
        </w:rPr>
        <w:t>over</w:t>
      </w:r>
      <w:r>
        <w:rPr>
          <w:spacing w:val="-3"/>
          <w:sz w:val="20"/>
        </w:rPr>
        <w:t> </w:t>
      </w:r>
      <w:r>
        <w:rPr>
          <w:sz w:val="20"/>
        </w:rPr>
        <w:t>financial</w:t>
      </w:r>
      <w:r>
        <w:rPr>
          <w:spacing w:val="-4"/>
          <w:sz w:val="20"/>
        </w:rPr>
        <w:t> </w:t>
      </w:r>
      <w:r>
        <w:rPr>
          <w:sz w:val="20"/>
        </w:rPr>
        <w:t>reporting to be designed under our supervision, to provide reasonable assurance regarding the reliability of financial reporting and the preparation of financial statements for external purposes in accordance with generally accepted accounting principles;</w:t>
      </w:r>
    </w:p>
    <w:p>
      <w:pPr>
        <w:pStyle w:val="ListParagraph"/>
        <w:numPr>
          <w:ilvl w:val="1"/>
          <w:numId w:val="12"/>
        </w:numPr>
        <w:tabs>
          <w:tab w:pos="1728" w:val="left" w:leader="none"/>
          <w:tab w:pos="1730" w:val="left" w:leader="none"/>
        </w:tabs>
        <w:spacing w:line="249" w:lineRule="auto" w:before="203" w:after="0"/>
        <w:ind w:left="1730" w:right="778" w:hanging="540"/>
        <w:jc w:val="both"/>
        <w:rPr>
          <w:sz w:val="20"/>
        </w:rPr>
      </w:pPr>
      <w:r>
        <w:rPr>
          <w:sz w:val="20"/>
        </w:rPr>
        <w:t>Evaluated</w:t>
      </w:r>
      <w:r>
        <w:rPr>
          <w:spacing w:val="-3"/>
          <w:sz w:val="20"/>
        </w:rPr>
        <w:t> </w:t>
      </w:r>
      <w:r>
        <w:rPr>
          <w:sz w:val="20"/>
        </w:rPr>
        <w:t>the</w:t>
      </w:r>
      <w:r>
        <w:rPr>
          <w:spacing w:val="-4"/>
          <w:sz w:val="20"/>
        </w:rPr>
        <w:t> </w:t>
      </w:r>
      <w:r>
        <w:rPr>
          <w:sz w:val="20"/>
        </w:rPr>
        <w:t>effectiveness</w:t>
      </w:r>
      <w:r>
        <w:rPr>
          <w:spacing w:val="-4"/>
          <w:sz w:val="20"/>
        </w:rPr>
        <w:t> </w:t>
      </w:r>
      <w:r>
        <w:rPr>
          <w:sz w:val="20"/>
        </w:rPr>
        <w:t>of</w:t>
      </w:r>
      <w:r>
        <w:rPr>
          <w:spacing w:val="-3"/>
          <w:sz w:val="20"/>
        </w:rPr>
        <w:t> </w:t>
      </w:r>
      <w:r>
        <w:rPr>
          <w:sz w:val="20"/>
        </w:rPr>
        <w:t>the</w:t>
      </w:r>
      <w:r>
        <w:rPr>
          <w:spacing w:val="-4"/>
          <w:sz w:val="20"/>
        </w:rPr>
        <w:t> </w:t>
      </w:r>
      <w:r>
        <w:rPr>
          <w:sz w:val="20"/>
        </w:rPr>
        <w:t>registrant’s</w:t>
      </w:r>
      <w:r>
        <w:rPr>
          <w:spacing w:val="-4"/>
          <w:sz w:val="20"/>
        </w:rPr>
        <w:t> </w:t>
      </w:r>
      <w:r>
        <w:rPr>
          <w:sz w:val="20"/>
        </w:rPr>
        <w:t>disclosure</w:t>
      </w:r>
      <w:r>
        <w:rPr>
          <w:spacing w:val="-4"/>
          <w:sz w:val="20"/>
        </w:rPr>
        <w:t> </w:t>
      </w:r>
      <w:r>
        <w:rPr>
          <w:sz w:val="20"/>
        </w:rPr>
        <w:t>controls</w:t>
      </w:r>
      <w:r>
        <w:rPr>
          <w:spacing w:val="-4"/>
          <w:sz w:val="20"/>
        </w:rPr>
        <w:t> </w:t>
      </w:r>
      <w:r>
        <w:rPr>
          <w:sz w:val="20"/>
        </w:rPr>
        <w:t>and</w:t>
      </w:r>
      <w:r>
        <w:rPr>
          <w:spacing w:val="-3"/>
          <w:sz w:val="20"/>
        </w:rPr>
        <w:t> </w:t>
      </w:r>
      <w:r>
        <w:rPr>
          <w:sz w:val="20"/>
        </w:rPr>
        <w:t>procedures</w:t>
      </w:r>
      <w:r>
        <w:rPr>
          <w:spacing w:val="-4"/>
          <w:sz w:val="20"/>
        </w:rPr>
        <w:t> </w:t>
      </w:r>
      <w:r>
        <w:rPr>
          <w:sz w:val="20"/>
        </w:rPr>
        <w:t>and</w:t>
      </w:r>
      <w:r>
        <w:rPr>
          <w:spacing w:val="-3"/>
          <w:sz w:val="20"/>
        </w:rPr>
        <w:t> </w:t>
      </w:r>
      <w:r>
        <w:rPr>
          <w:sz w:val="20"/>
        </w:rPr>
        <w:t>presented</w:t>
      </w:r>
      <w:r>
        <w:rPr>
          <w:spacing w:val="-3"/>
          <w:sz w:val="20"/>
        </w:rPr>
        <w:t> </w:t>
      </w:r>
      <w:r>
        <w:rPr>
          <w:sz w:val="20"/>
        </w:rPr>
        <w:t>in</w:t>
      </w:r>
      <w:r>
        <w:rPr>
          <w:spacing w:val="-3"/>
          <w:sz w:val="20"/>
        </w:rPr>
        <w:t> </w:t>
      </w:r>
      <w:r>
        <w:rPr>
          <w:sz w:val="20"/>
        </w:rPr>
        <w:t>this</w:t>
      </w:r>
      <w:r>
        <w:rPr>
          <w:spacing w:val="-4"/>
          <w:sz w:val="20"/>
        </w:rPr>
        <w:t> </w:t>
      </w:r>
      <w:r>
        <w:rPr>
          <w:sz w:val="20"/>
        </w:rPr>
        <w:t>report our</w:t>
      </w:r>
      <w:r>
        <w:rPr>
          <w:spacing w:val="-1"/>
          <w:sz w:val="20"/>
        </w:rPr>
        <w:t> </w:t>
      </w:r>
      <w:r>
        <w:rPr>
          <w:sz w:val="20"/>
        </w:rPr>
        <w:t>conclusions</w:t>
      </w:r>
      <w:r>
        <w:rPr>
          <w:spacing w:val="-2"/>
          <w:sz w:val="20"/>
        </w:rPr>
        <w:t> </w:t>
      </w:r>
      <w:r>
        <w:rPr>
          <w:sz w:val="20"/>
        </w:rPr>
        <w:t>about</w:t>
      </w:r>
      <w:r>
        <w:rPr>
          <w:spacing w:val="-2"/>
          <w:sz w:val="20"/>
        </w:rPr>
        <w:t> </w:t>
      </w:r>
      <w:r>
        <w:rPr>
          <w:sz w:val="20"/>
        </w:rPr>
        <w:t>the</w:t>
      </w:r>
      <w:r>
        <w:rPr>
          <w:spacing w:val="-2"/>
          <w:sz w:val="20"/>
        </w:rPr>
        <w:t> </w:t>
      </w:r>
      <w:r>
        <w:rPr>
          <w:sz w:val="20"/>
        </w:rPr>
        <w:t>effectiveness</w:t>
      </w:r>
      <w:r>
        <w:rPr>
          <w:spacing w:val="-2"/>
          <w:sz w:val="20"/>
        </w:rPr>
        <w:t> </w:t>
      </w:r>
      <w:r>
        <w:rPr>
          <w:sz w:val="20"/>
        </w:rPr>
        <w:t>of</w:t>
      </w:r>
      <w:r>
        <w:rPr>
          <w:spacing w:val="-1"/>
          <w:sz w:val="20"/>
        </w:rPr>
        <w:t> </w:t>
      </w:r>
      <w:r>
        <w:rPr>
          <w:sz w:val="20"/>
        </w:rPr>
        <w:t>the</w:t>
      </w:r>
      <w:r>
        <w:rPr>
          <w:spacing w:val="-2"/>
          <w:sz w:val="20"/>
        </w:rPr>
        <w:t> </w:t>
      </w:r>
      <w:r>
        <w:rPr>
          <w:sz w:val="20"/>
        </w:rPr>
        <w:t>disclosure</w:t>
      </w:r>
      <w:r>
        <w:rPr>
          <w:spacing w:val="-2"/>
          <w:sz w:val="20"/>
        </w:rPr>
        <w:t> </w:t>
      </w:r>
      <w:r>
        <w:rPr>
          <w:sz w:val="20"/>
        </w:rPr>
        <w:t>controls</w:t>
      </w:r>
      <w:r>
        <w:rPr>
          <w:spacing w:val="-2"/>
          <w:sz w:val="20"/>
        </w:rPr>
        <w:t> </w:t>
      </w:r>
      <w:r>
        <w:rPr>
          <w:sz w:val="20"/>
        </w:rPr>
        <w:t>and</w:t>
      </w:r>
      <w:r>
        <w:rPr>
          <w:spacing w:val="-1"/>
          <w:sz w:val="20"/>
        </w:rPr>
        <w:t> </w:t>
      </w:r>
      <w:r>
        <w:rPr>
          <w:sz w:val="20"/>
        </w:rPr>
        <w:t>procedures,</w:t>
      </w:r>
      <w:r>
        <w:rPr>
          <w:spacing w:val="-1"/>
          <w:sz w:val="20"/>
        </w:rPr>
        <w:t> </w:t>
      </w:r>
      <w:r>
        <w:rPr>
          <w:sz w:val="20"/>
        </w:rPr>
        <w:t>as</w:t>
      </w:r>
      <w:r>
        <w:rPr>
          <w:spacing w:val="-2"/>
          <w:sz w:val="20"/>
        </w:rPr>
        <w:t> </w:t>
      </w:r>
      <w:r>
        <w:rPr>
          <w:sz w:val="20"/>
        </w:rPr>
        <w:t>of</w:t>
      </w:r>
      <w:r>
        <w:rPr>
          <w:spacing w:val="-1"/>
          <w:sz w:val="20"/>
        </w:rPr>
        <w:t> </w:t>
      </w:r>
      <w:r>
        <w:rPr>
          <w:sz w:val="20"/>
        </w:rPr>
        <w:t>the</w:t>
      </w:r>
      <w:r>
        <w:rPr>
          <w:spacing w:val="-2"/>
          <w:sz w:val="20"/>
        </w:rPr>
        <w:t> </w:t>
      </w:r>
      <w:r>
        <w:rPr>
          <w:sz w:val="20"/>
        </w:rPr>
        <w:t>end</w:t>
      </w:r>
      <w:r>
        <w:rPr>
          <w:spacing w:val="-1"/>
          <w:sz w:val="20"/>
        </w:rPr>
        <w:t> </w:t>
      </w:r>
      <w:r>
        <w:rPr>
          <w:sz w:val="20"/>
        </w:rPr>
        <w:t>of</w:t>
      </w:r>
      <w:r>
        <w:rPr>
          <w:spacing w:val="-1"/>
          <w:sz w:val="20"/>
        </w:rPr>
        <w:t> </w:t>
      </w:r>
      <w:r>
        <w:rPr>
          <w:sz w:val="20"/>
        </w:rPr>
        <w:t>the</w:t>
      </w:r>
      <w:r>
        <w:rPr>
          <w:spacing w:val="-2"/>
          <w:sz w:val="20"/>
        </w:rPr>
        <w:t> </w:t>
      </w:r>
      <w:r>
        <w:rPr>
          <w:sz w:val="20"/>
        </w:rPr>
        <w:t>period covered by this report based on such evaluation; and</w:t>
      </w:r>
    </w:p>
    <w:p>
      <w:pPr>
        <w:pStyle w:val="ListParagraph"/>
        <w:numPr>
          <w:ilvl w:val="1"/>
          <w:numId w:val="12"/>
        </w:numPr>
        <w:tabs>
          <w:tab w:pos="1730" w:val="left" w:leader="none"/>
        </w:tabs>
        <w:spacing w:line="249" w:lineRule="auto" w:before="203" w:after="0"/>
        <w:ind w:left="1730" w:right="697" w:hanging="540"/>
        <w:jc w:val="left"/>
        <w:rPr>
          <w:sz w:val="20"/>
        </w:rPr>
      </w:pPr>
      <w:r>
        <w:rPr>
          <w:sz w:val="20"/>
        </w:rPr>
        <w:t>Disclosed in this report any change in the registrant’s internal control over financial reporting that occurred during the registrant’s most recent fiscal quarter (the registrant’s fourth fiscal quarter in the case of an annual report)</w:t>
      </w:r>
      <w:r>
        <w:rPr>
          <w:spacing w:val="-3"/>
          <w:sz w:val="20"/>
        </w:rPr>
        <w:t> </w:t>
      </w:r>
      <w:r>
        <w:rPr>
          <w:sz w:val="20"/>
        </w:rPr>
        <w:t>that</w:t>
      </w:r>
      <w:r>
        <w:rPr>
          <w:spacing w:val="-4"/>
          <w:sz w:val="20"/>
        </w:rPr>
        <w:t> </w:t>
      </w:r>
      <w:r>
        <w:rPr>
          <w:sz w:val="20"/>
        </w:rPr>
        <w:t>has</w:t>
      </w:r>
      <w:r>
        <w:rPr>
          <w:spacing w:val="-4"/>
          <w:sz w:val="20"/>
        </w:rPr>
        <w:t> </w:t>
      </w:r>
      <w:r>
        <w:rPr>
          <w:sz w:val="20"/>
        </w:rPr>
        <w:t>materially</w:t>
      </w:r>
      <w:r>
        <w:rPr>
          <w:spacing w:val="-3"/>
          <w:sz w:val="20"/>
        </w:rPr>
        <w:t> </w:t>
      </w:r>
      <w:r>
        <w:rPr>
          <w:sz w:val="20"/>
        </w:rPr>
        <w:t>affected,</w:t>
      </w:r>
      <w:r>
        <w:rPr>
          <w:spacing w:val="-3"/>
          <w:sz w:val="20"/>
        </w:rPr>
        <w:t> </w:t>
      </w:r>
      <w:r>
        <w:rPr>
          <w:sz w:val="20"/>
        </w:rPr>
        <w:t>or</w:t>
      </w:r>
      <w:r>
        <w:rPr>
          <w:spacing w:val="-3"/>
          <w:sz w:val="20"/>
        </w:rPr>
        <w:t> </w:t>
      </w:r>
      <w:r>
        <w:rPr>
          <w:sz w:val="20"/>
        </w:rPr>
        <w:t>is</w:t>
      </w:r>
      <w:r>
        <w:rPr>
          <w:spacing w:val="-4"/>
          <w:sz w:val="20"/>
        </w:rPr>
        <w:t> </w:t>
      </w:r>
      <w:r>
        <w:rPr>
          <w:sz w:val="20"/>
        </w:rPr>
        <w:t>reasonably</w:t>
      </w:r>
      <w:r>
        <w:rPr>
          <w:spacing w:val="-3"/>
          <w:sz w:val="20"/>
        </w:rPr>
        <w:t> </w:t>
      </w:r>
      <w:r>
        <w:rPr>
          <w:sz w:val="20"/>
        </w:rPr>
        <w:t>likely</w:t>
      </w:r>
      <w:r>
        <w:rPr>
          <w:spacing w:val="-3"/>
          <w:sz w:val="20"/>
        </w:rPr>
        <w:t> </w:t>
      </w:r>
      <w:r>
        <w:rPr>
          <w:sz w:val="20"/>
        </w:rPr>
        <w:t>to</w:t>
      </w:r>
      <w:r>
        <w:rPr>
          <w:spacing w:val="-3"/>
          <w:sz w:val="20"/>
        </w:rPr>
        <w:t> </w:t>
      </w:r>
      <w:r>
        <w:rPr>
          <w:sz w:val="20"/>
        </w:rPr>
        <w:t>materially</w:t>
      </w:r>
      <w:r>
        <w:rPr>
          <w:spacing w:val="-3"/>
          <w:sz w:val="20"/>
        </w:rPr>
        <w:t> </w:t>
      </w:r>
      <w:r>
        <w:rPr>
          <w:sz w:val="20"/>
        </w:rPr>
        <w:t>affect,</w:t>
      </w:r>
      <w:r>
        <w:rPr>
          <w:spacing w:val="-3"/>
          <w:sz w:val="20"/>
        </w:rPr>
        <w:t> </w:t>
      </w:r>
      <w:r>
        <w:rPr>
          <w:sz w:val="20"/>
        </w:rPr>
        <w:t>the</w:t>
      </w:r>
      <w:r>
        <w:rPr>
          <w:spacing w:val="-4"/>
          <w:sz w:val="20"/>
        </w:rPr>
        <w:t> </w:t>
      </w:r>
      <w:r>
        <w:rPr>
          <w:sz w:val="20"/>
        </w:rPr>
        <w:t>registrant’s</w:t>
      </w:r>
      <w:r>
        <w:rPr>
          <w:spacing w:val="-4"/>
          <w:sz w:val="20"/>
        </w:rPr>
        <w:t> </w:t>
      </w:r>
      <w:r>
        <w:rPr>
          <w:sz w:val="20"/>
        </w:rPr>
        <w:t>internal</w:t>
      </w:r>
      <w:r>
        <w:rPr>
          <w:spacing w:val="-4"/>
          <w:sz w:val="20"/>
        </w:rPr>
        <w:t> </w:t>
      </w:r>
      <w:r>
        <w:rPr>
          <w:sz w:val="20"/>
        </w:rPr>
        <w:t>control over financial reporting; and</w:t>
      </w:r>
    </w:p>
    <w:p>
      <w:pPr>
        <w:pStyle w:val="ListParagraph"/>
        <w:numPr>
          <w:ilvl w:val="0"/>
          <w:numId w:val="12"/>
        </w:numPr>
        <w:tabs>
          <w:tab w:pos="830" w:val="left" w:leader="none"/>
        </w:tabs>
        <w:spacing w:line="249" w:lineRule="auto" w:before="203" w:after="0"/>
        <w:ind w:left="830" w:right="685" w:hanging="360"/>
        <w:jc w:val="left"/>
        <w:rPr>
          <w:sz w:val="20"/>
        </w:rPr>
      </w:pPr>
      <w:r>
        <w:rPr>
          <w:sz w:val="20"/>
        </w:rPr>
        <w:t>The</w:t>
      </w:r>
      <w:r>
        <w:rPr>
          <w:spacing w:val="-4"/>
          <w:sz w:val="20"/>
        </w:rPr>
        <w:t> </w:t>
      </w:r>
      <w:r>
        <w:rPr>
          <w:sz w:val="20"/>
        </w:rPr>
        <w:t>registrant’s</w:t>
      </w:r>
      <w:r>
        <w:rPr>
          <w:spacing w:val="-4"/>
          <w:sz w:val="20"/>
        </w:rPr>
        <w:t> </w:t>
      </w:r>
      <w:r>
        <w:rPr>
          <w:sz w:val="20"/>
        </w:rPr>
        <w:t>other</w:t>
      </w:r>
      <w:r>
        <w:rPr>
          <w:spacing w:val="-3"/>
          <w:sz w:val="20"/>
        </w:rPr>
        <w:t> </w:t>
      </w:r>
      <w:r>
        <w:rPr>
          <w:sz w:val="20"/>
        </w:rPr>
        <w:t>certifying</w:t>
      </w:r>
      <w:r>
        <w:rPr>
          <w:spacing w:val="-3"/>
          <w:sz w:val="20"/>
        </w:rPr>
        <w:t> </w:t>
      </w:r>
      <w:r>
        <w:rPr>
          <w:sz w:val="20"/>
        </w:rPr>
        <w:t>officer</w:t>
      </w:r>
      <w:r>
        <w:rPr>
          <w:spacing w:val="-3"/>
          <w:sz w:val="20"/>
        </w:rPr>
        <w:t> </w:t>
      </w:r>
      <w:r>
        <w:rPr>
          <w:sz w:val="20"/>
        </w:rPr>
        <w:t>and</w:t>
      </w:r>
      <w:r>
        <w:rPr>
          <w:spacing w:val="-3"/>
          <w:sz w:val="20"/>
        </w:rPr>
        <w:t> </w:t>
      </w:r>
      <w:r>
        <w:rPr>
          <w:sz w:val="20"/>
        </w:rPr>
        <w:t>I</w:t>
      </w:r>
      <w:r>
        <w:rPr>
          <w:spacing w:val="-3"/>
          <w:sz w:val="20"/>
        </w:rPr>
        <w:t> </w:t>
      </w:r>
      <w:r>
        <w:rPr>
          <w:sz w:val="20"/>
        </w:rPr>
        <w:t>have</w:t>
      </w:r>
      <w:r>
        <w:rPr>
          <w:spacing w:val="-4"/>
          <w:sz w:val="20"/>
        </w:rPr>
        <w:t> </w:t>
      </w:r>
      <w:r>
        <w:rPr>
          <w:sz w:val="20"/>
        </w:rPr>
        <w:t>disclosed,</w:t>
      </w:r>
      <w:r>
        <w:rPr>
          <w:spacing w:val="-3"/>
          <w:sz w:val="20"/>
        </w:rPr>
        <w:t> </w:t>
      </w:r>
      <w:r>
        <w:rPr>
          <w:sz w:val="20"/>
        </w:rPr>
        <w:t>based</w:t>
      </w:r>
      <w:r>
        <w:rPr>
          <w:spacing w:val="-3"/>
          <w:sz w:val="20"/>
        </w:rPr>
        <w:t> </w:t>
      </w:r>
      <w:r>
        <w:rPr>
          <w:sz w:val="20"/>
        </w:rPr>
        <w:t>on</w:t>
      </w:r>
      <w:r>
        <w:rPr>
          <w:spacing w:val="-3"/>
          <w:sz w:val="20"/>
        </w:rPr>
        <w:t> </w:t>
      </w:r>
      <w:r>
        <w:rPr>
          <w:sz w:val="20"/>
        </w:rPr>
        <w:t>our</w:t>
      </w:r>
      <w:r>
        <w:rPr>
          <w:spacing w:val="-3"/>
          <w:sz w:val="20"/>
        </w:rPr>
        <w:t> </w:t>
      </w:r>
      <w:r>
        <w:rPr>
          <w:sz w:val="20"/>
        </w:rPr>
        <w:t>most</w:t>
      </w:r>
      <w:r>
        <w:rPr>
          <w:spacing w:val="-4"/>
          <w:sz w:val="20"/>
        </w:rPr>
        <w:t> </w:t>
      </w:r>
      <w:r>
        <w:rPr>
          <w:sz w:val="20"/>
        </w:rPr>
        <w:t>recent</w:t>
      </w:r>
      <w:r>
        <w:rPr>
          <w:spacing w:val="-4"/>
          <w:sz w:val="20"/>
        </w:rPr>
        <w:t> </w:t>
      </w:r>
      <w:r>
        <w:rPr>
          <w:sz w:val="20"/>
        </w:rPr>
        <w:t>evaluation</w:t>
      </w:r>
      <w:r>
        <w:rPr>
          <w:spacing w:val="-3"/>
          <w:sz w:val="20"/>
        </w:rPr>
        <w:t> </w:t>
      </w:r>
      <w:r>
        <w:rPr>
          <w:sz w:val="20"/>
        </w:rPr>
        <w:t>of</w:t>
      </w:r>
      <w:r>
        <w:rPr>
          <w:spacing w:val="-3"/>
          <w:sz w:val="20"/>
        </w:rPr>
        <w:t> </w:t>
      </w:r>
      <w:r>
        <w:rPr>
          <w:sz w:val="20"/>
        </w:rPr>
        <w:t>internal</w:t>
      </w:r>
      <w:r>
        <w:rPr>
          <w:spacing w:val="-4"/>
          <w:sz w:val="20"/>
        </w:rPr>
        <w:t> </w:t>
      </w:r>
      <w:r>
        <w:rPr>
          <w:sz w:val="20"/>
        </w:rPr>
        <w:t>control</w:t>
      </w:r>
      <w:r>
        <w:rPr>
          <w:spacing w:val="-4"/>
          <w:sz w:val="20"/>
        </w:rPr>
        <w:t> </w:t>
      </w:r>
      <w:r>
        <w:rPr>
          <w:sz w:val="20"/>
        </w:rPr>
        <w:t>over financial reporting, to the registrant’s auditors and the audit committee of the registrant’s board of directors (or persons performing the equivalent functions):</w:t>
      </w:r>
    </w:p>
    <w:p>
      <w:pPr>
        <w:pStyle w:val="ListParagraph"/>
        <w:numPr>
          <w:ilvl w:val="1"/>
          <w:numId w:val="12"/>
        </w:numPr>
        <w:tabs>
          <w:tab w:pos="1730" w:val="left" w:leader="none"/>
        </w:tabs>
        <w:spacing w:line="249" w:lineRule="auto" w:before="203" w:after="0"/>
        <w:ind w:left="1730" w:right="552" w:hanging="540"/>
        <w:jc w:val="left"/>
        <w:rPr>
          <w:sz w:val="20"/>
        </w:rPr>
      </w:pPr>
      <w:r>
        <w:rPr>
          <w:sz w:val="20"/>
        </w:rPr>
        <w:t>All</w:t>
      </w:r>
      <w:r>
        <w:rPr>
          <w:spacing w:val="-4"/>
          <w:sz w:val="20"/>
        </w:rPr>
        <w:t> </w:t>
      </w:r>
      <w:r>
        <w:rPr>
          <w:sz w:val="20"/>
        </w:rPr>
        <w:t>significant</w:t>
      </w:r>
      <w:r>
        <w:rPr>
          <w:spacing w:val="-4"/>
          <w:sz w:val="20"/>
        </w:rPr>
        <w:t> </w:t>
      </w:r>
      <w:r>
        <w:rPr>
          <w:sz w:val="20"/>
        </w:rPr>
        <w:t>deficiencies</w:t>
      </w:r>
      <w:r>
        <w:rPr>
          <w:spacing w:val="-4"/>
          <w:sz w:val="20"/>
        </w:rPr>
        <w:t> </w:t>
      </w:r>
      <w:r>
        <w:rPr>
          <w:sz w:val="20"/>
        </w:rPr>
        <w:t>and</w:t>
      </w:r>
      <w:r>
        <w:rPr>
          <w:spacing w:val="-3"/>
          <w:sz w:val="20"/>
        </w:rPr>
        <w:t> </w:t>
      </w:r>
      <w:r>
        <w:rPr>
          <w:sz w:val="20"/>
        </w:rPr>
        <w:t>material</w:t>
      </w:r>
      <w:r>
        <w:rPr>
          <w:spacing w:val="-4"/>
          <w:sz w:val="20"/>
        </w:rPr>
        <w:t> </w:t>
      </w:r>
      <w:r>
        <w:rPr>
          <w:sz w:val="20"/>
        </w:rPr>
        <w:t>weaknesses</w:t>
      </w:r>
      <w:r>
        <w:rPr>
          <w:spacing w:val="-4"/>
          <w:sz w:val="20"/>
        </w:rPr>
        <w:t> </w:t>
      </w:r>
      <w:r>
        <w:rPr>
          <w:sz w:val="20"/>
        </w:rPr>
        <w:t>in</w:t>
      </w:r>
      <w:r>
        <w:rPr>
          <w:spacing w:val="-3"/>
          <w:sz w:val="20"/>
        </w:rPr>
        <w:t> </w:t>
      </w:r>
      <w:r>
        <w:rPr>
          <w:sz w:val="20"/>
        </w:rPr>
        <w:t>the</w:t>
      </w:r>
      <w:r>
        <w:rPr>
          <w:spacing w:val="-4"/>
          <w:sz w:val="20"/>
        </w:rPr>
        <w:t> </w:t>
      </w:r>
      <w:r>
        <w:rPr>
          <w:sz w:val="20"/>
        </w:rPr>
        <w:t>design</w:t>
      </w:r>
      <w:r>
        <w:rPr>
          <w:spacing w:val="-3"/>
          <w:sz w:val="20"/>
        </w:rPr>
        <w:t> </w:t>
      </w:r>
      <w:r>
        <w:rPr>
          <w:sz w:val="20"/>
        </w:rPr>
        <w:t>or</w:t>
      </w:r>
      <w:r>
        <w:rPr>
          <w:spacing w:val="-3"/>
          <w:sz w:val="20"/>
        </w:rPr>
        <w:t> </w:t>
      </w:r>
      <w:r>
        <w:rPr>
          <w:sz w:val="20"/>
        </w:rPr>
        <w:t>operation</w:t>
      </w:r>
      <w:r>
        <w:rPr>
          <w:spacing w:val="-3"/>
          <w:sz w:val="20"/>
        </w:rPr>
        <w:t> </w:t>
      </w:r>
      <w:r>
        <w:rPr>
          <w:sz w:val="20"/>
        </w:rPr>
        <w:t>of</w:t>
      </w:r>
      <w:r>
        <w:rPr>
          <w:spacing w:val="-3"/>
          <w:sz w:val="20"/>
        </w:rPr>
        <w:t> </w:t>
      </w:r>
      <w:r>
        <w:rPr>
          <w:sz w:val="20"/>
        </w:rPr>
        <w:t>internal</w:t>
      </w:r>
      <w:r>
        <w:rPr>
          <w:spacing w:val="-4"/>
          <w:sz w:val="20"/>
        </w:rPr>
        <w:t> </w:t>
      </w:r>
      <w:r>
        <w:rPr>
          <w:sz w:val="20"/>
        </w:rPr>
        <w:t>control</w:t>
      </w:r>
      <w:r>
        <w:rPr>
          <w:spacing w:val="-4"/>
          <w:sz w:val="20"/>
        </w:rPr>
        <w:t> </w:t>
      </w:r>
      <w:r>
        <w:rPr>
          <w:sz w:val="20"/>
        </w:rPr>
        <w:t>over</w:t>
      </w:r>
      <w:r>
        <w:rPr>
          <w:spacing w:val="-3"/>
          <w:sz w:val="20"/>
        </w:rPr>
        <w:t> </w:t>
      </w:r>
      <w:r>
        <w:rPr>
          <w:sz w:val="20"/>
        </w:rPr>
        <w:t>financial reporting which are reasonably likely to adversely affect the registrant’s ability to record, process, summarize and report financial information; and</w:t>
      </w:r>
    </w:p>
    <w:p>
      <w:pPr>
        <w:pStyle w:val="ListParagraph"/>
        <w:numPr>
          <w:ilvl w:val="1"/>
          <w:numId w:val="12"/>
        </w:numPr>
        <w:tabs>
          <w:tab w:pos="1730" w:val="left" w:leader="none"/>
        </w:tabs>
        <w:spacing w:line="249" w:lineRule="auto" w:before="202" w:after="0"/>
        <w:ind w:left="1730" w:right="485" w:hanging="540"/>
        <w:jc w:val="left"/>
        <w:rPr>
          <w:sz w:val="20"/>
        </w:rPr>
      </w:pPr>
      <w:r>
        <w:rPr>
          <w:sz w:val="20"/>
        </w:rPr>
        <w:t>Any</w:t>
      </w:r>
      <w:r>
        <w:rPr>
          <w:spacing w:val="-3"/>
          <w:sz w:val="20"/>
        </w:rPr>
        <w:t> </w:t>
      </w:r>
      <w:r>
        <w:rPr>
          <w:sz w:val="20"/>
        </w:rPr>
        <w:t>fraud,</w:t>
      </w:r>
      <w:r>
        <w:rPr>
          <w:spacing w:val="-3"/>
          <w:sz w:val="20"/>
        </w:rPr>
        <w:t> </w:t>
      </w:r>
      <w:r>
        <w:rPr>
          <w:sz w:val="20"/>
        </w:rPr>
        <w:t>whether</w:t>
      </w:r>
      <w:r>
        <w:rPr>
          <w:spacing w:val="-3"/>
          <w:sz w:val="20"/>
        </w:rPr>
        <w:t> </w:t>
      </w:r>
      <w:r>
        <w:rPr>
          <w:sz w:val="20"/>
        </w:rPr>
        <w:t>or</w:t>
      </w:r>
      <w:r>
        <w:rPr>
          <w:spacing w:val="-3"/>
          <w:sz w:val="20"/>
        </w:rPr>
        <w:t> </w:t>
      </w:r>
      <w:r>
        <w:rPr>
          <w:sz w:val="20"/>
        </w:rPr>
        <w:t>not</w:t>
      </w:r>
      <w:r>
        <w:rPr>
          <w:spacing w:val="-4"/>
          <w:sz w:val="20"/>
        </w:rPr>
        <w:t> </w:t>
      </w:r>
      <w:r>
        <w:rPr>
          <w:sz w:val="20"/>
        </w:rPr>
        <w:t>material,</w:t>
      </w:r>
      <w:r>
        <w:rPr>
          <w:spacing w:val="-3"/>
          <w:sz w:val="20"/>
        </w:rPr>
        <w:t> </w:t>
      </w:r>
      <w:r>
        <w:rPr>
          <w:sz w:val="20"/>
        </w:rPr>
        <w:t>that</w:t>
      </w:r>
      <w:r>
        <w:rPr>
          <w:spacing w:val="-4"/>
          <w:sz w:val="20"/>
        </w:rPr>
        <w:t> </w:t>
      </w:r>
      <w:r>
        <w:rPr>
          <w:sz w:val="20"/>
        </w:rPr>
        <w:t>involves</w:t>
      </w:r>
      <w:r>
        <w:rPr>
          <w:spacing w:val="-4"/>
          <w:sz w:val="20"/>
        </w:rPr>
        <w:t> </w:t>
      </w:r>
      <w:r>
        <w:rPr>
          <w:sz w:val="20"/>
        </w:rPr>
        <w:t>management</w:t>
      </w:r>
      <w:r>
        <w:rPr>
          <w:spacing w:val="-4"/>
          <w:sz w:val="20"/>
        </w:rPr>
        <w:t> </w:t>
      </w:r>
      <w:r>
        <w:rPr>
          <w:sz w:val="20"/>
        </w:rPr>
        <w:t>or</w:t>
      </w:r>
      <w:r>
        <w:rPr>
          <w:spacing w:val="-3"/>
          <w:sz w:val="20"/>
        </w:rPr>
        <w:t> </w:t>
      </w:r>
      <w:r>
        <w:rPr>
          <w:sz w:val="20"/>
        </w:rPr>
        <w:t>other</w:t>
      </w:r>
      <w:r>
        <w:rPr>
          <w:spacing w:val="-3"/>
          <w:sz w:val="20"/>
        </w:rPr>
        <w:t> </w:t>
      </w:r>
      <w:r>
        <w:rPr>
          <w:sz w:val="20"/>
        </w:rPr>
        <w:t>employees</w:t>
      </w:r>
      <w:r>
        <w:rPr>
          <w:spacing w:val="-4"/>
          <w:sz w:val="20"/>
        </w:rPr>
        <w:t> </w:t>
      </w:r>
      <w:r>
        <w:rPr>
          <w:sz w:val="20"/>
        </w:rPr>
        <w:t>who</w:t>
      </w:r>
      <w:r>
        <w:rPr>
          <w:spacing w:val="-3"/>
          <w:sz w:val="20"/>
        </w:rPr>
        <w:t> </w:t>
      </w:r>
      <w:r>
        <w:rPr>
          <w:sz w:val="20"/>
        </w:rPr>
        <w:t>have</w:t>
      </w:r>
      <w:r>
        <w:rPr>
          <w:spacing w:val="-4"/>
          <w:sz w:val="20"/>
        </w:rPr>
        <w:t> </w:t>
      </w:r>
      <w:r>
        <w:rPr>
          <w:sz w:val="20"/>
        </w:rPr>
        <w:t>a</w:t>
      </w:r>
      <w:r>
        <w:rPr>
          <w:spacing w:val="-4"/>
          <w:sz w:val="20"/>
        </w:rPr>
        <w:t> </w:t>
      </w:r>
      <w:r>
        <w:rPr>
          <w:sz w:val="20"/>
        </w:rPr>
        <w:t>significant</w:t>
      </w:r>
      <w:r>
        <w:rPr>
          <w:spacing w:val="-4"/>
          <w:sz w:val="20"/>
        </w:rPr>
        <w:t> </w:t>
      </w:r>
      <w:r>
        <w:rPr>
          <w:sz w:val="20"/>
        </w:rPr>
        <w:t>role</w:t>
      </w:r>
      <w:r>
        <w:rPr>
          <w:spacing w:val="-4"/>
          <w:sz w:val="20"/>
        </w:rPr>
        <w:t> </w:t>
      </w:r>
      <w:r>
        <w:rPr>
          <w:sz w:val="20"/>
        </w:rPr>
        <w:t>in the registrant’s internal control over financial reporting.</w:t>
      </w:r>
    </w:p>
    <w:p>
      <w:pPr>
        <w:pStyle w:val="BodyText"/>
      </w:pPr>
    </w:p>
    <w:p>
      <w:pPr>
        <w:pStyle w:val="BodyText"/>
        <w:spacing w:before="34"/>
      </w:pPr>
    </w:p>
    <w:p>
      <w:pPr>
        <w:pStyle w:val="BodyText"/>
        <w:tabs>
          <w:tab w:pos="1197" w:val="left" w:leader="none"/>
          <w:tab w:pos="5757" w:val="left" w:leader="none"/>
        </w:tabs>
        <w:spacing w:line="312" w:lineRule="auto"/>
        <w:ind w:left="5757" w:right="3975" w:hanging="5235"/>
      </w:pPr>
      <w:r>
        <w:rPr/>
        <mc:AlternateContent>
          <mc:Choice Requires="wps">
            <w:drawing>
              <wp:anchor distT="0" distB="0" distL="0" distR="0" allowOverlap="1" layoutInCell="1" locked="0" behindDoc="0" simplePos="0" relativeHeight="15785984">
                <wp:simplePos x="0" y="0"/>
                <wp:positionH relativeFrom="page">
                  <wp:posOffset>1057275</wp:posOffset>
                </wp:positionH>
                <wp:positionV relativeFrom="paragraph">
                  <wp:posOffset>184914</wp:posOffset>
                </wp:positionV>
                <wp:extent cx="2286000" cy="6350"/>
                <wp:effectExtent l="0" t="0" r="0" b="0"/>
                <wp:wrapNone/>
                <wp:docPr id="758" name="Group 758"/>
                <wp:cNvGraphicFramePr>
                  <a:graphicFrameLocks/>
                </wp:cNvGraphicFramePr>
                <a:graphic>
                  <a:graphicData uri="http://schemas.microsoft.com/office/word/2010/wordprocessingGroup">
                    <wpg:wgp>
                      <wpg:cNvPr id="758" name="Group 758"/>
                      <wpg:cNvGrpSpPr/>
                      <wpg:grpSpPr>
                        <a:xfrm>
                          <a:off x="0" y="0"/>
                          <a:ext cx="2286000" cy="6350"/>
                          <a:chExt cx="2286000" cy="6350"/>
                        </a:xfrm>
                      </wpg:grpSpPr>
                      <wps:wsp>
                        <wps:cNvPr id="759" name="Graphic 759"/>
                        <wps:cNvSpPr/>
                        <wps:spPr>
                          <a:xfrm>
                            <a:off x="0" y="3175"/>
                            <a:ext cx="2286000" cy="1270"/>
                          </a:xfrm>
                          <a:custGeom>
                            <a:avLst/>
                            <a:gdLst/>
                            <a:ahLst/>
                            <a:cxnLst/>
                            <a:rect l="l" t="t" r="r" b="b"/>
                            <a:pathLst>
                              <a:path w="2286000" h="0">
                                <a:moveTo>
                                  <a:pt x="2286000" y="0"/>
                                </a:moveTo>
                                <a:lnTo>
                                  <a:pt x="0" y="0"/>
                                </a:lnTo>
                              </a:path>
                            </a:pathLst>
                          </a:custGeom>
                          <a:solidFill>
                            <a:srgbClr val="000000"/>
                          </a:solidFill>
                        </wps:spPr>
                        <wps:bodyPr wrap="square" lIns="0" tIns="0" rIns="0" bIns="0" rtlCol="0">
                          <a:prstTxWarp prst="textNoShape">
                            <a:avLst/>
                          </a:prstTxWarp>
                          <a:noAutofit/>
                        </wps:bodyPr>
                      </wps:wsp>
                      <wps:wsp>
                        <wps:cNvPr id="760" name="Graphic 760"/>
                        <wps:cNvSpPr/>
                        <wps:spPr>
                          <a:xfrm>
                            <a:off x="0" y="3175"/>
                            <a:ext cx="2286000" cy="1270"/>
                          </a:xfrm>
                          <a:custGeom>
                            <a:avLst/>
                            <a:gdLst/>
                            <a:ahLst/>
                            <a:cxnLst/>
                            <a:rect l="l" t="t" r="r" b="b"/>
                            <a:pathLst>
                              <a:path w="2286000" h="0">
                                <a:moveTo>
                                  <a:pt x="0" y="0"/>
                                </a:moveTo>
                                <a:lnTo>
                                  <a:pt x="22860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25pt;margin-top:14.560166pt;width:180pt;height:.5pt;mso-position-horizontal-relative:page;mso-position-vertical-relative:paragraph;z-index:15785984" id="docshapegroup544" coordorigin="1665,291" coordsize="3600,10">
                <v:shape style="position:absolute;left:1665;top:296;width:3600;height:2" id="docshape545" coordorigin="1665,296" coordsize="3600,0" path="m5265,296l1665,296e" filled="true" fillcolor="#000000" stroked="false">
                  <v:path arrowok="t"/>
                  <v:fill opacity="0f" type="solid"/>
                </v:shape>
                <v:line style="position:absolute" from="1665,296" to="5265,296" stroked="true" strokeweight=".5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6496">
                <wp:simplePos x="0" y="0"/>
                <wp:positionH relativeFrom="page">
                  <wp:posOffset>3952875</wp:posOffset>
                </wp:positionH>
                <wp:positionV relativeFrom="paragraph">
                  <wp:posOffset>184914</wp:posOffset>
                </wp:positionV>
                <wp:extent cx="3190875" cy="6350"/>
                <wp:effectExtent l="0" t="0" r="0" b="0"/>
                <wp:wrapNone/>
                <wp:docPr id="761" name="Group 761"/>
                <wp:cNvGraphicFramePr>
                  <a:graphicFrameLocks/>
                </wp:cNvGraphicFramePr>
                <a:graphic>
                  <a:graphicData uri="http://schemas.microsoft.com/office/word/2010/wordprocessingGroup">
                    <wpg:wgp>
                      <wpg:cNvPr id="761" name="Group 761"/>
                      <wpg:cNvGrpSpPr/>
                      <wpg:grpSpPr>
                        <a:xfrm>
                          <a:off x="0" y="0"/>
                          <a:ext cx="3190875" cy="6350"/>
                          <a:chExt cx="3190875" cy="6350"/>
                        </a:xfrm>
                      </wpg:grpSpPr>
                      <wps:wsp>
                        <wps:cNvPr id="762" name="Graphic 762"/>
                        <wps:cNvSpPr/>
                        <wps:spPr>
                          <a:xfrm>
                            <a:off x="0" y="3175"/>
                            <a:ext cx="3190875" cy="1270"/>
                          </a:xfrm>
                          <a:custGeom>
                            <a:avLst/>
                            <a:gdLst/>
                            <a:ahLst/>
                            <a:cxnLst/>
                            <a:rect l="l" t="t" r="r" b="b"/>
                            <a:pathLst>
                              <a:path w="3190875" h="0">
                                <a:moveTo>
                                  <a:pt x="3190875" y="0"/>
                                </a:moveTo>
                                <a:lnTo>
                                  <a:pt x="0" y="0"/>
                                </a:lnTo>
                              </a:path>
                            </a:pathLst>
                          </a:custGeom>
                          <a:solidFill>
                            <a:srgbClr val="000000"/>
                          </a:solidFill>
                        </wps:spPr>
                        <wps:bodyPr wrap="square" lIns="0" tIns="0" rIns="0" bIns="0" rtlCol="0">
                          <a:prstTxWarp prst="textNoShape">
                            <a:avLst/>
                          </a:prstTxWarp>
                          <a:noAutofit/>
                        </wps:bodyPr>
                      </wps:wsp>
                      <wps:wsp>
                        <wps:cNvPr id="763" name="Graphic 763"/>
                        <wps:cNvSpPr/>
                        <wps:spPr>
                          <a:xfrm>
                            <a:off x="0" y="3175"/>
                            <a:ext cx="3190875" cy="1270"/>
                          </a:xfrm>
                          <a:custGeom>
                            <a:avLst/>
                            <a:gdLst/>
                            <a:ahLst/>
                            <a:cxnLst/>
                            <a:rect l="l" t="t" r="r" b="b"/>
                            <a:pathLst>
                              <a:path w="3190875" h="0">
                                <a:moveTo>
                                  <a:pt x="0" y="0"/>
                                </a:moveTo>
                                <a:lnTo>
                                  <a:pt x="319087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1.25pt;margin-top:14.560166pt;width:251.25pt;height:.5pt;mso-position-horizontal-relative:page;mso-position-vertical-relative:paragraph;z-index:15786496" id="docshapegroup546" coordorigin="6225,291" coordsize="5025,10">
                <v:shape style="position:absolute;left:6225;top:296;width:5025;height:2" id="docshape547" coordorigin="6225,296" coordsize="5025,0" path="m11250,296l6225,296e" filled="true" fillcolor="#000000" stroked="false">
                  <v:path arrowok="t"/>
                  <v:fill opacity="0f" type="solid"/>
                </v:shape>
                <v:line style="position:absolute" from="6225,296" to="11250,296" stroked="true" strokeweight=".5pt" strokecolor="#000000">
                  <v:stroke dashstyle="solid"/>
                </v:line>
                <w10:wrap type="none"/>
              </v:group>
            </w:pict>
          </mc:Fallback>
        </mc:AlternateContent>
      </w:r>
      <w:r>
        <w:rPr>
          <w:spacing w:val="-2"/>
        </w:rPr>
        <w:t>Date:</w:t>
      </w:r>
      <w:r>
        <w:rPr/>
        <w:tab/>
        <w:t>November 8, 2023</w:t>
        <w:tab/>
        <w:t>/s/</w:t>
      </w:r>
      <w:r>
        <w:rPr>
          <w:spacing w:val="-13"/>
        </w:rPr>
        <w:t> </w:t>
      </w:r>
      <w:r>
        <w:rPr/>
        <w:t>Peter</w:t>
      </w:r>
      <w:r>
        <w:rPr>
          <w:spacing w:val="-12"/>
        </w:rPr>
        <w:t> </w:t>
      </w:r>
      <w:r>
        <w:rPr/>
        <w:t>Crawford Peter Crawford</w:t>
      </w:r>
    </w:p>
    <w:p>
      <w:pPr>
        <w:pStyle w:val="BodyText"/>
        <w:spacing w:before="23"/>
        <w:ind w:left="5757"/>
      </w:pPr>
      <w:r>
        <w:rPr/>
        <w:t>Managing</w:t>
      </w:r>
      <w:r>
        <w:rPr>
          <w:spacing w:val="-6"/>
        </w:rPr>
        <w:t> </w:t>
      </w:r>
      <w:r>
        <w:rPr/>
        <w:t>Director</w:t>
      </w:r>
      <w:r>
        <w:rPr>
          <w:spacing w:val="-4"/>
        </w:rPr>
        <w:t> </w:t>
      </w:r>
      <w:r>
        <w:rPr/>
        <w:t>and</w:t>
      </w:r>
      <w:r>
        <w:rPr>
          <w:spacing w:val="-4"/>
        </w:rPr>
        <w:t> </w:t>
      </w:r>
      <w:r>
        <w:rPr/>
        <w:t>Chief</w:t>
      </w:r>
      <w:r>
        <w:rPr>
          <w:spacing w:val="-4"/>
        </w:rPr>
        <w:t> </w:t>
      </w:r>
      <w:r>
        <w:rPr/>
        <w:t>Financial</w:t>
      </w:r>
      <w:r>
        <w:rPr>
          <w:spacing w:val="-4"/>
        </w:rPr>
        <w:t> </w:t>
      </w:r>
      <w:r>
        <w:rPr>
          <w:spacing w:val="-2"/>
        </w:rPr>
        <w:t>Officer</w:t>
      </w:r>
    </w:p>
    <w:p>
      <w:pPr>
        <w:spacing w:after="0"/>
        <w:sectPr>
          <w:headerReference w:type="default" r:id="rId26"/>
          <w:footerReference w:type="default" r:id="rId27"/>
          <w:pgSz w:w="12240" w:h="15840"/>
          <w:pgMar w:header="467" w:footer="0" w:top="1060" w:bottom="280" w:left="520" w:right="520"/>
        </w:sectPr>
      </w:pPr>
    </w:p>
    <w:p>
      <w:pPr>
        <w:pStyle w:val="BodyText"/>
      </w:pPr>
    </w:p>
    <w:p>
      <w:pPr>
        <w:pStyle w:val="BodyText"/>
        <w:spacing w:before="30"/>
      </w:pPr>
    </w:p>
    <w:p>
      <w:pPr>
        <w:pStyle w:val="Heading1"/>
        <w:spacing w:line="249" w:lineRule="auto" w:before="0"/>
        <w:ind w:left="2808" w:right="2806"/>
        <w:jc w:val="center"/>
      </w:pPr>
      <w:bookmarkStart w:name="Exhibit 32.1" w:id="80"/>
      <w:bookmarkEnd w:id="80"/>
      <w:r>
        <w:rPr>
          <w:b w:val="0"/>
        </w:rPr>
      </w:r>
      <w:r>
        <w:rPr/>
        <w:t>CERTIFICATION</w:t>
      </w:r>
      <w:r>
        <w:rPr>
          <w:spacing w:val="-7"/>
        </w:rPr>
        <w:t> </w:t>
      </w:r>
      <w:r>
        <w:rPr/>
        <w:t>PURSUANT</w:t>
      </w:r>
      <w:r>
        <w:rPr>
          <w:spacing w:val="-7"/>
        </w:rPr>
        <w:t> </w:t>
      </w:r>
      <w:r>
        <w:rPr/>
        <w:t>TO</w:t>
      </w:r>
      <w:r>
        <w:rPr>
          <w:spacing w:val="-7"/>
        </w:rPr>
        <w:t> </w:t>
      </w:r>
      <w:r>
        <w:rPr/>
        <w:t>18</w:t>
      </w:r>
      <w:r>
        <w:rPr>
          <w:spacing w:val="-7"/>
        </w:rPr>
        <w:t> </w:t>
      </w:r>
      <w:r>
        <w:rPr/>
        <w:t>U.S.C.</w:t>
      </w:r>
      <w:r>
        <w:rPr>
          <w:spacing w:val="-7"/>
        </w:rPr>
        <w:t> </w:t>
      </w:r>
      <w:r>
        <w:rPr/>
        <w:t>SECTION</w:t>
      </w:r>
      <w:r>
        <w:rPr>
          <w:spacing w:val="-7"/>
        </w:rPr>
        <w:t> </w:t>
      </w:r>
      <w:r>
        <w:rPr/>
        <w:t>1350, AS ADOPTED PURSUANT TO</w:t>
      </w:r>
    </w:p>
    <w:p>
      <w:pPr>
        <w:spacing w:before="1"/>
        <w:ind w:left="89" w:right="89" w:firstLine="0"/>
        <w:jc w:val="center"/>
        <w:rPr>
          <w:b/>
          <w:sz w:val="20"/>
        </w:rPr>
      </w:pPr>
      <w:r>
        <w:rPr>
          <w:b/>
          <w:sz w:val="20"/>
        </w:rPr>
        <w:t>SECTION</w:t>
      </w:r>
      <w:r>
        <w:rPr>
          <w:b/>
          <w:spacing w:val="-5"/>
          <w:sz w:val="20"/>
        </w:rPr>
        <w:t> </w:t>
      </w:r>
      <w:r>
        <w:rPr>
          <w:b/>
          <w:sz w:val="20"/>
        </w:rPr>
        <w:t>906</w:t>
      </w:r>
      <w:r>
        <w:rPr>
          <w:b/>
          <w:spacing w:val="-3"/>
          <w:sz w:val="20"/>
        </w:rPr>
        <w:t> </w:t>
      </w:r>
      <w:r>
        <w:rPr>
          <w:b/>
          <w:sz w:val="20"/>
        </w:rPr>
        <w:t>OF</w:t>
      </w:r>
      <w:r>
        <w:rPr>
          <w:b/>
          <w:spacing w:val="-5"/>
          <w:sz w:val="20"/>
        </w:rPr>
        <w:t> </w:t>
      </w:r>
      <w:r>
        <w:rPr>
          <w:b/>
          <w:sz w:val="20"/>
        </w:rPr>
        <w:t>THE</w:t>
      </w:r>
      <w:r>
        <w:rPr>
          <w:b/>
          <w:spacing w:val="-4"/>
          <w:sz w:val="20"/>
        </w:rPr>
        <w:t> </w:t>
      </w:r>
      <w:r>
        <w:rPr>
          <w:b/>
          <w:sz w:val="20"/>
        </w:rPr>
        <w:t>SARBANES-OXLEY</w:t>
      </w:r>
      <w:r>
        <w:rPr>
          <w:b/>
          <w:spacing w:val="-5"/>
          <w:sz w:val="20"/>
        </w:rPr>
        <w:t> </w:t>
      </w:r>
      <w:r>
        <w:rPr>
          <w:b/>
          <w:sz w:val="20"/>
        </w:rPr>
        <w:t>ACT</w:t>
      </w:r>
      <w:r>
        <w:rPr>
          <w:b/>
          <w:spacing w:val="-4"/>
          <w:sz w:val="20"/>
        </w:rPr>
        <w:t> </w:t>
      </w:r>
      <w:r>
        <w:rPr>
          <w:b/>
          <w:sz w:val="20"/>
        </w:rPr>
        <w:t>OF</w:t>
      </w:r>
      <w:r>
        <w:rPr>
          <w:b/>
          <w:spacing w:val="-4"/>
          <w:sz w:val="20"/>
        </w:rPr>
        <w:t> 2002</w:t>
      </w:r>
    </w:p>
    <w:p>
      <w:pPr>
        <w:pStyle w:val="BodyText"/>
        <w:spacing w:before="23"/>
        <w:rPr>
          <w:b/>
        </w:rPr>
      </w:pPr>
    </w:p>
    <w:p>
      <w:pPr>
        <w:pStyle w:val="BodyText"/>
        <w:spacing w:line="249" w:lineRule="auto" w:before="1"/>
        <w:ind w:left="470" w:right="469"/>
        <w:jc w:val="both"/>
      </w:pPr>
      <w:r>
        <w:rPr/>
        <w:t>In connection with the Quarterly Report of The Charles Schwab Corporation (the Company) on Form 10-Q for the quarter ended September 30, 2023 (the Report), I, Walter W. Bettinger II, Co-Chairman and Chief Executive Officer of the Company, hereby certify, pursuant to 18 U.S.C. section 1350, as adopted pursuant to section 906 of the Sarbanes-Oxley Act of 2002, that to the best of my knowledge:</w:t>
      </w:r>
    </w:p>
    <w:p>
      <w:pPr>
        <w:pStyle w:val="BodyText"/>
        <w:spacing w:before="13"/>
      </w:pPr>
    </w:p>
    <w:p>
      <w:pPr>
        <w:pStyle w:val="ListParagraph"/>
        <w:numPr>
          <w:ilvl w:val="0"/>
          <w:numId w:val="13"/>
        </w:numPr>
        <w:tabs>
          <w:tab w:pos="1189" w:val="left" w:leader="none"/>
        </w:tabs>
        <w:spacing w:line="240" w:lineRule="auto" w:before="0" w:after="0"/>
        <w:ind w:left="1189" w:right="0" w:hanging="359"/>
        <w:jc w:val="left"/>
        <w:rPr>
          <w:sz w:val="20"/>
        </w:rPr>
      </w:pPr>
      <w:r>
        <w:rPr>
          <w:sz w:val="20"/>
        </w:rPr>
        <w:t>The</w:t>
      </w:r>
      <w:r>
        <w:rPr>
          <w:spacing w:val="-6"/>
          <w:sz w:val="20"/>
        </w:rPr>
        <w:t> </w:t>
      </w:r>
      <w:r>
        <w:rPr>
          <w:sz w:val="20"/>
        </w:rPr>
        <w:t>Report</w:t>
      </w:r>
      <w:r>
        <w:rPr>
          <w:spacing w:val="-3"/>
          <w:sz w:val="20"/>
        </w:rPr>
        <w:t> </w:t>
      </w:r>
      <w:r>
        <w:rPr>
          <w:sz w:val="20"/>
        </w:rPr>
        <w:t>fully</w:t>
      </w:r>
      <w:r>
        <w:rPr>
          <w:spacing w:val="-2"/>
          <w:sz w:val="20"/>
        </w:rPr>
        <w:t> </w:t>
      </w:r>
      <w:r>
        <w:rPr>
          <w:sz w:val="20"/>
        </w:rPr>
        <w:t>complies</w:t>
      </w:r>
      <w:r>
        <w:rPr>
          <w:spacing w:val="-3"/>
          <w:sz w:val="20"/>
        </w:rPr>
        <w:t> </w:t>
      </w:r>
      <w:r>
        <w:rPr>
          <w:sz w:val="20"/>
        </w:rPr>
        <w:t>with</w:t>
      </w:r>
      <w:r>
        <w:rPr>
          <w:spacing w:val="-2"/>
          <w:sz w:val="20"/>
        </w:rPr>
        <w:t> </w:t>
      </w:r>
      <w:r>
        <w:rPr>
          <w:sz w:val="20"/>
        </w:rPr>
        <w:t>the</w:t>
      </w:r>
      <w:r>
        <w:rPr>
          <w:spacing w:val="-3"/>
          <w:sz w:val="20"/>
        </w:rPr>
        <w:t> </w:t>
      </w:r>
      <w:r>
        <w:rPr>
          <w:sz w:val="20"/>
        </w:rPr>
        <w:t>requirements</w:t>
      </w:r>
      <w:r>
        <w:rPr>
          <w:spacing w:val="-3"/>
          <w:sz w:val="20"/>
        </w:rPr>
        <w:t> </w:t>
      </w:r>
      <w:r>
        <w:rPr>
          <w:sz w:val="20"/>
        </w:rPr>
        <w:t>of</w:t>
      </w:r>
      <w:r>
        <w:rPr>
          <w:spacing w:val="-2"/>
          <w:sz w:val="20"/>
        </w:rPr>
        <w:t> </w:t>
      </w:r>
      <w:r>
        <w:rPr>
          <w:sz w:val="20"/>
        </w:rPr>
        <w:t>section</w:t>
      </w:r>
      <w:r>
        <w:rPr>
          <w:spacing w:val="-2"/>
          <w:sz w:val="20"/>
        </w:rPr>
        <w:t> </w:t>
      </w:r>
      <w:r>
        <w:rPr>
          <w:sz w:val="20"/>
        </w:rPr>
        <w:t>13(a)</w:t>
      </w:r>
      <w:r>
        <w:rPr>
          <w:spacing w:val="-2"/>
          <w:sz w:val="20"/>
        </w:rPr>
        <w:t> </w:t>
      </w:r>
      <w:r>
        <w:rPr>
          <w:sz w:val="20"/>
        </w:rPr>
        <w:t>or</w:t>
      </w:r>
      <w:r>
        <w:rPr>
          <w:spacing w:val="-2"/>
          <w:sz w:val="20"/>
        </w:rPr>
        <w:t> </w:t>
      </w:r>
      <w:r>
        <w:rPr>
          <w:sz w:val="20"/>
        </w:rPr>
        <w:t>15(d)</w:t>
      </w:r>
      <w:r>
        <w:rPr>
          <w:spacing w:val="-2"/>
          <w:sz w:val="20"/>
        </w:rPr>
        <w:t> </w:t>
      </w:r>
      <w:r>
        <w:rPr>
          <w:sz w:val="20"/>
        </w:rPr>
        <w:t>of</w:t>
      </w:r>
      <w:r>
        <w:rPr>
          <w:spacing w:val="-2"/>
          <w:sz w:val="20"/>
        </w:rPr>
        <w:t> </w:t>
      </w:r>
      <w:r>
        <w:rPr>
          <w:sz w:val="20"/>
        </w:rPr>
        <w:t>the</w:t>
      </w:r>
      <w:r>
        <w:rPr>
          <w:spacing w:val="-3"/>
          <w:sz w:val="20"/>
        </w:rPr>
        <w:t> </w:t>
      </w:r>
      <w:r>
        <w:rPr>
          <w:sz w:val="20"/>
        </w:rPr>
        <w:t>Securities</w:t>
      </w:r>
      <w:r>
        <w:rPr>
          <w:spacing w:val="-3"/>
          <w:sz w:val="20"/>
        </w:rPr>
        <w:t> </w:t>
      </w:r>
      <w:r>
        <w:rPr>
          <w:sz w:val="20"/>
        </w:rPr>
        <w:t>Exchange</w:t>
      </w:r>
      <w:r>
        <w:rPr>
          <w:spacing w:val="-3"/>
          <w:sz w:val="20"/>
        </w:rPr>
        <w:t> </w:t>
      </w:r>
      <w:r>
        <w:rPr>
          <w:sz w:val="20"/>
        </w:rPr>
        <w:t>Act</w:t>
      </w:r>
      <w:r>
        <w:rPr>
          <w:spacing w:val="-3"/>
          <w:sz w:val="20"/>
        </w:rPr>
        <w:t> </w:t>
      </w:r>
      <w:r>
        <w:rPr>
          <w:sz w:val="20"/>
        </w:rPr>
        <w:t>of</w:t>
      </w:r>
      <w:r>
        <w:rPr>
          <w:spacing w:val="-2"/>
          <w:sz w:val="20"/>
        </w:rPr>
        <w:t> </w:t>
      </w:r>
      <w:r>
        <w:rPr>
          <w:sz w:val="20"/>
        </w:rPr>
        <w:t>1934;</w:t>
      </w:r>
      <w:r>
        <w:rPr>
          <w:spacing w:val="-3"/>
          <w:sz w:val="20"/>
        </w:rPr>
        <w:t> </w:t>
      </w:r>
      <w:r>
        <w:rPr>
          <w:spacing w:val="-5"/>
          <w:sz w:val="20"/>
        </w:rPr>
        <w:t>and</w:t>
      </w:r>
    </w:p>
    <w:p>
      <w:pPr>
        <w:pStyle w:val="BodyText"/>
        <w:spacing w:before="20"/>
      </w:pPr>
    </w:p>
    <w:p>
      <w:pPr>
        <w:pStyle w:val="ListParagraph"/>
        <w:numPr>
          <w:ilvl w:val="0"/>
          <w:numId w:val="13"/>
        </w:numPr>
        <w:tabs>
          <w:tab w:pos="1190" w:val="left" w:leader="none"/>
        </w:tabs>
        <w:spacing w:line="249" w:lineRule="auto" w:before="0" w:after="0"/>
        <w:ind w:left="1190" w:right="670" w:hanging="360"/>
        <w:jc w:val="left"/>
        <w:rPr>
          <w:sz w:val="20"/>
        </w:rPr>
      </w:pPr>
      <w:r>
        <w:rPr>
          <w:sz w:val="20"/>
        </w:rPr>
        <w:t>The</w:t>
      </w:r>
      <w:r>
        <w:rPr>
          <w:spacing w:val="-4"/>
          <w:sz w:val="20"/>
        </w:rPr>
        <w:t> </w:t>
      </w:r>
      <w:r>
        <w:rPr>
          <w:sz w:val="20"/>
        </w:rPr>
        <w:t>information</w:t>
      </w:r>
      <w:r>
        <w:rPr>
          <w:spacing w:val="-3"/>
          <w:sz w:val="20"/>
        </w:rPr>
        <w:t> </w:t>
      </w:r>
      <w:r>
        <w:rPr>
          <w:sz w:val="20"/>
        </w:rPr>
        <w:t>contained</w:t>
      </w:r>
      <w:r>
        <w:rPr>
          <w:spacing w:val="-3"/>
          <w:sz w:val="20"/>
        </w:rPr>
        <w:t> </w:t>
      </w:r>
      <w:r>
        <w:rPr>
          <w:sz w:val="20"/>
        </w:rPr>
        <w:t>in</w:t>
      </w:r>
      <w:r>
        <w:rPr>
          <w:spacing w:val="-3"/>
          <w:sz w:val="20"/>
        </w:rPr>
        <w:t> </w:t>
      </w:r>
      <w:r>
        <w:rPr>
          <w:sz w:val="20"/>
        </w:rPr>
        <w:t>the</w:t>
      </w:r>
      <w:r>
        <w:rPr>
          <w:spacing w:val="-4"/>
          <w:sz w:val="20"/>
        </w:rPr>
        <w:t> </w:t>
      </w:r>
      <w:r>
        <w:rPr>
          <w:sz w:val="20"/>
        </w:rPr>
        <w:t>Report</w:t>
      </w:r>
      <w:r>
        <w:rPr>
          <w:spacing w:val="-4"/>
          <w:sz w:val="20"/>
        </w:rPr>
        <w:t> </w:t>
      </w:r>
      <w:r>
        <w:rPr>
          <w:sz w:val="20"/>
        </w:rPr>
        <w:t>fairly</w:t>
      </w:r>
      <w:r>
        <w:rPr>
          <w:spacing w:val="-3"/>
          <w:sz w:val="20"/>
        </w:rPr>
        <w:t> </w:t>
      </w:r>
      <w:r>
        <w:rPr>
          <w:sz w:val="20"/>
        </w:rPr>
        <w:t>presents,</w:t>
      </w:r>
      <w:r>
        <w:rPr>
          <w:spacing w:val="-3"/>
          <w:sz w:val="20"/>
        </w:rPr>
        <w:t> </w:t>
      </w:r>
      <w:r>
        <w:rPr>
          <w:sz w:val="20"/>
        </w:rPr>
        <w:t>in</w:t>
      </w:r>
      <w:r>
        <w:rPr>
          <w:spacing w:val="-3"/>
          <w:sz w:val="20"/>
        </w:rPr>
        <w:t> </w:t>
      </w:r>
      <w:r>
        <w:rPr>
          <w:sz w:val="20"/>
        </w:rPr>
        <w:t>all</w:t>
      </w:r>
      <w:r>
        <w:rPr>
          <w:spacing w:val="-4"/>
          <w:sz w:val="20"/>
        </w:rPr>
        <w:t> </w:t>
      </w:r>
      <w:r>
        <w:rPr>
          <w:sz w:val="20"/>
        </w:rPr>
        <w:t>material</w:t>
      </w:r>
      <w:r>
        <w:rPr>
          <w:spacing w:val="-4"/>
          <w:sz w:val="20"/>
        </w:rPr>
        <w:t> </w:t>
      </w:r>
      <w:r>
        <w:rPr>
          <w:sz w:val="20"/>
        </w:rPr>
        <w:t>respects,</w:t>
      </w:r>
      <w:r>
        <w:rPr>
          <w:spacing w:val="-3"/>
          <w:sz w:val="20"/>
        </w:rPr>
        <w:t> </w:t>
      </w:r>
      <w:r>
        <w:rPr>
          <w:sz w:val="20"/>
        </w:rPr>
        <w:t>the</w:t>
      </w:r>
      <w:r>
        <w:rPr>
          <w:spacing w:val="-4"/>
          <w:sz w:val="20"/>
        </w:rPr>
        <w:t> </w:t>
      </w:r>
      <w:r>
        <w:rPr>
          <w:sz w:val="20"/>
        </w:rPr>
        <w:t>financial</w:t>
      </w:r>
      <w:r>
        <w:rPr>
          <w:spacing w:val="-4"/>
          <w:sz w:val="20"/>
        </w:rPr>
        <w:t> </w:t>
      </w:r>
      <w:r>
        <w:rPr>
          <w:sz w:val="20"/>
        </w:rPr>
        <w:t>condition</w:t>
      </w:r>
      <w:r>
        <w:rPr>
          <w:spacing w:val="-3"/>
          <w:sz w:val="20"/>
        </w:rPr>
        <w:t> </w:t>
      </w:r>
      <w:r>
        <w:rPr>
          <w:sz w:val="20"/>
        </w:rPr>
        <w:t>and</w:t>
      </w:r>
      <w:r>
        <w:rPr>
          <w:spacing w:val="-3"/>
          <w:sz w:val="20"/>
        </w:rPr>
        <w:t> </w:t>
      </w:r>
      <w:r>
        <w:rPr>
          <w:sz w:val="20"/>
        </w:rPr>
        <w:t>results</w:t>
      </w:r>
      <w:r>
        <w:rPr>
          <w:spacing w:val="-4"/>
          <w:sz w:val="20"/>
        </w:rPr>
        <w:t> </w:t>
      </w:r>
      <w:r>
        <w:rPr>
          <w:sz w:val="20"/>
        </w:rPr>
        <w:t>of operations of the Company for the periods presented therein.</w:t>
      </w:r>
    </w:p>
    <w:p>
      <w:pPr>
        <w:pStyle w:val="BodyText"/>
      </w:pPr>
    </w:p>
    <w:p>
      <w:pPr>
        <w:pStyle w:val="BodyText"/>
        <w:spacing w:before="74"/>
      </w:pPr>
    </w:p>
    <w:p>
      <w:pPr>
        <w:pStyle w:val="BodyText"/>
        <w:tabs>
          <w:tab w:pos="6387" w:val="left" w:leader="none"/>
          <w:tab w:pos="7122" w:val="left" w:leader="none"/>
        </w:tabs>
        <w:spacing w:line="297" w:lineRule="auto"/>
        <w:ind w:left="522" w:right="2581"/>
      </w:pPr>
      <w:r>
        <w:rPr/>
        <mc:AlternateContent>
          <mc:Choice Requires="wps">
            <w:drawing>
              <wp:anchor distT="0" distB="0" distL="0" distR="0" allowOverlap="1" layoutInCell="1" locked="0" behindDoc="0" simplePos="0" relativeHeight="15787008">
                <wp:simplePos x="0" y="0"/>
                <wp:positionH relativeFrom="page">
                  <wp:posOffset>628650</wp:posOffset>
                </wp:positionH>
                <wp:positionV relativeFrom="paragraph">
                  <wp:posOffset>175308</wp:posOffset>
                </wp:positionV>
                <wp:extent cx="3409950" cy="6350"/>
                <wp:effectExtent l="0" t="0" r="0" b="0"/>
                <wp:wrapNone/>
                <wp:docPr id="766" name="Group 766"/>
                <wp:cNvGraphicFramePr>
                  <a:graphicFrameLocks/>
                </wp:cNvGraphicFramePr>
                <a:graphic>
                  <a:graphicData uri="http://schemas.microsoft.com/office/word/2010/wordprocessingGroup">
                    <wpg:wgp>
                      <wpg:cNvPr id="766" name="Group 766"/>
                      <wpg:cNvGrpSpPr/>
                      <wpg:grpSpPr>
                        <a:xfrm>
                          <a:off x="0" y="0"/>
                          <a:ext cx="3409950" cy="6350"/>
                          <a:chExt cx="3409950" cy="6350"/>
                        </a:xfrm>
                      </wpg:grpSpPr>
                      <wps:wsp>
                        <wps:cNvPr id="767" name="Graphic 767"/>
                        <wps:cNvSpPr/>
                        <wps:spPr>
                          <a:xfrm>
                            <a:off x="0" y="3175"/>
                            <a:ext cx="3409950" cy="1270"/>
                          </a:xfrm>
                          <a:custGeom>
                            <a:avLst/>
                            <a:gdLst/>
                            <a:ahLst/>
                            <a:cxnLst/>
                            <a:rect l="l" t="t" r="r" b="b"/>
                            <a:pathLst>
                              <a:path w="3409950" h="0">
                                <a:moveTo>
                                  <a:pt x="3409950" y="0"/>
                                </a:moveTo>
                                <a:lnTo>
                                  <a:pt x="0" y="0"/>
                                </a:lnTo>
                              </a:path>
                            </a:pathLst>
                          </a:custGeom>
                          <a:solidFill>
                            <a:srgbClr val="000000"/>
                          </a:solidFill>
                        </wps:spPr>
                        <wps:bodyPr wrap="square" lIns="0" tIns="0" rIns="0" bIns="0" rtlCol="0">
                          <a:prstTxWarp prst="textNoShape">
                            <a:avLst/>
                          </a:prstTxWarp>
                          <a:noAutofit/>
                        </wps:bodyPr>
                      </wps:wsp>
                      <wps:wsp>
                        <wps:cNvPr id="768" name="Graphic 768"/>
                        <wps:cNvSpPr/>
                        <wps:spPr>
                          <a:xfrm>
                            <a:off x="0" y="3175"/>
                            <a:ext cx="3409950" cy="1270"/>
                          </a:xfrm>
                          <a:custGeom>
                            <a:avLst/>
                            <a:gdLst/>
                            <a:ahLst/>
                            <a:cxnLst/>
                            <a:rect l="l" t="t" r="r" b="b"/>
                            <a:pathLst>
                              <a:path w="3409950" h="0">
                                <a:moveTo>
                                  <a:pt x="0" y="0"/>
                                </a:moveTo>
                                <a:lnTo>
                                  <a:pt x="340995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13.803828pt;width:268.5pt;height:.5pt;mso-position-horizontal-relative:page;mso-position-vertical-relative:paragraph;z-index:15787008" id="docshapegroup550" coordorigin="990,276" coordsize="5370,10">
                <v:shape style="position:absolute;left:990;top:281;width:5370;height:2" id="docshape551" coordorigin="990,281" coordsize="5370,0" path="m6360,281l990,281e" filled="true" fillcolor="#000000" stroked="false">
                  <v:path arrowok="t"/>
                  <v:fill opacity="0f" type="solid"/>
                </v:shape>
                <v:line style="position:absolute" from="990,281" to="6360,281" stroked="true" strokeweight=".5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7520">
                <wp:simplePos x="0" y="0"/>
                <wp:positionH relativeFrom="page">
                  <wp:posOffset>4819650</wp:posOffset>
                </wp:positionH>
                <wp:positionV relativeFrom="paragraph">
                  <wp:posOffset>175308</wp:posOffset>
                </wp:positionV>
                <wp:extent cx="2324100" cy="6350"/>
                <wp:effectExtent l="0" t="0" r="0" b="0"/>
                <wp:wrapNone/>
                <wp:docPr id="769" name="Group 769"/>
                <wp:cNvGraphicFramePr>
                  <a:graphicFrameLocks/>
                </wp:cNvGraphicFramePr>
                <a:graphic>
                  <a:graphicData uri="http://schemas.microsoft.com/office/word/2010/wordprocessingGroup">
                    <wpg:wgp>
                      <wpg:cNvPr id="769" name="Group 769"/>
                      <wpg:cNvGrpSpPr/>
                      <wpg:grpSpPr>
                        <a:xfrm>
                          <a:off x="0" y="0"/>
                          <a:ext cx="2324100" cy="6350"/>
                          <a:chExt cx="2324100" cy="6350"/>
                        </a:xfrm>
                      </wpg:grpSpPr>
                      <wps:wsp>
                        <wps:cNvPr id="770" name="Graphic 770"/>
                        <wps:cNvSpPr/>
                        <wps:spPr>
                          <a:xfrm>
                            <a:off x="0" y="3175"/>
                            <a:ext cx="2324100" cy="1270"/>
                          </a:xfrm>
                          <a:custGeom>
                            <a:avLst/>
                            <a:gdLst/>
                            <a:ahLst/>
                            <a:cxnLst/>
                            <a:rect l="l" t="t" r="r" b="b"/>
                            <a:pathLst>
                              <a:path w="2324100" h="0">
                                <a:moveTo>
                                  <a:pt x="2324100" y="0"/>
                                </a:moveTo>
                                <a:lnTo>
                                  <a:pt x="0" y="0"/>
                                </a:lnTo>
                              </a:path>
                            </a:pathLst>
                          </a:custGeom>
                          <a:solidFill>
                            <a:srgbClr val="000000"/>
                          </a:solidFill>
                        </wps:spPr>
                        <wps:bodyPr wrap="square" lIns="0" tIns="0" rIns="0" bIns="0" rtlCol="0">
                          <a:prstTxWarp prst="textNoShape">
                            <a:avLst/>
                          </a:prstTxWarp>
                          <a:noAutofit/>
                        </wps:bodyPr>
                      </wps:wsp>
                      <wps:wsp>
                        <wps:cNvPr id="771" name="Graphic 771"/>
                        <wps:cNvSpPr/>
                        <wps:spPr>
                          <a:xfrm>
                            <a:off x="0" y="3175"/>
                            <a:ext cx="2324100" cy="1270"/>
                          </a:xfrm>
                          <a:custGeom>
                            <a:avLst/>
                            <a:gdLst/>
                            <a:ahLst/>
                            <a:cxnLst/>
                            <a:rect l="l" t="t" r="r" b="b"/>
                            <a:pathLst>
                              <a:path w="2324100" h="0">
                                <a:moveTo>
                                  <a:pt x="0" y="0"/>
                                </a:moveTo>
                                <a:lnTo>
                                  <a:pt x="232410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9.5pt;margin-top:13.803828pt;width:183pt;height:.5pt;mso-position-horizontal-relative:page;mso-position-vertical-relative:paragraph;z-index:15787520" id="docshapegroup552" coordorigin="7590,276" coordsize="3660,10">
                <v:shape style="position:absolute;left:7590;top:281;width:3660;height:2" id="docshape553" coordorigin="7590,281" coordsize="3660,0" path="m11250,281l7590,281e" filled="true" fillcolor="#000000" stroked="false">
                  <v:path arrowok="t"/>
                  <v:fill opacity="0f" type="solid"/>
                </v:shape>
                <v:line style="position:absolute" from="7590,281" to="11250,281" stroked="true" strokeweight=".5pt" strokecolor="#000000">
                  <v:stroke dashstyle="solid"/>
                </v:line>
                <w10:wrap type="none"/>
              </v:group>
            </w:pict>
          </mc:Fallback>
        </mc:AlternateContent>
      </w:r>
      <w:r>
        <w:rPr/>
        <w:t>/s/ Walter W. Bettinger II</w:t>
        <w:tab/>
      </w:r>
      <w:r>
        <w:rPr>
          <w:spacing w:val="-2"/>
        </w:rPr>
        <w:t>Date:</w:t>
      </w:r>
      <w:r>
        <w:rPr/>
        <w:tab/>
        <w:t>November</w:t>
      </w:r>
      <w:r>
        <w:rPr>
          <w:spacing w:val="-13"/>
        </w:rPr>
        <w:t> </w:t>
      </w:r>
      <w:r>
        <w:rPr/>
        <w:t>8,</w:t>
      </w:r>
      <w:r>
        <w:rPr>
          <w:spacing w:val="-12"/>
        </w:rPr>
        <w:t> </w:t>
      </w:r>
      <w:r>
        <w:rPr/>
        <w:t>2023 Walter W. Bettinger II</w:t>
      </w:r>
    </w:p>
    <w:p>
      <w:pPr>
        <w:pStyle w:val="BodyText"/>
        <w:spacing w:line="230" w:lineRule="exact"/>
        <w:ind w:left="522"/>
      </w:pPr>
      <w:r>
        <w:rPr/>
        <w:t>Co-Chairman</w:t>
      </w:r>
      <w:r>
        <w:rPr>
          <w:spacing w:val="-4"/>
        </w:rPr>
        <w:t> </w:t>
      </w:r>
      <w:r>
        <w:rPr/>
        <w:t>and</w:t>
      </w:r>
      <w:r>
        <w:rPr>
          <w:spacing w:val="-4"/>
        </w:rPr>
        <w:t> </w:t>
      </w:r>
      <w:r>
        <w:rPr/>
        <w:t>Chief</w:t>
      </w:r>
      <w:r>
        <w:rPr>
          <w:spacing w:val="-4"/>
        </w:rPr>
        <w:t> </w:t>
      </w:r>
      <w:r>
        <w:rPr/>
        <w:t>Executive</w:t>
      </w:r>
      <w:r>
        <w:rPr>
          <w:spacing w:val="-4"/>
        </w:rPr>
        <w:t> </w:t>
      </w:r>
      <w:r>
        <w:rPr>
          <w:spacing w:val="-2"/>
        </w:rPr>
        <w:t>Officer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3"/>
      </w:pPr>
    </w:p>
    <w:p>
      <w:pPr>
        <w:pStyle w:val="BodyText"/>
        <w:spacing w:line="249" w:lineRule="auto"/>
        <w:ind w:left="470" w:right="566"/>
      </w:pPr>
      <w:r>
        <w:rPr/>
        <w:t>A</w:t>
      </w:r>
      <w:r>
        <w:rPr>
          <w:spacing w:val="-3"/>
        </w:rPr>
        <w:t> </w:t>
      </w:r>
      <w:r>
        <w:rPr/>
        <w:t>signed</w:t>
      </w:r>
      <w:r>
        <w:rPr>
          <w:spacing w:val="-3"/>
        </w:rPr>
        <w:t> </w:t>
      </w:r>
      <w:r>
        <w:rPr/>
        <w:t>original</w:t>
      </w:r>
      <w:r>
        <w:rPr>
          <w:spacing w:val="-3"/>
        </w:rPr>
        <w:t> </w:t>
      </w:r>
      <w:r>
        <w:rPr/>
        <w:t>of</w:t>
      </w:r>
      <w:r>
        <w:rPr>
          <w:spacing w:val="-3"/>
        </w:rPr>
        <w:t> </w:t>
      </w:r>
      <w:r>
        <w:rPr/>
        <w:t>this</w:t>
      </w:r>
      <w:r>
        <w:rPr>
          <w:spacing w:val="-3"/>
        </w:rPr>
        <w:t> </w:t>
      </w:r>
      <w:r>
        <w:rPr/>
        <w:t>written</w:t>
      </w:r>
      <w:r>
        <w:rPr>
          <w:spacing w:val="-3"/>
        </w:rPr>
        <w:t> </w:t>
      </w:r>
      <w:r>
        <w:rPr/>
        <w:t>statement</w:t>
      </w:r>
      <w:r>
        <w:rPr>
          <w:spacing w:val="-3"/>
        </w:rPr>
        <w:t> </w:t>
      </w:r>
      <w:r>
        <w:rPr/>
        <w:t>required</w:t>
      </w:r>
      <w:r>
        <w:rPr>
          <w:spacing w:val="-3"/>
        </w:rPr>
        <w:t> </w:t>
      </w:r>
      <w:r>
        <w:rPr/>
        <w:t>by</w:t>
      </w:r>
      <w:r>
        <w:rPr>
          <w:spacing w:val="-3"/>
        </w:rPr>
        <w:t> </w:t>
      </w:r>
      <w:r>
        <w:rPr/>
        <w:t>Section</w:t>
      </w:r>
      <w:r>
        <w:rPr>
          <w:spacing w:val="-3"/>
        </w:rPr>
        <w:t> </w:t>
      </w:r>
      <w:r>
        <w:rPr/>
        <w:t>906</w:t>
      </w:r>
      <w:r>
        <w:rPr>
          <w:spacing w:val="-3"/>
        </w:rPr>
        <w:t> </w:t>
      </w:r>
      <w:r>
        <w:rPr/>
        <w:t>has</w:t>
      </w:r>
      <w:r>
        <w:rPr>
          <w:spacing w:val="-3"/>
        </w:rPr>
        <w:t> </w:t>
      </w:r>
      <w:r>
        <w:rPr/>
        <w:t>been</w:t>
      </w:r>
      <w:r>
        <w:rPr>
          <w:spacing w:val="-3"/>
        </w:rPr>
        <w:t> </w:t>
      </w:r>
      <w:r>
        <w:rPr/>
        <w:t>provided</w:t>
      </w:r>
      <w:r>
        <w:rPr>
          <w:spacing w:val="-3"/>
        </w:rPr>
        <w:t> </w:t>
      </w:r>
      <w:r>
        <w:rPr/>
        <w:t>to</w:t>
      </w:r>
      <w:r>
        <w:rPr>
          <w:spacing w:val="-3"/>
        </w:rPr>
        <w:t> </w:t>
      </w:r>
      <w:r>
        <w:rPr/>
        <w:t>The</w:t>
      </w:r>
      <w:r>
        <w:rPr>
          <w:spacing w:val="-3"/>
        </w:rPr>
        <w:t> </w:t>
      </w:r>
      <w:r>
        <w:rPr/>
        <w:t>Charles</w:t>
      </w:r>
      <w:r>
        <w:rPr>
          <w:spacing w:val="-3"/>
        </w:rPr>
        <w:t> </w:t>
      </w:r>
      <w:r>
        <w:rPr/>
        <w:t>Schwab</w:t>
      </w:r>
      <w:r>
        <w:rPr>
          <w:spacing w:val="-3"/>
        </w:rPr>
        <w:t> </w:t>
      </w:r>
      <w:r>
        <w:rPr/>
        <w:t>Corporation</w:t>
      </w:r>
      <w:r>
        <w:rPr>
          <w:spacing w:val="-3"/>
        </w:rPr>
        <w:t> </w:t>
      </w:r>
      <w:r>
        <w:rPr/>
        <w:t>and will be retained by The Charles Schwab Corporation and furnished to the Securities and Exchange Commission or its staff upon request.</w:t>
      </w:r>
    </w:p>
    <w:p>
      <w:pPr>
        <w:spacing w:after="0" w:line="249" w:lineRule="auto"/>
        <w:sectPr>
          <w:headerReference w:type="default" r:id="rId28"/>
          <w:footerReference w:type="default" r:id="rId29"/>
          <w:pgSz w:w="12240" w:h="15840"/>
          <w:pgMar w:header="470" w:footer="0" w:top="1020" w:bottom="280" w:left="520" w:right="520"/>
          <w:pgNumType w:start="1"/>
        </w:sectPr>
      </w:pPr>
    </w:p>
    <w:p>
      <w:pPr>
        <w:pStyle w:val="BodyText"/>
      </w:pPr>
    </w:p>
    <w:p>
      <w:pPr>
        <w:pStyle w:val="BodyText"/>
        <w:spacing w:before="30"/>
      </w:pPr>
    </w:p>
    <w:p>
      <w:pPr>
        <w:pStyle w:val="Heading1"/>
        <w:spacing w:line="249" w:lineRule="auto" w:before="0"/>
        <w:ind w:left="2808" w:right="2806"/>
        <w:jc w:val="center"/>
      </w:pPr>
      <w:bookmarkStart w:name="Exhibit 32.2" w:id="81"/>
      <w:bookmarkEnd w:id="81"/>
      <w:r>
        <w:rPr>
          <w:b w:val="0"/>
        </w:rPr>
      </w:r>
      <w:r>
        <w:rPr/>
        <w:t>CERTIFICATION</w:t>
      </w:r>
      <w:r>
        <w:rPr>
          <w:spacing w:val="-7"/>
        </w:rPr>
        <w:t> </w:t>
      </w:r>
      <w:r>
        <w:rPr/>
        <w:t>PURSUANT</w:t>
      </w:r>
      <w:r>
        <w:rPr>
          <w:spacing w:val="-7"/>
        </w:rPr>
        <w:t> </w:t>
      </w:r>
      <w:r>
        <w:rPr/>
        <w:t>TO</w:t>
      </w:r>
      <w:r>
        <w:rPr>
          <w:spacing w:val="-7"/>
        </w:rPr>
        <w:t> </w:t>
      </w:r>
      <w:r>
        <w:rPr/>
        <w:t>18</w:t>
      </w:r>
      <w:r>
        <w:rPr>
          <w:spacing w:val="-7"/>
        </w:rPr>
        <w:t> </w:t>
      </w:r>
      <w:r>
        <w:rPr/>
        <w:t>U.S.C.</w:t>
      </w:r>
      <w:r>
        <w:rPr>
          <w:spacing w:val="-7"/>
        </w:rPr>
        <w:t> </w:t>
      </w:r>
      <w:r>
        <w:rPr/>
        <w:t>SECTION</w:t>
      </w:r>
      <w:r>
        <w:rPr>
          <w:spacing w:val="-7"/>
        </w:rPr>
        <w:t> </w:t>
      </w:r>
      <w:r>
        <w:rPr/>
        <w:t>1350, AS ADOPTED PURSUANT TO</w:t>
      </w:r>
    </w:p>
    <w:p>
      <w:pPr>
        <w:spacing w:before="1"/>
        <w:ind w:left="89" w:right="89" w:firstLine="0"/>
        <w:jc w:val="center"/>
        <w:rPr>
          <w:b/>
          <w:sz w:val="20"/>
        </w:rPr>
      </w:pPr>
      <w:r>
        <w:rPr>
          <w:b/>
          <w:sz w:val="20"/>
        </w:rPr>
        <w:t>SECTION</w:t>
      </w:r>
      <w:r>
        <w:rPr>
          <w:b/>
          <w:spacing w:val="-5"/>
          <w:sz w:val="20"/>
        </w:rPr>
        <w:t> </w:t>
      </w:r>
      <w:r>
        <w:rPr>
          <w:b/>
          <w:sz w:val="20"/>
        </w:rPr>
        <w:t>906</w:t>
      </w:r>
      <w:r>
        <w:rPr>
          <w:b/>
          <w:spacing w:val="-3"/>
          <w:sz w:val="20"/>
        </w:rPr>
        <w:t> </w:t>
      </w:r>
      <w:r>
        <w:rPr>
          <w:b/>
          <w:sz w:val="20"/>
        </w:rPr>
        <w:t>OF</w:t>
      </w:r>
      <w:r>
        <w:rPr>
          <w:b/>
          <w:spacing w:val="-5"/>
          <w:sz w:val="20"/>
        </w:rPr>
        <w:t> </w:t>
      </w:r>
      <w:r>
        <w:rPr>
          <w:b/>
          <w:sz w:val="20"/>
        </w:rPr>
        <w:t>THE</w:t>
      </w:r>
      <w:r>
        <w:rPr>
          <w:b/>
          <w:spacing w:val="-4"/>
          <w:sz w:val="20"/>
        </w:rPr>
        <w:t> </w:t>
      </w:r>
      <w:r>
        <w:rPr>
          <w:b/>
          <w:sz w:val="20"/>
        </w:rPr>
        <w:t>SARBANES-OXLEY</w:t>
      </w:r>
      <w:r>
        <w:rPr>
          <w:b/>
          <w:spacing w:val="-5"/>
          <w:sz w:val="20"/>
        </w:rPr>
        <w:t> </w:t>
      </w:r>
      <w:r>
        <w:rPr>
          <w:b/>
          <w:sz w:val="20"/>
        </w:rPr>
        <w:t>ACT</w:t>
      </w:r>
      <w:r>
        <w:rPr>
          <w:b/>
          <w:spacing w:val="-4"/>
          <w:sz w:val="20"/>
        </w:rPr>
        <w:t> </w:t>
      </w:r>
      <w:r>
        <w:rPr>
          <w:b/>
          <w:sz w:val="20"/>
        </w:rPr>
        <w:t>OF</w:t>
      </w:r>
      <w:r>
        <w:rPr>
          <w:b/>
          <w:spacing w:val="-4"/>
          <w:sz w:val="20"/>
        </w:rPr>
        <w:t> 2002</w:t>
      </w:r>
    </w:p>
    <w:p>
      <w:pPr>
        <w:pStyle w:val="BodyText"/>
        <w:spacing w:before="23"/>
        <w:rPr>
          <w:b/>
        </w:rPr>
      </w:pPr>
    </w:p>
    <w:p>
      <w:pPr>
        <w:pStyle w:val="BodyText"/>
        <w:spacing w:line="249" w:lineRule="auto" w:before="1"/>
        <w:ind w:left="470" w:right="469"/>
        <w:jc w:val="both"/>
      </w:pPr>
      <w:r>
        <w:rPr/>
        <w:t>In connection with the Quarterly Report of The Charles Schwab Corporation (the Company) on Form 10-Q for the quarter ended September 30, 2023 (the Report), I, Peter Crawford, Managing Director and Chief Financial Officer of the Company, hereby certify, pursuant to 18 U.S.C. section 1350, as adopted pursuant to section 906 of the Sarbanes-Oxley Act of 2002, that to the best of my knowledge:</w:t>
      </w:r>
    </w:p>
    <w:p>
      <w:pPr>
        <w:pStyle w:val="BodyText"/>
        <w:spacing w:before="13"/>
      </w:pPr>
    </w:p>
    <w:p>
      <w:pPr>
        <w:pStyle w:val="ListParagraph"/>
        <w:numPr>
          <w:ilvl w:val="0"/>
          <w:numId w:val="14"/>
        </w:numPr>
        <w:tabs>
          <w:tab w:pos="1189" w:val="left" w:leader="none"/>
        </w:tabs>
        <w:spacing w:line="240" w:lineRule="auto" w:before="0" w:after="0"/>
        <w:ind w:left="1189" w:right="0" w:hanging="359"/>
        <w:jc w:val="left"/>
        <w:rPr>
          <w:sz w:val="20"/>
        </w:rPr>
      </w:pPr>
      <w:r>
        <w:rPr>
          <w:sz w:val="20"/>
        </w:rPr>
        <w:t>The</w:t>
      </w:r>
      <w:r>
        <w:rPr>
          <w:spacing w:val="-6"/>
          <w:sz w:val="20"/>
        </w:rPr>
        <w:t> </w:t>
      </w:r>
      <w:r>
        <w:rPr>
          <w:sz w:val="20"/>
        </w:rPr>
        <w:t>Report</w:t>
      </w:r>
      <w:r>
        <w:rPr>
          <w:spacing w:val="-3"/>
          <w:sz w:val="20"/>
        </w:rPr>
        <w:t> </w:t>
      </w:r>
      <w:r>
        <w:rPr>
          <w:sz w:val="20"/>
        </w:rPr>
        <w:t>fully</w:t>
      </w:r>
      <w:r>
        <w:rPr>
          <w:spacing w:val="-2"/>
          <w:sz w:val="20"/>
        </w:rPr>
        <w:t> </w:t>
      </w:r>
      <w:r>
        <w:rPr>
          <w:sz w:val="20"/>
        </w:rPr>
        <w:t>complies</w:t>
      </w:r>
      <w:r>
        <w:rPr>
          <w:spacing w:val="-3"/>
          <w:sz w:val="20"/>
        </w:rPr>
        <w:t> </w:t>
      </w:r>
      <w:r>
        <w:rPr>
          <w:sz w:val="20"/>
        </w:rPr>
        <w:t>with</w:t>
      </w:r>
      <w:r>
        <w:rPr>
          <w:spacing w:val="-2"/>
          <w:sz w:val="20"/>
        </w:rPr>
        <w:t> </w:t>
      </w:r>
      <w:r>
        <w:rPr>
          <w:sz w:val="20"/>
        </w:rPr>
        <w:t>the</w:t>
      </w:r>
      <w:r>
        <w:rPr>
          <w:spacing w:val="-3"/>
          <w:sz w:val="20"/>
        </w:rPr>
        <w:t> </w:t>
      </w:r>
      <w:r>
        <w:rPr>
          <w:sz w:val="20"/>
        </w:rPr>
        <w:t>requirements</w:t>
      </w:r>
      <w:r>
        <w:rPr>
          <w:spacing w:val="-3"/>
          <w:sz w:val="20"/>
        </w:rPr>
        <w:t> </w:t>
      </w:r>
      <w:r>
        <w:rPr>
          <w:sz w:val="20"/>
        </w:rPr>
        <w:t>of</w:t>
      </w:r>
      <w:r>
        <w:rPr>
          <w:spacing w:val="-2"/>
          <w:sz w:val="20"/>
        </w:rPr>
        <w:t> </w:t>
      </w:r>
      <w:r>
        <w:rPr>
          <w:sz w:val="20"/>
        </w:rPr>
        <w:t>section</w:t>
      </w:r>
      <w:r>
        <w:rPr>
          <w:spacing w:val="-2"/>
          <w:sz w:val="20"/>
        </w:rPr>
        <w:t> </w:t>
      </w:r>
      <w:r>
        <w:rPr>
          <w:sz w:val="20"/>
        </w:rPr>
        <w:t>13(a)</w:t>
      </w:r>
      <w:r>
        <w:rPr>
          <w:spacing w:val="-2"/>
          <w:sz w:val="20"/>
        </w:rPr>
        <w:t> </w:t>
      </w:r>
      <w:r>
        <w:rPr>
          <w:sz w:val="20"/>
        </w:rPr>
        <w:t>or</w:t>
      </w:r>
      <w:r>
        <w:rPr>
          <w:spacing w:val="-2"/>
          <w:sz w:val="20"/>
        </w:rPr>
        <w:t> </w:t>
      </w:r>
      <w:r>
        <w:rPr>
          <w:sz w:val="20"/>
        </w:rPr>
        <w:t>15(d)</w:t>
      </w:r>
      <w:r>
        <w:rPr>
          <w:spacing w:val="-2"/>
          <w:sz w:val="20"/>
        </w:rPr>
        <w:t> </w:t>
      </w:r>
      <w:r>
        <w:rPr>
          <w:sz w:val="20"/>
        </w:rPr>
        <w:t>of</w:t>
      </w:r>
      <w:r>
        <w:rPr>
          <w:spacing w:val="-2"/>
          <w:sz w:val="20"/>
        </w:rPr>
        <w:t> </w:t>
      </w:r>
      <w:r>
        <w:rPr>
          <w:sz w:val="20"/>
        </w:rPr>
        <w:t>the</w:t>
      </w:r>
      <w:r>
        <w:rPr>
          <w:spacing w:val="-3"/>
          <w:sz w:val="20"/>
        </w:rPr>
        <w:t> </w:t>
      </w:r>
      <w:r>
        <w:rPr>
          <w:sz w:val="20"/>
        </w:rPr>
        <w:t>Securities</w:t>
      </w:r>
      <w:r>
        <w:rPr>
          <w:spacing w:val="-3"/>
          <w:sz w:val="20"/>
        </w:rPr>
        <w:t> </w:t>
      </w:r>
      <w:r>
        <w:rPr>
          <w:sz w:val="20"/>
        </w:rPr>
        <w:t>Exchange</w:t>
      </w:r>
      <w:r>
        <w:rPr>
          <w:spacing w:val="-3"/>
          <w:sz w:val="20"/>
        </w:rPr>
        <w:t> </w:t>
      </w:r>
      <w:r>
        <w:rPr>
          <w:sz w:val="20"/>
        </w:rPr>
        <w:t>Act</w:t>
      </w:r>
      <w:r>
        <w:rPr>
          <w:spacing w:val="-3"/>
          <w:sz w:val="20"/>
        </w:rPr>
        <w:t> </w:t>
      </w:r>
      <w:r>
        <w:rPr>
          <w:sz w:val="20"/>
        </w:rPr>
        <w:t>of</w:t>
      </w:r>
      <w:r>
        <w:rPr>
          <w:spacing w:val="-2"/>
          <w:sz w:val="20"/>
        </w:rPr>
        <w:t> </w:t>
      </w:r>
      <w:r>
        <w:rPr>
          <w:sz w:val="20"/>
        </w:rPr>
        <w:t>1934;</w:t>
      </w:r>
      <w:r>
        <w:rPr>
          <w:spacing w:val="-3"/>
          <w:sz w:val="20"/>
        </w:rPr>
        <w:t> </w:t>
      </w:r>
      <w:r>
        <w:rPr>
          <w:spacing w:val="-5"/>
          <w:sz w:val="20"/>
        </w:rPr>
        <w:t>and</w:t>
      </w:r>
    </w:p>
    <w:p>
      <w:pPr>
        <w:pStyle w:val="BodyText"/>
        <w:spacing w:before="20"/>
      </w:pPr>
    </w:p>
    <w:p>
      <w:pPr>
        <w:pStyle w:val="ListParagraph"/>
        <w:numPr>
          <w:ilvl w:val="0"/>
          <w:numId w:val="14"/>
        </w:numPr>
        <w:tabs>
          <w:tab w:pos="1190" w:val="left" w:leader="none"/>
        </w:tabs>
        <w:spacing w:line="249" w:lineRule="auto" w:before="0" w:after="0"/>
        <w:ind w:left="1190" w:right="670" w:hanging="360"/>
        <w:jc w:val="left"/>
        <w:rPr>
          <w:sz w:val="20"/>
        </w:rPr>
      </w:pPr>
      <w:r>
        <w:rPr>
          <w:sz w:val="20"/>
        </w:rPr>
        <w:t>The</w:t>
      </w:r>
      <w:r>
        <w:rPr>
          <w:spacing w:val="-4"/>
          <w:sz w:val="20"/>
        </w:rPr>
        <w:t> </w:t>
      </w:r>
      <w:r>
        <w:rPr>
          <w:sz w:val="20"/>
        </w:rPr>
        <w:t>information</w:t>
      </w:r>
      <w:r>
        <w:rPr>
          <w:spacing w:val="-3"/>
          <w:sz w:val="20"/>
        </w:rPr>
        <w:t> </w:t>
      </w:r>
      <w:r>
        <w:rPr>
          <w:sz w:val="20"/>
        </w:rPr>
        <w:t>contained</w:t>
      </w:r>
      <w:r>
        <w:rPr>
          <w:spacing w:val="-3"/>
          <w:sz w:val="20"/>
        </w:rPr>
        <w:t> </w:t>
      </w:r>
      <w:r>
        <w:rPr>
          <w:sz w:val="20"/>
        </w:rPr>
        <w:t>in</w:t>
      </w:r>
      <w:r>
        <w:rPr>
          <w:spacing w:val="-3"/>
          <w:sz w:val="20"/>
        </w:rPr>
        <w:t> </w:t>
      </w:r>
      <w:r>
        <w:rPr>
          <w:sz w:val="20"/>
        </w:rPr>
        <w:t>the</w:t>
      </w:r>
      <w:r>
        <w:rPr>
          <w:spacing w:val="-4"/>
          <w:sz w:val="20"/>
        </w:rPr>
        <w:t> </w:t>
      </w:r>
      <w:r>
        <w:rPr>
          <w:sz w:val="20"/>
        </w:rPr>
        <w:t>Report</w:t>
      </w:r>
      <w:r>
        <w:rPr>
          <w:spacing w:val="-4"/>
          <w:sz w:val="20"/>
        </w:rPr>
        <w:t> </w:t>
      </w:r>
      <w:r>
        <w:rPr>
          <w:sz w:val="20"/>
        </w:rPr>
        <w:t>fairly</w:t>
      </w:r>
      <w:r>
        <w:rPr>
          <w:spacing w:val="-3"/>
          <w:sz w:val="20"/>
        </w:rPr>
        <w:t> </w:t>
      </w:r>
      <w:r>
        <w:rPr>
          <w:sz w:val="20"/>
        </w:rPr>
        <w:t>presents,</w:t>
      </w:r>
      <w:r>
        <w:rPr>
          <w:spacing w:val="-3"/>
          <w:sz w:val="20"/>
        </w:rPr>
        <w:t> </w:t>
      </w:r>
      <w:r>
        <w:rPr>
          <w:sz w:val="20"/>
        </w:rPr>
        <w:t>in</w:t>
      </w:r>
      <w:r>
        <w:rPr>
          <w:spacing w:val="-3"/>
          <w:sz w:val="20"/>
        </w:rPr>
        <w:t> </w:t>
      </w:r>
      <w:r>
        <w:rPr>
          <w:sz w:val="20"/>
        </w:rPr>
        <w:t>all</w:t>
      </w:r>
      <w:r>
        <w:rPr>
          <w:spacing w:val="-4"/>
          <w:sz w:val="20"/>
        </w:rPr>
        <w:t> </w:t>
      </w:r>
      <w:r>
        <w:rPr>
          <w:sz w:val="20"/>
        </w:rPr>
        <w:t>material</w:t>
      </w:r>
      <w:r>
        <w:rPr>
          <w:spacing w:val="-4"/>
          <w:sz w:val="20"/>
        </w:rPr>
        <w:t> </w:t>
      </w:r>
      <w:r>
        <w:rPr>
          <w:sz w:val="20"/>
        </w:rPr>
        <w:t>respects,</w:t>
      </w:r>
      <w:r>
        <w:rPr>
          <w:spacing w:val="-3"/>
          <w:sz w:val="20"/>
        </w:rPr>
        <w:t> </w:t>
      </w:r>
      <w:r>
        <w:rPr>
          <w:sz w:val="20"/>
        </w:rPr>
        <w:t>the</w:t>
      </w:r>
      <w:r>
        <w:rPr>
          <w:spacing w:val="-4"/>
          <w:sz w:val="20"/>
        </w:rPr>
        <w:t> </w:t>
      </w:r>
      <w:r>
        <w:rPr>
          <w:sz w:val="20"/>
        </w:rPr>
        <w:t>financial</w:t>
      </w:r>
      <w:r>
        <w:rPr>
          <w:spacing w:val="-4"/>
          <w:sz w:val="20"/>
        </w:rPr>
        <w:t> </w:t>
      </w:r>
      <w:r>
        <w:rPr>
          <w:sz w:val="20"/>
        </w:rPr>
        <w:t>condition</w:t>
      </w:r>
      <w:r>
        <w:rPr>
          <w:spacing w:val="-3"/>
          <w:sz w:val="20"/>
        </w:rPr>
        <w:t> </w:t>
      </w:r>
      <w:r>
        <w:rPr>
          <w:sz w:val="20"/>
        </w:rPr>
        <w:t>and</w:t>
      </w:r>
      <w:r>
        <w:rPr>
          <w:spacing w:val="-3"/>
          <w:sz w:val="20"/>
        </w:rPr>
        <w:t> </w:t>
      </w:r>
      <w:r>
        <w:rPr>
          <w:sz w:val="20"/>
        </w:rPr>
        <w:t>results</w:t>
      </w:r>
      <w:r>
        <w:rPr>
          <w:spacing w:val="-4"/>
          <w:sz w:val="20"/>
        </w:rPr>
        <w:t> </w:t>
      </w:r>
      <w:r>
        <w:rPr>
          <w:sz w:val="20"/>
        </w:rPr>
        <w:t>of operations of the Company for the periods presented therein.</w:t>
      </w:r>
    </w:p>
    <w:p>
      <w:pPr>
        <w:pStyle w:val="BodyText"/>
      </w:pPr>
    </w:p>
    <w:p>
      <w:pPr>
        <w:pStyle w:val="BodyText"/>
        <w:spacing w:before="74"/>
      </w:pPr>
    </w:p>
    <w:p>
      <w:pPr>
        <w:pStyle w:val="BodyText"/>
        <w:tabs>
          <w:tab w:pos="6492" w:val="left" w:leader="none"/>
          <w:tab w:pos="7227" w:val="left" w:leader="none"/>
        </w:tabs>
        <w:ind w:left="522"/>
      </w:pPr>
      <w:r>
        <w:rPr/>
        <mc:AlternateContent>
          <mc:Choice Requires="wps">
            <w:drawing>
              <wp:anchor distT="0" distB="0" distL="0" distR="0" allowOverlap="1" layoutInCell="1" locked="0" behindDoc="1" simplePos="0" relativeHeight="487647232">
                <wp:simplePos x="0" y="0"/>
                <wp:positionH relativeFrom="page">
                  <wp:posOffset>628650</wp:posOffset>
                </wp:positionH>
                <wp:positionV relativeFrom="paragraph">
                  <wp:posOffset>175308</wp:posOffset>
                </wp:positionV>
                <wp:extent cx="2790825" cy="6350"/>
                <wp:effectExtent l="0" t="0" r="0" b="0"/>
                <wp:wrapTopAndBottom/>
                <wp:docPr id="774" name="Group 774"/>
                <wp:cNvGraphicFramePr>
                  <a:graphicFrameLocks/>
                </wp:cNvGraphicFramePr>
                <a:graphic>
                  <a:graphicData uri="http://schemas.microsoft.com/office/word/2010/wordprocessingGroup">
                    <wpg:wgp>
                      <wpg:cNvPr id="774" name="Group 774"/>
                      <wpg:cNvGrpSpPr/>
                      <wpg:grpSpPr>
                        <a:xfrm>
                          <a:off x="0" y="0"/>
                          <a:ext cx="2790825" cy="6350"/>
                          <a:chExt cx="2790825" cy="6350"/>
                        </a:xfrm>
                      </wpg:grpSpPr>
                      <wps:wsp>
                        <wps:cNvPr id="775" name="Graphic 775"/>
                        <wps:cNvSpPr/>
                        <wps:spPr>
                          <a:xfrm>
                            <a:off x="0" y="3175"/>
                            <a:ext cx="2790825" cy="1270"/>
                          </a:xfrm>
                          <a:custGeom>
                            <a:avLst/>
                            <a:gdLst/>
                            <a:ahLst/>
                            <a:cxnLst/>
                            <a:rect l="l" t="t" r="r" b="b"/>
                            <a:pathLst>
                              <a:path w="2790825" h="0">
                                <a:moveTo>
                                  <a:pt x="2790825" y="0"/>
                                </a:moveTo>
                                <a:lnTo>
                                  <a:pt x="0" y="0"/>
                                </a:lnTo>
                              </a:path>
                            </a:pathLst>
                          </a:custGeom>
                          <a:solidFill>
                            <a:srgbClr val="000000"/>
                          </a:solidFill>
                        </wps:spPr>
                        <wps:bodyPr wrap="square" lIns="0" tIns="0" rIns="0" bIns="0" rtlCol="0">
                          <a:prstTxWarp prst="textNoShape">
                            <a:avLst/>
                          </a:prstTxWarp>
                          <a:noAutofit/>
                        </wps:bodyPr>
                      </wps:wsp>
                      <wps:wsp>
                        <wps:cNvPr id="776" name="Graphic 776"/>
                        <wps:cNvSpPr/>
                        <wps:spPr>
                          <a:xfrm>
                            <a:off x="0" y="3175"/>
                            <a:ext cx="2790825" cy="1270"/>
                          </a:xfrm>
                          <a:custGeom>
                            <a:avLst/>
                            <a:gdLst/>
                            <a:ahLst/>
                            <a:cxnLst/>
                            <a:rect l="l" t="t" r="r" b="b"/>
                            <a:pathLst>
                              <a:path w="2790825" h="0">
                                <a:moveTo>
                                  <a:pt x="0" y="0"/>
                                </a:moveTo>
                                <a:lnTo>
                                  <a:pt x="279082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pt;margin-top:13.803828pt;width:219.75pt;height:.5pt;mso-position-horizontal-relative:page;mso-position-vertical-relative:paragraph;z-index:-15669248;mso-wrap-distance-left:0;mso-wrap-distance-right:0" id="docshapegroup556" coordorigin="990,276" coordsize="4395,10">
                <v:shape style="position:absolute;left:990;top:281;width:4395;height:2" id="docshape557" coordorigin="990,281" coordsize="4395,0" path="m5385,281l990,281e" filled="true" fillcolor="#000000" stroked="false">
                  <v:path arrowok="t"/>
                  <v:fill opacity="0f" type="solid"/>
                </v:shape>
                <v:line style="position:absolute" from="990,281" to="5385,281" stroked="true" strokeweight=".5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647744">
                <wp:simplePos x="0" y="0"/>
                <wp:positionH relativeFrom="page">
                  <wp:posOffset>4886325</wp:posOffset>
                </wp:positionH>
                <wp:positionV relativeFrom="paragraph">
                  <wp:posOffset>175308</wp:posOffset>
                </wp:positionV>
                <wp:extent cx="2352675" cy="6350"/>
                <wp:effectExtent l="0" t="0" r="0" b="0"/>
                <wp:wrapTopAndBottom/>
                <wp:docPr id="777" name="Group 777"/>
                <wp:cNvGraphicFramePr>
                  <a:graphicFrameLocks/>
                </wp:cNvGraphicFramePr>
                <a:graphic>
                  <a:graphicData uri="http://schemas.microsoft.com/office/word/2010/wordprocessingGroup">
                    <wpg:wgp>
                      <wpg:cNvPr id="777" name="Group 777"/>
                      <wpg:cNvGrpSpPr/>
                      <wpg:grpSpPr>
                        <a:xfrm>
                          <a:off x="0" y="0"/>
                          <a:ext cx="2352675" cy="6350"/>
                          <a:chExt cx="2352675" cy="6350"/>
                        </a:xfrm>
                      </wpg:grpSpPr>
                      <wps:wsp>
                        <wps:cNvPr id="778" name="Graphic 778"/>
                        <wps:cNvSpPr/>
                        <wps:spPr>
                          <a:xfrm>
                            <a:off x="0" y="3175"/>
                            <a:ext cx="2352675" cy="1270"/>
                          </a:xfrm>
                          <a:custGeom>
                            <a:avLst/>
                            <a:gdLst/>
                            <a:ahLst/>
                            <a:cxnLst/>
                            <a:rect l="l" t="t" r="r" b="b"/>
                            <a:pathLst>
                              <a:path w="2352675" h="0">
                                <a:moveTo>
                                  <a:pt x="2352675" y="0"/>
                                </a:moveTo>
                                <a:lnTo>
                                  <a:pt x="0" y="0"/>
                                </a:lnTo>
                              </a:path>
                            </a:pathLst>
                          </a:custGeom>
                          <a:solidFill>
                            <a:srgbClr val="000000"/>
                          </a:solidFill>
                        </wps:spPr>
                        <wps:bodyPr wrap="square" lIns="0" tIns="0" rIns="0" bIns="0" rtlCol="0">
                          <a:prstTxWarp prst="textNoShape">
                            <a:avLst/>
                          </a:prstTxWarp>
                          <a:noAutofit/>
                        </wps:bodyPr>
                      </wps:wsp>
                      <wps:wsp>
                        <wps:cNvPr id="779" name="Graphic 779"/>
                        <wps:cNvSpPr/>
                        <wps:spPr>
                          <a:xfrm>
                            <a:off x="0" y="3175"/>
                            <a:ext cx="2352675" cy="1270"/>
                          </a:xfrm>
                          <a:custGeom>
                            <a:avLst/>
                            <a:gdLst/>
                            <a:ahLst/>
                            <a:cxnLst/>
                            <a:rect l="l" t="t" r="r" b="b"/>
                            <a:pathLst>
                              <a:path w="2352675" h="0">
                                <a:moveTo>
                                  <a:pt x="0" y="0"/>
                                </a:moveTo>
                                <a:lnTo>
                                  <a:pt x="235267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4.75pt;margin-top:13.803828pt;width:185.25pt;height:.5pt;mso-position-horizontal-relative:page;mso-position-vertical-relative:paragraph;z-index:-15668736;mso-wrap-distance-left:0;mso-wrap-distance-right:0" id="docshapegroup558" coordorigin="7695,276" coordsize="3705,10">
                <v:shape style="position:absolute;left:7695;top:281;width:3705;height:2" id="docshape559" coordorigin="7695,281" coordsize="3705,0" path="m11400,281l7695,281e" filled="true" fillcolor="#000000" stroked="false">
                  <v:path arrowok="t"/>
                  <v:fill opacity="0f" type="solid"/>
                </v:shape>
                <v:line style="position:absolute" from="7695,281" to="11400,281" stroked="true" strokeweight=".5pt" strokecolor="#000000">
                  <v:stroke dashstyle="solid"/>
                </v:line>
                <w10:wrap type="topAndBottom"/>
              </v:group>
            </w:pict>
          </mc:Fallback>
        </mc:AlternateContent>
      </w:r>
      <w:r>
        <w:rPr/>
        <w:t>/s/</w:t>
      </w:r>
      <w:r>
        <w:rPr>
          <w:spacing w:val="-4"/>
        </w:rPr>
        <w:t> </w:t>
      </w:r>
      <w:r>
        <w:rPr/>
        <w:t>Peter</w:t>
      </w:r>
      <w:r>
        <w:rPr>
          <w:spacing w:val="-3"/>
        </w:rPr>
        <w:t> </w:t>
      </w:r>
      <w:r>
        <w:rPr>
          <w:spacing w:val="-2"/>
        </w:rPr>
        <w:t>Crawford</w:t>
      </w:r>
      <w:r>
        <w:rPr/>
        <w:tab/>
      </w:r>
      <w:r>
        <w:rPr>
          <w:spacing w:val="-2"/>
        </w:rPr>
        <w:t>Date:</w:t>
      </w:r>
      <w:r>
        <w:rPr/>
        <w:tab/>
        <w:t>November</w:t>
      </w:r>
      <w:r>
        <w:rPr>
          <w:spacing w:val="-4"/>
        </w:rPr>
        <w:t> </w:t>
      </w:r>
      <w:r>
        <w:rPr/>
        <w:t>8,</w:t>
      </w:r>
      <w:r>
        <w:rPr>
          <w:spacing w:val="-2"/>
        </w:rPr>
        <w:t> </w:t>
      </w:r>
      <w:r>
        <w:rPr>
          <w:spacing w:val="-4"/>
        </w:rPr>
        <w:t>2023</w:t>
      </w:r>
    </w:p>
    <w:p>
      <w:pPr>
        <w:pStyle w:val="BodyText"/>
        <w:ind w:left="522"/>
      </w:pPr>
      <w:r>
        <w:rPr/>
        <w:t>Peter</w:t>
      </w:r>
      <w:r>
        <w:rPr>
          <w:spacing w:val="-4"/>
        </w:rPr>
        <w:t> </w:t>
      </w:r>
      <w:r>
        <w:rPr>
          <w:spacing w:val="-2"/>
        </w:rPr>
        <w:t>Crawford</w:t>
      </w:r>
    </w:p>
    <w:p>
      <w:pPr>
        <w:pStyle w:val="BodyText"/>
        <w:spacing w:before="54"/>
        <w:ind w:left="522"/>
      </w:pPr>
      <w:r>
        <w:rPr/>
        <w:t>Managing</w:t>
      </w:r>
      <w:r>
        <w:rPr>
          <w:spacing w:val="-6"/>
        </w:rPr>
        <w:t> </w:t>
      </w:r>
      <w:r>
        <w:rPr/>
        <w:t>Director</w:t>
      </w:r>
      <w:r>
        <w:rPr>
          <w:spacing w:val="-4"/>
        </w:rPr>
        <w:t> </w:t>
      </w:r>
      <w:r>
        <w:rPr/>
        <w:t>and</w:t>
      </w:r>
      <w:r>
        <w:rPr>
          <w:spacing w:val="-4"/>
        </w:rPr>
        <w:t> </w:t>
      </w:r>
      <w:r>
        <w:rPr/>
        <w:t>Chief</w:t>
      </w:r>
      <w:r>
        <w:rPr>
          <w:spacing w:val="-4"/>
        </w:rPr>
        <w:t> </w:t>
      </w:r>
      <w:r>
        <w:rPr/>
        <w:t>Financial</w:t>
      </w:r>
      <w:r>
        <w:rPr>
          <w:spacing w:val="-4"/>
        </w:rPr>
        <w:t> </w:t>
      </w:r>
      <w:r>
        <w:rPr>
          <w:spacing w:val="-2"/>
        </w:rPr>
        <w:t>Officer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3"/>
      </w:pPr>
    </w:p>
    <w:p>
      <w:pPr>
        <w:pStyle w:val="BodyText"/>
        <w:spacing w:line="249" w:lineRule="auto"/>
        <w:ind w:left="470" w:right="470"/>
      </w:pPr>
      <w:r>
        <w:rPr/>
        <w:t>A signed original of this written statement required by Section 906 has been provided to The Charles Schwab Corporation and will</w:t>
      </w:r>
      <w:r>
        <w:rPr>
          <w:spacing w:val="-3"/>
        </w:rPr>
        <w:t> </w:t>
      </w:r>
      <w:r>
        <w:rPr/>
        <w:t>be</w:t>
      </w:r>
      <w:r>
        <w:rPr>
          <w:spacing w:val="-3"/>
        </w:rPr>
        <w:t> </w:t>
      </w:r>
      <w:r>
        <w:rPr/>
        <w:t>retained</w:t>
      </w:r>
      <w:r>
        <w:rPr>
          <w:spacing w:val="-3"/>
        </w:rPr>
        <w:t> </w:t>
      </w:r>
      <w:r>
        <w:rPr/>
        <w:t>by</w:t>
      </w:r>
      <w:r>
        <w:rPr>
          <w:spacing w:val="-3"/>
        </w:rPr>
        <w:t> </w:t>
      </w:r>
      <w:r>
        <w:rPr/>
        <w:t>The</w:t>
      </w:r>
      <w:r>
        <w:rPr>
          <w:spacing w:val="-3"/>
        </w:rPr>
        <w:t> </w:t>
      </w:r>
      <w:r>
        <w:rPr/>
        <w:t>Charles</w:t>
      </w:r>
      <w:r>
        <w:rPr>
          <w:spacing w:val="-3"/>
        </w:rPr>
        <w:t> </w:t>
      </w:r>
      <w:r>
        <w:rPr/>
        <w:t>Schwab</w:t>
      </w:r>
      <w:r>
        <w:rPr>
          <w:spacing w:val="-3"/>
        </w:rPr>
        <w:t> </w:t>
      </w:r>
      <w:r>
        <w:rPr/>
        <w:t>Corporation</w:t>
      </w:r>
      <w:r>
        <w:rPr>
          <w:spacing w:val="-3"/>
        </w:rPr>
        <w:t> </w:t>
      </w:r>
      <w:r>
        <w:rPr/>
        <w:t>and</w:t>
      </w:r>
      <w:r>
        <w:rPr>
          <w:spacing w:val="-3"/>
        </w:rPr>
        <w:t> </w:t>
      </w:r>
      <w:r>
        <w:rPr/>
        <w:t>furnished</w:t>
      </w:r>
      <w:r>
        <w:rPr>
          <w:spacing w:val="-3"/>
        </w:rPr>
        <w:t> </w:t>
      </w:r>
      <w:r>
        <w:rPr/>
        <w:t>to</w:t>
      </w:r>
      <w:r>
        <w:rPr>
          <w:spacing w:val="-3"/>
        </w:rPr>
        <w:t> </w:t>
      </w:r>
      <w:r>
        <w:rPr/>
        <w:t>the</w:t>
      </w:r>
      <w:r>
        <w:rPr>
          <w:spacing w:val="-3"/>
        </w:rPr>
        <w:t> </w:t>
      </w:r>
      <w:r>
        <w:rPr/>
        <w:t>Securities</w:t>
      </w:r>
      <w:r>
        <w:rPr>
          <w:spacing w:val="-3"/>
        </w:rPr>
        <w:t> </w:t>
      </w:r>
      <w:r>
        <w:rPr/>
        <w:t>and</w:t>
      </w:r>
      <w:r>
        <w:rPr>
          <w:spacing w:val="-3"/>
        </w:rPr>
        <w:t> </w:t>
      </w:r>
      <w:r>
        <w:rPr/>
        <w:t>Exchange</w:t>
      </w:r>
      <w:r>
        <w:rPr>
          <w:spacing w:val="-3"/>
        </w:rPr>
        <w:t> </w:t>
      </w:r>
      <w:r>
        <w:rPr/>
        <w:t>Commission</w:t>
      </w:r>
      <w:r>
        <w:rPr>
          <w:spacing w:val="-3"/>
        </w:rPr>
        <w:t> </w:t>
      </w:r>
      <w:r>
        <w:rPr/>
        <w:t>or</w:t>
      </w:r>
      <w:r>
        <w:rPr>
          <w:spacing w:val="-3"/>
        </w:rPr>
        <w:t> </w:t>
      </w:r>
      <w:r>
        <w:rPr/>
        <w:t>its</w:t>
      </w:r>
      <w:r>
        <w:rPr>
          <w:spacing w:val="-3"/>
        </w:rPr>
        <w:t> </w:t>
      </w:r>
      <w:r>
        <w:rPr/>
        <w:t>staff</w:t>
      </w:r>
      <w:r>
        <w:rPr>
          <w:spacing w:val="-3"/>
        </w:rPr>
        <w:t> </w:t>
      </w:r>
      <w:r>
        <w:rPr/>
        <w:t>upon </w:t>
      </w:r>
      <w:r>
        <w:rPr>
          <w:spacing w:val="-2"/>
        </w:rPr>
        <w:t>request.</w:t>
      </w:r>
    </w:p>
    <w:sectPr>
      <w:headerReference w:type="default" r:id="rId30"/>
      <w:footerReference w:type="default" r:id="rId31"/>
      <w:pgSz w:w="12240" w:h="15840"/>
      <w:pgMar w:header="467" w:footer="0" w:top="1060" w:bottom="280" w:left="52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L PGothic">
    <w:altName w:val="VL PGothic"/>
    <w:charset w:val="0"/>
    <w:family w:val="swiss"/>
    <w:pitch w:val="variable"/>
  </w:font>
  <w:font w:name="FreeSerif">
    <w:altName w:val="Free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5900416">
              <wp:simplePos x="0" y="0"/>
              <wp:positionH relativeFrom="page">
                <wp:posOffset>3735971</wp:posOffset>
              </wp:positionH>
              <wp:positionV relativeFrom="page">
                <wp:posOffset>9705217</wp:posOffset>
              </wp:positionV>
              <wp:extent cx="300990" cy="1663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0990" cy="166370"/>
                      </a:xfrm>
                      <a:prstGeom prst="rect">
                        <a:avLst/>
                      </a:prstGeom>
                    </wps:spPr>
                    <wps:txbx>
                      <w:txbxContent>
                        <w:p>
                          <w:pPr>
                            <w:pStyle w:val="BodyText"/>
                            <w:spacing w:before="11"/>
                            <w:ind w:left="20"/>
                          </w:pPr>
                          <w:r>
                            <w:rPr>
                              <w:color w:val="231F20"/>
                            </w:rPr>
                            <w:t>-</w:t>
                          </w:r>
                          <w:r>
                            <w:rPr>
                              <w:color w:val="231F20"/>
                              <w:spacing w:val="50"/>
                            </w:rPr>
                            <w:t> </w:t>
                          </w:r>
                          <w:r>
                            <w:rPr>
                              <w:color w:val="231F20"/>
                            </w:rPr>
                            <w:fldChar w:fldCharType="begin"/>
                          </w:r>
                          <w:r>
                            <w:rPr>
                              <w:color w:val="231F20"/>
                            </w:rPr>
                            <w:instrText> PAGE </w:instrText>
                          </w:r>
                          <w:r>
                            <w:rPr>
                              <w:color w:val="231F20"/>
                            </w:rPr>
                            <w:fldChar w:fldCharType="separate"/>
                          </w:r>
                          <w:r>
                            <w:rPr>
                              <w:color w:val="231F20"/>
                            </w:rPr>
                            <w:t>1</w:t>
                          </w:r>
                          <w:r>
                            <w:rPr>
                              <w:color w:val="231F20"/>
                            </w:rPr>
                            <w:fldChar w:fldCharType="end"/>
                          </w:r>
                          <w:r>
                            <w:rPr>
                              <w:color w:val="231F20"/>
                              <w:spacing w:val="50"/>
                            </w:rPr>
                            <w:t> </w:t>
                          </w:r>
                          <w:r>
                            <w:rPr>
                              <w:color w:val="231F20"/>
                              <w:spacing w:val="-10"/>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4.17099pt;margin-top:764.190369pt;width:23.7pt;height:13.1pt;mso-position-horizontal-relative:page;mso-position-vertical-relative:page;z-index:-27416064" type="#_x0000_t202" id="docshape1" filled="false" stroked="false">
              <v:textbox inset="0,0,0,0">
                <w:txbxContent>
                  <w:p>
                    <w:pPr>
                      <w:pStyle w:val="BodyText"/>
                      <w:spacing w:before="11"/>
                      <w:ind w:left="20"/>
                    </w:pPr>
                    <w:r>
                      <w:rPr>
                        <w:color w:val="231F20"/>
                      </w:rPr>
                      <w:t>-</w:t>
                    </w:r>
                    <w:r>
                      <w:rPr>
                        <w:color w:val="231F20"/>
                        <w:spacing w:val="50"/>
                      </w:rPr>
                      <w:t> </w:t>
                    </w:r>
                    <w:r>
                      <w:rPr>
                        <w:color w:val="231F20"/>
                      </w:rPr>
                      <w:fldChar w:fldCharType="begin"/>
                    </w:r>
                    <w:r>
                      <w:rPr>
                        <w:color w:val="231F20"/>
                      </w:rPr>
                      <w:instrText> PAGE </w:instrText>
                    </w:r>
                    <w:r>
                      <w:rPr>
                        <w:color w:val="231F20"/>
                      </w:rPr>
                      <w:fldChar w:fldCharType="separate"/>
                    </w:r>
                    <w:r>
                      <w:rPr>
                        <w:color w:val="231F20"/>
                      </w:rPr>
                      <w:t>1</w:t>
                    </w:r>
                    <w:r>
                      <w:rPr>
                        <w:color w:val="231F20"/>
                      </w:rPr>
                      <w:fldChar w:fldCharType="end"/>
                    </w:r>
                    <w:r>
                      <w:rPr>
                        <w:color w:val="231F20"/>
                        <w:spacing w:val="50"/>
                      </w:rPr>
                      <w:t> </w:t>
                    </w:r>
                    <w:r>
                      <w:rPr>
                        <w:color w:val="231F20"/>
                        <w:spacing w:val="-10"/>
                      </w:rPr>
                      <w:t>-</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5901440">
              <wp:simplePos x="0" y="0"/>
              <wp:positionH relativeFrom="page">
                <wp:posOffset>3735971</wp:posOffset>
              </wp:positionH>
              <wp:positionV relativeFrom="page">
                <wp:posOffset>9705217</wp:posOffset>
              </wp:positionV>
              <wp:extent cx="300990" cy="1663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00990" cy="166370"/>
                      </a:xfrm>
                      <a:prstGeom prst="rect">
                        <a:avLst/>
                      </a:prstGeom>
                    </wps:spPr>
                    <wps:txbx>
                      <w:txbxContent>
                        <w:p>
                          <w:pPr>
                            <w:pStyle w:val="BodyText"/>
                            <w:spacing w:before="11"/>
                            <w:ind w:left="20"/>
                          </w:pPr>
                          <w:r>
                            <w:rPr>
                              <w:color w:val="231F20"/>
                            </w:rPr>
                            <w:t>-</w:t>
                          </w:r>
                          <w:r>
                            <w:rPr>
                              <w:color w:val="231F20"/>
                              <w:spacing w:val="50"/>
                            </w:rPr>
                            <w:t> </w:t>
                          </w:r>
                          <w:r>
                            <w:rPr>
                              <w:color w:val="231F20"/>
                            </w:rPr>
                            <w:fldChar w:fldCharType="begin"/>
                          </w:r>
                          <w:r>
                            <w:rPr>
                              <w:color w:val="231F20"/>
                            </w:rPr>
                            <w:instrText> PAGE </w:instrText>
                          </w:r>
                          <w:r>
                            <w:rPr>
                              <w:color w:val="231F20"/>
                            </w:rPr>
                            <w:fldChar w:fldCharType="separate"/>
                          </w:r>
                          <w:r>
                            <w:rPr>
                              <w:color w:val="231F20"/>
                            </w:rPr>
                            <w:t>2</w:t>
                          </w:r>
                          <w:r>
                            <w:rPr>
                              <w:color w:val="231F20"/>
                            </w:rPr>
                            <w:fldChar w:fldCharType="end"/>
                          </w:r>
                          <w:r>
                            <w:rPr>
                              <w:color w:val="231F20"/>
                              <w:spacing w:val="50"/>
                            </w:rPr>
                            <w:t> </w:t>
                          </w:r>
                          <w:r>
                            <w:rPr>
                              <w:color w:val="231F20"/>
                              <w:spacing w:val="-10"/>
                            </w:rPr>
                            <w:t>-</w:t>
                          </w:r>
                        </w:p>
                      </w:txbxContent>
                    </wps:txbx>
                    <wps:bodyPr wrap="square" lIns="0" tIns="0" rIns="0" bIns="0" rtlCol="0">
                      <a:noAutofit/>
                    </wps:bodyPr>
                  </wps:wsp>
                </a:graphicData>
              </a:graphic>
            </wp:anchor>
          </w:drawing>
        </mc:Choice>
        <mc:Fallback>
          <w:pict>
            <v:shape style="position:absolute;margin-left:294.17099pt;margin-top:764.190369pt;width:23.7pt;height:13.1pt;mso-position-horizontal-relative:page;mso-position-vertical-relative:page;z-index:-27415040" type="#_x0000_t202" id="docshape3" filled="false" stroked="false">
              <v:textbox inset="0,0,0,0">
                <w:txbxContent>
                  <w:p>
                    <w:pPr>
                      <w:pStyle w:val="BodyText"/>
                      <w:spacing w:before="11"/>
                      <w:ind w:left="20"/>
                    </w:pPr>
                    <w:r>
                      <w:rPr>
                        <w:color w:val="231F20"/>
                      </w:rPr>
                      <w:t>-</w:t>
                    </w:r>
                    <w:r>
                      <w:rPr>
                        <w:color w:val="231F20"/>
                        <w:spacing w:val="50"/>
                      </w:rPr>
                      <w:t> </w:t>
                    </w:r>
                    <w:r>
                      <w:rPr>
                        <w:color w:val="231F20"/>
                      </w:rPr>
                      <w:fldChar w:fldCharType="begin"/>
                    </w:r>
                    <w:r>
                      <w:rPr>
                        <w:color w:val="231F20"/>
                      </w:rPr>
                      <w:instrText> PAGE </w:instrText>
                    </w:r>
                    <w:r>
                      <w:rPr>
                        <w:color w:val="231F20"/>
                      </w:rPr>
                      <w:fldChar w:fldCharType="separate"/>
                    </w:r>
                    <w:r>
                      <w:rPr>
                        <w:color w:val="231F20"/>
                      </w:rPr>
                      <w:t>2</w:t>
                    </w:r>
                    <w:r>
                      <w:rPr>
                        <w:color w:val="231F20"/>
                      </w:rPr>
                      <w:fldChar w:fldCharType="end"/>
                    </w:r>
                    <w:r>
                      <w:rPr>
                        <w:color w:val="231F20"/>
                        <w:spacing w:val="50"/>
                      </w:rPr>
                      <w:t> </w:t>
                    </w:r>
                    <w:r>
                      <w:rPr>
                        <w:color w:val="231F20"/>
                        <w:spacing w:val="-10"/>
                      </w:rPr>
                      <w:t>-</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5902464">
              <wp:simplePos x="0" y="0"/>
              <wp:positionH relativeFrom="page">
                <wp:posOffset>3735959</wp:posOffset>
              </wp:positionH>
              <wp:positionV relativeFrom="page">
                <wp:posOffset>9790923</wp:posOffset>
              </wp:positionV>
              <wp:extent cx="300990" cy="1663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00990" cy="166370"/>
                      </a:xfrm>
                      <a:prstGeom prst="rect">
                        <a:avLst/>
                      </a:prstGeom>
                    </wps:spPr>
                    <wps:txbx>
                      <w:txbxContent>
                        <w:p>
                          <w:pPr>
                            <w:pStyle w:val="BodyText"/>
                            <w:spacing w:before="11"/>
                            <w:ind w:left="20"/>
                          </w:pPr>
                          <w:r>
                            <w:rPr/>
                            <w:t>- </w:t>
                          </w:r>
                          <w:r>
                            <w:rPr/>
                            <w:fldChar w:fldCharType="begin"/>
                          </w:r>
                          <w:r>
                            <w:rPr/>
                            <w:instrText> PAGE </w:instrText>
                          </w:r>
                          <w:r>
                            <w:rPr/>
                            <w:fldChar w:fldCharType="separate"/>
                          </w:r>
                          <w:r>
                            <w:rPr/>
                            <w:t>10</w:t>
                          </w:r>
                          <w:r>
                            <w:rPr/>
                            <w:fldChar w:fldCharType="end"/>
                          </w:r>
                          <w:r>
                            <w:rPr/>
                            <w:t> </w:t>
                          </w:r>
                          <w:r>
                            <w:rPr>
                              <w:spacing w:val="-10"/>
                            </w:rPr>
                            <w:t>-</w:t>
                          </w:r>
                        </w:p>
                      </w:txbxContent>
                    </wps:txbx>
                    <wps:bodyPr wrap="square" lIns="0" tIns="0" rIns="0" bIns="0" rtlCol="0">
                      <a:noAutofit/>
                    </wps:bodyPr>
                  </wps:wsp>
                </a:graphicData>
              </a:graphic>
            </wp:anchor>
          </w:drawing>
        </mc:Choice>
        <mc:Fallback>
          <w:pict>
            <v:shape style="position:absolute;margin-left:294.170013pt;margin-top:770.938843pt;width:23.7pt;height:13.1pt;mso-position-horizontal-relative:page;mso-position-vertical-relative:page;z-index:-27414016" type="#_x0000_t202" id="docshape5" filled="false" stroked="false">
              <v:textbox inset="0,0,0,0">
                <w:txbxContent>
                  <w:p>
                    <w:pPr>
                      <w:pStyle w:val="BodyText"/>
                      <w:spacing w:before="11"/>
                      <w:ind w:left="20"/>
                    </w:pPr>
                    <w:r>
                      <w:rPr/>
                      <w:t>- </w:t>
                    </w:r>
                    <w:r>
                      <w:rPr/>
                      <w:fldChar w:fldCharType="begin"/>
                    </w:r>
                    <w:r>
                      <w:rPr/>
                      <w:instrText> PAGE </w:instrText>
                    </w:r>
                    <w:r>
                      <w:rPr/>
                      <w:fldChar w:fldCharType="separate"/>
                    </w:r>
                    <w:r>
                      <w:rPr/>
                      <w:t>10</w:t>
                    </w:r>
                    <w:r>
                      <w:rPr/>
                      <w:fldChar w:fldCharType="end"/>
                    </w:r>
                    <w:r>
                      <w:rPr/>
                      <w:t> </w:t>
                    </w:r>
                    <w:r>
                      <w:rPr>
                        <w:spacing w:val="-10"/>
                      </w:rPr>
                      <w:t>-</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5902976">
              <wp:simplePos x="0" y="0"/>
              <wp:positionH relativeFrom="page">
                <wp:posOffset>3704209</wp:posOffset>
              </wp:positionH>
              <wp:positionV relativeFrom="page">
                <wp:posOffset>9790923</wp:posOffset>
              </wp:positionV>
              <wp:extent cx="364490" cy="16637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364490" cy="166370"/>
                      </a:xfrm>
                      <a:prstGeom prst="rect">
                        <a:avLst/>
                      </a:prstGeom>
                    </wps:spPr>
                    <wps:txbx>
                      <w:txbxContent>
                        <w:p>
                          <w:pPr>
                            <w:pStyle w:val="BodyText"/>
                            <w:spacing w:before="11"/>
                            <w:ind w:left="20"/>
                          </w:pPr>
                          <w:r>
                            <w:rPr/>
                            <w:t>-</w:t>
                          </w:r>
                          <w:r>
                            <w:rPr>
                              <w:spacing w:val="50"/>
                            </w:rPr>
                            <w:t> </w:t>
                          </w:r>
                          <w:r>
                            <w:rPr/>
                            <w:fldChar w:fldCharType="begin"/>
                          </w:r>
                          <w:r>
                            <w:rPr/>
                            <w:instrText> PAGE </w:instrText>
                          </w:r>
                          <w:r>
                            <w:rPr/>
                            <w:fldChar w:fldCharType="separate"/>
                          </w:r>
                          <w:r>
                            <w:rPr/>
                            <w:t>30</w:t>
                          </w:r>
                          <w:r>
                            <w:rPr/>
                            <w:fldChar w:fldCharType="end"/>
                          </w:r>
                          <w:r>
                            <w:rPr>
                              <w:spacing w:val="50"/>
                            </w:rPr>
                            <w:t> </w:t>
                          </w:r>
                          <w:r>
                            <w:rPr>
                              <w:spacing w:val="-10"/>
                            </w:rPr>
                            <w:t>-</w:t>
                          </w:r>
                        </w:p>
                      </w:txbxContent>
                    </wps:txbx>
                    <wps:bodyPr wrap="square" lIns="0" tIns="0" rIns="0" bIns="0" rtlCol="0">
                      <a:noAutofit/>
                    </wps:bodyPr>
                  </wps:wsp>
                </a:graphicData>
              </a:graphic>
            </wp:anchor>
          </w:drawing>
        </mc:Choice>
        <mc:Fallback>
          <w:pict>
            <v:shape style="position:absolute;margin-left:291.670013pt;margin-top:770.938843pt;width:28.7pt;height:13.1pt;mso-position-horizontal-relative:page;mso-position-vertical-relative:page;z-index:-27413504" type="#_x0000_t202" id="docshape86" filled="false" stroked="false">
              <v:textbox inset="0,0,0,0">
                <w:txbxContent>
                  <w:p>
                    <w:pPr>
                      <w:pStyle w:val="BodyText"/>
                      <w:spacing w:before="11"/>
                      <w:ind w:left="20"/>
                    </w:pPr>
                    <w:r>
                      <w:rPr/>
                      <w:t>-</w:t>
                    </w:r>
                    <w:r>
                      <w:rPr>
                        <w:spacing w:val="50"/>
                      </w:rPr>
                      <w:t> </w:t>
                    </w:r>
                    <w:r>
                      <w:rPr/>
                      <w:fldChar w:fldCharType="begin"/>
                    </w:r>
                    <w:r>
                      <w:rPr/>
                      <w:instrText> PAGE </w:instrText>
                    </w:r>
                    <w:r>
                      <w:rPr/>
                      <w:fldChar w:fldCharType="separate"/>
                    </w:r>
                    <w:r>
                      <w:rPr/>
                      <w:t>30</w:t>
                    </w:r>
                    <w:r>
                      <w:rPr/>
                      <w:fldChar w:fldCharType="end"/>
                    </w:r>
                    <w:r>
                      <w:rPr>
                        <w:spacing w:val="50"/>
                      </w:rPr>
                      <w:t> </w:t>
                    </w:r>
                    <w:r>
                      <w:rPr>
                        <w:spacing w:val="-10"/>
                      </w:rPr>
                      <w:t>-</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5904000">
              <wp:simplePos x="0" y="0"/>
              <wp:positionH relativeFrom="page">
                <wp:posOffset>3704209</wp:posOffset>
              </wp:positionH>
              <wp:positionV relativeFrom="page">
                <wp:posOffset>9790923</wp:posOffset>
              </wp:positionV>
              <wp:extent cx="364490" cy="16637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364490" cy="166370"/>
                      </a:xfrm>
                      <a:prstGeom prst="rect">
                        <a:avLst/>
                      </a:prstGeom>
                    </wps:spPr>
                    <wps:txbx>
                      <w:txbxContent>
                        <w:p>
                          <w:pPr>
                            <w:pStyle w:val="BodyText"/>
                            <w:spacing w:before="11"/>
                            <w:ind w:left="20"/>
                          </w:pPr>
                          <w:r>
                            <w:rPr/>
                            <w:t>-</w:t>
                          </w:r>
                          <w:r>
                            <w:rPr>
                              <w:spacing w:val="50"/>
                            </w:rPr>
                            <w:t> </w:t>
                          </w:r>
                          <w:r>
                            <w:rPr/>
                            <w:fldChar w:fldCharType="begin"/>
                          </w:r>
                          <w:r>
                            <w:rPr/>
                            <w:instrText> PAGE </w:instrText>
                          </w:r>
                          <w:r>
                            <w:rPr/>
                            <w:fldChar w:fldCharType="separate"/>
                          </w:r>
                          <w:r>
                            <w:rPr/>
                            <w:t>31</w:t>
                          </w:r>
                          <w:r>
                            <w:rPr/>
                            <w:fldChar w:fldCharType="end"/>
                          </w:r>
                          <w:r>
                            <w:rPr>
                              <w:spacing w:val="50"/>
                            </w:rPr>
                            <w:t> </w:t>
                          </w:r>
                          <w:r>
                            <w:rPr>
                              <w:spacing w:val="-10"/>
                            </w:rPr>
                            <w:t>-</w:t>
                          </w:r>
                        </w:p>
                      </w:txbxContent>
                    </wps:txbx>
                    <wps:bodyPr wrap="square" lIns="0" tIns="0" rIns="0" bIns="0" rtlCol="0">
                      <a:noAutofit/>
                    </wps:bodyPr>
                  </wps:wsp>
                </a:graphicData>
              </a:graphic>
            </wp:anchor>
          </w:drawing>
        </mc:Choice>
        <mc:Fallback>
          <w:pict>
            <v:shape style="position:absolute;margin-left:291.670013pt;margin-top:770.938843pt;width:28.7pt;height:13.1pt;mso-position-horizontal-relative:page;mso-position-vertical-relative:page;z-index:-27412480" type="#_x0000_t202" id="docshape88" filled="false" stroked="false">
              <v:textbox inset="0,0,0,0">
                <w:txbxContent>
                  <w:p>
                    <w:pPr>
                      <w:pStyle w:val="BodyText"/>
                      <w:spacing w:before="11"/>
                      <w:ind w:left="20"/>
                    </w:pPr>
                    <w:r>
                      <w:rPr/>
                      <w:t>-</w:t>
                    </w:r>
                    <w:r>
                      <w:rPr>
                        <w:spacing w:val="50"/>
                      </w:rPr>
                      <w:t> </w:t>
                    </w:r>
                    <w:r>
                      <w:rPr/>
                      <w:fldChar w:fldCharType="begin"/>
                    </w:r>
                    <w:r>
                      <w:rPr/>
                      <w:instrText> PAGE </w:instrText>
                    </w:r>
                    <w:r>
                      <w:rPr/>
                      <w:fldChar w:fldCharType="separate"/>
                    </w:r>
                    <w:r>
                      <w:rPr/>
                      <w:t>31</w:t>
                    </w:r>
                    <w:r>
                      <w:rPr/>
                      <w:fldChar w:fldCharType="end"/>
                    </w:r>
                    <w:r>
                      <w:rPr>
                        <w:spacing w:val="50"/>
                      </w:rPr>
                      <w:t> </w:t>
                    </w:r>
                    <w:r>
                      <w:rPr>
                        <w:spacing w:val="-10"/>
                      </w:rPr>
                      <w:t>-</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5905024">
              <wp:simplePos x="0" y="0"/>
              <wp:positionH relativeFrom="page">
                <wp:posOffset>3735959</wp:posOffset>
              </wp:positionH>
              <wp:positionV relativeFrom="page">
                <wp:posOffset>9790923</wp:posOffset>
              </wp:positionV>
              <wp:extent cx="300990" cy="16637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300990" cy="166370"/>
                      </a:xfrm>
                      <a:prstGeom prst="rect">
                        <a:avLst/>
                      </a:prstGeom>
                    </wps:spPr>
                    <wps:txbx>
                      <w:txbxContent>
                        <w:p>
                          <w:pPr>
                            <w:pStyle w:val="BodyText"/>
                            <w:spacing w:before="11"/>
                            <w:ind w:left="20"/>
                          </w:pPr>
                          <w:r>
                            <w:rPr/>
                            <w:t>- </w:t>
                          </w:r>
                          <w:r>
                            <w:rPr/>
                            <w:fldChar w:fldCharType="begin"/>
                          </w:r>
                          <w:r>
                            <w:rPr/>
                            <w:instrText> PAGE </w:instrText>
                          </w:r>
                          <w:r>
                            <w:rPr/>
                            <w:fldChar w:fldCharType="separate"/>
                          </w:r>
                          <w:r>
                            <w:rPr/>
                            <w:t>33</w:t>
                          </w:r>
                          <w:r>
                            <w:rPr/>
                            <w:fldChar w:fldCharType="end"/>
                          </w:r>
                          <w:r>
                            <w:rPr/>
                            <w:t> </w:t>
                          </w:r>
                          <w:r>
                            <w:rPr>
                              <w:spacing w:val="-10"/>
                            </w:rPr>
                            <w:t>-</w:t>
                          </w:r>
                        </w:p>
                      </w:txbxContent>
                    </wps:txbx>
                    <wps:bodyPr wrap="square" lIns="0" tIns="0" rIns="0" bIns="0" rtlCol="0">
                      <a:noAutofit/>
                    </wps:bodyPr>
                  </wps:wsp>
                </a:graphicData>
              </a:graphic>
            </wp:anchor>
          </w:drawing>
        </mc:Choice>
        <mc:Fallback>
          <w:pict>
            <v:shape style="position:absolute;margin-left:294.170013pt;margin-top:770.938843pt;width:23.7pt;height:13.1pt;mso-position-horizontal-relative:page;mso-position-vertical-relative:page;z-index:-27411456" type="#_x0000_t202" id="docshape92" filled="false" stroked="false">
              <v:textbox inset="0,0,0,0">
                <w:txbxContent>
                  <w:p>
                    <w:pPr>
                      <w:pStyle w:val="BodyText"/>
                      <w:spacing w:before="11"/>
                      <w:ind w:left="20"/>
                    </w:pPr>
                    <w:r>
                      <w:rPr/>
                      <w:t>- </w:t>
                    </w:r>
                    <w:r>
                      <w:rPr/>
                      <w:fldChar w:fldCharType="begin"/>
                    </w:r>
                    <w:r>
                      <w:rPr/>
                      <w:instrText> PAGE </w:instrText>
                    </w:r>
                    <w:r>
                      <w:rPr/>
                      <w:fldChar w:fldCharType="separate"/>
                    </w:r>
                    <w:r>
                      <w:rPr/>
                      <w:t>33</w:t>
                    </w:r>
                    <w:r>
                      <w:rPr/>
                      <w:fldChar w:fldCharType="end"/>
                    </w:r>
                    <w:r>
                      <w:rPr/>
                      <w:t> </w:t>
                    </w:r>
                    <w:r>
                      <w:rPr>
                        <w:spacing w:val="-10"/>
                      </w:rPr>
                      <w:t>-</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5906048">
              <wp:simplePos x="0" y="0"/>
              <wp:positionH relativeFrom="page">
                <wp:posOffset>3735959</wp:posOffset>
              </wp:positionH>
              <wp:positionV relativeFrom="page">
                <wp:posOffset>9790923</wp:posOffset>
              </wp:positionV>
              <wp:extent cx="300990" cy="16637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300990" cy="166370"/>
                      </a:xfrm>
                      <a:prstGeom prst="rect">
                        <a:avLst/>
                      </a:prstGeom>
                    </wps:spPr>
                    <wps:txbx>
                      <w:txbxContent>
                        <w:p>
                          <w:pPr>
                            <w:pStyle w:val="BodyText"/>
                            <w:spacing w:before="11"/>
                            <w:ind w:left="20"/>
                          </w:pPr>
                          <w:r>
                            <w:rPr/>
                            <w:t>- </w:t>
                          </w:r>
                          <w:r>
                            <w:rPr/>
                            <w:fldChar w:fldCharType="begin"/>
                          </w:r>
                          <w:r>
                            <w:rPr/>
                            <w:instrText> PAGE </w:instrText>
                          </w:r>
                          <w:r>
                            <w:rPr/>
                            <w:fldChar w:fldCharType="separate"/>
                          </w:r>
                          <w:r>
                            <w:rPr/>
                            <w:t>35</w:t>
                          </w:r>
                          <w:r>
                            <w:rPr/>
                            <w:fldChar w:fldCharType="end"/>
                          </w:r>
                          <w:r>
                            <w:rPr/>
                            <w:t> </w:t>
                          </w:r>
                          <w:r>
                            <w:rPr>
                              <w:spacing w:val="-10"/>
                            </w:rPr>
                            <w:t>-</w:t>
                          </w:r>
                        </w:p>
                      </w:txbxContent>
                    </wps:txbx>
                    <wps:bodyPr wrap="square" lIns="0" tIns="0" rIns="0" bIns="0" rtlCol="0">
                      <a:noAutofit/>
                    </wps:bodyPr>
                  </wps:wsp>
                </a:graphicData>
              </a:graphic>
            </wp:anchor>
          </w:drawing>
        </mc:Choice>
        <mc:Fallback>
          <w:pict>
            <v:shape style="position:absolute;margin-left:294.170013pt;margin-top:770.938843pt;width:23.7pt;height:13.1pt;mso-position-horizontal-relative:page;mso-position-vertical-relative:page;z-index:-27410432" type="#_x0000_t202" id="docshape99" filled="false" stroked="false">
              <v:textbox inset="0,0,0,0">
                <w:txbxContent>
                  <w:p>
                    <w:pPr>
                      <w:pStyle w:val="BodyText"/>
                      <w:spacing w:before="11"/>
                      <w:ind w:left="20"/>
                    </w:pPr>
                    <w:r>
                      <w:rPr/>
                      <w:t>- </w:t>
                    </w:r>
                    <w:r>
                      <w:rPr/>
                      <w:fldChar w:fldCharType="begin"/>
                    </w:r>
                    <w:r>
                      <w:rPr/>
                      <w:instrText> PAGE </w:instrText>
                    </w:r>
                    <w:r>
                      <w:rPr/>
                      <w:fldChar w:fldCharType="separate"/>
                    </w:r>
                    <w:r>
                      <w:rPr/>
                      <w:t>35</w:t>
                    </w:r>
                    <w:r>
                      <w:rPr/>
                      <w:fldChar w:fldCharType="end"/>
                    </w:r>
                    <w:r>
                      <w:rPr/>
                      <w:t> </w:t>
                    </w:r>
                    <w:r>
                      <w:rPr>
                        <w:spacing w:val="-10"/>
                      </w:rPr>
                      <w:t>-</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5907072">
              <wp:simplePos x="0" y="0"/>
              <wp:positionH relativeFrom="page">
                <wp:posOffset>3735959</wp:posOffset>
              </wp:positionH>
              <wp:positionV relativeFrom="page">
                <wp:posOffset>9790923</wp:posOffset>
              </wp:positionV>
              <wp:extent cx="300990" cy="16637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300990" cy="166370"/>
                      </a:xfrm>
                      <a:prstGeom prst="rect">
                        <a:avLst/>
                      </a:prstGeom>
                    </wps:spPr>
                    <wps:txbx>
                      <w:txbxContent>
                        <w:p>
                          <w:pPr>
                            <w:pStyle w:val="BodyText"/>
                            <w:spacing w:before="11"/>
                            <w:ind w:left="20"/>
                          </w:pPr>
                          <w:r>
                            <w:rPr/>
                            <w:t>- </w:t>
                          </w:r>
                          <w:r>
                            <w:rPr/>
                            <w:fldChar w:fldCharType="begin"/>
                          </w:r>
                          <w:r>
                            <w:rPr/>
                            <w:instrText> PAGE </w:instrText>
                          </w:r>
                          <w:r>
                            <w:rPr/>
                            <w:fldChar w:fldCharType="separate"/>
                          </w:r>
                          <w:r>
                            <w:rPr/>
                            <w:t>37</w:t>
                          </w:r>
                          <w:r>
                            <w:rPr/>
                            <w:fldChar w:fldCharType="end"/>
                          </w:r>
                          <w:r>
                            <w:rPr/>
                            <w:t> </w:t>
                          </w:r>
                          <w:r>
                            <w:rPr>
                              <w:spacing w:val="-10"/>
                            </w:rPr>
                            <w:t>-</w:t>
                          </w:r>
                        </w:p>
                      </w:txbxContent>
                    </wps:txbx>
                    <wps:bodyPr wrap="square" lIns="0" tIns="0" rIns="0" bIns="0" rtlCol="0">
                      <a:noAutofit/>
                    </wps:bodyPr>
                  </wps:wsp>
                </a:graphicData>
              </a:graphic>
            </wp:anchor>
          </w:drawing>
        </mc:Choice>
        <mc:Fallback>
          <w:pict>
            <v:shape style="position:absolute;margin-left:294.170013pt;margin-top:770.938843pt;width:23.7pt;height:13.1pt;mso-position-horizontal-relative:page;mso-position-vertical-relative:page;z-index:-27409408" type="#_x0000_t202" id="docshape101" filled="false" stroked="false">
              <v:textbox inset="0,0,0,0">
                <w:txbxContent>
                  <w:p>
                    <w:pPr>
                      <w:pStyle w:val="BodyText"/>
                      <w:spacing w:before="11"/>
                      <w:ind w:left="20"/>
                    </w:pPr>
                    <w:r>
                      <w:rPr/>
                      <w:t>- </w:t>
                    </w:r>
                    <w:r>
                      <w:rPr/>
                      <w:fldChar w:fldCharType="begin"/>
                    </w:r>
                    <w:r>
                      <w:rPr/>
                      <w:instrText> PAGE </w:instrText>
                    </w:r>
                    <w:r>
                      <w:rPr/>
                      <w:fldChar w:fldCharType="separate"/>
                    </w:r>
                    <w:r>
                      <w:rPr/>
                      <w:t>37</w:t>
                    </w:r>
                    <w:r>
                      <w:rPr/>
                      <w:fldChar w:fldCharType="end"/>
                    </w:r>
                    <w:r>
                      <w:rPr/>
                      <w:t> </w:t>
                    </w:r>
                    <w:r>
                      <w:rPr>
                        <w:spacing w:val="-10"/>
                      </w:rPr>
                      <w:t>-</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5908096">
              <wp:simplePos x="0" y="0"/>
              <wp:positionH relativeFrom="page">
                <wp:posOffset>3735959</wp:posOffset>
              </wp:positionH>
              <wp:positionV relativeFrom="page">
                <wp:posOffset>9790923</wp:posOffset>
              </wp:positionV>
              <wp:extent cx="300990" cy="166370"/>
              <wp:effectExtent l="0" t="0" r="0" b="0"/>
              <wp:wrapNone/>
              <wp:docPr id="714" name="Textbox 714"/>
              <wp:cNvGraphicFramePr>
                <a:graphicFrameLocks/>
              </wp:cNvGraphicFramePr>
              <a:graphic>
                <a:graphicData uri="http://schemas.microsoft.com/office/word/2010/wordprocessingShape">
                  <wps:wsp>
                    <wps:cNvPr id="714" name="Textbox 714"/>
                    <wps:cNvSpPr txBox="1"/>
                    <wps:spPr>
                      <a:xfrm>
                        <a:off x="0" y="0"/>
                        <a:ext cx="300990" cy="166370"/>
                      </a:xfrm>
                      <a:prstGeom prst="rect">
                        <a:avLst/>
                      </a:prstGeom>
                    </wps:spPr>
                    <wps:txbx>
                      <w:txbxContent>
                        <w:p>
                          <w:pPr>
                            <w:pStyle w:val="BodyText"/>
                            <w:spacing w:before="11"/>
                            <w:ind w:left="20"/>
                          </w:pPr>
                          <w:r>
                            <w:rPr/>
                            <w:t>- </w:t>
                          </w:r>
                          <w:r>
                            <w:rPr/>
                            <w:fldChar w:fldCharType="begin"/>
                          </w:r>
                          <w:r>
                            <w:rPr/>
                            <w:instrText> PAGE </w:instrText>
                          </w:r>
                          <w:r>
                            <w:rPr/>
                            <w:fldChar w:fldCharType="separate"/>
                          </w:r>
                          <w:r>
                            <w:rPr/>
                            <w:t>70</w:t>
                          </w:r>
                          <w:r>
                            <w:rPr/>
                            <w:fldChar w:fldCharType="end"/>
                          </w:r>
                          <w:r>
                            <w:rPr/>
                            <w:t> </w:t>
                          </w:r>
                          <w:r>
                            <w:rPr>
                              <w:spacing w:val="-10"/>
                            </w:rPr>
                            <w:t>-</w:t>
                          </w:r>
                        </w:p>
                      </w:txbxContent>
                    </wps:txbx>
                    <wps:bodyPr wrap="square" lIns="0" tIns="0" rIns="0" bIns="0" rtlCol="0">
                      <a:noAutofit/>
                    </wps:bodyPr>
                  </wps:wsp>
                </a:graphicData>
              </a:graphic>
            </wp:anchor>
          </w:drawing>
        </mc:Choice>
        <mc:Fallback>
          <w:pict>
            <v:shape style="position:absolute;margin-left:294.170013pt;margin-top:770.938843pt;width:23.7pt;height:13.1pt;mso-position-horizontal-relative:page;mso-position-vertical-relative:page;z-index:-27408384" type="#_x0000_t202" id="docshape515" filled="false" stroked="false">
              <v:textbox inset="0,0,0,0">
                <w:txbxContent>
                  <w:p>
                    <w:pPr>
                      <w:pStyle w:val="BodyText"/>
                      <w:spacing w:before="11"/>
                      <w:ind w:left="20"/>
                    </w:pPr>
                    <w:r>
                      <w:rPr/>
                      <w:t>- </w:t>
                    </w:r>
                    <w:r>
                      <w:rPr/>
                      <w:fldChar w:fldCharType="begin"/>
                    </w:r>
                    <w:r>
                      <w:rPr/>
                      <w:instrText> PAGE </w:instrText>
                    </w:r>
                    <w:r>
                      <w:rPr/>
                      <w:fldChar w:fldCharType="separate"/>
                    </w:r>
                    <w:r>
                      <w:rPr/>
                      <w:t>70</w:t>
                    </w:r>
                    <w:r>
                      <w:rPr/>
                      <w:fldChar w:fldCharType="end"/>
                    </w:r>
                    <w:r>
                      <w:rPr/>
                      <w:t> </w:t>
                    </w:r>
                    <w:r>
                      <w:rPr>
                        <w:spacing w:val="-10"/>
                      </w:rPr>
                      <w:t>-</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5900928">
              <wp:simplePos x="0" y="0"/>
              <wp:positionH relativeFrom="page">
                <wp:posOffset>1461516</wp:posOffset>
              </wp:positionH>
              <wp:positionV relativeFrom="page">
                <wp:posOffset>312551</wp:posOffset>
              </wp:positionV>
              <wp:extent cx="4848860" cy="4502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848860" cy="450215"/>
                      </a:xfrm>
                      <a:prstGeom prst="rect">
                        <a:avLst/>
                      </a:prstGeom>
                    </wps:spPr>
                    <wps:txbx>
                      <w:txbxContent>
                        <w:p>
                          <w:pPr>
                            <w:spacing w:before="11"/>
                            <w:ind w:left="2" w:right="2" w:firstLine="0"/>
                            <w:jc w:val="center"/>
                            <w:rPr>
                              <w:b/>
                              <w:sz w:val="20"/>
                            </w:rPr>
                          </w:pPr>
                          <w:r>
                            <w:rPr>
                              <w:b/>
                              <w:color w:val="231F20"/>
                              <w:sz w:val="20"/>
                            </w:rPr>
                            <w:t>THE</w:t>
                          </w:r>
                          <w:r>
                            <w:rPr>
                              <w:b/>
                              <w:color w:val="231F20"/>
                              <w:spacing w:val="-6"/>
                              <w:sz w:val="20"/>
                            </w:rPr>
                            <w:t> </w:t>
                          </w:r>
                          <w:r>
                            <w:rPr>
                              <w:b/>
                              <w:color w:val="231F20"/>
                              <w:sz w:val="20"/>
                            </w:rPr>
                            <w:t>CHARLES</w:t>
                          </w:r>
                          <w:r>
                            <w:rPr>
                              <w:b/>
                              <w:color w:val="231F20"/>
                              <w:spacing w:val="-5"/>
                              <w:sz w:val="20"/>
                            </w:rPr>
                            <w:t> </w:t>
                          </w:r>
                          <w:r>
                            <w:rPr>
                              <w:b/>
                              <w:color w:val="231F20"/>
                              <w:sz w:val="20"/>
                            </w:rPr>
                            <w:t>SCHWAB</w:t>
                          </w:r>
                          <w:r>
                            <w:rPr>
                              <w:b/>
                              <w:color w:val="231F20"/>
                              <w:spacing w:val="-5"/>
                              <w:sz w:val="20"/>
                            </w:rPr>
                            <w:t> </w:t>
                          </w:r>
                          <w:r>
                            <w:rPr>
                              <w:b/>
                              <w:color w:val="231F20"/>
                              <w:spacing w:val="-2"/>
                              <w:sz w:val="20"/>
                            </w:rPr>
                            <w:t>CORPORATION</w:t>
                          </w:r>
                        </w:p>
                        <w:p>
                          <w:pPr>
                            <w:spacing w:before="10"/>
                            <w:ind w:left="2" w:right="2" w:firstLine="0"/>
                            <w:jc w:val="center"/>
                            <w:rPr>
                              <w:b/>
                              <w:sz w:val="20"/>
                            </w:rPr>
                          </w:pPr>
                          <w:r>
                            <w:rPr>
                              <w:b/>
                              <w:color w:val="231F20"/>
                              <w:sz w:val="20"/>
                            </w:rPr>
                            <w:t>Management’s</w:t>
                          </w:r>
                          <w:r>
                            <w:rPr>
                              <w:b/>
                              <w:color w:val="231F20"/>
                              <w:spacing w:val="-9"/>
                              <w:sz w:val="20"/>
                            </w:rPr>
                            <w:t> </w:t>
                          </w:r>
                          <w:r>
                            <w:rPr>
                              <w:b/>
                              <w:color w:val="231F20"/>
                              <w:sz w:val="20"/>
                            </w:rPr>
                            <w:t>Discussion</w:t>
                          </w:r>
                          <w:r>
                            <w:rPr>
                              <w:b/>
                              <w:color w:val="231F20"/>
                              <w:spacing w:val="-6"/>
                              <w:sz w:val="20"/>
                            </w:rPr>
                            <w:t> </w:t>
                          </w:r>
                          <w:r>
                            <w:rPr>
                              <w:b/>
                              <w:color w:val="231F20"/>
                              <w:sz w:val="20"/>
                            </w:rPr>
                            <w:t>and</w:t>
                          </w:r>
                          <w:r>
                            <w:rPr>
                              <w:b/>
                              <w:color w:val="231F20"/>
                              <w:spacing w:val="-7"/>
                              <w:sz w:val="20"/>
                            </w:rPr>
                            <w:t> </w:t>
                          </w:r>
                          <w:r>
                            <w:rPr>
                              <w:b/>
                              <w:color w:val="231F20"/>
                              <w:sz w:val="20"/>
                            </w:rPr>
                            <w:t>Analysis</w:t>
                          </w:r>
                          <w:r>
                            <w:rPr>
                              <w:b/>
                              <w:color w:val="231F20"/>
                              <w:spacing w:val="-6"/>
                              <w:sz w:val="20"/>
                            </w:rPr>
                            <w:t> </w:t>
                          </w:r>
                          <w:r>
                            <w:rPr>
                              <w:b/>
                              <w:color w:val="231F20"/>
                              <w:sz w:val="20"/>
                            </w:rPr>
                            <w:t>of</w:t>
                          </w:r>
                          <w:r>
                            <w:rPr>
                              <w:b/>
                              <w:color w:val="231F20"/>
                              <w:spacing w:val="-7"/>
                              <w:sz w:val="20"/>
                            </w:rPr>
                            <w:t> </w:t>
                          </w:r>
                          <w:r>
                            <w:rPr>
                              <w:b/>
                              <w:color w:val="231F20"/>
                              <w:sz w:val="20"/>
                            </w:rPr>
                            <w:t>Financial</w:t>
                          </w:r>
                          <w:r>
                            <w:rPr>
                              <w:b/>
                              <w:color w:val="231F20"/>
                              <w:spacing w:val="-6"/>
                              <w:sz w:val="20"/>
                            </w:rPr>
                            <w:t> </w:t>
                          </w:r>
                          <w:r>
                            <w:rPr>
                              <w:b/>
                              <w:color w:val="231F20"/>
                              <w:sz w:val="20"/>
                            </w:rPr>
                            <w:t>Condition</w:t>
                          </w:r>
                          <w:r>
                            <w:rPr>
                              <w:b/>
                              <w:color w:val="231F20"/>
                              <w:spacing w:val="-7"/>
                              <w:sz w:val="20"/>
                            </w:rPr>
                            <w:t> </w:t>
                          </w:r>
                          <w:r>
                            <w:rPr>
                              <w:b/>
                              <w:color w:val="231F20"/>
                              <w:sz w:val="20"/>
                            </w:rPr>
                            <w:t>and</w:t>
                          </w:r>
                          <w:r>
                            <w:rPr>
                              <w:b/>
                              <w:color w:val="231F20"/>
                              <w:spacing w:val="-5"/>
                              <w:sz w:val="20"/>
                            </w:rPr>
                            <w:t> </w:t>
                          </w:r>
                          <w:r>
                            <w:rPr>
                              <w:b/>
                              <w:color w:val="231F20"/>
                              <w:sz w:val="20"/>
                            </w:rPr>
                            <w:t>Results</w:t>
                          </w:r>
                          <w:r>
                            <w:rPr>
                              <w:b/>
                              <w:color w:val="231F20"/>
                              <w:spacing w:val="-6"/>
                              <w:sz w:val="20"/>
                            </w:rPr>
                            <w:t> </w:t>
                          </w:r>
                          <w:r>
                            <w:rPr>
                              <w:b/>
                              <w:color w:val="231F20"/>
                              <w:sz w:val="20"/>
                            </w:rPr>
                            <w:t>of</w:t>
                          </w:r>
                          <w:r>
                            <w:rPr>
                              <w:b/>
                              <w:color w:val="231F20"/>
                              <w:spacing w:val="-6"/>
                              <w:sz w:val="20"/>
                            </w:rPr>
                            <w:t> </w:t>
                          </w:r>
                          <w:r>
                            <w:rPr>
                              <w:b/>
                              <w:color w:val="231F20"/>
                              <w:spacing w:val="-2"/>
                              <w:sz w:val="20"/>
                            </w:rPr>
                            <w:t>Operations</w:t>
                          </w:r>
                        </w:p>
                        <w:p>
                          <w:pPr>
                            <w:spacing w:before="23"/>
                            <w:ind w:left="2" w:right="0" w:firstLine="0"/>
                            <w:jc w:val="center"/>
                            <w:rPr>
                              <w:sz w:val="16"/>
                            </w:rPr>
                          </w:pPr>
                          <w:r>
                            <w:rPr>
                              <w:color w:val="231F20"/>
                              <w:sz w:val="16"/>
                            </w:rPr>
                            <w:t>(Tabular</w:t>
                          </w:r>
                          <w:r>
                            <w:rPr>
                              <w:color w:val="231F20"/>
                              <w:spacing w:val="-1"/>
                              <w:sz w:val="16"/>
                            </w:rPr>
                            <w:t> </w:t>
                          </w:r>
                          <w:r>
                            <w:rPr>
                              <w:color w:val="231F20"/>
                              <w:sz w:val="16"/>
                            </w:rPr>
                            <w:t>Amounts</w:t>
                          </w:r>
                          <w:r>
                            <w:rPr>
                              <w:color w:val="231F20"/>
                              <w:spacing w:val="-2"/>
                              <w:sz w:val="16"/>
                            </w:rPr>
                            <w:t> </w:t>
                          </w:r>
                          <w:r>
                            <w:rPr>
                              <w:color w:val="231F20"/>
                              <w:sz w:val="16"/>
                            </w:rPr>
                            <w:t>in</w:t>
                          </w:r>
                          <w:r>
                            <w:rPr>
                              <w:color w:val="231F20"/>
                              <w:spacing w:val="-1"/>
                              <w:sz w:val="16"/>
                            </w:rPr>
                            <w:t> </w:t>
                          </w:r>
                          <w:r>
                            <w:rPr>
                              <w:color w:val="231F20"/>
                              <w:sz w:val="16"/>
                            </w:rPr>
                            <w:t>Millions,</w:t>
                          </w:r>
                          <w:r>
                            <w:rPr>
                              <w:color w:val="231F20"/>
                              <w:spacing w:val="-1"/>
                              <w:sz w:val="16"/>
                            </w:rPr>
                            <w:t> </w:t>
                          </w:r>
                          <w:r>
                            <w:rPr>
                              <w:color w:val="231F20"/>
                              <w:sz w:val="16"/>
                            </w:rPr>
                            <w:t>Except</w:t>
                          </w:r>
                          <w:r>
                            <w:rPr>
                              <w:color w:val="231F20"/>
                              <w:spacing w:val="-1"/>
                              <w:sz w:val="16"/>
                            </w:rPr>
                            <w:t> </w:t>
                          </w:r>
                          <w:r>
                            <w:rPr>
                              <w:color w:val="231F20"/>
                              <w:sz w:val="16"/>
                            </w:rPr>
                            <w:t>Ratios,</w:t>
                          </w:r>
                          <w:r>
                            <w:rPr>
                              <w:color w:val="231F20"/>
                              <w:spacing w:val="-1"/>
                              <w:sz w:val="16"/>
                            </w:rPr>
                            <w:t> </w:t>
                          </w:r>
                          <w:r>
                            <w:rPr>
                              <w:color w:val="231F20"/>
                              <w:sz w:val="16"/>
                            </w:rPr>
                            <w:t>or</w:t>
                          </w:r>
                          <w:r>
                            <w:rPr>
                              <w:color w:val="231F20"/>
                              <w:spacing w:val="-1"/>
                              <w:sz w:val="16"/>
                            </w:rPr>
                            <w:t> </w:t>
                          </w:r>
                          <w:r>
                            <w:rPr>
                              <w:color w:val="231F20"/>
                              <w:sz w:val="16"/>
                            </w:rPr>
                            <w:t>as</w:t>
                          </w:r>
                          <w:r>
                            <w:rPr>
                              <w:color w:val="231F20"/>
                              <w:spacing w:val="-1"/>
                              <w:sz w:val="16"/>
                            </w:rPr>
                            <w:t> </w:t>
                          </w:r>
                          <w:r>
                            <w:rPr>
                              <w:color w:val="231F20"/>
                              <w:spacing w:val="-2"/>
                              <w:sz w:val="16"/>
                            </w:rPr>
                            <w:t>Noted)</w:t>
                          </w:r>
                        </w:p>
                      </w:txbxContent>
                    </wps:txbx>
                    <wps:bodyPr wrap="square" lIns="0" tIns="0" rIns="0" bIns="0" rtlCol="0">
                      <a:noAutofit/>
                    </wps:bodyPr>
                  </wps:wsp>
                </a:graphicData>
              </a:graphic>
            </wp:anchor>
          </w:drawing>
        </mc:Choice>
        <mc:Fallback>
          <w:pict>
            <v:shape style="position:absolute;margin-left:115.080002pt;margin-top:24.610367pt;width:381.8pt;height:35.450pt;mso-position-horizontal-relative:page;mso-position-vertical-relative:page;z-index:-27415552" type="#_x0000_t202" id="docshape2" filled="false" stroked="false">
              <v:textbox inset="0,0,0,0">
                <w:txbxContent>
                  <w:p>
                    <w:pPr>
                      <w:spacing w:before="11"/>
                      <w:ind w:left="2" w:right="2" w:firstLine="0"/>
                      <w:jc w:val="center"/>
                      <w:rPr>
                        <w:b/>
                        <w:sz w:val="20"/>
                      </w:rPr>
                    </w:pPr>
                    <w:r>
                      <w:rPr>
                        <w:b/>
                        <w:color w:val="231F20"/>
                        <w:sz w:val="20"/>
                      </w:rPr>
                      <w:t>THE</w:t>
                    </w:r>
                    <w:r>
                      <w:rPr>
                        <w:b/>
                        <w:color w:val="231F20"/>
                        <w:spacing w:val="-6"/>
                        <w:sz w:val="20"/>
                      </w:rPr>
                      <w:t> </w:t>
                    </w:r>
                    <w:r>
                      <w:rPr>
                        <w:b/>
                        <w:color w:val="231F20"/>
                        <w:sz w:val="20"/>
                      </w:rPr>
                      <w:t>CHARLES</w:t>
                    </w:r>
                    <w:r>
                      <w:rPr>
                        <w:b/>
                        <w:color w:val="231F20"/>
                        <w:spacing w:val="-5"/>
                        <w:sz w:val="20"/>
                      </w:rPr>
                      <w:t> </w:t>
                    </w:r>
                    <w:r>
                      <w:rPr>
                        <w:b/>
                        <w:color w:val="231F20"/>
                        <w:sz w:val="20"/>
                      </w:rPr>
                      <w:t>SCHWAB</w:t>
                    </w:r>
                    <w:r>
                      <w:rPr>
                        <w:b/>
                        <w:color w:val="231F20"/>
                        <w:spacing w:val="-5"/>
                        <w:sz w:val="20"/>
                      </w:rPr>
                      <w:t> </w:t>
                    </w:r>
                    <w:r>
                      <w:rPr>
                        <w:b/>
                        <w:color w:val="231F20"/>
                        <w:spacing w:val="-2"/>
                        <w:sz w:val="20"/>
                      </w:rPr>
                      <w:t>CORPORATION</w:t>
                    </w:r>
                  </w:p>
                  <w:p>
                    <w:pPr>
                      <w:spacing w:before="10"/>
                      <w:ind w:left="2" w:right="2" w:firstLine="0"/>
                      <w:jc w:val="center"/>
                      <w:rPr>
                        <w:b/>
                        <w:sz w:val="20"/>
                      </w:rPr>
                    </w:pPr>
                    <w:r>
                      <w:rPr>
                        <w:b/>
                        <w:color w:val="231F20"/>
                        <w:sz w:val="20"/>
                      </w:rPr>
                      <w:t>Management’s</w:t>
                    </w:r>
                    <w:r>
                      <w:rPr>
                        <w:b/>
                        <w:color w:val="231F20"/>
                        <w:spacing w:val="-9"/>
                        <w:sz w:val="20"/>
                      </w:rPr>
                      <w:t> </w:t>
                    </w:r>
                    <w:r>
                      <w:rPr>
                        <w:b/>
                        <w:color w:val="231F20"/>
                        <w:sz w:val="20"/>
                      </w:rPr>
                      <w:t>Discussion</w:t>
                    </w:r>
                    <w:r>
                      <w:rPr>
                        <w:b/>
                        <w:color w:val="231F20"/>
                        <w:spacing w:val="-6"/>
                        <w:sz w:val="20"/>
                      </w:rPr>
                      <w:t> </w:t>
                    </w:r>
                    <w:r>
                      <w:rPr>
                        <w:b/>
                        <w:color w:val="231F20"/>
                        <w:sz w:val="20"/>
                      </w:rPr>
                      <w:t>and</w:t>
                    </w:r>
                    <w:r>
                      <w:rPr>
                        <w:b/>
                        <w:color w:val="231F20"/>
                        <w:spacing w:val="-7"/>
                        <w:sz w:val="20"/>
                      </w:rPr>
                      <w:t> </w:t>
                    </w:r>
                    <w:r>
                      <w:rPr>
                        <w:b/>
                        <w:color w:val="231F20"/>
                        <w:sz w:val="20"/>
                      </w:rPr>
                      <w:t>Analysis</w:t>
                    </w:r>
                    <w:r>
                      <w:rPr>
                        <w:b/>
                        <w:color w:val="231F20"/>
                        <w:spacing w:val="-6"/>
                        <w:sz w:val="20"/>
                      </w:rPr>
                      <w:t> </w:t>
                    </w:r>
                    <w:r>
                      <w:rPr>
                        <w:b/>
                        <w:color w:val="231F20"/>
                        <w:sz w:val="20"/>
                      </w:rPr>
                      <w:t>of</w:t>
                    </w:r>
                    <w:r>
                      <w:rPr>
                        <w:b/>
                        <w:color w:val="231F20"/>
                        <w:spacing w:val="-7"/>
                        <w:sz w:val="20"/>
                      </w:rPr>
                      <w:t> </w:t>
                    </w:r>
                    <w:r>
                      <w:rPr>
                        <w:b/>
                        <w:color w:val="231F20"/>
                        <w:sz w:val="20"/>
                      </w:rPr>
                      <w:t>Financial</w:t>
                    </w:r>
                    <w:r>
                      <w:rPr>
                        <w:b/>
                        <w:color w:val="231F20"/>
                        <w:spacing w:val="-6"/>
                        <w:sz w:val="20"/>
                      </w:rPr>
                      <w:t> </w:t>
                    </w:r>
                    <w:r>
                      <w:rPr>
                        <w:b/>
                        <w:color w:val="231F20"/>
                        <w:sz w:val="20"/>
                      </w:rPr>
                      <w:t>Condition</w:t>
                    </w:r>
                    <w:r>
                      <w:rPr>
                        <w:b/>
                        <w:color w:val="231F20"/>
                        <w:spacing w:val="-7"/>
                        <w:sz w:val="20"/>
                      </w:rPr>
                      <w:t> </w:t>
                    </w:r>
                    <w:r>
                      <w:rPr>
                        <w:b/>
                        <w:color w:val="231F20"/>
                        <w:sz w:val="20"/>
                      </w:rPr>
                      <w:t>and</w:t>
                    </w:r>
                    <w:r>
                      <w:rPr>
                        <w:b/>
                        <w:color w:val="231F20"/>
                        <w:spacing w:val="-5"/>
                        <w:sz w:val="20"/>
                      </w:rPr>
                      <w:t> </w:t>
                    </w:r>
                    <w:r>
                      <w:rPr>
                        <w:b/>
                        <w:color w:val="231F20"/>
                        <w:sz w:val="20"/>
                      </w:rPr>
                      <w:t>Results</w:t>
                    </w:r>
                    <w:r>
                      <w:rPr>
                        <w:b/>
                        <w:color w:val="231F20"/>
                        <w:spacing w:val="-6"/>
                        <w:sz w:val="20"/>
                      </w:rPr>
                      <w:t> </w:t>
                    </w:r>
                    <w:r>
                      <w:rPr>
                        <w:b/>
                        <w:color w:val="231F20"/>
                        <w:sz w:val="20"/>
                      </w:rPr>
                      <w:t>of</w:t>
                    </w:r>
                    <w:r>
                      <w:rPr>
                        <w:b/>
                        <w:color w:val="231F20"/>
                        <w:spacing w:val="-6"/>
                        <w:sz w:val="20"/>
                      </w:rPr>
                      <w:t> </w:t>
                    </w:r>
                    <w:r>
                      <w:rPr>
                        <w:b/>
                        <w:color w:val="231F20"/>
                        <w:spacing w:val="-2"/>
                        <w:sz w:val="20"/>
                      </w:rPr>
                      <w:t>Operations</w:t>
                    </w:r>
                  </w:p>
                  <w:p>
                    <w:pPr>
                      <w:spacing w:before="23"/>
                      <w:ind w:left="2" w:right="0" w:firstLine="0"/>
                      <w:jc w:val="center"/>
                      <w:rPr>
                        <w:sz w:val="16"/>
                      </w:rPr>
                    </w:pPr>
                    <w:r>
                      <w:rPr>
                        <w:color w:val="231F20"/>
                        <w:sz w:val="16"/>
                      </w:rPr>
                      <w:t>(Tabular</w:t>
                    </w:r>
                    <w:r>
                      <w:rPr>
                        <w:color w:val="231F20"/>
                        <w:spacing w:val="-1"/>
                        <w:sz w:val="16"/>
                      </w:rPr>
                      <w:t> </w:t>
                    </w:r>
                    <w:r>
                      <w:rPr>
                        <w:color w:val="231F20"/>
                        <w:sz w:val="16"/>
                      </w:rPr>
                      <w:t>Amounts</w:t>
                    </w:r>
                    <w:r>
                      <w:rPr>
                        <w:color w:val="231F20"/>
                        <w:spacing w:val="-2"/>
                        <w:sz w:val="16"/>
                      </w:rPr>
                      <w:t> </w:t>
                    </w:r>
                    <w:r>
                      <w:rPr>
                        <w:color w:val="231F20"/>
                        <w:sz w:val="16"/>
                      </w:rPr>
                      <w:t>in</w:t>
                    </w:r>
                    <w:r>
                      <w:rPr>
                        <w:color w:val="231F20"/>
                        <w:spacing w:val="-1"/>
                        <w:sz w:val="16"/>
                      </w:rPr>
                      <w:t> </w:t>
                    </w:r>
                    <w:r>
                      <w:rPr>
                        <w:color w:val="231F20"/>
                        <w:sz w:val="16"/>
                      </w:rPr>
                      <w:t>Millions,</w:t>
                    </w:r>
                    <w:r>
                      <w:rPr>
                        <w:color w:val="231F20"/>
                        <w:spacing w:val="-1"/>
                        <w:sz w:val="16"/>
                      </w:rPr>
                      <w:t> </w:t>
                    </w:r>
                    <w:r>
                      <w:rPr>
                        <w:color w:val="231F20"/>
                        <w:sz w:val="16"/>
                      </w:rPr>
                      <w:t>Except</w:t>
                    </w:r>
                    <w:r>
                      <w:rPr>
                        <w:color w:val="231F20"/>
                        <w:spacing w:val="-1"/>
                        <w:sz w:val="16"/>
                      </w:rPr>
                      <w:t> </w:t>
                    </w:r>
                    <w:r>
                      <w:rPr>
                        <w:color w:val="231F20"/>
                        <w:sz w:val="16"/>
                      </w:rPr>
                      <w:t>Ratios,</w:t>
                    </w:r>
                    <w:r>
                      <w:rPr>
                        <w:color w:val="231F20"/>
                        <w:spacing w:val="-1"/>
                        <w:sz w:val="16"/>
                      </w:rPr>
                      <w:t> </w:t>
                    </w:r>
                    <w:r>
                      <w:rPr>
                        <w:color w:val="231F20"/>
                        <w:sz w:val="16"/>
                      </w:rPr>
                      <w:t>or</w:t>
                    </w:r>
                    <w:r>
                      <w:rPr>
                        <w:color w:val="231F20"/>
                        <w:spacing w:val="-1"/>
                        <w:sz w:val="16"/>
                      </w:rPr>
                      <w:t> </w:t>
                    </w:r>
                    <w:r>
                      <w:rPr>
                        <w:color w:val="231F20"/>
                        <w:sz w:val="16"/>
                      </w:rPr>
                      <w:t>as</w:t>
                    </w:r>
                    <w:r>
                      <w:rPr>
                        <w:color w:val="231F20"/>
                        <w:spacing w:val="-1"/>
                        <w:sz w:val="16"/>
                      </w:rPr>
                      <w:t> </w:t>
                    </w:r>
                    <w:r>
                      <w:rPr>
                        <w:color w:val="231F20"/>
                        <w:spacing w:val="-2"/>
                        <w:sz w:val="16"/>
                      </w:rPr>
                      <w:t>Noted)</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5909632">
              <wp:simplePos x="0" y="0"/>
              <wp:positionH relativeFrom="page">
                <wp:posOffset>2620010</wp:posOffset>
              </wp:positionH>
              <wp:positionV relativeFrom="page">
                <wp:posOffset>283957</wp:posOffset>
              </wp:positionV>
              <wp:extent cx="2532380" cy="166370"/>
              <wp:effectExtent l="0" t="0" r="0" b="0"/>
              <wp:wrapNone/>
              <wp:docPr id="756" name="Textbox 756"/>
              <wp:cNvGraphicFramePr>
                <a:graphicFrameLocks/>
              </wp:cNvGraphicFramePr>
              <a:graphic>
                <a:graphicData uri="http://schemas.microsoft.com/office/word/2010/wordprocessingShape">
                  <wps:wsp>
                    <wps:cNvPr id="756" name="Textbox 756"/>
                    <wps:cNvSpPr txBox="1"/>
                    <wps:spPr>
                      <a:xfrm>
                        <a:off x="0" y="0"/>
                        <a:ext cx="2532380" cy="166370"/>
                      </a:xfrm>
                      <a:prstGeom prst="rect">
                        <a:avLst/>
                      </a:prstGeom>
                    </wps:spPr>
                    <wps:txbx>
                      <w:txbxContent>
                        <w:p>
                          <w:pPr>
                            <w:spacing w:before="11"/>
                            <w:ind w:left="20" w:right="0" w:firstLine="0"/>
                            <w:jc w:val="left"/>
                            <w:rPr>
                              <w:b/>
                              <w:sz w:val="20"/>
                            </w:rPr>
                          </w:pPr>
                          <w:r>
                            <w:rPr>
                              <w:b/>
                              <w:sz w:val="20"/>
                            </w:rPr>
                            <w:t>THE</w:t>
                          </w:r>
                          <w:r>
                            <w:rPr>
                              <w:b/>
                              <w:spacing w:val="-5"/>
                              <w:sz w:val="20"/>
                            </w:rPr>
                            <w:t> </w:t>
                          </w:r>
                          <w:r>
                            <w:rPr>
                              <w:b/>
                              <w:sz w:val="20"/>
                            </w:rPr>
                            <w:t>CHARLES</w:t>
                          </w:r>
                          <w:r>
                            <w:rPr>
                              <w:b/>
                              <w:spacing w:val="-5"/>
                              <w:sz w:val="20"/>
                            </w:rPr>
                            <w:t> </w:t>
                          </w:r>
                          <w:r>
                            <w:rPr>
                              <w:b/>
                              <w:sz w:val="20"/>
                            </w:rPr>
                            <w:t>SCHWAB</w:t>
                          </w:r>
                          <w:r>
                            <w:rPr>
                              <w:b/>
                              <w:spacing w:val="-5"/>
                              <w:sz w:val="20"/>
                            </w:rPr>
                            <w:t> </w:t>
                          </w:r>
                          <w:r>
                            <w:rPr>
                              <w:b/>
                              <w:spacing w:val="-2"/>
                              <w:sz w:val="20"/>
                            </w:rPr>
                            <w:t>CORPORATION</w:t>
                          </w:r>
                        </w:p>
                      </w:txbxContent>
                    </wps:txbx>
                    <wps:bodyPr wrap="square" lIns="0" tIns="0" rIns="0" bIns="0" rtlCol="0">
                      <a:noAutofit/>
                    </wps:bodyPr>
                  </wps:wsp>
                </a:graphicData>
              </a:graphic>
            </wp:anchor>
          </w:drawing>
        </mc:Choice>
        <mc:Fallback>
          <w:pict>
            <v:shape style="position:absolute;margin-left:206.300003pt;margin-top:22.358868pt;width:199.4pt;height:13.1pt;mso-position-horizontal-relative:page;mso-position-vertical-relative:page;z-index:-27406848" type="#_x0000_t202" id="docshape542" filled="false" stroked="false">
              <v:textbox inset="0,0,0,0">
                <w:txbxContent>
                  <w:p>
                    <w:pPr>
                      <w:spacing w:before="11"/>
                      <w:ind w:left="20" w:right="0" w:firstLine="0"/>
                      <w:jc w:val="left"/>
                      <w:rPr>
                        <w:b/>
                        <w:sz w:val="20"/>
                      </w:rPr>
                    </w:pPr>
                    <w:r>
                      <w:rPr>
                        <w:b/>
                        <w:sz w:val="20"/>
                      </w:rPr>
                      <w:t>THE</w:t>
                    </w:r>
                    <w:r>
                      <w:rPr>
                        <w:b/>
                        <w:spacing w:val="-5"/>
                        <w:sz w:val="20"/>
                      </w:rPr>
                      <w:t> </w:t>
                    </w:r>
                    <w:r>
                      <w:rPr>
                        <w:b/>
                        <w:sz w:val="20"/>
                      </w:rPr>
                      <w:t>CHARLES</w:t>
                    </w:r>
                    <w:r>
                      <w:rPr>
                        <w:b/>
                        <w:spacing w:val="-5"/>
                        <w:sz w:val="20"/>
                      </w:rPr>
                      <w:t> </w:t>
                    </w:r>
                    <w:r>
                      <w:rPr>
                        <w:b/>
                        <w:sz w:val="20"/>
                      </w:rPr>
                      <w:t>SCHWAB</w:t>
                    </w:r>
                    <w:r>
                      <w:rPr>
                        <w:b/>
                        <w:spacing w:val="-5"/>
                        <w:sz w:val="20"/>
                      </w:rPr>
                      <w:t> </w:t>
                    </w:r>
                    <w:r>
                      <w:rPr>
                        <w:b/>
                        <w:spacing w:val="-2"/>
                        <w:sz w:val="20"/>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75910144">
              <wp:simplePos x="0" y="0"/>
              <wp:positionH relativeFrom="page">
                <wp:posOffset>6334125</wp:posOffset>
              </wp:positionH>
              <wp:positionV relativeFrom="page">
                <wp:posOffset>531607</wp:posOffset>
              </wp:positionV>
              <wp:extent cx="860425" cy="166370"/>
              <wp:effectExtent l="0" t="0" r="0" b="0"/>
              <wp:wrapNone/>
              <wp:docPr id="757" name="Textbox 757"/>
              <wp:cNvGraphicFramePr>
                <a:graphicFrameLocks/>
              </wp:cNvGraphicFramePr>
              <a:graphic>
                <a:graphicData uri="http://schemas.microsoft.com/office/word/2010/wordprocessingShape">
                  <wps:wsp>
                    <wps:cNvPr id="757" name="Textbox 757"/>
                    <wps:cNvSpPr txBox="1"/>
                    <wps:spPr>
                      <a:xfrm>
                        <a:off x="0" y="0"/>
                        <a:ext cx="860425" cy="166370"/>
                      </a:xfrm>
                      <a:prstGeom prst="rect">
                        <a:avLst/>
                      </a:prstGeom>
                    </wps:spPr>
                    <wps:txbx>
                      <w:txbxContent>
                        <w:p>
                          <w:pPr>
                            <w:spacing w:before="11"/>
                            <w:ind w:left="20" w:right="0" w:firstLine="0"/>
                            <w:jc w:val="left"/>
                            <w:rPr>
                              <w:b/>
                              <w:sz w:val="20"/>
                            </w:rPr>
                          </w:pPr>
                          <w:r>
                            <w:rPr>
                              <w:b/>
                              <w:sz w:val="20"/>
                            </w:rPr>
                            <w:t>EXHIBIT</w:t>
                          </w:r>
                          <w:r>
                            <w:rPr>
                              <w:b/>
                              <w:spacing w:val="-7"/>
                              <w:sz w:val="20"/>
                            </w:rPr>
                            <w:t> </w:t>
                          </w:r>
                          <w:r>
                            <w:rPr>
                              <w:b/>
                              <w:spacing w:val="-4"/>
                              <w:sz w:val="20"/>
                            </w:rPr>
                            <w:t>31.</w:t>
                          </w:r>
                          <w:r>
                            <w:rPr>
                              <w:b/>
                              <w:spacing w:val="-4"/>
                              <w:sz w:val="20"/>
                            </w:rPr>
                            <w:fldChar w:fldCharType="begin"/>
                          </w:r>
                          <w:r>
                            <w:rPr>
                              <w:b/>
                              <w:spacing w:val="-4"/>
                              <w:sz w:val="20"/>
                            </w:rPr>
                            <w:instrText> PAGE </w:instrText>
                          </w:r>
                          <w:r>
                            <w:rPr>
                              <w:b/>
                              <w:spacing w:val="-4"/>
                              <w:sz w:val="20"/>
                            </w:rPr>
                            <w:fldChar w:fldCharType="separate"/>
                          </w:r>
                          <w:r>
                            <w:rPr>
                              <w:b/>
                              <w:spacing w:val="-4"/>
                              <w:sz w:val="20"/>
                            </w:rPr>
                            <w:t>2</w:t>
                          </w:r>
                          <w:r>
                            <w:rPr>
                              <w:b/>
                              <w:spacing w:val="-4"/>
                              <w:sz w:val="20"/>
                            </w:rPr>
                            <w:fldChar w:fldCharType="end"/>
                          </w:r>
                        </w:p>
                      </w:txbxContent>
                    </wps:txbx>
                    <wps:bodyPr wrap="square" lIns="0" tIns="0" rIns="0" bIns="0" rtlCol="0">
                      <a:noAutofit/>
                    </wps:bodyPr>
                  </wps:wsp>
                </a:graphicData>
              </a:graphic>
            </wp:anchor>
          </w:drawing>
        </mc:Choice>
        <mc:Fallback>
          <w:pict>
            <v:shape style="position:absolute;margin-left:498.75pt;margin-top:41.858868pt;width:67.75pt;height:13.1pt;mso-position-horizontal-relative:page;mso-position-vertical-relative:page;z-index:-27406336" type="#_x0000_t202" id="docshape543" filled="false" stroked="false">
              <v:textbox inset="0,0,0,0">
                <w:txbxContent>
                  <w:p>
                    <w:pPr>
                      <w:spacing w:before="11"/>
                      <w:ind w:left="20" w:right="0" w:firstLine="0"/>
                      <w:jc w:val="left"/>
                      <w:rPr>
                        <w:b/>
                        <w:sz w:val="20"/>
                      </w:rPr>
                    </w:pPr>
                    <w:r>
                      <w:rPr>
                        <w:b/>
                        <w:sz w:val="20"/>
                      </w:rPr>
                      <w:t>EXHIBIT</w:t>
                    </w:r>
                    <w:r>
                      <w:rPr>
                        <w:b/>
                        <w:spacing w:val="-7"/>
                        <w:sz w:val="20"/>
                      </w:rPr>
                      <w:t> </w:t>
                    </w:r>
                    <w:r>
                      <w:rPr>
                        <w:b/>
                        <w:spacing w:val="-4"/>
                        <w:sz w:val="20"/>
                      </w:rPr>
                      <w:t>31.</w:t>
                    </w:r>
                    <w:r>
                      <w:rPr>
                        <w:b/>
                        <w:spacing w:val="-4"/>
                        <w:sz w:val="20"/>
                      </w:rPr>
                      <w:fldChar w:fldCharType="begin"/>
                    </w:r>
                    <w:r>
                      <w:rPr>
                        <w:b/>
                        <w:spacing w:val="-4"/>
                        <w:sz w:val="20"/>
                      </w:rPr>
                      <w:instrText> PAGE </w:instrText>
                    </w:r>
                    <w:r>
                      <w:rPr>
                        <w:b/>
                        <w:spacing w:val="-4"/>
                        <w:sz w:val="20"/>
                      </w:rPr>
                      <w:fldChar w:fldCharType="separate"/>
                    </w:r>
                    <w:r>
                      <w:rPr>
                        <w:b/>
                        <w:spacing w:val="-4"/>
                        <w:sz w:val="20"/>
                      </w:rPr>
                      <w:t>2</w:t>
                    </w:r>
                    <w:r>
                      <w:rPr>
                        <w:b/>
                        <w:spacing w:val="-4"/>
                        <w:sz w:val="20"/>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5910656">
              <wp:simplePos x="0" y="0"/>
              <wp:positionH relativeFrom="page">
                <wp:posOffset>2604135</wp:posOffset>
              </wp:positionH>
              <wp:positionV relativeFrom="page">
                <wp:posOffset>285989</wp:posOffset>
              </wp:positionV>
              <wp:extent cx="2532380" cy="166370"/>
              <wp:effectExtent l="0" t="0" r="0" b="0"/>
              <wp:wrapNone/>
              <wp:docPr id="764" name="Textbox 764"/>
              <wp:cNvGraphicFramePr>
                <a:graphicFrameLocks/>
              </wp:cNvGraphicFramePr>
              <a:graphic>
                <a:graphicData uri="http://schemas.microsoft.com/office/word/2010/wordprocessingShape">
                  <wps:wsp>
                    <wps:cNvPr id="764" name="Textbox 764"/>
                    <wps:cNvSpPr txBox="1"/>
                    <wps:spPr>
                      <a:xfrm>
                        <a:off x="0" y="0"/>
                        <a:ext cx="2532380" cy="166370"/>
                      </a:xfrm>
                      <a:prstGeom prst="rect">
                        <a:avLst/>
                      </a:prstGeom>
                    </wps:spPr>
                    <wps:txbx>
                      <w:txbxContent>
                        <w:p>
                          <w:pPr>
                            <w:spacing w:before="11"/>
                            <w:ind w:left="20" w:right="0" w:firstLine="0"/>
                            <w:jc w:val="left"/>
                            <w:rPr>
                              <w:b/>
                              <w:sz w:val="20"/>
                            </w:rPr>
                          </w:pPr>
                          <w:r>
                            <w:rPr>
                              <w:b/>
                              <w:sz w:val="20"/>
                            </w:rPr>
                            <w:t>THE</w:t>
                          </w:r>
                          <w:r>
                            <w:rPr>
                              <w:b/>
                              <w:spacing w:val="-5"/>
                              <w:sz w:val="20"/>
                            </w:rPr>
                            <w:t> </w:t>
                          </w:r>
                          <w:r>
                            <w:rPr>
                              <w:b/>
                              <w:sz w:val="20"/>
                            </w:rPr>
                            <w:t>CHARLES</w:t>
                          </w:r>
                          <w:r>
                            <w:rPr>
                              <w:b/>
                              <w:spacing w:val="-5"/>
                              <w:sz w:val="20"/>
                            </w:rPr>
                            <w:t> </w:t>
                          </w:r>
                          <w:r>
                            <w:rPr>
                              <w:b/>
                              <w:sz w:val="20"/>
                            </w:rPr>
                            <w:t>SCHWAB</w:t>
                          </w:r>
                          <w:r>
                            <w:rPr>
                              <w:b/>
                              <w:spacing w:val="-5"/>
                              <w:sz w:val="20"/>
                            </w:rPr>
                            <w:t> </w:t>
                          </w:r>
                          <w:r>
                            <w:rPr>
                              <w:b/>
                              <w:spacing w:val="-2"/>
                              <w:sz w:val="20"/>
                            </w:rPr>
                            <w:t>CORPORATION</w:t>
                          </w:r>
                        </w:p>
                      </w:txbxContent>
                    </wps:txbx>
                    <wps:bodyPr wrap="square" lIns="0" tIns="0" rIns="0" bIns="0" rtlCol="0">
                      <a:noAutofit/>
                    </wps:bodyPr>
                  </wps:wsp>
                </a:graphicData>
              </a:graphic>
            </wp:anchor>
          </w:drawing>
        </mc:Choice>
        <mc:Fallback>
          <w:pict>
            <v:shape style="position:absolute;margin-left:205.050003pt;margin-top:22.518867pt;width:199.4pt;height:13.1pt;mso-position-horizontal-relative:page;mso-position-vertical-relative:page;z-index:-27405824" type="#_x0000_t202" id="docshape548" filled="false" stroked="false">
              <v:textbox inset="0,0,0,0">
                <w:txbxContent>
                  <w:p>
                    <w:pPr>
                      <w:spacing w:before="11"/>
                      <w:ind w:left="20" w:right="0" w:firstLine="0"/>
                      <w:jc w:val="left"/>
                      <w:rPr>
                        <w:b/>
                        <w:sz w:val="20"/>
                      </w:rPr>
                    </w:pPr>
                    <w:r>
                      <w:rPr>
                        <w:b/>
                        <w:sz w:val="20"/>
                      </w:rPr>
                      <w:t>THE</w:t>
                    </w:r>
                    <w:r>
                      <w:rPr>
                        <w:b/>
                        <w:spacing w:val="-5"/>
                        <w:sz w:val="20"/>
                      </w:rPr>
                      <w:t> </w:t>
                    </w:r>
                    <w:r>
                      <w:rPr>
                        <w:b/>
                        <w:sz w:val="20"/>
                      </w:rPr>
                      <w:t>CHARLES</w:t>
                    </w:r>
                    <w:r>
                      <w:rPr>
                        <w:b/>
                        <w:spacing w:val="-5"/>
                        <w:sz w:val="20"/>
                      </w:rPr>
                      <w:t> </w:t>
                    </w:r>
                    <w:r>
                      <w:rPr>
                        <w:b/>
                        <w:sz w:val="20"/>
                      </w:rPr>
                      <w:t>SCHWAB</w:t>
                    </w:r>
                    <w:r>
                      <w:rPr>
                        <w:b/>
                        <w:spacing w:val="-5"/>
                        <w:sz w:val="20"/>
                      </w:rPr>
                      <w:t> </w:t>
                    </w:r>
                    <w:r>
                      <w:rPr>
                        <w:b/>
                        <w:spacing w:val="-2"/>
                        <w:sz w:val="20"/>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75911168">
              <wp:simplePos x="0" y="0"/>
              <wp:positionH relativeFrom="page">
                <wp:posOffset>6334125</wp:posOffset>
              </wp:positionH>
              <wp:positionV relativeFrom="page">
                <wp:posOffset>503032</wp:posOffset>
              </wp:positionV>
              <wp:extent cx="860425" cy="166370"/>
              <wp:effectExtent l="0" t="0" r="0" b="0"/>
              <wp:wrapNone/>
              <wp:docPr id="765" name="Textbox 765"/>
              <wp:cNvGraphicFramePr>
                <a:graphicFrameLocks/>
              </wp:cNvGraphicFramePr>
              <a:graphic>
                <a:graphicData uri="http://schemas.microsoft.com/office/word/2010/wordprocessingShape">
                  <wps:wsp>
                    <wps:cNvPr id="765" name="Textbox 765"/>
                    <wps:cNvSpPr txBox="1"/>
                    <wps:spPr>
                      <a:xfrm>
                        <a:off x="0" y="0"/>
                        <a:ext cx="860425" cy="166370"/>
                      </a:xfrm>
                      <a:prstGeom prst="rect">
                        <a:avLst/>
                      </a:prstGeom>
                    </wps:spPr>
                    <wps:txbx>
                      <w:txbxContent>
                        <w:p>
                          <w:pPr>
                            <w:spacing w:before="11"/>
                            <w:ind w:left="20" w:right="0" w:firstLine="0"/>
                            <w:jc w:val="left"/>
                            <w:rPr>
                              <w:b/>
                              <w:sz w:val="20"/>
                            </w:rPr>
                          </w:pPr>
                          <w:r>
                            <w:rPr>
                              <w:b/>
                              <w:sz w:val="20"/>
                            </w:rPr>
                            <w:t>EXHIBIT</w:t>
                          </w:r>
                          <w:r>
                            <w:rPr>
                              <w:b/>
                              <w:spacing w:val="-7"/>
                              <w:sz w:val="20"/>
                            </w:rPr>
                            <w:t> </w:t>
                          </w:r>
                          <w:r>
                            <w:rPr>
                              <w:b/>
                              <w:spacing w:val="-4"/>
                              <w:sz w:val="20"/>
                            </w:rPr>
                            <w:t>32.</w:t>
                          </w:r>
                          <w:r>
                            <w:rPr>
                              <w:b/>
                              <w:spacing w:val="-4"/>
                              <w:sz w:val="20"/>
                            </w:rPr>
                            <w:fldChar w:fldCharType="begin"/>
                          </w:r>
                          <w:r>
                            <w:rPr>
                              <w:b/>
                              <w:spacing w:val="-4"/>
                              <w:sz w:val="20"/>
                            </w:rPr>
                            <w:instrText> PAGE </w:instrText>
                          </w:r>
                          <w:r>
                            <w:rPr>
                              <w:b/>
                              <w:spacing w:val="-4"/>
                              <w:sz w:val="20"/>
                            </w:rPr>
                            <w:fldChar w:fldCharType="separate"/>
                          </w:r>
                          <w:r>
                            <w:rPr>
                              <w:b/>
                              <w:spacing w:val="-4"/>
                              <w:sz w:val="20"/>
                            </w:rPr>
                            <w:t>1</w:t>
                          </w:r>
                          <w:r>
                            <w:rPr>
                              <w:b/>
                              <w:spacing w:val="-4"/>
                              <w:sz w:val="20"/>
                            </w:rPr>
                            <w:fldChar w:fldCharType="end"/>
                          </w:r>
                        </w:p>
                      </w:txbxContent>
                    </wps:txbx>
                    <wps:bodyPr wrap="square" lIns="0" tIns="0" rIns="0" bIns="0" rtlCol="0">
                      <a:noAutofit/>
                    </wps:bodyPr>
                  </wps:wsp>
                </a:graphicData>
              </a:graphic>
            </wp:anchor>
          </w:drawing>
        </mc:Choice>
        <mc:Fallback>
          <w:pict>
            <v:shape style="position:absolute;margin-left:498.75pt;margin-top:39.608868pt;width:67.75pt;height:13.1pt;mso-position-horizontal-relative:page;mso-position-vertical-relative:page;z-index:-27405312" type="#_x0000_t202" id="docshape549" filled="false" stroked="false">
              <v:textbox inset="0,0,0,0">
                <w:txbxContent>
                  <w:p>
                    <w:pPr>
                      <w:spacing w:before="11"/>
                      <w:ind w:left="20" w:right="0" w:firstLine="0"/>
                      <w:jc w:val="left"/>
                      <w:rPr>
                        <w:b/>
                        <w:sz w:val="20"/>
                      </w:rPr>
                    </w:pPr>
                    <w:r>
                      <w:rPr>
                        <w:b/>
                        <w:sz w:val="20"/>
                      </w:rPr>
                      <w:t>EXHIBIT</w:t>
                    </w:r>
                    <w:r>
                      <w:rPr>
                        <w:b/>
                        <w:spacing w:val="-7"/>
                        <w:sz w:val="20"/>
                      </w:rPr>
                      <w:t> </w:t>
                    </w:r>
                    <w:r>
                      <w:rPr>
                        <w:b/>
                        <w:spacing w:val="-4"/>
                        <w:sz w:val="20"/>
                      </w:rPr>
                      <w:t>32.</w:t>
                    </w:r>
                    <w:r>
                      <w:rPr>
                        <w:b/>
                        <w:spacing w:val="-4"/>
                        <w:sz w:val="20"/>
                      </w:rPr>
                      <w:fldChar w:fldCharType="begin"/>
                    </w:r>
                    <w:r>
                      <w:rPr>
                        <w:b/>
                        <w:spacing w:val="-4"/>
                        <w:sz w:val="20"/>
                      </w:rPr>
                      <w:instrText> PAGE </w:instrText>
                    </w:r>
                    <w:r>
                      <w:rPr>
                        <w:b/>
                        <w:spacing w:val="-4"/>
                        <w:sz w:val="20"/>
                      </w:rPr>
                      <w:fldChar w:fldCharType="separate"/>
                    </w:r>
                    <w:r>
                      <w:rPr>
                        <w:b/>
                        <w:spacing w:val="-4"/>
                        <w:sz w:val="20"/>
                      </w:rPr>
                      <w:t>1</w:t>
                    </w:r>
                    <w:r>
                      <w:rPr>
                        <w:b/>
                        <w:spacing w:val="-4"/>
                        <w:sz w:val="20"/>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5911680">
              <wp:simplePos x="0" y="0"/>
              <wp:positionH relativeFrom="page">
                <wp:posOffset>2620010</wp:posOffset>
              </wp:positionH>
              <wp:positionV relativeFrom="page">
                <wp:posOffset>283957</wp:posOffset>
              </wp:positionV>
              <wp:extent cx="2532380" cy="166370"/>
              <wp:effectExtent l="0" t="0" r="0" b="0"/>
              <wp:wrapNone/>
              <wp:docPr id="772" name="Textbox 772"/>
              <wp:cNvGraphicFramePr>
                <a:graphicFrameLocks/>
              </wp:cNvGraphicFramePr>
              <a:graphic>
                <a:graphicData uri="http://schemas.microsoft.com/office/word/2010/wordprocessingShape">
                  <wps:wsp>
                    <wps:cNvPr id="772" name="Textbox 772"/>
                    <wps:cNvSpPr txBox="1"/>
                    <wps:spPr>
                      <a:xfrm>
                        <a:off x="0" y="0"/>
                        <a:ext cx="2532380" cy="166370"/>
                      </a:xfrm>
                      <a:prstGeom prst="rect">
                        <a:avLst/>
                      </a:prstGeom>
                    </wps:spPr>
                    <wps:txbx>
                      <w:txbxContent>
                        <w:p>
                          <w:pPr>
                            <w:spacing w:before="11"/>
                            <w:ind w:left="20" w:right="0" w:firstLine="0"/>
                            <w:jc w:val="left"/>
                            <w:rPr>
                              <w:b/>
                              <w:sz w:val="20"/>
                            </w:rPr>
                          </w:pPr>
                          <w:r>
                            <w:rPr>
                              <w:b/>
                              <w:sz w:val="20"/>
                            </w:rPr>
                            <w:t>THE</w:t>
                          </w:r>
                          <w:r>
                            <w:rPr>
                              <w:b/>
                              <w:spacing w:val="-5"/>
                              <w:sz w:val="20"/>
                            </w:rPr>
                            <w:t> </w:t>
                          </w:r>
                          <w:r>
                            <w:rPr>
                              <w:b/>
                              <w:sz w:val="20"/>
                            </w:rPr>
                            <w:t>CHARLES</w:t>
                          </w:r>
                          <w:r>
                            <w:rPr>
                              <w:b/>
                              <w:spacing w:val="-5"/>
                              <w:sz w:val="20"/>
                            </w:rPr>
                            <w:t> </w:t>
                          </w:r>
                          <w:r>
                            <w:rPr>
                              <w:b/>
                              <w:sz w:val="20"/>
                            </w:rPr>
                            <w:t>SCHWAB</w:t>
                          </w:r>
                          <w:r>
                            <w:rPr>
                              <w:b/>
                              <w:spacing w:val="-5"/>
                              <w:sz w:val="20"/>
                            </w:rPr>
                            <w:t> </w:t>
                          </w:r>
                          <w:r>
                            <w:rPr>
                              <w:b/>
                              <w:spacing w:val="-2"/>
                              <w:sz w:val="20"/>
                            </w:rPr>
                            <w:t>CORPORATION</w:t>
                          </w:r>
                        </w:p>
                      </w:txbxContent>
                    </wps:txbx>
                    <wps:bodyPr wrap="square" lIns="0" tIns="0" rIns="0" bIns="0" rtlCol="0">
                      <a:noAutofit/>
                    </wps:bodyPr>
                  </wps:wsp>
                </a:graphicData>
              </a:graphic>
            </wp:anchor>
          </w:drawing>
        </mc:Choice>
        <mc:Fallback>
          <w:pict>
            <v:shape style="position:absolute;margin-left:206.300003pt;margin-top:22.358868pt;width:199.4pt;height:13.1pt;mso-position-horizontal-relative:page;mso-position-vertical-relative:page;z-index:-27404800" type="#_x0000_t202" id="docshape554" filled="false" stroked="false">
              <v:textbox inset="0,0,0,0">
                <w:txbxContent>
                  <w:p>
                    <w:pPr>
                      <w:spacing w:before="11"/>
                      <w:ind w:left="20" w:right="0" w:firstLine="0"/>
                      <w:jc w:val="left"/>
                      <w:rPr>
                        <w:b/>
                        <w:sz w:val="20"/>
                      </w:rPr>
                    </w:pPr>
                    <w:r>
                      <w:rPr>
                        <w:b/>
                        <w:sz w:val="20"/>
                      </w:rPr>
                      <w:t>THE</w:t>
                    </w:r>
                    <w:r>
                      <w:rPr>
                        <w:b/>
                        <w:spacing w:val="-5"/>
                        <w:sz w:val="20"/>
                      </w:rPr>
                      <w:t> </w:t>
                    </w:r>
                    <w:r>
                      <w:rPr>
                        <w:b/>
                        <w:sz w:val="20"/>
                      </w:rPr>
                      <w:t>CHARLES</w:t>
                    </w:r>
                    <w:r>
                      <w:rPr>
                        <w:b/>
                        <w:spacing w:val="-5"/>
                        <w:sz w:val="20"/>
                      </w:rPr>
                      <w:t> </w:t>
                    </w:r>
                    <w:r>
                      <w:rPr>
                        <w:b/>
                        <w:sz w:val="20"/>
                      </w:rPr>
                      <w:t>SCHWAB</w:t>
                    </w:r>
                    <w:r>
                      <w:rPr>
                        <w:b/>
                        <w:spacing w:val="-5"/>
                        <w:sz w:val="20"/>
                      </w:rPr>
                      <w:t> </w:t>
                    </w:r>
                    <w:r>
                      <w:rPr>
                        <w:b/>
                        <w:spacing w:val="-2"/>
                        <w:sz w:val="20"/>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75912192">
              <wp:simplePos x="0" y="0"/>
              <wp:positionH relativeFrom="page">
                <wp:posOffset>6334125</wp:posOffset>
              </wp:positionH>
              <wp:positionV relativeFrom="page">
                <wp:posOffset>531607</wp:posOffset>
              </wp:positionV>
              <wp:extent cx="860425" cy="166370"/>
              <wp:effectExtent l="0" t="0" r="0" b="0"/>
              <wp:wrapNone/>
              <wp:docPr id="773" name="Textbox 773"/>
              <wp:cNvGraphicFramePr>
                <a:graphicFrameLocks/>
              </wp:cNvGraphicFramePr>
              <a:graphic>
                <a:graphicData uri="http://schemas.microsoft.com/office/word/2010/wordprocessingShape">
                  <wps:wsp>
                    <wps:cNvPr id="773" name="Textbox 773"/>
                    <wps:cNvSpPr txBox="1"/>
                    <wps:spPr>
                      <a:xfrm>
                        <a:off x="0" y="0"/>
                        <a:ext cx="860425" cy="166370"/>
                      </a:xfrm>
                      <a:prstGeom prst="rect">
                        <a:avLst/>
                      </a:prstGeom>
                    </wps:spPr>
                    <wps:txbx>
                      <w:txbxContent>
                        <w:p>
                          <w:pPr>
                            <w:spacing w:before="11"/>
                            <w:ind w:left="20" w:right="0" w:firstLine="0"/>
                            <w:jc w:val="left"/>
                            <w:rPr>
                              <w:b/>
                              <w:sz w:val="20"/>
                            </w:rPr>
                          </w:pPr>
                          <w:r>
                            <w:rPr>
                              <w:b/>
                              <w:sz w:val="20"/>
                            </w:rPr>
                            <w:t>EXHIBIT</w:t>
                          </w:r>
                          <w:r>
                            <w:rPr>
                              <w:b/>
                              <w:spacing w:val="-7"/>
                              <w:sz w:val="20"/>
                            </w:rPr>
                            <w:t> </w:t>
                          </w:r>
                          <w:r>
                            <w:rPr>
                              <w:b/>
                              <w:spacing w:val="-4"/>
                              <w:sz w:val="20"/>
                            </w:rPr>
                            <w:t>32.</w:t>
                          </w:r>
                          <w:r>
                            <w:rPr>
                              <w:b/>
                              <w:spacing w:val="-4"/>
                              <w:sz w:val="20"/>
                            </w:rPr>
                            <w:fldChar w:fldCharType="begin"/>
                          </w:r>
                          <w:r>
                            <w:rPr>
                              <w:b/>
                              <w:spacing w:val="-4"/>
                              <w:sz w:val="20"/>
                            </w:rPr>
                            <w:instrText> PAGE </w:instrText>
                          </w:r>
                          <w:r>
                            <w:rPr>
                              <w:b/>
                              <w:spacing w:val="-4"/>
                              <w:sz w:val="20"/>
                            </w:rPr>
                            <w:fldChar w:fldCharType="separate"/>
                          </w:r>
                          <w:r>
                            <w:rPr>
                              <w:b/>
                              <w:spacing w:val="-4"/>
                              <w:sz w:val="20"/>
                            </w:rPr>
                            <w:t>2</w:t>
                          </w:r>
                          <w:r>
                            <w:rPr>
                              <w:b/>
                              <w:spacing w:val="-4"/>
                              <w:sz w:val="20"/>
                            </w:rPr>
                            <w:fldChar w:fldCharType="end"/>
                          </w:r>
                        </w:p>
                      </w:txbxContent>
                    </wps:txbx>
                    <wps:bodyPr wrap="square" lIns="0" tIns="0" rIns="0" bIns="0" rtlCol="0">
                      <a:noAutofit/>
                    </wps:bodyPr>
                  </wps:wsp>
                </a:graphicData>
              </a:graphic>
            </wp:anchor>
          </w:drawing>
        </mc:Choice>
        <mc:Fallback>
          <w:pict>
            <v:shape style="position:absolute;margin-left:498.75pt;margin-top:41.858868pt;width:67.75pt;height:13.1pt;mso-position-horizontal-relative:page;mso-position-vertical-relative:page;z-index:-27404288" type="#_x0000_t202" id="docshape555" filled="false" stroked="false">
              <v:textbox inset="0,0,0,0">
                <w:txbxContent>
                  <w:p>
                    <w:pPr>
                      <w:spacing w:before="11"/>
                      <w:ind w:left="20" w:right="0" w:firstLine="0"/>
                      <w:jc w:val="left"/>
                      <w:rPr>
                        <w:b/>
                        <w:sz w:val="20"/>
                      </w:rPr>
                    </w:pPr>
                    <w:r>
                      <w:rPr>
                        <w:b/>
                        <w:sz w:val="20"/>
                      </w:rPr>
                      <w:t>EXHIBIT</w:t>
                    </w:r>
                    <w:r>
                      <w:rPr>
                        <w:b/>
                        <w:spacing w:val="-7"/>
                        <w:sz w:val="20"/>
                      </w:rPr>
                      <w:t> </w:t>
                    </w:r>
                    <w:r>
                      <w:rPr>
                        <w:b/>
                        <w:spacing w:val="-4"/>
                        <w:sz w:val="20"/>
                      </w:rPr>
                      <w:t>32.</w:t>
                    </w:r>
                    <w:r>
                      <w:rPr>
                        <w:b/>
                        <w:spacing w:val="-4"/>
                        <w:sz w:val="20"/>
                      </w:rPr>
                      <w:fldChar w:fldCharType="begin"/>
                    </w:r>
                    <w:r>
                      <w:rPr>
                        <w:b/>
                        <w:spacing w:val="-4"/>
                        <w:sz w:val="20"/>
                      </w:rPr>
                      <w:instrText> PAGE </w:instrText>
                    </w:r>
                    <w:r>
                      <w:rPr>
                        <w:b/>
                        <w:spacing w:val="-4"/>
                        <w:sz w:val="20"/>
                      </w:rPr>
                      <w:fldChar w:fldCharType="separate"/>
                    </w:r>
                    <w:r>
                      <w:rPr>
                        <w:b/>
                        <w:spacing w:val="-4"/>
                        <w:sz w:val="20"/>
                      </w:rPr>
                      <w:t>2</w:t>
                    </w:r>
                    <w:r>
                      <w:rPr>
                        <w:b/>
                        <w:spacing w:val="-4"/>
                        <w:sz w:val="20"/>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5901952">
              <wp:simplePos x="0" y="0"/>
              <wp:positionH relativeFrom="page">
                <wp:posOffset>1461516</wp:posOffset>
              </wp:positionH>
              <wp:positionV relativeFrom="page">
                <wp:posOffset>312532</wp:posOffset>
              </wp:positionV>
              <wp:extent cx="4849495" cy="45021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849495" cy="450215"/>
                      </a:xfrm>
                      <a:prstGeom prst="rect">
                        <a:avLst/>
                      </a:prstGeom>
                    </wps:spPr>
                    <wps:txbx>
                      <w:txbxContent>
                        <w:p>
                          <w:pPr>
                            <w:spacing w:before="11"/>
                            <w:ind w:left="2" w:right="2" w:firstLine="0"/>
                            <w:jc w:val="center"/>
                            <w:rPr>
                              <w:b/>
                              <w:sz w:val="20"/>
                            </w:rPr>
                          </w:pPr>
                          <w:r>
                            <w:rPr>
                              <w:b/>
                              <w:sz w:val="20"/>
                            </w:rPr>
                            <w:t>THE</w:t>
                          </w:r>
                          <w:r>
                            <w:rPr>
                              <w:b/>
                              <w:spacing w:val="-5"/>
                              <w:sz w:val="20"/>
                            </w:rPr>
                            <w:t> </w:t>
                          </w:r>
                          <w:r>
                            <w:rPr>
                              <w:b/>
                              <w:sz w:val="20"/>
                            </w:rPr>
                            <w:t>CHARLES</w:t>
                          </w:r>
                          <w:r>
                            <w:rPr>
                              <w:b/>
                              <w:spacing w:val="-5"/>
                              <w:sz w:val="20"/>
                            </w:rPr>
                            <w:t> </w:t>
                          </w:r>
                          <w:r>
                            <w:rPr>
                              <w:b/>
                              <w:sz w:val="20"/>
                            </w:rPr>
                            <w:t>SCHWAB</w:t>
                          </w:r>
                          <w:r>
                            <w:rPr>
                              <w:b/>
                              <w:spacing w:val="-5"/>
                              <w:sz w:val="20"/>
                            </w:rPr>
                            <w:t> </w:t>
                          </w:r>
                          <w:r>
                            <w:rPr>
                              <w:b/>
                              <w:spacing w:val="-2"/>
                              <w:sz w:val="20"/>
                            </w:rPr>
                            <w:t>CORPORATION</w:t>
                          </w:r>
                        </w:p>
                        <w:p>
                          <w:pPr>
                            <w:spacing w:before="10"/>
                            <w:ind w:left="2" w:right="2" w:firstLine="0"/>
                            <w:jc w:val="center"/>
                            <w:rPr>
                              <w:b/>
                              <w:sz w:val="20"/>
                            </w:rPr>
                          </w:pPr>
                          <w:r>
                            <w:rPr>
                              <w:b/>
                              <w:sz w:val="20"/>
                            </w:rPr>
                            <w:t>Management’s</w:t>
                          </w:r>
                          <w:r>
                            <w:rPr>
                              <w:b/>
                              <w:spacing w:val="-7"/>
                              <w:sz w:val="20"/>
                            </w:rPr>
                            <w:t> </w:t>
                          </w:r>
                          <w:r>
                            <w:rPr>
                              <w:b/>
                              <w:sz w:val="20"/>
                            </w:rPr>
                            <w:t>Discussion</w:t>
                          </w:r>
                          <w:r>
                            <w:rPr>
                              <w:b/>
                              <w:spacing w:val="-5"/>
                              <w:sz w:val="20"/>
                            </w:rPr>
                            <w:t> </w:t>
                          </w:r>
                          <w:r>
                            <w:rPr>
                              <w:b/>
                              <w:sz w:val="20"/>
                            </w:rPr>
                            <w:t>and</w:t>
                          </w:r>
                          <w:r>
                            <w:rPr>
                              <w:b/>
                              <w:spacing w:val="-4"/>
                              <w:sz w:val="20"/>
                            </w:rPr>
                            <w:t> </w:t>
                          </w:r>
                          <w:r>
                            <w:rPr>
                              <w:b/>
                              <w:sz w:val="20"/>
                            </w:rPr>
                            <w:t>Analysis</w:t>
                          </w:r>
                          <w:r>
                            <w:rPr>
                              <w:b/>
                              <w:spacing w:val="-5"/>
                              <w:sz w:val="20"/>
                            </w:rPr>
                            <w:t> </w:t>
                          </w:r>
                          <w:r>
                            <w:rPr>
                              <w:b/>
                              <w:sz w:val="20"/>
                            </w:rPr>
                            <w:t>of</w:t>
                          </w:r>
                          <w:r>
                            <w:rPr>
                              <w:b/>
                              <w:spacing w:val="-3"/>
                              <w:sz w:val="20"/>
                            </w:rPr>
                            <w:t> </w:t>
                          </w:r>
                          <w:r>
                            <w:rPr>
                              <w:b/>
                              <w:sz w:val="20"/>
                            </w:rPr>
                            <w:t>Financial</w:t>
                          </w:r>
                          <w:r>
                            <w:rPr>
                              <w:b/>
                              <w:spacing w:val="-5"/>
                              <w:sz w:val="20"/>
                            </w:rPr>
                            <w:t> </w:t>
                          </w:r>
                          <w:r>
                            <w:rPr>
                              <w:b/>
                              <w:sz w:val="20"/>
                            </w:rPr>
                            <w:t>Condition</w:t>
                          </w:r>
                          <w:r>
                            <w:rPr>
                              <w:b/>
                              <w:spacing w:val="-5"/>
                              <w:sz w:val="20"/>
                            </w:rPr>
                            <w:t> </w:t>
                          </w:r>
                          <w:r>
                            <w:rPr>
                              <w:b/>
                              <w:sz w:val="20"/>
                            </w:rPr>
                            <w:t>and</w:t>
                          </w:r>
                          <w:r>
                            <w:rPr>
                              <w:b/>
                              <w:spacing w:val="-4"/>
                              <w:sz w:val="20"/>
                            </w:rPr>
                            <w:t> </w:t>
                          </w:r>
                          <w:r>
                            <w:rPr>
                              <w:b/>
                              <w:sz w:val="20"/>
                            </w:rPr>
                            <w:t>Results</w:t>
                          </w:r>
                          <w:r>
                            <w:rPr>
                              <w:b/>
                              <w:spacing w:val="-5"/>
                              <w:sz w:val="20"/>
                            </w:rPr>
                            <w:t> </w:t>
                          </w:r>
                          <w:r>
                            <w:rPr>
                              <w:b/>
                              <w:sz w:val="20"/>
                            </w:rPr>
                            <w:t>of</w:t>
                          </w:r>
                          <w:r>
                            <w:rPr>
                              <w:b/>
                              <w:spacing w:val="-3"/>
                              <w:sz w:val="20"/>
                            </w:rPr>
                            <w:t> </w:t>
                          </w:r>
                          <w:r>
                            <w:rPr>
                              <w:b/>
                              <w:spacing w:val="-2"/>
                              <w:sz w:val="20"/>
                            </w:rPr>
                            <w:t>Operations</w:t>
                          </w:r>
                        </w:p>
                        <w:p>
                          <w:pPr>
                            <w:spacing w:before="23"/>
                            <w:ind w:left="2" w:right="0" w:firstLine="0"/>
                            <w:jc w:val="center"/>
                            <w:rPr>
                              <w:sz w:val="16"/>
                            </w:rPr>
                          </w:pPr>
                          <w:r>
                            <w:rPr>
                              <w:sz w:val="16"/>
                            </w:rPr>
                            <w:t>(Tabular</w:t>
                          </w:r>
                          <w:r>
                            <w:rPr>
                              <w:spacing w:val="-1"/>
                              <w:sz w:val="16"/>
                            </w:rPr>
                            <w:t> </w:t>
                          </w:r>
                          <w:r>
                            <w:rPr>
                              <w:sz w:val="16"/>
                            </w:rPr>
                            <w:t>Amounts</w:t>
                          </w:r>
                          <w:r>
                            <w:rPr>
                              <w:spacing w:val="-2"/>
                              <w:sz w:val="16"/>
                            </w:rPr>
                            <w:t> </w:t>
                          </w:r>
                          <w:r>
                            <w:rPr>
                              <w:sz w:val="16"/>
                            </w:rPr>
                            <w:t>in</w:t>
                          </w:r>
                          <w:r>
                            <w:rPr>
                              <w:spacing w:val="-1"/>
                              <w:sz w:val="16"/>
                            </w:rPr>
                            <w:t> </w:t>
                          </w:r>
                          <w:r>
                            <w:rPr>
                              <w:sz w:val="16"/>
                            </w:rPr>
                            <w:t>Millions, Except</w:t>
                          </w:r>
                          <w:r>
                            <w:rPr>
                              <w:spacing w:val="-1"/>
                              <w:sz w:val="16"/>
                            </w:rPr>
                            <w:t> </w:t>
                          </w:r>
                          <w:r>
                            <w:rPr>
                              <w:sz w:val="16"/>
                            </w:rPr>
                            <w:t>Ratios,</w:t>
                          </w:r>
                          <w:r>
                            <w:rPr>
                              <w:spacing w:val="-1"/>
                              <w:sz w:val="16"/>
                            </w:rPr>
                            <w:t> </w:t>
                          </w:r>
                          <w:r>
                            <w:rPr>
                              <w:sz w:val="16"/>
                            </w:rPr>
                            <w:t>or</w:t>
                          </w:r>
                          <w:r>
                            <w:rPr>
                              <w:spacing w:val="-1"/>
                              <w:sz w:val="16"/>
                            </w:rPr>
                            <w:t> </w:t>
                          </w:r>
                          <w:r>
                            <w:rPr>
                              <w:sz w:val="16"/>
                            </w:rPr>
                            <w:t>as</w:t>
                          </w:r>
                          <w:r>
                            <w:rPr>
                              <w:spacing w:val="-1"/>
                              <w:sz w:val="16"/>
                            </w:rPr>
                            <w:t> </w:t>
                          </w:r>
                          <w:r>
                            <w:rPr>
                              <w:spacing w:val="-2"/>
                              <w:sz w:val="16"/>
                            </w:rPr>
                            <w:t>Noted)</w:t>
                          </w:r>
                        </w:p>
                      </w:txbxContent>
                    </wps:txbx>
                    <wps:bodyPr wrap="square" lIns="0" tIns="0" rIns="0" bIns="0" rtlCol="0">
                      <a:noAutofit/>
                    </wps:bodyPr>
                  </wps:wsp>
                </a:graphicData>
              </a:graphic>
            </wp:anchor>
          </w:drawing>
        </mc:Choice>
        <mc:Fallback>
          <w:pict>
            <v:shape style="position:absolute;margin-left:115.080002pt;margin-top:24.608868pt;width:381.85pt;height:35.450pt;mso-position-horizontal-relative:page;mso-position-vertical-relative:page;z-index:-27414528" type="#_x0000_t202" id="docshape4" filled="false" stroked="false">
              <v:textbox inset="0,0,0,0">
                <w:txbxContent>
                  <w:p>
                    <w:pPr>
                      <w:spacing w:before="11"/>
                      <w:ind w:left="2" w:right="2" w:firstLine="0"/>
                      <w:jc w:val="center"/>
                      <w:rPr>
                        <w:b/>
                        <w:sz w:val="20"/>
                      </w:rPr>
                    </w:pPr>
                    <w:r>
                      <w:rPr>
                        <w:b/>
                        <w:sz w:val="20"/>
                      </w:rPr>
                      <w:t>THE</w:t>
                    </w:r>
                    <w:r>
                      <w:rPr>
                        <w:b/>
                        <w:spacing w:val="-5"/>
                        <w:sz w:val="20"/>
                      </w:rPr>
                      <w:t> </w:t>
                    </w:r>
                    <w:r>
                      <w:rPr>
                        <w:b/>
                        <w:sz w:val="20"/>
                      </w:rPr>
                      <w:t>CHARLES</w:t>
                    </w:r>
                    <w:r>
                      <w:rPr>
                        <w:b/>
                        <w:spacing w:val="-5"/>
                        <w:sz w:val="20"/>
                      </w:rPr>
                      <w:t> </w:t>
                    </w:r>
                    <w:r>
                      <w:rPr>
                        <w:b/>
                        <w:sz w:val="20"/>
                      </w:rPr>
                      <w:t>SCHWAB</w:t>
                    </w:r>
                    <w:r>
                      <w:rPr>
                        <w:b/>
                        <w:spacing w:val="-5"/>
                        <w:sz w:val="20"/>
                      </w:rPr>
                      <w:t> </w:t>
                    </w:r>
                    <w:r>
                      <w:rPr>
                        <w:b/>
                        <w:spacing w:val="-2"/>
                        <w:sz w:val="20"/>
                      </w:rPr>
                      <w:t>CORPORATION</w:t>
                    </w:r>
                  </w:p>
                  <w:p>
                    <w:pPr>
                      <w:spacing w:before="10"/>
                      <w:ind w:left="2" w:right="2" w:firstLine="0"/>
                      <w:jc w:val="center"/>
                      <w:rPr>
                        <w:b/>
                        <w:sz w:val="20"/>
                      </w:rPr>
                    </w:pPr>
                    <w:r>
                      <w:rPr>
                        <w:b/>
                        <w:sz w:val="20"/>
                      </w:rPr>
                      <w:t>Management’s</w:t>
                    </w:r>
                    <w:r>
                      <w:rPr>
                        <w:b/>
                        <w:spacing w:val="-7"/>
                        <w:sz w:val="20"/>
                      </w:rPr>
                      <w:t> </w:t>
                    </w:r>
                    <w:r>
                      <w:rPr>
                        <w:b/>
                        <w:sz w:val="20"/>
                      </w:rPr>
                      <w:t>Discussion</w:t>
                    </w:r>
                    <w:r>
                      <w:rPr>
                        <w:b/>
                        <w:spacing w:val="-5"/>
                        <w:sz w:val="20"/>
                      </w:rPr>
                      <w:t> </w:t>
                    </w:r>
                    <w:r>
                      <w:rPr>
                        <w:b/>
                        <w:sz w:val="20"/>
                      </w:rPr>
                      <w:t>and</w:t>
                    </w:r>
                    <w:r>
                      <w:rPr>
                        <w:b/>
                        <w:spacing w:val="-4"/>
                        <w:sz w:val="20"/>
                      </w:rPr>
                      <w:t> </w:t>
                    </w:r>
                    <w:r>
                      <w:rPr>
                        <w:b/>
                        <w:sz w:val="20"/>
                      </w:rPr>
                      <w:t>Analysis</w:t>
                    </w:r>
                    <w:r>
                      <w:rPr>
                        <w:b/>
                        <w:spacing w:val="-5"/>
                        <w:sz w:val="20"/>
                      </w:rPr>
                      <w:t> </w:t>
                    </w:r>
                    <w:r>
                      <w:rPr>
                        <w:b/>
                        <w:sz w:val="20"/>
                      </w:rPr>
                      <w:t>of</w:t>
                    </w:r>
                    <w:r>
                      <w:rPr>
                        <w:b/>
                        <w:spacing w:val="-3"/>
                        <w:sz w:val="20"/>
                      </w:rPr>
                      <w:t> </w:t>
                    </w:r>
                    <w:r>
                      <w:rPr>
                        <w:b/>
                        <w:sz w:val="20"/>
                      </w:rPr>
                      <w:t>Financial</w:t>
                    </w:r>
                    <w:r>
                      <w:rPr>
                        <w:b/>
                        <w:spacing w:val="-5"/>
                        <w:sz w:val="20"/>
                      </w:rPr>
                      <w:t> </w:t>
                    </w:r>
                    <w:r>
                      <w:rPr>
                        <w:b/>
                        <w:sz w:val="20"/>
                      </w:rPr>
                      <w:t>Condition</w:t>
                    </w:r>
                    <w:r>
                      <w:rPr>
                        <w:b/>
                        <w:spacing w:val="-5"/>
                        <w:sz w:val="20"/>
                      </w:rPr>
                      <w:t> </w:t>
                    </w:r>
                    <w:r>
                      <w:rPr>
                        <w:b/>
                        <w:sz w:val="20"/>
                      </w:rPr>
                      <w:t>and</w:t>
                    </w:r>
                    <w:r>
                      <w:rPr>
                        <w:b/>
                        <w:spacing w:val="-4"/>
                        <w:sz w:val="20"/>
                      </w:rPr>
                      <w:t> </w:t>
                    </w:r>
                    <w:r>
                      <w:rPr>
                        <w:b/>
                        <w:sz w:val="20"/>
                      </w:rPr>
                      <w:t>Results</w:t>
                    </w:r>
                    <w:r>
                      <w:rPr>
                        <w:b/>
                        <w:spacing w:val="-5"/>
                        <w:sz w:val="20"/>
                      </w:rPr>
                      <w:t> </w:t>
                    </w:r>
                    <w:r>
                      <w:rPr>
                        <w:b/>
                        <w:sz w:val="20"/>
                      </w:rPr>
                      <w:t>of</w:t>
                    </w:r>
                    <w:r>
                      <w:rPr>
                        <w:b/>
                        <w:spacing w:val="-3"/>
                        <w:sz w:val="20"/>
                      </w:rPr>
                      <w:t> </w:t>
                    </w:r>
                    <w:r>
                      <w:rPr>
                        <w:b/>
                        <w:spacing w:val="-2"/>
                        <w:sz w:val="20"/>
                      </w:rPr>
                      <w:t>Operations</w:t>
                    </w:r>
                  </w:p>
                  <w:p>
                    <w:pPr>
                      <w:spacing w:before="23"/>
                      <w:ind w:left="2" w:right="0" w:firstLine="0"/>
                      <w:jc w:val="center"/>
                      <w:rPr>
                        <w:sz w:val="16"/>
                      </w:rPr>
                    </w:pPr>
                    <w:r>
                      <w:rPr>
                        <w:sz w:val="16"/>
                      </w:rPr>
                      <w:t>(Tabular</w:t>
                    </w:r>
                    <w:r>
                      <w:rPr>
                        <w:spacing w:val="-1"/>
                        <w:sz w:val="16"/>
                      </w:rPr>
                      <w:t> </w:t>
                    </w:r>
                    <w:r>
                      <w:rPr>
                        <w:sz w:val="16"/>
                      </w:rPr>
                      <w:t>Amounts</w:t>
                    </w:r>
                    <w:r>
                      <w:rPr>
                        <w:spacing w:val="-2"/>
                        <w:sz w:val="16"/>
                      </w:rPr>
                      <w:t> </w:t>
                    </w:r>
                    <w:r>
                      <w:rPr>
                        <w:sz w:val="16"/>
                      </w:rPr>
                      <w:t>in</w:t>
                    </w:r>
                    <w:r>
                      <w:rPr>
                        <w:spacing w:val="-1"/>
                        <w:sz w:val="16"/>
                      </w:rPr>
                      <w:t> </w:t>
                    </w:r>
                    <w:r>
                      <w:rPr>
                        <w:sz w:val="16"/>
                      </w:rPr>
                      <w:t>Millions, Except</w:t>
                    </w:r>
                    <w:r>
                      <w:rPr>
                        <w:spacing w:val="-1"/>
                        <w:sz w:val="16"/>
                      </w:rPr>
                      <w:t> </w:t>
                    </w:r>
                    <w:r>
                      <w:rPr>
                        <w:sz w:val="16"/>
                      </w:rPr>
                      <w:t>Ratios,</w:t>
                    </w:r>
                    <w:r>
                      <w:rPr>
                        <w:spacing w:val="-1"/>
                        <w:sz w:val="16"/>
                      </w:rPr>
                      <w:t> </w:t>
                    </w:r>
                    <w:r>
                      <w:rPr>
                        <w:sz w:val="16"/>
                      </w:rPr>
                      <w:t>or</w:t>
                    </w:r>
                    <w:r>
                      <w:rPr>
                        <w:spacing w:val="-1"/>
                        <w:sz w:val="16"/>
                      </w:rPr>
                      <w:t> </w:t>
                    </w:r>
                    <w:r>
                      <w:rPr>
                        <w:sz w:val="16"/>
                      </w:rPr>
                      <w:t>as</w:t>
                    </w:r>
                    <w:r>
                      <w:rPr>
                        <w:spacing w:val="-1"/>
                        <w:sz w:val="16"/>
                      </w:rPr>
                      <w:t> </w:t>
                    </w:r>
                    <w:r>
                      <w:rPr>
                        <w:spacing w:val="-2"/>
                        <w:sz w:val="16"/>
                      </w:rPr>
                      <w:t>Noted)</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5903488">
              <wp:simplePos x="0" y="0"/>
              <wp:positionH relativeFrom="page">
                <wp:posOffset>2620010</wp:posOffset>
              </wp:positionH>
              <wp:positionV relativeFrom="page">
                <wp:posOffset>283957</wp:posOffset>
              </wp:positionV>
              <wp:extent cx="2532380" cy="16637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532380" cy="166370"/>
                      </a:xfrm>
                      <a:prstGeom prst="rect">
                        <a:avLst/>
                      </a:prstGeom>
                    </wps:spPr>
                    <wps:txbx>
                      <w:txbxContent>
                        <w:p>
                          <w:pPr>
                            <w:spacing w:before="11"/>
                            <w:ind w:left="20" w:right="0" w:firstLine="0"/>
                            <w:jc w:val="left"/>
                            <w:rPr>
                              <w:b/>
                              <w:sz w:val="20"/>
                            </w:rPr>
                          </w:pPr>
                          <w:r>
                            <w:rPr>
                              <w:b/>
                              <w:sz w:val="20"/>
                            </w:rPr>
                            <w:t>THE</w:t>
                          </w:r>
                          <w:r>
                            <w:rPr>
                              <w:b/>
                              <w:spacing w:val="-5"/>
                              <w:sz w:val="20"/>
                            </w:rPr>
                            <w:t> </w:t>
                          </w:r>
                          <w:r>
                            <w:rPr>
                              <w:b/>
                              <w:sz w:val="20"/>
                            </w:rPr>
                            <w:t>CHARLES</w:t>
                          </w:r>
                          <w:r>
                            <w:rPr>
                              <w:b/>
                              <w:spacing w:val="-5"/>
                              <w:sz w:val="20"/>
                            </w:rPr>
                            <w:t> </w:t>
                          </w:r>
                          <w:r>
                            <w:rPr>
                              <w:b/>
                              <w:sz w:val="20"/>
                            </w:rPr>
                            <w:t>SCHWAB</w:t>
                          </w:r>
                          <w:r>
                            <w:rPr>
                              <w:b/>
                              <w:spacing w:val="-5"/>
                              <w:sz w:val="20"/>
                            </w:rPr>
                            <w:t> </w:t>
                          </w:r>
                          <w:r>
                            <w:rPr>
                              <w:b/>
                              <w:spacing w:val="-2"/>
                              <w:sz w:val="20"/>
                            </w:rPr>
                            <w:t>CORPORATION</w:t>
                          </w:r>
                        </w:p>
                      </w:txbxContent>
                    </wps:txbx>
                    <wps:bodyPr wrap="square" lIns="0" tIns="0" rIns="0" bIns="0" rtlCol="0">
                      <a:noAutofit/>
                    </wps:bodyPr>
                  </wps:wsp>
                </a:graphicData>
              </a:graphic>
            </wp:anchor>
          </w:drawing>
        </mc:Choice>
        <mc:Fallback>
          <w:pict>
            <v:shape style="position:absolute;margin-left:206.300003pt;margin-top:22.358868pt;width:199.4pt;height:13.1pt;mso-position-horizontal-relative:page;mso-position-vertical-relative:page;z-index:-27412992" type="#_x0000_t202" id="docshape87" filled="false" stroked="false">
              <v:textbox inset="0,0,0,0">
                <w:txbxContent>
                  <w:p>
                    <w:pPr>
                      <w:spacing w:before="11"/>
                      <w:ind w:left="20" w:right="0" w:firstLine="0"/>
                      <w:jc w:val="left"/>
                      <w:rPr>
                        <w:b/>
                        <w:sz w:val="20"/>
                      </w:rPr>
                    </w:pPr>
                    <w:r>
                      <w:rPr>
                        <w:b/>
                        <w:sz w:val="20"/>
                      </w:rPr>
                      <w:t>THE</w:t>
                    </w:r>
                    <w:r>
                      <w:rPr>
                        <w:b/>
                        <w:spacing w:val="-5"/>
                        <w:sz w:val="20"/>
                      </w:rPr>
                      <w:t> </w:t>
                    </w:r>
                    <w:r>
                      <w:rPr>
                        <w:b/>
                        <w:sz w:val="20"/>
                      </w:rPr>
                      <w:t>CHARLES</w:t>
                    </w:r>
                    <w:r>
                      <w:rPr>
                        <w:b/>
                        <w:spacing w:val="-5"/>
                        <w:sz w:val="20"/>
                      </w:rPr>
                      <w:t> </w:t>
                    </w:r>
                    <w:r>
                      <w:rPr>
                        <w:b/>
                        <w:sz w:val="20"/>
                      </w:rPr>
                      <w:t>SCHWAB</w:t>
                    </w:r>
                    <w:r>
                      <w:rPr>
                        <w:b/>
                        <w:spacing w:val="-5"/>
                        <w:sz w:val="20"/>
                      </w:rPr>
                      <w:t> </w:t>
                    </w:r>
                    <w:r>
                      <w:rPr>
                        <w:b/>
                        <w:spacing w:val="-2"/>
                        <w:sz w:val="20"/>
                      </w:rPr>
                      <w:t>CORPORATION</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5904512">
              <wp:simplePos x="0" y="0"/>
              <wp:positionH relativeFrom="page">
                <wp:posOffset>2228469</wp:posOffset>
              </wp:positionH>
              <wp:positionV relativeFrom="page">
                <wp:posOffset>283957</wp:posOffset>
              </wp:positionV>
              <wp:extent cx="3315335" cy="57213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3315335" cy="572135"/>
                      </a:xfrm>
                      <a:prstGeom prst="rect">
                        <a:avLst/>
                      </a:prstGeom>
                    </wps:spPr>
                    <wps:txbx>
                      <w:txbxContent>
                        <w:p>
                          <w:pPr>
                            <w:spacing w:before="11"/>
                            <w:ind w:left="0" w:right="0" w:firstLine="0"/>
                            <w:jc w:val="center"/>
                            <w:rPr>
                              <w:b/>
                              <w:sz w:val="20"/>
                            </w:rPr>
                          </w:pPr>
                          <w:r>
                            <w:rPr>
                              <w:b/>
                              <w:sz w:val="20"/>
                            </w:rPr>
                            <w:t>THE</w:t>
                          </w:r>
                          <w:r>
                            <w:rPr>
                              <w:b/>
                              <w:spacing w:val="-5"/>
                              <w:sz w:val="20"/>
                            </w:rPr>
                            <w:t> </w:t>
                          </w:r>
                          <w:r>
                            <w:rPr>
                              <w:b/>
                              <w:sz w:val="20"/>
                            </w:rPr>
                            <w:t>CHARLES</w:t>
                          </w:r>
                          <w:r>
                            <w:rPr>
                              <w:b/>
                              <w:spacing w:val="-5"/>
                              <w:sz w:val="20"/>
                            </w:rPr>
                            <w:t> </w:t>
                          </w:r>
                          <w:r>
                            <w:rPr>
                              <w:b/>
                              <w:sz w:val="20"/>
                            </w:rPr>
                            <w:t>SCHWAB</w:t>
                          </w:r>
                          <w:r>
                            <w:rPr>
                              <w:b/>
                              <w:spacing w:val="-5"/>
                              <w:sz w:val="20"/>
                            </w:rPr>
                            <w:t> </w:t>
                          </w:r>
                          <w:r>
                            <w:rPr>
                              <w:b/>
                              <w:spacing w:val="-2"/>
                              <w:sz w:val="20"/>
                            </w:rPr>
                            <w:t>CORPORATION</w:t>
                          </w:r>
                        </w:p>
                        <w:p>
                          <w:pPr>
                            <w:spacing w:before="13"/>
                            <w:ind w:left="0" w:right="0" w:firstLine="0"/>
                            <w:jc w:val="center"/>
                            <w:rPr>
                              <w:b/>
                              <w:sz w:val="20"/>
                            </w:rPr>
                          </w:pPr>
                          <w:r>
                            <w:rPr>
                              <w:b/>
                              <w:sz w:val="20"/>
                            </w:rPr>
                            <w:t>Condensed</w:t>
                          </w:r>
                          <w:r>
                            <w:rPr>
                              <w:b/>
                              <w:spacing w:val="-9"/>
                              <w:sz w:val="20"/>
                            </w:rPr>
                            <w:t> </w:t>
                          </w:r>
                          <w:r>
                            <w:rPr>
                              <w:b/>
                              <w:sz w:val="20"/>
                            </w:rPr>
                            <w:t>Consolidated</w:t>
                          </w:r>
                          <w:r>
                            <w:rPr>
                              <w:b/>
                              <w:spacing w:val="-6"/>
                              <w:sz w:val="20"/>
                            </w:rPr>
                            <w:t> </w:t>
                          </w:r>
                          <w:r>
                            <w:rPr>
                              <w:b/>
                              <w:sz w:val="20"/>
                            </w:rPr>
                            <w:t>Statements</w:t>
                          </w:r>
                          <w:r>
                            <w:rPr>
                              <w:b/>
                              <w:spacing w:val="-7"/>
                              <w:sz w:val="20"/>
                            </w:rPr>
                            <w:t> </w:t>
                          </w:r>
                          <w:r>
                            <w:rPr>
                              <w:b/>
                              <w:sz w:val="20"/>
                            </w:rPr>
                            <w:t>of</w:t>
                          </w:r>
                          <w:r>
                            <w:rPr>
                              <w:b/>
                              <w:spacing w:val="-5"/>
                              <w:sz w:val="20"/>
                            </w:rPr>
                            <w:t> </w:t>
                          </w:r>
                          <w:r>
                            <w:rPr>
                              <w:b/>
                              <w:sz w:val="20"/>
                            </w:rPr>
                            <w:t>Stockholders</w:t>
                          </w:r>
                          <w:r>
                            <w:rPr>
                              <w:sz w:val="20"/>
                            </w:rPr>
                            <w:t>’</w:t>
                          </w:r>
                          <w:r>
                            <w:rPr>
                              <w:spacing w:val="-5"/>
                              <w:sz w:val="20"/>
                            </w:rPr>
                            <w:t> </w:t>
                          </w:r>
                          <w:r>
                            <w:rPr>
                              <w:b/>
                              <w:spacing w:val="-2"/>
                              <w:sz w:val="20"/>
                            </w:rPr>
                            <w:t>Equity</w:t>
                          </w:r>
                        </w:p>
                        <w:p>
                          <w:pPr>
                            <w:spacing w:line="249" w:lineRule="auto" w:before="20"/>
                            <w:ind w:left="1850" w:right="1847" w:firstLine="0"/>
                            <w:jc w:val="center"/>
                            <w:rPr>
                              <w:sz w:val="16"/>
                            </w:rPr>
                          </w:pPr>
                          <w:r>
                            <w:rPr>
                              <w:sz w:val="16"/>
                            </w:rPr>
                            <w:t>(In</w:t>
                          </w:r>
                          <w:r>
                            <w:rPr>
                              <w:spacing w:val="-10"/>
                              <w:sz w:val="16"/>
                            </w:rPr>
                            <w:t> </w:t>
                          </w:r>
                          <w:r>
                            <w:rPr>
                              <w:sz w:val="16"/>
                            </w:rPr>
                            <w:t>Millions)</w:t>
                          </w:r>
                          <w:r>
                            <w:rPr>
                              <w:spacing w:val="40"/>
                              <w:sz w:val="16"/>
                            </w:rPr>
                            <w:t> </w:t>
                          </w:r>
                          <w:r>
                            <w:rPr>
                              <w:spacing w:val="-2"/>
                              <w:sz w:val="16"/>
                            </w:rPr>
                            <w:t>(Unaudited)</w:t>
                          </w:r>
                        </w:p>
                      </w:txbxContent>
                    </wps:txbx>
                    <wps:bodyPr wrap="square" lIns="0" tIns="0" rIns="0" bIns="0" rtlCol="0">
                      <a:noAutofit/>
                    </wps:bodyPr>
                  </wps:wsp>
                </a:graphicData>
              </a:graphic>
            </wp:anchor>
          </w:drawing>
        </mc:Choice>
        <mc:Fallback>
          <w:pict>
            <v:shape style="position:absolute;margin-left:175.470001pt;margin-top:22.358868pt;width:261.05pt;height:45.05pt;mso-position-horizontal-relative:page;mso-position-vertical-relative:page;z-index:-27411968" type="#_x0000_t202" id="docshape91" filled="false" stroked="false">
              <v:textbox inset="0,0,0,0">
                <w:txbxContent>
                  <w:p>
                    <w:pPr>
                      <w:spacing w:before="11"/>
                      <w:ind w:left="0" w:right="0" w:firstLine="0"/>
                      <w:jc w:val="center"/>
                      <w:rPr>
                        <w:b/>
                        <w:sz w:val="20"/>
                      </w:rPr>
                    </w:pPr>
                    <w:r>
                      <w:rPr>
                        <w:b/>
                        <w:sz w:val="20"/>
                      </w:rPr>
                      <w:t>THE</w:t>
                    </w:r>
                    <w:r>
                      <w:rPr>
                        <w:b/>
                        <w:spacing w:val="-5"/>
                        <w:sz w:val="20"/>
                      </w:rPr>
                      <w:t> </w:t>
                    </w:r>
                    <w:r>
                      <w:rPr>
                        <w:b/>
                        <w:sz w:val="20"/>
                      </w:rPr>
                      <w:t>CHARLES</w:t>
                    </w:r>
                    <w:r>
                      <w:rPr>
                        <w:b/>
                        <w:spacing w:val="-5"/>
                        <w:sz w:val="20"/>
                      </w:rPr>
                      <w:t> </w:t>
                    </w:r>
                    <w:r>
                      <w:rPr>
                        <w:b/>
                        <w:sz w:val="20"/>
                      </w:rPr>
                      <w:t>SCHWAB</w:t>
                    </w:r>
                    <w:r>
                      <w:rPr>
                        <w:b/>
                        <w:spacing w:val="-5"/>
                        <w:sz w:val="20"/>
                      </w:rPr>
                      <w:t> </w:t>
                    </w:r>
                    <w:r>
                      <w:rPr>
                        <w:b/>
                        <w:spacing w:val="-2"/>
                        <w:sz w:val="20"/>
                      </w:rPr>
                      <w:t>CORPORATION</w:t>
                    </w:r>
                  </w:p>
                  <w:p>
                    <w:pPr>
                      <w:spacing w:before="13"/>
                      <w:ind w:left="0" w:right="0" w:firstLine="0"/>
                      <w:jc w:val="center"/>
                      <w:rPr>
                        <w:b/>
                        <w:sz w:val="20"/>
                      </w:rPr>
                    </w:pPr>
                    <w:r>
                      <w:rPr>
                        <w:b/>
                        <w:sz w:val="20"/>
                      </w:rPr>
                      <w:t>Condensed</w:t>
                    </w:r>
                    <w:r>
                      <w:rPr>
                        <w:b/>
                        <w:spacing w:val="-9"/>
                        <w:sz w:val="20"/>
                      </w:rPr>
                      <w:t> </w:t>
                    </w:r>
                    <w:r>
                      <w:rPr>
                        <w:b/>
                        <w:sz w:val="20"/>
                      </w:rPr>
                      <w:t>Consolidated</w:t>
                    </w:r>
                    <w:r>
                      <w:rPr>
                        <w:b/>
                        <w:spacing w:val="-6"/>
                        <w:sz w:val="20"/>
                      </w:rPr>
                      <w:t> </w:t>
                    </w:r>
                    <w:r>
                      <w:rPr>
                        <w:b/>
                        <w:sz w:val="20"/>
                      </w:rPr>
                      <w:t>Statements</w:t>
                    </w:r>
                    <w:r>
                      <w:rPr>
                        <w:b/>
                        <w:spacing w:val="-7"/>
                        <w:sz w:val="20"/>
                      </w:rPr>
                      <w:t> </w:t>
                    </w:r>
                    <w:r>
                      <w:rPr>
                        <w:b/>
                        <w:sz w:val="20"/>
                      </w:rPr>
                      <w:t>of</w:t>
                    </w:r>
                    <w:r>
                      <w:rPr>
                        <w:b/>
                        <w:spacing w:val="-5"/>
                        <w:sz w:val="20"/>
                      </w:rPr>
                      <w:t> </w:t>
                    </w:r>
                    <w:r>
                      <w:rPr>
                        <w:b/>
                        <w:sz w:val="20"/>
                      </w:rPr>
                      <w:t>Stockholders</w:t>
                    </w:r>
                    <w:r>
                      <w:rPr>
                        <w:sz w:val="20"/>
                      </w:rPr>
                      <w:t>’</w:t>
                    </w:r>
                    <w:r>
                      <w:rPr>
                        <w:spacing w:val="-5"/>
                        <w:sz w:val="20"/>
                      </w:rPr>
                      <w:t> </w:t>
                    </w:r>
                    <w:r>
                      <w:rPr>
                        <w:b/>
                        <w:spacing w:val="-2"/>
                        <w:sz w:val="20"/>
                      </w:rPr>
                      <w:t>Equity</w:t>
                    </w:r>
                  </w:p>
                  <w:p>
                    <w:pPr>
                      <w:spacing w:line="249" w:lineRule="auto" w:before="20"/>
                      <w:ind w:left="1850" w:right="1847" w:firstLine="0"/>
                      <w:jc w:val="center"/>
                      <w:rPr>
                        <w:sz w:val="16"/>
                      </w:rPr>
                    </w:pPr>
                    <w:r>
                      <w:rPr>
                        <w:sz w:val="16"/>
                      </w:rPr>
                      <w:t>(In</w:t>
                    </w:r>
                    <w:r>
                      <w:rPr>
                        <w:spacing w:val="-10"/>
                        <w:sz w:val="16"/>
                      </w:rPr>
                      <w:t> </w:t>
                    </w:r>
                    <w:r>
                      <w:rPr>
                        <w:sz w:val="16"/>
                      </w:rPr>
                      <w:t>Millions)</w:t>
                    </w:r>
                    <w:r>
                      <w:rPr>
                        <w:spacing w:val="40"/>
                        <w:sz w:val="16"/>
                      </w:rPr>
                      <w:t> </w:t>
                    </w:r>
                    <w:r>
                      <w:rPr>
                        <w:spacing w:val="-2"/>
                        <w:sz w:val="16"/>
                      </w:rPr>
                      <w:t>(Unaudited)</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5905536">
              <wp:simplePos x="0" y="0"/>
              <wp:positionH relativeFrom="page">
                <wp:posOffset>2425445</wp:posOffset>
              </wp:positionH>
              <wp:positionV relativeFrom="page">
                <wp:posOffset>283957</wp:posOffset>
              </wp:positionV>
              <wp:extent cx="2921635" cy="57213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921635" cy="572135"/>
                      </a:xfrm>
                      <a:prstGeom prst="rect">
                        <a:avLst/>
                      </a:prstGeom>
                    </wps:spPr>
                    <wps:txbx>
                      <w:txbxContent>
                        <w:p>
                          <w:pPr>
                            <w:spacing w:before="11"/>
                            <w:ind w:left="0" w:right="0" w:firstLine="0"/>
                            <w:jc w:val="center"/>
                            <w:rPr>
                              <w:b/>
                              <w:sz w:val="20"/>
                            </w:rPr>
                          </w:pPr>
                          <w:r>
                            <w:rPr>
                              <w:b/>
                              <w:sz w:val="20"/>
                            </w:rPr>
                            <w:t>THE</w:t>
                          </w:r>
                          <w:r>
                            <w:rPr>
                              <w:b/>
                              <w:spacing w:val="-5"/>
                              <w:sz w:val="20"/>
                            </w:rPr>
                            <w:t> </w:t>
                          </w:r>
                          <w:r>
                            <w:rPr>
                              <w:b/>
                              <w:sz w:val="20"/>
                            </w:rPr>
                            <w:t>CHARLES</w:t>
                          </w:r>
                          <w:r>
                            <w:rPr>
                              <w:b/>
                              <w:spacing w:val="-5"/>
                              <w:sz w:val="20"/>
                            </w:rPr>
                            <w:t> </w:t>
                          </w:r>
                          <w:r>
                            <w:rPr>
                              <w:b/>
                              <w:sz w:val="20"/>
                            </w:rPr>
                            <w:t>SCHWAB</w:t>
                          </w:r>
                          <w:r>
                            <w:rPr>
                              <w:b/>
                              <w:spacing w:val="-5"/>
                              <w:sz w:val="20"/>
                            </w:rPr>
                            <w:t> </w:t>
                          </w:r>
                          <w:r>
                            <w:rPr>
                              <w:b/>
                              <w:spacing w:val="-2"/>
                              <w:sz w:val="20"/>
                            </w:rPr>
                            <w:t>CORPORATION</w:t>
                          </w:r>
                        </w:p>
                        <w:p>
                          <w:pPr>
                            <w:spacing w:before="10"/>
                            <w:ind w:left="0" w:right="0" w:firstLine="0"/>
                            <w:jc w:val="center"/>
                            <w:rPr>
                              <w:b/>
                              <w:sz w:val="20"/>
                            </w:rPr>
                          </w:pPr>
                          <w:r>
                            <w:rPr>
                              <w:b/>
                              <w:sz w:val="20"/>
                            </w:rPr>
                            <w:t>Condensed</w:t>
                          </w:r>
                          <w:r>
                            <w:rPr>
                              <w:b/>
                              <w:spacing w:val="-7"/>
                              <w:sz w:val="20"/>
                            </w:rPr>
                            <w:t> </w:t>
                          </w:r>
                          <w:r>
                            <w:rPr>
                              <w:b/>
                              <w:sz w:val="20"/>
                            </w:rPr>
                            <w:t>Consolidated</w:t>
                          </w:r>
                          <w:r>
                            <w:rPr>
                              <w:b/>
                              <w:spacing w:val="-5"/>
                              <w:sz w:val="20"/>
                            </w:rPr>
                            <w:t> </w:t>
                          </w:r>
                          <w:r>
                            <w:rPr>
                              <w:b/>
                              <w:sz w:val="20"/>
                            </w:rPr>
                            <w:t>Statements</w:t>
                          </w:r>
                          <w:r>
                            <w:rPr>
                              <w:b/>
                              <w:spacing w:val="-5"/>
                              <w:sz w:val="20"/>
                            </w:rPr>
                            <w:t> </w:t>
                          </w:r>
                          <w:r>
                            <w:rPr>
                              <w:b/>
                              <w:sz w:val="20"/>
                            </w:rPr>
                            <w:t>of</w:t>
                          </w:r>
                          <w:r>
                            <w:rPr>
                              <w:b/>
                              <w:spacing w:val="-4"/>
                              <w:sz w:val="20"/>
                            </w:rPr>
                            <w:t> </w:t>
                          </w:r>
                          <w:r>
                            <w:rPr>
                              <w:b/>
                              <w:sz w:val="20"/>
                            </w:rPr>
                            <w:t>Cash</w:t>
                          </w:r>
                          <w:r>
                            <w:rPr>
                              <w:b/>
                              <w:spacing w:val="-5"/>
                              <w:sz w:val="20"/>
                            </w:rPr>
                            <w:t> </w:t>
                          </w:r>
                          <w:r>
                            <w:rPr>
                              <w:b/>
                              <w:sz w:val="20"/>
                            </w:rPr>
                            <w:t>Flows</w:t>
                          </w:r>
                          <w:r>
                            <w:rPr>
                              <w:b/>
                              <w:spacing w:val="-4"/>
                              <w:sz w:val="20"/>
                            </w:rPr>
                            <w:t> </w:t>
                          </w:r>
                          <w:r>
                            <w:rPr>
                              <w:b/>
                              <w:spacing w:val="-5"/>
                              <w:sz w:val="20"/>
                              <w:vertAlign w:val="superscript"/>
                            </w:rPr>
                            <w:t>(1)</w:t>
                          </w:r>
                        </w:p>
                        <w:p>
                          <w:pPr>
                            <w:spacing w:line="249" w:lineRule="auto" w:before="23"/>
                            <w:ind w:left="1544" w:right="1541" w:firstLine="0"/>
                            <w:jc w:val="center"/>
                            <w:rPr>
                              <w:sz w:val="16"/>
                            </w:rPr>
                          </w:pPr>
                          <w:r>
                            <w:rPr>
                              <w:sz w:val="16"/>
                            </w:rPr>
                            <w:t>(in</w:t>
                          </w:r>
                          <w:r>
                            <w:rPr>
                              <w:spacing w:val="-10"/>
                              <w:sz w:val="16"/>
                            </w:rPr>
                            <w:t> </w:t>
                          </w:r>
                          <w:r>
                            <w:rPr>
                              <w:sz w:val="16"/>
                            </w:rPr>
                            <w:t>Millions)</w:t>
                          </w:r>
                          <w:r>
                            <w:rPr>
                              <w:spacing w:val="40"/>
                              <w:sz w:val="16"/>
                            </w:rPr>
                            <w:t> </w:t>
                          </w:r>
                          <w:r>
                            <w:rPr>
                              <w:spacing w:val="-2"/>
                              <w:sz w:val="16"/>
                            </w:rPr>
                            <w:t>(Unaudited)</w:t>
                          </w:r>
                        </w:p>
                      </w:txbxContent>
                    </wps:txbx>
                    <wps:bodyPr wrap="square" lIns="0" tIns="0" rIns="0" bIns="0" rtlCol="0">
                      <a:noAutofit/>
                    </wps:bodyPr>
                  </wps:wsp>
                </a:graphicData>
              </a:graphic>
            </wp:anchor>
          </w:drawing>
        </mc:Choice>
        <mc:Fallback>
          <w:pict>
            <v:shape style="position:absolute;margin-left:190.979996pt;margin-top:22.358868pt;width:230.05pt;height:45.05pt;mso-position-horizontal-relative:page;mso-position-vertical-relative:page;z-index:-27410944" type="#_x0000_t202" id="docshape98" filled="false" stroked="false">
              <v:textbox inset="0,0,0,0">
                <w:txbxContent>
                  <w:p>
                    <w:pPr>
                      <w:spacing w:before="11"/>
                      <w:ind w:left="0" w:right="0" w:firstLine="0"/>
                      <w:jc w:val="center"/>
                      <w:rPr>
                        <w:b/>
                        <w:sz w:val="20"/>
                      </w:rPr>
                    </w:pPr>
                    <w:r>
                      <w:rPr>
                        <w:b/>
                        <w:sz w:val="20"/>
                      </w:rPr>
                      <w:t>THE</w:t>
                    </w:r>
                    <w:r>
                      <w:rPr>
                        <w:b/>
                        <w:spacing w:val="-5"/>
                        <w:sz w:val="20"/>
                      </w:rPr>
                      <w:t> </w:t>
                    </w:r>
                    <w:r>
                      <w:rPr>
                        <w:b/>
                        <w:sz w:val="20"/>
                      </w:rPr>
                      <w:t>CHARLES</w:t>
                    </w:r>
                    <w:r>
                      <w:rPr>
                        <w:b/>
                        <w:spacing w:val="-5"/>
                        <w:sz w:val="20"/>
                      </w:rPr>
                      <w:t> </w:t>
                    </w:r>
                    <w:r>
                      <w:rPr>
                        <w:b/>
                        <w:sz w:val="20"/>
                      </w:rPr>
                      <w:t>SCHWAB</w:t>
                    </w:r>
                    <w:r>
                      <w:rPr>
                        <w:b/>
                        <w:spacing w:val="-5"/>
                        <w:sz w:val="20"/>
                      </w:rPr>
                      <w:t> </w:t>
                    </w:r>
                    <w:r>
                      <w:rPr>
                        <w:b/>
                        <w:spacing w:val="-2"/>
                        <w:sz w:val="20"/>
                      </w:rPr>
                      <w:t>CORPORATION</w:t>
                    </w:r>
                  </w:p>
                  <w:p>
                    <w:pPr>
                      <w:spacing w:before="10"/>
                      <w:ind w:left="0" w:right="0" w:firstLine="0"/>
                      <w:jc w:val="center"/>
                      <w:rPr>
                        <w:b/>
                        <w:sz w:val="20"/>
                      </w:rPr>
                    </w:pPr>
                    <w:r>
                      <w:rPr>
                        <w:b/>
                        <w:sz w:val="20"/>
                      </w:rPr>
                      <w:t>Condensed</w:t>
                    </w:r>
                    <w:r>
                      <w:rPr>
                        <w:b/>
                        <w:spacing w:val="-7"/>
                        <w:sz w:val="20"/>
                      </w:rPr>
                      <w:t> </w:t>
                    </w:r>
                    <w:r>
                      <w:rPr>
                        <w:b/>
                        <w:sz w:val="20"/>
                      </w:rPr>
                      <w:t>Consolidated</w:t>
                    </w:r>
                    <w:r>
                      <w:rPr>
                        <w:b/>
                        <w:spacing w:val="-5"/>
                        <w:sz w:val="20"/>
                      </w:rPr>
                      <w:t> </w:t>
                    </w:r>
                    <w:r>
                      <w:rPr>
                        <w:b/>
                        <w:sz w:val="20"/>
                      </w:rPr>
                      <w:t>Statements</w:t>
                    </w:r>
                    <w:r>
                      <w:rPr>
                        <w:b/>
                        <w:spacing w:val="-5"/>
                        <w:sz w:val="20"/>
                      </w:rPr>
                      <w:t> </w:t>
                    </w:r>
                    <w:r>
                      <w:rPr>
                        <w:b/>
                        <w:sz w:val="20"/>
                      </w:rPr>
                      <w:t>of</w:t>
                    </w:r>
                    <w:r>
                      <w:rPr>
                        <w:b/>
                        <w:spacing w:val="-4"/>
                        <w:sz w:val="20"/>
                      </w:rPr>
                      <w:t> </w:t>
                    </w:r>
                    <w:r>
                      <w:rPr>
                        <w:b/>
                        <w:sz w:val="20"/>
                      </w:rPr>
                      <w:t>Cash</w:t>
                    </w:r>
                    <w:r>
                      <w:rPr>
                        <w:b/>
                        <w:spacing w:val="-5"/>
                        <w:sz w:val="20"/>
                      </w:rPr>
                      <w:t> </w:t>
                    </w:r>
                    <w:r>
                      <w:rPr>
                        <w:b/>
                        <w:sz w:val="20"/>
                      </w:rPr>
                      <w:t>Flows</w:t>
                    </w:r>
                    <w:r>
                      <w:rPr>
                        <w:b/>
                        <w:spacing w:val="-4"/>
                        <w:sz w:val="20"/>
                      </w:rPr>
                      <w:t> </w:t>
                    </w:r>
                    <w:r>
                      <w:rPr>
                        <w:b/>
                        <w:spacing w:val="-5"/>
                        <w:sz w:val="20"/>
                        <w:vertAlign w:val="superscript"/>
                      </w:rPr>
                      <w:t>(1)</w:t>
                    </w:r>
                  </w:p>
                  <w:p>
                    <w:pPr>
                      <w:spacing w:line="249" w:lineRule="auto" w:before="23"/>
                      <w:ind w:left="1544" w:right="1541" w:firstLine="0"/>
                      <w:jc w:val="center"/>
                      <w:rPr>
                        <w:sz w:val="16"/>
                      </w:rPr>
                    </w:pPr>
                    <w:r>
                      <w:rPr>
                        <w:sz w:val="16"/>
                      </w:rPr>
                      <w:t>(in</w:t>
                    </w:r>
                    <w:r>
                      <w:rPr>
                        <w:spacing w:val="-10"/>
                        <w:sz w:val="16"/>
                      </w:rPr>
                      <w:t> </w:t>
                    </w:r>
                    <w:r>
                      <w:rPr>
                        <w:sz w:val="16"/>
                      </w:rPr>
                      <w:t>Millions)</w:t>
                    </w:r>
                    <w:r>
                      <w:rPr>
                        <w:spacing w:val="40"/>
                        <w:sz w:val="16"/>
                      </w:rPr>
                      <w:t> </w:t>
                    </w:r>
                    <w:r>
                      <w:rPr>
                        <w:spacing w:val="-2"/>
                        <w:sz w:val="16"/>
                      </w:rPr>
                      <w:t>(Unaudited)</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5906560">
              <wp:simplePos x="0" y="0"/>
              <wp:positionH relativeFrom="page">
                <wp:posOffset>2347848</wp:posOffset>
              </wp:positionH>
              <wp:positionV relativeFrom="page">
                <wp:posOffset>131557</wp:posOffset>
              </wp:positionV>
              <wp:extent cx="3078480" cy="57213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078480" cy="572135"/>
                      </a:xfrm>
                      <a:prstGeom prst="rect">
                        <a:avLst/>
                      </a:prstGeom>
                    </wps:spPr>
                    <wps:txbx>
                      <w:txbxContent>
                        <w:p>
                          <w:pPr>
                            <w:spacing w:before="11"/>
                            <w:ind w:left="0" w:right="0" w:firstLine="0"/>
                            <w:jc w:val="center"/>
                            <w:rPr>
                              <w:b/>
                              <w:sz w:val="20"/>
                            </w:rPr>
                          </w:pPr>
                          <w:r>
                            <w:rPr>
                              <w:b/>
                              <w:sz w:val="20"/>
                            </w:rPr>
                            <w:t>THE</w:t>
                          </w:r>
                          <w:r>
                            <w:rPr>
                              <w:b/>
                              <w:spacing w:val="-5"/>
                              <w:sz w:val="20"/>
                            </w:rPr>
                            <w:t> </w:t>
                          </w:r>
                          <w:r>
                            <w:rPr>
                              <w:b/>
                              <w:sz w:val="20"/>
                            </w:rPr>
                            <w:t>CHARLES</w:t>
                          </w:r>
                          <w:r>
                            <w:rPr>
                              <w:b/>
                              <w:spacing w:val="-5"/>
                              <w:sz w:val="20"/>
                            </w:rPr>
                            <w:t> </w:t>
                          </w:r>
                          <w:r>
                            <w:rPr>
                              <w:b/>
                              <w:sz w:val="20"/>
                            </w:rPr>
                            <w:t>SCHWAB</w:t>
                          </w:r>
                          <w:r>
                            <w:rPr>
                              <w:b/>
                              <w:spacing w:val="-5"/>
                              <w:sz w:val="20"/>
                            </w:rPr>
                            <w:t> </w:t>
                          </w:r>
                          <w:r>
                            <w:rPr>
                              <w:b/>
                              <w:spacing w:val="-2"/>
                              <w:sz w:val="20"/>
                            </w:rPr>
                            <w:t>CORPORATION</w:t>
                          </w:r>
                        </w:p>
                        <w:p>
                          <w:pPr>
                            <w:spacing w:line="256" w:lineRule="auto" w:before="10"/>
                            <w:ind w:left="20" w:right="18" w:hanging="3"/>
                            <w:jc w:val="center"/>
                            <w:rPr>
                              <w:sz w:val="16"/>
                            </w:rPr>
                          </w:pPr>
                          <w:r>
                            <w:rPr>
                              <w:b/>
                              <w:sz w:val="20"/>
                            </w:rPr>
                            <w:t>Notes to Condensed Consolidated Financial Statements </w:t>
                          </w:r>
                          <w:r>
                            <w:rPr>
                              <w:sz w:val="16"/>
                            </w:rPr>
                            <w:t>(Tabular</w:t>
                          </w:r>
                          <w:r>
                            <w:rPr>
                              <w:spacing w:val="-4"/>
                              <w:sz w:val="16"/>
                            </w:rPr>
                            <w:t> </w:t>
                          </w:r>
                          <w:r>
                            <w:rPr>
                              <w:sz w:val="16"/>
                            </w:rPr>
                            <w:t>Amounts</w:t>
                          </w:r>
                          <w:r>
                            <w:rPr>
                              <w:spacing w:val="-5"/>
                              <w:sz w:val="16"/>
                            </w:rPr>
                            <w:t> </w:t>
                          </w:r>
                          <w:r>
                            <w:rPr>
                              <w:sz w:val="16"/>
                            </w:rPr>
                            <w:t>in</w:t>
                          </w:r>
                          <w:r>
                            <w:rPr>
                              <w:spacing w:val="-4"/>
                              <w:sz w:val="16"/>
                            </w:rPr>
                            <w:t> </w:t>
                          </w:r>
                          <w:r>
                            <w:rPr>
                              <w:sz w:val="16"/>
                            </w:rPr>
                            <w:t>Millions,</w:t>
                          </w:r>
                          <w:r>
                            <w:rPr>
                              <w:spacing w:val="-4"/>
                              <w:sz w:val="16"/>
                            </w:rPr>
                            <w:t> </w:t>
                          </w:r>
                          <w:r>
                            <w:rPr>
                              <w:sz w:val="16"/>
                            </w:rPr>
                            <w:t>Except</w:t>
                          </w:r>
                          <w:r>
                            <w:rPr>
                              <w:spacing w:val="-4"/>
                              <w:sz w:val="16"/>
                            </w:rPr>
                            <w:t> </w:t>
                          </w:r>
                          <w:r>
                            <w:rPr>
                              <w:sz w:val="16"/>
                            </w:rPr>
                            <w:t>Per</w:t>
                          </w:r>
                          <w:r>
                            <w:rPr>
                              <w:spacing w:val="-4"/>
                              <w:sz w:val="16"/>
                            </w:rPr>
                            <w:t> </w:t>
                          </w:r>
                          <w:r>
                            <w:rPr>
                              <w:sz w:val="16"/>
                            </w:rPr>
                            <w:t>Share</w:t>
                          </w:r>
                          <w:r>
                            <w:rPr>
                              <w:spacing w:val="-4"/>
                              <w:sz w:val="16"/>
                            </w:rPr>
                            <w:t> </w:t>
                          </w:r>
                          <w:r>
                            <w:rPr>
                              <w:sz w:val="16"/>
                            </w:rPr>
                            <w:t>Data,</w:t>
                          </w:r>
                          <w:r>
                            <w:rPr>
                              <w:spacing w:val="-4"/>
                              <w:sz w:val="16"/>
                            </w:rPr>
                            <w:t> </w:t>
                          </w:r>
                          <w:r>
                            <w:rPr>
                              <w:sz w:val="16"/>
                            </w:rPr>
                            <w:t>Ratios,</w:t>
                          </w:r>
                          <w:r>
                            <w:rPr>
                              <w:spacing w:val="-4"/>
                              <w:sz w:val="16"/>
                            </w:rPr>
                            <w:t> </w:t>
                          </w:r>
                          <w:r>
                            <w:rPr>
                              <w:sz w:val="16"/>
                            </w:rPr>
                            <w:t>or</w:t>
                          </w:r>
                          <w:r>
                            <w:rPr>
                              <w:spacing w:val="-4"/>
                              <w:sz w:val="16"/>
                            </w:rPr>
                            <w:t> </w:t>
                          </w:r>
                          <w:r>
                            <w:rPr>
                              <w:sz w:val="16"/>
                            </w:rPr>
                            <w:t>as</w:t>
                          </w:r>
                          <w:r>
                            <w:rPr>
                              <w:spacing w:val="-5"/>
                              <w:sz w:val="16"/>
                            </w:rPr>
                            <w:t> </w:t>
                          </w:r>
                          <w:r>
                            <w:rPr>
                              <w:sz w:val="16"/>
                            </w:rPr>
                            <w:t>Noted)</w:t>
                          </w:r>
                          <w:r>
                            <w:rPr>
                              <w:spacing w:val="40"/>
                              <w:sz w:val="16"/>
                            </w:rPr>
                            <w:t> </w:t>
                          </w:r>
                          <w:r>
                            <w:rPr>
                              <w:spacing w:val="-2"/>
                              <w:sz w:val="16"/>
                            </w:rPr>
                            <w:t>(Unaudited)</w:t>
                          </w:r>
                        </w:p>
                      </w:txbxContent>
                    </wps:txbx>
                    <wps:bodyPr wrap="square" lIns="0" tIns="0" rIns="0" bIns="0" rtlCol="0">
                      <a:noAutofit/>
                    </wps:bodyPr>
                  </wps:wsp>
                </a:graphicData>
              </a:graphic>
            </wp:anchor>
          </w:drawing>
        </mc:Choice>
        <mc:Fallback>
          <w:pict>
            <v:shape style="position:absolute;margin-left:184.869995pt;margin-top:10.358868pt;width:242.4pt;height:45.05pt;mso-position-horizontal-relative:page;mso-position-vertical-relative:page;z-index:-27409920" type="#_x0000_t202" id="docshape100" filled="false" stroked="false">
              <v:textbox inset="0,0,0,0">
                <w:txbxContent>
                  <w:p>
                    <w:pPr>
                      <w:spacing w:before="11"/>
                      <w:ind w:left="0" w:right="0" w:firstLine="0"/>
                      <w:jc w:val="center"/>
                      <w:rPr>
                        <w:b/>
                        <w:sz w:val="20"/>
                      </w:rPr>
                    </w:pPr>
                    <w:r>
                      <w:rPr>
                        <w:b/>
                        <w:sz w:val="20"/>
                      </w:rPr>
                      <w:t>THE</w:t>
                    </w:r>
                    <w:r>
                      <w:rPr>
                        <w:b/>
                        <w:spacing w:val="-5"/>
                        <w:sz w:val="20"/>
                      </w:rPr>
                      <w:t> </w:t>
                    </w:r>
                    <w:r>
                      <w:rPr>
                        <w:b/>
                        <w:sz w:val="20"/>
                      </w:rPr>
                      <w:t>CHARLES</w:t>
                    </w:r>
                    <w:r>
                      <w:rPr>
                        <w:b/>
                        <w:spacing w:val="-5"/>
                        <w:sz w:val="20"/>
                      </w:rPr>
                      <w:t> </w:t>
                    </w:r>
                    <w:r>
                      <w:rPr>
                        <w:b/>
                        <w:sz w:val="20"/>
                      </w:rPr>
                      <w:t>SCHWAB</w:t>
                    </w:r>
                    <w:r>
                      <w:rPr>
                        <w:b/>
                        <w:spacing w:val="-5"/>
                        <w:sz w:val="20"/>
                      </w:rPr>
                      <w:t> </w:t>
                    </w:r>
                    <w:r>
                      <w:rPr>
                        <w:b/>
                        <w:spacing w:val="-2"/>
                        <w:sz w:val="20"/>
                      </w:rPr>
                      <w:t>CORPORATION</w:t>
                    </w:r>
                  </w:p>
                  <w:p>
                    <w:pPr>
                      <w:spacing w:line="256" w:lineRule="auto" w:before="10"/>
                      <w:ind w:left="20" w:right="18" w:hanging="3"/>
                      <w:jc w:val="center"/>
                      <w:rPr>
                        <w:sz w:val="16"/>
                      </w:rPr>
                    </w:pPr>
                    <w:r>
                      <w:rPr>
                        <w:b/>
                        <w:sz w:val="20"/>
                      </w:rPr>
                      <w:t>Notes to Condensed Consolidated Financial Statements </w:t>
                    </w:r>
                    <w:r>
                      <w:rPr>
                        <w:sz w:val="16"/>
                      </w:rPr>
                      <w:t>(Tabular</w:t>
                    </w:r>
                    <w:r>
                      <w:rPr>
                        <w:spacing w:val="-4"/>
                        <w:sz w:val="16"/>
                      </w:rPr>
                      <w:t> </w:t>
                    </w:r>
                    <w:r>
                      <w:rPr>
                        <w:sz w:val="16"/>
                      </w:rPr>
                      <w:t>Amounts</w:t>
                    </w:r>
                    <w:r>
                      <w:rPr>
                        <w:spacing w:val="-5"/>
                        <w:sz w:val="16"/>
                      </w:rPr>
                      <w:t> </w:t>
                    </w:r>
                    <w:r>
                      <w:rPr>
                        <w:sz w:val="16"/>
                      </w:rPr>
                      <w:t>in</w:t>
                    </w:r>
                    <w:r>
                      <w:rPr>
                        <w:spacing w:val="-4"/>
                        <w:sz w:val="16"/>
                      </w:rPr>
                      <w:t> </w:t>
                    </w:r>
                    <w:r>
                      <w:rPr>
                        <w:sz w:val="16"/>
                      </w:rPr>
                      <w:t>Millions,</w:t>
                    </w:r>
                    <w:r>
                      <w:rPr>
                        <w:spacing w:val="-4"/>
                        <w:sz w:val="16"/>
                      </w:rPr>
                      <w:t> </w:t>
                    </w:r>
                    <w:r>
                      <w:rPr>
                        <w:sz w:val="16"/>
                      </w:rPr>
                      <w:t>Except</w:t>
                    </w:r>
                    <w:r>
                      <w:rPr>
                        <w:spacing w:val="-4"/>
                        <w:sz w:val="16"/>
                      </w:rPr>
                      <w:t> </w:t>
                    </w:r>
                    <w:r>
                      <w:rPr>
                        <w:sz w:val="16"/>
                      </w:rPr>
                      <w:t>Per</w:t>
                    </w:r>
                    <w:r>
                      <w:rPr>
                        <w:spacing w:val="-4"/>
                        <w:sz w:val="16"/>
                      </w:rPr>
                      <w:t> </w:t>
                    </w:r>
                    <w:r>
                      <w:rPr>
                        <w:sz w:val="16"/>
                      </w:rPr>
                      <w:t>Share</w:t>
                    </w:r>
                    <w:r>
                      <w:rPr>
                        <w:spacing w:val="-4"/>
                        <w:sz w:val="16"/>
                      </w:rPr>
                      <w:t> </w:t>
                    </w:r>
                    <w:r>
                      <w:rPr>
                        <w:sz w:val="16"/>
                      </w:rPr>
                      <w:t>Data,</w:t>
                    </w:r>
                    <w:r>
                      <w:rPr>
                        <w:spacing w:val="-4"/>
                        <w:sz w:val="16"/>
                      </w:rPr>
                      <w:t> </w:t>
                    </w:r>
                    <w:r>
                      <w:rPr>
                        <w:sz w:val="16"/>
                      </w:rPr>
                      <w:t>Ratios,</w:t>
                    </w:r>
                    <w:r>
                      <w:rPr>
                        <w:spacing w:val="-4"/>
                        <w:sz w:val="16"/>
                      </w:rPr>
                      <w:t> </w:t>
                    </w:r>
                    <w:r>
                      <w:rPr>
                        <w:sz w:val="16"/>
                      </w:rPr>
                      <w:t>or</w:t>
                    </w:r>
                    <w:r>
                      <w:rPr>
                        <w:spacing w:val="-4"/>
                        <w:sz w:val="16"/>
                      </w:rPr>
                      <w:t> </w:t>
                    </w:r>
                    <w:r>
                      <w:rPr>
                        <w:sz w:val="16"/>
                      </w:rPr>
                      <w:t>as</w:t>
                    </w:r>
                    <w:r>
                      <w:rPr>
                        <w:spacing w:val="-5"/>
                        <w:sz w:val="16"/>
                      </w:rPr>
                      <w:t> </w:t>
                    </w:r>
                    <w:r>
                      <w:rPr>
                        <w:sz w:val="16"/>
                      </w:rPr>
                      <w:t>Noted)</w:t>
                    </w:r>
                    <w:r>
                      <w:rPr>
                        <w:spacing w:val="40"/>
                        <w:sz w:val="16"/>
                      </w:rPr>
                      <w:t> </w:t>
                    </w:r>
                    <w:r>
                      <w:rPr>
                        <w:spacing w:val="-2"/>
                        <w:sz w:val="16"/>
                      </w:rPr>
                      <w:t>(Unaudited)</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5907584">
              <wp:simplePos x="0" y="0"/>
              <wp:positionH relativeFrom="page">
                <wp:posOffset>2620010</wp:posOffset>
              </wp:positionH>
              <wp:positionV relativeFrom="page">
                <wp:posOffset>283957</wp:posOffset>
              </wp:positionV>
              <wp:extent cx="2532380" cy="166370"/>
              <wp:effectExtent l="0" t="0" r="0" b="0"/>
              <wp:wrapNone/>
              <wp:docPr id="713" name="Textbox 713"/>
              <wp:cNvGraphicFramePr>
                <a:graphicFrameLocks/>
              </wp:cNvGraphicFramePr>
              <a:graphic>
                <a:graphicData uri="http://schemas.microsoft.com/office/word/2010/wordprocessingShape">
                  <wps:wsp>
                    <wps:cNvPr id="713" name="Textbox 713"/>
                    <wps:cNvSpPr txBox="1"/>
                    <wps:spPr>
                      <a:xfrm>
                        <a:off x="0" y="0"/>
                        <a:ext cx="2532380" cy="166370"/>
                      </a:xfrm>
                      <a:prstGeom prst="rect">
                        <a:avLst/>
                      </a:prstGeom>
                    </wps:spPr>
                    <wps:txbx>
                      <w:txbxContent>
                        <w:p>
                          <w:pPr>
                            <w:spacing w:before="11"/>
                            <w:ind w:left="20" w:right="0" w:firstLine="0"/>
                            <w:jc w:val="left"/>
                            <w:rPr>
                              <w:b/>
                              <w:sz w:val="20"/>
                            </w:rPr>
                          </w:pPr>
                          <w:r>
                            <w:rPr>
                              <w:b/>
                              <w:sz w:val="20"/>
                            </w:rPr>
                            <w:t>THE</w:t>
                          </w:r>
                          <w:r>
                            <w:rPr>
                              <w:b/>
                              <w:spacing w:val="-5"/>
                              <w:sz w:val="20"/>
                            </w:rPr>
                            <w:t> </w:t>
                          </w:r>
                          <w:r>
                            <w:rPr>
                              <w:b/>
                              <w:sz w:val="20"/>
                            </w:rPr>
                            <w:t>CHARLES</w:t>
                          </w:r>
                          <w:r>
                            <w:rPr>
                              <w:b/>
                              <w:spacing w:val="-5"/>
                              <w:sz w:val="20"/>
                            </w:rPr>
                            <w:t> </w:t>
                          </w:r>
                          <w:r>
                            <w:rPr>
                              <w:b/>
                              <w:sz w:val="20"/>
                            </w:rPr>
                            <w:t>SCHWAB</w:t>
                          </w:r>
                          <w:r>
                            <w:rPr>
                              <w:b/>
                              <w:spacing w:val="-5"/>
                              <w:sz w:val="20"/>
                            </w:rPr>
                            <w:t> </w:t>
                          </w:r>
                          <w:r>
                            <w:rPr>
                              <w:b/>
                              <w:spacing w:val="-2"/>
                              <w:sz w:val="20"/>
                            </w:rPr>
                            <w:t>CORPORATION</w:t>
                          </w:r>
                        </w:p>
                      </w:txbxContent>
                    </wps:txbx>
                    <wps:bodyPr wrap="square" lIns="0" tIns="0" rIns="0" bIns="0" rtlCol="0">
                      <a:noAutofit/>
                    </wps:bodyPr>
                  </wps:wsp>
                </a:graphicData>
              </a:graphic>
            </wp:anchor>
          </w:drawing>
        </mc:Choice>
        <mc:Fallback>
          <w:pict>
            <v:shape style="position:absolute;margin-left:206.300003pt;margin-top:22.358868pt;width:199.4pt;height:13.1pt;mso-position-horizontal-relative:page;mso-position-vertical-relative:page;z-index:-27408896" type="#_x0000_t202" id="docshape514" filled="false" stroked="false">
              <v:textbox inset="0,0,0,0">
                <w:txbxContent>
                  <w:p>
                    <w:pPr>
                      <w:spacing w:before="11"/>
                      <w:ind w:left="20" w:right="0" w:firstLine="0"/>
                      <w:jc w:val="left"/>
                      <w:rPr>
                        <w:b/>
                        <w:sz w:val="20"/>
                      </w:rPr>
                    </w:pPr>
                    <w:r>
                      <w:rPr>
                        <w:b/>
                        <w:sz w:val="20"/>
                      </w:rPr>
                      <w:t>THE</w:t>
                    </w:r>
                    <w:r>
                      <w:rPr>
                        <w:b/>
                        <w:spacing w:val="-5"/>
                        <w:sz w:val="20"/>
                      </w:rPr>
                      <w:t> </w:t>
                    </w:r>
                    <w:r>
                      <w:rPr>
                        <w:b/>
                        <w:sz w:val="20"/>
                      </w:rPr>
                      <w:t>CHARLES</w:t>
                    </w:r>
                    <w:r>
                      <w:rPr>
                        <w:b/>
                        <w:spacing w:val="-5"/>
                        <w:sz w:val="20"/>
                      </w:rPr>
                      <w:t> </w:t>
                    </w:r>
                    <w:r>
                      <w:rPr>
                        <w:b/>
                        <w:sz w:val="20"/>
                      </w:rPr>
                      <w:t>SCHWAB</w:t>
                    </w:r>
                    <w:r>
                      <w:rPr>
                        <w:b/>
                        <w:spacing w:val="-5"/>
                        <w:sz w:val="20"/>
                      </w:rPr>
                      <w:t> </w:t>
                    </w:r>
                    <w:r>
                      <w:rPr>
                        <w:b/>
                        <w:spacing w:val="-2"/>
                        <w:sz w:val="20"/>
                      </w:rPr>
                      <w:t>CORPORATION</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5908608">
              <wp:simplePos x="0" y="0"/>
              <wp:positionH relativeFrom="page">
                <wp:posOffset>2604135</wp:posOffset>
              </wp:positionH>
              <wp:positionV relativeFrom="page">
                <wp:posOffset>285989</wp:posOffset>
              </wp:positionV>
              <wp:extent cx="2532380" cy="166370"/>
              <wp:effectExtent l="0" t="0" r="0" b="0"/>
              <wp:wrapNone/>
              <wp:docPr id="748" name="Textbox 748"/>
              <wp:cNvGraphicFramePr>
                <a:graphicFrameLocks/>
              </wp:cNvGraphicFramePr>
              <a:graphic>
                <a:graphicData uri="http://schemas.microsoft.com/office/word/2010/wordprocessingShape">
                  <wps:wsp>
                    <wps:cNvPr id="748" name="Textbox 748"/>
                    <wps:cNvSpPr txBox="1"/>
                    <wps:spPr>
                      <a:xfrm>
                        <a:off x="0" y="0"/>
                        <a:ext cx="2532380" cy="166370"/>
                      </a:xfrm>
                      <a:prstGeom prst="rect">
                        <a:avLst/>
                      </a:prstGeom>
                    </wps:spPr>
                    <wps:txbx>
                      <w:txbxContent>
                        <w:p>
                          <w:pPr>
                            <w:spacing w:before="11"/>
                            <w:ind w:left="20" w:right="0" w:firstLine="0"/>
                            <w:jc w:val="left"/>
                            <w:rPr>
                              <w:b/>
                              <w:sz w:val="20"/>
                            </w:rPr>
                          </w:pPr>
                          <w:r>
                            <w:rPr>
                              <w:b/>
                              <w:sz w:val="20"/>
                            </w:rPr>
                            <w:t>THE</w:t>
                          </w:r>
                          <w:r>
                            <w:rPr>
                              <w:b/>
                              <w:spacing w:val="-5"/>
                              <w:sz w:val="20"/>
                            </w:rPr>
                            <w:t> </w:t>
                          </w:r>
                          <w:r>
                            <w:rPr>
                              <w:b/>
                              <w:sz w:val="20"/>
                            </w:rPr>
                            <w:t>CHARLES</w:t>
                          </w:r>
                          <w:r>
                            <w:rPr>
                              <w:b/>
                              <w:spacing w:val="-5"/>
                              <w:sz w:val="20"/>
                            </w:rPr>
                            <w:t> </w:t>
                          </w:r>
                          <w:r>
                            <w:rPr>
                              <w:b/>
                              <w:sz w:val="20"/>
                            </w:rPr>
                            <w:t>SCHWAB</w:t>
                          </w:r>
                          <w:r>
                            <w:rPr>
                              <w:b/>
                              <w:spacing w:val="-5"/>
                              <w:sz w:val="20"/>
                            </w:rPr>
                            <w:t> </w:t>
                          </w:r>
                          <w:r>
                            <w:rPr>
                              <w:b/>
                              <w:spacing w:val="-2"/>
                              <w:sz w:val="20"/>
                            </w:rPr>
                            <w:t>CORPORATION</w:t>
                          </w:r>
                        </w:p>
                      </w:txbxContent>
                    </wps:txbx>
                    <wps:bodyPr wrap="square" lIns="0" tIns="0" rIns="0" bIns="0" rtlCol="0">
                      <a:noAutofit/>
                    </wps:bodyPr>
                  </wps:wsp>
                </a:graphicData>
              </a:graphic>
            </wp:anchor>
          </w:drawing>
        </mc:Choice>
        <mc:Fallback>
          <w:pict>
            <v:shape style="position:absolute;margin-left:205.050003pt;margin-top:22.518867pt;width:199.4pt;height:13.1pt;mso-position-horizontal-relative:page;mso-position-vertical-relative:page;z-index:-27407872" type="#_x0000_t202" id="docshape536" filled="false" stroked="false">
              <v:textbox inset="0,0,0,0">
                <w:txbxContent>
                  <w:p>
                    <w:pPr>
                      <w:spacing w:before="11"/>
                      <w:ind w:left="20" w:right="0" w:firstLine="0"/>
                      <w:jc w:val="left"/>
                      <w:rPr>
                        <w:b/>
                        <w:sz w:val="20"/>
                      </w:rPr>
                    </w:pPr>
                    <w:r>
                      <w:rPr>
                        <w:b/>
                        <w:sz w:val="20"/>
                      </w:rPr>
                      <w:t>THE</w:t>
                    </w:r>
                    <w:r>
                      <w:rPr>
                        <w:b/>
                        <w:spacing w:val="-5"/>
                        <w:sz w:val="20"/>
                      </w:rPr>
                      <w:t> </w:t>
                    </w:r>
                    <w:r>
                      <w:rPr>
                        <w:b/>
                        <w:sz w:val="20"/>
                      </w:rPr>
                      <w:t>CHARLES</w:t>
                    </w:r>
                    <w:r>
                      <w:rPr>
                        <w:b/>
                        <w:spacing w:val="-5"/>
                        <w:sz w:val="20"/>
                      </w:rPr>
                      <w:t> </w:t>
                    </w:r>
                    <w:r>
                      <w:rPr>
                        <w:b/>
                        <w:sz w:val="20"/>
                      </w:rPr>
                      <w:t>SCHWAB</w:t>
                    </w:r>
                    <w:r>
                      <w:rPr>
                        <w:b/>
                        <w:spacing w:val="-5"/>
                        <w:sz w:val="20"/>
                      </w:rPr>
                      <w:t> </w:t>
                    </w:r>
                    <w:r>
                      <w:rPr>
                        <w:b/>
                        <w:spacing w:val="-2"/>
                        <w:sz w:val="20"/>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75909120">
              <wp:simplePos x="0" y="0"/>
              <wp:positionH relativeFrom="page">
                <wp:posOffset>6334125</wp:posOffset>
              </wp:positionH>
              <wp:positionV relativeFrom="page">
                <wp:posOffset>503032</wp:posOffset>
              </wp:positionV>
              <wp:extent cx="860425" cy="166370"/>
              <wp:effectExtent l="0" t="0" r="0" b="0"/>
              <wp:wrapNone/>
              <wp:docPr id="749" name="Textbox 749"/>
              <wp:cNvGraphicFramePr>
                <a:graphicFrameLocks/>
              </wp:cNvGraphicFramePr>
              <a:graphic>
                <a:graphicData uri="http://schemas.microsoft.com/office/word/2010/wordprocessingShape">
                  <wps:wsp>
                    <wps:cNvPr id="749" name="Textbox 749"/>
                    <wps:cNvSpPr txBox="1"/>
                    <wps:spPr>
                      <a:xfrm>
                        <a:off x="0" y="0"/>
                        <a:ext cx="860425" cy="166370"/>
                      </a:xfrm>
                      <a:prstGeom prst="rect">
                        <a:avLst/>
                      </a:prstGeom>
                    </wps:spPr>
                    <wps:txbx>
                      <w:txbxContent>
                        <w:p>
                          <w:pPr>
                            <w:spacing w:before="11"/>
                            <w:ind w:left="20" w:right="0" w:firstLine="0"/>
                            <w:jc w:val="left"/>
                            <w:rPr>
                              <w:b/>
                              <w:sz w:val="20"/>
                            </w:rPr>
                          </w:pPr>
                          <w:r>
                            <w:rPr>
                              <w:b/>
                              <w:sz w:val="20"/>
                            </w:rPr>
                            <w:t>EXHIBIT</w:t>
                          </w:r>
                          <w:r>
                            <w:rPr>
                              <w:b/>
                              <w:spacing w:val="-7"/>
                              <w:sz w:val="20"/>
                            </w:rPr>
                            <w:t> </w:t>
                          </w:r>
                          <w:r>
                            <w:rPr>
                              <w:b/>
                              <w:spacing w:val="-4"/>
                              <w:sz w:val="20"/>
                            </w:rPr>
                            <w:t>31.</w:t>
                          </w:r>
                          <w:r>
                            <w:rPr>
                              <w:b/>
                              <w:spacing w:val="-4"/>
                              <w:sz w:val="20"/>
                            </w:rPr>
                            <w:fldChar w:fldCharType="begin"/>
                          </w:r>
                          <w:r>
                            <w:rPr>
                              <w:b/>
                              <w:spacing w:val="-4"/>
                              <w:sz w:val="20"/>
                            </w:rPr>
                            <w:instrText> PAGE </w:instrText>
                          </w:r>
                          <w:r>
                            <w:rPr>
                              <w:b/>
                              <w:spacing w:val="-4"/>
                              <w:sz w:val="20"/>
                            </w:rPr>
                            <w:fldChar w:fldCharType="separate"/>
                          </w:r>
                          <w:r>
                            <w:rPr>
                              <w:b/>
                              <w:spacing w:val="-4"/>
                              <w:sz w:val="20"/>
                            </w:rPr>
                            <w:t>1</w:t>
                          </w:r>
                          <w:r>
                            <w:rPr>
                              <w:b/>
                              <w:spacing w:val="-4"/>
                              <w:sz w:val="20"/>
                            </w:rPr>
                            <w:fldChar w:fldCharType="end"/>
                          </w:r>
                        </w:p>
                      </w:txbxContent>
                    </wps:txbx>
                    <wps:bodyPr wrap="square" lIns="0" tIns="0" rIns="0" bIns="0" rtlCol="0">
                      <a:noAutofit/>
                    </wps:bodyPr>
                  </wps:wsp>
                </a:graphicData>
              </a:graphic>
            </wp:anchor>
          </w:drawing>
        </mc:Choice>
        <mc:Fallback>
          <w:pict>
            <v:shape style="position:absolute;margin-left:498.75pt;margin-top:39.608868pt;width:67.75pt;height:13.1pt;mso-position-horizontal-relative:page;mso-position-vertical-relative:page;z-index:-27407360" type="#_x0000_t202" id="docshape537" filled="false" stroked="false">
              <v:textbox inset="0,0,0,0">
                <w:txbxContent>
                  <w:p>
                    <w:pPr>
                      <w:spacing w:before="11"/>
                      <w:ind w:left="20" w:right="0" w:firstLine="0"/>
                      <w:jc w:val="left"/>
                      <w:rPr>
                        <w:b/>
                        <w:sz w:val="20"/>
                      </w:rPr>
                    </w:pPr>
                    <w:r>
                      <w:rPr>
                        <w:b/>
                        <w:sz w:val="20"/>
                      </w:rPr>
                      <w:t>EXHIBIT</w:t>
                    </w:r>
                    <w:r>
                      <w:rPr>
                        <w:b/>
                        <w:spacing w:val="-7"/>
                        <w:sz w:val="20"/>
                      </w:rPr>
                      <w:t> </w:t>
                    </w:r>
                    <w:r>
                      <w:rPr>
                        <w:b/>
                        <w:spacing w:val="-4"/>
                        <w:sz w:val="20"/>
                      </w:rPr>
                      <w:t>31.</w:t>
                    </w:r>
                    <w:r>
                      <w:rPr>
                        <w:b/>
                        <w:spacing w:val="-4"/>
                        <w:sz w:val="20"/>
                      </w:rPr>
                      <w:fldChar w:fldCharType="begin"/>
                    </w:r>
                    <w:r>
                      <w:rPr>
                        <w:b/>
                        <w:spacing w:val="-4"/>
                        <w:sz w:val="20"/>
                      </w:rPr>
                      <w:instrText> PAGE </w:instrText>
                    </w:r>
                    <w:r>
                      <w:rPr>
                        <w:b/>
                        <w:spacing w:val="-4"/>
                        <w:sz w:val="20"/>
                      </w:rPr>
                      <w:fldChar w:fldCharType="separate"/>
                    </w:r>
                    <w:r>
                      <w:rPr>
                        <w:b/>
                        <w:spacing w:val="-4"/>
                        <w:sz w:val="20"/>
                      </w:rPr>
                      <w:t>1</w:t>
                    </w:r>
                    <w:r>
                      <w:rPr>
                        <w:b/>
                        <w:spacing w:val="-4"/>
                        <w:sz w:val="20"/>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1190" w:hanging="36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200" w:hanging="360"/>
      </w:pPr>
      <w:rPr>
        <w:rFonts w:hint="default"/>
        <w:lang w:val="en-US" w:eastAsia="en-US" w:bidi="ar-SA"/>
      </w:rPr>
    </w:lvl>
    <w:lvl w:ilvl="2">
      <w:start w:val="0"/>
      <w:numFmt w:val="bullet"/>
      <w:lvlText w:val="•"/>
      <w:lvlJc w:val="left"/>
      <w:pPr>
        <w:ind w:left="3200" w:hanging="360"/>
      </w:pPr>
      <w:rPr>
        <w:rFonts w:hint="default"/>
        <w:lang w:val="en-US" w:eastAsia="en-US" w:bidi="ar-SA"/>
      </w:rPr>
    </w:lvl>
    <w:lvl w:ilvl="3">
      <w:start w:val="0"/>
      <w:numFmt w:val="bullet"/>
      <w:lvlText w:val="•"/>
      <w:lvlJc w:val="left"/>
      <w:pPr>
        <w:ind w:left="4200" w:hanging="360"/>
      </w:pPr>
      <w:rPr>
        <w:rFonts w:hint="default"/>
        <w:lang w:val="en-US" w:eastAsia="en-US" w:bidi="ar-SA"/>
      </w:rPr>
    </w:lvl>
    <w:lvl w:ilvl="4">
      <w:start w:val="0"/>
      <w:numFmt w:val="bullet"/>
      <w:lvlText w:val="•"/>
      <w:lvlJc w:val="left"/>
      <w:pPr>
        <w:ind w:left="5200" w:hanging="360"/>
      </w:pPr>
      <w:rPr>
        <w:rFonts w:hint="default"/>
        <w:lang w:val="en-US" w:eastAsia="en-US" w:bidi="ar-SA"/>
      </w:rPr>
    </w:lvl>
    <w:lvl w:ilvl="5">
      <w:start w:val="0"/>
      <w:numFmt w:val="bullet"/>
      <w:lvlText w:val="•"/>
      <w:lvlJc w:val="left"/>
      <w:pPr>
        <w:ind w:left="6200" w:hanging="360"/>
      </w:pPr>
      <w:rPr>
        <w:rFonts w:hint="default"/>
        <w:lang w:val="en-US" w:eastAsia="en-US" w:bidi="ar-SA"/>
      </w:rPr>
    </w:lvl>
    <w:lvl w:ilvl="6">
      <w:start w:val="0"/>
      <w:numFmt w:val="bullet"/>
      <w:lvlText w:val="•"/>
      <w:lvlJc w:val="left"/>
      <w:pPr>
        <w:ind w:left="7200" w:hanging="360"/>
      </w:pPr>
      <w:rPr>
        <w:rFonts w:hint="default"/>
        <w:lang w:val="en-US" w:eastAsia="en-US" w:bidi="ar-SA"/>
      </w:rPr>
    </w:lvl>
    <w:lvl w:ilvl="7">
      <w:start w:val="0"/>
      <w:numFmt w:val="bullet"/>
      <w:lvlText w:val="•"/>
      <w:lvlJc w:val="left"/>
      <w:pPr>
        <w:ind w:left="8200" w:hanging="360"/>
      </w:pPr>
      <w:rPr>
        <w:rFonts w:hint="default"/>
        <w:lang w:val="en-US" w:eastAsia="en-US" w:bidi="ar-SA"/>
      </w:rPr>
    </w:lvl>
    <w:lvl w:ilvl="8">
      <w:start w:val="0"/>
      <w:numFmt w:val="bullet"/>
      <w:lvlText w:val="•"/>
      <w:lvlJc w:val="left"/>
      <w:pPr>
        <w:ind w:left="9200" w:hanging="360"/>
      </w:pPr>
      <w:rPr>
        <w:rFonts w:hint="default"/>
        <w:lang w:val="en-US" w:eastAsia="en-US" w:bidi="ar-SA"/>
      </w:rPr>
    </w:lvl>
  </w:abstractNum>
  <w:abstractNum w:abstractNumId="12">
    <w:multiLevelType w:val="hybridMultilevel"/>
    <w:lvl w:ilvl="0">
      <w:start w:val="1"/>
      <w:numFmt w:val="decimal"/>
      <w:lvlText w:val="(%1)"/>
      <w:lvlJc w:val="left"/>
      <w:pPr>
        <w:ind w:left="1190" w:hanging="36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200" w:hanging="360"/>
      </w:pPr>
      <w:rPr>
        <w:rFonts w:hint="default"/>
        <w:lang w:val="en-US" w:eastAsia="en-US" w:bidi="ar-SA"/>
      </w:rPr>
    </w:lvl>
    <w:lvl w:ilvl="2">
      <w:start w:val="0"/>
      <w:numFmt w:val="bullet"/>
      <w:lvlText w:val="•"/>
      <w:lvlJc w:val="left"/>
      <w:pPr>
        <w:ind w:left="3200" w:hanging="360"/>
      </w:pPr>
      <w:rPr>
        <w:rFonts w:hint="default"/>
        <w:lang w:val="en-US" w:eastAsia="en-US" w:bidi="ar-SA"/>
      </w:rPr>
    </w:lvl>
    <w:lvl w:ilvl="3">
      <w:start w:val="0"/>
      <w:numFmt w:val="bullet"/>
      <w:lvlText w:val="•"/>
      <w:lvlJc w:val="left"/>
      <w:pPr>
        <w:ind w:left="4200" w:hanging="360"/>
      </w:pPr>
      <w:rPr>
        <w:rFonts w:hint="default"/>
        <w:lang w:val="en-US" w:eastAsia="en-US" w:bidi="ar-SA"/>
      </w:rPr>
    </w:lvl>
    <w:lvl w:ilvl="4">
      <w:start w:val="0"/>
      <w:numFmt w:val="bullet"/>
      <w:lvlText w:val="•"/>
      <w:lvlJc w:val="left"/>
      <w:pPr>
        <w:ind w:left="5200" w:hanging="360"/>
      </w:pPr>
      <w:rPr>
        <w:rFonts w:hint="default"/>
        <w:lang w:val="en-US" w:eastAsia="en-US" w:bidi="ar-SA"/>
      </w:rPr>
    </w:lvl>
    <w:lvl w:ilvl="5">
      <w:start w:val="0"/>
      <w:numFmt w:val="bullet"/>
      <w:lvlText w:val="•"/>
      <w:lvlJc w:val="left"/>
      <w:pPr>
        <w:ind w:left="6200" w:hanging="360"/>
      </w:pPr>
      <w:rPr>
        <w:rFonts w:hint="default"/>
        <w:lang w:val="en-US" w:eastAsia="en-US" w:bidi="ar-SA"/>
      </w:rPr>
    </w:lvl>
    <w:lvl w:ilvl="6">
      <w:start w:val="0"/>
      <w:numFmt w:val="bullet"/>
      <w:lvlText w:val="•"/>
      <w:lvlJc w:val="left"/>
      <w:pPr>
        <w:ind w:left="7200" w:hanging="360"/>
      </w:pPr>
      <w:rPr>
        <w:rFonts w:hint="default"/>
        <w:lang w:val="en-US" w:eastAsia="en-US" w:bidi="ar-SA"/>
      </w:rPr>
    </w:lvl>
    <w:lvl w:ilvl="7">
      <w:start w:val="0"/>
      <w:numFmt w:val="bullet"/>
      <w:lvlText w:val="•"/>
      <w:lvlJc w:val="left"/>
      <w:pPr>
        <w:ind w:left="8200" w:hanging="360"/>
      </w:pPr>
      <w:rPr>
        <w:rFonts w:hint="default"/>
        <w:lang w:val="en-US" w:eastAsia="en-US" w:bidi="ar-SA"/>
      </w:rPr>
    </w:lvl>
    <w:lvl w:ilvl="8">
      <w:start w:val="0"/>
      <w:numFmt w:val="bullet"/>
      <w:lvlText w:val="•"/>
      <w:lvlJc w:val="left"/>
      <w:pPr>
        <w:ind w:left="9200" w:hanging="360"/>
      </w:pPr>
      <w:rPr>
        <w:rFonts w:hint="default"/>
        <w:lang w:val="en-US" w:eastAsia="en-US" w:bidi="ar-SA"/>
      </w:rPr>
    </w:lvl>
  </w:abstractNum>
  <w:abstractNum w:abstractNumId="11">
    <w:multiLevelType w:val="hybridMultilevel"/>
    <w:lvl w:ilvl="0">
      <w:start w:val="1"/>
      <w:numFmt w:val="decimal"/>
      <w:lvlText w:val="%1."/>
      <w:lvlJc w:val="left"/>
      <w:pPr>
        <w:ind w:left="830" w:hanging="36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1"/>
      <w:numFmt w:val="lowerLetter"/>
      <w:lvlText w:val="%2)"/>
      <w:lvlJc w:val="left"/>
      <w:pPr>
        <w:ind w:left="1730" w:hanging="540"/>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2">
      <w:start w:val="0"/>
      <w:numFmt w:val="bullet"/>
      <w:lvlText w:val="•"/>
      <w:lvlJc w:val="left"/>
      <w:pPr>
        <w:ind w:left="2791" w:hanging="540"/>
      </w:pPr>
      <w:rPr>
        <w:rFonts w:hint="default"/>
        <w:lang w:val="en-US" w:eastAsia="en-US" w:bidi="ar-SA"/>
      </w:rPr>
    </w:lvl>
    <w:lvl w:ilvl="3">
      <w:start w:val="0"/>
      <w:numFmt w:val="bullet"/>
      <w:lvlText w:val="•"/>
      <w:lvlJc w:val="left"/>
      <w:pPr>
        <w:ind w:left="3842" w:hanging="540"/>
      </w:pPr>
      <w:rPr>
        <w:rFonts w:hint="default"/>
        <w:lang w:val="en-US" w:eastAsia="en-US" w:bidi="ar-SA"/>
      </w:rPr>
    </w:lvl>
    <w:lvl w:ilvl="4">
      <w:start w:val="0"/>
      <w:numFmt w:val="bullet"/>
      <w:lvlText w:val="•"/>
      <w:lvlJc w:val="left"/>
      <w:pPr>
        <w:ind w:left="4893" w:hanging="540"/>
      </w:pPr>
      <w:rPr>
        <w:rFonts w:hint="default"/>
        <w:lang w:val="en-US" w:eastAsia="en-US" w:bidi="ar-SA"/>
      </w:rPr>
    </w:lvl>
    <w:lvl w:ilvl="5">
      <w:start w:val="0"/>
      <w:numFmt w:val="bullet"/>
      <w:lvlText w:val="•"/>
      <w:lvlJc w:val="left"/>
      <w:pPr>
        <w:ind w:left="5944" w:hanging="540"/>
      </w:pPr>
      <w:rPr>
        <w:rFonts w:hint="default"/>
        <w:lang w:val="en-US" w:eastAsia="en-US" w:bidi="ar-SA"/>
      </w:rPr>
    </w:lvl>
    <w:lvl w:ilvl="6">
      <w:start w:val="0"/>
      <w:numFmt w:val="bullet"/>
      <w:lvlText w:val="•"/>
      <w:lvlJc w:val="left"/>
      <w:pPr>
        <w:ind w:left="6995" w:hanging="540"/>
      </w:pPr>
      <w:rPr>
        <w:rFonts w:hint="default"/>
        <w:lang w:val="en-US" w:eastAsia="en-US" w:bidi="ar-SA"/>
      </w:rPr>
    </w:lvl>
    <w:lvl w:ilvl="7">
      <w:start w:val="0"/>
      <w:numFmt w:val="bullet"/>
      <w:lvlText w:val="•"/>
      <w:lvlJc w:val="left"/>
      <w:pPr>
        <w:ind w:left="8046" w:hanging="540"/>
      </w:pPr>
      <w:rPr>
        <w:rFonts w:hint="default"/>
        <w:lang w:val="en-US" w:eastAsia="en-US" w:bidi="ar-SA"/>
      </w:rPr>
    </w:lvl>
    <w:lvl w:ilvl="8">
      <w:start w:val="0"/>
      <w:numFmt w:val="bullet"/>
      <w:lvlText w:val="•"/>
      <w:lvlJc w:val="left"/>
      <w:pPr>
        <w:ind w:left="9097" w:hanging="540"/>
      </w:pPr>
      <w:rPr>
        <w:rFonts w:hint="default"/>
        <w:lang w:val="en-US" w:eastAsia="en-US" w:bidi="ar-SA"/>
      </w:rPr>
    </w:lvl>
  </w:abstractNum>
  <w:abstractNum w:abstractNumId="10">
    <w:multiLevelType w:val="hybridMultilevel"/>
    <w:lvl w:ilvl="0">
      <w:start w:val="1"/>
      <w:numFmt w:val="decimal"/>
      <w:lvlText w:val="%1."/>
      <w:lvlJc w:val="left"/>
      <w:pPr>
        <w:ind w:left="830" w:hanging="36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1"/>
      <w:numFmt w:val="lowerLetter"/>
      <w:lvlText w:val="%2)"/>
      <w:lvlJc w:val="left"/>
      <w:pPr>
        <w:ind w:left="1730" w:hanging="540"/>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2">
      <w:start w:val="0"/>
      <w:numFmt w:val="bullet"/>
      <w:lvlText w:val="•"/>
      <w:lvlJc w:val="left"/>
      <w:pPr>
        <w:ind w:left="2791" w:hanging="540"/>
      </w:pPr>
      <w:rPr>
        <w:rFonts w:hint="default"/>
        <w:lang w:val="en-US" w:eastAsia="en-US" w:bidi="ar-SA"/>
      </w:rPr>
    </w:lvl>
    <w:lvl w:ilvl="3">
      <w:start w:val="0"/>
      <w:numFmt w:val="bullet"/>
      <w:lvlText w:val="•"/>
      <w:lvlJc w:val="left"/>
      <w:pPr>
        <w:ind w:left="3842" w:hanging="540"/>
      </w:pPr>
      <w:rPr>
        <w:rFonts w:hint="default"/>
        <w:lang w:val="en-US" w:eastAsia="en-US" w:bidi="ar-SA"/>
      </w:rPr>
    </w:lvl>
    <w:lvl w:ilvl="4">
      <w:start w:val="0"/>
      <w:numFmt w:val="bullet"/>
      <w:lvlText w:val="•"/>
      <w:lvlJc w:val="left"/>
      <w:pPr>
        <w:ind w:left="4893" w:hanging="540"/>
      </w:pPr>
      <w:rPr>
        <w:rFonts w:hint="default"/>
        <w:lang w:val="en-US" w:eastAsia="en-US" w:bidi="ar-SA"/>
      </w:rPr>
    </w:lvl>
    <w:lvl w:ilvl="5">
      <w:start w:val="0"/>
      <w:numFmt w:val="bullet"/>
      <w:lvlText w:val="•"/>
      <w:lvlJc w:val="left"/>
      <w:pPr>
        <w:ind w:left="5944" w:hanging="540"/>
      </w:pPr>
      <w:rPr>
        <w:rFonts w:hint="default"/>
        <w:lang w:val="en-US" w:eastAsia="en-US" w:bidi="ar-SA"/>
      </w:rPr>
    </w:lvl>
    <w:lvl w:ilvl="6">
      <w:start w:val="0"/>
      <w:numFmt w:val="bullet"/>
      <w:lvlText w:val="•"/>
      <w:lvlJc w:val="left"/>
      <w:pPr>
        <w:ind w:left="6995" w:hanging="540"/>
      </w:pPr>
      <w:rPr>
        <w:rFonts w:hint="default"/>
        <w:lang w:val="en-US" w:eastAsia="en-US" w:bidi="ar-SA"/>
      </w:rPr>
    </w:lvl>
    <w:lvl w:ilvl="7">
      <w:start w:val="0"/>
      <w:numFmt w:val="bullet"/>
      <w:lvlText w:val="•"/>
      <w:lvlJc w:val="left"/>
      <w:pPr>
        <w:ind w:left="8046" w:hanging="540"/>
      </w:pPr>
      <w:rPr>
        <w:rFonts w:hint="default"/>
        <w:lang w:val="en-US" w:eastAsia="en-US" w:bidi="ar-SA"/>
      </w:rPr>
    </w:lvl>
    <w:lvl w:ilvl="8">
      <w:start w:val="0"/>
      <w:numFmt w:val="bullet"/>
      <w:lvlText w:val="•"/>
      <w:lvlJc w:val="left"/>
      <w:pPr>
        <w:ind w:left="9097" w:hanging="540"/>
      </w:pPr>
      <w:rPr>
        <w:rFonts w:hint="default"/>
        <w:lang w:val="en-US" w:eastAsia="en-US" w:bidi="ar-SA"/>
      </w:rPr>
    </w:lvl>
  </w:abstractNum>
  <w:abstractNum w:abstractNumId="9">
    <w:multiLevelType w:val="hybridMultilevel"/>
    <w:lvl w:ilvl="0">
      <w:start w:val="1"/>
      <w:numFmt w:val="decimal"/>
      <w:lvlText w:val="(%1)"/>
      <w:lvlJc w:val="left"/>
      <w:pPr>
        <w:ind w:left="1497" w:hanging="63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470" w:hanging="638"/>
      </w:pPr>
      <w:rPr>
        <w:rFonts w:hint="default"/>
        <w:lang w:val="en-US" w:eastAsia="en-US" w:bidi="ar-SA"/>
      </w:rPr>
    </w:lvl>
    <w:lvl w:ilvl="2">
      <w:start w:val="0"/>
      <w:numFmt w:val="bullet"/>
      <w:lvlText w:val="•"/>
      <w:lvlJc w:val="left"/>
      <w:pPr>
        <w:ind w:left="3440" w:hanging="638"/>
      </w:pPr>
      <w:rPr>
        <w:rFonts w:hint="default"/>
        <w:lang w:val="en-US" w:eastAsia="en-US" w:bidi="ar-SA"/>
      </w:rPr>
    </w:lvl>
    <w:lvl w:ilvl="3">
      <w:start w:val="0"/>
      <w:numFmt w:val="bullet"/>
      <w:lvlText w:val="•"/>
      <w:lvlJc w:val="left"/>
      <w:pPr>
        <w:ind w:left="4410" w:hanging="638"/>
      </w:pPr>
      <w:rPr>
        <w:rFonts w:hint="default"/>
        <w:lang w:val="en-US" w:eastAsia="en-US" w:bidi="ar-SA"/>
      </w:rPr>
    </w:lvl>
    <w:lvl w:ilvl="4">
      <w:start w:val="0"/>
      <w:numFmt w:val="bullet"/>
      <w:lvlText w:val="•"/>
      <w:lvlJc w:val="left"/>
      <w:pPr>
        <w:ind w:left="5380" w:hanging="638"/>
      </w:pPr>
      <w:rPr>
        <w:rFonts w:hint="default"/>
        <w:lang w:val="en-US" w:eastAsia="en-US" w:bidi="ar-SA"/>
      </w:rPr>
    </w:lvl>
    <w:lvl w:ilvl="5">
      <w:start w:val="0"/>
      <w:numFmt w:val="bullet"/>
      <w:lvlText w:val="•"/>
      <w:lvlJc w:val="left"/>
      <w:pPr>
        <w:ind w:left="6350" w:hanging="638"/>
      </w:pPr>
      <w:rPr>
        <w:rFonts w:hint="default"/>
        <w:lang w:val="en-US" w:eastAsia="en-US" w:bidi="ar-SA"/>
      </w:rPr>
    </w:lvl>
    <w:lvl w:ilvl="6">
      <w:start w:val="0"/>
      <w:numFmt w:val="bullet"/>
      <w:lvlText w:val="•"/>
      <w:lvlJc w:val="left"/>
      <w:pPr>
        <w:ind w:left="7320" w:hanging="638"/>
      </w:pPr>
      <w:rPr>
        <w:rFonts w:hint="default"/>
        <w:lang w:val="en-US" w:eastAsia="en-US" w:bidi="ar-SA"/>
      </w:rPr>
    </w:lvl>
    <w:lvl w:ilvl="7">
      <w:start w:val="0"/>
      <w:numFmt w:val="bullet"/>
      <w:lvlText w:val="•"/>
      <w:lvlJc w:val="left"/>
      <w:pPr>
        <w:ind w:left="8290" w:hanging="638"/>
      </w:pPr>
      <w:rPr>
        <w:rFonts w:hint="default"/>
        <w:lang w:val="en-US" w:eastAsia="en-US" w:bidi="ar-SA"/>
      </w:rPr>
    </w:lvl>
    <w:lvl w:ilvl="8">
      <w:start w:val="0"/>
      <w:numFmt w:val="bullet"/>
      <w:lvlText w:val="•"/>
      <w:lvlJc w:val="left"/>
      <w:pPr>
        <w:ind w:left="9260" w:hanging="638"/>
      </w:pPr>
      <w:rPr>
        <w:rFonts w:hint="default"/>
        <w:lang w:val="en-US" w:eastAsia="en-US" w:bidi="ar-SA"/>
      </w:rPr>
    </w:lvl>
  </w:abstractNum>
  <w:abstractNum w:abstractNumId="8">
    <w:multiLevelType w:val="hybridMultilevel"/>
    <w:lvl w:ilvl="0">
      <w:start w:val="32"/>
      <w:numFmt w:val="decimal"/>
      <w:lvlText w:val="%1"/>
      <w:lvlJc w:val="left"/>
      <w:pPr>
        <w:ind w:left="1497" w:hanging="697"/>
        <w:jc w:val="left"/>
      </w:pPr>
      <w:rPr>
        <w:rFonts w:hint="default"/>
        <w:lang w:val="en-US" w:eastAsia="en-US" w:bidi="ar-SA"/>
      </w:rPr>
    </w:lvl>
    <w:lvl w:ilvl="1">
      <w:start w:val="1"/>
      <w:numFmt w:val="decimal"/>
      <w:lvlText w:val="%1.%2"/>
      <w:lvlJc w:val="left"/>
      <w:pPr>
        <w:ind w:left="1497" w:hanging="697"/>
        <w:jc w:val="left"/>
      </w:pPr>
      <w:rPr>
        <w:rFonts w:hint="default"/>
        <w:spacing w:val="0"/>
        <w:w w:val="100"/>
        <w:lang w:val="en-US" w:eastAsia="en-US" w:bidi="ar-SA"/>
      </w:rPr>
    </w:lvl>
    <w:lvl w:ilvl="2">
      <w:start w:val="0"/>
      <w:numFmt w:val="bullet"/>
      <w:lvlText w:val="•"/>
      <w:lvlJc w:val="left"/>
      <w:pPr>
        <w:ind w:left="3165" w:hanging="697"/>
      </w:pPr>
      <w:rPr>
        <w:rFonts w:hint="default"/>
        <w:lang w:val="en-US" w:eastAsia="en-US" w:bidi="ar-SA"/>
      </w:rPr>
    </w:lvl>
    <w:lvl w:ilvl="3">
      <w:start w:val="0"/>
      <w:numFmt w:val="bullet"/>
      <w:lvlText w:val="•"/>
      <w:lvlJc w:val="left"/>
      <w:pPr>
        <w:ind w:left="3998" w:hanging="697"/>
      </w:pPr>
      <w:rPr>
        <w:rFonts w:hint="default"/>
        <w:lang w:val="en-US" w:eastAsia="en-US" w:bidi="ar-SA"/>
      </w:rPr>
    </w:lvl>
    <w:lvl w:ilvl="4">
      <w:start w:val="0"/>
      <w:numFmt w:val="bullet"/>
      <w:lvlText w:val="•"/>
      <w:lvlJc w:val="left"/>
      <w:pPr>
        <w:ind w:left="4831" w:hanging="697"/>
      </w:pPr>
      <w:rPr>
        <w:rFonts w:hint="default"/>
        <w:lang w:val="en-US" w:eastAsia="en-US" w:bidi="ar-SA"/>
      </w:rPr>
    </w:lvl>
    <w:lvl w:ilvl="5">
      <w:start w:val="0"/>
      <w:numFmt w:val="bullet"/>
      <w:lvlText w:val="•"/>
      <w:lvlJc w:val="left"/>
      <w:pPr>
        <w:ind w:left="5664" w:hanging="697"/>
      </w:pPr>
      <w:rPr>
        <w:rFonts w:hint="default"/>
        <w:lang w:val="en-US" w:eastAsia="en-US" w:bidi="ar-SA"/>
      </w:rPr>
    </w:lvl>
    <w:lvl w:ilvl="6">
      <w:start w:val="0"/>
      <w:numFmt w:val="bullet"/>
      <w:lvlText w:val="•"/>
      <w:lvlJc w:val="left"/>
      <w:pPr>
        <w:ind w:left="6497" w:hanging="697"/>
      </w:pPr>
      <w:rPr>
        <w:rFonts w:hint="default"/>
        <w:lang w:val="en-US" w:eastAsia="en-US" w:bidi="ar-SA"/>
      </w:rPr>
    </w:lvl>
    <w:lvl w:ilvl="7">
      <w:start w:val="0"/>
      <w:numFmt w:val="bullet"/>
      <w:lvlText w:val="•"/>
      <w:lvlJc w:val="left"/>
      <w:pPr>
        <w:ind w:left="7330" w:hanging="697"/>
      </w:pPr>
      <w:rPr>
        <w:rFonts w:hint="default"/>
        <w:lang w:val="en-US" w:eastAsia="en-US" w:bidi="ar-SA"/>
      </w:rPr>
    </w:lvl>
    <w:lvl w:ilvl="8">
      <w:start w:val="0"/>
      <w:numFmt w:val="bullet"/>
      <w:lvlText w:val="•"/>
      <w:lvlJc w:val="left"/>
      <w:pPr>
        <w:ind w:left="8163" w:hanging="697"/>
      </w:pPr>
      <w:rPr>
        <w:rFonts w:hint="default"/>
        <w:lang w:val="en-US" w:eastAsia="en-US" w:bidi="ar-SA"/>
      </w:rPr>
    </w:lvl>
  </w:abstractNum>
  <w:abstractNum w:abstractNumId="7">
    <w:multiLevelType w:val="hybridMultilevel"/>
    <w:lvl w:ilvl="0">
      <w:start w:val="31"/>
      <w:numFmt w:val="decimal"/>
      <w:lvlText w:val="%1"/>
      <w:lvlJc w:val="left"/>
      <w:pPr>
        <w:ind w:left="1497" w:hanging="697"/>
        <w:jc w:val="left"/>
      </w:pPr>
      <w:rPr>
        <w:rFonts w:hint="default"/>
        <w:lang w:val="en-US" w:eastAsia="en-US" w:bidi="ar-SA"/>
      </w:rPr>
    </w:lvl>
    <w:lvl w:ilvl="1">
      <w:start w:val="1"/>
      <w:numFmt w:val="decimal"/>
      <w:lvlText w:val="%1.%2"/>
      <w:lvlJc w:val="left"/>
      <w:pPr>
        <w:ind w:left="1497" w:hanging="697"/>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3165" w:hanging="697"/>
      </w:pPr>
      <w:rPr>
        <w:rFonts w:hint="default"/>
        <w:lang w:val="en-US" w:eastAsia="en-US" w:bidi="ar-SA"/>
      </w:rPr>
    </w:lvl>
    <w:lvl w:ilvl="3">
      <w:start w:val="0"/>
      <w:numFmt w:val="bullet"/>
      <w:lvlText w:val="•"/>
      <w:lvlJc w:val="left"/>
      <w:pPr>
        <w:ind w:left="3998" w:hanging="697"/>
      </w:pPr>
      <w:rPr>
        <w:rFonts w:hint="default"/>
        <w:lang w:val="en-US" w:eastAsia="en-US" w:bidi="ar-SA"/>
      </w:rPr>
    </w:lvl>
    <w:lvl w:ilvl="4">
      <w:start w:val="0"/>
      <w:numFmt w:val="bullet"/>
      <w:lvlText w:val="•"/>
      <w:lvlJc w:val="left"/>
      <w:pPr>
        <w:ind w:left="4831" w:hanging="697"/>
      </w:pPr>
      <w:rPr>
        <w:rFonts w:hint="default"/>
        <w:lang w:val="en-US" w:eastAsia="en-US" w:bidi="ar-SA"/>
      </w:rPr>
    </w:lvl>
    <w:lvl w:ilvl="5">
      <w:start w:val="0"/>
      <w:numFmt w:val="bullet"/>
      <w:lvlText w:val="•"/>
      <w:lvlJc w:val="left"/>
      <w:pPr>
        <w:ind w:left="5664" w:hanging="697"/>
      </w:pPr>
      <w:rPr>
        <w:rFonts w:hint="default"/>
        <w:lang w:val="en-US" w:eastAsia="en-US" w:bidi="ar-SA"/>
      </w:rPr>
    </w:lvl>
    <w:lvl w:ilvl="6">
      <w:start w:val="0"/>
      <w:numFmt w:val="bullet"/>
      <w:lvlText w:val="•"/>
      <w:lvlJc w:val="left"/>
      <w:pPr>
        <w:ind w:left="6497" w:hanging="697"/>
      </w:pPr>
      <w:rPr>
        <w:rFonts w:hint="default"/>
        <w:lang w:val="en-US" w:eastAsia="en-US" w:bidi="ar-SA"/>
      </w:rPr>
    </w:lvl>
    <w:lvl w:ilvl="7">
      <w:start w:val="0"/>
      <w:numFmt w:val="bullet"/>
      <w:lvlText w:val="•"/>
      <w:lvlJc w:val="left"/>
      <w:pPr>
        <w:ind w:left="7330" w:hanging="697"/>
      </w:pPr>
      <w:rPr>
        <w:rFonts w:hint="default"/>
        <w:lang w:val="en-US" w:eastAsia="en-US" w:bidi="ar-SA"/>
      </w:rPr>
    </w:lvl>
    <w:lvl w:ilvl="8">
      <w:start w:val="0"/>
      <w:numFmt w:val="bullet"/>
      <w:lvlText w:val="•"/>
      <w:lvlJc w:val="left"/>
      <w:pPr>
        <w:ind w:left="8163" w:hanging="697"/>
      </w:pPr>
      <w:rPr>
        <w:rFonts w:hint="default"/>
        <w:lang w:val="en-US" w:eastAsia="en-US" w:bidi="ar-SA"/>
      </w:rPr>
    </w:lvl>
  </w:abstractNum>
  <w:abstractNum w:abstractNumId="4">
    <w:multiLevelType w:val="hybridMultilevel"/>
    <w:lvl w:ilvl="0">
      <w:start w:val="0"/>
      <w:numFmt w:val="bullet"/>
      <w:lvlText w:val="•"/>
      <w:lvlJc w:val="left"/>
      <w:pPr>
        <w:ind w:left="119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200" w:hanging="360"/>
      </w:pPr>
      <w:rPr>
        <w:rFonts w:hint="default"/>
        <w:lang w:val="en-US" w:eastAsia="en-US" w:bidi="ar-SA"/>
      </w:rPr>
    </w:lvl>
    <w:lvl w:ilvl="2">
      <w:start w:val="0"/>
      <w:numFmt w:val="bullet"/>
      <w:lvlText w:val="•"/>
      <w:lvlJc w:val="left"/>
      <w:pPr>
        <w:ind w:left="3200" w:hanging="360"/>
      </w:pPr>
      <w:rPr>
        <w:rFonts w:hint="default"/>
        <w:lang w:val="en-US" w:eastAsia="en-US" w:bidi="ar-SA"/>
      </w:rPr>
    </w:lvl>
    <w:lvl w:ilvl="3">
      <w:start w:val="0"/>
      <w:numFmt w:val="bullet"/>
      <w:lvlText w:val="•"/>
      <w:lvlJc w:val="left"/>
      <w:pPr>
        <w:ind w:left="4200" w:hanging="360"/>
      </w:pPr>
      <w:rPr>
        <w:rFonts w:hint="default"/>
        <w:lang w:val="en-US" w:eastAsia="en-US" w:bidi="ar-SA"/>
      </w:rPr>
    </w:lvl>
    <w:lvl w:ilvl="4">
      <w:start w:val="0"/>
      <w:numFmt w:val="bullet"/>
      <w:lvlText w:val="•"/>
      <w:lvlJc w:val="left"/>
      <w:pPr>
        <w:ind w:left="5200" w:hanging="360"/>
      </w:pPr>
      <w:rPr>
        <w:rFonts w:hint="default"/>
        <w:lang w:val="en-US" w:eastAsia="en-US" w:bidi="ar-SA"/>
      </w:rPr>
    </w:lvl>
    <w:lvl w:ilvl="5">
      <w:start w:val="0"/>
      <w:numFmt w:val="bullet"/>
      <w:lvlText w:val="•"/>
      <w:lvlJc w:val="left"/>
      <w:pPr>
        <w:ind w:left="6200" w:hanging="360"/>
      </w:pPr>
      <w:rPr>
        <w:rFonts w:hint="default"/>
        <w:lang w:val="en-US" w:eastAsia="en-US" w:bidi="ar-SA"/>
      </w:rPr>
    </w:lvl>
    <w:lvl w:ilvl="6">
      <w:start w:val="0"/>
      <w:numFmt w:val="bullet"/>
      <w:lvlText w:val="•"/>
      <w:lvlJc w:val="left"/>
      <w:pPr>
        <w:ind w:left="7200" w:hanging="360"/>
      </w:pPr>
      <w:rPr>
        <w:rFonts w:hint="default"/>
        <w:lang w:val="en-US" w:eastAsia="en-US" w:bidi="ar-SA"/>
      </w:rPr>
    </w:lvl>
    <w:lvl w:ilvl="7">
      <w:start w:val="0"/>
      <w:numFmt w:val="bullet"/>
      <w:lvlText w:val="•"/>
      <w:lvlJc w:val="left"/>
      <w:pPr>
        <w:ind w:left="8200" w:hanging="360"/>
      </w:pPr>
      <w:rPr>
        <w:rFonts w:hint="default"/>
        <w:lang w:val="en-US" w:eastAsia="en-US" w:bidi="ar-SA"/>
      </w:rPr>
    </w:lvl>
    <w:lvl w:ilvl="8">
      <w:start w:val="0"/>
      <w:numFmt w:val="bullet"/>
      <w:lvlText w:val="•"/>
      <w:lvlJc w:val="left"/>
      <w:pPr>
        <w:ind w:left="9200" w:hanging="360"/>
      </w:pPr>
      <w:rPr>
        <w:rFonts w:hint="default"/>
        <w:lang w:val="en-US" w:eastAsia="en-US" w:bidi="ar-SA"/>
      </w:rPr>
    </w:lvl>
  </w:abstractNum>
  <w:abstractNum w:abstractNumId="5">
    <w:multiLevelType w:val="hybridMultilevel"/>
    <w:lvl w:ilvl="0">
      <w:start w:val="0"/>
      <w:numFmt w:val="bullet"/>
      <w:lvlText w:val="•"/>
      <w:lvlJc w:val="left"/>
      <w:pPr>
        <w:ind w:left="119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200" w:hanging="360"/>
      </w:pPr>
      <w:rPr>
        <w:rFonts w:hint="default"/>
        <w:lang w:val="en-US" w:eastAsia="en-US" w:bidi="ar-SA"/>
      </w:rPr>
    </w:lvl>
    <w:lvl w:ilvl="2">
      <w:start w:val="0"/>
      <w:numFmt w:val="bullet"/>
      <w:lvlText w:val="•"/>
      <w:lvlJc w:val="left"/>
      <w:pPr>
        <w:ind w:left="3200" w:hanging="360"/>
      </w:pPr>
      <w:rPr>
        <w:rFonts w:hint="default"/>
        <w:lang w:val="en-US" w:eastAsia="en-US" w:bidi="ar-SA"/>
      </w:rPr>
    </w:lvl>
    <w:lvl w:ilvl="3">
      <w:start w:val="0"/>
      <w:numFmt w:val="bullet"/>
      <w:lvlText w:val="•"/>
      <w:lvlJc w:val="left"/>
      <w:pPr>
        <w:ind w:left="4200" w:hanging="360"/>
      </w:pPr>
      <w:rPr>
        <w:rFonts w:hint="default"/>
        <w:lang w:val="en-US" w:eastAsia="en-US" w:bidi="ar-SA"/>
      </w:rPr>
    </w:lvl>
    <w:lvl w:ilvl="4">
      <w:start w:val="0"/>
      <w:numFmt w:val="bullet"/>
      <w:lvlText w:val="•"/>
      <w:lvlJc w:val="left"/>
      <w:pPr>
        <w:ind w:left="5200" w:hanging="360"/>
      </w:pPr>
      <w:rPr>
        <w:rFonts w:hint="default"/>
        <w:lang w:val="en-US" w:eastAsia="en-US" w:bidi="ar-SA"/>
      </w:rPr>
    </w:lvl>
    <w:lvl w:ilvl="5">
      <w:start w:val="0"/>
      <w:numFmt w:val="bullet"/>
      <w:lvlText w:val="•"/>
      <w:lvlJc w:val="left"/>
      <w:pPr>
        <w:ind w:left="6200" w:hanging="360"/>
      </w:pPr>
      <w:rPr>
        <w:rFonts w:hint="default"/>
        <w:lang w:val="en-US" w:eastAsia="en-US" w:bidi="ar-SA"/>
      </w:rPr>
    </w:lvl>
    <w:lvl w:ilvl="6">
      <w:start w:val="0"/>
      <w:numFmt w:val="bullet"/>
      <w:lvlText w:val="•"/>
      <w:lvlJc w:val="left"/>
      <w:pPr>
        <w:ind w:left="7200" w:hanging="360"/>
      </w:pPr>
      <w:rPr>
        <w:rFonts w:hint="default"/>
        <w:lang w:val="en-US" w:eastAsia="en-US" w:bidi="ar-SA"/>
      </w:rPr>
    </w:lvl>
    <w:lvl w:ilvl="7">
      <w:start w:val="0"/>
      <w:numFmt w:val="bullet"/>
      <w:lvlText w:val="•"/>
      <w:lvlJc w:val="left"/>
      <w:pPr>
        <w:ind w:left="8200" w:hanging="360"/>
      </w:pPr>
      <w:rPr>
        <w:rFonts w:hint="default"/>
        <w:lang w:val="en-US" w:eastAsia="en-US" w:bidi="ar-SA"/>
      </w:rPr>
    </w:lvl>
    <w:lvl w:ilvl="8">
      <w:start w:val="0"/>
      <w:numFmt w:val="bullet"/>
      <w:lvlText w:val="•"/>
      <w:lvlJc w:val="left"/>
      <w:pPr>
        <w:ind w:left="9200" w:hanging="360"/>
      </w:pPr>
      <w:rPr>
        <w:rFonts w:hint="default"/>
        <w:lang w:val="en-US" w:eastAsia="en-US" w:bidi="ar-SA"/>
      </w:rPr>
    </w:lvl>
  </w:abstractNum>
  <w:abstractNum w:abstractNumId="6">
    <w:multiLevelType w:val="hybridMultilevel"/>
    <w:lvl w:ilvl="0">
      <w:start w:val="0"/>
      <w:numFmt w:val="bullet"/>
      <w:lvlText w:val="•"/>
      <w:lvlJc w:val="left"/>
      <w:pPr>
        <w:ind w:left="119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200" w:hanging="360"/>
      </w:pPr>
      <w:rPr>
        <w:rFonts w:hint="default"/>
        <w:lang w:val="en-US" w:eastAsia="en-US" w:bidi="ar-SA"/>
      </w:rPr>
    </w:lvl>
    <w:lvl w:ilvl="2">
      <w:start w:val="0"/>
      <w:numFmt w:val="bullet"/>
      <w:lvlText w:val="•"/>
      <w:lvlJc w:val="left"/>
      <w:pPr>
        <w:ind w:left="3200" w:hanging="360"/>
      </w:pPr>
      <w:rPr>
        <w:rFonts w:hint="default"/>
        <w:lang w:val="en-US" w:eastAsia="en-US" w:bidi="ar-SA"/>
      </w:rPr>
    </w:lvl>
    <w:lvl w:ilvl="3">
      <w:start w:val="0"/>
      <w:numFmt w:val="bullet"/>
      <w:lvlText w:val="•"/>
      <w:lvlJc w:val="left"/>
      <w:pPr>
        <w:ind w:left="4200" w:hanging="360"/>
      </w:pPr>
      <w:rPr>
        <w:rFonts w:hint="default"/>
        <w:lang w:val="en-US" w:eastAsia="en-US" w:bidi="ar-SA"/>
      </w:rPr>
    </w:lvl>
    <w:lvl w:ilvl="4">
      <w:start w:val="0"/>
      <w:numFmt w:val="bullet"/>
      <w:lvlText w:val="•"/>
      <w:lvlJc w:val="left"/>
      <w:pPr>
        <w:ind w:left="5200" w:hanging="360"/>
      </w:pPr>
      <w:rPr>
        <w:rFonts w:hint="default"/>
        <w:lang w:val="en-US" w:eastAsia="en-US" w:bidi="ar-SA"/>
      </w:rPr>
    </w:lvl>
    <w:lvl w:ilvl="5">
      <w:start w:val="0"/>
      <w:numFmt w:val="bullet"/>
      <w:lvlText w:val="•"/>
      <w:lvlJc w:val="left"/>
      <w:pPr>
        <w:ind w:left="6200" w:hanging="360"/>
      </w:pPr>
      <w:rPr>
        <w:rFonts w:hint="default"/>
        <w:lang w:val="en-US" w:eastAsia="en-US" w:bidi="ar-SA"/>
      </w:rPr>
    </w:lvl>
    <w:lvl w:ilvl="6">
      <w:start w:val="0"/>
      <w:numFmt w:val="bullet"/>
      <w:lvlText w:val="•"/>
      <w:lvlJc w:val="left"/>
      <w:pPr>
        <w:ind w:left="7200" w:hanging="360"/>
      </w:pPr>
      <w:rPr>
        <w:rFonts w:hint="default"/>
        <w:lang w:val="en-US" w:eastAsia="en-US" w:bidi="ar-SA"/>
      </w:rPr>
    </w:lvl>
    <w:lvl w:ilvl="7">
      <w:start w:val="0"/>
      <w:numFmt w:val="bullet"/>
      <w:lvlText w:val="•"/>
      <w:lvlJc w:val="left"/>
      <w:pPr>
        <w:ind w:left="8200" w:hanging="360"/>
      </w:pPr>
      <w:rPr>
        <w:rFonts w:hint="default"/>
        <w:lang w:val="en-US" w:eastAsia="en-US" w:bidi="ar-SA"/>
      </w:rPr>
    </w:lvl>
    <w:lvl w:ilvl="8">
      <w:start w:val="0"/>
      <w:numFmt w:val="bullet"/>
      <w:lvlText w:val="•"/>
      <w:lvlJc w:val="left"/>
      <w:pPr>
        <w:ind w:left="9200" w:hanging="360"/>
      </w:pPr>
      <w:rPr>
        <w:rFonts w:hint="default"/>
        <w:lang w:val="en-US" w:eastAsia="en-US" w:bidi="ar-SA"/>
      </w:rPr>
    </w:lvl>
  </w:abstractNum>
  <w:abstractNum w:abstractNumId="3">
    <w:multiLevelType w:val="hybridMultilevel"/>
    <w:lvl w:ilvl="0">
      <w:start w:val="1"/>
      <w:numFmt w:val="decimal"/>
      <w:lvlText w:val="%1."/>
      <w:lvlJc w:val="left"/>
      <w:pPr>
        <w:ind w:left="1190" w:hanging="720"/>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2200" w:hanging="720"/>
      </w:pPr>
      <w:rPr>
        <w:rFonts w:hint="default"/>
        <w:lang w:val="en-US" w:eastAsia="en-US" w:bidi="ar-SA"/>
      </w:rPr>
    </w:lvl>
    <w:lvl w:ilvl="2">
      <w:start w:val="0"/>
      <w:numFmt w:val="bullet"/>
      <w:lvlText w:val="•"/>
      <w:lvlJc w:val="left"/>
      <w:pPr>
        <w:ind w:left="3200" w:hanging="720"/>
      </w:pPr>
      <w:rPr>
        <w:rFonts w:hint="default"/>
        <w:lang w:val="en-US" w:eastAsia="en-US" w:bidi="ar-SA"/>
      </w:rPr>
    </w:lvl>
    <w:lvl w:ilvl="3">
      <w:start w:val="0"/>
      <w:numFmt w:val="bullet"/>
      <w:lvlText w:val="•"/>
      <w:lvlJc w:val="left"/>
      <w:pPr>
        <w:ind w:left="4200" w:hanging="720"/>
      </w:pPr>
      <w:rPr>
        <w:rFonts w:hint="default"/>
        <w:lang w:val="en-US" w:eastAsia="en-US" w:bidi="ar-SA"/>
      </w:rPr>
    </w:lvl>
    <w:lvl w:ilvl="4">
      <w:start w:val="0"/>
      <w:numFmt w:val="bullet"/>
      <w:lvlText w:val="•"/>
      <w:lvlJc w:val="left"/>
      <w:pPr>
        <w:ind w:left="5200" w:hanging="720"/>
      </w:pPr>
      <w:rPr>
        <w:rFonts w:hint="default"/>
        <w:lang w:val="en-US" w:eastAsia="en-US" w:bidi="ar-SA"/>
      </w:rPr>
    </w:lvl>
    <w:lvl w:ilvl="5">
      <w:start w:val="0"/>
      <w:numFmt w:val="bullet"/>
      <w:lvlText w:val="•"/>
      <w:lvlJc w:val="left"/>
      <w:pPr>
        <w:ind w:left="6200" w:hanging="720"/>
      </w:pPr>
      <w:rPr>
        <w:rFonts w:hint="default"/>
        <w:lang w:val="en-US" w:eastAsia="en-US" w:bidi="ar-SA"/>
      </w:rPr>
    </w:lvl>
    <w:lvl w:ilvl="6">
      <w:start w:val="0"/>
      <w:numFmt w:val="bullet"/>
      <w:lvlText w:val="•"/>
      <w:lvlJc w:val="left"/>
      <w:pPr>
        <w:ind w:left="7200" w:hanging="720"/>
      </w:pPr>
      <w:rPr>
        <w:rFonts w:hint="default"/>
        <w:lang w:val="en-US" w:eastAsia="en-US" w:bidi="ar-SA"/>
      </w:rPr>
    </w:lvl>
    <w:lvl w:ilvl="7">
      <w:start w:val="0"/>
      <w:numFmt w:val="bullet"/>
      <w:lvlText w:val="•"/>
      <w:lvlJc w:val="left"/>
      <w:pPr>
        <w:ind w:left="8200" w:hanging="720"/>
      </w:pPr>
      <w:rPr>
        <w:rFonts w:hint="default"/>
        <w:lang w:val="en-US" w:eastAsia="en-US" w:bidi="ar-SA"/>
      </w:rPr>
    </w:lvl>
    <w:lvl w:ilvl="8">
      <w:start w:val="0"/>
      <w:numFmt w:val="bullet"/>
      <w:lvlText w:val="•"/>
      <w:lvlJc w:val="left"/>
      <w:pPr>
        <w:ind w:left="9200" w:hanging="720"/>
      </w:pPr>
      <w:rPr>
        <w:rFonts w:hint="default"/>
        <w:lang w:val="en-US" w:eastAsia="en-US" w:bidi="ar-SA"/>
      </w:rPr>
    </w:lvl>
  </w:abstractNum>
  <w:abstractNum w:abstractNumId="2">
    <w:multiLevelType w:val="hybridMultilevel"/>
    <w:lvl w:ilvl="0">
      <w:start w:val="0"/>
      <w:numFmt w:val="bullet"/>
      <w:lvlText w:val="•"/>
      <w:lvlJc w:val="left"/>
      <w:pPr>
        <w:ind w:left="119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200" w:hanging="360"/>
      </w:pPr>
      <w:rPr>
        <w:rFonts w:hint="default"/>
        <w:lang w:val="en-US" w:eastAsia="en-US" w:bidi="ar-SA"/>
      </w:rPr>
    </w:lvl>
    <w:lvl w:ilvl="2">
      <w:start w:val="0"/>
      <w:numFmt w:val="bullet"/>
      <w:lvlText w:val="•"/>
      <w:lvlJc w:val="left"/>
      <w:pPr>
        <w:ind w:left="3200" w:hanging="360"/>
      </w:pPr>
      <w:rPr>
        <w:rFonts w:hint="default"/>
        <w:lang w:val="en-US" w:eastAsia="en-US" w:bidi="ar-SA"/>
      </w:rPr>
    </w:lvl>
    <w:lvl w:ilvl="3">
      <w:start w:val="0"/>
      <w:numFmt w:val="bullet"/>
      <w:lvlText w:val="•"/>
      <w:lvlJc w:val="left"/>
      <w:pPr>
        <w:ind w:left="4200" w:hanging="360"/>
      </w:pPr>
      <w:rPr>
        <w:rFonts w:hint="default"/>
        <w:lang w:val="en-US" w:eastAsia="en-US" w:bidi="ar-SA"/>
      </w:rPr>
    </w:lvl>
    <w:lvl w:ilvl="4">
      <w:start w:val="0"/>
      <w:numFmt w:val="bullet"/>
      <w:lvlText w:val="•"/>
      <w:lvlJc w:val="left"/>
      <w:pPr>
        <w:ind w:left="5200" w:hanging="360"/>
      </w:pPr>
      <w:rPr>
        <w:rFonts w:hint="default"/>
        <w:lang w:val="en-US" w:eastAsia="en-US" w:bidi="ar-SA"/>
      </w:rPr>
    </w:lvl>
    <w:lvl w:ilvl="5">
      <w:start w:val="0"/>
      <w:numFmt w:val="bullet"/>
      <w:lvlText w:val="•"/>
      <w:lvlJc w:val="left"/>
      <w:pPr>
        <w:ind w:left="6200" w:hanging="360"/>
      </w:pPr>
      <w:rPr>
        <w:rFonts w:hint="default"/>
        <w:lang w:val="en-US" w:eastAsia="en-US" w:bidi="ar-SA"/>
      </w:rPr>
    </w:lvl>
    <w:lvl w:ilvl="6">
      <w:start w:val="0"/>
      <w:numFmt w:val="bullet"/>
      <w:lvlText w:val="•"/>
      <w:lvlJc w:val="left"/>
      <w:pPr>
        <w:ind w:left="7200" w:hanging="360"/>
      </w:pPr>
      <w:rPr>
        <w:rFonts w:hint="default"/>
        <w:lang w:val="en-US" w:eastAsia="en-US" w:bidi="ar-SA"/>
      </w:rPr>
    </w:lvl>
    <w:lvl w:ilvl="7">
      <w:start w:val="0"/>
      <w:numFmt w:val="bullet"/>
      <w:lvlText w:val="•"/>
      <w:lvlJc w:val="left"/>
      <w:pPr>
        <w:ind w:left="8200" w:hanging="360"/>
      </w:pPr>
      <w:rPr>
        <w:rFonts w:hint="default"/>
        <w:lang w:val="en-US" w:eastAsia="en-US" w:bidi="ar-SA"/>
      </w:rPr>
    </w:lvl>
    <w:lvl w:ilvl="8">
      <w:start w:val="0"/>
      <w:numFmt w:val="bullet"/>
      <w:lvlText w:val="•"/>
      <w:lvlJc w:val="left"/>
      <w:pPr>
        <w:ind w:left="9200" w:hanging="360"/>
      </w:pPr>
      <w:rPr>
        <w:rFonts w:hint="default"/>
        <w:lang w:val="en-US" w:eastAsia="en-US" w:bidi="ar-SA"/>
      </w:rPr>
    </w:lvl>
  </w:abstractNum>
  <w:abstractNum w:abstractNumId="1">
    <w:multiLevelType w:val="hybridMultilevel"/>
    <w:lvl w:ilvl="0">
      <w:start w:val="0"/>
      <w:numFmt w:val="bullet"/>
      <w:lvlText w:val="•"/>
      <w:lvlJc w:val="left"/>
      <w:pPr>
        <w:ind w:left="1190" w:hanging="360"/>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2200" w:hanging="360"/>
      </w:pPr>
      <w:rPr>
        <w:rFonts w:hint="default"/>
        <w:lang w:val="en-US" w:eastAsia="en-US" w:bidi="ar-SA"/>
      </w:rPr>
    </w:lvl>
    <w:lvl w:ilvl="2">
      <w:start w:val="0"/>
      <w:numFmt w:val="bullet"/>
      <w:lvlText w:val="•"/>
      <w:lvlJc w:val="left"/>
      <w:pPr>
        <w:ind w:left="3200" w:hanging="360"/>
      </w:pPr>
      <w:rPr>
        <w:rFonts w:hint="default"/>
        <w:lang w:val="en-US" w:eastAsia="en-US" w:bidi="ar-SA"/>
      </w:rPr>
    </w:lvl>
    <w:lvl w:ilvl="3">
      <w:start w:val="0"/>
      <w:numFmt w:val="bullet"/>
      <w:lvlText w:val="•"/>
      <w:lvlJc w:val="left"/>
      <w:pPr>
        <w:ind w:left="4200" w:hanging="360"/>
      </w:pPr>
      <w:rPr>
        <w:rFonts w:hint="default"/>
        <w:lang w:val="en-US" w:eastAsia="en-US" w:bidi="ar-SA"/>
      </w:rPr>
    </w:lvl>
    <w:lvl w:ilvl="4">
      <w:start w:val="0"/>
      <w:numFmt w:val="bullet"/>
      <w:lvlText w:val="•"/>
      <w:lvlJc w:val="left"/>
      <w:pPr>
        <w:ind w:left="5200" w:hanging="360"/>
      </w:pPr>
      <w:rPr>
        <w:rFonts w:hint="default"/>
        <w:lang w:val="en-US" w:eastAsia="en-US" w:bidi="ar-SA"/>
      </w:rPr>
    </w:lvl>
    <w:lvl w:ilvl="5">
      <w:start w:val="0"/>
      <w:numFmt w:val="bullet"/>
      <w:lvlText w:val="•"/>
      <w:lvlJc w:val="left"/>
      <w:pPr>
        <w:ind w:left="6200" w:hanging="360"/>
      </w:pPr>
      <w:rPr>
        <w:rFonts w:hint="default"/>
        <w:lang w:val="en-US" w:eastAsia="en-US" w:bidi="ar-SA"/>
      </w:rPr>
    </w:lvl>
    <w:lvl w:ilvl="6">
      <w:start w:val="0"/>
      <w:numFmt w:val="bullet"/>
      <w:lvlText w:val="•"/>
      <w:lvlJc w:val="left"/>
      <w:pPr>
        <w:ind w:left="7200" w:hanging="360"/>
      </w:pPr>
      <w:rPr>
        <w:rFonts w:hint="default"/>
        <w:lang w:val="en-US" w:eastAsia="en-US" w:bidi="ar-SA"/>
      </w:rPr>
    </w:lvl>
    <w:lvl w:ilvl="7">
      <w:start w:val="0"/>
      <w:numFmt w:val="bullet"/>
      <w:lvlText w:val="•"/>
      <w:lvlJc w:val="left"/>
      <w:pPr>
        <w:ind w:left="8200" w:hanging="360"/>
      </w:pPr>
      <w:rPr>
        <w:rFonts w:hint="default"/>
        <w:lang w:val="en-US" w:eastAsia="en-US" w:bidi="ar-SA"/>
      </w:rPr>
    </w:lvl>
    <w:lvl w:ilvl="8">
      <w:start w:val="0"/>
      <w:numFmt w:val="bullet"/>
      <w:lvlText w:val="•"/>
      <w:lvlJc w:val="left"/>
      <w:pPr>
        <w:ind w:left="9200" w:hanging="360"/>
      </w:pPr>
      <w:rPr>
        <w:rFonts w:hint="default"/>
        <w:lang w:val="en-US" w:eastAsia="en-US" w:bidi="ar-SA"/>
      </w:rPr>
    </w:lvl>
  </w:abstractNum>
  <w:abstractNum w:abstractNumId="0">
    <w:multiLevelType w:val="hybridMultilevel"/>
    <w:lvl w:ilvl="0">
      <w:start w:val="0"/>
      <w:numFmt w:val="bullet"/>
      <w:lvlText w:val="☐"/>
      <w:lvlJc w:val="left"/>
      <w:pPr>
        <w:ind w:left="972" w:hanging="424"/>
      </w:pPr>
      <w:rPr>
        <w:rFonts w:hint="default" w:ascii="VL PGothic" w:hAnsi="VL PGothic" w:eastAsia="VL PGothic" w:cs="VL PGothic"/>
        <w:b w:val="0"/>
        <w:bCs w:val="0"/>
        <w:i w:val="0"/>
        <w:iCs w:val="0"/>
        <w:spacing w:val="0"/>
        <w:w w:val="73"/>
        <w:sz w:val="20"/>
        <w:szCs w:val="20"/>
        <w:lang w:val="en-US" w:eastAsia="en-US" w:bidi="ar-SA"/>
      </w:rPr>
    </w:lvl>
    <w:lvl w:ilvl="1">
      <w:start w:val="0"/>
      <w:numFmt w:val="bullet"/>
      <w:lvlText w:val="•"/>
      <w:lvlJc w:val="left"/>
      <w:pPr>
        <w:ind w:left="1190" w:hanging="270"/>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2311" w:hanging="270"/>
      </w:pPr>
      <w:rPr>
        <w:rFonts w:hint="default"/>
        <w:lang w:val="en-US" w:eastAsia="en-US" w:bidi="ar-SA"/>
      </w:rPr>
    </w:lvl>
    <w:lvl w:ilvl="3">
      <w:start w:val="0"/>
      <w:numFmt w:val="bullet"/>
      <w:lvlText w:val="•"/>
      <w:lvlJc w:val="left"/>
      <w:pPr>
        <w:ind w:left="3422" w:hanging="270"/>
      </w:pPr>
      <w:rPr>
        <w:rFonts w:hint="default"/>
        <w:lang w:val="en-US" w:eastAsia="en-US" w:bidi="ar-SA"/>
      </w:rPr>
    </w:lvl>
    <w:lvl w:ilvl="4">
      <w:start w:val="0"/>
      <w:numFmt w:val="bullet"/>
      <w:lvlText w:val="•"/>
      <w:lvlJc w:val="left"/>
      <w:pPr>
        <w:ind w:left="4533" w:hanging="270"/>
      </w:pPr>
      <w:rPr>
        <w:rFonts w:hint="default"/>
        <w:lang w:val="en-US" w:eastAsia="en-US" w:bidi="ar-SA"/>
      </w:rPr>
    </w:lvl>
    <w:lvl w:ilvl="5">
      <w:start w:val="0"/>
      <w:numFmt w:val="bullet"/>
      <w:lvlText w:val="•"/>
      <w:lvlJc w:val="left"/>
      <w:pPr>
        <w:ind w:left="5644" w:hanging="270"/>
      </w:pPr>
      <w:rPr>
        <w:rFonts w:hint="default"/>
        <w:lang w:val="en-US" w:eastAsia="en-US" w:bidi="ar-SA"/>
      </w:rPr>
    </w:lvl>
    <w:lvl w:ilvl="6">
      <w:start w:val="0"/>
      <w:numFmt w:val="bullet"/>
      <w:lvlText w:val="•"/>
      <w:lvlJc w:val="left"/>
      <w:pPr>
        <w:ind w:left="6755" w:hanging="270"/>
      </w:pPr>
      <w:rPr>
        <w:rFonts w:hint="default"/>
        <w:lang w:val="en-US" w:eastAsia="en-US" w:bidi="ar-SA"/>
      </w:rPr>
    </w:lvl>
    <w:lvl w:ilvl="7">
      <w:start w:val="0"/>
      <w:numFmt w:val="bullet"/>
      <w:lvlText w:val="•"/>
      <w:lvlJc w:val="left"/>
      <w:pPr>
        <w:ind w:left="7866" w:hanging="270"/>
      </w:pPr>
      <w:rPr>
        <w:rFonts w:hint="default"/>
        <w:lang w:val="en-US" w:eastAsia="en-US" w:bidi="ar-SA"/>
      </w:rPr>
    </w:lvl>
    <w:lvl w:ilvl="8">
      <w:start w:val="0"/>
      <w:numFmt w:val="bullet"/>
      <w:lvlText w:val="•"/>
      <w:lvlJc w:val="left"/>
      <w:pPr>
        <w:ind w:left="8977" w:hanging="270"/>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5">
    <w:abstractNumId w:val="4"/>
  </w:num>
  <w:num w:numId="6">
    <w:abstractNumId w:val="5"/>
  </w:num>
  <w:num w:numId="7">
    <w:abstractNumId w:val="6"/>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1"/>
      <w:ind w:left="20"/>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left="470"/>
      <w:outlineLvl w:val="2"/>
    </w:pPr>
    <w:rPr>
      <w:rFonts w:ascii="Times New Roman" w:hAnsi="Times New Roman" w:eastAsia="Times New Roman" w:cs="Times New Roman"/>
      <w:b/>
      <w:bCs/>
      <w:sz w:val="20"/>
      <w:szCs w:val="20"/>
      <w:lang w:val="en-US" w:eastAsia="en-US" w:bidi="ar-SA"/>
    </w:rPr>
  </w:style>
  <w:style w:styleId="Heading3" w:type="paragraph">
    <w:name w:val="Heading 3"/>
    <w:basedOn w:val="Normal"/>
    <w:uiPriority w:val="1"/>
    <w:qFormat/>
    <w:pPr>
      <w:ind w:left="470"/>
      <w:outlineLvl w:val="3"/>
    </w:pPr>
    <w:rPr>
      <w:rFonts w:ascii="Times New Roman" w:hAnsi="Times New Roman" w:eastAsia="Times New Roman" w:cs="Times New Roman"/>
      <w:b/>
      <w:bCs/>
      <w:i/>
      <w:iCs/>
      <w:sz w:val="20"/>
      <w:szCs w:val="20"/>
      <w:lang w:val="en-US" w:eastAsia="en-US" w:bidi="ar-SA"/>
    </w:rPr>
  </w:style>
  <w:style w:styleId="Title" w:type="paragraph">
    <w:name w:val="Title"/>
    <w:basedOn w:val="Normal"/>
    <w:uiPriority w:val="1"/>
    <w:qFormat/>
    <w:pPr>
      <w:ind w:left="75" w:right="161"/>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spacing w:before="10"/>
      <w:ind w:left="118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aboutschwab.com/" TargetMode="External"/><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sec.gov/" TargetMode="Externa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footer" Target="footer5.xml"/><Relationship Id="rId16" Type="http://schemas.openxmlformats.org/officeDocument/2006/relationships/header" Target="header5.xml"/><Relationship Id="rId17" Type="http://schemas.openxmlformats.org/officeDocument/2006/relationships/footer" Target="footer6.xml"/><Relationship Id="rId18" Type="http://schemas.openxmlformats.org/officeDocument/2006/relationships/header" Target="header6.xml"/><Relationship Id="rId19" Type="http://schemas.openxmlformats.org/officeDocument/2006/relationships/footer" Target="footer7.xml"/><Relationship Id="rId20" Type="http://schemas.openxmlformats.org/officeDocument/2006/relationships/header" Target="header7.xml"/><Relationship Id="rId21" Type="http://schemas.openxmlformats.org/officeDocument/2006/relationships/footer" Target="footer8.xml"/><Relationship Id="rId22" Type="http://schemas.openxmlformats.org/officeDocument/2006/relationships/header" Target="header8.xml"/><Relationship Id="rId23" Type="http://schemas.openxmlformats.org/officeDocument/2006/relationships/footer" Target="footer9.xml"/><Relationship Id="rId24" Type="http://schemas.openxmlformats.org/officeDocument/2006/relationships/header" Target="header9.xml"/><Relationship Id="rId25" Type="http://schemas.openxmlformats.org/officeDocument/2006/relationships/footer" Target="footer10.xml"/><Relationship Id="rId26" Type="http://schemas.openxmlformats.org/officeDocument/2006/relationships/header" Target="header10.xml"/><Relationship Id="rId27" Type="http://schemas.openxmlformats.org/officeDocument/2006/relationships/footer" Target="footer11.xml"/><Relationship Id="rId28" Type="http://schemas.openxmlformats.org/officeDocument/2006/relationships/header" Target="header11.xml"/><Relationship Id="rId29" Type="http://schemas.openxmlformats.org/officeDocument/2006/relationships/footer" Target="footer12.xml"/><Relationship Id="rId30" Type="http://schemas.openxmlformats.org/officeDocument/2006/relationships/header" Target="header12.xml"/><Relationship Id="rId31" Type="http://schemas.openxmlformats.org/officeDocument/2006/relationships/footer" Target="footer13.xm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dc:title>SCHW-09.30.23-10Q</dc:title>
  <dcterms:created xsi:type="dcterms:W3CDTF">2025-02-05T01:50:20Z</dcterms:created>
  <dcterms:modified xsi:type="dcterms:W3CDTF">2025-02-05T01:50:20Z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2023-11-08T00:00:00Z</vt:filetime>
  </property>
  <property fmtid="{D5CDD505-2E9C-101B-9397-08002B2CF9AE}" pid="3" name="Creator">
    <vt:lpwstr>Workiva</vt:lpwstr>
  </property>
  <property fmtid="{D5CDD505-2E9C-101B-9397-08002B2CF9AE}" pid="4" name="LastSaved">
    <vt:filetime>2025-02-05T00:00:00Z</vt:filetime>
  </property>
  <property fmtid="{D5CDD505-2E9C-101B-9397-08002B2CF9AE}" pid="5" name="Producer">
    <vt:lpwstr>3-Heights(TM) PDF Security Shell 4.8.25.2 (http://www.pdf-tools.com)</vt:lpwstr>
  </property>
</Properties>
</file>